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52164" w14:textId="77777777" w:rsidR="008A30EA" w:rsidRPr="000C5487" w:rsidRDefault="008A30EA" w:rsidP="008A30EA">
      <w:pPr>
        <w:jc w:val="both"/>
        <w:outlineLvl w:val="0"/>
        <w:rPr>
          <w:rFonts w:cs="Arial"/>
          <w:u w:val="single"/>
        </w:rPr>
      </w:pPr>
      <w:bookmarkStart w:id="0" w:name="_Hlk4159271"/>
    </w:p>
    <w:p w14:paraId="48CEA935" w14:textId="77777777" w:rsidR="008A30EA" w:rsidRPr="000C5487" w:rsidRDefault="008A30EA" w:rsidP="008A30EA">
      <w:pPr>
        <w:spacing w:line="360" w:lineRule="auto"/>
        <w:contextualSpacing/>
        <w:jc w:val="center"/>
        <w:rPr>
          <w:rFonts w:cs="Arial"/>
          <w:b/>
        </w:rPr>
      </w:pPr>
      <w:r w:rsidRPr="000C5487">
        <w:rPr>
          <w:noProof/>
          <w:lang w:val="en-US"/>
        </w:rPr>
        <w:drawing>
          <wp:inline distT="0" distB="0" distL="0" distR="0" wp14:anchorId="49971EAC" wp14:editId="45807B75">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3B3E32B7" w14:textId="77777777" w:rsidR="008A30EA" w:rsidRPr="000C5487" w:rsidRDefault="008A30EA" w:rsidP="008A30EA">
      <w:pPr>
        <w:spacing w:line="360" w:lineRule="auto"/>
        <w:jc w:val="both"/>
        <w:outlineLvl w:val="0"/>
        <w:rPr>
          <w:rFonts w:cs="Arial"/>
          <w:b/>
        </w:rPr>
      </w:pPr>
    </w:p>
    <w:p w14:paraId="5C2C75DD" w14:textId="77777777" w:rsidR="008A30EA" w:rsidRPr="000C5487" w:rsidRDefault="008A30EA" w:rsidP="008A30EA">
      <w:pPr>
        <w:spacing w:line="360" w:lineRule="auto"/>
        <w:jc w:val="center"/>
        <w:outlineLvl w:val="0"/>
        <w:rPr>
          <w:rFonts w:cs="Arial"/>
          <w:b/>
        </w:rPr>
      </w:pPr>
      <w:bookmarkStart w:id="1" w:name="OLE_LINK5"/>
      <w:bookmarkStart w:id="2" w:name="OLE_LINK6"/>
      <w:r w:rsidRPr="000C5487">
        <w:rPr>
          <w:rFonts w:cs="Arial"/>
          <w:b/>
        </w:rPr>
        <w:t>IN THE HIGH COURT OF SOUTH AFRICA</w:t>
      </w:r>
    </w:p>
    <w:p w14:paraId="30B281E4" w14:textId="77777777" w:rsidR="008A30EA" w:rsidRPr="000C5487" w:rsidRDefault="008A30EA" w:rsidP="008A30EA">
      <w:pPr>
        <w:spacing w:line="360" w:lineRule="auto"/>
        <w:jc w:val="center"/>
        <w:outlineLvl w:val="0"/>
        <w:rPr>
          <w:rFonts w:cs="Arial"/>
          <w:b/>
        </w:rPr>
      </w:pPr>
      <w:r w:rsidRPr="000C5487">
        <w:rPr>
          <w:rFonts w:cs="Arial"/>
          <w:b/>
        </w:rPr>
        <w:t>KWAZULU-NATAL LOCAL DIVISION, DURBAN</w:t>
      </w:r>
    </w:p>
    <w:p w14:paraId="4B2DE32A" w14:textId="77777777" w:rsidR="008A30EA" w:rsidRPr="000C5487" w:rsidRDefault="008A30EA" w:rsidP="008A30EA">
      <w:pPr>
        <w:tabs>
          <w:tab w:val="left" w:pos="6090"/>
        </w:tabs>
        <w:spacing w:line="360" w:lineRule="auto"/>
        <w:ind w:left="4320" w:firstLine="720"/>
        <w:jc w:val="center"/>
        <w:outlineLvl w:val="0"/>
        <w:rPr>
          <w:rFonts w:cs="Arial"/>
        </w:rPr>
      </w:pPr>
    </w:p>
    <w:p w14:paraId="3A70AC35" w14:textId="77777777" w:rsidR="008A30EA" w:rsidRPr="000C5487" w:rsidRDefault="008A30EA" w:rsidP="008A30EA">
      <w:pPr>
        <w:spacing w:line="276" w:lineRule="auto"/>
        <w:ind w:left="4320" w:firstLine="720"/>
        <w:jc w:val="both"/>
        <w:outlineLvl w:val="0"/>
        <w:rPr>
          <w:rFonts w:cs="Arial"/>
        </w:rPr>
      </w:pPr>
    </w:p>
    <w:bookmarkEnd w:id="1"/>
    <w:bookmarkEnd w:id="2"/>
    <w:p w14:paraId="0F8B40F4" w14:textId="2E9776B5" w:rsidR="008A30EA" w:rsidRPr="000C5487" w:rsidRDefault="008A30EA" w:rsidP="008A30EA">
      <w:pPr>
        <w:spacing w:line="276" w:lineRule="auto"/>
        <w:jc w:val="right"/>
        <w:rPr>
          <w:rFonts w:cs="Arial"/>
          <w:b/>
        </w:rPr>
      </w:pPr>
      <w:r w:rsidRPr="000C5487">
        <w:rPr>
          <w:rFonts w:cs="Arial"/>
          <w:b/>
        </w:rPr>
        <w:t xml:space="preserve">CASE NO: </w:t>
      </w:r>
      <w:bookmarkStart w:id="3" w:name="_GoBack"/>
      <w:r w:rsidR="00C136B9">
        <w:rPr>
          <w:rFonts w:cs="Arial"/>
          <w:b/>
        </w:rPr>
        <w:t>2799/2023</w:t>
      </w:r>
    </w:p>
    <w:bookmarkEnd w:id="3"/>
    <w:p w14:paraId="6C477FFE" w14:textId="77777777" w:rsidR="008A30EA" w:rsidRPr="000C5487" w:rsidRDefault="008A30EA" w:rsidP="008A30EA">
      <w:pPr>
        <w:spacing w:line="276" w:lineRule="auto"/>
        <w:jc w:val="both"/>
        <w:rPr>
          <w:rFonts w:cs="Arial"/>
        </w:rPr>
      </w:pPr>
    </w:p>
    <w:p w14:paraId="0E062BB0" w14:textId="21D83E09" w:rsidR="008A30EA" w:rsidRDefault="008A30EA" w:rsidP="008A30EA">
      <w:pPr>
        <w:spacing w:line="276" w:lineRule="auto"/>
        <w:jc w:val="both"/>
        <w:rPr>
          <w:rFonts w:cs="Arial"/>
        </w:rPr>
      </w:pPr>
      <w:r w:rsidRPr="000C5487">
        <w:rPr>
          <w:rFonts w:cs="Arial"/>
        </w:rPr>
        <w:t>In the matter between:</w:t>
      </w:r>
    </w:p>
    <w:p w14:paraId="7FD0ACBE" w14:textId="77777777" w:rsidR="00C136B9" w:rsidRPr="000C5487" w:rsidRDefault="00C136B9" w:rsidP="008A30EA">
      <w:pPr>
        <w:spacing w:line="276" w:lineRule="auto"/>
        <w:jc w:val="both"/>
        <w:rPr>
          <w:rFonts w:cs="Arial"/>
        </w:rPr>
      </w:pPr>
    </w:p>
    <w:p w14:paraId="6A21E4E7" w14:textId="6DCD6979" w:rsidR="008A30EA" w:rsidRPr="000C5487" w:rsidRDefault="00C136B9" w:rsidP="008A30EA">
      <w:pPr>
        <w:tabs>
          <w:tab w:val="right" w:pos="8505"/>
        </w:tabs>
        <w:spacing w:line="276" w:lineRule="auto"/>
        <w:jc w:val="both"/>
        <w:rPr>
          <w:rFonts w:cs="Arial"/>
          <w:b/>
        </w:rPr>
      </w:pPr>
      <w:r>
        <w:rPr>
          <w:rFonts w:cs="Arial"/>
          <w:b/>
        </w:rPr>
        <w:t>TYSON EMMANUEL DLADLA</w:t>
      </w:r>
      <w:r w:rsidR="008A30EA" w:rsidRPr="000C5487">
        <w:rPr>
          <w:rFonts w:cs="Arial"/>
          <w:b/>
        </w:rPr>
        <w:tab/>
      </w:r>
      <w:r w:rsidR="001C7F5D" w:rsidRPr="000C5487">
        <w:rPr>
          <w:rFonts w:cs="Arial"/>
          <w:b/>
        </w:rPr>
        <w:t>FIRST APPLICANT</w:t>
      </w:r>
    </w:p>
    <w:p w14:paraId="2E0A2BAF" w14:textId="573AAD8B" w:rsidR="00E81C93" w:rsidRPr="000C5487" w:rsidRDefault="00E81C93" w:rsidP="008A30EA">
      <w:pPr>
        <w:tabs>
          <w:tab w:val="right" w:pos="8505"/>
        </w:tabs>
        <w:spacing w:line="276" w:lineRule="auto"/>
        <w:jc w:val="both"/>
        <w:rPr>
          <w:rFonts w:cs="Arial"/>
          <w:b/>
        </w:rPr>
      </w:pPr>
    </w:p>
    <w:p w14:paraId="01208697" w14:textId="463B18A9" w:rsidR="00E81C93" w:rsidRPr="000C5487" w:rsidRDefault="00C136B9" w:rsidP="008A30EA">
      <w:pPr>
        <w:tabs>
          <w:tab w:val="right" w:pos="8505"/>
        </w:tabs>
        <w:spacing w:line="276" w:lineRule="auto"/>
        <w:jc w:val="both"/>
        <w:rPr>
          <w:rFonts w:cs="Arial"/>
          <w:b/>
        </w:rPr>
      </w:pPr>
      <w:r>
        <w:rPr>
          <w:rFonts w:cs="Arial"/>
          <w:b/>
        </w:rPr>
        <w:t>SYNETTE UMADLADLA</w:t>
      </w:r>
      <w:r w:rsidR="00E81C93" w:rsidRPr="000C5487">
        <w:rPr>
          <w:rFonts w:cs="Arial"/>
          <w:b/>
        </w:rPr>
        <w:tab/>
      </w:r>
      <w:r w:rsidR="001C7F5D" w:rsidRPr="000C5487">
        <w:rPr>
          <w:rFonts w:cs="Arial"/>
          <w:b/>
        </w:rPr>
        <w:t>SECOND APPLICANT</w:t>
      </w:r>
    </w:p>
    <w:p w14:paraId="0A917501" w14:textId="0942701F" w:rsidR="00E81C93" w:rsidRPr="000C5487" w:rsidRDefault="00E81C93" w:rsidP="008A30EA">
      <w:pPr>
        <w:tabs>
          <w:tab w:val="right" w:pos="8505"/>
        </w:tabs>
        <w:spacing w:line="276" w:lineRule="auto"/>
        <w:jc w:val="both"/>
        <w:rPr>
          <w:rFonts w:cs="Arial"/>
          <w:b/>
        </w:rPr>
      </w:pPr>
    </w:p>
    <w:p w14:paraId="54D4170C" w14:textId="28963B7C" w:rsidR="00E81C93" w:rsidRPr="000C5487" w:rsidRDefault="00C136B9" w:rsidP="008A30EA">
      <w:pPr>
        <w:tabs>
          <w:tab w:val="right" w:pos="8505"/>
        </w:tabs>
        <w:spacing w:line="276" w:lineRule="auto"/>
        <w:jc w:val="both"/>
        <w:rPr>
          <w:rFonts w:cs="Arial"/>
          <w:b/>
        </w:rPr>
      </w:pPr>
      <w:r>
        <w:rPr>
          <w:rFonts w:cs="Arial"/>
          <w:b/>
        </w:rPr>
        <w:t>EMMANUEL NDUKA</w:t>
      </w:r>
      <w:r w:rsidR="00E81C93" w:rsidRPr="000C5487">
        <w:rPr>
          <w:rFonts w:cs="Arial"/>
          <w:b/>
        </w:rPr>
        <w:tab/>
      </w:r>
      <w:r w:rsidR="001C7F5D" w:rsidRPr="000C5487">
        <w:rPr>
          <w:rFonts w:cs="Arial"/>
          <w:b/>
        </w:rPr>
        <w:t xml:space="preserve">THIRD APPLICANT </w:t>
      </w:r>
    </w:p>
    <w:p w14:paraId="0658208C" w14:textId="7DE54707" w:rsidR="00E81C93" w:rsidRPr="000C5487" w:rsidRDefault="00E81C93" w:rsidP="008A30EA">
      <w:pPr>
        <w:tabs>
          <w:tab w:val="right" w:pos="8505"/>
        </w:tabs>
        <w:spacing w:line="276" w:lineRule="auto"/>
        <w:jc w:val="both"/>
        <w:rPr>
          <w:rFonts w:cs="Arial"/>
          <w:b/>
        </w:rPr>
      </w:pPr>
    </w:p>
    <w:p w14:paraId="004F3D21" w14:textId="77777777" w:rsidR="008A30EA" w:rsidRPr="000C5487" w:rsidRDefault="008A30EA" w:rsidP="008A30EA">
      <w:pPr>
        <w:tabs>
          <w:tab w:val="right" w:pos="8364"/>
        </w:tabs>
        <w:spacing w:line="276" w:lineRule="auto"/>
        <w:jc w:val="both"/>
        <w:rPr>
          <w:rFonts w:cs="Arial"/>
        </w:rPr>
      </w:pPr>
      <w:r w:rsidRPr="000C5487">
        <w:rPr>
          <w:rFonts w:cs="Arial"/>
        </w:rPr>
        <w:t>and</w:t>
      </w:r>
    </w:p>
    <w:p w14:paraId="7AE8DE0C" w14:textId="77777777" w:rsidR="008A30EA" w:rsidRPr="000C5487" w:rsidRDefault="008A30EA" w:rsidP="008A30EA">
      <w:pPr>
        <w:tabs>
          <w:tab w:val="right" w:pos="8364"/>
        </w:tabs>
        <w:spacing w:line="276" w:lineRule="auto"/>
        <w:jc w:val="both"/>
        <w:rPr>
          <w:rFonts w:cs="Arial"/>
        </w:rPr>
      </w:pPr>
    </w:p>
    <w:p w14:paraId="529B6201" w14:textId="7985B2E4" w:rsidR="008A30EA" w:rsidRPr="000C5487" w:rsidRDefault="00C136B9" w:rsidP="00E81C93">
      <w:pPr>
        <w:tabs>
          <w:tab w:val="right" w:pos="8505"/>
        </w:tabs>
        <w:spacing w:line="276" w:lineRule="auto"/>
        <w:jc w:val="both"/>
        <w:rPr>
          <w:rFonts w:cs="Arial"/>
          <w:b/>
        </w:rPr>
      </w:pPr>
      <w:r>
        <w:rPr>
          <w:rFonts w:cs="Arial"/>
          <w:b/>
        </w:rPr>
        <w:t>ETHEKWINI MUNICIPALITY</w:t>
      </w:r>
      <w:r w:rsidR="008A30EA" w:rsidRPr="000C5487">
        <w:rPr>
          <w:rFonts w:cs="Arial"/>
          <w:b/>
          <w:color w:val="000000"/>
          <w:lang w:val="en-US"/>
        </w:rPr>
        <w:tab/>
      </w:r>
      <w:r w:rsidR="00E81C93" w:rsidRPr="000C5487">
        <w:rPr>
          <w:rFonts w:cs="Arial"/>
          <w:b/>
        </w:rPr>
        <w:t xml:space="preserve"> </w:t>
      </w:r>
      <w:r w:rsidR="001C7F5D" w:rsidRPr="000C5487">
        <w:rPr>
          <w:rFonts w:cs="Arial"/>
          <w:b/>
        </w:rPr>
        <w:t>RESPONDENT</w:t>
      </w:r>
    </w:p>
    <w:p w14:paraId="2E0B9AF4" w14:textId="77777777" w:rsidR="005337B3" w:rsidRPr="000C5487" w:rsidRDefault="005337B3" w:rsidP="005337B3">
      <w:pPr>
        <w:tabs>
          <w:tab w:val="right" w:pos="8220"/>
          <w:tab w:val="right" w:pos="8820"/>
        </w:tabs>
        <w:jc w:val="both"/>
        <w:rPr>
          <w:rFonts w:cs="Arial"/>
          <w:b/>
        </w:rPr>
      </w:pPr>
    </w:p>
    <w:p w14:paraId="0E444D46" w14:textId="77777777" w:rsidR="00D542F2" w:rsidRPr="000C5487" w:rsidRDefault="00D542F2" w:rsidP="000C55EC">
      <w:pPr>
        <w:tabs>
          <w:tab w:val="right" w:pos="8220"/>
        </w:tabs>
        <w:rPr>
          <w:rFonts w:cs="Arial"/>
          <w:b/>
          <w:u w:val="single"/>
          <w:lang w:val="en-US"/>
        </w:rPr>
      </w:pPr>
      <w:r w:rsidRPr="000C5487">
        <w:rPr>
          <w:rFonts w:cs="Arial"/>
          <w:b/>
          <w:u w:val="single"/>
          <w:lang w:val="en-US"/>
        </w:rPr>
        <w:tab/>
      </w:r>
    </w:p>
    <w:p w14:paraId="6D55269B" w14:textId="77777777" w:rsidR="00D542F2" w:rsidRPr="000C5487" w:rsidRDefault="00D542F2" w:rsidP="00D542F2">
      <w:pPr>
        <w:tabs>
          <w:tab w:val="right" w:pos="7938"/>
        </w:tabs>
        <w:rPr>
          <w:rFonts w:cs="Arial"/>
          <w:b/>
          <w:u w:val="single"/>
          <w:lang w:val="en-US"/>
        </w:rPr>
      </w:pPr>
    </w:p>
    <w:p w14:paraId="5AB44406" w14:textId="2F615AE3" w:rsidR="00D542F2" w:rsidRPr="000C5487" w:rsidRDefault="00B97620" w:rsidP="0051210E">
      <w:pPr>
        <w:tabs>
          <w:tab w:val="right" w:pos="7938"/>
        </w:tabs>
        <w:jc w:val="center"/>
        <w:rPr>
          <w:rFonts w:cs="Arial"/>
          <w:b/>
          <w:lang w:val="en-US"/>
        </w:rPr>
      </w:pPr>
      <w:r w:rsidRPr="000C5487">
        <w:rPr>
          <w:rFonts w:cs="Arial"/>
          <w:b/>
          <w:lang w:val="en-US"/>
        </w:rPr>
        <w:t>JUDGMENT</w:t>
      </w:r>
    </w:p>
    <w:p w14:paraId="50A28C85" w14:textId="77777777" w:rsidR="00D542F2" w:rsidRPr="000C5487" w:rsidRDefault="00D542F2" w:rsidP="000C55EC">
      <w:pPr>
        <w:tabs>
          <w:tab w:val="right" w:pos="8220"/>
        </w:tabs>
        <w:jc w:val="both"/>
        <w:rPr>
          <w:rFonts w:cs="Arial"/>
          <w:lang w:val="en-US"/>
        </w:rPr>
      </w:pPr>
      <w:r w:rsidRPr="000C5487">
        <w:rPr>
          <w:rFonts w:cs="Arial"/>
          <w:b/>
          <w:u w:val="single"/>
          <w:lang w:val="en-US"/>
        </w:rPr>
        <w:tab/>
      </w:r>
    </w:p>
    <w:p w14:paraId="06F5AB34" w14:textId="77777777" w:rsidR="00FF0C26" w:rsidRPr="000C5487" w:rsidRDefault="00FF0C26" w:rsidP="00987D10">
      <w:pPr>
        <w:spacing w:line="360" w:lineRule="auto"/>
        <w:jc w:val="both"/>
        <w:outlineLvl w:val="0"/>
        <w:rPr>
          <w:rFonts w:cs="Arial"/>
          <w:b/>
        </w:rPr>
      </w:pPr>
    </w:p>
    <w:p w14:paraId="19B5980D" w14:textId="6D60AA4C" w:rsidR="001D0024" w:rsidRPr="000C5487" w:rsidRDefault="00E81C93" w:rsidP="00987D10">
      <w:pPr>
        <w:spacing w:line="360" w:lineRule="auto"/>
        <w:jc w:val="both"/>
        <w:outlineLvl w:val="0"/>
        <w:rPr>
          <w:rFonts w:cs="Arial"/>
          <w:b/>
        </w:rPr>
      </w:pPr>
      <w:r w:rsidRPr="000C5487">
        <w:rPr>
          <w:rFonts w:cs="Arial"/>
          <w:b/>
        </w:rPr>
        <w:t>Nicholson</w:t>
      </w:r>
      <w:r w:rsidR="001D0024" w:rsidRPr="000C5487">
        <w:rPr>
          <w:rFonts w:cs="Arial"/>
          <w:b/>
        </w:rPr>
        <w:t xml:space="preserve"> AJ:</w:t>
      </w:r>
    </w:p>
    <w:p w14:paraId="44362371" w14:textId="77777777" w:rsidR="00713463" w:rsidRPr="000C5487" w:rsidRDefault="00713463" w:rsidP="00D21D44">
      <w:pPr>
        <w:rPr>
          <w:rFonts w:cs="Arial"/>
          <w:b/>
        </w:rPr>
      </w:pPr>
    </w:p>
    <w:bookmarkEnd w:id="0"/>
    <w:p w14:paraId="22CE3839" w14:textId="1748C43B" w:rsidR="00435CC9" w:rsidRDefault="00023CCE" w:rsidP="00023CCE">
      <w:pPr>
        <w:spacing w:line="360" w:lineRule="auto"/>
        <w:jc w:val="both"/>
        <w:rPr>
          <w:rFonts w:cs="Arial"/>
        </w:rPr>
      </w:pPr>
      <w:r>
        <w:rPr>
          <w:rFonts w:cs="Arial"/>
        </w:rPr>
        <w:t>[1]</w:t>
      </w:r>
      <w:r>
        <w:rPr>
          <w:rFonts w:cs="Arial"/>
        </w:rPr>
        <w:tab/>
      </w:r>
      <w:r w:rsidR="001C7F5D">
        <w:rPr>
          <w:rFonts w:cs="Arial"/>
        </w:rPr>
        <w:t>The a</w:t>
      </w:r>
      <w:r w:rsidR="00435CC9">
        <w:rPr>
          <w:rFonts w:cs="Arial"/>
        </w:rPr>
        <w:t xml:space="preserve">pplicants, on an urgent basis, approach this </w:t>
      </w:r>
      <w:r w:rsidR="001C7F5D">
        <w:rPr>
          <w:rFonts w:cs="Arial"/>
        </w:rPr>
        <w:t>c</w:t>
      </w:r>
      <w:r w:rsidR="00435CC9">
        <w:rPr>
          <w:rFonts w:cs="Arial"/>
        </w:rPr>
        <w:t xml:space="preserve">ourt seeking </w:t>
      </w:r>
      <w:r w:rsidR="00435CC9">
        <w:rPr>
          <w:rFonts w:cs="Arial"/>
          <w:i/>
          <w:iCs/>
        </w:rPr>
        <w:t xml:space="preserve">inter alia </w:t>
      </w:r>
      <w:r w:rsidR="00C6028C">
        <w:rPr>
          <w:rFonts w:cs="Arial"/>
        </w:rPr>
        <w:t>an order for the restoration of their electricity</w:t>
      </w:r>
      <w:r w:rsidR="00003B97">
        <w:rPr>
          <w:rFonts w:cs="Arial"/>
        </w:rPr>
        <w:t xml:space="preserve"> by the eThekwini Municipality (the respondent)</w:t>
      </w:r>
      <w:r w:rsidR="00C6028C">
        <w:rPr>
          <w:rFonts w:cs="Arial"/>
        </w:rPr>
        <w:t xml:space="preserve">, on the basis that </w:t>
      </w:r>
      <w:r w:rsidR="001C7F5D">
        <w:rPr>
          <w:rFonts w:cs="Arial"/>
        </w:rPr>
        <w:t xml:space="preserve">the </w:t>
      </w:r>
      <w:r w:rsidR="00900AE0">
        <w:rPr>
          <w:rFonts w:cs="Arial"/>
        </w:rPr>
        <w:t>respondent’s failure to give them</w:t>
      </w:r>
      <w:r w:rsidR="00C6028C">
        <w:rPr>
          <w:rFonts w:cs="Arial"/>
        </w:rPr>
        <w:t xml:space="preserve"> ‘</w:t>
      </w:r>
      <w:bookmarkStart w:id="4" w:name="_Hlk131004059"/>
      <w:r w:rsidR="00C6028C">
        <w:rPr>
          <w:rFonts w:cs="Arial"/>
        </w:rPr>
        <w:t>individual</w:t>
      </w:r>
      <w:bookmarkEnd w:id="4"/>
      <w:r w:rsidR="00C6028C">
        <w:rPr>
          <w:rFonts w:cs="Arial"/>
        </w:rPr>
        <w:t>’ notice</w:t>
      </w:r>
      <w:r w:rsidR="00617727">
        <w:rPr>
          <w:rStyle w:val="FootnoteReference"/>
          <w:rFonts w:cs="Arial"/>
        </w:rPr>
        <w:footnoteReference w:id="1"/>
      </w:r>
      <w:r w:rsidR="00C6028C">
        <w:rPr>
          <w:rFonts w:cs="Arial"/>
        </w:rPr>
        <w:t xml:space="preserve"> of the </w:t>
      </w:r>
      <w:r w:rsidR="00C41033">
        <w:rPr>
          <w:rFonts w:cs="Arial"/>
        </w:rPr>
        <w:t>electricity</w:t>
      </w:r>
      <w:r w:rsidR="00C6028C">
        <w:rPr>
          <w:rFonts w:cs="Arial"/>
        </w:rPr>
        <w:t xml:space="preserve"> disconnection</w:t>
      </w:r>
      <w:r w:rsidR="00147052">
        <w:rPr>
          <w:rFonts w:cs="Arial"/>
        </w:rPr>
        <w:t xml:space="preserve"> resulted in</w:t>
      </w:r>
      <w:r w:rsidR="00C6028C">
        <w:rPr>
          <w:rFonts w:cs="Arial"/>
        </w:rPr>
        <w:t xml:space="preserve"> their rights to procedural fairness </w:t>
      </w:r>
      <w:r w:rsidR="00147052">
        <w:rPr>
          <w:rFonts w:cs="Arial"/>
        </w:rPr>
        <w:t>being</w:t>
      </w:r>
      <w:r w:rsidR="00C6028C">
        <w:rPr>
          <w:rFonts w:cs="Arial"/>
        </w:rPr>
        <w:t xml:space="preserve"> infringed. </w:t>
      </w:r>
    </w:p>
    <w:p w14:paraId="29014A9F" w14:textId="77777777" w:rsidR="001C7F5D" w:rsidRPr="00C6028C" w:rsidRDefault="001C7F5D" w:rsidP="001C7F5D">
      <w:pPr>
        <w:spacing w:line="360" w:lineRule="auto"/>
        <w:jc w:val="both"/>
        <w:rPr>
          <w:rFonts w:cs="Arial"/>
        </w:rPr>
      </w:pPr>
    </w:p>
    <w:p w14:paraId="2DA0E40C" w14:textId="40EB2073" w:rsidR="00435CC9" w:rsidRDefault="00023CCE" w:rsidP="00023CCE">
      <w:pPr>
        <w:spacing w:line="360" w:lineRule="auto"/>
        <w:jc w:val="both"/>
        <w:rPr>
          <w:rFonts w:cs="Arial"/>
        </w:rPr>
      </w:pPr>
      <w:r>
        <w:rPr>
          <w:rFonts w:cs="Arial"/>
        </w:rPr>
        <w:t>[2]</w:t>
      </w:r>
      <w:r>
        <w:rPr>
          <w:rFonts w:cs="Arial"/>
        </w:rPr>
        <w:tab/>
      </w:r>
      <w:r w:rsidR="00435CC9">
        <w:rPr>
          <w:rFonts w:cs="Arial"/>
        </w:rPr>
        <w:t xml:space="preserve">In the founding affidavit, </w:t>
      </w:r>
      <w:r w:rsidR="00147052">
        <w:rPr>
          <w:rFonts w:cs="Arial"/>
        </w:rPr>
        <w:t>the a</w:t>
      </w:r>
      <w:r w:rsidR="00435CC9">
        <w:rPr>
          <w:rFonts w:cs="Arial"/>
        </w:rPr>
        <w:t xml:space="preserve">pplicants aver that </w:t>
      </w:r>
      <w:r w:rsidR="00C41033">
        <w:rPr>
          <w:rFonts w:cs="Arial"/>
        </w:rPr>
        <w:t xml:space="preserve">despite there </w:t>
      </w:r>
      <w:r w:rsidR="00FA1ABB">
        <w:rPr>
          <w:rFonts w:cs="Arial"/>
        </w:rPr>
        <w:t xml:space="preserve">being </w:t>
      </w:r>
      <w:r w:rsidR="00C41033">
        <w:rPr>
          <w:rFonts w:cs="Arial"/>
        </w:rPr>
        <w:t xml:space="preserve">no </w:t>
      </w:r>
      <w:r w:rsidR="003264A4">
        <w:rPr>
          <w:rFonts w:cs="Arial"/>
        </w:rPr>
        <w:t xml:space="preserve">contractual </w:t>
      </w:r>
      <w:r w:rsidR="00C41033">
        <w:rPr>
          <w:rFonts w:cs="Arial"/>
        </w:rPr>
        <w:t xml:space="preserve">privity between the </w:t>
      </w:r>
      <w:r w:rsidR="00147052">
        <w:rPr>
          <w:rFonts w:cs="Arial"/>
        </w:rPr>
        <w:t>a</w:t>
      </w:r>
      <w:r w:rsidR="00A8707A">
        <w:rPr>
          <w:rFonts w:cs="Arial"/>
        </w:rPr>
        <w:t xml:space="preserve">pplicants and </w:t>
      </w:r>
      <w:r w:rsidR="00147052">
        <w:rPr>
          <w:rFonts w:cs="Arial"/>
        </w:rPr>
        <w:t>r</w:t>
      </w:r>
      <w:r w:rsidR="008E489B">
        <w:rPr>
          <w:rFonts w:cs="Arial"/>
        </w:rPr>
        <w:t>espondent</w:t>
      </w:r>
      <w:r w:rsidR="00A749DC">
        <w:rPr>
          <w:rFonts w:cs="Arial"/>
        </w:rPr>
        <w:t>;</w:t>
      </w:r>
      <w:r w:rsidR="00ED2D7B">
        <w:rPr>
          <w:rFonts w:cs="Arial"/>
        </w:rPr>
        <w:t xml:space="preserve"> </w:t>
      </w:r>
      <w:r w:rsidR="00003B97">
        <w:rPr>
          <w:rFonts w:cs="Arial"/>
        </w:rPr>
        <w:t>based on the reasoning in</w:t>
      </w:r>
      <w:r w:rsidR="00435CC9">
        <w:rPr>
          <w:rFonts w:cs="Arial"/>
        </w:rPr>
        <w:t xml:space="preserve"> </w:t>
      </w:r>
      <w:r w:rsidR="003264A4" w:rsidRPr="00A749DC">
        <w:rPr>
          <w:rFonts w:cs="Arial"/>
          <w:i/>
        </w:rPr>
        <w:t>Joseph and others v City of Johannesburg and others</w:t>
      </w:r>
      <w:r w:rsidR="008F4299">
        <w:rPr>
          <w:rFonts w:cs="Arial"/>
          <w:i/>
        </w:rPr>
        <w:t xml:space="preserve"> (‘Joseph’)</w:t>
      </w:r>
      <w:r w:rsidR="003264A4">
        <w:rPr>
          <w:rFonts w:cs="Arial"/>
        </w:rPr>
        <w:t>;</w:t>
      </w:r>
      <w:r w:rsidR="00435CC9">
        <w:rPr>
          <w:rStyle w:val="FootnoteReference"/>
          <w:rFonts w:cs="Arial"/>
        </w:rPr>
        <w:footnoteReference w:id="2"/>
      </w:r>
      <w:r w:rsidR="000357A8">
        <w:rPr>
          <w:rFonts w:cs="Arial"/>
        </w:rPr>
        <w:t xml:space="preserve"> </w:t>
      </w:r>
      <w:r w:rsidR="008E489B">
        <w:rPr>
          <w:rFonts w:cs="Arial"/>
        </w:rPr>
        <w:t>as</w:t>
      </w:r>
      <w:r w:rsidR="00435CC9">
        <w:rPr>
          <w:rFonts w:cs="Arial"/>
        </w:rPr>
        <w:t xml:space="preserve"> tenants of the PLM Motel, situated at 542 Mahatma Gandhi Road, Durban, KwaZulu-Natal (</w:t>
      </w:r>
      <w:r w:rsidR="00147052">
        <w:rPr>
          <w:rFonts w:cs="Arial"/>
        </w:rPr>
        <w:t>‘</w:t>
      </w:r>
      <w:r w:rsidR="00435CC9">
        <w:rPr>
          <w:rFonts w:cs="Arial"/>
        </w:rPr>
        <w:t>the property</w:t>
      </w:r>
      <w:r w:rsidR="00147052">
        <w:rPr>
          <w:rFonts w:cs="Arial"/>
        </w:rPr>
        <w:t>’</w:t>
      </w:r>
      <w:r w:rsidR="00435CC9">
        <w:rPr>
          <w:rFonts w:cs="Arial"/>
        </w:rPr>
        <w:t>)</w:t>
      </w:r>
      <w:r w:rsidR="00147052">
        <w:rPr>
          <w:rFonts w:cs="Arial"/>
        </w:rPr>
        <w:t>,</w:t>
      </w:r>
      <w:r w:rsidR="00435CC9">
        <w:rPr>
          <w:rFonts w:cs="Arial"/>
        </w:rPr>
        <w:t xml:space="preserve"> they have a right to procedural fairness in terms of the Constitution, </w:t>
      </w:r>
      <w:r w:rsidR="008E489B">
        <w:rPr>
          <w:rFonts w:cs="Arial"/>
        </w:rPr>
        <w:t xml:space="preserve">and that right </w:t>
      </w:r>
      <w:r w:rsidR="00435CC9">
        <w:rPr>
          <w:rFonts w:cs="Arial"/>
        </w:rPr>
        <w:t>entitle</w:t>
      </w:r>
      <w:r w:rsidR="008E489B">
        <w:rPr>
          <w:rFonts w:cs="Arial"/>
        </w:rPr>
        <w:t xml:space="preserve">s them to </w:t>
      </w:r>
      <w:r w:rsidR="00617727" w:rsidRPr="00617727">
        <w:rPr>
          <w:rFonts w:cs="Arial"/>
        </w:rPr>
        <w:t>individual</w:t>
      </w:r>
      <w:r w:rsidR="008E489B">
        <w:rPr>
          <w:rFonts w:cs="Arial"/>
        </w:rPr>
        <w:t xml:space="preserve"> service of </w:t>
      </w:r>
      <w:r w:rsidR="00435CC9">
        <w:rPr>
          <w:rFonts w:cs="Arial"/>
        </w:rPr>
        <w:t>the notices of termination of services</w:t>
      </w:r>
      <w:r w:rsidR="00A749DC">
        <w:rPr>
          <w:rFonts w:cs="Arial"/>
        </w:rPr>
        <w:t>, and seek an order that their rights be remedied, and their electricity restored while their rights are being remedied.</w:t>
      </w:r>
    </w:p>
    <w:p w14:paraId="03719CD6" w14:textId="77777777" w:rsidR="00435CC9" w:rsidRDefault="00435CC9" w:rsidP="001C7F5D">
      <w:pPr>
        <w:pStyle w:val="ListParagraph"/>
        <w:spacing w:line="360" w:lineRule="auto"/>
        <w:ind w:left="0"/>
        <w:rPr>
          <w:rFonts w:cs="Arial"/>
        </w:rPr>
      </w:pPr>
    </w:p>
    <w:p w14:paraId="01004C09" w14:textId="05985B16" w:rsidR="00435CC9" w:rsidRDefault="00023CCE" w:rsidP="00023CCE">
      <w:pPr>
        <w:spacing w:line="360" w:lineRule="auto"/>
        <w:jc w:val="both"/>
        <w:rPr>
          <w:rFonts w:cs="Arial"/>
        </w:rPr>
      </w:pPr>
      <w:r>
        <w:rPr>
          <w:rFonts w:cs="Arial"/>
        </w:rPr>
        <w:t>[3]</w:t>
      </w:r>
      <w:r>
        <w:rPr>
          <w:rFonts w:cs="Arial"/>
        </w:rPr>
        <w:tab/>
      </w:r>
      <w:r w:rsidR="00197E37">
        <w:rPr>
          <w:rFonts w:cs="Arial"/>
        </w:rPr>
        <w:t>The a</w:t>
      </w:r>
      <w:r w:rsidR="00435CC9">
        <w:rPr>
          <w:rFonts w:cs="Arial"/>
        </w:rPr>
        <w:t>pplicants seek</w:t>
      </w:r>
      <w:r w:rsidR="00C17A6E">
        <w:rPr>
          <w:rFonts w:cs="Arial"/>
        </w:rPr>
        <w:t xml:space="preserve"> an ancillary order</w:t>
      </w:r>
      <w:r w:rsidR="00435CC9">
        <w:rPr>
          <w:rFonts w:cs="Arial"/>
        </w:rPr>
        <w:t xml:space="preserve"> for condonation for the non-adherence to the Uniform Rules of Court and</w:t>
      </w:r>
      <w:r w:rsidR="00197E37">
        <w:rPr>
          <w:rFonts w:cs="Arial"/>
        </w:rPr>
        <w:t xml:space="preserve"> that</w:t>
      </w:r>
      <w:r w:rsidR="00435CC9">
        <w:rPr>
          <w:rFonts w:cs="Arial"/>
        </w:rPr>
        <w:t xml:space="preserve"> the matter be heard as urgent in terms of </w:t>
      </w:r>
      <w:r w:rsidR="00197E37">
        <w:rPr>
          <w:rFonts w:cs="Arial"/>
        </w:rPr>
        <w:t>Uniform r</w:t>
      </w:r>
      <w:r w:rsidR="00435CC9">
        <w:rPr>
          <w:rFonts w:cs="Arial"/>
        </w:rPr>
        <w:t xml:space="preserve">ule 6(12). </w:t>
      </w:r>
    </w:p>
    <w:p w14:paraId="69FF8CE8" w14:textId="44B28FE2" w:rsidR="00435CC9" w:rsidRPr="00435CC9" w:rsidRDefault="00435CC9" w:rsidP="001C7F5D">
      <w:pPr>
        <w:spacing w:line="360" w:lineRule="auto"/>
        <w:rPr>
          <w:rFonts w:cs="Arial"/>
          <w:b/>
          <w:bCs/>
          <w:caps/>
          <w:u w:val="single"/>
        </w:rPr>
      </w:pPr>
    </w:p>
    <w:p w14:paraId="1146B91B" w14:textId="1F223AEA" w:rsidR="00435CC9" w:rsidRPr="00A749DC" w:rsidRDefault="00197E37" w:rsidP="001C7F5D">
      <w:pPr>
        <w:spacing w:line="360" w:lineRule="auto"/>
        <w:rPr>
          <w:rFonts w:cs="Arial"/>
          <w:b/>
          <w:bCs/>
          <w:caps/>
        </w:rPr>
      </w:pPr>
      <w:r w:rsidRPr="00A749DC">
        <w:rPr>
          <w:rFonts w:cs="Arial"/>
          <w:b/>
          <w:bCs/>
        </w:rPr>
        <w:t>Factual Background</w:t>
      </w:r>
    </w:p>
    <w:p w14:paraId="5C7E07D6" w14:textId="07C0AC22" w:rsidR="00435CC9" w:rsidRDefault="00023CCE" w:rsidP="00023CCE">
      <w:pPr>
        <w:spacing w:line="360" w:lineRule="auto"/>
        <w:jc w:val="both"/>
        <w:rPr>
          <w:rFonts w:cs="Arial"/>
        </w:rPr>
      </w:pPr>
      <w:r>
        <w:rPr>
          <w:rFonts w:cs="Arial"/>
        </w:rPr>
        <w:t>[4]</w:t>
      </w:r>
      <w:r>
        <w:rPr>
          <w:rFonts w:cs="Arial"/>
        </w:rPr>
        <w:tab/>
      </w:r>
      <w:r w:rsidR="00435CC9">
        <w:rPr>
          <w:rFonts w:cs="Arial"/>
        </w:rPr>
        <w:t xml:space="preserve">The facts of this matter are </w:t>
      </w:r>
      <w:r w:rsidR="00003B97">
        <w:rPr>
          <w:rFonts w:cs="Arial"/>
        </w:rPr>
        <w:t xml:space="preserve">not </w:t>
      </w:r>
      <w:r w:rsidR="00435CC9">
        <w:rPr>
          <w:rFonts w:cs="Arial"/>
        </w:rPr>
        <w:t xml:space="preserve">complicated </w:t>
      </w:r>
      <w:r w:rsidR="00003B97">
        <w:rPr>
          <w:rFonts w:cs="Arial"/>
        </w:rPr>
        <w:t xml:space="preserve">and </w:t>
      </w:r>
      <w:r w:rsidR="00435CC9">
        <w:rPr>
          <w:rFonts w:cs="Arial"/>
        </w:rPr>
        <w:t>are largely common cause to the extent stated otherwise hereinbelow.</w:t>
      </w:r>
    </w:p>
    <w:p w14:paraId="7D7BBB94" w14:textId="77777777" w:rsidR="00435CC9" w:rsidRDefault="00435CC9" w:rsidP="001C7F5D">
      <w:pPr>
        <w:spacing w:line="360" w:lineRule="auto"/>
        <w:jc w:val="both"/>
        <w:rPr>
          <w:rFonts w:cs="Arial"/>
        </w:rPr>
      </w:pPr>
    </w:p>
    <w:p w14:paraId="35016285" w14:textId="5BA2987C" w:rsidR="00ED2D7B" w:rsidRDefault="00023CCE" w:rsidP="00023CCE">
      <w:pPr>
        <w:spacing w:line="360" w:lineRule="auto"/>
        <w:jc w:val="both"/>
        <w:rPr>
          <w:rFonts w:cs="Arial"/>
        </w:rPr>
      </w:pPr>
      <w:r>
        <w:rPr>
          <w:rFonts w:cs="Arial"/>
        </w:rPr>
        <w:t>[5]</w:t>
      </w:r>
      <w:r>
        <w:rPr>
          <w:rFonts w:cs="Arial"/>
        </w:rPr>
        <w:tab/>
      </w:r>
      <w:r w:rsidR="00435CC9">
        <w:rPr>
          <w:rFonts w:cs="Arial"/>
        </w:rPr>
        <w:t xml:space="preserve">The application papers were filed on or about 14 March 2023 and served on the </w:t>
      </w:r>
      <w:r w:rsidR="00197E37">
        <w:rPr>
          <w:rFonts w:cs="Arial"/>
        </w:rPr>
        <w:t>r</w:t>
      </w:r>
      <w:r w:rsidR="00435CC9">
        <w:rPr>
          <w:rFonts w:cs="Arial"/>
        </w:rPr>
        <w:t>espondent on or about 14 March 2023 at approximately 15:19. Th</w:t>
      </w:r>
      <w:r w:rsidR="00A749DC">
        <w:rPr>
          <w:rFonts w:cs="Arial"/>
        </w:rPr>
        <w:t>e</w:t>
      </w:r>
      <w:r w:rsidR="00435CC9">
        <w:rPr>
          <w:rFonts w:cs="Arial"/>
        </w:rPr>
        <w:t xml:space="preserve"> matter was then heard in </w:t>
      </w:r>
      <w:r w:rsidR="00197E37">
        <w:rPr>
          <w:rFonts w:cs="Arial"/>
        </w:rPr>
        <w:t>m</w:t>
      </w:r>
      <w:r w:rsidR="00435CC9">
        <w:rPr>
          <w:rFonts w:cs="Arial"/>
        </w:rPr>
        <w:t xml:space="preserve">otion </w:t>
      </w:r>
      <w:r w:rsidR="00197E37">
        <w:rPr>
          <w:rFonts w:cs="Arial"/>
        </w:rPr>
        <w:t>c</w:t>
      </w:r>
      <w:r w:rsidR="00435CC9">
        <w:rPr>
          <w:rFonts w:cs="Arial"/>
        </w:rPr>
        <w:t xml:space="preserve">ourt on 15 March 2023 where counsel for the </w:t>
      </w:r>
      <w:r w:rsidR="00197E37">
        <w:rPr>
          <w:rFonts w:cs="Arial"/>
        </w:rPr>
        <w:t>r</w:t>
      </w:r>
      <w:r w:rsidR="00435CC9">
        <w:rPr>
          <w:rFonts w:cs="Arial"/>
        </w:rPr>
        <w:t>espondent sought to have the matter struck from the roll in light of the very short service and on the basis that a similar matter</w:t>
      </w:r>
      <w:r w:rsidR="00A749DC">
        <w:rPr>
          <w:rFonts w:cs="Arial"/>
        </w:rPr>
        <w:t>, between the parties</w:t>
      </w:r>
      <w:r w:rsidR="00435CC9">
        <w:rPr>
          <w:rFonts w:cs="Arial"/>
        </w:rPr>
        <w:t xml:space="preserve"> </w:t>
      </w:r>
      <w:r w:rsidR="00A749DC">
        <w:rPr>
          <w:rFonts w:cs="Arial"/>
        </w:rPr>
        <w:t xml:space="preserve">and </w:t>
      </w:r>
      <w:r w:rsidR="00435CC9">
        <w:rPr>
          <w:rFonts w:cs="Arial"/>
        </w:rPr>
        <w:t>concerning the property</w:t>
      </w:r>
      <w:r w:rsidR="00A749DC">
        <w:rPr>
          <w:rFonts w:cs="Arial"/>
        </w:rPr>
        <w:t>,</w:t>
      </w:r>
      <w:r w:rsidR="00435CC9">
        <w:rPr>
          <w:rFonts w:cs="Arial"/>
        </w:rPr>
        <w:t xml:space="preserve"> was removed from the roll less than two weeks prior. </w:t>
      </w:r>
    </w:p>
    <w:p w14:paraId="112D6A8D" w14:textId="77777777" w:rsidR="00ED2D7B" w:rsidRDefault="00ED2D7B" w:rsidP="001C7F5D">
      <w:pPr>
        <w:pStyle w:val="ListParagraph"/>
        <w:spacing w:line="360" w:lineRule="auto"/>
        <w:ind w:left="0"/>
        <w:rPr>
          <w:rFonts w:cs="Arial"/>
        </w:rPr>
      </w:pPr>
    </w:p>
    <w:p w14:paraId="1F17FA39" w14:textId="393C5C02" w:rsidR="00435CC9" w:rsidRDefault="00023CCE" w:rsidP="00023CCE">
      <w:pPr>
        <w:spacing w:line="360" w:lineRule="auto"/>
        <w:jc w:val="both"/>
        <w:rPr>
          <w:rFonts w:cs="Arial"/>
        </w:rPr>
      </w:pPr>
      <w:r>
        <w:rPr>
          <w:rFonts w:cs="Arial"/>
        </w:rPr>
        <w:t>[6]</w:t>
      </w:r>
      <w:r>
        <w:rPr>
          <w:rFonts w:cs="Arial"/>
        </w:rPr>
        <w:tab/>
      </w:r>
      <w:r w:rsidR="00435CC9">
        <w:rPr>
          <w:rFonts w:cs="Arial"/>
        </w:rPr>
        <w:t>I</w:t>
      </w:r>
      <w:r w:rsidR="00ED2D7B">
        <w:rPr>
          <w:rFonts w:cs="Arial"/>
        </w:rPr>
        <w:t xml:space="preserve"> </w:t>
      </w:r>
      <w:r w:rsidR="00435CC9">
        <w:rPr>
          <w:rFonts w:cs="Arial"/>
        </w:rPr>
        <w:t xml:space="preserve">ordered the matter be adjourned to 17 March 2023 to allow the </w:t>
      </w:r>
      <w:r w:rsidR="00197E37">
        <w:rPr>
          <w:rFonts w:cs="Arial"/>
        </w:rPr>
        <w:t>r</w:t>
      </w:r>
      <w:r w:rsidR="00435CC9">
        <w:rPr>
          <w:rFonts w:cs="Arial"/>
        </w:rPr>
        <w:t>espondent to deliver an answering affidavit.</w:t>
      </w:r>
    </w:p>
    <w:p w14:paraId="75E730D9" w14:textId="77777777" w:rsidR="00435CC9" w:rsidRDefault="00435CC9" w:rsidP="001C7F5D">
      <w:pPr>
        <w:pStyle w:val="ListParagraph"/>
        <w:spacing w:line="360" w:lineRule="auto"/>
        <w:ind w:left="0"/>
        <w:rPr>
          <w:rFonts w:cs="Arial"/>
        </w:rPr>
      </w:pPr>
    </w:p>
    <w:p w14:paraId="7265ED21" w14:textId="126EA1A8" w:rsidR="00435CC9" w:rsidRDefault="00023CCE" w:rsidP="00023CCE">
      <w:pPr>
        <w:spacing w:line="360" w:lineRule="auto"/>
        <w:jc w:val="both"/>
        <w:rPr>
          <w:rFonts w:cs="Arial"/>
        </w:rPr>
      </w:pPr>
      <w:r>
        <w:rPr>
          <w:rFonts w:cs="Arial"/>
        </w:rPr>
        <w:t>[7]</w:t>
      </w:r>
      <w:r>
        <w:rPr>
          <w:rFonts w:cs="Arial"/>
        </w:rPr>
        <w:tab/>
      </w:r>
      <w:r w:rsidR="00C17A6E">
        <w:rPr>
          <w:rFonts w:cs="Arial"/>
        </w:rPr>
        <w:t xml:space="preserve">On the day of the hearing, considering my order above, </w:t>
      </w:r>
      <w:r w:rsidR="00435CC9">
        <w:rPr>
          <w:rFonts w:cs="Arial"/>
        </w:rPr>
        <w:t xml:space="preserve">I was advised </w:t>
      </w:r>
      <w:r w:rsidR="00011F9F">
        <w:rPr>
          <w:rFonts w:cs="Arial"/>
        </w:rPr>
        <w:t xml:space="preserve">by Ms </w:t>
      </w:r>
      <w:r w:rsidR="00011F9F" w:rsidRPr="00A749DC">
        <w:rPr>
          <w:rFonts w:cs="Arial"/>
          <w:i/>
        </w:rPr>
        <w:t>Lennard</w:t>
      </w:r>
      <w:r w:rsidR="00011F9F">
        <w:rPr>
          <w:rFonts w:cs="Arial"/>
        </w:rPr>
        <w:t xml:space="preserve"> </w:t>
      </w:r>
      <w:r w:rsidR="00700249">
        <w:rPr>
          <w:rFonts w:cs="Arial"/>
        </w:rPr>
        <w:t xml:space="preserve">that she and the </w:t>
      </w:r>
      <w:r w:rsidR="00197E37">
        <w:rPr>
          <w:rFonts w:cs="Arial"/>
        </w:rPr>
        <w:t>r</w:t>
      </w:r>
      <w:r w:rsidR="00700249">
        <w:rPr>
          <w:rFonts w:cs="Arial"/>
        </w:rPr>
        <w:t xml:space="preserve">espondent’s attorney had agreed that she </w:t>
      </w:r>
      <w:r w:rsidR="00700249">
        <w:rPr>
          <w:rFonts w:cs="Arial"/>
        </w:rPr>
        <w:lastRenderedPageBreak/>
        <w:t xml:space="preserve">would </w:t>
      </w:r>
      <w:r w:rsidR="007F563E">
        <w:rPr>
          <w:rFonts w:cs="Arial"/>
        </w:rPr>
        <w:t xml:space="preserve">be given an </w:t>
      </w:r>
      <w:r w:rsidR="00700249">
        <w:rPr>
          <w:rFonts w:cs="Arial"/>
        </w:rPr>
        <w:t>answering affidavit o</w:t>
      </w:r>
      <w:r w:rsidR="007F563E">
        <w:rPr>
          <w:rFonts w:cs="Arial"/>
        </w:rPr>
        <w:t>n</w:t>
      </w:r>
      <w:r w:rsidR="00700249">
        <w:rPr>
          <w:rFonts w:cs="Arial"/>
        </w:rPr>
        <w:t xml:space="preserve"> 16 March 2023 no later than 16:00</w:t>
      </w:r>
      <w:r w:rsidR="00C17A6E">
        <w:rPr>
          <w:rFonts w:cs="Arial"/>
        </w:rPr>
        <w:t xml:space="preserve">; however, </w:t>
      </w:r>
      <w:r w:rsidR="00700249">
        <w:rPr>
          <w:rFonts w:cs="Arial"/>
        </w:rPr>
        <w:t xml:space="preserve">she only received the answering affidavit the morning of </w:t>
      </w:r>
      <w:r w:rsidR="007F563E">
        <w:rPr>
          <w:rFonts w:cs="Arial"/>
        </w:rPr>
        <w:t xml:space="preserve">17 March 2023, being the date the matter was </w:t>
      </w:r>
      <w:r w:rsidR="00197E37">
        <w:rPr>
          <w:rFonts w:cs="Arial"/>
        </w:rPr>
        <w:t xml:space="preserve">to be </w:t>
      </w:r>
      <w:r w:rsidR="007F563E">
        <w:rPr>
          <w:rFonts w:cs="Arial"/>
        </w:rPr>
        <w:t xml:space="preserve">heard; accordingly, she was unable </w:t>
      </w:r>
      <w:r w:rsidR="00700249">
        <w:rPr>
          <w:rFonts w:cs="Arial"/>
        </w:rPr>
        <w:t xml:space="preserve">to </w:t>
      </w:r>
      <w:r w:rsidR="00ED2D7B">
        <w:rPr>
          <w:rFonts w:cs="Arial"/>
        </w:rPr>
        <w:t xml:space="preserve">file </w:t>
      </w:r>
      <w:r w:rsidR="00700249">
        <w:rPr>
          <w:rFonts w:cs="Arial"/>
        </w:rPr>
        <w:t>a replying affidavit.</w:t>
      </w:r>
    </w:p>
    <w:p w14:paraId="19B94BE4" w14:textId="77777777" w:rsidR="00700249" w:rsidRDefault="00700249" w:rsidP="001C7F5D">
      <w:pPr>
        <w:pStyle w:val="ListParagraph"/>
        <w:spacing w:line="360" w:lineRule="auto"/>
        <w:ind w:left="0"/>
        <w:rPr>
          <w:rFonts w:cs="Arial"/>
        </w:rPr>
      </w:pPr>
    </w:p>
    <w:p w14:paraId="444A3FEF" w14:textId="71778D24" w:rsidR="004F11D9" w:rsidRPr="007F563E" w:rsidRDefault="00023CCE" w:rsidP="00023CCE">
      <w:pPr>
        <w:spacing w:line="360" w:lineRule="auto"/>
        <w:jc w:val="both"/>
        <w:rPr>
          <w:rFonts w:cs="Arial"/>
        </w:rPr>
      </w:pPr>
      <w:r w:rsidRPr="007F563E">
        <w:rPr>
          <w:rFonts w:cs="Arial"/>
        </w:rPr>
        <w:t>[8]</w:t>
      </w:r>
      <w:r w:rsidRPr="007F563E">
        <w:rPr>
          <w:rFonts w:cs="Arial"/>
        </w:rPr>
        <w:tab/>
      </w:r>
      <w:r w:rsidR="00700249">
        <w:rPr>
          <w:rFonts w:cs="Arial"/>
        </w:rPr>
        <w:t xml:space="preserve">The genesis of this matter </w:t>
      </w:r>
      <w:r w:rsidR="00003B97">
        <w:rPr>
          <w:rFonts w:cs="Arial"/>
        </w:rPr>
        <w:t>is</w:t>
      </w:r>
      <w:r w:rsidR="007F563E">
        <w:rPr>
          <w:rFonts w:cs="Arial"/>
        </w:rPr>
        <w:t xml:space="preserve"> a notice of ‘disconnection of services’ (relating to the electricity)</w:t>
      </w:r>
      <w:r w:rsidR="00003B97">
        <w:rPr>
          <w:rFonts w:cs="Arial"/>
        </w:rPr>
        <w:t xml:space="preserve"> which the respondent attached</w:t>
      </w:r>
      <w:r w:rsidR="007F563E">
        <w:rPr>
          <w:rFonts w:cs="Arial"/>
        </w:rPr>
        <w:t xml:space="preserve"> to the property on </w:t>
      </w:r>
      <w:r w:rsidR="00700249">
        <w:rPr>
          <w:rFonts w:cs="Arial"/>
        </w:rPr>
        <w:t>7 February 2023</w:t>
      </w:r>
      <w:r w:rsidR="00A52FD1">
        <w:rPr>
          <w:rFonts w:cs="Arial"/>
        </w:rPr>
        <w:t xml:space="preserve"> (</w:t>
      </w:r>
      <w:r w:rsidR="009773D4">
        <w:rPr>
          <w:rFonts w:cs="Arial"/>
        </w:rPr>
        <w:t>‘</w:t>
      </w:r>
      <w:r w:rsidR="00A52FD1">
        <w:rPr>
          <w:rFonts w:cs="Arial"/>
        </w:rPr>
        <w:t>the notice</w:t>
      </w:r>
      <w:r w:rsidR="009773D4">
        <w:rPr>
          <w:rFonts w:cs="Arial"/>
        </w:rPr>
        <w:t>’</w:t>
      </w:r>
      <w:r w:rsidR="00A52FD1">
        <w:rPr>
          <w:rFonts w:cs="Arial"/>
        </w:rPr>
        <w:t>)</w:t>
      </w:r>
      <w:r w:rsidR="004F11D9">
        <w:rPr>
          <w:rFonts w:cs="Arial"/>
        </w:rPr>
        <w:t xml:space="preserve">. </w:t>
      </w:r>
      <w:r w:rsidR="004F11D9" w:rsidRPr="007F563E">
        <w:rPr>
          <w:rFonts w:cs="Arial"/>
        </w:rPr>
        <w:t xml:space="preserve">The notice is addressed to Ms S Moodley of 4 Sai Raj Villa, 72 Villa Avenue, </w:t>
      </w:r>
      <w:proofErr w:type="spellStart"/>
      <w:r w:rsidR="004F11D9" w:rsidRPr="007F563E">
        <w:rPr>
          <w:rFonts w:cs="Arial"/>
        </w:rPr>
        <w:t>Umhlatuzana</w:t>
      </w:r>
      <w:proofErr w:type="spellEnd"/>
      <w:r w:rsidR="007F563E">
        <w:rPr>
          <w:rFonts w:cs="Arial"/>
        </w:rPr>
        <w:t>,</w:t>
      </w:r>
      <w:r w:rsidR="004F11D9" w:rsidRPr="007F563E">
        <w:rPr>
          <w:rFonts w:cs="Arial"/>
        </w:rPr>
        <w:t xml:space="preserve"> from a manager in the credit control department</w:t>
      </w:r>
      <w:r w:rsidR="00C17A6E">
        <w:rPr>
          <w:rFonts w:cs="Arial"/>
        </w:rPr>
        <w:t xml:space="preserve"> of </w:t>
      </w:r>
      <w:r w:rsidR="009773D4">
        <w:rPr>
          <w:rFonts w:cs="Arial"/>
        </w:rPr>
        <w:t>r</w:t>
      </w:r>
      <w:r w:rsidR="00C17A6E">
        <w:rPr>
          <w:rFonts w:cs="Arial"/>
        </w:rPr>
        <w:t>espondent,</w:t>
      </w:r>
      <w:r w:rsidR="004F11D9" w:rsidRPr="007F563E">
        <w:rPr>
          <w:rFonts w:cs="Arial"/>
        </w:rPr>
        <w:t xml:space="preserve"> advising her that the electricity </w:t>
      </w:r>
      <w:r w:rsidR="007F563E">
        <w:rPr>
          <w:rFonts w:cs="Arial"/>
        </w:rPr>
        <w:t xml:space="preserve">to the property </w:t>
      </w:r>
      <w:r w:rsidR="004F11D9" w:rsidRPr="007F563E">
        <w:rPr>
          <w:rFonts w:cs="Arial"/>
        </w:rPr>
        <w:t>is scheduled to be disconnected on or about 21 February 2023 at approximately 10:00 in consequence of arrears</w:t>
      </w:r>
      <w:r w:rsidR="00A749DC">
        <w:rPr>
          <w:rFonts w:cs="Arial"/>
        </w:rPr>
        <w:t xml:space="preserve"> owing to respondent,</w:t>
      </w:r>
      <w:r w:rsidR="004F11D9" w:rsidRPr="007F563E">
        <w:rPr>
          <w:rFonts w:cs="Arial"/>
        </w:rPr>
        <w:t xml:space="preserve"> amounting to</w:t>
      </w:r>
      <w:r w:rsidR="009773D4">
        <w:rPr>
          <w:rFonts w:cs="Arial"/>
        </w:rPr>
        <w:t xml:space="preserve"> </w:t>
      </w:r>
      <w:r w:rsidR="00617727">
        <w:rPr>
          <w:rFonts w:cs="Arial"/>
        </w:rPr>
        <w:t xml:space="preserve">                     </w:t>
      </w:r>
      <w:r w:rsidR="00A749DC" w:rsidRPr="007F563E">
        <w:rPr>
          <w:rFonts w:cs="Arial"/>
        </w:rPr>
        <w:t>R</w:t>
      </w:r>
      <w:r w:rsidR="00A749DC">
        <w:rPr>
          <w:rFonts w:cs="Arial"/>
        </w:rPr>
        <w:t xml:space="preserve"> 7</w:t>
      </w:r>
      <w:r w:rsidR="00ED2D7B">
        <w:rPr>
          <w:rFonts w:cs="Arial"/>
        </w:rPr>
        <w:t> </w:t>
      </w:r>
      <w:r w:rsidR="004F11D9" w:rsidRPr="007F563E">
        <w:rPr>
          <w:rFonts w:cs="Arial"/>
        </w:rPr>
        <w:t>767</w:t>
      </w:r>
      <w:r w:rsidR="00ED2D7B">
        <w:rPr>
          <w:rFonts w:cs="Arial"/>
        </w:rPr>
        <w:t xml:space="preserve"> </w:t>
      </w:r>
      <w:r w:rsidR="004F11D9" w:rsidRPr="007F563E">
        <w:rPr>
          <w:rFonts w:cs="Arial"/>
        </w:rPr>
        <w:t>138.83.</w:t>
      </w:r>
      <w:r w:rsidR="004F11D9">
        <w:rPr>
          <w:rStyle w:val="FootnoteReference"/>
          <w:rFonts w:cs="Arial"/>
        </w:rPr>
        <w:footnoteReference w:id="3"/>
      </w:r>
    </w:p>
    <w:p w14:paraId="7D965609" w14:textId="77777777" w:rsidR="00700249" w:rsidRDefault="00700249" w:rsidP="001C7F5D">
      <w:pPr>
        <w:pStyle w:val="ListParagraph"/>
        <w:spacing w:line="360" w:lineRule="auto"/>
        <w:ind w:left="0"/>
        <w:rPr>
          <w:rFonts w:cs="Arial"/>
        </w:rPr>
      </w:pPr>
    </w:p>
    <w:p w14:paraId="75ACB485" w14:textId="59B0DF68" w:rsidR="00700249" w:rsidRDefault="00023CCE" w:rsidP="00023CCE">
      <w:pPr>
        <w:spacing w:line="360" w:lineRule="auto"/>
        <w:jc w:val="both"/>
        <w:rPr>
          <w:rFonts w:cs="Arial"/>
        </w:rPr>
      </w:pPr>
      <w:r>
        <w:rPr>
          <w:rFonts w:cs="Arial"/>
        </w:rPr>
        <w:t>[9]</w:t>
      </w:r>
      <w:r>
        <w:rPr>
          <w:rFonts w:cs="Arial"/>
        </w:rPr>
        <w:tab/>
      </w:r>
      <w:r w:rsidR="00617727">
        <w:rPr>
          <w:rFonts w:cs="Arial"/>
        </w:rPr>
        <w:t>Considering</w:t>
      </w:r>
      <w:r w:rsidR="004F11D9">
        <w:rPr>
          <w:rFonts w:cs="Arial"/>
        </w:rPr>
        <w:t xml:space="preserve"> the notice and Ms Moodley’s failure to settle the debt, the electricity services were duly disconnected on 21 February 2023.</w:t>
      </w:r>
    </w:p>
    <w:p w14:paraId="14403E50" w14:textId="77777777" w:rsidR="004F11D9" w:rsidRDefault="004F11D9" w:rsidP="001C7F5D">
      <w:pPr>
        <w:pStyle w:val="ListParagraph"/>
        <w:spacing w:line="360" w:lineRule="auto"/>
        <w:ind w:left="0"/>
        <w:rPr>
          <w:rFonts w:cs="Arial"/>
        </w:rPr>
      </w:pPr>
    </w:p>
    <w:p w14:paraId="0D0BAEDE" w14:textId="0C1340FD" w:rsidR="004F11D9" w:rsidRDefault="00023CCE" w:rsidP="00023CCE">
      <w:pPr>
        <w:spacing w:line="360" w:lineRule="auto"/>
        <w:jc w:val="both"/>
        <w:rPr>
          <w:rFonts w:cs="Arial"/>
        </w:rPr>
      </w:pPr>
      <w:r>
        <w:rPr>
          <w:rFonts w:cs="Arial"/>
        </w:rPr>
        <w:t>[10]</w:t>
      </w:r>
      <w:r>
        <w:rPr>
          <w:rFonts w:cs="Arial"/>
        </w:rPr>
        <w:tab/>
      </w:r>
      <w:r w:rsidR="004F11D9">
        <w:rPr>
          <w:rFonts w:cs="Arial"/>
        </w:rPr>
        <w:t>On</w:t>
      </w:r>
      <w:r w:rsidR="0039691A">
        <w:rPr>
          <w:rFonts w:cs="Arial"/>
        </w:rPr>
        <w:t xml:space="preserve"> </w:t>
      </w:r>
      <w:r w:rsidR="004F11D9">
        <w:rPr>
          <w:rFonts w:cs="Arial"/>
        </w:rPr>
        <w:t>3 March 2023</w:t>
      </w:r>
      <w:r w:rsidR="0039691A">
        <w:rPr>
          <w:rFonts w:cs="Arial"/>
        </w:rPr>
        <w:t>,</w:t>
      </w:r>
      <w:r w:rsidR="004F11D9">
        <w:rPr>
          <w:rFonts w:cs="Arial"/>
        </w:rPr>
        <w:t xml:space="preserve"> under </w:t>
      </w:r>
      <w:r w:rsidR="008F4299">
        <w:rPr>
          <w:rFonts w:cs="Arial"/>
        </w:rPr>
        <w:t>c</w:t>
      </w:r>
      <w:r w:rsidR="004F11D9">
        <w:rPr>
          <w:rFonts w:cs="Arial"/>
        </w:rPr>
        <w:t xml:space="preserve">ase </w:t>
      </w:r>
      <w:r w:rsidR="008F4299">
        <w:rPr>
          <w:rFonts w:cs="Arial"/>
        </w:rPr>
        <w:t>n</w:t>
      </w:r>
      <w:r w:rsidR="004F11D9">
        <w:rPr>
          <w:rFonts w:cs="Arial"/>
        </w:rPr>
        <w:t>o. D2206/2023</w:t>
      </w:r>
      <w:r w:rsidR="004F11D9">
        <w:rPr>
          <w:rStyle w:val="FootnoteReference"/>
          <w:rFonts w:cs="Arial"/>
        </w:rPr>
        <w:footnoteReference w:id="4"/>
      </w:r>
      <w:r w:rsidR="0039691A">
        <w:rPr>
          <w:rFonts w:cs="Arial"/>
        </w:rPr>
        <w:t xml:space="preserve"> </w:t>
      </w:r>
      <w:r w:rsidR="00A07883">
        <w:rPr>
          <w:rFonts w:cs="Arial"/>
        </w:rPr>
        <w:t xml:space="preserve">in the KwaZulu-Natal High Court, </w:t>
      </w:r>
      <w:r w:rsidR="004F11D9">
        <w:rPr>
          <w:rFonts w:cs="Arial"/>
        </w:rPr>
        <w:t xml:space="preserve">Durban, </w:t>
      </w:r>
      <w:r w:rsidR="00783BF6">
        <w:rPr>
          <w:rFonts w:cs="Arial"/>
        </w:rPr>
        <w:t>Ms Moodley</w:t>
      </w:r>
      <w:r w:rsidR="004F11D9">
        <w:rPr>
          <w:rFonts w:cs="Arial"/>
        </w:rPr>
        <w:t xml:space="preserve"> brought an urgent application on less than one day’s notice seeking an order that the electricity be restored</w:t>
      </w:r>
      <w:r w:rsidR="00617727">
        <w:rPr>
          <w:rFonts w:cs="Arial"/>
        </w:rPr>
        <w:t>, pending further representations with the respondent</w:t>
      </w:r>
      <w:r w:rsidR="004F11D9">
        <w:rPr>
          <w:rFonts w:cs="Arial"/>
        </w:rPr>
        <w:t xml:space="preserve">. </w:t>
      </w:r>
    </w:p>
    <w:p w14:paraId="3C3D628C" w14:textId="77777777" w:rsidR="004F11D9" w:rsidRDefault="004F11D9" w:rsidP="001C7F5D">
      <w:pPr>
        <w:pStyle w:val="ListParagraph"/>
        <w:spacing w:line="360" w:lineRule="auto"/>
        <w:ind w:left="0"/>
        <w:rPr>
          <w:rFonts w:cs="Arial"/>
        </w:rPr>
      </w:pPr>
    </w:p>
    <w:p w14:paraId="109273F9" w14:textId="06F8A65F" w:rsidR="00ED2D7B" w:rsidRDefault="00023CCE" w:rsidP="00023CCE">
      <w:pPr>
        <w:spacing w:line="360" w:lineRule="auto"/>
        <w:jc w:val="both"/>
        <w:rPr>
          <w:rFonts w:cs="Arial"/>
        </w:rPr>
      </w:pPr>
      <w:r>
        <w:rPr>
          <w:rFonts w:cs="Arial"/>
        </w:rPr>
        <w:t>[11]</w:t>
      </w:r>
      <w:r>
        <w:rPr>
          <w:rFonts w:cs="Arial"/>
        </w:rPr>
        <w:tab/>
      </w:r>
      <w:r w:rsidR="0039691A">
        <w:rPr>
          <w:rFonts w:cs="Arial"/>
        </w:rPr>
        <w:t xml:space="preserve">The </w:t>
      </w:r>
      <w:r w:rsidR="008F4299">
        <w:rPr>
          <w:rFonts w:cs="Arial"/>
        </w:rPr>
        <w:t xml:space="preserve">above </w:t>
      </w:r>
      <w:r w:rsidR="0039691A">
        <w:rPr>
          <w:rFonts w:cs="Arial"/>
        </w:rPr>
        <w:t xml:space="preserve">matter was heard before me where </w:t>
      </w:r>
      <w:r w:rsidR="00A07883">
        <w:rPr>
          <w:rFonts w:cs="Arial"/>
        </w:rPr>
        <w:t>c</w:t>
      </w:r>
      <w:r w:rsidR="004F11D9">
        <w:rPr>
          <w:rFonts w:cs="Arial"/>
        </w:rPr>
        <w:t xml:space="preserve">ounsel for the </w:t>
      </w:r>
      <w:r w:rsidR="00A07883">
        <w:rPr>
          <w:rFonts w:cs="Arial"/>
        </w:rPr>
        <w:t xml:space="preserve">respondent </w:t>
      </w:r>
      <w:r w:rsidR="004F11D9">
        <w:rPr>
          <w:rFonts w:cs="Arial"/>
        </w:rPr>
        <w:t>argued</w:t>
      </w:r>
      <w:r w:rsidR="00783BF6">
        <w:rPr>
          <w:rFonts w:cs="Arial"/>
        </w:rPr>
        <w:t xml:space="preserve"> </w:t>
      </w:r>
      <w:r w:rsidR="004F11D9">
        <w:rPr>
          <w:rFonts w:cs="Arial"/>
        </w:rPr>
        <w:t>that the papers fail</w:t>
      </w:r>
      <w:r w:rsidR="00E30A64">
        <w:rPr>
          <w:rFonts w:cs="Arial"/>
        </w:rPr>
        <w:t>ed</w:t>
      </w:r>
      <w:r w:rsidR="004F11D9">
        <w:rPr>
          <w:rFonts w:cs="Arial"/>
        </w:rPr>
        <w:t xml:space="preserve"> to make out a case for an interim order</w:t>
      </w:r>
      <w:r w:rsidR="00A07883">
        <w:rPr>
          <w:rFonts w:cs="Arial"/>
        </w:rPr>
        <w:t>,</w:t>
      </w:r>
      <w:r w:rsidR="004F11D9">
        <w:rPr>
          <w:rFonts w:cs="Arial"/>
        </w:rPr>
        <w:t xml:space="preserve"> because</w:t>
      </w:r>
      <w:r w:rsidR="0039691A">
        <w:rPr>
          <w:rFonts w:cs="Arial"/>
        </w:rPr>
        <w:t xml:space="preserve"> </w:t>
      </w:r>
      <w:r w:rsidR="0039691A" w:rsidRPr="0039691A">
        <w:rPr>
          <w:rFonts w:cs="Arial"/>
          <w:i/>
          <w:iCs/>
        </w:rPr>
        <w:t>inter alia</w:t>
      </w:r>
      <w:r w:rsidR="0039691A">
        <w:rPr>
          <w:rFonts w:cs="Arial"/>
        </w:rPr>
        <w:t xml:space="preserve"> they</w:t>
      </w:r>
      <w:r w:rsidR="004F11D9">
        <w:rPr>
          <w:rFonts w:cs="Arial"/>
        </w:rPr>
        <w:t xml:space="preserve"> fail</w:t>
      </w:r>
      <w:r w:rsidR="00E30A64">
        <w:rPr>
          <w:rFonts w:cs="Arial"/>
        </w:rPr>
        <w:t>ed</w:t>
      </w:r>
      <w:r w:rsidR="004F11D9">
        <w:rPr>
          <w:rFonts w:cs="Arial"/>
        </w:rPr>
        <w:t xml:space="preserve"> to demonstrate</w:t>
      </w:r>
      <w:r w:rsidR="00617727">
        <w:rPr>
          <w:rFonts w:cs="Arial"/>
        </w:rPr>
        <w:t xml:space="preserve"> a</w:t>
      </w:r>
      <w:r w:rsidR="004F11D9">
        <w:rPr>
          <w:rFonts w:cs="Arial"/>
        </w:rPr>
        <w:t xml:space="preserve"> </w:t>
      </w:r>
      <w:r w:rsidR="00A749DC" w:rsidRPr="00A749DC">
        <w:rPr>
          <w:rFonts w:cs="Arial"/>
          <w:i/>
          <w:iCs/>
        </w:rPr>
        <w:t>prima facie</w:t>
      </w:r>
      <w:r w:rsidR="004F11D9">
        <w:rPr>
          <w:rFonts w:cs="Arial"/>
          <w:i/>
          <w:iCs/>
        </w:rPr>
        <w:t xml:space="preserve"> </w:t>
      </w:r>
      <w:r w:rsidR="004F11D9">
        <w:rPr>
          <w:rFonts w:cs="Arial"/>
        </w:rPr>
        <w:t>right</w:t>
      </w:r>
      <w:r w:rsidR="0039691A">
        <w:rPr>
          <w:rFonts w:cs="Arial"/>
        </w:rPr>
        <w:t xml:space="preserve"> to </w:t>
      </w:r>
      <w:r w:rsidR="00783BF6">
        <w:rPr>
          <w:rFonts w:cs="Arial"/>
        </w:rPr>
        <w:t>t</w:t>
      </w:r>
      <w:r w:rsidR="0039691A">
        <w:rPr>
          <w:rFonts w:cs="Arial"/>
        </w:rPr>
        <w:t>he interdict</w:t>
      </w:r>
      <w:r w:rsidR="004F11D9">
        <w:rPr>
          <w:rFonts w:cs="Arial"/>
        </w:rPr>
        <w:t xml:space="preserve"> in light of the arrears</w:t>
      </w:r>
      <w:r w:rsidR="0039691A">
        <w:rPr>
          <w:rFonts w:cs="Arial"/>
        </w:rPr>
        <w:t>,</w:t>
      </w:r>
      <w:r w:rsidR="004F11D9">
        <w:rPr>
          <w:rFonts w:cs="Arial"/>
        </w:rPr>
        <w:t xml:space="preserve"> and the failure by the </w:t>
      </w:r>
      <w:r w:rsidR="00A07883">
        <w:rPr>
          <w:rFonts w:cs="Arial"/>
        </w:rPr>
        <w:t>a</w:t>
      </w:r>
      <w:r w:rsidR="004F11D9">
        <w:rPr>
          <w:rFonts w:cs="Arial"/>
        </w:rPr>
        <w:t xml:space="preserve">pplicant to adhere to a previous credit agreement. </w:t>
      </w:r>
    </w:p>
    <w:p w14:paraId="5D77DEB6" w14:textId="77777777" w:rsidR="00ED2D7B" w:rsidRDefault="00ED2D7B" w:rsidP="001C7F5D">
      <w:pPr>
        <w:pStyle w:val="ListParagraph"/>
        <w:spacing w:line="360" w:lineRule="auto"/>
        <w:ind w:left="0"/>
        <w:rPr>
          <w:rFonts w:cs="Arial"/>
        </w:rPr>
      </w:pPr>
    </w:p>
    <w:p w14:paraId="0D602378" w14:textId="574B834B" w:rsidR="004F11D9" w:rsidRDefault="00023CCE" w:rsidP="00023CCE">
      <w:pPr>
        <w:spacing w:line="360" w:lineRule="auto"/>
        <w:jc w:val="both"/>
        <w:rPr>
          <w:rFonts w:cs="Arial"/>
        </w:rPr>
      </w:pPr>
      <w:r>
        <w:rPr>
          <w:rFonts w:cs="Arial"/>
        </w:rPr>
        <w:t>[12]</w:t>
      </w:r>
      <w:r>
        <w:rPr>
          <w:rFonts w:cs="Arial"/>
        </w:rPr>
        <w:tab/>
      </w:r>
      <w:r w:rsidR="004F11D9">
        <w:rPr>
          <w:rFonts w:cs="Arial"/>
        </w:rPr>
        <w:t xml:space="preserve">Mr </w:t>
      </w:r>
      <w:proofErr w:type="spellStart"/>
      <w:r w:rsidR="004F11D9" w:rsidRPr="00A749DC">
        <w:rPr>
          <w:rFonts w:cs="Arial"/>
          <w:i/>
        </w:rPr>
        <w:t>Broster</w:t>
      </w:r>
      <w:proofErr w:type="spellEnd"/>
      <w:r w:rsidR="004F11D9">
        <w:rPr>
          <w:rFonts w:cs="Arial"/>
        </w:rPr>
        <w:t xml:space="preserve">, who appeared for the </w:t>
      </w:r>
      <w:r w:rsidR="00B629D5">
        <w:rPr>
          <w:rFonts w:cs="Arial"/>
        </w:rPr>
        <w:t>r</w:t>
      </w:r>
      <w:r w:rsidR="004F11D9">
        <w:rPr>
          <w:rFonts w:cs="Arial"/>
        </w:rPr>
        <w:t xml:space="preserve">espondent </w:t>
      </w:r>
      <w:r w:rsidR="008F4299">
        <w:rPr>
          <w:rFonts w:cs="Arial"/>
        </w:rPr>
        <w:t>in that matter</w:t>
      </w:r>
      <w:r w:rsidR="004E1450">
        <w:rPr>
          <w:rFonts w:cs="Arial"/>
        </w:rPr>
        <w:t>,</w:t>
      </w:r>
      <w:r w:rsidR="008F4299">
        <w:rPr>
          <w:rFonts w:cs="Arial"/>
        </w:rPr>
        <w:t xml:space="preserve"> </w:t>
      </w:r>
      <w:r w:rsidR="004F11D9">
        <w:rPr>
          <w:rFonts w:cs="Arial"/>
        </w:rPr>
        <w:t xml:space="preserve">sought an order that the matter be </w:t>
      </w:r>
      <w:r w:rsidR="0039691A">
        <w:rPr>
          <w:rFonts w:cs="Arial"/>
        </w:rPr>
        <w:t>dismissed,</w:t>
      </w:r>
      <w:r w:rsidR="004F11D9">
        <w:rPr>
          <w:rFonts w:cs="Arial"/>
        </w:rPr>
        <w:t xml:space="preserve"> and </w:t>
      </w:r>
      <w:r w:rsidR="00C67F8D">
        <w:rPr>
          <w:rFonts w:cs="Arial"/>
        </w:rPr>
        <w:t xml:space="preserve">that </w:t>
      </w:r>
      <w:r w:rsidR="004F11D9">
        <w:rPr>
          <w:rFonts w:cs="Arial"/>
        </w:rPr>
        <w:t xml:space="preserve">the </w:t>
      </w:r>
      <w:r w:rsidR="00B629D5">
        <w:rPr>
          <w:rFonts w:cs="Arial"/>
        </w:rPr>
        <w:t>a</w:t>
      </w:r>
      <w:r w:rsidR="004F11D9">
        <w:rPr>
          <w:rFonts w:cs="Arial"/>
        </w:rPr>
        <w:t>pplicant pay the costs on an attorney and client scale</w:t>
      </w:r>
      <w:r w:rsidR="00562EC3">
        <w:rPr>
          <w:rFonts w:cs="Arial"/>
        </w:rPr>
        <w:t xml:space="preserve"> as a result of both the very short service and </w:t>
      </w:r>
      <w:r w:rsidR="0039691A">
        <w:rPr>
          <w:rFonts w:cs="Arial"/>
        </w:rPr>
        <w:t xml:space="preserve">the papers </w:t>
      </w:r>
      <w:r w:rsidR="00B629D5">
        <w:rPr>
          <w:rFonts w:cs="Arial"/>
        </w:rPr>
        <w:t>failing to</w:t>
      </w:r>
      <w:r w:rsidR="0039691A">
        <w:rPr>
          <w:rFonts w:cs="Arial"/>
        </w:rPr>
        <w:t xml:space="preserve"> </w:t>
      </w:r>
      <w:r w:rsidR="00562EC3">
        <w:rPr>
          <w:rFonts w:cs="Arial"/>
        </w:rPr>
        <w:t>make out a case for the relief</w:t>
      </w:r>
      <w:r w:rsidR="0039691A">
        <w:rPr>
          <w:rFonts w:cs="Arial"/>
        </w:rPr>
        <w:t xml:space="preserve"> sought</w:t>
      </w:r>
      <w:r w:rsidR="00562EC3">
        <w:rPr>
          <w:rFonts w:cs="Arial"/>
        </w:rPr>
        <w:t>.</w:t>
      </w:r>
    </w:p>
    <w:p w14:paraId="3FDD1768" w14:textId="77777777" w:rsidR="00562EC3" w:rsidRDefault="00562EC3" w:rsidP="001C7F5D">
      <w:pPr>
        <w:pStyle w:val="ListParagraph"/>
        <w:spacing w:line="360" w:lineRule="auto"/>
        <w:ind w:left="0"/>
        <w:rPr>
          <w:rFonts w:cs="Arial"/>
        </w:rPr>
      </w:pPr>
    </w:p>
    <w:p w14:paraId="1903BFAD" w14:textId="1E30F59E" w:rsidR="00562EC3" w:rsidRDefault="00023CCE" w:rsidP="00023CCE">
      <w:pPr>
        <w:spacing w:line="360" w:lineRule="auto"/>
        <w:jc w:val="both"/>
        <w:rPr>
          <w:rFonts w:cs="Arial"/>
        </w:rPr>
      </w:pPr>
      <w:r>
        <w:rPr>
          <w:rFonts w:cs="Arial"/>
        </w:rPr>
        <w:t>[13]</w:t>
      </w:r>
      <w:r>
        <w:rPr>
          <w:rFonts w:cs="Arial"/>
        </w:rPr>
        <w:tab/>
      </w:r>
      <w:r w:rsidR="00022562">
        <w:rPr>
          <w:rFonts w:cs="Arial"/>
        </w:rPr>
        <w:t xml:space="preserve">I </w:t>
      </w:r>
      <w:r w:rsidR="0039691A">
        <w:rPr>
          <w:rFonts w:cs="Arial"/>
        </w:rPr>
        <w:t xml:space="preserve">ordered that </w:t>
      </w:r>
      <w:r w:rsidR="00022562">
        <w:rPr>
          <w:rFonts w:cs="Arial"/>
        </w:rPr>
        <w:t>the matter</w:t>
      </w:r>
      <w:r w:rsidR="00ED2D7B">
        <w:rPr>
          <w:rFonts w:cs="Arial"/>
        </w:rPr>
        <w:t xml:space="preserve"> be removed</w:t>
      </w:r>
      <w:r w:rsidR="00022562">
        <w:rPr>
          <w:rFonts w:cs="Arial"/>
        </w:rPr>
        <w:t xml:space="preserve"> from the roll and </w:t>
      </w:r>
      <w:r w:rsidR="00E30A64">
        <w:rPr>
          <w:rFonts w:cs="Arial"/>
        </w:rPr>
        <w:t xml:space="preserve">that </w:t>
      </w:r>
      <w:r w:rsidR="00022562">
        <w:rPr>
          <w:rFonts w:cs="Arial"/>
        </w:rPr>
        <w:t xml:space="preserve">the </w:t>
      </w:r>
      <w:r w:rsidR="008F4299">
        <w:rPr>
          <w:rFonts w:cs="Arial"/>
        </w:rPr>
        <w:t>a</w:t>
      </w:r>
      <w:r w:rsidR="00022562">
        <w:rPr>
          <w:rFonts w:cs="Arial"/>
        </w:rPr>
        <w:t>pplicant pay the wasted costs</w:t>
      </w:r>
      <w:r w:rsidR="0039691A">
        <w:rPr>
          <w:rFonts w:cs="Arial"/>
        </w:rPr>
        <w:t>,</w:t>
      </w:r>
      <w:r w:rsidR="00022562">
        <w:rPr>
          <w:rFonts w:cs="Arial"/>
        </w:rPr>
        <w:t xml:space="preserve"> and granted the </w:t>
      </w:r>
      <w:r w:rsidR="008F4299">
        <w:rPr>
          <w:rFonts w:cs="Arial"/>
        </w:rPr>
        <w:t>a</w:t>
      </w:r>
      <w:r w:rsidR="00022562">
        <w:rPr>
          <w:rFonts w:cs="Arial"/>
        </w:rPr>
        <w:t>pplicant leave to supplement its papers.</w:t>
      </w:r>
      <w:r w:rsidR="0039691A">
        <w:rPr>
          <w:rFonts w:cs="Arial"/>
        </w:rPr>
        <w:t xml:space="preserve"> It is unclear if that matter ha</w:t>
      </w:r>
      <w:r w:rsidR="008F4299">
        <w:rPr>
          <w:rFonts w:cs="Arial"/>
        </w:rPr>
        <w:t>s</w:t>
      </w:r>
      <w:r w:rsidR="0039691A">
        <w:rPr>
          <w:rFonts w:cs="Arial"/>
        </w:rPr>
        <w:t xml:space="preserve"> been re-enrolled. </w:t>
      </w:r>
    </w:p>
    <w:p w14:paraId="5DD3AE2B" w14:textId="77777777" w:rsidR="00022562" w:rsidRDefault="00022562" w:rsidP="001C7F5D">
      <w:pPr>
        <w:pStyle w:val="ListParagraph"/>
        <w:spacing w:line="360" w:lineRule="auto"/>
        <w:ind w:left="0"/>
        <w:rPr>
          <w:rFonts w:cs="Arial"/>
        </w:rPr>
      </w:pPr>
    </w:p>
    <w:p w14:paraId="060DE33F" w14:textId="047BD898" w:rsidR="00022562" w:rsidRDefault="00023CCE" w:rsidP="00023CCE">
      <w:pPr>
        <w:spacing w:line="360" w:lineRule="auto"/>
        <w:jc w:val="both"/>
        <w:rPr>
          <w:rFonts w:cs="Arial"/>
        </w:rPr>
      </w:pPr>
      <w:r>
        <w:rPr>
          <w:rFonts w:cs="Arial"/>
        </w:rPr>
        <w:t>[14]</w:t>
      </w:r>
      <w:r>
        <w:rPr>
          <w:rFonts w:cs="Arial"/>
        </w:rPr>
        <w:tab/>
      </w:r>
      <w:r w:rsidR="00022562">
        <w:rPr>
          <w:rFonts w:cs="Arial"/>
        </w:rPr>
        <w:t xml:space="preserve">In the present application, the </w:t>
      </w:r>
      <w:r w:rsidR="008F4299">
        <w:rPr>
          <w:rFonts w:cs="Arial"/>
        </w:rPr>
        <w:t>a</w:t>
      </w:r>
      <w:r w:rsidR="00022562">
        <w:rPr>
          <w:rFonts w:cs="Arial"/>
        </w:rPr>
        <w:t>pplicants aver that on or about 5 March 2023, it was brought to their attention by Ms Moodley that the application</w:t>
      </w:r>
      <w:r w:rsidR="008F4299">
        <w:rPr>
          <w:rFonts w:cs="Arial"/>
        </w:rPr>
        <w:t xml:space="preserve"> under case number D2206/2023</w:t>
      </w:r>
      <w:r w:rsidR="00022562">
        <w:rPr>
          <w:rFonts w:cs="Arial"/>
        </w:rPr>
        <w:t xml:space="preserve"> had been adjourned and as a result, the electricity </w:t>
      </w:r>
      <w:r w:rsidR="00E30A64">
        <w:rPr>
          <w:rFonts w:cs="Arial"/>
        </w:rPr>
        <w:t xml:space="preserve">would </w:t>
      </w:r>
      <w:r w:rsidR="00022562">
        <w:rPr>
          <w:rFonts w:cs="Arial"/>
        </w:rPr>
        <w:t xml:space="preserve">not be restored. </w:t>
      </w:r>
    </w:p>
    <w:p w14:paraId="1DA279B8" w14:textId="77777777" w:rsidR="00022562" w:rsidRDefault="00022562" w:rsidP="001C7F5D">
      <w:pPr>
        <w:pStyle w:val="ListParagraph"/>
        <w:spacing w:line="360" w:lineRule="auto"/>
        <w:ind w:left="0"/>
        <w:rPr>
          <w:rFonts w:cs="Arial"/>
        </w:rPr>
      </w:pPr>
    </w:p>
    <w:p w14:paraId="2B6D5D56" w14:textId="3424D7E9" w:rsidR="00022562" w:rsidRDefault="00023CCE" w:rsidP="00023CCE">
      <w:pPr>
        <w:spacing w:line="360" w:lineRule="auto"/>
        <w:jc w:val="both"/>
        <w:rPr>
          <w:rFonts w:cs="Arial"/>
        </w:rPr>
      </w:pPr>
      <w:r>
        <w:rPr>
          <w:rFonts w:cs="Arial"/>
        </w:rPr>
        <w:t>[15]</w:t>
      </w:r>
      <w:r>
        <w:rPr>
          <w:rFonts w:cs="Arial"/>
        </w:rPr>
        <w:tab/>
      </w:r>
      <w:r w:rsidR="00022562">
        <w:rPr>
          <w:rFonts w:cs="Arial"/>
        </w:rPr>
        <w:t xml:space="preserve">Mr </w:t>
      </w:r>
      <w:proofErr w:type="spellStart"/>
      <w:r w:rsidR="00022562">
        <w:rPr>
          <w:rFonts w:cs="Arial"/>
        </w:rPr>
        <w:t>Dladla</w:t>
      </w:r>
      <w:proofErr w:type="spellEnd"/>
      <w:r w:rsidR="00022562">
        <w:rPr>
          <w:rFonts w:cs="Arial"/>
        </w:rPr>
        <w:t xml:space="preserve"> who deposed to the </w:t>
      </w:r>
      <w:r w:rsidR="001C48D2">
        <w:rPr>
          <w:rFonts w:cs="Arial"/>
        </w:rPr>
        <w:t xml:space="preserve">founding </w:t>
      </w:r>
      <w:r w:rsidR="00022562">
        <w:rPr>
          <w:rFonts w:cs="Arial"/>
        </w:rPr>
        <w:t xml:space="preserve">affidavit on behalf of the </w:t>
      </w:r>
      <w:r w:rsidR="008F4299">
        <w:rPr>
          <w:rFonts w:cs="Arial"/>
        </w:rPr>
        <w:t>a</w:t>
      </w:r>
      <w:r w:rsidR="00022562">
        <w:rPr>
          <w:rFonts w:cs="Arial"/>
        </w:rPr>
        <w:t>pplicants</w:t>
      </w:r>
      <w:r w:rsidR="001C48D2">
        <w:rPr>
          <w:rFonts w:cs="Arial"/>
        </w:rPr>
        <w:t xml:space="preserve">, states </w:t>
      </w:r>
      <w:r w:rsidR="00022562">
        <w:rPr>
          <w:rFonts w:cs="Arial"/>
        </w:rPr>
        <w:t>that he personally spoke to Ms Moodley about the plight of the tenants</w:t>
      </w:r>
      <w:r w:rsidR="0039691A">
        <w:rPr>
          <w:rFonts w:cs="Arial"/>
        </w:rPr>
        <w:t>,</w:t>
      </w:r>
      <w:r w:rsidR="00022562">
        <w:rPr>
          <w:rFonts w:cs="Arial"/>
        </w:rPr>
        <w:t xml:space="preserve"> who advised him that in </w:t>
      </w:r>
      <w:r w:rsidR="004E1450">
        <w:rPr>
          <w:rFonts w:cs="Arial"/>
        </w:rPr>
        <w:t xml:space="preserve">terms </w:t>
      </w:r>
      <w:r w:rsidR="00022562">
        <w:rPr>
          <w:rFonts w:cs="Arial"/>
        </w:rPr>
        <w:t xml:space="preserve">of </w:t>
      </w:r>
      <w:r w:rsidR="00022562" w:rsidRPr="00022562">
        <w:rPr>
          <w:rFonts w:cs="Arial"/>
          <w:i/>
          <w:iCs/>
        </w:rPr>
        <w:t>Joseph</w:t>
      </w:r>
      <w:r w:rsidR="008F4299">
        <w:rPr>
          <w:rFonts w:cs="Arial"/>
          <w:i/>
          <w:iCs/>
        </w:rPr>
        <w:t>,</w:t>
      </w:r>
      <w:r w:rsidR="00022562" w:rsidRPr="00A749DC">
        <w:rPr>
          <w:rStyle w:val="FootnoteReference"/>
          <w:rFonts w:cs="Arial"/>
          <w:iCs/>
        </w:rPr>
        <w:footnoteReference w:id="5"/>
      </w:r>
      <w:r w:rsidR="00022562">
        <w:rPr>
          <w:rFonts w:cs="Arial"/>
          <w:i/>
          <w:iCs/>
        </w:rPr>
        <w:t xml:space="preserve"> </w:t>
      </w:r>
      <w:r w:rsidR="0039691A">
        <w:rPr>
          <w:rFonts w:cs="Arial"/>
        </w:rPr>
        <w:t xml:space="preserve">as tenants they </w:t>
      </w:r>
      <w:r w:rsidR="00783BF6">
        <w:rPr>
          <w:rFonts w:cs="Arial"/>
        </w:rPr>
        <w:t xml:space="preserve">may </w:t>
      </w:r>
      <w:r w:rsidR="0039691A">
        <w:rPr>
          <w:rFonts w:cs="Arial"/>
        </w:rPr>
        <w:t xml:space="preserve">approach the court because </w:t>
      </w:r>
      <w:r w:rsidR="00022562">
        <w:rPr>
          <w:rFonts w:cs="Arial"/>
        </w:rPr>
        <w:t>their rights to procedural fairness had been infringed</w:t>
      </w:r>
      <w:r w:rsidR="00783BF6">
        <w:rPr>
          <w:rFonts w:cs="Arial"/>
        </w:rPr>
        <w:t xml:space="preserve">. He was further advised that in </w:t>
      </w:r>
      <w:r w:rsidR="00BE4621">
        <w:rPr>
          <w:rFonts w:cs="Arial"/>
        </w:rPr>
        <w:t xml:space="preserve">consequence of the </w:t>
      </w:r>
      <w:r w:rsidR="00783BF6">
        <w:rPr>
          <w:rFonts w:cs="Arial"/>
        </w:rPr>
        <w:t xml:space="preserve">infringement </w:t>
      </w:r>
      <w:r w:rsidR="00BE4621">
        <w:rPr>
          <w:rFonts w:cs="Arial"/>
        </w:rPr>
        <w:t xml:space="preserve">of their rights, </w:t>
      </w:r>
      <w:r w:rsidR="0039691A">
        <w:rPr>
          <w:rFonts w:cs="Arial"/>
        </w:rPr>
        <w:t>they were entitled to receive notice of the</w:t>
      </w:r>
      <w:r w:rsidR="00BE4621">
        <w:rPr>
          <w:rFonts w:cs="Arial"/>
        </w:rPr>
        <w:t xml:space="preserve"> termination of the electricity</w:t>
      </w:r>
      <w:r w:rsidR="00783BF6">
        <w:rPr>
          <w:rFonts w:cs="Arial"/>
        </w:rPr>
        <w:t xml:space="preserve">. </w:t>
      </w:r>
    </w:p>
    <w:p w14:paraId="1A96A5C0" w14:textId="77777777" w:rsidR="00022562" w:rsidRDefault="00022562" w:rsidP="001C7F5D">
      <w:pPr>
        <w:pStyle w:val="ListParagraph"/>
        <w:spacing w:line="360" w:lineRule="auto"/>
        <w:ind w:left="0"/>
        <w:rPr>
          <w:rFonts w:cs="Arial"/>
        </w:rPr>
      </w:pPr>
    </w:p>
    <w:p w14:paraId="26C97B94" w14:textId="6D92CF3A" w:rsidR="00022562" w:rsidRDefault="00023CCE" w:rsidP="00023CCE">
      <w:pPr>
        <w:spacing w:line="360" w:lineRule="auto"/>
        <w:jc w:val="both"/>
        <w:rPr>
          <w:rFonts w:cs="Arial"/>
        </w:rPr>
      </w:pPr>
      <w:r>
        <w:rPr>
          <w:rFonts w:cs="Arial"/>
        </w:rPr>
        <w:t>[16]</w:t>
      </w:r>
      <w:r>
        <w:rPr>
          <w:rFonts w:cs="Arial"/>
        </w:rPr>
        <w:tab/>
      </w:r>
      <w:r w:rsidR="00FE1B00">
        <w:rPr>
          <w:rFonts w:cs="Arial"/>
        </w:rPr>
        <w:t>In motivat</w:t>
      </w:r>
      <w:r w:rsidR="00C25530">
        <w:rPr>
          <w:rFonts w:cs="Arial"/>
        </w:rPr>
        <w:t>ion for the relief sought, the a</w:t>
      </w:r>
      <w:r w:rsidR="00FE1B00">
        <w:rPr>
          <w:rFonts w:cs="Arial"/>
        </w:rPr>
        <w:t>pplicants stated that they were not afforded any notice of the electricity disconnection</w:t>
      </w:r>
      <w:r w:rsidR="001C48D2">
        <w:rPr>
          <w:rFonts w:cs="Arial"/>
        </w:rPr>
        <w:t>;</w:t>
      </w:r>
      <w:r w:rsidR="00FE1B00">
        <w:rPr>
          <w:rFonts w:cs="Arial"/>
        </w:rPr>
        <w:t xml:space="preserve"> although they subsequently established that</w:t>
      </w:r>
      <w:r w:rsidR="001C48D2">
        <w:rPr>
          <w:rFonts w:cs="Arial"/>
        </w:rPr>
        <w:t>,</w:t>
      </w:r>
      <w:r w:rsidR="00FE1B00">
        <w:rPr>
          <w:rFonts w:cs="Arial"/>
        </w:rPr>
        <w:t xml:space="preserve"> while a notice was stuck to an entrance lobby, it had been removed by a very irate tenant</w:t>
      </w:r>
      <w:r w:rsidR="001C48D2">
        <w:rPr>
          <w:rFonts w:cs="Arial"/>
        </w:rPr>
        <w:t>. In the circumstances, their right to procedural fairness has been infringed.</w:t>
      </w:r>
      <w:r w:rsidR="00C25530">
        <w:rPr>
          <w:rStyle w:val="FootnoteReference"/>
          <w:rFonts w:cs="Arial"/>
        </w:rPr>
        <w:footnoteReference w:id="6"/>
      </w:r>
    </w:p>
    <w:p w14:paraId="4CC19412" w14:textId="77777777" w:rsidR="004F11D9" w:rsidRDefault="004F11D9" w:rsidP="001C7F5D">
      <w:pPr>
        <w:pStyle w:val="ListParagraph"/>
        <w:spacing w:line="360" w:lineRule="auto"/>
        <w:ind w:left="0"/>
        <w:rPr>
          <w:rFonts w:cs="Arial"/>
        </w:rPr>
      </w:pPr>
    </w:p>
    <w:p w14:paraId="13981746" w14:textId="06C2786E" w:rsidR="004F11D9" w:rsidRDefault="00023CCE" w:rsidP="00023CCE">
      <w:pPr>
        <w:spacing w:line="360" w:lineRule="auto"/>
        <w:jc w:val="both"/>
        <w:rPr>
          <w:rFonts w:cs="Arial"/>
        </w:rPr>
      </w:pPr>
      <w:r>
        <w:rPr>
          <w:rFonts w:cs="Arial"/>
        </w:rPr>
        <w:t>[17]</w:t>
      </w:r>
      <w:r>
        <w:rPr>
          <w:rFonts w:cs="Arial"/>
        </w:rPr>
        <w:tab/>
      </w:r>
      <w:r w:rsidR="00ED2D7B">
        <w:rPr>
          <w:rFonts w:cs="Arial"/>
        </w:rPr>
        <w:t xml:space="preserve">Further, </w:t>
      </w:r>
      <w:r w:rsidR="00C25530">
        <w:rPr>
          <w:rFonts w:cs="Arial"/>
        </w:rPr>
        <w:t>the a</w:t>
      </w:r>
      <w:r w:rsidR="00ED2D7B">
        <w:rPr>
          <w:rFonts w:cs="Arial"/>
        </w:rPr>
        <w:t>pplicants aver that they were neither</w:t>
      </w:r>
      <w:r w:rsidR="00617727">
        <w:rPr>
          <w:rFonts w:cs="Arial"/>
        </w:rPr>
        <w:t xml:space="preserve"> </w:t>
      </w:r>
      <w:r w:rsidR="00617727" w:rsidRPr="00617727">
        <w:rPr>
          <w:rFonts w:cs="Arial"/>
        </w:rPr>
        <w:t>individual</w:t>
      </w:r>
      <w:r w:rsidR="00ED2D7B">
        <w:rPr>
          <w:rFonts w:cs="Arial"/>
        </w:rPr>
        <w:t>ly served with the disconnection notice, nor were they advised of the reason that the el</w:t>
      </w:r>
      <w:r w:rsidR="00C25530">
        <w:rPr>
          <w:rFonts w:cs="Arial"/>
        </w:rPr>
        <w:t>ectricity would be disconnected,</w:t>
      </w:r>
      <w:r w:rsidR="00ED2D7B">
        <w:rPr>
          <w:rFonts w:cs="Arial"/>
        </w:rPr>
        <w:t xml:space="preserve"> d</w:t>
      </w:r>
      <w:r w:rsidR="00BA3204">
        <w:rPr>
          <w:rFonts w:cs="Arial"/>
        </w:rPr>
        <w:t>espite</w:t>
      </w:r>
      <w:r w:rsidR="001903E3">
        <w:rPr>
          <w:rFonts w:cs="Arial"/>
        </w:rPr>
        <w:t xml:space="preserve"> their</w:t>
      </w:r>
      <w:r w:rsidR="00BA3204">
        <w:rPr>
          <w:rFonts w:cs="Arial"/>
        </w:rPr>
        <w:t xml:space="preserve"> paying their electricity bill to the landlord monthly, even in circumstances where other tenants struggled to pay their electricity bill</w:t>
      </w:r>
      <w:r w:rsidR="00ED2D7B">
        <w:rPr>
          <w:rFonts w:cs="Arial"/>
        </w:rPr>
        <w:t>,</w:t>
      </w:r>
      <w:r w:rsidR="00BA3204">
        <w:rPr>
          <w:rFonts w:cs="Arial"/>
        </w:rPr>
        <w:t xml:space="preserve"> and the meter readings being exceptionally high and fluctuating monthly</w:t>
      </w:r>
      <w:r w:rsidR="00ED2D7B">
        <w:rPr>
          <w:rFonts w:cs="Arial"/>
        </w:rPr>
        <w:t xml:space="preserve">. </w:t>
      </w:r>
    </w:p>
    <w:p w14:paraId="4A02704F" w14:textId="77777777" w:rsidR="00176A78" w:rsidRDefault="00176A78" w:rsidP="001C7F5D">
      <w:pPr>
        <w:pStyle w:val="ListParagraph"/>
        <w:spacing w:line="360" w:lineRule="auto"/>
        <w:ind w:left="0"/>
        <w:rPr>
          <w:rFonts w:cs="Arial"/>
        </w:rPr>
      </w:pPr>
    </w:p>
    <w:p w14:paraId="0A506A15" w14:textId="2473BA65" w:rsidR="00176A78" w:rsidRDefault="00023CCE" w:rsidP="00023CCE">
      <w:pPr>
        <w:spacing w:line="360" w:lineRule="auto"/>
        <w:jc w:val="both"/>
        <w:rPr>
          <w:rFonts w:cs="Arial"/>
        </w:rPr>
      </w:pPr>
      <w:r>
        <w:rPr>
          <w:rFonts w:cs="Arial"/>
        </w:rPr>
        <w:t>[18]</w:t>
      </w:r>
      <w:r>
        <w:rPr>
          <w:rFonts w:cs="Arial"/>
        </w:rPr>
        <w:tab/>
      </w:r>
      <w:r w:rsidR="00ED2D7B">
        <w:rPr>
          <w:rFonts w:cs="Arial"/>
        </w:rPr>
        <w:t xml:space="preserve">In dealing with the property itself, </w:t>
      </w:r>
      <w:r w:rsidR="001903E3">
        <w:rPr>
          <w:rFonts w:cs="Arial"/>
        </w:rPr>
        <w:t>the a</w:t>
      </w:r>
      <w:r w:rsidR="00BA3204">
        <w:rPr>
          <w:rFonts w:cs="Arial"/>
        </w:rPr>
        <w:t>pplicants further aver</w:t>
      </w:r>
      <w:r w:rsidR="00176A78">
        <w:rPr>
          <w:rFonts w:cs="Arial"/>
        </w:rPr>
        <w:t xml:space="preserve"> that approximately </w:t>
      </w:r>
      <w:r w:rsidR="00BA3204">
        <w:rPr>
          <w:rFonts w:cs="Arial"/>
        </w:rPr>
        <w:t>fifty-six</w:t>
      </w:r>
      <w:r w:rsidR="00176A78">
        <w:rPr>
          <w:rFonts w:cs="Arial"/>
        </w:rPr>
        <w:t xml:space="preserve"> families occupy the property</w:t>
      </w:r>
      <w:r w:rsidR="007D42AE">
        <w:rPr>
          <w:rFonts w:cs="Arial"/>
        </w:rPr>
        <w:t>,</w:t>
      </w:r>
      <w:r w:rsidR="004E1450">
        <w:rPr>
          <w:rFonts w:cs="Arial"/>
        </w:rPr>
        <w:t xml:space="preserve"> including</w:t>
      </w:r>
      <w:r w:rsidR="00176A78">
        <w:rPr>
          <w:rFonts w:cs="Arial"/>
        </w:rPr>
        <w:t xml:space="preserve"> </w:t>
      </w:r>
      <w:r w:rsidR="007D42AE">
        <w:rPr>
          <w:rFonts w:cs="Arial"/>
        </w:rPr>
        <w:t>thirty</w:t>
      </w:r>
      <w:r w:rsidR="004E1450">
        <w:rPr>
          <w:rFonts w:cs="Arial"/>
        </w:rPr>
        <w:t xml:space="preserve"> </w:t>
      </w:r>
      <w:r w:rsidR="00176A78">
        <w:rPr>
          <w:rFonts w:cs="Arial"/>
        </w:rPr>
        <w:t>chil</w:t>
      </w:r>
      <w:r w:rsidR="007D42AE">
        <w:rPr>
          <w:rFonts w:cs="Arial"/>
        </w:rPr>
        <w:t>dren below the ages of 9 and 16</w:t>
      </w:r>
      <w:r w:rsidR="00176A78">
        <w:rPr>
          <w:rFonts w:cs="Arial"/>
        </w:rPr>
        <w:t xml:space="preserve"> and elderly individuals over the age of 70. The bottom of the building has a </w:t>
      </w:r>
      <w:r w:rsidR="007D42AE">
        <w:rPr>
          <w:rFonts w:cs="Arial"/>
        </w:rPr>
        <w:t>crèche</w:t>
      </w:r>
      <w:r w:rsidR="00176A78">
        <w:rPr>
          <w:rFonts w:cs="Arial"/>
        </w:rPr>
        <w:t xml:space="preserve"> that looks after </w:t>
      </w:r>
      <w:r w:rsidR="007D42AE">
        <w:rPr>
          <w:rFonts w:cs="Arial"/>
        </w:rPr>
        <w:t>children</w:t>
      </w:r>
      <w:r w:rsidR="00176A78">
        <w:rPr>
          <w:rFonts w:cs="Arial"/>
        </w:rPr>
        <w:t xml:space="preserve"> up to </w:t>
      </w:r>
      <w:r w:rsidR="007D42AE">
        <w:rPr>
          <w:rFonts w:cs="Arial"/>
        </w:rPr>
        <w:t>three</w:t>
      </w:r>
      <w:r w:rsidR="00176A78">
        <w:rPr>
          <w:rFonts w:cs="Arial"/>
        </w:rPr>
        <w:t xml:space="preserve"> years old.</w:t>
      </w:r>
    </w:p>
    <w:p w14:paraId="2953E628" w14:textId="77777777" w:rsidR="00E36DCD" w:rsidRDefault="00E36DCD" w:rsidP="001C7F5D">
      <w:pPr>
        <w:pStyle w:val="ListParagraph"/>
        <w:spacing w:line="360" w:lineRule="auto"/>
        <w:ind w:left="0"/>
        <w:rPr>
          <w:rFonts w:cs="Arial"/>
        </w:rPr>
      </w:pPr>
    </w:p>
    <w:p w14:paraId="3645A83C" w14:textId="29A47044" w:rsidR="00E36DCD" w:rsidRDefault="00023CCE" w:rsidP="00023CCE">
      <w:pPr>
        <w:spacing w:line="360" w:lineRule="auto"/>
        <w:jc w:val="both"/>
        <w:rPr>
          <w:rFonts w:cs="Arial"/>
        </w:rPr>
      </w:pPr>
      <w:r>
        <w:rPr>
          <w:rFonts w:cs="Arial"/>
        </w:rPr>
        <w:t>[19]</w:t>
      </w:r>
      <w:r>
        <w:rPr>
          <w:rFonts w:cs="Arial"/>
        </w:rPr>
        <w:tab/>
      </w:r>
      <w:r w:rsidR="00E36DCD">
        <w:rPr>
          <w:rFonts w:cs="Arial"/>
        </w:rPr>
        <w:t xml:space="preserve">I pause to mention here that neither in the founding affidavit, nor in </w:t>
      </w:r>
      <w:r w:rsidR="007D42AE">
        <w:rPr>
          <w:rFonts w:cs="Arial"/>
        </w:rPr>
        <w:t>the a</w:t>
      </w:r>
      <w:r w:rsidR="00E36DCD">
        <w:rPr>
          <w:rFonts w:cs="Arial"/>
        </w:rPr>
        <w:t xml:space="preserve">pplicants’ address to me, was it ever advanced that </w:t>
      </w:r>
      <w:r w:rsidR="007D42AE">
        <w:rPr>
          <w:rFonts w:cs="Arial"/>
        </w:rPr>
        <w:t>the a</w:t>
      </w:r>
      <w:r w:rsidR="00E36DCD">
        <w:rPr>
          <w:rFonts w:cs="Arial"/>
        </w:rPr>
        <w:t xml:space="preserve">pplicants bring this application on behalf of all the tenants of the building. In the circumstances, the amount of people living in the building, their ages, and the fact that the building also consists of a commercial business is irrelevant to this application.  </w:t>
      </w:r>
      <w:r w:rsidR="00FF34E3">
        <w:rPr>
          <w:rFonts w:cs="Arial"/>
        </w:rPr>
        <w:t xml:space="preserve">Further, it is unclear how the applicants would </w:t>
      </w:r>
      <w:r w:rsidR="00365D04">
        <w:rPr>
          <w:rFonts w:cs="Arial"/>
        </w:rPr>
        <w:t>have knowledge of these averments</w:t>
      </w:r>
      <w:r w:rsidR="00B07F31">
        <w:rPr>
          <w:rFonts w:cs="Arial"/>
        </w:rPr>
        <w:t>,</w:t>
      </w:r>
      <w:r w:rsidR="00FF34E3">
        <w:rPr>
          <w:rFonts w:cs="Arial"/>
        </w:rPr>
        <w:t xml:space="preserve"> being mere </w:t>
      </w:r>
      <w:r w:rsidR="00B07F31">
        <w:rPr>
          <w:rFonts w:cs="Arial"/>
        </w:rPr>
        <w:t xml:space="preserve">tenants, because the founding affidavit does not explain this insight.  </w:t>
      </w:r>
    </w:p>
    <w:p w14:paraId="5633E75C" w14:textId="77777777" w:rsidR="00176A78" w:rsidRDefault="00176A78" w:rsidP="001C7F5D">
      <w:pPr>
        <w:pStyle w:val="ListParagraph"/>
        <w:spacing w:line="360" w:lineRule="auto"/>
        <w:ind w:left="0"/>
        <w:rPr>
          <w:rFonts w:cs="Arial"/>
        </w:rPr>
      </w:pPr>
    </w:p>
    <w:p w14:paraId="12C2CCB5" w14:textId="1343C334" w:rsidR="00176A78" w:rsidRDefault="00023CCE" w:rsidP="00023CCE">
      <w:pPr>
        <w:spacing w:line="360" w:lineRule="auto"/>
        <w:jc w:val="both"/>
        <w:rPr>
          <w:rFonts w:cs="Arial"/>
        </w:rPr>
      </w:pPr>
      <w:r>
        <w:rPr>
          <w:rFonts w:cs="Arial"/>
        </w:rPr>
        <w:t>[20]</w:t>
      </w:r>
      <w:r>
        <w:rPr>
          <w:rFonts w:cs="Arial"/>
        </w:rPr>
        <w:tab/>
      </w:r>
      <w:r w:rsidR="007D42AE">
        <w:rPr>
          <w:rFonts w:cs="Arial"/>
        </w:rPr>
        <w:t>The a</w:t>
      </w:r>
      <w:r w:rsidR="00E36DCD">
        <w:rPr>
          <w:rFonts w:cs="Arial"/>
        </w:rPr>
        <w:t>pplicants further aver that t</w:t>
      </w:r>
      <w:r w:rsidR="00E616B0">
        <w:rPr>
          <w:rFonts w:cs="Arial"/>
        </w:rPr>
        <w:t xml:space="preserve">he conditions of the </w:t>
      </w:r>
      <w:r w:rsidR="00897B52">
        <w:rPr>
          <w:rFonts w:cs="Arial"/>
        </w:rPr>
        <w:t>property</w:t>
      </w:r>
      <w:r w:rsidR="00E616B0">
        <w:rPr>
          <w:rFonts w:cs="Arial"/>
        </w:rPr>
        <w:t xml:space="preserve"> without lights are horrific because the building is very </w:t>
      </w:r>
      <w:r w:rsidR="00042C2B">
        <w:rPr>
          <w:rFonts w:cs="Arial"/>
        </w:rPr>
        <w:t>dark,</w:t>
      </w:r>
      <w:r w:rsidR="00E616B0">
        <w:rPr>
          <w:rFonts w:cs="Arial"/>
        </w:rPr>
        <w:t xml:space="preserve"> and the tenants are </w:t>
      </w:r>
      <w:r w:rsidR="007D42AE">
        <w:rPr>
          <w:rFonts w:cs="Arial"/>
        </w:rPr>
        <w:t>at risk of being</w:t>
      </w:r>
      <w:r w:rsidR="00E616B0">
        <w:rPr>
          <w:rFonts w:cs="Arial"/>
        </w:rPr>
        <w:t xml:space="preserve"> robbed. The electricity pump that pumps water to the various areas is unable to function which contributes to the </w:t>
      </w:r>
      <w:r w:rsidR="00884CA4">
        <w:rPr>
          <w:rFonts w:cs="Arial"/>
        </w:rPr>
        <w:t>dysfunction</w:t>
      </w:r>
      <w:r w:rsidR="00E616B0">
        <w:rPr>
          <w:rFonts w:cs="Arial"/>
        </w:rPr>
        <w:t xml:space="preserve"> of the property.</w:t>
      </w:r>
    </w:p>
    <w:p w14:paraId="682780B3" w14:textId="77777777" w:rsidR="00E616B0" w:rsidRDefault="00E616B0" w:rsidP="001C7F5D">
      <w:pPr>
        <w:pStyle w:val="ListParagraph"/>
        <w:spacing w:line="360" w:lineRule="auto"/>
        <w:ind w:left="0"/>
        <w:rPr>
          <w:rFonts w:cs="Arial"/>
        </w:rPr>
      </w:pPr>
    </w:p>
    <w:p w14:paraId="2B293D75" w14:textId="2A8A35EE" w:rsidR="00E616B0" w:rsidRDefault="00023CCE" w:rsidP="00023CCE">
      <w:pPr>
        <w:spacing w:line="360" w:lineRule="auto"/>
        <w:jc w:val="both"/>
        <w:rPr>
          <w:rFonts w:cs="Arial"/>
        </w:rPr>
      </w:pPr>
      <w:r>
        <w:rPr>
          <w:rFonts w:cs="Arial"/>
        </w:rPr>
        <w:t>[21]</w:t>
      </w:r>
      <w:r>
        <w:rPr>
          <w:rFonts w:cs="Arial"/>
        </w:rPr>
        <w:tab/>
      </w:r>
      <w:r w:rsidR="007D42AE">
        <w:rPr>
          <w:rFonts w:cs="Arial"/>
        </w:rPr>
        <w:t>The a</w:t>
      </w:r>
      <w:r w:rsidR="00A35E99">
        <w:rPr>
          <w:rFonts w:cs="Arial"/>
        </w:rPr>
        <w:t xml:space="preserve">pplicants state that they would like to install separate prepaid meters </w:t>
      </w:r>
      <w:r w:rsidR="00ED2D7B">
        <w:rPr>
          <w:rFonts w:cs="Arial"/>
        </w:rPr>
        <w:t xml:space="preserve">but in light </w:t>
      </w:r>
      <w:r w:rsidR="007D42AE">
        <w:rPr>
          <w:rFonts w:cs="Arial"/>
        </w:rPr>
        <w:t>of the r</w:t>
      </w:r>
      <w:r w:rsidR="0063360E">
        <w:rPr>
          <w:rFonts w:cs="Arial"/>
        </w:rPr>
        <w:t>e</w:t>
      </w:r>
      <w:r w:rsidR="007D42AE">
        <w:rPr>
          <w:rFonts w:cs="Arial"/>
        </w:rPr>
        <w:t>spondent’s failure to give them ‘</w:t>
      </w:r>
      <w:r w:rsidR="00617727" w:rsidRPr="00617727">
        <w:rPr>
          <w:rFonts w:cs="Arial"/>
        </w:rPr>
        <w:t>individual</w:t>
      </w:r>
      <w:r w:rsidR="007D42AE">
        <w:rPr>
          <w:rFonts w:cs="Arial"/>
        </w:rPr>
        <w:t>’</w:t>
      </w:r>
      <w:r w:rsidR="0063360E">
        <w:rPr>
          <w:rFonts w:cs="Arial"/>
        </w:rPr>
        <w:t xml:space="preserve"> notice of the planned disconnection,</w:t>
      </w:r>
      <w:r w:rsidR="00A35E99">
        <w:rPr>
          <w:rFonts w:cs="Arial"/>
        </w:rPr>
        <w:t xml:space="preserve"> they were never afforded the opportunity to </w:t>
      </w:r>
      <w:r w:rsidR="00042C2B">
        <w:rPr>
          <w:rFonts w:cs="Arial"/>
        </w:rPr>
        <w:t xml:space="preserve">make those representations to the </w:t>
      </w:r>
      <w:r w:rsidR="007D42AE">
        <w:rPr>
          <w:rFonts w:cs="Arial"/>
        </w:rPr>
        <w:t>r</w:t>
      </w:r>
      <w:r w:rsidR="00A35E99">
        <w:rPr>
          <w:rFonts w:cs="Arial"/>
        </w:rPr>
        <w:t>espondent.</w:t>
      </w:r>
    </w:p>
    <w:p w14:paraId="187BCF50" w14:textId="7E0B4BE0" w:rsidR="00A35E99" w:rsidRPr="007D42AE" w:rsidRDefault="00A35E99" w:rsidP="001C7F5D">
      <w:pPr>
        <w:spacing w:line="360" w:lineRule="auto"/>
        <w:rPr>
          <w:rFonts w:cs="Arial"/>
          <w:b/>
          <w:bCs/>
          <w:caps/>
        </w:rPr>
      </w:pPr>
    </w:p>
    <w:p w14:paraId="126AD740" w14:textId="3F5AAC67" w:rsidR="00A35E99" w:rsidRPr="007D42AE" w:rsidRDefault="007D42AE" w:rsidP="001C7F5D">
      <w:pPr>
        <w:spacing w:line="360" w:lineRule="auto"/>
        <w:rPr>
          <w:rFonts w:cs="Arial"/>
          <w:b/>
          <w:bCs/>
          <w:caps/>
        </w:rPr>
      </w:pPr>
      <w:r w:rsidRPr="007D42AE">
        <w:rPr>
          <w:rFonts w:cs="Arial"/>
          <w:b/>
          <w:bCs/>
        </w:rPr>
        <w:t>Disputes</w:t>
      </w:r>
    </w:p>
    <w:p w14:paraId="64F7FB97" w14:textId="6DCB47B1" w:rsidR="00A35E99" w:rsidRDefault="00023CCE" w:rsidP="00023CCE">
      <w:pPr>
        <w:spacing w:line="360" w:lineRule="auto"/>
        <w:jc w:val="both"/>
        <w:rPr>
          <w:rFonts w:cs="Arial"/>
        </w:rPr>
      </w:pPr>
      <w:r>
        <w:rPr>
          <w:rFonts w:cs="Arial"/>
        </w:rPr>
        <w:t>[22]</w:t>
      </w:r>
      <w:r>
        <w:rPr>
          <w:rFonts w:cs="Arial"/>
        </w:rPr>
        <w:tab/>
      </w:r>
      <w:r w:rsidR="00A35E99">
        <w:rPr>
          <w:rFonts w:cs="Arial"/>
        </w:rPr>
        <w:t xml:space="preserve">The disputes raised in the answering affidavit </w:t>
      </w:r>
      <w:r w:rsidR="00C17A6E">
        <w:rPr>
          <w:rFonts w:cs="Arial"/>
        </w:rPr>
        <w:t>can be summarised as follows</w:t>
      </w:r>
      <w:r w:rsidR="00A35E99">
        <w:rPr>
          <w:rFonts w:cs="Arial"/>
        </w:rPr>
        <w:t>:</w:t>
      </w:r>
    </w:p>
    <w:p w14:paraId="5D396C61" w14:textId="48D8AD3B" w:rsidR="00AB2CBD" w:rsidRDefault="00884CA4" w:rsidP="00884CA4">
      <w:pPr>
        <w:spacing w:line="360" w:lineRule="auto"/>
        <w:jc w:val="both"/>
        <w:rPr>
          <w:rFonts w:cs="Arial"/>
        </w:rPr>
      </w:pPr>
      <w:r>
        <w:rPr>
          <w:rFonts w:cs="Arial"/>
        </w:rPr>
        <w:t xml:space="preserve">(a) </w:t>
      </w:r>
      <w:r w:rsidR="00A35E99" w:rsidRPr="00884CA4">
        <w:rPr>
          <w:rFonts w:cs="Arial"/>
        </w:rPr>
        <w:t xml:space="preserve">the </w:t>
      </w:r>
      <w:r w:rsidR="00044B02">
        <w:rPr>
          <w:rFonts w:cs="Arial"/>
        </w:rPr>
        <w:t>r</w:t>
      </w:r>
      <w:r w:rsidR="00A35E99" w:rsidRPr="00884CA4">
        <w:rPr>
          <w:rFonts w:cs="Arial"/>
        </w:rPr>
        <w:t xml:space="preserve">espondent disputes </w:t>
      </w:r>
      <w:r w:rsidR="00AB2CBD" w:rsidRPr="00884CA4">
        <w:rPr>
          <w:rFonts w:cs="Arial"/>
        </w:rPr>
        <w:t xml:space="preserve">that the </w:t>
      </w:r>
      <w:r w:rsidR="00044B02">
        <w:rPr>
          <w:rFonts w:cs="Arial"/>
        </w:rPr>
        <w:t>a</w:t>
      </w:r>
      <w:r w:rsidR="00AB2CBD" w:rsidRPr="00884CA4">
        <w:rPr>
          <w:rFonts w:cs="Arial"/>
        </w:rPr>
        <w:t>pplicants are long</w:t>
      </w:r>
      <w:r w:rsidR="00044B02">
        <w:rPr>
          <w:rFonts w:cs="Arial"/>
        </w:rPr>
        <w:t>-</w:t>
      </w:r>
      <w:r w:rsidR="00AB2CBD" w:rsidRPr="00884CA4">
        <w:rPr>
          <w:rFonts w:cs="Arial"/>
        </w:rPr>
        <w:t>term residential tenants of the property because the property is a commercial entity that rents out rooms on an hourly basis for R90 per hour as evidenced from a sign on the building</w:t>
      </w:r>
      <w:r w:rsidR="00044B02">
        <w:rPr>
          <w:rFonts w:cs="Arial"/>
        </w:rPr>
        <w:t>,</w:t>
      </w:r>
      <w:r w:rsidR="00AB2CBD">
        <w:rPr>
          <w:rStyle w:val="FootnoteReference"/>
          <w:rFonts w:cs="Arial"/>
        </w:rPr>
        <w:footnoteReference w:id="7"/>
      </w:r>
      <w:r w:rsidR="0063360E" w:rsidRPr="00884CA4">
        <w:rPr>
          <w:rFonts w:cs="Arial"/>
        </w:rPr>
        <w:t xml:space="preserve"> </w:t>
      </w:r>
      <w:r w:rsidR="00AB2CBD" w:rsidRPr="00884CA4">
        <w:rPr>
          <w:rFonts w:cs="Arial"/>
        </w:rPr>
        <w:t xml:space="preserve">and none of the </w:t>
      </w:r>
      <w:r w:rsidR="00044B02">
        <w:rPr>
          <w:rFonts w:cs="Arial"/>
        </w:rPr>
        <w:t>a</w:t>
      </w:r>
      <w:r w:rsidR="00AB2CBD" w:rsidRPr="00884CA4">
        <w:rPr>
          <w:rFonts w:cs="Arial"/>
        </w:rPr>
        <w:t>pplicants have put up any lease agreements nor documentation evidencing their occupation over a period of time or having paid for their alleged electricity;</w:t>
      </w:r>
    </w:p>
    <w:p w14:paraId="7194ABDA" w14:textId="69FD0FBC" w:rsidR="007167F8" w:rsidRPr="007167F8" w:rsidRDefault="00884CA4" w:rsidP="00884CA4">
      <w:pPr>
        <w:spacing w:line="360" w:lineRule="auto"/>
        <w:jc w:val="both"/>
        <w:rPr>
          <w:rFonts w:cs="Arial"/>
        </w:rPr>
      </w:pPr>
      <w:r>
        <w:rPr>
          <w:rFonts w:cs="Arial"/>
        </w:rPr>
        <w:t xml:space="preserve">(b) </w:t>
      </w:r>
      <w:r w:rsidR="00AB2CBD" w:rsidRPr="00884CA4">
        <w:rPr>
          <w:rFonts w:cs="Arial"/>
        </w:rPr>
        <w:t>it is common cause that a notice for the disconnection of services was put up on the building</w:t>
      </w:r>
      <w:r w:rsidR="00044B02">
        <w:rPr>
          <w:rFonts w:cs="Arial"/>
        </w:rPr>
        <w:t>,</w:t>
      </w:r>
      <w:r w:rsidR="00AB2CBD" w:rsidRPr="00884CA4">
        <w:rPr>
          <w:rFonts w:cs="Arial"/>
        </w:rPr>
        <w:t xml:space="preserve"> although </w:t>
      </w:r>
      <w:r w:rsidR="00044B02">
        <w:rPr>
          <w:rFonts w:cs="Arial"/>
        </w:rPr>
        <w:t xml:space="preserve">it was subsequently </w:t>
      </w:r>
      <w:r w:rsidR="00AB2CBD" w:rsidRPr="00884CA4">
        <w:rPr>
          <w:rFonts w:cs="Arial"/>
        </w:rPr>
        <w:t xml:space="preserve">removed by an irate tenant which the </w:t>
      </w:r>
      <w:r w:rsidR="00044B02">
        <w:rPr>
          <w:rFonts w:cs="Arial"/>
        </w:rPr>
        <w:t>r</w:t>
      </w:r>
      <w:r w:rsidR="00AB2CBD" w:rsidRPr="00884CA4">
        <w:rPr>
          <w:rFonts w:cs="Arial"/>
        </w:rPr>
        <w:t>espondent cannot be held responsible for</w:t>
      </w:r>
      <w:r w:rsidR="00044B02">
        <w:rPr>
          <w:rFonts w:cs="Arial"/>
        </w:rPr>
        <w:t>;</w:t>
      </w:r>
      <w:r w:rsidR="00AB2CBD">
        <w:rPr>
          <w:rStyle w:val="FootnoteReference"/>
          <w:rFonts w:cs="Arial"/>
        </w:rPr>
        <w:footnoteReference w:id="8"/>
      </w:r>
    </w:p>
    <w:p w14:paraId="1881C3A1" w14:textId="5EE33A20" w:rsidR="007167F8" w:rsidRPr="007167F8" w:rsidRDefault="00012CF9" w:rsidP="00884CA4">
      <w:pPr>
        <w:spacing w:line="360" w:lineRule="auto"/>
        <w:jc w:val="both"/>
        <w:rPr>
          <w:rFonts w:cs="Arial"/>
        </w:rPr>
      </w:pPr>
      <w:r>
        <w:rPr>
          <w:rFonts w:cs="Arial"/>
        </w:rPr>
        <w:t xml:space="preserve">(c) </w:t>
      </w:r>
      <w:proofErr w:type="gramStart"/>
      <w:r w:rsidR="007167F8" w:rsidRPr="00884CA4">
        <w:rPr>
          <w:rFonts w:cs="Arial"/>
        </w:rPr>
        <w:t>t</w:t>
      </w:r>
      <w:r w:rsidR="00FE1B00" w:rsidRPr="00884CA4">
        <w:rPr>
          <w:rFonts w:cs="Arial"/>
        </w:rPr>
        <w:t>h</w:t>
      </w:r>
      <w:r w:rsidR="007167F8" w:rsidRPr="00884CA4">
        <w:rPr>
          <w:rFonts w:cs="Arial"/>
        </w:rPr>
        <w:t>e</w:t>
      </w:r>
      <w:proofErr w:type="gramEnd"/>
      <w:r w:rsidR="007167F8" w:rsidRPr="00884CA4">
        <w:rPr>
          <w:rFonts w:cs="Arial"/>
        </w:rPr>
        <w:t xml:space="preserve"> building has no </w:t>
      </w:r>
      <w:r w:rsidR="00C17A6E" w:rsidRPr="00884CA4">
        <w:rPr>
          <w:rFonts w:cs="Arial"/>
        </w:rPr>
        <w:t xml:space="preserve">long-term </w:t>
      </w:r>
      <w:r w:rsidR="007167F8" w:rsidRPr="00884CA4">
        <w:rPr>
          <w:rFonts w:cs="Arial"/>
        </w:rPr>
        <w:t xml:space="preserve">residential tenants but only </w:t>
      </w:r>
      <w:r w:rsidR="00FF34E3">
        <w:rPr>
          <w:rFonts w:cs="Arial"/>
        </w:rPr>
        <w:t xml:space="preserve">daily tenants </w:t>
      </w:r>
      <w:r w:rsidR="00C17A6E" w:rsidRPr="00884CA4">
        <w:rPr>
          <w:rFonts w:cs="Arial"/>
        </w:rPr>
        <w:t xml:space="preserve">and </w:t>
      </w:r>
      <w:r w:rsidR="007167F8" w:rsidRPr="00884CA4">
        <w:rPr>
          <w:rFonts w:cs="Arial"/>
        </w:rPr>
        <w:t>commercial tenants;</w:t>
      </w:r>
    </w:p>
    <w:p w14:paraId="193EC7C0" w14:textId="2C5183A1" w:rsidR="007167F8" w:rsidRPr="00884CA4" w:rsidRDefault="00012CF9" w:rsidP="00884CA4">
      <w:pPr>
        <w:spacing w:line="360" w:lineRule="auto"/>
        <w:jc w:val="both"/>
        <w:rPr>
          <w:rFonts w:cs="Arial"/>
        </w:rPr>
      </w:pPr>
      <w:r>
        <w:rPr>
          <w:rFonts w:cs="Arial"/>
        </w:rPr>
        <w:t xml:space="preserve">(d) </w:t>
      </w:r>
      <w:r w:rsidR="007167F8" w:rsidRPr="00884CA4">
        <w:rPr>
          <w:rFonts w:cs="Arial"/>
        </w:rPr>
        <w:t>as far as urgency is concerned, nothing in the papers justif</w:t>
      </w:r>
      <w:r w:rsidR="00044B02">
        <w:rPr>
          <w:rFonts w:cs="Arial"/>
        </w:rPr>
        <w:t>ies</w:t>
      </w:r>
      <w:r w:rsidR="007167F8" w:rsidRPr="00884CA4">
        <w:rPr>
          <w:rFonts w:cs="Arial"/>
        </w:rPr>
        <w:t xml:space="preserve"> urgency and accordingly, this application amounts to an abuse of process.</w:t>
      </w:r>
      <w:r w:rsidR="007167F8">
        <w:rPr>
          <w:rStyle w:val="FootnoteReference"/>
          <w:rFonts w:cs="Arial"/>
        </w:rPr>
        <w:footnoteReference w:id="9"/>
      </w:r>
    </w:p>
    <w:p w14:paraId="4C07352B" w14:textId="77777777" w:rsidR="007167F8" w:rsidRPr="00A749DC" w:rsidRDefault="007167F8" w:rsidP="001C7F5D">
      <w:pPr>
        <w:spacing w:line="360" w:lineRule="auto"/>
        <w:rPr>
          <w:rFonts w:cs="Arial"/>
          <w:b/>
          <w:bCs/>
          <w:caps/>
        </w:rPr>
      </w:pPr>
    </w:p>
    <w:p w14:paraId="3D421096" w14:textId="4E337348" w:rsidR="00FE1B00" w:rsidRPr="007B1587" w:rsidRDefault="00044B02" w:rsidP="001C7F5D">
      <w:pPr>
        <w:spacing w:line="360" w:lineRule="auto"/>
        <w:rPr>
          <w:rFonts w:cs="Arial"/>
        </w:rPr>
      </w:pPr>
      <w:r w:rsidRPr="0031315F">
        <w:rPr>
          <w:rFonts w:cs="Arial"/>
          <w:b/>
          <w:bCs/>
        </w:rPr>
        <w:t xml:space="preserve">Power </w:t>
      </w:r>
      <w:r>
        <w:rPr>
          <w:rFonts w:cs="Arial"/>
          <w:b/>
          <w:bCs/>
        </w:rPr>
        <w:t>o</w:t>
      </w:r>
      <w:r w:rsidRPr="0031315F">
        <w:rPr>
          <w:rFonts w:cs="Arial"/>
          <w:b/>
          <w:bCs/>
        </w:rPr>
        <w:t>f Attorney</w:t>
      </w:r>
      <w:r w:rsidRPr="004F2F00">
        <w:rPr>
          <w:rFonts w:cs="Arial"/>
        </w:rPr>
        <w:t xml:space="preserve"> </w:t>
      </w:r>
    </w:p>
    <w:p w14:paraId="489A26B7" w14:textId="6CF77EE0" w:rsidR="00B3484B" w:rsidRDefault="00023CCE" w:rsidP="00023CCE">
      <w:pPr>
        <w:spacing w:line="360" w:lineRule="auto"/>
        <w:jc w:val="both"/>
        <w:rPr>
          <w:rFonts w:cs="Arial"/>
        </w:rPr>
      </w:pPr>
      <w:r>
        <w:rPr>
          <w:rFonts w:cs="Arial"/>
        </w:rPr>
        <w:t>[23]</w:t>
      </w:r>
      <w:r>
        <w:rPr>
          <w:rFonts w:cs="Arial"/>
        </w:rPr>
        <w:tab/>
      </w:r>
      <w:r w:rsidR="007167F8">
        <w:rPr>
          <w:rFonts w:cs="Arial"/>
        </w:rPr>
        <w:t xml:space="preserve">At </w:t>
      </w:r>
      <w:r w:rsidR="00EB5C23">
        <w:rPr>
          <w:rFonts w:cs="Arial"/>
        </w:rPr>
        <w:t xml:space="preserve">the commencement of the hearing, Mr </w:t>
      </w:r>
      <w:r w:rsidR="00EB5C23" w:rsidRPr="00A749DC">
        <w:rPr>
          <w:rFonts w:cs="Arial"/>
          <w:i/>
        </w:rPr>
        <w:t>Veerasamy</w:t>
      </w:r>
      <w:r w:rsidR="00EB5C23">
        <w:rPr>
          <w:rFonts w:cs="Arial"/>
        </w:rPr>
        <w:t xml:space="preserve"> </w:t>
      </w:r>
      <w:r w:rsidR="00D55AA9">
        <w:rPr>
          <w:rFonts w:cs="Arial"/>
        </w:rPr>
        <w:t xml:space="preserve">handed to me a notice in terms of </w:t>
      </w:r>
      <w:r w:rsidR="00044B02">
        <w:rPr>
          <w:rFonts w:cs="Arial"/>
        </w:rPr>
        <w:t>Uniform r</w:t>
      </w:r>
      <w:r w:rsidR="00D55AA9">
        <w:rPr>
          <w:rFonts w:cs="Arial"/>
        </w:rPr>
        <w:t xml:space="preserve">ule 7(1) that was served on the </w:t>
      </w:r>
      <w:r w:rsidR="00044B02">
        <w:rPr>
          <w:rFonts w:cs="Arial"/>
        </w:rPr>
        <w:t>a</w:t>
      </w:r>
      <w:r w:rsidR="00D55AA9">
        <w:rPr>
          <w:rFonts w:cs="Arial"/>
        </w:rPr>
        <w:t xml:space="preserve">pplicants’ attorney of record on 16 March 2023. </w:t>
      </w:r>
      <w:r w:rsidR="00E44448">
        <w:rPr>
          <w:rFonts w:cs="Arial"/>
        </w:rPr>
        <w:t>I understood from Mr</w:t>
      </w:r>
      <w:r w:rsidR="00E44448" w:rsidRPr="00E44448">
        <w:rPr>
          <w:rFonts w:cs="Arial"/>
          <w:i/>
          <w:iCs/>
        </w:rPr>
        <w:t xml:space="preserve"> Veerasamy’s</w:t>
      </w:r>
      <w:r w:rsidR="00E44448">
        <w:rPr>
          <w:rFonts w:cs="Arial"/>
        </w:rPr>
        <w:t xml:space="preserve"> address to me that the reason for the notice is that they dispute that the attorney of record truly has a mandate to bring this application. </w:t>
      </w:r>
    </w:p>
    <w:p w14:paraId="1E734599" w14:textId="77777777" w:rsidR="00B3484B" w:rsidRDefault="00B3484B" w:rsidP="001C7F5D">
      <w:pPr>
        <w:spacing w:line="360" w:lineRule="auto"/>
        <w:jc w:val="both"/>
        <w:rPr>
          <w:rFonts w:cs="Arial"/>
        </w:rPr>
      </w:pPr>
    </w:p>
    <w:p w14:paraId="50209404" w14:textId="78C9B37B" w:rsidR="00B3484B" w:rsidRPr="00B3484B" w:rsidRDefault="00023CCE" w:rsidP="00023CCE">
      <w:pPr>
        <w:spacing w:line="360" w:lineRule="auto"/>
        <w:jc w:val="both"/>
        <w:rPr>
          <w:rFonts w:cs="Arial"/>
        </w:rPr>
      </w:pPr>
      <w:r w:rsidRPr="00B3484B">
        <w:rPr>
          <w:rFonts w:cs="Arial"/>
        </w:rPr>
        <w:t>[24]</w:t>
      </w:r>
      <w:r w:rsidRPr="00B3484B">
        <w:rPr>
          <w:rFonts w:cs="Arial"/>
        </w:rPr>
        <w:tab/>
      </w:r>
      <w:r w:rsidR="00B3484B" w:rsidRPr="00B3484B">
        <w:rPr>
          <w:rFonts w:cs="Arial"/>
        </w:rPr>
        <w:t>It is evident from the submissions and the papers handed up to me by counsel</w:t>
      </w:r>
      <w:r w:rsidR="0063360E">
        <w:rPr>
          <w:rFonts w:cs="Arial"/>
        </w:rPr>
        <w:t xml:space="preserve">, which I deal with hereinbelow, </w:t>
      </w:r>
      <w:r w:rsidR="00B3484B" w:rsidRPr="00B3484B">
        <w:rPr>
          <w:rFonts w:cs="Arial"/>
        </w:rPr>
        <w:t xml:space="preserve">that indeed the </w:t>
      </w:r>
      <w:r w:rsidR="00044B02">
        <w:rPr>
          <w:rFonts w:cs="Arial"/>
        </w:rPr>
        <w:t>Uniform r</w:t>
      </w:r>
      <w:r w:rsidR="00B3484B" w:rsidRPr="00B3484B">
        <w:rPr>
          <w:rFonts w:cs="Arial"/>
        </w:rPr>
        <w:t xml:space="preserve">ule 7(1) notice was not </w:t>
      </w:r>
      <w:r w:rsidR="0063360E">
        <w:rPr>
          <w:rFonts w:cs="Arial"/>
        </w:rPr>
        <w:t xml:space="preserve">strictly </w:t>
      </w:r>
      <w:r w:rsidR="00B3484B" w:rsidRPr="00B3484B">
        <w:rPr>
          <w:rFonts w:cs="Arial"/>
        </w:rPr>
        <w:t>complied with. Uniform Rule 7(1) reads:</w:t>
      </w:r>
    </w:p>
    <w:p w14:paraId="50D3CAB1" w14:textId="3D6B8658" w:rsidR="00B3484B" w:rsidRPr="00A30DAA" w:rsidRDefault="00044B02" w:rsidP="001C7F5D">
      <w:pPr>
        <w:spacing w:line="360" w:lineRule="auto"/>
        <w:jc w:val="both"/>
        <w:rPr>
          <w:rFonts w:cs="Arial"/>
          <w:iCs/>
          <w:sz w:val="22"/>
          <w:szCs w:val="22"/>
        </w:rPr>
      </w:pPr>
      <w:r w:rsidRPr="00A749DC">
        <w:rPr>
          <w:rFonts w:cs="Arial"/>
          <w:iCs/>
          <w:sz w:val="22"/>
          <w:szCs w:val="22"/>
        </w:rPr>
        <w:t>‘</w:t>
      </w:r>
      <w:r w:rsidR="00B3484B" w:rsidRPr="00A749DC">
        <w:rPr>
          <w:rFonts w:cs="Arial"/>
          <w:iCs/>
          <w:sz w:val="22"/>
          <w:szCs w:val="22"/>
        </w:rPr>
        <w:t>Subject to the provisions of sub-rules (2) and (3) a power of attorney to act need not be filed, but the authority of anyone acting on behalf of a party</w:t>
      </w:r>
      <w:r>
        <w:rPr>
          <w:rFonts w:cs="Arial"/>
          <w:iCs/>
          <w:sz w:val="22"/>
          <w:szCs w:val="22"/>
        </w:rPr>
        <w:t xml:space="preserve"> may</w:t>
      </w:r>
      <w:r w:rsidR="00B3484B" w:rsidRPr="00A30DAA">
        <w:rPr>
          <w:rFonts w:cs="Arial"/>
          <w:iCs/>
          <w:sz w:val="22"/>
          <w:szCs w:val="22"/>
        </w:rPr>
        <w:t xml:space="preserve">, within </w:t>
      </w:r>
      <w:r>
        <w:rPr>
          <w:rFonts w:cs="Arial"/>
          <w:iCs/>
          <w:sz w:val="22"/>
          <w:szCs w:val="22"/>
        </w:rPr>
        <w:t>10</w:t>
      </w:r>
      <w:r w:rsidRPr="00A30DAA">
        <w:rPr>
          <w:rFonts w:cs="Arial"/>
          <w:iCs/>
          <w:sz w:val="22"/>
          <w:szCs w:val="22"/>
        </w:rPr>
        <w:t xml:space="preserve"> </w:t>
      </w:r>
      <w:r w:rsidR="00B3484B" w:rsidRPr="00A30DAA">
        <w:rPr>
          <w:rFonts w:cs="Arial"/>
          <w:iCs/>
          <w:sz w:val="22"/>
          <w:szCs w:val="22"/>
        </w:rPr>
        <w:t xml:space="preserve">days after it has come to the notice of a party that such person is so acting, or with the leave of the </w:t>
      </w:r>
      <w:r>
        <w:rPr>
          <w:rFonts w:cs="Arial"/>
          <w:iCs/>
          <w:sz w:val="22"/>
          <w:szCs w:val="22"/>
        </w:rPr>
        <w:t>c</w:t>
      </w:r>
      <w:r w:rsidR="00B3484B" w:rsidRPr="00A30DAA">
        <w:rPr>
          <w:rFonts w:cs="Arial"/>
          <w:iCs/>
          <w:sz w:val="22"/>
          <w:szCs w:val="22"/>
        </w:rPr>
        <w:t>ourt on good cause shown at any time before judgment, be disputed, whereafter such person may no longer act unless he satisfie</w:t>
      </w:r>
      <w:r>
        <w:rPr>
          <w:rFonts w:cs="Arial"/>
          <w:iCs/>
          <w:sz w:val="22"/>
          <w:szCs w:val="22"/>
        </w:rPr>
        <w:t>s</w:t>
      </w:r>
      <w:r w:rsidR="00B3484B" w:rsidRPr="00A30DAA">
        <w:rPr>
          <w:rFonts w:cs="Arial"/>
          <w:iCs/>
          <w:sz w:val="22"/>
          <w:szCs w:val="22"/>
        </w:rPr>
        <w:t xml:space="preserve"> the </w:t>
      </w:r>
      <w:r>
        <w:rPr>
          <w:rFonts w:cs="Arial"/>
          <w:iCs/>
          <w:sz w:val="22"/>
          <w:szCs w:val="22"/>
        </w:rPr>
        <w:t>c</w:t>
      </w:r>
      <w:r w:rsidR="00B3484B" w:rsidRPr="00A30DAA">
        <w:rPr>
          <w:rFonts w:cs="Arial"/>
          <w:iCs/>
          <w:sz w:val="22"/>
          <w:szCs w:val="22"/>
        </w:rPr>
        <w:t xml:space="preserve">ourt that he is authorised </w:t>
      </w:r>
      <w:r>
        <w:rPr>
          <w:rFonts w:cs="Arial"/>
          <w:iCs/>
          <w:sz w:val="22"/>
          <w:szCs w:val="22"/>
        </w:rPr>
        <w:t xml:space="preserve">so </w:t>
      </w:r>
      <w:r w:rsidR="00B3484B" w:rsidRPr="00A30DAA">
        <w:rPr>
          <w:rFonts w:cs="Arial"/>
          <w:iCs/>
          <w:sz w:val="22"/>
          <w:szCs w:val="22"/>
        </w:rPr>
        <w:t xml:space="preserve">to act, and to enable him to do so the </w:t>
      </w:r>
      <w:r>
        <w:rPr>
          <w:rFonts w:cs="Arial"/>
          <w:iCs/>
          <w:sz w:val="22"/>
          <w:szCs w:val="22"/>
        </w:rPr>
        <w:t>c</w:t>
      </w:r>
      <w:r w:rsidR="00B3484B" w:rsidRPr="00A30DAA">
        <w:rPr>
          <w:rFonts w:cs="Arial"/>
          <w:iCs/>
          <w:sz w:val="22"/>
          <w:szCs w:val="22"/>
        </w:rPr>
        <w:t>ourt may postpone</w:t>
      </w:r>
      <w:r w:rsidR="00783BF6" w:rsidRPr="00A30DAA">
        <w:rPr>
          <w:rFonts w:cs="Arial"/>
          <w:iCs/>
          <w:sz w:val="22"/>
          <w:szCs w:val="22"/>
        </w:rPr>
        <w:t xml:space="preserve"> </w:t>
      </w:r>
      <w:r w:rsidR="00B3484B" w:rsidRPr="00A30DAA">
        <w:rPr>
          <w:rFonts w:cs="Arial"/>
          <w:iCs/>
          <w:sz w:val="22"/>
          <w:szCs w:val="22"/>
        </w:rPr>
        <w:t xml:space="preserve">the hearing of the action </w:t>
      </w:r>
      <w:r w:rsidR="00783BF6" w:rsidRPr="00A30DAA">
        <w:rPr>
          <w:rFonts w:cs="Arial"/>
          <w:iCs/>
          <w:sz w:val="22"/>
          <w:szCs w:val="22"/>
        </w:rPr>
        <w:t>or</w:t>
      </w:r>
      <w:r w:rsidR="00B3484B" w:rsidRPr="00A30DAA">
        <w:rPr>
          <w:rFonts w:cs="Arial"/>
          <w:iCs/>
          <w:sz w:val="22"/>
          <w:szCs w:val="22"/>
        </w:rPr>
        <w:t xml:space="preserve"> application.</w:t>
      </w:r>
      <w:r w:rsidRPr="00A30DAA">
        <w:rPr>
          <w:rFonts w:cs="Arial"/>
          <w:iCs/>
          <w:sz w:val="22"/>
          <w:szCs w:val="22"/>
        </w:rPr>
        <w:t>’</w:t>
      </w:r>
    </w:p>
    <w:p w14:paraId="7D4D1847" w14:textId="77777777" w:rsidR="00B3484B" w:rsidRDefault="00B3484B" w:rsidP="001C7F5D">
      <w:pPr>
        <w:spacing w:line="360" w:lineRule="auto"/>
        <w:jc w:val="both"/>
        <w:rPr>
          <w:rFonts w:cs="Arial"/>
        </w:rPr>
      </w:pPr>
    </w:p>
    <w:p w14:paraId="54438494" w14:textId="7B2941AE" w:rsidR="00FE1B00" w:rsidRDefault="00023CCE" w:rsidP="00023CCE">
      <w:pPr>
        <w:spacing w:line="360" w:lineRule="auto"/>
        <w:jc w:val="both"/>
        <w:rPr>
          <w:rFonts w:cs="Arial"/>
        </w:rPr>
      </w:pPr>
      <w:r>
        <w:rPr>
          <w:rFonts w:cs="Arial"/>
        </w:rPr>
        <w:t>[25]</w:t>
      </w:r>
      <w:r>
        <w:rPr>
          <w:rFonts w:cs="Arial"/>
        </w:rPr>
        <w:tab/>
      </w:r>
      <w:r w:rsidR="00D55AA9">
        <w:rPr>
          <w:rFonts w:cs="Arial"/>
        </w:rPr>
        <w:t xml:space="preserve">The notice calls upon Rodney Reddy and Associates, the </w:t>
      </w:r>
      <w:r w:rsidR="00F64FC7">
        <w:rPr>
          <w:rFonts w:cs="Arial"/>
        </w:rPr>
        <w:t>a</w:t>
      </w:r>
      <w:r w:rsidR="00D55AA9">
        <w:rPr>
          <w:rFonts w:cs="Arial"/>
        </w:rPr>
        <w:t xml:space="preserve">pplicants’ attorney of record, to furnish </w:t>
      </w:r>
      <w:r w:rsidR="0071285D">
        <w:rPr>
          <w:rFonts w:cs="Arial"/>
        </w:rPr>
        <w:t xml:space="preserve">to the </w:t>
      </w:r>
      <w:r w:rsidR="00F64FC7">
        <w:rPr>
          <w:rFonts w:cs="Arial"/>
        </w:rPr>
        <w:t>r</w:t>
      </w:r>
      <w:r w:rsidR="0071285D">
        <w:rPr>
          <w:rFonts w:cs="Arial"/>
        </w:rPr>
        <w:t xml:space="preserve">espondents, </w:t>
      </w:r>
      <w:r w:rsidR="00D55AA9">
        <w:rPr>
          <w:rFonts w:cs="Arial"/>
        </w:rPr>
        <w:t>p</w:t>
      </w:r>
      <w:r w:rsidR="00E70BBB">
        <w:rPr>
          <w:rFonts w:cs="Arial"/>
        </w:rPr>
        <w:t xml:space="preserve">roof of authority to act </w:t>
      </w:r>
      <w:r w:rsidR="0071285D">
        <w:rPr>
          <w:rFonts w:cs="Arial"/>
        </w:rPr>
        <w:t xml:space="preserve">on their behalf </w:t>
      </w:r>
      <w:r w:rsidR="00E70BBB">
        <w:rPr>
          <w:rFonts w:cs="Arial"/>
        </w:rPr>
        <w:t>within two days</w:t>
      </w:r>
      <w:r w:rsidR="00F64FC7">
        <w:rPr>
          <w:rFonts w:cs="Arial"/>
        </w:rPr>
        <w:t>,</w:t>
      </w:r>
      <w:r w:rsidR="00E70BBB">
        <w:rPr>
          <w:rFonts w:cs="Arial"/>
        </w:rPr>
        <w:t xml:space="preserve"> alternately to hand up such authority at </w:t>
      </w:r>
      <w:r w:rsidR="00F64FC7">
        <w:rPr>
          <w:rFonts w:cs="Arial"/>
        </w:rPr>
        <w:t>c</w:t>
      </w:r>
      <w:r w:rsidR="00E70BBB">
        <w:rPr>
          <w:rFonts w:cs="Arial"/>
        </w:rPr>
        <w:t>ourt. The documents requested are</w:t>
      </w:r>
      <w:r w:rsidR="00FF34E3">
        <w:rPr>
          <w:rFonts w:cs="Arial"/>
        </w:rPr>
        <w:t xml:space="preserve"> the </w:t>
      </w:r>
      <w:r w:rsidR="00E70BBB">
        <w:rPr>
          <w:rFonts w:cs="Arial"/>
        </w:rPr>
        <w:t>original copies of the power</w:t>
      </w:r>
      <w:r w:rsidR="00FF34E3">
        <w:rPr>
          <w:rFonts w:cs="Arial"/>
        </w:rPr>
        <w:t>s</w:t>
      </w:r>
      <w:r w:rsidR="00E70BBB">
        <w:rPr>
          <w:rFonts w:cs="Arial"/>
        </w:rPr>
        <w:t xml:space="preserve"> of attorney and certified copies of the identity documents of the </w:t>
      </w:r>
      <w:r w:rsidR="00F64FC7">
        <w:rPr>
          <w:rFonts w:cs="Arial"/>
        </w:rPr>
        <w:t>a</w:t>
      </w:r>
      <w:r w:rsidR="00E70BBB">
        <w:rPr>
          <w:rFonts w:cs="Arial"/>
        </w:rPr>
        <w:t>pplicants.</w:t>
      </w:r>
    </w:p>
    <w:p w14:paraId="2F9319D6" w14:textId="77777777" w:rsidR="00E70BBB" w:rsidRDefault="00E70BBB" w:rsidP="001C7F5D">
      <w:pPr>
        <w:spacing w:line="360" w:lineRule="auto"/>
        <w:jc w:val="both"/>
        <w:rPr>
          <w:rFonts w:cs="Arial"/>
        </w:rPr>
      </w:pPr>
    </w:p>
    <w:p w14:paraId="232C8603" w14:textId="684005BE" w:rsidR="0071285D" w:rsidRDefault="00023CCE" w:rsidP="00023CCE">
      <w:pPr>
        <w:spacing w:line="360" w:lineRule="auto"/>
        <w:jc w:val="both"/>
        <w:rPr>
          <w:rFonts w:cs="Arial"/>
        </w:rPr>
      </w:pPr>
      <w:r>
        <w:rPr>
          <w:rFonts w:cs="Arial"/>
        </w:rPr>
        <w:t>[26]</w:t>
      </w:r>
      <w:r>
        <w:rPr>
          <w:rFonts w:cs="Arial"/>
        </w:rPr>
        <w:tab/>
      </w:r>
      <w:r w:rsidR="00195020">
        <w:rPr>
          <w:rFonts w:cs="Arial"/>
        </w:rPr>
        <w:t xml:space="preserve">I deal with the said documents hereunder: </w:t>
      </w:r>
    </w:p>
    <w:p w14:paraId="1E46282B" w14:textId="2F197A93" w:rsidR="0081735C" w:rsidRPr="0031315F" w:rsidRDefault="00F64FC7" w:rsidP="00A30DAA">
      <w:pPr>
        <w:spacing w:line="360" w:lineRule="auto"/>
        <w:jc w:val="both"/>
        <w:rPr>
          <w:rFonts w:cs="Arial"/>
        </w:rPr>
      </w:pPr>
      <w:r>
        <w:rPr>
          <w:rFonts w:cs="Arial"/>
        </w:rPr>
        <w:t>(a)</w:t>
      </w:r>
      <w:r>
        <w:rPr>
          <w:rFonts w:cs="Arial"/>
        </w:rPr>
        <w:tab/>
      </w:r>
      <w:r w:rsidR="00195020" w:rsidRPr="0031315F">
        <w:rPr>
          <w:rFonts w:cs="Arial"/>
        </w:rPr>
        <w:t>Three documents</w:t>
      </w:r>
      <w:r w:rsidR="0071285D" w:rsidRPr="0031315F">
        <w:rPr>
          <w:rFonts w:cs="Arial"/>
        </w:rPr>
        <w:t xml:space="preserve"> </w:t>
      </w:r>
      <w:r w:rsidR="00195020" w:rsidRPr="004F2F00">
        <w:rPr>
          <w:rFonts w:cs="Arial"/>
        </w:rPr>
        <w:t>styled</w:t>
      </w:r>
      <w:r w:rsidR="00E70BBB" w:rsidRPr="007B1587">
        <w:rPr>
          <w:rFonts w:cs="Arial"/>
        </w:rPr>
        <w:t xml:space="preserve"> </w:t>
      </w:r>
      <w:r w:rsidR="006D2DBE">
        <w:rPr>
          <w:rFonts w:cs="Arial"/>
        </w:rPr>
        <w:t>‘</w:t>
      </w:r>
      <w:r w:rsidR="00E70BBB" w:rsidRPr="00A749DC">
        <w:rPr>
          <w:rFonts w:cs="Arial"/>
          <w:iCs/>
        </w:rPr>
        <w:t>Authority and Mandate</w:t>
      </w:r>
      <w:r w:rsidR="006D2DBE" w:rsidRPr="00A749DC">
        <w:rPr>
          <w:rFonts w:cs="Arial"/>
          <w:iCs/>
        </w:rPr>
        <w:t>’</w:t>
      </w:r>
      <w:r w:rsidR="0081735C" w:rsidRPr="0031315F">
        <w:rPr>
          <w:rFonts w:cs="Arial"/>
        </w:rPr>
        <w:t xml:space="preserve"> (</w:t>
      </w:r>
      <w:r w:rsidR="006D2DBE">
        <w:rPr>
          <w:rFonts w:cs="Arial"/>
        </w:rPr>
        <w:t>‘</w:t>
      </w:r>
      <w:r w:rsidR="0081735C" w:rsidRPr="0031315F">
        <w:rPr>
          <w:rFonts w:cs="Arial"/>
        </w:rPr>
        <w:t>mandate</w:t>
      </w:r>
      <w:r w:rsidR="006D2DBE">
        <w:rPr>
          <w:rFonts w:cs="Arial"/>
        </w:rPr>
        <w:t>’</w:t>
      </w:r>
      <w:r w:rsidR="0081735C" w:rsidRPr="0031315F">
        <w:rPr>
          <w:rFonts w:cs="Arial"/>
        </w:rPr>
        <w:t>)</w:t>
      </w:r>
      <w:r w:rsidR="006D2DBE">
        <w:rPr>
          <w:rFonts w:cs="Arial"/>
        </w:rPr>
        <w:t>:</w:t>
      </w:r>
      <w:r w:rsidR="0081735C" w:rsidRPr="0031315F">
        <w:rPr>
          <w:rFonts w:cs="Arial"/>
        </w:rPr>
        <w:t xml:space="preserve"> </w:t>
      </w:r>
      <w:r w:rsidR="006D2DBE">
        <w:rPr>
          <w:rFonts w:cs="Arial"/>
        </w:rPr>
        <w:t>w</w:t>
      </w:r>
      <w:r w:rsidR="0071285D" w:rsidRPr="0031315F">
        <w:rPr>
          <w:rFonts w:cs="Arial"/>
        </w:rPr>
        <w:t xml:space="preserve">hile all three </w:t>
      </w:r>
      <w:r w:rsidR="0081735C" w:rsidRPr="004F2F00">
        <w:rPr>
          <w:rFonts w:cs="Arial"/>
        </w:rPr>
        <w:t xml:space="preserve">mandates </w:t>
      </w:r>
      <w:r w:rsidR="00573F12" w:rsidRPr="007B1587">
        <w:rPr>
          <w:rFonts w:cs="Arial"/>
        </w:rPr>
        <w:t xml:space="preserve">were </w:t>
      </w:r>
      <w:r w:rsidR="0071285D" w:rsidRPr="007B1587">
        <w:rPr>
          <w:rFonts w:cs="Arial"/>
        </w:rPr>
        <w:t>dated March 2023</w:t>
      </w:r>
      <w:r w:rsidR="00573F12" w:rsidRPr="000F27BA">
        <w:rPr>
          <w:rFonts w:cs="Arial"/>
        </w:rPr>
        <w:t xml:space="preserve">, and signed </w:t>
      </w:r>
      <w:r w:rsidR="00195020" w:rsidRPr="000F27BA">
        <w:rPr>
          <w:rFonts w:cs="Arial"/>
        </w:rPr>
        <w:t xml:space="preserve">by the applicants and </w:t>
      </w:r>
      <w:r w:rsidR="00573F12" w:rsidRPr="00003B97">
        <w:rPr>
          <w:rFonts w:cs="Arial"/>
        </w:rPr>
        <w:t xml:space="preserve">two witnesses, the day in March 2023 when </w:t>
      </w:r>
      <w:r w:rsidR="00012CF9">
        <w:rPr>
          <w:rFonts w:cs="Arial"/>
        </w:rPr>
        <w:t>they were</w:t>
      </w:r>
      <w:r w:rsidR="00573F12" w:rsidRPr="00003B97">
        <w:rPr>
          <w:rFonts w:cs="Arial"/>
        </w:rPr>
        <w:t xml:space="preserve"> signed is not inserted. </w:t>
      </w:r>
      <w:r w:rsidR="006D2DBE">
        <w:rPr>
          <w:rFonts w:cs="Arial"/>
        </w:rPr>
        <w:t>A</w:t>
      </w:r>
      <w:r w:rsidR="0081735C" w:rsidRPr="0031315F">
        <w:rPr>
          <w:rFonts w:cs="Arial"/>
        </w:rPr>
        <w:t>ll three mandates</w:t>
      </w:r>
      <w:r w:rsidR="0081735C" w:rsidRPr="004F2F00">
        <w:rPr>
          <w:rFonts w:cs="Arial"/>
        </w:rPr>
        <w:t xml:space="preserve"> authorised Mr Rodney Reddy of attorneys Rodney Reddy and Associates</w:t>
      </w:r>
      <w:r w:rsidR="00E36DCD" w:rsidRPr="007B1587">
        <w:rPr>
          <w:rFonts w:cs="Arial"/>
        </w:rPr>
        <w:t xml:space="preserve">, </w:t>
      </w:r>
      <w:r w:rsidR="0081735C" w:rsidRPr="000F27BA">
        <w:rPr>
          <w:rFonts w:cs="Arial"/>
        </w:rPr>
        <w:t xml:space="preserve">to act on behalf of all three </w:t>
      </w:r>
      <w:r w:rsidR="006D2DBE">
        <w:rPr>
          <w:rFonts w:cs="Arial"/>
        </w:rPr>
        <w:t>a</w:t>
      </w:r>
      <w:r w:rsidR="0081735C" w:rsidRPr="0031315F">
        <w:rPr>
          <w:rFonts w:cs="Arial"/>
        </w:rPr>
        <w:t xml:space="preserve">pplicants in this matter. </w:t>
      </w:r>
    </w:p>
    <w:p w14:paraId="57065394" w14:textId="71B1006C" w:rsidR="0081735C" w:rsidRPr="00003B97" w:rsidRDefault="00F64FC7" w:rsidP="00A30DAA">
      <w:pPr>
        <w:spacing w:line="360" w:lineRule="auto"/>
        <w:jc w:val="both"/>
        <w:rPr>
          <w:rFonts w:cs="Arial"/>
        </w:rPr>
      </w:pPr>
      <w:r>
        <w:rPr>
          <w:rFonts w:cs="Arial"/>
        </w:rPr>
        <w:t>(b)</w:t>
      </w:r>
      <w:r>
        <w:rPr>
          <w:rFonts w:cs="Arial"/>
        </w:rPr>
        <w:tab/>
      </w:r>
      <w:r w:rsidR="0081735C" w:rsidRPr="0031315F">
        <w:rPr>
          <w:rFonts w:cs="Arial"/>
        </w:rPr>
        <w:t xml:space="preserve">Together with the </w:t>
      </w:r>
      <w:r w:rsidR="006D2DBE">
        <w:rPr>
          <w:rFonts w:cs="Arial"/>
        </w:rPr>
        <w:t>f</w:t>
      </w:r>
      <w:r w:rsidR="0081735C" w:rsidRPr="0031315F">
        <w:rPr>
          <w:rFonts w:cs="Arial"/>
        </w:rPr>
        <w:t xml:space="preserve">irst </w:t>
      </w:r>
      <w:r w:rsidR="006D2DBE">
        <w:rPr>
          <w:rFonts w:cs="Arial"/>
        </w:rPr>
        <w:t>a</w:t>
      </w:r>
      <w:r w:rsidR="0081735C" w:rsidRPr="0031315F">
        <w:rPr>
          <w:rFonts w:cs="Arial"/>
        </w:rPr>
        <w:t>pplicant</w:t>
      </w:r>
      <w:r w:rsidR="006D2DBE">
        <w:rPr>
          <w:rFonts w:cs="Arial"/>
        </w:rPr>
        <w:t>’</w:t>
      </w:r>
      <w:r w:rsidR="0081735C" w:rsidRPr="0031315F">
        <w:rPr>
          <w:rFonts w:cs="Arial"/>
        </w:rPr>
        <w:t>s mandate, I was also handed a c</w:t>
      </w:r>
      <w:r w:rsidR="0081735C" w:rsidRPr="007B1587">
        <w:rPr>
          <w:rFonts w:cs="Arial"/>
        </w:rPr>
        <w:t>ertified copy of a</w:t>
      </w:r>
      <w:r w:rsidR="00F94CCF" w:rsidRPr="007B1587">
        <w:rPr>
          <w:rFonts w:cs="Arial"/>
        </w:rPr>
        <w:t xml:space="preserve"> South African </w:t>
      </w:r>
      <w:r w:rsidR="0081735C" w:rsidRPr="000F27BA">
        <w:rPr>
          <w:rFonts w:cs="Arial"/>
        </w:rPr>
        <w:t xml:space="preserve">identity card in the name of Tyson Emmanuel </w:t>
      </w:r>
      <w:proofErr w:type="spellStart"/>
      <w:r w:rsidR="0081735C" w:rsidRPr="000F27BA">
        <w:rPr>
          <w:rFonts w:cs="Arial"/>
        </w:rPr>
        <w:t>Dladla</w:t>
      </w:r>
      <w:proofErr w:type="spellEnd"/>
      <w:r w:rsidR="0081735C" w:rsidRPr="000F27BA">
        <w:rPr>
          <w:rFonts w:cs="Arial"/>
        </w:rPr>
        <w:t>, which had been certified as a true copy</w:t>
      </w:r>
      <w:r w:rsidR="00F94CCF" w:rsidRPr="000F27BA">
        <w:rPr>
          <w:rFonts w:cs="Arial"/>
        </w:rPr>
        <w:t xml:space="preserve"> of the original on 2</w:t>
      </w:r>
      <w:r w:rsidR="0081735C" w:rsidRPr="00003B97">
        <w:rPr>
          <w:rFonts w:cs="Arial"/>
        </w:rPr>
        <w:t xml:space="preserve"> March 2023.</w:t>
      </w:r>
    </w:p>
    <w:p w14:paraId="3621EDE8" w14:textId="4960D4CB" w:rsidR="000C2BC2" w:rsidRPr="00003B97" w:rsidRDefault="00F64FC7" w:rsidP="00A30DAA">
      <w:pPr>
        <w:spacing w:line="360" w:lineRule="auto"/>
        <w:jc w:val="both"/>
        <w:rPr>
          <w:rFonts w:cs="Arial"/>
        </w:rPr>
      </w:pPr>
      <w:r>
        <w:rPr>
          <w:rFonts w:cs="Arial"/>
        </w:rPr>
        <w:t>(c)</w:t>
      </w:r>
      <w:r>
        <w:rPr>
          <w:rFonts w:cs="Arial"/>
        </w:rPr>
        <w:tab/>
      </w:r>
      <w:r w:rsidR="00F94CCF" w:rsidRPr="0031315F">
        <w:rPr>
          <w:rFonts w:cs="Arial"/>
        </w:rPr>
        <w:t xml:space="preserve">Together with the </w:t>
      </w:r>
      <w:r w:rsidR="006D2DBE">
        <w:rPr>
          <w:rFonts w:cs="Arial"/>
        </w:rPr>
        <w:t>s</w:t>
      </w:r>
      <w:r w:rsidR="00F94CCF" w:rsidRPr="0031315F">
        <w:rPr>
          <w:rFonts w:cs="Arial"/>
        </w:rPr>
        <w:t xml:space="preserve">econd </w:t>
      </w:r>
      <w:r w:rsidR="006D2DBE">
        <w:rPr>
          <w:rFonts w:cs="Arial"/>
        </w:rPr>
        <w:t>a</w:t>
      </w:r>
      <w:r w:rsidR="00E70BBB" w:rsidRPr="0031315F">
        <w:rPr>
          <w:rFonts w:cs="Arial"/>
        </w:rPr>
        <w:t>pplicant</w:t>
      </w:r>
      <w:r w:rsidR="00F94CCF" w:rsidRPr="004F2F00">
        <w:rPr>
          <w:rFonts w:cs="Arial"/>
        </w:rPr>
        <w:t>’s mandate</w:t>
      </w:r>
      <w:r w:rsidR="000C2BC2" w:rsidRPr="007B1587">
        <w:rPr>
          <w:rFonts w:cs="Arial"/>
        </w:rPr>
        <w:t>, I was also handed an uncertified copy of what appears to be a temporary identity document</w:t>
      </w:r>
      <w:r w:rsidR="00F94CCF" w:rsidRPr="000F27BA">
        <w:rPr>
          <w:rFonts w:cs="Arial"/>
        </w:rPr>
        <w:t xml:space="preserve"> in the name</w:t>
      </w:r>
      <w:r w:rsidR="000C2BC2" w:rsidRPr="000F27BA">
        <w:rPr>
          <w:rFonts w:cs="Arial"/>
        </w:rPr>
        <w:t xml:space="preserve"> </w:t>
      </w:r>
      <w:proofErr w:type="spellStart"/>
      <w:r w:rsidR="00F94CCF" w:rsidRPr="00A749DC">
        <w:rPr>
          <w:rFonts w:cs="Arial"/>
          <w:iCs/>
        </w:rPr>
        <w:t>Vusumuzi</w:t>
      </w:r>
      <w:proofErr w:type="spellEnd"/>
      <w:r w:rsidR="00F94CCF" w:rsidRPr="00A749DC">
        <w:rPr>
          <w:rFonts w:cs="Arial"/>
          <w:iCs/>
        </w:rPr>
        <w:t xml:space="preserve"> </w:t>
      </w:r>
      <w:proofErr w:type="spellStart"/>
      <w:r w:rsidR="00F94CCF" w:rsidRPr="00A749DC">
        <w:rPr>
          <w:rFonts w:cs="Arial"/>
          <w:iCs/>
        </w:rPr>
        <w:t>Synette</w:t>
      </w:r>
      <w:proofErr w:type="spellEnd"/>
      <w:r w:rsidR="00F94CCF" w:rsidRPr="00A749DC">
        <w:rPr>
          <w:rFonts w:cs="Arial"/>
          <w:iCs/>
        </w:rPr>
        <w:t xml:space="preserve"> </w:t>
      </w:r>
      <w:proofErr w:type="spellStart"/>
      <w:r w:rsidR="00F94CCF" w:rsidRPr="00A749DC">
        <w:rPr>
          <w:rFonts w:cs="Arial"/>
          <w:iCs/>
        </w:rPr>
        <w:t>Madladla</w:t>
      </w:r>
      <w:proofErr w:type="spellEnd"/>
      <w:r w:rsidR="006D2DBE">
        <w:rPr>
          <w:rFonts w:cs="Arial"/>
        </w:rPr>
        <w:t xml:space="preserve">, </w:t>
      </w:r>
      <w:r w:rsidR="000C2BC2" w:rsidRPr="0031315F">
        <w:rPr>
          <w:rFonts w:cs="Arial"/>
        </w:rPr>
        <w:t xml:space="preserve">dated 21 February 2022 </w:t>
      </w:r>
      <w:r w:rsidR="00F94CCF" w:rsidRPr="007B1587">
        <w:rPr>
          <w:rFonts w:cs="Arial"/>
        </w:rPr>
        <w:t xml:space="preserve">and </w:t>
      </w:r>
      <w:r w:rsidR="000C2BC2" w:rsidRPr="007B1587">
        <w:rPr>
          <w:rFonts w:cs="Arial"/>
        </w:rPr>
        <w:t xml:space="preserve">endorsed </w:t>
      </w:r>
      <w:r w:rsidR="00F94CCF" w:rsidRPr="000F27BA">
        <w:rPr>
          <w:rFonts w:cs="Arial"/>
        </w:rPr>
        <w:t>‘</w:t>
      </w:r>
      <w:r w:rsidR="000C2BC2" w:rsidRPr="000F27BA">
        <w:rPr>
          <w:rFonts w:cs="Arial"/>
        </w:rPr>
        <w:t>valid for two months</w:t>
      </w:r>
      <w:r w:rsidR="00F94CCF" w:rsidRPr="00003B97">
        <w:rPr>
          <w:rFonts w:cs="Arial"/>
        </w:rPr>
        <w:t>’</w:t>
      </w:r>
      <w:r w:rsidR="000C2BC2" w:rsidRPr="00003B97">
        <w:rPr>
          <w:rFonts w:cs="Arial"/>
        </w:rPr>
        <w:t xml:space="preserve">. </w:t>
      </w:r>
    </w:p>
    <w:p w14:paraId="36C1B7BE" w14:textId="2B2B1699" w:rsidR="000C2BC2" w:rsidRPr="0031315F" w:rsidRDefault="00F64FC7" w:rsidP="00A30DAA">
      <w:pPr>
        <w:spacing w:line="360" w:lineRule="auto"/>
        <w:jc w:val="both"/>
        <w:rPr>
          <w:rFonts w:cs="Arial"/>
        </w:rPr>
      </w:pPr>
      <w:r>
        <w:rPr>
          <w:rFonts w:cs="Arial"/>
        </w:rPr>
        <w:t>(d)</w:t>
      </w:r>
      <w:r>
        <w:rPr>
          <w:rFonts w:cs="Arial"/>
        </w:rPr>
        <w:tab/>
      </w:r>
      <w:r w:rsidR="00F94CCF" w:rsidRPr="0031315F">
        <w:rPr>
          <w:rFonts w:cs="Arial"/>
        </w:rPr>
        <w:t xml:space="preserve">Together with the </w:t>
      </w:r>
      <w:r w:rsidR="006D2DBE">
        <w:rPr>
          <w:rFonts w:cs="Arial"/>
        </w:rPr>
        <w:t>t</w:t>
      </w:r>
      <w:r w:rsidR="00F94CCF" w:rsidRPr="0031315F">
        <w:rPr>
          <w:rFonts w:cs="Arial"/>
        </w:rPr>
        <w:t xml:space="preserve">hird </w:t>
      </w:r>
      <w:r w:rsidR="006D2DBE">
        <w:rPr>
          <w:rFonts w:cs="Arial"/>
        </w:rPr>
        <w:t>a</w:t>
      </w:r>
      <w:r w:rsidR="00F94CCF" w:rsidRPr="0031315F">
        <w:rPr>
          <w:rFonts w:cs="Arial"/>
        </w:rPr>
        <w:t>pplicant</w:t>
      </w:r>
      <w:r w:rsidR="006D2DBE">
        <w:rPr>
          <w:rFonts w:cs="Arial"/>
        </w:rPr>
        <w:t>’</w:t>
      </w:r>
      <w:r w:rsidR="00F94CCF" w:rsidRPr="0031315F">
        <w:rPr>
          <w:rFonts w:cs="Arial"/>
        </w:rPr>
        <w:t xml:space="preserve">s mandate, </w:t>
      </w:r>
      <w:r w:rsidR="000C2BC2" w:rsidRPr="0031315F">
        <w:rPr>
          <w:rFonts w:cs="Arial"/>
        </w:rPr>
        <w:t xml:space="preserve">I was also handed </w:t>
      </w:r>
      <w:r w:rsidR="00F94CCF" w:rsidRPr="004F2F00">
        <w:rPr>
          <w:rFonts w:cs="Arial"/>
        </w:rPr>
        <w:t>a Nigerian passport</w:t>
      </w:r>
      <w:r w:rsidR="003A040A" w:rsidRPr="007B1587">
        <w:rPr>
          <w:rFonts w:cs="Arial"/>
        </w:rPr>
        <w:t>, which expired on 7 November 2015</w:t>
      </w:r>
      <w:r w:rsidR="00F94CCF" w:rsidRPr="000F27BA">
        <w:rPr>
          <w:rFonts w:cs="Arial"/>
        </w:rPr>
        <w:t xml:space="preserve"> </w:t>
      </w:r>
      <w:r w:rsidR="003A040A" w:rsidRPr="000F27BA">
        <w:rPr>
          <w:rFonts w:cs="Arial"/>
        </w:rPr>
        <w:t xml:space="preserve">in the name of </w:t>
      </w:r>
      <w:r w:rsidR="00F94CCF" w:rsidRPr="00A749DC">
        <w:rPr>
          <w:rFonts w:cs="Arial"/>
          <w:iCs/>
        </w:rPr>
        <w:t>Emmanuel Nduka</w:t>
      </w:r>
      <w:r w:rsidR="003A040A" w:rsidRPr="0031315F">
        <w:rPr>
          <w:rFonts w:cs="Arial"/>
        </w:rPr>
        <w:t>.</w:t>
      </w:r>
    </w:p>
    <w:p w14:paraId="4959DED3" w14:textId="77777777" w:rsidR="000C2BC2" w:rsidRDefault="000C2BC2" w:rsidP="001C7F5D">
      <w:pPr>
        <w:pStyle w:val="ListParagraph"/>
        <w:spacing w:line="360" w:lineRule="auto"/>
        <w:ind w:left="0"/>
        <w:rPr>
          <w:rFonts w:cs="Arial"/>
        </w:rPr>
      </w:pPr>
    </w:p>
    <w:p w14:paraId="35B6FDB3" w14:textId="2DF6985D" w:rsidR="00BB2B8D" w:rsidRDefault="00023CCE" w:rsidP="00023CCE">
      <w:pPr>
        <w:spacing w:line="360" w:lineRule="auto"/>
        <w:jc w:val="both"/>
        <w:rPr>
          <w:rFonts w:cs="Arial"/>
        </w:rPr>
      </w:pPr>
      <w:r>
        <w:rPr>
          <w:rFonts w:cs="Arial"/>
        </w:rPr>
        <w:t>[27]</w:t>
      </w:r>
      <w:r>
        <w:rPr>
          <w:rFonts w:cs="Arial"/>
        </w:rPr>
        <w:tab/>
      </w:r>
      <w:r w:rsidR="005C27D1">
        <w:rPr>
          <w:rFonts w:cs="Arial"/>
        </w:rPr>
        <w:t xml:space="preserve">Mr </w:t>
      </w:r>
      <w:proofErr w:type="spellStart"/>
      <w:r w:rsidR="005C27D1" w:rsidRPr="00A749DC">
        <w:rPr>
          <w:rFonts w:cs="Arial"/>
          <w:i/>
        </w:rPr>
        <w:t>Veerasamy</w:t>
      </w:r>
      <w:proofErr w:type="spellEnd"/>
      <w:r w:rsidR="005C27D1">
        <w:rPr>
          <w:rFonts w:cs="Arial"/>
        </w:rPr>
        <w:t xml:space="preserve"> argues that firstly, the </w:t>
      </w:r>
      <w:r w:rsidR="00ED5534">
        <w:rPr>
          <w:rFonts w:cs="Arial"/>
        </w:rPr>
        <w:t>Uniform r</w:t>
      </w:r>
      <w:r w:rsidR="005C27D1">
        <w:rPr>
          <w:rFonts w:cs="Arial"/>
        </w:rPr>
        <w:t xml:space="preserve">ule 7(1) </w:t>
      </w:r>
      <w:r w:rsidR="00804162">
        <w:rPr>
          <w:rFonts w:cs="Arial"/>
        </w:rPr>
        <w:t>notice was not complied with because</w:t>
      </w:r>
      <w:r w:rsidR="00BB2B8D">
        <w:rPr>
          <w:rFonts w:cs="Arial"/>
        </w:rPr>
        <w:t>:</w:t>
      </w:r>
    </w:p>
    <w:p w14:paraId="7073F915" w14:textId="6F15261B" w:rsidR="00463D7E" w:rsidRPr="00463D7E" w:rsidRDefault="00ED5534" w:rsidP="00A30DAA">
      <w:pPr>
        <w:spacing w:line="360" w:lineRule="auto"/>
        <w:jc w:val="both"/>
        <w:rPr>
          <w:rFonts w:cs="Arial"/>
        </w:rPr>
      </w:pPr>
      <w:r>
        <w:rPr>
          <w:rFonts w:cs="Arial"/>
        </w:rPr>
        <w:t>(a)</w:t>
      </w:r>
      <w:r>
        <w:rPr>
          <w:rFonts w:cs="Arial"/>
        </w:rPr>
        <w:tab/>
      </w:r>
      <w:r w:rsidR="00595F85">
        <w:rPr>
          <w:rFonts w:cs="Arial"/>
        </w:rPr>
        <w:t>A</w:t>
      </w:r>
      <w:r w:rsidR="00595F85" w:rsidRPr="0031315F">
        <w:rPr>
          <w:rFonts w:cs="Arial"/>
        </w:rPr>
        <w:t xml:space="preserve"> </w:t>
      </w:r>
      <w:r w:rsidR="00463D7E" w:rsidRPr="0031315F">
        <w:rPr>
          <w:rFonts w:cs="Arial"/>
        </w:rPr>
        <w:t>power of attorney was not filed</w:t>
      </w:r>
      <w:r w:rsidR="00C323BF">
        <w:rPr>
          <w:rFonts w:cs="Arial"/>
        </w:rPr>
        <w:t>. In this regard, the document filed was not an original</w:t>
      </w:r>
      <w:r w:rsidR="00463D7E" w:rsidRPr="007B1587">
        <w:rPr>
          <w:rFonts w:cs="Arial"/>
        </w:rPr>
        <w:t xml:space="preserve"> and secondly, the document </w:t>
      </w:r>
      <w:r w:rsidR="00C323BF">
        <w:rPr>
          <w:rFonts w:cs="Arial"/>
        </w:rPr>
        <w:t>filed</w:t>
      </w:r>
      <w:r w:rsidR="00463D7E" w:rsidRPr="0031315F">
        <w:rPr>
          <w:rFonts w:cs="Arial"/>
        </w:rPr>
        <w:t xml:space="preserve"> is entitled </w:t>
      </w:r>
      <w:r w:rsidR="00C323BF">
        <w:rPr>
          <w:rFonts w:cs="Arial"/>
        </w:rPr>
        <w:t>‘</w:t>
      </w:r>
      <w:r w:rsidR="00463D7E" w:rsidRPr="00A749DC">
        <w:rPr>
          <w:rFonts w:cs="Arial"/>
          <w:iCs/>
        </w:rPr>
        <w:t>Authority and Mandate</w:t>
      </w:r>
      <w:r w:rsidR="00C323BF" w:rsidRPr="00A749DC">
        <w:rPr>
          <w:rFonts w:cs="Arial"/>
          <w:iCs/>
        </w:rPr>
        <w:t>’</w:t>
      </w:r>
      <w:r w:rsidR="00463D7E" w:rsidRPr="0031315F">
        <w:t xml:space="preserve"> </w:t>
      </w:r>
      <w:r w:rsidR="00463D7E">
        <w:t>and</w:t>
      </w:r>
      <w:r w:rsidR="00C323BF">
        <w:t xml:space="preserve"> is</w:t>
      </w:r>
      <w:r w:rsidR="00463D7E">
        <w:t xml:space="preserve"> not a power of attorney as envisaged by </w:t>
      </w:r>
      <w:r w:rsidR="00C323BF">
        <w:t>Uniform rule 7(1)</w:t>
      </w:r>
      <w:r w:rsidR="00463D7E">
        <w:t>.</w:t>
      </w:r>
    </w:p>
    <w:p w14:paraId="053AFCD7" w14:textId="1C8C14FB" w:rsidR="00463D7E" w:rsidRPr="00463D7E" w:rsidRDefault="00ED5534" w:rsidP="00A30DAA">
      <w:pPr>
        <w:spacing w:line="360" w:lineRule="auto"/>
        <w:jc w:val="both"/>
        <w:rPr>
          <w:rFonts w:cs="Arial"/>
        </w:rPr>
      </w:pPr>
      <w:r>
        <w:rPr>
          <w:rFonts w:cs="Arial"/>
        </w:rPr>
        <w:t>(b)</w:t>
      </w:r>
      <w:r>
        <w:rPr>
          <w:rFonts w:cs="Arial"/>
        </w:rPr>
        <w:tab/>
      </w:r>
      <w:r w:rsidR="00463D7E" w:rsidRPr="0031315F">
        <w:rPr>
          <w:rFonts w:cs="Arial"/>
        </w:rPr>
        <w:t xml:space="preserve">The </w:t>
      </w:r>
      <w:r w:rsidR="0005725E">
        <w:rPr>
          <w:rFonts w:cs="Arial"/>
        </w:rPr>
        <w:t>i</w:t>
      </w:r>
      <w:r w:rsidR="00463D7E" w:rsidRPr="0031315F">
        <w:rPr>
          <w:rFonts w:cs="Arial"/>
        </w:rPr>
        <w:t xml:space="preserve">dentity </w:t>
      </w:r>
      <w:r w:rsidR="0005725E">
        <w:rPr>
          <w:rFonts w:cs="Arial"/>
        </w:rPr>
        <w:t>d</w:t>
      </w:r>
      <w:r w:rsidR="00463D7E" w:rsidRPr="0031315F">
        <w:rPr>
          <w:rFonts w:cs="Arial"/>
        </w:rPr>
        <w:t xml:space="preserve">ocument of the </w:t>
      </w:r>
      <w:r w:rsidR="00C323BF">
        <w:rPr>
          <w:rFonts w:cs="Arial"/>
        </w:rPr>
        <w:t>f</w:t>
      </w:r>
      <w:r w:rsidR="00463D7E" w:rsidRPr="0031315F">
        <w:rPr>
          <w:rFonts w:cs="Arial"/>
        </w:rPr>
        <w:t xml:space="preserve">irst </w:t>
      </w:r>
      <w:r w:rsidR="00C323BF">
        <w:rPr>
          <w:rFonts w:cs="Arial"/>
        </w:rPr>
        <w:t>a</w:t>
      </w:r>
      <w:r w:rsidR="00463D7E" w:rsidRPr="0031315F">
        <w:rPr>
          <w:rFonts w:cs="Arial"/>
        </w:rPr>
        <w:t>pplicant was certified a true copy</w:t>
      </w:r>
      <w:r w:rsidR="00463D7E" w:rsidRPr="007B1587">
        <w:rPr>
          <w:rFonts w:cs="Arial"/>
        </w:rPr>
        <w:t xml:space="preserve"> on 2 March 2023, which is before this litigation was envisaged.</w:t>
      </w:r>
    </w:p>
    <w:p w14:paraId="4E25DE28" w14:textId="0468B138" w:rsidR="00463D7E" w:rsidRPr="00463D7E" w:rsidRDefault="00ED5534" w:rsidP="00A30DAA">
      <w:pPr>
        <w:spacing w:line="360" w:lineRule="auto"/>
        <w:jc w:val="both"/>
        <w:rPr>
          <w:rFonts w:cs="Arial"/>
        </w:rPr>
      </w:pPr>
      <w:r>
        <w:rPr>
          <w:rFonts w:cs="Arial"/>
        </w:rPr>
        <w:t>(c)</w:t>
      </w:r>
      <w:r>
        <w:rPr>
          <w:rFonts w:cs="Arial"/>
        </w:rPr>
        <w:tab/>
      </w:r>
      <w:r w:rsidR="00463D7E" w:rsidRPr="0031315F">
        <w:rPr>
          <w:rFonts w:cs="Arial"/>
        </w:rPr>
        <w:t xml:space="preserve">In as far as the </w:t>
      </w:r>
      <w:r w:rsidR="000811DB">
        <w:rPr>
          <w:rFonts w:cs="Arial"/>
        </w:rPr>
        <w:t>s</w:t>
      </w:r>
      <w:r w:rsidR="00463D7E" w:rsidRPr="0031315F">
        <w:rPr>
          <w:rFonts w:cs="Arial"/>
        </w:rPr>
        <w:t xml:space="preserve">econd </w:t>
      </w:r>
      <w:r w:rsidR="000811DB">
        <w:rPr>
          <w:rFonts w:cs="Arial"/>
        </w:rPr>
        <w:t>a</w:t>
      </w:r>
      <w:r w:rsidR="00463D7E" w:rsidRPr="0031315F">
        <w:rPr>
          <w:rFonts w:cs="Arial"/>
        </w:rPr>
        <w:t xml:space="preserve">pplicant is concerned, Mr </w:t>
      </w:r>
      <w:r w:rsidR="00463D7E" w:rsidRPr="00A749DC">
        <w:rPr>
          <w:rFonts w:cs="Arial"/>
          <w:i/>
        </w:rPr>
        <w:t>Veerasamy</w:t>
      </w:r>
      <w:r w:rsidR="00463D7E" w:rsidRPr="0031315F">
        <w:rPr>
          <w:rFonts w:cs="Arial"/>
        </w:rPr>
        <w:t xml:space="preserve"> asserts that the </w:t>
      </w:r>
      <w:r w:rsidR="000811DB">
        <w:rPr>
          <w:rFonts w:cs="Arial"/>
        </w:rPr>
        <w:t>Uniform r</w:t>
      </w:r>
      <w:r w:rsidR="00463D7E" w:rsidRPr="0031315F">
        <w:rPr>
          <w:rFonts w:cs="Arial"/>
        </w:rPr>
        <w:t>ule 7(2) notice was not complied with because firstly, the identity document was not certified a</w:t>
      </w:r>
      <w:r w:rsidR="00463D7E" w:rsidRPr="007B1587">
        <w:rPr>
          <w:rFonts w:cs="Arial"/>
        </w:rPr>
        <w:t xml:space="preserve"> true copy, secondly, it was dated 21 February 2022 and endorsed ‘valid for two months’; and thirdly, the name thereon is ‘</w:t>
      </w:r>
      <w:proofErr w:type="spellStart"/>
      <w:r w:rsidR="00463D7E" w:rsidRPr="00A749DC">
        <w:rPr>
          <w:rFonts w:cs="Arial"/>
          <w:iCs/>
        </w:rPr>
        <w:t>Vusumuzi</w:t>
      </w:r>
      <w:proofErr w:type="spellEnd"/>
      <w:r w:rsidR="00463D7E" w:rsidRPr="00A749DC">
        <w:rPr>
          <w:rFonts w:cs="Arial"/>
          <w:iCs/>
        </w:rPr>
        <w:t xml:space="preserve"> </w:t>
      </w:r>
      <w:proofErr w:type="spellStart"/>
      <w:r w:rsidR="00463D7E" w:rsidRPr="00A749DC">
        <w:rPr>
          <w:rFonts w:cs="Arial"/>
          <w:iCs/>
        </w:rPr>
        <w:t>Synette</w:t>
      </w:r>
      <w:proofErr w:type="spellEnd"/>
      <w:r w:rsidR="00463D7E" w:rsidRPr="00A749DC">
        <w:rPr>
          <w:rFonts w:cs="Arial"/>
          <w:iCs/>
        </w:rPr>
        <w:t xml:space="preserve"> </w:t>
      </w:r>
      <w:proofErr w:type="spellStart"/>
      <w:r w:rsidR="00463D7E" w:rsidRPr="00A749DC">
        <w:rPr>
          <w:rFonts w:cs="Arial"/>
          <w:iCs/>
        </w:rPr>
        <w:t>Madladla</w:t>
      </w:r>
      <w:proofErr w:type="spellEnd"/>
      <w:r w:rsidR="00463D7E" w:rsidRPr="00A749DC">
        <w:rPr>
          <w:rFonts w:cs="Arial"/>
          <w:iCs/>
        </w:rPr>
        <w:t>’</w:t>
      </w:r>
      <w:r w:rsidR="00463D7E" w:rsidRPr="0031315F">
        <w:rPr>
          <w:rFonts w:cs="Arial"/>
        </w:rPr>
        <w:t xml:space="preserve">, while the second </w:t>
      </w:r>
      <w:r w:rsidR="00436B10">
        <w:rPr>
          <w:rFonts w:cs="Arial"/>
        </w:rPr>
        <w:t>a</w:t>
      </w:r>
      <w:r w:rsidR="00463D7E" w:rsidRPr="0031315F">
        <w:rPr>
          <w:rFonts w:cs="Arial"/>
        </w:rPr>
        <w:t xml:space="preserve">pplicant is cited as </w:t>
      </w:r>
      <w:r w:rsidR="00595F85">
        <w:rPr>
          <w:rFonts w:cs="Arial"/>
        </w:rPr>
        <w:t>‘</w:t>
      </w:r>
      <w:proofErr w:type="spellStart"/>
      <w:r w:rsidR="00463D7E" w:rsidRPr="0031315F">
        <w:rPr>
          <w:rFonts w:cs="Arial"/>
        </w:rPr>
        <w:t>Synette</w:t>
      </w:r>
      <w:proofErr w:type="spellEnd"/>
      <w:r w:rsidR="00463D7E" w:rsidRPr="0031315F">
        <w:rPr>
          <w:rFonts w:cs="Arial"/>
        </w:rPr>
        <w:t xml:space="preserve"> </w:t>
      </w:r>
      <w:proofErr w:type="spellStart"/>
      <w:r w:rsidR="00463D7E" w:rsidRPr="0031315F">
        <w:rPr>
          <w:rFonts w:cs="Arial"/>
        </w:rPr>
        <w:t>Umadladla</w:t>
      </w:r>
      <w:proofErr w:type="spellEnd"/>
      <w:r w:rsidR="00595F85">
        <w:rPr>
          <w:rFonts w:cs="Arial"/>
        </w:rPr>
        <w:t>’</w:t>
      </w:r>
      <w:r w:rsidR="00463D7E" w:rsidRPr="0031315F">
        <w:rPr>
          <w:rFonts w:cs="Arial"/>
        </w:rPr>
        <w:t>.</w:t>
      </w:r>
    </w:p>
    <w:p w14:paraId="1DC88CAF" w14:textId="60B555DD" w:rsidR="00463D7E" w:rsidRPr="007B1587" w:rsidRDefault="00ED5534" w:rsidP="00A30DAA">
      <w:pPr>
        <w:spacing w:line="360" w:lineRule="auto"/>
        <w:jc w:val="both"/>
        <w:rPr>
          <w:rFonts w:cs="Arial"/>
        </w:rPr>
      </w:pPr>
      <w:r>
        <w:rPr>
          <w:rFonts w:cs="Arial"/>
        </w:rPr>
        <w:t>(d)</w:t>
      </w:r>
      <w:r>
        <w:rPr>
          <w:rFonts w:cs="Arial"/>
        </w:rPr>
        <w:tab/>
      </w:r>
      <w:r w:rsidR="00463D7E" w:rsidRPr="0031315F">
        <w:rPr>
          <w:rFonts w:cs="Arial"/>
        </w:rPr>
        <w:t xml:space="preserve">In as far as the </w:t>
      </w:r>
      <w:r w:rsidR="00595F85">
        <w:rPr>
          <w:rFonts w:cs="Arial"/>
        </w:rPr>
        <w:t>t</w:t>
      </w:r>
      <w:r w:rsidR="00463D7E" w:rsidRPr="0031315F">
        <w:rPr>
          <w:rFonts w:cs="Arial"/>
        </w:rPr>
        <w:t xml:space="preserve">hird </w:t>
      </w:r>
      <w:r w:rsidR="0005725E">
        <w:rPr>
          <w:rFonts w:cs="Arial"/>
        </w:rPr>
        <w:t>r</w:t>
      </w:r>
      <w:r w:rsidR="00463D7E" w:rsidRPr="0031315F">
        <w:rPr>
          <w:rFonts w:cs="Arial"/>
        </w:rPr>
        <w:t>espondent is c</w:t>
      </w:r>
      <w:r w:rsidR="00463D7E" w:rsidRPr="004F2F00">
        <w:rPr>
          <w:rFonts w:cs="Arial"/>
        </w:rPr>
        <w:t xml:space="preserve">oncerned, the </w:t>
      </w:r>
      <w:r w:rsidR="00595F85">
        <w:rPr>
          <w:rFonts w:cs="Arial"/>
        </w:rPr>
        <w:t>Uniform r</w:t>
      </w:r>
      <w:r w:rsidR="00463D7E" w:rsidRPr="0031315F">
        <w:rPr>
          <w:rFonts w:cs="Arial"/>
        </w:rPr>
        <w:t>ule 7(2) notice was not complied with because</w:t>
      </w:r>
      <w:r w:rsidR="00F25142" w:rsidRPr="004F2F00">
        <w:rPr>
          <w:rFonts w:cs="Arial"/>
        </w:rPr>
        <w:t xml:space="preserve"> </w:t>
      </w:r>
      <w:r w:rsidR="00463D7E" w:rsidRPr="007B1587">
        <w:rPr>
          <w:rFonts w:cs="Arial"/>
        </w:rPr>
        <w:t xml:space="preserve">a certified copy of the passport was not filed and the passport has expired. </w:t>
      </w:r>
    </w:p>
    <w:p w14:paraId="23A71E44" w14:textId="77777777" w:rsidR="00463D7E" w:rsidRDefault="00463D7E" w:rsidP="001C7F5D">
      <w:pPr>
        <w:spacing w:line="360" w:lineRule="auto"/>
        <w:jc w:val="both"/>
        <w:rPr>
          <w:rFonts w:cs="Arial"/>
        </w:rPr>
      </w:pPr>
    </w:p>
    <w:p w14:paraId="3CA670EA" w14:textId="4FD15D56" w:rsidR="00983DC8" w:rsidRDefault="00023CCE" w:rsidP="00023CCE">
      <w:pPr>
        <w:spacing w:line="360" w:lineRule="auto"/>
        <w:jc w:val="both"/>
        <w:rPr>
          <w:rFonts w:cs="Arial"/>
        </w:rPr>
      </w:pPr>
      <w:r>
        <w:rPr>
          <w:rFonts w:cs="Arial"/>
        </w:rPr>
        <w:t>[28]</w:t>
      </w:r>
      <w:r>
        <w:rPr>
          <w:rFonts w:cs="Arial"/>
        </w:rPr>
        <w:tab/>
      </w:r>
      <w:r w:rsidR="00983DC8" w:rsidRPr="00463D7E">
        <w:rPr>
          <w:rFonts w:cs="Arial"/>
        </w:rPr>
        <w:t xml:space="preserve">Given all these discrepancies, Mr </w:t>
      </w:r>
      <w:r w:rsidR="00983DC8" w:rsidRPr="00A749DC">
        <w:rPr>
          <w:rFonts w:cs="Arial"/>
          <w:i/>
        </w:rPr>
        <w:t>Veer</w:t>
      </w:r>
      <w:r w:rsidR="00463D7E" w:rsidRPr="00A749DC">
        <w:rPr>
          <w:rFonts w:cs="Arial"/>
          <w:i/>
        </w:rPr>
        <w:t>a</w:t>
      </w:r>
      <w:r w:rsidR="00983DC8" w:rsidRPr="00A749DC">
        <w:rPr>
          <w:rFonts w:cs="Arial"/>
          <w:i/>
        </w:rPr>
        <w:t>samy</w:t>
      </w:r>
      <w:r w:rsidR="00983DC8" w:rsidRPr="00463D7E">
        <w:rPr>
          <w:rFonts w:cs="Arial"/>
        </w:rPr>
        <w:t xml:space="preserve"> argues that the </w:t>
      </w:r>
      <w:r w:rsidR="00595F85">
        <w:rPr>
          <w:rFonts w:cs="Arial"/>
        </w:rPr>
        <w:t>a</w:t>
      </w:r>
      <w:r w:rsidR="00595F85" w:rsidRPr="00463D7E">
        <w:rPr>
          <w:rFonts w:cs="Arial"/>
        </w:rPr>
        <w:t xml:space="preserve">pplicants’ </w:t>
      </w:r>
      <w:r w:rsidR="00983DC8" w:rsidRPr="00463D7E">
        <w:rPr>
          <w:rFonts w:cs="Arial"/>
        </w:rPr>
        <w:t>attorney of record has failed to demonstrate that he has the requ</w:t>
      </w:r>
      <w:r w:rsidR="00B3484B">
        <w:rPr>
          <w:rFonts w:cs="Arial"/>
        </w:rPr>
        <w:t xml:space="preserve">isite </w:t>
      </w:r>
      <w:r w:rsidR="00983DC8" w:rsidRPr="00463D7E">
        <w:rPr>
          <w:rFonts w:cs="Arial"/>
        </w:rPr>
        <w:t xml:space="preserve">authority to act for the </w:t>
      </w:r>
      <w:r w:rsidR="00595F85">
        <w:rPr>
          <w:rFonts w:cs="Arial"/>
        </w:rPr>
        <w:t>a</w:t>
      </w:r>
      <w:r w:rsidR="00983DC8" w:rsidRPr="00463D7E">
        <w:rPr>
          <w:rFonts w:cs="Arial"/>
        </w:rPr>
        <w:t>pplicants.</w:t>
      </w:r>
    </w:p>
    <w:p w14:paraId="1196C063" w14:textId="1E5B062E" w:rsidR="00463D7E" w:rsidRDefault="00463D7E" w:rsidP="001C7F5D">
      <w:pPr>
        <w:spacing w:line="360" w:lineRule="auto"/>
        <w:jc w:val="both"/>
        <w:rPr>
          <w:rFonts w:cs="Arial"/>
        </w:rPr>
      </w:pPr>
    </w:p>
    <w:p w14:paraId="4467C59F" w14:textId="620AB512" w:rsidR="00A34C75" w:rsidRPr="00F25142" w:rsidRDefault="00023CCE" w:rsidP="00023CCE">
      <w:pPr>
        <w:spacing w:line="360" w:lineRule="auto"/>
        <w:jc w:val="both"/>
        <w:rPr>
          <w:rFonts w:cs="Arial"/>
        </w:rPr>
      </w:pPr>
      <w:r w:rsidRPr="00F25142">
        <w:rPr>
          <w:rFonts w:cs="Arial"/>
        </w:rPr>
        <w:t>[29]</w:t>
      </w:r>
      <w:r w:rsidRPr="00F25142">
        <w:rPr>
          <w:rFonts w:cs="Arial"/>
        </w:rPr>
        <w:tab/>
      </w:r>
      <w:r w:rsidR="00463D7E" w:rsidRPr="00463D7E">
        <w:rPr>
          <w:rFonts w:cs="Arial"/>
        </w:rPr>
        <w:t xml:space="preserve">While the issues raised by Mr </w:t>
      </w:r>
      <w:r w:rsidR="00463D7E" w:rsidRPr="00A749DC">
        <w:rPr>
          <w:rFonts w:cs="Arial"/>
          <w:i/>
        </w:rPr>
        <w:t>Veerasamy</w:t>
      </w:r>
      <w:r w:rsidR="00463D7E" w:rsidRPr="00463D7E">
        <w:rPr>
          <w:rFonts w:cs="Arial"/>
        </w:rPr>
        <w:t xml:space="preserve"> are indeed suspicious and raise several questions, my view</w:t>
      </w:r>
      <w:r w:rsidR="00B3484B">
        <w:rPr>
          <w:rFonts w:cs="Arial"/>
        </w:rPr>
        <w:t xml:space="preserve"> is</w:t>
      </w:r>
      <w:r w:rsidR="00463D7E" w:rsidRPr="00463D7E">
        <w:rPr>
          <w:rFonts w:cs="Arial"/>
        </w:rPr>
        <w:t xml:space="preserve"> that there has been substantial compliance with </w:t>
      </w:r>
      <w:r w:rsidR="00595F85">
        <w:rPr>
          <w:rFonts w:cs="Arial"/>
        </w:rPr>
        <w:t>Uniform r</w:t>
      </w:r>
      <w:r w:rsidR="00463D7E" w:rsidRPr="00463D7E">
        <w:rPr>
          <w:rFonts w:cs="Arial"/>
        </w:rPr>
        <w:t xml:space="preserve">ule 7. </w:t>
      </w:r>
    </w:p>
    <w:p w14:paraId="36FB2103" w14:textId="77777777" w:rsidR="00A34C75" w:rsidRDefault="00A34C75" w:rsidP="001C7F5D">
      <w:pPr>
        <w:pStyle w:val="ListParagraph"/>
        <w:spacing w:line="360" w:lineRule="auto"/>
        <w:ind w:left="0"/>
        <w:rPr>
          <w:rFonts w:cs="Arial"/>
        </w:rPr>
      </w:pPr>
    </w:p>
    <w:p w14:paraId="0C87054F" w14:textId="0B4376B3" w:rsidR="00463D7E" w:rsidRDefault="00595F85" w:rsidP="00A30DAA">
      <w:pPr>
        <w:spacing w:line="360" w:lineRule="auto"/>
        <w:jc w:val="both"/>
      </w:pPr>
      <w:r w:rsidRPr="0031315F">
        <w:rPr>
          <w:rFonts w:cs="Arial"/>
          <w:b/>
          <w:bCs/>
        </w:rPr>
        <w:t xml:space="preserve">Issues </w:t>
      </w:r>
      <w:r>
        <w:rPr>
          <w:rFonts w:cs="Arial"/>
          <w:b/>
          <w:bCs/>
        </w:rPr>
        <w:t>f</w:t>
      </w:r>
      <w:r w:rsidRPr="0031315F">
        <w:rPr>
          <w:rFonts w:cs="Arial"/>
          <w:b/>
          <w:bCs/>
        </w:rPr>
        <w:t>or Determination</w:t>
      </w:r>
    </w:p>
    <w:p w14:paraId="07086F45" w14:textId="21D0CB0F" w:rsidR="00804C05" w:rsidRDefault="00023CCE" w:rsidP="00023CCE">
      <w:pPr>
        <w:spacing w:line="360" w:lineRule="auto"/>
        <w:jc w:val="both"/>
        <w:rPr>
          <w:rFonts w:cs="Arial"/>
        </w:rPr>
      </w:pPr>
      <w:r>
        <w:rPr>
          <w:rFonts w:cs="Arial"/>
        </w:rPr>
        <w:t>[30]</w:t>
      </w:r>
      <w:r>
        <w:rPr>
          <w:rFonts w:cs="Arial"/>
        </w:rPr>
        <w:tab/>
      </w:r>
      <w:r w:rsidR="00761995" w:rsidRPr="00463D7E">
        <w:rPr>
          <w:rFonts w:cs="Arial"/>
        </w:rPr>
        <w:t>In order to make a finding in this matter, the following issues must be determined:</w:t>
      </w:r>
    </w:p>
    <w:p w14:paraId="57FCDF4D" w14:textId="5561BE5D" w:rsidR="00463D7E" w:rsidRPr="00023CCE" w:rsidRDefault="00023CCE" w:rsidP="00023CCE">
      <w:pPr>
        <w:spacing w:line="360" w:lineRule="auto"/>
        <w:jc w:val="both"/>
        <w:rPr>
          <w:rFonts w:cs="Arial"/>
        </w:rPr>
      </w:pPr>
      <w:r>
        <w:rPr>
          <w:rFonts w:cs="Arial"/>
        </w:rPr>
        <w:t>(a)</w:t>
      </w:r>
      <w:r>
        <w:rPr>
          <w:rFonts w:cs="Arial"/>
        </w:rPr>
        <w:tab/>
      </w:r>
      <w:r w:rsidR="00012CF9" w:rsidRPr="00023CCE">
        <w:rPr>
          <w:rFonts w:cs="Arial"/>
        </w:rPr>
        <w:t>do the a</w:t>
      </w:r>
      <w:r w:rsidR="00463D7E" w:rsidRPr="00023CCE">
        <w:rPr>
          <w:rFonts w:cs="Arial"/>
        </w:rPr>
        <w:t>pplicants make out a case for urgency?</w:t>
      </w:r>
    </w:p>
    <w:p w14:paraId="3BA8FB3B" w14:textId="3AFD5BB9" w:rsidR="00463D7E" w:rsidRPr="00023CCE" w:rsidRDefault="00023CCE" w:rsidP="00023CCE">
      <w:pPr>
        <w:spacing w:line="360" w:lineRule="auto"/>
        <w:jc w:val="both"/>
        <w:rPr>
          <w:rFonts w:cs="Arial"/>
        </w:rPr>
      </w:pPr>
      <w:r>
        <w:rPr>
          <w:rFonts w:cs="Arial"/>
        </w:rPr>
        <w:t>(b)</w:t>
      </w:r>
      <w:r>
        <w:rPr>
          <w:rFonts w:cs="Arial"/>
        </w:rPr>
        <w:tab/>
      </w:r>
      <w:r w:rsidR="00463D7E" w:rsidRPr="00023CCE">
        <w:rPr>
          <w:rFonts w:cs="Arial"/>
        </w:rPr>
        <w:t>in as far as the merits are concerned:</w:t>
      </w:r>
    </w:p>
    <w:p w14:paraId="06B3C0B2" w14:textId="362D72E4" w:rsidR="00463D7E" w:rsidRPr="0031315F" w:rsidRDefault="00630B44" w:rsidP="00A30DAA">
      <w:pPr>
        <w:spacing w:line="360" w:lineRule="auto"/>
        <w:ind w:left="5738" w:hanging="5029"/>
        <w:jc w:val="both"/>
        <w:rPr>
          <w:rFonts w:cs="Arial"/>
        </w:rPr>
      </w:pPr>
      <w:r>
        <w:rPr>
          <w:rFonts w:cs="Arial"/>
        </w:rPr>
        <w:t>(</w:t>
      </w:r>
      <w:proofErr w:type="spellStart"/>
      <w:r>
        <w:rPr>
          <w:rFonts w:cs="Arial"/>
        </w:rPr>
        <w:t>i</w:t>
      </w:r>
      <w:proofErr w:type="spellEnd"/>
      <w:r>
        <w:rPr>
          <w:rFonts w:cs="Arial"/>
        </w:rPr>
        <w:t xml:space="preserve">) </w:t>
      </w:r>
      <w:r w:rsidR="00463D7E" w:rsidRPr="0031315F">
        <w:rPr>
          <w:rFonts w:cs="Arial"/>
        </w:rPr>
        <w:t xml:space="preserve">is the </w:t>
      </w:r>
      <w:r w:rsidR="0005725E">
        <w:rPr>
          <w:rFonts w:cs="Arial"/>
        </w:rPr>
        <w:t>property</w:t>
      </w:r>
      <w:r w:rsidR="0005725E" w:rsidRPr="0031315F">
        <w:rPr>
          <w:rFonts w:cs="Arial"/>
        </w:rPr>
        <w:t xml:space="preserve"> </w:t>
      </w:r>
      <w:r w:rsidR="00463D7E" w:rsidRPr="0031315F">
        <w:rPr>
          <w:rFonts w:cs="Arial"/>
        </w:rPr>
        <w:t>a commercial or residential building</w:t>
      </w:r>
      <w:r>
        <w:rPr>
          <w:rFonts w:cs="Arial"/>
        </w:rPr>
        <w:t>,</w:t>
      </w:r>
      <w:r w:rsidR="00463D7E" w:rsidRPr="0031315F">
        <w:rPr>
          <w:rFonts w:cs="Arial"/>
        </w:rPr>
        <w:t xml:space="preserve"> or both?</w:t>
      </w:r>
    </w:p>
    <w:p w14:paraId="0631B165" w14:textId="089D61B5" w:rsidR="00463D7E" w:rsidRPr="0031315F" w:rsidRDefault="00630B44" w:rsidP="00A30DAA">
      <w:pPr>
        <w:spacing w:line="360" w:lineRule="auto"/>
        <w:ind w:left="5738" w:hanging="5029"/>
        <w:jc w:val="both"/>
        <w:rPr>
          <w:rFonts w:cs="Arial"/>
        </w:rPr>
      </w:pPr>
      <w:r>
        <w:rPr>
          <w:rFonts w:cs="Arial"/>
        </w:rPr>
        <w:t xml:space="preserve">(ii) </w:t>
      </w:r>
      <w:r w:rsidR="00463D7E" w:rsidRPr="0031315F">
        <w:rPr>
          <w:rFonts w:cs="Arial"/>
        </w:rPr>
        <w:t xml:space="preserve">where the procedural rights of the </w:t>
      </w:r>
      <w:r>
        <w:rPr>
          <w:rFonts w:cs="Arial"/>
        </w:rPr>
        <w:t>a</w:t>
      </w:r>
      <w:r w:rsidR="00463D7E" w:rsidRPr="0031315F">
        <w:rPr>
          <w:rFonts w:cs="Arial"/>
        </w:rPr>
        <w:t>pplicants infringed?</w:t>
      </w:r>
    </w:p>
    <w:p w14:paraId="4B3078FD" w14:textId="77777777" w:rsidR="00463D7E" w:rsidRDefault="00463D7E" w:rsidP="001C7F5D">
      <w:pPr>
        <w:pStyle w:val="ListParagraph"/>
        <w:spacing w:line="360" w:lineRule="auto"/>
        <w:ind w:left="0"/>
        <w:rPr>
          <w:rFonts w:cs="Arial"/>
        </w:rPr>
      </w:pPr>
    </w:p>
    <w:p w14:paraId="3BC2291C" w14:textId="3501A544" w:rsidR="008A79B8" w:rsidRPr="00A749DC" w:rsidRDefault="00630B44" w:rsidP="001C7F5D">
      <w:pPr>
        <w:spacing w:line="360" w:lineRule="auto"/>
        <w:jc w:val="both"/>
        <w:rPr>
          <w:rFonts w:cs="Arial"/>
          <w:b/>
          <w:bCs/>
        </w:rPr>
      </w:pPr>
      <w:r w:rsidRPr="0031315F">
        <w:rPr>
          <w:rFonts w:cs="Arial"/>
          <w:b/>
          <w:bCs/>
        </w:rPr>
        <w:t xml:space="preserve">Urgency </w:t>
      </w:r>
    </w:p>
    <w:p w14:paraId="765AFE0E" w14:textId="31C9CA51" w:rsidR="006A7804" w:rsidRPr="006A7804" w:rsidRDefault="00023CCE" w:rsidP="00023CCE">
      <w:pPr>
        <w:spacing w:line="360" w:lineRule="auto"/>
        <w:jc w:val="both"/>
        <w:rPr>
          <w:rFonts w:cs="Arial"/>
        </w:rPr>
      </w:pPr>
      <w:r w:rsidRPr="006A7804">
        <w:rPr>
          <w:rFonts w:cs="Arial"/>
        </w:rPr>
        <w:t>[31]</w:t>
      </w:r>
      <w:r w:rsidRPr="006A7804">
        <w:rPr>
          <w:rFonts w:cs="Arial"/>
        </w:rPr>
        <w:tab/>
      </w:r>
      <w:r w:rsidR="00050273">
        <w:rPr>
          <w:rFonts w:cs="Arial"/>
        </w:rPr>
        <w:t>With an urgent application, a</w:t>
      </w:r>
      <w:r w:rsidR="006A7804">
        <w:rPr>
          <w:rFonts w:cs="Arial"/>
        </w:rPr>
        <w:t xml:space="preserve"> litigant</w:t>
      </w:r>
      <w:r w:rsidR="00050273">
        <w:rPr>
          <w:rFonts w:cs="Arial"/>
        </w:rPr>
        <w:t xml:space="preserve"> </w:t>
      </w:r>
      <w:r w:rsidR="006A7804">
        <w:rPr>
          <w:rFonts w:cs="Arial"/>
        </w:rPr>
        <w:t xml:space="preserve">seeks </w:t>
      </w:r>
      <w:r w:rsidR="00050273">
        <w:rPr>
          <w:rFonts w:cs="Arial"/>
        </w:rPr>
        <w:t xml:space="preserve">from the presiding officer, </w:t>
      </w:r>
      <w:r w:rsidR="006A7804">
        <w:rPr>
          <w:rFonts w:cs="Arial"/>
        </w:rPr>
        <w:t xml:space="preserve">an indulgence </w:t>
      </w:r>
      <w:r w:rsidR="00050273">
        <w:rPr>
          <w:rFonts w:cs="Arial"/>
        </w:rPr>
        <w:t xml:space="preserve">to be permitted </w:t>
      </w:r>
      <w:r w:rsidR="006A7804" w:rsidRPr="006A7804">
        <w:rPr>
          <w:rFonts w:cs="Arial"/>
        </w:rPr>
        <w:t xml:space="preserve">not </w:t>
      </w:r>
      <w:r w:rsidR="006A7804">
        <w:rPr>
          <w:rFonts w:cs="Arial"/>
        </w:rPr>
        <w:t xml:space="preserve">to </w:t>
      </w:r>
      <w:r w:rsidR="006A7804" w:rsidRPr="006A7804">
        <w:rPr>
          <w:rFonts w:cs="Arial"/>
        </w:rPr>
        <w:t xml:space="preserve">follow the normal process because </w:t>
      </w:r>
      <w:r w:rsidR="006A7804">
        <w:rPr>
          <w:rFonts w:cs="Arial"/>
        </w:rPr>
        <w:t xml:space="preserve">should their application run the normal course, their redress will either be moot or insubstantial. </w:t>
      </w:r>
      <w:r w:rsidR="00050273">
        <w:rPr>
          <w:rFonts w:cs="Arial"/>
        </w:rPr>
        <w:t xml:space="preserve">Accordingly, </w:t>
      </w:r>
      <w:r w:rsidR="003B1791">
        <w:rPr>
          <w:rFonts w:cs="Arial"/>
        </w:rPr>
        <w:t>the a</w:t>
      </w:r>
      <w:r w:rsidR="00050273">
        <w:rPr>
          <w:rFonts w:cs="Arial"/>
        </w:rPr>
        <w:t>pplicant</w:t>
      </w:r>
      <w:r w:rsidR="003B1791">
        <w:rPr>
          <w:rFonts w:cs="Arial"/>
        </w:rPr>
        <w:t>s</w:t>
      </w:r>
      <w:r w:rsidR="00050273">
        <w:rPr>
          <w:rFonts w:cs="Arial"/>
        </w:rPr>
        <w:t xml:space="preserve"> approach the court with an</w:t>
      </w:r>
      <w:r w:rsidR="006A7804" w:rsidRPr="006A7804">
        <w:rPr>
          <w:rFonts w:cs="Arial"/>
        </w:rPr>
        <w:t xml:space="preserve"> </w:t>
      </w:r>
      <w:r w:rsidR="00050273" w:rsidRPr="006A7804">
        <w:rPr>
          <w:rFonts w:cs="Arial"/>
        </w:rPr>
        <w:t>inimitable</w:t>
      </w:r>
      <w:r w:rsidR="00050273">
        <w:rPr>
          <w:rFonts w:cs="Arial"/>
        </w:rPr>
        <w:t xml:space="preserve"> application; wherein </w:t>
      </w:r>
      <w:r w:rsidR="003B1791">
        <w:rPr>
          <w:rFonts w:cs="Arial"/>
        </w:rPr>
        <w:t xml:space="preserve">they </w:t>
      </w:r>
      <w:r w:rsidR="00050273">
        <w:rPr>
          <w:rFonts w:cs="Arial"/>
        </w:rPr>
        <w:t xml:space="preserve">must not only convince the court of the merits of the </w:t>
      </w:r>
      <w:r w:rsidR="006E3759">
        <w:rPr>
          <w:rFonts w:cs="Arial"/>
        </w:rPr>
        <w:t xml:space="preserve">underlying </w:t>
      </w:r>
      <w:r w:rsidR="00050273">
        <w:rPr>
          <w:rFonts w:cs="Arial"/>
        </w:rPr>
        <w:t xml:space="preserve">application, but also of the uniqueness of </w:t>
      </w:r>
      <w:r w:rsidR="003B1791">
        <w:rPr>
          <w:rFonts w:cs="Arial"/>
        </w:rPr>
        <w:t xml:space="preserve">their </w:t>
      </w:r>
      <w:r w:rsidR="00050273">
        <w:rPr>
          <w:rFonts w:cs="Arial"/>
        </w:rPr>
        <w:t xml:space="preserve">particular circumstances, </w:t>
      </w:r>
      <w:r w:rsidR="001D1ADA">
        <w:rPr>
          <w:rFonts w:cs="Arial"/>
        </w:rPr>
        <w:t>before</w:t>
      </w:r>
      <w:r w:rsidR="00050273">
        <w:rPr>
          <w:rFonts w:cs="Arial"/>
        </w:rPr>
        <w:t xml:space="preserve"> the court </w:t>
      </w:r>
      <w:r w:rsidR="001D1ADA">
        <w:rPr>
          <w:rFonts w:cs="Arial"/>
        </w:rPr>
        <w:t>will be prepared to</w:t>
      </w:r>
      <w:r w:rsidR="00050273">
        <w:rPr>
          <w:rFonts w:cs="Arial"/>
        </w:rPr>
        <w:t xml:space="preserve"> </w:t>
      </w:r>
      <w:r w:rsidR="00050273" w:rsidRPr="006A7804">
        <w:rPr>
          <w:rFonts w:cs="Arial"/>
        </w:rPr>
        <w:t>enrol</w:t>
      </w:r>
      <w:r w:rsidR="006E3759">
        <w:rPr>
          <w:rFonts w:cs="Arial"/>
        </w:rPr>
        <w:t xml:space="preserve"> and hear </w:t>
      </w:r>
      <w:r w:rsidR="003B1791">
        <w:rPr>
          <w:rFonts w:cs="Arial"/>
        </w:rPr>
        <w:t xml:space="preserve">their </w:t>
      </w:r>
      <w:r w:rsidR="006A7804" w:rsidRPr="006A7804">
        <w:rPr>
          <w:rFonts w:cs="Arial"/>
        </w:rPr>
        <w:t xml:space="preserve">application </w:t>
      </w:r>
      <w:r w:rsidR="00050273">
        <w:rPr>
          <w:rFonts w:cs="Arial"/>
        </w:rPr>
        <w:t xml:space="preserve">immediately. </w:t>
      </w:r>
    </w:p>
    <w:p w14:paraId="7F7E305A" w14:textId="77777777" w:rsidR="006A7804" w:rsidRDefault="006A7804" w:rsidP="001C7F5D">
      <w:pPr>
        <w:spacing w:line="360" w:lineRule="auto"/>
        <w:jc w:val="both"/>
        <w:rPr>
          <w:rFonts w:cs="Arial"/>
        </w:rPr>
      </w:pPr>
    </w:p>
    <w:p w14:paraId="7B838D32" w14:textId="2BB74B20" w:rsidR="00050273" w:rsidRDefault="00023CCE" w:rsidP="00023CCE">
      <w:pPr>
        <w:spacing w:line="360" w:lineRule="auto"/>
        <w:jc w:val="both"/>
        <w:rPr>
          <w:rFonts w:cs="Arial"/>
        </w:rPr>
      </w:pPr>
      <w:r>
        <w:rPr>
          <w:rFonts w:cs="Arial"/>
        </w:rPr>
        <w:t>[32]</w:t>
      </w:r>
      <w:r>
        <w:rPr>
          <w:rFonts w:cs="Arial"/>
        </w:rPr>
        <w:tab/>
      </w:r>
      <w:r w:rsidR="00F25142">
        <w:rPr>
          <w:rFonts w:cs="Arial"/>
        </w:rPr>
        <w:t>C</w:t>
      </w:r>
      <w:r w:rsidR="00050273">
        <w:rPr>
          <w:rFonts w:cs="Arial"/>
        </w:rPr>
        <w:t xml:space="preserve">ase law is littered with </w:t>
      </w:r>
      <w:r w:rsidR="008663A9">
        <w:rPr>
          <w:rFonts w:cs="Arial"/>
        </w:rPr>
        <w:t xml:space="preserve">matters in which </w:t>
      </w:r>
      <w:r w:rsidR="006E3759">
        <w:rPr>
          <w:rFonts w:cs="Arial"/>
        </w:rPr>
        <w:t xml:space="preserve">the grounds </w:t>
      </w:r>
      <w:r w:rsidR="008663A9">
        <w:rPr>
          <w:rFonts w:cs="Arial"/>
        </w:rPr>
        <w:t>for</w:t>
      </w:r>
      <w:r w:rsidR="00050273">
        <w:rPr>
          <w:rFonts w:cs="Arial"/>
        </w:rPr>
        <w:t xml:space="preserve"> bring</w:t>
      </w:r>
      <w:r w:rsidR="008663A9">
        <w:rPr>
          <w:rFonts w:cs="Arial"/>
        </w:rPr>
        <w:t>ing</w:t>
      </w:r>
      <w:r w:rsidR="00050273">
        <w:rPr>
          <w:rFonts w:cs="Arial"/>
        </w:rPr>
        <w:t xml:space="preserve"> </w:t>
      </w:r>
      <w:r w:rsidR="006E3759">
        <w:rPr>
          <w:rFonts w:cs="Arial"/>
        </w:rPr>
        <w:t xml:space="preserve">an </w:t>
      </w:r>
      <w:r w:rsidR="00050273">
        <w:rPr>
          <w:rFonts w:cs="Arial"/>
        </w:rPr>
        <w:t>urgent application</w:t>
      </w:r>
      <w:r w:rsidR="008663A9">
        <w:rPr>
          <w:rFonts w:cs="Arial"/>
        </w:rPr>
        <w:t xml:space="preserve"> are set out</w:t>
      </w:r>
      <w:r w:rsidR="00050273">
        <w:rPr>
          <w:rFonts w:cs="Arial"/>
        </w:rPr>
        <w:t xml:space="preserve">. For the sake of brevity, I shall only refer to three cases, which </w:t>
      </w:r>
      <w:r w:rsidR="00B07F31">
        <w:rPr>
          <w:rFonts w:cs="Arial"/>
        </w:rPr>
        <w:t xml:space="preserve">in my view, adequately </w:t>
      </w:r>
      <w:r w:rsidR="00050273">
        <w:rPr>
          <w:rFonts w:cs="Arial"/>
        </w:rPr>
        <w:t>summarise</w:t>
      </w:r>
      <w:r w:rsidR="001D1ADA">
        <w:rPr>
          <w:rFonts w:cs="Arial"/>
        </w:rPr>
        <w:t xml:space="preserve"> </w:t>
      </w:r>
      <w:r w:rsidR="008663A9">
        <w:rPr>
          <w:rFonts w:cs="Arial"/>
        </w:rPr>
        <w:t xml:space="preserve">the </w:t>
      </w:r>
      <w:r w:rsidR="00050273">
        <w:rPr>
          <w:rFonts w:cs="Arial"/>
        </w:rPr>
        <w:t xml:space="preserve">submissions and allegations that should accompany an urgent application. </w:t>
      </w:r>
      <w:r w:rsidR="006E3759">
        <w:rPr>
          <w:rFonts w:cs="Arial"/>
        </w:rPr>
        <w:t xml:space="preserve">A convenient starting point is the authorising rule. </w:t>
      </w:r>
    </w:p>
    <w:p w14:paraId="329A7634" w14:textId="77777777" w:rsidR="006E3759" w:rsidRDefault="006E3759" w:rsidP="001C7F5D">
      <w:pPr>
        <w:spacing w:line="360" w:lineRule="auto"/>
        <w:jc w:val="both"/>
        <w:rPr>
          <w:rFonts w:cs="Arial"/>
        </w:rPr>
      </w:pPr>
    </w:p>
    <w:p w14:paraId="1FA9573C" w14:textId="5BC18FD2" w:rsidR="0035115B" w:rsidRPr="0035115B" w:rsidRDefault="00023CCE" w:rsidP="00023CCE">
      <w:pPr>
        <w:spacing w:line="360" w:lineRule="auto"/>
        <w:jc w:val="both"/>
        <w:rPr>
          <w:rFonts w:cs="Arial"/>
        </w:rPr>
      </w:pPr>
      <w:r w:rsidRPr="0035115B">
        <w:rPr>
          <w:rFonts w:cs="Arial"/>
        </w:rPr>
        <w:t>[33]</w:t>
      </w:r>
      <w:r w:rsidRPr="0035115B">
        <w:rPr>
          <w:rFonts w:cs="Arial"/>
        </w:rPr>
        <w:tab/>
      </w:r>
      <w:r w:rsidR="008663A9">
        <w:rPr>
          <w:rFonts w:cs="Arial"/>
        </w:rPr>
        <w:t>Uniform r</w:t>
      </w:r>
      <w:r w:rsidR="0035115B" w:rsidRPr="0035115B">
        <w:rPr>
          <w:rFonts w:cs="Arial"/>
        </w:rPr>
        <w:t>ule 6(12)</w:t>
      </w:r>
      <w:r w:rsidR="0035115B">
        <w:rPr>
          <w:rFonts w:cs="Arial"/>
        </w:rPr>
        <w:t xml:space="preserve"> </w:t>
      </w:r>
      <w:r w:rsidR="0035115B" w:rsidRPr="0035115B">
        <w:rPr>
          <w:rFonts w:cs="Arial"/>
        </w:rPr>
        <w:t>contain</w:t>
      </w:r>
      <w:r w:rsidR="008663A9">
        <w:rPr>
          <w:rFonts w:cs="Arial"/>
        </w:rPr>
        <w:t>s</w:t>
      </w:r>
      <w:r w:rsidR="0035115B" w:rsidRPr="0035115B">
        <w:rPr>
          <w:rFonts w:cs="Arial"/>
        </w:rPr>
        <w:t xml:space="preserve"> the regulatory framework for bringing an urgent application. </w:t>
      </w:r>
      <w:r w:rsidR="0035115B">
        <w:rPr>
          <w:rFonts w:cs="Arial"/>
        </w:rPr>
        <w:t>The rule reads:</w:t>
      </w:r>
    </w:p>
    <w:p w14:paraId="3E8448FA" w14:textId="7613552C" w:rsidR="0035115B" w:rsidRPr="0035115B" w:rsidRDefault="001A5620" w:rsidP="001C7F5D">
      <w:pPr>
        <w:spacing w:line="360" w:lineRule="auto"/>
        <w:jc w:val="both"/>
        <w:rPr>
          <w:rFonts w:cs="Arial"/>
          <w:sz w:val="22"/>
          <w:szCs w:val="22"/>
        </w:rPr>
      </w:pPr>
      <w:r>
        <w:rPr>
          <w:rFonts w:cs="Arial"/>
          <w:sz w:val="22"/>
          <w:szCs w:val="22"/>
        </w:rPr>
        <w:t>‘</w:t>
      </w:r>
      <w:r w:rsidR="0035115B" w:rsidRPr="0035115B">
        <w:rPr>
          <w:rFonts w:cs="Arial"/>
          <w:sz w:val="22"/>
          <w:szCs w:val="22"/>
        </w:rPr>
        <w:t>(a)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14:paraId="73F070CA" w14:textId="77777777" w:rsidR="0035115B" w:rsidRPr="0035115B" w:rsidRDefault="0035115B" w:rsidP="001C7F5D">
      <w:pPr>
        <w:spacing w:line="360" w:lineRule="auto"/>
        <w:jc w:val="both"/>
        <w:rPr>
          <w:rFonts w:cs="Arial"/>
          <w:sz w:val="22"/>
          <w:szCs w:val="22"/>
        </w:rPr>
      </w:pPr>
      <w:r w:rsidRPr="0035115B">
        <w:rPr>
          <w:rFonts w:cs="Arial"/>
          <w:sz w:val="22"/>
          <w:szCs w:val="22"/>
        </w:rPr>
        <w:t>(b) In every affidavit or petition filed in support of any application under paragraph (a) of this subrule, the applicant must set forth explicitly the circumstances which is averred render the matter urgent and the reasons why the applicant claims that applicant could not be afforded substantial redress at a hearing in due course.</w:t>
      </w:r>
    </w:p>
    <w:p w14:paraId="1F633FFE" w14:textId="5EB775E3" w:rsidR="0035115B" w:rsidRPr="0035115B" w:rsidRDefault="0035115B" w:rsidP="001C7F5D">
      <w:pPr>
        <w:spacing w:line="360" w:lineRule="auto"/>
        <w:jc w:val="both"/>
        <w:rPr>
          <w:rFonts w:cs="Arial"/>
          <w:sz w:val="22"/>
          <w:szCs w:val="22"/>
        </w:rPr>
      </w:pPr>
      <w:r w:rsidRPr="0035115B">
        <w:rPr>
          <w:rFonts w:cs="Arial"/>
          <w:sz w:val="22"/>
          <w:szCs w:val="22"/>
        </w:rPr>
        <w:t>(c) A person against whom an order was granted in such person's absence in an urgent application may by notice set down the matter for reconsideration of the order.</w:t>
      </w:r>
      <w:r w:rsidR="001A5620">
        <w:rPr>
          <w:rFonts w:cs="Arial"/>
          <w:sz w:val="22"/>
          <w:szCs w:val="22"/>
        </w:rPr>
        <w:t>’</w:t>
      </w:r>
    </w:p>
    <w:p w14:paraId="1A62A3F1" w14:textId="77777777" w:rsidR="0035115B" w:rsidRDefault="0035115B" w:rsidP="001C7F5D">
      <w:pPr>
        <w:spacing w:line="360" w:lineRule="auto"/>
        <w:jc w:val="both"/>
        <w:rPr>
          <w:rFonts w:cs="Arial"/>
        </w:rPr>
      </w:pPr>
    </w:p>
    <w:p w14:paraId="08AD1F92" w14:textId="7049D6C7" w:rsidR="00F25142" w:rsidRPr="0031315F" w:rsidRDefault="00023CCE" w:rsidP="00023CCE">
      <w:pPr>
        <w:spacing w:line="360" w:lineRule="auto"/>
        <w:jc w:val="both"/>
        <w:rPr>
          <w:rFonts w:cs="Arial"/>
        </w:rPr>
      </w:pPr>
      <w:r w:rsidRPr="0031315F">
        <w:rPr>
          <w:rFonts w:cs="Arial"/>
        </w:rPr>
        <w:t>[34]</w:t>
      </w:r>
      <w:r w:rsidRPr="0031315F">
        <w:rPr>
          <w:rFonts w:cs="Arial"/>
        </w:rPr>
        <w:tab/>
      </w:r>
      <w:r w:rsidR="00F25142" w:rsidRPr="0031315F">
        <w:rPr>
          <w:rFonts w:cs="Arial"/>
        </w:rPr>
        <w:t xml:space="preserve">In </w:t>
      </w:r>
      <w:r w:rsidR="0035115B" w:rsidRPr="00A749DC">
        <w:rPr>
          <w:rFonts w:cs="Arial"/>
          <w:i/>
        </w:rPr>
        <w:t>East Rock Trading 7 (Pty) Ltd v Eagle Valley Granite (Pty)</w:t>
      </w:r>
      <w:r w:rsidR="00195020" w:rsidRPr="0031315F">
        <w:rPr>
          <w:rFonts w:cs="Arial"/>
        </w:rPr>
        <w:t>,</w:t>
      </w:r>
      <w:r w:rsidR="00370632">
        <w:rPr>
          <w:rStyle w:val="FootnoteReference"/>
          <w:rFonts w:cs="Arial"/>
        </w:rPr>
        <w:footnoteReference w:id="10"/>
      </w:r>
      <w:r w:rsidR="00177AF8">
        <w:rPr>
          <w:rFonts w:cs="Arial"/>
        </w:rPr>
        <w:t xml:space="preserve"> para</w:t>
      </w:r>
      <w:r w:rsidR="004C3305">
        <w:rPr>
          <w:rFonts w:cs="Arial"/>
        </w:rPr>
        <w:t>s</w:t>
      </w:r>
      <w:r w:rsidR="00177AF8">
        <w:rPr>
          <w:rFonts w:cs="Arial"/>
        </w:rPr>
        <w:t xml:space="preserve"> 6</w:t>
      </w:r>
      <w:r w:rsidR="004C3305">
        <w:rPr>
          <w:rFonts w:cs="Arial"/>
        </w:rPr>
        <w:t>-9</w:t>
      </w:r>
      <w:r w:rsidR="00177AF8">
        <w:rPr>
          <w:rFonts w:cs="Arial"/>
        </w:rPr>
        <w:t>,</w:t>
      </w:r>
      <w:r w:rsidR="00195020" w:rsidRPr="0031315F">
        <w:rPr>
          <w:rFonts w:cs="Arial"/>
        </w:rPr>
        <w:t xml:space="preserve"> it was held:</w:t>
      </w:r>
    </w:p>
    <w:p w14:paraId="44F41649" w14:textId="54FA1A0B" w:rsidR="0035115B" w:rsidRDefault="0031315F" w:rsidP="001C7F5D">
      <w:pPr>
        <w:spacing w:line="360" w:lineRule="auto"/>
        <w:jc w:val="both"/>
        <w:rPr>
          <w:rFonts w:cs="Arial"/>
          <w:snapToGrid w:val="0"/>
          <w:sz w:val="22"/>
          <w:szCs w:val="22"/>
        </w:rPr>
      </w:pPr>
      <w:r>
        <w:rPr>
          <w:rFonts w:cs="Arial"/>
          <w:snapToGrid w:val="0"/>
          <w:sz w:val="22"/>
          <w:szCs w:val="22"/>
        </w:rPr>
        <w:t>‘</w:t>
      </w:r>
      <w:r w:rsidRPr="0035115B">
        <w:rPr>
          <w:rFonts w:cs="Arial"/>
          <w:snapToGrid w:val="0"/>
          <w:sz w:val="22"/>
          <w:szCs w:val="22"/>
        </w:rPr>
        <w:t>[</w:t>
      </w:r>
      <w:r w:rsidR="0035115B" w:rsidRPr="0035115B">
        <w:rPr>
          <w:rFonts w:cs="Arial"/>
          <w:snapToGrid w:val="0"/>
          <w:sz w:val="22"/>
          <w:szCs w:val="22"/>
        </w:rPr>
        <w:t>6]</w:t>
      </w:r>
      <w:r w:rsidR="0035115B" w:rsidRPr="0035115B">
        <w:rPr>
          <w:rFonts w:cs="Arial"/>
          <w:snapToGrid w:val="0"/>
          <w:sz w:val="22"/>
          <w:szCs w:val="22"/>
        </w:rPr>
        <w:tab/>
      </w:r>
      <w:r>
        <w:rPr>
          <w:rFonts w:cs="Arial"/>
          <w:snapToGrid w:val="0"/>
          <w:sz w:val="22"/>
          <w:szCs w:val="22"/>
        </w:rPr>
        <w:t xml:space="preserve">. . . . </w:t>
      </w:r>
      <w:r w:rsidR="0035115B" w:rsidRPr="0035115B">
        <w:rPr>
          <w:rFonts w:cs="Arial"/>
          <w:snapToGrid w:val="0"/>
          <w:sz w:val="22"/>
          <w:szCs w:val="22"/>
        </w:rPr>
        <w:t xml:space="preserve">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 </w:t>
      </w:r>
    </w:p>
    <w:p w14:paraId="2ECA2B3F" w14:textId="19C5F609" w:rsidR="0035115B" w:rsidRPr="0035115B" w:rsidRDefault="0035115B" w:rsidP="001C7F5D">
      <w:pPr>
        <w:spacing w:line="360" w:lineRule="auto"/>
        <w:jc w:val="both"/>
        <w:rPr>
          <w:snapToGrid w:val="0"/>
          <w:sz w:val="22"/>
          <w:szCs w:val="22"/>
        </w:rPr>
      </w:pPr>
      <w:r w:rsidRPr="0035115B">
        <w:rPr>
          <w:snapToGrid w:val="0"/>
          <w:sz w:val="22"/>
          <w:szCs w:val="22"/>
        </w:rPr>
        <w:t>[7]</w:t>
      </w:r>
      <w:r w:rsidRPr="0035115B">
        <w:rPr>
          <w:snapToGrid w:val="0"/>
          <w:sz w:val="22"/>
          <w:szCs w:val="22"/>
        </w:rPr>
        <w:tab/>
        <w:t xml:space="preserve">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w:t>
      </w:r>
      <w:r w:rsidR="00633F03">
        <w:rPr>
          <w:snapToGrid w:val="0"/>
          <w:sz w:val="22"/>
          <w:szCs w:val="22"/>
        </w:rPr>
        <w:t xml:space="preserve">to </w:t>
      </w:r>
      <w:r w:rsidRPr="0035115B">
        <w:rPr>
          <w:snapToGrid w:val="0"/>
          <w:sz w:val="22"/>
          <w:szCs w:val="22"/>
        </w:rPr>
        <w:t>obtain substantial redress in an application in due course will be determined by the facts of each case. An applicant must make out his cases in that regard.</w:t>
      </w:r>
    </w:p>
    <w:p w14:paraId="3B4272BE" w14:textId="71DB95C6" w:rsidR="0035115B" w:rsidRDefault="0035115B" w:rsidP="001C7F5D">
      <w:pPr>
        <w:spacing w:line="360" w:lineRule="auto"/>
        <w:jc w:val="both"/>
        <w:rPr>
          <w:rFonts w:cs="Arial"/>
          <w:b/>
          <w:snapToGrid w:val="0"/>
          <w:sz w:val="22"/>
          <w:szCs w:val="22"/>
        </w:rPr>
      </w:pPr>
      <w:r w:rsidRPr="0035115B">
        <w:rPr>
          <w:snapToGrid w:val="0"/>
          <w:sz w:val="22"/>
          <w:szCs w:val="22"/>
        </w:rPr>
        <w:t>[8]</w:t>
      </w:r>
      <w:r w:rsidRPr="0035115B">
        <w:rPr>
          <w:snapToGrid w:val="0"/>
          <w:sz w:val="22"/>
          <w:szCs w:val="22"/>
        </w:rPr>
        <w:tab/>
        <w:t>In my view the delay in instituting proceedings is not, on its own</w:t>
      </w:r>
      <w:r w:rsidR="00645B09">
        <w:rPr>
          <w:snapToGrid w:val="0"/>
          <w:sz w:val="22"/>
          <w:szCs w:val="22"/>
        </w:rPr>
        <w:t xml:space="preserve"> </w:t>
      </w:r>
      <w:r w:rsidRPr="0035115B">
        <w:rPr>
          <w:snapToGrid w:val="0"/>
          <w:sz w:val="22"/>
          <w:szCs w:val="22"/>
        </w:rPr>
        <w:t>a ground</w:t>
      </w:r>
      <w:r w:rsidR="00645B09">
        <w:rPr>
          <w:snapToGrid w:val="0"/>
          <w:sz w:val="22"/>
          <w:szCs w:val="22"/>
        </w:rPr>
        <w:t>,</w:t>
      </w:r>
      <w:r w:rsidRPr="0035115B">
        <w:rPr>
          <w:snapToGrid w:val="0"/>
          <w:sz w:val="22"/>
          <w:szCs w:val="22"/>
        </w:rPr>
        <w:t xml:space="preserve"> for refusing to regard the matter as urgent. A court is obliged to consider the circumstances of the case and the explanation given. The important issue is whether, despite the delay, the applicant can or cannot be afforded substantial redress at a hearing in due course. A delay might be an indication that the matter is not as urgent as the applicant would want the Court to believe. On the other hand a delay may have been caused by the fact that the Applicant was attempting to settle the matter or collect more facts with regard thereto.</w:t>
      </w:r>
      <w:r w:rsidRPr="0035115B">
        <w:rPr>
          <w:rStyle w:val="FootnoteReference"/>
          <w:sz w:val="22"/>
          <w:szCs w:val="22"/>
        </w:rPr>
        <w:footnoteReference w:id="11"/>
      </w:r>
      <w:r w:rsidRPr="0035115B">
        <w:rPr>
          <w:rFonts w:cs="Arial"/>
          <w:b/>
          <w:snapToGrid w:val="0"/>
          <w:sz w:val="22"/>
          <w:szCs w:val="22"/>
        </w:rPr>
        <w:t xml:space="preserve"> </w:t>
      </w:r>
    </w:p>
    <w:p w14:paraId="7F38BC56" w14:textId="100DB023" w:rsidR="0035115B" w:rsidRDefault="0035115B" w:rsidP="001C7F5D">
      <w:pPr>
        <w:spacing w:line="360" w:lineRule="auto"/>
        <w:jc w:val="both"/>
        <w:rPr>
          <w:rFonts w:cs="Arial"/>
          <w:snapToGrid w:val="0"/>
          <w:sz w:val="22"/>
          <w:szCs w:val="22"/>
        </w:rPr>
      </w:pPr>
      <w:r w:rsidRPr="0035115B">
        <w:rPr>
          <w:rFonts w:cs="Arial"/>
          <w:snapToGrid w:val="0"/>
          <w:sz w:val="22"/>
          <w:szCs w:val="22"/>
        </w:rPr>
        <w:t>[9]</w:t>
      </w:r>
      <w:r w:rsidRPr="0035115B">
        <w:rPr>
          <w:rFonts w:cs="Arial"/>
          <w:snapToGrid w:val="0"/>
          <w:sz w:val="22"/>
          <w:szCs w:val="22"/>
        </w:rPr>
        <w:tab/>
        <w:t>It means that if there is some delay in instituting the proceedings an Applicant has to explain the reasons for the delay and why despite the delay he claims that he cannot be afforded substantial redress at a hearing in due course. I must also mention that the fact the Applicant wants to have the matter resolved urgently does not render the matter urgent. The correct and the crucial test is whether, if the matter were to follow its normal course as laid down by the rules, an Applicant will be afforded substantial redress. If he cannot be afforded substantial redress at a hearing in due course then the matter qualifies to be enrolled and heard as an urgent application. If however despite the anxiety of an Applicant he can be afforded a substantial redress in an application in due course the application does not qualify to be enrolled and heard as an urgent application.</w:t>
      </w:r>
      <w:r w:rsidR="001F4051">
        <w:rPr>
          <w:rFonts w:cs="Arial"/>
          <w:snapToGrid w:val="0"/>
          <w:sz w:val="22"/>
          <w:szCs w:val="22"/>
        </w:rPr>
        <w:t>’</w:t>
      </w:r>
    </w:p>
    <w:p w14:paraId="2865A6D2" w14:textId="77777777" w:rsidR="0031315F" w:rsidRPr="0035115B" w:rsidRDefault="0031315F" w:rsidP="001C7F5D">
      <w:pPr>
        <w:spacing w:line="360" w:lineRule="auto"/>
        <w:jc w:val="both"/>
        <w:rPr>
          <w:rFonts w:cs="Arial"/>
          <w:b/>
          <w:snapToGrid w:val="0"/>
          <w:sz w:val="22"/>
          <w:szCs w:val="22"/>
        </w:rPr>
      </w:pPr>
    </w:p>
    <w:p w14:paraId="14451DA2" w14:textId="68ED3CFE" w:rsidR="00011BC8" w:rsidRPr="00011BC8" w:rsidRDefault="00023CCE" w:rsidP="00023CCE">
      <w:pPr>
        <w:spacing w:line="360" w:lineRule="auto"/>
        <w:jc w:val="both"/>
        <w:rPr>
          <w:rFonts w:cs="Arial"/>
        </w:rPr>
      </w:pPr>
      <w:r w:rsidRPr="00011BC8">
        <w:rPr>
          <w:rFonts w:cs="Arial"/>
        </w:rPr>
        <w:t>[35]</w:t>
      </w:r>
      <w:r w:rsidRPr="00011BC8">
        <w:rPr>
          <w:rFonts w:cs="Arial"/>
        </w:rPr>
        <w:tab/>
      </w:r>
      <w:r w:rsidR="00011BC8" w:rsidRPr="00011BC8">
        <w:rPr>
          <w:rFonts w:cs="Arial"/>
        </w:rPr>
        <w:t>In considering Rule 8</w:t>
      </w:r>
      <w:r w:rsidR="00011BC8">
        <w:rPr>
          <w:rFonts w:cs="Arial"/>
        </w:rPr>
        <w:t xml:space="preserve"> of the Labour </w:t>
      </w:r>
      <w:r w:rsidR="008914E2">
        <w:rPr>
          <w:rFonts w:cs="Arial"/>
        </w:rPr>
        <w:t>Court rules</w:t>
      </w:r>
      <w:r w:rsidR="00011BC8" w:rsidRPr="00011BC8">
        <w:rPr>
          <w:rFonts w:cs="Arial"/>
        </w:rPr>
        <w:t xml:space="preserve">, the </w:t>
      </w:r>
      <w:r w:rsidR="008914E2">
        <w:rPr>
          <w:rFonts w:cs="Arial"/>
        </w:rPr>
        <w:t>Constitutional</w:t>
      </w:r>
      <w:r w:rsidR="00011BC8">
        <w:rPr>
          <w:rFonts w:cs="Arial"/>
        </w:rPr>
        <w:t xml:space="preserve"> </w:t>
      </w:r>
      <w:r w:rsidR="00011BC8" w:rsidRPr="00011BC8">
        <w:rPr>
          <w:rFonts w:cs="Arial"/>
        </w:rPr>
        <w:t xml:space="preserve">Court in </w:t>
      </w:r>
      <w:proofErr w:type="spellStart"/>
      <w:r w:rsidR="00011BC8" w:rsidRPr="00A749DC">
        <w:rPr>
          <w:rFonts w:cs="Arial"/>
          <w:i/>
        </w:rPr>
        <w:t>Jiba</w:t>
      </w:r>
      <w:proofErr w:type="spellEnd"/>
      <w:r w:rsidR="00011BC8" w:rsidRPr="00A749DC">
        <w:rPr>
          <w:rFonts w:cs="Arial"/>
          <w:i/>
        </w:rPr>
        <w:t xml:space="preserve"> v Minister: Department of Justice and Constitutional Development and </w:t>
      </w:r>
      <w:r w:rsidR="00370632">
        <w:rPr>
          <w:rFonts w:cs="Arial"/>
          <w:i/>
        </w:rPr>
        <w:t>o</w:t>
      </w:r>
      <w:r w:rsidR="00011BC8" w:rsidRPr="00A749DC">
        <w:rPr>
          <w:rFonts w:cs="Arial"/>
          <w:i/>
        </w:rPr>
        <w:t>thers</w:t>
      </w:r>
      <w:r w:rsidR="001F4051" w:rsidRPr="00A749DC">
        <w:rPr>
          <w:rStyle w:val="FootnoteReference"/>
          <w:rFonts w:cs="Arial"/>
        </w:rPr>
        <w:footnoteReference w:id="12"/>
      </w:r>
      <w:r w:rsidR="00370632">
        <w:rPr>
          <w:rFonts w:cs="Arial"/>
        </w:rPr>
        <w:t xml:space="preserve"> para 18</w:t>
      </w:r>
      <w:r w:rsidR="008914E2" w:rsidRPr="007B1587">
        <w:rPr>
          <w:rFonts w:cs="Arial"/>
        </w:rPr>
        <w:t xml:space="preserve"> </w:t>
      </w:r>
      <w:r w:rsidR="00011BC8" w:rsidRPr="00011BC8">
        <w:rPr>
          <w:rFonts w:cs="Arial"/>
        </w:rPr>
        <w:t>s</w:t>
      </w:r>
      <w:r w:rsidR="008914E2">
        <w:rPr>
          <w:rFonts w:cs="Arial"/>
        </w:rPr>
        <w:t>tated</w:t>
      </w:r>
      <w:r w:rsidR="001F4051">
        <w:rPr>
          <w:rFonts w:cs="Arial"/>
        </w:rPr>
        <w:t>,</w:t>
      </w:r>
    </w:p>
    <w:p w14:paraId="4A0DF1DD" w14:textId="045C1379" w:rsidR="00AB5C35" w:rsidRPr="00A749DC" w:rsidRDefault="00011BC8" w:rsidP="001C7F5D">
      <w:pPr>
        <w:spacing w:line="360" w:lineRule="auto"/>
        <w:jc w:val="both"/>
        <w:rPr>
          <w:rFonts w:cs="Arial"/>
          <w:sz w:val="22"/>
          <w:szCs w:val="22"/>
        </w:rPr>
      </w:pPr>
      <w:r w:rsidRPr="00A749DC">
        <w:rPr>
          <w:rFonts w:cs="Arial"/>
          <w:sz w:val="22"/>
          <w:szCs w:val="22"/>
        </w:rPr>
        <w:t>‘Rule 8 of the rules of this court requires a party seeking urgent relief to set out the reasons for</w:t>
      </w:r>
      <w:r w:rsidR="008914E2" w:rsidRPr="00A749DC">
        <w:rPr>
          <w:rFonts w:cs="Arial"/>
          <w:sz w:val="22"/>
          <w:szCs w:val="22"/>
        </w:rPr>
        <w:t xml:space="preserve"> </w:t>
      </w:r>
      <w:r w:rsidRPr="00A749DC">
        <w:rPr>
          <w:rFonts w:cs="Arial"/>
          <w:sz w:val="22"/>
          <w:szCs w:val="22"/>
        </w:rPr>
        <w:t>urgency, and why urgent relief is necessary. It is trite law that there are degrees of</w:t>
      </w:r>
      <w:r w:rsidR="008914E2" w:rsidRPr="00A749DC">
        <w:rPr>
          <w:rFonts w:cs="Arial"/>
          <w:sz w:val="22"/>
          <w:szCs w:val="22"/>
        </w:rPr>
        <w:t xml:space="preserve"> </w:t>
      </w:r>
      <w:r w:rsidRPr="00A749DC">
        <w:rPr>
          <w:rFonts w:cs="Arial"/>
          <w:sz w:val="22"/>
          <w:szCs w:val="22"/>
        </w:rPr>
        <w:t>urgency, and the degree to which the ordinarily applicable rules should be relaxed is dependent on the degree of</w:t>
      </w:r>
      <w:r w:rsidR="008914E2" w:rsidRPr="00A749DC">
        <w:rPr>
          <w:rFonts w:cs="Arial"/>
          <w:sz w:val="22"/>
          <w:szCs w:val="22"/>
        </w:rPr>
        <w:t xml:space="preserve"> </w:t>
      </w:r>
      <w:r w:rsidRPr="00A749DC">
        <w:rPr>
          <w:rFonts w:cs="Arial"/>
          <w:sz w:val="22"/>
          <w:szCs w:val="22"/>
        </w:rPr>
        <w:t>urgency. It is equally trite that an applicant is not entitled to rely on</w:t>
      </w:r>
      <w:r w:rsidR="008914E2" w:rsidRPr="00A749DC">
        <w:rPr>
          <w:rFonts w:cs="Arial"/>
          <w:sz w:val="22"/>
          <w:szCs w:val="22"/>
        </w:rPr>
        <w:t xml:space="preserve"> </w:t>
      </w:r>
      <w:r w:rsidRPr="00A749DC">
        <w:rPr>
          <w:rFonts w:cs="Arial"/>
          <w:sz w:val="22"/>
          <w:szCs w:val="22"/>
        </w:rPr>
        <w:t xml:space="preserve">urgency that is </w:t>
      </w:r>
      <w:r w:rsidR="008914E2" w:rsidRPr="00A749DC">
        <w:rPr>
          <w:rFonts w:cs="Arial"/>
          <w:sz w:val="22"/>
          <w:szCs w:val="22"/>
        </w:rPr>
        <w:t>self-created</w:t>
      </w:r>
      <w:r w:rsidRPr="00A749DC">
        <w:rPr>
          <w:rFonts w:cs="Arial"/>
          <w:sz w:val="22"/>
          <w:szCs w:val="22"/>
        </w:rPr>
        <w:t xml:space="preserve"> when seeking a deviation from the rules.’</w:t>
      </w:r>
    </w:p>
    <w:p w14:paraId="20968B70" w14:textId="77777777" w:rsidR="00AB5C35" w:rsidRDefault="00AB5C35" w:rsidP="001C7F5D">
      <w:pPr>
        <w:spacing w:line="360" w:lineRule="auto"/>
        <w:jc w:val="both"/>
        <w:rPr>
          <w:rFonts w:cs="Arial"/>
        </w:rPr>
      </w:pPr>
    </w:p>
    <w:p w14:paraId="085177D4" w14:textId="63E87C16" w:rsidR="003A25FD" w:rsidRPr="003A25FD" w:rsidRDefault="00023CCE" w:rsidP="00023CCE">
      <w:pPr>
        <w:spacing w:line="360" w:lineRule="auto"/>
        <w:jc w:val="both"/>
        <w:rPr>
          <w:rFonts w:cs="Arial"/>
        </w:rPr>
      </w:pPr>
      <w:r w:rsidRPr="003A25FD">
        <w:rPr>
          <w:rFonts w:cs="Arial"/>
        </w:rPr>
        <w:t>[36]</w:t>
      </w:r>
      <w:r w:rsidRPr="003A25FD">
        <w:rPr>
          <w:rFonts w:cs="Arial"/>
        </w:rPr>
        <w:tab/>
      </w:r>
      <w:r w:rsidR="003A25FD">
        <w:rPr>
          <w:rFonts w:cs="Arial"/>
        </w:rPr>
        <w:t xml:space="preserve">In </w:t>
      </w:r>
      <w:proofErr w:type="spellStart"/>
      <w:r w:rsidR="003A25FD" w:rsidRPr="00A749DC">
        <w:rPr>
          <w:rFonts w:cs="Arial"/>
          <w:i/>
        </w:rPr>
        <w:t>Maqubela</w:t>
      </w:r>
      <w:proofErr w:type="spellEnd"/>
      <w:r w:rsidR="003A25FD" w:rsidRPr="00A749DC">
        <w:rPr>
          <w:rFonts w:cs="Arial"/>
          <w:i/>
        </w:rPr>
        <w:t xml:space="preserve"> v SA Graduates Development Association and </w:t>
      </w:r>
      <w:r w:rsidR="00370632">
        <w:rPr>
          <w:rFonts w:cs="Arial"/>
          <w:i/>
        </w:rPr>
        <w:t>o</w:t>
      </w:r>
      <w:r w:rsidR="003A25FD" w:rsidRPr="00A749DC">
        <w:rPr>
          <w:rFonts w:cs="Arial"/>
          <w:i/>
        </w:rPr>
        <w:t>thers</w:t>
      </w:r>
      <w:r w:rsidR="00370632" w:rsidRPr="00A749DC">
        <w:rPr>
          <w:rStyle w:val="FootnoteReference"/>
          <w:rFonts w:cs="Arial"/>
        </w:rPr>
        <w:footnoteReference w:id="13"/>
      </w:r>
      <w:r w:rsidR="00370632">
        <w:rPr>
          <w:rFonts w:cs="Arial"/>
        </w:rPr>
        <w:t xml:space="preserve"> </w:t>
      </w:r>
      <w:r w:rsidR="003A25FD" w:rsidRPr="00C360E2">
        <w:rPr>
          <w:rFonts w:cs="Arial"/>
          <w:szCs w:val="20"/>
        </w:rPr>
        <w:t>para 32</w:t>
      </w:r>
      <w:r w:rsidR="003A25FD">
        <w:rPr>
          <w:rFonts w:cs="Arial"/>
          <w:szCs w:val="20"/>
        </w:rPr>
        <w:t>,</w:t>
      </w:r>
      <w:r w:rsidR="003A25FD" w:rsidRPr="003A25FD">
        <w:rPr>
          <w:rFonts w:cs="Arial"/>
        </w:rPr>
        <w:t xml:space="preserve"> </w:t>
      </w:r>
      <w:r w:rsidR="003A25FD">
        <w:rPr>
          <w:rFonts w:cs="Arial"/>
        </w:rPr>
        <w:t>the court observed</w:t>
      </w:r>
      <w:r w:rsidR="003A25FD" w:rsidRPr="003A25FD">
        <w:rPr>
          <w:rFonts w:cs="Arial"/>
        </w:rPr>
        <w:t>:</w:t>
      </w:r>
    </w:p>
    <w:p w14:paraId="07A41493" w14:textId="72BFB334" w:rsidR="003A25FD" w:rsidRPr="00A749DC" w:rsidRDefault="003A25FD" w:rsidP="001C7F5D">
      <w:pPr>
        <w:spacing w:line="360" w:lineRule="auto"/>
        <w:jc w:val="both"/>
        <w:rPr>
          <w:rFonts w:cs="Arial"/>
          <w:sz w:val="22"/>
          <w:szCs w:val="22"/>
        </w:rPr>
      </w:pPr>
      <w:r w:rsidRPr="00A749DC">
        <w:rPr>
          <w:rFonts w:cs="Arial"/>
          <w:sz w:val="22"/>
          <w:szCs w:val="22"/>
        </w:rPr>
        <w:t xml:space="preserve">‘Whether a matter is urgent involves two considerations. The first is whether the reasons that make the matter urgent have been set out and secondly whether the applicant seeking relief will not obtain substantial relief at a later stage. In all instances where urgency is alleged, the applicant must satisfy the court that indeed the application is urgent. Thus, it is required of the applicant adequately to set out in his or her founding affidavit the reasons for urgency, and to give cogent reasons why urgent relief is necessary. As </w:t>
      </w:r>
      <w:proofErr w:type="spellStart"/>
      <w:r w:rsidRPr="00A749DC">
        <w:rPr>
          <w:rFonts w:cs="Arial"/>
          <w:sz w:val="22"/>
          <w:szCs w:val="22"/>
        </w:rPr>
        <w:t>Moshoana</w:t>
      </w:r>
      <w:proofErr w:type="spellEnd"/>
      <w:r w:rsidRPr="00A749DC">
        <w:rPr>
          <w:rFonts w:cs="Arial"/>
          <w:sz w:val="22"/>
          <w:szCs w:val="22"/>
        </w:rPr>
        <w:t xml:space="preserve"> AJ aptly put it in </w:t>
      </w:r>
      <w:proofErr w:type="spellStart"/>
      <w:r w:rsidRPr="00A749DC">
        <w:rPr>
          <w:rFonts w:cs="Arial"/>
          <w:i/>
          <w:sz w:val="22"/>
          <w:szCs w:val="22"/>
        </w:rPr>
        <w:t>Vermaak</w:t>
      </w:r>
      <w:proofErr w:type="spellEnd"/>
      <w:r w:rsidRPr="00A749DC">
        <w:rPr>
          <w:rFonts w:cs="Arial"/>
          <w:i/>
          <w:sz w:val="22"/>
          <w:szCs w:val="22"/>
        </w:rPr>
        <w:t xml:space="preserve"> v </w:t>
      </w:r>
      <w:proofErr w:type="spellStart"/>
      <w:r w:rsidRPr="00A749DC">
        <w:rPr>
          <w:rFonts w:cs="Arial"/>
          <w:i/>
          <w:sz w:val="22"/>
          <w:szCs w:val="22"/>
        </w:rPr>
        <w:t>Taung</w:t>
      </w:r>
      <w:proofErr w:type="spellEnd"/>
      <w:r w:rsidRPr="00A749DC">
        <w:rPr>
          <w:rFonts w:cs="Arial"/>
          <w:i/>
          <w:sz w:val="22"/>
          <w:szCs w:val="22"/>
        </w:rPr>
        <w:t xml:space="preserve"> Local Municipality</w:t>
      </w:r>
      <w:r w:rsidRPr="00A749DC">
        <w:rPr>
          <w:rFonts w:cs="Arial"/>
          <w:sz w:val="22"/>
          <w:szCs w:val="22"/>
        </w:rPr>
        <w:t>:</w:t>
      </w:r>
    </w:p>
    <w:p w14:paraId="4629FB2B" w14:textId="764BFD13" w:rsidR="003A25FD" w:rsidRPr="002B2D85" w:rsidRDefault="00583BEE" w:rsidP="001C7F5D">
      <w:pPr>
        <w:spacing w:line="360" w:lineRule="auto"/>
        <w:jc w:val="both"/>
        <w:rPr>
          <w:rFonts w:cs="Arial"/>
          <w:sz w:val="22"/>
          <w:szCs w:val="22"/>
        </w:rPr>
      </w:pPr>
      <w:r>
        <w:rPr>
          <w:rFonts w:cs="Arial"/>
          <w:sz w:val="22"/>
          <w:szCs w:val="22"/>
        </w:rPr>
        <w:t>“</w:t>
      </w:r>
      <w:r w:rsidRPr="002B2D85">
        <w:rPr>
          <w:rFonts w:cs="Arial"/>
          <w:sz w:val="22"/>
          <w:szCs w:val="22"/>
        </w:rPr>
        <w:t xml:space="preserve">The </w:t>
      </w:r>
      <w:r w:rsidR="003A25FD" w:rsidRPr="002B2D85">
        <w:rPr>
          <w:rFonts w:cs="Arial"/>
          <w:sz w:val="22"/>
          <w:szCs w:val="22"/>
        </w:rPr>
        <w:t>consideration of the first requirement being why is the relief necessary today and not tomorrow, requires a court to be placed in a position where the court must appreciate that if it does not issue a relief as a matter of urgency, something is likely to happen. By way of an example if the court were not to issue an injunction, some unlawful act is likely to happen at a particular stage and at a particular date.</w:t>
      </w:r>
      <w:r>
        <w:rPr>
          <w:rFonts w:cs="Arial"/>
          <w:sz w:val="22"/>
          <w:szCs w:val="22"/>
        </w:rPr>
        <w:t>”</w:t>
      </w:r>
    </w:p>
    <w:p w14:paraId="2AD51807" w14:textId="77777777" w:rsidR="003A25FD" w:rsidRDefault="003A25FD" w:rsidP="001C7F5D">
      <w:pPr>
        <w:spacing w:line="360" w:lineRule="auto"/>
        <w:jc w:val="both"/>
        <w:rPr>
          <w:rFonts w:cs="Arial"/>
        </w:rPr>
      </w:pPr>
    </w:p>
    <w:p w14:paraId="3301A9D7" w14:textId="4BE67A23" w:rsidR="008914E2" w:rsidRDefault="00023CCE" w:rsidP="00023CCE">
      <w:pPr>
        <w:spacing w:line="360" w:lineRule="auto"/>
        <w:jc w:val="both"/>
        <w:rPr>
          <w:rFonts w:cs="Arial"/>
        </w:rPr>
      </w:pPr>
      <w:r>
        <w:rPr>
          <w:rFonts w:cs="Arial"/>
        </w:rPr>
        <w:t>[37]</w:t>
      </w:r>
      <w:r>
        <w:rPr>
          <w:rFonts w:cs="Arial"/>
        </w:rPr>
        <w:tab/>
      </w:r>
      <w:r w:rsidR="008914E2">
        <w:rPr>
          <w:rFonts w:cs="Arial"/>
        </w:rPr>
        <w:t>Considering</w:t>
      </w:r>
      <w:r w:rsidR="003A25FD">
        <w:rPr>
          <w:rFonts w:cs="Arial"/>
        </w:rPr>
        <w:t xml:space="preserve"> the observations in </w:t>
      </w:r>
      <w:r w:rsidR="00584225" w:rsidRPr="00D43F10">
        <w:rPr>
          <w:rFonts w:cs="Arial"/>
          <w:i/>
          <w:iCs/>
        </w:rPr>
        <w:t>East Rock Trading</w:t>
      </w:r>
      <w:r w:rsidR="00584225">
        <w:rPr>
          <w:rFonts w:cs="Arial"/>
        </w:rPr>
        <w:t xml:space="preserve">, </w:t>
      </w:r>
      <w:proofErr w:type="spellStart"/>
      <w:r w:rsidR="00D43F10" w:rsidRPr="00D43F10">
        <w:rPr>
          <w:rFonts w:cs="Arial"/>
          <w:i/>
          <w:iCs/>
        </w:rPr>
        <w:t>Jiba</w:t>
      </w:r>
      <w:proofErr w:type="spellEnd"/>
      <w:r w:rsidR="003A25FD">
        <w:rPr>
          <w:rFonts w:cs="Arial"/>
        </w:rPr>
        <w:t xml:space="preserve"> and </w:t>
      </w:r>
      <w:proofErr w:type="spellStart"/>
      <w:r w:rsidR="003A25FD" w:rsidRPr="003A25FD">
        <w:rPr>
          <w:rFonts w:cs="Arial"/>
          <w:i/>
          <w:iCs/>
        </w:rPr>
        <w:t>Maqubela</w:t>
      </w:r>
      <w:proofErr w:type="spellEnd"/>
      <w:r w:rsidR="003A25FD">
        <w:rPr>
          <w:rFonts w:cs="Arial"/>
          <w:i/>
          <w:iCs/>
        </w:rPr>
        <w:t>,</w:t>
      </w:r>
      <w:r w:rsidR="003A25FD">
        <w:rPr>
          <w:rFonts w:cs="Arial"/>
        </w:rPr>
        <w:t xml:space="preserve"> </w:t>
      </w:r>
      <w:r w:rsidR="00D43F10">
        <w:rPr>
          <w:rFonts w:cs="Arial"/>
        </w:rPr>
        <w:t>it is apparent that</w:t>
      </w:r>
      <w:r w:rsidR="00584225">
        <w:rPr>
          <w:rFonts w:cs="Arial"/>
        </w:rPr>
        <w:t>,</w:t>
      </w:r>
      <w:r w:rsidR="00D43F10">
        <w:rPr>
          <w:rFonts w:cs="Arial"/>
        </w:rPr>
        <w:t xml:space="preserve"> </w:t>
      </w:r>
      <w:r w:rsidR="00584225">
        <w:rPr>
          <w:rFonts w:cs="Arial"/>
        </w:rPr>
        <w:t xml:space="preserve">in order </w:t>
      </w:r>
      <w:r w:rsidR="00D43F10">
        <w:rPr>
          <w:rFonts w:cs="Arial"/>
        </w:rPr>
        <w:t xml:space="preserve">for a litigant to </w:t>
      </w:r>
      <w:r w:rsidR="00633F03">
        <w:rPr>
          <w:rFonts w:cs="Arial"/>
        </w:rPr>
        <w:t>be successful</w:t>
      </w:r>
      <w:r w:rsidR="00D43F10">
        <w:rPr>
          <w:rFonts w:cs="Arial"/>
        </w:rPr>
        <w:t xml:space="preserve"> in an urgent application, three conditions must be met:</w:t>
      </w:r>
    </w:p>
    <w:p w14:paraId="7D91E6CF" w14:textId="2ECDB89C" w:rsidR="00D43F10" w:rsidRDefault="00584225" w:rsidP="002B2D85">
      <w:pPr>
        <w:spacing w:line="360" w:lineRule="auto"/>
        <w:jc w:val="both"/>
      </w:pPr>
      <w:r>
        <w:rPr>
          <w:rFonts w:cs="Arial"/>
        </w:rPr>
        <w:t>(a)</w:t>
      </w:r>
      <w:r>
        <w:rPr>
          <w:rFonts w:cs="Arial"/>
        </w:rPr>
        <w:tab/>
      </w:r>
      <w:r w:rsidR="00633F03">
        <w:t>The application must be brought as soon as possible; a</w:t>
      </w:r>
      <w:r w:rsidR="00190548">
        <w:t>ccordingly, cogent reasons must be advanced to the court for any delay</w:t>
      </w:r>
      <w:r w:rsidR="006A7804">
        <w:t xml:space="preserve"> in bringing the application</w:t>
      </w:r>
      <w:r w:rsidR="00D43F10">
        <w:t>;</w:t>
      </w:r>
    </w:p>
    <w:p w14:paraId="53375810" w14:textId="6553330E" w:rsidR="00D43F10" w:rsidRPr="000F27BA" w:rsidRDefault="00584225" w:rsidP="002B2D85">
      <w:pPr>
        <w:spacing w:line="360" w:lineRule="auto"/>
        <w:jc w:val="both"/>
        <w:rPr>
          <w:rFonts w:cs="Arial"/>
        </w:rPr>
      </w:pPr>
      <w:r>
        <w:rPr>
          <w:rFonts w:cs="Arial"/>
        </w:rPr>
        <w:t>(b)</w:t>
      </w:r>
      <w:r>
        <w:rPr>
          <w:rFonts w:cs="Arial"/>
        </w:rPr>
        <w:tab/>
      </w:r>
      <w:r w:rsidR="00633F03" w:rsidRPr="007B1587">
        <w:rPr>
          <w:rFonts w:cs="Arial"/>
        </w:rPr>
        <w:t>T</w:t>
      </w:r>
      <w:r w:rsidR="00D43F10" w:rsidRPr="007B1587">
        <w:rPr>
          <w:rFonts w:cs="Arial"/>
        </w:rPr>
        <w:t>he applicant must</w:t>
      </w:r>
      <w:r w:rsidR="00037527" w:rsidRPr="007B1587">
        <w:rPr>
          <w:rFonts w:cs="Arial"/>
        </w:rPr>
        <w:t xml:space="preserve"> provide a detailed account of </w:t>
      </w:r>
      <w:r w:rsidR="006A7804" w:rsidRPr="000F27BA">
        <w:rPr>
          <w:rFonts w:cs="Arial"/>
        </w:rPr>
        <w:t xml:space="preserve">why </w:t>
      </w:r>
      <w:r w:rsidR="004E01AE">
        <w:rPr>
          <w:rFonts w:cs="Arial"/>
        </w:rPr>
        <w:t>they</w:t>
      </w:r>
      <w:r w:rsidR="004E01AE" w:rsidRPr="007B1587">
        <w:rPr>
          <w:rFonts w:cs="Arial"/>
        </w:rPr>
        <w:t xml:space="preserve"> </w:t>
      </w:r>
      <w:r w:rsidR="00037527" w:rsidRPr="007B1587">
        <w:rPr>
          <w:rFonts w:cs="Arial"/>
        </w:rPr>
        <w:t>believe</w:t>
      </w:r>
      <w:r w:rsidR="00037527" w:rsidRPr="000F27BA">
        <w:rPr>
          <w:rFonts w:cs="Arial"/>
        </w:rPr>
        <w:t xml:space="preserve"> that </w:t>
      </w:r>
      <w:r w:rsidR="004E01AE">
        <w:rPr>
          <w:rFonts w:cs="Arial"/>
        </w:rPr>
        <w:t>they</w:t>
      </w:r>
      <w:r w:rsidR="004E01AE" w:rsidRPr="007B1587">
        <w:rPr>
          <w:rFonts w:cs="Arial"/>
        </w:rPr>
        <w:t xml:space="preserve"> </w:t>
      </w:r>
      <w:r w:rsidR="00037527" w:rsidRPr="007B1587">
        <w:rPr>
          <w:rFonts w:cs="Arial"/>
        </w:rPr>
        <w:t>will not receive substantial redress i</w:t>
      </w:r>
      <w:r w:rsidR="00FE75BC">
        <w:rPr>
          <w:rFonts w:cs="Arial"/>
        </w:rPr>
        <w:t>f</w:t>
      </w:r>
      <w:r w:rsidR="00037527" w:rsidRPr="007B1587">
        <w:rPr>
          <w:rFonts w:cs="Arial"/>
        </w:rPr>
        <w:t xml:space="preserve"> the matter is heard in the ordinary course; and</w:t>
      </w:r>
    </w:p>
    <w:p w14:paraId="167E9831" w14:textId="6D3C7431" w:rsidR="00037527" w:rsidRPr="000F27BA" w:rsidRDefault="00584225" w:rsidP="002B2D85">
      <w:pPr>
        <w:spacing w:line="360" w:lineRule="auto"/>
        <w:jc w:val="both"/>
        <w:rPr>
          <w:rFonts w:cs="Arial"/>
        </w:rPr>
      </w:pPr>
      <w:r>
        <w:rPr>
          <w:rFonts w:cs="Arial"/>
        </w:rPr>
        <w:t>(c)</w:t>
      </w:r>
      <w:r>
        <w:rPr>
          <w:rFonts w:cs="Arial"/>
        </w:rPr>
        <w:tab/>
      </w:r>
      <w:r w:rsidR="00037527" w:rsidRPr="007B1587">
        <w:rPr>
          <w:rFonts w:cs="Arial"/>
        </w:rPr>
        <w:t xml:space="preserve">The relaxation of the </w:t>
      </w:r>
      <w:r w:rsidR="00037527" w:rsidRPr="007B1587">
        <w:rPr>
          <w:rFonts w:cs="Arial"/>
          <w:i/>
          <w:iCs/>
        </w:rPr>
        <w:t>dies</w:t>
      </w:r>
      <w:r w:rsidR="00037527" w:rsidRPr="000F27BA">
        <w:rPr>
          <w:rFonts w:cs="Arial"/>
        </w:rPr>
        <w:t xml:space="preserve"> will depend on the degree of urgency. </w:t>
      </w:r>
    </w:p>
    <w:p w14:paraId="08906EEF" w14:textId="77777777" w:rsidR="008914E2" w:rsidRDefault="008914E2" w:rsidP="001C7F5D">
      <w:pPr>
        <w:spacing w:line="360" w:lineRule="auto"/>
        <w:jc w:val="both"/>
        <w:rPr>
          <w:rFonts w:cs="Arial"/>
        </w:rPr>
      </w:pPr>
    </w:p>
    <w:p w14:paraId="258C8479" w14:textId="43A5D4EE" w:rsidR="007B0007" w:rsidRPr="007B1587" w:rsidRDefault="00023CCE" w:rsidP="00023CCE">
      <w:pPr>
        <w:spacing w:line="360" w:lineRule="auto"/>
        <w:jc w:val="both"/>
        <w:rPr>
          <w:rFonts w:cs="Arial"/>
        </w:rPr>
      </w:pPr>
      <w:r w:rsidRPr="007B1587">
        <w:rPr>
          <w:rFonts w:cs="Arial"/>
        </w:rPr>
        <w:t>[38]</w:t>
      </w:r>
      <w:r w:rsidRPr="007B1587">
        <w:rPr>
          <w:rFonts w:cs="Arial"/>
        </w:rPr>
        <w:tab/>
      </w:r>
      <w:r w:rsidR="003A25FD" w:rsidRPr="007B1587">
        <w:rPr>
          <w:rFonts w:cs="Arial"/>
        </w:rPr>
        <w:t xml:space="preserve">In considering if </w:t>
      </w:r>
      <w:r w:rsidR="009241FF" w:rsidRPr="007B1587">
        <w:rPr>
          <w:rFonts w:cs="Arial"/>
        </w:rPr>
        <w:t xml:space="preserve">the </w:t>
      </w:r>
      <w:r w:rsidR="003A25FD" w:rsidRPr="007B1587">
        <w:rPr>
          <w:rFonts w:cs="Arial"/>
        </w:rPr>
        <w:t>applicant</w:t>
      </w:r>
      <w:r w:rsidR="009241FF" w:rsidRPr="000F27BA">
        <w:rPr>
          <w:rFonts w:cs="Arial"/>
        </w:rPr>
        <w:t xml:space="preserve"> has</w:t>
      </w:r>
      <w:r w:rsidR="003A25FD" w:rsidRPr="000F27BA">
        <w:rPr>
          <w:rFonts w:cs="Arial"/>
        </w:rPr>
        <w:t xml:space="preserve"> made out a case for urgency, a helpful starting point is</w:t>
      </w:r>
      <w:r w:rsidR="00037527" w:rsidRPr="009241FF">
        <w:rPr>
          <w:rFonts w:cs="Arial"/>
        </w:rPr>
        <w:t xml:space="preserve"> a </w:t>
      </w:r>
      <w:r w:rsidR="007B0007" w:rsidRPr="009241FF">
        <w:rPr>
          <w:rFonts w:cs="Arial"/>
        </w:rPr>
        <w:t>chronology of the relevant dates</w:t>
      </w:r>
      <w:r w:rsidR="003A25FD" w:rsidRPr="009241FF">
        <w:rPr>
          <w:rFonts w:cs="Arial"/>
        </w:rPr>
        <w:t>,</w:t>
      </w:r>
      <w:r w:rsidR="007B0007" w:rsidRPr="009241FF">
        <w:rPr>
          <w:rFonts w:cs="Arial"/>
        </w:rPr>
        <w:t xml:space="preserve"> to contextualise the timeframe with the facts</w:t>
      </w:r>
      <w:r w:rsidR="00037527" w:rsidRPr="009241FF">
        <w:rPr>
          <w:rFonts w:cs="Arial"/>
        </w:rPr>
        <w:t>:</w:t>
      </w:r>
    </w:p>
    <w:p w14:paraId="18203BBD" w14:textId="216213B2" w:rsidR="007B0007" w:rsidRPr="00003B97" w:rsidRDefault="009241FF" w:rsidP="002B2D85">
      <w:pPr>
        <w:spacing w:line="360" w:lineRule="auto"/>
        <w:jc w:val="both"/>
      </w:pPr>
      <w:r>
        <w:rPr>
          <w:rFonts w:cs="Arial"/>
        </w:rPr>
        <w:t>(a)</w:t>
      </w:r>
      <w:r>
        <w:rPr>
          <w:rFonts w:cs="Arial"/>
        </w:rPr>
        <w:tab/>
      </w:r>
      <w:r w:rsidR="007B0007" w:rsidRPr="007B1587">
        <w:rPr>
          <w:rFonts w:cs="Arial"/>
        </w:rPr>
        <w:t xml:space="preserve">On 7 February 2023 a </w:t>
      </w:r>
      <w:r w:rsidR="007B0007" w:rsidRPr="000F27BA">
        <w:rPr>
          <w:rFonts w:cs="Arial"/>
        </w:rPr>
        <w:t xml:space="preserve">notice is affixed to the property advising the owners of the disconnection of the electricity on 23 February 2023. </w:t>
      </w:r>
    </w:p>
    <w:p w14:paraId="4540BB35" w14:textId="4A9A5587" w:rsidR="007B0007" w:rsidRPr="007B1587" w:rsidRDefault="009241FF" w:rsidP="002B2D85">
      <w:pPr>
        <w:spacing w:line="360" w:lineRule="auto"/>
        <w:jc w:val="both"/>
      </w:pPr>
      <w:r>
        <w:rPr>
          <w:rFonts w:cs="Arial"/>
        </w:rPr>
        <w:t>(b)</w:t>
      </w:r>
      <w:r>
        <w:rPr>
          <w:rFonts w:cs="Arial"/>
        </w:rPr>
        <w:tab/>
      </w:r>
      <w:r w:rsidR="007B0007" w:rsidRPr="007B1587">
        <w:rPr>
          <w:rFonts w:cs="Arial"/>
        </w:rPr>
        <w:t>On 23 February 2023, the electricity is disconnected.</w:t>
      </w:r>
    </w:p>
    <w:p w14:paraId="27CD434F" w14:textId="1DCFF46C" w:rsidR="00AB5C35" w:rsidRPr="00003B97" w:rsidRDefault="009241FF" w:rsidP="002B2D85">
      <w:pPr>
        <w:spacing w:line="360" w:lineRule="auto"/>
        <w:jc w:val="both"/>
      </w:pPr>
      <w:r>
        <w:rPr>
          <w:rFonts w:cs="Arial"/>
        </w:rPr>
        <w:t>(c)</w:t>
      </w:r>
      <w:r>
        <w:rPr>
          <w:rFonts w:cs="Arial"/>
        </w:rPr>
        <w:tab/>
      </w:r>
      <w:r w:rsidR="007B0007" w:rsidRPr="007B1587">
        <w:rPr>
          <w:rFonts w:cs="Arial"/>
        </w:rPr>
        <w:t>On 3 March 2023, the owner</w:t>
      </w:r>
      <w:r w:rsidR="00037527" w:rsidRPr="007B1587">
        <w:rPr>
          <w:rFonts w:cs="Arial"/>
        </w:rPr>
        <w:t xml:space="preserve"> of </w:t>
      </w:r>
      <w:r w:rsidR="00AB5C35" w:rsidRPr="007B1587">
        <w:rPr>
          <w:rFonts w:cs="Arial"/>
        </w:rPr>
        <w:t>the property br</w:t>
      </w:r>
      <w:r w:rsidR="003A25FD" w:rsidRPr="000F27BA">
        <w:rPr>
          <w:rFonts w:cs="Arial"/>
        </w:rPr>
        <w:t>ings</w:t>
      </w:r>
      <w:r w:rsidR="00AB5C35" w:rsidRPr="000F27BA">
        <w:rPr>
          <w:rFonts w:cs="Arial"/>
        </w:rPr>
        <w:t xml:space="preserve"> an urgent application for the restoration of the electricity</w:t>
      </w:r>
      <w:r w:rsidR="003A25FD" w:rsidRPr="009241FF">
        <w:rPr>
          <w:rFonts w:cs="Arial"/>
        </w:rPr>
        <w:t>,</w:t>
      </w:r>
      <w:r w:rsidR="00AB5C35" w:rsidRPr="009241FF">
        <w:rPr>
          <w:rFonts w:cs="Arial"/>
        </w:rPr>
        <w:t xml:space="preserve"> which </w:t>
      </w:r>
      <w:r w:rsidR="003A25FD" w:rsidRPr="009241FF">
        <w:rPr>
          <w:rFonts w:cs="Arial"/>
        </w:rPr>
        <w:t>i</w:t>
      </w:r>
      <w:r w:rsidR="00AB5C35" w:rsidRPr="009241FF">
        <w:rPr>
          <w:rFonts w:cs="Arial"/>
        </w:rPr>
        <w:t>s struck from the roll</w:t>
      </w:r>
      <w:r w:rsidR="00037527" w:rsidRPr="009241FF">
        <w:rPr>
          <w:rFonts w:cs="Arial"/>
        </w:rPr>
        <w:t xml:space="preserve"> on the day</w:t>
      </w:r>
      <w:r w:rsidR="00AB5C35" w:rsidRPr="009241FF">
        <w:rPr>
          <w:rFonts w:cs="Arial"/>
        </w:rPr>
        <w:t>.</w:t>
      </w:r>
    </w:p>
    <w:p w14:paraId="10C96A12" w14:textId="3D636A69" w:rsidR="007B0007" w:rsidRPr="000F27BA" w:rsidRDefault="009241FF" w:rsidP="002B2D85">
      <w:pPr>
        <w:spacing w:line="360" w:lineRule="auto"/>
        <w:jc w:val="both"/>
      </w:pPr>
      <w:r>
        <w:rPr>
          <w:rFonts w:cs="Arial"/>
        </w:rPr>
        <w:t>(d)</w:t>
      </w:r>
      <w:r>
        <w:rPr>
          <w:rFonts w:cs="Arial"/>
        </w:rPr>
        <w:tab/>
      </w:r>
      <w:r w:rsidR="00AB5C35" w:rsidRPr="007B1587">
        <w:rPr>
          <w:rFonts w:cs="Arial"/>
        </w:rPr>
        <w:t>On 5 March 2023</w:t>
      </w:r>
      <w:r w:rsidR="00FE5B96">
        <w:rPr>
          <w:rFonts w:cs="Arial"/>
        </w:rPr>
        <w:t>,</w:t>
      </w:r>
      <w:r w:rsidR="00AB5C35">
        <w:rPr>
          <w:rStyle w:val="FootnoteReference"/>
          <w:rFonts w:cs="Arial"/>
        </w:rPr>
        <w:footnoteReference w:id="14"/>
      </w:r>
      <w:r w:rsidR="00FE5B96">
        <w:rPr>
          <w:rFonts w:cs="Arial"/>
        </w:rPr>
        <w:t xml:space="preserve"> the</w:t>
      </w:r>
      <w:r w:rsidR="00AB5C35" w:rsidRPr="007B1587">
        <w:rPr>
          <w:rFonts w:cs="Arial"/>
        </w:rPr>
        <w:t xml:space="preserve"> </w:t>
      </w:r>
      <w:r w:rsidR="00FE5B96">
        <w:rPr>
          <w:rFonts w:cs="Arial"/>
        </w:rPr>
        <w:t>a</w:t>
      </w:r>
      <w:r w:rsidR="00AB5C35" w:rsidRPr="007B1587">
        <w:rPr>
          <w:rFonts w:cs="Arial"/>
        </w:rPr>
        <w:t xml:space="preserve">pplicants </w:t>
      </w:r>
      <w:r w:rsidR="00FE5B96">
        <w:rPr>
          <w:rFonts w:cs="Arial"/>
        </w:rPr>
        <w:t>are</w:t>
      </w:r>
      <w:r w:rsidR="00FE5B96" w:rsidRPr="007B1587">
        <w:rPr>
          <w:rFonts w:cs="Arial"/>
        </w:rPr>
        <w:t xml:space="preserve"> </w:t>
      </w:r>
      <w:r w:rsidR="00AB5C35" w:rsidRPr="007B1587">
        <w:rPr>
          <w:rFonts w:cs="Arial"/>
        </w:rPr>
        <w:t xml:space="preserve">advised of the outcome of the failed urgent application. </w:t>
      </w:r>
    </w:p>
    <w:p w14:paraId="1B31A3FA" w14:textId="29F60AF3" w:rsidR="00A52FD1" w:rsidRPr="000F27BA" w:rsidRDefault="009241FF" w:rsidP="002B2D85">
      <w:pPr>
        <w:spacing w:line="360" w:lineRule="auto"/>
        <w:jc w:val="both"/>
        <w:rPr>
          <w:rFonts w:cs="Arial"/>
        </w:rPr>
      </w:pPr>
      <w:r>
        <w:rPr>
          <w:rFonts w:cs="Arial"/>
        </w:rPr>
        <w:t>(e)</w:t>
      </w:r>
      <w:r>
        <w:rPr>
          <w:rFonts w:cs="Arial"/>
        </w:rPr>
        <w:tab/>
      </w:r>
      <w:r w:rsidR="00AB5C35" w:rsidRPr="007B1587">
        <w:rPr>
          <w:rFonts w:cs="Arial"/>
        </w:rPr>
        <w:t>O</w:t>
      </w:r>
      <w:r w:rsidR="00A52FD1" w:rsidRPr="007B1587">
        <w:rPr>
          <w:rFonts w:cs="Arial"/>
        </w:rPr>
        <w:t xml:space="preserve">n </w:t>
      </w:r>
      <w:r w:rsidR="00037527" w:rsidRPr="007B1587">
        <w:rPr>
          <w:rFonts w:cs="Arial"/>
        </w:rPr>
        <w:t>14</w:t>
      </w:r>
      <w:r w:rsidR="00A52FD1" w:rsidRPr="000F27BA">
        <w:rPr>
          <w:rFonts w:cs="Arial"/>
        </w:rPr>
        <w:t xml:space="preserve"> March 2023</w:t>
      </w:r>
      <w:r w:rsidR="00AB5C35" w:rsidRPr="00003B97">
        <w:rPr>
          <w:rFonts w:cs="Arial"/>
        </w:rPr>
        <w:t xml:space="preserve">, </w:t>
      </w:r>
      <w:r w:rsidR="00FE5B96">
        <w:rPr>
          <w:rFonts w:cs="Arial"/>
        </w:rPr>
        <w:t>the a</w:t>
      </w:r>
      <w:r w:rsidR="00AB5C35" w:rsidRPr="007B1587">
        <w:rPr>
          <w:rFonts w:cs="Arial"/>
        </w:rPr>
        <w:t>pplicants file this application</w:t>
      </w:r>
      <w:r w:rsidR="00A52FD1" w:rsidRPr="007B1587">
        <w:rPr>
          <w:rFonts w:cs="Arial"/>
        </w:rPr>
        <w:t xml:space="preserve"> for hearing on 15 March 2023</w:t>
      </w:r>
      <w:r w:rsidR="00AB5C35" w:rsidRPr="000F27BA">
        <w:rPr>
          <w:rFonts w:cs="Arial"/>
        </w:rPr>
        <w:t>.</w:t>
      </w:r>
    </w:p>
    <w:p w14:paraId="316319C0" w14:textId="77777777" w:rsidR="00A52FD1" w:rsidRDefault="00A52FD1" w:rsidP="001C7F5D">
      <w:pPr>
        <w:spacing w:line="360" w:lineRule="auto"/>
        <w:jc w:val="both"/>
        <w:rPr>
          <w:rFonts w:cs="Arial"/>
        </w:rPr>
      </w:pPr>
    </w:p>
    <w:p w14:paraId="69B429D1" w14:textId="1246DD56" w:rsidR="00F1653E" w:rsidRPr="00F1653E" w:rsidRDefault="00023CCE" w:rsidP="00023CCE">
      <w:pPr>
        <w:spacing w:line="360" w:lineRule="auto"/>
        <w:jc w:val="both"/>
        <w:rPr>
          <w:rFonts w:cs="Arial"/>
        </w:rPr>
      </w:pPr>
      <w:r w:rsidRPr="00F1653E">
        <w:rPr>
          <w:rFonts w:cs="Arial"/>
        </w:rPr>
        <w:t>[39]</w:t>
      </w:r>
      <w:r w:rsidRPr="00F1653E">
        <w:rPr>
          <w:rFonts w:cs="Arial"/>
        </w:rPr>
        <w:tab/>
      </w:r>
      <w:r w:rsidR="00F1653E">
        <w:rPr>
          <w:rFonts w:cs="Arial"/>
        </w:rPr>
        <w:t xml:space="preserve">There is no explanation in the papers </w:t>
      </w:r>
      <w:r w:rsidR="00FE5B96">
        <w:rPr>
          <w:rFonts w:cs="Arial"/>
        </w:rPr>
        <w:t>for</w:t>
      </w:r>
      <w:r w:rsidR="00F1653E" w:rsidRPr="00F1653E">
        <w:rPr>
          <w:rFonts w:cs="Arial"/>
        </w:rPr>
        <w:t xml:space="preserve"> the delay</w:t>
      </w:r>
      <w:r w:rsidR="00F1653E">
        <w:rPr>
          <w:rFonts w:cs="Arial"/>
        </w:rPr>
        <w:t xml:space="preserve"> </w:t>
      </w:r>
      <w:r w:rsidR="00F1653E" w:rsidRPr="00F1653E">
        <w:rPr>
          <w:rFonts w:cs="Arial"/>
        </w:rPr>
        <w:t>between 5 March 2023 and 14 March 2023</w:t>
      </w:r>
      <w:r w:rsidR="00F1653E">
        <w:rPr>
          <w:rFonts w:cs="Arial"/>
        </w:rPr>
        <w:t xml:space="preserve"> in bringing this application</w:t>
      </w:r>
      <w:r w:rsidR="00F1653E" w:rsidRPr="00F1653E">
        <w:rPr>
          <w:rFonts w:cs="Arial"/>
        </w:rPr>
        <w:t xml:space="preserve">. </w:t>
      </w:r>
      <w:r w:rsidR="00F1653E">
        <w:rPr>
          <w:rFonts w:cs="Arial"/>
        </w:rPr>
        <w:t xml:space="preserve">Neither is there an explanation for the application to be brought on less than one days’ notice to the </w:t>
      </w:r>
      <w:r w:rsidR="00FE5B96">
        <w:rPr>
          <w:rFonts w:cs="Arial"/>
        </w:rPr>
        <w:t>r</w:t>
      </w:r>
      <w:r w:rsidR="00F1653E">
        <w:rPr>
          <w:rFonts w:cs="Arial"/>
        </w:rPr>
        <w:t xml:space="preserve">espondent. </w:t>
      </w:r>
    </w:p>
    <w:p w14:paraId="6AA57A23" w14:textId="77777777" w:rsidR="00F1653E" w:rsidRDefault="00F1653E" w:rsidP="001C7F5D">
      <w:pPr>
        <w:spacing w:line="360" w:lineRule="auto"/>
        <w:jc w:val="both"/>
        <w:rPr>
          <w:rFonts w:cs="Arial"/>
        </w:rPr>
      </w:pPr>
    </w:p>
    <w:p w14:paraId="08A62A5F" w14:textId="11DF7774" w:rsidR="00F1653E" w:rsidRPr="00F1653E" w:rsidRDefault="00FE5B96" w:rsidP="001C7F5D">
      <w:pPr>
        <w:spacing w:line="360" w:lineRule="auto"/>
        <w:jc w:val="both"/>
        <w:rPr>
          <w:rFonts w:cs="Arial"/>
          <w:b/>
          <w:bCs/>
        </w:rPr>
      </w:pPr>
      <w:r w:rsidRPr="00F1653E">
        <w:rPr>
          <w:rFonts w:cs="Arial"/>
          <w:b/>
          <w:bCs/>
        </w:rPr>
        <w:t xml:space="preserve">Merits </w:t>
      </w:r>
      <w:r>
        <w:rPr>
          <w:rFonts w:cs="Arial"/>
          <w:b/>
          <w:bCs/>
        </w:rPr>
        <w:t>o</w:t>
      </w:r>
      <w:r w:rsidRPr="00F1653E">
        <w:rPr>
          <w:rFonts w:cs="Arial"/>
          <w:b/>
          <w:bCs/>
        </w:rPr>
        <w:t>f Urgency</w:t>
      </w:r>
    </w:p>
    <w:p w14:paraId="4185E956" w14:textId="4C8B2CEA" w:rsidR="00B3484B" w:rsidRDefault="00023CCE" w:rsidP="00023CCE">
      <w:pPr>
        <w:spacing w:line="360" w:lineRule="auto"/>
        <w:jc w:val="both"/>
        <w:rPr>
          <w:rFonts w:cs="Arial"/>
        </w:rPr>
      </w:pPr>
      <w:r>
        <w:rPr>
          <w:rFonts w:cs="Arial"/>
        </w:rPr>
        <w:t>[40]</w:t>
      </w:r>
      <w:r>
        <w:rPr>
          <w:rFonts w:cs="Arial"/>
        </w:rPr>
        <w:tab/>
      </w:r>
      <w:r w:rsidR="00761995" w:rsidRPr="00463D7E">
        <w:rPr>
          <w:rFonts w:cs="Arial"/>
        </w:rPr>
        <w:t xml:space="preserve">In motivation for urgency, the </w:t>
      </w:r>
      <w:r w:rsidR="00B87A0E">
        <w:rPr>
          <w:rFonts w:cs="Arial"/>
        </w:rPr>
        <w:t>a</w:t>
      </w:r>
      <w:r w:rsidR="00B87A0E" w:rsidRPr="00463D7E">
        <w:rPr>
          <w:rFonts w:cs="Arial"/>
        </w:rPr>
        <w:t xml:space="preserve">pplicants </w:t>
      </w:r>
      <w:r w:rsidR="00761995" w:rsidRPr="00463D7E">
        <w:rPr>
          <w:rFonts w:cs="Arial"/>
        </w:rPr>
        <w:t>state that</w:t>
      </w:r>
      <w:r w:rsidR="00B3484B">
        <w:rPr>
          <w:rFonts w:cs="Arial"/>
        </w:rPr>
        <w:t xml:space="preserve"> in light of the </w:t>
      </w:r>
      <w:r w:rsidR="00761995" w:rsidRPr="00463D7E">
        <w:rPr>
          <w:rFonts w:cs="Arial"/>
        </w:rPr>
        <w:t xml:space="preserve">intolerable </w:t>
      </w:r>
      <w:r w:rsidR="00B3484B">
        <w:rPr>
          <w:rFonts w:cs="Arial"/>
        </w:rPr>
        <w:t xml:space="preserve">living conditions, tenants are throwing </w:t>
      </w:r>
      <w:r w:rsidR="00BC7374" w:rsidRPr="00463D7E">
        <w:rPr>
          <w:rFonts w:cs="Arial"/>
        </w:rPr>
        <w:t>furniture</w:t>
      </w:r>
      <w:r w:rsidR="008A79B8">
        <w:rPr>
          <w:rFonts w:cs="Arial"/>
        </w:rPr>
        <w:t xml:space="preserve"> </w:t>
      </w:r>
      <w:r w:rsidR="00B3484B">
        <w:rPr>
          <w:rFonts w:cs="Arial"/>
        </w:rPr>
        <w:t>from the tenth floor</w:t>
      </w:r>
      <w:r w:rsidR="008A79B8">
        <w:rPr>
          <w:rFonts w:cs="Arial"/>
        </w:rPr>
        <w:t xml:space="preserve">, </w:t>
      </w:r>
      <w:r w:rsidR="00BC7374" w:rsidRPr="00463D7E">
        <w:rPr>
          <w:rFonts w:cs="Arial"/>
        </w:rPr>
        <w:t xml:space="preserve">and an elderly couple was held up in a flat </w:t>
      </w:r>
      <w:r w:rsidR="003A25FD">
        <w:rPr>
          <w:rFonts w:cs="Arial"/>
        </w:rPr>
        <w:t xml:space="preserve">when a bank </w:t>
      </w:r>
      <w:r w:rsidR="00BC7374" w:rsidRPr="00463D7E">
        <w:rPr>
          <w:rFonts w:cs="Arial"/>
        </w:rPr>
        <w:t xml:space="preserve">ATM card was demanded. </w:t>
      </w:r>
    </w:p>
    <w:p w14:paraId="6C080CA5" w14:textId="77777777" w:rsidR="00B3484B" w:rsidRDefault="00B3484B" w:rsidP="001C7F5D">
      <w:pPr>
        <w:spacing w:line="360" w:lineRule="auto"/>
        <w:jc w:val="both"/>
        <w:rPr>
          <w:rFonts w:cs="Arial"/>
        </w:rPr>
      </w:pPr>
    </w:p>
    <w:p w14:paraId="7FF941F3" w14:textId="1F5CF762" w:rsidR="00FE1B00" w:rsidRDefault="00023CCE" w:rsidP="00023CCE">
      <w:pPr>
        <w:spacing w:line="360" w:lineRule="auto"/>
        <w:jc w:val="both"/>
        <w:rPr>
          <w:rFonts w:cs="Arial"/>
        </w:rPr>
      </w:pPr>
      <w:r>
        <w:rPr>
          <w:rFonts w:cs="Arial"/>
        </w:rPr>
        <w:t>[41]</w:t>
      </w:r>
      <w:r>
        <w:rPr>
          <w:rFonts w:cs="Arial"/>
        </w:rPr>
        <w:tab/>
      </w:r>
      <w:r w:rsidR="00AF2A61">
        <w:rPr>
          <w:rFonts w:cs="Arial"/>
        </w:rPr>
        <w:t>They contend f</w:t>
      </w:r>
      <w:r w:rsidR="00BC7374" w:rsidRPr="00463D7E">
        <w:rPr>
          <w:rFonts w:cs="Arial"/>
        </w:rPr>
        <w:t>urther</w:t>
      </w:r>
      <w:r w:rsidR="00AF2A61">
        <w:rPr>
          <w:rFonts w:cs="Arial"/>
        </w:rPr>
        <w:t xml:space="preserve"> that</w:t>
      </w:r>
      <w:r w:rsidR="00BC7374" w:rsidRPr="00463D7E">
        <w:rPr>
          <w:rFonts w:cs="Arial"/>
        </w:rPr>
        <w:t xml:space="preserve"> the building is in a state of filth and the toilets are overflowing making the building unliveable. The </w:t>
      </w:r>
      <w:r w:rsidR="00B87A0E">
        <w:rPr>
          <w:rFonts w:cs="Arial"/>
        </w:rPr>
        <w:t>c</w:t>
      </w:r>
      <w:r w:rsidR="00B87A0E" w:rsidRPr="00463D7E">
        <w:rPr>
          <w:rFonts w:cs="Arial"/>
        </w:rPr>
        <w:t xml:space="preserve">ourt </w:t>
      </w:r>
      <w:r w:rsidR="00BC7374" w:rsidRPr="00463D7E">
        <w:rPr>
          <w:rFonts w:cs="Arial"/>
        </w:rPr>
        <w:t>must come to</w:t>
      </w:r>
      <w:r w:rsidR="00923949" w:rsidRPr="00463D7E">
        <w:rPr>
          <w:rFonts w:cs="Arial"/>
        </w:rPr>
        <w:t xml:space="preserve"> the assistance of the tenants</w:t>
      </w:r>
      <w:r w:rsidR="00190548">
        <w:rPr>
          <w:rFonts w:cs="Arial"/>
        </w:rPr>
        <w:t>,</w:t>
      </w:r>
      <w:r w:rsidR="00923949" w:rsidRPr="00463D7E">
        <w:rPr>
          <w:rFonts w:cs="Arial"/>
        </w:rPr>
        <w:t xml:space="preserve"> because this </w:t>
      </w:r>
      <w:r w:rsidR="00190548">
        <w:rPr>
          <w:rFonts w:cs="Arial"/>
        </w:rPr>
        <w:t xml:space="preserve">application </w:t>
      </w:r>
      <w:r w:rsidR="00923949" w:rsidRPr="00463D7E">
        <w:rPr>
          <w:rFonts w:cs="Arial"/>
        </w:rPr>
        <w:t xml:space="preserve">is their last resort </w:t>
      </w:r>
      <w:r w:rsidR="00190548">
        <w:rPr>
          <w:rFonts w:cs="Arial"/>
        </w:rPr>
        <w:t>and in the event it fails,</w:t>
      </w:r>
      <w:r w:rsidR="00923949" w:rsidRPr="00463D7E">
        <w:rPr>
          <w:rFonts w:cs="Arial"/>
        </w:rPr>
        <w:t xml:space="preserve"> they will be left with no choice but to leave the building</w:t>
      </w:r>
      <w:r w:rsidR="006E3759">
        <w:rPr>
          <w:rFonts w:cs="Arial"/>
        </w:rPr>
        <w:t>,</w:t>
      </w:r>
      <w:r w:rsidR="00923949" w:rsidRPr="00463D7E">
        <w:rPr>
          <w:rFonts w:cs="Arial"/>
        </w:rPr>
        <w:t xml:space="preserve"> which </w:t>
      </w:r>
      <w:r w:rsidR="006E3759">
        <w:rPr>
          <w:rFonts w:cs="Arial"/>
        </w:rPr>
        <w:t xml:space="preserve">in turn </w:t>
      </w:r>
      <w:r w:rsidR="00923949" w:rsidRPr="00463D7E">
        <w:rPr>
          <w:rFonts w:cs="Arial"/>
        </w:rPr>
        <w:t xml:space="preserve">may cause the building to be unsightly on the tourist route to </w:t>
      </w:r>
      <w:proofErr w:type="spellStart"/>
      <w:r w:rsidR="00B87A0E">
        <w:rPr>
          <w:rFonts w:cs="Arial"/>
        </w:rPr>
        <w:t>uS</w:t>
      </w:r>
      <w:r w:rsidR="00923949" w:rsidRPr="00463D7E">
        <w:rPr>
          <w:rFonts w:cs="Arial"/>
        </w:rPr>
        <w:t>haka</w:t>
      </w:r>
      <w:proofErr w:type="spellEnd"/>
      <w:r w:rsidR="00B87A0E">
        <w:rPr>
          <w:rFonts w:cs="Arial"/>
        </w:rPr>
        <w:t xml:space="preserve"> Marine World</w:t>
      </w:r>
      <w:r w:rsidR="00923949" w:rsidRPr="00463D7E">
        <w:rPr>
          <w:rFonts w:cs="Arial"/>
        </w:rPr>
        <w:t>.</w:t>
      </w:r>
      <w:r w:rsidR="00923949">
        <w:rPr>
          <w:rStyle w:val="FootnoteReference"/>
          <w:rFonts w:cs="Arial"/>
        </w:rPr>
        <w:footnoteReference w:id="15"/>
      </w:r>
    </w:p>
    <w:p w14:paraId="5F66641F" w14:textId="77777777" w:rsidR="006A7804" w:rsidRDefault="006A7804" w:rsidP="001C7F5D">
      <w:pPr>
        <w:pStyle w:val="ListParagraph"/>
        <w:spacing w:line="360" w:lineRule="auto"/>
        <w:ind w:left="0"/>
        <w:rPr>
          <w:rFonts w:cs="Arial"/>
        </w:rPr>
      </w:pPr>
    </w:p>
    <w:p w14:paraId="62FFDFA9" w14:textId="29C255A9" w:rsidR="00190548" w:rsidRDefault="00023CCE" w:rsidP="00023CCE">
      <w:pPr>
        <w:spacing w:line="360" w:lineRule="auto"/>
        <w:jc w:val="both"/>
        <w:rPr>
          <w:rFonts w:cs="Arial"/>
        </w:rPr>
      </w:pPr>
      <w:r>
        <w:rPr>
          <w:rFonts w:cs="Arial"/>
        </w:rPr>
        <w:t>[42]</w:t>
      </w:r>
      <w:r>
        <w:rPr>
          <w:rFonts w:cs="Arial"/>
        </w:rPr>
        <w:tab/>
      </w:r>
      <w:r w:rsidR="00190548">
        <w:rPr>
          <w:rFonts w:cs="Arial"/>
        </w:rPr>
        <w:t xml:space="preserve">Nothing in the merits for urgency described above advances an argument that the applicants will not obtain substantial redress in the future because they have not advised the court the reason they do not leave the building </w:t>
      </w:r>
      <w:r w:rsidR="006E3759">
        <w:rPr>
          <w:rFonts w:cs="Arial"/>
        </w:rPr>
        <w:t xml:space="preserve">given the fact that they are mere tenants. </w:t>
      </w:r>
    </w:p>
    <w:p w14:paraId="29EE3425" w14:textId="77777777" w:rsidR="00190548" w:rsidRDefault="00190548" w:rsidP="001C7F5D">
      <w:pPr>
        <w:spacing w:line="360" w:lineRule="auto"/>
        <w:jc w:val="both"/>
        <w:rPr>
          <w:rFonts w:cs="Arial"/>
        </w:rPr>
      </w:pPr>
    </w:p>
    <w:p w14:paraId="29209965" w14:textId="3D095302" w:rsidR="00F8390E" w:rsidRDefault="00023CCE" w:rsidP="00023CCE">
      <w:pPr>
        <w:spacing w:line="360" w:lineRule="auto"/>
        <w:jc w:val="both"/>
        <w:rPr>
          <w:rFonts w:cs="Arial"/>
        </w:rPr>
      </w:pPr>
      <w:r>
        <w:rPr>
          <w:rFonts w:cs="Arial"/>
        </w:rPr>
        <w:t>[43]</w:t>
      </w:r>
      <w:r>
        <w:rPr>
          <w:rFonts w:cs="Arial"/>
        </w:rPr>
        <w:tab/>
      </w:r>
      <w:r w:rsidR="00CF0545">
        <w:rPr>
          <w:rFonts w:cs="Arial"/>
        </w:rPr>
        <w:t>Further, t</w:t>
      </w:r>
      <w:r w:rsidR="00633F03">
        <w:rPr>
          <w:rFonts w:cs="Arial"/>
        </w:rPr>
        <w:t>hese</w:t>
      </w:r>
      <w:r w:rsidR="00C82164">
        <w:rPr>
          <w:rFonts w:cs="Arial"/>
        </w:rPr>
        <w:t xml:space="preserve"> reasons </w:t>
      </w:r>
      <w:r w:rsidR="00C82164" w:rsidRPr="00C82164">
        <w:rPr>
          <w:rFonts w:cs="Arial"/>
          <w:i/>
          <w:iCs/>
        </w:rPr>
        <w:t>inter alia</w:t>
      </w:r>
      <w:r w:rsidR="00C82164">
        <w:rPr>
          <w:rFonts w:cs="Arial"/>
        </w:rPr>
        <w:t xml:space="preserve"> suggest that if the application is not enrolled as urgent,</w:t>
      </w:r>
      <w:r w:rsidR="008D5885">
        <w:rPr>
          <w:rFonts w:cs="Arial"/>
        </w:rPr>
        <w:t xml:space="preserve"> it is</w:t>
      </w:r>
      <w:r w:rsidR="00C82164">
        <w:rPr>
          <w:rFonts w:cs="Arial"/>
        </w:rPr>
        <w:t xml:space="preserve"> the </w:t>
      </w:r>
      <w:r w:rsidR="007B1587">
        <w:rPr>
          <w:rFonts w:cs="Arial"/>
        </w:rPr>
        <w:t xml:space="preserve">respondents, </w:t>
      </w:r>
      <w:r w:rsidR="00C82164">
        <w:rPr>
          <w:rFonts w:cs="Arial"/>
        </w:rPr>
        <w:t>eThekwini</w:t>
      </w:r>
      <w:r w:rsidR="00F8390E">
        <w:rPr>
          <w:rFonts w:cs="Arial"/>
        </w:rPr>
        <w:t xml:space="preserve"> Municipality</w:t>
      </w:r>
      <w:r w:rsidR="00C82164">
        <w:rPr>
          <w:rFonts w:cs="Arial"/>
        </w:rPr>
        <w:t xml:space="preserve">, who will be prejudiced. This does not advance </w:t>
      </w:r>
      <w:r w:rsidR="007B1587">
        <w:rPr>
          <w:rFonts w:cs="Arial"/>
        </w:rPr>
        <w:t xml:space="preserve">the </w:t>
      </w:r>
      <w:r w:rsidR="00C82164">
        <w:rPr>
          <w:rFonts w:cs="Arial"/>
        </w:rPr>
        <w:t>applicants</w:t>
      </w:r>
      <w:r w:rsidR="007B1587">
        <w:rPr>
          <w:rFonts w:cs="Arial"/>
        </w:rPr>
        <w:t>’</w:t>
      </w:r>
      <w:r w:rsidR="00C82164">
        <w:rPr>
          <w:rFonts w:cs="Arial"/>
        </w:rPr>
        <w:t xml:space="preserve"> argument </w:t>
      </w:r>
      <w:r w:rsidR="00F8390E">
        <w:rPr>
          <w:rFonts w:cs="Arial"/>
        </w:rPr>
        <w:t xml:space="preserve">that a delay in the litigation will cause unsubstantial redress in future. </w:t>
      </w:r>
    </w:p>
    <w:p w14:paraId="62A98E28" w14:textId="77777777" w:rsidR="00F8390E" w:rsidRDefault="00F8390E" w:rsidP="001C7F5D">
      <w:pPr>
        <w:pStyle w:val="ListParagraph"/>
        <w:spacing w:line="360" w:lineRule="auto"/>
        <w:ind w:left="0"/>
        <w:rPr>
          <w:rFonts w:cs="Arial"/>
        </w:rPr>
      </w:pPr>
    </w:p>
    <w:p w14:paraId="2BA6602B" w14:textId="39924FBA" w:rsidR="00FB1B07" w:rsidRDefault="00023CCE" w:rsidP="00023CCE">
      <w:pPr>
        <w:spacing w:line="360" w:lineRule="auto"/>
        <w:jc w:val="both"/>
        <w:rPr>
          <w:rFonts w:cs="Arial"/>
        </w:rPr>
      </w:pPr>
      <w:r>
        <w:rPr>
          <w:rFonts w:cs="Arial"/>
        </w:rPr>
        <w:t>[44]</w:t>
      </w:r>
      <w:r>
        <w:rPr>
          <w:rFonts w:cs="Arial"/>
        </w:rPr>
        <w:tab/>
      </w:r>
      <w:r w:rsidR="00F8390E">
        <w:rPr>
          <w:rFonts w:cs="Arial"/>
        </w:rPr>
        <w:t>In the premises,</w:t>
      </w:r>
      <w:r w:rsidR="008D5885">
        <w:rPr>
          <w:rFonts w:cs="Arial"/>
        </w:rPr>
        <w:t xml:space="preserve"> the</w:t>
      </w:r>
      <w:r w:rsidR="00F8390E">
        <w:rPr>
          <w:rFonts w:cs="Arial"/>
        </w:rPr>
        <w:t xml:space="preserve"> applicants have not made out a case for urgency</w:t>
      </w:r>
      <w:r w:rsidR="007B2DE2">
        <w:rPr>
          <w:rFonts w:cs="Arial"/>
        </w:rPr>
        <w:t xml:space="preserve">, on both the merits and on account that the urgency appears to be self-created, </w:t>
      </w:r>
      <w:r w:rsidR="00F8390E">
        <w:rPr>
          <w:rFonts w:cs="Arial"/>
        </w:rPr>
        <w:t>and stands to be struck from the roll with costs. In case I am wrong on that score, I deal with the merits hereunder.</w:t>
      </w:r>
    </w:p>
    <w:p w14:paraId="07A8A450" w14:textId="7BD9B34F" w:rsidR="00E0782E" w:rsidRDefault="00E0782E" w:rsidP="001C7F5D">
      <w:pPr>
        <w:pStyle w:val="ListParagraph"/>
        <w:spacing w:line="360" w:lineRule="auto"/>
        <w:ind w:left="0"/>
        <w:rPr>
          <w:rFonts w:cs="Arial"/>
        </w:rPr>
      </w:pPr>
    </w:p>
    <w:p w14:paraId="0BA4F59E" w14:textId="025FCCFB" w:rsidR="00E0782E" w:rsidRDefault="007B1587" w:rsidP="005330BA">
      <w:pPr>
        <w:spacing w:line="360" w:lineRule="auto"/>
        <w:jc w:val="both"/>
        <w:rPr>
          <w:rFonts w:cs="Arial"/>
        </w:rPr>
      </w:pPr>
      <w:r w:rsidRPr="000F27BA">
        <w:rPr>
          <w:rFonts w:cs="Arial"/>
          <w:b/>
          <w:bCs/>
        </w:rPr>
        <w:t xml:space="preserve">Permanent Residence </w:t>
      </w:r>
      <w:r w:rsidRPr="000F27BA">
        <w:rPr>
          <w:rFonts w:cs="Arial"/>
          <w:b/>
          <w:bCs/>
          <w:i/>
          <w:iCs/>
        </w:rPr>
        <w:t xml:space="preserve">Vis A Vis </w:t>
      </w:r>
      <w:r w:rsidRPr="007B1587">
        <w:rPr>
          <w:rFonts w:cs="Arial"/>
          <w:b/>
          <w:bCs/>
        </w:rPr>
        <w:t>Temporary Accommodatio</w:t>
      </w:r>
      <w:r w:rsidR="007D48C5">
        <w:rPr>
          <w:rFonts w:cs="Arial"/>
          <w:b/>
          <w:bCs/>
        </w:rPr>
        <w:t>n</w:t>
      </w:r>
    </w:p>
    <w:p w14:paraId="66AEBEA1" w14:textId="0A53528B" w:rsidR="00E0782E" w:rsidRDefault="00023CCE" w:rsidP="00023CCE">
      <w:pPr>
        <w:spacing w:line="360" w:lineRule="auto"/>
        <w:jc w:val="both"/>
        <w:rPr>
          <w:rFonts w:cs="Arial"/>
        </w:rPr>
      </w:pPr>
      <w:r>
        <w:rPr>
          <w:rFonts w:cs="Arial"/>
        </w:rPr>
        <w:t>[45]</w:t>
      </w:r>
      <w:r>
        <w:rPr>
          <w:rFonts w:cs="Arial"/>
        </w:rPr>
        <w:tab/>
      </w:r>
      <w:r w:rsidR="00335A47">
        <w:rPr>
          <w:rFonts w:cs="Arial"/>
        </w:rPr>
        <w:t>To</w:t>
      </w:r>
      <w:r w:rsidR="00E0782E">
        <w:rPr>
          <w:rFonts w:cs="Arial"/>
        </w:rPr>
        <w:t xml:space="preserve"> succeed on the merits, and </w:t>
      </w:r>
      <w:r w:rsidR="00335A47">
        <w:rPr>
          <w:rFonts w:cs="Arial"/>
        </w:rPr>
        <w:t>considering</w:t>
      </w:r>
      <w:r w:rsidR="00E0782E">
        <w:rPr>
          <w:rFonts w:cs="Arial"/>
        </w:rPr>
        <w:t xml:space="preserve"> </w:t>
      </w:r>
      <w:r w:rsidR="007D48C5">
        <w:rPr>
          <w:rFonts w:cs="Arial"/>
        </w:rPr>
        <w:t xml:space="preserve">the </w:t>
      </w:r>
      <w:r w:rsidR="00E0782E">
        <w:rPr>
          <w:rFonts w:cs="Arial"/>
        </w:rPr>
        <w:t xml:space="preserve">applicants seek an interim order, </w:t>
      </w:r>
      <w:r w:rsidR="007D48C5">
        <w:rPr>
          <w:rFonts w:cs="Arial"/>
        </w:rPr>
        <w:t xml:space="preserve">the </w:t>
      </w:r>
      <w:r w:rsidR="00E0782E">
        <w:rPr>
          <w:rFonts w:cs="Arial"/>
        </w:rPr>
        <w:t>applicants must make out a case for an interim interdict.</w:t>
      </w:r>
    </w:p>
    <w:p w14:paraId="58B2E176" w14:textId="77777777" w:rsidR="00E0782E" w:rsidRDefault="00E0782E" w:rsidP="001C7F5D">
      <w:pPr>
        <w:spacing w:line="360" w:lineRule="auto"/>
        <w:jc w:val="both"/>
        <w:rPr>
          <w:rFonts w:cs="Arial"/>
        </w:rPr>
      </w:pPr>
    </w:p>
    <w:p w14:paraId="5946CE38" w14:textId="4CE8640E" w:rsidR="00E0782E" w:rsidRDefault="00023CCE" w:rsidP="00023CCE">
      <w:pPr>
        <w:spacing w:line="360" w:lineRule="auto"/>
        <w:jc w:val="both"/>
        <w:rPr>
          <w:rFonts w:cs="Arial"/>
        </w:rPr>
      </w:pPr>
      <w:r>
        <w:rPr>
          <w:rFonts w:cs="Arial"/>
        </w:rPr>
        <w:t>[46]</w:t>
      </w:r>
      <w:r>
        <w:rPr>
          <w:rFonts w:cs="Arial"/>
        </w:rPr>
        <w:tab/>
      </w:r>
      <w:r w:rsidR="00E0782E" w:rsidRPr="00E0782E">
        <w:rPr>
          <w:rFonts w:cs="Arial"/>
        </w:rPr>
        <w:t xml:space="preserve">The requirements for an interim interdict are trite and </w:t>
      </w:r>
      <w:r w:rsidR="00335A47">
        <w:rPr>
          <w:rFonts w:cs="Arial"/>
        </w:rPr>
        <w:t xml:space="preserve">may be </w:t>
      </w:r>
      <w:r w:rsidR="00E0782E" w:rsidRPr="00E0782E">
        <w:rPr>
          <w:rFonts w:cs="Arial"/>
        </w:rPr>
        <w:t>summarised</w:t>
      </w:r>
      <w:r w:rsidR="00E0782E">
        <w:rPr>
          <w:rFonts w:cs="Arial"/>
        </w:rPr>
        <w:t xml:space="preserve"> </w:t>
      </w:r>
      <w:r w:rsidR="00E0782E" w:rsidRPr="00E0782E">
        <w:rPr>
          <w:rFonts w:cs="Arial"/>
        </w:rPr>
        <w:t xml:space="preserve">as follows: </w:t>
      </w:r>
      <w:r w:rsidR="007B2DE2">
        <w:rPr>
          <w:rFonts w:cs="Arial"/>
        </w:rPr>
        <w:t xml:space="preserve">a </w:t>
      </w:r>
      <w:r w:rsidR="00E0782E" w:rsidRPr="00E0782E">
        <w:rPr>
          <w:rFonts w:cs="Arial"/>
        </w:rPr>
        <w:t>prima facie right even though open to some doubt; a well-grounded</w:t>
      </w:r>
      <w:r w:rsidR="00E0782E">
        <w:rPr>
          <w:rFonts w:cs="Arial"/>
        </w:rPr>
        <w:t xml:space="preserve"> </w:t>
      </w:r>
      <w:r w:rsidR="00E0782E" w:rsidRPr="00E0782E">
        <w:rPr>
          <w:rFonts w:cs="Arial"/>
        </w:rPr>
        <w:t>apprehension of irreparable harm if the interim relief is not granted; that the balance</w:t>
      </w:r>
      <w:r w:rsidR="00E0782E">
        <w:rPr>
          <w:rFonts w:cs="Arial"/>
        </w:rPr>
        <w:t xml:space="preserve"> </w:t>
      </w:r>
      <w:r w:rsidR="00E0782E" w:rsidRPr="00E0782E">
        <w:rPr>
          <w:rFonts w:cs="Arial"/>
        </w:rPr>
        <w:t>of convenience favours the granting of an interim interdict; and the lack of another</w:t>
      </w:r>
      <w:r w:rsidR="00E0782E">
        <w:rPr>
          <w:rFonts w:cs="Arial"/>
        </w:rPr>
        <w:t xml:space="preserve"> </w:t>
      </w:r>
      <w:r w:rsidR="00E0782E" w:rsidRPr="00E0782E">
        <w:rPr>
          <w:rFonts w:cs="Arial"/>
        </w:rPr>
        <w:t>satisfactory or adequate remedy in the circumstances.</w:t>
      </w:r>
    </w:p>
    <w:p w14:paraId="3C4127BF" w14:textId="77777777" w:rsidR="004C10F7" w:rsidRDefault="004C10F7" w:rsidP="001C7F5D">
      <w:pPr>
        <w:pStyle w:val="ListParagraph"/>
        <w:spacing w:line="360" w:lineRule="auto"/>
        <w:ind w:left="0"/>
        <w:rPr>
          <w:rFonts w:cs="Arial"/>
        </w:rPr>
      </w:pPr>
    </w:p>
    <w:p w14:paraId="17EAB3CD" w14:textId="50043815" w:rsidR="00155DC6" w:rsidRDefault="00023CCE" w:rsidP="00023CCE">
      <w:pPr>
        <w:spacing w:line="360" w:lineRule="auto"/>
        <w:jc w:val="both"/>
        <w:rPr>
          <w:rFonts w:cs="Arial"/>
        </w:rPr>
      </w:pPr>
      <w:r>
        <w:rPr>
          <w:rFonts w:cs="Arial"/>
        </w:rPr>
        <w:t>[47]</w:t>
      </w:r>
      <w:r>
        <w:rPr>
          <w:rFonts w:cs="Arial"/>
        </w:rPr>
        <w:tab/>
      </w:r>
      <w:r w:rsidR="00335A47">
        <w:rPr>
          <w:rFonts w:cs="Arial"/>
        </w:rPr>
        <w:t xml:space="preserve">In asserting the applicants’ prima facie right that </w:t>
      </w:r>
      <w:r w:rsidR="0080484D">
        <w:rPr>
          <w:rFonts w:cs="Arial"/>
        </w:rPr>
        <w:t>they</w:t>
      </w:r>
      <w:r w:rsidR="00335A47">
        <w:rPr>
          <w:rFonts w:cs="Arial"/>
        </w:rPr>
        <w:t xml:space="preserve"> are entitled to </w:t>
      </w:r>
      <w:r w:rsidR="00617727" w:rsidRPr="00617727">
        <w:rPr>
          <w:rFonts w:cs="Arial"/>
        </w:rPr>
        <w:t>individual</w:t>
      </w:r>
      <w:r w:rsidR="00335A47">
        <w:rPr>
          <w:rFonts w:cs="Arial"/>
        </w:rPr>
        <w:t xml:space="preserve"> service of the disconnection notice; </w:t>
      </w:r>
      <w:r w:rsidR="00155DC6" w:rsidRPr="00E0782E">
        <w:rPr>
          <w:rFonts w:cs="Arial"/>
        </w:rPr>
        <w:t xml:space="preserve">Ms </w:t>
      </w:r>
      <w:r w:rsidR="00155DC6" w:rsidRPr="00A749DC">
        <w:rPr>
          <w:rFonts w:cs="Arial"/>
          <w:i/>
        </w:rPr>
        <w:t>Lennard</w:t>
      </w:r>
      <w:r w:rsidR="00155DC6" w:rsidRPr="00E0782E">
        <w:rPr>
          <w:rFonts w:cs="Arial"/>
        </w:rPr>
        <w:t xml:space="preserve"> on behalf of the </w:t>
      </w:r>
      <w:r w:rsidR="0080484D">
        <w:rPr>
          <w:rFonts w:cs="Arial"/>
        </w:rPr>
        <w:t>a</w:t>
      </w:r>
      <w:r w:rsidR="0080484D" w:rsidRPr="00E0782E">
        <w:rPr>
          <w:rFonts w:cs="Arial"/>
        </w:rPr>
        <w:t>pplicants</w:t>
      </w:r>
      <w:r w:rsidR="00155DC6" w:rsidRPr="00E0782E">
        <w:rPr>
          <w:rFonts w:cs="Arial"/>
        </w:rPr>
        <w:t xml:space="preserve">, argued that it is sufficient to assert in a founding affidavit, without providing any lease agreement, that the </w:t>
      </w:r>
      <w:r w:rsidR="0080484D">
        <w:rPr>
          <w:rFonts w:cs="Arial"/>
        </w:rPr>
        <w:t>a</w:t>
      </w:r>
      <w:r w:rsidR="0080484D" w:rsidRPr="00E0782E">
        <w:rPr>
          <w:rFonts w:cs="Arial"/>
        </w:rPr>
        <w:t xml:space="preserve">pplicants </w:t>
      </w:r>
      <w:r w:rsidR="00155DC6" w:rsidRPr="00E0782E">
        <w:rPr>
          <w:rFonts w:cs="Arial"/>
        </w:rPr>
        <w:t xml:space="preserve">are </w:t>
      </w:r>
      <w:r w:rsidR="0080484D" w:rsidRPr="00E0782E">
        <w:rPr>
          <w:rFonts w:cs="Arial"/>
        </w:rPr>
        <w:t>long</w:t>
      </w:r>
      <w:r w:rsidR="0080484D">
        <w:rPr>
          <w:rFonts w:cs="Arial"/>
        </w:rPr>
        <w:t>-</w:t>
      </w:r>
      <w:r w:rsidR="00155DC6" w:rsidRPr="00E0782E">
        <w:rPr>
          <w:rFonts w:cs="Arial"/>
        </w:rPr>
        <w:t>term tenants</w:t>
      </w:r>
      <w:r w:rsidR="00155DC6">
        <w:rPr>
          <w:rFonts w:cs="Arial"/>
        </w:rPr>
        <w:t xml:space="preserve">, because </w:t>
      </w:r>
      <w:r w:rsidR="00155DC6" w:rsidRPr="00E0782E">
        <w:rPr>
          <w:rFonts w:cs="Arial"/>
        </w:rPr>
        <w:t xml:space="preserve">the </w:t>
      </w:r>
      <w:r w:rsidR="0080484D">
        <w:rPr>
          <w:rFonts w:cs="Arial"/>
        </w:rPr>
        <w:t>r</w:t>
      </w:r>
      <w:r w:rsidR="0080484D" w:rsidRPr="00E0782E">
        <w:rPr>
          <w:rFonts w:cs="Arial"/>
        </w:rPr>
        <w:t xml:space="preserve">espondent </w:t>
      </w:r>
      <w:r w:rsidR="00155DC6" w:rsidRPr="00E0782E">
        <w:rPr>
          <w:rFonts w:cs="Arial"/>
        </w:rPr>
        <w:t xml:space="preserve">could have </w:t>
      </w:r>
      <w:r w:rsidR="00155DC6">
        <w:rPr>
          <w:rFonts w:cs="Arial"/>
        </w:rPr>
        <w:t>employed the provisions of</w:t>
      </w:r>
      <w:r w:rsidR="0080484D">
        <w:rPr>
          <w:rFonts w:cs="Arial"/>
        </w:rPr>
        <w:t xml:space="preserve"> Uniform</w:t>
      </w:r>
      <w:r w:rsidR="00155DC6">
        <w:rPr>
          <w:rFonts w:cs="Arial"/>
        </w:rPr>
        <w:t xml:space="preserve"> </w:t>
      </w:r>
      <w:r w:rsidR="0080484D">
        <w:rPr>
          <w:rFonts w:cs="Arial"/>
        </w:rPr>
        <w:t>r</w:t>
      </w:r>
      <w:r w:rsidR="00155DC6" w:rsidRPr="00E0782E">
        <w:rPr>
          <w:rFonts w:cs="Arial"/>
        </w:rPr>
        <w:t>ule 35 to demand the lease agreement</w:t>
      </w:r>
      <w:r w:rsidR="00155DC6">
        <w:rPr>
          <w:rFonts w:cs="Arial"/>
        </w:rPr>
        <w:t>,</w:t>
      </w:r>
      <w:r w:rsidR="00155DC6" w:rsidRPr="00E0782E">
        <w:rPr>
          <w:rFonts w:cs="Arial"/>
        </w:rPr>
        <w:t xml:space="preserve"> should it have required same. </w:t>
      </w:r>
      <w:r w:rsidR="00155DC6">
        <w:rPr>
          <w:rFonts w:cs="Arial"/>
        </w:rPr>
        <w:t>Accordingly, a bare denial that the applicants are long</w:t>
      </w:r>
      <w:r w:rsidR="0080484D">
        <w:rPr>
          <w:rFonts w:cs="Arial"/>
        </w:rPr>
        <w:t>-</w:t>
      </w:r>
      <w:r w:rsidR="00155DC6">
        <w:rPr>
          <w:rFonts w:cs="Arial"/>
        </w:rPr>
        <w:t xml:space="preserve">term tenants is inappropriate. </w:t>
      </w:r>
    </w:p>
    <w:p w14:paraId="220085D5" w14:textId="77777777" w:rsidR="00155DC6" w:rsidRDefault="00155DC6" w:rsidP="001C7F5D">
      <w:pPr>
        <w:spacing w:line="360" w:lineRule="auto"/>
        <w:jc w:val="both"/>
        <w:rPr>
          <w:rFonts w:cs="Arial"/>
        </w:rPr>
      </w:pPr>
    </w:p>
    <w:p w14:paraId="091B055D" w14:textId="71A4880C" w:rsidR="00155DC6" w:rsidRDefault="00023CCE" w:rsidP="00023CCE">
      <w:pPr>
        <w:spacing w:line="360" w:lineRule="auto"/>
        <w:jc w:val="both"/>
        <w:rPr>
          <w:rFonts w:cs="Arial"/>
        </w:rPr>
      </w:pPr>
      <w:r>
        <w:rPr>
          <w:rFonts w:cs="Arial"/>
        </w:rPr>
        <w:t>[48]</w:t>
      </w:r>
      <w:r>
        <w:rPr>
          <w:rFonts w:cs="Arial"/>
        </w:rPr>
        <w:tab/>
      </w:r>
      <w:r w:rsidR="00155DC6" w:rsidRPr="00E0782E">
        <w:rPr>
          <w:rFonts w:cs="Arial"/>
        </w:rPr>
        <w:t xml:space="preserve">She states further that while the sign does state that both daily and hourly accommodation is available at a rate of R90 per hour, only part of the building is used for that purpose and not the entire building. She stated further that while the bottom is indeed a supermarket, the </w:t>
      </w:r>
      <w:r w:rsidR="00E211B3" w:rsidRPr="00E0782E">
        <w:rPr>
          <w:rFonts w:cs="Arial"/>
        </w:rPr>
        <w:t>crèche</w:t>
      </w:r>
      <w:r w:rsidR="00155DC6" w:rsidRPr="00E0782E">
        <w:rPr>
          <w:rFonts w:cs="Arial"/>
        </w:rPr>
        <w:t xml:space="preserve"> runs from the fifth floor. The </w:t>
      </w:r>
      <w:r w:rsidR="00E211B3">
        <w:rPr>
          <w:rFonts w:cs="Arial"/>
        </w:rPr>
        <w:t>r</w:t>
      </w:r>
      <w:r w:rsidR="00155DC6" w:rsidRPr="00E0782E">
        <w:rPr>
          <w:rFonts w:cs="Arial"/>
        </w:rPr>
        <w:t>espondent was at liberty to inspect the building to confirm same and not simply dispute the allegation.</w:t>
      </w:r>
    </w:p>
    <w:p w14:paraId="6CA9711D" w14:textId="77777777" w:rsidR="00155DC6" w:rsidRDefault="00155DC6" w:rsidP="001C7F5D">
      <w:pPr>
        <w:pStyle w:val="ListParagraph"/>
        <w:spacing w:line="360" w:lineRule="auto"/>
        <w:ind w:left="0"/>
        <w:rPr>
          <w:rFonts w:cs="Arial"/>
        </w:rPr>
      </w:pPr>
    </w:p>
    <w:p w14:paraId="316FD800" w14:textId="5D93294E" w:rsidR="00335A47" w:rsidRDefault="00023CCE" w:rsidP="00023CCE">
      <w:pPr>
        <w:spacing w:line="360" w:lineRule="auto"/>
        <w:jc w:val="both"/>
        <w:rPr>
          <w:rFonts w:cs="Arial"/>
        </w:rPr>
      </w:pPr>
      <w:r>
        <w:rPr>
          <w:rFonts w:cs="Arial"/>
        </w:rPr>
        <w:t>[49]</w:t>
      </w:r>
      <w:r>
        <w:rPr>
          <w:rFonts w:cs="Arial"/>
        </w:rPr>
        <w:tab/>
      </w:r>
      <w:r w:rsidR="00335A47">
        <w:rPr>
          <w:rFonts w:cs="Arial"/>
        </w:rPr>
        <w:t xml:space="preserve">It is convenient to mention at this point that the </w:t>
      </w:r>
      <w:r w:rsidR="00FD24C3">
        <w:rPr>
          <w:rFonts w:cs="Arial"/>
        </w:rPr>
        <w:t xml:space="preserve">owners of the </w:t>
      </w:r>
      <w:r w:rsidR="00E27440">
        <w:rPr>
          <w:rFonts w:cs="Arial"/>
        </w:rPr>
        <w:t>crèche</w:t>
      </w:r>
      <w:r w:rsidR="00FD24C3">
        <w:rPr>
          <w:rFonts w:cs="Arial"/>
        </w:rPr>
        <w:t xml:space="preserve"> and supermarket are not part of this application; accordingly, the averments relating to them are irrelevant to the application. </w:t>
      </w:r>
    </w:p>
    <w:p w14:paraId="2ABE4567" w14:textId="77777777" w:rsidR="00335A47" w:rsidRDefault="00335A47" w:rsidP="001C7F5D">
      <w:pPr>
        <w:pStyle w:val="ListParagraph"/>
        <w:spacing w:line="360" w:lineRule="auto"/>
        <w:ind w:left="0"/>
        <w:rPr>
          <w:rFonts w:cs="Arial"/>
        </w:rPr>
      </w:pPr>
    </w:p>
    <w:p w14:paraId="3B654572" w14:textId="1CFAD391" w:rsidR="00155DC6" w:rsidRDefault="00023CCE" w:rsidP="00023CCE">
      <w:pPr>
        <w:spacing w:line="360" w:lineRule="auto"/>
        <w:jc w:val="both"/>
        <w:rPr>
          <w:rFonts w:cs="Arial"/>
        </w:rPr>
      </w:pPr>
      <w:r>
        <w:rPr>
          <w:rFonts w:cs="Arial"/>
        </w:rPr>
        <w:t>[50]</w:t>
      </w:r>
      <w:r>
        <w:rPr>
          <w:rFonts w:cs="Arial"/>
        </w:rPr>
        <w:tab/>
      </w:r>
      <w:r w:rsidR="00155DC6" w:rsidRPr="00E0782E">
        <w:rPr>
          <w:rFonts w:cs="Arial"/>
        </w:rPr>
        <w:t xml:space="preserve">Mr </w:t>
      </w:r>
      <w:proofErr w:type="spellStart"/>
      <w:r w:rsidR="00155DC6" w:rsidRPr="00A749DC">
        <w:rPr>
          <w:rFonts w:cs="Arial"/>
          <w:i/>
        </w:rPr>
        <w:t>Veerasamy</w:t>
      </w:r>
      <w:proofErr w:type="spellEnd"/>
      <w:r w:rsidR="00155DC6" w:rsidRPr="00E0782E">
        <w:rPr>
          <w:rFonts w:cs="Arial"/>
        </w:rPr>
        <w:t xml:space="preserve"> submitted that in attaching the notice to the building, </w:t>
      </w:r>
      <w:r w:rsidR="00155DC6">
        <w:rPr>
          <w:rFonts w:cs="Arial"/>
        </w:rPr>
        <w:t>they had complied with the procedural requirements because;</w:t>
      </w:r>
      <w:r w:rsidR="00155DC6" w:rsidRPr="00E0782E">
        <w:rPr>
          <w:rFonts w:cs="Arial"/>
        </w:rPr>
        <w:t xml:space="preserve"> firstly</w:t>
      </w:r>
      <w:r w:rsidR="00155DC6">
        <w:rPr>
          <w:rFonts w:cs="Arial"/>
        </w:rPr>
        <w:t xml:space="preserve">, the building is a commercial building; secondly, </w:t>
      </w:r>
      <w:r w:rsidR="00EF35B2">
        <w:rPr>
          <w:rFonts w:cs="Arial"/>
        </w:rPr>
        <w:t>the building</w:t>
      </w:r>
      <w:r w:rsidR="00416DCD">
        <w:rPr>
          <w:rFonts w:cs="Arial"/>
        </w:rPr>
        <w:t>,</w:t>
      </w:r>
      <w:r w:rsidR="00EF35B2">
        <w:rPr>
          <w:rFonts w:cs="Arial"/>
        </w:rPr>
        <w:t xml:space="preserve"> being a Motel, offers short</w:t>
      </w:r>
      <w:r w:rsidR="00416DCD">
        <w:rPr>
          <w:rFonts w:cs="Arial"/>
        </w:rPr>
        <w:t>-</w:t>
      </w:r>
      <w:r w:rsidR="00EF35B2">
        <w:rPr>
          <w:rFonts w:cs="Arial"/>
        </w:rPr>
        <w:t xml:space="preserve">term accommodation of anything between hourly accommodation and daily accommodation in terms of </w:t>
      </w:r>
      <w:r w:rsidR="00155DC6">
        <w:rPr>
          <w:rFonts w:cs="Arial"/>
        </w:rPr>
        <w:t>a</w:t>
      </w:r>
      <w:r w:rsidR="00155DC6" w:rsidRPr="00E0782E">
        <w:rPr>
          <w:rFonts w:cs="Arial"/>
        </w:rPr>
        <w:t xml:space="preserve"> sign</w:t>
      </w:r>
      <w:r w:rsidR="00155DC6">
        <w:rPr>
          <w:rFonts w:cs="Arial"/>
        </w:rPr>
        <w:t xml:space="preserve"> </w:t>
      </w:r>
      <w:r w:rsidR="00155DC6" w:rsidRPr="00E0782E">
        <w:rPr>
          <w:rFonts w:cs="Arial"/>
        </w:rPr>
        <w:t>affixed to the building</w:t>
      </w:r>
      <w:r w:rsidR="00155DC6">
        <w:rPr>
          <w:rFonts w:cs="Arial"/>
        </w:rPr>
        <w:t xml:space="preserve">; and thirdly, the </w:t>
      </w:r>
      <w:r w:rsidR="00416DCD">
        <w:rPr>
          <w:rFonts w:cs="Arial"/>
        </w:rPr>
        <w:t>r</w:t>
      </w:r>
      <w:r w:rsidR="00155DC6">
        <w:rPr>
          <w:rFonts w:cs="Arial"/>
        </w:rPr>
        <w:t>espondent ha</w:t>
      </w:r>
      <w:r w:rsidR="00EF35B2">
        <w:rPr>
          <w:rFonts w:cs="Arial"/>
        </w:rPr>
        <w:t>s</w:t>
      </w:r>
      <w:r w:rsidR="00155DC6">
        <w:rPr>
          <w:rFonts w:cs="Arial"/>
        </w:rPr>
        <w:t xml:space="preserve"> no obligation to first investigate the nature of the building, before issuing the notice. </w:t>
      </w:r>
    </w:p>
    <w:p w14:paraId="3725ED13" w14:textId="77777777" w:rsidR="00155DC6" w:rsidRDefault="00155DC6" w:rsidP="001C7F5D">
      <w:pPr>
        <w:pStyle w:val="ListParagraph"/>
        <w:spacing w:line="360" w:lineRule="auto"/>
        <w:ind w:left="0"/>
        <w:rPr>
          <w:rFonts w:cs="Arial"/>
        </w:rPr>
      </w:pPr>
    </w:p>
    <w:p w14:paraId="4504B064" w14:textId="2BDB73EB" w:rsidR="00155DC6" w:rsidRDefault="00023CCE" w:rsidP="00023CCE">
      <w:pPr>
        <w:spacing w:line="360" w:lineRule="auto"/>
        <w:jc w:val="both"/>
        <w:rPr>
          <w:rFonts w:cs="Arial"/>
        </w:rPr>
      </w:pPr>
      <w:r>
        <w:rPr>
          <w:rFonts w:cs="Arial"/>
        </w:rPr>
        <w:t>[51]</w:t>
      </w:r>
      <w:r>
        <w:rPr>
          <w:rFonts w:cs="Arial"/>
        </w:rPr>
        <w:tab/>
      </w:r>
      <w:r w:rsidR="00155DC6" w:rsidRPr="00E0782E">
        <w:rPr>
          <w:rFonts w:cs="Arial"/>
        </w:rPr>
        <w:t>He stated that</w:t>
      </w:r>
      <w:r w:rsidR="00391035">
        <w:rPr>
          <w:rFonts w:cs="Arial"/>
        </w:rPr>
        <w:t xml:space="preserve"> the</w:t>
      </w:r>
      <w:r w:rsidR="00155DC6" w:rsidRPr="00E0782E">
        <w:rPr>
          <w:rFonts w:cs="Arial"/>
        </w:rPr>
        <w:t xml:space="preserve"> </w:t>
      </w:r>
      <w:r w:rsidR="00391035">
        <w:rPr>
          <w:rFonts w:cs="Arial"/>
        </w:rPr>
        <w:t>r</w:t>
      </w:r>
      <w:r w:rsidR="00155DC6" w:rsidRPr="00E0782E">
        <w:rPr>
          <w:rFonts w:cs="Arial"/>
        </w:rPr>
        <w:t>espondent complied with its responsibility to advise the owners of the property of the imminent disconnection and had no such duty to provide the temporary occupants of the property</w:t>
      </w:r>
      <w:r w:rsidR="00B87B60">
        <w:rPr>
          <w:rFonts w:cs="Arial"/>
        </w:rPr>
        <w:t xml:space="preserve"> with notice</w:t>
      </w:r>
      <w:r w:rsidR="00155DC6" w:rsidRPr="00E0782E">
        <w:rPr>
          <w:rFonts w:cs="Arial"/>
        </w:rPr>
        <w:t xml:space="preserve"> of the pending disconnection.</w:t>
      </w:r>
    </w:p>
    <w:p w14:paraId="5FEFD8E6" w14:textId="77777777" w:rsidR="00155DC6" w:rsidRDefault="00155DC6" w:rsidP="001C7F5D">
      <w:pPr>
        <w:pStyle w:val="ListParagraph"/>
        <w:spacing w:line="360" w:lineRule="auto"/>
        <w:ind w:left="0"/>
        <w:rPr>
          <w:rFonts w:cs="Arial"/>
        </w:rPr>
      </w:pPr>
    </w:p>
    <w:p w14:paraId="0F60D0F7" w14:textId="4D03F504" w:rsidR="00155DC6" w:rsidRDefault="00023CCE" w:rsidP="00023CCE">
      <w:pPr>
        <w:spacing w:line="360" w:lineRule="auto"/>
        <w:jc w:val="both"/>
        <w:rPr>
          <w:rFonts w:cs="Arial"/>
        </w:rPr>
      </w:pPr>
      <w:r>
        <w:rPr>
          <w:rFonts w:cs="Arial"/>
        </w:rPr>
        <w:t>[52]</w:t>
      </w:r>
      <w:r>
        <w:rPr>
          <w:rFonts w:cs="Arial"/>
        </w:rPr>
        <w:tab/>
      </w:r>
      <w:r w:rsidR="00155DC6" w:rsidRPr="00E0782E">
        <w:rPr>
          <w:rFonts w:cs="Arial"/>
        </w:rPr>
        <w:t xml:space="preserve">Mr </w:t>
      </w:r>
      <w:proofErr w:type="spellStart"/>
      <w:r w:rsidR="00155DC6" w:rsidRPr="005330BA">
        <w:rPr>
          <w:rFonts w:cs="Arial"/>
          <w:i/>
        </w:rPr>
        <w:t>Veerasamy</w:t>
      </w:r>
      <w:proofErr w:type="spellEnd"/>
      <w:r w:rsidR="00155DC6" w:rsidRPr="00E0782E">
        <w:rPr>
          <w:rFonts w:cs="Arial"/>
        </w:rPr>
        <w:t xml:space="preserve"> avers that</w:t>
      </w:r>
      <w:r w:rsidR="00155DC6">
        <w:rPr>
          <w:rFonts w:cs="Arial"/>
        </w:rPr>
        <w:t xml:space="preserve"> unlike in the present matter,</w:t>
      </w:r>
      <w:r w:rsidR="00FD24C3">
        <w:rPr>
          <w:rFonts w:cs="Arial"/>
        </w:rPr>
        <w:t xml:space="preserve"> that involves temporary tenants</w:t>
      </w:r>
      <w:r w:rsidR="00093571">
        <w:rPr>
          <w:rFonts w:cs="Arial"/>
        </w:rPr>
        <w:t xml:space="preserve"> (</w:t>
      </w:r>
      <w:proofErr w:type="spellStart"/>
      <w:r w:rsidR="00093571">
        <w:rPr>
          <w:rFonts w:cs="Arial"/>
        </w:rPr>
        <w:t>i.e</w:t>
      </w:r>
      <w:proofErr w:type="spellEnd"/>
      <w:r w:rsidR="00093571">
        <w:rPr>
          <w:rFonts w:cs="Arial"/>
        </w:rPr>
        <w:t xml:space="preserve"> daily or hourly tenants)</w:t>
      </w:r>
      <w:r w:rsidR="00FD24C3">
        <w:rPr>
          <w:rFonts w:cs="Arial"/>
        </w:rPr>
        <w:t>,</w:t>
      </w:r>
      <w:r w:rsidR="00155DC6" w:rsidRPr="00E0782E">
        <w:rPr>
          <w:rFonts w:cs="Arial"/>
        </w:rPr>
        <w:t xml:space="preserve"> </w:t>
      </w:r>
      <w:r w:rsidR="00155DC6" w:rsidRPr="00E0782E">
        <w:rPr>
          <w:rFonts w:cs="Arial"/>
          <w:i/>
          <w:iCs/>
        </w:rPr>
        <w:t xml:space="preserve">Joseph </w:t>
      </w:r>
      <w:r w:rsidR="00155DC6" w:rsidRPr="00E0782E">
        <w:rPr>
          <w:rFonts w:cs="Arial"/>
        </w:rPr>
        <w:t xml:space="preserve">is authority </w:t>
      </w:r>
      <w:r w:rsidR="00F01811">
        <w:rPr>
          <w:rFonts w:cs="Arial"/>
        </w:rPr>
        <w:t xml:space="preserve">for </w:t>
      </w:r>
      <w:r w:rsidR="00155DC6" w:rsidRPr="00E0782E">
        <w:rPr>
          <w:rFonts w:cs="Arial"/>
        </w:rPr>
        <w:t>where permanent tenants</w:t>
      </w:r>
      <w:r w:rsidR="00155DC6">
        <w:rPr>
          <w:rFonts w:cs="Arial"/>
        </w:rPr>
        <w:t>, in terms of the</w:t>
      </w:r>
      <w:r w:rsidR="00F01811">
        <w:rPr>
          <w:rFonts w:cs="Arial"/>
        </w:rPr>
        <w:t>ir</w:t>
      </w:r>
      <w:r w:rsidR="00155DC6">
        <w:rPr>
          <w:rFonts w:cs="Arial"/>
        </w:rPr>
        <w:t xml:space="preserve"> rights to procedural fairness</w:t>
      </w:r>
      <w:r w:rsidR="00FD24C3">
        <w:rPr>
          <w:rFonts w:cs="Arial"/>
        </w:rPr>
        <w:t>,</w:t>
      </w:r>
      <w:r w:rsidR="00155DC6">
        <w:rPr>
          <w:rFonts w:cs="Arial"/>
        </w:rPr>
        <w:t xml:space="preserve"> must be </w:t>
      </w:r>
      <w:r w:rsidR="00B06EA1">
        <w:rPr>
          <w:rFonts w:cs="Arial"/>
        </w:rPr>
        <w:t>served with</w:t>
      </w:r>
      <w:r w:rsidR="00155DC6">
        <w:rPr>
          <w:rFonts w:cs="Arial"/>
        </w:rPr>
        <w:t xml:space="preserve"> the disconnection notice </w:t>
      </w:r>
      <w:r w:rsidR="00FD24C3">
        <w:rPr>
          <w:rFonts w:cs="Arial"/>
        </w:rPr>
        <w:t xml:space="preserve">together with the owner of the property. </w:t>
      </w:r>
      <w:r w:rsidR="00155DC6">
        <w:rPr>
          <w:rFonts w:cs="Arial"/>
        </w:rPr>
        <w:t xml:space="preserve"> </w:t>
      </w:r>
    </w:p>
    <w:p w14:paraId="103D4C4E" w14:textId="77777777" w:rsidR="00155DC6" w:rsidRDefault="00155DC6" w:rsidP="001C7F5D">
      <w:pPr>
        <w:pStyle w:val="ListParagraph"/>
        <w:spacing w:line="360" w:lineRule="auto"/>
        <w:ind w:left="0"/>
        <w:rPr>
          <w:rFonts w:cs="Arial"/>
        </w:rPr>
      </w:pPr>
    </w:p>
    <w:p w14:paraId="1AA50522" w14:textId="6689BC26" w:rsidR="00155DC6" w:rsidRPr="00E0782E" w:rsidRDefault="00023CCE" w:rsidP="00023CCE">
      <w:pPr>
        <w:spacing w:line="360" w:lineRule="auto"/>
        <w:jc w:val="both"/>
        <w:rPr>
          <w:rFonts w:cs="Arial"/>
        </w:rPr>
      </w:pPr>
      <w:r w:rsidRPr="00E0782E">
        <w:rPr>
          <w:rFonts w:cs="Arial"/>
        </w:rPr>
        <w:t>[53]</w:t>
      </w:r>
      <w:r w:rsidRPr="00E0782E">
        <w:rPr>
          <w:rFonts w:cs="Arial"/>
        </w:rPr>
        <w:tab/>
      </w:r>
      <w:r w:rsidR="00AF2A61">
        <w:rPr>
          <w:rFonts w:cs="Arial"/>
        </w:rPr>
        <w:t>He argued f</w:t>
      </w:r>
      <w:r w:rsidR="00FD24C3">
        <w:rPr>
          <w:rFonts w:cs="Arial"/>
        </w:rPr>
        <w:t>urther,</w:t>
      </w:r>
      <w:r w:rsidR="00AF2A61">
        <w:rPr>
          <w:rFonts w:cs="Arial"/>
        </w:rPr>
        <w:t xml:space="preserve"> that,</w:t>
      </w:r>
      <w:r w:rsidR="00FD24C3">
        <w:rPr>
          <w:rFonts w:cs="Arial"/>
        </w:rPr>
        <w:t xml:space="preserve"> unlike in the present case where </w:t>
      </w:r>
      <w:r w:rsidR="00E10AD3">
        <w:rPr>
          <w:rFonts w:cs="Arial"/>
        </w:rPr>
        <w:t xml:space="preserve">the </w:t>
      </w:r>
      <w:r w:rsidR="00FD24C3">
        <w:rPr>
          <w:rFonts w:cs="Arial"/>
        </w:rPr>
        <w:t xml:space="preserve">applicants seek an opportunity to engage the </w:t>
      </w:r>
      <w:r w:rsidR="00E10AD3">
        <w:rPr>
          <w:rFonts w:cs="Arial"/>
        </w:rPr>
        <w:t xml:space="preserve">respondent </w:t>
      </w:r>
      <w:r w:rsidR="00FD24C3">
        <w:rPr>
          <w:rFonts w:cs="Arial"/>
        </w:rPr>
        <w:t>about the connection of pre-paid electricity meters</w:t>
      </w:r>
      <w:r w:rsidR="00EF35B2">
        <w:rPr>
          <w:rFonts w:cs="Arial"/>
        </w:rPr>
        <w:t>;</w:t>
      </w:r>
      <w:r w:rsidR="00FD24C3">
        <w:rPr>
          <w:rFonts w:cs="Arial"/>
        </w:rPr>
        <w:t xml:space="preserve"> </w:t>
      </w:r>
      <w:r w:rsidR="00FD24C3" w:rsidRPr="00E0782E">
        <w:rPr>
          <w:rFonts w:cs="Arial"/>
        </w:rPr>
        <w:t>the</w:t>
      </w:r>
      <w:r w:rsidR="00155DC6" w:rsidRPr="00E0782E">
        <w:rPr>
          <w:rFonts w:cs="Arial"/>
        </w:rPr>
        <w:t xml:space="preserve"> procedural rights afforded to the tenants in </w:t>
      </w:r>
      <w:r w:rsidR="00155DC6" w:rsidRPr="00E0782E">
        <w:rPr>
          <w:rFonts w:cs="Arial"/>
          <w:i/>
          <w:iCs/>
        </w:rPr>
        <w:t xml:space="preserve">Joseph </w:t>
      </w:r>
      <w:r w:rsidR="00E10AD3">
        <w:rPr>
          <w:rFonts w:cs="Arial"/>
        </w:rPr>
        <w:t>allowed them to</w:t>
      </w:r>
      <w:r w:rsidR="00EF35B2">
        <w:rPr>
          <w:rFonts w:cs="Arial"/>
        </w:rPr>
        <w:t xml:space="preserve"> receive the disconnection </w:t>
      </w:r>
      <w:r w:rsidR="00155DC6" w:rsidRPr="00E0782E">
        <w:rPr>
          <w:rFonts w:cs="Arial"/>
        </w:rPr>
        <w:t xml:space="preserve">notice </w:t>
      </w:r>
      <w:r w:rsidR="00617727" w:rsidRPr="00617727">
        <w:rPr>
          <w:rFonts w:cs="Arial"/>
        </w:rPr>
        <w:t>individual</w:t>
      </w:r>
      <w:r w:rsidR="00EF35B2">
        <w:rPr>
          <w:rFonts w:cs="Arial"/>
        </w:rPr>
        <w:t xml:space="preserve">ly to afford </w:t>
      </w:r>
      <w:r w:rsidR="00574C84">
        <w:rPr>
          <w:rFonts w:cs="Arial"/>
        </w:rPr>
        <w:t>them an</w:t>
      </w:r>
      <w:r w:rsidR="00EF35B2">
        <w:rPr>
          <w:rFonts w:cs="Arial"/>
        </w:rPr>
        <w:t xml:space="preserve"> opportunity </w:t>
      </w:r>
      <w:r w:rsidR="00155DC6" w:rsidRPr="00E0782E">
        <w:rPr>
          <w:rFonts w:cs="Arial"/>
        </w:rPr>
        <w:t>to make representations on the payment of the arrears due to the municipality</w:t>
      </w:r>
      <w:r w:rsidR="00574C84">
        <w:rPr>
          <w:rFonts w:cs="Arial"/>
        </w:rPr>
        <w:t>,</w:t>
      </w:r>
      <w:r w:rsidR="00155DC6" w:rsidRPr="00E0782E">
        <w:rPr>
          <w:rFonts w:cs="Arial"/>
        </w:rPr>
        <w:t xml:space="preserve"> and not simply for the reconnection of the electricity without</w:t>
      </w:r>
      <w:r w:rsidR="00EF35B2">
        <w:rPr>
          <w:rFonts w:cs="Arial"/>
        </w:rPr>
        <w:t xml:space="preserve"> paying the </w:t>
      </w:r>
      <w:r w:rsidR="00155DC6" w:rsidRPr="00E0782E">
        <w:rPr>
          <w:rFonts w:cs="Arial"/>
        </w:rPr>
        <w:t>arrears</w:t>
      </w:r>
      <w:r w:rsidR="00EF35B2">
        <w:rPr>
          <w:rFonts w:cs="Arial"/>
        </w:rPr>
        <w:t xml:space="preserve"> either in full or with a payment plan. </w:t>
      </w:r>
    </w:p>
    <w:p w14:paraId="487CED1A" w14:textId="77777777" w:rsidR="00FD24C3" w:rsidRDefault="00FD24C3" w:rsidP="001C7F5D">
      <w:pPr>
        <w:spacing w:line="360" w:lineRule="auto"/>
        <w:jc w:val="both"/>
        <w:rPr>
          <w:rFonts w:cs="Arial"/>
        </w:rPr>
      </w:pPr>
    </w:p>
    <w:p w14:paraId="37042BA5" w14:textId="63664C4B" w:rsidR="00B51F9A" w:rsidRPr="00DF0BD3" w:rsidRDefault="00023CCE" w:rsidP="00023CCE">
      <w:pPr>
        <w:spacing w:line="360" w:lineRule="auto"/>
        <w:jc w:val="both"/>
        <w:rPr>
          <w:rFonts w:cs="Arial"/>
        </w:rPr>
      </w:pPr>
      <w:r w:rsidRPr="00DF0BD3">
        <w:rPr>
          <w:rFonts w:cs="Arial"/>
        </w:rPr>
        <w:t>[54]</w:t>
      </w:r>
      <w:r w:rsidRPr="00DF0BD3">
        <w:rPr>
          <w:rFonts w:cs="Arial"/>
        </w:rPr>
        <w:tab/>
      </w:r>
      <w:r w:rsidR="00DF0BD3">
        <w:rPr>
          <w:rFonts w:cs="Arial"/>
        </w:rPr>
        <w:t xml:space="preserve">In examining the </w:t>
      </w:r>
      <w:proofErr w:type="spellStart"/>
      <w:r w:rsidR="00CF0545">
        <w:rPr>
          <w:rFonts w:cs="Arial"/>
        </w:rPr>
        <w:t>in</w:t>
      </w:r>
      <w:r w:rsidR="00DF0BD3">
        <w:rPr>
          <w:rFonts w:cs="Arial"/>
        </w:rPr>
        <w:t>congruencies</w:t>
      </w:r>
      <w:proofErr w:type="spellEnd"/>
      <w:r w:rsidR="00DF0BD3">
        <w:rPr>
          <w:rFonts w:cs="Arial"/>
        </w:rPr>
        <w:t xml:space="preserve"> between </w:t>
      </w:r>
      <w:r w:rsidR="00DF0BD3" w:rsidRPr="005330BA">
        <w:rPr>
          <w:rFonts w:cs="Arial"/>
          <w:i/>
        </w:rPr>
        <w:t>Joseph</w:t>
      </w:r>
      <w:r w:rsidR="00DF0BD3">
        <w:rPr>
          <w:rFonts w:cs="Arial"/>
        </w:rPr>
        <w:t xml:space="preserve"> and the matter at hand, it appears to me that </w:t>
      </w:r>
      <w:r w:rsidR="00DF0BD3" w:rsidRPr="005330BA">
        <w:rPr>
          <w:rFonts w:cs="Arial"/>
          <w:i/>
        </w:rPr>
        <w:t>Joseph</w:t>
      </w:r>
      <w:r w:rsidR="00DF0BD3">
        <w:rPr>
          <w:rFonts w:cs="Arial"/>
        </w:rPr>
        <w:t xml:space="preserve"> was decided on the premise that the applicants therein </w:t>
      </w:r>
      <w:r w:rsidR="00093571">
        <w:rPr>
          <w:rFonts w:cs="Arial"/>
        </w:rPr>
        <w:t>had some kind of permanence attached to the building, wit it either a long-term or short term lease</w:t>
      </w:r>
      <w:r w:rsidR="00DC246E">
        <w:rPr>
          <w:rFonts w:cs="Arial"/>
        </w:rPr>
        <w:t>. This</w:t>
      </w:r>
      <w:r w:rsidR="00F71C78">
        <w:rPr>
          <w:rFonts w:cs="Arial"/>
        </w:rPr>
        <w:t xml:space="preserve"> </w:t>
      </w:r>
      <w:r w:rsidR="00DC246E">
        <w:rPr>
          <w:rFonts w:cs="Arial"/>
        </w:rPr>
        <w:t xml:space="preserve">is reinforced </w:t>
      </w:r>
      <w:r w:rsidR="00F71C78">
        <w:rPr>
          <w:rFonts w:cs="Arial"/>
        </w:rPr>
        <w:t xml:space="preserve">because </w:t>
      </w:r>
      <w:r w:rsidR="00093571">
        <w:rPr>
          <w:rFonts w:cs="Arial"/>
        </w:rPr>
        <w:t xml:space="preserve">temporary </w:t>
      </w:r>
      <w:r w:rsidR="00F71C78">
        <w:rPr>
          <w:rFonts w:cs="Arial"/>
        </w:rPr>
        <w:t xml:space="preserve">tenants </w:t>
      </w:r>
      <w:r w:rsidR="001E2172" w:rsidRPr="00DF0BD3">
        <w:rPr>
          <w:rFonts w:cs="Arial"/>
        </w:rPr>
        <w:t>would be at liberty to leave the property at</w:t>
      </w:r>
      <w:r w:rsidR="00C14D0F" w:rsidRPr="00DF0BD3">
        <w:rPr>
          <w:rFonts w:cs="Arial"/>
        </w:rPr>
        <w:t xml:space="preserve"> a</w:t>
      </w:r>
      <w:r w:rsidR="001E2172" w:rsidRPr="00DF0BD3">
        <w:rPr>
          <w:rFonts w:cs="Arial"/>
        </w:rPr>
        <w:t xml:space="preserve"> </w:t>
      </w:r>
      <w:r w:rsidR="00C14D0F" w:rsidRPr="00DF0BD3">
        <w:rPr>
          <w:rFonts w:cs="Arial"/>
        </w:rPr>
        <w:t>moment’s</w:t>
      </w:r>
      <w:r w:rsidR="001E2172" w:rsidRPr="00DF0BD3">
        <w:rPr>
          <w:rFonts w:cs="Arial"/>
        </w:rPr>
        <w:t xml:space="preserve"> notice and move to </w:t>
      </w:r>
      <w:r w:rsidR="00C14D0F" w:rsidRPr="00DF0BD3">
        <w:rPr>
          <w:rFonts w:cs="Arial"/>
        </w:rPr>
        <w:t xml:space="preserve">the </w:t>
      </w:r>
      <w:r w:rsidR="00093571">
        <w:rPr>
          <w:rFonts w:cs="Arial"/>
        </w:rPr>
        <w:t xml:space="preserve">temporary </w:t>
      </w:r>
      <w:r w:rsidR="00C14D0F" w:rsidRPr="00DF0BD3">
        <w:rPr>
          <w:rFonts w:cs="Arial"/>
        </w:rPr>
        <w:t xml:space="preserve">accommodation nearby. Accordingly, for </w:t>
      </w:r>
      <w:r w:rsidR="00C14D0F" w:rsidRPr="00DF0BD3">
        <w:rPr>
          <w:rFonts w:cs="Arial"/>
          <w:i/>
          <w:iCs/>
        </w:rPr>
        <w:t>Joseph</w:t>
      </w:r>
      <w:r w:rsidR="00C14D0F" w:rsidRPr="00DF0BD3">
        <w:rPr>
          <w:rFonts w:cs="Arial"/>
        </w:rPr>
        <w:t xml:space="preserve"> to apply, it</w:t>
      </w:r>
      <w:r w:rsidR="004C10F7" w:rsidRPr="00DF0BD3">
        <w:rPr>
          <w:rFonts w:cs="Arial"/>
        </w:rPr>
        <w:t xml:space="preserve"> </w:t>
      </w:r>
      <w:r w:rsidR="001E2172" w:rsidRPr="00DF0BD3">
        <w:rPr>
          <w:rFonts w:cs="Arial"/>
        </w:rPr>
        <w:t>is axiomatic</w:t>
      </w:r>
      <w:r w:rsidR="004C10F7" w:rsidRPr="00DF0BD3">
        <w:rPr>
          <w:rFonts w:cs="Arial"/>
        </w:rPr>
        <w:t xml:space="preserve"> that </w:t>
      </w:r>
      <w:r w:rsidR="001E2172" w:rsidRPr="00DF0BD3">
        <w:rPr>
          <w:rFonts w:cs="Arial"/>
        </w:rPr>
        <w:t xml:space="preserve">the </w:t>
      </w:r>
      <w:r w:rsidR="00574C84">
        <w:rPr>
          <w:rFonts w:cs="Arial"/>
        </w:rPr>
        <w:t>a</w:t>
      </w:r>
      <w:r w:rsidR="001E2172" w:rsidRPr="00DF0BD3">
        <w:rPr>
          <w:rFonts w:cs="Arial"/>
        </w:rPr>
        <w:t>pplicants must demonstrate that they are permanent residen</w:t>
      </w:r>
      <w:r w:rsidR="00574C84">
        <w:rPr>
          <w:rFonts w:cs="Arial"/>
        </w:rPr>
        <w:t>ts</w:t>
      </w:r>
      <w:r w:rsidR="00382962" w:rsidRPr="00DF0BD3">
        <w:rPr>
          <w:rFonts w:cs="Arial"/>
        </w:rPr>
        <w:t>.</w:t>
      </w:r>
    </w:p>
    <w:p w14:paraId="14523C96" w14:textId="77777777" w:rsidR="00382962" w:rsidRDefault="00382962" w:rsidP="001C7F5D">
      <w:pPr>
        <w:pStyle w:val="ListParagraph"/>
        <w:spacing w:line="360" w:lineRule="auto"/>
        <w:ind w:left="0"/>
        <w:rPr>
          <w:rFonts w:cs="Arial"/>
        </w:rPr>
      </w:pPr>
    </w:p>
    <w:p w14:paraId="2D6FCA52" w14:textId="410B23B9" w:rsidR="00B06EA1" w:rsidRDefault="00023CCE" w:rsidP="00023CCE">
      <w:pPr>
        <w:spacing w:line="360" w:lineRule="auto"/>
        <w:jc w:val="both"/>
        <w:rPr>
          <w:rFonts w:cs="Arial"/>
        </w:rPr>
      </w:pPr>
      <w:r>
        <w:rPr>
          <w:rFonts w:cs="Arial"/>
        </w:rPr>
        <w:t>[55]</w:t>
      </w:r>
      <w:r>
        <w:rPr>
          <w:rFonts w:cs="Arial"/>
        </w:rPr>
        <w:tab/>
      </w:r>
      <w:r w:rsidR="00B06EA1">
        <w:rPr>
          <w:rFonts w:cs="Arial"/>
        </w:rPr>
        <w:t xml:space="preserve">It is instructive to mention here that the very high threshold of individual service of the notice, is not in line with </w:t>
      </w:r>
      <w:r w:rsidR="001F3375" w:rsidRPr="001F3375">
        <w:rPr>
          <w:rFonts w:cs="Arial"/>
          <w:i/>
          <w:iCs/>
        </w:rPr>
        <w:t>Joseph</w:t>
      </w:r>
      <w:r w:rsidR="00B06EA1">
        <w:rPr>
          <w:rFonts w:cs="Arial"/>
        </w:rPr>
        <w:t xml:space="preserve">. It was common cause in </w:t>
      </w:r>
      <w:r w:rsidR="00B06EA1" w:rsidRPr="00B06EA1">
        <w:rPr>
          <w:rFonts w:cs="Arial"/>
          <w:i/>
          <w:iCs/>
        </w:rPr>
        <w:t>Joseph</w:t>
      </w:r>
      <w:r w:rsidR="00B06EA1">
        <w:rPr>
          <w:rStyle w:val="FootnoteReference"/>
          <w:rFonts w:cs="Arial"/>
          <w:i/>
          <w:iCs/>
        </w:rPr>
        <w:footnoteReference w:id="16"/>
      </w:r>
      <w:r w:rsidR="00B06EA1">
        <w:rPr>
          <w:rFonts w:cs="Arial"/>
        </w:rPr>
        <w:t xml:space="preserve"> that the affixing of a notice at a prominent place is sufficient. Accordingly, Mr Veerasamy’s submission on this point cannot be faulted. </w:t>
      </w:r>
    </w:p>
    <w:p w14:paraId="34B17C90" w14:textId="77777777" w:rsidR="00B06EA1" w:rsidRDefault="00B06EA1" w:rsidP="00B06EA1">
      <w:pPr>
        <w:pStyle w:val="ListParagraph"/>
        <w:rPr>
          <w:rFonts w:cs="Arial"/>
        </w:rPr>
      </w:pPr>
    </w:p>
    <w:p w14:paraId="5C78679B" w14:textId="2F8CA10C" w:rsidR="00DC246E" w:rsidRDefault="00023CCE" w:rsidP="00023CCE">
      <w:pPr>
        <w:spacing w:line="360" w:lineRule="auto"/>
        <w:jc w:val="both"/>
        <w:rPr>
          <w:rFonts w:cs="Arial"/>
        </w:rPr>
      </w:pPr>
      <w:r>
        <w:rPr>
          <w:rFonts w:cs="Arial"/>
        </w:rPr>
        <w:t>[56]</w:t>
      </w:r>
      <w:r>
        <w:rPr>
          <w:rFonts w:cs="Arial"/>
        </w:rPr>
        <w:tab/>
      </w:r>
      <w:r w:rsidR="00DC246E">
        <w:rPr>
          <w:rFonts w:cs="Arial"/>
        </w:rPr>
        <w:t>In examining the founding</w:t>
      </w:r>
      <w:r w:rsidR="008E69E7">
        <w:rPr>
          <w:rFonts w:cs="Arial"/>
        </w:rPr>
        <w:t xml:space="preserve"> and answering affidavit</w:t>
      </w:r>
      <w:r w:rsidR="00593F54">
        <w:rPr>
          <w:rFonts w:cs="Arial"/>
        </w:rPr>
        <w:t xml:space="preserve"> regarding the status of the applicants, it appears that </w:t>
      </w:r>
      <w:r w:rsidR="008E69E7">
        <w:rPr>
          <w:rFonts w:cs="Arial"/>
        </w:rPr>
        <w:t>respondent is correct</w:t>
      </w:r>
      <w:r w:rsidR="00593F54">
        <w:rPr>
          <w:rFonts w:cs="Arial"/>
        </w:rPr>
        <w:t xml:space="preserve"> </w:t>
      </w:r>
      <w:r w:rsidR="008E69E7">
        <w:rPr>
          <w:rFonts w:cs="Arial"/>
        </w:rPr>
        <w:t xml:space="preserve">in its assertion that </w:t>
      </w:r>
      <w:r w:rsidR="00DC246E">
        <w:rPr>
          <w:rFonts w:cs="Arial"/>
        </w:rPr>
        <w:t>the status of the applicants</w:t>
      </w:r>
      <w:r w:rsidR="00593F54">
        <w:rPr>
          <w:rFonts w:cs="Arial"/>
        </w:rPr>
        <w:t>’</w:t>
      </w:r>
      <w:r w:rsidR="00DC246E">
        <w:rPr>
          <w:rFonts w:cs="Arial"/>
        </w:rPr>
        <w:t xml:space="preserve"> tenancy is not dealt with</w:t>
      </w:r>
      <w:r w:rsidR="00F71C78">
        <w:rPr>
          <w:rFonts w:cs="Arial"/>
        </w:rPr>
        <w:t xml:space="preserve"> and/or pleaded</w:t>
      </w:r>
      <w:r w:rsidR="00DC246E">
        <w:rPr>
          <w:rFonts w:cs="Arial"/>
        </w:rPr>
        <w:t xml:space="preserve"> at all</w:t>
      </w:r>
      <w:r w:rsidR="00574C84">
        <w:rPr>
          <w:rFonts w:cs="Arial"/>
        </w:rPr>
        <w:t>.</w:t>
      </w:r>
      <w:r w:rsidR="00F71C78">
        <w:rPr>
          <w:rStyle w:val="FootnoteReference"/>
          <w:rFonts w:cs="Arial"/>
        </w:rPr>
        <w:footnoteReference w:id="17"/>
      </w:r>
      <w:r w:rsidR="00DC246E">
        <w:rPr>
          <w:rFonts w:cs="Arial"/>
        </w:rPr>
        <w:t xml:space="preserve"> </w:t>
      </w:r>
      <w:r w:rsidR="008E69E7">
        <w:rPr>
          <w:rFonts w:cs="Arial"/>
        </w:rPr>
        <w:t>The first applicant described himself as a tenant of the property</w:t>
      </w:r>
      <w:r w:rsidR="00574C84">
        <w:rPr>
          <w:rFonts w:cs="Arial"/>
        </w:rPr>
        <w:t>,</w:t>
      </w:r>
      <w:r w:rsidR="00593F54">
        <w:rPr>
          <w:rStyle w:val="FootnoteReference"/>
          <w:rFonts w:cs="Arial"/>
        </w:rPr>
        <w:footnoteReference w:id="18"/>
      </w:r>
      <w:r w:rsidR="008E69E7">
        <w:rPr>
          <w:rFonts w:cs="Arial"/>
        </w:rPr>
        <w:t xml:space="preserve"> while the second and third applicants describe themselves as </w:t>
      </w:r>
      <w:r w:rsidR="00574C84">
        <w:rPr>
          <w:rFonts w:cs="Arial"/>
        </w:rPr>
        <w:t>‘</w:t>
      </w:r>
      <w:r w:rsidR="008E69E7">
        <w:rPr>
          <w:rFonts w:cs="Arial"/>
        </w:rPr>
        <w:t>residing at the property</w:t>
      </w:r>
      <w:r w:rsidR="00574C84">
        <w:rPr>
          <w:rFonts w:cs="Arial"/>
        </w:rPr>
        <w:t>’.</w:t>
      </w:r>
      <w:r w:rsidR="008E69E7">
        <w:rPr>
          <w:rStyle w:val="FootnoteReference"/>
          <w:rFonts w:cs="Arial"/>
        </w:rPr>
        <w:footnoteReference w:id="19"/>
      </w:r>
      <w:r w:rsidR="00093571">
        <w:rPr>
          <w:rFonts w:cs="Arial"/>
        </w:rPr>
        <w:t xml:space="preserve"> The personal circumstances of the applicants with regard to their social economic status is markedly absent from the founding affidavit. </w:t>
      </w:r>
    </w:p>
    <w:p w14:paraId="122B969A" w14:textId="77777777" w:rsidR="00DC246E" w:rsidRDefault="00DC246E" w:rsidP="001C7F5D">
      <w:pPr>
        <w:pStyle w:val="ListParagraph"/>
        <w:spacing w:line="360" w:lineRule="auto"/>
        <w:ind w:left="0"/>
        <w:rPr>
          <w:rFonts w:cs="Arial"/>
        </w:rPr>
      </w:pPr>
    </w:p>
    <w:p w14:paraId="2C91E064" w14:textId="20D89303" w:rsidR="00CB187E" w:rsidRDefault="00023CCE" w:rsidP="00023CCE">
      <w:pPr>
        <w:spacing w:line="360" w:lineRule="auto"/>
        <w:jc w:val="both"/>
        <w:rPr>
          <w:rFonts w:cs="Arial"/>
        </w:rPr>
      </w:pPr>
      <w:r>
        <w:rPr>
          <w:rFonts w:cs="Arial"/>
        </w:rPr>
        <w:t>[57]</w:t>
      </w:r>
      <w:r>
        <w:rPr>
          <w:rFonts w:cs="Arial"/>
        </w:rPr>
        <w:tab/>
      </w:r>
      <w:r w:rsidR="00CB187E">
        <w:rPr>
          <w:rFonts w:cs="Arial"/>
        </w:rPr>
        <w:t>It is trite that in motion proceedings the affidavits are both the pleadings and evidence</w:t>
      </w:r>
      <w:r w:rsidR="0033117B">
        <w:rPr>
          <w:rFonts w:cs="Arial"/>
        </w:rPr>
        <w:t>,</w:t>
      </w:r>
      <w:r w:rsidR="00CB187E">
        <w:rPr>
          <w:rStyle w:val="FootnoteReference"/>
          <w:rFonts w:cs="Arial"/>
        </w:rPr>
        <w:footnoteReference w:id="20"/>
      </w:r>
      <w:r w:rsidR="00CB187E">
        <w:rPr>
          <w:rFonts w:cs="Arial"/>
        </w:rPr>
        <w:t xml:space="preserve"> and the applicant must make out its case against the respondent in the founding affidavit</w:t>
      </w:r>
      <w:r w:rsidR="0033117B">
        <w:rPr>
          <w:rFonts w:cs="Arial"/>
        </w:rPr>
        <w:t>.</w:t>
      </w:r>
      <w:r w:rsidR="00CB187E">
        <w:rPr>
          <w:rStyle w:val="FootnoteReference"/>
          <w:rFonts w:cs="Arial"/>
        </w:rPr>
        <w:footnoteReference w:id="21"/>
      </w:r>
      <w:r w:rsidR="00CB187E">
        <w:rPr>
          <w:rFonts w:cs="Arial"/>
        </w:rPr>
        <w:t xml:space="preserve"> </w:t>
      </w:r>
    </w:p>
    <w:p w14:paraId="735A1E56" w14:textId="77777777" w:rsidR="00CB187E" w:rsidRDefault="00CB187E" w:rsidP="001C7F5D">
      <w:pPr>
        <w:pStyle w:val="ListParagraph"/>
        <w:spacing w:line="360" w:lineRule="auto"/>
        <w:ind w:left="0"/>
        <w:rPr>
          <w:rFonts w:cs="Arial"/>
        </w:rPr>
      </w:pPr>
    </w:p>
    <w:p w14:paraId="7DF509BC" w14:textId="4B53C0A1" w:rsidR="00865CAF" w:rsidRDefault="00023CCE" w:rsidP="00023CCE">
      <w:pPr>
        <w:spacing w:line="360" w:lineRule="auto"/>
        <w:jc w:val="both"/>
        <w:rPr>
          <w:rFonts w:cs="Arial"/>
        </w:rPr>
      </w:pPr>
      <w:r>
        <w:rPr>
          <w:rFonts w:cs="Arial"/>
        </w:rPr>
        <w:t>[58]</w:t>
      </w:r>
      <w:r>
        <w:rPr>
          <w:rFonts w:cs="Arial"/>
        </w:rPr>
        <w:tab/>
      </w:r>
      <w:r w:rsidR="00593F54">
        <w:rPr>
          <w:rFonts w:cs="Arial"/>
        </w:rPr>
        <w:t>There are no averments that</w:t>
      </w:r>
      <w:r w:rsidR="006807D5">
        <w:rPr>
          <w:rFonts w:cs="Arial"/>
        </w:rPr>
        <w:t xml:space="preserve"> the</w:t>
      </w:r>
      <w:r w:rsidR="00593F54">
        <w:rPr>
          <w:rFonts w:cs="Arial"/>
        </w:rPr>
        <w:t xml:space="preserve"> applicants either </w:t>
      </w:r>
      <w:r w:rsidR="00CB187E">
        <w:rPr>
          <w:rFonts w:cs="Arial"/>
        </w:rPr>
        <w:t>entered</w:t>
      </w:r>
      <w:r w:rsidR="00D970F7">
        <w:rPr>
          <w:rFonts w:cs="Arial"/>
        </w:rPr>
        <w:t xml:space="preserve"> into</w:t>
      </w:r>
      <w:r w:rsidR="00CB187E">
        <w:rPr>
          <w:rFonts w:cs="Arial"/>
        </w:rPr>
        <w:t xml:space="preserve"> </w:t>
      </w:r>
      <w:r w:rsidR="00593F54">
        <w:rPr>
          <w:rFonts w:cs="Arial"/>
        </w:rPr>
        <w:t>a written or oral lease</w:t>
      </w:r>
      <w:r w:rsidR="00865CAF">
        <w:rPr>
          <w:rFonts w:cs="Arial"/>
        </w:rPr>
        <w:t>,</w:t>
      </w:r>
      <w:r w:rsidR="00593F54">
        <w:rPr>
          <w:rFonts w:cs="Arial"/>
        </w:rPr>
        <w:t xml:space="preserve"> </w:t>
      </w:r>
      <w:r w:rsidR="00CB187E">
        <w:rPr>
          <w:rFonts w:cs="Arial"/>
        </w:rPr>
        <w:t xml:space="preserve">nor is the </w:t>
      </w:r>
      <w:r w:rsidR="00593F54">
        <w:rPr>
          <w:rFonts w:cs="Arial"/>
        </w:rPr>
        <w:t>duration of the lease</w:t>
      </w:r>
      <w:r w:rsidR="00CB187E">
        <w:rPr>
          <w:rFonts w:cs="Arial"/>
        </w:rPr>
        <w:t xml:space="preserve"> pleaded</w:t>
      </w:r>
      <w:r w:rsidR="00593F54">
        <w:rPr>
          <w:rFonts w:cs="Arial"/>
        </w:rPr>
        <w:t xml:space="preserve">. </w:t>
      </w:r>
      <w:r w:rsidR="00865CAF">
        <w:rPr>
          <w:rFonts w:cs="Arial"/>
        </w:rPr>
        <w:t xml:space="preserve">Considering that the </w:t>
      </w:r>
      <w:r w:rsidR="00D970F7">
        <w:rPr>
          <w:rFonts w:cs="Arial"/>
        </w:rPr>
        <w:t>a</w:t>
      </w:r>
      <w:r w:rsidR="00865CAF">
        <w:rPr>
          <w:rFonts w:cs="Arial"/>
        </w:rPr>
        <w:t xml:space="preserve">pplicants did not plead a lease agreement, it is not open to </w:t>
      </w:r>
      <w:r w:rsidR="00D970F7">
        <w:rPr>
          <w:rFonts w:cs="Arial"/>
        </w:rPr>
        <w:t>the r</w:t>
      </w:r>
      <w:r w:rsidR="00865CAF">
        <w:rPr>
          <w:rFonts w:cs="Arial"/>
        </w:rPr>
        <w:t>espondent</w:t>
      </w:r>
      <w:r w:rsidR="00C94237">
        <w:rPr>
          <w:rFonts w:cs="Arial"/>
        </w:rPr>
        <w:t xml:space="preserve">, as asserted by </w:t>
      </w:r>
      <w:r w:rsidR="00D970F7">
        <w:rPr>
          <w:rFonts w:cs="Arial"/>
        </w:rPr>
        <w:t>the a</w:t>
      </w:r>
      <w:r w:rsidR="00C94237">
        <w:rPr>
          <w:rFonts w:cs="Arial"/>
        </w:rPr>
        <w:t>pplicants,</w:t>
      </w:r>
      <w:r w:rsidR="00865CAF">
        <w:rPr>
          <w:rFonts w:cs="Arial"/>
        </w:rPr>
        <w:t xml:space="preserve"> to file a </w:t>
      </w:r>
      <w:r w:rsidR="00D970F7">
        <w:rPr>
          <w:rFonts w:cs="Arial"/>
        </w:rPr>
        <w:t>Uniform r</w:t>
      </w:r>
      <w:r w:rsidR="00865CAF">
        <w:rPr>
          <w:rFonts w:cs="Arial"/>
        </w:rPr>
        <w:t>ule 35</w:t>
      </w:r>
      <w:r w:rsidR="007B2DE2">
        <w:rPr>
          <w:rFonts w:cs="Arial"/>
        </w:rPr>
        <w:t xml:space="preserve"> </w:t>
      </w:r>
      <w:r w:rsidR="00865CAF">
        <w:rPr>
          <w:rFonts w:cs="Arial"/>
        </w:rPr>
        <w:t xml:space="preserve">notice requesting </w:t>
      </w:r>
      <w:r w:rsidR="00D970F7">
        <w:rPr>
          <w:rFonts w:cs="Arial"/>
        </w:rPr>
        <w:t xml:space="preserve">a </w:t>
      </w:r>
      <w:r w:rsidR="00865CAF">
        <w:rPr>
          <w:rFonts w:cs="Arial"/>
        </w:rPr>
        <w:t xml:space="preserve">lease agreement. Even if </w:t>
      </w:r>
      <w:r w:rsidR="00FE547E">
        <w:rPr>
          <w:rFonts w:cs="Arial"/>
        </w:rPr>
        <w:t>the r</w:t>
      </w:r>
      <w:r w:rsidR="00865CAF">
        <w:rPr>
          <w:rFonts w:cs="Arial"/>
        </w:rPr>
        <w:t xml:space="preserve">espondents </w:t>
      </w:r>
      <w:r w:rsidR="00D828A8">
        <w:rPr>
          <w:rFonts w:cs="Arial"/>
        </w:rPr>
        <w:t xml:space="preserve">had </w:t>
      </w:r>
      <w:r w:rsidR="00865CAF">
        <w:rPr>
          <w:rFonts w:cs="Arial"/>
        </w:rPr>
        <w:t>filed the</w:t>
      </w:r>
      <w:r w:rsidR="00D970F7">
        <w:rPr>
          <w:rFonts w:cs="Arial"/>
        </w:rPr>
        <w:t xml:space="preserve"> Uniform</w:t>
      </w:r>
      <w:r w:rsidR="00865CAF">
        <w:rPr>
          <w:rFonts w:cs="Arial"/>
        </w:rPr>
        <w:t xml:space="preserve"> </w:t>
      </w:r>
      <w:r w:rsidR="00D970F7">
        <w:rPr>
          <w:rFonts w:cs="Arial"/>
        </w:rPr>
        <w:t>r</w:t>
      </w:r>
      <w:r w:rsidR="00865CAF">
        <w:rPr>
          <w:rFonts w:cs="Arial"/>
        </w:rPr>
        <w:t xml:space="preserve">ule 35 notice, </w:t>
      </w:r>
      <w:r w:rsidR="007A4C2F">
        <w:rPr>
          <w:rFonts w:cs="Arial"/>
        </w:rPr>
        <w:t>since the lease agreements are not part of the founding affidavit, the lease agreement</w:t>
      </w:r>
      <w:r w:rsidR="00981274">
        <w:rPr>
          <w:rFonts w:cs="Arial"/>
        </w:rPr>
        <w:t>s</w:t>
      </w:r>
      <w:r w:rsidR="007A4C2F">
        <w:rPr>
          <w:rFonts w:cs="Arial"/>
        </w:rPr>
        <w:t xml:space="preserve"> would be inadmissible. </w:t>
      </w:r>
    </w:p>
    <w:p w14:paraId="3C836284" w14:textId="77777777" w:rsidR="00865CAF" w:rsidRDefault="00865CAF" w:rsidP="001C7F5D">
      <w:pPr>
        <w:pStyle w:val="ListParagraph"/>
        <w:spacing w:line="360" w:lineRule="auto"/>
        <w:ind w:left="0"/>
        <w:rPr>
          <w:rFonts w:cs="Arial"/>
        </w:rPr>
      </w:pPr>
    </w:p>
    <w:p w14:paraId="176DA438" w14:textId="73DEF46C" w:rsidR="00B51F9A" w:rsidRDefault="00023CCE" w:rsidP="00023CCE">
      <w:pPr>
        <w:spacing w:line="360" w:lineRule="auto"/>
        <w:jc w:val="both"/>
        <w:rPr>
          <w:rFonts w:cs="Arial"/>
        </w:rPr>
      </w:pPr>
      <w:r>
        <w:rPr>
          <w:rFonts w:cs="Arial"/>
        </w:rPr>
        <w:t>[59]</w:t>
      </w:r>
      <w:r>
        <w:rPr>
          <w:rFonts w:cs="Arial"/>
        </w:rPr>
        <w:tab/>
      </w:r>
      <w:r w:rsidR="00B63944">
        <w:rPr>
          <w:rFonts w:cs="Arial"/>
        </w:rPr>
        <w:t xml:space="preserve">In the premises, </w:t>
      </w:r>
      <w:r w:rsidR="006304E1">
        <w:rPr>
          <w:rFonts w:cs="Arial"/>
        </w:rPr>
        <w:t xml:space="preserve">the </w:t>
      </w:r>
      <w:r w:rsidR="00C94237">
        <w:rPr>
          <w:rFonts w:cs="Arial"/>
        </w:rPr>
        <w:t xml:space="preserve">applicants have failed to make </w:t>
      </w:r>
      <w:r w:rsidR="00B63944">
        <w:rPr>
          <w:rFonts w:cs="Arial"/>
        </w:rPr>
        <w:t xml:space="preserve">out a case </w:t>
      </w:r>
      <w:r w:rsidR="00C94237">
        <w:rPr>
          <w:rFonts w:cs="Arial"/>
        </w:rPr>
        <w:t>that they are permanent residen</w:t>
      </w:r>
      <w:r w:rsidR="006304E1">
        <w:rPr>
          <w:rFonts w:cs="Arial"/>
        </w:rPr>
        <w:t>ts</w:t>
      </w:r>
      <w:r w:rsidR="00C94237">
        <w:rPr>
          <w:rFonts w:cs="Arial"/>
        </w:rPr>
        <w:t xml:space="preserve"> of the property; </w:t>
      </w:r>
      <w:r w:rsidR="00111179">
        <w:rPr>
          <w:rFonts w:cs="Arial"/>
        </w:rPr>
        <w:t>consequently,</w:t>
      </w:r>
      <w:r w:rsidR="006304E1">
        <w:rPr>
          <w:rFonts w:cs="Arial"/>
        </w:rPr>
        <w:t xml:space="preserve"> they</w:t>
      </w:r>
      <w:r w:rsidR="00111179">
        <w:rPr>
          <w:rFonts w:cs="Arial"/>
        </w:rPr>
        <w:t xml:space="preserve"> </w:t>
      </w:r>
      <w:r w:rsidR="00B63944">
        <w:rPr>
          <w:rFonts w:cs="Arial"/>
        </w:rPr>
        <w:t xml:space="preserve">have not made out a case </w:t>
      </w:r>
      <w:r w:rsidR="00111179">
        <w:rPr>
          <w:rFonts w:cs="Arial"/>
        </w:rPr>
        <w:t xml:space="preserve">as espoused </w:t>
      </w:r>
      <w:r w:rsidR="006304E1">
        <w:rPr>
          <w:rFonts w:cs="Arial"/>
        </w:rPr>
        <w:t xml:space="preserve">in </w:t>
      </w:r>
      <w:r w:rsidR="00111179" w:rsidRPr="00A749DC">
        <w:rPr>
          <w:rFonts w:cs="Arial"/>
          <w:i/>
        </w:rPr>
        <w:t>Joseph</w:t>
      </w:r>
      <w:r w:rsidR="00111179">
        <w:rPr>
          <w:rFonts w:cs="Arial"/>
        </w:rPr>
        <w:t xml:space="preserve"> </w:t>
      </w:r>
      <w:r w:rsidR="00C94237">
        <w:rPr>
          <w:rFonts w:cs="Arial"/>
        </w:rPr>
        <w:t>that they have</w:t>
      </w:r>
      <w:r w:rsidR="00111179">
        <w:rPr>
          <w:rFonts w:cs="Arial"/>
        </w:rPr>
        <w:t xml:space="preserve"> a</w:t>
      </w:r>
      <w:r w:rsidR="00C94237">
        <w:rPr>
          <w:rFonts w:cs="Arial"/>
        </w:rPr>
        <w:t xml:space="preserve"> </w:t>
      </w:r>
      <w:r w:rsidR="00111179" w:rsidRPr="00A749DC">
        <w:rPr>
          <w:rFonts w:cs="Arial"/>
          <w:iCs/>
        </w:rPr>
        <w:t>prima facie</w:t>
      </w:r>
      <w:r w:rsidR="00C94237">
        <w:rPr>
          <w:rFonts w:cs="Arial"/>
        </w:rPr>
        <w:t xml:space="preserve"> right to procedural fairness</w:t>
      </w:r>
      <w:r w:rsidR="00111179">
        <w:rPr>
          <w:rFonts w:cs="Arial"/>
        </w:rPr>
        <w:t xml:space="preserve">. Since </w:t>
      </w:r>
      <w:r w:rsidR="00111179" w:rsidRPr="00A749DC">
        <w:rPr>
          <w:rFonts w:cs="Arial"/>
          <w:i/>
        </w:rPr>
        <w:t>Joseph</w:t>
      </w:r>
      <w:r w:rsidR="00111179">
        <w:rPr>
          <w:rFonts w:cs="Arial"/>
        </w:rPr>
        <w:t xml:space="preserve"> was the basis for bringing this application, the application must fail. </w:t>
      </w:r>
    </w:p>
    <w:p w14:paraId="7F2BCD68" w14:textId="77777777" w:rsidR="00111179" w:rsidRDefault="00111179" w:rsidP="001C7F5D">
      <w:pPr>
        <w:pStyle w:val="ListParagraph"/>
        <w:spacing w:line="360" w:lineRule="auto"/>
        <w:ind w:left="0"/>
        <w:rPr>
          <w:rFonts w:cs="Arial"/>
        </w:rPr>
      </w:pPr>
    </w:p>
    <w:p w14:paraId="354A51AB" w14:textId="60994AFF" w:rsidR="00111179" w:rsidRPr="00B06EA1" w:rsidRDefault="00023CCE" w:rsidP="00023CCE">
      <w:pPr>
        <w:spacing w:line="360" w:lineRule="auto"/>
        <w:jc w:val="both"/>
        <w:rPr>
          <w:rFonts w:cs="Arial"/>
        </w:rPr>
      </w:pPr>
      <w:r w:rsidRPr="00B06EA1">
        <w:rPr>
          <w:rFonts w:cs="Arial"/>
        </w:rPr>
        <w:t>[60]</w:t>
      </w:r>
      <w:r w:rsidRPr="00B06EA1">
        <w:rPr>
          <w:rFonts w:cs="Arial"/>
        </w:rPr>
        <w:tab/>
      </w:r>
      <w:r w:rsidR="00111179">
        <w:rPr>
          <w:rFonts w:cs="Arial"/>
        </w:rPr>
        <w:t xml:space="preserve">On account that </w:t>
      </w:r>
      <w:r w:rsidR="006304E1">
        <w:rPr>
          <w:rFonts w:cs="Arial"/>
        </w:rPr>
        <w:t>the a</w:t>
      </w:r>
      <w:r w:rsidR="00111179">
        <w:rPr>
          <w:rFonts w:cs="Arial"/>
        </w:rPr>
        <w:t xml:space="preserve">pplicants have failed to demonstrate a </w:t>
      </w:r>
      <w:r w:rsidR="00111179" w:rsidRPr="00993D83">
        <w:rPr>
          <w:rFonts w:cs="Arial"/>
          <w:i/>
        </w:rPr>
        <w:t>prima facie</w:t>
      </w:r>
      <w:r w:rsidR="00111179">
        <w:rPr>
          <w:rFonts w:cs="Arial"/>
        </w:rPr>
        <w:t xml:space="preserve"> right, it is unnecessary for me to deal with the other requirements of </w:t>
      </w:r>
      <w:r w:rsidR="00B06EA1">
        <w:rPr>
          <w:rFonts w:cs="Arial"/>
        </w:rPr>
        <w:t xml:space="preserve">an interim interdict. </w:t>
      </w:r>
      <w:r w:rsidR="00111179">
        <w:rPr>
          <w:rFonts w:cs="Arial"/>
        </w:rPr>
        <w:t xml:space="preserve">  </w:t>
      </w:r>
      <w:r w:rsidR="00900AE0" w:rsidRPr="00B06EA1">
        <w:rPr>
          <w:rFonts w:cs="Arial"/>
        </w:rPr>
        <w:t xml:space="preserve">In the circumstances, </w:t>
      </w:r>
      <w:r w:rsidR="00111179" w:rsidRPr="00B06EA1">
        <w:rPr>
          <w:rFonts w:cs="Arial"/>
        </w:rPr>
        <w:t>th</w:t>
      </w:r>
      <w:r w:rsidR="00D828A8" w:rsidRPr="00B06EA1">
        <w:rPr>
          <w:rFonts w:cs="Arial"/>
        </w:rPr>
        <w:t xml:space="preserve">e interim </w:t>
      </w:r>
      <w:r w:rsidR="00B06EA1">
        <w:rPr>
          <w:rFonts w:cs="Arial"/>
        </w:rPr>
        <w:t xml:space="preserve">application </w:t>
      </w:r>
      <w:r w:rsidR="00D828A8" w:rsidRPr="00B06EA1">
        <w:rPr>
          <w:rFonts w:cs="Arial"/>
        </w:rPr>
        <w:t xml:space="preserve">stands </w:t>
      </w:r>
      <w:r w:rsidR="00111179" w:rsidRPr="00B06EA1">
        <w:rPr>
          <w:rFonts w:cs="Arial"/>
        </w:rPr>
        <w:t>to be struck from the roll</w:t>
      </w:r>
      <w:r w:rsidR="00900AE0" w:rsidRPr="00B06EA1">
        <w:rPr>
          <w:rFonts w:cs="Arial"/>
        </w:rPr>
        <w:t xml:space="preserve"> with costs. </w:t>
      </w:r>
    </w:p>
    <w:p w14:paraId="3B7DB6D3" w14:textId="60DB85BE" w:rsidR="00900AE0" w:rsidRDefault="00900AE0" w:rsidP="001C7F5D">
      <w:pPr>
        <w:pStyle w:val="ListParagraph"/>
        <w:spacing w:line="360" w:lineRule="auto"/>
        <w:ind w:left="0"/>
        <w:rPr>
          <w:rFonts w:cs="Arial"/>
        </w:rPr>
      </w:pPr>
    </w:p>
    <w:p w14:paraId="6127EEE0" w14:textId="305F86B4" w:rsidR="00900AE0" w:rsidRPr="00A749DC" w:rsidRDefault="006304E1" w:rsidP="001C7F5D">
      <w:pPr>
        <w:spacing w:line="360" w:lineRule="auto"/>
        <w:rPr>
          <w:rFonts w:cs="Arial"/>
          <w:b/>
          <w:bCs/>
          <w:caps/>
        </w:rPr>
      </w:pPr>
      <w:r w:rsidRPr="000F27BA">
        <w:rPr>
          <w:rFonts w:cs="Arial"/>
          <w:b/>
          <w:bCs/>
        </w:rPr>
        <w:t>Order</w:t>
      </w:r>
    </w:p>
    <w:p w14:paraId="7DDC2B69" w14:textId="445DE14E" w:rsidR="004D30FA" w:rsidRPr="00900AE0" w:rsidRDefault="00023CCE" w:rsidP="00023CCE">
      <w:pPr>
        <w:spacing w:line="360" w:lineRule="auto"/>
        <w:jc w:val="both"/>
        <w:rPr>
          <w:rFonts w:cs="Arial"/>
        </w:rPr>
      </w:pPr>
      <w:r w:rsidRPr="00900AE0">
        <w:rPr>
          <w:rFonts w:cs="Arial"/>
        </w:rPr>
        <w:t>[61]</w:t>
      </w:r>
      <w:r w:rsidRPr="00900AE0">
        <w:rPr>
          <w:rFonts w:cs="Arial"/>
        </w:rPr>
        <w:tab/>
      </w:r>
      <w:r w:rsidR="004D30FA" w:rsidRPr="00900AE0">
        <w:rPr>
          <w:rFonts w:cs="Arial"/>
        </w:rPr>
        <w:t xml:space="preserve">In the </w:t>
      </w:r>
      <w:r w:rsidR="00900AE0">
        <w:rPr>
          <w:rFonts w:cs="Arial"/>
        </w:rPr>
        <w:t>premises</w:t>
      </w:r>
      <w:r w:rsidR="004D30FA" w:rsidRPr="00900AE0">
        <w:rPr>
          <w:rFonts w:cs="Arial"/>
        </w:rPr>
        <w:t>, I make the following order:</w:t>
      </w:r>
    </w:p>
    <w:p w14:paraId="16634BE1" w14:textId="2FA8F0DD" w:rsidR="006304E1" w:rsidRDefault="006304E1" w:rsidP="000F27BA">
      <w:pPr>
        <w:spacing w:line="360" w:lineRule="auto"/>
        <w:jc w:val="both"/>
        <w:rPr>
          <w:rFonts w:cs="Arial"/>
        </w:rPr>
      </w:pPr>
      <w:r>
        <w:rPr>
          <w:rFonts w:cs="Arial"/>
        </w:rPr>
        <w:tab/>
      </w:r>
      <w:r>
        <w:rPr>
          <w:rFonts w:cs="Arial"/>
        </w:rPr>
        <w:tab/>
      </w:r>
    </w:p>
    <w:p w14:paraId="2BFAE306" w14:textId="1CCB7540" w:rsidR="004D30FA" w:rsidRPr="00023CCE" w:rsidRDefault="00023CCE" w:rsidP="00023CCE">
      <w:pPr>
        <w:spacing w:line="360" w:lineRule="auto"/>
        <w:ind w:left="720" w:hanging="360"/>
        <w:jc w:val="both"/>
        <w:rPr>
          <w:rFonts w:cs="Arial"/>
        </w:rPr>
      </w:pPr>
      <w:r>
        <w:rPr>
          <w:rFonts w:cs="Arial"/>
        </w:rPr>
        <w:t>(a)</w:t>
      </w:r>
      <w:r>
        <w:rPr>
          <w:rFonts w:cs="Arial"/>
        </w:rPr>
        <w:tab/>
      </w:r>
      <w:r w:rsidR="00900AE0" w:rsidRPr="00023CCE">
        <w:rPr>
          <w:rFonts w:cs="Arial"/>
        </w:rPr>
        <w:t xml:space="preserve">The matter is struck from the roll with the applicants </w:t>
      </w:r>
      <w:r w:rsidR="00BE2709" w:rsidRPr="00023CCE">
        <w:rPr>
          <w:rFonts w:cs="Arial"/>
        </w:rPr>
        <w:t xml:space="preserve">directed </w:t>
      </w:r>
      <w:r w:rsidR="00900AE0" w:rsidRPr="00023CCE">
        <w:rPr>
          <w:rFonts w:cs="Arial"/>
        </w:rPr>
        <w:t>to pay the costs.</w:t>
      </w:r>
    </w:p>
    <w:p w14:paraId="7FB32EEF" w14:textId="34A02BE8" w:rsidR="00900AE0" w:rsidRDefault="00900AE0" w:rsidP="001C7F5D">
      <w:pPr>
        <w:spacing w:line="360" w:lineRule="auto"/>
        <w:jc w:val="both"/>
        <w:rPr>
          <w:rFonts w:cs="Arial"/>
        </w:rPr>
      </w:pPr>
    </w:p>
    <w:p w14:paraId="7FC13D6B" w14:textId="77777777" w:rsidR="00900AE0" w:rsidRPr="00900AE0" w:rsidRDefault="00900AE0" w:rsidP="001C7F5D">
      <w:pPr>
        <w:spacing w:line="360" w:lineRule="auto"/>
        <w:jc w:val="both"/>
        <w:rPr>
          <w:rFonts w:cs="Arial"/>
        </w:rPr>
      </w:pPr>
    </w:p>
    <w:p w14:paraId="2E3268C9" w14:textId="2D2154E0" w:rsidR="001C143E" w:rsidRPr="000C5487" w:rsidRDefault="001C143E" w:rsidP="001C7F5D">
      <w:pPr>
        <w:spacing w:line="360" w:lineRule="auto"/>
        <w:jc w:val="right"/>
        <w:rPr>
          <w:rFonts w:cs="Arial"/>
          <w:b/>
        </w:rPr>
      </w:pPr>
      <w:r w:rsidRPr="000C5487">
        <w:rPr>
          <w:rFonts w:cs="Arial"/>
          <w:b/>
        </w:rPr>
        <w:t>________</w:t>
      </w:r>
      <w:r w:rsidR="005B2A5F" w:rsidRPr="000C5487">
        <w:rPr>
          <w:rFonts w:cs="Arial"/>
          <w:b/>
        </w:rPr>
        <w:t>___</w:t>
      </w:r>
      <w:r w:rsidRPr="000C5487">
        <w:rPr>
          <w:rFonts w:cs="Arial"/>
          <w:b/>
        </w:rPr>
        <w:t>___</w:t>
      </w:r>
    </w:p>
    <w:p w14:paraId="5EEAB518" w14:textId="1A4DFDDA" w:rsidR="001C143E" w:rsidRPr="000C5487" w:rsidRDefault="005B2A5F" w:rsidP="001C7F5D">
      <w:pPr>
        <w:spacing w:line="360" w:lineRule="auto"/>
        <w:jc w:val="right"/>
        <w:rPr>
          <w:rFonts w:cs="Arial"/>
          <w:b/>
        </w:rPr>
      </w:pPr>
      <w:r w:rsidRPr="000C5487">
        <w:rPr>
          <w:rFonts w:cs="Arial"/>
          <w:b/>
        </w:rPr>
        <w:t>NICHOLSON</w:t>
      </w:r>
      <w:r w:rsidR="001C143E" w:rsidRPr="000C5487">
        <w:rPr>
          <w:rFonts w:cs="Arial"/>
          <w:b/>
        </w:rPr>
        <w:t xml:space="preserve"> AJ</w:t>
      </w:r>
    </w:p>
    <w:p w14:paraId="77C74B87" w14:textId="77777777" w:rsidR="00D828A8" w:rsidRDefault="00D828A8" w:rsidP="001C7F5D">
      <w:pPr>
        <w:spacing w:line="360" w:lineRule="auto"/>
        <w:jc w:val="both"/>
        <w:rPr>
          <w:rFonts w:cs="Arial"/>
        </w:rPr>
      </w:pPr>
    </w:p>
    <w:p w14:paraId="40D3823D" w14:textId="5EE44F69" w:rsidR="004D30FA" w:rsidRDefault="004D30FA" w:rsidP="001C7F5D">
      <w:pPr>
        <w:spacing w:line="360" w:lineRule="auto"/>
        <w:jc w:val="both"/>
        <w:rPr>
          <w:rFonts w:cs="Arial"/>
        </w:rPr>
      </w:pPr>
      <w:r>
        <w:rPr>
          <w:rFonts w:cs="Arial"/>
        </w:rPr>
        <w:t>Date heard:</w:t>
      </w:r>
      <w:r>
        <w:rPr>
          <w:rFonts w:cs="Arial"/>
        </w:rPr>
        <w:tab/>
      </w:r>
      <w:r>
        <w:rPr>
          <w:rFonts w:cs="Arial"/>
        </w:rPr>
        <w:tab/>
      </w:r>
      <w:r>
        <w:rPr>
          <w:rFonts w:cs="Arial"/>
        </w:rPr>
        <w:tab/>
      </w:r>
      <w:r>
        <w:rPr>
          <w:rFonts w:cs="Arial"/>
        </w:rPr>
        <w:tab/>
        <w:t>17 March 2023</w:t>
      </w:r>
    </w:p>
    <w:p w14:paraId="2A703160" w14:textId="47B8A7F6" w:rsidR="001C143E" w:rsidRPr="00664B01" w:rsidRDefault="004D30FA" w:rsidP="001C7F5D">
      <w:pPr>
        <w:spacing w:line="360" w:lineRule="auto"/>
        <w:jc w:val="both"/>
        <w:rPr>
          <w:rFonts w:cs="Arial"/>
        </w:rPr>
      </w:pPr>
      <w:r>
        <w:rPr>
          <w:rFonts w:cs="Arial"/>
        </w:rPr>
        <w:t>Handed down on:</w:t>
      </w:r>
      <w:r>
        <w:rPr>
          <w:rFonts w:cs="Arial"/>
        </w:rPr>
        <w:tab/>
      </w:r>
      <w:r>
        <w:rPr>
          <w:rFonts w:cs="Arial"/>
        </w:rPr>
        <w:tab/>
      </w:r>
      <w:r>
        <w:rPr>
          <w:rFonts w:cs="Arial"/>
        </w:rPr>
        <w:tab/>
      </w:r>
      <w:r w:rsidR="00AB2CBD">
        <w:rPr>
          <w:rFonts w:cs="Arial"/>
        </w:rPr>
        <w:t xml:space="preserve"> </w:t>
      </w:r>
      <w:r w:rsidR="009D00FE">
        <w:rPr>
          <w:rFonts w:cs="Arial"/>
        </w:rPr>
        <w:t>4 April 2023</w:t>
      </w:r>
    </w:p>
    <w:p w14:paraId="078CF705" w14:textId="77777777" w:rsidR="00D828A8" w:rsidRDefault="00D828A8" w:rsidP="001C7F5D">
      <w:pPr>
        <w:spacing w:line="360" w:lineRule="auto"/>
        <w:rPr>
          <w:rFonts w:cs="Arial"/>
        </w:rPr>
      </w:pPr>
    </w:p>
    <w:p w14:paraId="3404C57B" w14:textId="33A978D3" w:rsidR="001C143E" w:rsidRPr="00664B01" w:rsidRDefault="004D30FA" w:rsidP="001C7F5D">
      <w:pPr>
        <w:spacing w:line="360" w:lineRule="auto"/>
        <w:rPr>
          <w:rFonts w:cs="Arial"/>
        </w:rPr>
      </w:pPr>
      <w:r>
        <w:rPr>
          <w:rFonts w:cs="Arial"/>
        </w:rPr>
        <w:t xml:space="preserve">For </w:t>
      </w:r>
      <w:r w:rsidR="002D1DAE" w:rsidRPr="00664B01">
        <w:rPr>
          <w:rFonts w:cs="Arial"/>
        </w:rPr>
        <w:t>Applicants</w:t>
      </w:r>
      <w:r w:rsidR="001C143E" w:rsidRPr="00664B01">
        <w:rPr>
          <w:rFonts w:cs="Arial"/>
        </w:rPr>
        <w:t>:</w:t>
      </w:r>
      <w:r w:rsidR="001C143E" w:rsidRPr="00664B01">
        <w:rPr>
          <w:rFonts w:cs="Arial"/>
        </w:rPr>
        <w:tab/>
      </w:r>
      <w:r>
        <w:rPr>
          <w:rFonts w:cs="Arial"/>
        </w:rPr>
        <w:tab/>
      </w:r>
      <w:r>
        <w:rPr>
          <w:rFonts w:cs="Arial"/>
        </w:rPr>
        <w:tab/>
      </w:r>
      <w:r w:rsidR="00924C58" w:rsidRPr="00664B01">
        <w:rPr>
          <w:rFonts w:cs="Arial"/>
        </w:rPr>
        <w:t xml:space="preserve">Advocate </w:t>
      </w:r>
      <w:r>
        <w:rPr>
          <w:rFonts w:cs="Arial"/>
        </w:rPr>
        <w:t>Lennard</w:t>
      </w:r>
    </w:p>
    <w:p w14:paraId="2F7BB3B2" w14:textId="33EC88A4" w:rsidR="001C143E" w:rsidRDefault="001C143E" w:rsidP="001C7F5D">
      <w:pPr>
        <w:spacing w:line="360" w:lineRule="auto"/>
        <w:rPr>
          <w:rFonts w:cs="Arial"/>
        </w:rPr>
      </w:pPr>
      <w:bookmarkStart w:id="6" w:name="_Hlk536432197"/>
      <w:r w:rsidRPr="00664B01">
        <w:rPr>
          <w:rFonts w:cs="Arial"/>
        </w:rPr>
        <w:t>Instructed by:</w:t>
      </w:r>
      <w:r w:rsidRPr="00664B01">
        <w:rPr>
          <w:rFonts w:cs="Arial"/>
        </w:rPr>
        <w:tab/>
      </w:r>
      <w:r w:rsidRPr="00664B01">
        <w:rPr>
          <w:rFonts w:cs="Arial"/>
        </w:rPr>
        <w:tab/>
      </w:r>
      <w:r w:rsidRPr="00664B01">
        <w:rPr>
          <w:rFonts w:cs="Arial"/>
        </w:rPr>
        <w:tab/>
      </w:r>
      <w:bookmarkEnd w:id="6"/>
      <w:r w:rsidR="004D30FA">
        <w:rPr>
          <w:rFonts w:cs="Arial"/>
        </w:rPr>
        <w:t>Rodney Reddy and Associates</w:t>
      </w:r>
    </w:p>
    <w:p w14:paraId="1442D80B" w14:textId="62D4483B" w:rsidR="004D30FA" w:rsidRDefault="004D30FA" w:rsidP="001C7F5D">
      <w:pPr>
        <w:spacing w:line="360" w:lineRule="auto"/>
        <w:rPr>
          <w:rFonts w:cs="Arial"/>
        </w:rPr>
      </w:pPr>
      <w:r>
        <w:rPr>
          <w:rFonts w:cs="Arial"/>
        </w:rPr>
        <w:tab/>
      </w:r>
      <w:r>
        <w:rPr>
          <w:rFonts w:cs="Arial"/>
        </w:rPr>
        <w:tab/>
      </w:r>
      <w:r>
        <w:rPr>
          <w:rFonts w:cs="Arial"/>
        </w:rPr>
        <w:tab/>
      </w:r>
      <w:r>
        <w:rPr>
          <w:rFonts w:cs="Arial"/>
        </w:rPr>
        <w:tab/>
      </w:r>
      <w:r>
        <w:rPr>
          <w:rFonts w:cs="Arial"/>
        </w:rPr>
        <w:tab/>
        <w:t>Rodlaw House</w:t>
      </w:r>
    </w:p>
    <w:p w14:paraId="04E3E26B" w14:textId="18E67F5D" w:rsidR="004D30FA" w:rsidRDefault="004D30FA" w:rsidP="001C7F5D">
      <w:pPr>
        <w:spacing w:line="360" w:lineRule="auto"/>
        <w:rPr>
          <w:rFonts w:cs="Arial"/>
        </w:rPr>
      </w:pPr>
      <w:r>
        <w:rPr>
          <w:rFonts w:cs="Arial"/>
        </w:rPr>
        <w:tab/>
      </w:r>
      <w:r>
        <w:rPr>
          <w:rFonts w:cs="Arial"/>
        </w:rPr>
        <w:tab/>
      </w:r>
      <w:r>
        <w:rPr>
          <w:rFonts w:cs="Arial"/>
        </w:rPr>
        <w:tab/>
      </w:r>
      <w:r>
        <w:rPr>
          <w:rFonts w:cs="Arial"/>
        </w:rPr>
        <w:tab/>
      </w:r>
      <w:r>
        <w:rPr>
          <w:rFonts w:cs="Arial"/>
        </w:rPr>
        <w:tab/>
        <w:t>52 Protea Place</w:t>
      </w:r>
    </w:p>
    <w:p w14:paraId="5DB0C1C4" w14:textId="0B4B6A50" w:rsidR="004D30FA" w:rsidRDefault="004D30FA" w:rsidP="001C7F5D">
      <w:pPr>
        <w:spacing w:line="360" w:lineRule="auto"/>
        <w:rPr>
          <w:rFonts w:cs="Arial"/>
        </w:rPr>
      </w:pPr>
      <w:r>
        <w:rPr>
          <w:rFonts w:cs="Arial"/>
        </w:rPr>
        <w:tab/>
      </w:r>
      <w:r>
        <w:rPr>
          <w:rFonts w:cs="Arial"/>
        </w:rPr>
        <w:tab/>
      </w:r>
      <w:r>
        <w:rPr>
          <w:rFonts w:cs="Arial"/>
        </w:rPr>
        <w:tab/>
      </w:r>
      <w:r>
        <w:rPr>
          <w:rFonts w:cs="Arial"/>
        </w:rPr>
        <w:tab/>
      </w:r>
      <w:r>
        <w:rPr>
          <w:rFonts w:cs="Arial"/>
        </w:rPr>
        <w:tab/>
        <w:t>La Mercy</w:t>
      </w:r>
    </w:p>
    <w:p w14:paraId="160ADFA2" w14:textId="77777777" w:rsidR="00900AE0" w:rsidRDefault="00900AE0" w:rsidP="001C7F5D">
      <w:pPr>
        <w:spacing w:line="360" w:lineRule="auto"/>
        <w:rPr>
          <w:rFonts w:cs="Arial"/>
        </w:rPr>
      </w:pPr>
    </w:p>
    <w:p w14:paraId="659DDF6E" w14:textId="1E67FABD" w:rsidR="004D30FA" w:rsidRDefault="004D30FA" w:rsidP="001C7F5D">
      <w:pPr>
        <w:spacing w:line="360" w:lineRule="auto"/>
        <w:rPr>
          <w:rFonts w:cs="Arial"/>
        </w:rPr>
      </w:pPr>
      <w:r>
        <w:rPr>
          <w:rFonts w:cs="Arial"/>
        </w:rPr>
        <w:t>For Respondent:</w:t>
      </w:r>
      <w:r>
        <w:rPr>
          <w:rFonts w:cs="Arial"/>
        </w:rPr>
        <w:tab/>
      </w:r>
      <w:r>
        <w:rPr>
          <w:rFonts w:cs="Arial"/>
        </w:rPr>
        <w:tab/>
      </w:r>
      <w:r>
        <w:rPr>
          <w:rFonts w:cs="Arial"/>
        </w:rPr>
        <w:tab/>
        <w:t>Advocate Veerasamy</w:t>
      </w:r>
    </w:p>
    <w:p w14:paraId="5306A3B0" w14:textId="63B8C817" w:rsidR="004D30FA" w:rsidRDefault="004D30FA" w:rsidP="001C7F5D">
      <w:pPr>
        <w:spacing w:line="360" w:lineRule="auto"/>
        <w:rPr>
          <w:rFonts w:cs="Arial"/>
        </w:rPr>
      </w:pPr>
      <w:r>
        <w:rPr>
          <w:rFonts w:cs="Arial"/>
        </w:rPr>
        <w:t>Instructed by:</w:t>
      </w:r>
      <w:r>
        <w:rPr>
          <w:rFonts w:cs="Arial"/>
        </w:rPr>
        <w:tab/>
      </w:r>
      <w:r>
        <w:rPr>
          <w:rFonts w:cs="Arial"/>
        </w:rPr>
        <w:tab/>
      </w:r>
      <w:r>
        <w:rPr>
          <w:rFonts w:cs="Arial"/>
        </w:rPr>
        <w:tab/>
        <w:t>Linda Mazibuko and Associates</w:t>
      </w:r>
    </w:p>
    <w:p w14:paraId="7C6E93AA" w14:textId="176CB5D6" w:rsidR="004D30FA" w:rsidRDefault="004D30FA" w:rsidP="001C7F5D">
      <w:pPr>
        <w:spacing w:line="360" w:lineRule="auto"/>
        <w:rPr>
          <w:rFonts w:cs="Arial"/>
        </w:rPr>
      </w:pPr>
      <w:r>
        <w:rPr>
          <w:rFonts w:cs="Arial"/>
        </w:rPr>
        <w:tab/>
      </w:r>
      <w:r>
        <w:rPr>
          <w:rFonts w:cs="Arial"/>
        </w:rPr>
        <w:tab/>
      </w:r>
      <w:r>
        <w:rPr>
          <w:rFonts w:cs="Arial"/>
        </w:rPr>
        <w:tab/>
      </w:r>
      <w:r>
        <w:rPr>
          <w:rFonts w:cs="Arial"/>
        </w:rPr>
        <w:tab/>
      </w:r>
      <w:r>
        <w:rPr>
          <w:rFonts w:cs="Arial"/>
        </w:rPr>
        <w:tab/>
        <w:t xml:space="preserve">231/233 Matthews Meyiwa </w:t>
      </w:r>
    </w:p>
    <w:p w14:paraId="40889787" w14:textId="268301C3" w:rsidR="004D30FA" w:rsidRPr="000C5487" w:rsidRDefault="004D30FA" w:rsidP="001C7F5D">
      <w:pPr>
        <w:spacing w:line="360" w:lineRule="auto"/>
        <w:rPr>
          <w:rFonts w:cs="Arial"/>
        </w:rPr>
      </w:pPr>
      <w:r>
        <w:rPr>
          <w:rFonts w:cs="Arial"/>
        </w:rPr>
        <w:tab/>
      </w:r>
      <w:r>
        <w:rPr>
          <w:rFonts w:cs="Arial"/>
        </w:rPr>
        <w:tab/>
      </w:r>
      <w:r>
        <w:rPr>
          <w:rFonts w:cs="Arial"/>
        </w:rPr>
        <w:tab/>
      </w:r>
      <w:r>
        <w:rPr>
          <w:rFonts w:cs="Arial"/>
        </w:rPr>
        <w:tab/>
      </w:r>
      <w:r>
        <w:rPr>
          <w:rFonts w:cs="Arial"/>
        </w:rPr>
        <w:tab/>
        <w:t>Morningside</w:t>
      </w:r>
    </w:p>
    <w:p w14:paraId="1E42CD7C" w14:textId="77777777" w:rsidR="001C143E" w:rsidRPr="000C5487" w:rsidRDefault="001C143E" w:rsidP="00287C70">
      <w:pPr>
        <w:tabs>
          <w:tab w:val="left" w:pos="851"/>
        </w:tabs>
        <w:spacing w:line="480" w:lineRule="auto"/>
        <w:jc w:val="both"/>
        <w:rPr>
          <w:rFonts w:cs="Arial"/>
        </w:rPr>
      </w:pPr>
    </w:p>
    <w:sectPr w:rsidR="001C143E" w:rsidRPr="000C5487" w:rsidSect="00D252F6">
      <w:headerReference w:type="default" r:id="rId9"/>
      <w:pgSz w:w="11906" w:h="16838"/>
      <w:pgMar w:top="1701" w:right="1701" w:bottom="1701" w:left="1985"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A8A80" w14:textId="77777777" w:rsidR="002B46F5" w:rsidRDefault="002B46F5" w:rsidP="008674D3">
      <w:r>
        <w:separator/>
      </w:r>
    </w:p>
  </w:endnote>
  <w:endnote w:type="continuationSeparator" w:id="0">
    <w:p w14:paraId="67B6C22C" w14:textId="77777777" w:rsidR="002B46F5" w:rsidRDefault="002B46F5"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7C9B3" w14:textId="77777777" w:rsidR="002B46F5" w:rsidRDefault="002B46F5" w:rsidP="008674D3">
      <w:r>
        <w:separator/>
      </w:r>
    </w:p>
  </w:footnote>
  <w:footnote w:type="continuationSeparator" w:id="0">
    <w:p w14:paraId="73E89E59" w14:textId="77777777" w:rsidR="002B46F5" w:rsidRDefault="002B46F5" w:rsidP="008674D3">
      <w:r>
        <w:continuationSeparator/>
      </w:r>
    </w:p>
  </w:footnote>
  <w:footnote w:id="1">
    <w:p w14:paraId="2D581167" w14:textId="7472D1F9" w:rsidR="00617727" w:rsidRDefault="00617727">
      <w:pPr>
        <w:pStyle w:val="FootnoteText"/>
      </w:pPr>
      <w:r>
        <w:rPr>
          <w:rStyle w:val="FootnoteReference"/>
        </w:rPr>
        <w:footnoteRef/>
      </w:r>
      <w:r>
        <w:t xml:space="preserve"> </w:t>
      </w:r>
      <w:r w:rsidRPr="00617727">
        <w:t>Founding Affidavit,</w:t>
      </w:r>
      <w:r>
        <w:t xml:space="preserve"> paragraph 15 at page 11 of the indexed pages. </w:t>
      </w:r>
    </w:p>
  </w:footnote>
  <w:footnote w:id="2">
    <w:p w14:paraId="1794AA4A" w14:textId="35E93B77" w:rsidR="002B46F5" w:rsidRPr="00435CC9" w:rsidRDefault="002B46F5">
      <w:pPr>
        <w:pStyle w:val="FootnoteText"/>
        <w:rPr>
          <w:lang w:val="en-US"/>
        </w:rPr>
      </w:pPr>
      <w:r>
        <w:rPr>
          <w:rStyle w:val="FootnoteReference"/>
        </w:rPr>
        <w:footnoteRef/>
      </w:r>
      <w:r>
        <w:t xml:space="preserve"> </w:t>
      </w:r>
      <w:r w:rsidRPr="00C55441">
        <w:rPr>
          <w:rFonts w:cs="Arial"/>
          <w:i/>
        </w:rPr>
        <w:t>Joseph and others v City of Johannesburg and others</w:t>
      </w:r>
      <w:r>
        <w:rPr>
          <w:rFonts w:cs="Arial"/>
          <w:i/>
        </w:rPr>
        <w:t xml:space="preserve"> </w:t>
      </w:r>
      <w:r>
        <w:rPr>
          <w:lang w:val="en-US"/>
        </w:rPr>
        <w:t>2010 (4) SA 55 (CC).</w:t>
      </w:r>
    </w:p>
  </w:footnote>
  <w:footnote w:id="3">
    <w:p w14:paraId="0BF84410" w14:textId="5848170E" w:rsidR="002B46F5" w:rsidRPr="004F11D9" w:rsidRDefault="002B46F5" w:rsidP="00A30DAA">
      <w:pPr>
        <w:pStyle w:val="FootnoteText"/>
        <w:jc w:val="both"/>
        <w:rPr>
          <w:lang w:val="en-US"/>
        </w:rPr>
      </w:pPr>
      <w:r>
        <w:rPr>
          <w:rStyle w:val="FootnoteReference"/>
        </w:rPr>
        <w:footnoteRef/>
      </w:r>
      <w:r>
        <w:t xml:space="preserve"> </w:t>
      </w:r>
      <w:bookmarkStart w:id="5" w:name="_Hlk131003875"/>
      <w:r>
        <w:t xml:space="preserve">Founding Affidavit, </w:t>
      </w:r>
      <w:r>
        <w:rPr>
          <w:lang w:val="en-US"/>
        </w:rPr>
        <w:t>Annexure ‘SM1’ to the founding affidavit at page 44 of the indexed papers.</w:t>
      </w:r>
      <w:bookmarkEnd w:id="5"/>
    </w:p>
  </w:footnote>
  <w:footnote w:id="4">
    <w:p w14:paraId="112C310D" w14:textId="5D7DA7F8" w:rsidR="002B46F5" w:rsidRPr="004F11D9" w:rsidRDefault="002B46F5" w:rsidP="00A30DAA">
      <w:pPr>
        <w:pStyle w:val="FootnoteText"/>
        <w:jc w:val="both"/>
        <w:rPr>
          <w:lang w:val="en-US"/>
        </w:rPr>
      </w:pPr>
      <w:r>
        <w:rPr>
          <w:rStyle w:val="FootnoteReference"/>
        </w:rPr>
        <w:footnoteRef/>
      </w:r>
      <w:r>
        <w:t xml:space="preserve"> </w:t>
      </w:r>
      <w:r>
        <w:rPr>
          <w:lang w:val="en-US"/>
        </w:rPr>
        <w:t xml:space="preserve">Founding affidavit, paragraph 7 at page 9 of the indexed papers/pages 28A to 49 of the indexed papers. </w:t>
      </w:r>
    </w:p>
  </w:footnote>
  <w:footnote w:id="5">
    <w:p w14:paraId="4E1F861B" w14:textId="38A1CC28" w:rsidR="002B46F5" w:rsidRPr="00022562" w:rsidRDefault="002B46F5">
      <w:pPr>
        <w:pStyle w:val="FootnoteText"/>
        <w:rPr>
          <w:lang w:val="en-US"/>
        </w:rPr>
      </w:pPr>
      <w:r>
        <w:rPr>
          <w:rStyle w:val="FootnoteReference"/>
        </w:rPr>
        <w:footnoteRef/>
      </w:r>
      <w:r>
        <w:t xml:space="preserve"> </w:t>
      </w:r>
      <w:r>
        <w:rPr>
          <w:i/>
          <w:iCs/>
          <w:lang w:val="en-US"/>
        </w:rPr>
        <w:t xml:space="preserve">Supra </w:t>
      </w:r>
      <w:proofErr w:type="spellStart"/>
      <w:r>
        <w:rPr>
          <w:iCs/>
          <w:lang w:val="en-US"/>
        </w:rPr>
        <w:t>fn</w:t>
      </w:r>
      <w:proofErr w:type="spellEnd"/>
      <w:r>
        <w:rPr>
          <w:iCs/>
          <w:lang w:val="en-US"/>
        </w:rPr>
        <w:t xml:space="preserve"> 1</w:t>
      </w:r>
      <w:r>
        <w:rPr>
          <w:i/>
          <w:iCs/>
          <w:lang w:val="en-US"/>
        </w:rPr>
        <w:t>.</w:t>
      </w:r>
    </w:p>
  </w:footnote>
  <w:footnote w:id="6">
    <w:p w14:paraId="1E3324DD" w14:textId="38146E5B" w:rsidR="002B46F5" w:rsidRDefault="002B46F5" w:rsidP="00C25530">
      <w:pPr>
        <w:pStyle w:val="FootnoteText"/>
        <w:rPr>
          <w:i/>
          <w:iCs/>
          <w:lang w:val="en-US"/>
        </w:rPr>
      </w:pPr>
      <w:r>
        <w:rPr>
          <w:rStyle w:val="FootnoteReference"/>
        </w:rPr>
        <w:footnoteRef/>
      </w:r>
      <w:r>
        <w:t xml:space="preserve"> Founding Affidavit, </w:t>
      </w:r>
      <w:r>
        <w:rPr>
          <w:lang w:val="en-US"/>
        </w:rPr>
        <w:t>paragraph 11 at page 10.</w:t>
      </w:r>
    </w:p>
    <w:p w14:paraId="48A023A8" w14:textId="7C2F6641" w:rsidR="002B46F5" w:rsidRPr="00C25530" w:rsidRDefault="002B46F5">
      <w:pPr>
        <w:pStyle w:val="FootnoteText"/>
        <w:rPr>
          <w:lang w:val="en-GB"/>
        </w:rPr>
      </w:pPr>
    </w:p>
  </w:footnote>
  <w:footnote w:id="7">
    <w:p w14:paraId="0C4D70C9" w14:textId="3221E60F" w:rsidR="002B46F5" w:rsidRPr="00AB2CBD" w:rsidRDefault="002B46F5">
      <w:pPr>
        <w:pStyle w:val="FootnoteText"/>
        <w:rPr>
          <w:lang w:val="en-US"/>
        </w:rPr>
      </w:pPr>
      <w:r>
        <w:rPr>
          <w:rStyle w:val="FootnoteReference"/>
        </w:rPr>
        <w:footnoteRef/>
      </w:r>
      <w:r>
        <w:t xml:space="preserve"> </w:t>
      </w:r>
      <w:r>
        <w:rPr>
          <w:lang w:val="en-US"/>
        </w:rPr>
        <w:t>Paragraphs 4 and 5 at page 51/annexure ‘A’ at page 4.</w:t>
      </w:r>
    </w:p>
  </w:footnote>
  <w:footnote w:id="8">
    <w:p w14:paraId="4759C31D" w14:textId="5983AAE2" w:rsidR="002B46F5" w:rsidRPr="00AB2CBD" w:rsidRDefault="002B46F5">
      <w:pPr>
        <w:pStyle w:val="FootnoteText"/>
        <w:rPr>
          <w:lang w:val="en-US"/>
        </w:rPr>
      </w:pPr>
      <w:r>
        <w:rPr>
          <w:rStyle w:val="FootnoteReference"/>
        </w:rPr>
        <w:footnoteRef/>
      </w:r>
      <w:r>
        <w:t xml:space="preserve"> </w:t>
      </w:r>
      <w:r>
        <w:rPr>
          <w:lang w:val="en-US"/>
        </w:rPr>
        <w:t>Paragraphs 24 to 29 at pages 56 to 58 of the papers/annexure ‘B’, pages 65 and 66.</w:t>
      </w:r>
    </w:p>
  </w:footnote>
  <w:footnote w:id="9">
    <w:p w14:paraId="66731476" w14:textId="2B3F8D59" w:rsidR="002B46F5" w:rsidRPr="007167F8" w:rsidRDefault="002B46F5">
      <w:pPr>
        <w:pStyle w:val="FootnoteText"/>
        <w:rPr>
          <w:lang w:val="en-US"/>
        </w:rPr>
      </w:pPr>
      <w:r>
        <w:rPr>
          <w:rStyle w:val="FootnoteReference"/>
        </w:rPr>
        <w:footnoteRef/>
      </w:r>
      <w:r>
        <w:t xml:space="preserve"> </w:t>
      </w:r>
      <w:r>
        <w:rPr>
          <w:lang w:val="en-US"/>
        </w:rPr>
        <w:t>Paragraph 11 at page 53/paragraph 44 at page 61.</w:t>
      </w:r>
    </w:p>
  </w:footnote>
  <w:footnote w:id="10">
    <w:p w14:paraId="7FD314C4" w14:textId="6E7B852D" w:rsidR="002B46F5" w:rsidRPr="00A30DAA" w:rsidRDefault="002B46F5">
      <w:pPr>
        <w:pStyle w:val="FootnoteText"/>
        <w:rPr>
          <w:lang w:val="en-GB"/>
        </w:rPr>
      </w:pPr>
      <w:r>
        <w:rPr>
          <w:rStyle w:val="FootnoteReference"/>
        </w:rPr>
        <w:footnoteRef/>
      </w:r>
      <w:r>
        <w:t xml:space="preserve"> </w:t>
      </w:r>
      <w:r w:rsidRPr="00C55441">
        <w:rPr>
          <w:rFonts w:cs="Arial"/>
          <w:i/>
        </w:rPr>
        <w:t xml:space="preserve">East Rock Trading 7 (Pty) Ltd v Eagle Valley Granite (Pty) Ltd </w:t>
      </w:r>
      <w:r w:rsidRPr="0031315F">
        <w:rPr>
          <w:rFonts w:cs="Arial"/>
        </w:rPr>
        <w:t>2011 JDR 1832 (GSJ)</w:t>
      </w:r>
      <w:r>
        <w:rPr>
          <w:rFonts w:cs="Arial"/>
        </w:rPr>
        <w:t>.</w:t>
      </w:r>
    </w:p>
  </w:footnote>
  <w:footnote w:id="11">
    <w:p w14:paraId="52C61A3C" w14:textId="6C58E056" w:rsidR="002B46F5" w:rsidRPr="00C407B2" w:rsidRDefault="002B46F5" w:rsidP="00C407B2">
      <w:pPr>
        <w:pStyle w:val="FootnoteText"/>
        <w:rPr>
          <w:rFonts w:eastAsiaTheme="minorEastAsia"/>
          <w:sz w:val="24"/>
          <w:szCs w:val="24"/>
          <w:lang w:eastAsia="en-ZA"/>
        </w:rPr>
      </w:pPr>
      <w:r w:rsidRPr="00EE3984">
        <w:rPr>
          <w:rStyle w:val="FootnoteReference"/>
          <w:rFonts w:eastAsiaTheme="minorEastAsia"/>
        </w:rPr>
        <w:footnoteRef/>
      </w:r>
      <w:r>
        <w:rPr>
          <w:rFonts w:eastAsiaTheme="minorEastAsia"/>
          <w:sz w:val="24"/>
          <w:szCs w:val="24"/>
          <w:lang w:eastAsia="en-ZA"/>
        </w:rPr>
        <w:t xml:space="preserve"> </w:t>
      </w:r>
      <w:r>
        <w:rPr>
          <w:rFonts w:eastAsiaTheme="minorEastAsia"/>
          <w:szCs w:val="24"/>
          <w:lang w:eastAsia="en-ZA"/>
        </w:rPr>
        <w:t xml:space="preserve">See: </w:t>
      </w:r>
      <w:r w:rsidRPr="00A749DC">
        <w:rPr>
          <w:rFonts w:eastAsiaTheme="minorEastAsia"/>
          <w:i/>
          <w:szCs w:val="24"/>
          <w:lang w:eastAsia="en-ZA"/>
        </w:rPr>
        <w:t>Nelson Mandela Metropolitan Municipality</w:t>
      </w:r>
      <w:r>
        <w:rPr>
          <w:rFonts w:eastAsiaTheme="minorEastAsia"/>
          <w:i/>
          <w:szCs w:val="24"/>
          <w:lang w:eastAsia="en-ZA"/>
        </w:rPr>
        <w:t xml:space="preserve"> and others</w:t>
      </w:r>
      <w:r w:rsidRPr="00A749DC">
        <w:rPr>
          <w:rFonts w:eastAsiaTheme="minorEastAsia"/>
          <w:i/>
          <w:szCs w:val="24"/>
          <w:lang w:eastAsia="en-ZA"/>
        </w:rPr>
        <w:t xml:space="preserve"> v </w:t>
      </w:r>
      <w:proofErr w:type="spellStart"/>
      <w:r w:rsidRPr="00A749DC">
        <w:rPr>
          <w:rFonts w:eastAsiaTheme="minorEastAsia"/>
          <w:i/>
          <w:szCs w:val="24"/>
          <w:lang w:eastAsia="en-ZA"/>
        </w:rPr>
        <w:t>Greyvenouw</w:t>
      </w:r>
      <w:proofErr w:type="spellEnd"/>
      <w:r>
        <w:rPr>
          <w:rFonts w:eastAsiaTheme="minorEastAsia"/>
          <w:i/>
          <w:szCs w:val="24"/>
          <w:lang w:eastAsia="en-ZA"/>
        </w:rPr>
        <w:t xml:space="preserve"> CC and others</w:t>
      </w:r>
      <w:r>
        <w:rPr>
          <w:rFonts w:eastAsiaTheme="minorEastAsia"/>
          <w:szCs w:val="24"/>
          <w:lang w:eastAsia="en-ZA"/>
        </w:rPr>
        <w:t xml:space="preserve"> 2004 (2) SA 81 (SE) at 94C–D; </w:t>
      </w:r>
      <w:r w:rsidRPr="00A749DC">
        <w:rPr>
          <w:i/>
        </w:rPr>
        <w:t xml:space="preserve">Stock </w:t>
      </w:r>
      <w:r>
        <w:rPr>
          <w:i/>
        </w:rPr>
        <w:t xml:space="preserve">and another </w:t>
      </w:r>
      <w:r w:rsidRPr="00A749DC">
        <w:rPr>
          <w:i/>
        </w:rPr>
        <w:t>v Minister of Housing</w:t>
      </w:r>
      <w:r>
        <w:t xml:space="preserve"> </w:t>
      </w:r>
      <w:r w:rsidRPr="001D0969">
        <w:rPr>
          <w:i/>
        </w:rPr>
        <w:t xml:space="preserve">and others </w:t>
      </w:r>
      <w:r>
        <w:t>2007 (2) SA 9 (C) 12I–13A.</w:t>
      </w:r>
    </w:p>
  </w:footnote>
  <w:footnote w:id="12">
    <w:p w14:paraId="7AE038F1" w14:textId="3073765A" w:rsidR="002B46F5" w:rsidRPr="00A30DAA" w:rsidRDefault="002B46F5" w:rsidP="001F4051">
      <w:pPr>
        <w:pStyle w:val="FootnoteText"/>
        <w:rPr>
          <w:lang w:val="en-GB"/>
        </w:rPr>
      </w:pPr>
      <w:r>
        <w:rPr>
          <w:rStyle w:val="FootnoteReference"/>
        </w:rPr>
        <w:footnoteRef/>
      </w:r>
      <w:r>
        <w:t xml:space="preserve"> </w:t>
      </w:r>
      <w:proofErr w:type="spellStart"/>
      <w:r w:rsidRPr="00C55441">
        <w:rPr>
          <w:rFonts w:cs="Arial"/>
          <w:i/>
        </w:rPr>
        <w:t>Jiba</w:t>
      </w:r>
      <w:proofErr w:type="spellEnd"/>
      <w:r w:rsidRPr="00C55441">
        <w:rPr>
          <w:rFonts w:cs="Arial"/>
          <w:i/>
        </w:rPr>
        <w:t xml:space="preserve"> v Minister: Department of Justice and </w:t>
      </w:r>
      <w:r>
        <w:rPr>
          <w:rFonts w:cs="Arial"/>
          <w:i/>
        </w:rPr>
        <w:t>Constitutional Development and o</w:t>
      </w:r>
      <w:r w:rsidRPr="00C55441">
        <w:rPr>
          <w:rFonts w:cs="Arial"/>
          <w:i/>
        </w:rPr>
        <w:t xml:space="preserve">thers </w:t>
      </w:r>
      <w:r w:rsidRPr="008914E2">
        <w:rPr>
          <w:rFonts w:cs="Arial"/>
        </w:rPr>
        <w:t>(2010) 31 ILJ 112 (LC)</w:t>
      </w:r>
      <w:r>
        <w:rPr>
          <w:rFonts w:cs="Arial"/>
        </w:rPr>
        <w:t>.</w:t>
      </w:r>
    </w:p>
  </w:footnote>
  <w:footnote w:id="13">
    <w:p w14:paraId="194422A7" w14:textId="07F5AF48" w:rsidR="002B46F5" w:rsidRPr="002B2D85" w:rsidRDefault="002B46F5" w:rsidP="00370632">
      <w:pPr>
        <w:pStyle w:val="FootnoteText"/>
        <w:rPr>
          <w:lang w:val="en-GB"/>
        </w:rPr>
      </w:pPr>
      <w:r>
        <w:rPr>
          <w:rStyle w:val="FootnoteReference"/>
        </w:rPr>
        <w:footnoteRef/>
      </w:r>
      <w:r>
        <w:t xml:space="preserve"> </w:t>
      </w:r>
      <w:proofErr w:type="spellStart"/>
      <w:r w:rsidRPr="00C55441">
        <w:rPr>
          <w:rFonts w:cs="Arial"/>
          <w:i/>
        </w:rPr>
        <w:t>Maqubela</w:t>
      </w:r>
      <w:proofErr w:type="spellEnd"/>
      <w:r w:rsidRPr="00C55441">
        <w:rPr>
          <w:rFonts w:cs="Arial"/>
          <w:i/>
        </w:rPr>
        <w:t xml:space="preserve"> v </w:t>
      </w:r>
      <w:r>
        <w:rPr>
          <w:rFonts w:cs="Arial"/>
          <w:i/>
        </w:rPr>
        <w:t>South African</w:t>
      </w:r>
      <w:r w:rsidRPr="00C55441">
        <w:rPr>
          <w:rFonts w:cs="Arial"/>
          <w:i/>
        </w:rPr>
        <w:t xml:space="preserve"> Graduat</w:t>
      </w:r>
      <w:r>
        <w:rPr>
          <w:rFonts w:cs="Arial"/>
          <w:i/>
        </w:rPr>
        <w:t>es Development Association and o</w:t>
      </w:r>
      <w:r w:rsidRPr="00C55441">
        <w:rPr>
          <w:rFonts w:cs="Arial"/>
          <w:i/>
        </w:rPr>
        <w:t xml:space="preserve">thers </w:t>
      </w:r>
      <w:r w:rsidRPr="00C360E2">
        <w:rPr>
          <w:rFonts w:cs="Arial"/>
        </w:rPr>
        <w:t>(2014) 35 ILJ 2479 (LC)</w:t>
      </w:r>
      <w:r>
        <w:rPr>
          <w:rFonts w:cs="Arial"/>
        </w:rPr>
        <w:t>.</w:t>
      </w:r>
    </w:p>
  </w:footnote>
  <w:footnote w:id="14">
    <w:p w14:paraId="5AB4AB8C" w14:textId="401E62BA" w:rsidR="002B46F5" w:rsidRDefault="002B46F5">
      <w:pPr>
        <w:pStyle w:val="FootnoteText"/>
      </w:pPr>
      <w:r>
        <w:rPr>
          <w:rStyle w:val="FootnoteReference"/>
        </w:rPr>
        <w:footnoteRef/>
      </w:r>
      <w:r>
        <w:t xml:space="preserve"> Founding Affidavit, paragraph 7 at index page 9.</w:t>
      </w:r>
    </w:p>
  </w:footnote>
  <w:footnote w:id="15">
    <w:p w14:paraId="1D929E91" w14:textId="68BE59C7" w:rsidR="002B46F5" w:rsidRPr="00923949" w:rsidRDefault="002B46F5">
      <w:pPr>
        <w:pStyle w:val="FootnoteText"/>
        <w:rPr>
          <w:lang w:val="en-US"/>
        </w:rPr>
      </w:pPr>
      <w:r>
        <w:rPr>
          <w:rStyle w:val="FootnoteReference"/>
        </w:rPr>
        <w:footnoteRef/>
      </w:r>
      <w:r>
        <w:t xml:space="preserve"> </w:t>
      </w:r>
      <w:r>
        <w:rPr>
          <w:lang w:val="en-US"/>
        </w:rPr>
        <w:t>Paragraphs 19 to 23 at pages 12 and 23 of the indexed papers.</w:t>
      </w:r>
    </w:p>
  </w:footnote>
  <w:footnote w:id="16">
    <w:p w14:paraId="212902F0" w14:textId="283211C3" w:rsidR="00B06EA1" w:rsidRDefault="00B06EA1">
      <w:pPr>
        <w:pStyle w:val="FootnoteText"/>
      </w:pPr>
      <w:r>
        <w:rPr>
          <w:rStyle w:val="FootnoteReference"/>
        </w:rPr>
        <w:footnoteRef/>
      </w:r>
      <w:r>
        <w:t xml:space="preserve"> Paragraph [60]</w:t>
      </w:r>
    </w:p>
  </w:footnote>
  <w:footnote w:id="17">
    <w:p w14:paraId="0E4FD7F9" w14:textId="698709D2" w:rsidR="002B46F5" w:rsidRDefault="002B46F5">
      <w:pPr>
        <w:pStyle w:val="FootnoteText"/>
      </w:pPr>
      <w:r>
        <w:rPr>
          <w:rStyle w:val="FootnoteReference"/>
        </w:rPr>
        <w:footnoteRef/>
      </w:r>
      <w:r>
        <w:t xml:space="preserve">  Answering Affidavit, paragraph 8, index page 52. </w:t>
      </w:r>
    </w:p>
  </w:footnote>
  <w:footnote w:id="18">
    <w:p w14:paraId="7E4E8FE5" w14:textId="7C90B805" w:rsidR="002B46F5" w:rsidRDefault="002B46F5" w:rsidP="00593F54">
      <w:pPr>
        <w:pStyle w:val="FootnoteText"/>
      </w:pPr>
      <w:r>
        <w:rPr>
          <w:rStyle w:val="FootnoteReference"/>
        </w:rPr>
        <w:footnoteRef/>
      </w:r>
      <w:r>
        <w:t xml:space="preserve">  Founding Affidavit, paragraph 1.3 at index page 7.</w:t>
      </w:r>
    </w:p>
  </w:footnote>
  <w:footnote w:id="19">
    <w:p w14:paraId="2013BDC1" w14:textId="644D28DC" w:rsidR="002B46F5" w:rsidRDefault="002B46F5" w:rsidP="0033117B">
      <w:pPr>
        <w:pStyle w:val="FootnoteText"/>
      </w:pPr>
      <w:r>
        <w:rPr>
          <w:rStyle w:val="FootnoteReference"/>
        </w:rPr>
        <w:footnoteRef/>
      </w:r>
      <w:r>
        <w:t xml:space="preserve">  Founding Affidavit, paragraphs 3 and 4 at index page 7 and 8 / Confirmatory Affidavits, pages 15 to 20</w:t>
      </w:r>
    </w:p>
  </w:footnote>
  <w:footnote w:id="20">
    <w:p w14:paraId="4A00290E" w14:textId="381AD584" w:rsidR="002B46F5" w:rsidRDefault="002B46F5">
      <w:pPr>
        <w:pStyle w:val="FootnoteText"/>
      </w:pPr>
      <w:r>
        <w:rPr>
          <w:rStyle w:val="FootnoteReference"/>
        </w:rPr>
        <w:footnoteRef/>
      </w:r>
      <w:r>
        <w:t xml:space="preserve">  </w:t>
      </w:r>
      <w:r w:rsidRPr="00CF5D47">
        <w:rPr>
          <w:iCs/>
        </w:rPr>
        <w:t>Transnet Ltd v Rubenstein 2006 (1) SA 591 (SCA), para 28</w:t>
      </w:r>
      <w:r>
        <w:t>.</w:t>
      </w:r>
    </w:p>
  </w:footnote>
  <w:footnote w:id="21">
    <w:p w14:paraId="123DFE90" w14:textId="48483A62" w:rsidR="002B46F5" w:rsidRDefault="002B46F5" w:rsidP="0033117B">
      <w:pPr>
        <w:pStyle w:val="FootnoteText"/>
      </w:pPr>
      <w:r>
        <w:rPr>
          <w:rStyle w:val="FootnoteReference"/>
        </w:rPr>
        <w:footnoteRef/>
      </w:r>
      <w:r>
        <w:t xml:space="preserve">  </w:t>
      </w:r>
      <w:proofErr w:type="spellStart"/>
      <w:r w:rsidR="00993D83" w:rsidRPr="00993D83">
        <w:rPr>
          <w:iCs/>
        </w:rPr>
        <w:t>Mauerberger</w:t>
      </w:r>
      <w:proofErr w:type="spellEnd"/>
      <w:r w:rsidR="00993D83" w:rsidRPr="00993D83">
        <w:rPr>
          <w:iCs/>
        </w:rPr>
        <w:t xml:space="preserve"> v </w:t>
      </w:r>
      <w:proofErr w:type="spellStart"/>
      <w:r w:rsidR="00993D83" w:rsidRPr="00993D83">
        <w:rPr>
          <w:iCs/>
        </w:rPr>
        <w:t>Mauerberger</w:t>
      </w:r>
      <w:proofErr w:type="spellEnd"/>
      <w:r w:rsidR="00993D83" w:rsidRPr="00993D83">
        <w:rPr>
          <w:iCs/>
        </w:rPr>
        <w:t xml:space="preserve"> 1948 (3) SA 731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9309" w14:textId="4B6884F7" w:rsidR="002B46F5" w:rsidRDefault="002B46F5">
    <w:pPr>
      <w:pStyle w:val="Header"/>
      <w:jc w:val="right"/>
    </w:pPr>
    <w:r>
      <w:t xml:space="preserve">Page </w:t>
    </w:r>
    <w:r>
      <w:fldChar w:fldCharType="begin"/>
    </w:r>
    <w:r>
      <w:instrText xml:space="preserve"> PAGE   \* MERGEFORMAT </w:instrText>
    </w:r>
    <w:r>
      <w:fldChar w:fldCharType="separate"/>
    </w:r>
    <w:r w:rsidR="00023CCE">
      <w:rPr>
        <w:noProof/>
      </w:rPr>
      <w:t>17</w:t>
    </w:r>
    <w:r>
      <w:rPr>
        <w:noProof/>
      </w:rPr>
      <w:fldChar w:fldCharType="end"/>
    </w:r>
  </w:p>
  <w:p w14:paraId="6A96B6E1" w14:textId="77777777" w:rsidR="002B46F5" w:rsidRDefault="002B4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D39"/>
    <w:multiLevelType w:val="hybridMultilevel"/>
    <w:tmpl w:val="1BA051A4"/>
    <w:lvl w:ilvl="0" w:tplc="8B5CB6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E4C9C"/>
    <w:multiLevelType w:val="multilevel"/>
    <w:tmpl w:val="60B42D86"/>
    <w:lvl w:ilvl="0">
      <w:start w:val="21"/>
      <w:numFmt w:val="decimal"/>
      <w:lvlText w:val="%1"/>
      <w:lvlJc w:val="left"/>
      <w:pPr>
        <w:ind w:left="470" w:hanging="470"/>
      </w:pPr>
      <w:rPr>
        <w:rFonts w:hint="default"/>
      </w:rPr>
    </w:lvl>
    <w:lvl w:ilvl="1">
      <w:start w:val="1"/>
      <w:numFmt w:val="decimal"/>
      <w:lvlText w:val="%1.%2"/>
      <w:lvlJc w:val="left"/>
      <w:pPr>
        <w:ind w:left="3339" w:hanging="47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8654" w:hanging="144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4752" w:hanging="1800"/>
      </w:pPr>
      <w:rPr>
        <w:rFonts w:hint="default"/>
      </w:rPr>
    </w:lvl>
  </w:abstractNum>
  <w:abstractNum w:abstractNumId="2">
    <w:nsid w:val="12741569"/>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2870820"/>
    <w:multiLevelType w:val="hybridMultilevel"/>
    <w:tmpl w:val="654461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20524B"/>
    <w:multiLevelType w:val="hybridMultilevel"/>
    <w:tmpl w:val="444A4D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A56171"/>
    <w:multiLevelType w:val="hybridMultilevel"/>
    <w:tmpl w:val="2F7C1D62"/>
    <w:lvl w:ilvl="0" w:tplc="58368F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35645D"/>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BA673C7"/>
    <w:multiLevelType w:val="hybridMultilevel"/>
    <w:tmpl w:val="E0968A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68B4F53"/>
    <w:multiLevelType w:val="multilevel"/>
    <w:tmpl w:val="F38E586A"/>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0">
    <w:nsid w:val="2E03578C"/>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30C0679"/>
    <w:multiLevelType w:val="hybridMultilevel"/>
    <w:tmpl w:val="326A7F6C"/>
    <w:lvl w:ilvl="0" w:tplc="95BCC07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nsid w:val="339C3151"/>
    <w:multiLevelType w:val="hybridMultilevel"/>
    <w:tmpl w:val="393C12AC"/>
    <w:lvl w:ilvl="0" w:tplc="2BBC2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9E6090"/>
    <w:multiLevelType w:val="multilevel"/>
    <w:tmpl w:val="E04C8540"/>
    <w:lvl w:ilvl="0">
      <w:start w:val="1"/>
      <w:numFmt w:val="decimal"/>
      <w:lvlText w:val="[%1]"/>
      <w:lvlJc w:val="left"/>
      <w:pPr>
        <w:ind w:left="470" w:hanging="470"/>
      </w:pPr>
      <w:rPr>
        <w:rFonts w:hint="default"/>
      </w:rPr>
    </w:lvl>
    <w:lvl w:ilvl="1">
      <w:start w:val="1"/>
      <w:numFmt w:val="lowerLetter"/>
      <w:lvlText w:val="(%2)"/>
      <w:lvlJc w:val="left"/>
      <w:pPr>
        <w:ind w:left="3229" w:hanging="36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8654" w:hanging="144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4752" w:hanging="1800"/>
      </w:pPr>
      <w:rPr>
        <w:rFonts w:hint="default"/>
      </w:rPr>
    </w:lvl>
  </w:abstractNum>
  <w:abstractNum w:abstractNumId="14">
    <w:nsid w:val="34D46C47"/>
    <w:multiLevelType w:val="hybridMultilevel"/>
    <w:tmpl w:val="257693C6"/>
    <w:lvl w:ilvl="0" w:tplc="B7DCE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8460962"/>
    <w:multiLevelType w:val="multilevel"/>
    <w:tmpl w:val="957E7B06"/>
    <w:lvl w:ilvl="0">
      <w:start w:val="1"/>
      <w:numFmt w:val="decimal"/>
      <w:lvlText w:val="%1."/>
      <w:lvlJc w:val="left"/>
      <w:pPr>
        <w:ind w:left="502" w:hanging="360"/>
      </w:pPr>
      <w:rPr>
        <w:rFonts w:ascii="Arial" w:hAnsi="Arial" w:cs="Arial" w:hint="default"/>
        <w:b w:val="0"/>
        <w:color w:val="auto"/>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8A95F9F"/>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BA31495"/>
    <w:multiLevelType w:val="hybridMultilevel"/>
    <w:tmpl w:val="614E5A70"/>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182D7E"/>
    <w:multiLevelType w:val="hybridMultilevel"/>
    <w:tmpl w:val="3B769FF4"/>
    <w:lvl w:ilvl="0" w:tplc="6CDC8C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255E4"/>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1">
    <w:nsid w:val="48D66D0F"/>
    <w:multiLevelType w:val="hybridMultilevel"/>
    <w:tmpl w:val="79A2B90E"/>
    <w:lvl w:ilvl="0" w:tplc="05ACD1AE">
      <w:start w:val="1"/>
      <w:numFmt w:val="lowerLetter"/>
      <w:lvlText w:val="(%1)"/>
      <w:lvlJc w:val="left"/>
      <w:pPr>
        <w:ind w:left="3523" w:hanging="360"/>
      </w:pPr>
      <w:rPr>
        <w:rFonts w:hint="default"/>
      </w:rPr>
    </w:lvl>
    <w:lvl w:ilvl="1" w:tplc="1C090019" w:tentative="1">
      <w:start w:val="1"/>
      <w:numFmt w:val="lowerLetter"/>
      <w:lvlText w:val="%2."/>
      <w:lvlJc w:val="left"/>
      <w:pPr>
        <w:ind w:left="4243" w:hanging="360"/>
      </w:pPr>
    </w:lvl>
    <w:lvl w:ilvl="2" w:tplc="1C09001B" w:tentative="1">
      <w:start w:val="1"/>
      <w:numFmt w:val="lowerRoman"/>
      <w:lvlText w:val="%3."/>
      <w:lvlJc w:val="right"/>
      <w:pPr>
        <w:ind w:left="4963" w:hanging="180"/>
      </w:pPr>
    </w:lvl>
    <w:lvl w:ilvl="3" w:tplc="1C09000F" w:tentative="1">
      <w:start w:val="1"/>
      <w:numFmt w:val="decimal"/>
      <w:lvlText w:val="%4."/>
      <w:lvlJc w:val="left"/>
      <w:pPr>
        <w:ind w:left="5683" w:hanging="360"/>
      </w:pPr>
    </w:lvl>
    <w:lvl w:ilvl="4" w:tplc="1C090019" w:tentative="1">
      <w:start w:val="1"/>
      <w:numFmt w:val="lowerLetter"/>
      <w:lvlText w:val="%5."/>
      <w:lvlJc w:val="left"/>
      <w:pPr>
        <w:ind w:left="6403" w:hanging="360"/>
      </w:pPr>
    </w:lvl>
    <w:lvl w:ilvl="5" w:tplc="1C09001B" w:tentative="1">
      <w:start w:val="1"/>
      <w:numFmt w:val="lowerRoman"/>
      <w:lvlText w:val="%6."/>
      <w:lvlJc w:val="right"/>
      <w:pPr>
        <w:ind w:left="7123" w:hanging="180"/>
      </w:pPr>
    </w:lvl>
    <w:lvl w:ilvl="6" w:tplc="1C09000F" w:tentative="1">
      <w:start w:val="1"/>
      <w:numFmt w:val="decimal"/>
      <w:lvlText w:val="%7."/>
      <w:lvlJc w:val="left"/>
      <w:pPr>
        <w:ind w:left="7843" w:hanging="360"/>
      </w:pPr>
    </w:lvl>
    <w:lvl w:ilvl="7" w:tplc="1C090019" w:tentative="1">
      <w:start w:val="1"/>
      <w:numFmt w:val="lowerLetter"/>
      <w:lvlText w:val="%8."/>
      <w:lvlJc w:val="left"/>
      <w:pPr>
        <w:ind w:left="8563" w:hanging="360"/>
      </w:pPr>
    </w:lvl>
    <w:lvl w:ilvl="8" w:tplc="1C09001B" w:tentative="1">
      <w:start w:val="1"/>
      <w:numFmt w:val="lowerRoman"/>
      <w:lvlText w:val="%9."/>
      <w:lvlJc w:val="right"/>
      <w:pPr>
        <w:ind w:left="9283" w:hanging="180"/>
      </w:pPr>
    </w:lvl>
  </w:abstractNum>
  <w:abstractNum w:abstractNumId="22">
    <w:nsid w:val="48D72E03"/>
    <w:multiLevelType w:val="hybridMultilevel"/>
    <w:tmpl w:val="B8D6A1BA"/>
    <w:lvl w:ilvl="0" w:tplc="354024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966315"/>
    <w:multiLevelType w:val="hybridMultilevel"/>
    <w:tmpl w:val="44000F3E"/>
    <w:lvl w:ilvl="0" w:tplc="189EEA0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8B8586F"/>
    <w:multiLevelType w:val="hybridMultilevel"/>
    <w:tmpl w:val="03B6D7A4"/>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8ED53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107514"/>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BAA5621"/>
    <w:multiLevelType w:val="hybridMultilevel"/>
    <w:tmpl w:val="1D7449FE"/>
    <w:lvl w:ilvl="0" w:tplc="54B06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06C58B8"/>
    <w:multiLevelType w:val="multilevel"/>
    <w:tmpl w:val="38E61ED2"/>
    <w:lvl w:ilvl="0">
      <w:start w:val="1"/>
      <w:numFmt w:val="decimal"/>
      <w:lvlText w:val="[%1]"/>
      <w:lvlJc w:val="left"/>
      <w:pPr>
        <w:ind w:left="470" w:hanging="470"/>
      </w:pPr>
      <w:rPr>
        <w:rFonts w:hint="default"/>
      </w:rPr>
    </w:lvl>
    <w:lvl w:ilvl="1">
      <w:start w:val="1"/>
      <w:numFmt w:val="decimal"/>
      <w:lvlText w:val="%1.%2"/>
      <w:lvlJc w:val="left"/>
      <w:pPr>
        <w:ind w:left="3339" w:hanging="47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8654" w:hanging="144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4752" w:hanging="1800"/>
      </w:pPr>
      <w:rPr>
        <w:rFonts w:hint="default"/>
      </w:rPr>
    </w:lvl>
  </w:abstractNum>
  <w:abstractNum w:abstractNumId="29">
    <w:nsid w:val="68F0139F"/>
    <w:multiLevelType w:val="hybridMultilevel"/>
    <w:tmpl w:val="BD029D06"/>
    <w:lvl w:ilvl="0" w:tplc="1C090017">
      <w:start w:val="1"/>
      <w:numFmt w:val="lowerLetter"/>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30">
    <w:nsid w:val="6B100F8E"/>
    <w:multiLevelType w:val="hybridMultilevel"/>
    <w:tmpl w:val="DE68F0C0"/>
    <w:lvl w:ilvl="0" w:tplc="B7D8632C">
      <w:start w:val="1"/>
      <w:numFmt w:val="upperLetter"/>
      <w:lvlText w:val="%1."/>
      <w:lvlJc w:val="left"/>
      <w:pPr>
        <w:ind w:left="720" w:hanging="360"/>
      </w:pPr>
      <w:rPr>
        <w:rFonts w:hint="default"/>
      </w:rPr>
    </w:lvl>
    <w:lvl w:ilvl="1" w:tplc="EC90EDE4" w:tentative="1">
      <w:start w:val="1"/>
      <w:numFmt w:val="lowerLetter"/>
      <w:lvlText w:val="%2."/>
      <w:lvlJc w:val="left"/>
      <w:pPr>
        <w:ind w:left="1440" w:hanging="360"/>
      </w:pPr>
    </w:lvl>
    <w:lvl w:ilvl="2" w:tplc="C33EC37A" w:tentative="1">
      <w:start w:val="1"/>
      <w:numFmt w:val="lowerRoman"/>
      <w:lvlText w:val="%3."/>
      <w:lvlJc w:val="right"/>
      <w:pPr>
        <w:ind w:left="2160" w:hanging="180"/>
      </w:pPr>
    </w:lvl>
    <w:lvl w:ilvl="3" w:tplc="B13CEEC2" w:tentative="1">
      <w:start w:val="1"/>
      <w:numFmt w:val="decimal"/>
      <w:lvlText w:val="%4."/>
      <w:lvlJc w:val="left"/>
      <w:pPr>
        <w:ind w:left="2880" w:hanging="360"/>
      </w:pPr>
    </w:lvl>
    <w:lvl w:ilvl="4" w:tplc="14766154" w:tentative="1">
      <w:start w:val="1"/>
      <w:numFmt w:val="lowerLetter"/>
      <w:lvlText w:val="%5."/>
      <w:lvlJc w:val="left"/>
      <w:pPr>
        <w:ind w:left="3600" w:hanging="360"/>
      </w:pPr>
    </w:lvl>
    <w:lvl w:ilvl="5" w:tplc="5E509C78" w:tentative="1">
      <w:start w:val="1"/>
      <w:numFmt w:val="lowerRoman"/>
      <w:lvlText w:val="%6."/>
      <w:lvlJc w:val="right"/>
      <w:pPr>
        <w:ind w:left="4320" w:hanging="180"/>
      </w:pPr>
    </w:lvl>
    <w:lvl w:ilvl="6" w:tplc="140EA1CA" w:tentative="1">
      <w:start w:val="1"/>
      <w:numFmt w:val="decimal"/>
      <w:lvlText w:val="%7."/>
      <w:lvlJc w:val="left"/>
      <w:pPr>
        <w:ind w:left="5040" w:hanging="360"/>
      </w:pPr>
    </w:lvl>
    <w:lvl w:ilvl="7" w:tplc="2CF4ECB8" w:tentative="1">
      <w:start w:val="1"/>
      <w:numFmt w:val="lowerLetter"/>
      <w:lvlText w:val="%8."/>
      <w:lvlJc w:val="left"/>
      <w:pPr>
        <w:ind w:left="5760" w:hanging="360"/>
      </w:pPr>
    </w:lvl>
    <w:lvl w:ilvl="8" w:tplc="F8B49320" w:tentative="1">
      <w:start w:val="1"/>
      <w:numFmt w:val="lowerRoman"/>
      <w:lvlText w:val="%9."/>
      <w:lvlJc w:val="right"/>
      <w:pPr>
        <w:ind w:left="6480" w:hanging="180"/>
      </w:pPr>
    </w:lvl>
  </w:abstractNum>
  <w:abstractNum w:abstractNumId="31">
    <w:nsid w:val="6BAA3A03"/>
    <w:multiLevelType w:val="multilevel"/>
    <w:tmpl w:val="E04C8540"/>
    <w:lvl w:ilvl="0">
      <w:start w:val="1"/>
      <w:numFmt w:val="decimal"/>
      <w:lvlText w:val="[%1]"/>
      <w:lvlJc w:val="left"/>
      <w:pPr>
        <w:ind w:left="470" w:hanging="470"/>
      </w:pPr>
      <w:rPr>
        <w:rFonts w:hint="default"/>
      </w:rPr>
    </w:lvl>
    <w:lvl w:ilvl="1">
      <w:start w:val="1"/>
      <w:numFmt w:val="lowerLetter"/>
      <w:lvlText w:val="(%2)"/>
      <w:lvlJc w:val="left"/>
      <w:pPr>
        <w:ind w:left="3229" w:hanging="36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8654" w:hanging="144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4752" w:hanging="1800"/>
      </w:pPr>
      <w:rPr>
        <w:rFonts w:hint="default"/>
      </w:rPr>
    </w:lvl>
  </w:abstractNum>
  <w:abstractNum w:abstractNumId="32">
    <w:nsid w:val="6DB34422"/>
    <w:multiLevelType w:val="hybridMultilevel"/>
    <w:tmpl w:val="16F0562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3">
    <w:nsid w:val="6E7E2865"/>
    <w:multiLevelType w:val="hybridMultilevel"/>
    <w:tmpl w:val="7EF02296"/>
    <w:lvl w:ilvl="0" w:tplc="436E452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6ED271B"/>
    <w:multiLevelType w:val="hybridMultilevel"/>
    <w:tmpl w:val="8FD8DA92"/>
    <w:lvl w:ilvl="0" w:tplc="0CBA7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A31B7F"/>
    <w:multiLevelType w:val="hybridMultilevel"/>
    <w:tmpl w:val="B3DA2D28"/>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21"/>
  </w:num>
  <w:num w:numId="5">
    <w:abstractNumId w:val="0"/>
  </w:num>
  <w:num w:numId="6">
    <w:abstractNumId w:val="27"/>
  </w:num>
  <w:num w:numId="7">
    <w:abstractNumId w:val="5"/>
  </w:num>
  <w:num w:numId="8">
    <w:abstractNumId w:val="23"/>
  </w:num>
  <w:num w:numId="9">
    <w:abstractNumId w:val="19"/>
  </w:num>
  <w:num w:numId="10">
    <w:abstractNumId w:val="2"/>
  </w:num>
  <w:num w:numId="11">
    <w:abstractNumId w:val="16"/>
  </w:num>
  <w:num w:numId="12">
    <w:abstractNumId w:val="30"/>
  </w:num>
  <w:num w:numId="13">
    <w:abstractNumId w:val="10"/>
  </w:num>
  <w:num w:numId="14">
    <w:abstractNumId w:val="29"/>
  </w:num>
  <w:num w:numId="15">
    <w:abstractNumId w:val="32"/>
  </w:num>
  <w:num w:numId="16">
    <w:abstractNumId w:val="7"/>
  </w:num>
  <w:num w:numId="17">
    <w:abstractNumId w:val="26"/>
  </w:num>
  <w:num w:numId="18">
    <w:abstractNumId w:val="25"/>
  </w:num>
  <w:num w:numId="19">
    <w:abstractNumId w:val="6"/>
  </w:num>
  <w:num w:numId="20">
    <w:abstractNumId w:val="15"/>
  </w:num>
  <w:num w:numId="21">
    <w:abstractNumId w:val="14"/>
  </w:num>
  <w:num w:numId="22">
    <w:abstractNumId w:val="18"/>
  </w:num>
  <w:num w:numId="23">
    <w:abstractNumId w:val="22"/>
  </w:num>
  <w:num w:numId="24">
    <w:abstractNumId w:val="33"/>
  </w:num>
  <w:num w:numId="25">
    <w:abstractNumId w:val="3"/>
  </w:num>
  <w:num w:numId="26">
    <w:abstractNumId w:val="4"/>
  </w:num>
  <w:num w:numId="27">
    <w:abstractNumId w:val="24"/>
  </w:num>
  <w:num w:numId="28">
    <w:abstractNumId w:val="17"/>
  </w:num>
  <w:num w:numId="29">
    <w:abstractNumId w:val="35"/>
  </w:num>
  <w:num w:numId="30">
    <w:abstractNumId w:val="11"/>
  </w:num>
  <w:num w:numId="31">
    <w:abstractNumId w:val="20"/>
  </w:num>
  <w:num w:numId="32">
    <w:abstractNumId w:val="1"/>
  </w:num>
  <w:num w:numId="33">
    <w:abstractNumId w:val="13"/>
  </w:num>
  <w:num w:numId="34">
    <w:abstractNumId w:val="28"/>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3B97"/>
    <w:rsid w:val="00005A77"/>
    <w:rsid w:val="000064DA"/>
    <w:rsid w:val="00010474"/>
    <w:rsid w:val="00011BC8"/>
    <w:rsid w:val="00011F9F"/>
    <w:rsid w:val="00012CF9"/>
    <w:rsid w:val="0001372D"/>
    <w:rsid w:val="00015D62"/>
    <w:rsid w:val="00016CA3"/>
    <w:rsid w:val="00017E9D"/>
    <w:rsid w:val="00017EC6"/>
    <w:rsid w:val="00022562"/>
    <w:rsid w:val="00023CCE"/>
    <w:rsid w:val="00027035"/>
    <w:rsid w:val="00030276"/>
    <w:rsid w:val="00033308"/>
    <w:rsid w:val="00033C9C"/>
    <w:rsid w:val="0003496B"/>
    <w:rsid w:val="0003543D"/>
    <w:rsid w:val="000357A8"/>
    <w:rsid w:val="00037527"/>
    <w:rsid w:val="00042C2B"/>
    <w:rsid w:val="000433FC"/>
    <w:rsid w:val="00044B02"/>
    <w:rsid w:val="00045086"/>
    <w:rsid w:val="00050273"/>
    <w:rsid w:val="000517EF"/>
    <w:rsid w:val="0005725E"/>
    <w:rsid w:val="00070EC5"/>
    <w:rsid w:val="000731F6"/>
    <w:rsid w:val="00073412"/>
    <w:rsid w:val="00075030"/>
    <w:rsid w:val="0007697F"/>
    <w:rsid w:val="00080A2D"/>
    <w:rsid w:val="000811DB"/>
    <w:rsid w:val="000929C2"/>
    <w:rsid w:val="00093571"/>
    <w:rsid w:val="00094553"/>
    <w:rsid w:val="000A4BCB"/>
    <w:rsid w:val="000A7191"/>
    <w:rsid w:val="000A7E7F"/>
    <w:rsid w:val="000B15D7"/>
    <w:rsid w:val="000B19AF"/>
    <w:rsid w:val="000C0C37"/>
    <w:rsid w:val="000C199A"/>
    <w:rsid w:val="000C2138"/>
    <w:rsid w:val="000C2646"/>
    <w:rsid w:val="000C2BC2"/>
    <w:rsid w:val="000C5487"/>
    <w:rsid w:val="000C55EC"/>
    <w:rsid w:val="000D1CDB"/>
    <w:rsid w:val="000D5403"/>
    <w:rsid w:val="000E31A0"/>
    <w:rsid w:val="000F27BA"/>
    <w:rsid w:val="000F2D7F"/>
    <w:rsid w:val="00101EFE"/>
    <w:rsid w:val="00104251"/>
    <w:rsid w:val="00104542"/>
    <w:rsid w:val="00106246"/>
    <w:rsid w:val="00111179"/>
    <w:rsid w:val="00111DBF"/>
    <w:rsid w:val="0011554D"/>
    <w:rsid w:val="00115E6B"/>
    <w:rsid w:val="00120835"/>
    <w:rsid w:val="00123A46"/>
    <w:rsid w:val="00124313"/>
    <w:rsid w:val="00127005"/>
    <w:rsid w:val="00127D59"/>
    <w:rsid w:val="00130B97"/>
    <w:rsid w:val="00134F3C"/>
    <w:rsid w:val="00141C2F"/>
    <w:rsid w:val="001448F5"/>
    <w:rsid w:val="00144939"/>
    <w:rsid w:val="00147052"/>
    <w:rsid w:val="0015541D"/>
    <w:rsid w:val="00155DC6"/>
    <w:rsid w:val="001562D3"/>
    <w:rsid w:val="001567C1"/>
    <w:rsid w:val="0016449C"/>
    <w:rsid w:val="00170250"/>
    <w:rsid w:val="00170617"/>
    <w:rsid w:val="00176A78"/>
    <w:rsid w:val="00177AF8"/>
    <w:rsid w:val="00177F93"/>
    <w:rsid w:val="00182F4A"/>
    <w:rsid w:val="00184FF0"/>
    <w:rsid w:val="00185320"/>
    <w:rsid w:val="001871C2"/>
    <w:rsid w:val="001903E3"/>
    <w:rsid w:val="00190548"/>
    <w:rsid w:val="001907DD"/>
    <w:rsid w:val="00195020"/>
    <w:rsid w:val="00197E37"/>
    <w:rsid w:val="001A353D"/>
    <w:rsid w:val="001A49FF"/>
    <w:rsid w:val="001A5620"/>
    <w:rsid w:val="001A5840"/>
    <w:rsid w:val="001A6B83"/>
    <w:rsid w:val="001B25A4"/>
    <w:rsid w:val="001B3741"/>
    <w:rsid w:val="001B4947"/>
    <w:rsid w:val="001B7390"/>
    <w:rsid w:val="001C143E"/>
    <w:rsid w:val="001C48D2"/>
    <w:rsid w:val="001C55ED"/>
    <w:rsid w:val="001C7F5D"/>
    <w:rsid w:val="001D0024"/>
    <w:rsid w:val="001D0969"/>
    <w:rsid w:val="001D14DA"/>
    <w:rsid w:val="001D1ADA"/>
    <w:rsid w:val="001D5708"/>
    <w:rsid w:val="001E0AB2"/>
    <w:rsid w:val="001E2172"/>
    <w:rsid w:val="001E34AF"/>
    <w:rsid w:val="001E5D55"/>
    <w:rsid w:val="001E61F9"/>
    <w:rsid w:val="001E689F"/>
    <w:rsid w:val="001F3375"/>
    <w:rsid w:val="001F4051"/>
    <w:rsid w:val="001F424D"/>
    <w:rsid w:val="00200B0C"/>
    <w:rsid w:val="00206349"/>
    <w:rsid w:val="002161E2"/>
    <w:rsid w:val="002255FB"/>
    <w:rsid w:val="00233028"/>
    <w:rsid w:val="00234E67"/>
    <w:rsid w:val="00235239"/>
    <w:rsid w:val="00236276"/>
    <w:rsid w:val="00241CD0"/>
    <w:rsid w:val="00244EBC"/>
    <w:rsid w:val="002458F1"/>
    <w:rsid w:val="0025413A"/>
    <w:rsid w:val="00264D7A"/>
    <w:rsid w:val="0027209E"/>
    <w:rsid w:val="002813BE"/>
    <w:rsid w:val="0028230E"/>
    <w:rsid w:val="002856AF"/>
    <w:rsid w:val="00286244"/>
    <w:rsid w:val="00287C70"/>
    <w:rsid w:val="00291CD1"/>
    <w:rsid w:val="002B2D85"/>
    <w:rsid w:val="002B46F5"/>
    <w:rsid w:val="002B4A3C"/>
    <w:rsid w:val="002B79C1"/>
    <w:rsid w:val="002C143A"/>
    <w:rsid w:val="002C3074"/>
    <w:rsid w:val="002C4017"/>
    <w:rsid w:val="002D1A91"/>
    <w:rsid w:val="002D1DAE"/>
    <w:rsid w:val="002D3891"/>
    <w:rsid w:val="002F138A"/>
    <w:rsid w:val="002F267E"/>
    <w:rsid w:val="002F4445"/>
    <w:rsid w:val="002F4568"/>
    <w:rsid w:val="0030161B"/>
    <w:rsid w:val="00313022"/>
    <w:rsid w:val="0031315F"/>
    <w:rsid w:val="00316704"/>
    <w:rsid w:val="00317C78"/>
    <w:rsid w:val="00322598"/>
    <w:rsid w:val="003258B0"/>
    <w:rsid w:val="003264A4"/>
    <w:rsid w:val="0033117B"/>
    <w:rsid w:val="00335A47"/>
    <w:rsid w:val="00337979"/>
    <w:rsid w:val="00345847"/>
    <w:rsid w:val="0035115B"/>
    <w:rsid w:val="003545BA"/>
    <w:rsid w:val="00355A13"/>
    <w:rsid w:val="00356F94"/>
    <w:rsid w:val="00362826"/>
    <w:rsid w:val="0036365D"/>
    <w:rsid w:val="00364ACF"/>
    <w:rsid w:val="00365D04"/>
    <w:rsid w:val="0037002C"/>
    <w:rsid w:val="00370632"/>
    <w:rsid w:val="00376F6A"/>
    <w:rsid w:val="003772F9"/>
    <w:rsid w:val="00380E04"/>
    <w:rsid w:val="0038132A"/>
    <w:rsid w:val="00381707"/>
    <w:rsid w:val="003817B8"/>
    <w:rsid w:val="00382962"/>
    <w:rsid w:val="00391035"/>
    <w:rsid w:val="00393DB1"/>
    <w:rsid w:val="00394527"/>
    <w:rsid w:val="0039533D"/>
    <w:rsid w:val="0039691A"/>
    <w:rsid w:val="003A01EA"/>
    <w:rsid w:val="003A040A"/>
    <w:rsid w:val="003A0BDC"/>
    <w:rsid w:val="003A2100"/>
    <w:rsid w:val="003A25FD"/>
    <w:rsid w:val="003A441E"/>
    <w:rsid w:val="003A7450"/>
    <w:rsid w:val="003B1791"/>
    <w:rsid w:val="003B1C5D"/>
    <w:rsid w:val="003B21A2"/>
    <w:rsid w:val="003B5A47"/>
    <w:rsid w:val="003C4CAA"/>
    <w:rsid w:val="003C6F2E"/>
    <w:rsid w:val="003C7C9E"/>
    <w:rsid w:val="003D57E1"/>
    <w:rsid w:val="003E5A70"/>
    <w:rsid w:val="003F0C8A"/>
    <w:rsid w:val="003F169C"/>
    <w:rsid w:val="003F36D9"/>
    <w:rsid w:val="003F3E0E"/>
    <w:rsid w:val="00403DB7"/>
    <w:rsid w:val="0040418A"/>
    <w:rsid w:val="00411C8D"/>
    <w:rsid w:val="004120D1"/>
    <w:rsid w:val="004121D6"/>
    <w:rsid w:val="004143C2"/>
    <w:rsid w:val="00416DCD"/>
    <w:rsid w:val="004222B5"/>
    <w:rsid w:val="00422EE5"/>
    <w:rsid w:val="00423067"/>
    <w:rsid w:val="00434987"/>
    <w:rsid w:val="00435CC9"/>
    <w:rsid w:val="00435D4C"/>
    <w:rsid w:val="00436B10"/>
    <w:rsid w:val="004404D1"/>
    <w:rsid w:val="00440A70"/>
    <w:rsid w:val="00440CC4"/>
    <w:rsid w:val="00444241"/>
    <w:rsid w:val="004476C6"/>
    <w:rsid w:val="004523E8"/>
    <w:rsid w:val="004570FE"/>
    <w:rsid w:val="00462543"/>
    <w:rsid w:val="00463D7E"/>
    <w:rsid w:val="004645DA"/>
    <w:rsid w:val="00467091"/>
    <w:rsid w:val="00476948"/>
    <w:rsid w:val="0048082A"/>
    <w:rsid w:val="00485D3D"/>
    <w:rsid w:val="004935EC"/>
    <w:rsid w:val="004A1E29"/>
    <w:rsid w:val="004C0F38"/>
    <w:rsid w:val="004C10F7"/>
    <w:rsid w:val="004C2501"/>
    <w:rsid w:val="004C3305"/>
    <w:rsid w:val="004D30FA"/>
    <w:rsid w:val="004D5999"/>
    <w:rsid w:val="004E01AE"/>
    <w:rsid w:val="004E1450"/>
    <w:rsid w:val="004E1573"/>
    <w:rsid w:val="004E7100"/>
    <w:rsid w:val="004E7EC7"/>
    <w:rsid w:val="004F11D9"/>
    <w:rsid w:val="004F24F3"/>
    <w:rsid w:val="004F2F00"/>
    <w:rsid w:val="004F4074"/>
    <w:rsid w:val="004F5683"/>
    <w:rsid w:val="0050112C"/>
    <w:rsid w:val="00501A1B"/>
    <w:rsid w:val="0050239D"/>
    <w:rsid w:val="005040FD"/>
    <w:rsid w:val="00504FFA"/>
    <w:rsid w:val="0051210E"/>
    <w:rsid w:val="0051653D"/>
    <w:rsid w:val="005231C6"/>
    <w:rsid w:val="00527021"/>
    <w:rsid w:val="00527F88"/>
    <w:rsid w:val="005330BA"/>
    <w:rsid w:val="005337B3"/>
    <w:rsid w:val="00536D9C"/>
    <w:rsid w:val="005372EC"/>
    <w:rsid w:val="00541A46"/>
    <w:rsid w:val="00542A8E"/>
    <w:rsid w:val="00543F82"/>
    <w:rsid w:val="00552070"/>
    <w:rsid w:val="00552B84"/>
    <w:rsid w:val="00552C6E"/>
    <w:rsid w:val="005620A9"/>
    <w:rsid w:val="00562EC3"/>
    <w:rsid w:val="00563E8C"/>
    <w:rsid w:val="00564878"/>
    <w:rsid w:val="00566060"/>
    <w:rsid w:val="00571731"/>
    <w:rsid w:val="00572652"/>
    <w:rsid w:val="00572697"/>
    <w:rsid w:val="00573F12"/>
    <w:rsid w:val="0057463C"/>
    <w:rsid w:val="00574C84"/>
    <w:rsid w:val="00575206"/>
    <w:rsid w:val="0057524A"/>
    <w:rsid w:val="00575E63"/>
    <w:rsid w:val="00577A4D"/>
    <w:rsid w:val="00580EFC"/>
    <w:rsid w:val="00581D30"/>
    <w:rsid w:val="00583BEE"/>
    <w:rsid w:val="00584225"/>
    <w:rsid w:val="005849C7"/>
    <w:rsid w:val="005906CB"/>
    <w:rsid w:val="0059189F"/>
    <w:rsid w:val="00592814"/>
    <w:rsid w:val="00593F54"/>
    <w:rsid w:val="0059439A"/>
    <w:rsid w:val="00595F85"/>
    <w:rsid w:val="005A28E7"/>
    <w:rsid w:val="005A47AA"/>
    <w:rsid w:val="005B0C81"/>
    <w:rsid w:val="005B2A5F"/>
    <w:rsid w:val="005B31FA"/>
    <w:rsid w:val="005B32F1"/>
    <w:rsid w:val="005C27D1"/>
    <w:rsid w:val="005C2939"/>
    <w:rsid w:val="005C54E4"/>
    <w:rsid w:val="005C7F06"/>
    <w:rsid w:val="005D3127"/>
    <w:rsid w:val="005D7654"/>
    <w:rsid w:val="005E00C5"/>
    <w:rsid w:val="005E3002"/>
    <w:rsid w:val="005E4796"/>
    <w:rsid w:val="005F1268"/>
    <w:rsid w:val="005F6AB1"/>
    <w:rsid w:val="00600CF4"/>
    <w:rsid w:val="00603C43"/>
    <w:rsid w:val="00606116"/>
    <w:rsid w:val="00616272"/>
    <w:rsid w:val="00616A9F"/>
    <w:rsid w:val="00617142"/>
    <w:rsid w:val="00617727"/>
    <w:rsid w:val="006304E1"/>
    <w:rsid w:val="00630B44"/>
    <w:rsid w:val="0063360E"/>
    <w:rsid w:val="00633F03"/>
    <w:rsid w:val="00637327"/>
    <w:rsid w:val="0064379B"/>
    <w:rsid w:val="00645B09"/>
    <w:rsid w:val="00647511"/>
    <w:rsid w:val="0065119A"/>
    <w:rsid w:val="006537E4"/>
    <w:rsid w:val="00653DC0"/>
    <w:rsid w:val="00655DCA"/>
    <w:rsid w:val="00657020"/>
    <w:rsid w:val="006573FD"/>
    <w:rsid w:val="00657606"/>
    <w:rsid w:val="006622AD"/>
    <w:rsid w:val="00664B01"/>
    <w:rsid w:val="006663B9"/>
    <w:rsid w:val="0067758F"/>
    <w:rsid w:val="0067784C"/>
    <w:rsid w:val="006807D5"/>
    <w:rsid w:val="00686D06"/>
    <w:rsid w:val="00695E42"/>
    <w:rsid w:val="006A7804"/>
    <w:rsid w:val="006B2F21"/>
    <w:rsid w:val="006B3368"/>
    <w:rsid w:val="006B3C85"/>
    <w:rsid w:val="006B5FA8"/>
    <w:rsid w:val="006B6BF4"/>
    <w:rsid w:val="006C564A"/>
    <w:rsid w:val="006D2DBE"/>
    <w:rsid w:val="006D794A"/>
    <w:rsid w:val="006D7CD5"/>
    <w:rsid w:val="006E227A"/>
    <w:rsid w:val="006E3759"/>
    <w:rsid w:val="00700249"/>
    <w:rsid w:val="007012F9"/>
    <w:rsid w:val="00704172"/>
    <w:rsid w:val="007041BA"/>
    <w:rsid w:val="00704D2D"/>
    <w:rsid w:val="0071285D"/>
    <w:rsid w:val="00713463"/>
    <w:rsid w:val="0071420A"/>
    <w:rsid w:val="00714875"/>
    <w:rsid w:val="00714E0E"/>
    <w:rsid w:val="00714F66"/>
    <w:rsid w:val="007167F8"/>
    <w:rsid w:val="00717C17"/>
    <w:rsid w:val="00722CEC"/>
    <w:rsid w:val="00734D6D"/>
    <w:rsid w:val="00745B2F"/>
    <w:rsid w:val="007538D1"/>
    <w:rsid w:val="00753B76"/>
    <w:rsid w:val="00757AC9"/>
    <w:rsid w:val="00757B60"/>
    <w:rsid w:val="00761995"/>
    <w:rsid w:val="00762459"/>
    <w:rsid w:val="00767FAF"/>
    <w:rsid w:val="00773AC1"/>
    <w:rsid w:val="00783BF6"/>
    <w:rsid w:val="00783F76"/>
    <w:rsid w:val="00787178"/>
    <w:rsid w:val="00795776"/>
    <w:rsid w:val="0079606B"/>
    <w:rsid w:val="00796F39"/>
    <w:rsid w:val="007A0153"/>
    <w:rsid w:val="007A4ACB"/>
    <w:rsid w:val="007A4C2F"/>
    <w:rsid w:val="007A532B"/>
    <w:rsid w:val="007B0007"/>
    <w:rsid w:val="007B02EF"/>
    <w:rsid w:val="007B0739"/>
    <w:rsid w:val="007B0BFF"/>
    <w:rsid w:val="007B1587"/>
    <w:rsid w:val="007B2DE2"/>
    <w:rsid w:val="007B2E78"/>
    <w:rsid w:val="007C2BCA"/>
    <w:rsid w:val="007C527E"/>
    <w:rsid w:val="007D42AE"/>
    <w:rsid w:val="007D48C5"/>
    <w:rsid w:val="007D503A"/>
    <w:rsid w:val="007D5B37"/>
    <w:rsid w:val="007E7071"/>
    <w:rsid w:val="007F5323"/>
    <w:rsid w:val="007F563E"/>
    <w:rsid w:val="007F6417"/>
    <w:rsid w:val="007F7BA8"/>
    <w:rsid w:val="007F7E2A"/>
    <w:rsid w:val="00800078"/>
    <w:rsid w:val="00803382"/>
    <w:rsid w:val="00804162"/>
    <w:rsid w:val="0080484D"/>
    <w:rsid w:val="00804C05"/>
    <w:rsid w:val="00812B93"/>
    <w:rsid w:val="00814113"/>
    <w:rsid w:val="0081474C"/>
    <w:rsid w:val="0081735C"/>
    <w:rsid w:val="008213B2"/>
    <w:rsid w:val="008245D7"/>
    <w:rsid w:val="00824AB5"/>
    <w:rsid w:val="00830484"/>
    <w:rsid w:val="008347B9"/>
    <w:rsid w:val="00837530"/>
    <w:rsid w:val="00842E7C"/>
    <w:rsid w:val="00865151"/>
    <w:rsid w:val="00865CAF"/>
    <w:rsid w:val="008663A9"/>
    <w:rsid w:val="008674D3"/>
    <w:rsid w:val="00883363"/>
    <w:rsid w:val="00884CA4"/>
    <w:rsid w:val="008914E2"/>
    <w:rsid w:val="0089181B"/>
    <w:rsid w:val="00891A91"/>
    <w:rsid w:val="00896A51"/>
    <w:rsid w:val="00897B52"/>
    <w:rsid w:val="008A30EA"/>
    <w:rsid w:val="008A79B8"/>
    <w:rsid w:val="008B001C"/>
    <w:rsid w:val="008B06DB"/>
    <w:rsid w:val="008B15B4"/>
    <w:rsid w:val="008B277F"/>
    <w:rsid w:val="008B3688"/>
    <w:rsid w:val="008B414C"/>
    <w:rsid w:val="008D4F97"/>
    <w:rsid w:val="008D5885"/>
    <w:rsid w:val="008E1BF3"/>
    <w:rsid w:val="008E1E48"/>
    <w:rsid w:val="008E2028"/>
    <w:rsid w:val="008E3F52"/>
    <w:rsid w:val="008E489B"/>
    <w:rsid w:val="008E6400"/>
    <w:rsid w:val="008E69E7"/>
    <w:rsid w:val="008E6DE7"/>
    <w:rsid w:val="008E7156"/>
    <w:rsid w:val="008E73D5"/>
    <w:rsid w:val="008F0FC0"/>
    <w:rsid w:val="008F4299"/>
    <w:rsid w:val="008F7702"/>
    <w:rsid w:val="00900AE0"/>
    <w:rsid w:val="009024E0"/>
    <w:rsid w:val="00907793"/>
    <w:rsid w:val="00912B23"/>
    <w:rsid w:val="00913563"/>
    <w:rsid w:val="00917DEF"/>
    <w:rsid w:val="0092368D"/>
    <w:rsid w:val="00923949"/>
    <w:rsid w:val="00923FFC"/>
    <w:rsid w:val="009241FF"/>
    <w:rsid w:val="00924C58"/>
    <w:rsid w:val="009340BF"/>
    <w:rsid w:val="009355C5"/>
    <w:rsid w:val="0093674F"/>
    <w:rsid w:val="009376D4"/>
    <w:rsid w:val="00943755"/>
    <w:rsid w:val="00951E23"/>
    <w:rsid w:val="0095368E"/>
    <w:rsid w:val="00953E20"/>
    <w:rsid w:val="00954931"/>
    <w:rsid w:val="009556D4"/>
    <w:rsid w:val="0097286C"/>
    <w:rsid w:val="00974DF6"/>
    <w:rsid w:val="00975702"/>
    <w:rsid w:val="009773D4"/>
    <w:rsid w:val="009809E9"/>
    <w:rsid w:val="00981274"/>
    <w:rsid w:val="00981D61"/>
    <w:rsid w:val="00982DDC"/>
    <w:rsid w:val="00983DC8"/>
    <w:rsid w:val="00987D10"/>
    <w:rsid w:val="009906FA"/>
    <w:rsid w:val="00993D83"/>
    <w:rsid w:val="009967BD"/>
    <w:rsid w:val="009A17C1"/>
    <w:rsid w:val="009C198C"/>
    <w:rsid w:val="009C282C"/>
    <w:rsid w:val="009C5822"/>
    <w:rsid w:val="009C7949"/>
    <w:rsid w:val="009D00FE"/>
    <w:rsid w:val="009D2BBF"/>
    <w:rsid w:val="009E223A"/>
    <w:rsid w:val="009E653E"/>
    <w:rsid w:val="009F02B2"/>
    <w:rsid w:val="00A04AF6"/>
    <w:rsid w:val="00A06849"/>
    <w:rsid w:val="00A07883"/>
    <w:rsid w:val="00A1455E"/>
    <w:rsid w:val="00A163E8"/>
    <w:rsid w:val="00A20CD4"/>
    <w:rsid w:val="00A272A7"/>
    <w:rsid w:val="00A277AD"/>
    <w:rsid w:val="00A27968"/>
    <w:rsid w:val="00A30DAA"/>
    <w:rsid w:val="00A32AC8"/>
    <w:rsid w:val="00A33B7E"/>
    <w:rsid w:val="00A34C75"/>
    <w:rsid w:val="00A34DA5"/>
    <w:rsid w:val="00A35E99"/>
    <w:rsid w:val="00A456ED"/>
    <w:rsid w:val="00A47D65"/>
    <w:rsid w:val="00A52FD1"/>
    <w:rsid w:val="00A5662E"/>
    <w:rsid w:val="00A62D71"/>
    <w:rsid w:val="00A63105"/>
    <w:rsid w:val="00A708B6"/>
    <w:rsid w:val="00A749DC"/>
    <w:rsid w:val="00A7506E"/>
    <w:rsid w:val="00A80E92"/>
    <w:rsid w:val="00A834AF"/>
    <w:rsid w:val="00A842BC"/>
    <w:rsid w:val="00A8707A"/>
    <w:rsid w:val="00AA02AF"/>
    <w:rsid w:val="00AA1FF8"/>
    <w:rsid w:val="00AA3E50"/>
    <w:rsid w:val="00AA4296"/>
    <w:rsid w:val="00AA4E67"/>
    <w:rsid w:val="00AA78FD"/>
    <w:rsid w:val="00AB2CBD"/>
    <w:rsid w:val="00AB5C35"/>
    <w:rsid w:val="00AB7452"/>
    <w:rsid w:val="00AC029E"/>
    <w:rsid w:val="00AC1688"/>
    <w:rsid w:val="00AC4DE0"/>
    <w:rsid w:val="00AE7CCF"/>
    <w:rsid w:val="00AF2A61"/>
    <w:rsid w:val="00AF6280"/>
    <w:rsid w:val="00AF6D32"/>
    <w:rsid w:val="00B01B83"/>
    <w:rsid w:val="00B0518C"/>
    <w:rsid w:val="00B06EA1"/>
    <w:rsid w:val="00B07F31"/>
    <w:rsid w:val="00B14C76"/>
    <w:rsid w:val="00B21CC7"/>
    <w:rsid w:val="00B2439C"/>
    <w:rsid w:val="00B3484B"/>
    <w:rsid w:val="00B41327"/>
    <w:rsid w:val="00B41AB0"/>
    <w:rsid w:val="00B46EFB"/>
    <w:rsid w:val="00B51F9A"/>
    <w:rsid w:val="00B5218D"/>
    <w:rsid w:val="00B52654"/>
    <w:rsid w:val="00B53715"/>
    <w:rsid w:val="00B55D34"/>
    <w:rsid w:val="00B60819"/>
    <w:rsid w:val="00B6180A"/>
    <w:rsid w:val="00B61B3A"/>
    <w:rsid w:val="00B629D5"/>
    <w:rsid w:val="00B63944"/>
    <w:rsid w:val="00B826E0"/>
    <w:rsid w:val="00B87A0E"/>
    <w:rsid w:val="00B87B60"/>
    <w:rsid w:val="00B92202"/>
    <w:rsid w:val="00B9474A"/>
    <w:rsid w:val="00B96E19"/>
    <w:rsid w:val="00B97620"/>
    <w:rsid w:val="00BA23C7"/>
    <w:rsid w:val="00BA3204"/>
    <w:rsid w:val="00BA4B3E"/>
    <w:rsid w:val="00BA534E"/>
    <w:rsid w:val="00BA7762"/>
    <w:rsid w:val="00BB1F7B"/>
    <w:rsid w:val="00BB2113"/>
    <w:rsid w:val="00BB2B8D"/>
    <w:rsid w:val="00BB4758"/>
    <w:rsid w:val="00BC7374"/>
    <w:rsid w:val="00BD1FBE"/>
    <w:rsid w:val="00BD3D24"/>
    <w:rsid w:val="00BD681C"/>
    <w:rsid w:val="00BE238C"/>
    <w:rsid w:val="00BE2709"/>
    <w:rsid w:val="00BE4621"/>
    <w:rsid w:val="00BE52E3"/>
    <w:rsid w:val="00BE7879"/>
    <w:rsid w:val="00BF35B0"/>
    <w:rsid w:val="00BF58CC"/>
    <w:rsid w:val="00C05CB4"/>
    <w:rsid w:val="00C07453"/>
    <w:rsid w:val="00C10762"/>
    <w:rsid w:val="00C1149F"/>
    <w:rsid w:val="00C136B9"/>
    <w:rsid w:val="00C14D0F"/>
    <w:rsid w:val="00C17A6E"/>
    <w:rsid w:val="00C200C5"/>
    <w:rsid w:val="00C25530"/>
    <w:rsid w:val="00C26DC6"/>
    <w:rsid w:val="00C307A5"/>
    <w:rsid w:val="00C30B99"/>
    <w:rsid w:val="00C30D71"/>
    <w:rsid w:val="00C31795"/>
    <w:rsid w:val="00C323BF"/>
    <w:rsid w:val="00C407B2"/>
    <w:rsid w:val="00C41033"/>
    <w:rsid w:val="00C47E6A"/>
    <w:rsid w:val="00C51896"/>
    <w:rsid w:val="00C6028C"/>
    <w:rsid w:val="00C60D25"/>
    <w:rsid w:val="00C67F8D"/>
    <w:rsid w:val="00C701F9"/>
    <w:rsid w:val="00C731F3"/>
    <w:rsid w:val="00C73AC7"/>
    <w:rsid w:val="00C749EB"/>
    <w:rsid w:val="00C77419"/>
    <w:rsid w:val="00C805E1"/>
    <w:rsid w:val="00C82164"/>
    <w:rsid w:val="00C84693"/>
    <w:rsid w:val="00C86BD3"/>
    <w:rsid w:val="00C874F6"/>
    <w:rsid w:val="00C92946"/>
    <w:rsid w:val="00C930E6"/>
    <w:rsid w:val="00C94237"/>
    <w:rsid w:val="00CA38F0"/>
    <w:rsid w:val="00CA617F"/>
    <w:rsid w:val="00CB168A"/>
    <w:rsid w:val="00CB187E"/>
    <w:rsid w:val="00CB774A"/>
    <w:rsid w:val="00CC7172"/>
    <w:rsid w:val="00CD0391"/>
    <w:rsid w:val="00CD1CB0"/>
    <w:rsid w:val="00CD1DAA"/>
    <w:rsid w:val="00CD3E7B"/>
    <w:rsid w:val="00CD5F4E"/>
    <w:rsid w:val="00CD78F2"/>
    <w:rsid w:val="00CE596F"/>
    <w:rsid w:val="00CF02AB"/>
    <w:rsid w:val="00CF0545"/>
    <w:rsid w:val="00CF2812"/>
    <w:rsid w:val="00CF3C93"/>
    <w:rsid w:val="00CF402A"/>
    <w:rsid w:val="00CF4799"/>
    <w:rsid w:val="00CF5D47"/>
    <w:rsid w:val="00D07396"/>
    <w:rsid w:val="00D13504"/>
    <w:rsid w:val="00D17F7C"/>
    <w:rsid w:val="00D21D44"/>
    <w:rsid w:val="00D2491C"/>
    <w:rsid w:val="00D252F6"/>
    <w:rsid w:val="00D26283"/>
    <w:rsid w:val="00D3026B"/>
    <w:rsid w:val="00D31D18"/>
    <w:rsid w:val="00D36748"/>
    <w:rsid w:val="00D411DE"/>
    <w:rsid w:val="00D43F10"/>
    <w:rsid w:val="00D45E9C"/>
    <w:rsid w:val="00D50B6C"/>
    <w:rsid w:val="00D52F72"/>
    <w:rsid w:val="00D54237"/>
    <w:rsid w:val="00D542F2"/>
    <w:rsid w:val="00D5458F"/>
    <w:rsid w:val="00D55AA9"/>
    <w:rsid w:val="00D66774"/>
    <w:rsid w:val="00D70C2C"/>
    <w:rsid w:val="00D70D43"/>
    <w:rsid w:val="00D7356A"/>
    <w:rsid w:val="00D735AB"/>
    <w:rsid w:val="00D75581"/>
    <w:rsid w:val="00D76B9A"/>
    <w:rsid w:val="00D817CD"/>
    <w:rsid w:val="00D81AAB"/>
    <w:rsid w:val="00D81DB3"/>
    <w:rsid w:val="00D828A8"/>
    <w:rsid w:val="00D9236B"/>
    <w:rsid w:val="00D970F7"/>
    <w:rsid w:val="00DA084E"/>
    <w:rsid w:val="00DA580F"/>
    <w:rsid w:val="00DA5BF4"/>
    <w:rsid w:val="00DB6CC6"/>
    <w:rsid w:val="00DC06D8"/>
    <w:rsid w:val="00DC246E"/>
    <w:rsid w:val="00DC441B"/>
    <w:rsid w:val="00DC7921"/>
    <w:rsid w:val="00DD09F2"/>
    <w:rsid w:val="00DE1542"/>
    <w:rsid w:val="00DE2220"/>
    <w:rsid w:val="00DE3FE8"/>
    <w:rsid w:val="00DE65AB"/>
    <w:rsid w:val="00DE6E73"/>
    <w:rsid w:val="00DE6F0C"/>
    <w:rsid w:val="00DE7B22"/>
    <w:rsid w:val="00DF0BD3"/>
    <w:rsid w:val="00DF56CE"/>
    <w:rsid w:val="00DF67F3"/>
    <w:rsid w:val="00E02BA7"/>
    <w:rsid w:val="00E03216"/>
    <w:rsid w:val="00E05041"/>
    <w:rsid w:val="00E06752"/>
    <w:rsid w:val="00E0782E"/>
    <w:rsid w:val="00E07C2A"/>
    <w:rsid w:val="00E10AD3"/>
    <w:rsid w:val="00E141FD"/>
    <w:rsid w:val="00E206D1"/>
    <w:rsid w:val="00E211B3"/>
    <w:rsid w:val="00E27440"/>
    <w:rsid w:val="00E27609"/>
    <w:rsid w:val="00E30A64"/>
    <w:rsid w:val="00E31542"/>
    <w:rsid w:val="00E33E8E"/>
    <w:rsid w:val="00E36594"/>
    <w:rsid w:val="00E36DCD"/>
    <w:rsid w:val="00E41A65"/>
    <w:rsid w:val="00E41BDB"/>
    <w:rsid w:val="00E44448"/>
    <w:rsid w:val="00E471AA"/>
    <w:rsid w:val="00E53EF0"/>
    <w:rsid w:val="00E564FA"/>
    <w:rsid w:val="00E57DB4"/>
    <w:rsid w:val="00E60C8E"/>
    <w:rsid w:val="00E616B0"/>
    <w:rsid w:val="00E650B6"/>
    <w:rsid w:val="00E67A68"/>
    <w:rsid w:val="00E70BBB"/>
    <w:rsid w:val="00E80962"/>
    <w:rsid w:val="00E81C93"/>
    <w:rsid w:val="00E82626"/>
    <w:rsid w:val="00E9298F"/>
    <w:rsid w:val="00EA16AD"/>
    <w:rsid w:val="00EA6CD6"/>
    <w:rsid w:val="00EB5C23"/>
    <w:rsid w:val="00EC56A1"/>
    <w:rsid w:val="00ED1C4A"/>
    <w:rsid w:val="00ED2D7B"/>
    <w:rsid w:val="00ED5534"/>
    <w:rsid w:val="00ED697B"/>
    <w:rsid w:val="00ED7BFC"/>
    <w:rsid w:val="00EE42E8"/>
    <w:rsid w:val="00EE54DA"/>
    <w:rsid w:val="00EE55E1"/>
    <w:rsid w:val="00EE5C23"/>
    <w:rsid w:val="00EE7A6B"/>
    <w:rsid w:val="00EF193B"/>
    <w:rsid w:val="00EF249F"/>
    <w:rsid w:val="00EF2584"/>
    <w:rsid w:val="00EF2EA1"/>
    <w:rsid w:val="00EF35B2"/>
    <w:rsid w:val="00F01811"/>
    <w:rsid w:val="00F02BA4"/>
    <w:rsid w:val="00F05EE1"/>
    <w:rsid w:val="00F06A6A"/>
    <w:rsid w:val="00F10511"/>
    <w:rsid w:val="00F116E0"/>
    <w:rsid w:val="00F1436B"/>
    <w:rsid w:val="00F145D4"/>
    <w:rsid w:val="00F1653E"/>
    <w:rsid w:val="00F16905"/>
    <w:rsid w:val="00F25142"/>
    <w:rsid w:val="00F25452"/>
    <w:rsid w:val="00F273C3"/>
    <w:rsid w:val="00F307BB"/>
    <w:rsid w:val="00F34D07"/>
    <w:rsid w:val="00F35989"/>
    <w:rsid w:val="00F40068"/>
    <w:rsid w:val="00F41AE7"/>
    <w:rsid w:val="00F470DF"/>
    <w:rsid w:val="00F5639D"/>
    <w:rsid w:val="00F64FC7"/>
    <w:rsid w:val="00F670DD"/>
    <w:rsid w:val="00F71552"/>
    <w:rsid w:val="00F71C78"/>
    <w:rsid w:val="00F73C8C"/>
    <w:rsid w:val="00F75420"/>
    <w:rsid w:val="00F75D50"/>
    <w:rsid w:val="00F815B5"/>
    <w:rsid w:val="00F829BC"/>
    <w:rsid w:val="00F8390E"/>
    <w:rsid w:val="00F87D59"/>
    <w:rsid w:val="00F900D3"/>
    <w:rsid w:val="00F9185F"/>
    <w:rsid w:val="00F9213B"/>
    <w:rsid w:val="00F94CCF"/>
    <w:rsid w:val="00F971FE"/>
    <w:rsid w:val="00FA1ABB"/>
    <w:rsid w:val="00FA5B88"/>
    <w:rsid w:val="00FB0676"/>
    <w:rsid w:val="00FB12C4"/>
    <w:rsid w:val="00FB1B07"/>
    <w:rsid w:val="00FB2BED"/>
    <w:rsid w:val="00FB2D23"/>
    <w:rsid w:val="00FC3B5C"/>
    <w:rsid w:val="00FC662B"/>
    <w:rsid w:val="00FD1A48"/>
    <w:rsid w:val="00FD24C3"/>
    <w:rsid w:val="00FD32B1"/>
    <w:rsid w:val="00FD3FE2"/>
    <w:rsid w:val="00FE1B00"/>
    <w:rsid w:val="00FE3688"/>
    <w:rsid w:val="00FE547E"/>
    <w:rsid w:val="00FE5B96"/>
    <w:rsid w:val="00FE75BC"/>
    <w:rsid w:val="00FF09F7"/>
    <w:rsid w:val="00FF0C26"/>
    <w:rsid w:val="00FF18AE"/>
    <w:rsid w:val="00FF24A9"/>
    <w:rsid w:val="00FF34E3"/>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FEB"/>
  <w15:chartTrackingRefBased/>
  <w15:docId w15:val="{94308F13-ED01-4636-826D-BE44377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Cs w:val="32"/>
    </w:rPr>
  </w:style>
  <w:style w:type="character" w:customStyle="1" w:styleId="Heading2Char">
    <w:name w:val="Heading 2 Char"/>
    <w:link w:val="Heading2"/>
    <w:rsid w:val="00D542F2"/>
    <w:rPr>
      <w:rFonts w:eastAsia="Times New Roman" w:cs="Arial"/>
      <w:bCs/>
      <w:iCs/>
      <w:szCs w:val="28"/>
    </w:rPr>
  </w:style>
  <w:style w:type="character" w:customStyle="1" w:styleId="Heading3Char">
    <w:name w:val="Heading 3 Char"/>
    <w:link w:val="Heading3"/>
    <w:rsid w:val="00D542F2"/>
    <w:rPr>
      <w:rFonts w:eastAsia="Times New Roman" w:cs="Arial"/>
      <w:bCs/>
      <w:szCs w:val="26"/>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1"/>
      </w:numPr>
    </w:pPr>
  </w:style>
  <w:style w:type="character" w:styleId="CommentReference">
    <w:name w:val="annotation reference"/>
    <w:basedOn w:val="DefaultParagraphFont"/>
    <w:uiPriority w:val="99"/>
    <w:semiHidden/>
    <w:unhideWhenUsed/>
    <w:rsid w:val="00197E37"/>
    <w:rPr>
      <w:sz w:val="16"/>
      <w:szCs w:val="16"/>
    </w:rPr>
  </w:style>
  <w:style w:type="paragraph" w:styleId="CommentText">
    <w:name w:val="annotation text"/>
    <w:basedOn w:val="Normal"/>
    <w:link w:val="CommentTextChar"/>
    <w:uiPriority w:val="99"/>
    <w:unhideWhenUsed/>
    <w:rsid w:val="00197E37"/>
    <w:rPr>
      <w:sz w:val="20"/>
      <w:szCs w:val="20"/>
    </w:rPr>
  </w:style>
  <w:style w:type="character" w:customStyle="1" w:styleId="CommentTextChar">
    <w:name w:val="Comment Text Char"/>
    <w:basedOn w:val="DefaultParagraphFont"/>
    <w:link w:val="CommentText"/>
    <w:uiPriority w:val="99"/>
    <w:rsid w:val="00197E37"/>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197E37"/>
    <w:rPr>
      <w:b/>
      <w:bCs/>
    </w:rPr>
  </w:style>
  <w:style w:type="character" w:customStyle="1" w:styleId="CommentSubjectChar">
    <w:name w:val="Comment Subject Char"/>
    <w:basedOn w:val="CommentTextChar"/>
    <w:link w:val="CommentSubject"/>
    <w:uiPriority w:val="99"/>
    <w:semiHidden/>
    <w:rsid w:val="00197E37"/>
    <w:rPr>
      <w:rFonts w:eastAsia="Times New Roman"/>
      <w:b/>
      <w:bCs/>
      <w:lang w:eastAsia="en-US"/>
    </w:rPr>
  </w:style>
  <w:style w:type="paragraph" w:styleId="Revision">
    <w:name w:val="Revision"/>
    <w:hidden/>
    <w:uiPriority w:val="99"/>
    <w:semiHidden/>
    <w:rsid w:val="00A749D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019">
      <w:bodyDiv w:val="1"/>
      <w:marLeft w:val="0"/>
      <w:marRight w:val="0"/>
      <w:marTop w:val="0"/>
      <w:marBottom w:val="0"/>
      <w:divBdr>
        <w:top w:val="none" w:sz="0" w:space="0" w:color="auto"/>
        <w:left w:val="none" w:sz="0" w:space="0" w:color="auto"/>
        <w:bottom w:val="none" w:sz="0" w:space="0" w:color="auto"/>
        <w:right w:val="none" w:sz="0" w:space="0" w:color="auto"/>
      </w:divBdr>
    </w:div>
    <w:div w:id="259410918">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86319315">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879514781">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42E3-D130-488A-8C37-E803CC61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cp:lastModifiedBy>Mokone</cp:lastModifiedBy>
  <cp:revision>3</cp:revision>
  <cp:lastPrinted>2019-03-30T14:36:00Z</cp:lastPrinted>
  <dcterms:created xsi:type="dcterms:W3CDTF">2023-04-11T07:11:00Z</dcterms:created>
  <dcterms:modified xsi:type="dcterms:W3CDTF">2023-04-11T07:12:00Z</dcterms:modified>
</cp:coreProperties>
</file>