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C6C37" w14:textId="77777777" w:rsidR="00E30E8A" w:rsidRPr="00D90BC2" w:rsidRDefault="00E30E8A" w:rsidP="00D07734">
      <w:pPr>
        <w:spacing w:line="360" w:lineRule="auto"/>
        <w:contextualSpacing/>
        <w:jc w:val="center"/>
        <w:rPr>
          <w:rFonts w:ascii="Arial" w:hAnsi="Arial" w:cs="Arial"/>
          <w:b/>
        </w:rPr>
      </w:pPr>
      <w:r w:rsidRPr="00D90BC2">
        <w:rPr>
          <w:rFonts w:ascii="Arial" w:eastAsia="Calibri" w:hAnsi="Arial" w:cs="Arial"/>
          <w:noProof/>
          <w:sz w:val="28"/>
          <w:szCs w:val="28"/>
          <w:lang w:val="en-US" w:eastAsia="en-US" w:bidi="ar-SA"/>
        </w:rPr>
        <w:drawing>
          <wp:inline distT="0" distB="0" distL="0" distR="0" wp14:anchorId="3E987940" wp14:editId="7A706EDA">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271043F9" w14:textId="77777777" w:rsidR="00E30E8A" w:rsidRPr="00D90BC2" w:rsidRDefault="00E30E8A" w:rsidP="00D07734">
      <w:pPr>
        <w:spacing w:line="360" w:lineRule="auto"/>
        <w:contextualSpacing/>
        <w:jc w:val="center"/>
        <w:rPr>
          <w:rFonts w:ascii="Arial" w:hAnsi="Arial" w:cs="Arial"/>
          <w:b/>
          <w:sz w:val="16"/>
          <w:szCs w:val="16"/>
        </w:rPr>
      </w:pPr>
    </w:p>
    <w:p w14:paraId="360C7C50" w14:textId="77777777" w:rsidR="00E30E8A" w:rsidRPr="00D90BC2" w:rsidRDefault="00E30E8A" w:rsidP="00D07734">
      <w:pPr>
        <w:spacing w:line="360" w:lineRule="auto"/>
        <w:contextualSpacing/>
        <w:jc w:val="center"/>
        <w:rPr>
          <w:rFonts w:ascii="Arial" w:hAnsi="Arial" w:cs="Arial"/>
          <w:b/>
        </w:rPr>
      </w:pPr>
      <w:r w:rsidRPr="00D90BC2">
        <w:rPr>
          <w:rFonts w:ascii="Arial" w:hAnsi="Arial" w:cs="Arial"/>
          <w:b/>
        </w:rPr>
        <w:t>IN THE HIGH COURT OF SOUTH AFRICA</w:t>
      </w:r>
    </w:p>
    <w:p w14:paraId="1809EAE2" w14:textId="77777777" w:rsidR="00E30E8A" w:rsidRPr="00D90BC2" w:rsidRDefault="00E30E8A" w:rsidP="00D07734">
      <w:pPr>
        <w:spacing w:line="360" w:lineRule="auto"/>
        <w:contextualSpacing/>
        <w:jc w:val="center"/>
        <w:rPr>
          <w:rFonts w:ascii="Arial" w:hAnsi="Arial" w:cs="Arial"/>
          <w:b/>
        </w:rPr>
      </w:pPr>
      <w:r w:rsidRPr="00D90BC2">
        <w:rPr>
          <w:rFonts w:ascii="Arial" w:hAnsi="Arial" w:cs="Arial"/>
          <w:b/>
        </w:rPr>
        <w:t>KWAZULU-NATAL DIVISION, PIETERMARITZBURG</w:t>
      </w:r>
    </w:p>
    <w:p w14:paraId="4F84ABC7" w14:textId="77777777" w:rsidR="009F77EE" w:rsidRPr="00D90BC2" w:rsidRDefault="009F77EE" w:rsidP="00D07734">
      <w:pPr>
        <w:spacing w:line="360" w:lineRule="auto"/>
        <w:contextualSpacing/>
        <w:jc w:val="right"/>
        <w:rPr>
          <w:rFonts w:ascii="Arial" w:hAnsi="Arial" w:cs="Arial"/>
        </w:rPr>
      </w:pPr>
    </w:p>
    <w:p w14:paraId="2FBEDCAB" w14:textId="77777777" w:rsidR="00E30E8A" w:rsidRPr="00D90BC2" w:rsidRDefault="00E30E8A" w:rsidP="00D07734">
      <w:pPr>
        <w:spacing w:line="360" w:lineRule="auto"/>
        <w:contextualSpacing/>
        <w:jc w:val="right"/>
        <w:rPr>
          <w:rFonts w:ascii="Arial" w:hAnsi="Arial" w:cs="Arial"/>
        </w:rPr>
      </w:pPr>
      <w:r w:rsidRPr="00D90BC2">
        <w:rPr>
          <w:rFonts w:ascii="Arial" w:hAnsi="Arial" w:cs="Arial"/>
        </w:rPr>
        <w:t xml:space="preserve">Case No: </w:t>
      </w:r>
      <w:r w:rsidR="00D37A99">
        <w:rPr>
          <w:rFonts w:ascii="Arial" w:hAnsi="Arial" w:cs="Arial"/>
        </w:rPr>
        <w:t>5034</w:t>
      </w:r>
      <w:r w:rsidRPr="00D90BC2">
        <w:rPr>
          <w:rFonts w:ascii="Arial" w:hAnsi="Arial" w:cs="Arial"/>
        </w:rPr>
        <w:t>/20</w:t>
      </w:r>
      <w:r w:rsidR="00965280" w:rsidRPr="00D90BC2">
        <w:rPr>
          <w:rFonts w:ascii="Arial" w:hAnsi="Arial" w:cs="Arial"/>
        </w:rPr>
        <w:t>2</w:t>
      </w:r>
      <w:r w:rsidR="00D37A99">
        <w:rPr>
          <w:rFonts w:ascii="Arial" w:hAnsi="Arial" w:cs="Arial"/>
        </w:rPr>
        <w:t>0</w:t>
      </w:r>
      <w:r w:rsidRPr="00D90BC2">
        <w:rPr>
          <w:rFonts w:ascii="Arial" w:hAnsi="Arial" w:cs="Arial"/>
        </w:rPr>
        <w:t>P</w:t>
      </w:r>
    </w:p>
    <w:p w14:paraId="48244AC3" w14:textId="77777777" w:rsidR="00E30E8A" w:rsidRPr="00D90BC2" w:rsidRDefault="00E30E8A" w:rsidP="00D07734">
      <w:pPr>
        <w:spacing w:line="360" w:lineRule="auto"/>
        <w:contextualSpacing/>
        <w:jc w:val="both"/>
        <w:rPr>
          <w:rFonts w:ascii="Arial" w:hAnsi="Arial" w:cs="Arial"/>
        </w:rPr>
      </w:pPr>
    </w:p>
    <w:p w14:paraId="3354EEFC" w14:textId="77777777" w:rsidR="00E30E8A" w:rsidRPr="00D90BC2" w:rsidRDefault="00E30E8A" w:rsidP="00D07734">
      <w:pPr>
        <w:spacing w:line="360" w:lineRule="auto"/>
        <w:contextualSpacing/>
        <w:jc w:val="both"/>
        <w:rPr>
          <w:rFonts w:ascii="Arial" w:hAnsi="Arial" w:cs="Arial"/>
        </w:rPr>
      </w:pPr>
      <w:r w:rsidRPr="00D90BC2">
        <w:rPr>
          <w:rFonts w:ascii="Arial" w:hAnsi="Arial" w:cs="Arial"/>
        </w:rPr>
        <w:t>In the matter between:</w:t>
      </w:r>
    </w:p>
    <w:p w14:paraId="5C6112B6" w14:textId="77777777" w:rsidR="00DB0AC0" w:rsidRPr="00D90BC2" w:rsidRDefault="00DB0AC0" w:rsidP="00D41793">
      <w:pPr>
        <w:tabs>
          <w:tab w:val="right" w:pos="9026"/>
        </w:tabs>
        <w:spacing w:line="360" w:lineRule="auto"/>
        <w:contextualSpacing/>
        <w:jc w:val="both"/>
        <w:rPr>
          <w:rFonts w:ascii="Arial" w:hAnsi="Arial" w:cs="Arial"/>
          <w:b/>
          <w:bCs/>
        </w:rPr>
      </w:pPr>
    </w:p>
    <w:p w14:paraId="1317AFCE" w14:textId="77777777" w:rsidR="00E30E8A" w:rsidRPr="00D90BC2" w:rsidRDefault="00DA32C4" w:rsidP="00D41793">
      <w:pPr>
        <w:tabs>
          <w:tab w:val="right" w:pos="9026"/>
        </w:tabs>
        <w:spacing w:line="360" w:lineRule="auto"/>
        <w:contextualSpacing/>
        <w:jc w:val="both"/>
        <w:rPr>
          <w:rFonts w:ascii="Arial" w:hAnsi="Arial" w:cs="Arial"/>
          <w:b/>
          <w:bCs/>
        </w:rPr>
      </w:pPr>
      <w:r>
        <w:rPr>
          <w:rFonts w:ascii="Arial" w:hAnsi="Arial" w:cs="Arial"/>
          <w:b/>
          <w:bCs/>
        </w:rPr>
        <w:t>ABSA BANK LIMITED</w:t>
      </w:r>
      <w:r w:rsidR="003E1994" w:rsidRPr="00D90BC2">
        <w:rPr>
          <w:rFonts w:ascii="Arial" w:hAnsi="Arial" w:cs="Arial"/>
          <w:b/>
          <w:bCs/>
        </w:rPr>
        <w:tab/>
      </w:r>
      <w:r w:rsidR="009F77EE" w:rsidRPr="00D90BC2">
        <w:rPr>
          <w:rFonts w:ascii="Arial" w:hAnsi="Arial" w:cs="Arial"/>
          <w:b/>
          <w:bCs/>
        </w:rPr>
        <w:t xml:space="preserve">     </w:t>
      </w:r>
      <w:r w:rsidR="00D41793" w:rsidRPr="00D90BC2">
        <w:rPr>
          <w:rFonts w:ascii="Arial" w:hAnsi="Arial" w:cs="Arial"/>
          <w:b/>
          <w:bCs/>
        </w:rPr>
        <w:t xml:space="preserve">        </w:t>
      </w:r>
      <w:r w:rsidR="00965280" w:rsidRPr="00D90BC2">
        <w:rPr>
          <w:rFonts w:ascii="Arial" w:hAnsi="Arial" w:cs="Arial"/>
          <w:b/>
          <w:bCs/>
        </w:rPr>
        <w:t>APPLICANT</w:t>
      </w:r>
    </w:p>
    <w:p w14:paraId="0EC02397" w14:textId="77777777" w:rsidR="003E1994" w:rsidRPr="00D90BC2" w:rsidRDefault="003E1994" w:rsidP="00D07734">
      <w:pPr>
        <w:tabs>
          <w:tab w:val="right" w:pos="8647"/>
        </w:tabs>
        <w:spacing w:line="360" w:lineRule="auto"/>
        <w:contextualSpacing/>
        <w:jc w:val="both"/>
        <w:rPr>
          <w:rFonts w:ascii="Arial" w:hAnsi="Arial" w:cs="Arial"/>
        </w:rPr>
      </w:pPr>
    </w:p>
    <w:p w14:paraId="7C2222B5" w14:textId="77777777" w:rsidR="00E30E8A" w:rsidRPr="00D90BC2" w:rsidRDefault="00E30E8A" w:rsidP="00D07734">
      <w:pPr>
        <w:tabs>
          <w:tab w:val="right" w:pos="8647"/>
        </w:tabs>
        <w:spacing w:line="360" w:lineRule="auto"/>
        <w:contextualSpacing/>
        <w:jc w:val="both"/>
        <w:rPr>
          <w:rFonts w:ascii="Arial" w:hAnsi="Arial" w:cs="Arial"/>
        </w:rPr>
      </w:pPr>
      <w:r w:rsidRPr="00D90BC2">
        <w:rPr>
          <w:rFonts w:ascii="Arial" w:hAnsi="Arial" w:cs="Arial"/>
        </w:rPr>
        <w:t>and</w:t>
      </w:r>
    </w:p>
    <w:p w14:paraId="449A6533" w14:textId="77777777" w:rsidR="003E1994" w:rsidRPr="00D90BC2" w:rsidRDefault="003E1994" w:rsidP="00D07734">
      <w:pPr>
        <w:tabs>
          <w:tab w:val="right" w:pos="8647"/>
        </w:tabs>
        <w:spacing w:line="360" w:lineRule="auto"/>
        <w:contextualSpacing/>
        <w:jc w:val="both"/>
        <w:rPr>
          <w:rFonts w:ascii="Arial" w:hAnsi="Arial" w:cs="Arial"/>
          <w:b/>
          <w:bCs/>
        </w:rPr>
      </w:pPr>
    </w:p>
    <w:p w14:paraId="722941A5" w14:textId="77777777" w:rsidR="00E30E8A" w:rsidRPr="00D90BC2" w:rsidRDefault="00DD7934" w:rsidP="00D41793">
      <w:pPr>
        <w:tabs>
          <w:tab w:val="right" w:pos="9026"/>
        </w:tabs>
        <w:spacing w:line="360" w:lineRule="auto"/>
        <w:contextualSpacing/>
        <w:jc w:val="both"/>
        <w:rPr>
          <w:rFonts w:ascii="Arial" w:hAnsi="Arial" w:cs="Arial"/>
          <w:b/>
          <w:bCs/>
        </w:rPr>
      </w:pPr>
      <w:r>
        <w:rPr>
          <w:rFonts w:ascii="Arial" w:hAnsi="Arial" w:cs="Arial"/>
          <w:b/>
          <w:bCs/>
        </w:rPr>
        <w:t>HEMANTH RAJKUMAR SINGH N.O.</w:t>
      </w:r>
      <w:r w:rsidR="003E1994" w:rsidRPr="00D90BC2">
        <w:rPr>
          <w:rFonts w:ascii="Arial" w:hAnsi="Arial" w:cs="Arial"/>
          <w:b/>
          <w:bCs/>
        </w:rPr>
        <w:tab/>
      </w:r>
      <w:r>
        <w:rPr>
          <w:rFonts w:ascii="Arial" w:hAnsi="Arial" w:cs="Arial"/>
          <w:b/>
          <w:bCs/>
        </w:rPr>
        <w:t xml:space="preserve">FIRST </w:t>
      </w:r>
      <w:r w:rsidR="00E30E8A" w:rsidRPr="00D90BC2">
        <w:rPr>
          <w:rFonts w:ascii="Arial" w:hAnsi="Arial" w:cs="Arial"/>
          <w:b/>
          <w:bCs/>
        </w:rPr>
        <w:t>RESPONDENT</w:t>
      </w:r>
    </w:p>
    <w:p w14:paraId="33C85B44" w14:textId="77777777" w:rsidR="00BC645C" w:rsidRDefault="00DD7934" w:rsidP="00DD7934">
      <w:pPr>
        <w:pBdr>
          <w:bottom w:val="single" w:sz="12" w:space="1" w:color="auto"/>
        </w:pBdr>
        <w:tabs>
          <w:tab w:val="right" w:pos="9026"/>
        </w:tabs>
        <w:spacing w:line="360" w:lineRule="auto"/>
        <w:jc w:val="both"/>
        <w:rPr>
          <w:rFonts w:asciiTheme="minorBidi" w:hAnsiTheme="minorBidi"/>
          <w:b/>
          <w:bCs/>
        </w:rPr>
      </w:pPr>
      <w:r>
        <w:rPr>
          <w:rFonts w:asciiTheme="minorBidi" w:hAnsiTheme="minorBidi"/>
          <w:b/>
          <w:bCs/>
        </w:rPr>
        <w:t>BALAN NAIDOO N.O.</w:t>
      </w:r>
      <w:r>
        <w:rPr>
          <w:rFonts w:asciiTheme="minorBidi" w:hAnsiTheme="minorBidi"/>
          <w:b/>
          <w:bCs/>
        </w:rPr>
        <w:tab/>
        <w:t xml:space="preserve">        SECOND RESPONDENT</w:t>
      </w:r>
    </w:p>
    <w:p w14:paraId="28621127" w14:textId="77777777" w:rsidR="00DD7934" w:rsidRDefault="00DD7934" w:rsidP="00DD7934">
      <w:pPr>
        <w:pBdr>
          <w:bottom w:val="single" w:sz="12" w:space="1" w:color="auto"/>
        </w:pBdr>
        <w:tabs>
          <w:tab w:val="right" w:pos="9026"/>
        </w:tabs>
        <w:spacing w:line="360" w:lineRule="auto"/>
        <w:jc w:val="both"/>
        <w:rPr>
          <w:rFonts w:asciiTheme="minorBidi" w:hAnsiTheme="minorBidi"/>
          <w:b/>
          <w:bCs/>
        </w:rPr>
      </w:pPr>
      <w:r>
        <w:rPr>
          <w:rFonts w:asciiTheme="minorBidi" w:hAnsiTheme="minorBidi"/>
          <w:b/>
          <w:bCs/>
        </w:rPr>
        <w:t>PRAVESH RAJKUMAR SINGH N.O.</w:t>
      </w:r>
      <w:r>
        <w:rPr>
          <w:rFonts w:asciiTheme="minorBidi" w:hAnsiTheme="minorBidi"/>
          <w:b/>
          <w:bCs/>
        </w:rPr>
        <w:tab/>
        <w:t>THIRD RESPONDENT</w:t>
      </w:r>
    </w:p>
    <w:p w14:paraId="5538C9A7" w14:textId="77777777" w:rsidR="00DD7934" w:rsidRDefault="00DD7934" w:rsidP="00DD7934">
      <w:pPr>
        <w:pBdr>
          <w:bottom w:val="single" w:sz="12" w:space="1" w:color="auto"/>
        </w:pBdr>
        <w:tabs>
          <w:tab w:val="right" w:pos="9026"/>
        </w:tabs>
        <w:spacing w:line="360" w:lineRule="auto"/>
        <w:jc w:val="both"/>
        <w:rPr>
          <w:rFonts w:asciiTheme="minorBidi" w:hAnsiTheme="minorBidi"/>
          <w:b/>
          <w:bCs/>
        </w:rPr>
      </w:pPr>
      <w:r>
        <w:rPr>
          <w:rFonts w:asciiTheme="minorBidi" w:hAnsiTheme="minorBidi"/>
          <w:b/>
          <w:bCs/>
        </w:rPr>
        <w:t>HEMNATH RAJKUMAR SINGH</w:t>
      </w:r>
      <w:r>
        <w:rPr>
          <w:rFonts w:asciiTheme="minorBidi" w:hAnsiTheme="minorBidi"/>
          <w:b/>
          <w:bCs/>
        </w:rPr>
        <w:tab/>
      </w:r>
      <w:r w:rsidR="008379C8">
        <w:rPr>
          <w:rFonts w:asciiTheme="minorBidi" w:hAnsiTheme="minorBidi"/>
          <w:b/>
          <w:bCs/>
        </w:rPr>
        <w:t>FOURTH RESPONDENT</w:t>
      </w:r>
    </w:p>
    <w:p w14:paraId="7E9CE641" w14:textId="77777777" w:rsidR="007B5A39" w:rsidRPr="00BC645C" w:rsidRDefault="007B5A39" w:rsidP="00DD7934">
      <w:pPr>
        <w:pBdr>
          <w:bottom w:val="single" w:sz="12" w:space="1" w:color="auto"/>
        </w:pBdr>
        <w:tabs>
          <w:tab w:val="right" w:pos="9026"/>
        </w:tabs>
        <w:spacing w:line="360" w:lineRule="auto"/>
        <w:jc w:val="both"/>
        <w:rPr>
          <w:rFonts w:ascii="Arial" w:hAnsi="Arial" w:cs="Arial"/>
          <w:b/>
          <w:bCs/>
        </w:rPr>
      </w:pPr>
    </w:p>
    <w:p w14:paraId="643A3C9A" w14:textId="77777777" w:rsidR="00BC645C" w:rsidRPr="00BC645C" w:rsidRDefault="00BC645C" w:rsidP="00BC645C">
      <w:pPr>
        <w:rPr>
          <w:rFonts w:asciiTheme="minorBidi" w:hAnsiTheme="minorBidi"/>
          <w:bCs/>
        </w:rPr>
      </w:pPr>
    </w:p>
    <w:p w14:paraId="2933DCDA" w14:textId="77777777" w:rsidR="00BC645C" w:rsidRDefault="00BC645C" w:rsidP="00DA32C4">
      <w:pPr>
        <w:rPr>
          <w:rFonts w:asciiTheme="minorBidi" w:hAnsiTheme="minorBidi"/>
          <w:bCs/>
        </w:rPr>
      </w:pPr>
    </w:p>
    <w:p w14:paraId="45AC692B" w14:textId="77777777" w:rsidR="00DA32C4" w:rsidRPr="00DA32C4" w:rsidRDefault="00DA32C4" w:rsidP="00DA32C4">
      <w:pPr>
        <w:rPr>
          <w:rFonts w:asciiTheme="minorBidi" w:hAnsiTheme="minorBidi"/>
          <w:bCs/>
        </w:rPr>
      </w:pPr>
      <w:r w:rsidRPr="00DA32C4">
        <w:rPr>
          <w:rFonts w:asciiTheme="minorBidi" w:hAnsiTheme="minorBidi"/>
          <w:bCs/>
        </w:rPr>
        <w:t>Coram:</w:t>
      </w:r>
      <w:r w:rsidRPr="00DA32C4">
        <w:rPr>
          <w:rFonts w:asciiTheme="minorBidi" w:hAnsiTheme="minorBidi"/>
          <w:bCs/>
        </w:rPr>
        <w:tab/>
        <w:t xml:space="preserve">Mossop J </w:t>
      </w:r>
    </w:p>
    <w:p w14:paraId="024B6586" w14:textId="77777777" w:rsidR="00DA32C4" w:rsidRPr="00DA32C4" w:rsidRDefault="00DA32C4" w:rsidP="00DA32C4">
      <w:pPr>
        <w:rPr>
          <w:rFonts w:asciiTheme="minorBidi" w:hAnsiTheme="minorBidi"/>
          <w:bCs/>
        </w:rPr>
      </w:pPr>
    </w:p>
    <w:p w14:paraId="2182836C" w14:textId="77777777" w:rsidR="00DA32C4" w:rsidRPr="00DA32C4" w:rsidRDefault="00DA32C4" w:rsidP="00DA32C4">
      <w:pPr>
        <w:rPr>
          <w:rFonts w:asciiTheme="minorBidi" w:hAnsiTheme="minorBidi"/>
          <w:bCs/>
        </w:rPr>
      </w:pPr>
      <w:r w:rsidRPr="00DA32C4">
        <w:rPr>
          <w:rFonts w:asciiTheme="minorBidi" w:hAnsiTheme="minorBidi"/>
          <w:bCs/>
        </w:rPr>
        <w:t>Heard:</w:t>
      </w:r>
      <w:r w:rsidRPr="00DA32C4">
        <w:rPr>
          <w:rFonts w:asciiTheme="minorBidi" w:hAnsiTheme="minorBidi"/>
          <w:bCs/>
        </w:rPr>
        <w:tab/>
      </w:r>
      <w:r>
        <w:rPr>
          <w:rFonts w:asciiTheme="minorBidi" w:hAnsiTheme="minorBidi"/>
          <w:bCs/>
        </w:rPr>
        <w:t>14</w:t>
      </w:r>
      <w:r w:rsidRPr="00DA32C4">
        <w:rPr>
          <w:rFonts w:asciiTheme="minorBidi" w:hAnsiTheme="minorBidi"/>
          <w:bCs/>
        </w:rPr>
        <w:t xml:space="preserve"> March 2023</w:t>
      </w:r>
    </w:p>
    <w:p w14:paraId="26F8937D" w14:textId="77777777" w:rsidR="00DA32C4" w:rsidRPr="00DA32C4" w:rsidRDefault="00DA32C4" w:rsidP="00DA32C4">
      <w:pPr>
        <w:rPr>
          <w:rFonts w:asciiTheme="minorBidi" w:hAnsiTheme="minorBidi"/>
          <w:bCs/>
        </w:rPr>
      </w:pPr>
    </w:p>
    <w:p w14:paraId="293EF74E" w14:textId="6947F0CB" w:rsidR="00DA32C4" w:rsidRPr="00DA32C4" w:rsidRDefault="00DA32C4" w:rsidP="00DA32C4">
      <w:pPr>
        <w:rPr>
          <w:rFonts w:asciiTheme="minorBidi" w:hAnsiTheme="minorBidi"/>
          <w:bCs/>
        </w:rPr>
      </w:pPr>
      <w:r w:rsidRPr="00DA32C4">
        <w:rPr>
          <w:rFonts w:asciiTheme="minorBidi" w:hAnsiTheme="minorBidi"/>
          <w:bCs/>
        </w:rPr>
        <w:t>Delivered:</w:t>
      </w:r>
      <w:r w:rsidRPr="00DA32C4">
        <w:rPr>
          <w:rFonts w:asciiTheme="minorBidi" w:hAnsiTheme="minorBidi"/>
          <w:bCs/>
        </w:rPr>
        <w:tab/>
      </w:r>
      <w:r w:rsidR="00281252">
        <w:rPr>
          <w:rFonts w:asciiTheme="minorBidi" w:hAnsiTheme="minorBidi"/>
          <w:bCs/>
        </w:rPr>
        <w:t>12 April</w:t>
      </w:r>
      <w:r w:rsidRPr="00DA32C4">
        <w:rPr>
          <w:rFonts w:asciiTheme="minorBidi" w:hAnsiTheme="minorBidi"/>
          <w:bCs/>
        </w:rPr>
        <w:t xml:space="preserve"> 2023</w:t>
      </w:r>
    </w:p>
    <w:p w14:paraId="6FA23D74" w14:textId="77777777" w:rsidR="00DA32C4" w:rsidRPr="00DA32C4" w:rsidRDefault="00DA32C4" w:rsidP="00DA32C4">
      <w:pPr>
        <w:rPr>
          <w:rFonts w:asciiTheme="minorBidi" w:hAnsiTheme="minorBidi"/>
          <w:b/>
          <w:bCs/>
        </w:rPr>
      </w:pPr>
    </w:p>
    <w:p w14:paraId="3E1C8E57" w14:textId="77777777" w:rsidR="00E30E8A" w:rsidRPr="00D90BC2" w:rsidRDefault="00E30E8A" w:rsidP="00E30E8A">
      <w:pPr>
        <w:pBdr>
          <w:bottom w:val="single" w:sz="12" w:space="1" w:color="auto"/>
        </w:pBdr>
        <w:jc w:val="both"/>
        <w:rPr>
          <w:rFonts w:ascii="Arial" w:hAnsi="Arial" w:cs="Arial"/>
          <w:b/>
          <w:bCs/>
        </w:rPr>
      </w:pPr>
    </w:p>
    <w:p w14:paraId="688D7B8A" w14:textId="77777777" w:rsidR="00E30E8A" w:rsidRPr="00D90BC2" w:rsidRDefault="00E30E8A" w:rsidP="00E30E8A">
      <w:pPr>
        <w:jc w:val="both"/>
        <w:rPr>
          <w:rFonts w:ascii="Arial" w:hAnsi="Arial" w:cs="Arial"/>
          <w:b/>
          <w:bCs/>
        </w:rPr>
      </w:pPr>
    </w:p>
    <w:p w14:paraId="16C95878" w14:textId="77777777" w:rsidR="00E30E8A" w:rsidRPr="00D90BC2" w:rsidRDefault="00E30E8A" w:rsidP="00E30E8A">
      <w:pPr>
        <w:pBdr>
          <w:bottom w:val="single" w:sz="12" w:space="1" w:color="auto"/>
        </w:pBdr>
        <w:jc w:val="center"/>
        <w:rPr>
          <w:rFonts w:ascii="Arial" w:hAnsi="Arial" w:cs="Arial"/>
          <w:b/>
          <w:bCs/>
        </w:rPr>
      </w:pPr>
      <w:r w:rsidRPr="00D90BC2">
        <w:rPr>
          <w:rFonts w:ascii="Arial" w:hAnsi="Arial" w:cs="Arial"/>
          <w:b/>
          <w:bCs/>
        </w:rPr>
        <w:t>ORDER</w:t>
      </w:r>
    </w:p>
    <w:p w14:paraId="4553A652" w14:textId="77777777" w:rsidR="00E30E8A" w:rsidRPr="00D90BC2" w:rsidRDefault="00E30E8A" w:rsidP="00E30E8A">
      <w:pPr>
        <w:pBdr>
          <w:bottom w:val="single" w:sz="12" w:space="1" w:color="auto"/>
        </w:pBdr>
        <w:jc w:val="center"/>
        <w:rPr>
          <w:rFonts w:ascii="Arial" w:hAnsi="Arial" w:cs="Arial"/>
          <w:b/>
          <w:bCs/>
        </w:rPr>
      </w:pPr>
    </w:p>
    <w:p w14:paraId="35207081" w14:textId="77777777" w:rsidR="00196C09" w:rsidRDefault="00196C09" w:rsidP="00196C09">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p>
    <w:p w14:paraId="3888E11A" w14:textId="77777777" w:rsidR="00BC645C" w:rsidRDefault="00012BA6" w:rsidP="00196C09">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r>
        <w:rPr>
          <w:rFonts w:ascii="Arial" w:eastAsia="Times New Roman" w:hAnsi="Arial" w:cs="Arial"/>
          <w:bCs/>
          <w:sz w:val="24"/>
          <w:szCs w:val="24"/>
          <w:lang w:val="en-ZA" w:eastAsia="en-GB" w:bidi="yi-Hebr"/>
        </w:rPr>
        <w:t>The following order is granted:</w:t>
      </w:r>
    </w:p>
    <w:p w14:paraId="76306CEC" w14:textId="7D2CDB7A" w:rsidR="000A0C69" w:rsidRPr="003328F7" w:rsidRDefault="003328F7" w:rsidP="003328F7">
      <w:pPr>
        <w:tabs>
          <w:tab w:val="left" w:pos="709"/>
          <w:tab w:val="left" w:pos="1418"/>
        </w:tabs>
        <w:spacing w:line="360" w:lineRule="auto"/>
        <w:jc w:val="both"/>
        <w:rPr>
          <w:rFonts w:ascii="Arial" w:hAnsi="Arial" w:cs="Arial"/>
          <w:bCs/>
        </w:rPr>
      </w:pPr>
      <w:r>
        <w:rPr>
          <w:rFonts w:ascii="Arial" w:hAnsi="Arial" w:cs="Arial"/>
          <w:bCs/>
        </w:rPr>
        <w:t>1.</w:t>
      </w:r>
      <w:r>
        <w:rPr>
          <w:rFonts w:ascii="Arial" w:hAnsi="Arial" w:cs="Arial"/>
          <w:bCs/>
        </w:rPr>
        <w:tab/>
      </w:r>
      <w:r w:rsidR="000A0C69" w:rsidRPr="003328F7">
        <w:rPr>
          <w:rFonts w:ascii="Arial" w:hAnsi="Arial" w:cs="Arial"/>
          <w:bCs/>
        </w:rPr>
        <w:t>The respondents’ application to deliver a further answering affidavit is refused, with costs</w:t>
      </w:r>
      <w:r w:rsidR="0005695F" w:rsidRPr="003328F7">
        <w:rPr>
          <w:rFonts w:ascii="Arial" w:hAnsi="Arial" w:cs="Arial"/>
          <w:bCs/>
        </w:rPr>
        <w:t xml:space="preserve"> on the attorney and client scale</w:t>
      </w:r>
      <w:r w:rsidR="000A0C69" w:rsidRPr="003328F7">
        <w:rPr>
          <w:rFonts w:ascii="Arial" w:hAnsi="Arial" w:cs="Arial"/>
          <w:bCs/>
        </w:rPr>
        <w:t>.</w:t>
      </w:r>
    </w:p>
    <w:p w14:paraId="3ACF88B4" w14:textId="55E20ECB" w:rsidR="000A0C69" w:rsidRPr="003328F7" w:rsidRDefault="003328F7" w:rsidP="003328F7">
      <w:pPr>
        <w:tabs>
          <w:tab w:val="left" w:pos="709"/>
          <w:tab w:val="left" w:pos="1418"/>
        </w:tabs>
        <w:spacing w:line="360" w:lineRule="auto"/>
        <w:jc w:val="both"/>
        <w:rPr>
          <w:rFonts w:ascii="Arial" w:hAnsi="Arial" w:cs="Arial"/>
          <w:bCs/>
        </w:rPr>
      </w:pPr>
      <w:r w:rsidRPr="00233DFA">
        <w:rPr>
          <w:rFonts w:ascii="Arial" w:hAnsi="Arial" w:cs="Arial"/>
          <w:bCs/>
        </w:rPr>
        <w:lastRenderedPageBreak/>
        <w:t>2.</w:t>
      </w:r>
      <w:r w:rsidRPr="00233DFA">
        <w:rPr>
          <w:rFonts w:ascii="Arial" w:hAnsi="Arial" w:cs="Arial"/>
          <w:bCs/>
        </w:rPr>
        <w:tab/>
      </w:r>
      <w:r w:rsidR="000A0C69" w:rsidRPr="003328F7">
        <w:rPr>
          <w:rFonts w:ascii="Arial" w:hAnsi="Arial" w:cs="Arial"/>
          <w:bCs/>
        </w:rPr>
        <w:t>Judgment is entered against the respondents jointly and severally, the one paying the other to be absolved, for:</w:t>
      </w:r>
    </w:p>
    <w:p w14:paraId="46BC3BAE" w14:textId="52B70E15" w:rsidR="000A0C69" w:rsidRPr="003328F7" w:rsidRDefault="003328F7" w:rsidP="003328F7">
      <w:pPr>
        <w:tabs>
          <w:tab w:val="left" w:pos="709"/>
          <w:tab w:val="left" w:pos="851"/>
          <w:tab w:val="left" w:pos="1418"/>
        </w:tabs>
        <w:spacing w:line="360" w:lineRule="auto"/>
        <w:jc w:val="both"/>
        <w:rPr>
          <w:rFonts w:ascii="Arial" w:hAnsi="Arial" w:cs="Arial"/>
          <w:bCs/>
        </w:rPr>
      </w:pPr>
      <w:r w:rsidRPr="00233DFA">
        <w:rPr>
          <w:rFonts w:ascii="Arial" w:hAnsi="Arial" w:cs="Arial"/>
          <w:bCs/>
        </w:rPr>
        <w:t>(a)</w:t>
      </w:r>
      <w:r w:rsidRPr="00233DFA">
        <w:rPr>
          <w:rFonts w:ascii="Arial" w:hAnsi="Arial" w:cs="Arial"/>
          <w:bCs/>
        </w:rPr>
        <w:tab/>
      </w:r>
      <w:r w:rsidR="000A0C69" w:rsidRPr="003328F7">
        <w:rPr>
          <w:rFonts w:ascii="Arial" w:hAnsi="Arial" w:cs="Arial"/>
          <w:bCs/>
        </w:rPr>
        <w:t>Payment of the sum of R18 039 598.59;</w:t>
      </w:r>
    </w:p>
    <w:p w14:paraId="3E4A5754" w14:textId="27613E7C" w:rsidR="000A0C69" w:rsidRPr="003328F7" w:rsidRDefault="003328F7" w:rsidP="003328F7">
      <w:pPr>
        <w:tabs>
          <w:tab w:val="left" w:pos="709"/>
          <w:tab w:val="left" w:pos="1418"/>
        </w:tabs>
        <w:spacing w:line="360" w:lineRule="auto"/>
        <w:jc w:val="both"/>
        <w:rPr>
          <w:rFonts w:ascii="Arial" w:hAnsi="Arial" w:cs="Arial"/>
          <w:bCs/>
        </w:rPr>
      </w:pPr>
      <w:r w:rsidRPr="00233DFA">
        <w:rPr>
          <w:rFonts w:ascii="Arial" w:hAnsi="Arial" w:cs="Arial"/>
          <w:bCs/>
        </w:rPr>
        <w:t>(b)</w:t>
      </w:r>
      <w:r w:rsidRPr="00233DFA">
        <w:rPr>
          <w:rFonts w:ascii="Arial" w:hAnsi="Arial" w:cs="Arial"/>
          <w:bCs/>
        </w:rPr>
        <w:tab/>
      </w:r>
      <w:r w:rsidR="000A0C69" w:rsidRPr="003328F7">
        <w:rPr>
          <w:rFonts w:ascii="Arial" w:hAnsi="Arial" w:cs="Arial"/>
          <w:bCs/>
        </w:rPr>
        <w:t>Interest thereon at the rate of 8,25% (prime plus 1.00%) per annum capitalised monthly from 2 June 2020 to date of payment, both days included;</w:t>
      </w:r>
    </w:p>
    <w:p w14:paraId="4505188B" w14:textId="22BE27FD" w:rsidR="000A0C69" w:rsidRPr="003328F7" w:rsidRDefault="003328F7" w:rsidP="003328F7">
      <w:pPr>
        <w:tabs>
          <w:tab w:val="left" w:pos="709"/>
          <w:tab w:val="left" w:pos="1418"/>
        </w:tabs>
        <w:spacing w:line="360" w:lineRule="auto"/>
        <w:jc w:val="both"/>
        <w:rPr>
          <w:rFonts w:ascii="Arial" w:hAnsi="Arial" w:cs="Arial"/>
          <w:bCs/>
        </w:rPr>
      </w:pPr>
      <w:r>
        <w:rPr>
          <w:rFonts w:ascii="Arial" w:hAnsi="Arial" w:cs="Arial"/>
          <w:bCs/>
        </w:rPr>
        <w:t>(c)</w:t>
      </w:r>
      <w:r>
        <w:rPr>
          <w:rFonts w:ascii="Arial" w:hAnsi="Arial" w:cs="Arial"/>
          <w:bCs/>
        </w:rPr>
        <w:tab/>
      </w:r>
      <w:r w:rsidR="000A0C69" w:rsidRPr="003328F7">
        <w:rPr>
          <w:rFonts w:ascii="Arial" w:hAnsi="Arial" w:cs="Arial"/>
          <w:bCs/>
        </w:rPr>
        <w:t>Costs of suit on the scale as between attorney and client.</w:t>
      </w:r>
    </w:p>
    <w:p w14:paraId="6F8B5CF7" w14:textId="77777777" w:rsidR="005C36C8" w:rsidRPr="00D90BC2" w:rsidRDefault="005C36C8" w:rsidP="00070440">
      <w:pPr>
        <w:pBdr>
          <w:bottom w:val="single" w:sz="12" w:space="1" w:color="auto"/>
        </w:pBdr>
        <w:spacing w:line="360" w:lineRule="auto"/>
        <w:jc w:val="both"/>
        <w:rPr>
          <w:rFonts w:ascii="Arial" w:hAnsi="Arial" w:cs="Arial"/>
          <w:b/>
          <w:bCs/>
        </w:rPr>
      </w:pPr>
    </w:p>
    <w:p w14:paraId="507A7314" w14:textId="77777777" w:rsidR="00E30E8A" w:rsidRPr="00D90BC2" w:rsidRDefault="00E30E8A" w:rsidP="00E30E8A">
      <w:pPr>
        <w:jc w:val="both"/>
        <w:rPr>
          <w:rFonts w:ascii="Arial" w:hAnsi="Arial" w:cs="Arial"/>
          <w:b/>
          <w:bCs/>
        </w:rPr>
      </w:pPr>
    </w:p>
    <w:p w14:paraId="049DB025" w14:textId="77777777" w:rsidR="00E30E8A" w:rsidRPr="00D90BC2" w:rsidRDefault="00E30E8A" w:rsidP="00E30E8A">
      <w:pPr>
        <w:pBdr>
          <w:bottom w:val="single" w:sz="12" w:space="1" w:color="auto"/>
        </w:pBdr>
        <w:jc w:val="center"/>
        <w:rPr>
          <w:rFonts w:ascii="Arial" w:hAnsi="Arial" w:cs="Arial"/>
          <w:b/>
          <w:bCs/>
        </w:rPr>
      </w:pPr>
      <w:r w:rsidRPr="00D90BC2">
        <w:rPr>
          <w:rFonts w:ascii="Arial" w:hAnsi="Arial" w:cs="Arial"/>
          <w:b/>
          <w:bCs/>
        </w:rPr>
        <w:t>JUDGMENT</w:t>
      </w:r>
    </w:p>
    <w:p w14:paraId="307B21CE" w14:textId="77777777" w:rsidR="00E30E8A" w:rsidRPr="00D90BC2" w:rsidRDefault="00E30E8A" w:rsidP="00E30E8A">
      <w:pPr>
        <w:pBdr>
          <w:bottom w:val="single" w:sz="12" w:space="1" w:color="auto"/>
        </w:pBdr>
        <w:jc w:val="center"/>
        <w:rPr>
          <w:rFonts w:ascii="Arial" w:hAnsi="Arial" w:cs="Arial"/>
          <w:b/>
          <w:bCs/>
        </w:rPr>
      </w:pPr>
    </w:p>
    <w:p w14:paraId="7ECCB5AC" w14:textId="77777777" w:rsidR="00E30E8A" w:rsidRPr="00D90BC2" w:rsidRDefault="00E30E8A" w:rsidP="00233DFA">
      <w:pPr>
        <w:spacing w:line="360" w:lineRule="auto"/>
        <w:jc w:val="both"/>
        <w:rPr>
          <w:rFonts w:ascii="Arial" w:hAnsi="Arial" w:cs="Arial"/>
          <w:b/>
          <w:bCs/>
        </w:rPr>
      </w:pPr>
    </w:p>
    <w:p w14:paraId="0E627F86" w14:textId="77777777" w:rsidR="00E30E8A" w:rsidRPr="00D90BC2" w:rsidRDefault="000D24DB" w:rsidP="00233DFA">
      <w:pPr>
        <w:spacing w:line="360" w:lineRule="auto"/>
        <w:jc w:val="both"/>
        <w:rPr>
          <w:rFonts w:ascii="Arial" w:hAnsi="Arial" w:cs="Arial"/>
          <w:b/>
          <w:bCs/>
        </w:rPr>
      </w:pPr>
      <w:r w:rsidRPr="00D90BC2">
        <w:rPr>
          <w:rFonts w:ascii="Arial" w:hAnsi="Arial" w:cs="Arial"/>
          <w:b/>
        </w:rPr>
        <w:t>M</w:t>
      </w:r>
      <w:r w:rsidR="00E721D2" w:rsidRPr="00D90BC2">
        <w:rPr>
          <w:rFonts w:ascii="Arial" w:hAnsi="Arial" w:cs="Arial"/>
          <w:b/>
        </w:rPr>
        <w:t>OSSOP</w:t>
      </w:r>
      <w:r w:rsidRPr="00D90BC2">
        <w:rPr>
          <w:rFonts w:ascii="Arial" w:hAnsi="Arial" w:cs="Arial"/>
          <w:b/>
        </w:rPr>
        <w:t xml:space="preserve"> </w:t>
      </w:r>
      <w:r w:rsidR="00A716F4" w:rsidRPr="00D90BC2">
        <w:rPr>
          <w:rFonts w:ascii="Arial" w:hAnsi="Arial" w:cs="Arial"/>
          <w:b/>
        </w:rPr>
        <w:t>J</w:t>
      </w:r>
      <w:r w:rsidRPr="00D90BC2">
        <w:rPr>
          <w:rFonts w:ascii="Arial" w:hAnsi="Arial" w:cs="Arial"/>
          <w:b/>
          <w:bCs/>
        </w:rPr>
        <w:t>:</w:t>
      </w:r>
    </w:p>
    <w:p w14:paraId="73C2EADA" w14:textId="77777777" w:rsidR="00C86E89" w:rsidRPr="00D90BC2" w:rsidRDefault="00C86E89" w:rsidP="00233DFA">
      <w:pPr>
        <w:spacing w:line="360" w:lineRule="auto"/>
        <w:jc w:val="both"/>
        <w:rPr>
          <w:rFonts w:ascii="Arial" w:hAnsi="Arial" w:cs="Arial"/>
          <w:b/>
          <w:bCs/>
        </w:rPr>
      </w:pPr>
    </w:p>
    <w:p w14:paraId="17B8AFB9" w14:textId="67EF96D4" w:rsidR="007B5A39"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[1]</w:t>
      </w:r>
      <w:r>
        <w:rPr>
          <w:rFonts w:ascii="Arial" w:eastAsiaTheme="minorHAnsi" w:hAnsi="Arial" w:cs="Arial"/>
          <w:color w:val="000000" w:themeColor="text1"/>
          <w:lang w:eastAsia="en-US" w:bidi="ar-SA"/>
        </w:rPr>
        <w:tab/>
      </w:r>
      <w:r w:rsidR="00FD4B5B" w:rsidRPr="003328F7">
        <w:rPr>
          <w:rFonts w:ascii="Arial" w:hAnsi="Arial" w:cs="Arial"/>
        </w:rPr>
        <w:t xml:space="preserve"> </w:t>
      </w:r>
      <w:r w:rsidR="00DA32C4" w:rsidRPr="003328F7">
        <w:rPr>
          <w:rFonts w:ascii="Arial" w:hAnsi="Arial" w:cs="Arial"/>
        </w:rPr>
        <w:t>Th</w:t>
      </w:r>
      <w:r w:rsidR="007B5A39" w:rsidRPr="003328F7">
        <w:rPr>
          <w:rFonts w:ascii="Arial" w:hAnsi="Arial" w:cs="Arial"/>
        </w:rPr>
        <w:t xml:space="preserve">e applicant is a major </w:t>
      </w:r>
      <w:r w:rsidR="0012175C" w:rsidRPr="003328F7">
        <w:rPr>
          <w:rFonts w:ascii="Arial" w:hAnsi="Arial" w:cs="Arial"/>
        </w:rPr>
        <w:t xml:space="preserve">South African </w:t>
      </w:r>
      <w:r w:rsidR="007B5A39" w:rsidRPr="003328F7">
        <w:rPr>
          <w:rFonts w:ascii="Arial" w:hAnsi="Arial" w:cs="Arial"/>
        </w:rPr>
        <w:t>financial institution</w:t>
      </w:r>
      <w:r w:rsidR="0012175C" w:rsidRPr="003328F7">
        <w:rPr>
          <w:rFonts w:ascii="Arial" w:hAnsi="Arial" w:cs="Arial"/>
        </w:rPr>
        <w:t>.</w:t>
      </w:r>
      <w:r w:rsidR="007B5A39" w:rsidRPr="003328F7">
        <w:rPr>
          <w:rFonts w:ascii="Arial" w:hAnsi="Arial" w:cs="Arial"/>
        </w:rPr>
        <w:t xml:space="preserve"> In this application, which is opposed by the respondents, </w:t>
      </w:r>
      <w:r w:rsidR="00A60948" w:rsidRPr="003328F7">
        <w:rPr>
          <w:rFonts w:ascii="Arial" w:hAnsi="Arial" w:cs="Arial"/>
        </w:rPr>
        <w:t>it</w:t>
      </w:r>
      <w:r w:rsidR="007B5A39" w:rsidRPr="003328F7">
        <w:rPr>
          <w:rFonts w:ascii="Arial" w:hAnsi="Arial" w:cs="Arial"/>
        </w:rPr>
        <w:t xml:space="preserve"> seek</w:t>
      </w:r>
      <w:r w:rsidR="00A60948" w:rsidRPr="003328F7">
        <w:rPr>
          <w:rFonts w:ascii="Arial" w:hAnsi="Arial" w:cs="Arial"/>
        </w:rPr>
        <w:t>s</w:t>
      </w:r>
      <w:r w:rsidR="007B5A39" w:rsidRPr="003328F7">
        <w:rPr>
          <w:rFonts w:ascii="Arial" w:hAnsi="Arial" w:cs="Arial"/>
        </w:rPr>
        <w:t xml:space="preserve"> a </w:t>
      </w:r>
      <w:r w:rsidR="00F57720" w:rsidRPr="003328F7">
        <w:rPr>
          <w:rFonts w:ascii="Arial" w:hAnsi="Arial" w:cs="Arial"/>
        </w:rPr>
        <w:t xml:space="preserve">monetary </w:t>
      </w:r>
      <w:r w:rsidR="007B5A39" w:rsidRPr="003328F7">
        <w:rPr>
          <w:rFonts w:ascii="Arial" w:hAnsi="Arial" w:cs="Arial"/>
        </w:rPr>
        <w:t xml:space="preserve">judgment against </w:t>
      </w:r>
      <w:r w:rsidR="00CF2989" w:rsidRPr="003328F7">
        <w:rPr>
          <w:rFonts w:ascii="Arial" w:hAnsi="Arial" w:cs="Arial"/>
        </w:rPr>
        <w:t>them</w:t>
      </w:r>
      <w:r w:rsidR="00835531" w:rsidRPr="003328F7">
        <w:rPr>
          <w:rFonts w:ascii="Arial" w:hAnsi="Arial" w:cs="Arial"/>
        </w:rPr>
        <w:t>,</w:t>
      </w:r>
      <w:r w:rsidR="007B5A39" w:rsidRPr="003328F7">
        <w:rPr>
          <w:rFonts w:ascii="Arial" w:hAnsi="Arial" w:cs="Arial"/>
        </w:rPr>
        <w:t xml:space="preserve"> jointly and severally, for payment of the sum of R18 039 598.59</w:t>
      </w:r>
      <w:r w:rsidR="00D527BD" w:rsidRPr="003328F7">
        <w:rPr>
          <w:rFonts w:ascii="Arial" w:hAnsi="Arial" w:cs="Arial"/>
        </w:rPr>
        <w:t xml:space="preserve"> (the judgment amount)</w:t>
      </w:r>
      <w:r w:rsidR="007B5A39" w:rsidRPr="003328F7">
        <w:rPr>
          <w:rFonts w:ascii="Arial" w:hAnsi="Arial" w:cs="Arial"/>
        </w:rPr>
        <w:t>, interest thereon</w:t>
      </w:r>
      <w:r w:rsidR="0069578D" w:rsidRPr="003328F7">
        <w:rPr>
          <w:rFonts w:ascii="Arial" w:hAnsi="Arial" w:cs="Arial"/>
        </w:rPr>
        <w:t xml:space="preserve"> at the prime interest rate charged by </w:t>
      </w:r>
      <w:r w:rsidR="00C965AF" w:rsidRPr="003328F7">
        <w:rPr>
          <w:rFonts w:ascii="Arial" w:hAnsi="Arial" w:cs="Arial"/>
        </w:rPr>
        <w:t>it</w:t>
      </w:r>
      <w:r w:rsidR="0069578D" w:rsidRPr="003328F7">
        <w:rPr>
          <w:rFonts w:ascii="Arial" w:hAnsi="Arial" w:cs="Arial"/>
        </w:rPr>
        <w:t xml:space="preserve"> plus one percent,</w:t>
      </w:r>
      <w:r w:rsidR="007B5A39" w:rsidRPr="003328F7">
        <w:rPr>
          <w:rFonts w:ascii="Arial" w:hAnsi="Arial" w:cs="Arial"/>
        </w:rPr>
        <w:t xml:space="preserve"> and costs on the attorney and client scale. The first three respondents are cited </w:t>
      </w:r>
      <w:r w:rsidR="00A60948" w:rsidRPr="003328F7">
        <w:rPr>
          <w:rFonts w:ascii="Arial" w:hAnsi="Arial" w:cs="Arial"/>
        </w:rPr>
        <w:t>in their representative capacities</w:t>
      </w:r>
      <w:r w:rsidR="007B5A39" w:rsidRPr="003328F7">
        <w:rPr>
          <w:rFonts w:ascii="Arial" w:hAnsi="Arial" w:cs="Arial"/>
        </w:rPr>
        <w:t xml:space="preserve"> as trustees of the H. R. Singh Family Trust (the Trust) and the first respondent is also cited in his personal capacity as the fourth respo</w:t>
      </w:r>
      <w:r w:rsidR="00835531" w:rsidRPr="003328F7">
        <w:rPr>
          <w:rFonts w:ascii="Arial" w:hAnsi="Arial" w:cs="Arial"/>
        </w:rPr>
        <w:t>ndent.</w:t>
      </w:r>
    </w:p>
    <w:p w14:paraId="233A0FDF" w14:textId="77777777" w:rsidR="005D4314" w:rsidRDefault="007B5A39" w:rsidP="007B5A39">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 xml:space="preserve"> </w:t>
      </w:r>
    </w:p>
    <w:p w14:paraId="057F9251" w14:textId="24ECB467" w:rsidR="005D4314"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[2]</w:t>
      </w:r>
      <w:r>
        <w:rPr>
          <w:rFonts w:ascii="Arial" w:eastAsiaTheme="minorHAnsi" w:hAnsi="Arial" w:cs="Arial"/>
          <w:color w:val="000000" w:themeColor="text1"/>
          <w:lang w:eastAsia="en-US" w:bidi="ar-SA"/>
        </w:rPr>
        <w:tab/>
      </w:r>
      <w:r w:rsidR="00A60948" w:rsidRPr="003328F7">
        <w:rPr>
          <w:rFonts w:ascii="Arial" w:hAnsi="Arial" w:cs="Arial"/>
        </w:rPr>
        <w:t>When the matter was argued, t</w:t>
      </w:r>
      <w:r w:rsidR="005D4314" w:rsidRPr="003328F7">
        <w:rPr>
          <w:rFonts w:ascii="Arial" w:hAnsi="Arial" w:cs="Arial"/>
        </w:rPr>
        <w:t xml:space="preserve">he applicant was represented by Mr </w:t>
      </w:r>
      <w:r w:rsidR="00281252" w:rsidRPr="003328F7">
        <w:rPr>
          <w:rFonts w:ascii="Arial" w:hAnsi="Arial" w:cs="Arial"/>
        </w:rPr>
        <w:t>v</w:t>
      </w:r>
      <w:r w:rsidR="005D4883" w:rsidRPr="003328F7">
        <w:rPr>
          <w:rFonts w:ascii="Arial" w:hAnsi="Arial" w:cs="Arial"/>
        </w:rPr>
        <w:t xml:space="preserve">an </w:t>
      </w:r>
      <w:r w:rsidR="007B5A39" w:rsidRPr="003328F7">
        <w:rPr>
          <w:rFonts w:ascii="Arial" w:hAnsi="Arial" w:cs="Arial"/>
        </w:rPr>
        <w:t xml:space="preserve">Rooyen </w:t>
      </w:r>
      <w:r w:rsidR="005D4314" w:rsidRPr="003328F7">
        <w:rPr>
          <w:rFonts w:ascii="Arial" w:hAnsi="Arial" w:cs="Arial"/>
        </w:rPr>
        <w:t>and the respondent</w:t>
      </w:r>
      <w:r w:rsidR="003C76A3" w:rsidRPr="003328F7">
        <w:rPr>
          <w:rFonts w:ascii="Arial" w:hAnsi="Arial" w:cs="Arial"/>
        </w:rPr>
        <w:t>s</w:t>
      </w:r>
      <w:r w:rsidR="005D4314" w:rsidRPr="003328F7">
        <w:rPr>
          <w:rFonts w:ascii="Arial" w:hAnsi="Arial" w:cs="Arial"/>
        </w:rPr>
        <w:t xml:space="preserve"> w</w:t>
      </w:r>
      <w:r w:rsidR="003C76A3" w:rsidRPr="003328F7">
        <w:rPr>
          <w:rFonts w:ascii="Arial" w:hAnsi="Arial" w:cs="Arial"/>
        </w:rPr>
        <w:t>ere</w:t>
      </w:r>
      <w:r w:rsidR="005D4314" w:rsidRPr="003328F7">
        <w:rPr>
          <w:rFonts w:ascii="Arial" w:hAnsi="Arial" w:cs="Arial"/>
        </w:rPr>
        <w:t xml:space="preserve"> represented by </w:t>
      </w:r>
      <w:r w:rsidR="007B5A39" w:rsidRPr="003328F7">
        <w:rPr>
          <w:rFonts w:ascii="Arial" w:hAnsi="Arial" w:cs="Arial"/>
        </w:rPr>
        <w:t>Mr Alberts</w:t>
      </w:r>
      <w:r w:rsidR="005D4314" w:rsidRPr="003328F7">
        <w:rPr>
          <w:rFonts w:ascii="Arial" w:hAnsi="Arial" w:cs="Arial"/>
        </w:rPr>
        <w:t>. Both counsel are thanked for the assistance that they have provided to the court.</w:t>
      </w:r>
    </w:p>
    <w:p w14:paraId="0A1CD8AA" w14:textId="77777777" w:rsidR="00835531" w:rsidRPr="00835531" w:rsidRDefault="00835531" w:rsidP="003C76A3">
      <w:pPr>
        <w:pStyle w:val="ListParagraph"/>
        <w:spacing w:line="360" w:lineRule="auto"/>
        <w:rPr>
          <w:rFonts w:ascii="Arial" w:hAnsi="Arial" w:cs="Arial"/>
          <w:sz w:val="24"/>
          <w:szCs w:val="24"/>
          <w:lang w:val="en-ZA"/>
        </w:rPr>
      </w:pPr>
    </w:p>
    <w:p w14:paraId="0FB09DD2" w14:textId="655FEF4C" w:rsidR="00722B5D" w:rsidRPr="003328F7" w:rsidRDefault="003328F7" w:rsidP="003328F7">
      <w:pPr>
        <w:tabs>
          <w:tab w:val="left" w:pos="709"/>
          <w:tab w:val="left" w:pos="1418"/>
        </w:tabs>
        <w:spacing w:line="360" w:lineRule="auto"/>
        <w:jc w:val="both"/>
        <w:rPr>
          <w:rFonts w:ascii="Arial" w:hAnsi="Arial" w:cs="Arial"/>
        </w:rPr>
      </w:pPr>
      <w:r w:rsidRPr="00722B5D">
        <w:rPr>
          <w:rFonts w:ascii="Arial" w:eastAsiaTheme="minorHAnsi" w:hAnsi="Arial" w:cs="Arial"/>
          <w:color w:val="000000" w:themeColor="text1"/>
          <w:lang w:val="en-GB" w:eastAsia="en-US" w:bidi="ar-SA"/>
        </w:rPr>
        <w:t>[3]</w:t>
      </w:r>
      <w:r w:rsidRPr="00722B5D">
        <w:rPr>
          <w:rFonts w:ascii="Arial" w:eastAsiaTheme="minorHAnsi" w:hAnsi="Arial" w:cs="Arial"/>
          <w:color w:val="000000" w:themeColor="text1"/>
          <w:lang w:val="en-GB" w:eastAsia="en-US" w:bidi="ar-SA"/>
        </w:rPr>
        <w:tab/>
      </w:r>
      <w:r w:rsidR="00835531" w:rsidRPr="003328F7">
        <w:rPr>
          <w:rFonts w:ascii="Arial" w:hAnsi="Arial" w:cs="Arial"/>
        </w:rPr>
        <w:t>The applicant</w:t>
      </w:r>
      <w:r w:rsidR="00990D23" w:rsidRPr="003328F7">
        <w:rPr>
          <w:rFonts w:ascii="Arial" w:hAnsi="Arial" w:cs="Arial"/>
        </w:rPr>
        <w:t>’</w:t>
      </w:r>
      <w:r w:rsidR="00835531" w:rsidRPr="003328F7">
        <w:rPr>
          <w:rFonts w:ascii="Arial" w:hAnsi="Arial" w:cs="Arial"/>
        </w:rPr>
        <w:t xml:space="preserve">s case is simply </w:t>
      </w:r>
      <w:r w:rsidR="00CF2989" w:rsidRPr="003328F7">
        <w:rPr>
          <w:rFonts w:ascii="Arial" w:hAnsi="Arial" w:cs="Arial"/>
        </w:rPr>
        <w:t xml:space="preserve">framed and </w:t>
      </w:r>
      <w:r w:rsidR="00835531" w:rsidRPr="003328F7">
        <w:rPr>
          <w:rFonts w:ascii="Arial" w:hAnsi="Arial" w:cs="Arial"/>
        </w:rPr>
        <w:t xml:space="preserve">pleaded. </w:t>
      </w:r>
      <w:r w:rsidR="00CB6F59" w:rsidRPr="003328F7">
        <w:rPr>
          <w:rFonts w:ascii="Arial" w:hAnsi="Arial" w:cs="Arial"/>
        </w:rPr>
        <w:t>It is brought on application, on the basis that there is no major dispute of fact between it and the respondents.</w:t>
      </w:r>
      <w:r w:rsidR="00CB6F59">
        <w:rPr>
          <w:rStyle w:val="FootnoteReference"/>
          <w:rFonts w:ascii="Arial" w:hAnsi="Arial" w:cs="Arial"/>
        </w:rPr>
        <w:footnoteReference w:id="1"/>
      </w:r>
      <w:r w:rsidR="00CB6F59" w:rsidRPr="003328F7">
        <w:rPr>
          <w:rFonts w:ascii="Arial" w:hAnsi="Arial" w:cs="Arial"/>
        </w:rPr>
        <w:t xml:space="preserve"> </w:t>
      </w:r>
      <w:r w:rsidR="00281252" w:rsidRPr="003328F7">
        <w:rPr>
          <w:rFonts w:ascii="Arial" w:hAnsi="Arial" w:cs="Arial"/>
        </w:rPr>
        <w:t>It alleges that o</w:t>
      </w:r>
      <w:r w:rsidR="00835531" w:rsidRPr="003328F7">
        <w:rPr>
          <w:rFonts w:ascii="Arial" w:hAnsi="Arial" w:cs="Arial"/>
        </w:rPr>
        <w:t xml:space="preserve">n 26 October 2018, it concluded a written term loan agreement </w:t>
      </w:r>
      <w:r w:rsidR="00BB09D6" w:rsidRPr="003328F7">
        <w:rPr>
          <w:rFonts w:ascii="Arial" w:hAnsi="Arial" w:cs="Arial"/>
        </w:rPr>
        <w:t xml:space="preserve">(the </w:t>
      </w:r>
      <w:r w:rsidR="006A1168" w:rsidRPr="003328F7">
        <w:rPr>
          <w:rFonts w:ascii="Arial" w:hAnsi="Arial" w:cs="Arial"/>
        </w:rPr>
        <w:t xml:space="preserve">loan </w:t>
      </w:r>
      <w:r w:rsidR="00BB09D6" w:rsidRPr="003328F7">
        <w:rPr>
          <w:rFonts w:ascii="Arial" w:hAnsi="Arial" w:cs="Arial"/>
        </w:rPr>
        <w:t xml:space="preserve">agreement) </w:t>
      </w:r>
      <w:r w:rsidR="00835531" w:rsidRPr="003328F7">
        <w:rPr>
          <w:rFonts w:ascii="Arial" w:hAnsi="Arial" w:cs="Arial"/>
        </w:rPr>
        <w:t>with an entity known as Proud Heritage 217 (Pty) Ltd (the company). In terms of th</w:t>
      </w:r>
      <w:r w:rsidR="00F7281B" w:rsidRPr="003328F7">
        <w:rPr>
          <w:rFonts w:ascii="Arial" w:hAnsi="Arial" w:cs="Arial"/>
        </w:rPr>
        <w:t>e</w:t>
      </w:r>
      <w:r w:rsidR="00722B5D" w:rsidRPr="003328F7">
        <w:rPr>
          <w:rFonts w:ascii="Arial" w:hAnsi="Arial" w:cs="Arial"/>
        </w:rPr>
        <w:t xml:space="preserve"> loan </w:t>
      </w:r>
      <w:r w:rsidR="00835531" w:rsidRPr="003328F7">
        <w:rPr>
          <w:rFonts w:ascii="Arial" w:hAnsi="Arial" w:cs="Arial"/>
        </w:rPr>
        <w:t>agreement, the applicant agreed to l</w:t>
      </w:r>
      <w:r w:rsidR="00722B5D" w:rsidRPr="003328F7">
        <w:rPr>
          <w:rFonts w:ascii="Arial" w:hAnsi="Arial" w:cs="Arial"/>
        </w:rPr>
        <w:t>end</w:t>
      </w:r>
      <w:r w:rsidR="00835531" w:rsidRPr="003328F7">
        <w:rPr>
          <w:rFonts w:ascii="Arial" w:hAnsi="Arial" w:cs="Arial"/>
        </w:rPr>
        <w:t xml:space="preserve"> the company an amount of approximately R19 million</w:t>
      </w:r>
      <w:r w:rsidR="00742FD9" w:rsidRPr="003328F7">
        <w:rPr>
          <w:rFonts w:ascii="Arial" w:hAnsi="Arial" w:cs="Arial"/>
        </w:rPr>
        <w:t xml:space="preserve"> (the loan amount)</w:t>
      </w:r>
      <w:r w:rsidR="00835531" w:rsidRPr="003328F7">
        <w:rPr>
          <w:rFonts w:ascii="Arial" w:hAnsi="Arial" w:cs="Arial"/>
        </w:rPr>
        <w:t xml:space="preserve">. </w:t>
      </w:r>
      <w:r w:rsidR="00930277" w:rsidRPr="003328F7">
        <w:rPr>
          <w:rFonts w:ascii="Arial" w:hAnsi="Arial" w:cs="Arial"/>
        </w:rPr>
        <w:t xml:space="preserve">The </w:t>
      </w:r>
      <w:r w:rsidR="0062508A" w:rsidRPr="003328F7">
        <w:rPr>
          <w:rFonts w:ascii="Arial" w:hAnsi="Arial" w:cs="Arial"/>
        </w:rPr>
        <w:t>purpose behind the loan is set out on the first page of the agreement and was</w:t>
      </w:r>
      <w:r w:rsidR="00930277" w:rsidRPr="003328F7">
        <w:rPr>
          <w:rFonts w:ascii="Arial" w:hAnsi="Arial" w:cs="Arial"/>
        </w:rPr>
        <w:t>:</w:t>
      </w:r>
    </w:p>
    <w:p w14:paraId="05A32D47" w14:textId="77777777" w:rsidR="00930277" w:rsidRDefault="00930277" w:rsidP="00722B5D">
      <w:pPr>
        <w:pStyle w:val="ListParagraph"/>
        <w:tabs>
          <w:tab w:val="left" w:pos="709"/>
          <w:tab w:val="left" w:pos="1418"/>
        </w:tabs>
        <w:spacing w:after="0" w:line="360" w:lineRule="auto"/>
        <w:ind w:left="0"/>
        <w:jc w:val="both"/>
        <w:rPr>
          <w:rFonts w:ascii="Arial" w:hAnsi="Arial" w:cs="Arial"/>
        </w:rPr>
      </w:pPr>
      <w:r w:rsidRPr="00722B5D">
        <w:rPr>
          <w:rFonts w:ascii="Arial" w:hAnsi="Arial" w:cs="Arial"/>
        </w:rPr>
        <w:lastRenderedPageBreak/>
        <w:t>‘To restructure the outstanding obligations of Divine Inspiration Trading 350 (Proprietary) Limited, together with all existing obligations of Proud Heritage 21</w:t>
      </w:r>
      <w:r w:rsidR="0062508A" w:rsidRPr="00722B5D">
        <w:rPr>
          <w:rFonts w:ascii="Arial" w:hAnsi="Arial" w:cs="Arial"/>
        </w:rPr>
        <w:t>7</w:t>
      </w:r>
      <w:r w:rsidRPr="00722B5D">
        <w:rPr>
          <w:rFonts w:ascii="Arial" w:hAnsi="Arial" w:cs="Arial"/>
        </w:rPr>
        <w:t xml:space="preserve"> (Proprietary) Limited into a new term loan on the basis as set out herein.’</w:t>
      </w:r>
      <w:r w:rsidR="00D95A69" w:rsidRPr="00D95A69">
        <w:rPr>
          <w:rStyle w:val="FootnoteReference"/>
          <w:rFonts w:ascii="Arial" w:hAnsi="Arial" w:cs="Arial"/>
        </w:rPr>
        <w:t xml:space="preserve"> </w:t>
      </w:r>
    </w:p>
    <w:p w14:paraId="600CA1CE" w14:textId="4111A2F6" w:rsidR="00F66B69" w:rsidRPr="00D150AF" w:rsidRDefault="00D150AF" w:rsidP="00D150AF">
      <w:pPr>
        <w:pStyle w:val="ListParagraph"/>
        <w:tabs>
          <w:tab w:val="left" w:pos="709"/>
          <w:tab w:val="left" w:pos="1418"/>
        </w:tabs>
        <w:spacing w:after="0" w:line="360" w:lineRule="auto"/>
        <w:ind w:left="0"/>
        <w:jc w:val="both"/>
        <w:rPr>
          <w:rFonts w:ascii="Arial" w:hAnsi="Arial" w:cs="Arial"/>
          <w:sz w:val="24"/>
          <w:szCs w:val="24"/>
        </w:rPr>
      </w:pPr>
      <w:r w:rsidRPr="00D150AF">
        <w:rPr>
          <w:rFonts w:ascii="Arial" w:hAnsi="Arial" w:cs="Arial"/>
          <w:sz w:val="24"/>
          <w:szCs w:val="24"/>
        </w:rPr>
        <w:t xml:space="preserve">While the loan </w:t>
      </w:r>
      <w:r w:rsidR="00D527BD">
        <w:rPr>
          <w:rFonts w:ascii="Arial" w:hAnsi="Arial" w:cs="Arial"/>
          <w:sz w:val="24"/>
          <w:szCs w:val="24"/>
        </w:rPr>
        <w:t>agreement</w:t>
      </w:r>
      <w:r w:rsidRPr="00D150AF">
        <w:rPr>
          <w:rFonts w:ascii="Arial" w:hAnsi="Arial" w:cs="Arial"/>
          <w:sz w:val="24"/>
          <w:szCs w:val="24"/>
        </w:rPr>
        <w:t xml:space="preserve"> was a consolidation </w:t>
      </w:r>
      <w:r>
        <w:rPr>
          <w:rFonts w:ascii="Arial" w:hAnsi="Arial" w:cs="Arial"/>
          <w:sz w:val="24"/>
          <w:szCs w:val="24"/>
        </w:rPr>
        <w:t xml:space="preserve">of the then existing indebtedness of both entities mentioned in the extract above, the obligation to repay </w:t>
      </w:r>
      <w:r w:rsidR="00D527BD">
        <w:rPr>
          <w:rFonts w:ascii="Arial" w:hAnsi="Arial" w:cs="Arial"/>
          <w:sz w:val="24"/>
          <w:szCs w:val="24"/>
        </w:rPr>
        <w:t>the loan amount</w:t>
      </w:r>
      <w:r>
        <w:rPr>
          <w:rFonts w:ascii="Arial" w:hAnsi="Arial" w:cs="Arial"/>
          <w:sz w:val="24"/>
          <w:szCs w:val="24"/>
        </w:rPr>
        <w:t xml:space="preserve"> was accepted by the company.</w:t>
      </w:r>
      <w:r>
        <w:rPr>
          <w:rStyle w:val="FootnoteReference"/>
          <w:rFonts w:ascii="Arial" w:hAnsi="Arial" w:cs="Arial"/>
        </w:rPr>
        <w:footnoteReference w:id="2"/>
      </w:r>
      <w:r>
        <w:rPr>
          <w:rFonts w:ascii="Arial" w:hAnsi="Arial" w:cs="Arial"/>
          <w:sz w:val="24"/>
          <w:szCs w:val="24"/>
        </w:rPr>
        <w:t xml:space="preserve"> </w:t>
      </w:r>
      <w:r w:rsidR="00C33FAF">
        <w:rPr>
          <w:rFonts w:ascii="Arial" w:hAnsi="Arial" w:cs="Arial"/>
          <w:sz w:val="24"/>
          <w:szCs w:val="24"/>
          <w:lang w:val="en-ZA"/>
        </w:rPr>
        <w:t>The loan</w:t>
      </w:r>
      <w:r w:rsidR="003C76A3" w:rsidRPr="0062508A">
        <w:rPr>
          <w:rFonts w:ascii="Arial" w:hAnsi="Arial" w:cs="Arial"/>
          <w:sz w:val="24"/>
          <w:szCs w:val="24"/>
          <w:lang w:val="en-ZA"/>
        </w:rPr>
        <w:t xml:space="preserve"> </w:t>
      </w:r>
      <w:r w:rsidR="0039457E">
        <w:rPr>
          <w:rFonts w:ascii="Arial" w:hAnsi="Arial" w:cs="Arial"/>
          <w:sz w:val="24"/>
          <w:szCs w:val="24"/>
          <w:lang w:val="en-ZA"/>
        </w:rPr>
        <w:t xml:space="preserve">amount </w:t>
      </w:r>
      <w:r w:rsidR="003C76A3" w:rsidRPr="0062508A">
        <w:rPr>
          <w:rFonts w:ascii="Arial" w:hAnsi="Arial" w:cs="Arial"/>
          <w:sz w:val="24"/>
          <w:szCs w:val="24"/>
          <w:lang w:val="en-ZA"/>
        </w:rPr>
        <w:t>w</w:t>
      </w:r>
      <w:r w:rsidR="00835531" w:rsidRPr="0062508A">
        <w:rPr>
          <w:rFonts w:ascii="Arial" w:hAnsi="Arial" w:cs="Arial"/>
          <w:sz w:val="24"/>
          <w:szCs w:val="24"/>
          <w:lang w:val="en-ZA"/>
        </w:rPr>
        <w:t xml:space="preserve">ould attract interest at </w:t>
      </w:r>
      <w:r w:rsidR="00C33FAF">
        <w:rPr>
          <w:rFonts w:ascii="Arial" w:hAnsi="Arial" w:cs="Arial"/>
          <w:sz w:val="24"/>
          <w:szCs w:val="24"/>
          <w:lang w:val="en-ZA"/>
        </w:rPr>
        <w:t xml:space="preserve">the interest rate mentioned earlier, which was to be a </w:t>
      </w:r>
      <w:r w:rsidR="00722B5D">
        <w:rPr>
          <w:rFonts w:ascii="Arial" w:hAnsi="Arial" w:cs="Arial"/>
          <w:sz w:val="24"/>
          <w:szCs w:val="24"/>
          <w:lang w:val="en-ZA"/>
        </w:rPr>
        <w:t>variable</w:t>
      </w:r>
      <w:r w:rsidR="00C33FAF">
        <w:rPr>
          <w:rFonts w:ascii="Arial" w:hAnsi="Arial" w:cs="Arial"/>
          <w:sz w:val="24"/>
          <w:szCs w:val="24"/>
          <w:lang w:val="en-ZA"/>
        </w:rPr>
        <w:t xml:space="preserve"> rate, </w:t>
      </w:r>
      <w:r w:rsidR="00990D23" w:rsidRPr="0062508A">
        <w:rPr>
          <w:rFonts w:ascii="Arial" w:hAnsi="Arial" w:cs="Arial"/>
          <w:sz w:val="24"/>
          <w:szCs w:val="24"/>
          <w:lang w:val="en-ZA"/>
        </w:rPr>
        <w:t>and it was</w:t>
      </w:r>
      <w:r w:rsidR="00835531" w:rsidRPr="0062508A">
        <w:rPr>
          <w:rFonts w:ascii="Arial" w:hAnsi="Arial" w:cs="Arial"/>
          <w:sz w:val="24"/>
          <w:szCs w:val="24"/>
          <w:lang w:val="en-ZA"/>
        </w:rPr>
        <w:t xml:space="preserve"> to be repaid</w:t>
      </w:r>
      <w:r w:rsidR="005E5900" w:rsidRPr="0062508A">
        <w:rPr>
          <w:rFonts w:ascii="Arial" w:hAnsi="Arial" w:cs="Arial"/>
          <w:sz w:val="24"/>
          <w:szCs w:val="24"/>
          <w:lang w:val="en-ZA"/>
        </w:rPr>
        <w:t>, not in monthly instalments, but</w:t>
      </w:r>
      <w:r w:rsidR="00835531" w:rsidRPr="0062508A">
        <w:rPr>
          <w:rFonts w:ascii="Arial" w:hAnsi="Arial" w:cs="Arial"/>
          <w:sz w:val="24"/>
          <w:szCs w:val="24"/>
          <w:lang w:val="en-ZA"/>
        </w:rPr>
        <w:t xml:space="preserve"> in weekly </w:t>
      </w:r>
      <w:r w:rsidR="00260AED" w:rsidRPr="0062508A">
        <w:rPr>
          <w:rFonts w:ascii="Arial" w:hAnsi="Arial" w:cs="Arial"/>
          <w:sz w:val="24"/>
          <w:szCs w:val="24"/>
          <w:lang w:val="en-ZA"/>
        </w:rPr>
        <w:t>payment</w:t>
      </w:r>
      <w:r w:rsidR="00835531" w:rsidRPr="0062508A">
        <w:rPr>
          <w:rFonts w:ascii="Arial" w:hAnsi="Arial" w:cs="Arial"/>
          <w:sz w:val="24"/>
          <w:szCs w:val="24"/>
          <w:lang w:val="en-ZA"/>
        </w:rPr>
        <w:t xml:space="preserve">s by the company, commencing </w:t>
      </w:r>
      <w:r w:rsidR="005E5900" w:rsidRPr="0062508A">
        <w:rPr>
          <w:rFonts w:ascii="Arial" w:hAnsi="Arial" w:cs="Arial"/>
          <w:sz w:val="24"/>
          <w:szCs w:val="24"/>
          <w:lang w:val="en-ZA"/>
        </w:rPr>
        <w:t xml:space="preserve">with the first payment </w:t>
      </w:r>
      <w:r w:rsidR="00835531" w:rsidRPr="0062508A">
        <w:rPr>
          <w:rFonts w:ascii="Arial" w:hAnsi="Arial" w:cs="Arial"/>
          <w:sz w:val="24"/>
          <w:szCs w:val="24"/>
          <w:lang w:val="en-ZA"/>
        </w:rPr>
        <w:t>on 2 November 2018 and concluding with the last payment on 2 November 2028</w:t>
      </w:r>
      <w:r w:rsidR="00A60948" w:rsidRPr="0062508A">
        <w:rPr>
          <w:rFonts w:ascii="Arial" w:hAnsi="Arial" w:cs="Arial"/>
          <w:sz w:val="24"/>
          <w:szCs w:val="24"/>
          <w:lang w:val="en-ZA"/>
        </w:rPr>
        <w:t>, ten years later</w:t>
      </w:r>
      <w:r w:rsidR="00835531" w:rsidRPr="0062508A">
        <w:rPr>
          <w:rFonts w:ascii="Arial" w:hAnsi="Arial" w:cs="Arial"/>
          <w:sz w:val="24"/>
          <w:szCs w:val="24"/>
          <w:lang w:val="en-ZA"/>
        </w:rPr>
        <w:t>.</w:t>
      </w:r>
      <w:r w:rsidR="00BB09D6" w:rsidRPr="0062508A">
        <w:rPr>
          <w:rFonts w:ascii="Arial" w:hAnsi="Arial" w:cs="Arial"/>
          <w:sz w:val="24"/>
          <w:szCs w:val="24"/>
          <w:lang w:val="en-ZA"/>
        </w:rPr>
        <w:t xml:space="preserve"> The </w:t>
      </w:r>
      <w:r w:rsidR="00C251E0">
        <w:rPr>
          <w:rFonts w:ascii="Arial" w:hAnsi="Arial" w:cs="Arial"/>
          <w:sz w:val="24"/>
          <w:szCs w:val="24"/>
          <w:lang w:val="en-ZA"/>
        </w:rPr>
        <w:t xml:space="preserve">applicant and the company agreed that the </w:t>
      </w:r>
      <w:r w:rsidR="00BB09D6" w:rsidRPr="0062508A">
        <w:rPr>
          <w:rFonts w:ascii="Arial" w:hAnsi="Arial" w:cs="Arial"/>
          <w:sz w:val="24"/>
          <w:szCs w:val="24"/>
          <w:lang w:val="en-ZA"/>
        </w:rPr>
        <w:t xml:space="preserve">company would be in breach of the </w:t>
      </w:r>
      <w:r w:rsidR="00722B5D">
        <w:rPr>
          <w:rFonts w:ascii="Arial" w:hAnsi="Arial" w:cs="Arial"/>
          <w:sz w:val="24"/>
          <w:szCs w:val="24"/>
          <w:lang w:val="en-ZA"/>
        </w:rPr>
        <w:t xml:space="preserve">loan </w:t>
      </w:r>
      <w:r w:rsidR="00BB09D6" w:rsidRPr="0062508A">
        <w:rPr>
          <w:rFonts w:ascii="Arial" w:hAnsi="Arial" w:cs="Arial"/>
          <w:sz w:val="24"/>
          <w:szCs w:val="24"/>
          <w:lang w:val="en-ZA"/>
        </w:rPr>
        <w:t xml:space="preserve">agreement if it neglected to pay any instalment on </w:t>
      </w:r>
      <w:r w:rsidR="00896D34">
        <w:rPr>
          <w:rFonts w:ascii="Arial" w:hAnsi="Arial" w:cs="Arial"/>
          <w:sz w:val="24"/>
          <w:szCs w:val="24"/>
          <w:lang w:val="en-ZA"/>
        </w:rPr>
        <w:t xml:space="preserve">the </w:t>
      </w:r>
      <w:r w:rsidR="00BB09D6" w:rsidRPr="0062508A">
        <w:rPr>
          <w:rFonts w:ascii="Arial" w:hAnsi="Arial" w:cs="Arial"/>
          <w:sz w:val="24"/>
          <w:szCs w:val="24"/>
          <w:lang w:val="en-ZA"/>
        </w:rPr>
        <w:t>due date or if it was liquidated. If either of those events</w:t>
      </w:r>
      <w:r w:rsidR="00260AED" w:rsidRPr="0062508A">
        <w:rPr>
          <w:rFonts w:ascii="Arial" w:hAnsi="Arial" w:cs="Arial"/>
          <w:sz w:val="24"/>
          <w:szCs w:val="24"/>
          <w:lang w:val="en-ZA"/>
        </w:rPr>
        <w:t>, inter alia,</w:t>
      </w:r>
      <w:r w:rsidR="00BB09D6" w:rsidRPr="0062508A">
        <w:rPr>
          <w:rFonts w:ascii="Arial" w:hAnsi="Arial" w:cs="Arial"/>
          <w:sz w:val="24"/>
          <w:szCs w:val="24"/>
          <w:lang w:val="en-ZA"/>
        </w:rPr>
        <w:t xml:space="preserve"> occurred, the applicant would be entitled to require the company to immediately discharge the whole of its indebtedness to the applicant.</w:t>
      </w:r>
      <w:r w:rsidR="0023287C">
        <w:rPr>
          <w:rFonts w:ascii="Arial" w:hAnsi="Arial" w:cs="Arial"/>
          <w:sz w:val="24"/>
          <w:szCs w:val="24"/>
          <w:lang w:val="en-ZA"/>
        </w:rPr>
        <w:t xml:space="preserve"> The loan agreement also provided that any default under the loan agreement that required the applicant to enforce its rights would require the company to pay the applicant’s costs on the attorney and own client scale.</w:t>
      </w:r>
      <w:r w:rsidR="0023287C">
        <w:rPr>
          <w:rStyle w:val="FootnoteReference"/>
          <w:rFonts w:ascii="Arial" w:hAnsi="Arial" w:cs="Arial"/>
          <w:sz w:val="24"/>
          <w:szCs w:val="24"/>
          <w:lang w:val="en-ZA"/>
        </w:rPr>
        <w:footnoteReference w:id="3"/>
      </w:r>
    </w:p>
    <w:p w14:paraId="5FA851B2" w14:textId="77777777" w:rsidR="00BB09D6" w:rsidRPr="00BB09D6" w:rsidRDefault="00BB09D6" w:rsidP="00DA793F">
      <w:pPr>
        <w:pStyle w:val="ListParagraph"/>
        <w:spacing w:line="360" w:lineRule="auto"/>
        <w:rPr>
          <w:rFonts w:ascii="Arial" w:hAnsi="Arial" w:cs="Arial"/>
          <w:sz w:val="24"/>
          <w:szCs w:val="24"/>
          <w:lang w:val="en-ZA"/>
        </w:rPr>
      </w:pPr>
    </w:p>
    <w:p w14:paraId="2A625362" w14:textId="22119C32" w:rsidR="00136996" w:rsidRPr="003328F7" w:rsidRDefault="003328F7" w:rsidP="003328F7">
      <w:pPr>
        <w:tabs>
          <w:tab w:val="left" w:pos="709"/>
          <w:tab w:val="left" w:pos="1418"/>
        </w:tabs>
        <w:spacing w:line="360" w:lineRule="auto"/>
        <w:jc w:val="both"/>
        <w:rPr>
          <w:rFonts w:ascii="Arial" w:hAnsi="Arial" w:cs="Arial"/>
          <w:color w:val="000000" w:themeColor="text1"/>
        </w:rPr>
      </w:pPr>
      <w:r w:rsidRPr="00136996">
        <w:rPr>
          <w:rFonts w:ascii="Arial" w:eastAsiaTheme="minorHAnsi" w:hAnsi="Arial" w:cs="Arial"/>
          <w:color w:val="000000" w:themeColor="text1"/>
          <w:lang w:eastAsia="en-US" w:bidi="ar-SA"/>
        </w:rPr>
        <w:t>[4]</w:t>
      </w:r>
      <w:r w:rsidRPr="00136996">
        <w:rPr>
          <w:rFonts w:ascii="Arial" w:eastAsiaTheme="minorHAnsi" w:hAnsi="Arial" w:cs="Arial"/>
          <w:color w:val="000000" w:themeColor="text1"/>
          <w:lang w:eastAsia="en-US" w:bidi="ar-SA"/>
        </w:rPr>
        <w:tab/>
      </w:r>
      <w:r w:rsidR="00E30424" w:rsidRPr="003328F7">
        <w:rPr>
          <w:rFonts w:ascii="Arial" w:hAnsi="Arial" w:cs="Arial"/>
        </w:rPr>
        <w:t>The loan agreement</w:t>
      </w:r>
      <w:r w:rsidR="00A61461" w:rsidRPr="003328F7">
        <w:rPr>
          <w:rFonts w:ascii="Arial" w:hAnsi="Arial" w:cs="Arial"/>
        </w:rPr>
        <w:t>, whilst between the applicant and the company, also had other signatories. It was also signed by the</w:t>
      </w:r>
      <w:r w:rsidR="00E30424" w:rsidRPr="003328F7">
        <w:rPr>
          <w:rFonts w:ascii="Arial" w:hAnsi="Arial" w:cs="Arial"/>
        </w:rPr>
        <w:t xml:space="preserve"> fourth respondent in his personal capacity, the Trust, a</w:t>
      </w:r>
      <w:bookmarkStart w:id="0" w:name="_GoBack"/>
      <w:bookmarkEnd w:id="0"/>
      <w:r w:rsidR="00E30424" w:rsidRPr="003328F7">
        <w:rPr>
          <w:rFonts w:ascii="Arial" w:hAnsi="Arial" w:cs="Arial"/>
        </w:rPr>
        <w:t xml:space="preserve">n entity called Exclusive Access Trading (Pty) Ltd (EAT), </w:t>
      </w:r>
      <w:r w:rsidR="00136996" w:rsidRPr="003328F7">
        <w:rPr>
          <w:rFonts w:ascii="Arial" w:hAnsi="Arial" w:cs="Arial"/>
        </w:rPr>
        <w:t>and an entity called National Pride Trading (Pty) Limited (National Pride). The Trust</w:t>
      </w:r>
      <w:r w:rsidR="00A61461" w:rsidRPr="003328F7">
        <w:rPr>
          <w:rFonts w:ascii="Arial" w:hAnsi="Arial" w:cs="Arial"/>
        </w:rPr>
        <w:t>,</w:t>
      </w:r>
      <w:r w:rsidR="00136996" w:rsidRPr="003328F7">
        <w:rPr>
          <w:rFonts w:ascii="Arial" w:hAnsi="Arial" w:cs="Arial"/>
        </w:rPr>
        <w:t xml:space="preserve"> EAT and National Pride were represented by the fourth respondent, who asserted that he was duly authorised</w:t>
      </w:r>
      <w:r w:rsidR="00A61461" w:rsidRPr="003328F7">
        <w:rPr>
          <w:rFonts w:ascii="Arial" w:hAnsi="Arial" w:cs="Arial"/>
        </w:rPr>
        <w:t xml:space="preserve"> to sign on their behalf</w:t>
      </w:r>
      <w:r w:rsidR="00136996" w:rsidRPr="003328F7">
        <w:rPr>
          <w:rFonts w:ascii="Arial" w:hAnsi="Arial" w:cs="Arial"/>
        </w:rPr>
        <w:t>.</w:t>
      </w:r>
      <w:r w:rsidR="00A61461" w:rsidRPr="003328F7">
        <w:rPr>
          <w:rFonts w:ascii="Arial" w:hAnsi="Arial" w:cs="Arial"/>
        </w:rPr>
        <w:t xml:space="preserve"> These latter signatories were presumably included because of the security they were required to put up on behalf of the company</w:t>
      </w:r>
      <w:r w:rsidR="00691BA0" w:rsidRPr="003328F7">
        <w:rPr>
          <w:rFonts w:ascii="Arial" w:hAnsi="Arial" w:cs="Arial"/>
        </w:rPr>
        <w:t>, to which further reference will be made shortly</w:t>
      </w:r>
      <w:r w:rsidR="00A61461" w:rsidRPr="003328F7">
        <w:rPr>
          <w:rFonts w:ascii="Arial" w:hAnsi="Arial" w:cs="Arial"/>
        </w:rPr>
        <w:t>.</w:t>
      </w:r>
    </w:p>
    <w:p w14:paraId="088AC0E8" w14:textId="77777777" w:rsidR="00136996" w:rsidRPr="00136996" w:rsidRDefault="00136996" w:rsidP="00136996">
      <w:pPr>
        <w:pStyle w:val="ListParagraph"/>
        <w:tabs>
          <w:tab w:val="left" w:pos="709"/>
          <w:tab w:val="left" w:pos="1418"/>
        </w:tabs>
        <w:spacing w:after="0" w:line="360" w:lineRule="auto"/>
        <w:ind w:left="0"/>
        <w:jc w:val="both"/>
        <w:rPr>
          <w:rFonts w:ascii="Arial" w:hAnsi="Arial" w:cs="Arial"/>
          <w:color w:val="000000" w:themeColor="text1"/>
          <w:sz w:val="24"/>
          <w:szCs w:val="24"/>
          <w:lang w:val="en-ZA"/>
        </w:rPr>
      </w:pPr>
    </w:p>
    <w:p w14:paraId="57530F27" w14:textId="103C3655" w:rsidR="00BB09D6" w:rsidRPr="003328F7" w:rsidRDefault="003328F7" w:rsidP="003328F7">
      <w:pPr>
        <w:tabs>
          <w:tab w:val="left" w:pos="709"/>
          <w:tab w:val="left" w:pos="1418"/>
        </w:tabs>
        <w:spacing w:line="360" w:lineRule="auto"/>
        <w:jc w:val="both"/>
        <w:rPr>
          <w:rFonts w:ascii="Arial" w:hAnsi="Arial" w:cs="Arial"/>
          <w:color w:val="000000" w:themeColor="text1"/>
        </w:rPr>
      </w:pPr>
      <w:r>
        <w:rPr>
          <w:rFonts w:ascii="Arial" w:eastAsiaTheme="minorHAnsi" w:hAnsi="Arial" w:cs="Arial"/>
          <w:color w:val="000000" w:themeColor="text1"/>
          <w:lang w:eastAsia="en-US" w:bidi="ar-SA"/>
        </w:rPr>
        <w:t>[5]</w:t>
      </w:r>
      <w:r>
        <w:rPr>
          <w:rFonts w:ascii="Arial" w:eastAsiaTheme="minorHAnsi" w:hAnsi="Arial" w:cs="Arial"/>
          <w:color w:val="000000" w:themeColor="text1"/>
          <w:lang w:eastAsia="en-US" w:bidi="ar-SA"/>
        </w:rPr>
        <w:tab/>
      </w:r>
      <w:r w:rsidR="00E30424" w:rsidRPr="003328F7">
        <w:rPr>
          <w:rFonts w:ascii="Arial" w:hAnsi="Arial" w:cs="Arial"/>
        </w:rPr>
        <w:t xml:space="preserve"> </w:t>
      </w:r>
      <w:r w:rsidR="00BB09D6" w:rsidRPr="003328F7">
        <w:rPr>
          <w:rFonts w:ascii="Arial" w:hAnsi="Arial" w:cs="Arial"/>
        </w:rPr>
        <w:t>On 3 January 2020, the company was, indeed, subject to winding up</w:t>
      </w:r>
      <w:r w:rsidR="005E5900" w:rsidRPr="003328F7">
        <w:rPr>
          <w:rFonts w:ascii="Arial" w:hAnsi="Arial" w:cs="Arial"/>
        </w:rPr>
        <w:t xml:space="preserve"> </w:t>
      </w:r>
      <w:r w:rsidR="00BB09D6" w:rsidRPr="003328F7">
        <w:rPr>
          <w:rFonts w:ascii="Arial" w:hAnsi="Arial" w:cs="Arial"/>
        </w:rPr>
        <w:t xml:space="preserve">proceedings at the instance of another of its creditors, </w:t>
      </w:r>
      <w:r w:rsidR="006A1168" w:rsidRPr="003328F7">
        <w:rPr>
          <w:rFonts w:ascii="Arial" w:hAnsi="Arial" w:cs="Arial"/>
        </w:rPr>
        <w:t xml:space="preserve">not </w:t>
      </w:r>
      <w:r w:rsidR="0039457E" w:rsidRPr="003328F7">
        <w:rPr>
          <w:rFonts w:ascii="Arial" w:hAnsi="Arial" w:cs="Arial"/>
        </w:rPr>
        <w:t xml:space="preserve">at </w:t>
      </w:r>
      <w:r w:rsidR="006A1168" w:rsidRPr="003328F7">
        <w:rPr>
          <w:rFonts w:ascii="Arial" w:hAnsi="Arial" w:cs="Arial"/>
        </w:rPr>
        <w:t xml:space="preserve">the </w:t>
      </w:r>
      <w:r w:rsidR="0039457E" w:rsidRPr="003328F7">
        <w:rPr>
          <w:rFonts w:ascii="Arial" w:hAnsi="Arial" w:cs="Arial"/>
        </w:rPr>
        <w:t xml:space="preserve">instance of the </w:t>
      </w:r>
      <w:r w:rsidR="006A1168" w:rsidRPr="003328F7">
        <w:rPr>
          <w:rFonts w:ascii="Arial" w:hAnsi="Arial" w:cs="Arial"/>
        </w:rPr>
        <w:t xml:space="preserve">applicant, </w:t>
      </w:r>
      <w:r w:rsidR="00BB09D6" w:rsidRPr="003328F7">
        <w:rPr>
          <w:rFonts w:ascii="Arial" w:hAnsi="Arial" w:cs="Arial"/>
        </w:rPr>
        <w:t>which order was made final on 16 July 2020.</w:t>
      </w:r>
      <w:r w:rsidR="00CA5E6D" w:rsidRPr="003328F7">
        <w:rPr>
          <w:rFonts w:ascii="Arial" w:hAnsi="Arial" w:cs="Arial"/>
        </w:rPr>
        <w:t xml:space="preserve"> The entire balance then owing by the company to the applicant, </w:t>
      </w:r>
      <w:r w:rsidR="00C965AF" w:rsidRPr="003328F7">
        <w:rPr>
          <w:rFonts w:ascii="Arial" w:hAnsi="Arial" w:cs="Arial"/>
        </w:rPr>
        <w:t>being the judgment amount</w:t>
      </w:r>
      <w:r w:rsidR="00CA5E6D" w:rsidRPr="003328F7">
        <w:rPr>
          <w:rFonts w:ascii="Arial" w:hAnsi="Arial" w:cs="Arial"/>
        </w:rPr>
        <w:t xml:space="preserve">, thus became payable in terms of the </w:t>
      </w:r>
      <w:r w:rsidR="00722B5D" w:rsidRPr="003328F7">
        <w:rPr>
          <w:rFonts w:ascii="Arial" w:hAnsi="Arial" w:cs="Arial"/>
        </w:rPr>
        <w:t xml:space="preserve">loan </w:t>
      </w:r>
      <w:r w:rsidR="00CA5E6D" w:rsidRPr="003328F7">
        <w:rPr>
          <w:rFonts w:ascii="Arial" w:hAnsi="Arial" w:cs="Arial"/>
        </w:rPr>
        <w:t>agreement. Th</w:t>
      </w:r>
      <w:r w:rsidR="002A1688" w:rsidRPr="003328F7">
        <w:rPr>
          <w:rFonts w:ascii="Arial" w:hAnsi="Arial" w:cs="Arial"/>
        </w:rPr>
        <w:t>e judgment</w:t>
      </w:r>
      <w:r w:rsidR="00CA5E6D" w:rsidRPr="003328F7">
        <w:rPr>
          <w:rFonts w:ascii="Arial" w:hAnsi="Arial" w:cs="Arial"/>
        </w:rPr>
        <w:t xml:space="preserve"> amount </w:t>
      </w:r>
      <w:r w:rsidR="00DA793F" w:rsidRPr="003328F7">
        <w:rPr>
          <w:rFonts w:ascii="Arial" w:hAnsi="Arial" w:cs="Arial"/>
        </w:rPr>
        <w:t xml:space="preserve">has been calculated and </w:t>
      </w:r>
      <w:r w:rsidR="00DA793F" w:rsidRPr="003328F7">
        <w:rPr>
          <w:rFonts w:ascii="Arial" w:hAnsi="Arial" w:cs="Arial"/>
        </w:rPr>
        <w:lastRenderedPageBreak/>
        <w:t xml:space="preserve">expressed </w:t>
      </w:r>
      <w:r w:rsidR="00CA5E6D" w:rsidRPr="003328F7">
        <w:rPr>
          <w:rFonts w:ascii="Arial" w:hAnsi="Arial" w:cs="Arial"/>
        </w:rPr>
        <w:t>in a certificate of balance issued by the applicant</w:t>
      </w:r>
      <w:r w:rsidR="00DA793F" w:rsidRPr="003328F7">
        <w:rPr>
          <w:rFonts w:ascii="Arial" w:hAnsi="Arial" w:cs="Arial"/>
        </w:rPr>
        <w:t xml:space="preserve">, as it was entitled to do in terms of the </w:t>
      </w:r>
      <w:r w:rsidR="00722B5D" w:rsidRPr="003328F7">
        <w:rPr>
          <w:rFonts w:ascii="Arial" w:hAnsi="Arial" w:cs="Arial"/>
        </w:rPr>
        <w:t xml:space="preserve">loan </w:t>
      </w:r>
      <w:r w:rsidR="00DA793F" w:rsidRPr="003328F7">
        <w:rPr>
          <w:rFonts w:ascii="Arial" w:hAnsi="Arial" w:cs="Arial"/>
        </w:rPr>
        <w:t>agreement</w:t>
      </w:r>
      <w:r w:rsidR="00260AED" w:rsidRPr="003328F7">
        <w:rPr>
          <w:rFonts w:ascii="Arial" w:hAnsi="Arial" w:cs="Arial"/>
        </w:rPr>
        <w:t xml:space="preserve"> </w:t>
      </w:r>
      <w:r w:rsidR="00260AED" w:rsidRPr="003328F7">
        <w:rPr>
          <w:rFonts w:ascii="Arial" w:hAnsi="Arial" w:cs="Arial"/>
          <w:color w:val="000000" w:themeColor="text1"/>
        </w:rPr>
        <w:t>and in terms of the two deeds of suretyship dealt with below</w:t>
      </w:r>
      <w:r w:rsidR="00DA793F" w:rsidRPr="003328F7">
        <w:rPr>
          <w:rFonts w:ascii="Arial" w:hAnsi="Arial" w:cs="Arial"/>
          <w:color w:val="000000" w:themeColor="text1"/>
        </w:rPr>
        <w:t>.</w:t>
      </w:r>
    </w:p>
    <w:p w14:paraId="2C5A0865" w14:textId="77777777" w:rsidR="0023287C" w:rsidRPr="00CB6F59" w:rsidRDefault="0023287C" w:rsidP="0023287C">
      <w:pPr>
        <w:pStyle w:val="ListParagraph"/>
        <w:tabs>
          <w:tab w:val="left" w:pos="709"/>
          <w:tab w:val="left" w:pos="1418"/>
        </w:tabs>
        <w:spacing w:after="0" w:line="360" w:lineRule="auto"/>
        <w:ind w:left="0"/>
        <w:jc w:val="both"/>
        <w:rPr>
          <w:rFonts w:ascii="Arial" w:hAnsi="Arial" w:cs="Arial"/>
          <w:color w:val="000000" w:themeColor="text1"/>
          <w:sz w:val="24"/>
          <w:szCs w:val="24"/>
          <w:lang w:val="en-ZA"/>
        </w:rPr>
      </w:pPr>
    </w:p>
    <w:p w14:paraId="49799BD0" w14:textId="3D4CB55B" w:rsidR="00AF6FB0"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[6]</w:t>
      </w:r>
      <w:r>
        <w:rPr>
          <w:rFonts w:ascii="Arial" w:eastAsiaTheme="minorHAnsi" w:hAnsi="Arial" w:cs="Arial"/>
          <w:color w:val="000000" w:themeColor="text1"/>
          <w:lang w:eastAsia="en-US" w:bidi="ar-SA"/>
        </w:rPr>
        <w:tab/>
      </w:r>
      <w:r w:rsidR="00C251E0" w:rsidRPr="003328F7">
        <w:rPr>
          <w:rFonts w:ascii="Arial" w:hAnsi="Arial" w:cs="Arial"/>
        </w:rPr>
        <w:t xml:space="preserve">Approximately five years before the conclusion of the </w:t>
      </w:r>
      <w:r w:rsidR="00722B5D" w:rsidRPr="003328F7">
        <w:rPr>
          <w:rFonts w:ascii="Arial" w:hAnsi="Arial" w:cs="Arial"/>
        </w:rPr>
        <w:t xml:space="preserve">loan </w:t>
      </w:r>
      <w:r w:rsidR="00C251E0" w:rsidRPr="003328F7">
        <w:rPr>
          <w:rFonts w:ascii="Arial" w:hAnsi="Arial" w:cs="Arial"/>
        </w:rPr>
        <w:t>agreement,</w:t>
      </w:r>
      <w:r w:rsidR="00CA5E6D" w:rsidRPr="003328F7">
        <w:rPr>
          <w:rFonts w:ascii="Arial" w:hAnsi="Arial" w:cs="Arial"/>
        </w:rPr>
        <w:t xml:space="preserve"> the </w:t>
      </w:r>
      <w:r w:rsidR="00C251E0" w:rsidRPr="003328F7">
        <w:rPr>
          <w:rFonts w:ascii="Arial" w:hAnsi="Arial" w:cs="Arial"/>
        </w:rPr>
        <w:t>T</w:t>
      </w:r>
      <w:r w:rsidR="00CA5E6D" w:rsidRPr="003328F7">
        <w:rPr>
          <w:rFonts w:ascii="Arial" w:hAnsi="Arial" w:cs="Arial"/>
        </w:rPr>
        <w:t>rust had agreed to stand as surety for the obligations of the company to the applicant. Thus</w:t>
      </w:r>
      <w:r w:rsidR="006A1168" w:rsidRPr="003328F7">
        <w:rPr>
          <w:rFonts w:ascii="Arial" w:hAnsi="Arial" w:cs="Arial"/>
        </w:rPr>
        <w:t>,</w:t>
      </w:r>
      <w:r w:rsidR="00CA5E6D" w:rsidRPr="003328F7">
        <w:rPr>
          <w:rFonts w:ascii="Arial" w:hAnsi="Arial" w:cs="Arial"/>
        </w:rPr>
        <w:t xml:space="preserve"> on 26 November 2013 it had executed a </w:t>
      </w:r>
      <w:r w:rsidR="00FC56F6" w:rsidRPr="003328F7">
        <w:rPr>
          <w:rFonts w:ascii="Arial" w:hAnsi="Arial" w:cs="Arial"/>
        </w:rPr>
        <w:t xml:space="preserve">written </w:t>
      </w:r>
      <w:r w:rsidR="00CA5E6D" w:rsidRPr="003328F7">
        <w:rPr>
          <w:rFonts w:ascii="Arial" w:hAnsi="Arial" w:cs="Arial"/>
        </w:rPr>
        <w:t xml:space="preserve">deed of suretyship that recorded that fact. </w:t>
      </w:r>
      <w:r w:rsidR="005E5900" w:rsidRPr="003328F7">
        <w:rPr>
          <w:rFonts w:ascii="Arial" w:hAnsi="Arial" w:cs="Arial"/>
        </w:rPr>
        <w:t xml:space="preserve">That deed of suretyship was in an unlimited amount. </w:t>
      </w:r>
      <w:r w:rsidR="00CA5E6D" w:rsidRPr="003328F7">
        <w:rPr>
          <w:rFonts w:ascii="Arial" w:hAnsi="Arial" w:cs="Arial"/>
        </w:rPr>
        <w:t>On that same day, 26 November 2013, the fourth respondent also bound himself in his personal capacity as a surety to the applicant for the obligations of the company.</w:t>
      </w:r>
      <w:r w:rsidR="005532A1" w:rsidRPr="003328F7">
        <w:rPr>
          <w:rFonts w:ascii="Arial" w:hAnsi="Arial" w:cs="Arial"/>
        </w:rPr>
        <w:t xml:space="preserve"> </w:t>
      </w:r>
      <w:r w:rsidR="005E5900" w:rsidRPr="003328F7">
        <w:rPr>
          <w:rFonts w:ascii="Arial" w:hAnsi="Arial" w:cs="Arial"/>
        </w:rPr>
        <w:t xml:space="preserve">This </w:t>
      </w:r>
      <w:r w:rsidR="00C965AF" w:rsidRPr="003328F7">
        <w:rPr>
          <w:rFonts w:ascii="Arial" w:hAnsi="Arial" w:cs="Arial"/>
        </w:rPr>
        <w:t xml:space="preserve">latter </w:t>
      </w:r>
      <w:r w:rsidR="005E5900" w:rsidRPr="003328F7">
        <w:rPr>
          <w:rFonts w:ascii="Arial" w:hAnsi="Arial" w:cs="Arial"/>
        </w:rPr>
        <w:t xml:space="preserve">deed of suretyship was limited to the amount of R32 million. </w:t>
      </w:r>
      <w:r w:rsidR="005532A1" w:rsidRPr="003328F7">
        <w:rPr>
          <w:rFonts w:ascii="Arial" w:hAnsi="Arial" w:cs="Arial"/>
        </w:rPr>
        <w:t xml:space="preserve">These are the deeds of suretyship that the applicant relies upon for the judgment that it seeks </w:t>
      </w:r>
      <w:r w:rsidR="005F02A5" w:rsidRPr="003328F7">
        <w:rPr>
          <w:rFonts w:ascii="Arial" w:hAnsi="Arial" w:cs="Arial"/>
        </w:rPr>
        <w:t xml:space="preserve">against the respondents </w:t>
      </w:r>
      <w:r w:rsidR="005532A1" w:rsidRPr="003328F7">
        <w:rPr>
          <w:rFonts w:ascii="Arial" w:hAnsi="Arial" w:cs="Arial"/>
        </w:rPr>
        <w:t>in this application.</w:t>
      </w:r>
    </w:p>
    <w:p w14:paraId="595B5FF0" w14:textId="77777777" w:rsidR="00D150AF" w:rsidRDefault="00D150AF" w:rsidP="00D150AF">
      <w:pPr>
        <w:pStyle w:val="ListParagraph"/>
        <w:tabs>
          <w:tab w:val="left" w:pos="709"/>
          <w:tab w:val="left" w:pos="1418"/>
        </w:tabs>
        <w:spacing w:after="0" w:line="360" w:lineRule="auto"/>
        <w:ind w:left="0"/>
        <w:jc w:val="both"/>
        <w:rPr>
          <w:rFonts w:ascii="Arial" w:hAnsi="Arial" w:cs="Arial"/>
          <w:sz w:val="24"/>
          <w:szCs w:val="24"/>
          <w:lang w:val="en-ZA"/>
        </w:rPr>
      </w:pPr>
    </w:p>
    <w:p w14:paraId="217C712D" w14:textId="48D6243D" w:rsidR="00C33FAF"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[7]</w:t>
      </w:r>
      <w:r>
        <w:rPr>
          <w:rFonts w:ascii="Arial" w:eastAsiaTheme="minorHAnsi" w:hAnsi="Arial" w:cs="Arial"/>
          <w:color w:val="000000" w:themeColor="text1"/>
          <w:lang w:eastAsia="en-US" w:bidi="ar-SA"/>
        </w:rPr>
        <w:tab/>
      </w:r>
      <w:r w:rsidR="00CA5E6D" w:rsidRPr="003328F7">
        <w:rPr>
          <w:rFonts w:ascii="Arial" w:hAnsi="Arial" w:cs="Arial"/>
        </w:rPr>
        <w:t xml:space="preserve">Upon the </w:t>
      </w:r>
      <w:r w:rsidR="006D1821" w:rsidRPr="003328F7">
        <w:rPr>
          <w:rFonts w:ascii="Arial" w:hAnsi="Arial" w:cs="Arial"/>
        </w:rPr>
        <w:t>liq</w:t>
      </w:r>
      <w:r w:rsidR="0053570E" w:rsidRPr="003328F7">
        <w:rPr>
          <w:rFonts w:ascii="Arial" w:hAnsi="Arial" w:cs="Arial"/>
        </w:rPr>
        <w:t>u</w:t>
      </w:r>
      <w:r w:rsidR="006D1821" w:rsidRPr="003328F7">
        <w:rPr>
          <w:rFonts w:ascii="Arial" w:hAnsi="Arial" w:cs="Arial"/>
        </w:rPr>
        <w:t>idation</w:t>
      </w:r>
      <w:r w:rsidR="00CA5E6D" w:rsidRPr="003328F7">
        <w:rPr>
          <w:rFonts w:ascii="Arial" w:hAnsi="Arial" w:cs="Arial"/>
        </w:rPr>
        <w:t xml:space="preserve"> of the company, the applicant called upon the respondents </w:t>
      </w:r>
    </w:p>
    <w:p w14:paraId="3E0E8FE8" w14:textId="77777777" w:rsidR="00CA5E6D" w:rsidRDefault="00CA5E6D" w:rsidP="00C33FAF">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to make payment in terms of their respective deeds of suretyship. When such payment</w:t>
      </w:r>
      <w:r w:rsidR="00C33FAF">
        <w:rPr>
          <w:rFonts w:ascii="Arial" w:hAnsi="Arial" w:cs="Arial"/>
          <w:sz w:val="24"/>
          <w:szCs w:val="24"/>
          <w:lang w:val="en-ZA"/>
        </w:rPr>
        <w:t>s</w:t>
      </w:r>
      <w:r>
        <w:rPr>
          <w:rFonts w:ascii="Arial" w:hAnsi="Arial" w:cs="Arial"/>
          <w:sz w:val="24"/>
          <w:szCs w:val="24"/>
          <w:lang w:val="en-ZA"/>
        </w:rPr>
        <w:t xml:space="preserve"> w</w:t>
      </w:r>
      <w:r w:rsidR="00C33FAF">
        <w:rPr>
          <w:rFonts w:ascii="Arial" w:hAnsi="Arial" w:cs="Arial"/>
          <w:sz w:val="24"/>
          <w:szCs w:val="24"/>
          <w:lang w:val="en-ZA"/>
        </w:rPr>
        <w:t>ere</w:t>
      </w:r>
      <w:r>
        <w:rPr>
          <w:rFonts w:ascii="Arial" w:hAnsi="Arial" w:cs="Arial"/>
          <w:sz w:val="24"/>
          <w:szCs w:val="24"/>
          <w:lang w:val="en-ZA"/>
        </w:rPr>
        <w:t xml:space="preserve"> not forthcoming, this application was </w:t>
      </w:r>
      <w:r w:rsidR="00A2601F">
        <w:rPr>
          <w:rFonts w:ascii="Arial" w:hAnsi="Arial" w:cs="Arial"/>
          <w:sz w:val="24"/>
          <w:szCs w:val="24"/>
          <w:lang w:val="en-ZA"/>
        </w:rPr>
        <w:t>the</w:t>
      </w:r>
      <w:r w:rsidR="00C33FAF">
        <w:rPr>
          <w:rFonts w:ascii="Arial" w:hAnsi="Arial" w:cs="Arial"/>
          <w:sz w:val="24"/>
          <w:szCs w:val="24"/>
          <w:lang w:val="en-ZA"/>
        </w:rPr>
        <w:t xml:space="preserve"> inevitable</w:t>
      </w:r>
      <w:r w:rsidR="00A2601F">
        <w:rPr>
          <w:rFonts w:ascii="Arial" w:hAnsi="Arial" w:cs="Arial"/>
          <w:sz w:val="24"/>
          <w:szCs w:val="24"/>
          <w:lang w:val="en-ZA"/>
        </w:rPr>
        <w:t xml:space="preserve"> consequence</w:t>
      </w:r>
      <w:r>
        <w:rPr>
          <w:rFonts w:ascii="Arial" w:hAnsi="Arial" w:cs="Arial"/>
          <w:sz w:val="24"/>
          <w:szCs w:val="24"/>
          <w:lang w:val="en-ZA"/>
        </w:rPr>
        <w:t>.</w:t>
      </w:r>
    </w:p>
    <w:p w14:paraId="4FB398D6" w14:textId="77777777" w:rsidR="00AA65A5" w:rsidRPr="005F2482" w:rsidRDefault="00AA65A5" w:rsidP="00AA65A5">
      <w:pPr>
        <w:pStyle w:val="ListParagraph"/>
        <w:spacing w:line="360" w:lineRule="auto"/>
        <w:rPr>
          <w:rFonts w:ascii="Arial" w:hAnsi="Arial" w:cs="Arial"/>
          <w:sz w:val="24"/>
          <w:szCs w:val="24"/>
          <w:lang w:val="en-ZA"/>
        </w:rPr>
      </w:pPr>
    </w:p>
    <w:p w14:paraId="37FB369D" w14:textId="2E93EA3D" w:rsidR="00AA65A5"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[8]</w:t>
      </w:r>
      <w:r>
        <w:rPr>
          <w:rFonts w:ascii="Arial" w:eastAsiaTheme="minorHAnsi" w:hAnsi="Arial" w:cs="Arial"/>
          <w:color w:val="000000" w:themeColor="text1"/>
          <w:lang w:eastAsia="en-US" w:bidi="ar-SA"/>
        </w:rPr>
        <w:tab/>
      </w:r>
      <w:r w:rsidR="00AA65A5" w:rsidRPr="003328F7">
        <w:rPr>
          <w:rFonts w:ascii="Arial" w:hAnsi="Arial" w:cs="Arial"/>
        </w:rPr>
        <w:t xml:space="preserve">At the commencement of the matter, Mr Alberts moved an application </w:t>
      </w:r>
      <w:r w:rsidR="00A45121" w:rsidRPr="003328F7">
        <w:rPr>
          <w:rFonts w:ascii="Arial" w:hAnsi="Arial" w:cs="Arial"/>
        </w:rPr>
        <w:t xml:space="preserve">on behalf of the respondents </w:t>
      </w:r>
      <w:r w:rsidR="00AA65A5" w:rsidRPr="003328F7">
        <w:rPr>
          <w:rFonts w:ascii="Arial" w:hAnsi="Arial" w:cs="Arial"/>
        </w:rPr>
        <w:t xml:space="preserve">to admit a second, supplementary answering affidavit </w:t>
      </w:r>
      <w:r w:rsidR="005407B7" w:rsidRPr="003328F7">
        <w:rPr>
          <w:rFonts w:ascii="Arial" w:hAnsi="Arial" w:cs="Arial"/>
        </w:rPr>
        <w:t xml:space="preserve">(the further affidavit) </w:t>
      </w:r>
      <w:r w:rsidR="00AA65A5" w:rsidRPr="003328F7">
        <w:rPr>
          <w:rFonts w:ascii="Arial" w:hAnsi="Arial" w:cs="Arial"/>
        </w:rPr>
        <w:t xml:space="preserve">on behalf of the respondents. </w:t>
      </w:r>
      <w:r w:rsidR="005407B7" w:rsidRPr="003328F7">
        <w:rPr>
          <w:rFonts w:ascii="Arial" w:hAnsi="Arial" w:cs="Arial"/>
        </w:rPr>
        <w:t xml:space="preserve">The application was </w:t>
      </w:r>
      <w:r w:rsidR="004333DF" w:rsidRPr="003328F7">
        <w:rPr>
          <w:rFonts w:ascii="Arial" w:hAnsi="Arial" w:cs="Arial"/>
        </w:rPr>
        <w:t xml:space="preserve">a substantive one </w:t>
      </w:r>
      <w:r w:rsidR="005407B7" w:rsidRPr="003328F7">
        <w:rPr>
          <w:rFonts w:ascii="Arial" w:hAnsi="Arial" w:cs="Arial"/>
        </w:rPr>
        <w:t>supported by an affidavit and</w:t>
      </w:r>
      <w:r w:rsidR="00AA65A5" w:rsidRPr="003328F7">
        <w:rPr>
          <w:rFonts w:ascii="Arial" w:hAnsi="Arial" w:cs="Arial"/>
        </w:rPr>
        <w:t xml:space="preserve"> was opposed by Mr </w:t>
      </w:r>
      <w:r w:rsidR="00D527BD" w:rsidRPr="003328F7">
        <w:rPr>
          <w:rFonts w:ascii="Arial" w:hAnsi="Arial" w:cs="Arial"/>
        </w:rPr>
        <w:t>v</w:t>
      </w:r>
      <w:r w:rsidR="00AA65A5" w:rsidRPr="003328F7">
        <w:rPr>
          <w:rFonts w:ascii="Arial" w:hAnsi="Arial" w:cs="Arial"/>
        </w:rPr>
        <w:t>an Rooyen</w:t>
      </w:r>
      <w:r w:rsidR="00D527BD" w:rsidRPr="003328F7">
        <w:rPr>
          <w:rFonts w:ascii="Arial" w:hAnsi="Arial" w:cs="Arial"/>
        </w:rPr>
        <w:t xml:space="preserve"> on behalf of the applicant</w:t>
      </w:r>
      <w:r w:rsidR="00AA65A5" w:rsidRPr="003328F7">
        <w:rPr>
          <w:rFonts w:ascii="Arial" w:hAnsi="Arial" w:cs="Arial"/>
        </w:rPr>
        <w:t xml:space="preserve">. Far from seeking leave to hand up </w:t>
      </w:r>
      <w:r w:rsidR="005407B7" w:rsidRPr="003328F7">
        <w:rPr>
          <w:rFonts w:ascii="Arial" w:hAnsi="Arial" w:cs="Arial"/>
        </w:rPr>
        <w:t xml:space="preserve">the </w:t>
      </w:r>
      <w:r w:rsidR="004333DF" w:rsidRPr="003328F7">
        <w:rPr>
          <w:rFonts w:ascii="Arial" w:hAnsi="Arial" w:cs="Arial"/>
        </w:rPr>
        <w:t>further</w:t>
      </w:r>
      <w:r w:rsidR="00AA65A5" w:rsidRPr="003328F7">
        <w:rPr>
          <w:rFonts w:ascii="Arial" w:hAnsi="Arial" w:cs="Arial"/>
        </w:rPr>
        <w:t xml:space="preserve"> affidavit, </w:t>
      </w:r>
      <w:r w:rsidR="005407B7" w:rsidRPr="003328F7">
        <w:rPr>
          <w:rFonts w:ascii="Arial" w:hAnsi="Arial" w:cs="Arial"/>
        </w:rPr>
        <w:t>it</w:t>
      </w:r>
      <w:r w:rsidR="00AA65A5" w:rsidRPr="003328F7">
        <w:rPr>
          <w:rFonts w:ascii="Arial" w:hAnsi="Arial" w:cs="Arial"/>
        </w:rPr>
        <w:t xml:space="preserve"> had already been delivered and was in the court file, without the leave of the court first having been obtained. </w:t>
      </w:r>
      <w:r w:rsidR="00D66D0B" w:rsidRPr="003328F7">
        <w:rPr>
          <w:rFonts w:ascii="Arial" w:hAnsi="Arial" w:cs="Arial"/>
        </w:rPr>
        <w:t>Chronologically, t</w:t>
      </w:r>
      <w:r w:rsidR="00AA65A5" w:rsidRPr="003328F7">
        <w:rPr>
          <w:rFonts w:ascii="Arial" w:hAnsi="Arial" w:cs="Arial"/>
        </w:rPr>
        <w:t xml:space="preserve">he delivery of the </w:t>
      </w:r>
      <w:r w:rsidR="004333DF" w:rsidRPr="003328F7">
        <w:rPr>
          <w:rFonts w:ascii="Arial" w:hAnsi="Arial" w:cs="Arial"/>
        </w:rPr>
        <w:t>further</w:t>
      </w:r>
      <w:r w:rsidR="00AA65A5" w:rsidRPr="003328F7">
        <w:rPr>
          <w:rFonts w:ascii="Arial" w:hAnsi="Arial" w:cs="Arial"/>
        </w:rPr>
        <w:t xml:space="preserve"> affidavit occurred 11 months after the initial answering affidavit was delivered. This application drew its first breath in August 2020 and is long outstanding. As Mr Van Rooyen pointed out, the matter would be delayed further if the application was granted as the applicant would be compelled to reply thereto. </w:t>
      </w:r>
    </w:p>
    <w:p w14:paraId="3B6AFBF4" w14:textId="77777777" w:rsidR="00D66D0B" w:rsidRDefault="00D66D0B" w:rsidP="00D66D0B">
      <w:pPr>
        <w:pStyle w:val="ListParagraph"/>
        <w:tabs>
          <w:tab w:val="left" w:pos="709"/>
          <w:tab w:val="left" w:pos="1418"/>
        </w:tabs>
        <w:spacing w:after="0" w:line="360" w:lineRule="auto"/>
        <w:ind w:left="0"/>
        <w:jc w:val="both"/>
        <w:rPr>
          <w:rFonts w:ascii="Arial" w:hAnsi="Arial" w:cs="Arial"/>
          <w:sz w:val="24"/>
          <w:szCs w:val="24"/>
          <w:lang w:val="en-ZA"/>
        </w:rPr>
      </w:pPr>
    </w:p>
    <w:p w14:paraId="12508E18" w14:textId="480A8AD7" w:rsidR="005407B7" w:rsidRPr="003328F7" w:rsidRDefault="003328F7" w:rsidP="003328F7">
      <w:pPr>
        <w:tabs>
          <w:tab w:val="left" w:pos="709"/>
          <w:tab w:val="left" w:pos="1418"/>
        </w:tabs>
        <w:spacing w:line="360" w:lineRule="auto"/>
        <w:jc w:val="both"/>
        <w:rPr>
          <w:rFonts w:asciiTheme="minorBidi" w:hAnsiTheme="minorBidi"/>
        </w:rPr>
      </w:pPr>
      <w:r>
        <w:rPr>
          <w:rFonts w:ascii="Arial" w:eastAsiaTheme="minorHAnsi" w:hAnsi="Arial" w:cstheme="minorBidi"/>
          <w:color w:val="000000" w:themeColor="text1"/>
          <w:lang w:eastAsia="en-US" w:bidi="ar-SA"/>
        </w:rPr>
        <w:t>[9]</w:t>
      </w:r>
      <w:r>
        <w:rPr>
          <w:rFonts w:ascii="Arial" w:eastAsiaTheme="minorHAnsi" w:hAnsi="Arial" w:cstheme="minorBidi"/>
          <w:color w:val="000000" w:themeColor="text1"/>
          <w:lang w:eastAsia="en-US" w:bidi="ar-SA"/>
        </w:rPr>
        <w:tab/>
      </w:r>
      <w:r w:rsidR="00AA65A5" w:rsidRPr="003328F7">
        <w:rPr>
          <w:rFonts w:asciiTheme="minorBidi" w:hAnsiTheme="minorBidi"/>
        </w:rPr>
        <w:t xml:space="preserve">Uniform rule 6(5)(e) provides that the filing of further affidavits is only permitted with the indulgence of the court. An application to deliver a further affidavit, if properly brought, should in my view, only be granted if good reasons are provided for the </w:t>
      </w:r>
      <w:r w:rsidR="00AA65A5" w:rsidRPr="003328F7">
        <w:rPr>
          <w:rFonts w:asciiTheme="minorBidi" w:hAnsiTheme="minorBidi"/>
        </w:rPr>
        <w:lastRenderedPageBreak/>
        <w:t>granting of this indulgence by the party seeking it.</w:t>
      </w:r>
      <w:r w:rsidR="00AA65A5" w:rsidRPr="00D66D0B">
        <w:rPr>
          <w:rStyle w:val="FootnoteReference"/>
          <w:rFonts w:asciiTheme="minorBidi" w:hAnsiTheme="minorBidi"/>
        </w:rPr>
        <w:footnoteReference w:id="4"/>
      </w:r>
      <w:r w:rsidR="00AA65A5" w:rsidRPr="003328F7">
        <w:rPr>
          <w:rFonts w:asciiTheme="minorBidi" w:hAnsiTheme="minorBidi"/>
        </w:rPr>
        <w:t xml:space="preserve"> </w:t>
      </w:r>
      <w:r w:rsidR="00D66D0B" w:rsidRPr="003328F7">
        <w:rPr>
          <w:rFonts w:asciiTheme="minorBidi" w:hAnsiTheme="minorBidi"/>
        </w:rPr>
        <w:t>The question is not whether the handing up of a further affidavit will be prejudicial to the other side. Rather the issue is whether the party seeking to deliver the further affidavit</w:t>
      </w:r>
      <w:r w:rsidR="0005695F" w:rsidRPr="003328F7">
        <w:rPr>
          <w:rFonts w:asciiTheme="minorBidi" w:hAnsiTheme="minorBidi"/>
        </w:rPr>
        <w:t xml:space="preserve"> has established </w:t>
      </w:r>
      <w:r w:rsidR="004333DF" w:rsidRPr="003328F7">
        <w:rPr>
          <w:rFonts w:asciiTheme="minorBidi" w:hAnsiTheme="minorBidi"/>
        </w:rPr>
        <w:t xml:space="preserve">exceptional </w:t>
      </w:r>
      <w:r w:rsidR="00D66D0B" w:rsidRPr="003328F7">
        <w:rPr>
          <w:rFonts w:asciiTheme="minorBidi" w:hAnsiTheme="minorBidi"/>
        </w:rPr>
        <w:t xml:space="preserve">circumstances which render it fair to permit </w:t>
      </w:r>
      <w:r w:rsidR="00FD4086" w:rsidRPr="003328F7">
        <w:rPr>
          <w:rFonts w:asciiTheme="minorBidi" w:hAnsiTheme="minorBidi"/>
        </w:rPr>
        <w:t>its acceptance</w:t>
      </w:r>
      <w:r w:rsidR="00D66D0B" w:rsidRPr="003328F7">
        <w:rPr>
          <w:rFonts w:asciiTheme="minorBidi" w:hAnsiTheme="minorBidi"/>
        </w:rPr>
        <w:t>.</w:t>
      </w:r>
      <w:r w:rsidR="0005695F">
        <w:rPr>
          <w:rStyle w:val="FootnoteReference"/>
          <w:rFonts w:asciiTheme="minorBidi" w:hAnsiTheme="minorBidi"/>
        </w:rPr>
        <w:footnoteReference w:id="5"/>
      </w:r>
      <w:r w:rsidR="00D66D0B" w:rsidRPr="003328F7">
        <w:rPr>
          <w:rFonts w:asciiTheme="minorBidi" w:hAnsiTheme="minorBidi"/>
        </w:rPr>
        <w:t xml:space="preserve"> </w:t>
      </w:r>
    </w:p>
    <w:p w14:paraId="681A6064" w14:textId="77777777" w:rsidR="0023287C" w:rsidRDefault="0023287C" w:rsidP="0023287C">
      <w:pPr>
        <w:pStyle w:val="ListParagraph"/>
        <w:tabs>
          <w:tab w:val="left" w:pos="709"/>
          <w:tab w:val="left" w:pos="1418"/>
        </w:tabs>
        <w:spacing w:after="0" w:line="360" w:lineRule="auto"/>
        <w:ind w:left="0"/>
        <w:jc w:val="both"/>
        <w:rPr>
          <w:rFonts w:asciiTheme="minorBidi" w:hAnsiTheme="minorBidi"/>
          <w:sz w:val="24"/>
          <w:szCs w:val="24"/>
          <w:lang w:val="en-ZA"/>
        </w:rPr>
      </w:pPr>
    </w:p>
    <w:p w14:paraId="2862FE12" w14:textId="06485D32" w:rsidR="00AA65A5" w:rsidRPr="003328F7" w:rsidRDefault="003328F7" w:rsidP="003328F7">
      <w:pPr>
        <w:tabs>
          <w:tab w:val="left" w:pos="709"/>
          <w:tab w:val="left" w:pos="1418"/>
        </w:tabs>
        <w:spacing w:line="360" w:lineRule="auto"/>
        <w:jc w:val="both"/>
        <w:rPr>
          <w:rFonts w:asciiTheme="minorBidi" w:hAnsiTheme="minorBidi"/>
        </w:rPr>
      </w:pPr>
      <w:r w:rsidRPr="0005695F">
        <w:rPr>
          <w:rFonts w:ascii="Arial" w:eastAsiaTheme="minorHAnsi" w:hAnsi="Arial" w:cstheme="minorBidi"/>
          <w:color w:val="000000" w:themeColor="text1"/>
          <w:lang w:eastAsia="en-US" w:bidi="ar-SA"/>
        </w:rPr>
        <w:t>[10]</w:t>
      </w:r>
      <w:r w:rsidRPr="0005695F">
        <w:rPr>
          <w:rFonts w:ascii="Arial" w:eastAsiaTheme="minorHAnsi" w:hAnsi="Arial" w:cstheme="minorBidi"/>
          <w:color w:val="000000" w:themeColor="text1"/>
          <w:lang w:eastAsia="en-US" w:bidi="ar-SA"/>
        </w:rPr>
        <w:tab/>
      </w:r>
      <w:r w:rsidR="005E15F7" w:rsidRPr="003328F7">
        <w:rPr>
          <w:rFonts w:asciiTheme="minorBidi" w:hAnsiTheme="minorBidi"/>
        </w:rPr>
        <w:t>In seeking such leave, s</w:t>
      </w:r>
      <w:r w:rsidR="005407B7" w:rsidRPr="003328F7">
        <w:rPr>
          <w:rFonts w:asciiTheme="minorBidi" w:hAnsiTheme="minorBidi"/>
        </w:rPr>
        <w:t xml:space="preserve">ome explanation must also be provided dealing with why the new material contained in the further affidavit did not appear in the </w:t>
      </w:r>
      <w:r w:rsidR="00BE1287" w:rsidRPr="003328F7">
        <w:rPr>
          <w:rFonts w:asciiTheme="minorBidi" w:hAnsiTheme="minorBidi"/>
        </w:rPr>
        <w:t>initial</w:t>
      </w:r>
      <w:r w:rsidR="005407B7" w:rsidRPr="003328F7">
        <w:rPr>
          <w:rFonts w:asciiTheme="minorBidi" w:hAnsiTheme="minorBidi"/>
        </w:rPr>
        <w:t xml:space="preserve"> affidavit. </w:t>
      </w:r>
      <w:r w:rsidR="00AA65A5" w:rsidRPr="003328F7">
        <w:rPr>
          <w:rFonts w:asciiTheme="minorBidi" w:hAnsiTheme="minorBidi"/>
        </w:rPr>
        <w:t xml:space="preserve">The only </w:t>
      </w:r>
      <w:r w:rsidR="00D66D0B" w:rsidRPr="003328F7">
        <w:rPr>
          <w:rFonts w:asciiTheme="minorBidi" w:hAnsiTheme="minorBidi"/>
        </w:rPr>
        <w:t xml:space="preserve">real </w:t>
      </w:r>
      <w:r w:rsidR="00AA65A5" w:rsidRPr="003328F7">
        <w:rPr>
          <w:rFonts w:asciiTheme="minorBidi" w:hAnsiTheme="minorBidi"/>
        </w:rPr>
        <w:t xml:space="preserve">reason advanced in the affidavit that underpinned </w:t>
      </w:r>
      <w:r w:rsidR="00BE1287" w:rsidRPr="003328F7">
        <w:rPr>
          <w:rFonts w:asciiTheme="minorBidi" w:hAnsiTheme="minorBidi"/>
        </w:rPr>
        <w:t>the respondents’</w:t>
      </w:r>
      <w:r w:rsidR="00AA65A5" w:rsidRPr="003328F7">
        <w:rPr>
          <w:rFonts w:asciiTheme="minorBidi" w:hAnsiTheme="minorBidi"/>
        </w:rPr>
        <w:t xml:space="preserve"> application is that the respondents, having appointed one attorney then </w:t>
      </w:r>
      <w:r w:rsidR="00691BA0" w:rsidRPr="003328F7">
        <w:rPr>
          <w:rFonts w:asciiTheme="minorBidi" w:hAnsiTheme="minorBidi"/>
        </w:rPr>
        <w:t xml:space="preserve">terminated the first attorney’s mandate and then </w:t>
      </w:r>
      <w:r w:rsidR="00AA65A5" w:rsidRPr="003328F7">
        <w:rPr>
          <w:rFonts w:asciiTheme="minorBidi" w:hAnsiTheme="minorBidi"/>
        </w:rPr>
        <w:t xml:space="preserve">appointed a </w:t>
      </w:r>
      <w:r w:rsidR="00691BA0" w:rsidRPr="003328F7">
        <w:rPr>
          <w:rFonts w:asciiTheme="minorBidi" w:hAnsiTheme="minorBidi"/>
        </w:rPr>
        <w:t>second</w:t>
      </w:r>
      <w:r w:rsidR="00AA65A5" w:rsidRPr="003328F7">
        <w:rPr>
          <w:rFonts w:asciiTheme="minorBidi" w:hAnsiTheme="minorBidi"/>
        </w:rPr>
        <w:t xml:space="preserve"> attorney</w:t>
      </w:r>
      <w:r w:rsidR="00691BA0" w:rsidRPr="003328F7">
        <w:rPr>
          <w:rFonts w:asciiTheme="minorBidi" w:hAnsiTheme="minorBidi"/>
        </w:rPr>
        <w:t>. The second attorney then decided to brief co</w:t>
      </w:r>
      <w:r w:rsidR="00AA65A5" w:rsidRPr="003328F7">
        <w:rPr>
          <w:rFonts w:asciiTheme="minorBidi" w:hAnsiTheme="minorBidi"/>
        </w:rPr>
        <w:t xml:space="preserve">unsel, </w:t>
      </w:r>
      <w:r w:rsidR="00691BA0" w:rsidRPr="003328F7">
        <w:rPr>
          <w:rFonts w:asciiTheme="minorBidi" w:hAnsiTheme="minorBidi"/>
        </w:rPr>
        <w:t>who</w:t>
      </w:r>
      <w:r w:rsidR="00AA65A5" w:rsidRPr="003328F7">
        <w:rPr>
          <w:rFonts w:asciiTheme="minorBidi" w:hAnsiTheme="minorBidi"/>
        </w:rPr>
        <w:t xml:space="preserve"> determined that a further affidavit should be delivered. That is not a sufficiently compelling reason to permit the delivery of a further answering affidavit</w:t>
      </w:r>
      <w:r w:rsidR="00BE1287" w:rsidRPr="003328F7">
        <w:rPr>
          <w:rFonts w:asciiTheme="minorBidi" w:hAnsiTheme="minorBidi"/>
        </w:rPr>
        <w:t xml:space="preserve"> and is certainly not an exceptional circumstance</w:t>
      </w:r>
      <w:r w:rsidR="00AA65A5" w:rsidRPr="003328F7">
        <w:rPr>
          <w:rFonts w:asciiTheme="minorBidi" w:hAnsiTheme="minorBidi"/>
        </w:rPr>
        <w:t>.</w:t>
      </w:r>
      <w:r w:rsidR="00BE1287">
        <w:rPr>
          <w:rStyle w:val="FootnoteReference"/>
          <w:rFonts w:asciiTheme="minorBidi" w:hAnsiTheme="minorBidi"/>
        </w:rPr>
        <w:footnoteReference w:id="6"/>
      </w:r>
      <w:r w:rsidR="00AA65A5" w:rsidRPr="003328F7">
        <w:rPr>
          <w:rFonts w:asciiTheme="minorBidi" w:hAnsiTheme="minorBidi"/>
        </w:rPr>
        <w:t xml:space="preserve"> No explanation was provided as to why what is now stated in the supplementary affidavit was not stated in the initial answering affidavit. The attempted delivery of a further affidavit appeared simply to be a stratagem to further delay this matter. I</w:t>
      </w:r>
      <w:r w:rsidR="00BE1287" w:rsidRPr="003328F7">
        <w:rPr>
          <w:rFonts w:asciiTheme="minorBidi" w:hAnsiTheme="minorBidi"/>
        </w:rPr>
        <w:t>n the exercise of my discretion I</w:t>
      </w:r>
      <w:r w:rsidR="00AA65A5" w:rsidRPr="003328F7">
        <w:rPr>
          <w:rFonts w:asciiTheme="minorBidi" w:hAnsiTheme="minorBidi"/>
        </w:rPr>
        <w:t xml:space="preserve"> accordingly refused the respondents</w:t>
      </w:r>
      <w:r w:rsidR="00691BA0" w:rsidRPr="003328F7">
        <w:rPr>
          <w:rFonts w:asciiTheme="minorBidi" w:hAnsiTheme="minorBidi"/>
        </w:rPr>
        <w:t>’</w:t>
      </w:r>
      <w:r w:rsidR="00AA65A5" w:rsidRPr="003328F7">
        <w:rPr>
          <w:rFonts w:asciiTheme="minorBidi" w:hAnsiTheme="minorBidi"/>
        </w:rPr>
        <w:t xml:space="preserve"> application, with costs. </w:t>
      </w:r>
      <w:r w:rsidR="0005695F" w:rsidRPr="003328F7">
        <w:rPr>
          <w:rFonts w:asciiTheme="minorBidi" w:hAnsiTheme="minorBidi"/>
        </w:rPr>
        <w:t>Those costs must be on the scale as between attorney and client in accordance with the provisions of the loan agreement</w:t>
      </w:r>
      <w:r w:rsidR="00BE1287" w:rsidRPr="003328F7">
        <w:rPr>
          <w:rFonts w:asciiTheme="minorBidi" w:hAnsiTheme="minorBidi"/>
        </w:rPr>
        <w:t xml:space="preserve"> and the deeds of suretyship</w:t>
      </w:r>
      <w:r w:rsidR="0005695F" w:rsidRPr="003328F7">
        <w:rPr>
          <w:rFonts w:asciiTheme="minorBidi" w:hAnsiTheme="minorBidi"/>
        </w:rPr>
        <w:t>.</w:t>
      </w:r>
    </w:p>
    <w:p w14:paraId="78B9B42E" w14:textId="77777777" w:rsidR="00AA65A5" w:rsidRDefault="00AA65A5" w:rsidP="00C33FAF">
      <w:pPr>
        <w:pStyle w:val="ListParagraph"/>
        <w:tabs>
          <w:tab w:val="left" w:pos="709"/>
          <w:tab w:val="left" w:pos="1418"/>
        </w:tabs>
        <w:spacing w:after="0" w:line="360" w:lineRule="auto"/>
        <w:ind w:left="0"/>
        <w:jc w:val="both"/>
        <w:rPr>
          <w:rFonts w:ascii="Arial" w:hAnsi="Arial" w:cs="Arial"/>
          <w:sz w:val="24"/>
          <w:szCs w:val="24"/>
          <w:lang w:val="en-ZA"/>
        </w:rPr>
      </w:pPr>
    </w:p>
    <w:p w14:paraId="07423908" w14:textId="43227D87" w:rsidR="00403228"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[11]</w:t>
      </w:r>
      <w:r>
        <w:rPr>
          <w:rFonts w:ascii="Arial" w:eastAsiaTheme="minorHAnsi" w:hAnsi="Arial" w:cs="Arial"/>
          <w:color w:val="000000" w:themeColor="text1"/>
          <w:lang w:eastAsia="en-US" w:bidi="ar-SA"/>
        </w:rPr>
        <w:tab/>
      </w:r>
      <w:r w:rsidR="005C78FD" w:rsidRPr="003328F7">
        <w:rPr>
          <w:rFonts w:ascii="Arial" w:hAnsi="Arial" w:cs="Arial"/>
        </w:rPr>
        <w:t xml:space="preserve">Before considering the defences raised by the respondents, it is necessary to discuss certain other aspects of the </w:t>
      </w:r>
      <w:r w:rsidR="00722B5D" w:rsidRPr="003328F7">
        <w:rPr>
          <w:rFonts w:ascii="Arial" w:hAnsi="Arial" w:cs="Arial"/>
        </w:rPr>
        <w:t xml:space="preserve">loan </w:t>
      </w:r>
      <w:r w:rsidR="005C78FD" w:rsidRPr="003328F7">
        <w:rPr>
          <w:rFonts w:ascii="Arial" w:hAnsi="Arial" w:cs="Arial"/>
        </w:rPr>
        <w:t xml:space="preserve">agreement which have come to assume some significance in the light of the specific defences raised by the respondents.  </w:t>
      </w:r>
    </w:p>
    <w:p w14:paraId="1292A62D" w14:textId="77777777" w:rsidR="00403228" w:rsidRDefault="00403228" w:rsidP="00403228">
      <w:pPr>
        <w:pStyle w:val="ListParagraph"/>
        <w:tabs>
          <w:tab w:val="left" w:pos="709"/>
          <w:tab w:val="left" w:pos="1418"/>
        </w:tabs>
        <w:spacing w:after="0" w:line="360" w:lineRule="auto"/>
        <w:ind w:left="0"/>
        <w:jc w:val="both"/>
        <w:rPr>
          <w:rFonts w:ascii="Arial" w:hAnsi="Arial" w:cs="Arial"/>
          <w:sz w:val="24"/>
          <w:szCs w:val="24"/>
          <w:lang w:val="en-ZA"/>
        </w:rPr>
      </w:pPr>
    </w:p>
    <w:p w14:paraId="1EFDBDA7" w14:textId="19025922" w:rsidR="005C78FD"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[12]</w:t>
      </w:r>
      <w:r>
        <w:rPr>
          <w:rFonts w:ascii="Arial" w:eastAsiaTheme="minorHAnsi" w:hAnsi="Arial" w:cs="Arial"/>
          <w:color w:val="000000" w:themeColor="text1"/>
          <w:lang w:eastAsia="en-US" w:bidi="ar-SA"/>
        </w:rPr>
        <w:tab/>
      </w:r>
      <w:r w:rsidR="005C78FD" w:rsidRPr="003328F7">
        <w:rPr>
          <w:rFonts w:ascii="Arial" w:hAnsi="Arial" w:cs="Arial"/>
        </w:rPr>
        <w:t xml:space="preserve">The </w:t>
      </w:r>
      <w:r w:rsidR="00722B5D" w:rsidRPr="003328F7">
        <w:rPr>
          <w:rFonts w:ascii="Arial" w:hAnsi="Arial" w:cs="Arial"/>
        </w:rPr>
        <w:t xml:space="preserve">loan </w:t>
      </w:r>
      <w:r w:rsidR="005C78FD" w:rsidRPr="003328F7">
        <w:rPr>
          <w:rFonts w:ascii="Arial" w:hAnsi="Arial" w:cs="Arial"/>
        </w:rPr>
        <w:t>agreement recorded that the applicant already held certain security</w:t>
      </w:r>
      <w:r w:rsidR="00C33FAF" w:rsidRPr="003328F7">
        <w:rPr>
          <w:rFonts w:ascii="Arial" w:hAnsi="Arial" w:cs="Arial"/>
        </w:rPr>
        <w:t xml:space="preserve"> for the obligations of the company. </w:t>
      </w:r>
      <w:r w:rsidR="005532A1" w:rsidRPr="003328F7">
        <w:rPr>
          <w:rFonts w:ascii="Arial" w:hAnsi="Arial" w:cs="Arial"/>
        </w:rPr>
        <w:t>I</w:t>
      </w:r>
      <w:r w:rsidR="005C78FD" w:rsidRPr="003328F7">
        <w:rPr>
          <w:rFonts w:ascii="Arial" w:hAnsi="Arial" w:cs="Arial"/>
        </w:rPr>
        <w:t xml:space="preserve">n schedule 1 </w:t>
      </w:r>
      <w:r w:rsidR="005532A1" w:rsidRPr="003328F7">
        <w:rPr>
          <w:rFonts w:ascii="Arial" w:hAnsi="Arial" w:cs="Arial"/>
        </w:rPr>
        <w:t>to the agreement</w:t>
      </w:r>
      <w:r w:rsidR="009F4A33" w:rsidRPr="003328F7">
        <w:rPr>
          <w:rFonts w:ascii="Arial" w:hAnsi="Arial" w:cs="Arial"/>
        </w:rPr>
        <w:t xml:space="preserve"> (schedule 1)</w:t>
      </w:r>
      <w:r w:rsidR="005532A1" w:rsidRPr="003328F7">
        <w:rPr>
          <w:rFonts w:ascii="Arial" w:hAnsi="Arial" w:cs="Arial"/>
        </w:rPr>
        <w:t xml:space="preserve">, </w:t>
      </w:r>
      <w:r w:rsidR="005C78FD" w:rsidRPr="003328F7">
        <w:rPr>
          <w:rFonts w:ascii="Arial" w:hAnsi="Arial" w:cs="Arial"/>
        </w:rPr>
        <w:t xml:space="preserve">all the security that it </w:t>
      </w:r>
      <w:r w:rsidR="006C3EE5" w:rsidRPr="003328F7">
        <w:rPr>
          <w:rFonts w:ascii="Arial" w:hAnsi="Arial" w:cs="Arial"/>
        </w:rPr>
        <w:t xml:space="preserve">already </w:t>
      </w:r>
      <w:r w:rsidR="005C78FD" w:rsidRPr="003328F7">
        <w:rPr>
          <w:rFonts w:ascii="Arial" w:hAnsi="Arial" w:cs="Arial"/>
        </w:rPr>
        <w:t>held in respect of the company</w:t>
      </w:r>
      <w:r w:rsidR="005532A1" w:rsidRPr="003328F7">
        <w:rPr>
          <w:rFonts w:ascii="Arial" w:hAnsi="Arial" w:cs="Arial"/>
        </w:rPr>
        <w:t xml:space="preserve"> was identified</w:t>
      </w:r>
      <w:r w:rsidR="0015787E" w:rsidRPr="003328F7">
        <w:rPr>
          <w:rFonts w:ascii="Arial" w:hAnsi="Arial" w:cs="Arial"/>
        </w:rPr>
        <w:t xml:space="preserve"> and</w:t>
      </w:r>
      <w:r w:rsidR="005C78FD" w:rsidRPr="003328F7">
        <w:rPr>
          <w:rFonts w:ascii="Arial" w:hAnsi="Arial" w:cs="Arial"/>
        </w:rPr>
        <w:t xml:space="preserve"> included:</w:t>
      </w:r>
    </w:p>
    <w:p w14:paraId="07617714" w14:textId="7AE478F3" w:rsidR="00334180"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i/>
          <w:lang w:eastAsia="en-US" w:bidi="ar-SA"/>
        </w:rPr>
        <w:t>(a)</w:t>
      </w:r>
      <w:r>
        <w:rPr>
          <w:rFonts w:ascii="Arial" w:eastAsiaTheme="minorHAnsi" w:hAnsi="Arial" w:cs="Arial"/>
          <w:i/>
          <w:lang w:eastAsia="en-US" w:bidi="ar-SA"/>
        </w:rPr>
        <w:tab/>
      </w:r>
      <w:r w:rsidR="00334180" w:rsidRPr="003328F7">
        <w:rPr>
          <w:rFonts w:ascii="Arial" w:hAnsi="Arial" w:cs="Arial"/>
        </w:rPr>
        <w:t xml:space="preserve">A </w:t>
      </w:r>
      <w:r w:rsidR="00403228" w:rsidRPr="003328F7">
        <w:rPr>
          <w:rFonts w:ascii="Arial" w:hAnsi="Arial" w:cs="Arial"/>
        </w:rPr>
        <w:t xml:space="preserve">second </w:t>
      </w:r>
      <w:r w:rsidR="00334180" w:rsidRPr="003328F7">
        <w:rPr>
          <w:rFonts w:ascii="Arial" w:hAnsi="Arial" w:cs="Arial"/>
        </w:rPr>
        <w:t>deed of suretyship limited to the amount of R20 million</w:t>
      </w:r>
      <w:r w:rsidR="009F4A33" w:rsidRPr="003328F7">
        <w:rPr>
          <w:rFonts w:ascii="Arial" w:hAnsi="Arial" w:cs="Arial"/>
        </w:rPr>
        <w:t>,</w:t>
      </w:r>
      <w:r w:rsidR="00334180" w:rsidRPr="003328F7">
        <w:rPr>
          <w:rFonts w:ascii="Arial" w:hAnsi="Arial" w:cs="Arial"/>
        </w:rPr>
        <w:t xml:space="preserve"> executed by the </w:t>
      </w:r>
      <w:r w:rsidR="005F02A5" w:rsidRPr="003328F7">
        <w:rPr>
          <w:rFonts w:ascii="Arial" w:hAnsi="Arial" w:cs="Arial"/>
        </w:rPr>
        <w:t>T</w:t>
      </w:r>
      <w:r w:rsidR="00334180" w:rsidRPr="003328F7">
        <w:rPr>
          <w:rFonts w:ascii="Arial" w:hAnsi="Arial" w:cs="Arial"/>
        </w:rPr>
        <w:t xml:space="preserve">rust on 28 April 2016; </w:t>
      </w:r>
    </w:p>
    <w:p w14:paraId="4121F1B6" w14:textId="2C803C23" w:rsidR="00334180"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i/>
          <w:lang w:eastAsia="en-US" w:bidi="ar-SA"/>
        </w:rPr>
        <w:t>(b)</w:t>
      </w:r>
      <w:r>
        <w:rPr>
          <w:rFonts w:ascii="Arial" w:eastAsiaTheme="minorHAnsi" w:hAnsi="Arial" w:cs="Arial"/>
          <w:i/>
          <w:lang w:eastAsia="en-US" w:bidi="ar-SA"/>
        </w:rPr>
        <w:tab/>
      </w:r>
      <w:r w:rsidR="00334180" w:rsidRPr="003328F7">
        <w:rPr>
          <w:rFonts w:ascii="Arial" w:hAnsi="Arial" w:cs="Arial"/>
        </w:rPr>
        <w:t xml:space="preserve">A </w:t>
      </w:r>
      <w:r w:rsidR="00403228" w:rsidRPr="003328F7">
        <w:rPr>
          <w:rFonts w:ascii="Arial" w:hAnsi="Arial" w:cs="Arial"/>
        </w:rPr>
        <w:t>second</w:t>
      </w:r>
      <w:r w:rsidR="00C33FAF" w:rsidRPr="003328F7">
        <w:rPr>
          <w:rFonts w:ascii="Arial" w:hAnsi="Arial" w:cs="Arial"/>
        </w:rPr>
        <w:t xml:space="preserve"> </w:t>
      </w:r>
      <w:r w:rsidR="00334180" w:rsidRPr="003328F7">
        <w:rPr>
          <w:rFonts w:ascii="Arial" w:hAnsi="Arial" w:cs="Arial"/>
        </w:rPr>
        <w:t>deed of suretyship limited to the amount of R20 million</w:t>
      </w:r>
      <w:r w:rsidR="009F4A33" w:rsidRPr="003328F7">
        <w:rPr>
          <w:rFonts w:ascii="Arial" w:hAnsi="Arial" w:cs="Arial"/>
        </w:rPr>
        <w:t>,</w:t>
      </w:r>
      <w:r w:rsidR="00334180" w:rsidRPr="003328F7">
        <w:rPr>
          <w:rFonts w:ascii="Arial" w:hAnsi="Arial" w:cs="Arial"/>
        </w:rPr>
        <w:t xml:space="preserve"> executed by the fourth respondent on 28 April 2016</w:t>
      </w:r>
      <w:r w:rsidR="0015787E" w:rsidRPr="003328F7">
        <w:rPr>
          <w:rFonts w:ascii="Arial" w:hAnsi="Arial" w:cs="Arial"/>
        </w:rPr>
        <w:t>;</w:t>
      </w:r>
    </w:p>
    <w:p w14:paraId="4E42BCD7" w14:textId="4097CE3F" w:rsidR="0015787E"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i/>
          <w:lang w:eastAsia="en-US" w:bidi="ar-SA"/>
        </w:rPr>
        <w:lastRenderedPageBreak/>
        <w:t>(c)</w:t>
      </w:r>
      <w:r>
        <w:rPr>
          <w:rFonts w:ascii="Arial" w:eastAsiaTheme="minorHAnsi" w:hAnsi="Arial" w:cs="Arial"/>
          <w:i/>
          <w:lang w:eastAsia="en-US" w:bidi="ar-SA"/>
        </w:rPr>
        <w:tab/>
      </w:r>
      <w:r w:rsidR="0015787E" w:rsidRPr="003328F7">
        <w:rPr>
          <w:rFonts w:ascii="Arial" w:hAnsi="Arial" w:cs="Arial"/>
        </w:rPr>
        <w:t xml:space="preserve">A general cession of all trade </w:t>
      </w:r>
      <w:r w:rsidR="00070440" w:rsidRPr="003328F7">
        <w:rPr>
          <w:rFonts w:ascii="Arial" w:hAnsi="Arial" w:cs="Arial"/>
        </w:rPr>
        <w:t>receivables</w:t>
      </w:r>
      <w:r w:rsidR="0015787E" w:rsidRPr="003328F7">
        <w:rPr>
          <w:rFonts w:ascii="Arial" w:hAnsi="Arial" w:cs="Arial"/>
        </w:rPr>
        <w:t xml:space="preserve"> due to the company</w:t>
      </w:r>
      <w:r w:rsidR="009F4A33" w:rsidRPr="003328F7">
        <w:rPr>
          <w:rFonts w:ascii="Arial" w:hAnsi="Arial" w:cs="Arial"/>
        </w:rPr>
        <w:t>,</w:t>
      </w:r>
      <w:r w:rsidR="006D1821" w:rsidRPr="003328F7">
        <w:rPr>
          <w:rFonts w:ascii="Arial" w:hAnsi="Arial" w:cs="Arial"/>
        </w:rPr>
        <w:t xml:space="preserve"> executed by the company on</w:t>
      </w:r>
      <w:r w:rsidR="0015787E" w:rsidRPr="003328F7">
        <w:rPr>
          <w:rFonts w:ascii="Arial" w:hAnsi="Arial" w:cs="Arial"/>
        </w:rPr>
        <w:t xml:space="preserve"> 28 April 2016;</w:t>
      </w:r>
    </w:p>
    <w:p w14:paraId="71536942" w14:textId="0DE930B4" w:rsidR="0015787E"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i/>
          <w:lang w:eastAsia="en-US" w:bidi="ar-SA"/>
        </w:rPr>
        <w:t>(d)</w:t>
      </w:r>
      <w:r>
        <w:rPr>
          <w:rFonts w:ascii="Arial" w:eastAsiaTheme="minorHAnsi" w:hAnsi="Arial" w:cs="Arial"/>
          <w:i/>
          <w:lang w:eastAsia="en-US" w:bidi="ar-SA"/>
        </w:rPr>
        <w:tab/>
      </w:r>
      <w:r w:rsidR="0015787E" w:rsidRPr="003328F7">
        <w:rPr>
          <w:rFonts w:ascii="Arial" w:hAnsi="Arial" w:cs="Arial"/>
        </w:rPr>
        <w:t>A guarantee limited to the amount of R9 million</w:t>
      </w:r>
      <w:r w:rsidR="009F4A33" w:rsidRPr="003328F7">
        <w:rPr>
          <w:rFonts w:ascii="Arial" w:hAnsi="Arial" w:cs="Arial"/>
        </w:rPr>
        <w:t>,</w:t>
      </w:r>
      <w:r w:rsidR="0015787E" w:rsidRPr="003328F7">
        <w:rPr>
          <w:rFonts w:ascii="Arial" w:hAnsi="Arial" w:cs="Arial"/>
        </w:rPr>
        <w:t xml:space="preserve"> </w:t>
      </w:r>
      <w:r w:rsidR="006D1821" w:rsidRPr="003328F7">
        <w:rPr>
          <w:rFonts w:ascii="Arial" w:hAnsi="Arial" w:cs="Arial"/>
        </w:rPr>
        <w:t xml:space="preserve">executed </w:t>
      </w:r>
      <w:r w:rsidR="0015787E" w:rsidRPr="003328F7">
        <w:rPr>
          <w:rFonts w:ascii="Arial" w:hAnsi="Arial" w:cs="Arial"/>
        </w:rPr>
        <w:t xml:space="preserve">by </w:t>
      </w:r>
      <w:r w:rsidR="006D1821" w:rsidRPr="003328F7">
        <w:rPr>
          <w:rFonts w:ascii="Arial" w:hAnsi="Arial" w:cs="Arial"/>
        </w:rPr>
        <w:t>National Pride on 23 January 2017</w:t>
      </w:r>
      <w:r w:rsidR="0015787E" w:rsidRPr="003328F7">
        <w:rPr>
          <w:rFonts w:ascii="Arial" w:hAnsi="Arial" w:cs="Arial"/>
        </w:rPr>
        <w:t>; and</w:t>
      </w:r>
    </w:p>
    <w:p w14:paraId="27F9EB0F" w14:textId="50C977D1" w:rsidR="0015787E"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i/>
          <w:lang w:eastAsia="en-US" w:bidi="ar-SA"/>
        </w:rPr>
        <w:t>(e)</w:t>
      </w:r>
      <w:r>
        <w:rPr>
          <w:rFonts w:ascii="Arial" w:eastAsiaTheme="minorHAnsi" w:hAnsi="Arial" w:cs="Arial"/>
          <w:i/>
          <w:lang w:eastAsia="en-US" w:bidi="ar-SA"/>
        </w:rPr>
        <w:tab/>
      </w:r>
      <w:r w:rsidR="0015787E" w:rsidRPr="003328F7">
        <w:rPr>
          <w:rFonts w:ascii="Arial" w:hAnsi="Arial" w:cs="Arial"/>
        </w:rPr>
        <w:t>A deed of suretyship limited to R5 million</w:t>
      </w:r>
      <w:r w:rsidR="009F4A33" w:rsidRPr="003328F7">
        <w:rPr>
          <w:rFonts w:ascii="Arial" w:hAnsi="Arial" w:cs="Arial"/>
        </w:rPr>
        <w:t>,</w:t>
      </w:r>
      <w:r w:rsidR="0015787E" w:rsidRPr="003328F7">
        <w:rPr>
          <w:rFonts w:ascii="Arial" w:hAnsi="Arial" w:cs="Arial"/>
        </w:rPr>
        <w:t xml:space="preserve"> executed by </w:t>
      </w:r>
      <w:r w:rsidR="00403228" w:rsidRPr="003328F7">
        <w:rPr>
          <w:rFonts w:ascii="Arial" w:hAnsi="Arial" w:cs="Arial"/>
        </w:rPr>
        <w:t xml:space="preserve">EAT </w:t>
      </w:r>
      <w:r w:rsidR="0015787E" w:rsidRPr="003328F7">
        <w:rPr>
          <w:rFonts w:ascii="Arial" w:hAnsi="Arial" w:cs="Arial"/>
        </w:rPr>
        <w:t>on 26 November 2013.</w:t>
      </w:r>
    </w:p>
    <w:p w14:paraId="39BB6F73" w14:textId="291E76DA" w:rsidR="00571CB6" w:rsidRDefault="00571CB6" w:rsidP="00571CB6">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In addition to th</w:t>
      </w:r>
      <w:r w:rsidR="00F7281B">
        <w:rPr>
          <w:rFonts w:ascii="Arial" w:hAnsi="Arial" w:cs="Arial"/>
          <w:sz w:val="24"/>
          <w:szCs w:val="24"/>
          <w:lang w:val="en-ZA"/>
        </w:rPr>
        <w:t>is</w:t>
      </w:r>
      <w:r>
        <w:rPr>
          <w:rFonts w:ascii="Arial" w:hAnsi="Arial" w:cs="Arial"/>
          <w:sz w:val="24"/>
          <w:szCs w:val="24"/>
          <w:lang w:val="en-ZA"/>
        </w:rPr>
        <w:t xml:space="preserve"> security, there were also the two deeds of suretyship relied upon by the applicant for the judgment that it seeks in this application</w:t>
      </w:r>
      <w:r w:rsidR="006D1821">
        <w:rPr>
          <w:rFonts w:ascii="Arial" w:hAnsi="Arial" w:cs="Arial"/>
          <w:sz w:val="24"/>
          <w:szCs w:val="24"/>
          <w:lang w:val="en-ZA"/>
        </w:rPr>
        <w:t>,</w:t>
      </w:r>
      <w:r>
        <w:rPr>
          <w:rFonts w:ascii="Arial" w:hAnsi="Arial" w:cs="Arial"/>
          <w:sz w:val="24"/>
          <w:szCs w:val="24"/>
          <w:lang w:val="en-ZA"/>
        </w:rPr>
        <w:t xml:space="preserve"> although in schedule 1</w:t>
      </w:r>
      <w:r w:rsidR="006D1821">
        <w:rPr>
          <w:rFonts w:ascii="Arial" w:hAnsi="Arial" w:cs="Arial"/>
          <w:sz w:val="24"/>
          <w:szCs w:val="24"/>
          <w:lang w:val="en-ZA"/>
        </w:rPr>
        <w:t xml:space="preserve"> </w:t>
      </w:r>
      <w:r>
        <w:rPr>
          <w:rFonts w:ascii="Arial" w:hAnsi="Arial" w:cs="Arial"/>
          <w:sz w:val="24"/>
          <w:szCs w:val="24"/>
          <w:lang w:val="en-ZA"/>
        </w:rPr>
        <w:t xml:space="preserve">the deed of suretyship binding the fourth respondent is </w:t>
      </w:r>
      <w:r w:rsidR="006D1821">
        <w:rPr>
          <w:rFonts w:ascii="Arial" w:hAnsi="Arial" w:cs="Arial"/>
          <w:sz w:val="24"/>
          <w:szCs w:val="24"/>
          <w:lang w:val="en-ZA"/>
        </w:rPr>
        <w:t xml:space="preserve">incorrectly </w:t>
      </w:r>
      <w:r>
        <w:rPr>
          <w:rFonts w:ascii="Arial" w:hAnsi="Arial" w:cs="Arial"/>
          <w:sz w:val="24"/>
          <w:szCs w:val="24"/>
          <w:lang w:val="en-ZA"/>
        </w:rPr>
        <w:t>described as having been concluded on 6 November 2013 and not on 26 November 2013.</w:t>
      </w:r>
    </w:p>
    <w:p w14:paraId="10C24EBB" w14:textId="77777777" w:rsidR="00136996" w:rsidRDefault="00136996" w:rsidP="00571CB6">
      <w:pPr>
        <w:pStyle w:val="ListParagraph"/>
        <w:tabs>
          <w:tab w:val="left" w:pos="709"/>
          <w:tab w:val="left" w:pos="1418"/>
        </w:tabs>
        <w:spacing w:after="0" w:line="360" w:lineRule="auto"/>
        <w:ind w:left="0"/>
        <w:jc w:val="both"/>
        <w:rPr>
          <w:rFonts w:ascii="Arial" w:hAnsi="Arial" w:cs="Arial"/>
          <w:sz w:val="24"/>
          <w:szCs w:val="24"/>
          <w:lang w:val="en-ZA"/>
        </w:rPr>
      </w:pPr>
    </w:p>
    <w:p w14:paraId="6E95D1E0" w14:textId="647709E3" w:rsidR="00A2601F"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[13]</w:t>
      </w:r>
      <w:r>
        <w:rPr>
          <w:rFonts w:ascii="Arial" w:eastAsiaTheme="minorHAnsi" w:hAnsi="Arial" w:cs="Arial"/>
          <w:color w:val="000000" w:themeColor="text1"/>
          <w:lang w:eastAsia="en-US" w:bidi="ar-SA"/>
        </w:rPr>
        <w:tab/>
      </w:r>
      <w:r w:rsidR="00CA7547" w:rsidRPr="003328F7">
        <w:rPr>
          <w:rFonts w:ascii="Arial" w:hAnsi="Arial" w:cs="Arial"/>
        </w:rPr>
        <w:t xml:space="preserve">Notwithstanding the existence of this security, the </w:t>
      </w:r>
      <w:r w:rsidR="00722B5D" w:rsidRPr="003328F7">
        <w:rPr>
          <w:rFonts w:ascii="Arial" w:hAnsi="Arial" w:cs="Arial"/>
        </w:rPr>
        <w:t xml:space="preserve">loan </w:t>
      </w:r>
      <w:r w:rsidR="00CA7547" w:rsidRPr="003328F7">
        <w:rPr>
          <w:rFonts w:ascii="Arial" w:hAnsi="Arial" w:cs="Arial"/>
        </w:rPr>
        <w:t xml:space="preserve">agreement </w:t>
      </w:r>
      <w:r w:rsidR="009F4A33" w:rsidRPr="003328F7">
        <w:rPr>
          <w:rFonts w:ascii="Arial" w:hAnsi="Arial" w:cs="Arial"/>
        </w:rPr>
        <w:t xml:space="preserve">recorded that the parties agreed </w:t>
      </w:r>
      <w:r w:rsidR="00CA7547" w:rsidRPr="003328F7">
        <w:rPr>
          <w:rFonts w:ascii="Arial" w:hAnsi="Arial" w:cs="Arial"/>
        </w:rPr>
        <w:t xml:space="preserve">that </w:t>
      </w:r>
      <w:r w:rsidR="002A1688" w:rsidRPr="003328F7">
        <w:rPr>
          <w:rFonts w:ascii="Arial" w:hAnsi="Arial" w:cs="Arial"/>
        </w:rPr>
        <w:t xml:space="preserve">additional </w:t>
      </w:r>
      <w:r w:rsidR="00CA7547" w:rsidRPr="003328F7">
        <w:rPr>
          <w:rFonts w:ascii="Arial" w:hAnsi="Arial" w:cs="Arial"/>
        </w:rPr>
        <w:t xml:space="preserve">security was </w:t>
      </w:r>
      <w:r w:rsidR="009F4A33" w:rsidRPr="003328F7">
        <w:rPr>
          <w:rFonts w:ascii="Arial" w:hAnsi="Arial" w:cs="Arial"/>
        </w:rPr>
        <w:t>to be put up</w:t>
      </w:r>
      <w:r w:rsidR="00CA7547" w:rsidRPr="003328F7">
        <w:rPr>
          <w:rFonts w:ascii="Arial" w:hAnsi="Arial" w:cs="Arial"/>
        </w:rPr>
        <w:t xml:space="preserve">. This security was identified in schedule 2 to the </w:t>
      </w:r>
      <w:r w:rsidR="00722B5D" w:rsidRPr="003328F7">
        <w:rPr>
          <w:rFonts w:ascii="Arial" w:hAnsi="Arial" w:cs="Arial"/>
        </w:rPr>
        <w:t xml:space="preserve">loan </w:t>
      </w:r>
      <w:r w:rsidR="00CA7547" w:rsidRPr="003328F7">
        <w:rPr>
          <w:rFonts w:ascii="Arial" w:hAnsi="Arial" w:cs="Arial"/>
        </w:rPr>
        <w:t>agreement and comprised</w:t>
      </w:r>
      <w:r w:rsidR="00FE7CF3" w:rsidRPr="003328F7">
        <w:rPr>
          <w:rFonts w:ascii="Arial" w:hAnsi="Arial" w:cs="Arial"/>
        </w:rPr>
        <w:t xml:space="preserve"> of</w:t>
      </w:r>
      <w:r w:rsidR="00A2601F" w:rsidRPr="003328F7">
        <w:rPr>
          <w:rFonts w:ascii="Arial" w:hAnsi="Arial" w:cs="Arial"/>
        </w:rPr>
        <w:t>:</w:t>
      </w:r>
    </w:p>
    <w:p w14:paraId="04A16D1F" w14:textId="37240D83" w:rsidR="00A2601F" w:rsidRPr="003328F7" w:rsidRDefault="003328F7" w:rsidP="003328F7">
      <w:pPr>
        <w:tabs>
          <w:tab w:val="left" w:pos="709"/>
        </w:tabs>
        <w:spacing w:line="360" w:lineRule="auto"/>
        <w:jc w:val="both"/>
        <w:rPr>
          <w:rFonts w:ascii="Arial" w:hAnsi="Arial" w:cs="Arial"/>
        </w:rPr>
      </w:pPr>
      <w:r>
        <w:rPr>
          <w:rFonts w:ascii="Arial" w:eastAsiaTheme="minorHAnsi" w:hAnsi="Arial" w:cs="Arial"/>
          <w:i/>
          <w:iCs/>
          <w:lang w:eastAsia="en-US" w:bidi="ar-SA"/>
        </w:rPr>
        <w:t>(a)</w:t>
      </w:r>
      <w:r>
        <w:rPr>
          <w:rFonts w:ascii="Arial" w:eastAsiaTheme="minorHAnsi" w:hAnsi="Arial" w:cs="Arial"/>
          <w:i/>
          <w:iCs/>
          <w:lang w:eastAsia="en-US" w:bidi="ar-SA"/>
        </w:rPr>
        <w:tab/>
      </w:r>
      <w:r w:rsidR="00FF3E05" w:rsidRPr="003328F7">
        <w:rPr>
          <w:rFonts w:ascii="Arial" w:hAnsi="Arial" w:cs="Arial"/>
        </w:rPr>
        <w:t xml:space="preserve">A </w:t>
      </w:r>
      <w:r w:rsidR="00081619" w:rsidRPr="003328F7">
        <w:rPr>
          <w:rFonts w:ascii="Arial" w:hAnsi="Arial" w:cs="Arial"/>
        </w:rPr>
        <w:t xml:space="preserve">general </w:t>
      </w:r>
      <w:r w:rsidR="00CA7547" w:rsidRPr="003328F7">
        <w:rPr>
          <w:rFonts w:ascii="Arial" w:hAnsi="Arial" w:cs="Arial"/>
        </w:rPr>
        <w:t xml:space="preserve">notarial bond </w:t>
      </w:r>
      <w:r w:rsidR="009F4A33" w:rsidRPr="003328F7">
        <w:rPr>
          <w:rFonts w:ascii="Arial" w:hAnsi="Arial" w:cs="Arial"/>
        </w:rPr>
        <w:t xml:space="preserve">(the </w:t>
      </w:r>
      <w:r w:rsidR="00081619" w:rsidRPr="003328F7">
        <w:rPr>
          <w:rFonts w:ascii="Arial" w:hAnsi="Arial" w:cs="Arial"/>
        </w:rPr>
        <w:t xml:space="preserve">notarial </w:t>
      </w:r>
      <w:r w:rsidR="009F4A33" w:rsidRPr="003328F7">
        <w:rPr>
          <w:rFonts w:ascii="Arial" w:hAnsi="Arial" w:cs="Arial"/>
        </w:rPr>
        <w:t xml:space="preserve">bond) </w:t>
      </w:r>
      <w:r w:rsidR="00CA7547" w:rsidRPr="003328F7">
        <w:rPr>
          <w:rFonts w:ascii="Arial" w:hAnsi="Arial" w:cs="Arial"/>
        </w:rPr>
        <w:t>to the value of R8 million that the company was</w:t>
      </w:r>
      <w:r w:rsidR="00452FDD" w:rsidRPr="003328F7">
        <w:rPr>
          <w:rFonts w:ascii="Arial" w:hAnsi="Arial" w:cs="Arial"/>
        </w:rPr>
        <w:t xml:space="preserve"> required</w:t>
      </w:r>
      <w:r w:rsidR="00CA7547" w:rsidRPr="003328F7">
        <w:rPr>
          <w:rFonts w:ascii="Arial" w:hAnsi="Arial" w:cs="Arial"/>
        </w:rPr>
        <w:t xml:space="preserve"> to pass over its moveable assets</w:t>
      </w:r>
      <w:r w:rsidR="00A2601F" w:rsidRPr="003328F7">
        <w:rPr>
          <w:rFonts w:ascii="Arial" w:hAnsi="Arial" w:cs="Arial"/>
        </w:rPr>
        <w:t>;</w:t>
      </w:r>
      <w:r w:rsidR="00CA7547" w:rsidRPr="003328F7">
        <w:rPr>
          <w:rFonts w:ascii="Arial" w:hAnsi="Arial" w:cs="Arial"/>
        </w:rPr>
        <w:t xml:space="preserve"> and </w:t>
      </w:r>
    </w:p>
    <w:p w14:paraId="3FE403B8" w14:textId="5024A063" w:rsidR="00680CFE" w:rsidRPr="003328F7" w:rsidRDefault="003328F7" w:rsidP="003328F7">
      <w:pPr>
        <w:tabs>
          <w:tab w:val="left" w:pos="709"/>
        </w:tabs>
        <w:spacing w:line="360" w:lineRule="auto"/>
        <w:jc w:val="both"/>
        <w:rPr>
          <w:rFonts w:ascii="Arial" w:hAnsi="Arial" w:cs="Arial"/>
        </w:rPr>
      </w:pPr>
      <w:r>
        <w:rPr>
          <w:rFonts w:ascii="Arial" w:eastAsiaTheme="minorHAnsi" w:hAnsi="Arial" w:cs="Arial"/>
          <w:i/>
          <w:iCs/>
          <w:lang w:eastAsia="en-US" w:bidi="ar-SA"/>
        </w:rPr>
        <w:t>(b)</w:t>
      </w:r>
      <w:r>
        <w:rPr>
          <w:rFonts w:ascii="Arial" w:eastAsiaTheme="minorHAnsi" w:hAnsi="Arial" w:cs="Arial"/>
          <w:i/>
          <w:iCs/>
          <w:lang w:eastAsia="en-US" w:bidi="ar-SA"/>
        </w:rPr>
        <w:tab/>
      </w:r>
      <w:r w:rsidR="00FF3E05" w:rsidRPr="003328F7">
        <w:rPr>
          <w:rFonts w:ascii="Arial" w:hAnsi="Arial" w:cs="Arial"/>
        </w:rPr>
        <w:t xml:space="preserve">The </w:t>
      </w:r>
      <w:r w:rsidR="00CA7547" w:rsidRPr="003328F7">
        <w:rPr>
          <w:rFonts w:ascii="Arial" w:hAnsi="Arial" w:cs="Arial"/>
        </w:rPr>
        <w:t xml:space="preserve">cession of an insurance policy held by </w:t>
      </w:r>
      <w:r w:rsidR="00325A48" w:rsidRPr="003328F7">
        <w:rPr>
          <w:rFonts w:ascii="Arial" w:hAnsi="Arial" w:cs="Arial"/>
        </w:rPr>
        <w:t>EAT</w:t>
      </w:r>
      <w:r w:rsidR="00680CFE" w:rsidRPr="003328F7">
        <w:rPr>
          <w:rFonts w:ascii="Arial" w:hAnsi="Arial" w:cs="Arial"/>
        </w:rPr>
        <w:t xml:space="preserve"> </w:t>
      </w:r>
      <w:r w:rsidR="00CA7547" w:rsidRPr="003328F7">
        <w:rPr>
          <w:rFonts w:ascii="Arial" w:hAnsi="Arial" w:cs="Arial"/>
        </w:rPr>
        <w:t xml:space="preserve">in respect of </w:t>
      </w:r>
      <w:r w:rsidR="003C76A3" w:rsidRPr="003328F7">
        <w:rPr>
          <w:rFonts w:ascii="Arial" w:hAnsi="Arial" w:cs="Arial"/>
        </w:rPr>
        <w:t>property</w:t>
      </w:r>
      <w:r w:rsidR="00CA7547" w:rsidRPr="003328F7">
        <w:rPr>
          <w:rFonts w:ascii="Arial" w:hAnsi="Arial" w:cs="Arial"/>
        </w:rPr>
        <w:t xml:space="preserve"> that is described as being ‘the encumbered property’.</w:t>
      </w:r>
      <w:r w:rsidR="006C3EE5" w:rsidRPr="003328F7">
        <w:rPr>
          <w:rFonts w:ascii="Arial" w:hAnsi="Arial" w:cs="Arial"/>
        </w:rPr>
        <w:t xml:space="preserve"> </w:t>
      </w:r>
      <w:r w:rsidR="00DB45B7" w:rsidRPr="003328F7">
        <w:rPr>
          <w:rFonts w:ascii="Arial" w:hAnsi="Arial" w:cs="Arial"/>
        </w:rPr>
        <w:t xml:space="preserve">What </w:t>
      </w:r>
      <w:r w:rsidR="00452FDD" w:rsidRPr="003328F7">
        <w:rPr>
          <w:rFonts w:ascii="Arial" w:hAnsi="Arial" w:cs="Arial"/>
        </w:rPr>
        <w:t xml:space="preserve">the connection of </w:t>
      </w:r>
      <w:r w:rsidR="00680CFE" w:rsidRPr="003328F7">
        <w:rPr>
          <w:rFonts w:ascii="Arial" w:hAnsi="Arial" w:cs="Arial"/>
        </w:rPr>
        <w:t>E</w:t>
      </w:r>
      <w:r w:rsidR="00325A48" w:rsidRPr="003328F7">
        <w:rPr>
          <w:rFonts w:ascii="Arial" w:hAnsi="Arial" w:cs="Arial"/>
        </w:rPr>
        <w:t>AT</w:t>
      </w:r>
      <w:r w:rsidR="00452FDD" w:rsidRPr="003328F7">
        <w:rPr>
          <w:rFonts w:ascii="Arial" w:hAnsi="Arial" w:cs="Arial"/>
        </w:rPr>
        <w:t xml:space="preserve"> to this matter </w:t>
      </w:r>
      <w:r w:rsidR="00FE7CF3" w:rsidRPr="003328F7">
        <w:rPr>
          <w:rFonts w:ascii="Arial" w:hAnsi="Arial" w:cs="Arial"/>
        </w:rPr>
        <w:t>is</w:t>
      </w:r>
      <w:r w:rsidR="00680CFE" w:rsidRPr="003328F7">
        <w:rPr>
          <w:rFonts w:ascii="Arial" w:hAnsi="Arial" w:cs="Arial"/>
        </w:rPr>
        <w:t>,</w:t>
      </w:r>
      <w:r w:rsidR="00FE7CF3" w:rsidRPr="003328F7">
        <w:rPr>
          <w:rFonts w:ascii="Arial" w:hAnsi="Arial" w:cs="Arial"/>
        </w:rPr>
        <w:t xml:space="preserve"> </w:t>
      </w:r>
      <w:r w:rsidR="00452FDD" w:rsidRPr="003328F7">
        <w:rPr>
          <w:rFonts w:ascii="Arial" w:hAnsi="Arial" w:cs="Arial"/>
        </w:rPr>
        <w:t xml:space="preserve">and </w:t>
      </w:r>
      <w:r w:rsidR="00680CFE" w:rsidRPr="003328F7">
        <w:rPr>
          <w:rFonts w:ascii="Arial" w:hAnsi="Arial" w:cs="Arial"/>
        </w:rPr>
        <w:t xml:space="preserve">to </w:t>
      </w:r>
      <w:r w:rsidR="00452FDD" w:rsidRPr="003328F7">
        <w:rPr>
          <w:rFonts w:ascii="Arial" w:hAnsi="Arial" w:cs="Arial"/>
        </w:rPr>
        <w:t xml:space="preserve">what property </w:t>
      </w:r>
      <w:r w:rsidR="00680CFE" w:rsidRPr="003328F7">
        <w:rPr>
          <w:rFonts w:ascii="Arial" w:hAnsi="Arial" w:cs="Arial"/>
        </w:rPr>
        <w:t>reference is being made,</w:t>
      </w:r>
      <w:r w:rsidR="00452FDD" w:rsidRPr="003328F7">
        <w:rPr>
          <w:rFonts w:ascii="Arial" w:hAnsi="Arial" w:cs="Arial"/>
        </w:rPr>
        <w:t xml:space="preserve"> </w:t>
      </w:r>
      <w:r w:rsidR="00DB45B7" w:rsidRPr="003328F7">
        <w:rPr>
          <w:rFonts w:ascii="Arial" w:hAnsi="Arial" w:cs="Arial"/>
        </w:rPr>
        <w:t>was never explained</w:t>
      </w:r>
      <w:r w:rsidR="00680CFE" w:rsidRPr="003328F7">
        <w:rPr>
          <w:rFonts w:ascii="Arial" w:hAnsi="Arial" w:cs="Arial"/>
        </w:rPr>
        <w:t>.</w:t>
      </w:r>
      <w:r w:rsidR="00742FD9" w:rsidRPr="003328F7">
        <w:rPr>
          <w:rFonts w:ascii="Arial" w:hAnsi="Arial" w:cs="Arial"/>
        </w:rPr>
        <w:t xml:space="preserve"> It is, however, safe to assume that there is some link between EAT, the company and the Trust</w:t>
      </w:r>
      <w:r w:rsidR="004E327F" w:rsidRPr="003328F7">
        <w:rPr>
          <w:rFonts w:ascii="Arial" w:hAnsi="Arial" w:cs="Arial"/>
        </w:rPr>
        <w:t>,</w:t>
      </w:r>
      <w:r w:rsidR="00742FD9" w:rsidRPr="003328F7">
        <w:rPr>
          <w:rFonts w:ascii="Arial" w:hAnsi="Arial" w:cs="Arial"/>
        </w:rPr>
        <w:t xml:space="preserve"> as EAT was </w:t>
      </w:r>
      <w:r w:rsidR="00403228" w:rsidRPr="003328F7">
        <w:rPr>
          <w:rFonts w:ascii="Arial" w:hAnsi="Arial" w:cs="Arial"/>
        </w:rPr>
        <w:t xml:space="preserve">apparently </w:t>
      </w:r>
      <w:r w:rsidR="00742FD9" w:rsidRPr="003328F7">
        <w:rPr>
          <w:rFonts w:ascii="Arial" w:hAnsi="Arial" w:cs="Arial"/>
        </w:rPr>
        <w:t>persuaded to agree to cede its insurance policy</w:t>
      </w:r>
      <w:r w:rsidR="00403228" w:rsidRPr="003328F7">
        <w:rPr>
          <w:rFonts w:ascii="Arial" w:hAnsi="Arial" w:cs="Arial"/>
        </w:rPr>
        <w:t xml:space="preserve"> and had previously </w:t>
      </w:r>
      <w:r w:rsidR="005E15F7" w:rsidRPr="003328F7">
        <w:rPr>
          <w:rFonts w:ascii="Arial" w:hAnsi="Arial" w:cs="Arial"/>
        </w:rPr>
        <w:t xml:space="preserve">also </w:t>
      </w:r>
      <w:r w:rsidR="00403228" w:rsidRPr="003328F7">
        <w:rPr>
          <w:rFonts w:ascii="Arial" w:hAnsi="Arial" w:cs="Arial"/>
        </w:rPr>
        <w:t>put up a deed of suretyship</w:t>
      </w:r>
      <w:r w:rsidR="00742FD9" w:rsidRPr="003328F7">
        <w:rPr>
          <w:rFonts w:ascii="Arial" w:hAnsi="Arial" w:cs="Arial"/>
        </w:rPr>
        <w:t>.</w:t>
      </w:r>
      <w:r w:rsidR="00F12546" w:rsidRPr="003328F7">
        <w:rPr>
          <w:rFonts w:ascii="Arial" w:hAnsi="Arial" w:cs="Arial"/>
        </w:rPr>
        <w:t xml:space="preserve"> Indeed, </w:t>
      </w:r>
      <w:r w:rsidR="005E15F7" w:rsidRPr="003328F7">
        <w:rPr>
          <w:rFonts w:ascii="Arial" w:hAnsi="Arial" w:cs="Arial"/>
        </w:rPr>
        <w:t>EAT</w:t>
      </w:r>
      <w:r w:rsidR="00691BA0" w:rsidRPr="003328F7">
        <w:rPr>
          <w:rFonts w:ascii="Arial" w:hAnsi="Arial" w:cs="Arial"/>
        </w:rPr>
        <w:t>, as previously mentioned,</w:t>
      </w:r>
      <w:r w:rsidR="005E15F7" w:rsidRPr="003328F7">
        <w:rPr>
          <w:rFonts w:ascii="Arial" w:hAnsi="Arial" w:cs="Arial"/>
        </w:rPr>
        <w:t xml:space="preserve"> was a party to the loan agreement and the </w:t>
      </w:r>
      <w:r w:rsidR="00F12546" w:rsidRPr="003328F7">
        <w:rPr>
          <w:rFonts w:ascii="Arial" w:hAnsi="Arial" w:cs="Arial"/>
        </w:rPr>
        <w:t>fourth respondent signed that document on its behalf.</w:t>
      </w:r>
    </w:p>
    <w:p w14:paraId="296F924C" w14:textId="77777777" w:rsidR="00742FD9" w:rsidRPr="00680CFE" w:rsidRDefault="00742FD9" w:rsidP="00742FD9">
      <w:pPr>
        <w:pStyle w:val="ListParagraph"/>
        <w:tabs>
          <w:tab w:val="left" w:pos="709"/>
        </w:tabs>
        <w:spacing w:after="0" w:line="360" w:lineRule="auto"/>
        <w:ind w:left="0"/>
        <w:jc w:val="both"/>
        <w:rPr>
          <w:rFonts w:ascii="Arial" w:hAnsi="Arial" w:cs="Arial"/>
          <w:sz w:val="24"/>
          <w:szCs w:val="24"/>
          <w:lang w:val="en-ZA"/>
        </w:rPr>
      </w:pPr>
    </w:p>
    <w:p w14:paraId="384C2907" w14:textId="1DCC0979" w:rsidR="00680CFE" w:rsidRPr="003328F7" w:rsidRDefault="003328F7" w:rsidP="003328F7">
      <w:pPr>
        <w:tabs>
          <w:tab w:val="left" w:pos="709"/>
        </w:tabs>
        <w:spacing w:line="360" w:lineRule="auto"/>
        <w:jc w:val="both"/>
        <w:rPr>
          <w:rFonts w:ascii="Arial" w:hAnsi="Arial" w:cs="Arial"/>
        </w:rPr>
      </w:pPr>
      <w:r w:rsidRPr="00680CFE">
        <w:rPr>
          <w:rFonts w:ascii="Arial" w:eastAsiaTheme="minorHAnsi" w:hAnsi="Arial" w:cs="Arial"/>
          <w:color w:val="000000" w:themeColor="text1"/>
          <w:lang w:eastAsia="en-US" w:bidi="ar-SA"/>
        </w:rPr>
        <w:t>[14]</w:t>
      </w:r>
      <w:r w:rsidRPr="00680CFE">
        <w:rPr>
          <w:rFonts w:ascii="Arial" w:eastAsiaTheme="minorHAnsi" w:hAnsi="Arial" w:cs="Arial"/>
          <w:color w:val="000000" w:themeColor="text1"/>
          <w:lang w:eastAsia="en-US" w:bidi="ar-SA"/>
        </w:rPr>
        <w:tab/>
      </w:r>
      <w:r w:rsidR="00CA7547" w:rsidRPr="003328F7">
        <w:rPr>
          <w:rFonts w:ascii="Arial" w:hAnsi="Arial" w:cs="Arial"/>
        </w:rPr>
        <w:t xml:space="preserve">It </w:t>
      </w:r>
      <w:r w:rsidR="006C3EE5" w:rsidRPr="003328F7">
        <w:rPr>
          <w:rFonts w:ascii="Arial" w:hAnsi="Arial" w:cs="Arial"/>
        </w:rPr>
        <w:t>is</w:t>
      </w:r>
      <w:r w:rsidR="00CA7547" w:rsidRPr="003328F7">
        <w:rPr>
          <w:rFonts w:ascii="Arial" w:hAnsi="Arial" w:cs="Arial"/>
        </w:rPr>
        <w:t xml:space="preserve"> common cause that the new security was never put up</w:t>
      </w:r>
      <w:r w:rsidR="006C3EE5" w:rsidRPr="003328F7">
        <w:rPr>
          <w:rFonts w:ascii="Arial" w:hAnsi="Arial" w:cs="Arial"/>
        </w:rPr>
        <w:t>:</w:t>
      </w:r>
      <w:r w:rsidR="00366F1E" w:rsidRPr="003328F7">
        <w:rPr>
          <w:rFonts w:ascii="Arial" w:hAnsi="Arial" w:cs="Arial"/>
        </w:rPr>
        <w:t xml:space="preserve"> The notarial bond was never registered</w:t>
      </w:r>
      <w:r w:rsidR="00571CB6" w:rsidRPr="003328F7">
        <w:rPr>
          <w:rFonts w:ascii="Arial" w:hAnsi="Arial" w:cs="Arial"/>
        </w:rPr>
        <w:t xml:space="preserve"> and the cession of the insurance policy did not occur</w:t>
      </w:r>
      <w:r w:rsidR="00366F1E" w:rsidRPr="003328F7">
        <w:rPr>
          <w:rFonts w:ascii="Arial" w:hAnsi="Arial" w:cs="Arial"/>
        </w:rPr>
        <w:t>.</w:t>
      </w:r>
      <w:r w:rsidR="00ED2911" w:rsidRPr="003328F7">
        <w:rPr>
          <w:rFonts w:ascii="Arial" w:hAnsi="Arial" w:cs="Arial"/>
        </w:rPr>
        <w:t xml:space="preserve"> </w:t>
      </w:r>
      <w:r w:rsidR="00680CFE" w:rsidRPr="003328F7">
        <w:rPr>
          <w:rFonts w:ascii="Arial" w:hAnsi="Arial" w:cs="Arial"/>
        </w:rPr>
        <w:t xml:space="preserve">I did not understand what security the insurance policy provided given its vague description in the </w:t>
      </w:r>
      <w:r w:rsidR="004D391C" w:rsidRPr="003328F7">
        <w:rPr>
          <w:rFonts w:ascii="Arial" w:hAnsi="Arial" w:cs="Arial"/>
        </w:rPr>
        <w:t xml:space="preserve">loan </w:t>
      </w:r>
      <w:r w:rsidR="00680CFE" w:rsidRPr="003328F7">
        <w:rPr>
          <w:rFonts w:ascii="Arial" w:hAnsi="Arial" w:cs="Arial"/>
        </w:rPr>
        <w:t>agreement.</w:t>
      </w:r>
      <w:r w:rsidR="00680CFE" w:rsidRPr="003328F7">
        <w:rPr>
          <w:rFonts w:asciiTheme="minorBidi" w:hAnsiTheme="minorBidi"/>
        </w:rPr>
        <w:t xml:space="preserve"> I asked Mr Alberts about this during </w:t>
      </w:r>
      <w:r w:rsidR="00047642" w:rsidRPr="003328F7">
        <w:rPr>
          <w:rFonts w:asciiTheme="minorBidi" w:hAnsiTheme="minorBidi"/>
        </w:rPr>
        <w:t>argument,</w:t>
      </w:r>
      <w:r w:rsidR="00680CFE" w:rsidRPr="003328F7">
        <w:rPr>
          <w:rFonts w:asciiTheme="minorBidi" w:hAnsiTheme="minorBidi"/>
        </w:rPr>
        <w:t xml:space="preserve"> but he was as informed about it as I </w:t>
      </w:r>
      <w:r w:rsidR="009F4A33" w:rsidRPr="003328F7">
        <w:rPr>
          <w:rFonts w:asciiTheme="minorBidi" w:hAnsiTheme="minorBidi"/>
        </w:rPr>
        <w:t xml:space="preserve">presently </w:t>
      </w:r>
      <w:r w:rsidR="00680CFE" w:rsidRPr="003328F7">
        <w:rPr>
          <w:rFonts w:asciiTheme="minorBidi" w:hAnsiTheme="minorBidi"/>
        </w:rPr>
        <w:t>am. He ultimately submitted that the failure by E</w:t>
      </w:r>
      <w:r w:rsidR="00325A48" w:rsidRPr="003328F7">
        <w:rPr>
          <w:rFonts w:asciiTheme="minorBidi" w:hAnsiTheme="minorBidi"/>
        </w:rPr>
        <w:t xml:space="preserve">AT </w:t>
      </w:r>
      <w:r w:rsidR="00680CFE" w:rsidRPr="003328F7">
        <w:rPr>
          <w:rFonts w:asciiTheme="minorBidi" w:hAnsiTheme="minorBidi"/>
        </w:rPr>
        <w:t>to cede the policy to the applicant was not an issue upon which the respondent</w:t>
      </w:r>
      <w:r w:rsidR="00C21729" w:rsidRPr="003328F7">
        <w:rPr>
          <w:rFonts w:asciiTheme="minorBidi" w:hAnsiTheme="minorBidi"/>
        </w:rPr>
        <w:t>s</w:t>
      </w:r>
      <w:r w:rsidR="00680CFE" w:rsidRPr="003328F7">
        <w:rPr>
          <w:rFonts w:asciiTheme="minorBidi" w:hAnsiTheme="minorBidi"/>
        </w:rPr>
        <w:t xml:space="preserve"> </w:t>
      </w:r>
      <w:r w:rsidR="00136996" w:rsidRPr="003328F7">
        <w:rPr>
          <w:rFonts w:asciiTheme="minorBidi" w:hAnsiTheme="minorBidi"/>
        </w:rPr>
        <w:t>relied if</w:t>
      </w:r>
      <w:r w:rsidR="00680CFE" w:rsidRPr="003328F7">
        <w:rPr>
          <w:rFonts w:asciiTheme="minorBidi" w:hAnsiTheme="minorBidi"/>
        </w:rPr>
        <w:t xml:space="preserve"> I understood him correctly.</w:t>
      </w:r>
      <w:r w:rsidR="00680CFE" w:rsidRPr="003328F7">
        <w:rPr>
          <w:rFonts w:ascii="Arial" w:hAnsi="Arial" w:cs="Arial"/>
        </w:rPr>
        <w:t xml:space="preserve"> </w:t>
      </w:r>
    </w:p>
    <w:p w14:paraId="5CCECCF4" w14:textId="77777777" w:rsidR="00680CFE" w:rsidRDefault="00680CFE" w:rsidP="00680CFE">
      <w:pPr>
        <w:pStyle w:val="ListParagraph"/>
        <w:tabs>
          <w:tab w:val="left" w:pos="709"/>
          <w:tab w:val="left" w:pos="1418"/>
        </w:tabs>
        <w:spacing w:after="0" w:line="360" w:lineRule="auto"/>
        <w:ind w:left="0"/>
        <w:jc w:val="both"/>
        <w:rPr>
          <w:rFonts w:ascii="Arial" w:hAnsi="Arial" w:cs="Arial"/>
          <w:sz w:val="24"/>
          <w:szCs w:val="24"/>
          <w:lang w:val="en-ZA"/>
        </w:rPr>
      </w:pPr>
    </w:p>
    <w:p w14:paraId="04999D90" w14:textId="12134FE7" w:rsidR="00680CFE"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lastRenderedPageBreak/>
        <w:t>[15]</w:t>
      </w:r>
      <w:r>
        <w:rPr>
          <w:rFonts w:ascii="Arial" w:eastAsiaTheme="minorHAnsi" w:hAnsi="Arial" w:cs="Arial"/>
          <w:color w:val="000000" w:themeColor="text1"/>
          <w:lang w:eastAsia="en-US" w:bidi="ar-SA"/>
        </w:rPr>
        <w:tab/>
      </w:r>
      <w:r w:rsidR="00ED2911" w:rsidRPr="003328F7">
        <w:rPr>
          <w:rFonts w:ascii="Arial" w:hAnsi="Arial" w:cs="Arial"/>
        </w:rPr>
        <w:t xml:space="preserve">Given that the bringing into existence of the two deeds of suretyship </w:t>
      </w:r>
      <w:r w:rsidR="00327307" w:rsidRPr="003328F7">
        <w:rPr>
          <w:rFonts w:ascii="Arial" w:hAnsi="Arial" w:cs="Arial"/>
        </w:rPr>
        <w:t xml:space="preserve">relied upon by the applicant in this application </w:t>
      </w:r>
      <w:r w:rsidR="00ED2911" w:rsidRPr="003328F7">
        <w:rPr>
          <w:rFonts w:ascii="Arial" w:hAnsi="Arial" w:cs="Arial"/>
        </w:rPr>
        <w:t xml:space="preserve">predated the conclusion of the </w:t>
      </w:r>
      <w:r w:rsidR="00722B5D" w:rsidRPr="003328F7">
        <w:rPr>
          <w:rFonts w:ascii="Arial" w:hAnsi="Arial" w:cs="Arial"/>
        </w:rPr>
        <w:t xml:space="preserve">loan </w:t>
      </w:r>
      <w:r w:rsidR="00ED2911" w:rsidRPr="003328F7">
        <w:rPr>
          <w:rFonts w:ascii="Arial" w:hAnsi="Arial" w:cs="Arial"/>
        </w:rPr>
        <w:t>agreement by approximately five years, there can be no suggestion that the requirement of the new security was a material factor in the respondents becoming sureties</w:t>
      </w:r>
      <w:r w:rsidR="00680CFE" w:rsidRPr="003328F7">
        <w:rPr>
          <w:rFonts w:ascii="Arial" w:hAnsi="Arial" w:cs="Arial"/>
        </w:rPr>
        <w:t xml:space="preserve"> or that the failure to secure th</w:t>
      </w:r>
      <w:r w:rsidR="00722B5D" w:rsidRPr="003328F7">
        <w:rPr>
          <w:rFonts w:ascii="Arial" w:hAnsi="Arial" w:cs="Arial"/>
        </w:rPr>
        <w:t>e</w:t>
      </w:r>
      <w:r w:rsidR="00680CFE" w:rsidRPr="003328F7">
        <w:rPr>
          <w:rFonts w:ascii="Arial" w:hAnsi="Arial" w:cs="Arial"/>
        </w:rPr>
        <w:t xml:space="preserve"> new security in itself prejudiced the respondents in agreeing to their respective deeds of suretyship.</w:t>
      </w:r>
    </w:p>
    <w:p w14:paraId="143E4687" w14:textId="77777777" w:rsidR="00680CFE" w:rsidRPr="00680CFE" w:rsidRDefault="00680CFE" w:rsidP="00680CFE">
      <w:pPr>
        <w:pStyle w:val="ListParagraph"/>
        <w:spacing w:line="360" w:lineRule="auto"/>
        <w:rPr>
          <w:rFonts w:ascii="Arial" w:hAnsi="Arial" w:cs="Arial"/>
          <w:sz w:val="24"/>
          <w:szCs w:val="24"/>
          <w:lang w:val="en-ZA"/>
        </w:rPr>
      </w:pPr>
    </w:p>
    <w:p w14:paraId="342458C6" w14:textId="09DC777F" w:rsidR="008D3474"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[16]</w:t>
      </w:r>
      <w:r>
        <w:rPr>
          <w:rFonts w:ascii="Arial" w:eastAsiaTheme="minorHAnsi" w:hAnsi="Arial" w:cs="Arial"/>
          <w:color w:val="000000" w:themeColor="text1"/>
          <w:lang w:eastAsia="en-US" w:bidi="ar-SA"/>
        </w:rPr>
        <w:tab/>
      </w:r>
      <w:r w:rsidR="00C67D91" w:rsidRPr="003328F7">
        <w:rPr>
          <w:rFonts w:ascii="Arial" w:hAnsi="Arial" w:cs="Arial"/>
        </w:rPr>
        <w:t xml:space="preserve">In seeking the judgment that it does, the applicant is obviously seeking final relief. As such, I must apply the principles set out in </w:t>
      </w:r>
      <w:r w:rsidR="00C67D91" w:rsidRPr="003328F7">
        <w:rPr>
          <w:rFonts w:ascii="Arial" w:hAnsi="Arial" w:cs="Arial"/>
          <w:i/>
          <w:iCs/>
        </w:rPr>
        <w:t>Plascon</w:t>
      </w:r>
      <w:r w:rsidR="00896D34" w:rsidRPr="003328F7">
        <w:rPr>
          <w:rFonts w:ascii="Arial" w:hAnsi="Arial" w:cs="Arial"/>
          <w:i/>
          <w:iCs/>
        </w:rPr>
        <w:t>-</w:t>
      </w:r>
      <w:r w:rsidR="00C67D91" w:rsidRPr="003328F7">
        <w:rPr>
          <w:rFonts w:ascii="Arial" w:hAnsi="Arial" w:cs="Arial"/>
          <w:i/>
          <w:iCs/>
        </w:rPr>
        <w:t>Evans Paints Ltd v Van Riebeeck Paints (Pty) Ltd.</w:t>
      </w:r>
      <w:r w:rsidR="00C67D91">
        <w:rPr>
          <w:rStyle w:val="FootnoteReference"/>
          <w:rFonts w:ascii="Arial" w:hAnsi="Arial" w:cs="Arial"/>
        </w:rPr>
        <w:footnoteReference w:id="7"/>
      </w:r>
      <w:r w:rsidR="00C67D91" w:rsidRPr="003328F7">
        <w:rPr>
          <w:rFonts w:ascii="Arial" w:hAnsi="Arial" w:cs="Arial"/>
        </w:rPr>
        <w:t xml:space="preserve"> To create a valid dispute of fact, the respondent</w:t>
      </w:r>
      <w:r w:rsidR="007161B7" w:rsidRPr="003328F7">
        <w:rPr>
          <w:rFonts w:ascii="Arial" w:hAnsi="Arial" w:cs="Arial"/>
        </w:rPr>
        <w:t>s</w:t>
      </w:r>
      <w:r w:rsidR="00C67D91" w:rsidRPr="003328F7">
        <w:rPr>
          <w:rFonts w:ascii="Arial" w:hAnsi="Arial" w:cs="Arial"/>
        </w:rPr>
        <w:t xml:space="preserve"> must, however,</w:t>
      </w:r>
      <w:r w:rsidR="0040746F" w:rsidRPr="003328F7">
        <w:rPr>
          <w:rFonts w:ascii="Arial" w:hAnsi="Arial" w:cs="Arial"/>
        </w:rPr>
        <w:t xml:space="preserve"> </w:t>
      </w:r>
      <w:r w:rsidR="00C67D91" w:rsidRPr="003328F7">
        <w:rPr>
          <w:rFonts w:ascii="Arial" w:hAnsi="Arial" w:cs="Arial"/>
        </w:rPr>
        <w:t xml:space="preserve">seriously and unambiguously address </w:t>
      </w:r>
      <w:r w:rsidR="00327307" w:rsidRPr="003328F7">
        <w:rPr>
          <w:rFonts w:ascii="Arial" w:hAnsi="Arial" w:cs="Arial"/>
        </w:rPr>
        <w:t>any</w:t>
      </w:r>
      <w:r w:rsidR="00C67D91" w:rsidRPr="003328F7">
        <w:rPr>
          <w:rFonts w:ascii="Arial" w:hAnsi="Arial" w:cs="Arial"/>
        </w:rPr>
        <w:t xml:space="preserve"> disputed fact</w:t>
      </w:r>
      <w:r w:rsidR="0040746F" w:rsidRPr="003328F7">
        <w:rPr>
          <w:rFonts w:ascii="Arial" w:hAnsi="Arial" w:cs="Arial"/>
        </w:rPr>
        <w:t>s.</w:t>
      </w:r>
      <w:r w:rsidR="00C67D91" w:rsidRPr="003328F7">
        <w:rPr>
          <w:rFonts w:ascii="Arial" w:hAnsi="Arial" w:cs="Arial"/>
        </w:rPr>
        <w:t xml:space="preserve"> This is particularly so where those facts are peculiarly within the knowledge of the respondents</w:t>
      </w:r>
      <w:r w:rsidR="0040746F" w:rsidRPr="003328F7">
        <w:rPr>
          <w:rFonts w:ascii="Arial" w:hAnsi="Arial" w:cs="Arial"/>
        </w:rPr>
        <w:t>.</w:t>
      </w:r>
    </w:p>
    <w:p w14:paraId="716E7274" w14:textId="77777777" w:rsidR="00327307" w:rsidRDefault="00327307" w:rsidP="00327307">
      <w:pPr>
        <w:pStyle w:val="ListParagraph"/>
        <w:tabs>
          <w:tab w:val="left" w:pos="709"/>
          <w:tab w:val="left" w:pos="1418"/>
        </w:tabs>
        <w:spacing w:after="0" w:line="360" w:lineRule="auto"/>
        <w:ind w:left="0"/>
        <w:jc w:val="both"/>
        <w:rPr>
          <w:rFonts w:ascii="Arial" w:hAnsi="Arial" w:cs="Arial"/>
          <w:sz w:val="24"/>
          <w:szCs w:val="24"/>
          <w:lang w:val="en-ZA"/>
        </w:rPr>
      </w:pPr>
    </w:p>
    <w:p w14:paraId="3529B3C4" w14:textId="4FB12A3E" w:rsidR="00CA5E6D"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[17]</w:t>
      </w:r>
      <w:r>
        <w:rPr>
          <w:rFonts w:ascii="Arial" w:eastAsiaTheme="minorHAnsi" w:hAnsi="Arial" w:cs="Arial"/>
          <w:color w:val="000000" w:themeColor="text1"/>
          <w:lang w:eastAsia="en-US" w:bidi="ar-SA"/>
        </w:rPr>
        <w:tab/>
      </w:r>
      <w:r w:rsidR="00366F1E" w:rsidRPr="003328F7">
        <w:rPr>
          <w:rFonts w:ascii="Arial" w:hAnsi="Arial" w:cs="Arial"/>
        </w:rPr>
        <w:t xml:space="preserve"> </w:t>
      </w:r>
      <w:r w:rsidR="006C3EE5" w:rsidRPr="003328F7">
        <w:rPr>
          <w:rFonts w:ascii="Arial" w:hAnsi="Arial" w:cs="Arial"/>
        </w:rPr>
        <w:t xml:space="preserve">I turn </w:t>
      </w:r>
      <w:r w:rsidR="00A55F0B" w:rsidRPr="003328F7">
        <w:rPr>
          <w:rFonts w:ascii="Arial" w:hAnsi="Arial" w:cs="Arial"/>
        </w:rPr>
        <w:t xml:space="preserve">now </w:t>
      </w:r>
      <w:r w:rsidR="006C3EE5" w:rsidRPr="003328F7">
        <w:rPr>
          <w:rFonts w:ascii="Arial" w:hAnsi="Arial" w:cs="Arial"/>
        </w:rPr>
        <w:t xml:space="preserve">to consider the respondents’ defences. </w:t>
      </w:r>
      <w:r w:rsidR="0069578D" w:rsidRPr="003328F7">
        <w:rPr>
          <w:rFonts w:ascii="Arial" w:hAnsi="Arial" w:cs="Arial"/>
        </w:rPr>
        <w:t xml:space="preserve">I, however, </w:t>
      </w:r>
      <w:r w:rsidR="00366F1E" w:rsidRPr="003328F7">
        <w:rPr>
          <w:rFonts w:ascii="Arial" w:hAnsi="Arial" w:cs="Arial"/>
        </w:rPr>
        <w:t xml:space="preserve">immediately qualify my intent by stating that I </w:t>
      </w:r>
      <w:r w:rsidR="0069578D" w:rsidRPr="003328F7">
        <w:rPr>
          <w:rFonts w:ascii="Arial" w:hAnsi="Arial" w:cs="Arial"/>
        </w:rPr>
        <w:t xml:space="preserve">do not </w:t>
      </w:r>
      <w:r w:rsidR="00C91580" w:rsidRPr="003328F7">
        <w:rPr>
          <w:rFonts w:ascii="Arial" w:hAnsi="Arial" w:cs="Arial"/>
        </w:rPr>
        <w:t>propose</w:t>
      </w:r>
      <w:r w:rsidR="0069578D" w:rsidRPr="003328F7">
        <w:rPr>
          <w:rFonts w:ascii="Arial" w:hAnsi="Arial" w:cs="Arial"/>
        </w:rPr>
        <w:t xml:space="preserve"> dealing with issues that were raised in the papers but which were </w:t>
      </w:r>
      <w:r w:rsidR="00366F1E" w:rsidRPr="003328F7">
        <w:rPr>
          <w:rFonts w:ascii="Arial" w:hAnsi="Arial" w:cs="Arial"/>
        </w:rPr>
        <w:t xml:space="preserve">then </w:t>
      </w:r>
      <w:r w:rsidR="0069578D" w:rsidRPr="003328F7">
        <w:rPr>
          <w:rFonts w:ascii="Arial" w:hAnsi="Arial" w:cs="Arial"/>
        </w:rPr>
        <w:t xml:space="preserve">not persisted </w:t>
      </w:r>
      <w:r w:rsidR="007161B7" w:rsidRPr="003328F7">
        <w:rPr>
          <w:rFonts w:ascii="Arial" w:hAnsi="Arial" w:cs="Arial"/>
        </w:rPr>
        <w:t xml:space="preserve">with </w:t>
      </w:r>
      <w:r w:rsidR="0069578D" w:rsidRPr="003328F7">
        <w:rPr>
          <w:rFonts w:ascii="Arial" w:hAnsi="Arial" w:cs="Arial"/>
        </w:rPr>
        <w:t>by the respondents</w:t>
      </w:r>
      <w:r w:rsidR="00A2601F" w:rsidRPr="003328F7">
        <w:rPr>
          <w:rFonts w:ascii="Arial" w:hAnsi="Arial" w:cs="Arial"/>
        </w:rPr>
        <w:t>’</w:t>
      </w:r>
      <w:r w:rsidR="0069578D" w:rsidRPr="003328F7">
        <w:rPr>
          <w:rFonts w:ascii="Arial" w:hAnsi="Arial" w:cs="Arial"/>
        </w:rPr>
        <w:t xml:space="preserve"> counsel when the matter was argued. </w:t>
      </w:r>
      <w:r w:rsidR="00A2601F" w:rsidRPr="003328F7">
        <w:rPr>
          <w:rFonts w:ascii="Arial" w:hAnsi="Arial" w:cs="Arial"/>
        </w:rPr>
        <w:t xml:space="preserve">I shall focus on those issues that are set out in Mr </w:t>
      </w:r>
      <w:r w:rsidR="00CF2989" w:rsidRPr="003328F7">
        <w:rPr>
          <w:rFonts w:ascii="Arial" w:hAnsi="Arial" w:cs="Arial"/>
        </w:rPr>
        <w:t>Alberts’s</w:t>
      </w:r>
      <w:r w:rsidR="0069578D" w:rsidRPr="003328F7">
        <w:rPr>
          <w:rFonts w:ascii="Arial" w:hAnsi="Arial" w:cs="Arial"/>
        </w:rPr>
        <w:t xml:space="preserve"> heads of argument</w:t>
      </w:r>
      <w:r w:rsidR="00E6426F" w:rsidRPr="003328F7">
        <w:rPr>
          <w:rFonts w:ascii="Arial" w:hAnsi="Arial" w:cs="Arial"/>
        </w:rPr>
        <w:t xml:space="preserve"> </w:t>
      </w:r>
      <w:r w:rsidR="002840EE" w:rsidRPr="003328F7">
        <w:rPr>
          <w:rFonts w:ascii="Arial" w:hAnsi="Arial" w:cs="Arial"/>
        </w:rPr>
        <w:t xml:space="preserve">and </w:t>
      </w:r>
      <w:r w:rsidR="00295784" w:rsidRPr="003328F7">
        <w:rPr>
          <w:rFonts w:ascii="Arial" w:hAnsi="Arial" w:cs="Arial"/>
        </w:rPr>
        <w:t>which formed the basis of the argument addressed to me by Mr Alberts.</w:t>
      </w:r>
    </w:p>
    <w:p w14:paraId="1BE24823" w14:textId="77777777" w:rsidR="00BE1287" w:rsidRDefault="00BE1287" w:rsidP="00BE1287">
      <w:pPr>
        <w:pStyle w:val="ListParagraph"/>
        <w:tabs>
          <w:tab w:val="left" w:pos="709"/>
          <w:tab w:val="left" w:pos="1418"/>
        </w:tabs>
        <w:spacing w:after="0" w:line="360" w:lineRule="auto"/>
        <w:ind w:left="0"/>
        <w:jc w:val="both"/>
        <w:rPr>
          <w:rFonts w:ascii="Arial" w:hAnsi="Arial" w:cs="Arial"/>
          <w:sz w:val="24"/>
          <w:szCs w:val="24"/>
          <w:lang w:val="en-ZA"/>
        </w:rPr>
      </w:pPr>
    </w:p>
    <w:p w14:paraId="52F629B3" w14:textId="1491F563" w:rsidR="00012BA6"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[18]</w:t>
      </w:r>
      <w:r>
        <w:rPr>
          <w:rFonts w:ascii="Arial" w:eastAsiaTheme="minorHAnsi" w:hAnsi="Arial" w:cs="Arial"/>
          <w:color w:val="000000" w:themeColor="text1"/>
          <w:lang w:eastAsia="en-US" w:bidi="ar-SA"/>
        </w:rPr>
        <w:tab/>
      </w:r>
      <w:r w:rsidR="00FC56F6" w:rsidRPr="003328F7">
        <w:rPr>
          <w:rFonts w:ascii="Arial" w:hAnsi="Arial" w:cs="Arial"/>
        </w:rPr>
        <w:t>The pri</w:t>
      </w:r>
      <w:r w:rsidR="007E07E3" w:rsidRPr="003328F7">
        <w:rPr>
          <w:rFonts w:ascii="Arial" w:hAnsi="Arial" w:cs="Arial"/>
        </w:rPr>
        <w:t>ncipal, but not the only,</w:t>
      </w:r>
      <w:r w:rsidR="00FC56F6" w:rsidRPr="003328F7">
        <w:rPr>
          <w:rFonts w:ascii="Arial" w:hAnsi="Arial" w:cs="Arial"/>
        </w:rPr>
        <w:t xml:space="preserve"> defence</w:t>
      </w:r>
      <w:r w:rsidR="007E07E3" w:rsidRPr="003328F7">
        <w:rPr>
          <w:rFonts w:ascii="Arial" w:hAnsi="Arial" w:cs="Arial"/>
        </w:rPr>
        <w:t xml:space="preserve"> raised</w:t>
      </w:r>
      <w:r w:rsidR="00FC56F6" w:rsidRPr="003328F7">
        <w:rPr>
          <w:rFonts w:ascii="Arial" w:hAnsi="Arial" w:cs="Arial"/>
        </w:rPr>
        <w:t xml:space="preserve"> </w:t>
      </w:r>
      <w:r w:rsidR="002840EE" w:rsidRPr="003328F7">
        <w:rPr>
          <w:rFonts w:ascii="Arial" w:hAnsi="Arial" w:cs="Arial"/>
        </w:rPr>
        <w:t xml:space="preserve">by the respondents </w:t>
      </w:r>
      <w:r w:rsidR="002A1688" w:rsidRPr="003328F7">
        <w:rPr>
          <w:rFonts w:ascii="Arial" w:hAnsi="Arial" w:cs="Arial"/>
        </w:rPr>
        <w:t>is a multi-layered defence that commences with the proposition</w:t>
      </w:r>
      <w:r w:rsidR="00FC56F6" w:rsidRPr="003328F7">
        <w:rPr>
          <w:rFonts w:ascii="Arial" w:hAnsi="Arial" w:cs="Arial"/>
        </w:rPr>
        <w:t xml:space="preserve"> that the </w:t>
      </w:r>
      <w:r w:rsidR="007E07E3" w:rsidRPr="003328F7">
        <w:rPr>
          <w:rFonts w:ascii="Arial" w:hAnsi="Arial" w:cs="Arial"/>
        </w:rPr>
        <w:t>granting of the loan amount</w:t>
      </w:r>
      <w:r w:rsidR="002A1688" w:rsidRPr="003328F7">
        <w:rPr>
          <w:rFonts w:ascii="Arial" w:hAnsi="Arial" w:cs="Arial"/>
        </w:rPr>
        <w:t xml:space="preserve"> to the company by the applicant</w:t>
      </w:r>
      <w:r w:rsidR="00DB45B7" w:rsidRPr="003328F7">
        <w:rPr>
          <w:rFonts w:ascii="Arial" w:hAnsi="Arial" w:cs="Arial"/>
        </w:rPr>
        <w:t>,</w:t>
      </w:r>
      <w:r w:rsidR="007E07E3" w:rsidRPr="003328F7">
        <w:rPr>
          <w:rFonts w:ascii="Arial" w:hAnsi="Arial" w:cs="Arial"/>
        </w:rPr>
        <w:t xml:space="preserve"> coupled with a </w:t>
      </w:r>
      <w:r w:rsidR="00646EF6" w:rsidRPr="003328F7">
        <w:rPr>
          <w:rFonts w:ascii="Arial" w:hAnsi="Arial" w:cs="Arial"/>
        </w:rPr>
        <w:t>failure to secure the new security</w:t>
      </w:r>
      <w:r w:rsidR="00DB45B7" w:rsidRPr="003328F7">
        <w:rPr>
          <w:rFonts w:ascii="Arial" w:hAnsi="Arial" w:cs="Arial"/>
        </w:rPr>
        <w:t>,</w:t>
      </w:r>
      <w:r w:rsidR="00646EF6" w:rsidRPr="003328F7">
        <w:rPr>
          <w:rFonts w:ascii="Arial" w:hAnsi="Arial" w:cs="Arial"/>
        </w:rPr>
        <w:t xml:space="preserve"> prejudiced the position of the respondents as suret</w:t>
      </w:r>
      <w:r w:rsidR="00722B5D" w:rsidRPr="003328F7">
        <w:rPr>
          <w:rFonts w:ascii="Arial" w:hAnsi="Arial" w:cs="Arial"/>
        </w:rPr>
        <w:t>ie</w:t>
      </w:r>
      <w:r w:rsidR="00646EF6" w:rsidRPr="003328F7">
        <w:rPr>
          <w:rFonts w:ascii="Arial" w:hAnsi="Arial" w:cs="Arial"/>
        </w:rPr>
        <w:t>s.</w:t>
      </w:r>
      <w:r w:rsidR="00FC56F6" w:rsidRPr="003328F7">
        <w:rPr>
          <w:rFonts w:ascii="Arial" w:hAnsi="Arial" w:cs="Arial"/>
        </w:rPr>
        <w:t xml:space="preserve"> </w:t>
      </w:r>
      <w:r w:rsidR="00C91580" w:rsidRPr="003328F7">
        <w:rPr>
          <w:rFonts w:ascii="Arial" w:hAnsi="Arial" w:cs="Arial"/>
        </w:rPr>
        <w:t xml:space="preserve">It </w:t>
      </w:r>
      <w:r w:rsidR="008E45FE" w:rsidRPr="003328F7">
        <w:rPr>
          <w:rFonts w:ascii="Arial" w:hAnsi="Arial" w:cs="Arial"/>
        </w:rPr>
        <w:t>wa</w:t>
      </w:r>
      <w:r w:rsidR="00C91580" w:rsidRPr="003328F7">
        <w:rPr>
          <w:rFonts w:ascii="Arial" w:hAnsi="Arial" w:cs="Arial"/>
        </w:rPr>
        <w:t xml:space="preserve">s argued further that the furnishing and registration of the new security was </w:t>
      </w:r>
      <w:r w:rsidR="00604E31" w:rsidRPr="003328F7">
        <w:rPr>
          <w:rFonts w:ascii="Arial" w:hAnsi="Arial" w:cs="Arial"/>
        </w:rPr>
        <w:t>a condition precedent</w:t>
      </w:r>
      <w:r w:rsidR="00C91580" w:rsidRPr="003328F7">
        <w:rPr>
          <w:rFonts w:ascii="Arial" w:hAnsi="Arial" w:cs="Arial"/>
        </w:rPr>
        <w:t xml:space="preserve"> to the advancing of the loan</w:t>
      </w:r>
      <w:r w:rsidR="00604E31" w:rsidRPr="003328F7">
        <w:rPr>
          <w:rFonts w:ascii="Arial" w:hAnsi="Arial" w:cs="Arial"/>
        </w:rPr>
        <w:t xml:space="preserve"> to the company</w:t>
      </w:r>
      <w:r w:rsidR="006A61FE" w:rsidRPr="003328F7">
        <w:rPr>
          <w:rFonts w:ascii="Arial" w:hAnsi="Arial" w:cs="Arial"/>
        </w:rPr>
        <w:t xml:space="preserve">. It </w:t>
      </w:r>
      <w:r w:rsidR="00006A92" w:rsidRPr="003328F7">
        <w:rPr>
          <w:rFonts w:ascii="Arial" w:hAnsi="Arial" w:cs="Arial"/>
        </w:rPr>
        <w:t xml:space="preserve">was </w:t>
      </w:r>
      <w:r w:rsidR="006A61FE" w:rsidRPr="003328F7">
        <w:rPr>
          <w:rFonts w:ascii="Arial" w:hAnsi="Arial" w:cs="Arial"/>
        </w:rPr>
        <w:t xml:space="preserve">not disputed that the loan </w:t>
      </w:r>
      <w:r w:rsidR="00A007E5" w:rsidRPr="003328F7">
        <w:rPr>
          <w:rFonts w:ascii="Arial" w:hAnsi="Arial" w:cs="Arial"/>
        </w:rPr>
        <w:t xml:space="preserve">amount </w:t>
      </w:r>
      <w:r w:rsidR="006A61FE" w:rsidRPr="003328F7">
        <w:rPr>
          <w:rFonts w:ascii="Arial" w:hAnsi="Arial" w:cs="Arial"/>
        </w:rPr>
        <w:t>was advanced by the applicant</w:t>
      </w:r>
      <w:r w:rsidR="00A007E5" w:rsidRPr="003328F7">
        <w:rPr>
          <w:rFonts w:ascii="Arial" w:hAnsi="Arial" w:cs="Arial"/>
        </w:rPr>
        <w:t>. It is</w:t>
      </w:r>
      <w:r w:rsidR="00646EF6" w:rsidRPr="003328F7">
        <w:rPr>
          <w:rFonts w:ascii="Arial" w:hAnsi="Arial" w:cs="Arial"/>
        </w:rPr>
        <w:t>,</w:t>
      </w:r>
      <w:r w:rsidR="002257E3" w:rsidRPr="003328F7">
        <w:rPr>
          <w:rFonts w:ascii="Arial" w:hAnsi="Arial" w:cs="Arial"/>
        </w:rPr>
        <w:t xml:space="preserve"> however,</w:t>
      </w:r>
      <w:r w:rsidR="006A61FE" w:rsidRPr="003328F7">
        <w:rPr>
          <w:rFonts w:ascii="Arial" w:hAnsi="Arial" w:cs="Arial"/>
        </w:rPr>
        <w:t xml:space="preserve"> contended </w:t>
      </w:r>
      <w:r w:rsidR="00646EF6" w:rsidRPr="003328F7">
        <w:rPr>
          <w:rFonts w:ascii="Arial" w:hAnsi="Arial" w:cs="Arial"/>
        </w:rPr>
        <w:t xml:space="preserve">by the respondents </w:t>
      </w:r>
      <w:r w:rsidR="006A61FE" w:rsidRPr="003328F7">
        <w:rPr>
          <w:rFonts w:ascii="Arial" w:hAnsi="Arial" w:cs="Arial"/>
        </w:rPr>
        <w:t xml:space="preserve">that in </w:t>
      </w:r>
      <w:r w:rsidR="00A007E5" w:rsidRPr="003328F7">
        <w:rPr>
          <w:rFonts w:ascii="Arial" w:hAnsi="Arial" w:cs="Arial"/>
        </w:rPr>
        <w:t>advancing the loan amount</w:t>
      </w:r>
      <w:r w:rsidR="006A61FE" w:rsidRPr="003328F7">
        <w:rPr>
          <w:rFonts w:ascii="Arial" w:hAnsi="Arial" w:cs="Arial"/>
        </w:rPr>
        <w:t xml:space="preserve"> without the new security</w:t>
      </w:r>
      <w:r w:rsidR="00DB45B7" w:rsidRPr="003328F7">
        <w:rPr>
          <w:rFonts w:ascii="Arial" w:hAnsi="Arial" w:cs="Arial"/>
        </w:rPr>
        <w:t xml:space="preserve"> being in place</w:t>
      </w:r>
      <w:r w:rsidR="006A61FE" w:rsidRPr="003328F7">
        <w:rPr>
          <w:rFonts w:ascii="Arial" w:hAnsi="Arial" w:cs="Arial"/>
        </w:rPr>
        <w:t xml:space="preserve">, the applicant was reckless or negligent, or both. </w:t>
      </w:r>
      <w:r w:rsidR="00F7281B" w:rsidRPr="003328F7">
        <w:rPr>
          <w:rFonts w:ascii="Arial" w:hAnsi="Arial" w:cs="Arial"/>
        </w:rPr>
        <w:t>The argument proceeds that h</w:t>
      </w:r>
      <w:r w:rsidR="006A61FE" w:rsidRPr="003328F7">
        <w:rPr>
          <w:rFonts w:ascii="Arial" w:hAnsi="Arial" w:cs="Arial"/>
        </w:rPr>
        <w:t xml:space="preserve">ad the loan not been advanced in such circumstances, the respondents would not be in the position that they are now in and accordingly, so </w:t>
      </w:r>
      <w:r w:rsidR="00DB45B7" w:rsidRPr="003328F7">
        <w:rPr>
          <w:rFonts w:ascii="Arial" w:hAnsi="Arial" w:cs="Arial"/>
        </w:rPr>
        <w:t>they</w:t>
      </w:r>
      <w:r w:rsidR="006A61FE" w:rsidRPr="003328F7">
        <w:rPr>
          <w:rFonts w:ascii="Arial" w:hAnsi="Arial" w:cs="Arial"/>
        </w:rPr>
        <w:t xml:space="preserve"> contend, the</w:t>
      </w:r>
      <w:r w:rsidR="007E07E3" w:rsidRPr="003328F7">
        <w:rPr>
          <w:rFonts w:ascii="Arial" w:hAnsi="Arial" w:cs="Arial"/>
        </w:rPr>
        <w:t>y should be discharged from their obligations as sureties and the</w:t>
      </w:r>
      <w:r w:rsidR="006A61FE" w:rsidRPr="003328F7">
        <w:rPr>
          <w:rFonts w:ascii="Arial" w:hAnsi="Arial" w:cs="Arial"/>
        </w:rPr>
        <w:t xml:space="preserve"> application should be dismissed with costs. </w:t>
      </w:r>
    </w:p>
    <w:p w14:paraId="54E3E9B6" w14:textId="7FC0C6A8" w:rsidR="002A1688" w:rsidRPr="000A7C59" w:rsidRDefault="003328F7" w:rsidP="003328F7">
      <w:pPr>
        <w:pStyle w:val="western"/>
        <w:tabs>
          <w:tab w:val="left" w:pos="709"/>
        </w:tabs>
        <w:spacing w:before="0" w:beforeAutospacing="0" w:after="0" w:afterAutospacing="0" w:line="360" w:lineRule="auto"/>
        <w:contextualSpacing/>
        <w:jc w:val="both"/>
        <w:rPr>
          <w:rFonts w:asciiTheme="minorBidi" w:hAnsiTheme="minorBidi" w:cstheme="minorBidi"/>
          <w:color w:val="242121"/>
        </w:rPr>
      </w:pPr>
      <w:r w:rsidRPr="000A7C59">
        <w:rPr>
          <w:rFonts w:ascii="Arial" w:hAnsi="Arial" w:cstheme="minorBidi"/>
          <w:color w:val="000000" w:themeColor="text1"/>
        </w:rPr>
        <w:lastRenderedPageBreak/>
        <w:t>[19]</w:t>
      </w:r>
      <w:r w:rsidRPr="000A7C59">
        <w:rPr>
          <w:rFonts w:ascii="Arial" w:hAnsi="Arial" w:cstheme="minorBidi"/>
          <w:color w:val="000000" w:themeColor="text1"/>
        </w:rPr>
        <w:tab/>
      </w:r>
      <w:r w:rsidR="002A1688">
        <w:rPr>
          <w:rFonts w:ascii="Arial" w:hAnsi="Arial" w:cs="Arial"/>
          <w:lang w:val="en-ZA"/>
        </w:rPr>
        <w:t xml:space="preserve">I shall consider the prejudice aspect of the principal defence first. </w:t>
      </w:r>
      <w:r w:rsidR="002A1688">
        <w:rPr>
          <w:rFonts w:asciiTheme="minorBidi" w:hAnsiTheme="minorBidi" w:cstheme="minorBidi"/>
          <w:color w:val="242121"/>
        </w:rPr>
        <w:t>I</w:t>
      </w:r>
      <w:r w:rsidR="002A1688" w:rsidRPr="000A7C59">
        <w:rPr>
          <w:rFonts w:asciiTheme="minorBidi" w:hAnsiTheme="minorBidi" w:cstheme="minorBidi"/>
          <w:color w:val="242121"/>
        </w:rPr>
        <w:t>n</w:t>
      </w:r>
      <w:r w:rsidR="002A1688">
        <w:rPr>
          <w:rFonts w:asciiTheme="minorBidi" w:hAnsiTheme="minorBidi" w:cstheme="minorBidi"/>
          <w:color w:val="242121"/>
        </w:rPr>
        <w:t xml:space="preserve"> the </w:t>
      </w:r>
      <w:r w:rsidR="00047642">
        <w:rPr>
          <w:rFonts w:asciiTheme="minorBidi" w:hAnsiTheme="minorBidi" w:cstheme="minorBidi"/>
          <w:color w:val="242121"/>
        </w:rPr>
        <w:t>often-quoted</w:t>
      </w:r>
      <w:r w:rsidR="002A1688">
        <w:rPr>
          <w:rFonts w:asciiTheme="minorBidi" w:hAnsiTheme="minorBidi" w:cstheme="minorBidi"/>
          <w:color w:val="242121"/>
        </w:rPr>
        <w:t xml:space="preserve"> matter of </w:t>
      </w:r>
      <w:r w:rsidR="002A1688" w:rsidRPr="000A7C59">
        <w:rPr>
          <w:rFonts w:asciiTheme="minorBidi" w:hAnsiTheme="minorBidi" w:cstheme="minorBidi"/>
          <w:i/>
          <w:iCs/>
          <w:color w:val="242121"/>
        </w:rPr>
        <w:t>Absa Bank Ltd v Davidson</w:t>
      </w:r>
      <w:r w:rsidR="002A1688" w:rsidRPr="002A1688">
        <w:rPr>
          <w:rFonts w:asciiTheme="minorBidi" w:hAnsiTheme="minorBidi" w:cstheme="minorBidi"/>
          <w:color w:val="242121"/>
        </w:rPr>
        <w:t>,</w:t>
      </w:r>
      <w:r w:rsidR="002A1688" w:rsidRPr="00B85AC3">
        <w:rPr>
          <w:rStyle w:val="FootnoteReference"/>
          <w:rFonts w:asciiTheme="minorBidi" w:hAnsiTheme="minorBidi" w:cstheme="minorBidi"/>
          <w:iCs/>
          <w:color w:val="242121"/>
        </w:rPr>
        <w:footnoteReference w:id="8"/>
      </w:r>
      <w:r w:rsidR="002A1688">
        <w:rPr>
          <w:rFonts w:asciiTheme="minorBidi" w:hAnsiTheme="minorBidi" w:cstheme="minorBidi"/>
          <w:color w:val="242121"/>
        </w:rPr>
        <w:t xml:space="preserve"> the </w:t>
      </w:r>
      <w:r w:rsidR="005C481D">
        <w:rPr>
          <w:rFonts w:asciiTheme="minorBidi" w:hAnsiTheme="minorBidi" w:cstheme="minorBidi"/>
          <w:color w:val="242121"/>
        </w:rPr>
        <w:t>Supreme Court of Appeal</w:t>
      </w:r>
      <w:r w:rsidR="002A1688">
        <w:rPr>
          <w:rFonts w:asciiTheme="minorBidi" w:hAnsiTheme="minorBidi" w:cstheme="minorBidi"/>
          <w:color w:val="242121"/>
        </w:rPr>
        <w:t xml:space="preserve"> considered the proposition that there is a general principle in our law that dictates that if a creditor does anything in its dealings with </w:t>
      </w:r>
      <w:r w:rsidR="005C481D">
        <w:rPr>
          <w:rFonts w:asciiTheme="minorBidi" w:hAnsiTheme="minorBidi" w:cstheme="minorBidi"/>
          <w:color w:val="242121"/>
        </w:rPr>
        <w:t>a</w:t>
      </w:r>
      <w:r w:rsidR="002A1688">
        <w:rPr>
          <w:rFonts w:asciiTheme="minorBidi" w:hAnsiTheme="minorBidi" w:cstheme="minorBidi"/>
          <w:color w:val="242121"/>
        </w:rPr>
        <w:t xml:space="preserve"> principal debtor that has the effect of prejudicing </w:t>
      </w:r>
      <w:r w:rsidR="005C481D">
        <w:rPr>
          <w:rFonts w:asciiTheme="minorBidi" w:hAnsiTheme="minorBidi" w:cstheme="minorBidi"/>
          <w:color w:val="242121"/>
        </w:rPr>
        <w:t>a</w:t>
      </w:r>
      <w:r w:rsidR="002A1688">
        <w:rPr>
          <w:rFonts w:asciiTheme="minorBidi" w:hAnsiTheme="minorBidi" w:cstheme="minorBidi"/>
          <w:color w:val="242121"/>
        </w:rPr>
        <w:t xml:space="preserve"> surety, the surety is entitled to claim his full release from his obligations. Olivier JA stated in this regard that:</w:t>
      </w:r>
    </w:p>
    <w:p w14:paraId="4689E088" w14:textId="77777777" w:rsidR="002A1688" w:rsidRDefault="002A1688" w:rsidP="00006A92">
      <w:pPr>
        <w:pStyle w:val="western"/>
        <w:spacing w:before="0" w:beforeAutospacing="0" w:after="0" w:afterAutospacing="0" w:line="360" w:lineRule="auto"/>
        <w:contextualSpacing/>
        <w:jc w:val="both"/>
        <w:rPr>
          <w:rFonts w:asciiTheme="minorBidi" w:hAnsiTheme="minorBidi" w:cstheme="minorBidi"/>
          <w:color w:val="242121"/>
          <w:sz w:val="22"/>
          <w:szCs w:val="22"/>
        </w:rPr>
      </w:pPr>
      <w:r w:rsidRPr="002840EE">
        <w:rPr>
          <w:rFonts w:asciiTheme="minorBidi" w:hAnsiTheme="minorBidi" w:cstheme="minorBidi"/>
          <w:color w:val="242121"/>
          <w:sz w:val="22"/>
          <w:szCs w:val="22"/>
        </w:rPr>
        <w:t>‘</w:t>
      </w:r>
      <w:r w:rsidR="00006A92" w:rsidRPr="00006A92">
        <w:rPr>
          <w:rFonts w:asciiTheme="minorBidi" w:hAnsiTheme="minorBidi" w:cstheme="minorBidi"/>
          <w:color w:val="242121"/>
          <w:sz w:val="22"/>
          <w:szCs w:val="22"/>
          <w:lang w:val="en-US"/>
        </w:rPr>
        <w:t xml:space="preserve">As a general proposition prejudice caused to the surety can only release the surety (whether totally or partially) if the prejudice is the result of a breach of some or other legal duty or obligation. The prime sources of a creditor's rights, duties and obligations are the principal agreement and the deed of suretyship. If, as is the case here, the alleged prejudice was caused by conduct falling within the terms of the </w:t>
      </w:r>
      <w:r w:rsidR="00A45121" w:rsidRPr="00006A92">
        <w:rPr>
          <w:rFonts w:asciiTheme="minorBidi" w:hAnsiTheme="minorBidi" w:cstheme="minorBidi"/>
          <w:color w:val="242121"/>
          <w:sz w:val="22"/>
          <w:szCs w:val="22"/>
          <w:lang w:val="en-US"/>
        </w:rPr>
        <w:t>principal agreement</w:t>
      </w:r>
      <w:r w:rsidR="00006A92" w:rsidRPr="00006A92">
        <w:rPr>
          <w:rFonts w:asciiTheme="minorBidi" w:hAnsiTheme="minorBidi" w:cstheme="minorBidi"/>
          <w:color w:val="242121"/>
          <w:sz w:val="22"/>
          <w:szCs w:val="22"/>
          <w:lang w:val="en-US"/>
        </w:rPr>
        <w:t xml:space="preserve"> or the deed of suretyship, the prejudice suffered was one which the surety undertook to suffer.</w:t>
      </w:r>
      <w:r w:rsidRPr="002840EE">
        <w:rPr>
          <w:rFonts w:asciiTheme="minorBidi" w:hAnsiTheme="minorBidi" w:cstheme="minorBidi"/>
          <w:color w:val="242121"/>
          <w:sz w:val="22"/>
          <w:szCs w:val="22"/>
        </w:rPr>
        <w:t>’</w:t>
      </w:r>
      <w:r w:rsidRPr="002840EE">
        <w:rPr>
          <w:rStyle w:val="FootnoteReference"/>
          <w:rFonts w:asciiTheme="minorBidi" w:hAnsiTheme="minorBidi" w:cstheme="minorBidi"/>
          <w:color w:val="242121"/>
          <w:sz w:val="22"/>
          <w:szCs w:val="22"/>
        </w:rPr>
        <w:footnoteReference w:id="9"/>
      </w:r>
    </w:p>
    <w:p w14:paraId="32778D16" w14:textId="77777777" w:rsidR="00327307" w:rsidRPr="00327307" w:rsidRDefault="00327307" w:rsidP="00006A92">
      <w:pPr>
        <w:pStyle w:val="western"/>
        <w:spacing w:before="0" w:beforeAutospacing="0" w:after="0" w:afterAutospacing="0" w:line="360" w:lineRule="auto"/>
        <w:contextualSpacing/>
        <w:jc w:val="both"/>
        <w:rPr>
          <w:rFonts w:asciiTheme="minorBidi" w:hAnsiTheme="minorBidi" w:cstheme="minorBidi"/>
          <w:color w:val="242121"/>
        </w:rPr>
      </w:pPr>
    </w:p>
    <w:p w14:paraId="2F6C4A01" w14:textId="24FC57CB" w:rsidR="002A1688" w:rsidRPr="003328F7" w:rsidRDefault="003328F7" w:rsidP="003328F7">
      <w:pPr>
        <w:tabs>
          <w:tab w:val="left" w:pos="709"/>
          <w:tab w:val="left" w:pos="1418"/>
        </w:tabs>
        <w:spacing w:line="360" w:lineRule="auto"/>
        <w:jc w:val="both"/>
        <w:rPr>
          <w:rFonts w:ascii="Arial" w:hAnsi="Arial" w:cs="Arial"/>
        </w:rPr>
      </w:pPr>
      <w:r w:rsidRPr="0049413C">
        <w:rPr>
          <w:rFonts w:ascii="Arial" w:eastAsiaTheme="minorHAnsi" w:hAnsi="Arial" w:cs="Arial"/>
          <w:color w:val="000000" w:themeColor="text1"/>
          <w:lang w:eastAsia="en-US" w:bidi="ar-SA"/>
        </w:rPr>
        <w:t>[20]</w:t>
      </w:r>
      <w:r w:rsidRPr="0049413C">
        <w:rPr>
          <w:rFonts w:ascii="Arial" w:eastAsiaTheme="minorHAnsi" w:hAnsi="Arial" w:cs="Arial"/>
          <w:color w:val="000000" w:themeColor="text1"/>
          <w:lang w:eastAsia="en-US" w:bidi="ar-SA"/>
        </w:rPr>
        <w:tab/>
      </w:r>
      <w:r w:rsidR="002A1688" w:rsidRPr="003328F7">
        <w:rPr>
          <w:rFonts w:ascii="Arial" w:hAnsi="Arial" w:cs="Arial"/>
        </w:rPr>
        <w:t xml:space="preserve">The starting point when assessing a defence where prejudice is claimed by a surety must </w:t>
      </w:r>
      <w:r w:rsidR="003D7239" w:rsidRPr="003328F7">
        <w:rPr>
          <w:rFonts w:ascii="Arial" w:hAnsi="Arial" w:cs="Arial"/>
        </w:rPr>
        <w:t xml:space="preserve">logically </w:t>
      </w:r>
      <w:r w:rsidR="002A1688" w:rsidRPr="003328F7">
        <w:rPr>
          <w:rFonts w:ascii="Arial" w:hAnsi="Arial" w:cs="Arial"/>
        </w:rPr>
        <w:t xml:space="preserve">be the provisions of the deed of suretyship concluded. </w:t>
      </w:r>
      <w:r w:rsidR="002A1688" w:rsidRPr="003328F7">
        <w:rPr>
          <w:rFonts w:ascii="Arial" w:hAnsi="Arial" w:cs="Arial"/>
          <w:color w:val="000000" w:themeColor="text1"/>
        </w:rPr>
        <w:t xml:space="preserve">As was stated </w:t>
      </w:r>
      <w:r w:rsidR="003F0542" w:rsidRPr="003328F7">
        <w:rPr>
          <w:rFonts w:ascii="Arial" w:hAnsi="Arial" w:cs="Arial"/>
          <w:color w:val="000000" w:themeColor="text1"/>
        </w:rPr>
        <w:t xml:space="preserve">by Harms JA </w:t>
      </w:r>
      <w:r w:rsidR="002A1688" w:rsidRPr="003328F7">
        <w:rPr>
          <w:rFonts w:ascii="Arial" w:hAnsi="Arial" w:cs="Arial"/>
          <w:color w:val="000000" w:themeColor="text1"/>
        </w:rPr>
        <w:t xml:space="preserve">in </w:t>
      </w:r>
      <w:r w:rsidR="002A1688" w:rsidRPr="003328F7">
        <w:rPr>
          <w:rFonts w:ascii="Arial" w:hAnsi="Arial" w:cs="Arial"/>
          <w:i/>
          <w:iCs/>
          <w:color w:val="000000" w:themeColor="text1"/>
        </w:rPr>
        <w:t>Bock and others v Duburoro Investments (Pty) Ltd</w:t>
      </w:r>
      <w:r w:rsidR="003F0542" w:rsidRPr="003328F7">
        <w:rPr>
          <w:rFonts w:ascii="Arial" w:hAnsi="Arial" w:cs="Arial"/>
          <w:color w:val="000000" w:themeColor="text1"/>
        </w:rPr>
        <w:t>, citing Voet</w:t>
      </w:r>
      <w:r w:rsidR="002A1688" w:rsidRPr="003328F7">
        <w:rPr>
          <w:rFonts w:ascii="Arial" w:hAnsi="Arial" w:cs="Arial"/>
          <w:color w:val="000000" w:themeColor="text1"/>
        </w:rPr>
        <w:t xml:space="preserve">: </w:t>
      </w:r>
    </w:p>
    <w:p w14:paraId="685FC700" w14:textId="77777777" w:rsidR="002A1688" w:rsidRDefault="002A1688" w:rsidP="002A1688">
      <w:pPr>
        <w:pStyle w:val="western"/>
        <w:spacing w:before="0" w:beforeAutospacing="0" w:after="0" w:afterAutospacing="0" w:line="360" w:lineRule="auto"/>
        <w:jc w:val="both"/>
        <w:rPr>
          <w:rStyle w:val="apple-converted-space"/>
          <w:rFonts w:asciiTheme="minorBidi" w:hAnsiTheme="minorBidi" w:cstheme="minorBidi"/>
          <w:color w:val="242121"/>
          <w:sz w:val="22"/>
          <w:szCs w:val="22"/>
        </w:rPr>
      </w:pPr>
      <w:r w:rsidRPr="00F62514">
        <w:rPr>
          <w:rFonts w:asciiTheme="minorBidi" w:hAnsiTheme="minorBidi" w:cstheme="minorBidi"/>
          <w:color w:val="242121"/>
          <w:sz w:val="22"/>
          <w:szCs w:val="22"/>
        </w:rPr>
        <w:t>‘agreements make the law for contracts, and therefore for suretyships also . . .’</w:t>
      </w:r>
      <w:r w:rsidR="006B588F" w:rsidRPr="006B588F">
        <w:rPr>
          <w:rStyle w:val="FootnoteReference"/>
          <w:rFonts w:ascii="Arial" w:hAnsi="Arial" w:cs="Arial"/>
          <w:color w:val="000000" w:themeColor="text1"/>
          <w:sz w:val="22"/>
        </w:rPr>
        <w:footnoteReference w:id="10"/>
      </w:r>
      <w:r w:rsidRPr="00F62514">
        <w:rPr>
          <w:rStyle w:val="apple-converted-space"/>
          <w:rFonts w:asciiTheme="minorBidi" w:hAnsiTheme="minorBidi" w:cstheme="minorBidi"/>
          <w:color w:val="242121"/>
          <w:sz w:val="22"/>
          <w:szCs w:val="22"/>
        </w:rPr>
        <w:t> </w:t>
      </w:r>
    </w:p>
    <w:p w14:paraId="3D624582" w14:textId="77777777" w:rsidR="002A1688" w:rsidRPr="00F62514" w:rsidRDefault="002A1688" w:rsidP="002A1688">
      <w:pPr>
        <w:pStyle w:val="western"/>
        <w:spacing w:before="0" w:beforeAutospacing="0" w:after="0" w:afterAutospacing="0" w:line="360" w:lineRule="auto"/>
        <w:jc w:val="both"/>
        <w:rPr>
          <w:rFonts w:asciiTheme="minorBidi" w:hAnsiTheme="minorBidi" w:cstheme="minorBidi"/>
          <w:color w:val="242121"/>
          <w:sz w:val="22"/>
          <w:szCs w:val="22"/>
        </w:rPr>
      </w:pPr>
    </w:p>
    <w:p w14:paraId="7E116563" w14:textId="01EF275A" w:rsidR="002A1688" w:rsidRPr="003328F7" w:rsidRDefault="003328F7" w:rsidP="003328F7">
      <w:pPr>
        <w:tabs>
          <w:tab w:val="left" w:pos="709"/>
          <w:tab w:val="left" w:pos="1418"/>
        </w:tabs>
        <w:spacing w:line="360" w:lineRule="auto"/>
        <w:jc w:val="both"/>
        <w:rPr>
          <w:rFonts w:ascii="Arial" w:hAnsi="Arial" w:cs="Arial"/>
        </w:rPr>
      </w:pPr>
      <w:r w:rsidRPr="00B85AC3">
        <w:rPr>
          <w:rFonts w:ascii="Arial" w:eastAsiaTheme="minorHAnsi" w:hAnsi="Arial" w:cs="Arial"/>
          <w:color w:val="000000" w:themeColor="text1"/>
          <w:lang w:eastAsia="en-US" w:bidi="ar-SA"/>
        </w:rPr>
        <w:t>[21]</w:t>
      </w:r>
      <w:r w:rsidRPr="00B85AC3">
        <w:rPr>
          <w:rFonts w:ascii="Arial" w:eastAsiaTheme="minorHAnsi" w:hAnsi="Arial" w:cs="Arial"/>
          <w:color w:val="000000" w:themeColor="text1"/>
          <w:lang w:eastAsia="en-US" w:bidi="ar-SA"/>
        </w:rPr>
        <w:tab/>
      </w:r>
      <w:r w:rsidR="002A1688" w:rsidRPr="003328F7">
        <w:rPr>
          <w:rFonts w:ascii="Arial" w:hAnsi="Arial" w:cs="Arial"/>
        </w:rPr>
        <w:t xml:space="preserve">The two deeds of suretyship are </w:t>
      </w:r>
      <w:r w:rsidR="002D35B2" w:rsidRPr="003328F7">
        <w:rPr>
          <w:rFonts w:ascii="Arial" w:hAnsi="Arial" w:cs="Arial"/>
        </w:rPr>
        <w:t xml:space="preserve">very </w:t>
      </w:r>
      <w:r w:rsidR="002A1688" w:rsidRPr="003328F7">
        <w:rPr>
          <w:rFonts w:ascii="Arial" w:hAnsi="Arial" w:cs="Arial"/>
        </w:rPr>
        <w:t>similar</w:t>
      </w:r>
      <w:r w:rsidR="005C481D" w:rsidRPr="003328F7">
        <w:rPr>
          <w:rFonts w:ascii="Arial" w:hAnsi="Arial" w:cs="Arial"/>
        </w:rPr>
        <w:t xml:space="preserve"> in their content</w:t>
      </w:r>
      <w:r w:rsidR="00325A48" w:rsidRPr="003328F7">
        <w:rPr>
          <w:rFonts w:ascii="Arial" w:hAnsi="Arial" w:cs="Arial"/>
        </w:rPr>
        <w:t xml:space="preserve"> but are not identical</w:t>
      </w:r>
      <w:r w:rsidR="002A1688" w:rsidRPr="003328F7">
        <w:rPr>
          <w:rFonts w:ascii="Arial" w:hAnsi="Arial" w:cs="Arial"/>
        </w:rPr>
        <w:t xml:space="preserve">. They do, however, have certain clauses that are identical. Both deeds of suretyship contain the following clause: </w:t>
      </w:r>
    </w:p>
    <w:p w14:paraId="7C6B8D02" w14:textId="77777777" w:rsidR="002A1688" w:rsidRPr="005B1BE4" w:rsidRDefault="002A1688" w:rsidP="002A1688">
      <w:pPr>
        <w:spacing w:line="360" w:lineRule="auto"/>
        <w:jc w:val="both"/>
        <w:rPr>
          <w:rFonts w:ascii="Arial" w:hAnsi="Arial" w:cs="Arial"/>
          <w:sz w:val="22"/>
          <w:szCs w:val="22"/>
        </w:rPr>
      </w:pPr>
      <w:r w:rsidRPr="005B1BE4">
        <w:rPr>
          <w:rFonts w:ascii="Arial" w:hAnsi="Arial" w:cs="Arial"/>
          <w:sz w:val="22"/>
          <w:szCs w:val="22"/>
        </w:rPr>
        <w:t>‘The validity and enforceability of this suretyship shall in no respect be subject to the obtaining of a suretyship from another person or be subject to the validity of the suretyship of any other surety.’</w:t>
      </w:r>
    </w:p>
    <w:p w14:paraId="450D8448" w14:textId="77777777" w:rsidR="002A1688" w:rsidRDefault="002A1688" w:rsidP="002A1688">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 xml:space="preserve">In other words, the deeds of suretyship stand alone and do not require the applicant to obtain any additional </w:t>
      </w:r>
      <w:r w:rsidR="00295784">
        <w:rPr>
          <w:rFonts w:ascii="Arial" w:hAnsi="Arial" w:cs="Arial"/>
          <w:sz w:val="24"/>
          <w:szCs w:val="24"/>
          <w:lang w:val="en-ZA"/>
        </w:rPr>
        <w:t>deed of suretyship</w:t>
      </w:r>
      <w:r>
        <w:rPr>
          <w:rFonts w:ascii="Arial" w:hAnsi="Arial" w:cs="Arial"/>
          <w:sz w:val="24"/>
          <w:szCs w:val="24"/>
          <w:lang w:val="en-ZA"/>
        </w:rPr>
        <w:t xml:space="preserve"> for them </w:t>
      </w:r>
      <w:r w:rsidR="005B1BE4">
        <w:rPr>
          <w:rFonts w:ascii="Arial" w:hAnsi="Arial" w:cs="Arial"/>
          <w:sz w:val="24"/>
          <w:szCs w:val="24"/>
          <w:lang w:val="en-ZA"/>
        </w:rPr>
        <w:t>to be valid and binding on the T</w:t>
      </w:r>
      <w:r>
        <w:rPr>
          <w:rFonts w:ascii="Arial" w:hAnsi="Arial" w:cs="Arial"/>
          <w:sz w:val="24"/>
          <w:szCs w:val="24"/>
          <w:lang w:val="en-ZA"/>
        </w:rPr>
        <w:t>rust and the fourth respondent.</w:t>
      </w:r>
    </w:p>
    <w:p w14:paraId="3298900E" w14:textId="77777777" w:rsidR="002A1688" w:rsidRDefault="002A1688" w:rsidP="002A1688">
      <w:pPr>
        <w:pStyle w:val="ListParagraph"/>
        <w:tabs>
          <w:tab w:val="left" w:pos="709"/>
          <w:tab w:val="left" w:pos="1418"/>
        </w:tabs>
        <w:spacing w:after="0" w:line="360" w:lineRule="auto"/>
        <w:ind w:left="0"/>
        <w:jc w:val="both"/>
        <w:rPr>
          <w:rFonts w:ascii="Arial" w:hAnsi="Arial" w:cs="Arial"/>
          <w:sz w:val="24"/>
          <w:szCs w:val="24"/>
          <w:lang w:val="en-ZA"/>
        </w:rPr>
      </w:pPr>
    </w:p>
    <w:p w14:paraId="21DB3105" w14:textId="14348C71" w:rsidR="002A1688"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[22]</w:t>
      </w:r>
      <w:r>
        <w:rPr>
          <w:rFonts w:ascii="Arial" w:eastAsiaTheme="minorHAnsi" w:hAnsi="Arial" w:cs="Arial"/>
          <w:color w:val="000000" w:themeColor="text1"/>
          <w:lang w:eastAsia="en-US" w:bidi="ar-SA"/>
        </w:rPr>
        <w:tab/>
      </w:r>
      <w:r w:rsidR="002A1688" w:rsidRPr="003328F7">
        <w:rPr>
          <w:rFonts w:ascii="Arial" w:hAnsi="Arial" w:cs="Arial"/>
        </w:rPr>
        <w:t>Both deeds of suretyship also contain an acknowledgement by the surety that the applicant may:</w:t>
      </w:r>
    </w:p>
    <w:p w14:paraId="70F44EAD" w14:textId="77777777" w:rsidR="002A1688" w:rsidRDefault="002A1688" w:rsidP="002A1688">
      <w:pPr>
        <w:pStyle w:val="ListParagraph"/>
        <w:tabs>
          <w:tab w:val="left" w:pos="709"/>
          <w:tab w:val="left" w:pos="1418"/>
        </w:tabs>
        <w:spacing w:after="0" w:line="360" w:lineRule="auto"/>
        <w:ind w:left="0"/>
        <w:jc w:val="both"/>
        <w:rPr>
          <w:rFonts w:ascii="Arial" w:hAnsi="Arial" w:cs="Arial"/>
          <w:lang w:val="en-ZA"/>
        </w:rPr>
      </w:pPr>
      <w:r>
        <w:rPr>
          <w:rFonts w:ascii="Arial" w:hAnsi="Arial" w:cs="Arial"/>
          <w:lang w:val="en-ZA"/>
        </w:rPr>
        <w:lastRenderedPageBreak/>
        <w:t>‘</w:t>
      </w:r>
      <w:r w:rsidRPr="00545467">
        <w:rPr>
          <w:rFonts w:ascii="Arial" w:hAnsi="Arial" w:cs="Arial"/>
          <w:lang w:val="en-ZA"/>
        </w:rPr>
        <w:t>release in whole or in part present or future security, including this suretyship or the suretyship of co-sureties, in respect of the debtor’s obligations to the bank;’</w:t>
      </w:r>
      <w:r w:rsidR="005B1BE4">
        <w:rPr>
          <w:rFonts w:ascii="Arial" w:hAnsi="Arial" w:cs="Arial"/>
          <w:lang w:val="en-ZA"/>
        </w:rPr>
        <w:t>.</w:t>
      </w:r>
    </w:p>
    <w:p w14:paraId="677B3616" w14:textId="4319B344" w:rsidR="001A4DBA" w:rsidRDefault="002A1688" w:rsidP="001A4DBA">
      <w:pPr>
        <w:pStyle w:val="ListParagraph"/>
        <w:tabs>
          <w:tab w:val="left" w:pos="709"/>
          <w:tab w:val="left" w:pos="1418"/>
        </w:tabs>
        <w:spacing w:after="0" w:line="360" w:lineRule="auto"/>
        <w:ind w:left="0"/>
        <w:jc w:val="both"/>
        <w:rPr>
          <w:rFonts w:ascii="Arial" w:hAnsi="Arial" w:cs="Arial"/>
          <w:color w:val="000000" w:themeColor="text1"/>
          <w:sz w:val="24"/>
          <w:szCs w:val="24"/>
          <w:lang w:val="en-ZA"/>
        </w:rPr>
      </w:pPr>
      <w:r>
        <w:rPr>
          <w:rFonts w:ascii="Arial" w:hAnsi="Arial" w:cs="Arial"/>
          <w:sz w:val="24"/>
          <w:szCs w:val="24"/>
          <w:lang w:val="en-ZA"/>
        </w:rPr>
        <w:t>Thus, future security, such as the new security, may be released by the applicant</w:t>
      </w:r>
      <w:r w:rsidR="00742FD9">
        <w:rPr>
          <w:rFonts w:ascii="Arial" w:hAnsi="Arial" w:cs="Arial"/>
          <w:sz w:val="24"/>
          <w:szCs w:val="24"/>
          <w:lang w:val="en-ZA"/>
        </w:rPr>
        <w:t xml:space="preserve"> as it determines. </w:t>
      </w:r>
      <w:r w:rsidR="00325A48">
        <w:rPr>
          <w:rFonts w:ascii="Arial" w:hAnsi="Arial" w:cs="Arial"/>
          <w:sz w:val="24"/>
          <w:szCs w:val="24"/>
          <w:lang w:val="en-ZA"/>
        </w:rPr>
        <w:t xml:space="preserve">In my view, ‘release’ may </w:t>
      </w:r>
      <w:r w:rsidR="00742FD9">
        <w:rPr>
          <w:rFonts w:ascii="Arial" w:hAnsi="Arial" w:cs="Arial"/>
          <w:sz w:val="24"/>
          <w:szCs w:val="24"/>
          <w:lang w:val="en-ZA"/>
        </w:rPr>
        <w:t xml:space="preserve">in this context have two meanings: it may mean that a person who undertook to put up security is released from the obligation of </w:t>
      </w:r>
      <w:r w:rsidR="001A4DBA">
        <w:rPr>
          <w:rFonts w:ascii="Arial" w:hAnsi="Arial" w:cs="Arial"/>
          <w:sz w:val="24"/>
          <w:szCs w:val="24"/>
          <w:lang w:val="en-ZA"/>
        </w:rPr>
        <w:t>d</w:t>
      </w:r>
      <w:r w:rsidR="00742FD9">
        <w:rPr>
          <w:rFonts w:ascii="Arial" w:hAnsi="Arial" w:cs="Arial"/>
          <w:sz w:val="24"/>
          <w:szCs w:val="24"/>
          <w:lang w:val="en-ZA"/>
        </w:rPr>
        <w:t>oing so</w:t>
      </w:r>
      <w:r w:rsidR="001A4DBA">
        <w:rPr>
          <w:rFonts w:ascii="Arial" w:hAnsi="Arial" w:cs="Arial"/>
          <w:sz w:val="24"/>
          <w:szCs w:val="24"/>
          <w:lang w:val="en-ZA"/>
        </w:rPr>
        <w:t xml:space="preserve"> and thus never puts it up, or it can mean that security that has already been put up is no longer required and is</w:t>
      </w:r>
      <w:r w:rsidR="003D3B34">
        <w:rPr>
          <w:rFonts w:ascii="Arial" w:hAnsi="Arial" w:cs="Arial"/>
          <w:sz w:val="24"/>
          <w:szCs w:val="24"/>
          <w:lang w:val="en-ZA"/>
        </w:rPr>
        <w:t xml:space="preserve"> consequently</w:t>
      </w:r>
      <w:r w:rsidR="001A4DBA">
        <w:rPr>
          <w:rFonts w:ascii="Arial" w:hAnsi="Arial" w:cs="Arial"/>
          <w:sz w:val="24"/>
          <w:szCs w:val="24"/>
          <w:lang w:val="en-ZA"/>
        </w:rPr>
        <w:t xml:space="preserve"> released. </w:t>
      </w:r>
      <w:r w:rsidR="001A4DBA" w:rsidRPr="001F4E58">
        <w:rPr>
          <w:rFonts w:ascii="Arial" w:hAnsi="Arial" w:cs="Arial"/>
          <w:color w:val="000000" w:themeColor="text1"/>
          <w:sz w:val="24"/>
          <w:szCs w:val="24"/>
          <w:lang w:val="en-ZA"/>
        </w:rPr>
        <w:t>I can see no difference between not acquiring such security and acquiring it but then releasing it: the effect is the same.</w:t>
      </w:r>
      <w:r w:rsidR="001A4DBA">
        <w:rPr>
          <w:rFonts w:ascii="Arial" w:hAnsi="Arial" w:cs="Arial"/>
          <w:color w:val="000000" w:themeColor="text1"/>
          <w:sz w:val="24"/>
          <w:szCs w:val="24"/>
          <w:lang w:val="en-ZA"/>
        </w:rPr>
        <w:t xml:space="preserve"> </w:t>
      </w:r>
    </w:p>
    <w:p w14:paraId="7CD6D1EA" w14:textId="77777777" w:rsidR="003D7239" w:rsidRPr="00545467" w:rsidRDefault="003D7239" w:rsidP="001A4DBA">
      <w:pPr>
        <w:pStyle w:val="ListParagraph"/>
        <w:tabs>
          <w:tab w:val="left" w:pos="709"/>
          <w:tab w:val="left" w:pos="1418"/>
        </w:tabs>
        <w:spacing w:after="0" w:line="360" w:lineRule="auto"/>
        <w:ind w:left="0"/>
        <w:jc w:val="both"/>
        <w:rPr>
          <w:rFonts w:ascii="Arial" w:hAnsi="Arial" w:cs="Arial"/>
          <w:sz w:val="24"/>
          <w:szCs w:val="24"/>
          <w:lang w:val="en-ZA"/>
        </w:rPr>
      </w:pPr>
    </w:p>
    <w:p w14:paraId="583FFBBD" w14:textId="0EF8237C" w:rsidR="005B1BE4"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[23]</w:t>
      </w:r>
      <w:r>
        <w:rPr>
          <w:rFonts w:ascii="Arial" w:eastAsiaTheme="minorHAnsi" w:hAnsi="Arial" w:cs="Arial"/>
          <w:color w:val="000000" w:themeColor="text1"/>
          <w:lang w:eastAsia="en-US" w:bidi="ar-SA"/>
        </w:rPr>
        <w:tab/>
      </w:r>
      <w:r w:rsidR="002A1688" w:rsidRPr="003328F7">
        <w:rPr>
          <w:rFonts w:ascii="Arial" w:hAnsi="Arial" w:cs="Arial"/>
        </w:rPr>
        <w:t xml:space="preserve">The respondents submit that </w:t>
      </w:r>
      <w:r w:rsidR="00DB454D" w:rsidRPr="003328F7">
        <w:rPr>
          <w:rFonts w:ascii="Arial" w:hAnsi="Arial" w:cs="Arial"/>
        </w:rPr>
        <w:t>the failure to obtain the new security has prejudiced them.</w:t>
      </w:r>
      <w:r w:rsidR="002A1688" w:rsidRPr="003328F7">
        <w:rPr>
          <w:rFonts w:ascii="Arial" w:hAnsi="Arial" w:cs="Arial"/>
        </w:rPr>
        <w:t xml:space="preserve"> I confess, however</w:t>
      </w:r>
      <w:r w:rsidR="002D35B2" w:rsidRPr="003328F7">
        <w:rPr>
          <w:rFonts w:ascii="Arial" w:hAnsi="Arial" w:cs="Arial"/>
        </w:rPr>
        <w:t xml:space="preserve">, </w:t>
      </w:r>
      <w:r w:rsidR="002A1688" w:rsidRPr="003328F7">
        <w:rPr>
          <w:rFonts w:ascii="Arial" w:hAnsi="Arial" w:cs="Arial"/>
        </w:rPr>
        <w:t xml:space="preserve">that I am not </w:t>
      </w:r>
      <w:r w:rsidR="005B1BE4" w:rsidRPr="003328F7">
        <w:rPr>
          <w:rFonts w:ascii="Arial" w:hAnsi="Arial" w:cs="Arial"/>
        </w:rPr>
        <w:t xml:space="preserve">entirely </w:t>
      </w:r>
      <w:r w:rsidR="002A1688" w:rsidRPr="003328F7">
        <w:rPr>
          <w:rFonts w:ascii="Arial" w:hAnsi="Arial" w:cs="Arial"/>
        </w:rPr>
        <w:t>sure what th</w:t>
      </w:r>
      <w:r w:rsidR="005B1BE4" w:rsidRPr="003328F7">
        <w:rPr>
          <w:rFonts w:ascii="Arial" w:hAnsi="Arial" w:cs="Arial"/>
        </w:rPr>
        <w:t xml:space="preserve">e basis of this dissatisfaction is or what the </w:t>
      </w:r>
      <w:r w:rsidR="002A1688" w:rsidRPr="003328F7">
        <w:rPr>
          <w:rFonts w:ascii="Arial" w:hAnsi="Arial" w:cs="Arial"/>
        </w:rPr>
        <w:t>prejudice</w:t>
      </w:r>
      <w:r w:rsidR="005B1BE4" w:rsidRPr="003328F7">
        <w:rPr>
          <w:rFonts w:ascii="Arial" w:hAnsi="Arial" w:cs="Arial"/>
        </w:rPr>
        <w:t xml:space="preserve"> complained of</w:t>
      </w:r>
      <w:r w:rsidR="002A1688" w:rsidRPr="003328F7">
        <w:rPr>
          <w:rFonts w:ascii="Arial" w:hAnsi="Arial" w:cs="Arial"/>
        </w:rPr>
        <w:t xml:space="preserve"> comprises. </w:t>
      </w:r>
    </w:p>
    <w:p w14:paraId="29A953B5" w14:textId="77777777" w:rsidR="00E278C5" w:rsidRDefault="00E278C5" w:rsidP="00E278C5">
      <w:pPr>
        <w:pStyle w:val="ListParagraph"/>
        <w:tabs>
          <w:tab w:val="left" w:pos="709"/>
          <w:tab w:val="left" w:pos="1418"/>
        </w:tabs>
        <w:spacing w:after="0" w:line="360" w:lineRule="auto"/>
        <w:ind w:left="0"/>
        <w:jc w:val="both"/>
        <w:rPr>
          <w:rFonts w:ascii="Arial" w:hAnsi="Arial" w:cs="Arial"/>
          <w:sz w:val="24"/>
          <w:szCs w:val="24"/>
          <w:lang w:val="en-ZA"/>
        </w:rPr>
      </w:pPr>
    </w:p>
    <w:p w14:paraId="5FFD1C9F" w14:textId="09EDE805" w:rsidR="00147D09" w:rsidRPr="003328F7" w:rsidRDefault="003328F7" w:rsidP="003328F7">
      <w:pPr>
        <w:tabs>
          <w:tab w:val="left" w:pos="709"/>
          <w:tab w:val="left" w:pos="1418"/>
        </w:tabs>
        <w:spacing w:line="360" w:lineRule="auto"/>
        <w:jc w:val="both"/>
        <w:rPr>
          <w:rFonts w:ascii="Arial" w:hAnsi="Arial" w:cs="Arial"/>
        </w:rPr>
      </w:pPr>
      <w:r w:rsidRPr="00D150AF">
        <w:rPr>
          <w:rFonts w:ascii="Arial" w:eastAsiaTheme="minorHAnsi" w:hAnsi="Arial" w:cs="Arial"/>
          <w:color w:val="000000" w:themeColor="text1"/>
          <w:lang w:eastAsia="en-US" w:bidi="ar-SA"/>
        </w:rPr>
        <w:t>[24]</w:t>
      </w:r>
      <w:r w:rsidRPr="00D150AF">
        <w:rPr>
          <w:rFonts w:ascii="Arial" w:eastAsiaTheme="minorHAnsi" w:hAnsi="Arial" w:cs="Arial"/>
          <w:color w:val="000000" w:themeColor="text1"/>
          <w:lang w:eastAsia="en-US" w:bidi="ar-SA"/>
        </w:rPr>
        <w:tab/>
      </w:r>
      <w:r w:rsidR="00DB454D" w:rsidRPr="003328F7">
        <w:rPr>
          <w:rFonts w:ascii="Arial" w:hAnsi="Arial" w:cs="Arial"/>
        </w:rPr>
        <w:t>Looked at practically, t</w:t>
      </w:r>
      <w:r w:rsidR="001A4DBA" w:rsidRPr="003328F7">
        <w:rPr>
          <w:rFonts w:ascii="Arial" w:hAnsi="Arial" w:cs="Arial"/>
        </w:rPr>
        <w:t xml:space="preserve">he new security did not introduce a new </w:t>
      </w:r>
      <w:r w:rsidR="00DB454D" w:rsidRPr="003328F7">
        <w:rPr>
          <w:rFonts w:ascii="Arial" w:hAnsi="Arial" w:cs="Arial"/>
        </w:rPr>
        <w:t>security provider</w:t>
      </w:r>
      <w:r w:rsidR="001A4DBA" w:rsidRPr="003328F7">
        <w:rPr>
          <w:rFonts w:ascii="Arial" w:hAnsi="Arial" w:cs="Arial"/>
        </w:rPr>
        <w:t xml:space="preserve"> to the </w:t>
      </w:r>
      <w:r w:rsidR="00E278C5" w:rsidRPr="003328F7">
        <w:rPr>
          <w:rFonts w:ascii="Arial" w:hAnsi="Arial" w:cs="Arial"/>
        </w:rPr>
        <w:t>raft of se</w:t>
      </w:r>
      <w:r w:rsidR="001A4DBA" w:rsidRPr="003328F7">
        <w:rPr>
          <w:rFonts w:ascii="Arial" w:hAnsi="Arial" w:cs="Arial"/>
        </w:rPr>
        <w:t>c</w:t>
      </w:r>
      <w:r w:rsidR="00E278C5" w:rsidRPr="003328F7">
        <w:rPr>
          <w:rFonts w:ascii="Arial" w:hAnsi="Arial" w:cs="Arial"/>
        </w:rPr>
        <w:t>u</w:t>
      </w:r>
      <w:r w:rsidR="001A4DBA" w:rsidRPr="003328F7">
        <w:rPr>
          <w:rFonts w:ascii="Arial" w:hAnsi="Arial" w:cs="Arial"/>
        </w:rPr>
        <w:t>r</w:t>
      </w:r>
      <w:r w:rsidR="00E278C5" w:rsidRPr="003328F7">
        <w:rPr>
          <w:rFonts w:ascii="Arial" w:hAnsi="Arial" w:cs="Arial"/>
        </w:rPr>
        <w:t>i</w:t>
      </w:r>
      <w:r w:rsidR="001A4DBA" w:rsidRPr="003328F7">
        <w:rPr>
          <w:rFonts w:ascii="Arial" w:hAnsi="Arial" w:cs="Arial"/>
        </w:rPr>
        <w:t xml:space="preserve">ty already held by the applicant. </w:t>
      </w:r>
      <w:r w:rsidR="00E278C5" w:rsidRPr="003328F7">
        <w:rPr>
          <w:rFonts w:ascii="Arial" w:hAnsi="Arial" w:cs="Arial"/>
        </w:rPr>
        <w:t>Excluding the cession of the insurance policy, the principal provider of the new security was the company itself.</w:t>
      </w:r>
      <w:r w:rsidR="00DB454D" w:rsidRPr="003328F7">
        <w:rPr>
          <w:rFonts w:ascii="Arial" w:hAnsi="Arial" w:cs="Arial"/>
        </w:rPr>
        <w:t xml:space="preserve"> </w:t>
      </w:r>
      <w:r w:rsidR="005B1BE4" w:rsidRPr="003328F7">
        <w:rPr>
          <w:rFonts w:asciiTheme="minorBidi" w:hAnsiTheme="minorBidi"/>
        </w:rPr>
        <w:t xml:space="preserve">Regard being had to the clause in the </w:t>
      </w:r>
      <w:r w:rsidR="003D7239" w:rsidRPr="003328F7">
        <w:rPr>
          <w:rFonts w:asciiTheme="minorBidi" w:hAnsiTheme="minorBidi"/>
        </w:rPr>
        <w:t xml:space="preserve">loan </w:t>
      </w:r>
      <w:r w:rsidR="005B1BE4" w:rsidRPr="003328F7">
        <w:rPr>
          <w:rFonts w:asciiTheme="minorBidi" w:hAnsiTheme="minorBidi"/>
        </w:rPr>
        <w:t xml:space="preserve">agreement that </w:t>
      </w:r>
      <w:r w:rsidR="003D7239" w:rsidRPr="003328F7">
        <w:rPr>
          <w:rFonts w:asciiTheme="minorBidi" w:hAnsiTheme="minorBidi"/>
        </w:rPr>
        <w:t>required</w:t>
      </w:r>
      <w:r w:rsidR="005B1BE4" w:rsidRPr="003328F7">
        <w:rPr>
          <w:rFonts w:asciiTheme="minorBidi" w:hAnsiTheme="minorBidi"/>
        </w:rPr>
        <w:t xml:space="preserve"> the</w:t>
      </w:r>
      <w:r w:rsidR="003D7239" w:rsidRPr="003328F7">
        <w:rPr>
          <w:rFonts w:asciiTheme="minorBidi" w:hAnsiTheme="minorBidi"/>
        </w:rPr>
        <w:t xml:space="preserve"> provision of the</w:t>
      </w:r>
      <w:r w:rsidR="005B1BE4" w:rsidRPr="003328F7">
        <w:rPr>
          <w:rFonts w:asciiTheme="minorBidi" w:hAnsiTheme="minorBidi"/>
        </w:rPr>
        <w:t xml:space="preserve"> new security, it is to be noted that </w:t>
      </w:r>
      <w:r w:rsidR="005355A7" w:rsidRPr="003328F7">
        <w:rPr>
          <w:rFonts w:asciiTheme="minorBidi" w:hAnsiTheme="minorBidi"/>
        </w:rPr>
        <w:t>the agreement</w:t>
      </w:r>
      <w:r w:rsidR="005B1BE4" w:rsidRPr="003328F7">
        <w:rPr>
          <w:rFonts w:asciiTheme="minorBidi" w:hAnsiTheme="minorBidi"/>
        </w:rPr>
        <w:t xml:space="preserve"> did not impose any obligation on the applicant. </w:t>
      </w:r>
      <w:r w:rsidR="00147D09" w:rsidRPr="003328F7">
        <w:rPr>
          <w:rFonts w:asciiTheme="minorBidi" w:hAnsiTheme="minorBidi"/>
        </w:rPr>
        <w:t xml:space="preserve">The obligation was placed on the entities providing the new </w:t>
      </w:r>
      <w:r w:rsidR="001D61CA" w:rsidRPr="003328F7">
        <w:rPr>
          <w:rFonts w:asciiTheme="minorBidi" w:hAnsiTheme="minorBidi"/>
        </w:rPr>
        <w:t>security, namely the compan</w:t>
      </w:r>
      <w:r w:rsidR="00147D09" w:rsidRPr="003328F7">
        <w:rPr>
          <w:rFonts w:asciiTheme="minorBidi" w:hAnsiTheme="minorBidi"/>
        </w:rPr>
        <w:t>y</w:t>
      </w:r>
      <w:r w:rsidR="001D61CA" w:rsidRPr="003328F7">
        <w:rPr>
          <w:rFonts w:asciiTheme="minorBidi" w:hAnsiTheme="minorBidi"/>
        </w:rPr>
        <w:t xml:space="preserve"> and </w:t>
      </w:r>
      <w:r w:rsidR="00325A48" w:rsidRPr="003328F7">
        <w:rPr>
          <w:rFonts w:asciiTheme="minorBidi" w:hAnsiTheme="minorBidi"/>
        </w:rPr>
        <w:t>EAT</w:t>
      </w:r>
      <w:r w:rsidR="00147D09" w:rsidRPr="003328F7">
        <w:rPr>
          <w:rFonts w:asciiTheme="minorBidi" w:hAnsiTheme="minorBidi"/>
        </w:rPr>
        <w:t xml:space="preserve">. </w:t>
      </w:r>
      <w:r w:rsidR="005B1BE4" w:rsidRPr="003328F7">
        <w:rPr>
          <w:rFonts w:asciiTheme="minorBidi" w:hAnsiTheme="minorBidi"/>
        </w:rPr>
        <w:t xml:space="preserve">The applicant could not simply </w:t>
      </w:r>
      <w:r w:rsidR="00147D09" w:rsidRPr="003328F7">
        <w:rPr>
          <w:rFonts w:asciiTheme="minorBidi" w:hAnsiTheme="minorBidi"/>
        </w:rPr>
        <w:t xml:space="preserve">of its own volition </w:t>
      </w:r>
      <w:r w:rsidR="005B1BE4" w:rsidRPr="003328F7">
        <w:rPr>
          <w:rFonts w:asciiTheme="minorBidi" w:hAnsiTheme="minorBidi"/>
        </w:rPr>
        <w:t>acquire the new security: it had to be placed in possession thereof by the part</w:t>
      </w:r>
      <w:r w:rsidR="00147D09" w:rsidRPr="003328F7">
        <w:rPr>
          <w:rFonts w:asciiTheme="minorBidi" w:hAnsiTheme="minorBidi"/>
        </w:rPr>
        <w:t>ies</w:t>
      </w:r>
      <w:r w:rsidR="005B1BE4" w:rsidRPr="003328F7">
        <w:rPr>
          <w:rFonts w:asciiTheme="minorBidi" w:hAnsiTheme="minorBidi"/>
        </w:rPr>
        <w:t xml:space="preserve"> providing </w:t>
      </w:r>
      <w:r w:rsidR="00147D09" w:rsidRPr="003328F7">
        <w:rPr>
          <w:rFonts w:asciiTheme="minorBidi" w:hAnsiTheme="minorBidi"/>
        </w:rPr>
        <w:t>it</w:t>
      </w:r>
      <w:r w:rsidR="005B1BE4" w:rsidRPr="003328F7">
        <w:rPr>
          <w:rFonts w:asciiTheme="minorBidi" w:hAnsiTheme="minorBidi"/>
        </w:rPr>
        <w:t>. The</w:t>
      </w:r>
      <w:r w:rsidR="001D61CA" w:rsidRPr="003328F7">
        <w:rPr>
          <w:rFonts w:asciiTheme="minorBidi" w:hAnsiTheme="minorBidi"/>
        </w:rPr>
        <w:t xml:space="preserve"> passing of the notarial bond</w:t>
      </w:r>
      <w:r w:rsidR="00DB454D">
        <w:rPr>
          <w:rStyle w:val="FootnoteReference"/>
          <w:rFonts w:asciiTheme="minorBidi" w:hAnsiTheme="minorBidi"/>
        </w:rPr>
        <w:footnoteReference w:id="11"/>
      </w:r>
      <w:r w:rsidR="001D61CA" w:rsidRPr="003328F7">
        <w:rPr>
          <w:rFonts w:asciiTheme="minorBidi" w:hAnsiTheme="minorBidi"/>
        </w:rPr>
        <w:t xml:space="preserve"> and the cession of the insurance policy </w:t>
      </w:r>
      <w:r w:rsidR="00B72D9A" w:rsidRPr="003328F7">
        <w:rPr>
          <w:rFonts w:asciiTheme="minorBidi" w:hAnsiTheme="minorBidi"/>
        </w:rPr>
        <w:t xml:space="preserve">thus </w:t>
      </w:r>
      <w:r w:rsidR="005B1BE4" w:rsidRPr="003328F7">
        <w:rPr>
          <w:rFonts w:asciiTheme="minorBidi" w:hAnsiTheme="minorBidi"/>
        </w:rPr>
        <w:t xml:space="preserve">did not lie within the power of the applicant. </w:t>
      </w:r>
    </w:p>
    <w:p w14:paraId="0C3FDFC0" w14:textId="77777777" w:rsidR="00D150AF" w:rsidRPr="00DB454D" w:rsidRDefault="00D150AF" w:rsidP="00D150AF">
      <w:pPr>
        <w:pStyle w:val="ListParagraph"/>
        <w:tabs>
          <w:tab w:val="left" w:pos="709"/>
          <w:tab w:val="left" w:pos="1418"/>
        </w:tabs>
        <w:spacing w:after="0" w:line="360" w:lineRule="auto"/>
        <w:ind w:left="0"/>
        <w:jc w:val="both"/>
        <w:rPr>
          <w:rFonts w:ascii="Arial" w:hAnsi="Arial" w:cs="Arial"/>
          <w:sz w:val="24"/>
          <w:szCs w:val="24"/>
          <w:lang w:val="en-ZA"/>
        </w:rPr>
      </w:pPr>
    </w:p>
    <w:p w14:paraId="09777004" w14:textId="32EB1F77" w:rsidR="00742FD9" w:rsidRPr="003328F7" w:rsidRDefault="003328F7" w:rsidP="003328F7">
      <w:pPr>
        <w:tabs>
          <w:tab w:val="left" w:pos="709"/>
          <w:tab w:val="left" w:pos="1418"/>
        </w:tabs>
        <w:spacing w:line="360" w:lineRule="auto"/>
        <w:jc w:val="both"/>
        <w:rPr>
          <w:rFonts w:ascii="Arial" w:hAnsi="Arial" w:cs="Arial"/>
        </w:rPr>
      </w:pPr>
      <w:r w:rsidRPr="00F55A9F">
        <w:rPr>
          <w:rFonts w:ascii="Arial" w:eastAsiaTheme="minorHAnsi" w:hAnsi="Arial" w:cs="Arial"/>
          <w:color w:val="000000" w:themeColor="text1"/>
          <w:lang w:eastAsia="en-US" w:bidi="ar-SA"/>
        </w:rPr>
        <w:t>[25]</w:t>
      </w:r>
      <w:r w:rsidRPr="00F55A9F">
        <w:rPr>
          <w:rFonts w:ascii="Arial" w:eastAsiaTheme="minorHAnsi" w:hAnsi="Arial" w:cs="Arial"/>
          <w:color w:val="000000" w:themeColor="text1"/>
          <w:lang w:eastAsia="en-US" w:bidi="ar-SA"/>
        </w:rPr>
        <w:tab/>
      </w:r>
      <w:r w:rsidR="005B1BE4" w:rsidRPr="003328F7">
        <w:rPr>
          <w:rFonts w:asciiTheme="minorBidi" w:hAnsiTheme="minorBidi"/>
        </w:rPr>
        <w:t xml:space="preserve">The fourth respondent </w:t>
      </w:r>
      <w:r w:rsidR="00147D09" w:rsidRPr="003328F7">
        <w:rPr>
          <w:rFonts w:asciiTheme="minorBidi" w:hAnsiTheme="minorBidi"/>
        </w:rPr>
        <w:t xml:space="preserve">was a director of the </w:t>
      </w:r>
      <w:r w:rsidR="0076331D" w:rsidRPr="003328F7">
        <w:rPr>
          <w:rFonts w:asciiTheme="minorBidi" w:hAnsiTheme="minorBidi"/>
        </w:rPr>
        <w:t>company</w:t>
      </w:r>
      <w:r w:rsidR="003E5AE3" w:rsidRPr="003328F7">
        <w:rPr>
          <w:rFonts w:asciiTheme="minorBidi" w:hAnsiTheme="minorBidi"/>
        </w:rPr>
        <w:t>. I do not know if he was the sole director. He may well have been, but I do not know that to be the case.</w:t>
      </w:r>
      <w:r w:rsidR="00147D09" w:rsidRPr="003328F7">
        <w:rPr>
          <w:rFonts w:asciiTheme="minorBidi" w:hAnsiTheme="minorBidi"/>
        </w:rPr>
        <w:t xml:space="preserve"> At the very least, the fourth respondent would have been aware that prior to the loan </w:t>
      </w:r>
      <w:r w:rsidR="00EB66D1" w:rsidRPr="003328F7">
        <w:rPr>
          <w:rFonts w:asciiTheme="minorBidi" w:hAnsiTheme="minorBidi"/>
        </w:rPr>
        <w:t xml:space="preserve">amount </w:t>
      </w:r>
      <w:r w:rsidR="00147D09" w:rsidRPr="003328F7">
        <w:rPr>
          <w:rFonts w:asciiTheme="minorBidi" w:hAnsiTheme="minorBidi"/>
        </w:rPr>
        <w:t>being advanced</w:t>
      </w:r>
      <w:r w:rsidR="00327307" w:rsidRPr="003328F7">
        <w:rPr>
          <w:rFonts w:asciiTheme="minorBidi" w:hAnsiTheme="minorBidi"/>
        </w:rPr>
        <w:t xml:space="preserve"> by the applicant</w:t>
      </w:r>
      <w:r w:rsidR="005355A7" w:rsidRPr="003328F7">
        <w:rPr>
          <w:rFonts w:asciiTheme="minorBidi" w:hAnsiTheme="minorBidi"/>
        </w:rPr>
        <w:t>,</w:t>
      </w:r>
      <w:r w:rsidR="00147D09" w:rsidRPr="003328F7">
        <w:rPr>
          <w:rFonts w:asciiTheme="minorBidi" w:hAnsiTheme="minorBidi"/>
        </w:rPr>
        <w:t xml:space="preserve"> the company had not passed the required </w:t>
      </w:r>
      <w:r w:rsidR="00081619" w:rsidRPr="003328F7">
        <w:rPr>
          <w:rFonts w:asciiTheme="minorBidi" w:hAnsiTheme="minorBidi"/>
        </w:rPr>
        <w:t xml:space="preserve">notarial </w:t>
      </w:r>
      <w:r w:rsidR="00147D09" w:rsidRPr="003328F7">
        <w:rPr>
          <w:rFonts w:asciiTheme="minorBidi" w:hAnsiTheme="minorBidi"/>
        </w:rPr>
        <w:t xml:space="preserve">bond. </w:t>
      </w:r>
      <w:r w:rsidR="00F12546" w:rsidRPr="003328F7">
        <w:rPr>
          <w:rFonts w:asciiTheme="minorBidi" w:hAnsiTheme="minorBidi"/>
        </w:rPr>
        <w:t xml:space="preserve">Why the </w:t>
      </w:r>
      <w:r w:rsidR="00081619" w:rsidRPr="003328F7">
        <w:rPr>
          <w:rFonts w:asciiTheme="minorBidi" w:hAnsiTheme="minorBidi"/>
        </w:rPr>
        <w:t xml:space="preserve">notarial </w:t>
      </w:r>
      <w:r w:rsidR="00F12546" w:rsidRPr="003328F7">
        <w:rPr>
          <w:rFonts w:asciiTheme="minorBidi" w:hAnsiTheme="minorBidi"/>
        </w:rPr>
        <w:t>bond had not been passed was within the knowledge of at least the fourth respondent</w:t>
      </w:r>
      <w:r w:rsidR="003E5AE3" w:rsidRPr="003328F7">
        <w:rPr>
          <w:rFonts w:asciiTheme="minorBidi" w:hAnsiTheme="minorBidi"/>
        </w:rPr>
        <w:t>, who acted in both his personal and representative capacities</w:t>
      </w:r>
      <w:r w:rsidR="00F12546" w:rsidRPr="003328F7">
        <w:rPr>
          <w:rFonts w:asciiTheme="minorBidi" w:hAnsiTheme="minorBidi"/>
        </w:rPr>
        <w:t xml:space="preserve">. </w:t>
      </w:r>
      <w:r w:rsidR="003E5AE3" w:rsidRPr="003328F7">
        <w:rPr>
          <w:rFonts w:asciiTheme="minorBidi" w:hAnsiTheme="minorBidi"/>
        </w:rPr>
        <w:lastRenderedPageBreak/>
        <w:t xml:space="preserve">As director of the company and trustee of the Trust, the fourth respondent’s knowledge binds himself and the Trust. </w:t>
      </w:r>
      <w:r w:rsidR="00F12546" w:rsidRPr="003328F7">
        <w:rPr>
          <w:rFonts w:asciiTheme="minorBidi" w:hAnsiTheme="minorBidi"/>
        </w:rPr>
        <w:t xml:space="preserve">Rather than protest that the new security was not in place, </w:t>
      </w:r>
      <w:r w:rsidR="00147D09" w:rsidRPr="003328F7">
        <w:rPr>
          <w:rFonts w:asciiTheme="minorBidi" w:hAnsiTheme="minorBidi"/>
        </w:rPr>
        <w:t xml:space="preserve">the company </w:t>
      </w:r>
      <w:r w:rsidR="005355A7" w:rsidRPr="003328F7">
        <w:rPr>
          <w:rFonts w:asciiTheme="minorBidi" w:hAnsiTheme="minorBidi"/>
        </w:rPr>
        <w:t>accessed the</w:t>
      </w:r>
      <w:r w:rsidR="00147D09" w:rsidRPr="003328F7">
        <w:rPr>
          <w:rFonts w:asciiTheme="minorBidi" w:hAnsiTheme="minorBidi"/>
        </w:rPr>
        <w:t xml:space="preserve"> loan </w:t>
      </w:r>
      <w:r w:rsidR="00264A82" w:rsidRPr="003328F7">
        <w:rPr>
          <w:rFonts w:asciiTheme="minorBidi" w:hAnsiTheme="minorBidi"/>
        </w:rPr>
        <w:t xml:space="preserve">account, drew down on the loan amount </w:t>
      </w:r>
      <w:r w:rsidR="00147D09" w:rsidRPr="003328F7">
        <w:rPr>
          <w:rFonts w:asciiTheme="minorBidi" w:hAnsiTheme="minorBidi"/>
        </w:rPr>
        <w:t>and utilised it.</w:t>
      </w:r>
      <w:r w:rsidR="001D61CA" w:rsidRPr="003328F7">
        <w:rPr>
          <w:rFonts w:asciiTheme="minorBidi" w:hAnsiTheme="minorBidi"/>
        </w:rPr>
        <w:t xml:space="preserve"> </w:t>
      </w:r>
      <w:r w:rsidR="00EB66D1" w:rsidRPr="003328F7">
        <w:rPr>
          <w:rFonts w:asciiTheme="minorBidi" w:hAnsiTheme="minorBidi"/>
        </w:rPr>
        <w:t xml:space="preserve">There is no evidence that the fourth respondent, or </w:t>
      </w:r>
      <w:r w:rsidR="00CC46A8" w:rsidRPr="003328F7">
        <w:rPr>
          <w:rFonts w:asciiTheme="minorBidi" w:hAnsiTheme="minorBidi"/>
        </w:rPr>
        <w:t>the Trust</w:t>
      </w:r>
      <w:r w:rsidR="00EB66D1" w:rsidRPr="003328F7">
        <w:rPr>
          <w:rFonts w:asciiTheme="minorBidi" w:hAnsiTheme="minorBidi"/>
        </w:rPr>
        <w:t xml:space="preserve"> for that matter, raised any </w:t>
      </w:r>
      <w:r w:rsidR="00CC46A8" w:rsidRPr="003328F7">
        <w:rPr>
          <w:rFonts w:asciiTheme="minorBidi" w:hAnsiTheme="minorBidi"/>
        </w:rPr>
        <w:t>objection</w:t>
      </w:r>
      <w:r w:rsidR="00EB66D1" w:rsidRPr="003328F7">
        <w:rPr>
          <w:rFonts w:asciiTheme="minorBidi" w:hAnsiTheme="minorBidi"/>
        </w:rPr>
        <w:t xml:space="preserve"> to the fact that the new security was not in place when the company became entitled to draw down on the loan amount. </w:t>
      </w:r>
      <w:r w:rsidR="00264A82" w:rsidRPr="003328F7">
        <w:rPr>
          <w:rFonts w:asciiTheme="minorBidi" w:hAnsiTheme="minorBidi"/>
        </w:rPr>
        <w:t xml:space="preserve">In other words, </w:t>
      </w:r>
      <w:r w:rsidR="005C7AE4" w:rsidRPr="003328F7">
        <w:rPr>
          <w:rFonts w:asciiTheme="minorBidi" w:hAnsiTheme="minorBidi"/>
        </w:rPr>
        <w:t xml:space="preserve">it seems to me that </w:t>
      </w:r>
      <w:r w:rsidR="00264A82" w:rsidRPr="003328F7">
        <w:rPr>
          <w:rFonts w:asciiTheme="minorBidi" w:hAnsiTheme="minorBidi"/>
        </w:rPr>
        <w:t>the respondents acquiesced in the loan proceeding without the new security being in place.</w:t>
      </w:r>
    </w:p>
    <w:p w14:paraId="461103D2" w14:textId="77777777" w:rsidR="00742FD9" w:rsidRPr="00742FD9" w:rsidRDefault="00742FD9" w:rsidP="00742FD9">
      <w:pPr>
        <w:pStyle w:val="ListParagraph"/>
        <w:spacing w:line="360" w:lineRule="auto"/>
        <w:rPr>
          <w:rFonts w:asciiTheme="minorBidi" w:hAnsiTheme="minorBidi"/>
          <w:sz w:val="24"/>
          <w:szCs w:val="24"/>
        </w:rPr>
      </w:pPr>
    </w:p>
    <w:p w14:paraId="7BF85351" w14:textId="71B63A4C" w:rsidR="005C7AE4" w:rsidRPr="003328F7" w:rsidRDefault="003328F7" w:rsidP="003328F7">
      <w:pPr>
        <w:tabs>
          <w:tab w:val="left" w:pos="709"/>
          <w:tab w:val="left" w:pos="1418"/>
        </w:tabs>
        <w:spacing w:line="360" w:lineRule="auto"/>
        <w:jc w:val="both"/>
        <w:rPr>
          <w:rFonts w:ascii="Arial" w:hAnsi="Arial" w:cs="Arial"/>
        </w:rPr>
      </w:pPr>
      <w:r w:rsidRPr="005C7AE4">
        <w:rPr>
          <w:rFonts w:ascii="Arial" w:eastAsiaTheme="minorHAnsi" w:hAnsi="Arial" w:cs="Arial"/>
          <w:color w:val="000000" w:themeColor="text1"/>
          <w:lang w:eastAsia="en-US" w:bidi="ar-SA"/>
        </w:rPr>
        <w:t>[26]</w:t>
      </w:r>
      <w:r w:rsidRPr="005C7AE4">
        <w:rPr>
          <w:rFonts w:ascii="Arial" w:eastAsiaTheme="minorHAnsi" w:hAnsi="Arial" w:cs="Arial"/>
          <w:color w:val="000000" w:themeColor="text1"/>
          <w:lang w:eastAsia="en-US" w:bidi="ar-SA"/>
        </w:rPr>
        <w:tab/>
      </w:r>
      <w:r w:rsidR="00264A82" w:rsidRPr="003328F7">
        <w:rPr>
          <w:rFonts w:asciiTheme="minorBidi" w:hAnsiTheme="minorBidi"/>
        </w:rPr>
        <w:t xml:space="preserve"> Acquiescence may be found to exist where a</w:t>
      </w:r>
      <w:r w:rsidR="005C7AE4" w:rsidRPr="003328F7">
        <w:rPr>
          <w:rFonts w:asciiTheme="minorBidi" w:hAnsiTheme="minorBidi"/>
        </w:rPr>
        <w:t>:</w:t>
      </w:r>
      <w:r w:rsidR="005355A7" w:rsidRPr="003328F7">
        <w:rPr>
          <w:rFonts w:ascii="Arial" w:hAnsi="Arial" w:cs="Arial"/>
          <w:color w:val="242121"/>
        </w:rPr>
        <w:t xml:space="preserve"> </w:t>
      </w:r>
    </w:p>
    <w:p w14:paraId="1061A5E3" w14:textId="77777777" w:rsidR="005C7AE4" w:rsidRPr="005C7AE4" w:rsidRDefault="00E5213A" w:rsidP="005C7AE4">
      <w:pPr>
        <w:pStyle w:val="ListParagraph"/>
        <w:tabs>
          <w:tab w:val="left" w:pos="709"/>
          <w:tab w:val="left" w:pos="1418"/>
        </w:tabs>
        <w:spacing w:after="0" w:line="360" w:lineRule="auto"/>
        <w:ind w:left="0"/>
        <w:jc w:val="both"/>
        <w:rPr>
          <w:rFonts w:ascii="Arial" w:hAnsi="Arial" w:cs="Arial"/>
          <w:color w:val="242121"/>
        </w:rPr>
      </w:pPr>
      <w:r w:rsidRPr="005C7AE4">
        <w:rPr>
          <w:rFonts w:ascii="Arial" w:hAnsi="Arial" w:cs="Arial"/>
          <w:color w:val="242121"/>
        </w:rPr>
        <w:t>‘</w:t>
      </w:r>
      <w:r w:rsidR="005355A7" w:rsidRPr="005C7AE4">
        <w:rPr>
          <w:rFonts w:ascii="Arial" w:hAnsi="Arial" w:cs="Arial"/>
          <w:color w:val="242121"/>
        </w:rPr>
        <w:t>person by unequivocal conduct, knowing of his or her rights, inconsistently acts with the intention to the contrary and shows that he acquiesced to a set of facts</w:t>
      </w:r>
      <w:r w:rsidRPr="005C7AE4">
        <w:rPr>
          <w:rFonts w:ascii="Arial" w:hAnsi="Arial" w:cs="Arial"/>
          <w:color w:val="242121"/>
        </w:rPr>
        <w:t>’</w:t>
      </w:r>
      <w:r w:rsidR="005355A7" w:rsidRPr="005C7AE4">
        <w:rPr>
          <w:rFonts w:ascii="Arial" w:hAnsi="Arial" w:cs="Arial"/>
          <w:color w:val="242121"/>
        </w:rPr>
        <w:t>.</w:t>
      </w:r>
      <w:r w:rsidR="00264A82" w:rsidRPr="005C7AE4">
        <w:rPr>
          <w:rStyle w:val="FootnoteReference"/>
          <w:rFonts w:ascii="Arial" w:hAnsi="Arial" w:cs="Arial"/>
          <w:color w:val="242121"/>
        </w:rPr>
        <w:footnoteReference w:id="12"/>
      </w:r>
      <w:r w:rsidR="005355A7" w:rsidRPr="005C7AE4">
        <w:rPr>
          <w:rFonts w:ascii="Arial" w:hAnsi="Arial" w:cs="Arial"/>
          <w:color w:val="242121"/>
        </w:rPr>
        <w:t xml:space="preserve"> </w:t>
      </w:r>
    </w:p>
    <w:p w14:paraId="15CC7C3D" w14:textId="72020CF2" w:rsidR="005B1BE4" w:rsidRDefault="005355A7" w:rsidP="005C7AE4">
      <w:pPr>
        <w:pStyle w:val="ListParagraph"/>
        <w:tabs>
          <w:tab w:val="left" w:pos="709"/>
          <w:tab w:val="left" w:pos="1418"/>
        </w:tabs>
        <w:spacing w:after="0" w:line="360" w:lineRule="auto"/>
        <w:ind w:left="0"/>
        <w:jc w:val="both"/>
        <w:rPr>
          <w:rFonts w:ascii="Arial" w:hAnsi="Arial" w:cs="Arial"/>
          <w:color w:val="242121"/>
          <w:sz w:val="24"/>
          <w:szCs w:val="24"/>
        </w:rPr>
      </w:pPr>
      <w:r w:rsidRPr="00264A82">
        <w:rPr>
          <w:rFonts w:ascii="Arial" w:hAnsi="Arial" w:cs="Arial"/>
          <w:color w:val="242121"/>
          <w:sz w:val="24"/>
          <w:szCs w:val="24"/>
        </w:rPr>
        <w:t xml:space="preserve">If </w:t>
      </w:r>
      <w:r w:rsidR="00BB71B8">
        <w:rPr>
          <w:rFonts w:ascii="Arial" w:hAnsi="Arial" w:cs="Arial"/>
          <w:color w:val="242121"/>
          <w:sz w:val="24"/>
          <w:szCs w:val="24"/>
        </w:rPr>
        <w:t xml:space="preserve">the person concerned has </w:t>
      </w:r>
      <w:r w:rsidRPr="00264A82">
        <w:rPr>
          <w:rFonts w:ascii="Arial" w:hAnsi="Arial" w:cs="Arial"/>
          <w:color w:val="242121"/>
          <w:sz w:val="24"/>
          <w:szCs w:val="24"/>
        </w:rPr>
        <w:t xml:space="preserve">clearly and unconditionally acquiesced in, and abided by, a situation, </w:t>
      </w:r>
      <w:r w:rsidR="003D7239">
        <w:rPr>
          <w:rFonts w:ascii="Arial" w:hAnsi="Arial" w:cs="Arial"/>
          <w:color w:val="242121"/>
          <w:sz w:val="24"/>
          <w:szCs w:val="24"/>
        </w:rPr>
        <w:t>th</w:t>
      </w:r>
      <w:r w:rsidR="00DB454D">
        <w:rPr>
          <w:rFonts w:ascii="Arial" w:hAnsi="Arial" w:cs="Arial"/>
          <w:color w:val="242121"/>
          <w:sz w:val="24"/>
          <w:szCs w:val="24"/>
        </w:rPr>
        <w:t>at person</w:t>
      </w:r>
      <w:r w:rsidRPr="00264A82">
        <w:rPr>
          <w:rFonts w:ascii="Arial" w:hAnsi="Arial" w:cs="Arial"/>
          <w:color w:val="242121"/>
          <w:sz w:val="24"/>
          <w:szCs w:val="24"/>
        </w:rPr>
        <w:t xml:space="preserve"> cannot thereafter challenge </w:t>
      </w:r>
      <w:r w:rsidR="00EB66D1">
        <w:rPr>
          <w:rFonts w:ascii="Arial" w:hAnsi="Arial" w:cs="Arial"/>
          <w:color w:val="242121"/>
          <w:sz w:val="24"/>
          <w:szCs w:val="24"/>
        </w:rPr>
        <w:t>that situation</w:t>
      </w:r>
      <w:r w:rsidRPr="00264A82">
        <w:rPr>
          <w:rFonts w:ascii="Arial" w:hAnsi="Arial" w:cs="Arial"/>
          <w:color w:val="242121"/>
          <w:sz w:val="24"/>
          <w:szCs w:val="24"/>
        </w:rPr>
        <w:t>.</w:t>
      </w:r>
      <w:r w:rsidR="00BB71B8">
        <w:rPr>
          <w:rStyle w:val="FootnoteReference"/>
          <w:rFonts w:ascii="Arial" w:hAnsi="Arial" w:cs="Arial"/>
          <w:color w:val="242121"/>
          <w:sz w:val="24"/>
          <w:szCs w:val="24"/>
        </w:rPr>
        <w:footnoteReference w:id="13"/>
      </w:r>
      <w:r w:rsidRPr="00264A82">
        <w:rPr>
          <w:rFonts w:ascii="Arial" w:hAnsi="Arial" w:cs="Arial"/>
          <w:color w:val="242121"/>
          <w:sz w:val="24"/>
          <w:szCs w:val="24"/>
        </w:rPr>
        <w:t xml:space="preserve"> </w:t>
      </w:r>
      <w:r w:rsidR="00BB71B8" w:rsidRPr="005355A7">
        <w:rPr>
          <w:rFonts w:ascii="Arial" w:hAnsi="Arial" w:cs="Arial"/>
          <w:color w:val="242121"/>
          <w:sz w:val="24"/>
          <w:szCs w:val="24"/>
        </w:rPr>
        <w:t>What is required is conduct leading to a conclusion of an intention not to assail a factual position.</w:t>
      </w:r>
      <w:r w:rsidR="00BB71B8">
        <w:rPr>
          <w:rFonts w:ascii="Arial" w:hAnsi="Arial" w:cs="Arial"/>
          <w:color w:val="242121"/>
          <w:sz w:val="24"/>
          <w:szCs w:val="24"/>
        </w:rPr>
        <w:t xml:space="preserve"> </w:t>
      </w:r>
      <w:r w:rsidR="003D7239">
        <w:rPr>
          <w:rFonts w:ascii="Arial" w:hAnsi="Arial" w:cs="Arial"/>
          <w:color w:val="242121"/>
          <w:sz w:val="24"/>
          <w:szCs w:val="24"/>
        </w:rPr>
        <w:t xml:space="preserve">Both as </w:t>
      </w:r>
      <w:r w:rsidR="00157397">
        <w:rPr>
          <w:rFonts w:ascii="Arial" w:hAnsi="Arial" w:cs="Arial"/>
          <w:color w:val="242121"/>
          <w:sz w:val="24"/>
          <w:szCs w:val="24"/>
        </w:rPr>
        <w:t xml:space="preserve">a </w:t>
      </w:r>
      <w:r w:rsidR="003D7239">
        <w:rPr>
          <w:rFonts w:ascii="Arial" w:hAnsi="Arial" w:cs="Arial"/>
          <w:color w:val="242121"/>
          <w:sz w:val="24"/>
          <w:szCs w:val="24"/>
        </w:rPr>
        <w:t xml:space="preserve">director of the company and as </w:t>
      </w:r>
      <w:r w:rsidR="00157397">
        <w:rPr>
          <w:rFonts w:ascii="Arial" w:hAnsi="Arial" w:cs="Arial"/>
          <w:color w:val="242121"/>
          <w:sz w:val="24"/>
          <w:szCs w:val="24"/>
        </w:rPr>
        <w:t xml:space="preserve">a </w:t>
      </w:r>
      <w:r w:rsidR="003D7239">
        <w:rPr>
          <w:rFonts w:ascii="Arial" w:hAnsi="Arial" w:cs="Arial"/>
          <w:color w:val="242121"/>
          <w:sz w:val="24"/>
          <w:szCs w:val="24"/>
        </w:rPr>
        <w:t xml:space="preserve">trustee of the Trust, the fourth respondent would have known whether the company had passed the notarial bond. He knew that it had not but reconciled himself with that fact. </w:t>
      </w:r>
      <w:r w:rsidR="005C7AE4">
        <w:rPr>
          <w:rFonts w:ascii="Arial" w:hAnsi="Arial" w:cs="Arial"/>
          <w:color w:val="242121"/>
          <w:sz w:val="24"/>
          <w:szCs w:val="24"/>
        </w:rPr>
        <w:t xml:space="preserve">While the respondents have all complained that that the notarial bond was not in place at the time that the loan amount was accessed, no explanation has been provided by at least the fourth respondent why this had not occurred. </w:t>
      </w:r>
      <w:r w:rsidR="00BB71B8">
        <w:rPr>
          <w:rFonts w:ascii="Arial" w:hAnsi="Arial" w:cs="Arial"/>
          <w:color w:val="242121"/>
          <w:sz w:val="24"/>
          <w:szCs w:val="24"/>
        </w:rPr>
        <w:t xml:space="preserve">It appears </w:t>
      </w:r>
      <w:r w:rsidR="005C7AE4">
        <w:rPr>
          <w:rFonts w:ascii="Arial" w:hAnsi="Arial" w:cs="Arial"/>
          <w:color w:val="242121"/>
          <w:sz w:val="24"/>
          <w:szCs w:val="24"/>
        </w:rPr>
        <w:t xml:space="preserve">to me to be </w:t>
      </w:r>
      <w:r w:rsidR="00BB71B8">
        <w:rPr>
          <w:rFonts w:ascii="Arial" w:hAnsi="Arial" w:cs="Arial"/>
          <w:color w:val="242121"/>
          <w:sz w:val="24"/>
          <w:szCs w:val="24"/>
        </w:rPr>
        <w:t>inescapable that the respondents acquiesced in the advancing of the loan amount without the new security being in place. They may thus not challenge the advancing of the loan without such new security being in place.</w:t>
      </w:r>
    </w:p>
    <w:p w14:paraId="60C6E7AE" w14:textId="77777777" w:rsidR="00BE1287" w:rsidRPr="00BB71B8" w:rsidRDefault="00BE1287" w:rsidP="00BE1287">
      <w:pPr>
        <w:pStyle w:val="ListParagraph"/>
        <w:tabs>
          <w:tab w:val="left" w:pos="709"/>
          <w:tab w:val="left" w:pos="1418"/>
        </w:tabs>
        <w:spacing w:after="0" w:line="360" w:lineRule="auto"/>
        <w:ind w:left="0"/>
        <w:jc w:val="both"/>
        <w:rPr>
          <w:rFonts w:ascii="Arial" w:hAnsi="Arial" w:cs="Arial"/>
          <w:sz w:val="24"/>
          <w:szCs w:val="24"/>
          <w:lang w:val="en-ZA"/>
        </w:rPr>
      </w:pPr>
    </w:p>
    <w:p w14:paraId="49B2EEE7" w14:textId="4089101F" w:rsidR="008D3474"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[27]</w:t>
      </w:r>
      <w:r>
        <w:rPr>
          <w:rFonts w:ascii="Arial" w:eastAsiaTheme="minorHAnsi" w:hAnsi="Arial" w:cs="Arial"/>
          <w:color w:val="000000" w:themeColor="text1"/>
          <w:lang w:eastAsia="en-US" w:bidi="ar-SA"/>
        </w:rPr>
        <w:tab/>
      </w:r>
      <w:r w:rsidR="0040746F" w:rsidRPr="003328F7">
        <w:rPr>
          <w:rFonts w:ascii="Arial" w:hAnsi="Arial" w:cs="Arial"/>
        </w:rPr>
        <w:t xml:space="preserve">Considering the </w:t>
      </w:r>
      <w:r w:rsidR="003D7239" w:rsidRPr="003328F7">
        <w:rPr>
          <w:rFonts w:ascii="Arial" w:hAnsi="Arial" w:cs="Arial"/>
        </w:rPr>
        <w:t>next layer of the principal defence, being that the</w:t>
      </w:r>
      <w:r w:rsidR="0040746F" w:rsidRPr="003328F7">
        <w:rPr>
          <w:rFonts w:ascii="Arial" w:hAnsi="Arial" w:cs="Arial"/>
        </w:rPr>
        <w:t xml:space="preserve"> acquisition of the new security </w:t>
      </w:r>
      <w:r w:rsidR="003D7239" w:rsidRPr="003328F7">
        <w:rPr>
          <w:rFonts w:ascii="Arial" w:hAnsi="Arial" w:cs="Arial"/>
        </w:rPr>
        <w:t>was</w:t>
      </w:r>
      <w:r w:rsidR="0040746F" w:rsidRPr="003328F7">
        <w:rPr>
          <w:rFonts w:ascii="Arial" w:hAnsi="Arial" w:cs="Arial"/>
        </w:rPr>
        <w:t xml:space="preserve"> a condition precedent</w:t>
      </w:r>
      <w:r w:rsidR="00B75918" w:rsidRPr="003328F7">
        <w:rPr>
          <w:rFonts w:ascii="Arial" w:hAnsi="Arial" w:cs="Arial"/>
        </w:rPr>
        <w:t xml:space="preserve"> to the conclusion of the </w:t>
      </w:r>
      <w:r w:rsidR="000A0C69" w:rsidRPr="003328F7">
        <w:rPr>
          <w:rFonts w:ascii="Arial" w:hAnsi="Arial" w:cs="Arial"/>
        </w:rPr>
        <w:t xml:space="preserve">loan </w:t>
      </w:r>
      <w:r w:rsidR="00B75918" w:rsidRPr="003328F7">
        <w:rPr>
          <w:rFonts w:ascii="Arial" w:hAnsi="Arial" w:cs="Arial"/>
        </w:rPr>
        <w:t>agreement</w:t>
      </w:r>
      <w:r w:rsidR="0040746F" w:rsidRPr="003328F7">
        <w:rPr>
          <w:rFonts w:ascii="Arial" w:hAnsi="Arial" w:cs="Arial"/>
        </w:rPr>
        <w:t>, t</w:t>
      </w:r>
      <w:r w:rsidR="008D3474" w:rsidRPr="003328F7">
        <w:rPr>
          <w:rFonts w:ascii="Arial" w:hAnsi="Arial" w:cs="Arial"/>
        </w:rPr>
        <w:t xml:space="preserve">he respondents are correct in asserting that there is a schedule to the </w:t>
      </w:r>
      <w:r w:rsidR="000A0C69" w:rsidRPr="003328F7">
        <w:rPr>
          <w:rFonts w:ascii="Arial" w:hAnsi="Arial" w:cs="Arial"/>
        </w:rPr>
        <w:t xml:space="preserve">loan </w:t>
      </w:r>
      <w:r w:rsidR="008D3474" w:rsidRPr="003328F7">
        <w:rPr>
          <w:rFonts w:ascii="Arial" w:hAnsi="Arial" w:cs="Arial"/>
        </w:rPr>
        <w:t>agreement that deals exclusively with conditions precedent</w:t>
      </w:r>
      <w:r w:rsidR="00645E20" w:rsidRPr="003328F7">
        <w:rPr>
          <w:rFonts w:ascii="Arial" w:hAnsi="Arial" w:cs="Arial"/>
        </w:rPr>
        <w:t xml:space="preserve"> (schedule</w:t>
      </w:r>
      <w:r w:rsidR="00EB66D1" w:rsidRPr="003328F7">
        <w:rPr>
          <w:rFonts w:ascii="Arial" w:hAnsi="Arial" w:cs="Arial"/>
        </w:rPr>
        <w:t xml:space="preserve"> 4</w:t>
      </w:r>
      <w:r w:rsidR="00645E20" w:rsidRPr="003328F7">
        <w:rPr>
          <w:rFonts w:ascii="Arial" w:hAnsi="Arial" w:cs="Arial"/>
        </w:rPr>
        <w:t>)</w:t>
      </w:r>
      <w:r w:rsidR="008D3474" w:rsidRPr="003328F7">
        <w:rPr>
          <w:rFonts w:ascii="Arial" w:hAnsi="Arial" w:cs="Arial"/>
        </w:rPr>
        <w:t xml:space="preserve">. The final condition mentioned </w:t>
      </w:r>
      <w:r w:rsidR="0040746F" w:rsidRPr="003328F7">
        <w:rPr>
          <w:rFonts w:ascii="Arial" w:hAnsi="Arial" w:cs="Arial"/>
        </w:rPr>
        <w:t>in schedule</w:t>
      </w:r>
      <w:r w:rsidR="00EB66D1" w:rsidRPr="003328F7">
        <w:rPr>
          <w:rFonts w:ascii="Arial" w:hAnsi="Arial" w:cs="Arial"/>
        </w:rPr>
        <w:t xml:space="preserve"> 4</w:t>
      </w:r>
      <w:r w:rsidR="0040746F" w:rsidRPr="003328F7">
        <w:rPr>
          <w:rFonts w:ascii="Arial" w:hAnsi="Arial" w:cs="Arial"/>
        </w:rPr>
        <w:t xml:space="preserve"> </w:t>
      </w:r>
      <w:r w:rsidR="008D3474" w:rsidRPr="003328F7">
        <w:rPr>
          <w:rFonts w:ascii="Arial" w:hAnsi="Arial" w:cs="Arial"/>
        </w:rPr>
        <w:t>is the following:</w:t>
      </w:r>
    </w:p>
    <w:p w14:paraId="7083F4F3" w14:textId="6091E7B8" w:rsidR="008D3474" w:rsidRDefault="008D3474" w:rsidP="008D3474">
      <w:pPr>
        <w:spacing w:line="360" w:lineRule="auto"/>
        <w:jc w:val="both"/>
        <w:rPr>
          <w:rFonts w:ascii="Arial" w:hAnsi="Arial" w:cs="Arial"/>
          <w:sz w:val="22"/>
          <w:szCs w:val="22"/>
        </w:rPr>
      </w:pPr>
      <w:r w:rsidRPr="008D3474">
        <w:rPr>
          <w:rFonts w:ascii="Arial" w:hAnsi="Arial" w:cs="Arial"/>
          <w:sz w:val="22"/>
          <w:szCs w:val="22"/>
        </w:rPr>
        <w:lastRenderedPageBreak/>
        <w:t>‘Receipt by the Bank of the New Security Required duly executed by the parties thereto together with such.’</w:t>
      </w:r>
    </w:p>
    <w:p w14:paraId="58735E46" w14:textId="77777777" w:rsidR="003D3B34" w:rsidRPr="003D3B34" w:rsidRDefault="003D3B34" w:rsidP="008D3474">
      <w:pPr>
        <w:spacing w:line="360" w:lineRule="auto"/>
        <w:jc w:val="both"/>
        <w:rPr>
          <w:rFonts w:ascii="Arial" w:hAnsi="Arial" w:cs="Arial"/>
        </w:rPr>
      </w:pPr>
    </w:p>
    <w:p w14:paraId="1C1829DA" w14:textId="290A6DC4" w:rsidR="00071419" w:rsidRPr="003328F7" w:rsidRDefault="003328F7" w:rsidP="003328F7">
      <w:pPr>
        <w:tabs>
          <w:tab w:val="left" w:pos="709"/>
          <w:tab w:val="left" w:pos="1418"/>
        </w:tabs>
        <w:spacing w:line="360" w:lineRule="auto"/>
        <w:jc w:val="both"/>
        <w:rPr>
          <w:rFonts w:asciiTheme="minorBidi" w:hAnsiTheme="minorBidi"/>
        </w:rPr>
      </w:pPr>
      <w:r w:rsidRPr="001A4DBA">
        <w:rPr>
          <w:rFonts w:ascii="Arial" w:eastAsiaTheme="minorHAnsi" w:hAnsi="Arial" w:cstheme="minorBidi"/>
          <w:color w:val="000000" w:themeColor="text1"/>
          <w:lang w:eastAsia="en-US" w:bidi="ar-SA"/>
        </w:rPr>
        <w:t>[28]</w:t>
      </w:r>
      <w:r w:rsidRPr="001A4DBA">
        <w:rPr>
          <w:rFonts w:ascii="Arial" w:eastAsiaTheme="minorHAnsi" w:hAnsi="Arial" w:cstheme="minorBidi"/>
          <w:color w:val="000000" w:themeColor="text1"/>
          <w:lang w:eastAsia="en-US" w:bidi="ar-SA"/>
        </w:rPr>
        <w:tab/>
      </w:r>
      <w:r w:rsidR="00B75918" w:rsidRPr="003328F7">
        <w:rPr>
          <w:rFonts w:asciiTheme="minorBidi" w:hAnsiTheme="minorBidi"/>
        </w:rPr>
        <w:t xml:space="preserve">The fact that the parties </w:t>
      </w:r>
      <w:r w:rsidR="00071419" w:rsidRPr="003328F7">
        <w:rPr>
          <w:rFonts w:asciiTheme="minorBidi" w:hAnsiTheme="minorBidi"/>
        </w:rPr>
        <w:t xml:space="preserve">to a contract </w:t>
      </w:r>
      <w:r w:rsidR="00B75918" w:rsidRPr="003328F7">
        <w:rPr>
          <w:rFonts w:asciiTheme="minorBidi" w:hAnsiTheme="minorBidi"/>
        </w:rPr>
        <w:t xml:space="preserve">may describe a provision as a condition precedent does not, of course, make it one. Whether it is a true condition precedent </w:t>
      </w:r>
      <w:r w:rsidR="001771A9" w:rsidRPr="003328F7">
        <w:rPr>
          <w:rFonts w:asciiTheme="minorBidi" w:hAnsiTheme="minorBidi"/>
        </w:rPr>
        <w:t>must be determined by the language employed by the parties</w:t>
      </w:r>
      <w:r w:rsidR="00E278C5" w:rsidRPr="003328F7">
        <w:rPr>
          <w:rFonts w:asciiTheme="minorBidi" w:hAnsiTheme="minorBidi"/>
        </w:rPr>
        <w:t xml:space="preserve"> in writing their contract</w:t>
      </w:r>
      <w:r w:rsidR="001771A9" w:rsidRPr="003328F7">
        <w:rPr>
          <w:rFonts w:asciiTheme="minorBidi" w:hAnsiTheme="minorBidi"/>
        </w:rPr>
        <w:t>.</w:t>
      </w:r>
      <w:r w:rsidR="00061439" w:rsidRPr="003328F7">
        <w:rPr>
          <w:rFonts w:asciiTheme="minorBidi" w:hAnsiTheme="minorBidi"/>
        </w:rPr>
        <w:t xml:space="preserve"> </w:t>
      </w:r>
      <w:r w:rsidR="00071419" w:rsidRPr="003328F7">
        <w:rPr>
          <w:rFonts w:asciiTheme="minorBidi" w:hAnsiTheme="minorBidi"/>
          <w:color w:val="000000"/>
        </w:rPr>
        <w:t>In</w:t>
      </w:r>
      <w:r w:rsidR="00071419" w:rsidRPr="003328F7">
        <w:rPr>
          <w:rStyle w:val="apple-converted-space"/>
          <w:rFonts w:asciiTheme="minorBidi" w:hAnsiTheme="minorBidi"/>
          <w:color w:val="000000"/>
        </w:rPr>
        <w:t> </w:t>
      </w:r>
      <w:r w:rsidR="00071419" w:rsidRPr="003328F7">
        <w:rPr>
          <w:rFonts w:asciiTheme="minorBidi" w:hAnsiTheme="minorBidi"/>
          <w:i/>
          <w:iCs/>
          <w:color w:val="000000"/>
        </w:rPr>
        <w:t xml:space="preserve">Capitec Bank Holdings </w:t>
      </w:r>
      <w:r w:rsidR="008C7B66" w:rsidRPr="003328F7">
        <w:rPr>
          <w:rFonts w:asciiTheme="minorBidi" w:hAnsiTheme="minorBidi"/>
          <w:i/>
          <w:iCs/>
          <w:color w:val="000000"/>
        </w:rPr>
        <w:t xml:space="preserve">Ltd </w:t>
      </w:r>
      <w:r w:rsidR="00071419" w:rsidRPr="003328F7">
        <w:rPr>
          <w:rFonts w:asciiTheme="minorBidi" w:hAnsiTheme="minorBidi"/>
          <w:i/>
          <w:iCs/>
          <w:color w:val="000000"/>
        </w:rPr>
        <w:t xml:space="preserve">and </w:t>
      </w:r>
      <w:r w:rsidR="005B69E1" w:rsidRPr="003328F7">
        <w:rPr>
          <w:rFonts w:asciiTheme="minorBidi" w:hAnsiTheme="minorBidi"/>
          <w:i/>
          <w:iCs/>
          <w:color w:val="000000"/>
        </w:rPr>
        <w:t xml:space="preserve">another </w:t>
      </w:r>
      <w:r w:rsidR="00071419" w:rsidRPr="003328F7">
        <w:rPr>
          <w:rFonts w:asciiTheme="minorBidi" w:hAnsiTheme="minorBidi"/>
          <w:i/>
          <w:iCs/>
          <w:color w:val="000000"/>
        </w:rPr>
        <w:t xml:space="preserve">v Coral Lagoon Investments 194 (Pty) Ltd and </w:t>
      </w:r>
      <w:r w:rsidR="008C7B66" w:rsidRPr="003328F7">
        <w:rPr>
          <w:rFonts w:asciiTheme="minorBidi" w:hAnsiTheme="minorBidi"/>
          <w:i/>
          <w:iCs/>
          <w:color w:val="000000"/>
        </w:rPr>
        <w:t>others</w:t>
      </w:r>
      <w:r w:rsidR="00071419" w:rsidRPr="00B713D0">
        <w:rPr>
          <w:rStyle w:val="FootnoteReference"/>
          <w:rFonts w:asciiTheme="minorBidi" w:hAnsiTheme="minorBidi"/>
          <w:color w:val="000000"/>
        </w:rPr>
        <w:footnoteReference w:id="14"/>
      </w:r>
      <w:r w:rsidR="00071419" w:rsidRPr="003328F7">
        <w:rPr>
          <w:rFonts w:asciiTheme="minorBidi" w:hAnsiTheme="minorBidi"/>
          <w:i/>
          <w:iCs/>
          <w:color w:val="000000"/>
        </w:rPr>
        <w:t xml:space="preserve"> </w:t>
      </w:r>
      <w:r w:rsidR="00071419" w:rsidRPr="003328F7">
        <w:rPr>
          <w:rFonts w:asciiTheme="minorBidi" w:hAnsiTheme="minorBidi"/>
          <w:color w:val="000000"/>
        </w:rPr>
        <w:t>the court stated that:</w:t>
      </w:r>
    </w:p>
    <w:p w14:paraId="660A4398" w14:textId="77777777" w:rsidR="007A2FB8" w:rsidRPr="007A2FB8" w:rsidRDefault="00071419" w:rsidP="007A2FB8">
      <w:pPr>
        <w:pStyle w:val="NormalWeb"/>
        <w:spacing w:before="0" w:beforeAutospacing="0" w:after="0" w:afterAutospacing="0" w:line="360" w:lineRule="auto"/>
        <w:contextualSpacing/>
        <w:jc w:val="both"/>
        <w:rPr>
          <w:rFonts w:asciiTheme="minorBidi" w:hAnsiTheme="minorBidi" w:cstheme="minorBidi"/>
          <w:color w:val="000000"/>
          <w:sz w:val="22"/>
          <w:szCs w:val="22"/>
          <w:lang w:val="en-US"/>
        </w:rPr>
      </w:pPr>
      <w:r w:rsidRPr="00071419">
        <w:rPr>
          <w:rFonts w:asciiTheme="minorBidi" w:hAnsiTheme="minorBidi" w:cstheme="minorBidi"/>
          <w:color w:val="000000"/>
          <w:sz w:val="22"/>
          <w:szCs w:val="22"/>
        </w:rPr>
        <w:t>‘</w:t>
      </w:r>
      <w:r w:rsidR="007A2FB8" w:rsidRPr="007A2FB8">
        <w:rPr>
          <w:rFonts w:asciiTheme="minorBidi" w:hAnsiTheme="minorBidi" w:cstheme="minorBidi"/>
          <w:color w:val="000000"/>
          <w:sz w:val="22"/>
          <w:szCs w:val="22"/>
          <w:lang w:val="en-US"/>
        </w:rPr>
        <w:t>[50] . . . the meaning of a contested term of a contract . . . is properly understood not simply by selecting standard definitions of particular words, often taken from dictionaries, but also by understanding the words and sentences that comprise the contested term as they fit into the larger structure of the agreement, its context and purpose. Meaning is ultimately the most compelling and coherent account the interpreter can provide, making use of these sources of interpretation. It is not a partial selection of interpretational materials directed at a predetermined result.</w:t>
      </w:r>
    </w:p>
    <w:p w14:paraId="32D00F49" w14:textId="77777777" w:rsidR="00071419" w:rsidRDefault="007A2FB8" w:rsidP="007A2FB8">
      <w:pPr>
        <w:pStyle w:val="NormalWeb"/>
        <w:spacing w:before="0" w:beforeAutospacing="0" w:after="0" w:afterAutospacing="0" w:line="360" w:lineRule="auto"/>
        <w:contextualSpacing/>
        <w:jc w:val="both"/>
        <w:rPr>
          <w:rFonts w:asciiTheme="minorBidi" w:hAnsiTheme="minorBidi" w:cstheme="minorBidi"/>
          <w:color w:val="000000"/>
          <w:sz w:val="22"/>
          <w:szCs w:val="22"/>
        </w:rPr>
      </w:pPr>
      <w:r w:rsidRPr="007A2FB8">
        <w:rPr>
          <w:rFonts w:asciiTheme="minorBidi" w:hAnsiTheme="minorBidi" w:cstheme="minorBidi"/>
          <w:color w:val="000000"/>
          <w:sz w:val="22"/>
          <w:szCs w:val="22"/>
          <w:lang w:val="en-US"/>
        </w:rPr>
        <w:t>[51] Most contracts, and particularly commercial contracts, are constructed with a design in mind, and their architects choose words and concepts to give effect to that design. For this reason, interpretation begins with the text and its structure. They have a gravitational pull that is important. The proposition that context is everything is not a licence to contend for meanings unmoored in the text and its structure. Rather, context and purpose may be used to elucidate the text.</w:t>
      </w:r>
      <w:r w:rsidR="00071419" w:rsidRPr="00071419">
        <w:rPr>
          <w:rFonts w:asciiTheme="minorBidi" w:hAnsiTheme="minorBidi" w:cstheme="minorBidi"/>
          <w:color w:val="000000"/>
          <w:sz w:val="22"/>
          <w:szCs w:val="22"/>
        </w:rPr>
        <w:t>’</w:t>
      </w:r>
    </w:p>
    <w:p w14:paraId="72E74107" w14:textId="77777777" w:rsidR="00327307" w:rsidRPr="00327307" w:rsidRDefault="00327307" w:rsidP="007A2FB8">
      <w:pPr>
        <w:pStyle w:val="NormalWeb"/>
        <w:spacing w:before="0" w:beforeAutospacing="0" w:after="0" w:afterAutospacing="0" w:line="360" w:lineRule="auto"/>
        <w:contextualSpacing/>
        <w:jc w:val="both"/>
        <w:rPr>
          <w:rFonts w:asciiTheme="minorBidi" w:hAnsiTheme="minorBidi" w:cstheme="minorBidi"/>
          <w:color w:val="000000"/>
        </w:rPr>
      </w:pPr>
    </w:p>
    <w:p w14:paraId="2CB69DC2" w14:textId="636ABA4B" w:rsidR="00C507EB" w:rsidRPr="003328F7" w:rsidRDefault="003328F7" w:rsidP="003328F7">
      <w:pPr>
        <w:tabs>
          <w:tab w:val="left" w:pos="709"/>
          <w:tab w:val="left" w:pos="1418"/>
        </w:tabs>
        <w:spacing w:line="360" w:lineRule="auto"/>
        <w:jc w:val="both"/>
        <w:rPr>
          <w:rFonts w:ascii="Arial" w:hAnsi="Arial" w:cs="Arial"/>
        </w:rPr>
      </w:pPr>
      <w:r w:rsidRPr="00C507EB">
        <w:rPr>
          <w:rFonts w:ascii="Arial" w:eastAsiaTheme="minorHAnsi" w:hAnsi="Arial" w:cs="Arial"/>
          <w:color w:val="000000" w:themeColor="text1"/>
          <w:lang w:eastAsia="en-US" w:bidi="ar-SA"/>
        </w:rPr>
        <w:t>[29]</w:t>
      </w:r>
      <w:r w:rsidRPr="00C507EB">
        <w:rPr>
          <w:rFonts w:ascii="Arial" w:eastAsiaTheme="minorHAnsi" w:hAnsi="Arial" w:cs="Arial"/>
          <w:color w:val="000000" w:themeColor="text1"/>
          <w:lang w:eastAsia="en-US" w:bidi="ar-SA"/>
        </w:rPr>
        <w:tab/>
      </w:r>
      <w:r w:rsidR="006B680F" w:rsidRPr="003328F7">
        <w:rPr>
          <w:rFonts w:asciiTheme="minorBidi" w:hAnsiTheme="minorBidi"/>
        </w:rPr>
        <w:t>A true condition precedent</w:t>
      </w:r>
      <w:r w:rsidR="00C507EB" w:rsidRPr="003328F7">
        <w:rPr>
          <w:rFonts w:asciiTheme="minorBidi" w:hAnsiTheme="minorBidi"/>
        </w:rPr>
        <w:t xml:space="preserve">, or suspensive condition, </w:t>
      </w:r>
      <w:r w:rsidR="006B680F" w:rsidRPr="003328F7">
        <w:rPr>
          <w:rFonts w:asciiTheme="minorBidi" w:hAnsiTheme="minorBidi"/>
        </w:rPr>
        <w:t>suspends the operation of all or some of the obligations flowing from a contract until the occurrence of a future uncertain event.</w:t>
      </w:r>
      <w:r w:rsidR="006B680F" w:rsidRPr="003328F7">
        <w:rPr>
          <w:rFonts w:ascii="Times" w:hAnsi="Times" w:cs="Times"/>
          <w:i/>
          <w:iCs/>
        </w:rPr>
        <w:t xml:space="preserve"> </w:t>
      </w:r>
      <w:r w:rsidR="00C507EB" w:rsidRPr="003328F7">
        <w:rPr>
          <w:rFonts w:ascii="Arial" w:hAnsi="Arial" w:cs="Arial"/>
          <w:iCs/>
        </w:rPr>
        <w:t xml:space="preserve">Whether a condition precedent is a true condition precedent or is merely a term of an agreement may </w:t>
      </w:r>
      <w:r w:rsidR="00042BB7" w:rsidRPr="003328F7">
        <w:rPr>
          <w:rFonts w:ascii="Arial" w:hAnsi="Arial" w:cs="Arial"/>
          <w:iCs/>
        </w:rPr>
        <w:t xml:space="preserve">often </w:t>
      </w:r>
      <w:r w:rsidR="00C507EB" w:rsidRPr="003328F7">
        <w:rPr>
          <w:rFonts w:ascii="Arial" w:hAnsi="Arial" w:cs="Arial"/>
          <w:iCs/>
        </w:rPr>
        <w:t xml:space="preserve">be difficult to determine. </w:t>
      </w:r>
      <w:r w:rsidR="00CF1F37" w:rsidRPr="003328F7">
        <w:rPr>
          <w:rFonts w:ascii="Arial" w:hAnsi="Arial" w:cs="Arial"/>
          <w:iCs/>
        </w:rPr>
        <w:t xml:space="preserve">It may require an interpretation of the contractual provision. Why this should be the case was explained in </w:t>
      </w:r>
      <w:r w:rsidR="00C507EB" w:rsidRPr="003328F7">
        <w:rPr>
          <w:rFonts w:ascii="Arial" w:hAnsi="Arial" w:cs="Arial"/>
          <w:i/>
          <w:iCs/>
        </w:rPr>
        <w:t>R v Katz</w:t>
      </w:r>
      <w:r w:rsidR="00CF1F37" w:rsidRPr="003328F7">
        <w:rPr>
          <w:rFonts w:ascii="Arial" w:hAnsi="Arial" w:cs="Arial"/>
          <w:iCs/>
        </w:rPr>
        <w:t>:</w:t>
      </w:r>
    </w:p>
    <w:p w14:paraId="74CEEAD3" w14:textId="77777777" w:rsidR="00C507EB" w:rsidRDefault="00C507EB" w:rsidP="007A2FB8">
      <w:pPr>
        <w:pStyle w:val="ListParagraph"/>
        <w:tabs>
          <w:tab w:val="left" w:pos="1418"/>
        </w:tabs>
        <w:spacing w:line="360" w:lineRule="auto"/>
        <w:ind w:left="0"/>
        <w:jc w:val="both"/>
        <w:rPr>
          <w:rFonts w:asciiTheme="minorBidi" w:hAnsiTheme="minorBidi"/>
        </w:rPr>
      </w:pPr>
      <w:r w:rsidRPr="00CF1F37">
        <w:rPr>
          <w:rFonts w:asciiTheme="minorBidi" w:hAnsiTheme="minorBidi"/>
        </w:rPr>
        <w:t>‘</w:t>
      </w:r>
      <w:r w:rsidR="007A2FB8" w:rsidRPr="007A2FB8">
        <w:rPr>
          <w:rFonts w:asciiTheme="minorBidi" w:hAnsiTheme="minorBidi"/>
          <w:lang w:val="en-US"/>
        </w:rPr>
        <w:t>The word “condition” in relation to a contract, is sometimes used in a wide sense as meaning a provision of the contract, i.e. an accepted stipulation, as for example in the phrase “conditions of sale”. In this sense the word includes ordinary arrangements as to time and manner of delivery and of payment of the purchase price, etc - in other words the so called </w:t>
      </w:r>
      <w:r w:rsidR="007A2FB8" w:rsidRPr="007A2FB8">
        <w:rPr>
          <w:rFonts w:asciiTheme="minorBidi" w:hAnsiTheme="minorBidi"/>
          <w:i/>
          <w:iCs/>
          <w:lang w:val="en-US"/>
        </w:rPr>
        <w:t>accidentalia</w:t>
      </w:r>
      <w:r w:rsidR="007A2FB8" w:rsidRPr="007A2FB8">
        <w:rPr>
          <w:rFonts w:asciiTheme="minorBidi" w:hAnsiTheme="minorBidi"/>
          <w:lang w:val="en-US"/>
        </w:rPr>
        <w:t xml:space="preserve"> of the contract. In the sense of a true suspensive or resolutive condition, </w:t>
      </w:r>
      <w:r w:rsidR="007A2FB8" w:rsidRPr="007A2FB8">
        <w:rPr>
          <w:rFonts w:asciiTheme="minorBidi" w:hAnsiTheme="minorBidi"/>
          <w:lang w:val="en-US"/>
        </w:rPr>
        <w:lastRenderedPageBreak/>
        <w:t>however, the word has a much more limited meaning, viz. of a qualification which renders the operation and consequences of the whole contract dependent upon an uncertain future event . . . Where the qualification defers the operation of the contract, the condition is suspensive, and where it provides for dissolution of the contract after interim operation, the condition is resolutive . . . In the case of true conditions the parties by specific agreement introduce contingency as to the existence or otherwise of the contract, whereas provisions which are not true conditions bind the parties as to their fulfilment and on breach give rise to ordinary contractual remedies of a compensatory nature, i.e. (depending on the circumstances) specific performance, damages, cancellation or certain combinations of these.</w:t>
      </w:r>
      <w:r w:rsidR="00F77527" w:rsidRPr="00CF1F37">
        <w:rPr>
          <w:rFonts w:asciiTheme="minorBidi" w:hAnsiTheme="minorBidi"/>
        </w:rPr>
        <w:t>’</w:t>
      </w:r>
      <w:r w:rsidR="007A2FB8" w:rsidRPr="007A2FB8">
        <w:rPr>
          <w:rStyle w:val="FootnoteReference"/>
          <w:rFonts w:ascii="Arial" w:hAnsi="Arial" w:cs="Arial"/>
          <w:iCs/>
          <w:szCs w:val="24"/>
        </w:rPr>
        <w:footnoteReference w:id="15"/>
      </w:r>
    </w:p>
    <w:p w14:paraId="41138834" w14:textId="77777777" w:rsidR="00CF1F37" w:rsidRPr="00CF1F37" w:rsidRDefault="00CF1F37" w:rsidP="00C507EB">
      <w:pPr>
        <w:pStyle w:val="ListParagraph"/>
        <w:tabs>
          <w:tab w:val="left" w:pos="709"/>
          <w:tab w:val="left" w:pos="1418"/>
        </w:tabs>
        <w:spacing w:after="0" w:line="360" w:lineRule="auto"/>
        <w:ind w:left="0"/>
        <w:jc w:val="both"/>
        <w:rPr>
          <w:rFonts w:ascii="Arial" w:hAnsi="Arial" w:cs="Arial"/>
          <w:lang w:val="en-ZA"/>
        </w:rPr>
      </w:pPr>
    </w:p>
    <w:p w14:paraId="40620444" w14:textId="7184F67D" w:rsidR="005712D7"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[30]</w:t>
      </w:r>
      <w:r>
        <w:rPr>
          <w:rFonts w:ascii="Arial" w:eastAsiaTheme="minorHAnsi" w:hAnsi="Arial" w:cs="Arial"/>
          <w:color w:val="000000" w:themeColor="text1"/>
          <w:lang w:eastAsia="en-US" w:bidi="ar-SA"/>
        </w:rPr>
        <w:tab/>
      </w:r>
      <w:r w:rsidR="005712D7" w:rsidRPr="003328F7">
        <w:rPr>
          <w:rFonts w:ascii="Arial" w:hAnsi="Arial" w:cs="Arial"/>
        </w:rPr>
        <w:t>A consideration of schedule 4 reveals it</w:t>
      </w:r>
      <w:r w:rsidR="00E30424" w:rsidRPr="003328F7">
        <w:rPr>
          <w:rFonts w:ascii="Arial" w:hAnsi="Arial" w:cs="Arial"/>
        </w:rPr>
        <w:t>, in essence,</w:t>
      </w:r>
      <w:r w:rsidR="005712D7" w:rsidRPr="003328F7">
        <w:rPr>
          <w:rFonts w:ascii="Arial" w:hAnsi="Arial" w:cs="Arial"/>
        </w:rPr>
        <w:t xml:space="preserve"> to</w:t>
      </w:r>
      <w:r w:rsidR="00E30424" w:rsidRPr="003328F7">
        <w:rPr>
          <w:rFonts w:ascii="Arial" w:hAnsi="Arial" w:cs="Arial"/>
        </w:rPr>
        <w:t xml:space="preserve"> simply</w:t>
      </w:r>
      <w:r w:rsidR="005712D7" w:rsidRPr="003328F7">
        <w:rPr>
          <w:rFonts w:ascii="Arial" w:hAnsi="Arial" w:cs="Arial"/>
        </w:rPr>
        <w:t xml:space="preserve"> be a list</w:t>
      </w:r>
      <w:r w:rsidR="0085248C" w:rsidRPr="003328F7">
        <w:rPr>
          <w:rFonts w:ascii="Arial" w:hAnsi="Arial" w:cs="Arial"/>
        </w:rPr>
        <w:t xml:space="preserve"> of documents that the company required to be given by either the company or the other signatories to the loan agreement. The list does not appear to be </w:t>
      </w:r>
      <w:r w:rsidR="0067373E" w:rsidRPr="003328F7">
        <w:rPr>
          <w:rFonts w:ascii="Arial" w:hAnsi="Arial" w:cs="Arial"/>
        </w:rPr>
        <w:t xml:space="preserve">entirely </w:t>
      </w:r>
      <w:r w:rsidR="0085248C" w:rsidRPr="003328F7">
        <w:rPr>
          <w:rFonts w:ascii="Arial" w:hAnsi="Arial" w:cs="Arial"/>
        </w:rPr>
        <w:t xml:space="preserve">specific to this particular transaction. For example, it requires </w:t>
      </w:r>
      <w:r w:rsidR="00E30424" w:rsidRPr="003328F7">
        <w:rPr>
          <w:rFonts w:ascii="Arial" w:hAnsi="Arial" w:cs="Arial"/>
        </w:rPr>
        <w:t xml:space="preserve">any party to the loan agreement that is incorporated outside South Africa to provide a legal opinion on the entitlement of the party to conclude what is described as ‘the Finance Documents.’ None of the parties to the agreement were so incorporated. </w:t>
      </w:r>
      <w:r w:rsidR="001B3A32" w:rsidRPr="003328F7">
        <w:rPr>
          <w:rFonts w:ascii="Arial" w:hAnsi="Arial" w:cs="Arial"/>
        </w:rPr>
        <w:t>Some of the stipulations are vaguely worded. For example:</w:t>
      </w:r>
    </w:p>
    <w:p w14:paraId="521B58C5" w14:textId="30692A7F" w:rsidR="001B3A32" w:rsidRPr="001B3A32" w:rsidRDefault="001B3A32" w:rsidP="001B3A32">
      <w:pPr>
        <w:pStyle w:val="ListParagraph"/>
        <w:tabs>
          <w:tab w:val="left" w:pos="709"/>
          <w:tab w:val="left" w:pos="1418"/>
        </w:tabs>
        <w:spacing w:after="0" w:line="360" w:lineRule="auto"/>
        <w:ind w:left="0"/>
        <w:jc w:val="both"/>
        <w:rPr>
          <w:rFonts w:ascii="Arial" w:hAnsi="Arial" w:cs="Arial"/>
          <w:lang w:val="en-ZA"/>
        </w:rPr>
      </w:pPr>
      <w:r w:rsidRPr="001B3A32">
        <w:rPr>
          <w:rFonts w:ascii="Arial" w:hAnsi="Arial" w:cs="Arial"/>
          <w:lang w:val="en-ZA"/>
        </w:rPr>
        <w:t>‘Receipt by the Bank of such documentation and evidence as is required by the Bank in order for it to carry out and be satisfied it has complied with all necessary ‘know your customer’ or similar identification procedures under applicable laws rules and regulations…’</w:t>
      </w:r>
    </w:p>
    <w:p w14:paraId="040833FB" w14:textId="77777777" w:rsidR="00E30424" w:rsidRPr="005712D7" w:rsidRDefault="00E30424" w:rsidP="001B3A32">
      <w:pPr>
        <w:pStyle w:val="ListParagraph"/>
        <w:tabs>
          <w:tab w:val="left" w:pos="709"/>
          <w:tab w:val="left" w:pos="1418"/>
        </w:tabs>
        <w:spacing w:after="0" w:line="360" w:lineRule="auto"/>
        <w:ind w:left="0"/>
        <w:jc w:val="both"/>
        <w:rPr>
          <w:rFonts w:ascii="Arial" w:hAnsi="Arial" w:cs="Arial"/>
          <w:sz w:val="24"/>
          <w:szCs w:val="24"/>
          <w:lang w:val="en-ZA"/>
        </w:rPr>
      </w:pPr>
    </w:p>
    <w:p w14:paraId="3AA341D3" w14:textId="77DBA071" w:rsidR="00F55A9F" w:rsidRPr="003328F7" w:rsidRDefault="003328F7" w:rsidP="003328F7">
      <w:pPr>
        <w:tabs>
          <w:tab w:val="left" w:pos="709"/>
          <w:tab w:val="left" w:pos="1418"/>
        </w:tabs>
        <w:spacing w:line="360" w:lineRule="auto"/>
        <w:jc w:val="both"/>
        <w:rPr>
          <w:rFonts w:ascii="Arial" w:hAnsi="Arial" w:cs="Arial"/>
        </w:rPr>
      </w:pPr>
      <w:r w:rsidRPr="00F55A9F">
        <w:rPr>
          <w:rFonts w:ascii="Arial" w:eastAsiaTheme="minorHAnsi" w:hAnsi="Arial" w:cs="Arial"/>
          <w:color w:val="000000" w:themeColor="text1"/>
          <w:lang w:eastAsia="en-US" w:bidi="ar-SA"/>
        </w:rPr>
        <w:t>[31]</w:t>
      </w:r>
      <w:r w:rsidRPr="00F55A9F">
        <w:rPr>
          <w:rFonts w:ascii="Arial" w:eastAsiaTheme="minorHAnsi" w:hAnsi="Arial" w:cs="Arial"/>
          <w:color w:val="000000" w:themeColor="text1"/>
          <w:lang w:eastAsia="en-US" w:bidi="ar-SA"/>
        </w:rPr>
        <w:tab/>
      </w:r>
      <w:r w:rsidR="00645E20" w:rsidRPr="003328F7">
        <w:rPr>
          <w:rFonts w:ascii="Arial" w:hAnsi="Arial" w:cs="Arial"/>
        </w:rPr>
        <w:t xml:space="preserve">The </w:t>
      </w:r>
      <w:r w:rsidR="000A0C69" w:rsidRPr="003328F7">
        <w:rPr>
          <w:rFonts w:ascii="Arial" w:hAnsi="Arial" w:cs="Arial"/>
        </w:rPr>
        <w:t xml:space="preserve">loan </w:t>
      </w:r>
      <w:r w:rsidR="00645E20" w:rsidRPr="003328F7">
        <w:rPr>
          <w:rFonts w:ascii="Arial" w:hAnsi="Arial" w:cs="Arial"/>
        </w:rPr>
        <w:t xml:space="preserve">agreement records that </w:t>
      </w:r>
      <w:r w:rsidR="00E17239" w:rsidRPr="003328F7">
        <w:rPr>
          <w:rFonts w:ascii="Arial" w:hAnsi="Arial" w:cs="Arial"/>
        </w:rPr>
        <w:t xml:space="preserve">the loan facility would be available for draw down by the company in a single amount and that any part of the facility not taken up on the draw down </w:t>
      </w:r>
      <w:r w:rsidR="00042BB7" w:rsidRPr="003328F7">
        <w:rPr>
          <w:rFonts w:ascii="Arial" w:hAnsi="Arial" w:cs="Arial"/>
        </w:rPr>
        <w:t xml:space="preserve">date </w:t>
      </w:r>
      <w:r w:rsidR="00E17239" w:rsidRPr="003328F7">
        <w:rPr>
          <w:rFonts w:ascii="Arial" w:hAnsi="Arial" w:cs="Arial"/>
        </w:rPr>
        <w:t>would lapse</w:t>
      </w:r>
      <w:r w:rsidR="000A0C69" w:rsidRPr="003328F7">
        <w:rPr>
          <w:rFonts w:ascii="Arial" w:hAnsi="Arial" w:cs="Arial"/>
        </w:rPr>
        <w:t xml:space="preserve"> and would not thereafter be capable of being accessed by the company</w:t>
      </w:r>
      <w:r w:rsidR="00E17239" w:rsidRPr="003328F7">
        <w:rPr>
          <w:rFonts w:ascii="Arial" w:hAnsi="Arial" w:cs="Arial"/>
        </w:rPr>
        <w:t xml:space="preserve">. It was further anticipated, following the wording of the </w:t>
      </w:r>
      <w:r w:rsidR="000A0C69" w:rsidRPr="003328F7">
        <w:rPr>
          <w:rFonts w:ascii="Arial" w:hAnsi="Arial" w:cs="Arial"/>
        </w:rPr>
        <w:t xml:space="preserve">loan </w:t>
      </w:r>
      <w:r w:rsidR="00E17239" w:rsidRPr="003328F7">
        <w:rPr>
          <w:rFonts w:ascii="Arial" w:hAnsi="Arial" w:cs="Arial"/>
        </w:rPr>
        <w:t xml:space="preserve">agreement, that the first instalment date </w:t>
      </w:r>
      <w:r w:rsidR="00F55A9F" w:rsidRPr="003328F7">
        <w:rPr>
          <w:rFonts w:ascii="Arial" w:hAnsi="Arial" w:cs="Arial"/>
        </w:rPr>
        <w:t>would be:</w:t>
      </w:r>
    </w:p>
    <w:p w14:paraId="34783C90" w14:textId="77777777" w:rsidR="00F55A9F" w:rsidRDefault="00F55A9F" w:rsidP="00F55A9F">
      <w:pPr>
        <w:pStyle w:val="ListParagraph"/>
        <w:tabs>
          <w:tab w:val="left" w:pos="709"/>
          <w:tab w:val="left" w:pos="1418"/>
        </w:tabs>
        <w:spacing w:after="0" w:line="360" w:lineRule="auto"/>
        <w:ind w:left="0"/>
        <w:jc w:val="both"/>
        <w:rPr>
          <w:rFonts w:ascii="Arial" w:hAnsi="Arial" w:cs="Arial"/>
          <w:lang w:val="en-ZA"/>
        </w:rPr>
      </w:pPr>
      <w:r w:rsidRPr="00F55A9F">
        <w:rPr>
          <w:rFonts w:ascii="Arial" w:hAnsi="Arial" w:cs="Arial"/>
        </w:rPr>
        <w:t>‘The 1</w:t>
      </w:r>
      <w:r w:rsidRPr="00F55A9F">
        <w:rPr>
          <w:rFonts w:ascii="Arial" w:hAnsi="Arial" w:cs="Arial"/>
          <w:vertAlign w:val="superscript"/>
        </w:rPr>
        <w:t>st</w:t>
      </w:r>
      <w:r w:rsidRPr="00F55A9F">
        <w:rPr>
          <w:rFonts w:ascii="Arial" w:hAnsi="Arial" w:cs="Arial"/>
        </w:rPr>
        <w:t xml:space="preserve"> Friday of the 1</w:t>
      </w:r>
      <w:r w:rsidRPr="00F55A9F">
        <w:rPr>
          <w:rFonts w:ascii="Arial" w:hAnsi="Arial" w:cs="Arial"/>
          <w:vertAlign w:val="superscript"/>
        </w:rPr>
        <w:t>st</w:t>
      </w:r>
      <w:r w:rsidRPr="00F55A9F">
        <w:rPr>
          <w:rFonts w:ascii="Arial" w:hAnsi="Arial" w:cs="Arial"/>
        </w:rPr>
        <w:t xml:space="preserve"> calendar month post the date of draw down which shall not be earlier than 02 November 2018.’ </w:t>
      </w:r>
    </w:p>
    <w:p w14:paraId="79489ED3" w14:textId="77777777" w:rsidR="00F55A9F" w:rsidRDefault="00F55A9F" w:rsidP="00F55A9F">
      <w:pPr>
        <w:pStyle w:val="ListParagraph"/>
        <w:tabs>
          <w:tab w:val="left" w:pos="709"/>
          <w:tab w:val="left" w:pos="1418"/>
        </w:tabs>
        <w:spacing w:after="0" w:line="360" w:lineRule="auto"/>
        <w:ind w:left="0"/>
        <w:jc w:val="both"/>
        <w:rPr>
          <w:rFonts w:ascii="Arial" w:hAnsi="Arial" w:cs="Arial"/>
          <w:sz w:val="24"/>
          <w:szCs w:val="24"/>
        </w:rPr>
      </w:pPr>
    </w:p>
    <w:p w14:paraId="255D0DEE" w14:textId="37AADA2B" w:rsidR="00604E31" w:rsidRPr="003328F7" w:rsidRDefault="003328F7" w:rsidP="003328F7">
      <w:pPr>
        <w:tabs>
          <w:tab w:val="left" w:pos="709"/>
          <w:tab w:val="left" w:pos="1418"/>
        </w:tabs>
        <w:spacing w:line="360" w:lineRule="auto"/>
        <w:jc w:val="both"/>
        <w:rPr>
          <w:rFonts w:ascii="Arial" w:hAnsi="Arial" w:cs="Arial"/>
        </w:rPr>
      </w:pPr>
      <w:r w:rsidRPr="00F55A9F">
        <w:rPr>
          <w:rFonts w:ascii="Arial" w:eastAsiaTheme="minorHAnsi" w:hAnsi="Arial" w:cs="Arial"/>
          <w:color w:val="000000" w:themeColor="text1"/>
          <w:lang w:eastAsia="en-US" w:bidi="ar-SA"/>
        </w:rPr>
        <w:t>[32]</w:t>
      </w:r>
      <w:r w:rsidRPr="00F55A9F">
        <w:rPr>
          <w:rFonts w:ascii="Arial" w:eastAsiaTheme="minorHAnsi" w:hAnsi="Arial" w:cs="Arial"/>
          <w:color w:val="000000" w:themeColor="text1"/>
          <w:lang w:eastAsia="en-US" w:bidi="ar-SA"/>
        </w:rPr>
        <w:tab/>
      </w:r>
      <w:r w:rsidR="00DA3081" w:rsidRPr="003328F7">
        <w:rPr>
          <w:rFonts w:ascii="Arial" w:hAnsi="Arial" w:cs="Arial"/>
        </w:rPr>
        <w:t>The first instalment date could, therefore</w:t>
      </w:r>
      <w:r w:rsidR="001A4DBA" w:rsidRPr="003328F7">
        <w:rPr>
          <w:rFonts w:ascii="Arial" w:hAnsi="Arial" w:cs="Arial"/>
        </w:rPr>
        <w:t>,</w:t>
      </w:r>
      <w:r w:rsidR="00DA3081" w:rsidRPr="003328F7">
        <w:rPr>
          <w:rFonts w:ascii="Arial" w:hAnsi="Arial" w:cs="Arial"/>
        </w:rPr>
        <w:t xml:space="preserve"> </w:t>
      </w:r>
      <w:r w:rsidR="005712D7" w:rsidRPr="003328F7">
        <w:rPr>
          <w:rFonts w:ascii="Arial" w:hAnsi="Arial" w:cs="Arial"/>
        </w:rPr>
        <w:t xml:space="preserve">notionally, </w:t>
      </w:r>
      <w:r w:rsidR="00DA3081" w:rsidRPr="003328F7">
        <w:rPr>
          <w:rFonts w:ascii="Arial" w:hAnsi="Arial" w:cs="Arial"/>
        </w:rPr>
        <w:t>have been 2 November 2018</w:t>
      </w:r>
      <w:r w:rsidR="00F55A9F" w:rsidRPr="003328F7">
        <w:rPr>
          <w:rFonts w:ascii="Arial" w:hAnsi="Arial" w:cs="Arial"/>
        </w:rPr>
        <w:t>, which was a Friday</w:t>
      </w:r>
      <w:r w:rsidR="00DA3081" w:rsidRPr="003328F7">
        <w:rPr>
          <w:rFonts w:ascii="Arial" w:hAnsi="Arial" w:cs="Arial"/>
        </w:rPr>
        <w:t xml:space="preserve">. </w:t>
      </w:r>
      <w:r w:rsidR="00E17239" w:rsidRPr="003328F7">
        <w:rPr>
          <w:rFonts w:ascii="Arial" w:hAnsi="Arial" w:cs="Arial"/>
        </w:rPr>
        <w:t xml:space="preserve">Given that the agreement was </w:t>
      </w:r>
      <w:r w:rsidR="00BD7A9B" w:rsidRPr="003328F7">
        <w:rPr>
          <w:rFonts w:ascii="Arial" w:hAnsi="Arial" w:cs="Arial"/>
        </w:rPr>
        <w:t xml:space="preserve">only signed on 26 October 2018, </w:t>
      </w:r>
      <w:r w:rsidR="00F55A9F" w:rsidRPr="003328F7">
        <w:rPr>
          <w:rFonts w:ascii="Arial" w:hAnsi="Arial" w:cs="Arial"/>
        </w:rPr>
        <w:t xml:space="preserve">exactly a week before 2 November 2018, </w:t>
      </w:r>
      <w:r w:rsidR="00BD7A9B" w:rsidRPr="003328F7">
        <w:rPr>
          <w:rFonts w:ascii="Arial" w:hAnsi="Arial" w:cs="Arial"/>
        </w:rPr>
        <w:t xml:space="preserve">it seems highly improbable that the </w:t>
      </w:r>
      <w:r w:rsidR="00BD7A9B" w:rsidRPr="003328F7">
        <w:rPr>
          <w:rFonts w:ascii="Arial" w:hAnsi="Arial" w:cs="Arial"/>
        </w:rPr>
        <w:lastRenderedPageBreak/>
        <w:t>new security</w:t>
      </w:r>
      <w:r w:rsidR="00F55A9F" w:rsidRPr="003328F7">
        <w:rPr>
          <w:rFonts w:ascii="Arial" w:hAnsi="Arial" w:cs="Arial"/>
        </w:rPr>
        <w:t xml:space="preserve">, in particular the notarial bond, </w:t>
      </w:r>
      <w:r w:rsidR="00BD7A9B" w:rsidRPr="003328F7">
        <w:rPr>
          <w:rFonts w:ascii="Arial" w:hAnsi="Arial" w:cs="Arial"/>
        </w:rPr>
        <w:t xml:space="preserve">would be in place </w:t>
      </w:r>
      <w:r w:rsidR="00BC4FF4" w:rsidRPr="003328F7">
        <w:rPr>
          <w:rFonts w:ascii="Arial" w:hAnsi="Arial" w:cs="Arial"/>
        </w:rPr>
        <w:t xml:space="preserve">on </w:t>
      </w:r>
      <w:r w:rsidR="00682442" w:rsidRPr="003328F7">
        <w:rPr>
          <w:rFonts w:ascii="Arial" w:hAnsi="Arial" w:cs="Arial"/>
        </w:rPr>
        <w:t>2 November 2018</w:t>
      </w:r>
      <w:r w:rsidR="005712D7" w:rsidRPr="003328F7">
        <w:rPr>
          <w:rFonts w:ascii="Arial" w:hAnsi="Arial" w:cs="Arial"/>
        </w:rPr>
        <w:t>.</w:t>
      </w:r>
      <w:r w:rsidR="00BD7A9B" w:rsidRPr="003328F7">
        <w:rPr>
          <w:rFonts w:ascii="Arial" w:hAnsi="Arial" w:cs="Arial"/>
        </w:rPr>
        <w:t xml:space="preserve"> This might tend to indicate that the provision of the new security was not a true condition precedent</w:t>
      </w:r>
      <w:r w:rsidR="00682442" w:rsidRPr="003328F7">
        <w:rPr>
          <w:rFonts w:ascii="Arial" w:hAnsi="Arial" w:cs="Arial"/>
        </w:rPr>
        <w:t xml:space="preserve"> and was merely a term of the agreement</w:t>
      </w:r>
      <w:r w:rsidR="00DA3081" w:rsidRPr="003328F7">
        <w:rPr>
          <w:rFonts w:ascii="Arial" w:hAnsi="Arial" w:cs="Arial"/>
        </w:rPr>
        <w:t xml:space="preserve"> in the sense that t</w:t>
      </w:r>
      <w:r w:rsidR="00682442" w:rsidRPr="003328F7">
        <w:rPr>
          <w:rFonts w:ascii="Arial" w:hAnsi="Arial" w:cs="Arial"/>
        </w:rPr>
        <w:t xml:space="preserve">he </w:t>
      </w:r>
      <w:r w:rsidR="008A683D" w:rsidRPr="003328F7">
        <w:rPr>
          <w:rFonts w:ascii="Arial" w:hAnsi="Arial" w:cs="Arial"/>
        </w:rPr>
        <w:t xml:space="preserve">loan </w:t>
      </w:r>
      <w:r w:rsidR="00682442" w:rsidRPr="003328F7">
        <w:rPr>
          <w:rFonts w:ascii="Arial" w:hAnsi="Arial" w:cs="Arial"/>
        </w:rPr>
        <w:t xml:space="preserve">agreement would be given effect to notwithstanding that the new security may not have been in place. </w:t>
      </w:r>
      <w:r w:rsidR="00645E20" w:rsidRPr="003328F7">
        <w:rPr>
          <w:rFonts w:ascii="Arial" w:hAnsi="Arial" w:cs="Arial"/>
        </w:rPr>
        <w:t>T</w:t>
      </w:r>
      <w:r w:rsidR="00604E31" w:rsidRPr="003328F7">
        <w:rPr>
          <w:rFonts w:ascii="Arial" w:hAnsi="Arial" w:cs="Arial"/>
        </w:rPr>
        <w:t>h</w:t>
      </w:r>
      <w:r w:rsidR="00682442" w:rsidRPr="003328F7">
        <w:rPr>
          <w:rFonts w:ascii="Arial" w:hAnsi="Arial" w:cs="Arial"/>
        </w:rPr>
        <w:t>at this is probable is reinforced by th</w:t>
      </w:r>
      <w:r w:rsidR="00604E31" w:rsidRPr="003328F7">
        <w:rPr>
          <w:rFonts w:ascii="Arial" w:hAnsi="Arial" w:cs="Arial"/>
        </w:rPr>
        <w:t xml:space="preserve">e standard terms of the </w:t>
      </w:r>
      <w:r w:rsidR="005712D7" w:rsidRPr="003328F7">
        <w:rPr>
          <w:rFonts w:ascii="Arial" w:hAnsi="Arial" w:cs="Arial"/>
        </w:rPr>
        <w:t xml:space="preserve">loan </w:t>
      </w:r>
      <w:r w:rsidR="00604E31" w:rsidRPr="003328F7">
        <w:rPr>
          <w:rFonts w:ascii="Arial" w:hAnsi="Arial" w:cs="Arial"/>
        </w:rPr>
        <w:t xml:space="preserve">agreement </w:t>
      </w:r>
      <w:r w:rsidR="00682442" w:rsidRPr="003328F7">
        <w:rPr>
          <w:rFonts w:ascii="Arial" w:hAnsi="Arial" w:cs="Arial"/>
        </w:rPr>
        <w:t xml:space="preserve">which </w:t>
      </w:r>
      <w:r w:rsidR="006179EB" w:rsidRPr="003328F7">
        <w:rPr>
          <w:rFonts w:ascii="Arial" w:hAnsi="Arial" w:cs="Arial"/>
        </w:rPr>
        <w:t>includes</w:t>
      </w:r>
      <w:r w:rsidR="00604E31" w:rsidRPr="003328F7">
        <w:rPr>
          <w:rFonts w:ascii="Arial" w:hAnsi="Arial" w:cs="Arial"/>
        </w:rPr>
        <w:t xml:space="preserve"> the following clause:</w:t>
      </w:r>
    </w:p>
    <w:p w14:paraId="7DEC3188" w14:textId="77777777" w:rsidR="00604E31" w:rsidRDefault="00604E31" w:rsidP="00EA01EE">
      <w:pPr>
        <w:pStyle w:val="ListParagraph"/>
        <w:tabs>
          <w:tab w:val="left" w:pos="709"/>
          <w:tab w:val="left" w:pos="1418"/>
        </w:tabs>
        <w:spacing w:after="0" w:line="360" w:lineRule="auto"/>
        <w:ind w:left="0"/>
        <w:jc w:val="both"/>
        <w:rPr>
          <w:rFonts w:ascii="Arial" w:hAnsi="Arial" w:cs="Arial"/>
          <w:lang w:val="en-ZA"/>
        </w:rPr>
      </w:pPr>
      <w:r w:rsidRPr="00604E31">
        <w:rPr>
          <w:rFonts w:ascii="Arial" w:hAnsi="Arial" w:cs="Arial"/>
          <w:lang w:val="en-ZA"/>
        </w:rPr>
        <w:t>‘Each Condition Precedent is for our sole benefit and we may by written notice to you waive or defer fulfilment of any Condition Precedent, in whole or in part, subject to any other condition we may decide.’</w:t>
      </w:r>
    </w:p>
    <w:p w14:paraId="693538F2" w14:textId="77777777" w:rsidR="001F4E58" w:rsidRPr="001F4E58" w:rsidRDefault="001F4E58" w:rsidP="001F4E58">
      <w:pPr>
        <w:pStyle w:val="ListParagraph"/>
        <w:tabs>
          <w:tab w:val="left" w:pos="709"/>
          <w:tab w:val="left" w:pos="1418"/>
        </w:tabs>
        <w:spacing w:after="0" w:line="360" w:lineRule="auto"/>
        <w:ind w:left="0"/>
        <w:jc w:val="both"/>
        <w:rPr>
          <w:rFonts w:ascii="Arial" w:hAnsi="Arial" w:cs="Arial"/>
          <w:sz w:val="24"/>
          <w:szCs w:val="24"/>
          <w:lang w:val="en-ZA"/>
        </w:rPr>
      </w:pPr>
    </w:p>
    <w:p w14:paraId="39D69693" w14:textId="22CBC4F3" w:rsidR="00233DFA" w:rsidRPr="003328F7" w:rsidRDefault="003328F7" w:rsidP="003328F7">
      <w:pPr>
        <w:tabs>
          <w:tab w:val="left" w:pos="709"/>
        </w:tabs>
        <w:spacing w:line="360" w:lineRule="auto"/>
        <w:jc w:val="both"/>
        <w:rPr>
          <w:rFonts w:ascii="Arial" w:hAnsi="Arial" w:cs="Arial"/>
        </w:rPr>
      </w:pPr>
      <w:r w:rsidRPr="0076331D">
        <w:rPr>
          <w:rFonts w:ascii="Arial" w:eastAsiaTheme="minorHAnsi" w:hAnsi="Arial" w:cs="Arial"/>
          <w:color w:val="000000" w:themeColor="text1"/>
          <w:lang w:eastAsia="en-US" w:bidi="ar-SA"/>
        </w:rPr>
        <w:t>[33]</w:t>
      </w:r>
      <w:r w:rsidRPr="0076331D">
        <w:rPr>
          <w:rFonts w:ascii="Arial" w:eastAsiaTheme="minorHAnsi" w:hAnsi="Arial" w:cs="Arial"/>
          <w:color w:val="000000" w:themeColor="text1"/>
          <w:lang w:eastAsia="en-US" w:bidi="ar-SA"/>
        </w:rPr>
        <w:tab/>
      </w:r>
      <w:r w:rsidR="00394C44" w:rsidRPr="003328F7">
        <w:rPr>
          <w:rFonts w:ascii="Arial" w:hAnsi="Arial" w:cs="Arial"/>
        </w:rPr>
        <w:t xml:space="preserve">For a contractual provision to be construed as a true condition precedent, </w:t>
      </w:r>
      <w:r w:rsidR="00394C44" w:rsidRPr="003328F7">
        <w:rPr>
          <w:rFonts w:asciiTheme="minorBidi" w:hAnsiTheme="minorBidi"/>
        </w:rPr>
        <w:t xml:space="preserve">the operation and consequences of the whole contract </w:t>
      </w:r>
      <w:r w:rsidR="00B44888" w:rsidRPr="003328F7">
        <w:rPr>
          <w:rFonts w:asciiTheme="minorBidi" w:hAnsiTheme="minorBidi"/>
        </w:rPr>
        <w:t xml:space="preserve">must be </w:t>
      </w:r>
      <w:r w:rsidR="00394C44" w:rsidRPr="003328F7">
        <w:rPr>
          <w:rFonts w:asciiTheme="minorBidi" w:hAnsiTheme="minorBidi"/>
        </w:rPr>
        <w:t>dependent upon an uncertain future event</w:t>
      </w:r>
      <w:r w:rsidR="00B44888" w:rsidRPr="003328F7">
        <w:rPr>
          <w:rFonts w:asciiTheme="minorBidi" w:hAnsiTheme="minorBidi"/>
        </w:rPr>
        <w:t xml:space="preserve">. The passing of a notarial bond does not strike me as an uncertain </w:t>
      </w:r>
      <w:r w:rsidR="00B9752B" w:rsidRPr="003328F7">
        <w:rPr>
          <w:rFonts w:asciiTheme="minorBidi" w:hAnsiTheme="minorBidi"/>
        </w:rPr>
        <w:t xml:space="preserve">future </w:t>
      </w:r>
      <w:r w:rsidR="00B44888" w:rsidRPr="003328F7">
        <w:rPr>
          <w:rFonts w:asciiTheme="minorBidi" w:hAnsiTheme="minorBidi"/>
        </w:rPr>
        <w:t xml:space="preserve">event where </w:t>
      </w:r>
      <w:r w:rsidR="00A243DC" w:rsidRPr="003328F7">
        <w:rPr>
          <w:rFonts w:asciiTheme="minorBidi" w:hAnsiTheme="minorBidi"/>
        </w:rPr>
        <w:t xml:space="preserve">one of </w:t>
      </w:r>
      <w:r w:rsidR="00B44888" w:rsidRPr="003328F7">
        <w:rPr>
          <w:rFonts w:asciiTheme="minorBidi" w:hAnsiTheme="minorBidi"/>
        </w:rPr>
        <w:t xml:space="preserve">the </w:t>
      </w:r>
      <w:r w:rsidR="00B9752B" w:rsidRPr="003328F7">
        <w:rPr>
          <w:rFonts w:asciiTheme="minorBidi" w:hAnsiTheme="minorBidi"/>
        </w:rPr>
        <w:t>entit</w:t>
      </w:r>
      <w:r w:rsidR="00A243DC" w:rsidRPr="003328F7">
        <w:rPr>
          <w:rFonts w:asciiTheme="minorBidi" w:hAnsiTheme="minorBidi"/>
        </w:rPr>
        <w:t>ies</w:t>
      </w:r>
      <w:r w:rsidR="00B9752B" w:rsidRPr="003328F7">
        <w:rPr>
          <w:rFonts w:asciiTheme="minorBidi" w:hAnsiTheme="minorBidi"/>
        </w:rPr>
        <w:t xml:space="preserve"> concluding the </w:t>
      </w:r>
      <w:r w:rsidR="005712D7" w:rsidRPr="003328F7">
        <w:rPr>
          <w:rFonts w:asciiTheme="minorBidi" w:hAnsiTheme="minorBidi"/>
        </w:rPr>
        <w:t xml:space="preserve">loan </w:t>
      </w:r>
      <w:r w:rsidR="00B9752B" w:rsidRPr="003328F7">
        <w:rPr>
          <w:rFonts w:asciiTheme="minorBidi" w:hAnsiTheme="minorBidi"/>
        </w:rPr>
        <w:t>agreement that</w:t>
      </w:r>
      <w:r w:rsidR="007512D1" w:rsidRPr="003328F7">
        <w:rPr>
          <w:rFonts w:asciiTheme="minorBidi" w:hAnsiTheme="minorBidi"/>
        </w:rPr>
        <w:t xml:space="preserve"> </w:t>
      </w:r>
      <w:r w:rsidR="00B9752B" w:rsidRPr="003328F7">
        <w:rPr>
          <w:rFonts w:asciiTheme="minorBidi" w:hAnsiTheme="minorBidi"/>
        </w:rPr>
        <w:t xml:space="preserve">requires the passing of the notarial bond is the very party </w:t>
      </w:r>
      <w:r w:rsidR="007512D1" w:rsidRPr="003328F7">
        <w:rPr>
          <w:rFonts w:asciiTheme="minorBidi" w:hAnsiTheme="minorBidi"/>
        </w:rPr>
        <w:t xml:space="preserve">that is obligated </w:t>
      </w:r>
      <w:r w:rsidR="00B44888" w:rsidRPr="003328F7">
        <w:rPr>
          <w:rFonts w:asciiTheme="minorBidi" w:hAnsiTheme="minorBidi"/>
        </w:rPr>
        <w:t xml:space="preserve">to pass </w:t>
      </w:r>
      <w:r w:rsidR="007512D1" w:rsidRPr="003328F7">
        <w:rPr>
          <w:rFonts w:asciiTheme="minorBidi" w:hAnsiTheme="minorBidi"/>
        </w:rPr>
        <w:t>that notarial</w:t>
      </w:r>
      <w:r w:rsidR="00B44888" w:rsidRPr="003328F7">
        <w:rPr>
          <w:rFonts w:asciiTheme="minorBidi" w:hAnsiTheme="minorBidi"/>
        </w:rPr>
        <w:t xml:space="preserve"> bond. Far from being an uncertain future event, it seems to me to </w:t>
      </w:r>
      <w:r w:rsidR="00530045" w:rsidRPr="003328F7">
        <w:rPr>
          <w:rFonts w:asciiTheme="minorBidi" w:hAnsiTheme="minorBidi"/>
        </w:rPr>
        <w:t xml:space="preserve">be </w:t>
      </w:r>
      <w:r w:rsidR="00B44888" w:rsidRPr="003328F7">
        <w:rPr>
          <w:rFonts w:asciiTheme="minorBidi" w:hAnsiTheme="minorBidi"/>
        </w:rPr>
        <w:t>a definite future</w:t>
      </w:r>
      <w:r w:rsidR="00C32D1C" w:rsidRPr="003328F7">
        <w:rPr>
          <w:rFonts w:asciiTheme="minorBidi" w:hAnsiTheme="minorBidi"/>
        </w:rPr>
        <w:t xml:space="preserve"> event that was entirely within the </w:t>
      </w:r>
      <w:r w:rsidR="007512D1" w:rsidRPr="003328F7">
        <w:rPr>
          <w:rFonts w:asciiTheme="minorBidi" w:hAnsiTheme="minorBidi"/>
        </w:rPr>
        <w:t>ability of the company to execute</w:t>
      </w:r>
      <w:r w:rsidR="00C32D1C" w:rsidRPr="003328F7">
        <w:rPr>
          <w:rFonts w:asciiTheme="minorBidi" w:hAnsiTheme="minorBidi"/>
        </w:rPr>
        <w:t xml:space="preserve">. I must therefore conclude that despite </w:t>
      </w:r>
      <w:r w:rsidR="00530045" w:rsidRPr="003328F7">
        <w:rPr>
          <w:rFonts w:asciiTheme="minorBidi" w:hAnsiTheme="minorBidi"/>
        </w:rPr>
        <w:t>the wording of</w:t>
      </w:r>
      <w:r w:rsidR="00C32D1C" w:rsidRPr="003328F7">
        <w:rPr>
          <w:rFonts w:asciiTheme="minorBidi" w:hAnsiTheme="minorBidi"/>
        </w:rPr>
        <w:t xml:space="preserve"> schedule</w:t>
      </w:r>
      <w:r w:rsidR="00530045" w:rsidRPr="003328F7">
        <w:rPr>
          <w:rFonts w:asciiTheme="minorBidi" w:hAnsiTheme="minorBidi"/>
        </w:rPr>
        <w:t>s</w:t>
      </w:r>
      <w:r w:rsidR="00C32D1C" w:rsidRPr="003328F7">
        <w:rPr>
          <w:rFonts w:asciiTheme="minorBidi" w:hAnsiTheme="minorBidi"/>
        </w:rPr>
        <w:t xml:space="preserve"> 2</w:t>
      </w:r>
      <w:r w:rsidR="00530045" w:rsidRPr="003328F7">
        <w:rPr>
          <w:rFonts w:asciiTheme="minorBidi" w:hAnsiTheme="minorBidi"/>
        </w:rPr>
        <w:t xml:space="preserve"> and 4</w:t>
      </w:r>
      <w:r w:rsidR="00C32D1C" w:rsidRPr="003328F7">
        <w:rPr>
          <w:rFonts w:asciiTheme="minorBidi" w:hAnsiTheme="minorBidi"/>
        </w:rPr>
        <w:t>, the provision requiring the new security was not a condition precedent but was merely a term of the loan agreement.</w:t>
      </w:r>
      <w:r w:rsidR="007512D1" w:rsidRPr="003328F7">
        <w:rPr>
          <w:rFonts w:asciiTheme="minorBidi" w:hAnsiTheme="minorBidi"/>
        </w:rPr>
        <w:t xml:space="preserve"> </w:t>
      </w:r>
      <w:r w:rsidR="00A243DC" w:rsidRPr="003328F7">
        <w:rPr>
          <w:rFonts w:asciiTheme="minorBidi" w:hAnsiTheme="minorBidi"/>
        </w:rPr>
        <w:t xml:space="preserve">Notice of waiver </w:t>
      </w:r>
      <w:r w:rsidR="00546B02" w:rsidRPr="003328F7">
        <w:rPr>
          <w:rFonts w:asciiTheme="minorBidi" w:hAnsiTheme="minorBidi"/>
        </w:rPr>
        <w:t xml:space="preserve">from the applicant </w:t>
      </w:r>
      <w:r w:rsidR="00A243DC" w:rsidRPr="003328F7">
        <w:rPr>
          <w:rFonts w:asciiTheme="minorBidi" w:hAnsiTheme="minorBidi"/>
        </w:rPr>
        <w:t>was therefore not required.</w:t>
      </w:r>
      <w:r w:rsidR="00A243DC" w:rsidRPr="003328F7" w:rsidDel="00A243DC">
        <w:rPr>
          <w:rFonts w:asciiTheme="minorBidi" w:hAnsiTheme="minorBidi"/>
        </w:rPr>
        <w:t xml:space="preserve"> </w:t>
      </w:r>
    </w:p>
    <w:p w14:paraId="785B4623" w14:textId="77777777" w:rsidR="0076331D" w:rsidRPr="0076331D" w:rsidRDefault="0076331D" w:rsidP="0076331D">
      <w:pPr>
        <w:pStyle w:val="ListParagraph"/>
        <w:tabs>
          <w:tab w:val="left" w:pos="709"/>
        </w:tabs>
        <w:spacing w:after="0" w:line="360" w:lineRule="auto"/>
        <w:ind w:left="0"/>
        <w:jc w:val="both"/>
        <w:rPr>
          <w:rFonts w:ascii="Arial" w:hAnsi="Arial" w:cs="Arial"/>
          <w:sz w:val="24"/>
          <w:szCs w:val="24"/>
          <w:lang w:val="en-ZA"/>
        </w:rPr>
      </w:pPr>
    </w:p>
    <w:p w14:paraId="609EAA85" w14:textId="7D148F3B" w:rsidR="0076331D" w:rsidRPr="003328F7" w:rsidRDefault="003328F7" w:rsidP="003328F7">
      <w:pPr>
        <w:tabs>
          <w:tab w:val="left" w:pos="709"/>
        </w:tabs>
        <w:spacing w:line="360" w:lineRule="auto"/>
        <w:jc w:val="both"/>
        <w:rPr>
          <w:rFonts w:ascii="Arial" w:hAnsi="Arial" w:cs="Arial"/>
        </w:rPr>
      </w:pPr>
      <w:r>
        <w:rPr>
          <w:rFonts w:ascii="Arial" w:eastAsiaTheme="minorHAnsi" w:hAnsi="Arial" w:cs="Arial"/>
          <w:color w:val="000000" w:themeColor="text1"/>
          <w:lang w:eastAsia="en-US" w:bidi="ar-SA"/>
        </w:rPr>
        <w:t>[34]</w:t>
      </w:r>
      <w:r>
        <w:rPr>
          <w:rFonts w:ascii="Arial" w:eastAsiaTheme="minorHAnsi" w:hAnsi="Arial" w:cs="Arial"/>
          <w:color w:val="000000" w:themeColor="text1"/>
          <w:lang w:eastAsia="en-US" w:bidi="ar-SA"/>
        </w:rPr>
        <w:tab/>
      </w:r>
      <w:r w:rsidR="0076331D" w:rsidRPr="003328F7">
        <w:rPr>
          <w:rFonts w:ascii="Arial" w:hAnsi="Arial" w:cs="Arial"/>
        </w:rPr>
        <w:t>There is</w:t>
      </w:r>
      <w:r w:rsidR="00530045" w:rsidRPr="003328F7">
        <w:rPr>
          <w:rFonts w:ascii="Arial" w:hAnsi="Arial" w:cs="Arial"/>
        </w:rPr>
        <w:t>, furthermore,</w:t>
      </w:r>
      <w:r w:rsidR="0076331D" w:rsidRPr="003328F7">
        <w:rPr>
          <w:rFonts w:ascii="Arial" w:hAnsi="Arial" w:cs="Arial"/>
        </w:rPr>
        <w:t xml:space="preserve"> no evidence </w:t>
      </w:r>
      <w:r w:rsidR="00530045" w:rsidRPr="003328F7">
        <w:rPr>
          <w:rFonts w:ascii="Arial" w:hAnsi="Arial" w:cs="Arial"/>
        </w:rPr>
        <w:t>o</w:t>
      </w:r>
      <w:r w:rsidR="0076331D" w:rsidRPr="003328F7">
        <w:rPr>
          <w:rFonts w:ascii="Arial" w:hAnsi="Arial" w:cs="Arial"/>
        </w:rPr>
        <w:t>n the papers that the applicant was reckless or negligent in advancing the loan amount to the company. On the contrary, it appears to have</w:t>
      </w:r>
      <w:r w:rsidR="00AA2636" w:rsidRPr="003328F7">
        <w:rPr>
          <w:rFonts w:ascii="Arial" w:hAnsi="Arial" w:cs="Arial"/>
        </w:rPr>
        <w:t xml:space="preserve"> been</w:t>
      </w:r>
      <w:r w:rsidR="0076331D" w:rsidRPr="003328F7">
        <w:rPr>
          <w:rFonts w:ascii="Arial" w:hAnsi="Arial" w:cs="Arial"/>
        </w:rPr>
        <w:t xml:space="preserve"> punctilious in ensuring that it was properly protected in the event of the company defaulting. That a third party creditor succeeded in liquidating the company by no means establishes any of the conduct</w:t>
      </w:r>
      <w:r w:rsidR="004D391C" w:rsidRPr="003328F7">
        <w:rPr>
          <w:rFonts w:ascii="Arial" w:hAnsi="Arial" w:cs="Arial"/>
        </w:rPr>
        <w:t xml:space="preserve"> complained of by the respondents</w:t>
      </w:r>
      <w:r w:rsidR="0076331D" w:rsidRPr="003328F7">
        <w:rPr>
          <w:rFonts w:ascii="Arial" w:hAnsi="Arial" w:cs="Arial"/>
        </w:rPr>
        <w:t>.</w:t>
      </w:r>
    </w:p>
    <w:p w14:paraId="42008942" w14:textId="77777777" w:rsidR="0076331D" w:rsidRPr="0076331D" w:rsidRDefault="0076331D" w:rsidP="0076331D">
      <w:pPr>
        <w:pStyle w:val="ListParagraph"/>
        <w:spacing w:line="360" w:lineRule="auto"/>
        <w:rPr>
          <w:rFonts w:ascii="Arial" w:hAnsi="Arial" w:cs="Arial"/>
          <w:sz w:val="24"/>
          <w:szCs w:val="24"/>
          <w:lang w:val="en-ZA"/>
        </w:rPr>
      </w:pPr>
    </w:p>
    <w:p w14:paraId="61BD8AA5" w14:textId="3F913BAA" w:rsidR="008A683D" w:rsidRPr="003328F7" w:rsidRDefault="003328F7" w:rsidP="003328F7">
      <w:pPr>
        <w:tabs>
          <w:tab w:val="left" w:pos="709"/>
        </w:tabs>
        <w:spacing w:line="360" w:lineRule="auto"/>
        <w:jc w:val="both"/>
        <w:rPr>
          <w:rFonts w:ascii="Arial" w:hAnsi="Arial" w:cs="Arial"/>
        </w:rPr>
      </w:pPr>
      <w:r w:rsidRPr="00DA59A4">
        <w:rPr>
          <w:rFonts w:ascii="Arial" w:eastAsiaTheme="minorHAnsi" w:hAnsi="Arial" w:cs="Arial"/>
          <w:color w:val="000000" w:themeColor="text1"/>
          <w:lang w:eastAsia="en-US" w:bidi="ar-SA"/>
        </w:rPr>
        <w:t>[35]</w:t>
      </w:r>
      <w:r w:rsidRPr="00DA59A4">
        <w:rPr>
          <w:rFonts w:ascii="Arial" w:eastAsiaTheme="minorHAnsi" w:hAnsi="Arial" w:cs="Arial"/>
          <w:color w:val="000000" w:themeColor="text1"/>
          <w:lang w:eastAsia="en-US" w:bidi="ar-SA"/>
        </w:rPr>
        <w:tab/>
      </w:r>
      <w:r w:rsidR="0076331D" w:rsidRPr="003328F7">
        <w:rPr>
          <w:rFonts w:ascii="Arial" w:hAnsi="Arial" w:cs="Arial"/>
        </w:rPr>
        <w:t xml:space="preserve"> </w:t>
      </w:r>
      <w:r w:rsidR="00917F60" w:rsidRPr="003328F7">
        <w:rPr>
          <w:rFonts w:ascii="Arial" w:hAnsi="Arial" w:cs="Arial"/>
        </w:rPr>
        <w:t>After a consideration of the principal defence, I am unable to conclude that the applicant has breached any</w:t>
      </w:r>
      <w:r w:rsidR="00917F60" w:rsidRPr="003328F7">
        <w:rPr>
          <w:rFonts w:asciiTheme="minorBidi" w:hAnsiTheme="minorBidi"/>
          <w:color w:val="242121"/>
        </w:rPr>
        <w:t xml:space="preserve"> legal duty or obligation that it owed the respondents. </w:t>
      </w:r>
      <w:r w:rsidR="00917F60" w:rsidRPr="003328F7">
        <w:rPr>
          <w:rFonts w:ascii="Arial" w:hAnsi="Arial" w:cs="Arial"/>
          <w:color w:val="000000" w:themeColor="text1"/>
        </w:rPr>
        <w:t xml:space="preserve">As was indicated above, the applicant and respondents agreed in their respective deeds of suretyship that the applicant had the power to release any existing, or future, security. </w:t>
      </w:r>
      <w:r w:rsidR="00CA6B42" w:rsidRPr="003328F7">
        <w:rPr>
          <w:rFonts w:ascii="Arial" w:hAnsi="Arial" w:cs="Arial"/>
          <w:color w:val="000000" w:themeColor="text1"/>
        </w:rPr>
        <w:t>Even a</w:t>
      </w:r>
      <w:r w:rsidR="00917F60" w:rsidRPr="003328F7">
        <w:rPr>
          <w:rFonts w:ascii="Arial" w:hAnsi="Arial" w:cs="Arial"/>
          <w:color w:val="000000" w:themeColor="text1"/>
        </w:rPr>
        <w:t xml:space="preserve">ssuming for the purposes of argument that the failure to acquire the </w:t>
      </w:r>
      <w:r w:rsidR="00917F60" w:rsidRPr="003328F7">
        <w:rPr>
          <w:rFonts w:ascii="Arial" w:hAnsi="Arial" w:cs="Arial"/>
          <w:color w:val="000000" w:themeColor="text1"/>
        </w:rPr>
        <w:lastRenderedPageBreak/>
        <w:t>new security was prejudicial to the respondents, without accepting that it was</w:t>
      </w:r>
      <w:r w:rsidR="00CA6B42" w:rsidRPr="003328F7">
        <w:rPr>
          <w:rFonts w:ascii="Arial" w:hAnsi="Arial" w:cs="Arial"/>
          <w:color w:val="000000" w:themeColor="text1"/>
        </w:rPr>
        <w:t xml:space="preserve"> and having found that it was not</w:t>
      </w:r>
      <w:r w:rsidR="00917F60" w:rsidRPr="003328F7">
        <w:rPr>
          <w:rFonts w:ascii="Arial" w:hAnsi="Arial" w:cs="Arial"/>
          <w:color w:val="000000" w:themeColor="text1"/>
        </w:rPr>
        <w:t xml:space="preserve">, it appears to me that this was a form of prejudice that the respondents undertook to suffer in agreeing to the terms of their respective deeds of suretyship. </w:t>
      </w:r>
      <w:r w:rsidR="008A683D" w:rsidRPr="003328F7">
        <w:rPr>
          <w:rFonts w:ascii="Arial" w:hAnsi="Arial" w:cs="Arial"/>
        </w:rPr>
        <w:t xml:space="preserve">The fact that the respondents had put up such extensive and substantial security for the obligations of the company is the reason why they find themselves in their current position and not any conduct on the part of the applicant. </w:t>
      </w:r>
    </w:p>
    <w:p w14:paraId="07B6192A" w14:textId="3F7CC777" w:rsidR="00917F60" w:rsidRPr="00CA6B42" w:rsidRDefault="00917F60" w:rsidP="008A683D">
      <w:pPr>
        <w:pStyle w:val="ListParagraph"/>
        <w:tabs>
          <w:tab w:val="left" w:pos="709"/>
          <w:tab w:val="left" w:pos="1418"/>
        </w:tabs>
        <w:spacing w:after="0" w:line="360" w:lineRule="auto"/>
        <w:ind w:left="0"/>
        <w:jc w:val="both"/>
        <w:rPr>
          <w:rFonts w:ascii="Arial" w:hAnsi="Arial" w:cs="Arial"/>
          <w:sz w:val="24"/>
          <w:szCs w:val="24"/>
          <w:lang w:val="en-ZA"/>
        </w:rPr>
      </w:pPr>
    </w:p>
    <w:p w14:paraId="65E1BF9C" w14:textId="4B8A01EB" w:rsidR="0076331D" w:rsidRPr="003328F7" w:rsidRDefault="003328F7" w:rsidP="003328F7">
      <w:pPr>
        <w:tabs>
          <w:tab w:val="left" w:pos="709"/>
        </w:tabs>
        <w:spacing w:line="360" w:lineRule="auto"/>
        <w:jc w:val="both"/>
        <w:rPr>
          <w:rFonts w:ascii="Arial" w:hAnsi="Arial" w:cs="Arial"/>
        </w:rPr>
      </w:pPr>
      <w:r w:rsidRPr="00C32D1C">
        <w:rPr>
          <w:rFonts w:ascii="Arial" w:eastAsiaTheme="minorHAnsi" w:hAnsi="Arial" w:cs="Arial"/>
          <w:color w:val="000000" w:themeColor="text1"/>
          <w:lang w:eastAsia="en-US" w:bidi="ar-SA"/>
        </w:rPr>
        <w:t>[36]</w:t>
      </w:r>
      <w:r w:rsidRPr="00C32D1C">
        <w:rPr>
          <w:rFonts w:ascii="Arial" w:eastAsiaTheme="minorHAnsi" w:hAnsi="Arial" w:cs="Arial"/>
          <w:color w:val="000000" w:themeColor="text1"/>
          <w:lang w:eastAsia="en-US" w:bidi="ar-SA"/>
        </w:rPr>
        <w:tab/>
      </w:r>
      <w:r w:rsidR="00DA59A4" w:rsidRPr="003328F7">
        <w:rPr>
          <w:rFonts w:ascii="Arial" w:hAnsi="Arial" w:cs="Arial"/>
        </w:rPr>
        <w:t xml:space="preserve">The principal defence </w:t>
      </w:r>
      <w:r w:rsidR="00BD0326" w:rsidRPr="003328F7">
        <w:rPr>
          <w:rFonts w:ascii="Arial" w:hAnsi="Arial" w:cs="Arial"/>
        </w:rPr>
        <w:t xml:space="preserve">consequently </w:t>
      </w:r>
      <w:r w:rsidR="00DA59A4" w:rsidRPr="003328F7">
        <w:rPr>
          <w:rFonts w:ascii="Arial" w:hAnsi="Arial" w:cs="Arial"/>
        </w:rPr>
        <w:t>must fail.</w:t>
      </w:r>
    </w:p>
    <w:p w14:paraId="2080A202" w14:textId="77777777" w:rsidR="00C32D1C" w:rsidRPr="00B85AC3" w:rsidRDefault="00C32D1C" w:rsidP="00DA59A4">
      <w:pPr>
        <w:pStyle w:val="ListParagraph"/>
        <w:tabs>
          <w:tab w:val="left" w:pos="709"/>
        </w:tabs>
        <w:spacing w:after="0" w:line="360" w:lineRule="auto"/>
        <w:ind w:left="0"/>
        <w:jc w:val="both"/>
        <w:rPr>
          <w:rFonts w:ascii="Arial" w:hAnsi="Arial" w:cs="Arial"/>
          <w:sz w:val="24"/>
          <w:szCs w:val="24"/>
          <w:lang w:val="en-ZA"/>
        </w:rPr>
      </w:pPr>
    </w:p>
    <w:p w14:paraId="01D3F482" w14:textId="0CE46109" w:rsidR="006A61FE" w:rsidRPr="003328F7" w:rsidRDefault="003328F7" w:rsidP="003328F7">
      <w:pPr>
        <w:tabs>
          <w:tab w:val="left" w:pos="709"/>
          <w:tab w:val="left" w:pos="1418"/>
        </w:tabs>
        <w:spacing w:line="360" w:lineRule="auto"/>
        <w:jc w:val="both"/>
        <w:rPr>
          <w:rFonts w:ascii="Arial" w:hAnsi="Arial" w:cs="Arial"/>
        </w:rPr>
      </w:pPr>
      <w:r w:rsidRPr="00FC5C5B">
        <w:rPr>
          <w:rFonts w:ascii="Arial" w:eastAsiaTheme="minorHAnsi" w:hAnsi="Arial" w:cs="Arial"/>
          <w:color w:val="000000" w:themeColor="text1"/>
          <w:lang w:eastAsia="en-US" w:bidi="ar-SA"/>
        </w:rPr>
        <w:t>[37]</w:t>
      </w:r>
      <w:r w:rsidRPr="00FC5C5B">
        <w:rPr>
          <w:rFonts w:ascii="Arial" w:eastAsiaTheme="minorHAnsi" w:hAnsi="Arial" w:cs="Arial"/>
          <w:color w:val="000000" w:themeColor="text1"/>
          <w:lang w:eastAsia="en-US" w:bidi="ar-SA"/>
        </w:rPr>
        <w:tab/>
      </w:r>
      <w:r w:rsidR="00FC5C5B" w:rsidRPr="003328F7">
        <w:rPr>
          <w:rFonts w:ascii="Arial" w:hAnsi="Arial" w:cs="Arial"/>
        </w:rPr>
        <w:t>Th</w:t>
      </w:r>
      <w:r w:rsidR="00DA59A4" w:rsidRPr="003328F7">
        <w:rPr>
          <w:rFonts w:ascii="Arial" w:hAnsi="Arial" w:cs="Arial"/>
        </w:rPr>
        <w:t>at was not the</w:t>
      </w:r>
      <w:r w:rsidR="00FC5C5B" w:rsidRPr="003328F7">
        <w:rPr>
          <w:rFonts w:ascii="Arial" w:hAnsi="Arial" w:cs="Arial"/>
        </w:rPr>
        <w:t xml:space="preserve"> only defence raised by the respondents. They have also raised certain ancillary defences</w:t>
      </w:r>
      <w:r w:rsidR="008514C7" w:rsidRPr="003328F7">
        <w:rPr>
          <w:rFonts w:ascii="Arial" w:hAnsi="Arial" w:cs="Arial"/>
        </w:rPr>
        <w:t>, ostensibly in the alternative to their principal defence</w:t>
      </w:r>
      <w:r w:rsidR="00FC5C5B" w:rsidRPr="003328F7">
        <w:rPr>
          <w:rFonts w:ascii="Arial" w:hAnsi="Arial" w:cs="Arial"/>
        </w:rPr>
        <w:t xml:space="preserve">. They contend that </w:t>
      </w:r>
      <w:r w:rsidR="00F901A6" w:rsidRPr="003328F7">
        <w:rPr>
          <w:rFonts w:ascii="Arial" w:hAnsi="Arial" w:cs="Arial"/>
        </w:rPr>
        <w:t>reason</w:t>
      </w:r>
      <w:r w:rsidR="001C0F0B" w:rsidRPr="003328F7">
        <w:rPr>
          <w:rFonts w:ascii="Arial" w:hAnsi="Arial" w:cs="Arial"/>
        </w:rPr>
        <w:t>s</w:t>
      </w:r>
      <w:r w:rsidR="00F901A6" w:rsidRPr="003328F7">
        <w:rPr>
          <w:rFonts w:ascii="Arial" w:hAnsi="Arial" w:cs="Arial"/>
        </w:rPr>
        <w:t xml:space="preserve"> exist in the following</w:t>
      </w:r>
      <w:r w:rsidR="00FC5C5B" w:rsidRPr="003328F7">
        <w:rPr>
          <w:rFonts w:ascii="Arial" w:hAnsi="Arial" w:cs="Arial"/>
        </w:rPr>
        <w:t xml:space="preserve"> allegations</w:t>
      </w:r>
      <w:r w:rsidR="00F901A6" w:rsidRPr="003328F7">
        <w:rPr>
          <w:rFonts w:ascii="Arial" w:hAnsi="Arial" w:cs="Arial"/>
        </w:rPr>
        <w:t xml:space="preserve"> to dismiss the application:</w:t>
      </w:r>
    </w:p>
    <w:p w14:paraId="3B57C12B" w14:textId="36CE1CA5" w:rsidR="00F901A6"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i/>
          <w:lang w:eastAsia="en-US" w:bidi="ar-SA"/>
        </w:rPr>
        <w:t>(a)</w:t>
      </w:r>
      <w:r>
        <w:rPr>
          <w:rFonts w:ascii="Arial" w:eastAsiaTheme="minorHAnsi" w:hAnsi="Arial" w:cs="Arial"/>
          <w:i/>
          <w:lang w:eastAsia="en-US" w:bidi="ar-SA"/>
        </w:rPr>
        <w:tab/>
      </w:r>
      <w:r w:rsidR="00F901A6" w:rsidRPr="003328F7">
        <w:rPr>
          <w:rFonts w:ascii="Arial" w:hAnsi="Arial" w:cs="Arial"/>
        </w:rPr>
        <w:t xml:space="preserve">The applicant failed to ensure that </w:t>
      </w:r>
      <w:r w:rsidR="00994E72" w:rsidRPr="003328F7">
        <w:rPr>
          <w:rFonts w:ascii="Arial" w:hAnsi="Arial" w:cs="Arial"/>
        </w:rPr>
        <w:t xml:space="preserve">the </w:t>
      </w:r>
      <w:r w:rsidR="00F901A6" w:rsidRPr="003328F7">
        <w:rPr>
          <w:rFonts w:ascii="Arial" w:hAnsi="Arial" w:cs="Arial"/>
        </w:rPr>
        <w:t>company was sold for fair value;</w:t>
      </w:r>
    </w:p>
    <w:p w14:paraId="309A7354" w14:textId="14F1B4AE" w:rsidR="00F901A6"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i/>
          <w:lang w:eastAsia="en-US" w:bidi="ar-SA"/>
        </w:rPr>
        <w:t>(b)</w:t>
      </w:r>
      <w:r>
        <w:rPr>
          <w:rFonts w:ascii="Arial" w:eastAsiaTheme="minorHAnsi" w:hAnsi="Arial" w:cs="Arial"/>
          <w:i/>
          <w:lang w:eastAsia="en-US" w:bidi="ar-SA"/>
        </w:rPr>
        <w:tab/>
      </w:r>
      <w:r w:rsidR="00F901A6" w:rsidRPr="003328F7">
        <w:rPr>
          <w:rFonts w:ascii="Arial" w:hAnsi="Arial" w:cs="Arial"/>
        </w:rPr>
        <w:t>The certificate of balance put up by the applicant is allegedly unreliable;</w:t>
      </w:r>
    </w:p>
    <w:p w14:paraId="30472CCB" w14:textId="39B08868" w:rsidR="00F901A6"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i/>
          <w:lang w:eastAsia="en-US" w:bidi="ar-SA"/>
        </w:rPr>
        <w:t>(c)</w:t>
      </w:r>
      <w:r>
        <w:rPr>
          <w:rFonts w:ascii="Arial" w:eastAsiaTheme="minorHAnsi" w:hAnsi="Arial" w:cs="Arial"/>
          <w:i/>
          <w:lang w:eastAsia="en-US" w:bidi="ar-SA"/>
        </w:rPr>
        <w:tab/>
      </w:r>
      <w:r w:rsidR="00F901A6" w:rsidRPr="003328F7">
        <w:rPr>
          <w:rFonts w:ascii="Arial" w:hAnsi="Arial" w:cs="Arial"/>
        </w:rPr>
        <w:t xml:space="preserve">The applicant did not disclose dealings that it allegedly had with the liquidator of the company and also did not explain certain proceedings against </w:t>
      </w:r>
      <w:r w:rsidR="00E278C5" w:rsidRPr="003328F7">
        <w:rPr>
          <w:rFonts w:ascii="Arial" w:hAnsi="Arial" w:cs="Arial"/>
        </w:rPr>
        <w:t>EAT</w:t>
      </w:r>
      <w:r w:rsidR="00F901A6" w:rsidRPr="003328F7">
        <w:rPr>
          <w:rFonts w:ascii="Arial" w:hAnsi="Arial" w:cs="Arial"/>
        </w:rPr>
        <w:t xml:space="preserve"> and a payment apparently received from an entity called National Pride (P</w:t>
      </w:r>
      <w:r w:rsidR="00BD0326" w:rsidRPr="003328F7">
        <w:rPr>
          <w:rFonts w:ascii="Arial" w:hAnsi="Arial" w:cs="Arial"/>
        </w:rPr>
        <w:t>roprietar</w:t>
      </w:r>
      <w:r w:rsidR="00F901A6" w:rsidRPr="003328F7">
        <w:rPr>
          <w:rFonts w:ascii="Arial" w:hAnsi="Arial" w:cs="Arial"/>
        </w:rPr>
        <w:t>y) Ltd;</w:t>
      </w:r>
    </w:p>
    <w:p w14:paraId="358E21F7" w14:textId="043A1C96" w:rsidR="00F901A6"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i/>
          <w:lang w:eastAsia="en-US" w:bidi="ar-SA"/>
        </w:rPr>
        <w:t>(d)</w:t>
      </w:r>
      <w:r>
        <w:rPr>
          <w:rFonts w:ascii="Arial" w:eastAsiaTheme="minorHAnsi" w:hAnsi="Arial" w:cs="Arial"/>
          <w:i/>
          <w:lang w:eastAsia="en-US" w:bidi="ar-SA"/>
        </w:rPr>
        <w:tab/>
      </w:r>
      <w:r w:rsidR="00F901A6" w:rsidRPr="003328F7">
        <w:rPr>
          <w:rFonts w:ascii="Arial" w:hAnsi="Arial" w:cs="Arial"/>
        </w:rPr>
        <w:t xml:space="preserve">The </w:t>
      </w:r>
      <w:r w:rsidR="00FC5C5B" w:rsidRPr="003328F7">
        <w:rPr>
          <w:rFonts w:ascii="Arial" w:hAnsi="Arial" w:cs="Arial"/>
        </w:rPr>
        <w:t xml:space="preserve">applicant has failed </w:t>
      </w:r>
      <w:r w:rsidR="00F901A6" w:rsidRPr="003328F7">
        <w:rPr>
          <w:rFonts w:ascii="Arial" w:hAnsi="Arial" w:cs="Arial"/>
        </w:rPr>
        <w:t>to provide a full and proper computation of the amount that it claims from the respondents; and</w:t>
      </w:r>
    </w:p>
    <w:p w14:paraId="28B9DFBE" w14:textId="402A0CF5" w:rsidR="00F901A6"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i/>
          <w:lang w:eastAsia="en-US" w:bidi="ar-SA"/>
        </w:rPr>
        <w:t>(e)</w:t>
      </w:r>
      <w:r>
        <w:rPr>
          <w:rFonts w:ascii="Arial" w:eastAsiaTheme="minorHAnsi" w:hAnsi="Arial" w:cs="Arial"/>
          <w:i/>
          <w:lang w:eastAsia="en-US" w:bidi="ar-SA"/>
        </w:rPr>
        <w:tab/>
      </w:r>
      <w:r w:rsidR="00F901A6" w:rsidRPr="003328F7">
        <w:rPr>
          <w:rFonts w:ascii="Arial" w:hAnsi="Arial" w:cs="Arial"/>
        </w:rPr>
        <w:t xml:space="preserve">The applicant has </w:t>
      </w:r>
      <w:r w:rsidR="00646EF6" w:rsidRPr="003328F7">
        <w:rPr>
          <w:rFonts w:ascii="Arial" w:hAnsi="Arial" w:cs="Arial"/>
        </w:rPr>
        <w:t xml:space="preserve">allegedly </w:t>
      </w:r>
      <w:r w:rsidR="00F901A6" w:rsidRPr="003328F7">
        <w:rPr>
          <w:rFonts w:ascii="Arial" w:hAnsi="Arial" w:cs="Arial"/>
        </w:rPr>
        <w:t>failed to establish its claim.</w:t>
      </w:r>
    </w:p>
    <w:p w14:paraId="7DC93BC9" w14:textId="77777777" w:rsidR="00FC5C5B" w:rsidRPr="00FC5C5B" w:rsidRDefault="00FC5C5B" w:rsidP="00FC5C5B">
      <w:pPr>
        <w:tabs>
          <w:tab w:val="left" w:pos="709"/>
          <w:tab w:val="left" w:pos="1418"/>
        </w:tabs>
        <w:spacing w:line="360" w:lineRule="auto"/>
        <w:jc w:val="both"/>
        <w:rPr>
          <w:rFonts w:ascii="Arial" w:hAnsi="Arial" w:cs="Arial"/>
        </w:rPr>
      </w:pPr>
      <w:r w:rsidRPr="00FC5C5B">
        <w:rPr>
          <w:rFonts w:ascii="Arial" w:hAnsi="Arial" w:cs="Arial"/>
        </w:rPr>
        <w:t xml:space="preserve">These </w:t>
      </w:r>
      <w:r w:rsidR="008514C7">
        <w:rPr>
          <w:rFonts w:ascii="Arial" w:hAnsi="Arial" w:cs="Arial"/>
        </w:rPr>
        <w:t xml:space="preserve">further </w:t>
      </w:r>
      <w:r w:rsidRPr="00FC5C5B">
        <w:rPr>
          <w:rFonts w:ascii="Arial" w:hAnsi="Arial" w:cs="Arial"/>
        </w:rPr>
        <w:t>defences must be considered.</w:t>
      </w:r>
    </w:p>
    <w:p w14:paraId="2C077DF7" w14:textId="77777777" w:rsidR="00A2601F" w:rsidRDefault="00A2601F" w:rsidP="00FC5C5B">
      <w:pPr>
        <w:pStyle w:val="ListParagraph"/>
        <w:tabs>
          <w:tab w:val="left" w:pos="709"/>
          <w:tab w:val="left" w:pos="1418"/>
        </w:tabs>
        <w:spacing w:after="0" w:line="360" w:lineRule="auto"/>
        <w:ind w:left="0"/>
        <w:jc w:val="both"/>
        <w:rPr>
          <w:rFonts w:ascii="Arial" w:hAnsi="Arial" w:cs="Arial"/>
          <w:sz w:val="24"/>
          <w:szCs w:val="24"/>
          <w:lang w:val="en-ZA"/>
        </w:rPr>
      </w:pPr>
    </w:p>
    <w:p w14:paraId="36782E98" w14:textId="45D59496" w:rsidR="00502AB3"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[38]</w:t>
      </w:r>
      <w:r>
        <w:rPr>
          <w:rFonts w:ascii="Arial" w:eastAsiaTheme="minorHAnsi" w:hAnsi="Arial" w:cs="Arial"/>
          <w:color w:val="000000" w:themeColor="text1"/>
          <w:lang w:eastAsia="en-US" w:bidi="ar-SA"/>
        </w:rPr>
        <w:tab/>
      </w:r>
      <w:r w:rsidR="00994E72" w:rsidRPr="003328F7">
        <w:rPr>
          <w:rFonts w:ascii="Arial" w:hAnsi="Arial" w:cs="Arial"/>
        </w:rPr>
        <w:t>As regards the first point, I am not sure if the sale being referred to is alleged to have occurred prior to</w:t>
      </w:r>
      <w:r w:rsidR="000A0C69" w:rsidRPr="003328F7">
        <w:rPr>
          <w:rFonts w:ascii="Arial" w:hAnsi="Arial" w:cs="Arial"/>
        </w:rPr>
        <w:t>,</w:t>
      </w:r>
      <w:r w:rsidR="00994E72" w:rsidRPr="003328F7">
        <w:rPr>
          <w:rFonts w:ascii="Arial" w:hAnsi="Arial" w:cs="Arial"/>
        </w:rPr>
        <w:t xml:space="preserve"> or during</w:t>
      </w:r>
      <w:r w:rsidR="000A0C69" w:rsidRPr="003328F7">
        <w:rPr>
          <w:rFonts w:ascii="Arial" w:hAnsi="Arial" w:cs="Arial"/>
        </w:rPr>
        <w:t>,</w:t>
      </w:r>
      <w:r w:rsidR="00994E72" w:rsidRPr="003328F7">
        <w:rPr>
          <w:rFonts w:ascii="Arial" w:hAnsi="Arial" w:cs="Arial"/>
        </w:rPr>
        <w:t xml:space="preserve"> the liquidation of the company. If it is intended to refer to events prior to liquidation it is not clear how the applicant could have effected such </w:t>
      </w:r>
      <w:r w:rsidR="000A0C69" w:rsidRPr="003328F7">
        <w:rPr>
          <w:rFonts w:ascii="Arial" w:hAnsi="Arial" w:cs="Arial"/>
        </w:rPr>
        <w:t xml:space="preserve">a </w:t>
      </w:r>
      <w:r w:rsidR="00994E72" w:rsidRPr="003328F7">
        <w:rPr>
          <w:rFonts w:ascii="Arial" w:hAnsi="Arial" w:cs="Arial"/>
        </w:rPr>
        <w:t xml:space="preserve">sale when it was not the owner of the company nor </w:t>
      </w:r>
      <w:r w:rsidR="003D3B34" w:rsidRPr="003328F7">
        <w:rPr>
          <w:rFonts w:ascii="Arial" w:hAnsi="Arial" w:cs="Arial"/>
        </w:rPr>
        <w:t>did it then have</w:t>
      </w:r>
      <w:r w:rsidR="00994E72" w:rsidRPr="003328F7">
        <w:rPr>
          <w:rFonts w:ascii="Arial" w:hAnsi="Arial" w:cs="Arial"/>
        </w:rPr>
        <w:t xml:space="preserve"> a judgment against it. If it is intended to refer to a sale that occurred during the winding up of the company, it hardly seems necessary to state that u</w:t>
      </w:r>
      <w:r w:rsidR="00E413D7" w:rsidRPr="003328F7">
        <w:rPr>
          <w:rFonts w:ascii="Arial" w:hAnsi="Arial" w:cs="Arial"/>
        </w:rPr>
        <w:t xml:space="preserve">pon </w:t>
      </w:r>
      <w:r w:rsidR="00E278C5" w:rsidRPr="003328F7">
        <w:rPr>
          <w:rFonts w:ascii="Arial" w:hAnsi="Arial" w:cs="Arial"/>
        </w:rPr>
        <w:t xml:space="preserve">the event of </w:t>
      </w:r>
      <w:r w:rsidR="00E413D7" w:rsidRPr="003328F7">
        <w:rPr>
          <w:rFonts w:ascii="Arial" w:hAnsi="Arial" w:cs="Arial"/>
        </w:rPr>
        <w:t>liquidation the assets of the entity in liquidation fall under the control of the liquidator</w:t>
      </w:r>
      <w:r w:rsidR="00502AB3" w:rsidRPr="003328F7">
        <w:rPr>
          <w:rFonts w:ascii="Arial" w:hAnsi="Arial" w:cs="Arial"/>
        </w:rPr>
        <w:t xml:space="preserve">. It is the duty of the liquidator and not that of the creditors to liquidate the company. There is no obligation on a creditor to ensure that the assets of the liquidated company achieve a certain value. </w:t>
      </w:r>
      <w:r w:rsidR="00E278C5" w:rsidRPr="003328F7">
        <w:rPr>
          <w:rFonts w:ascii="Arial" w:hAnsi="Arial" w:cs="Arial"/>
        </w:rPr>
        <w:t>In its vagueness, the</w:t>
      </w:r>
      <w:r w:rsidR="00502AB3" w:rsidRPr="003328F7">
        <w:rPr>
          <w:rFonts w:ascii="Arial" w:hAnsi="Arial" w:cs="Arial"/>
        </w:rPr>
        <w:t xml:space="preserve"> point is bereft of any merit.</w:t>
      </w:r>
    </w:p>
    <w:p w14:paraId="3BA04A19" w14:textId="77777777" w:rsidR="00CA6B42" w:rsidRDefault="00CA6B42" w:rsidP="00CA6B42">
      <w:pPr>
        <w:pStyle w:val="ListParagraph"/>
        <w:tabs>
          <w:tab w:val="left" w:pos="709"/>
          <w:tab w:val="left" w:pos="1418"/>
        </w:tabs>
        <w:spacing w:after="0" w:line="360" w:lineRule="auto"/>
        <w:ind w:left="0"/>
        <w:jc w:val="both"/>
        <w:rPr>
          <w:rFonts w:ascii="Arial" w:hAnsi="Arial" w:cs="Arial"/>
          <w:sz w:val="24"/>
          <w:szCs w:val="24"/>
          <w:lang w:val="en-ZA"/>
        </w:rPr>
      </w:pPr>
    </w:p>
    <w:p w14:paraId="0F47627F" w14:textId="6C2E6F21" w:rsidR="00E278C5" w:rsidRPr="006B71FA" w:rsidRDefault="003328F7" w:rsidP="003328F7">
      <w:pPr>
        <w:pStyle w:val="NormalWeb"/>
        <w:tabs>
          <w:tab w:val="left" w:pos="709"/>
        </w:tabs>
        <w:spacing w:before="0" w:beforeAutospacing="0" w:after="0" w:afterAutospacing="0" w:line="360" w:lineRule="auto"/>
        <w:jc w:val="both"/>
        <w:rPr>
          <w:rFonts w:ascii="Arial" w:hAnsi="Arial" w:cs="Arial"/>
          <w:sz w:val="22"/>
          <w:szCs w:val="22"/>
          <w:lang w:val="en-ZA"/>
        </w:rPr>
      </w:pPr>
      <w:r w:rsidRPr="006B71FA">
        <w:rPr>
          <w:rFonts w:ascii="Arial" w:hAnsi="Arial" w:cs="Arial"/>
          <w:color w:val="000000" w:themeColor="text1"/>
          <w:lang w:val="en-ZA"/>
        </w:rPr>
        <w:lastRenderedPageBreak/>
        <w:t>[39]</w:t>
      </w:r>
      <w:r w:rsidRPr="006B71FA">
        <w:rPr>
          <w:rFonts w:ascii="Arial" w:hAnsi="Arial" w:cs="Arial"/>
          <w:color w:val="000000" w:themeColor="text1"/>
          <w:lang w:val="en-ZA"/>
        </w:rPr>
        <w:tab/>
      </w:r>
      <w:r w:rsidR="00BD0326" w:rsidRPr="006B71FA">
        <w:rPr>
          <w:rFonts w:ascii="Arial" w:hAnsi="Arial" w:cs="Arial"/>
          <w:lang w:val="en-ZA"/>
        </w:rPr>
        <w:t>Dealing with the second point, i</w:t>
      </w:r>
      <w:r w:rsidR="00502AB3" w:rsidRPr="006B71FA">
        <w:rPr>
          <w:rFonts w:ascii="Arial" w:hAnsi="Arial" w:cs="Arial"/>
          <w:lang w:val="en-ZA"/>
        </w:rPr>
        <w:t xml:space="preserve">n terms of </w:t>
      </w:r>
      <w:r w:rsidR="000645DA" w:rsidRPr="006B71FA">
        <w:rPr>
          <w:rFonts w:ascii="Arial" w:hAnsi="Arial" w:cs="Arial"/>
          <w:lang w:val="en-ZA"/>
        </w:rPr>
        <w:t>both</w:t>
      </w:r>
      <w:r w:rsidR="00502AB3" w:rsidRPr="006B71FA">
        <w:rPr>
          <w:rFonts w:ascii="Arial" w:hAnsi="Arial" w:cs="Arial"/>
          <w:lang w:val="en-ZA"/>
        </w:rPr>
        <w:t xml:space="preserve"> deeds of suretyship it was agreed that the applicant could establish the indebtedness of the company to it by way of a certificate </w:t>
      </w:r>
      <w:r w:rsidR="000645DA" w:rsidRPr="006B71FA">
        <w:rPr>
          <w:rFonts w:ascii="Arial" w:hAnsi="Arial" w:cs="Arial"/>
          <w:lang w:val="en-ZA"/>
        </w:rPr>
        <w:t xml:space="preserve">signed by a manager of the applicant whose appointment it would not </w:t>
      </w:r>
      <w:r w:rsidR="00163240">
        <w:rPr>
          <w:rFonts w:ascii="Arial" w:hAnsi="Arial" w:cs="Arial"/>
          <w:lang w:val="en-ZA"/>
        </w:rPr>
        <w:t>have</w:t>
      </w:r>
      <w:r w:rsidR="000645DA" w:rsidRPr="006B71FA">
        <w:rPr>
          <w:rFonts w:ascii="Arial" w:hAnsi="Arial" w:cs="Arial"/>
          <w:lang w:val="en-ZA"/>
        </w:rPr>
        <w:t xml:space="preserve"> to prove</w:t>
      </w:r>
      <w:r w:rsidR="005854FB" w:rsidRPr="006B71FA">
        <w:rPr>
          <w:rFonts w:ascii="Arial" w:hAnsi="Arial" w:cs="Arial"/>
          <w:lang w:val="en-ZA"/>
        </w:rPr>
        <w:t xml:space="preserve"> and that such certificate would be</w:t>
      </w:r>
      <w:r w:rsidR="006B71FA" w:rsidRPr="006B71FA">
        <w:rPr>
          <w:rFonts w:ascii="Arial" w:hAnsi="Arial" w:cs="Arial"/>
          <w:lang w:val="en-ZA"/>
        </w:rPr>
        <w:t xml:space="preserve"> </w:t>
      </w:r>
      <w:r w:rsidR="005854FB" w:rsidRPr="006B71FA">
        <w:rPr>
          <w:rFonts w:ascii="Arial" w:hAnsi="Arial" w:cs="Arial"/>
          <w:lang w:val="en-ZA"/>
        </w:rPr>
        <w:t>‘sufficient (prima facie) proof of this amount’.</w:t>
      </w:r>
      <w:r w:rsidR="000645DA" w:rsidRPr="006B71FA">
        <w:rPr>
          <w:rFonts w:ascii="Arial" w:hAnsi="Arial" w:cs="Arial"/>
          <w:sz w:val="22"/>
          <w:szCs w:val="22"/>
          <w:lang w:val="en-ZA"/>
        </w:rPr>
        <w:t xml:space="preserve"> </w:t>
      </w:r>
    </w:p>
    <w:p w14:paraId="409A6B91" w14:textId="77777777" w:rsidR="005854FB" w:rsidRPr="00374C46" w:rsidRDefault="005854FB" w:rsidP="00E278C5">
      <w:pPr>
        <w:pStyle w:val="NormalWeb"/>
        <w:tabs>
          <w:tab w:val="left" w:pos="709"/>
        </w:tabs>
        <w:spacing w:before="0" w:beforeAutospacing="0" w:after="0" w:afterAutospacing="0" w:line="360" w:lineRule="auto"/>
        <w:jc w:val="both"/>
        <w:rPr>
          <w:rFonts w:asciiTheme="minorBidi" w:hAnsiTheme="minorBidi" w:cstheme="minorBidi"/>
          <w:color w:val="242121"/>
        </w:rPr>
      </w:pPr>
      <w:r>
        <w:rPr>
          <w:rFonts w:ascii="Arial" w:hAnsi="Arial" w:cs="Arial"/>
          <w:lang w:val="en-ZA"/>
        </w:rPr>
        <w:t>As was stated by Stratford JA in</w:t>
      </w:r>
      <w:r w:rsidRPr="00374C46">
        <w:rPr>
          <w:rStyle w:val="apple-converted-space"/>
          <w:rFonts w:asciiTheme="minorBidi" w:hAnsiTheme="minorBidi" w:cstheme="minorBidi"/>
          <w:color w:val="242121"/>
        </w:rPr>
        <w:t> </w:t>
      </w:r>
      <w:r w:rsidRPr="00374C46">
        <w:rPr>
          <w:rFonts w:asciiTheme="minorBidi" w:hAnsiTheme="minorBidi" w:cstheme="minorBidi"/>
          <w:i/>
          <w:iCs/>
          <w:color w:val="242121"/>
        </w:rPr>
        <w:t xml:space="preserve">Ex parte </w:t>
      </w:r>
      <w:r w:rsidR="009E4CEA">
        <w:rPr>
          <w:rFonts w:asciiTheme="minorBidi" w:hAnsiTheme="minorBidi" w:cstheme="minorBidi"/>
          <w:i/>
          <w:iCs/>
          <w:color w:val="242121"/>
        </w:rPr>
        <w:t xml:space="preserve">the </w:t>
      </w:r>
      <w:r w:rsidRPr="00374C46">
        <w:rPr>
          <w:rFonts w:asciiTheme="minorBidi" w:hAnsiTheme="minorBidi" w:cstheme="minorBidi"/>
          <w:i/>
          <w:iCs/>
          <w:color w:val="242121"/>
        </w:rPr>
        <w:t>Minister of Justice: In re R</w:t>
      </w:r>
      <w:r w:rsidR="009E4CEA">
        <w:rPr>
          <w:rFonts w:asciiTheme="minorBidi" w:hAnsiTheme="minorBidi" w:cstheme="minorBidi"/>
          <w:i/>
          <w:iCs/>
          <w:color w:val="242121"/>
        </w:rPr>
        <w:t>ex</w:t>
      </w:r>
      <w:r w:rsidRPr="00374C46">
        <w:rPr>
          <w:rFonts w:asciiTheme="minorBidi" w:hAnsiTheme="minorBidi" w:cstheme="minorBidi"/>
          <w:i/>
          <w:iCs/>
          <w:color w:val="242121"/>
        </w:rPr>
        <w:t xml:space="preserve"> v Jacobson and Levy</w:t>
      </w:r>
      <w:r>
        <w:rPr>
          <w:rFonts w:asciiTheme="minorBidi" w:hAnsiTheme="minorBidi" w:cstheme="minorBidi"/>
          <w:color w:val="242121"/>
        </w:rPr>
        <w:t>:</w:t>
      </w:r>
      <w:r w:rsidRPr="005564FB">
        <w:rPr>
          <w:rStyle w:val="FootnoteReference"/>
          <w:rFonts w:asciiTheme="minorBidi" w:hAnsiTheme="minorBidi" w:cstheme="minorBidi"/>
          <w:color w:val="242121"/>
        </w:rPr>
        <w:footnoteReference w:id="16"/>
      </w:r>
    </w:p>
    <w:p w14:paraId="7F1D73D0" w14:textId="77777777" w:rsidR="005854FB" w:rsidRDefault="005854FB" w:rsidP="005854FB">
      <w:pPr>
        <w:pStyle w:val="NormalWeb"/>
        <w:tabs>
          <w:tab w:val="left" w:pos="709"/>
        </w:tabs>
        <w:spacing w:before="0" w:beforeAutospacing="0" w:after="0" w:afterAutospacing="0" w:line="360" w:lineRule="auto"/>
        <w:jc w:val="both"/>
        <w:rPr>
          <w:rFonts w:asciiTheme="minorBidi" w:hAnsiTheme="minorBidi" w:cstheme="minorBidi"/>
          <w:color w:val="242121"/>
          <w:sz w:val="22"/>
          <w:szCs w:val="22"/>
        </w:rPr>
      </w:pPr>
      <w:r w:rsidRPr="004C5BE2">
        <w:rPr>
          <w:rFonts w:asciiTheme="minorBidi" w:hAnsiTheme="minorBidi" w:cstheme="minorBidi"/>
          <w:iCs/>
          <w:color w:val="242121"/>
          <w:sz w:val="22"/>
          <w:szCs w:val="22"/>
        </w:rPr>
        <w:t>‘</w:t>
      </w:r>
      <w:r w:rsidR="004C5BE2" w:rsidRPr="004C5BE2">
        <w:rPr>
          <w:rFonts w:asciiTheme="minorBidi" w:hAnsiTheme="minorBidi" w:cstheme="minorBidi"/>
          <w:iCs/>
          <w:color w:val="242121"/>
          <w:sz w:val="22"/>
          <w:szCs w:val="22"/>
        </w:rPr>
        <w:t>”</w:t>
      </w:r>
      <w:r w:rsidRPr="004C5BE2">
        <w:rPr>
          <w:rFonts w:asciiTheme="minorBidi" w:hAnsiTheme="minorBidi" w:cstheme="minorBidi"/>
          <w:i/>
          <w:color w:val="242121"/>
          <w:sz w:val="22"/>
          <w:szCs w:val="22"/>
        </w:rPr>
        <w:t>Prima facie</w:t>
      </w:r>
      <w:r w:rsidR="004C5BE2" w:rsidRPr="004C5BE2">
        <w:rPr>
          <w:rFonts w:asciiTheme="minorBidi" w:hAnsiTheme="minorBidi" w:cstheme="minorBidi"/>
          <w:color w:val="242121"/>
          <w:sz w:val="22"/>
          <w:szCs w:val="22"/>
        </w:rPr>
        <w:t>”</w:t>
      </w:r>
      <w:r w:rsidRPr="00374C46">
        <w:rPr>
          <w:rFonts w:asciiTheme="minorBidi" w:hAnsiTheme="minorBidi" w:cstheme="minorBidi"/>
          <w:color w:val="242121"/>
          <w:sz w:val="22"/>
          <w:szCs w:val="22"/>
        </w:rPr>
        <w:t xml:space="preserve"> evidence in its more usual sense, is used to mean prima facie proof of an issue the burden of proving which is upon the party giving that evidence.’</w:t>
      </w:r>
    </w:p>
    <w:p w14:paraId="27F0E01C" w14:textId="77777777" w:rsidR="004E7F76" w:rsidRDefault="000645DA" w:rsidP="005854FB">
      <w:pPr>
        <w:pStyle w:val="NormalWeb"/>
        <w:tabs>
          <w:tab w:val="left" w:pos="709"/>
        </w:tabs>
        <w:spacing w:before="0" w:beforeAutospacing="0" w:after="0" w:afterAutospacing="0" w:line="360" w:lineRule="auto"/>
        <w:jc w:val="both"/>
        <w:rPr>
          <w:rFonts w:asciiTheme="minorBidi" w:hAnsiTheme="minorBidi" w:cstheme="minorBidi"/>
          <w:color w:val="242121"/>
        </w:rPr>
      </w:pPr>
      <w:r>
        <w:rPr>
          <w:rFonts w:ascii="Arial" w:hAnsi="Arial" w:cs="Arial"/>
          <w:lang w:val="en-ZA"/>
        </w:rPr>
        <w:t xml:space="preserve">Such a certificate has been put up. In such circumstances, the respondents bear an evidential onus to establish that the certificate is incorrect that goes beyond merely </w:t>
      </w:r>
      <w:r w:rsidR="000A0C69">
        <w:rPr>
          <w:rFonts w:ascii="Arial" w:hAnsi="Arial" w:cs="Arial"/>
          <w:lang w:val="en-ZA"/>
        </w:rPr>
        <w:t>alleging</w:t>
      </w:r>
      <w:r>
        <w:rPr>
          <w:rFonts w:ascii="Arial" w:hAnsi="Arial" w:cs="Arial"/>
          <w:lang w:val="en-ZA"/>
        </w:rPr>
        <w:t xml:space="preserve"> that it is unreliable.</w:t>
      </w:r>
      <w:r>
        <w:rPr>
          <w:rStyle w:val="FootnoteReference"/>
          <w:rFonts w:ascii="Arial" w:hAnsi="Arial" w:cs="Arial"/>
          <w:lang w:val="en-ZA"/>
        </w:rPr>
        <w:footnoteReference w:id="17"/>
      </w:r>
      <w:r>
        <w:rPr>
          <w:rFonts w:ascii="Arial" w:hAnsi="Arial" w:cs="Arial"/>
          <w:lang w:val="en-ZA"/>
        </w:rPr>
        <w:t xml:space="preserve"> </w:t>
      </w:r>
      <w:r w:rsidR="004E7F76" w:rsidRPr="004E7F76">
        <w:rPr>
          <w:rFonts w:asciiTheme="minorBidi" w:hAnsiTheme="minorBidi" w:cstheme="minorBidi"/>
          <w:color w:val="242121"/>
        </w:rPr>
        <w:t xml:space="preserve">Where </w:t>
      </w:r>
      <w:r w:rsidR="004E7F76">
        <w:rPr>
          <w:rFonts w:asciiTheme="minorBidi" w:hAnsiTheme="minorBidi" w:cstheme="minorBidi"/>
          <w:color w:val="242121"/>
        </w:rPr>
        <w:t xml:space="preserve">nothing is proved to disturb </w:t>
      </w:r>
      <w:r w:rsidR="003452EF">
        <w:rPr>
          <w:rFonts w:asciiTheme="minorBidi" w:hAnsiTheme="minorBidi" w:cstheme="minorBidi"/>
          <w:color w:val="242121"/>
        </w:rPr>
        <w:t xml:space="preserve">the </w:t>
      </w:r>
      <w:r w:rsidR="004E7F76">
        <w:rPr>
          <w:rFonts w:asciiTheme="minorBidi" w:hAnsiTheme="minorBidi" w:cstheme="minorBidi"/>
          <w:color w:val="242121"/>
        </w:rPr>
        <w:t>prima facie proof</w:t>
      </w:r>
      <w:r w:rsidR="003452EF">
        <w:rPr>
          <w:rFonts w:asciiTheme="minorBidi" w:hAnsiTheme="minorBidi" w:cstheme="minorBidi"/>
          <w:color w:val="242121"/>
        </w:rPr>
        <w:t xml:space="preserve"> of the content of a certificate of balance</w:t>
      </w:r>
      <w:r w:rsidR="004E7F76">
        <w:rPr>
          <w:rFonts w:asciiTheme="minorBidi" w:hAnsiTheme="minorBidi" w:cstheme="minorBidi"/>
          <w:color w:val="242121"/>
        </w:rPr>
        <w:t xml:space="preserve">, it becomes conclusive proof of the facts stated </w:t>
      </w:r>
      <w:r w:rsidR="003452EF">
        <w:rPr>
          <w:rFonts w:asciiTheme="minorBidi" w:hAnsiTheme="minorBidi" w:cstheme="minorBidi"/>
          <w:color w:val="242121"/>
        </w:rPr>
        <w:t>therein</w:t>
      </w:r>
      <w:r w:rsidR="004E7F76">
        <w:rPr>
          <w:rFonts w:asciiTheme="minorBidi" w:hAnsiTheme="minorBidi" w:cstheme="minorBidi"/>
          <w:color w:val="242121"/>
        </w:rPr>
        <w:t xml:space="preserve">. </w:t>
      </w:r>
      <w:r w:rsidR="003452EF">
        <w:rPr>
          <w:rFonts w:ascii="Arial" w:hAnsi="Arial" w:cs="Arial"/>
          <w:lang w:val="en-ZA"/>
        </w:rPr>
        <w:t xml:space="preserve">The respondents have made no reference to any facts that could cast doubt on the correctness of the certificate of balance put up. The suggestion that the certificate of balance is unreliable appears </w:t>
      </w:r>
      <w:r w:rsidR="00536ACF">
        <w:rPr>
          <w:rFonts w:ascii="Arial" w:hAnsi="Arial" w:cs="Arial"/>
          <w:lang w:val="en-ZA"/>
        </w:rPr>
        <w:t xml:space="preserve">only </w:t>
      </w:r>
      <w:r w:rsidR="003452EF">
        <w:rPr>
          <w:rFonts w:ascii="Arial" w:hAnsi="Arial" w:cs="Arial"/>
          <w:lang w:val="en-ZA"/>
        </w:rPr>
        <w:t>in the respondents’ counsel’s heads of argument.</w:t>
      </w:r>
      <w:r w:rsidR="004C5BE2">
        <w:rPr>
          <w:rFonts w:ascii="Arial" w:hAnsi="Arial" w:cs="Arial"/>
          <w:lang w:val="en-ZA"/>
        </w:rPr>
        <w:t xml:space="preserve"> </w:t>
      </w:r>
      <w:r w:rsidR="004E7F76">
        <w:rPr>
          <w:rFonts w:asciiTheme="minorBidi" w:hAnsiTheme="minorBidi" w:cstheme="minorBidi"/>
          <w:color w:val="242121"/>
        </w:rPr>
        <w:t>There is accordingly no basis for doubting the accuracy of what is stated in the certificate of balance.</w:t>
      </w:r>
    </w:p>
    <w:p w14:paraId="5ED25B3A" w14:textId="77777777" w:rsidR="004E7F76" w:rsidRPr="004E7F76" w:rsidRDefault="004E7F76" w:rsidP="005564FB">
      <w:pPr>
        <w:pStyle w:val="NormalWeb"/>
        <w:tabs>
          <w:tab w:val="left" w:pos="709"/>
        </w:tabs>
        <w:spacing w:before="0" w:beforeAutospacing="0" w:after="0" w:afterAutospacing="0" w:line="360" w:lineRule="auto"/>
        <w:jc w:val="both"/>
        <w:rPr>
          <w:rFonts w:asciiTheme="minorBidi" w:hAnsiTheme="minorBidi" w:cstheme="minorBidi"/>
          <w:color w:val="242121"/>
        </w:rPr>
      </w:pPr>
      <w:r>
        <w:rPr>
          <w:rFonts w:asciiTheme="minorBidi" w:hAnsiTheme="minorBidi" w:cstheme="minorBidi"/>
          <w:color w:val="242121"/>
        </w:rPr>
        <w:t xml:space="preserve"> </w:t>
      </w:r>
    </w:p>
    <w:p w14:paraId="47029DBB" w14:textId="14AB441E" w:rsidR="00731ADD"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[40]</w:t>
      </w:r>
      <w:r>
        <w:rPr>
          <w:rFonts w:ascii="Arial" w:eastAsiaTheme="minorHAnsi" w:hAnsi="Arial" w:cs="Arial"/>
          <w:color w:val="000000" w:themeColor="text1"/>
          <w:lang w:eastAsia="en-US" w:bidi="ar-SA"/>
        </w:rPr>
        <w:tab/>
      </w:r>
      <w:r w:rsidR="003452EF" w:rsidRPr="003328F7">
        <w:rPr>
          <w:rFonts w:ascii="Arial" w:hAnsi="Arial" w:cs="Arial"/>
        </w:rPr>
        <w:t xml:space="preserve">Turning to the third point, </w:t>
      </w:r>
      <w:r w:rsidR="004E7F76" w:rsidRPr="003328F7">
        <w:rPr>
          <w:rFonts w:ascii="Arial" w:hAnsi="Arial" w:cs="Arial"/>
        </w:rPr>
        <w:t>I should have been very surprised if there had been no interaction between the applicant and the duly appointed liquidator of the company</w:t>
      </w:r>
      <w:r w:rsidR="003452EF" w:rsidRPr="003328F7">
        <w:rPr>
          <w:rFonts w:ascii="Arial" w:hAnsi="Arial" w:cs="Arial"/>
        </w:rPr>
        <w:t>.</w:t>
      </w:r>
      <w:r w:rsidR="004E7F76" w:rsidRPr="003328F7">
        <w:rPr>
          <w:rFonts w:ascii="Arial" w:hAnsi="Arial" w:cs="Arial"/>
        </w:rPr>
        <w:t xml:space="preserve"> The applicant is obviously a substantial creditor of the company and it is to be expected that it would </w:t>
      </w:r>
      <w:r w:rsidR="00731ADD" w:rsidRPr="003328F7">
        <w:rPr>
          <w:rFonts w:ascii="Arial" w:hAnsi="Arial" w:cs="Arial"/>
        </w:rPr>
        <w:t xml:space="preserve">have dealings with the liquidator. The </w:t>
      </w:r>
      <w:r w:rsidR="003452EF" w:rsidRPr="003328F7">
        <w:rPr>
          <w:rFonts w:ascii="Arial" w:hAnsi="Arial" w:cs="Arial"/>
        </w:rPr>
        <w:t>suggestion by the r</w:t>
      </w:r>
      <w:r w:rsidR="00731ADD" w:rsidRPr="003328F7">
        <w:rPr>
          <w:rFonts w:ascii="Arial" w:hAnsi="Arial" w:cs="Arial"/>
        </w:rPr>
        <w:t xml:space="preserve">espondents </w:t>
      </w:r>
      <w:r w:rsidR="003452EF" w:rsidRPr="003328F7">
        <w:rPr>
          <w:rFonts w:ascii="Arial" w:hAnsi="Arial" w:cs="Arial"/>
        </w:rPr>
        <w:t xml:space="preserve">is that there is something unsatisfactory about this. I am not able to share this sentiment </w:t>
      </w:r>
      <w:r w:rsidR="00731ADD" w:rsidRPr="003328F7">
        <w:rPr>
          <w:rFonts w:ascii="Arial" w:hAnsi="Arial" w:cs="Arial"/>
        </w:rPr>
        <w:t>in the absence of any facts advanced to prop up this aspersion</w:t>
      </w:r>
      <w:r w:rsidR="003452EF" w:rsidRPr="003328F7">
        <w:rPr>
          <w:rFonts w:ascii="Arial" w:hAnsi="Arial" w:cs="Arial"/>
        </w:rPr>
        <w:t xml:space="preserve">. </w:t>
      </w:r>
      <w:r w:rsidR="004C5BE2" w:rsidRPr="003328F7">
        <w:rPr>
          <w:rFonts w:ascii="Arial" w:hAnsi="Arial" w:cs="Arial"/>
        </w:rPr>
        <w:t>W</w:t>
      </w:r>
      <w:r w:rsidR="00731ADD" w:rsidRPr="003328F7">
        <w:rPr>
          <w:rFonts w:ascii="Arial" w:hAnsi="Arial" w:cs="Arial"/>
        </w:rPr>
        <w:t xml:space="preserve">hat proceedings against </w:t>
      </w:r>
      <w:r w:rsidR="008B30F8" w:rsidRPr="003328F7">
        <w:rPr>
          <w:rFonts w:ascii="Arial" w:hAnsi="Arial" w:cs="Arial"/>
        </w:rPr>
        <w:t>EAT</w:t>
      </w:r>
      <w:r w:rsidR="00731ADD" w:rsidRPr="003328F7">
        <w:rPr>
          <w:rFonts w:ascii="Arial" w:hAnsi="Arial" w:cs="Arial"/>
        </w:rPr>
        <w:t xml:space="preserve"> are being referred to and what payment apparently was received from National Pride is not clear from the answering affidavit.</w:t>
      </w:r>
      <w:r w:rsidR="003D3B34" w:rsidRPr="003328F7">
        <w:rPr>
          <w:rFonts w:ascii="Arial" w:hAnsi="Arial" w:cs="Arial"/>
        </w:rPr>
        <w:t xml:space="preserve"> The point must be dismissed.</w:t>
      </w:r>
    </w:p>
    <w:p w14:paraId="4A69EAB8" w14:textId="77777777" w:rsidR="00BE1287" w:rsidRDefault="00BE1287" w:rsidP="00BE1287">
      <w:pPr>
        <w:pStyle w:val="ListParagraph"/>
        <w:tabs>
          <w:tab w:val="left" w:pos="709"/>
          <w:tab w:val="left" w:pos="1418"/>
        </w:tabs>
        <w:spacing w:after="0" w:line="360" w:lineRule="auto"/>
        <w:ind w:left="0"/>
        <w:jc w:val="both"/>
        <w:rPr>
          <w:rFonts w:ascii="Arial" w:hAnsi="Arial" w:cs="Arial"/>
          <w:sz w:val="24"/>
          <w:szCs w:val="24"/>
          <w:lang w:val="en-ZA"/>
        </w:rPr>
      </w:pPr>
    </w:p>
    <w:p w14:paraId="5C5E823D" w14:textId="7210E23D" w:rsidR="00D84BE9"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[41]</w:t>
      </w:r>
      <w:r>
        <w:rPr>
          <w:rFonts w:ascii="Arial" w:eastAsiaTheme="minorHAnsi" w:hAnsi="Arial" w:cs="Arial"/>
          <w:color w:val="000000" w:themeColor="text1"/>
          <w:lang w:eastAsia="en-US" w:bidi="ar-SA"/>
        </w:rPr>
        <w:tab/>
      </w:r>
      <w:r w:rsidR="00731ADD" w:rsidRPr="003328F7">
        <w:rPr>
          <w:rFonts w:ascii="Arial" w:hAnsi="Arial" w:cs="Arial"/>
        </w:rPr>
        <w:t>The</w:t>
      </w:r>
      <w:r w:rsidR="003452EF" w:rsidRPr="003328F7">
        <w:rPr>
          <w:rFonts w:ascii="Arial" w:hAnsi="Arial" w:cs="Arial"/>
        </w:rPr>
        <w:t xml:space="preserve"> fourth point taken by the respondents is an</w:t>
      </w:r>
      <w:r w:rsidR="00731ADD" w:rsidRPr="003328F7">
        <w:rPr>
          <w:rFonts w:ascii="Arial" w:hAnsi="Arial" w:cs="Arial"/>
        </w:rPr>
        <w:t xml:space="preserve"> allegation that the applicant has not provided a full computation of the amount owed to it by the company</w:t>
      </w:r>
      <w:r w:rsidR="003452EF" w:rsidRPr="003328F7">
        <w:rPr>
          <w:rFonts w:ascii="Arial" w:hAnsi="Arial" w:cs="Arial"/>
        </w:rPr>
        <w:t>. This</w:t>
      </w:r>
      <w:r w:rsidR="00731ADD" w:rsidRPr="003328F7">
        <w:rPr>
          <w:rFonts w:ascii="Arial" w:hAnsi="Arial" w:cs="Arial"/>
        </w:rPr>
        <w:t>,</w:t>
      </w:r>
      <w:r w:rsidR="003452EF" w:rsidRPr="003328F7">
        <w:rPr>
          <w:rFonts w:ascii="Arial" w:hAnsi="Arial" w:cs="Arial"/>
        </w:rPr>
        <w:t xml:space="preserve"> with respect,</w:t>
      </w:r>
      <w:r w:rsidR="00731ADD" w:rsidRPr="003328F7">
        <w:rPr>
          <w:rFonts w:ascii="Arial" w:hAnsi="Arial" w:cs="Arial"/>
        </w:rPr>
        <w:t xml:space="preserve"> misses the </w:t>
      </w:r>
      <w:r w:rsidR="009F5AF3" w:rsidRPr="003328F7">
        <w:rPr>
          <w:rFonts w:ascii="Arial" w:hAnsi="Arial" w:cs="Arial"/>
        </w:rPr>
        <w:t xml:space="preserve">purpose </w:t>
      </w:r>
      <w:r w:rsidR="00731ADD" w:rsidRPr="003328F7">
        <w:rPr>
          <w:rFonts w:ascii="Arial" w:hAnsi="Arial" w:cs="Arial"/>
        </w:rPr>
        <w:t xml:space="preserve">of a certificate of balance. The certificate of balance </w:t>
      </w:r>
      <w:r w:rsidR="00731ADD" w:rsidRPr="003328F7">
        <w:rPr>
          <w:rFonts w:ascii="Arial" w:hAnsi="Arial" w:cs="Arial"/>
        </w:rPr>
        <w:lastRenderedPageBreak/>
        <w:t xml:space="preserve">obviates the need for </w:t>
      </w:r>
      <w:r w:rsidR="00A20C0F" w:rsidRPr="003328F7">
        <w:rPr>
          <w:rFonts w:ascii="Arial" w:hAnsi="Arial" w:cs="Arial"/>
        </w:rPr>
        <w:t>such a calculation</w:t>
      </w:r>
      <w:r w:rsidR="003452EF" w:rsidRPr="003328F7">
        <w:rPr>
          <w:rFonts w:ascii="Arial" w:hAnsi="Arial" w:cs="Arial"/>
        </w:rPr>
        <w:t xml:space="preserve"> unless it has properly been chal</w:t>
      </w:r>
      <w:r w:rsidR="0030359A" w:rsidRPr="003328F7">
        <w:rPr>
          <w:rFonts w:ascii="Arial" w:hAnsi="Arial" w:cs="Arial"/>
        </w:rPr>
        <w:t>lenged</w:t>
      </w:r>
      <w:r w:rsidR="008B30F8" w:rsidRPr="003328F7">
        <w:rPr>
          <w:rFonts w:ascii="Arial" w:hAnsi="Arial" w:cs="Arial"/>
        </w:rPr>
        <w:t>.</w:t>
      </w:r>
      <w:r w:rsidR="0030359A" w:rsidRPr="003328F7">
        <w:rPr>
          <w:rFonts w:ascii="Arial" w:hAnsi="Arial" w:cs="Arial"/>
        </w:rPr>
        <w:t xml:space="preserve"> I have already found that it has not been properly challenged.</w:t>
      </w:r>
      <w:r w:rsidR="008B30F8" w:rsidRPr="003328F7">
        <w:rPr>
          <w:rFonts w:ascii="Arial" w:hAnsi="Arial" w:cs="Arial"/>
        </w:rPr>
        <w:t xml:space="preserve"> This point has no merit</w:t>
      </w:r>
      <w:r w:rsidR="00A20C0F" w:rsidRPr="003328F7">
        <w:rPr>
          <w:rFonts w:ascii="Arial" w:hAnsi="Arial" w:cs="Arial"/>
        </w:rPr>
        <w:t>.</w:t>
      </w:r>
    </w:p>
    <w:p w14:paraId="30B73F7E" w14:textId="77777777" w:rsidR="00A20C0F" w:rsidRPr="00A20C0F" w:rsidRDefault="00A20C0F" w:rsidP="00AA65A5">
      <w:pPr>
        <w:pStyle w:val="ListParagraph"/>
        <w:spacing w:line="360" w:lineRule="auto"/>
        <w:rPr>
          <w:rFonts w:ascii="Arial" w:hAnsi="Arial" w:cs="Arial"/>
          <w:sz w:val="24"/>
          <w:szCs w:val="24"/>
          <w:lang w:val="en-ZA"/>
        </w:rPr>
      </w:pPr>
    </w:p>
    <w:p w14:paraId="010B9CBE" w14:textId="40028146" w:rsidR="00A20C0F"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[42]</w:t>
      </w:r>
      <w:r>
        <w:rPr>
          <w:rFonts w:ascii="Arial" w:eastAsiaTheme="minorHAnsi" w:hAnsi="Arial" w:cs="Arial"/>
          <w:color w:val="000000" w:themeColor="text1"/>
          <w:lang w:eastAsia="en-US" w:bidi="ar-SA"/>
        </w:rPr>
        <w:tab/>
      </w:r>
      <w:r w:rsidR="00A20C0F" w:rsidRPr="003328F7">
        <w:rPr>
          <w:rFonts w:ascii="Arial" w:hAnsi="Arial" w:cs="Arial"/>
        </w:rPr>
        <w:t xml:space="preserve">The </w:t>
      </w:r>
      <w:r w:rsidR="00930277" w:rsidRPr="003328F7">
        <w:rPr>
          <w:rFonts w:ascii="Arial" w:hAnsi="Arial" w:cs="Arial"/>
        </w:rPr>
        <w:t xml:space="preserve">final </w:t>
      </w:r>
      <w:r w:rsidR="0030359A" w:rsidRPr="003328F7">
        <w:rPr>
          <w:rFonts w:ascii="Arial" w:hAnsi="Arial" w:cs="Arial"/>
        </w:rPr>
        <w:t xml:space="preserve">point taken, </w:t>
      </w:r>
      <w:r w:rsidR="008B30F8" w:rsidRPr="003328F7">
        <w:rPr>
          <w:rFonts w:ascii="Arial" w:hAnsi="Arial" w:cs="Arial"/>
        </w:rPr>
        <w:t>namely that the applicant has not made out its case,</w:t>
      </w:r>
      <w:r w:rsidR="00930277" w:rsidRPr="003328F7">
        <w:rPr>
          <w:rFonts w:ascii="Arial" w:hAnsi="Arial" w:cs="Arial"/>
        </w:rPr>
        <w:t xml:space="preserve"> is not a defence </w:t>
      </w:r>
      <w:r w:rsidR="005F2482" w:rsidRPr="003328F7">
        <w:rPr>
          <w:rFonts w:ascii="Arial" w:hAnsi="Arial" w:cs="Arial"/>
        </w:rPr>
        <w:t xml:space="preserve">at all </w:t>
      </w:r>
      <w:r w:rsidR="00930277" w:rsidRPr="003328F7">
        <w:rPr>
          <w:rFonts w:ascii="Arial" w:hAnsi="Arial" w:cs="Arial"/>
        </w:rPr>
        <w:t>but is a conclusion. It</w:t>
      </w:r>
      <w:r w:rsidR="005F2482" w:rsidRPr="003328F7">
        <w:rPr>
          <w:rFonts w:ascii="Arial" w:hAnsi="Arial" w:cs="Arial"/>
        </w:rPr>
        <w:t>, too,</w:t>
      </w:r>
      <w:r w:rsidR="00930277" w:rsidRPr="003328F7">
        <w:rPr>
          <w:rFonts w:ascii="Arial" w:hAnsi="Arial" w:cs="Arial"/>
        </w:rPr>
        <w:t xml:space="preserve"> is </w:t>
      </w:r>
      <w:r w:rsidR="00A20C0F" w:rsidRPr="003328F7">
        <w:rPr>
          <w:rFonts w:ascii="Arial" w:hAnsi="Arial" w:cs="Arial"/>
        </w:rPr>
        <w:t xml:space="preserve">without merit. The </w:t>
      </w:r>
      <w:r w:rsidR="0030359A" w:rsidRPr="003328F7">
        <w:rPr>
          <w:rFonts w:ascii="Arial" w:hAnsi="Arial" w:cs="Arial"/>
        </w:rPr>
        <w:t xml:space="preserve">applicant has established that the </w:t>
      </w:r>
      <w:r w:rsidR="00A20C0F" w:rsidRPr="003328F7">
        <w:rPr>
          <w:rFonts w:ascii="Arial" w:hAnsi="Arial" w:cs="Arial"/>
        </w:rPr>
        <w:t xml:space="preserve">respondents undertook to stand </w:t>
      </w:r>
      <w:r w:rsidR="003E3939" w:rsidRPr="003328F7">
        <w:rPr>
          <w:rFonts w:ascii="Arial" w:hAnsi="Arial" w:cs="Arial"/>
        </w:rPr>
        <w:t xml:space="preserve">surety </w:t>
      </w:r>
      <w:r w:rsidR="00A20C0F" w:rsidRPr="003328F7">
        <w:rPr>
          <w:rFonts w:ascii="Arial" w:hAnsi="Arial" w:cs="Arial"/>
        </w:rPr>
        <w:t>for the debts of the company to the applicant and have now been called upon to act in accordance with that undertaking. They must honour it.</w:t>
      </w:r>
    </w:p>
    <w:p w14:paraId="3588E1F1" w14:textId="77777777" w:rsidR="00AA65A5" w:rsidRPr="00AA65A5" w:rsidRDefault="00AA65A5" w:rsidP="00AA65A5">
      <w:pPr>
        <w:pStyle w:val="ListParagraph"/>
        <w:spacing w:line="360" w:lineRule="auto"/>
        <w:rPr>
          <w:rFonts w:ascii="Arial" w:hAnsi="Arial" w:cs="Arial"/>
          <w:sz w:val="24"/>
          <w:szCs w:val="24"/>
          <w:lang w:val="en-ZA"/>
        </w:rPr>
      </w:pPr>
    </w:p>
    <w:p w14:paraId="5F50A7E0" w14:textId="095F042F" w:rsidR="00AA65A5" w:rsidRPr="003328F7" w:rsidRDefault="003328F7" w:rsidP="003328F7">
      <w:pPr>
        <w:tabs>
          <w:tab w:val="left" w:pos="709"/>
          <w:tab w:val="left" w:pos="1418"/>
        </w:tabs>
        <w:spacing w:line="360" w:lineRule="auto"/>
        <w:jc w:val="both"/>
        <w:rPr>
          <w:rFonts w:ascii="Arial" w:hAnsi="Arial" w:cs="Arial"/>
        </w:rPr>
      </w:pPr>
      <w:r>
        <w:rPr>
          <w:rFonts w:ascii="Arial" w:eastAsiaTheme="minorHAnsi" w:hAnsi="Arial" w:cs="Arial"/>
          <w:color w:val="000000" w:themeColor="text1"/>
          <w:lang w:eastAsia="en-US" w:bidi="ar-SA"/>
        </w:rPr>
        <w:t>[43]</w:t>
      </w:r>
      <w:r>
        <w:rPr>
          <w:rFonts w:ascii="Arial" w:eastAsiaTheme="minorHAnsi" w:hAnsi="Arial" w:cs="Arial"/>
          <w:color w:val="000000" w:themeColor="text1"/>
          <w:lang w:eastAsia="en-US" w:bidi="ar-SA"/>
        </w:rPr>
        <w:tab/>
      </w:r>
      <w:r w:rsidR="00AA65A5" w:rsidRPr="003328F7">
        <w:rPr>
          <w:rFonts w:ascii="Arial" w:hAnsi="Arial" w:cs="Arial"/>
        </w:rPr>
        <w:t>The principal and ancillary defences raised by the respondents have all failed. There is accordingly no reason why the judgment claimed by the applicant should not be granted.</w:t>
      </w:r>
    </w:p>
    <w:p w14:paraId="34453310" w14:textId="77777777" w:rsidR="00A20C0F" w:rsidRPr="00A20C0F" w:rsidRDefault="00A20C0F" w:rsidP="006D6F6F">
      <w:pPr>
        <w:pStyle w:val="ListParagraph"/>
        <w:spacing w:line="360" w:lineRule="auto"/>
        <w:rPr>
          <w:rFonts w:ascii="Arial" w:hAnsi="Arial" w:cs="Arial"/>
          <w:sz w:val="24"/>
          <w:szCs w:val="24"/>
          <w:lang w:val="en-ZA"/>
        </w:rPr>
      </w:pPr>
    </w:p>
    <w:p w14:paraId="5DC4BBDC" w14:textId="49E03BDD" w:rsidR="00A20C0F" w:rsidRPr="003328F7" w:rsidRDefault="003328F7" w:rsidP="003328F7">
      <w:pPr>
        <w:tabs>
          <w:tab w:val="left" w:pos="709"/>
          <w:tab w:val="left" w:pos="1418"/>
        </w:tabs>
        <w:spacing w:line="360" w:lineRule="auto"/>
        <w:jc w:val="both"/>
        <w:rPr>
          <w:rFonts w:ascii="Arial" w:hAnsi="Arial" w:cs="Arial"/>
        </w:rPr>
      </w:pPr>
      <w:r w:rsidRPr="0005695F">
        <w:rPr>
          <w:rFonts w:ascii="Arial" w:eastAsiaTheme="minorHAnsi" w:hAnsi="Arial" w:cs="Arial"/>
          <w:color w:val="000000" w:themeColor="text1"/>
          <w:lang w:eastAsia="en-US" w:bidi="ar-SA"/>
        </w:rPr>
        <w:t>[44]</w:t>
      </w:r>
      <w:r w:rsidRPr="0005695F">
        <w:rPr>
          <w:rFonts w:ascii="Arial" w:eastAsiaTheme="minorHAnsi" w:hAnsi="Arial" w:cs="Arial"/>
          <w:color w:val="000000" w:themeColor="text1"/>
          <w:lang w:eastAsia="en-US" w:bidi="ar-SA"/>
        </w:rPr>
        <w:tab/>
      </w:r>
      <w:r w:rsidR="00A20C0F" w:rsidRPr="003328F7">
        <w:rPr>
          <w:rFonts w:ascii="Arial" w:hAnsi="Arial" w:cs="Arial"/>
        </w:rPr>
        <w:t>I</w:t>
      </w:r>
      <w:r w:rsidR="002924E7" w:rsidRPr="003328F7">
        <w:rPr>
          <w:rFonts w:ascii="Arial" w:hAnsi="Arial" w:cs="Arial"/>
        </w:rPr>
        <w:t>n the circumstance</w:t>
      </w:r>
      <w:r w:rsidR="008B30F8" w:rsidRPr="003328F7">
        <w:rPr>
          <w:rFonts w:ascii="Arial" w:hAnsi="Arial" w:cs="Arial"/>
        </w:rPr>
        <w:t>s</w:t>
      </w:r>
      <w:r w:rsidR="002924E7" w:rsidRPr="003328F7">
        <w:rPr>
          <w:rFonts w:ascii="Arial" w:hAnsi="Arial" w:cs="Arial"/>
        </w:rPr>
        <w:t>, I</w:t>
      </w:r>
      <w:r w:rsidR="00A20C0F" w:rsidRPr="003328F7">
        <w:rPr>
          <w:rFonts w:ascii="Arial" w:hAnsi="Arial" w:cs="Arial"/>
        </w:rPr>
        <w:t xml:space="preserve"> </w:t>
      </w:r>
      <w:r w:rsidR="002924E7" w:rsidRPr="003328F7">
        <w:rPr>
          <w:rFonts w:ascii="Arial" w:hAnsi="Arial" w:cs="Arial"/>
        </w:rPr>
        <w:t>grant the following order</w:t>
      </w:r>
      <w:r w:rsidR="00A20C0F" w:rsidRPr="003328F7">
        <w:rPr>
          <w:rFonts w:ascii="Arial" w:hAnsi="Arial" w:cs="Arial"/>
        </w:rPr>
        <w:t>:</w:t>
      </w:r>
    </w:p>
    <w:p w14:paraId="5F67D8F6" w14:textId="5C378833" w:rsidR="0005695F" w:rsidRPr="003328F7" w:rsidRDefault="003328F7" w:rsidP="003328F7">
      <w:pPr>
        <w:tabs>
          <w:tab w:val="left" w:pos="709"/>
          <w:tab w:val="left" w:pos="1418"/>
        </w:tabs>
        <w:spacing w:line="360" w:lineRule="auto"/>
        <w:jc w:val="both"/>
        <w:rPr>
          <w:rFonts w:ascii="Arial" w:hAnsi="Arial" w:cs="Arial"/>
          <w:bCs/>
        </w:rPr>
      </w:pPr>
      <w:r w:rsidRPr="0005695F">
        <w:rPr>
          <w:rFonts w:ascii="Arial" w:hAnsi="Arial" w:cs="Arial"/>
          <w:bCs/>
        </w:rPr>
        <w:t>1.</w:t>
      </w:r>
      <w:r w:rsidRPr="0005695F">
        <w:rPr>
          <w:rFonts w:ascii="Arial" w:hAnsi="Arial" w:cs="Arial"/>
          <w:bCs/>
        </w:rPr>
        <w:tab/>
      </w:r>
      <w:r w:rsidR="008B30F8" w:rsidRPr="003328F7">
        <w:rPr>
          <w:rFonts w:ascii="Arial" w:hAnsi="Arial" w:cs="Arial"/>
          <w:bCs/>
        </w:rPr>
        <w:t xml:space="preserve">The respondents’ application to deliver a further answering affidavit is refused, </w:t>
      </w:r>
      <w:r w:rsidR="0005695F" w:rsidRPr="003328F7">
        <w:rPr>
          <w:rFonts w:ascii="Arial" w:hAnsi="Arial" w:cs="Arial"/>
          <w:bCs/>
        </w:rPr>
        <w:t>with costs on the attorney and client scale.</w:t>
      </w:r>
    </w:p>
    <w:p w14:paraId="2DFB40BE" w14:textId="40A534D4" w:rsidR="00070440" w:rsidRPr="003328F7" w:rsidRDefault="003328F7" w:rsidP="003328F7">
      <w:pPr>
        <w:tabs>
          <w:tab w:val="left" w:pos="709"/>
          <w:tab w:val="left" w:pos="1418"/>
        </w:tabs>
        <w:spacing w:line="360" w:lineRule="auto"/>
        <w:jc w:val="both"/>
        <w:rPr>
          <w:rFonts w:ascii="Arial" w:hAnsi="Arial" w:cs="Arial"/>
          <w:bCs/>
        </w:rPr>
      </w:pPr>
      <w:r w:rsidRPr="0005695F">
        <w:rPr>
          <w:rFonts w:ascii="Arial" w:eastAsiaTheme="minorHAnsi" w:hAnsi="Arial" w:cs="Arial"/>
          <w:bCs/>
          <w:lang w:val="en-GB" w:eastAsia="en-US" w:bidi="ar-SA"/>
        </w:rPr>
        <w:t>2.</w:t>
      </w:r>
      <w:r w:rsidRPr="0005695F">
        <w:rPr>
          <w:rFonts w:ascii="Arial" w:eastAsiaTheme="minorHAnsi" w:hAnsi="Arial" w:cs="Arial"/>
          <w:bCs/>
          <w:lang w:val="en-GB" w:eastAsia="en-US" w:bidi="ar-SA"/>
        </w:rPr>
        <w:tab/>
      </w:r>
      <w:r w:rsidR="00070440" w:rsidRPr="003328F7">
        <w:rPr>
          <w:rFonts w:ascii="Arial" w:hAnsi="Arial" w:cs="Arial"/>
          <w:bCs/>
        </w:rPr>
        <w:t>Judgment is entered against the respondents jointly and severally, the one paying the other to be absolved, for:</w:t>
      </w:r>
    </w:p>
    <w:p w14:paraId="1AEF77AB" w14:textId="6DE34302" w:rsidR="00070440" w:rsidRPr="003328F7" w:rsidRDefault="003328F7" w:rsidP="003328F7">
      <w:pPr>
        <w:spacing w:line="360" w:lineRule="auto"/>
        <w:ind w:left="709" w:hanging="709"/>
        <w:jc w:val="both"/>
        <w:rPr>
          <w:rFonts w:ascii="Arial" w:hAnsi="Arial" w:cs="Arial"/>
          <w:bCs/>
        </w:rPr>
      </w:pPr>
      <w:r w:rsidRPr="0005695F">
        <w:rPr>
          <w:rFonts w:ascii="Arial" w:hAnsi="Arial" w:cs="Arial"/>
          <w:bCs/>
          <w:i/>
          <w:iCs/>
        </w:rPr>
        <w:t>(a)</w:t>
      </w:r>
      <w:r w:rsidRPr="0005695F">
        <w:rPr>
          <w:rFonts w:ascii="Arial" w:hAnsi="Arial" w:cs="Arial"/>
          <w:bCs/>
          <w:i/>
          <w:iCs/>
        </w:rPr>
        <w:tab/>
      </w:r>
      <w:r w:rsidR="00070440" w:rsidRPr="003328F7">
        <w:rPr>
          <w:rFonts w:ascii="Arial" w:hAnsi="Arial" w:cs="Arial"/>
          <w:bCs/>
        </w:rPr>
        <w:t>Payment of the sum of R18 039 598.59;</w:t>
      </w:r>
    </w:p>
    <w:p w14:paraId="6FCE88E6" w14:textId="0580A354" w:rsidR="00070440" w:rsidRPr="003328F7" w:rsidRDefault="003328F7" w:rsidP="003328F7">
      <w:pPr>
        <w:spacing w:line="360" w:lineRule="auto"/>
        <w:ind w:left="709" w:hanging="709"/>
        <w:jc w:val="both"/>
        <w:rPr>
          <w:rFonts w:ascii="Arial" w:hAnsi="Arial" w:cs="Arial"/>
          <w:bCs/>
        </w:rPr>
      </w:pPr>
      <w:r w:rsidRPr="0005695F">
        <w:rPr>
          <w:rFonts w:ascii="Arial" w:hAnsi="Arial" w:cs="Arial"/>
          <w:bCs/>
          <w:i/>
          <w:iCs/>
        </w:rPr>
        <w:t>(b)</w:t>
      </w:r>
      <w:r w:rsidRPr="0005695F">
        <w:rPr>
          <w:rFonts w:ascii="Arial" w:hAnsi="Arial" w:cs="Arial"/>
          <w:bCs/>
          <w:i/>
          <w:iCs/>
        </w:rPr>
        <w:tab/>
      </w:r>
      <w:r w:rsidR="00070440" w:rsidRPr="003328F7">
        <w:rPr>
          <w:rFonts w:ascii="Arial" w:hAnsi="Arial" w:cs="Arial"/>
          <w:bCs/>
        </w:rPr>
        <w:t>Interest thereon at the rate of 8,25% (prime plus 1.00%) per annum capitalised monthly from 2 June 2020 to date of payment, both days included;</w:t>
      </w:r>
    </w:p>
    <w:p w14:paraId="6166DF15" w14:textId="6924A3D4" w:rsidR="00070440" w:rsidRPr="003328F7" w:rsidRDefault="003328F7" w:rsidP="003328F7">
      <w:pPr>
        <w:spacing w:line="360" w:lineRule="auto"/>
        <w:ind w:left="709" w:hanging="709"/>
        <w:jc w:val="both"/>
        <w:rPr>
          <w:rFonts w:ascii="Arial" w:hAnsi="Arial" w:cs="Arial"/>
          <w:bCs/>
        </w:rPr>
      </w:pPr>
      <w:r w:rsidRPr="0005695F">
        <w:rPr>
          <w:rFonts w:ascii="Arial" w:hAnsi="Arial" w:cs="Arial"/>
          <w:bCs/>
          <w:i/>
          <w:iCs/>
        </w:rPr>
        <w:t>(c)</w:t>
      </w:r>
      <w:r w:rsidRPr="0005695F">
        <w:rPr>
          <w:rFonts w:ascii="Arial" w:hAnsi="Arial" w:cs="Arial"/>
          <w:bCs/>
          <w:i/>
          <w:iCs/>
        </w:rPr>
        <w:tab/>
      </w:r>
      <w:r w:rsidR="00070440" w:rsidRPr="003328F7">
        <w:rPr>
          <w:rFonts w:ascii="Arial" w:hAnsi="Arial" w:cs="Arial"/>
          <w:bCs/>
        </w:rPr>
        <w:t>Costs of suit on the scale as between attorney and client.</w:t>
      </w:r>
    </w:p>
    <w:p w14:paraId="42890876" w14:textId="77777777" w:rsidR="00D84BE9" w:rsidRPr="0005695F" w:rsidRDefault="00D84BE9" w:rsidP="006D6F6F">
      <w:pPr>
        <w:tabs>
          <w:tab w:val="left" w:pos="1418"/>
        </w:tabs>
        <w:spacing w:line="360" w:lineRule="auto"/>
        <w:jc w:val="both"/>
        <w:rPr>
          <w:rFonts w:ascii="Arial" w:hAnsi="Arial" w:cs="Arial"/>
        </w:rPr>
      </w:pPr>
    </w:p>
    <w:p w14:paraId="1E167CEC" w14:textId="77777777" w:rsidR="00D84BE9" w:rsidRDefault="00D84BE9" w:rsidP="006D6F6F">
      <w:pPr>
        <w:tabs>
          <w:tab w:val="left" w:pos="1418"/>
        </w:tabs>
        <w:spacing w:line="360" w:lineRule="auto"/>
        <w:jc w:val="both"/>
        <w:rPr>
          <w:rFonts w:ascii="Arial" w:hAnsi="Arial" w:cs="Arial"/>
        </w:rPr>
      </w:pPr>
    </w:p>
    <w:p w14:paraId="5FC32C58" w14:textId="77777777" w:rsidR="00B13387" w:rsidRDefault="00B13387" w:rsidP="006D6F6F">
      <w:pPr>
        <w:tabs>
          <w:tab w:val="left" w:pos="1418"/>
        </w:tabs>
        <w:spacing w:line="360" w:lineRule="auto"/>
        <w:jc w:val="both"/>
        <w:rPr>
          <w:rFonts w:ascii="Arial" w:hAnsi="Arial" w:cs="Arial"/>
        </w:rPr>
      </w:pPr>
    </w:p>
    <w:p w14:paraId="3D973580" w14:textId="77777777" w:rsidR="00B13387" w:rsidRDefault="00B9752B" w:rsidP="00BE1287">
      <w:pPr>
        <w:tabs>
          <w:tab w:val="left" w:pos="1418"/>
        </w:tabs>
        <w:spacing w:line="360" w:lineRule="auto"/>
        <w:jc w:val="both"/>
        <w:rPr>
          <w:rFonts w:ascii="Arial" w:hAnsi="Arial" w:cs="Arial"/>
        </w:rPr>
      </w:pPr>
      <w:r>
        <w:rPr>
          <w:rFonts w:ascii="Arial" w:hAnsi="Arial" w:cs="Arial"/>
          <w:noProof/>
          <w:lang w:val="en-US" w:eastAsia="en-US" w:bidi="ar-SA"/>
        </w:rPr>
        <w:drawing>
          <wp:anchor distT="0" distB="0" distL="114300" distR="114300" simplePos="0" relativeHeight="251658240" behindDoc="1" locked="0" layoutInCell="1" allowOverlap="1" wp14:anchorId="4659A2E5" wp14:editId="77CB1536">
            <wp:simplePos x="0" y="0"/>
            <wp:positionH relativeFrom="column">
              <wp:posOffset>3596510</wp:posOffset>
            </wp:positionH>
            <wp:positionV relativeFrom="paragraph">
              <wp:posOffset>263767</wp:posOffset>
            </wp:positionV>
            <wp:extent cx="2110740" cy="582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EC4FC8" w14:textId="77777777" w:rsidR="00D84BE9" w:rsidRPr="00D90BC2" w:rsidRDefault="00B9752B" w:rsidP="00BE1287">
      <w:pPr>
        <w:tabs>
          <w:tab w:val="left" w:pos="1418"/>
        </w:tabs>
        <w:spacing w:line="360" w:lineRule="auto"/>
        <w:jc w:val="both"/>
        <w:rPr>
          <w:rFonts w:ascii="Arial" w:hAnsi="Arial" w:cs="Arial"/>
        </w:rPr>
      </w:pPr>
      <w:r>
        <w:rPr>
          <w:rFonts w:ascii="Arial" w:hAnsi="Arial" w:cs="Arial"/>
        </w:rPr>
        <w:tab/>
      </w:r>
    </w:p>
    <w:p w14:paraId="40BD9528" w14:textId="77777777" w:rsidR="0003659C" w:rsidRPr="00D90BC2" w:rsidRDefault="0003659C" w:rsidP="0003659C">
      <w:pPr>
        <w:tabs>
          <w:tab w:val="left" w:pos="1418"/>
        </w:tabs>
        <w:spacing w:line="360" w:lineRule="auto"/>
        <w:jc w:val="right"/>
        <w:rPr>
          <w:rFonts w:ascii="Arial" w:hAnsi="Arial" w:cs="Arial"/>
        </w:rPr>
      </w:pPr>
      <w:r w:rsidRPr="00D90BC2">
        <w:rPr>
          <w:rFonts w:ascii="Arial" w:hAnsi="Arial" w:cs="Arial"/>
        </w:rPr>
        <w:t>__________________________</w:t>
      </w:r>
    </w:p>
    <w:p w14:paraId="440FEFC8" w14:textId="77777777" w:rsidR="0003659C" w:rsidRPr="00D90BC2" w:rsidRDefault="0003659C" w:rsidP="0003659C">
      <w:pPr>
        <w:tabs>
          <w:tab w:val="left" w:pos="1418"/>
        </w:tabs>
        <w:spacing w:line="360" w:lineRule="auto"/>
        <w:jc w:val="right"/>
        <w:rPr>
          <w:rFonts w:ascii="Arial" w:hAnsi="Arial" w:cs="Arial"/>
        </w:rPr>
      </w:pPr>
    </w:p>
    <w:p w14:paraId="326E93BD" w14:textId="77777777" w:rsidR="0003659C" w:rsidRPr="00D90BC2" w:rsidRDefault="0003659C" w:rsidP="0003659C">
      <w:pPr>
        <w:tabs>
          <w:tab w:val="left" w:pos="1418"/>
        </w:tabs>
        <w:spacing w:line="360" w:lineRule="auto"/>
        <w:jc w:val="right"/>
        <w:rPr>
          <w:rFonts w:ascii="Arial" w:hAnsi="Arial" w:cs="Arial"/>
          <w:b/>
          <w:bCs/>
        </w:rPr>
      </w:pPr>
      <w:r w:rsidRPr="00D90BC2">
        <w:rPr>
          <w:rFonts w:ascii="Arial" w:hAnsi="Arial" w:cs="Arial"/>
          <w:b/>
          <w:bCs/>
        </w:rPr>
        <w:t>MOSSOP J</w:t>
      </w:r>
    </w:p>
    <w:p w14:paraId="57268975" w14:textId="77777777" w:rsidR="00F62514" w:rsidRDefault="00F62514" w:rsidP="00D53F40">
      <w:pPr>
        <w:spacing w:line="360" w:lineRule="auto"/>
        <w:jc w:val="center"/>
        <w:rPr>
          <w:rFonts w:ascii="Arial" w:eastAsia="Calibri" w:hAnsi="Arial" w:cs="Arial"/>
          <w:b/>
          <w:u w:val="single"/>
        </w:rPr>
      </w:pPr>
    </w:p>
    <w:p w14:paraId="7C743880" w14:textId="77777777" w:rsidR="008B30F8" w:rsidRDefault="008B30F8" w:rsidP="00D53F40">
      <w:pPr>
        <w:spacing w:line="360" w:lineRule="auto"/>
        <w:jc w:val="center"/>
        <w:rPr>
          <w:rFonts w:ascii="Arial" w:eastAsia="Calibri" w:hAnsi="Arial" w:cs="Arial"/>
          <w:b/>
          <w:u w:val="single"/>
        </w:rPr>
      </w:pPr>
    </w:p>
    <w:p w14:paraId="11A86F07" w14:textId="77777777" w:rsidR="008B30F8" w:rsidRDefault="008B30F8" w:rsidP="00D53F40">
      <w:pPr>
        <w:spacing w:line="360" w:lineRule="auto"/>
        <w:jc w:val="center"/>
        <w:rPr>
          <w:rFonts w:ascii="Arial" w:eastAsia="Calibri" w:hAnsi="Arial" w:cs="Arial"/>
          <w:b/>
          <w:u w:val="single"/>
        </w:rPr>
      </w:pPr>
    </w:p>
    <w:p w14:paraId="05B82202" w14:textId="77777777" w:rsidR="008B30F8" w:rsidRDefault="008B30F8" w:rsidP="00D53F40">
      <w:pPr>
        <w:spacing w:line="360" w:lineRule="auto"/>
        <w:jc w:val="center"/>
        <w:rPr>
          <w:rFonts w:ascii="Arial" w:eastAsia="Calibri" w:hAnsi="Arial" w:cs="Arial"/>
          <w:b/>
          <w:u w:val="single"/>
        </w:rPr>
      </w:pPr>
    </w:p>
    <w:p w14:paraId="03FD5EA1" w14:textId="77777777" w:rsidR="008B30F8" w:rsidRDefault="008B30F8" w:rsidP="00D53F40">
      <w:pPr>
        <w:spacing w:line="360" w:lineRule="auto"/>
        <w:jc w:val="center"/>
        <w:rPr>
          <w:rFonts w:ascii="Arial" w:eastAsia="Calibri" w:hAnsi="Arial" w:cs="Arial"/>
          <w:b/>
          <w:u w:val="single"/>
        </w:rPr>
      </w:pPr>
    </w:p>
    <w:p w14:paraId="2A23E6EF" w14:textId="77777777" w:rsidR="00CA6B42" w:rsidRDefault="00CA6B42" w:rsidP="00D53F40">
      <w:pPr>
        <w:spacing w:line="360" w:lineRule="auto"/>
        <w:jc w:val="center"/>
        <w:rPr>
          <w:rFonts w:ascii="Arial" w:eastAsia="Calibri" w:hAnsi="Arial" w:cs="Arial"/>
          <w:b/>
          <w:u w:val="single"/>
        </w:rPr>
      </w:pPr>
    </w:p>
    <w:p w14:paraId="3E5F2B40" w14:textId="77777777" w:rsidR="00CA6B42" w:rsidRDefault="00CA6B42" w:rsidP="00D53F40">
      <w:pPr>
        <w:spacing w:line="360" w:lineRule="auto"/>
        <w:jc w:val="center"/>
        <w:rPr>
          <w:rFonts w:ascii="Arial" w:eastAsia="Calibri" w:hAnsi="Arial" w:cs="Arial"/>
          <w:b/>
          <w:u w:val="single"/>
        </w:rPr>
      </w:pPr>
    </w:p>
    <w:p w14:paraId="2FE4DEA3" w14:textId="77777777" w:rsidR="00D53F40" w:rsidRPr="00D90BC2" w:rsidRDefault="00070440" w:rsidP="00D53F40">
      <w:pPr>
        <w:spacing w:line="360" w:lineRule="auto"/>
        <w:jc w:val="center"/>
        <w:rPr>
          <w:rFonts w:ascii="Arial" w:eastAsia="Calibri" w:hAnsi="Arial" w:cs="Arial"/>
          <w:b/>
          <w:u w:val="single"/>
        </w:rPr>
      </w:pPr>
      <w:r>
        <w:rPr>
          <w:rFonts w:ascii="Arial" w:eastAsia="Calibri" w:hAnsi="Arial" w:cs="Arial"/>
          <w:b/>
          <w:u w:val="single"/>
        </w:rPr>
        <w:t>A</w:t>
      </w:r>
      <w:r w:rsidR="00D53F40" w:rsidRPr="00D90BC2">
        <w:rPr>
          <w:rFonts w:ascii="Arial" w:eastAsia="Calibri" w:hAnsi="Arial" w:cs="Arial"/>
          <w:b/>
          <w:u w:val="single"/>
        </w:rPr>
        <w:t>PPEARANCES</w:t>
      </w:r>
    </w:p>
    <w:p w14:paraId="7A3DD11A" w14:textId="77777777" w:rsidR="00D53F40" w:rsidRDefault="00D53F40" w:rsidP="00D53F40">
      <w:pPr>
        <w:spacing w:line="360" w:lineRule="auto"/>
        <w:jc w:val="center"/>
        <w:rPr>
          <w:rFonts w:ascii="Arial" w:eastAsia="Calibri" w:hAnsi="Arial" w:cs="Arial"/>
          <w:b/>
          <w:u w:val="single"/>
        </w:rPr>
      </w:pPr>
    </w:p>
    <w:p w14:paraId="308BD3FF" w14:textId="77777777" w:rsidR="008B30F8" w:rsidRPr="00D90BC2" w:rsidRDefault="008B30F8" w:rsidP="00D53F40">
      <w:pPr>
        <w:spacing w:line="360" w:lineRule="auto"/>
        <w:jc w:val="center"/>
        <w:rPr>
          <w:rFonts w:ascii="Arial" w:eastAsia="Calibri" w:hAnsi="Arial" w:cs="Arial"/>
          <w:b/>
          <w:u w:val="single"/>
        </w:rPr>
      </w:pPr>
    </w:p>
    <w:p w14:paraId="7F50B9B8" w14:textId="77777777" w:rsidR="00D53F40" w:rsidRPr="00D90BC2" w:rsidRDefault="00D53F40" w:rsidP="00D53F40">
      <w:pPr>
        <w:spacing w:line="360" w:lineRule="auto"/>
        <w:ind w:right="-82"/>
        <w:jc w:val="both"/>
        <w:rPr>
          <w:rFonts w:ascii="Arial" w:hAnsi="Arial" w:cs="Arial"/>
        </w:rPr>
      </w:pPr>
      <w:r w:rsidRPr="00D90BC2">
        <w:rPr>
          <w:rFonts w:ascii="Arial" w:hAnsi="Arial" w:cs="Arial"/>
        </w:rPr>
        <w:t>Counsel for the app</w:t>
      </w:r>
      <w:r w:rsidR="00C86E89" w:rsidRPr="00D90BC2">
        <w:rPr>
          <w:rFonts w:ascii="Arial" w:hAnsi="Arial" w:cs="Arial"/>
        </w:rPr>
        <w:t>licant</w:t>
      </w:r>
      <w:r w:rsidRPr="00D90BC2">
        <w:rPr>
          <w:rFonts w:ascii="Arial" w:hAnsi="Arial" w:cs="Arial"/>
        </w:rPr>
        <w:tab/>
      </w:r>
      <w:r w:rsidRPr="00D90BC2">
        <w:rPr>
          <w:rFonts w:ascii="Arial" w:hAnsi="Arial" w:cs="Arial"/>
        </w:rPr>
        <w:tab/>
        <w:t xml:space="preserve">:  </w:t>
      </w:r>
      <w:r w:rsidRPr="00D90BC2">
        <w:rPr>
          <w:rFonts w:ascii="Arial" w:hAnsi="Arial" w:cs="Arial"/>
        </w:rPr>
        <w:tab/>
        <w:t>Mr</w:t>
      </w:r>
      <w:r w:rsidR="00965280" w:rsidRPr="00D90BC2">
        <w:rPr>
          <w:rFonts w:ascii="Arial" w:hAnsi="Arial" w:cs="Arial"/>
        </w:rPr>
        <w:t xml:space="preserve">. </w:t>
      </w:r>
      <w:r w:rsidR="007B5A39">
        <w:rPr>
          <w:rFonts w:ascii="Arial" w:hAnsi="Arial" w:cs="Arial"/>
        </w:rPr>
        <w:t>R. M. van Rooyen</w:t>
      </w:r>
    </w:p>
    <w:p w14:paraId="56F1D11C" w14:textId="77777777" w:rsidR="00446D56" w:rsidRDefault="008B30F8" w:rsidP="00C86E89">
      <w:pPr>
        <w:spacing w:line="360" w:lineRule="auto"/>
        <w:ind w:right="-82"/>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sidR="00D53F40" w:rsidRPr="00D90BC2">
        <w:rPr>
          <w:rFonts w:ascii="Arial" w:hAnsi="Arial" w:cs="Arial"/>
        </w:rPr>
        <w:t>:</w:t>
      </w:r>
      <w:r w:rsidR="00D53F40" w:rsidRPr="00D90BC2">
        <w:rPr>
          <w:rFonts w:ascii="Arial" w:hAnsi="Arial" w:cs="Arial"/>
        </w:rPr>
        <w:tab/>
      </w:r>
      <w:r w:rsidR="007B5A39">
        <w:rPr>
          <w:rFonts w:ascii="Arial" w:hAnsi="Arial" w:cs="Arial"/>
        </w:rPr>
        <w:t>MCH Attorneys Inc</w:t>
      </w:r>
    </w:p>
    <w:p w14:paraId="15F01663" w14:textId="77777777" w:rsidR="007B5A39" w:rsidRDefault="007B5A39" w:rsidP="00C86E89">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Rydall Vale Park</w:t>
      </w:r>
    </w:p>
    <w:p w14:paraId="36978711" w14:textId="77777777" w:rsidR="007B5A39" w:rsidRDefault="007B5A39" w:rsidP="00C86E89">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 Rydall Vale Crescent</w:t>
      </w:r>
    </w:p>
    <w:p w14:paraId="6E256C5E" w14:textId="77777777" w:rsidR="00CD2028" w:rsidRPr="00D90BC2" w:rsidRDefault="007B5A39" w:rsidP="007B5A39">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 Lucia Ridge</w:t>
      </w:r>
    </w:p>
    <w:p w14:paraId="2CBB4025" w14:textId="77777777" w:rsidR="00D53F40" w:rsidRPr="00D90BC2" w:rsidRDefault="00D53F40" w:rsidP="00D53F40">
      <w:pPr>
        <w:spacing w:line="360" w:lineRule="auto"/>
        <w:ind w:right="-82"/>
        <w:jc w:val="both"/>
        <w:rPr>
          <w:rFonts w:ascii="Arial" w:hAnsi="Arial" w:cs="Arial"/>
        </w:rPr>
      </w:pPr>
      <w:r w:rsidRPr="00D90BC2">
        <w:rPr>
          <w:rFonts w:ascii="Arial" w:hAnsi="Arial" w:cs="Arial"/>
        </w:rPr>
        <w:tab/>
      </w:r>
      <w:r w:rsidRPr="00D90BC2">
        <w:rPr>
          <w:rFonts w:ascii="Arial" w:hAnsi="Arial" w:cs="Arial"/>
        </w:rPr>
        <w:tab/>
      </w:r>
      <w:r w:rsidRPr="00D90BC2">
        <w:rPr>
          <w:rFonts w:ascii="Arial" w:hAnsi="Arial" w:cs="Arial"/>
        </w:rPr>
        <w:tab/>
        <w:t xml:space="preserve"> </w:t>
      </w:r>
    </w:p>
    <w:p w14:paraId="269897CC" w14:textId="77777777" w:rsidR="00D53F40" w:rsidRPr="00D90BC2" w:rsidRDefault="00D53F40" w:rsidP="00F67EE5">
      <w:pPr>
        <w:spacing w:line="360" w:lineRule="auto"/>
        <w:jc w:val="both"/>
        <w:rPr>
          <w:rFonts w:ascii="Arial" w:hAnsi="Arial" w:cs="Arial"/>
        </w:rPr>
      </w:pPr>
      <w:r w:rsidRPr="00D90BC2">
        <w:rPr>
          <w:rFonts w:ascii="Arial" w:hAnsi="Arial" w:cs="Arial"/>
        </w:rPr>
        <w:t xml:space="preserve">Counsel for the </w:t>
      </w:r>
      <w:r w:rsidR="004D5D74">
        <w:rPr>
          <w:rFonts w:ascii="Arial" w:hAnsi="Arial" w:cs="Arial"/>
        </w:rPr>
        <w:t>respondent</w:t>
      </w:r>
      <w:r w:rsidR="00965280" w:rsidRPr="00D90BC2">
        <w:rPr>
          <w:rFonts w:ascii="Arial" w:hAnsi="Arial" w:cs="Arial"/>
        </w:rPr>
        <w:tab/>
        <w:t>:</w:t>
      </w:r>
      <w:r w:rsidR="00965280" w:rsidRPr="00D90BC2">
        <w:rPr>
          <w:rFonts w:ascii="Arial" w:hAnsi="Arial" w:cs="Arial"/>
        </w:rPr>
        <w:tab/>
      </w:r>
      <w:r w:rsidR="00C86E89" w:rsidRPr="00D90BC2">
        <w:rPr>
          <w:rFonts w:ascii="Arial" w:hAnsi="Arial" w:cs="Arial"/>
        </w:rPr>
        <w:t>M</w:t>
      </w:r>
      <w:r w:rsidR="007B5A39">
        <w:rPr>
          <w:rFonts w:ascii="Arial" w:hAnsi="Arial" w:cs="Arial"/>
        </w:rPr>
        <w:t>r S. M. Alberts</w:t>
      </w:r>
      <w:r w:rsidRPr="00D90BC2">
        <w:rPr>
          <w:rFonts w:ascii="Arial" w:hAnsi="Arial" w:cs="Arial"/>
        </w:rPr>
        <w:tab/>
      </w:r>
    </w:p>
    <w:p w14:paraId="4704241B" w14:textId="77777777" w:rsidR="00965280" w:rsidRDefault="00D53F40" w:rsidP="00C86E89">
      <w:pPr>
        <w:spacing w:line="360" w:lineRule="auto"/>
        <w:ind w:right="-82"/>
        <w:jc w:val="both"/>
        <w:rPr>
          <w:rFonts w:ascii="Arial" w:hAnsi="Arial" w:cs="Arial"/>
        </w:rPr>
      </w:pPr>
      <w:r w:rsidRPr="00D90BC2">
        <w:rPr>
          <w:rFonts w:ascii="Arial" w:hAnsi="Arial" w:cs="Arial"/>
        </w:rPr>
        <w:t>Instructed by</w:t>
      </w:r>
      <w:r w:rsidRPr="00D90BC2">
        <w:rPr>
          <w:rFonts w:ascii="Arial" w:hAnsi="Arial" w:cs="Arial"/>
        </w:rPr>
        <w:tab/>
      </w:r>
      <w:r w:rsidRPr="00D90BC2">
        <w:rPr>
          <w:rFonts w:ascii="Arial" w:hAnsi="Arial" w:cs="Arial"/>
        </w:rPr>
        <w:tab/>
      </w:r>
      <w:r w:rsidRPr="00D90BC2">
        <w:rPr>
          <w:rFonts w:ascii="Arial" w:hAnsi="Arial" w:cs="Arial"/>
        </w:rPr>
        <w:tab/>
      </w:r>
      <w:r w:rsidRPr="00D90BC2">
        <w:rPr>
          <w:rFonts w:ascii="Arial" w:hAnsi="Arial" w:cs="Arial"/>
        </w:rPr>
        <w:tab/>
        <w:t>:</w:t>
      </w:r>
      <w:r w:rsidRPr="00D90BC2">
        <w:rPr>
          <w:rFonts w:ascii="Arial" w:hAnsi="Arial" w:cs="Arial"/>
        </w:rPr>
        <w:tab/>
      </w:r>
      <w:r w:rsidR="007B5A39">
        <w:rPr>
          <w:rFonts w:ascii="Arial" w:hAnsi="Arial" w:cs="Arial"/>
        </w:rPr>
        <w:t>Rakesh Maharaj and Company</w:t>
      </w:r>
    </w:p>
    <w:p w14:paraId="04EA0617" w14:textId="77777777" w:rsidR="007B5A39" w:rsidRDefault="007B5A39" w:rsidP="00C86E89">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87 Mahatma Ghandi Street</w:t>
      </w:r>
    </w:p>
    <w:p w14:paraId="20F85183" w14:textId="77777777" w:rsidR="007B5A39" w:rsidRPr="00D90BC2" w:rsidRDefault="007B5A39" w:rsidP="00C86E89">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KwaDukuza</w:t>
      </w:r>
    </w:p>
    <w:p w14:paraId="715BC80F" w14:textId="77777777" w:rsidR="00D53F40" w:rsidRPr="00D90BC2" w:rsidRDefault="00C86E89" w:rsidP="007B5A39">
      <w:pPr>
        <w:spacing w:line="360" w:lineRule="auto"/>
        <w:ind w:right="-82"/>
        <w:jc w:val="both"/>
        <w:rPr>
          <w:rFonts w:ascii="Arial" w:hAnsi="Arial" w:cs="Arial"/>
        </w:rPr>
      </w:pPr>
      <w:r w:rsidRPr="00D90BC2">
        <w:rPr>
          <w:rFonts w:ascii="Arial" w:hAnsi="Arial" w:cs="Arial"/>
        </w:rPr>
        <w:tab/>
      </w:r>
      <w:r w:rsidRPr="00D90BC2">
        <w:rPr>
          <w:rFonts w:ascii="Arial" w:hAnsi="Arial" w:cs="Arial"/>
        </w:rPr>
        <w:tab/>
      </w:r>
      <w:r w:rsidRPr="00D90BC2">
        <w:rPr>
          <w:rFonts w:ascii="Arial" w:hAnsi="Arial" w:cs="Arial"/>
        </w:rPr>
        <w:tab/>
      </w:r>
      <w:r w:rsidRPr="00D90BC2">
        <w:rPr>
          <w:rFonts w:ascii="Arial" w:hAnsi="Arial" w:cs="Arial"/>
        </w:rPr>
        <w:tab/>
      </w:r>
      <w:r w:rsidRPr="00D90BC2">
        <w:rPr>
          <w:rFonts w:ascii="Arial" w:hAnsi="Arial" w:cs="Arial"/>
        </w:rPr>
        <w:tab/>
      </w:r>
      <w:r w:rsidRPr="00D90BC2">
        <w:rPr>
          <w:rFonts w:ascii="Arial" w:hAnsi="Arial" w:cs="Arial"/>
        </w:rPr>
        <w:tab/>
      </w:r>
    </w:p>
    <w:p w14:paraId="6916CD80" w14:textId="77777777" w:rsidR="00D53F40" w:rsidRPr="00D90BC2" w:rsidRDefault="00D53F40" w:rsidP="00D53F40">
      <w:pPr>
        <w:spacing w:line="360" w:lineRule="auto"/>
        <w:jc w:val="both"/>
        <w:rPr>
          <w:rFonts w:ascii="Arial" w:eastAsia="Calibri" w:hAnsi="Arial" w:cs="Arial"/>
        </w:rPr>
      </w:pPr>
      <w:r w:rsidRPr="00D90BC2">
        <w:rPr>
          <w:rFonts w:ascii="Arial" w:eastAsia="Calibri" w:hAnsi="Arial" w:cs="Arial"/>
        </w:rPr>
        <w:t xml:space="preserve">Date of Hearing </w:t>
      </w:r>
      <w:r w:rsidRPr="00D90BC2">
        <w:rPr>
          <w:rFonts w:ascii="Arial" w:eastAsia="Calibri" w:hAnsi="Arial" w:cs="Arial"/>
        </w:rPr>
        <w:tab/>
      </w:r>
      <w:r w:rsidRPr="00D90BC2">
        <w:rPr>
          <w:rFonts w:ascii="Arial" w:eastAsia="Calibri" w:hAnsi="Arial" w:cs="Arial"/>
        </w:rPr>
        <w:tab/>
      </w:r>
      <w:r w:rsidRPr="00D90BC2">
        <w:rPr>
          <w:rFonts w:ascii="Arial" w:eastAsia="Calibri" w:hAnsi="Arial" w:cs="Arial"/>
        </w:rPr>
        <w:tab/>
        <w:t>:</w:t>
      </w:r>
      <w:r w:rsidRPr="00D90BC2">
        <w:rPr>
          <w:rFonts w:ascii="Arial" w:eastAsia="Calibri" w:hAnsi="Arial" w:cs="Arial"/>
        </w:rPr>
        <w:tab/>
      </w:r>
      <w:r w:rsidR="004D5D74">
        <w:rPr>
          <w:rFonts w:ascii="Arial" w:eastAsia="Calibri" w:hAnsi="Arial" w:cs="Arial"/>
        </w:rPr>
        <w:t>14 March 2023</w:t>
      </w:r>
    </w:p>
    <w:p w14:paraId="2AD690A0" w14:textId="77777777" w:rsidR="00D53F40" w:rsidRPr="00D90BC2" w:rsidRDefault="00D53F40" w:rsidP="00D53F40">
      <w:pPr>
        <w:spacing w:line="360" w:lineRule="auto"/>
        <w:jc w:val="both"/>
        <w:rPr>
          <w:rFonts w:ascii="Arial" w:eastAsia="Calibri" w:hAnsi="Arial" w:cs="Arial"/>
        </w:rPr>
      </w:pPr>
    </w:p>
    <w:p w14:paraId="04771DE6" w14:textId="75558B2E" w:rsidR="00D53F40" w:rsidRPr="00D90BC2" w:rsidRDefault="00D53F40" w:rsidP="00D53F40">
      <w:pPr>
        <w:spacing w:line="360" w:lineRule="auto"/>
        <w:jc w:val="both"/>
        <w:rPr>
          <w:rFonts w:ascii="Arial" w:eastAsia="Calibri" w:hAnsi="Arial" w:cs="Arial"/>
        </w:rPr>
      </w:pPr>
      <w:r w:rsidRPr="00D90BC2">
        <w:rPr>
          <w:rFonts w:ascii="Arial" w:eastAsia="Calibri" w:hAnsi="Arial" w:cs="Arial"/>
        </w:rPr>
        <w:t xml:space="preserve">Date of Judgment </w:t>
      </w:r>
      <w:r w:rsidRPr="00D90BC2">
        <w:rPr>
          <w:rFonts w:ascii="Arial" w:eastAsia="Calibri" w:hAnsi="Arial" w:cs="Arial"/>
        </w:rPr>
        <w:tab/>
      </w:r>
      <w:r w:rsidRPr="00D90BC2">
        <w:rPr>
          <w:rFonts w:ascii="Arial" w:eastAsia="Calibri" w:hAnsi="Arial" w:cs="Arial"/>
        </w:rPr>
        <w:tab/>
      </w:r>
      <w:r w:rsidRPr="00D90BC2">
        <w:rPr>
          <w:rFonts w:ascii="Arial" w:eastAsia="Calibri" w:hAnsi="Arial" w:cs="Arial"/>
        </w:rPr>
        <w:tab/>
        <w:t>:</w:t>
      </w:r>
      <w:r w:rsidRPr="00D90BC2">
        <w:rPr>
          <w:rFonts w:ascii="Arial" w:eastAsia="Calibri" w:hAnsi="Arial" w:cs="Arial"/>
        </w:rPr>
        <w:tab/>
      </w:r>
      <w:r w:rsidR="00AA4AAD">
        <w:rPr>
          <w:rFonts w:ascii="Arial" w:eastAsia="Calibri" w:hAnsi="Arial" w:cs="Arial"/>
        </w:rPr>
        <w:t>12 April</w:t>
      </w:r>
      <w:r w:rsidR="004D5D74">
        <w:rPr>
          <w:rFonts w:ascii="Arial" w:eastAsia="Calibri" w:hAnsi="Arial" w:cs="Arial"/>
        </w:rPr>
        <w:t xml:space="preserve"> 2023</w:t>
      </w:r>
    </w:p>
    <w:p w14:paraId="68C2B6E0" w14:textId="77777777" w:rsidR="00D53F40" w:rsidRPr="00D90BC2" w:rsidRDefault="00D53F40" w:rsidP="00D53F40">
      <w:pPr>
        <w:spacing w:line="360" w:lineRule="auto"/>
        <w:jc w:val="both"/>
        <w:rPr>
          <w:rFonts w:ascii="Arial" w:hAnsi="Arial" w:cs="Arial"/>
          <w:b/>
          <w:bCs/>
        </w:rPr>
      </w:pPr>
    </w:p>
    <w:p w14:paraId="10EEA3AB" w14:textId="77777777" w:rsidR="00D53F40" w:rsidRPr="00D90BC2" w:rsidRDefault="00D53F40" w:rsidP="00D53F40">
      <w:pPr>
        <w:pStyle w:val="ListParagraph"/>
        <w:tabs>
          <w:tab w:val="left" w:pos="900"/>
        </w:tabs>
        <w:spacing w:after="0" w:line="360" w:lineRule="auto"/>
        <w:ind w:left="0"/>
        <w:jc w:val="both"/>
        <w:rPr>
          <w:rFonts w:ascii="Arial" w:hAnsi="Arial" w:cs="Arial"/>
          <w:b/>
          <w:color w:val="000000" w:themeColor="text1"/>
          <w:sz w:val="24"/>
          <w:szCs w:val="24"/>
          <w:lang w:val="en-ZA"/>
        </w:rPr>
      </w:pPr>
    </w:p>
    <w:p w14:paraId="2E098700" w14:textId="77777777" w:rsidR="00BD7A9B" w:rsidRDefault="00BD7A9B" w:rsidP="00BD7A9B"/>
    <w:p w14:paraId="3E8CE776" w14:textId="77777777" w:rsidR="00D53F40" w:rsidRPr="00D90BC2" w:rsidRDefault="00D53F40" w:rsidP="00D53F40">
      <w:pPr>
        <w:tabs>
          <w:tab w:val="left" w:pos="1418"/>
        </w:tabs>
        <w:spacing w:line="360" w:lineRule="auto"/>
        <w:jc w:val="both"/>
        <w:rPr>
          <w:rFonts w:ascii="Arial" w:hAnsi="Arial" w:cs="Arial"/>
          <w:b/>
          <w:bCs/>
        </w:rPr>
      </w:pPr>
    </w:p>
    <w:sectPr w:rsidR="00D53F40" w:rsidRPr="00D90BC2" w:rsidSect="004E3E73">
      <w:headerReference w:type="default" r:id="rId10"/>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D7251" w14:textId="77777777" w:rsidR="006F1E49" w:rsidRDefault="006F1E49" w:rsidP="007C243E">
      <w:r>
        <w:separator/>
      </w:r>
    </w:p>
  </w:endnote>
  <w:endnote w:type="continuationSeparator" w:id="0">
    <w:p w14:paraId="3FFA490D" w14:textId="77777777" w:rsidR="006F1E49" w:rsidRDefault="006F1E49" w:rsidP="007C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01F25" w14:textId="77777777" w:rsidR="006F1E49" w:rsidRDefault="006F1E49" w:rsidP="007C243E">
      <w:r>
        <w:separator/>
      </w:r>
    </w:p>
  </w:footnote>
  <w:footnote w:type="continuationSeparator" w:id="0">
    <w:p w14:paraId="2EE10429" w14:textId="77777777" w:rsidR="006F1E49" w:rsidRDefault="006F1E49" w:rsidP="007C243E">
      <w:r>
        <w:continuationSeparator/>
      </w:r>
    </w:p>
  </w:footnote>
  <w:footnote w:id="1">
    <w:p w14:paraId="269CA226" w14:textId="77777777" w:rsidR="00CB6F59" w:rsidRPr="001D575A" w:rsidRDefault="00CB6F59" w:rsidP="001D575A">
      <w:pPr>
        <w:contextualSpacing/>
        <w:jc w:val="both"/>
        <w:rPr>
          <w:rFonts w:ascii="Arial" w:hAnsi="Arial" w:cs="Arial"/>
          <w:sz w:val="20"/>
          <w:szCs w:val="20"/>
          <w:lang w:val="en-US"/>
        </w:rPr>
      </w:pPr>
      <w:r w:rsidRPr="001D575A">
        <w:rPr>
          <w:rStyle w:val="FootnoteReference"/>
          <w:rFonts w:ascii="Arial" w:hAnsi="Arial" w:cs="Arial"/>
          <w:sz w:val="20"/>
          <w:szCs w:val="20"/>
        </w:rPr>
        <w:footnoteRef/>
      </w:r>
      <w:r w:rsidRPr="001D575A">
        <w:rPr>
          <w:rFonts w:ascii="Arial" w:hAnsi="Arial" w:cs="Arial"/>
          <w:sz w:val="20"/>
          <w:szCs w:val="20"/>
        </w:rPr>
        <w:t xml:space="preserve"> </w:t>
      </w:r>
      <w:r w:rsidRPr="001D575A">
        <w:rPr>
          <w:rFonts w:ascii="Arial" w:hAnsi="Arial" w:cs="Arial"/>
          <w:i/>
          <w:iCs/>
          <w:sz w:val="20"/>
          <w:szCs w:val="20"/>
          <w:lang w:val="en-US"/>
        </w:rPr>
        <w:t>Lutchman v Perumal</w:t>
      </w:r>
      <w:r w:rsidRPr="001D575A">
        <w:rPr>
          <w:rFonts w:ascii="Arial" w:hAnsi="Arial" w:cs="Arial"/>
          <w:sz w:val="20"/>
          <w:szCs w:val="20"/>
          <w:lang w:val="en-US"/>
        </w:rPr>
        <w:t xml:space="preserve"> </w:t>
      </w:r>
      <w:r w:rsidR="00885AA6" w:rsidRPr="001D575A">
        <w:rPr>
          <w:rFonts w:ascii="Arial" w:hAnsi="Arial" w:cs="Arial"/>
          <w:sz w:val="20"/>
          <w:szCs w:val="20"/>
          <w:shd w:val="clear" w:color="auto" w:fill="FFFFFF"/>
        </w:rPr>
        <w:t>1950 (2) SA 178 (N).</w:t>
      </w:r>
    </w:p>
  </w:footnote>
  <w:footnote w:id="2">
    <w:p w14:paraId="620551A3" w14:textId="77777777" w:rsidR="00D150AF" w:rsidRPr="0023287C" w:rsidRDefault="00D150AF" w:rsidP="0023287C">
      <w:pPr>
        <w:pStyle w:val="FootnoteText"/>
        <w:contextualSpacing/>
        <w:jc w:val="both"/>
        <w:rPr>
          <w:rFonts w:asciiTheme="minorBidi" w:hAnsiTheme="minorBidi"/>
          <w:lang w:val="en-US"/>
        </w:rPr>
      </w:pPr>
      <w:r w:rsidRPr="0023287C">
        <w:rPr>
          <w:rStyle w:val="FootnoteReference"/>
          <w:rFonts w:asciiTheme="minorBidi" w:hAnsiTheme="minorBidi"/>
        </w:rPr>
        <w:footnoteRef/>
      </w:r>
      <w:r w:rsidRPr="0023287C">
        <w:rPr>
          <w:rFonts w:asciiTheme="minorBidi" w:hAnsiTheme="minorBidi"/>
        </w:rPr>
        <w:t xml:space="preserve"> </w:t>
      </w:r>
      <w:r w:rsidRPr="0023287C">
        <w:rPr>
          <w:rFonts w:asciiTheme="minorBidi" w:hAnsiTheme="minorBidi"/>
          <w:lang w:val="en-ZA"/>
        </w:rPr>
        <w:t>Divine Inspiration Trading 350 (Proprietary) Limited has played no part in this application whatsoever.</w:t>
      </w:r>
    </w:p>
  </w:footnote>
  <w:footnote w:id="3">
    <w:p w14:paraId="5CA5964D" w14:textId="7F6B383B" w:rsidR="0023287C" w:rsidRPr="0023287C" w:rsidRDefault="0023287C" w:rsidP="0023287C">
      <w:pPr>
        <w:pStyle w:val="FootnoteText"/>
        <w:jc w:val="both"/>
        <w:rPr>
          <w:lang w:val="en-US"/>
        </w:rPr>
      </w:pPr>
      <w:r w:rsidRPr="0023287C">
        <w:rPr>
          <w:rStyle w:val="FootnoteReference"/>
          <w:rFonts w:asciiTheme="minorBidi" w:hAnsiTheme="minorBidi"/>
        </w:rPr>
        <w:footnoteRef/>
      </w:r>
      <w:r w:rsidRPr="0023287C">
        <w:rPr>
          <w:rFonts w:asciiTheme="minorBidi" w:hAnsiTheme="minorBidi"/>
        </w:rPr>
        <w:t xml:space="preserve"> </w:t>
      </w:r>
      <w:r w:rsidRPr="0023287C">
        <w:rPr>
          <w:rFonts w:asciiTheme="minorBidi" w:hAnsiTheme="minorBidi"/>
          <w:lang w:val="en-US"/>
        </w:rPr>
        <w:t>The two deeds of suretyships sued upon each contained similar provisions concerning legal c</w:t>
      </w:r>
      <w:r>
        <w:rPr>
          <w:rFonts w:asciiTheme="minorBidi" w:hAnsiTheme="minorBidi"/>
          <w:lang w:val="en-US"/>
        </w:rPr>
        <w:t>o</w:t>
      </w:r>
      <w:r w:rsidRPr="0023287C">
        <w:rPr>
          <w:rFonts w:asciiTheme="minorBidi" w:hAnsiTheme="minorBidi"/>
          <w:lang w:val="en-US"/>
        </w:rPr>
        <w:t>sts.</w:t>
      </w:r>
    </w:p>
  </w:footnote>
  <w:footnote w:id="4">
    <w:p w14:paraId="0119BF26" w14:textId="77777777" w:rsidR="00AA65A5" w:rsidRPr="0005695F" w:rsidRDefault="00AA65A5" w:rsidP="0005695F">
      <w:pPr>
        <w:pStyle w:val="FootnoteText"/>
        <w:ind w:right="-46"/>
        <w:jc w:val="both"/>
        <w:rPr>
          <w:rFonts w:asciiTheme="minorBidi" w:hAnsiTheme="minorBidi"/>
        </w:rPr>
      </w:pPr>
      <w:r w:rsidRPr="0005695F">
        <w:rPr>
          <w:rStyle w:val="FootnoteReference"/>
          <w:rFonts w:asciiTheme="minorBidi" w:hAnsiTheme="minorBidi"/>
        </w:rPr>
        <w:footnoteRef/>
      </w:r>
      <w:r w:rsidRPr="0005695F">
        <w:rPr>
          <w:rFonts w:asciiTheme="minorBidi" w:hAnsiTheme="minorBidi"/>
        </w:rPr>
        <w:t xml:space="preserve"> </w:t>
      </w:r>
      <w:r w:rsidRPr="0005695F">
        <w:rPr>
          <w:rFonts w:asciiTheme="minorBidi" w:hAnsiTheme="minorBidi"/>
          <w:i/>
          <w:lang w:val="en-US"/>
        </w:rPr>
        <w:t>Amedee v Fidele and others</w:t>
      </w:r>
      <w:r w:rsidRPr="0005695F">
        <w:rPr>
          <w:rFonts w:asciiTheme="minorBidi" w:hAnsiTheme="minorBidi"/>
          <w:lang w:val="en-US"/>
        </w:rPr>
        <w:t xml:space="preserve"> [2021] ZAGPJHC 837 para 79.</w:t>
      </w:r>
    </w:p>
  </w:footnote>
  <w:footnote w:id="5">
    <w:p w14:paraId="53C6BB9E" w14:textId="77777777" w:rsidR="0005695F" w:rsidRPr="0005695F" w:rsidRDefault="0005695F" w:rsidP="00546B02">
      <w:pPr>
        <w:pStyle w:val="NormalWeb"/>
        <w:spacing w:before="0" w:beforeAutospacing="0" w:after="0" w:afterAutospacing="0"/>
        <w:ind w:right="-46"/>
        <w:jc w:val="both"/>
        <w:rPr>
          <w:lang w:val="en-US"/>
        </w:rPr>
      </w:pPr>
      <w:r w:rsidRPr="0005695F">
        <w:rPr>
          <w:rStyle w:val="FootnoteReference"/>
          <w:rFonts w:asciiTheme="minorBidi" w:hAnsiTheme="minorBidi" w:cstheme="minorBidi"/>
          <w:sz w:val="20"/>
          <w:szCs w:val="20"/>
        </w:rPr>
        <w:footnoteRef/>
      </w:r>
      <w:r w:rsidRPr="0005695F">
        <w:rPr>
          <w:rFonts w:asciiTheme="minorBidi" w:hAnsiTheme="minorBidi" w:cstheme="minorBidi"/>
          <w:sz w:val="20"/>
          <w:szCs w:val="20"/>
        </w:rPr>
        <w:t xml:space="preserve"> </w:t>
      </w:r>
      <w:r w:rsidRPr="0005695F">
        <w:rPr>
          <w:rFonts w:asciiTheme="minorBidi" w:hAnsiTheme="minorBidi" w:cstheme="minorBidi"/>
          <w:i/>
          <w:iCs/>
          <w:sz w:val="20"/>
          <w:szCs w:val="20"/>
        </w:rPr>
        <w:t>I</w:t>
      </w:r>
      <w:r w:rsidRPr="0005695F">
        <w:rPr>
          <w:rFonts w:asciiTheme="minorBidi" w:hAnsiTheme="minorBidi" w:cstheme="minorBidi"/>
          <w:i/>
          <w:iCs/>
          <w:color w:val="231E1E"/>
          <w:sz w:val="20"/>
          <w:szCs w:val="20"/>
          <w:lang w:val="en-ZA" w:bidi="yi-Hebr"/>
        </w:rPr>
        <w:t>mpala Platinum Ltd v Monageng Mothiba N.O. and Oth</w:t>
      </w:r>
      <w:r w:rsidRPr="0005695F">
        <w:rPr>
          <w:rFonts w:asciiTheme="minorBidi" w:hAnsiTheme="minorBidi" w:cstheme="minorBidi"/>
          <w:color w:val="231E1E"/>
          <w:sz w:val="20"/>
          <w:szCs w:val="20"/>
          <w:lang w:val="en-ZA" w:bidi="yi-Hebr"/>
        </w:rPr>
        <w:t>ers [2016] ZALCJHB 475</w:t>
      </w:r>
      <w:r w:rsidRPr="0005695F">
        <w:rPr>
          <w:rFonts w:asciiTheme="minorBidi" w:hAnsiTheme="minorBidi" w:cstheme="minorBidi"/>
          <w:color w:val="231E1E"/>
          <w:sz w:val="20"/>
          <w:szCs w:val="20"/>
        </w:rPr>
        <w:t xml:space="preserve">. </w:t>
      </w:r>
    </w:p>
  </w:footnote>
  <w:footnote w:id="6">
    <w:p w14:paraId="0A1879B0" w14:textId="77777777" w:rsidR="00BE1287" w:rsidRPr="00BE1287" w:rsidRDefault="00BE1287">
      <w:pPr>
        <w:pStyle w:val="FootnoteText"/>
        <w:rPr>
          <w:lang w:val="en-US"/>
        </w:rPr>
      </w:pPr>
      <w:r>
        <w:rPr>
          <w:rStyle w:val="FootnoteReference"/>
        </w:rPr>
        <w:footnoteRef/>
      </w:r>
      <w:r>
        <w:t xml:space="preserve"> </w:t>
      </w:r>
      <w:r w:rsidRPr="0005695F">
        <w:rPr>
          <w:rFonts w:asciiTheme="minorBidi" w:hAnsiTheme="minorBidi"/>
          <w:i/>
          <w:iCs/>
        </w:rPr>
        <w:t>I</w:t>
      </w:r>
      <w:r w:rsidRPr="0005695F">
        <w:rPr>
          <w:rFonts w:asciiTheme="minorBidi" w:hAnsiTheme="minorBidi"/>
          <w:i/>
          <w:iCs/>
          <w:color w:val="231E1E"/>
          <w:lang w:val="en-ZA" w:bidi="yi-Hebr"/>
        </w:rPr>
        <w:t>mpala Platinum Ltd v Monageng Mothiba N.O. and Oth</w:t>
      </w:r>
      <w:r w:rsidRPr="0005695F">
        <w:rPr>
          <w:rFonts w:asciiTheme="minorBidi" w:hAnsiTheme="minorBidi"/>
          <w:color w:val="231E1E"/>
          <w:lang w:val="en-ZA" w:bidi="yi-Hebr"/>
        </w:rPr>
        <w:t>ers [2016] ZALCJHB 475</w:t>
      </w:r>
      <w:r w:rsidRPr="0005695F">
        <w:rPr>
          <w:rFonts w:asciiTheme="minorBidi" w:hAnsiTheme="minorBidi"/>
          <w:color w:val="231E1E"/>
        </w:rPr>
        <w:t>.</w:t>
      </w:r>
    </w:p>
  </w:footnote>
  <w:footnote w:id="7">
    <w:p w14:paraId="68011958" w14:textId="77777777" w:rsidR="00C507EB" w:rsidRPr="001D575A" w:rsidRDefault="00C507EB" w:rsidP="001D575A">
      <w:pPr>
        <w:pStyle w:val="FootnoteText"/>
        <w:contextualSpacing/>
        <w:jc w:val="both"/>
        <w:rPr>
          <w:rFonts w:ascii="Arial" w:hAnsi="Arial" w:cs="Arial"/>
          <w:lang w:val="en-US"/>
        </w:rPr>
      </w:pPr>
      <w:r w:rsidRPr="001D575A">
        <w:rPr>
          <w:rStyle w:val="FootnoteReference"/>
          <w:rFonts w:ascii="Arial" w:hAnsi="Arial" w:cs="Arial"/>
        </w:rPr>
        <w:footnoteRef/>
      </w:r>
      <w:r w:rsidRPr="001D575A">
        <w:rPr>
          <w:rFonts w:ascii="Arial" w:hAnsi="Arial" w:cs="Arial"/>
        </w:rPr>
        <w:t xml:space="preserve"> </w:t>
      </w:r>
      <w:r w:rsidRPr="001D575A">
        <w:rPr>
          <w:rFonts w:ascii="Arial" w:hAnsi="Arial" w:cs="Arial"/>
          <w:i/>
          <w:iCs/>
          <w:lang w:val="en-ZA"/>
        </w:rPr>
        <w:t>Plascon</w:t>
      </w:r>
      <w:r w:rsidR="00896D34" w:rsidRPr="001D575A">
        <w:rPr>
          <w:rFonts w:ascii="Arial" w:hAnsi="Arial" w:cs="Arial"/>
          <w:i/>
          <w:iCs/>
          <w:lang w:val="en-ZA"/>
        </w:rPr>
        <w:t>-</w:t>
      </w:r>
      <w:r w:rsidRPr="001D575A">
        <w:rPr>
          <w:rFonts w:ascii="Arial" w:hAnsi="Arial" w:cs="Arial"/>
          <w:i/>
          <w:iCs/>
          <w:lang w:val="en-ZA"/>
        </w:rPr>
        <w:t xml:space="preserve">Evans Paints Ltd v Van Riebeeck Paints (Pty) Ltd </w:t>
      </w:r>
      <w:r w:rsidRPr="001D575A">
        <w:rPr>
          <w:rFonts w:ascii="Arial" w:hAnsi="Arial" w:cs="Arial"/>
          <w:lang w:val="en-ZA"/>
        </w:rPr>
        <w:t>1984 (3) SA 623 (A).</w:t>
      </w:r>
    </w:p>
  </w:footnote>
  <w:footnote w:id="8">
    <w:p w14:paraId="0D363EF5" w14:textId="77777777" w:rsidR="00C507EB" w:rsidRPr="001D575A" w:rsidRDefault="00C507EB" w:rsidP="001D575A">
      <w:pPr>
        <w:pStyle w:val="FootnoteText"/>
        <w:contextualSpacing/>
        <w:jc w:val="both"/>
        <w:rPr>
          <w:rFonts w:ascii="Arial" w:hAnsi="Arial" w:cs="Arial"/>
          <w:lang w:val="en-US"/>
        </w:rPr>
      </w:pPr>
      <w:r w:rsidRPr="001D575A">
        <w:rPr>
          <w:rStyle w:val="FootnoteReference"/>
          <w:rFonts w:ascii="Arial" w:hAnsi="Arial" w:cs="Arial"/>
        </w:rPr>
        <w:footnoteRef/>
      </w:r>
      <w:r w:rsidRPr="001D575A">
        <w:rPr>
          <w:rFonts w:ascii="Arial" w:hAnsi="Arial" w:cs="Arial"/>
        </w:rPr>
        <w:t xml:space="preserve"> </w:t>
      </w:r>
      <w:r w:rsidRPr="001D575A">
        <w:rPr>
          <w:rFonts w:ascii="Arial" w:hAnsi="Arial" w:cs="Arial"/>
          <w:i/>
          <w:iCs/>
        </w:rPr>
        <w:t>Absa Bank Ltd v Davidson</w:t>
      </w:r>
      <w:r w:rsidRPr="001D575A">
        <w:rPr>
          <w:rFonts w:ascii="Arial" w:hAnsi="Arial" w:cs="Arial"/>
        </w:rPr>
        <w:t xml:space="preserve"> 2000 (1) SA 1117 (SCA).</w:t>
      </w:r>
    </w:p>
  </w:footnote>
  <w:footnote w:id="9">
    <w:p w14:paraId="7519E563" w14:textId="77777777" w:rsidR="00C507EB" w:rsidRPr="001D575A" w:rsidRDefault="00C507EB" w:rsidP="001D575A">
      <w:pPr>
        <w:pStyle w:val="FootnoteText"/>
        <w:contextualSpacing/>
        <w:jc w:val="both"/>
        <w:rPr>
          <w:rFonts w:ascii="Arial" w:hAnsi="Arial" w:cs="Arial"/>
          <w:lang w:val="en-US"/>
        </w:rPr>
      </w:pPr>
      <w:r w:rsidRPr="001D575A">
        <w:rPr>
          <w:rStyle w:val="FootnoteReference"/>
          <w:rFonts w:ascii="Arial" w:hAnsi="Arial" w:cs="Arial"/>
        </w:rPr>
        <w:footnoteRef/>
      </w:r>
      <w:r w:rsidRPr="001D575A">
        <w:rPr>
          <w:rFonts w:ascii="Arial" w:hAnsi="Arial" w:cs="Arial"/>
        </w:rPr>
        <w:t xml:space="preserve"> </w:t>
      </w:r>
      <w:r w:rsidR="00006A92" w:rsidRPr="001D575A">
        <w:rPr>
          <w:rFonts w:ascii="Arial" w:hAnsi="Arial" w:cs="Arial"/>
          <w:iCs/>
        </w:rPr>
        <w:t>Ibid</w:t>
      </w:r>
      <w:r w:rsidRPr="001D575A">
        <w:rPr>
          <w:rFonts w:ascii="Arial" w:hAnsi="Arial" w:cs="Arial"/>
        </w:rPr>
        <w:t xml:space="preserve"> p</w:t>
      </w:r>
      <w:r w:rsidRPr="001D575A">
        <w:rPr>
          <w:rFonts w:ascii="Arial" w:hAnsi="Arial" w:cs="Arial"/>
          <w:lang w:val="en-US"/>
        </w:rPr>
        <w:t>ara 19.</w:t>
      </w:r>
    </w:p>
  </w:footnote>
  <w:footnote w:id="10">
    <w:p w14:paraId="7D82037E" w14:textId="4E7826C8" w:rsidR="006B588F" w:rsidRPr="001D575A" w:rsidRDefault="006B588F" w:rsidP="001D575A">
      <w:pPr>
        <w:pStyle w:val="ListParagraph"/>
        <w:tabs>
          <w:tab w:val="left" w:pos="709"/>
          <w:tab w:val="left" w:pos="1418"/>
        </w:tabs>
        <w:spacing w:after="0" w:line="240" w:lineRule="auto"/>
        <w:ind w:left="0"/>
        <w:jc w:val="both"/>
        <w:rPr>
          <w:rFonts w:ascii="Arial" w:hAnsi="Arial" w:cs="Arial"/>
          <w:sz w:val="20"/>
          <w:szCs w:val="20"/>
          <w:lang w:val="en-ZA"/>
        </w:rPr>
      </w:pPr>
      <w:r w:rsidRPr="001D575A">
        <w:rPr>
          <w:rStyle w:val="FootnoteReference"/>
          <w:rFonts w:ascii="Arial" w:hAnsi="Arial" w:cs="Arial"/>
          <w:sz w:val="20"/>
          <w:szCs w:val="20"/>
        </w:rPr>
        <w:footnoteRef/>
      </w:r>
      <w:r w:rsidRPr="001D575A">
        <w:rPr>
          <w:rFonts w:ascii="Arial" w:hAnsi="Arial" w:cs="Arial"/>
          <w:sz w:val="20"/>
          <w:szCs w:val="20"/>
        </w:rPr>
        <w:t xml:space="preserve"> </w:t>
      </w:r>
      <w:r w:rsidRPr="001D575A">
        <w:rPr>
          <w:rFonts w:ascii="Arial" w:hAnsi="Arial" w:cs="Arial"/>
          <w:i/>
          <w:iCs/>
          <w:sz w:val="20"/>
          <w:szCs w:val="20"/>
        </w:rPr>
        <w:t>Bock and others v Duburoro Investments (Pty) Ltd</w:t>
      </w:r>
      <w:r w:rsidRPr="001D575A">
        <w:rPr>
          <w:rFonts w:ascii="Arial" w:hAnsi="Arial" w:cs="Arial"/>
          <w:sz w:val="20"/>
          <w:szCs w:val="20"/>
        </w:rPr>
        <w:t xml:space="preserve"> 2004 (2) SA 242 (SCA); [2003] 4 All SA 103 (SCA)</w:t>
      </w:r>
      <w:r w:rsidR="003F0542">
        <w:rPr>
          <w:rFonts w:ascii="Arial" w:hAnsi="Arial" w:cs="Arial"/>
          <w:sz w:val="20"/>
          <w:szCs w:val="20"/>
        </w:rPr>
        <w:t xml:space="preserve"> para 29.</w:t>
      </w:r>
    </w:p>
    <w:p w14:paraId="7FCCF4C7" w14:textId="77777777" w:rsidR="006B588F" w:rsidRPr="001D575A" w:rsidRDefault="006B588F" w:rsidP="001D575A">
      <w:pPr>
        <w:pStyle w:val="FootnoteText"/>
        <w:contextualSpacing/>
        <w:jc w:val="both"/>
        <w:rPr>
          <w:rFonts w:ascii="Arial" w:hAnsi="Arial" w:cs="Arial"/>
          <w:lang w:val="en-US"/>
        </w:rPr>
      </w:pPr>
    </w:p>
  </w:footnote>
  <w:footnote w:id="11">
    <w:p w14:paraId="74D767CE" w14:textId="77777777" w:rsidR="00DB454D" w:rsidRPr="001D575A" w:rsidRDefault="00DB454D" w:rsidP="001D575A">
      <w:pPr>
        <w:contextualSpacing/>
        <w:jc w:val="both"/>
        <w:rPr>
          <w:rFonts w:ascii="Arial" w:hAnsi="Arial" w:cs="Arial"/>
          <w:sz w:val="20"/>
          <w:szCs w:val="20"/>
          <w:lang w:val="en-US"/>
        </w:rPr>
      </w:pPr>
      <w:r w:rsidRPr="001D575A">
        <w:rPr>
          <w:rStyle w:val="FootnoteReference"/>
          <w:rFonts w:ascii="Arial" w:hAnsi="Arial" w:cs="Arial"/>
          <w:sz w:val="20"/>
          <w:szCs w:val="20"/>
        </w:rPr>
        <w:footnoteRef/>
      </w:r>
      <w:r w:rsidRPr="001D575A">
        <w:rPr>
          <w:rFonts w:ascii="Arial" w:hAnsi="Arial" w:cs="Arial"/>
          <w:sz w:val="20"/>
          <w:szCs w:val="20"/>
        </w:rPr>
        <w:t xml:space="preserve"> A notarial bond is a bond attested to by a notary public, hypothecating all the movable assets or a specific asset of the debtor, and is registered in the Deeds Office by the registrar of deeds in a manner similar to mortgage bonds.</w:t>
      </w:r>
    </w:p>
  </w:footnote>
  <w:footnote w:id="12">
    <w:p w14:paraId="06B6513C" w14:textId="77777777" w:rsidR="00C507EB" w:rsidRPr="001D575A" w:rsidRDefault="00C507EB" w:rsidP="001D575A">
      <w:pPr>
        <w:pStyle w:val="FootnoteText"/>
        <w:contextualSpacing/>
        <w:jc w:val="both"/>
        <w:rPr>
          <w:rFonts w:ascii="Arial" w:hAnsi="Arial" w:cs="Arial"/>
          <w:lang w:val="en-US"/>
        </w:rPr>
      </w:pPr>
      <w:r w:rsidRPr="001D575A">
        <w:rPr>
          <w:rStyle w:val="FootnoteReference"/>
          <w:rFonts w:ascii="Arial" w:hAnsi="Arial" w:cs="Arial"/>
        </w:rPr>
        <w:footnoteRef/>
      </w:r>
      <w:r w:rsidRPr="001D575A">
        <w:rPr>
          <w:rFonts w:ascii="Arial" w:hAnsi="Arial" w:cs="Arial"/>
        </w:rPr>
        <w:t xml:space="preserve"> </w:t>
      </w:r>
      <w:r w:rsidRPr="001D575A">
        <w:rPr>
          <w:rFonts w:ascii="Arial" w:hAnsi="Arial" w:cs="Arial"/>
          <w:i/>
          <w:lang w:val="en-US"/>
        </w:rPr>
        <w:t>AL v The Central Authority for the Republic of South Africa and another</w:t>
      </w:r>
      <w:r w:rsidRPr="001D575A">
        <w:rPr>
          <w:rFonts w:ascii="Arial" w:hAnsi="Arial" w:cs="Arial"/>
          <w:lang w:val="en-US"/>
        </w:rPr>
        <w:t xml:space="preserve"> [</w:t>
      </w:r>
      <w:r w:rsidR="004C292D" w:rsidRPr="001D575A">
        <w:rPr>
          <w:rFonts w:ascii="Arial" w:hAnsi="Arial" w:cs="Arial"/>
          <w:lang w:val="en-US"/>
        </w:rPr>
        <w:t>2018</w:t>
      </w:r>
      <w:r w:rsidRPr="001D575A">
        <w:rPr>
          <w:rFonts w:ascii="Arial" w:hAnsi="Arial" w:cs="Arial"/>
          <w:lang w:val="en-US"/>
        </w:rPr>
        <w:t>] ZAGPJHC 12 para 12.</w:t>
      </w:r>
    </w:p>
  </w:footnote>
  <w:footnote w:id="13">
    <w:p w14:paraId="1B5726F8" w14:textId="77777777" w:rsidR="00C507EB" w:rsidRPr="001D575A" w:rsidRDefault="00C507EB" w:rsidP="001D575A">
      <w:pPr>
        <w:pStyle w:val="FootnoteText"/>
        <w:contextualSpacing/>
        <w:jc w:val="both"/>
        <w:rPr>
          <w:rFonts w:ascii="Arial" w:hAnsi="Arial" w:cs="Arial"/>
          <w:lang w:val="en-US"/>
        </w:rPr>
      </w:pPr>
      <w:r w:rsidRPr="001D575A">
        <w:rPr>
          <w:rStyle w:val="FootnoteReference"/>
          <w:rFonts w:ascii="Arial" w:hAnsi="Arial" w:cs="Arial"/>
        </w:rPr>
        <w:footnoteRef/>
      </w:r>
      <w:r w:rsidRPr="001D575A">
        <w:rPr>
          <w:rFonts w:ascii="Arial" w:hAnsi="Arial" w:cs="Arial"/>
        </w:rPr>
        <w:t xml:space="preserve"> </w:t>
      </w:r>
      <w:r w:rsidRPr="001D575A">
        <w:rPr>
          <w:rFonts w:ascii="Arial" w:hAnsi="Arial" w:cs="Arial"/>
          <w:i/>
          <w:iCs/>
        </w:rPr>
        <w:t xml:space="preserve">Gentiruco AG v Firestone SA (Pty) </w:t>
      </w:r>
      <w:r w:rsidR="00E5213A" w:rsidRPr="001D575A">
        <w:rPr>
          <w:rFonts w:ascii="Arial" w:hAnsi="Arial" w:cs="Arial"/>
          <w:i/>
          <w:iCs/>
        </w:rPr>
        <w:t>Ltd</w:t>
      </w:r>
      <w:r w:rsidR="00E5213A" w:rsidRPr="001D575A">
        <w:rPr>
          <w:rFonts w:ascii="Arial" w:hAnsi="Arial" w:cs="Arial"/>
          <w:shd w:val="clear" w:color="auto" w:fill="FFFFFF"/>
        </w:rPr>
        <w:t xml:space="preserve"> </w:t>
      </w:r>
      <w:r w:rsidRPr="001D575A">
        <w:rPr>
          <w:rFonts w:ascii="Arial" w:hAnsi="Arial" w:cs="Arial"/>
          <w:shd w:val="clear" w:color="auto" w:fill="FFFFFF"/>
        </w:rPr>
        <w:t xml:space="preserve">1972 (1) SA 589 (A); </w:t>
      </w:r>
      <w:r w:rsidRPr="001D575A">
        <w:rPr>
          <w:rFonts w:ascii="Arial" w:hAnsi="Arial" w:cs="Arial"/>
          <w:i/>
          <w:iCs/>
        </w:rPr>
        <w:t>Standard Bank v Estate Van Rhyn</w:t>
      </w:r>
      <w:r w:rsidRPr="001D575A">
        <w:rPr>
          <w:rFonts w:ascii="Arial" w:eastAsia="Times New Roman" w:hAnsi="Arial" w:cs="Arial"/>
          <w:lang w:val="en-ZA" w:eastAsia="en-GB" w:bidi="yi-Hebr"/>
        </w:rPr>
        <w:t xml:space="preserve"> </w:t>
      </w:r>
      <w:hyperlink r:id="rId1" w:tooltip="View LawCiteRecord" w:history="1">
        <w:r w:rsidRPr="001D575A">
          <w:rPr>
            <w:rFonts w:ascii="Arial" w:eastAsia="Times New Roman" w:hAnsi="Arial" w:cs="Arial"/>
            <w:bCs/>
            <w:shd w:val="clear" w:color="auto" w:fill="FFFFFF"/>
            <w:lang w:val="en-ZA" w:eastAsia="en-GB" w:bidi="yi-Hebr"/>
          </w:rPr>
          <w:t>1925 AD 2</w:t>
        </w:r>
        <w:r w:rsidR="00E5213A" w:rsidRPr="001D575A">
          <w:rPr>
            <w:rFonts w:ascii="Arial" w:eastAsia="Times New Roman" w:hAnsi="Arial" w:cs="Arial"/>
            <w:bCs/>
            <w:shd w:val="clear" w:color="auto" w:fill="FFFFFF"/>
            <w:lang w:val="en-ZA" w:eastAsia="en-GB" w:bidi="yi-Hebr"/>
          </w:rPr>
          <w:t>6</w:t>
        </w:r>
        <w:r w:rsidRPr="001D575A">
          <w:rPr>
            <w:rFonts w:ascii="Arial" w:eastAsia="Times New Roman" w:hAnsi="Arial" w:cs="Arial"/>
            <w:bCs/>
            <w:shd w:val="clear" w:color="auto" w:fill="FFFFFF"/>
            <w:lang w:val="en-ZA" w:eastAsia="en-GB" w:bidi="yi-Hebr"/>
          </w:rPr>
          <w:t>6</w:t>
        </w:r>
      </w:hyperlink>
      <w:r w:rsidRPr="001D575A">
        <w:rPr>
          <w:rFonts w:ascii="Arial" w:eastAsia="Times New Roman" w:hAnsi="Arial" w:cs="Arial"/>
          <w:shd w:val="clear" w:color="auto" w:fill="FFFFFF"/>
          <w:lang w:val="en-ZA" w:eastAsia="en-GB" w:bidi="yi-Hebr"/>
        </w:rPr>
        <w:t xml:space="preserve"> at </w:t>
      </w:r>
      <w:r w:rsidR="00E5213A" w:rsidRPr="001D575A">
        <w:rPr>
          <w:rFonts w:ascii="Arial" w:eastAsia="Times New Roman" w:hAnsi="Arial" w:cs="Arial"/>
          <w:shd w:val="clear" w:color="auto" w:fill="FFFFFF"/>
          <w:lang w:val="en-ZA" w:eastAsia="en-GB" w:bidi="yi-Hebr"/>
        </w:rPr>
        <w:t>268</w:t>
      </w:r>
      <w:r w:rsidRPr="001D575A">
        <w:rPr>
          <w:rFonts w:ascii="Arial" w:eastAsia="Times New Roman" w:hAnsi="Arial" w:cs="Arial"/>
          <w:shd w:val="clear" w:color="auto" w:fill="FFFFFF"/>
          <w:lang w:val="en-ZA" w:eastAsia="en-GB" w:bidi="yi-Hebr"/>
        </w:rPr>
        <w:t>.</w:t>
      </w:r>
    </w:p>
  </w:footnote>
  <w:footnote w:id="14">
    <w:p w14:paraId="797EA619" w14:textId="77777777" w:rsidR="00C507EB" w:rsidRPr="001D575A" w:rsidRDefault="00C507EB" w:rsidP="001D575A">
      <w:pPr>
        <w:contextualSpacing/>
        <w:jc w:val="both"/>
        <w:rPr>
          <w:rFonts w:ascii="Arial" w:hAnsi="Arial" w:cs="Arial"/>
          <w:sz w:val="20"/>
          <w:szCs w:val="20"/>
          <w:lang w:val="en-US"/>
        </w:rPr>
      </w:pPr>
      <w:r w:rsidRPr="001D575A">
        <w:rPr>
          <w:rStyle w:val="FootnoteReference"/>
          <w:rFonts w:ascii="Arial" w:hAnsi="Arial" w:cs="Arial"/>
          <w:sz w:val="20"/>
          <w:szCs w:val="20"/>
        </w:rPr>
        <w:footnoteRef/>
      </w:r>
      <w:r w:rsidR="00FF44A3" w:rsidRPr="001D575A">
        <w:rPr>
          <w:rFonts w:ascii="Arial" w:hAnsi="Arial" w:cs="Arial"/>
          <w:i/>
          <w:iCs/>
          <w:sz w:val="20"/>
          <w:szCs w:val="20"/>
        </w:rPr>
        <w:t xml:space="preserve"> </w:t>
      </w:r>
      <w:r w:rsidRPr="001D575A">
        <w:rPr>
          <w:rFonts w:ascii="Arial" w:hAnsi="Arial" w:cs="Arial"/>
          <w:i/>
          <w:iCs/>
          <w:sz w:val="20"/>
          <w:szCs w:val="20"/>
        </w:rPr>
        <w:t xml:space="preserve">Capitec Bank Holdings </w:t>
      </w:r>
      <w:r w:rsidR="009B7AA5" w:rsidRPr="001D575A">
        <w:rPr>
          <w:rFonts w:ascii="Arial" w:hAnsi="Arial" w:cs="Arial"/>
          <w:i/>
          <w:iCs/>
          <w:sz w:val="20"/>
          <w:szCs w:val="20"/>
        </w:rPr>
        <w:t xml:space="preserve">Ltd </w:t>
      </w:r>
      <w:r w:rsidRPr="001D575A">
        <w:rPr>
          <w:rFonts w:ascii="Arial" w:hAnsi="Arial" w:cs="Arial"/>
          <w:i/>
          <w:iCs/>
          <w:sz w:val="20"/>
          <w:szCs w:val="20"/>
        </w:rPr>
        <w:t xml:space="preserve">and </w:t>
      </w:r>
      <w:r w:rsidR="009B7AA5" w:rsidRPr="001D575A">
        <w:rPr>
          <w:rFonts w:ascii="Arial" w:hAnsi="Arial" w:cs="Arial"/>
          <w:i/>
          <w:iCs/>
          <w:sz w:val="20"/>
          <w:szCs w:val="20"/>
        </w:rPr>
        <w:t xml:space="preserve">another </w:t>
      </w:r>
      <w:r w:rsidRPr="001D575A">
        <w:rPr>
          <w:rFonts w:ascii="Arial" w:hAnsi="Arial" w:cs="Arial"/>
          <w:i/>
          <w:iCs/>
          <w:sz w:val="20"/>
          <w:szCs w:val="20"/>
        </w:rPr>
        <w:t xml:space="preserve">v Coral Lagoon Investments 194 (Pty) Ltd and </w:t>
      </w:r>
      <w:r w:rsidR="009B7AA5" w:rsidRPr="001D575A">
        <w:rPr>
          <w:rFonts w:ascii="Arial" w:hAnsi="Arial" w:cs="Arial"/>
          <w:i/>
          <w:iCs/>
          <w:sz w:val="20"/>
          <w:szCs w:val="20"/>
        </w:rPr>
        <w:t>others</w:t>
      </w:r>
      <w:r w:rsidR="009B7AA5" w:rsidRPr="001D575A">
        <w:rPr>
          <w:rFonts w:ascii="Arial" w:hAnsi="Arial" w:cs="Arial"/>
          <w:sz w:val="20"/>
          <w:szCs w:val="20"/>
        </w:rPr>
        <w:t xml:space="preserve"> [2021] ZASCA 99; 2022 (1) SA 100 (SCA); </w:t>
      </w:r>
      <w:hyperlink r:id="rId2" w:tooltip="View LawCiteRecord" w:history="1">
        <w:r w:rsidRPr="001D575A">
          <w:rPr>
            <w:rStyle w:val="Hyperlink"/>
            <w:rFonts w:ascii="Arial" w:hAnsi="Arial" w:cs="Arial"/>
            <w:color w:val="auto"/>
            <w:sz w:val="20"/>
            <w:szCs w:val="20"/>
            <w:u w:val="none"/>
          </w:rPr>
          <w:t>[2021] 3 All SA 647</w:t>
        </w:r>
      </w:hyperlink>
      <w:r w:rsidRPr="001D575A">
        <w:rPr>
          <w:rStyle w:val="apple-converted-space"/>
          <w:rFonts w:ascii="Arial" w:hAnsi="Arial" w:cs="Arial"/>
          <w:sz w:val="20"/>
          <w:szCs w:val="20"/>
          <w:shd w:val="clear" w:color="auto" w:fill="FFFFFF"/>
        </w:rPr>
        <w:t> </w:t>
      </w:r>
      <w:r w:rsidRPr="001D575A">
        <w:rPr>
          <w:rFonts w:ascii="Arial" w:hAnsi="Arial" w:cs="Arial"/>
          <w:sz w:val="20"/>
          <w:szCs w:val="20"/>
          <w:shd w:val="clear" w:color="auto" w:fill="FFFFFF"/>
        </w:rPr>
        <w:t>(SCA) paras 50-51.</w:t>
      </w:r>
    </w:p>
  </w:footnote>
  <w:footnote w:id="15">
    <w:p w14:paraId="0AB6FB28" w14:textId="77777777" w:rsidR="007A2FB8" w:rsidRPr="001D575A" w:rsidRDefault="007A2FB8" w:rsidP="001D575A">
      <w:pPr>
        <w:pStyle w:val="FootnoteText"/>
        <w:contextualSpacing/>
        <w:jc w:val="both"/>
        <w:rPr>
          <w:rFonts w:ascii="Arial" w:hAnsi="Arial" w:cs="Arial"/>
          <w:lang w:val="en-US"/>
        </w:rPr>
      </w:pPr>
      <w:r w:rsidRPr="001D575A">
        <w:rPr>
          <w:rStyle w:val="FootnoteReference"/>
          <w:rFonts w:ascii="Arial" w:hAnsi="Arial" w:cs="Arial"/>
        </w:rPr>
        <w:footnoteRef/>
      </w:r>
      <w:r w:rsidRPr="001D575A">
        <w:rPr>
          <w:rFonts w:ascii="Arial" w:hAnsi="Arial" w:cs="Arial"/>
        </w:rPr>
        <w:t xml:space="preserve"> </w:t>
      </w:r>
      <w:r w:rsidRPr="001D575A">
        <w:rPr>
          <w:rFonts w:ascii="Arial" w:hAnsi="Arial" w:cs="Arial"/>
          <w:i/>
          <w:iCs/>
        </w:rPr>
        <w:t xml:space="preserve">R v Katz </w:t>
      </w:r>
      <w:r w:rsidRPr="001D575A">
        <w:rPr>
          <w:rFonts w:ascii="Arial" w:hAnsi="Arial" w:cs="Arial"/>
          <w:iCs/>
        </w:rPr>
        <w:t>1959 (3) SA 408 (C) at 417D-H.</w:t>
      </w:r>
    </w:p>
  </w:footnote>
  <w:footnote w:id="16">
    <w:p w14:paraId="28CDDA91" w14:textId="77777777" w:rsidR="00C507EB" w:rsidRPr="001D575A" w:rsidRDefault="00C507EB" w:rsidP="001D575A">
      <w:pPr>
        <w:contextualSpacing/>
        <w:jc w:val="both"/>
        <w:rPr>
          <w:rFonts w:ascii="Arial" w:hAnsi="Arial" w:cs="Arial"/>
          <w:sz w:val="20"/>
          <w:szCs w:val="20"/>
          <w:lang w:val="en-US"/>
        </w:rPr>
      </w:pPr>
      <w:r w:rsidRPr="001D575A">
        <w:rPr>
          <w:rStyle w:val="FootnoteReference"/>
          <w:rFonts w:ascii="Arial" w:hAnsi="Arial" w:cs="Arial"/>
          <w:sz w:val="20"/>
          <w:szCs w:val="20"/>
        </w:rPr>
        <w:footnoteRef/>
      </w:r>
      <w:r w:rsidRPr="001D575A">
        <w:rPr>
          <w:rFonts w:ascii="Arial" w:hAnsi="Arial" w:cs="Arial"/>
          <w:i/>
          <w:iCs/>
          <w:sz w:val="20"/>
          <w:szCs w:val="20"/>
        </w:rPr>
        <w:t xml:space="preserve"> Ex parte</w:t>
      </w:r>
      <w:r w:rsidR="004C5BE2" w:rsidRPr="001D575A">
        <w:rPr>
          <w:rFonts w:ascii="Arial" w:hAnsi="Arial" w:cs="Arial"/>
          <w:i/>
          <w:iCs/>
          <w:sz w:val="20"/>
          <w:szCs w:val="20"/>
        </w:rPr>
        <w:t xml:space="preserve"> the</w:t>
      </w:r>
      <w:r w:rsidRPr="001D575A">
        <w:rPr>
          <w:rFonts w:ascii="Arial" w:hAnsi="Arial" w:cs="Arial"/>
          <w:i/>
          <w:iCs/>
          <w:sz w:val="20"/>
          <w:szCs w:val="20"/>
        </w:rPr>
        <w:t xml:space="preserve"> Minister of Justice: In re R</w:t>
      </w:r>
      <w:r w:rsidR="004C5BE2" w:rsidRPr="001D575A">
        <w:rPr>
          <w:rFonts w:ascii="Arial" w:hAnsi="Arial" w:cs="Arial"/>
          <w:i/>
          <w:iCs/>
          <w:sz w:val="20"/>
          <w:szCs w:val="20"/>
        </w:rPr>
        <w:t>ex</w:t>
      </w:r>
      <w:r w:rsidRPr="001D575A">
        <w:rPr>
          <w:rFonts w:ascii="Arial" w:hAnsi="Arial" w:cs="Arial"/>
          <w:i/>
          <w:iCs/>
          <w:sz w:val="20"/>
          <w:szCs w:val="20"/>
        </w:rPr>
        <w:t xml:space="preserve"> v Jacobson and Levy</w:t>
      </w:r>
      <w:r w:rsidRPr="001D575A">
        <w:rPr>
          <w:rFonts w:ascii="Arial" w:hAnsi="Arial" w:cs="Arial"/>
          <w:sz w:val="20"/>
          <w:szCs w:val="20"/>
        </w:rPr>
        <w:t xml:space="preserve"> </w:t>
      </w:r>
      <w:hyperlink r:id="rId3" w:tooltip="View LawCiteRecord" w:history="1">
        <w:r w:rsidRPr="001D575A">
          <w:rPr>
            <w:rStyle w:val="Hyperlink"/>
            <w:rFonts w:ascii="Arial" w:hAnsi="Arial" w:cs="Arial"/>
            <w:color w:val="auto"/>
            <w:sz w:val="20"/>
            <w:szCs w:val="20"/>
            <w:u w:val="none"/>
          </w:rPr>
          <w:t>1931 AD 466</w:t>
        </w:r>
      </w:hyperlink>
      <w:r w:rsidRPr="001D575A">
        <w:rPr>
          <w:rStyle w:val="apple-converted-space"/>
          <w:rFonts w:ascii="Arial" w:hAnsi="Arial" w:cs="Arial"/>
          <w:sz w:val="20"/>
          <w:szCs w:val="20"/>
          <w:shd w:val="clear" w:color="auto" w:fill="FFFFFF"/>
        </w:rPr>
        <w:t> </w:t>
      </w:r>
      <w:r w:rsidRPr="001D575A">
        <w:rPr>
          <w:rFonts w:ascii="Arial" w:hAnsi="Arial" w:cs="Arial"/>
          <w:sz w:val="20"/>
          <w:szCs w:val="20"/>
          <w:shd w:val="clear" w:color="auto" w:fill="FFFFFF"/>
        </w:rPr>
        <w:t>at 478.</w:t>
      </w:r>
    </w:p>
  </w:footnote>
  <w:footnote w:id="17">
    <w:p w14:paraId="7C46A684" w14:textId="77777777" w:rsidR="00C507EB" w:rsidRPr="001D575A" w:rsidRDefault="00C507EB" w:rsidP="001D575A">
      <w:pPr>
        <w:pStyle w:val="FootnoteText"/>
        <w:contextualSpacing/>
        <w:jc w:val="both"/>
        <w:rPr>
          <w:rFonts w:ascii="Arial" w:hAnsi="Arial" w:cs="Arial"/>
          <w:lang w:val="en-US"/>
        </w:rPr>
      </w:pPr>
      <w:r w:rsidRPr="001D575A">
        <w:rPr>
          <w:rStyle w:val="FootnoteReference"/>
          <w:rFonts w:ascii="Arial" w:hAnsi="Arial" w:cs="Arial"/>
        </w:rPr>
        <w:footnoteRef/>
      </w:r>
      <w:r w:rsidRPr="001D575A">
        <w:rPr>
          <w:rFonts w:ascii="Arial" w:hAnsi="Arial" w:cs="Arial"/>
        </w:rPr>
        <w:t xml:space="preserve"> </w:t>
      </w:r>
      <w:r w:rsidRPr="001D575A">
        <w:rPr>
          <w:rFonts w:ascii="Arial" w:hAnsi="Arial" w:cs="Arial"/>
          <w:i/>
          <w:iCs/>
          <w:lang w:val="en-US"/>
        </w:rPr>
        <w:t xml:space="preserve">Senekal v Trust Bank of Africa </w:t>
      </w:r>
      <w:r w:rsidR="004C5BE2" w:rsidRPr="001D575A">
        <w:rPr>
          <w:rFonts w:ascii="Arial" w:hAnsi="Arial" w:cs="Arial"/>
          <w:i/>
          <w:iCs/>
          <w:lang w:val="en-US"/>
        </w:rPr>
        <w:t>Ltd</w:t>
      </w:r>
      <w:r w:rsidR="004C5BE2" w:rsidRPr="001D575A">
        <w:rPr>
          <w:rFonts w:ascii="Arial" w:hAnsi="Arial" w:cs="Arial"/>
          <w:lang w:val="en-US"/>
        </w:rPr>
        <w:t xml:space="preserve"> </w:t>
      </w:r>
      <w:r w:rsidRPr="001D575A">
        <w:rPr>
          <w:rFonts w:ascii="Arial" w:hAnsi="Arial" w:cs="Arial"/>
          <w:lang w:val="en-US"/>
        </w:rPr>
        <w:t xml:space="preserve">1978 (3) SA 375 (A) </w:t>
      </w:r>
      <w:r w:rsidR="00AA2636" w:rsidRPr="001D575A">
        <w:rPr>
          <w:rFonts w:ascii="Arial" w:hAnsi="Arial" w:cs="Arial"/>
          <w:lang w:val="en-US"/>
        </w:rPr>
        <w:t xml:space="preserve">at </w:t>
      </w:r>
      <w:r w:rsidRPr="001D575A">
        <w:rPr>
          <w:rFonts w:ascii="Arial" w:hAnsi="Arial" w:cs="Arial"/>
          <w:lang w:val="en-US"/>
        </w:rPr>
        <w:t>382H–2383A.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458782"/>
      <w:docPartObj>
        <w:docPartGallery w:val="Page Numbers (Top of Page)"/>
        <w:docPartUnique/>
      </w:docPartObj>
    </w:sdtPr>
    <w:sdtEndPr>
      <w:rPr>
        <w:rFonts w:ascii="Arial" w:hAnsi="Arial" w:cs="Arial"/>
        <w:noProof/>
        <w:sz w:val="24"/>
        <w:szCs w:val="24"/>
      </w:rPr>
    </w:sdtEndPr>
    <w:sdtContent>
      <w:p w14:paraId="426ED402" w14:textId="53434F90" w:rsidR="00C507EB" w:rsidRPr="00747D92" w:rsidRDefault="00C507EB" w:rsidP="00AA4AAD">
        <w:pPr>
          <w:pStyle w:val="Header"/>
          <w:jc w:val="right"/>
          <w:rPr>
            <w:rFonts w:ascii="Arial" w:hAnsi="Arial" w:cs="Arial"/>
            <w:sz w:val="24"/>
            <w:szCs w:val="24"/>
          </w:rPr>
        </w:pPr>
        <w:r w:rsidRPr="00747D92">
          <w:rPr>
            <w:rFonts w:ascii="Arial" w:hAnsi="Arial" w:cs="Arial"/>
            <w:sz w:val="24"/>
            <w:szCs w:val="24"/>
          </w:rPr>
          <w:fldChar w:fldCharType="begin"/>
        </w:r>
        <w:r w:rsidRPr="00747D92">
          <w:rPr>
            <w:rFonts w:ascii="Arial" w:hAnsi="Arial" w:cs="Arial"/>
            <w:sz w:val="24"/>
            <w:szCs w:val="24"/>
          </w:rPr>
          <w:instrText xml:space="preserve"> PAGE   \* MERGEFORMAT </w:instrText>
        </w:r>
        <w:r w:rsidRPr="00747D92">
          <w:rPr>
            <w:rFonts w:ascii="Arial" w:hAnsi="Arial" w:cs="Arial"/>
            <w:sz w:val="24"/>
            <w:szCs w:val="24"/>
          </w:rPr>
          <w:fldChar w:fldCharType="separate"/>
        </w:r>
        <w:r w:rsidR="003328F7">
          <w:rPr>
            <w:rFonts w:ascii="Arial" w:hAnsi="Arial" w:cs="Arial"/>
            <w:noProof/>
            <w:sz w:val="24"/>
            <w:szCs w:val="24"/>
          </w:rPr>
          <w:t>3</w:t>
        </w:r>
        <w:r w:rsidRPr="00747D92">
          <w:rPr>
            <w:rFonts w:ascii="Arial" w:hAnsi="Arial" w:cs="Arial"/>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1B38"/>
    <w:multiLevelType w:val="hybridMultilevel"/>
    <w:tmpl w:val="66B6EAEA"/>
    <w:lvl w:ilvl="0" w:tplc="C220D1C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B757F"/>
    <w:multiLevelType w:val="hybridMultilevel"/>
    <w:tmpl w:val="AE14AA2C"/>
    <w:lvl w:ilvl="0" w:tplc="F30A56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51A7E"/>
    <w:multiLevelType w:val="hybridMultilevel"/>
    <w:tmpl w:val="15F2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1E428F"/>
    <w:multiLevelType w:val="hybridMultilevel"/>
    <w:tmpl w:val="3524F214"/>
    <w:lvl w:ilvl="0" w:tplc="8B8E46A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AF0964"/>
    <w:multiLevelType w:val="hybridMultilevel"/>
    <w:tmpl w:val="4B12426E"/>
    <w:lvl w:ilvl="0" w:tplc="002A8D7A">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2D578A3"/>
    <w:multiLevelType w:val="hybridMultilevel"/>
    <w:tmpl w:val="14C2B6B0"/>
    <w:lvl w:ilvl="0" w:tplc="7F8202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326084"/>
    <w:multiLevelType w:val="hybridMultilevel"/>
    <w:tmpl w:val="B072B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C97203"/>
    <w:multiLevelType w:val="hybridMultilevel"/>
    <w:tmpl w:val="4C62CC0A"/>
    <w:lvl w:ilvl="0" w:tplc="57CED1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BD4BA1"/>
    <w:multiLevelType w:val="hybridMultilevel"/>
    <w:tmpl w:val="C04A917C"/>
    <w:lvl w:ilvl="0" w:tplc="E1123540">
      <w:start w:val="1"/>
      <w:numFmt w:val="lowerLetter"/>
      <w:lvlText w:val="(%1)"/>
      <w:lvlJc w:val="left"/>
      <w:pPr>
        <w:ind w:left="720" w:hanging="360"/>
      </w:pPr>
      <w:rPr>
        <w:rFonts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4938B0"/>
    <w:multiLevelType w:val="hybridMultilevel"/>
    <w:tmpl w:val="21C85D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260846"/>
    <w:multiLevelType w:val="hybridMultilevel"/>
    <w:tmpl w:val="570E2D9E"/>
    <w:lvl w:ilvl="0" w:tplc="4EC6859A">
      <w:start w:val="1"/>
      <w:numFmt w:val="decimal"/>
      <w:lvlText w:val="[%1]"/>
      <w:lvlJc w:val="left"/>
      <w:pPr>
        <w:ind w:left="928" w:hanging="360"/>
      </w:pPr>
      <w:rPr>
        <w:rFonts w:ascii="Arial" w:hAnsi="Arial" w:hint="default"/>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020C1F"/>
    <w:multiLevelType w:val="hybridMultilevel"/>
    <w:tmpl w:val="A112B230"/>
    <w:lvl w:ilvl="0" w:tplc="52562D1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9215E9"/>
    <w:multiLevelType w:val="hybridMultilevel"/>
    <w:tmpl w:val="E242B808"/>
    <w:lvl w:ilvl="0" w:tplc="7354EAD8">
      <w:start w:val="1"/>
      <w:numFmt w:val="lowerLetter"/>
      <w:lvlText w:val="(%1)"/>
      <w:lvlJc w:val="left"/>
      <w:pPr>
        <w:ind w:left="1140" w:hanging="78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580C20"/>
    <w:multiLevelType w:val="hybridMultilevel"/>
    <w:tmpl w:val="B37ACBFE"/>
    <w:lvl w:ilvl="0" w:tplc="50147696">
      <w:start w:val="1"/>
      <w:numFmt w:val="lowerLetter"/>
      <w:lvlText w:val="(%1)"/>
      <w:lvlJc w:val="left"/>
      <w:pPr>
        <w:ind w:left="720" w:hanging="360"/>
      </w:pPr>
      <w:rPr>
        <w:rFonts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F76746"/>
    <w:multiLevelType w:val="hybridMultilevel"/>
    <w:tmpl w:val="45A4083C"/>
    <w:lvl w:ilvl="0" w:tplc="527007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6651B5"/>
    <w:multiLevelType w:val="hybridMultilevel"/>
    <w:tmpl w:val="FEB041F4"/>
    <w:lvl w:ilvl="0" w:tplc="8EEC90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687782"/>
    <w:multiLevelType w:val="hybridMultilevel"/>
    <w:tmpl w:val="F9FAA5D2"/>
    <w:lvl w:ilvl="0" w:tplc="E9D4E9BC">
      <w:start w:val="1"/>
      <w:numFmt w:val="lowerLetter"/>
      <w:lvlText w:val="(%1)"/>
      <w:lvlJc w:val="left"/>
      <w:pPr>
        <w:ind w:left="1140" w:hanging="78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410153"/>
    <w:multiLevelType w:val="hybridMultilevel"/>
    <w:tmpl w:val="90BC1E6E"/>
    <w:lvl w:ilvl="0" w:tplc="097C4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B94B9F"/>
    <w:multiLevelType w:val="hybridMultilevel"/>
    <w:tmpl w:val="3D462540"/>
    <w:lvl w:ilvl="0" w:tplc="9A7047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E6111F"/>
    <w:multiLevelType w:val="hybridMultilevel"/>
    <w:tmpl w:val="5D3EA864"/>
    <w:lvl w:ilvl="0" w:tplc="F4C860F6">
      <w:start w:val="1"/>
      <w:numFmt w:val="decimal"/>
      <w:lvlText w:val="[%1]"/>
      <w:lvlJc w:val="left"/>
      <w:pPr>
        <w:ind w:left="928"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F37CA5"/>
    <w:multiLevelType w:val="hybridMultilevel"/>
    <w:tmpl w:val="F9806CF6"/>
    <w:lvl w:ilvl="0" w:tplc="A5A07D62">
      <w:start w:val="1"/>
      <w:numFmt w:val="lowerLetter"/>
      <w:lvlText w:val="(%1)"/>
      <w:lvlJc w:val="left"/>
      <w:pPr>
        <w:ind w:left="72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494010"/>
    <w:multiLevelType w:val="hybridMultilevel"/>
    <w:tmpl w:val="7D186524"/>
    <w:lvl w:ilvl="0" w:tplc="11F2D8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F26EB1"/>
    <w:multiLevelType w:val="hybridMultilevel"/>
    <w:tmpl w:val="F5488232"/>
    <w:lvl w:ilvl="0" w:tplc="3A729CA0">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8A907D2"/>
    <w:multiLevelType w:val="hybridMultilevel"/>
    <w:tmpl w:val="65DE568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8574CF"/>
    <w:multiLevelType w:val="hybridMultilevel"/>
    <w:tmpl w:val="5052E016"/>
    <w:lvl w:ilvl="0" w:tplc="79F4E4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AF5F2B"/>
    <w:multiLevelType w:val="hybridMultilevel"/>
    <w:tmpl w:val="00EC9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53535C"/>
    <w:multiLevelType w:val="hybridMultilevel"/>
    <w:tmpl w:val="75F0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457CBB"/>
    <w:multiLevelType w:val="hybridMultilevel"/>
    <w:tmpl w:val="BCFEF0BC"/>
    <w:lvl w:ilvl="0" w:tplc="54C6B0C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EB25D8"/>
    <w:multiLevelType w:val="hybridMultilevel"/>
    <w:tmpl w:val="F858D9D2"/>
    <w:lvl w:ilvl="0" w:tplc="07E8CBCA">
      <w:start w:val="1"/>
      <w:numFmt w:val="lowerLetter"/>
      <w:lvlText w:val="(%1)"/>
      <w:lvlJc w:val="left"/>
      <w:pPr>
        <w:ind w:left="3196" w:hanging="360"/>
      </w:pPr>
      <w:rPr>
        <w:rFonts w:hint="default"/>
        <w:i/>
        <w:iCs/>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29">
    <w:nsid w:val="6A3E0CF0"/>
    <w:multiLevelType w:val="hybridMultilevel"/>
    <w:tmpl w:val="EAB49E10"/>
    <w:lvl w:ilvl="0" w:tplc="79CC0114">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CA00EF4"/>
    <w:multiLevelType w:val="hybridMultilevel"/>
    <w:tmpl w:val="70E69C3A"/>
    <w:lvl w:ilvl="0" w:tplc="F88A891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D47B96"/>
    <w:multiLevelType w:val="hybridMultilevel"/>
    <w:tmpl w:val="AEB00AE8"/>
    <w:lvl w:ilvl="0" w:tplc="BB84362C">
      <w:start w:val="1"/>
      <w:numFmt w:val="lowerLetter"/>
      <w:lvlText w:val="(%1)"/>
      <w:lvlJc w:val="left"/>
      <w:pPr>
        <w:ind w:left="720" w:hanging="360"/>
      </w:pPr>
      <w:rPr>
        <w:rFonts w:eastAsiaTheme="minorHAnsi"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220926"/>
    <w:multiLevelType w:val="hybridMultilevel"/>
    <w:tmpl w:val="B2BEAEE6"/>
    <w:lvl w:ilvl="0" w:tplc="4BFEE08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AA3D61"/>
    <w:multiLevelType w:val="hybridMultilevel"/>
    <w:tmpl w:val="5DCA7912"/>
    <w:lvl w:ilvl="0" w:tplc="4602315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6E05AE"/>
    <w:multiLevelType w:val="hybridMultilevel"/>
    <w:tmpl w:val="9CC26AC2"/>
    <w:lvl w:ilvl="0" w:tplc="D70A2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5"/>
  </w:num>
  <w:num w:numId="3">
    <w:abstractNumId w:val="22"/>
  </w:num>
  <w:num w:numId="4">
    <w:abstractNumId w:val="26"/>
  </w:num>
  <w:num w:numId="5">
    <w:abstractNumId w:val="9"/>
  </w:num>
  <w:num w:numId="6">
    <w:abstractNumId w:val="4"/>
  </w:num>
  <w:num w:numId="7">
    <w:abstractNumId w:val="31"/>
  </w:num>
  <w:num w:numId="8">
    <w:abstractNumId w:val="6"/>
  </w:num>
  <w:num w:numId="9">
    <w:abstractNumId w:val="29"/>
  </w:num>
  <w:num w:numId="10">
    <w:abstractNumId w:val="1"/>
  </w:num>
  <w:num w:numId="11">
    <w:abstractNumId w:val="33"/>
  </w:num>
  <w:num w:numId="12">
    <w:abstractNumId w:val="19"/>
  </w:num>
  <w:num w:numId="13">
    <w:abstractNumId w:val="20"/>
  </w:num>
  <w:num w:numId="14">
    <w:abstractNumId w:val="0"/>
  </w:num>
  <w:num w:numId="15">
    <w:abstractNumId w:val="32"/>
  </w:num>
  <w:num w:numId="16">
    <w:abstractNumId w:val="21"/>
  </w:num>
  <w:num w:numId="17">
    <w:abstractNumId w:val="34"/>
  </w:num>
  <w:num w:numId="18">
    <w:abstractNumId w:val="23"/>
  </w:num>
  <w:num w:numId="19">
    <w:abstractNumId w:val="24"/>
  </w:num>
  <w:num w:numId="20">
    <w:abstractNumId w:val="15"/>
  </w:num>
  <w:num w:numId="21">
    <w:abstractNumId w:val="5"/>
  </w:num>
  <w:num w:numId="22">
    <w:abstractNumId w:val="27"/>
  </w:num>
  <w:num w:numId="23">
    <w:abstractNumId w:val="2"/>
  </w:num>
  <w:num w:numId="24">
    <w:abstractNumId w:val="11"/>
  </w:num>
  <w:num w:numId="25">
    <w:abstractNumId w:val="8"/>
  </w:num>
  <w:num w:numId="26">
    <w:abstractNumId w:val="13"/>
  </w:num>
  <w:num w:numId="27">
    <w:abstractNumId w:val="17"/>
  </w:num>
  <w:num w:numId="28">
    <w:abstractNumId w:val="14"/>
  </w:num>
  <w:num w:numId="29">
    <w:abstractNumId w:val="16"/>
  </w:num>
  <w:num w:numId="30">
    <w:abstractNumId w:val="30"/>
  </w:num>
  <w:num w:numId="31">
    <w:abstractNumId w:val="18"/>
  </w:num>
  <w:num w:numId="32">
    <w:abstractNumId w:val="3"/>
  </w:num>
  <w:num w:numId="33">
    <w:abstractNumId w:val="12"/>
  </w:num>
  <w:num w:numId="34">
    <w:abstractNumId w:val="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EC"/>
    <w:rsid w:val="000007E9"/>
    <w:rsid w:val="00001D5C"/>
    <w:rsid w:val="00006A92"/>
    <w:rsid w:val="00006C26"/>
    <w:rsid w:val="00012005"/>
    <w:rsid w:val="00012BA6"/>
    <w:rsid w:val="00012DE8"/>
    <w:rsid w:val="000153C8"/>
    <w:rsid w:val="00017C3D"/>
    <w:rsid w:val="00032C36"/>
    <w:rsid w:val="0003659C"/>
    <w:rsid w:val="00036A1E"/>
    <w:rsid w:val="000403DE"/>
    <w:rsid w:val="00042BB7"/>
    <w:rsid w:val="00043114"/>
    <w:rsid w:val="00047642"/>
    <w:rsid w:val="0005156D"/>
    <w:rsid w:val="00055372"/>
    <w:rsid w:val="0005695F"/>
    <w:rsid w:val="00060496"/>
    <w:rsid w:val="00061439"/>
    <w:rsid w:val="00064562"/>
    <w:rsid w:val="000645DA"/>
    <w:rsid w:val="00070440"/>
    <w:rsid w:val="00071419"/>
    <w:rsid w:val="00072031"/>
    <w:rsid w:val="00074EE9"/>
    <w:rsid w:val="0007651F"/>
    <w:rsid w:val="000767C6"/>
    <w:rsid w:val="00077E87"/>
    <w:rsid w:val="00081619"/>
    <w:rsid w:val="00086455"/>
    <w:rsid w:val="000906C8"/>
    <w:rsid w:val="000919DF"/>
    <w:rsid w:val="0009369C"/>
    <w:rsid w:val="00095066"/>
    <w:rsid w:val="00097D0C"/>
    <w:rsid w:val="000A0C69"/>
    <w:rsid w:val="000A251C"/>
    <w:rsid w:val="000A5554"/>
    <w:rsid w:val="000A7C59"/>
    <w:rsid w:val="000B617C"/>
    <w:rsid w:val="000C0576"/>
    <w:rsid w:val="000C3C4D"/>
    <w:rsid w:val="000D0FF5"/>
    <w:rsid w:val="000D24DB"/>
    <w:rsid w:val="000E0AF1"/>
    <w:rsid w:val="000F25F4"/>
    <w:rsid w:val="001004DC"/>
    <w:rsid w:val="00112D39"/>
    <w:rsid w:val="001175ED"/>
    <w:rsid w:val="0012013C"/>
    <w:rsid w:val="0012175C"/>
    <w:rsid w:val="00123AFF"/>
    <w:rsid w:val="00126190"/>
    <w:rsid w:val="001357C5"/>
    <w:rsid w:val="00136996"/>
    <w:rsid w:val="001369E5"/>
    <w:rsid w:val="001433D3"/>
    <w:rsid w:val="00144E31"/>
    <w:rsid w:val="00147D09"/>
    <w:rsid w:val="00152A58"/>
    <w:rsid w:val="00153A16"/>
    <w:rsid w:val="001540BB"/>
    <w:rsid w:val="00154BEC"/>
    <w:rsid w:val="00155500"/>
    <w:rsid w:val="00157397"/>
    <w:rsid w:val="0015787E"/>
    <w:rsid w:val="00161100"/>
    <w:rsid w:val="00163240"/>
    <w:rsid w:val="00171567"/>
    <w:rsid w:val="001771A9"/>
    <w:rsid w:val="00192E44"/>
    <w:rsid w:val="001948AD"/>
    <w:rsid w:val="00196C09"/>
    <w:rsid w:val="001A2A0B"/>
    <w:rsid w:val="001A2AA0"/>
    <w:rsid w:val="001A3518"/>
    <w:rsid w:val="001A4348"/>
    <w:rsid w:val="001A4DBA"/>
    <w:rsid w:val="001A5697"/>
    <w:rsid w:val="001B3A32"/>
    <w:rsid w:val="001C0F0B"/>
    <w:rsid w:val="001C5BF9"/>
    <w:rsid w:val="001D2183"/>
    <w:rsid w:val="001D26CC"/>
    <w:rsid w:val="001D2982"/>
    <w:rsid w:val="001D575A"/>
    <w:rsid w:val="001D61CA"/>
    <w:rsid w:val="001E10F4"/>
    <w:rsid w:val="001E48C3"/>
    <w:rsid w:val="001E6E79"/>
    <w:rsid w:val="001F17D7"/>
    <w:rsid w:val="001F4E58"/>
    <w:rsid w:val="00210FC6"/>
    <w:rsid w:val="00222467"/>
    <w:rsid w:val="00222D04"/>
    <w:rsid w:val="00223E6E"/>
    <w:rsid w:val="002257E3"/>
    <w:rsid w:val="00230817"/>
    <w:rsid w:val="002312C8"/>
    <w:rsid w:val="00231404"/>
    <w:rsid w:val="0023287C"/>
    <w:rsid w:val="00233CD5"/>
    <w:rsid w:val="00233DFA"/>
    <w:rsid w:val="00234640"/>
    <w:rsid w:val="00250CF5"/>
    <w:rsid w:val="00255D13"/>
    <w:rsid w:val="00260AED"/>
    <w:rsid w:val="00264A82"/>
    <w:rsid w:val="0026719C"/>
    <w:rsid w:val="002743FE"/>
    <w:rsid w:val="00274770"/>
    <w:rsid w:val="00281252"/>
    <w:rsid w:val="002822F8"/>
    <w:rsid w:val="002840EE"/>
    <w:rsid w:val="00285773"/>
    <w:rsid w:val="0028594C"/>
    <w:rsid w:val="00285F3D"/>
    <w:rsid w:val="00286F86"/>
    <w:rsid w:val="00290D23"/>
    <w:rsid w:val="002924E7"/>
    <w:rsid w:val="0029331C"/>
    <w:rsid w:val="00293ACD"/>
    <w:rsid w:val="00295784"/>
    <w:rsid w:val="002A1688"/>
    <w:rsid w:val="002A2BDD"/>
    <w:rsid w:val="002A4AD2"/>
    <w:rsid w:val="002A7E50"/>
    <w:rsid w:val="002A7FC8"/>
    <w:rsid w:val="002C2501"/>
    <w:rsid w:val="002C29CA"/>
    <w:rsid w:val="002C435E"/>
    <w:rsid w:val="002C7A90"/>
    <w:rsid w:val="002D02F8"/>
    <w:rsid w:val="002D09F4"/>
    <w:rsid w:val="002D1858"/>
    <w:rsid w:val="002D35B2"/>
    <w:rsid w:val="002D4CE4"/>
    <w:rsid w:val="002D4E07"/>
    <w:rsid w:val="002D553B"/>
    <w:rsid w:val="002E7119"/>
    <w:rsid w:val="0030359A"/>
    <w:rsid w:val="003064D6"/>
    <w:rsid w:val="00306893"/>
    <w:rsid w:val="00313E55"/>
    <w:rsid w:val="00316769"/>
    <w:rsid w:val="00325729"/>
    <w:rsid w:val="00325A48"/>
    <w:rsid w:val="00327307"/>
    <w:rsid w:val="003328F7"/>
    <w:rsid w:val="00334180"/>
    <w:rsid w:val="00337644"/>
    <w:rsid w:val="00344ED9"/>
    <w:rsid w:val="003452EF"/>
    <w:rsid w:val="00345588"/>
    <w:rsid w:val="00351B6F"/>
    <w:rsid w:val="0035491B"/>
    <w:rsid w:val="0035555E"/>
    <w:rsid w:val="003579C4"/>
    <w:rsid w:val="0036205A"/>
    <w:rsid w:val="003643B9"/>
    <w:rsid w:val="00366F1E"/>
    <w:rsid w:val="00370776"/>
    <w:rsid w:val="00371D56"/>
    <w:rsid w:val="003729C1"/>
    <w:rsid w:val="00374C46"/>
    <w:rsid w:val="00382F76"/>
    <w:rsid w:val="003872EC"/>
    <w:rsid w:val="0039020A"/>
    <w:rsid w:val="0039457E"/>
    <w:rsid w:val="00394C44"/>
    <w:rsid w:val="00395D17"/>
    <w:rsid w:val="003A0457"/>
    <w:rsid w:val="003A3F20"/>
    <w:rsid w:val="003A46C4"/>
    <w:rsid w:val="003A540F"/>
    <w:rsid w:val="003A5A00"/>
    <w:rsid w:val="003B0D9D"/>
    <w:rsid w:val="003B36B2"/>
    <w:rsid w:val="003B3BA0"/>
    <w:rsid w:val="003B41CC"/>
    <w:rsid w:val="003C12E4"/>
    <w:rsid w:val="003C4C9D"/>
    <w:rsid w:val="003C5865"/>
    <w:rsid w:val="003C76A3"/>
    <w:rsid w:val="003D3B34"/>
    <w:rsid w:val="003D5447"/>
    <w:rsid w:val="003D7239"/>
    <w:rsid w:val="003E1994"/>
    <w:rsid w:val="003E3939"/>
    <w:rsid w:val="003E5AE3"/>
    <w:rsid w:val="003E7A62"/>
    <w:rsid w:val="003F0542"/>
    <w:rsid w:val="003F507B"/>
    <w:rsid w:val="003F6575"/>
    <w:rsid w:val="003F7D96"/>
    <w:rsid w:val="00403228"/>
    <w:rsid w:val="00405E57"/>
    <w:rsid w:val="0040746F"/>
    <w:rsid w:val="004153DB"/>
    <w:rsid w:val="00417113"/>
    <w:rsid w:val="00417119"/>
    <w:rsid w:val="00417E8F"/>
    <w:rsid w:val="004262B0"/>
    <w:rsid w:val="00427099"/>
    <w:rsid w:val="004333DF"/>
    <w:rsid w:val="00433ECB"/>
    <w:rsid w:val="0043445D"/>
    <w:rsid w:val="00434C05"/>
    <w:rsid w:val="00444A9E"/>
    <w:rsid w:val="00446BEF"/>
    <w:rsid w:val="00446D56"/>
    <w:rsid w:val="00447C22"/>
    <w:rsid w:val="00452FDD"/>
    <w:rsid w:val="0047102C"/>
    <w:rsid w:val="0047551F"/>
    <w:rsid w:val="00475C8A"/>
    <w:rsid w:val="00476B2D"/>
    <w:rsid w:val="00477633"/>
    <w:rsid w:val="00483652"/>
    <w:rsid w:val="00493C7F"/>
    <w:rsid w:val="0049413C"/>
    <w:rsid w:val="0049587E"/>
    <w:rsid w:val="004971A5"/>
    <w:rsid w:val="004976BC"/>
    <w:rsid w:val="004A0431"/>
    <w:rsid w:val="004A3FA7"/>
    <w:rsid w:val="004B0DD4"/>
    <w:rsid w:val="004B0F2B"/>
    <w:rsid w:val="004C292D"/>
    <w:rsid w:val="004C5BE2"/>
    <w:rsid w:val="004D0C08"/>
    <w:rsid w:val="004D2753"/>
    <w:rsid w:val="004D391C"/>
    <w:rsid w:val="004D4192"/>
    <w:rsid w:val="004D562D"/>
    <w:rsid w:val="004D5D74"/>
    <w:rsid w:val="004D612D"/>
    <w:rsid w:val="004E221A"/>
    <w:rsid w:val="004E327F"/>
    <w:rsid w:val="004E3E73"/>
    <w:rsid w:val="004E3F0A"/>
    <w:rsid w:val="004E41DC"/>
    <w:rsid w:val="004E7F76"/>
    <w:rsid w:val="004F4B45"/>
    <w:rsid w:val="004F4BD5"/>
    <w:rsid w:val="004F50C2"/>
    <w:rsid w:val="004F570E"/>
    <w:rsid w:val="00502AB3"/>
    <w:rsid w:val="0051000C"/>
    <w:rsid w:val="0051045F"/>
    <w:rsid w:val="00520030"/>
    <w:rsid w:val="00521C3C"/>
    <w:rsid w:val="00526555"/>
    <w:rsid w:val="00530045"/>
    <w:rsid w:val="005302AD"/>
    <w:rsid w:val="005355A7"/>
    <w:rsid w:val="0053570E"/>
    <w:rsid w:val="00536ACF"/>
    <w:rsid w:val="005370C4"/>
    <w:rsid w:val="005407B7"/>
    <w:rsid w:val="005423C8"/>
    <w:rsid w:val="00545467"/>
    <w:rsid w:val="0054551D"/>
    <w:rsid w:val="005459BB"/>
    <w:rsid w:val="00546B02"/>
    <w:rsid w:val="0055192F"/>
    <w:rsid w:val="00552002"/>
    <w:rsid w:val="005532A1"/>
    <w:rsid w:val="005564FB"/>
    <w:rsid w:val="005566E8"/>
    <w:rsid w:val="005613B8"/>
    <w:rsid w:val="005614D5"/>
    <w:rsid w:val="005712D7"/>
    <w:rsid w:val="00571708"/>
    <w:rsid w:val="00571CB6"/>
    <w:rsid w:val="00577E74"/>
    <w:rsid w:val="00580FC7"/>
    <w:rsid w:val="005854FB"/>
    <w:rsid w:val="00587284"/>
    <w:rsid w:val="00590339"/>
    <w:rsid w:val="0059306E"/>
    <w:rsid w:val="005A36B6"/>
    <w:rsid w:val="005B0DBD"/>
    <w:rsid w:val="005B1BE4"/>
    <w:rsid w:val="005B41C8"/>
    <w:rsid w:val="005B6140"/>
    <w:rsid w:val="005B69E1"/>
    <w:rsid w:val="005B78C8"/>
    <w:rsid w:val="005C2906"/>
    <w:rsid w:val="005C36C8"/>
    <w:rsid w:val="005C3EDD"/>
    <w:rsid w:val="005C481D"/>
    <w:rsid w:val="005C6323"/>
    <w:rsid w:val="005C78FD"/>
    <w:rsid w:val="005C7AE4"/>
    <w:rsid w:val="005D145F"/>
    <w:rsid w:val="005D1E2D"/>
    <w:rsid w:val="005D4314"/>
    <w:rsid w:val="005D4883"/>
    <w:rsid w:val="005E00D0"/>
    <w:rsid w:val="005E15F7"/>
    <w:rsid w:val="005E36A6"/>
    <w:rsid w:val="005E5900"/>
    <w:rsid w:val="005F02A5"/>
    <w:rsid w:val="005F2482"/>
    <w:rsid w:val="005F4F69"/>
    <w:rsid w:val="005F54D6"/>
    <w:rsid w:val="005F5A95"/>
    <w:rsid w:val="006007D3"/>
    <w:rsid w:val="00604E31"/>
    <w:rsid w:val="00605BD5"/>
    <w:rsid w:val="00607E4B"/>
    <w:rsid w:val="006119F1"/>
    <w:rsid w:val="0061268A"/>
    <w:rsid w:val="006179EB"/>
    <w:rsid w:val="00622D4E"/>
    <w:rsid w:val="00624413"/>
    <w:rsid w:val="0062508A"/>
    <w:rsid w:val="00630F45"/>
    <w:rsid w:val="006321EA"/>
    <w:rsid w:val="00634FD3"/>
    <w:rsid w:val="006354B3"/>
    <w:rsid w:val="0064111D"/>
    <w:rsid w:val="00642F94"/>
    <w:rsid w:val="00643084"/>
    <w:rsid w:val="00643D59"/>
    <w:rsid w:val="00644CBD"/>
    <w:rsid w:val="00645E20"/>
    <w:rsid w:val="00646EF6"/>
    <w:rsid w:val="0066089B"/>
    <w:rsid w:val="00663781"/>
    <w:rsid w:val="006725DD"/>
    <w:rsid w:val="0067373E"/>
    <w:rsid w:val="00673DD7"/>
    <w:rsid w:val="00675FDD"/>
    <w:rsid w:val="00676673"/>
    <w:rsid w:val="00680B3E"/>
    <w:rsid w:val="00680CFE"/>
    <w:rsid w:val="00682442"/>
    <w:rsid w:val="0069016B"/>
    <w:rsid w:val="00691BA0"/>
    <w:rsid w:val="0069281C"/>
    <w:rsid w:val="0069578D"/>
    <w:rsid w:val="006A1168"/>
    <w:rsid w:val="006A36A7"/>
    <w:rsid w:val="006A5325"/>
    <w:rsid w:val="006A5957"/>
    <w:rsid w:val="006A61FE"/>
    <w:rsid w:val="006A7708"/>
    <w:rsid w:val="006B0F44"/>
    <w:rsid w:val="006B1FB6"/>
    <w:rsid w:val="006B49E2"/>
    <w:rsid w:val="006B588F"/>
    <w:rsid w:val="006B680F"/>
    <w:rsid w:val="006B70A5"/>
    <w:rsid w:val="006B71FA"/>
    <w:rsid w:val="006C3EE5"/>
    <w:rsid w:val="006D1821"/>
    <w:rsid w:val="006D48B9"/>
    <w:rsid w:val="006D4ABD"/>
    <w:rsid w:val="006D4B72"/>
    <w:rsid w:val="006D5EB3"/>
    <w:rsid w:val="006D669E"/>
    <w:rsid w:val="006D6F6F"/>
    <w:rsid w:val="006E01FC"/>
    <w:rsid w:val="006E0B42"/>
    <w:rsid w:val="006E0BC5"/>
    <w:rsid w:val="006F0F5D"/>
    <w:rsid w:val="006F1E49"/>
    <w:rsid w:val="006F54AF"/>
    <w:rsid w:val="00701787"/>
    <w:rsid w:val="007036E6"/>
    <w:rsid w:val="00705821"/>
    <w:rsid w:val="0070617B"/>
    <w:rsid w:val="00706D3A"/>
    <w:rsid w:val="007107DC"/>
    <w:rsid w:val="007161B7"/>
    <w:rsid w:val="00722B5D"/>
    <w:rsid w:val="00731ADD"/>
    <w:rsid w:val="00742FD9"/>
    <w:rsid w:val="00747D92"/>
    <w:rsid w:val="007507BF"/>
    <w:rsid w:val="007512D1"/>
    <w:rsid w:val="00751305"/>
    <w:rsid w:val="00752B8B"/>
    <w:rsid w:val="007542CF"/>
    <w:rsid w:val="007563A6"/>
    <w:rsid w:val="00756B2B"/>
    <w:rsid w:val="00763012"/>
    <w:rsid w:val="0076331D"/>
    <w:rsid w:val="007655B3"/>
    <w:rsid w:val="0077375D"/>
    <w:rsid w:val="00774887"/>
    <w:rsid w:val="00777E3D"/>
    <w:rsid w:val="00780961"/>
    <w:rsid w:val="00787C4B"/>
    <w:rsid w:val="00791FC4"/>
    <w:rsid w:val="00795885"/>
    <w:rsid w:val="00796656"/>
    <w:rsid w:val="007A0157"/>
    <w:rsid w:val="007A2FB8"/>
    <w:rsid w:val="007A3515"/>
    <w:rsid w:val="007B1800"/>
    <w:rsid w:val="007B53DC"/>
    <w:rsid w:val="007B5A39"/>
    <w:rsid w:val="007B75D9"/>
    <w:rsid w:val="007C243E"/>
    <w:rsid w:val="007C318E"/>
    <w:rsid w:val="007C6514"/>
    <w:rsid w:val="007C6797"/>
    <w:rsid w:val="007D470C"/>
    <w:rsid w:val="007D719D"/>
    <w:rsid w:val="007E07E3"/>
    <w:rsid w:val="007F349C"/>
    <w:rsid w:val="007F6B23"/>
    <w:rsid w:val="008001F6"/>
    <w:rsid w:val="00802543"/>
    <w:rsid w:val="00804277"/>
    <w:rsid w:val="00804936"/>
    <w:rsid w:val="0080745B"/>
    <w:rsid w:val="00814C39"/>
    <w:rsid w:val="00815232"/>
    <w:rsid w:val="008213B2"/>
    <w:rsid w:val="00826A4D"/>
    <w:rsid w:val="00834548"/>
    <w:rsid w:val="00835531"/>
    <w:rsid w:val="008379C8"/>
    <w:rsid w:val="00837BCE"/>
    <w:rsid w:val="00841BF8"/>
    <w:rsid w:val="008442A4"/>
    <w:rsid w:val="00846E97"/>
    <w:rsid w:val="008514C7"/>
    <w:rsid w:val="0085248C"/>
    <w:rsid w:val="00855A77"/>
    <w:rsid w:val="0086074E"/>
    <w:rsid w:val="0087775F"/>
    <w:rsid w:val="008816AC"/>
    <w:rsid w:val="00882A65"/>
    <w:rsid w:val="008833B8"/>
    <w:rsid w:val="008836E1"/>
    <w:rsid w:val="00885745"/>
    <w:rsid w:val="00885AA6"/>
    <w:rsid w:val="0089041D"/>
    <w:rsid w:val="00894C17"/>
    <w:rsid w:val="00896D34"/>
    <w:rsid w:val="008A14D4"/>
    <w:rsid w:val="008A42C0"/>
    <w:rsid w:val="008A5262"/>
    <w:rsid w:val="008A683D"/>
    <w:rsid w:val="008A76FB"/>
    <w:rsid w:val="008B1EE1"/>
    <w:rsid w:val="008B30F8"/>
    <w:rsid w:val="008B3DED"/>
    <w:rsid w:val="008B4DAA"/>
    <w:rsid w:val="008B60E6"/>
    <w:rsid w:val="008B624D"/>
    <w:rsid w:val="008B6817"/>
    <w:rsid w:val="008B6B31"/>
    <w:rsid w:val="008B7591"/>
    <w:rsid w:val="008C0B6E"/>
    <w:rsid w:val="008C3431"/>
    <w:rsid w:val="008C3498"/>
    <w:rsid w:val="008C563B"/>
    <w:rsid w:val="008C7B66"/>
    <w:rsid w:val="008C7CAF"/>
    <w:rsid w:val="008D179F"/>
    <w:rsid w:val="008D2D1A"/>
    <w:rsid w:val="008D3474"/>
    <w:rsid w:val="008D3EF4"/>
    <w:rsid w:val="008D4639"/>
    <w:rsid w:val="008E06B6"/>
    <w:rsid w:val="008E2985"/>
    <w:rsid w:val="008E45FE"/>
    <w:rsid w:val="008F030C"/>
    <w:rsid w:val="00907C61"/>
    <w:rsid w:val="00912A50"/>
    <w:rsid w:val="00917F60"/>
    <w:rsid w:val="00930277"/>
    <w:rsid w:val="00944090"/>
    <w:rsid w:val="00945A12"/>
    <w:rsid w:val="00952BC1"/>
    <w:rsid w:val="00953F28"/>
    <w:rsid w:val="009556D8"/>
    <w:rsid w:val="00965280"/>
    <w:rsid w:val="009654A6"/>
    <w:rsid w:val="00966B83"/>
    <w:rsid w:val="00967ABA"/>
    <w:rsid w:val="00970A28"/>
    <w:rsid w:val="009710C1"/>
    <w:rsid w:val="00971F3D"/>
    <w:rsid w:val="00972F87"/>
    <w:rsid w:val="009807AD"/>
    <w:rsid w:val="00980E44"/>
    <w:rsid w:val="00981E96"/>
    <w:rsid w:val="009864A3"/>
    <w:rsid w:val="0099099F"/>
    <w:rsid w:val="00990D23"/>
    <w:rsid w:val="00992412"/>
    <w:rsid w:val="00993302"/>
    <w:rsid w:val="00993435"/>
    <w:rsid w:val="00993BCD"/>
    <w:rsid w:val="00994E72"/>
    <w:rsid w:val="00997E94"/>
    <w:rsid w:val="009A5CDC"/>
    <w:rsid w:val="009A70C3"/>
    <w:rsid w:val="009B36B8"/>
    <w:rsid w:val="009B3844"/>
    <w:rsid w:val="009B5D99"/>
    <w:rsid w:val="009B728D"/>
    <w:rsid w:val="009B7AA5"/>
    <w:rsid w:val="009C3046"/>
    <w:rsid w:val="009C6315"/>
    <w:rsid w:val="009D395B"/>
    <w:rsid w:val="009E395E"/>
    <w:rsid w:val="009E4CEA"/>
    <w:rsid w:val="009F01E2"/>
    <w:rsid w:val="009F398A"/>
    <w:rsid w:val="009F4A33"/>
    <w:rsid w:val="009F5555"/>
    <w:rsid w:val="009F5AF3"/>
    <w:rsid w:val="009F61B2"/>
    <w:rsid w:val="009F77EE"/>
    <w:rsid w:val="00A007E5"/>
    <w:rsid w:val="00A0149F"/>
    <w:rsid w:val="00A059AC"/>
    <w:rsid w:val="00A05C59"/>
    <w:rsid w:val="00A14970"/>
    <w:rsid w:val="00A20C0F"/>
    <w:rsid w:val="00A243DC"/>
    <w:rsid w:val="00A25EF8"/>
    <w:rsid w:val="00A2601F"/>
    <w:rsid w:val="00A305C4"/>
    <w:rsid w:val="00A43521"/>
    <w:rsid w:val="00A44AA4"/>
    <w:rsid w:val="00A45121"/>
    <w:rsid w:val="00A45AE8"/>
    <w:rsid w:val="00A46D37"/>
    <w:rsid w:val="00A52159"/>
    <w:rsid w:val="00A55F0B"/>
    <w:rsid w:val="00A60948"/>
    <w:rsid w:val="00A61461"/>
    <w:rsid w:val="00A6440C"/>
    <w:rsid w:val="00A66FD8"/>
    <w:rsid w:val="00A7044A"/>
    <w:rsid w:val="00A70683"/>
    <w:rsid w:val="00A716F4"/>
    <w:rsid w:val="00A747C8"/>
    <w:rsid w:val="00A75816"/>
    <w:rsid w:val="00A8194B"/>
    <w:rsid w:val="00A821A3"/>
    <w:rsid w:val="00A8241B"/>
    <w:rsid w:val="00A86ED7"/>
    <w:rsid w:val="00A91E54"/>
    <w:rsid w:val="00A96278"/>
    <w:rsid w:val="00AA2636"/>
    <w:rsid w:val="00AA4233"/>
    <w:rsid w:val="00AA4AAD"/>
    <w:rsid w:val="00AA65A5"/>
    <w:rsid w:val="00AB1254"/>
    <w:rsid w:val="00AC1D9A"/>
    <w:rsid w:val="00AC397E"/>
    <w:rsid w:val="00AC3F06"/>
    <w:rsid w:val="00AC43C4"/>
    <w:rsid w:val="00AE2AD4"/>
    <w:rsid w:val="00AE50EE"/>
    <w:rsid w:val="00AE7739"/>
    <w:rsid w:val="00AF1A25"/>
    <w:rsid w:val="00AF3833"/>
    <w:rsid w:val="00AF5EB6"/>
    <w:rsid w:val="00AF6FB0"/>
    <w:rsid w:val="00AF7E2F"/>
    <w:rsid w:val="00B04153"/>
    <w:rsid w:val="00B10E2E"/>
    <w:rsid w:val="00B13387"/>
    <w:rsid w:val="00B201DE"/>
    <w:rsid w:val="00B220CB"/>
    <w:rsid w:val="00B22388"/>
    <w:rsid w:val="00B266DC"/>
    <w:rsid w:val="00B26EF9"/>
    <w:rsid w:val="00B343CD"/>
    <w:rsid w:val="00B35028"/>
    <w:rsid w:val="00B355CC"/>
    <w:rsid w:val="00B43665"/>
    <w:rsid w:val="00B4396B"/>
    <w:rsid w:val="00B44888"/>
    <w:rsid w:val="00B462F7"/>
    <w:rsid w:val="00B46B90"/>
    <w:rsid w:val="00B47FE3"/>
    <w:rsid w:val="00B508C3"/>
    <w:rsid w:val="00B620CA"/>
    <w:rsid w:val="00B65B45"/>
    <w:rsid w:val="00B70029"/>
    <w:rsid w:val="00B713D0"/>
    <w:rsid w:val="00B72D9A"/>
    <w:rsid w:val="00B731DC"/>
    <w:rsid w:val="00B73C4B"/>
    <w:rsid w:val="00B75918"/>
    <w:rsid w:val="00B85AC3"/>
    <w:rsid w:val="00B86984"/>
    <w:rsid w:val="00B92DED"/>
    <w:rsid w:val="00B930AB"/>
    <w:rsid w:val="00B96F04"/>
    <w:rsid w:val="00B9752B"/>
    <w:rsid w:val="00BB00EE"/>
    <w:rsid w:val="00BB09D6"/>
    <w:rsid w:val="00BB25A5"/>
    <w:rsid w:val="00BB3BCE"/>
    <w:rsid w:val="00BB434B"/>
    <w:rsid w:val="00BB4B7B"/>
    <w:rsid w:val="00BB5579"/>
    <w:rsid w:val="00BB71B8"/>
    <w:rsid w:val="00BC0438"/>
    <w:rsid w:val="00BC09D2"/>
    <w:rsid w:val="00BC2E35"/>
    <w:rsid w:val="00BC49C0"/>
    <w:rsid w:val="00BC4FF4"/>
    <w:rsid w:val="00BC645C"/>
    <w:rsid w:val="00BD0326"/>
    <w:rsid w:val="00BD0695"/>
    <w:rsid w:val="00BD0D39"/>
    <w:rsid w:val="00BD3948"/>
    <w:rsid w:val="00BD411C"/>
    <w:rsid w:val="00BD576E"/>
    <w:rsid w:val="00BD7A9B"/>
    <w:rsid w:val="00BE006C"/>
    <w:rsid w:val="00BE1287"/>
    <w:rsid w:val="00BE2FDA"/>
    <w:rsid w:val="00BF11B6"/>
    <w:rsid w:val="00BF3A4E"/>
    <w:rsid w:val="00BF5745"/>
    <w:rsid w:val="00BF6AEB"/>
    <w:rsid w:val="00C03A39"/>
    <w:rsid w:val="00C057BE"/>
    <w:rsid w:val="00C07949"/>
    <w:rsid w:val="00C07B54"/>
    <w:rsid w:val="00C116B2"/>
    <w:rsid w:val="00C12176"/>
    <w:rsid w:val="00C13E42"/>
    <w:rsid w:val="00C164B2"/>
    <w:rsid w:val="00C21230"/>
    <w:rsid w:val="00C21729"/>
    <w:rsid w:val="00C24A7F"/>
    <w:rsid w:val="00C251E0"/>
    <w:rsid w:val="00C25B3E"/>
    <w:rsid w:val="00C31E71"/>
    <w:rsid w:val="00C32C32"/>
    <w:rsid w:val="00C32D1C"/>
    <w:rsid w:val="00C3313E"/>
    <w:rsid w:val="00C33FAF"/>
    <w:rsid w:val="00C3511A"/>
    <w:rsid w:val="00C35592"/>
    <w:rsid w:val="00C402C4"/>
    <w:rsid w:val="00C42C8A"/>
    <w:rsid w:val="00C42E26"/>
    <w:rsid w:val="00C47119"/>
    <w:rsid w:val="00C507EB"/>
    <w:rsid w:val="00C53053"/>
    <w:rsid w:val="00C53A1A"/>
    <w:rsid w:val="00C55E36"/>
    <w:rsid w:val="00C62752"/>
    <w:rsid w:val="00C669ED"/>
    <w:rsid w:val="00C67D91"/>
    <w:rsid w:val="00C7210F"/>
    <w:rsid w:val="00C838E4"/>
    <w:rsid w:val="00C84402"/>
    <w:rsid w:val="00C84B1D"/>
    <w:rsid w:val="00C85118"/>
    <w:rsid w:val="00C85E26"/>
    <w:rsid w:val="00C867DF"/>
    <w:rsid w:val="00C86E89"/>
    <w:rsid w:val="00C91580"/>
    <w:rsid w:val="00C9373A"/>
    <w:rsid w:val="00C965AF"/>
    <w:rsid w:val="00CA0431"/>
    <w:rsid w:val="00CA0A9A"/>
    <w:rsid w:val="00CA4525"/>
    <w:rsid w:val="00CA5E6D"/>
    <w:rsid w:val="00CA610A"/>
    <w:rsid w:val="00CA6B42"/>
    <w:rsid w:val="00CA7547"/>
    <w:rsid w:val="00CA76D5"/>
    <w:rsid w:val="00CB6F59"/>
    <w:rsid w:val="00CB7430"/>
    <w:rsid w:val="00CC25B9"/>
    <w:rsid w:val="00CC26DE"/>
    <w:rsid w:val="00CC46A8"/>
    <w:rsid w:val="00CC6419"/>
    <w:rsid w:val="00CC714F"/>
    <w:rsid w:val="00CC7E13"/>
    <w:rsid w:val="00CD1DF7"/>
    <w:rsid w:val="00CD2028"/>
    <w:rsid w:val="00CD2724"/>
    <w:rsid w:val="00CD3B48"/>
    <w:rsid w:val="00CD7A12"/>
    <w:rsid w:val="00CE00B1"/>
    <w:rsid w:val="00CE21DB"/>
    <w:rsid w:val="00CF11CA"/>
    <w:rsid w:val="00CF1F37"/>
    <w:rsid w:val="00CF2989"/>
    <w:rsid w:val="00CF651B"/>
    <w:rsid w:val="00CF6F2E"/>
    <w:rsid w:val="00D0246D"/>
    <w:rsid w:val="00D05C83"/>
    <w:rsid w:val="00D07734"/>
    <w:rsid w:val="00D10122"/>
    <w:rsid w:val="00D150AF"/>
    <w:rsid w:val="00D15D6F"/>
    <w:rsid w:val="00D22447"/>
    <w:rsid w:val="00D22CC9"/>
    <w:rsid w:val="00D23DD2"/>
    <w:rsid w:val="00D30A8C"/>
    <w:rsid w:val="00D31D6F"/>
    <w:rsid w:val="00D33CF4"/>
    <w:rsid w:val="00D35374"/>
    <w:rsid w:val="00D360B9"/>
    <w:rsid w:val="00D36C5E"/>
    <w:rsid w:val="00D37A99"/>
    <w:rsid w:val="00D37AD8"/>
    <w:rsid w:val="00D40F44"/>
    <w:rsid w:val="00D4157F"/>
    <w:rsid w:val="00D41793"/>
    <w:rsid w:val="00D4318A"/>
    <w:rsid w:val="00D527BD"/>
    <w:rsid w:val="00D53F40"/>
    <w:rsid w:val="00D546B6"/>
    <w:rsid w:val="00D5530B"/>
    <w:rsid w:val="00D614C4"/>
    <w:rsid w:val="00D61B77"/>
    <w:rsid w:val="00D660C4"/>
    <w:rsid w:val="00D66D0B"/>
    <w:rsid w:val="00D7023D"/>
    <w:rsid w:val="00D75ACB"/>
    <w:rsid w:val="00D8069E"/>
    <w:rsid w:val="00D82BB0"/>
    <w:rsid w:val="00D84BE9"/>
    <w:rsid w:val="00D8687E"/>
    <w:rsid w:val="00D90BC2"/>
    <w:rsid w:val="00D90EDC"/>
    <w:rsid w:val="00D95A69"/>
    <w:rsid w:val="00DA3081"/>
    <w:rsid w:val="00DA32C4"/>
    <w:rsid w:val="00DA59A4"/>
    <w:rsid w:val="00DA793F"/>
    <w:rsid w:val="00DB0AAE"/>
    <w:rsid w:val="00DB0AC0"/>
    <w:rsid w:val="00DB3C01"/>
    <w:rsid w:val="00DB454D"/>
    <w:rsid w:val="00DB45B7"/>
    <w:rsid w:val="00DC01F3"/>
    <w:rsid w:val="00DC289C"/>
    <w:rsid w:val="00DC6B5D"/>
    <w:rsid w:val="00DC6F42"/>
    <w:rsid w:val="00DD0046"/>
    <w:rsid w:val="00DD7934"/>
    <w:rsid w:val="00DE2457"/>
    <w:rsid w:val="00DF2F5E"/>
    <w:rsid w:val="00DF7D92"/>
    <w:rsid w:val="00E02E20"/>
    <w:rsid w:val="00E0357A"/>
    <w:rsid w:val="00E03B42"/>
    <w:rsid w:val="00E1123D"/>
    <w:rsid w:val="00E15B5E"/>
    <w:rsid w:val="00E17239"/>
    <w:rsid w:val="00E17574"/>
    <w:rsid w:val="00E21A16"/>
    <w:rsid w:val="00E23325"/>
    <w:rsid w:val="00E278C5"/>
    <w:rsid w:val="00E30424"/>
    <w:rsid w:val="00E30E8A"/>
    <w:rsid w:val="00E35A8B"/>
    <w:rsid w:val="00E40536"/>
    <w:rsid w:val="00E4069F"/>
    <w:rsid w:val="00E4086F"/>
    <w:rsid w:val="00E413D7"/>
    <w:rsid w:val="00E43B3D"/>
    <w:rsid w:val="00E44060"/>
    <w:rsid w:val="00E45FE0"/>
    <w:rsid w:val="00E470F4"/>
    <w:rsid w:val="00E5068B"/>
    <w:rsid w:val="00E5213A"/>
    <w:rsid w:val="00E61E59"/>
    <w:rsid w:val="00E624EF"/>
    <w:rsid w:val="00E6426F"/>
    <w:rsid w:val="00E7105D"/>
    <w:rsid w:val="00E721D2"/>
    <w:rsid w:val="00E73D74"/>
    <w:rsid w:val="00E74EDC"/>
    <w:rsid w:val="00E75979"/>
    <w:rsid w:val="00E770B2"/>
    <w:rsid w:val="00E86FE3"/>
    <w:rsid w:val="00E877FA"/>
    <w:rsid w:val="00E9065F"/>
    <w:rsid w:val="00E97667"/>
    <w:rsid w:val="00EA01EE"/>
    <w:rsid w:val="00EA2261"/>
    <w:rsid w:val="00EB31B0"/>
    <w:rsid w:val="00EB5EFD"/>
    <w:rsid w:val="00EB66D1"/>
    <w:rsid w:val="00EB7357"/>
    <w:rsid w:val="00EC54E5"/>
    <w:rsid w:val="00EC590F"/>
    <w:rsid w:val="00ED2911"/>
    <w:rsid w:val="00EE75C4"/>
    <w:rsid w:val="00EF07BE"/>
    <w:rsid w:val="00EF133C"/>
    <w:rsid w:val="00EF3698"/>
    <w:rsid w:val="00F009A8"/>
    <w:rsid w:val="00F035C3"/>
    <w:rsid w:val="00F0600F"/>
    <w:rsid w:val="00F07851"/>
    <w:rsid w:val="00F10329"/>
    <w:rsid w:val="00F11872"/>
    <w:rsid w:val="00F12546"/>
    <w:rsid w:val="00F22190"/>
    <w:rsid w:val="00F22C18"/>
    <w:rsid w:val="00F2623E"/>
    <w:rsid w:val="00F311A1"/>
    <w:rsid w:val="00F34218"/>
    <w:rsid w:val="00F36247"/>
    <w:rsid w:val="00F412CC"/>
    <w:rsid w:val="00F429ED"/>
    <w:rsid w:val="00F5375D"/>
    <w:rsid w:val="00F54536"/>
    <w:rsid w:val="00F547AD"/>
    <w:rsid w:val="00F54C73"/>
    <w:rsid w:val="00F54E9F"/>
    <w:rsid w:val="00F55A9F"/>
    <w:rsid w:val="00F56F6A"/>
    <w:rsid w:val="00F5719A"/>
    <w:rsid w:val="00F57720"/>
    <w:rsid w:val="00F62514"/>
    <w:rsid w:val="00F62E8B"/>
    <w:rsid w:val="00F6644A"/>
    <w:rsid w:val="00F66B69"/>
    <w:rsid w:val="00F67EE5"/>
    <w:rsid w:val="00F7161D"/>
    <w:rsid w:val="00F71622"/>
    <w:rsid w:val="00F7281B"/>
    <w:rsid w:val="00F751A5"/>
    <w:rsid w:val="00F759B0"/>
    <w:rsid w:val="00F77527"/>
    <w:rsid w:val="00F8003A"/>
    <w:rsid w:val="00F81D5E"/>
    <w:rsid w:val="00F901A6"/>
    <w:rsid w:val="00F965F1"/>
    <w:rsid w:val="00FA0241"/>
    <w:rsid w:val="00FA04A2"/>
    <w:rsid w:val="00FA0D3A"/>
    <w:rsid w:val="00FA279F"/>
    <w:rsid w:val="00FA2FCC"/>
    <w:rsid w:val="00FA3AAF"/>
    <w:rsid w:val="00FA4E4D"/>
    <w:rsid w:val="00FB0B8B"/>
    <w:rsid w:val="00FB0BD7"/>
    <w:rsid w:val="00FB247E"/>
    <w:rsid w:val="00FB4510"/>
    <w:rsid w:val="00FB52A6"/>
    <w:rsid w:val="00FB6CC6"/>
    <w:rsid w:val="00FB70DC"/>
    <w:rsid w:val="00FB75EE"/>
    <w:rsid w:val="00FC19F7"/>
    <w:rsid w:val="00FC5007"/>
    <w:rsid w:val="00FC56F6"/>
    <w:rsid w:val="00FC5C5B"/>
    <w:rsid w:val="00FD1861"/>
    <w:rsid w:val="00FD222C"/>
    <w:rsid w:val="00FD4086"/>
    <w:rsid w:val="00FD4B5B"/>
    <w:rsid w:val="00FD6C6C"/>
    <w:rsid w:val="00FE10FA"/>
    <w:rsid w:val="00FE433C"/>
    <w:rsid w:val="00FE5623"/>
    <w:rsid w:val="00FE6A37"/>
    <w:rsid w:val="00FE754F"/>
    <w:rsid w:val="00FE7CF3"/>
    <w:rsid w:val="00FF1BE7"/>
    <w:rsid w:val="00FF3E05"/>
    <w:rsid w:val="00FF44A3"/>
    <w:rsid w:val="00FF775F"/>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B5577"/>
  <w15:chartTrackingRefBased/>
  <w15:docId w15:val="{CF397A07-3ED3-4AA4-B8AB-D26B541E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918"/>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next w:val="Normal"/>
    <w:link w:val="Heading2Char"/>
    <w:uiPriority w:val="9"/>
    <w:unhideWhenUsed/>
    <w:qFormat/>
    <w:rsid w:val="001004DC"/>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EC"/>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BalloonText">
    <w:name w:val="Balloon Text"/>
    <w:basedOn w:val="Normal"/>
    <w:link w:val="BalloonTextChar"/>
    <w:uiPriority w:val="99"/>
    <w:semiHidden/>
    <w:unhideWhenUsed/>
    <w:rsid w:val="00F36247"/>
    <w:rPr>
      <w:rFonts w:ascii="Segoe UI" w:eastAsiaTheme="minorHAnsi" w:hAnsi="Segoe UI" w:cs="Segoe UI"/>
      <w:sz w:val="18"/>
      <w:szCs w:val="18"/>
      <w:lang w:val="en-GB" w:eastAsia="en-US" w:bidi="ar-SA"/>
    </w:rPr>
  </w:style>
  <w:style w:type="character" w:customStyle="1" w:styleId="BalloonTextChar">
    <w:name w:val="Balloon Text Char"/>
    <w:basedOn w:val="DefaultParagraphFont"/>
    <w:link w:val="BalloonText"/>
    <w:uiPriority w:val="99"/>
    <w:semiHidden/>
    <w:rsid w:val="00F36247"/>
    <w:rPr>
      <w:rFonts w:ascii="Segoe UI" w:hAnsi="Segoe UI" w:cs="Segoe UI"/>
      <w:sz w:val="18"/>
      <w:szCs w:val="18"/>
    </w:rPr>
  </w:style>
  <w:style w:type="paragraph" w:styleId="NormalWeb">
    <w:name w:val="Normal (Web)"/>
    <w:basedOn w:val="Normal"/>
    <w:uiPriority w:val="99"/>
    <w:unhideWhenUsed/>
    <w:rsid w:val="000007E9"/>
    <w:pPr>
      <w:spacing w:before="100" w:beforeAutospacing="1" w:after="100" w:afterAutospacing="1"/>
    </w:pPr>
    <w:rPr>
      <w:lang w:val="en-GB" w:bidi="ar-SA"/>
    </w:rPr>
  </w:style>
  <w:style w:type="character" w:styleId="Hyperlink">
    <w:name w:val="Hyperlink"/>
    <w:basedOn w:val="DefaultParagraphFont"/>
    <w:uiPriority w:val="99"/>
    <w:semiHidden/>
    <w:unhideWhenUsed/>
    <w:rsid w:val="000007E9"/>
    <w:rPr>
      <w:color w:val="0000FF"/>
      <w:u w:val="single"/>
    </w:rPr>
  </w:style>
  <w:style w:type="paragraph" w:styleId="FootnoteText">
    <w:name w:val="footnote text"/>
    <w:basedOn w:val="Normal"/>
    <w:link w:val="FootnoteTextChar"/>
    <w:uiPriority w:val="99"/>
    <w:semiHidden/>
    <w:unhideWhenUsed/>
    <w:rsid w:val="007C243E"/>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7C243E"/>
    <w:rPr>
      <w:sz w:val="20"/>
      <w:szCs w:val="20"/>
    </w:rPr>
  </w:style>
  <w:style w:type="character" w:styleId="FootnoteReference">
    <w:name w:val="footnote reference"/>
    <w:basedOn w:val="DefaultParagraphFont"/>
    <w:uiPriority w:val="99"/>
    <w:semiHidden/>
    <w:unhideWhenUsed/>
    <w:rsid w:val="007C243E"/>
    <w:rPr>
      <w:vertAlign w:val="superscript"/>
    </w:rPr>
  </w:style>
  <w:style w:type="paragraph" w:customStyle="1" w:styleId="western">
    <w:name w:val="western"/>
    <w:basedOn w:val="Normal"/>
    <w:rsid w:val="00CA76D5"/>
    <w:pPr>
      <w:spacing w:before="100" w:beforeAutospacing="1" w:after="100" w:afterAutospacing="1"/>
    </w:pPr>
    <w:rPr>
      <w:lang w:val="en-GB" w:bidi="ar-SA"/>
    </w:rPr>
  </w:style>
  <w:style w:type="paragraph" w:styleId="Header">
    <w:name w:val="header"/>
    <w:basedOn w:val="Normal"/>
    <w:link w:val="HeaderChar"/>
    <w:uiPriority w:val="99"/>
    <w:unhideWhenUsed/>
    <w:rsid w:val="00747D92"/>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747D92"/>
  </w:style>
  <w:style w:type="paragraph" w:styleId="Footer">
    <w:name w:val="footer"/>
    <w:basedOn w:val="Normal"/>
    <w:link w:val="FooterChar"/>
    <w:uiPriority w:val="99"/>
    <w:unhideWhenUsed/>
    <w:rsid w:val="00747D92"/>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747D92"/>
  </w:style>
  <w:style w:type="character" w:customStyle="1" w:styleId="Heading2Char">
    <w:name w:val="Heading 2 Char"/>
    <w:basedOn w:val="DefaultParagraphFont"/>
    <w:link w:val="Heading2"/>
    <w:uiPriority w:val="9"/>
    <w:rsid w:val="001004D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75FDD"/>
    <w:rPr>
      <w:color w:val="954F72" w:themeColor="followedHyperlink"/>
      <w:u w:val="single"/>
    </w:rPr>
  </w:style>
  <w:style w:type="character" w:styleId="CommentReference">
    <w:name w:val="annotation reference"/>
    <w:basedOn w:val="DefaultParagraphFont"/>
    <w:uiPriority w:val="99"/>
    <w:semiHidden/>
    <w:unhideWhenUsed/>
    <w:rsid w:val="00B220CB"/>
    <w:rPr>
      <w:sz w:val="16"/>
      <w:szCs w:val="16"/>
    </w:rPr>
  </w:style>
  <w:style w:type="paragraph" w:styleId="CommentText">
    <w:name w:val="annotation text"/>
    <w:basedOn w:val="Normal"/>
    <w:link w:val="CommentTextChar"/>
    <w:uiPriority w:val="99"/>
    <w:semiHidden/>
    <w:unhideWhenUsed/>
    <w:rsid w:val="00B220CB"/>
    <w:rPr>
      <w:sz w:val="20"/>
      <w:szCs w:val="20"/>
    </w:rPr>
  </w:style>
  <w:style w:type="character" w:customStyle="1" w:styleId="CommentTextChar">
    <w:name w:val="Comment Text Char"/>
    <w:basedOn w:val="DefaultParagraphFont"/>
    <w:link w:val="CommentText"/>
    <w:uiPriority w:val="99"/>
    <w:semiHidden/>
    <w:rsid w:val="00B220CB"/>
    <w:rPr>
      <w:sz w:val="20"/>
      <w:szCs w:val="20"/>
    </w:rPr>
  </w:style>
  <w:style w:type="paragraph" w:styleId="CommentSubject">
    <w:name w:val="annotation subject"/>
    <w:basedOn w:val="CommentText"/>
    <w:next w:val="CommentText"/>
    <w:link w:val="CommentSubjectChar"/>
    <w:uiPriority w:val="99"/>
    <w:semiHidden/>
    <w:unhideWhenUsed/>
    <w:rsid w:val="00B220CB"/>
    <w:rPr>
      <w:b/>
      <w:bCs/>
    </w:rPr>
  </w:style>
  <w:style w:type="character" w:customStyle="1" w:styleId="CommentSubjectChar">
    <w:name w:val="Comment Subject Char"/>
    <w:basedOn w:val="CommentTextChar"/>
    <w:link w:val="CommentSubject"/>
    <w:uiPriority w:val="99"/>
    <w:semiHidden/>
    <w:rsid w:val="00B220CB"/>
    <w:rPr>
      <w:b/>
      <w:bCs/>
      <w:sz w:val="20"/>
      <w:szCs w:val="20"/>
    </w:rPr>
  </w:style>
  <w:style w:type="paragraph" w:customStyle="1" w:styleId="Default">
    <w:name w:val="Default"/>
    <w:rsid w:val="00BE006C"/>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DefaultParagraphFont"/>
    <w:rsid w:val="00FB4510"/>
  </w:style>
  <w:style w:type="paragraph" w:styleId="Revision">
    <w:name w:val="Revision"/>
    <w:hidden/>
    <w:uiPriority w:val="99"/>
    <w:semiHidden/>
    <w:rsid w:val="00A007E5"/>
    <w:pPr>
      <w:spacing w:after="0" w:line="240" w:lineRule="auto"/>
    </w:pPr>
    <w:rPr>
      <w:rFonts w:ascii="Times New Roman" w:eastAsia="Times New Roman" w:hAnsi="Times New Roman" w:cs="Times New Roman"/>
      <w:sz w:val="24"/>
      <w:szCs w:val="24"/>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4058">
      <w:bodyDiv w:val="1"/>
      <w:marLeft w:val="0"/>
      <w:marRight w:val="0"/>
      <w:marTop w:val="0"/>
      <w:marBottom w:val="0"/>
      <w:divBdr>
        <w:top w:val="none" w:sz="0" w:space="0" w:color="auto"/>
        <w:left w:val="none" w:sz="0" w:space="0" w:color="auto"/>
        <w:bottom w:val="none" w:sz="0" w:space="0" w:color="auto"/>
        <w:right w:val="none" w:sz="0" w:space="0" w:color="auto"/>
      </w:divBdr>
    </w:div>
    <w:div w:id="84033468">
      <w:bodyDiv w:val="1"/>
      <w:marLeft w:val="0"/>
      <w:marRight w:val="0"/>
      <w:marTop w:val="0"/>
      <w:marBottom w:val="0"/>
      <w:divBdr>
        <w:top w:val="none" w:sz="0" w:space="0" w:color="auto"/>
        <w:left w:val="none" w:sz="0" w:space="0" w:color="auto"/>
        <w:bottom w:val="none" w:sz="0" w:space="0" w:color="auto"/>
        <w:right w:val="none" w:sz="0" w:space="0" w:color="auto"/>
      </w:divBdr>
      <w:divsChild>
        <w:div w:id="1333482949">
          <w:marLeft w:val="0"/>
          <w:marRight w:val="0"/>
          <w:marTop w:val="0"/>
          <w:marBottom w:val="0"/>
          <w:divBdr>
            <w:top w:val="none" w:sz="0" w:space="0" w:color="auto"/>
            <w:left w:val="none" w:sz="0" w:space="0" w:color="auto"/>
            <w:bottom w:val="none" w:sz="0" w:space="0" w:color="auto"/>
            <w:right w:val="none" w:sz="0" w:space="0" w:color="auto"/>
          </w:divBdr>
          <w:divsChild>
            <w:div w:id="898320725">
              <w:marLeft w:val="0"/>
              <w:marRight w:val="0"/>
              <w:marTop w:val="0"/>
              <w:marBottom w:val="0"/>
              <w:divBdr>
                <w:top w:val="none" w:sz="0" w:space="0" w:color="auto"/>
                <w:left w:val="none" w:sz="0" w:space="0" w:color="auto"/>
                <w:bottom w:val="none" w:sz="0" w:space="0" w:color="auto"/>
                <w:right w:val="none" w:sz="0" w:space="0" w:color="auto"/>
              </w:divBdr>
              <w:divsChild>
                <w:div w:id="3205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3479">
      <w:bodyDiv w:val="1"/>
      <w:marLeft w:val="0"/>
      <w:marRight w:val="0"/>
      <w:marTop w:val="0"/>
      <w:marBottom w:val="0"/>
      <w:divBdr>
        <w:top w:val="none" w:sz="0" w:space="0" w:color="auto"/>
        <w:left w:val="none" w:sz="0" w:space="0" w:color="auto"/>
        <w:bottom w:val="none" w:sz="0" w:space="0" w:color="auto"/>
        <w:right w:val="none" w:sz="0" w:space="0" w:color="auto"/>
      </w:divBdr>
    </w:div>
    <w:div w:id="461385909">
      <w:bodyDiv w:val="1"/>
      <w:marLeft w:val="0"/>
      <w:marRight w:val="0"/>
      <w:marTop w:val="0"/>
      <w:marBottom w:val="0"/>
      <w:divBdr>
        <w:top w:val="none" w:sz="0" w:space="0" w:color="auto"/>
        <w:left w:val="none" w:sz="0" w:space="0" w:color="auto"/>
        <w:bottom w:val="none" w:sz="0" w:space="0" w:color="auto"/>
        <w:right w:val="none" w:sz="0" w:space="0" w:color="auto"/>
      </w:divBdr>
    </w:div>
    <w:div w:id="503477434">
      <w:bodyDiv w:val="1"/>
      <w:marLeft w:val="0"/>
      <w:marRight w:val="0"/>
      <w:marTop w:val="0"/>
      <w:marBottom w:val="0"/>
      <w:divBdr>
        <w:top w:val="none" w:sz="0" w:space="0" w:color="auto"/>
        <w:left w:val="none" w:sz="0" w:space="0" w:color="auto"/>
        <w:bottom w:val="none" w:sz="0" w:space="0" w:color="auto"/>
        <w:right w:val="none" w:sz="0" w:space="0" w:color="auto"/>
      </w:divBdr>
    </w:div>
    <w:div w:id="528569189">
      <w:bodyDiv w:val="1"/>
      <w:marLeft w:val="0"/>
      <w:marRight w:val="0"/>
      <w:marTop w:val="0"/>
      <w:marBottom w:val="0"/>
      <w:divBdr>
        <w:top w:val="none" w:sz="0" w:space="0" w:color="auto"/>
        <w:left w:val="none" w:sz="0" w:space="0" w:color="auto"/>
        <w:bottom w:val="none" w:sz="0" w:space="0" w:color="auto"/>
        <w:right w:val="none" w:sz="0" w:space="0" w:color="auto"/>
      </w:divBdr>
    </w:div>
    <w:div w:id="694960311">
      <w:bodyDiv w:val="1"/>
      <w:marLeft w:val="0"/>
      <w:marRight w:val="0"/>
      <w:marTop w:val="0"/>
      <w:marBottom w:val="0"/>
      <w:divBdr>
        <w:top w:val="none" w:sz="0" w:space="0" w:color="auto"/>
        <w:left w:val="none" w:sz="0" w:space="0" w:color="auto"/>
        <w:bottom w:val="none" w:sz="0" w:space="0" w:color="auto"/>
        <w:right w:val="none" w:sz="0" w:space="0" w:color="auto"/>
      </w:divBdr>
    </w:div>
    <w:div w:id="811825789">
      <w:bodyDiv w:val="1"/>
      <w:marLeft w:val="0"/>
      <w:marRight w:val="0"/>
      <w:marTop w:val="0"/>
      <w:marBottom w:val="0"/>
      <w:divBdr>
        <w:top w:val="none" w:sz="0" w:space="0" w:color="auto"/>
        <w:left w:val="none" w:sz="0" w:space="0" w:color="auto"/>
        <w:bottom w:val="none" w:sz="0" w:space="0" w:color="auto"/>
        <w:right w:val="none" w:sz="0" w:space="0" w:color="auto"/>
      </w:divBdr>
    </w:div>
    <w:div w:id="825130768">
      <w:bodyDiv w:val="1"/>
      <w:marLeft w:val="0"/>
      <w:marRight w:val="0"/>
      <w:marTop w:val="0"/>
      <w:marBottom w:val="0"/>
      <w:divBdr>
        <w:top w:val="none" w:sz="0" w:space="0" w:color="auto"/>
        <w:left w:val="none" w:sz="0" w:space="0" w:color="auto"/>
        <w:bottom w:val="none" w:sz="0" w:space="0" w:color="auto"/>
        <w:right w:val="none" w:sz="0" w:space="0" w:color="auto"/>
      </w:divBdr>
    </w:div>
    <w:div w:id="847867059">
      <w:bodyDiv w:val="1"/>
      <w:marLeft w:val="0"/>
      <w:marRight w:val="0"/>
      <w:marTop w:val="0"/>
      <w:marBottom w:val="0"/>
      <w:divBdr>
        <w:top w:val="none" w:sz="0" w:space="0" w:color="auto"/>
        <w:left w:val="none" w:sz="0" w:space="0" w:color="auto"/>
        <w:bottom w:val="none" w:sz="0" w:space="0" w:color="auto"/>
        <w:right w:val="none" w:sz="0" w:space="0" w:color="auto"/>
      </w:divBdr>
    </w:div>
    <w:div w:id="848565434">
      <w:bodyDiv w:val="1"/>
      <w:marLeft w:val="0"/>
      <w:marRight w:val="0"/>
      <w:marTop w:val="0"/>
      <w:marBottom w:val="0"/>
      <w:divBdr>
        <w:top w:val="none" w:sz="0" w:space="0" w:color="auto"/>
        <w:left w:val="none" w:sz="0" w:space="0" w:color="auto"/>
        <w:bottom w:val="none" w:sz="0" w:space="0" w:color="auto"/>
        <w:right w:val="none" w:sz="0" w:space="0" w:color="auto"/>
      </w:divBdr>
    </w:div>
    <w:div w:id="1051883598">
      <w:bodyDiv w:val="1"/>
      <w:marLeft w:val="0"/>
      <w:marRight w:val="0"/>
      <w:marTop w:val="0"/>
      <w:marBottom w:val="0"/>
      <w:divBdr>
        <w:top w:val="none" w:sz="0" w:space="0" w:color="auto"/>
        <w:left w:val="none" w:sz="0" w:space="0" w:color="auto"/>
        <w:bottom w:val="none" w:sz="0" w:space="0" w:color="auto"/>
        <w:right w:val="none" w:sz="0" w:space="0" w:color="auto"/>
      </w:divBdr>
    </w:div>
    <w:div w:id="1155411627">
      <w:bodyDiv w:val="1"/>
      <w:marLeft w:val="0"/>
      <w:marRight w:val="0"/>
      <w:marTop w:val="0"/>
      <w:marBottom w:val="0"/>
      <w:divBdr>
        <w:top w:val="none" w:sz="0" w:space="0" w:color="auto"/>
        <w:left w:val="none" w:sz="0" w:space="0" w:color="auto"/>
        <w:bottom w:val="none" w:sz="0" w:space="0" w:color="auto"/>
        <w:right w:val="none" w:sz="0" w:space="0" w:color="auto"/>
      </w:divBdr>
    </w:div>
    <w:div w:id="1196847302">
      <w:bodyDiv w:val="1"/>
      <w:marLeft w:val="0"/>
      <w:marRight w:val="0"/>
      <w:marTop w:val="0"/>
      <w:marBottom w:val="0"/>
      <w:divBdr>
        <w:top w:val="none" w:sz="0" w:space="0" w:color="auto"/>
        <w:left w:val="none" w:sz="0" w:space="0" w:color="auto"/>
        <w:bottom w:val="none" w:sz="0" w:space="0" w:color="auto"/>
        <w:right w:val="none" w:sz="0" w:space="0" w:color="auto"/>
      </w:divBdr>
    </w:div>
    <w:div w:id="1219897368">
      <w:bodyDiv w:val="1"/>
      <w:marLeft w:val="0"/>
      <w:marRight w:val="0"/>
      <w:marTop w:val="0"/>
      <w:marBottom w:val="0"/>
      <w:divBdr>
        <w:top w:val="none" w:sz="0" w:space="0" w:color="auto"/>
        <w:left w:val="none" w:sz="0" w:space="0" w:color="auto"/>
        <w:bottom w:val="none" w:sz="0" w:space="0" w:color="auto"/>
        <w:right w:val="none" w:sz="0" w:space="0" w:color="auto"/>
      </w:divBdr>
    </w:div>
    <w:div w:id="1249846217">
      <w:bodyDiv w:val="1"/>
      <w:marLeft w:val="0"/>
      <w:marRight w:val="0"/>
      <w:marTop w:val="0"/>
      <w:marBottom w:val="0"/>
      <w:divBdr>
        <w:top w:val="none" w:sz="0" w:space="0" w:color="auto"/>
        <w:left w:val="none" w:sz="0" w:space="0" w:color="auto"/>
        <w:bottom w:val="none" w:sz="0" w:space="0" w:color="auto"/>
        <w:right w:val="none" w:sz="0" w:space="0" w:color="auto"/>
      </w:divBdr>
    </w:div>
    <w:div w:id="1286043143">
      <w:bodyDiv w:val="1"/>
      <w:marLeft w:val="0"/>
      <w:marRight w:val="0"/>
      <w:marTop w:val="0"/>
      <w:marBottom w:val="0"/>
      <w:divBdr>
        <w:top w:val="none" w:sz="0" w:space="0" w:color="auto"/>
        <w:left w:val="none" w:sz="0" w:space="0" w:color="auto"/>
        <w:bottom w:val="none" w:sz="0" w:space="0" w:color="auto"/>
        <w:right w:val="none" w:sz="0" w:space="0" w:color="auto"/>
      </w:divBdr>
    </w:div>
    <w:div w:id="1360624666">
      <w:bodyDiv w:val="1"/>
      <w:marLeft w:val="0"/>
      <w:marRight w:val="0"/>
      <w:marTop w:val="0"/>
      <w:marBottom w:val="0"/>
      <w:divBdr>
        <w:top w:val="none" w:sz="0" w:space="0" w:color="auto"/>
        <w:left w:val="none" w:sz="0" w:space="0" w:color="auto"/>
        <w:bottom w:val="none" w:sz="0" w:space="0" w:color="auto"/>
        <w:right w:val="none" w:sz="0" w:space="0" w:color="auto"/>
      </w:divBdr>
    </w:div>
    <w:div w:id="1394812956">
      <w:bodyDiv w:val="1"/>
      <w:marLeft w:val="0"/>
      <w:marRight w:val="0"/>
      <w:marTop w:val="0"/>
      <w:marBottom w:val="0"/>
      <w:divBdr>
        <w:top w:val="none" w:sz="0" w:space="0" w:color="auto"/>
        <w:left w:val="none" w:sz="0" w:space="0" w:color="auto"/>
        <w:bottom w:val="none" w:sz="0" w:space="0" w:color="auto"/>
        <w:right w:val="none" w:sz="0" w:space="0" w:color="auto"/>
      </w:divBdr>
    </w:div>
    <w:div w:id="1495954507">
      <w:bodyDiv w:val="1"/>
      <w:marLeft w:val="0"/>
      <w:marRight w:val="0"/>
      <w:marTop w:val="0"/>
      <w:marBottom w:val="0"/>
      <w:divBdr>
        <w:top w:val="none" w:sz="0" w:space="0" w:color="auto"/>
        <w:left w:val="none" w:sz="0" w:space="0" w:color="auto"/>
        <w:bottom w:val="none" w:sz="0" w:space="0" w:color="auto"/>
        <w:right w:val="none" w:sz="0" w:space="0" w:color="auto"/>
      </w:divBdr>
    </w:div>
    <w:div w:id="1572933882">
      <w:bodyDiv w:val="1"/>
      <w:marLeft w:val="0"/>
      <w:marRight w:val="0"/>
      <w:marTop w:val="0"/>
      <w:marBottom w:val="0"/>
      <w:divBdr>
        <w:top w:val="none" w:sz="0" w:space="0" w:color="auto"/>
        <w:left w:val="none" w:sz="0" w:space="0" w:color="auto"/>
        <w:bottom w:val="none" w:sz="0" w:space="0" w:color="auto"/>
        <w:right w:val="none" w:sz="0" w:space="0" w:color="auto"/>
      </w:divBdr>
    </w:div>
    <w:div w:id="1667786497">
      <w:bodyDiv w:val="1"/>
      <w:marLeft w:val="0"/>
      <w:marRight w:val="0"/>
      <w:marTop w:val="0"/>
      <w:marBottom w:val="0"/>
      <w:divBdr>
        <w:top w:val="none" w:sz="0" w:space="0" w:color="auto"/>
        <w:left w:val="none" w:sz="0" w:space="0" w:color="auto"/>
        <w:bottom w:val="none" w:sz="0" w:space="0" w:color="auto"/>
        <w:right w:val="none" w:sz="0" w:space="0" w:color="auto"/>
      </w:divBdr>
    </w:div>
    <w:div w:id="1668513603">
      <w:bodyDiv w:val="1"/>
      <w:marLeft w:val="0"/>
      <w:marRight w:val="0"/>
      <w:marTop w:val="0"/>
      <w:marBottom w:val="0"/>
      <w:divBdr>
        <w:top w:val="none" w:sz="0" w:space="0" w:color="auto"/>
        <w:left w:val="none" w:sz="0" w:space="0" w:color="auto"/>
        <w:bottom w:val="none" w:sz="0" w:space="0" w:color="auto"/>
        <w:right w:val="none" w:sz="0" w:space="0" w:color="auto"/>
      </w:divBdr>
      <w:divsChild>
        <w:div w:id="268970276">
          <w:marLeft w:val="0"/>
          <w:marRight w:val="0"/>
          <w:marTop w:val="0"/>
          <w:marBottom w:val="0"/>
          <w:divBdr>
            <w:top w:val="none" w:sz="0" w:space="0" w:color="auto"/>
            <w:left w:val="none" w:sz="0" w:space="0" w:color="auto"/>
            <w:bottom w:val="none" w:sz="0" w:space="0" w:color="auto"/>
            <w:right w:val="none" w:sz="0" w:space="0" w:color="auto"/>
          </w:divBdr>
          <w:divsChild>
            <w:div w:id="1835796474">
              <w:marLeft w:val="0"/>
              <w:marRight w:val="0"/>
              <w:marTop w:val="0"/>
              <w:marBottom w:val="0"/>
              <w:divBdr>
                <w:top w:val="none" w:sz="0" w:space="0" w:color="auto"/>
                <w:left w:val="none" w:sz="0" w:space="0" w:color="auto"/>
                <w:bottom w:val="none" w:sz="0" w:space="0" w:color="auto"/>
                <w:right w:val="none" w:sz="0" w:space="0" w:color="auto"/>
              </w:divBdr>
              <w:divsChild>
                <w:div w:id="922105536">
                  <w:marLeft w:val="0"/>
                  <w:marRight w:val="0"/>
                  <w:marTop w:val="0"/>
                  <w:marBottom w:val="0"/>
                  <w:divBdr>
                    <w:top w:val="none" w:sz="0" w:space="0" w:color="auto"/>
                    <w:left w:val="none" w:sz="0" w:space="0" w:color="auto"/>
                    <w:bottom w:val="none" w:sz="0" w:space="0" w:color="auto"/>
                    <w:right w:val="none" w:sz="0" w:space="0" w:color="auto"/>
                  </w:divBdr>
                  <w:divsChild>
                    <w:div w:id="15395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12853">
      <w:bodyDiv w:val="1"/>
      <w:marLeft w:val="0"/>
      <w:marRight w:val="0"/>
      <w:marTop w:val="0"/>
      <w:marBottom w:val="0"/>
      <w:divBdr>
        <w:top w:val="none" w:sz="0" w:space="0" w:color="auto"/>
        <w:left w:val="none" w:sz="0" w:space="0" w:color="auto"/>
        <w:bottom w:val="none" w:sz="0" w:space="0" w:color="auto"/>
        <w:right w:val="none" w:sz="0" w:space="0" w:color="auto"/>
      </w:divBdr>
    </w:div>
    <w:div w:id="1984195654">
      <w:bodyDiv w:val="1"/>
      <w:marLeft w:val="0"/>
      <w:marRight w:val="0"/>
      <w:marTop w:val="0"/>
      <w:marBottom w:val="0"/>
      <w:divBdr>
        <w:top w:val="none" w:sz="0" w:space="0" w:color="auto"/>
        <w:left w:val="none" w:sz="0" w:space="0" w:color="auto"/>
        <w:bottom w:val="none" w:sz="0" w:space="0" w:color="auto"/>
        <w:right w:val="none" w:sz="0" w:space="0" w:color="auto"/>
      </w:divBdr>
    </w:div>
    <w:div w:id="2022510486">
      <w:bodyDiv w:val="1"/>
      <w:marLeft w:val="0"/>
      <w:marRight w:val="0"/>
      <w:marTop w:val="0"/>
      <w:marBottom w:val="0"/>
      <w:divBdr>
        <w:top w:val="none" w:sz="0" w:space="0" w:color="auto"/>
        <w:left w:val="none" w:sz="0" w:space="0" w:color="auto"/>
        <w:bottom w:val="none" w:sz="0" w:space="0" w:color="auto"/>
        <w:right w:val="none" w:sz="0" w:space="0" w:color="auto"/>
      </w:divBdr>
    </w:div>
    <w:div w:id="2034761927">
      <w:bodyDiv w:val="1"/>
      <w:marLeft w:val="0"/>
      <w:marRight w:val="0"/>
      <w:marTop w:val="0"/>
      <w:marBottom w:val="0"/>
      <w:divBdr>
        <w:top w:val="none" w:sz="0" w:space="0" w:color="auto"/>
        <w:left w:val="none" w:sz="0" w:space="0" w:color="auto"/>
        <w:bottom w:val="none" w:sz="0" w:space="0" w:color="auto"/>
        <w:right w:val="none" w:sz="0" w:space="0" w:color="auto"/>
      </w:divBdr>
      <w:divsChild>
        <w:div w:id="1634092370">
          <w:marLeft w:val="0"/>
          <w:marRight w:val="0"/>
          <w:marTop w:val="0"/>
          <w:marBottom w:val="0"/>
          <w:divBdr>
            <w:top w:val="none" w:sz="0" w:space="0" w:color="auto"/>
            <w:left w:val="none" w:sz="0" w:space="0" w:color="auto"/>
            <w:bottom w:val="none" w:sz="0" w:space="0" w:color="auto"/>
            <w:right w:val="none" w:sz="0" w:space="0" w:color="auto"/>
          </w:divBdr>
          <w:divsChild>
            <w:div w:id="845171466">
              <w:marLeft w:val="0"/>
              <w:marRight w:val="0"/>
              <w:marTop w:val="0"/>
              <w:marBottom w:val="0"/>
              <w:divBdr>
                <w:top w:val="none" w:sz="0" w:space="0" w:color="auto"/>
                <w:left w:val="none" w:sz="0" w:space="0" w:color="auto"/>
                <w:bottom w:val="none" w:sz="0" w:space="0" w:color="auto"/>
                <w:right w:val="none" w:sz="0" w:space="0" w:color="auto"/>
              </w:divBdr>
              <w:divsChild>
                <w:div w:id="796290814">
                  <w:marLeft w:val="0"/>
                  <w:marRight w:val="0"/>
                  <w:marTop w:val="0"/>
                  <w:marBottom w:val="0"/>
                  <w:divBdr>
                    <w:top w:val="none" w:sz="0" w:space="0" w:color="auto"/>
                    <w:left w:val="none" w:sz="0" w:space="0" w:color="auto"/>
                    <w:bottom w:val="none" w:sz="0" w:space="0" w:color="auto"/>
                    <w:right w:val="none" w:sz="0" w:space="0" w:color="auto"/>
                  </w:divBdr>
                </w:div>
              </w:divsChild>
            </w:div>
            <w:div w:id="507061770">
              <w:marLeft w:val="0"/>
              <w:marRight w:val="0"/>
              <w:marTop w:val="0"/>
              <w:marBottom w:val="0"/>
              <w:divBdr>
                <w:top w:val="none" w:sz="0" w:space="0" w:color="auto"/>
                <w:left w:val="none" w:sz="0" w:space="0" w:color="auto"/>
                <w:bottom w:val="none" w:sz="0" w:space="0" w:color="auto"/>
                <w:right w:val="none" w:sz="0" w:space="0" w:color="auto"/>
              </w:divBdr>
              <w:divsChild>
                <w:div w:id="14650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1931%20AD%20466" TargetMode="External"/><Relationship Id="rId2" Type="http://schemas.openxmlformats.org/officeDocument/2006/relationships/hyperlink" Target="http://www.saflii.org.za/cgi-bin/LawCite?cit=%5b2021%5d%203%20All%20SA%20647" TargetMode="External"/><Relationship Id="rId1" Type="http://schemas.openxmlformats.org/officeDocument/2006/relationships/hyperlink" Target="http://www.saflii.org/cgi-bin/LawCite?cit=1925%20AD%20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D5103-CDCC-4CC0-8E3C-25B198E8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5032</Words>
  <Characters>28685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3</cp:revision>
  <cp:lastPrinted>2022-11-14T07:35:00Z</cp:lastPrinted>
  <dcterms:created xsi:type="dcterms:W3CDTF">2023-04-12T08:35:00Z</dcterms:created>
  <dcterms:modified xsi:type="dcterms:W3CDTF">2023-04-12T08:36:00Z</dcterms:modified>
</cp:coreProperties>
</file>