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D504" w14:textId="77777777" w:rsidR="009A7A54" w:rsidRPr="007B0DD3" w:rsidRDefault="009A7A54" w:rsidP="007A1E58">
      <w:pPr>
        <w:spacing w:line="360" w:lineRule="auto"/>
        <w:contextualSpacing/>
        <w:jc w:val="center"/>
        <w:rPr>
          <w:rFonts w:asciiTheme="minorBidi" w:hAnsiTheme="minorBidi" w:cstheme="minorBidi"/>
          <w:b/>
        </w:rPr>
      </w:pPr>
      <w:r w:rsidRPr="007B0DD3">
        <w:rPr>
          <w:rFonts w:asciiTheme="minorBidi" w:eastAsia="Calibri" w:hAnsiTheme="minorBidi" w:cstheme="minorBidi"/>
          <w:noProof/>
          <w:sz w:val="28"/>
          <w:lang w:val="en-US" w:eastAsia="en-US" w:bidi="ar-SA"/>
        </w:rPr>
        <w:drawing>
          <wp:inline distT="0" distB="0" distL="0" distR="0" wp14:anchorId="3A73139E" wp14:editId="6BC46073">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1E26CB3A" w14:textId="77777777" w:rsidR="009A7A54" w:rsidRPr="007B0DD3" w:rsidRDefault="009A7A54" w:rsidP="007B0DD3">
      <w:pPr>
        <w:spacing w:line="360" w:lineRule="auto"/>
        <w:contextualSpacing/>
        <w:jc w:val="both"/>
        <w:rPr>
          <w:rFonts w:asciiTheme="minorBidi" w:hAnsiTheme="minorBidi" w:cstheme="minorBidi"/>
          <w:b/>
          <w:sz w:val="16"/>
          <w:szCs w:val="16"/>
        </w:rPr>
      </w:pPr>
    </w:p>
    <w:p w14:paraId="514F4291" w14:textId="77777777" w:rsidR="009A7A54" w:rsidRPr="007B0DD3" w:rsidRDefault="009A7A54" w:rsidP="007A1E58">
      <w:pPr>
        <w:spacing w:line="360" w:lineRule="auto"/>
        <w:contextualSpacing/>
        <w:jc w:val="center"/>
        <w:rPr>
          <w:rFonts w:asciiTheme="minorBidi" w:hAnsiTheme="minorBidi" w:cstheme="minorBidi"/>
          <w:b/>
        </w:rPr>
      </w:pPr>
      <w:r w:rsidRPr="007B0DD3">
        <w:rPr>
          <w:rFonts w:asciiTheme="minorBidi" w:hAnsiTheme="minorBidi" w:cstheme="minorBidi"/>
          <w:b/>
        </w:rPr>
        <w:t>IN THE HIGH COURT OF SOUTH AFRICA</w:t>
      </w:r>
    </w:p>
    <w:p w14:paraId="68B98DFD" w14:textId="77777777" w:rsidR="009A7A54" w:rsidRPr="007B0DD3" w:rsidRDefault="009A7A54" w:rsidP="007A1E58">
      <w:pPr>
        <w:spacing w:line="360" w:lineRule="auto"/>
        <w:contextualSpacing/>
        <w:jc w:val="center"/>
        <w:rPr>
          <w:rFonts w:asciiTheme="minorBidi" w:hAnsiTheme="minorBidi" w:cstheme="minorBidi"/>
          <w:b/>
        </w:rPr>
      </w:pPr>
      <w:r w:rsidRPr="007B0DD3">
        <w:rPr>
          <w:rFonts w:asciiTheme="minorBidi" w:hAnsiTheme="minorBidi" w:cstheme="minorBidi"/>
          <w:b/>
        </w:rPr>
        <w:t>KWAZULU-NATAL DIVISION, PIETERMARITZBURG</w:t>
      </w:r>
    </w:p>
    <w:p w14:paraId="31891088" w14:textId="77777777" w:rsidR="009A7A54" w:rsidRPr="007B0DD3" w:rsidRDefault="009A7A54" w:rsidP="007A1E58">
      <w:pPr>
        <w:spacing w:line="360" w:lineRule="auto"/>
        <w:contextualSpacing/>
        <w:jc w:val="center"/>
        <w:rPr>
          <w:rFonts w:asciiTheme="minorBidi" w:hAnsiTheme="minorBidi" w:cstheme="minorBidi"/>
        </w:rPr>
      </w:pPr>
    </w:p>
    <w:p w14:paraId="724C0147" w14:textId="62014913" w:rsidR="009A7A54" w:rsidRPr="007B0DD3" w:rsidRDefault="009A7A54" w:rsidP="007A1E58">
      <w:pPr>
        <w:spacing w:line="360" w:lineRule="auto"/>
        <w:contextualSpacing/>
        <w:jc w:val="right"/>
        <w:rPr>
          <w:rFonts w:asciiTheme="minorBidi" w:hAnsiTheme="minorBidi" w:cstheme="minorBidi"/>
        </w:rPr>
      </w:pPr>
      <w:r w:rsidRPr="007B0DD3">
        <w:rPr>
          <w:rFonts w:asciiTheme="minorBidi" w:hAnsiTheme="minorBidi" w:cstheme="minorBidi"/>
        </w:rPr>
        <w:t>Case no: AR 191/2022</w:t>
      </w:r>
    </w:p>
    <w:p w14:paraId="68D9F2C2" w14:textId="77777777" w:rsidR="009A7A54" w:rsidRPr="007B0DD3" w:rsidRDefault="009A7A54" w:rsidP="00215824">
      <w:pPr>
        <w:tabs>
          <w:tab w:val="right" w:pos="8789"/>
        </w:tabs>
        <w:contextualSpacing/>
        <w:jc w:val="both"/>
        <w:rPr>
          <w:rFonts w:asciiTheme="minorBidi" w:hAnsiTheme="minorBidi" w:cstheme="minorBidi"/>
        </w:rPr>
      </w:pPr>
      <w:r w:rsidRPr="007B0DD3">
        <w:rPr>
          <w:rFonts w:asciiTheme="minorBidi" w:hAnsiTheme="minorBidi" w:cstheme="minorBidi"/>
        </w:rPr>
        <w:t>In the matter between:</w:t>
      </w:r>
    </w:p>
    <w:p w14:paraId="69FB2387" w14:textId="77777777" w:rsidR="00215824" w:rsidRDefault="00215824" w:rsidP="00215824">
      <w:pPr>
        <w:tabs>
          <w:tab w:val="right" w:pos="9072"/>
        </w:tabs>
        <w:contextualSpacing/>
        <w:jc w:val="both"/>
        <w:rPr>
          <w:rFonts w:asciiTheme="minorBidi" w:hAnsiTheme="minorBidi" w:cstheme="minorBidi"/>
          <w:b/>
          <w:bCs/>
        </w:rPr>
      </w:pPr>
    </w:p>
    <w:p w14:paraId="0C42E0F5" w14:textId="5E25C4C8" w:rsidR="009A7A54" w:rsidRPr="007B0DD3" w:rsidRDefault="00662774" w:rsidP="00215824">
      <w:pPr>
        <w:tabs>
          <w:tab w:val="right" w:pos="9072"/>
        </w:tabs>
        <w:contextualSpacing/>
        <w:jc w:val="both"/>
        <w:rPr>
          <w:rFonts w:asciiTheme="minorBidi" w:hAnsiTheme="minorBidi" w:cstheme="minorBidi"/>
          <w:b/>
          <w:bCs/>
        </w:rPr>
      </w:pPr>
      <w:r w:rsidRPr="007B0DD3">
        <w:rPr>
          <w:rFonts w:asciiTheme="minorBidi" w:hAnsiTheme="minorBidi" w:cstheme="minorBidi"/>
          <w:b/>
          <w:bCs/>
        </w:rPr>
        <w:t xml:space="preserve">TREVOR ARCHAN </w:t>
      </w:r>
      <w:r w:rsidR="009A7A54" w:rsidRPr="007B0DD3">
        <w:rPr>
          <w:rFonts w:asciiTheme="minorBidi" w:hAnsiTheme="minorBidi" w:cstheme="minorBidi"/>
          <w:b/>
          <w:bCs/>
        </w:rPr>
        <w:t>RAMANAND</w:t>
      </w:r>
      <w:r w:rsidR="009A7A54" w:rsidRPr="007B0DD3">
        <w:rPr>
          <w:rFonts w:asciiTheme="minorBidi" w:hAnsiTheme="minorBidi" w:cstheme="minorBidi"/>
          <w:b/>
          <w:bCs/>
        </w:rPr>
        <w:tab/>
        <w:t>APPELLANT</w:t>
      </w:r>
    </w:p>
    <w:p w14:paraId="438C9A97" w14:textId="77777777" w:rsidR="004D51AF" w:rsidRPr="007B0DD3" w:rsidRDefault="004D51AF" w:rsidP="00215824">
      <w:pPr>
        <w:tabs>
          <w:tab w:val="right" w:pos="8789"/>
        </w:tabs>
        <w:contextualSpacing/>
        <w:jc w:val="both"/>
        <w:rPr>
          <w:rFonts w:asciiTheme="minorBidi" w:hAnsiTheme="minorBidi" w:cstheme="minorBidi"/>
        </w:rPr>
      </w:pPr>
    </w:p>
    <w:p w14:paraId="7CBCE0BB" w14:textId="55F217EC" w:rsidR="009A7A54" w:rsidRPr="007B0DD3" w:rsidRDefault="009A7A54" w:rsidP="00215824">
      <w:pPr>
        <w:tabs>
          <w:tab w:val="right" w:pos="8789"/>
        </w:tabs>
        <w:contextualSpacing/>
        <w:jc w:val="both"/>
        <w:rPr>
          <w:rFonts w:asciiTheme="minorBidi" w:hAnsiTheme="minorBidi" w:cstheme="minorBidi"/>
        </w:rPr>
      </w:pPr>
      <w:r w:rsidRPr="007B0DD3">
        <w:rPr>
          <w:rFonts w:asciiTheme="minorBidi" w:hAnsiTheme="minorBidi" w:cstheme="minorBidi"/>
        </w:rPr>
        <w:t>and</w:t>
      </w:r>
    </w:p>
    <w:p w14:paraId="26EEC470" w14:textId="77777777" w:rsidR="004D51AF" w:rsidRPr="007B0DD3" w:rsidRDefault="004D51AF" w:rsidP="00215824">
      <w:pPr>
        <w:tabs>
          <w:tab w:val="right" w:pos="8789"/>
        </w:tabs>
        <w:contextualSpacing/>
        <w:jc w:val="both"/>
        <w:rPr>
          <w:rFonts w:asciiTheme="minorBidi" w:hAnsiTheme="minorBidi" w:cstheme="minorBidi"/>
          <w:b/>
          <w:bCs/>
        </w:rPr>
      </w:pPr>
    </w:p>
    <w:p w14:paraId="75065BF1" w14:textId="74019104" w:rsidR="009A7A54" w:rsidRPr="007B0DD3" w:rsidRDefault="009A7A54" w:rsidP="00215824">
      <w:pPr>
        <w:tabs>
          <w:tab w:val="right" w:pos="9072"/>
        </w:tabs>
        <w:contextualSpacing/>
        <w:jc w:val="both"/>
        <w:rPr>
          <w:rFonts w:asciiTheme="minorBidi" w:hAnsiTheme="minorBidi" w:cstheme="minorBidi"/>
          <w:b/>
          <w:bCs/>
        </w:rPr>
      </w:pPr>
      <w:r w:rsidRPr="007B0DD3">
        <w:rPr>
          <w:rFonts w:asciiTheme="minorBidi" w:hAnsiTheme="minorBidi" w:cstheme="minorBidi"/>
          <w:b/>
          <w:bCs/>
        </w:rPr>
        <w:t xml:space="preserve">DEPARTMENT OF LABOUR: </w:t>
      </w:r>
      <w:r w:rsidR="00B0250F" w:rsidRPr="007B0DD3">
        <w:rPr>
          <w:rFonts w:asciiTheme="minorBidi" w:hAnsiTheme="minorBidi" w:cstheme="minorBidi"/>
          <w:b/>
          <w:bCs/>
        </w:rPr>
        <w:tab/>
        <w:t xml:space="preserve">    RESPONDENT</w:t>
      </w:r>
    </w:p>
    <w:p w14:paraId="1002300E" w14:textId="1092C541" w:rsidR="009A7A54" w:rsidRPr="007B0DD3" w:rsidRDefault="009A7A54" w:rsidP="00215824">
      <w:pPr>
        <w:tabs>
          <w:tab w:val="right" w:pos="9072"/>
        </w:tabs>
        <w:contextualSpacing/>
        <w:jc w:val="both"/>
        <w:rPr>
          <w:rFonts w:asciiTheme="minorBidi" w:hAnsiTheme="minorBidi" w:cstheme="minorBidi"/>
          <w:b/>
          <w:bCs/>
        </w:rPr>
      </w:pPr>
      <w:r w:rsidRPr="007B0DD3">
        <w:rPr>
          <w:rFonts w:asciiTheme="minorBidi" w:hAnsiTheme="minorBidi" w:cstheme="minorBidi"/>
          <w:b/>
          <w:bCs/>
        </w:rPr>
        <w:t>COMPENSATION COMMISSIONER</w:t>
      </w:r>
      <w:r w:rsidRPr="007B0DD3">
        <w:rPr>
          <w:rFonts w:asciiTheme="minorBidi" w:hAnsiTheme="minorBidi" w:cstheme="minorBidi"/>
          <w:b/>
          <w:bCs/>
        </w:rPr>
        <w:tab/>
      </w:r>
    </w:p>
    <w:p w14:paraId="3EFA342C" w14:textId="77777777" w:rsidR="009A7A54" w:rsidRPr="007B0DD3" w:rsidRDefault="009A7A54" w:rsidP="007B0DD3">
      <w:pPr>
        <w:pBdr>
          <w:bottom w:val="single" w:sz="12" w:space="1" w:color="auto"/>
        </w:pBdr>
        <w:tabs>
          <w:tab w:val="right" w:pos="9026"/>
        </w:tabs>
        <w:spacing w:line="360" w:lineRule="auto"/>
        <w:jc w:val="both"/>
        <w:rPr>
          <w:rFonts w:asciiTheme="minorBidi" w:hAnsiTheme="minorBidi" w:cstheme="minorBidi"/>
          <w:b/>
          <w:bCs/>
        </w:rPr>
      </w:pPr>
    </w:p>
    <w:p w14:paraId="1FB04079" w14:textId="77777777" w:rsidR="009A7A54" w:rsidRPr="007B0DD3" w:rsidRDefault="009A7A54" w:rsidP="007B0DD3">
      <w:pPr>
        <w:jc w:val="both"/>
        <w:rPr>
          <w:rFonts w:asciiTheme="minorBidi" w:hAnsiTheme="minorBidi" w:cstheme="minorBidi"/>
          <w:bCs/>
        </w:rPr>
      </w:pPr>
    </w:p>
    <w:p w14:paraId="47A6162F" w14:textId="77777777" w:rsidR="009A7A54" w:rsidRPr="007B0DD3" w:rsidRDefault="009A7A54" w:rsidP="007B0DD3">
      <w:pPr>
        <w:jc w:val="both"/>
        <w:rPr>
          <w:rFonts w:asciiTheme="minorBidi" w:hAnsiTheme="minorBidi" w:cstheme="minorBidi"/>
          <w:bCs/>
        </w:rPr>
      </w:pPr>
    </w:p>
    <w:p w14:paraId="49ADD3B4" w14:textId="618E64B8" w:rsidR="009A7A54" w:rsidRPr="007B0DD3" w:rsidRDefault="009A7A54" w:rsidP="007B0DD3">
      <w:pPr>
        <w:jc w:val="both"/>
        <w:rPr>
          <w:rFonts w:asciiTheme="minorBidi" w:hAnsiTheme="minorBidi" w:cstheme="minorBidi"/>
          <w:bCs/>
        </w:rPr>
      </w:pPr>
      <w:r w:rsidRPr="007B0DD3">
        <w:rPr>
          <w:rFonts w:asciiTheme="minorBidi" w:hAnsiTheme="minorBidi" w:cstheme="minorBidi"/>
          <w:bCs/>
        </w:rPr>
        <w:t>Coram:</w:t>
      </w:r>
      <w:r w:rsidRPr="007B0DD3">
        <w:rPr>
          <w:rFonts w:asciiTheme="minorBidi" w:hAnsiTheme="minorBidi" w:cstheme="minorBidi"/>
          <w:bCs/>
        </w:rPr>
        <w:tab/>
        <w:t xml:space="preserve"> Mossop J </w:t>
      </w:r>
      <w:r w:rsidR="0079709A">
        <w:rPr>
          <w:rFonts w:asciiTheme="minorBidi" w:hAnsiTheme="minorBidi" w:cstheme="minorBidi"/>
          <w:bCs/>
        </w:rPr>
        <w:t>(</w:t>
      </w:r>
      <w:r w:rsidR="0079709A" w:rsidRPr="007B0DD3">
        <w:rPr>
          <w:rFonts w:asciiTheme="minorBidi" w:hAnsiTheme="minorBidi" w:cstheme="minorBidi"/>
          <w:bCs/>
        </w:rPr>
        <w:t xml:space="preserve">Smart AJ </w:t>
      </w:r>
      <w:r w:rsidRPr="007B0DD3">
        <w:rPr>
          <w:rFonts w:asciiTheme="minorBidi" w:hAnsiTheme="minorBidi" w:cstheme="minorBidi"/>
          <w:bCs/>
        </w:rPr>
        <w:t>concurring)</w:t>
      </w:r>
    </w:p>
    <w:p w14:paraId="2C9F76EF" w14:textId="77777777" w:rsidR="009A7A54" w:rsidRPr="007B0DD3" w:rsidRDefault="009A7A54" w:rsidP="007B0DD3">
      <w:pPr>
        <w:jc w:val="both"/>
        <w:rPr>
          <w:rFonts w:asciiTheme="minorBidi" w:hAnsiTheme="minorBidi" w:cstheme="minorBidi"/>
          <w:bCs/>
        </w:rPr>
      </w:pPr>
    </w:p>
    <w:p w14:paraId="7CA280CB" w14:textId="77777777" w:rsidR="009A7A54" w:rsidRPr="007B0DD3" w:rsidRDefault="009A7A54" w:rsidP="007B0DD3">
      <w:pPr>
        <w:jc w:val="both"/>
        <w:rPr>
          <w:rFonts w:asciiTheme="minorBidi" w:hAnsiTheme="minorBidi" w:cstheme="minorBidi"/>
          <w:bCs/>
        </w:rPr>
      </w:pPr>
      <w:r w:rsidRPr="007B0DD3">
        <w:rPr>
          <w:rFonts w:asciiTheme="minorBidi" w:hAnsiTheme="minorBidi" w:cstheme="minorBidi"/>
          <w:bCs/>
        </w:rPr>
        <w:t>Heard:</w:t>
      </w:r>
      <w:r w:rsidRPr="007B0DD3">
        <w:rPr>
          <w:rFonts w:asciiTheme="minorBidi" w:hAnsiTheme="minorBidi" w:cstheme="minorBidi"/>
          <w:bCs/>
        </w:rPr>
        <w:tab/>
        <w:t>10 March 2023</w:t>
      </w:r>
    </w:p>
    <w:p w14:paraId="0133E103" w14:textId="77777777" w:rsidR="009A7A54" w:rsidRPr="007B0DD3" w:rsidRDefault="009A7A54" w:rsidP="007B0DD3">
      <w:pPr>
        <w:jc w:val="both"/>
        <w:rPr>
          <w:rFonts w:asciiTheme="minorBidi" w:hAnsiTheme="minorBidi" w:cstheme="minorBidi"/>
          <w:bCs/>
        </w:rPr>
      </w:pPr>
    </w:p>
    <w:p w14:paraId="3E4BEDE8" w14:textId="592461D9" w:rsidR="009A7A54" w:rsidRPr="007B0DD3" w:rsidRDefault="009A7A54" w:rsidP="007B0DD3">
      <w:pPr>
        <w:jc w:val="both"/>
        <w:rPr>
          <w:rFonts w:asciiTheme="minorBidi" w:hAnsiTheme="minorBidi" w:cstheme="minorBidi"/>
          <w:bCs/>
        </w:rPr>
      </w:pPr>
      <w:r w:rsidRPr="007B0DD3">
        <w:rPr>
          <w:rFonts w:asciiTheme="minorBidi" w:hAnsiTheme="minorBidi" w:cstheme="minorBidi"/>
          <w:bCs/>
        </w:rPr>
        <w:t>Delivered:</w:t>
      </w:r>
      <w:r w:rsidRPr="007B0DD3">
        <w:rPr>
          <w:rFonts w:asciiTheme="minorBidi" w:hAnsiTheme="minorBidi" w:cstheme="minorBidi"/>
          <w:bCs/>
        </w:rPr>
        <w:tab/>
      </w:r>
      <w:r w:rsidR="00B071F2">
        <w:rPr>
          <w:rFonts w:asciiTheme="minorBidi" w:hAnsiTheme="minorBidi" w:cstheme="minorBidi"/>
          <w:bCs/>
        </w:rPr>
        <w:t>14</w:t>
      </w:r>
      <w:r w:rsidR="00ED21CE">
        <w:rPr>
          <w:rFonts w:asciiTheme="minorBidi" w:hAnsiTheme="minorBidi" w:cstheme="minorBidi"/>
          <w:bCs/>
        </w:rPr>
        <w:t xml:space="preserve"> April</w:t>
      </w:r>
      <w:r w:rsidRPr="007B0DD3">
        <w:rPr>
          <w:rFonts w:asciiTheme="minorBidi" w:hAnsiTheme="minorBidi" w:cstheme="minorBidi"/>
          <w:bCs/>
        </w:rPr>
        <w:t xml:space="preserve"> 2023</w:t>
      </w:r>
    </w:p>
    <w:p w14:paraId="01F2B182" w14:textId="77777777" w:rsidR="009A7A54" w:rsidRPr="007B0DD3" w:rsidRDefault="009A7A54" w:rsidP="007B0DD3">
      <w:pPr>
        <w:jc w:val="both"/>
        <w:rPr>
          <w:rFonts w:asciiTheme="minorBidi" w:hAnsiTheme="minorBidi" w:cstheme="minorBidi"/>
          <w:b/>
          <w:bCs/>
        </w:rPr>
      </w:pPr>
    </w:p>
    <w:p w14:paraId="56906719" w14:textId="77777777" w:rsidR="009A7A54" w:rsidRPr="007B0DD3" w:rsidRDefault="009A7A54" w:rsidP="007B0DD3">
      <w:pPr>
        <w:pBdr>
          <w:bottom w:val="single" w:sz="12" w:space="1" w:color="auto"/>
        </w:pBdr>
        <w:jc w:val="both"/>
        <w:rPr>
          <w:rFonts w:asciiTheme="minorBidi" w:hAnsiTheme="minorBidi" w:cstheme="minorBidi"/>
          <w:b/>
          <w:bCs/>
        </w:rPr>
      </w:pPr>
    </w:p>
    <w:p w14:paraId="7CCFFDA0" w14:textId="77777777" w:rsidR="009A7A54" w:rsidRPr="007B0DD3" w:rsidRDefault="009A7A54" w:rsidP="007B0DD3">
      <w:pPr>
        <w:jc w:val="both"/>
        <w:rPr>
          <w:rFonts w:asciiTheme="minorBidi" w:hAnsiTheme="minorBidi" w:cstheme="minorBidi"/>
          <w:b/>
          <w:bCs/>
        </w:rPr>
      </w:pPr>
    </w:p>
    <w:p w14:paraId="5241E846" w14:textId="77777777" w:rsidR="009A7A54" w:rsidRPr="007B0DD3" w:rsidRDefault="009A7A54" w:rsidP="007A1E58">
      <w:pPr>
        <w:pBdr>
          <w:bottom w:val="single" w:sz="12" w:space="1" w:color="auto"/>
        </w:pBdr>
        <w:jc w:val="center"/>
        <w:rPr>
          <w:rFonts w:asciiTheme="minorBidi" w:hAnsiTheme="minorBidi" w:cstheme="minorBidi"/>
          <w:b/>
          <w:bCs/>
        </w:rPr>
      </w:pPr>
      <w:r w:rsidRPr="007B0DD3">
        <w:rPr>
          <w:rFonts w:asciiTheme="minorBidi" w:hAnsiTheme="minorBidi" w:cstheme="minorBidi"/>
          <w:b/>
          <w:bCs/>
        </w:rPr>
        <w:t>ORDER</w:t>
      </w:r>
    </w:p>
    <w:p w14:paraId="457896BA" w14:textId="77777777" w:rsidR="009A7A54" w:rsidRPr="007B0DD3" w:rsidRDefault="009A7A54" w:rsidP="007B0DD3">
      <w:pPr>
        <w:pBdr>
          <w:bottom w:val="single" w:sz="12" w:space="1" w:color="auto"/>
        </w:pBdr>
        <w:jc w:val="both"/>
        <w:rPr>
          <w:rFonts w:asciiTheme="minorBidi" w:hAnsiTheme="minorBidi" w:cstheme="minorBidi"/>
          <w:b/>
          <w:bCs/>
        </w:rPr>
      </w:pPr>
    </w:p>
    <w:p w14:paraId="3E3B3A7B" w14:textId="77777777" w:rsidR="009A7A54" w:rsidRPr="007B0DD3" w:rsidRDefault="009A7A54" w:rsidP="007B0DD3">
      <w:pPr>
        <w:pStyle w:val="ListParagraph"/>
        <w:tabs>
          <w:tab w:val="left" w:pos="709"/>
          <w:tab w:val="left" w:pos="1418"/>
        </w:tabs>
        <w:spacing w:line="360" w:lineRule="auto"/>
        <w:ind w:left="0"/>
        <w:jc w:val="both"/>
        <w:rPr>
          <w:rFonts w:asciiTheme="minorBidi" w:hAnsiTheme="minorBidi" w:cstheme="minorBidi"/>
          <w:bCs/>
        </w:rPr>
      </w:pPr>
    </w:p>
    <w:p w14:paraId="013F6385" w14:textId="41C3E8A6" w:rsidR="00E3210D" w:rsidRPr="007B0DD3" w:rsidRDefault="00E3210D" w:rsidP="007B0DD3">
      <w:pPr>
        <w:spacing w:line="360" w:lineRule="auto"/>
        <w:contextualSpacing/>
        <w:jc w:val="both"/>
        <w:rPr>
          <w:rFonts w:asciiTheme="minorBidi" w:hAnsiTheme="minorBidi" w:cstheme="minorBidi"/>
        </w:rPr>
      </w:pPr>
      <w:r w:rsidRPr="007B0DD3">
        <w:rPr>
          <w:rFonts w:asciiTheme="minorBidi" w:hAnsiTheme="minorBidi" w:cstheme="minorBidi"/>
          <w:b/>
        </w:rPr>
        <w:t>On appeal from</w:t>
      </w:r>
      <w:r w:rsidR="00B36810">
        <w:rPr>
          <w:rFonts w:asciiTheme="minorBidi" w:hAnsiTheme="minorBidi" w:cstheme="minorBidi"/>
        </w:rPr>
        <w:t>: T</w:t>
      </w:r>
      <w:r w:rsidRPr="007B0DD3">
        <w:rPr>
          <w:rFonts w:asciiTheme="minorBidi" w:hAnsiTheme="minorBidi" w:cstheme="minorBidi"/>
        </w:rPr>
        <w:t xml:space="preserve">he </w:t>
      </w:r>
      <w:r w:rsidR="00D14071" w:rsidRPr="007B0DD3">
        <w:rPr>
          <w:rFonts w:asciiTheme="minorBidi" w:hAnsiTheme="minorBidi" w:cstheme="minorBidi"/>
        </w:rPr>
        <w:t xml:space="preserve">Tribunal </w:t>
      </w:r>
      <w:r w:rsidRPr="007B0DD3">
        <w:rPr>
          <w:rFonts w:asciiTheme="minorBidi" w:hAnsiTheme="minorBidi" w:cstheme="minorBidi"/>
        </w:rPr>
        <w:t>of the Department of Labour: Compensation Commissioner (sitting as the tribunal of first instance):</w:t>
      </w:r>
    </w:p>
    <w:p w14:paraId="6F6330F7" w14:textId="2D1A5E2A" w:rsidR="00E3210D" w:rsidRPr="00706B3E" w:rsidRDefault="00706B3E" w:rsidP="00706B3E">
      <w:pPr>
        <w:tabs>
          <w:tab w:val="left" w:pos="709"/>
        </w:tabs>
        <w:spacing w:line="360" w:lineRule="auto"/>
        <w:jc w:val="both"/>
        <w:rPr>
          <w:rFonts w:asciiTheme="minorBidi" w:hAnsiTheme="minorBidi" w:cstheme="minorBidi"/>
        </w:rPr>
      </w:pPr>
      <w:r w:rsidRPr="007B0DD3">
        <w:rPr>
          <w:rFonts w:asciiTheme="minorBidi" w:hAnsiTheme="minorBidi" w:cstheme="minorBidi"/>
        </w:rPr>
        <w:t>1.</w:t>
      </w:r>
      <w:r w:rsidRPr="007B0DD3">
        <w:rPr>
          <w:rFonts w:asciiTheme="minorBidi" w:hAnsiTheme="minorBidi" w:cstheme="minorBidi"/>
        </w:rPr>
        <w:tab/>
      </w:r>
      <w:r w:rsidR="00E3210D" w:rsidRPr="00706B3E">
        <w:rPr>
          <w:rFonts w:asciiTheme="minorBidi" w:hAnsiTheme="minorBidi" w:cstheme="minorBidi"/>
        </w:rPr>
        <w:t>The appeal succeeds.</w:t>
      </w:r>
    </w:p>
    <w:p w14:paraId="4B5A542A" w14:textId="2D1F7355" w:rsidR="00E3210D" w:rsidRPr="00706B3E" w:rsidRDefault="00706B3E" w:rsidP="00706B3E">
      <w:pPr>
        <w:tabs>
          <w:tab w:val="left" w:pos="709"/>
        </w:tabs>
        <w:spacing w:line="360" w:lineRule="auto"/>
        <w:ind w:left="709" w:hanging="709"/>
        <w:jc w:val="both"/>
        <w:rPr>
          <w:rFonts w:asciiTheme="minorBidi" w:hAnsiTheme="minorBidi" w:cstheme="minorBidi"/>
        </w:rPr>
      </w:pPr>
      <w:r w:rsidRPr="007B0DD3">
        <w:rPr>
          <w:rFonts w:asciiTheme="minorBidi" w:hAnsiTheme="minorBidi" w:cstheme="minorBidi"/>
        </w:rPr>
        <w:t>2.</w:t>
      </w:r>
      <w:r w:rsidRPr="007B0DD3">
        <w:rPr>
          <w:rFonts w:asciiTheme="minorBidi" w:hAnsiTheme="minorBidi" w:cstheme="minorBidi"/>
        </w:rPr>
        <w:tab/>
      </w:r>
      <w:r w:rsidR="00E3210D" w:rsidRPr="00706B3E">
        <w:rPr>
          <w:rFonts w:asciiTheme="minorBidi" w:hAnsiTheme="minorBidi" w:cstheme="minorBidi"/>
        </w:rPr>
        <w:t xml:space="preserve">The decision of the tribunal dated 4 </w:t>
      </w:r>
      <w:r w:rsidR="00B250EA" w:rsidRPr="00706B3E">
        <w:rPr>
          <w:rFonts w:asciiTheme="minorBidi" w:hAnsiTheme="minorBidi" w:cstheme="minorBidi"/>
        </w:rPr>
        <w:t>M</w:t>
      </w:r>
      <w:r w:rsidR="00E3210D" w:rsidRPr="00706B3E">
        <w:rPr>
          <w:rFonts w:asciiTheme="minorBidi" w:hAnsiTheme="minorBidi" w:cstheme="minorBidi"/>
        </w:rPr>
        <w:t>arch 2022 is set aside and substituted with the following order:</w:t>
      </w:r>
    </w:p>
    <w:p w14:paraId="635BA067" w14:textId="41C0B564" w:rsidR="00E3210D" w:rsidRPr="007B0DD3" w:rsidRDefault="00E3210D" w:rsidP="007B0DD3">
      <w:pPr>
        <w:pStyle w:val="ListParagraph"/>
        <w:tabs>
          <w:tab w:val="left" w:pos="709"/>
        </w:tabs>
        <w:spacing w:line="360" w:lineRule="auto"/>
        <w:ind w:left="709"/>
        <w:jc w:val="both"/>
        <w:rPr>
          <w:rFonts w:asciiTheme="minorBidi" w:hAnsiTheme="minorBidi" w:cstheme="minorBidi"/>
        </w:rPr>
      </w:pPr>
      <w:r w:rsidRPr="007B0DD3">
        <w:rPr>
          <w:rFonts w:asciiTheme="minorBidi" w:hAnsiTheme="minorBidi" w:cstheme="minorBidi"/>
        </w:rPr>
        <w:tab/>
        <w:t xml:space="preserve">‘The Objector’s objection succeeds, with costs on the scale as between </w:t>
      </w:r>
      <w:r w:rsidR="007A1E58">
        <w:rPr>
          <w:rFonts w:asciiTheme="minorBidi" w:hAnsiTheme="minorBidi" w:cstheme="minorBidi"/>
        </w:rPr>
        <w:t xml:space="preserve">party </w:t>
      </w:r>
      <w:r w:rsidRPr="007B0DD3">
        <w:rPr>
          <w:rFonts w:asciiTheme="minorBidi" w:hAnsiTheme="minorBidi" w:cstheme="minorBidi"/>
        </w:rPr>
        <w:t xml:space="preserve">and </w:t>
      </w:r>
      <w:r w:rsidR="007A1E58">
        <w:rPr>
          <w:rFonts w:asciiTheme="minorBidi" w:hAnsiTheme="minorBidi" w:cstheme="minorBidi"/>
        </w:rPr>
        <w:t>party</w:t>
      </w:r>
      <w:r w:rsidRPr="007B0DD3">
        <w:rPr>
          <w:rFonts w:asciiTheme="minorBidi" w:hAnsiTheme="minorBidi" w:cstheme="minorBidi"/>
        </w:rPr>
        <w:t xml:space="preserve">, and the Award of Compensation dated 28 August 2019 is set aside and replaced with the following order: </w:t>
      </w:r>
    </w:p>
    <w:p w14:paraId="4D2584C1" w14:textId="1BBF0482" w:rsidR="00E3210D" w:rsidRPr="00706B3E" w:rsidRDefault="00706B3E" w:rsidP="00706B3E">
      <w:pPr>
        <w:tabs>
          <w:tab w:val="left" w:pos="709"/>
        </w:tabs>
        <w:spacing w:line="360" w:lineRule="auto"/>
        <w:ind w:left="709"/>
        <w:jc w:val="both"/>
        <w:rPr>
          <w:rFonts w:asciiTheme="minorBidi" w:hAnsiTheme="minorBidi" w:cstheme="minorBidi"/>
        </w:rPr>
      </w:pPr>
      <w:r w:rsidRPr="007B0DD3">
        <w:rPr>
          <w:rFonts w:asciiTheme="minorBidi" w:hAnsiTheme="minorBidi" w:cstheme="minorBidi"/>
        </w:rPr>
        <w:lastRenderedPageBreak/>
        <w:t>(a)</w:t>
      </w:r>
      <w:r w:rsidRPr="007B0DD3">
        <w:rPr>
          <w:rFonts w:asciiTheme="minorBidi" w:hAnsiTheme="minorBidi" w:cstheme="minorBidi"/>
        </w:rPr>
        <w:tab/>
      </w:r>
      <w:r w:rsidR="00E3210D" w:rsidRPr="00706B3E">
        <w:rPr>
          <w:rFonts w:asciiTheme="minorBidi" w:hAnsiTheme="minorBidi" w:cstheme="minorBidi"/>
        </w:rPr>
        <w:t>The Compensation Commissioner is ordered to publish to the Objector’s attorneys and to his erstwhile employer</w:t>
      </w:r>
      <w:r w:rsidR="000A7C39" w:rsidRPr="00706B3E">
        <w:rPr>
          <w:rFonts w:asciiTheme="minorBidi" w:hAnsiTheme="minorBidi" w:cstheme="minorBidi"/>
        </w:rPr>
        <w:t xml:space="preserve">, </w:t>
      </w:r>
      <w:r w:rsidR="00E3210D" w:rsidRPr="00706B3E">
        <w:rPr>
          <w:rFonts w:asciiTheme="minorBidi" w:hAnsiTheme="minorBidi" w:cstheme="minorBidi"/>
        </w:rPr>
        <w:t>the S</w:t>
      </w:r>
      <w:r w:rsidR="000A7C39" w:rsidRPr="00706B3E">
        <w:rPr>
          <w:rFonts w:asciiTheme="minorBidi" w:hAnsiTheme="minorBidi" w:cstheme="minorBidi"/>
        </w:rPr>
        <w:t xml:space="preserve">outh </w:t>
      </w:r>
      <w:r w:rsidR="00E3210D" w:rsidRPr="00706B3E">
        <w:rPr>
          <w:rFonts w:asciiTheme="minorBidi" w:hAnsiTheme="minorBidi" w:cstheme="minorBidi"/>
        </w:rPr>
        <w:t>A</w:t>
      </w:r>
      <w:r w:rsidR="000A7C39" w:rsidRPr="00706B3E">
        <w:rPr>
          <w:rFonts w:asciiTheme="minorBidi" w:hAnsiTheme="minorBidi" w:cstheme="minorBidi"/>
        </w:rPr>
        <w:t xml:space="preserve">frican </w:t>
      </w:r>
      <w:r w:rsidR="00E3210D" w:rsidRPr="00706B3E">
        <w:rPr>
          <w:rFonts w:asciiTheme="minorBidi" w:hAnsiTheme="minorBidi" w:cstheme="minorBidi"/>
        </w:rPr>
        <w:t>P</w:t>
      </w:r>
      <w:r w:rsidR="000A7C39" w:rsidRPr="00706B3E">
        <w:rPr>
          <w:rFonts w:asciiTheme="minorBidi" w:hAnsiTheme="minorBidi" w:cstheme="minorBidi"/>
        </w:rPr>
        <w:t xml:space="preserve">olice </w:t>
      </w:r>
      <w:r w:rsidR="00E3210D" w:rsidRPr="00706B3E">
        <w:rPr>
          <w:rFonts w:asciiTheme="minorBidi" w:hAnsiTheme="minorBidi" w:cstheme="minorBidi"/>
        </w:rPr>
        <w:t>S</w:t>
      </w:r>
      <w:r w:rsidR="000A7C39" w:rsidRPr="00706B3E">
        <w:rPr>
          <w:rFonts w:asciiTheme="minorBidi" w:hAnsiTheme="minorBidi" w:cstheme="minorBidi"/>
        </w:rPr>
        <w:t>ervices,</w:t>
      </w:r>
      <w:r w:rsidR="00E3210D" w:rsidRPr="00706B3E">
        <w:rPr>
          <w:rFonts w:asciiTheme="minorBidi" w:hAnsiTheme="minorBidi" w:cstheme="minorBidi"/>
        </w:rPr>
        <w:t xml:space="preserve"> within twenty (20) days of this order, a written Superseding Award of Compensation, in favour of the Objector, in the following terms:</w:t>
      </w:r>
    </w:p>
    <w:p w14:paraId="3362CB30" w14:textId="7A45ED7E" w:rsidR="00E3210D" w:rsidRPr="00706B3E" w:rsidRDefault="00706B3E" w:rsidP="00706B3E">
      <w:pPr>
        <w:tabs>
          <w:tab w:val="left" w:pos="709"/>
        </w:tabs>
        <w:spacing w:line="360" w:lineRule="auto"/>
        <w:ind w:left="1418" w:hanging="709"/>
        <w:jc w:val="both"/>
        <w:rPr>
          <w:rFonts w:asciiTheme="minorBidi" w:hAnsiTheme="minorBidi" w:cstheme="minorBidi"/>
        </w:rPr>
      </w:pPr>
      <w:r w:rsidRPr="007B0DD3">
        <w:rPr>
          <w:rFonts w:asciiTheme="minorBidi" w:hAnsiTheme="minorBidi" w:cstheme="minorBidi"/>
        </w:rPr>
        <w:t>(i)</w:t>
      </w:r>
      <w:r w:rsidRPr="007B0DD3">
        <w:rPr>
          <w:rFonts w:asciiTheme="minorBidi" w:hAnsiTheme="minorBidi" w:cstheme="minorBidi"/>
        </w:rPr>
        <w:tab/>
      </w:r>
      <w:r w:rsidR="0088498F" w:rsidRPr="00706B3E">
        <w:rPr>
          <w:rFonts w:asciiTheme="minorBidi" w:hAnsiTheme="minorBidi" w:cstheme="minorBidi"/>
        </w:rPr>
        <w:t>That his earnings for the purposes of calculating the compensation due to him remains unchanged at R25 088.48;</w:t>
      </w:r>
    </w:p>
    <w:p w14:paraId="7019B991" w14:textId="06A9E220" w:rsidR="0088498F" w:rsidRPr="00706B3E" w:rsidRDefault="00706B3E" w:rsidP="00706B3E">
      <w:pPr>
        <w:tabs>
          <w:tab w:val="left" w:pos="709"/>
        </w:tabs>
        <w:spacing w:line="360" w:lineRule="auto"/>
        <w:ind w:left="1418" w:hanging="709"/>
        <w:jc w:val="both"/>
        <w:rPr>
          <w:rFonts w:asciiTheme="minorBidi" w:hAnsiTheme="minorBidi" w:cstheme="minorBidi"/>
        </w:rPr>
      </w:pPr>
      <w:r w:rsidRPr="007B0DD3">
        <w:rPr>
          <w:rFonts w:asciiTheme="minorBidi" w:hAnsiTheme="minorBidi" w:cstheme="minorBidi"/>
        </w:rPr>
        <w:t>(ii)</w:t>
      </w:r>
      <w:r w:rsidRPr="007B0DD3">
        <w:rPr>
          <w:rFonts w:asciiTheme="minorBidi" w:hAnsiTheme="minorBidi" w:cstheme="minorBidi"/>
        </w:rPr>
        <w:tab/>
      </w:r>
      <w:r w:rsidR="0088498F" w:rsidRPr="00706B3E">
        <w:rPr>
          <w:rFonts w:asciiTheme="minorBidi" w:hAnsiTheme="minorBidi" w:cstheme="minorBidi"/>
        </w:rPr>
        <w:t>That the commencement date of compensation, in the form of a monthly pension, remains unchanged at 14 January 2015;</w:t>
      </w:r>
    </w:p>
    <w:p w14:paraId="25F0D44E" w14:textId="42FBA16A" w:rsidR="0088498F" w:rsidRPr="00706B3E" w:rsidRDefault="00706B3E" w:rsidP="00706B3E">
      <w:pPr>
        <w:tabs>
          <w:tab w:val="left" w:pos="709"/>
        </w:tabs>
        <w:spacing w:line="360" w:lineRule="auto"/>
        <w:ind w:left="1418" w:hanging="709"/>
        <w:jc w:val="both"/>
        <w:rPr>
          <w:rFonts w:asciiTheme="minorBidi" w:hAnsiTheme="minorBidi" w:cstheme="minorBidi"/>
        </w:rPr>
      </w:pPr>
      <w:r w:rsidRPr="007B0DD3">
        <w:rPr>
          <w:rFonts w:asciiTheme="minorBidi" w:hAnsiTheme="minorBidi" w:cstheme="minorBidi"/>
        </w:rPr>
        <w:t>(iii)</w:t>
      </w:r>
      <w:r w:rsidRPr="007B0DD3">
        <w:rPr>
          <w:rFonts w:asciiTheme="minorBidi" w:hAnsiTheme="minorBidi" w:cstheme="minorBidi"/>
        </w:rPr>
        <w:tab/>
      </w:r>
      <w:r w:rsidR="0088498F" w:rsidRPr="00706B3E">
        <w:rPr>
          <w:rFonts w:asciiTheme="minorBidi" w:hAnsiTheme="minorBidi" w:cstheme="minorBidi"/>
        </w:rPr>
        <w:t>That the percentage of the Objector’s disablement is determined at 100 percent;</w:t>
      </w:r>
      <w:bookmarkStart w:id="0" w:name="_GoBack"/>
      <w:bookmarkEnd w:id="0"/>
    </w:p>
    <w:p w14:paraId="59C3A9A4" w14:textId="5D75A8F4" w:rsidR="00E3210D" w:rsidRPr="00706B3E" w:rsidRDefault="00706B3E" w:rsidP="00706B3E">
      <w:pPr>
        <w:tabs>
          <w:tab w:val="left" w:pos="709"/>
        </w:tabs>
        <w:spacing w:line="360" w:lineRule="auto"/>
        <w:ind w:left="1418" w:hanging="709"/>
        <w:jc w:val="both"/>
        <w:rPr>
          <w:rFonts w:asciiTheme="minorBidi" w:hAnsiTheme="minorBidi" w:cstheme="minorBidi"/>
        </w:rPr>
      </w:pPr>
      <w:r w:rsidRPr="007A1E58">
        <w:rPr>
          <w:rFonts w:asciiTheme="minorBidi" w:hAnsiTheme="minorBidi" w:cstheme="minorBidi"/>
        </w:rPr>
        <w:t>(iv)</w:t>
      </w:r>
      <w:r w:rsidRPr="007A1E58">
        <w:rPr>
          <w:rFonts w:asciiTheme="minorBidi" w:hAnsiTheme="minorBidi" w:cstheme="minorBidi"/>
        </w:rPr>
        <w:tab/>
      </w:r>
      <w:r w:rsidR="0088498F" w:rsidRPr="00706B3E">
        <w:rPr>
          <w:rFonts w:asciiTheme="minorBidi" w:hAnsiTheme="minorBidi" w:cstheme="minorBidi"/>
        </w:rPr>
        <w:t>That the annual increases to the monthly pension accrues from 14 January 2015 onward</w:t>
      </w:r>
      <w:r w:rsidR="00D14071" w:rsidRPr="00706B3E">
        <w:rPr>
          <w:rFonts w:asciiTheme="minorBidi" w:hAnsiTheme="minorBidi" w:cstheme="minorBidi"/>
        </w:rPr>
        <w:t>.’</w:t>
      </w:r>
    </w:p>
    <w:p w14:paraId="424FD244" w14:textId="60DE035D" w:rsidR="0088498F" w:rsidRPr="00706B3E" w:rsidRDefault="00706B3E" w:rsidP="00706B3E">
      <w:pPr>
        <w:tabs>
          <w:tab w:val="left" w:pos="709"/>
        </w:tabs>
        <w:spacing w:line="360" w:lineRule="auto"/>
        <w:jc w:val="both"/>
        <w:rPr>
          <w:rFonts w:asciiTheme="minorBidi" w:hAnsiTheme="minorBidi" w:cstheme="minorBidi"/>
        </w:rPr>
      </w:pPr>
      <w:r w:rsidRPr="007B0DD3">
        <w:rPr>
          <w:rFonts w:asciiTheme="minorBidi" w:hAnsiTheme="minorBidi" w:cstheme="minorBidi"/>
        </w:rPr>
        <w:t>3.</w:t>
      </w:r>
      <w:r w:rsidRPr="007B0DD3">
        <w:rPr>
          <w:rFonts w:asciiTheme="minorBidi" w:hAnsiTheme="minorBidi" w:cstheme="minorBidi"/>
        </w:rPr>
        <w:tab/>
      </w:r>
      <w:r w:rsidR="0088498F" w:rsidRPr="00706B3E">
        <w:rPr>
          <w:rFonts w:asciiTheme="minorBidi" w:hAnsiTheme="minorBidi" w:cstheme="minorBidi"/>
        </w:rPr>
        <w:t xml:space="preserve">The respondent shall pay interest at the rate of 10,25 percent on the amount of compensation payable </w:t>
      </w:r>
      <w:r w:rsidR="0088498F" w:rsidRPr="00706B3E">
        <w:rPr>
          <w:rFonts w:asciiTheme="minorBidi" w:hAnsiTheme="minorBidi" w:cstheme="minorBidi"/>
          <w:i/>
        </w:rPr>
        <w:t>a tempore morae</w:t>
      </w:r>
      <w:r w:rsidR="0088498F" w:rsidRPr="00706B3E">
        <w:rPr>
          <w:rFonts w:asciiTheme="minorBidi" w:hAnsiTheme="minorBidi" w:cstheme="minorBidi"/>
        </w:rPr>
        <w:t xml:space="preserve"> (i.e. from the date of the original award on 28 August 2019, to date of payment).</w:t>
      </w:r>
    </w:p>
    <w:p w14:paraId="0B4264CE" w14:textId="5315074F" w:rsidR="0088498F" w:rsidRPr="00706B3E" w:rsidRDefault="00706B3E" w:rsidP="00706B3E">
      <w:pPr>
        <w:tabs>
          <w:tab w:val="left" w:pos="709"/>
        </w:tabs>
        <w:spacing w:line="360" w:lineRule="auto"/>
        <w:jc w:val="both"/>
        <w:rPr>
          <w:rFonts w:asciiTheme="minorBidi" w:hAnsiTheme="minorBidi" w:cstheme="minorBidi"/>
        </w:rPr>
      </w:pPr>
      <w:r w:rsidRPr="007B0DD3">
        <w:rPr>
          <w:rFonts w:asciiTheme="minorBidi" w:hAnsiTheme="minorBidi" w:cstheme="minorBidi"/>
        </w:rPr>
        <w:t>4.</w:t>
      </w:r>
      <w:r w:rsidRPr="007B0DD3">
        <w:rPr>
          <w:rFonts w:asciiTheme="minorBidi" w:hAnsiTheme="minorBidi" w:cstheme="minorBidi"/>
        </w:rPr>
        <w:tab/>
      </w:r>
      <w:r w:rsidR="0088498F" w:rsidRPr="00706B3E">
        <w:rPr>
          <w:rFonts w:asciiTheme="minorBidi" w:hAnsiTheme="minorBidi" w:cstheme="minorBidi"/>
        </w:rPr>
        <w:t xml:space="preserve">The respondent shall pay the costs of the appeal on the scale as between </w:t>
      </w:r>
      <w:r w:rsidR="007A1E58" w:rsidRPr="00706B3E">
        <w:rPr>
          <w:rFonts w:asciiTheme="minorBidi" w:hAnsiTheme="minorBidi" w:cstheme="minorBidi"/>
        </w:rPr>
        <w:t>party</w:t>
      </w:r>
      <w:r w:rsidR="0088498F" w:rsidRPr="00706B3E">
        <w:rPr>
          <w:rFonts w:asciiTheme="minorBidi" w:hAnsiTheme="minorBidi" w:cstheme="minorBidi"/>
        </w:rPr>
        <w:t xml:space="preserve"> and </w:t>
      </w:r>
      <w:r w:rsidR="007A1E58" w:rsidRPr="00706B3E">
        <w:rPr>
          <w:rFonts w:asciiTheme="minorBidi" w:hAnsiTheme="minorBidi" w:cstheme="minorBidi"/>
        </w:rPr>
        <w:t>party</w:t>
      </w:r>
      <w:r w:rsidR="0088498F" w:rsidRPr="00706B3E">
        <w:rPr>
          <w:rFonts w:asciiTheme="minorBidi" w:hAnsiTheme="minorBidi" w:cstheme="minorBidi"/>
        </w:rPr>
        <w:t>, including the costs of two counsel where so employed.</w:t>
      </w:r>
    </w:p>
    <w:p w14:paraId="0D21EE1C" w14:textId="77777777" w:rsidR="009A7A54" w:rsidRPr="007B0DD3" w:rsidRDefault="009A7A54" w:rsidP="007B0DD3">
      <w:pPr>
        <w:pBdr>
          <w:bottom w:val="single" w:sz="12" w:space="1" w:color="auto"/>
        </w:pBdr>
        <w:spacing w:line="360" w:lineRule="auto"/>
        <w:jc w:val="both"/>
        <w:rPr>
          <w:rFonts w:asciiTheme="minorBidi" w:hAnsiTheme="minorBidi" w:cstheme="minorBidi"/>
          <w:b/>
          <w:bCs/>
        </w:rPr>
      </w:pPr>
    </w:p>
    <w:p w14:paraId="69B84F48" w14:textId="77777777" w:rsidR="009A7A54" w:rsidRPr="007B0DD3" w:rsidRDefault="009A7A54" w:rsidP="007B0DD3">
      <w:pPr>
        <w:jc w:val="both"/>
        <w:rPr>
          <w:rFonts w:asciiTheme="minorBidi" w:hAnsiTheme="minorBidi" w:cstheme="minorBidi"/>
          <w:b/>
          <w:bCs/>
        </w:rPr>
      </w:pPr>
    </w:p>
    <w:p w14:paraId="5EC67650" w14:textId="77777777" w:rsidR="009A7A54" w:rsidRPr="007B0DD3" w:rsidRDefault="009A7A54" w:rsidP="007A1E58">
      <w:pPr>
        <w:pBdr>
          <w:bottom w:val="single" w:sz="12" w:space="1" w:color="auto"/>
        </w:pBdr>
        <w:jc w:val="center"/>
        <w:rPr>
          <w:rFonts w:asciiTheme="minorBidi" w:hAnsiTheme="minorBidi" w:cstheme="minorBidi"/>
          <w:b/>
          <w:bCs/>
        </w:rPr>
      </w:pPr>
      <w:r w:rsidRPr="007B0DD3">
        <w:rPr>
          <w:rFonts w:asciiTheme="minorBidi" w:hAnsiTheme="minorBidi" w:cstheme="minorBidi"/>
          <w:b/>
          <w:bCs/>
        </w:rPr>
        <w:t>JUDGMENT</w:t>
      </w:r>
    </w:p>
    <w:p w14:paraId="7EB5D03F" w14:textId="77777777" w:rsidR="009A7A54" w:rsidRPr="007B0DD3" w:rsidRDefault="009A7A54" w:rsidP="007B0DD3">
      <w:pPr>
        <w:pBdr>
          <w:bottom w:val="single" w:sz="12" w:space="1" w:color="auto"/>
        </w:pBdr>
        <w:jc w:val="both"/>
        <w:rPr>
          <w:rFonts w:asciiTheme="minorBidi" w:hAnsiTheme="minorBidi" w:cstheme="minorBidi"/>
          <w:b/>
          <w:bCs/>
        </w:rPr>
      </w:pPr>
    </w:p>
    <w:p w14:paraId="20030463" w14:textId="77777777" w:rsidR="009A7A54" w:rsidRPr="007B0DD3" w:rsidRDefault="009A7A54" w:rsidP="007B0DD3">
      <w:pPr>
        <w:spacing w:line="360" w:lineRule="auto"/>
        <w:jc w:val="both"/>
        <w:rPr>
          <w:rFonts w:asciiTheme="minorBidi" w:hAnsiTheme="minorBidi" w:cstheme="minorBidi"/>
          <w:b/>
          <w:bCs/>
        </w:rPr>
      </w:pPr>
    </w:p>
    <w:p w14:paraId="2ECC1B6A" w14:textId="1C8038E9" w:rsidR="009A7A54" w:rsidRPr="007B0DD3" w:rsidRDefault="00494F53" w:rsidP="007B0DD3">
      <w:pPr>
        <w:spacing w:line="360" w:lineRule="auto"/>
        <w:jc w:val="both"/>
        <w:rPr>
          <w:rFonts w:asciiTheme="minorBidi" w:hAnsiTheme="minorBidi" w:cstheme="minorBidi"/>
          <w:b/>
          <w:bCs/>
        </w:rPr>
      </w:pPr>
      <w:r w:rsidRPr="007B0DD3">
        <w:rPr>
          <w:rFonts w:asciiTheme="minorBidi" w:hAnsiTheme="minorBidi" w:cstheme="minorBidi"/>
          <w:b/>
        </w:rPr>
        <w:t>M</w:t>
      </w:r>
      <w:r w:rsidR="002539A8" w:rsidRPr="007B0DD3">
        <w:rPr>
          <w:rFonts w:asciiTheme="minorBidi" w:hAnsiTheme="minorBidi" w:cstheme="minorBidi"/>
          <w:b/>
        </w:rPr>
        <w:t>OSSOP</w:t>
      </w:r>
      <w:r w:rsidRPr="007B0DD3">
        <w:rPr>
          <w:rFonts w:asciiTheme="minorBidi" w:hAnsiTheme="minorBidi" w:cstheme="minorBidi"/>
          <w:b/>
        </w:rPr>
        <w:t xml:space="preserve"> J </w:t>
      </w:r>
      <w:r w:rsidR="0079709A">
        <w:rPr>
          <w:rFonts w:asciiTheme="minorBidi" w:hAnsiTheme="minorBidi" w:cstheme="minorBidi"/>
          <w:b/>
        </w:rPr>
        <w:t>(</w:t>
      </w:r>
      <w:r w:rsidR="0079709A" w:rsidRPr="007B0DD3">
        <w:rPr>
          <w:rFonts w:asciiTheme="minorBidi" w:hAnsiTheme="minorBidi" w:cstheme="minorBidi"/>
          <w:b/>
        </w:rPr>
        <w:t xml:space="preserve">SMART AJ </w:t>
      </w:r>
      <w:r w:rsidR="009A7A54" w:rsidRPr="007B0DD3">
        <w:rPr>
          <w:rFonts w:asciiTheme="minorBidi" w:hAnsiTheme="minorBidi" w:cstheme="minorBidi"/>
          <w:b/>
        </w:rPr>
        <w:t>concurring)</w:t>
      </w:r>
      <w:r w:rsidR="009A7A54" w:rsidRPr="007B0DD3">
        <w:rPr>
          <w:rFonts w:asciiTheme="minorBidi" w:hAnsiTheme="minorBidi" w:cstheme="minorBidi"/>
          <w:b/>
          <w:bCs/>
        </w:rPr>
        <w:t>:</w:t>
      </w:r>
    </w:p>
    <w:p w14:paraId="674475FD" w14:textId="6E72C11E" w:rsidR="00B250EA" w:rsidRPr="007B0DD3" w:rsidRDefault="00B250EA" w:rsidP="007B0DD3">
      <w:pPr>
        <w:spacing w:line="360" w:lineRule="auto"/>
        <w:jc w:val="both"/>
        <w:rPr>
          <w:rFonts w:asciiTheme="minorBidi" w:hAnsiTheme="minorBidi" w:cstheme="minorBidi"/>
          <w:b/>
          <w:bCs/>
        </w:rPr>
      </w:pPr>
    </w:p>
    <w:p w14:paraId="4367956F" w14:textId="138C44DD" w:rsidR="00C10C01" w:rsidRPr="007B0DD3" w:rsidRDefault="00C10C01" w:rsidP="007B0DD3">
      <w:pPr>
        <w:spacing w:line="360" w:lineRule="auto"/>
        <w:jc w:val="both"/>
        <w:rPr>
          <w:rFonts w:asciiTheme="minorBidi" w:hAnsiTheme="minorBidi" w:cstheme="minorBidi"/>
          <w:b/>
          <w:bCs/>
        </w:rPr>
      </w:pPr>
      <w:r w:rsidRPr="007B0DD3">
        <w:rPr>
          <w:rFonts w:asciiTheme="minorBidi" w:hAnsiTheme="minorBidi" w:cstheme="minorBidi"/>
          <w:b/>
          <w:bCs/>
        </w:rPr>
        <w:t>Introduction</w:t>
      </w:r>
    </w:p>
    <w:p w14:paraId="16805408" w14:textId="3CAEB10E" w:rsidR="00A24B4B"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[1]</w:t>
      </w:r>
      <w:r w:rsidRPr="007B0DD3">
        <w:rPr>
          <w:rFonts w:ascii="Arial" w:hAnsi="Arial" w:cstheme="minorBidi"/>
        </w:rPr>
        <w:tab/>
      </w:r>
      <w:r w:rsidR="00A24B4B" w:rsidRPr="00706B3E">
        <w:rPr>
          <w:rFonts w:asciiTheme="minorBidi" w:hAnsiTheme="minorBidi" w:cstheme="minorBidi"/>
        </w:rPr>
        <w:t>This is an appeal brought in terms of section 91(5)</w:t>
      </w:r>
      <w:r w:rsidR="00A24B4B" w:rsidRPr="00706B3E">
        <w:rPr>
          <w:rFonts w:asciiTheme="minorBidi" w:hAnsiTheme="minorBidi" w:cstheme="minorBidi"/>
          <w:i/>
        </w:rPr>
        <w:t>(a)</w:t>
      </w:r>
      <w:r w:rsidR="00A24B4B" w:rsidRPr="00706B3E">
        <w:rPr>
          <w:rFonts w:asciiTheme="minorBidi" w:hAnsiTheme="minorBidi" w:cstheme="minorBidi"/>
        </w:rPr>
        <w:t xml:space="preserve"> of the Compensation for Occupational Injuries and Diseases Act 130 of 1993 (the Act).</w:t>
      </w:r>
    </w:p>
    <w:p w14:paraId="6DFD7CD8" w14:textId="30AB6F51" w:rsidR="001820E0" w:rsidRPr="007B0DD3" w:rsidRDefault="001820E0" w:rsidP="007B0DD3">
      <w:pPr>
        <w:pStyle w:val="ListParagraph"/>
        <w:tabs>
          <w:tab w:val="left" w:pos="709"/>
        </w:tabs>
        <w:spacing w:line="360" w:lineRule="auto"/>
        <w:ind w:left="0"/>
        <w:jc w:val="both"/>
        <w:rPr>
          <w:rFonts w:asciiTheme="minorBidi" w:hAnsiTheme="minorBidi" w:cstheme="minorBidi"/>
        </w:rPr>
      </w:pPr>
    </w:p>
    <w:p w14:paraId="6B62876B" w14:textId="25226DB4" w:rsidR="001820E0" w:rsidRPr="007B0DD3" w:rsidRDefault="001820E0"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Representation</w:t>
      </w:r>
    </w:p>
    <w:p w14:paraId="433FE1EA" w14:textId="29BCBA88" w:rsidR="001820E0" w:rsidRPr="00706B3E" w:rsidRDefault="00706B3E" w:rsidP="00706B3E">
      <w:pPr>
        <w:tabs>
          <w:tab w:val="left" w:pos="709"/>
        </w:tabs>
        <w:spacing w:line="360" w:lineRule="auto"/>
        <w:jc w:val="both"/>
        <w:rPr>
          <w:rFonts w:asciiTheme="minorBidi" w:hAnsiTheme="minorBidi" w:cstheme="minorBidi"/>
        </w:rPr>
      </w:pPr>
      <w:r w:rsidRPr="00215824">
        <w:rPr>
          <w:rFonts w:ascii="Arial" w:hAnsi="Arial" w:cstheme="minorBidi"/>
        </w:rPr>
        <w:t>[2]</w:t>
      </w:r>
      <w:r w:rsidRPr="00215824">
        <w:rPr>
          <w:rFonts w:ascii="Arial" w:hAnsi="Arial" w:cstheme="minorBidi"/>
        </w:rPr>
        <w:tab/>
      </w:r>
      <w:r w:rsidR="00215824" w:rsidRPr="00706B3E">
        <w:rPr>
          <w:rFonts w:asciiTheme="minorBidi" w:hAnsiTheme="minorBidi" w:cstheme="minorBidi"/>
        </w:rPr>
        <w:t>When the appeal was argued, t</w:t>
      </w:r>
      <w:r w:rsidR="001820E0" w:rsidRPr="00706B3E">
        <w:rPr>
          <w:rFonts w:asciiTheme="minorBidi" w:hAnsiTheme="minorBidi" w:cstheme="minorBidi"/>
        </w:rPr>
        <w:t xml:space="preserve">he appellant was represented by Mr Kruger SC and the respondent was represented by Mr Sibeko. Both counsel are thanked for the assistance that </w:t>
      </w:r>
      <w:r w:rsidR="00215824" w:rsidRPr="00706B3E">
        <w:rPr>
          <w:rFonts w:asciiTheme="minorBidi" w:hAnsiTheme="minorBidi" w:cstheme="minorBidi"/>
        </w:rPr>
        <w:t xml:space="preserve">they </w:t>
      </w:r>
      <w:r w:rsidR="001820E0" w:rsidRPr="00706B3E">
        <w:rPr>
          <w:rFonts w:asciiTheme="minorBidi" w:hAnsiTheme="minorBidi" w:cstheme="minorBidi"/>
        </w:rPr>
        <w:t>provided to the court.</w:t>
      </w:r>
    </w:p>
    <w:p w14:paraId="3C388B2E" w14:textId="41027658" w:rsidR="00A24B4B" w:rsidRDefault="00A24B4B" w:rsidP="007B0DD3">
      <w:pPr>
        <w:pStyle w:val="ListParagraph"/>
        <w:tabs>
          <w:tab w:val="left" w:pos="709"/>
        </w:tabs>
        <w:spacing w:line="360" w:lineRule="auto"/>
        <w:ind w:left="0"/>
        <w:jc w:val="both"/>
        <w:rPr>
          <w:rFonts w:asciiTheme="minorBidi" w:hAnsiTheme="minorBidi" w:cstheme="minorBidi"/>
        </w:rPr>
      </w:pPr>
    </w:p>
    <w:p w14:paraId="1682D48E" w14:textId="77777777" w:rsidR="00215824" w:rsidRPr="007B0DD3" w:rsidRDefault="00215824" w:rsidP="007B0DD3">
      <w:pPr>
        <w:pStyle w:val="ListParagraph"/>
        <w:tabs>
          <w:tab w:val="left" w:pos="709"/>
        </w:tabs>
        <w:spacing w:line="360" w:lineRule="auto"/>
        <w:ind w:left="0"/>
        <w:jc w:val="both"/>
        <w:rPr>
          <w:rFonts w:asciiTheme="minorBidi" w:hAnsiTheme="minorBidi" w:cstheme="minorBidi"/>
        </w:rPr>
      </w:pPr>
    </w:p>
    <w:p w14:paraId="1A58497A" w14:textId="54E77864" w:rsidR="00A24B4B" w:rsidRPr="007B0DD3" w:rsidRDefault="00A24B4B"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lastRenderedPageBreak/>
        <w:t>The accident</w:t>
      </w:r>
    </w:p>
    <w:p w14:paraId="486F6BDD" w14:textId="3B26935B" w:rsidR="00510282"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[3]</w:t>
      </w:r>
      <w:r w:rsidRPr="007B0DD3">
        <w:rPr>
          <w:rFonts w:ascii="Arial" w:hAnsi="Arial" w:cstheme="minorBidi"/>
        </w:rPr>
        <w:tab/>
      </w:r>
      <w:r w:rsidR="002156CD" w:rsidRPr="00706B3E">
        <w:rPr>
          <w:rFonts w:asciiTheme="minorBidi" w:hAnsiTheme="minorBidi" w:cstheme="minorBidi"/>
        </w:rPr>
        <w:t xml:space="preserve">The appellant is a former </w:t>
      </w:r>
      <w:r w:rsidR="007A0DB7" w:rsidRPr="00706B3E">
        <w:rPr>
          <w:rFonts w:asciiTheme="minorBidi" w:hAnsiTheme="minorBidi" w:cstheme="minorBidi"/>
        </w:rPr>
        <w:t>warrant officer employed by</w:t>
      </w:r>
      <w:r w:rsidR="002156CD" w:rsidRPr="00706B3E">
        <w:rPr>
          <w:rFonts w:asciiTheme="minorBidi" w:hAnsiTheme="minorBidi" w:cstheme="minorBidi"/>
        </w:rPr>
        <w:t xml:space="preserve"> the South African Police Service (SAPS), who had served his employer for </w:t>
      </w:r>
      <w:r w:rsidR="00215824" w:rsidRPr="00706B3E">
        <w:rPr>
          <w:rFonts w:asciiTheme="minorBidi" w:hAnsiTheme="minorBidi" w:cstheme="minorBidi"/>
        </w:rPr>
        <w:t xml:space="preserve">some </w:t>
      </w:r>
      <w:r w:rsidR="002156CD" w:rsidRPr="00706B3E">
        <w:rPr>
          <w:rFonts w:asciiTheme="minorBidi" w:hAnsiTheme="minorBidi" w:cstheme="minorBidi"/>
        </w:rPr>
        <w:t>25 years</w:t>
      </w:r>
      <w:r w:rsidR="00CA24BF" w:rsidRPr="00706B3E">
        <w:rPr>
          <w:rFonts w:asciiTheme="minorBidi" w:hAnsiTheme="minorBidi" w:cstheme="minorBidi"/>
        </w:rPr>
        <w:t xml:space="preserve"> before </w:t>
      </w:r>
      <w:r w:rsidR="00510282" w:rsidRPr="00706B3E">
        <w:rPr>
          <w:rFonts w:asciiTheme="minorBidi" w:hAnsiTheme="minorBidi" w:cstheme="minorBidi"/>
        </w:rPr>
        <w:t>a catastrophic event befell him</w:t>
      </w:r>
      <w:r w:rsidR="00A56148" w:rsidRPr="00706B3E">
        <w:rPr>
          <w:rFonts w:asciiTheme="minorBidi" w:hAnsiTheme="minorBidi" w:cstheme="minorBidi"/>
        </w:rPr>
        <w:t xml:space="preserve"> o</w:t>
      </w:r>
      <w:r w:rsidR="002156CD" w:rsidRPr="00706B3E">
        <w:rPr>
          <w:rFonts w:asciiTheme="minorBidi" w:hAnsiTheme="minorBidi" w:cstheme="minorBidi"/>
        </w:rPr>
        <w:t>n 14 January 2015</w:t>
      </w:r>
      <w:r w:rsidR="00A56148" w:rsidRPr="00706B3E">
        <w:rPr>
          <w:rFonts w:asciiTheme="minorBidi" w:hAnsiTheme="minorBidi" w:cstheme="minorBidi"/>
        </w:rPr>
        <w:t>. W</w:t>
      </w:r>
      <w:r w:rsidR="002156CD" w:rsidRPr="00706B3E">
        <w:rPr>
          <w:rFonts w:asciiTheme="minorBidi" w:hAnsiTheme="minorBidi" w:cstheme="minorBidi"/>
        </w:rPr>
        <w:t>hilst he was on his way to serve a protection order, he</w:t>
      </w:r>
      <w:r w:rsidR="00A56148" w:rsidRPr="00706B3E">
        <w:rPr>
          <w:rFonts w:asciiTheme="minorBidi" w:hAnsiTheme="minorBidi" w:cstheme="minorBidi"/>
        </w:rPr>
        <w:t xml:space="preserve"> </w:t>
      </w:r>
      <w:r w:rsidR="002156CD" w:rsidRPr="00706B3E">
        <w:rPr>
          <w:rFonts w:asciiTheme="minorBidi" w:hAnsiTheme="minorBidi" w:cstheme="minorBidi"/>
        </w:rPr>
        <w:t>and his colleague</w:t>
      </w:r>
      <w:r w:rsidR="00A56148" w:rsidRPr="00706B3E">
        <w:rPr>
          <w:rFonts w:asciiTheme="minorBidi" w:hAnsiTheme="minorBidi" w:cstheme="minorBidi"/>
        </w:rPr>
        <w:t>,</w:t>
      </w:r>
      <w:r w:rsidR="002156CD" w:rsidRPr="00706B3E">
        <w:rPr>
          <w:rFonts w:asciiTheme="minorBidi" w:hAnsiTheme="minorBidi" w:cstheme="minorBidi"/>
        </w:rPr>
        <w:t xml:space="preserve"> </w:t>
      </w:r>
      <w:r w:rsidR="000A7C39" w:rsidRPr="00706B3E">
        <w:rPr>
          <w:rFonts w:asciiTheme="minorBidi" w:hAnsiTheme="minorBidi" w:cstheme="minorBidi"/>
        </w:rPr>
        <w:t>with whom he was on duty</w:t>
      </w:r>
      <w:r w:rsidR="00A56148" w:rsidRPr="00706B3E">
        <w:rPr>
          <w:rFonts w:asciiTheme="minorBidi" w:hAnsiTheme="minorBidi" w:cstheme="minorBidi"/>
        </w:rPr>
        <w:t>,</w:t>
      </w:r>
      <w:r w:rsidR="000A7C39" w:rsidRPr="00706B3E">
        <w:rPr>
          <w:rFonts w:asciiTheme="minorBidi" w:hAnsiTheme="minorBidi" w:cstheme="minorBidi"/>
        </w:rPr>
        <w:t xml:space="preserve"> </w:t>
      </w:r>
      <w:r w:rsidR="002156CD" w:rsidRPr="00706B3E">
        <w:rPr>
          <w:rFonts w:asciiTheme="minorBidi" w:hAnsiTheme="minorBidi" w:cstheme="minorBidi"/>
        </w:rPr>
        <w:t xml:space="preserve">were informed by a member of the public that someone was attempting to interfere with a parked motor vehicle a short distance away from where they </w:t>
      </w:r>
      <w:r w:rsidR="00510282" w:rsidRPr="00706B3E">
        <w:rPr>
          <w:rFonts w:asciiTheme="minorBidi" w:hAnsiTheme="minorBidi" w:cstheme="minorBidi"/>
        </w:rPr>
        <w:t xml:space="preserve">then </w:t>
      </w:r>
      <w:r w:rsidR="002156CD" w:rsidRPr="00706B3E">
        <w:rPr>
          <w:rFonts w:asciiTheme="minorBidi" w:hAnsiTheme="minorBidi" w:cstheme="minorBidi"/>
        </w:rPr>
        <w:t xml:space="preserve">were. The appellant </w:t>
      </w:r>
      <w:r w:rsidR="00510282" w:rsidRPr="00706B3E">
        <w:rPr>
          <w:rFonts w:asciiTheme="minorBidi" w:hAnsiTheme="minorBidi" w:cstheme="minorBidi"/>
        </w:rPr>
        <w:t xml:space="preserve">and his colleague </w:t>
      </w:r>
      <w:r w:rsidR="002156CD" w:rsidRPr="00706B3E">
        <w:rPr>
          <w:rFonts w:asciiTheme="minorBidi" w:hAnsiTheme="minorBidi" w:cstheme="minorBidi"/>
        </w:rPr>
        <w:t xml:space="preserve">drove to the </w:t>
      </w:r>
      <w:r w:rsidR="00B0250F" w:rsidRPr="00706B3E">
        <w:rPr>
          <w:rFonts w:asciiTheme="minorBidi" w:hAnsiTheme="minorBidi" w:cstheme="minorBidi"/>
        </w:rPr>
        <w:t xml:space="preserve">place </w:t>
      </w:r>
      <w:r w:rsidR="002156CD" w:rsidRPr="00706B3E">
        <w:rPr>
          <w:rFonts w:asciiTheme="minorBidi" w:hAnsiTheme="minorBidi" w:cstheme="minorBidi"/>
        </w:rPr>
        <w:t xml:space="preserve">described to him </w:t>
      </w:r>
      <w:r w:rsidR="00510282" w:rsidRPr="00706B3E">
        <w:rPr>
          <w:rFonts w:asciiTheme="minorBidi" w:hAnsiTheme="minorBidi" w:cstheme="minorBidi"/>
        </w:rPr>
        <w:t xml:space="preserve">by the member of the public </w:t>
      </w:r>
      <w:r w:rsidR="002156CD" w:rsidRPr="00706B3E">
        <w:rPr>
          <w:rFonts w:asciiTheme="minorBidi" w:hAnsiTheme="minorBidi" w:cstheme="minorBidi"/>
        </w:rPr>
        <w:t xml:space="preserve">and observed two men near a motor vehicle. It appeared as if they were changing the number plate on the motor vehicle. The appellant alighted </w:t>
      </w:r>
      <w:r w:rsidR="007A0DB7" w:rsidRPr="00706B3E">
        <w:rPr>
          <w:rFonts w:asciiTheme="minorBidi" w:hAnsiTheme="minorBidi" w:cstheme="minorBidi"/>
        </w:rPr>
        <w:t xml:space="preserve">from his motor vehicle </w:t>
      </w:r>
      <w:r w:rsidR="002156CD" w:rsidRPr="00706B3E">
        <w:rPr>
          <w:rFonts w:asciiTheme="minorBidi" w:hAnsiTheme="minorBidi" w:cstheme="minorBidi"/>
        </w:rPr>
        <w:t xml:space="preserve">and challenged the two men. One of them produced a firearm and </w:t>
      </w:r>
      <w:r w:rsidR="008E3A5D" w:rsidRPr="00706B3E">
        <w:rPr>
          <w:rFonts w:asciiTheme="minorBidi" w:hAnsiTheme="minorBidi" w:cstheme="minorBidi"/>
        </w:rPr>
        <w:t>fired</w:t>
      </w:r>
      <w:r w:rsidR="002156CD" w:rsidRPr="00706B3E">
        <w:rPr>
          <w:rFonts w:asciiTheme="minorBidi" w:hAnsiTheme="minorBidi" w:cstheme="minorBidi"/>
        </w:rPr>
        <w:t xml:space="preserve"> two shots at him. </w:t>
      </w:r>
      <w:r w:rsidR="00635BB2" w:rsidRPr="00706B3E">
        <w:rPr>
          <w:rFonts w:asciiTheme="minorBidi" w:hAnsiTheme="minorBidi" w:cstheme="minorBidi"/>
        </w:rPr>
        <w:t>The first shot</w:t>
      </w:r>
      <w:r w:rsidR="002156CD" w:rsidRPr="00706B3E">
        <w:rPr>
          <w:rFonts w:asciiTheme="minorBidi" w:hAnsiTheme="minorBidi" w:cstheme="minorBidi"/>
        </w:rPr>
        <w:t xml:space="preserve"> hit the appellant on his right upper abdomen and the second shot ‘whistled past his ear’ and hit the windscreen of </w:t>
      </w:r>
      <w:r w:rsidR="008E3A5D" w:rsidRPr="00706B3E">
        <w:rPr>
          <w:rFonts w:asciiTheme="minorBidi" w:hAnsiTheme="minorBidi" w:cstheme="minorBidi"/>
        </w:rPr>
        <w:t xml:space="preserve">the </w:t>
      </w:r>
      <w:r w:rsidR="00B0250F" w:rsidRPr="00706B3E">
        <w:rPr>
          <w:rFonts w:asciiTheme="minorBidi" w:hAnsiTheme="minorBidi" w:cstheme="minorBidi"/>
        </w:rPr>
        <w:t xml:space="preserve">SAPS </w:t>
      </w:r>
      <w:r w:rsidR="002156CD" w:rsidRPr="00706B3E">
        <w:rPr>
          <w:rFonts w:asciiTheme="minorBidi" w:hAnsiTheme="minorBidi" w:cstheme="minorBidi"/>
        </w:rPr>
        <w:t>v</w:t>
      </w:r>
      <w:r w:rsidR="00332181" w:rsidRPr="00706B3E">
        <w:rPr>
          <w:rFonts w:asciiTheme="minorBidi" w:hAnsiTheme="minorBidi" w:cstheme="minorBidi"/>
        </w:rPr>
        <w:t>ehicle</w:t>
      </w:r>
      <w:r w:rsidR="002156CD" w:rsidRPr="00706B3E">
        <w:rPr>
          <w:rFonts w:asciiTheme="minorBidi" w:hAnsiTheme="minorBidi" w:cstheme="minorBidi"/>
        </w:rPr>
        <w:t xml:space="preserve">, shattering it. </w:t>
      </w:r>
    </w:p>
    <w:p w14:paraId="7589C7E9" w14:textId="77777777" w:rsidR="00510282" w:rsidRPr="007B0DD3" w:rsidRDefault="00510282" w:rsidP="007B0DD3">
      <w:pPr>
        <w:pStyle w:val="ListParagraph"/>
        <w:tabs>
          <w:tab w:val="left" w:pos="709"/>
        </w:tabs>
        <w:spacing w:line="360" w:lineRule="auto"/>
        <w:ind w:left="0"/>
        <w:jc w:val="both"/>
        <w:rPr>
          <w:rFonts w:asciiTheme="minorBidi" w:hAnsiTheme="minorBidi" w:cstheme="minorBidi"/>
        </w:rPr>
      </w:pPr>
    </w:p>
    <w:p w14:paraId="7819E0CB" w14:textId="11DEE53B" w:rsidR="00E53279"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[4]</w:t>
      </w:r>
      <w:r w:rsidRPr="007B0DD3">
        <w:rPr>
          <w:rFonts w:ascii="Arial" w:hAnsi="Arial" w:cstheme="minorBidi"/>
        </w:rPr>
        <w:tab/>
      </w:r>
      <w:r w:rsidR="002156CD" w:rsidRPr="00706B3E">
        <w:rPr>
          <w:rFonts w:asciiTheme="minorBidi" w:hAnsiTheme="minorBidi" w:cstheme="minorBidi"/>
        </w:rPr>
        <w:t xml:space="preserve">According to the appellant, his life was saved by the fact that he </w:t>
      </w:r>
      <w:r w:rsidR="00635BB2" w:rsidRPr="00706B3E">
        <w:rPr>
          <w:rFonts w:asciiTheme="minorBidi" w:hAnsiTheme="minorBidi" w:cstheme="minorBidi"/>
        </w:rPr>
        <w:t>was wearing</w:t>
      </w:r>
      <w:r w:rsidR="002156CD" w:rsidRPr="00706B3E">
        <w:rPr>
          <w:rFonts w:asciiTheme="minorBidi" w:hAnsiTheme="minorBidi" w:cstheme="minorBidi"/>
        </w:rPr>
        <w:t xml:space="preserve"> a bullet proof vest</w:t>
      </w:r>
      <w:r w:rsidR="00736D65" w:rsidRPr="00706B3E">
        <w:rPr>
          <w:rFonts w:asciiTheme="minorBidi" w:hAnsiTheme="minorBidi" w:cstheme="minorBidi"/>
        </w:rPr>
        <w:t xml:space="preserve">, which assisted in absorbing the impact of the bullet that </w:t>
      </w:r>
      <w:r w:rsidR="00332181" w:rsidRPr="00706B3E">
        <w:rPr>
          <w:rFonts w:asciiTheme="minorBidi" w:hAnsiTheme="minorBidi" w:cstheme="minorBidi"/>
        </w:rPr>
        <w:t>struck</w:t>
      </w:r>
      <w:r w:rsidR="00736D65" w:rsidRPr="00706B3E">
        <w:rPr>
          <w:rFonts w:asciiTheme="minorBidi" w:hAnsiTheme="minorBidi" w:cstheme="minorBidi"/>
        </w:rPr>
        <w:t xml:space="preserve"> him</w:t>
      </w:r>
      <w:r w:rsidR="002156CD" w:rsidRPr="00706B3E">
        <w:rPr>
          <w:rFonts w:asciiTheme="minorBidi" w:hAnsiTheme="minorBidi" w:cstheme="minorBidi"/>
        </w:rPr>
        <w:t xml:space="preserve">. After attempting, </w:t>
      </w:r>
      <w:r w:rsidR="000A7C39" w:rsidRPr="00706B3E">
        <w:rPr>
          <w:rFonts w:asciiTheme="minorBidi" w:hAnsiTheme="minorBidi" w:cstheme="minorBidi"/>
        </w:rPr>
        <w:t>but</w:t>
      </w:r>
      <w:r w:rsidR="002156CD" w:rsidRPr="00706B3E">
        <w:rPr>
          <w:rFonts w:asciiTheme="minorBidi" w:hAnsiTheme="minorBidi" w:cstheme="minorBidi"/>
        </w:rPr>
        <w:t xml:space="preserve"> failing, to arrest his attackers, the appellant </w:t>
      </w:r>
      <w:r w:rsidR="007A0DB7" w:rsidRPr="00706B3E">
        <w:rPr>
          <w:rFonts w:asciiTheme="minorBidi" w:hAnsiTheme="minorBidi" w:cstheme="minorBidi"/>
        </w:rPr>
        <w:t xml:space="preserve">was taken to St Augustine’s </w:t>
      </w:r>
      <w:r w:rsidR="0090313E" w:rsidRPr="00706B3E">
        <w:rPr>
          <w:rFonts w:asciiTheme="minorBidi" w:hAnsiTheme="minorBidi" w:cstheme="minorBidi"/>
        </w:rPr>
        <w:t xml:space="preserve">Hospital </w:t>
      </w:r>
      <w:r w:rsidR="007A0DB7" w:rsidRPr="00706B3E">
        <w:rPr>
          <w:rFonts w:asciiTheme="minorBidi" w:hAnsiTheme="minorBidi" w:cstheme="minorBidi"/>
        </w:rPr>
        <w:t xml:space="preserve">in Durban where he was treated for shock and a soft tissue injury to his abdomen. After receiving that treatment, he returned </w:t>
      </w:r>
      <w:r w:rsidR="000A7C39" w:rsidRPr="00706B3E">
        <w:rPr>
          <w:rFonts w:asciiTheme="minorBidi" w:hAnsiTheme="minorBidi" w:cstheme="minorBidi"/>
        </w:rPr>
        <w:t xml:space="preserve">later that same day </w:t>
      </w:r>
      <w:r w:rsidR="007A0DB7" w:rsidRPr="00706B3E">
        <w:rPr>
          <w:rFonts w:asciiTheme="minorBidi" w:hAnsiTheme="minorBidi" w:cstheme="minorBidi"/>
        </w:rPr>
        <w:t>to his police station but was unable to function and was sent home.</w:t>
      </w:r>
      <w:r w:rsidR="002156CD" w:rsidRPr="00706B3E">
        <w:rPr>
          <w:rFonts w:asciiTheme="minorBidi" w:hAnsiTheme="minorBidi" w:cstheme="minorBidi"/>
        </w:rPr>
        <w:t xml:space="preserve"> </w:t>
      </w:r>
      <w:r w:rsidR="000F65E7" w:rsidRPr="00706B3E">
        <w:rPr>
          <w:rFonts w:asciiTheme="minorBidi" w:hAnsiTheme="minorBidi" w:cstheme="minorBidi"/>
        </w:rPr>
        <w:t xml:space="preserve">He </w:t>
      </w:r>
      <w:r w:rsidR="00332181" w:rsidRPr="00706B3E">
        <w:rPr>
          <w:rFonts w:asciiTheme="minorBidi" w:hAnsiTheme="minorBidi" w:cstheme="minorBidi"/>
        </w:rPr>
        <w:t xml:space="preserve">ultimately </w:t>
      </w:r>
      <w:r w:rsidR="000F65E7" w:rsidRPr="00706B3E">
        <w:rPr>
          <w:rFonts w:asciiTheme="minorBidi" w:hAnsiTheme="minorBidi" w:cstheme="minorBidi"/>
        </w:rPr>
        <w:t>never regained his functionality at work and in July 2016</w:t>
      </w:r>
      <w:r w:rsidR="008E3A5D" w:rsidRPr="00706B3E">
        <w:rPr>
          <w:rFonts w:asciiTheme="minorBidi" w:hAnsiTheme="minorBidi" w:cstheme="minorBidi"/>
        </w:rPr>
        <w:t>,</w:t>
      </w:r>
      <w:r w:rsidR="000F65E7" w:rsidRPr="00706B3E">
        <w:rPr>
          <w:rFonts w:asciiTheme="minorBidi" w:hAnsiTheme="minorBidi" w:cstheme="minorBidi"/>
        </w:rPr>
        <w:t xml:space="preserve"> the SAPS determined that he was unfit for further duties and his employment with it was terminated. </w:t>
      </w:r>
    </w:p>
    <w:p w14:paraId="5C5D1DE6" w14:textId="77777777" w:rsidR="007E1275" w:rsidRDefault="007E1275" w:rsidP="007B0DD3">
      <w:pPr>
        <w:pStyle w:val="ListParagraph"/>
        <w:tabs>
          <w:tab w:val="left" w:pos="709"/>
        </w:tabs>
        <w:spacing w:line="360" w:lineRule="auto"/>
        <w:ind w:left="0"/>
        <w:jc w:val="both"/>
        <w:rPr>
          <w:rFonts w:asciiTheme="minorBidi" w:hAnsiTheme="minorBidi" w:cstheme="minorBidi"/>
          <w:b/>
          <w:bCs/>
        </w:rPr>
      </w:pPr>
    </w:p>
    <w:p w14:paraId="2D48E246" w14:textId="63CA20E7" w:rsidR="00A24B4B" w:rsidRPr="007B0DD3" w:rsidRDefault="00A24B4B"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 xml:space="preserve">The appellant’s </w:t>
      </w:r>
      <w:r w:rsidR="001820E0" w:rsidRPr="007B0DD3">
        <w:rPr>
          <w:rFonts w:asciiTheme="minorBidi" w:hAnsiTheme="minorBidi" w:cstheme="minorBidi"/>
          <w:b/>
          <w:bCs/>
        </w:rPr>
        <w:t>condition</w:t>
      </w:r>
      <w:r w:rsidR="007E1275">
        <w:rPr>
          <w:rFonts w:asciiTheme="minorBidi" w:hAnsiTheme="minorBidi" w:cstheme="minorBidi"/>
          <w:b/>
          <w:bCs/>
        </w:rPr>
        <w:t xml:space="preserve"> and treatment</w:t>
      </w:r>
    </w:p>
    <w:p w14:paraId="2AA51319" w14:textId="328595AD" w:rsidR="004959E4" w:rsidRPr="00706B3E" w:rsidRDefault="00706B3E" w:rsidP="00706B3E">
      <w:pPr>
        <w:tabs>
          <w:tab w:val="left" w:pos="709"/>
        </w:tabs>
        <w:spacing w:line="360" w:lineRule="auto"/>
        <w:jc w:val="both"/>
        <w:rPr>
          <w:rFonts w:asciiTheme="minorBidi" w:hAnsiTheme="minorBidi" w:cstheme="minorBidi"/>
        </w:rPr>
      </w:pPr>
      <w:r>
        <w:rPr>
          <w:rFonts w:ascii="Arial" w:hAnsi="Arial" w:cstheme="minorBidi"/>
        </w:rPr>
        <w:t>[5]</w:t>
      </w:r>
      <w:r>
        <w:rPr>
          <w:rFonts w:ascii="Arial" w:hAnsi="Arial" w:cstheme="minorBidi"/>
        </w:rPr>
        <w:tab/>
      </w:r>
      <w:r w:rsidR="002156CD" w:rsidRPr="00706B3E">
        <w:rPr>
          <w:rFonts w:asciiTheme="minorBidi" w:hAnsiTheme="minorBidi" w:cstheme="minorBidi"/>
        </w:rPr>
        <w:t xml:space="preserve">As a </w:t>
      </w:r>
      <w:r w:rsidR="00332181" w:rsidRPr="00706B3E">
        <w:rPr>
          <w:rFonts w:asciiTheme="minorBidi" w:hAnsiTheme="minorBidi" w:cstheme="minorBidi"/>
        </w:rPr>
        <w:t xml:space="preserve">direct </w:t>
      </w:r>
      <w:r w:rsidR="002156CD" w:rsidRPr="00706B3E">
        <w:rPr>
          <w:rFonts w:asciiTheme="minorBidi" w:hAnsiTheme="minorBidi" w:cstheme="minorBidi"/>
        </w:rPr>
        <w:t xml:space="preserve">result of </w:t>
      </w:r>
      <w:r w:rsidR="000A7C39" w:rsidRPr="00706B3E">
        <w:rPr>
          <w:rFonts w:asciiTheme="minorBidi" w:hAnsiTheme="minorBidi" w:cstheme="minorBidi"/>
        </w:rPr>
        <w:t>the events o</w:t>
      </w:r>
      <w:r w:rsidR="007E1275" w:rsidRPr="00706B3E">
        <w:rPr>
          <w:rFonts w:asciiTheme="minorBidi" w:hAnsiTheme="minorBidi" w:cstheme="minorBidi"/>
        </w:rPr>
        <w:t>f</w:t>
      </w:r>
      <w:r w:rsidR="000A7C39" w:rsidRPr="00706B3E">
        <w:rPr>
          <w:rFonts w:asciiTheme="minorBidi" w:hAnsiTheme="minorBidi" w:cstheme="minorBidi"/>
        </w:rPr>
        <w:t xml:space="preserve"> 14 January 2015</w:t>
      </w:r>
      <w:r w:rsidR="007E1275" w:rsidRPr="00706B3E">
        <w:rPr>
          <w:rFonts w:asciiTheme="minorBidi" w:hAnsiTheme="minorBidi" w:cstheme="minorBidi"/>
        </w:rPr>
        <w:t>,</w:t>
      </w:r>
      <w:r w:rsidR="00B311D8" w:rsidRPr="00706B3E">
        <w:rPr>
          <w:rFonts w:asciiTheme="minorBidi" w:hAnsiTheme="minorBidi" w:cstheme="minorBidi"/>
        </w:rPr>
        <w:t xml:space="preserve"> </w:t>
      </w:r>
      <w:r w:rsidR="002156CD" w:rsidRPr="00706B3E">
        <w:rPr>
          <w:rFonts w:asciiTheme="minorBidi" w:hAnsiTheme="minorBidi" w:cstheme="minorBidi"/>
        </w:rPr>
        <w:t xml:space="preserve">the appellant </w:t>
      </w:r>
      <w:r w:rsidR="007A0DB7" w:rsidRPr="00706B3E">
        <w:rPr>
          <w:rFonts w:asciiTheme="minorBidi" w:hAnsiTheme="minorBidi" w:cstheme="minorBidi"/>
        </w:rPr>
        <w:t xml:space="preserve">sought </w:t>
      </w:r>
      <w:r w:rsidR="00635BB2" w:rsidRPr="00706B3E">
        <w:rPr>
          <w:rFonts w:asciiTheme="minorBidi" w:hAnsiTheme="minorBidi" w:cstheme="minorBidi"/>
        </w:rPr>
        <w:t>further medical treatment after he was treated at St Augustine’s Hospital. On 16 January 2015, he consulted with his general practitioner</w:t>
      </w:r>
      <w:r w:rsidR="007E1275" w:rsidRPr="00706B3E">
        <w:rPr>
          <w:rFonts w:asciiTheme="minorBidi" w:hAnsiTheme="minorBidi" w:cstheme="minorBidi"/>
        </w:rPr>
        <w:t xml:space="preserve">, who referred him to a specialist psychiatrist, Dr Vasavan Agambaram (Dr Agambaram). Dr Agambaram </w:t>
      </w:r>
      <w:r w:rsidR="004959E4" w:rsidRPr="00706B3E">
        <w:rPr>
          <w:rFonts w:asciiTheme="minorBidi" w:hAnsiTheme="minorBidi" w:cstheme="minorBidi"/>
        </w:rPr>
        <w:t>diagnosed him as suffering from</w:t>
      </w:r>
      <w:r w:rsidR="007E1275" w:rsidRPr="00706B3E">
        <w:rPr>
          <w:rFonts w:asciiTheme="minorBidi" w:hAnsiTheme="minorBidi" w:cstheme="minorBidi"/>
        </w:rPr>
        <w:t xml:space="preserve"> Post Traumatic Stress Disorder (PTSD)</w:t>
      </w:r>
      <w:r w:rsidR="004959E4" w:rsidRPr="00706B3E">
        <w:rPr>
          <w:rFonts w:asciiTheme="minorBidi" w:hAnsiTheme="minorBidi" w:cstheme="minorBidi"/>
        </w:rPr>
        <w:t xml:space="preserve"> and treated him for that condition</w:t>
      </w:r>
      <w:r w:rsidR="007E1275" w:rsidRPr="00706B3E">
        <w:rPr>
          <w:rFonts w:asciiTheme="minorBidi" w:hAnsiTheme="minorBidi" w:cstheme="minorBidi"/>
        </w:rPr>
        <w:t xml:space="preserve">. In February 2015, the appellant was admitted to </w:t>
      </w:r>
      <w:r w:rsidR="004959E4" w:rsidRPr="00706B3E">
        <w:rPr>
          <w:rFonts w:asciiTheme="minorBidi" w:hAnsiTheme="minorBidi" w:cstheme="minorBidi"/>
        </w:rPr>
        <w:t>the M-Care Private H</w:t>
      </w:r>
      <w:r w:rsidR="007E1275" w:rsidRPr="00706B3E">
        <w:rPr>
          <w:rFonts w:asciiTheme="minorBidi" w:hAnsiTheme="minorBidi" w:cstheme="minorBidi"/>
        </w:rPr>
        <w:t xml:space="preserve">ospital for </w:t>
      </w:r>
      <w:r w:rsidR="004959E4" w:rsidRPr="00706B3E">
        <w:rPr>
          <w:rFonts w:asciiTheme="minorBidi" w:hAnsiTheme="minorBidi" w:cstheme="minorBidi"/>
        </w:rPr>
        <w:t>treatment by a multi-disciplinary team, including therapy by an industrial psychologist, Dr A Moola.</w:t>
      </w:r>
    </w:p>
    <w:p w14:paraId="78C840FD" w14:textId="77777777" w:rsidR="004959E4" w:rsidRDefault="004959E4" w:rsidP="004959E4">
      <w:pPr>
        <w:pStyle w:val="ListParagraph"/>
        <w:tabs>
          <w:tab w:val="left" w:pos="709"/>
        </w:tabs>
        <w:spacing w:line="360" w:lineRule="auto"/>
        <w:ind w:left="0"/>
        <w:jc w:val="both"/>
        <w:rPr>
          <w:rFonts w:asciiTheme="minorBidi" w:hAnsiTheme="minorBidi" w:cstheme="minorBidi"/>
        </w:rPr>
      </w:pPr>
    </w:p>
    <w:p w14:paraId="126496C1" w14:textId="5664277C" w:rsidR="007E1275" w:rsidRPr="00706B3E" w:rsidRDefault="00706B3E" w:rsidP="00706B3E">
      <w:pPr>
        <w:tabs>
          <w:tab w:val="left" w:pos="709"/>
        </w:tabs>
        <w:spacing w:line="360" w:lineRule="auto"/>
        <w:jc w:val="both"/>
        <w:rPr>
          <w:rFonts w:asciiTheme="minorBidi" w:hAnsiTheme="minorBidi" w:cstheme="minorBidi"/>
        </w:rPr>
      </w:pPr>
      <w:r w:rsidRPr="007E1275">
        <w:rPr>
          <w:rFonts w:ascii="Arial" w:hAnsi="Arial" w:cstheme="minorBidi"/>
        </w:rPr>
        <w:lastRenderedPageBreak/>
        <w:t>[6]</w:t>
      </w:r>
      <w:r w:rsidRPr="007E1275">
        <w:rPr>
          <w:rFonts w:ascii="Arial" w:hAnsi="Arial" w:cstheme="minorBidi"/>
        </w:rPr>
        <w:tab/>
      </w:r>
      <w:r w:rsidR="004959E4" w:rsidRPr="00706B3E">
        <w:rPr>
          <w:rFonts w:asciiTheme="minorBidi" w:hAnsiTheme="minorBidi" w:cstheme="minorBidi"/>
        </w:rPr>
        <w:t xml:space="preserve">The appellant did not respond well to the treatment that he received. Accordingly, </w:t>
      </w:r>
      <w:r w:rsidR="005672C8" w:rsidRPr="00706B3E">
        <w:rPr>
          <w:rFonts w:asciiTheme="minorBidi" w:hAnsiTheme="minorBidi" w:cstheme="minorBidi"/>
        </w:rPr>
        <w:t>i</w:t>
      </w:r>
      <w:r w:rsidR="007E1275" w:rsidRPr="00706B3E">
        <w:rPr>
          <w:rFonts w:asciiTheme="minorBidi" w:hAnsiTheme="minorBidi" w:cstheme="minorBidi"/>
        </w:rPr>
        <w:t xml:space="preserve">n March 2015, </w:t>
      </w:r>
      <w:r w:rsidR="004959E4" w:rsidRPr="00706B3E">
        <w:rPr>
          <w:rFonts w:asciiTheme="minorBidi" w:hAnsiTheme="minorBidi" w:cstheme="minorBidi"/>
        </w:rPr>
        <w:t>he was admitted to Life St Joseph’s Hospital for further treatment, which included</w:t>
      </w:r>
      <w:r w:rsidR="007E1275" w:rsidRPr="00706B3E">
        <w:rPr>
          <w:rFonts w:asciiTheme="minorBidi" w:hAnsiTheme="minorBidi" w:cstheme="minorBidi"/>
        </w:rPr>
        <w:t xml:space="preserve"> a course of six electro-convulsive therapies. </w:t>
      </w:r>
      <w:r w:rsidR="00EE1A58" w:rsidRPr="00706B3E">
        <w:rPr>
          <w:rFonts w:asciiTheme="minorBidi" w:hAnsiTheme="minorBidi" w:cstheme="minorBidi"/>
        </w:rPr>
        <w:t>After his discharge from that institution, h</w:t>
      </w:r>
      <w:r w:rsidR="007E1275" w:rsidRPr="00706B3E">
        <w:rPr>
          <w:rFonts w:asciiTheme="minorBidi" w:hAnsiTheme="minorBidi" w:cstheme="minorBidi"/>
        </w:rPr>
        <w:t xml:space="preserve">e </w:t>
      </w:r>
      <w:r w:rsidR="00EE1A58" w:rsidRPr="00706B3E">
        <w:rPr>
          <w:rFonts w:asciiTheme="minorBidi" w:hAnsiTheme="minorBidi" w:cstheme="minorBidi"/>
        </w:rPr>
        <w:t>returned</w:t>
      </w:r>
      <w:r w:rsidR="007E1275" w:rsidRPr="00706B3E">
        <w:rPr>
          <w:rFonts w:asciiTheme="minorBidi" w:hAnsiTheme="minorBidi" w:cstheme="minorBidi"/>
        </w:rPr>
        <w:t xml:space="preserve"> to work </w:t>
      </w:r>
      <w:r w:rsidR="00EE1A58" w:rsidRPr="00706B3E">
        <w:rPr>
          <w:rFonts w:asciiTheme="minorBidi" w:hAnsiTheme="minorBidi" w:cstheme="minorBidi"/>
        </w:rPr>
        <w:t>o</w:t>
      </w:r>
      <w:r w:rsidR="007E1275" w:rsidRPr="00706B3E">
        <w:rPr>
          <w:rFonts w:asciiTheme="minorBidi" w:hAnsiTheme="minorBidi" w:cstheme="minorBidi"/>
        </w:rPr>
        <w:t>n</w:t>
      </w:r>
      <w:r w:rsidR="00EE1A58" w:rsidRPr="00706B3E">
        <w:rPr>
          <w:rFonts w:asciiTheme="minorBidi" w:hAnsiTheme="minorBidi" w:cstheme="minorBidi"/>
        </w:rPr>
        <w:t xml:space="preserve"> 1</w:t>
      </w:r>
      <w:r w:rsidR="007E1275" w:rsidRPr="00706B3E">
        <w:rPr>
          <w:rFonts w:asciiTheme="minorBidi" w:hAnsiTheme="minorBidi" w:cstheme="minorBidi"/>
        </w:rPr>
        <w:t xml:space="preserve"> April 2015</w:t>
      </w:r>
      <w:r w:rsidR="00EE1A58" w:rsidRPr="00706B3E">
        <w:rPr>
          <w:rFonts w:asciiTheme="minorBidi" w:hAnsiTheme="minorBidi" w:cstheme="minorBidi"/>
        </w:rPr>
        <w:t>.</w:t>
      </w:r>
      <w:r w:rsidR="00F008DE" w:rsidRPr="00706B3E">
        <w:rPr>
          <w:rFonts w:asciiTheme="minorBidi" w:hAnsiTheme="minorBidi" w:cstheme="minorBidi"/>
        </w:rPr>
        <w:t xml:space="preserve"> </w:t>
      </w:r>
      <w:r w:rsidR="00EE1A58" w:rsidRPr="00706B3E">
        <w:rPr>
          <w:rFonts w:asciiTheme="minorBidi" w:hAnsiTheme="minorBidi" w:cstheme="minorBidi"/>
        </w:rPr>
        <w:t xml:space="preserve">However, the symptoms that he experienced were exacerbated by his exposure to his former work environment and he managed only </w:t>
      </w:r>
      <w:r w:rsidR="005672C8" w:rsidRPr="00706B3E">
        <w:rPr>
          <w:rFonts w:asciiTheme="minorBidi" w:hAnsiTheme="minorBidi" w:cstheme="minorBidi"/>
        </w:rPr>
        <w:t xml:space="preserve">one </w:t>
      </w:r>
      <w:r w:rsidR="00EE1A58" w:rsidRPr="00706B3E">
        <w:rPr>
          <w:rFonts w:asciiTheme="minorBidi" w:hAnsiTheme="minorBidi" w:cstheme="minorBidi"/>
        </w:rPr>
        <w:t>day at work.</w:t>
      </w:r>
    </w:p>
    <w:p w14:paraId="68FD6C5C" w14:textId="46BEC291" w:rsidR="00635BB2" w:rsidRDefault="00635BB2" w:rsidP="00EE1A58">
      <w:pPr>
        <w:pStyle w:val="ListParagraph"/>
        <w:tabs>
          <w:tab w:val="left" w:pos="709"/>
        </w:tabs>
        <w:spacing w:line="360" w:lineRule="auto"/>
        <w:ind w:left="0"/>
        <w:jc w:val="both"/>
        <w:rPr>
          <w:rFonts w:asciiTheme="minorBidi" w:hAnsiTheme="minorBidi" w:cstheme="minorBidi"/>
        </w:rPr>
      </w:pPr>
    </w:p>
    <w:p w14:paraId="4DA9CA35" w14:textId="4D9BCB64" w:rsidR="00B311D8" w:rsidRPr="00706B3E" w:rsidRDefault="00706B3E" w:rsidP="00706B3E">
      <w:pPr>
        <w:tabs>
          <w:tab w:val="left" w:pos="709"/>
        </w:tabs>
        <w:spacing w:line="360" w:lineRule="auto"/>
        <w:jc w:val="both"/>
        <w:rPr>
          <w:rFonts w:asciiTheme="minorBidi" w:hAnsiTheme="minorBidi" w:cstheme="minorBidi"/>
        </w:rPr>
      </w:pPr>
      <w:r>
        <w:rPr>
          <w:rFonts w:ascii="Arial" w:hAnsi="Arial" w:cstheme="minorBidi"/>
        </w:rPr>
        <w:t>[7]</w:t>
      </w:r>
      <w:r>
        <w:rPr>
          <w:rFonts w:ascii="Arial" w:hAnsi="Arial" w:cstheme="minorBidi"/>
        </w:rPr>
        <w:tab/>
      </w:r>
      <w:r w:rsidR="00EE1A58" w:rsidRPr="00706B3E">
        <w:rPr>
          <w:rFonts w:asciiTheme="minorBidi" w:hAnsiTheme="minorBidi" w:cstheme="minorBidi"/>
        </w:rPr>
        <w:t>During October 2015, the appellant sought a further opinion on his condition</w:t>
      </w:r>
      <w:r w:rsidR="0097424E" w:rsidRPr="00706B3E">
        <w:rPr>
          <w:rFonts w:asciiTheme="minorBidi" w:hAnsiTheme="minorBidi" w:cstheme="minorBidi"/>
        </w:rPr>
        <w:t xml:space="preserve"> and</w:t>
      </w:r>
      <w:r w:rsidR="00EE1A58" w:rsidRPr="00706B3E">
        <w:rPr>
          <w:rFonts w:asciiTheme="minorBidi" w:hAnsiTheme="minorBidi" w:cstheme="minorBidi"/>
        </w:rPr>
        <w:t xml:space="preserve"> </w:t>
      </w:r>
      <w:r w:rsidR="00F03338" w:rsidRPr="00706B3E">
        <w:rPr>
          <w:rFonts w:asciiTheme="minorBidi" w:hAnsiTheme="minorBidi" w:cstheme="minorBidi"/>
        </w:rPr>
        <w:t>consulted with</w:t>
      </w:r>
      <w:r w:rsidR="007A0DB7" w:rsidRPr="00706B3E">
        <w:rPr>
          <w:rFonts w:asciiTheme="minorBidi" w:hAnsiTheme="minorBidi" w:cstheme="minorBidi"/>
        </w:rPr>
        <w:t xml:space="preserve"> a </w:t>
      </w:r>
      <w:r w:rsidR="00EE1A58" w:rsidRPr="00706B3E">
        <w:rPr>
          <w:rFonts w:asciiTheme="minorBidi" w:hAnsiTheme="minorBidi" w:cstheme="minorBidi"/>
        </w:rPr>
        <w:t xml:space="preserve">different </w:t>
      </w:r>
      <w:r w:rsidR="007A0DB7" w:rsidRPr="00706B3E">
        <w:rPr>
          <w:rFonts w:asciiTheme="minorBidi" w:hAnsiTheme="minorBidi" w:cstheme="minorBidi"/>
        </w:rPr>
        <w:t xml:space="preserve">psychiatrist, </w:t>
      </w:r>
      <w:r w:rsidR="00EE1A58" w:rsidRPr="00706B3E">
        <w:rPr>
          <w:rFonts w:asciiTheme="minorBidi" w:hAnsiTheme="minorBidi" w:cstheme="minorBidi"/>
        </w:rPr>
        <w:t xml:space="preserve">namely </w:t>
      </w:r>
      <w:r w:rsidR="007A0DB7" w:rsidRPr="00706B3E">
        <w:rPr>
          <w:rFonts w:asciiTheme="minorBidi" w:hAnsiTheme="minorBidi" w:cstheme="minorBidi"/>
        </w:rPr>
        <w:t xml:space="preserve">Dr </w:t>
      </w:r>
      <w:r w:rsidR="00CA24BF" w:rsidRPr="00706B3E">
        <w:rPr>
          <w:rFonts w:asciiTheme="minorBidi" w:hAnsiTheme="minorBidi" w:cstheme="minorBidi"/>
        </w:rPr>
        <w:t xml:space="preserve">A T </w:t>
      </w:r>
      <w:r w:rsidR="007A0DB7" w:rsidRPr="00706B3E">
        <w:rPr>
          <w:rFonts w:asciiTheme="minorBidi" w:hAnsiTheme="minorBidi" w:cstheme="minorBidi"/>
        </w:rPr>
        <w:t>Barrett</w:t>
      </w:r>
      <w:r w:rsidR="0072695F" w:rsidRPr="00706B3E">
        <w:rPr>
          <w:rFonts w:asciiTheme="minorBidi" w:hAnsiTheme="minorBidi" w:cstheme="minorBidi"/>
        </w:rPr>
        <w:t xml:space="preserve"> (Dr Barrett)</w:t>
      </w:r>
      <w:r w:rsidR="007A0DB7" w:rsidRPr="00706B3E">
        <w:rPr>
          <w:rFonts w:asciiTheme="minorBidi" w:hAnsiTheme="minorBidi" w:cstheme="minorBidi"/>
        </w:rPr>
        <w:t xml:space="preserve">, who </w:t>
      </w:r>
      <w:r w:rsidR="00EE1A58" w:rsidRPr="00706B3E">
        <w:rPr>
          <w:rFonts w:asciiTheme="minorBidi" w:hAnsiTheme="minorBidi" w:cstheme="minorBidi"/>
        </w:rPr>
        <w:t>confirmed that he was suffering from PTSD.</w:t>
      </w:r>
      <w:r w:rsidR="00F008DE" w:rsidRPr="00706B3E">
        <w:rPr>
          <w:rFonts w:asciiTheme="minorBidi" w:hAnsiTheme="minorBidi" w:cstheme="minorBidi"/>
        </w:rPr>
        <w:t xml:space="preserve"> </w:t>
      </w:r>
      <w:r w:rsidR="00EE1A58" w:rsidRPr="00706B3E">
        <w:rPr>
          <w:rFonts w:asciiTheme="minorBidi" w:hAnsiTheme="minorBidi" w:cstheme="minorBidi"/>
        </w:rPr>
        <w:t xml:space="preserve">Dr Barrett noted that the appellant </w:t>
      </w:r>
      <w:r w:rsidR="00F03338" w:rsidRPr="00706B3E">
        <w:rPr>
          <w:rFonts w:asciiTheme="minorBidi" w:hAnsiTheme="minorBidi" w:cstheme="minorBidi"/>
        </w:rPr>
        <w:t xml:space="preserve">had no prior psychiatric history. </w:t>
      </w:r>
      <w:r w:rsidR="00EE1A58" w:rsidRPr="00706B3E">
        <w:rPr>
          <w:rFonts w:asciiTheme="minorBidi" w:hAnsiTheme="minorBidi" w:cstheme="minorBidi"/>
        </w:rPr>
        <w:t>She</w:t>
      </w:r>
      <w:r w:rsidR="00B311D8" w:rsidRPr="00706B3E">
        <w:rPr>
          <w:rFonts w:asciiTheme="minorBidi" w:hAnsiTheme="minorBidi" w:cstheme="minorBidi"/>
        </w:rPr>
        <w:t xml:space="preserve"> found him to be significantly impaired in his functioning and proposed that he be regarded as temporarily disabled for a period of six months to assess whether his condition </w:t>
      </w:r>
      <w:r w:rsidR="00E13FCF" w:rsidRPr="00706B3E">
        <w:rPr>
          <w:rFonts w:asciiTheme="minorBidi" w:hAnsiTheme="minorBidi" w:cstheme="minorBidi"/>
        </w:rPr>
        <w:t>would improve over this period.</w:t>
      </w:r>
    </w:p>
    <w:p w14:paraId="6462520E" w14:textId="77777777" w:rsidR="00EE1A58" w:rsidRPr="007B0DD3" w:rsidRDefault="00EE1A58" w:rsidP="00EE1A58">
      <w:pPr>
        <w:pStyle w:val="ListParagraph"/>
        <w:tabs>
          <w:tab w:val="left" w:pos="709"/>
        </w:tabs>
        <w:spacing w:line="360" w:lineRule="auto"/>
        <w:ind w:left="0"/>
        <w:jc w:val="both"/>
        <w:rPr>
          <w:rFonts w:asciiTheme="minorBidi" w:hAnsiTheme="minorBidi" w:cstheme="minorBidi"/>
        </w:rPr>
      </w:pPr>
    </w:p>
    <w:p w14:paraId="3D697B77" w14:textId="26E1B1D2" w:rsidR="00E13FCF" w:rsidRPr="00706B3E" w:rsidRDefault="00706B3E" w:rsidP="00706B3E">
      <w:pPr>
        <w:tabs>
          <w:tab w:val="left" w:pos="709"/>
        </w:tabs>
        <w:spacing w:line="360" w:lineRule="auto"/>
        <w:jc w:val="both"/>
        <w:rPr>
          <w:rFonts w:asciiTheme="minorBidi" w:hAnsiTheme="minorBidi" w:cstheme="minorBidi"/>
        </w:rPr>
      </w:pPr>
      <w:r w:rsidRPr="00B340CA">
        <w:rPr>
          <w:rFonts w:ascii="Arial" w:hAnsi="Arial" w:cstheme="minorBidi"/>
        </w:rPr>
        <w:t>[8]</w:t>
      </w:r>
      <w:r w:rsidRPr="00B340CA">
        <w:rPr>
          <w:rFonts w:ascii="Arial" w:hAnsi="Arial" w:cstheme="minorBidi"/>
        </w:rPr>
        <w:tab/>
      </w:r>
      <w:r w:rsidR="00006E7C" w:rsidRPr="00706B3E">
        <w:rPr>
          <w:rFonts w:asciiTheme="minorBidi" w:hAnsiTheme="minorBidi" w:cstheme="minorBidi"/>
        </w:rPr>
        <w:t>During the same month, October 2015, t</w:t>
      </w:r>
      <w:r w:rsidR="00F03338" w:rsidRPr="00706B3E">
        <w:rPr>
          <w:rFonts w:asciiTheme="minorBidi" w:hAnsiTheme="minorBidi" w:cstheme="minorBidi"/>
        </w:rPr>
        <w:t>he appellant</w:t>
      </w:r>
      <w:r w:rsidR="00800799" w:rsidRPr="00706B3E">
        <w:rPr>
          <w:rFonts w:asciiTheme="minorBidi" w:hAnsiTheme="minorBidi" w:cstheme="minorBidi"/>
        </w:rPr>
        <w:t xml:space="preserve"> saw an occupational therapist, a Ms </w:t>
      </w:r>
      <w:r w:rsidR="00CA24BF" w:rsidRPr="00706B3E">
        <w:rPr>
          <w:rFonts w:asciiTheme="minorBidi" w:hAnsiTheme="minorBidi" w:cstheme="minorBidi"/>
        </w:rPr>
        <w:t xml:space="preserve">D </w:t>
      </w:r>
      <w:r w:rsidR="00800799" w:rsidRPr="00706B3E">
        <w:rPr>
          <w:rFonts w:asciiTheme="minorBidi" w:hAnsiTheme="minorBidi" w:cstheme="minorBidi"/>
        </w:rPr>
        <w:t>Pillay</w:t>
      </w:r>
      <w:r w:rsidR="0072695F" w:rsidRPr="00706B3E">
        <w:rPr>
          <w:rFonts w:asciiTheme="minorBidi" w:hAnsiTheme="minorBidi" w:cstheme="minorBidi"/>
        </w:rPr>
        <w:t xml:space="preserve"> (Ms Pillay)</w:t>
      </w:r>
      <w:r w:rsidR="00800799" w:rsidRPr="00706B3E">
        <w:rPr>
          <w:rFonts w:asciiTheme="minorBidi" w:hAnsiTheme="minorBidi" w:cstheme="minorBidi"/>
        </w:rPr>
        <w:t xml:space="preserve">, who confirmed </w:t>
      </w:r>
      <w:r w:rsidR="00B340CA" w:rsidRPr="00706B3E">
        <w:rPr>
          <w:rFonts w:asciiTheme="minorBidi" w:hAnsiTheme="minorBidi" w:cstheme="minorBidi"/>
        </w:rPr>
        <w:t>the diagnosis of Drs Agambaram and Barrett.</w:t>
      </w:r>
      <w:r w:rsidR="00006E7C" w:rsidRPr="00706B3E">
        <w:rPr>
          <w:rFonts w:asciiTheme="minorBidi" w:hAnsiTheme="minorBidi" w:cstheme="minorBidi"/>
        </w:rPr>
        <w:t xml:space="preserve"> She found that the appellant had been exposed to a traumatic event, namely the events </w:t>
      </w:r>
      <w:r w:rsidR="0072695F" w:rsidRPr="00706B3E">
        <w:rPr>
          <w:rFonts w:asciiTheme="minorBidi" w:hAnsiTheme="minorBidi" w:cstheme="minorBidi"/>
        </w:rPr>
        <w:t xml:space="preserve">that occurred on </w:t>
      </w:r>
      <w:r w:rsidR="00006E7C" w:rsidRPr="00706B3E">
        <w:rPr>
          <w:rFonts w:asciiTheme="minorBidi" w:hAnsiTheme="minorBidi" w:cstheme="minorBidi"/>
        </w:rPr>
        <w:t xml:space="preserve">14 January 2015. </w:t>
      </w:r>
      <w:r w:rsidR="0072695F" w:rsidRPr="00706B3E">
        <w:rPr>
          <w:rFonts w:asciiTheme="minorBidi" w:hAnsiTheme="minorBidi" w:cstheme="minorBidi"/>
        </w:rPr>
        <w:t>Ms Pillay</w:t>
      </w:r>
      <w:r w:rsidR="00006E7C" w:rsidRPr="00706B3E">
        <w:rPr>
          <w:rFonts w:asciiTheme="minorBidi" w:hAnsiTheme="minorBidi" w:cstheme="minorBidi"/>
        </w:rPr>
        <w:t xml:space="preserve"> investigated </w:t>
      </w:r>
      <w:r w:rsidR="0072695F" w:rsidRPr="00706B3E">
        <w:rPr>
          <w:rFonts w:asciiTheme="minorBidi" w:hAnsiTheme="minorBidi" w:cstheme="minorBidi"/>
        </w:rPr>
        <w:t>the appellant’s</w:t>
      </w:r>
      <w:r w:rsidR="00006E7C" w:rsidRPr="00706B3E">
        <w:rPr>
          <w:rFonts w:asciiTheme="minorBidi" w:hAnsiTheme="minorBidi" w:cstheme="minorBidi"/>
        </w:rPr>
        <w:t xml:space="preserve"> </w:t>
      </w:r>
      <w:r w:rsidR="00E13FCF" w:rsidRPr="00706B3E">
        <w:rPr>
          <w:rFonts w:asciiTheme="minorBidi" w:hAnsiTheme="minorBidi" w:cstheme="minorBidi"/>
        </w:rPr>
        <w:t xml:space="preserve">work and </w:t>
      </w:r>
      <w:r w:rsidR="00006E7C" w:rsidRPr="00706B3E">
        <w:rPr>
          <w:rFonts w:asciiTheme="minorBidi" w:hAnsiTheme="minorBidi" w:cstheme="minorBidi"/>
        </w:rPr>
        <w:t>medical history in some detail</w:t>
      </w:r>
      <w:r w:rsidR="00B340CA" w:rsidRPr="00706B3E">
        <w:rPr>
          <w:rFonts w:asciiTheme="minorBidi" w:hAnsiTheme="minorBidi" w:cstheme="minorBidi"/>
        </w:rPr>
        <w:t xml:space="preserve"> and ascertained that h</w:t>
      </w:r>
      <w:r w:rsidR="0072695F" w:rsidRPr="00706B3E">
        <w:rPr>
          <w:rFonts w:asciiTheme="minorBidi" w:hAnsiTheme="minorBidi" w:cstheme="minorBidi"/>
        </w:rPr>
        <w:t>e had previously experienced a b</w:t>
      </w:r>
      <w:r w:rsidR="00006E7C" w:rsidRPr="00706B3E">
        <w:rPr>
          <w:rFonts w:asciiTheme="minorBidi" w:hAnsiTheme="minorBidi" w:cstheme="minorBidi"/>
        </w:rPr>
        <w:t>ack problem</w:t>
      </w:r>
      <w:r w:rsidR="003E75CF" w:rsidRPr="00706B3E">
        <w:rPr>
          <w:rFonts w:asciiTheme="minorBidi" w:hAnsiTheme="minorBidi" w:cstheme="minorBidi"/>
        </w:rPr>
        <w:t xml:space="preserve"> which was</w:t>
      </w:r>
      <w:r w:rsidR="0072695F" w:rsidRPr="00706B3E">
        <w:rPr>
          <w:rFonts w:asciiTheme="minorBidi" w:hAnsiTheme="minorBidi" w:cstheme="minorBidi"/>
        </w:rPr>
        <w:t xml:space="preserve"> unrelated to the symptoms that he was then experiencing</w:t>
      </w:r>
      <w:r w:rsidR="00B340CA" w:rsidRPr="00706B3E">
        <w:rPr>
          <w:rFonts w:asciiTheme="minorBidi" w:hAnsiTheme="minorBidi" w:cstheme="minorBidi"/>
        </w:rPr>
        <w:t>. She also confirmed that h</w:t>
      </w:r>
      <w:r w:rsidR="0072695F" w:rsidRPr="00706B3E">
        <w:rPr>
          <w:rFonts w:asciiTheme="minorBidi" w:hAnsiTheme="minorBidi" w:cstheme="minorBidi"/>
        </w:rPr>
        <w:t xml:space="preserve">e had no </w:t>
      </w:r>
      <w:r w:rsidR="00276DD3" w:rsidRPr="00706B3E">
        <w:rPr>
          <w:rFonts w:asciiTheme="minorBidi" w:hAnsiTheme="minorBidi" w:cstheme="minorBidi"/>
        </w:rPr>
        <w:t>p</w:t>
      </w:r>
      <w:r w:rsidR="00006E7C" w:rsidRPr="00706B3E">
        <w:rPr>
          <w:rFonts w:asciiTheme="minorBidi" w:hAnsiTheme="minorBidi" w:cstheme="minorBidi"/>
        </w:rPr>
        <w:t>rior psychological complaint</w:t>
      </w:r>
      <w:r w:rsidR="00B340CA" w:rsidRPr="00706B3E">
        <w:rPr>
          <w:rFonts w:asciiTheme="minorBidi" w:hAnsiTheme="minorBidi" w:cstheme="minorBidi"/>
        </w:rPr>
        <w:t>.</w:t>
      </w:r>
    </w:p>
    <w:p w14:paraId="24FB3C71" w14:textId="77777777" w:rsidR="00E13FCF" w:rsidRPr="007B0DD3" w:rsidRDefault="00E13FCF" w:rsidP="007B0DD3">
      <w:pPr>
        <w:pStyle w:val="ListParagraph"/>
        <w:tabs>
          <w:tab w:val="left" w:pos="709"/>
        </w:tabs>
        <w:spacing w:line="360" w:lineRule="auto"/>
        <w:ind w:left="0"/>
        <w:jc w:val="both"/>
        <w:rPr>
          <w:rFonts w:asciiTheme="minorBidi" w:hAnsiTheme="minorBidi" w:cstheme="minorBidi"/>
        </w:rPr>
      </w:pPr>
    </w:p>
    <w:p w14:paraId="15DB4639" w14:textId="1E9870C2" w:rsidR="00513152"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[9]</w:t>
      </w:r>
      <w:r w:rsidRPr="007B0DD3">
        <w:rPr>
          <w:rFonts w:ascii="Arial" w:hAnsi="Arial" w:cstheme="minorBidi"/>
        </w:rPr>
        <w:tab/>
      </w:r>
      <w:r w:rsidR="00E13FCF" w:rsidRPr="00706B3E">
        <w:rPr>
          <w:rFonts w:asciiTheme="minorBidi" w:hAnsiTheme="minorBidi" w:cstheme="minorBidi"/>
        </w:rPr>
        <w:t xml:space="preserve">Ms Pillay </w:t>
      </w:r>
      <w:r w:rsidR="00513152" w:rsidRPr="00706B3E">
        <w:rPr>
          <w:rFonts w:asciiTheme="minorBidi" w:hAnsiTheme="minorBidi" w:cstheme="minorBidi"/>
        </w:rPr>
        <w:t xml:space="preserve">prepared a thorough report on the appellant, comprising </w:t>
      </w:r>
      <w:r w:rsidR="00B340CA" w:rsidRPr="00706B3E">
        <w:rPr>
          <w:rFonts w:asciiTheme="minorBidi" w:hAnsiTheme="minorBidi" w:cstheme="minorBidi"/>
        </w:rPr>
        <w:t xml:space="preserve">some </w:t>
      </w:r>
      <w:r w:rsidR="00513152" w:rsidRPr="00706B3E">
        <w:rPr>
          <w:rFonts w:asciiTheme="minorBidi" w:hAnsiTheme="minorBidi" w:cstheme="minorBidi"/>
        </w:rPr>
        <w:t>35 pages. He was subjected to a battery of tests by Ms Pillay. She ultimately fo</w:t>
      </w:r>
      <w:r w:rsidR="00800799" w:rsidRPr="00706B3E">
        <w:rPr>
          <w:rFonts w:asciiTheme="minorBidi" w:hAnsiTheme="minorBidi" w:cstheme="minorBidi"/>
        </w:rPr>
        <w:t xml:space="preserve">und that there was a substantial limitation on </w:t>
      </w:r>
      <w:r w:rsidR="00513152" w:rsidRPr="00706B3E">
        <w:rPr>
          <w:rFonts w:asciiTheme="minorBidi" w:hAnsiTheme="minorBidi" w:cstheme="minorBidi"/>
        </w:rPr>
        <w:t xml:space="preserve">the appellant’s </w:t>
      </w:r>
      <w:r w:rsidR="00800799" w:rsidRPr="00706B3E">
        <w:rPr>
          <w:rFonts w:asciiTheme="minorBidi" w:hAnsiTheme="minorBidi" w:cstheme="minorBidi"/>
        </w:rPr>
        <w:t>occupational functioning</w:t>
      </w:r>
      <w:r w:rsidR="00513152" w:rsidRPr="00706B3E">
        <w:rPr>
          <w:rFonts w:asciiTheme="minorBidi" w:hAnsiTheme="minorBidi" w:cstheme="minorBidi"/>
        </w:rPr>
        <w:t xml:space="preserve"> but given the recency of the stressful event relative to the date </w:t>
      </w:r>
      <w:r w:rsidR="00B340CA" w:rsidRPr="00706B3E">
        <w:rPr>
          <w:rFonts w:asciiTheme="minorBidi" w:hAnsiTheme="minorBidi" w:cstheme="minorBidi"/>
        </w:rPr>
        <w:t>upon which</w:t>
      </w:r>
      <w:r w:rsidR="00513152" w:rsidRPr="00706B3E">
        <w:rPr>
          <w:rFonts w:asciiTheme="minorBidi" w:hAnsiTheme="minorBidi" w:cstheme="minorBidi"/>
        </w:rPr>
        <w:t xml:space="preserve"> she consulted with the appellant, she was not prepared at that stage to</w:t>
      </w:r>
      <w:r w:rsidR="0080511E" w:rsidRPr="00706B3E">
        <w:rPr>
          <w:rFonts w:asciiTheme="minorBidi" w:hAnsiTheme="minorBidi" w:cstheme="minorBidi"/>
        </w:rPr>
        <w:t xml:space="preserve"> consider</w:t>
      </w:r>
      <w:r w:rsidR="00513152" w:rsidRPr="00706B3E">
        <w:rPr>
          <w:rFonts w:asciiTheme="minorBidi" w:hAnsiTheme="minorBidi" w:cstheme="minorBidi"/>
        </w:rPr>
        <w:t xml:space="preserve"> the appellant as being permanently disabled.</w:t>
      </w:r>
      <w:r w:rsidR="0080511E" w:rsidRPr="00706B3E">
        <w:rPr>
          <w:rFonts w:asciiTheme="minorBidi" w:hAnsiTheme="minorBidi" w:cstheme="minorBidi"/>
        </w:rPr>
        <w:t xml:space="preserve"> </w:t>
      </w:r>
      <w:r w:rsidR="00800799" w:rsidRPr="00706B3E">
        <w:rPr>
          <w:rFonts w:asciiTheme="minorBidi" w:hAnsiTheme="minorBidi" w:cstheme="minorBidi"/>
        </w:rPr>
        <w:t xml:space="preserve">She </w:t>
      </w:r>
      <w:r w:rsidR="00513152" w:rsidRPr="00706B3E">
        <w:rPr>
          <w:rFonts w:asciiTheme="minorBidi" w:hAnsiTheme="minorBidi" w:cstheme="minorBidi"/>
        </w:rPr>
        <w:t>concluded</w:t>
      </w:r>
      <w:r w:rsidR="00800799" w:rsidRPr="00706B3E">
        <w:rPr>
          <w:rFonts w:asciiTheme="minorBidi" w:hAnsiTheme="minorBidi" w:cstheme="minorBidi"/>
        </w:rPr>
        <w:t xml:space="preserve"> that</w:t>
      </w:r>
      <w:r w:rsidR="0080511E" w:rsidRPr="00706B3E">
        <w:rPr>
          <w:rFonts w:asciiTheme="minorBidi" w:hAnsiTheme="minorBidi" w:cstheme="minorBidi"/>
        </w:rPr>
        <w:t>:</w:t>
      </w:r>
    </w:p>
    <w:p w14:paraId="74B91C70" w14:textId="5FE7AD5B" w:rsidR="0080511E" w:rsidRDefault="0080511E"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 xml:space="preserve">‘It is evident that the client is afflicted with severe/extreme PTSD symptoms which are currently preventing him from adequate affective, cognitive, functional and occupational performance. It is unlikely that the client will be able to return to his former occupational performance in the short term. Prognosis for future independent skilled occupational performance within his </w:t>
      </w:r>
      <w:r w:rsidRPr="007B0DD3">
        <w:rPr>
          <w:rFonts w:asciiTheme="minorBidi" w:hAnsiTheme="minorBidi" w:cstheme="minorBidi"/>
          <w:sz w:val="22"/>
          <w:szCs w:val="22"/>
        </w:rPr>
        <w:lastRenderedPageBreak/>
        <w:t>occupational field or an alternate field can only be ascertained only [sic] after a period of six months of intensive therapeutic intervention.’</w:t>
      </w:r>
    </w:p>
    <w:p w14:paraId="55F25CF1" w14:textId="77777777" w:rsidR="003E75CF" w:rsidRDefault="003E75CF" w:rsidP="007B0DD3">
      <w:pPr>
        <w:pStyle w:val="ListParagraph"/>
        <w:tabs>
          <w:tab w:val="left" w:pos="709"/>
        </w:tabs>
        <w:spacing w:line="360" w:lineRule="auto"/>
        <w:ind w:left="0"/>
        <w:jc w:val="both"/>
        <w:rPr>
          <w:rFonts w:asciiTheme="minorBidi" w:hAnsiTheme="minorBidi" w:cstheme="minorBidi"/>
          <w:sz w:val="22"/>
          <w:szCs w:val="22"/>
        </w:rPr>
      </w:pPr>
    </w:p>
    <w:p w14:paraId="2E355924" w14:textId="30FD910B" w:rsidR="002675ED" w:rsidRPr="00706B3E" w:rsidRDefault="00706B3E" w:rsidP="00706B3E">
      <w:pPr>
        <w:tabs>
          <w:tab w:val="left" w:pos="709"/>
        </w:tabs>
        <w:spacing w:line="360" w:lineRule="auto"/>
        <w:jc w:val="both"/>
        <w:rPr>
          <w:rFonts w:asciiTheme="minorBidi" w:hAnsiTheme="minorBidi" w:cstheme="minorBidi"/>
          <w:sz w:val="22"/>
          <w:szCs w:val="22"/>
        </w:rPr>
      </w:pPr>
      <w:r w:rsidRPr="007B0DD3">
        <w:rPr>
          <w:rFonts w:ascii="Arial" w:hAnsi="Arial" w:cstheme="minorBidi"/>
        </w:rPr>
        <w:t>[10]</w:t>
      </w:r>
      <w:r w:rsidRPr="007B0DD3">
        <w:rPr>
          <w:rFonts w:ascii="Arial" w:hAnsi="Arial" w:cstheme="minorBidi"/>
        </w:rPr>
        <w:tab/>
      </w:r>
      <w:r w:rsidR="000F65E7" w:rsidRPr="00706B3E">
        <w:rPr>
          <w:rFonts w:asciiTheme="minorBidi" w:hAnsiTheme="minorBidi" w:cstheme="minorBidi"/>
        </w:rPr>
        <w:t>Dr Agambaram</w:t>
      </w:r>
      <w:r w:rsidR="00F70137" w:rsidRPr="00706B3E">
        <w:rPr>
          <w:rFonts w:asciiTheme="minorBidi" w:hAnsiTheme="minorBidi" w:cstheme="minorBidi"/>
        </w:rPr>
        <w:t xml:space="preserve">, </w:t>
      </w:r>
      <w:r w:rsidR="0080511E" w:rsidRPr="00706B3E">
        <w:rPr>
          <w:rFonts w:asciiTheme="minorBidi" w:hAnsiTheme="minorBidi" w:cstheme="minorBidi"/>
        </w:rPr>
        <w:t>the specialist</w:t>
      </w:r>
      <w:r w:rsidR="000F65E7" w:rsidRPr="00706B3E">
        <w:rPr>
          <w:rFonts w:asciiTheme="minorBidi" w:hAnsiTheme="minorBidi" w:cstheme="minorBidi"/>
        </w:rPr>
        <w:t xml:space="preserve"> psychiatrist</w:t>
      </w:r>
      <w:r w:rsidR="0080511E" w:rsidRPr="00706B3E">
        <w:rPr>
          <w:rFonts w:asciiTheme="minorBidi" w:hAnsiTheme="minorBidi" w:cstheme="minorBidi"/>
        </w:rPr>
        <w:t>, also prepared a report on the appellant</w:t>
      </w:r>
      <w:r w:rsidR="000F65E7" w:rsidRPr="00706B3E">
        <w:rPr>
          <w:rFonts w:asciiTheme="minorBidi" w:hAnsiTheme="minorBidi" w:cstheme="minorBidi"/>
        </w:rPr>
        <w:t xml:space="preserve">. </w:t>
      </w:r>
      <w:r w:rsidR="002675ED" w:rsidRPr="00706B3E">
        <w:rPr>
          <w:rFonts w:asciiTheme="minorBidi" w:hAnsiTheme="minorBidi" w:cstheme="minorBidi"/>
        </w:rPr>
        <w:t xml:space="preserve">In an opinion expressed in May 2019, </w:t>
      </w:r>
      <w:r w:rsidR="000A7C39" w:rsidRPr="00706B3E">
        <w:rPr>
          <w:rFonts w:asciiTheme="minorBidi" w:hAnsiTheme="minorBidi" w:cstheme="minorBidi"/>
        </w:rPr>
        <w:t>Dr Agambaram</w:t>
      </w:r>
      <w:r w:rsidR="000F65E7" w:rsidRPr="00706B3E">
        <w:rPr>
          <w:rFonts w:asciiTheme="minorBidi" w:hAnsiTheme="minorBidi" w:cstheme="minorBidi"/>
        </w:rPr>
        <w:t xml:space="preserve"> </w:t>
      </w:r>
      <w:r w:rsidR="002675ED" w:rsidRPr="00706B3E">
        <w:rPr>
          <w:rFonts w:asciiTheme="minorBidi" w:hAnsiTheme="minorBidi" w:cstheme="minorBidi"/>
        </w:rPr>
        <w:t xml:space="preserve">described the appellant’s prognosis as ‘poor’. He </w:t>
      </w:r>
      <w:r w:rsidR="000F65E7" w:rsidRPr="00706B3E">
        <w:rPr>
          <w:rFonts w:asciiTheme="minorBidi" w:hAnsiTheme="minorBidi" w:cstheme="minorBidi"/>
        </w:rPr>
        <w:t xml:space="preserve">concluded that the appellant had a </w:t>
      </w:r>
      <w:r w:rsidR="005A103A" w:rsidRPr="00706B3E">
        <w:rPr>
          <w:rFonts w:asciiTheme="minorBidi" w:hAnsiTheme="minorBidi" w:cstheme="minorBidi"/>
        </w:rPr>
        <w:t>‘</w:t>
      </w:r>
      <w:r w:rsidR="000F65E7" w:rsidRPr="00706B3E">
        <w:rPr>
          <w:rFonts w:asciiTheme="minorBidi" w:hAnsiTheme="minorBidi" w:cstheme="minorBidi"/>
        </w:rPr>
        <w:t>total permanent disability</w:t>
      </w:r>
      <w:r w:rsidR="005A103A" w:rsidRPr="00706B3E">
        <w:rPr>
          <w:rFonts w:asciiTheme="minorBidi" w:hAnsiTheme="minorBidi" w:cstheme="minorBidi"/>
        </w:rPr>
        <w:t>’</w:t>
      </w:r>
      <w:r w:rsidR="000F65E7" w:rsidRPr="00706B3E">
        <w:rPr>
          <w:rFonts w:asciiTheme="minorBidi" w:hAnsiTheme="minorBidi" w:cstheme="minorBidi"/>
        </w:rPr>
        <w:t xml:space="preserve"> as a consequence of suffering from PTSD</w:t>
      </w:r>
      <w:r w:rsidR="002675ED" w:rsidRPr="00706B3E">
        <w:rPr>
          <w:rFonts w:asciiTheme="minorBidi" w:hAnsiTheme="minorBidi" w:cstheme="minorBidi"/>
        </w:rPr>
        <w:t xml:space="preserve"> and that the appellant’s condition was </w:t>
      </w:r>
      <w:r w:rsidR="003E75CF" w:rsidRPr="00706B3E">
        <w:rPr>
          <w:rFonts w:asciiTheme="minorBidi" w:hAnsiTheme="minorBidi" w:cstheme="minorBidi"/>
        </w:rPr>
        <w:t xml:space="preserve">due to </w:t>
      </w:r>
      <w:r w:rsidR="002675ED" w:rsidRPr="00706B3E">
        <w:rPr>
          <w:rFonts w:asciiTheme="minorBidi" w:hAnsiTheme="minorBidi" w:cstheme="minorBidi"/>
        </w:rPr>
        <w:t>the result of the events on 14 January 2015, which he described as ‘the accident’.</w:t>
      </w:r>
      <w:r w:rsidR="000F65E7" w:rsidRPr="00706B3E">
        <w:rPr>
          <w:rFonts w:asciiTheme="minorBidi" w:hAnsiTheme="minorBidi" w:cstheme="minorBidi"/>
        </w:rPr>
        <w:t xml:space="preserve"> </w:t>
      </w:r>
      <w:r w:rsidR="002675ED" w:rsidRPr="00706B3E">
        <w:rPr>
          <w:rFonts w:asciiTheme="minorBidi" w:hAnsiTheme="minorBidi" w:cstheme="minorBidi"/>
        </w:rPr>
        <w:t>In a further note dated 13 February 2020, Dr Agambaram stated that:</w:t>
      </w:r>
    </w:p>
    <w:p w14:paraId="2C2671CF" w14:textId="2AAB3694" w:rsidR="00C81156" w:rsidRPr="007B0DD3" w:rsidRDefault="00C81156"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 xml:space="preserve">‘The </w:t>
      </w:r>
      <w:r w:rsidR="002675ED" w:rsidRPr="007B0DD3">
        <w:rPr>
          <w:rFonts w:asciiTheme="minorBidi" w:hAnsiTheme="minorBidi" w:cstheme="minorBidi"/>
          <w:sz w:val="22"/>
          <w:szCs w:val="22"/>
        </w:rPr>
        <w:t xml:space="preserve">above has a chronic history of PTSD and is on medication. His dose has been adjusted accordingly. The </w:t>
      </w:r>
      <w:r w:rsidRPr="007B0DD3">
        <w:rPr>
          <w:rFonts w:asciiTheme="minorBidi" w:hAnsiTheme="minorBidi" w:cstheme="minorBidi"/>
          <w:sz w:val="22"/>
          <w:szCs w:val="22"/>
        </w:rPr>
        <w:t>above has significant social and occupational impairment. He is permanently disabled and is not able to work in the open labour market.’</w:t>
      </w:r>
    </w:p>
    <w:p w14:paraId="4C539791" w14:textId="055983BE" w:rsidR="00E53279" w:rsidRPr="007B0DD3" w:rsidRDefault="000F65E7" w:rsidP="007B0DD3">
      <w:pPr>
        <w:pStyle w:val="ListParagraph"/>
        <w:tabs>
          <w:tab w:val="left" w:pos="709"/>
        </w:tabs>
        <w:spacing w:line="360" w:lineRule="auto"/>
        <w:ind w:left="0"/>
        <w:jc w:val="both"/>
        <w:rPr>
          <w:rFonts w:asciiTheme="minorBidi" w:hAnsiTheme="minorBidi" w:cstheme="minorBidi"/>
        </w:rPr>
      </w:pPr>
      <w:r w:rsidRPr="007B0DD3">
        <w:rPr>
          <w:rFonts w:asciiTheme="minorBidi" w:hAnsiTheme="minorBidi" w:cstheme="minorBidi"/>
        </w:rPr>
        <w:t xml:space="preserve">This </w:t>
      </w:r>
      <w:r w:rsidR="00C81156" w:rsidRPr="007B0DD3">
        <w:rPr>
          <w:rFonts w:asciiTheme="minorBidi" w:hAnsiTheme="minorBidi" w:cstheme="minorBidi"/>
        </w:rPr>
        <w:t xml:space="preserve">opinion </w:t>
      </w:r>
      <w:r w:rsidRPr="007B0DD3">
        <w:rPr>
          <w:rFonts w:asciiTheme="minorBidi" w:hAnsiTheme="minorBidi" w:cstheme="minorBidi"/>
        </w:rPr>
        <w:t>was</w:t>
      </w:r>
      <w:r w:rsidR="00C81156" w:rsidRPr="007B0DD3">
        <w:rPr>
          <w:rFonts w:asciiTheme="minorBidi" w:hAnsiTheme="minorBidi" w:cstheme="minorBidi"/>
        </w:rPr>
        <w:t xml:space="preserve"> expressed</w:t>
      </w:r>
      <w:r w:rsidRPr="007B0DD3">
        <w:rPr>
          <w:rFonts w:asciiTheme="minorBidi" w:hAnsiTheme="minorBidi" w:cstheme="minorBidi"/>
        </w:rPr>
        <w:t xml:space="preserve"> approximately five years after the </w:t>
      </w:r>
      <w:r w:rsidR="002539A8" w:rsidRPr="007B0DD3">
        <w:rPr>
          <w:rFonts w:asciiTheme="minorBidi" w:hAnsiTheme="minorBidi" w:cstheme="minorBidi"/>
        </w:rPr>
        <w:t>events of 14 January 2015.</w:t>
      </w:r>
    </w:p>
    <w:p w14:paraId="47AAC51F" w14:textId="561FB76F" w:rsidR="00E53279" w:rsidRPr="007B0DD3" w:rsidRDefault="00E53279" w:rsidP="007B0DD3">
      <w:pPr>
        <w:pStyle w:val="ListParagraph"/>
        <w:tabs>
          <w:tab w:val="left" w:pos="709"/>
        </w:tabs>
        <w:spacing w:line="360" w:lineRule="auto"/>
        <w:ind w:left="0"/>
        <w:jc w:val="both"/>
        <w:rPr>
          <w:rFonts w:asciiTheme="minorBidi" w:hAnsiTheme="minorBidi" w:cstheme="minorBidi"/>
        </w:rPr>
      </w:pPr>
    </w:p>
    <w:p w14:paraId="19CD0BFF" w14:textId="1B32B8C4" w:rsidR="002675ED" w:rsidRPr="007B0DD3" w:rsidRDefault="002675ED"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The appellant’s claim</w:t>
      </w:r>
    </w:p>
    <w:p w14:paraId="6FD8478E" w14:textId="1A22ECA9" w:rsidR="00DE3F06"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[11]</w:t>
      </w:r>
      <w:r w:rsidRPr="007B0DD3">
        <w:rPr>
          <w:rFonts w:ascii="Arial" w:hAnsi="Arial" w:cstheme="minorBidi"/>
        </w:rPr>
        <w:tab/>
      </w:r>
      <w:r w:rsidR="000F65E7" w:rsidRPr="00706B3E">
        <w:rPr>
          <w:rFonts w:asciiTheme="minorBidi" w:hAnsiTheme="minorBidi" w:cstheme="minorBidi"/>
        </w:rPr>
        <w:t xml:space="preserve">As a result of his condition, the appellant lodged a claim with the respondent in terms </w:t>
      </w:r>
      <w:r w:rsidR="00CA24BF" w:rsidRPr="00706B3E">
        <w:rPr>
          <w:rFonts w:asciiTheme="minorBidi" w:hAnsiTheme="minorBidi" w:cstheme="minorBidi"/>
        </w:rPr>
        <w:t xml:space="preserve">of </w:t>
      </w:r>
      <w:r w:rsidR="000F65E7" w:rsidRPr="00706B3E">
        <w:rPr>
          <w:rFonts w:asciiTheme="minorBidi" w:hAnsiTheme="minorBidi" w:cstheme="minorBidi"/>
        </w:rPr>
        <w:t>section 43(1)</w:t>
      </w:r>
      <w:r w:rsidR="000F65E7" w:rsidRPr="00706B3E">
        <w:rPr>
          <w:rFonts w:asciiTheme="minorBidi" w:hAnsiTheme="minorBidi" w:cstheme="minorBidi"/>
          <w:i/>
        </w:rPr>
        <w:t>(a)</w:t>
      </w:r>
      <w:r w:rsidR="000F65E7" w:rsidRPr="00706B3E">
        <w:rPr>
          <w:rFonts w:asciiTheme="minorBidi" w:hAnsiTheme="minorBidi" w:cstheme="minorBidi"/>
        </w:rPr>
        <w:t xml:space="preserve"> of </w:t>
      </w:r>
      <w:r w:rsidR="0004370A" w:rsidRPr="00706B3E">
        <w:rPr>
          <w:rFonts w:asciiTheme="minorBidi" w:hAnsiTheme="minorBidi" w:cstheme="minorBidi"/>
        </w:rPr>
        <w:t>the Act</w:t>
      </w:r>
      <w:r w:rsidR="00E53279" w:rsidRPr="00706B3E">
        <w:rPr>
          <w:rFonts w:asciiTheme="minorBidi" w:hAnsiTheme="minorBidi" w:cstheme="minorBidi"/>
        </w:rPr>
        <w:t>, which is the successor to t</w:t>
      </w:r>
      <w:r w:rsidR="00E53279" w:rsidRPr="00706B3E">
        <w:rPr>
          <w:rFonts w:asciiTheme="minorBidi" w:hAnsiTheme="minorBidi" w:cstheme="minorBidi"/>
          <w:color w:val="242121"/>
          <w:shd w:val="clear" w:color="auto" w:fill="FFFFFF"/>
        </w:rPr>
        <w:t>he Workmen’s Compensation Act 30 of 1941.</w:t>
      </w:r>
      <w:r w:rsidR="00E53279" w:rsidRPr="00706B3E">
        <w:rPr>
          <w:rFonts w:asciiTheme="minorBidi" w:hAnsiTheme="minorBidi" w:cstheme="minorBidi"/>
        </w:rPr>
        <w:t xml:space="preserve"> </w:t>
      </w:r>
    </w:p>
    <w:p w14:paraId="7F3C1C84" w14:textId="77777777" w:rsidR="00DE3F06" w:rsidRPr="007B0DD3" w:rsidRDefault="00DE3F06" w:rsidP="007B0DD3">
      <w:pPr>
        <w:pStyle w:val="ListParagraph"/>
        <w:tabs>
          <w:tab w:val="left" w:pos="709"/>
        </w:tabs>
        <w:spacing w:line="360" w:lineRule="auto"/>
        <w:ind w:left="0"/>
        <w:jc w:val="both"/>
        <w:rPr>
          <w:rFonts w:asciiTheme="minorBidi" w:hAnsiTheme="minorBidi" w:cstheme="minorBidi"/>
        </w:rPr>
      </w:pPr>
    </w:p>
    <w:p w14:paraId="7ED53508" w14:textId="3E457AD8" w:rsidR="00DE3F06"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[12]</w:t>
      </w:r>
      <w:r w:rsidRPr="007B0DD3">
        <w:rPr>
          <w:rFonts w:ascii="Arial" w:hAnsi="Arial" w:cstheme="minorBidi"/>
        </w:rPr>
        <w:tab/>
      </w:r>
      <w:r w:rsidR="000F65E7" w:rsidRPr="00706B3E">
        <w:rPr>
          <w:rFonts w:asciiTheme="minorBidi" w:hAnsiTheme="minorBidi" w:cstheme="minorBidi"/>
        </w:rPr>
        <w:t>On 28 August 2019, the respondent published a compensation award, without providing reasons</w:t>
      </w:r>
      <w:r w:rsidR="00F37C55" w:rsidRPr="00706B3E">
        <w:rPr>
          <w:rFonts w:asciiTheme="minorBidi" w:hAnsiTheme="minorBidi" w:cstheme="minorBidi"/>
        </w:rPr>
        <w:t xml:space="preserve"> despite a request </w:t>
      </w:r>
      <w:r w:rsidR="00DE3F06" w:rsidRPr="00706B3E">
        <w:rPr>
          <w:rFonts w:asciiTheme="minorBidi" w:hAnsiTheme="minorBidi" w:cstheme="minorBidi"/>
        </w:rPr>
        <w:t>for such reasons</w:t>
      </w:r>
      <w:r w:rsidR="000F65E7" w:rsidRPr="00706B3E">
        <w:rPr>
          <w:rFonts w:asciiTheme="minorBidi" w:hAnsiTheme="minorBidi" w:cstheme="minorBidi"/>
        </w:rPr>
        <w:t xml:space="preserve">, in which </w:t>
      </w:r>
      <w:r w:rsidR="0004370A" w:rsidRPr="00706B3E">
        <w:rPr>
          <w:rFonts w:asciiTheme="minorBidi" w:hAnsiTheme="minorBidi" w:cstheme="minorBidi"/>
        </w:rPr>
        <w:t xml:space="preserve">it </w:t>
      </w:r>
      <w:r w:rsidR="000F65E7" w:rsidRPr="00706B3E">
        <w:rPr>
          <w:rFonts w:asciiTheme="minorBidi" w:hAnsiTheme="minorBidi" w:cstheme="minorBidi"/>
        </w:rPr>
        <w:t>determined that the appellant’s degree of permanent disablement was assessed at 39</w:t>
      </w:r>
      <w:r w:rsidR="005A103A" w:rsidRPr="00706B3E">
        <w:rPr>
          <w:rFonts w:asciiTheme="minorBidi" w:hAnsiTheme="minorBidi" w:cstheme="minorBidi"/>
        </w:rPr>
        <w:t xml:space="preserve"> percent</w:t>
      </w:r>
      <w:r w:rsidR="000F65E7" w:rsidRPr="00706B3E">
        <w:rPr>
          <w:rFonts w:asciiTheme="minorBidi" w:hAnsiTheme="minorBidi" w:cstheme="minorBidi"/>
        </w:rPr>
        <w:t>.</w:t>
      </w:r>
      <w:r w:rsidR="00332181" w:rsidRPr="00706B3E">
        <w:rPr>
          <w:rFonts w:asciiTheme="minorBidi" w:hAnsiTheme="minorBidi" w:cstheme="minorBidi"/>
        </w:rPr>
        <w:t xml:space="preserve"> </w:t>
      </w:r>
    </w:p>
    <w:p w14:paraId="54608318" w14:textId="77777777" w:rsidR="00DE3F06" w:rsidRPr="007B0DD3" w:rsidRDefault="00DE3F06" w:rsidP="007B0DD3">
      <w:pPr>
        <w:pStyle w:val="ListParagraph"/>
        <w:spacing w:line="360" w:lineRule="auto"/>
        <w:jc w:val="both"/>
        <w:rPr>
          <w:rFonts w:asciiTheme="minorBidi" w:hAnsiTheme="minorBidi" w:cstheme="minorBidi"/>
        </w:rPr>
      </w:pPr>
    </w:p>
    <w:p w14:paraId="3A98460B" w14:textId="11C2A061" w:rsidR="00DE3F06" w:rsidRPr="00706B3E" w:rsidRDefault="00706B3E" w:rsidP="00706B3E">
      <w:pPr>
        <w:tabs>
          <w:tab w:val="left" w:pos="709"/>
        </w:tabs>
        <w:spacing w:line="360" w:lineRule="auto"/>
        <w:jc w:val="both"/>
        <w:rPr>
          <w:rFonts w:asciiTheme="minorBidi" w:hAnsiTheme="minorBidi" w:cstheme="minorBidi"/>
          <w:szCs w:val="28"/>
        </w:rPr>
      </w:pPr>
      <w:r w:rsidRPr="007B0DD3">
        <w:rPr>
          <w:rFonts w:ascii="Arial" w:hAnsi="Arial" w:cstheme="minorBidi"/>
        </w:rPr>
        <w:t>[13]</w:t>
      </w:r>
      <w:r w:rsidRPr="007B0DD3">
        <w:rPr>
          <w:rFonts w:ascii="Arial" w:hAnsi="Arial" w:cstheme="minorBidi"/>
        </w:rPr>
        <w:tab/>
      </w:r>
      <w:r w:rsidR="00332181" w:rsidRPr="00706B3E">
        <w:rPr>
          <w:rFonts w:asciiTheme="minorBidi" w:hAnsiTheme="minorBidi" w:cstheme="minorBidi"/>
        </w:rPr>
        <w:t xml:space="preserve">At the time of the events of 14 January 2015, the appellant earned a salary of R25 088.48. As a consequence of the compensation award, the appellant would </w:t>
      </w:r>
      <w:r w:rsidR="00DE3F06" w:rsidRPr="00706B3E">
        <w:rPr>
          <w:rFonts w:asciiTheme="minorBidi" w:hAnsiTheme="minorBidi" w:cstheme="minorBidi"/>
        </w:rPr>
        <w:t xml:space="preserve">accordingly </w:t>
      </w:r>
      <w:r w:rsidR="00332181" w:rsidRPr="00706B3E">
        <w:rPr>
          <w:rFonts w:asciiTheme="minorBidi" w:hAnsiTheme="minorBidi" w:cstheme="minorBidi"/>
        </w:rPr>
        <w:t xml:space="preserve">receive </w:t>
      </w:r>
      <w:r w:rsidR="00B0306F" w:rsidRPr="00706B3E">
        <w:rPr>
          <w:rFonts w:asciiTheme="minorBidi" w:hAnsiTheme="minorBidi" w:cstheme="minorBidi"/>
        </w:rPr>
        <w:t>a monthly pension of R7 337.80.</w:t>
      </w:r>
      <w:r w:rsidR="00DE3F06" w:rsidRPr="00706B3E">
        <w:rPr>
          <w:rFonts w:asciiTheme="minorBidi" w:hAnsiTheme="minorBidi" w:cstheme="minorBidi"/>
        </w:rPr>
        <w:t xml:space="preserve"> </w:t>
      </w:r>
    </w:p>
    <w:p w14:paraId="13368885" w14:textId="77777777" w:rsidR="00FD509D" w:rsidRPr="007B0DD3" w:rsidRDefault="00FD509D" w:rsidP="007B0DD3">
      <w:pPr>
        <w:pStyle w:val="ListParagraph"/>
        <w:tabs>
          <w:tab w:val="left" w:pos="709"/>
        </w:tabs>
        <w:spacing w:line="360" w:lineRule="auto"/>
        <w:ind w:left="0"/>
        <w:jc w:val="both"/>
        <w:rPr>
          <w:rFonts w:asciiTheme="minorBidi" w:hAnsiTheme="minorBidi" w:cstheme="minorBidi"/>
        </w:rPr>
      </w:pPr>
    </w:p>
    <w:p w14:paraId="22CA343C" w14:textId="4892FB0E" w:rsidR="00DE3F06" w:rsidRPr="007B0DD3" w:rsidRDefault="00DE3F06" w:rsidP="007B0DD3">
      <w:pPr>
        <w:spacing w:line="360" w:lineRule="auto"/>
        <w:jc w:val="both"/>
        <w:rPr>
          <w:rFonts w:asciiTheme="minorBidi" w:hAnsiTheme="minorBidi" w:cstheme="minorBidi"/>
          <w:b/>
          <w:bCs/>
        </w:rPr>
      </w:pPr>
      <w:r w:rsidRPr="007B0DD3">
        <w:rPr>
          <w:rFonts w:asciiTheme="minorBidi" w:hAnsiTheme="minorBidi" w:cstheme="minorBidi"/>
          <w:b/>
          <w:bCs/>
        </w:rPr>
        <w:t>The appellant’s objection</w:t>
      </w:r>
    </w:p>
    <w:p w14:paraId="60226493" w14:textId="0F0DD5E7" w:rsidR="00B340CA" w:rsidRPr="00706B3E" w:rsidRDefault="00706B3E" w:rsidP="00706B3E">
      <w:pPr>
        <w:tabs>
          <w:tab w:val="left" w:pos="709"/>
        </w:tabs>
        <w:spacing w:line="360" w:lineRule="auto"/>
        <w:jc w:val="both"/>
        <w:rPr>
          <w:rFonts w:asciiTheme="minorBidi" w:hAnsiTheme="minorBidi" w:cstheme="minorBidi"/>
        </w:rPr>
      </w:pPr>
      <w:r>
        <w:rPr>
          <w:rFonts w:ascii="Arial" w:hAnsi="Arial" w:cstheme="minorBidi"/>
        </w:rPr>
        <w:t>[14]</w:t>
      </w:r>
      <w:r>
        <w:rPr>
          <w:rFonts w:ascii="Arial" w:hAnsi="Arial" w:cstheme="minorBidi"/>
        </w:rPr>
        <w:tab/>
      </w:r>
      <w:r w:rsidR="00097F7D" w:rsidRPr="00706B3E">
        <w:rPr>
          <w:rFonts w:asciiTheme="minorBidi" w:hAnsiTheme="minorBidi" w:cstheme="minorBidi"/>
        </w:rPr>
        <w:t xml:space="preserve">The appellant lodged </w:t>
      </w:r>
      <w:r w:rsidR="000F65E7" w:rsidRPr="00706B3E">
        <w:rPr>
          <w:rFonts w:asciiTheme="minorBidi" w:hAnsiTheme="minorBidi" w:cstheme="minorBidi"/>
        </w:rPr>
        <w:t xml:space="preserve">an objection to the award in terms of section 91(1) of the Act, which objection was heard by a tribunal </w:t>
      </w:r>
      <w:r w:rsidR="00421723" w:rsidRPr="00706B3E">
        <w:rPr>
          <w:rFonts w:asciiTheme="minorBidi" w:hAnsiTheme="minorBidi" w:cstheme="minorBidi"/>
        </w:rPr>
        <w:t xml:space="preserve">(the tribunal) </w:t>
      </w:r>
      <w:r w:rsidR="000F65E7" w:rsidRPr="00706B3E">
        <w:rPr>
          <w:rFonts w:asciiTheme="minorBidi" w:hAnsiTheme="minorBidi" w:cstheme="minorBidi"/>
        </w:rPr>
        <w:t>compris</w:t>
      </w:r>
      <w:r w:rsidR="00421723" w:rsidRPr="00706B3E">
        <w:rPr>
          <w:rFonts w:asciiTheme="minorBidi" w:hAnsiTheme="minorBidi" w:cstheme="minorBidi"/>
        </w:rPr>
        <w:t>ed</w:t>
      </w:r>
      <w:r w:rsidR="000F65E7" w:rsidRPr="00706B3E">
        <w:rPr>
          <w:rFonts w:asciiTheme="minorBidi" w:hAnsiTheme="minorBidi" w:cstheme="minorBidi"/>
        </w:rPr>
        <w:t xml:space="preserve"> of a presiding officer </w:t>
      </w:r>
      <w:r w:rsidR="00B0306F" w:rsidRPr="00706B3E">
        <w:rPr>
          <w:rFonts w:asciiTheme="minorBidi" w:hAnsiTheme="minorBidi" w:cstheme="minorBidi"/>
        </w:rPr>
        <w:t>assisted by</w:t>
      </w:r>
      <w:r w:rsidR="00F37C55" w:rsidRPr="00706B3E">
        <w:rPr>
          <w:rFonts w:asciiTheme="minorBidi" w:hAnsiTheme="minorBidi" w:cstheme="minorBidi"/>
        </w:rPr>
        <w:t xml:space="preserve"> three </w:t>
      </w:r>
      <w:r w:rsidR="000F65E7" w:rsidRPr="00706B3E">
        <w:rPr>
          <w:rFonts w:asciiTheme="minorBidi" w:hAnsiTheme="minorBidi" w:cstheme="minorBidi"/>
        </w:rPr>
        <w:t xml:space="preserve">assessors, </w:t>
      </w:r>
      <w:r w:rsidR="00F37C55" w:rsidRPr="00706B3E">
        <w:rPr>
          <w:rFonts w:asciiTheme="minorBidi" w:hAnsiTheme="minorBidi" w:cstheme="minorBidi"/>
        </w:rPr>
        <w:t xml:space="preserve">one of whom was a </w:t>
      </w:r>
      <w:r w:rsidR="000F65E7" w:rsidRPr="00706B3E">
        <w:rPr>
          <w:rFonts w:asciiTheme="minorBidi" w:hAnsiTheme="minorBidi" w:cstheme="minorBidi"/>
        </w:rPr>
        <w:t xml:space="preserve">medical assessor, </w:t>
      </w:r>
      <w:r w:rsidR="00421723" w:rsidRPr="00706B3E">
        <w:rPr>
          <w:rFonts w:asciiTheme="minorBidi" w:hAnsiTheme="minorBidi" w:cstheme="minorBidi"/>
        </w:rPr>
        <w:t xml:space="preserve">who were </w:t>
      </w:r>
      <w:r w:rsidR="000F65E7" w:rsidRPr="00706B3E">
        <w:rPr>
          <w:rFonts w:asciiTheme="minorBidi" w:hAnsiTheme="minorBidi" w:cstheme="minorBidi"/>
        </w:rPr>
        <w:t xml:space="preserve">appointed in terms of section 91(2) of the Act. </w:t>
      </w:r>
    </w:p>
    <w:p w14:paraId="20EAC6F4" w14:textId="77777777" w:rsidR="00B340CA" w:rsidRDefault="00B340CA" w:rsidP="00B340CA">
      <w:pPr>
        <w:pStyle w:val="ListParagraph"/>
        <w:tabs>
          <w:tab w:val="left" w:pos="709"/>
        </w:tabs>
        <w:spacing w:line="360" w:lineRule="auto"/>
        <w:ind w:left="0"/>
        <w:jc w:val="both"/>
        <w:rPr>
          <w:rFonts w:asciiTheme="minorBidi" w:hAnsiTheme="minorBidi" w:cstheme="minorBidi"/>
        </w:rPr>
      </w:pPr>
    </w:p>
    <w:p w14:paraId="7C4BE7CA" w14:textId="52F7BBC3" w:rsidR="000F65E7" w:rsidRPr="00706B3E" w:rsidRDefault="00706B3E" w:rsidP="00706B3E">
      <w:pPr>
        <w:tabs>
          <w:tab w:val="left" w:pos="709"/>
        </w:tabs>
        <w:spacing w:line="360" w:lineRule="auto"/>
        <w:jc w:val="both"/>
        <w:rPr>
          <w:rFonts w:asciiTheme="minorBidi" w:hAnsiTheme="minorBidi" w:cstheme="minorBidi"/>
        </w:rPr>
      </w:pPr>
      <w:r w:rsidRPr="00DA5419">
        <w:rPr>
          <w:rFonts w:ascii="Arial" w:hAnsi="Arial" w:cstheme="minorBidi"/>
        </w:rPr>
        <w:lastRenderedPageBreak/>
        <w:t>[15]</w:t>
      </w:r>
      <w:r w:rsidRPr="00DA5419">
        <w:rPr>
          <w:rFonts w:ascii="Arial" w:hAnsi="Arial" w:cstheme="minorBidi"/>
        </w:rPr>
        <w:tab/>
      </w:r>
      <w:r w:rsidR="00B340CA" w:rsidRPr="00706B3E">
        <w:rPr>
          <w:rFonts w:asciiTheme="minorBidi" w:hAnsiTheme="minorBidi" w:cstheme="minorBidi"/>
        </w:rPr>
        <w:t>Before the tribunal, t</w:t>
      </w:r>
      <w:r w:rsidR="00FD509D" w:rsidRPr="00706B3E">
        <w:rPr>
          <w:rFonts w:asciiTheme="minorBidi" w:hAnsiTheme="minorBidi" w:cstheme="minorBidi"/>
        </w:rPr>
        <w:t xml:space="preserve">he appellant contended that he ought to be classified as 100 percent disabled in terms of schedule 2 of the Act and </w:t>
      </w:r>
      <w:r w:rsidR="00167D81" w:rsidRPr="00706B3E">
        <w:rPr>
          <w:rFonts w:asciiTheme="minorBidi" w:hAnsiTheme="minorBidi" w:cstheme="minorBidi"/>
        </w:rPr>
        <w:t>not</w:t>
      </w:r>
      <w:r w:rsidR="00FD509D" w:rsidRPr="00706B3E">
        <w:rPr>
          <w:rFonts w:asciiTheme="minorBidi" w:hAnsiTheme="minorBidi" w:cstheme="minorBidi"/>
        </w:rPr>
        <w:t xml:space="preserve"> merely 39 percent disabled.</w:t>
      </w:r>
    </w:p>
    <w:p w14:paraId="6CA1E2DC" w14:textId="7DFF85B4" w:rsidR="00DE3F06" w:rsidRDefault="00DE3F06" w:rsidP="007B0DD3">
      <w:pPr>
        <w:pStyle w:val="ListParagraph"/>
        <w:tabs>
          <w:tab w:val="left" w:pos="709"/>
        </w:tabs>
        <w:spacing w:line="360" w:lineRule="auto"/>
        <w:ind w:left="0"/>
        <w:jc w:val="both"/>
        <w:rPr>
          <w:rFonts w:asciiTheme="minorBidi" w:hAnsiTheme="minorBidi" w:cstheme="minorBidi"/>
        </w:rPr>
      </w:pPr>
    </w:p>
    <w:p w14:paraId="393E962C" w14:textId="295E72BA" w:rsidR="00DE3F06" w:rsidRPr="007B0DD3" w:rsidRDefault="00DE3F06"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The tribunal’s proceedings and decision</w:t>
      </w:r>
    </w:p>
    <w:p w14:paraId="2D9A106E" w14:textId="24594271" w:rsidR="00FD509D"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[16]</w:t>
      </w:r>
      <w:r w:rsidRPr="007B0DD3">
        <w:rPr>
          <w:rFonts w:ascii="Arial" w:hAnsi="Arial" w:cstheme="minorBidi"/>
        </w:rPr>
        <w:tab/>
      </w:r>
      <w:r w:rsidR="000F65E7" w:rsidRPr="00706B3E">
        <w:rPr>
          <w:rFonts w:asciiTheme="minorBidi" w:hAnsiTheme="minorBidi" w:cstheme="minorBidi"/>
        </w:rPr>
        <w:t>The tribunal conducted its proceedings on the papers only</w:t>
      </w:r>
      <w:r w:rsidR="00FD509D" w:rsidRPr="00706B3E">
        <w:rPr>
          <w:rFonts w:asciiTheme="minorBidi" w:hAnsiTheme="minorBidi" w:cstheme="minorBidi"/>
        </w:rPr>
        <w:t xml:space="preserve"> and </w:t>
      </w:r>
      <w:r w:rsidR="0004370A" w:rsidRPr="00706B3E">
        <w:rPr>
          <w:rFonts w:asciiTheme="minorBidi" w:hAnsiTheme="minorBidi" w:cstheme="minorBidi"/>
        </w:rPr>
        <w:t xml:space="preserve">called no </w:t>
      </w:r>
      <w:r w:rsidR="0004370A" w:rsidRPr="00706B3E">
        <w:rPr>
          <w:rFonts w:asciiTheme="minorBidi" w:hAnsiTheme="minorBidi" w:cstheme="minorBidi"/>
          <w:i/>
        </w:rPr>
        <w:t>viva voce</w:t>
      </w:r>
      <w:r w:rsidR="0004370A" w:rsidRPr="00706B3E">
        <w:rPr>
          <w:rFonts w:asciiTheme="minorBidi" w:hAnsiTheme="minorBidi" w:cstheme="minorBidi"/>
        </w:rPr>
        <w:t xml:space="preserve"> evidence</w:t>
      </w:r>
      <w:r w:rsidR="001820E0" w:rsidRPr="00706B3E">
        <w:rPr>
          <w:rFonts w:asciiTheme="minorBidi" w:hAnsiTheme="minorBidi" w:cstheme="minorBidi"/>
        </w:rPr>
        <w:t>. Indeed, it was, significantly noted by the tribunal that</w:t>
      </w:r>
      <w:r w:rsidR="00FD509D" w:rsidRPr="00706B3E">
        <w:rPr>
          <w:rFonts w:asciiTheme="minorBidi" w:hAnsiTheme="minorBidi" w:cstheme="minorBidi"/>
        </w:rPr>
        <w:t xml:space="preserve"> the parties:</w:t>
      </w:r>
    </w:p>
    <w:p w14:paraId="0A750DD4" w14:textId="77777777" w:rsidR="00FD509D" w:rsidRPr="007B0DD3" w:rsidRDefault="00FD509D" w:rsidP="007B0DD3">
      <w:pPr>
        <w:pStyle w:val="ListParagraph"/>
        <w:tabs>
          <w:tab w:val="left" w:pos="709"/>
        </w:tabs>
        <w:spacing w:line="360" w:lineRule="auto"/>
        <w:ind w:left="0"/>
        <w:jc w:val="both"/>
        <w:rPr>
          <w:rFonts w:asciiTheme="minorBidi" w:hAnsiTheme="minorBidi" w:cstheme="minorBidi"/>
        </w:rPr>
      </w:pPr>
      <w:r w:rsidRPr="007B0DD3">
        <w:rPr>
          <w:rFonts w:asciiTheme="minorBidi" w:hAnsiTheme="minorBidi" w:cstheme="minorBidi"/>
          <w:sz w:val="22"/>
          <w:szCs w:val="22"/>
        </w:rPr>
        <w:t>‘. . . agreed that it would not be necessary for the Applicant to give viva voce evidence as the facts contained in “Exhibit A” were common cause and not in dispute.’</w:t>
      </w:r>
      <w:r w:rsidRPr="007B0DD3">
        <w:rPr>
          <w:rFonts w:asciiTheme="minorBidi" w:hAnsiTheme="minorBidi" w:cstheme="minorBidi"/>
        </w:rPr>
        <w:t xml:space="preserve"> </w:t>
      </w:r>
    </w:p>
    <w:p w14:paraId="47A02487" w14:textId="762DDEE1" w:rsidR="00FD509D" w:rsidRPr="007B0DD3" w:rsidRDefault="00FD509D" w:rsidP="007B0DD3">
      <w:pPr>
        <w:pStyle w:val="ListParagraph"/>
        <w:tabs>
          <w:tab w:val="left" w:pos="709"/>
        </w:tabs>
        <w:spacing w:line="360" w:lineRule="auto"/>
        <w:ind w:left="0"/>
        <w:jc w:val="both"/>
        <w:rPr>
          <w:rFonts w:asciiTheme="minorBidi" w:hAnsiTheme="minorBidi" w:cstheme="minorBidi"/>
        </w:rPr>
      </w:pPr>
      <w:r w:rsidRPr="007B0DD3">
        <w:rPr>
          <w:rFonts w:asciiTheme="minorBidi" w:hAnsiTheme="minorBidi" w:cstheme="minorBidi"/>
        </w:rPr>
        <w:t>Exhibit ‘A’ apparently comprised the documents relied upon by the appellant, which included all his expert’s reports. The judgment went on further to record that:</w:t>
      </w:r>
    </w:p>
    <w:p w14:paraId="3B55F9F1" w14:textId="441E62D4" w:rsidR="001820E0" w:rsidRPr="007B0DD3" w:rsidRDefault="00FD509D"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‘The Applicant provided reports by various experts, ie. Dr A T Barret [</w:t>
      </w:r>
      <w:r w:rsidRPr="007B0DD3">
        <w:rPr>
          <w:rFonts w:asciiTheme="minorBidi" w:hAnsiTheme="minorBidi" w:cstheme="minorBidi"/>
          <w:i/>
          <w:iCs/>
          <w:sz w:val="22"/>
          <w:szCs w:val="22"/>
        </w:rPr>
        <w:t>sic</w:t>
      </w:r>
      <w:r w:rsidRPr="007B0DD3">
        <w:rPr>
          <w:rFonts w:asciiTheme="minorBidi" w:hAnsiTheme="minorBidi" w:cstheme="minorBidi"/>
          <w:sz w:val="22"/>
          <w:szCs w:val="22"/>
        </w:rPr>
        <w:t>] ; Devindree Pillay (Occupational Therapist) and Dr V A Agambaram all of which was accepted and undisputed by the Respondent.’</w:t>
      </w:r>
    </w:p>
    <w:p w14:paraId="5CC2430B" w14:textId="77777777" w:rsidR="00FD509D" w:rsidRPr="007B0DD3" w:rsidRDefault="00FD509D" w:rsidP="007B0DD3">
      <w:pPr>
        <w:pStyle w:val="ListParagraph"/>
        <w:tabs>
          <w:tab w:val="left" w:pos="709"/>
        </w:tabs>
        <w:spacing w:line="360" w:lineRule="auto"/>
        <w:ind w:left="0"/>
        <w:jc w:val="both"/>
        <w:rPr>
          <w:rFonts w:asciiTheme="minorBidi" w:hAnsiTheme="minorBidi" w:cstheme="minorBidi"/>
          <w:sz w:val="22"/>
          <w:szCs w:val="22"/>
        </w:rPr>
      </w:pPr>
    </w:p>
    <w:p w14:paraId="35F769F5" w14:textId="3F4268E5" w:rsidR="00736D65"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[17]</w:t>
      </w:r>
      <w:r w:rsidRPr="007B0DD3">
        <w:rPr>
          <w:rFonts w:ascii="Arial" w:hAnsi="Arial" w:cstheme="minorBidi"/>
        </w:rPr>
        <w:tab/>
      </w:r>
      <w:r w:rsidR="0004370A" w:rsidRPr="00706B3E">
        <w:rPr>
          <w:rFonts w:asciiTheme="minorBidi" w:hAnsiTheme="minorBidi" w:cstheme="minorBidi"/>
        </w:rPr>
        <w:t xml:space="preserve"> </w:t>
      </w:r>
      <w:r w:rsidR="00FD509D" w:rsidRPr="00706B3E">
        <w:rPr>
          <w:rFonts w:asciiTheme="minorBidi" w:hAnsiTheme="minorBidi" w:cstheme="minorBidi"/>
        </w:rPr>
        <w:t>O</w:t>
      </w:r>
      <w:r w:rsidR="0004370A" w:rsidRPr="00706B3E">
        <w:rPr>
          <w:rFonts w:asciiTheme="minorBidi" w:hAnsiTheme="minorBidi" w:cstheme="minorBidi"/>
        </w:rPr>
        <w:t>n 4 March 2022</w:t>
      </w:r>
      <w:r w:rsidR="00F37C55" w:rsidRPr="00706B3E">
        <w:rPr>
          <w:rFonts w:asciiTheme="minorBidi" w:hAnsiTheme="minorBidi" w:cstheme="minorBidi"/>
        </w:rPr>
        <w:t>,</w:t>
      </w:r>
      <w:r w:rsidR="0004370A" w:rsidRPr="00706B3E">
        <w:rPr>
          <w:rFonts w:asciiTheme="minorBidi" w:hAnsiTheme="minorBidi" w:cstheme="minorBidi"/>
        </w:rPr>
        <w:t xml:space="preserve"> </w:t>
      </w:r>
      <w:r w:rsidR="00740FF6" w:rsidRPr="00706B3E">
        <w:rPr>
          <w:rFonts w:asciiTheme="minorBidi" w:hAnsiTheme="minorBidi" w:cstheme="minorBidi"/>
        </w:rPr>
        <w:t xml:space="preserve">the tribunal </w:t>
      </w:r>
      <w:r w:rsidR="00290AB5" w:rsidRPr="00706B3E">
        <w:rPr>
          <w:rFonts w:asciiTheme="minorBidi" w:hAnsiTheme="minorBidi" w:cstheme="minorBidi"/>
        </w:rPr>
        <w:t>delivered the following ruling:</w:t>
      </w:r>
    </w:p>
    <w:p w14:paraId="6FA8BCA9" w14:textId="5BACD2E7" w:rsidR="00736D65" w:rsidRPr="007B0DD3" w:rsidRDefault="00736D65" w:rsidP="007B0DD3">
      <w:pPr>
        <w:spacing w:line="360" w:lineRule="auto"/>
        <w:jc w:val="both"/>
        <w:rPr>
          <w:rFonts w:asciiTheme="minorBidi" w:hAnsiTheme="minorBidi" w:cstheme="minorBidi"/>
          <w:sz w:val="22"/>
          <w:szCs w:val="22"/>
        </w:rPr>
      </w:pPr>
      <w:r w:rsidRPr="007B0DD3">
        <w:rPr>
          <w:rFonts w:asciiTheme="minorBidi" w:hAnsiTheme="minorBidi" w:cstheme="minorBidi"/>
          <w:sz w:val="22"/>
          <w:szCs w:val="22"/>
        </w:rPr>
        <w:t>‘</w:t>
      </w:r>
      <w:r w:rsidR="00290AB5" w:rsidRPr="007B0DD3">
        <w:rPr>
          <w:rFonts w:asciiTheme="minorBidi" w:hAnsiTheme="minorBidi" w:cstheme="minorBidi"/>
          <w:sz w:val="22"/>
          <w:szCs w:val="22"/>
        </w:rPr>
        <w:t>It is therefore a unanimous decision of the tribunal that :-</w:t>
      </w:r>
    </w:p>
    <w:p w14:paraId="2B457167" w14:textId="07AB43EE" w:rsidR="00290AB5" w:rsidRPr="00706B3E" w:rsidRDefault="00706B3E" w:rsidP="00706B3E">
      <w:pPr>
        <w:tabs>
          <w:tab w:val="left" w:pos="709"/>
        </w:tabs>
        <w:spacing w:line="360" w:lineRule="auto"/>
        <w:jc w:val="both"/>
        <w:rPr>
          <w:rFonts w:asciiTheme="minorBidi" w:hAnsiTheme="minorBidi" w:cstheme="minorBidi"/>
          <w:sz w:val="22"/>
          <w:szCs w:val="22"/>
        </w:rPr>
      </w:pPr>
      <w:r w:rsidRPr="007B0DD3">
        <w:rPr>
          <w:rFonts w:asciiTheme="minorBidi" w:hAnsiTheme="minorBidi" w:cstheme="minorBidi"/>
          <w:sz w:val="22"/>
          <w:szCs w:val="22"/>
        </w:rPr>
        <w:t>1.</w:t>
      </w:r>
      <w:r w:rsidRPr="007B0DD3">
        <w:rPr>
          <w:rFonts w:asciiTheme="minorBidi" w:hAnsiTheme="minorBidi" w:cstheme="minorBidi"/>
          <w:sz w:val="22"/>
          <w:szCs w:val="22"/>
        </w:rPr>
        <w:tab/>
      </w:r>
      <w:r w:rsidR="00290AB5" w:rsidRPr="00706B3E">
        <w:rPr>
          <w:rFonts w:asciiTheme="minorBidi" w:hAnsiTheme="minorBidi" w:cstheme="minorBidi"/>
          <w:sz w:val="22"/>
          <w:szCs w:val="22"/>
        </w:rPr>
        <w:t>The calculation of the permanent disability of the Applicant at 39% is correctly calculated;</w:t>
      </w:r>
    </w:p>
    <w:p w14:paraId="17982A66" w14:textId="4DA364D8" w:rsidR="00290AB5" w:rsidRPr="00706B3E" w:rsidRDefault="00706B3E" w:rsidP="00706B3E">
      <w:pPr>
        <w:tabs>
          <w:tab w:val="left" w:pos="709"/>
        </w:tabs>
        <w:spacing w:line="360" w:lineRule="auto"/>
        <w:jc w:val="both"/>
        <w:rPr>
          <w:rFonts w:asciiTheme="minorBidi" w:hAnsiTheme="minorBidi" w:cstheme="minorBidi"/>
          <w:sz w:val="22"/>
          <w:szCs w:val="22"/>
        </w:rPr>
      </w:pPr>
      <w:r w:rsidRPr="007B0DD3">
        <w:rPr>
          <w:rFonts w:asciiTheme="minorBidi" w:hAnsiTheme="minorBidi" w:cstheme="minorBidi"/>
          <w:sz w:val="22"/>
          <w:szCs w:val="22"/>
        </w:rPr>
        <w:t>2.</w:t>
      </w:r>
      <w:r w:rsidRPr="007B0DD3">
        <w:rPr>
          <w:rFonts w:asciiTheme="minorBidi" w:hAnsiTheme="minorBidi" w:cstheme="minorBidi"/>
          <w:sz w:val="22"/>
          <w:szCs w:val="22"/>
        </w:rPr>
        <w:tab/>
      </w:r>
      <w:r w:rsidR="00290AB5" w:rsidRPr="00706B3E">
        <w:rPr>
          <w:rFonts w:asciiTheme="minorBidi" w:hAnsiTheme="minorBidi" w:cstheme="minorBidi"/>
          <w:sz w:val="22"/>
          <w:szCs w:val="22"/>
        </w:rPr>
        <w:t>The Applicant’s objection is hereby dismissed with no order of costs.’</w:t>
      </w:r>
    </w:p>
    <w:p w14:paraId="5F7CC026" w14:textId="5FDE6B05" w:rsidR="00290AB5" w:rsidRPr="007B0DD3" w:rsidRDefault="00290AB5" w:rsidP="007B0DD3">
      <w:pPr>
        <w:pStyle w:val="ListParagraph"/>
        <w:tabs>
          <w:tab w:val="left" w:pos="709"/>
        </w:tabs>
        <w:spacing w:line="360" w:lineRule="auto"/>
        <w:ind w:left="0"/>
        <w:jc w:val="both"/>
        <w:rPr>
          <w:rFonts w:asciiTheme="minorBidi" w:hAnsiTheme="minorBidi" w:cstheme="minorBidi"/>
          <w:sz w:val="22"/>
          <w:szCs w:val="22"/>
        </w:rPr>
      </w:pPr>
    </w:p>
    <w:p w14:paraId="72BC90A1" w14:textId="1BAE2116" w:rsidR="00210E8A" w:rsidRPr="00D34C82" w:rsidRDefault="00210E8A" w:rsidP="007B0DD3">
      <w:pPr>
        <w:pStyle w:val="ListParagraph"/>
        <w:tabs>
          <w:tab w:val="left" w:pos="709"/>
        </w:tabs>
        <w:spacing w:line="360" w:lineRule="auto"/>
        <w:ind w:left="0"/>
        <w:jc w:val="both"/>
        <w:rPr>
          <w:rFonts w:asciiTheme="minorBidi" w:hAnsiTheme="minorBidi" w:cstheme="minorBidi"/>
          <w:b/>
          <w:bCs/>
        </w:rPr>
      </w:pPr>
      <w:r w:rsidRPr="00D34C82">
        <w:rPr>
          <w:rFonts w:asciiTheme="minorBidi" w:hAnsiTheme="minorBidi" w:cstheme="minorBidi"/>
          <w:b/>
          <w:bCs/>
        </w:rPr>
        <w:t>The appeal</w:t>
      </w:r>
    </w:p>
    <w:p w14:paraId="3B36E721" w14:textId="326CFF80" w:rsidR="00FC2153"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[18]</w:t>
      </w:r>
      <w:r w:rsidRPr="007B0DD3">
        <w:rPr>
          <w:rFonts w:ascii="Arial" w:hAnsi="Arial" w:cstheme="minorBidi"/>
        </w:rPr>
        <w:tab/>
      </w:r>
      <w:r w:rsidR="000F65E7" w:rsidRPr="00706B3E">
        <w:rPr>
          <w:rFonts w:asciiTheme="minorBidi" w:hAnsiTheme="minorBidi" w:cstheme="minorBidi"/>
        </w:rPr>
        <w:t xml:space="preserve">The dismissal of the </w:t>
      </w:r>
      <w:r w:rsidR="007C3060" w:rsidRPr="00706B3E">
        <w:rPr>
          <w:rFonts w:asciiTheme="minorBidi" w:hAnsiTheme="minorBidi" w:cstheme="minorBidi"/>
        </w:rPr>
        <w:t xml:space="preserve">appellant’s </w:t>
      </w:r>
      <w:r w:rsidR="000F65E7" w:rsidRPr="00706B3E">
        <w:rPr>
          <w:rFonts w:asciiTheme="minorBidi" w:hAnsiTheme="minorBidi" w:cstheme="minorBidi"/>
        </w:rPr>
        <w:t>object</w:t>
      </w:r>
      <w:r w:rsidR="00CA24BF" w:rsidRPr="00706B3E">
        <w:rPr>
          <w:rFonts w:asciiTheme="minorBidi" w:hAnsiTheme="minorBidi" w:cstheme="minorBidi"/>
        </w:rPr>
        <w:t>ion has resulted in this appeal</w:t>
      </w:r>
      <w:r w:rsidR="00FD509D" w:rsidRPr="00706B3E">
        <w:rPr>
          <w:rFonts w:asciiTheme="minorBidi" w:hAnsiTheme="minorBidi" w:cstheme="minorBidi"/>
        </w:rPr>
        <w:t>.</w:t>
      </w:r>
      <w:r w:rsidR="0054261C" w:rsidRPr="00706B3E">
        <w:rPr>
          <w:rFonts w:asciiTheme="minorBidi" w:hAnsiTheme="minorBidi" w:cstheme="minorBidi"/>
        </w:rPr>
        <w:t xml:space="preserve"> </w:t>
      </w:r>
      <w:r w:rsidR="00FD509D" w:rsidRPr="00706B3E">
        <w:rPr>
          <w:rFonts w:asciiTheme="minorBidi" w:hAnsiTheme="minorBidi" w:cstheme="minorBidi"/>
        </w:rPr>
        <w:t>S</w:t>
      </w:r>
      <w:r w:rsidR="0054261C" w:rsidRPr="00706B3E">
        <w:rPr>
          <w:rFonts w:asciiTheme="minorBidi" w:hAnsiTheme="minorBidi" w:cstheme="minorBidi"/>
        </w:rPr>
        <w:t>ection 91</w:t>
      </w:r>
      <w:r w:rsidR="006C63B2" w:rsidRPr="00706B3E">
        <w:rPr>
          <w:rFonts w:asciiTheme="minorBidi" w:hAnsiTheme="minorBidi" w:cstheme="minorBidi"/>
        </w:rPr>
        <w:t>(5)</w:t>
      </w:r>
      <w:r w:rsidR="006C63B2" w:rsidRPr="00706B3E">
        <w:rPr>
          <w:rFonts w:asciiTheme="minorBidi" w:hAnsiTheme="minorBidi" w:cstheme="minorBidi"/>
          <w:i/>
        </w:rPr>
        <w:t>(a)</w:t>
      </w:r>
      <w:r w:rsidR="006C63B2" w:rsidRPr="00706B3E">
        <w:rPr>
          <w:rFonts w:asciiTheme="minorBidi" w:hAnsiTheme="minorBidi" w:cstheme="minorBidi"/>
        </w:rPr>
        <w:t xml:space="preserve"> of the </w:t>
      </w:r>
      <w:r w:rsidR="00AC7148" w:rsidRPr="00706B3E">
        <w:rPr>
          <w:rFonts w:asciiTheme="minorBidi" w:hAnsiTheme="minorBidi" w:cstheme="minorBidi"/>
        </w:rPr>
        <w:t>Act</w:t>
      </w:r>
      <w:r w:rsidR="00085E3E" w:rsidRPr="00706B3E">
        <w:rPr>
          <w:rFonts w:asciiTheme="minorBidi" w:hAnsiTheme="minorBidi" w:cstheme="minorBidi"/>
        </w:rPr>
        <w:t xml:space="preserve"> provides as follows:</w:t>
      </w:r>
    </w:p>
    <w:p w14:paraId="2D945F0B" w14:textId="4D4699F3" w:rsidR="0090313E" w:rsidRPr="007B0DD3" w:rsidRDefault="00CA24BF" w:rsidP="007B0DD3">
      <w:pPr>
        <w:tabs>
          <w:tab w:val="left" w:pos="709"/>
        </w:tabs>
        <w:spacing w:line="360" w:lineRule="auto"/>
        <w:jc w:val="both"/>
        <w:rPr>
          <w:rFonts w:asciiTheme="minorBidi" w:hAnsiTheme="minorBidi" w:cstheme="minorBidi"/>
          <w:sz w:val="22"/>
          <w:szCs w:val="22"/>
          <w:lang w:val="en-US"/>
        </w:rPr>
      </w:pPr>
      <w:r w:rsidRPr="007B0DD3">
        <w:rPr>
          <w:rFonts w:asciiTheme="minorBidi" w:hAnsiTheme="minorBidi" w:cstheme="minorBidi"/>
          <w:sz w:val="22"/>
          <w:szCs w:val="22"/>
        </w:rPr>
        <w:t>‘</w:t>
      </w:r>
      <w:r w:rsidR="0090313E" w:rsidRPr="007B0DD3">
        <w:rPr>
          <w:rFonts w:asciiTheme="minorBidi" w:hAnsiTheme="minorBidi" w:cstheme="minorBidi"/>
          <w:sz w:val="22"/>
          <w:szCs w:val="22"/>
          <w:lang w:val="en-US"/>
        </w:rPr>
        <w:t>(5)(</w:t>
      </w:r>
      <w:r w:rsidR="0090313E" w:rsidRPr="007B0DD3">
        <w:rPr>
          <w:rFonts w:asciiTheme="minorBidi" w:hAnsiTheme="minorBidi" w:cstheme="minorBidi"/>
          <w:i/>
          <w:iCs/>
          <w:sz w:val="22"/>
          <w:szCs w:val="22"/>
          <w:lang w:val="en-US"/>
        </w:rPr>
        <w:t>a</w:t>
      </w:r>
      <w:r w:rsidR="0090313E" w:rsidRPr="007B0DD3">
        <w:rPr>
          <w:rFonts w:asciiTheme="minorBidi" w:hAnsiTheme="minorBidi" w:cstheme="minorBidi"/>
          <w:sz w:val="22"/>
          <w:szCs w:val="22"/>
          <w:lang w:val="en-US"/>
        </w:rPr>
        <w:t>)  Any person affected by a decision referred to in subsection (3) (</w:t>
      </w:r>
      <w:r w:rsidR="0090313E" w:rsidRPr="007B0DD3">
        <w:rPr>
          <w:rFonts w:asciiTheme="minorBidi" w:hAnsiTheme="minorBidi" w:cstheme="minorBidi"/>
          <w:i/>
          <w:iCs/>
          <w:sz w:val="22"/>
          <w:szCs w:val="22"/>
          <w:lang w:val="en-US"/>
        </w:rPr>
        <w:t>a</w:t>
      </w:r>
      <w:r w:rsidR="0090313E" w:rsidRPr="007B0DD3">
        <w:rPr>
          <w:rFonts w:asciiTheme="minorBidi" w:hAnsiTheme="minorBidi" w:cstheme="minorBidi"/>
          <w:sz w:val="22"/>
          <w:szCs w:val="22"/>
          <w:lang w:val="en-US"/>
        </w:rPr>
        <w:t>), may appeal to</w:t>
      </w:r>
      <w:r w:rsidR="00CD150D" w:rsidRPr="007B0DD3">
        <w:rPr>
          <w:rFonts w:asciiTheme="minorBidi" w:hAnsiTheme="minorBidi" w:cstheme="minorBidi"/>
          <w:sz w:val="22"/>
          <w:szCs w:val="22"/>
          <w:lang w:val="en-US"/>
        </w:rPr>
        <w:t xml:space="preserve"> </w:t>
      </w:r>
      <w:r w:rsidR="0090313E" w:rsidRPr="007B0DD3">
        <w:rPr>
          <w:rFonts w:asciiTheme="minorBidi" w:hAnsiTheme="minorBidi" w:cstheme="minorBidi"/>
          <w:sz w:val="22"/>
          <w:szCs w:val="22"/>
          <w:lang w:val="en-US"/>
        </w:rPr>
        <w:t>any provincial or local division of the Supreme Court having jurisdiction against a decision regarding—</w:t>
      </w:r>
    </w:p>
    <w:p w14:paraId="300EF114" w14:textId="6A5DF68F" w:rsidR="0090313E" w:rsidRPr="007B0DD3" w:rsidRDefault="0090313E" w:rsidP="007B0DD3">
      <w:pPr>
        <w:tabs>
          <w:tab w:val="left" w:pos="709"/>
        </w:tabs>
        <w:spacing w:line="360" w:lineRule="auto"/>
        <w:jc w:val="both"/>
        <w:rPr>
          <w:rFonts w:asciiTheme="minorBidi" w:hAnsiTheme="minorBidi" w:cstheme="minorBidi"/>
          <w:sz w:val="22"/>
          <w:szCs w:val="22"/>
          <w:lang w:val="en-US"/>
        </w:rPr>
      </w:pPr>
      <w:r w:rsidRPr="007B0DD3">
        <w:rPr>
          <w:rFonts w:asciiTheme="minorBidi" w:hAnsiTheme="minorBidi" w:cstheme="minorBidi"/>
          <w:sz w:val="22"/>
          <w:szCs w:val="22"/>
          <w:lang w:val="en-US"/>
        </w:rPr>
        <w:t xml:space="preserve">(i) </w:t>
      </w:r>
      <w:r w:rsidR="00E9013E" w:rsidRPr="007B0DD3">
        <w:rPr>
          <w:rFonts w:asciiTheme="minorBidi" w:hAnsiTheme="minorBidi" w:cstheme="minorBidi"/>
          <w:sz w:val="22"/>
          <w:szCs w:val="22"/>
          <w:lang w:val="en-US"/>
        </w:rPr>
        <w:tab/>
      </w:r>
      <w:r w:rsidRPr="007B0DD3">
        <w:rPr>
          <w:rFonts w:asciiTheme="minorBidi" w:hAnsiTheme="minorBidi" w:cstheme="minorBidi"/>
          <w:sz w:val="22"/>
          <w:szCs w:val="22"/>
          <w:lang w:val="en-US"/>
        </w:rPr>
        <w:t>the interpretation of this Act or any other law;</w:t>
      </w:r>
    </w:p>
    <w:p w14:paraId="48435C10" w14:textId="79D48E24" w:rsidR="0090313E" w:rsidRPr="007B0DD3" w:rsidRDefault="0090313E" w:rsidP="007B0DD3">
      <w:pPr>
        <w:tabs>
          <w:tab w:val="left" w:pos="709"/>
        </w:tabs>
        <w:spacing w:line="360" w:lineRule="auto"/>
        <w:jc w:val="both"/>
        <w:rPr>
          <w:rFonts w:asciiTheme="minorBidi" w:hAnsiTheme="minorBidi" w:cstheme="minorBidi"/>
          <w:sz w:val="22"/>
          <w:szCs w:val="22"/>
          <w:lang w:val="en-US"/>
        </w:rPr>
      </w:pPr>
      <w:r w:rsidRPr="007B0DD3">
        <w:rPr>
          <w:rFonts w:asciiTheme="minorBidi" w:hAnsiTheme="minorBidi" w:cstheme="minorBidi"/>
          <w:sz w:val="22"/>
          <w:szCs w:val="22"/>
          <w:lang w:val="en-US"/>
        </w:rPr>
        <w:t xml:space="preserve">(ii) </w:t>
      </w:r>
      <w:r w:rsidR="00E9013E" w:rsidRPr="007B0DD3">
        <w:rPr>
          <w:rFonts w:asciiTheme="minorBidi" w:hAnsiTheme="minorBidi" w:cstheme="minorBidi"/>
          <w:sz w:val="22"/>
          <w:szCs w:val="22"/>
          <w:lang w:val="en-US"/>
        </w:rPr>
        <w:tab/>
      </w:r>
      <w:r w:rsidRPr="007B0DD3">
        <w:rPr>
          <w:rFonts w:asciiTheme="minorBidi" w:hAnsiTheme="minorBidi" w:cstheme="minorBidi"/>
          <w:sz w:val="22"/>
          <w:szCs w:val="22"/>
          <w:lang w:val="en-US"/>
        </w:rPr>
        <w:t xml:space="preserve">the question whether an accident or occupational disease causing the disablement or death of an employee was attributable to his or her serious and </w:t>
      </w:r>
      <w:r w:rsidR="00085E3E" w:rsidRPr="007B0DD3">
        <w:rPr>
          <w:rFonts w:asciiTheme="minorBidi" w:hAnsiTheme="minorBidi" w:cstheme="minorBidi"/>
          <w:sz w:val="22"/>
          <w:szCs w:val="22"/>
          <w:lang w:val="en-US"/>
        </w:rPr>
        <w:t>willful</w:t>
      </w:r>
      <w:r w:rsidRPr="007B0DD3">
        <w:rPr>
          <w:rFonts w:asciiTheme="minorBidi" w:hAnsiTheme="minorBidi" w:cstheme="minorBidi"/>
          <w:sz w:val="22"/>
          <w:szCs w:val="22"/>
          <w:lang w:val="en-US"/>
        </w:rPr>
        <w:t xml:space="preserve"> misconduct;</w:t>
      </w:r>
    </w:p>
    <w:p w14:paraId="5B2FBCCF" w14:textId="2FDE2F97" w:rsidR="0090313E" w:rsidRPr="007B0DD3" w:rsidRDefault="0090313E" w:rsidP="007B0DD3">
      <w:pPr>
        <w:tabs>
          <w:tab w:val="left" w:pos="709"/>
        </w:tabs>
        <w:spacing w:line="360" w:lineRule="auto"/>
        <w:jc w:val="both"/>
        <w:rPr>
          <w:rFonts w:asciiTheme="minorBidi" w:hAnsiTheme="minorBidi" w:cstheme="minorBidi"/>
          <w:sz w:val="22"/>
          <w:szCs w:val="22"/>
          <w:lang w:val="en-US"/>
        </w:rPr>
      </w:pPr>
      <w:r w:rsidRPr="007B0DD3">
        <w:rPr>
          <w:rFonts w:asciiTheme="minorBidi" w:hAnsiTheme="minorBidi" w:cstheme="minorBidi"/>
          <w:sz w:val="22"/>
          <w:szCs w:val="22"/>
          <w:lang w:val="en-US"/>
        </w:rPr>
        <w:t xml:space="preserve">(iii) </w:t>
      </w:r>
      <w:r w:rsidR="00E9013E" w:rsidRPr="007B0DD3">
        <w:rPr>
          <w:rFonts w:asciiTheme="minorBidi" w:hAnsiTheme="minorBidi" w:cstheme="minorBidi"/>
          <w:sz w:val="22"/>
          <w:szCs w:val="22"/>
          <w:lang w:val="en-US"/>
        </w:rPr>
        <w:tab/>
      </w:r>
      <w:r w:rsidRPr="007B0DD3">
        <w:rPr>
          <w:rFonts w:asciiTheme="minorBidi" w:hAnsiTheme="minorBidi" w:cstheme="minorBidi"/>
          <w:sz w:val="22"/>
          <w:szCs w:val="22"/>
          <w:lang w:val="en-US"/>
        </w:rPr>
        <w:t>the question whether the amount of any compensation awarded is so excessive or so inadequate that the award thereof could not reasonably have been made;</w:t>
      </w:r>
    </w:p>
    <w:p w14:paraId="778C84C8" w14:textId="7D9A30AE" w:rsidR="00CA24BF" w:rsidRPr="00706B3E" w:rsidRDefault="00706B3E" w:rsidP="00706B3E">
      <w:pPr>
        <w:tabs>
          <w:tab w:val="left" w:pos="709"/>
        </w:tabs>
        <w:spacing w:line="360" w:lineRule="auto"/>
        <w:jc w:val="both"/>
        <w:rPr>
          <w:rFonts w:asciiTheme="minorBidi" w:hAnsiTheme="minorBidi" w:cstheme="minorBidi"/>
          <w:sz w:val="22"/>
          <w:szCs w:val="22"/>
        </w:rPr>
      </w:pPr>
      <w:r w:rsidRPr="007B0DD3">
        <w:rPr>
          <w:rFonts w:asciiTheme="minorBidi" w:hAnsiTheme="minorBidi" w:cstheme="minorBidi"/>
          <w:sz w:val="22"/>
          <w:szCs w:val="22"/>
        </w:rPr>
        <w:t>(v)</w:t>
      </w:r>
      <w:r w:rsidRPr="007B0DD3">
        <w:rPr>
          <w:rFonts w:asciiTheme="minorBidi" w:hAnsiTheme="minorBidi" w:cstheme="minorBidi"/>
          <w:sz w:val="22"/>
          <w:szCs w:val="22"/>
        </w:rPr>
        <w:tab/>
      </w:r>
      <w:r w:rsidR="0090313E" w:rsidRPr="00706B3E">
        <w:rPr>
          <w:rFonts w:asciiTheme="minorBidi" w:hAnsiTheme="minorBidi" w:cstheme="minorBidi"/>
          <w:sz w:val="22"/>
          <w:szCs w:val="22"/>
          <w:lang w:val="en-US"/>
        </w:rPr>
        <w:t>the right to increased compensation in terms of section 56.</w:t>
      </w:r>
      <w:r w:rsidR="0071149F" w:rsidRPr="00706B3E">
        <w:rPr>
          <w:rFonts w:asciiTheme="minorBidi" w:hAnsiTheme="minorBidi" w:cstheme="minorBidi"/>
          <w:sz w:val="22"/>
          <w:szCs w:val="22"/>
        </w:rPr>
        <w:t>’</w:t>
      </w:r>
      <w:r w:rsidR="00CA24BF" w:rsidRPr="00706B3E">
        <w:rPr>
          <w:rFonts w:asciiTheme="minorBidi" w:hAnsiTheme="minorBidi" w:cstheme="minorBidi"/>
          <w:sz w:val="22"/>
          <w:szCs w:val="22"/>
        </w:rPr>
        <w:t xml:space="preserve"> </w:t>
      </w:r>
    </w:p>
    <w:p w14:paraId="4A0B9F62" w14:textId="60B75192" w:rsidR="00210E8A" w:rsidRDefault="00210E8A" w:rsidP="007B0DD3">
      <w:pPr>
        <w:tabs>
          <w:tab w:val="left" w:pos="709"/>
        </w:tabs>
        <w:spacing w:line="360" w:lineRule="auto"/>
        <w:jc w:val="both"/>
        <w:rPr>
          <w:rFonts w:asciiTheme="minorBidi" w:hAnsiTheme="minorBidi" w:cstheme="minorBidi"/>
          <w:sz w:val="22"/>
          <w:szCs w:val="22"/>
        </w:rPr>
      </w:pPr>
    </w:p>
    <w:p w14:paraId="508E2D7B" w14:textId="77777777" w:rsidR="00740FF6" w:rsidRPr="007B0DD3" w:rsidRDefault="00740FF6" w:rsidP="007B0DD3">
      <w:pPr>
        <w:tabs>
          <w:tab w:val="left" w:pos="709"/>
        </w:tabs>
        <w:spacing w:line="360" w:lineRule="auto"/>
        <w:jc w:val="both"/>
        <w:rPr>
          <w:rFonts w:asciiTheme="minorBidi" w:hAnsiTheme="minorBidi" w:cstheme="minorBidi"/>
          <w:sz w:val="22"/>
          <w:szCs w:val="22"/>
        </w:rPr>
      </w:pPr>
    </w:p>
    <w:p w14:paraId="3A267AF3" w14:textId="4A9F6A21" w:rsidR="00210E8A" w:rsidRPr="005D5F8E" w:rsidRDefault="00210E8A" w:rsidP="007B0DD3">
      <w:pPr>
        <w:pStyle w:val="ListParagraph"/>
        <w:tabs>
          <w:tab w:val="left" w:pos="709"/>
        </w:tabs>
        <w:spacing w:line="360" w:lineRule="auto"/>
        <w:ind w:left="0"/>
        <w:jc w:val="both"/>
        <w:rPr>
          <w:rFonts w:asciiTheme="minorBidi" w:hAnsiTheme="minorBidi" w:cstheme="minorBidi"/>
          <w:b/>
          <w:bCs/>
          <w:szCs w:val="22"/>
        </w:rPr>
      </w:pPr>
      <w:r w:rsidRPr="005D5F8E">
        <w:rPr>
          <w:rFonts w:asciiTheme="minorBidi" w:hAnsiTheme="minorBidi" w:cstheme="minorBidi"/>
          <w:b/>
          <w:bCs/>
          <w:szCs w:val="22"/>
        </w:rPr>
        <w:lastRenderedPageBreak/>
        <w:t>The issues</w:t>
      </w:r>
      <w:r w:rsidR="00740FF6" w:rsidRPr="005D5F8E">
        <w:rPr>
          <w:rFonts w:asciiTheme="minorBidi" w:hAnsiTheme="minorBidi" w:cstheme="minorBidi"/>
          <w:b/>
          <w:bCs/>
          <w:szCs w:val="22"/>
        </w:rPr>
        <w:t xml:space="preserve"> on appeal</w:t>
      </w:r>
    </w:p>
    <w:p w14:paraId="6E03D3A0" w14:textId="7A6F893E" w:rsidR="00210E8A"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[19]</w:t>
      </w:r>
      <w:r w:rsidRPr="007B0DD3">
        <w:rPr>
          <w:rFonts w:ascii="Arial" w:hAnsi="Arial" w:cstheme="minorBidi"/>
        </w:rPr>
        <w:tab/>
      </w:r>
      <w:r w:rsidR="00210E8A" w:rsidRPr="00706B3E">
        <w:rPr>
          <w:rFonts w:asciiTheme="minorBidi" w:hAnsiTheme="minorBidi" w:cstheme="minorBidi"/>
        </w:rPr>
        <w:t xml:space="preserve">The issues </w:t>
      </w:r>
      <w:r w:rsidR="0083535A" w:rsidRPr="00706B3E">
        <w:rPr>
          <w:rFonts w:asciiTheme="minorBidi" w:hAnsiTheme="minorBidi" w:cstheme="minorBidi"/>
        </w:rPr>
        <w:t xml:space="preserve">on appeal </w:t>
      </w:r>
      <w:r w:rsidR="00210E8A" w:rsidRPr="00706B3E">
        <w:rPr>
          <w:rFonts w:asciiTheme="minorBidi" w:hAnsiTheme="minorBidi" w:cstheme="minorBidi"/>
        </w:rPr>
        <w:t>are relatively crisp. The appellant contends that he is entitled to be regarded as being 100 percent disabled in terms of the Act.</w:t>
      </w:r>
      <w:r w:rsidR="00CD150D" w:rsidRPr="007B0DD3">
        <w:rPr>
          <w:rStyle w:val="FootnoteReference"/>
          <w:rFonts w:asciiTheme="minorBidi" w:hAnsiTheme="minorBidi" w:cstheme="minorBidi"/>
        </w:rPr>
        <w:footnoteReference w:id="1"/>
      </w:r>
      <w:r w:rsidR="00210E8A" w:rsidRPr="00706B3E">
        <w:rPr>
          <w:rFonts w:asciiTheme="minorBidi" w:hAnsiTheme="minorBidi" w:cstheme="minorBidi"/>
        </w:rPr>
        <w:t xml:space="preserve"> </w:t>
      </w:r>
      <w:r w:rsidR="0083535A" w:rsidRPr="00706B3E">
        <w:rPr>
          <w:rFonts w:asciiTheme="minorBidi" w:hAnsiTheme="minorBidi" w:cstheme="minorBidi"/>
        </w:rPr>
        <w:t>In support of this submission, t</w:t>
      </w:r>
      <w:r w:rsidR="00210E8A" w:rsidRPr="00706B3E">
        <w:rPr>
          <w:rFonts w:asciiTheme="minorBidi" w:hAnsiTheme="minorBidi" w:cstheme="minorBidi"/>
        </w:rPr>
        <w:t>he appellant’s notice of appeal sets out various grounds on which it is alleged that the tribunal erred</w:t>
      </w:r>
      <w:r w:rsidR="00E9013E" w:rsidRPr="00706B3E">
        <w:rPr>
          <w:rFonts w:asciiTheme="minorBidi" w:hAnsiTheme="minorBidi" w:cstheme="minorBidi"/>
        </w:rPr>
        <w:t xml:space="preserve"> in </w:t>
      </w:r>
      <w:r w:rsidR="00CD150D" w:rsidRPr="00706B3E">
        <w:rPr>
          <w:rFonts w:asciiTheme="minorBidi" w:hAnsiTheme="minorBidi" w:cstheme="minorBidi"/>
        </w:rPr>
        <w:t xml:space="preserve">confirming </w:t>
      </w:r>
      <w:r w:rsidR="00E9013E" w:rsidRPr="00706B3E">
        <w:rPr>
          <w:rFonts w:asciiTheme="minorBidi" w:hAnsiTheme="minorBidi" w:cstheme="minorBidi"/>
        </w:rPr>
        <w:t xml:space="preserve">his </w:t>
      </w:r>
      <w:r w:rsidR="009A382F" w:rsidRPr="00706B3E">
        <w:rPr>
          <w:rFonts w:asciiTheme="minorBidi" w:hAnsiTheme="minorBidi" w:cstheme="minorBidi"/>
        </w:rPr>
        <w:t>disablement</w:t>
      </w:r>
      <w:r w:rsidR="00E9013E" w:rsidRPr="00706B3E">
        <w:rPr>
          <w:rFonts w:asciiTheme="minorBidi" w:hAnsiTheme="minorBidi" w:cstheme="minorBidi"/>
        </w:rPr>
        <w:t xml:space="preserve"> at only 39 percent</w:t>
      </w:r>
      <w:r w:rsidR="00210E8A" w:rsidRPr="00706B3E">
        <w:rPr>
          <w:rFonts w:asciiTheme="minorBidi" w:hAnsiTheme="minorBidi" w:cstheme="minorBidi"/>
        </w:rPr>
        <w:t xml:space="preserve">. In broad terms, two principal grounds are relied upon: </w:t>
      </w:r>
      <w:r w:rsidR="0083535A" w:rsidRPr="00706B3E">
        <w:rPr>
          <w:rFonts w:asciiTheme="minorBidi" w:hAnsiTheme="minorBidi" w:cstheme="minorBidi"/>
        </w:rPr>
        <w:t xml:space="preserve">firstly, </w:t>
      </w:r>
      <w:r w:rsidR="00210E8A" w:rsidRPr="00706B3E">
        <w:rPr>
          <w:rFonts w:asciiTheme="minorBidi" w:hAnsiTheme="minorBidi" w:cstheme="minorBidi"/>
        </w:rPr>
        <w:t>it is contended that the tribunal incorrectly interpreted the Act and</w:t>
      </w:r>
      <w:r w:rsidR="0083535A" w:rsidRPr="00706B3E">
        <w:rPr>
          <w:rFonts w:asciiTheme="minorBidi" w:hAnsiTheme="minorBidi" w:cstheme="minorBidi"/>
        </w:rPr>
        <w:t xml:space="preserve"> secondly, </w:t>
      </w:r>
      <w:r w:rsidR="00210E8A" w:rsidRPr="00706B3E">
        <w:rPr>
          <w:rFonts w:asciiTheme="minorBidi" w:hAnsiTheme="minorBidi" w:cstheme="minorBidi"/>
        </w:rPr>
        <w:t xml:space="preserve">that the compensation ultimately awarded </w:t>
      </w:r>
      <w:r w:rsidR="00740FF6" w:rsidRPr="00706B3E">
        <w:rPr>
          <w:rFonts w:asciiTheme="minorBidi" w:hAnsiTheme="minorBidi" w:cstheme="minorBidi"/>
        </w:rPr>
        <w:t xml:space="preserve">to him </w:t>
      </w:r>
      <w:r w:rsidR="00210E8A" w:rsidRPr="00706B3E">
        <w:rPr>
          <w:rFonts w:asciiTheme="minorBidi" w:hAnsiTheme="minorBidi" w:cstheme="minorBidi"/>
        </w:rPr>
        <w:t xml:space="preserve">was so inadequate that it could not reasonably have been awarded. It was further contended that the tribunal was not entitled to rely on the provisions of </w:t>
      </w:r>
      <w:r w:rsidR="004307CE" w:rsidRPr="00706B3E">
        <w:rPr>
          <w:rFonts w:asciiTheme="minorBidi" w:hAnsiTheme="minorBidi" w:cstheme="minorBidi"/>
        </w:rPr>
        <w:t>a document that was referred to as ‘Circular Instruction 172’ (the circular)</w:t>
      </w:r>
      <w:r w:rsidR="00210E8A" w:rsidRPr="00706B3E">
        <w:rPr>
          <w:rFonts w:asciiTheme="minorBidi" w:hAnsiTheme="minorBidi" w:cstheme="minorBidi"/>
        </w:rPr>
        <w:t xml:space="preserve">, it being submitted that </w:t>
      </w:r>
      <w:r w:rsidR="004307CE" w:rsidRPr="00706B3E">
        <w:rPr>
          <w:rFonts w:asciiTheme="minorBidi" w:hAnsiTheme="minorBidi" w:cstheme="minorBidi"/>
        </w:rPr>
        <w:t>the circular</w:t>
      </w:r>
      <w:r w:rsidR="00210E8A" w:rsidRPr="00706B3E">
        <w:rPr>
          <w:rFonts w:asciiTheme="minorBidi" w:hAnsiTheme="minorBidi" w:cstheme="minorBidi"/>
        </w:rPr>
        <w:t xml:space="preserve"> aimed to override, amend or modify the provisions of the Act and is in conflict with it. Finally, it was contended that the appellant was entitled to his costs </w:t>
      </w:r>
      <w:r w:rsidR="004307CE" w:rsidRPr="00706B3E">
        <w:rPr>
          <w:rFonts w:asciiTheme="minorBidi" w:hAnsiTheme="minorBidi" w:cstheme="minorBidi"/>
        </w:rPr>
        <w:t xml:space="preserve">before the tribunal </w:t>
      </w:r>
      <w:r w:rsidR="00210E8A" w:rsidRPr="00706B3E">
        <w:rPr>
          <w:rFonts w:asciiTheme="minorBidi" w:hAnsiTheme="minorBidi" w:cstheme="minorBidi"/>
        </w:rPr>
        <w:t>on the scale as between attorney and own client.</w:t>
      </w:r>
    </w:p>
    <w:p w14:paraId="39260816" w14:textId="77777777" w:rsidR="00CD150D" w:rsidRPr="007B0DD3" w:rsidRDefault="00CD150D" w:rsidP="007B0DD3">
      <w:pPr>
        <w:pStyle w:val="ListParagraph"/>
        <w:tabs>
          <w:tab w:val="left" w:pos="709"/>
        </w:tabs>
        <w:spacing w:line="360" w:lineRule="auto"/>
        <w:ind w:left="0"/>
        <w:jc w:val="both"/>
        <w:rPr>
          <w:rFonts w:asciiTheme="minorBidi" w:hAnsiTheme="minorBidi" w:cstheme="minorBidi"/>
        </w:rPr>
      </w:pPr>
    </w:p>
    <w:p w14:paraId="3B6737B5" w14:textId="26A42C85" w:rsidR="00210E8A"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[20]</w:t>
      </w:r>
      <w:r w:rsidRPr="007B0DD3">
        <w:rPr>
          <w:rFonts w:ascii="Arial" w:hAnsi="Arial" w:cstheme="minorBidi"/>
        </w:rPr>
        <w:tab/>
      </w:r>
      <w:r w:rsidR="00210E8A" w:rsidRPr="00706B3E">
        <w:rPr>
          <w:rFonts w:asciiTheme="minorBidi" w:hAnsiTheme="minorBidi" w:cstheme="minorBidi"/>
        </w:rPr>
        <w:t xml:space="preserve">The respondent, on the other hand, denies </w:t>
      </w:r>
      <w:r w:rsidR="00700C51" w:rsidRPr="00706B3E">
        <w:rPr>
          <w:rFonts w:asciiTheme="minorBidi" w:hAnsiTheme="minorBidi" w:cstheme="minorBidi"/>
        </w:rPr>
        <w:t>all of the above</w:t>
      </w:r>
      <w:r w:rsidR="00210E8A" w:rsidRPr="00706B3E">
        <w:rPr>
          <w:rFonts w:asciiTheme="minorBidi" w:hAnsiTheme="minorBidi" w:cstheme="minorBidi"/>
        </w:rPr>
        <w:t xml:space="preserve"> and contends that by virtue of the provisions of the circular, the appellant has correctly been assessed as being only 39 percent disabled.</w:t>
      </w:r>
      <w:r w:rsidR="00700C51" w:rsidRPr="00706B3E">
        <w:rPr>
          <w:rFonts w:asciiTheme="minorBidi" w:hAnsiTheme="minorBidi" w:cstheme="minorBidi"/>
        </w:rPr>
        <w:t xml:space="preserve"> The monthly pension awarded to the appellant has accordingly been correctly calculated.</w:t>
      </w:r>
    </w:p>
    <w:p w14:paraId="4CC86132" w14:textId="38A6542D" w:rsidR="00E9013E" w:rsidRPr="007B0DD3" w:rsidRDefault="00E9013E" w:rsidP="007B0DD3">
      <w:pPr>
        <w:pStyle w:val="ListParagraph"/>
        <w:tabs>
          <w:tab w:val="left" w:pos="709"/>
        </w:tabs>
        <w:spacing w:line="360" w:lineRule="auto"/>
        <w:ind w:left="0"/>
        <w:jc w:val="both"/>
        <w:rPr>
          <w:rFonts w:asciiTheme="minorBidi" w:hAnsiTheme="minorBidi" w:cstheme="minorBidi"/>
        </w:rPr>
      </w:pPr>
    </w:p>
    <w:p w14:paraId="5FF81D9C" w14:textId="07618494" w:rsidR="004307CE" w:rsidRPr="007B0DD3" w:rsidRDefault="004307CE"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The circular</w:t>
      </w:r>
    </w:p>
    <w:p w14:paraId="578DEA31" w14:textId="2542F381" w:rsidR="00CD150D" w:rsidRPr="00706B3E" w:rsidRDefault="00706B3E" w:rsidP="00706B3E">
      <w:pPr>
        <w:tabs>
          <w:tab w:val="left" w:pos="709"/>
        </w:tabs>
        <w:spacing w:line="360" w:lineRule="auto"/>
        <w:jc w:val="both"/>
        <w:rPr>
          <w:rFonts w:asciiTheme="minorBidi" w:hAnsiTheme="minorBidi" w:cstheme="minorBidi"/>
          <w:color w:val="000000"/>
          <w:sz w:val="22"/>
          <w:szCs w:val="22"/>
        </w:rPr>
      </w:pPr>
      <w:r w:rsidRPr="007B0DD3">
        <w:rPr>
          <w:rFonts w:ascii="Arial" w:hAnsi="Arial" w:cstheme="minorBidi"/>
          <w:color w:val="000000"/>
        </w:rPr>
        <w:t>[21]</w:t>
      </w:r>
      <w:r w:rsidRPr="007B0DD3">
        <w:rPr>
          <w:rFonts w:ascii="Arial" w:hAnsi="Arial" w:cstheme="minorBidi"/>
          <w:color w:val="000000"/>
        </w:rPr>
        <w:tab/>
      </w:r>
      <w:r w:rsidR="00061C7B" w:rsidRPr="00706B3E">
        <w:rPr>
          <w:rFonts w:asciiTheme="minorBidi" w:hAnsiTheme="minorBidi" w:cstheme="minorBidi"/>
          <w:color w:val="000000"/>
        </w:rPr>
        <w:t>In its judgment, the tribunal recorded that the respondent had relied upon the circular in determining the compensation to be awarded to the appellant. The circular must consequently be considere</w:t>
      </w:r>
      <w:r w:rsidR="00700C51" w:rsidRPr="00706B3E">
        <w:rPr>
          <w:rFonts w:asciiTheme="minorBidi" w:hAnsiTheme="minorBidi" w:cstheme="minorBidi"/>
          <w:color w:val="000000"/>
        </w:rPr>
        <w:t>d</w:t>
      </w:r>
      <w:r w:rsidR="00CD150D" w:rsidRPr="00706B3E">
        <w:rPr>
          <w:rFonts w:asciiTheme="minorBidi" w:hAnsiTheme="minorBidi" w:cstheme="minorBidi"/>
          <w:color w:val="000000"/>
        </w:rPr>
        <w:t xml:space="preserve"> in some detail</w:t>
      </w:r>
      <w:r w:rsidR="00061C7B" w:rsidRPr="00706B3E">
        <w:rPr>
          <w:rFonts w:asciiTheme="minorBidi" w:hAnsiTheme="minorBidi" w:cstheme="minorBidi"/>
          <w:color w:val="000000"/>
        </w:rPr>
        <w:t xml:space="preserve">. </w:t>
      </w:r>
    </w:p>
    <w:p w14:paraId="0AAAEF5B" w14:textId="77777777" w:rsidR="00CD150D" w:rsidRPr="007B0DD3" w:rsidRDefault="00CD150D" w:rsidP="007B0DD3">
      <w:pPr>
        <w:pStyle w:val="ListParagraph"/>
        <w:tabs>
          <w:tab w:val="left" w:pos="709"/>
        </w:tabs>
        <w:spacing w:line="360" w:lineRule="auto"/>
        <w:ind w:left="0"/>
        <w:jc w:val="both"/>
        <w:rPr>
          <w:rFonts w:asciiTheme="minorBidi" w:hAnsiTheme="minorBidi" w:cstheme="minorBidi"/>
          <w:color w:val="000000"/>
          <w:sz w:val="22"/>
          <w:szCs w:val="22"/>
        </w:rPr>
      </w:pPr>
    </w:p>
    <w:p w14:paraId="7845E5CD" w14:textId="014E424B" w:rsidR="00061C7B" w:rsidRPr="00706B3E" w:rsidRDefault="00706B3E" w:rsidP="00706B3E">
      <w:pPr>
        <w:tabs>
          <w:tab w:val="left" w:pos="709"/>
        </w:tabs>
        <w:spacing w:line="360" w:lineRule="auto"/>
        <w:jc w:val="both"/>
        <w:rPr>
          <w:rFonts w:asciiTheme="minorBidi" w:hAnsiTheme="minorBidi" w:cstheme="minorBidi"/>
          <w:color w:val="000000"/>
          <w:sz w:val="22"/>
          <w:szCs w:val="22"/>
        </w:rPr>
      </w:pPr>
      <w:r w:rsidRPr="007B0DD3">
        <w:rPr>
          <w:rFonts w:ascii="Arial" w:hAnsi="Arial" w:cstheme="minorBidi"/>
          <w:color w:val="000000"/>
        </w:rPr>
        <w:t>[22]</w:t>
      </w:r>
      <w:r w:rsidRPr="007B0DD3">
        <w:rPr>
          <w:rFonts w:ascii="Arial" w:hAnsi="Arial" w:cstheme="minorBidi"/>
          <w:color w:val="000000"/>
        </w:rPr>
        <w:tab/>
      </w:r>
      <w:r w:rsidR="00CD150D" w:rsidRPr="00706B3E">
        <w:rPr>
          <w:rFonts w:asciiTheme="minorBidi" w:hAnsiTheme="minorBidi" w:cstheme="minorBidi"/>
          <w:color w:val="000000"/>
        </w:rPr>
        <w:t>The circular</w:t>
      </w:r>
      <w:r w:rsidR="00061C7B" w:rsidRPr="00706B3E">
        <w:rPr>
          <w:rFonts w:asciiTheme="minorBidi" w:hAnsiTheme="minorBidi" w:cstheme="minorBidi"/>
          <w:color w:val="000000"/>
        </w:rPr>
        <w:t xml:space="preserve"> </w:t>
      </w:r>
      <w:r w:rsidR="00061C7B" w:rsidRPr="00706B3E">
        <w:rPr>
          <w:rFonts w:asciiTheme="minorBidi" w:hAnsiTheme="minorBidi" w:cstheme="minorBidi"/>
        </w:rPr>
        <w:t xml:space="preserve">is dated 21 May 2003 and was issued under the hand of the </w:t>
      </w:r>
      <w:r w:rsidR="00CD150D" w:rsidRPr="00706B3E">
        <w:rPr>
          <w:rFonts w:asciiTheme="minorBidi" w:hAnsiTheme="minorBidi" w:cstheme="minorBidi"/>
        </w:rPr>
        <w:t xml:space="preserve">then </w:t>
      </w:r>
      <w:r w:rsidR="00061C7B" w:rsidRPr="00706B3E">
        <w:rPr>
          <w:rFonts w:asciiTheme="minorBidi" w:hAnsiTheme="minorBidi" w:cstheme="minorBidi"/>
        </w:rPr>
        <w:t xml:space="preserve">Director-General of Labour and was published in the </w:t>
      </w:r>
      <w:r w:rsidR="00061C7B" w:rsidRPr="00706B3E">
        <w:rPr>
          <w:rFonts w:asciiTheme="minorBidi" w:hAnsiTheme="minorBidi" w:cstheme="minorBidi"/>
          <w:i/>
        </w:rPr>
        <w:t>Government Gazette</w:t>
      </w:r>
      <w:r w:rsidR="00061C7B" w:rsidRPr="00706B3E">
        <w:rPr>
          <w:rFonts w:asciiTheme="minorBidi" w:hAnsiTheme="minorBidi" w:cstheme="minorBidi"/>
        </w:rPr>
        <w:t xml:space="preserve"> on 27 June 2003.</w:t>
      </w:r>
      <w:r w:rsidR="00061C7B" w:rsidRPr="007B0DD3">
        <w:rPr>
          <w:rStyle w:val="FootnoteReference"/>
          <w:rFonts w:asciiTheme="minorBidi" w:hAnsiTheme="minorBidi" w:cstheme="minorBidi"/>
        </w:rPr>
        <w:footnoteReference w:id="2"/>
      </w:r>
      <w:r w:rsidR="00F008DE" w:rsidRPr="00706B3E">
        <w:rPr>
          <w:rFonts w:asciiTheme="minorBidi" w:hAnsiTheme="minorBidi" w:cstheme="minorBidi"/>
        </w:rPr>
        <w:t xml:space="preserve"> </w:t>
      </w:r>
      <w:r w:rsidR="00061C7B" w:rsidRPr="00706B3E">
        <w:rPr>
          <w:rFonts w:asciiTheme="minorBidi" w:hAnsiTheme="minorBidi" w:cstheme="minorBidi"/>
        </w:rPr>
        <w:t>The circular was ostensibly issued in order to clarify the position in regard to the compensation of claims arising out of PTSDs.</w:t>
      </w:r>
    </w:p>
    <w:p w14:paraId="2C8DE51B" w14:textId="77777777" w:rsidR="00061C7B" w:rsidRPr="007B0DD3" w:rsidRDefault="00061C7B" w:rsidP="007B0DD3">
      <w:pPr>
        <w:pStyle w:val="ListParagraph"/>
        <w:spacing w:line="360" w:lineRule="auto"/>
        <w:jc w:val="both"/>
        <w:rPr>
          <w:rFonts w:asciiTheme="minorBidi" w:hAnsiTheme="minorBidi" w:cstheme="minorBidi"/>
        </w:rPr>
      </w:pPr>
    </w:p>
    <w:p w14:paraId="5A9B0B8F" w14:textId="4CDA80D5" w:rsidR="00061C7B"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[23]</w:t>
      </w:r>
      <w:r w:rsidRPr="007B0DD3">
        <w:rPr>
          <w:rFonts w:ascii="Arial" w:hAnsi="Arial" w:cstheme="minorBidi"/>
        </w:rPr>
        <w:tab/>
      </w:r>
      <w:r w:rsidR="00061C7B" w:rsidRPr="00706B3E">
        <w:rPr>
          <w:rFonts w:asciiTheme="minorBidi" w:hAnsiTheme="minorBidi" w:cstheme="minorBidi"/>
        </w:rPr>
        <w:t>The relevant part of the circular reads as follows:</w:t>
      </w:r>
    </w:p>
    <w:p w14:paraId="0917431F" w14:textId="77777777" w:rsidR="00061C7B" w:rsidRPr="007B0DD3" w:rsidRDefault="00061C7B" w:rsidP="007B0DD3">
      <w:pPr>
        <w:spacing w:line="360" w:lineRule="auto"/>
        <w:jc w:val="both"/>
        <w:rPr>
          <w:rFonts w:asciiTheme="minorBidi" w:hAnsiTheme="minorBidi" w:cstheme="minorBidi"/>
          <w:sz w:val="22"/>
          <w:szCs w:val="22"/>
        </w:rPr>
      </w:pPr>
      <w:r w:rsidRPr="007B0DD3">
        <w:rPr>
          <w:rFonts w:asciiTheme="minorBidi" w:hAnsiTheme="minorBidi" w:cstheme="minorBidi"/>
          <w:sz w:val="22"/>
          <w:szCs w:val="22"/>
        </w:rPr>
        <w:lastRenderedPageBreak/>
        <w:t>‘4.2 Permanent Disablement</w:t>
      </w:r>
    </w:p>
    <w:p w14:paraId="5C76AB64" w14:textId="77777777" w:rsidR="00061C7B" w:rsidRPr="007B0DD3" w:rsidRDefault="00061C7B" w:rsidP="007B0DD3">
      <w:pPr>
        <w:spacing w:line="360" w:lineRule="auto"/>
        <w:jc w:val="both"/>
        <w:rPr>
          <w:rFonts w:asciiTheme="minorBidi" w:hAnsiTheme="minorBidi" w:cstheme="minorBidi"/>
        </w:rPr>
      </w:pPr>
      <w:r w:rsidRPr="007B0DD3">
        <w:rPr>
          <w:rFonts w:asciiTheme="minorBidi" w:hAnsiTheme="minorBidi" w:cstheme="minorBidi"/>
          <w:sz w:val="22"/>
          <w:szCs w:val="22"/>
        </w:rPr>
        <w:t>Payment of permanent disablement shall be made, where applicable, when a Final Medical Report and/or the report from the panel is received. Permanent disablement shall only be determined after 24 months of optimal treatment. The Compensation Commissioner shall calculate the permanent disablement and 100% impairment due to PTSD shall be equivalent to 65% permanent disablement whereas impairment less than 20% will not be awarded permanent disablement.’</w:t>
      </w:r>
    </w:p>
    <w:p w14:paraId="4F99FED5" w14:textId="77777777" w:rsidR="00061C7B" w:rsidRPr="007B0DD3" w:rsidRDefault="00061C7B" w:rsidP="007B0DD3">
      <w:pPr>
        <w:pStyle w:val="ListParagraph"/>
        <w:tabs>
          <w:tab w:val="left" w:pos="709"/>
        </w:tabs>
        <w:spacing w:line="360" w:lineRule="auto"/>
        <w:ind w:left="0"/>
        <w:jc w:val="both"/>
        <w:rPr>
          <w:rFonts w:asciiTheme="minorBidi" w:hAnsiTheme="minorBidi" w:cstheme="minorBidi"/>
        </w:rPr>
      </w:pPr>
    </w:p>
    <w:p w14:paraId="61D2139C" w14:textId="6383C772" w:rsidR="00061C7B" w:rsidRPr="00706B3E" w:rsidRDefault="00706B3E" w:rsidP="00706B3E">
      <w:pPr>
        <w:tabs>
          <w:tab w:val="left" w:pos="709"/>
        </w:tabs>
        <w:spacing w:line="360" w:lineRule="auto"/>
        <w:jc w:val="both"/>
        <w:rPr>
          <w:rFonts w:asciiTheme="minorBidi" w:hAnsiTheme="minorBidi" w:cstheme="minorBidi"/>
          <w:sz w:val="22"/>
          <w:szCs w:val="22"/>
        </w:rPr>
      </w:pPr>
      <w:r w:rsidRPr="007B0DD3">
        <w:rPr>
          <w:rFonts w:ascii="Arial" w:hAnsi="Arial" w:cstheme="minorBidi"/>
        </w:rPr>
        <w:t>[24]</w:t>
      </w:r>
      <w:r w:rsidRPr="007B0DD3">
        <w:rPr>
          <w:rFonts w:ascii="Arial" w:hAnsi="Arial" w:cstheme="minorBidi"/>
        </w:rPr>
        <w:tab/>
      </w:r>
      <w:r w:rsidR="00061C7B" w:rsidRPr="00706B3E">
        <w:rPr>
          <w:rFonts w:asciiTheme="minorBidi" w:hAnsiTheme="minorBidi" w:cstheme="minorBidi"/>
        </w:rPr>
        <w:t>In addition, the circular provided in para 3</w:t>
      </w:r>
      <w:r w:rsidR="00700C51" w:rsidRPr="00706B3E">
        <w:rPr>
          <w:rFonts w:asciiTheme="minorBidi" w:hAnsiTheme="minorBidi" w:cstheme="minorBidi"/>
        </w:rPr>
        <w:t xml:space="preserve"> thereof</w:t>
      </w:r>
      <w:r w:rsidR="00061C7B" w:rsidRPr="00706B3E">
        <w:rPr>
          <w:rFonts w:asciiTheme="minorBidi" w:hAnsiTheme="minorBidi" w:cstheme="minorBidi"/>
        </w:rPr>
        <w:t xml:space="preserve">, that inter alia, the impairment was to be evaluated using the Global Assessment Functioning (GAF) Scale. </w:t>
      </w:r>
    </w:p>
    <w:p w14:paraId="53472688" w14:textId="47D16319" w:rsidR="00061C7B" w:rsidRPr="007B0DD3" w:rsidRDefault="00061C7B" w:rsidP="007B0DD3">
      <w:pPr>
        <w:pStyle w:val="ListParagraph"/>
        <w:tabs>
          <w:tab w:val="left" w:pos="709"/>
        </w:tabs>
        <w:spacing w:line="360" w:lineRule="auto"/>
        <w:ind w:left="0"/>
        <w:jc w:val="both"/>
        <w:rPr>
          <w:rFonts w:asciiTheme="minorBidi" w:hAnsiTheme="minorBidi" w:cstheme="minorBidi"/>
          <w:sz w:val="22"/>
          <w:szCs w:val="22"/>
        </w:rPr>
      </w:pPr>
    </w:p>
    <w:p w14:paraId="46D3941E" w14:textId="2E2833C2" w:rsidR="00CD150D" w:rsidRPr="00740FF6" w:rsidRDefault="00CD150D" w:rsidP="007B0DD3">
      <w:pPr>
        <w:pStyle w:val="ListParagraph"/>
        <w:tabs>
          <w:tab w:val="left" w:pos="709"/>
        </w:tabs>
        <w:spacing w:line="360" w:lineRule="auto"/>
        <w:ind w:left="0"/>
        <w:jc w:val="both"/>
        <w:rPr>
          <w:rFonts w:asciiTheme="minorBidi" w:hAnsiTheme="minorBidi" w:cstheme="minorBidi"/>
          <w:b/>
          <w:bCs/>
        </w:rPr>
      </w:pPr>
      <w:r w:rsidRPr="00740FF6">
        <w:rPr>
          <w:rFonts w:asciiTheme="minorBidi" w:hAnsiTheme="minorBidi" w:cstheme="minorBidi"/>
          <w:b/>
          <w:bCs/>
        </w:rPr>
        <w:t>Judicial consideration of the circular</w:t>
      </w:r>
    </w:p>
    <w:p w14:paraId="44F5CE53" w14:textId="60150A5C" w:rsidR="00061C7B" w:rsidRPr="00706B3E" w:rsidRDefault="00706B3E" w:rsidP="00706B3E">
      <w:pPr>
        <w:tabs>
          <w:tab w:val="left" w:pos="709"/>
        </w:tabs>
        <w:spacing w:line="360" w:lineRule="auto"/>
        <w:jc w:val="both"/>
        <w:rPr>
          <w:rFonts w:asciiTheme="minorBidi" w:hAnsiTheme="minorBidi" w:cstheme="minorBidi"/>
          <w:i/>
        </w:rPr>
      </w:pPr>
      <w:r w:rsidRPr="007B0DD3">
        <w:rPr>
          <w:rFonts w:ascii="Arial" w:hAnsi="Arial" w:cstheme="minorBidi"/>
        </w:rPr>
        <w:t>[25]</w:t>
      </w:r>
      <w:r w:rsidRPr="007B0DD3">
        <w:rPr>
          <w:rFonts w:ascii="Arial" w:hAnsi="Arial" w:cstheme="minorBidi"/>
        </w:rPr>
        <w:tab/>
      </w:r>
      <w:r w:rsidR="00061C7B" w:rsidRPr="00706B3E">
        <w:rPr>
          <w:rFonts w:asciiTheme="minorBidi" w:hAnsiTheme="minorBidi" w:cstheme="minorBidi"/>
          <w:iCs/>
        </w:rPr>
        <w:t>The circular has in the past been the subject of judicial scrutiny. In particular, it has enjoyed the attention of this very court.</w:t>
      </w:r>
      <w:r w:rsidR="00061C7B" w:rsidRPr="00706B3E">
        <w:rPr>
          <w:rFonts w:asciiTheme="minorBidi" w:hAnsiTheme="minorBidi" w:cstheme="minorBidi"/>
        </w:rPr>
        <w:t xml:space="preserve"> In </w:t>
      </w:r>
      <w:r w:rsidR="00061C7B" w:rsidRPr="00706B3E">
        <w:rPr>
          <w:rFonts w:asciiTheme="minorBidi" w:hAnsiTheme="minorBidi" w:cstheme="minorBidi"/>
          <w:i/>
        </w:rPr>
        <w:t>Odayar v Compensation Commissioner,</w:t>
      </w:r>
      <w:r w:rsidR="00061C7B" w:rsidRPr="007B0DD3">
        <w:rPr>
          <w:rStyle w:val="FootnoteReference"/>
          <w:rFonts w:asciiTheme="minorBidi" w:hAnsiTheme="minorBidi" w:cstheme="minorBidi"/>
        </w:rPr>
        <w:footnoteReference w:id="3"/>
      </w:r>
      <w:r w:rsidR="00061C7B" w:rsidRPr="00706B3E">
        <w:rPr>
          <w:rFonts w:asciiTheme="minorBidi" w:hAnsiTheme="minorBidi" w:cstheme="minorBidi"/>
        </w:rPr>
        <w:t xml:space="preserve"> Theron J (with Hugo J concurring) found, dealing with the same circular, that:</w:t>
      </w:r>
      <w:r w:rsidR="00F008DE" w:rsidRPr="00706B3E">
        <w:rPr>
          <w:rFonts w:asciiTheme="minorBidi" w:hAnsiTheme="minorBidi" w:cstheme="minorBidi"/>
        </w:rPr>
        <w:t xml:space="preserve"> </w:t>
      </w:r>
    </w:p>
    <w:p w14:paraId="24F910C8" w14:textId="484B67A9" w:rsidR="00061C7B" w:rsidRPr="007B0DD3" w:rsidRDefault="00061C7B" w:rsidP="007B0DD3">
      <w:pPr>
        <w:pStyle w:val="ListParagraph"/>
        <w:spacing w:line="360" w:lineRule="auto"/>
        <w:ind w:left="0"/>
        <w:jc w:val="both"/>
        <w:rPr>
          <w:rFonts w:asciiTheme="minorBidi" w:hAnsiTheme="minorBidi" w:cstheme="minorBidi"/>
          <w:sz w:val="22"/>
          <w:szCs w:val="22"/>
          <w:lang w:val="en-US"/>
        </w:rPr>
      </w:pPr>
      <w:r w:rsidRPr="007B0DD3">
        <w:rPr>
          <w:rFonts w:asciiTheme="minorBidi" w:hAnsiTheme="minorBidi" w:cstheme="minorBidi"/>
          <w:sz w:val="22"/>
          <w:szCs w:val="22"/>
        </w:rPr>
        <w:t>‘[16] T</w:t>
      </w:r>
      <w:r w:rsidRPr="007B0DD3">
        <w:rPr>
          <w:rFonts w:asciiTheme="minorBidi" w:hAnsiTheme="minorBidi" w:cstheme="minorBidi"/>
          <w:sz w:val="22"/>
          <w:szCs w:val="22"/>
          <w:lang w:val="en-US"/>
        </w:rPr>
        <w:t>he Act does not confer upon the Director-General of the Department of Labour the power to issue regulations. Despite being published in the </w:t>
      </w:r>
      <w:r w:rsidRPr="007B0DD3">
        <w:rPr>
          <w:rFonts w:asciiTheme="minorBidi" w:hAnsiTheme="minorBidi" w:cstheme="minorBidi"/>
          <w:i/>
          <w:iCs/>
          <w:sz w:val="22"/>
          <w:szCs w:val="22"/>
          <w:lang w:val="en-US"/>
        </w:rPr>
        <w:t>Government Gazette</w:t>
      </w:r>
      <w:r w:rsidRPr="007B0DD3">
        <w:rPr>
          <w:rFonts w:asciiTheme="minorBidi" w:hAnsiTheme="minorBidi" w:cstheme="minorBidi"/>
          <w:sz w:val="22"/>
          <w:szCs w:val="22"/>
          <w:lang w:val="en-US"/>
        </w:rPr>
        <w:t>, the circular is no more than an internal memorandum setting out guidelines on the manner in which compensation claims relating to post-traumatic stress disorder ought to be dealt with.</w:t>
      </w:r>
      <w:r w:rsidR="00F008DE">
        <w:rPr>
          <w:rFonts w:asciiTheme="minorBidi" w:hAnsiTheme="minorBidi" w:cstheme="minorBidi"/>
          <w:sz w:val="22"/>
          <w:szCs w:val="22"/>
          <w:lang w:val="en-US"/>
        </w:rPr>
        <w:t xml:space="preserve"> </w:t>
      </w:r>
    </w:p>
    <w:p w14:paraId="02059F34" w14:textId="77777777" w:rsidR="00061C7B" w:rsidRPr="007B0DD3" w:rsidRDefault="00061C7B" w:rsidP="007B0DD3">
      <w:pPr>
        <w:pStyle w:val="ListParagraph"/>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lang w:val="en-US"/>
        </w:rPr>
        <w:t>[17] The provisions of the circular are, in fact, contrary to the provisions of the Act. In terms of s 65(1)</w:t>
      </w:r>
      <w:r w:rsidRPr="007B0DD3">
        <w:rPr>
          <w:rFonts w:asciiTheme="minorBidi" w:hAnsiTheme="minorBidi" w:cstheme="minorBidi"/>
          <w:i/>
          <w:iCs/>
          <w:sz w:val="22"/>
          <w:szCs w:val="22"/>
          <w:lang w:val="en-US"/>
        </w:rPr>
        <w:t>(b)</w:t>
      </w:r>
      <w:r w:rsidRPr="007B0DD3">
        <w:rPr>
          <w:rFonts w:asciiTheme="minorBidi" w:hAnsiTheme="minorBidi" w:cstheme="minorBidi"/>
          <w:sz w:val="22"/>
          <w:szCs w:val="22"/>
          <w:lang w:val="en-US"/>
        </w:rPr>
        <w:t> of the Act, an employee who claims compensation for an occupational disease such as post-traumatic stress disorder must prove that the disease arose “out of and in the course of his or her employment”. An employee need not prove exposure “to an extreme traumatic event or stressor” as required by the circular.</w:t>
      </w:r>
      <w:r w:rsidRPr="007B0DD3">
        <w:rPr>
          <w:rFonts w:asciiTheme="minorBidi" w:hAnsiTheme="minorBidi" w:cstheme="minorBidi"/>
          <w:sz w:val="22"/>
          <w:szCs w:val="22"/>
        </w:rPr>
        <w:t>’</w:t>
      </w:r>
      <w:r w:rsidRPr="007B0DD3">
        <w:rPr>
          <w:rStyle w:val="FootnoteReference"/>
          <w:rFonts w:asciiTheme="minorBidi" w:hAnsiTheme="minorBidi" w:cstheme="minorBidi"/>
          <w:sz w:val="22"/>
          <w:szCs w:val="22"/>
        </w:rPr>
        <w:footnoteReference w:id="4"/>
      </w:r>
    </w:p>
    <w:p w14:paraId="2CB93980" w14:textId="77777777" w:rsidR="00061C7B" w:rsidRPr="007B0DD3" w:rsidRDefault="00061C7B" w:rsidP="007B0DD3">
      <w:pPr>
        <w:pStyle w:val="ListParagraph"/>
        <w:spacing w:line="360" w:lineRule="auto"/>
        <w:ind w:left="0"/>
        <w:jc w:val="both"/>
        <w:rPr>
          <w:rFonts w:asciiTheme="minorBidi" w:hAnsiTheme="minorBidi" w:cstheme="minorBidi"/>
          <w:sz w:val="22"/>
          <w:szCs w:val="22"/>
        </w:rPr>
      </w:pPr>
    </w:p>
    <w:p w14:paraId="5E182521" w14:textId="684B5888" w:rsidR="00061C7B" w:rsidRPr="00706B3E" w:rsidRDefault="00706B3E" w:rsidP="00706B3E">
      <w:pPr>
        <w:tabs>
          <w:tab w:val="left" w:pos="709"/>
        </w:tabs>
        <w:spacing w:line="360" w:lineRule="auto"/>
        <w:jc w:val="both"/>
        <w:rPr>
          <w:rFonts w:asciiTheme="minorBidi" w:hAnsiTheme="minorBidi" w:cstheme="minorBidi"/>
          <w:i/>
          <w:iCs/>
        </w:rPr>
      </w:pPr>
      <w:r w:rsidRPr="007B0DD3">
        <w:rPr>
          <w:rFonts w:ascii="Arial" w:hAnsi="Arial" w:cstheme="minorBidi"/>
          <w:iCs/>
        </w:rPr>
        <w:t>[26]</w:t>
      </w:r>
      <w:r w:rsidRPr="007B0DD3">
        <w:rPr>
          <w:rFonts w:ascii="Arial" w:hAnsi="Arial" w:cstheme="minorBidi"/>
          <w:iCs/>
        </w:rPr>
        <w:tab/>
      </w:r>
      <w:r w:rsidR="00B054BD" w:rsidRPr="00706B3E">
        <w:rPr>
          <w:rFonts w:asciiTheme="minorBidi" w:hAnsiTheme="minorBidi" w:cstheme="minorBidi"/>
          <w:color w:val="000000"/>
        </w:rPr>
        <w:t xml:space="preserve">The </w:t>
      </w:r>
      <w:r w:rsidR="00700C51" w:rsidRPr="00706B3E">
        <w:rPr>
          <w:rFonts w:asciiTheme="minorBidi" w:hAnsiTheme="minorBidi" w:cstheme="minorBidi"/>
          <w:color w:val="000000"/>
        </w:rPr>
        <w:t>circular has also been considered</w:t>
      </w:r>
      <w:r w:rsidR="00B054BD" w:rsidRPr="00706B3E">
        <w:rPr>
          <w:rFonts w:asciiTheme="minorBidi" w:hAnsiTheme="minorBidi" w:cstheme="minorBidi"/>
          <w:color w:val="000000"/>
        </w:rPr>
        <w:t xml:space="preserve"> in </w:t>
      </w:r>
      <w:r w:rsidR="00061C7B" w:rsidRPr="00706B3E">
        <w:rPr>
          <w:rFonts w:asciiTheme="minorBidi" w:hAnsiTheme="minorBidi" w:cstheme="minorBidi"/>
          <w:i/>
          <w:iCs/>
          <w:color w:val="000000"/>
        </w:rPr>
        <w:t>J</w:t>
      </w:r>
      <w:r w:rsidR="0097424E" w:rsidRPr="00706B3E">
        <w:rPr>
          <w:rFonts w:asciiTheme="minorBidi" w:hAnsiTheme="minorBidi" w:cstheme="minorBidi"/>
          <w:i/>
          <w:iCs/>
          <w:color w:val="000000"/>
        </w:rPr>
        <w:t xml:space="preserve"> </w:t>
      </w:r>
      <w:r w:rsidR="00061C7B" w:rsidRPr="00706B3E">
        <w:rPr>
          <w:rFonts w:asciiTheme="minorBidi" w:hAnsiTheme="minorBidi" w:cstheme="minorBidi"/>
          <w:i/>
          <w:iCs/>
          <w:color w:val="000000"/>
        </w:rPr>
        <w:t xml:space="preserve">L v </w:t>
      </w:r>
      <w:r w:rsidR="00061C7B" w:rsidRPr="00706B3E">
        <w:rPr>
          <w:rFonts w:asciiTheme="minorBidi" w:hAnsiTheme="minorBidi" w:cstheme="minorBidi"/>
          <w:bCs/>
          <w:i/>
          <w:iCs/>
          <w:lang w:val="en-US"/>
        </w:rPr>
        <w:t>Rand Mutual Assurance</w:t>
      </w:r>
      <w:r w:rsidR="00061C7B" w:rsidRPr="00706B3E">
        <w:rPr>
          <w:rFonts w:asciiTheme="minorBidi" w:hAnsiTheme="minorBidi" w:cstheme="minorBidi"/>
          <w:bCs/>
          <w:lang w:val="en-US"/>
        </w:rPr>
        <w:t>,</w:t>
      </w:r>
      <w:r w:rsidR="00061C7B" w:rsidRPr="007B0DD3">
        <w:rPr>
          <w:rStyle w:val="FootnoteReference"/>
          <w:rFonts w:asciiTheme="minorBidi" w:hAnsiTheme="minorBidi" w:cstheme="minorBidi"/>
          <w:bCs/>
          <w:lang w:val="en-US"/>
        </w:rPr>
        <w:footnoteReference w:id="5"/>
      </w:r>
      <w:r w:rsidR="00061C7B" w:rsidRPr="00706B3E">
        <w:rPr>
          <w:rFonts w:asciiTheme="minorBidi" w:hAnsiTheme="minorBidi" w:cstheme="minorBidi"/>
          <w:bCs/>
          <w:lang w:val="en-US"/>
        </w:rPr>
        <w:t xml:space="preserve"> </w:t>
      </w:r>
      <w:r w:rsidR="00B054BD" w:rsidRPr="00706B3E">
        <w:rPr>
          <w:rFonts w:asciiTheme="minorBidi" w:hAnsiTheme="minorBidi" w:cstheme="minorBidi"/>
          <w:bCs/>
          <w:lang w:val="en-US"/>
        </w:rPr>
        <w:t>where the court stated the following:</w:t>
      </w:r>
    </w:p>
    <w:p w14:paraId="5F553E19" w14:textId="3F8E99D7" w:rsidR="00061C7B" w:rsidRPr="007B0DD3" w:rsidRDefault="00061C7B" w:rsidP="007B0DD3">
      <w:pPr>
        <w:pStyle w:val="ListParagraph"/>
        <w:tabs>
          <w:tab w:val="left" w:pos="709"/>
        </w:tabs>
        <w:spacing w:line="360" w:lineRule="auto"/>
        <w:ind w:left="0"/>
        <w:jc w:val="both"/>
        <w:rPr>
          <w:rFonts w:asciiTheme="minorBidi" w:hAnsiTheme="minorBidi" w:cstheme="minorBidi"/>
          <w:i/>
          <w:iCs/>
          <w:sz w:val="22"/>
          <w:szCs w:val="22"/>
        </w:rPr>
      </w:pPr>
      <w:r w:rsidRPr="007B0DD3">
        <w:rPr>
          <w:rFonts w:asciiTheme="minorBidi" w:hAnsiTheme="minorBidi" w:cstheme="minorBidi"/>
          <w:bCs/>
          <w:sz w:val="22"/>
          <w:szCs w:val="22"/>
          <w:lang w:val="en-US"/>
        </w:rPr>
        <w:t>‘</w:t>
      </w:r>
      <w:r w:rsidRPr="007B0DD3">
        <w:rPr>
          <w:rFonts w:asciiTheme="minorBidi" w:hAnsiTheme="minorBidi" w:cstheme="minorBidi"/>
          <w:sz w:val="22"/>
          <w:szCs w:val="22"/>
        </w:rPr>
        <w:t xml:space="preserve">The circular does not purport to be issued in terms of any provision of the Act. It purports simply to be an attitude which the Department should consider assuming in dealing with PTSD cases. If the Director-General did not have express statutory power to issue this circular, then it was barely a policy document which did not bind anyone but was a mere pointer to the preferred exercise of a discretion. The consequence, as I see it, is that the circular did not </w:t>
      </w:r>
      <w:r w:rsidRPr="007B0DD3">
        <w:rPr>
          <w:rFonts w:asciiTheme="minorBidi" w:hAnsiTheme="minorBidi" w:cstheme="minorBidi"/>
          <w:sz w:val="22"/>
          <w:szCs w:val="22"/>
        </w:rPr>
        <w:lastRenderedPageBreak/>
        <w:t xml:space="preserve">constitute subsidiary legislation and therefore, for purposes of the definition of </w:t>
      </w:r>
      <w:r w:rsidRPr="007B0DD3">
        <w:rPr>
          <w:rFonts w:asciiTheme="minorBidi" w:hAnsiTheme="minorBidi" w:cstheme="minorBidi"/>
          <w:i/>
          <w:iCs/>
          <w:sz w:val="22"/>
          <w:szCs w:val="22"/>
        </w:rPr>
        <w:t xml:space="preserve">“law” </w:t>
      </w:r>
      <w:r w:rsidRPr="007B0DD3">
        <w:rPr>
          <w:rFonts w:asciiTheme="minorBidi" w:hAnsiTheme="minorBidi" w:cstheme="minorBidi"/>
          <w:sz w:val="22"/>
          <w:szCs w:val="22"/>
        </w:rPr>
        <w:t>in section 1 of the Interpretation Act 33 of 1957, it</w:t>
      </w:r>
      <w:r w:rsidRPr="007B0DD3">
        <w:rPr>
          <w:rFonts w:asciiTheme="minorBidi" w:hAnsiTheme="minorBidi" w:cstheme="minorBidi"/>
          <w:i/>
          <w:iCs/>
          <w:sz w:val="22"/>
          <w:szCs w:val="22"/>
        </w:rPr>
        <w:t xml:space="preserve"> </w:t>
      </w:r>
      <w:r w:rsidRPr="007B0DD3">
        <w:rPr>
          <w:rFonts w:asciiTheme="minorBidi" w:hAnsiTheme="minorBidi" w:cstheme="minorBidi"/>
          <w:sz w:val="22"/>
          <w:szCs w:val="22"/>
        </w:rPr>
        <w:t xml:space="preserve">did not qualify as </w:t>
      </w:r>
      <w:r w:rsidRPr="007B0DD3">
        <w:rPr>
          <w:rFonts w:asciiTheme="minorBidi" w:hAnsiTheme="minorBidi" w:cstheme="minorBidi"/>
          <w:i/>
          <w:iCs/>
          <w:sz w:val="22"/>
          <w:szCs w:val="22"/>
        </w:rPr>
        <w:t>“Any law; proclamation, ordinance, Act of Parliament or other enactment having the force of law"</w:t>
      </w:r>
      <w:r w:rsidRPr="00F7584A">
        <w:rPr>
          <w:rFonts w:asciiTheme="minorBidi" w:hAnsiTheme="minorBidi" w:cstheme="minorBidi"/>
          <w:iCs/>
          <w:sz w:val="22"/>
          <w:szCs w:val="22"/>
        </w:rPr>
        <w:t>.’</w:t>
      </w:r>
      <w:r w:rsidRPr="007B0DD3">
        <w:rPr>
          <w:rFonts w:asciiTheme="minorBidi" w:hAnsiTheme="minorBidi" w:cstheme="minorBidi"/>
          <w:i/>
          <w:iCs/>
          <w:sz w:val="22"/>
          <w:szCs w:val="22"/>
        </w:rPr>
        <w:t xml:space="preserve"> </w:t>
      </w:r>
    </w:p>
    <w:p w14:paraId="5CB097A8" w14:textId="77777777" w:rsidR="00B054BD" w:rsidRPr="007B0DD3" w:rsidRDefault="00B054BD" w:rsidP="007B0DD3">
      <w:pPr>
        <w:pStyle w:val="ListParagraph"/>
        <w:tabs>
          <w:tab w:val="left" w:pos="709"/>
        </w:tabs>
        <w:spacing w:line="360" w:lineRule="auto"/>
        <w:ind w:left="0"/>
        <w:jc w:val="both"/>
        <w:rPr>
          <w:rFonts w:asciiTheme="minorBidi" w:hAnsiTheme="minorBidi" w:cstheme="minorBidi"/>
          <w:i/>
          <w:iCs/>
          <w:sz w:val="22"/>
          <w:szCs w:val="22"/>
        </w:rPr>
      </w:pPr>
    </w:p>
    <w:p w14:paraId="69BA1CB2" w14:textId="02124E28" w:rsidR="00B054BD" w:rsidRPr="00706B3E" w:rsidRDefault="00706B3E" w:rsidP="00706B3E">
      <w:pPr>
        <w:tabs>
          <w:tab w:val="left" w:pos="709"/>
        </w:tabs>
        <w:spacing w:line="360" w:lineRule="auto"/>
        <w:jc w:val="both"/>
        <w:rPr>
          <w:rFonts w:asciiTheme="minorBidi" w:hAnsiTheme="minorBidi" w:cstheme="minorBidi"/>
        </w:rPr>
      </w:pPr>
      <w:r w:rsidRPr="00985085">
        <w:rPr>
          <w:rFonts w:ascii="Arial" w:hAnsi="Arial" w:cstheme="minorBidi"/>
        </w:rPr>
        <w:t>[27]</w:t>
      </w:r>
      <w:r w:rsidRPr="00985085">
        <w:rPr>
          <w:rFonts w:ascii="Arial" w:hAnsi="Arial" w:cstheme="minorBidi"/>
        </w:rPr>
        <w:tab/>
      </w:r>
      <w:r w:rsidR="00B054BD" w:rsidRPr="00706B3E">
        <w:rPr>
          <w:rFonts w:asciiTheme="minorBidi" w:hAnsiTheme="minorBidi" w:cstheme="minorBidi"/>
        </w:rPr>
        <w:t xml:space="preserve">Why this should be so is, perhaps, best explained by Harms JA in </w:t>
      </w:r>
      <w:r w:rsidR="00B054BD" w:rsidRPr="00706B3E">
        <w:rPr>
          <w:rFonts w:asciiTheme="minorBidi" w:hAnsiTheme="minorBidi" w:cstheme="minorBidi"/>
          <w:i/>
          <w:iCs/>
        </w:rPr>
        <w:t>Ak</w:t>
      </w:r>
      <w:r w:rsidR="00985085" w:rsidRPr="00706B3E">
        <w:rPr>
          <w:rFonts w:asciiTheme="minorBidi" w:hAnsiTheme="minorBidi" w:cstheme="minorBidi"/>
          <w:i/>
          <w:iCs/>
        </w:rPr>
        <w:t>a</w:t>
      </w:r>
      <w:r w:rsidR="00B054BD" w:rsidRPr="00706B3E">
        <w:rPr>
          <w:rFonts w:asciiTheme="minorBidi" w:hAnsiTheme="minorBidi" w:cstheme="minorBidi"/>
          <w:i/>
          <w:iCs/>
        </w:rPr>
        <w:t>ni Garden Route (Pty) Ltd v Pinnacle Point Casino (Pty) Ltd</w:t>
      </w:r>
      <w:r w:rsidR="00B054BD" w:rsidRPr="00706B3E">
        <w:rPr>
          <w:rFonts w:asciiTheme="minorBidi" w:hAnsiTheme="minorBidi" w:cstheme="minorBidi"/>
        </w:rPr>
        <w:t>,</w:t>
      </w:r>
      <w:r w:rsidR="00B054BD" w:rsidRPr="007B0DD3">
        <w:rPr>
          <w:rStyle w:val="FootnoteReference"/>
          <w:rFonts w:asciiTheme="minorBidi" w:hAnsiTheme="minorBidi" w:cstheme="minorBidi"/>
        </w:rPr>
        <w:footnoteReference w:id="6"/>
      </w:r>
      <w:r w:rsidR="00B054BD" w:rsidRPr="00706B3E">
        <w:rPr>
          <w:rFonts w:asciiTheme="minorBidi" w:hAnsiTheme="minorBidi" w:cstheme="minorBidi"/>
          <w:i/>
          <w:iCs/>
        </w:rPr>
        <w:t xml:space="preserve"> </w:t>
      </w:r>
      <w:r w:rsidR="00B054BD" w:rsidRPr="00706B3E">
        <w:rPr>
          <w:rFonts w:asciiTheme="minorBidi" w:hAnsiTheme="minorBidi" w:cstheme="minorBidi"/>
        </w:rPr>
        <w:t xml:space="preserve">where the learned judge </w:t>
      </w:r>
      <w:r w:rsidR="0094038C" w:rsidRPr="00706B3E">
        <w:rPr>
          <w:rFonts w:asciiTheme="minorBidi" w:hAnsiTheme="minorBidi" w:cstheme="minorBidi"/>
        </w:rPr>
        <w:t>succinctly</w:t>
      </w:r>
      <w:r w:rsidR="00B054BD" w:rsidRPr="00706B3E">
        <w:rPr>
          <w:rFonts w:asciiTheme="minorBidi" w:hAnsiTheme="minorBidi" w:cstheme="minorBidi"/>
        </w:rPr>
        <w:t xml:space="preserve"> stated the following regarding the status of policy determinations by bureaucratic functionaries: </w:t>
      </w:r>
    </w:p>
    <w:p w14:paraId="23EBC11E" w14:textId="6B367C73" w:rsidR="00B054BD" w:rsidRPr="007B0DD3" w:rsidRDefault="00B054BD"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‘I prefer to begin by stating the obvious, namely that laws, regulations and rules are legislative instruments, whereas policy determinations are not. As a matter of sound government, in order to bind the public, policy should normally be reflected in such instruments. Policy determinations cannot override, amend or be in conflict with laws (including subordinate legislation). Otherwise the separation between Legislature and Executive will disappear.’</w:t>
      </w:r>
    </w:p>
    <w:p w14:paraId="245144E9" w14:textId="77777777" w:rsidR="0083535A" w:rsidRPr="007B0DD3" w:rsidRDefault="0083535A" w:rsidP="007B0DD3">
      <w:pPr>
        <w:pStyle w:val="ListParagraph"/>
        <w:tabs>
          <w:tab w:val="left" w:pos="709"/>
        </w:tabs>
        <w:spacing w:line="360" w:lineRule="auto"/>
        <w:ind w:left="0"/>
        <w:jc w:val="both"/>
        <w:rPr>
          <w:rFonts w:asciiTheme="minorBidi" w:hAnsiTheme="minorBidi" w:cstheme="minorBidi"/>
          <w:sz w:val="22"/>
          <w:szCs w:val="22"/>
        </w:rPr>
      </w:pPr>
    </w:p>
    <w:p w14:paraId="1FF02287" w14:textId="472602F4" w:rsidR="0094038C"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[28]</w:t>
      </w:r>
      <w:r w:rsidRPr="007B0DD3">
        <w:rPr>
          <w:rFonts w:ascii="Arial" w:hAnsi="Arial" w:cstheme="minorBidi"/>
        </w:rPr>
        <w:tab/>
      </w:r>
      <w:r w:rsidR="00A5052E" w:rsidRPr="00706B3E">
        <w:rPr>
          <w:rFonts w:asciiTheme="minorBidi" w:hAnsiTheme="minorBidi" w:cstheme="minorBidi"/>
          <w:iCs/>
        </w:rPr>
        <w:t xml:space="preserve">I </w:t>
      </w:r>
      <w:r w:rsidR="0094038C" w:rsidRPr="00706B3E">
        <w:rPr>
          <w:rFonts w:asciiTheme="minorBidi" w:hAnsiTheme="minorBidi" w:cstheme="minorBidi"/>
          <w:iCs/>
        </w:rPr>
        <w:t xml:space="preserve">do not believe that the decision in </w:t>
      </w:r>
      <w:r w:rsidR="0094038C" w:rsidRPr="00706B3E">
        <w:rPr>
          <w:rFonts w:asciiTheme="minorBidi" w:hAnsiTheme="minorBidi" w:cstheme="minorBidi"/>
          <w:i/>
        </w:rPr>
        <w:t>Oday</w:t>
      </w:r>
      <w:r w:rsidR="00134740" w:rsidRPr="00706B3E">
        <w:rPr>
          <w:rFonts w:asciiTheme="minorBidi" w:hAnsiTheme="minorBidi" w:cstheme="minorBidi"/>
          <w:i/>
        </w:rPr>
        <w:t>a</w:t>
      </w:r>
      <w:r w:rsidR="0094038C" w:rsidRPr="00706B3E">
        <w:rPr>
          <w:rFonts w:asciiTheme="minorBidi" w:hAnsiTheme="minorBidi" w:cstheme="minorBidi"/>
          <w:i/>
        </w:rPr>
        <w:t>r</w:t>
      </w:r>
      <w:r w:rsidR="0094038C" w:rsidRPr="00706B3E">
        <w:rPr>
          <w:rFonts w:asciiTheme="minorBidi" w:hAnsiTheme="minorBidi" w:cstheme="minorBidi"/>
          <w:iCs/>
        </w:rPr>
        <w:t xml:space="preserve"> is incorrect and I </w:t>
      </w:r>
      <w:r w:rsidR="00A5052E" w:rsidRPr="00706B3E">
        <w:rPr>
          <w:rFonts w:asciiTheme="minorBidi" w:hAnsiTheme="minorBidi" w:cstheme="minorBidi"/>
          <w:iCs/>
        </w:rPr>
        <w:t xml:space="preserve">must conclude that the provisions of the </w:t>
      </w:r>
      <w:r w:rsidR="00B054BD" w:rsidRPr="00706B3E">
        <w:rPr>
          <w:rFonts w:asciiTheme="minorBidi" w:hAnsiTheme="minorBidi" w:cstheme="minorBidi"/>
          <w:iCs/>
        </w:rPr>
        <w:t xml:space="preserve">circular </w:t>
      </w:r>
      <w:r w:rsidR="00A5052E" w:rsidRPr="00706B3E">
        <w:rPr>
          <w:rFonts w:asciiTheme="minorBidi" w:hAnsiTheme="minorBidi" w:cstheme="minorBidi"/>
          <w:iCs/>
        </w:rPr>
        <w:t>are</w:t>
      </w:r>
      <w:r w:rsidR="00B054BD" w:rsidRPr="00706B3E">
        <w:rPr>
          <w:rFonts w:asciiTheme="minorBidi" w:hAnsiTheme="minorBidi" w:cstheme="minorBidi"/>
          <w:iCs/>
        </w:rPr>
        <w:t xml:space="preserve"> not binding, but remain, at best, merely an expression of its author’s attitude to PTSD</w:t>
      </w:r>
      <w:r w:rsidR="00BE19E8" w:rsidRPr="00706B3E">
        <w:rPr>
          <w:rFonts w:asciiTheme="minorBidi" w:hAnsiTheme="minorBidi" w:cstheme="minorBidi"/>
          <w:iCs/>
        </w:rPr>
        <w:t xml:space="preserve"> and how such claims should be dealt with by his functionaries</w:t>
      </w:r>
      <w:r w:rsidR="00B054BD" w:rsidRPr="00706B3E">
        <w:rPr>
          <w:rFonts w:asciiTheme="minorBidi" w:hAnsiTheme="minorBidi" w:cstheme="minorBidi"/>
          <w:iCs/>
        </w:rPr>
        <w:t xml:space="preserve">. </w:t>
      </w:r>
    </w:p>
    <w:p w14:paraId="4721CBD7" w14:textId="77777777" w:rsidR="0094038C" w:rsidRPr="007B0DD3" w:rsidRDefault="0094038C" w:rsidP="007B0DD3">
      <w:pPr>
        <w:pStyle w:val="ListParagraph"/>
        <w:tabs>
          <w:tab w:val="left" w:pos="709"/>
        </w:tabs>
        <w:spacing w:line="360" w:lineRule="auto"/>
        <w:ind w:left="0"/>
        <w:jc w:val="both"/>
        <w:rPr>
          <w:rFonts w:asciiTheme="minorBidi" w:hAnsiTheme="minorBidi" w:cstheme="minorBidi"/>
          <w:b/>
          <w:bCs/>
        </w:rPr>
      </w:pPr>
    </w:p>
    <w:p w14:paraId="6DFB1F92" w14:textId="34E16D10" w:rsidR="00BE19E8" w:rsidRPr="007B0DD3" w:rsidRDefault="00BE19E8" w:rsidP="007B0DD3">
      <w:pPr>
        <w:pStyle w:val="ListParagraph"/>
        <w:tabs>
          <w:tab w:val="left" w:pos="709"/>
        </w:tabs>
        <w:spacing w:line="360" w:lineRule="auto"/>
        <w:ind w:left="0"/>
        <w:jc w:val="both"/>
        <w:rPr>
          <w:rFonts w:asciiTheme="minorBidi" w:eastAsiaTheme="minorHAnsi" w:hAnsiTheme="minorBidi" w:cstheme="minorBidi"/>
          <w:b/>
          <w:bCs/>
        </w:rPr>
      </w:pPr>
      <w:r w:rsidRPr="007B0DD3">
        <w:rPr>
          <w:rFonts w:asciiTheme="minorBidi" w:hAnsiTheme="minorBidi" w:cstheme="minorBidi"/>
          <w:b/>
          <w:bCs/>
        </w:rPr>
        <w:t>The approach of a tribunal</w:t>
      </w:r>
    </w:p>
    <w:p w14:paraId="0E209F0C" w14:textId="21485110" w:rsidR="00BE19E8"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[29]</w:t>
      </w:r>
      <w:r w:rsidRPr="007B0DD3">
        <w:rPr>
          <w:rFonts w:ascii="Arial" w:hAnsi="Arial" w:cstheme="minorBidi"/>
        </w:rPr>
        <w:tab/>
      </w:r>
      <w:r w:rsidR="00BE19E8" w:rsidRPr="00706B3E">
        <w:rPr>
          <w:rFonts w:asciiTheme="minorBidi" w:hAnsiTheme="minorBidi" w:cstheme="minorBidi"/>
          <w:color w:val="000000"/>
        </w:rPr>
        <w:t xml:space="preserve">In </w:t>
      </w:r>
      <w:r w:rsidR="004B33BD" w:rsidRPr="00706B3E">
        <w:rPr>
          <w:rFonts w:asciiTheme="minorBidi" w:hAnsiTheme="minorBidi" w:cstheme="minorBidi"/>
          <w:color w:val="000000"/>
        </w:rPr>
        <w:t>hearing objections to decisions of the respondent</w:t>
      </w:r>
      <w:r w:rsidR="00BE19E8" w:rsidRPr="00706B3E">
        <w:rPr>
          <w:rFonts w:asciiTheme="minorBidi" w:hAnsiTheme="minorBidi" w:cstheme="minorBidi"/>
          <w:color w:val="000000"/>
        </w:rPr>
        <w:t xml:space="preserve">, </w:t>
      </w:r>
      <w:r w:rsidR="004B33BD" w:rsidRPr="00706B3E">
        <w:rPr>
          <w:rFonts w:asciiTheme="minorBidi" w:hAnsiTheme="minorBidi" w:cstheme="minorBidi"/>
          <w:color w:val="000000"/>
        </w:rPr>
        <w:t>the</w:t>
      </w:r>
      <w:r w:rsidR="00BE19E8" w:rsidRPr="00706B3E">
        <w:rPr>
          <w:rFonts w:asciiTheme="minorBidi" w:hAnsiTheme="minorBidi" w:cstheme="minorBidi"/>
          <w:color w:val="000000"/>
        </w:rPr>
        <w:t xml:space="preserve"> tribunal does not merely play the part of an</w:t>
      </w:r>
      <w:r w:rsidR="00F008DE" w:rsidRPr="00706B3E">
        <w:rPr>
          <w:rFonts w:asciiTheme="minorBidi" w:hAnsiTheme="minorBidi" w:cstheme="minorBidi"/>
          <w:color w:val="000000"/>
        </w:rPr>
        <w:t xml:space="preserve"> </w:t>
      </w:r>
      <w:r w:rsidR="00BE19E8" w:rsidRPr="00706B3E">
        <w:rPr>
          <w:rFonts w:asciiTheme="minorBidi" w:hAnsiTheme="minorBidi" w:cstheme="minorBidi"/>
          <w:color w:val="000000"/>
        </w:rPr>
        <w:t>impartial referee ensuring that the rules are applied equally to each of the parties. It is required to adopt a more inquisitorial approach,</w:t>
      </w:r>
      <w:r w:rsidR="001E1A87" w:rsidRPr="00706B3E">
        <w:rPr>
          <w:rFonts w:asciiTheme="minorBidi" w:hAnsiTheme="minorBidi" w:cstheme="minorBidi"/>
          <w:color w:val="000000"/>
        </w:rPr>
        <w:t xml:space="preserve"> and</w:t>
      </w:r>
      <w:r w:rsidR="00BE19E8" w:rsidRPr="00706B3E">
        <w:rPr>
          <w:rFonts w:asciiTheme="minorBidi" w:hAnsiTheme="minorBidi" w:cstheme="minorBidi"/>
          <w:color w:val="000000"/>
        </w:rPr>
        <w:t xml:space="preserve"> a more proactive approach, in its quest to arrive at an equitable decision.</w:t>
      </w:r>
      <w:r w:rsidR="00BE19E8" w:rsidRPr="007B0DD3">
        <w:rPr>
          <w:rStyle w:val="FootnoteReference"/>
          <w:rFonts w:asciiTheme="minorBidi" w:hAnsiTheme="minorBidi" w:cstheme="minorBidi"/>
          <w:color w:val="000000"/>
        </w:rPr>
        <w:footnoteReference w:id="7"/>
      </w:r>
      <w:bookmarkStart w:id="2" w:name="0-0-0-429673"/>
      <w:bookmarkEnd w:id="2"/>
      <w:r w:rsidR="00BE19E8" w:rsidRPr="00706B3E">
        <w:rPr>
          <w:rFonts w:asciiTheme="minorBidi" w:hAnsiTheme="minorBidi" w:cstheme="minorBidi"/>
        </w:rPr>
        <w:t xml:space="preserve"> In </w:t>
      </w:r>
      <w:r w:rsidR="00BE19E8" w:rsidRPr="00706B3E">
        <w:rPr>
          <w:rFonts w:asciiTheme="minorBidi" w:hAnsiTheme="minorBidi" w:cstheme="minorBidi"/>
          <w:i/>
          <w:iCs/>
        </w:rPr>
        <w:t>Pretorius</w:t>
      </w:r>
      <w:r w:rsidR="00BE19E8" w:rsidRPr="00706B3E">
        <w:rPr>
          <w:rFonts w:asciiTheme="minorBidi" w:hAnsiTheme="minorBidi" w:cstheme="minorBidi"/>
          <w:i/>
          <w:iCs/>
          <w:color w:val="000000"/>
        </w:rPr>
        <w:t xml:space="preserve"> v Compensation Commissioner </w:t>
      </w:r>
      <w:r w:rsidR="00563113" w:rsidRPr="00706B3E">
        <w:rPr>
          <w:rFonts w:asciiTheme="minorBidi" w:hAnsiTheme="minorBidi" w:cstheme="minorBidi"/>
          <w:i/>
          <w:iCs/>
          <w:color w:val="000000"/>
        </w:rPr>
        <w:t>and</w:t>
      </w:r>
      <w:r w:rsidR="00BE19E8" w:rsidRPr="00706B3E">
        <w:rPr>
          <w:rFonts w:asciiTheme="minorBidi" w:hAnsiTheme="minorBidi" w:cstheme="minorBidi"/>
          <w:i/>
          <w:iCs/>
          <w:color w:val="000000"/>
        </w:rPr>
        <w:t xml:space="preserve"> another</w:t>
      </w:r>
      <w:r w:rsidR="00BE19E8" w:rsidRPr="00706B3E">
        <w:rPr>
          <w:rFonts w:asciiTheme="minorBidi" w:hAnsiTheme="minorBidi" w:cstheme="minorBidi"/>
        </w:rPr>
        <w:t>, the court stated that:</w:t>
      </w:r>
    </w:p>
    <w:p w14:paraId="14823C3F" w14:textId="0888F331" w:rsidR="00BE19E8" w:rsidRPr="007B0DD3" w:rsidRDefault="00BE19E8" w:rsidP="001E1A87">
      <w:pPr>
        <w:pStyle w:val="ListParagraph"/>
        <w:tabs>
          <w:tab w:val="left" w:pos="709"/>
        </w:tabs>
        <w:spacing w:line="360" w:lineRule="auto"/>
        <w:ind w:left="0"/>
        <w:jc w:val="both"/>
        <w:rPr>
          <w:rFonts w:asciiTheme="minorBidi" w:hAnsiTheme="minorBidi" w:cstheme="minorBidi"/>
          <w:color w:val="000000"/>
          <w:sz w:val="22"/>
          <w:szCs w:val="22"/>
        </w:rPr>
      </w:pPr>
      <w:r w:rsidRPr="007B0DD3">
        <w:rPr>
          <w:rFonts w:asciiTheme="minorBidi" w:hAnsiTheme="minorBidi" w:cstheme="minorBidi"/>
          <w:color w:val="000000"/>
          <w:sz w:val="22"/>
          <w:szCs w:val="22"/>
        </w:rPr>
        <w:t>‘</w:t>
      </w:r>
      <w:r w:rsidR="001E1A87" w:rsidRPr="001E1A87">
        <w:rPr>
          <w:rFonts w:asciiTheme="minorBidi" w:hAnsiTheme="minorBidi" w:cstheme="minorBidi"/>
          <w:color w:val="000000"/>
          <w:sz w:val="22"/>
          <w:szCs w:val="22"/>
          <w:lang w:val="en-US"/>
        </w:rPr>
        <w:t xml:space="preserve">The tribunal should not, like in this matter, follow a mechanistic approach. An equitable award need not be an award equal to that stipulated in the guidelines. The medical evidence, consisting of signs, symptoms and medically acceptable clinical and laboratory diagnostic techniques, as well as the subjectively quantifiable complaints of the individual should be considered. The subjective complaints of the individual must however be in synch with the medical evidence. The tribunal should exercise its discretion judiciously and not arbitrarily. It should not approve the director- general's decision without proper consideration and thereby reducing itself to a body that rubber stamps the director-general's decisions. It should set out </w:t>
      </w:r>
      <w:r w:rsidR="001E1A87" w:rsidRPr="001E1A87">
        <w:rPr>
          <w:rFonts w:asciiTheme="minorBidi" w:hAnsiTheme="minorBidi" w:cstheme="minorBidi"/>
          <w:color w:val="000000"/>
          <w:sz w:val="22"/>
          <w:szCs w:val="22"/>
          <w:lang w:val="en-US"/>
        </w:rPr>
        <w:lastRenderedPageBreak/>
        <w:t>its reasons in sufficient detail to enable the employee and if necessary the court of appeal to discern the principles used in making the assessment. The </w:t>
      </w:r>
      <w:bookmarkStart w:id="3" w:name="LPHit35"/>
      <w:bookmarkEnd w:id="3"/>
      <w:r w:rsidR="001E1A87" w:rsidRPr="001E1A87">
        <w:rPr>
          <w:rFonts w:asciiTheme="minorBidi" w:hAnsiTheme="minorBidi" w:cstheme="minorBidi"/>
          <w:color w:val="000000"/>
          <w:sz w:val="22"/>
          <w:szCs w:val="22"/>
          <w:lang w:val="en-US"/>
        </w:rPr>
        <w:t>Compensation Act should not be interpreted restrictively so as to prejudice an employee if it is capable of being interpreted in a manner more favourable to him or her</w:t>
      </w:r>
      <w:r w:rsidRPr="007B0DD3">
        <w:rPr>
          <w:rFonts w:asciiTheme="minorBidi" w:hAnsiTheme="minorBidi" w:cstheme="minorBidi"/>
          <w:color w:val="000000"/>
          <w:sz w:val="22"/>
          <w:szCs w:val="22"/>
        </w:rPr>
        <w:t>.’</w:t>
      </w:r>
      <w:r w:rsidRPr="007B0DD3">
        <w:rPr>
          <w:rStyle w:val="FootnoteReference"/>
          <w:rFonts w:asciiTheme="minorBidi" w:hAnsiTheme="minorBidi" w:cstheme="minorBidi"/>
          <w:color w:val="000000"/>
          <w:sz w:val="22"/>
          <w:szCs w:val="22"/>
        </w:rPr>
        <w:footnoteReference w:id="8"/>
      </w:r>
    </w:p>
    <w:p w14:paraId="634DE8CB" w14:textId="7256CA2E" w:rsidR="00BE19E8" w:rsidRPr="007B0DD3" w:rsidRDefault="00BE19E8" w:rsidP="007B0DD3">
      <w:pPr>
        <w:pStyle w:val="ListParagraph"/>
        <w:tabs>
          <w:tab w:val="left" w:pos="709"/>
        </w:tabs>
        <w:spacing w:line="360" w:lineRule="auto"/>
        <w:ind w:left="0"/>
        <w:jc w:val="both"/>
        <w:rPr>
          <w:rFonts w:asciiTheme="minorBidi" w:hAnsiTheme="minorBidi" w:cstheme="minorBidi"/>
        </w:rPr>
      </w:pPr>
    </w:p>
    <w:p w14:paraId="66445176" w14:textId="60AE55B5" w:rsidR="00085E3E" w:rsidRPr="007B0DD3" w:rsidRDefault="001820E0"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The purpose of the Act</w:t>
      </w:r>
      <w:r w:rsidR="004B33BD">
        <w:rPr>
          <w:rFonts w:asciiTheme="minorBidi" w:hAnsiTheme="minorBidi" w:cstheme="minorBidi"/>
          <w:b/>
          <w:bCs/>
        </w:rPr>
        <w:t xml:space="preserve"> and its interpretation</w:t>
      </w:r>
    </w:p>
    <w:p w14:paraId="21EAA18D" w14:textId="50A1E834" w:rsidR="00D967D3" w:rsidRPr="00706B3E" w:rsidRDefault="00706B3E" w:rsidP="00706B3E">
      <w:pPr>
        <w:tabs>
          <w:tab w:val="left" w:pos="709"/>
        </w:tabs>
        <w:spacing w:line="360" w:lineRule="auto"/>
        <w:jc w:val="both"/>
        <w:rPr>
          <w:rFonts w:asciiTheme="minorBidi" w:hAnsiTheme="minorBidi" w:cstheme="minorBidi"/>
          <w:sz w:val="22"/>
          <w:szCs w:val="22"/>
        </w:rPr>
      </w:pPr>
      <w:r w:rsidRPr="007B0DD3">
        <w:rPr>
          <w:rFonts w:ascii="Arial" w:hAnsi="Arial" w:cstheme="minorBidi"/>
        </w:rPr>
        <w:t>[30]</w:t>
      </w:r>
      <w:r w:rsidRPr="007B0DD3">
        <w:rPr>
          <w:rFonts w:ascii="Arial" w:hAnsi="Arial" w:cstheme="minorBidi"/>
        </w:rPr>
        <w:tab/>
      </w:r>
      <w:r w:rsidR="004452D3" w:rsidRPr="00706B3E">
        <w:rPr>
          <w:rFonts w:asciiTheme="minorBidi" w:hAnsiTheme="minorBidi" w:cstheme="minorBidi"/>
        </w:rPr>
        <w:t>Mr Kruger</w:t>
      </w:r>
      <w:r w:rsidR="00A73DA6" w:rsidRPr="00706B3E">
        <w:rPr>
          <w:rFonts w:asciiTheme="minorBidi" w:hAnsiTheme="minorBidi" w:cstheme="minorBidi"/>
        </w:rPr>
        <w:t>,</w:t>
      </w:r>
      <w:r w:rsidR="004452D3" w:rsidRPr="00706B3E">
        <w:rPr>
          <w:rFonts w:asciiTheme="minorBidi" w:hAnsiTheme="minorBidi" w:cstheme="minorBidi"/>
        </w:rPr>
        <w:t xml:space="preserve"> </w:t>
      </w:r>
      <w:r w:rsidR="00A73DA6" w:rsidRPr="00706B3E">
        <w:rPr>
          <w:rFonts w:asciiTheme="minorBidi" w:hAnsiTheme="minorBidi" w:cstheme="minorBidi"/>
        </w:rPr>
        <w:t xml:space="preserve">correctly in my view, </w:t>
      </w:r>
      <w:r w:rsidR="00E71193" w:rsidRPr="00706B3E">
        <w:rPr>
          <w:rFonts w:asciiTheme="minorBidi" w:hAnsiTheme="minorBidi" w:cstheme="minorBidi"/>
        </w:rPr>
        <w:t xml:space="preserve">noted </w:t>
      </w:r>
      <w:r w:rsidR="004452D3" w:rsidRPr="00706B3E">
        <w:rPr>
          <w:rFonts w:asciiTheme="minorBidi" w:hAnsiTheme="minorBidi" w:cstheme="minorBidi"/>
        </w:rPr>
        <w:t>in his heads of argument</w:t>
      </w:r>
      <w:r w:rsidR="00E71193" w:rsidRPr="00706B3E">
        <w:rPr>
          <w:rFonts w:asciiTheme="minorBidi" w:hAnsiTheme="minorBidi" w:cstheme="minorBidi"/>
        </w:rPr>
        <w:t xml:space="preserve"> that</w:t>
      </w:r>
      <w:r w:rsidR="004452D3" w:rsidRPr="00706B3E">
        <w:rPr>
          <w:rFonts w:asciiTheme="minorBidi" w:hAnsiTheme="minorBidi" w:cstheme="minorBidi"/>
        </w:rPr>
        <w:t xml:space="preserve"> t</w:t>
      </w:r>
      <w:r w:rsidR="00D967D3" w:rsidRPr="00706B3E">
        <w:rPr>
          <w:rFonts w:asciiTheme="minorBidi" w:hAnsiTheme="minorBidi" w:cstheme="minorBidi"/>
        </w:rPr>
        <w:t xml:space="preserve">he </w:t>
      </w:r>
      <w:r w:rsidR="004452D3" w:rsidRPr="00706B3E">
        <w:rPr>
          <w:rFonts w:asciiTheme="minorBidi" w:hAnsiTheme="minorBidi" w:cstheme="minorBidi"/>
        </w:rPr>
        <w:t xml:space="preserve">Act is an important piece of social legislation. Its </w:t>
      </w:r>
      <w:r w:rsidR="00D967D3" w:rsidRPr="00706B3E">
        <w:rPr>
          <w:rFonts w:asciiTheme="minorBidi" w:hAnsiTheme="minorBidi" w:cstheme="minorBidi"/>
        </w:rPr>
        <w:t>purpose is to be ascertained from its preamble, namely:</w:t>
      </w:r>
    </w:p>
    <w:p w14:paraId="4DDDED80" w14:textId="5F5E40D3" w:rsidR="00D967D3" w:rsidRPr="007B0DD3" w:rsidRDefault="00D967D3"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‘To provide for compensation for disablement caused by occupational injuries or diseases sustained or contracted by employees in the course of their employment, or for death resulting from such injuries or diseases; and to provide for matters connected therewith.’</w:t>
      </w:r>
    </w:p>
    <w:p w14:paraId="3DE9BC2A" w14:textId="77777777" w:rsidR="00D967D3" w:rsidRPr="007B0DD3" w:rsidRDefault="00D967D3" w:rsidP="007B0DD3">
      <w:pPr>
        <w:pStyle w:val="ListParagraph"/>
        <w:tabs>
          <w:tab w:val="left" w:pos="709"/>
        </w:tabs>
        <w:spacing w:line="360" w:lineRule="auto"/>
        <w:ind w:left="0"/>
        <w:jc w:val="both"/>
        <w:rPr>
          <w:rFonts w:asciiTheme="minorBidi" w:hAnsiTheme="minorBidi" w:cstheme="minorBidi"/>
          <w:sz w:val="22"/>
          <w:szCs w:val="22"/>
        </w:rPr>
      </w:pPr>
    </w:p>
    <w:p w14:paraId="313A39D4" w14:textId="1643AC34" w:rsidR="00B97864"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[31]</w:t>
      </w:r>
      <w:r w:rsidRPr="007B0DD3">
        <w:rPr>
          <w:rFonts w:ascii="Arial" w:hAnsi="Arial" w:cstheme="minorBidi"/>
        </w:rPr>
        <w:tab/>
      </w:r>
      <w:r w:rsidR="00B97864" w:rsidRPr="00706B3E">
        <w:rPr>
          <w:rFonts w:asciiTheme="minorBidi" w:hAnsiTheme="minorBidi" w:cstheme="minorBidi"/>
        </w:rPr>
        <w:t xml:space="preserve">As was stated in </w:t>
      </w:r>
      <w:r w:rsidR="00B97864" w:rsidRPr="00706B3E">
        <w:rPr>
          <w:rFonts w:asciiTheme="minorBidi" w:hAnsiTheme="minorBidi" w:cstheme="minorBidi"/>
          <w:i/>
          <w:iCs/>
        </w:rPr>
        <w:t>Davis v Workmen’s Compensation Commissioner</w:t>
      </w:r>
      <w:r w:rsidR="00B97864" w:rsidRPr="00706B3E">
        <w:rPr>
          <w:rFonts w:asciiTheme="minorBidi" w:hAnsiTheme="minorBidi" w:cstheme="minorBidi"/>
        </w:rPr>
        <w:t>:</w:t>
      </w:r>
    </w:p>
    <w:p w14:paraId="5C525ABA" w14:textId="6F06FE1C" w:rsidR="00B97864" w:rsidRPr="007B0DD3" w:rsidRDefault="00B97864"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 xml:space="preserve">‘The policy of the </w:t>
      </w:r>
      <w:r w:rsidR="00BD79D5" w:rsidRPr="007B0DD3">
        <w:rPr>
          <w:rFonts w:asciiTheme="minorBidi" w:hAnsiTheme="minorBidi" w:cstheme="minorBidi"/>
          <w:sz w:val="22"/>
          <w:szCs w:val="22"/>
        </w:rPr>
        <w:t>A</w:t>
      </w:r>
      <w:r w:rsidRPr="007B0DD3">
        <w:rPr>
          <w:rFonts w:asciiTheme="minorBidi" w:hAnsiTheme="minorBidi" w:cstheme="minorBidi"/>
          <w:sz w:val="22"/>
          <w:szCs w:val="22"/>
        </w:rPr>
        <w:t xml:space="preserve">ct is to assist workmen as far as possible. See </w:t>
      </w:r>
      <w:r w:rsidRPr="007B0DD3">
        <w:rPr>
          <w:rFonts w:asciiTheme="minorBidi" w:hAnsiTheme="minorBidi" w:cstheme="minorBidi"/>
          <w:i/>
          <w:iCs/>
          <w:sz w:val="22"/>
          <w:szCs w:val="22"/>
        </w:rPr>
        <w:t xml:space="preserve">Williams v Workmen’s Compensation Commissioner </w:t>
      </w:r>
      <w:r w:rsidRPr="007B0DD3">
        <w:rPr>
          <w:rFonts w:asciiTheme="minorBidi" w:hAnsiTheme="minorBidi" w:cstheme="minorBidi"/>
          <w:sz w:val="22"/>
          <w:szCs w:val="22"/>
        </w:rPr>
        <w:t>1952 (3) SA 105 (C) at 109C. The Act should therefore not be interpreted restrictively so as to prejudice a workman if it is capable of being interpreted in a man</w:t>
      </w:r>
      <w:r w:rsidR="00BD79D5" w:rsidRPr="007B0DD3">
        <w:rPr>
          <w:rFonts w:asciiTheme="minorBidi" w:hAnsiTheme="minorBidi" w:cstheme="minorBidi"/>
          <w:sz w:val="22"/>
          <w:szCs w:val="22"/>
        </w:rPr>
        <w:t>ner</w:t>
      </w:r>
      <w:r w:rsidRPr="007B0DD3">
        <w:rPr>
          <w:rFonts w:asciiTheme="minorBidi" w:hAnsiTheme="minorBidi" w:cstheme="minorBidi"/>
          <w:sz w:val="22"/>
          <w:szCs w:val="22"/>
        </w:rPr>
        <w:t xml:space="preserve"> more favourable to him.’</w:t>
      </w:r>
      <w:r w:rsidR="00124EB5" w:rsidRPr="007B0DD3">
        <w:rPr>
          <w:rStyle w:val="FootnoteReference"/>
          <w:rFonts w:asciiTheme="minorBidi" w:hAnsiTheme="minorBidi" w:cstheme="minorBidi"/>
        </w:rPr>
        <w:footnoteReference w:id="9"/>
      </w:r>
    </w:p>
    <w:p w14:paraId="730A7D4D" w14:textId="77777777" w:rsidR="00BD79D5" w:rsidRPr="007B0DD3" w:rsidRDefault="00BD79D5" w:rsidP="007B0DD3">
      <w:pPr>
        <w:pStyle w:val="ListParagraph"/>
        <w:tabs>
          <w:tab w:val="left" w:pos="709"/>
        </w:tabs>
        <w:spacing w:line="360" w:lineRule="auto"/>
        <w:ind w:left="0"/>
        <w:jc w:val="both"/>
        <w:rPr>
          <w:rFonts w:asciiTheme="minorBidi" w:hAnsiTheme="minorBidi" w:cstheme="minorBidi"/>
          <w:sz w:val="22"/>
          <w:szCs w:val="22"/>
        </w:rPr>
      </w:pPr>
    </w:p>
    <w:p w14:paraId="6D74065C" w14:textId="4998AFC2" w:rsidR="00085E3E"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[32]</w:t>
      </w:r>
      <w:r w:rsidRPr="007B0DD3">
        <w:rPr>
          <w:rFonts w:ascii="Arial" w:hAnsi="Arial" w:cstheme="minorBidi"/>
        </w:rPr>
        <w:tab/>
      </w:r>
      <w:r w:rsidR="00085E3E" w:rsidRPr="00706B3E">
        <w:rPr>
          <w:rFonts w:asciiTheme="minorBidi" w:hAnsiTheme="minorBidi" w:cstheme="minorBidi"/>
        </w:rPr>
        <w:t xml:space="preserve">The Act is </w:t>
      </w:r>
      <w:r w:rsidR="00E71193" w:rsidRPr="00706B3E">
        <w:rPr>
          <w:rFonts w:asciiTheme="minorBidi" w:hAnsiTheme="minorBidi" w:cstheme="minorBidi"/>
        </w:rPr>
        <w:t xml:space="preserve">thus </w:t>
      </w:r>
      <w:r w:rsidR="00085E3E" w:rsidRPr="00706B3E">
        <w:rPr>
          <w:rFonts w:asciiTheme="minorBidi" w:hAnsiTheme="minorBidi" w:cstheme="minorBidi"/>
        </w:rPr>
        <w:t xml:space="preserve">essentially concerned with providing appropriate social security to employees who have suffered disablement as a result of an occupational </w:t>
      </w:r>
      <w:r w:rsidR="00BD79D5" w:rsidRPr="00706B3E">
        <w:rPr>
          <w:rFonts w:asciiTheme="minorBidi" w:hAnsiTheme="minorBidi" w:cstheme="minorBidi"/>
        </w:rPr>
        <w:t xml:space="preserve">injury or </w:t>
      </w:r>
      <w:r w:rsidR="00085E3E" w:rsidRPr="00706B3E">
        <w:rPr>
          <w:rFonts w:asciiTheme="minorBidi" w:hAnsiTheme="minorBidi" w:cstheme="minorBidi"/>
        </w:rPr>
        <w:t xml:space="preserve">disease and its provisions </w:t>
      </w:r>
      <w:r w:rsidR="001E2574" w:rsidRPr="00706B3E">
        <w:rPr>
          <w:rFonts w:asciiTheme="minorBidi" w:hAnsiTheme="minorBidi" w:cstheme="minorBidi"/>
        </w:rPr>
        <w:t>are to</w:t>
      </w:r>
      <w:r w:rsidR="00085E3E" w:rsidRPr="00706B3E">
        <w:rPr>
          <w:rFonts w:asciiTheme="minorBidi" w:hAnsiTheme="minorBidi" w:cstheme="minorBidi"/>
        </w:rPr>
        <w:t xml:space="preserve"> be interpreted generously to promote this purpose.</w:t>
      </w:r>
      <w:r w:rsidR="00085E3E" w:rsidRPr="007B0DD3">
        <w:rPr>
          <w:rStyle w:val="FootnoteReference"/>
          <w:rFonts w:asciiTheme="minorBidi" w:hAnsiTheme="minorBidi" w:cstheme="minorBidi"/>
        </w:rPr>
        <w:footnoteReference w:id="10"/>
      </w:r>
      <w:r w:rsidR="00F008DE" w:rsidRPr="00706B3E">
        <w:rPr>
          <w:rFonts w:asciiTheme="minorBidi" w:hAnsiTheme="minorBidi" w:cstheme="minorBidi"/>
        </w:rPr>
        <w:t xml:space="preserve"> </w:t>
      </w:r>
      <w:r w:rsidR="00085E3E" w:rsidRPr="00706B3E">
        <w:rPr>
          <w:rFonts w:asciiTheme="minorBidi" w:hAnsiTheme="minorBidi" w:cstheme="minorBidi"/>
        </w:rPr>
        <w:t>In</w:t>
      </w:r>
      <w:r w:rsidR="00E71193" w:rsidRPr="00706B3E">
        <w:rPr>
          <w:rFonts w:asciiTheme="minorBidi" w:hAnsiTheme="minorBidi" w:cstheme="minorBidi"/>
        </w:rPr>
        <w:t xml:space="preserve"> addition, in </w:t>
      </w:r>
      <w:r w:rsidR="00085E3E" w:rsidRPr="00706B3E">
        <w:rPr>
          <w:rFonts w:asciiTheme="minorBidi" w:hAnsiTheme="minorBidi" w:cstheme="minorBidi"/>
          <w:i/>
        </w:rPr>
        <w:t>Mahlangu and another v Minister of Labour and others</w:t>
      </w:r>
      <w:r w:rsidR="00CD7CE7" w:rsidRPr="00706B3E">
        <w:rPr>
          <w:rFonts w:asciiTheme="minorBidi" w:hAnsiTheme="minorBidi" w:cstheme="minorBidi"/>
          <w:i/>
        </w:rPr>
        <w:t>,</w:t>
      </w:r>
      <w:r w:rsidR="00085E3E" w:rsidRPr="007B0DD3">
        <w:rPr>
          <w:rStyle w:val="FootnoteReference"/>
          <w:rFonts w:asciiTheme="minorBidi" w:hAnsiTheme="minorBidi" w:cstheme="minorBidi"/>
        </w:rPr>
        <w:footnoteReference w:id="11"/>
      </w:r>
      <w:r w:rsidR="00085E3E" w:rsidRPr="00706B3E">
        <w:rPr>
          <w:rFonts w:asciiTheme="minorBidi" w:hAnsiTheme="minorBidi" w:cstheme="minorBidi"/>
        </w:rPr>
        <w:t xml:space="preserve"> the court stated that the Act:</w:t>
      </w:r>
    </w:p>
    <w:p w14:paraId="1724E33F" w14:textId="00A9A8AC" w:rsidR="00085E3E" w:rsidRPr="007B0DD3" w:rsidRDefault="00085E3E"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‘must now be read and understood within the constitutional framework of s 27 and its objective to achieve substantive equality.’</w:t>
      </w:r>
      <w:r w:rsidR="00F008DE">
        <w:rPr>
          <w:rFonts w:asciiTheme="minorBidi" w:hAnsiTheme="minorBidi" w:cstheme="minorBidi"/>
          <w:sz w:val="22"/>
          <w:szCs w:val="22"/>
        </w:rPr>
        <w:t xml:space="preserve"> </w:t>
      </w:r>
    </w:p>
    <w:p w14:paraId="7D2EAA0C" w14:textId="1B1ADE44" w:rsidR="00085E3E" w:rsidRPr="007B0DD3" w:rsidRDefault="00085E3E" w:rsidP="007B0DD3">
      <w:pPr>
        <w:pStyle w:val="ListParagraph"/>
        <w:tabs>
          <w:tab w:val="left" w:pos="709"/>
        </w:tabs>
        <w:spacing w:line="360" w:lineRule="auto"/>
        <w:ind w:left="0"/>
        <w:jc w:val="both"/>
        <w:rPr>
          <w:rFonts w:asciiTheme="minorBidi" w:hAnsiTheme="minorBidi" w:cstheme="minorBidi"/>
        </w:rPr>
      </w:pPr>
      <w:r w:rsidRPr="007B0DD3">
        <w:rPr>
          <w:rFonts w:asciiTheme="minorBidi" w:hAnsiTheme="minorBidi" w:cstheme="minorBidi"/>
        </w:rPr>
        <w:t>Section 27 of the Constitution guarantees everyone a right to access to social security and enjoins the State to take steps to progressively realise this right.</w:t>
      </w:r>
    </w:p>
    <w:p w14:paraId="0C2C2154" w14:textId="754157BA" w:rsidR="0047728B" w:rsidRDefault="0047728B" w:rsidP="007B0DD3">
      <w:pPr>
        <w:pStyle w:val="ListParagraph"/>
        <w:tabs>
          <w:tab w:val="left" w:pos="709"/>
        </w:tabs>
        <w:spacing w:line="360" w:lineRule="auto"/>
        <w:ind w:left="0"/>
        <w:jc w:val="both"/>
        <w:rPr>
          <w:rFonts w:asciiTheme="minorBidi" w:hAnsiTheme="minorBidi" w:cstheme="minorBidi"/>
        </w:rPr>
      </w:pPr>
    </w:p>
    <w:p w14:paraId="66CF7513" w14:textId="3FCB5981" w:rsidR="008A7279" w:rsidRDefault="008A7279" w:rsidP="007B0DD3">
      <w:pPr>
        <w:pStyle w:val="ListParagraph"/>
        <w:tabs>
          <w:tab w:val="left" w:pos="709"/>
        </w:tabs>
        <w:spacing w:line="360" w:lineRule="auto"/>
        <w:ind w:left="0"/>
        <w:jc w:val="both"/>
        <w:rPr>
          <w:rFonts w:asciiTheme="minorBidi" w:hAnsiTheme="minorBidi" w:cstheme="minorBidi"/>
        </w:rPr>
      </w:pPr>
    </w:p>
    <w:p w14:paraId="77359083" w14:textId="77777777" w:rsidR="008A7279" w:rsidRPr="007B0DD3" w:rsidRDefault="008A7279" w:rsidP="007B0DD3">
      <w:pPr>
        <w:pStyle w:val="ListParagraph"/>
        <w:tabs>
          <w:tab w:val="left" w:pos="709"/>
        </w:tabs>
        <w:spacing w:line="360" w:lineRule="auto"/>
        <w:ind w:left="0"/>
        <w:jc w:val="both"/>
        <w:rPr>
          <w:rFonts w:asciiTheme="minorBidi" w:hAnsiTheme="minorBidi" w:cstheme="minorBidi"/>
        </w:rPr>
      </w:pPr>
    </w:p>
    <w:p w14:paraId="36E5B3E9" w14:textId="2CD4756C" w:rsidR="008940A3" w:rsidRPr="007B0DD3" w:rsidRDefault="008940A3"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lastRenderedPageBreak/>
        <w:t>The uncontroverted evidence</w:t>
      </w:r>
    </w:p>
    <w:p w14:paraId="607919B1" w14:textId="2E9C5A4A" w:rsidR="0071149F"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[33]</w:t>
      </w:r>
      <w:r w:rsidRPr="007B0DD3">
        <w:rPr>
          <w:rFonts w:ascii="Arial" w:hAnsi="Arial" w:cstheme="minorBidi"/>
        </w:rPr>
        <w:tab/>
      </w:r>
      <w:r w:rsidR="008940A3" w:rsidRPr="00706B3E">
        <w:rPr>
          <w:rFonts w:asciiTheme="minorBidi" w:hAnsiTheme="minorBidi" w:cstheme="minorBidi"/>
        </w:rPr>
        <w:t>At the hearing before the tribunal, t</w:t>
      </w:r>
      <w:r w:rsidR="002D4953" w:rsidRPr="00706B3E">
        <w:rPr>
          <w:rFonts w:asciiTheme="minorBidi" w:hAnsiTheme="minorBidi" w:cstheme="minorBidi"/>
        </w:rPr>
        <w:t xml:space="preserve">here </w:t>
      </w:r>
      <w:r w:rsidR="008940A3" w:rsidRPr="00706B3E">
        <w:rPr>
          <w:rFonts w:asciiTheme="minorBidi" w:hAnsiTheme="minorBidi" w:cstheme="minorBidi"/>
        </w:rPr>
        <w:t>wa</w:t>
      </w:r>
      <w:r w:rsidR="002D4953" w:rsidRPr="00706B3E">
        <w:rPr>
          <w:rFonts w:asciiTheme="minorBidi" w:hAnsiTheme="minorBidi" w:cstheme="minorBidi"/>
        </w:rPr>
        <w:t xml:space="preserve">s no dispute </w:t>
      </w:r>
      <w:r w:rsidR="005A103A" w:rsidRPr="00706B3E">
        <w:rPr>
          <w:rFonts w:asciiTheme="minorBidi" w:hAnsiTheme="minorBidi" w:cstheme="minorBidi"/>
        </w:rPr>
        <w:t>regarding</w:t>
      </w:r>
      <w:r w:rsidR="002D4953" w:rsidRPr="00706B3E">
        <w:rPr>
          <w:rFonts w:asciiTheme="minorBidi" w:hAnsiTheme="minorBidi" w:cstheme="minorBidi"/>
        </w:rPr>
        <w:t xml:space="preserve"> the </w:t>
      </w:r>
      <w:r w:rsidR="0071149F" w:rsidRPr="00706B3E">
        <w:rPr>
          <w:rFonts w:asciiTheme="minorBidi" w:hAnsiTheme="minorBidi" w:cstheme="minorBidi"/>
        </w:rPr>
        <w:t>expert medical reports relied upon by the appellant. Neither was there any dispute about the facts of the matter.</w:t>
      </w:r>
      <w:r w:rsidR="009D7182" w:rsidRPr="00706B3E">
        <w:rPr>
          <w:rFonts w:asciiTheme="minorBidi" w:hAnsiTheme="minorBidi" w:cstheme="minorBidi"/>
        </w:rPr>
        <w:t xml:space="preserve"> Implicit in this is that </w:t>
      </w:r>
      <w:r w:rsidR="00F37C55" w:rsidRPr="00706B3E">
        <w:rPr>
          <w:rFonts w:asciiTheme="minorBidi" w:hAnsiTheme="minorBidi" w:cstheme="minorBidi"/>
        </w:rPr>
        <w:t xml:space="preserve">the </w:t>
      </w:r>
      <w:r w:rsidR="009D7182" w:rsidRPr="00706B3E">
        <w:rPr>
          <w:rFonts w:asciiTheme="minorBidi" w:hAnsiTheme="minorBidi" w:cstheme="minorBidi"/>
        </w:rPr>
        <w:t>events of 14 January 2015 are not disputed</w:t>
      </w:r>
      <w:r w:rsidR="00AD4DFB" w:rsidRPr="00706B3E">
        <w:rPr>
          <w:rFonts w:asciiTheme="minorBidi" w:hAnsiTheme="minorBidi" w:cstheme="minorBidi"/>
        </w:rPr>
        <w:t xml:space="preserve">, nor is the significance of those events in the development by the appellant of PTSD. </w:t>
      </w:r>
      <w:r w:rsidR="008940A3" w:rsidRPr="00706B3E">
        <w:rPr>
          <w:rFonts w:asciiTheme="minorBidi" w:hAnsiTheme="minorBidi" w:cstheme="minorBidi"/>
        </w:rPr>
        <w:t xml:space="preserve">It can safely be accepted therefore that the respondent accepted that there was a single stressful event that brought upon the appellant’s PTSD. In other </w:t>
      </w:r>
      <w:r w:rsidR="008E340F" w:rsidRPr="00706B3E">
        <w:rPr>
          <w:rFonts w:asciiTheme="minorBidi" w:hAnsiTheme="minorBidi" w:cstheme="minorBidi"/>
        </w:rPr>
        <w:t xml:space="preserve">reported </w:t>
      </w:r>
      <w:r w:rsidR="008940A3" w:rsidRPr="00706B3E">
        <w:rPr>
          <w:rFonts w:asciiTheme="minorBidi" w:hAnsiTheme="minorBidi" w:cstheme="minorBidi"/>
        </w:rPr>
        <w:t>cases which have dealt with PTSD it was often difficult to pinpoint a single stressful event that triggered the disorder</w:t>
      </w:r>
      <w:r w:rsidR="008E340F" w:rsidRPr="00706B3E">
        <w:rPr>
          <w:rFonts w:asciiTheme="minorBidi" w:hAnsiTheme="minorBidi" w:cstheme="minorBidi"/>
        </w:rPr>
        <w:t>, it being triggered by a</w:t>
      </w:r>
      <w:r w:rsidR="009D6C2C" w:rsidRPr="00706B3E">
        <w:rPr>
          <w:rFonts w:asciiTheme="minorBidi" w:hAnsiTheme="minorBidi" w:cstheme="minorBidi"/>
        </w:rPr>
        <w:t xml:space="preserve"> gradual</w:t>
      </w:r>
      <w:r w:rsidR="008E340F" w:rsidRPr="00706B3E">
        <w:rPr>
          <w:rFonts w:asciiTheme="minorBidi" w:hAnsiTheme="minorBidi" w:cstheme="minorBidi"/>
        </w:rPr>
        <w:t xml:space="preserve"> accumulation of stressors</w:t>
      </w:r>
      <w:r w:rsidR="008940A3" w:rsidRPr="00706B3E">
        <w:rPr>
          <w:rFonts w:asciiTheme="minorBidi" w:hAnsiTheme="minorBidi" w:cstheme="minorBidi"/>
        </w:rPr>
        <w:t xml:space="preserve">. That is not the case in this matter. </w:t>
      </w:r>
      <w:r w:rsidR="009D6C2C" w:rsidRPr="00706B3E">
        <w:rPr>
          <w:rFonts w:asciiTheme="minorBidi" w:hAnsiTheme="minorBidi" w:cstheme="minorBidi"/>
        </w:rPr>
        <w:t>It must be so that b</w:t>
      </w:r>
      <w:r w:rsidR="008E340F" w:rsidRPr="00706B3E">
        <w:rPr>
          <w:rFonts w:asciiTheme="minorBidi" w:hAnsiTheme="minorBidi" w:cstheme="minorBidi"/>
        </w:rPr>
        <w:t xml:space="preserve">eing shot at and being hit </w:t>
      </w:r>
      <w:r w:rsidR="009D6C2C" w:rsidRPr="00706B3E">
        <w:rPr>
          <w:rFonts w:asciiTheme="minorBidi" w:hAnsiTheme="minorBidi" w:cstheme="minorBidi"/>
        </w:rPr>
        <w:t xml:space="preserve">by a bullet </w:t>
      </w:r>
      <w:r w:rsidR="008E340F" w:rsidRPr="00706B3E">
        <w:rPr>
          <w:rFonts w:asciiTheme="minorBidi" w:hAnsiTheme="minorBidi" w:cstheme="minorBidi"/>
        </w:rPr>
        <w:t xml:space="preserve">must be an extremely frightening experience and </w:t>
      </w:r>
      <w:r w:rsidR="009D6C2C" w:rsidRPr="00706B3E">
        <w:rPr>
          <w:rFonts w:asciiTheme="minorBidi" w:hAnsiTheme="minorBidi" w:cstheme="minorBidi"/>
        </w:rPr>
        <w:t>forces one to reflect on one’s mortality. T</w:t>
      </w:r>
      <w:r w:rsidR="008E340F" w:rsidRPr="00706B3E">
        <w:rPr>
          <w:rFonts w:asciiTheme="minorBidi" w:hAnsiTheme="minorBidi" w:cstheme="minorBidi"/>
        </w:rPr>
        <w:t xml:space="preserve">hat the appellant has suffered </w:t>
      </w:r>
      <w:r w:rsidR="009D6C2C" w:rsidRPr="00706B3E">
        <w:rPr>
          <w:rFonts w:asciiTheme="minorBidi" w:hAnsiTheme="minorBidi" w:cstheme="minorBidi"/>
        </w:rPr>
        <w:t xml:space="preserve">from PTSD </w:t>
      </w:r>
      <w:r w:rsidR="008E340F" w:rsidRPr="00706B3E">
        <w:rPr>
          <w:rFonts w:asciiTheme="minorBidi" w:hAnsiTheme="minorBidi" w:cstheme="minorBidi"/>
        </w:rPr>
        <w:t xml:space="preserve">as a consequence </w:t>
      </w:r>
      <w:r w:rsidR="009D6C2C" w:rsidRPr="00706B3E">
        <w:rPr>
          <w:rFonts w:asciiTheme="minorBidi" w:hAnsiTheme="minorBidi" w:cstheme="minorBidi"/>
        </w:rPr>
        <w:t>of his experience is</w:t>
      </w:r>
      <w:r w:rsidR="008940A3" w:rsidRPr="00706B3E">
        <w:rPr>
          <w:rFonts w:asciiTheme="minorBidi" w:hAnsiTheme="minorBidi" w:cstheme="minorBidi"/>
        </w:rPr>
        <w:t xml:space="preserve"> </w:t>
      </w:r>
      <w:r w:rsidR="008E340F" w:rsidRPr="00706B3E">
        <w:rPr>
          <w:rFonts w:asciiTheme="minorBidi" w:hAnsiTheme="minorBidi" w:cstheme="minorBidi"/>
        </w:rPr>
        <w:t xml:space="preserve">not difficult </w:t>
      </w:r>
      <w:r w:rsidR="008940A3" w:rsidRPr="00706B3E">
        <w:rPr>
          <w:rFonts w:asciiTheme="minorBidi" w:hAnsiTheme="minorBidi" w:cstheme="minorBidi"/>
        </w:rPr>
        <w:t>to understand.</w:t>
      </w:r>
      <w:r w:rsidR="008E340F" w:rsidRPr="00706B3E">
        <w:rPr>
          <w:rFonts w:asciiTheme="minorBidi" w:hAnsiTheme="minorBidi" w:cstheme="minorBidi"/>
        </w:rPr>
        <w:t xml:space="preserve"> The appellant’s experts have confirmed this event as being the catalyst that brought on his condition.</w:t>
      </w:r>
    </w:p>
    <w:p w14:paraId="024D75A1" w14:textId="77777777" w:rsidR="00876A38" w:rsidRPr="007B0DD3" w:rsidRDefault="00876A38" w:rsidP="007B0DD3">
      <w:pPr>
        <w:pStyle w:val="ListParagraph"/>
        <w:tabs>
          <w:tab w:val="left" w:pos="709"/>
        </w:tabs>
        <w:spacing w:line="360" w:lineRule="auto"/>
        <w:ind w:left="0"/>
        <w:jc w:val="both"/>
        <w:rPr>
          <w:rFonts w:asciiTheme="minorBidi" w:hAnsiTheme="minorBidi" w:cstheme="minorBidi"/>
        </w:rPr>
      </w:pPr>
    </w:p>
    <w:p w14:paraId="20DB8254" w14:textId="1F5C60AE" w:rsidR="0071149F" w:rsidRPr="00706B3E" w:rsidRDefault="00706B3E" w:rsidP="00706B3E">
      <w:pPr>
        <w:tabs>
          <w:tab w:val="left" w:pos="709"/>
        </w:tabs>
        <w:spacing w:line="360" w:lineRule="auto"/>
        <w:jc w:val="both"/>
        <w:rPr>
          <w:rFonts w:asciiTheme="minorBidi" w:hAnsiTheme="minorBidi" w:cstheme="minorBidi"/>
        </w:rPr>
      </w:pPr>
      <w:r>
        <w:rPr>
          <w:rFonts w:ascii="Arial" w:hAnsi="Arial" w:cstheme="minorBidi"/>
        </w:rPr>
        <w:t>[34]</w:t>
      </w:r>
      <w:r>
        <w:rPr>
          <w:rFonts w:ascii="Arial" w:hAnsi="Arial" w:cstheme="minorBidi"/>
        </w:rPr>
        <w:tab/>
      </w:r>
      <w:r w:rsidR="009D7182" w:rsidRPr="00706B3E">
        <w:rPr>
          <w:rFonts w:asciiTheme="minorBidi" w:hAnsiTheme="minorBidi" w:cstheme="minorBidi"/>
        </w:rPr>
        <w:t>It is also not disputed</w:t>
      </w:r>
      <w:r w:rsidR="00AD4DFB" w:rsidRPr="00706B3E">
        <w:rPr>
          <w:rFonts w:asciiTheme="minorBidi" w:hAnsiTheme="minorBidi" w:cstheme="minorBidi"/>
        </w:rPr>
        <w:t xml:space="preserve"> that Dr Agambaram found the appellant </w:t>
      </w:r>
      <w:r w:rsidR="002D4953" w:rsidRPr="00706B3E">
        <w:rPr>
          <w:rFonts w:asciiTheme="minorBidi" w:hAnsiTheme="minorBidi" w:cstheme="minorBidi"/>
        </w:rPr>
        <w:t xml:space="preserve">to be permanently disabled </w:t>
      </w:r>
      <w:r w:rsidR="00942B16" w:rsidRPr="00706B3E">
        <w:rPr>
          <w:rFonts w:asciiTheme="minorBidi" w:hAnsiTheme="minorBidi" w:cstheme="minorBidi"/>
        </w:rPr>
        <w:t xml:space="preserve">due to </w:t>
      </w:r>
      <w:r w:rsidR="0004370A" w:rsidRPr="00706B3E">
        <w:rPr>
          <w:rFonts w:asciiTheme="minorBidi" w:hAnsiTheme="minorBidi" w:cstheme="minorBidi"/>
        </w:rPr>
        <w:t>PTSD.</w:t>
      </w:r>
      <w:r w:rsidR="00B34B11" w:rsidRPr="00706B3E">
        <w:rPr>
          <w:rFonts w:asciiTheme="minorBidi" w:hAnsiTheme="minorBidi" w:cstheme="minorBidi"/>
        </w:rPr>
        <w:t xml:space="preserve"> </w:t>
      </w:r>
      <w:r w:rsidR="008E340F" w:rsidRPr="00706B3E">
        <w:rPr>
          <w:rFonts w:asciiTheme="minorBidi" w:hAnsiTheme="minorBidi" w:cstheme="minorBidi"/>
        </w:rPr>
        <w:t xml:space="preserve">This was not a decision arrived at immediately after the events of 14 January 2015. A number of years have elapsed since that day and Dr Agambaram remains of the view that the appellant is unable to compete on the open labour market. He is thus unemployable given his </w:t>
      </w:r>
      <w:r w:rsidR="00167D81" w:rsidRPr="00706B3E">
        <w:rPr>
          <w:rFonts w:asciiTheme="minorBidi" w:hAnsiTheme="minorBidi" w:cstheme="minorBidi"/>
        </w:rPr>
        <w:t>condition. No</w:t>
      </w:r>
      <w:r w:rsidR="00AD4DFB" w:rsidRPr="00706B3E">
        <w:rPr>
          <w:rFonts w:asciiTheme="minorBidi" w:hAnsiTheme="minorBidi" w:cstheme="minorBidi"/>
        </w:rPr>
        <w:t xml:space="preserve"> evidence was led on behalf of the SAPS </w:t>
      </w:r>
      <w:r w:rsidR="0071149F" w:rsidRPr="00706B3E">
        <w:rPr>
          <w:rFonts w:asciiTheme="minorBidi" w:hAnsiTheme="minorBidi" w:cstheme="minorBidi"/>
        </w:rPr>
        <w:t xml:space="preserve">before the tribunal </w:t>
      </w:r>
      <w:r w:rsidR="00AD4DFB" w:rsidRPr="00706B3E">
        <w:rPr>
          <w:rFonts w:asciiTheme="minorBidi" w:hAnsiTheme="minorBidi" w:cstheme="minorBidi"/>
        </w:rPr>
        <w:t xml:space="preserve">and </w:t>
      </w:r>
      <w:r w:rsidR="00FB0ED6" w:rsidRPr="00706B3E">
        <w:rPr>
          <w:rFonts w:asciiTheme="minorBidi" w:hAnsiTheme="minorBidi" w:cstheme="minorBidi"/>
        </w:rPr>
        <w:t xml:space="preserve">accordingly </w:t>
      </w:r>
      <w:r w:rsidR="00AD4DFB" w:rsidRPr="00706B3E">
        <w:rPr>
          <w:rFonts w:asciiTheme="minorBidi" w:hAnsiTheme="minorBidi" w:cstheme="minorBidi"/>
        </w:rPr>
        <w:t>no</w:t>
      </w:r>
      <w:r w:rsidR="0004370A" w:rsidRPr="00706B3E">
        <w:rPr>
          <w:rFonts w:asciiTheme="minorBidi" w:hAnsiTheme="minorBidi" w:cstheme="minorBidi"/>
        </w:rPr>
        <w:t xml:space="preserve"> expert medical evidence </w:t>
      </w:r>
      <w:r w:rsidR="00AD4DFB" w:rsidRPr="00706B3E">
        <w:rPr>
          <w:rFonts w:asciiTheme="minorBidi" w:hAnsiTheme="minorBidi" w:cstheme="minorBidi"/>
        </w:rPr>
        <w:t xml:space="preserve">was adduced </w:t>
      </w:r>
      <w:r w:rsidR="0004370A" w:rsidRPr="00706B3E">
        <w:rPr>
          <w:rFonts w:asciiTheme="minorBidi" w:hAnsiTheme="minorBidi" w:cstheme="minorBidi"/>
        </w:rPr>
        <w:t xml:space="preserve">to gainsay the </w:t>
      </w:r>
      <w:r w:rsidR="005A3BED" w:rsidRPr="00706B3E">
        <w:rPr>
          <w:rFonts w:asciiTheme="minorBidi" w:hAnsiTheme="minorBidi" w:cstheme="minorBidi"/>
        </w:rPr>
        <w:t>evidence of Dr Agambaram on this issue</w:t>
      </w:r>
      <w:r w:rsidR="0004370A" w:rsidRPr="00706B3E">
        <w:rPr>
          <w:rFonts w:asciiTheme="minorBidi" w:hAnsiTheme="minorBidi" w:cstheme="minorBidi"/>
        </w:rPr>
        <w:t>.</w:t>
      </w:r>
      <w:r w:rsidR="00CD400C" w:rsidRPr="00706B3E">
        <w:rPr>
          <w:rFonts w:asciiTheme="minorBidi" w:hAnsiTheme="minorBidi" w:cstheme="minorBidi"/>
        </w:rPr>
        <w:t xml:space="preserve"> </w:t>
      </w:r>
      <w:r w:rsidR="00B34B11" w:rsidRPr="00706B3E">
        <w:rPr>
          <w:rFonts w:asciiTheme="minorBidi" w:hAnsiTheme="minorBidi" w:cstheme="minorBidi"/>
        </w:rPr>
        <w:t xml:space="preserve">The reports of the </w:t>
      </w:r>
      <w:r w:rsidR="00CD400C" w:rsidRPr="00706B3E">
        <w:rPr>
          <w:rFonts w:asciiTheme="minorBidi" w:hAnsiTheme="minorBidi" w:cstheme="minorBidi"/>
        </w:rPr>
        <w:t xml:space="preserve">appellant’s </w:t>
      </w:r>
      <w:r w:rsidR="00B34B11" w:rsidRPr="00706B3E">
        <w:rPr>
          <w:rFonts w:asciiTheme="minorBidi" w:hAnsiTheme="minorBidi" w:cstheme="minorBidi"/>
        </w:rPr>
        <w:t xml:space="preserve">experts </w:t>
      </w:r>
      <w:r w:rsidR="0004370A" w:rsidRPr="00706B3E">
        <w:rPr>
          <w:rFonts w:asciiTheme="minorBidi" w:hAnsiTheme="minorBidi" w:cstheme="minorBidi"/>
        </w:rPr>
        <w:t xml:space="preserve">thus </w:t>
      </w:r>
      <w:r w:rsidR="00F70137" w:rsidRPr="00706B3E">
        <w:rPr>
          <w:rFonts w:asciiTheme="minorBidi" w:hAnsiTheme="minorBidi" w:cstheme="minorBidi"/>
        </w:rPr>
        <w:t>went unchallenged and</w:t>
      </w:r>
      <w:r w:rsidR="00CD400C" w:rsidRPr="00706B3E">
        <w:rPr>
          <w:rFonts w:asciiTheme="minorBidi" w:hAnsiTheme="minorBidi" w:cstheme="minorBidi"/>
        </w:rPr>
        <w:t xml:space="preserve"> </w:t>
      </w:r>
      <w:r w:rsidR="00F70137" w:rsidRPr="00706B3E">
        <w:rPr>
          <w:rFonts w:asciiTheme="minorBidi" w:hAnsiTheme="minorBidi" w:cstheme="minorBidi"/>
        </w:rPr>
        <w:t xml:space="preserve">Dr Agambaram’s </w:t>
      </w:r>
      <w:r w:rsidR="00290E1E" w:rsidRPr="00706B3E">
        <w:rPr>
          <w:rFonts w:asciiTheme="minorBidi" w:hAnsiTheme="minorBidi" w:cstheme="minorBidi"/>
        </w:rPr>
        <w:t xml:space="preserve">final </w:t>
      </w:r>
      <w:r w:rsidR="00F70137" w:rsidRPr="00706B3E">
        <w:rPr>
          <w:rFonts w:asciiTheme="minorBidi" w:hAnsiTheme="minorBidi" w:cstheme="minorBidi"/>
        </w:rPr>
        <w:t>findings remain undisturbed.</w:t>
      </w:r>
      <w:r w:rsidR="00FB0ED6" w:rsidRPr="00706B3E">
        <w:rPr>
          <w:rFonts w:asciiTheme="minorBidi" w:hAnsiTheme="minorBidi" w:cstheme="minorBidi"/>
        </w:rPr>
        <w:t xml:space="preserve"> </w:t>
      </w:r>
    </w:p>
    <w:p w14:paraId="697F06B5" w14:textId="77777777" w:rsidR="009D6C2C" w:rsidRPr="009D6C2C" w:rsidRDefault="009D6C2C" w:rsidP="00573EDA">
      <w:pPr>
        <w:pStyle w:val="ListParagraph"/>
        <w:spacing w:line="360" w:lineRule="auto"/>
        <w:rPr>
          <w:rFonts w:asciiTheme="minorBidi" w:hAnsiTheme="minorBidi" w:cstheme="minorBidi"/>
        </w:rPr>
      </w:pPr>
    </w:p>
    <w:p w14:paraId="5DD46270"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The errors of the tribunal</w:t>
      </w:r>
    </w:p>
    <w:p w14:paraId="37D158A0" w14:textId="40474DF7" w:rsidR="00EF0F93"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[35]</w:t>
      </w:r>
      <w:r w:rsidRPr="007B0DD3">
        <w:rPr>
          <w:rFonts w:ascii="Arial" w:hAnsi="Arial" w:cstheme="minorBidi"/>
        </w:rPr>
        <w:tab/>
      </w:r>
      <w:r w:rsidR="00EF0F93" w:rsidRPr="00706B3E">
        <w:rPr>
          <w:rFonts w:asciiTheme="minorBidi" w:hAnsiTheme="minorBidi" w:cstheme="minorBidi"/>
        </w:rPr>
        <w:t xml:space="preserve">It appears to me that </w:t>
      </w:r>
      <w:r w:rsidR="00573EDA" w:rsidRPr="00706B3E">
        <w:rPr>
          <w:rFonts w:asciiTheme="minorBidi" w:hAnsiTheme="minorBidi" w:cstheme="minorBidi"/>
        </w:rPr>
        <w:t xml:space="preserve">in considering its judgment, </w:t>
      </w:r>
      <w:r w:rsidR="00EF0F93" w:rsidRPr="00706B3E">
        <w:rPr>
          <w:rFonts w:asciiTheme="minorBidi" w:hAnsiTheme="minorBidi" w:cstheme="minorBidi"/>
        </w:rPr>
        <w:t xml:space="preserve">the tribunal fell into the trap cautioned against in </w:t>
      </w:r>
      <w:r w:rsidR="00EF0F93" w:rsidRPr="00706B3E">
        <w:rPr>
          <w:rFonts w:asciiTheme="minorBidi" w:hAnsiTheme="minorBidi" w:cstheme="minorBidi"/>
          <w:i/>
          <w:iCs/>
        </w:rPr>
        <w:t>Pretorius</w:t>
      </w:r>
      <w:r w:rsidR="00EF0F93" w:rsidRPr="00706B3E">
        <w:rPr>
          <w:rFonts w:asciiTheme="minorBidi" w:hAnsiTheme="minorBidi" w:cstheme="minorBidi"/>
        </w:rPr>
        <w:t xml:space="preserve">. It mechanistically confirmed the respondent’s approach and provided no trace of its reasons for upholding </w:t>
      </w:r>
      <w:r w:rsidR="00573EDA" w:rsidRPr="00706B3E">
        <w:rPr>
          <w:rFonts w:asciiTheme="minorBidi" w:hAnsiTheme="minorBidi" w:cstheme="minorBidi"/>
        </w:rPr>
        <w:t>the respondent’s</w:t>
      </w:r>
      <w:r w:rsidR="00EF0F93" w:rsidRPr="00706B3E">
        <w:rPr>
          <w:rFonts w:asciiTheme="minorBidi" w:hAnsiTheme="minorBidi" w:cstheme="minorBidi"/>
        </w:rPr>
        <w:t xml:space="preserve"> decision. It incorrectly elevated the circular to something akin to a statute and simply ratified its application to the facts of this case. It acknowledged in its judgment that the respondent had relied upon the contents of the circular to arrive at its assessment of the appellant’s </w:t>
      </w:r>
      <w:r w:rsidR="009A382F" w:rsidRPr="00706B3E">
        <w:rPr>
          <w:rFonts w:asciiTheme="minorBidi" w:hAnsiTheme="minorBidi" w:cstheme="minorBidi"/>
        </w:rPr>
        <w:t>disablement</w:t>
      </w:r>
      <w:r w:rsidR="00EF0F93" w:rsidRPr="00706B3E">
        <w:rPr>
          <w:rFonts w:asciiTheme="minorBidi" w:hAnsiTheme="minorBidi" w:cstheme="minorBidi"/>
        </w:rPr>
        <w:t>, but did not question whether the respondent was entitled to rely on the circular.</w:t>
      </w:r>
    </w:p>
    <w:p w14:paraId="137C855D" w14:textId="3B0A82D7" w:rsidR="00EF0F93" w:rsidRPr="00706B3E" w:rsidRDefault="00706B3E" w:rsidP="00706B3E">
      <w:pPr>
        <w:tabs>
          <w:tab w:val="left" w:pos="709"/>
        </w:tabs>
        <w:spacing w:line="360" w:lineRule="auto"/>
        <w:jc w:val="both"/>
        <w:rPr>
          <w:rFonts w:asciiTheme="minorBidi" w:hAnsiTheme="minorBidi" w:cstheme="minorBidi"/>
        </w:rPr>
      </w:pPr>
      <w:r w:rsidRPr="00573EDA">
        <w:rPr>
          <w:rFonts w:ascii="Arial" w:hAnsi="Arial" w:cstheme="minorBidi"/>
        </w:rPr>
        <w:lastRenderedPageBreak/>
        <w:t>[36]</w:t>
      </w:r>
      <w:r w:rsidRPr="00573EDA">
        <w:rPr>
          <w:rFonts w:ascii="Arial" w:hAnsi="Arial" w:cstheme="minorBidi"/>
        </w:rPr>
        <w:tab/>
      </w:r>
      <w:r w:rsidR="00EF0F93" w:rsidRPr="00706B3E">
        <w:rPr>
          <w:rFonts w:asciiTheme="minorBidi" w:hAnsiTheme="minorBidi" w:cstheme="minorBidi"/>
        </w:rPr>
        <w:t xml:space="preserve">That the tribunal merely rubber stamped the decision of the respondent is evident from the fact that the calculation that generated the answer of a 39 percent </w:t>
      </w:r>
      <w:r w:rsidR="009A382F" w:rsidRPr="00706B3E">
        <w:rPr>
          <w:rFonts w:asciiTheme="minorBidi" w:hAnsiTheme="minorBidi" w:cstheme="minorBidi"/>
        </w:rPr>
        <w:t>disablement</w:t>
      </w:r>
      <w:r w:rsidR="00EF0F93" w:rsidRPr="00706B3E">
        <w:rPr>
          <w:rFonts w:asciiTheme="minorBidi" w:hAnsiTheme="minorBidi" w:cstheme="minorBidi"/>
        </w:rPr>
        <w:t xml:space="preserve"> in respect of the appellant was not mentioned at all during the course of the tribunal’s written judgment. Nor for that matter was there any indication what the GAF scale comprises and what values should be allocated in this matter using this scale. The tribunal simply found that:</w:t>
      </w:r>
    </w:p>
    <w:p w14:paraId="2B1503D9" w14:textId="5468146E" w:rsidR="00EF0F93" w:rsidRPr="007B0DD3" w:rsidRDefault="00EF0F93"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 the manner in which the permanent disability was calculated as set out in the respondent’s heads of argument is plausible and given the Applicant’s circumstances appears to be just and equitable.’</w:t>
      </w:r>
    </w:p>
    <w:p w14:paraId="6041651C"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rPr>
      </w:pPr>
      <w:r w:rsidRPr="007B0DD3">
        <w:rPr>
          <w:rFonts w:asciiTheme="minorBidi" w:hAnsiTheme="minorBidi" w:cstheme="minorBidi"/>
        </w:rPr>
        <w:t>The heads of argument referred to in the extract mentioned above are not before this court. We do not know what was stated therein. That we are now aware of how the calculation is to be performed arises not from the judgment of the tribunal but from Mr Sibeko’s heads of argument submitted to us in advance of the appeal.</w:t>
      </w:r>
      <w:r w:rsidRPr="007B0DD3">
        <w:rPr>
          <w:rStyle w:val="FootnoteReference"/>
          <w:rFonts w:asciiTheme="minorBidi" w:hAnsiTheme="minorBidi" w:cstheme="minorBidi"/>
        </w:rPr>
        <w:footnoteReference w:id="12"/>
      </w:r>
      <w:r w:rsidRPr="007B0DD3">
        <w:rPr>
          <w:rFonts w:asciiTheme="minorBidi" w:hAnsiTheme="minorBidi" w:cstheme="minorBidi"/>
        </w:rPr>
        <w:t xml:space="preserve"> This, naturally, is entirely unsatisfactory.</w:t>
      </w:r>
    </w:p>
    <w:p w14:paraId="47D0D5BD"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rPr>
      </w:pPr>
    </w:p>
    <w:p w14:paraId="31A48316" w14:textId="70DD9EE5" w:rsidR="00EF0F93" w:rsidRPr="00706B3E" w:rsidRDefault="00706B3E" w:rsidP="00706B3E">
      <w:pPr>
        <w:tabs>
          <w:tab w:val="left" w:pos="709"/>
        </w:tabs>
        <w:spacing w:line="360" w:lineRule="auto"/>
        <w:jc w:val="both"/>
        <w:rPr>
          <w:rFonts w:asciiTheme="minorBidi" w:eastAsiaTheme="minorHAnsi" w:hAnsiTheme="minorBidi" w:cstheme="minorBidi"/>
          <w:iCs/>
          <w:lang w:eastAsia="en-US" w:bidi="ar-SA"/>
        </w:rPr>
      </w:pPr>
      <w:r w:rsidRPr="007B0DD3">
        <w:rPr>
          <w:rFonts w:ascii="Arial" w:eastAsiaTheme="minorHAnsi" w:hAnsi="Arial" w:cstheme="minorBidi"/>
          <w:iCs/>
          <w:lang w:eastAsia="en-US" w:bidi="ar-SA"/>
        </w:rPr>
        <w:t>[37]</w:t>
      </w:r>
      <w:r w:rsidRPr="007B0DD3">
        <w:rPr>
          <w:rFonts w:ascii="Arial" w:eastAsiaTheme="minorHAnsi" w:hAnsi="Arial" w:cstheme="minorBidi"/>
          <w:iCs/>
          <w:lang w:eastAsia="en-US" w:bidi="ar-SA"/>
        </w:rPr>
        <w:tab/>
      </w:r>
      <w:r w:rsidR="00EF0F93" w:rsidRPr="00706B3E">
        <w:rPr>
          <w:rFonts w:asciiTheme="minorBidi" w:hAnsiTheme="minorBidi" w:cstheme="minorBidi"/>
        </w:rPr>
        <w:t>In passing, I mention that I have difficulty in understanding what the plausibility of the respondent’s decision has to do with the matter. The calculation is either correct and is sustainable in law or it is not. ‘Plausible’ seems to me to indicate that something may have the appearance of being correct when it may not necessarily be so.</w:t>
      </w:r>
      <w:r w:rsidR="00EF0F93" w:rsidRPr="007B0DD3">
        <w:rPr>
          <w:rStyle w:val="FootnoteReference"/>
          <w:rFonts w:asciiTheme="minorBidi" w:hAnsiTheme="minorBidi" w:cstheme="minorBidi"/>
        </w:rPr>
        <w:footnoteReference w:id="13"/>
      </w:r>
      <w:r w:rsidR="00EF0F93" w:rsidRPr="00706B3E">
        <w:rPr>
          <w:rFonts w:asciiTheme="minorBidi" w:hAnsiTheme="minorBidi" w:cstheme="minorBidi"/>
        </w:rPr>
        <w:t xml:space="preserve"> It was the function of the tribunal to ascertain whether the calculation was correct in law, not that it merely appeared to be correct. </w:t>
      </w:r>
    </w:p>
    <w:p w14:paraId="0F45AB27" w14:textId="77777777" w:rsidR="00EF0F93" w:rsidRPr="007B0DD3" w:rsidRDefault="00EF0F93" w:rsidP="007B0DD3">
      <w:pPr>
        <w:tabs>
          <w:tab w:val="left" w:pos="709"/>
        </w:tabs>
        <w:spacing w:line="360" w:lineRule="auto"/>
        <w:jc w:val="both"/>
        <w:rPr>
          <w:rFonts w:asciiTheme="minorBidi" w:hAnsiTheme="minorBidi" w:cstheme="minorBidi"/>
          <w:iCs/>
        </w:rPr>
      </w:pPr>
    </w:p>
    <w:p w14:paraId="7EC3A791" w14:textId="3C41BA69" w:rsidR="00EF0F93"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[38]</w:t>
      </w:r>
      <w:r w:rsidRPr="007B0DD3">
        <w:rPr>
          <w:rFonts w:ascii="Arial" w:hAnsi="Arial" w:cstheme="minorBidi"/>
        </w:rPr>
        <w:tab/>
      </w:r>
      <w:r w:rsidR="00EF0F93" w:rsidRPr="00706B3E">
        <w:rPr>
          <w:rFonts w:asciiTheme="minorBidi" w:hAnsiTheme="minorBidi" w:cstheme="minorBidi"/>
        </w:rPr>
        <w:t xml:space="preserve">On a </w:t>
      </w:r>
      <w:r w:rsidR="007B15B7" w:rsidRPr="00706B3E">
        <w:rPr>
          <w:rFonts w:asciiTheme="minorBidi" w:hAnsiTheme="minorBidi" w:cstheme="minorBidi"/>
        </w:rPr>
        <w:t>procedural</w:t>
      </w:r>
      <w:r w:rsidR="00EF0F93" w:rsidRPr="00706B3E">
        <w:rPr>
          <w:rFonts w:asciiTheme="minorBidi" w:hAnsiTheme="minorBidi" w:cstheme="minorBidi"/>
        </w:rPr>
        <w:t xml:space="preserve"> level, Mr Kruger made the following submissions about the circular:</w:t>
      </w:r>
    </w:p>
    <w:p w14:paraId="330072EB" w14:textId="1373B10D" w:rsidR="00EF0F93" w:rsidRPr="00706B3E" w:rsidRDefault="00706B3E" w:rsidP="00706B3E">
      <w:pPr>
        <w:tabs>
          <w:tab w:val="left" w:pos="709"/>
        </w:tabs>
        <w:spacing w:line="360" w:lineRule="auto"/>
        <w:jc w:val="both"/>
        <w:rPr>
          <w:rFonts w:asciiTheme="minorBidi" w:hAnsiTheme="minorBidi" w:cstheme="minorBidi"/>
        </w:rPr>
      </w:pPr>
      <w:r w:rsidRPr="007B0DD3">
        <w:rPr>
          <w:rFonts w:ascii="Arial" w:eastAsiaTheme="minorHAnsi" w:hAnsi="Arial" w:cs="Arial"/>
          <w:iCs/>
        </w:rPr>
        <w:t>(a)</w:t>
      </w:r>
      <w:r w:rsidRPr="007B0DD3">
        <w:rPr>
          <w:rFonts w:ascii="Arial" w:eastAsiaTheme="minorHAnsi" w:hAnsi="Arial" w:cs="Arial"/>
          <w:iCs/>
        </w:rPr>
        <w:tab/>
      </w:r>
      <w:r w:rsidR="00EF0F93" w:rsidRPr="00706B3E">
        <w:rPr>
          <w:rFonts w:asciiTheme="minorBidi" w:hAnsiTheme="minorBidi" w:cstheme="minorBidi"/>
        </w:rPr>
        <w:t>It did not form part of the record before the tribunal;</w:t>
      </w:r>
    </w:p>
    <w:p w14:paraId="334563FC" w14:textId="6D235D04" w:rsidR="00EF0F93" w:rsidRPr="00706B3E" w:rsidRDefault="00706B3E" w:rsidP="00706B3E">
      <w:pPr>
        <w:tabs>
          <w:tab w:val="left" w:pos="709"/>
        </w:tabs>
        <w:spacing w:line="360" w:lineRule="auto"/>
        <w:jc w:val="both"/>
        <w:rPr>
          <w:rFonts w:asciiTheme="minorBidi" w:hAnsiTheme="minorBidi" w:cstheme="minorBidi"/>
        </w:rPr>
      </w:pPr>
      <w:r w:rsidRPr="007B0DD3">
        <w:rPr>
          <w:rFonts w:ascii="Arial" w:eastAsiaTheme="minorHAnsi" w:hAnsi="Arial" w:cs="Arial"/>
          <w:iCs/>
        </w:rPr>
        <w:t>(b)</w:t>
      </w:r>
      <w:r w:rsidRPr="007B0DD3">
        <w:rPr>
          <w:rFonts w:ascii="Arial" w:eastAsiaTheme="minorHAnsi" w:hAnsi="Arial" w:cs="Arial"/>
          <w:iCs/>
        </w:rPr>
        <w:tab/>
      </w:r>
      <w:r w:rsidR="00EF0F93" w:rsidRPr="00706B3E">
        <w:rPr>
          <w:rFonts w:asciiTheme="minorBidi" w:hAnsiTheme="minorBidi" w:cstheme="minorBidi"/>
        </w:rPr>
        <w:t>It was not attached to the respondent’s written submissions to the tribunal, nor did the respondent lay any foundation for its introduction before the tribunal; and</w:t>
      </w:r>
    </w:p>
    <w:p w14:paraId="08198062" w14:textId="40DDDAC4" w:rsidR="00EF0F93" w:rsidRPr="00706B3E" w:rsidRDefault="00706B3E" w:rsidP="00706B3E">
      <w:pPr>
        <w:tabs>
          <w:tab w:val="left" w:pos="709"/>
        </w:tabs>
        <w:spacing w:line="360" w:lineRule="auto"/>
        <w:jc w:val="both"/>
        <w:rPr>
          <w:rFonts w:asciiTheme="minorBidi" w:hAnsiTheme="minorBidi" w:cstheme="minorBidi"/>
        </w:rPr>
      </w:pPr>
      <w:r w:rsidRPr="007B0DD3">
        <w:rPr>
          <w:rFonts w:ascii="Arial" w:eastAsiaTheme="minorHAnsi" w:hAnsi="Arial" w:cs="Arial"/>
          <w:iCs/>
        </w:rPr>
        <w:t>(c)</w:t>
      </w:r>
      <w:r w:rsidRPr="007B0DD3">
        <w:rPr>
          <w:rFonts w:ascii="Arial" w:eastAsiaTheme="minorHAnsi" w:hAnsi="Arial" w:cs="Arial"/>
          <w:iCs/>
        </w:rPr>
        <w:tab/>
      </w:r>
      <w:r w:rsidR="00EF0F93" w:rsidRPr="00706B3E">
        <w:rPr>
          <w:rFonts w:asciiTheme="minorBidi" w:hAnsiTheme="minorBidi" w:cstheme="minorBidi"/>
        </w:rPr>
        <w:t>The tribunal was accordingly not entitled to rely on it in coming to its decision.</w:t>
      </w:r>
    </w:p>
    <w:p w14:paraId="555EEE2A"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rPr>
      </w:pPr>
      <w:r w:rsidRPr="007B0DD3">
        <w:rPr>
          <w:rFonts w:asciiTheme="minorBidi" w:hAnsiTheme="minorBidi" w:cstheme="minorBidi"/>
        </w:rPr>
        <w:t>These submissions appear to be correct and were not refuted.</w:t>
      </w:r>
    </w:p>
    <w:p w14:paraId="35E3B4CC"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rPr>
      </w:pPr>
    </w:p>
    <w:p w14:paraId="7B9BD364" w14:textId="55547848" w:rsidR="00EF0F93"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lastRenderedPageBreak/>
        <w:t>[39]</w:t>
      </w:r>
      <w:r w:rsidRPr="007B0DD3">
        <w:rPr>
          <w:rFonts w:ascii="Arial" w:hAnsi="Arial" w:cstheme="minorBidi"/>
        </w:rPr>
        <w:tab/>
      </w:r>
      <w:r w:rsidR="00EF0F93" w:rsidRPr="00706B3E">
        <w:rPr>
          <w:rFonts w:asciiTheme="minorBidi" w:hAnsiTheme="minorBidi" w:cstheme="minorBidi"/>
        </w:rPr>
        <w:t>In any event, so submitted the appellant, the tribunal was not entitled to rely on the circular as it offends against the Act</w:t>
      </w:r>
      <w:r w:rsidR="007B15B7" w:rsidRPr="00706B3E">
        <w:rPr>
          <w:rFonts w:asciiTheme="minorBidi" w:hAnsiTheme="minorBidi" w:cstheme="minorBidi"/>
        </w:rPr>
        <w:t xml:space="preserve">. Relying on </w:t>
      </w:r>
      <w:r w:rsidR="007B15B7" w:rsidRPr="00706B3E">
        <w:rPr>
          <w:rFonts w:asciiTheme="minorBidi" w:hAnsiTheme="minorBidi" w:cstheme="minorBidi"/>
          <w:i/>
          <w:iCs/>
        </w:rPr>
        <w:t>Oday</w:t>
      </w:r>
      <w:r w:rsidR="00134740" w:rsidRPr="00706B3E">
        <w:rPr>
          <w:rFonts w:asciiTheme="minorBidi" w:hAnsiTheme="minorBidi" w:cstheme="minorBidi"/>
          <w:i/>
          <w:iCs/>
        </w:rPr>
        <w:t>a</w:t>
      </w:r>
      <w:r w:rsidR="007B15B7" w:rsidRPr="00706B3E">
        <w:rPr>
          <w:rFonts w:asciiTheme="minorBidi" w:hAnsiTheme="minorBidi" w:cstheme="minorBidi"/>
          <w:i/>
          <w:iCs/>
        </w:rPr>
        <w:t>r</w:t>
      </w:r>
      <w:r w:rsidR="007B15B7" w:rsidRPr="00706B3E">
        <w:rPr>
          <w:rFonts w:asciiTheme="minorBidi" w:hAnsiTheme="minorBidi" w:cstheme="minorBidi"/>
        </w:rPr>
        <w:t>,</w:t>
      </w:r>
      <w:r w:rsidR="00F008DE" w:rsidRPr="00706B3E">
        <w:rPr>
          <w:rFonts w:asciiTheme="minorBidi" w:hAnsiTheme="minorBidi" w:cstheme="minorBidi"/>
        </w:rPr>
        <w:t xml:space="preserve"> </w:t>
      </w:r>
      <w:r w:rsidR="007B15B7" w:rsidRPr="00706B3E">
        <w:rPr>
          <w:rFonts w:asciiTheme="minorBidi" w:hAnsiTheme="minorBidi" w:cstheme="minorBidi"/>
        </w:rPr>
        <w:t xml:space="preserve">it was submitted that the Director-General of Labour </w:t>
      </w:r>
      <w:r w:rsidR="0069409D" w:rsidRPr="00706B3E">
        <w:rPr>
          <w:rFonts w:asciiTheme="minorBidi" w:hAnsiTheme="minorBidi" w:cstheme="minorBidi"/>
        </w:rPr>
        <w:t xml:space="preserve">(the Director-General) </w:t>
      </w:r>
      <w:r w:rsidR="007B15B7" w:rsidRPr="00706B3E">
        <w:rPr>
          <w:rFonts w:asciiTheme="minorBidi" w:hAnsiTheme="minorBidi" w:cstheme="minorBidi"/>
        </w:rPr>
        <w:t>lacked the power to impose the provisions of the circular. In purporting to do so, the Director-General had exceeded his powers and had</w:t>
      </w:r>
      <w:r w:rsidR="00EF0F93" w:rsidRPr="00706B3E">
        <w:rPr>
          <w:rFonts w:asciiTheme="minorBidi" w:hAnsiTheme="minorBidi" w:cstheme="minorBidi"/>
        </w:rPr>
        <w:t xml:space="preserve"> acted without legal authority.</w:t>
      </w:r>
      <w:r w:rsidR="00F008DE" w:rsidRPr="00706B3E">
        <w:rPr>
          <w:rFonts w:asciiTheme="minorBidi" w:hAnsiTheme="minorBidi" w:cstheme="minorBidi"/>
        </w:rPr>
        <w:t xml:space="preserve"> </w:t>
      </w:r>
      <w:r w:rsidR="00EF0F93" w:rsidRPr="00706B3E">
        <w:rPr>
          <w:rFonts w:asciiTheme="minorBidi" w:hAnsiTheme="minorBidi" w:cstheme="minorBidi"/>
        </w:rPr>
        <w:t xml:space="preserve">Accordingly, </w:t>
      </w:r>
      <w:r w:rsidR="007B15B7" w:rsidRPr="00706B3E">
        <w:rPr>
          <w:rFonts w:asciiTheme="minorBidi" w:hAnsiTheme="minorBidi" w:cstheme="minorBidi"/>
        </w:rPr>
        <w:t xml:space="preserve">so it was submitted, </w:t>
      </w:r>
      <w:r w:rsidR="00EF0F93" w:rsidRPr="00706B3E">
        <w:rPr>
          <w:rFonts w:asciiTheme="minorBidi" w:hAnsiTheme="minorBidi" w:cstheme="minorBidi"/>
        </w:rPr>
        <w:t>the tribunal’s reliance on the circular was improper and resulted in the misinterpretation of the provisions of the Act.</w:t>
      </w:r>
    </w:p>
    <w:p w14:paraId="2409A901"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rPr>
      </w:pPr>
    </w:p>
    <w:p w14:paraId="21A540A4" w14:textId="21F9C83D" w:rsidR="00EF0F93"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[40]</w:t>
      </w:r>
      <w:r w:rsidRPr="007B0DD3">
        <w:rPr>
          <w:rFonts w:ascii="Arial" w:hAnsi="Arial" w:cstheme="minorBidi"/>
        </w:rPr>
        <w:tab/>
      </w:r>
      <w:r w:rsidR="00EF0F93" w:rsidRPr="00706B3E">
        <w:rPr>
          <w:rFonts w:asciiTheme="minorBidi" w:hAnsiTheme="minorBidi" w:cstheme="minorBidi"/>
        </w:rPr>
        <w:t>It was argued by Mr Sibeko that the provisions of the circular are applicable to PTSDs and that the assessment of the appellant’s permanent disablement arising out of a PTSD was correctly assessed at 39 percent.</w:t>
      </w:r>
      <w:r w:rsidR="00F008DE" w:rsidRPr="00706B3E">
        <w:rPr>
          <w:rFonts w:asciiTheme="minorBidi" w:hAnsiTheme="minorBidi" w:cstheme="minorBidi"/>
        </w:rPr>
        <w:t xml:space="preserve"> </w:t>
      </w:r>
      <w:r w:rsidR="00EF0F93" w:rsidRPr="00706B3E">
        <w:rPr>
          <w:rFonts w:asciiTheme="minorBidi" w:hAnsiTheme="minorBidi" w:cstheme="minorBidi"/>
        </w:rPr>
        <w:t xml:space="preserve">The respondent submitted that, as a PTSD is not referred to in schedule 2 of the Act, there is a lacuna in the legislation and the respondent is accordingly empowered by the Act to provide guidance on the assessment of permanent </w:t>
      </w:r>
      <w:r w:rsidR="00756615" w:rsidRPr="00706B3E">
        <w:rPr>
          <w:rFonts w:asciiTheme="minorBidi" w:hAnsiTheme="minorBidi" w:cstheme="minorBidi"/>
        </w:rPr>
        <w:t xml:space="preserve">disablement </w:t>
      </w:r>
      <w:r w:rsidR="00EF0F93" w:rsidRPr="00706B3E">
        <w:rPr>
          <w:rFonts w:asciiTheme="minorBidi" w:hAnsiTheme="minorBidi" w:cstheme="minorBidi"/>
        </w:rPr>
        <w:t>arising out of a PTSD.</w:t>
      </w:r>
      <w:r w:rsidR="00F008DE" w:rsidRPr="00706B3E">
        <w:rPr>
          <w:rFonts w:asciiTheme="minorBidi" w:hAnsiTheme="minorBidi" w:cstheme="minorBidi"/>
        </w:rPr>
        <w:t xml:space="preserve"> </w:t>
      </w:r>
    </w:p>
    <w:p w14:paraId="5BAD8CAC"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rPr>
      </w:pPr>
    </w:p>
    <w:p w14:paraId="0682D299" w14:textId="2BDED8AC" w:rsidR="0069409D" w:rsidRPr="00706B3E" w:rsidRDefault="00706B3E" w:rsidP="00706B3E">
      <w:pPr>
        <w:tabs>
          <w:tab w:val="left" w:pos="709"/>
        </w:tabs>
        <w:spacing w:line="360" w:lineRule="auto"/>
        <w:jc w:val="both"/>
        <w:rPr>
          <w:rFonts w:asciiTheme="minorBidi" w:hAnsiTheme="minorBidi" w:cstheme="minorBidi"/>
        </w:rPr>
      </w:pPr>
      <w:r>
        <w:rPr>
          <w:rFonts w:ascii="Arial" w:hAnsi="Arial" w:cstheme="minorBidi"/>
        </w:rPr>
        <w:t>[41]</w:t>
      </w:r>
      <w:r>
        <w:rPr>
          <w:rFonts w:ascii="Arial" w:hAnsi="Arial" w:cstheme="minorBidi"/>
        </w:rPr>
        <w:tab/>
      </w:r>
      <w:r w:rsidR="0069409D" w:rsidRPr="00706B3E">
        <w:rPr>
          <w:rFonts w:asciiTheme="minorBidi" w:hAnsiTheme="minorBidi" w:cstheme="minorBidi"/>
        </w:rPr>
        <w:t xml:space="preserve">The difference between the position of the appellant and the respondent lies in the reliance by the respondent on the provisions of the circular, which equates a 100 percent </w:t>
      </w:r>
      <w:r w:rsidR="00756615" w:rsidRPr="00706B3E">
        <w:rPr>
          <w:rFonts w:asciiTheme="minorBidi" w:hAnsiTheme="minorBidi" w:cstheme="minorBidi"/>
        </w:rPr>
        <w:t xml:space="preserve">disablement </w:t>
      </w:r>
      <w:r w:rsidR="0069409D" w:rsidRPr="00706B3E">
        <w:rPr>
          <w:rFonts w:asciiTheme="minorBidi" w:hAnsiTheme="minorBidi" w:cstheme="minorBidi"/>
        </w:rPr>
        <w:t xml:space="preserve">arising out of PTSD to only a 65 percent total </w:t>
      </w:r>
      <w:r w:rsidR="00756615" w:rsidRPr="00706B3E">
        <w:rPr>
          <w:rFonts w:asciiTheme="minorBidi" w:hAnsiTheme="minorBidi" w:cstheme="minorBidi"/>
        </w:rPr>
        <w:t>disablement</w:t>
      </w:r>
      <w:r w:rsidR="0069409D" w:rsidRPr="00706B3E">
        <w:rPr>
          <w:rFonts w:asciiTheme="minorBidi" w:hAnsiTheme="minorBidi" w:cstheme="minorBidi"/>
        </w:rPr>
        <w:t>. Mr Sibeko was asked to address the court on why this conversion was necessary but could not advance any reason why this conversion had been introduced. I could not independently think of any reason either.</w:t>
      </w:r>
    </w:p>
    <w:p w14:paraId="2EE1FB37" w14:textId="77777777" w:rsidR="0069409D" w:rsidRPr="007B0DD3" w:rsidRDefault="0069409D" w:rsidP="0069409D">
      <w:pPr>
        <w:pStyle w:val="ListParagraph"/>
        <w:tabs>
          <w:tab w:val="left" w:pos="709"/>
        </w:tabs>
        <w:spacing w:line="360" w:lineRule="auto"/>
        <w:ind w:left="0"/>
        <w:jc w:val="both"/>
        <w:rPr>
          <w:rFonts w:asciiTheme="minorBidi" w:hAnsiTheme="minorBidi" w:cstheme="minorBidi"/>
        </w:rPr>
      </w:pPr>
    </w:p>
    <w:p w14:paraId="6FD97613" w14:textId="0175D91F" w:rsidR="0069409D" w:rsidRPr="00706B3E" w:rsidRDefault="00706B3E" w:rsidP="00706B3E">
      <w:pPr>
        <w:tabs>
          <w:tab w:val="left" w:pos="709"/>
        </w:tabs>
        <w:spacing w:line="360" w:lineRule="auto"/>
        <w:jc w:val="both"/>
        <w:rPr>
          <w:rFonts w:asciiTheme="minorBidi" w:hAnsiTheme="minorBidi" w:cstheme="minorBidi"/>
          <w:sz w:val="22"/>
          <w:szCs w:val="22"/>
        </w:rPr>
      </w:pPr>
      <w:r w:rsidRPr="0069409D">
        <w:rPr>
          <w:rFonts w:ascii="Arial" w:hAnsi="Arial" w:cstheme="minorBidi"/>
        </w:rPr>
        <w:t>[42]</w:t>
      </w:r>
      <w:r w:rsidRPr="0069409D">
        <w:rPr>
          <w:rFonts w:ascii="Arial" w:hAnsi="Arial" w:cstheme="minorBidi"/>
        </w:rPr>
        <w:tab/>
      </w:r>
      <w:r w:rsidR="0069409D" w:rsidRPr="00706B3E">
        <w:rPr>
          <w:rFonts w:asciiTheme="minorBidi" w:hAnsiTheme="minorBidi" w:cstheme="minorBidi"/>
        </w:rPr>
        <w:t xml:space="preserve">I consequently agree with the submission of counsel for the appellant that the decision of the tribunal was based upon a misinterpretation of the Act. The circular was not binding on the respondent or the tribunal and in law has no status. The Act does not permit the Director-General to override the provisions of the Act and to issue instructions that are binding upon employees. Thus an injury that renders an employee 100 percent disabled cannot by a diktat of the </w:t>
      </w:r>
      <w:r w:rsidR="003811D7" w:rsidRPr="00706B3E">
        <w:rPr>
          <w:rFonts w:asciiTheme="minorBidi" w:hAnsiTheme="minorBidi" w:cstheme="minorBidi"/>
        </w:rPr>
        <w:t xml:space="preserve">Director-General </w:t>
      </w:r>
      <w:r w:rsidR="0069409D" w:rsidRPr="00706B3E">
        <w:rPr>
          <w:rFonts w:asciiTheme="minorBidi" w:hAnsiTheme="minorBidi" w:cstheme="minorBidi"/>
        </w:rPr>
        <w:t>be transformed into a 65 percent disablement.</w:t>
      </w:r>
    </w:p>
    <w:p w14:paraId="7B986DD0" w14:textId="77777777" w:rsidR="00D014BC" w:rsidRPr="00D014BC" w:rsidRDefault="00D014BC" w:rsidP="00D014BC">
      <w:pPr>
        <w:pStyle w:val="ListParagraph"/>
        <w:spacing w:line="360" w:lineRule="auto"/>
        <w:rPr>
          <w:rFonts w:asciiTheme="minorBidi" w:hAnsiTheme="minorBidi" w:cstheme="minorBidi"/>
          <w:sz w:val="22"/>
          <w:szCs w:val="22"/>
        </w:rPr>
      </w:pPr>
    </w:p>
    <w:p w14:paraId="21F94E15" w14:textId="3864E113" w:rsidR="00EF0F93"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[43]</w:t>
      </w:r>
      <w:r w:rsidRPr="007B0DD3">
        <w:rPr>
          <w:rFonts w:ascii="Arial" w:hAnsi="Arial" w:cstheme="minorBidi"/>
        </w:rPr>
        <w:tab/>
      </w:r>
      <w:r w:rsidR="00D422CE" w:rsidRPr="00706B3E">
        <w:rPr>
          <w:rFonts w:asciiTheme="minorBidi" w:hAnsiTheme="minorBidi" w:cstheme="minorBidi"/>
        </w:rPr>
        <w:t>There are other aspects of the tribunal’s judgment that excite some unease. Firstly, the</w:t>
      </w:r>
      <w:r w:rsidR="00EF0F93" w:rsidRPr="00706B3E">
        <w:rPr>
          <w:rFonts w:asciiTheme="minorBidi" w:hAnsiTheme="minorBidi" w:cstheme="minorBidi"/>
        </w:rPr>
        <w:t xml:space="preserve"> following is stated</w:t>
      </w:r>
      <w:r w:rsidR="00D422CE" w:rsidRPr="00706B3E">
        <w:rPr>
          <w:rFonts w:asciiTheme="minorBidi" w:hAnsiTheme="minorBidi" w:cstheme="minorBidi"/>
        </w:rPr>
        <w:t xml:space="preserve"> in the judgment</w:t>
      </w:r>
      <w:r w:rsidR="00EF0F93" w:rsidRPr="00706B3E">
        <w:rPr>
          <w:rFonts w:asciiTheme="minorBidi" w:hAnsiTheme="minorBidi" w:cstheme="minorBidi"/>
        </w:rPr>
        <w:t>:</w:t>
      </w:r>
    </w:p>
    <w:p w14:paraId="74354BCD"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lastRenderedPageBreak/>
        <w:t>‘The applicant presented himself at the hearing as a well groomed, able bodied person without the necessity of any assistance whatsoever, be it physical OR mental, that is, a lack of following and understanding the proceedings.’</w:t>
      </w:r>
    </w:p>
    <w:p w14:paraId="3BA9DEF3" w14:textId="77777777" w:rsidR="00EF0F93" w:rsidRPr="007B0DD3" w:rsidRDefault="00EF0F93" w:rsidP="007B0DD3">
      <w:pPr>
        <w:pStyle w:val="ListParagraph"/>
        <w:tabs>
          <w:tab w:val="left" w:pos="709"/>
        </w:tabs>
        <w:spacing w:line="360" w:lineRule="auto"/>
        <w:ind w:left="0"/>
        <w:jc w:val="both"/>
        <w:rPr>
          <w:rFonts w:asciiTheme="minorBidi" w:hAnsiTheme="minorBidi" w:cstheme="minorBidi"/>
        </w:rPr>
      </w:pPr>
    </w:p>
    <w:p w14:paraId="4C866396" w14:textId="39F1F905" w:rsidR="008A7279" w:rsidRPr="00706B3E" w:rsidRDefault="00706B3E" w:rsidP="00706B3E">
      <w:pPr>
        <w:tabs>
          <w:tab w:val="left" w:pos="709"/>
        </w:tabs>
        <w:spacing w:line="360" w:lineRule="auto"/>
        <w:jc w:val="both"/>
        <w:rPr>
          <w:rFonts w:ascii="ArialMT" w:hAnsi="ArialMT"/>
          <w:color w:val="000000"/>
          <w:sz w:val="27"/>
          <w:szCs w:val="27"/>
        </w:rPr>
      </w:pPr>
      <w:r w:rsidRPr="00D34C82">
        <w:rPr>
          <w:rFonts w:ascii="Arial" w:hAnsi="Arial"/>
          <w:color w:val="000000"/>
        </w:rPr>
        <w:t>[44]</w:t>
      </w:r>
      <w:r w:rsidRPr="00D34C82">
        <w:rPr>
          <w:rFonts w:ascii="Arial" w:hAnsi="Arial"/>
          <w:color w:val="000000"/>
        </w:rPr>
        <w:tab/>
      </w:r>
      <w:r w:rsidR="00D422CE" w:rsidRPr="00706B3E">
        <w:rPr>
          <w:rFonts w:asciiTheme="minorBidi" w:hAnsiTheme="minorBidi" w:cstheme="minorBidi"/>
        </w:rPr>
        <w:t xml:space="preserve">From this, it appears </w:t>
      </w:r>
      <w:r w:rsidR="00EF0F93" w:rsidRPr="00706B3E">
        <w:rPr>
          <w:rFonts w:asciiTheme="minorBidi" w:hAnsiTheme="minorBidi" w:cstheme="minorBidi"/>
        </w:rPr>
        <w:t xml:space="preserve">that the tribunal relied upon the </w:t>
      </w:r>
      <w:r w:rsidR="00D422CE" w:rsidRPr="00706B3E">
        <w:rPr>
          <w:rFonts w:asciiTheme="minorBidi" w:hAnsiTheme="minorBidi" w:cstheme="minorBidi"/>
        </w:rPr>
        <w:t xml:space="preserve">physical </w:t>
      </w:r>
      <w:r w:rsidR="00EF0F93" w:rsidRPr="00706B3E">
        <w:rPr>
          <w:rFonts w:asciiTheme="minorBidi" w:hAnsiTheme="minorBidi" w:cstheme="minorBidi"/>
        </w:rPr>
        <w:t xml:space="preserve">appearance of the appellant before it as a reason why it upheld the </w:t>
      </w:r>
      <w:r w:rsidR="0069409D" w:rsidRPr="00706B3E">
        <w:rPr>
          <w:rFonts w:asciiTheme="minorBidi" w:hAnsiTheme="minorBidi" w:cstheme="minorBidi"/>
        </w:rPr>
        <w:t xml:space="preserve">respondent’s </w:t>
      </w:r>
      <w:r w:rsidR="00EF0F93" w:rsidRPr="00706B3E">
        <w:rPr>
          <w:rFonts w:asciiTheme="minorBidi" w:hAnsiTheme="minorBidi" w:cstheme="minorBidi"/>
        </w:rPr>
        <w:t xml:space="preserve">earlier decision. If this is true, it is a gross and severe misdirection. The condition of the appellant has nothing to do with how he looks </w:t>
      </w:r>
      <w:r w:rsidR="0069409D" w:rsidRPr="00706B3E">
        <w:rPr>
          <w:rFonts w:asciiTheme="minorBidi" w:hAnsiTheme="minorBidi" w:cstheme="minorBidi"/>
        </w:rPr>
        <w:t xml:space="preserve">or presents himself </w:t>
      </w:r>
      <w:r w:rsidR="00EF0F93" w:rsidRPr="00706B3E">
        <w:rPr>
          <w:rFonts w:asciiTheme="minorBidi" w:hAnsiTheme="minorBidi" w:cstheme="minorBidi"/>
        </w:rPr>
        <w:t xml:space="preserve">but has everything to do with how he functions in his chosen career. It would appear that the </w:t>
      </w:r>
      <w:r w:rsidR="007045AC" w:rsidRPr="00706B3E">
        <w:rPr>
          <w:rFonts w:asciiTheme="minorBidi" w:hAnsiTheme="minorBidi" w:cstheme="minorBidi"/>
        </w:rPr>
        <w:t xml:space="preserve">considered </w:t>
      </w:r>
      <w:r w:rsidR="00EF0F93" w:rsidRPr="00706B3E">
        <w:rPr>
          <w:rFonts w:asciiTheme="minorBidi" w:hAnsiTheme="minorBidi" w:cstheme="minorBidi"/>
        </w:rPr>
        <w:t xml:space="preserve">findings of the medical experts that </w:t>
      </w:r>
      <w:r w:rsidR="00040D21" w:rsidRPr="00706B3E">
        <w:rPr>
          <w:rFonts w:asciiTheme="minorBidi" w:hAnsiTheme="minorBidi" w:cstheme="minorBidi"/>
        </w:rPr>
        <w:t>t</w:t>
      </w:r>
      <w:r w:rsidR="00EF0F93" w:rsidRPr="00706B3E">
        <w:rPr>
          <w:rFonts w:asciiTheme="minorBidi" w:hAnsiTheme="minorBidi" w:cstheme="minorBidi"/>
        </w:rPr>
        <w:t>he</w:t>
      </w:r>
      <w:r w:rsidR="00040D21" w:rsidRPr="00706B3E">
        <w:rPr>
          <w:rFonts w:asciiTheme="minorBidi" w:hAnsiTheme="minorBidi" w:cstheme="minorBidi"/>
        </w:rPr>
        <w:t xml:space="preserve"> appellant</w:t>
      </w:r>
      <w:r w:rsidR="00EF0F93" w:rsidRPr="00706B3E">
        <w:rPr>
          <w:rFonts w:asciiTheme="minorBidi" w:hAnsiTheme="minorBidi" w:cstheme="minorBidi"/>
        </w:rPr>
        <w:t xml:space="preserve"> is not able to function were </w:t>
      </w:r>
      <w:r w:rsidR="00D422CE" w:rsidRPr="00706B3E">
        <w:rPr>
          <w:rFonts w:asciiTheme="minorBidi" w:hAnsiTheme="minorBidi" w:cstheme="minorBidi"/>
        </w:rPr>
        <w:t>discounted</w:t>
      </w:r>
      <w:r w:rsidR="00EF0F93" w:rsidRPr="00706B3E">
        <w:rPr>
          <w:rFonts w:asciiTheme="minorBidi" w:hAnsiTheme="minorBidi" w:cstheme="minorBidi"/>
        </w:rPr>
        <w:t xml:space="preserve"> by this observation </w:t>
      </w:r>
      <w:r w:rsidR="00D422CE" w:rsidRPr="00706B3E">
        <w:rPr>
          <w:rFonts w:asciiTheme="minorBidi" w:hAnsiTheme="minorBidi" w:cstheme="minorBidi"/>
        </w:rPr>
        <w:t>of</w:t>
      </w:r>
      <w:r w:rsidR="00EF0F93" w:rsidRPr="00706B3E">
        <w:rPr>
          <w:rFonts w:asciiTheme="minorBidi" w:hAnsiTheme="minorBidi" w:cstheme="minorBidi"/>
        </w:rPr>
        <w:t xml:space="preserve"> the tribunal. Given the uncontroverted evidence adduced by the appellant referred to </w:t>
      </w:r>
      <w:r w:rsidR="00D422CE" w:rsidRPr="00706B3E">
        <w:rPr>
          <w:rFonts w:asciiTheme="minorBidi" w:hAnsiTheme="minorBidi" w:cstheme="minorBidi"/>
        </w:rPr>
        <w:t>previously</w:t>
      </w:r>
      <w:r w:rsidR="00EF0F93" w:rsidRPr="00706B3E">
        <w:rPr>
          <w:rFonts w:asciiTheme="minorBidi" w:hAnsiTheme="minorBidi" w:cstheme="minorBidi"/>
        </w:rPr>
        <w:t xml:space="preserve">, there was no place for such a ‘diagnosis’ by the tribunal, of which only one person has a medical qualification and which person has, in any event, not professionally examined the appellant. </w:t>
      </w:r>
      <w:r w:rsidR="00910701" w:rsidRPr="00706B3E">
        <w:rPr>
          <w:rFonts w:asciiTheme="minorBidi" w:hAnsiTheme="minorBidi" w:cstheme="minorBidi"/>
        </w:rPr>
        <w:t xml:space="preserve">The appellant could not have known that the tribunal would regard itself as competent to assess </w:t>
      </w:r>
      <w:r w:rsidR="00D34C82" w:rsidRPr="00706B3E">
        <w:rPr>
          <w:rFonts w:asciiTheme="minorBidi" w:hAnsiTheme="minorBidi" w:cstheme="minorBidi"/>
        </w:rPr>
        <w:t>whether he</w:t>
      </w:r>
      <w:r w:rsidR="00040D21" w:rsidRPr="00706B3E">
        <w:rPr>
          <w:rFonts w:asciiTheme="minorBidi" w:hAnsiTheme="minorBidi" w:cstheme="minorBidi"/>
        </w:rPr>
        <w:t>,</w:t>
      </w:r>
      <w:r w:rsidR="00D34C82" w:rsidRPr="00706B3E">
        <w:rPr>
          <w:rFonts w:asciiTheme="minorBidi" w:hAnsiTheme="minorBidi" w:cstheme="minorBidi"/>
        </w:rPr>
        <w:t xml:space="preserve"> indeed</w:t>
      </w:r>
      <w:r w:rsidR="00040D21" w:rsidRPr="00706B3E">
        <w:rPr>
          <w:rFonts w:asciiTheme="minorBidi" w:hAnsiTheme="minorBidi" w:cstheme="minorBidi"/>
        </w:rPr>
        <w:t>,</w:t>
      </w:r>
      <w:r w:rsidR="00D34C82" w:rsidRPr="00706B3E">
        <w:rPr>
          <w:rFonts w:asciiTheme="minorBidi" w:hAnsiTheme="minorBidi" w:cstheme="minorBidi"/>
        </w:rPr>
        <w:t xml:space="preserve"> suffered from PTSD by the way he appeared or conducted himself and would in such circumstances not have had the ability to correct or contradict the conclusion of the tribunal based upon the consideration of such superficial criteria.</w:t>
      </w:r>
      <w:r w:rsidR="00910701" w:rsidRPr="00910701">
        <w:rPr>
          <w:rStyle w:val="FootnoteReference"/>
          <w:rFonts w:ascii="Arial" w:hAnsi="Arial" w:cs="Arial"/>
          <w:color w:val="000000"/>
          <w:lang w:val="en-US"/>
        </w:rPr>
        <w:footnoteReference w:id="14"/>
      </w:r>
      <w:r w:rsidR="00910701" w:rsidRPr="00706B3E">
        <w:rPr>
          <w:rFonts w:ascii="Arial" w:hAnsi="Arial" w:cs="Arial"/>
          <w:color w:val="000000"/>
          <w:lang w:val="en-US"/>
        </w:rPr>
        <w:t xml:space="preserve"> </w:t>
      </w:r>
    </w:p>
    <w:p w14:paraId="048E4928" w14:textId="77777777" w:rsidR="00D34C82" w:rsidRPr="008A7279" w:rsidRDefault="00D34C82" w:rsidP="00D34C82">
      <w:pPr>
        <w:pStyle w:val="ListParagraph"/>
        <w:tabs>
          <w:tab w:val="left" w:pos="709"/>
        </w:tabs>
        <w:spacing w:line="360" w:lineRule="auto"/>
        <w:ind w:left="0"/>
        <w:jc w:val="both"/>
        <w:rPr>
          <w:rFonts w:ascii="ArialMT" w:hAnsi="ArialMT"/>
          <w:color w:val="000000"/>
          <w:sz w:val="27"/>
          <w:szCs w:val="27"/>
        </w:rPr>
      </w:pPr>
    </w:p>
    <w:p w14:paraId="702FF1B1" w14:textId="6E10F50F" w:rsidR="00D422CE"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[45]</w:t>
      </w:r>
      <w:r w:rsidRPr="007B0DD3">
        <w:rPr>
          <w:rFonts w:ascii="Arial" w:hAnsi="Arial" w:cstheme="minorBidi"/>
        </w:rPr>
        <w:tab/>
      </w:r>
      <w:r w:rsidR="00D422CE" w:rsidRPr="00706B3E">
        <w:rPr>
          <w:rFonts w:asciiTheme="minorBidi" w:hAnsiTheme="minorBidi" w:cstheme="minorBidi"/>
        </w:rPr>
        <w:t>Secondly, in its judgment, the tribunal found that:</w:t>
      </w:r>
    </w:p>
    <w:p w14:paraId="7A581273" w14:textId="0425F032" w:rsidR="00D422CE" w:rsidRPr="007B0DD3" w:rsidRDefault="00D422CE"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‘The Applicant’s Representative failed to convince this tribunal that PTSD can emanate from an “accident” which qualifies PTSD as an “occupational injury” which falls within the category of Item 6 of Schedule 2 thereby according it a 100% permanent disablement.’</w:t>
      </w:r>
    </w:p>
    <w:p w14:paraId="75CA2FA2" w14:textId="6F63EFE7" w:rsidR="00D422CE" w:rsidRDefault="00127897" w:rsidP="007B0DD3">
      <w:pPr>
        <w:pStyle w:val="ListParagraph"/>
        <w:tabs>
          <w:tab w:val="left" w:pos="709"/>
        </w:tabs>
        <w:spacing w:line="360" w:lineRule="auto"/>
        <w:ind w:left="0"/>
        <w:jc w:val="both"/>
        <w:rPr>
          <w:rFonts w:asciiTheme="minorBidi" w:hAnsiTheme="minorBidi" w:cstheme="minorBidi"/>
        </w:rPr>
      </w:pPr>
      <w:r w:rsidRPr="007B0DD3">
        <w:rPr>
          <w:rFonts w:asciiTheme="minorBidi" w:hAnsiTheme="minorBidi" w:cstheme="minorBidi"/>
        </w:rPr>
        <w:t xml:space="preserve">The Act defines an accident as meaning </w:t>
      </w:r>
      <w:r w:rsidR="00457649">
        <w:rPr>
          <w:rFonts w:asciiTheme="minorBidi" w:hAnsiTheme="minorBidi" w:cstheme="minorBidi"/>
        </w:rPr>
        <w:t>‘</w:t>
      </w:r>
      <w:r w:rsidRPr="007B0DD3">
        <w:rPr>
          <w:rFonts w:asciiTheme="minorBidi" w:hAnsiTheme="minorBidi" w:cstheme="minorBidi"/>
        </w:rPr>
        <w:t>an accident arising out of and in the course of an employee's employment and resulting in a personal injury</w:t>
      </w:r>
      <w:r w:rsidR="00457649">
        <w:rPr>
          <w:rFonts w:asciiTheme="minorBidi" w:hAnsiTheme="minorBidi" w:cstheme="minorBidi"/>
        </w:rPr>
        <w:t>’</w:t>
      </w:r>
      <w:r w:rsidRPr="007B0DD3">
        <w:rPr>
          <w:rFonts w:asciiTheme="minorBidi" w:hAnsiTheme="minorBidi" w:cstheme="minorBidi"/>
        </w:rPr>
        <w:t>.</w:t>
      </w:r>
      <w:r w:rsidR="00457649">
        <w:rPr>
          <w:rStyle w:val="FootnoteReference"/>
          <w:rFonts w:asciiTheme="minorBidi" w:hAnsiTheme="minorBidi" w:cstheme="minorBidi"/>
        </w:rPr>
        <w:footnoteReference w:id="15"/>
      </w:r>
      <w:r w:rsidRPr="007B0DD3">
        <w:rPr>
          <w:rFonts w:asciiTheme="minorBidi" w:hAnsiTheme="minorBidi" w:cstheme="minorBidi"/>
          <w:sz w:val="22"/>
          <w:szCs w:val="22"/>
        </w:rPr>
        <w:t xml:space="preserve"> </w:t>
      </w:r>
      <w:r w:rsidRPr="007045AC">
        <w:rPr>
          <w:rFonts w:asciiTheme="minorBidi" w:hAnsiTheme="minorBidi" w:cstheme="minorBidi"/>
        </w:rPr>
        <w:t xml:space="preserve">The tribunal appears to have lost sight of the fact that the respondent did not dispute </w:t>
      </w:r>
      <w:r w:rsidR="007045AC">
        <w:rPr>
          <w:rFonts w:asciiTheme="minorBidi" w:hAnsiTheme="minorBidi" w:cstheme="minorBidi"/>
        </w:rPr>
        <w:t>that the events of 14 January 2015 were the trigger that brought on the appellant’s condition</w:t>
      </w:r>
      <w:r w:rsidRPr="007045AC">
        <w:rPr>
          <w:rFonts w:asciiTheme="minorBidi" w:hAnsiTheme="minorBidi" w:cstheme="minorBidi"/>
        </w:rPr>
        <w:t xml:space="preserve">. By accepting the expert reports, the respondent accepted the facts disclosed therein and the conclusions drawn therein. </w:t>
      </w:r>
      <w:r w:rsidR="00D422CE" w:rsidRPr="007045AC">
        <w:rPr>
          <w:rFonts w:asciiTheme="minorBidi" w:hAnsiTheme="minorBidi" w:cstheme="minorBidi"/>
        </w:rPr>
        <w:t xml:space="preserve">It is </w:t>
      </w:r>
      <w:r w:rsidRPr="007045AC">
        <w:rPr>
          <w:rFonts w:asciiTheme="minorBidi" w:hAnsiTheme="minorBidi" w:cstheme="minorBidi"/>
        </w:rPr>
        <w:t xml:space="preserve">accordingly </w:t>
      </w:r>
      <w:r w:rsidR="00D422CE" w:rsidRPr="007045AC">
        <w:rPr>
          <w:rFonts w:asciiTheme="minorBidi" w:hAnsiTheme="minorBidi" w:cstheme="minorBidi"/>
        </w:rPr>
        <w:t xml:space="preserve">not clear why the tribunal needed to be convinced </w:t>
      </w:r>
      <w:r w:rsidRPr="007045AC">
        <w:rPr>
          <w:rFonts w:asciiTheme="minorBidi" w:hAnsiTheme="minorBidi" w:cstheme="minorBidi"/>
        </w:rPr>
        <w:t xml:space="preserve">that the appellant’s condition arose </w:t>
      </w:r>
      <w:r w:rsidR="009749B1" w:rsidRPr="007045AC">
        <w:rPr>
          <w:rFonts w:asciiTheme="minorBidi" w:hAnsiTheme="minorBidi" w:cstheme="minorBidi"/>
        </w:rPr>
        <w:t>from an accident.</w:t>
      </w:r>
      <w:r w:rsidR="00D422CE" w:rsidRPr="007045AC">
        <w:rPr>
          <w:rFonts w:asciiTheme="minorBidi" w:hAnsiTheme="minorBidi" w:cstheme="minorBidi"/>
        </w:rPr>
        <w:t xml:space="preserve"> There was no other hypothesis before it other than the appellant’s that the events of 14 January 2015 </w:t>
      </w:r>
      <w:r w:rsidR="009667BB">
        <w:rPr>
          <w:rFonts w:asciiTheme="minorBidi" w:hAnsiTheme="minorBidi" w:cstheme="minorBidi"/>
        </w:rPr>
        <w:t>were</w:t>
      </w:r>
      <w:r w:rsidR="009667BB" w:rsidRPr="007045AC">
        <w:rPr>
          <w:rFonts w:asciiTheme="minorBidi" w:hAnsiTheme="minorBidi" w:cstheme="minorBidi"/>
        </w:rPr>
        <w:t xml:space="preserve"> </w:t>
      </w:r>
      <w:r w:rsidR="00D422CE" w:rsidRPr="007045AC">
        <w:rPr>
          <w:rFonts w:asciiTheme="minorBidi" w:hAnsiTheme="minorBidi" w:cstheme="minorBidi"/>
        </w:rPr>
        <w:t>the catalyst that triggered the occurrence of the PTSD.</w:t>
      </w:r>
    </w:p>
    <w:p w14:paraId="4A1D3651" w14:textId="58553C27" w:rsidR="007045AC" w:rsidRPr="00706B3E" w:rsidRDefault="00706B3E" w:rsidP="00706B3E">
      <w:pPr>
        <w:tabs>
          <w:tab w:val="left" w:pos="709"/>
        </w:tabs>
        <w:spacing w:line="360" w:lineRule="auto"/>
        <w:jc w:val="both"/>
        <w:rPr>
          <w:rFonts w:asciiTheme="minorBidi" w:hAnsiTheme="minorBidi" w:cstheme="minorBidi"/>
        </w:rPr>
      </w:pPr>
      <w:r>
        <w:rPr>
          <w:rFonts w:ascii="Arial" w:hAnsi="Arial" w:cstheme="minorBidi"/>
        </w:rPr>
        <w:lastRenderedPageBreak/>
        <w:t>[46]</w:t>
      </w:r>
      <w:r>
        <w:rPr>
          <w:rFonts w:ascii="Arial" w:hAnsi="Arial" w:cstheme="minorBidi"/>
        </w:rPr>
        <w:tab/>
      </w:r>
      <w:r w:rsidR="007045AC" w:rsidRPr="00706B3E">
        <w:rPr>
          <w:rFonts w:asciiTheme="minorBidi" w:hAnsiTheme="minorBidi" w:cstheme="minorBidi"/>
        </w:rPr>
        <w:t>Finally, the tribunal appears to have overlooked the fact that where possible</w:t>
      </w:r>
      <w:r w:rsidR="009667BB" w:rsidRPr="00706B3E">
        <w:rPr>
          <w:rFonts w:asciiTheme="minorBidi" w:hAnsiTheme="minorBidi" w:cstheme="minorBidi"/>
        </w:rPr>
        <w:t>,</w:t>
      </w:r>
      <w:r w:rsidR="007045AC" w:rsidRPr="00706B3E">
        <w:rPr>
          <w:rFonts w:asciiTheme="minorBidi" w:hAnsiTheme="minorBidi" w:cstheme="minorBidi"/>
        </w:rPr>
        <w:t xml:space="preserve"> it should interpret the Act in a manner </w:t>
      </w:r>
      <w:r w:rsidR="00243622" w:rsidRPr="00706B3E">
        <w:rPr>
          <w:rFonts w:asciiTheme="minorBidi" w:hAnsiTheme="minorBidi" w:cstheme="minorBidi"/>
        </w:rPr>
        <w:t xml:space="preserve">that is </w:t>
      </w:r>
      <w:r w:rsidR="007045AC" w:rsidRPr="00706B3E">
        <w:rPr>
          <w:rFonts w:asciiTheme="minorBidi" w:hAnsiTheme="minorBidi" w:cstheme="minorBidi"/>
        </w:rPr>
        <w:t xml:space="preserve">most beneficial to a claimant. </w:t>
      </w:r>
      <w:r w:rsidR="001E5DDA" w:rsidRPr="00706B3E">
        <w:rPr>
          <w:rFonts w:asciiTheme="minorBidi" w:hAnsiTheme="minorBidi" w:cstheme="minorBidi"/>
        </w:rPr>
        <w:t xml:space="preserve">The tribunal appears not </w:t>
      </w:r>
      <w:r w:rsidR="005E6D6B" w:rsidRPr="00706B3E">
        <w:rPr>
          <w:rFonts w:asciiTheme="minorBidi" w:hAnsiTheme="minorBidi" w:cstheme="minorBidi"/>
        </w:rPr>
        <w:t xml:space="preserve">to have considered the long service of the appellant in serving his </w:t>
      </w:r>
      <w:r w:rsidR="00243622" w:rsidRPr="00706B3E">
        <w:rPr>
          <w:rFonts w:asciiTheme="minorBidi" w:hAnsiTheme="minorBidi" w:cstheme="minorBidi"/>
        </w:rPr>
        <w:t xml:space="preserve">employer and his </w:t>
      </w:r>
      <w:r w:rsidR="005E6D6B" w:rsidRPr="00706B3E">
        <w:rPr>
          <w:rFonts w:asciiTheme="minorBidi" w:hAnsiTheme="minorBidi" w:cstheme="minorBidi"/>
        </w:rPr>
        <w:t xml:space="preserve">community and that the compensation it confirmed as being correct was pitifully small in relation to </w:t>
      </w:r>
      <w:r w:rsidR="00243622" w:rsidRPr="00706B3E">
        <w:rPr>
          <w:rFonts w:asciiTheme="minorBidi" w:hAnsiTheme="minorBidi" w:cstheme="minorBidi"/>
        </w:rPr>
        <w:t>these factors</w:t>
      </w:r>
      <w:r w:rsidR="005E6D6B" w:rsidRPr="00706B3E">
        <w:rPr>
          <w:rFonts w:asciiTheme="minorBidi" w:hAnsiTheme="minorBidi" w:cstheme="minorBidi"/>
        </w:rPr>
        <w:t xml:space="preserve">. In fact, it was so inadequate that it </w:t>
      </w:r>
      <w:r w:rsidR="00243622" w:rsidRPr="00706B3E">
        <w:rPr>
          <w:rFonts w:asciiTheme="minorBidi" w:hAnsiTheme="minorBidi" w:cstheme="minorBidi"/>
        </w:rPr>
        <w:t>could be regarded as not having been reasonably awarded.</w:t>
      </w:r>
    </w:p>
    <w:p w14:paraId="2907F31F" w14:textId="77777777" w:rsidR="00243622" w:rsidRPr="007045AC" w:rsidRDefault="00243622" w:rsidP="007B0DD3">
      <w:pPr>
        <w:pStyle w:val="ListParagraph"/>
        <w:tabs>
          <w:tab w:val="left" w:pos="709"/>
        </w:tabs>
        <w:spacing w:line="360" w:lineRule="auto"/>
        <w:ind w:left="0"/>
        <w:jc w:val="both"/>
        <w:rPr>
          <w:rFonts w:asciiTheme="minorBidi" w:hAnsiTheme="minorBidi" w:cstheme="minorBidi"/>
        </w:rPr>
      </w:pPr>
    </w:p>
    <w:p w14:paraId="3D2DBEAF" w14:textId="3CBFB2BF" w:rsidR="007D25A0" w:rsidRPr="007B0DD3" w:rsidRDefault="007D25A0"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Schedule 2</w:t>
      </w:r>
    </w:p>
    <w:p w14:paraId="2E259565" w14:textId="483F0283" w:rsidR="007045AC" w:rsidRPr="00706B3E" w:rsidRDefault="00706B3E" w:rsidP="00706B3E">
      <w:pPr>
        <w:tabs>
          <w:tab w:val="left" w:pos="709"/>
        </w:tabs>
        <w:spacing w:line="360" w:lineRule="auto"/>
        <w:jc w:val="both"/>
        <w:rPr>
          <w:rFonts w:asciiTheme="minorBidi" w:hAnsiTheme="minorBidi" w:cstheme="minorBidi"/>
        </w:rPr>
      </w:pPr>
      <w:r w:rsidRPr="000920BC">
        <w:rPr>
          <w:rFonts w:ascii="Arial" w:hAnsi="Arial" w:cstheme="minorBidi"/>
        </w:rPr>
        <w:t>[47]</w:t>
      </w:r>
      <w:r w:rsidRPr="000920BC">
        <w:rPr>
          <w:rFonts w:ascii="Arial" w:hAnsi="Arial" w:cstheme="minorBidi"/>
        </w:rPr>
        <w:tab/>
      </w:r>
      <w:r w:rsidR="007045AC" w:rsidRPr="00706B3E">
        <w:rPr>
          <w:rFonts w:asciiTheme="minorBidi" w:hAnsiTheme="minorBidi" w:cstheme="minorBidi"/>
          <w:color w:val="242121"/>
          <w:shd w:val="clear" w:color="auto" w:fill="FFFFFF"/>
        </w:rPr>
        <w:t xml:space="preserve">Having found that the circular ought not to have been applied by virtue of the facts of this matter, it is necessary to consider whether the appellant is correct in contending that he falls to be regarding as 100 percent disabled </w:t>
      </w:r>
      <w:r w:rsidR="000920BC" w:rsidRPr="00706B3E">
        <w:rPr>
          <w:rFonts w:asciiTheme="minorBidi" w:hAnsiTheme="minorBidi" w:cstheme="minorBidi"/>
          <w:color w:val="242121"/>
          <w:shd w:val="clear" w:color="auto" w:fill="FFFFFF"/>
        </w:rPr>
        <w:t>in</w:t>
      </w:r>
      <w:r w:rsidR="007045AC" w:rsidRPr="00706B3E">
        <w:rPr>
          <w:rFonts w:asciiTheme="minorBidi" w:hAnsiTheme="minorBidi" w:cstheme="minorBidi"/>
          <w:color w:val="242121"/>
          <w:shd w:val="clear" w:color="auto" w:fill="FFFFFF"/>
        </w:rPr>
        <w:t xml:space="preserve"> terms of the provisions of schedule 2 to the Act.</w:t>
      </w:r>
    </w:p>
    <w:p w14:paraId="250E2B86" w14:textId="77777777" w:rsidR="000920BC" w:rsidRPr="007045AC" w:rsidRDefault="000920BC" w:rsidP="000920BC">
      <w:pPr>
        <w:pStyle w:val="ListParagraph"/>
        <w:tabs>
          <w:tab w:val="left" w:pos="709"/>
        </w:tabs>
        <w:spacing w:line="360" w:lineRule="auto"/>
        <w:ind w:left="0"/>
        <w:jc w:val="both"/>
        <w:rPr>
          <w:rFonts w:asciiTheme="minorBidi" w:hAnsiTheme="minorBidi" w:cstheme="minorBidi"/>
        </w:rPr>
      </w:pPr>
    </w:p>
    <w:p w14:paraId="46C9D89E" w14:textId="12330B4F" w:rsidR="00876A38"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[48]</w:t>
      </w:r>
      <w:r w:rsidRPr="007B0DD3">
        <w:rPr>
          <w:rFonts w:ascii="Arial" w:hAnsi="Arial" w:cstheme="minorBidi"/>
        </w:rPr>
        <w:tab/>
      </w:r>
      <w:r w:rsidR="007045AC" w:rsidRPr="00706B3E">
        <w:rPr>
          <w:rFonts w:asciiTheme="minorBidi" w:hAnsiTheme="minorBidi" w:cstheme="minorBidi"/>
          <w:color w:val="242121"/>
          <w:shd w:val="clear" w:color="auto" w:fill="FFFFFF"/>
        </w:rPr>
        <w:t>Schedule 2</w:t>
      </w:r>
      <w:r w:rsidR="00876A38" w:rsidRPr="00706B3E">
        <w:rPr>
          <w:rFonts w:asciiTheme="minorBidi" w:hAnsiTheme="minorBidi" w:cstheme="minorBidi"/>
          <w:color w:val="242121"/>
          <w:shd w:val="clear" w:color="auto" w:fill="FFFFFF"/>
        </w:rPr>
        <w:t>, like the Act of which it is a part</w:t>
      </w:r>
      <w:r w:rsidR="00AF76D9" w:rsidRPr="00706B3E">
        <w:rPr>
          <w:rFonts w:asciiTheme="minorBidi" w:hAnsiTheme="minorBidi" w:cstheme="minorBidi"/>
          <w:color w:val="242121"/>
          <w:shd w:val="clear" w:color="auto" w:fill="FFFFFF"/>
        </w:rPr>
        <w:t xml:space="preserve"> of</w:t>
      </w:r>
      <w:r w:rsidR="00876A38" w:rsidRPr="00706B3E">
        <w:rPr>
          <w:rFonts w:asciiTheme="minorBidi" w:hAnsiTheme="minorBidi" w:cstheme="minorBidi"/>
          <w:color w:val="242121"/>
          <w:shd w:val="clear" w:color="auto" w:fill="FFFFFF"/>
        </w:rPr>
        <w:t>, must be interpreted generously so as to do justice to the employee to the extent possible within the ‘give and take framework’ of the Act.</w:t>
      </w:r>
      <w:r w:rsidR="00876A38" w:rsidRPr="007B0DD3">
        <w:rPr>
          <w:rStyle w:val="FootnoteReference"/>
          <w:rFonts w:asciiTheme="minorBidi" w:hAnsiTheme="minorBidi" w:cstheme="minorBidi"/>
          <w:color w:val="242121"/>
          <w:shd w:val="clear" w:color="auto" w:fill="FFFFFF"/>
        </w:rPr>
        <w:footnoteReference w:id="16"/>
      </w:r>
      <w:r w:rsidR="00876A38" w:rsidRPr="00706B3E">
        <w:rPr>
          <w:rFonts w:asciiTheme="minorBidi" w:hAnsiTheme="minorBidi" w:cstheme="minorBidi"/>
          <w:color w:val="242121"/>
          <w:shd w:val="clear" w:color="auto" w:fill="FFFFFF"/>
        </w:rPr>
        <w:t> </w:t>
      </w:r>
    </w:p>
    <w:p w14:paraId="2023A0FE" w14:textId="77777777" w:rsidR="0071149F" w:rsidRPr="007B0DD3" w:rsidRDefault="0071149F" w:rsidP="007B0DD3">
      <w:pPr>
        <w:pStyle w:val="ListParagraph"/>
        <w:spacing w:line="360" w:lineRule="auto"/>
        <w:jc w:val="both"/>
        <w:rPr>
          <w:rFonts w:asciiTheme="minorBidi" w:hAnsiTheme="minorBidi" w:cstheme="minorBidi"/>
        </w:rPr>
      </w:pPr>
    </w:p>
    <w:p w14:paraId="3B948B69" w14:textId="03A0640D" w:rsidR="005A3BED"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[49]</w:t>
      </w:r>
      <w:r w:rsidRPr="007B0DD3">
        <w:rPr>
          <w:rFonts w:ascii="Arial" w:hAnsi="Arial" w:cstheme="minorBidi"/>
        </w:rPr>
        <w:tab/>
      </w:r>
      <w:r w:rsidR="00332B10" w:rsidRPr="00706B3E">
        <w:rPr>
          <w:rFonts w:asciiTheme="minorBidi" w:hAnsiTheme="minorBidi" w:cstheme="minorBidi"/>
        </w:rPr>
        <w:t>Section 49(1)</w:t>
      </w:r>
      <w:r w:rsidR="00332B10" w:rsidRPr="00706B3E">
        <w:rPr>
          <w:rFonts w:asciiTheme="minorBidi" w:hAnsiTheme="minorBidi" w:cstheme="minorBidi"/>
          <w:i/>
        </w:rPr>
        <w:t xml:space="preserve">(a) </w:t>
      </w:r>
      <w:r w:rsidR="00301EE9" w:rsidRPr="00706B3E">
        <w:rPr>
          <w:rFonts w:asciiTheme="minorBidi" w:hAnsiTheme="minorBidi" w:cstheme="minorBidi"/>
          <w:iCs/>
        </w:rPr>
        <w:t xml:space="preserve">of the Act </w:t>
      </w:r>
      <w:r w:rsidR="00332B10" w:rsidRPr="00706B3E">
        <w:rPr>
          <w:rFonts w:asciiTheme="minorBidi" w:hAnsiTheme="minorBidi" w:cstheme="minorBidi"/>
        </w:rPr>
        <w:t>reads as follows:</w:t>
      </w:r>
    </w:p>
    <w:p w14:paraId="3FF7FF7A" w14:textId="4BC564A9" w:rsidR="009D0041" w:rsidRPr="007B0DD3" w:rsidRDefault="009D0041" w:rsidP="007B0DD3">
      <w:pPr>
        <w:pStyle w:val="ListParagraph"/>
        <w:tabs>
          <w:tab w:val="left" w:pos="709"/>
        </w:tabs>
        <w:spacing w:line="360" w:lineRule="auto"/>
        <w:ind w:left="0"/>
        <w:jc w:val="both"/>
        <w:rPr>
          <w:rFonts w:asciiTheme="minorBidi" w:hAnsiTheme="minorBidi" w:cstheme="minorBidi"/>
          <w:sz w:val="22"/>
          <w:szCs w:val="22"/>
        </w:rPr>
      </w:pPr>
      <w:r w:rsidRPr="007B0DD3">
        <w:rPr>
          <w:rFonts w:asciiTheme="minorBidi" w:hAnsiTheme="minorBidi" w:cstheme="minorBidi"/>
          <w:sz w:val="22"/>
          <w:szCs w:val="22"/>
        </w:rPr>
        <w:t>‘Compensation for permanent disablement shall be calculated on the basis set out in items 2, 3, 4 and 5 of Schedule 4 subject to the minimum and maximum amounts.’</w:t>
      </w:r>
    </w:p>
    <w:p w14:paraId="5B266B61" w14:textId="77777777" w:rsidR="00332B10" w:rsidRPr="007B0DD3" w:rsidRDefault="00332B10" w:rsidP="007B0DD3">
      <w:pPr>
        <w:pStyle w:val="ListParagraph"/>
        <w:tabs>
          <w:tab w:val="left" w:pos="709"/>
        </w:tabs>
        <w:spacing w:line="360" w:lineRule="auto"/>
        <w:ind w:left="0"/>
        <w:jc w:val="both"/>
        <w:rPr>
          <w:rFonts w:asciiTheme="minorBidi" w:hAnsiTheme="minorBidi" w:cstheme="minorBidi"/>
          <w:sz w:val="22"/>
          <w:szCs w:val="22"/>
        </w:rPr>
      </w:pPr>
    </w:p>
    <w:p w14:paraId="1F43F4CC" w14:textId="41C2011A" w:rsidR="00564695" w:rsidRPr="00706B3E" w:rsidRDefault="00706B3E" w:rsidP="00706B3E">
      <w:pPr>
        <w:tabs>
          <w:tab w:val="left" w:pos="709"/>
        </w:tabs>
        <w:spacing w:line="360" w:lineRule="auto"/>
        <w:jc w:val="both"/>
        <w:rPr>
          <w:rFonts w:asciiTheme="minorBidi" w:hAnsiTheme="minorBidi" w:cstheme="minorBidi"/>
          <w:i/>
        </w:rPr>
      </w:pPr>
      <w:r w:rsidRPr="00A70246">
        <w:rPr>
          <w:rFonts w:ascii="Arial" w:hAnsi="Arial" w:cstheme="minorBidi"/>
        </w:rPr>
        <w:t>[50]</w:t>
      </w:r>
      <w:r w:rsidRPr="00A70246">
        <w:rPr>
          <w:rFonts w:ascii="Arial" w:hAnsi="Arial" w:cstheme="minorBidi"/>
        </w:rPr>
        <w:tab/>
      </w:r>
      <w:r w:rsidR="00332B10" w:rsidRPr="00706B3E">
        <w:rPr>
          <w:rFonts w:asciiTheme="minorBidi" w:hAnsiTheme="minorBidi" w:cstheme="minorBidi"/>
        </w:rPr>
        <w:t xml:space="preserve">The relevant portion of schedule 2, upon which the appellant relies, reads </w:t>
      </w:r>
      <w:r w:rsidR="00A70246" w:rsidRPr="00706B3E">
        <w:rPr>
          <w:rFonts w:asciiTheme="minorBidi" w:hAnsiTheme="minorBidi" w:cstheme="minorBidi"/>
        </w:rPr>
        <w:t>as follows:</w:t>
      </w:r>
    </w:p>
    <w:tbl>
      <w:tblPr>
        <w:tblStyle w:val="TableGrid"/>
        <w:tblW w:w="0" w:type="auto"/>
        <w:tblLook w:val="04A0" w:firstRow="1" w:lastRow="0" w:firstColumn="1" w:lastColumn="0" w:noHBand="0" w:noVBand="1"/>
      </w:tblPr>
      <w:tblGrid>
        <w:gridCol w:w="4531"/>
        <w:gridCol w:w="4531"/>
      </w:tblGrid>
      <w:tr w:rsidR="00332B10" w:rsidRPr="007B0DD3" w14:paraId="616D8F45" w14:textId="77777777" w:rsidTr="002539A8">
        <w:trPr>
          <w:tblHeader/>
        </w:trPr>
        <w:tc>
          <w:tcPr>
            <w:tcW w:w="4531" w:type="dxa"/>
            <w:shd w:val="clear" w:color="auto" w:fill="BFBFBF" w:themeFill="background1" w:themeFillShade="BF"/>
          </w:tcPr>
          <w:p w14:paraId="1E55D8FE" w14:textId="77777777" w:rsidR="00332B10" w:rsidRPr="007B0DD3" w:rsidRDefault="00332B10" w:rsidP="00765CF9">
            <w:pPr>
              <w:pStyle w:val="ListParagraph"/>
              <w:tabs>
                <w:tab w:val="left" w:pos="709"/>
              </w:tabs>
              <w:ind w:left="0"/>
              <w:jc w:val="center"/>
              <w:rPr>
                <w:rFonts w:asciiTheme="minorBidi" w:hAnsiTheme="minorBidi" w:cstheme="minorBidi"/>
                <w:b/>
                <w:sz w:val="22"/>
                <w:szCs w:val="22"/>
              </w:rPr>
            </w:pPr>
            <w:r w:rsidRPr="007B0DD3">
              <w:rPr>
                <w:rFonts w:asciiTheme="minorBidi" w:hAnsiTheme="minorBidi" w:cstheme="minorBidi"/>
                <w:b/>
                <w:sz w:val="22"/>
                <w:szCs w:val="22"/>
              </w:rPr>
              <w:t>Injury</w:t>
            </w:r>
          </w:p>
        </w:tc>
        <w:tc>
          <w:tcPr>
            <w:tcW w:w="4531" w:type="dxa"/>
            <w:shd w:val="clear" w:color="auto" w:fill="BFBFBF" w:themeFill="background1" w:themeFillShade="BF"/>
          </w:tcPr>
          <w:p w14:paraId="5E724929" w14:textId="77777777" w:rsidR="00332B10" w:rsidRPr="007B0DD3" w:rsidRDefault="00332B10" w:rsidP="00765CF9">
            <w:pPr>
              <w:pStyle w:val="ListParagraph"/>
              <w:tabs>
                <w:tab w:val="left" w:pos="709"/>
              </w:tabs>
              <w:ind w:left="0"/>
              <w:jc w:val="center"/>
              <w:rPr>
                <w:rFonts w:asciiTheme="minorBidi" w:hAnsiTheme="minorBidi" w:cstheme="minorBidi"/>
                <w:b/>
                <w:sz w:val="22"/>
                <w:szCs w:val="22"/>
              </w:rPr>
            </w:pPr>
            <w:r w:rsidRPr="007B0DD3">
              <w:rPr>
                <w:rFonts w:asciiTheme="minorBidi" w:hAnsiTheme="minorBidi" w:cstheme="minorBidi"/>
                <w:b/>
                <w:sz w:val="22"/>
                <w:szCs w:val="22"/>
              </w:rPr>
              <w:t>Percentage of permanent disablement</w:t>
            </w:r>
          </w:p>
        </w:tc>
      </w:tr>
      <w:tr w:rsidR="00332B10" w:rsidRPr="007B0DD3" w14:paraId="2C17ED80" w14:textId="77777777" w:rsidTr="00332B10">
        <w:tc>
          <w:tcPr>
            <w:tcW w:w="4531" w:type="dxa"/>
          </w:tcPr>
          <w:p w14:paraId="431E410D" w14:textId="77777777" w:rsidR="00332B10" w:rsidRPr="007B0DD3" w:rsidRDefault="00332B10" w:rsidP="007B0DD3">
            <w:pPr>
              <w:pStyle w:val="ListParagraph"/>
              <w:tabs>
                <w:tab w:val="left" w:pos="709"/>
              </w:tabs>
              <w:ind w:left="0"/>
              <w:jc w:val="both"/>
              <w:rPr>
                <w:rFonts w:asciiTheme="minorBidi" w:hAnsiTheme="minorBidi" w:cstheme="minorBidi"/>
                <w:sz w:val="22"/>
                <w:szCs w:val="22"/>
              </w:rPr>
            </w:pPr>
          </w:p>
        </w:tc>
        <w:tc>
          <w:tcPr>
            <w:tcW w:w="4531" w:type="dxa"/>
          </w:tcPr>
          <w:p w14:paraId="7AB27AA4" w14:textId="77777777" w:rsidR="00332B10" w:rsidRPr="007B0DD3" w:rsidRDefault="00332B10" w:rsidP="007B0DD3">
            <w:pPr>
              <w:pStyle w:val="ListParagraph"/>
              <w:tabs>
                <w:tab w:val="left" w:pos="709"/>
              </w:tabs>
              <w:ind w:left="0"/>
              <w:jc w:val="both"/>
              <w:rPr>
                <w:rFonts w:asciiTheme="minorBidi" w:hAnsiTheme="minorBidi" w:cstheme="minorBidi"/>
                <w:sz w:val="22"/>
                <w:szCs w:val="22"/>
              </w:rPr>
            </w:pPr>
          </w:p>
        </w:tc>
      </w:tr>
      <w:tr w:rsidR="00332B10" w:rsidRPr="007B0DD3" w14:paraId="5242112C" w14:textId="77777777" w:rsidTr="00332B10">
        <w:tc>
          <w:tcPr>
            <w:tcW w:w="4531" w:type="dxa"/>
          </w:tcPr>
          <w:p w14:paraId="2CFF0E29" w14:textId="77777777" w:rsidR="00332B10" w:rsidRPr="007B0DD3" w:rsidRDefault="00332B10" w:rsidP="007B0DD3">
            <w:pPr>
              <w:pStyle w:val="ListParagraph"/>
              <w:tabs>
                <w:tab w:val="left" w:pos="709"/>
              </w:tabs>
              <w:ind w:left="0"/>
              <w:jc w:val="both"/>
              <w:rPr>
                <w:rFonts w:asciiTheme="minorBidi" w:hAnsiTheme="minorBidi" w:cstheme="minorBidi"/>
                <w:sz w:val="22"/>
                <w:szCs w:val="22"/>
              </w:rPr>
            </w:pPr>
            <w:r w:rsidRPr="007B0DD3">
              <w:rPr>
                <w:rFonts w:asciiTheme="minorBidi" w:hAnsiTheme="minorBidi" w:cstheme="minorBidi"/>
                <w:sz w:val="22"/>
                <w:szCs w:val="22"/>
              </w:rPr>
              <w:t>Loss of two limbs</w:t>
            </w:r>
          </w:p>
        </w:tc>
        <w:tc>
          <w:tcPr>
            <w:tcW w:w="4531" w:type="dxa"/>
          </w:tcPr>
          <w:p w14:paraId="4FCEF962" w14:textId="77777777" w:rsidR="00332B10" w:rsidRPr="007B0DD3" w:rsidRDefault="00332B10" w:rsidP="007A1E58">
            <w:pPr>
              <w:pStyle w:val="ListParagraph"/>
              <w:tabs>
                <w:tab w:val="left" w:pos="709"/>
              </w:tabs>
              <w:ind w:left="0"/>
              <w:jc w:val="center"/>
              <w:rPr>
                <w:rFonts w:asciiTheme="minorBidi" w:hAnsiTheme="minorBidi" w:cstheme="minorBidi"/>
                <w:sz w:val="22"/>
                <w:szCs w:val="22"/>
              </w:rPr>
            </w:pPr>
            <w:r w:rsidRPr="007B0DD3">
              <w:rPr>
                <w:rFonts w:asciiTheme="minorBidi" w:hAnsiTheme="minorBidi" w:cstheme="minorBidi"/>
                <w:sz w:val="22"/>
                <w:szCs w:val="22"/>
              </w:rPr>
              <w:t>100</w:t>
            </w:r>
          </w:p>
        </w:tc>
      </w:tr>
      <w:tr w:rsidR="00332B10" w:rsidRPr="007B0DD3" w14:paraId="3BE8CE80" w14:textId="77777777" w:rsidTr="00332B10">
        <w:tc>
          <w:tcPr>
            <w:tcW w:w="4531" w:type="dxa"/>
          </w:tcPr>
          <w:p w14:paraId="4B99A664" w14:textId="77777777" w:rsidR="00332B10" w:rsidRPr="007B0DD3" w:rsidRDefault="00332B10" w:rsidP="007B0DD3">
            <w:pPr>
              <w:pStyle w:val="ListParagraph"/>
              <w:tabs>
                <w:tab w:val="left" w:pos="709"/>
              </w:tabs>
              <w:ind w:left="0"/>
              <w:jc w:val="both"/>
              <w:rPr>
                <w:rFonts w:asciiTheme="minorBidi" w:hAnsiTheme="minorBidi" w:cstheme="minorBidi"/>
                <w:sz w:val="22"/>
                <w:szCs w:val="22"/>
              </w:rPr>
            </w:pPr>
            <w:r w:rsidRPr="007B0DD3">
              <w:rPr>
                <w:rFonts w:asciiTheme="minorBidi" w:hAnsiTheme="minorBidi" w:cstheme="minorBidi"/>
                <w:sz w:val="22"/>
                <w:szCs w:val="22"/>
              </w:rPr>
              <w:t>Loss of both hands, or of all fingers and both thumbs</w:t>
            </w:r>
          </w:p>
        </w:tc>
        <w:tc>
          <w:tcPr>
            <w:tcW w:w="4531" w:type="dxa"/>
          </w:tcPr>
          <w:p w14:paraId="60912943" w14:textId="77777777" w:rsidR="00332B10" w:rsidRPr="007B0DD3" w:rsidRDefault="00332B10" w:rsidP="007A1E58">
            <w:pPr>
              <w:pStyle w:val="ListParagraph"/>
              <w:tabs>
                <w:tab w:val="left" w:pos="709"/>
              </w:tabs>
              <w:ind w:left="0"/>
              <w:jc w:val="center"/>
              <w:rPr>
                <w:rFonts w:asciiTheme="minorBidi" w:hAnsiTheme="minorBidi" w:cstheme="minorBidi"/>
                <w:sz w:val="22"/>
                <w:szCs w:val="22"/>
              </w:rPr>
            </w:pPr>
            <w:r w:rsidRPr="007B0DD3">
              <w:rPr>
                <w:rFonts w:asciiTheme="minorBidi" w:hAnsiTheme="minorBidi" w:cstheme="minorBidi"/>
                <w:sz w:val="22"/>
                <w:szCs w:val="22"/>
              </w:rPr>
              <w:t>100</w:t>
            </w:r>
          </w:p>
        </w:tc>
      </w:tr>
      <w:tr w:rsidR="00332B10" w:rsidRPr="007B0DD3" w14:paraId="41F957E5" w14:textId="77777777" w:rsidTr="00332B10">
        <w:tc>
          <w:tcPr>
            <w:tcW w:w="4531" w:type="dxa"/>
          </w:tcPr>
          <w:p w14:paraId="6D46D233" w14:textId="77777777" w:rsidR="00332B10" w:rsidRPr="007B0DD3" w:rsidRDefault="00332B10" w:rsidP="007B0DD3">
            <w:pPr>
              <w:pStyle w:val="ListParagraph"/>
              <w:tabs>
                <w:tab w:val="left" w:pos="709"/>
              </w:tabs>
              <w:ind w:left="0"/>
              <w:jc w:val="both"/>
              <w:rPr>
                <w:rFonts w:asciiTheme="minorBidi" w:hAnsiTheme="minorBidi" w:cstheme="minorBidi"/>
                <w:sz w:val="22"/>
                <w:szCs w:val="22"/>
              </w:rPr>
            </w:pPr>
            <w:r w:rsidRPr="007B0DD3">
              <w:rPr>
                <w:rFonts w:asciiTheme="minorBidi" w:hAnsiTheme="minorBidi" w:cstheme="minorBidi"/>
                <w:sz w:val="22"/>
                <w:szCs w:val="22"/>
              </w:rPr>
              <w:t>Total loss of sight</w:t>
            </w:r>
          </w:p>
        </w:tc>
        <w:tc>
          <w:tcPr>
            <w:tcW w:w="4531" w:type="dxa"/>
          </w:tcPr>
          <w:p w14:paraId="50FAD63A" w14:textId="77777777" w:rsidR="00332B10" w:rsidRPr="007B0DD3" w:rsidRDefault="00332B10" w:rsidP="007A1E58">
            <w:pPr>
              <w:pStyle w:val="ListParagraph"/>
              <w:tabs>
                <w:tab w:val="left" w:pos="709"/>
              </w:tabs>
              <w:ind w:left="0"/>
              <w:jc w:val="center"/>
              <w:rPr>
                <w:rFonts w:asciiTheme="minorBidi" w:hAnsiTheme="minorBidi" w:cstheme="minorBidi"/>
                <w:sz w:val="22"/>
                <w:szCs w:val="22"/>
              </w:rPr>
            </w:pPr>
            <w:r w:rsidRPr="007B0DD3">
              <w:rPr>
                <w:rFonts w:asciiTheme="minorBidi" w:hAnsiTheme="minorBidi" w:cstheme="minorBidi"/>
                <w:sz w:val="22"/>
                <w:szCs w:val="22"/>
              </w:rPr>
              <w:t>100</w:t>
            </w:r>
          </w:p>
        </w:tc>
      </w:tr>
      <w:tr w:rsidR="00332B10" w:rsidRPr="007B0DD3" w14:paraId="78AB58B3" w14:textId="77777777" w:rsidTr="00332B10">
        <w:tc>
          <w:tcPr>
            <w:tcW w:w="4531" w:type="dxa"/>
          </w:tcPr>
          <w:p w14:paraId="15ADCA74" w14:textId="77777777" w:rsidR="00332B10" w:rsidRPr="007B0DD3" w:rsidRDefault="00332B10" w:rsidP="007B0DD3">
            <w:pPr>
              <w:pStyle w:val="ListParagraph"/>
              <w:tabs>
                <w:tab w:val="left" w:pos="709"/>
              </w:tabs>
              <w:ind w:left="0"/>
              <w:jc w:val="both"/>
              <w:rPr>
                <w:rFonts w:asciiTheme="minorBidi" w:hAnsiTheme="minorBidi" w:cstheme="minorBidi"/>
                <w:sz w:val="22"/>
                <w:szCs w:val="22"/>
              </w:rPr>
            </w:pPr>
            <w:r w:rsidRPr="007B0DD3">
              <w:rPr>
                <w:rFonts w:asciiTheme="minorBidi" w:hAnsiTheme="minorBidi" w:cstheme="minorBidi"/>
                <w:sz w:val="22"/>
                <w:szCs w:val="22"/>
              </w:rPr>
              <w:t>Total paralysis</w:t>
            </w:r>
          </w:p>
        </w:tc>
        <w:tc>
          <w:tcPr>
            <w:tcW w:w="4531" w:type="dxa"/>
          </w:tcPr>
          <w:p w14:paraId="473C8AF3" w14:textId="77777777" w:rsidR="00332B10" w:rsidRPr="007B0DD3" w:rsidRDefault="00332B10" w:rsidP="007A1E58">
            <w:pPr>
              <w:pStyle w:val="ListParagraph"/>
              <w:tabs>
                <w:tab w:val="left" w:pos="709"/>
              </w:tabs>
              <w:ind w:left="0"/>
              <w:jc w:val="center"/>
              <w:rPr>
                <w:rFonts w:asciiTheme="minorBidi" w:hAnsiTheme="minorBidi" w:cstheme="minorBidi"/>
                <w:sz w:val="22"/>
                <w:szCs w:val="22"/>
              </w:rPr>
            </w:pPr>
            <w:r w:rsidRPr="007B0DD3">
              <w:rPr>
                <w:rFonts w:asciiTheme="minorBidi" w:hAnsiTheme="minorBidi" w:cstheme="minorBidi"/>
                <w:sz w:val="22"/>
                <w:szCs w:val="22"/>
              </w:rPr>
              <w:t>100</w:t>
            </w:r>
          </w:p>
        </w:tc>
      </w:tr>
      <w:tr w:rsidR="00332B10" w:rsidRPr="007B0DD3" w14:paraId="5DAE75C3" w14:textId="77777777" w:rsidTr="00332B10">
        <w:tc>
          <w:tcPr>
            <w:tcW w:w="4531" w:type="dxa"/>
          </w:tcPr>
          <w:p w14:paraId="6076D5B8" w14:textId="77777777" w:rsidR="00332B10" w:rsidRPr="007B0DD3" w:rsidRDefault="00332B10" w:rsidP="007B0DD3">
            <w:pPr>
              <w:pStyle w:val="ListParagraph"/>
              <w:tabs>
                <w:tab w:val="left" w:pos="709"/>
              </w:tabs>
              <w:ind w:left="0"/>
              <w:jc w:val="both"/>
              <w:rPr>
                <w:rFonts w:asciiTheme="minorBidi" w:hAnsiTheme="minorBidi" w:cstheme="minorBidi"/>
                <w:sz w:val="22"/>
                <w:szCs w:val="22"/>
              </w:rPr>
            </w:pPr>
            <w:r w:rsidRPr="007B0DD3">
              <w:rPr>
                <w:rFonts w:asciiTheme="minorBidi" w:hAnsiTheme="minorBidi" w:cstheme="minorBidi"/>
                <w:sz w:val="22"/>
                <w:szCs w:val="22"/>
              </w:rPr>
              <w:t>Injuries resulting in employee being permanently bedridden</w:t>
            </w:r>
          </w:p>
        </w:tc>
        <w:tc>
          <w:tcPr>
            <w:tcW w:w="4531" w:type="dxa"/>
          </w:tcPr>
          <w:p w14:paraId="49F1D613" w14:textId="77777777" w:rsidR="00332B10" w:rsidRPr="007B0DD3" w:rsidRDefault="00332B10" w:rsidP="007A1E58">
            <w:pPr>
              <w:pStyle w:val="ListParagraph"/>
              <w:tabs>
                <w:tab w:val="left" w:pos="709"/>
              </w:tabs>
              <w:ind w:left="0"/>
              <w:jc w:val="center"/>
              <w:rPr>
                <w:rFonts w:asciiTheme="minorBidi" w:hAnsiTheme="minorBidi" w:cstheme="minorBidi"/>
                <w:sz w:val="22"/>
                <w:szCs w:val="22"/>
              </w:rPr>
            </w:pPr>
            <w:r w:rsidRPr="007B0DD3">
              <w:rPr>
                <w:rFonts w:asciiTheme="minorBidi" w:hAnsiTheme="minorBidi" w:cstheme="minorBidi"/>
                <w:sz w:val="22"/>
                <w:szCs w:val="22"/>
              </w:rPr>
              <w:t>100</w:t>
            </w:r>
          </w:p>
        </w:tc>
      </w:tr>
      <w:tr w:rsidR="00332B10" w:rsidRPr="007B0DD3" w14:paraId="243CDCE6" w14:textId="77777777" w:rsidTr="00332B10">
        <w:tc>
          <w:tcPr>
            <w:tcW w:w="4531" w:type="dxa"/>
          </w:tcPr>
          <w:p w14:paraId="08E89209" w14:textId="77777777" w:rsidR="00332B10" w:rsidRPr="007B0DD3" w:rsidRDefault="00332B10" w:rsidP="007B0DD3">
            <w:pPr>
              <w:pStyle w:val="ListParagraph"/>
              <w:tabs>
                <w:tab w:val="left" w:pos="709"/>
              </w:tabs>
              <w:ind w:left="0"/>
              <w:jc w:val="both"/>
              <w:rPr>
                <w:rFonts w:asciiTheme="minorBidi" w:hAnsiTheme="minorBidi" w:cstheme="minorBidi"/>
                <w:sz w:val="22"/>
                <w:szCs w:val="22"/>
              </w:rPr>
            </w:pPr>
            <w:r w:rsidRPr="007B0DD3">
              <w:rPr>
                <w:rFonts w:asciiTheme="minorBidi" w:hAnsiTheme="minorBidi" w:cstheme="minorBidi"/>
                <w:sz w:val="22"/>
                <w:szCs w:val="22"/>
              </w:rPr>
              <w:t>Any other injury causing permanent total disablement</w:t>
            </w:r>
          </w:p>
        </w:tc>
        <w:tc>
          <w:tcPr>
            <w:tcW w:w="4531" w:type="dxa"/>
          </w:tcPr>
          <w:p w14:paraId="5D370EBA" w14:textId="77777777" w:rsidR="00332B10" w:rsidRPr="007B0DD3" w:rsidRDefault="00332B10" w:rsidP="007A1E58">
            <w:pPr>
              <w:pStyle w:val="ListParagraph"/>
              <w:tabs>
                <w:tab w:val="left" w:pos="709"/>
              </w:tabs>
              <w:ind w:left="0"/>
              <w:jc w:val="center"/>
              <w:rPr>
                <w:rFonts w:asciiTheme="minorBidi" w:hAnsiTheme="minorBidi" w:cstheme="minorBidi"/>
                <w:sz w:val="22"/>
                <w:szCs w:val="22"/>
              </w:rPr>
            </w:pPr>
            <w:r w:rsidRPr="007B0DD3">
              <w:rPr>
                <w:rFonts w:asciiTheme="minorBidi" w:hAnsiTheme="minorBidi" w:cstheme="minorBidi"/>
                <w:sz w:val="22"/>
                <w:szCs w:val="22"/>
              </w:rPr>
              <w:t>100</w:t>
            </w:r>
          </w:p>
        </w:tc>
      </w:tr>
    </w:tbl>
    <w:p w14:paraId="2CA9B341" w14:textId="0D12F8E0" w:rsidR="00564695" w:rsidRPr="007B0DD3" w:rsidRDefault="00564695" w:rsidP="007B0DD3">
      <w:pPr>
        <w:pStyle w:val="ListParagraph"/>
        <w:tabs>
          <w:tab w:val="left" w:pos="709"/>
        </w:tabs>
        <w:spacing w:line="360" w:lineRule="auto"/>
        <w:ind w:left="0"/>
        <w:jc w:val="both"/>
        <w:rPr>
          <w:rFonts w:asciiTheme="minorBidi" w:hAnsiTheme="minorBidi" w:cstheme="minorBidi"/>
          <w:iCs/>
        </w:rPr>
      </w:pPr>
    </w:p>
    <w:p w14:paraId="5ADEF577" w14:textId="16542BC3" w:rsidR="007D25A0" w:rsidRPr="00706B3E" w:rsidRDefault="00706B3E" w:rsidP="00706B3E">
      <w:pPr>
        <w:tabs>
          <w:tab w:val="left" w:pos="709"/>
        </w:tabs>
        <w:spacing w:line="360" w:lineRule="auto"/>
        <w:jc w:val="both"/>
        <w:rPr>
          <w:rFonts w:asciiTheme="minorBidi" w:hAnsiTheme="minorBidi" w:cstheme="minorBidi"/>
          <w:i/>
        </w:rPr>
      </w:pPr>
      <w:r w:rsidRPr="00040D21">
        <w:rPr>
          <w:rFonts w:ascii="Arial" w:hAnsi="Arial" w:cstheme="minorBidi"/>
        </w:rPr>
        <w:lastRenderedPageBreak/>
        <w:t>[51]</w:t>
      </w:r>
      <w:r w:rsidRPr="00040D21">
        <w:rPr>
          <w:rFonts w:ascii="Arial" w:hAnsi="Arial" w:cstheme="minorBidi"/>
        </w:rPr>
        <w:tab/>
      </w:r>
      <w:r w:rsidR="00DF0E3B" w:rsidRPr="00706B3E">
        <w:rPr>
          <w:rFonts w:asciiTheme="minorBidi" w:hAnsiTheme="minorBidi" w:cstheme="minorBidi"/>
        </w:rPr>
        <w:t xml:space="preserve">The appellant contends that it is not disputed that a medical expert in the form of Dr Agambaram has determined him to be totally permanently disabled and that </w:t>
      </w:r>
      <w:r w:rsidR="00575090" w:rsidRPr="00706B3E">
        <w:rPr>
          <w:rFonts w:asciiTheme="minorBidi" w:hAnsiTheme="minorBidi" w:cstheme="minorBidi"/>
        </w:rPr>
        <w:t xml:space="preserve">such disablement </w:t>
      </w:r>
      <w:r w:rsidR="00DF0E3B" w:rsidRPr="00706B3E">
        <w:rPr>
          <w:rFonts w:asciiTheme="minorBidi" w:hAnsiTheme="minorBidi" w:cstheme="minorBidi"/>
        </w:rPr>
        <w:t xml:space="preserve">falls within the last category of classification </w:t>
      </w:r>
      <w:r w:rsidR="00575090" w:rsidRPr="00706B3E">
        <w:rPr>
          <w:rFonts w:asciiTheme="minorBidi" w:hAnsiTheme="minorBidi" w:cstheme="minorBidi"/>
        </w:rPr>
        <w:t xml:space="preserve">referred to </w:t>
      </w:r>
      <w:r w:rsidR="00DF0E3B" w:rsidRPr="00706B3E">
        <w:rPr>
          <w:rFonts w:asciiTheme="minorBidi" w:hAnsiTheme="minorBidi" w:cstheme="minorBidi"/>
        </w:rPr>
        <w:t>in the table above</w:t>
      </w:r>
      <w:r w:rsidR="00A70246" w:rsidRPr="00706B3E">
        <w:rPr>
          <w:rFonts w:asciiTheme="minorBidi" w:hAnsiTheme="minorBidi" w:cstheme="minorBidi"/>
        </w:rPr>
        <w:t xml:space="preserve"> (the sixth classification)</w:t>
      </w:r>
      <w:r w:rsidR="00DF0E3B" w:rsidRPr="00706B3E">
        <w:rPr>
          <w:rFonts w:asciiTheme="minorBidi" w:hAnsiTheme="minorBidi" w:cstheme="minorBidi"/>
        </w:rPr>
        <w:t xml:space="preserve">. </w:t>
      </w:r>
    </w:p>
    <w:p w14:paraId="3413A771" w14:textId="77777777" w:rsidR="00040D21" w:rsidRPr="00A70246" w:rsidRDefault="00040D21" w:rsidP="00040D21">
      <w:pPr>
        <w:pStyle w:val="ListParagraph"/>
        <w:tabs>
          <w:tab w:val="left" w:pos="709"/>
        </w:tabs>
        <w:spacing w:line="360" w:lineRule="auto"/>
        <w:ind w:left="0"/>
        <w:jc w:val="both"/>
        <w:rPr>
          <w:rFonts w:asciiTheme="minorBidi" w:hAnsiTheme="minorBidi" w:cstheme="minorBidi"/>
          <w:i/>
        </w:rPr>
      </w:pPr>
    </w:p>
    <w:p w14:paraId="2CC793AE" w14:textId="23D16A26" w:rsidR="00E668F3" w:rsidRPr="00706B3E" w:rsidRDefault="00706B3E" w:rsidP="00706B3E">
      <w:pPr>
        <w:tabs>
          <w:tab w:val="left" w:pos="709"/>
        </w:tabs>
        <w:spacing w:line="360" w:lineRule="auto"/>
        <w:jc w:val="both"/>
        <w:rPr>
          <w:rFonts w:asciiTheme="minorBidi" w:hAnsiTheme="minorBidi" w:cstheme="minorBidi"/>
        </w:rPr>
      </w:pPr>
      <w:r>
        <w:rPr>
          <w:rFonts w:ascii="Arial" w:hAnsi="Arial" w:cstheme="minorBidi"/>
        </w:rPr>
        <w:t>[52]</w:t>
      </w:r>
      <w:r>
        <w:rPr>
          <w:rFonts w:ascii="Arial" w:hAnsi="Arial" w:cstheme="minorBidi"/>
        </w:rPr>
        <w:tab/>
      </w:r>
      <w:r w:rsidR="00575090" w:rsidRPr="00706B3E">
        <w:rPr>
          <w:rFonts w:asciiTheme="minorBidi" w:hAnsiTheme="minorBidi" w:cstheme="minorBidi"/>
        </w:rPr>
        <w:t>Schedule 2 to the Act specifically identifie</w:t>
      </w:r>
      <w:r w:rsidR="00B174E5" w:rsidRPr="00706B3E">
        <w:rPr>
          <w:rFonts w:asciiTheme="minorBidi" w:hAnsiTheme="minorBidi" w:cstheme="minorBidi"/>
        </w:rPr>
        <w:t>s</w:t>
      </w:r>
      <w:r w:rsidR="00575090" w:rsidRPr="00706B3E">
        <w:rPr>
          <w:rFonts w:asciiTheme="minorBidi" w:hAnsiTheme="minorBidi" w:cstheme="minorBidi"/>
        </w:rPr>
        <w:t xml:space="preserve"> those injuries that entitle a claimant to claim total disablement. The sixth </w:t>
      </w:r>
      <w:r w:rsidR="00A70246" w:rsidRPr="00706B3E">
        <w:rPr>
          <w:rFonts w:asciiTheme="minorBidi" w:hAnsiTheme="minorBidi" w:cstheme="minorBidi"/>
        </w:rPr>
        <w:t>classification</w:t>
      </w:r>
      <w:r w:rsidR="00575090" w:rsidRPr="00706B3E">
        <w:rPr>
          <w:rFonts w:asciiTheme="minorBidi" w:hAnsiTheme="minorBidi" w:cstheme="minorBidi"/>
        </w:rPr>
        <w:t xml:space="preserve"> does not specify the nature of the injury, unlike the five classifications that appear before it</w:t>
      </w:r>
      <w:r w:rsidR="00CD1F9A" w:rsidRPr="00706B3E">
        <w:rPr>
          <w:rFonts w:asciiTheme="minorBidi" w:hAnsiTheme="minorBidi" w:cstheme="minorBidi"/>
        </w:rPr>
        <w:t xml:space="preserve">. The sixth classification is dependent for its applicability not on the nature of the injury, but </w:t>
      </w:r>
      <w:r w:rsidR="00AB65EB" w:rsidRPr="00706B3E">
        <w:rPr>
          <w:rFonts w:asciiTheme="minorBidi" w:hAnsiTheme="minorBidi" w:cstheme="minorBidi"/>
        </w:rPr>
        <w:t xml:space="preserve">on </w:t>
      </w:r>
      <w:r w:rsidR="00CD1F9A" w:rsidRPr="00706B3E">
        <w:rPr>
          <w:rFonts w:asciiTheme="minorBidi" w:hAnsiTheme="minorBidi" w:cstheme="minorBidi"/>
        </w:rPr>
        <w:t xml:space="preserve">the effect of that injury, whatever it may be. It stands to reason that the legislature could not have thought of every type of injury that would lead to </w:t>
      </w:r>
      <w:r w:rsidR="007D25A0" w:rsidRPr="00706B3E">
        <w:rPr>
          <w:rFonts w:asciiTheme="minorBidi" w:hAnsiTheme="minorBidi" w:cstheme="minorBidi"/>
        </w:rPr>
        <w:t>100</w:t>
      </w:r>
      <w:r w:rsidR="00CD1F9A" w:rsidRPr="00706B3E">
        <w:rPr>
          <w:rFonts w:asciiTheme="minorBidi" w:hAnsiTheme="minorBidi" w:cstheme="minorBidi"/>
        </w:rPr>
        <w:t xml:space="preserve"> percent disablement. The range of human activity is vast and the possibility for misfortune </w:t>
      </w:r>
      <w:r w:rsidR="00A70246" w:rsidRPr="00706B3E">
        <w:rPr>
          <w:rFonts w:asciiTheme="minorBidi" w:hAnsiTheme="minorBidi" w:cstheme="minorBidi"/>
        </w:rPr>
        <w:t xml:space="preserve">is </w:t>
      </w:r>
      <w:r w:rsidR="00CD1F9A" w:rsidRPr="00706B3E">
        <w:rPr>
          <w:rFonts w:asciiTheme="minorBidi" w:hAnsiTheme="minorBidi" w:cstheme="minorBidi"/>
        </w:rPr>
        <w:t xml:space="preserve">virtually limitless. Any injury that results in </w:t>
      </w:r>
      <w:r w:rsidR="00A70246" w:rsidRPr="00706B3E">
        <w:rPr>
          <w:rFonts w:asciiTheme="minorBidi" w:hAnsiTheme="minorBidi" w:cstheme="minorBidi"/>
        </w:rPr>
        <w:t>100</w:t>
      </w:r>
      <w:r w:rsidR="00CD1F9A" w:rsidRPr="00706B3E">
        <w:rPr>
          <w:rFonts w:asciiTheme="minorBidi" w:hAnsiTheme="minorBidi" w:cstheme="minorBidi"/>
        </w:rPr>
        <w:t xml:space="preserve"> percent disablement </w:t>
      </w:r>
      <w:r w:rsidR="00AB65EB" w:rsidRPr="00706B3E">
        <w:rPr>
          <w:rFonts w:asciiTheme="minorBidi" w:hAnsiTheme="minorBidi" w:cstheme="minorBidi"/>
        </w:rPr>
        <w:t xml:space="preserve">thus </w:t>
      </w:r>
      <w:r w:rsidR="00CD1F9A" w:rsidRPr="00706B3E">
        <w:rPr>
          <w:rFonts w:asciiTheme="minorBidi" w:hAnsiTheme="minorBidi" w:cstheme="minorBidi"/>
        </w:rPr>
        <w:t>falls within the sixth classification, irrespective of the physical nature of the injury.</w:t>
      </w:r>
      <w:r w:rsidR="00214CD3" w:rsidRPr="00706B3E">
        <w:rPr>
          <w:rFonts w:asciiTheme="minorBidi" w:hAnsiTheme="minorBidi" w:cstheme="minorBidi"/>
        </w:rPr>
        <w:t xml:space="preserve"> It must be assumed that the sixth </w:t>
      </w:r>
      <w:r w:rsidR="00A70246" w:rsidRPr="00706B3E">
        <w:rPr>
          <w:rFonts w:asciiTheme="minorBidi" w:hAnsiTheme="minorBidi" w:cstheme="minorBidi"/>
        </w:rPr>
        <w:t xml:space="preserve">classification </w:t>
      </w:r>
      <w:r w:rsidR="00214CD3" w:rsidRPr="00706B3E">
        <w:rPr>
          <w:rFonts w:asciiTheme="minorBidi" w:hAnsiTheme="minorBidi" w:cstheme="minorBidi"/>
        </w:rPr>
        <w:t xml:space="preserve">was inserted in the schedule for a purpose. It seems to me that that purpose is to cater for injuries that were not initially thought of </w:t>
      </w:r>
      <w:r w:rsidR="004A6116" w:rsidRPr="00706B3E">
        <w:rPr>
          <w:rFonts w:asciiTheme="minorBidi" w:hAnsiTheme="minorBidi" w:cstheme="minorBidi"/>
        </w:rPr>
        <w:t xml:space="preserve">or capable of description </w:t>
      </w:r>
      <w:r w:rsidR="00214CD3" w:rsidRPr="00706B3E">
        <w:rPr>
          <w:rFonts w:asciiTheme="minorBidi" w:hAnsiTheme="minorBidi" w:cstheme="minorBidi"/>
        </w:rPr>
        <w:t xml:space="preserve">when the Act was conceived but which result in 100 percent </w:t>
      </w:r>
      <w:r w:rsidR="006245BB" w:rsidRPr="00706B3E">
        <w:rPr>
          <w:rFonts w:asciiTheme="minorBidi" w:hAnsiTheme="minorBidi" w:cstheme="minorBidi"/>
        </w:rPr>
        <w:t>disablement</w:t>
      </w:r>
      <w:r w:rsidR="00214CD3" w:rsidRPr="00706B3E">
        <w:rPr>
          <w:rFonts w:asciiTheme="minorBidi" w:hAnsiTheme="minorBidi" w:cstheme="minorBidi"/>
        </w:rPr>
        <w:t>.</w:t>
      </w:r>
      <w:r w:rsidR="00EA2590" w:rsidRPr="00706B3E">
        <w:rPr>
          <w:rFonts w:asciiTheme="minorBidi" w:hAnsiTheme="minorBidi" w:cstheme="minorBidi"/>
        </w:rPr>
        <w:t xml:space="preserve"> An </w:t>
      </w:r>
      <w:r w:rsidR="00A661C3" w:rsidRPr="00706B3E">
        <w:rPr>
          <w:rFonts w:asciiTheme="minorBidi" w:hAnsiTheme="minorBidi" w:cstheme="minorBidi"/>
        </w:rPr>
        <w:t xml:space="preserve">excessive </w:t>
      </w:r>
      <w:r w:rsidR="00EA2590" w:rsidRPr="00706B3E">
        <w:rPr>
          <w:rFonts w:asciiTheme="minorBidi" w:hAnsiTheme="minorBidi" w:cstheme="minorBidi"/>
        </w:rPr>
        <w:t xml:space="preserve">exposure to nuclear radiation may be </w:t>
      </w:r>
      <w:r w:rsidR="00A70246" w:rsidRPr="00706B3E">
        <w:rPr>
          <w:rFonts w:asciiTheme="minorBidi" w:hAnsiTheme="minorBidi" w:cstheme="minorBidi"/>
        </w:rPr>
        <w:t>one such</w:t>
      </w:r>
      <w:r w:rsidR="00EA2590" w:rsidRPr="00706B3E">
        <w:rPr>
          <w:rFonts w:asciiTheme="minorBidi" w:hAnsiTheme="minorBidi" w:cstheme="minorBidi"/>
        </w:rPr>
        <w:t xml:space="preserve"> example of this.</w:t>
      </w:r>
    </w:p>
    <w:p w14:paraId="39C2A845" w14:textId="77777777" w:rsidR="00A70246" w:rsidRPr="007B0DD3" w:rsidRDefault="00A70246" w:rsidP="00A70246">
      <w:pPr>
        <w:pStyle w:val="ListParagraph"/>
        <w:tabs>
          <w:tab w:val="left" w:pos="709"/>
        </w:tabs>
        <w:spacing w:line="360" w:lineRule="auto"/>
        <w:ind w:left="0"/>
        <w:jc w:val="both"/>
        <w:rPr>
          <w:rFonts w:asciiTheme="minorBidi" w:hAnsiTheme="minorBidi" w:cstheme="minorBidi"/>
        </w:rPr>
      </w:pPr>
    </w:p>
    <w:p w14:paraId="5601F622" w14:textId="24908503" w:rsidR="00214CD3"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[53]</w:t>
      </w:r>
      <w:r w:rsidRPr="007B0DD3">
        <w:rPr>
          <w:rFonts w:ascii="Arial" w:hAnsi="Arial" w:cstheme="minorBidi"/>
        </w:rPr>
        <w:tab/>
      </w:r>
      <w:r w:rsidR="00214CD3" w:rsidRPr="00706B3E">
        <w:rPr>
          <w:rFonts w:asciiTheme="minorBidi" w:hAnsiTheme="minorBidi" w:cstheme="minorBidi"/>
          <w:color w:val="000000" w:themeColor="text1"/>
        </w:rPr>
        <w:t xml:space="preserve">It is so that </w:t>
      </w:r>
      <w:r w:rsidR="00EA2590" w:rsidRPr="00706B3E">
        <w:rPr>
          <w:rFonts w:asciiTheme="minorBidi" w:hAnsiTheme="minorBidi" w:cstheme="minorBidi"/>
          <w:color w:val="000000" w:themeColor="text1"/>
        </w:rPr>
        <w:t>schedule 2 was</w:t>
      </w:r>
      <w:r w:rsidR="00214CD3" w:rsidRPr="00706B3E">
        <w:rPr>
          <w:rFonts w:asciiTheme="minorBidi" w:hAnsiTheme="minorBidi" w:cstheme="minorBidi"/>
          <w:color w:val="000000" w:themeColor="text1"/>
        </w:rPr>
        <w:t xml:space="preserve"> considered in </w:t>
      </w:r>
      <w:r w:rsidR="00214CD3" w:rsidRPr="00706B3E">
        <w:rPr>
          <w:rFonts w:asciiTheme="minorBidi" w:hAnsiTheme="minorBidi" w:cstheme="minorBidi"/>
          <w:i/>
          <w:iCs/>
          <w:color w:val="000000" w:themeColor="text1"/>
        </w:rPr>
        <w:t>Department of Labour: Compensation Commissioner v Botha</w:t>
      </w:r>
      <w:r w:rsidR="00EA2590" w:rsidRPr="00706B3E">
        <w:rPr>
          <w:rFonts w:asciiTheme="minorBidi" w:hAnsiTheme="minorBidi" w:cstheme="minorBidi"/>
          <w:color w:val="000000" w:themeColor="text1"/>
        </w:rPr>
        <w:t>,</w:t>
      </w:r>
      <w:r w:rsidR="00214CD3" w:rsidRPr="007B0DD3">
        <w:rPr>
          <w:rStyle w:val="FootnoteReference"/>
          <w:rFonts w:asciiTheme="minorBidi" w:hAnsiTheme="minorBidi" w:cstheme="minorBidi"/>
          <w:color w:val="000000" w:themeColor="text1"/>
        </w:rPr>
        <w:footnoteReference w:id="17"/>
      </w:r>
      <w:r w:rsidR="00EA2590" w:rsidRPr="00706B3E">
        <w:rPr>
          <w:rFonts w:asciiTheme="minorBidi" w:hAnsiTheme="minorBidi" w:cstheme="minorBidi"/>
          <w:color w:val="000000" w:themeColor="text1"/>
        </w:rPr>
        <w:t xml:space="preserve"> and, in particular, the provisions of the sixth </w:t>
      </w:r>
      <w:r w:rsidR="00A70246" w:rsidRPr="00706B3E">
        <w:rPr>
          <w:rFonts w:asciiTheme="minorBidi" w:hAnsiTheme="minorBidi" w:cstheme="minorBidi"/>
          <w:color w:val="000000" w:themeColor="text1"/>
        </w:rPr>
        <w:t>classification</w:t>
      </w:r>
      <w:r w:rsidR="00EA2590" w:rsidRPr="00706B3E">
        <w:rPr>
          <w:rFonts w:asciiTheme="minorBidi" w:hAnsiTheme="minorBidi" w:cstheme="minorBidi"/>
          <w:color w:val="000000" w:themeColor="text1"/>
        </w:rPr>
        <w:t>.</w:t>
      </w:r>
      <w:r w:rsidR="00214CD3" w:rsidRPr="00706B3E">
        <w:rPr>
          <w:rFonts w:asciiTheme="minorBidi" w:hAnsiTheme="minorBidi" w:cstheme="minorBidi"/>
          <w:color w:val="000000" w:themeColor="text1"/>
        </w:rPr>
        <w:t xml:space="preserve"> Nicholls JA</w:t>
      </w:r>
      <w:r w:rsidR="004A6116" w:rsidRPr="00706B3E">
        <w:rPr>
          <w:rFonts w:asciiTheme="minorBidi" w:hAnsiTheme="minorBidi" w:cstheme="minorBidi"/>
          <w:color w:val="000000" w:themeColor="text1"/>
        </w:rPr>
        <w:t xml:space="preserve"> stated the following:</w:t>
      </w:r>
    </w:p>
    <w:p w14:paraId="09B4C641" w14:textId="6BC12AE5" w:rsidR="004A6116" w:rsidRPr="007B0DD3" w:rsidRDefault="004A6116" w:rsidP="007B0DD3">
      <w:pPr>
        <w:spacing w:line="360" w:lineRule="auto"/>
        <w:jc w:val="both"/>
        <w:rPr>
          <w:rFonts w:asciiTheme="minorBidi" w:hAnsiTheme="minorBidi" w:cstheme="minorBidi"/>
          <w:color w:val="242121"/>
          <w:sz w:val="22"/>
          <w:szCs w:val="22"/>
          <w:lang w:val="en-GB"/>
        </w:rPr>
      </w:pPr>
      <w:r w:rsidRPr="007B0DD3">
        <w:rPr>
          <w:rFonts w:asciiTheme="minorBidi" w:hAnsiTheme="minorBidi" w:cstheme="minorBidi"/>
          <w:color w:val="242121"/>
          <w:sz w:val="22"/>
          <w:szCs w:val="22"/>
          <w:lang w:val="en-GB"/>
        </w:rPr>
        <w:t>‘It is inconceivable that any injury not listed in Schedule 2 should attract an award of 100% permanent disablement, irrespective of the nature of the injury. There are countless injuries which an employee may suffer in the workplace which are not listed in the Schedule. As pointed out by this Court, almost anything which unexpectedly causes illness, injury to, or death of, an employee falls within the concept of an accident. Should an injury, which is not listed in Schedule 2, befall an employee as a result of such an accident, this does not axiomatically mean that he or she is 100% disabled. The extent of the disability must be determined in light of the facts of the specific case and according to medical evidence.’</w:t>
      </w:r>
      <w:r w:rsidR="00585E62">
        <w:rPr>
          <w:rStyle w:val="FootnoteReference"/>
          <w:rFonts w:asciiTheme="minorBidi" w:hAnsiTheme="minorBidi" w:cstheme="minorBidi"/>
          <w:color w:val="242121"/>
          <w:sz w:val="22"/>
          <w:szCs w:val="22"/>
          <w:lang w:val="en-GB"/>
        </w:rPr>
        <w:footnoteReference w:id="18"/>
      </w:r>
      <w:r w:rsidR="00585E62">
        <w:rPr>
          <w:rFonts w:asciiTheme="minorBidi" w:hAnsiTheme="minorBidi" w:cstheme="minorBidi"/>
          <w:color w:val="242121"/>
          <w:sz w:val="22"/>
          <w:szCs w:val="22"/>
          <w:lang w:val="en-GB"/>
        </w:rPr>
        <w:t xml:space="preserve"> (Footnote omitted.)</w:t>
      </w:r>
    </w:p>
    <w:p w14:paraId="0DDC25DF" w14:textId="77777777" w:rsidR="004A6116" w:rsidRPr="007B0DD3" w:rsidRDefault="004A6116" w:rsidP="007B0DD3">
      <w:pPr>
        <w:spacing w:line="360" w:lineRule="auto"/>
        <w:jc w:val="both"/>
        <w:rPr>
          <w:rFonts w:asciiTheme="minorBidi" w:hAnsiTheme="minorBidi" w:cstheme="minorBidi"/>
        </w:rPr>
      </w:pPr>
    </w:p>
    <w:p w14:paraId="3AB05B33" w14:textId="42A059EA" w:rsidR="00CD1F9A" w:rsidRPr="00706B3E" w:rsidRDefault="00706B3E" w:rsidP="00706B3E">
      <w:pPr>
        <w:tabs>
          <w:tab w:val="left" w:pos="709"/>
        </w:tabs>
        <w:spacing w:line="360" w:lineRule="auto"/>
        <w:jc w:val="both"/>
        <w:rPr>
          <w:rFonts w:asciiTheme="minorBidi" w:hAnsiTheme="minorBidi" w:cstheme="minorBidi"/>
        </w:rPr>
      </w:pPr>
      <w:r>
        <w:rPr>
          <w:rFonts w:ascii="Arial" w:hAnsi="Arial" w:cstheme="minorBidi"/>
        </w:rPr>
        <w:lastRenderedPageBreak/>
        <w:t>[54]</w:t>
      </w:r>
      <w:r>
        <w:rPr>
          <w:rFonts w:ascii="Arial" w:hAnsi="Arial" w:cstheme="minorBidi"/>
        </w:rPr>
        <w:tab/>
      </w:r>
      <w:r w:rsidR="004A6116" w:rsidRPr="00706B3E">
        <w:rPr>
          <w:rFonts w:asciiTheme="minorBidi" w:hAnsiTheme="minorBidi" w:cstheme="minorBidi"/>
        </w:rPr>
        <w:t xml:space="preserve">In my view, this does not create an impediment to the </w:t>
      </w:r>
      <w:r w:rsidR="00A70246" w:rsidRPr="00706B3E">
        <w:rPr>
          <w:rFonts w:asciiTheme="minorBidi" w:hAnsiTheme="minorBidi" w:cstheme="minorBidi"/>
        </w:rPr>
        <w:t>success of the</w:t>
      </w:r>
      <w:r w:rsidR="004A6116" w:rsidRPr="00706B3E">
        <w:rPr>
          <w:rFonts w:asciiTheme="minorBidi" w:hAnsiTheme="minorBidi" w:cstheme="minorBidi"/>
        </w:rPr>
        <w:t xml:space="preserve"> </w:t>
      </w:r>
      <w:r w:rsidR="00EA2590" w:rsidRPr="00706B3E">
        <w:rPr>
          <w:rFonts w:asciiTheme="minorBidi" w:hAnsiTheme="minorBidi" w:cstheme="minorBidi"/>
        </w:rPr>
        <w:t>appeal</w:t>
      </w:r>
      <w:r w:rsidR="004A6116" w:rsidRPr="00706B3E">
        <w:rPr>
          <w:rFonts w:asciiTheme="minorBidi" w:hAnsiTheme="minorBidi" w:cstheme="minorBidi"/>
        </w:rPr>
        <w:t>.</w:t>
      </w:r>
      <w:r w:rsidR="00EA2590" w:rsidRPr="00706B3E">
        <w:rPr>
          <w:rFonts w:asciiTheme="minorBidi" w:hAnsiTheme="minorBidi" w:cstheme="minorBidi"/>
        </w:rPr>
        <w:t xml:space="preserve"> </w:t>
      </w:r>
      <w:r w:rsidR="00A661C3" w:rsidRPr="00706B3E">
        <w:rPr>
          <w:rFonts w:asciiTheme="minorBidi" w:hAnsiTheme="minorBidi" w:cstheme="minorBidi"/>
        </w:rPr>
        <w:t>The appellant’s case is not that because his injury is not listed in schedule 2 he is automatically 100</w:t>
      </w:r>
      <w:r w:rsidR="00A70246" w:rsidRPr="00706B3E">
        <w:rPr>
          <w:rFonts w:asciiTheme="minorBidi" w:hAnsiTheme="minorBidi" w:cstheme="minorBidi"/>
        </w:rPr>
        <w:t xml:space="preserve"> percent</w:t>
      </w:r>
      <w:r w:rsidR="00A661C3" w:rsidRPr="00706B3E">
        <w:rPr>
          <w:rFonts w:asciiTheme="minorBidi" w:hAnsiTheme="minorBidi" w:cstheme="minorBidi"/>
        </w:rPr>
        <w:t xml:space="preserve"> disabled, as alluded to in </w:t>
      </w:r>
      <w:r w:rsidR="00A661C3" w:rsidRPr="00706B3E">
        <w:rPr>
          <w:rFonts w:asciiTheme="minorBidi" w:hAnsiTheme="minorBidi" w:cstheme="minorBidi"/>
          <w:i/>
          <w:iCs/>
        </w:rPr>
        <w:t>Botha</w:t>
      </w:r>
      <w:r w:rsidR="00A661C3" w:rsidRPr="00706B3E">
        <w:rPr>
          <w:rFonts w:asciiTheme="minorBidi" w:hAnsiTheme="minorBidi" w:cstheme="minorBidi"/>
        </w:rPr>
        <w:t xml:space="preserve">. </w:t>
      </w:r>
      <w:r w:rsidR="00EA2590" w:rsidRPr="00706B3E">
        <w:rPr>
          <w:rFonts w:asciiTheme="minorBidi" w:hAnsiTheme="minorBidi" w:cstheme="minorBidi"/>
          <w:i/>
          <w:iCs/>
        </w:rPr>
        <w:t>Botha</w:t>
      </w:r>
      <w:r w:rsidR="00EA2590" w:rsidRPr="00706B3E">
        <w:rPr>
          <w:rFonts w:asciiTheme="minorBidi" w:hAnsiTheme="minorBidi" w:cstheme="minorBidi"/>
        </w:rPr>
        <w:t xml:space="preserve"> makes it plain that the extent of the </w:t>
      </w:r>
      <w:r w:rsidR="009A382F" w:rsidRPr="00706B3E">
        <w:rPr>
          <w:rFonts w:asciiTheme="minorBidi" w:hAnsiTheme="minorBidi" w:cstheme="minorBidi"/>
        </w:rPr>
        <w:t xml:space="preserve">disablement </w:t>
      </w:r>
      <w:r w:rsidR="00EA2590" w:rsidRPr="00706B3E">
        <w:rPr>
          <w:rFonts w:asciiTheme="minorBidi" w:hAnsiTheme="minorBidi" w:cstheme="minorBidi"/>
        </w:rPr>
        <w:t xml:space="preserve">must be determined </w:t>
      </w:r>
      <w:r w:rsidR="00F0655D" w:rsidRPr="00706B3E">
        <w:rPr>
          <w:rFonts w:asciiTheme="minorBidi" w:hAnsiTheme="minorBidi" w:cstheme="minorBidi"/>
        </w:rPr>
        <w:t xml:space="preserve">with </w:t>
      </w:r>
      <w:r w:rsidR="00EA2590" w:rsidRPr="00706B3E">
        <w:rPr>
          <w:rFonts w:asciiTheme="minorBidi" w:hAnsiTheme="minorBidi" w:cstheme="minorBidi"/>
        </w:rPr>
        <w:t xml:space="preserve">reference to </w:t>
      </w:r>
      <w:r w:rsidR="00A661C3" w:rsidRPr="00706B3E">
        <w:rPr>
          <w:rFonts w:asciiTheme="minorBidi" w:hAnsiTheme="minorBidi" w:cstheme="minorBidi"/>
        </w:rPr>
        <w:t xml:space="preserve">the </w:t>
      </w:r>
      <w:r w:rsidR="00EA2590" w:rsidRPr="00706B3E">
        <w:rPr>
          <w:rFonts w:asciiTheme="minorBidi" w:hAnsiTheme="minorBidi" w:cstheme="minorBidi"/>
        </w:rPr>
        <w:t xml:space="preserve">facts of the case, which </w:t>
      </w:r>
      <w:r w:rsidR="00A661C3" w:rsidRPr="00706B3E">
        <w:rPr>
          <w:rFonts w:asciiTheme="minorBidi" w:hAnsiTheme="minorBidi" w:cstheme="minorBidi"/>
        </w:rPr>
        <w:t xml:space="preserve">facts </w:t>
      </w:r>
      <w:r w:rsidR="00EA2590" w:rsidRPr="00706B3E">
        <w:rPr>
          <w:rFonts w:asciiTheme="minorBidi" w:hAnsiTheme="minorBidi" w:cstheme="minorBidi"/>
        </w:rPr>
        <w:t xml:space="preserve">would include the opinions of the medical experts who have ventured an opinion in the matter. In this case, only </w:t>
      </w:r>
      <w:r w:rsidR="002311E9" w:rsidRPr="00706B3E">
        <w:rPr>
          <w:rFonts w:asciiTheme="minorBidi" w:hAnsiTheme="minorBidi" w:cstheme="minorBidi"/>
        </w:rPr>
        <w:t>the appellant</w:t>
      </w:r>
      <w:r w:rsidR="00EA2590" w:rsidRPr="00706B3E">
        <w:rPr>
          <w:rFonts w:asciiTheme="minorBidi" w:hAnsiTheme="minorBidi" w:cstheme="minorBidi"/>
        </w:rPr>
        <w:t xml:space="preserve"> presented evidence</w:t>
      </w:r>
      <w:r w:rsidR="00A661C3" w:rsidRPr="00706B3E">
        <w:rPr>
          <w:rFonts w:asciiTheme="minorBidi" w:hAnsiTheme="minorBidi" w:cstheme="minorBidi"/>
        </w:rPr>
        <w:t xml:space="preserve">, none of which was </w:t>
      </w:r>
      <w:r w:rsidR="002311E9" w:rsidRPr="00706B3E">
        <w:rPr>
          <w:rFonts w:asciiTheme="minorBidi" w:hAnsiTheme="minorBidi" w:cstheme="minorBidi"/>
        </w:rPr>
        <w:t>disput</w:t>
      </w:r>
      <w:r w:rsidR="00A661C3" w:rsidRPr="00706B3E">
        <w:rPr>
          <w:rFonts w:asciiTheme="minorBidi" w:hAnsiTheme="minorBidi" w:cstheme="minorBidi"/>
        </w:rPr>
        <w:t>ed by the respondent</w:t>
      </w:r>
      <w:r w:rsidR="00EA2590" w:rsidRPr="00706B3E">
        <w:rPr>
          <w:rFonts w:asciiTheme="minorBidi" w:hAnsiTheme="minorBidi" w:cstheme="minorBidi"/>
        </w:rPr>
        <w:t>. His</w:t>
      </w:r>
      <w:r w:rsidR="00A661C3" w:rsidRPr="00706B3E">
        <w:rPr>
          <w:rFonts w:asciiTheme="minorBidi" w:hAnsiTheme="minorBidi" w:cstheme="minorBidi"/>
        </w:rPr>
        <w:t xml:space="preserve"> injury, whilst not mentioned in schedule 2, nonetheless</w:t>
      </w:r>
      <w:r w:rsidR="00EA2590" w:rsidRPr="00706B3E">
        <w:rPr>
          <w:rFonts w:asciiTheme="minorBidi" w:hAnsiTheme="minorBidi" w:cstheme="minorBidi"/>
        </w:rPr>
        <w:t xml:space="preserve"> thus falls within the sixth category mentioned in schedule 2</w:t>
      </w:r>
      <w:r w:rsidR="002311E9" w:rsidRPr="00706B3E">
        <w:rPr>
          <w:rFonts w:asciiTheme="minorBidi" w:hAnsiTheme="minorBidi" w:cstheme="minorBidi"/>
        </w:rPr>
        <w:t xml:space="preserve"> by virtue of the </w:t>
      </w:r>
      <w:r w:rsidR="00A70246" w:rsidRPr="00706B3E">
        <w:rPr>
          <w:rFonts w:asciiTheme="minorBidi" w:hAnsiTheme="minorBidi" w:cstheme="minorBidi"/>
        </w:rPr>
        <w:t>f</w:t>
      </w:r>
      <w:r w:rsidR="002311E9" w:rsidRPr="00706B3E">
        <w:rPr>
          <w:rFonts w:asciiTheme="minorBidi" w:hAnsiTheme="minorBidi" w:cstheme="minorBidi"/>
        </w:rPr>
        <w:t>act that he is totally permanently disabled</w:t>
      </w:r>
      <w:r w:rsidR="00EA2590" w:rsidRPr="00706B3E">
        <w:rPr>
          <w:rFonts w:asciiTheme="minorBidi" w:hAnsiTheme="minorBidi" w:cstheme="minorBidi"/>
        </w:rPr>
        <w:t>.</w:t>
      </w:r>
      <w:r w:rsidR="00A661C3" w:rsidRPr="00706B3E">
        <w:rPr>
          <w:rFonts w:asciiTheme="minorBidi" w:hAnsiTheme="minorBidi" w:cstheme="minorBidi"/>
        </w:rPr>
        <w:t xml:space="preserve"> </w:t>
      </w:r>
    </w:p>
    <w:p w14:paraId="276CE992" w14:textId="77777777" w:rsidR="00585E62" w:rsidRDefault="00585E62" w:rsidP="00985085">
      <w:pPr>
        <w:pStyle w:val="ListParagraph"/>
        <w:tabs>
          <w:tab w:val="left" w:pos="709"/>
        </w:tabs>
        <w:spacing w:line="360" w:lineRule="auto"/>
        <w:ind w:left="0"/>
        <w:jc w:val="both"/>
        <w:rPr>
          <w:rFonts w:asciiTheme="minorBidi" w:hAnsiTheme="minorBidi" w:cstheme="minorBidi"/>
        </w:rPr>
      </w:pPr>
    </w:p>
    <w:p w14:paraId="6BD943E3" w14:textId="5AAC0134" w:rsidR="00A70246"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[55]</w:t>
      </w:r>
      <w:r w:rsidRPr="007B0DD3">
        <w:rPr>
          <w:rFonts w:ascii="Arial" w:hAnsi="Arial" w:cstheme="minorBidi"/>
        </w:rPr>
        <w:tab/>
      </w:r>
      <w:r w:rsidR="00A70246" w:rsidRPr="00706B3E">
        <w:rPr>
          <w:rFonts w:asciiTheme="minorBidi" w:hAnsiTheme="minorBidi" w:cstheme="minorBidi"/>
        </w:rPr>
        <w:t>I must thus find that the appellant’s contention regarding the classification of his injury as falling within the sixth classification is correct.</w:t>
      </w:r>
    </w:p>
    <w:p w14:paraId="76D6BA77" w14:textId="195CA592" w:rsidR="00A661C3" w:rsidRDefault="00A661C3" w:rsidP="007B0DD3">
      <w:pPr>
        <w:pStyle w:val="ListParagraph"/>
        <w:tabs>
          <w:tab w:val="left" w:pos="709"/>
        </w:tabs>
        <w:spacing w:line="360" w:lineRule="auto"/>
        <w:ind w:left="0"/>
        <w:jc w:val="both"/>
        <w:rPr>
          <w:rFonts w:asciiTheme="minorBidi" w:hAnsiTheme="minorBidi" w:cstheme="minorBidi"/>
        </w:rPr>
      </w:pPr>
    </w:p>
    <w:p w14:paraId="6DF146AD" w14:textId="47C259D7" w:rsidR="009749B1" w:rsidRPr="007B0DD3" w:rsidRDefault="009749B1"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Costs</w:t>
      </w:r>
    </w:p>
    <w:p w14:paraId="65E8CE97" w14:textId="06D10FF2" w:rsidR="009749B1"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[56]</w:t>
      </w:r>
      <w:r w:rsidRPr="007B0DD3">
        <w:rPr>
          <w:rFonts w:ascii="Arial" w:hAnsi="Arial" w:cstheme="minorBidi"/>
        </w:rPr>
        <w:tab/>
      </w:r>
      <w:r w:rsidR="009749B1" w:rsidRPr="00706B3E">
        <w:rPr>
          <w:rFonts w:asciiTheme="minorBidi" w:hAnsiTheme="minorBidi" w:cstheme="minorBidi"/>
        </w:rPr>
        <w:t>Regarding the question of costs, the appellant argued that there is a duty on the State and its organs to</w:t>
      </w:r>
      <w:r w:rsidR="004C32AF" w:rsidRPr="00706B3E">
        <w:rPr>
          <w:rFonts w:asciiTheme="minorBidi" w:hAnsiTheme="minorBidi" w:cstheme="minorBidi"/>
        </w:rPr>
        <w:t xml:space="preserve"> both know the law and to</w:t>
      </w:r>
      <w:r w:rsidR="009749B1" w:rsidRPr="00706B3E">
        <w:rPr>
          <w:rFonts w:asciiTheme="minorBidi" w:hAnsiTheme="minorBidi" w:cstheme="minorBidi"/>
        </w:rPr>
        <w:t xml:space="preserve"> apply </w:t>
      </w:r>
      <w:r w:rsidR="004C32AF" w:rsidRPr="00706B3E">
        <w:rPr>
          <w:rFonts w:asciiTheme="minorBidi" w:hAnsiTheme="minorBidi" w:cstheme="minorBidi"/>
        </w:rPr>
        <w:t>it</w:t>
      </w:r>
      <w:r w:rsidR="009749B1" w:rsidRPr="00706B3E">
        <w:rPr>
          <w:rFonts w:asciiTheme="minorBidi" w:hAnsiTheme="minorBidi" w:cstheme="minorBidi"/>
        </w:rPr>
        <w:t xml:space="preserve"> properly. In this instance it has not done so. It was submitted on behalf of the appellant </w:t>
      </w:r>
      <w:r w:rsidR="006E3D41" w:rsidRPr="00706B3E">
        <w:rPr>
          <w:rFonts w:asciiTheme="minorBidi" w:hAnsiTheme="minorBidi" w:cstheme="minorBidi"/>
        </w:rPr>
        <w:t xml:space="preserve">that he has </w:t>
      </w:r>
      <w:r w:rsidR="009749B1" w:rsidRPr="00706B3E">
        <w:rPr>
          <w:rFonts w:asciiTheme="minorBidi" w:hAnsiTheme="minorBidi" w:cstheme="minorBidi"/>
        </w:rPr>
        <w:t>been put to the expense of this appeal and should not be out of pocket because this has occurred</w:t>
      </w:r>
      <w:r w:rsidR="006E3D41" w:rsidRPr="00706B3E">
        <w:rPr>
          <w:rFonts w:asciiTheme="minorBidi" w:hAnsiTheme="minorBidi" w:cstheme="minorBidi"/>
        </w:rPr>
        <w:t>, it being contended that the scale of those costs should be on the attorney and own client scale.</w:t>
      </w:r>
      <w:r w:rsidR="009749B1" w:rsidRPr="00706B3E">
        <w:rPr>
          <w:rFonts w:asciiTheme="minorBidi" w:hAnsiTheme="minorBidi" w:cstheme="minorBidi"/>
        </w:rPr>
        <w:t xml:space="preserve"> </w:t>
      </w:r>
      <w:r w:rsidR="006E3D41" w:rsidRPr="00706B3E">
        <w:rPr>
          <w:rFonts w:asciiTheme="minorBidi" w:hAnsiTheme="minorBidi" w:cstheme="minorBidi"/>
        </w:rPr>
        <w:t xml:space="preserve">I am in agreement with all these submissions, save the scale of the costs to be awarded. In </w:t>
      </w:r>
      <w:r w:rsidR="006E3D41" w:rsidRPr="00706B3E">
        <w:rPr>
          <w:rFonts w:asciiTheme="minorBidi" w:hAnsiTheme="minorBidi" w:cstheme="minorBidi"/>
          <w:i/>
          <w:iCs/>
        </w:rPr>
        <w:t>Botha</w:t>
      </w:r>
      <w:r w:rsidR="006E3D41" w:rsidRPr="00706B3E">
        <w:rPr>
          <w:rFonts w:asciiTheme="minorBidi" w:hAnsiTheme="minorBidi" w:cstheme="minorBidi"/>
        </w:rPr>
        <w:t>, where the delay by the respondent in finalising the appellant’s claim was described as being ‘unconscionable</w:t>
      </w:r>
      <w:r w:rsidR="004C32AF" w:rsidRPr="00706B3E">
        <w:rPr>
          <w:rFonts w:asciiTheme="minorBidi" w:hAnsiTheme="minorBidi" w:cstheme="minorBidi"/>
        </w:rPr>
        <w:t>’</w:t>
      </w:r>
      <w:r w:rsidR="006E3D41" w:rsidRPr="00706B3E">
        <w:rPr>
          <w:rFonts w:asciiTheme="minorBidi" w:hAnsiTheme="minorBidi" w:cstheme="minorBidi"/>
        </w:rPr>
        <w:t>, the Supreme Court of Appeal agreed that the appellant should not be out of pocket but only awarded costs on the party and party scale.</w:t>
      </w:r>
      <w:r w:rsidR="007B0DD3" w:rsidRPr="007B0DD3">
        <w:rPr>
          <w:rStyle w:val="FootnoteReference"/>
          <w:rFonts w:asciiTheme="minorBidi" w:hAnsiTheme="minorBidi" w:cstheme="minorBidi"/>
        </w:rPr>
        <w:footnoteReference w:id="19"/>
      </w:r>
      <w:r w:rsidR="006E3D41" w:rsidRPr="00706B3E">
        <w:rPr>
          <w:rFonts w:asciiTheme="minorBidi" w:hAnsiTheme="minorBidi" w:cstheme="minorBidi"/>
        </w:rPr>
        <w:t xml:space="preserve"> </w:t>
      </w:r>
      <w:r w:rsidR="004C32AF" w:rsidRPr="00706B3E">
        <w:rPr>
          <w:rFonts w:asciiTheme="minorBidi" w:hAnsiTheme="minorBidi" w:cstheme="minorBidi"/>
        </w:rPr>
        <w:t>I am unpersuaded that merely being incorrect attracts a punitive costs order in the absence of any mala fide conduct.</w:t>
      </w:r>
    </w:p>
    <w:p w14:paraId="2AF3CC13" w14:textId="2DB5E3FD" w:rsidR="009749B1" w:rsidRDefault="009749B1" w:rsidP="007B0DD3">
      <w:pPr>
        <w:pStyle w:val="ListParagraph"/>
        <w:tabs>
          <w:tab w:val="left" w:pos="709"/>
        </w:tabs>
        <w:spacing w:line="360" w:lineRule="auto"/>
        <w:ind w:left="0"/>
        <w:jc w:val="both"/>
        <w:rPr>
          <w:rFonts w:asciiTheme="minorBidi" w:hAnsiTheme="minorBidi" w:cstheme="minorBidi"/>
        </w:rPr>
      </w:pPr>
    </w:p>
    <w:p w14:paraId="71191279" w14:textId="7456ADC0" w:rsidR="006E3D41" w:rsidRPr="007B0DD3" w:rsidRDefault="006E3D41" w:rsidP="007B0DD3">
      <w:pPr>
        <w:pStyle w:val="ListParagraph"/>
        <w:tabs>
          <w:tab w:val="left" w:pos="709"/>
        </w:tabs>
        <w:spacing w:line="360" w:lineRule="auto"/>
        <w:ind w:left="0"/>
        <w:jc w:val="both"/>
        <w:rPr>
          <w:rFonts w:asciiTheme="minorBidi" w:hAnsiTheme="minorBidi" w:cstheme="minorBidi"/>
          <w:b/>
          <w:bCs/>
        </w:rPr>
      </w:pPr>
      <w:r w:rsidRPr="007B0DD3">
        <w:rPr>
          <w:rFonts w:asciiTheme="minorBidi" w:hAnsiTheme="minorBidi" w:cstheme="minorBidi"/>
          <w:b/>
          <w:bCs/>
        </w:rPr>
        <w:t xml:space="preserve">Conclusion </w:t>
      </w:r>
    </w:p>
    <w:p w14:paraId="29DE55B3" w14:textId="0075C336" w:rsidR="00FE0E9B"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[57]</w:t>
      </w:r>
      <w:r w:rsidRPr="007B0DD3">
        <w:rPr>
          <w:rFonts w:ascii="Arial" w:hAnsi="Arial" w:cstheme="minorBidi"/>
        </w:rPr>
        <w:tab/>
      </w:r>
      <w:r w:rsidR="00E06B98" w:rsidRPr="00706B3E">
        <w:rPr>
          <w:rFonts w:asciiTheme="minorBidi" w:hAnsiTheme="minorBidi" w:cstheme="minorBidi"/>
        </w:rPr>
        <w:t xml:space="preserve">In </w:t>
      </w:r>
      <w:r w:rsidR="00CD1F9A" w:rsidRPr="00706B3E">
        <w:rPr>
          <w:rFonts w:asciiTheme="minorBidi" w:hAnsiTheme="minorBidi" w:cstheme="minorBidi"/>
        </w:rPr>
        <w:t xml:space="preserve">my view, it was undisputed that the injury sustained by the appellant arose from the stressful events that he experienced on 14 January 2015. </w:t>
      </w:r>
      <w:r w:rsidR="00E668F3" w:rsidRPr="00706B3E">
        <w:rPr>
          <w:rFonts w:asciiTheme="minorBidi" w:hAnsiTheme="minorBidi" w:cstheme="minorBidi"/>
        </w:rPr>
        <w:t xml:space="preserve">It was thus caused by an accident contemplated by the Act. </w:t>
      </w:r>
      <w:r w:rsidR="008102B7" w:rsidRPr="00706B3E">
        <w:rPr>
          <w:rFonts w:asciiTheme="minorBidi" w:hAnsiTheme="minorBidi" w:cstheme="minorBidi"/>
        </w:rPr>
        <w:t xml:space="preserve">His PTSD rendered him totally unfit to continue with his employment and it was also undisputed that he was certified as being </w:t>
      </w:r>
      <w:r w:rsidR="007B0DD3" w:rsidRPr="00706B3E">
        <w:rPr>
          <w:rFonts w:asciiTheme="minorBidi" w:hAnsiTheme="minorBidi" w:cstheme="minorBidi"/>
        </w:rPr>
        <w:lastRenderedPageBreak/>
        <w:t>100</w:t>
      </w:r>
      <w:r w:rsidR="008102B7" w:rsidRPr="00706B3E">
        <w:rPr>
          <w:rFonts w:asciiTheme="minorBidi" w:hAnsiTheme="minorBidi" w:cstheme="minorBidi"/>
        </w:rPr>
        <w:t xml:space="preserve"> percent disabled. His condition </w:t>
      </w:r>
      <w:r w:rsidR="00C81156" w:rsidRPr="00706B3E">
        <w:rPr>
          <w:rFonts w:asciiTheme="minorBidi" w:hAnsiTheme="minorBidi" w:cstheme="minorBidi"/>
        </w:rPr>
        <w:t xml:space="preserve">accordingly </w:t>
      </w:r>
      <w:r w:rsidR="008102B7" w:rsidRPr="00706B3E">
        <w:rPr>
          <w:rFonts w:asciiTheme="minorBidi" w:hAnsiTheme="minorBidi" w:cstheme="minorBidi"/>
        </w:rPr>
        <w:t>fell within the sixth classification in schedule</w:t>
      </w:r>
      <w:r w:rsidR="000D3F10" w:rsidRPr="00706B3E">
        <w:rPr>
          <w:rFonts w:asciiTheme="minorBidi" w:hAnsiTheme="minorBidi" w:cstheme="minorBidi"/>
        </w:rPr>
        <w:t xml:space="preserve"> 2</w:t>
      </w:r>
      <w:r w:rsidR="008102B7" w:rsidRPr="00706B3E">
        <w:rPr>
          <w:rFonts w:asciiTheme="minorBidi" w:hAnsiTheme="minorBidi" w:cstheme="minorBidi"/>
        </w:rPr>
        <w:t xml:space="preserve"> to the Act. There was accordingly no need for the respondent</w:t>
      </w:r>
      <w:r w:rsidR="00F008DE" w:rsidRPr="00706B3E">
        <w:rPr>
          <w:rFonts w:asciiTheme="minorBidi" w:hAnsiTheme="minorBidi" w:cstheme="minorBidi"/>
        </w:rPr>
        <w:t xml:space="preserve"> </w:t>
      </w:r>
      <w:r w:rsidR="008102B7" w:rsidRPr="00706B3E">
        <w:rPr>
          <w:rFonts w:asciiTheme="minorBidi" w:hAnsiTheme="minorBidi" w:cstheme="minorBidi"/>
        </w:rPr>
        <w:t>to rely on the circular and the fact that it did</w:t>
      </w:r>
      <w:r w:rsidR="000D3F10" w:rsidRPr="00706B3E">
        <w:rPr>
          <w:rFonts w:asciiTheme="minorBidi" w:hAnsiTheme="minorBidi" w:cstheme="minorBidi"/>
        </w:rPr>
        <w:t>,</w:t>
      </w:r>
      <w:r w:rsidR="008102B7" w:rsidRPr="00706B3E">
        <w:rPr>
          <w:rFonts w:asciiTheme="minorBidi" w:hAnsiTheme="minorBidi" w:cstheme="minorBidi"/>
        </w:rPr>
        <w:t xml:space="preserve"> meant that it misinterpreted the provisions of the Act. The appeal must therefore succeed.</w:t>
      </w:r>
    </w:p>
    <w:p w14:paraId="31C7E42D" w14:textId="0C60670A" w:rsidR="00015D7A" w:rsidRPr="007B0DD3" w:rsidRDefault="008102B7" w:rsidP="00ED21CE">
      <w:pPr>
        <w:pStyle w:val="ListParagraph"/>
        <w:tabs>
          <w:tab w:val="left" w:pos="709"/>
        </w:tabs>
        <w:spacing w:line="360" w:lineRule="auto"/>
        <w:ind w:left="0"/>
        <w:jc w:val="both"/>
        <w:rPr>
          <w:rFonts w:asciiTheme="minorBidi" w:hAnsiTheme="minorBidi" w:cstheme="minorBidi"/>
        </w:rPr>
      </w:pPr>
      <w:r w:rsidRPr="007B0DD3">
        <w:rPr>
          <w:rFonts w:asciiTheme="minorBidi" w:hAnsiTheme="minorBidi" w:cstheme="minorBidi"/>
        </w:rPr>
        <w:t xml:space="preserve"> </w:t>
      </w:r>
    </w:p>
    <w:p w14:paraId="5C8956FB" w14:textId="03258AFD" w:rsidR="00E06B98" w:rsidRPr="00706B3E" w:rsidRDefault="00706B3E" w:rsidP="00706B3E">
      <w:pPr>
        <w:tabs>
          <w:tab w:val="left" w:pos="709"/>
        </w:tabs>
        <w:spacing w:line="360" w:lineRule="auto"/>
        <w:jc w:val="both"/>
        <w:rPr>
          <w:rFonts w:asciiTheme="minorBidi" w:hAnsiTheme="minorBidi" w:cstheme="minorBidi"/>
        </w:rPr>
      </w:pPr>
      <w:r w:rsidRPr="007B0DD3">
        <w:rPr>
          <w:rFonts w:ascii="Arial" w:hAnsi="Arial" w:cstheme="minorBidi"/>
        </w:rPr>
        <w:t>[58]</w:t>
      </w:r>
      <w:r w:rsidRPr="007B0DD3">
        <w:rPr>
          <w:rFonts w:ascii="Arial" w:hAnsi="Arial" w:cstheme="minorBidi"/>
        </w:rPr>
        <w:tab/>
      </w:r>
      <w:r w:rsidR="00C652BD" w:rsidRPr="00706B3E">
        <w:rPr>
          <w:rFonts w:asciiTheme="minorBidi" w:hAnsiTheme="minorBidi" w:cstheme="minorBidi"/>
        </w:rPr>
        <w:t xml:space="preserve">In all the circumstances, I </w:t>
      </w:r>
      <w:r w:rsidR="00015D7A" w:rsidRPr="00706B3E">
        <w:rPr>
          <w:rFonts w:asciiTheme="minorBidi" w:hAnsiTheme="minorBidi" w:cstheme="minorBidi"/>
        </w:rPr>
        <w:t xml:space="preserve">would propose that the appeal be upheld </w:t>
      </w:r>
      <w:r w:rsidR="0088498F" w:rsidRPr="00706B3E">
        <w:rPr>
          <w:rFonts w:asciiTheme="minorBidi" w:hAnsiTheme="minorBidi" w:cstheme="minorBidi"/>
        </w:rPr>
        <w:t>in the following terms:</w:t>
      </w:r>
    </w:p>
    <w:p w14:paraId="47952F28" w14:textId="2FFF8CDF" w:rsidR="0088498F" w:rsidRPr="00706B3E" w:rsidRDefault="00706B3E" w:rsidP="00706B3E">
      <w:pPr>
        <w:tabs>
          <w:tab w:val="left" w:pos="709"/>
        </w:tabs>
        <w:spacing w:line="360" w:lineRule="auto"/>
        <w:jc w:val="both"/>
        <w:rPr>
          <w:rFonts w:asciiTheme="minorBidi" w:hAnsiTheme="minorBidi" w:cstheme="minorBidi"/>
        </w:rPr>
      </w:pPr>
      <w:r w:rsidRPr="007B0DD3">
        <w:rPr>
          <w:rFonts w:asciiTheme="minorBidi" w:hAnsiTheme="minorBidi" w:cstheme="minorBidi"/>
        </w:rPr>
        <w:t>1.</w:t>
      </w:r>
      <w:r w:rsidRPr="007B0DD3">
        <w:rPr>
          <w:rFonts w:asciiTheme="minorBidi" w:hAnsiTheme="minorBidi" w:cstheme="minorBidi"/>
        </w:rPr>
        <w:tab/>
      </w:r>
      <w:r w:rsidR="0088498F" w:rsidRPr="00706B3E">
        <w:rPr>
          <w:rFonts w:asciiTheme="minorBidi" w:hAnsiTheme="minorBidi" w:cstheme="minorBidi"/>
        </w:rPr>
        <w:t>The appeal succeeds.</w:t>
      </w:r>
    </w:p>
    <w:p w14:paraId="413EDC76" w14:textId="5015E11F" w:rsidR="0088498F" w:rsidRPr="00706B3E" w:rsidRDefault="00706B3E" w:rsidP="00706B3E">
      <w:pPr>
        <w:tabs>
          <w:tab w:val="left" w:pos="709"/>
        </w:tabs>
        <w:spacing w:line="360" w:lineRule="auto"/>
        <w:ind w:left="709" w:hanging="709"/>
        <w:jc w:val="both"/>
        <w:rPr>
          <w:rFonts w:asciiTheme="minorBidi" w:hAnsiTheme="minorBidi" w:cstheme="minorBidi"/>
        </w:rPr>
      </w:pPr>
      <w:r w:rsidRPr="007B0DD3">
        <w:rPr>
          <w:rFonts w:asciiTheme="minorBidi" w:hAnsiTheme="minorBidi" w:cstheme="minorBidi"/>
        </w:rPr>
        <w:t>2.</w:t>
      </w:r>
      <w:r w:rsidRPr="007B0DD3">
        <w:rPr>
          <w:rFonts w:asciiTheme="minorBidi" w:hAnsiTheme="minorBidi" w:cstheme="minorBidi"/>
        </w:rPr>
        <w:tab/>
      </w:r>
      <w:r w:rsidR="0088498F" w:rsidRPr="00706B3E">
        <w:rPr>
          <w:rFonts w:asciiTheme="minorBidi" w:hAnsiTheme="minorBidi" w:cstheme="minorBidi"/>
        </w:rPr>
        <w:t xml:space="preserve">The decision of the tribunal dated 4 </w:t>
      </w:r>
      <w:r w:rsidR="00C81156" w:rsidRPr="00706B3E">
        <w:rPr>
          <w:rFonts w:asciiTheme="minorBidi" w:hAnsiTheme="minorBidi" w:cstheme="minorBidi"/>
        </w:rPr>
        <w:t>M</w:t>
      </w:r>
      <w:r w:rsidR="0088498F" w:rsidRPr="00706B3E">
        <w:rPr>
          <w:rFonts w:asciiTheme="minorBidi" w:hAnsiTheme="minorBidi" w:cstheme="minorBidi"/>
        </w:rPr>
        <w:t>arch 2022 is set aside and substituted with the following order:</w:t>
      </w:r>
    </w:p>
    <w:p w14:paraId="239C66EC" w14:textId="617D8518" w:rsidR="0088498F" w:rsidRPr="007B0DD3" w:rsidRDefault="0088498F" w:rsidP="007B0DD3">
      <w:pPr>
        <w:tabs>
          <w:tab w:val="left" w:pos="709"/>
        </w:tabs>
        <w:spacing w:line="360" w:lineRule="auto"/>
        <w:ind w:left="709"/>
        <w:jc w:val="both"/>
        <w:rPr>
          <w:rFonts w:asciiTheme="minorBidi" w:hAnsiTheme="minorBidi" w:cstheme="minorBidi"/>
        </w:rPr>
      </w:pPr>
      <w:r w:rsidRPr="007B0DD3">
        <w:rPr>
          <w:rFonts w:asciiTheme="minorBidi" w:hAnsiTheme="minorBidi" w:cstheme="minorBidi"/>
        </w:rPr>
        <w:tab/>
        <w:t xml:space="preserve">‘The Objector’s objection succeeds, with costs on the scale as between </w:t>
      </w:r>
      <w:r w:rsidR="007B0DD3" w:rsidRPr="007B0DD3">
        <w:rPr>
          <w:rFonts w:asciiTheme="minorBidi" w:hAnsiTheme="minorBidi" w:cstheme="minorBidi"/>
        </w:rPr>
        <w:t>party and party</w:t>
      </w:r>
      <w:r w:rsidRPr="007B0DD3">
        <w:rPr>
          <w:rFonts w:asciiTheme="minorBidi" w:hAnsiTheme="minorBidi" w:cstheme="minorBidi"/>
        </w:rPr>
        <w:t xml:space="preserve">, and the Award of Compensation dated 28 August 2019 is set aside and replaced with the following order: </w:t>
      </w:r>
    </w:p>
    <w:p w14:paraId="42252D39" w14:textId="7D5ED6A7" w:rsidR="0088498F" w:rsidRPr="00706B3E" w:rsidRDefault="00706B3E" w:rsidP="00706B3E">
      <w:pPr>
        <w:tabs>
          <w:tab w:val="left" w:pos="709"/>
        </w:tabs>
        <w:spacing w:line="360" w:lineRule="auto"/>
        <w:ind w:left="709"/>
        <w:jc w:val="both"/>
        <w:rPr>
          <w:rFonts w:asciiTheme="minorBidi" w:hAnsiTheme="minorBidi" w:cstheme="minorBidi"/>
        </w:rPr>
      </w:pPr>
      <w:r w:rsidRPr="007B0DD3">
        <w:rPr>
          <w:rFonts w:asciiTheme="minorBidi" w:hAnsiTheme="minorBidi" w:cstheme="minorBidi"/>
          <w:iCs/>
        </w:rPr>
        <w:t>(a)</w:t>
      </w:r>
      <w:r w:rsidRPr="007B0DD3">
        <w:rPr>
          <w:rFonts w:asciiTheme="minorBidi" w:hAnsiTheme="minorBidi" w:cstheme="minorBidi"/>
          <w:iCs/>
        </w:rPr>
        <w:tab/>
      </w:r>
      <w:r w:rsidR="0088498F" w:rsidRPr="00706B3E">
        <w:rPr>
          <w:rFonts w:asciiTheme="minorBidi" w:hAnsiTheme="minorBidi" w:cstheme="minorBidi"/>
        </w:rPr>
        <w:t>The Compensation Commissioner is ordered to publish to the Objector’s attorneys and to his erstwhile employer (the SAPS) within twenty (20) days of this order, a written Superseding Award of Compensation, in favour of the Objector, in the following terms:</w:t>
      </w:r>
    </w:p>
    <w:p w14:paraId="2744B41B" w14:textId="751C6B27" w:rsidR="0088498F" w:rsidRPr="00706B3E" w:rsidRDefault="00706B3E" w:rsidP="00706B3E">
      <w:pPr>
        <w:tabs>
          <w:tab w:val="left" w:pos="1418"/>
        </w:tabs>
        <w:spacing w:line="360" w:lineRule="auto"/>
        <w:ind w:left="1418" w:hanging="709"/>
        <w:jc w:val="both"/>
        <w:rPr>
          <w:rFonts w:asciiTheme="minorBidi" w:hAnsiTheme="minorBidi" w:cstheme="minorBidi"/>
        </w:rPr>
      </w:pPr>
      <w:r w:rsidRPr="007B0DD3">
        <w:rPr>
          <w:rFonts w:asciiTheme="minorBidi" w:hAnsiTheme="minorBidi" w:cstheme="minorBidi"/>
        </w:rPr>
        <w:t>(i)</w:t>
      </w:r>
      <w:r w:rsidRPr="007B0DD3">
        <w:rPr>
          <w:rFonts w:asciiTheme="minorBidi" w:hAnsiTheme="minorBidi" w:cstheme="minorBidi"/>
        </w:rPr>
        <w:tab/>
      </w:r>
      <w:r w:rsidR="0088498F" w:rsidRPr="00706B3E">
        <w:rPr>
          <w:rFonts w:asciiTheme="minorBidi" w:hAnsiTheme="minorBidi" w:cstheme="minorBidi"/>
        </w:rPr>
        <w:t>That his earnings for the purposes of calculating the compensation due to him remains unchanged at R25 088.48;</w:t>
      </w:r>
    </w:p>
    <w:p w14:paraId="11BE45D4" w14:textId="528A14BA" w:rsidR="0088498F" w:rsidRPr="00706B3E" w:rsidRDefault="00706B3E" w:rsidP="00706B3E">
      <w:pPr>
        <w:tabs>
          <w:tab w:val="left" w:pos="1418"/>
        </w:tabs>
        <w:spacing w:line="360" w:lineRule="auto"/>
        <w:ind w:left="1418" w:hanging="709"/>
        <w:jc w:val="both"/>
        <w:rPr>
          <w:rFonts w:asciiTheme="minorBidi" w:hAnsiTheme="minorBidi" w:cstheme="minorBidi"/>
        </w:rPr>
      </w:pPr>
      <w:r w:rsidRPr="007B0DD3">
        <w:rPr>
          <w:rFonts w:asciiTheme="minorBidi" w:hAnsiTheme="minorBidi" w:cstheme="minorBidi"/>
        </w:rPr>
        <w:t>(ii)</w:t>
      </w:r>
      <w:r w:rsidRPr="007B0DD3">
        <w:rPr>
          <w:rFonts w:asciiTheme="minorBidi" w:hAnsiTheme="minorBidi" w:cstheme="minorBidi"/>
        </w:rPr>
        <w:tab/>
      </w:r>
      <w:r w:rsidR="0088498F" w:rsidRPr="00706B3E">
        <w:rPr>
          <w:rFonts w:asciiTheme="minorBidi" w:hAnsiTheme="minorBidi" w:cstheme="minorBidi"/>
        </w:rPr>
        <w:t>That the commencement date of compensation, in the form of a monthly pension, remains unchanged at 14 January 2015;</w:t>
      </w:r>
    </w:p>
    <w:p w14:paraId="4B899D92" w14:textId="57440728" w:rsidR="0088498F" w:rsidRPr="00706B3E" w:rsidRDefault="00706B3E" w:rsidP="00706B3E">
      <w:pPr>
        <w:tabs>
          <w:tab w:val="left" w:pos="1418"/>
        </w:tabs>
        <w:spacing w:line="360" w:lineRule="auto"/>
        <w:ind w:left="1425" w:hanging="709"/>
        <w:jc w:val="both"/>
        <w:rPr>
          <w:rFonts w:asciiTheme="minorBidi" w:hAnsiTheme="minorBidi" w:cstheme="minorBidi"/>
        </w:rPr>
      </w:pPr>
      <w:r w:rsidRPr="007B0DD3">
        <w:rPr>
          <w:rFonts w:asciiTheme="minorBidi" w:hAnsiTheme="minorBidi" w:cstheme="minorBidi"/>
        </w:rPr>
        <w:t>(iii)</w:t>
      </w:r>
      <w:r w:rsidRPr="007B0DD3">
        <w:rPr>
          <w:rFonts w:asciiTheme="minorBidi" w:hAnsiTheme="minorBidi" w:cstheme="minorBidi"/>
        </w:rPr>
        <w:tab/>
      </w:r>
      <w:r w:rsidR="0088498F" w:rsidRPr="00706B3E">
        <w:rPr>
          <w:rFonts w:asciiTheme="minorBidi" w:hAnsiTheme="minorBidi" w:cstheme="minorBidi"/>
        </w:rPr>
        <w:t>That the percentage of the Objector’s disablement is determined at 100 percent;</w:t>
      </w:r>
    </w:p>
    <w:p w14:paraId="2C0C6181" w14:textId="0077287B" w:rsidR="0088498F" w:rsidRPr="00706B3E" w:rsidRDefault="00706B3E" w:rsidP="00706B3E">
      <w:pPr>
        <w:tabs>
          <w:tab w:val="left" w:pos="1418"/>
        </w:tabs>
        <w:spacing w:line="360" w:lineRule="auto"/>
        <w:ind w:left="1418" w:hanging="709"/>
        <w:jc w:val="both"/>
        <w:rPr>
          <w:rFonts w:asciiTheme="minorBidi" w:hAnsiTheme="minorBidi" w:cstheme="minorBidi"/>
        </w:rPr>
      </w:pPr>
      <w:r w:rsidRPr="007B0DD3">
        <w:rPr>
          <w:rFonts w:asciiTheme="minorBidi" w:hAnsiTheme="minorBidi" w:cstheme="minorBidi"/>
        </w:rPr>
        <w:t>(iv)</w:t>
      </w:r>
      <w:r w:rsidRPr="007B0DD3">
        <w:rPr>
          <w:rFonts w:asciiTheme="minorBidi" w:hAnsiTheme="minorBidi" w:cstheme="minorBidi"/>
        </w:rPr>
        <w:tab/>
      </w:r>
      <w:r w:rsidR="0088498F" w:rsidRPr="00706B3E">
        <w:rPr>
          <w:rFonts w:asciiTheme="minorBidi" w:hAnsiTheme="minorBidi" w:cstheme="minorBidi"/>
        </w:rPr>
        <w:t>That the annual increases to the monthly pension accrues from 14 January 2015 onward;</w:t>
      </w:r>
      <w:r w:rsidR="00CA1FE6" w:rsidRPr="00706B3E">
        <w:rPr>
          <w:rFonts w:asciiTheme="minorBidi" w:hAnsiTheme="minorBidi" w:cstheme="minorBidi"/>
        </w:rPr>
        <w:t>’</w:t>
      </w:r>
    </w:p>
    <w:p w14:paraId="7205517A" w14:textId="0FA07317" w:rsidR="0088498F" w:rsidRPr="00706B3E" w:rsidRDefault="00706B3E" w:rsidP="00706B3E">
      <w:pPr>
        <w:tabs>
          <w:tab w:val="left" w:pos="709"/>
        </w:tabs>
        <w:spacing w:line="360" w:lineRule="auto"/>
        <w:jc w:val="both"/>
        <w:rPr>
          <w:rFonts w:asciiTheme="minorBidi" w:hAnsiTheme="minorBidi" w:cstheme="minorBidi"/>
        </w:rPr>
      </w:pPr>
      <w:r w:rsidRPr="007B0DD3">
        <w:rPr>
          <w:rFonts w:asciiTheme="minorBidi" w:hAnsiTheme="minorBidi" w:cstheme="minorBidi"/>
        </w:rPr>
        <w:t>3.</w:t>
      </w:r>
      <w:r w:rsidRPr="007B0DD3">
        <w:rPr>
          <w:rFonts w:asciiTheme="minorBidi" w:hAnsiTheme="minorBidi" w:cstheme="minorBidi"/>
        </w:rPr>
        <w:tab/>
      </w:r>
      <w:r w:rsidR="0088498F" w:rsidRPr="00706B3E">
        <w:rPr>
          <w:rFonts w:asciiTheme="minorBidi" w:hAnsiTheme="minorBidi" w:cstheme="minorBidi"/>
        </w:rPr>
        <w:t xml:space="preserve">The respondent shall pay interest at the rate of 10,25 percent on the amount of compensation payable </w:t>
      </w:r>
      <w:r w:rsidR="0088498F" w:rsidRPr="00706B3E">
        <w:rPr>
          <w:rFonts w:asciiTheme="minorBidi" w:hAnsiTheme="minorBidi" w:cstheme="minorBidi"/>
          <w:i/>
        </w:rPr>
        <w:t>a tempore morae</w:t>
      </w:r>
      <w:r w:rsidR="0088498F" w:rsidRPr="00706B3E">
        <w:rPr>
          <w:rFonts w:asciiTheme="minorBidi" w:hAnsiTheme="minorBidi" w:cstheme="minorBidi"/>
        </w:rPr>
        <w:t xml:space="preserve"> (i.e. from the date of the original award on 28 August 2019, to date of payment).</w:t>
      </w:r>
    </w:p>
    <w:p w14:paraId="51139753" w14:textId="322DFE34" w:rsidR="0088498F" w:rsidRPr="00706B3E" w:rsidRDefault="00706B3E" w:rsidP="00706B3E">
      <w:pPr>
        <w:tabs>
          <w:tab w:val="left" w:pos="709"/>
        </w:tabs>
        <w:spacing w:line="360" w:lineRule="auto"/>
        <w:jc w:val="both"/>
        <w:rPr>
          <w:rFonts w:asciiTheme="minorBidi" w:hAnsiTheme="minorBidi" w:cstheme="minorBidi"/>
        </w:rPr>
      </w:pPr>
      <w:r w:rsidRPr="007B0DD3">
        <w:rPr>
          <w:rFonts w:asciiTheme="minorBidi" w:hAnsiTheme="minorBidi" w:cstheme="minorBidi"/>
        </w:rPr>
        <w:t>4.</w:t>
      </w:r>
      <w:r w:rsidRPr="007B0DD3">
        <w:rPr>
          <w:rFonts w:asciiTheme="minorBidi" w:hAnsiTheme="minorBidi" w:cstheme="minorBidi"/>
        </w:rPr>
        <w:tab/>
      </w:r>
      <w:r w:rsidR="0088498F" w:rsidRPr="00706B3E">
        <w:rPr>
          <w:rFonts w:asciiTheme="minorBidi" w:hAnsiTheme="minorBidi" w:cstheme="minorBidi"/>
        </w:rPr>
        <w:t xml:space="preserve">The respondent shall pay the costs of the appeal on the scale as between </w:t>
      </w:r>
      <w:r w:rsidR="007B0DD3" w:rsidRPr="00706B3E">
        <w:rPr>
          <w:rFonts w:asciiTheme="minorBidi" w:hAnsiTheme="minorBidi" w:cstheme="minorBidi"/>
        </w:rPr>
        <w:t>party and party</w:t>
      </w:r>
      <w:r w:rsidR="0088498F" w:rsidRPr="00706B3E">
        <w:rPr>
          <w:rFonts w:asciiTheme="minorBidi" w:hAnsiTheme="minorBidi" w:cstheme="minorBidi"/>
        </w:rPr>
        <w:t>, including the costs of two counsel where so employed.</w:t>
      </w:r>
    </w:p>
    <w:p w14:paraId="77A13B77" w14:textId="77777777" w:rsidR="00015D7A" w:rsidRPr="007B0DD3" w:rsidRDefault="00015D7A" w:rsidP="007B0DD3">
      <w:pPr>
        <w:tabs>
          <w:tab w:val="left" w:pos="709"/>
        </w:tabs>
        <w:spacing w:line="480" w:lineRule="auto"/>
        <w:jc w:val="both"/>
        <w:rPr>
          <w:rFonts w:asciiTheme="minorBidi" w:hAnsiTheme="minorBidi" w:cstheme="minorBidi"/>
        </w:rPr>
      </w:pPr>
    </w:p>
    <w:p w14:paraId="05B035A8" w14:textId="710B5E02" w:rsidR="00C81156" w:rsidRDefault="00C81156" w:rsidP="007B0DD3">
      <w:pPr>
        <w:tabs>
          <w:tab w:val="left" w:pos="709"/>
        </w:tabs>
        <w:spacing w:line="480" w:lineRule="auto"/>
        <w:jc w:val="both"/>
        <w:rPr>
          <w:rFonts w:asciiTheme="minorBidi" w:hAnsiTheme="minorBidi" w:cstheme="minorBidi"/>
        </w:rPr>
      </w:pPr>
    </w:p>
    <w:p w14:paraId="5C226943" w14:textId="2F2D16F8" w:rsidR="00040D21" w:rsidRDefault="00040D21" w:rsidP="007B0DD3">
      <w:pPr>
        <w:tabs>
          <w:tab w:val="left" w:pos="709"/>
        </w:tabs>
        <w:spacing w:line="480" w:lineRule="auto"/>
        <w:jc w:val="both"/>
        <w:rPr>
          <w:rFonts w:asciiTheme="minorBidi" w:hAnsiTheme="minorBidi" w:cstheme="minorBidi"/>
        </w:rPr>
      </w:pPr>
    </w:p>
    <w:p w14:paraId="6FD6E396" w14:textId="21E5D3E0" w:rsidR="00040D21" w:rsidRDefault="00040D21" w:rsidP="007B0DD3">
      <w:pPr>
        <w:tabs>
          <w:tab w:val="left" w:pos="709"/>
        </w:tabs>
        <w:spacing w:line="480" w:lineRule="auto"/>
        <w:jc w:val="both"/>
        <w:rPr>
          <w:rFonts w:asciiTheme="minorBidi" w:hAnsiTheme="minorBidi" w:cstheme="minorBidi"/>
        </w:rPr>
      </w:pPr>
    </w:p>
    <w:p w14:paraId="08FDFEE3" w14:textId="77777777" w:rsidR="00040D21" w:rsidRPr="007B0DD3" w:rsidRDefault="00040D21" w:rsidP="007B0DD3">
      <w:pPr>
        <w:tabs>
          <w:tab w:val="left" w:pos="709"/>
        </w:tabs>
        <w:spacing w:line="480" w:lineRule="auto"/>
        <w:jc w:val="both"/>
        <w:rPr>
          <w:rFonts w:asciiTheme="minorBidi" w:hAnsiTheme="minorBidi" w:cstheme="minorBidi"/>
        </w:rPr>
      </w:pPr>
    </w:p>
    <w:p w14:paraId="54072135" w14:textId="6023B600" w:rsidR="00B250EA" w:rsidRDefault="00B250EA" w:rsidP="00ED21CE">
      <w:pPr>
        <w:tabs>
          <w:tab w:val="left" w:pos="709"/>
        </w:tabs>
        <w:spacing w:line="480" w:lineRule="auto"/>
        <w:jc w:val="right"/>
        <w:rPr>
          <w:rFonts w:asciiTheme="minorBidi" w:hAnsiTheme="minorBidi" w:cstheme="minorBidi"/>
        </w:rPr>
      </w:pPr>
    </w:p>
    <w:p w14:paraId="0D5C418D" w14:textId="5509FE6F" w:rsidR="00040D21" w:rsidRPr="007B0DD3" w:rsidRDefault="00477D5E" w:rsidP="00ED21CE">
      <w:pPr>
        <w:tabs>
          <w:tab w:val="left" w:pos="709"/>
        </w:tabs>
        <w:spacing w:line="480" w:lineRule="auto"/>
        <w:jc w:val="right"/>
        <w:rPr>
          <w:rFonts w:asciiTheme="minorBidi" w:hAnsiTheme="minorBidi" w:cstheme="minorBidi"/>
        </w:rPr>
      </w:pPr>
      <w:r>
        <w:rPr>
          <w:rFonts w:ascii="Arial" w:hAnsi="Arial" w:cs="Arial"/>
          <w:noProof/>
          <w:lang w:val="en-US" w:eastAsia="en-US" w:bidi="ar-SA"/>
        </w:rPr>
        <w:drawing>
          <wp:anchor distT="0" distB="0" distL="114300" distR="114300" simplePos="0" relativeHeight="251659264" behindDoc="1" locked="0" layoutInCell="1" allowOverlap="1" wp14:anchorId="32CA4C36" wp14:editId="61975093">
            <wp:simplePos x="0" y="0"/>
            <wp:positionH relativeFrom="column">
              <wp:posOffset>3738431</wp:posOffset>
            </wp:positionH>
            <wp:positionV relativeFrom="paragraph">
              <wp:posOffset>70092</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91CA6B" w14:textId="77777777" w:rsidR="00015D7A" w:rsidRPr="007B0DD3" w:rsidRDefault="00015D7A" w:rsidP="00ED21CE">
      <w:pPr>
        <w:tabs>
          <w:tab w:val="left" w:pos="709"/>
        </w:tabs>
        <w:spacing w:line="480" w:lineRule="auto"/>
        <w:jc w:val="right"/>
        <w:rPr>
          <w:rFonts w:asciiTheme="minorBidi" w:hAnsiTheme="minorBidi" w:cstheme="minorBidi"/>
        </w:rPr>
      </w:pPr>
      <w:r w:rsidRPr="007B0DD3">
        <w:rPr>
          <w:rFonts w:asciiTheme="minorBidi" w:hAnsiTheme="minorBidi" w:cstheme="minorBidi"/>
        </w:rPr>
        <w:t>_______________________</w:t>
      </w:r>
    </w:p>
    <w:p w14:paraId="47ED54A0" w14:textId="77777777" w:rsidR="0079709A" w:rsidRPr="007B0DD3" w:rsidRDefault="0079709A" w:rsidP="0079709A">
      <w:pPr>
        <w:tabs>
          <w:tab w:val="left" w:pos="709"/>
        </w:tabs>
        <w:spacing w:line="480" w:lineRule="auto"/>
        <w:jc w:val="right"/>
        <w:rPr>
          <w:rFonts w:asciiTheme="minorBidi" w:hAnsiTheme="minorBidi" w:cstheme="minorBidi"/>
          <w:b/>
        </w:rPr>
      </w:pPr>
      <w:r w:rsidRPr="007B0DD3">
        <w:rPr>
          <w:rFonts w:asciiTheme="minorBidi" w:hAnsiTheme="minorBidi" w:cstheme="minorBidi"/>
          <w:b/>
        </w:rPr>
        <w:t>MOSSOP J</w:t>
      </w:r>
    </w:p>
    <w:p w14:paraId="35733254" w14:textId="651E68C4" w:rsidR="00015D7A" w:rsidRPr="007B0DD3" w:rsidRDefault="00015D7A" w:rsidP="00ED21CE">
      <w:pPr>
        <w:tabs>
          <w:tab w:val="left" w:pos="709"/>
        </w:tabs>
        <w:spacing w:line="480" w:lineRule="auto"/>
        <w:jc w:val="right"/>
        <w:rPr>
          <w:rFonts w:asciiTheme="minorBidi" w:hAnsiTheme="minorBidi" w:cstheme="minorBidi"/>
        </w:rPr>
      </w:pPr>
    </w:p>
    <w:p w14:paraId="5AA61845" w14:textId="77777777" w:rsidR="007B0DD3" w:rsidRPr="007B0DD3" w:rsidRDefault="007B0DD3" w:rsidP="00ED21CE">
      <w:pPr>
        <w:tabs>
          <w:tab w:val="left" w:pos="709"/>
        </w:tabs>
        <w:spacing w:line="480" w:lineRule="auto"/>
        <w:jc w:val="right"/>
        <w:rPr>
          <w:rFonts w:asciiTheme="minorBidi" w:hAnsiTheme="minorBidi" w:cstheme="minorBidi"/>
        </w:rPr>
      </w:pPr>
    </w:p>
    <w:p w14:paraId="1F5E9A5B" w14:textId="69E33855" w:rsidR="00015D7A" w:rsidRPr="007B0DD3" w:rsidRDefault="00015D7A" w:rsidP="0079709A">
      <w:pPr>
        <w:tabs>
          <w:tab w:val="left" w:pos="709"/>
        </w:tabs>
        <w:spacing w:line="480" w:lineRule="auto"/>
        <w:jc w:val="right"/>
        <w:rPr>
          <w:rFonts w:asciiTheme="minorBidi" w:hAnsiTheme="minorBidi" w:cstheme="minorBidi"/>
        </w:rPr>
      </w:pPr>
      <w:r w:rsidRPr="007B0DD3">
        <w:rPr>
          <w:rFonts w:asciiTheme="minorBidi" w:hAnsiTheme="minorBidi" w:cstheme="minorBidi"/>
        </w:rPr>
        <w:t>I agree</w:t>
      </w:r>
      <w:r w:rsidR="008A4608">
        <w:rPr>
          <w:rFonts w:asciiTheme="minorBidi" w:hAnsiTheme="minorBidi" w:cstheme="minorBidi"/>
        </w:rPr>
        <w:t>:</w:t>
      </w:r>
      <w:r w:rsidRPr="007B0DD3">
        <w:rPr>
          <w:rFonts w:asciiTheme="minorBidi" w:hAnsiTheme="minorBidi" w:cstheme="minorBidi"/>
        </w:rPr>
        <w:t xml:space="preserve"> </w:t>
      </w:r>
    </w:p>
    <w:p w14:paraId="589E5760" w14:textId="1327FB05" w:rsidR="00015D7A" w:rsidRDefault="00015D7A" w:rsidP="00ED21CE">
      <w:pPr>
        <w:tabs>
          <w:tab w:val="left" w:pos="709"/>
        </w:tabs>
        <w:spacing w:line="480" w:lineRule="auto"/>
        <w:jc w:val="right"/>
        <w:rPr>
          <w:rFonts w:asciiTheme="minorBidi" w:hAnsiTheme="minorBidi" w:cstheme="minorBidi"/>
        </w:rPr>
      </w:pPr>
    </w:p>
    <w:p w14:paraId="7FD5BD43" w14:textId="77777777" w:rsidR="00040D21" w:rsidRDefault="00040D21" w:rsidP="00ED21CE">
      <w:pPr>
        <w:tabs>
          <w:tab w:val="left" w:pos="709"/>
        </w:tabs>
        <w:spacing w:line="480" w:lineRule="auto"/>
        <w:jc w:val="right"/>
        <w:rPr>
          <w:rFonts w:asciiTheme="minorBidi" w:hAnsiTheme="minorBidi" w:cstheme="minorBidi"/>
        </w:rPr>
      </w:pPr>
    </w:p>
    <w:p w14:paraId="6CC1B245" w14:textId="5DE0F667" w:rsidR="00243622" w:rsidRDefault="00243622" w:rsidP="00ED21CE">
      <w:pPr>
        <w:tabs>
          <w:tab w:val="left" w:pos="709"/>
        </w:tabs>
        <w:spacing w:line="480" w:lineRule="auto"/>
        <w:jc w:val="right"/>
        <w:rPr>
          <w:rFonts w:asciiTheme="minorBidi" w:hAnsiTheme="minorBidi" w:cstheme="minorBidi"/>
        </w:rPr>
      </w:pPr>
    </w:p>
    <w:p w14:paraId="4D8AEFFE" w14:textId="77777777" w:rsidR="00015D7A" w:rsidRPr="007B0DD3" w:rsidRDefault="00015D7A" w:rsidP="00ED21CE">
      <w:pPr>
        <w:tabs>
          <w:tab w:val="left" w:pos="709"/>
        </w:tabs>
        <w:spacing w:line="480" w:lineRule="auto"/>
        <w:jc w:val="right"/>
        <w:rPr>
          <w:rFonts w:asciiTheme="minorBidi" w:hAnsiTheme="minorBidi" w:cstheme="minorBidi"/>
        </w:rPr>
      </w:pPr>
      <w:r w:rsidRPr="007B0DD3">
        <w:rPr>
          <w:rFonts w:asciiTheme="minorBidi" w:hAnsiTheme="minorBidi" w:cstheme="minorBidi"/>
        </w:rPr>
        <w:t>_______________________</w:t>
      </w:r>
    </w:p>
    <w:p w14:paraId="7704034F" w14:textId="77777777" w:rsidR="0079709A" w:rsidRPr="007B0DD3" w:rsidRDefault="0079709A" w:rsidP="0079709A">
      <w:pPr>
        <w:tabs>
          <w:tab w:val="left" w:pos="709"/>
        </w:tabs>
        <w:spacing w:line="480" w:lineRule="auto"/>
        <w:jc w:val="right"/>
        <w:rPr>
          <w:rFonts w:asciiTheme="minorBidi" w:hAnsiTheme="minorBidi" w:cstheme="minorBidi"/>
          <w:b/>
        </w:rPr>
      </w:pPr>
      <w:r w:rsidRPr="007B0DD3">
        <w:rPr>
          <w:rFonts w:asciiTheme="minorBidi" w:hAnsiTheme="minorBidi" w:cstheme="minorBidi"/>
          <w:b/>
        </w:rPr>
        <w:t>SMART AJ</w:t>
      </w:r>
    </w:p>
    <w:p w14:paraId="4EC10B22" w14:textId="7F0D42A4" w:rsidR="00015D7A" w:rsidRDefault="00015D7A" w:rsidP="00ED21CE">
      <w:pPr>
        <w:tabs>
          <w:tab w:val="left" w:pos="709"/>
        </w:tabs>
        <w:spacing w:line="480" w:lineRule="auto"/>
        <w:jc w:val="right"/>
        <w:rPr>
          <w:rFonts w:asciiTheme="minorBidi" w:hAnsiTheme="minorBidi" w:cstheme="minorBidi"/>
        </w:rPr>
      </w:pPr>
    </w:p>
    <w:p w14:paraId="3AC29054" w14:textId="5527BF01" w:rsidR="00243622" w:rsidRDefault="00243622" w:rsidP="00ED21CE">
      <w:pPr>
        <w:tabs>
          <w:tab w:val="left" w:pos="709"/>
        </w:tabs>
        <w:spacing w:line="480" w:lineRule="auto"/>
        <w:jc w:val="right"/>
        <w:rPr>
          <w:rFonts w:asciiTheme="minorBidi" w:hAnsiTheme="minorBidi" w:cstheme="minorBidi"/>
        </w:rPr>
      </w:pPr>
    </w:p>
    <w:p w14:paraId="70D7770E" w14:textId="14FF514B" w:rsidR="00243622" w:rsidRDefault="00243622" w:rsidP="00ED21CE">
      <w:pPr>
        <w:tabs>
          <w:tab w:val="left" w:pos="709"/>
        </w:tabs>
        <w:spacing w:line="480" w:lineRule="auto"/>
        <w:jc w:val="right"/>
        <w:rPr>
          <w:rFonts w:asciiTheme="minorBidi" w:hAnsiTheme="minorBidi" w:cstheme="minorBidi"/>
        </w:rPr>
      </w:pPr>
    </w:p>
    <w:p w14:paraId="21DE71CE" w14:textId="6DC0B138" w:rsidR="00243622" w:rsidRDefault="00243622" w:rsidP="00ED21CE">
      <w:pPr>
        <w:tabs>
          <w:tab w:val="left" w:pos="709"/>
        </w:tabs>
        <w:spacing w:line="480" w:lineRule="auto"/>
        <w:jc w:val="right"/>
        <w:rPr>
          <w:rFonts w:asciiTheme="minorBidi" w:hAnsiTheme="minorBidi" w:cstheme="minorBidi"/>
        </w:rPr>
      </w:pPr>
    </w:p>
    <w:p w14:paraId="145B92D4" w14:textId="181C8EA2" w:rsidR="00243622" w:rsidRDefault="00243622" w:rsidP="00ED21CE">
      <w:pPr>
        <w:tabs>
          <w:tab w:val="left" w:pos="709"/>
        </w:tabs>
        <w:spacing w:line="480" w:lineRule="auto"/>
        <w:jc w:val="right"/>
        <w:rPr>
          <w:rFonts w:asciiTheme="minorBidi" w:hAnsiTheme="minorBidi" w:cstheme="minorBidi"/>
        </w:rPr>
      </w:pPr>
    </w:p>
    <w:p w14:paraId="1A98987F" w14:textId="6B1F0A17" w:rsidR="00243622" w:rsidRDefault="00243622" w:rsidP="00ED21CE">
      <w:pPr>
        <w:tabs>
          <w:tab w:val="left" w:pos="709"/>
        </w:tabs>
        <w:spacing w:line="480" w:lineRule="auto"/>
        <w:jc w:val="right"/>
        <w:rPr>
          <w:rFonts w:asciiTheme="minorBidi" w:hAnsiTheme="minorBidi" w:cstheme="minorBidi"/>
        </w:rPr>
      </w:pPr>
    </w:p>
    <w:p w14:paraId="20D2F8E9" w14:textId="58A3D37E" w:rsidR="00243622" w:rsidRDefault="00243622" w:rsidP="00ED21CE">
      <w:pPr>
        <w:tabs>
          <w:tab w:val="left" w:pos="709"/>
        </w:tabs>
        <w:spacing w:line="480" w:lineRule="auto"/>
        <w:jc w:val="right"/>
        <w:rPr>
          <w:rFonts w:asciiTheme="minorBidi" w:hAnsiTheme="minorBidi" w:cstheme="minorBidi"/>
        </w:rPr>
      </w:pPr>
    </w:p>
    <w:p w14:paraId="1FF5623D" w14:textId="23C6935B" w:rsidR="00243622" w:rsidRDefault="00243622" w:rsidP="00ED21CE">
      <w:pPr>
        <w:tabs>
          <w:tab w:val="left" w:pos="709"/>
        </w:tabs>
        <w:spacing w:line="480" w:lineRule="auto"/>
        <w:jc w:val="right"/>
        <w:rPr>
          <w:rFonts w:asciiTheme="minorBidi" w:hAnsiTheme="minorBidi" w:cstheme="minorBidi"/>
        </w:rPr>
      </w:pPr>
    </w:p>
    <w:p w14:paraId="140FD1B1" w14:textId="3DEC3FA7" w:rsidR="00243622" w:rsidRDefault="00243622" w:rsidP="00ED21CE">
      <w:pPr>
        <w:tabs>
          <w:tab w:val="left" w:pos="709"/>
        </w:tabs>
        <w:spacing w:line="480" w:lineRule="auto"/>
        <w:jc w:val="right"/>
        <w:rPr>
          <w:rFonts w:asciiTheme="minorBidi" w:hAnsiTheme="minorBidi" w:cstheme="minorBidi"/>
        </w:rPr>
      </w:pPr>
    </w:p>
    <w:p w14:paraId="2B52C708" w14:textId="21AA3DD2" w:rsidR="00243622" w:rsidRDefault="00243622" w:rsidP="00ED21CE">
      <w:pPr>
        <w:tabs>
          <w:tab w:val="left" w:pos="709"/>
        </w:tabs>
        <w:spacing w:line="480" w:lineRule="auto"/>
        <w:jc w:val="right"/>
        <w:rPr>
          <w:rFonts w:asciiTheme="minorBidi" w:hAnsiTheme="minorBidi" w:cstheme="minorBidi"/>
        </w:rPr>
      </w:pPr>
    </w:p>
    <w:p w14:paraId="1B1278CF" w14:textId="2EB156AC" w:rsidR="00243622" w:rsidRDefault="00243622" w:rsidP="00ED21CE">
      <w:pPr>
        <w:tabs>
          <w:tab w:val="left" w:pos="709"/>
        </w:tabs>
        <w:spacing w:line="480" w:lineRule="auto"/>
        <w:jc w:val="right"/>
        <w:rPr>
          <w:rFonts w:asciiTheme="minorBidi" w:hAnsiTheme="minorBidi" w:cstheme="minorBidi"/>
        </w:rPr>
      </w:pPr>
    </w:p>
    <w:p w14:paraId="5590AD02" w14:textId="77777777" w:rsidR="000829C8" w:rsidRPr="007B0DD3" w:rsidRDefault="000829C8" w:rsidP="00ED21CE">
      <w:pPr>
        <w:spacing w:line="360" w:lineRule="auto"/>
        <w:jc w:val="center"/>
        <w:rPr>
          <w:rFonts w:asciiTheme="minorBidi" w:eastAsia="Calibri" w:hAnsiTheme="minorBidi" w:cstheme="minorBidi"/>
          <w:b/>
          <w:u w:val="single"/>
        </w:rPr>
      </w:pPr>
      <w:r w:rsidRPr="007B0DD3">
        <w:rPr>
          <w:rFonts w:asciiTheme="minorBidi" w:eastAsia="Calibri" w:hAnsiTheme="minorBidi" w:cstheme="minorBidi"/>
          <w:b/>
          <w:u w:val="single"/>
        </w:rPr>
        <w:lastRenderedPageBreak/>
        <w:t>APPEARANCES</w:t>
      </w:r>
    </w:p>
    <w:p w14:paraId="2A4A1B11" w14:textId="77777777" w:rsidR="000829C8" w:rsidRPr="007B0DD3" w:rsidRDefault="000829C8" w:rsidP="007B0DD3">
      <w:pPr>
        <w:spacing w:line="360" w:lineRule="auto"/>
        <w:jc w:val="both"/>
        <w:rPr>
          <w:rFonts w:asciiTheme="minorBidi" w:eastAsia="Calibri" w:hAnsiTheme="minorBidi" w:cstheme="minorBidi"/>
          <w:b/>
          <w:u w:val="single"/>
        </w:rPr>
      </w:pPr>
    </w:p>
    <w:p w14:paraId="77FD1FE2" w14:textId="77777777" w:rsidR="000829C8" w:rsidRPr="007B0DD3" w:rsidRDefault="000829C8" w:rsidP="007B0DD3">
      <w:pPr>
        <w:spacing w:line="360" w:lineRule="auto"/>
        <w:jc w:val="both"/>
        <w:rPr>
          <w:rFonts w:asciiTheme="minorBidi" w:eastAsia="Calibri" w:hAnsiTheme="minorBidi" w:cstheme="minorBidi"/>
          <w:b/>
          <w:u w:val="single"/>
        </w:rPr>
      </w:pPr>
    </w:p>
    <w:p w14:paraId="44BD1098"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Counsel for the appellant</w:t>
      </w:r>
      <w:r w:rsidRPr="007B0DD3">
        <w:rPr>
          <w:rFonts w:asciiTheme="minorBidi" w:hAnsiTheme="minorBidi" w:cstheme="minorBidi"/>
        </w:rPr>
        <w:tab/>
      </w:r>
      <w:r w:rsidRPr="007B0DD3">
        <w:rPr>
          <w:rFonts w:asciiTheme="minorBidi" w:hAnsiTheme="minorBidi" w:cstheme="minorBidi"/>
        </w:rPr>
        <w:tab/>
        <w:t xml:space="preserve">:  </w:t>
      </w:r>
      <w:r w:rsidRPr="007B0DD3">
        <w:rPr>
          <w:rFonts w:asciiTheme="minorBidi" w:hAnsiTheme="minorBidi" w:cstheme="minorBidi"/>
        </w:rPr>
        <w:tab/>
        <w:t>Mr. P. Kruger SC</w:t>
      </w:r>
    </w:p>
    <w:p w14:paraId="24327BD9"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t>Cornelius Boshoff Attorneys</w:t>
      </w:r>
    </w:p>
    <w:p w14:paraId="3FC60B80"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Locally represented by:</w:t>
      </w:r>
    </w:p>
    <w:p w14:paraId="2BB3F4E9"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Tatham Wilkes Incorporated</w:t>
      </w:r>
    </w:p>
    <w:p w14:paraId="31C74618"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200 Hoosen Haffejee Street</w:t>
      </w:r>
    </w:p>
    <w:p w14:paraId="44D8CA14"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Pietermaritzburg</w:t>
      </w:r>
    </w:p>
    <w:p w14:paraId="4BCD466B"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 xml:space="preserve"> </w:t>
      </w:r>
    </w:p>
    <w:p w14:paraId="1D1358F4" w14:textId="77777777" w:rsidR="000829C8" w:rsidRPr="007B0DD3" w:rsidRDefault="000829C8" w:rsidP="007B0DD3">
      <w:pPr>
        <w:spacing w:line="360" w:lineRule="auto"/>
        <w:jc w:val="both"/>
        <w:rPr>
          <w:rFonts w:asciiTheme="minorBidi" w:hAnsiTheme="minorBidi" w:cstheme="minorBidi"/>
        </w:rPr>
      </w:pPr>
      <w:r w:rsidRPr="007B0DD3">
        <w:rPr>
          <w:rFonts w:asciiTheme="minorBidi" w:hAnsiTheme="minorBidi" w:cstheme="minorBidi"/>
        </w:rPr>
        <w:t>Counsel for the respondent</w:t>
      </w:r>
      <w:r w:rsidRPr="007B0DD3">
        <w:rPr>
          <w:rFonts w:asciiTheme="minorBidi" w:hAnsiTheme="minorBidi" w:cstheme="minorBidi"/>
        </w:rPr>
        <w:tab/>
        <w:t>:</w:t>
      </w:r>
      <w:r w:rsidRPr="007B0DD3">
        <w:rPr>
          <w:rFonts w:asciiTheme="minorBidi" w:hAnsiTheme="minorBidi" w:cstheme="minorBidi"/>
        </w:rPr>
        <w:tab/>
        <w:t>Mr V. G. Sibeko</w:t>
      </w:r>
      <w:r w:rsidRPr="007B0DD3">
        <w:rPr>
          <w:rFonts w:asciiTheme="minorBidi" w:hAnsiTheme="minorBidi" w:cstheme="minorBidi"/>
        </w:rPr>
        <w:tab/>
      </w:r>
    </w:p>
    <w:p w14:paraId="0A485991"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t>The State Attorney</w:t>
      </w:r>
    </w:p>
    <w:p w14:paraId="14A0C9C0"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Second floor, Magistrate’s Court Building</w:t>
      </w:r>
    </w:p>
    <w:p w14:paraId="77687575"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302 Church Street</w:t>
      </w:r>
    </w:p>
    <w:p w14:paraId="7D6EF7DF"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Pietermaritzburg</w:t>
      </w:r>
    </w:p>
    <w:p w14:paraId="25281548"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p>
    <w:p w14:paraId="0DC53AF5" w14:textId="77777777"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Hearing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t>10 March 2023</w:t>
      </w:r>
    </w:p>
    <w:p w14:paraId="62738DA3" w14:textId="77777777" w:rsidR="000829C8" w:rsidRPr="007B0DD3" w:rsidRDefault="000829C8" w:rsidP="007B0DD3">
      <w:pPr>
        <w:spacing w:line="360" w:lineRule="auto"/>
        <w:jc w:val="both"/>
        <w:rPr>
          <w:rFonts w:asciiTheme="minorBidi" w:eastAsia="Calibri" w:hAnsiTheme="minorBidi" w:cstheme="minorBidi"/>
        </w:rPr>
      </w:pPr>
    </w:p>
    <w:p w14:paraId="060D8EBE" w14:textId="3C9A2351"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Judgment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r>
      <w:r w:rsidR="00ED21CE">
        <w:rPr>
          <w:rFonts w:asciiTheme="minorBidi" w:eastAsia="Calibri" w:hAnsiTheme="minorBidi" w:cstheme="minorBidi"/>
        </w:rPr>
        <w:t>1</w:t>
      </w:r>
      <w:r w:rsidR="00B071F2">
        <w:rPr>
          <w:rFonts w:asciiTheme="minorBidi" w:eastAsia="Calibri" w:hAnsiTheme="minorBidi" w:cstheme="minorBidi"/>
        </w:rPr>
        <w:t>4</w:t>
      </w:r>
      <w:r w:rsidR="00ED21CE">
        <w:rPr>
          <w:rFonts w:asciiTheme="minorBidi" w:eastAsia="Calibri" w:hAnsiTheme="minorBidi" w:cstheme="minorBidi"/>
        </w:rPr>
        <w:t xml:space="preserve"> April</w:t>
      </w:r>
      <w:r w:rsidRPr="007B0DD3">
        <w:rPr>
          <w:rFonts w:asciiTheme="minorBidi" w:eastAsia="Calibri" w:hAnsiTheme="minorBidi" w:cstheme="minorBidi"/>
        </w:rPr>
        <w:t xml:space="preserve"> 2023</w:t>
      </w:r>
    </w:p>
    <w:p w14:paraId="5129D169" w14:textId="77777777" w:rsidR="000829C8" w:rsidRPr="007B0DD3" w:rsidRDefault="000829C8" w:rsidP="007B0DD3">
      <w:pPr>
        <w:spacing w:line="360" w:lineRule="auto"/>
        <w:jc w:val="both"/>
        <w:rPr>
          <w:rFonts w:asciiTheme="minorBidi" w:hAnsiTheme="minorBidi" w:cstheme="minorBidi"/>
          <w:b/>
          <w:bCs/>
        </w:rPr>
      </w:pPr>
    </w:p>
    <w:p w14:paraId="3CB8BBB8" w14:textId="77777777" w:rsidR="007D25A0" w:rsidRPr="007B0DD3" w:rsidRDefault="007D25A0" w:rsidP="007B0DD3">
      <w:pPr>
        <w:pStyle w:val="ListParagraph"/>
        <w:tabs>
          <w:tab w:val="left" w:pos="709"/>
        </w:tabs>
        <w:spacing w:line="360" w:lineRule="auto"/>
        <w:ind w:left="0"/>
        <w:jc w:val="both"/>
        <w:rPr>
          <w:rFonts w:asciiTheme="minorBidi" w:hAnsiTheme="minorBidi" w:cstheme="minorBidi"/>
        </w:rPr>
      </w:pPr>
    </w:p>
    <w:p w14:paraId="3AACF7AE" w14:textId="77777777" w:rsidR="007D25A0" w:rsidRPr="007B0DD3" w:rsidRDefault="007D25A0" w:rsidP="007B0DD3">
      <w:pPr>
        <w:pStyle w:val="ListParagraph"/>
        <w:tabs>
          <w:tab w:val="left" w:pos="709"/>
        </w:tabs>
        <w:spacing w:line="360" w:lineRule="auto"/>
        <w:ind w:left="0"/>
        <w:jc w:val="both"/>
        <w:rPr>
          <w:rFonts w:asciiTheme="minorBidi" w:hAnsiTheme="minorBidi" w:cstheme="minorBidi"/>
        </w:rPr>
      </w:pPr>
    </w:p>
    <w:p w14:paraId="4C538070" w14:textId="77777777" w:rsidR="000829C8" w:rsidRPr="007B0DD3" w:rsidRDefault="000829C8" w:rsidP="007B0DD3">
      <w:pPr>
        <w:tabs>
          <w:tab w:val="left" w:pos="709"/>
        </w:tabs>
        <w:spacing w:line="480" w:lineRule="auto"/>
        <w:jc w:val="both"/>
        <w:rPr>
          <w:rFonts w:asciiTheme="minorBidi" w:hAnsiTheme="minorBidi" w:cstheme="minorBidi"/>
        </w:rPr>
      </w:pPr>
    </w:p>
    <w:sectPr w:rsidR="000829C8" w:rsidRPr="007B0DD3" w:rsidSect="0072302C">
      <w:headerReference w:type="default" r:id="rId10"/>
      <w:pgSz w:w="11906" w:h="16838" w:code="9"/>
      <w:pgMar w:top="1440" w:right="1416" w:bottom="1440" w:left="1418" w:header="567" w:footer="1418"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BDE5A" w14:textId="77777777" w:rsidR="00BD2444" w:rsidRDefault="00BD2444" w:rsidP="00A02902">
      <w:r>
        <w:separator/>
      </w:r>
    </w:p>
  </w:endnote>
  <w:endnote w:type="continuationSeparator" w:id="0">
    <w:p w14:paraId="64EABB26" w14:textId="77777777" w:rsidR="00BD2444" w:rsidRDefault="00BD2444" w:rsidP="00A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A8BEC" w14:textId="77777777" w:rsidR="00BD2444" w:rsidRDefault="00BD2444" w:rsidP="00A02902">
      <w:r>
        <w:separator/>
      </w:r>
    </w:p>
  </w:footnote>
  <w:footnote w:type="continuationSeparator" w:id="0">
    <w:p w14:paraId="67F027DE" w14:textId="77777777" w:rsidR="00BD2444" w:rsidRDefault="00BD2444" w:rsidP="00A02902">
      <w:r>
        <w:continuationSeparator/>
      </w:r>
    </w:p>
  </w:footnote>
  <w:footnote w:id="1">
    <w:p w14:paraId="0DB34B22" w14:textId="3F55FACD" w:rsidR="00CD150D" w:rsidRPr="009A382F" w:rsidRDefault="00CD150D" w:rsidP="009A382F">
      <w:pPr>
        <w:pStyle w:val="FootnoteText"/>
        <w:contextualSpacing/>
        <w:jc w:val="both"/>
        <w:rPr>
          <w:rFonts w:ascii="Arial" w:hAnsi="Arial" w:cs="Arial"/>
          <w:lang w:val="en-US"/>
        </w:rPr>
      </w:pPr>
      <w:r w:rsidRPr="009A382F">
        <w:rPr>
          <w:rStyle w:val="FootnoteReference"/>
          <w:rFonts w:ascii="Arial" w:hAnsi="Arial" w:cs="Arial"/>
        </w:rPr>
        <w:footnoteRef/>
      </w:r>
      <w:r w:rsidRPr="009A382F">
        <w:rPr>
          <w:rFonts w:ascii="Arial" w:hAnsi="Arial" w:cs="Arial"/>
        </w:rPr>
        <w:t xml:space="preserve"> </w:t>
      </w:r>
      <w:r w:rsidRPr="009A382F">
        <w:rPr>
          <w:rFonts w:ascii="Arial" w:hAnsi="Arial" w:cs="Arial"/>
          <w:lang w:val="en-US"/>
        </w:rPr>
        <w:t xml:space="preserve">An assessment of 100 percent </w:t>
      </w:r>
      <w:r w:rsidR="009A382F">
        <w:rPr>
          <w:rFonts w:ascii="Arial" w:hAnsi="Arial" w:cs="Arial"/>
          <w:lang w:val="en-US"/>
        </w:rPr>
        <w:t>disablement</w:t>
      </w:r>
      <w:r w:rsidR="009A382F" w:rsidRPr="009A382F">
        <w:rPr>
          <w:rFonts w:ascii="Arial" w:hAnsi="Arial" w:cs="Arial"/>
          <w:lang w:val="en-US"/>
        </w:rPr>
        <w:t xml:space="preserve"> </w:t>
      </w:r>
      <w:r w:rsidRPr="009A382F">
        <w:rPr>
          <w:rFonts w:ascii="Arial" w:hAnsi="Arial" w:cs="Arial"/>
          <w:lang w:val="en-US"/>
        </w:rPr>
        <w:t xml:space="preserve">does not, however, mean that the appellant would be entitled to his full salary. In terms of schedule 4, such a </w:t>
      </w:r>
      <w:r w:rsidR="009A382F">
        <w:rPr>
          <w:rFonts w:ascii="Arial" w:hAnsi="Arial" w:cs="Arial"/>
          <w:lang w:val="en-US"/>
        </w:rPr>
        <w:t>disablement</w:t>
      </w:r>
      <w:r w:rsidR="009A382F" w:rsidRPr="009A382F">
        <w:rPr>
          <w:rFonts w:ascii="Arial" w:hAnsi="Arial" w:cs="Arial"/>
          <w:lang w:val="en-US"/>
        </w:rPr>
        <w:t xml:space="preserve"> </w:t>
      </w:r>
      <w:r w:rsidRPr="009A382F">
        <w:rPr>
          <w:rFonts w:ascii="Arial" w:hAnsi="Arial" w:cs="Arial"/>
          <w:lang w:val="en-US"/>
        </w:rPr>
        <w:t>would result in him being paid a monthly pension of 75 percent of his salary calculated at the time of the accident.</w:t>
      </w:r>
    </w:p>
  </w:footnote>
  <w:footnote w:id="2">
    <w:p w14:paraId="1A629CE4" w14:textId="77777777" w:rsidR="00061C7B" w:rsidRPr="009A382F" w:rsidRDefault="00061C7B" w:rsidP="009A382F">
      <w:pPr>
        <w:pStyle w:val="FootnoteText"/>
        <w:contextualSpacing/>
        <w:jc w:val="both"/>
        <w:rPr>
          <w:rFonts w:ascii="Arial" w:hAnsi="Arial" w:cs="Arial"/>
          <w:lang w:val="en-GB"/>
        </w:rPr>
      </w:pPr>
      <w:r w:rsidRPr="009A382F">
        <w:rPr>
          <w:rStyle w:val="FootnoteReference"/>
          <w:rFonts w:ascii="Arial" w:hAnsi="Arial" w:cs="Arial"/>
        </w:rPr>
        <w:footnoteRef/>
      </w:r>
      <w:r w:rsidRPr="009A382F">
        <w:rPr>
          <w:rFonts w:ascii="Arial" w:hAnsi="Arial" w:cs="Arial"/>
        </w:rPr>
        <w:t xml:space="preserve"> </w:t>
      </w:r>
      <w:r w:rsidRPr="009A382F">
        <w:rPr>
          <w:rFonts w:ascii="Arial" w:hAnsi="Arial" w:cs="Arial"/>
          <w:bCs/>
        </w:rPr>
        <w:t xml:space="preserve">Circular Instruction Regarding Compensation for Post Traumatic Stress Disorder (PTSD), GN 936, </w:t>
      </w:r>
      <w:r w:rsidRPr="009A382F">
        <w:rPr>
          <w:rFonts w:ascii="Arial" w:hAnsi="Arial" w:cs="Arial"/>
          <w:bCs/>
          <w:i/>
        </w:rPr>
        <w:t>GG </w:t>
      </w:r>
      <w:r w:rsidRPr="009A382F">
        <w:rPr>
          <w:rFonts w:ascii="Arial" w:hAnsi="Arial" w:cs="Arial"/>
          <w:bCs/>
        </w:rPr>
        <w:t>25132, 27 June 2003.</w:t>
      </w:r>
    </w:p>
  </w:footnote>
  <w:footnote w:id="3">
    <w:p w14:paraId="7682DB77" w14:textId="77777777" w:rsidR="00061C7B" w:rsidRPr="009A382F" w:rsidRDefault="00061C7B" w:rsidP="009A382F">
      <w:pPr>
        <w:pStyle w:val="ListParagraph"/>
        <w:tabs>
          <w:tab w:val="left" w:pos="709"/>
        </w:tabs>
        <w:ind w:left="0"/>
        <w:jc w:val="both"/>
        <w:rPr>
          <w:rFonts w:ascii="Arial" w:hAnsi="Arial" w:cs="Arial"/>
          <w:sz w:val="20"/>
          <w:szCs w:val="20"/>
          <w:lang w:val="en-US"/>
        </w:rPr>
      </w:pPr>
      <w:r w:rsidRPr="009A382F">
        <w:rPr>
          <w:rStyle w:val="FootnoteReference"/>
          <w:rFonts w:ascii="Arial" w:hAnsi="Arial" w:cs="Arial"/>
          <w:sz w:val="20"/>
          <w:szCs w:val="20"/>
        </w:rPr>
        <w:footnoteRef/>
      </w:r>
      <w:r w:rsidRPr="009A382F">
        <w:rPr>
          <w:rFonts w:ascii="Arial" w:hAnsi="Arial" w:cs="Arial"/>
          <w:sz w:val="20"/>
          <w:szCs w:val="20"/>
        </w:rPr>
        <w:t xml:space="preserve"> </w:t>
      </w:r>
      <w:r w:rsidRPr="009A382F">
        <w:rPr>
          <w:rFonts w:ascii="Arial" w:hAnsi="Arial" w:cs="Arial"/>
          <w:i/>
          <w:sz w:val="20"/>
          <w:szCs w:val="20"/>
        </w:rPr>
        <w:t>Odayar v Compensation Commissioner</w:t>
      </w:r>
      <w:r w:rsidRPr="009A382F">
        <w:rPr>
          <w:rFonts w:ascii="Arial" w:hAnsi="Arial" w:cs="Arial"/>
          <w:sz w:val="20"/>
          <w:szCs w:val="20"/>
        </w:rPr>
        <w:t xml:space="preserve"> 2006 (6) SA 202 (N).</w:t>
      </w:r>
    </w:p>
  </w:footnote>
  <w:footnote w:id="4">
    <w:p w14:paraId="152A5F31" w14:textId="1D22AB85" w:rsidR="00061C7B" w:rsidRPr="009A382F" w:rsidRDefault="00061C7B" w:rsidP="009A382F">
      <w:pPr>
        <w:pStyle w:val="FootnoteText"/>
        <w:contextualSpacing/>
        <w:jc w:val="both"/>
        <w:rPr>
          <w:rFonts w:ascii="Arial" w:hAnsi="Arial" w:cs="Arial"/>
          <w:lang w:val="en-US"/>
        </w:rPr>
      </w:pPr>
      <w:r w:rsidRPr="009A382F">
        <w:rPr>
          <w:rStyle w:val="FootnoteReference"/>
          <w:rFonts w:ascii="Arial" w:hAnsi="Arial" w:cs="Arial"/>
        </w:rPr>
        <w:footnoteRef/>
      </w:r>
      <w:r w:rsidRPr="009A382F">
        <w:rPr>
          <w:rFonts w:ascii="Arial" w:hAnsi="Arial" w:cs="Arial"/>
        </w:rPr>
        <w:t xml:space="preserve"> Ibid paras 16 and 17. See </w:t>
      </w:r>
      <w:r w:rsidRPr="009A382F">
        <w:rPr>
          <w:rFonts w:ascii="Arial" w:hAnsi="Arial" w:cs="Arial"/>
          <w:i/>
        </w:rPr>
        <w:t xml:space="preserve">also </w:t>
      </w:r>
      <w:r w:rsidRPr="009A382F">
        <w:rPr>
          <w:rFonts w:ascii="Arial" w:hAnsi="Arial" w:cs="Arial"/>
          <w:bCs/>
          <w:i/>
          <w:lang w:val="en-US"/>
        </w:rPr>
        <w:t>Knoetze v Rand Mutual Assurance</w:t>
      </w:r>
      <w:r w:rsidRPr="009A382F">
        <w:rPr>
          <w:rFonts w:ascii="Arial" w:hAnsi="Arial" w:cs="Arial"/>
          <w:bCs/>
          <w:lang w:val="en-US"/>
        </w:rPr>
        <w:t xml:space="preserve"> [2022] 2 All SA 458 (GJ) para 57 and </w:t>
      </w:r>
      <w:r w:rsidRPr="009A382F">
        <w:rPr>
          <w:rFonts w:ascii="Arial" w:hAnsi="Arial" w:cs="Arial"/>
          <w:bCs/>
          <w:i/>
          <w:lang w:val="en-US"/>
        </w:rPr>
        <w:t>J L v Rand Mutual Assurance</w:t>
      </w:r>
      <w:r w:rsidRPr="009A382F">
        <w:rPr>
          <w:rFonts w:ascii="Arial" w:hAnsi="Arial" w:cs="Arial"/>
          <w:bCs/>
          <w:lang w:val="en-US"/>
        </w:rPr>
        <w:t xml:space="preserve"> [2019] ZAGPJHC 392 para 48.</w:t>
      </w:r>
    </w:p>
  </w:footnote>
  <w:footnote w:id="5">
    <w:p w14:paraId="32D6468D" w14:textId="77777777" w:rsidR="00061C7B" w:rsidRPr="009A382F" w:rsidRDefault="00061C7B" w:rsidP="009A382F">
      <w:pPr>
        <w:pStyle w:val="FootnoteText"/>
        <w:contextualSpacing/>
        <w:jc w:val="both"/>
        <w:rPr>
          <w:rFonts w:ascii="Arial" w:hAnsi="Arial" w:cs="Arial"/>
          <w:lang w:val="en-US"/>
        </w:rPr>
      </w:pPr>
      <w:r w:rsidRPr="009A382F">
        <w:rPr>
          <w:rStyle w:val="FootnoteReference"/>
          <w:rFonts w:ascii="Arial" w:hAnsi="Arial" w:cs="Arial"/>
        </w:rPr>
        <w:footnoteRef/>
      </w:r>
      <w:r w:rsidRPr="009A382F">
        <w:rPr>
          <w:rFonts w:ascii="Arial" w:hAnsi="Arial" w:cs="Arial"/>
        </w:rPr>
        <w:t xml:space="preserve"> </w:t>
      </w:r>
      <w:r w:rsidRPr="009A382F">
        <w:rPr>
          <w:rFonts w:ascii="Arial" w:hAnsi="Arial" w:cs="Arial"/>
          <w:bCs/>
          <w:i/>
          <w:lang w:val="en-US"/>
        </w:rPr>
        <w:t>J L v Rand Mutual Assurance</w:t>
      </w:r>
      <w:r w:rsidRPr="009A382F">
        <w:rPr>
          <w:rFonts w:ascii="Arial" w:hAnsi="Arial" w:cs="Arial"/>
          <w:bCs/>
          <w:lang w:val="en-US"/>
        </w:rPr>
        <w:t xml:space="preserve"> [2019] ZAGPJHC 392 para 48.</w:t>
      </w:r>
    </w:p>
  </w:footnote>
  <w:footnote w:id="6">
    <w:p w14:paraId="265C5752" w14:textId="60836F06" w:rsidR="00B054BD" w:rsidRPr="009A382F" w:rsidRDefault="00B054BD" w:rsidP="009A382F">
      <w:pPr>
        <w:pStyle w:val="FootnoteText"/>
        <w:contextualSpacing/>
        <w:jc w:val="both"/>
        <w:rPr>
          <w:rFonts w:ascii="Arial" w:hAnsi="Arial" w:cs="Arial"/>
          <w:lang w:val="en-US"/>
        </w:rPr>
      </w:pPr>
      <w:r w:rsidRPr="009A382F">
        <w:rPr>
          <w:rStyle w:val="FootnoteReference"/>
          <w:rFonts w:ascii="Arial" w:hAnsi="Arial" w:cs="Arial"/>
        </w:rPr>
        <w:footnoteRef/>
      </w:r>
      <w:r w:rsidRPr="009A382F">
        <w:rPr>
          <w:rFonts w:ascii="Arial" w:hAnsi="Arial" w:cs="Arial"/>
        </w:rPr>
        <w:t xml:space="preserve"> </w:t>
      </w:r>
      <w:r w:rsidRPr="009A382F">
        <w:rPr>
          <w:rFonts w:ascii="Arial" w:hAnsi="Arial" w:cs="Arial"/>
          <w:i/>
          <w:iCs/>
        </w:rPr>
        <w:t>Ak</w:t>
      </w:r>
      <w:r w:rsidR="00134740" w:rsidRPr="009A382F">
        <w:rPr>
          <w:rFonts w:ascii="Arial" w:hAnsi="Arial" w:cs="Arial"/>
          <w:i/>
          <w:iCs/>
        </w:rPr>
        <w:t>a</w:t>
      </w:r>
      <w:r w:rsidRPr="009A382F">
        <w:rPr>
          <w:rFonts w:ascii="Arial" w:hAnsi="Arial" w:cs="Arial"/>
          <w:i/>
          <w:iCs/>
        </w:rPr>
        <w:t xml:space="preserve">ni Garden Route (Pty) Ltd v Pinnacle Point Casino (Pty) Ltd </w:t>
      </w:r>
      <w:r w:rsidRPr="009A382F">
        <w:rPr>
          <w:rFonts w:ascii="Arial" w:hAnsi="Arial" w:cs="Arial"/>
        </w:rPr>
        <w:t>2001 (4) SA 501 (SCA) para 7.</w:t>
      </w:r>
    </w:p>
  </w:footnote>
  <w:footnote w:id="7">
    <w:p w14:paraId="0D22AB9F" w14:textId="21581E5C" w:rsidR="00BE19E8" w:rsidRPr="009A382F" w:rsidRDefault="00BE19E8" w:rsidP="009A382F">
      <w:pPr>
        <w:contextualSpacing/>
        <w:jc w:val="both"/>
        <w:rPr>
          <w:rFonts w:ascii="Arial" w:hAnsi="Arial" w:cs="Arial"/>
          <w:sz w:val="20"/>
          <w:szCs w:val="20"/>
          <w:lang w:val="en-US"/>
        </w:rPr>
      </w:pPr>
      <w:r w:rsidRPr="009A382F">
        <w:rPr>
          <w:rStyle w:val="FootnoteReference"/>
          <w:rFonts w:ascii="Arial" w:hAnsi="Arial" w:cs="Arial"/>
          <w:sz w:val="20"/>
          <w:szCs w:val="20"/>
        </w:rPr>
        <w:footnoteRef/>
      </w:r>
      <w:r w:rsidRPr="009A382F">
        <w:rPr>
          <w:rFonts w:ascii="Arial" w:hAnsi="Arial" w:cs="Arial"/>
          <w:sz w:val="20"/>
          <w:szCs w:val="20"/>
        </w:rPr>
        <w:t xml:space="preserve"> </w:t>
      </w:r>
      <w:r w:rsidRPr="009A382F">
        <w:rPr>
          <w:rFonts w:ascii="Arial" w:hAnsi="Arial" w:cs="Arial"/>
          <w:i/>
          <w:iCs/>
          <w:color w:val="000000"/>
          <w:sz w:val="20"/>
          <w:szCs w:val="20"/>
        </w:rPr>
        <w:t>Pretorius v </w:t>
      </w:r>
      <w:bookmarkStart w:id="1" w:name="LPHit3"/>
      <w:bookmarkEnd w:id="1"/>
      <w:r w:rsidRPr="009A382F">
        <w:rPr>
          <w:rFonts w:ascii="Arial" w:hAnsi="Arial" w:cs="Arial"/>
          <w:i/>
          <w:iCs/>
          <w:color w:val="000000"/>
          <w:sz w:val="20"/>
          <w:szCs w:val="20"/>
        </w:rPr>
        <w:t xml:space="preserve">Compensation Commissioner </w:t>
      </w:r>
      <w:r w:rsidR="00563113" w:rsidRPr="009A382F">
        <w:rPr>
          <w:rFonts w:ascii="Arial" w:hAnsi="Arial" w:cs="Arial"/>
          <w:i/>
          <w:iCs/>
          <w:color w:val="000000"/>
          <w:sz w:val="20"/>
          <w:szCs w:val="20"/>
        </w:rPr>
        <w:t>and</w:t>
      </w:r>
      <w:r w:rsidRPr="009A382F">
        <w:rPr>
          <w:rFonts w:ascii="Arial" w:hAnsi="Arial" w:cs="Arial"/>
          <w:i/>
          <w:iCs/>
          <w:color w:val="000000"/>
          <w:sz w:val="20"/>
          <w:szCs w:val="20"/>
        </w:rPr>
        <w:t xml:space="preserve"> another</w:t>
      </w:r>
      <w:r w:rsidRPr="009A382F">
        <w:rPr>
          <w:rFonts w:ascii="Arial" w:hAnsi="Arial" w:cs="Arial"/>
          <w:color w:val="000000"/>
          <w:sz w:val="20"/>
          <w:szCs w:val="20"/>
        </w:rPr>
        <w:t xml:space="preserve"> (2010) 31 ILJ 1117 (O) para 14.</w:t>
      </w:r>
    </w:p>
  </w:footnote>
  <w:footnote w:id="8">
    <w:p w14:paraId="061EAF15" w14:textId="77777777" w:rsidR="00BE19E8" w:rsidRPr="009A382F" w:rsidRDefault="00BE19E8" w:rsidP="009A382F">
      <w:pPr>
        <w:pStyle w:val="FootnoteText"/>
        <w:contextualSpacing/>
        <w:jc w:val="both"/>
        <w:rPr>
          <w:rFonts w:ascii="Arial" w:hAnsi="Arial" w:cs="Arial"/>
          <w:lang w:val="en-US"/>
        </w:rPr>
      </w:pPr>
      <w:r w:rsidRPr="009A382F">
        <w:rPr>
          <w:rStyle w:val="FootnoteReference"/>
          <w:rFonts w:ascii="Arial" w:hAnsi="Arial" w:cs="Arial"/>
        </w:rPr>
        <w:footnoteRef/>
      </w:r>
      <w:r w:rsidRPr="009A382F">
        <w:rPr>
          <w:rFonts w:ascii="Arial" w:hAnsi="Arial" w:cs="Arial"/>
        </w:rPr>
        <w:t xml:space="preserve"> </w:t>
      </w:r>
      <w:r w:rsidRPr="009A382F">
        <w:rPr>
          <w:rFonts w:ascii="Arial" w:hAnsi="Arial" w:cs="Arial"/>
          <w:lang w:val="en-US"/>
        </w:rPr>
        <w:t>Ibid para 15.</w:t>
      </w:r>
    </w:p>
  </w:footnote>
  <w:footnote w:id="9">
    <w:p w14:paraId="3AC421FB" w14:textId="25C7F350" w:rsidR="00124EB5" w:rsidRPr="009A382F" w:rsidRDefault="00124EB5" w:rsidP="009A382F">
      <w:pPr>
        <w:pStyle w:val="FootnoteText"/>
        <w:contextualSpacing/>
        <w:jc w:val="both"/>
        <w:rPr>
          <w:rFonts w:ascii="Arial" w:hAnsi="Arial" w:cs="Arial"/>
          <w:lang w:val="en-US"/>
        </w:rPr>
      </w:pPr>
      <w:r w:rsidRPr="009A382F">
        <w:rPr>
          <w:rStyle w:val="FootnoteReference"/>
          <w:rFonts w:ascii="Arial" w:hAnsi="Arial" w:cs="Arial"/>
        </w:rPr>
        <w:footnoteRef/>
      </w:r>
      <w:r w:rsidRPr="009A382F">
        <w:rPr>
          <w:rFonts w:ascii="Arial" w:hAnsi="Arial" w:cs="Arial"/>
        </w:rPr>
        <w:t xml:space="preserve"> </w:t>
      </w:r>
      <w:r w:rsidRPr="009A382F">
        <w:rPr>
          <w:rFonts w:ascii="Arial" w:hAnsi="Arial" w:cs="Arial"/>
          <w:i/>
          <w:iCs/>
        </w:rPr>
        <w:t>Davis v Workmen’s Compensation Commissioner</w:t>
      </w:r>
      <w:r w:rsidRPr="009A382F">
        <w:rPr>
          <w:rFonts w:ascii="Arial" w:hAnsi="Arial" w:cs="Arial"/>
        </w:rPr>
        <w:t xml:space="preserve"> 1995 (3) SA 689 (C) at 694F-G.</w:t>
      </w:r>
    </w:p>
  </w:footnote>
  <w:footnote w:id="10">
    <w:p w14:paraId="219113E8" w14:textId="77777777" w:rsidR="00085E3E" w:rsidRPr="009A382F" w:rsidRDefault="00085E3E" w:rsidP="009A382F">
      <w:pPr>
        <w:pStyle w:val="FootnoteText"/>
        <w:contextualSpacing/>
        <w:jc w:val="both"/>
        <w:rPr>
          <w:rFonts w:ascii="Arial" w:hAnsi="Arial" w:cs="Arial"/>
        </w:rPr>
      </w:pPr>
      <w:r w:rsidRPr="009A382F">
        <w:rPr>
          <w:rStyle w:val="FootnoteReference"/>
          <w:rFonts w:ascii="Arial" w:hAnsi="Arial" w:cs="Arial"/>
        </w:rPr>
        <w:footnoteRef/>
      </w:r>
      <w:r w:rsidRPr="009A382F">
        <w:rPr>
          <w:rFonts w:ascii="Arial" w:hAnsi="Arial" w:cs="Arial"/>
        </w:rPr>
        <w:t xml:space="preserve"> </w:t>
      </w:r>
      <w:r w:rsidRPr="009A382F">
        <w:rPr>
          <w:rFonts w:ascii="Arial" w:hAnsi="Arial" w:cs="Arial"/>
          <w:i/>
        </w:rPr>
        <w:t>Mahlangu and another v Minister of Labour and others</w:t>
      </w:r>
      <w:r w:rsidRPr="009A382F">
        <w:rPr>
          <w:rFonts w:ascii="Arial" w:hAnsi="Arial" w:cs="Arial"/>
        </w:rPr>
        <w:t xml:space="preserve"> [2020] ZACC 24; 2021 (2) SA 54 (CC) par 52.</w:t>
      </w:r>
    </w:p>
  </w:footnote>
  <w:footnote w:id="11">
    <w:p w14:paraId="55B55FBB" w14:textId="77777777" w:rsidR="00085E3E" w:rsidRPr="009A382F" w:rsidRDefault="00085E3E" w:rsidP="009A382F">
      <w:pPr>
        <w:pStyle w:val="FootnoteText"/>
        <w:contextualSpacing/>
        <w:jc w:val="both"/>
        <w:rPr>
          <w:rFonts w:ascii="Arial" w:hAnsi="Arial" w:cs="Arial"/>
        </w:rPr>
      </w:pPr>
      <w:r w:rsidRPr="009A382F">
        <w:rPr>
          <w:rStyle w:val="FootnoteReference"/>
          <w:rFonts w:ascii="Arial" w:hAnsi="Arial" w:cs="Arial"/>
        </w:rPr>
        <w:footnoteRef/>
      </w:r>
      <w:r w:rsidRPr="009A382F">
        <w:rPr>
          <w:rFonts w:ascii="Arial" w:hAnsi="Arial" w:cs="Arial"/>
        </w:rPr>
        <w:t xml:space="preserve"> Ibid.</w:t>
      </w:r>
    </w:p>
  </w:footnote>
  <w:footnote w:id="12">
    <w:p w14:paraId="377C40F5" w14:textId="2D47303E" w:rsidR="00EF0F93" w:rsidRPr="009A382F" w:rsidRDefault="00EF0F93" w:rsidP="009A382F">
      <w:pPr>
        <w:pStyle w:val="FootnoteText"/>
        <w:contextualSpacing/>
        <w:jc w:val="both"/>
        <w:rPr>
          <w:rFonts w:ascii="Arial" w:hAnsi="Arial" w:cs="Arial"/>
          <w:lang w:val="en-US"/>
        </w:rPr>
      </w:pPr>
      <w:r w:rsidRPr="009A382F">
        <w:rPr>
          <w:rStyle w:val="FootnoteReference"/>
          <w:rFonts w:ascii="Arial" w:hAnsi="Arial" w:cs="Arial"/>
        </w:rPr>
        <w:footnoteRef/>
      </w:r>
      <w:r w:rsidRPr="009A382F">
        <w:rPr>
          <w:rFonts w:ascii="Arial" w:hAnsi="Arial" w:cs="Arial"/>
        </w:rPr>
        <w:t xml:space="preserve"> The equation is the following: 100% - 40% GAF = 60 x 65 = 39% permanent </w:t>
      </w:r>
      <w:r w:rsidR="009A382F">
        <w:rPr>
          <w:rFonts w:ascii="Arial" w:hAnsi="Arial" w:cs="Arial"/>
        </w:rPr>
        <w:t>disablement</w:t>
      </w:r>
      <w:r w:rsidRPr="009A382F">
        <w:rPr>
          <w:rFonts w:ascii="Arial" w:hAnsi="Arial" w:cs="Arial"/>
        </w:rPr>
        <w:t>.</w:t>
      </w:r>
    </w:p>
  </w:footnote>
  <w:footnote w:id="13">
    <w:p w14:paraId="34D4CE5F" w14:textId="2ECDB1C7" w:rsidR="00EF0F93" w:rsidRPr="009A382F" w:rsidRDefault="00EF0F93" w:rsidP="009A382F">
      <w:pPr>
        <w:contextualSpacing/>
        <w:jc w:val="both"/>
        <w:rPr>
          <w:rFonts w:ascii="Arial" w:hAnsi="Arial" w:cs="Arial"/>
          <w:color w:val="000000" w:themeColor="text1"/>
          <w:sz w:val="20"/>
          <w:szCs w:val="20"/>
          <w:lang w:val="en-US"/>
        </w:rPr>
      </w:pPr>
      <w:r w:rsidRPr="009A382F">
        <w:rPr>
          <w:rStyle w:val="FootnoteReference"/>
          <w:rFonts w:ascii="Arial" w:hAnsi="Arial" w:cs="Arial"/>
          <w:color w:val="000000" w:themeColor="text1"/>
          <w:sz w:val="20"/>
          <w:szCs w:val="20"/>
        </w:rPr>
        <w:footnoteRef/>
      </w:r>
      <w:r w:rsidRPr="009A382F">
        <w:rPr>
          <w:rFonts w:ascii="Arial" w:hAnsi="Arial" w:cs="Arial"/>
          <w:color w:val="000000" w:themeColor="text1"/>
          <w:sz w:val="20"/>
          <w:szCs w:val="20"/>
        </w:rPr>
        <w:t xml:space="preserve"> </w:t>
      </w:r>
      <w:hyperlink r:id="rId1" w:history="1">
        <w:r w:rsidRPr="009A382F">
          <w:rPr>
            <w:rStyle w:val="Hyperlink"/>
            <w:rFonts w:ascii="Arial" w:hAnsi="Arial" w:cs="Arial"/>
            <w:color w:val="000000" w:themeColor="text1"/>
            <w:sz w:val="20"/>
            <w:szCs w:val="20"/>
          </w:rPr>
          <w:t>https://dictionary.cambridge.org/dictionary/english/plausible</w:t>
        </w:r>
      </w:hyperlink>
      <w:r w:rsidRPr="009A382F">
        <w:rPr>
          <w:rFonts w:ascii="Arial" w:hAnsi="Arial" w:cs="Arial"/>
          <w:color w:val="000000" w:themeColor="text1"/>
          <w:sz w:val="20"/>
          <w:szCs w:val="20"/>
        </w:rPr>
        <w:t>. The definition of the word ‘plausible’ is: ‘Seeming likely to be true, or able to be believed</w:t>
      </w:r>
      <w:r w:rsidR="006C6630" w:rsidRPr="009A382F">
        <w:rPr>
          <w:rFonts w:ascii="Arial" w:hAnsi="Arial" w:cs="Arial"/>
          <w:color w:val="000000" w:themeColor="text1"/>
          <w:sz w:val="20"/>
          <w:szCs w:val="20"/>
        </w:rPr>
        <w:t>’</w:t>
      </w:r>
      <w:r w:rsidRPr="009A382F">
        <w:rPr>
          <w:rFonts w:ascii="Arial" w:hAnsi="Arial" w:cs="Arial"/>
          <w:color w:val="000000" w:themeColor="text1"/>
          <w:sz w:val="20"/>
          <w:szCs w:val="20"/>
        </w:rPr>
        <w:t xml:space="preserve"> </w:t>
      </w:r>
      <w:r w:rsidR="006C6630" w:rsidRPr="009A382F">
        <w:rPr>
          <w:rFonts w:ascii="Arial" w:hAnsi="Arial" w:cs="Arial"/>
          <w:color w:val="000000" w:themeColor="text1"/>
          <w:sz w:val="20"/>
          <w:szCs w:val="20"/>
        </w:rPr>
        <w:t>or ‘</w:t>
      </w:r>
      <w:r w:rsidRPr="009A382F">
        <w:rPr>
          <w:rFonts w:ascii="Arial" w:hAnsi="Arial" w:cs="Arial"/>
          <w:color w:val="000000" w:themeColor="text1"/>
          <w:sz w:val="20"/>
          <w:szCs w:val="20"/>
        </w:rPr>
        <w:t>possibly true</w:t>
      </w:r>
      <w:r w:rsidR="006C6630" w:rsidRPr="009A382F">
        <w:rPr>
          <w:rFonts w:ascii="Arial" w:hAnsi="Arial" w:cs="Arial"/>
          <w:color w:val="000000" w:themeColor="text1"/>
          <w:sz w:val="20"/>
          <w:szCs w:val="20"/>
        </w:rPr>
        <w:t>’</w:t>
      </w:r>
      <w:r w:rsidRPr="009A382F">
        <w:rPr>
          <w:rFonts w:ascii="Arial" w:hAnsi="Arial" w:cs="Arial"/>
          <w:color w:val="000000" w:themeColor="text1"/>
          <w:sz w:val="20"/>
          <w:szCs w:val="20"/>
        </w:rPr>
        <w:t>.</w:t>
      </w:r>
    </w:p>
  </w:footnote>
  <w:footnote w:id="14">
    <w:p w14:paraId="25B2CB77" w14:textId="29A4C5DC" w:rsidR="00910701" w:rsidRPr="00910701" w:rsidRDefault="00910701">
      <w:pPr>
        <w:pStyle w:val="FootnoteText"/>
        <w:rPr>
          <w:rFonts w:asciiTheme="minorBidi" w:hAnsiTheme="minorBidi" w:cstheme="minorBidi"/>
          <w:lang w:val="en-US"/>
        </w:rPr>
      </w:pPr>
      <w:r w:rsidRPr="00910701">
        <w:rPr>
          <w:rStyle w:val="FootnoteReference"/>
          <w:rFonts w:asciiTheme="minorBidi" w:hAnsiTheme="minorBidi" w:cstheme="minorBidi"/>
        </w:rPr>
        <w:footnoteRef/>
      </w:r>
      <w:r w:rsidRPr="00910701">
        <w:rPr>
          <w:rFonts w:asciiTheme="minorBidi" w:hAnsiTheme="minorBidi" w:cstheme="minorBidi"/>
        </w:rPr>
        <w:t xml:space="preserve"> </w:t>
      </w:r>
      <w:r w:rsidRPr="00910701">
        <w:rPr>
          <w:rFonts w:asciiTheme="minorBidi" w:hAnsiTheme="minorBidi" w:cstheme="minorBidi"/>
          <w:i/>
          <w:iCs/>
          <w:color w:val="000000"/>
          <w:lang w:val="en-US"/>
        </w:rPr>
        <w:t>Board of Education v Rice</w:t>
      </w:r>
      <w:r w:rsidRPr="00910701">
        <w:rPr>
          <w:rFonts w:asciiTheme="minorBidi" w:hAnsiTheme="minorBidi" w:cstheme="minorBidi"/>
          <w:color w:val="000000"/>
          <w:lang w:val="en-US"/>
        </w:rPr>
        <w:t xml:space="preserve"> [1911] AC 179 at 182</w:t>
      </w:r>
      <w:r>
        <w:rPr>
          <w:rFonts w:asciiTheme="minorBidi" w:hAnsiTheme="minorBidi" w:cstheme="minorBidi"/>
          <w:color w:val="000000"/>
          <w:lang w:val="en-US"/>
        </w:rPr>
        <w:t>.</w:t>
      </w:r>
    </w:p>
  </w:footnote>
  <w:footnote w:id="15">
    <w:p w14:paraId="4BF50E19" w14:textId="1F350FF5" w:rsidR="00457649" w:rsidRPr="00910701" w:rsidRDefault="00457649" w:rsidP="009A382F">
      <w:pPr>
        <w:pStyle w:val="FootnoteText"/>
        <w:contextualSpacing/>
        <w:jc w:val="both"/>
        <w:rPr>
          <w:rFonts w:asciiTheme="minorBidi" w:hAnsiTheme="minorBidi" w:cstheme="minorBidi"/>
          <w:lang w:val="en-GB"/>
        </w:rPr>
      </w:pPr>
      <w:r w:rsidRPr="00910701">
        <w:rPr>
          <w:rStyle w:val="FootnoteReference"/>
          <w:rFonts w:asciiTheme="minorBidi" w:hAnsiTheme="minorBidi" w:cstheme="minorBidi"/>
        </w:rPr>
        <w:footnoteRef/>
      </w:r>
      <w:r w:rsidRPr="00910701">
        <w:rPr>
          <w:rFonts w:asciiTheme="minorBidi" w:hAnsiTheme="minorBidi" w:cstheme="minorBidi"/>
        </w:rPr>
        <w:t xml:space="preserve"> </w:t>
      </w:r>
      <w:r w:rsidRPr="00910701">
        <w:rPr>
          <w:rFonts w:asciiTheme="minorBidi" w:hAnsiTheme="minorBidi" w:cstheme="minorBidi"/>
          <w:lang w:val="en-GB"/>
        </w:rPr>
        <w:t>Section 1.</w:t>
      </w:r>
    </w:p>
  </w:footnote>
  <w:footnote w:id="16">
    <w:p w14:paraId="271D98E4" w14:textId="2429F2B1" w:rsidR="00876A38" w:rsidRPr="009A382F" w:rsidRDefault="00876A38" w:rsidP="009A382F">
      <w:pPr>
        <w:pStyle w:val="Heading2"/>
        <w:spacing w:before="0"/>
        <w:contextualSpacing/>
        <w:jc w:val="both"/>
        <w:rPr>
          <w:rFonts w:ascii="Arial" w:hAnsi="Arial" w:cs="Arial"/>
          <w:color w:val="000000" w:themeColor="text1"/>
          <w:sz w:val="20"/>
          <w:szCs w:val="20"/>
          <w:lang w:val="en-US"/>
        </w:rPr>
      </w:pPr>
      <w:r w:rsidRPr="009A382F">
        <w:rPr>
          <w:rStyle w:val="FootnoteReference"/>
          <w:rFonts w:ascii="Arial" w:hAnsi="Arial" w:cs="Arial"/>
          <w:color w:val="000000" w:themeColor="text1"/>
          <w:sz w:val="20"/>
          <w:szCs w:val="20"/>
        </w:rPr>
        <w:footnoteRef/>
      </w:r>
      <w:r w:rsidRPr="009A382F">
        <w:rPr>
          <w:rFonts w:ascii="Arial" w:hAnsi="Arial" w:cs="Arial"/>
          <w:color w:val="000000" w:themeColor="text1"/>
          <w:sz w:val="20"/>
          <w:szCs w:val="20"/>
        </w:rPr>
        <w:t xml:space="preserve"> </w:t>
      </w:r>
      <w:r w:rsidRPr="009A382F">
        <w:rPr>
          <w:rFonts w:ascii="Arial" w:hAnsi="Arial" w:cs="Arial"/>
          <w:i/>
          <w:iCs/>
          <w:color w:val="000000" w:themeColor="text1"/>
          <w:sz w:val="20"/>
          <w:szCs w:val="20"/>
        </w:rPr>
        <w:t xml:space="preserve">Healy v </w:t>
      </w:r>
      <w:r w:rsidR="000920BC" w:rsidRPr="009A382F">
        <w:rPr>
          <w:rFonts w:ascii="Arial" w:hAnsi="Arial" w:cs="Arial"/>
          <w:i/>
          <w:iCs/>
          <w:color w:val="000000" w:themeColor="text1"/>
          <w:sz w:val="20"/>
          <w:szCs w:val="20"/>
        </w:rPr>
        <w:t>Compensation Commissioner and another</w:t>
      </w:r>
      <w:r w:rsidRPr="009A382F">
        <w:rPr>
          <w:rFonts w:ascii="Arial" w:hAnsi="Arial" w:cs="Arial"/>
          <w:color w:val="000000" w:themeColor="text1"/>
          <w:sz w:val="20"/>
          <w:szCs w:val="20"/>
        </w:rPr>
        <w:t xml:space="preserve"> [2008] ZAECHC 167; 2010 (2) SA 470 (E); (2009) 30 ILJ 859 (E)</w:t>
      </w:r>
      <w:r w:rsidR="000920BC" w:rsidRPr="009A382F">
        <w:rPr>
          <w:rFonts w:ascii="Arial" w:hAnsi="Arial" w:cs="Arial"/>
          <w:color w:val="000000" w:themeColor="text1"/>
          <w:sz w:val="20"/>
          <w:szCs w:val="20"/>
        </w:rPr>
        <w:t xml:space="preserve"> para 18</w:t>
      </w:r>
      <w:r w:rsidRPr="009A382F">
        <w:rPr>
          <w:rFonts w:ascii="Arial" w:hAnsi="Arial" w:cs="Arial"/>
          <w:color w:val="000000" w:themeColor="text1"/>
          <w:sz w:val="20"/>
          <w:szCs w:val="20"/>
        </w:rPr>
        <w:t>.</w:t>
      </w:r>
    </w:p>
  </w:footnote>
  <w:footnote w:id="17">
    <w:p w14:paraId="06A1ED53" w14:textId="0C661601" w:rsidR="00214CD3" w:rsidRPr="009A382F" w:rsidRDefault="00214CD3" w:rsidP="009A382F">
      <w:pPr>
        <w:pStyle w:val="ListParagraph"/>
        <w:tabs>
          <w:tab w:val="left" w:pos="709"/>
        </w:tabs>
        <w:ind w:left="0"/>
        <w:jc w:val="both"/>
        <w:rPr>
          <w:rFonts w:ascii="Arial" w:hAnsi="Arial" w:cs="Arial"/>
          <w:sz w:val="20"/>
          <w:szCs w:val="20"/>
          <w:lang w:val="en-US"/>
        </w:rPr>
      </w:pPr>
      <w:r w:rsidRPr="009A382F">
        <w:rPr>
          <w:rStyle w:val="FootnoteReference"/>
          <w:rFonts w:ascii="Arial" w:hAnsi="Arial" w:cs="Arial"/>
          <w:sz w:val="20"/>
          <w:szCs w:val="20"/>
        </w:rPr>
        <w:footnoteRef/>
      </w:r>
      <w:r w:rsidRPr="009A382F">
        <w:rPr>
          <w:rFonts w:ascii="Arial" w:hAnsi="Arial" w:cs="Arial"/>
          <w:sz w:val="20"/>
          <w:szCs w:val="20"/>
        </w:rPr>
        <w:t xml:space="preserve"> </w:t>
      </w:r>
      <w:r w:rsidRPr="009A382F">
        <w:rPr>
          <w:rFonts w:ascii="Arial" w:hAnsi="Arial" w:cs="Arial"/>
          <w:i/>
          <w:iCs/>
          <w:color w:val="000000" w:themeColor="text1"/>
          <w:sz w:val="20"/>
          <w:szCs w:val="20"/>
        </w:rPr>
        <w:t>Department of Labour: Compensation Commissioner v Botha</w:t>
      </w:r>
      <w:r w:rsidRPr="009A382F">
        <w:rPr>
          <w:rFonts w:ascii="Arial" w:hAnsi="Arial" w:cs="Arial"/>
          <w:color w:val="000000" w:themeColor="text1"/>
          <w:sz w:val="20"/>
          <w:szCs w:val="20"/>
        </w:rPr>
        <w:t xml:space="preserve"> [2022] ZASCA 38; (2022) 43 ILJ 1066 (SCA).</w:t>
      </w:r>
    </w:p>
  </w:footnote>
  <w:footnote w:id="18">
    <w:p w14:paraId="6ED75AF6" w14:textId="5994B901" w:rsidR="00585E62" w:rsidRPr="009A382F" w:rsidRDefault="00585E62" w:rsidP="009A382F">
      <w:pPr>
        <w:pStyle w:val="FootnoteText"/>
        <w:contextualSpacing/>
        <w:jc w:val="both"/>
        <w:rPr>
          <w:rFonts w:ascii="Arial" w:hAnsi="Arial" w:cs="Arial"/>
          <w:lang w:val="en-GB"/>
        </w:rPr>
      </w:pPr>
      <w:r w:rsidRPr="009A382F">
        <w:rPr>
          <w:rStyle w:val="FootnoteReference"/>
          <w:rFonts w:ascii="Arial" w:hAnsi="Arial" w:cs="Arial"/>
        </w:rPr>
        <w:footnoteRef/>
      </w:r>
      <w:r w:rsidRPr="009A382F">
        <w:rPr>
          <w:rFonts w:ascii="Arial" w:hAnsi="Arial" w:cs="Arial"/>
        </w:rPr>
        <w:t xml:space="preserve"> </w:t>
      </w:r>
      <w:r w:rsidRPr="009A382F">
        <w:rPr>
          <w:rFonts w:ascii="Arial" w:hAnsi="Arial" w:cs="Arial"/>
          <w:lang w:val="en-GB"/>
        </w:rPr>
        <w:t xml:space="preserve">Ibid para 18. </w:t>
      </w:r>
    </w:p>
  </w:footnote>
  <w:footnote w:id="19">
    <w:p w14:paraId="535E6FC4" w14:textId="222855DE" w:rsidR="007B0DD3" w:rsidRPr="009A382F" w:rsidRDefault="007B0DD3" w:rsidP="009A382F">
      <w:pPr>
        <w:pStyle w:val="ListParagraph"/>
        <w:tabs>
          <w:tab w:val="left" w:pos="709"/>
        </w:tabs>
        <w:ind w:left="0"/>
        <w:jc w:val="both"/>
        <w:rPr>
          <w:rFonts w:ascii="Arial" w:hAnsi="Arial" w:cs="Arial"/>
          <w:sz w:val="20"/>
          <w:szCs w:val="20"/>
          <w:lang w:val="en-US"/>
        </w:rPr>
      </w:pPr>
      <w:r w:rsidRPr="009A382F">
        <w:rPr>
          <w:rStyle w:val="FootnoteReference"/>
          <w:rFonts w:ascii="Arial" w:hAnsi="Arial" w:cs="Arial"/>
          <w:sz w:val="20"/>
          <w:szCs w:val="20"/>
        </w:rPr>
        <w:footnoteRef/>
      </w:r>
      <w:r w:rsidRPr="009A382F">
        <w:rPr>
          <w:rFonts w:ascii="Arial" w:hAnsi="Arial" w:cs="Arial"/>
          <w:sz w:val="20"/>
          <w:szCs w:val="20"/>
        </w:rPr>
        <w:t xml:space="preserve"> </w:t>
      </w:r>
      <w:r w:rsidRPr="009A382F">
        <w:rPr>
          <w:rFonts w:ascii="Arial" w:hAnsi="Arial" w:cs="Arial"/>
          <w:i/>
          <w:iCs/>
          <w:color w:val="000000" w:themeColor="text1"/>
          <w:sz w:val="20"/>
          <w:szCs w:val="20"/>
        </w:rPr>
        <w:t>Department of Labour: Compensation Commissioner v Botha</w:t>
      </w:r>
      <w:r w:rsidRPr="009A382F">
        <w:rPr>
          <w:rFonts w:ascii="Arial" w:hAnsi="Arial" w:cs="Arial"/>
          <w:color w:val="000000" w:themeColor="text1"/>
          <w:sz w:val="20"/>
          <w:szCs w:val="20"/>
        </w:rPr>
        <w:t xml:space="preserve"> [2022] ZASCA 38; (2022) 43 ILJ 1066 (SCA)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Theme="minorBidi" w:hAnsiTheme="minorBidi" w:cstheme="minorBidi"/>
        <w:noProof/>
      </w:rPr>
    </w:sdtEndPr>
    <w:sdtContent>
      <w:p w14:paraId="3DFFC2D5" w14:textId="05D2DC5D" w:rsidR="0088498F" w:rsidRPr="007A1E58" w:rsidRDefault="0088498F" w:rsidP="0054261C">
        <w:pPr>
          <w:pStyle w:val="Header"/>
          <w:jc w:val="right"/>
          <w:rPr>
            <w:rFonts w:asciiTheme="minorBidi" w:hAnsiTheme="minorBidi" w:cstheme="minorBidi"/>
          </w:rPr>
        </w:pPr>
        <w:r w:rsidRPr="007A1E58">
          <w:rPr>
            <w:rFonts w:asciiTheme="minorBidi" w:hAnsiTheme="minorBidi" w:cstheme="minorBidi"/>
          </w:rPr>
          <w:fldChar w:fldCharType="begin"/>
        </w:r>
        <w:r w:rsidRPr="007A1E58">
          <w:rPr>
            <w:rFonts w:asciiTheme="minorBidi" w:hAnsiTheme="minorBidi" w:cstheme="minorBidi"/>
          </w:rPr>
          <w:instrText xml:space="preserve"> PAGE   \* MERGEFORMAT </w:instrText>
        </w:r>
        <w:r w:rsidRPr="007A1E58">
          <w:rPr>
            <w:rFonts w:asciiTheme="minorBidi" w:hAnsiTheme="minorBidi" w:cstheme="minorBidi"/>
          </w:rPr>
          <w:fldChar w:fldCharType="separate"/>
        </w:r>
        <w:r w:rsidR="00706B3E">
          <w:rPr>
            <w:rFonts w:asciiTheme="minorBidi" w:hAnsiTheme="minorBidi" w:cstheme="minorBidi"/>
            <w:noProof/>
          </w:rPr>
          <w:t>2</w:t>
        </w:r>
        <w:r w:rsidRPr="007A1E58">
          <w:rPr>
            <w:rFonts w:asciiTheme="minorBidi" w:hAnsiTheme="minorBidi" w:cstheme="minorBidi"/>
            <w:noProof/>
          </w:rPr>
          <w:fldChar w:fldCharType="end"/>
        </w:r>
      </w:p>
    </w:sdtContent>
  </w:sdt>
  <w:p w14:paraId="17E23B53" w14:textId="77777777" w:rsidR="0088498F" w:rsidRDefault="0088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3805"/>
    <w:multiLevelType w:val="hybridMultilevel"/>
    <w:tmpl w:val="143E0DA6"/>
    <w:lvl w:ilvl="0" w:tplc="D7EAB22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557BF"/>
    <w:multiLevelType w:val="hybridMultilevel"/>
    <w:tmpl w:val="E1C8760E"/>
    <w:lvl w:ilvl="0" w:tplc="1C09000F">
      <w:start w:val="1"/>
      <w:numFmt w:val="decimal"/>
      <w:lvlText w:val="%1."/>
      <w:lvlJc w:val="left"/>
      <w:pPr>
        <w:ind w:left="720" w:hanging="360"/>
      </w:pPr>
      <w:rPr>
        <w:rFonts w:hint="default"/>
      </w:rPr>
    </w:lvl>
    <w:lvl w:ilvl="1" w:tplc="933011A6">
      <w:start w:val="1"/>
      <w:numFmt w:val="decimal"/>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6D1FD0"/>
    <w:multiLevelType w:val="hybridMultilevel"/>
    <w:tmpl w:val="782CA9A6"/>
    <w:lvl w:ilvl="0" w:tplc="C284CCE0">
      <w:start w:val="1"/>
      <w:numFmt w:val="decimal"/>
      <w:lvlText w:val="[%1]"/>
      <w:lvlJc w:val="left"/>
      <w:pPr>
        <w:ind w:left="5322" w:hanging="360"/>
      </w:pPr>
      <w:rPr>
        <w:rFonts w:ascii="Arial" w:hAnsi="Arial" w:hint="default"/>
        <w:i w:val="0"/>
        <w:sz w:val="24"/>
        <w:szCs w:val="24"/>
      </w:rPr>
    </w:lvl>
    <w:lvl w:ilvl="1" w:tplc="56489016">
      <w:start w:val="1"/>
      <w:numFmt w:val="lowerLetter"/>
      <w:lvlText w:val="(%2)"/>
      <w:lvlJc w:val="left"/>
      <w:pPr>
        <w:ind w:left="1440" w:hanging="360"/>
      </w:pPr>
      <w:rPr>
        <w:rFonts w:ascii="Arial" w:eastAsiaTheme="minorHAnsi" w:hAnsi="Arial" w:cs="Arial"/>
        <w:i w:val="0"/>
        <w:iCs/>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60EAFA">
      <w:start w:val="2"/>
      <w:numFmt w:val="lowerRoman"/>
      <w:lvlText w:val="(%6)"/>
      <w:lvlJc w:val="left"/>
      <w:pPr>
        <w:ind w:left="4860" w:hanging="72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1E2049"/>
    <w:multiLevelType w:val="hybridMultilevel"/>
    <w:tmpl w:val="6FD00D5C"/>
    <w:lvl w:ilvl="0" w:tplc="9D3EDCCE">
      <w:start w:val="3"/>
      <w:numFmt w:val="lowerRoman"/>
      <w:lvlText w:val="(%1)"/>
      <w:lvlJc w:val="left"/>
      <w:pPr>
        <w:ind w:left="14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F20B7"/>
    <w:multiLevelType w:val="multilevel"/>
    <w:tmpl w:val="7900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10153"/>
    <w:multiLevelType w:val="hybridMultilevel"/>
    <w:tmpl w:val="90BC1E6E"/>
    <w:lvl w:ilvl="0" w:tplc="097C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BF29BC"/>
    <w:multiLevelType w:val="hybridMultilevel"/>
    <w:tmpl w:val="490E29C2"/>
    <w:lvl w:ilvl="0" w:tplc="C05E6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245304"/>
    <w:multiLevelType w:val="hybridMultilevel"/>
    <w:tmpl w:val="1CEAA0DC"/>
    <w:lvl w:ilvl="0" w:tplc="D818A5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57BC18D9"/>
    <w:multiLevelType w:val="hybridMultilevel"/>
    <w:tmpl w:val="9A6487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212B71"/>
    <w:multiLevelType w:val="hybridMultilevel"/>
    <w:tmpl w:val="67A45E9A"/>
    <w:lvl w:ilvl="0" w:tplc="D87CCEF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4F1BB2"/>
    <w:multiLevelType w:val="hybridMultilevel"/>
    <w:tmpl w:val="9EFEE708"/>
    <w:lvl w:ilvl="0" w:tplc="1BC6D4C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E091314"/>
    <w:multiLevelType w:val="hybridMultilevel"/>
    <w:tmpl w:val="65A85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0C7FE2"/>
    <w:multiLevelType w:val="hybridMultilevel"/>
    <w:tmpl w:val="FB50D55E"/>
    <w:lvl w:ilvl="0" w:tplc="37CCE9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7D877724"/>
    <w:multiLevelType w:val="hybridMultilevel"/>
    <w:tmpl w:val="61567EFE"/>
    <w:lvl w:ilvl="0" w:tplc="98882CA0">
      <w:start w:val="3"/>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num>
  <w:num w:numId="2">
    <w:abstractNumId w:val="1"/>
  </w:num>
  <w:num w:numId="3">
    <w:abstractNumId w:val="5"/>
  </w:num>
  <w:num w:numId="4">
    <w:abstractNumId w:val="11"/>
  </w:num>
  <w:num w:numId="5">
    <w:abstractNumId w:val="0"/>
  </w:num>
  <w:num w:numId="6">
    <w:abstractNumId w:val="10"/>
  </w:num>
  <w:num w:numId="7">
    <w:abstractNumId w:val="6"/>
  </w:num>
  <w:num w:numId="8">
    <w:abstractNumId w:val="12"/>
  </w:num>
  <w:num w:numId="9">
    <w:abstractNumId w:val="9"/>
  </w:num>
  <w:num w:numId="10">
    <w:abstractNumId w:val="7"/>
  </w:num>
  <w:num w:numId="11">
    <w:abstractNumId w:val="13"/>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B2"/>
    <w:rsid w:val="00006E7C"/>
    <w:rsid w:val="00015D7A"/>
    <w:rsid w:val="000172FB"/>
    <w:rsid w:val="00040D21"/>
    <w:rsid w:val="000435C1"/>
    <w:rsid w:val="0004370A"/>
    <w:rsid w:val="0005044A"/>
    <w:rsid w:val="000545E6"/>
    <w:rsid w:val="00061C7B"/>
    <w:rsid w:val="00071BB1"/>
    <w:rsid w:val="000829C8"/>
    <w:rsid w:val="00085E3E"/>
    <w:rsid w:val="000920BC"/>
    <w:rsid w:val="00097F7D"/>
    <w:rsid w:val="000A7C39"/>
    <w:rsid w:val="000B517E"/>
    <w:rsid w:val="000D3F10"/>
    <w:rsid w:val="000E094D"/>
    <w:rsid w:val="000F64C3"/>
    <w:rsid w:val="000F65E7"/>
    <w:rsid w:val="00120A89"/>
    <w:rsid w:val="00124EB5"/>
    <w:rsid w:val="00127897"/>
    <w:rsid w:val="00134740"/>
    <w:rsid w:val="00136E90"/>
    <w:rsid w:val="001447D9"/>
    <w:rsid w:val="00167D81"/>
    <w:rsid w:val="001820E0"/>
    <w:rsid w:val="001C0BB7"/>
    <w:rsid w:val="001E1A87"/>
    <w:rsid w:val="001E2574"/>
    <w:rsid w:val="001E5DDA"/>
    <w:rsid w:val="00207F82"/>
    <w:rsid w:val="00210E8A"/>
    <w:rsid w:val="00214CD3"/>
    <w:rsid w:val="002156CD"/>
    <w:rsid w:val="00215824"/>
    <w:rsid w:val="00231119"/>
    <w:rsid w:val="002311E9"/>
    <w:rsid w:val="00243622"/>
    <w:rsid w:val="002539A8"/>
    <w:rsid w:val="002563E5"/>
    <w:rsid w:val="002675ED"/>
    <w:rsid w:val="00276DD3"/>
    <w:rsid w:val="00290AB5"/>
    <w:rsid w:val="00290E1E"/>
    <w:rsid w:val="002922A5"/>
    <w:rsid w:val="00293E43"/>
    <w:rsid w:val="002D4953"/>
    <w:rsid w:val="002E6873"/>
    <w:rsid w:val="00301EE9"/>
    <w:rsid w:val="00314165"/>
    <w:rsid w:val="00314EB2"/>
    <w:rsid w:val="00322A46"/>
    <w:rsid w:val="003258BF"/>
    <w:rsid w:val="00326E6C"/>
    <w:rsid w:val="00332181"/>
    <w:rsid w:val="00332390"/>
    <w:rsid w:val="00332B10"/>
    <w:rsid w:val="00340E5B"/>
    <w:rsid w:val="00352A47"/>
    <w:rsid w:val="0036391D"/>
    <w:rsid w:val="00364CB7"/>
    <w:rsid w:val="00372E53"/>
    <w:rsid w:val="003811D7"/>
    <w:rsid w:val="00384E97"/>
    <w:rsid w:val="0039162F"/>
    <w:rsid w:val="00395EE7"/>
    <w:rsid w:val="003B0806"/>
    <w:rsid w:val="003C34E5"/>
    <w:rsid w:val="003C460D"/>
    <w:rsid w:val="003C53AF"/>
    <w:rsid w:val="003C7D7E"/>
    <w:rsid w:val="003E75CF"/>
    <w:rsid w:val="003F4D89"/>
    <w:rsid w:val="00402EC1"/>
    <w:rsid w:val="00421723"/>
    <w:rsid w:val="0042303E"/>
    <w:rsid w:val="004307CE"/>
    <w:rsid w:val="004452D3"/>
    <w:rsid w:val="00446546"/>
    <w:rsid w:val="00447D2A"/>
    <w:rsid w:val="00457649"/>
    <w:rsid w:val="00466D2E"/>
    <w:rsid w:val="0047728B"/>
    <w:rsid w:val="00477D5E"/>
    <w:rsid w:val="00485F8D"/>
    <w:rsid w:val="0048664A"/>
    <w:rsid w:val="004945B8"/>
    <w:rsid w:val="00494F53"/>
    <w:rsid w:val="004959E4"/>
    <w:rsid w:val="00496A3A"/>
    <w:rsid w:val="00497A55"/>
    <w:rsid w:val="00497FDD"/>
    <w:rsid w:val="004A6116"/>
    <w:rsid w:val="004B33BD"/>
    <w:rsid w:val="004C0EED"/>
    <w:rsid w:val="004C32AF"/>
    <w:rsid w:val="004D35C2"/>
    <w:rsid w:val="004D51AF"/>
    <w:rsid w:val="00510282"/>
    <w:rsid w:val="00513152"/>
    <w:rsid w:val="0054261C"/>
    <w:rsid w:val="00544E4B"/>
    <w:rsid w:val="00563113"/>
    <w:rsid w:val="00564105"/>
    <w:rsid w:val="00564695"/>
    <w:rsid w:val="005672C8"/>
    <w:rsid w:val="00573EDA"/>
    <w:rsid w:val="00575090"/>
    <w:rsid w:val="00585E62"/>
    <w:rsid w:val="00593201"/>
    <w:rsid w:val="005A103A"/>
    <w:rsid w:val="005A3057"/>
    <w:rsid w:val="005A3BED"/>
    <w:rsid w:val="005A7739"/>
    <w:rsid w:val="005D5F8E"/>
    <w:rsid w:val="005E6D6B"/>
    <w:rsid w:val="005F581F"/>
    <w:rsid w:val="005F6435"/>
    <w:rsid w:val="00612126"/>
    <w:rsid w:val="006156F3"/>
    <w:rsid w:val="006245BB"/>
    <w:rsid w:val="00625B09"/>
    <w:rsid w:val="00635BB2"/>
    <w:rsid w:val="00640A2D"/>
    <w:rsid w:val="00655E44"/>
    <w:rsid w:val="0066010B"/>
    <w:rsid w:val="00662774"/>
    <w:rsid w:val="00667D5B"/>
    <w:rsid w:val="0069409D"/>
    <w:rsid w:val="006C63B2"/>
    <w:rsid w:val="006C6630"/>
    <w:rsid w:val="006E2B45"/>
    <w:rsid w:val="006E3D41"/>
    <w:rsid w:val="006F085E"/>
    <w:rsid w:val="006F70A8"/>
    <w:rsid w:val="00700C51"/>
    <w:rsid w:val="007045AC"/>
    <w:rsid w:val="00705EC4"/>
    <w:rsid w:val="00706B3E"/>
    <w:rsid w:val="0071149F"/>
    <w:rsid w:val="0072302C"/>
    <w:rsid w:val="007256B7"/>
    <w:rsid w:val="0072581A"/>
    <w:rsid w:val="0072695F"/>
    <w:rsid w:val="007269E6"/>
    <w:rsid w:val="00736D65"/>
    <w:rsid w:val="00737661"/>
    <w:rsid w:val="007403A7"/>
    <w:rsid w:val="007407BC"/>
    <w:rsid w:val="00740FF6"/>
    <w:rsid w:val="00742C86"/>
    <w:rsid w:val="007541C8"/>
    <w:rsid w:val="00756615"/>
    <w:rsid w:val="00765CF9"/>
    <w:rsid w:val="00781BFC"/>
    <w:rsid w:val="00792FE8"/>
    <w:rsid w:val="0079709A"/>
    <w:rsid w:val="007A0DB7"/>
    <w:rsid w:val="007A1E58"/>
    <w:rsid w:val="007B0DD3"/>
    <w:rsid w:val="007B15B7"/>
    <w:rsid w:val="007B4257"/>
    <w:rsid w:val="007C3060"/>
    <w:rsid w:val="007D25A0"/>
    <w:rsid w:val="007E06C0"/>
    <w:rsid w:val="007E1275"/>
    <w:rsid w:val="00800799"/>
    <w:rsid w:val="0080511E"/>
    <w:rsid w:val="008102B7"/>
    <w:rsid w:val="00812B06"/>
    <w:rsid w:val="0083535A"/>
    <w:rsid w:val="008474AB"/>
    <w:rsid w:val="00857B3C"/>
    <w:rsid w:val="00876A38"/>
    <w:rsid w:val="0088498F"/>
    <w:rsid w:val="008940A3"/>
    <w:rsid w:val="008A45B5"/>
    <w:rsid w:val="008A4608"/>
    <w:rsid w:val="008A7279"/>
    <w:rsid w:val="008C0A47"/>
    <w:rsid w:val="008E340F"/>
    <w:rsid w:val="008E3A5D"/>
    <w:rsid w:val="008F78C8"/>
    <w:rsid w:val="0090313E"/>
    <w:rsid w:val="00903DFA"/>
    <w:rsid w:val="00910557"/>
    <w:rsid w:val="00910701"/>
    <w:rsid w:val="0094038C"/>
    <w:rsid w:val="00942B16"/>
    <w:rsid w:val="009667BB"/>
    <w:rsid w:val="0097243A"/>
    <w:rsid w:val="0097424E"/>
    <w:rsid w:val="009749B1"/>
    <w:rsid w:val="00985085"/>
    <w:rsid w:val="009A13AE"/>
    <w:rsid w:val="009A382F"/>
    <w:rsid w:val="009A7A54"/>
    <w:rsid w:val="009B1979"/>
    <w:rsid w:val="009D0041"/>
    <w:rsid w:val="009D6C2C"/>
    <w:rsid w:val="009D7182"/>
    <w:rsid w:val="009E1DE0"/>
    <w:rsid w:val="00A02902"/>
    <w:rsid w:val="00A24B4B"/>
    <w:rsid w:val="00A357DE"/>
    <w:rsid w:val="00A5052E"/>
    <w:rsid w:val="00A56148"/>
    <w:rsid w:val="00A661C3"/>
    <w:rsid w:val="00A70246"/>
    <w:rsid w:val="00A73DA6"/>
    <w:rsid w:val="00A76E66"/>
    <w:rsid w:val="00A841A2"/>
    <w:rsid w:val="00A90ABC"/>
    <w:rsid w:val="00A951EA"/>
    <w:rsid w:val="00AA58DE"/>
    <w:rsid w:val="00AB65EB"/>
    <w:rsid w:val="00AC2634"/>
    <w:rsid w:val="00AC7148"/>
    <w:rsid w:val="00AD35FD"/>
    <w:rsid w:val="00AD4DFB"/>
    <w:rsid w:val="00AD741F"/>
    <w:rsid w:val="00AE106A"/>
    <w:rsid w:val="00AE2FA9"/>
    <w:rsid w:val="00AE5674"/>
    <w:rsid w:val="00AF76D9"/>
    <w:rsid w:val="00B0250F"/>
    <w:rsid w:val="00B0306F"/>
    <w:rsid w:val="00B054BD"/>
    <w:rsid w:val="00B071F2"/>
    <w:rsid w:val="00B174E5"/>
    <w:rsid w:val="00B248A3"/>
    <w:rsid w:val="00B250EA"/>
    <w:rsid w:val="00B27B81"/>
    <w:rsid w:val="00B311D8"/>
    <w:rsid w:val="00B340CA"/>
    <w:rsid w:val="00B34B11"/>
    <w:rsid w:val="00B36810"/>
    <w:rsid w:val="00B479A6"/>
    <w:rsid w:val="00B508C5"/>
    <w:rsid w:val="00B51D6C"/>
    <w:rsid w:val="00B62F53"/>
    <w:rsid w:val="00B8759E"/>
    <w:rsid w:val="00B97864"/>
    <w:rsid w:val="00BB500F"/>
    <w:rsid w:val="00BD2444"/>
    <w:rsid w:val="00BD79D5"/>
    <w:rsid w:val="00BD7F53"/>
    <w:rsid w:val="00BE19E8"/>
    <w:rsid w:val="00C10C01"/>
    <w:rsid w:val="00C21B37"/>
    <w:rsid w:val="00C37E17"/>
    <w:rsid w:val="00C40B26"/>
    <w:rsid w:val="00C46BC7"/>
    <w:rsid w:val="00C652BD"/>
    <w:rsid w:val="00C81156"/>
    <w:rsid w:val="00C95D1F"/>
    <w:rsid w:val="00CA1500"/>
    <w:rsid w:val="00CA1FE6"/>
    <w:rsid w:val="00CA24BF"/>
    <w:rsid w:val="00CD150D"/>
    <w:rsid w:val="00CD1F9A"/>
    <w:rsid w:val="00CD400C"/>
    <w:rsid w:val="00CD7CE7"/>
    <w:rsid w:val="00CF7F3B"/>
    <w:rsid w:val="00D014BC"/>
    <w:rsid w:val="00D12D72"/>
    <w:rsid w:val="00D14071"/>
    <w:rsid w:val="00D22C85"/>
    <w:rsid w:val="00D23738"/>
    <w:rsid w:val="00D34C82"/>
    <w:rsid w:val="00D409A9"/>
    <w:rsid w:val="00D422CE"/>
    <w:rsid w:val="00D4787C"/>
    <w:rsid w:val="00D50B6F"/>
    <w:rsid w:val="00D6037B"/>
    <w:rsid w:val="00D83B81"/>
    <w:rsid w:val="00D958DB"/>
    <w:rsid w:val="00D967D3"/>
    <w:rsid w:val="00DA5419"/>
    <w:rsid w:val="00DC4D89"/>
    <w:rsid w:val="00DE3F06"/>
    <w:rsid w:val="00DE524A"/>
    <w:rsid w:val="00DF0E3B"/>
    <w:rsid w:val="00E03D6F"/>
    <w:rsid w:val="00E06B98"/>
    <w:rsid w:val="00E13FCF"/>
    <w:rsid w:val="00E3210D"/>
    <w:rsid w:val="00E53279"/>
    <w:rsid w:val="00E54C4A"/>
    <w:rsid w:val="00E557D9"/>
    <w:rsid w:val="00E668F3"/>
    <w:rsid w:val="00E71193"/>
    <w:rsid w:val="00E819F0"/>
    <w:rsid w:val="00E8663D"/>
    <w:rsid w:val="00E9013E"/>
    <w:rsid w:val="00EA2590"/>
    <w:rsid w:val="00ED21CE"/>
    <w:rsid w:val="00EE0A12"/>
    <w:rsid w:val="00EE1A58"/>
    <w:rsid w:val="00EF0D4C"/>
    <w:rsid w:val="00EF0F93"/>
    <w:rsid w:val="00EF144B"/>
    <w:rsid w:val="00F008DE"/>
    <w:rsid w:val="00F03338"/>
    <w:rsid w:val="00F0655D"/>
    <w:rsid w:val="00F135D2"/>
    <w:rsid w:val="00F17694"/>
    <w:rsid w:val="00F37C55"/>
    <w:rsid w:val="00F46DE3"/>
    <w:rsid w:val="00F5543C"/>
    <w:rsid w:val="00F56FFE"/>
    <w:rsid w:val="00F63803"/>
    <w:rsid w:val="00F645F2"/>
    <w:rsid w:val="00F70137"/>
    <w:rsid w:val="00F7584A"/>
    <w:rsid w:val="00F77216"/>
    <w:rsid w:val="00FA1022"/>
    <w:rsid w:val="00FB0ED6"/>
    <w:rsid w:val="00FC095F"/>
    <w:rsid w:val="00FC2153"/>
    <w:rsid w:val="00FD4C20"/>
    <w:rsid w:val="00FD509D"/>
    <w:rsid w:val="00FE0E9B"/>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C5C"/>
  <w15:chartTrackingRefBased/>
  <w15:docId w15:val="{0207FE14-336B-4651-ABA2-19629EB5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81"/>
    <w:pPr>
      <w:spacing w:after="0" w:line="240" w:lineRule="auto"/>
    </w:pPr>
    <w:rPr>
      <w:rFonts w:ascii="Times New Roman" w:eastAsia="Times New Roman" w:hAnsi="Times New Roman" w:cs="Times New Roman"/>
      <w:sz w:val="24"/>
      <w:szCs w:val="24"/>
      <w:lang w:eastAsia="en-GB" w:bidi="yi-Hebr"/>
    </w:rPr>
  </w:style>
  <w:style w:type="paragraph" w:styleId="Heading1">
    <w:name w:val="heading 1"/>
    <w:basedOn w:val="Normal"/>
    <w:next w:val="Normal"/>
    <w:link w:val="Heading1Char"/>
    <w:qFormat/>
    <w:rsid w:val="006C63B2"/>
    <w:pPr>
      <w:keepNext/>
      <w:spacing w:line="360" w:lineRule="auto"/>
      <w:outlineLvl w:val="0"/>
    </w:pPr>
    <w:rPr>
      <w:b/>
      <w:bCs/>
      <w:sz w:val="28"/>
    </w:rPr>
  </w:style>
  <w:style w:type="paragraph" w:styleId="Heading2">
    <w:name w:val="heading 2"/>
    <w:basedOn w:val="Normal"/>
    <w:next w:val="Normal"/>
    <w:link w:val="Heading2Char"/>
    <w:uiPriority w:val="9"/>
    <w:unhideWhenUsed/>
    <w:qFormat/>
    <w:rsid w:val="00EF0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63B2"/>
    <w:pPr>
      <w:keepNext/>
      <w:spacing w:line="360" w:lineRule="auto"/>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B2"/>
    <w:pPr>
      <w:ind w:left="720"/>
      <w:contextualSpacing/>
    </w:pPr>
  </w:style>
  <w:style w:type="character" w:customStyle="1" w:styleId="Heading1Char">
    <w:name w:val="Heading 1 Char"/>
    <w:basedOn w:val="DefaultParagraphFont"/>
    <w:link w:val="Heading1"/>
    <w:rsid w:val="006C63B2"/>
    <w:rPr>
      <w:rFonts w:ascii="Arial" w:hAnsi="Arial" w:cs="Arial"/>
      <w:b/>
      <w:bCs/>
      <w:sz w:val="28"/>
      <w:szCs w:val="28"/>
    </w:rPr>
  </w:style>
  <w:style w:type="character" w:customStyle="1" w:styleId="Heading3Char">
    <w:name w:val="Heading 3 Char"/>
    <w:basedOn w:val="DefaultParagraphFont"/>
    <w:link w:val="Heading3"/>
    <w:rsid w:val="006C63B2"/>
    <w:rPr>
      <w:rFonts w:ascii="Arial" w:hAnsi="Arial" w:cs="Arial"/>
      <w:i/>
      <w:iCs/>
      <w:sz w:val="28"/>
      <w:szCs w:val="28"/>
    </w:rPr>
  </w:style>
  <w:style w:type="character" w:styleId="CommentReference">
    <w:name w:val="annotation reference"/>
    <w:basedOn w:val="DefaultParagraphFont"/>
    <w:uiPriority w:val="99"/>
    <w:semiHidden/>
    <w:unhideWhenUsed/>
    <w:rsid w:val="006C63B2"/>
    <w:rPr>
      <w:sz w:val="16"/>
      <w:szCs w:val="16"/>
    </w:rPr>
  </w:style>
  <w:style w:type="paragraph" w:styleId="CommentText">
    <w:name w:val="annotation text"/>
    <w:basedOn w:val="Normal"/>
    <w:link w:val="CommentTextChar"/>
    <w:uiPriority w:val="99"/>
    <w:unhideWhenUsed/>
    <w:rsid w:val="006C63B2"/>
    <w:rPr>
      <w:sz w:val="20"/>
      <w:szCs w:val="20"/>
    </w:rPr>
  </w:style>
  <w:style w:type="character" w:customStyle="1" w:styleId="CommentTextChar">
    <w:name w:val="Comment Text Char"/>
    <w:basedOn w:val="DefaultParagraphFont"/>
    <w:link w:val="CommentText"/>
    <w:uiPriority w:val="99"/>
    <w:rsid w:val="006C63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C63B2"/>
    <w:rPr>
      <w:b/>
      <w:bCs/>
    </w:rPr>
  </w:style>
  <w:style w:type="character" w:customStyle="1" w:styleId="CommentSubjectChar">
    <w:name w:val="Comment Subject Char"/>
    <w:basedOn w:val="CommentTextChar"/>
    <w:link w:val="CommentSubject"/>
    <w:uiPriority w:val="99"/>
    <w:semiHidden/>
    <w:rsid w:val="006C63B2"/>
    <w:rPr>
      <w:rFonts w:ascii="Arial" w:hAnsi="Arial" w:cs="Arial"/>
      <w:b/>
      <w:bCs/>
      <w:sz w:val="20"/>
      <w:szCs w:val="20"/>
    </w:rPr>
  </w:style>
  <w:style w:type="paragraph" w:styleId="FootnoteText">
    <w:name w:val="footnote text"/>
    <w:basedOn w:val="Normal"/>
    <w:link w:val="FootnoteTextChar"/>
    <w:uiPriority w:val="99"/>
    <w:semiHidden/>
    <w:unhideWhenUsed/>
    <w:qFormat/>
    <w:rsid w:val="00A02902"/>
    <w:rPr>
      <w:sz w:val="20"/>
      <w:szCs w:val="20"/>
    </w:rPr>
  </w:style>
  <w:style w:type="character" w:customStyle="1" w:styleId="FootnoteTextChar">
    <w:name w:val="Footnote Text Char"/>
    <w:basedOn w:val="DefaultParagraphFont"/>
    <w:link w:val="FootnoteText"/>
    <w:uiPriority w:val="99"/>
    <w:semiHidden/>
    <w:rsid w:val="00A02902"/>
    <w:rPr>
      <w:rFonts w:ascii="Arial" w:hAnsi="Arial" w:cs="Arial"/>
      <w:sz w:val="20"/>
      <w:szCs w:val="20"/>
    </w:rPr>
  </w:style>
  <w:style w:type="character" w:styleId="FootnoteReference">
    <w:name w:val="footnote reference"/>
    <w:basedOn w:val="DefaultParagraphFont"/>
    <w:uiPriority w:val="99"/>
    <w:semiHidden/>
    <w:unhideWhenUsed/>
    <w:rsid w:val="00A02902"/>
    <w:rPr>
      <w:vertAlign w:val="superscript"/>
    </w:rPr>
  </w:style>
  <w:style w:type="paragraph" w:styleId="Header">
    <w:name w:val="header"/>
    <w:basedOn w:val="Normal"/>
    <w:link w:val="HeaderChar"/>
    <w:uiPriority w:val="99"/>
    <w:unhideWhenUsed/>
    <w:rsid w:val="0054261C"/>
    <w:pPr>
      <w:tabs>
        <w:tab w:val="center" w:pos="4513"/>
        <w:tab w:val="right" w:pos="9026"/>
      </w:tabs>
    </w:pPr>
  </w:style>
  <w:style w:type="character" w:customStyle="1" w:styleId="HeaderChar">
    <w:name w:val="Header Char"/>
    <w:basedOn w:val="DefaultParagraphFont"/>
    <w:link w:val="Header"/>
    <w:uiPriority w:val="99"/>
    <w:rsid w:val="0054261C"/>
    <w:rPr>
      <w:rFonts w:ascii="Arial" w:hAnsi="Arial" w:cs="Arial"/>
      <w:sz w:val="24"/>
      <w:szCs w:val="28"/>
    </w:rPr>
  </w:style>
  <w:style w:type="paragraph" w:styleId="Footer">
    <w:name w:val="footer"/>
    <w:basedOn w:val="Normal"/>
    <w:link w:val="FooterChar"/>
    <w:uiPriority w:val="99"/>
    <w:unhideWhenUsed/>
    <w:rsid w:val="0054261C"/>
    <w:pPr>
      <w:tabs>
        <w:tab w:val="center" w:pos="4513"/>
        <w:tab w:val="right" w:pos="9026"/>
      </w:tabs>
    </w:pPr>
  </w:style>
  <w:style w:type="character" w:customStyle="1" w:styleId="FooterChar">
    <w:name w:val="Footer Char"/>
    <w:basedOn w:val="DefaultParagraphFont"/>
    <w:link w:val="Footer"/>
    <w:uiPriority w:val="99"/>
    <w:rsid w:val="0054261C"/>
    <w:rPr>
      <w:rFonts w:ascii="Arial" w:hAnsi="Arial" w:cs="Arial"/>
      <w:sz w:val="24"/>
      <w:szCs w:val="28"/>
    </w:rPr>
  </w:style>
  <w:style w:type="paragraph" w:styleId="BalloonText">
    <w:name w:val="Balloon Text"/>
    <w:basedOn w:val="Normal"/>
    <w:link w:val="BalloonTextChar"/>
    <w:uiPriority w:val="99"/>
    <w:semiHidden/>
    <w:unhideWhenUsed/>
    <w:rsid w:val="00B25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A"/>
    <w:rPr>
      <w:rFonts w:ascii="Segoe UI" w:hAnsi="Segoe UI" w:cs="Segoe UI"/>
      <w:sz w:val="18"/>
      <w:szCs w:val="18"/>
    </w:rPr>
  </w:style>
  <w:style w:type="table" w:styleId="TableGrid">
    <w:name w:val="Table Grid"/>
    <w:basedOn w:val="TableNormal"/>
    <w:uiPriority w:val="39"/>
    <w:rsid w:val="0033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7C55"/>
    <w:pPr>
      <w:spacing w:after="0" w:line="240" w:lineRule="auto"/>
    </w:pPr>
    <w:rPr>
      <w:rFonts w:ascii="Arial" w:hAnsi="Arial" w:cs="Arial"/>
      <w:sz w:val="24"/>
      <w:szCs w:val="28"/>
    </w:rPr>
  </w:style>
  <w:style w:type="character" w:customStyle="1" w:styleId="Heading2Char">
    <w:name w:val="Heading 2 Char"/>
    <w:basedOn w:val="DefaultParagraphFont"/>
    <w:link w:val="Heading2"/>
    <w:uiPriority w:val="9"/>
    <w:rsid w:val="00EF0D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258BF"/>
  </w:style>
  <w:style w:type="paragraph" w:styleId="NormalWeb">
    <w:name w:val="Normal (Web)"/>
    <w:basedOn w:val="Normal"/>
    <w:uiPriority w:val="99"/>
    <w:unhideWhenUsed/>
    <w:rsid w:val="00625B09"/>
    <w:pPr>
      <w:spacing w:before="100" w:beforeAutospacing="1" w:after="100" w:afterAutospacing="1"/>
    </w:pPr>
  </w:style>
  <w:style w:type="character" w:styleId="Hyperlink">
    <w:name w:val="Hyperlink"/>
    <w:basedOn w:val="DefaultParagraphFont"/>
    <w:uiPriority w:val="99"/>
    <w:unhideWhenUsed/>
    <w:rsid w:val="00D83B81"/>
    <w:rPr>
      <w:color w:val="0000FF"/>
      <w:u w:val="single"/>
    </w:rPr>
  </w:style>
  <w:style w:type="character" w:styleId="FollowedHyperlink">
    <w:name w:val="FollowedHyperlink"/>
    <w:basedOn w:val="DefaultParagraphFont"/>
    <w:uiPriority w:val="99"/>
    <w:semiHidden/>
    <w:unhideWhenUsed/>
    <w:rsid w:val="00D83B81"/>
    <w:rPr>
      <w:color w:val="954F72" w:themeColor="followedHyperlink"/>
      <w:u w:val="single"/>
    </w:rPr>
  </w:style>
  <w:style w:type="character" w:customStyle="1" w:styleId="UnresolvedMention1">
    <w:name w:val="Unresolved Mention1"/>
    <w:basedOn w:val="DefaultParagraphFont"/>
    <w:uiPriority w:val="99"/>
    <w:semiHidden/>
    <w:unhideWhenUsed/>
    <w:rsid w:val="0054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024">
      <w:bodyDiv w:val="1"/>
      <w:marLeft w:val="0"/>
      <w:marRight w:val="0"/>
      <w:marTop w:val="0"/>
      <w:marBottom w:val="0"/>
      <w:divBdr>
        <w:top w:val="none" w:sz="0" w:space="0" w:color="auto"/>
        <w:left w:val="none" w:sz="0" w:space="0" w:color="auto"/>
        <w:bottom w:val="none" w:sz="0" w:space="0" w:color="auto"/>
        <w:right w:val="none" w:sz="0" w:space="0" w:color="auto"/>
      </w:divBdr>
      <w:divsChild>
        <w:div w:id="2088337140">
          <w:marLeft w:val="0"/>
          <w:marRight w:val="0"/>
          <w:marTop w:val="120"/>
          <w:marBottom w:val="0"/>
          <w:divBdr>
            <w:top w:val="none" w:sz="0" w:space="0" w:color="auto"/>
            <w:left w:val="none" w:sz="0" w:space="0" w:color="auto"/>
            <w:bottom w:val="none" w:sz="0" w:space="0" w:color="auto"/>
            <w:right w:val="none" w:sz="0" w:space="0" w:color="auto"/>
          </w:divBdr>
        </w:div>
        <w:div w:id="1929189274">
          <w:marLeft w:val="0"/>
          <w:marRight w:val="0"/>
          <w:marTop w:val="120"/>
          <w:marBottom w:val="0"/>
          <w:divBdr>
            <w:top w:val="none" w:sz="0" w:space="0" w:color="auto"/>
            <w:left w:val="none" w:sz="0" w:space="0" w:color="auto"/>
            <w:bottom w:val="none" w:sz="0" w:space="0" w:color="auto"/>
            <w:right w:val="none" w:sz="0" w:space="0" w:color="auto"/>
          </w:divBdr>
        </w:div>
      </w:divsChild>
    </w:div>
    <w:div w:id="140393063">
      <w:bodyDiv w:val="1"/>
      <w:marLeft w:val="0"/>
      <w:marRight w:val="0"/>
      <w:marTop w:val="0"/>
      <w:marBottom w:val="0"/>
      <w:divBdr>
        <w:top w:val="none" w:sz="0" w:space="0" w:color="auto"/>
        <w:left w:val="none" w:sz="0" w:space="0" w:color="auto"/>
        <w:bottom w:val="none" w:sz="0" w:space="0" w:color="auto"/>
        <w:right w:val="none" w:sz="0" w:space="0" w:color="auto"/>
      </w:divBdr>
    </w:div>
    <w:div w:id="151261322">
      <w:bodyDiv w:val="1"/>
      <w:marLeft w:val="0"/>
      <w:marRight w:val="0"/>
      <w:marTop w:val="0"/>
      <w:marBottom w:val="0"/>
      <w:divBdr>
        <w:top w:val="none" w:sz="0" w:space="0" w:color="auto"/>
        <w:left w:val="none" w:sz="0" w:space="0" w:color="auto"/>
        <w:bottom w:val="none" w:sz="0" w:space="0" w:color="auto"/>
        <w:right w:val="none" w:sz="0" w:space="0" w:color="auto"/>
      </w:divBdr>
    </w:div>
    <w:div w:id="167066323">
      <w:bodyDiv w:val="1"/>
      <w:marLeft w:val="0"/>
      <w:marRight w:val="0"/>
      <w:marTop w:val="0"/>
      <w:marBottom w:val="0"/>
      <w:divBdr>
        <w:top w:val="none" w:sz="0" w:space="0" w:color="auto"/>
        <w:left w:val="none" w:sz="0" w:space="0" w:color="auto"/>
        <w:bottom w:val="none" w:sz="0" w:space="0" w:color="auto"/>
        <w:right w:val="none" w:sz="0" w:space="0" w:color="auto"/>
      </w:divBdr>
      <w:divsChild>
        <w:div w:id="1407722417">
          <w:marLeft w:val="0"/>
          <w:marRight w:val="0"/>
          <w:marTop w:val="120"/>
          <w:marBottom w:val="0"/>
          <w:divBdr>
            <w:top w:val="none" w:sz="0" w:space="0" w:color="auto"/>
            <w:left w:val="none" w:sz="0" w:space="0" w:color="auto"/>
            <w:bottom w:val="none" w:sz="0" w:space="0" w:color="auto"/>
            <w:right w:val="none" w:sz="0" w:space="0" w:color="auto"/>
          </w:divBdr>
        </w:div>
        <w:div w:id="1193886161">
          <w:marLeft w:val="0"/>
          <w:marRight w:val="0"/>
          <w:marTop w:val="120"/>
          <w:marBottom w:val="0"/>
          <w:divBdr>
            <w:top w:val="none" w:sz="0" w:space="0" w:color="auto"/>
            <w:left w:val="none" w:sz="0" w:space="0" w:color="auto"/>
            <w:bottom w:val="none" w:sz="0" w:space="0" w:color="auto"/>
            <w:right w:val="none" w:sz="0" w:space="0" w:color="auto"/>
          </w:divBdr>
        </w:div>
      </w:divsChild>
    </w:div>
    <w:div w:id="234169480">
      <w:bodyDiv w:val="1"/>
      <w:marLeft w:val="0"/>
      <w:marRight w:val="0"/>
      <w:marTop w:val="0"/>
      <w:marBottom w:val="0"/>
      <w:divBdr>
        <w:top w:val="none" w:sz="0" w:space="0" w:color="auto"/>
        <w:left w:val="none" w:sz="0" w:space="0" w:color="auto"/>
        <w:bottom w:val="none" w:sz="0" w:space="0" w:color="auto"/>
        <w:right w:val="none" w:sz="0" w:space="0" w:color="auto"/>
      </w:divBdr>
    </w:div>
    <w:div w:id="277681904">
      <w:bodyDiv w:val="1"/>
      <w:marLeft w:val="0"/>
      <w:marRight w:val="0"/>
      <w:marTop w:val="0"/>
      <w:marBottom w:val="0"/>
      <w:divBdr>
        <w:top w:val="none" w:sz="0" w:space="0" w:color="auto"/>
        <w:left w:val="none" w:sz="0" w:space="0" w:color="auto"/>
        <w:bottom w:val="none" w:sz="0" w:space="0" w:color="auto"/>
        <w:right w:val="none" w:sz="0" w:space="0" w:color="auto"/>
      </w:divBdr>
      <w:divsChild>
        <w:div w:id="1567909198">
          <w:marLeft w:val="0"/>
          <w:marRight w:val="0"/>
          <w:marTop w:val="0"/>
          <w:marBottom w:val="0"/>
          <w:divBdr>
            <w:top w:val="none" w:sz="0" w:space="0" w:color="auto"/>
            <w:left w:val="none" w:sz="0" w:space="0" w:color="auto"/>
            <w:bottom w:val="none" w:sz="0" w:space="0" w:color="auto"/>
            <w:right w:val="none" w:sz="0" w:space="0" w:color="auto"/>
          </w:divBdr>
          <w:divsChild>
            <w:div w:id="1649435187">
              <w:marLeft w:val="0"/>
              <w:marRight w:val="0"/>
              <w:marTop w:val="0"/>
              <w:marBottom w:val="0"/>
              <w:divBdr>
                <w:top w:val="none" w:sz="0" w:space="0" w:color="auto"/>
                <w:left w:val="none" w:sz="0" w:space="0" w:color="auto"/>
                <w:bottom w:val="none" w:sz="0" w:space="0" w:color="auto"/>
                <w:right w:val="none" w:sz="0" w:space="0" w:color="auto"/>
              </w:divBdr>
              <w:divsChild>
                <w:div w:id="52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701">
      <w:bodyDiv w:val="1"/>
      <w:marLeft w:val="0"/>
      <w:marRight w:val="0"/>
      <w:marTop w:val="0"/>
      <w:marBottom w:val="0"/>
      <w:divBdr>
        <w:top w:val="none" w:sz="0" w:space="0" w:color="auto"/>
        <w:left w:val="none" w:sz="0" w:space="0" w:color="auto"/>
        <w:bottom w:val="none" w:sz="0" w:space="0" w:color="auto"/>
        <w:right w:val="none" w:sz="0" w:space="0" w:color="auto"/>
      </w:divBdr>
    </w:div>
    <w:div w:id="509609353">
      <w:bodyDiv w:val="1"/>
      <w:marLeft w:val="0"/>
      <w:marRight w:val="0"/>
      <w:marTop w:val="0"/>
      <w:marBottom w:val="0"/>
      <w:divBdr>
        <w:top w:val="none" w:sz="0" w:space="0" w:color="auto"/>
        <w:left w:val="none" w:sz="0" w:space="0" w:color="auto"/>
        <w:bottom w:val="none" w:sz="0" w:space="0" w:color="auto"/>
        <w:right w:val="none" w:sz="0" w:space="0" w:color="auto"/>
      </w:divBdr>
    </w:div>
    <w:div w:id="784740142">
      <w:bodyDiv w:val="1"/>
      <w:marLeft w:val="0"/>
      <w:marRight w:val="0"/>
      <w:marTop w:val="0"/>
      <w:marBottom w:val="0"/>
      <w:divBdr>
        <w:top w:val="none" w:sz="0" w:space="0" w:color="auto"/>
        <w:left w:val="none" w:sz="0" w:space="0" w:color="auto"/>
        <w:bottom w:val="none" w:sz="0" w:space="0" w:color="auto"/>
        <w:right w:val="none" w:sz="0" w:space="0" w:color="auto"/>
      </w:divBdr>
      <w:divsChild>
        <w:div w:id="1594850814">
          <w:marLeft w:val="0"/>
          <w:marRight w:val="0"/>
          <w:marTop w:val="0"/>
          <w:marBottom w:val="0"/>
          <w:divBdr>
            <w:top w:val="none" w:sz="0" w:space="0" w:color="auto"/>
            <w:left w:val="none" w:sz="0" w:space="0" w:color="auto"/>
            <w:bottom w:val="none" w:sz="0" w:space="0" w:color="auto"/>
            <w:right w:val="none" w:sz="0" w:space="0" w:color="auto"/>
          </w:divBdr>
          <w:divsChild>
            <w:div w:id="330302013">
              <w:marLeft w:val="0"/>
              <w:marRight w:val="0"/>
              <w:marTop w:val="0"/>
              <w:marBottom w:val="0"/>
              <w:divBdr>
                <w:top w:val="none" w:sz="0" w:space="0" w:color="auto"/>
                <w:left w:val="none" w:sz="0" w:space="0" w:color="auto"/>
                <w:bottom w:val="none" w:sz="0" w:space="0" w:color="auto"/>
                <w:right w:val="none" w:sz="0" w:space="0" w:color="auto"/>
              </w:divBdr>
              <w:divsChild>
                <w:div w:id="1248347972">
                  <w:marLeft w:val="0"/>
                  <w:marRight w:val="0"/>
                  <w:marTop w:val="0"/>
                  <w:marBottom w:val="0"/>
                  <w:divBdr>
                    <w:top w:val="none" w:sz="0" w:space="0" w:color="auto"/>
                    <w:left w:val="none" w:sz="0" w:space="0" w:color="auto"/>
                    <w:bottom w:val="none" w:sz="0" w:space="0" w:color="auto"/>
                    <w:right w:val="none" w:sz="0" w:space="0" w:color="auto"/>
                  </w:divBdr>
                  <w:divsChild>
                    <w:div w:id="1759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9932">
      <w:bodyDiv w:val="1"/>
      <w:marLeft w:val="0"/>
      <w:marRight w:val="0"/>
      <w:marTop w:val="0"/>
      <w:marBottom w:val="0"/>
      <w:divBdr>
        <w:top w:val="none" w:sz="0" w:space="0" w:color="auto"/>
        <w:left w:val="none" w:sz="0" w:space="0" w:color="auto"/>
        <w:bottom w:val="none" w:sz="0" w:space="0" w:color="auto"/>
        <w:right w:val="none" w:sz="0" w:space="0" w:color="auto"/>
      </w:divBdr>
    </w:div>
    <w:div w:id="1241520122">
      <w:bodyDiv w:val="1"/>
      <w:marLeft w:val="0"/>
      <w:marRight w:val="0"/>
      <w:marTop w:val="0"/>
      <w:marBottom w:val="0"/>
      <w:divBdr>
        <w:top w:val="none" w:sz="0" w:space="0" w:color="auto"/>
        <w:left w:val="none" w:sz="0" w:space="0" w:color="auto"/>
        <w:bottom w:val="none" w:sz="0" w:space="0" w:color="auto"/>
        <w:right w:val="none" w:sz="0" w:space="0" w:color="auto"/>
      </w:divBdr>
    </w:div>
    <w:div w:id="1369574769">
      <w:bodyDiv w:val="1"/>
      <w:marLeft w:val="0"/>
      <w:marRight w:val="0"/>
      <w:marTop w:val="0"/>
      <w:marBottom w:val="0"/>
      <w:divBdr>
        <w:top w:val="none" w:sz="0" w:space="0" w:color="auto"/>
        <w:left w:val="none" w:sz="0" w:space="0" w:color="auto"/>
        <w:bottom w:val="none" w:sz="0" w:space="0" w:color="auto"/>
        <w:right w:val="none" w:sz="0" w:space="0" w:color="auto"/>
      </w:divBdr>
    </w:div>
    <w:div w:id="1371492764">
      <w:bodyDiv w:val="1"/>
      <w:marLeft w:val="0"/>
      <w:marRight w:val="0"/>
      <w:marTop w:val="0"/>
      <w:marBottom w:val="0"/>
      <w:divBdr>
        <w:top w:val="none" w:sz="0" w:space="0" w:color="auto"/>
        <w:left w:val="none" w:sz="0" w:space="0" w:color="auto"/>
        <w:bottom w:val="none" w:sz="0" w:space="0" w:color="auto"/>
        <w:right w:val="none" w:sz="0" w:space="0" w:color="auto"/>
      </w:divBdr>
    </w:div>
    <w:div w:id="1410231126">
      <w:bodyDiv w:val="1"/>
      <w:marLeft w:val="0"/>
      <w:marRight w:val="0"/>
      <w:marTop w:val="0"/>
      <w:marBottom w:val="0"/>
      <w:divBdr>
        <w:top w:val="none" w:sz="0" w:space="0" w:color="auto"/>
        <w:left w:val="none" w:sz="0" w:space="0" w:color="auto"/>
        <w:bottom w:val="none" w:sz="0" w:space="0" w:color="auto"/>
        <w:right w:val="none" w:sz="0" w:space="0" w:color="auto"/>
      </w:divBdr>
    </w:div>
    <w:div w:id="1488471480">
      <w:bodyDiv w:val="1"/>
      <w:marLeft w:val="0"/>
      <w:marRight w:val="0"/>
      <w:marTop w:val="0"/>
      <w:marBottom w:val="0"/>
      <w:divBdr>
        <w:top w:val="none" w:sz="0" w:space="0" w:color="auto"/>
        <w:left w:val="none" w:sz="0" w:space="0" w:color="auto"/>
        <w:bottom w:val="none" w:sz="0" w:space="0" w:color="auto"/>
        <w:right w:val="none" w:sz="0" w:space="0" w:color="auto"/>
      </w:divBdr>
      <w:divsChild>
        <w:div w:id="1716463070">
          <w:marLeft w:val="0"/>
          <w:marRight w:val="0"/>
          <w:marTop w:val="0"/>
          <w:marBottom w:val="0"/>
          <w:divBdr>
            <w:top w:val="none" w:sz="0" w:space="0" w:color="auto"/>
            <w:left w:val="none" w:sz="0" w:space="0" w:color="auto"/>
            <w:bottom w:val="none" w:sz="0" w:space="0" w:color="auto"/>
            <w:right w:val="none" w:sz="0" w:space="0" w:color="auto"/>
          </w:divBdr>
          <w:divsChild>
            <w:div w:id="1102381906">
              <w:marLeft w:val="0"/>
              <w:marRight w:val="0"/>
              <w:marTop w:val="0"/>
              <w:marBottom w:val="0"/>
              <w:divBdr>
                <w:top w:val="none" w:sz="0" w:space="0" w:color="auto"/>
                <w:left w:val="none" w:sz="0" w:space="0" w:color="auto"/>
                <w:bottom w:val="none" w:sz="0" w:space="0" w:color="auto"/>
                <w:right w:val="none" w:sz="0" w:space="0" w:color="auto"/>
              </w:divBdr>
              <w:divsChild>
                <w:div w:id="5304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dictionary/english/plau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788D-A130-42CA-A2B4-763BB981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5510</Words>
  <Characters>31410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Smart</dc:creator>
  <cp:keywords/>
  <dc:description/>
  <cp:lastModifiedBy>Mokone</cp:lastModifiedBy>
  <cp:revision>3</cp:revision>
  <cp:lastPrinted>2023-04-12T05:10:00Z</cp:lastPrinted>
  <dcterms:created xsi:type="dcterms:W3CDTF">2023-04-14T13:13:00Z</dcterms:created>
  <dcterms:modified xsi:type="dcterms:W3CDTF">2023-04-14T13:13:00Z</dcterms:modified>
</cp:coreProperties>
</file>