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6E" w:rsidRDefault="006D776E" w:rsidP="009847A3">
      <w:pPr>
        <w:spacing w:line="360" w:lineRule="auto"/>
        <w:ind w:left="720"/>
        <w:jc w:val="center"/>
        <w:rPr>
          <w:noProof/>
          <w:lang w:val="en-US" w:eastAsia="en-US"/>
        </w:rPr>
      </w:pPr>
    </w:p>
    <w:p w:rsidR="009847A3" w:rsidRDefault="009847A3" w:rsidP="009847A3">
      <w:pPr>
        <w:spacing w:line="360" w:lineRule="auto"/>
        <w:ind w:left="720"/>
        <w:jc w:val="center"/>
        <w:rPr>
          <w:rFonts w:ascii="Arial" w:hAnsi="Arial" w:cs="Arial"/>
        </w:rPr>
      </w:pPr>
      <w:r>
        <w:rPr>
          <w:noProof/>
          <w:lang w:val="en-US" w:eastAsia="en-US"/>
        </w:rPr>
        <w:drawing>
          <wp:inline distT="0" distB="0" distL="0" distR="0" wp14:anchorId="2E6FB0B0" wp14:editId="0DDA2A61">
            <wp:extent cx="1288415" cy="1281430"/>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281430"/>
                    </a:xfrm>
                    <a:prstGeom prst="rect">
                      <a:avLst/>
                    </a:prstGeom>
                    <a:noFill/>
                    <a:ln>
                      <a:noFill/>
                    </a:ln>
                  </pic:spPr>
                </pic:pic>
              </a:graphicData>
            </a:graphic>
          </wp:inline>
        </w:drawing>
      </w:r>
    </w:p>
    <w:p w:rsidR="009847A3" w:rsidRDefault="009847A3" w:rsidP="009847A3">
      <w:pPr>
        <w:spacing w:line="360" w:lineRule="auto"/>
        <w:jc w:val="center"/>
        <w:rPr>
          <w:rFonts w:ascii="Arial" w:hAnsi="Arial" w:cs="Arial"/>
          <w:b/>
        </w:rPr>
      </w:pPr>
      <w:r>
        <w:rPr>
          <w:rFonts w:ascii="Arial" w:hAnsi="Arial" w:cs="Arial"/>
          <w:b/>
        </w:rPr>
        <w:t>IN THE HIGH COURT OF SOUTH AFRICA</w:t>
      </w:r>
    </w:p>
    <w:p w:rsidR="009847A3" w:rsidRDefault="009847A3" w:rsidP="009847A3">
      <w:pPr>
        <w:spacing w:line="360" w:lineRule="auto"/>
        <w:ind w:left="720"/>
        <w:jc w:val="center"/>
        <w:rPr>
          <w:rFonts w:ascii="Arial" w:hAnsi="Arial" w:cs="Arial"/>
          <w:b/>
        </w:rPr>
      </w:pPr>
      <w:r>
        <w:rPr>
          <w:rFonts w:ascii="Arial" w:hAnsi="Arial" w:cs="Arial"/>
          <w:b/>
        </w:rPr>
        <w:t>KWAZULU-NATAL DIVISION, PIETERMARITZBURG</w:t>
      </w:r>
    </w:p>
    <w:p w:rsidR="009847A3" w:rsidRDefault="009847A3" w:rsidP="009847A3">
      <w:pPr>
        <w:spacing w:line="360" w:lineRule="auto"/>
        <w:jc w:val="both"/>
        <w:rPr>
          <w:rFonts w:ascii="Arial" w:hAnsi="Arial" w:cs="Arial"/>
        </w:rPr>
      </w:pPr>
    </w:p>
    <w:p w:rsidR="009847A3" w:rsidRDefault="0011328B" w:rsidP="009847A3">
      <w:pPr>
        <w:spacing w:line="360" w:lineRule="auto"/>
        <w:ind w:left="5760" w:firstLine="720"/>
        <w:jc w:val="both"/>
        <w:rPr>
          <w:rFonts w:ascii="Arial" w:hAnsi="Arial" w:cs="Arial"/>
        </w:rPr>
      </w:pPr>
      <w:r>
        <w:rPr>
          <w:rFonts w:ascii="Arial" w:hAnsi="Arial" w:cs="Arial"/>
        </w:rPr>
        <w:t xml:space="preserve">      </w:t>
      </w:r>
      <w:r w:rsidR="009847A3">
        <w:rPr>
          <w:rFonts w:ascii="Arial" w:hAnsi="Arial" w:cs="Arial"/>
        </w:rPr>
        <w:t xml:space="preserve">   </w:t>
      </w:r>
      <w:r>
        <w:rPr>
          <w:rFonts w:ascii="Arial" w:hAnsi="Arial" w:cs="Arial"/>
        </w:rPr>
        <w:t xml:space="preserve">Case </w:t>
      </w:r>
      <w:r w:rsidR="0076691A">
        <w:rPr>
          <w:rFonts w:ascii="Arial" w:hAnsi="Arial" w:cs="Arial"/>
        </w:rPr>
        <w:t>No: 389/20</w:t>
      </w:r>
      <w:r>
        <w:rPr>
          <w:rFonts w:ascii="Arial" w:hAnsi="Arial" w:cs="Arial"/>
        </w:rPr>
        <w:t>2</w:t>
      </w:r>
      <w:r w:rsidR="0076691A">
        <w:rPr>
          <w:rFonts w:ascii="Arial" w:hAnsi="Arial" w:cs="Arial"/>
        </w:rPr>
        <w:t>1P</w:t>
      </w:r>
    </w:p>
    <w:p w:rsidR="009847A3" w:rsidRDefault="009847A3" w:rsidP="009847A3">
      <w:pPr>
        <w:spacing w:line="360" w:lineRule="auto"/>
        <w:jc w:val="both"/>
        <w:rPr>
          <w:rFonts w:ascii="Arial" w:hAnsi="Arial" w:cs="Arial"/>
        </w:rPr>
      </w:pPr>
      <w:r>
        <w:rPr>
          <w:rFonts w:ascii="Arial" w:hAnsi="Arial" w:cs="Arial"/>
        </w:rPr>
        <w:t>In the matter between:</w:t>
      </w:r>
    </w:p>
    <w:p w:rsidR="009847A3" w:rsidRDefault="009847A3" w:rsidP="009847A3">
      <w:pPr>
        <w:spacing w:line="360" w:lineRule="auto"/>
        <w:jc w:val="both"/>
        <w:rPr>
          <w:rFonts w:ascii="Arial" w:hAnsi="Arial" w:cs="Arial"/>
        </w:rPr>
      </w:pPr>
    </w:p>
    <w:p w:rsidR="0076691A" w:rsidRDefault="0076691A" w:rsidP="009847A3">
      <w:pPr>
        <w:spacing w:line="360" w:lineRule="auto"/>
        <w:jc w:val="both"/>
        <w:rPr>
          <w:rFonts w:ascii="Arial" w:hAnsi="Arial" w:cs="Arial"/>
          <w:b/>
        </w:rPr>
      </w:pPr>
      <w:r>
        <w:rPr>
          <w:rFonts w:ascii="Arial" w:hAnsi="Arial" w:cs="Arial"/>
          <w:b/>
        </w:rPr>
        <w:t>HENDRIKA PETRONELLA FOURIE</w:t>
      </w:r>
      <w:r w:rsidR="009847A3">
        <w:rPr>
          <w:rFonts w:ascii="Arial" w:hAnsi="Arial" w:cs="Arial"/>
          <w:b/>
        </w:rPr>
        <w:t xml:space="preserve">                     </w:t>
      </w:r>
      <w:r>
        <w:rPr>
          <w:rFonts w:ascii="Arial" w:hAnsi="Arial" w:cs="Arial"/>
          <w:b/>
        </w:rPr>
        <w:tab/>
      </w:r>
      <w:r>
        <w:rPr>
          <w:rFonts w:ascii="Arial" w:hAnsi="Arial" w:cs="Arial"/>
          <w:b/>
        </w:rPr>
        <w:tab/>
      </w:r>
      <w:r w:rsidR="00555295">
        <w:rPr>
          <w:rFonts w:ascii="Arial" w:hAnsi="Arial" w:cs="Arial"/>
          <w:b/>
        </w:rPr>
        <w:t xml:space="preserve">           </w:t>
      </w:r>
      <w:r>
        <w:rPr>
          <w:rFonts w:ascii="Arial" w:hAnsi="Arial" w:cs="Arial"/>
          <w:b/>
        </w:rPr>
        <w:t>FIRST APPLICANT</w:t>
      </w:r>
      <w:r w:rsidR="009847A3">
        <w:rPr>
          <w:rFonts w:ascii="Arial" w:hAnsi="Arial" w:cs="Arial"/>
          <w:b/>
        </w:rPr>
        <w:tab/>
      </w:r>
    </w:p>
    <w:p w:rsidR="009847A3" w:rsidRDefault="0076691A" w:rsidP="009847A3">
      <w:pPr>
        <w:spacing w:line="360" w:lineRule="auto"/>
        <w:jc w:val="both"/>
        <w:rPr>
          <w:rFonts w:ascii="Arial" w:hAnsi="Arial" w:cs="Arial"/>
          <w:b/>
        </w:rPr>
      </w:pPr>
      <w:r>
        <w:rPr>
          <w:rFonts w:ascii="Arial" w:hAnsi="Arial" w:cs="Arial"/>
          <w:b/>
        </w:rPr>
        <w:t>KARLIEN KRUGER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55295">
        <w:rPr>
          <w:rFonts w:ascii="Arial" w:hAnsi="Arial" w:cs="Arial"/>
          <w:b/>
        </w:rPr>
        <w:t xml:space="preserve">      </w:t>
      </w:r>
      <w:r>
        <w:rPr>
          <w:rFonts w:ascii="Arial" w:hAnsi="Arial" w:cs="Arial"/>
          <w:b/>
        </w:rPr>
        <w:t>SECOND APPLICANT</w:t>
      </w:r>
      <w:r w:rsidR="009847A3">
        <w:rPr>
          <w:rFonts w:ascii="Arial" w:hAnsi="Arial" w:cs="Arial"/>
          <w:b/>
        </w:rPr>
        <w:tab/>
      </w:r>
      <w:r w:rsidR="009847A3">
        <w:rPr>
          <w:rFonts w:ascii="Arial" w:hAnsi="Arial" w:cs="Arial"/>
          <w:b/>
        </w:rPr>
        <w:tab/>
        <w:t xml:space="preserve">     </w:t>
      </w:r>
      <w:r w:rsidR="009847A3">
        <w:rPr>
          <w:rFonts w:ascii="Arial" w:hAnsi="Arial" w:cs="Arial"/>
          <w:b/>
        </w:rPr>
        <w:tab/>
      </w:r>
      <w:r w:rsidR="009847A3">
        <w:rPr>
          <w:rFonts w:ascii="Arial" w:hAnsi="Arial" w:cs="Arial"/>
        </w:rPr>
        <w:tab/>
      </w:r>
      <w:r w:rsidR="009847A3">
        <w:rPr>
          <w:rFonts w:ascii="Arial" w:hAnsi="Arial" w:cs="Arial"/>
        </w:rPr>
        <w:tab/>
      </w:r>
      <w:r w:rsidR="009847A3">
        <w:rPr>
          <w:rFonts w:ascii="Arial" w:hAnsi="Arial" w:cs="Arial"/>
        </w:rPr>
        <w:tab/>
      </w:r>
    </w:p>
    <w:p w:rsidR="009847A3" w:rsidRPr="002348B1" w:rsidRDefault="009847A3" w:rsidP="009847A3">
      <w:pPr>
        <w:spacing w:line="360" w:lineRule="auto"/>
        <w:jc w:val="both"/>
        <w:rPr>
          <w:rFonts w:ascii="Arial" w:hAnsi="Arial" w:cs="Arial"/>
        </w:rPr>
      </w:pPr>
      <w:r w:rsidRPr="002348B1">
        <w:rPr>
          <w:rFonts w:ascii="Arial" w:hAnsi="Arial" w:cs="Arial"/>
        </w:rPr>
        <w:t xml:space="preserve">and </w:t>
      </w:r>
    </w:p>
    <w:p w:rsidR="00555295" w:rsidRDefault="00555295" w:rsidP="009847A3">
      <w:pPr>
        <w:spacing w:line="360" w:lineRule="auto"/>
        <w:jc w:val="both"/>
        <w:rPr>
          <w:rFonts w:ascii="Arial" w:hAnsi="Arial" w:cs="Arial"/>
          <w:b/>
        </w:rPr>
      </w:pPr>
    </w:p>
    <w:p w:rsidR="009847A3" w:rsidRDefault="0076691A" w:rsidP="009847A3">
      <w:pPr>
        <w:spacing w:line="360" w:lineRule="auto"/>
        <w:jc w:val="both"/>
        <w:rPr>
          <w:rFonts w:ascii="Arial" w:hAnsi="Arial" w:cs="Arial"/>
          <w:b/>
        </w:rPr>
      </w:pPr>
      <w:r>
        <w:rPr>
          <w:rFonts w:ascii="Arial" w:hAnsi="Arial" w:cs="Arial"/>
          <w:b/>
        </w:rPr>
        <w:t xml:space="preserve">TROPICAL WINTER TRADING </w:t>
      </w:r>
      <w:r w:rsidR="0011328B">
        <w:rPr>
          <w:rFonts w:ascii="Arial" w:hAnsi="Arial" w:cs="Arial"/>
          <w:b/>
        </w:rPr>
        <w:t xml:space="preserve">(PTY) LTD </w:t>
      </w:r>
      <w:r>
        <w:rPr>
          <w:rFonts w:ascii="Arial" w:hAnsi="Arial" w:cs="Arial"/>
          <w:b/>
        </w:rPr>
        <w:tab/>
      </w:r>
      <w:r w:rsidR="0011328B">
        <w:rPr>
          <w:rFonts w:ascii="Arial" w:hAnsi="Arial" w:cs="Arial"/>
          <w:b/>
        </w:rPr>
        <w:tab/>
        <w:t xml:space="preserve">      </w:t>
      </w:r>
      <w:r>
        <w:rPr>
          <w:rFonts w:ascii="Arial" w:hAnsi="Arial" w:cs="Arial"/>
          <w:b/>
        </w:rPr>
        <w:t xml:space="preserve">   </w:t>
      </w:r>
      <w:r w:rsidR="009847A3">
        <w:rPr>
          <w:rFonts w:ascii="Arial" w:hAnsi="Arial" w:cs="Arial"/>
          <w:b/>
        </w:rPr>
        <w:t xml:space="preserve">   </w:t>
      </w:r>
      <w:r w:rsidR="00555295">
        <w:rPr>
          <w:rFonts w:ascii="Arial" w:hAnsi="Arial" w:cs="Arial"/>
          <w:b/>
        </w:rPr>
        <w:t xml:space="preserve">     </w:t>
      </w:r>
      <w:r w:rsidR="009847A3">
        <w:rPr>
          <w:rFonts w:ascii="Arial" w:hAnsi="Arial" w:cs="Arial"/>
          <w:b/>
        </w:rPr>
        <w:t xml:space="preserve">FIRST RESPONDENT </w:t>
      </w:r>
    </w:p>
    <w:p w:rsidR="009847A3" w:rsidRDefault="0076691A" w:rsidP="009847A3">
      <w:pPr>
        <w:spacing w:line="360" w:lineRule="auto"/>
        <w:jc w:val="both"/>
        <w:rPr>
          <w:rFonts w:ascii="Arial" w:hAnsi="Arial" w:cs="Arial"/>
          <w:b/>
        </w:rPr>
      </w:pPr>
      <w:r>
        <w:rPr>
          <w:rFonts w:ascii="Arial" w:hAnsi="Arial" w:cs="Arial"/>
          <w:b/>
        </w:rPr>
        <w:t>REGISTRAR OF DEEDS: PIETERMARITZBURG</w:t>
      </w:r>
      <w:r>
        <w:rPr>
          <w:rFonts w:ascii="Arial" w:hAnsi="Arial" w:cs="Arial"/>
          <w:b/>
        </w:rPr>
        <w:tab/>
      </w:r>
      <w:r>
        <w:rPr>
          <w:rFonts w:ascii="Arial" w:hAnsi="Arial" w:cs="Arial"/>
          <w:b/>
        </w:rPr>
        <w:tab/>
        <w:t xml:space="preserve"> SECOND</w:t>
      </w:r>
      <w:r w:rsidR="009847A3">
        <w:rPr>
          <w:rFonts w:ascii="Arial" w:hAnsi="Arial" w:cs="Arial"/>
          <w:b/>
        </w:rPr>
        <w:t xml:space="preserve"> RESPONDENT</w:t>
      </w:r>
    </w:p>
    <w:p w:rsidR="009847A3" w:rsidRPr="001E52E0" w:rsidRDefault="009847A3" w:rsidP="009847A3">
      <w:pPr>
        <w:spacing w:line="360" w:lineRule="auto"/>
        <w:jc w:val="both"/>
        <w:rPr>
          <w:rFonts w:ascii="Arial" w:hAnsi="Arial" w:cs="Arial"/>
        </w:rPr>
      </w:pPr>
      <w:r w:rsidRPr="00B1727C">
        <w:rPr>
          <w:rFonts w:ascii="Arial" w:hAnsi="Arial" w:cs="Arial"/>
        </w:rPr>
        <w:tab/>
      </w:r>
    </w:p>
    <w:p w:rsidR="009847A3" w:rsidRDefault="009847A3" w:rsidP="009847A3">
      <w:pPr>
        <w:pBdr>
          <w:bottom w:val="single" w:sz="12" w:space="1" w:color="auto"/>
        </w:pBdr>
        <w:spacing w:line="360" w:lineRule="auto"/>
        <w:jc w:val="both"/>
        <w:rPr>
          <w:rFonts w:ascii="Arial" w:hAnsi="Arial" w:cs="Arial"/>
          <w:b/>
        </w:rPr>
      </w:pPr>
    </w:p>
    <w:p w:rsidR="009847A3" w:rsidRDefault="009847A3" w:rsidP="009847A3">
      <w:pPr>
        <w:spacing w:line="360" w:lineRule="auto"/>
        <w:jc w:val="both"/>
        <w:rPr>
          <w:rFonts w:ascii="Arial" w:hAnsi="Arial" w:cs="Arial"/>
          <w:b/>
        </w:rPr>
      </w:pPr>
    </w:p>
    <w:p w:rsidR="009847A3" w:rsidRDefault="009847A3" w:rsidP="009847A3">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ORDER</w:t>
      </w:r>
    </w:p>
    <w:p w:rsidR="00556B09" w:rsidRDefault="009847A3" w:rsidP="00A25FE4">
      <w:pPr>
        <w:spacing w:line="360" w:lineRule="auto"/>
        <w:jc w:val="both"/>
        <w:rPr>
          <w:rFonts w:ascii="Arial" w:hAnsi="Arial" w:cs="Arial"/>
          <w:b/>
        </w:rPr>
      </w:pPr>
      <w:r>
        <w:rPr>
          <w:rFonts w:ascii="Arial" w:hAnsi="Arial" w:cs="Arial"/>
          <w:b/>
        </w:rPr>
        <w:t>______________________________________________________________________</w:t>
      </w:r>
      <w:r>
        <w:rPr>
          <w:rFonts w:ascii="Arial" w:hAnsi="Arial" w:cs="Arial"/>
          <w:b/>
        </w:rPr>
        <w:tab/>
      </w:r>
    </w:p>
    <w:p w:rsidR="00C06344" w:rsidRDefault="00C06344" w:rsidP="00A25FE4">
      <w:pPr>
        <w:spacing w:line="360" w:lineRule="auto"/>
        <w:jc w:val="both"/>
        <w:rPr>
          <w:rFonts w:ascii="Arial" w:hAnsi="Arial" w:cs="Arial"/>
        </w:rPr>
      </w:pPr>
    </w:p>
    <w:p w:rsidR="00C06344" w:rsidRPr="00555295" w:rsidRDefault="00877A08" w:rsidP="00A25FE4">
      <w:pPr>
        <w:spacing w:line="360" w:lineRule="auto"/>
        <w:jc w:val="both"/>
        <w:rPr>
          <w:rFonts w:ascii="Arial" w:hAnsi="Arial" w:cs="Arial"/>
          <w:b/>
        </w:rPr>
      </w:pPr>
      <w:r w:rsidRPr="00555295">
        <w:rPr>
          <w:rFonts w:ascii="Arial" w:hAnsi="Arial" w:cs="Arial"/>
          <w:b/>
        </w:rPr>
        <w:t>The following order shall issue:</w:t>
      </w:r>
      <w:r w:rsidR="00556B09" w:rsidRPr="00555295">
        <w:rPr>
          <w:rFonts w:ascii="Arial" w:hAnsi="Arial" w:cs="Arial"/>
          <w:b/>
        </w:rPr>
        <w:t xml:space="preserve"> </w:t>
      </w:r>
    </w:p>
    <w:p w:rsidR="00C06344" w:rsidRDefault="00C06344" w:rsidP="00A25FE4">
      <w:pPr>
        <w:spacing w:line="360" w:lineRule="auto"/>
        <w:jc w:val="both"/>
        <w:rPr>
          <w:rFonts w:ascii="Arial" w:hAnsi="Arial" w:cs="Arial"/>
        </w:rPr>
      </w:pPr>
    </w:p>
    <w:p w:rsidR="00D93A93" w:rsidRPr="009A629F" w:rsidRDefault="009A629F" w:rsidP="009A629F">
      <w:pPr>
        <w:spacing w:line="360" w:lineRule="auto"/>
        <w:ind w:left="1080" w:hanging="720"/>
        <w:jc w:val="both"/>
        <w:rPr>
          <w:rFonts w:ascii="Arial" w:hAnsi="Arial" w:cs="Arial"/>
        </w:rPr>
      </w:pPr>
      <w:r w:rsidRPr="00D93A93">
        <w:rPr>
          <w:rFonts w:ascii="Arial" w:hAnsi="Arial" w:cs="Arial"/>
        </w:rPr>
        <w:t>1</w:t>
      </w:r>
      <w:bookmarkStart w:id="0" w:name="_GoBack"/>
      <w:bookmarkEnd w:id="0"/>
      <w:r w:rsidRPr="00D93A93">
        <w:rPr>
          <w:rFonts w:ascii="Arial" w:hAnsi="Arial" w:cs="Arial"/>
        </w:rPr>
        <w:t>.</w:t>
      </w:r>
      <w:r w:rsidRPr="00D93A93">
        <w:rPr>
          <w:rFonts w:ascii="Arial" w:hAnsi="Arial" w:cs="Arial"/>
        </w:rPr>
        <w:tab/>
      </w:r>
      <w:r w:rsidR="001F6FD9" w:rsidRPr="009A629F">
        <w:rPr>
          <w:rFonts w:ascii="Arial" w:hAnsi="Arial" w:cs="Arial"/>
        </w:rPr>
        <w:t>T</w:t>
      </w:r>
      <w:r w:rsidR="00D55BE6" w:rsidRPr="009A629F">
        <w:rPr>
          <w:rFonts w:ascii="Arial" w:hAnsi="Arial" w:cs="Arial"/>
        </w:rPr>
        <w:t>he applicants be joined in the ex parte application of Tropical Winter Trading (Pty) Ltd (Case Number: 3635/19P) as first and second respondents respectively</w:t>
      </w:r>
      <w:r w:rsidR="001F6FD9" w:rsidRPr="009A629F">
        <w:rPr>
          <w:rFonts w:ascii="Arial" w:hAnsi="Arial" w:cs="Arial"/>
        </w:rPr>
        <w:t>.</w:t>
      </w:r>
      <w:r w:rsidR="00D93A93" w:rsidRPr="009A629F">
        <w:rPr>
          <w:rFonts w:ascii="Arial" w:hAnsi="Arial" w:cs="Arial"/>
        </w:rPr>
        <w:t xml:space="preserve"> </w:t>
      </w:r>
    </w:p>
    <w:p w:rsidR="00556B09" w:rsidRPr="00D93A93" w:rsidRDefault="0042704B" w:rsidP="00D93A93">
      <w:pPr>
        <w:pStyle w:val="ListParagraph"/>
        <w:spacing w:line="360" w:lineRule="auto"/>
        <w:ind w:left="1080"/>
        <w:jc w:val="both"/>
        <w:rPr>
          <w:rFonts w:ascii="Arial" w:hAnsi="Arial" w:cs="Arial"/>
        </w:rPr>
      </w:pPr>
      <w:r w:rsidRPr="00D93A93">
        <w:rPr>
          <w:rFonts w:ascii="Arial" w:hAnsi="Arial" w:cs="Arial"/>
        </w:rPr>
        <w:t xml:space="preserve">                                                                                                                                                                                                                                                                                                                                                           </w:t>
      </w:r>
      <w:r w:rsidR="00D55BE6" w:rsidRPr="00D93A93">
        <w:rPr>
          <w:rFonts w:ascii="Arial" w:hAnsi="Arial" w:cs="Arial"/>
        </w:rPr>
        <w:t xml:space="preserve">  </w:t>
      </w:r>
    </w:p>
    <w:p w:rsidR="00EE52A1" w:rsidRDefault="00556B09" w:rsidP="00A25FE4">
      <w:pPr>
        <w:spacing w:line="360" w:lineRule="auto"/>
        <w:ind w:left="720" w:hanging="720"/>
        <w:jc w:val="both"/>
        <w:rPr>
          <w:rFonts w:ascii="Arial" w:hAnsi="Arial" w:cs="Arial"/>
        </w:rPr>
      </w:pPr>
      <w:r>
        <w:rPr>
          <w:rFonts w:ascii="Arial" w:hAnsi="Arial" w:cs="Arial"/>
        </w:rPr>
        <w:lastRenderedPageBreak/>
        <w:t>2</w:t>
      </w:r>
      <w:r w:rsidR="00877A08">
        <w:rPr>
          <w:rFonts w:ascii="Arial" w:hAnsi="Arial" w:cs="Arial"/>
        </w:rPr>
        <w:t xml:space="preserve">. </w:t>
      </w:r>
      <w:r w:rsidR="00877A08">
        <w:rPr>
          <w:rFonts w:ascii="Arial" w:hAnsi="Arial" w:cs="Arial"/>
        </w:rPr>
        <w:tab/>
      </w:r>
      <w:r w:rsidR="001F6FD9">
        <w:rPr>
          <w:rFonts w:ascii="Arial" w:hAnsi="Arial" w:cs="Arial"/>
        </w:rPr>
        <w:t>T</w:t>
      </w:r>
      <w:r w:rsidR="00877A08">
        <w:rPr>
          <w:rFonts w:ascii="Arial" w:hAnsi="Arial" w:cs="Arial"/>
        </w:rPr>
        <w:t xml:space="preserve">he order granted by Seegobin J, </w:t>
      </w:r>
      <w:r>
        <w:rPr>
          <w:rFonts w:ascii="Arial" w:hAnsi="Arial" w:cs="Arial"/>
        </w:rPr>
        <w:t>on 2</w:t>
      </w:r>
      <w:r w:rsidR="00633C06">
        <w:rPr>
          <w:rFonts w:ascii="Arial" w:hAnsi="Arial" w:cs="Arial"/>
        </w:rPr>
        <w:t>6</w:t>
      </w:r>
      <w:r>
        <w:rPr>
          <w:rFonts w:ascii="Arial" w:hAnsi="Arial" w:cs="Arial"/>
        </w:rPr>
        <w:t xml:space="preserve"> February 2020, in the </w:t>
      </w:r>
      <w:r w:rsidRPr="002015BA">
        <w:rPr>
          <w:rFonts w:ascii="Arial" w:hAnsi="Arial" w:cs="Arial"/>
        </w:rPr>
        <w:t>ex parte</w:t>
      </w:r>
      <w:r>
        <w:rPr>
          <w:rFonts w:ascii="Arial" w:hAnsi="Arial" w:cs="Arial"/>
        </w:rPr>
        <w:t xml:space="preserve"> application of Tropical Winter Trading </w:t>
      </w:r>
      <w:r w:rsidR="009366BE">
        <w:rPr>
          <w:rFonts w:ascii="Arial" w:hAnsi="Arial" w:cs="Arial"/>
        </w:rPr>
        <w:t>(</w:t>
      </w:r>
      <w:r>
        <w:rPr>
          <w:rFonts w:ascii="Arial" w:hAnsi="Arial" w:cs="Arial"/>
        </w:rPr>
        <w:t>Pty</w:t>
      </w:r>
      <w:r w:rsidR="009366BE">
        <w:rPr>
          <w:rFonts w:ascii="Arial" w:hAnsi="Arial" w:cs="Arial"/>
        </w:rPr>
        <w:t>)</w:t>
      </w:r>
      <w:r>
        <w:rPr>
          <w:rFonts w:ascii="Arial" w:hAnsi="Arial" w:cs="Arial"/>
        </w:rPr>
        <w:t xml:space="preserve"> Ltd (Case</w:t>
      </w:r>
      <w:r w:rsidR="009366BE">
        <w:rPr>
          <w:rFonts w:ascii="Arial" w:hAnsi="Arial" w:cs="Arial"/>
        </w:rPr>
        <w:t xml:space="preserve"> Number</w:t>
      </w:r>
      <w:r>
        <w:rPr>
          <w:rFonts w:ascii="Arial" w:hAnsi="Arial" w:cs="Arial"/>
        </w:rPr>
        <w:t xml:space="preserve">. 3635/19P), </w:t>
      </w:r>
      <w:r w:rsidR="001F6FD9">
        <w:rPr>
          <w:rFonts w:ascii="Arial" w:hAnsi="Arial" w:cs="Arial"/>
        </w:rPr>
        <w:t xml:space="preserve">is </w:t>
      </w:r>
      <w:r>
        <w:rPr>
          <w:rFonts w:ascii="Arial" w:hAnsi="Arial" w:cs="Arial"/>
        </w:rPr>
        <w:t>rescinded and set aside</w:t>
      </w:r>
      <w:r w:rsidR="001F6FD9">
        <w:rPr>
          <w:rFonts w:ascii="Arial" w:hAnsi="Arial" w:cs="Arial"/>
        </w:rPr>
        <w:t>.</w:t>
      </w:r>
    </w:p>
    <w:p w:rsidR="00A25FE4" w:rsidRDefault="00556B09" w:rsidP="00A25FE4">
      <w:pPr>
        <w:spacing w:line="360" w:lineRule="auto"/>
        <w:ind w:left="720" w:hanging="720"/>
        <w:jc w:val="both"/>
        <w:rPr>
          <w:rFonts w:ascii="Arial" w:hAnsi="Arial" w:cs="Arial"/>
        </w:rPr>
      </w:pPr>
      <w:r>
        <w:rPr>
          <w:rFonts w:ascii="Arial" w:hAnsi="Arial" w:cs="Arial"/>
        </w:rPr>
        <w:t xml:space="preserve">3. </w:t>
      </w:r>
      <w:r>
        <w:rPr>
          <w:rFonts w:ascii="Arial" w:hAnsi="Arial" w:cs="Arial"/>
        </w:rPr>
        <w:tab/>
      </w:r>
      <w:r w:rsidR="001F6FD9">
        <w:rPr>
          <w:rFonts w:ascii="Arial" w:hAnsi="Arial" w:cs="Arial"/>
        </w:rPr>
        <w:t>T</w:t>
      </w:r>
      <w:r>
        <w:rPr>
          <w:rFonts w:ascii="Arial" w:hAnsi="Arial" w:cs="Arial"/>
        </w:rPr>
        <w:t xml:space="preserve">he registration and transfer of the following properties (collectively referred to as </w:t>
      </w:r>
      <w:r w:rsidR="009366BE">
        <w:rPr>
          <w:rFonts w:ascii="Arial" w:hAnsi="Arial" w:cs="Arial"/>
        </w:rPr>
        <w:t>(</w:t>
      </w:r>
      <w:r>
        <w:rPr>
          <w:rFonts w:ascii="Arial" w:hAnsi="Arial" w:cs="Arial"/>
        </w:rPr>
        <w:t xml:space="preserve">“the farms”) to the first respondent </w:t>
      </w:r>
      <w:r w:rsidR="001F6FD9">
        <w:rPr>
          <w:rFonts w:ascii="Arial" w:hAnsi="Arial" w:cs="Arial"/>
        </w:rPr>
        <w:t xml:space="preserve">is </w:t>
      </w:r>
      <w:r>
        <w:rPr>
          <w:rFonts w:ascii="Arial" w:hAnsi="Arial" w:cs="Arial"/>
        </w:rPr>
        <w:t>set aside</w:t>
      </w:r>
      <w:r w:rsidR="00D85F69">
        <w:rPr>
          <w:rFonts w:ascii="Arial" w:hAnsi="Arial" w:cs="Arial"/>
        </w:rPr>
        <w:t>:</w:t>
      </w:r>
    </w:p>
    <w:p w:rsidR="00A25FE4" w:rsidRDefault="00A25FE4" w:rsidP="00A25FE4">
      <w:pPr>
        <w:spacing w:line="360" w:lineRule="auto"/>
        <w:ind w:left="1440" w:hanging="720"/>
        <w:jc w:val="both"/>
        <w:rPr>
          <w:rFonts w:ascii="Arial" w:hAnsi="Arial" w:cs="Arial"/>
        </w:rPr>
      </w:pPr>
      <w:r>
        <w:rPr>
          <w:rFonts w:ascii="Arial" w:hAnsi="Arial" w:cs="Arial"/>
        </w:rPr>
        <w:t>3.1</w:t>
      </w:r>
      <w:r>
        <w:rPr>
          <w:rFonts w:ascii="Arial" w:hAnsi="Arial" w:cs="Arial"/>
        </w:rPr>
        <w:tab/>
        <w:t>the Remainder of the Farm Glen Ashton, No. 8589, Registration Division HS, Province of KwaZulu-Natal, held under title deed number: T 23804/2020, in extent 191, 6466 (one hundred and ninety – one comma six four six six) hectares, first registered by Crown Grant Number G8589/1914 and previously held by Deed of Transfer Number: T1752/1962;</w:t>
      </w:r>
    </w:p>
    <w:p w:rsidR="00A25FE4" w:rsidRDefault="00A25FE4" w:rsidP="00A25FE4">
      <w:pPr>
        <w:spacing w:line="360" w:lineRule="auto"/>
        <w:ind w:left="1440" w:hanging="720"/>
        <w:jc w:val="both"/>
        <w:rPr>
          <w:rFonts w:ascii="Arial" w:hAnsi="Arial" w:cs="Arial"/>
        </w:rPr>
      </w:pPr>
      <w:r>
        <w:rPr>
          <w:rFonts w:ascii="Arial" w:hAnsi="Arial" w:cs="Arial"/>
        </w:rPr>
        <w:t xml:space="preserve">3.2 </w:t>
      </w:r>
      <w:r>
        <w:rPr>
          <w:rFonts w:ascii="Arial" w:hAnsi="Arial" w:cs="Arial"/>
        </w:rPr>
        <w:tab/>
        <w:t xml:space="preserve">Portion 6 (of 3) of the Farm </w:t>
      </w:r>
      <w:r w:rsidR="005D61E0">
        <w:rPr>
          <w:rFonts w:ascii="Arial" w:hAnsi="Arial" w:cs="Arial"/>
        </w:rPr>
        <w:t>Twyfelhoek No.</w:t>
      </w:r>
      <w:r>
        <w:rPr>
          <w:rFonts w:ascii="Arial" w:hAnsi="Arial" w:cs="Arial"/>
        </w:rPr>
        <w:t xml:space="preserve"> 3339, Registration Division HS, Province of KwaZulu – Natal, held under title deed number: T23804/2020, in extent 192, 6811 (one hundred and ninety – two comma six eight one one) hectares, first transferred by </w:t>
      </w:r>
      <w:r w:rsidRPr="00596A6D">
        <w:rPr>
          <w:rFonts w:ascii="Arial" w:hAnsi="Arial" w:cs="Arial"/>
        </w:rPr>
        <w:t xml:space="preserve">Deed </w:t>
      </w:r>
      <w:r>
        <w:rPr>
          <w:rFonts w:ascii="Arial" w:hAnsi="Arial" w:cs="Arial"/>
        </w:rPr>
        <w:t>of Partition Transfer Number: T2420/1927, and previously held by Deed of Transfer Number: T1752/1962;</w:t>
      </w:r>
      <w:r w:rsidR="00D85F69">
        <w:rPr>
          <w:rFonts w:ascii="Arial" w:hAnsi="Arial" w:cs="Arial"/>
        </w:rPr>
        <w:t xml:space="preserve"> and</w:t>
      </w:r>
    </w:p>
    <w:p w:rsidR="00A25FE4" w:rsidRDefault="00A25FE4" w:rsidP="00A25FE4">
      <w:pPr>
        <w:spacing w:line="360" w:lineRule="auto"/>
        <w:ind w:left="1440" w:hanging="720"/>
        <w:jc w:val="both"/>
        <w:rPr>
          <w:rFonts w:ascii="Arial" w:hAnsi="Arial" w:cs="Arial"/>
        </w:rPr>
      </w:pPr>
      <w:r>
        <w:rPr>
          <w:rFonts w:ascii="Arial" w:hAnsi="Arial" w:cs="Arial"/>
        </w:rPr>
        <w:t>3.3</w:t>
      </w:r>
      <w:r>
        <w:rPr>
          <w:rFonts w:ascii="Arial" w:hAnsi="Arial" w:cs="Arial"/>
        </w:rPr>
        <w:tab/>
        <w:t xml:space="preserve">The Farm Moeders Rus No. 11657, Registration Division HS, Province of KwaZulu – Natal, held under title deed number: T23804/2020, in extent 487,7306 (four hundred and </w:t>
      </w:r>
      <w:r w:rsidR="00596A6D">
        <w:rPr>
          <w:rFonts w:ascii="Arial" w:hAnsi="Arial" w:cs="Arial"/>
        </w:rPr>
        <w:t>eighty-seven</w:t>
      </w:r>
      <w:r>
        <w:rPr>
          <w:rFonts w:ascii="Arial" w:hAnsi="Arial" w:cs="Arial"/>
        </w:rPr>
        <w:t xml:space="preserve"> comma seven three zero six) hectares, first registered by Crown Grant Number G11657/1930 and previously held by Deed of Transfer Number: T1752/1962</w:t>
      </w:r>
      <w:r w:rsidR="001F6FD9">
        <w:rPr>
          <w:rFonts w:ascii="Arial" w:hAnsi="Arial" w:cs="Arial"/>
        </w:rPr>
        <w:t>.</w:t>
      </w:r>
    </w:p>
    <w:p w:rsidR="00A25FE4" w:rsidRDefault="007B4942" w:rsidP="00A25FE4">
      <w:pPr>
        <w:spacing w:line="360" w:lineRule="auto"/>
        <w:ind w:left="720" w:hanging="720"/>
        <w:jc w:val="both"/>
        <w:rPr>
          <w:rFonts w:ascii="Arial" w:hAnsi="Arial" w:cs="Arial"/>
        </w:rPr>
      </w:pPr>
      <w:r>
        <w:rPr>
          <w:rFonts w:ascii="Arial" w:hAnsi="Arial" w:cs="Arial"/>
        </w:rPr>
        <w:t>4.</w:t>
      </w:r>
      <w:r>
        <w:rPr>
          <w:rFonts w:ascii="Arial" w:hAnsi="Arial" w:cs="Arial"/>
        </w:rPr>
        <w:tab/>
        <w:t xml:space="preserve">The first respondent be ordered to take all steps necessary, within 1 (one) month of service of this order upon it, to effect transfer of the farms </w:t>
      </w:r>
      <w:r w:rsidR="00067191">
        <w:rPr>
          <w:rFonts w:ascii="Arial" w:hAnsi="Arial" w:cs="Arial"/>
        </w:rPr>
        <w:t>to the erstwhile owner</w:t>
      </w:r>
      <w:r w:rsidR="004328ED">
        <w:rPr>
          <w:rFonts w:ascii="Arial" w:hAnsi="Arial" w:cs="Arial"/>
        </w:rPr>
        <w:t>s</w:t>
      </w:r>
      <w:r w:rsidR="00067191">
        <w:rPr>
          <w:rFonts w:ascii="Arial" w:hAnsi="Arial" w:cs="Arial"/>
        </w:rPr>
        <w:t>, or their</w:t>
      </w:r>
      <w:r>
        <w:rPr>
          <w:rFonts w:ascii="Arial" w:hAnsi="Arial" w:cs="Arial"/>
        </w:rPr>
        <w:t xml:space="preserve"> successors in title</w:t>
      </w:r>
      <w:r w:rsidR="001F6FD9">
        <w:rPr>
          <w:rFonts w:ascii="Arial" w:hAnsi="Arial" w:cs="Arial"/>
        </w:rPr>
        <w:t>.</w:t>
      </w:r>
    </w:p>
    <w:p w:rsidR="00A25FE4" w:rsidRDefault="00F05758" w:rsidP="00A25FE4">
      <w:pPr>
        <w:spacing w:line="360" w:lineRule="auto"/>
        <w:ind w:left="720" w:hanging="720"/>
        <w:jc w:val="both"/>
        <w:rPr>
          <w:rFonts w:ascii="Arial" w:hAnsi="Arial" w:cs="Arial"/>
        </w:rPr>
      </w:pPr>
      <w:r>
        <w:rPr>
          <w:rFonts w:ascii="Arial" w:hAnsi="Arial" w:cs="Arial"/>
        </w:rPr>
        <w:t>5.</w:t>
      </w:r>
      <w:r w:rsidR="00555295">
        <w:rPr>
          <w:rFonts w:ascii="Arial" w:hAnsi="Arial" w:cs="Arial"/>
        </w:rPr>
        <w:tab/>
      </w:r>
      <w:r>
        <w:rPr>
          <w:rFonts w:ascii="Arial" w:hAnsi="Arial" w:cs="Arial"/>
        </w:rPr>
        <w:t xml:space="preserve">In the event of the first respondent failing, refusing, or neglecting to comply with prayer 4: </w:t>
      </w:r>
    </w:p>
    <w:p w:rsidR="00A25FE4" w:rsidRDefault="004651F5" w:rsidP="00A25FE4">
      <w:pPr>
        <w:spacing w:line="360" w:lineRule="auto"/>
        <w:ind w:left="1440" w:hanging="720"/>
        <w:jc w:val="both"/>
        <w:rPr>
          <w:rFonts w:ascii="Arial" w:hAnsi="Arial" w:cs="Arial"/>
        </w:rPr>
      </w:pPr>
      <w:r>
        <w:rPr>
          <w:rFonts w:ascii="Arial" w:hAnsi="Arial" w:cs="Arial"/>
        </w:rPr>
        <w:t>5.</w:t>
      </w:r>
      <w:r w:rsidR="00F05758">
        <w:rPr>
          <w:rFonts w:ascii="Arial" w:hAnsi="Arial" w:cs="Arial"/>
        </w:rPr>
        <w:t xml:space="preserve">1 </w:t>
      </w:r>
      <w:r>
        <w:rPr>
          <w:rFonts w:ascii="Arial" w:hAnsi="Arial" w:cs="Arial"/>
        </w:rPr>
        <w:tab/>
        <w:t>that t</w:t>
      </w:r>
      <w:r w:rsidR="00231E3A">
        <w:rPr>
          <w:rFonts w:ascii="Arial" w:hAnsi="Arial" w:cs="Arial"/>
        </w:rPr>
        <w:t>h</w:t>
      </w:r>
      <w:r>
        <w:rPr>
          <w:rFonts w:ascii="Arial" w:hAnsi="Arial" w:cs="Arial"/>
        </w:rPr>
        <w:t xml:space="preserve">e </w:t>
      </w:r>
      <w:r w:rsidR="0025571F">
        <w:rPr>
          <w:rFonts w:ascii="Arial" w:hAnsi="Arial" w:cs="Arial"/>
        </w:rPr>
        <w:t>applicant(s)</w:t>
      </w:r>
      <w:r>
        <w:rPr>
          <w:rFonts w:ascii="Arial" w:hAnsi="Arial" w:cs="Arial"/>
        </w:rPr>
        <w:t xml:space="preserve"> </w:t>
      </w:r>
      <w:r w:rsidR="00B3205B">
        <w:rPr>
          <w:rFonts w:ascii="Arial" w:hAnsi="Arial" w:cs="Arial"/>
        </w:rPr>
        <w:t xml:space="preserve">be </w:t>
      </w:r>
      <w:r w:rsidR="00F05758">
        <w:rPr>
          <w:rFonts w:ascii="Arial" w:hAnsi="Arial" w:cs="Arial"/>
        </w:rPr>
        <w:t>authorised to instruct a conveyancer to prepare the necessary documents to effect transfer of the farms to the erst</w:t>
      </w:r>
      <w:r w:rsidR="00863EA5">
        <w:rPr>
          <w:rFonts w:ascii="Arial" w:hAnsi="Arial" w:cs="Arial"/>
        </w:rPr>
        <w:t>while owners, or their successors</w:t>
      </w:r>
      <w:r w:rsidR="00F05758">
        <w:rPr>
          <w:rFonts w:ascii="Arial" w:hAnsi="Arial" w:cs="Arial"/>
        </w:rPr>
        <w:t xml:space="preserve"> in title;</w:t>
      </w:r>
    </w:p>
    <w:p w:rsidR="00A25FE4" w:rsidRDefault="005B1242" w:rsidP="00A25FE4">
      <w:pPr>
        <w:spacing w:line="360" w:lineRule="auto"/>
        <w:ind w:left="1440" w:hanging="720"/>
        <w:jc w:val="both"/>
        <w:rPr>
          <w:rFonts w:ascii="Arial" w:hAnsi="Arial" w:cs="Arial"/>
        </w:rPr>
      </w:pPr>
      <w:r>
        <w:rPr>
          <w:rFonts w:ascii="Arial" w:hAnsi="Arial" w:cs="Arial"/>
        </w:rPr>
        <w:t xml:space="preserve">5.2 </w:t>
      </w:r>
      <w:r>
        <w:rPr>
          <w:rFonts w:ascii="Arial" w:hAnsi="Arial" w:cs="Arial"/>
        </w:rPr>
        <w:tab/>
        <w:t>that the first respondent be ordered to sign the documents referred to in prayer 5.1, within five (5) days of demand;</w:t>
      </w:r>
      <w:r w:rsidR="001F6FD9">
        <w:rPr>
          <w:rFonts w:ascii="Arial" w:hAnsi="Arial" w:cs="Arial"/>
        </w:rPr>
        <w:t xml:space="preserve"> and</w:t>
      </w:r>
    </w:p>
    <w:p w:rsidR="00A25FE4" w:rsidRDefault="00343674" w:rsidP="00A25FE4">
      <w:pPr>
        <w:spacing w:line="360" w:lineRule="auto"/>
        <w:ind w:left="1440" w:hanging="720"/>
        <w:jc w:val="both"/>
        <w:rPr>
          <w:rFonts w:ascii="Arial" w:hAnsi="Arial" w:cs="Arial"/>
        </w:rPr>
      </w:pPr>
      <w:r>
        <w:rPr>
          <w:rFonts w:ascii="Arial" w:hAnsi="Arial" w:cs="Arial"/>
        </w:rPr>
        <w:lastRenderedPageBreak/>
        <w:t>5.3</w:t>
      </w:r>
      <w:r>
        <w:rPr>
          <w:rFonts w:ascii="Arial" w:hAnsi="Arial" w:cs="Arial"/>
        </w:rPr>
        <w:tab/>
        <w:t>that the Sheriff be authorised to take all steps contemplated in prayer 5.2, in and on</w:t>
      </w:r>
      <w:r w:rsidR="00863EA5">
        <w:rPr>
          <w:rFonts w:ascii="Arial" w:hAnsi="Arial" w:cs="Arial"/>
        </w:rPr>
        <w:t xml:space="preserve"> the first respondent’s stead and</w:t>
      </w:r>
      <w:r>
        <w:rPr>
          <w:rFonts w:ascii="Arial" w:hAnsi="Arial" w:cs="Arial"/>
        </w:rPr>
        <w:t xml:space="preserve"> behalf, should the first respondent fail to do so</w:t>
      </w:r>
      <w:r w:rsidR="001F6FD9">
        <w:rPr>
          <w:rFonts w:ascii="Arial" w:hAnsi="Arial" w:cs="Arial"/>
        </w:rPr>
        <w:t>.</w:t>
      </w:r>
    </w:p>
    <w:p w:rsidR="00A25FE4" w:rsidRDefault="00863EA5" w:rsidP="00A25FE4">
      <w:pPr>
        <w:pBdr>
          <w:bottom w:val="single" w:sz="12" w:space="1" w:color="auto"/>
        </w:pBdr>
        <w:spacing w:line="360" w:lineRule="auto"/>
        <w:ind w:left="720" w:hanging="720"/>
        <w:jc w:val="both"/>
        <w:rPr>
          <w:rFonts w:ascii="Arial" w:hAnsi="Arial" w:cs="Arial"/>
        </w:rPr>
      </w:pPr>
      <w:r>
        <w:rPr>
          <w:rFonts w:ascii="Arial" w:hAnsi="Arial" w:cs="Arial"/>
        </w:rPr>
        <w:t>6.</w:t>
      </w:r>
      <w:r>
        <w:rPr>
          <w:rFonts w:ascii="Arial" w:hAnsi="Arial" w:cs="Arial"/>
        </w:rPr>
        <w:tab/>
        <w:t>T</w:t>
      </w:r>
      <w:r w:rsidR="00343674">
        <w:rPr>
          <w:rFonts w:ascii="Arial" w:hAnsi="Arial" w:cs="Arial"/>
        </w:rPr>
        <w:t xml:space="preserve">he </w:t>
      </w:r>
      <w:r>
        <w:rPr>
          <w:rFonts w:ascii="Arial" w:hAnsi="Arial" w:cs="Arial"/>
        </w:rPr>
        <w:t>cost</w:t>
      </w:r>
      <w:r w:rsidR="00343674">
        <w:rPr>
          <w:rFonts w:ascii="Arial" w:hAnsi="Arial" w:cs="Arial"/>
        </w:rPr>
        <w:t xml:space="preserve"> o</w:t>
      </w:r>
      <w:r>
        <w:rPr>
          <w:rFonts w:ascii="Arial" w:hAnsi="Arial" w:cs="Arial"/>
        </w:rPr>
        <w:t>f the application, and the cost</w:t>
      </w:r>
      <w:r w:rsidR="00343674">
        <w:rPr>
          <w:rFonts w:ascii="Arial" w:hAnsi="Arial" w:cs="Arial"/>
        </w:rPr>
        <w:t xml:space="preserve"> associated with giving effect to </w:t>
      </w:r>
      <w:r>
        <w:rPr>
          <w:rFonts w:ascii="Arial" w:hAnsi="Arial" w:cs="Arial"/>
        </w:rPr>
        <w:t>the relief prayed for in the prec</w:t>
      </w:r>
      <w:r w:rsidR="00343674">
        <w:rPr>
          <w:rFonts w:ascii="Arial" w:hAnsi="Arial" w:cs="Arial"/>
        </w:rPr>
        <w:t>eding paragraphs, be paid by the first respondent, jointly and severally with its attorneys, Messrs. Kruger Attorneys and Conveyancers of 32 Mouton Street, Horizon, Roodepoort</w:t>
      </w:r>
      <w:r>
        <w:rPr>
          <w:rFonts w:ascii="Arial" w:hAnsi="Arial" w:cs="Arial"/>
        </w:rPr>
        <w:t>,</w:t>
      </w:r>
      <w:r w:rsidR="00343674">
        <w:rPr>
          <w:rFonts w:ascii="Arial" w:hAnsi="Arial" w:cs="Arial"/>
        </w:rPr>
        <w:t xml:space="preserve"> the one paying, the other to be absolved, on the scale as between attorney and client</w:t>
      </w:r>
      <w:r w:rsidR="001F6FD9">
        <w:rPr>
          <w:rFonts w:ascii="Arial" w:hAnsi="Arial" w:cs="Arial"/>
        </w:rPr>
        <w:t>.</w:t>
      </w:r>
    </w:p>
    <w:p w:rsidR="00343674" w:rsidRDefault="00863EA5" w:rsidP="00A25FE4">
      <w:pPr>
        <w:pBdr>
          <w:bottom w:val="single" w:sz="12" w:space="1" w:color="auto"/>
        </w:pBdr>
        <w:spacing w:line="360" w:lineRule="auto"/>
        <w:ind w:left="720" w:hanging="720"/>
        <w:jc w:val="both"/>
        <w:rPr>
          <w:rFonts w:ascii="Arial" w:hAnsi="Arial" w:cs="Arial"/>
        </w:rPr>
      </w:pPr>
      <w:r>
        <w:rPr>
          <w:rFonts w:ascii="Arial" w:hAnsi="Arial" w:cs="Arial"/>
        </w:rPr>
        <w:t xml:space="preserve">7. </w:t>
      </w:r>
      <w:r>
        <w:rPr>
          <w:rFonts w:ascii="Arial" w:hAnsi="Arial" w:cs="Arial"/>
        </w:rPr>
        <w:tab/>
        <w:t>The Registrar of this C</w:t>
      </w:r>
      <w:r w:rsidR="00343674">
        <w:rPr>
          <w:rFonts w:ascii="Arial" w:hAnsi="Arial" w:cs="Arial"/>
        </w:rPr>
        <w:t>ourt forward a copy of this judgment to the Legal Practice Council to investigate the conduct of the attorneys referred to in paragraph 6.</w:t>
      </w:r>
    </w:p>
    <w:p w:rsidR="00B32813" w:rsidRDefault="00B32813" w:rsidP="00A25FE4">
      <w:pPr>
        <w:pBdr>
          <w:bottom w:val="single" w:sz="12" w:space="1" w:color="auto"/>
        </w:pBdr>
        <w:spacing w:line="360" w:lineRule="auto"/>
        <w:ind w:left="720" w:hanging="720"/>
        <w:jc w:val="both"/>
        <w:rPr>
          <w:rFonts w:ascii="Arial" w:hAnsi="Arial" w:cs="Arial"/>
        </w:rPr>
      </w:pPr>
    </w:p>
    <w:p w:rsidR="00EE52A1" w:rsidRDefault="00EE52A1" w:rsidP="00A25FE4">
      <w:pPr>
        <w:spacing w:line="360" w:lineRule="auto"/>
        <w:jc w:val="both"/>
        <w:rPr>
          <w:rFonts w:ascii="Arial" w:hAnsi="Arial" w:cs="Arial"/>
        </w:rPr>
      </w:pPr>
    </w:p>
    <w:p w:rsidR="00556B09" w:rsidRDefault="005D61E0" w:rsidP="005D61E0">
      <w:pPr>
        <w:spacing w:line="360" w:lineRule="auto"/>
        <w:jc w:val="center"/>
        <w:rPr>
          <w:rFonts w:ascii="Arial" w:hAnsi="Arial" w:cs="Arial"/>
          <w:b/>
        </w:rPr>
      </w:pPr>
      <w:r>
        <w:rPr>
          <w:rFonts w:ascii="Arial" w:hAnsi="Arial" w:cs="Arial"/>
          <w:b/>
        </w:rPr>
        <w:t>JUDGMENT</w:t>
      </w:r>
    </w:p>
    <w:p w:rsidR="003C1A8C" w:rsidRDefault="00556B09" w:rsidP="00A25FE4">
      <w:pPr>
        <w:spacing w:line="360" w:lineRule="auto"/>
        <w:jc w:val="both"/>
        <w:rPr>
          <w:rFonts w:ascii="Arial" w:hAnsi="Arial" w:cs="Arial"/>
          <w:b/>
        </w:rPr>
      </w:pPr>
      <w:r>
        <w:rPr>
          <w:rFonts w:ascii="Arial" w:hAnsi="Arial" w:cs="Arial"/>
          <w:b/>
        </w:rPr>
        <w:t>_____________________________________________________________________</w:t>
      </w:r>
      <w:r w:rsidR="005D61E0">
        <w:rPr>
          <w:rFonts w:ascii="Arial" w:hAnsi="Arial" w:cs="Arial"/>
          <w:b/>
        </w:rPr>
        <w:t>_</w:t>
      </w:r>
    </w:p>
    <w:p w:rsidR="009847A3" w:rsidRDefault="009847A3" w:rsidP="00A25FE4">
      <w:pPr>
        <w:spacing w:line="360" w:lineRule="auto"/>
        <w:jc w:val="both"/>
        <w:rPr>
          <w:rFonts w:ascii="Arial" w:hAnsi="Arial" w:cs="Arial"/>
          <w:b/>
        </w:rPr>
      </w:pPr>
      <w:r>
        <w:rPr>
          <w:rFonts w:ascii="Arial" w:hAnsi="Arial" w:cs="Arial"/>
          <w:b/>
        </w:rPr>
        <w:tab/>
        <w:t xml:space="preserve"> </w:t>
      </w:r>
      <w:r w:rsidR="003C1A8C">
        <w:rPr>
          <w:rFonts w:ascii="Arial" w:hAnsi="Arial" w:cs="Arial"/>
          <w:b/>
        </w:rPr>
        <w:tab/>
      </w:r>
    </w:p>
    <w:p w:rsidR="00556B09" w:rsidRPr="00555295" w:rsidRDefault="00556B09" w:rsidP="0068078D">
      <w:pPr>
        <w:spacing w:line="360" w:lineRule="auto"/>
        <w:rPr>
          <w:rFonts w:ascii="Arial" w:hAnsi="Arial" w:cs="Arial"/>
          <w:b/>
        </w:rPr>
      </w:pPr>
      <w:r w:rsidRPr="00555295">
        <w:rPr>
          <w:rFonts w:ascii="Arial" w:hAnsi="Arial" w:cs="Arial"/>
          <w:b/>
        </w:rPr>
        <w:t>ZP</w:t>
      </w:r>
      <w:r w:rsidR="00297E4F" w:rsidRPr="00555295">
        <w:rPr>
          <w:rFonts w:ascii="Arial" w:hAnsi="Arial" w:cs="Arial"/>
          <w:b/>
        </w:rPr>
        <w:t xml:space="preserve"> </w:t>
      </w:r>
      <w:r w:rsidRPr="00555295">
        <w:rPr>
          <w:rFonts w:ascii="Arial" w:hAnsi="Arial" w:cs="Arial"/>
          <w:b/>
        </w:rPr>
        <w:t>N</w:t>
      </w:r>
      <w:r w:rsidR="00555295" w:rsidRPr="00555295">
        <w:rPr>
          <w:rFonts w:ascii="Arial" w:hAnsi="Arial" w:cs="Arial"/>
          <w:b/>
        </w:rPr>
        <w:t>kosi J</w:t>
      </w:r>
    </w:p>
    <w:p w:rsidR="00556B09" w:rsidRDefault="00556B09" w:rsidP="0068078D">
      <w:pPr>
        <w:spacing w:line="360" w:lineRule="auto"/>
        <w:rPr>
          <w:rFonts w:ascii="Arial" w:hAnsi="Arial" w:cs="Arial"/>
        </w:rPr>
      </w:pPr>
    </w:p>
    <w:p w:rsidR="00556B09" w:rsidRPr="00555295" w:rsidRDefault="00556B09" w:rsidP="0068078D">
      <w:pPr>
        <w:spacing w:line="360" w:lineRule="auto"/>
        <w:rPr>
          <w:rFonts w:ascii="Arial" w:hAnsi="Arial" w:cs="Arial"/>
          <w:b/>
        </w:rPr>
      </w:pPr>
      <w:r w:rsidRPr="001D5BC5">
        <w:rPr>
          <w:rFonts w:ascii="Arial" w:hAnsi="Arial" w:cs="Arial"/>
          <w:b/>
        </w:rPr>
        <w:t>Introduction</w:t>
      </w:r>
    </w:p>
    <w:p w:rsidR="00556B09" w:rsidRPr="00555295" w:rsidRDefault="00556B09" w:rsidP="00555295">
      <w:pPr>
        <w:spacing w:line="360" w:lineRule="auto"/>
        <w:jc w:val="both"/>
        <w:rPr>
          <w:rFonts w:ascii="Arial" w:hAnsi="Arial" w:cs="Arial"/>
        </w:rPr>
      </w:pPr>
      <w:r w:rsidRPr="00555295">
        <w:rPr>
          <w:rFonts w:ascii="Arial" w:hAnsi="Arial" w:cs="Arial"/>
        </w:rPr>
        <w:t>[1]</w:t>
      </w:r>
      <w:r w:rsidRPr="00555295">
        <w:rPr>
          <w:rFonts w:ascii="Arial" w:hAnsi="Arial" w:cs="Arial"/>
        </w:rPr>
        <w:tab/>
        <w:t xml:space="preserve">The applicants apply to be </w:t>
      </w:r>
      <w:r w:rsidR="001D5BC5" w:rsidRPr="00555295">
        <w:rPr>
          <w:rFonts w:ascii="Arial" w:hAnsi="Arial" w:cs="Arial"/>
        </w:rPr>
        <w:t>joined</w:t>
      </w:r>
      <w:r w:rsidR="00822B32" w:rsidRPr="00555295">
        <w:rPr>
          <w:rFonts w:ascii="Arial" w:hAnsi="Arial" w:cs="Arial"/>
        </w:rPr>
        <w:t>,</w:t>
      </w:r>
      <w:r w:rsidR="001D5BC5" w:rsidRPr="00555295">
        <w:rPr>
          <w:rFonts w:ascii="Arial" w:hAnsi="Arial" w:cs="Arial"/>
        </w:rPr>
        <w:t xml:space="preserve"> in terms of Uniform </w:t>
      </w:r>
      <w:r w:rsidR="005D61E0">
        <w:rPr>
          <w:rFonts w:ascii="Arial" w:hAnsi="Arial" w:cs="Arial"/>
        </w:rPr>
        <w:t>r</w:t>
      </w:r>
      <w:r w:rsidR="001D5BC5" w:rsidRPr="00555295">
        <w:rPr>
          <w:rFonts w:ascii="Arial" w:hAnsi="Arial" w:cs="Arial"/>
        </w:rPr>
        <w:t xml:space="preserve">ule 12, as respondents in the </w:t>
      </w:r>
      <w:r w:rsidR="001D5BC5" w:rsidRPr="00A25CCD">
        <w:rPr>
          <w:rFonts w:ascii="Arial" w:hAnsi="Arial" w:cs="Arial"/>
        </w:rPr>
        <w:t>ex parte</w:t>
      </w:r>
      <w:r w:rsidR="00822B32" w:rsidRPr="00555295">
        <w:rPr>
          <w:rFonts w:ascii="Arial" w:hAnsi="Arial" w:cs="Arial"/>
        </w:rPr>
        <w:t xml:space="preserve"> application </w:t>
      </w:r>
      <w:r w:rsidR="001D5BC5" w:rsidRPr="00555295">
        <w:rPr>
          <w:rFonts w:ascii="Arial" w:hAnsi="Arial" w:cs="Arial"/>
        </w:rPr>
        <w:t>brought by the first respondent in this court</w:t>
      </w:r>
      <w:r w:rsidR="00822B32" w:rsidRPr="00555295">
        <w:rPr>
          <w:rFonts w:ascii="Arial" w:hAnsi="Arial" w:cs="Arial"/>
        </w:rPr>
        <w:t>,</w:t>
      </w:r>
      <w:r w:rsidR="001D5BC5" w:rsidRPr="00555295">
        <w:rPr>
          <w:rFonts w:ascii="Arial" w:hAnsi="Arial" w:cs="Arial"/>
        </w:rPr>
        <w:t xml:space="preserve"> under case number </w:t>
      </w:r>
      <w:r w:rsidR="00C32B25" w:rsidRPr="00555295">
        <w:rPr>
          <w:rFonts w:ascii="Arial" w:hAnsi="Arial" w:cs="Arial"/>
        </w:rPr>
        <w:t>3635/19P</w:t>
      </w:r>
      <w:r w:rsidR="00822B32" w:rsidRPr="00555295">
        <w:rPr>
          <w:rFonts w:ascii="Arial" w:hAnsi="Arial" w:cs="Arial"/>
        </w:rPr>
        <w:t>;</w:t>
      </w:r>
      <w:r w:rsidR="00C32B25" w:rsidRPr="00555295">
        <w:rPr>
          <w:rFonts w:ascii="Arial" w:hAnsi="Arial" w:cs="Arial"/>
        </w:rPr>
        <w:t xml:space="preserve"> </w:t>
      </w:r>
      <w:r w:rsidR="0068078D" w:rsidRPr="00555295">
        <w:rPr>
          <w:rFonts w:ascii="Arial" w:hAnsi="Arial" w:cs="Arial"/>
        </w:rPr>
        <w:t>and consequent upon that, for a rescission of the orde</w:t>
      </w:r>
      <w:r w:rsidR="000B0EC3" w:rsidRPr="00555295">
        <w:rPr>
          <w:rFonts w:ascii="Arial" w:hAnsi="Arial" w:cs="Arial"/>
        </w:rPr>
        <w:t>r granted by this court (per See</w:t>
      </w:r>
      <w:r w:rsidR="0068078D" w:rsidRPr="00555295">
        <w:rPr>
          <w:rFonts w:ascii="Arial" w:hAnsi="Arial" w:cs="Arial"/>
        </w:rPr>
        <w:t>gobin J) on 26 February 2020, as well as relief aimed at giving effect to the rescission of that order. Upon rescission of the aforementioned order, the applicants seek an order that the registration and transfer</w:t>
      </w:r>
      <w:r w:rsidR="004A1402" w:rsidRPr="00555295">
        <w:rPr>
          <w:rFonts w:ascii="Arial" w:hAnsi="Arial" w:cs="Arial"/>
        </w:rPr>
        <w:t xml:space="preserve"> of three </w:t>
      </w:r>
      <w:r w:rsidR="00AC0009" w:rsidRPr="00555295">
        <w:rPr>
          <w:rFonts w:ascii="Arial" w:hAnsi="Arial" w:cs="Arial"/>
        </w:rPr>
        <w:t>farms, namely</w:t>
      </w:r>
      <w:r w:rsidR="004A1402" w:rsidRPr="00555295">
        <w:rPr>
          <w:rFonts w:ascii="Arial" w:hAnsi="Arial" w:cs="Arial"/>
        </w:rPr>
        <w:t>, the Rema</w:t>
      </w:r>
      <w:r w:rsidR="0068078D" w:rsidRPr="00555295">
        <w:rPr>
          <w:rFonts w:ascii="Arial" w:hAnsi="Arial" w:cs="Arial"/>
        </w:rPr>
        <w:t>inder of the Farm Glen Ashton;</w:t>
      </w:r>
      <w:r w:rsidR="00822B32" w:rsidRPr="00555295">
        <w:rPr>
          <w:rFonts w:ascii="Arial" w:hAnsi="Arial" w:cs="Arial"/>
        </w:rPr>
        <w:t xml:space="preserve"> Portion 6 (of 3) of the Farm Twyfelhoek; and the F</w:t>
      </w:r>
      <w:r w:rsidR="0068078D" w:rsidRPr="00555295">
        <w:rPr>
          <w:rFonts w:ascii="Arial" w:hAnsi="Arial" w:cs="Arial"/>
        </w:rPr>
        <w:t xml:space="preserve">arm Moeders Rus to the first respondent be set aside. And </w:t>
      </w:r>
      <w:r w:rsidR="0079396D">
        <w:rPr>
          <w:rFonts w:ascii="Arial" w:hAnsi="Arial" w:cs="Arial"/>
        </w:rPr>
        <w:t xml:space="preserve">further </w:t>
      </w:r>
      <w:r w:rsidR="0068078D" w:rsidRPr="00555295">
        <w:rPr>
          <w:rFonts w:ascii="Arial" w:hAnsi="Arial" w:cs="Arial"/>
        </w:rPr>
        <w:t>that the first respondent be ordered to take all steps necessary to effect transfer of the farms to the erstwhile owners, or their successors in title</w:t>
      </w:r>
      <w:r w:rsidR="00052DFE" w:rsidRPr="00555295">
        <w:rPr>
          <w:rFonts w:ascii="Arial" w:hAnsi="Arial" w:cs="Arial"/>
        </w:rPr>
        <w:t>,</w:t>
      </w:r>
      <w:r w:rsidR="0068078D" w:rsidRPr="00555295">
        <w:rPr>
          <w:rFonts w:ascii="Arial" w:hAnsi="Arial" w:cs="Arial"/>
        </w:rPr>
        <w:t xml:space="preserve"> with alternative relief should the first respondent fail to do so.</w:t>
      </w:r>
    </w:p>
    <w:p w:rsidR="00337CF5" w:rsidRPr="00555295" w:rsidRDefault="00337CF5" w:rsidP="00555295">
      <w:pPr>
        <w:spacing w:line="360" w:lineRule="auto"/>
        <w:jc w:val="both"/>
        <w:rPr>
          <w:rFonts w:ascii="Arial" w:hAnsi="Arial" w:cs="Arial"/>
        </w:rPr>
      </w:pPr>
    </w:p>
    <w:p w:rsidR="00337CF5" w:rsidRPr="00555295" w:rsidRDefault="00337CF5" w:rsidP="00555295">
      <w:pPr>
        <w:spacing w:line="360" w:lineRule="auto"/>
        <w:jc w:val="both"/>
        <w:rPr>
          <w:rFonts w:ascii="Arial" w:hAnsi="Arial" w:cs="Arial"/>
        </w:rPr>
      </w:pPr>
      <w:r w:rsidRPr="00555295">
        <w:rPr>
          <w:rFonts w:ascii="Arial" w:hAnsi="Arial" w:cs="Arial"/>
        </w:rPr>
        <w:t>[2]</w:t>
      </w:r>
      <w:r w:rsidRPr="00555295">
        <w:rPr>
          <w:rFonts w:ascii="Arial" w:hAnsi="Arial" w:cs="Arial"/>
        </w:rPr>
        <w:tab/>
        <w:t xml:space="preserve">The relief sought is assailed by the first respondent on various grounds to be traversed in the judgment. In particular, the first respondent states that the rescission </w:t>
      </w:r>
      <w:r w:rsidRPr="00555295">
        <w:rPr>
          <w:rFonts w:ascii="Arial" w:hAnsi="Arial" w:cs="Arial"/>
        </w:rPr>
        <w:lastRenderedPageBreak/>
        <w:t>relief is brought on the incorrect rule and that there is no case made out as per the rule or as per the common law requirement</w:t>
      </w:r>
      <w:r w:rsidR="0056511F">
        <w:rPr>
          <w:rFonts w:ascii="Arial" w:hAnsi="Arial" w:cs="Arial"/>
        </w:rPr>
        <w:t>s</w:t>
      </w:r>
      <w:r w:rsidRPr="00555295">
        <w:rPr>
          <w:rFonts w:ascii="Arial" w:hAnsi="Arial" w:cs="Arial"/>
        </w:rPr>
        <w:t xml:space="preserve">. </w:t>
      </w:r>
      <w:r w:rsidR="009A760C" w:rsidRPr="00555295">
        <w:rPr>
          <w:rFonts w:ascii="Arial" w:hAnsi="Arial" w:cs="Arial"/>
        </w:rPr>
        <w:t>The second respondent has not file</w:t>
      </w:r>
      <w:r w:rsidR="00AC0009">
        <w:rPr>
          <w:rFonts w:ascii="Arial" w:hAnsi="Arial" w:cs="Arial"/>
        </w:rPr>
        <w:t>d</w:t>
      </w:r>
      <w:r w:rsidR="009A760C" w:rsidRPr="00555295">
        <w:rPr>
          <w:rFonts w:ascii="Arial" w:hAnsi="Arial" w:cs="Arial"/>
        </w:rPr>
        <w:t xml:space="preserve"> papers to oppose the application. </w:t>
      </w:r>
    </w:p>
    <w:p w:rsidR="009A760C" w:rsidRPr="00555295" w:rsidRDefault="009A760C" w:rsidP="00555295">
      <w:pPr>
        <w:spacing w:line="360" w:lineRule="auto"/>
        <w:jc w:val="both"/>
        <w:rPr>
          <w:rFonts w:ascii="Arial" w:hAnsi="Arial" w:cs="Arial"/>
        </w:rPr>
      </w:pPr>
    </w:p>
    <w:p w:rsidR="009A760C" w:rsidRPr="00555295" w:rsidRDefault="009A760C" w:rsidP="00555295">
      <w:pPr>
        <w:spacing w:line="360" w:lineRule="auto"/>
        <w:jc w:val="both"/>
        <w:rPr>
          <w:rFonts w:ascii="Arial" w:hAnsi="Arial" w:cs="Arial"/>
          <w:b/>
        </w:rPr>
      </w:pPr>
      <w:r w:rsidRPr="00555295">
        <w:rPr>
          <w:rFonts w:ascii="Arial" w:hAnsi="Arial" w:cs="Arial"/>
          <w:b/>
        </w:rPr>
        <w:t xml:space="preserve">Case </w:t>
      </w:r>
      <w:r w:rsidR="00AC0009">
        <w:rPr>
          <w:rFonts w:ascii="Arial" w:hAnsi="Arial" w:cs="Arial"/>
          <w:b/>
        </w:rPr>
        <w:t>h</w:t>
      </w:r>
      <w:r w:rsidRPr="00555295">
        <w:rPr>
          <w:rFonts w:ascii="Arial" w:hAnsi="Arial" w:cs="Arial"/>
          <w:b/>
        </w:rPr>
        <w:t>istory</w:t>
      </w:r>
    </w:p>
    <w:p w:rsidR="009A760C" w:rsidRPr="00555295" w:rsidRDefault="009A760C" w:rsidP="00555295">
      <w:pPr>
        <w:spacing w:line="360" w:lineRule="auto"/>
        <w:jc w:val="both"/>
        <w:rPr>
          <w:rFonts w:ascii="Arial" w:hAnsi="Arial" w:cs="Arial"/>
        </w:rPr>
      </w:pPr>
      <w:r w:rsidRPr="00555295">
        <w:rPr>
          <w:rFonts w:ascii="Arial" w:hAnsi="Arial" w:cs="Arial"/>
        </w:rPr>
        <w:t>[3]</w:t>
      </w:r>
      <w:r w:rsidRPr="00555295">
        <w:rPr>
          <w:rFonts w:ascii="Arial" w:hAnsi="Arial" w:cs="Arial"/>
        </w:rPr>
        <w:tab/>
      </w:r>
      <w:r w:rsidR="00730979" w:rsidRPr="00555295">
        <w:rPr>
          <w:rFonts w:ascii="Arial" w:hAnsi="Arial" w:cs="Arial"/>
        </w:rPr>
        <w:t xml:space="preserve">On 29 May 2019 the first respondent, a private registered company, brought an </w:t>
      </w:r>
      <w:r w:rsidR="00730979" w:rsidRPr="009C016A">
        <w:rPr>
          <w:rFonts w:ascii="Arial" w:hAnsi="Arial" w:cs="Arial"/>
        </w:rPr>
        <w:t xml:space="preserve">ex parte </w:t>
      </w:r>
      <w:r w:rsidR="00730979" w:rsidRPr="00555295">
        <w:rPr>
          <w:rFonts w:ascii="Arial" w:hAnsi="Arial" w:cs="Arial"/>
        </w:rPr>
        <w:t>application in this court</w:t>
      </w:r>
      <w:r w:rsidR="00A35C96" w:rsidRPr="00555295">
        <w:rPr>
          <w:rFonts w:ascii="Arial" w:hAnsi="Arial" w:cs="Arial"/>
        </w:rPr>
        <w:t>,</w:t>
      </w:r>
      <w:r w:rsidR="00730979" w:rsidRPr="00555295">
        <w:rPr>
          <w:rFonts w:ascii="Arial" w:hAnsi="Arial" w:cs="Arial"/>
        </w:rPr>
        <w:t xml:space="preserve"> under case number: 3635/19P, seeking the following relief:</w:t>
      </w:r>
      <w:r w:rsidR="009C016A">
        <w:rPr>
          <w:rStyle w:val="FootnoteReference"/>
          <w:rFonts w:ascii="Arial" w:hAnsi="Arial" w:cs="Arial"/>
        </w:rPr>
        <w:footnoteReference w:id="2"/>
      </w:r>
    </w:p>
    <w:p w:rsidR="00243688" w:rsidRPr="00555295" w:rsidRDefault="00B204AD" w:rsidP="00555295">
      <w:pPr>
        <w:spacing w:line="360" w:lineRule="auto"/>
        <w:jc w:val="both"/>
        <w:rPr>
          <w:rFonts w:ascii="Arial" w:hAnsi="Arial" w:cs="Arial"/>
          <w:sz w:val="22"/>
          <w:szCs w:val="22"/>
        </w:rPr>
      </w:pPr>
      <w:r w:rsidRPr="00555295">
        <w:rPr>
          <w:rFonts w:ascii="Arial" w:hAnsi="Arial" w:cs="Arial"/>
          <w:sz w:val="22"/>
          <w:szCs w:val="22"/>
        </w:rPr>
        <w:t>‘1</w:t>
      </w:r>
      <w:r w:rsidR="00CE250F">
        <w:rPr>
          <w:rFonts w:ascii="Arial" w:hAnsi="Arial" w:cs="Arial"/>
          <w:sz w:val="22"/>
          <w:szCs w:val="22"/>
        </w:rPr>
        <w:t>.</w:t>
      </w:r>
      <w:r w:rsidR="00243688" w:rsidRPr="00555295">
        <w:rPr>
          <w:rFonts w:ascii="Arial" w:hAnsi="Arial" w:cs="Arial"/>
          <w:sz w:val="22"/>
          <w:szCs w:val="22"/>
        </w:rPr>
        <w:t xml:space="preserve"> </w:t>
      </w:r>
      <w:r w:rsidR="00243688" w:rsidRPr="00555295">
        <w:rPr>
          <w:rFonts w:ascii="Arial" w:hAnsi="Arial" w:cs="Arial"/>
          <w:sz w:val="22"/>
          <w:szCs w:val="22"/>
        </w:rPr>
        <w:tab/>
      </w:r>
      <w:r w:rsidR="00CE250F">
        <w:rPr>
          <w:rFonts w:ascii="Arial" w:hAnsi="Arial" w:cs="Arial"/>
          <w:sz w:val="22"/>
          <w:szCs w:val="22"/>
        </w:rPr>
        <w:t>T</w:t>
      </w:r>
      <w:r w:rsidR="00243688" w:rsidRPr="00555295">
        <w:rPr>
          <w:rFonts w:ascii="Arial" w:hAnsi="Arial" w:cs="Arial"/>
          <w:sz w:val="22"/>
          <w:szCs w:val="22"/>
        </w:rPr>
        <w:t xml:space="preserve">hat the </w:t>
      </w:r>
      <w:r w:rsidR="00CE250F">
        <w:rPr>
          <w:rFonts w:ascii="Arial" w:hAnsi="Arial" w:cs="Arial"/>
          <w:sz w:val="22"/>
          <w:szCs w:val="22"/>
        </w:rPr>
        <w:t>A</w:t>
      </w:r>
      <w:r w:rsidR="00243688" w:rsidRPr="00555295">
        <w:rPr>
          <w:rFonts w:ascii="Arial" w:hAnsi="Arial" w:cs="Arial"/>
          <w:sz w:val="22"/>
          <w:szCs w:val="22"/>
        </w:rPr>
        <w:t xml:space="preserve">pplicant is entitled to bring this </w:t>
      </w:r>
      <w:r w:rsidR="00CE250F">
        <w:rPr>
          <w:rFonts w:ascii="Arial" w:hAnsi="Arial" w:cs="Arial"/>
          <w:sz w:val="22"/>
          <w:szCs w:val="22"/>
        </w:rPr>
        <w:t>A</w:t>
      </w:r>
      <w:r w:rsidR="00243688" w:rsidRPr="00555295">
        <w:rPr>
          <w:rFonts w:ascii="Arial" w:hAnsi="Arial" w:cs="Arial"/>
          <w:sz w:val="22"/>
          <w:szCs w:val="22"/>
        </w:rPr>
        <w:t xml:space="preserve">pplication on an </w:t>
      </w:r>
      <w:r w:rsidR="00243688" w:rsidRPr="00CE250F">
        <w:rPr>
          <w:rFonts w:ascii="Arial" w:hAnsi="Arial" w:cs="Arial"/>
          <w:i/>
          <w:sz w:val="22"/>
          <w:szCs w:val="22"/>
        </w:rPr>
        <w:t>ex parte</w:t>
      </w:r>
      <w:r w:rsidR="00243688" w:rsidRPr="00555295">
        <w:rPr>
          <w:rFonts w:ascii="Arial" w:hAnsi="Arial" w:cs="Arial"/>
          <w:sz w:val="22"/>
          <w:szCs w:val="22"/>
        </w:rPr>
        <w:t xml:space="preserve"> basis; </w:t>
      </w:r>
    </w:p>
    <w:p w:rsidR="00243688" w:rsidRPr="00555295" w:rsidRDefault="00243688" w:rsidP="00CE250F">
      <w:pPr>
        <w:spacing w:line="360" w:lineRule="auto"/>
        <w:ind w:left="720" w:hanging="720"/>
        <w:jc w:val="both"/>
        <w:rPr>
          <w:rFonts w:ascii="Arial" w:hAnsi="Arial" w:cs="Arial"/>
          <w:sz w:val="22"/>
          <w:szCs w:val="22"/>
        </w:rPr>
      </w:pPr>
      <w:r w:rsidRPr="00555295">
        <w:rPr>
          <w:rFonts w:ascii="Arial" w:hAnsi="Arial" w:cs="Arial"/>
          <w:sz w:val="22"/>
          <w:szCs w:val="22"/>
        </w:rPr>
        <w:t xml:space="preserve">2 </w:t>
      </w:r>
      <w:r w:rsidRPr="00555295">
        <w:rPr>
          <w:rFonts w:ascii="Arial" w:hAnsi="Arial" w:cs="Arial"/>
          <w:sz w:val="22"/>
          <w:szCs w:val="22"/>
        </w:rPr>
        <w:tab/>
      </w:r>
      <w:r w:rsidR="00CE250F">
        <w:rPr>
          <w:rFonts w:ascii="Arial" w:hAnsi="Arial" w:cs="Arial"/>
          <w:sz w:val="22"/>
          <w:szCs w:val="22"/>
        </w:rPr>
        <w:t>T</w:t>
      </w:r>
      <w:r w:rsidRPr="00555295">
        <w:rPr>
          <w:rFonts w:ascii="Arial" w:hAnsi="Arial" w:cs="Arial"/>
          <w:sz w:val="22"/>
          <w:szCs w:val="22"/>
        </w:rPr>
        <w:t xml:space="preserve">hat the </w:t>
      </w:r>
      <w:r w:rsidR="00CE250F">
        <w:rPr>
          <w:rFonts w:ascii="Arial" w:hAnsi="Arial" w:cs="Arial"/>
          <w:sz w:val="22"/>
          <w:szCs w:val="22"/>
        </w:rPr>
        <w:t>A</w:t>
      </w:r>
      <w:r w:rsidRPr="00555295">
        <w:rPr>
          <w:rFonts w:ascii="Arial" w:hAnsi="Arial" w:cs="Arial"/>
          <w:sz w:val="22"/>
          <w:szCs w:val="22"/>
        </w:rPr>
        <w:t xml:space="preserve">pplicant be granted full access and possession of the property known as </w:t>
      </w:r>
      <w:r w:rsidR="00A35C96" w:rsidRPr="00562571">
        <w:rPr>
          <w:rFonts w:ascii="Arial" w:hAnsi="Arial" w:cs="Arial"/>
          <w:b/>
          <w:sz w:val="22"/>
          <w:szCs w:val="22"/>
        </w:rPr>
        <w:t xml:space="preserve">Farm </w:t>
      </w:r>
      <w:r w:rsidR="00A35C96" w:rsidRPr="00CE250F">
        <w:rPr>
          <w:rFonts w:ascii="Arial" w:hAnsi="Arial" w:cs="Arial"/>
          <w:b/>
          <w:sz w:val="22"/>
          <w:szCs w:val="22"/>
        </w:rPr>
        <w:t>Glen Ashton 85</w:t>
      </w:r>
      <w:r w:rsidRPr="00CE250F">
        <w:rPr>
          <w:rFonts w:ascii="Arial" w:hAnsi="Arial" w:cs="Arial"/>
          <w:b/>
          <w:sz w:val="22"/>
          <w:szCs w:val="22"/>
        </w:rPr>
        <w:t>89 HS, P.O (Pietermaritzburg), KwaZulu</w:t>
      </w:r>
      <w:r w:rsidR="000461DC" w:rsidRPr="00CE250F">
        <w:rPr>
          <w:rFonts w:ascii="Arial" w:hAnsi="Arial" w:cs="Arial"/>
          <w:b/>
          <w:sz w:val="22"/>
          <w:szCs w:val="22"/>
        </w:rPr>
        <w:t>-</w:t>
      </w:r>
      <w:r w:rsidRPr="00CE250F">
        <w:rPr>
          <w:rFonts w:ascii="Arial" w:hAnsi="Arial" w:cs="Arial"/>
          <w:b/>
          <w:sz w:val="22"/>
          <w:szCs w:val="22"/>
        </w:rPr>
        <w:t xml:space="preserve">Natal held under Title Deed 1752/1962 </w:t>
      </w:r>
      <w:r w:rsidR="000461DC" w:rsidRPr="00CE250F">
        <w:rPr>
          <w:rFonts w:ascii="Arial" w:hAnsi="Arial" w:cs="Arial"/>
          <w:b/>
          <w:sz w:val="22"/>
          <w:szCs w:val="22"/>
        </w:rPr>
        <w:t>measuring</w:t>
      </w:r>
      <w:r w:rsidRPr="00CE250F">
        <w:rPr>
          <w:rFonts w:ascii="Arial" w:hAnsi="Arial" w:cs="Arial"/>
          <w:b/>
          <w:sz w:val="22"/>
          <w:szCs w:val="22"/>
        </w:rPr>
        <w:t xml:space="preserve"> 191.447 HA</w:t>
      </w:r>
      <w:r w:rsidRPr="00555295">
        <w:rPr>
          <w:rFonts w:ascii="Arial" w:hAnsi="Arial" w:cs="Arial"/>
          <w:sz w:val="22"/>
          <w:szCs w:val="22"/>
        </w:rPr>
        <w:t xml:space="preserve"> for the purposes of creating and maintain</w:t>
      </w:r>
      <w:r w:rsidR="00CE250F">
        <w:rPr>
          <w:rFonts w:ascii="Arial" w:hAnsi="Arial" w:cs="Arial"/>
          <w:sz w:val="22"/>
          <w:szCs w:val="22"/>
        </w:rPr>
        <w:t>ing</w:t>
      </w:r>
      <w:r w:rsidRPr="00555295">
        <w:rPr>
          <w:rFonts w:ascii="Arial" w:hAnsi="Arial" w:cs="Arial"/>
          <w:sz w:val="22"/>
          <w:szCs w:val="22"/>
        </w:rPr>
        <w:t xml:space="preserve"> firebreaks on the </w:t>
      </w:r>
      <w:r w:rsidR="00CE250F">
        <w:rPr>
          <w:rFonts w:ascii="Arial" w:hAnsi="Arial" w:cs="Arial"/>
          <w:sz w:val="22"/>
          <w:szCs w:val="22"/>
        </w:rPr>
        <w:t>P</w:t>
      </w:r>
      <w:r w:rsidRPr="00555295">
        <w:rPr>
          <w:rFonts w:ascii="Arial" w:hAnsi="Arial" w:cs="Arial"/>
          <w:sz w:val="22"/>
          <w:szCs w:val="22"/>
        </w:rPr>
        <w:t>roperty for the duration of the in</w:t>
      </w:r>
      <w:r w:rsidR="000461DC" w:rsidRPr="00555295">
        <w:rPr>
          <w:rFonts w:ascii="Arial" w:hAnsi="Arial" w:cs="Arial"/>
          <w:sz w:val="22"/>
          <w:szCs w:val="22"/>
        </w:rPr>
        <w:t>t</w:t>
      </w:r>
      <w:r w:rsidRPr="00555295">
        <w:rPr>
          <w:rFonts w:ascii="Arial" w:hAnsi="Arial" w:cs="Arial"/>
          <w:sz w:val="22"/>
          <w:szCs w:val="22"/>
        </w:rPr>
        <w:t xml:space="preserve">erim order in terms of the National Veld and Forest </w:t>
      </w:r>
      <w:r w:rsidR="009C016A">
        <w:rPr>
          <w:rFonts w:ascii="Arial" w:hAnsi="Arial" w:cs="Arial"/>
          <w:sz w:val="22"/>
          <w:szCs w:val="22"/>
        </w:rPr>
        <w:t xml:space="preserve">Fire </w:t>
      </w:r>
      <w:r w:rsidRPr="00555295">
        <w:rPr>
          <w:rFonts w:ascii="Arial" w:hAnsi="Arial" w:cs="Arial"/>
          <w:sz w:val="22"/>
          <w:szCs w:val="22"/>
        </w:rPr>
        <w:t xml:space="preserve">Act 101 of 1998 at the </w:t>
      </w:r>
      <w:r w:rsidR="00CE250F">
        <w:rPr>
          <w:rFonts w:ascii="Arial" w:hAnsi="Arial" w:cs="Arial"/>
          <w:sz w:val="22"/>
          <w:szCs w:val="22"/>
        </w:rPr>
        <w:t>A</w:t>
      </w:r>
      <w:r w:rsidRPr="00555295">
        <w:rPr>
          <w:rFonts w:ascii="Arial" w:hAnsi="Arial" w:cs="Arial"/>
          <w:sz w:val="22"/>
          <w:szCs w:val="22"/>
        </w:rPr>
        <w:t>pplicant</w:t>
      </w:r>
      <w:r w:rsidR="00A35C96" w:rsidRPr="00555295">
        <w:rPr>
          <w:rFonts w:ascii="Arial" w:hAnsi="Arial" w:cs="Arial"/>
          <w:sz w:val="22"/>
          <w:szCs w:val="22"/>
        </w:rPr>
        <w:t>’s</w:t>
      </w:r>
      <w:r w:rsidRPr="00555295">
        <w:rPr>
          <w:rFonts w:ascii="Arial" w:hAnsi="Arial" w:cs="Arial"/>
          <w:sz w:val="22"/>
          <w:szCs w:val="22"/>
        </w:rPr>
        <w:t xml:space="preserve"> own cost;</w:t>
      </w:r>
    </w:p>
    <w:p w:rsidR="00B204AD" w:rsidRPr="00555295" w:rsidRDefault="00B204AD" w:rsidP="00CE250F">
      <w:pPr>
        <w:spacing w:line="360" w:lineRule="auto"/>
        <w:ind w:left="720" w:hanging="720"/>
        <w:jc w:val="both"/>
        <w:rPr>
          <w:rFonts w:ascii="Arial" w:hAnsi="Arial" w:cs="Arial"/>
          <w:sz w:val="22"/>
          <w:szCs w:val="22"/>
        </w:rPr>
      </w:pPr>
      <w:r w:rsidRPr="00555295">
        <w:rPr>
          <w:rFonts w:ascii="Arial" w:hAnsi="Arial" w:cs="Arial"/>
          <w:sz w:val="22"/>
          <w:szCs w:val="22"/>
        </w:rPr>
        <w:t>3</w:t>
      </w:r>
      <w:r w:rsidR="00CE250F">
        <w:rPr>
          <w:rFonts w:ascii="Arial" w:hAnsi="Arial" w:cs="Arial"/>
          <w:sz w:val="22"/>
          <w:szCs w:val="22"/>
        </w:rPr>
        <w:t>.</w:t>
      </w:r>
      <w:r w:rsidRPr="00555295">
        <w:rPr>
          <w:rFonts w:ascii="Arial" w:hAnsi="Arial" w:cs="Arial"/>
          <w:sz w:val="22"/>
          <w:szCs w:val="22"/>
        </w:rPr>
        <w:tab/>
      </w:r>
      <w:r w:rsidR="00CE250F">
        <w:rPr>
          <w:rFonts w:ascii="Arial" w:hAnsi="Arial" w:cs="Arial"/>
          <w:sz w:val="22"/>
          <w:szCs w:val="22"/>
        </w:rPr>
        <w:t>T</w:t>
      </w:r>
      <w:r w:rsidRPr="00555295">
        <w:rPr>
          <w:rFonts w:ascii="Arial" w:hAnsi="Arial" w:cs="Arial"/>
          <w:sz w:val="22"/>
          <w:szCs w:val="22"/>
        </w:rPr>
        <w:t xml:space="preserve">hat the </w:t>
      </w:r>
      <w:r w:rsidR="00CE250F">
        <w:rPr>
          <w:rFonts w:ascii="Arial" w:hAnsi="Arial" w:cs="Arial"/>
          <w:sz w:val="22"/>
          <w:szCs w:val="22"/>
        </w:rPr>
        <w:t>A</w:t>
      </w:r>
      <w:r w:rsidRPr="00555295">
        <w:rPr>
          <w:rFonts w:ascii="Arial" w:hAnsi="Arial" w:cs="Arial"/>
          <w:sz w:val="22"/>
          <w:szCs w:val="22"/>
        </w:rPr>
        <w:t>ppl</w:t>
      </w:r>
      <w:r w:rsidR="00A7568D" w:rsidRPr="00555295">
        <w:rPr>
          <w:rFonts w:ascii="Arial" w:hAnsi="Arial" w:cs="Arial"/>
          <w:sz w:val="22"/>
          <w:szCs w:val="22"/>
        </w:rPr>
        <w:t>icant shall within</w:t>
      </w:r>
      <w:r w:rsidR="00A35C96" w:rsidRPr="00555295">
        <w:rPr>
          <w:rFonts w:ascii="Arial" w:hAnsi="Arial" w:cs="Arial"/>
          <w:sz w:val="22"/>
          <w:szCs w:val="22"/>
        </w:rPr>
        <w:t xml:space="preserve"> 14 (fourteen)</w:t>
      </w:r>
      <w:r w:rsidRPr="00555295">
        <w:rPr>
          <w:rFonts w:ascii="Arial" w:hAnsi="Arial" w:cs="Arial"/>
          <w:sz w:val="22"/>
          <w:szCs w:val="22"/>
        </w:rPr>
        <w:t xml:space="preserve"> days after the granting of the interim order publi</w:t>
      </w:r>
      <w:r w:rsidR="00A35C96" w:rsidRPr="00555295">
        <w:rPr>
          <w:rFonts w:ascii="Arial" w:hAnsi="Arial" w:cs="Arial"/>
          <w:sz w:val="22"/>
          <w:szCs w:val="22"/>
        </w:rPr>
        <w:t>sh</w:t>
      </w:r>
      <w:r w:rsidR="00CE250F">
        <w:rPr>
          <w:rFonts w:ascii="Arial" w:hAnsi="Arial" w:cs="Arial"/>
          <w:sz w:val="22"/>
          <w:szCs w:val="22"/>
        </w:rPr>
        <w:t xml:space="preserve"> </w:t>
      </w:r>
      <w:r w:rsidR="00A35C96" w:rsidRPr="00555295">
        <w:rPr>
          <w:rFonts w:ascii="Arial" w:hAnsi="Arial" w:cs="Arial"/>
          <w:sz w:val="22"/>
          <w:szCs w:val="22"/>
        </w:rPr>
        <w:t>the said order in 1 (one</w:t>
      </w:r>
      <w:r w:rsidRPr="00555295">
        <w:rPr>
          <w:rFonts w:ascii="Arial" w:hAnsi="Arial" w:cs="Arial"/>
          <w:sz w:val="22"/>
          <w:szCs w:val="22"/>
        </w:rPr>
        <w:t xml:space="preserve">) national </w:t>
      </w:r>
      <w:r w:rsidR="00A35C96" w:rsidRPr="00555295">
        <w:rPr>
          <w:rFonts w:ascii="Arial" w:hAnsi="Arial" w:cs="Arial"/>
          <w:sz w:val="22"/>
          <w:szCs w:val="22"/>
        </w:rPr>
        <w:t xml:space="preserve">and </w:t>
      </w:r>
      <w:r w:rsidRPr="00555295">
        <w:rPr>
          <w:rFonts w:ascii="Arial" w:hAnsi="Arial" w:cs="Arial"/>
          <w:sz w:val="22"/>
          <w:szCs w:val="22"/>
        </w:rPr>
        <w:t xml:space="preserve">one (1) local newspaper in circulation in the Magisterial District of Newcastle for a period of </w:t>
      </w:r>
      <w:r w:rsidR="00A35C96" w:rsidRPr="00555295">
        <w:rPr>
          <w:rFonts w:ascii="Arial" w:hAnsi="Arial" w:cs="Arial"/>
          <w:sz w:val="22"/>
          <w:szCs w:val="22"/>
        </w:rPr>
        <w:t>30 (</w:t>
      </w:r>
      <w:r w:rsidRPr="00555295">
        <w:rPr>
          <w:rFonts w:ascii="Arial" w:hAnsi="Arial" w:cs="Arial"/>
          <w:sz w:val="22"/>
          <w:szCs w:val="22"/>
        </w:rPr>
        <w:t>thirty</w:t>
      </w:r>
      <w:r w:rsidR="00A35C96" w:rsidRPr="00555295">
        <w:rPr>
          <w:rFonts w:ascii="Arial" w:hAnsi="Arial" w:cs="Arial"/>
          <w:sz w:val="22"/>
          <w:szCs w:val="22"/>
        </w:rPr>
        <w:t>)</w:t>
      </w:r>
      <w:r w:rsidRPr="00555295">
        <w:rPr>
          <w:rFonts w:ascii="Arial" w:hAnsi="Arial" w:cs="Arial"/>
          <w:sz w:val="22"/>
          <w:szCs w:val="22"/>
        </w:rPr>
        <w:t xml:space="preserve"> </w:t>
      </w:r>
      <w:r w:rsidR="00CE250F">
        <w:rPr>
          <w:rFonts w:ascii="Arial" w:hAnsi="Arial" w:cs="Arial"/>
          <w:sz w:val="22"/>
          <w:szCs w:val="22"/>
        </w:rPr>
        <w:t>d</w:t>
      </w:r>
      <w:r w:rsidRPr="00555295">
        <w:rPr>
          <w:rFonts w:ascii="Arial" w:hAnsi="Arial" w:cs="Arial"/>
          <w:sz w:val="22"/>
          <w:szCs w:val="22"/>
        </w:rPr>
        <w:t xml:space="preserve">ays to inform the owners of the </w:t>
      </w:r>
      <w:r w:rsidR="003D655E">
        <w:rPr>
          <w:rFonts w:ascii="Arial" w:hAnsi="Arial" w:cs="Arial"/>
          <w:sz w:val="22"/>
          <w:szCs w:val="22"/>
        </w:rPr>
        <w:t>P</w:t>
      </w:r>
      <w:r w:rsidRPr="00555295">
        <w:rPr>
          <w:rFonts w:ascii="Arial" w:hAnsi="Arial" w:cs="Arial"/>
          <w:sz w:val="22"/>
          <w:szCs w:val="22"/>
        </w:rPr>
        <w:t>roperty of the interim order;</w:t>
      </w:r>
    </w:p>
    <w:p w:rsidR="00B204AD" w:rsidRPr="00555295" w:rsidRDefault="00B204AD" w:rsidP="00F30335">
      <w:pPr>
        <w:spacing w:line="360" w:lineRule="auto"/>
        <w:ind w:left="720" w:hanging="720"/>
        <w:jc w:val="both"/>
        <w:rPr>
          <w:rFonts w:ascii="Arial" w:hAnsi="Arial" w:cs="Arial"/>
          <w:sz w:val="22"/>
          <w:szCs w:val="22"/>
        </w:rPr>
      </w:pPr>
      <w:r w:rsidRPr="00555295">
        <w:rPr>
          <w:rFonts w:ascii="Arial" w:hAnsi="Arial" w:cs="Arial"/>
          <w:sz w:val="22"/>
          <w:szCs w:val="22"/>
        </w:rPr>
        <w:t>4</w:t>
      </w:r>
      <w:r w:rsidR="00C178E8">
        <w:rPr>
          <w:rFonts w:ascii="Arial" w:hAnsi="Arial" w:cs="Arial"/>
          <w:sz w:val="22"/>
          <w:szCs w:val="22"/>
        </w:rPr>
        <w:t>.</w:t>
      </w:r>
      <w:r w:rsidRPr="00555295">
        <w:rPr>
          <w:rFonts w:ascii="Arial" w:hAnsi="Arial" w:cs="Arial"/>
          <w:sz w:val="22"/>
          <w:szCs w:val="22"/>
        </w:rPr>
        <w:tab/>
      </w:r>
      <w:r w:rsidR="00C178E8">
        <w:rPr>
          <w:rFonts w:ascii="Arial" w:hAnsi="Arial" w:cs="Arial"/>
          <w:sz w:val="22"/>
          <w:szCs w:val="22"/>
        </w:rPr>
        <w:t>T</w:t>
      </w:r>
      <w:r w:rsidR="00CB3136" w:rsidRPr="00555295">
        <w:rPr>
          <w:rFonts w:ascii="Arial" w:hAnsi="Arial" w:cs="Arial"/>
          <w:sz w:val="22"/>
          <w:szCs w:val="22"/>
        </w:rPr>
        <w:t xml:space="preserve">he </w:t>
      </w:r>
      <w:r w:rsidR="00C178E8">
        <w:rPr>
          <w:rFonts w:ascii="Arial" w:hAnsi="Arial" w:cs="Arial"/>
          <w:sz w:val="22"/>
          <w:szCs w:val="22"/>
        </w:rPr>
        <w:t>A</w:t>
      </w:r>
      <w:r w:rsidR="00CB3136" w:rsidRPr="00555295">
        <w:rPr>
          <w:rFonts w:ascii="Arial" w:hAnsi="Arial" w:cs="Arial"/>
          <w:sz w:val="22"/>
          <w:szCs w:val="22"/>
        </w:rPr>
        <w:t xml:space="preserve">pplicant shall within </w:t>
      </w:r>
      <w:r w:rsidR="00D95294" w:rsidRPr="00555295">
        <w:rPr>
          <w:rFonts w:ascii="Arial" w:hAnsi="Arial" w:cs="Arial"/>
          <w:sz w:val="22"/>
          <w:szCs w:val="22"/>
        </w:rPr>
        <w:t>15 (</w:t>
      </w:r>
      <w:r w:rsidR="00CB3136" w:rsidRPr="00555295">
        <w:rPr>
          <w:rFonts w:ascii="Arial" w:hAnsi="Arial" w:cs="Arial"/>
          <w:sz w:val="22"/>
          <w:szCs w:val="22"/>
        </w:rPr>
        <w:t>fifteen</w:t>
      </w:r>
      <w:r w:rsidR="00D95294" w:rsidRPr="00555295">
        <w:rPr>
          <w:rFonts w:ascii="Arial" w:hAnsi="Arial" w:cs="Arial"/>
          <w:sz w:val="22"/>
          <w:szCs w:val="22"/>
        </w:rPr>
        <w:t xml:space="preserve">) </w:t>
      </w:r>
      <w:r w:rsidR="00CB3136" w:rsidRPr="00555295">
        <w:rPr>
          <w:rFonts w:ascii="Arial" w:hAnsi="Arial" w:cs="Arial"/>
          <w:sz w:val="22"/>
          <w:szCs w:val="22"/>
        </w:rPr>
        <w:t xml:space="preserve">days after the granting of the interim order attend to the Master of the High Court as well </w:t>
      </w:r>
      <w:r w:rsidR="0022207E" w:rsidRPr="00555295">
        <w:rPr>
          <w:rFonts w:ascii="Arial" w:hAnsi="Arial" w:cs="Arial"/>
          <w:sz w:val="22"/>
          <w:szCs w:val="22"/>
        </w:rPr>
        <w:t>as the Departmen</w:t>
      </w:r>
      <w:r w:rsidR="00D95294" w:rsidRPr="00555295">
        <w:rPr>
          <w:rFonts w:ascii="Arial" w:hAnsi="Arial" w:cs="Arial"/>
          <w:sz w:val="22"/>
          <w:szCs w:val="22"/>
        </w:rPr>
        <w:t>t of Home Affairs to establish the status</w:t>
      </w:r>
      <w:r w:rsidR="0022207E" w:rsidRPr="00555295">
        <w:rPr>
          <w:rFonts w:ascii="Arial" w:hAnsi="Arial" w:cs="Arial"/>
          <w:sz w:val="22"/>
          <w:szCs w:val="22"/>
        </w:rPr>
        <w:t xml:space="preserve"> of the owners or successors in title of the </w:t>
      </w:r>
      <w:r w:rsidR="00F30335">
        <w:rPr>
          <w:rFonts w:ascii="Arial" w:hAnsi="Arial" w:cs="Arial"/>
          <w:sz w:val="22"/>
          <w:szCs w:val="22"/>
        </w:rPr>
        <w:t>P</w:t>
      </w:r>
      <w:r w:rsidR="0022207E" w:rsidRPr="00555295">
        <w:rPr>
          <w:rFonts w:ascii="Arial" w:hAnsi="Arial" w:cs="Arial"/>
          <w:sz w:val="22"/>
          <w:szCs w:val="22"/>
        </w:rPr>
        <w:t>roperty;</w:t>
      </w:r>
    </w:p>
    <w:p w:rsidR="0062029A" w:rsidRPr="00555295" w:rsidRDefault="0062029A" w:rsidP="00F30335">
      <w:pPr>
        <w:spacing w:line="360" w:lineRule="auto"/>
        <w:ind w:left="720" w:hanging="720"/>
        <w:jc w:val="both"/>
        <w:rPr>
          <w:rFonts w:ascii="Arial" w:hAnsi="Arial" w:cs="Arial"/>
          <w:sz w:val="22"/>
          <w:szCs w:val="22"/>
        </w:rPr>
      </w:pPr>
      <w:r w:rsidRPr="00555295">
        <w:rPr>
          <w:rFonts w:ascii="Arial" w:hAnsi="Arial" w:cs="Arial"/>
          <w:sz w:val="22"/>
          <w:szCs w:val="22"/>
        </w:rPr>
        <w:t>5</w:t>
      </w:r>
      <w:r w:rsidR="00F30335">
        <w:rPr>
          <w:rFonts w:ascii="Arial" w:hAnsi="Arial" w:cs="Arial"/>
          <w:sz w:val="22"/>
          <w:szCs w:val="22"/>
        </w:rPr>
        <w:t>.</w:t>
      </w:r>
      <w:r w:rsidRPr="00555295">
        <w:rPr>
          <w:rFonts w:ascii="Arial" w:hAnsi="Arial" w:cs="Arial"/>
          <w:sz w:val="22"/>
          <w:szCs w:val="22"/>
        </w:rPr>
        <w:tab/>
      </w:r>
      <w:r w:rsidR="00F30335">
        <w:rPr>
          <w:rFonts w:ascii="Arial" w:hAnsi="Arial" w:cs="Arial"/>
          <w:sz w:val="22"/>
          <w:szCs w:val="22"/>
        </w:rPr>
        <w:t>T</w:t>
      </w:r>
      <w:r w:rsidRPr="00555295">
        <w:rPr>
          <w:rFonts w:ascii="Arial" w:hAnsi="Arial" w:cs="Arial"/>
          <w:sz w:val="22"/>
          <w:szCs w:val="22"/>
        </w:rPr>
        <w:t xml:space="preserve">he </w:t>
      </w:r>
      <w:r w:rsidR="00F30335">
        <w:rPr>
          <w:rFonts w:ascii="Arial" w:hAnsi="Arial" w:cs="Arial"/>
          <w:sz w:val="22"/>
          <w:szCs w:val="22"/>
        </w:rPr>
        <w:t>A</w:t>
      </w:r>
      <w:r w:rsidRPr="00555295">
        <w:rPr>
          <w:rFonts w:ascii="Arial" w:hAnsi="Arial" w:cs="Arial"/>
          <w:sz w:val="22"/>
          <w:szCs w:val="22"/>
        </w:rPr>
        <w:t xml:space="preserve">pplicant shall within </w:t>
      </w:r>
      <w:r w:rsidR="00D95294" w:rsidRPr="00555295">
        <w:rPr>
          <w:rFonts w:ascii="Arial" w:hAnsi="Arial" w:cs="Arial"/>
          <w:sz w:val="22"/>
          <w:szCs w:val="22"/>
        </w:rPr>
        <w:t>12 (</w:t>
      </w:r>
      <w:r w:rsidRPr="00555295">
        <w:rPr>
          <w:rFonts w:ascii="Arial" w:hAnsi="Arial" w:cs="Arial"/>
          <w:sz w:val="22"/>
          <w:szCs w:val="22"/>
        </w:rPr>
        <w:t>twelve</w:t>
      </w:r>
      <w:r w:rsidR="00D95294" w:rsidRPr="00555295">
        <w:rPr>
          <w:rFonts w:ascii="Arial" w:hAnsi="Arial" w:cs="Arial"/>
          <w:sz w:val="22"/>
          <w:szCs w:val="22"/>
        </w:rPr>
        <w:t>)</w:t>
      </w:r>
      <w:r w:rsidRPr="00555295">
        <w:rPr>
          <w:rFonts w:ascii="Arial" w:hAnsi="Arial" w:cs="Arial"/>
          <w:sz w:val="22"/>
          <w:szCs w:val="22"/>
        </w:rPr>
        <w:t xml:space="preserve"> months after the granting of the interim order file </w:t>
      </w:r>
      <w:r w:rsidR="00F30335">
        <w:rPr>
          <w:rFonts w:ascii="Arial" w:hAnsi="Arial" w:cs="Arial"/>
          <w:sz w:val="22"/>
          <w:szCs w:val="22"/>
        </w:rPr>
        <w:t>S</w:t>
      </w:r>
      <w:r w:rsidRPr="00555295">
        <w:rPr>
          <w:rFonts w:ascii="Arial" w:hAnsi="Arial" w:cs="Arial"/>
          <w:sz w:val="22"/>
          <w:szCs w:val="22"/>
        </w:rPr>
        <w:t xml:space="preserve">upplementary </w:t>
      </w:r>
      <w:r w:rsidR="00F30335">
        <w:rPr>
          <w:rFonts w:ascii="Arial" w:hAnsi="Arial" w:cs="Arial"/>
          <w:sz w:val="22"/>
          <w:szCs w:val="22"/>
        </w:rPr>
        <w:t>A</w:t>
      </w:r>
      <w:r w:rsidRPr="00555295">
        <w:rPr>
          <w:rFonts w:ascii="Arial" w:hAnsi="Arial" w:cs="Arial"/>
          <w:sz w:val="22"/>
          <w:szCs w:val="22"/>
        </w:rPr>
        <w:t>ffidavit</w:t>
      </w:r>
      <w:r w:rsidR="00D95294" w:rsidRPr="00555295">
        <w:rPr>
          <w:rFonts w:ascii="Arial" w:hAnsi="Arial" w:cs="Arial"/>
          <w:sz w:val="22"/>
          <w:szCs w:val="22"/>
        </w:rPr>
        <w:t>s</w:t>
      </w:r>
      <w:r w:rsidR="00D456FA" w:rsidRPr="00555295">
        <w:rPr>
          <w:rFonts w:ascii="Arial" w:hAnsi="Arial" w:cs="Arial"/>
          <w:sz w:val="22"/>
          <w:szCs w:val="22"/>
        </w:rPr>
        <w:t xml:space="preserve"> </w:t>
      </w:r>
      <w:r w:rsidRPr="00555295">
        <w:rPr>
          <w:rFonts w:ascii="Arial" w:hAnsi="Arial" w:cs="Arial"/>
          <w:sz w:val="22"/>
          <w:szCs w:val="22"/>
        </w:rPr>
        <w:t xml:space="preserve">with the above </w:t>
      </w:r>
      <w:r w:rsidR="00F30335">
        <w:rPr>
          <w:rFonts w:ascii="Arial" w:hAnsi="Arial" w:cs="Arial"/>
          <w:sz w:val="22"/>
          <w:szCs w:val="22"/>
        </w:rPr>
        <w:t>H</w:t>
      </w:r>
      <w:r w:rsidRPr="00555295">
        <w:rPr>
          <w:rFonts w:ascii="Arial" w:hAnsi="Arial" w:cs="Arial"/>
          <w:sz w:val="22"/>
          <w:szCs w:val="22"/>
        </w:rPr>
        <w:t xml:space="preserve">onourable </w:t>
      </w:r>
      <w:r w:rsidR="00F30335">
        <w:rPr>
          <w:rFonts w:ascii="Arial" w:hAnsi="Arial" w:cs="Arial"/>
          <w:sz w:val="22"/>
          <w:szCs w:val="22"/>
        </w:rPr>
        <w:t>C</w:t>
      </w:r>
      <w:r w:rsidR="00D95294" w:rsidRPr="00555295">
        <w:rPr>
          <w:rFonts w:ascii="Arial" w:hAnsi="Arial" w:cs="Arial"/>
          <w:sz w:val="22"/>
          <w:szCs w:val="22"/>
        </w:rPr>
        <w:t>ourt</w:t>
      </w:r>
      <w:r w:rsidR="00F30335">
        <w:rPr>
          <w:rFonts w:ascii="Arial" w:hAnsi="Arial" w:cs="Arial"/>
          <w:sz w:val="22"/>
          <w:szCs w:val="22"/>
        </w:rPr>
        <w:t xml:space="preserve"> </w:t>
      </w:r>
      <w:r w:rsidRPr="00555295">
        <w:rPr>
          <w:rFonts w:ascii="Arial" w:hAnsi="Arial" w:cs="Arial"/>
          <w:sz w:val="22"/>
          <w:szCs w:val="22"/>
        </w:rPr>
        <w:t xml:space="preserve">to provide necessary information regarding the ownership of the </w:t>
      </w:r>
      <w:r w:rsidR="00F30335">
        <w:rPr>
          <w:rFonts w:ascii="Arial" w:hAnsi="Arial" w:cs="Arial"/>
          <w:sz w:val="22"/>
          <w:szCs w:val="22"/>
        </w:rPr>
        <w:t>P</w:t>
      </w:r>
      <w:r w:rsidRPr="00555295">
        <w:rPr>
          <w:rFonts w:ascii="Arial" w:hAnsi="Arial" w:cs="Arial"/>
          <w:sz w:val="22"/>
          <w:szCs w:val="22"/>
        </w:rPr>
        <w:t xml:space="preserve">roperty and attempts to trace the owners and their successors in title and shall enrol the matter for adjudication at the first available date wherein the </w:t>
      </w:r>
      <w:r w:rsidR="00F30335">
        <w:rPr>
          <w:rFonts w:ascii="Arial" w:hAnsi="Arial" w:cs="Arial"/>
          <w:sz w:val="22"/>
          <w:szCs w:val="22"/>
        </w:rPr>
        <w:t>A</w:t>
      </w:r>
      <w:r w:rsidRPr="00555295">
        <w:rPr>
          <w:rFonts w:ascii="Arial" w:hAnsi="Arial" w:cs="Arial"/>
          <w:sz w:val="22"/>
          <w:szCs w:val="22"/>
        </w:rPr>
        <w:t>pplicant may either request extension of the interim order or such relief that is appropriate after information is gathered;</w:t>
      </w:r>
    </w:p>
    <w:p w:rsidR="003527D9" w:rsidRPr="00555295" w:rsidRDefault="003527D9" w:rsidP="00F30335">
      <w:pPr>
        <w:spacing w:line="360" w:lineRule="auto"/>
        <w:ind w:left="720" w:hanging="720"/>
        <w:jc w:val="both"/>
        <w:rPr>
          <w:rFonts w:ascii="Arial" w:hAnsi="Arial" w:cs="Arial"/>
          <w:sz w:val="22"/>
          <w:szCs w:val="22"/>
        </w:rPr>
      </w:pPr>
      <w:r w:rsidRPr="00555295">
        <w:rPr>
          <w:rFonts w:ascii="Arial" w:hAnsi="Arial" w:cs="Arial"/>
          <w:sz w:val="22"/>
          <w:szCs w:val="22"/>
        </w:rPr>
        <w:t>6</w:t>
      </w:r>
      <w:r w:rsidR="00F30335">
        <w:rPr>
          <w:rFonts w:ascii="Arial" w:hAnsi="Arial" w:cs="Arial"/>
          <w:sz w:val="22"/>
          <w:szCs w:val="22"/>
        </w:rPr>
        <w:t>.</w:t>
      </w:r>
      <w:r w:rsidRPr="00555295">
        <w:rPr>
          <w:rFonts w:ascii="Arial" w:hAnsi="Arial" w:cs="Arial"/>
          <w:sz w:val="22"/>
          <w:szCs w:val="22"/>
        </w:rPr>
        <w:tab/>
      </w:r>
      <w:r w:rsidR="00F30335">
        <w:rPr>
          <w:rFonts w:ascii="Arial" w:hAnsi="Arial" w:cs="Arial"/>
          <w:sz w:val="22"/>
          <w:szCs w:val="22"/>
        </w:rPr>
        <w:t>T</w:t>
      </w:r>
      <w:r w:rsidRPr="00555295">
        <w:rPr>
          <w:rFonts w:ascii="Arial" w:hAnsi="Arial" w:cs="Arial"/>
          <w:sz w:val="22"/>
          <w:szCs w:val="22"/>
        </w:rPr>
        <w:t xml:space="preserve">hat any interested party may at any time for the duration of the interim order anticipate the return date by giving due notice to the </w:t>
      </w:r>
      <w:r w:rsidR="00F30335">
        <w:rPr>
          <w:rFonts w:ascii="Arial" w:hAnsi="Arial" w:cs="Arial"/>
          <w:sz w:val="22"/>
          <w:szCs w:val="22"/>
        </w:rPr>
        <w:t>A</w:t>
      </w:r>
      <w:r w:rsidRPr="00555295">
        <w:rPr>
          <w:rFonts w:ascii="Arial" w:hAnsi="Arial" w:cs="Arial"/>
          <w:sz w:val="22"/>
          <w:szCs w:val="22"/>
        </w:rPr>
        <w:t xml:space="preserve">pplicant; </w:t>
      </w:r>
    </w:p>
    <w:p w:rsidR="003527D9" w:rsidRPr="00555295" w:rsidRDefault="003527D9" w:rsidP="00555295">
      <w:pPr>
        <w:spacing w:line="360" w:lineRule="auto"/>
        <w:jc w:val="both"/>
        <w:rPr>
          <w:rFonts w:ascii="Arial" w:hAnsi="Arial" w:cs="Arial"/>
          <w:sz w:val="22"/>
          <w:szCs w:val="22"/>
        </w:rPr>
      </w:pPr>
      <w:r w:rsidRPr="00555295">
        <w:rPr>
          <w:rFonts w:ascii="Arial" w:hAnsi="Arial" w:cs="Arial"/>
          <w:sz w:val="22"/>
          <w:szCs w:val="22"/>
        </w:rPr>
        <w:t>1.7</w:t>
      </w:r>
      <w:r w:rsidRPr="00555295">
        <w:rPr>
          <w:rFonts w:ascii="Arial" w:hAnsi="Arial" w:cs="Arial"/>
          <w:sz w:val="22"/>
          <w:szCs w:val="22"/>
        </w:rPr>
        <w:tab/>
      </w:r>
      <w:r w:rsidR="00F30335">
        <w:rPr>
          <w:rFonts w:ascii="Arial" w:hAnsi="Arial" w:cs="Arial"/>
          <w:sz w:val="22"/>
          <w:szCs w:val="22"/>
        </w:rPr>
        <w:t>The</w:t>
      </w:r>
      <w:r w:rsidRPr="00555295">
        <w:rPr>
          <w:rFonts w:ascii="Arial" w:hAnsi="Arial" w:cs="Arial"/>
          <w:sz w:val="22"/>
          <w:szCs w:val="22"/>
        </w:rPr>
        <w:t xml:space="preserve"> costs for this application be paid by the </w:t>
      </w:r>
      <w:r w:rsidR="00F30335">
        <w:rPr>
          <w:rFonts w:ascii="Arial" w:hAnsi="Arial" w:cs="Arial"/>
          <w:sz w:val="22"/>
          <w:szCs w:val="22"/>
        </w:rPr>
        <w:t>A</w:t>
      </w:r>
      <w:r w:rsidRPr="00555295">
        <w:rPr>
          <w:rFonts w:ascii="Arial" w:hAnsi="Arial" w:cs="Arial"/>
          <w:sz w:val="22"/>
          <w:szCs w:val="22"/>
        </w:rPr>
        <w:t>pplicant</w:t>
      </w:r>
      <w:r w:rsidR="00F30335">
        <w:rPr>
          <w:rFonts w:ascii="Arial" w:hAnsi="Arial" w:cs="Arial"/>
          <w:sz w:val="22"/>
          <w:szCs w:val="22"/>
        </w:rPr>
        <w:t>.</w:t>
      </w:r>
      <w:r w:rsidRPr="00555295">
        <w:rPr>
          <w:rFonts w:ascii="Arial" w:hAnsi="Arial" w:cs="Arial"/>
          <w:sz w:val="22"/>
          <w:szCs w:val="22"/>
        </w:rPr>
        <w:t xml:space="preserve"> </w:t>
      </w:r>
    </w:p>
    <w:p w:rsidR="003527D9" w:rsidRPr="00555295" w:rsidRDefault="003527D9" w:rsidP="00555295">
      <w:pPr>
        <w:spacing w:line="360" w:lineRule="auto"/>
        <w:jc w:val="both"/>
        <w:rPr>
          <w:rFonts w:ascii="Arial" w:hAnsi="Arial" w:cs="Arial"/>
          <w:sz w:val="22"/>
          <w:szCs w:val="22"/>
        </w:rPr>
      </w:pPr>
      <w:r w:rsidRPr="00555295">
        <w:rPr>
          <w:rFonts w:ascii="Arial" w:hAnsi="Arial" w:cs="Arial"/>
          <w:sz w:val="22"/>
          <w:szCs w:val="22"/>
        </w:rPr>
        <w:t>1.8</w:t>
      </w:r>
      <w:r w:rsidRPr="00555295">
        <w:rPr>
          <w:rFonts w:ascii="Arial" w:hAnsi="Arial" w:cs="Arial"/>
          <w:sz w:val="22"/>
          <w:szCs w:val="22"/>
        </w:rPr>
        <w:tab/>
      </w:r>
      <w:r w:rsidR="00F30335">
        <w:rPr>
          <w:rFonts w:ascii="Arial" w:hAnsi="Arial" w:cs="Arial"/>
          <w:sz w:val="22"/>
          <w:szCs w:val="22"/>
        </w:rPr>
        <w:t>F</w:t>
      </w:r>
      <w:r w:rsidRPr="00555295">
        <w:rPr>
          <w:rFonts w:ascii="Arial" w:hAnsi="Arial" w:cs="Arial"/>
          <w:sz w:val="22"/>
          <w:szCs w:val="22"/>
        </w:rPr>
        <w:t>urther an</w:t>
      </w:r>
      <w:r w:rsidR="003B75EB">
        <w:rPr>
          <w:rFonts w:ascii="Arial" w:hAnsi="Arial" w:cs="Arial"/>
          <w:sz w:val="22"/>
          <w:szCs w:val="22"/>
        </w:rPr>
        <w:t>d</w:t>
      </w:r>
      <w:r w:rsidRPr="00555295">
        <w:rPr>
          <w:rFonts w:ascii="Arial" w:hAnsi="Arial" w:cs="Arial"/>
          <w:sz w:val="22"/>
          <w:szCs w:val="22"/>
        </w:rPr>
        <w:t>/or alternative relief.</w:t>
      </w:r>
      <w:r w:rsidR="00555295" w:rsidRPr="00555295">
        <w:rPr>
          <w:rFonts w:ascii="Arial" w:hAnsi="Arial" w:cs="Arial"/>
          <w:sz w:val="22"/>
          <w:szCs w:val="22"/>
        </w:rPr>
        <w:t>’</w:t>
      </w:r>
    </w:p>
    <w:p w:rsidR="007224DC" w:rsidRPr="00555295" w:rsidRDefault="007224DC" w:rsidP="00555295">
      <w:pPr>
        <w:spacing w:line="360" w:lineRule="auto"/>
        <w:ind w:left="720"/>
        <w:jc w:val="both"/>
        <w:rPr>
          <w:rFonts w:ascii="Arial" w:hAnsi="Arial" w:cs="Arial"/>
        </w:rPr>
      </w:pPr>
    </w:p>
    <w:p w:rsidR="007224DC" w:rsidRPr="00555295" w:rsidRDefault="007224DC" w:rsidP="00555295">
      <w:pPr>
        <w:spacing w:line="360" w:lineRule="auto"/>
        <w:jc w:val="both"/>
        <w:rPr>
          <w:rFonts w:ascii="Arial" w:hAnsi="Arial" w:cs="Arial"/>
        </w:rPr>
      </w:pPr>
      <w:r w:rsidRPr="00555295">
        <w:rPr>
          <w:rFonts w:ascii="Arial" w:hAnsi="Arial" w:cs="Arial"/>
        </w:rPr>
        <w:lastRenderedPageBreak/>
        <w:t>[4]</w:t>
      </w:r>
      <w:r w:rsidRPr="00555295">
        <w:rPr>
          <w:rFonts w:ascii="Arial" w:hAnsi="Arial" w:cs="Arial"/>
        </w:rPr>
        <w:tab/>
      </w:r>
      <w:r w:rsidR="00314E46" w:rsidRPr="00555295">
        <w:rPr>
          <w:rFonts w:ascii="Arial" w:hAnsi="Arial" w:cs="Arial"/>
        </w:rPr>
        <w:t xml:space="preserve">The relief sought was granted by </w:t>
      </w:r>
      <w:r w:rsidR="00D456FA" w:rsidRPr="00555295">
        <w:rPr>
          <w:rFonts w:ascii="Arial" w:hAnsi="Arial" w:cs="Arial"/>
        </w:rPr>
        <w:t xml:space="preserve">this </w:t>
      </w:r>
      <w:r w:rsidR="00314E46" w:rsidRPr="00555295">
        <w:rPr>
          <w:rFonts w:ascii="Arial" w:hAnsi="Arial" w:cs="Arial"/>
        </w:rPr>
        <w:t xml:space="preserve">court (per Jikela AJ) in the terms set out in the notice of application save that the time period to file a supplementary affidavit was reduced from 12 months to </w:t>
      </w:r>
      <w:r w:rsidR="00562571">
        <w:rPr>
          <w:rFonts w:ascii="Arial" w:hAnsi="Arial" w:cs="Arial"/>
        </w:rPr>
        <w:t>six</w:t>
      </w:r>
      <w:r w:rsidR="00314E46" w:rsidRPr="00555295">
        <w:rPr>
          <w:rFonts w:ascii="Arial" w:hAnsi="Arial" w:cs="Arial"/>
        </w:rPr>
        <w:t xml:space="preserve"> months.</w:t>
      </w:r>
      <w:r w:rsidR="00956421">
        <w:rPr>
          <w:rStyle w:val="FootnoteReference"/>
          <w:rFonts w:ascii="Arial" w:hAnsi="Arial" w:cs="Arial"/>
        </w:rPr>
        <w:footnoteReference w:id="3"/>
      </w:r>
      <w:r w:rsidR="00956421">
        <w:rPr>
          <w:rFonts w:ascii="Arial" w:hAnsi="Arial" w:cs="Arial"/>
        </w:rPr>
        <w:t xml:space="preserve"> </w:t>
      </w:r>
      <w:r w:rsidR="00314E46" w:rsidRPr="00555295">
        <w:rPr>
          <w:rFonts w:ascii="Arial" w:hAnsi="Arial" w:cs="Arial"/>
        </w:rPr>
        <w:t>Thereafter, the first respondent allegedly complied with the terms of the order by preparing firebreaks on the farm, and by advertising the order in the manner prescribed</w:t>
      </w:r>
      <w:r w:rsidR="00D90F59">
        <w:rPr>
          <w:rFonts w:ascii="Arial" w:hAnsi="Arial" w:cs="Arial"/>
        </w:rPr>
        <w:t>.</w:t>
      </w:r>
      <w:r w:rsidR="00314E46" w:rsidRPr="00555295">
        <w:rPr>
          <w:rFonts w:ascii="Arial" w:hAnsi="Arial" w:cs="Arial"/>
        </w:rPr>
        <w:t xml:space="preserve"> </w:t>
      </w:r>
    </w:p>
    <w:p w:rsidR="000E3DC8" w:rsidRPr="00555295" w:rsidRDefault="000E3DC8" w:rsidP="00555295">
      <w:pPr>
        <w:spacing w:line="360" w:lineRule="auto"/>
        <w:ind w:left="720"/>
        <w:jc w:val="both"/>
        <w:rPr>
          <w:rFonts w:ascii="Arial" w:hAnsi="Arial" w:cs="Arial"/>
        </w:rPr>
      </w:pPr>
    </w:p>
    <w:p w:rsidR="000E3DC8" w:rsidRPr="00555295" w:rsidRDefault="000E3DC8" w:rsidP="00555295">
      <w:pPr>
        <w:spacing w:line="360" w:lineRule="auto"/>
        <w:jc w:val="both"/>
        <w:rPr>
          <w:rFonts w:ascii="Arial" w:hAnsi="Arial" w:cs="Arial"/>
        </w:rPr>
      </w:pPr>
      <w:r w:rsidRPr="00555295">
        <w:rPr>
          <w:rFonts w:ascii="Arial" w:hAnsi="Arial" w:cs="Arial"/>
        </w:rPr>
        <w:t>[5]</w:t>
      </w:r>
      <w:r w:rsidRPr="00555295">
        <w:rPr>
          <w:rFonts w:ascii="Arial" w:hAnsi="Arial" w:cs="Arial"/>
        </w:rPr>
        <w:tab/>
        <w:t>On 29 October 2019 the first respondent delivered, as directed in the order, a supplementary affidavit in which it reported back to the court on the manner it complied with the order. Without effecting an amendment to the notice of application, the first respondent, in the supplementary affidavit, r</w:t>
      </w:r>
      <w:r w:rsidR="00D456FA" w:rsidRPr="00555295">
        <w:rPr>
          <w:rFonts w:ascii="Arial" w:hAnsi="Arial" w:cs="Arial"/>
        </w:rPr>
        <w:t>equested the court to authorise</w:t>
      </w:r>
      <w:r w:rsidRPr="00555295">
        <w:rPr>
          <w:rFonts w:ascii="Arial" w:hAnsi="Arial" w:cs="Arial"/>
        </w:rPr>
        <w:t xml:space="preserve"> the transfer of the property into the name of the first respondent, based on </w:t>
      </w:r>
      <w:r w:rsidR="005340F9" w:rsidRPr="00555295">
        <w:rPr>
          <w:rFonts w:ascii="Arial" w:hAnsi="Arial" w:cs="Arial"/>
        </w:rPr>
        <w:t>a</w:t>
      </w:r>
      <w:r w:rsidRPr="00555295">
        <w:rPr>
          <w:rFonts w:ascii="Arial" w:hAnsi="Arial" w:cs="Arial"/>
        </w:rPr>
        <w:t xml:space="preserve"> valuation obtained by a sworn valuator, and against a purchase con</w:t>
      </w:r>
      <w:r w:rsidR="00D456FA" w:rsidRPr="00555295">
        <w:rPr>
          <w:rFonts w:ascii="Arial" w:hAnsi="Arial" w:cs="Arial"/>
        </w:rPr>
        <w:t>sideration to be paid into the Guardian</w:t>
      </w:r>
      <w:r w:rsidR="006135AD">
        <w:rPr>
          <w:rFonts w:ascii="Arial" w:hAnsi="Arial" w:cs="Arial"/>
        </w:rPr>
        <w:t>’s</w:t>
      </w:r>
      <w:r w:rsidR="00D456FA" w:rsidRPr="00555295">
        <w:rPr>
          <w:rFonts w:ascii="Arial" w:hAnsi="Arial" w:cs="Arial"/>
        </w:rPr>
        <w:t xml:space="preserve"> F</w:t>
      </w:r>
      <w:r w:rsidRPr="00555295">
        <w:rPr>
          <w:rFonts w:ascii="Arial" w:hAnsi="Arial" w:cs="Arial"/>
        </w:rPr>
        <w:t>und, as administered by the Master of the High Court</w:t>
      </w:r>
      <w:r w:rsidR="005340F9" w:rsidRPr="00555295">
        <w:rPr>
          <w:rFonts w:ascii="Arial" w:hAnsi="Arial" w:cs="Arial"/>
        </w:rPr>
        <w:t>.</w:t>
      </w:r>
      <w:r w:rsidR="00D90F59">
        <w:rPr>
          <w:rStyle w:val="FootnoteReference"/>
          <w:rFonts w:ascii="Arial" w:hAnsi="Arial" w:cs="Arial"/>
        </w:rPr>
        <w:footnoteReference w:id="4"/>
      </w:r>
    </w:p>
    <w:p w:rsidR="007504CE" w:rsidRPr="00555295" w:rsidRDefault="007504CE" w:rsidP="00555295">
      <w:pPr>
        <w:spacing w:line="360" w:lineRule="auto"/>
        <w:ind w:left="720"/>
        <w:jc w:val="both"/>
        <w:rPr>
          <w:rFonts w:ascii="Arial" w:hAnsi="Arial" w:cs="Arial"/>
        </w:rPr>
      </w:pPr>
    </w:p>
    <w:p w:rsidR="007504CE" w:rsidRPr="00555295" w:rsidRDefault="007504CE" w:rsidP="00555295">
      <w:pPr>
        <w:spacing w:line="360" w:lineRule="auto"/>
        <w:jc w:val="both"/>
        <w:rPr>
          <w:rFonts w:ascii="Arial" w:hAnsi="Arial" w:cs="Arial"/>
        </w:rPr>
      </w:pPr>
      <w:r w:rsidRPr="00555295">
        <w:rPr>
          <w:rFonts w:ascii="Arial" w:hAnsi="Arial" w:cs="Arial"/>
        </w:rPr>
        <w:t>[6]</w:t>
      </w:r>
      <w:r w:rsidRPr="00555295">
        <w:rPr>
          <w:rFonts w:ascii="Arial" w:hAnsi="Arial" w:cs="Arial"/>
        </w:rPr>
        <w:tab/>
        <w:t>On 4 December 2019</w:t>
      </w:r>
      <w:r w:rsidR="00D456FA" w:rsidRPr="00555295">
        <w:rPr>
          <w:rFonts w:ascii="Arial" w:hAnsi="Arial" w:cs="Arial"/>
        </w:rPr>
        <w:t>,</w:t>
      </w:r>
      <w:r w:rsidRPr="00555295">
        <w:rPr>
          <w:rFonts w:ascii="Arial" w:hAnsi="Arial" w:cs="Arial"/>
        </w:rPr>
        <w:t xml:space="preserve"> and on the basis of the supplementary affidavit</w:t>
      </w:r>
      <w:r w:rsidR="00D456FA" w:rsidRPr="00555295">
        <w:rPr>
          <w:rFonts w:ascii="Arial" w:hAnsi="Arial" w:cs="Arial"/>
        </w:rPr>
        <w:t>,</w:t>
      </w:r>
      <w:r w:rsidRPr="00555295">
        <w:rPr>
          <w:rFonts w:ascii="Arial" w:hAnsi="Arial" w:cs="Arial"/>
        </w:rPr>
        <w:t xml:space="preserve"> this court (per </w:t>
      </w:r>
      <w:r w:rsidR="00D90F59" w:rsidRPr="00555295">
        <w:rPr>
          <w:rFonts w:ascii="Arial" w:hAnsi="Arial" w:cs="Arial"/>
        </w:rPr>
        <w:t>Bezuidenhout</w:t>
      </w:r>
      <w:r w:rsidRPr="00555295">
        <w:rPr>
          <w:rFonts w:ascii="Arial" w:hAnsi="Arial" w:cs="Arial"/>
        </w:rPr>
        <w:t xml:space="preserve"> AJ) granted an order in the following te</w:t>
      </w:r>
      <w:r w:rsidR="00A73C03" w:rsidRPr="00555295">
        <w:rPr>
          <w:rFonts w:ascii="Arial" w:hAnsi="Arial" w:cs="Arial"/>
        </w:rPr>
        <w:t>r</w:t>
      </w:r>
      <w:r w:rsidRPr="00555295">
        <w:rPr>
          <w:rFonts w:ascii="Arial" w:hAnsi="Arial" w:cs="Arial"/>
        </w:rPr>
        <w:t>ms:</w:t>
      </w:r>
      <w:r w:rsidR="00D90F59">
        <w:rPr>
          <w:rStyle w:val="FootnoteReference"/>
          <w:rFonts w:ascii="Arial" w:hAnsi="Arial" w:cs="Arial"/>
        </w:rPr>
        <w:footnoteReference w:id="5"/>
      </w:r>
    </w:p>
    <w:p w:rsidR="00A73C03" w:rsidRPr="00555295" w:rsidRDefault="00D456FA" w:rsidP="00D90F59">
      <w:pPr>
        <w:spacing w:line="360" w:lineRule="auto"/>
        <w:ind w:left="720" w:hanging="720"/>
        <w:jc w:val="both"/>
        <w:rPr>
          <w:rFonts w:ascii="Arial" w:hAnsi="Arial" w:cs="Arial"/>
          <w:sz w:val="22"/>
          <w:szCs w:val="22"/>
        </w:rPr>
      </w:pPr>
      <w:r w:rsidRPr="00555295">
        <w:rPr>
          <w:rFonts w:ascii="Arial" w:hAnsi="Arial" w:cs="Arial"/>
          <w:sz w:val="22"/>
          <w:szCs w:val="22"/>
        </w:rPr>
        <w:t>‘1.</w:t>
      </w:r>
      <w:r w:rsidRPr="00555295">
        <w:rPr>
          <w:rFonts w:ascii="Arial" w:hAnsi="Arial" w:cs="Arial"/>
          <w:sz w:val="22"/>
          <w:szCs w:val="22"/>
        </w:rPr>
        <w:tab/>
      </w:r>
      <w:r w:rsidR="00D90F59">
        <w:rPr>
          <w:rFonts w:ascii="Arial" w:hAnsi="Arial" w:cs="Arial"/>
          <w:sz w:val="22"/>
          <w:szCs w:val="22"/>
        </w:rPr>
        <w:t>T</w:t>
      </w:r>
      <w:r w:rsidR="00A73C03" w:rsidRPr="00555295">
        <w:rPr>
          <w:rFonts w:ascii="Arial" w:hAnsi="Arial" w:cs="Arial"/>
          <w:sz w:val="22"/>
          <w:szCs w:val="22"/>
        </w:rPr>
        <w:t xml:space="preserve">he access of the </w:t>
      </w:r>
      <w:r w:rsidR="00D90F59">
        <w:rPr>
          <w:rFonts w:ascii="Arial" w:hAnsi="Arial" w:cs="Arial"/>
          <w:sz w:val="22"/>
          <w:szCs w:val="22"/>
        </w:rPr>
        <w:t>A</w:t>
      </w:r>
      <w:r w:rsidR="00A73C03" w:rsidRPr="00555295">
        <w:rPr>
          <w:rFonts w:ascii="Arial" w:hAnsi="Arial" w:cs="Arial"/>
          <w:sz w:val="22"/>
          <w:szCs w:val="22"/>
        </w:rPr>
        <w:t xml:space="preserve">pplicant to the </w:t>
      </w:r>
      <w:r w:rsidR="00D90F59">
        <w:rPr>
          <w:rFonts w:ascii="Arial" w:hAnsi="Arial" w:cs="Arial"/>
          <w:sz w:val="22"/>
          <w:szCs w:val="22"/>
        </w:rPr>
        <w:t>P</w:t>
      </w:r>
      <w:r w:rsidR="00A73C03" w:rsidRPr="00555295">
        <w:rPr>
          <w:rFonts w:ascii="Arial" w:hAnsi="Arial" w:cs="Arial"/>
          <w:sz w:val="22"/>
          <w:szCs w:val="22"/>
        </w:rPr>
        <w:t xml:space="preserve">roperty as per the order dated 6 June </w:t>
      </w:r>
      <w:r w:rsidR="00C53C12" w:rsidRPr="00555295">
        <w:rPr>
          <w:rFonts w:ascii="Arial" w:hAnsi="Arial" w:cs="Arial"/>
          <w:sz w:val="22"/>
          <w:szCs w:val="22"/>
        </w:rPr>
        <w:t xml:space="preserve">2019 at paragraph 3 of the said </w:t>
      </w:r>
      <w:r w:rsidR="00D90F59">
        <w:rPr>
          <w:rFonts w:ascii="Arial" w:hAnsi="Arial" w:cs="Arial"/>
          <w:sz w:val="22"/>
          <w:szCs w:val="22"/>
        </w:rPr>
        <w:t>O</w:t>
      </w:r>
      <w:r w:rsidR="00C53C12" w:rsidRPr="00555295">
        <w:rPr>
          <w:rFonts w:ascii="Arial" w:hAnsi="Arial" w:cs="Arial"/>
          <w:sz w:val="22"/>
          <w:szCs w:val="22"/>
        </w:rPr>
        <w:t>rder is extended until 26 February 2020;</w:t>
      </w:r>
    </w:p>
    <w:p w:rsidR="00C53C12" w:rsidRPr="00555295" w:rsidRDefault="00C53C12" w:rsidP="00D90F59">
      <w:pPr>
        <w:spacing w:line="360" w:lineRule="auto"/>
        <w:ind w:left="720" w:hanging="720"/>
        <w:jc w:val="both"/>
        <w:rPr>
          <w:rFonts w:ascii="Arial" w:hAnsi="Arial" w:cs="Arial"/>
          <w:sz w:val="22"/>
          <w:szCs w:val="22"/>
        </w:rPr>
      </w:pPr>
      <w:r w:rsidRPr="00555295">
        <w:rPr>
          <w:rFonts w:ascii="Arial" w:hAnsi="Arial" w:cs="Arial"/>
          <w:sz w:val="22"/>
          <w:szCs w:val="22"/>
        </w:rPr>
        <w:t>2.</w:t>
      </w:r>
      <w:r w:rsidRPr="00555295">
        <w:rPr>
          <w:rFonts w:ascii="Arial" w:hAnsi="Arial" w:cs="Arial"/>
          <w:sz w:val="22"/>
          <w:szCs w:val="22"/>
        </w:rPr>
        <w:tab/>
      </w:r>
      <w:r w:rsidR="00D90F59">
        <w:rPr>
          <w:rFonts w:ascii="Arial" w:hAnsi="Arial" w:cs="Arial"/>
          <w:sz w:val="22"/>
          <w:szCs w:val="22"/>
        </w:rPr>
        <w:t>T</w:t>
      </w:r>
      <w:r w:rsidRPr="00555295">
        <w:rPr>
          <w:rFonts w:ascii="Arial" w:hAnsi="Arial" w:cs="Arial"/>
          <w:sz w:val="22"/>
          <w:szCs w:val="22"/>
        </w:rPr>
        <w:t xml:space="preserve">he </w:t>
      </w:r>
      <w:r w:rsidR="00D90F59">
        <w:rPr>
          <w:rFonts w:ascii="Arial" w:hAnsi="Arial" w:cs="Arial"/>
          <w:sz w:val="22"/>
          <w:szCs w:val="22"/>
        </w:rPr>
        <w:t>A</w:t>
      </w:r>
      <w:r w:rsidRPr="00555295">
        <w:rPr>
          <w:rFonts w:ascii="Arial" w:hAnsi="Arial" w:cs="Arial"/>
          <w:sz w:val="22"/>
          <w:szCs w:val="22"/>
        </w:rPr>
        <w:t>pplicant is granted consent to fil</w:t>
      </w:r>
      <w:r w:rsidR="00D456FA" w:rsidRPr="00555295">
        <w:rPr>
          <w:rFonts w:ascii="Arial" w:hAnsi="Arial" w:cs="Arial"/>
          <w:sz w:val="22"/>
          <w:szCs w:val="22"/>
        </w:rPr>
        <w:t>e</w:t>
      </w:r>
      <w:r w:rsidRPr="00555295">
        <w:rPr>
          <w:rFonts w:ascii="Arial" w:hAnsi="Arial" w:cs="Arial"/>
          <w:sz w:val="22"/>
          <w:szCs w:val="22"/>
        </w:rPr>
        <w:t xml:space="preserve"> further </w:t>
      </w:r>
      <w:r w:rsidR="00D90F59">
        <w:rPr>
          <w:rFonts w:ascii="Arial" w:hAnsi="Arial" w:cs="Arial"/>
          <w:sz w:val="22"/>
          <w:szCs w:val="22"/>
        </w:rPr>
        <w:t>S</w:t>
      </w:r>
      <w:r w:rsidRPr="00555295">
        <w:rPr>
          <w:rFonts w:ascii="Arial" w:hAnsi="Arial" w:cs="Arial"/>
          <w:sz w:val="22"/>
          <w:szCs w:val="22"/>
        </w:rPr>
        <w:t xml:space="preserve">upplementary </w:t>
      </w:r>
      <w:r w:rsidR="00D90F59">
        <w:rPr>
          <w:rFonts w:ascii="Arial" w:hAnsi="Arial" w:cs="Arial"/>
          <w:sz w:val="22"/>
          <w:szCs w:val="22"/>
        </w:rPr>
        <w:t>A</w:t>
      </w:r>
      <w:r w:rsidRPr="00555295">
        <w:rPr>
          <w:rFonts w:ascii="Arial" w:hAnsi="Arial" w:cs="Arial"/>
          <w:sz w:val="22"/>
          <w:szCs w:val="22"/>
        </w:rPr>
        <w:t xml:space="preserve">ffidavits upon receipt of a valuation report regarding the valuation of the </w:t>
      </w:r>
      <w:r w:rsidR="00D90F59">
        <w:rPr>
          <w:rFonts w:ascii="Arial" w:hAnsi="Arial" w:cs="Arial"/>
          <w:sz w:val="22"/>
          <w:szCs w:val="22"/>
        </w:rPr>
        <w:t>P</w:t>
      </w:r>
      <w:r w:rsidRPr="00555295">
        <w:rPr>
          <w:rFonts w:ascii="Arial" w:hAnsi="Arial" w:cs="Arial"/>
          <w:sz w:val="22"/>
          <w:szCs w:val="22"/>
        </w:rPr>
        <w:t xml:space="preserve">roperty, which valuation will be attached to the </w:t>
      </w:r>
      <w:r w:rsidR="00D90F59">
        <w:rPr>
          <w:rFonts w:ascii="Arial" w:hAnsi="Arial" w:cs="Arial"/>
          <w:sz w:val="22"/>
          <w:szCs w:val="22"/>
        </w:rPr>
        <w:t>S</w:t>
      </w:r>
      <w:r w:rsidRPr="00555295">
        <w:rPr>
          <w:rFonts w:ascii="Arial" w:hAnsi="Arial" w:cs="Arial"/>
          <w:sz w:val="22"/>
          <w:szCs w:val="22"/>
        </w:rPr>
        <w:t xml:space="preserve">upplementary </w:t>
      </w:r>
      <w:r w:rsidR="00D90F59">
        <w:rPr>
          <w:rFonts w:ascii="Arial" w:hAnsi="Arial" w:cs="Arial"/>
          <w:sz w:val="22"/>
          <w:szCs w:val="22"/>
        </w:rPr>
        <w:t>A</w:t>
      </w:r>
      <w:r w:rsidRPr="00555295">
        <w:rPr>
          <w:rFonts w:ascii="Arial" w:hAnsi="Arial" w:cs="Arial"/>
          <w:sz w:val="22"/>
          <w:szCs w:val="22"/>
        </w:rPr>
        <w:t xml:space="preserve">ffidavit; </w:t>
      </w:r>
    </w:p>
    <w:p w:rsidR="00C53C12" w:rsidRPr="00555295" w:rsidRDefault="00C53C12" w:rsidP="00D90F59">
      <w:pPr>
        <w:spacing w:line="360" w:lineRule="auto"/>
        <w:ind w:left="720" w:hanging="720"/>
        <w:jc w:val="both"/>
        <w:rPr>
          <w:rFonts w:ascii="Arial" w:hAnsi="Arial" w:cs="Arial"/>
          <w:sz w:val="22"/>
          <w:szCs w:val="22"/>
        </w:rPr>
      </w:pPr>
      <w:r w:rsidRPr="00555295">
        <w:rPr>
          <w:rFonts w:ascii="Arial" w:hAnsi="Arial" w:cs="Arial"/>
          <w:sz w:val="22"/>
          <w:szCs w:val="22"/>
        </w:rPr>
        <w:t>3.</w:t>
      </w:r>
      <w:r w:rsidRPr="00555295">
        <w:rPr>
          <w:rFonts w:ascii="Arial" w:hAnsi="Arial" w:cs="Arial"/>
          <w:sz w:val="22"/>
          <w:szCs w:val="22"/>
        </w:rPr>
        <w:tab/>
      </w:r>
      <w:r w:rsidR="00D90F59">
        <w:rPr>
          <w:rFonts w:ascii="Arial" w:hAnsi="Arial" w:cs="Arial"/>
          <w:sz w:val="22"/>
          <w:szCs w:val="22"/>
        </w:rPr>
        <w:t>T</w:t>
      </w:r>
      <w:r w:rsidRPr="00555295">
        <w:rPr>
          <w:rFonts w:ascii="Arial" w:hAnsi="Arial" w:cs="Arial"/>
          <w:sz w:val="22"/>
          <w:szCs w:val="22"/>
        </w:rPr>
        <w:t xml:space="preserve">he </w:t>
      </w:r>
      <w:r w:rsidR="00D90F59">
        <w:rPr>
          <w:rFonts w:ascii="Arial" w:hAnsi="Arial" w:cs="Arial"/>
          <w:sz w:val="22"/>
          <w:szCs w:val="22"/>
        </w:rPr>
        <w:t>N</w:t>
      </w:r>
      <w:r w:rsidRPr="00555295">
        <w:rPr>
          <w:rFonts w:ascii="Arial" w:hAnsi="Arial" w:cs="Arial"/>
          <w:sz w:val="22"/>
          <w:szCs w:val="22"/>
        </w:rPr>
        <w:t xml:space="preserve">otice of </w:t>
      </w:r>
      <w:r w:rsidR="00D90F59">
        <w:rPr>
          <w:rFonts w:ascii="Arial" w:hAnsi="Arial" w:cs="Arial"/>
          <w:sz w:val="22"/>
          <w:szCs w:val="22"/>
        </w:rPr>
        <w:t>S</w:t>
      </w:r>
      <w:r w:rsidRPr="00555295">
        <w:rPr>
          <w:rFonts w:ascii="Arial" w:hAnsi="Arial" w:cs="Arial"/>
          <w:sz w:val="22"/>
          <w:szCs w:val="22"/>
        </w:rPr>
        <w:t xml:space="preserve">et </w:t>
      </w:r>
      <w:r w:rsidR="00D90F59">
        <w:rPr>
          <w:rFonts w:ascii="Arial" w:hAnsi="Arial" w:cs="Arial"/>
          <w:sz w:val="22"/>
          <w:szCs w:val="22"/>
        </w:rPr>
        <w:t>D</w:t>
      </w:r>
      <w:r w:rsidRPr="00555295">
        <w:rPr>
          <w:rFonts w:ascii="Arial" w:hAnsi="Arial" w:cs="Arial"/>
          <w:sz w:val="22"/>
          <w:szCs w:val="22"/>
        </w:rPr>
        <w:t>own as well as a</w:t>
      </w:r>
      <w:r w:rsidR="0056511F">
        <w:rPr>
          <w:rFonts w:ascii="Arial" w:hAnsi="Arial" w:cs="Arial"/>
          <w:sz w:val="22"/>
          <w:szCs w:val="22"/>
        </w:rPr>
        <w:t xml:space="preserve"> notice calling upon intended </w:t>
      </w:r>
      <w:r w:rsidRPr="00555295">
        <w:rPr>
          <w:rFonts w:ascii="Arial" w:hAnsi="Arial" w:cs="Arial"/>
          <w:sz w:val="22"/>
          <w:szCs w:val="22"/>
        </w:rPr>
        <w:t xml:space="preserve">parties related to the owners of the property to contact </w:t>
      </w:r>
      <w:r w:rsidR="00D90F59">
        <w:rPr>
          <w:rFonts w:ascii="Arial" w:hAnsi="Arial" w:cs="Arial"/>
          <w:sz w:val="22"/>
          <w:szCs w:val="22"/>
        </w:rPr>
        <w:t>A</w:t>
      </w:r>
      <w:r w:rsidR="0073351C" w:rsidRPr="00555295">
        <w:rPr>
          <w:rFonts w:ascii="Arial" w:hAnsi="Arial" w:cs="Arial"/>
          <w:sz w:val="22"/>
          <w:szCs w:val="22"/>
        </w:rPr>
        <w:t>pplicant’s</w:t>
      </w:r>
      <w:r w:rsidRPr="00555295">
        <w:rPr>
          <w:rFonts w:ascii="Arial" w:hAnsi="Arial" w:cs="Arial"/>
          <w:sz w:val="22"/>
          <w:szCs w:val="22"/>
        </w:rPr>
        <w:t xml:space="preserve"> attorney of record </w:t>
      </w:r>
      <w:r w:rsidR="000367E4" w:rsidRPr="00555295">
        <w:rPr>
          <w:rFonts w:ascii="Arial" w:hAnsi="Arial" w:cs="Arial"/>
          <w:sz w:val="22"/>
          <w:szCs w:val="22"/>
        </w:rPr>
        <w:t xml:space="preserve">will be published in one local newspaper circulated within the district of Newcastle at least 2 weeks prior to the date of hearing in </w:t>
      </w:r>
      <w:r w:rsidR="00D90F59">
        <w:rPr>
          <w:rFonts w:ascii="Arial" w:hAnsi="Arial" w:cs="Arial"/>
          <w:sz w:val="22"/>
          <w:szCs w:val="22"/>
        </w:rPr>
        <w:t xml:space="preserve">26 </w:t>
      </w:r>
      <w:r w:rsidR="000367E4" w:rsidRPr="00555295">
        <w:rPr>
          <w:rFonts w:ascii="Arial" w:hAnsi="Arial" w:cs="Arial"/>
          <w:sz w:val="22"/>
          <w:szCs w:val="22"/>
        </w:rPr>
        <w:t>February 2020</w:t>
      </w:r>
      <w:r w:rsidR="00D90F59">
        <w:rPr>
          <w:rFonts w:ascii="Arial" w:hAnsi="Arial" w:cs="Arial"/>
          <w:sz w:val="22"/>
          <w:szCs w:val="22"/>
        </w:rPr>
        <w:t>.</w:t>
      </w:r>
    </w:p>
    <w:p w:rsidR="006F44EA" w:rsidRPr="00555295" w:rsidRDefault="006F44EA" w:rsidP="00555295">
      <w:pPr>
        <w:spacing w:line="360" w:lineRule="auto"/>
        <w:jc w:val="both"/>
        <w:rPr>
          <w:rFonts w:ascii="Arial" w:hAnsi="Arial" w:cs="Arial"/>
          <w:sz w:val="22"/>
          <w:szCs w:val="22"/>
        </w:rPr>
      </w:pPr>
      <w:r w:rsidRPr="00555295">
        <w:rPr>
          <w:rFonts w:ascii="Arial" w:hAnsi="Arial" w:cs="Arial"/>
          <w:sz w:val="22"/>
          <w:szCs w:val="22"/>
        </w:rPr>
        <w:t>4.</w:t>
      </w:r>
      <w:r w:rsidRPr="00555295">
        <w:rPr>
          <w:rFonts w:ascii="Arial" w:hAnsi="Arial" w:cs="Arial"/>
          <w:sz w:val="22"/>
          <w:szCs w:val="22"/>
        </w:rPr>
        <w:tab/>
      </w:r>
      <w:r w:rsidR="00D90F59">
        <w:rPr>
          <w:rFonts w:ascii="Arial" w:hAnsi="Arial" w:cs="Arial"/>
          <w:sz w:val="22"/>
          <w:szCs w:val="22"/>
        </w:rPr>
        <w:t>T</w:t>
      </w:r>
      <w:r w:rsidRPr="00555295">
        <w:rPr>
          <w:rFonts w:ascii="Arial" w:hAnsi="Arial" w:cs="Arial"/>
          <w:sz w:val="22"/>
          <w:szCs w:val="22"/>
        </w:rPr>
        <w:t>he cost</w:t>
      </w:r>
      <w:r w:rsidR="00D90F59">
        <w:rPr>
          <w:rFonts w:ascii="Arial" w:hAnsi="Arial" w:cs="Arial"/>
          <w:sz w:val="22"/>
          <w:szCs w:val="22"/>
        </w:rPr>
        <w:t>s</w:t>
      </w:r>
      <w:r w:rsidRPr="00555295">
        <w:rPr>
          <w:rFonts w:ascii="Arial" w:hAnsi="Arial" w:cs="Arial"/>
          <w:sz w:val="22"/>
          <w:szCs w:val="22"/>
        </w:rPr>
        <w:t xml:space="preserve"> of the </w:t>
      </w:r>
      <w:r w:rsidRPr="00D90F59">
        <w:rPr>
          <w:rFonts w:ascii="Arial" w:hAnsi="Arial" w:cs="Arial"/>
          <w:i/>
          <w:sz w:val="22"/>
          <w:szCs w:val="22"/>
        </w:rPr>
        <w:t>ex parte</w:t>
      </w:r>
      <w:r w:rsidRPr="00555295">
        <w:rPr>
          <w:rFonts w:ascii="Arial" w:hAnsi="Arial" w:cs="Arial"/>
          <w:sz w:val="22"/>
          <w:szCs w:val="22"/>
        </w:rPr>
        <w:t xml:space="preserve"> application be paid by the </w:t>
      </w:r>
      <w:r w:rsidR="00D90F59">
        <w:rPr>
          <w:rFonts w:ascii="Arial" w:hAnsi="Arial" w:cs="Arial"/>
          <w:sz w:val="22"/>
          <w:szCs w:val="22"/>
        </w:rPr>
        <w:t>A</w:t>
      </w:r>
      <w:r w:rsidRPr="00555295">
        <w:rPr>
          <w:rFonts w:ascii="Arial" w:hAnsi="Arial" w:cs="Arial"/>
          <w:sz w:val="22"/>
          <w:szCs w:val="22"/>
        </w:rPr>
        <w:t>pplicant</w:t>
      </w:r>
      <w:r w:rsidR="00555295">
        <w:rPr>
          <w:rFonts w:ascii="Arial" w:hAnsi="Arial" w:cs="Arial"/>
          <w:sz w:val="22"/>
          <w:szCs w:val="22"/>
        </w:rPr>
        <w:t>.’</w:t>
      </w:r>
      <w:r w:rsidRPr="00555295">
        <w:rPr>
          <w:rFonts w:ascii="Arial" w:hAnsi="Arial" w:cs="Arial"/>
          <w:sz w:val="22"/>
          <w:szCs w:val="22"/>
        </w:rPr>
        <w:t xml:space="preserve">  </w:t>
      </w:r>
    </w:p>
    <w:p w:rsidR="00033E95" w:rsidRPr="00555295" w:rsidRDefault="00033E95" w:rsidP="00555295">
      <w:pPr>
        <w:spacing w:line="360" w:lineRule="auto"/>
        <w:ind w:left="1440"/>
        <w:jc w:val="both"/>
        <w:rPr>
          <w:rFonts w:ascii="Arial" w:hAnsi="Arial" w:cs="Arial"/>
        </w:rPr>
      </w:pPr>
    </w:p>
    <w:p w:rsidR="006B576A" w:rsidRPr="00555295" w:rsidRDefault="006B576A" w:rsidP="00555295">
      <w:pPr>
        <w:spacing w:line="360" w:lineRule="auto"/>
        <w:jc w:val="both"/>
        <w:rPr>
          <w:rFonts w:ascii="Arial" w:hAnsi="Arial" w:cs="Arial"/>
        </w:rPr>
      </w:pPr>
      <w:r w:rsidRPr="00555295">
        <w:rPr>
          <w:rFonts w:ascii="Arial" w:hAnsi="Arial" w:cs="Arial"/>
        </w:rPr>
        <w:lastRenderedPageBreak/>
        <w:t>[7]</w:t>
      </w:r>
      <w:r w:rsidRPr="00555295">
        <w:rPr>
          <w:rFonts w:ascii="Arial" w:hAnsi="Arial" w:cs="Arial"/>
        </w:rPr>
        <w:tab/>
        <w:t>On 11 February 20</w:t>
      </w:r>
      <w:r w:rsidR="00C30204" w:rsidRPr="00555295">
        <w:rPr>
          <w:rFonts w:ascii="Arial" w:hAnsi="Arial" w:cs="Arial"/>
        </w:rPr>
        <w:t>2</w:t>
      </w:r>
      <w:r w:rsidRPr="00555295">
        <w:rPr>
          <w:rFonts w:ascii="Arial" w:hAnsi="Arial" w:cs="Arial"/>
        </w:rPr>
        <w:t>0 the first respondent, as mandated by the order of 4 December 2019, delivered a further supplementary affidavit in which it reported back to the court on the way it complied with the order.</w:t>
      </w:r>
      <w:r w:rsidR="00D90F59">
        <w:rPr>
          <w:rStyle w:val="FootnoteReference"/>
          <w:rFonts w:ascii="Arial" w:hAnsi="Arial" w:cs="Arial"/>
        </w:rPr>
        <w:footnoteReference w:id="6"/>
      </w:r>
      <w:r w:rsidRPr="00555295">
        <w:rPr>
          <w:rFonts w:ascii="Arial" w:hAnsi="Arial" w:cs="Arial"/>
        </w:rPr>
        <w:t xml:space="preserve"> The report was to the following </w:t>
      </w:r>
      <w:r w:rsidR="00067CBF" w:rsidRPr="00555295">
        <w:rPr>
          <w:rFonts w:ascii="Arial" w:hAnsi="Arial" w:cs="Arial"/>
        </w:rPr>
        <w:t>effect:</w:t>
      </w:r>
    </w:p>
    <w:p w:rsidR="00067CBF" w:rsidRPr="00555295" w:rsidRDefault="00067CBF" w:rsidP="00555295">
      <w:pPr>
        <w:spacing w:line="360" w:lineRule="auto"/>
        <w:jc w:val="both"/>
        <w:rPr>
          <w:rFonts w:ascii="Arial" w:hAnsi="Arial" w:cs="Arial"/>
        </w:rPr>
      </w:pPr>
      <w:r w:rsidRPr="00555295">
        <w:rPr>
          <w:rFonts w:ascii="Arial" w:hAnsi="Arial" w:cs="Arial"/>
        </w:rPr>
        <w:t>(a)</w:t>
      </w:r>
      <w:r w:rsidRPr="00555295">
        <w:rPr>
          <w:rFonts w:ascii="Arial" w:hAnsi="Arial" w:cs="Arial"/>
        </w:rPr>
        <w:tab/>
        <w:t xml:space="preserve">the court order of 4 December 2019 was advertised in </w:t>
      </w:r>
      <w:r w:rsidR="00C30204" w:rsidRPr="00555295">
        <w:rPr>
          <w:rFonts w:ascii="Arial" w:hAnsi="Arial" w:cs="Arial"/>
        </w:rPr>
        <w:t xml:space="preserve">the </w:t>
      </w:r>
      <w:r w:rsidRPr="00555295">
        <w:rPr>
          <w:rFonts w:ascii="Arial" w:hAnsi="Arial" w:cs="Arial"/>
        </w:rPr>
        <w:t>manner prescribed;</w:t>
      </w:r>
    </w:p>
    <w:p w:rsidR="00067CBF" w:rsidRPr="00555295" w:rsidRDefault="00C30204" w:rsidP="00555295">
      <w:pPr>
        <w:spacing w:line="360" w:lineRule="auto"/>
        <w:ind w:left="720" w:hanging="720"/>
        <w:jc w:val="both"/>
        <w:rPr>
          <w:rFonts w:ascii="Arial" w:hAnsi="Arial" w:cs="Arial"/>
        </w:rPr>
      </w:pPr>
      <w:r w:rsidRPr="00555295">
        <w:rPr>
          <w:rFonts w:ascii="Arial" w:hAnsi="Arial" w:cs="Arial"/>
        </w:rPr>
        <w:t>(b)</w:t>
      </w:r>
      <w:r w:rsidRPr="00555295">
        <w:rPr>
          <w:rFonts w:ascii="Arial" w:hAnsi="Arial" w:cs="Arial"/>
        </w:rPr>
        <w:tab/>
        <w:t>a sworn valuator</w:t>
      </w:r>
      <w:r w:rsidR="00067CBF" w:rsidRPr="00555295">
        <w:rPr>
          <w:rFonts w:ascii="Arial" w:hAnsi="Arial" w:cs="Arial"/>
        </w:rPr>
        <w:t xml:space="preserve"> did a valuation of the farm and that the value of the farm was R 1 254 687.03 (one million two hundred and </w:t>
      </w:r>
      <w:r w:rsidR="00596A6D" w:rsidRPr="00555295">
        <w:rPr>
          <w:rFonts w:ascii="Arial" w:hAnsi="Arial" w:cs="Arial"/>
        </w:rPr>
        <w:t>fifty-four</w:t>
      </w:r>
      <w:r w:rsidR="00067CBF" w:rsidRPr="00555295">
        <w:rPr>
          <w:rFonts w:ascii="Arial" w:hAnsi="Arial" w:cs="Arial"/>
        </w:rPr>
        <w:t xml:space="preserve"> thousand</w:t>
      </w:r>
      <w:r w:rsidR="00B816E3">
        <w:rPr>
          <w:rFonts w:ascii="Arial" w:hAnsi="Arial" w:cs="Arial"/>
        </w:rPr>
        <w:t>,</w:t>
      </w:r>
      <w:r w:rsidR="00067CBF" w:rsidRPr="00555295">
        <w:rPr>
          <w:rFonts w:ascii="Arial" w:hAnsi="Arial" w:cs="Arial"/>
        </w:rPr>
        <w:t xml:space="preserve"> six hundred and </w:t>
      </w:r>
      <w:r w:rsidR="00596A6D" w:rsidRPr="00555295">
        <w:rPr>
          <w:rFonts w:ascii="Arial" w:hAnsi="Arial" w:cs="Arial"/>
        </w:rPr>
        <w:t>eighty</w:t>
      </w:r>
      <w:r w:rsidR="00596A6D">
        <w:rPr>
          <w:rFonts w:ascii="Arial" w:hAnsi="Arial" w:cs="Arial"/>
        </w:rPr>
        <w:t>-seven</w:t>
      </w:r>
      <w:r w:rsidR="00067CBF" w:rsidRPr="00555295">
        <w:rPr>
          <w:rFonts w:ascii="Arial" w:hAnsi="Arial" w:cs="Arial"/>
        </w:rPr>
        <w:t xml:space="preserve"> rand and three cents);</w:t>
      </w:r>
      <w:r w:rsidR="00396BDE">
        <w:rPr>
          <w:rFonts w:ascii="Arial" w:hAnsi="Arial" w:cs="Arial"/>
        </w:rPr>
        <w:t xml:space="preserve"> and</w:t>
      </w:r>
    </w:p>
    <w:p w:rsidR="00AF4811" w:rsidRPr="00555295" w:rsidRDefault="00AF4811" w:rsidP="00555295">
      <w:pPr>
        <w:spacing w:line="360" w:lineRule="auto"/>
        <w:ind w:left="720" w:hanging="720"/>
        <w:jc w:val="both"/>
        <w:rPr>
          <w:rFonts w:ascii="Arial" w:hAnsi="Arial" w:cs="Arial"/>
        </w:rPr>
      </w:pPr>
      <w:r w:rsidRPr="00555295">
        <w:rPr>
          <w:rFonts w:ascii="Arial" w:hAnsi="Arial" w:cs="Arial"/>
        </w:rPr>
        <w:t>(c)</w:t>
      </w:r>
      <w:r w:rsidRPr="00555295">
        <w:rPr>
          <w:rFonts w:ascii="Arial" w:hAnsi="Arial" w:cs="Arial"/>
        </w:rPr>
        <w:tab/>
        <w:t xml:space="preserve">no one contacted the first respondent pursuant to the advertisement having placed in the manner prescribed </w:t>
      </w:r>
      <w:r w:rsidR="00033E95" w:rsidRPr="00555295">
        <w:rPr>
          <w:rFonts w:ascii="Arial" w:hAnsi="Arial" w:cs="Arial"/>
        </w:rPr>
        <w:t>in the order.</w:t>
      </w:r>
    </w:p>
    <w:p w:rsidR="00033E95" w:rsidRPr="00555295" w:rsidRDefault="00033E95" w:rsidP="00555295">
      <w:pPr>
        <w:spacing w:line="360" w:lineRule="auto"/>
        <w:jc w:val="both"/>
        <w:rPr>
          <w:rFonts w:ascii="Arial" w:hAnsi="Arial" w:cs="Arial"/>
        </w:rPr>
      </w:pPr>
    </w:p>
    <w:p w:rsidR="00033E95" w:rsidRPr="00555295" w:rsidRDefault="00033E95" w:rsidP="00555295">
      <w:pPr>
        <w:spacing w:line="360" w:lineRule="auto"/>
        <w:jc w:val="both"/>
        <w:rPr>
          <w:rFonts w:ascii="Arial" w:hAnsi="Arial" w:cs="Arial"/>
        </w:rPr>
      </w:pPr>
      <w:r w:rsidRPr="00555295">
        <w:rPr>
          <w:rFonts w:ascii="Arial" w:hAnsi="Arial" w:cs="Arial"/>
        </w:rPr>
        <w:t>[8]</w:t>
      </w:r>
      <w:r w:rsidRPr="00555295">
        <w:rPr>
          <w:rFonts w:ascii="Arial" w:hAnsi="Arial" w:cs="Arial"/>
        </w:rPr>
        <w:tab/>
        <w:t>On 26 February 2020, and pursuant</w:t>
      </w:r>
      <w:r w:rsidR="00BB577C" w:rsidRPr="00555295">
        <w:rPr>
          <w:rFonts w:ascii="Arial" w:hAnsi="Arial" w:cs="Arial"/>
        </w:rPr>
        <w:t xml:space="preserve"> to the delivery of</w:t>
      </w:r>
      <w:r w:rsidRPr="00555295">
        <w:rPr>
          <w:rFonts w:ascii="Arial" w:hAnsi="Arial" w:cs="Arial"/>
        </w:rPr>
        <w:t xml:space="preserve"> the second supplementary affidavit</w:t>
      </w:r>
      <w:r w:rsidR="00BB577C" w:rsidRPr="00555295">
        <w:rPr>
          <w:rFonts w:ascii="Arial" w:hAnsi="Arial" w:cs="Arial"/>
        </w:rPr>
        <w:t>,</w:t>
      </w:r>
      <w:r w:rsidRPr="00555295">
        <w:rPr>
          <w:rFonts w:ascii="Arial" w:hAnsi="Arial" w:cs="Arial"/>
        </w:rPr>
        <w:t xml:space="preserve"> this court </w:t>
      </w:r>
      <w:r w:rsidR="0035749F" w:rsidRPr="00555295">
        <w:rPr>
          <w:rFonts w:ascii="Arial" w:hAnsi="Arial" w:cs="Arial"/>
        </w:rPr>
        <w:t>(per</w:t>
      </w:r>
      <w:r w:rsidR="00BB577C" w:rsidRPr="00555295">
        <w:rPr>
          <w:rFonts w:ascii="Arial" w:hAnsi="Arial" w:cs="Arial"/>
        </w:rPr>
        <w:t xml:space="preserve"> See</w:t>
      </w:r>
      <w:r w:rsidRPr="00555295">
        <w:rPr>
          <w:rFonts w:ascii="Arial" w:hAnsi="Arial" w:cs="Arial"/>
        </w:rPr>
        <w:t>gobin J) granted an order in the following terms</w:t>
      </w:r>
      <w:r w:rsidR="0035749F" w:rsidRPr="00555295">
        <w:rPr>
          <w:rFonts w:ascii="Arial" w:hAnsi="Arial" w:cs="Arial"/>
        </w:rPr>
        <w:t>:</w:t>
      </w:r>
      <w:r w:rsidR="00EA628A">
        <w:rPr>
          <w:rStyle w:val="FootnoteReference"/>
          <w:rFonts w:ascii="Arial" w:hAnsi="Arial" w:cs="Arial"/>
        </w:rPr>
        <w:footnoteReference w:id="7"/>
      </w:r>
    </w:p>
    <w:p w:rsidR="0035749F" w:rsidRPr="00555295" w:rsidRDefault="00715A26" w:rsidP="00EA628A">
      <w:pPr>
        <w:spacing w:line="360" w:lineRule="auto"/>
        <w:ind w:left="720" w:hanging="720"/>
        <w:jc w:val="both"/>
        <w:rPr>
          <w:rFonts w:ascii="Arial" w:hAnsi="Arial" w:cs="Arial"/>
          <w:sz w:val="22"/>
          <w:szCs w:val="22"/>
        </w:rPr>
      </w:pPr>
      <w:r w:rsidRPr="00555295">
        <w:rPr>
          <w:rFonts w:ascii="Arial" w:hAnsi="Arial" w:cs="Arial"/>
          <w:sz w:val="22"/>
          <w:szCs w:val="22"/>
        </w:rPr>
        <w:t>‘1</w:t>
      </w:r>
      <w:r w:rsidR="00BB577C" w:rsidRPr="00555295">
        <w:rPr>
          <w:rFonts w:ascii="Arial" w:hAnsi="Arial" w:cs="Arial"/>
          <w:sz w:val="22"/>
          <w:szCs w:val="22"/>
        </w:rPr>
        <w:t>.</w:t>
      </w:r>
      <w:r w:rsidR="00BB577C" w:rsidRPr="00555295">
        <w:rPr>
          <w:rFonts w:ascii="Arial" w:hAnsi="Arial" w:cs="Arial"/>
          <w:sz w:val="22"/>
          <w:szCs w:val="22"/>
        </w:rPr>
        <w:tab/>
      </w:r>
      <w:r w:rsidR="00EA628A">
        <w:rPr>
          <w:rFonts w:ascii="Arial" w:hAnsi="Arial" w:cs="Arial"/>
          <w:sz w:val="22"/>
          <w:szCs w:val="22"/>
        </w:rPr>
        <w:t>T</w:t>
      </w:r>
      <w:r w:rsidR="0035749F" w:rsidRPr="00555295">
        <w:rPr>
          <w:rFonts w:ascii="Arial" w:hAnsi="Arial" w:cs="Arial"/>
          <w:sz w:val="22"/>
          <w:szCs w:val="22"/>
        </w:rPr>
        <w:t xml:space="preserve">he </w:t>
      </w:r>
      <w:r w:rsidR="00EA628A">
        <w:rPr>
          <w:rFonts w:ascii="Arial" w:hAnsi="Arial" w:cs="Arial"/>
          <w:sz w:val="22"/>
          <w:szCs w:val="22"/>
        </w:rPr>
        <w:t>A</w:t>
      </w:r>
      <w:r w:rsidR="0035749F" w:rsidRPr="00555295">
        <w:rPr>
          <w:rFonts w:ascii="Arial" w:hAnsi="Arial" w:cs="Arial"/>
          <w:sz w:val="22"/>
          <w:szCs w:val="22"/>
        </w:rPr>
        <w:t>pplicant shall make payment in the amount of R1</w:t>
      </w:r>
      <w:r w:rsidR="00BB577C" w:rsidRPr="00555295">
        <w:rPr>
          <w:rFonts w:ascii="Arial" w:hAnsi="Arial" w:cs="Arial"/>
          <w:sz w:val="22"/>
          <w:szCs w:val="22"/>
        </w:rPr>
        <w:t xml:space="preserve"> </w:t>
      </w:r>
      <w:r w:rsidR="0035749F" w:rsidRPr="00555295">
        <w:rPr>
          <w:rFonts w:ascii="Arial" w:hAnsi="Arial" w:cs="Arial"/>
          <w:sz w:val="22"/>
          <w:szCs w:val="22"/>
        </w:rPr>
        <w:t xml:space="preserve">254 687.03 into </w:t>
      </w:r>
      <w:r w:rsidR="00396BDE">
        <w:rPr>
          <w:rFonts w:ascii="Arial" w:hAnsi="Arial" w:cs="Arial"/>
          <w:sz w:val="22"/>
          <w:szCs w:val="22"/>
        </w:rPr>
        <w:t xml:space="preserve">the </w:t>
      </w:r>
      <w:r w:rsidR="0035749F" w:rsidRPr="00555295">
        <w:rPr>
          <w:rFonts w:ascii="Arial" w:hAnsi="Arial" w:cs="Arial"/>
          <w:sz w:val="22"/>
          <w:szCs w:val="22"/>
        </w:rPr>
        <w:t>Guardian</w:t>
      </w:r>
      <w:r w:rsidR="00BB577C" w:rsidRPr="00555295">
        <w:rPr>
          <w:rFonts w:ascii="Arial" w:hAnsi="Arial" w:cs="Arial"/>
          <w:sz w:val="22"/>
          <w:szCs w:val="22"/>
        </w:rPr>
        <w:t>’s</w:t>
      </w:r>
      <w:r w:rsidR="0035749F" w:rsidRPr="00555295">
        <w:rPr>
          <w:rFonts w:ascii="Arial" w:hAnsi="Arial" w:cs="Arial"/>
          <w:sz w:val="22"/>
          <w:szCs w:val="22"/>
        </w:rPr>
        <w:t xml:space="preserve"> Fund within a reasonable time</w:t>
      </w:r>
      <w:r w:rsidR="00EA628A">
        <w:rPr>
          <w:rFonts w:ascii="Arial" w:hAnsi="Arial" w:cs="Arial"/>
          <w:sz w:val="22"/>
          <w:szCs w:val="22"/>
        </w:rPr>
        <w:t>.</w:t>
      </w:r>
    </w:p>
    <w:p w:rsidR="00715A26" w:rsidRPr="00555295" w:rsidRDefault="00BB577C" w:rsidP="00EA628A">
      <w:pPr>
        <w:spacing w:line="360" w:lineRule="auto"/>
        <w:ind w:left="720" w:hanging="720"/>
        <w:jc w:val="both"/>
        <w:rPr>
          <w:rFonts w:ascii="Arial" w:hAnsi="Arial" w:cs="Arial"/>
          <w:sz w:val="22"/>
          <w:szCs w:val="22"/>
        </w:rPr>
      </w:pPr>
      <w:r w:rsidRPr="00555295">
        <w:rPr>
          <w:rFonts w:ascii="Arial" w:hAnsi="Arial" w:cs="Arial"/>
          <w:sz w:val="22"/>
          <w:szCs w:val="22"/>
        </w:rPr>
        <w:t>2.</w:t>
      </w:r>
      <w:r w:rsidRPr="00555295">
        <w:rPr>
          <w:rFonts w:ascii="Arial" w:hAnsi="Arial" w:cs="Arial"/>
          <w:sz w:val="22"/>
          <w:szCs w:val="22"/>
        </w:rPr>
        <w:tab/>
      </w:r>
      <w:r w:rsidR="00EA628A">
        <w:rPr>
          <w:rFonts w:ascii="Arial" w:hAnsi="Arial" w:cs="Arial"/>
          <w:sz w:val="22"/>
          <w:szCs w:val="22"/>
        </w:rPr>
        <w:t>T</w:t>
      </w:r>
      <w:r w:rsidR="00715A26" w:rsidRPr="00555295">
        <w:rPr>
          <w:rFonts w:ascii="Arial" w:hAnsi="Arial" w:cs="Arial"/>
          <w:sz w:val="22"/>
          <w:szCs w:val="22"/>
        </w:rPr>
        <w:t>he fund</w:t>
      </w:r>
      <w:r w:rsidRPr="00555295">
        <w:rPr>
          <w:rFonts w:ascii="Arial" w:hAnsi="Arial" w:cs="Arial"/>
          <w:sz w:val="22"/>
          <w:szCs w:val="22"/>
        </w:rPr>
        <w:t>s deposited by as per paragraph</w:t>
      </w:r>
      <w:r w:rsidR="00715A26" w:rsidRPr="00555295">
        <w:rPr>
          <w:rFonts w:ascii="Arial" w:hAnsi="Arial" w:cs="Arial"/>
          <w:sz w:val="22"/>
          <w:szCs w:val="22"/>
        </w:rPr>
        <w:t xml:space="preserve"> 1 hereto into the Guardian’s Fund will be for the benefit of all interested parties yet unknown in relation with the transfer of the immovable property </w:t>
      </w:r>
      <w:r w:rsidR="00EA628A">
        <w:rPr>
          <w:rFonts w:ascii="Arial" w:hAnsi="Arial" w:cs="Arial"/>
          <w:sz w:val="22"/>
          <w:szCs w:val="22"/>
        </w:rPr>
        <w:t>as</w:t>
      </w:r>
      <w:r w:rsidR="00715A26" w:rsidRPr="00555295">
        <w:rPr>
          <w:rFonts w:ascii="Arial" w:hAnsi="Arial" w:cs="Arial"/>
          <w:sz w:val="22"/>
          <w:szCs w:val="22"/>
        </w:rPr>
        <w:t xml:space="preserve"> ordered herein</w:t>
      </w:r>
      <w:r w:rsidR="00EA628A">
        <w:rPr>
          <w:rFonts w:ascii="Arial" w:hAnsi="Arial" w:cs="Arial"/>
          <w:sz w:val="22"/>
          <w:szCs w:val="22"/>
        </w:rPr>
        <w:t>.</w:t>
      </w:r>
    </w:p>
    <w:p w:rsidR="000965C9" w:rsidRPr="00555295" w:rsidRDefault="000965C9" w:rsidP="00EA628A">
      <w:pPr>
        <w:spacing w:line="360" w:lineRule="auto"/>
        <w:ind w:left="720" w:hanging="720"/>
        <w:jc w:val="both"/>
        <w:rPr>
          <w:rFonts w:ascii="Arial" w:hAnsi="Arial" w:cs="Arial"/>
          <w:sz w:val="22"/>
          <w:szCs w:val="22"/>
        </w:rPr>
      </w:pPr>
      <w:r w:rsidRPr="00555295">
        <w:rPr>
          <w:rFonts w:ascii="Arial" w:hAnsi="Arial" w:cs="Arial"/>
          <w:sz w:val="22"/>
          <w:szCs w:val="22"/>
        </w:rPr>
        <w:t>3.</w:t>
      </w:r>
      <w:r w:rsidRPr="00555295">
        <w:rPr>
          <w:rFonts w:ascii="Arial" w:hAnsi="Arial" w:cs="Arial"/>
          <w:sz w:val="22"/>
          <w:szCs w:val="22"/>
        </w:rPr>
        <w:tab/>
        <w:t xml:space="preserve">A copy of this </w:t>
      </w:r>
      <w:r w:rsidR="00EA628A">
        <w:rPr>
          <w:rFonts w:ascii="Arial" w:hAnsi="Arial" w:cs="Arial"/>
          <w:sz w:val="22"/>
          <w:szCs w:val="22"/>
        </w:rPr>
        <w:t>O</w:t>
      </w:r>
      <w:r w:rsidRPr="00555295">
        <w:rPr>
          <w:rFonts w:ascii="Arial" w:hAnsi="Arial" w:cs="Arial"/>
          <w:sz w:val="22"/>
          <w:szCs w:val="22"/>
        </w:rPr>
        <w:t xml:space="preserve">rder will </w:t>
      </w:r>
      <w:r w:rsidR="00EA628A">
        <w:rPr>
          <w:rFonts w:ascii="Arial" w:hAnsi="Arial" w:cs="Arial"/>
          <w:sz w:val="22"/>
          <w:szCs w:val="22"/>
        </w:rPr>
        <w:t xml:space="preserve">be </w:t>
      </w:r>
      <w:r w:rsidRPr="00555295">
        <w:rPr>
          <w:rFonts w:ascii="Arial" w:hAnsi="Arial" w:cs="Arial"/>
          <w:sz w:val="22"/>
          <w:szCs w:val="22"/>
        </w:rPr>
        <w:t xml:space="preserve">served by way of Sheriff of the High Court on the Master of the High Court of South Africa within 7 (seven) days after the granting of this </w:t>
      </w:r>
      <w:r w:rsidR="00EA628A">
        <w:rPr>
          <w:rFonts w:ascii="Arial" w:hAnsi="Arial" w:cs="Arial"/>
          <w:sz w:val="22"/>
          <w:szCs w:val="22"/>
        </w:rPr>
        <w:t>O</w:t>
      </w:r>
      <w:r w:rsidRPr="00555295">
        <w:rPr>
          <w:rFonts w:ascii="Arial" w:hAnsi="Arial" w:cs="Arial"/>
          <w:sz w:val="22"/>
          <w:szCs w:val="22"/>
        </w:rPr>
        <w:t>rder</w:t>
      </w:r>
      <w:r w:rsidR="00EA628A">
        <w:rPr>
          <w:rFonts w:ascii="Arial" w:hAnsi="Arial" w:cs="Arial"/>
          <w:sz w:val="22"/>
          <w:szCs w:val="22"/>
        </w:rPr>
        <w:t>.</w:t>
      </w:r>
    </w:p>
    <w:p w:rsidR="000965C9" w:rsidRPr="00555295" w:rsidRDefault="00497AAA" w:rsidP="00EA628A">
      <w:pPr>
        <w:spacing w:line="360" w:lineRule="auto"/>
        <w:ind w:left="720" w:hanging="720"/>
        <w:jc w:val="both"/>
        <w:rPr>
          <w:rFonts w:ascii="Arial" w:hAnsi="Arial" w:cs="Arial"/>
          <w:sz w:val="22"/>
          <w:szCs w:val="22"/>
        </w:rPr>
      </w:pPr>
      <w:r w:rsidRPr="00555295">
        <w:rPr>
          <w:rFonts w:ascii="Arial" w:hAnsi="Arial" w:cs="Arial"/>
          <w:sz w:val="22"/>
          <w:szCs w:val="22"/>
        </w:rPr>
        <w:t>4.</w:t>
      </w:r>
      <w:r w:rsidRPr="00555295">
        <w:rPr>
          <w:rFonts w:ascii="Arial" w:hAnsi="Arial" w:cs="Arial"/>
          <w:sz w:val="22"/>
          <w:szCs w:val="22"/>
        </w:rPr>
        <w:tab/>
      </w:r>
      <w:r w:rsidR="00EA628A">
        <w:rPr>
          <w:rFonts w:ascii="Arial" w:hAnsi="Arial" w:cs="Arial"/>
          <w:sz w:val="22"/>
          <w:szCs w:val="22"/>
        </w:rPr>
        <w:t>T</w:t>
      </w:r>
      <w:r w:rsidR="000965C9" w:rsidRPr="00555295">
        <w:rPr>
          <w:rFonts w:ascii="Arial" w:hAnsi="Arial" w:cs="Arial"/>
          <w:sz w:val="22"/>
          <w:szCs w:val="22"/>
        </w:rPr>
        <w:t xml:space="preserve">he Registrar of Deeds will upon confirmation of the payment </w:t>
      </w:r>
      <w:r w:rsidRPr="00555295">
        <w:rPr>
          <w:rFonts w:ascii="Arial" w:hAnsi="Arial" w:cs="Arial"/>
          <w:sz w:val="22"/>
          <w:szCs w:val="22"/>
        </w:rPr>
        <w:t xml:space="preserve">of the funds </w:t>
      </w:r>
      <w:r w:rsidR="000965C9" w:rsidRPr="00555295">
        <w:rPr>
          <w:rFonts w:ascii="Arial" w:hAnsi="Arial" w:cs="Arial"/>
          <w:sz w:val="22"/>
          <w:szCs w:val="22"/>
        </w:rPr>
        <w:t xml:space="preserve">as per paragraph 1 hereto, as well as service of this </w:t>
      </w:r>
      <w:r w:rsidR="00EA628A">
        <w:rPr>
          <w:rFonts w:ascii="Arial" w:hAnsi="Arial" w:cs="Arial"/>
          <w:sz w:val="22"/>
          <w:szCs w:val="22"/>
        </w:rPr>
        <w:t>O</w:t>
      </w:r>
      <w:r w:rsidR="000965C9" w:rsidRPr="00555295">
        <w:rPr>
          <w:rFonts w:ascii="Arial" w:hAnsi="Arial" w:cs="Arial"/>
          <w:sz w:val="22"/>
          <w:szCs w:val="22"/>
        </w:rPr>
        <w:t xml:space="preserve">rder by the Sheriff of the High Court, transfer the property </w:t>
      </w:r>
      <w:r w:rsidR="000965C9" w:rsidRPr="00EA628A">
        <w:rPr>
          <w:rFonts w:ascii="Arial" w:hAnsi="Arial" w:cs="Arial"/>
          <w:b/>
          <w:sz w:val="22"/>
          <w:szCs w:val="22"/>
        </w:rPr>
        <w:t>held under Title Deed 1752/1962 measuring 871.36 HA</w:t>
      </w:r>
      <w:r w:rsidR="000965C9" w:rsidRPr="00555295">
        <w:rPr>
          <w:rFonts w:ascii="Arial" w:hAnsi="Arial" w:cs="Arial"/>
          <w:sz w:val="22"/>
          <w:szCs w:val="22"/>
        </w:rPr>
        <w:t xml:space="preserve"> (“the </w:t>
      </w:r>
      <w:r w:rsidR="00EA628A">
        <w:rPr>
          <w:rFonts w:ascii="Arial" w:hAnsi="Arial" w:cs="Arial"/>
          <w:sz w:val="22"/>
          <w:szCs w:val="22"/>
        </w:rPr>
        <w:t>P</w:t>
      </w:r>
      <w:r w:rsidR="000965C9" w:rsidRPr="00555295">
        <w:rPr>
          <w:rFonts w:ascii="Arial" w:hAnsi="Arial" w:cs="Arial"/>
          <w:sz w:val="22"/>
          <w:szCs w:val="22"/>
        </w:rPr>
        <w:t xml:space="preserve">roperty”) into the name of the </w:t>
      </w:r>
      <w:r w:rsidR="00EA628A">
        <w:rPr>
          <w:rFonts w:ascii="Arial" w:hAnsi="Arial" w:cs="Arial"/>
          <w:sz w:val="22"/>
          <w:szCs w:val="22"/>
        </w:rPr>
        <w:t>A</w:t>
      </w:r>
      <w:r w:rsidR="000965C9" w:rsidRPr="00555295">
        <w:rPr>
          <w:rFonts w:ascii="Arial" w:hAnsi="Arial" w:cs="Arial"/>
          <w:sz w:val="22"/>
          <w:szCs w:val="22"/>
        </w:rPr>
        <w:t>pplicant or its nominee which transfer will be attended to by K</w:t>
      </w:r>
      <w:r w:rsidRPr="00555295">
        <w:rPr>
          <w:rFonts w:ascii="Arial" w:hAnsi="Arial" w:cs="Arial"/>
          <w:sz w:val="22"/>
          <w:szCs w:val="22"/>
        </w:rPr>
        <w:t xml:space="preserve">ruger Attorneys </w:t>
      </w:r>
      <w:r w:rsidR="00EA628A">
        <w:rPr>
          <w:rFonts w:ascii="Arial" w:hAnsi="Arial" w:cs="Arial"/>
          <w:sz w:val="22"/>
          <w:szCs w:val="22"/>
        </w:rPr>
        <w:t>&amp;</w:t>
      </w:r>
      <w:r w:rsidRPr="00555295">
        <w:rPr>
          <w:rFonts w:ascii="Arial" w:hAnsi="Arial" w:cs="Arial"/>
          <w:sz w:val="22"/>
          <w:szCs w:val="22"/>
        </w:rPr>
        <w:t xml:space="preserve"> Conveyancer</w:t>
      </w:r>
      <w:r w:rsidR="000965C9" w:rsidRPr="00555295">
        <w:rPr>
          <w:rFonts w:ascii="Arial" w:hAnsi="Arial" w:cs="Arial"/>
          <w:sz w:val="22"/>
          <w:szCs w:val="22"/>
        </w:rPr>
        <w:t xml:space="preserve"> with telephone number (011) 766 1428</w:t>
      </w:r>
      <w:r w:rsidR="00EA628A">
        <w:rPr>
          <w:rFonts w:ascii="Arial" w:hAnsi="Arial" w:cs="Arial"/>
          <w:sz w:val="22"/>
          <w:szCs w:val="22"/>
        </w:rPr>
        <w:t>.</w:t>
      </w:r>
    </w:p>
    <w:p w:rsidR="004847E5" w:rsidRPr="00555295" w:rsidRDefault="00497AAA" w:rsidP="00EA628A">
      <w:pPr>
        <w:spacing w:line="360" w:lineRule="auto"/>
        <w:ind w:left="720" w:hanging="720"/>
        <w:jc w:val="both"/>
        <w:rPr>
          <w:rFonts w:ascii="Arial" w:hAnsi="Arial" w:cs="Arial"/>
          <w:sz w:val="22"/>
          <w:szCs w:val="22"/>
        </w:rPr>
      </w:pPr>
      <w:r w:rsidRPr="00555295">
        <w:rPr>
          <w:rFonts w:ascii="Arial" w:hAnsi="Arial" w:cs="Arial"/>
          <w:sz w:val="22"/>
          <w:szCs w:val="22"/>
        </w:rPr>
        <w:t>5.</w:t>
      </w:r>
      <w:r w:rsidRPr="00555295">
        <w:rPr>
          <w:rFonts w:ascii="Arial" w:hAnsi="Arial" w:cs="Arial"/>
          <w:sz w:val="22"/>
          <w:szCs w:val="22"/>
        </w:rPr>
        <w:tab/>
      </w:r>
      <w:r w:rsidR="00EA628A">
        <w:rPr>
          <w:rFonts w:ascii="Arial" w:hAnsi="Arial" w:cs="Arial"/>
          <w:sz w:val="22"/>
          <w:szCs w:val="22"/>
        </w:rPr>
        <w:t>T</w:t>
      </w:r>
      <w:r w:rsidR="004847E5" w:rsidRPr="00555295">
        <w:rPr>
          <w:rFonts w:ascii="Arial" w:hAnsi="Arial" w:cs="Arial"/>
          <w:sz w:val="22"/>
          <w:szCs w:val="22"/>
        </w:rPr>
        <w:t xml:space="preserve">he Registrar </w:t>
      </w:r>
      <w:r w:rsidRPr="00555295">
        <w:rPr>
          <w:rFonts w:ascii="Arial" w:hAnsi="Arial" w:cs="Arial"/>
          <w:sz w:val="22"/>
          <w:szCs w:val="22"/>
        </w:rPr>
        <w:t xml:space="preserve">of Deeds </w:t>
      </w:r>
      <w:r w:rsidR="004847E5" w:rsidRPr="00555295">
        <w:rPr>
          <w:rFonts w:ascii="Arial" w:hAnsi="Arial" w:cs="Arial"/>
          <w:sz w:val="22"/>
          <w:szCs w:val="22"/>
        </w:rPr>
        <w:t xml:space="preserve">is hereby authorised to do all such things and the </w:t>
      </w:r>
      <w:r w:rsidR="00EA628A">
        <w:rPr>
          <w:rFonts w:ascii="Arial" w:hAnsi="Arial" w:cs="Arial"/>
          <w:sz w:val="22"/>
          <w:szCs w:val="22"/>
        </w:rPr>
        <w:t>A</w:t>
      </w:r>
      <w:r w:rsidR="004847E5" w:rsidRPr="00555295">
        <w:rPr>
          <w:rFonts w:ascii="Arial" w:hAnsi="Arial" w:cs="Arial"/>
          <w:sz w:val="22"/>
          <w:szCs w:val="22"/>
        </w:rPr>
        <w:t xml:space="preserve">pplicant is authorised to sign all such documents as is necessary to transfer the </w:t>
      </w:r>
      <w:r w:rsidR="00EA628A">
        <w:rPr>
          <w:rFonts w:ascii="Arial" w:hAnsi="Arial" w:cs="Arial"/>
          <w:sz w:val="22"/>
          <w:szCs w:val="22"/>
        </w:rPr>
        <w:t>P</w:t>
      </w:r>
      <w:r w:rsidR="004847E5" w:rsidRPr="00555295">
        <w:rPr>
          <w:rFonts w:ascii="Arial" w:hAnsi="Arial" w:cs="Arial"/>
          <w:sz w:val="22"/>
          <w:szCs w:val="22"/>
        </w:rPr>
        <w:t xml:space="preserve">roperty into the name of the </w:t>
      </w:r>
      <w:r w:rsidR="00EA628A">
        <w:rPr>
          <w:rFonts w:ascii="Arial" w:hAnsi="Arial" w:cs="Arial"/>
          <w:sz w:val="22"/>
          <w:szCs w:val="22"/>
        </w:rPr>
        <w:t>A</w:t>
      </w:r>
      <w:r w:rsidR="004847E5" w:rsidRPr="00555295">
        <w:rPr>
          <w:rFonts w:ascii="Arial" w:hAnsi="Arial" w:cs="Arial"/>
          <w:sz w:val="22"/>
          <w:szCs w:val="22"/>
        </w:rPr>
        <w:t>pplicant</w:t>
      </w:r>
      <w:r w:rsidR="00EA628A">
        <w:rPr>
          <w:rFonts w:ascii="Arial" w:hAnsi="Arial" w:cs="Arial"/>
          <w:sz w:val="22"/>
          <w:szCs w:val="22"/>
        </w:rPr>
        <w:t>.</w:t>
      </w:r>
    </w:p>
    <w:p w:rsidR="00155EB8" w:rsidRPr="00555295" w:rsidRDefault="00497AAA" w:rsidP="00555295">
      <w:pPr>
        <w:spacing w:line="360" w:lineRule="auto"/>
        <w:jc w:val="both"/>
        <w:rPr>
          <w:rFonts w:ascii="Arial" w:hAnsi="Arial" w:cs="Arial"/>
          <w:sz w:val="22"/>
          <w:szCs w:val="22"/>
        </w:rPr>
      </w:pPr>
      <w:r w:rsidRPr="00555295">
        <w:rPr>
          <w:rFonts w:ascii="Arial" w:hAnsi="Arial" w:cs="Arial"/>
          <w:sz w:val="22"/>
          <w:szCs w:val="22"/>
        </w:rPr>
        <w:t>6.</w:t>
      </w:r>
      <w:r w:rsidRPr="00555295">
        <w:rPr>
          <w:rFonts w:ascii="Arial" w:hAnsi="Arial" w:cs="Arial"/>
          <w:sz w:val="22"/>
          <w:szCs w:val="22"/>
        </w:rPr>
        <w:tab/>
      </w:r>
      <w:r w:rsidR="00EA628A">
        <w:rPr>
          <w:rFonts w:ascii="Arial" w:hAnsi="Arial" w:cs="Arial"/>
          <w:sz w:val="22"/>
          <w:szCs w:val="22"/>
        </w:rPr>
        <w:t>N</w:t>
      </w:r>
      <w:r w:rsidRPr="00555295">
        <w:rPr>
          <w:rFonts w:ascii="Arial" w:hAnsi="Arial" w:cs="Arial"/>
          <w:sz w:val="22"/>
          <w:szCs w:val="22"/>
        </w:rPr>
        <w:t>o</w:t>
      </w:r>
      <w:r w:rsidR="00155EB8" w:rsidRPr="00555295">
        <w:rPr>
          <w:rFonts w:ascii="Arial" w:hAnsi="Arial" w:cs="Arial"/>
          <w:sz w:val="22"/>
          <w:szCs w:val="22"/>
        </w:rPr>
        <w:t xml:space="preserve"> order as to costs.’ </w:t>
      </w:r>
    </w:p>
    <w:p w:rsidR="004E65B5" w:rsidRPr="00555295" w:rsidRDefault="004E65B5" w:rsidP="00555295">
      <w:pPr>
        <w:spacing w:line="360" w:lineRule="auto"/>
        <w:ind w:left="720"/>
        <w:jc w:val="both"/>
        <w:rPr>
          <w:rFonts w:ascii="Arial" w:hAnsi="Arial" w:cs="Arial"/>
        </w:rPr>
      </w:pPr>
    </w:p>
    <w:p w:rsidR="00EC6679" w:rsidRDefault="00EC6679" w:rsidP="00555295">
      <w:pPr>
        <w:spacing w:line="360" w:lineRule="auto"/>
        <w:jc w:val="both"/>
        <w:rPr>
          <w:rFonts w:ascii="Arial" w:hAnsi="Arial" w:cs="Arial"/>
          <w:b/>
        </w:rPr>
      </w:pPr>
    </w:p>
    <w:p w:rsidR="00021FD8" w:rsidRPr="00555295" w:rsidRDefault="004E65B5" w:rsidP="00555295">
      <w:pPr>
        <w:spacing w:line="360" w:lineRule="auto"/>
        <w:jc w:val="both"/>
        <w:rPr>
          <w:rFonts w:ascii="Arial" w:hAnsi="Arial" w:cs="Arial"/>
          <w:b/>
        </w:rPr>
      </w:pPr>
      <w:r w:rsidRPr="00555295">
        <w:rPr>
          <w:rFonts w:ascii="Arial" w:hAnsi="Arial" w:cs="Arial"/>
          <w:b/>
        </w:rPr>
        <w:lastRenderedPageBreak/>
        <w:t xml:space="preserve">Factual </w:t>
      </w:r>
      <w:r w:rsidR="00422450">
        <w:rPr>
          <w:rFonts w:ascii="Arial" w:hAnsi="Arial" w:cs="Arial"/>
          <w:b/>
        </w:rPr>
        <w:t>b</w:t>
      </w:r>
      <w:r w:rsidRPr="00555295">
        <w:rPr>
          <w:rFonts w:ascii="Arial" w:hAnsi="Arial" w:cs="Arial"/>
          <w:b/>
        </w:rPr>
        <w:t>ackground</w:t>
      </w:r>
    </w:p>
    <w:p w:rsidR="00A13585" w:rsidRPr="00555295" w:rsidRDefault="00A4395C" w:rsidP="00555295">
      <w:pPr>
        <w:spacing w:line="360" w:lineRule="auto"/>
        <w:jc w:val="both"/>
        <w:rPr>
          <w:rFonts w:ascii="Arial" w:hAnsi="Arial" w:cs="Arial"/>
        </w:rPr>
      </w:pPr>
      <w:r w:rsidRPr="00555295">
        <w:rPr>
          <w:rFonts w:ascii="Arial" w:hAnsi="Arial" w:cs="Arial"/>
        </w:rPr>
        <w:t>[9]</w:t>
      </w:r>
      <w:r w:rsidRPr="00555295">
        <w:rPr>
          <w:rFonts w:ascii="Arial" w:hAnsi="Arial" w:cs="Arial"/>
        </w:rPr>
        <w:tab/>
        <w:t>The first applicant’s father, Hendrik Petrus Geldenhuys (“Geldenhuys”) was the owner of the following farms:</w:t>
      </w:r>
    </w:p>
    <w:p w:rsidR="004E65B5" w:rsidRPr="00555295" w:rsidRDefault="00A13585" w:rsidP="00555295">
      <w:pPr>
        <w:spacing w:line="360" w:lineRule="auto"/>
        <w:ind w:left="720" w:hanging="720"/>
        <w:jc w:val="both"/>
        <w:rPr>
          <w:rFonts w:ascii="Arial" w:hAnsi="Arial" w:cs="Arial"/>
        </w:rPr>
      </w:pPr>
      <w:r w:rsidRPr="00555295">
        <w:rPr>
          <w:rFonts w:ascii="Arial" w:hAnsi="Arial" w:cs="Arial"/>
        </w:rPr>
        <w:t>(</w:t>
      </w:r>
      <w:r w:rsidR="00021FD8" w:rsidRPr="00555295">
        <w:rPr>
          <w:rFonts w:ascii="Arial" w:hAnsi="Arial" w:cs="Arial"/>
        </w:rPr>
        <w:t>a)</w:t>
      </w:r>
      <w:r w:rsidR="00021FD8" w:rsidRPr="00555295">
        <w:rPr>
          <w:rFonts w:ascii="Arial" w:hAnsi="Arial" w:cs="Arial"/>
        </w:rPr>
        <w:tab/>
        <w:t>the Remainder of the F</w:t>
      </w:r>
      <w:r w:rsidR="00DA11D7" w:rsidRPr="00555295">
        <w:rPr>
          <w:rFonts w:ascii="Arial" w:hAnsi="Arial" w:cs="Arial"/>
        </w:rPr>
        <w:t>arm Gle</w:t>
      </w:r>
      <w:r w:rsidRPr="00555295">
        <w:rPr>
          <w:rFonts w:ascii="Arial" w:hAnsi="Arial" w:cs="Arial"/>
        </w:rPr>
        <w:t>n Ashton, No. 8589</w:t>
      </w:r>
      <w:r w:rsidR="00021FD8" w:rsidRPr="00555295">
        <w:rPr>
          <w:rFonts w:ascii="Arial" w:hAnsi="Arial" w:cs="Arial"/>
        </w:rPr>
        <w:t>,</w:t>
      </w:r>
      <w:r w:rsidRPr="00555295">
        <w:rPr>
          <w:rFonts w:ascii="Arial" w:hAnsi="Arial" w:cs="Arial"/>
        </w:rPr>
        <w:t xml:space="preserve"> Registration Division HS, </w:t>
      </w:r>
      <w:r w:rsidR="001C7E63">
        <w:rPr>
          <w:rFonts w:ascii="Arial" w:hAnsi="Arial" w:cs="Arial"/>
        </w:rPr>
        <w:t>P</w:t>
      </w:r>
      <w:r w:rsidRPr="00555295">
        <w:rPr>
          <w:rFonts w:ascii="Arial" w:hAnsi="Arial" w:cs="Arial"/>
        </w:rPr>
        <w:t>rovince of KwaZulu-Natal</w:t>
      </w:r>
      <w:r w:rsidR="00021FD8" w:rsidRPr="00555295">
        <w:rPr>
          <w:rFonts w:ascii="Arial" w:hAnsi="Arial" w:cs="Arial"/>
        </w:rPr>
        <w:t>,</w:t>
      </w:r>
      <w:r w:rsidRPr="00555295">
        <w:rPr>
          <w:rFonts w:ascii="Arial" w:hAnsi="Arial" w:cs="Arial"/>
        </w:rPr>
        <w:t xml:space="preserve"> held under title deed number: T23804/2020, in extent 191, 6466</w:t>
      </w:r>
      <w:r w:rsidR="00021FD8" w:rsidRPr="00555295">
        <w:rPr>
          <w:rFonts w:ascii="Arial" w:hAnsi="Arial" w:cs="Arial"/>
        </w:rPr>
        <w:t xml:space="preserve"> hectares, first registered by C</w:t>
      </w:r>
      <w:r w:rsidRPr="00555295">
        <w:rPr>
          <w:rFonts w:ascii="Arial" w:hAnsi="Arial" w:cs="Arial"/>
        </w:rPr>
        <w:t>rown Grant Number G8589/1914 and previously held by Deed of Transfer Number: T1752/1962;</w:t>
      </w:r>
      <w:r w:rsidR="00A4395C" w:rsidRPr="00555295">
        <w:rPr>
          <w:rFonts w:ascii="Arial" w:hAnsi="Arial" w:cs="Arial"/>
        </w:rPr>
        <w:t xml:space="preserve"> </w:t>
      </w:r>
    </w:p>
    <w:p w:rsidR="00715A26" w:rsidRPr="00555295" w:rsidRDefault="00DA11D7" w:rsidP="00555295">
      <w:pPr>
        <w:spacing w:line="360" w:lineRule="auto"/>
        <w:ind w:left="720" w:hanging="720"/>
        <w:jc w:val="both"/>
        <w:rPr>
          <w:rFonts w:ascii="Arial" w:hAnsi="Arial" w:cs="Arial"/>
        </w:rPr>
      </w:pPr>
      <w:r w:rsidRPr="00555295">
        <w:rPr>
          <w:rFonts w:ascii="Arial" w:hAnsi="Arial" w:cs="Arial"/>
        </w:rPr>
        <w:t>(b)</w:t>
      </w:r>
      <w:r w:rsidRPr="00555295">
        <w:rPr>
          <w:rFonts w:ascii="Arial" w:hAnsi="Arial" w:cs="Arial"/>
        </w:rPr>
        <w:tab/>
        <w:t>Portion 6 (of 3) of the Farm Twyfelhoek No. 3339, Registration Division HS, Province of KwaZulu-Natal</w:t>
      </w:r>
      <w:r w:rsidR="00021FD8" w:rsidRPr="00555295">
        <w:rPr>
          <w:rFonts w:ascii="Arial" w:hAnsi="Arial" w:cs="Arial"/>
        </w:rPr>
        <w:t>,</w:t>
      </w:r>
      <w:r w:rsidRPr="00555295">
        <w:rPr>
          <w:rFonts w:ascii="Arial" w:hAnsi="Arial" w:cs="Arial"/>
        </w:rPr>
        <w:t xml:space="preserve"> held under </w:t>
      </w:r>
      <w:r w:rsidR="00021FD8" w:rsidRPr="00555295">
        <w:rPr>
          <w:rFonts w:ascii="Arial" w:hAnsi="Arial" w:cs="Arial"/>
        </w:rPr>
        <w:t>title deed number: T23804/2020,</w:t>
      </w:r>
      <w:r w:rsidRPr="00555295">
        <w:rPr>
          <w:rFonts w:ascii="Arial" w:hAnsi="Arial" w:cs="Arial"/>
        </w:rPr>
        <w:t xml:space="preserve"> in extent 192, 6811 hectares</w:t>
      </w:r>
      <w:r w:rsidR="00021FD8" w:rsidRPr="00555295">
        <w:rPr>
          <w:rFonts w:ascii="Arial" w:hAnsi="Arial" w:cs="Arial"/>
        </w:rPr>
        <w:t>,</w:t>
      </w:r>
      <w:r w:rsidRPr="00555295">
        <w:rPr>
          <w:rFonts w:ascii="Arial" w:hAnsi="Arial" w:cs="Arial"/>
        </w:rPr>
        <w:t xml:space="preserve"> first transferred by Deed of Partition Transfer Number: T2420/1927, and previously held </w:t>
      </w:r>
      <w:r w:rsidR="001C7E63">
        <w:rPr>
          <w:rFonts w:ascii="Arial" w:hAnsi="Arial" w:cs="Arial"/>
        </w:rPr>
        <w:t xml:space="preserve">by </w:t>
      </w:r>
      <w:r w:rsidRPr="00555295">
        <w:rPr>
          <w:rFonts w:ascii="Arial" w:hAnsi="Arial" w:cs="Arial"/>
        </w:rPr>
        <w:t xml:space="preserve">Deed of Transfer Number: </w:t>
      </w:r>
      <w:r w:rsidR="001C7E63">
        <w:rPr>
          <w:rFonts w:ascii="Arial" w:hAnsi="Arial" w:cs="Arial"/>
        </w:rPr>
        <w:t>T</w:t>
      </w:r>
      <w:r w:rsidRPr="00555295">
        <w:rPr>
          <w:rFonts w:ascii="Arial" w:hAnsi="Arial" w:cs="Arial"/>
        </w:rPr>
        <w:t>1752/1962;</w:t>
      </w:r>
      <w:r w:rsidR="00730074">
        <w:rPr>
          <w:rFonts w:ascii="Arial" w:hAnsi="Arial" w:cs="Arial"/>
        </w:rPr>
        <w:t xml:space="preserve"> and</w:t>
      </w:r>
    </w:p>
    <w:p w:rsidR="00DA11D7" w:rsidRPr="00555295" w:rsidRDefault="00DA11D7" w:rsidP="00555295">
      <w:pPr>
        <w:spacing w:line="360" w:lineRule="auto"/>
        <w:ind w:left="720" w:hanging="720"/>
        <w:jc w:val="both"/>
        <w:rPr>
          <w:rFonts w:ascii="Arial" w:hAnsi="Arial" w:cs="Arial"/>
        </w:rPr>
      </w:pPr>
      <w:r w:rsidRPr="00555295">
        <w:rPr>
          <w:rFonts w:ascii="Arial" w:hAnsi="Arial" w:cs="Arial"/>
        </w:rPr>
        <w:t>(c)</w:t>
      </w:r>
      <w:r w:rsidRPr="00555295">
        <w:rPr>
          <w:rFonts w:ascii="Arial" w:hAnsi="Arial" w:cs="Arial"/>
        </w:rPr>
        <w:tab/>
        <w:t>the Farm Moeders Rus No. 11657, Registration Division HS, Province of KwaZulu-Natal, held under title deed number: T23804/2020, in extent 487,7306 hectares, first registered by Crown Grant Number G11657/1930 and previously held by Deed of Transfer Number: T1752/62 (</w:t>
      </w:r>
      <w:r w:rsidR="001C7E63">
        <w:rPr>
          <w:rFonts w:ascii="Arial" w:hAnsi="Arial" w:cs="Arial"/>
        </w:rPr>
        <w:t xml:space="preserve">referred to as </w:t>
      </w:r>
      <w:r w:rsidRPr="00555295">
        <w:rPr>
          <w:rFonts w:ascii="Arial" w:hAnsi="Arial" w:cs="Arial"/>
        </w:rPr>
        <w:t>“the farms”).</w:t>
      </w:r>
    </w:p>
    <w:p w:rsidR="007962AE" w:rsidRPr="00555295" w:rsidRDefault="007962AE" w:rsidP="00555295">
      <w:pPr>
        <w:spacing w:line="360" w:lineRule="auto"/>
        <w:ind w:left="720"/>
        <w:jc w:val="both"/>
        <w:rPr>
          <w:rFonts w:ascii="Arial" w:hAnsi="Arial" w:cs="Arial"/>
        </w:rPr>
      </w:pPr>
    </w:p>
    <w:p w:rsidR="007962AE" w:rsidRDefault="005B1BCE" w:rsidP="00555295">
      <w:pPr>
        <w:spacing w:line="360" w:lineRule="auto"/>
        <w:jc w:val="both"/>
        <w:rPr>
          <w:rFonts w:ascii="Arial" w:hAnsi="Arial" w:cs="Arial"/>
        </w:rPr>
      </w:pPr>
      <w:r w:rsidRPr="00555295">
        <w:rPr>
          <w:rFonts w:ascii="Arial" w:hAnsi="Arial" w:cs="Arial"/>
        </w:rPr>
        <w:t>[10]</w:t>
      </w:r>
      <w:r w:rsidRPr="00555295">
        <w:rPr>
          <w:rFonts w:ascii="Arial" w:hAnsi="Arial" w:cs="Arial"/>
        </w:rPr>
        <w:tab/>
        <w:t>Geldenhuys was first</w:t>
      </w:r>
      <w:r w:rsidR="00816152" w:rsidRPr="00555295">
        <w:rPr>
          <w:rFonts w:ascii="Arial" w:hAnsi="Arial" w:cs="Arial"/>
        </w:rPr>
        <w:t xml:space="preserve"> married</w:t>
      </w:r>
      <w:r w:rsidRPr="00555295">
        <w:rPr>
          <w:rFonts w:ascii="Arial" w:hAnsi="Arial" w:cs="Arial"/>
        </w:rPr>
        <w:t xml:space="preserve"> to Getruida Jacoba Geldenhuys </w:t>
      </w:r>
      <w:r w:rsidR="0041113F" w:rsidRPr="00555295">
        <w:rPr>
          <w:rFonts w:ascii="Arial" w:hAnsi="Arial" w:cs="Arial"/>
        </w:rPr>
        <w:t>(ne</w:t>
      </w:r>
      <w:r w:rsidR="00816152" w:rsidRPr="00555295">
        <w:rPr>
          <w:rFonts w:ascii="Arial" w:hAnsi="Arial" w:cs="Arial"/>
        </w:rPr>
        <w:t>è</w:t>
      </w:r>
      <w:r w:rsidRPr="00555295">
        <w:rPr>
          <w:rFonts w:ascii="Arial" w:hAnsi="Arial" w:cs="Arial"/>
        </w:rPr>
        <w:t xml:space="preserve"> De Wet), and</w:t>
      </w:r>
      <w:r w:rsidR="00A42342" w:rsidRPr="00555295">
        <w:rPr>
          <w:rFonts w:ascii="Arial" w:hAnsi="Arial" w:cs="Arial"/>
        </w:rPr>
        <w:t xml:space="preserve"> after she passed away, to Catha</w:t>
      </w:r>
      <w:r w:rsidRPr="00555295">
        <w:rPr>
          <w:rFonts w:ascii="Arial" w:hAnsi="Arial" w:cs="Arial"/>
        </w:rPr>
        <w:t>rina Wilhelmina Geldenhuys (</w:t>
      </w:r>
      <w:r w:rsidR="00D973E6" w:rsidRPr="00555295">
        <w:rPr>
          <w:rFonts w:ascii="Arial" w:hAnsi="Arial" w:cs="Arial"/>
        </w:rPr>
        <w:t>neè</w:t>
      </w:r>
      <w:r w:rsidRPr="00555295">
        <w:rPr>
          <w:rFonts w:ascii="Arial" w:hAnsi="Arial" w:cs="Arial"/>
        </w:rPr>
        <w:t xml:space="preserve"> Beukes).</w:t>
      </w:r>
      <w:r w:rsidR="00067AE5" w:rsidRPr="00555295">
        <w:rPr>
          <w:rFonts w:ascii="Arial" w:hAnsi="Arial" w:cs="Arial"/>
        </w:rPr>
        <w:t xml:space="preserve"> All in all, twelve children were born of Geldenhuys’</w:t>
      </w:r>
      <w:r w:rsidR="007962AE" w:rsidRPr="00555295">
        <w:rPr>
          <w:rFonts w:ascii="Arial" w:hAnsi="Arial" w:cs="Arial"/>
        </w:rPr>
        <w:t xml:space="preserve"> </w:t>
      </w:r>
      <w:r w:rsidR="00067AE5" w:rsidRPr="00555295">
        <w:rPr>
          <w:rFonts w:ascii="Arial" w:hAnsi="Arial" w:cs="Arial"/>
        </w:rPr>
        <w:t>two marriages</w:t>
      </w:r>
      <w:r w:rsidR="007962AE" w:rsidRPr="00555295">
        <w:rPr>
          <w:rFonts w:ascii="Arial" w:hAnsi="Arial" w:cs="Arial"/>
        </w:rPr>
        <w:t>.</w:t>
      </w:r>
    </w:p>
    <w:p w:rsidR="00555295" w:rsidRPr="00555295" w:rsidRDefault="00555295" w:rsidP="00555295">
      <w:pPr>
        <w:spacing w:line="360" w:lineRule="auto"/>
        <w:jc w:val="both"/>
        <w:rPr>
          <w:rFonts w:ascii="Arial" w:hAnsi="Arial" w:cs="Arial"/>
        </w:rPr>
      </w:pPr>
    </w:p>
    <w:p w:rsidR="007962AE" w:rsidRPr="00555295" w:rsidRDefault="007962AE" w:rsidP="00555295">
      <w:pPr>
        <w:spacing w:line="360" w:lineRule="auto"/>
        <w:jc w:val="both"/>
        <w:rPr>
          <w:rFonts w:ascii="Arial" w:hAnsi="Arial" w:cs="Arial"/>
        </w:rPr>
      </w:pPr>
      <w:r w:rsidRPr="00555295">
        <w:rPr>
          <w:rFonts w:ascii="Arial" w:hAnsi="Arial" w:cs="Arial"/>
        </w:rPr>
        <w:t>[11]</w:t>
      </w:r>
      <w:r w:rsidRPr="00555295">
        <w:rPr>
          <w:rFonts w:ascii="Arial" w:hAnsi="Arial" w:cs="Arial"/>
        </w:rPr>
        <w:tab/>
        <w:t>Geldenhuys passed away on 31 December 1960. Cathari</w:t>
      </w:r>
      <w:r w:rsidR="001B6121" w:rsidRPr="00555295">
        <w:rPr>
          <w:rFonts w:ascii="Arial" w:hAnsi="Arial" w:cs="Arial"/>
        </w:rPr>
        <w:t>na Wilhelmina Geldenhuys (“Catha</w:t>
      </w:r>
      <w:r w:rsidRPr="00555295">
        <w:rPr>
          <w:rFonts w:ascii="Arial" w:hAnsi="Arial" w:cs="Arial"/>
        </w:rPr>
        <w:t xml:space="preserve">rina”) </w:t>
      </w:r>
      <w:r w:rsidR="000B4348" w:rsidRPr="00555295">
        <w:rPr>
          <w:rFonts w:ascii="Arial" w:hAnsi="Arial" w:cs="Arial"/>
        </w:rPr>
        <w:t>was appointed executrix of h</w:t>
      </w:r>
      <w:r w:rsidR="001B6121" w:rsidRPr="00555295">
        <w:rPr>
          <w:rFonts w:ascii="Arial" w:hAnsi="Arial" w:cs="Arial"/>
        </w:rPr>
        <w:t xml:space="preserve">is deceased </w:t>
      </w:r>
      <w:r w:rsidR="000558AD">
        <w:rPr>
          <w:rFonts w:ascii="Arial" w:hAnsi="Arial" w:cs="Arial"/>
        </w:rPr>
        <w:t>e</w:t>
      </w:r>
      <w:r w:rsidR="001B6121" w:rsidRPr="00555295">
        <w:rPr>
          <w:rFonts w:ascii="Arial" w:hAnsi="Arial" w:cs="Arial"/>
        </w:rPr>
        <w:t>state in terms of Letters of A</w:t>
      </w:r>
      <w:r w:rsidR="000B4348" w:rsidRPr="00555295">
        <w:rPr>
          <w:rFonts w:ascii="Arial" w:hAnsi="Arial" w:cs="Arial"/>
        </w:rPr>
        <w:t>dministration No. 137/</w:t>
      </w:r>
      <w:r w:rsidR="001B6121" w:rsidRPr="00555295">
        <w:rPr>
          <w:rFonts w:ascii="Arial" w:hAnsi="Arial" w:cs="Arial"/>
        </w:rPr>
        <w:t>61 issued in her favour by the Master of t</w:t>
      </w:r>
      <w:r w:rsidR="000B4348" w:rsidRPr="00555295">
        <w:rPr>
          <w:rFonts w:ascii="Arial" w:hAnsi="Arial" w:cs="Arial"/>
        </w:rPr>
        <w:t>he High Court of South Afric</w:t>
      </w:r>
      <w:r w:rsidR="001B6121" w:rsidRPr="00555295">
        <w:rPr>
          <w:rFonts w:ascii="Arial" w:hAnsi="Arial" w:cs="Arial"/>
        </w:rPr>
        <w:t>a (Orange Free State Provincial</w:t>
      </w:r>
      <w:r w:rsidR="000B4348" w:rsidRPr="00555295">
        <w:rPr>
          <w:rFonts w:ascii="Arial" w:hAnsi="Arial" w:cs="Arial"/>
        </w:rPr>
        <w:t xml:space="preserve"> Division</w:t>
      </w:r>
      <w:r w:rsidR="001B6121" w:rsidRPr="00555295">
        <w:rPr>
          <w:rFonts w:ascii="Arial" w:hAnsi="Arial" w:cs="Arial"/>
        </w:rPr>
        <w:t>,</w:t>
      </w:r>
      <w:r w:rsidR="000B4348" w:rsidRPr="00555295">
        <w:rPr>
          <w:rFonts w:ascii="Arial" w:hAnsi="Arial" w:cs="Arial"/>
        </w:rPr>
        <w:t xml:space="preserve"> as it then </w:t>
      </w:r>
      <w:r w:rsidR="00B37821" w:rsidRPr="00555295">
        <w:rPr>
          <w:rFonts w:ascii="Arial" w:hAnsi="Arial" w:cs="Arial"/>
        </w:rPr>
        <w:t>was)</w:t>
      </w:r>
      <w:r w:rsidR="000B4348" w:rsidRPr="00555295">
        <w:rPr>
          <w:rFonts w:ascii="Arial" w:hAnsi="Arial" w:cs="Arial"/>
        </w:rPr>
        <w:t>, on 6 February 1961.</w:t>
      </w:r>
    </w:p>
    <w:p w:rsidR="00B37821" w:rsidRPr="00555295" w:rsidRDefault="00B37821" w:rsidP="00555295">
      <w:pPr>
        <w:spacing w:line="360" w:lineRule="auto"/>
        <w:jc w:val="both"/>
        <w:rPr>
          <w:rFonts w:ascii="Arial" w:hAnsi="Arial" w:cs="Arial"/>
        </w:rPr>
      </w:pPr>
    </w:p>
    <w:p w:rsidR="00B37821" w:rsidRPr="00555295" w:rsidRDefault="00B37821" w:rsidP="00555295">
      <w:pPr>
        <w:spacing w:line="360" w:lineRule="auto"/>
        <w:jc w:val="both"/>
        <w:rPr>
          <w:rFonts w:ascii="Arial" w:hAnsi="Arial" w:cs="Arial"/>
        </w:rPr>
      </w:pPr>
      <w:r w:rsidRPr="00555295">
        <w:rPr>
          <w:rFonts w:ascii="Arial" w:hAnsi="Arial" w:cs="Arial"/>
        </w:rPr>
        <w:t>[12]</w:t>
      </w:r>
      <w:r w:rsidRPr="00555295">
        <w:rPr>
          <w:rFonts w:ascii="Arial" w:hAnsi="Arial" w:cs="Arial"/>
        </w:rPr>
        <w:tab/>
        <w:t>In his last will and testament, dated 14 November 1954, Geldenhuys bequeathed the farms to his six sons, and the spouses of his six daughters, by substitution. The heirs were the following:</w:t>
      </w:r>
    </w:p>
    <w:p w:rsidR="0022391F" w:rsidRPr="00555295" w:rsidRDefault="00555295" w:rsidP="00555295">
      <w:pPr>
        <w:spacing w:line="360" w:lineRule="auto"/>
        <w:jc w:val="both"/>
        <w:rPr>
          <w:rFonts w:ascii="Arial" w:hAnsi="Arial" w:cs="Arial"/>
        </w:rPr>
      </w:pPr>
      <w:r>
        <w:rPr>
          <w:rFonts w:ascii="Arial" w:hAnsi="Arial" w:cs="Arial"/>
        </w:rPr>
        <w:t>(a)</w:t>
      </w:r>
      <w:r>
        <w:rPr>
          <w:rFonts w:ascii="Arial" w:hAnsi="Arial" w:cs="Arial"/>
        </w:rPr>
        <w:tab/>
      </w:r>
      <w:r w:rsidR="00B37821" w:rsidRPr="00555295">
        <w:rPr>
          <w:rFonts w:ascii="Arial" w:hAnsi="Arial" w:cs="Arial"/>
        </w:rPr>
        <w:t xml:space="preserve">Frans Johannes </w:t>
      </w:r>
      <w:r w:rsidR="00DF2DDE" w:rsidRPr="00555295">
        <w:rPr>
          <w:rFonts w:ascii="Arial" w:hAnsi="Arial" w:cs="Arial"/>
        </w:rPr>
        <w:t>Geldenhuys, born on 3 July 1905</w:t>
      </w:r>
      <w:r w:rsidR="00F53002"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t>(b)</w:t>
      </w:r>
      <w:r w:rsidR="0022391F" w:rsidRPr="00555295">
        <w:rPr>
          <w:rFonts w:ascii="Arial" w:hAnsi="Arial" w:cs="Arial"/>
        </w:rPr>
        <w:tab/>
        <w:t>Willem Daniel Van N</w:t>
      </w:r>
      <w:r w:rsidR="00DF2DDE" w:rsidRPr="00555295">
        <w:rPr>
          <w:rFonts w:ascii="Arial" w:hAnsi="Arial" w:cs="Arial"/>
        </w:rPr>
        <w:t>iekerk, born on 2 November 1897</w:t>
      </w:r>
      <w:r w:rsidR="00F53002"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lastRenderedPageBreak/>
        <w:t>(c)</w:t>
      </w:r>
      <w:r w:rsidR="00F53002" w:rsidRPr="00555295">
        <w:rPr>
          <w:rFonts w:ascii="Arial" w:hAnsi="Arial" w:cs="Arial"/>
        </w:rPr>
        <w:tab/>
        <w:t>Nicola</w:t>
      </w:r>
      <w:r w:rsidR="0022391F" w:rsidRPr="00555295">
        <w:rPr>
          <w:rFonts w:ascii="Arial" w:hAnsi="Arial" w:cs="Arial"/>
        </w:rPr>
        <w:t>as Gerhardus Johannes Oosthuizen, born</w:t>
      </w:r>
      <w:r w:rsidR="00DF2DDE" w:rsidRPr="00555295">
        <w:rPr>
          <w:rFonts w:ascii="Arial" w:hAnsi="Arial" w:cs="Arial"/>
        </w:rPr>
        <w:t xml:space="preserve"> on 9 November 1899</w:t>
      </w:r>
      <w:r w:rsidR="00F53002"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t>(d)</w:t>
      </w:r>
      <w:r w:rsidR="00F53002" w:rsidRPr="00555295">
        <w:rPr>
          <w:rFonts w:ascii="Arial" w:hAnsi="Arial" w:cs="Arial"/>
        </w:rPr>
        <w:tab/>
        <w:t>Jacobus Ignatiu</w:t>
      </w:r>
      <w:r w:rsidR="0022391F" w:rsidRPr="00555295">
        <w:rPr>
          <w:rFonts w:ascii="Arial" w:hAnsi="Arial" w:cs="Arial"/>
        </w:rPr>
        <w:t>s Geld</w:t>
      </w:r>
      <w:r w:rsidR="00DF2DDE" w:rsidRPr="00555295">
        <w:rPr>
          <w:rFonts w:ascii="Arial" w:hAnsi="Arial" w:cs="Arial"/>
        </w:rPr>
        <w:t>enhuys, born on 21 October 1910</w:t>
      </w:r>
      <w:r w:rsidR="00F53002"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t>(e)</w:t>
      </w:r>
      <w:r w:rsidR="0022391F" w:rsidRPr="00555295">
        <w:rPr>
          <w:rFonts w:ascii="Arial" w:hAnsi="Arial" w:cs="Arial"/>
        </w:rPr>
        <w:tab/>
        <w:t xml:space="preserve">Michiel Josias </w:t>
      </w:r>
      <w:r w:rsidR="00DF2DDE" w:rsidRPr="00555295">
        <w:rPr>
          <w:rFonts w:ascii="Arial" w:hAnsi="Arial" w:cs="Arial"/>
        </w:rPr>
        <w:t>Beukes, born on 2 February 1917</w:t>
      </w:r>
      <w:r w:rsidR="00F53002"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t>(f)</w:t>
      </w:r>
      <w:r w:rsidR="0022391F" w:rsidRPr="00555295">
        <w:rPr>
          <w:rFonts w:ascii="Arial" w:hAnsi="Arial" w:cs="Arial"/>
        </w:rPr>
        <w:tab/>
        <w:t>Johannes Stephanus Vilj</w:t>
      </w:r>
      <w:r w:rsidR="00DF2DDE" w:rsidRPr="00555295">
        <w:rPr>
          <w:rFonts w:ascii="Arial" w:hAnsi="Arial" w:cs="Arial"/>
        </w:rPr>
        <w:t>oen, born on 23 September 1906</w:t>
      </w:r>
      <w:r w:rsidR="00F53002"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t>(g)</w:t>
      </w:r>
      <w:r w:rsidR="0022391F" w:rsidRPr="00555295">
        <w:rPr>
          <w:rFonts w:ascii="Arial" w:hAnsi="Arial" w:cs="Arial"/>
        </w:rPr>
        <w:tab/>
        <w:t xml:space="preserve">Hendrik Petrus Geldenhuys, born </w:t>
      </w:r>
      <w:r w:rsidR="00EA6492">
        <w:rPr>
          <w:rFonts w:ascii="Arial" w:hAnsi="Arial" w:cs="Arial"/>
        </w:rPr>
        <w:t xml:space="preserve">on </w:t>
      </w:r>
      <w:r w:rsidR="0022391F" w:rsidRPr="00555295">
        <w:rPr>
          <w:rFonts w:ascii="Arial" w:hAnsi="Arial" w:cs="Arial"/>
        </w:rPr>
        <w:t>7 Septemb</w:t>
      </w:r>
      <w:r w:rsidR="00DF2DDE" w:rsidRPr="00555295">
        <w:rPr>
          <w:rFonts w:ascii="Arial" w:hAnsi="Arial" w:cs="Arial"/>
        </w:rPr>
        <w:t>er 1927</w:t>
      </w:r>
      <w:r w:rsidR="00F53002" w:rsidRPr="00555295">
        <w:rPr>
          <w:rFonts w:ascii="Arial" w:hAnsi="Arial" w:cs="Arial"/>
        </w:rPr>
        <w:t>;</w:t>
      </w:r>
    </w:p>
    <w:p w:rsidR="00B37821" w:rsidRPr="00555295" w:rsidRDefault="00555295" w:rsidP="00555295">
      <w:pPr>
        <w:spacing w:line="360" w:lineRule="auto"/>
        <w:jc w:val="both"/>
        <w:rPr>
          <w:rFonts w:ascii="Arial" w:hAnsi="Arial" w:cs="Arial"/>
        </w:rPr>
      </w:pPr>
      <w:r>
        <w:rPr>
          <w:rFonts w:ascii="Arial" w:hAnsi="Arial" w:cs="Arial"/>
        </w:rPr>
        <w:t>(h)</w:t>
      </w:r>
      <w:r w:rsidR="0022391F" w:rsidRPr="00555295">
        <w:rPr>
          <w:rFonts w:ascii="Arial" w:hAnsi="Arial" w:cs="Arial"/>
        </w:rPr>
        <w:tab/>
        <w:t>Gert Stephanus Kok, born on 24</w:t>
      </w:r>
      <w:r w:rsidR="00B37821" w:rsidRPr="00555295">
        <w:rPr>
          <w:rFonts w:ascii="Arial" w:hAnsi="Arial" w:cs="Arial"/>
        </w:rPr>
        <w:t xml:space="preserve"> </w:t>
      </w:r>
      <w:r w:rsidR="00DF2DDE" w:rsidRPr="00555295">
        <w:rPr>
          <w:rFonts w:ascii="Arial" w:hAnsi="Arial" w:cs="Arial"/>
        </w:rPr>
        <w:t>October 1914</w:t>
      </w:r>
      <w:r w:rsidR="00817670" w:rsidRPr="00555295">
        <w:rPr>
          <w:rFonts w:ascii="Arial" w:hAnsi="Arial" w:cs="Arial"/>
        </w:rPr>
        <w:t>;</w:t>
      </w:r>
    </w:p>
    <w:p w:rsidR="0022391F" w:rsidRPr="00555295" w:rsidRDefault="00555295" w:rsidP="00555295">
      <w:pPr>
        <w:spacing w:line="360" w:lineRule="auto"/>
        <w:jc w:val="both"/>
        <w:rPr>
          <w:rFonts w:ascii="Arial" w:hAnsi="Arial" w:cs="Arial"/>
        </w:rPr>
      </w:pPr>
      <w:r>
        <w:rPr>
          <w:rFonts w:ascii="Arial" w:hAnsi="Arial" w:cs="Arial"/>
        </w:rPr>
        <w:t>(i)</w:t>
      </w:r>
      <w:r w:rsidR="0022391F" w:rsidRPr="00555295">
        <w:rPr>
          <w:rFonts w:ascii="Arial" w:hAnsi="Arial" w:cs="Arial"/>
        </w:rPr>
        <w:tab/>
        <w:t>Pieter George Slabber van Zyl, born on 14 July 1911</w:t>
      </w:r>
      <w:r w:rsidR="00F53002" w:rsidRPr="00555295">
        <w:rPr>
          <w:rFonts w:ascii="Arial" w:hAnsi="Arial" w:cs="Arial"/>
        </w:rPr>
        <w:t>;</w:t>
      </w:r>
    </w:p>
    <w:p w:rsidR="0022391F" w:rsidRPr="00555295" w:rsidRDefault="00555295" w:rsidP="00555295">
      <w:pPr>
        <w:spacing w:line="360" w:lineRule="auto"/>
        <w:ind w:left="720" w:hanging="720"/>
        <w:jc w:val="both"/>
        <w:rPr>
          <w:rFonts w:ascii="Arial" w:hAnsi="Arial" w:cs="Arial"/>
        </w:rPr>
      </w:pPr>
      <w:r>
        <w:rPr>
          <w:rFonts w:ascii="Arial" w:hAnsi="Arial" w:cs="Arial"/>
        </w:rPr>
        <w:t>(j)</w:t>
      </w:r>
      <w:r w:rsidR="0022391F" w:rsidRPr="00555295">
        <w:rPr>
          <w:rFonts w:ascii="Arial" w:hAnsi="Arial" w:cs="Arial"/>
        </w:rPr>
        <w:tab/>
        <w:t>Hermanus Christiaan Michiel Geldenhuys (the second applicant’s father) born on 8 August 1931</w:t>
      </w:r>
      <w:r w:rsidR="00F53002" w:rsidRPr="00555295">
        <w:rPr>
          <w:rFonts w:ascii="Arial" w:hAnsi="Arial" w:cs="Arial"/>
        </w:rPr>
        <w:t>;</w:t>
      </w:r>
    </w:p>
    <w:p w:rsidR="00EA1997" w:rsidRPr="00555295" w:rsidRDefault="00555295" w:rsidP="00555295">
      <w:pPr>
        <w:spacing w:line="360" w:lineRule="auto"/>
        <w:ind w:left="720" w:hanging="720"/>
        <w:jc w:val="both"/>
        <w:rPr>
          <w:rFonts w:ascii="Arial" w:hAnsi="Arial" w:cs="Arial"/>
        </w:rPr>
      </w:pPr>
      <w:r>
        <w:rPr>
          <w:rFonts w:ascii="Arial" w:hAnsi="Arial" w:cs="Arial"/>
        </w:rPr>
        <w:t>(k)</w:t>
      </w:r>
      <w:r w:rsidR="002F24C4" w:rsidRPr="00555295">
        <w:rPr>
          <w:rFonts w:ascii="Arial" w:hAnsi="Arial" w:cs="Arial"/>
        </w:rPr>
        <w:tab/>
        <w:t>Catha</w:t>
      </w:r>
      <w:r w:rsidR="00EA1997" w:rsidRPr="00555295">
        <w:rPr>
          <w:rFonts w:ascii="Arial" w:hAnsi="Arial" w:cs="Arial"/>
        </w:rPr>
        <w:t>rina Wilhelmina Maria Gelde</w:t>
      </w:r>
      <w:r w:rsidR="002F24C4" w:rsidRPr="00555295">
        <w:rPr>
          <w:rFonts w:ascii="Arial" w:hAnsi="Arial" w:cs="Arial"/>
        </w:rPr>
        <w:t>nhuys, born on 14 November 1934; and</w:t>
      </w:r>
    </w:p>
    <w:p w:rsidR="00EA1997" w:rsidRPr="00555295" w:rsidRDefault="00555295" w:rsidP="00555295">
      <w:pPr>
        <w:spacing w:line="360" w:lineRule="auto"/>
        <w:ind w:left="720" w:hanging="720"/>
        <w:jc w:val="both"/>
        <w:rPr>
          <w:rFonts w:ascii="Arial" w:hAnsi="Arial" w:cs="Arial"/>
        </w:rPr>
      </w:pPr>
      <w:r>
        <w:rPr>
          <w:rFonts w:ascii="Arial" w:hAnsi="Arial" w:cs="Arial"/>
        </w:rPr>
        <w:t>(l)</w:t>
      </w:r>
      <w:r w:rsidR="00EA1997" w:rsidRPr="00555295">
        <w:rPr>
          <w:rFonts w:ascii="Arial" w:hAnsi="Arial" w:cs="Arial"/>
        </w:rPr>
        <w:tab/>
      </w:r>
      <w:r w:rsidR="007F4059" w:rsidRPr="00555295">
        <w:rPr>
          <w:rFonts w:ascii="Arial" w:hAnsi="Arial" w:cs="Arial"/>
        </w:rPr>
        <w:t>Hendrika Petronella Geldenhuys (the first</w:t>
      </w:r>
      <w:r w:rsidR="00DF2DDE" w:rsidRPr="00555295">
        <w:rPr>
          <w:rFonts w:ascii="Arial" w:hAnsi="Arial" w:cs="Arial"/>
        </w:rPr>
        <w:t xml:space="preserve"> applicant) born on 4 June 1941.</w:t>
      </w:r>
    </w:p>
    <w:p w:rsidR="004603E3" w:rsidRPr="00555295" w:rsidRDefault="004603E3" w:rsidP="00555295">
      <w:pPr>
        <w:spacing w:line="360" w:lineRule="auto"/>
        <w:ind w:left="720" w:hanging="720"/>
        <w:jc w:val="both"/>
        <w:rPr>
          <w:rFonts w:ascii="Arial" w:hAnsi="Arial" w:cs="Arial"/>
        </w:rPr>
      </w:pPr>
    </w:p>
    <w:p w:rsidR="00240FAD" w:rsidRPr="00555295" w:rsidRDefault="004603E3" w:rsidP="00555295">
      <w:pPr>
        <w:spacing w:line="360" w:lineRule="auto"/>
        <w:jc w:val="both"/>
        <w:rPr>
          <w:rFonts w:ascii="Arial" w:hAnsi="Arial" w:cs="Arial"/>
        </w:rPr>
      </w:pPr>
      <w:r w:rsidRPr="00555295">
        <w:rPr>
          <w:rFonts w:ascii="Arial" w:hAnsi="Arial" w:cs="Arial"/>
        </w:rPr>
        <w:t>[13]</w:t>
      </w:r>
      <w:r w:rsidRPr="00555295">
        <w:rPr>
          <w:rFonts w:ascii="Arial" w:hAnsi="Arial" w:cs="Arial"/>
        </w:rPr>
        <w:tab/>
        <w:t>On 16 March 1962 the farms were transferred to the heirs</w:t>
      </w:r>
      <w:r w:rsidR="001E4357" w:rsidRPr="00555295">
        <w:rPr>
          <w:rFonts w:ascii="Arial" w:hAnsi="Arial" w:cs="Arial"/>
        </w:rPr>
        <w:t>,</w:t>
      </w:r>
      <w:r w:rsidRPr="00555295">
        <w:rPr>
          <w:rFonts w:ascii="Arial" w:hAnsi="Arial" w:cs="Arial"/>
        </w:rPr>
        <w:t xml:space="preserve"> in undivided shares, by the Registrar of Deeds for the Natal Province (as it was then) under Deed of Transfer Number: T1752/1962.</w:t>
      </w:r>
      <w:r w:rsidR="004830BA">
        <w:rPr>
          <w:rStyle w:val="FootnoteReference"/>
          <w:rFonts w:ascii="Arial" w:hAnsi="Arial" w:cs="Arial"/>
        </w:rPr>
        <w:footnoteReference w:id="8"/>
      </w:r>
      <w:r w:rsidRPr="00555295">
        <w:rPr>
          <w:rFonts w:ascii="Arial" w:hAnsi="Arial" w:cs="Arial"/>
        </w:rPr>
        <w:t xml:space="preserve"> After the farms were registered in their names, the heirs, as co-owners, leased the farms to one Danie du Toit</w:t>
      </w:r>
      <w:r w:rsidR="00F41BDB" w:rsidRPr="00555295">
        <w:rPr>
          <w:rFonts w:ascii="Arial" w:hAnsi="Arial" w:cs="Arial"/>
        </w:rPr>
        <w:t xml:space="preserve">. The rental was used for </w:t>
      </w:r>
      <w:r w:rsidR="004830BA">
        <w:rPr>
          <w:rFonts w:ascii="Arial" w:hAnsi="Arial" w:cs="Arial"/>
        </w:rPr>
        <w:t xml:space="preserve">the </w:t>
      </w:r>
      <w:r w:rsidR="00F41BDB" w:rsidRPr="00555295">
        <w:rPr>
          <w:rFonts w:ascii="Arial" w:hAnsi="Arial" w:cs="Arial"/>
        </w:rPr>
        <w:t>upkeep and maintenance of the farm</w:t>
      </w:r>
      <w:r w:rsidR="001E4357" w:rsidRPr="00555295">
        <w:rPr>
          <w:rFonts w:ascii="Arial" w:hAnsi="Arial" w:cs="Arial"/>
        </w:rPr>
        <w:t>s</w:t>
      </w:r>
      <w:r w:rsidR="00F41BDB" w:rsidRPr="00555295">
        <w:rPr>
          <w:rFonts w:ascii="Arial" w:hAnsi="Arial" w:cs="Arial"/>
        </w:rPr>
        <w:t>, as we</w:t>
      </w:r>
      <w:r w:rsidR="005A6E87" w:rsidRPr="00555295">
        <w:rPr>
          <w:rFonts w:ascii="Arial" w:hAnsi="Arial" w:cs="Arial"/>
        </w:rPr>
        <w:t>ll as municipal rates and taxes.</w:t>
      </w:r>
    </w:p>
    <w:p w:rsidR="001E4357" w:rsidRPr="00555295" w:rsidRDefault="001E4357" w:rsidP="00555295">
      <w:pPr>
        <w:spacing w:line="360" w:lineRule="auto"/>
        <w:jc w:val="both"/>
        <w:rPr>
          <w:rFonts w:ascii="Arial" w:hAnsi="Arial" w:cs="Arial"/>
        </w:rPr>
      </w:pPr>
    </w:p>
    <w:p w:rsidR="00552C21" w:rsidRPr="00555295" w:rsidRDefault="00240FAD" w:rsidP="00555295">
      <w:pPr>
        <w:spacing w:line="360" w:lineRule="auto"/>
        <w:jc w:val="both"/>
        <w:rPr>
          <w:rFonts w:ascii="Arial" w:hAnsi="Arial" w:cs="Arial"/>
        </w:rPr>
      </w:pPr>
      <w:r w:rsidRPr="00555295">
        <w:rPr>
          <w:rFonts w:ascii="Arial" w:hAnsi="Arial" w:cs="Arial"/>
        </w:rPr>
        <w:t>[14]</w:t>
      </w:r>
      <w:r w:rsidRPr="00555295">
        <w:rPr>
          <w:rFonts w:ascii="Arial" w:hAnsi="Arial" w:cs="Arial"/>
        </w:rPr>
        <w:tab/>
        <w:t>From 1991</w:t>
      </w:r>
      <w:r w:rsidR="001E4357" w:rsidRPr="00555295">
        <w:rPr>
          <w:rFonts w:ascii="Arial" w:hAnsi="Arial" w:cs="Arial"/>
        </w:rPr>
        <w:t>,</w:t>
      </w:r>
      <w:r w:rsidRPr="00555295">
        <w:rPr>
          <w:rFonts w:ascii="Arial" w:hAnsi="Arial" w:cs="Arial"/>
        </w:rPr>
        <w:t xml:space="preserve"> and after his retirement, the second applica</w:t>
      </w:r>
      <w:r w:rsidR="001E4357" w:rsidRPr="00555295">
        <w:rPr>
          <w:rFonts w:ascii="Arial" w:hAnsi="Arial" w:cs="Arial"/>
        </w:rPr>
        <w:t>nt’s father</w:t>
      </w:r>
      <w:r w:rsidR="00D14D16">
        <w:rPr>
          <w:rFonts w:ascii="Arial" w:hAnsi="Arial" w:cs="Arial"/>
        </w:rPr>
        <w:t xml:space="preserve"> (and first applicant’s brother) </w:t>
      </w:r>
      <w:r w:rsidR="001E4357" w:rsidRPr="00555295">
        <w:rPr>
          <w:rFonts w:ascii="Arial" w:hAnsi="Arial" w:cs="Arial"/>
        </w:rPr>
        <w:t>-</w:t>
      </w:r>
      <w:r w:rsidRPr="00555295">
        <w:rPr>
          <w:rFonts w:ascii="Arial" w:hAnsi="Arial" w:cs="Arial"/>
        </w:rPr>
        <w:t>Hermanus Christiaan Michiel Geldenhuys was given permiss</w:t>
      </w:r>
      <w:r w:rsidR="001E4357" w:rsidRPr="00555295">
        <w:rPr>
          <w:rFonts w:ascii="Arial" w:hAnsi="Arial" w:cs="Arial"/>
        </w:rPr>
        <w:t>ion by the co-owners to utilise</w:t>
      </w:r>
      <w:r w:rsidRPr="00555295">
        <w:rPr>
          <w:rFonts w:ascii="Arial" w:hAnsi="Arial" w:cs="Arial"/>
        </w:rPr>
        <w:t xml:space="preserve"> the farms to graze livestock, free of</w:t>
      </w:r>
      <w:r w:rsidR="001E4357" w:rsidRPr="00555295">
        <w:rPr>
          <w:rFonts w:ascii="Arial" w:hAnsi="Arial" w:cs="Arial"/>
        </w:rPr>
        <w:t xml:space="preserve"> rent, on condition that he would</w:t>
      </w:r>
      <w:r w:rsidRPr="00555295">
        <w:rPr>
          <w:rFonts w:ascii="Arial" w:hAnsi="Arial" w:cs="Arial"/>
        </w:rPr>
        <w:t xml:space="preserve"> be responsible for </w:t>
      </w:r>
      <w:r w:rsidR="001E4357" w:rsidRPr="00555295">
        <w:rPr>
          <w:rFonts w:ascii="Arial" w:hAnsi="Arial" w:cs="Arial"/>
        </w:rPr>
        <w:t xml:space="preserve">the </w:t>
      </w:r>
      <w:r w:rsidRPr="00555295">
        <w:rPr>
          <w:rFonts w:ascii="Arial" w:hAnsi="Arial" w:cs="Arial"/>
        </w:rPr>
        <w:t>upkeep and maintenance of the farms, as well as municipal rate</w:t>
      </w:r>
      <w:r w:rsidR="007F21FF" w:rsidRPr="00555295">
        <w:rPr>
          <w:rFonts w:ascii="Arial" w:hAnsi="Arial" w:cs="Arial"/>
        </w:rPr>
        <w:t>s</w:t>
      </w:r>
      <w:r w:rsidRPr="00555295">
        <w:rPr>
          <w:rFonts w:ascii="Arial" w:hAnsi="Arial" w:cs="Arial"/>
        </w:rPr>
        <w:t xml:space="preserve"> and taxes. He utilised the farms until </w:t>
      </w:r>
      <w:r w:rsidR="00E97817" w:rsidRPr="00555295">
        <w:rPr>
          <w:rFonts w:ascii="Arial" w:hAnsi="Arial" w:cs="Arial"/>
        </w:rPr>
        <w:t>his death in December 2012.</w:t>
      </w:r>
      <w:r w:rsidR="00552C21" w:rsidRPr="00555295">
        <w:rPr>
          <w:rFonts w:ascii="Arial" w:hAnsi="Arial" w:cs="Arial"/>
        </w:rPr>
        <w:t xml:space="preserve"> His undivided share in the farms was bequeathed to his daughters, the second applicant and her sister, Lizelle Geldenhuys.</w:t>
      </w:r>
    </w:p>
    <w:p w:rsidR="007F21FF" w:rsidRPr="00555295" w:rsidRDefault="007F21FF" w:rsidP="00555295">
      <w:pPr>
        <w:spacing w:line="360" w:lineRule="auto"/>
        <w:jc w:val="both"/>
        <w:rPr>
          <w:rFonts w:ascii="Arial" w:hAnsi="Arial" w:cs="Arial"/>
        </w:rPr>
      </w:pPr>
    </w:p>
    <w:p w:rsidR="00491F24" w:rsidRDefault="006F16DD" w:rsidP="00555295">
      <w:pPr>
        <w:spacing w:line="360" w:lineRule="auto"/>
        <w:jc w:val="both"/>
        <w:rPr>
          <w:rFonts w:ascii="Arial" w:hAnsi="Arial" w:cs="Arial"/>
        </w:rPr>
      </w:pPr>
      <w:r w:rsidRPr="00555295">
        <w:rPr>
          <w:rFonts w:ascii="Arial" w:hAnsi="Arial" w:cs="Arial"/>
        </w:rPr>
        <w:lastRenderedPageBreak/>
        <w:t>[15]</w:t>
      </w:r>
      <w:r w:rsidRPr="00555295">
        <w:rPr>
          <w:rFonts w:ascii="Arial" w:hAnsi="Arial" w:cs="Arial"/>
        </w:rPr>
        <w:tab/>
        <w:t>The second applicant was appointed as the executrix of her fathe</w:t>
      </w:r>
      <w:r w:rsidR="007F21FF" w:rsidRPr="00555295">
        <w:rPr>
          <w:rFonts w:ascii="Arial" w:hAnsi="Arial" w:cs="Arial"/>
        </w:rPr>
        <w:t>r’s estate</w:t>
      </w:r>
      <w:r w:rsidR="004830BA">
        <w:rPr>
          <w:rFonts w:ascii="Arial" w:hAnsi="Arial" w:cs="Arial"/>
        </w:rPr>
        <w:t>.</w:t>
      </w:r>
      <w:r w:rsidR="004830BA">
        <w:rPr>
          <w:rStyle w:val="FootnoteReference"/>
          <w:rFonts w:ascii="Arial" w:hAnsi="Arial" w:cs="Arial"/>
        </w:rPr>
        <w:footnoteReference w:id="9"/>
      </w:r>
      <w:r w:rsidRPr="00555295">
        <w:rPr>
          <w:rFonts w:ascii="Arial" w:hAnsi="Arial" w:cs="Arial"/>
        </w:rPr>
        <w:t xml:space="preserve"> It appears that </w:t>
      </w:r>
      <w:r w:rsidR="007F21FF" w:rsidRPr="00555295">
        <w:rPr>
          <w:rFonts w:ascii="Arial" w:hAnsi="Arial" w:cs="Arial"/>
        </w:rPr>
        <w:t>a final liquidation</w:t>
      </w:r>
      <w:r w:rsidRPr="00555295">
        <w:rPr>
          <w:rFonts w:ascii="Arial" w:hAnsi="Arial" w:cs="Arial"/>
        </w:rPr>
        <w:t xml:space="preserve"> and distribution account was prepared </w:t>
      </w:r>
      <w:r w:rsidR="00EA616E" w:rsidRPr="00555295">
        <w:rPr>
          <w:rFonts w:ascii="Arial" w:hAnsi="Arial" w:cs="Arial"/>
        </w:rPr>
        <w:t>in respect of his estate but the estate has not yet been finally distributed</w:t>
      </w:r>
      <w:r w:rsidR="0040697F">
        <w:rPr>
          <w:rFonts w:ascii="Arial" w:hAnsi="Arial" w:cs="Arial"/>
        </w:rPr>
        <w:t>.</w:t>
      </w:r>
      <w:r w:rsidR="0040697F">
        <w:rPr>
          <w:rStyle w:val="FootnoteReference"/>
          <w:rFonts w:ascii="Arial" w:hAnsi="Arial" w:cs="Arial"/>
        </w:rPr>
        <w:footnoteReference w:id="10"/>
      </w:r>
    </w:p>
    <w:p w:rsidR="00B32813" w:rsidRPr="00555295" w:rsidRDefault="00B32813" w:rsidP="00555295">
      <w:pPr>
        <w:spacing w:line="360" w:lineRule="auto"/>
        <w:jc w:val="both"/>
        <w:rPr>
          <w:rFonts w:ascii="Arial" w:hAnsi="Arial" w:cs="Arial"/>
        </w:rPr>
      </w:pPr>
    </w:p>
    <w:p w:rsidR="00EA616E" w:rsidRDefault="00EA616E" w:rsidP="00555295">
      <w:pPr>
        <w:spacing w:line="360" w:lineRule="auto"/>
        <w:jc w:val="both"/>
        <w:rPr>
          <w:rFonts w:ascii="Arial" w:hAnsi="Arial" w:cs="Arial"/>
        </w:rPr>
      </w:pPr>
      <w:r w:rsidRPr="00555295">
        <w:rPr>
          <w:rFonts w:ascii="Arial" w:hAnsi="Arial" w:cs="Arial"/>
        </w:rPr>
        <w:t>[16]</w:t>
      </w:r>
      <w:r w:rsidRPr="00555295">
        <w:rPr>
          <w:rFonts w:ascii="Arial" w:hAnsi="Arial" w:cs="Arial"/>
        </w:rPr>
        <w:tab/>
      </w:r>
      <w:r w:rsidR="002F2786" w:rsidRPr="00555295">
        <w:rPr>
          <w:rFonts w:ascii="Arial" w:hAnsi="Arial" w:cs="Arial"/>
        </w:rPr>
        <w:t>After the demise</w:t>
      </w:r>
      <w:r w:rsidR="00DC5115" w:rsidRPr="00555295">
        <w:rPr>
          <w:rFonts w:ascii="Arial" w:hAnsi="Arial" w:cs="Arial"/>
        </w:rPr>
        <w:t xml:space="preserve"> of the</w:t>
      </w:r>
      <w:r w:rsidR="00C67E07">
        <w:rPr>
          <w:rFonts w:ascii="Arial" w:hAnsi="Arial" w:cs="Arial"/>
        </w:rPr>
        <w:t xml:space="preserve"> first applicant’s brother</w:t>
      </w:r>
      <w:r w:rsidR="00DC5115" w:rsidRPr="00555295">
        <w:rPr>
          <w:rFonts w:ascii="Arial" w:hAnsi="Arial" w:cs="Arial"/>
        </w:rPr>
        <w:t xml:space="preserve">, two of the first applicant’s great-nephews, Herman Geldenhuys and Paul Geldenhuys and </w:t>
      </w:r>
      <w:r w:rsidR="00C67E07">
        <w:rPr>
          <w:rFonts w:ascii="Arial" w:hAnsi="Arial" w:cs="Arial"/>
        </w:rPr>
        <w:t>her</w:t>
      </w:r>
      <w:r w:rsidR="00DC5115" w:rsidRPr="00555295">
        <w:rPr>
          <w:rFonts w:ascii="Arial" w:hAnsi="Arial" w:cs="Arial"/>
        </w:rPr>
        <w:t xml:space="preserve"> son, Phillipus Jurie Wynand Fourie (Flippie), asked permission from the first applicant to utilise the farm</w:t>
      </w:r>
      <w:r w:rsidR="002F2786" w:rsidRPr="00555295">
        <w:rPr>
          <w:rFonts w:ascii="Arial" w:hAnsi="Arial" w:cs="Arial"/>
        </w:rPr>
        <w:t>s to graze cattle</w:t>
      </w:r>
      <w:r w:rsidR="00DC5115" w:rsidRPr="00555295">
        <w:rPr>
          <w:rFonts w:ascii="Arial" w:hAnsi="Arial" w:cs="Arial"/>
        </w:rPr>
        <w:t>. At the time</w:t>
      </w:r>
      <w:r w:rsidR="002F2786" w:rsidRPr="00555295">
        <w:rPr>
          <w:rFonts w:ascii="Arial" w:hAnsi="Arial" w:cs="Arial"/>
        </w:rPr>
        <w:t>,</w:t>
      </w:r>
      <w:r w:rsidR="00DC5115" w:rsidRPr="00555295">
        <w:rPr>
          <w:rFonts w:ascii="Arial" w:hAnsi="Arial" w:cs="Arial"/>
        </w:rPr>
        <w:t xml:space="preserve"> the first applicant was the only surviving co-owner. The first applicant gave them permission to utilise the farms on condition that they would be responsible for </w:t>
      </w:r>
      <w:r w:rsidR="00DD01D2">
        <w:rPr>
          <w:rFonts w:ascii="Arial" w:hAnsi="Arial" w:cs="Arial"/>
        </w:rPr>
        <w:t xml:space="preserve">its </w:t>
      </w:r>
      <w:r w:rsidR="00DC5115" w:rsidRPr="00555295">
        <w:rPr>
          <w:rFonts w:ascii="Arial" w:hAnsi="Arial" w:cs="Arial"/>
        </w:rPr>
        <w:t>upkeep and maintenance</w:t>
      </w:r>
      <w:r w:rsidR="002F2786" w:rsidRPr="00555295">
        <w:rPr>
          <w:rFonts w:ascii="Arial" w:hAnsi="Arial" w:cs="Arial"/>
        </w:rPr>
        <w:t>,</w:t>
      </w:r>
      <w:r w:rsidR="00DC5115" w:rsidRPr="00555295">
        <w:rPr>
          <w:rFonts w:ascii="Arial" w:hAnsi="Arial" w:cs="Arial"/>
        </w:rPr>
        <w:t xml:space="preserve"> as well as municipal rate</w:t>
      </w:r>
      <w:r w:rsidR="002F2786" w:rsidRPr="00555295">
        <w:rPr>
          <w:rFonts w:ascii="Arial" w:hAnsi="Arial" w:cs="Arial"/>
        </w:rPr>
        <w:t>s</w:t>
      </w:r>
      <w:r w:rsidR="00DC5115" w:rsidRPr="00555295">
        <w:rPr>
          <w:rFonts w:ascii="Arial" w:hAnsi="Arial" w:cs="Arial"/>
        </w:rPr>
        <w:t xml:space="preserve"> and taxes.</w:t>
      </w:r>
    </w:p>
    <w:p w:rsidR="00E8307B" w:rsidRPr="00555295" w:rsidRDefault="00E8307B" w:rsidP="00555295">
      <w:pPr>
        <w:spacing w:line="360" w:lineRule="auto"/>
        <w:jc w:val="both"/>
        <w:rPr>
          <w:rFonts w:ascii="Arial" w:hAnsi="Arial" w:cs="Arial"/>
        </w:rPr>
      </w:pPr>
    </w:p>
    <w:p w:rsidR="005B1BCE" w:rsidRDefault="00C3214A" w:rsidP="00555295">
      <w:pPr>
        <w:spacing w:line="360" w:lineRule="auto"/>
        <w:jc w:val="both"/>
        <w:rPr>
          <w:rFonts w:ascii="Arial" w:hAnsi="Arial" w:cs="Arial"/>
        </w:rPr>
      </w:pPr>
      <w:r w:rsidRPr="00555295">
        <w:rPr>
          <w:rFonts w:ascii="Arial" w:hAnsi="Arial" w:cs="Arial"/>
        </w:rPr>
        <w:t>[17]</w:t>
      </w:r>
      <w:r w:rsidRPr="00555295">
        <w:rPr>
          <w:rFonts w:ascii="Arial" w:hAnsi="Arial" w:cs="Arial"/>
        </w:rPr>
        <w:tab/>
      </w:r>
      <w:r w:rsidR="00560362" w:rsidRPr="00555295">
        <w:rPr>
          <w:rFonts w:ascii="Arial" w:hAnsi="Arial" w:cs="Arial"/>
        </w:rPr>
        <w:t>F</w:t>
      </w:r>
      <w:r w:rsidR="002F2786" w:rsidRPr="00555295">
        <w:rPr>
          <w:rFonts w:ascii="Arial" w:hAnsi="Arial" w:cs="Arial"/>
        </w:rPr>
        <w:t>rom 2012 they have grazed cattle</w:t>
      </w:r>
      <w:r w:rsidR="00560362" w:rsidRPr="00555295">
        <w:rPr>
          <w:rFonts w:ascii="Arial" w:hAnsi="Arial" w:cs="Arial"/>
        </w:rPr>
        <w:t xml:space="preserve"> on the farms, using part of the farms for summer grazing, and the other parts for winter grazing. It appears </w:t>
      </w:r>
      <w:r w:rsidR="008F5FFD">
        <w:rPr>
          <w:rFonts w:ascii="Arial" w:hAnsi="Arial" w:cs="Arial"/>
        </w:rPr>
        <w:t xml:space="preserve">that </w:t>
      </w:r>
      <w:r w:rsidR="00560362" w:rsidRPr="00555295">
        <w:rPr>
          <w:rFonts w:ascii="Arial" w:hAnsi="Arial" w:cs="Arial"/>
        </w:rPr>
        <w:t xml:space="preserve">they do not reside on the farms but they have farm labourers who do, who also keep livestock on the farms. </w:t>
      </w:r>
    </w:p>
    <w:p w:rsidR="00442544" w:rsidRPr="00555295" w:rsidRDefault="00442544" w:rsidP="00555295">
      <w:pPr>
        <w:spacing w:line="360" w:lineRule="auto"/>
        <w:jc w:val="both"/>
        <w:rPr>
          <w:rFonts w:ascii="Arial" w:hAnsi="Arial" w:cs="Arial"/>
        </w:rPr>
      </w:pPr>
    </w:p>
    <w:p w:rsidR="00C46E62" w:rsidRPr="00555295" w:rsidRDefault="0036704D" w:rsidP="00555295">
      <w:pPr>
        <w:spacing w:line="360" w:lineRule="auto"/>
        <w:jc w:val="both"/>
        <w:rPr>
          <w:rFonts w:ascii="Arial" w:hAnsi="Arial" w:cs="Arial"/>
        </w:rPr>
      </w:pPr>
      <w:r w:rsidRPr="00555295">
        <w:rPr>
          <w:rFonts w:ascii="Arial" w:hAnsi="Arial" w:cs="Arial"/>
        </w:rPr>
        <w:t>[18</w:t>
      </w:r>
      <w:r w:rsidR="002F2786" w:rsidRPr="00555295">
        <w:rPr>
          <w:rFonts w:ascii="Arial" w:hAnsi="Arial" w:cs="Arial"/>
        </w:rPr>
        <w:t>]</w:t>
      </w:r>
      <w:r w:rsidR="002F2786" w:rsidRPr="00555295">
        <w:rPr>
          <w:rFonts w:ascii="Arial" w:hAnsi="Arial" w:cs="Arial"/>
        </w:rPr>
        <w:tab/>
        <w:t>On 11 March 20</w:t>
      </w:r>
      <w:r w:rsidR="008F5FFD">
        <w:rPr>
          <w:rFonts w:ascii="Arial" w:hAnsi="Arial" w:cs="Arial"/>
        </w:rPr>
        <w:t>20</w:t>
      </w:r>
      <w:r w:rsidR="00276A98" w:rsidRPr="00555295">
        <w:rPr>
          <w:rFonts w:ascii="Arial" w:hAnsi="Arial" w:cs="Arial"/>
        </w:rPr>
        <w:t>,</w:t>
      </w:r>
      <w:r w:rsidRPr="00555295">
        <w:rPr>
          <w:rFonts w:ascii="Arial" w:hAnsi="Arial" w:cs="Arial"/>
        </w:rPr>
        <w:t xml:space="preserve"> a certain Zelda Strauss </w:t>
      </w:r>
      <w:r w:rsidR="002F2786" w:rsidRPr="00555295">
        <w:rPr>
          <w:rFonts w:ascii="Arial" w:hAnsi="Arial" w:cs="Arial"/>
        </w:rPr>
        <w:t>(</w:t>
      </w:r>
      <w:r w:rsidRPr="00555295">
        <w:rPr>
          <w:rFonts w:ascii="Arial" w:hAnsi="Arial" w:cs="Arial"/>
        </w:rPr>
        <w:t>“Strauss”</w:t>
      </w:r>
      <w:r w:rsidR="002F2786" w:rsidRPr="00555295">
        <w:rPr>
          <w:rFonts w:ascii="Arial" w:hAnsi="Arial" w:cs="Arial"/>
        </w:rPr>
        <w:t>)</w:t>
      </w:r>
      <w:r w:rsidRPr="00555295">
        <w:rPr>
          <w:rFonts w:ascii="Arial" w:hAnsi="Arial" w:cs="Arial"/>
        </w:rPr>
        <w:t xml:space="preserve"> from </w:t>
      </w:r>
      <w:r w:rsidR="005D66B0">
        <w:rPr>
          <w:rFonts w:ascii="Arial" w:hAnsi="Arial" w:cs="Arial"/>
        </w:rPr>
        <w:t xml:space="preserve">a </w:t>
      </w:r>
      <w:r w:rsidRPr="00555295">
        <w:rPr>
          <w:rFonts w:ascii="Arial" w:hAnsi="Arial" w:cs="Arial"/>
        </w:rPr>
        <w:t>company c</w:t>
      </w:r>
      <w:r w:rsidR="002F2786" w:rsidRPr="00555295">
        <w:rPr>
          <w:rFonts w:ascii="Arial" w:hAnsi="Arial" w:cs="Arial"/>
        </w:rPr>
        <w:t>alled Mulilo Renewable Project D</w:t>
      </w:r>
      <w:r w:rsidRPr="00555295">
        <w:rPr>
          <w:rFonts w:ascii="Arial" w:hAnsi="Arial" w:cs="Arial"/>
        </w:rPr>
        <w:t>evelopments (</w:t>
      </w:r>
      <w:r w:rsidR="008F5FFD">
        <w:rPr>
          <w:rFonts w:ascii="Arial" w:hAnsi="Arial" w:cs="Arial"/>
        </w:rPr>
        <w:t>“</w:t>
      </w:r>
      <w:r w:rsidRPr="00555295">
        <w:rPr>
          <w:rFonts w:ascii="Arial" w:hAnsi="Arial" w:cs="Arial"/>
        </w:rPr>
        <w:t>Mulilo</w:t>
      </w:r>
      <w:r w:rsidR="008F5FFD">
        <w:rPr>
          <w:rFonts w:ascii="Arial" w:hAnsi="Arial" w:cs="Arial"/>
        </w:rPr>
        <w:t>”</w:t>
      </w:r>
      <w:r w:rsidRPr="00555295">
        <w:rPr>
          <w:rFonts w:ascii="Arial" w:hAnsi="Arial" w:cs="Arial"/>
        </w:rPr>
        <w:t xml:space="preserve">) made enquiries </w:t>
      </w:r>
      <w:r w:rsidRPr="00A25CCD">
        <w:rPr>
          <w:rFonts w:ascii="Arial" w:hAnsi="Arial" w:cs="Arial"/>
        </w:rPr>
        <w:t>from Paul Neethling</w:t>
      </w:r>
      <w:r w:rsidR="002F2786" w:rsidRPr="00A25CCD">
        <w:rPr>
          <w:rFonts w:ascii="Arial" w:hAnsi="Arial" w:cs="Arial"/>
        </w:rPr>
        <w:t>,</w:t>
      </w:r>
      <w:r w:rsidRPr="00555295">
        <w:rPr>
          <w:rFonts w:ascii="Arial" w:hAnsi="Arial" w:cs="Arial"/>
        </w:rPr>
        <w:t xml:space="preserve"> an atto</w:t>
      </w:r>
      <w:r w:rsidR="002F2786" w:rsidRPr="00555295">
        <w:rPr>
          <w:rFonts w:ascii="Arial" w:hAnsi="Arial" w:cs="Arial"/>
        </w:rPr>
        <w:t>rney in Memel, if he knew who</w:t>
      </w:r>
      <w:r w:rsidRPr="00555295">
        <w:rPr>
          <w:rFonts w:ascii="Arial" w:hAnsi="Arial" w:cs="Arial"/>
        </w:rPr>
        <w:t xml:space="preserve"> the owners of the farm Moeders Rus were, because the company was interested in erecting wind turbines on the farm to generate and sell electricity. Strauss was then referred to a company in Newcastle called Ni-Da Transport</w:t>
      </w:r>
      <w:r w:rsidR="00A25CCD">
        <w:rPr>
          <w:rFonts w:ascii="Arial" w:hAnsi="Arial" w:cs="Arial"/>
        </w:rPr>
        <w:t xml:space="preserve"> (</w:t>
      </w:r>
      <w:r w:rsidR="005D66B0">
        <w:rPr>
          <w:rFonts w:ascii="Arial" w:hAnsi="Arial" w:cs="Arial"/>
        </w:rPr>
        <w:t>“</w:t>
      </w:r>
      <w:r w:rsidR="00A25CCD">
        <w:rPr>
          <w:rFonts w:ascii="Arial" w:hAnsi="Arial" w:cs="Arial"/>
        </w:rPr>
        <w:t>Ni-Da</w:t>
      </w:r>
      <w:r w:rsidR="005D66B0">
        <w:rPr>
          <w:rFonts w:ascii="Arial" w:hAnsi="Arial" w:cs="Arial"/>
        </w:rPr>
        <w:t>”</w:t>
      </w:r>
      <w:r w:rsidR="00A25CCD">
        <w:rPr>
          <w:rFonts w:ascii="Arial" w:hAnsi="Arial" w:cs="Arial"/>
        </w:rPr>
        <w:t>)</w:t>
      </w:r>
      <w:r w:rsidRPr="00555295">
        <w:rPr>
          <w:rFonts w:ascii="Arial" w:hAnsi="Arial" w:cs="Arial"/>
        </w:rPr>
        <w:t>.</w:t>
      </w:r>
    </w:p>
    <w:p w:rsidR="002F2786" w:rsidRPr="00555295" w:rsidRDefault="002F2786" w:rsidP="00555295">
      <w:pPr>
        <w:spacing w:line="360" w:lineRule="auto"/>
        <w:jc w:val="both"/>
        <w:rPr>
          <w:rFonts w:ascii="Arial" w:hAnsi="Arial" w:cs="Arial"/>
        </w:rPr>
      </w:pPr>
    </w:p>
    <w:p w:rsidR="0051294D" w:rsidRPr="00555295" w:rsidRDefault="00C46E62" w:rsidP="00555295">
      <w:pPr>
        <w:spacing w:line="360" w:lineRule="auto"/>
        <w:jc w:val="both"/>
        <w:rPr>
          <w:rFonts w:ascii="Arial" w:hAnsi="Arial" w:cs="Arial"/>
        </w:rPr>
      </w:pPr>
      <w:r w:rsidRPr="00555295">
        <w:rPr>
          <w:rFonts w:ascii="Arial" w:hAnsi="Arial" w:cs="Arial"/>
        </w:rPr>
        <w:t>[19]</w:t>
      </w:r>
      <w:r w:rsidRPr="00555295">
        <w:rPr>
          <w:rFonts w:ascii="Arial" w:hAnsi="Arial" w:cs="Arial"/>
        </w:rPr>
        <w:tab/>
        <w:t>I</w:t>
      </w:r>
      <w:r w:rsidR="002F2786" w:rsidRPr="00555295">
        <w:rPr>
          <w:rFonts w:ascii="Arial" w:hAnsi="Arial" w:cs="Arial"/>
        </w:rPr>
        <w:t>t</w:t>
      </w:r>
      <w:r w:rsidRPr="00555295">
        <w:rPr>
          <w:rFonts w:ascii="Arial" w:hAnsi="Arial" w:cs="Arial"/>
        </w:rPr>
        <w:t xml:space="preserve"> appear</w:t>
      </w:r>
      <w:r w:rsidR="002F2786" w:rsidRPr="00555295">
        <w:rPr>
          <w:rFonts w:ascii="Arial" w:hAnsi="Arial" w:cs="Arial"/>
        </w:rPr>
        <w:t>s</w:t>
      </w:r>
      <w:r w:rsidRPr="00555295">
        <w:rPr>
          <w:rFonts w:ascii="Arial" w:hAnsi="Arial" w:cs="Arial"/>
        </w:rPr>
        <w:t xml:space="preserve"> the proprietor of Ni-Da was well acquainted with the residents of Newcastle and </w:t>
      </w:r>
      <w:r w:rsidR="002F2786" w:rsidRPr="00555295">
        <w:rPr>
          <w:rFonts w:ascii="Arial" w:hAnsi="Arial" w:cs="Arial"/>
        </w:rPr>
        <w:t>it was believe</w:t>
      </w:r>
      <w:r w:rsidR="00CE2895" w:rsidRPr="00555295">
        <w:rPr>
          <w:rFonts w:ascii="Arial" w:hAnsi="Arial" w:cs="Arial"/>
        </w:rPr>
        <w:t>d</w:t>
      </w:r>
      <w:r w:rsidRPr="00555295">
        <w:rPr>
          <w:rFonts w:ascii="Arial" w:hAnsi="Arial" w:cs="Arial"/>
        </w:rPr>
        <w:t xml:space="preserve"> </w:t>
      </w:r>
      <w:r w:rsidR="002F2786" w:rsidRPr="00555295">
        <w:rPr>
          <w:rFonts w:ascii="Arial" w:hAnsi="Arial" w:cs="Arial"/>
        </w:rPr>
        <w:t>that h</w:t>
      </w:r>
      <w:r w:rsidRPr="00555295">
        <w:rPr>
          <w:rFonts w:ascii="Arial" w:hAnsi="Arial" w:cs="Arial"/>
        </w:rPr>
        <w:t xml:space="preserve">e might know who the owners were. Indeed, Strauss was then referred to one of the first </w:t>
      </w:r>
      <w:r w:rsidR="0023291D" w:rsidRPr="00555295">
        <w:rPr>
          <w:rFonts w:ascii="Arial" w:hAnsi="Arial" w:cs="Arial"/>
        </w:rPr>
        <w:t xml:space="preserve">applicant’s nieces, Gerda Greyvenstein </w:t>
      </w:r>
      <w:r w:rsidR="002F2786" w:rsidRPr="00555295">
        <w:rPr>
          <w:rFonts w:ascii="Arial" w:hAnsi="Arial" w:cs="Arial"/>
        </w:rPr>
        <w:t>(</w:t>
      </w:r>
      <w:r w:rsidR="0023291D" w:rsidRPr="00555295">
        <w:rPr>
          <w:rFonts w:ascii="Arial" w:hAnsi="Arial" w:cs="Arial"/>
        </w:rPr>
        <w:t>“Greyvenstei</w:t>
      </w:r>
      <w:r w:rsidR="002F2786" w:rsidRPr="00555295">
        <w:rPr>
          <w:rFonts w:ascii="Arial" w:hAnsi="Arial" w:cs="Arial"/>
        </w:rPr>
        <w:t>n”)</w:t>
      </w:r>
      <w:r w:rsidR="008F5FFD">
        <w:rPr>
          <w:rFonts w:ascii="Arial" w:hAnsi="Arial" w:cs="Arial"/>
        </w:rPr>
        <w:t>,</w:t>
      </w:r>
      <w:r w:rsidR="002F2786" w:rsidRPr="00555295">
        <w:rPr>
          <w:rFonts w:ascii="Arial" w:hAnsi="Arial" w:cs="Arial"/>
        </w:rPr>
        <w:t xml:space="preserve"> </w:t>
      </w:r>
      <w:r w:rsidR="0023291D" w:rsidRPr="00555295">
        <w:rPr>
          <w:rFonts w:ascii="Arial" w:hAnsi="Arial" w:cs="Arial"/>
        </w:rPr>
        <w:t xml:space="preserve">who is the daughter of Gert Stephanus Kok, and who lives in Newcastle. </w:t>
      </w:r>
    </w:p>
    <w:p w:rsidR="00857DE0" w:rsidRPr="00555295" w:rsidRDefault="00857DE0" w:rsidP="00555295">
      <w:pPr>
        <w:spacing w:line="360" w:lineRule="auto"/>
        <w:jc w:val="both"/>
        <w:rPr>
          <w:rFonts w:ascii="Arial" w:hAnsi="Arial" w:cs="Arial"/>
        </w:rPr>
      </w:pPr>
    </w:p>
    <w:p w:rsidR="0006365C" w:rsidRPr="00555295" w:rsidRDefault="0006365C" w:rsidP="00555295">
      <w:pPr>
        <w:spacing w:line="360" w:lineRule="auto"/>
        <w:jc w:val="both"/>
        <w:rPr>
          <w:rFonts w:ascii="Arial" w:hAnsi="Arial" w:cs="Arial"/>
        </w:rPr>
      </w:pPr>
      <w:r w:rsidRPr="00555295">
        <w:rPr>
          <w:rFonts w:ascii="Arial" w:hAnsi="Arial" w:cs="Arial"/>
        </w:rPr>
        <w:t>[20]</w:t>
      </w:r>
      <w:r w:rsidRPr="00555295">
        <w:rPr>
          <w:rFonts w:ascii="Arial" w:hAnsi="Arial" w:cs="Arial"/>
        </w:rPr>
        <w:tab/>
      </w:r>
      <w:r w:rsidR="0030514A" w:rsidRPr="00555295">
        <w:rPr>
          <w:rFonts w:ascii="Arial" w:hAnsi="Arial" w:cs="Arial"/>
        </w:rPr>
        <w:t xml:space="preserve">It appears that </w:t>
      </w:r>
      <w:r w:rsidRPr="00555295">
        <w:rPr>
          <w:rFonts w:ascii="Arial" w:hAnsi="Arial" w:cs="Arial"/>
        </w:rPr>
        <w:t>Strauss then explain</w:t>
      </w:r>
      <w:r w:rsidR="0030514A" w:rsidRPr="00555295">
        <w:rPr>
          <w:rFonts w:ascii="Arial" w:hAnsi="Arial" w:cs="Arial"/>
        </w:rPr>
        <w:t>ed</w:t>
      </w:r>
      <w:r w:rsidRPr="00555295">
        <w:rPr>
          <w:rFonts w:ascii="Arial" w:hAnsi="Arial" w:cs="Arial"/>
        </w:rPr>
        <w:t xml:space="preserve"> to </w:t>
      </w:r>
      <w:r w:rsidR="005D66B0" w:rsidRPr="00555295">
        <w:rPr>
          <w:rFonts w:ascii="Arial" w:hAnsi="Arial" w:cs="Arial"/>
        </w:rPr>
        <w:t>Greyvenstein</w:t>
      </w:r>
      <w:r w:rsidRPr="00555295">
        <w:rPr>
          <w:rFonts w:ascii="Arial" w:hAnsi="Arial" w:cs="Arial"/>
        </w:rPr>
        <w:t xml:space="preserve"> that she was looking for the owners of the farm Moeders Rus and that </w:t>
      </w:r>
      <w:r w:rsidR="002923F6" w:rsidRPr="00555295">
        <w:rPr>
          <w:rFonts w:ascii="Arial" w:hAnsi="Arial" w:cs="Arial"/>
        </w:rPr>
        <w:t>Mulilo</w:t>
      </w:r>
      <w:r w:rsidR="002923F6" w:rsidRPr="00555295" w:rsidDel="002923F6">
        <w:rPr>
          <w:rFonts w:ascii="Arial" w:hAnsi="Arial" w:cs="Arial"/>
        </w:rPr>
        <w:t xml:space="preserve"> </w:t>
      </w:r>
      <w:r w:rsidR="0030514A" w:rsidRPr="00555295">
        <w:rPr>
          <w:rFonts w:ascii="Arial" w:hAnsi="Arial" w:cs="Arial"/>
        </w:rPr>
        <w:t>was interested in erecting wind</w:t>
      </w:r>
      <w:r w:rsidRPr="00555295">
        <w:rPr>
          <w:rFonts w:ascii="Arial" w:hAnsi="Arial" w:cs="Arial"/>
        </w:rPr>
        <w:t xml:space="preserve"> turbines </w:t>
      </w:r>
      <w:r w:rsidRPr="00555295">
        <w:rPr>
          <w:rFonts w:ascii="Arial" w:hAnsi="Arial" w:cs="Arial"/>
        </w:rPr>
        <w:lastRenderedPageBreak/>
        <w:t xml:space="preserve">on the farm. </w:t>
      </w:r>
      <w:r w:rsidR="00207BF3" w:rsidRPr="00555295">
        <w:rPr>
          <w:rFonts w:ascii="Arial" w:hAnsi="Arial" w:cs="Arial"/>
        </w:rPr>
        <w:t xml:space="preserve">It seems </w:t>
      </w:r>
      <w:r w:rsidRPr="00555295">
        <w:rPr>
          <w:rFonts w:ascii="Arial" w:hAnsi="Arial" w:cs="Arial"/>
        </w:rPr>
        <w:t xml:space="preserve">Greyvenstein referred Strauss to the first applicant’s </w:t>
      </w:r>
      <w:r w:rsidR="00207BF3" w:rsidRPr="00555295">
        <w:rPr>
          <w:rFonts w:ascii="Arial" w:hAnsi="Arial" w:cs="Arial"/>
        </w:rPr>
        <w:t>nephew, who in turn</w:t>
      </w:r>
      <w:r w:rsidRPr="00555295">
        <w:rPr>
          <w:rFonts w:ascii="Arial" w:hAnsi="Arial" w:cs="Arial"/>
        </w:rPr>
        <w:t xml:space="preserve"> referred Strauss to Flippie.</w:t>
      </w:r>
    </w:p>
    <w:p w:rsidR="00207BF3" w:rsidRPr="00555295" w:rsidRDefault="00207BF3" w:rsidP="00555295">
      <w:pPr>
        <w:spacing w:line="360" w:lineRule="auto"/>
        <w:jc w:val="both"/>
        <w:rPr>
          <w:rFonts w:ascii="Arial" w:hAnsi="Arial" w:cs="Arial"/>
        </w:rPr>
      </w:pPr>
    </w:p>
    <w:p w:rsidR="0006365C" w:rsidRPr="00555295" w:rsidRDefault="00244360" w:rsidP="00555295">
      <w:pPr>
        <w:spacing w:line="360" w:lineRule="auto"/>
        <w:jc w:val="both"/>
        <w:rPr>
          <w:rFonts w:ascii="Arial" w:hAnsi="Arial" w:cs="Arial"/>
        </w:rPr>
      </w:pPr>
      <w:r w:rsidRPr="00555295">
        <w:rPr>
          <w:rFonts w:ascii="Arial" w:hAnsi="Arial" w:cs="Arial"/>
        </w:rPr>
        <w:t>[21]</w:t>
      </w:r>
      <w:r w:rsidRPr="00555295">
        <w:rPr>
          <w:rFonts w:ascii="Arial" w:hAnsi="Arial" w:cs="Arial"/>
        </w:rPr>
        <w:tab/>
        <w:t>On 13 March 2020 Strauss contact</w:t>
      </w:r>
      <w:r w:rsidR="00207BF3" w:rsidRPr="00555295">
        <w:rPr>
          <w:rFonts w:ascii="Arial" w:hAnsi="Arial" w:cs="Arial"/>
        </w:rPr>
        <w:t>e</w:t>
      </w:r>
      <w:r w:rsidR="00BB2DDD" w:rsidRPr="00555295">
        <w:rPr>
          <w:rFonts w:ascii="Arial" w:hAnsi="Arial" w:cs="Arial"/>
        </w:rPr>
        <w:t>d</w:t>
      </w:r>
      <w:r w:rsidR="00823E4A" w:rsidRPr="00555295">
        <w:rPr>
          <w:rFonts w:ascii="Arial" w:hAnsi="Arial" w:cs="Arial"/>
        </w:rPr>
        <w:t xml:space="preserve"> Flippie and explained to him about </w:t>
      </w:r>
      <w:r w:rsidR="002923F6" w:rsidRPr="00555295">
        <w:rPr>
          <w:rFonts w:ascii="Arial" w:hAnsi="Arial" w:cs="Arial"/>
        </w:rPr>
        <w:t>Mulilo</w:t>
      </w:r>
      <w:r w:rsidR="002923F6">
        <w:rPr>
          <w:rFonts w:ascii="Arial" w:hAnsi="Arial" w:cs="Arial"/>
        </w:rPr>
        <w:t>’s</w:t>
      </w:r>
      <w:r w:rsidR="002923F6" w:rsidRPr="00555295" w:rsidDel="002923F6">
        <w:rPr>
          <w:rFonts w:ascii="Arial" w:hAnsi="Arial" w:cs="Arial"/>
        </w:rPr>
        <w:t xml:space="preserve"> </w:t>
      </w:r>
      <w:r w:rsidR="00823E4A" w:rsidRPr="00555295">
        <w:rPr>
          <w:rFonts w:ascii="Arial" w:hAnsi="Arial" w:cs="Arial"/>
        </w:rPr>
        <w:t>interest to secure an option to erect</w:t>
      </w:r>
      <w:r w:rsidRPr="00555295">
        <w:rPr>
          <w:rFonts w:ascii="Arial" w:hAnsi="Arial" w:cs="Arial"/>
        </w:rPr>
        <w:t xml:space="preserve"> 30 wind turbines on the farm for which they will pay R10 000 per month, per turbine, for a period of 25 years, should the option </w:t>
      </w:r>
      <w:r w:rsidR="00207BF3" w:rsidRPr="00555295">
        <w:rPr>
          <w:rFonts w:ascii="Arial" w:hAnsi="Arial" w:cs="Arial"/>
        </w:rPr>
        <w:t xml:space="preserve">be exercised. Flippie referred Strauss </w:t>
      </w:r>
      <w:r w:rsidR="00823E4A" w:rsidRPr="00555295">
        <w:rPr>
          <w:rFonts w:ascii="Arial" w:hAnsi="Arial" w:cs="Arial"/>
        </w:rPr>
        <w:t>to</w:t>
      </w:r>
      <w:r w:rsidRPr="00555295">
        <w:rPr>
          <w:rFonts w:ascii="Arial" w:hAnsi="Arial" w:cs="Arial"/>
        </w:rPr>
        <w:t xml:space="preserve"> the second applicant. </w:t>
      </w:r>
    </w:p>
    <w:p w:rsidR="00A14317" w:rsidRPr="00555295" w:rsidRDefault="00A14317" w:rsidP="00555295">
      <w:pPr>
        <w:spacing w:line="360" w:lineRule="auto"/>
        <w:jc w:val="both"/>
        <w:rPr>
          <w:rFonts w:ascii="Arial" w:hAnsi="Arial" w:cs="Arial"/>
        </w:rPr>
      </w:pPr>
    </w:p>
    <w:p w:rsidR="00244360" w:rsidRPr="00555295" w:rsidRDefault="001968D8" w:rsidP="00555295">
      <w:pPr>
        <w:spacing w:line="360" w:lineRule="auto"/>
        <w:jc w:val="both"/>
        <w:rPr>
          <w:rFonts w:ascii="Arial" w:hAnsi="Arial" w:cs="Arial"/>
        </w:rPr>
      </w:pPr>
      <w:r w:rsidRPr="00555295">
        <w:rPr>
          <w:rFonts w:ascii="Arial" w:hAnsi="Arial" w:cs="Arial"/>
        </w:rPr>
        <w:t>[22]</w:t>
      </w:r>
      <w:r w:rsidRPr="00555295">
        <w:rPr>
          <w:rFonts w:ascii="Arial" w:hAnsi="Arial" w:cs="Arial"/>
        </w:rPr>
        <w:tab/>
        <w:t>On 17 October 2020</w:t>
      </w:r>
      <w:r w:rsidR="00110FB0" w:rsidRPr="00555295">
        <w:rPr>
          <w:rFonts w:ascii="Arial" w:hAnsi="Arial" w:cs="Arial"/>
        </w:rPr>
        <w:t>,</w:t>
      </w:r>
      <w:r w:rsidRPr="00555295">
        <w:rPr>
          <w:rFonts w:ascii="Arial" w:hAnsi="Arial" w:cs="Arial"/>
        </w:rPr>
        <w:t xml:space="preserve"> Strauss formalised </w:t>
      </w:r>
      <w:r w:rsidR="002436A5" w:rsidRPr="00555295">
        <w:rPr>
          <w:rFonts w:ascii="Arial" w:hAnsi="Arial" w:cs="Arial"/>
        </w:rPr>
        <w:t>Mulilo</w:t>
      </w:r>
      <w:r w:rsidR="002436A5">
        <w:rPr>
          <w:rFonts w:ascii="Arial" w:hAnsi="Arial" w:cs="Arial"/>
        </w:rPr>
        <w:t xml:space="preserve">’s </w:t>
      </w:r>
      <w:r w:rsidRPr="00555295">
        <w:rPr>
          <w:rFonts w:ascii="Arial" w:hAnsi="Arial" w:cs="Arial"/>
        </w:rPr>
        <w:t>proposal</w:t>
      </w:r>
      <w:r w:rsidR="00A14317" w:rsidRPr="00555295">
        <w:rPr>
          <w:rFonts w:ascii="Arial" w:hAnsi="Arial" w:cs="Arial"/>
        </w:rPr>
        <w:t>,</w:t>
      </w:r>
      <w:r w:rsidRPr="00555295">
        <w:rPr>
          <w:rFonts w:ascii="Arial" w:hAnsi="Arial" w:cs="Arial"/>
        </w:rPr>
        <w:t xml:space="preserve"> via an email sent to </w:t>
      </w:r>
      <w:r w:rsidR="002436A5">
        <w:rPr>
          <w:rFonts w:ascii="Arial" w:hAnsi="Arial" w:cs="Arial"/>
        </w:rPr>
        <w:t>the</w:t>
      </w:r>
      <w:r w:rsidRPr="00555295">
        <w:rPr>
          <w:rFonts w:ascii="Arial" w:hAnsi="Arial" w:cs="Arial"/>
        </w:rPr>
        <w:t xml:space="preserve"> second applicant</w:t>
      </w:r>
      <w:r w:rsidR="002436A5">
        <w:rPr>
          <w:rFonts w:ascii="Arial" w:hAnsi="Arial" w:cs="Arial"/>
        </w:rPr>
        <w:t>.</w:t>
      </w:r>
      <w:r w:rsidR="002436A5">
        <w:rPr>
          <w:rStyle w:val="FootnoteReference"/>
          <w:rFonts w:ascii="Arial" w:hAnsi="Arial" w:cs="Arial"/>
        </w:rPr>
        <w:footnoteReference w:id="11"/>
      </w:r>
      <w:r w:rsidRPr="00555295">
        <w:rPr>
          <w:rFonts w:ascii="Arial" w:hAnsi="Arial" w:cs="Arial"/>
        </w:rPr>
        <w:t xml:space="preserve"> </w:t>
      </w:r>
      <w:r w:rsidR="00A14317" w:rsidRPr="00555295">
        <w:rPr>
          <w:rFonts w:ascii="Arial" w:hAnsi="Arial" w:cs="Arial"/>
        </w:rPr>
        <w:t>Attached to the</w:t>
      </w:r>
      <w:r w:rsidRPr="00555295">
        <w:rPr>
          <w:rFonts w:ascii="Arial" w:hAnsi="Arial" w:cs="Arial"/>
        </w:rPr>
        <w:t xml:space="preserve"> e-mail was an option and notarial lease agreement</w:t>
      </w:r>
      <w:r w:rsidR="002436A5">
        <w:rPr>
          <w:rFonts w:ascii="Arial" w:hAnsi="Arial" w:cs="Arial"/>
        </w:rPr>
        <w:t>.</w:t>
      </w:r>
      <w:r w:rsidR="002436A5">
        <w:rPr>
          <w:rStyle w:val="FootnoteReference"/>
          <w:rFonts w:ascii="Arial" w:hAnsi="Arial" w:cs="Arial"/>
        </w:rPr>
        <w:footnoteReference w:id="12"/>
      </w:r>
    </w:p>
    <w:p w:rsidR="0079514E" w:rsidRPr="00555295" w:rsidRDefault="0079514E" w:rsidP="00555295">
      <w:pPr>
        <w:spacing w:line="360" w:lineRule="auto"/>
        <w:jc w:val="both"/>
        <w:rPr>
          <w:rFonts w:ascii="Arial" w:hAnsi="Arial" w:cs="Arial"/>
        </w:rPr>
      </w:pPr>
    </w:p>
    <w:p w:rsidR="00B60A1B" w:rsidRPr="00555295" w:rsidRDefault="00B60A1B" w:rsidP="00555295">
      <w:pPr>
        <w:spacing w:line="360" w:lineRule="auto"/>
        <w:jc w:val="both"/>
        <w:rPr>
          <w:rFonts w:ascii="Arial" w:hAnsi="Arial" w:cs="Arial"/>
        </w:rPr>
      </w:pPr>
      <w:r w:rsidRPr="00555295">
        <w:rPr>
          <w:rFonts w:ascii="Arial" w:hAnsi="Arial" w:cs="Arial"/>
        </w:rPr>
        <w:t>[23]</w:t>
      </w:r>
      <w:r w:rsidRPr="00555295">
        <w:rPr>
          <w:rFonts w:ascii="Arial" w:hAnsi="Arial" w:cs="Arial"/>
        </w:rPr>
        <w:tab/>
        <w:t>The second applicant obtained a mandate from the first applicant, and the progeny of the deceased co-owners, to negotiate the terms of the option with Mu</w:t>
      </w:r>
      <w:r w:rsidR="00EE3776" w:rsidRPr="00555295">
        <w:rPr>
          <w:rFonts w:ascii="Arial" w:hAnsi="Arial" w:cs="Arial"/>
        </w:rPr>
        <w:t>lilo. On 22 October 2020, while</w:t>
      </w:r>
      <w:r w:rsidRPr="00555295">
        <w:rPr>
          <w:rFonts w:ascii="Arial" w:hAnsi="Arial" w:cs="Arial"/>
        </w:rPr>
        <w:t xml:space="preserve"> the second applicant was still negotiating the terms of the </w:t>
      </w:r>
      <w:r w:rsidR="00EE3776" w:rsidRPr="00555295">
        <w:rPr>
          <w:rFonts w:ascii="Arial" w:hAnsi="Arial" w:cs="Arial"/>
        </w:rPr>
        <w:t xml:space="preserve">lease </w:t>
      </w:r>
      <w:r w:rsidRPr="00555295">
        <w:rPr>
          <w:rFonts w:ascii="Arial" w:hAnsi="Arial" w:cs="Arial"/>
        </w:rPr>
        <w:t xml:space="preserve">agreement, Strauss informed her that when she performed a deed search in respect of </w:t>
      </w:r>
      <w:r w:rsidR="00AE23F7">
        <w:rPr>
          <w:rFonts w:ascii="Arial" w:hAnsi="Arial" w:cs="Arial"/>
        </w:rPr>
        <w:t xml:space="preserve">the </w:t>
      </w:r>
      <w:r w:rsidRPr="00555295">
        <w:rPr>
          <w:rFonts w:ascii="Arial" w:hAnsi="Arial" w:cs="Arial"/>
        </w:rPr>
        <w:t>Moeders Rus property, she noted that the prop</w:t>
      </w:r>
      <w:r w:rsidR="009063E9">
        <w:rPr>
          <w:rFonts w:ascii="Arial" w:hAnsi="Arial" w:cs="Arial"/>
        </w:rPr>
        <w:t xml:space="preserve">erty was registered in the name of </w:t>
      </w:r>
      <w:r w:rsidRPr="00555295">
        <w:rPr>
          <w:rFonts w:ascii="Arial" w:hAnsi="Arial" w:cs="Arial"/>
        </w:rPr>
        <w:t>an entity called Tropical Winter Trading (Pty) Ltd (</w:t>
      </w:r>
      <w:r w:rsidR="00D06869">
        <w:rPr>
          <w:rFonts w:ascii="Arial" w:hAnsi="Arial" w:cs="Arial"/>
        </w:rPr>
        <w:t>“</w:t>
      </w:r>
      <w:r w:rsidRPr="00555295">
        <w:rPr>
          <w:rFonts w:ascii="Arial" w:hAnsi="Arial" w:cs="Arial"/>
        </w:rPr>
        <w:t>the first respondent</w:t>
      </w:r>
      <w:r w:rsidR="00D06869">
        <w:rPr>
          <w:rFonts w:ascii="Arial" w:hAnsi="Arial" w:cs="Arial"/>
        </w:rPr>
        <w:t>”</w:t>
      </w:r>
      <w:r w:rsidRPr="00555295">
        <w:rPr>
          <w:rFonts w:ascii="Arial" w:hAnsi="Arial" w:cs="Arial"/>
        </w:rPr>
        <w:t>).</w:t>
      </w:r>
    </w:p>
    <w:p w:rsidR="00EE3776" w:rsidRPr="00555295" w:rsidRDefault="00EE3776" w:rsidP="00555295">
      <w:pPr>
        <w:spacing w:line="360" w:lineRule="auto"/>
        <w:jc w:val="both"/>
        <w:rPr>
          <w:rFonts w:ascii="Arial" w:hAnsi="Arial" w:cs="Arial"/>
        </w:rPr>
      </w:pPr>
    </w:p>
    <w:p w:rsidR="00F86897" w:rsidRPr="00555295" w:rsidRDefault="00F86897" w:rsidP="00555295">
      <w:pPr>
        <w:spacing w:line="360" w:lineRule="auto"/>
        <w:jc w:val="both"/>
        <w:rPr>
          <w:rFonts w:ascii="Arial" w:hAnsi="Arial" w:cs="Arial"/>
        </w:rPr>
      </w:pPr>
      <w:r w:rsidRPr="00555295">
        <w:rPr>
          <w:rFonts w:ascii="Arial" w:hAnsi="Arial" w:cs="Arial"/>
        </w:rPr>
        <w:t>[24]</w:t>
      </w:r>
      <w:r w:rsidRPr="00555295">
        <w:rPr>
          <w:rFonts w:ascii="Arial" w:hAnsi="Arial" w:cs="Arial"/>
        </w:rPr>
        <w:tab/>
        <w:t>On 4 November 2020 Strauss sent an email to the second applicant and Flippie to which was attached a copy of the most recent deed of transfer of the farm</w:t>
      </w:r>
      <w:r w:rsidR="002E447C">
        <w:rPr>
          <w:rFonts w:ascii="Arial" w:hAnsi="Arial" w:cs="Arial"/>
        </w:rPr>
        <w:t>s</w:t>
      </w:r>
      <w:r w:rsidRPr="00555295">
        <w:rPr>
          <w:rFonts w:ascii="Arial" w:hAnsi="Arial" w:cs="Arial"/>
        </w:rPr>
        <w:t>.</w:t>
      </w:r>
      <w:r w:rsidR="00B73BAE">
        <w:rPr>
          <w:rStyle w:val="FootnoteReference"/>
          <w:rFonts w:ascii="Arial" w:hAnsi="Arial" w:cs="Arial"/>
        </w:rPr>
        <w:footnoteReference w:id="13"/>
      </w:r>
      <w:r w:rsidRPr="00555295">
        <w:rPr>
          <w:rFonts w:ascii="Arial" w:hAnsi="Arial" w:cs="Arial"/>
        </w:rPr>
        <w:t xml:space="preserve"> The deed of transfer not only confirmed that the </w:t>
      </w:r>
      <w:r w:rsidR="00EE3776" w:rsidRPr="00555295">
        <w:rPr>
          <w:rFonts w:ascii="Arial" w:hAnsi="Arial" w:cs="Arial"/>
        </w:rPr>
        <w:t xml:space="preserve">farm </w:t>
      </w:r>
      <w:r w:rsidRPr="00555295">
        <w:rPr>
          <w:rFonts w:ascii="Arial" w:hAnsi="Arial" w:cs="Arial"/>
        </w:rPr>
        <w:t xml:space="preserve">Moeders Rus was registered in the name </w:t>
      </w:r>
      <w:r w:rsidR="005B4EF0" w:rsidRPr="00555295">
        <w:rPr>
          <w:rFonts w:ascii="Arial" w:hAnsi="Arial" w:cs="Arial"/>
        </w:rPr>
        <w:t xml:space="preserve">of the </w:t>
      </w:r>
      <w:r w:rsidR="002E447C">
        <w:rPr>
          <w:rFonts w:ascii="Arial" w:hAnsi="Arial" w:cs="Arial"/>
        </w:rPr>
        <w:t>first respondent, but also the other two farms</w:t>
      </w:r>
      <w:r w:rsidR="00B73BAE">
        <w:rPr>
          <w:rFonts w:ascii="Arial" w:hAnsi="Arial" w:cs="Arial"/>
        </w:rPr>
        <w:t>.</w:t>
      </w:r>
      <w:r w:rsidR="00B73BAE">
        <w:rPr>
          <w:rStyle w:val="FootnoteReference"/>
          <w:rFonts w:ascii="Arial" w:hAnsi="Arial" w:cs="Arial"/>
        </w:rPr>
        <w:footnoteReference w:id="14"/>
      </w:r>
      <w:r w:rsidR="005B4EF0" w:rsidRPr="00555295">
        <w:rPr>
          <w:rFonts w:ascii="Arial" w:hAnsi="Arial" w:cs="Arial"/>
        </w:rPr>
        <w:t xml:space="preserve"> </w:t>
      </w:r>
    </w:p>
    <w:p w:rsidR="002B0860" w:rsidRPr="00555295" w:rsidRDefault="002B0860" w:rsidP="00555295">
      <w:pPr>
        <w:spacing w:line="360" w:lineRule="auto"/>
        <w:jc w:val="both"/>
        <w:rPr>
          <w:rFonts w:ascii="Arial" w:hAnsi="Arial" w:cs="Arial"/>
        </w:rPr>
      </w:pPr>
    </w:p>
    <w:p w:rsidR="005B4EF0" w:rsidRPr="00555295" w:rsidRDefault="00746110" w:rsidP="00555295">
      <w:pPr>
        <w:spacing w:line="360" w:lineRule="auto"/>
        <w:jc w:val="both"/>
        <w:rPr>
          <w:rFonts w:ascii="Arial" w:hAnsi="Arial" w:cs="Arial"/>
        </w:rPr>
      </w:pPr>
      <w:r w:rsidRPr="00555295">
        <w:rPr>
          <w:rFonts w:ascii="Arial" w:hAnsi="Arial" w:cs="Arial"/>
        </w:rPr>
        <w:t>[25]</w:t>
      </w:r>
      <w:r w:rsidRPr="00555295">
        <w:rPr>
          <w:rFonts w:ascii="Arial" w:hAnsi="Arial" w:cs="Arial"/>
        </w:rPr>
        <w:tab/>
        <w:t>On 9 November 2020 the second applicant contacted the progeny of the deceased co-owners to inform them of the developments regarding the transfer of the farm</w:t>
      </w:r>
      <w:r w:rsidR="00500BD2" w:rsidRPr="00555295">
        <w:rPr>
          <w:rFonts w:ascii="Arial" w:hAnsi="Arial" w:cs="Arial"/>
        </w:rPr>
        <w:t>s</w:t>
      </w:r>
      <w:r w:rsidRPr="00555295">
        <w:rPr>
          <w:rFonts w:ascii="Arial" w:hAnsi="Arial" w:cs="Arial"/>
        </w:rPr>
        <w:t xml:space="preserve">. On 24 November </w:t>
      </w:r>
      <w:r w:rsidR="00500BD2" w:rsidRPr="00555295">
        <w:rPr>
          <w:rFonts w:ascii="Arial" w:hAnsi="Arial" w:cs="Arial"/>
        </w:rPr>
        <w:t>2020,</w:t>
      </w:r>
      <w:r w:rsidRPr="00555295">
        <w:rPr>
          <w:rFonts w:ascii="Arial" w:hAnsi="Arial" w:cs="Arial"/>
        </w:rPr>
        <w:t xml:space="preserve"> the second applicant contacted the rest of the family who had an interest in the farm</w:t>
      </w:r>
      <w:r w:rsidR="00500BD2" w:rsidRPr="00555295">
        <w:rPr>
          <w:rFonts w:ascii="Arial" w:hAnsi="Arial" w:cs="Arial"/>
        </w:rPr>
        <w:t>s</w:t>
      </w:r>
      <w:r w:rsidRPr="00555295">
        <w:rPr>
          <w:rFonts w:ascii="Arial" w:hAnsi="Arial" w:cs="Arial"/>
        </w:rPr>
        <w:t xml:space="preserve"> to obtain a mandate to apply for the judgment and order granted in the ex </w:t>
      </w:r>
      <w:r w:rsidRPr="00555295">
        <w:rPr>
          <w:rFonts w:ascii="Arial" w:hAnsi="Arial" w:cs="Arial"/>
        </w:rPr>
        <w:lastRenderedPageBreak/>
        <w:t>parte application to be rescinded and set aside</w:t>
      </w:r>
      <w:r w:rsidR="00500BD2" w:rsidRPr="00555295">
        <w:rPr>
          <w:rFonts w:ascii="Arial" w:hAnsi="Arial" w:cs="Arial"/>
        </w:rPr>
        <w:t>;</w:t>
      </w:r>
      <w:r w:rsidRPr="00555295">
        <w:rPr>
          <w:rFonts w:ascii="Arial" w:hAnsi="Arial" w:cs="Arial"/>
        </w:rPr>
        <w:t xml:space="preserve"> and for the transfer of the properties to the first respondent to be reversed.</w:t>
      </w:r>
    </w:p>
    <w:p w:rsidR="002B0860" w:rsidRPr="00555295" w:rsidRDefault="002B0860" w:rsidP="00555295">
      <w:pPr>
        <w:spacing w:line="360" w:lineRule="auto"/>
        <w:jc w:val="both"/>
        <w:rPr>
          <w:rFonts w:ascii="Arial" w:hAnsi="Arial" w:cs="Arial"/>
        </w:rPr>
      </w:pPr>
    </w:p>
    <w:p w:rsidR="002B0860" w:rsidRPr="00555295" w:rsidRDefault="00F66EBB" w:rsidP="00555295">
      <w:pPr>
        <w:spacing w:line="360" w:lineRule="auto"/>
        <w:jc w:val="both"/>
        <w:rPr>
          <w:rFonts w:ascii="Arial" w:hAnsi="Arial" w:cs="Arial"/>
          <w:b/>
        </w:rPr>
      </w:pPr>
      <w:r w:rsidRPr="00555295">
        <w:rPr>
          <w:rFonts w:ascii="Arial" w:hAnsi="Arial" w:cs="Arial"/>
          <w:b/>
        </w:rPr>
        <w:t>The applicant</w:t>
      </w:r>
      <w:r w:rsidR="002B0860" w:rsidRPr="00555295">
        <w:rPr>
          <w:rFonts w:ascii="Arial" w:hAnsi="Arial" w:cs="Arial"/>
          <w:b/>
        </w:rPr>
        <w:t>s</w:t>
      </w:r>
      <w:r w:rsidRPr="00555295">
        <w:rPr>
          <w:rFonts w:ascii="Arial" w:hAnsi="Arial" w:cs="Arial"/>
          <w:b/>
        </w:rPr>
        <w:t>’</w:t>
      </w:r>
      <w:r w:rsidR="002B0860" w:rsidRPr="00555295">
        <w:rPr>
          <w:rFonts w:ascii="Arial" w:hAnsi="Arial" w:cs="Arial"/>
          <w:b/>
        </w:rPr>
        <w:t xml:space="preserve"> case </w:t>
      </w:r>
    </w:p>
    <w:p w:rsidR="002B0860" w:rsidRDefault="002B0860" w:rsidP="00555295">
      <w:pPr>
        <w:spacing w:line="360" w:lineRule="auto"/>
        <w:jc w:val="both"/>
        <w:rPr>
          <w:rFonts w:ascii="Arial" w:hAnsi="Arial" w:cs="Arial"/>
        </w:rPr>
      </w:pPr>
      <w:r w:rsidRPr="00555295">
        <w:rPr>
          <w:rFonts w:ascii="Arial" w:hAnsi="Arial" w:cs="Arial"/>
        </w:rPr>
        <w:t>[26]</w:t>
      </w:r>
      <w:r w:rsidRPr="00555295">
        <w:rPr>
          <w:rFonts w:ascii="Arial" w:hAnsi="Arial" w:cs="Arial"/>
        </w:rPr>
        <w:tab/>
        <w:t xml:space="preserve">The applicants aver, firstly, that the application upon which the final order was premised did not disclose a cause of action and it was legally incompetent for </w:t>
      </w:r>
      <w:r w:rsidR="00B273CD">
        <w:rPr>
          <w:rFonts w:ascii="Arial" w:hAnsi="Arial" w:cs="Arial"/>
        </w:rPr>
        <w:t xml:space="preserve">the </w:t>
      </w:r>
      <w:r w:rsidRPr="00555295">
        <w:rPr>
          <w:rFonts w:ascii="Arial" w:hAnsi="Arial" w:cs="Arial"/>
        </w:rPr>
        <w:t>court to have made such order. They contend that the court l</w:t>
      </w:r>
      <w:r w:rsidR="00846D62" w:rsidRPr="00555295">
        <w:rPr>
          <w:rFonts w:ascii="Arial" w:hAnsi="Arial" w:cs="Arial"/>
        </w:rPr>
        <w:t>acked jurisdiction to authorise</w:t>
      </w:r>
      <w:r w:rsidRPr="00555295">
        <w:rPr>
          <w:rFonts w:ascii="Arial" w:hAnsi="Arial" w:cs="Arial"/>
        </w:rPr>
        <w:t xml:space="preserve"> the transfer of the farms to the first respondent.</w:t>
      </w:r>
    </w:p>
    <w:p w:rsidR="005D66B0" w:rsidRPr="00555295" w:rsidRDefault="005D66B0" w:rsidP="00555295">
      <w:pPr>
        <w:spacing w:line="360" w:lineRule="auto"/>
        <w:jc w:val="both"/>
        <w:rPr>
          <w:rFonts w:ascii="Arial" w:hAnsi="Arial" w:cs="Arial"/>
        </w:rPr>
      </w:pPr>
    </w:p>
    <w:p w:rsidR="00996222" w:rsidRDefault="002B0860" w:rsidP="00555295">
      <w:pPr>
        <w:spacing w:line="360" w:lineRule="auto"/>
        <w:jc w:val="both"/>
        <w:rPr>
          <w:rFonts w:ascii="Arial" w:hAnsi="Arial" w:cs="Arial"/>
          <w:i/>
        </w:rPr>
      </w:pPr>
      <w:r w:rsidRPr="00555295">
        <w:rPr>
          <w:rFonts w:ascii="Arial" w:hAnsi="Arial" w:cs="Arial"/>
        </w:rPr>
        <w:t>[27]</w:t>
      </w:r>
      <w:r w:rsidRPr="00555295">
        <w:rPr>
          <w:rFonts w:ascii="Arial" w:hAnsi="Arial" w:cs="Arial"/>
        </w:rPr>
        <w:tab/>
        <w:t>The applicants further submit that there is no provision in any law em</w:t>
      </w:r>
      <w:r w:rsidR="00846D62" w:rsidRPr="00555295">
        <w:rPr>
          <w:rFonts w:ascii="Arial" w:hAnsi="Arial" w:cs="Arial"/>
        </w:rPr>
        <w:t>powering a court (or indeed, any</w:t>
      </w:r>
      <w:r w:rsidRPr="00555295">
        <w:rPr>
          <w:rFonts w:ascii="Arial" w:hAnsi="Arial" w:cs="Arial"/>
        </w:rPr>
        <w:t xml:space="preserve"> other adm</w:t>
      </w:r>
      <w:r w:rsidR="00846D62" w:rsidRPr="00555295">
        <w:rPr>
          <w:rFonts w:ascii="Arial" w:hAnsi="Arial" w:cs="Arial"/>
        </w:rPr>
        <w:t>inistrative body), to authorise</w:t>
      </w:r>
      <w:r w:rsidRPr="00555295">
        <w:rPr>
          <w:rFonts w:ascii="Arial" w:hAnsi="Arial" w:cs="Arial"/>
        </w:rPr>
        <w:t xml:space="preserve"> a transfer of immovable property through a private individual, whi</w:t>
      </w:r>
      <w:r w:rsidR="00846D62" w:rsidRPr="00555295">
        <w:rPr>
          <w:rFonts w:ascii="Arial" w:hAnsi="Arial" w:cs="Arial"/>
        </w:rPr>
        <w:t>ch has the effect of detracting</w:t>
      </w:r>
      <w:r w:rsidRPr="00555295">
        <w:rPr>
          <w:rFonts w:ascii="Arial" w:hAnsi="Arial" w:cs="Arial"/>
        </w:rPr>
        <w:t xml:space="preserve"> from a person or entity’s real right to that property. They aver that if the first respondent’s </w:t>
      </w:r>
      <w:r w:rsidR="00996222" w:rsidRPr="00555295">
        <w:rPr>
          <w:rFonts w:ascii="Arial" w:hAnsi="Arial" w:cs="Arial"/>
        </w:rPr>
        <w:t>argument</w:t>
      </w:r>
      <w:r w:rsidRPr="00555295">
        <w:rPr>
          <w:rFonts w:ascii="Arial" w:hAnsi="Arial" w:cs="Arial"/>
        </w:rPr>
        <w:t xml:space="preserve"> </w:t>
      </w:r>
      <w:r w:rsidR="00996222" w:rsidRPr="00555295">
        <w:rPr>
          <w:rFonts w:ascii="Arial" w:hAnsi="Arial" w:cs="Arial"/>
        </w:rPr>
        <w:t>is that</w:t>
      </w:r>
      <w:r w:rsidRPr="00555295">
        <w:rPr>
          <w:rFonts w:ascii="Arial" w:hAnsi="Arial" w:cs="Arial"/>
        </w:rPr>
        <w:t xml:space="preserve"> the land in question (the farms) was </w:t>
      </w:r>
      <w:r w:rsidR="00846D62" w:rsidRPr="00B273CD">
        <w:rPr>
          <w:rFonts w:ascii="Arial" w:hAnsi="Arial" w:cs="Arial"/>
        </w:rPr>
        <w:t>res derelicta</w:t>
      </w:r>
      <w:r w:rsidR="00996222" w:rsidRPr="00B273CD">
        <w:rPr>
          <w:rFonts w:ascii="Arial" w:hAnsi="Arial" w:cs="Arial"/>
        </w:rPr>
        <w:t xml:space="preserve">, and as </w:t>
      </w:r>
      <w:r w:rsidR="00E842E5">
        <w:rPr>
          <w:rFonts w:ascii="Arial" w:hAnsi="Arial" w:cs="Arial"/>
        </w:rPr>
        <w:t xml:space="preserve">a </w:t>
      </w:r>
      <w:r w:rsidR="00020342" w:rsidRPr="00B273CD">
        <w:rPr>
          <w:rFonts w:ascii="Arial" w:hAnsi="Arial" w:cs="Arial"/>
        </w:rPr>
        <w:t>result res nullius</w:t>
      </w:r>
      <w:r w:rsidR="00996222" w:rsidRPr="009233B0">
        <w:rPr>
          <w:rFonts w:ascii="Arial" w:hAnsi="Arial" w:cs="Arial"/>
        </w:rPr>
        <w:t>, to</w:t>
      </w:r>
      <w:r w:rsidR="00996222" w:rsidRPr="00555295">
        <w:rPr>
          <w:rFonts w:ascii="Arial" w:hAnsi="Arial" w:cs="Arial"/>
        </w:rPr>
        <w:t xml:space="preserve"> which they argue it was not, the land which is abandoned by </w:t>
      </w:r>
      <w:r w:rsidR="00846D62" w:rsidRPr="00555295">
        <w:rPr>
          <w:rFonts w:ascii="Arial" w:hAnsi="Arial" w:cs="Arial"/>
        </w:rPr>
        <w:t>its owners would revert to the S</w:t>
      </w:r>
      <w:r w:rsidR="00996222" w:rsidRPr="00555295">
        <w:rPr>
          <w:rFonts w:ascii="Arial" w:hAnsi="Arial" w:cs="Arial"/>
        </w:rPr>
        <w:t xml:space="preserve">tate and does not become </w:t>
      </w:r>
      <w:r w:rsidR="00996222" w:rsidRPr="00B273CD">
        <w:rPr>
          <w:rFonts w:ascii="Arial" w:hAnsi="Arial" w:cs="Arial"/>
        </w:rPr>
        <w:t>re</w:t>
      </w:r>
      <w:r w:rsidR="00846D62" w:rsidRPr="00B273CD">
        <w:rPr>
          <w:rFonts w:ascii="Arial" w:hAnsi="Arial" w:cs="Arial"/>
        </w:rPr>
        <w:t>s</w:t>
      </w:r>
      <w:r w:rsidR="00996222" w:rsidRPr="00B273CD">
        <w:rPr>
          <w:rFonts w:ascii="Arial" w:hAnsi="Arial" w:cs="Arial"/>
        </w:rPr>
        <w:t xml:space="preserve"> nullius.</w:t>
      </w:r>
    </w:p>
    <w:p w:rsidR="00B273CD" w:rsidRPr="00555295" w:rsidRDefault="00B273CD" w:rsidP="00555295">
      <w:pPr>
        <w:spacing w:line="360" w:lineRule="auto"/>
        <w:jc w:val="both"/>
        <w:rPr>
          <w:rFonts w:ascii="Arial" w:hAnsi="Arial" w:cs="Arial"/>
        </w:rPr>
      </w:pPr>
    </w:p>
    <w:p w:rsidR="00996222" w:rsidRPr="00555295" w:rsidRDefault="00996222" w:rsidP="00555295">
      <w:pPr>
        <w:spacing w:line="360" w:lineRule="auto"/>
        <w:jc w:val="both"/>
        <w:rPr>
          <w:rFonts w:ascii="Arial" w:hAnsi="Arial" w:cs="Arial"/>
        </w:rPr>
      </w:pPr>
      <w:r w:rsidRPr="00555295">
        <w:rPr>
          <w:rFonts w:ascii="Arial" w:hAnsi="Arial" w:cs="Arial"/>
        </w:rPr>
        <w:t>[28]</w:t>
      </w:r>
      <w:r w:rsidRPr="00555295">
        <w:rPr>
          <w:rFonts w:ascii="Arial" w:hAnsi="Arial" w:cs="Arial"/>
        </w:rPr>
        <w:tab/>
        <w:t>Therefore, the applicant</w:t>
      </w:r>
      <w:r w:rsidR="007D5163" w:rsidRPr="00555295">
        <w:rPr>
          <w:rFonts w:ascii="Arial" w:hAnsi="Arial" w:cs="Arial"/>
        </w:rPr>
        <w:t>s submit</w:t>
      </w:r>
      <w:r w:rsidRPr="00555295">
        <w:rPr>
          <w:rFonts w:ascii="Arial" w:hAnsi="Arial" w:cs="Arial"/>
        </w:rPr>
        <w:t xml:space="preserve"> that what the court order amounted to is expropriation of land without compensation </w:t>
      </w:r>
      <w:r w:rsidR="007D5163" w:rsidRPr="00555295">
        <w:rPr>
          <w:rFonts w:ascii="Arial" w:hAnsi="Arial" w:cs="Arial"/>
        </w:rPr>
        <w:t xml:space="preserve">and </w:t>
      </w:r>
      <w:r w:rsidRPr="00555295">
        <w:rPr>
          <w:rFonts w:ascii="Arial" w:hAnsi="Arial" w:cs="Arial"/>
        </w:rPr>
        <w:t>without any statutory a</w:t>
      </w:r>
      <w:r w:rsidR="00784CB1" w:rsidRPr="00555295">
        <w:rPr>
          <w:rFonts w:ascii="Arial" w:hAnsi="Arial" w:cs="Arial"/>
        </w:rPr>
        <w:t>uthority empowering it to do so.</w:t>
      </w:r>
      <w:r w:rsidRPr="00555295">
        <w:rPr>
          <w:rFonts w:ascii="Arial" w:hAnsi="Arial" w:cs="Arial"/>
        </w:rPr>
        <w:t xml:space="preserve"> Furthermore, since expropriation without compensation, even by an authority statutorily empowered to do so</w:t>
      </w:r>
      <w:r w:rsidR="007D5163" w:rsidRPr="00555295">
        <w:rPr>
          <w:rFonts w:ascii="Arial" w:hAnsi="Arial" w:cs="Arial"/>
        </w:rPr>
        <w:t>,</w:t>
      </w:r>
      <w:r w:rsidRPr="00555295">
        <w:rPr>
          <w:rFonts w:ascii="Arial" w:hAnsi="Arial" w:cs="Arial"/>
        </w:rPr>
        <w:t xml:space="preserve"> is expressly prohibited by s 25 of the Constitution, the court is therefore in direct violation of the right</w:t>
      </w:r>
      <w:r w:rsidR="007D5163" w:rsidRPr="00555295">
        <w:rPr>
          <w:rFonts w:ascii="Arial" w:hAnsi="Arial" w:cs="Arial"/>
        </w:rPr>
        <w:t>s</w:t>
      </w:r>
      <w:r w:rsidRPr="00555295">
        <w:rPr>
          <w:rFonts w:ascii="Arial" w:hAnsi="Arial" w:cs="Arial"/>
        </w:rPr>
        <w:t xml:space="preserve"> of the owners and </w:t>
      </w:r>
      <w:r w:rsidR="00971277" w:rsidRPr="00555295">
        <w:rPr>
          <w:rFonts w:ascii="Arial" w:hAnsi="Arial" w:cs="Arial"/>
        </w:rPr>
        <w:t>descendants</w:t>
      </w:r>
      <w:r w:rsidRPr="00555295">
        <w:rPr>
          <w:rFonts w:ascii="Arial" w:hAnsi="Arial" w:cs="Arial"/>
        </w:rPr>
        <w:t xml:space="preserve"> of the farms.</w:t>
      </w:r>
    </w:p>
    <w:p w:rsidR="008F710F" w:rsidRPr="00555295" w:rsidRDefault="008F710F" w:rsidP="00555295">
      <w:pPr>
        <w:spacing w:line="360" w:lineRule="auto"/>
        <w:jc w:val="both"/>
        <w:rPr>
          <w:rFonts w:ascii="Arial" w:hAnsi="Arial" w:cs="Arial"/>
        </w:rPr>
      </w:pPr>
    </w:p>
    <w:p w:rsidR="00971277" w:rsidRPr="00555295" w:rsidRDefault="00971277" w:rsidP="00555295">
      <w:pPr>
        <w:spacing w:line="360" w:lineRule="auto"/>
        <w:jc w:val="both"/>
        <w:rPr>
          <w:rFonts w:ascii="Arial" w:hAnsi="Arial" w:cs="Arial"/>
        </w:rPr>
      </w:pPr>
      <w:r w:rsidRPr="00555295">
        <w:rPr>
          <w:rFonts w:ascii="Arial" w:hAnsi="Arial" w:cs="Arial"/>
        </w:rPr>
        <w:t>[</w:t>
      </w:r>
      <w:r w:rsidR="008F710F" w:rsidRPr="00555295">
        <w:rPr>
          <w:rFonts w:ascii="Arial" w:hAnsi="Arial" w:cs="Arial"/>
        </w:rPr>
        <w:t>29]</w:t>
      </w:r>
      <w:r w:rsidR="008F710F" w:rsidRPr="00555295">
        <w:rPr>
          <w:rFonts w:ascii="Arial" w:hAnsi="Arial" w:cs="Arial"/>
        </w:rPr>
        <w:tab/>
        <w:t>If it is accepted, they argue</w:t>
      </w:r>
      <w:r w:rsidRPr="00555295">
        <w:rPr>
          <w:rFonts w:ascii="Arial" w:hAnsi="Arial" w:cs="Arial"/>
        </w:rPr>
        <w:t>, that the court had s</w:t>
      </w:r>
      <w:r w:rsidR="008F710F" w:rsidRPr="00555295">
        <w:rPr>
          <w:rFonts w:ascii="Arial" w:hAnsi="Arial" w:cs="Arial"/>
        </w:rPr>
        <w:t>tatutory authority to authorise</w:t>
      </w:r>
      <w:r w:rsidRPr="00555295">
        <w:rPr>
          <w:rFonts w:ascii="Arial" w:hAnsi="Arial" w:cs="Arial"/>
        </w:rPr>
        <w:t xml:space="preserve"> the transfer of t</w:t>
      </w:r>
      <w:r w:rsidR="00340611" w:rsidRPr="00555295">
        <w:rPr>
          <w:rFonts w:ascii="Arial" w:hAnsi="Arial" w:cs="Arial"/>
        </w:rPr>
        <w:t>he property and that payment in</w:t>
      </w:r>
      <w:r w:rsidRPr="00555295">
        <w:rPr>
          <w:rFonts w:ascii="Arial" w:hAnsi="Arial" w:cs="Arial"/>
        </w:rPr>
        <w:t xml:space="preserve">to the </w:t>
      </w:r>
      <w:r w:rsidR="008F710F" w:rsidRPr="00555295">
        <w:rPr>
          <w:rFonts w:ascii="Arial" w:hAnsi="Arial" w:cs="Arial"/>
        </w:rPr>
        <w:t>G</w:t>
      </w:r>
      <w:r w:rsidR="00293499" w:rsidRPr="00555295">
        <w:rPr>
          <w:rFonts w:ascii="Arial" w:hAnsi="Arial" w:cs="Arial"/>
        </w:rPr>
        <w:t>uardian’s</w:t>
      </w:r>
      <w:r w:rsidR="008F710F" w:rsidRPr="00555295">
        <w:rPr>
          <w:rFonts w:ascii="Arial" w:hAnsi="Arial" w:cs="Arial"/>
        </w:rPr>
        <w:t xml:space="preserve"> F</w:t>
      </w:r>
      <w:r w:rsidRPr="00555295">
        <w:rPr>
          <w:rFonts w:ascii="Arial" w:hAnsi="Arial" w:cs="Arial"/>
        </w:rPr>
        <w:t xml:space="preserve">und </w:t>
      </w:r>
      <w:r w:rsidR="00293499" w:rsidRPr="00555295">
        <w:rPr>
          <w:rFonts w:ascii="Arial" w:hAnsi="Arial" w:cs="Arial"/>
        </w:rPr>
        <w:t>constituted compensation, the procedure</w:t>
      </w:r>
      <w:r w:rsidR="008F710F" w:rsidRPr="00555295">
        <w:rPr>
          <w:rFonts w:ascii="Arial" w:hAnsi="Arial" w:cs="Arial"/>
        </w:rPr>
        <w:t>s set out in the Expropriation</w:t>
      </w:r>
      <w:r w:rsidR="00293499" w:rsidRPr="00555295">
        <w:rPr>
          <w:rFonts w:ascii="Arial" w:hAnsi="Arial" w:cs="Arial"/>
        </w:rPr>
        <w:t xml:space="preserve"> Act 63 of 1975 should have been followed. That is, compensa</w:t>
      </w:r>
      <w:r w:rsidR="008F710F" w:rsidRPr="00555295">
        <w:rPr>
          <w:rFonts w:ascii="Arial" w:hAnsi="Arial" w:cs="Arial"/>
        </w:rPr>
        <w:t>tion had to be calculated in a manner consistent with s 25(3</w:t>
      </w:r>
      <w:r w:rsidR="00293499" w:rsidRPr="00555295">
        <w:rPr>
          <w:rFonts w:ascii="Arial" w:hAnsi="Arial" w:cs="Arial"/>
        </w:rPr>
        <w:t>) of the Constitution</w:t>
      </w:r>
      <w:r w:rsidR="008F710F" w:rsidRPr="00555295">
        <w:rPr>
          <w:rFonts w:ascii="Arial" w:hAnsi="Arial" w:cs="Arial"/>
        </w:rPr>
        <w:t>, with a s</w:t>
      </w:r>
      <w:r w:rsidR="00293499" w:rsidRPr="00555295">
        <w:rPr>
          <w:rFonts w:ascii="Arial" w:hAnsi="Arial" w:cs="Arial"/>
        </w:rPr>
        <w:t xml:space="preserve">olatium of </w:t>
      </w:r>
      <w:r w:rsidR="003B3F1D">
        <w:rPr>
          <w:rFonts w:ascii="Arial" w:hAnsi="Arial" w:cs="Arial"/>
        </w:rPr>
        <w:t>ten</w:t>
      </w:r>
      <w:r w:rsidR="00293499" w:rsidRPr="00555295">
        <w:rPr>
          <w:rFonts w:ascii="Arial" w:hAnsi="Arial" w:cs="Arial"/>
        </w:rPr>
        <w:t xml:space="preserve"> percent</w:t>
      </w:r>
      <w:r w:rsidR="008F710F" w:rsidRPr="00555295">
        <w:rPr>
          <w:rFonts w:ascii="Arial" w:hAnsi="Arial" w:cs="Arial"/>
        </w:rPr>
        <w:t xml:space="preserve"> </w:t>
      </w:r>
      <w:r w:rsidR="00293499" w:rsidRPr="00555295">
        <w:rPr>
          <w:rFonts w:ascii="Arial" w:hAnsi="Arial" w:cs="Arial"/>
        </w:rPr>
        <w:t>which is normal</w:t>
      </w:r>
      <w:r w:rsidR="008F710F" w:rsidRPr="00555295">
        <w:rPr>
          <w:rFonts w:ascii="Arial" w:hAnsi="Arial" w:cs="Arial"/>
        </w:rPr>
        <w:t>ly</w:t>
      </w:r>
      <w:r w:rsidR="00293499" w:rsidRPr="00555295">
        <w:rPr>
          <w:rFonts w:ascii="Arial" w:hAnsi="Arial" w:cs="Arial"/>
        </w:rPr>
        <w:t xml:space="preserve"> paid in addition to the actual loss incurred to the owner by expropriation.</w:t>
      </w:r>
    </w:p>
    <w:p w:rsidR="00FE2140" w:rsidRPr="00555295" w:rsidRDefault="00FE2140" w:rsidP="00555295">
      <w:pPr>
        <w:spacing w:line="360" w:lineRule="auto"/>
        <w:jc w:val="both"/>
        <w:rPr>
          <w:rFonts w:ascii="Arial" w:hAnsi="Arial" w:cs="Arial"/>
        </w:rPr>
      </w:pPr>
    </w:p>
    <w:p w:rsidR="00A7761A" w:rsidRPr="00555295" w:rsidRDefault="00FE2140" w:rsidP="00555295">
      <w:pPr>
        <w:spacing w:line="360" w:lineRule="auto"/>
        <w:jc w:val="both"/>
        <w:rPr>
          <w:rFonts w:ascii="Arial" w:hAnsi="Arial" w:cs="Arial"/>
        </w:rPr>
      </w:pPr>
      <w:r w:rsidRPr="00555295">
        <w:rPr>
          <w:rFonts w:ascii="Arial" w:hAnsi="Arial" w:cs="Arial"/>
        </w:rPr>
        <w:lastRenderedPageBreak/>
        <w:t>[30]</w:t>
      </w:r>
      <w:r w:rsidRPr="00555295">
        <w:rPr>
          <w:rFonts w:ascii="Arial" w:hAnsi="Arial" w:cs="Arial"/>
        </w:rPr>
        <w:tab/>
        <w:t>Sec</w:t>
      </w:r>
      <w:r w:rsidR="00803C02" w:rsidRPr="00555295">
        <w:rPr>
          <w:rFonts w:ascii="Arial" w:hAnsi="Arial" w:cs="Arial"/>
        </w:rPr>
        <w:t>o</w:t>
      </w:r>
      <w:r w:rsidRPr="00555295">
        <w:rPr>
          <w:rFonts w:ascii="Arial" w:hAnsi="Arial" w:cs="Arial"/>
        </w:rPr>
        <w:t>ndly, the applicants aver that the order should b</w:t>
      </w:r>
      <w:r w:rsidR="00803C02" w:rsidRPr="00555295">
        <w:rPr>
          <w:rFonts w:ascii="Arial" w:hAnsi="Arial" w:cs="Arial"/>
        </w:rPr>
        <w:t xml:space="preserve">e rescinded and set aside as a result of </w:t>
      </w:r>
      <w:r w:rsidRPr="00555295">
        <w:rPr>
          <w:rFonts w:ascii="Arial" w:hAnsi="Arial" w:cs="Arial"/>
        </w:rPr>
        <w:t xml:space="preserve">material non-disclosure and </w:t>
      </w:r>
      <w:r w:rsidR="00803C02" w:rsidRPr="00555295">
        <w:rPr>
          <w:rFonts w:ascii="Arial" w:hAnsi="Arial" w:cs="Arial"/>
        </w:rPr>
        <w:t xml:space="preserve">the </w:t>
      </w:r>
      <w:r w:rsidRPr="00555295">
        <w:rPr>
          <w:rFonts w:ascii="Arial" w:hAnsi="Arial" w:cs="Arial"/>
        </w:rPr>
        <w:t>deliberate misleading of the court by the first respondent and its attorneys of record. The facts not disclosed were the following:</w:t>
      </w:r>
    </w:p>
    <w:p w:rsidR="00FE2140" w:rsidRPr="00555295" w:rsidRDefault="00A7761A" w:rsidP="0027490A">
      <w:pPr>
        <w:spacing w:line="360" w:lineRule="auto"/>
        <w:ind w:left="720" w:hanging="720"/>
        <w:jc w:val="both"/>
        <w:rPr>
          <w:rFonts w:ascii="Arial" w:hAnsi="Arial" w:cs="Arial"/>
        </w:rPr>
      </w:pPr>
      <w:r w:rsidRPr="00555295">
        <w:rPr>
          <w:rFonts w:ascii="Arial" w:hAnsi="Arial" w:cs="Arial"/>
        </w:rPr>
        <w:t>(a)</w:t>
      </w:r>
      <w:r w:rsidRPr="00555295">
        <w:rPr>
          <w:rFonts w:ascii="Arial" w:hAnsi="Arial" w:cs="Arial"/>
        </w:rPr>
        <w:tab/>
        <w:t xml:space="preserve">In the </w:t>
      </w:r>
      <w:r w:rsidR="003B3F1D">
        <w:rPr>
          <w:rFonts w:ascii="Arial" w:hAnsi="Arial" w:cs="Arial"/>
        </w:rPr>
        <w:t>n</w:t>
      </w:r>
      <w:r w:rsidRPr="00555295">
        <w:rPr>
          <w:rFonts w:ascii="Arial" w:hAnsi="Arial" w:cs="Arial"/>
        </w:rPr>
        <w:t xml:space="preserve">otice of </w:t>
      </w:r>
      <w:r w:rsidR="003B3F1D">
        <w:rPr>
          <w:rFonts w:ascii="Arial" w:hAnsi="Arial" w:cs="Arial"/>
        </w:rPr>
        <w:t>m</w:t>
      </w:r>
      <w:r w:rsidRPr="00555295">
        <w:rPr>
          <w:rFonts w:ascii="Arial" w:hAnsi="Arial" w:cs="Arial"/>
        </w:rPr>
        <w:t>otion reference is only</w:t>
      </w:r>
      <w:r w:rsidR="00803C02" w:rsidRPr="00555295">
        <w:rPr>
          <w:rFonts w:ascii="Arial" w:hAnsi="Arial" w:cs="Arial"/>
        </w:rPr>
        <w:t xml:space="preserve"> made to the following property:</w:t>
      </w:r>
      <w:r w:rsidRPr="00555295">
        <w:rPr>
          <w:rFonts w:ascii="Arial" w:hAnsi="Arial" w:cs="Arial"/>
        </w:rPr>
        <w:t xml:space="preserve"> </w:t>
      </w:r>
      <w:r w:rsidR="00803C02" w:rsidRPr="00555295">
        <w:rPr>
          <w:rFonts w:ascii="Arial" w:hAnsi="Arial" w:cs="Arial"/>
        </w:rPr>
        <w:t>The R</w:t>
      </w:r>
      <w:r w:rsidRPr="00555295">
        <w:rPr>
          <w:rFonts w:ascii="Arial" w:hAnsi="Arial" w:cs="Arial"/>
        </w:rPr>
        <w:t xml:space="preserve">emainder of </w:t>
      </w:r>
      <w:r w:rsidR="00803C02" w:rsidRPr="00555295">
        <w:rPr>
          <w:rFonts w:ascii="Arial" w:hAnsi="Arial" w:cs="Arial"/>
        </w:rPr>
        <w:t>the F</w:t>
      </w:r>
      <w:r w:rsidRPr="00555295">
        <w:rPr>
          <w:rFonts w:ascii="Arial" w:hAnsi="Arial" w:cs="Arial"/>
        </w:rPr>
        <w:t>arm Glen A</w:t>
      </w:r>
      <w:r w:rsidR="00B35C01" w:rsidRPr="00555295">
        <w:rPr>
          <w:rFonts w:ascii="Arial" w:hAnsi="Arial" w:cs="Arial"/>
        </w:rPr>
        <w:t>shton, No 8589, Registration</w:t>
      </w:r>
      <w:r w:rsidRPr="00555295">
        <w:rPr>
          <w:rFonts w:ascii="Arial" w:hAnsi="Arial" w:cs="Arial"/>
        </w:rPr>
        <w:t xml:space="preserve"> Division HS, Province of KwaZulu-Natal, held under title deed number: T23804/2020, in extent 191, 6466 (one hundred and </w:t>
      </w:r>
      <w:r w:rsidR="00C17653" w:rsidRPr="00555295">
        <w:rPr>
          <w:rFonts w:ascii="Arial" w:hAnsi="Arial" w:cs="Arial"/>
        </w:rPr>
        <w:t>ninety-one</w:t>
      </w:r>
      <w:r w:rsidRPr="00555295">
        <w:rPr>
          <w:rFonts w:ascii="Arial" w:hAnsi="Arial" w:cs="Arial"/>
        </w:rPr>
        <w:t xml:space="preserve"> comma six </w:t>
      </w:r>
      <w:r w:rsidR="0076488A" w:rsidRPr="00555295">
        <w:rPr>
          <w:rFonts w:ascii="Arial" w:hAnsi="Arial" w:cs="Arial"/>
        </w:rPr>
        <w:t xml:space="preserve">four </w:t>
      </w:r>
      <w:r w:rsidR="00C17653" w:rsidRPr="00555295">
        <w:rPr>
          <w:rFonts w:ascii="Arial" w:hAnsi="Arial" w:cs="Arial"/>
        </w:rPr>
        <w:t xml:space="preserve">six </w:t>
      </w:r>
      <w:r w:rsidR="0076488A" w:rsidRPr="00555295">
        <w:rPr>
          <w:rFonts w:ascii="Arial" w:hAnsi="Arial" w:cs="Arial"/>
        </w:rPr>
        <w:t>six</w:t>
      </w:r>
      <w:r w:rsidRPr="00555295">
        <w:rPr>
          <w:rFonts w:ascii="Arial" w:hAnsi="Arial" w:cs="Arial"/>
        </w:rPr>
        <w:t xml:space="preserve">) </w:t>
      </w:r>
      <w:r w:rsidR="0076488A" w:rsidRPr="00555295">
        <w:rPr>
          <w:rFonts w:ascii="Arial" w:hAnsi="Arial" w:cs="Arial"/>
        </w:rPr>
        <w:t>hectares, first registered by C</w:t>
      </w:r>
      <w:r w:rsidR="00C17653" w:rsidRPr="00555295">
        <w:rPr>
          <w:rFonts w:ascii="Arial" w:hAnsi="Arial" w:cs="Arial"/>
        </w:rPr>
        <w:t>rown Grant Number G8589/1914 and previously held by Deed of Transfer Number:</w:t>
      </w:r>
      <w:r w:rsidR="005D66B0">
        <w:rPr>
          <w:rFonts w:ascii="Arial" w:hAnsi="Arial" w:cs="Arial"/>
        </w:rPr>
        <w:t xml:space="preserve"> </w:t>
      </w:r>
      <w:r w:rsidR="00C17653" w:rsidRPr="00555295">
        <w:rPr>
          <w:rFonts w:ascii="Arial" w:hAnsi="Arial" w:cs="Arial"/>
        </w:rPr>
        <w:t>T1752/1962. All averments in the founding affidavit related to this property and the relief</w:t>
      </w:r>
      <w:r w:rsidR="0076488A" w:rsidRPr="00555295">
        <w:rPr>
          <w:rFonts w:ascii="Arial" w:hAnsi="Arial" w:cs="Arial"/>
        </w:rPr>
        <w:t xml:space="preserve"> sought</w:t>
      </w:r>
      <w:r w:rsidR="00C17653" w:rsidRPr="00555295">
        <w:rPr>
          <w:rFonts w:ascii="Arial" w:hAnsi="Arial" w:cs="Arial"/>
        </w:rPr>
        <w:t xml:space="preserve"> in the notice of motion only related </w:t>
      </w:r>
      <w:r w:rsidR="0076488A" w:rsidRPr="00555295">
        <w:rPr>
          <w:rFonts w:ascii="Arial" w:hAnsi="Arial" w:cs="Arial"/>
        </w:rPr>
        <w:t xml:space="preserve">to </w:t>
      </w:r>
      <w:r w:rsidR="00C17653" w:rsidRPr="00555295">
        <w:rPr>
          <w:rFonts w:ascii="Arial" w:hAnsi="Arial" w:cs="Arial"/>
        </w:rPr>
        <w:t>this property. Nowhere, in the</w:t>
      </w:r>
      <w:r w:rsidR="0076488A" w:rsidRPr="00555295">
        <w:rPr>
          <w:rFonts w:ascii="Arial" w:hAnsi="Arial" w:cs="Arial"/>
        </w:rPr>
        <w:t xml:space="preserve"> founding affidavit, is reference</w:t>
      </w:r>
      <w:r w:rsidR="00C17653" w:rsidRPr="00555295">
        <w:rPr>
          <w:rFonts w:ascii="Arial" w:hAnsi="Arial" w:cs="Arial"/>
        </w:rPr>
        <w:t xml:space="preserve"> made to the other two farms, Twyfelhoek and Moeders Rus and none of the relief sought in the notice of motion related to</w:t>
      </w:r>
      <w:r w:rsidR="00CF5024" w:rsidRPr="00555295">
        <w:rPr>
          <w:rFonts w:ascii="Arial" w:hAnsi="Arial" w:cs="Arial"/>
        </w:rPr>
        <w:t xml:space="preserve"> them. This</w:t>
      </w:r>
      <w:r w:rsidR="00B35C01" w:rsidRPr="00555295">
        <w:rPr>
          <w:rFonts w:ascii="Arial" w:hAnsi="Arial" w:cs="Arial"/>
        </w:rPr>
        <w:t>,</w:t>
      </w:r>
      <w:r w:rsidR="00CF5024" w:rsidRPr="00555295">
        <w:rPr>
          <w:rFonts w:ascii="Arial" w:hAnsi="Arial" w:cs="Arial"/>
        </w:rPr>
        <w:t xml:space="preserve"> notwithstanding the</w:t>
      </w:r>
      <w:r w:rsidR="00C17653" w:rsidRPr="00555295">
        <w:rPr>
          <w:rFonts w:ascii="Arial" w:hAnsi="Arial" w:cs="Arial"/>
        </w:rPr>
        <w:t xml:space="preserve"> fact that the first </w:t>
      </w:r>
      <w:r w:rsidR="00CF5024" w:rsidRPr="00555295">
        <w:rPr>
          <w:rFonts w:ascii="Arial" w:hAnsi="Arial" w:cs="Arial"/>
        </w:rPr>
        <w:t xml:space="preserve">respondent </w:t>
      </w:r>
      <w:r w:rsidR="00C17653" w:rsidRPr="00555295">
        <w:rPr>
          <w:rFonts w:ascii="Arial" w:hAnsi="Arial" w:cs="Arial"/>
        </w:rPr>
        <w:t>already knew Glen Ashton formed part of the three farms held under the same title deed number</w:t>
      </w:r>
      <w:r w:rsidR="003B3F1D">
        <w:rPr>
          <w:rFonts w:ascii="Arial" w:hAnsi="Arial" w:cs="Arial"/>
        </w:rPr>
        <w:t>.</w:t>
      </w:r>
      <w:r w:rsidR="003B3F1D">
        <w:rPr>
          <w:rStyle w:val="FootnoteReference"/>
          <w:rFonts w:ascii="Arial" w:hAnsi="Arial" w:cs="Arial"/>
        </w:rPr>
        <w:footnoteReference w:id="15"/>
      </w:r>
    </w:p>
    <w:p w:rsidR="00543F4A" w:rsidRPr="00555295" w:rsidRDefault="00C06E13" w:rsidP="0027490A">
      <w:pPr>
        <w:spacing w:line="360" w:lineRule="auto"/>
        <w:ind w:left="720" w:hanging="720"/>
        <w:jc w:val="both"/>
        <w:rPr>
          <w:rFonts w:ascii="Arial" w:hAnsi="Arial" w:cs="Arial"/>
        </w:rPr>
      </w:pPr>
      <w:r w:rsidRPr="00555295">
        <w:rPr>
          <w:rFonts w:ascii="Arial" w:hAnsi="Arial" w:cs="Arial"/>
        </w:rPr>
        <w:t>(b)</w:t>
      </w:r>
      <w:r w:rsidRPr="00555295">
        <w:rPr>
          <w:rFonts w:ascii="Arial" w:hAnsi="Arial" w:cs="Arial"/>
        </w:rPr>
        <w:tab/>
        <w:t>The relief sought in the notice of motion only related to creating and maintaining fire</w:t>
      </w:r>
      <w:r w:rsidR="00E5716D" w:rsidRPr="00555295">
        <w:rPr>
          <w:rFonts w:ascii="Arial" w:hAnsi="Arial" w:cs="Arial"/>
        </w:rPr>
        <w:t>breaks on the farm Glen A</w:t>
      </w:r>
      <w:r w:rsidR="000127CF" w:rsidRPr="00555295">
        <w:rPr>
          <w:rFonts w:ascii="Arial" w:hAnsi="Arial" w:cs="Arial"/>
        </w:rPr>
        <w:t>shton in terms of the National V</w:t>
      </w:r>
      <w:r w:rsidR="00E5716D" w:rsidRPr="00555295">
        <w:rPr>
          <w:rFonts w:ascii="Arial" w:hAnsi="Arial" w:cs="Arial"/>
        </w:rPr>
        <w:t xml:space="preserve">eld and Forest Act. The founding affidavit </w:t>
      </w:r>
      <w:r w:rsidR="005F60CD" w:rsidRPr="00555295">
        <w:rPr>
          <w:rFonts w:ascii="Arial" w:hAnsi="Arial" w:cs="Arial"/>
        </w:rPr>
        <w:t xml:space="preserve">covered the same subject matter, and no mention is made of the first respondent’s intention to acquire this property </w:t>
      </w:r>
      <w:r w:rsidR="00DF3BC5" w:rsidRPr="00555295">
        <w:rPr>
          <w:rFonts w:ascii="Arial" w:hAnsi="Arial" w:cs="Arial"/>
        </w:rPr>
        <w:t xml:space="preserve">or any other property for that matter. </w:t>
      </w:r>
      <w:r w:rsidR="000127CF" w:rsidRPr="00555295">
        <w:rPr>
          <w:rFonts w:ascii="Arial" w:hAnsi="Arial" w:cs="Arial"/>
        </w:rPr>
        <w:t>Consequently</w:t>
      </w:r>
      <w:r w:rsidR="00DF3BC5" w:rsidRPr="00555295">
        <w:rPr>
          <w:rFonts w:ascii="Arial" w:hAnsi="Arial" w:cs="Arial"/>
        </w:rPr>
        <w:t>, the court order granted on 6 June 2019</w:t>
      </w:r>
      <w:r w:rsidR="000127CF" w:rsidRPr="00555295">
        <w:rPr>
          <w:rFonts w:ascii="Arial" w:hAnsi="Arial" w:cs="Arial"/>
        </w:rPr>
        <w:t>,</w:t>
      </w:r>
      <w:r w:rsidR="00DF3BC5" w:rsidRPr="00555295">
        <w:rPr>
          <w:rFonts w:ascii="Arial" w:hAnsi="Arial" w:cs="Arial"/>
        </w:rPr>
        <w:t xml:space="preserve"> only related to the farm Glen Ashton to create and maintain </w:t>
      </w:r>
      <w:r w:rsidR="000127CF" w:rsidRPr="00555295">
        <w:rPr>
          <w:rFonts w:ascii="Arial" w:hAnsi="Arial" w:cs="Arial"/>
        </w:rPr>
        <w:t>firebreaks</w:t>
      </w:r>
      <w:r w:rsidR="00DF3BC5" w:rsidRPr="00555295">
        <w:rPr>
          <w:rFonts w:ascii="Arial" w:hAnsi="Arial" w:cs="Arial"/>
        </w:rPr>
        <w:t xml:space="preserve"> thereon.</w:t>
      </w:r>
      <w:r w:rsidR="000B226D">
        <w:rPr>
          <w:rFonts w:ascii="Arial" w:hAnsi="Arial" w:cs="Arial"/>
        </w:rPr>
        <w:t xml:space="preserve"> </w:t>
      </w:r>
      <w:r w:rsidR="000127CF" w:rsidRPr="00555295">
        <w:rPr>
          <w:rFonts w:ascii="Arial" w:hAnsi="Arial" w:cs="Arial"/>
        </w:rPr>
        <w:t>The supplementary affidavit</w:t>
      </w:r>
      <w:r w:rsidR="000B226D">
        <w:rPr>
          <w:rStyle w:val="FootnoteReference"/>
          <w:rFonts w:ascii="Arial" w:hAnsi="Arial" w:cs="Arial"/>
        </w:rPr>
        <w:footnoteReference w:id="16"/>
      </w:r>
      <w:r w:rsidR="000B226D">
        <w:rPr>
          <w:rFonts w:ascii="Arial" w:hAnsi="Arial" w:cs="Arial"/>
        </w:rPr>
        <w:t xml:space="preserve"> </w:t>
      </w:r>
      <w:r w:rsidR="00DF3BC5" w:rsidRPr="00555295">
        <w:rPr>
          <w:rFonts w:ascii="Arial" w:hAnsi="Arial" w:cs="Arial"/>
        </w:rPr>
        <w:t xml:space="preserve">similarly only mentions the farm Glen Ashton, and no mention is made of the farms Twyfelhoek and Moeders Rus. </w:t>
      </w:r>
      <w:r w:rsidR="000278EB" w:rsidRPr="00555295">
        <w:rPr>
          <w:rFonts w:ascii="Arial" w:hAnsi="Arial" w:cs="Arial"/>
        </w:rPr>
        <w:t xml:space="preserve">The advertisements placed in the newspapers relating to the aforementioned order also only made mention of the farm Glen Ashton. Yet, without any amendment to the notice of motion, the first respondent applied for relief </w:t>
      </w:r>
      <w:r w:rsidR="007A0799" w:rsidRPr="00555295">
        <w:rPr>
          <w:rFonts w:ascii="Arial" w:hAnsi="Arial" w:cs="Arial"/>
        </w:rPr>
        <w:t>aimed at the acquisit</w:t>
      </w:r>
      <w:r w:rsidR="008715A8" w:rsidRPr="00555295">
        <w:rPr>
          <w:rFonts w:ascii="Arial" w:hAnsi="Arial" w:cs="Arial"/>
        </w:rPr>
        <w:t>ion of the farm Glen Ashton and, peculiarl</w:t>
      </w:r>
      <w:r w:rsidR="000127CF" w:rsidRPr="00555295">
        <w:rPr>
          <w:rFonts w:ascii="Arial" w:hAnsi="Arial" w:cs="Arial"/>
        </w:rPr>
        <w:t>y, the order</w:t>
      </w:r>
      <w:r w:rsidR="003B3F1D">
        <w:rPr>
          <w:rStyle w:val="FootnoteReference"/>
          <w:rFonts w:ascii="Arial" w:hAnsi="Arial" w:cs="Arial"/>
        </w:rPr>
        <w:footnoteReference w:id="17"/>
      </w:r>
      <w:r w:rsidR="000127CF" w:rsidRPr="00555295">
        <w:rPr>
          <w:rFonts w:ascii="Arial" w:hAnsi="Arial" w:cs="Arial"/>
        </w:rPr>
        <w:t xml:space="preserve"> granted </w:t>
      </w:r>
      <w:r w:rsidR="008715A8" w:rsidRPr="00555295">
        <w:rPr>
          <w:rFonts w:ascii="Arial" w:hAnsi="Arial" w:cs="Arial"/>
        </w:rPr>
        <w:t xml:space="preserve">only made mention of “the Property”. In this </w:t>
      </w:r>
      <w:r w:rsidR="000127CF" w:rsidRPr="00555295">
        <w:rPr>
          <w:rFonts w:ascii="Arial" w:hAnsi="Arial" w:cs="Arial"/>
        </w:rPr>
        <w:t>regard,</w:t>
      </w:r>
      <w:r w:rsidR="006144FC">
        <w:rPr>
          <w:rFonts w:ascii="Arial" w:hAnsi="Arial" w:cs="Arial"/>
        </w:rPr>
        <w:t xml:space="preserve"> it is the applicants’ submission </w:t>
      </w:r>
      <w:r w:rsidR="008715A8" w:rsidRPr="00555295">
        <w:rPr>
          <w:rFonts w:ascii="Arial" w:hAnsi="Arial" w:cs="Arial"/>
        </w:rPr>
        <w:t xml:space="preserve">that the court is not alerted </w:t>
      </w:r>
      <w:r w:rsidR="008715A8" w:rsidRPr="00555295">
        <w:rPr>
          <w:rFonts w:ascii="Arial" w:hAnsi="Arial" w:cs="Arial"/>
        </w:rPr>
        <w:lastRenderedPageBreak/>
        <w:t xml:space="preserve">to the fact </w:t>
      </w:r>
      <w:r w:rsidR="000127CF" w:rsidRPr="00555295">
        <w:rPr>
          <w:rFonts w:ascii="Arial" w:hAnsi="Arial" w:cs="Arial"/>
        </w:rPr>
        <w:t xml:space="preserve">that </w:t>
      </w:r>
      <w:r w:rsidR="008715A8" w:rsidRPr="00555295">
        <w:rPr>
          <w:rFonts w:ascii="Arial" w:hAnsi="Arial" w:cs="Arial"/>
        </w:rPr>
        <w:t>the original notice of motion and affidavit</w:t>
      </w:r>
      <w:r w:rsidR="000127CF" w:rsidRPr="00555295">
        <w:rPr>
          <w:rFonts w:ascii="Arial" w:hAnsi="Arial" w:cs="Arial"/>
        </w:rPr>
        <w:t>s</w:t>
      </w:r>
      <w:r w:rsidR="008715A8" w:rsidRPr="00555295">
        <w:rPr>
          <w:rFonts w:ascii="Arial" w:hAnsi="Arial" w:cs="Arial"/>
        </w:rPr>
        <w:t xml:space="preserve"> filed o</w:t>
      </w:r>
      <w:r w:rsidR="000B226D">
        <w:rPr>
          <w:rFonts w:ascii="Arial" w:hAnsi="Arial" w:cs="Arial"/>
        </w:rPr>
        <w:t>n</w:t>
      </w:r>
      <w:r w:rsidR="008715A8" w:rsidRPr="00555295">
        <w:rPr>
          <w:rFonts w:ascii="Arial" w:hAnsi="Arial" w:cs="Arial"/>
        </w:rPr>
        <w:t xml:space="preserve"> record only dealt with Glen Ashton and not the other two farms. The court is also not alerted to the fact that in none of the notices </w:t>
      </w:r>
      <w:r w:rsidR="000127CF" w:rsidRPr="00555295">
        <w:rPr>
          <w:rFonts w:ascii="Arial" w:hAnsi="Arial" w:cs="Arial"/>
        </w:rPr>
        <w:t xml:space="preserve">published were </w:t>
      </w:r>
      <w:r w:rsidR="003B3F1D" w:rsidRPr="00555295">
        <w:rPr>
          <w:rFonts w:ascii="Arial" w:hAnsi="Arial" w:cs="Arial"/>
        </w:rPr>
        <w:t xml:space="preserve">the other two farms </w:t>
      </w:r>
      <w:r w:rsidR="000127CF" w:rsidRPr="00555295">
        <w:rPr>
          <w:rFonts w:ascii="Arial" w:hAnsi="Arial" w:cs="Arial"/>
        </w:rPr>
        <w:t>mention</w:t>
      </w:r>
      <w:r w:rsidR="003B3F1D">
        <w:rPr>
          <w:rFonts w:ascii="Arial" w:hAnsi="Arial" w:cs="Arial"/>
        </w:rPr>
        <w:t>ed</w:t>
      </w:r>
      <w:r w:rsidR="008715A8" w:rsidRPr="00555295">
        <w:rPr>
          <w:rFonts w:ascii="Arial" w:hAnsi="Arial" w:cs="Arial"/>
        </w:rPr>
        <w:t>. Consequently, the court order</w:t>
      </w:r>
      <w:r w:rsidR="003B3F1D">
        <w:rPr>
          <w:rFonts w:ascii="Arial" w:hAnsi="Arial" w:cs="Arial"/>
        </w:rPr>
        <w:t xml:space="preserve"> granted on 26 February 2020</w:t>
      </w:r>
      <w:r w:rsidR="003B3F1D">
        <w:rPr>
          <w:rStyle w:val="FootnoteReference"/>
          <w:rFonts w:ascii="Arial" w:hAnsi="Arial" w:cs="Arial"/>
        </w:rPr>
        <w:footnoteReference w:id="18"/>
      </w:r>
      <w:r w:rsidR="008715A8" w:rsidRPr="00555295">
        <w:rPr>
          <w:rFonts w:ascii="Arial" w:hAnsi="Arial" w:cs="Arial"/>
        </w:rPr>
        <w:t xml:space="preserve"> </w:t>
      </w:r>
      <w:r w:rsidR="000127CF" w:rsidRPr="00555295">
        <w:rPr>
          <w:rFonts w:ascii="Arial" w:hAnsi="Arial" w:cs="Arial"/>
        </w:rPr>
        <w:t>does not refer</w:t>
      </w:r>
      <w:r w:rsidR="008715A8" w:rsidRPr="00555295">
        <w:rPr>
          <w:rFonts w:ascii="Arial" w:hAnsi="Arial" w:cs="Arial"/>
        </w:rPr>
        <w:t xml:space="preserve"> to the farm Glen Ashton but only to the title deed number, which includes all three farms. From the foregoing</w:t>
      </w:r>
      <w:r w:rsidR="000127CF" w:rsidRPr="00555295">
        <w:rPr>
          <w:rFonts w:ascii="Arial" w:hAnsi="Arial" w:cs="Arial"/>
        </w:rPr>
        <w:t>,</w:t>
      </w:r>
      <w:r w:rsidR="008715A8" w:rsidRPr="00555295">
        <w:rPr>
          <w:rFonts w:ascii="Arial" w:hAnsi="Arial" w:cs="Arial"/>
        </w:rPr>
        <w:t xml:space="preserve"> the applicants contend that from the outset the issue of creating and maintain</w:t>
      </w:r>
      <w:r w:rsidR="000B226D">
        <w:rPr>
          <w:rFonts w:ascii="Arial" w:hAnsi="Arial" w:cs="Arial"/>
        </w:rPr>
        <w:t>ing</w:t>
      </w:r>
      <w:r w:rsidR="008715A8" w:rsidRPr="00555295">
        <w:rPr>
          <w:rFonts w:ascii="Arial" w:hAnsi="Arial" w:cs="Arial"/>
        </w:rPr>
        <w:t xml:space="preserve"> firebreaks was merely a ruse, and the real intention of the first respondent and its attorneys were to acquire the farm</w:t>
      </w:r>
      <w:r w:rsidR="00430875" w:rsidRPr="00555295">
        <w:rPr>
          <w:rFonts w:ascii="Arial" w:hAnsi="Arial" w:cs="Arial"/>
        </w:rPr>
        <w:t>s</w:t>
      </w:r>
      <w:r w:rsidR="008715A8" w:rsidRPr="00555295">
        <w:rPr>
          <w:rFonts w:ascii="Arial" w:hAnsi="Arial" w:cs="Arial"/>
        </w:rPr>
        <w:t xml:space="preserve"> in a dishonest manner by deliberately misleading the court.</w:t>
      </w:r>
    </w:p>
    <w:p w:rsidR="00C06E13" w:rsidRPr="00555295" w:rsidRDefault="00543F4A" w:rsidP="0027490A">
      <w:pPr>
        <w:spacing w:line="360" w:lineRule="auto"/>
        <w:ind w:left="720" w:hanging="720"/>
        <w:jc w:val="both"/>
        <w:rPr>
          <w:rFonts w:ascii="Arial" w:hAnsi="Arial" w:cs="Arial"/>
        </w:rPr>
      </w:pPr>
      <w:r w:rsidRPr="00555295">
        <w:rPr>
          <w:rFonts w:ascii="Arial" w:hAnsi="Arial" w:cs="Arial"/>
        </w:rPr>
        <w:t>(c)</w:t>
      </w:r>
      <w:r w:rsidRPr="00555295">
        <w:rPr>
          <w:rFonts w:ascii="Arial" w:hAnsi="Arial" w:cs="Arial"/>
        </w:rPr>
        <w:tab/>
        <w:t>The fi</w:t>
      </w:r>
      <w:r w:rsidR="00F20615" w:rsidRPr="00555295">
        <w:rPr>
          <w:rFonts w:ascii="Arial" w:hAnsi="Arial" w:cs="Arial"/>
        </w:rPr>
        <w:t xml:space="preserve">nal order was obtained by fraud, which includes </w:t>
      </w:r>
      <w:r w:rsidR="00D753AB" w:rsidRPr="00555295">
        <w:rPr>
          <w:rFonts w:ascii="Arial" w:hAnsi="Arial" w:cs="Arial"/>
        </w:rPr>
        <w:t>perjury in that the first respondent, or the deponent to the founding and supplementary affidavit</w:t>
      </w:r>
      <w:r w:rsidR="00430875" w:rsidRPr="00555295">
        <w:rPr>
          <w:rFonts w:ascii="Arial" w:hAnsi="Arial" w:cs="Arial"/>
        </w:rPr>
        <w:t>s, ga</w:t>
      </w:r>
      <w:r w:rsidR="00D753AB" w:rsidRPr="00555295">
        <w:rPr>
          <w:rFonts w:ascii="Arial" w:hAnsi="Arial" w:cs="Arial"/>
        </w:rPr>
        <w:t>ve incorrect evidence, which evidence was given fraudulently and with intent to mislead the court. Firstly, the deponent lied in the founding affidavit that there are no structures on the farm and that there are no person</w:t>
      </w:r>
      <w:r w:rsidR="00147A0B">
        <w:rPr>
          <w:rFonts w:ascii="Arial" w:hAnsi="Arial" w:cs="Arial"/>
        </w:rPr>
        <w:t>s</w:t>
      </w:r>
      <w:r w:rsidR="00D753AB" w:rsidRPr="00555295">
        <w:rPr>
          <w:rFonts w:ascii="Arial" w:hAnsi="Arial" w:cs="Arial"/>
        </w:rPr>
        <w:t xml:space="preserve"> exercising occupation or control over the </w:t>
      </w:r>
      <w:r w:rsidR="00430875" w:rsidRPr="00555295">
        <w:rPr>
          <w:rFonts w:ascii="Arial" w:hAnsi="Arial" w:cs="Arial"/>
        </w:rPr>
        <w:t>farms, which</w:t>
      </w:r>
      <w:r w:rsidR="00D753AB" w:rsidRPr="00555295">
        <w:rPr>
          <w:rFonts w:ascii="Arial" w:hAnsi="Arial" w:cs="Arial"/>
        </w:rPr>
        <w:t xml:space="preserve"> is patently false. The deponent made </w:t>
      </w:r>
      <w:r w:rsidR="00430875" w:rsidRPr="00555295">
        <w:rPr>
          <w:rFonts w:ascii="Arial" w:hAnsi="Arial" w:cs="Arial"/>
        </w:rPr>
        <w:t>allegations, which are so palpably implausible</w:t>
      </w:r>
      <w:r w:rsidR="00D753AB" w:rsidRPr="00555295">
        <w:rPr>
          <w:rFonts w:ascii="Arial" w:hAnsi="Arial" w:cs="Arial"/>
        </w:rPr>
        <w:t xml:space="preserve"> and patently false that the first respondent could not trace the owners of the farm. With farm labourers living on the farm, a very simple enquiry with them would have </w:t>
      </w:r>
      <w:r w:rsidR="00147A0B" w:rsidRPr="00555295">
        <w:rPr>
          <w:rFonts w:ascii="Arial" w:hAnsi="Arial" w:cs="Arial"/>
        </w:rPr>
        <w:t>led</w:t>
      </w:r>
      <w:r w:rsidR="00D753AB" w:rsidRPr="00555295">
        <w:rPr>
          <w:rFonts w:ascii="Arial" w:hAnsi="Arial" w:cs="Arial"/>
        </w:rPr>
        <w:t xml:space="preserve"> the first respondent to the persons running the farms and the surviving co-owners thereo</w:t>
      </w:r>
      <w:r w:rsidR="006B7C2C" w:rsidRPr="00555295">
        <w:rPr>
          <w:rFonts w:ascii="Arial" w:hAnsi="Arial" w:cs="Arial"/>
        </w:rPr>
        <w:t>f. In this regard</w:t>
      </w:r>
      <w:r w:rsidR="00B35C01" w:rsidRPr="00555295">
        <w:rPr>
          <w:rFonts w:ascii="Arial" w:hAnsi="Arial" w:cs="Arial"/>
        </w:rPr>
        <w:t>, the applicants</w:t>
      </w:r>
      <w:r w:rsidR="006B7C2C" w:rsidRPr="00555295">
        <w:rPr>
          <w:rFonts w:ascii="Arial" w:hAnsi="Arial" w:cs="Arial"/>
        </w:rPr>
        <w:t xml:space="preserve"> </w:t>
      </w:r>
      <w:r w:rsidR="00D753AB" w:rsidRPr="00555295">
        <w:rPr>
          <w:rFonts w:ascii="Arial" w:hAnsi="Arial" w:cs="Arial"/>
        </w:rPr>
        <w:t>found it astounding t</w:t>
      </w:r>
      <w:r w:rsidR="00014494" w:rsidRPr="00555295">
        <w:rPr>
          <w:rFonts w:ascii="Arial" w:hAnsi="Arial" w:cs="Arial"/>
        </w:rPr>
        <w:t>hat Strauss, who is not from the area</w:t>
      </w:r>
      <w:r w:rsidR="00147A0B">
        <w:rPr>
          <w:rFonts w:ascii="Arial" w:hAnsi="Arial" w:cs="Arial"/>
        </w:rPr>
        <w:t>,</w:t>
      </w:r>
      <w:r w:rsidR="00014494" w:rsidRPr="00555295">
        <w:rPr>
          <w:rFonts w:ascii="Arial" w:hAnsi="Arial" w:cs="Arial"/>
        </w:rPr>
        <w:t xml:space="preserve"> had no difficulty in tracing the surviving owners of the farms. Yet the first respondent, who is from the area, and whose properties are adjacent to the farms found it impossible to do so. With the d</w:t>
      </w:r>
      <w:r w:rsidR="006B7C2C" w:rsidRPr="00555295">
        <w:rPr>
          <w:rFonts w:ascii="Arial" w:hAnsi="Arial" w:cs="Arial"/>
        </w:rPr>
        <w:t xml:space="preserve">eponent attaching </w:t>
      </w:r>
      <w:r w:rsidR="00147A0B">
        <w:rPr>
          <w:rFonts w:ascii="Arial" w:hAnsi="Arial" w:cs="Arial"/>
        </w:rPr>
        <w:t>the final liquidation and distribution account</w:t>
      </w:r>
      <w:r w:rsidR="00147A0B">
        <w:rPr>
          <w:rStyle w:val="FootnoteReference"/>
          <w:rFonts w:ascii="Arial" w:hAnsi="Arial" w:cs="Arial"/>
        </w:rPr>
        <w:footnoteReference w:id="19"/>
      </w:r>
      <w:r w:rsidR="00147A0B">
        <w:rPr>
          <w:rFonts w:ascii="Arial" w:hAnsi="Arial" w:cs="Arial"/>
        </w:rPr>
        <w:t xml:space="preserve"> </w:t>
      </w:r>
      <w:r w:rsidR="00014494" w:rsidRPr="00555295">
        <w:rPr>
          <w:rFonts w:ascii="Arial" w:hAnsi="Arial" w:cs="Arial"/>
        </w:rPr>
        <w:t>to the founding affidavit, a simple enquiry with the Master of the High Court would have provided the first respondent with the details of the executrix of the estate, and the details of the heirs.</w:t>
      </w:r>
    </w:p>
    <w:p w:rsidR="00FD2FED" w:rsidRDefault="00FD2FED" w:rsidP="0027490A">
      <w:pPr>
        <w:spacing w:line="360" w:lineRule="auto"/>
        <w:ind w:left="720" w:hanging="720"/>
        <w:jc w:val="both"/>
        <w:rPr>
          <w:rFonts w:ascii="Arial" w:hAnsi="Arial" w:cs="Arial"/>
        </w:rPr>
      </w:pPr>
      <w:r w:rsidRPr="00555295">
        <w:rPr>
          <w:rFonts w:ascii="Arial" w:hAnsi="Arial" w:cs="Arial"/>
        </w:rPr>
        <w:t>(d)</w:t>
      </w:r>
      <w:r w:rsidRPr="00555295">
        <w:rPr>
          <w:rFonts w:ascii="Arial" w:hAnsi="Arial" w:cs="Arial"/>
        </w:rPr>
        <w:tab/>
      </w:r>
      <w:r w:rsidR="00636484" w:rsidRPr="00555295">
        <w:rPr>
          <w:rFonts w:ascii="Arial" w:hAnsi="Arial" w:cs="Arial"/>
        </w:rPr>
        <w:t>The deponent to the affidavits filed o</w:t>
      </w:r>
      <w:r w:rsidR="000B226D">
        <w:rPr>
          <w:rFonts w:ascii="Arial" w:hAnsi="Arial" w:cs="Arial"/>
        </w:rPr>
        <w:t>n</w:t>
      </w:r>
      <w:r w:rsidR="00636484" w:rsidRPr="00555295">
        <w:rPr>
          <w:rFonts w:ascii="Arial" w:hAnsi="Arial" w:cs="Arial"/>
        </w:rPr>
        <w:t xml:space="preserve"> record by the first respondent makes no mention of the fact that there are cattle grazing on the farms, which would have </w:t>
      </w:r>
      <w:r w:rsidR="00636484" w:rsidRPr="00555295">
        <w:rPr>
          <w:rFonts w:ascii="Arial" w:hAnsi="Arial" w:cs="Arial"/>
        </w:rPr>
        <w:lastRenderedPageBreak/>
        <w:t>been a clear indication</w:t>
      </w:r>
      <w:r w:rsidR="001134DC" w:rsidRPr="00555295">
        <w:rPr>
          <w:rFonts w:ascii="Arial" w:hAnsi="Arial" w:cs="Arial"/>
        </w:rPr>
        <w:t xml:space="preserve"> that the farms are being utilis</w:t>
      </w:r>
      <w:r w:rsidR="00636484" w:rsidRPr="00555295">
        <w:rPr>
          <w:rFonts w:ascii="Arial" w:hAnsi="Arial" w:cs="Arial"/>
        </w:rPr>
        <w:t>ed. Most telling</w:t>
      </w:r>
      <w:r w:rsidR="007A0DB2" w:rsidRPr="00555295">
        <w:rPr>
          <w:rFonts w:ascii="Arial" w:hAnsi="Arial" w:cs="Arial"/>
        </w:rPr>
        <w:t>,</w:t>
      </w:r>
      <w:r w:rsidR="00636484" w:rsidRPr="00555295">
        <w:rPr>
          <w:rFonts w:ascii="Arial" w:hAnsi="Arial" w:cs="Arial"/>
        </w:rPr>
        <w:t xml:space="preserve"> is the fact that </w:t>
      </w:r>
      <w:r w:rsidR="001134DC" w:rsidRPr="00555295">
        <w:rPr>
          <w:rFonts w:ascii="Arial" w:hAnsi="Arial" w:cs="Arial"/>
        </w:rPr>
        <w:t>although the farms are landlocked</w:t>
      </w:r>
      <w:r w:rsidR="001346EF" w:rsidRPr="00555295">
        <w:rPr>
          <w:rFonts w:ascii="Arial" w:hAnsi="Arial" w:cs="Arial"/>
        </w:rPr>
        <w:t>,</w:t>
      </w:r>
      <w:r w:rsidR="00636484" w:rsidRPr="00555295">
        <w:rPr>
          <w:rFonts w:ascii="Arial" w:hAnsi="Arial" w:cs="Arial"/>
        </w:rPr>
        <w:t xml:space="preserve"> Paul Geldenhuys could access them through an access pass</w:t>
      </w:r>
      <w:r w:rsidR="00494E5C">
        <w:rPr>
          <w:rFonts w:ascii="Arial" w:hAnsi="Arial" w:cs="Arial"/>
        </w:rPr>
        <w:t>,</w:t>
      </w:r>
      <w:r w:rsidR="00494E5C">
        <w:rPr>
          <w:rStyle w:val="FootnoteReference"/>
          <w:rFonts w:ascii="Arial" w:hAnsi="Arial" w:cs="Arial"/>
        </w:rPr>
        <w:footnoteReference w:id="20"/>
      </w:r>
      <w:r w:rsidR="00494E5C">
        <w:rPr>
          <w:rFonts w:ascii="Arial" w:hAnsi="Arial" w:cs="Arial"/>
        </w:rPr>
        <w:t xml:space="preserve"> </w:t>
      </w:r>
      <w:r w:rsidR="005915DB" w:rsidRPr="00555295">
        <w:rPr>
          <w:rFonts w:ascii="Arial" w:hAnsi="Arial" w:cs="Arial"/>
        </w:rPr>
        <w:t>issued by Vulintaba County Estate (an entity of the first respon</w:t>
      </w:r>
      <w:r w:rsidR="001134DC" w:rsidRPr="00555295">
        <w:rPr>
          <w:rFonts w:ascii="Arial" w:hAnsi="Arial" w:cs="Arial"/>
        </w:rPr>
        <w:t>dent). It is noted that the pass</w:t>
      </w:r>
      <w:r w:rsidR="005915DB" w:rsidRPr="00555295">
        <w:rPr>
          <w:rFonts w:ascii="Arial" w:hAnsi="Arial" w:cs="Arial"/>
        </w:rPr>
        <w:t xml:space="preserve"> was issued</w:t>
      </w:r>
      <w:r w:rsidR="001346EF" w:rsidRPr="00555295">
        <w:rPr>
          <w:rFonts w:ascii="Arial" w:hAnsi="Arial" w:cs="Arial"/>
        </w:rPr>
        <w:t>,</w:t>
      </w:r>
      <w:r w:rsidR="005915DB" w:rsidRPr="00555295">
        <w:rPr>
          <w:rFonts w:ascii="Arial" w:hAnsi="Arial" w:cs="Arial"/>
        </w:rPr>
        <w:t xml:space="preserve"> in June 2019, a month after the ex parte application was launched, and eight months before the first respondent obtain the final order. So,</w:t>
      </w:r>
      <w:r w:rsidR="001134DC" w:rsidRPr="00555295">
        <w:rPr>
          <w:rFonts w:ascii="Arial" w:hAnsi="Arial" w:cs="Arial"/>
        </w:rPr>
        <w:t xml:space="preserve"> it is argued</w:t>
      </w:r>
      <w:r w:rsidR="00FD3C52" w:rsidRPr="00555295">
        <w:rPr>
          <w:rFonts w:ascii="Arial" w:hAnsi="Arial" w:cs="Arial"/>
        </w:rPr>
        <w:t>, at</w:t>
      </w:r>
      <w:r w:rsidR="005915DB" w:rsidRPr="00555295">
        <w:rPr>
          <w:rFonts w:ascii="Arial" w:hAnsi="Arial" w:cs="Arial"/>
        </w:rPr>
        <w:t xml:space="preserve"> the time when the final order was obtained, the first respondent knew that the facts upon which the relief sought was premised were not true.</w:t>
      </w:r>
    </w:p>
    <w:p w:rsidR="0027490A" w:rsidRPr="00555295" w:rsidRDefault="0027490A" w:rsidP="0027490A">
      <w:pPr>
        <w:spacing w:line="360" w:lineRule="auto"/>
        <w:ind w:left="720" w:hanging="720"/>
        <w:jc w:val="both"/>
        <w:rPr>
          <w:rFonts w:ascii="Arial" w:hAnsi="Arial" w:cs="Arial"/>
        </w:rPr>
      </w:pPr>
    </w:p>
    <w:p w:rsidR="00D71098" w:rsidRPr="00555295" w:rsidRDefault="00D71098" w:rsidP="00555295">
      <w:pPr>
        <w:spacing w:line="360" w:lineRule="auto"/>
        <w:jc w:val="both"/>
        <w:rPr>
          <w:rFonts w:ascii="Arial" w:hAnsi="Arial" w:cs="Arial"/>
        </w:rPr>
      </w:pPr>
      <w:r w:rsidRPr="00555295">
        <w:rPr>
          <w:rFonts w:ascii="Arial" w:hAnsi="Arial" w:cs="Arial"/>
        </w:rPr>
        <w:t>[31]</w:t>
      </w:r>
      <w:r w:rsidRPr="00555295">
        <w:rPr>
          <w:rFonts w:ascii="Arial" w:hAnsi="Arial" w:cs="Arial"/>
        </w:rPr>
        <w:tab/>
        <w:t>The applicant</w:t>
      </w:r>
      <w:r w:rsidR="001134DC" w:rsidRPr="00555295">
        <w:rPr>
          <w:rFonts w:ascii="Arial" w:hAnsi="Arial" w:cs="Arial"/>
        </w:rPr>
        <w:t>s aver</w:t>
      </w:r>
      <w:r w:rsidRPr="00555295">
        <w:rPr>
          <w:rFonts w:ascii="Arial" w:hAnsi="Arial" w:cs="Arial"/>
        </w:rPr>
        <w:t xml:space="preserve"> that neither of them had knowledge of the </w:t>
      </w:r>
      <w:r w:rsidR="001134DC" w:rsidRPr="00494E5C">
        <w:rPr>
          <w:rFonts w:ascii="Arial" w:hAnsi="Arial" w:cs="Arial"/>
        </w:rPr>
        <w:t>ex parte</w:t>
      </w:r>
      <w:r w:rsidR="001134DC" w:rsidRPr="00555295">
        <w:rPr>
          <w:rFonts w:ascii="Arial" w:hAnsi="Arial" w:cs="Arial"/>
        </w:rPr>
        <w:t xml:space="preserve"> </w:t>
      </w:r>
      <w:r w:rsidRPr="00555295">
        <w:rPr>
          <w:rFonts w:ascii="Arial" w:hAnsi="Arial" w:cs="Arial"/>
        </w:rPr>
        <w:t xml:space="preserve">application and </w:t>
      </w:r>
      <w:r w:rsidR="001134DC" w:rsidRPr="00555295">
        <w:rPr>
          <w:rFonts w:ascii="Arial" w:hAnsi="Arial" w:cs="Arial"/>
        </w:rPr>
        <w:t xml:space="preserve">the </w:t>
      </w:r>
      <w:r w:rsidRPr="00555295">
        <w:rPr>
          <w:rFonts w:ascii="Arial" w:hAnsi="Arial" w:cs="Arial"/>
        </w:rPr>
        <w:t>subsequent orders granted. And</w:t>
      </w:r>
      <w:r w:rsidR="00A64F24" w:rsidRPr="00555295">
        <w:rPr>
          <w:rFonts w:ascii="Arial" w:hAnsi="Arial" w:cs="Arial"/>
        </w:rPr>
        <w:t>,</w:t>
      </w:r>
      <w:r w:rsidRPr="00555295">
        <w:rPr>
          <w:rFonts w:ascii="Arial" w:hAnsi="Arial" w:cs="Arial"/>
        </w:rPr>
        <w:t xml:space="preserve"> neither of them </w:t>
      </w:r>
      <w:r w:rsidR="00422450" w:rsidRPr="00555295">
        <w:rPr>
          <w:rFonts w:ascii="Arial" w:hAnsi="Arial" w:cs="Arial"/>
        </w:rPr>
        <w:t>was</w:t>
      </w:r>
      <w:r w:rsidRPr="00555295">
        <w:rPr>
          <w:rFonts w:ascii="Arial" w:hAnsi="Arial" w:cs="Arial"/>
        </w:rPr>
        <w:t xml:space="preserve"> given proper notice of the proceedings. The advertisement</w:t>
      </w:r>
      <w:r w:rsidR="001134DC" w:rsidRPr="00555295">
        <w:rPr>
          <w:rFonts w:ascii="Arial" w:hAnsi="Arial" w:cs="Arial"/>
        </w:rPr>
        <w:t>s</w:t>
      </w:r>
      <w:r w:rsidRPr="00555295">
        <w:rPr>
          <w:rFonts w:ascii="Arial" w:hAnsi="Arial" w:cs="Arial"/>
        </w:rPr>
        <w:t xml:space="preserve"> in the newspapers did not come to their attention </w:t>
      </w:r>
      <w:r w:rsidR="00F1728D" w:rsidRPr="00555295">
        <w:rPr>
          <w:rFonts w:ascii="Arial" w:hAnsi="Arial" w:cs="Arial"/>
        </w:rPr>
        <w:t xml:space="preserve">and </w:t>
      </w:r>
      <w:r w:rsidR="00575743">
        <w:rPr>
          <w:rFonts w:ascii="Arial" w:hAnsi="Arial" w:cs="Arial"/>
        </w:rPr>
        <w:t xml:space="preserve">they </w:t>
      </w:r>
      <w:r w:rsidR="00F1728D" w:rsidRPr="00555295">
        <w:rPr>
          <w:rFonts w:ascii="Arial" w:hAnsi="Arial" w:cs="Arial"/>
        </w:rPr>
        <w:t xml:space="preserve">only became aware of the fact that an order was granted in the </w:t>
      </w:r>
      <w:r w:rsidR="00813F42" w:rsidRPr="00555295">
        <w:rPr>
          <w:rFonts w:ascii="Arial" w:hAnsi="Arial" w:cs="Arial"/>
        </w:rPr>
        <w:t>manner described herein earlier.</w:t>
      </w:r>
      <w:r w:rsidR="00FD3C52" w:rsidRPr="00555295">
        <w:rPr>
          <w:rFonts w:ascii="Arial" w:hAnsi="Arial" w:cs="Arial"/>
        </w:rPr>
        <w:t xml:space="preserve"> </w:t>
      </w:r>
    </w:p>
    <w:p w:rsidR="001E438B" w:rsidRPr="00555295" w:rsidRDefault="001E438B" w:rsidP="00555295">
      <w:pPr>
        <w:spacing w:line="360" w:lineRule="auto"/>
        <w:jc w:val="both"/>
        <w:rPr>
          <w:rFonts w:ascii="Arial" w:hAnsi="Arial" w:cs="Arial"/>
        </w:rPr>
      </w:pPr>
    </w:p>
    <w:p w:rsidR="00F1728D" w:rsidRPr="00555295" w:rsidRDefault="00F1728D" w:rsidP="00555295">
      <w:pPr>
        <w:spacing w:line="360" w:lineRule="auto"/>
        <w:jc w:val="both"/>
        <w:rPr>
          <w:rFonts w:ascii="Arial" w:hAnsi="Arial" w:cs="Arial"/>
        </w:rPr>
      </w:pPr>
      <w:r w:rsidRPr="00555295">
        <w:rPr>
          <w:rFonts w:ascii="Arial" w:hAnsi="Arial" w:cs="Arial"/>
        </w:rPr>
        <w:t>[32]</w:t>
      </w:r>
      <w:r w:rsidRPr="00555295">
        <w:rPr>
          <w:rFonts w:ascii="Arial" w:hAnsi="Arial" w:cs="Arial"/>
        </w:rPr>
        <w:tab/>
        <w:t xml:space="preserve">Therefore, they aver, this application is brought in terms of Uniform </w:t>
      </w:r>
      <w:r w:rsidR="0027490A">
        <w:rPr>
          <w:rFonts w:ascii="Arial" w:hAnsi="Arial" w:cs="Arial"/>
        </w:rPr>
        <w:t>r</w:t>
      </w:r>
      <w:r w:rsidRPr="00555295">
        <w:rPr>
          <w:rFonts w:ascii="Arial" w:hAnsi="Arial" w:cs="Arial"/>
        </w:rPr>
        <w:t>ule 42(1), alternatively under common law, a</w:t>
      </w:r>
      <w:r w:rsidR="0016389D" w:rsidRPr="00555295">
        <w:rPr>
          <w:rFonts w:ascii="Arial" w:hAnsi="Arial" w:cs="Arial"/>
        </w:rPr>
        <w:t>lternatively based on a breach</w:t>
      </w:r>
      <w:r w:rsidRPr="00555295">
        <w:rPr>
          <w:rFonts w:ascii="Arial" w:hAnsi="Arial" w:cs="Arial"/>
        </w:rPr>
        <w:t xml:space="preserve"> of a fundamental right, either through the development of the common law, or through an appropriate constitutional remedy. The applicants submit that they clearly have a direct and substantial interest in the order granted, and as such should be joined to the</w:t>
      </w:r>
      <w:r w:rsidR="0016389D" w:rsidRPr="00555295">
        <w:rPr>
          <w:rFonts w:ascii="Arial" w:hAnsi="Arial" w:cs="Arial"/>
        </w:rPr>
        <w:t xml:space="preserve"> </w:t>
      </w:r>
      <w:r w:rsidR="0016389D" w:rsidRPr="00494E5C">
        <w:rPr>
          <w:rFonts w:ascii="Arial" w:hAnsi="Arial" w:cs="Arial"/>
        </w:rPr>
        <w:t>ex parte</w:t>
      </w:r>
      <w:r w:rsidRPr="00555295">
        <w:rPr>
          <w:rFonts w:ascii="Arial" w:hAnsi="Arial" w:cs="Arial"/>
        </w:rPr>
        <w:t xml:space="preserve"> application.</w:t>
      </w:r>
    </w:p>
    <w:p w:rsidR="001E438B" w:rsidRPr="00555295" w:rsidRDefault="001E438B" w:rsidP="00555295">
      <w:pPr>
        <w:spacing w:line="360" w:lineRule="auto"/>
        <w:jc w:val="both"/>
        <w:rPr>
          <w:rFonts w:ascii="Arial" w:hAnsi="Arial" w:cs="Arial"/>
        </w:rPr>
      </w:pPr>
    </w:p>
    <w:p w:rsidR="001E438B" w:rsidRPr="00555295" w:rsidRDefault="001E438B" w:rsidP="00555295">
      <w:pPr>
        <w:spacing w:line="360" w:lineRule="auto"/>
        <w:jc w:val="both"/>
        <w:rPr>
          <w:rFonts w:ascii="Arial" w:hAnsi="Arial" w:cs="Arial"/>
        </w:rPr>
      </w:pPr>
      <w:r w:rsidRPr="00555295">
        <w:rPr>
          <w:rFonts w:ascii="Arial" w:hAnsi="Arial" w:cs="Arial"/>
        </w:rPr>
        <w:t>[33]</w:t>
      </w:r>
      <w:r w:rsidRPr="00555295">
        <w:rPr>
          <w:rFonts w:ascii="Arial" w:hAnsi="Arial" w:cs="Arial"/>
        </w:rPr>
        <w:tab/>
      </w:r>
      <w:r w:rsidR="00494E5C">
        <w:rPr>
          <w:rFonts w:ascii="Arial" w:hAnsi="Arial" w:cs="Arial"/>
        </w:rPr>
        <w:t>The applicants submit that b</w:t>
      </w:r>
      <w:r w:rsidRPr="00555295">
        <w:rPr>
          <w:rFonts w:ascii="Arial" w:hAnsi="Arial" w:cs="Arial"/>
        </w:rPr>
        <w:t>ased on the allegation</w:t>
      </w:r>
      <w:r w:rsidR="0016389D" w:rsidRPr="00555295">
        <w:rPr>
          <w:rFonts w:ascii="Arial" w:hAnsi="Arial" w:cs="Arial"/>
        </w:rPr>
        <w:t>s</w:t>
      </w:r>
      <w:r w:rsidRPr="00555295">
        <w:rPr>
          <w:rFonts w:ascii="Arial" w:hAnsi="Arial" w:cs="Arial"/>
        </w:rPr>
        <w:t xml:space="preserve"> se</w:t>
      </w:r>
      <w:r w:rsidR="00221831" w:rsidRPr="00555295">
        <w:rPr>
          <w:rFonts w:ascii="Arial" w:hAnsi="Arial" w:cs="Arial"/>
        </w:rPr>
        <w:t>t out in the founding affidavit;</w:t>
      </w:r>
      <w:r w:rsidRPr="00555295">
        <w:rPr>
          <w:rFonts w:ascii="Arial" w:hAnsi="Arial" w:cs="Arial"/>
        </w:rPr>
        <w:t xml:space="preserve"> the evidentiary material attache</w:t>
      </w:r>
      <w:r w:rsidR="0016389D" w:rsidRPr="00555295">
        <w:rPr>
          <w:rFonts w:ascii="Arial" w:hAnsi="Arial" w:cs="Arial"/>
        </w:rPr>
        <w:t>d as proof of these allegations;</w:t>
      </w:r>
      <w:r w:rsidRPr="00555295">
        <w:rPr>
          <w:rFonts w:ascii="Arial" w:hAnsi="Arial" w:cs="Arial"/>
        </w:rPr>
        <w:t xml:space="preserve"> the confirmatory affidavit</w:t>
      </w:r>
      <w:r w:rsidR="0016389D" w:rsidRPr="00555295">
        <w:rPr>
          <w:rFonts w:ascii="Arial" w:hAnsi="Arial" w:cs="Arial"/>
        </w:rPr>
        <w:t>s</w:t>
      </w:r>
      <w:r w:rsidRPr="00555295">
        <w:rPr>
          <w:rFonts w:ascii="Arial" w:hAnsi="Arial" w:cs="Arial"/>
        </w:rPr>
        <w:t xml:space="preserve"> of Flippie and the second </w:t>
      </w:r>
      <w:r w:rsidR="0016389D" w:rsidRPr="00555295">
        <w:rPr>
          <w:rFonts w:ascii="Arial" w:hAnsi="Arial" w:cs="Arial"/>
        </w:rPr>
        <w:t>respondent; and inferences</w:t>
      </w:r>
      <w:r w:rsidR="00221831" w:rsidRPr="00555295">
        <w:rPr>
          <w:rFonts w:ascii="Arial" w:hAnsi="Arial" w:cs="Arial"/>
        </w:rPr>
        <w:t xml:space="preserve"> that</w:t>
      </w:r>
      <w:r w:rsidRPr="00555295">
        <w:rPr>
          <w:rFonts w:ascii="Arial" w:hAnsi="Arial" w:cs="Arial"/>
        </w:rPr>
        <w:t xml:space="preserve"> may properly be drawn from a conspectus of the evidence, the cost</w:t>
      </w:r>
      <w:r w:rsidR="00494E5C">
        <w:rPr>
          <w:rFonts w:ascii="Arial" w:hAnsi="Arial" w:cs="Arial"/>
        </w:rPr>
        <w:t>s</w:t>
      </w:r>
      <w:r w:rsidRPr="00555295">
        <w:rPr>
          <w:rFonts w:ascii="Arial" w:hAnsi="Arial" w:cs="Arial"/>
        </w:rPr>
        <w:t xml:space="preserve"> of the application </w:t>
      </w:r>
      <w:r w:rsidR="00575743">
        <w:rPr>
          <w:rFonts w:ascii="Arial" w:hAnsi="Arial" w:cs="Arial"/>
        </w:rPr>
        <w:t xml:space="preserve">are to </w:t>
      </w:r>
      <w:r w:rsidRPr="00555295">
        <w:rPr>
          <w:rFonts w:ascii="Arial" w:hAnsi="Arial" w:cs="Arial"/>
        </w:rPr>
        <w:t>be paid by the first respondent, jointly and severally with its attorneys, Messrs Kruger Attorneys and Conveyancers</w:t>
      </w:r>
      <w:r w:rsidR="00A67CA1" w:rsidRPr="00555295">
        <w:rPr>
          <w:rFonts w:ascii="Arial" w:hAnsi="Arial" w:cs="Arial"/>
        </w:rPr>
        <w:t>,</w:t>
      </w:r>
      <w:r w:rsidRPr="00555295">
        <w:rPr>
          <w:rFonts w:ascii="Arial" w:hAnsi="Arial" w:cs="Arial"/>
        </w:rPr>
        <w:t xml:space="preserve"> </w:t>
      </w:r>
      <w:r w:rsidR="00FD600F" w:rsidRPr="00555295">
        <w:rPr>
          <w:rFonts w:ascii="Arial" w:hAnsi="Arial" w:cs="Arial"/>
        </w:rPr>
        <w:t>on the scale as between attorney and client. The applicants further submit that the conduct of the first respondent’</w:t>
      </w:r>
      <w:r w:rsidR="00A67CA1" w:rsidRPr="00555295">
        <w:rPr>
          <w:rFonts w:ascii="Arial" w:hAnsi="Arial" w:cs="Arial"/>
        </w:rPr>
        <w:t>s attorneys be referred to the L</w:t>
      </w:r>
      <w:r w:rsidR="00FD600F" w:rsidRPr="00555295">
        <w:rPr>
          <w:rFonts w:ascii="Arial" w:hAnsi="Arial" w:cs="Arial"/>
        </w:rPr>
        <w:t xml:space="preserve">egal Practice </w:t>
      </w:r>
      <w:r w:rsidR="00FD600F" w:rsidRPr="00555295">
        <w:rPr>
          <w:rFonts w:ascii="Arial" w:hAnsi="Arial" w:cs="Arial"/>
        </w:rPr>
        <w:lastRenderedPageBreak/>
        <w:t>Council for investigation, while that of the first respondent, its directors</w:t>
      </w:r>
      <w:r w:rsidR="00A67CA1" w:rsidRPr="00555295">
        <w:rPr>
          <w:rFonts w:ascii="Arial" w:hAnsi="Arial" w:cs="Arial"/>
        </w:rPr>
        <w:t xml:space="preserve"> and its legal advisor, to the S</w:t>
      </w:r>
      <w:r w:rsidR="00FD600F" w:rsidRPr="00555295">
        <w:rPr>
          <w:rFonts w:ascii="Arial" w:hAnsi="Arial" w:cs="Arial"/>
        </w:rPr>
        <w:t xml:space="preserve">pecial </w:t>
      </w:r>
      <w:r w:rsidR="00551333" w:rsidRPr="00555295">
        <w:rPr>
          <w:rFonts w:ascii="Arial" w:hAnsi="Arial" w:cs="Arial"/>
        </w:rPr>
        <w:t>Investigative Unit</w:t>
      </w:r>
      <w:r w:rsidR="00FD600F" w:rsidRPr="00555295">
        <w:rPr>
          <w:rFonts w:ascii="Arial" w:hAnsi="Arial" w:cs="Arial"/>
        </w:rPr>
        <w:t xml:space="preserve"> </w:t>
      </w:r>
      <w:r w:rsidR="000C2E65" w:rsidRPr="00555295">
        <w:rPr>
          <w:rFonts w:ascii="Arial" w:hAnsi="Arial" w:cs="Arial"/>
        </w:rPr>
        <w:t>(</w:t>
      </w:r>
      <w:r w:rsidR="00494E5C">
        <w:rPr>
          <w:rFonts w:ascii="Arial" w:hAnsi="Arial" w:cs="Arial"/>
        </w:rPr>
        <w:t>“</w:t>
      </w:r>
      <w:r w:rsidR="000C2E65" w:rsidRPr="00555295">
        <w:rPr>
          <w:rFonts w:ascii="Arial" w:hAnsi="Arial" w:cs="Arial"/>
        </w:rPr>
        <w:t>SIU</w:t>
      </w:r>
      <w:r w:rsidR="00494E5C">
        <w:rPr>
          <w:rFonts w:ascii="Arial" w:hAnsi="Arial" w:cs="Arial"/>
        </w:rPr>
        <w:t>”</w:t>
      </w:r>
      <w:r w:rsidR="000C2E65" w:rsidRPr="00555295">
        <w:rPr>
          <w:rFonts w:ascii="Arial" w:hAnsi="Arial" w:cs="Arial"/>
        </w:rPr>
        <w:t>) for investigation.</w:t>
      </w:r>
    </w:p>
    <w:p w:rsidR="00551333" w:rsidRPr="00555295" w:rsidRDefault="00551333" w:rsidP="00555295">
      <w:pPr>
        <w:spacing w:line="360" w:lineRule="auto"/>
        <w:jc w:val="both"/>
        <w:rPr>
          <w:rFonts w:ascii="Arial" w:hAnsi="Arial" w:cs="Arial"/>
        </w:rPr>
      </w:pPr>
    </w:p>
    <w:p w:rsidR="00551333" w:rsidRPr="00555295" w:rsidRDefault="00551333" w:rsidP="00555295">
      <w:pPr>
        <w:spacing w:line="360" w:lineRule="auto"/>
        <w:jc w:val="both"/>
        <w:rPr>
          <w:rFonts w:ascii="Arial" w:hAnsi="Arial" w:cs="Arial"/>
          <w:b/>
        </w:rPr>
      </w:pPr>
      <w:r w:rsidRPr="00555295">
        <w:rPr>
          <w:rFonts w:ascii="Arial" w:hAnsi="Arial" w:cs="Arial"/>
          <w:b/>
        </w:rPr>
        <w:t xml:space="preserve">The </w:t>
      </w:r>
      <w:r w:rsidR="0027490A">
        <w:rPr>
          <w:rFonts w:ascii="Arial" w:hAnsi="Arial" w:cs="Arial"/>
          <w:b/>
        </w:rPr>
        <w:t>f</w:t>
      </w:r>
      <w:r w:rsidRPr="00555295">
        <w:rPr>
          <w:rFonts w:ascii="Arial" w:hAnsi="Arial" w:cs="Arial"/>
          <w:b/>
        </w:rPr>
        <w:t xml:space="preserve">irst </w:t>
      </w:r>
      <w:r w:rsidR="0027490A">
        <w:rPr>
          <w:rFonts w:ascii="Arial" w:hAnsi="Arial" w:cs="Arial"/>
          <w:b/>
        </w:rPr>
        <w:t>r</w:t>
      </w:r>
      <w:r w:rsidRPr="00555295">
        <w:rPr>
          <w:rFonts w:ascii="Arial" w:hAnsi="Arial" w:cs="Arial"/>
          <w:b/>
        </w:rPr>
        <w:t xml:space="preserve">espondent’s </w:t>
      </w:r>
      <w:r w:rsidR="0027490A">
        <w:rPr>
          <w:rFonts w:ascii="Arial" w:hAnsi="Arial" w:cs="Arial"/>
          <w:b/>
        </w:rPr>
        <w:t>c</w:t>
      </w:r>
      <w:r w:rsidRPr="00555295">
        <w:rPr>
          <w:rFonts w:ascii="Arial" w:hAnsi="Arial" w:cs="Arial"/>
          <w:b/>
        </w:rPr>
        <w:t>ase</w:t>
      </w:r>
    </w:p>
    <w:p w:rsidR="00551333" w:rsidRPr="00555295" w:rsidRDefault="00531D06" w:rsidP="00555295">
      <w:pPr>
        <w:spacing w:line="360" w:lineRule="auto"/>
        <w:jc w:val="both"/>
        <w:rPr>
          <w:rFonts w:ascii="Arial" w:hAnsi="Arial" w:cs="Arial"/>
        </w:rPr>
      </w:pPr>
      <w:r>
        <w:rPr>
          <w:rFonts w:ascii="Arial" w:hAnsi="Arial" w:cs="Arial"/>
        </w:rPr>
        <w:t>[34]</w:t>
      </w:r>
      <w:r>
        <w:rPr>
          <w:rFonts w:ascii="Arial" w:hAnsi="Arial" w:cs="Arial"/>
        </w:rPr>
        <w:tab/>
        <w:t xml:space="preserve">As a starting point, </w:t>
      </w:r>
      <w:r w:rsidR="00551333" w:rsidRPr="00555295">
        <w:rPr>
          <w:rFonts w:ascii="Arial" w:hAnsi="Arial" w:cs="Arial"/>
        </w:rPr>
        <w:t xml:space="preserve">the first respondent avers </w:t>
      </w:r>
      <w:r w:rsidR="00551333" w:rsidRPr="00CE591B">
        <w:rPr>
          <w:rFonts w:ascii="Arial" w:hAnsi="Arial" w:cs="Arial"/>
        </w:rPr>
        <w:t>(in limine)</w:t>
      </w:r>
      <w:r w:rsidR="00551333" w:rsidRPr="00555295">
        <w:rPr>
          <w:rFonts w:ascii="Arial" w:hAnsi="Arial" w:cs="Arial"/>
        </w:rPr>
        <w:t xml:space="preserve"> that the first applicant does not have the necessary locus </w:t>
      </w:r>
      <w:r w:rsidR="00EF16F8" w:rsidRPr="00555295">
        <w:rPr>
          <w:rFonts w:ascii="Arial" w:hAnsi="Arial" w:cs="Arial"/>
        </w:rPr>
        <w:t xml:space="preserve">standi to bring the application and no case for it has been made in her founding affidavit. A claim that an oral mandate was obtained from </w:t>
      </w:r>
      <w:r w:rsidR="00E84170" w:rsidRPr="00555295">
        <w:rPr>
          <w:rFonts w:ascii="Arial" w:hAnsi="Arial" w:cs="Arial"/>
        </w:rPr>
        <w:t>the “rest of the family” who have</w:t>
      </w:r>
      <w:r w:rsidR="00EF16F8" w:rsidRPr="00555295">
        <w:rPr>
          <w:rFonts w:ascii="Arial" w:hAnsi="Arial" w:cs="Arial"/>
        </w:rPr>
        <w:t xml:space="preserve"> not been identified and whose interest has not been divulged</w:t>
      </w:r>
      <w:r w:rsidR="007F6B2A" w:rsidRPr="00555295">
        <w:rPr>
          <w:rFonts w:ascii="Arial" w:hAnsi="Arial" w:cs="Arial"/>
        </w:rPr>
        <w:t>,</w:t>
      </w:r>
      <w:r w:rsidR="00EF16F8" w:rsidRPr="00555295">
        <w:rPr>
          <w:rFonts w:ascii="Arial" w:hAnsi="Arial" w:cs="Arial"/>
        </w:rPr>
        <w:t xml:space="preserve"> does not suffice to prove </w:t>
      </w:r>
      <w:r w:rsidR="00E84170" w:rsidRPr="00555295">
        <w:rPr>
          <w:rFonts w:ascii="Arial" w:hAnsi="Arial" w:cs="Arial"/>
        </w:rPr>
        <w:t xml:space="preserve">that </w:t>
      </w:r>
      <w:r w:rsidR="00EF16F8" w:rsidRPr="00555295">
        <w:rPr>
          <w:rFonts w:ascii="Arial" w:hAnsi="Arial" w:cs="Arial"/>
        </w:rPr>
        <w:t xml:space="preserve">the applicants have </w:t>
      </w:r>
      <w:r w:rsidR="00F170CF">
        <w:rPr>
          <w:rFonts w:ascii="Arial" w:hAnsi="Arial" w:cs="Arial"/>
        </w:rPr>
        <w:t xml:space="preserve">a </w:t>
      </w:r>
      <w:r w:rsidR="00EF16F8" w:rsidRPr="00555295">
        <w:rPr>
          <w:rFonts w:ascii="Arial" w:hAnsi="Arial" w:cs="Arial"/>
        </w:rPr>
        <w:t>genuine mandate to bring these proceedings.</w:t>
      </w:r>
    </w:p>
    <w:p w:rsidR="00AF66D5" w:rsidRPr="00555295" w:rsidRDefault="00AF66D5" w:rsidP="00555295">
      <w:pPr>
        <w:spacing w:line="360" w:lineRule="auto"/>
        <w:jc w:val="both"/>
        <w:rPr>
          <w:rFonts w:ascii="Arial" w:hAnsi="Arial" w:cs="Arial"/>
        </w:rPr>
      </w:pPr>
    </w:p>
    <w:p w:rsidR="00AF66D5" w:rsidRPr="00555295" w:rsidRDefault="00AF66D5" w:rsidP="00555295">
      <w:pPr>
        <w:spacing w:line="360" w:lineRule="auto"/>
        <w:jc w:val="both"/>
        <w:rPr>
          <w:rFonts w:ascii="Arial" w:hAnsi="Arial" w:cs="Arial"/>
        </w:rPr>
      </w:pPr>
      <w:r w:rsidRPr="00555295">
        <w:rPr>
          <w:rFonts w:ascii="Arial" w:hAnsi="Arial" w:cs="Arial"/>
        </w:rPr>
        <w:t>[35]</w:t>
      </w:r>
      <w:r w:rsidRPr="00555295">
        <w:rPr>
          <w:rFonts w:ascii="Arial" w:hAnsi="Arial" w:cs="Arial"/>
        </w:rPr>
        <w:tab/>
        <w:t>Furthermore, since it is common cause that 11 of the original co-owners became deceased</w:t>
      </w:r>
      <w:r w:rsidR="001E5453" w:rsidRPr="00555295">
        <w:rPr>
          <w:rFonts w:ascii="Arial" w:hAnsi="Arial" w:cs="Arial"/>
        </w:rPr>
        <w:t>,</w:t>
      </w:r>
      <w:r w:rsidRPr="00555295">
        <w:rPr>
          <w:rFonts w:ascii="Arial" w:hAnsi="Arial" w:cs="Arial"/>
        </w:rPr>
        <w:t xml:space="preserve"> the first respondent contend</w:t>
      </w:r>
      <w:r w:rsidR="001E5453" w:rsidRPr="00555295">
        <w:rPr>
          <w:rFonts w:ascii="Arial" w:hAnsi="Arial" w:cs="Arial"/>
        </w:rPr>
        <w:t>s</w:t>
      </w:r>
      <w:r w:rsidRPr="00555295">
        <w:rPr>
          <w:rFonts w:ascii="Arial" w:hAnsi="Arial" w:cs="Arial"/>
        </w:rPr>
        <w:t xml:space="preserve"> that </w:t>
      </w:r>
      <w:r w:rsidR="001E5453" w:rsidRPr="00555295">
        <w:rPr>
          <w:rFonts w:ascii="Arial" w:hAnsi="Arial" w:cs="Arial"/>
        </w:rPr>
        <w:t xml:space="preserve">the </w:t>
      </w:r>
      <w:r w:rsidRPr="00555295">
        <w:rPr>
          <w:rFonts w:ascii="Arial" w:hAnsi="Arial" w:cs="Arial"/>
        </w:rPr>
        <w:t>co-owner’s beneficiaries or the executors of their estates should have been joined to the proceedings. As things stand, it is argued, the court has no insight into the affairs of the deceased co-owner’s estate</w:t>
      </w:r>
      <w:r w:rsidR="001E5453" w:rsidRPr="00555295">
        <w:rPr>
          <w:rFonts w:ascii="Arial" w:hAnsi="Arial" w:cs="Arial"/>
        </w:rPr>
        <w:t>s</w:t>
      </w:r>
      <w:r w:rsidRPr="00555295">
        <w:rPr>
          <w:rFonts w:ascii="Arial" w:hAnsi="Arial" w:cs="Arial"/>
        </w:rPr>
        <w:t xml:space="preserve"> and whether or not same have</w:t>
      </w:r>
      <w:r w:rsidR="00DD65C2" w:rsidRPr="00555295">
        <w:rPr>
          <w:rFonts w:ascii="Arial" w:hAnsi="Arial" w:cs="Arial"/>
        </w:rPr>
        <w:t xml:space="preserve"> been</w:t>
      </w:r>
      <w:r w:rsidRPr="00555295">
        <w:rPr>
          <w:rFonts w:ascii="Arial" w:hAnsi="Arial" w:cs="Arial"/>
        </w:rPr>
        <w:t xml:space="preserve"> wound up</w:t>
      </w:r>
      <w:r w:rsidR="00FC2F8D" w:rsidRPr="00555295">
        <w:rPr>
          <w:rFonts w:ascii="Arial" w:hAnsi="Arial" w:cs="Arial"/>
        </w:rPr>
        <w:t>,</w:t>
      </w:r>
      <w:r w:rsidRPr="00555295">
        <w:rPr>
          <w:rFonts w:ascii="Arial" w:hAnsi="Arial" w:cs="Arial"/>
        </w:rPr>
        <w:t xml:space="preserve"> in accordance with the laws regarding deceased estates.</w:t>
      </w:r>
    </w:p>
    <w:p w:rsidR="00E61620" w:rsidRPr="00555295" w:rsidRDefault="00E61620" w:rsidP="00555295">
      <w:pPr>
        <w:spacing w:line="360" w:lineRule="auto"/>
        <w:jc w:val="both"/>
        <w:rPr>
          <w:rFonts w:ascii="Arial" w:hAnsi="Arial" w:cs="Arial"/>
        </w:rPr>
      </w:pPr>
    </w:p>
    <w:p w:rsidR="00E61620" w:rsidRPr="00555295" w:rsidRDefault="00E61620" w:rsidP="00555295">
      <w:pPr>
        <w:spacing w:line="360" w:lineRule="auto"/>
        <w:jc w:val="both"/>
        <w:rPr>
          <w:rFonts w:ascii="Arial" w:hAnsi="Arial" w:cs="Arial"/>
        </w:rPr>
      </w:pPr>
      <w:r w:rsidRPr="00555295">
        <w:rPr>
          <w:rFonts w:ascii="Arial" w:hAnsi="Arial" w:cs="Arial"/>
        </w:rPr>
        <w:t>[36]</w:t>
      </w:r>
      <w:r w:rsidRPr="00555295">
        <w:rPr>
          <w:rFonts w:ascii="Arial" w:hAnsi="Arial" w:cs="Arial"/>
        </w:rPr>
        <w:tab/>
        <w:t xml:space="preserve">The first respondent </w:t>
      </w:r>
      <w:r w:rsidR="00B84885" w:rsidRPr="00555295">
        <w:rPr>
          <w:rFonts w:ascii="Arial" w:hAnsi="Arial" w:cs="Arial"/>
        </w:rPr>
        <w:t>submits</w:t>
      </w:r>
      <w:r w:rsidRPr="00555295">
        <w:rPr>
          <w:rFonts w:ascii="Arial" w:hAnsi="Arial" w:cs="Arial"/>
        </w:rPr>
        <w:t xml:space="preserve"> that since payment has been made to the </w:t>
      </w:r>
      <w:r w:rsidR="006135AD" w:rsidRPr="00555295">
        <w:rPr>
          <w:rFonts w:ascii="Arial" w:hAnsi="Arial" w:cs="Arial"/>
        </w:rPr>
        <w:t>Guardian</w:t>
      </w:r>
      <w:r w:rsidR="006135AD">
        <w:rPr>
          <w:rFonts w:ascii="Arial" w:hAnsi="Arial" w:cs="Arial"/>
        </w:rPr>
        <w:t>’s</w:t>
      </w:r>
      <w:r w:rsidR="006135AD" w:rsidRPr="00555295">
        <w:rPr>
          <w:rFonts w:ascii="Arial" w:hAnsi="Arial" w:cs="Arial"/>
        </w:rPr>
        <w:t xml:space="preserve"> </w:t>
      </w:r>
      <w:r w:rsidRPr="00555295">
        <w:rPr>
          <w:rFonts w:ascii="Arial" w:hAnsi="Arial" w:cs="Arial"/>
        </w:rPr>
        <w:t>Fund</w:t>
      </w:r>
      <w:r w:rsidR="001644BD" w:rsidRPr="00555295">
        <w:rPr>
          <w:rFonts w:ascii="Arial" w:hAnsi="Arial" w:cs="Arial"/>
        </w:rPr>
        <w:t>, as administered by the M</w:t>
      </w:r>
      <w:r w:rsidRPr="00555295">
        <w:rPr>
          <w:rFonts w:ascii="Arial" w:hAnsi="Arial" w:cs="Arial"/>
        </w:rPr>
        <w:t>aster of the High Court</w:t>
      </w:r>
      <w:r w:rsidR="003835BD" w:rsidRPr="00555295">
        <w:rPr>
          <w:rFonts w:ascii="Arial" w:hAnsi="Arial" w:cs="Arial"/>
        </w:rPr>
        <w:t>,</w:t>
      </w:r>
      <w:r w:rsidRPr="00555295">
        <w:rPr>
          <w:rFonts w:ascii="Arial" w:hAnsi="Arial" w:cs="Arial"/>
        </w:rPr>
        <w:t xml:space="preserve"> in the amount of R1,</w:t>
      </w:r>
      <w:r w:rsidR="00531D06">
        <w:rPr>
          <w:rFonts w:ascii="Arial" w:hAnsi="Arial" w:cs="Arial"/>
        </w:rPr>
        <w:t xml:space="preserve">2 million, </w:t>
      </w:r>
      <w:r w:rsidR="00053BF8">
        <w:rPr>
          <w:rFonts w:ascii="Arial" w:hAnsi="Arial" w:cs="Arial"/>
        </w:rPr>
        <w:t xml:space="preserve">all </w:t>
      </w:r>
      <w:r w:rsidR="00053BF8" w:rsidRPr="00555295">
        <w:rPr>
          <w:rFonts w:ascii="Arial" w:hAnsi="Arial" w:cs="Arial"/>
        </w:rPr>
        <w:t>parties</w:t>
      </w:r>
      <w:r w:rsidR="00531D06">
        <w:rPr>
          <w:rFonts w:ascii="Arial" w:hAnsi="Arial" w:cs="Arial"/>
        </w:rPr>
        <w:t xml:space="preserve"> connected to the</w:t>
      </w:r>
      <w:r w:rsidR="00B84885" w:rsidRPr="00555295">
        <w:rPr>
          <w:rFonts w:ascii="Arial" w:hAnsi="Arial" w:cs="Arial"/>
        </w:rPr>
        <w:t xml:space="preserve"> erstwhile co-owners of the far</w:t>
      </w:r>
      <w:r w:rsidR="00531D06">
        <w:rPr>
          <w:rFonts w:ascii="Arial" w:hAnsi="Arial" w:cs="Arial"/>
        </w:rPr>
        <w:t xml:space="preserve">ms may have interest </w:t>
      </w:r>
      <w:r w:rsidR="00B84885" w:rsidRPr="00555295">
        <w:rPr>
          <w:rFonts w:ascii="Arial" w:hAnsi="Arial" w:cs="Arial"/>
        </w:rPr>
        <w:t>in the amount</w:t>
      </w:r>
      <w:r w:rsidR="001644BD" w:rsidRPr="00555295">
        <w:rPr>
          <w:rFonts w:ascii="Arial" w:hAnsi="Arial" w:cs="Arial"/>
        </w:rPr>
        <w:t>,</w:t>
      </w:r>
      <w:r w:rsidR="00B84885" w:rsidRPr="00555295">
        <w:rPr>
          <w:rFonts w:ascii="Arial" w:hAnsi="Arial" w:cs="Arial"/>
        </w:rPr>
        <w:t xml:space="preserve"> </w:t>
      </w:r>
      <w:r w:rsidR="00531D06">
        <w:rPr>
          <w:rFonts w:ascii="Arial" w:hAnsi="Arial" w:cs="Arial"/>
        </w:rPr>
        <w:t xml:space="preserve">in </w:t>
      </w:r>
      <w:r w:rsidR="00B84885" w:rsidRPr="00555295">
        <w:rPr>
          <w:rFonts w:ascii="Arial" w:hAnsi="Arial" w:cs="Arial"/>
        </w:rPr>
        <w:t>that they may have a claim to such fund.</w:t>
      </w:r>
      <w:r w:rsidR="000D2D6D" w:rsidRPr="00555295">
        <w:rPr>
          <w:rFonts w:ascii="Arial" w:hAnsi="Arial" w:cs="Arial"/>
        </w:rPr>
        <w:t xml:space="preserve"> The first resp</w:t>
      </w:r>
      <w:r w:rsidR="001644BD" w:rsidRPr="00555295">
        <w:rPr>
          <w:rFonts w:ascii="Arial" w:hAnsi="Arial" w:cs="Arial"/>
        </w:rPr>
        <w:t>ondent thus contends that the no</w:t>
      </w:r>
      <w:r w:rsidR="000D2D6D" w:rsidRPr="00555295">
        <w:rPr>
          <w:rFonts w:ascii="Arial" w:hAnsi="Arial" w:cs="Arial"/>
        </w:rPr>
        <w:t xml:space="preserve">n-joinder of interested parties </w:t>
      </w:r>
      <w:r w:rsidR="0043791A">
        <w:rPr>
          <w:rFonts w:ascii="Arial" w:hAnsi="Arial" w:cs="Arial"/>
        </w:rPr>
        <w:t xml:space="preserve">is </w:t>
      </w:r>
      <w:r w:rsidR="000D2D6D" w:rsidRPr="00555295">
        <w:rPr>
          <w:rFonts w:ascii="Arial" w:hAnsi="Arial" w:cs="Arial"/>
        </w:rPr>
        <w:t>prejudicial.</w:t>
      </w:r>
    </w:p>
    <w:p w:rsidR="00501080" w:rsidRPr="00555295" w:rsidRDefault="00501080" w:rsidP="00555295">
      <w:pPr>
        <w:spacing w:line="360" w:lineRule="auto"/>
        <w:jc w:val="both"/>
        <w:rPr>
          <w:rFonts w:ascii="Arial" w:hAnsi="Arial" w:cs="Arial"/>
        </w:rPr>
      </w:pPr>
    </w:p>
    <w:p w:rsidR="00501080" w:rsidRPr="00555295" w:rsidRDefault="00501080" w:rsidP="00555295">
      <w:pPr>
        <w:spacing w:line="360" w:lineRule="auto"/>
        <w:jc w:val="both"/>
        <w:rPr>
          <w:rFonts w:ascii="Arial" w:hAnsi="Arial" w:cs="Arial"/>
        </w:rPr>
      </w:pPr>
      <w:r w:rsidRPr="00555295">
        <w:rPr>
          <w:rFonts w:ascii="Arial" w:hAnsi="Arial" w:cs="Arial"/>
        </w:rPr>
        <w:t>[37]</w:t>
      </w:r>
      <w:r w:rsidRPr="00555295">
        <w:rPr>
          <w:rFonts w:ascii="Arial" w:hAnsi="Arial" w:cs="Arial"/>
        </w:rPr>
        <w:tab/>
        <w:t xml:space="preserve">It is further submitted that the second applicant, while appointed executrix of the estate of HCM Geldenhuys, and the estate not finally distributed, and no transfer of the undivided share of the farms </w:t>
      </w:r>
      <w:r w:rsidR="00D239E3">
        <w:rPr>
          <w:rFonts w:ascii="Arial" w:hAnsi="Arial" w:cs="Arial"/>
        </w:rPr>
        <w:t xml:space="preserve">having </w:t>
      </w:r>
      <w:r w:rsidRPr="00555295">
        <w:rPr>
          <w:rFonts w:ascii="Arial" w:hAnsi="Arial" w:cs="Arial"/>
        </w:rPr>
        <w:t>yet taken</w:t>
      </w:r>
      <w:r w:rsidR="00D239E3">
        <w:rPr>
          <w:rFonts w:ascii="Arial" w:hAnsi="Arial" w:cs="Arial"/>
        </w:rPr>
        <w:t xml:space="preserve"> place</w:t>
      </w:r>
      <w:r w:rsidRPr="00555295">
        <w:rPr>
          <w:rFonts w:ascii="Arial" w:hAnsi="Arial" w:cs="Arial"/>
        </w:rPr>
        <w:t xml:space="preserve">, she has no real right to the farms. And </w:t>
      </w:r>
      <w:r w:rsidR="00D239E3" w:rsidRPr="00555295">
        <w:rPr>
          <w:rFonts w:ascii="Arial" w:hAnsi="Arial" w:cs="Arial"/>
        </w:rPr>
        <w:t>thus,</w:t>
      </w:r>
      <w:r w:rsidRPr="00555295">
        <w:rPr>
          <w:rFonts w:ascii="Arial" w:hAnsi="Arial" w:cs="Arial"/>
        </w:rPr>
        <w:t xml:space="preserve"> has </w:t>
      </w:r>
      <w:r w:rsidRPr="00422450">
        <w:rPr>
          <w:rFonts w:ascii="Arial" w:hAnsi="Arial" w:cs="Arial"/>
        </w:rPr>
        <w:t>no locus standi to</w:t>
      </w:r>
      <w:r w:rsidRPr="00555295">
        <w:rPr>
          <w:rFonts w:ascii="Arial" w:hAnsi="Arial" w:cs="Arial"/>
        </w:rPr>
        <w:t xml:space="preserve"> bring these proceeding against the first respondent. </w:t>
      </w:r>
    </w:p>
    <w:p w:rsidR="00044109" w:rsidRPr="00555295" w:rsidRDefault="00044109" w:rsidP="00555295">
      <w:pPr>
        <w:spacing w:line="360" w:lineRule="auto"/>
        <w:jc w:val="both"/>
        <w:rPr>
          <w:rFonts w:ascii="Arial" w:hAnsi="Arial" w:cs="Arial"/>
        </w:rPr>
      </w:pPr>
    </w:p>
    <w:p w:rsidR="00044109" w:rsidRPr="00555295" w:rsidRDefault="00044109" w:rsidP="00555295">
      <w:pPr>
        <w:spacing w:line="360" w:lineRule="auto"/>
        <w:jc w:val="both"/>
        <w:rPr>
          <w:rFonts w:ascii="Arial" w:hAnsi="Arial" w:cs="Arial"/>
        </w:rPr>
      </w:pPr>
      <w:r w:rsidRPr="00555295">
        <w:rPr>
          <w:rFonts w:ascii="Arial" w:hAnsi="Arial" w:cs="Arial"/>
        </w:rPr>
        <w:t>[38]</w:t>
      </w:r>
      <w:r w:rsidRPr="00555295">
        <w:rPr>
          <w:rFonts w:ascii="Arial" w:hAnsi="Arial" w:cs="Arial"/>
        </w:rPr>
        <w:tab/>
      </w:r>
      <w:r w:rsidR="003B6AD3" w:rsidRPr="00555295">
        <w:rPr>
          <w:rFonts w:ascii="Arial" w:hAnsi="Arial" w:cs="Arial"/>
        </w:rPr>
        <w:t xml:space="preserve">The first respondent further avers that the applicants accused it and its legal practitioner of fraudulent and sinister conduct which is not supported by the facts of the </w:t>
      </w:r>
      <w:r w:rsidR="003B6AD3" w:rsidRPr="00555295">
        <w:rPr>
          <w:rFonts w:ascii="Arial" w:hAnsi="Arial" w:cs="Arial"/>
        </w:rPr>
        <w:lastRenderedPageBreak/>
        <w:t>matter in any anyway whatsoever. The purpose of the application brought under case number 3635/2019 P was to address the serious concerns regarding veld fires that are a common place in the region in which the first respondent own</w:t>
      </w:r>
      <w:r w:rsidR="00D239E3">
        <w:rPr>
          <w:rFonts w:ascii="Arial" w:hAnsi="Arial" w:cs="Arial"/>
        </w:rPr>
        <w:t>s</w:t>
      </w:r>
      <w:r w:rsidR="003B6AD3" w:rsidRPr="00555295">
        <w:rPr>
          <w:rFonts w:ascii="Arial" w:hAnsi="Arial" w:cs="Arial"/>
        </w:rPr>
        <w:t xml:space="preserve"> properties.</w:t>
      </w:r>
    </w:p>
    <w:p w:rsidR="00C86349" w:rsidRPr="00555295" w:rsidRDefault="00C86349" w:rsidP="00555295">
      <w:pPr>
        <w:spacing w:line="360" w:lineRule="auto"/>
        <w:jc w:val="both"/>
        <w:rPr>
          <w:rFonts w:ascii="Arial" w:hAnsi="Arial" w:cs="Arial"/>
        </w:rPr>
      </w:pPr>
    </w:p>
    <w:p w:rsidR="00C86349" w:rsidRPr="00555295" w:rsidRDefault="00C86349" w:rsidP="00555295">
      <w:pPr>
        <w:spacing w:line="360" w:lineRule="auto"/>
        <w:jc w:val="both"/>
        <w:rPr>
          <w:rFonts w:ascii="Arial" w:hAnsi="Arial" w:cs="Arial"/>
        </w:rPr>
      </w:pPr>
      <w:r w:rsidRPr="00555295">
        <w:rPr>
          <w:rFonts w:ascii="Arial" w:hAnsi="Arial" w:cs="Arial"/>
        </w:rPr>
        <w:t>[39]</w:t>
      </w:r>
      <w:r w:rsidRPr="00555295">
        <w:rPr>
          <w:rFonts w:ascii="Arial" w:hAnsi="Arial" w:cs="Arial"/>
        </w:rPr>
        <w:tab/>
        <w:t>It is ave</w:t>
      </w:r>
      <w:r w:rsidR="00ED64CB" w:rsidRPr="00555295">
        <w:rPr>
          <w:rFonts w:ascii="Arial" w:hAnsi="Arial" w:cs="Arial"/>
        </w:rPr>
        <w:t>rred by the first respondent that the entire area where the properties of the first respondent is situat</w:t>
      </w:r>
      <w:r w:rsidR="006957C7" w:rsidRPr="00555295">
        <w:rPr>
          <w:rFonts w:ascii="Arial" w:hAnsi="Arial" w:cs="Arial"/>
        </w:rPr>
        <w:t>ed is</w:t>
      </w:r>
      <w:r w:rsidR="00ED64CB" w:rsidRPr="00555295">
        <w:rPr>
          <w:rFonts w:ascii="Arial" w:hAnsi="Arial" w:cs="Arial"/>
        </w:rPr>
        <w:t xml:space="preserve"> an extreme veld fire risk area. So</w:t>
      </w:r>
      <w:r w:rsidR="00BA32AF" w:rsidRPr="00555295">
        <w:rPr>
          <w:rFonts w:ascii="Arial" w:hAnsi="Arial" w:cs="Arial"/>
        </w:rPr>
        <w:t>,</w:t>
      </w:r>
      <w:r w:rsidR="00ED64CB" w:rsidRPr="00555295">
        <w:rPr>
          <w:rFonts w:ascii="Arial" w:hAnsi="Arial" w:cs="Arial"/>
        </w:rPr>
        <w:t xml:space="preserve"> the order granted on 6 June 2019 was specifically for access to the farm Glen Ashton for the purposes of creating the required fir</w:t>
      </w:r>
      <w:r w:rsidR="00D239E3">
        <w:rPr>
          <w:rFonts w:ascii="Arial" w:hAnsi="Arial" w:cs="Arial"/>
        </w:rPr>
        <w:t>e</w:t>
      </w:r>
      <w:r w:rsidR="00ED64CB" w:rsidRPr="00555295">
        <w:rPr>
          <w:rFonts w:ascii="Arial" w:hAnsi="Arial" w:cs="Arial"/>
        </w:rPr>
        <w:t>breaks.</w:t>
      </w:r>
    </w:p>
    <w:p w:rsidR="00FB151D" w:rsidRPr="00555295" w:rsidRDefault="00FB151D" w:rsidP="00555295">
      <w:pPr>
        <w:spacing w:line="360" w:lineRule="auto"/>
        <w:jc w:val="both"/>
        <w:rPr>
          <w:rFonts w:ascii="Arial" w:hAnsi="Arial" w:cs="Arial"/>
        </w:rPr>
      </w:pPr>
    </w:p>
    <w:p w:rsidR="005863D5" w:rsidRPr="00555295" w:rsidRDefault="00FB151D" w:rsidP="00555295">
      <w:pPr>
        <w:spacing w:line="360" w:lineRule="auto"/>
        <w:jc w:val="both"/>
        <w:rPr>
          <w:rFonts w:ascii="Arial" w:hAnsi="Arial" w:cs="Arial"/>
        </w:rPr>
      </w:pPr>
      <w:r w:rsidRPr="00555295">
        <w:rPr>
          <w:rFonts w:ascii="Arial" w:hAnsi="Arial" w:cs="Arial"/>
        </w:rPr>
        <w:t>[40]</w:t>
      </w:r>
      <w:r w:rsidRPr="00555295">
        <w:rPr>
          <w:rFonts w:ascii="Arial" w:hAnsi="Arial" w:cs="Arial"/>
        </w:rPr>
        <w:tab/>
        <w:t xml:space="preserve">The matter was brought ex parte since the first respondent could not trace any of the owners </w:t>
      </w:r>
      <w:r w:rsidR="006957C7" w:rsidRPr="00555295">
        <w:rPr>
          <w:rFonts w:ascii="Arial" w:hAnsi="Arial" w:cs="Arial"/>
        </w:rPr>
        <w:t>as per the Deed of Transfer 1752</w:t>
      </w:r>
      <w:r w:rsidRPr="00555295">
        <w:rPr>
          <w:rFonts w:ascii="Arial" w:hAnsi="Arial" w:cs="Arial"/>
        </w:rPr>
        <w:t>/1962. The status of the first applicant was unknown to the fir</w:t>
      </w:r>
      <w:r w:rsidR="00BA32AF" w:rsidRPr="00555295">
        <w:rPr>
          <w:rFonts w:ascii="Arial" w:hAnsi="Arial" w:cs="Arial"/>
        </w:rPr>
        <w:t>st respondent as only the</w:t>
      </w:r>
      <w:r w:rsidR="006957C7" w:rsidRPr="00555295">
        <w:rPr>
          <w:rFonts w:ascii="Arial" w:hAnsi="Arial" w:cs="Arial"/>
        </w:rPr>
        <w:t xml:space="preserve"> date</w:t>
      </w:r>
      <w:r w:rsidRPr="00555295">
        <w:rPr>
          <w:rFonts w:ascii="Arial" w:hAnsi="Arial" w:cs="Arial"/>
        </w:rPr>
        <w:t xml:space="preserve"> of birth was d</w:t>
      </w:r>
      <w:r w:rsidR="00BA32AF" w:rsidRPr="00555295">
        <w:rPr>
          <w:rFonts w:ascii="Arial" w:hAnsi="Arial" w:cs="Arial"/>
        </w:rPr>
        <w:t>isclosed i</w:t>
      </w:r>
      <w:r w:rsidRPr="00555295">
        <w:rPr>
          <w:rFonts w:ascii="Arial" w:hAnsi="Arial" w:cs="Arial"/>
        </w:rPr>
        <w:t>n the Deed of Transfer.</w:t>
      </w:r>
    </w:p>
    <w:p w:rsidR="005863D5" w:rsidRPr="00555295" w:rsidRDefault="005863D5" w:rsidP="00555295">
      <w:pPr>
        <w:spacing w:line="360" w:lineRule="auto"/>
        <w:jc w:val="both"/>
        <w:rPr>
          <w:rFonts w:ascii="Arial" w:hAnsi="Arial" w:cs="Arial"/>
        </w:rPr>
      </w:pPr>
    </w:p>
    <w:p w:rsidR="00C44975" w:rsidRPr="00555295" w:rsidRDefault="005863D5" w:rsidP="00555295">
      <w:pPr>
        <w:spacing w:line="360" w:lineRule="auto"/>
        <w:jc w:val="both"/>
        <w:rPr>
          <w:rFonts w:ascii="Arial" w:hAnsi="Arial" w:cs="Arial"/>
        </w:rPr>
      </w:pPr>
      <w:r w:rsidRPr="00555295">
        <w:rPr>
          <w:rFonts w:ascii="Arial" w:hAnsi="Arial" w:cs="Arial"/>
        </w:rPr>
        <w:t>[41]</w:t>
      </w:r>
      <w:r w:rsidRPr="00555295">
        <w:rPr>
          <w:rFonts w:ascii="Arial" w:hAnsi="Arial" w:cs="Arial"/>
        </w:rPr>
        <w:tab/>
        <w:t xml:space="preserve">While the first </w:t>
      </w:r>
      <w:r w:rsidR="00222722" w:rsidRPr="00555295">
        <w:rPr>
          <w:rFonts w:ascii="Arial" w:hAnsi="Arial" w:cs="Arial"/>
        </w:rPr>
        <w:t xml:space="preserve">respondent </w:t>
      </w:r>
      <w:r w:rsidRPr="00555295">
        <w:rPr>
          <w:rFonts w:ascii="Arial" w:hAnsi="Arial" w:cs="Arial"/>
        </w:rPr>
        <w:t>manage</w:t>
      </w:r>
      <w:r w:rsidR="0020682E" w:rsidRPr="00555295">
        <w:rPr>
          <w:rFonts w:ascii="Arial" w:hAnsi="Arial" w:cs="Arial"/>
        </w:rPr>
        <w:t>d</w:t>
      </w:r>
      <w:r w:rsidRPr="00555295">
        <w:rPr>
          <w:rFonts w:ascii="Arial" w:hAnsi="Arial" w:cs="Arial"/>
        </w:rPr>
        <w:t xml:space="preserve"> to obtain the liquidation and distribution accounts</w:t>
      </w:r>
      <w:r w:rsidR="00222722" w:rsidRPr="00555295">
        <w:rPr>
          <w:rFonts w:ascii="Arial" w:hAnsi="Arial" w:cs="Arial"/>
        </w:rPr>
        <w:t>,</w:t>
      </w:r>
      <w:r w:rsidRPr="00555295">
        <w:rPr>
          <w:rFonts w:ascii="Arial" w:hAnsi="Arial" w:cs="Arial"/>
        </w:rPr>
        <w:t xml:space="preserve"> it was </w:t>
      </w:r>
      <w:r w:rsidR="00222722" w:rsidRPr="00555295">
        <w:rPr>
          <w:rFonts w:ascii="Arial" w:hAnsi="Arial" w:cs="Arial"/>
        </w:rPr>
        <w:t xml:space="preserve">not </w:t>
      </w:r>
      <w:r w:rsidRPr="00555295">
        <w:rPr>
          <w:rFonts w:ascii="Arial" w:hAnsi="Arial" w:cs="Arial"/>
        </w:rPr>
        <w:t xml:space="preserve">possible to ascertain </w:t>
      </w:r>
      <w:r w:rsidR="00122E55">
        <w:rPr>
          <w:rFonts w:ascii="Arial" w:hAnsi="Arial" w:cs="Arial"/>
        </w:rPr>
        <w:t>the</w:t>
      </w:r>
      <w:r w:rsidRPr="00555295">
        <w:rPr>
          <w:rFonts w:ascii="Arial" w:hAnsi="Arial" w:cs="Arial"/>
        </w:rPr>
        <w:t xml:space="preserve"> contact details of </w:t>
      </w:r>
      <w:r w:rsidR="00F170CF">
        <w:rPr>
          <w:rFonts w:ascii="Arial" w:hAnsi="Arial" w:cs="Arial"/>
        </w:rPr>
        <w:t xml:space="preserve">the </w:t>
      </w:r>
      <w:r w:rsidRPr="00555295">
        <w:rPr>
          <w:rFonts w:ascii="Arial" w:hAnsi="Arial" w:cs="Arial"/>
        </w:rPr>
        <w:t>beneficiaries.</w:t>
      </w:r>
      <w:r w:rsidR="00E06856" w:rsidRPr="00555295">
        <w:rPr>
          <w:rFonts w:ascii="Arial" w:hAnsi="Arial" w:cs="Arial"/>
        </w:rPr>
        <w:t xml:space="preserve"> In the</w:t>
      </w:r>
      <w:r w:rsidR="00C44975" w:rsidRPr="00555295">
        <w:rPr>
          <w:rFonts w:ascii="Arial" w:hAnsi="Arial" w:cs="Arial"/>
        </w:rPr>
        <w:t xml:space="preserve"> meanwhile, the first respondent has always had to pay for </w:t>
      </w:r>
      <w:r w:rsidR="00065021" w:rsidRPr="00555295">
        <w:rPr>
          <w:rFonts w:ascii="Arial" w:hAnsi="Arial" w:cs="Arial"/>
        </w:rPr>
        <w:t>firebreaks</w:t>
      </w:r>
      <w:r w:rsidR="00C44975" w:rsidRPr="00555295">
        <w:rPr>
          <w:rFonts w:ascii="Arial" w:hAnsi="Arial" w:cs="Arial"/>
        </w:rPr>
        <w:t xml:space="preserve"> and take on the responsibility of absent </w:t>
      </w:r>
      <w:r w:rsidR="00F170CF">
        <w:rPr>
          <w:rFonts w:ascii="Arial" w:hAnsi="Arial" w:cs="Arial"/>
        </w:rPr>
        <w:t xml:space="preserve">farm </w:t>
      </w:r>
      <w:r w:rsidR="00C44975" w:rsidRPr="00555295">
        <w:rPr>
          <w:rFonts w:ascii="Arial" w:hAnsi="Arial" w:cs="Arial"/>
        </w:rPr>
        <w:t>owners.</w:t>
      </w:r>
    </w:p>
    <w:p w:rsidR="00CF3E87" w:rsidRPr="00555295" w:rsidRDefault="00CF3E87" w:rsidP="00555295">
      <w:pPr>
        <w:spacing w:line="360" w:lineRule="auto"/>
        <w:jc w:val="both"/>
        <w:rPr>
          <w:rFonts w:ascii="Arial" w:hAnsi="Arial" w:cs="Arial"/>
        </w:rPr>
      </w:pPr>
    </w:p>
    <w:p w:rsidR="00FB151D" w:rsidRPr="00555295" w:rsidRDefault="00C44975" w:rsidP="00555295">
      <w:pPr>
        <w:spacing w:line="360" w:lineRule="auto"/>
        <w:jc w:val="both"/>
        <w:rPr>
          <w:rFonts w:ascii="Arial" w:hAnsi="Arial" w:cs="Arial"/>
        </w:rPr>
      </w:pPr>
      <w:r w:rsidRPr="00555295">
        <w:rPr>
          <w:rFonts w:ascii="Arial" w:hAnsi="Arial" w:cs="Arial"/>
        </w:rPr>
        <w:t>[42]</w:t>
      </w:r>
      <w:r w:rsidRPr="00555295">
        <w:rPr>
          <w:rFonts w:ascii="Arial" w:hAnsi="Arial" w:cs="Arial"/>
        </w:rPr>
        <w:tab/>
        <w:t xml:space="preserve">Due to the lack of response from any person (to </w:t>
      </w:r>
      <w:r w:rsidR="008B2A7D" w:rsidRPr="00555295">
        <w:rPr>
          <w:rFonts w:ascii="Arial" w:hAnsi="Arial" w:cs="Arial"/>
        </w:rPr>
        <w:t xml:space="preserve">the </w:t>
      </w:r>
      <w:r w:rsidRPr="00555295">
        <w:rPr>
          <w:rFonts w:ascii="Arial" w:hAnsi="Arial" w:cs="Arial"/>
        </w:rPr>
        <w:t>notices and advertisement</w:t>
      </w:r>
      <w:r w:rsidR="008B2A7D" w:rsidRPr="00555295">
        <w:rPr>
          <w:rFonts w:ascii="Arial" w:hAnsi="Arial" w:cs="Arial"/>
        </w:rPr>
        <w:t>s</w:t>
      </w:r>
      <w:r w:rsidRPr="00555295">
        <w:rPr>
          <w:rFonts w:ascii="Arial" w:hAnsi="Arial" w:cs="Arial"/>
        </w:rPr>
        <w:t xml:space="preserve"> placed in the local and </w:t>
      </w:r>
      <w:r w:rsidR="00CF3E87" w:rsidRPr="00555295">
        <w:rPr>
          <w:rFonts w:ascii="Arial" w:hAnsi="Arial" w:cs="Arial"/>
        </w:rPr>
        <w:t>national newspapers), the first respondent proceeded to seek the assistance of the court in order to take transfer of the farms for the reasons set out in the various affidavit</w:t>
      </w:r>
      <w:r w:rsidR="008B2A7D" w:rsidRPr="00555295">
        <w:rPr>
          <w:rFonts w:ascii="Arial" w:hAnsi="Arial" w:cs="Arial"/>
        </w:rPr>
        <w:t>s</w:t>
      </w:r>
      <w:r w:rsidR="00622A3C" w:rsidRPr="00555295">
        <w:rPr>
          <w:rFonts w:ascii="Arial" w:hAnsi="Arial" w:cs="Arial"/>
        </w:rPr>
        <w:t>,</w:t>
      </w:r>
      <w:r w:rsidR="00CF3E87" w:rsidRPr="00555295">
        <w:rPr>
          <w:rFonts w:ascii="Arial" w:hAnsi="Arial" w:cs="Arial"/>
        </w:rPr>
        <w:t xml:space="preserve"> as attached to the founding affidavit. In this regard, the first respondent complied with the various orders of the court and made payment for compensation to any interested party with the </w:t>
      </w:r>
      <w:r w:rsidR="00332232" w:rsidRPr="00555295">
        <w:rPr>
          <w:rFonts w:ascii="Arial" w:hAnsi="Arial" w:cs="Arial"/>
        </w:rPr>
        <w:t>Guardian</w:t>
      </w:r>
      <w:r w:rsidR="00332232">
        <w:rPr>
          <w:rFonts w:ascii="Arial" w:hAnsi="Arial" w:cs="Arial"/>
        </w:rPr>
        <w:t>’s</w:t>
      </w:r>
      <w:r w:rsidR="00332232" w:rsidRPr="00555295">
        <w:rPr>
          <w:rFonts w:ascii="Arial" w:hAnsi="Arial" w:cs="Arial"/>
        </w:rPr>
        <w:t xml:space="preserve"> </w:t>
      </w:r>
      <w:r w:rsidR="00CF3E87" w:rsidRPr="00555295">
        <w:rPr>
          <w:rFonts w:ascii="Arial" w:hAnsi="Arial" w:cs="Arial"/>
        </w:rPr>
        <w:t xml:space="preserve">Fund to ensure that there is no prejudice to any potential interested party, which funds are secure for a period of no less than 30 years from </w:t>
      </w:r>
      <w:r w:rsidR="008B2A7D" w:rsidRPr="00555295">
        <w:rPr>
          <w:rFonts w:ascii="Arial" w:hAnsi="Arial" w:cs="Arial"/>
        </w:rPr>
        <w:t>date it was deposited with the M</w:t>
      </w:r>
      <w:r w:rsidR="00CF3E87" w:rsidRPr="00555295">
        <w:rPr>
          <w:rFonts w:ascii="Arial" w:hAnsi="Arial" w:cs="Arial"/>
        </w:rPr>
        <w:t>aster.</w:t>
      </w:r>
    </w:p>
    <w:p w:rsidR="004A54C7" w:rsidRPr="00555295" w:rsidRDefault="004A54C7" w:rsidP="00555295">
      <w:pPr>
        <w:spacing w:line="360" w:lineRule="auto"/>
        <w:jc w:val="both"/>
        <w:rPr>
          <w:rFonts w:ascii="Arial" w:hAnsi="Arial" w:cs="Arial"/>
        </w:rPr>
      </w:pPr>
    </w:p>
    <w:p w:rsidR="004A54C7" w:rsidRDefault="004A54C7" w:rsidP="00555295">
      <w:pPr>
        <w:spacing w:line="360" w:lineRule="auto"/>
        <w:jc w:val="both"/>
        <w:rPr>
          <w:rFonts w:ascii="Arial" w:hAnsi="Arial" w:cs="Arial"/>
        </w:rPr>
      </w:pPr>
      <w:r w:rsidRPr="00555295">
        <w:rPr>
          <w:rFonts w:ascii="Arial" w:hAnsi="Arial" w:cs="Arial"/>
        </w:rPr>
        <w:t>[43]</w:t>
      </w:r>
      <w:r w:rsidRPr="00555295">
        <w:rPr>
          <w:rFonts w:ascii="Arial" w:hAnsi="Arial" w:cs="Arial"/>
        </w:rPr>
        <w:tab/>
        <w:t>It is averred that the first applicant</w:t>
      </w:r>
      <w:r w:rsidR="00065021" w:rsidRPr="00555295">
        <w:rPr>
          <w:rFonts w:ascii="Arial" w:hAnsi="Arial" w:cs="Arial"/>
        </w:rPr>
        <w:t>,</w:t>
      </w:r>
      <w:r w:rsidRPr="00555295">
        <w:rPr>
          <w:rFonts w:ascii="Arial" w:hAnsi="Arial" w:cs="Arial"/>
        </w:rPr>
        <w:t xml:space="preserve"> along with any other person who may have an interest in the farms through succession</w:t>
      </w:r>
      <w:r w:rsidR="00065021" w:rsidRPr="00555295">
        <w:rPr>
          <w:rFonts w:ascii="Arial" w:hAnsi="Arial" w:cs="Arial"/>
        </w:rPr>
        <w:t>,</w:t>
      </w:r>
      <w:r w:rsidRPr="00555295">
        <w:rPr>
          <w:rFonts w:ascii="Arial" w:hAnsi="Arial" w:cs="Arial"/>
        </w:rPr>
        <w:t xml:space="preserve"> have never bother</w:t>
      </w:r>
      <w:r w:rsidR="00122E55">
        <w:rPr>
          <w:rFonts w:ascii="Arial" w:hAnsi="Arial" w:cs="Arial"/>
        </w:rPr>
        <w:t>ed</w:t>
      </w:r>
      <w:r w:rsidRPr="00555295">
        <w:rPr>
          <w:rFonts w:ascii="Arial" w:hAnsi="Arial" w:cs="Arial"/>
        </w:rPr>
        <w:t xml:space="preserve"> to adhere to their statutory obligations in terms of the farm</w:t>
      </w:r>
      <w:r w:rsidR="00065021" w:rsidRPr="00555295">
        <w:rPr>
          <w:rFonts w:ascii="Arial" w:hAnsi="Arial" w:cs="Arial"/>
        </w:rPr>
        <w:t>s</w:t>
      </w:r>
      <w:r w:rsidR="00622A3C" w:rsidRPr="00555295">
        <w:rPr>
          <w:rFonts w:ascii="Arial" w:hAnsi="Arial" w:cs="Arial"/>
        </w:rPr>
        <w:t>,</w:t>
      </w:r>
      <w:r w:rsidR="00065021" w:rsidRPr="00555295">
        <w:rPr>
          <w:rFonts w:ascii="Arial" w:hAnsi="Arial" w:cs="Arial"/>
        </w:rPr>
        <w:t xml:space="preserve"> and simply</w:t>
      </w:r>
      <w:r w:rsidRPr="00555295">
        <w:rPr>
          <w:rFonts w:ascii="Arial" w:hAnsi="Arial" w:cs="Arial"/>
        </w:rPr>
        <w:t xml:space="preserve"> left it to the first respondent to foot the bill </w:t>
      </w:r>
      <w:r w:rsidRPr="00555295">
        <w:rPr>
          <w:rFonts w:ascii="Arial" w:hAnsi="Arial" w:cs="Arial"/>
        </w:rPr>
        <w:lastRenderedPageBreak/>
        <w:t xml:space="preserve">for all the expenses in maintaining the firebreaks. The only reason, it is stated, the first applicant now appears on the scene is the prospect of a potential lucrative commercial opportunity regarding </w:t>
      </w:r>
      <w:r w:rsidR="00053356" w:rsidRPr="00555295">
        <w:rPr>
          <w:rFonts w:ascii="Arial" w:hAnsi="Arial" w:cs="Arial"/>
        </w:rPr>
        <w:t>Moeders Rus. Otherwise</w:t>
      </w:r>
      <w:r w:rsidR="00065021" w:rsidRPr="00555295">
        <w:rPr>
          <w:rFonts w:ascii="Arial" w:hAnsi="Arial" w:cs="Arial"/>
        </w:rPr>
        <w:t>,</w:t>
      </w:r>
      <w:r w:rsidR="00053356" w:rsidRPr="00555295">
        <w:rPr>
          <w:rFonts w:ascii="Arial" w:hAnsi="Arial" w:cs="Arial"/>
        </w:rPr>
        <w:t xml:space="preserve"> for a period of 50 years</w:t>
      </w:r>
      <w:r w:rsidR="00065021" w:rsidRPr="00555295">
        <w:rPr>
          <w:rFonts w:ascii="Arial" w:hAnsi="Arial" w:cs="Arial"/>
        </w:rPr>
        <w:t>,</w:t>
      </w:r>
      <w:r w:rsidR="00053356" w:rsidRPr="00555295">
        <w:rPr>
          <w:rFonts w:ascii="Arial" w:hAnsi="Arial" w:cs="Arial"/>
        </w:rPr>
        <w:t xml:space="preserve"> the farms have long been forgotten and neglected.</w:t>
      </w:r>
    </w:p>
    <w:p w:rsidR="00F7216D" w:rsidRPr="00555295" w:rsidRDefault="00F7216D" w:rsidP="00555295">
      <w:pPr>
        <w:spacing w:line="360" w:lineRule="auto"/>
        <w:jc w:val="both"/>
        <w:rPr>
          <w:rFonts w:ascii="Arial" w:hAnsi="Arial" w:cs="Arial"/>
        </w:rPr>
      </w:pPr>
    </w:p>
    <w:p w:rsidR="00440EB0" w:rsidRPr="00555295" w:rsidRDefault="00440EB0" w:rsidP="00555295">
      <w:pPr>
        <w:spacing w:line="360" w:lineRule="auto"/>
        <w:jc w:val="both"/>
        <w:rPr>
          <w:rFonts w:ascii="Arial" w:hAnsi="Arial" w:cs="Arial"/>
        </w:rPr>
      </w:pPr>
      <w:r w:rsidRPr="00555295">
        <w:rPr>
          <w:rFonts w:ascii="Arial" w:hAnsi="Arial" w:cs="Arial"/>
        </w:rPr>
        <w:t>[44]</w:t>
      </w:r>
      <w:r w:rsidRPr="00555295">
        <w:rPr>
          <w:rFonts w:ascii="Arial" w:hAnsi="Arial" w:cs="Arial"/>
        </w:rPr>
        <w:tab/>
        <w:t>The first respondent further avers that Vulintaba Country Estate</w:t>
      </w:r>
      <w:r w:rsidR="00E55AD1" w:rsidRPr="00555295">
        <w:rPr>
          <w:rFonts w:ascii="Arial" w:hAnsi="Arial" w:cs="Arial"/>
        </w:rPr>
        <w:t xml:space="preserve"> (“Vulintaba”</w:t>
      </w:r>
      <w:r w:rsidR="00B76EB9" w:rsidRPr="00555295">
        <w:rPr>
          <w:rFonts w:ascii="Arial" w:hAnsi="Arial" w:cs="Arial"/>
        </w:rPr>
        <w:t>)</w:t>
      </w:r>
      <w:r w:rsidRPr="00555295">
        <w:rPr>
          <w:rFonts w:ascii="Arial" w:hAnsi="Arial" w:cs="Arial"/>
        </w:rPr>
        <w:t>, while owned by the first respondent</w:t>
      </w:r>
      <w:r w:rsidR="00B76EB9" w:rsidRPr="00555295">
        <w:rPr>
          <w:rFonts w:ascii="Arial" w:hAnsi="Arial" w:cs="Arial"/>
        </w:rPr>
        <w:t>,</w:t>
      </w:r>
      <w:r w:rsidRPr="00555295">
        <w:rPr>
          <w:rFonts w:ascii="Arial" w:hAnsi="Arial" w:cs="Arial"/>
        </w:rPr>
        <w:t xml:space="preserve"> is managed by a separate juristic person</w:t>
      </w:r>
      <w:r w:rsidR="00B76EB9" w:rsidRPr="00555295">
        <w:rPr>
          <w:rFonts w:ascii="Arial" w:hAnsi="Arial" w:cs="Arial"/>
        </w:rPr>
        <w:t>, being the Home Owner’s Association. Access to Vulintaba is</w:t>
      </w:r>
      <w:r w:rsidRPr="00555295">
        <w:rPr>
          <w:rFonts w:ascii="Arial" w:hAnsi="Arial" w:cs="Arial"/>
        </w:rPr>
        <w:t xml:space="preserve"> therefore not regulated by the first respondent but </w:t>
      </w:r>
      <w:r w:rsidR="00B76EB9" w:rsidRPr="00555295">
        <w:rPr>
          <w:rFonts w:ascii="Arial" w:hAnsi="Arial" w:cs="Arial"/>
        </w:rPr>
        <w:t>by the A</w:t>
      </w:r>
      <w:r w:rsidRPr="00555295">
        <w:rPr>
          <w:rFonts w:ascii="Arial" w:hAnsi="Arial" w:cs="Arial"/>
        </w:rPr>
        <w:t>ssociation</w:t>
      </w:r>
      <w:r w:rsidR="00B76EB9" w:rsidRPr="00555295">
        <w:rPr>
          <w:rFonts w:ascii="Arial" w:hAnsi="Arial" w:cs="Arial"/>
        </w:rPr>
        <w:t>;</w:t>
      </w:r>
      <w:r w:rsidRPr="00555295">
        <w:rPr>
          <w:rFonts w:ascii="Arial" w:hAnsi="Arial" w:cs="Arial"/>
        </w:rPr>
        <w:t xml:space="preserve"> and the access pass issued to Paul Geldenhuys was don</w:t>
      </w:r>
      <w:r w:rsidR="00B76EB9" w:rsidRPr="00555295">
        <w:rPr>
          <w:rFonts w:ascii="Arial" w:hAnsi="Arial" w:cs="Arial"/>
        </w:rPr>
        <w:t>e without its knowledge as the A</w:t>
      </w:r>
      <w:r w:rsidRPr="00555295">
        <w:rPr>
          <w:rFonts w:ascii="Arial" w:hAnsi="Arial" w:cs="Arial"/>
        </w:rPr>
        <w:t>ssociation administered its own affairs.</w:t>
      </w:r>
    </w:p>
    <w:p w:rsidR="00440EB0" w:rsidRPr="00555295" w:rsidRDefault="00440EB0" w:rsidP="00555295">
      <w:pPr>
        <w:spacing w:line="360" w:lineRule="auto"/>
        <w:jc w:val="both"/>
        <w:rPr>
          <w:rFonts w:ascii="Arial" w:hAnsi="Arial" w:cs="Arial"/>
        </w:rPr>
      </w:pPr>
    </w:p>
    <w:p w:rsidR="00440EB0" w:rsidRPr="00555295" w:rsidRDefault="00440EB0" w:rsidP="00555295">
      <w:pPr>
        <w:spacing w:line="360" w:lineRule="auto"/>
        <w:jc w:val="both"/>
        <w:rPr>
          <w:rFonts w:ascii="Arial" w:hAnsi="Arial" w:cs="Arial"/>
        </w:rPr>
      </w:pPr>
      <w:r w:rsidRPr="00555295">
        <w:rPr>
          <w:rFonts w:ascii="Arial" w:hAnsi="Arial" w:cs="Arial"/>
        </w:rPr>
        <w:t>[45]</w:t>
      </w:r>
      <w:r w:rsidRPr="00555295">
        <w:rPr>
          <w:rFonts w:ascii="Arial" w:hAnsi="Arial" w:cs="Arial"/>
        </w:rPr>
        <w:tab/>
      </w:r>
      <w:r w:rsidR="009A497D" w:rsidRPr="00555295">
        <w:rPr>
          <w:rFonts w:ascii="Arial" w:hAnsi="Arial" w:cs="Arial"/>
        </w:rPr>
        <w:t xml:space="preserve">The first respondent submits that the first applicant has failed to state why the rescission application is made in terms of </w:t>
      </w:r>
      <w:r w:rsidR="00A216B6">
        <w:rPr>
          <w:rFonts w:ascii="Arial" w:hAnsi="Arial" w:cs="Arial"/>
        </w:rPr>
        <w:t>r</w:t>
      </w:r>
      <w:r w:rsidR="009A497D" w:rsidRPr="00555295">
        <w:rPr>
          <w:rFonts w:ascii="Arial" w:hAnsi="Arial" w:cs="Arial"/>
        </w:rPr>
        <w:t>ule 42(1)</w:t>
      </w:r>
      <w:r w:rsidR="0025594A" w:rsidRPr="00555295">
        <w:rPr>
          <w:rFonts w:ascii="Arial" w:hAnsi="Arial" w:cs="Arial"/>
        </w:rPr>
        <w:t>;</w:t>
      </w:r>
      <w:r w:rsidR="009A497D" w:rsidRPr="00555295">
        <w:rPr>
          <w:rFonts w:ascii="Arial" w:hAnsi="Arial" w:cs="Arial"/>
        </w:rPr>
        <w:t xml:space="preserve"> and why it was erroneously granted. It reiterates that the applicants have </w:t>
      </w:r>
      <w:r w:rsidR="0025594A" w:rsidRPr="00555295">
        <w:rPr>
          <w:rFonts w:ascii="Arial" w:hAnsi="Arial" w:cs="Arial"/>
        </w:rPr>
        <w:t>not made out a case per the rule</w:t>
      </w:r>
      <w:r w:rsidR="009A497D" w:rsidRPr="00555295">
        <w:rPr>
          <w:rFonts w:ascii="Arial" w:hAnsi="Arial" w:cs="Arial"/>
        </w:rPr>
        <w:t xml:space="preserve"> </w:t>
      </w:r>
      <w:r w:rsidR="00622A3C" w:rsidRPr="00555295">
        <w:rPr>
          <w:rFonts w:ascii="Arial" w:hAnsi="Arial" w:cs="Arial"/>
        </w:rPr>
        <w:t>n</w:t>
      </w:r>
      <w:r w:rsidR="009A497D" w:rsidRPr="00555295">
        <w:rPr>
          <w:rFonts w:ascii="Arial" w:hAnsi="Arial" w:cs="Arial"/>
        </w:rPr>
        <w:t>or the common law.</w:t>
      </w:r>
    </w:p>
    <w:p w:rsidR="00ED7D65" w:rsidRPr="00555295" w:rsidRDefault="00ED7D65" w:rsidP="00555295">
      <w:pPr>
        <w:spacing w:line="360" w:lineRule="auto"/>
        <w:jc w:val="both"/>
        <w:rPr>
          <w:rFonts w:ascii="Arial" w:hAnsi="Arial" w:cs="Arial"/>
        </w:rPr>
      </w:pPr>
    </w:p>
    <w:p w:rsidR="00ED7D65" w:rsidRPr="00555295" w:rsidRDefault="00ED7D65" w:rsidP="00555295">
      <w:pPr>
        <w:spacing w:line="360" w:lineRule="auto"/>
        <w:jc w:val="both"/>
        <w:rPr>
          <w:rFonts w:ascii="Arial" w:hAnsi="Arial" w:cs="Arial"/>
          <w:b/>
        </w:rPr>
      </w:pPr>
      <w:r w:rsidRPr="00555295">
        <w:rPr>
          <w:rFonts w:ascii="Arial" w:hAnsi="Arial" w:cs="Arial"/>
          <w:b/>
        </w:rPr>
        <w:t>Issues</w:t>
      </w:r>
    </w:p>
    <w:p w:rsidR="00055C7F" w:rsidRPr="00555295" w:rsidRDefault="00F21B21" w:rsidP="00555295">
      <w:pPr>
        <w:spacing w:line="360" w:lineRule="auto"/>
        <w:jc w:val="both"/>
        <w:rPr>
          <w:rFonts w:ascii="Arial" w:hAnsi="Arial" w:cs="Arial"/>
        </w:rPr>
      </w:pPr>
      <w:r w:rsidRPr="00555295">
        <w:rPr>
          <w:rFonts w:ascii="Arial" w:hAnsi="Arial" w:cs="Arial"/>
        </w:rPr>
        <w:t>[46]</w:t>
      </w:r>
      <w:r w:rsidRPr="00555295">
        <w:rPr>
          <w:rFonts w:ascii="Arial" w:hAnsi="Arial" w:cs="Arial"/>
        </w:rPr>
        <w:tab/>
        <w:t>The first main</w:t>
      </w:r>
      <w:r w:rsidR="00ED7D65" w:rsidRPr="00555295">
        <w:rPr>
          <w:rFonts w:ascii="Arial" w:hAnsi="Arial" w:cs="Arial"/>
        </w:rPr>
        <w:t xml:space="preserve"> issue to be determined is whether or not the applicants made out a case to be joined in the </w:t>
      </w:r>
      <w:r w:rsidR="003B0F16">
        <w:rPr>
          <w:rFonts w:ascii="Arial" w:hAnsi="Arial" w:cs="Arial"/>
        </w:rPr>
        <w:t xml:space="preserve">ex parte </w:t>
      </w:r>
      <w:r w:rsidR="00ED7D65" w:rsidRPr="00555295">
        <w:rPr>
          <w:rFonts w:ascii="Arial" w:hAnsi="Arial" w:cs="Arial"/>
        </w:rPr>
        <w:t>application as respondent</w:t>
      </w:r>
      <w:r w:rsidRPr="00555295">
        <w:rPr>
          <w:rFonts w:ascii="Arial" w:hAnsi="Arial" w:cs="Arial"/>
        </w:rPr>
        <w:t>s</w:t>
      </w:r>
      <w:r w:rsidR="00ED7D65" w:rsidRPr="00555295">
        <w:rPr>
          <w:rFonts w:ascii="Arial" w:hAnsi="Arial" w:cs="Arial"/>
        </w:rPr>
        <w:t>. If so</w:t>
      </w:r>
      <w:r w:rsidRPr="00555295">
        <w:rPr>
          <w:rFonts w:ascii="Arial" w:hAnsi="Arial" w:cs="Arial"/>
        </w:rPr>
        <w:t xml:space="preserve"> and secondly</w:t>
      </w:r>
      <w:r w:rsidR="00ED7D65" w:rsidRPr="00555295">
        <w:rPr>
          <w:rFonts w:ascii="Arial" w:hAnsi="Arial" w:cs="Arial"/>
        </w:rPr>
        <w:t>, whether the judgment granted in that application s</w:t>
      </w:r>
      <w:r w:rsidRPr="00555295">
        <w:rPr>
          <w:rFonts w:ascii="Arial" w:hAnsi="Arial" w:cs="Arial"/>
        </w:rPr>
        <w:t>hould be rescinded in terms of r</w:t>
      </w:r>
      <w:r w:rsidR="00ED7D65" w:rsidRPr="00555295">
        <w:rPr>
          <w:rFonts w:ascii="Arial" w:hAnsi="Arial" w:cs="Arial"/>
        </w:rPr>
        <w:t>ule 42(1</w:t>
      </w:r>
      <w:r w:rsidR="00055C7F" w:rsidRPr="00555295">
        <w:rPr>
          <w:rFonts w:ascii="Arial" w:hAnsi="Arial" w:cs="Arial"/>
        </w:rPr>
        <w:t>),</w:t>
      </w:r>
      <w:r w:rsidR="00194153" w:rsidRPr="00555295">
        <w:rPr>
          <w:rFonts w:ascii="Arial" w:hAnsi="Arial" w:cs="Arial"/>
        </w:rPr>
        <w:t xml:space="preserve"> alternatively </w:t>
      </w:r>
      <w:r w:rsidR="007B29A6">
        <w:rPr>
          <w:rFonts w:ascii="Arial" w:hAnsi="Arial" w:cs="Arial"/>
        </w:rPr>
        <w:t xml:space="preserve">the </w:t>
      </w:r>
      <w:r w:rsidR="00194153" w:rsidRPr="00555295">
        <w:rPr>
          <w:rFonts w:ascii="Arial" w:hAnsi="Arial" w:cs="Arial"/>
        </w:rPr>
        <w:t>common law.</w:t>
      </w:r>
    </w:p>
    <w:p w:rsidR="00AC4527" w:rsidRPr="00555295" w:rsidRDefault="00AC4527" w:rsidP="00555295">
      <w:pPr>
        <w:spacing w:line="360" w:lineRule="auto"/>
        <w:jc w:val="both"/>
        <w:rPr>
          <w:rFonts w:ascii="Arial" w:hAnsi="Arial" w:cs="Arial"/>
        </w:rPr>
      </w:pPr>
    </w:p>
    <w:p w:rsidR="000D2D6D" w:rsidRPr="00555295" w:rsidRDefault="009A0A7D" w:rsidP="00555295">
      <w:pPr>
        <w:spacing w:line="360" w:lineRule="auto"/>
        <w:jc w:val="both"/>
        <w:rPr>
          <w:rFonts w:ascii="Arial" w:hAnsi="Arial" w:cs="Arial"/>
        </w:rPr>
      </w:pPr>
      <w:r w:rsidRPr="00555295">
        <w:rPr>
          <w:rFonts w:ascii="Arial" w:hAnsi="Arial" w:cs="Arial"/>
        </w:rPr>
        <w:t>[47]</w:t>
      </w:r>
      <w:r w:rsidRPr="00555295">
        <w:rPr>
          <w:rFonts w:ascii="Arial" w:hAnsi="Arial" w:cs="Arial"/>
        </w:rPr>
        <w:tab/>
        <w:t>Before those issues</w:t>
      </w:r>
      <w:r w:rsidR="00055C7F" w:rsidRPr="00555295">
        <w:rPr>
          <w:rFonts w:ascii="Arial" w:hAnsi="Arial" w:cs="Arial"/>
        </w:rPr>
        <w:t xml:space="preserve"> may be traversed, the first respo</w:t>
      </w:r>
      <w:r w:rsidRPr="00555295">
        <w:rPr>
          <w:rFonts w:ascii="Arial" w:hAnsi="Arial" w:cs="Arial"/>
        </w:rPr>
        <w:t xml:space="preserve">ndent has raised three </w:t>
      </w:r>
      <w:r w:rsidR="00936E7A" w:rsidRPr="00555295">
        <w:rPr>
          <w:rFonts w:ascii="Arial" w:hAnsi="Arial" w:cs="Arial"/>
        </w:rPr>
        <w:t>points/</w:t>
      </w:r>
      <w:r w:rsidR="00055C7F" w:rsidRPr="00555295">
        <w:rPr>
          <w:rFonts w:ascii="Arial" w:hAnsi="Arial" w:cs="Arial"/>
        </w:rPr>
        <w:t xml:space="preserve"> </w:t>
      </w:r>
      <w:r w:rsidR="00055C7F" w:rsidRPr="00422450">
        <w:rPr>
          <w:rFonts w:ascii="Arial" w:hAnsi="Arial" w:cs="Arial"/>
        </w:rPr>
        <w:t>issues in limine</w:t>
      </w:r>
      <w:r w:rsidR="00055C7F" w:rsidRPr="00555295">
        <w:rPr>
          <w:rFonts w:ascii="Arial" w:hAnsi="Arial" w:cs="Arial"/>
        </w:rPr>
        <w:t xml:space="preserve"> to be decided. The first one relates to </w:t>
      </w:r>
      <w:r w:rsidR="00055C7F" w:rsidRPr="007B29A6">
        <w:rPr>
          <w:rFonts w:ascii="Arial" w:hAnsi="Arial" w:cs="Arial"/>
        </w:rPr>
        <w:t>the locus standi</w:t>
      </w:r>
      <w:r w:rsidR="00055C7F" w:rsidRPr="00555295">
        <w:rPr>
          <w:rFonts w:ascii="Arial" w:hAnsi="Arial" w:cs="Arial"/>
        </w:rPr>
        <w:t xml:space="preserve"> challenge against the first applicant. </w:t>
      </w:r>
      <w:r w:rsidR="001A78E1" w:rsidRPr="00555295">
        <w:rPr>
          <w:rFonts w:ascii="Arial" w:hAnsi="Arial" w:cs="Arial"/>
        </w:rPr>
        <w:t xml:space="preserve">The second regards </w:t>
      </w:r>
      <w:r w:rsidRPr="00555295">
        <w:rPr>
          <w:rFonts w:ascii="Arial" w:hAnsi="Arial" w:cs="Arial"/>
        </w:rPr>
        <w:t xml:space="preserve">the </w:t>
      </w:r>
      <w:r w:rsidR="001A78E1" w:rsidRPr="00555295">
        <w:rPr>
          <w:rFonts w:ascii="Arial" w:hAnsi="Arial" w:cs="Arial"/>
        </w:rPr>
        <w:t>non-joinder of o</w:t>
      </w:r>
      <w:r w:rsidR="000C2E35" w:rsidRPr="00555295">
        <w:rPr>
          <w:rFonts w:ascii="Arial" w:hAnsi="Arial" w:cs="Arial"/>
        </w:rPr>
        <w:t>ther</w:t>
      </w:r>
      <w:r w:rsidR="001A78E1" w:rsidRPr="00555295">
        <w:rPr>
          <w:rFonts w:ascii="Arial" w:hAnsi="Arial" w:cs="Arial"/>
        </w:rPr>
        <w:t xml:space="preserve"> p</w:t>
      </w:r>
      <w:r w:rsidR="000C2E35" w:rsidRPr="00555295">
        <w:rPr>
          <w:rFonts w:ascii="Arial" w:hAnsi="Arial" w:cs="Arial"/>
        </w:rPr>
        <w:t>ersons related to the applicant</w:t>
      </w:r>
      <w:r w:rsidR="00D31597" w:rsidRPr="00555295">
        <w:rPr>
          <w:rFonts w:ascii="Arial" w:hAnsi="Arial" w:cs="Arial"/>
        </w:rPr>
        <w:t>s</w:t>
      </w:r>
      <w:r w:rsidR="001A78E1" w:rsidRPr="00555295">
        <w:rPr>
          <w:rFonts w:ascii="Arial" w:hAnsi="Arial" w:cs="Arial"/>
        </w:rPr>
        <w:t xml:space="preserve"> who may have an interest in the application. The third concerns the </w:t>
      </w:r>
      <w:r w:rsidR="001A78E1" w:rsidRPr="00422450">
        <w:rPr>
          <w:rFonts w:ascii="Arial" w:hAnsi="Arial" w:cs="Arial"/>
        </w:rPr>
        <w:t xml:space="preserve">locus standi challenge against </w:t>
      </w:r>
      <w:r w:rsidR="000C2E35" w:rsidRPr="00422450">
        <w:rPr>
          <w:rFonts w:ascii="Arial" w:hAnsi="Arial" w:cs="Arial"/>
        </w:rPr>
        <w:t>the second applicant. I propose</w:t>
      </w:r>
      <w:r w:rsidR="001A78E1" w:rsidRPr="00422450">
        <w:rPr>
          <w:rFonts w:ascii="Arial" w:hAnsi="Arial" w:cs="Arial"/>
        </w:rPr>
        <w:t xml:space="preserve"> to deal with all th</w:t>
      </w:r>
      <w:r w:rsidR="000C2E35" w:rsidRPr="00422450">
        <w:rPr>
          <w:rFonts w:ascii="Arial" w:hAnsi="Arial" w:cs="Arial"/>
        </w:rPr>
        <w:t>ree challenges</w:t>
      </w:r>
      <w:r w:rsidR="000C2E35" w:rsidRPr="00555295">
        <w:rPr>
          <w:rFonts w:ascii="Arial" w:hAnsi="Arial" w:cs="Arial"/>
        </w:rPr>
        <w:t xml:space="preserve"> together as they</w:t>
      </w:r>
      <w:r w:rsidR="001A78E1" w:rsidRPr="00555295">
        <w:rPr>
          <w:rFonts w:ascii="Arial" w:hAnsi="Arial" w:cs="Arial"/>
        </w:rPr>
        <w:t xml:space="preserve"> are factua</w:t>
      </w:r>
      <w:r w:rsidR="000C2E35" w:rsidRPr="00555295">
        <w:rPr>
          <w:rFonts w:ascii="Arial" w:hAnsi="Arial" w:cs="Arial"/>
        </w:rPr>
        <w:t>lly closely related to one another</w:t>
      </w:r>
      <w:r w:rsidR="001A78E1" w:rsidRPr="00555295">
        <w:rPr>
          <w:rFonts w:ascii="Arial" w:hAnsi="Arial" w:cs="Arial"/>
        </w:rPr>
        <w:t xml:space="preserve">. </w:t>
      </w:r>
    </w:p>
    <w:p w:rsidR="00214988" w:rsidRPr="00555295" w:rsidRDefault="00214988" w:rsidP="00555295">
      <w:pPr>
        <w:spacing w:line="360" w:lineRule="auto"/>
        <w:jc w:val="both"/>
        <w:rPr>
          <w:rFonts w:ascii="Arial" w:hAnsi="Arial" w:cs="Arial"/>
          <w:i/>
        </w:rPr>
      </w:pPr>
    </w:p>
    <w:p w:rsidR="00214988" w:rsidRPr="00BC172A" w:rsidRDefault="00214988" w:rsidP="00555295">
      <w:pPr>
        <w:spacing w:line="360" w:lineRule="auto"/>
        <w:jc w:val="both"/>
        <w:rPr>
          <w:rFonts w:ascii="Arial" w:hAnsi="Arial" w:cs="Arial"/>
          <w:b/>
          <w:i/>
        </w:rPr>
      </w:pPr>
      <w:r w:rsidRPr="00BC172A">
        <w:rPr>
          <w:rFonts w:ascii="Arial" w:hAnsi="Arial" w:cs="Arial"/>
          <w:b/>
          <w:i/>
        </w:rPr>
        <w:t xml:space="preserve">Locus </w:t>
      </w:r>
      <w:r w:rsidR="00084A98" w:rsidRPr="00BC172A">
        <w:rPr>
          <w:rFonts w:ascii="Arial" w:hAnsi="Arial" w:cs="Arial"/>
          <w:b/>
          <w:i/>
        </w:rPr>
        <w:t>s</w:t>
      </w:r>
      <w:r w:rsidRPr="00BC172A">
        <w:rPr>
          <w:rFonts w:ascii="Arial" w:hAnsi="Arial" w:cs="Arial"/>
          <w:b/>
          <w:i/>
        </w:rPr>
        <w:t xml:space="preserve">tandi and non-joinder </w:t>
      </w:r>
    </w:p>
    <w:p w:rsidR="00214988" w:rsidRDefault="00214988" w:rsidP="00555295">
      <w:pPr>
        <w:spacing w:line="360" w:lineRule="auto"/>
        <w:jc w:val="both"/>
        <w:rPr>
          <w:rFonts w:ascii="Arial" w:hAnsi="Arial" w:cs="Arial"/>
        </w:rPr>
      </w:pPr>
      <w:r w:rsidRPr="00555295">
        <w:rPr>
          <w:rFonts w:ascii="Arial" w:hAnsi="Arial" w:cs="Arial"/>
        </w:rPr>
        <w:lastRenderedPageBreak/>
        <w:t>[48]</w:t>
      </w:r>
      <w:r w:rsidRPr="00555295">
        <w:rPr>
          <w:rFonts w:ascii="Arial" w:hAnsi="Arial" w:cs="Arial"/>
        </w:rPr>
        <w:tab/>
        <w:t xml:space="preserve">As a starting point, a person who has </w:t>
      </w:r>
      <w:r w:rsidR="00E4588C" w:rsidRPr="00555295">
        <w:rPr>
          <w:rFonts w:ascii="Arial" w:hAnsi="Arial" w:cs="Arial"/>
        </w:rPr>
        <w:t>a right to sue or be sued in a particular matter is said to possess</w:t>
      </w:r>
      <w:r w:rsidR="00962411" w:rsidRPr="00555295">
        <w:rPr>
          <w:rFonts w:ascii="Arial" w:hAnsi="Arial" w:cs="Arial"/>
        </w:rPr>
        <w:t xml:space="preserve"> </w:t>
      </w:r>
      <w:r w:rsidR="00E4588C" w:rsidRPr="0027490A">
        <w:rPr>
          <w:rFonts w:ascii="Arial" w:hAnsi="Arial" w:cs="Arial"/>
        </w:rPr>
        <w:t>locus standi in iudici</w:t>
      </w:r>
      <w:r w:rsidR="00962411" w:rsidRPr="0027490A">
        <w:rPr>
          <w:rFonts w:ascii="Arial" w:hAnsi="Arial" w:cs="Arial"/>
        </w:rPr>
        <w:t>o</w:t>
      </w:r>
      <w:r w:rsidR="00E4588C" w:rsidRPr="00555295">
        <w:rPr>
          <w:rFonts w:ascii="Arial" w:hAnsi="Arial" w:cs="Arial"/>
          <w:i/>
        </w:rPr>
        <w:t xml:space="preserve"> </w:t>
      </w:r>
      <w:r w:rsidRPr="00555295">
        <w:rPr>
          <w:rFonts w:ascii="Arial" w:hAnsi="Arial" w:cs="Arial"/>
        </w:rPr>
        <w:t>in that matter. The general ru</w:t>
      </w:r>
      <w:r w:rsidR="00E4588C" w:rsidRPr="00555295">
        <w:rPr>
          <w:rFonts w:ascii="Arial" w:hAnsi="Arial" w:cs="Arial"/>
        </w:rPr>
        <w:t>le of our law rests an onus upon the party instituting proceedings to allege</w:t>
      </w:r>
      <w:r w:rsidRPr="00555295">
        <w:rPr>
          <w:rFonts w:ascii="Arial" w:hAnsi="Arial" w:cs="Arial"/>
        </w:rPr>
        <w:t xml:space="preserve"> and prove that such party has </w:t>
      </w:r>
      <w:r w:rsidRPr="0027490A">
        <w:rPr>
          <w:rFonts w:ascii="Arial" w:hAnsi="Arial" w:cs="Arial"/>
        </w:rPr>
        <w:t>locus standi</w:t>
      </w:r>
      <w:r w:rsidRPr="00555295">
        <w:rPr>
          <w:rFonts w:ascii="Arial" w:hAnsi="Arial" w:cs="Arial"/>
        </w:rPr>
        <w:t xml:space="preserve"> to do so</w:t>
      </w:r>
      <w:r w:rsidR="00596A6D">
        <w:rPr>
          <w:rFonts w:ascii="Arial" w:hAnsi="Arial" w:cs="Arial"/>
        </w:rPr>
        <w:t>.</w:t>
      </w:r>
      <w:r w:rsidR="00596A6D">
        <w:rPr>
          <w:rStyle w:val="FootnoteReference"/>
          <w:rFonts w:ascii="Arial" w:hAnsi="Arial" w:cs="Arial"/>
        </w:rPr>
        <w:footnoteReference w:id="21"/>
      </w:r>
      <w:r w:rsidRPr="00555295">
        <w:rPr>
          <w:rFonts w:ascii="Arial" w:hAnsi="Arial" w:cs="Arial"/>
        </w:rPr>
        <w:t xml:space="preserve"> </w:t>
      </w:r>
    </w:p>
    <w:p w:rsidR="00F47FEE" w:rsidRPr="00555295" w:rsidRDefault="00F47FEE" w:rsidP="00555295">
      <w:pPr>
        <w:spacing w:line="360" w:lineRule="auto"/>
        <w:jc w:val="both"/>
        <w:rPr>
          <w:rFonts w:ascii="Arial" w:hAnsi="Arial" w:cs="Arial"/>
        </w:rPr>
      </w:pPr>
    </w:p>
    <w:p w:rsidR="00214988" w:rsidRPr="00555295" w:rsidRDefault="00D77877" w:rsidP="00555295">
      <w:pPr>
        <w:spacing w:line="360" w:lineRule="auto"/>
        <w:jc w:val="both"/>
        <w:rPr>
          <w:rFonts w:ascii="Arial" w:hAnsi="Arial" w:cs="Arial"/>
        </w:rPr>
      </w:pPr>
      <w:r w:rsidRPr="00555295">
        <w:rPr>
          <w:rFonts w:ascii="Arial" w:hAnsi="Arial" w:cs="Arial"/>
        </w:rPr>
        <w:t>[49]</w:t>
      </w:r>
      <w:r w:rsidRPr="00555295">
        <w:rPr>
          <w:rFonts w:ascii="Arial" w:hAnsi="Arial" w:cs="Arial"/>
        </w:rPr>
        <w:tab/>
        <w:t>There are two tests to determine the locus standi of a party. First, whether or not the party concerned has a direct and substantial interest in the matter and, second, whether or not that party has legal capacity to litigate in the matter. For purposes of thi</w:t>
      </w:r>
      <w:r w:rsidR="00962411" w:rsidRPr="00555295">
        <w:rPr>
          <w:rFonts w:ascii="Arial" w:hAnsi="Arial" w:cs="Arial"/>
        </w:rPr>
        <w:t>s matter, the second test</w:t>
      </w:r>
      <w:r w:rsidRPr="00555295">
        <w:rPr>
          <w:rFonts w:ascii="Arial" w:hAnsi="Arial" w:cs="Arial"/>
        </w:rPr>
        <w:t xml:space="preserve"> </w:t>
      </w:r>
      <w:r w:rsidR="00F57CDA" w:rsidRPr="00555295">
        <w:rPr>
          <w:rFonts w:ascii="Arial" w:hAnsi="Arial" w:cs="Arial"/>
        </w:rPr>
        <w:t>does</w:t>
      </w:r>
      <w:r w:rsidRPr="00555295">
        <w:rPr>
          <w:rFonts w:ascii="Arial" w:hAnsi="Arial" w:cs="Arial"/>
        </w:rPr>
        <w:t xml:space="preserve"> </w:t>
      </w:r>
      <w:r w:rsidR="00F47FEE">
        <w:rPr>
          <w:rFonts w:ascii="Arial" w:hAnsi="Arial" w:cs="Arial"/>
        </w:rPr>
        <w:t xml:space="preserve">not </w:t>
      </w:r>
      <w:r w:rsidRPr="00555295">
        <w:rPr>
          <w:rFonts w:ascii="Arial" w:hAnsi="Arial" w:cs="Arial"/>
        </w:rPr>
        <w:t xml:space="preserve">come into play as both applicants are obviously endowed with such legal capacity and </w:t>
      </w:r>
      <w:r w:rsidR="008C3CC2" w:rsidRPr="00555295">
        <w:rPr>
          <w:rFonts w:ascii="Arial" w:hAnsi="Arial" w:cs="Arial"/>
        </w:rPr>
        <w:t>it</w:t>
      </w:r>
      <w:r w:rsidR="00F47FEE">
        <w:rPr>
          <w:rFonts w:ascii="Arial" w:hAnsi="Arial" w:cs="Arial"/>
        </w:rPr>
        <w:t xml:space="preserve"> i</w:t>
      </w:r>
      <w:r w:rsidR="008C3CC2" w:rsidRPr="00555295">
        <w:rPr>
          <w:rFonts w:ascii="Arial" w:hAnsi="Arial" w:cs="Arial"/>
        </w:rPr>
        <w:t>s</w:t>
      </w:r>
      <w:r w:rsidR="006F36FA" w:rsidRPr="00555295">
        <w:rPr>
          <w:rFonts w:ascii="Arial" w:hAnsi="Arial" w:cs="Arial"/>
        </w:rPr>
        <w:t xml:space="preserve"> a non</w:t>
      </w:r>
      <w:r w:rsidRPr="00555295">
        <w:rPr>
          <w:rFonts w:ascii="Arial" w:hAnsi="Arial" w:cs="Arial"/>
        </w:rPr>
        <w:t>-issue.</w:t>
      </w:r>
    </w:p>
    <w:p w:rsidR="006F36FA" w:rsidRPr="00555295" w:rsidRDefault="006F36FA" w:rsidP="00555295">
      <w:pPr>
        <w:spacing w:line="360" w:lineRule="auto"/>
        <w:jc w:val="both"/>
        <w:rPr>
          <w:rFonts w:ascii="Arial" w:hAnsi="Arial" w:cs="Arial"/>
        </w:rPr>
      </w:pPr>
    </w:p>
    <w:p w:rsidR="00210206" w:rsidRPr="00555295" w:rsidRDefault="00210206" w:rsidP="00555295">
      <w:pPr>
        <w:spacing w:line="360" w:lineRule="auto"/>
        <w:jc w:val="both"/>
        <w:rPr>
          <w:rFonts w:ascii="Arial" w:hAnsi="Arial" w:cs="Arial"/>
        </w:rPr>
      </w:pPr>
      <w:r w:rsidRPr="00555295">
        <w:rPr>
          <w:rFonts w:ascii="Arial" w:hAnsi="Arial" w:cs="Arial"/>
        </w:rPr>
        <w:t>[50]</w:t>
      </w:r>
      <w:r w:rsidRPr="00555295">
        <w:rPr>
          <w:rFonts w:ascii="Arial" w:hAnsi="Arial" w:cs="Arial"/>
        </w:rPr>
        <w:tab/>
        <w:t xml:space="preserve">The common law position is that a person wishing to institute or defend legal proceedings must have a direct and substantial interest in the </w:t>
      </w:r>
      <w:r w:rsidR="002675D6" w:rsidRPr="00555295">
        <w:rPr>
          <w:rFonts w:ascii="Arial" w:hAnsi="Arial" w:cs="Arial"/>
        </w:rPr>
        <w:t>right, which</w:t>
      </w:r>
      <w:r w:rsidRPr="00555295">
        <w:rPr>
          <w:rFonts w:ascii="Arial" w:hAnsi="Arial" w:cs="Arial"/>
        </w:rPr>
        <w:t xml:space="preserve"> is the subject matter of litigation, and in the outcome of the litigation</w:t>
      </w:r>
      <w:r w:rsidR="00596A6D">
        <w:rPr>
          <w:rFonts w:ascii="Arial" w:hAnsi="Arial" w:cs="Arial"/>
        </w:rPr>
        <w:t>.</w:t>
      </w:r>
      <w:r w:rsidR="00596A6D">
        <w:rPr>
          <w:rStyle w:val="FootnoteReference"/>
          <w:rFonts w:ascii="Arial" w:hAnsi="Arial" w:cs="Arial"/>
        </w:rPr>
        <w:footnoteReference w:id="22"/>
      </w:r>
      <w:r w:rsidRPr="00555295">
        <w:rPr>
          <w:rFonts w:ascii="Arial" w:hAnsi="Arial" w:cs="Arial"/>
        </w:rPr>
        <w:t xml:space="preserve"> In other words, you cannot take over some</w:t>
      </w:r>
      <w:r w:rsidR="003663CB" w:rsidRPr="00555295">
        <w:rPr>
          <w:rFonts w:ascii="Arial" w:hAnsi="Arial" w:cs="Arial"/>
        </w:rPr>
        <w:t xml:space="preserve">one else’s legal battle, simply </w:t>
      </w:r>
      <w:r w:rsidRPr="00555295">
        <w:rPr>
          <w:rFonts w:ascii="Arial" w:hAnsi="Arial" w:cs="Arial"/>
        </w:rPr>
        <w:t>because you wish to li</w:t>
      </w:r>
      <w:r w:rsidR="00C3770E">
        <w:rPr>
          <w:rFonts w:ascii="Arial" w:hAnsi="Arial" w:cs="Arial"/>
        </w:rPr>
        <w:t>ti</w:t>
      </w:r>
      <w:r w:rsidRPr="00555295">
        <w:rPr>
          <w:rFonts w:ascii="Arial" w:hAnsi="Arial" w:cs="Arial"/>
        </w:rPr>
        <w:t xml:space="preserve">gate </w:t>
      </w:r>
      <w:r w:rsidR="00C3770E">
        <w:rPr>
          <w:rFonts w:ascii="Arial" w:hAnsi="Arial" w:cs="Arial"/>
        </w:rPr>
        <w:t xml:space="preserve">for </w:t>
      </w:r>
      <w:r w:rsidRPr="00555295">
        <w:rPr>
          <w:rFonts w:ascii="Arial" w:hAnsi="Arial" w:cs="Arial"/>
        </w:rPr>
        <w:t xml:space="preserve">the fun of it or </w:t>
      </w:r>
      <w:r w:rsidR="003663CB" w:rsidRPr="00555295">
        <w:rPr>
          <w:rFonts w:ascii="Arial" w:hAnsi="Arial" w:cs="Arial"/>
        </w:rPr>
        <w:t>for some other reason. An</w:t>
      </w:r>
      <w:r w:rsidRPr="00555295">
        <w:rPr>
          <w:rFonts w:ascii="Arial" w:hAnsi="Arial" w:cs="Arial"/>
        </w:rPr>
        <w:t xml:space="preserve"> indirect financial interest is not sufficient.</w:t>
      </w:r>
    </w:p>
    <w:p w:rsidR="005028D1" w:rsidRPr="00555295" w:rsidRDefault="005028D1" w:rsidP="00555295">
      <w:pPr>
        <w:spacing w:line="360" w:lineRule="auto"/>
        <w:jc w:val="both"/>
        <w:rPr>
          <w:rFonts w:ascii="Arial" w:hAnsi="Arial" w:cs="Arial"/>
        </w:rPr>
      </w:pPr>
    </w:p>
    <w:p w:rsidR="005028D1" w:rsidRPr="00555295" w:rsidRDefault="005028D1" w:rsidP="00555295">
      <w:pPr>
        <w:spacing w:line="360" w:lineRule="auto"/>
        <w:jc w:val="both"/>
        <w:rPr>
          <w:rFonts w:ascii="Arial" w:hAnsi="Arial" w:cs="Arial"/>
        </w:rPr>
      </w:pPr>
      <w:r w:rsidRPr="00555295">
        <w:rPr>
          <w:rFonts w:ascii="Arial" w:hAnsi="Arial" w:cs="Arial"/>
        </w:rPr>
        <w:t>[51]</w:t>
      </w:r>
      <w:r w:rsidRPr="00555295">
        <w:rPr>
          <w:rFonts w:ascii="Arial" w:hAnsi="Arial" w:cs="Arial"/>
        </w:rPr>
        <w:tab/>
        <w:t>The requirement</w:t>
      </w:r>
      <w:r w:rsidR="002675D6" w:rsidRPr="00555295">
        <w:rPr>
          <w:rFonts w:ascii="Arial" w:hAnsi="Arial" w:cs="Arial"/>
        </w:rPr>
        <w:t>s</w:t>
      </w:r>
      <w:r w:rsidRPr="00555295">
        <w:rPr>
          <w:rFonts w:ascii="Arial" w:hAnsi="Arial" w:cs="Arial"/>
        </w:rPr>
        <w:t xml:space="preserve"> for a direct and substantial in</w:t>
      </w:r>
      <w:r w:rsidR="002675D6" w:rsidRPr="00555295">
        <w:rPr>
          <w:rFonts w:ascii="Arial" w:hAnsi="Arial" w:cs="Arial"/>
        </w:rPr>
        <w:t>terest are summed up as follows:</w:t>
      </w:r>
      <w:r w:rsidR="00422450">
        <w:rPr>
          <w:rStyle w:val="FootnoteReference"/>
          <w:rFonts w:ascii="Arial" w:hAnsi="Arial" w:cs="Arial"/>
        </w:rPr>
        <w:footnoteReference w:id="23"/>
      </w:r>
    </w:p>
    <w:p w:rsidR="005028D1" w:rsidRPr="0027490A" w:rsidRDefault="004B7549" w:rsidP="00B52853">
      <w:pPr>
        <w:spacing w:line="360" w:lineRule="auto"/>
        <w:ind w:left="720" w:hanging="720"/>
        <w:jc w:val="both"/>
        <w:rPr>
          <w:rFonts w:ascii="Arial" w:hAnsi="Arial" w:cs="Arial"/>
          <w:sz w:val="22"/>
          <w:szCs w:val="22"/>
        </w:rPr>
      </w:pPr>
      <w:r w:rsidRPr="0027490A">
        <w:rPr>
          <w:rFonts w:ascii="Arial" w:hAnsi="Arial" w:cs="Arial"/>
          <w:sz w:val="22"/>
          <w:szCs w:val="22"/>
        </w:rPr>
        <w:t>‘</w:t>
      </w:r>
      <w:r w:rsidR="00252D28" w:rsidRPr="009744C2">
        <w:rPr>
          <w:rFonts w:ascii="Arial" w:hAnsi="Arial" w:cs="Arial"/>
          <w:i/>
          <w:sz w:val="22"/>
          <w:szCs w:val="22"/>
        </w:rPr>
        <w:t>(a)</w:t>
      </w:r>
      <w:r w:rsidR="00252D28" w:rsidRPr="0027490A">
        <w:rPr>
          <w:rFonts w:ascii="Arial" w:hAnsi="Arial" w:cs="Arial"/>
          <w:sz w:val="22"/>
          <w:szCs w:val="22"/>
        </w:rPr>
        <w:tab/>
        <w:t xml:space="preserve">the plaintiff/applicant for relief must have an adequate interest in the subject matter of the litigation, which is not a technical concept but is usually described as </w:t>
      </w:r>
      <w:r w:rsidR="009744C2">
        <w:rPr>
          <w:rFonts w:ascii="Arial" w:hAnsi="Arial" w:cs="Arial"/>
          <w:sz w:val="22"/>
          <w:szCs w:val="22"/>
        </w:rPr>
        <w:t>a</w:t>
      </w:r>
      <w:r w:rsidR="00252D28" w:rsidRPr="0027490A">
        <w:rPr>
          <w:rFonts w:ascii="Arial" w:hAnsi="Arial" w:cs="Arial"/>
          <w:sz w:val="22"/>
          <w:szCs w:val="22"/>
        </w:rPr>
        <w:t xml:space="preserve"> direct interest in the relief sought;</w:t>
      </w:r>
    </w:p>
    <w:p w:rsidR="00252D28" w:rsidRPr="0027490A" w:rsidRDefault="00252D28" w:rsidP="0027490A">
      <w:pPr>
        <w:spacing w:line="360" w:lineRule="auto"/>
        <w:jc w:val="both"/>
        <w:rPr>
          <w:rFonts w:ascii="Arial" w:hAnsi="Arial" w:cs="Arial"/>
          <w:sz w:val="22"/>
          <w:szCs w:val="22"/>
        </w:rPr>
      </w:pPr>
      <w:r w:rsidRPr="009744C2">
        <w:rPr>
          <w:rFonts w:ascii="Arial" w:hAnsi="Arial" w:cs="Arial"/>
          <w:i/>
          <w:sz w:val="22"/>
          <w:szCs w:val="22"/>
        </w:rPr>
        <w:t>(b)</w:t>
      </w:r>
      <w:r w:rsidRPr="0027490A">
        <w:rPr>
          <w:rFonts w:ascii="Arial" w:hAnsi="Arial" w:cs="Arial"/>
          <w:sz w:val="22"/>
          <w:szCs w:val="22"/>
        </w:rPr>
        <w:tab/>
        <w:t>the interest must not be too far removed;</w:t>
      </w:r>
    </w:p>
    <w:p w:rsidR="00252D28" w:rsidRPr="0027490A" w:rsidRDefault="00252D28" w:rsidP="0027490A">
      <w:pPr>
        <w:spacing w:line="360" w:lineRule="auto"/>
        <w:jc w:val="both"/>
        <w:rPr>
          <w:rFonts w:ascii="Arial" w:hAnsi="Arial" w:cs="Arial"/>
          <w:sz w:val="22"/>
          <w:szCs w:val="22"/>
        </w:rPr>
      </w:pPr>
      <w:r w:rsidRPr="009744C2">
        <w:rPr>
          <w:rFonts w:ascii="Arial" w:hAnsi="Arial" w:cs="Arial"/>
          <w:i/>
          <w:sz w:val="22"/>
          <w:szCs w:val="22"/>
        </w:rPr>
        <w:t>(c)</w:t>
      </w:r>
      <w:r w:rsidRPr="0027490A">
        <w:rPr>
          <w:rFonts w:ascii="Arial" w:hAnsi="Arial" w:cs="Arial"/>
          <w:sz w:val="22"/>
          <w:szCs w:val="22"/>
        </w:rPr>
        <w:tab/>
        <w:t xml:space="preserve">the interest must </w:t>
      </w:r>
      <w:r w:rsidR="009744C2">
        <w:rPr>
          <w:rFonts w:ascii="Arial" w:hAnsi="Arial" w:cs="Arial"/>
          <w:sz w:val="22"/>
          <w:szCs w:val="22"/>
        </w:rPr>
        <w:t xml:space="preserve">be </w:t>
      </w:r>
      <w:r w:rsidRPr="0027490A">
        <w:rPr>
          <w:rFonts w:ascii="Arial" w:hAnsi="Arial" w:cs="Arial"/>
          <w:sz w:val="22"/>
          <w:szCs w:val="22"/>
        </w:rPr>
        <w:t xml:space="preserve">actual, not abstract or academic; </w:t>
      </w:r>
    </w:p>
    <w:p w:rsidR="00252D28" w:rsidRPr="0027490A" w:rsidRDefault="00252D28" w:rsidP="0027490A">
      <w:pPr>
        <w:spacing w:line="360" w:lineRule="auto"/>
        <w:jc w:val="both"/>
        <w:rPr>
          <w:rFonts w:ascii="Arial" w:hAnsi="Arial" w:cs="Arial"/>
          <w:i/>
          <w:sz w:val="22"/>
          <w:szCs w:val="22"/>
        </w:rPr>
      </w:pPr>
      <w:r w:rsidRPr="009744C2">
        <w:rPr>
          <w:rFonts w:ascii="Arial" w:hAnsi="Arial" w:cs="Arial"/>
          <w:i/>
          <w:sz w:val="22"/>
          <w:szCs w:val="22"/>
        </w:rPr>
        <w:t>(d)</w:t>
      </w:r>
      <w:r w:rsidRPr="0027490A">
        <w:rPr>
          <w:rFonts w:ascii="Arial" w:hAnsi="Arial" w:cs="Arial"/>
          <w:sz w:val="22"/>
          <w:szCs w:val="22"/>
        </w:rPr>
        <w:tab/>
        <w:t>the interest must be a</w:t>
      </w:r>
      <w:r w:rsidR="002675D6" w:rsidRPr="0027490A">
        <w:rPr>
          <w:rFonts w:ascii="Arial" w:hAnsi="Arial" w:cs="Arial"/>
          <w:sz w:val="22"/>
          <w:szCs w:val="22"/>
        </w:rPr>
        <w:t xml:space="preserve"> current interest and not a </w:t>
      </w:r>
      <w:r w:rsidRPr="0027490A">
        <w:rPr>
          <w:rFonts w:ascii="Arial" w:hAnsi="Arial" w:cs="Arial"/>
          <w:sz w:val="22"/>
          <w:szCs w:val="22"/>
        </w:rPr>
        <w:t>hypothetical one</w:t>
      </w:r>
      <w:r w:rsidR="0027490A">
        <w:rPr>
          <w:rFonts w:ascii="Arial" w:hAnsi="Arial" w:cs="Arial"/>
          <w:sz w:val="22"/>
          <w:szCs w:val="22"/>
        </w:rPr>
        <w:t>.</w:t>
      </w:r>
      <w:r w:rsidRPr="0027490A">
        <w:rPr>
          <w:rFonts w:ascii="Arial" w:hAnsi="Arial" w:cs="Arial"/>
          <w:sz w:val="22"/>
          <w:szCs w:val="22"/>
        </w:rPr>
        <w:t>’</w:t>
      </w:r>
      <w:r w:rsidR="00F94149" w:rsidRPr="0027490A">
        <w:rPr>
          <w:rFonts w:ascii="Arial" w:hAnsi="Arial" w:cs="Arial"/>
          <w:sz w:val="22"/>
          <w:szCs w:val="22"/>
        </w:rPr>
        <w:t xml:space="preserve"> </w:t>
      </w:r>
      <w:r w:rsidR="0022564A">
        <w:rPr>
          <w:rFonts w:ascii="Arial" w:hAnsi="Arial" w:cs="Arial"/>
          <w:sz w:val="22"/>
          <w:szCs w:val="22"/>
        </w:rPr>
        <w:t>(Footnote omitted.)</w:t>
      </w:r>
    </w:p>
    <w:p w:rsidR="0027490A" w:rsidRPr="00555295" w:rsidRDefault="0027490A" w:rsidP="0027490A">
      <w:pPr>
        <w:spacing w:line="360" w:lineRule="auto"/>
        <w:jc w:val="both"/>
        <w:rPr>
          <w:rFonts w:ascii="Arial" w:hAnsi="Arial" w:cs="Arial"/>
        </w:rPr>
      </w:pPr>
    </w:p>
    <w:p w:rsidR="00E909B1" w:rsidRPr="00555295" w:rsidRDefault="00E909B1" w:rsidP="00555295">
      <w:pPr>
        <w:spacing w:line="360" w:lineRule="auto"/>
        <w:jc w:val="both"/>
        <w:rPr>
          <w:rFonts w:ascii="Arial" w:hAnsi="Arial" w:cs="Arial"/>
        </w:rPr>
      </w:pPr>
      <w:r w:rsidRPr="00555295">
        <w:rPr>
          <w:rFonts w:ascii="Arial" w:hAnsi="Arial" w:cs="Arial"/>
        </w:rPr>
        <w:t>[52]</w:t>
      </w:r>
      <w:r w:rsidRPr="00555295">
        <w:rPr>
          <w:rFonts w:ascii="Arial" w:hAnsi="Arial" w:cs="Arial"/>
        </w:rPr>
        <w:tab/>
        <w:t>While the above is the general rule, it is important to bear in mind that in r</w:t>
      </w:r>
      <w:r w:rsidR="005201BF" w:rsidRPr="00555295">
        <w:rPr>
          <w:rFonts w:ascii="Arial" w:hAnsi="Arial" w:cs="Arial"/>
        </w:rPr>
        <w:t>espect of actions based on the Bill of Rights, the provisions of the C</w:t>
      </w:r>
      <w:r w:rsidRPr="00555295">
        <w:rPr>
          <w:rFonts w:ascii="Arial" w:hAnsi="Arial" w:cs="Arial"/>
        </w:rPr>
        <w:t>onstitution have extended locus standi</w:t>
      </w:r>
      <w:r w:rsidR="00CC28A6" w:rsidRPr="00555295">
        <w:rPr>
          <w:rFonts w:ascii="Arial" w:hAnsi="Arial" w:cs="Arial"/>
        </w:rPr>
        <w:t xml:space="preserve"> to persons and groups who, in the past, would not have been considered to </w:t>
      </w:r>
      <w:r w:rsidR="00CC28A6" w:rsidRPr="00555295">
        <w:rPr>
          <w:rFonts w:ascii="Arial" w:hAnsi="Arial" w:cs="Arial"/>
        </w:rPr>
        <w:lastRenderedPageBreak/>
        <w:t>have a “direct and substantial interest” in a matter</w:t>
      </w:r>
      <w:r w:rsidR="005F0C01">
        <w:rPr>
          <w:rFonts w:ascii="Arial" w:hAnsi="Arial" w:cs="Arial"/>
        </w:rPr>
        <w:t>.</w:t>
      </w:r>
      <w:r w:rsidR="005F0C01">
        <w:rPr>
          <w:rStyle w:val="FootnoteReference"/>
          <w:rFonts w:ascii="Arial" w:hAnsi="Arial" w:cs="Arial"/>
        </w:rPr>
        <w:footnoteReference w:id="24"/>
      </w:r>
      <w:r w:rsidR="00CC28A6" w:rsidRPr="00555295">
        <w:rPr>
          <w:rFonts w:ascii="Arial" w:hAnsi="Arial" w:cs="Arial"/>
        </w:rPr>
        <w:t xml:space="preserve"> </w:t>
      </w:r>
      <w:r w:rsidR="0074681D" w:rsidRPr="00E92067">
        <w:rPr>
          <w:rFonts w:ascii="Arial" w:hAnsi="Arial" w:cs="Arial"/>
        </w:rPr>
        <w:t>In</w:t>
      </w:r>
      <w:r w:rsidR="0074681D" w:rsidRPr="00555295">
        <w:rPr>
          <w:rFonts w:ascii="Arial" w:hAnsi="Arial" w:cs="Arial"/>
        </w:rPr>
        <w:t xml:space="preserve"> terms of s 38 of the Constitution, relief may be sought by:</w:t>
      </w:r>
    </w:p>
    <w:p w:rsidR="0074681D" w:rsidRPr="00E92067" w:rsidRDefault="00E92067" w:rsidP="00555295">
      <w:pPr>
        <w:spacing w:line="360" w:lineRule="auto"/>
        <w:jc w:val="both"/>
        <w:rPr>
          <w:rFonts w:ascii="Arial" w:hAnsi="Arial" w:cs="Arial"/>
          <w:sz w:val="22"/>
          <w:szCs w:val="22"/>
        </w:rPr>
      </w:pPr>
      <w:r w:rsidRPr="00E92067">
        <w:rPr>
          <w:rFonts w:ascii="Arial" w:hAnsi="Arial" w:cs="Arial"/>
          <w:sz w:val="22"/>
          <w:szCs w:val="22"/>
        </w:rPr>
        <w:t>‘</w:t>
      </w:r>
      <w:r w:rsidR="0074681D" w:rsidRPr="00E92067">
        <w:rPr>
          <w:rFonts w:ascii="Arial" w:hAnsi="Arial" w:cs="Arial"/>
          <w:i/>
          <w:sz w:val="22"/>
          <w:szCs w:val="22"/>
        </w:rPr>
        <w:t>(a)</w:t>
      </w:r>
      <w:r w:rsidR="0074681D" w:rsidRPr="00E92067">
        <w:rPr>
          <w:rFonts w:ascii="Arial" w:hAnsi="Arial" w:cs="Arial"/>
          <w:sz w:val="22"/>
          <w:szCs w:val="22"/>
        </w:rPr>
        <w:tab/>
        <w:t>anyone acting in their own interest;</w:t>
      </w:r>
    </w:p>
    <w:p w:rsidR="0074681D" w:rsidRPr="00E92067" w:rsidRDefault="0074681D" w:rsidP="00555295">
      <w:pPr>
        <w:spacing w:line="360" w:lineRule="auto"/>
        <w:ind w:left="720" w:hanging="720"/>
        <w:jc w:val="both"/>
        <w:rPr>
          <w:rFonts w:ascii="Arial" w:hAnsi="Arial" w:cs="Arial"/>
          <w:sz w:val="22"/>
          <w:szCs w:val="22"/>
        </w:rPr>
      </w:pPr>
      <w:r w:rsidRPr="00E92067">
        <w:rPr>
          <w:rFonts w:ascii="Arial" w:hAnsi="Arial" w:cs="Arial"/>
          <w:i/>
          <w:sz w:val="22"/>
          <w:szCs w:val="22"/>
        </w:rPr>
        <w:t>(b</w:t>
      </w:r>
      <w:r w:rsidR="005201BF" w:rsidRPr="00E92067">
        <w:rPr>
          <w:rFonts w:ascii="Arial" w:hAnsi="Arial" w:cs="Arial"/>
          <w:i/>
          <w:sz w:val="22"/>
          <w:szCs w:val="22"/>
        </w:rPr>
        <w:t>)</w:t>
      </w:r>
      <w:r w:rsidR="005201BF" w:rsidRPr="00E92067">
        <w:rPr>
          <w:rFonts w:ascii="Arial" w:hAnsi="Arial" w:cs="Arial"/>
          <w:sz w:val="22"/>
          <w:szCs w:val="22"/>
        </w:rPr>
        <w:tab/>
        <w:t>anyone acting on behalf of</w:t>
      </w:r>
      <w:r w:rsidRPr="00E92067">
        <w:rPr>
          <w:rFonts w:ascii="Arial" w:hAnsi="Arial" w:cs="Arial"/>
          <w:sz w:val="22"/>
          <w:szCs w:val="22"/>
        </w:rPr>
        <w:t xml:space="preserve"> another person who cannot act in their own</w:t>
      </w:r>
      <w:r w:rsidR="00E92067">
        <w:rPr>
          <w:rFonts w:ascii="Arial" w:hAnsi="Arial" w:cs="Arial"/>
          <w:sz w:val="22"/>
          <w:szCs w:val="22"/>
        </w:rPr>
        <w:t xml:space="preserve"> </w:t>
      </w:r>
      <w:r w:rsidR="00E92067" w:rsidRPr="00E92067">
        <w:rPr>
          <w:rFonts w:ascii="Arial" w:hAnsi="Arial" w:cs="Arial"/>
          <w:sz w:val="22"/>
          <w:szCs w:val="22"/>
        </w:rPr>
        <w:t>name</w:t>
      </w:r>
      <w:r w:rsidRPr="00E92067">
        <w:rPr>
          <w:rFonts w:ascii="Arial" w:hAnsi="Arial" w:cs="Arial"/>
          <w:sz w:val="22"/>
          <w:szCs w:val="22"/>
        </w:rPr>
        <w:t>;</w:t>
      </w:r>
    </w:p>
    <w:p w:rsidR="0074681D" w:rsidRPr="00E92067" w:rsidRDefault="0074681D" w:rsidP="00555295">
      <w:pPr>
        <w:spacing w:line="360" w:lineRule="auto"/>
        <w:ind w:left="720" w:hanging="720"/>
        <w:jc w:val="both"/>
        <w:rPr>
          <w:rFonts w:ascii="Arial" w:hAnsi="Arial" w:cs="Arial"/>
          <w:sz w:val="22"/>
          <w:szCs w:val="22"/>
        </w:rPr>
      </w:pPr>
      <w:r w:rsidRPr="00E92067">
        <w:rPr>
          <w:rFonts w:ascii="Arial" w:hAnsi="Arial" w:cs="Arial"/>
          <w:i/>
          <w:sz w:val="22"/>
          <w:szCs w:val="22"/>
        </w:rPr>
        <w:t>(c)</w:t>
      </w:r>
      <w:r w:rsidRPr="00E92067">
        <w:rPr>
          <w:rFonts w:ascii="Arial" w:hAnsi="Arial" w:cs="Arial"/>
          <w:sz w:val="22"/>
          <w:szCs w:val="22"/>
        </w:rPr>
        <w:tab/>
        <w:t>anyone acting as a member</w:t>
      </w:r>
      <w:r w:rsidR="00E92067" w:rsidRPr="00E92067">
        <w:rPr>
          <w:rFonts w:ascii="Arial" w:hAnsi="Arial" w:cs="Arial"/>
          <w:sz w:val="22"/>
          <w:szCs w:val="22"/>
        </w:rPr>
        <w:t xml:space="preserve"> of</w:t>
      </w:r>
      <w:r w:rsidRPr="00E92067">
        <w:rPr>
          <w:rFonts w:ascii="Arial" w:hAnsi="Arial" w:cs="Arial"/>
          <w:sz w:val="22"/>
          <w:szCs w:val="22"/>
        </w:rPr>
        <w:t>, or in the interest of, a group or class of persons;</w:t>
      </w:r>
    </w:p>
    <w:p w:rsidR="0074681D" w:rsidRPr="00E92067" w:rsidRDefault="0074681D" w:rsidP="00555295">
      <w:pPr>
        <w:spacing w:line="360" w:lineRule="auto"/>
        <w:ind w:left="720" w:hanging="720"/>
        <w:jc w:val="both"/>
        <w:rPr>
          <w:rFonts w:ascii="Arial" w:hAnsi="Arial" w:cs="Arial"/>
          <w:sz w:val="22"/>
          <w:szCs w:val="22"/>
        </w:rPr>
      </w:pPr>
      <w:r w:rsidRPr="00E92067">
        <w:rPr>
          <w:rFonts w:ascii="Arial" w:hAnsi="Arial" w:cs="Arial"/>
          <w:i/>
          <w:sz w:val="22"/>
          <w:szCs w:val="22"/>
        </w:rPr>
        <w:t>(d)</w:t>
      </w:r>
      <w:r w:rsidRPr="00E92067">
        <w:rPr>
          <w:rFonts w:ascii="Arial" w:hAnsi="Arial" w:cs="Arial"/>
          <w:sz w:val="22"/>
          <w:szCs w:val="22"/>
        </w:rPr>
        <w:tab/>
        <w:t xml:space="preserve">anyone acting in the public interest; </w:t>
      </w:r>
      <w:r w:rsidR="00E92067" w:rsidRPr="00E92067">
        <w:rPr>
          <w:rFonts w:ascii="Arial" w:hAnsi="Arial" w:cs="Arial"/>
          <w:sz w:val="22"/>
          <w:szCs w:val="22"/>
        </w:rPr>
        <w:t>and</w:t>
      </w:r>
    </w:p>
    <w:p w:rsidR="0074681D" w:rsidRPr="00E92067" w:rsidRDefault="0074681D" w:rsidP="00555295">
      <w:pPr>
        <w:spacing w:line="360" w:lineRule="auto"/>
        <w:ind w:left="720" w:hanging="720"/>
        <w:jc w:val="both"/>
        <w:rPr>
          <w:rFonts w:ascii="Arial" w:hAnsi="Arial" w:cs="Arial"/>
          <w:sz w:val="22"/>
          <w:szCs w:val="22"/>
        </w:rPr>
      </w:pPr>
      <w:r w:rsidRPr="00E92067">
        <w:rPr>
          <w:rFonts w:ascii="Arial" w:hAnsi="Arial" w:cs="Arial"/>
          <w:i/>
          <w:sz w:val="22"/>
          <w:szCs w:val="22"/>
        </w:rPr>
        <w:t>(e)</w:t>
      </w:r>
      <w:r w:rsidRPr="00E92067">
        <w:rPr>
          <w:rFonts w:ascii="Arial" w:hAnsi="Arial" w:cs="Arial"/>
          <w:sz w:val="22"/>
          <w:szCs w:val="22"/>
        </w:rPr>
        <w:tab/>
        <w:t xml:space="preserve">an association acting in the interest of </w:t>
      </w:r>
      <w:r w:rsidR="005201BF" w:rsidRPr="00E92067">
        <w:rPr>
          <w:rFonts w:ascii="Arial" w:hAnsi="Arial" w:cs="Arial"/>
          <w:sz w:val="22"/>
          <w:szCs w:val="22"/>
        </w:rPr>
        <w:t xml:space="preserve">its </w:t>
      </w:r>
      <w:r w:rsidRPr="00E92067">
        <w:rPr>
          <w:rFonts w:ascii="Arial" w:hAnsi="Arial" w:cs="Arial"/>
          <w:sz w:val="22"/>
          <w:szCs w:val="22"/>
        </w:rPr>
        <w:t>members.</w:t>
      </w:r>
      <w:r w:rsidR="00E92067">
        <w:rPr>
          <w:rFonts w:ascii="Arial" w:hAnsi="Arial" w:cs="Arial"/>
          <w:sz w:val="22"/>
          <w:szCs w:val="22"/>
        </w:rPr>
        <w:t>’</w:t>
      </w:r>
    </w:p>
    <w:p w:rsidR="005201BF" w:rsidRPr="00555295" w:rsidRDefault="005201BF" w:rsidP="00555295">
      <w:pPr>
        <w:spacing w:line="360" w:lineRule="auto"/>
        <w:ind w:left="720" w:hanging="720"/>
        <w:jc w:val="both"/>
        <w:rPr>
          <w:rFonts w:ascii="Arial" w:hAnsi="Arial" w:cs="Arial"/>
        </w:rPr>
      </w:pPr>
    </w:p>
    <w:p w:rsidR="00803AF8" w:rsidRPr="00555295" w:rsidRDefault="00803AF8" w:rsidP="00555295">
      <w:pPr>
        <w:spacing w:line="360" w:lineRule="auto"/>
        <w:jc w:val="both"/>
        <w:rPr>
          <w:rFonts w:ascii="Arial" w:hAnsi="Arial" w:cs="Arial"/>
        </w:rPr>
      </w:pPr>
      <w:r w:rsidRPr="00555295">
        <w:rPr>
          <w:rFonts w:ascii="Arial" w:hAnsi="Arial" w:cs="Arial"/>
        </w:rPr>
        <w:t>[53]</w:t>
      </w:r>
      <w:r w:rsidRPr="00555295">
        <w:rPr>
          <w:rFonts w:ascii="Arial" w:hAnsi="Arial" w:cs="Arial"/>
        </w:rPr>
        <w:tab/>
        <w:t xml:space="preserve">Uniform </w:t>
      </w:r>
      <w:r w:rsidR="0027490A">
        <w:rPr>
          <w:rFonts w:ascii="Arial" w:hAnsi="Arial" w:cs="Arial"/>
        </w:rPr>
        <w:t>r</w:t>
      </w:r>
      <w:r w:rsidRPr="00555295">
        <w:rPr>
          <w:rFonts w:ascii="Arial" w:hAnsi="Arial" w:cs="Arial"/>
        </w:rPr>
        <w:t>ule 12 provides for a person entitled to join as a plaintiff (</w:t>
      </w:r>
      <w:r w:rsidR="005201BF" w:rsidRPr="00555295">
        <w:rPr>
          <w:rFonts w:ascii="Arial" w:hAnsi="Arial" w:cs="Arial"/>
        </w:rPr>
        <w:t>applicant) or liable to be joined</w:t>
      </w:r>
      <w:r w:rsidRPr="00555295">
        <w:rPr>
          <w:rFonts w:ascii="Arial" w:hAnsi="Arial" w:cs="Arial"/>
        </w:rPr>
        <w:t xml:space="preserve"> as a defendant (respondent) in any action (ap</w:t>
      </w:r>
      <w:r w:rsidR="00212B70" w:rsidRPr="00555295">
        <w:rPr>
          <w:rFonts w:ascii="Arial" w:hAnsi="Arial" w:cs="Arial"/>
        </w:rPr>
        <w:t xml:space="preserve">plication) to, on notice </w:t>
      </w:r>
      <w:r w:rsidR="005201BF" w:rsidRPr="00555295">
        <w:rPr>
          <w:rFonts w:ascii="Arial" w:hAnsi="Arial" w:cs="Arial"/>
        </w:rPr>
        <w:t>to</w:t>
      </w:r>
      <w:r w:rsidR="00212B70" w:rsidRPr="00555295">
        <w:rPr>
          <w:rFonts w:ascii="Arial" w:hAnsi="Arial" w:cs="Arial"/>
        </w:rPr>
        <w:t xml:space="preserve"> all</w:t>
      </w:r>
      <w:r w:rsidR="005201BF" w:rsidRPr="00555295">
        <w:rPr>
          <w:rFonts w:ascii="Arial" w:hAnsi="Arial" w:cs="Arial"/>
        </w:rPr>
        <w:t xml:space="preserve"> </w:t>
      </w:r>
      <w:r w:rsidRPr="00555295">
        <w:rPr>
          <w:rFonts w:ascii="Arial" w:hAnsi="Arial" w:cs="Arial"/>
        </w:rPr>
        <w:t>parties, at any stage of the proceedings, apply for leave to intervene as plaintiff (applic</w:t>
      </w:r>
      <w:r w:rsidR="00A3446F">
        <w:rPr>
          <w:rFonts w:ascii="Arial" w:hAnsi="Arial" w:cs="Arial"/>
        </w:rPr>
        <w:t>ant) or defendant (respondent).</w:t>
      </w:r>
      <w:r w:rsidR="005C3D47" w:rsidRPr="00555295">
        <w:rPr>
          <w:rFonts w:ascii="Arial" w:hAnsi="Arial" w:cs="Arial"/>
        </w:rPr>
        <w:t xml:space="preserve"> </w:t>
      </w:r>
      <w:r w:rsidR="00685559">
        <w:rPr>
          <w:rFonts w:ascii="Arial" w:hAnsi="Arial" w:cs="Arial"/>
        </w:rPr>
        <w:t xml:space="preserve">In </w:t>
      </w:r>
      <w:r w:rsidR="005C3D47" w:rsidRPr="00555295">
        <w:rPr>
          <w:rFonts w:ascii="Arial" w:hAnsi="Arial" w:cs="Arial"/>
          <w:i/>
        </w:rPr>
        <w:t>T</w:t>
      </w:r>
      <w:r w:rsidR="005C3D47">
        <w:rPr>
          <w:rFonts w:ascii="Arial" w:hAnsi="Arial" w:cs="Arial"/>
          <w:i/>
        </w:rPr>
        <w:t>l</w:t>
      </w:r>
      <w:r w:rsidR="005C3D47" w:rsidRPr="00555295">
        <w:rPr>
          <w:rFonts w:ascii="Arial" w:hAnsi="Arial" w:cs="Arial"/>
          <w:i/>
        </w:rPr>
        <w:t>ouamma and Others v Speaker of the</w:t>
      </w:r>
      <w:r w:rsidR="005C3D47" w:rsidRPr="00555295">
        <w:rPr>
          <w:rFonts w:ascii="Arial" w:hAnsi="Arial" w:cs="Arial"/>
        </w:rPr>
        <w:t xml:space="preserve"> </w:t>
      </w:r>
      <w:r w:rsidR="005C3D47" w:rsidRPr="00555295">
        <w:rPr>
          <w:rFonts w:ascii="Arial" w:hAnsi="Arial" w:cs="Arial"/>
          <w:i/>
        </w:rPr>
        <w:t xml:space="preserve">National Assembly and </w:t>
      </w:r>
      <w:r w:rsidR="005C3D47">
        <w:rPr>
          <w:rFonts w:ascii="Arial" w:hAnsi="Arial" w:cs="Arial"/>
          <w:i/>
        </w:rPr>
        <w:t>Others</w:t>
      </w:r>
      <w:r w:rsidR="005C3D47" w:rsidRPr="005F0C01">
        <w:rPr>
          <w:rFonts w:ascii="Arial" w:hAnsi="Arial" w:cs="Arial"/>
        </w:rPr>
        <w:t>,</w:t>
      </w:r>
      <w:r w:rsidR="005C3D47" w:rsidRPr="005F0C01">
        <w:rPr>
          <w:rStyle w:val="FootnoteReference"/>
          <w:rFonts w:ascii="Arial" w:hAnsi="Arial" w:cs="Arial"/>
        </w:rPr>
        <w:footnoteReference w:id="25"/>
      </w:r>
      <w:r w:rsidR="005C3D47" w:rsidRPr="005F0C01">
        <w:rPr>
          <w:rFonts w:ascii="Arial" w:hAnsi="Arial" w:cs="Arial"/>
        </w:rPr>
        <w:t xml:space="preserve"> </w:t>
      </w:r>
      <w:r w:rsidR="005C3D47" w:rsidRPr="00555295">
        <w:rPr>
          <w:rFonts w:ascii="Arial" w:hAnsi="Arial" w:cs="Arial"/>
        </w:rPr>
        <w:t xml:space="preserve">it was held that the test whether there has been non-joinder is whether a party has a direct and substantial interest in the subject matter of the litigation, </w:t>
      </w:r>
      <w:r w:rsidR="005C3D47" w:rsidRPr="0027490A">
        <w:rPr>
          <w:rFonts w:ascii="Arial" w:hAnsi="Arial" w:cs="Arial"/>
          <w:i/>
        </w:rPr>
        <w:t>which may be prejudicially affected by the judgment or order</w:t>
      </w:r>
      <w:r w:rsidR="005C3D47">
        <w:rPr>
          <w:rFonts w:ascii="Arial" w:hAnsi="Arial" w:cs="Arial"/>
        </w:rPr>
        <w:t>.</w:t>
      </w:r>
      <w:r w:rsidR="005C3D47">
        <w:rPr>
          <w:rStyle w:val="FootnoteReference"/>
          <w:rFonts w:ascii="Arial" w:hAnsi="Arial" w:cs="Arial"/>
        </w:rPr>
        <w:footnoteReference w:id="26"/>
      </w:r>
      <w:r w:rsidR="005C3D47" w:rsidRPr="00555295">
        <w:rPr>
          <w:rFonts w:ascii="Arial" w:hAnsi="Arial" w:cs="Arial"/>
        </w:rPr>
        <w:t xml:space="preserve"> </w:t>
      </w:r>
    </w:p>
    <w:p w:rsidR="005C2B6E" w:rsidRPr="00555295" w:rsidRDefault="005C2B6E" w:rsidP="00555295">
      <w:pPr>
        <w:spacing w:line="360" w:lineRule="auto"/>
        <w:jc w:val="both"/>
        <w:rPr>
          <w:rFonts w:ascii="Arial" w:hAnsi="Arial" w:cs="Arial"/>
        </w:rPr>
      </w:pPr>
    </w:p>
    <w:p w:rsidR="0074681D" w:rsidRPr="00555295" w:rsidRDefault="005C2B6E" w:rsidP="00555295">
      <w:pPr>
        <w:spacing w:line="360" w:lineRule="auto"/>
        <w:jc w:val="both"/>
        <w:rPr>
          <w:rFonts w:ascii="Arial" w:hAnsi="Arial" w:cs="Arial"/>
        </w:rPr>
      </w:pPr>
      <w:r w:rsidRPr="00555295">
        <w:rPr>
          <w:rFonts w:ascii="Arial" w:hAnsi="Arial" w:cs="Arial"/>
        </w:rPr>
        <w:t>[54]</w:t>
      </w:r>
      <w:r w:rsidRPr="00555295">
        <w:rPr>
          <w:rFonts w:ascii="Arial" w:hAnsi="Arial" w:cs="Arial"/>
        </w:rPr>
        <w:tab/>
        <w:t xml:space="preserve">The first applicant as co-owner in undivided shares of the farms, and the second applicant as executor of </w:t>
      </w:r>
      <w:r w:rsidR="00E03517">
        <w:rPr>
          <w:rFonts w:ascii="Arial" w:hAnsi="Arial" w:cs="Arial"/>
        </w:rPr>
        <w:t xml:space="preserve">the </w:t>
      </w:r>
      <w:r w:rsidRPr="00555295">
        <w:rPr>
          <w:rFonts w:ascii="Arial" w:hAnsi="Arial" w:cs="Arial"/>
        </w:rPr>
        <w:t xml:space="preserve">deceased estate </w:t>
      </w:r>
      <w:r w:rsidR="00C26543" w:rsidRPr="00555295">
        <w:rPr>
          <w:rFonts w:ascii="Arial" w:hAnsi="Arial" w:cs="Arial"/>
        </w:rPr>
        <w:t xml:space="preserve">of </w:t>
      </w:r>
      <w:r w:rsidR="00C26543">
        <w:rPr>
          <w:rFonts w:ascii="Arial" w:hAnsi="Arial" w:cs="Arial"/>
        </w:rPr>
        <w:t>the</w:t>
      </w:r>
      <w:r w:rsidR="00E03517">
        <w:rPr>
          <w:rFonts w:ascii="Arial" w:hAnsi="Arial" w:cs="Arial"/>
        </w:rPr>
        <w:t xml:space="preserve"> </w:t>
      </w:r>
      <w:r w:rsidRPr="00555295">
        <w:rPr>
          <w:rFonts w:ascii="Arial" w:hAnsi="Arial" w:cs="Arial"/>
        </w:rPr>
        <w:t>co-owner in undivided shares of the farms have locus standi to be joined and apply to have a judgment and order granted ex parte and by default rescinded and set aside, which judgment and order authorised the transfer of the farms to the first respondent. Their substantial and direct interest is beyo</w:t>
      </w:r>
      <w:r w:rsidR="003F4E55">
        <w:rPr>
          <w:rFonts w:ascii="Arial" w:hAnsi="Arial" w:cs="Arial"/>
        </w:rPr>
        <w:t xml:space="preserve">nd reproach. It does </w:t>
      </w:r>
      <w:r w:rsidR="00F70206">
        <w:rPr>
          <w:rFonts w:ascii="Arial" w:hAnsi="Arial" w:cs="Arial"/>
        </w:rPr>
        <w:t>not matter</w:t>
      </w:r>
      <w:r w:rsidRPr="00555295">
        <w:rPr>
          <w:rFonts w:ascii="Arial" w:hAnsi="Arial" w:cs="Arial"/>
        </w:rPr>
        <w:t xml:space="preserve"> that the “rest of the family</w:t>
      </w:r>
      <w:r w:rsidR="00C26543">
        <w:rPr>
          <w:rFonts w:ascii="Arial" w:hAnsi="Arial" w:cs="Arial"/>
        </w:rPr>
        <w:t>”</w:t>
      </w:r>
      <w:r w:rsidRPr="00555295">
        <w:rPr>
          <w:rFonts w:ascii="Arial" w:hAnsi="Arial" w:cs="Arial"/>
        </w:rPr>
        <w:t xml:space="preserve"> w</w:t>
      </w:r>
      <w:r w:rsidR="00781E7D" w:rsidRPr="00555295">
        <w:rPr>
          <w:rFonts w:ascii="Arial" w:hAnsi="Arial" w:cs="Arial"/>
        </w:rPr>
        <w:t xml:space="preserve">ho had </w:t>
      </w:r>
      <w:r w:rsidR="003F4E55">
        <w:rPr>
          <w:rFonts w:ascii="Arial" w:hAnsi="Arial" w:cs="Arial"/>
        </w:rPr>
        <w:t>an interest in</w:t>
      </w:r>
      <w:r w:rsidR="00781E7D" w:rsidRPr="00555295">
        <w:rPr>
          <w:rFonts w:ascii="Arial" w:hAnsi="Arial" w:cs="Arial"/>
        </w:rPr>
        <w:t xml:space="preserve"> </w:t>
      </w:r>
      <w:r w:rsidR="003F4E55">
        <w:rPr>
          <w:rFonts w:ascii="Arial" w:hAnsi="Arial" w:cs="Arial"/>
        </w:rPr>
        <w:t xml:space="preserve">the properties </w:t>
      </w:r>
      <w:r w:rsidRPr="00555295">
        <w:rPr>
          <w:rFonts w:ascii="Arial" w:hAnsi="Arial" w:cs="Arial"/>
        </w:rPr>
        <w:t xml:space="preserve">have not </w:t>
      </w:r>
      <w:r w:rsidR="00A70F27" w:rsidRPr="00555295">
        <w:rPr>
          <w:rFonts w:ascii="Arial" w:hAnsi="Arial" w:cs="Arial"/>
        </w:rPr>
        <w:t>been joined.</w:t>
      </w:r>
    </w:p>
    <w:p w:rsidR="006C52A0" w:rsidRPr="00555295" w:rsidRDefault="006C52A0" w:rsidP="00555295">
      <w:pPr>
        <w:spacing w:line="360" w:lineRule="auto"/>
        <w:jc w:val="both"/>
        <w:rPr>
          <w:rFonts w:ascii="Arial" w:hAnsi="Arial" w:cs="Arial"/>
        </w:rPr>
      </w:pPr>
    </w:p>
    <w:p w:rsidR="008A5C98" w:rsidRDefault="00A70F27" w:rsidP="00555295">
      <w:pPr>
        <w:spacing w:line="360" w:lineRule="auto"/>
        <w:jc w:val="both"/>
        <w:rPr>
          <w:rFonts w:ascii="Arial" w:hAnsi="Arial" w:cs="Arial"/>
        </w:rPr>
      </w:pPr>
      <w:r w:rsidRPr="00555295">
        <w:rPr>
          <w:rFonts w:ascii="Arial" w:hAnsi="Arial" w:cs="Arial"/>
        </w:rPr>
        <w:t>[55]</w:t>
      </w:r>
      <w:r w:rsidRPr="00555295">
        <w:rPr>
          <w:rFonts w:ascii="Arial" w:hAnsi="Arial" w:cs="Arial"/>
        </w:rPr>
        <w:tab/>
        <w:t xml:space="preserve">The application is aimed at the preservation or return of the common properties. The first applicant does not require the co-operation of any fellow co-owners to institute </w:t>
      </w:r>
      <w:r w:rsidRPr="00555295">
        <w:rPr>
          <w:rFonts w:ascii="Arial" w:hAnsi="Arial" w:cs="Arial"/>
        </w:rPr>
        <w:lastRenderedPageBreak/>
        <w:t xml:space="preserve">and prosecute the claim. She </w:t>
      </w:r>
      <w:r w:rsidR="008A5C98" w:rsidRPr="00555295">
        <w:rPr>
          <w:rFonts w:ascii="Arial" w:hAnsi="Arial" w:cs="Arial"/>
        </w:rPr>
        <w:t xml:space="preserve">can, without the </w:t>
      </w:r>
      <w:r w:rsidR="002328D5" w:rsidRPr="00555295">
        <w:rPr>
          <w:rFonts w:ascii="Arial" w:hAnsi="Arial" w:cs="Arial"/>
        </w:rPr>
        <w:t>co-operation, consent,</w:t>
      </w:r>
      <w:r w:rsidR="008A5C98" w:rsidRPr="00555295">
        <w:rPr>
          <w:rFonts w:ascii="Arial" w:hAnsi="Arial" w:cs="Arial"/>
        </w:rPr>
        <w:t xml:space="preserve"> </w:t>
      </w:r>
      <w:r w:rsidR="00E43211" w:rsidRPr="00555295">
        <w:rPr>
          <w:rFonts w:ascii="Arial" w:hAnsi="Arial" w:cs="Arial"/>
        </w:rPr>
        <w:t>or mandate of her fellow co-owner or co-o</w:t>
      </w:r>
      <w:r w:rsidR="008A5C98" w:rsidRPr="00555295">
        <w:rPr>
          <w:rFonts w:ascii="Arial" w:hAnsi="Arial" w:cs="Arial"/>
        </w:rPr>
        <w:t xml:space="preserve">wners, institute a claim </w:t>
      </w:r>
      <w:r w:rsidR="008A5C98" w:rsidRPr="0027490A">
        <w:rPr>
          <w:rFonts w:ascii="Arial" w:hAnsi="Arial" w:cs="Arial"/>
        </w:rPr>
        <w:t>(rei v</w:t>
      </w:r>
      <w:r w:rsidR="005272E9" w:rsidRPr="0027490A">
        <w:rPr>
          <w:rFonts w:ascii="Arial" w:hAnsi="Arial" w:cs="Arial"/>
        </w:rPr>
        <w:t>i</w:t>
      </w:r>
      <w:r w:rsidR="00E43211" w:rsidRPr="0027490A">
        <w:rPr>
          <w:rFonts w:ascii="Arial" w:hAnsi="Arial" w:cs="Arial"/>
        </w:rPr>
        <w:t>ndicatio</w:t>
      </w:r>
      <w:r w:rsidR="00E43211" w:rsidRPr="00555295">
        <w:rPr>
          <w:rFonts w:ascii="Arial" w:hAnsi="Arial" w:cs="Arial"/>
          <w:i/>
        </w:rPr>
        <w:t xml:space="preserve"> </w:t>
      </w:r>
      <w:r w:rsidR="00E43211" w:rsidRPr="00555295">
        <w:rPr>
          <w:rFonts w:ascii="Arial" w:hAnsi="Arial" w:cs="Arial"/>
        </w:rPr>
        <w:t>or possessory remedy) for the recovery of the common propert</w:t>
      </w:r>
      <w:r w:rsidR="00C26543">
        <w:rPr>
          <w:rFonts w:ascii="Arial" w:hAnsi="Arial" w:cs="Arial"/>
        </w:rPr>
        <w:t>ies</w:t>
      </w:r>
      <w:r w:rsidR="00084A98">
        <w:rPr>
          <w:rFonts w:ascii="Arial" w:hAnsi="Arial" w:cs="Arial"/>
        </w:rPr>
        <w:t>.</w:t>
      </w:r>
      <w:r w:rsidR="00084A98">
        <w:rPr>
          <w:rStyle w:val="FootnoteReference"/>
          <w:rFonts w:ascii="Arial" w:hAnsi="Arial" w:cs="Arial"/>
        </w:rPr>
        <w:footnoteReference w:id="27"/>
      </w:r>
      <w:r w:rsidR="00E43211" w:rsidRPr="00555295">
        <w:rPr>
          <w:rFonts w:ascii="Arial" w:hAnsi="Arial" w:cs="Arial"/>
        </w:rPr>
        <w:t xml:space="preserve"> </w:t>
      </w:r>
    </w:p>
    <w:p w:rsidR="00F7216D" w:rsidRPr="00555295" w:rsidRDefault="00F7216D" w:rsidP="00555295">
      <w:pPr>
        <w:spacing w:line="360" w:lineRule="auto"/>
        <w:jc w:val="both"/>
        <w:rPr>
          <w:rFonts w:ascii="Arial" w:hAnsi="Arial" w:cs="Arial"/>
        </w:rPr>
      </w:pPr>
    </w:p>
    <w:p w:rsidR="00634FF8" w:rsidRPr="00555295" w:rsidRDefault="00D94207" w:rsidP="00555295">
      <w:pPr>
        <w:spacing w:line="360" w:lineRule="auto"/>
        <w:jc w:val="both"/>
        <w:rPr>
          <w:rFonts w:ascii="Arial" w:hAnsi="Arial" w:cs="Arial"/>
        </w:rPr>
      </w:pPr>
      <w:r w:rsidRPr="00555295">
        <w:rPr>
          <w:rFonts w:ascii="Arial" w:hAnsi="Arial" w:cs="Arial"/>
        </w:rPr>
        <w:t>[56</w:t>
      </w:r>
      <w:r w:rsidR="00634FF8" w:rsidRPr="00555295">
        <w:rPr>
          <w:rFonts w:ascii="Arial" w:hAnsi="Arial" w:cs="Arial"/>
        </w:rPr>
        <w:t>]</w:t>
      </w:r>
      <w:r w:rsidR="00634FF8" w:rsidRPr="00555295">
        <w:rPr>
          <w:rFonts w:ascii="Arial" w:hAnsi="Arial" w:cs="Arial"/>
        </w:rPr>
        <w:tab/>
        <w:t>The second applicant is the executor of a deceased co-owner</w:t>
      </w:r>
      <w:r w:rsidR="005272E9" w:rsidRPr="00555295">
        <w:rPr>
          <w:rFonts w:ascii="Arial" w:hAnsi="Arial" w:cs="Arial"/>
        </w:rPr>
        <w:t>’</w:t>
      </w:r>
      <w:r w:rsidR="00634FF8" w:rsidRPr="00555295">
        <w:rPr>
          <w:rFonts w:ascii="Arial" w:hAnsi="Arial" w:cs="Arial"/>
        </w:rPr>
        <w:t xml:space="preserve">s </w:t>
      </w:r>
      <w:r w:rsidR="00953916">
        <w:rPr>
          <w:rFonts w:ascii="Arial" w:hAnsi="Arial" w:cs="Arial"/>
        </w:rPr>
        <w:t>e</w:t>
      </w:r>
      <w:r w:rsidR="00634FF8" w:rsidRPr="00555295">
        <w:rPr>
          <w:rFonts w:ascii="Arial" w:hAnsi="Arial" w:cs="Arial"/>
        </w:rPr>
        <w:t>state. She stepped into the shoes of the decease</w:t>
      </w:r>
      <w:r w:rsidRPr="00555295">
        <w:rPr>
          <w:rFonts w:ascii="Arial" w:hAnsi="Arial" w:cs="Arial"/>
        </w:rPr>
        <w:t>d</w:t>
      </w:r>
      <w:r w:rsidR="00634FF8" w:rsidRPr="00555295">
        <w:rPr>
          <w:rFonts w:ascii="Arial" w:hAnsi="Arial" w:cs="Arial"/>
        </w:rPr>
        <w:t xml:space="preserve"> co-owner and can represent his estate</w:t>
      </w:r>
      <w:r w:rsidR="00A86616">
        <w:rPr>
          <w:rFonts w:ascii="Arial" w:hAnsi="Arial" w:cs="Arial"/>
        </w:rPr>
        <w:t>.</w:t>
      </w:r>
      <w:r w:rsidR="005F0C01">
        <w:rPr>
          <w:rStyle w:val="FootnoteReference"/>
          <w:rFonts w:ascii="Arial" w:hAnsi="Arial" w:cs="Arial"/>
        </w:rPr>
        <w:footnoteReference w:id="28"/>
      </w:r>
      <w:r w:rsidR="00634FF8" w:rsidRPr="00555295">
        <w:rPr>
          <w:rFonts w:ascii="Arial" w:hAnsi="Arial" w:cs="Arial"/>
        </w:rPr>
        <w:t xml:space="preserve"> </w:t>
      </w:r>
    </w:p>
    <w:p w:rsidR="006C52A0" w:rsidRPr="00555295" w:rsidRDefault="006C52A0" w:rsidP="00555295">
      <w:pPr>
        <w:spacing w:line="360" w:lineRule="auto"/>
        <w:jc w:val="both"/>
        <w:rPr>
          <w:rFonts w:ascii="Arial" w:hAnsi="Arial" w:cs="Arial"/>
        </w:rPr>
      </w:pPr>
    </w:p>
    <w:p w:rsidR="006C52A0" w:rsidRPr="00555295" w:rsidRDefault="006C52A0" w:rsidP="00555295">
      <w:pPr>
        <w:spacing w:line="360" w:lineRule="auto"/>
        <w:jc w:val="both"/>
        <w:rPr>
          <w:rFonts w:ascii="Arial" w:hAnsi="Arial" w:cs="Arial"/>
        </w:rPr>
      </w:pPr>
      <w:r w:rsidRPr="00555295">
        <w:rPr>
          <w:rFonts w:ascii="Arial" w:hAnsi="Arial" w:cs="Arial"/>
        </w:rPr>
        <w:t>[57]</w:t>
      </w:r>
      <w:r w:rsidRPr="00555295">
        <w:rPr>
          <w:rFonts w:ascii="Arial" w:hAnsi="Arial" w:cs="Arial"/>
        </w:rPr>
        <w:tab/>
        <w:t>In regard to the second applicant’s status in this application, the following principle is apposite:</w:t>
      </w:r>
      <w:r w:rsidR="004F5E96">
        <w:rPr>
          <w:rStyle w:val="FootnoteReference"/>
          <w:rFonts w:ascii="Arial" w:hAnsi="Arial" w:cs="Arial"/>
        </w:rPr>
        <w:footnoteReference w:id="29"/>
      </w:r>
    </w:p>
    <w:p w:rsidR="00A14FD2" w:rsidRPr="005E6525" w:rsidRDefault="006C52A0" w:rsidP="0027490A">
      <w:pPr>
        <w:spacing w:line="360" w:lineRule="auto"/>
        <w:jc w:val="both"/>
        <w:rPr>
          <w:rFonts w:ascii="Arial" w:hAnsi="Arial" w:cs="Arial"/>
          <w:sz w:val="22"/>
          <w:szCs w:val="22"/>
        </w:rPr>
      </w:pPr>
      <w:r w:rsidRPr="005E6525">
        <w:rPr>
          <w:rFonts w:ascii="Arial" w:hAnsi="Arial" w:cs="Arial"/>
          <w:sz w:val="22"/>
          <w:szCs w:val="22"/>
        </w:rPr>
        <w:t>‘</w:t>
      </w:r>
      <w:r w:rsidR="00224FC5" w:rsidRPr="005E6525">
        <w:rPr>
          <w:rFonts w:ascii="Arial" w:hAnsi="Arial" w:cs="Arial"/>
          <w:sz w:val="22"/>
          <w:szCs w:val="22"/>
        </w:rPr>
        <w:t>[</w:t>
      </w:r>
      <w:r w:rsidR="00331F53" w:rsidRPr="005E6525">
        <w:rPr>
          <w:rFonts w:ascii="Arial" w:hAnsi="Arial" w:cs="Arial"/>
          <w:sz w:val="22"/>
          <w:szCs w:val="22"/>
        </w:rPr>
        <w:t>10] …</w:t>
      </w:r>
      <w:r w:rsidR="00A14FD2" w:rsidRPr="005E6525">
        <w:rPr>
          <w:rFonts w:ascii="Arial" w:hAnsi="Arial" w:cs="Arial"/>
          <w:sz w:val="22"/>
          <w:szCs w:val="22"/>
        </w:rPr>
        <w:t>In </w:t>
      </w:r>
      <w:r w:rsidR="00A14FD2" w:rsidRPr="005E6525">
        <w:rPr>
          <w:rFonts w:ascii="Arial" w:hAnsi="Arial" w:cs="Arial"/>
          <w:i/>
          <w:sz w:val="22"/>
          <w:szCs w:val="22"/>
        </w:rPr>
        <w:t>Wille's Principles of South African Law</w:t>
      </w:r>
      <w:r w:rsidR="00A14FD2" w:rsidRPr="005E6525">
        <w:rPr>
          <w:rFonts w:ascii="Arial" w:hAnsi="Arial" w:cs="Arial"/>
          <w:sz w:val="22"/>
          <w:szCs w:val="22"/>
        </w:rPr>
        <w:t xml:space="preserve"> 9 ed, at 673, under the heading 'Title of Beneficiaries', the following is said: </w:t>
      </w:r>
    </w:p>
    <w:p w:rsidR="006C52A0" w:rsidRPr="0027490A" w:rsidRDefault="00A14FD2" w:rsidP="0027490A">
      <w:pPr>
        <w:spacing w:line="360" w:lineRule="auto"/>
        <w:jc w:val="both"/>
        <w:rPr>
          <w:rFonts w:ascii="Arial" w:hAnsi="Arial" w:cs="Arial"/>
          <w:sz w:val="22"/>
          <w:szCs w:val="22"/>
        </w:rPr>
      </w:pPr>
      <w:r w:rsidRPr="005E6525">
        <w:rPr>
          <w:rFonts w:ascii="Arial" w:hAnsi="Arial" w:cs="Arial"/>
          <w:sz w:val="22"/>
          <w:szCs w:val="22"/>
        </w:rPr>
        <w:t>“</w:t>
      </w:r>
      <w:r w:rsidR="006C52A0" w:rsidRPr="005E6525">
        <w:rPr>
          <w:rFonts w:ascii="Arial" w:hAnsi="Arial" w:cs="Arial"/>
          <w:sz w:val="22"/>
          <w:szCs w:val="22"/>
        </w:rPr>
        <w:t xml:space="preserve">However, in </w:t>
      </w:r>
      <w:r w:rsidR="004F5E96" w:rsidRPr="005E6525">
        <w:rPr>
          <w:rFonts w:ascii="Arial" w:hAnsi="Arial" w:cs="Arial"/>
          <w:sz w:val="22"/>
          <w:szCs w:val="22"/>
        </w:rPr>
        <w:t xml:space="preserve">the </w:t>
      </w:r>
      <w:r w:rsidR="006C52A0" w:rsidRPr="005E6525">
        <w:rPr>
          <w:rFonts w:ascii="Arial" w:hAnsi="Arial" w:cs="Arial"/>
          <w:sz w:val="22"/>
          <w:szCs w:val="22"/>
        </w:rPr>
        <w:t>light of the modern system of administration of estates that replaced the common law system of universal succession, the righ</w:t>
      </w:r>
      <w:r w:rsidR="003A1DDE" w:rsidRPr="005E6525">
        <w:rPr>
          <w:rFonts w:ascii="Arial" w:hAnsi="Arial" w:cs="Arial"/>
          <w:sz w:val="22"/>
          <w:szCs w:val="22"/>
        </w:rPr>
        <w:t>t of beneficiaries to inherit is</w:t>
      </w:r>
      <w:r w:rsidR="006C52A0" w:rsidRPr="005E6525">
        <w:rPr>
          <w:rFonts w:ascii="Arial" w:hAnsi="Arial" w:cs="Arial"/>
          <w:sz w:val="22"/>
          <w:szCs w:val="22"/>
        </w:rPr>
        <w:t xml:space="preserve"> no </w:t>
      </w:r>
      <w:r w:rsidR="0077107C" w:rsidRPr="005E6525">
        <w:rPr>
          <w:rFonts w:ascii="Arial" w:hAnsi="Arial" w:cs="Arial"/>
          <w:sz w:val="22"/>
          <w:szCs w:val="22"/>
        </w:rPr>
        <w:t>longer absolute nor an assured one</w:t>
      </w:r>
      <w:r w:rsidR="001B1D63" w:rsidRPr="005E6525">
        <w:rPr>
          <w:rFonts w:ascii="Arial" w:hAnsi="Arial" w:cs="Arial"/>
          <w:sz w:val="22"/>
          <w:szCs w:val="22"/>
        </w:rPr>
        <w:t>:</w:t>
      </w:r>
      <w:r w:rsidR="0077107C" w:rsidRPr="005E6525">
        <w:rPr>
          <w:rFonts w:ascii="Arial" w:hAnsi="Arial" w:cs="Arial"/>
          <w:sz w:val="22"/>
          <w:szCs w:val="22"/>
        </w:rPr>
        <w:t xml:space="preserve"> </w:t>
      </w:r>
      <w:r w:rsidR="001B1D63" w:rsidRPr="005E6525">
        <w:rPr>
          <w:rFonts w:ascii="Arial" w:hAnsi="Arial" w:cs="Arial"/>
          <w:sz w:val="22"/>
          <w:szCs w:val="22"/>
        </w:rPr>
        <w:t>i</w:t>
      </w:r>
      <w:r w:rsidR="0077107C" w:rsidRPr="005E6525">
        <w:rPr>
          <w:rFonts w:ascii="Arial" w:hAnsi="Arial" w:cs="Arial"/>
          <w:sz w:val="22"/>
          <w:szCs w:val="22"/>
        </w:rPr>
        <w:t>f the deceased</w:t>
      </w:r>
      <w:r w:rsidR="003A1DDE" w:rsidRPr="005E6525">
        <w:rPr>
          <w:rFonts w:ascii="Arial" w:hAnsi="Arial" w:cs="Arial"/>
          <w:sz w:val="22"/>
          <w:szCs w:val="22"/>
        </w:rPr>
        <w:t xml:space="preserve"> </w:t>
      </w:r>
      <w:r w:rsidR="004F5E96" w:rsidRPr="005E6525">
        <w:rPr>
          <w:rFonts w:ascii="Arial" w:hAnsi="Arial" w:cs="Arial"/>
          <w:sz w:val="22"/>
          <w:szCs w:val="22"/>
        </w:rPr>
        <w:t>e</w:t>
      </w:r>
      <w:r w:rsidR="003A1DDE" w:rsidRPr="005E6525">
        <w:rPr>
          <w:rFonts w:ascii="Arial" w:hAnsi="Arial" w:cs="Arial"/>
          <w:sz w:val="22"/>
          <w:szCs w:val="22"/>
        </w:rPr>
        <w:t>state, after confi</w:t>
      </w:r>
      <w:r w:rsidR="0077107C" w:rsidRPr="005E6525">
        <w:rPr>
          <w:rFonts w:ascii="Arial" w:hAnsi="Arial" w:cs="Arial"/>
          <w:sz w:val="22"/>
          <w:szCs w:val="22"/>
        </w:rPr>
        <w:t xml:space="preserve">rmation of </w:t>
      </w:r>
      <w:r w:rsidR="004F5E96" w:rsidRPr="005E6525">
        <w:rPr>
          <w:rFonts w:ascii="Arial" w:hAnsi="Arial" w:cs="Arial"/>
          <w:sz w:val="22"/>
          <w:szCs w:val="22"/>
        </w:rPr>
        <w:t xml:space="preserve">the </w:t>
      </w:r>
      <w:r w:rsidR="0077107C" w:rsidRPr="005E6525">
        <w:rPr>
          <w:rFonts w:ascii="Arial" w:hAnsi="Arial" w:cs="Arial"/>
          <w:sz w:val="22"/>
          <w:szCs w:val="22"/>
        </w:rPr>
        <w:t>liquidat</w:t>
      </w:r>
      <w:r w:rsidR="003A1DDE" w:rsidRPr="005E6525">
        <w:rPr>
          <w:rFonts w:ascii="Arial" w:hAnsi="Arial" w:cs="Arial"/>
          <w:sz w:val="22"/>
          <w:szCs w:val="22"/>
        </w:rPr>
        <w:t>ion and distribution account, is</w:t>
      </w:r>
      <w:r w:rsidR="0077107C" w:rsidRPr="005E6525">
        <w:rPr>
          <w:rFonts w:ascii="Arial" w:hAnsi="Arial" w:cs="Arial"/>
          <w:sz w:val="22"/>
          <w:szCs w:val="22"/>
        </w:rPr>
        <w:t xml:space="preserve"> found to be insolvent, none of the beneficiaries will obtain any property or asset</w:t>
      </w:r>
      <w:r w:rsidR="003A1DDE" w:rsidRPr="005E6525">
        <w:rPr>
          <w:rFonts w:ascii="Arial" w:hAnsi="Arial" w:cs="Arial"/>
          <w:sz w:val="22"/>
          <w:szCs w:val="22"/>
        </w:rPr>
        <w:t>s</w:t>
      </w:r>
      <w:r w:rsidR="0077107C" w:rsidRPr="005E6525">
        <w:rPr>
          <w:rFonts w:ascii="Arial" w:hAnsi="Arial" w:cs="Arial"/>
          <w:sz w:val="22"/>
          <w:szCs w:val="22"/>
        </w:rPr>
        <w:t xml:space="preserve"> at all…</w:t>
      </w:r>
      <w:r w:rsidR="004F5E96" w:rsidRPr="005E6525">
        <w:rPr>
          <w:rFonts w:ascii="Arial" w:hAnsi="Arial" w:cs="Arial"/>
          <w:sz w:val="22"/>
          <w:szCs w:val="22"/>
        </w:rPr>
        <w:t>I</w:t>
      </w:r>
      <w:r w:rsidR="0077107C" w:rsidRPr="005E6525">
        <w:rPr>
          <w:rFonts w:ascii="Arial" w:hAnsi="Arial" w:cs="Arial"/>
          <w:sz w:val="22"/>
          <w:szCs w:val="22"/>
        </w:rPr>
        <w:t xml:space="preserve">n any event, an heir cannot vindicate from a third person property which the heir alleges forms part of the deceased </w:t>
      </w:r>
      <w:r w:rsidR="004F5E96" w:rsidRPr="005E6525">
        <w:rPr>
          <w:rFonts w:ascii="Arial" w:hAnsi="Arial" w:cs="Arial"/>
          <w:sz w:val="22"/>
          <w:szCs w:val="22"/>
        </w:rPr>
        <w:t>e</w:t>
      </w:r>
      <w:r w:rsidR="0077107C" w:rsidRPr="005E6525">
        <w:rPr>
          <w:rFonts w:ascii="Arial" w:hAnsi="Arial" w:cs="Arial"/>
          <w:sz w:val="22"/>
          <w:szCs w:val="22"/>
        </w:rPr>
        <w:t xml:space="preserve">state; </w:t>
      </w:r>
      <w:r w:rsidR="0077107C" w:rsidRPr="005E6525">
        <w:rPr>
          <w:rFonts w:ascii="Arial" w:hAnsi="Arial" w:cs="Arial"/>
          <w:i/>
          <w:sz w:val="22"/>
          <w:szCs w:val="22"/>
        </w:rPr>
        <w:t>only the executor has th</w:t>
      </w:r>
      <w:r w:rsidR="004F5E96" w:rsidRPr="005E6525">
        <w:rPr>
          <w:rFonts w:ascii="Arial" w:hAnsi="Arial" w:cs="Arial"/>
          <w:i/>
          <w:sz w:val="22"/>
          <w:szCs w:val="22"/>
        </w:rPr>
        <w:t>at</w:t>
      </w:r>
      <w:r w:rsidR="0077107C" w:rsidRPr="005E6525">
        <w:rPr>
          <w:rFonts w:ascii="Arial" w:hAnsi="Arial" w:cs="Arial"/>
          <w:i/>
          <w:sz w:val="22"/>
          <w:szCs w:val="22"/>
        </w:rPr>
        <w:t xml:space="preserve"> power</w:t>
      </w:r>
      <w:r w:rsidR="0077107C" w:rsidRPr="005E6525">
        <w:rPr>
          <w:rFonts w:ascii="Arial" w:hAnsi="Arial" w:cs="Arial"/>
          <w:sz w:val="22"/>
          <w:szCs w:val="22"/>
        </w:rPr>
        <w:t>…</w:t>
      </w:r>
      <w:r w:rsidR="003A1DDE" w:rsidRPr="005E6525">
        <w:rPr>
          <w:rFonts w:ascii="Arial" w:hAnsi="Arial" w:cs="Arial"/>
          <w:sz w:val="22"/>
          <w:szCs w:val="22"/>
        </w:rPr>
        <w:t xml:space="preserve"> T</w:t>
      </w:r>
      <w:r w:rsidR="0077107C" w:rsidRPr="005E6525">
        <w:rPr>
          <w:rFonts w:ascii="Arial" w:hAnsi="Arial" w:cs="Arial"/>
          <w:sz w:val="22"/>
          <w:szCs w:val="22"/>
        </w:rPr>
        <w:t>he modern position is therefore that a beneficiary has merely a personal right</w:t>
      </w:r>
      <w:r w:rsidR="0077107C" w:rsidRPr="005E6525">
        <w:rPr>
          <w:rFonts w:ascii="Arial" w:hAnsi="Arial" w:cs="Arial"/>
          <w:i/>
          <w:sz w:val="22"/>
          <w:szCs w:val="22"/>
        </w:rPr>
        <w:t xml:space="preserve">, </w:t>
      </w:r>
      <w:r w:rsidR="0077107C" w:rsidRPr="005E6525">
        <w:rPr>
          <w:rFonts w:ascii="Arial" w:hAnsi="Arial" w:cs="Arial"/>
          <w:sz w:val="22"/>
          <w:szCs w:val="22"/>
        </w:rPr>
        <w:t>jus in personam ad rem</w:t>
      </w:r>
      <w:r w:rsidR="003A1DDE" w:rsidRPr="005E6525">
        <w:rPr>
          <w:rFonts w:ascii="Arial" w:hAnsi="Arial" w:cs="Arial"/>
          <w:sz w:val="22"/>
          <w:szCs w:val="22"/>
        </w:rPr>
        <w:t xml:space="preserve"> ac</w:t>
      </w:r>
      <w:r w:rsidR="0077107C" w:rsidRPr="005E6525">
        <w:rPr>
          <w:rFonts w:ascii="Arial" w:hAnsi="Arial" w:cs="Arial"/>
          <w:sz w:val="22"/>
          <w:szCs w:val="22"/>
        </w:rPr>
        <w:t>quirendam, against the executor and does not acquire ownership by virtue of a will</w:t>
      </w:r>
      <w:r w:rsidR="004F5E96" w:rsidRPr="005E6525">
        <w:rPr>
          <w:rFonts w:ascii="Arial" w:hAnsi="Arial" w:cs="Arial"/>
          <w:sz w:val="22"/>
          <w:szCs w:val="22"/>
        </w:rPr>
        <w:t>…</w:t>
      </w:r>
      <w:r w:rsidRPr="005E6525">
        <w:rPr>
          <w:rFonts w:ascii="Arial" w:hAnsi="Arial" w:cs="Arial"/>
          <w:sz w:val="22"/>
          <w:szCs w:val="22"/>
        </w:rPr>
        <w:t>”’</w:t>
      </w:r>
      <w:r w:rsidR="0077107C" w:rsidRPr="005E6525">
        <w:rPr>
          <w:rFonts w:ascii="Arial" w:hAnsi="Arial" w:cs="Arial"/>
          <w:sz w:val="22"/>
          <w:szCs w:val="22"/>
        </w:rPr>
        <w:t xml:space="preserve"> (</w:t>
      </w:r>
      <w:r w:rsidR="0027490A" w:rsidRPr="005E6525">
        <w:rPr>
          <w:rFonts w:ascii="Arial" w:hAnsi="Arial" w:cs="Arial"/>
          <w:sz w:val="22"/>
          <w:szCs w:val="22"/>
        </w:rPr>
        <w:t>M</w:t>
      </w:r>
      <w:r w:rsidR="0077107C" w:rsidRPr="005E6525">
        <w:rPr>
          <w:rFonts w:ascii="Arial" w:hAnsi="Arial" w:cs="Arial"/>
          <w:sz w:val="22"/>
          <w:szCs w:val="22"/>
        </w:rPr>
        <w:t>y emphasis</w:t>
      </w:r>
      <w:r w:rsidR="0027490A" w:rsidRPr="005E6525">
        <w:rPr>
          <w:rFonts w:ascii="Arial" w:hAnsi="Arial" w:cs="Arial"/>
          <w:sz w:val="22"/>
          <w:szCs w:val="22"/>
        </w:rPr>
        <w:t>.</w:t>
      </w:r>
      <w:r w:rsidR="0077107C" w:rsidRPr="005E6525">
        <w:rPr>
          <w:rFonts w:ascii="Arial" w:hAnsi="Arial" w:cs="Arial"/>
          <w:sz w:val="22"/>
          <w:szCs w:val="22"/>
        </w:rPr>
        <w:t>)</w:t>
      </w:r>
      <w:r w:rsidR="0077107C" w:rsidRPr="0027490A">
        <w:rPr>
          <w:rFonts w:ascii="Arial" w:hAnsi="Arial" w:cs="Arial"/>
          <w:sz w:val="22"/>
          <w:szCs w:val="22"/>
        </w:rPr>
        <w:t xml:space="preserve"> </w:t>
      </w:r>
    </w:p>
    <w:p w:rsidR="00835793" w:rsidRPr="00555295" w:rsidRDefault="00835793" w:rsidP="00555295">
      <w:pPr>
        <w:spacing w:line="360" w:lineRule="auto"/>
        <w:ind w:left="720"/>
        <w:jc w:val="both"/>
        <w:rPr>
          <w:rFonts w:ascii="Arial" w:hAnsi="Arial" w:cs="Arial"/>
        </w:rPr>
      </w:pPr>
    </w:p>
    <w:p w:rsidR="00BD7CBF" w:rsidRPr="00555295" w:rsidRDefault="00BD7CBF" w:rsidP="00555295">
      <w:pPr>
        <w:spacing w:line="360" w:lineRule="auto"/>
        <w:jc w:val="both"/>
        <w:rPr>
          <w:rFonts w:ascii="Arial" w:hAnsi="Arial" w:cs="Arial"/>
        </w:rPr>
      </w:pPr>
      <w:r w:rsidRPr="00555295">
        <w:rPr>
          <w:rFonts w:ascii="Arial" w:hAnsi="Arial" w:cs="Arial"/>
        </w:rPr>
        <w:t>[58]</w:t>
      </w:r>
      <w:r w:rsidRPr="00555295">
        <w:rPr>
          <w:rFonts w:ascii="Arial" w:hAnsi="Arial" w:cs="Arial"/>
        </w:rPr>
        <w:tab/>
        <w:t>Like with the position of the first applicant, the second applicant does not require the co-operation of any fellow co-owners to institute and prosecute this claim. She can</w:t>
      </w:r>
      <w:r w:rsidR="006D313A" w:rsidRPr="00555295">
        <w:rPr>
          <w:rFonts w:ascii="Arial" w:hAnsi="Arial" w:cs="Arial"/>
        </w:rPr>
        <w:t>,</w:t>
      </w:r>
      <w:r w:rsidRPr="00555295">
        <w:rPr>
          <w:rFonts w:ascii="Arial" w:hAnsi="Arial" w:cs="Arial"/>
        </w:rPr>
        <w:t xml:space="preserve"> without the </w:t>
      </w:r>
      <w:r w:rsidR="006D313A" w:rsidRPr="00555295">
        <w:rPr>
          <w:rFonts w:ascii="Arial" w:hAnsi="Arial" w:cs="Arial"/>
        </w:rPr>
        <w:t>co-operation</w:t>
      </w:r>
      <w:r w:rsidR="000C5774" w:rsidRPr="00555295">
        <w:rPr>
          <w:rFonts w:ascii="Arial" w:hAnsi="Arial" w:cs="Arial"/>
        </w:rPr>
        <w:t xml:space="preserve"> or c</w:t>
      </w:r>
      <w:r w:rsidR="006D313A" w:rsidRPr="00555295">
        <w:rPr>
          <w:rFonts w:ascii="Arial" w:hAnsi="Arial" w:cs="Arial"/>
        </w:rPr>
        <w:t>onsent, or mandate of the fellow co-owner</w:t>
      </w:r>
      <w:r w:rsidR="000C5774" w:rsidRPr="00555295">
        <w:rPr>
          <w:rFonts w:ascii="Arial" w:hAnsi="Arial" w:cs="Arial"/>
        </w:rPr>
        <w:t>(s)</w:t>
      </w:r>
      <w:r w:rsidRPr="00555295">
        <w:rPr>
          <w:rFonts w:ascii="Arial" w:hAnsi="Arial" w:cs="Arial"/>
        </w:rPr>
        <w:t xml:space="preserve">, institute a claim </w:t>
      </w:r>
      <w:r w:rsidR="004716BC" w:rsidRPr="0027490A">
        <w:rPr>
          <w:rFonts w:ascii="Arial" w:hAnsi="Arial" w:cs="Arial"/>
        </w:rPr>
        <w:t>(rei</w:t>
      </w:r>
      <w:r w:rsidR="006D313A" w:rsidRPr="0027490A">
        <w:rPr>
          <w:rFonts w:ascii="Arial" w:hAnsi="Arial" w:cs="Arial"/>
        </w:rPr>
        <w:t xml:space="preserve"> vindicatio</w:t>
      </w:r>
      <w:r w:rsidRPr="00555295">
        <w:rPr>
          <w:rFonts w:ascii="Arial" w:hAnsi="Arial" w:cs="Arial"/>
          <w:i/>
        </w:rPr>
        <w:t xml:space="preserve"> </w:t>
      </w:r>
      <w:r w:rsidRPr="00555295">
        <w:rPr>
          <w:rFonts w:ascii="Arial" w:hAnsi="Arial" w:cs="Arial"/>
        </w:rPr>
        <w:t>or a possessory remedy</w:t>
      </w:r>
      <w:r w:rsidR="006D313A" w:rsidRPr="00555295">
        <w:rPr>
          <w:rFonts w:ascii="Arial" w:hAnsi="Arial" w:cs="Arial"/>
        </w:rPr>
        <w:t xml:space="preserve">) </w:t>
      </w:r>
      <w:r w:rsidRPr="00555295">
        <w:rPr>
          <w:rFonts w:ascii="Arial" w:hAnsi="Arial" w:cs="Arial"/>
        </w:rPr>
        <w:t>for the recovery of the common propert</w:t>
      </w:r>
      <w:r w:rsidR="00D2349F">
        <w:rPr>
          <w:rFonts w:ascii="Arial" w:hAnsi="Arial" w:cs="Arial"/>
        </w:rPr>
        <w:t>ies</w:t>
      </w:r>
      <w:r w:rsidR="0095210F">
        <w:rPr>
          <w:rFonts w:ascii="Arial" w:hAnsi="Arial" w:cs="Arial"/>
        </w:rPr>
        <w:t xml:space="preserve">. I believe, </w:t>
      </w:r>
      <w:r w:rsidR="00491189">
        <w:rPr>
          <w:rFonts w:ascii="Arial" w:hAnsi="Arial" w:cs="Arial"/>
        </w:rPr>
        <w:t xml:space="preserve">that </w:t>
      </w:r>
      <w:r w:rsidR="00491189" w:rsidRPr="00555295">
        <w:rPr>
          <w:rFonts w:ascii="Arial" w:hAnsi="Arial" w:cs="Arial"/>
        </w:rPr>
        <w:t>the</w:t>
      </w:r>
      <w:r w:rsidR="004716BC" w:rsidRPr="00555295">
        <w:rPr>
          <w:rFonts w:ascii="Arial" w:hAnsi="Arial" w:cs="Arial"/>
        </w:rPr>
        <w:t xml:space="preserve"> “rest of the family”</w:t>
      </w:r>
      <w:r w:rsidR="00491189">
        <w:rPr>
          <w:rFonts w:ascii="Arial" w:hAnsi="Arial" w:cs="Arial"/>
        </w:rPr>
        <w:t xml:space="preserve"> ’s</w:t>
      </w:r>
      <w:r w:rsidR="004716BC" w:rsidRPr="00555295">
        <w:rPr>
          <w:rFonts w:ascii="Arial" w:hAnsi="Arial" w:cs="Arial"/>
        </w:rPr>
        <w:t xml:space="preserve"> interest</w:t>
      </w:r>
      <w:r w:rsidR="0095210F">
        <w:rPr>
          <w:rFonts w:ascii="Arial" w:hAnsi="Arial" w:cs="Arial"/>
        </w:rPr>
        <w:t xml:space="preserve"> in the subject matter will </w:t>
      </w:r>
      <w:r w:rsidR="00491189">
        <w:rPr>
          <w:rFonts w:ascii="Arial" w:hAnsi="Arial" w:cs="Arial"/>
        </w:rPr>
        <w:t xml:space="preserve">not </w:t>
      </w:r>
      <w:r w:rsidR="00491189" w:rsidRPr="00555295">
        <w:rPr>
          <w:rFonts w:ascii="Arial" w:hAnsi="Arial" w:cs="Arial"/>
        </w:rPr>
        <w:t>be</w:t>
      </w:r>
      <w:r w:rsidR="004716BC" w:rsidRPr="00555295">
        <w:rPr>
          <w:rFonts w:ascii="Arial" w:hAnsi="Arial" w:cs="Arial"/>
        </w:rPr>
        <w:t xml:space="preserve"> prejudicially affected by the judgment or order ultimately issued.</w:t>
      </w:r>
    </w:p>
    <w:p w:rsidR="00C018A3" w:rsidRPr="00555295" w:rsidRDefault="00C018A3" w:rsidP="00555295">
      <w:pPr>
        <w:spacing w:line="360" w:lineRule="auto"/>
        <w:jc w:val="both"/>
        <w:rPr>
          <w:rFonts w:ascii="Arial" w:hAnsi="Arial" w:cs="Arial"/>
        </w:rPr>
      </w:pPr>
    </w:p>
    <w:p w:rsidR="00835793" w:rsidRPr="00555295" w:rsidRDefault="00835793" w:rsidP="00555295">
      <w:pPr>
        <w:spacing w:line="360" w:lineRule="auto"/>
        <w:jc w:val="both"/>
        <w:rPr>
          <w:rFonts w:ascii="Arial" w:hAnsi="Arial" w:cs="Arial"/>
        </w:rPr>
      </w:pPr>
      <w:r w:rsidRPr="00555295">
        <w:rPr>
          <w:rFonts w:ascii="Arial" w:hAnsi="Arial" w:cs="Arial"/>
        </w:rPr>
        <w:lastRenderedPageBreak/>
        <w:t>[59]</w:t>
      </w:r>
      <w:r w:rsidRPr="00555295">
        <w:rPr>
          <w:rFonts w:ascii="Arial" w:hAnsi="Arial" w:cs="Arial"/>
        </w:rPr>
        <w:tab/>
        <w:t>From the aforegoing, none of the points ra</w:t>
      </w:r>
      <w:r w:rsidR="00140017" w:rsidRPr="00555295">
        <w:rPr>
          <w:rFonts w:ascii="Arial" w:hAnsi="Arial" w:cs="Arial"/>
        </w:rPr>
        <w:t>ised in limine have merit. They</w:t>
      </w:r>
      <w:r w:rsidRPr="00555295">
        <w:rPr>
          <w:rFonts w:ascii="Arial" w:hAnsi="Arial" w:cs="Arial"/>
        </w:rPr>
        <w:t xml:space="preserve"> are, accordingl</w:t>
      </w:r>
      <w:r w:rsidR="00140017" w:rsidRPr="00555295">
        <w:rPr>
          <w:rFonts w:ascii="Arial" w:hAnsi="Arial" w:cs="Arial"/>
        </w:rPr>
        <w:t>y</w:t>
      </w:r>
      <w:r w:rsidR="000C5774" w:rsidRPr="00555295">
        <w:rPr>
          <w:rFonts w:ascii="Arial" w:hAnsi="Arial" w:cs="Arial"/>
        </w:rPr>
        <w:t>,</w:t>
      </w:r>
      <w:r w:rsidRPr="00555295">
        <w:rPr>
          <w:rFonts w:ascii="Arial" w:hAnsi="Arial" w:cs="Arial"/>
        </w:rPr>
        <w:t xml:space="preserve"> dismissed.</w:t>
      </w:r>
    </w:p>
    <w:p w:rsidR="00C018A3" w:rsidRPr="00BC172A" w:rsidRDefault="00C018A3" w:rsidP="00555295">
      <w:pPr>
        <w:spacing w:line="360" w:lineRule="auto"/>
        <w:jc w:val="both"/>
        <w:rPr>
          <w:rFonts w:ascii="Arial" w:hAnsi="Arial" w:cs="Arial"/>
          <w:b/>
          <w:i/>
        </w:rPr>
      </w:pPr>
      <w:r w:rsidRPr="00BC172A">
        <w:rPr>
          <w:rFonts w:ascii="Arial" w:hAnsi="Arial" w:cs="Arial"/>
          <w:b/>
          <w:i/>
        </w:rPr>
        <w:t>Rescission</w:t>
      </w:r>
    </w:p>
    <w:p w:rsidR="00C018A3" w:rsidRDefault="00C018A3" w:rsidP="00555295">
      <w:pPr>
        <w:spacing w:line="360" w:lineRule="auto"/>
        <w:jc w:val="both"/>
        <w:rPr>
          <w:rFonts w:ascii="Arial" w:hAnsi="Arial" w:cs="Arial"/>
        </w:rPr>
      </w:pPr>
      <w:r w:rsidRPr="00555295">
        <w:rPr>
          <w:rFonts w:ascii="Arial" w:hAnsi="Arial" w:cs="Arial"/>
        </w:rPr>
        <w:t>[60]</w:t>
      </w:r>
      <w:r w:rsidRPr="00555295">
        <w:rPr>
          <w:rFonts w:ascii="Arial" w:hAnsi="Arial" w:cs="Arial"/>
        </w:rPr>
        <w:tab/>
        <w:t xml:space="preserve">The rescission application, in this case, has been brought under a new and different case number because the second respondent, the Registrar </w:t>
      </w:r>
      <w:r w:rsidR="0052005F" w:rsidRPr="00555295">
        <w:rPr>
          <w:rFonts w:ascii="Arial" w:hAnsi="Arial" w:cs="Arial"/>
        </w:rPr>
        <w:t>of Deeds</w:t>
      </w:r>
      <w:r w:rsidR="000C5774" w:rsidRPr="00555295">
        <w:rPr>
          <w:rFonts w:ascii="Arial" w:hAnsi="Arial" w:cs="Arial"/>
        </w:rPr>
        <w:t xml:space="preserve">, </w:t>
      </w:r>
      <w:r w:rsidRPr="00555295">
        <w:rPr>
          <w:rFonts w:ascii="Arial" w:hAnsi="Arial" w:cs="Arial"/>
        </w:rPr>
        <w:t xml:space="preserve">is also joined and </w:t>
      </w:r>
      <w:r w:rsidR="000C5774" w:rsidRPr="00555295">
        <w:rPr>
          <w:rFonts w:ascii="Arial" w:hAnsi="Arial" w:cs="Arial"/>
        </w:rPr>
        <w:t xml:space="preserve">the </w:t>
      </w:r>
      <w:r w:rsidRPr="00555295">
        <w:rPr>
          <w:rFonts w:ascii="Arial" w:hAnsi="Arial" w:cs="Arial"/>
        </w:rPr>
        <w:t xml:space="preserve">substantive relief </w:t>
      </w:r>
      <w:r w:rsidRPr="00555295">
        <w:rPr>
          <w:rFonts w:ascii="Arial" w:hAnsi="Arial" w:cs="Arial"/>
          <w:i/>
        </w:rPr>
        <w:t>ad factum praestandum</w:t>
      </w:r>
      <w:r w:rsidR="000C5774" w:rsidRPr="00555295">
        <w:rPr>
          <w:rFonts w:ascii="Arial" w:hAnsi="Arial" w:cs="Arial"/>
        </w:rPr>
        <w:t xml:space="preserve"> is sought against his O</w:t>
      </w:r>
      <w:r w:rsidRPr="00555295">
        <w:rPr>
          <w:rFonts w:ascii="Arial" w:hAnsi="Arial" w:cs="Arial"/>
        </w:rPr>
        <w:t>ffice. However, the main proceedings being impugned forms part of the perti</w:t>
      </w:r>
      <w:r w:rsidR="00887F11" w:rsidRPr="00555295">
        <w:rPr>
          <w:rFonts w:ascii="Arial" w:hAnsi="Arial" w:cs="Arial"/>
        </w:rPr>
        <w:t xml:space="preserve">nent evidentiary material to be </w:t>
      </w:r>
      <w:r w:rsidRPr="00555295">
        <w:rPr>
          <w:rFonts w:ascii="Arial" w:hAnsi="Arial" w:cs="Arial"/>
        </w:rPr>
        <w:t>considered.</w:t>
      </w:r>
    </w:p>
    <w:p w:rsidR="0065211D" w:rsidRPr="00555295" w:rsidRDefault="0065211D" w:rsidP="00555295">
      <w:pPr>
        <w:spacing w:line="360" w:lineRule="auto"/>
        <w:jc w:val="both"/>
        <w:rPr>
          <w:rFonts w:ascii="Arial" w:hAnsi="Arial" w:cs="Arial"/>
        </w:rPr>
      </w:pPr>
    </w:p>
    <w:p w:rsidR="00E4501B" w:rsidRPr="00555295" w:rsidRDefault="00E4501B" w:rsidP="00555295">
      <w:pPr>
        <w:spacing w:line="360" w:lineRule="auto"/>
        <w:jc w:val="both"/>
        <w:rPr>
          <w:rFonts w:ascii="Arial" w:hAnsi="Arial" w:cs="Arial"/>
        </w:rPr>
      </w:pPr>
      <w:r w:rsidRPr="00555295">
        <w:rPr>
          <w:rFonts w:ascii="Arial" w:hAnsi="Arial" w:cs="Arial"/>
        </w:rPr>
        <w:t>[61]</w:t>
      </w:r>
      <w:r w:rsidRPr="00555295">
        <w:rPr>
          <w:rFonts w:ascii="Arial" w:hAnsi="Arial" w:cs="Arial"/>
        </w:rPr>
        <w:tab/>
        <w:t>The applicants bring the application in terms of rule 42(1)</w:t>
      </w:r>
      <w:r w:rsidR="000C5774" w:rsidRPr="00555295">
        <w:rPr>
          <w:rFonts w:ascii="Arial" w:hAnsi="Arial" w:cs="Arial"/>
        </w:rPr>
        <w:t>,</w:t>
      </w:r>
      <w:r w:rsidRPr="00555295">
        <w:rPr>
          <w:rFonts w:ascii="Arial" w:hAnsi="Arial" w:cs="Arial"/>
        </w:rPr>
        <w:t xml:space="preserve"> alternatively under comm</w:t>
      </w:r>
      <w:r w:rsidR="000C5774" w:rsidRPr="00555295">
        <w:rPr>
          <w:rFonts w:ascii="Arial" w:hAnsi="Arial" w:cs="Arial"/>
        </w:rPr>
        <w:t>on law</w:t>
      </w:r>
      <w:r w:rsidR="0052005F" w:rsidRPr="00555295">
        <w:rPr>
          <w:rFonts w:ascii="Arial" w:hAnsi="Arial" w:cs="Arial"/>
        </w:rPr>
        <w:t xml:space="preserve"> based</w:t>
      </w:r>
      <w:r w:rsidR="000C5774" w:rsidRPr="00555295">
        <w:rPr>
          <w:rFonts w:ascii="Arial" w:hAnsi="Arial" w:cs="Arial"/>
        </w:rPr>
        <w:t xml:space="preserve"> on the following </w:t>
      </w:r>
      <w:r w:rsidR="008D4CDD" w:rsidRPr="00555295">
        <w:rPr>
          <w:rFonts w:ascii="Arial" w:hAnsi="Arial" w:cs="Arial"/>
        </w:rPr>
        <w:t>discernible</w:t>
      </w:r>
      <w:r w:rsidRPr="00555295">
        <w:rPr>
          <w:rFonts w:ascii="Arial" w:hAnsi="Arial" w:cs="Arial"/>
        </w:rPr>
        <w:t xml:space="preserve"> ground</w:t>
      </w:r>
      <w:r w:rsidR="000C5774" w:rsidRPr="00555295">
        <w:rPr>
          <w:rFonts w:ascii="Arial" w:hAnsi="Arial" w:cs="Arial"/>
        </w:rPr>
        <w:t>s</w:t>
      </w:r>
      <w:r w:rsidRPr="00555295">
        <w:rPr>
          <w:rFonts w:ascii="Arial" w:hAnsi="Arial" w:cs="Arial"/>
        </w:rPr>
        <w:t>:</w:t>
      </w:r>
    </w:p>
    <w:p w:rsidR="00E4501B" w:rsidRPr="00555295" w:rsidRDefault="00E4501B" w:rsidP="00555295">
      <w:pPr>
        <w:spacing w:line="360" w:lineRule="auto"/>
        <w:jc w:val="both"/>
        <w:rPr>
          <w:rFonts w:ascii="Arial" w:hAnsi="Arial" w:cs="Arial"/>
        </w:rPr>
      </w:pPr>
      <w:r w:rsidRPr="00555295">
        <w:rPr>
          <w:rFonts w:ascii="Arial" w:hAnsi="Arial" w:cs="Arial"/>
        </w:rPr>
        <w:t xml:space="preserve">(a) </w:t>
      </w:r>
      <w:r w:rsidRPr="00555295">
        <w:rPr>
          <w:rFonts w:ascii="Arial" w:hAnsi="Arial" w:cs="Arial"/>
        </w:rPr>
        <w:tab/>
        <w:t>material</w:t>
      </w:r>
      <w:r w:rsidR="002A0720" w:rsidRPr="00555295">
        <w:rPr>
          <w:rFonts w:ascii="Arial" w:hAnsi="Arial" w:cs="Arial"/>
        </w:rPr>
        <w:t xml:space="preserve"> no</w:t>
      </w:r>
      <w:r w:rsidR="00970EAE">
        <w:rPr>
          <w:rFonts w:ascii="Arial" w:hAnsi="Arial" w:cs="Arial"/>
        </w:rPr>
        <w:t>n</w:t>
      </w:r>
      <w:r w:rsidR="00920734" w:rsidRPr="00555295">
        <w:rPr>
          <w:rFonts w:ascii="Arial" w:hAnsi="Arial" w:cs="Arial"/>
        </w:rPr>
        <w:t>-</w:t>
      </w:r>
      <w:r w:rsidR="002A0720" w:rsidRPr="00555295">
        <w:rPr>
          <w:rFonts w:ascii="Arial" w:hAnsi="Arial" w:cs="Arial"/>
        </w:rPr>
        <w:t xml:space="preserve">disclosure and misrepresentation of facts; and </w:t>
      </w:r>
    </w:p>
    <w:p w:rsidR="008D4CDD" w:rsidRDefault="00F94206" w:rsidP="00555295">
      <w:pPr>
        <w:spacing w:line="360" w:lineRule="auto"/>
        <w:ind w:left="720" w:hanging="720"/>
        <w:jc w:val="both"/>
        <w:rPr>
          <w:rFonts w:ascii="Arial" w:hAnsi="Arial" w:cs="Arial"/>
        </w:rPr>
      </w:pPr>
      <w:r w:rsidRPr="00555295">
        <w:rPr>
          <w:rFonts w:ascii="Arial" w:hAnsi="Arial" w:cs="Arial"/>
        </w:rPr>
        <w:t>(b)</w:t>
      </w:r>
      <w:r w:rsidRPr="00555295">
        <w:rPr>
          <w:rFonts w:ascii="Arial" w:hAnsi="Arial" w:cs="Arial"/>
        </w:rPr>
        <w:tab/>
        <w:t>no cause of action;</w:t>
      </w:r>
      <w:r w:rsidR="002A0720" w:rsidRPr="00555295">
        <w:rPr>
          <w:rFonts w:ascii="Arial" w:hAnsi="Arial" w:cs="Arial"/>
        </w:rPr>
        <w:t xml:space="preserve"> and legal incompetence of a court to make such an order. </w:t>
      </w:r>
    </w:p>
    <w:p w:rsidR="002A0720" w:rsidRPr="00555295" w:rsidRDefault="002A0720" w:rsidP="00555295">
      <w:pPr>
        <w:spacing w:line="360" w:lineRule="auto"/>
        <w:ind w:left="720" w:hanging="720"/>
        <w:jc w:val="both"/>
        <w:rPr>
          <w:rFonts w:ascii="Arial" w:hAnsi="Arial" w:cs="Arial"/>
        </w:rPr>
      </w:pPr>
      <w:r w:rsidRPr="00555295">
        <w:rPr>
          <w:rFonts w:ascii="Arial" w:hAnsi="Arial" w:cs="Arial"/>
        </w:rPr>
        <w:t>I defer to deal with the grounds later in the judgment.</w:t>
      </w:r>
    </w:p>
    <w:p w:rsidR="000C5774" w:rsidRPr="00555295" w:rsidRDefault="000C5774" w:rsidP="00555295">
      <w:pPr>
        <w:spacing w:line="360" w:lineRule="auto"/>
        <w:ind w:left="720" w:hanging="720"/>
        <w:jc w:val="both"/>
        <w:rPr>
          <w:rFonts w:ascii="Arial" w:hAnsi="Arial" w:cs="Arial"/>
        </w:rPr>
      </w:pPr>
    </w:p>
    <w:p w:rsidR="002A0720" w:rsidRPr="00555295" w:rsidRDefault="00F94206" w:rsidP="00555295">
      <w:pPr>
        <w:spacing w:line="360" w:lineRule="auto"/>
        <w:jc w:val="both"/>
        <w:rPr>
          <w:rFonts w:ascii="Arial" w:hAnsi="Arial" w:cs="Arial"/>
        </w:rPr>
      </w:pPr>
      <w:r w:rsidRPr="00555295">
        <w:rPr>
          <w:rFonts w:ascii="Arial" w:hAnsi="Arial" w:cs="Arial"/>
        </w:rPr>
        <w:t>[62]</w:t>
      </w:r>
      <w:r w:rsidRPr="00555295">
        <w:rPr>
          <w:rFonts w:ascii="Arial" w:hAnsi="Arial" w:cs="Arial"/>
        </w:rPr>
        <w:tab/>
        <w:t>A</w:t>
      </w:r>
      <w:r w:rsidR="00D62E05" w:rsidRPr="00555295">
        <w:rPr>
          <w:rFonts w:ascii="Arial" w:hAnsi="Arial" w:cs="Arial"/>
        </w:rPr>
        <w:t xml:space="preserve"> court does not have</w:t>
      </w:r>
      <w:r w:rsidR="00887F11" w:rsidRPr="00555295">
        <w:rPr>
          <w:rFonts w:ascii="Arial" w:hAnsi="Arial" w:cs="Arial"/>
        </w:rPr>
        <w:t xml:space="preserve"> </w:t>
      </w:r>
      <w:r w:rsidR="00A5117B" w:rsidRPr="00555295">
        <w:rPr>
          <w:rFonts w:ascii="Arial" w:hAnsi="Arial" w:cs="Arial"/>
        </w:rPr>
        <w:t>inherent power to set aside its judgments.</w:t>
      </w:r>
      <w:r w:rsidR="00D06EEE">
        <w:rPr>
          <w:rFonts w:ascii="Arial" w:hAnsi="Arial" w:cs="Arial"/>
        </w:rPr>
        <w:t xml:space="preserve"> </w:t>
      </w:r>
      <w:r w:rsidR="00A5117B" w:rsidRPr="00555295">
        <w:rPr>
          <w:rFonts w:ascii="Arial" w:hAnsi="Arial" w:cs="Arial"/>
        </w:rPr>
        <w:t>However, a judgment by default can be set aside under rule 42(1) or under the common law</w:t>
      </w:r>
      <w:r w:rsidR="005F0C01">
        <w:rPr>
          <w:rFonts w:ascii="Arial" w:hAnsi="Arial" w:cs="Arial"/>
        </w:rPr>
        <w:t>.</w:t>
      </w:r>
      <w:r w:rsidR="005F0C01">
        <w:rPr>
          <w:rStyle w:val="FootnoteReference"/>
          <w:rFonts w:ascii="Arial" w:hAnsi="Arial" w:cs="Arial"/>
        </w:rPr>
        <w:footnoteReference w:id="30"/>
      </w:r>
      <w:r w:rsidR="00A5117B" w:rsidRPr="00555295">
        <w:rPr>
          <w:rFonts w:ascii="Arial" w:hAnsi="Arial" w:cs="Arial"/>
        </w:rPr>
        <w:t xml:space="preserve"> Rule 42</w:t>
      </w:r>
      <w:r w:rsidR="00084A98">
        <w:rPr>
          <w:rFonts w:ascii="Arial" w:hAnsi="Arial" w:cs="Arial"/>
        </w:rPr>
        <w:t>(</w:t>
      </w:r>
      <w:r w:rsidR="00A5117B" w:rsidRPr="00555295">
        <w:rPr>
          <w:rFonts w:ascii="Arial" w:hAnsi="Arial" w:cs="Arial"/>
        </w:rPr>
        <w:t>1) empowers the court, mero m</w:t>
      </w:r>
      <w:r w:rsidR="0027490A">
        <w:rPr>
          <w:rFonts w:ascii="Arial" w:hAnsi="Arial" w:cs="Arial"/>
        </w:rPr>
        <w:t>o</w:t>
      </w:r>
      <w:r w:rsidR="00A5117B" w:rsidRPr="00555295">
        <w:rPr>
          <w:rFonts w:ascii="Arial" w:hAnsi="Arial" w:cs="Arial"/>
        </w:rPr>
        <w:t xml:space="preserve">tu, or upon the application of any party affected, </w:t>
      </w:r>
      <w:r w:rsidR="00BE5E33" w:rsidRPr="00555295">
        <w:rPr>
          <w:rFonts w:ascii="Arial" w:hAnsi="Arial" w:cs="Arial"/>
        </w:rPr>
        <w:t>to vary an order or judgment erroneously sought or erroneously granted, in the absence of any party affected thereby.</w:t>
      </w:r>
    </w:p>
    <w:p w:rsidR="004702BB" w:rsidRPr="00555295" w:rsidRDefault="004702BB" w:rsidP="00555295">
      <w:pPr>
        <w:spacing w:line="360" w:lineRule="auto"/>
        <w:jc w:val="both"/>
        <w:rPr>
          <w:rFonts w:ascii="Arial" w:hAnsi="Arial" w:cs="Arial"/>
        </w:rPr>
      </w:pPr>
    </w:p>
    <w:p w:rsidR="002F1C7C" w:rsidRPr="00555295" w:rsidRDefault="002F1C7C" w:rsidP="00555295">
      <w:pPr>
        <w:spacing w:line="360" w:lineRule="auto"/>
        <w:jc w:val="both"/>
        <w:rPr>
          <w:rFonts w:ascii="Arial" w:hAnsi="Arial" w:cs="Arial"/>
        </w:rPr>
      </w:pPr>
      <w:r w:rsidRPr="00555295">
        <w:rPr>
          <w:rFonts w:ascii="Arial" w:hAnsi="Arial" w:cs="Arial"/>
        </w:rPr>
        <w:t>[63]</w:t>
      </w:r>
      <w:r w:rsidRPr="00555295">
        <w:rPr>
          <w:rFonts w:ascii="Arial" w:hAnsi="Arial" w:cs="Arial"/>
        </w:rPr>
        <w:tab/>
        <w:t xml:space="preserve">The fact </w:t>
      </w:r>
      <w:r w:rsidR="00976F5C" w:rsidRPr="00555295">
        <w:rPr>
          <w:rFonts w:ascii="Arial" w:hAnsi="Arial" w:cs="Arial"/>
        </w:rPr>
        <w:t xml:space="preserve">that </w:t>
      </w:r>
      <w:r w:rsidRPr="00555295">
        <w:rPr>
          <w:rFonts w:ascii="Arial" w:hAnsi="Arial" w:cs="Arial"/>
        </w:rPr>
        <w:t>the application for rescission is brought under a specific rule does not mean that it cannot be entertained under a different rule or common law, provided the requirements thereof are met</w:t>
      </w:r>
      <w:r w:rsidR="005F0C01">
        <w:rPr>
          <w:rFonts w:ascii="Arial" w:hAnsi="Arial" w:cs="Arial"/>
        </w:rPr>
        <w:t>.</w:t>
      </w:r>
      <w:r w:rsidR="005F0C01">
        <w:rPr>
          <w:rStyle w:val="FootnoteReference"/>
          <w:rFonts w:ascii="Arial" w:hAnsi="Arial" w:cs="Arial"/>
        </w:rPr>
        <w:footnoteReference w:id="31"/>
      </w:r>
      <w:r w:rsidR="005F0C01">
        <w:rPr>
          <w:rFonts w:ascii="Arial" w:hAnsi="Arial" w:cs="Arial"/>
        </w:rPr>
        <w:t xml:space="preserve"> </w:t>
      </w:r>
      <w:r w:rsidR="0066045F" w:rsidRPr="00CB09F8">
        <w:rPr>
          <w:rFonts w:ascii="Arial" w:hAnsi="Arial" w:cs="Arial"/>
        </w:rPr>
        <w:t>The facts and circumstances raised in the affidavit</w:t>
      </w:r>
      <w:r w:rsidR="00976F5C" w:rsidRPr="00CB09F8">
        <w:rPr>
          <w:rFonts w:ascii="Arial" w:hAnsi="Arial" w:cs="Arial"/>
        </w:rPr>
        <w:t>s</w:t>
      </w:r>
      <w:r w:rsidR="0066045F" w:rsidRPr="00CB09F8">
        <w:rPr>
          <w:rFonts w:ascii="Arial" w:hAnsi="Arial" w:cs="Arial"/>
        </w:rPr>
        <w:t>, sustain relief on any of the grounds for rescission, even if not expressly raise</w:t>
      </w:r>
      <w:r w:rsidR="00976F5C" w:rsidRPr="00CB09F8">
        <w:rPr>
          <w:rFonts w:ascii="Arial" w:hAnsi="Arial" w:cs="Arial"/>
        </w:rPr>
        <w:t>d</w:t>
      </w:r>
      <w:r w:rsidR="005F0C01">
        <w:rPr>
          <w:rFonts w:ascii="Arial" w:hAnsi="Arial" w:cs="Arial"/>
        </w:rPr>
        <w:t>.</w:t>
      </w:r>
      <w:r w:rsidR="005F0C01">
        <w:rPr>
          <w:rStyle w:val="FootnoteReference"/>
          <w:rFonts w:ascii="Arial" w:hAnsi="Arial" w:cs="Arial"/>
        </w:rPr>
        <w:footnoteReference w:id="32"/>
      </w:r>
      <w:r w:rsidR="0066045F" w:rsidRPr="00CB09F8">
        <w:rPr>
          <w:rFonts w:ascii="Arial" w:hAnsi="Arial" w:cs="Arial"/>
        </w:rPr>
        <w:t xml:space="preserve"> </w:t>
      </w:r>
    </w:p>
    <w:p w:rsidR="00B32813" w:rsidRDefault="00B32813" w:rsidP="00555295">
      <w:pPr>
        <w:spacing w:line="360" w:lineRule="auto"/>
        <w:jc w:val="both"/>
        <w:rPr>
          <w:rFonts w:ascii="Arial" w:hAnsi="Arial" w:cs="Arial"/>
          <w:b/>
          <w:i/>
        </w:rPr>
      </w:pPr>
    </w:p>
    <w:p w:rsidR="004702BB" w:rsidRPr="0027490A" w:rsidRDefault="004702BB" w:rsidP="00555295">
      <w:pPr>
        <w:spacing w:line="360" w:lineRule="auto"/>
        <w:jc w:val="both"/>
        <w:rPr>
          <w:rFonts w:ascii="Arial" w:hAnsi="Arial" w:cs="Arial"/>
          <w:b/>
          <w:i/>
        </w:rPr>
      </w:pPr>
      <w:r w:rsidRPr="0027490A">
        <w:rPr>
          <w:rFonts w:ascii="Arial" w:hAnsi="Arial" w:cs="Arial"/>
          <w:b/>
          <w:i/>
        </w:rPr>
        <w:lastRenderedPageBreak/>
        <w:t>Rule 42(1</w:t>
      </w:r>
      <w:r w:rsidR="000D05C7" w:rsidRPr="0027490A">
        <w:rPr>
          <w:rFonts w:ascii="Arial" w:hAnsi="Arial" w:cs="Arial"/>
          <w:b/>
          <w:i/>
        </w:rPr>
        <w:t>)(</w:t>
      </w:r>
      <w:r w:rsidRPr="0027490A">
        <w:rPr>
          <w:rFonts w:ascii="Arial" w:hAnsi="Arial" w:cs="Arial"/>
          <w:b/>
          <w:i/>
        </w:rPr>
        <w:t>a)</w:t>
      </w:r>
    </w:p>
    <w:p w:rsidR="00E9131F" w:rsidRDefault="004702BB" w:rsidP="00555295">
      <w:pPr>
        <w:spacing w:line="360" w:lineRule="auto"/>
        <w:jc w:val="both"/>
        <w:rPr>
          <w:rFonts w:ascii="Arial" w:hAnsi="Arial" w:cs="Arial"/>
        </w:rPr>
      </w:pPr>
      <w:r w:rsidRPr="00555295">
        <w:rPr>
          <w:rFonts w:ascii="Arial" w:hAnsi="Arial" w:cs="Arial"/>
        </w:rPr>
        <w:t>[64]</w:t>
      </w:r>
      <w:r w:rsidRPr="00555295">
        <w:rPr>
          <w:rFonts w:ascii="Arial" w:hAnsi="Arial" w:cs="Arial"/>
        </w:rPr>
        <w:tab/>
        <w:t>As alluded to above, this rule provides for the rescission of an order or judgment “</w:t>
      </w:r>
      <w:r w:rsidRPr="00CD1156">
        <w:rPr>
          <w:rFonts w:ascii="Arial" w:hAnsi="Arial" w:cs="Arial"/>
        </w:rPr>
        <w:t>erroneously sought or erroneously granted in the absence of any party affected thereby”</w:t>
      </w:r>
      <w:r w:rsidR="00CF2153" w:rsidRPr="00CD1156">
        <w:rPr>
          <w:rFonts w:ascii="Arial" w:hAnsi="Arial" w:cs="Arial"/>
        </w:rPr>
        <w:t>. M</w:t>
      </w:r>
      <w:r w:rsidRPr="00CD1156">
        <w:rPr>
          <w:rFonts w:ascii="Arial" w:hAnsi="Arial" w:cs="Arial"/>
        </w:rPr>
        <w:t>ost often than not, that relates to a judgment granted by default.</w:t>
      </w:r>
      <w:r w:rsidR="005F0C01">
        <w:rPr>
          <w:rStyle w:val="FootnoteReference"/>
          <w:rFonts w:ascii="Arial" w:hAnsi="Arial" w:cs="Arial"/>
        </w:rPr>
        <w:footnoteReference w:id="33"/>
      </w:r>
    </w:p>
    <w:p w:rsidR="00567277" w:rsidRPr="00555295" w:rsidRDefault="00567277" w:rsidP="00555295">
      <w:pPr>
        <w:spacing w:line="360" w:lineRule="auto"/>
        <w:jc w:val="both"/>
        <w:rPr>
          <w:rFonts w:ascii="Arial" w:hAnsi="Arial" w:cs="Arial"/>
        </w:rPr>
      </w:pPr>
    </w:p>
    <w:p w:rsidR="00E9131F" w:rsidRPr="00555295" w:rsidRDefault="00E9131F" w:rsidP="00555295">
      <w:pPr>
        <w:spacing w:line="360" w:lineRule="auto"/>
        <w:jc w:val="both"/>
        <w:rPr>
          <w:rFonts w:ascii="Arial" w:hAnsi="Arial" w:cs="Arial"/>
        </w:rPr>
      </w:pPr>
      <w:r w:rsidRPr="00555295">
        <w:rPr>
          <w:rFonts w:ascii="Arial" w:hAnsi="Arial" w:cs="Arial"/>
        </w:rPr>
        <w:t>[65]</w:t>
      </w:r>
      <w:r w:rsidRPr="00555295">
        <w:rPr>
          <w:rFonts w:ascii="Arial" w:hAnsi="Arial" w:cs="Arial"/>
        </w:rPr>
        <w:tab/>
        <w:t xml:space="preserve">The following </w:t>
      </w:r>
      <w:r w:rsidR="00CF2153" w:rsidRPr="00555295">
        <w:rPr>
          <w:rFonts w:ascii="Arial" w:hAnsi="Arial" w:cs="Arial"/>
        </w:rPr>
        <w:t xml:space="preserve">principles </w:t>
      </w:r>
      <w:r w:rsidRPr="00555295">
        <w:rPr>
          <w:rFonts w:ascii="Arial" w:hAnsi="Arial" w:cs="Arial"/>
        </w:rPr>
        <w:t>govern rescission under this rule:</w:t>
      </w:r>
      <w:r w:rsidR="00860C3B">
        <w:rPr>
          <w:rStyle w:val="FootnoteReference"/>
          <w:rFonts w:ascii="Arial" w:hAnsi="Arial" w:cs="Arial"/>
        </w:rPr>
        <w:footnoteReference w:id="34"/>
      </w:r>
    </w:p>
    <w:p w:rsidR="00E9131F" w:rsidRPr="005D5A04" w:rsidRDefault="005D5A04" w:rsidP="00555295">
      <w:pPr>
        <w:spacing w:line="360" w:lineRule="auto"/>
        <w:jc w:val="both"/>
        <w:rPr>
          <w:rFonts w:ascii="Arial" w:hAnsi="Arial" w:cs="Arial"/>
          <w:sz w:val="22"/>
          <w:szCs w:val="22"/>
        </w:rPr>
      </w:pPr>
      <w:r>
        <w:rPr>
          <w:rFonts w:ascii="Arial" w:hAnsi="Arial" w:cs="Arial"/>
          <w:sz w:val="22"/>
          <w:szCs w:val="22"/>
        </w:rPr>
        <w:t>‘</w:t>
      </w:r>
      <w:r w:rsidR="006C6248">
        <w:rPr>
          <w:rFonts w:ascii="Arial" w:hAnsi="Arial" w:cs="Arial"/>
          <w:sz w:val="22"/>
          <w:szCs w:val="22"/>
        </w:rPr>
        <w:t>[11.1]</w:t>
      </w:r>
      <w:r w:rsidR="00E9131F" w:rsidRPr="005D5A04">
        <w:rPr>
          <w:rFonts w:ascii="Arial" w:hAnsi="Arial" w:cs="Arial"/>
          <w:sz w:val="22"/>
          <w:szCs w:val="22"/>
        </w:rPr>
        <w:tab/>
        <w:t>the rule must be underst</w:t>
      </w:r>
      <w:r w:rsidR="00CF2153" w:rsidRPr="005D5A04">
        <w:rPr>
          <w:rFonts w:ascii="Arial" w:hAnsi="Arial" w:cs="Arial"/>
          <w:sz w:val="22"/>
          <w:szCs w:val="22"/>
        </w:rPr>
        <w:t>ood against its common</w:t>
      </w:r>
      <w:r w:rsidR="00567277">
        <w:rPr>
          <w:rFonts w:ascii="Arial" w:hAnsi="Arial" w:cs="Arial"/>
          <w:sz w:val="22"/>
          <w:szCs w:val="22"/>
        </w:rPr>
        <w:t>-</w:t>
      </w:r>
      <w:r w:rsidR="00CF2153" w:rsidRPr="005D5A04">
        <w:rPr>
          <w:rFonts w:ascii="Arial" w:hAnsi="Arial" w:cs="Arial"/>
          <w:sz w:val="22"/>
          <w:szCs w:val="22"/>
        </w:rPr>
        <w:t>law back</w:t>
      </w:r>
      <w:r w:rsidR="00E9131F" w:rsidRPr="005D5A04">
        <w:rPr>
          <w:rFonts w:ascii="Arial" w:hAnsi="Arial" w:cs="Arial"/>
          <w:sz w:val="22"/>
          <w:szCs w:val="22"/>
        </w:rPr>
        <w:t>ground;</w:t>
      </w:r>
    </w:p>
    <w:p w:rsidR="00E9131F" w:rsidRPr="005D5A04" w:rsidRDefault="006C6248" w:rsidP="00555295">
      <w:pPr>
        <w:spacing w:line="360" w:lineRule="auto"/>
        <w:ind w:left="720" w:hanging="720"/>
        <w:jc w:val="both"/>
        <w:rPr>
          <w:rFonts w:ascii="Arial" w:hAnsi="Arial" w:cs="Arial"/>
          <w:sz w:val="22"/>
          <w:szCs w:val="22"/>
        </w:rPr>
      </w:pPr>
      <w:r>
        <w:rPr>
          <w:rFonts w:ascii="Arial" w:hAnsi="Arial" w:cs="Arial"/>
          <w:sz w:val="22"/>
          <w:szCs w:val="22"/>
        </w:rPr>
        <w:t>[11.2]</w:t>
      </w:r>
      <w:r w:rsidR="00CF2153" w:rsidRPr="005D5A04">
        <w:rPr>
          <w:rFonts w:ascii="Arial" w:hAnsi="Arial" w:cs="Arial"/>
          <w:sz w:val="22"/>
          <w:szCs w:val="22"/>
        </w:rPr>
        <w:tab/>
        <w:t>t</w:t>
      </w:r>
      <w:r w:rsidR="00E9131F" w:rsidRPr="005D5A04">
        <w:rPr>
          <w:rFonts w:ascii="Arial" w:hAnsi="Arial" w:cs="Arial"/>
          <w:sz w:val="22"/>
          <w:szCs w:val="22"/>
        </w:rPr>
        <w:t xml:space="preserve">he basic principle at common law is that once a judgment has been granted, the judge becomes </w:t>
      </w:r>
      <w:r w:rsidR="00E9131F" w:rsidRPr="00567277">
        <w:rPr>
          <w:rFonts w:ascii="Arial" w:hAnsi="Arial" w:cs="Arial"/>
          <w:sz w:val="22"/>
          <w:szCs w:val="22"/>
        </w:rPr>
        <w:t>functus officio, but</w:t>
      </w:r>
      <w:r w:rsidR="00E9131F" w:rsidRPr="005D5A04">
        <w:rPr>
          <w:rFonts w:ascii="Arial" w:hAnsi="Arial" w:cs="Arial"/>
          <w:sz w:val="22"/>
          <w:szCs w:val="22"/>
        </w:rPr>
        <w:t xml:space="preserve"> subject to certain exceptions of </w:t>
      </w:r>
      <w:r w:rsidR="00CF2153" w:rsidRPr="005D5A04">
        <w:rPr>
          <w:rFonts w:ascii="Arial" w:hAnsi="Arial" w:cs="Arial"/>
          <w:sz w:val="22"/>
          <w:szCs w:val="22"/>
        </w:rPr>
        <w:t>which rule 42(1)</w:t>
      </w:r>
      <w:r w:rsidR="00CF2153" w:rsidRPr="00567277">
        <w:rPr>
          <w:rFonts w:ascii="Arial" w:hAnsi="Arial" w:cs="Arial"/>
          <w:i/>
          <w:sz w:val="22"/>
          <w:szCs w:val="22"/>
        </w:rPr>
        <w:t>(a</w:t>
      </w:r>
      <w:r w:rsidR="00E9131F" w:rsidRPr="00567277">
        <w:rPr>
          <w:rFonts w:ascii="Arial" w:hAnsi="Arial" w:cs="Arial"/>
          <w:i/>
          <w:sz w:val="22"/>
          <w:szCs w:val="22"/>
        </w:rPr>
        <w:t>)</w:t>
      </w:r>
      <w:r w:rsidR="00E9131F" w:rsidRPr="005D5A04">
        <w:rPr>
          <w:rFonts w:ascii="Arial" w:hAnsi="Arial" w:cs="Arial"/>
          <w:sz w:val="22"/>
          <w:szCs w:val="22"/>
        </w:rPr>
        <w:t xml:space="preserve"> is one;</w:t>
      </w:r>
    </w:p>
    <w:p w:rsidR="00E9131F" w:rsidRPr="005D5A04" w:rsidRDefault="006C6248" w:rsidP="00555295">
      <w:pPr>
        <w:spacing w:line="360" w:lineRule="auto"/>
        <w:jc w:val="both"/>
        <w:rPr>
          <w:rFonts w:ascii="Arial" w:hAnsi="Arial" w:cs="Arial"/>
          <w:sz w:val="22"/>
          <w:szCs w:val="22"/>
        </w:rPr>
      </w:pPr>
      <w:r>
        <w:rPr>
          <w:rFonts w:ascii="Arial" w:hAnsi="Arial" w:cs="Arial"/>
          <w:sz w:val="22"/>
          <w:szCs w:val="22"/>
        </w:rPr>
        <w:t>[11.3]</w:t>
      </w:r>
      <w:r w:rsidR="00E9131F" w:rsidRPr="005D5A04">
        <w:rPr>
          <w:rFonts w:ascii="Arial" w:hAnsi="Arial" w:cs="Arial"/>
          <w:sz w:val="22"/>
          <w:szCs w:val="22"/>
        </w:rPr>
        <w:tab/>
        <w:t xml:space="preserve">the rule caters for a mistake in the proceedings; </w:t>
      </w:r>
    </w:p>
    <w:p w:rsidR="00E9131F" w:rsidRPr="005D5A04" w:rsidRDefault="006C6248" w:rsidP="00555295">
      <w:pPr>
        <w:spacing w:line="360" w:lineRule="auto"/>
        <w:ind w:left="720" w:hanging="720"/>
        <w:jc w:val="both"/>
        <w:rPr>
          <w:rFonts w:ascii="Arial" w:hAnsi="Arial" w:cs="Arial"/>
          <w:i/>
          <w:sz w:val="22"/>
          <w:szCs w:val="22"/>
        </w:rPr>
      </w:pPr>
      <w:r>
        <w:rPr>
          <w:rFonts w:ascii="Arial" w:hAnsi="Arial" w:cs="Arial"/>
          <w:sz w:val="22"/>
          <w:szCs w:val="22"/>
        </w:rPr>
        <w:t>[11.4]</w:t>
      </w:r>
      <w:r w:rsidR="00CF2153" w:rsidRPr="005D5A04">
        <w:rPr>
          <w:rFonts w:ascii="Arial" w:hAnsi="Arial" w:cs="Arial"/>
          <w:sz w:val="22"/>
          <w:szCs w:val="22"/>
        </w:rPr>
        <w:tab/>
        <w:t>the mistake may either be</w:t>
      </w:r>
      <w:r w:rsidR="00E9131F" w:rsidRPr="005D5A04">
        <w:rPr>
          <w:rFonts w:ascii="Arial" w:hAnsi="Arial" w:cs="Arial"/>
          <w:sz w:val="22"/>
          <w:szCs w:val="22"/>
        </w:rPr>
        <w:t xml:space="preserve"> one which appears on the record of proceedings </w:t>
      </w:r>
      <w:r w:rsidR="00E9131F" w:rsidRPr="005D5A04">
        <w:rPr>
          <w:rFonts w:ascii="Arial" w:hAnsi="Arial" w:cs="Arial"/>
          <w:i/>
          <w:sz w:val="22"/>
          <w:szCs w:val="22"/>
        </w:rPr>
        <w:t>or one which subsequently becomes apparent from the information made available in an application for rescission of judgment</w:t>
      </w:r>
      <w:r w:rsidR="0027490A" w:rsidRPr="005D5A04">
        <w:rPr>
          <w:rFonts w:ascii="Arial" w:hAnsi="Arial" w:cs="Arial"/>
          <w:i/>
          <w:sz w:val="22"/>
          <w:szCs w:val="22"/>
        </w:rPr>
        <w:t>;</w:t>
      </w:r>
    </w:p>
    <w:p w:rsidR="000570BE" w:rsidRPr="005D5A04" w:rsidRDefault="006C6248" w:rsidP="00555295">
      <w:pPr>
        <w:spacing w:line="360" w:lineRule="auto"/>
        <w:ind w:left="720" w:hanging="720"/>
        <w:jc w:val="both"/>
        <w:rPr>
          <w:rFonts w:ascii="Arial" w:hAnsi="Arial" w:cs="Arial"/>
          <w:sz w:val="22"/>
          <w:szCs w:val="22"/>
        </w:rPr>
      </w:pPr>
      <w:r>
        <w:rPr>
          <w:rFonts w:ascii="Arial" w:hAnsi="Arial" w:cs="Arial"/>
          <w:sz w:val="22"/>
          <w:szCs w:val="22"/>
        </w:rPr>
        <w:t>[11.5]</w:t>
      </w:r>
      <w:r w:rsidR="000570BE" w:rsidRPr="005D5A04">
        <w:rPr>
          <w:rFonts w:ascii="Arial" w:hAnsi="Arial" w:cs="Arial"/>
          <w:sz w:val="22"/>
          <w:szCs w:val="22"/>
        </w:rPr>
        <w:tab/>
        <w:t>a judgment cannot be said to have been granted</w:t>
      </w:r>
      <w:r w:rsidR="00CF2153" w:rsidRPr="005D5A04">
        <w:rPr>
          <w:rFonts w:ascii="Arial" w:hAnsi="Arial" w:cs="Arial"/>
          <w:sz w:val="22"/>
          <w:szCs w:val="22"/>
        </w:rPr>
        <w:t xml:space="preserve"> erroneously in the light of a</w:t>
      </w:r>
      <w:r w:rsidR="000570BE" w:rsidRPr="005D5A04">
        <w:rPr>
          <w:rFonts w:ascii="Arial" w:hAnsi="Arial" w:cs="Arial"/>
          <w:sz w:val="22"/>
          <w:szCs w:val="22"/>
        </w:rPr>
        <w:t xml:space="preserve"> subsequent</w:t>
      </w:r>
      <w:r w:rsidR="00CF2153" w:rsidRPr="005D5A04">
        <w:rPr>
          <w:rFonts w:ascii="Arial" w:hAnsi="Arial" w:cs="Arial"/>
          <w:sz w:val="22"/>
          <w:szCs w:val="22"/>
        </w:rPr>
        <w:t>ly</w:t>
      </w:r>
      <w:r w:rsidR="000570BE" w:rsidRPr="005D5A04">
        <w:rPr>
          <w:rFonts w:ascii="Arial" w:hAnsi="Arial" w:cs="Arial"/>
          <w:sz w:val="22"/>
          <w:szCs w:val="22"/>
        </w:rPr>
        <w:t xml:space="preserve"> disclosed defence which was not known or raised at the time of default judgment;</w:t>
      </w:r>
    </w:p>
    <w:p w:rsidR="000570BE" w:rsidRPr="005D5A04" w:rsidRDefault="006C6248" w:rsidP="00555295">
      <w:pPr>
        <w:spacing w:line="360" w:lineRule="auto"/>
        <w:ind w:left="720" w:hanging="720"/>
        <w:jc w:val="both"/>
        <w:rPr>
          <w:rFonts w:ascii="Arial" w:hAnsi="Arial" w:cs="Arial"/>
          <w:sz w:val="22"/>
          <w:szCs w:val="22"/>
        </w:rPr>
      </w:pPr>
      <w:r>
        <w:rPr>
          <w:rFonts w:ascii="Arial" w:hAnsi="Arial" w:cs="Arial"/>
          <w:sz w:val="22"/>
          <w:szCs w:val="22"/>
        </w:rPr>
        <w:t>[11.6]</w:t>
      </w:r>
      <w:r w:rsidR="000570BE" w:rsidRPr="005D5A04">
        <w:rPr>
          <w:rFonts w:ascii="Arial" w:hAnsi="Arial" w:cs="Arial"/>
          <w:sz w:val="22"/>
          <w:szCs w:val="22"/>
        </w:rPr>
        <w:tab/>
      </w:r>
      <w:r w:rsidR="000570BE" w:rsidRPr="005D5A04">
        <w:rPr>
          <w:rFonts w:ascii="Arial" w:hAnsi="Arial" w:cs="Arial"/>
          <w:i/>
          <w:sz w:val="22"/>
          <w:szCs w:val="22"/>
        </w:rPr>
        <w:t xml:space="preserve">the error may arise either in the process of seeking the judgment </w:t>
      </w:r>
      <w:r w:rsidR="00860C3B" w:rsidRPr="005D5A04">
        <w:rPr>
          <w:rFonts w:ascii="Arial" w:hAnsi="Arial" w:cs="Arial"/>
          <w:i/>
          <w:sz w:val="22"/>
          <w:szCs w:val="22"/>
        </w:rPr>
        <w:t xml:space="preserve">on the part of the applicant </w:t>
      </w:r>
      <w:r w:rsidR="000570BE" w:rsidRPr="005D5A04">
        <w:rPr>
          <w:rFonts w:ascii="Arial" w:hAnsi="Arial" w:cs="Arial"/>
          <w:i/>
          <w:sz w:val="22"/>
          <w:szCs w:val="22"/>
        </w:rPr>
        <w:t xml:space="preserve">for default </w:t>
      </w:r>
      <w:r w:rsidR="00860C3B" w:rsidRPr="005D5A04">
        <w:rPr>
          <w:rFonts w:ascii="Arial" w:hAnsi="Arial" w:cs="Arial"/>
          <w:i/>
          <w:sz w:val="22"/>
          <w:szCs w:val="22"/>
        </w:rPr>
        <w:t xml:space="preserve">judgment </w:t>
      </w:r>
      <w:r w:rsidR="000570BE" w:rsidRPr="005D5A04">
        <w:rPr>
          <w:rFonts w:ascii="Arial" w:hAnsi="Arial" w:cs="Arial"/>
          <w:i/>
          <w:sz w:val="22"/>
          <w:szCs w:val="22"/>
        </w:rPr>
        <w:t>or in the process of granting default judgment on the part of the court</w:t>
      </w:r>
      <w:r w:rsidR="0027490A" w:rsidRPr="005D5A04">
        <w:rPr>
          <w:rFonts w:ascii="Arial" w:hAnsi="Arial" w:cs="Arial"/>
          <w:sz w:val="22"/>
          <w:szCs w:val="22"/>
        </w:rPr>
        <w:t>;</w:t>
      </w:r>
      <w:r w:rsidR="000570BE" w:rsidRPr="005D5A04">
        <w:rPr>
          <w:rFonts w:ascii="Arial" w:hAnsi="Arial" w:cs="Arial"/>
          <w:sz w:val="22"/>
          <w:szCs w:val="22"/>
        </w:rPr>
        <w:t xml:space="preserve"> </w:t>
      </w:r>
      <w:r w:rsidR="00567277">
        <w:rPr>
          <w:rFonts w:ascii="Arial" w:hAnsi="Arial" w:cs="Arial"/>
          <w:sz w:val="22"/>
          <w:szCs w:val="22"/>
        </w:rPr>
        <w:t>and</w:t>
      </w:r>
    </w:p>
    <w:p w:rsidR="005D5A04" w:rsidRPr="005D5A04" w:rsidRDefault="006C6248" w:rsidP="0027490A">
      <w:pPr>
        <w:spacing w:line="360" w:lineRule="auto"/>
        <w:ind w:left="720" w:hanging="720"/>
        <w:jc w:val="both"/>
        <w:rPr>
          <w:rFonts w:ascii="Arial" w:hAnsi="Arial" w:cs="Arial"/>
          <w:sz w:val="22"/>
          <w:szCs w:val="22"/>
          <w:highlight w:val="yellow"/>
        </w:rPr>
      </w:pPr>
      <w:r>
        <w:rPr>
          <w:rFonts w:ascii="Arial" w:hAnsi="Arial" w:cs="Arial"/>
          <w:sz w:val="22"/>
          <w:szCs w:val="22"/>
        </w:rPr>
        <w:t>[11.7]</w:t>
      </w:r>
      <w:r w:rsidR="000570BE" w:rsidRPr="005D5A04">
        <w:rPr>
          <w:rFonts w:ascii="Arial" w:hAnsi="Arial" w:cs="Arial"/>
          <w:sz w:val="22"/>
          <w:szCs w:val="22"/>
        </w:rPr>
        <w:tab/>
        <w:t>the applicant for rescission is not required to show</w:t>
      </w:r>
      <w:r w:rsidR="00ED6394" w:rsidRPr="005D5A04">
        <w:rPr>
          <w:rFonts w:ascii="Arial" w:hAnsi="Arial" w:cs="Arial"/>
          <w:sz w:val="22"/>
          <w:szCs w:val="22"/>
        </w:rPr>
        <w:t>,</w:t>
      </w:r>
      <w:r w:rsidR="000570BE" w:rsidRPr="005D5A04">
        <w:rPr>
          <w:rFonts w:ascii="Arial" w:hAnsi="Arial" w:cs="Arial"/>
          <w:sz w:val="22"/>
          <w:szCs w:val="22"/>
        </w:rPr>
        <w:t xml:space="preserve"> over and above the error, that there is good cause for the rescission as contemplated in rule 31(2)</w:t>
      </w:r>
      <w:r w:rsidR="000570BE" w:rsidRPr="00567277">
        <w:rPr>
          <w:rFonts w:ascii="Arial" w:hAnsi="Arial" w:cs="Arial"/>
          <w:i/>
          <w:sz w:val="22"/>
          <w:szCs w:val="22"/>
        </w:rPr>
        <w:t>(b)</w:t>
      </w:r>
      <w:r w:rsidR="000570BE" w:rsidRPr="005D5A04">
        <w:rPr>
          <w:rFonts w:ascii="Arial" w:hAnsi="Arial" w:cs="Arial"/>
          <w:sz w:val="22"/>
          <w:szCs w:val="22"/>
        </w:rPr>
        <w:t>.</w:t>
      </w:r>
      <w:r w:rsidR="005D5A04">
        <w:rPr>
          <w:rFonts w:ascii="Arial" w:hAnsi="Arial" w:cs="Arial"/>
          <w:sz w:val="22"/>
          <w:szCs w:val="22"/>
        </w:rPr>
        <w:t>’</w:t>
      </w:r>
      <w:r w:rsidR="009C7877" w:rsidRPr="005D5A04">
        <w:rPr>
          <w:rFonts w:ascii="Arial" w:hAnsi="Arial" w:cs="Arial"/>
          <w:sz w:val="22"/>
          <w:szCs w:val="22"/>
        </w:rPr>
        <w:t xml:space="preserve"> </w:t>
      </w:r>
      <w:r w:rsidR="0027490A" w:rsidRPr="005D5A04">
        <w:rPr>
          <w:rFonts w:ascii="Arial" w:hAnsi="Arial" w:cs="Arial"/>
          <w:sz w:val="22"/>
          <w:szCs w:val="22"/>
        </w:rPr>
        <w:t xml:space="preserve">(My </w:t>
      </w:r>
      <w:r w:rsidR="0027490A" w:rsidRPr="006C6248">
        <w:rPr>
          <w:rFonts w:ascii="Arial" w:hAnsi="Arial" w:cs="Arial"/>
          <w:sz w:val="22"/>
          <w:szCs w:val="22"/>
        </w:rPr>
        <w:t xml:space="preserve">emphasis.) </w:t>
      </w:r>
      <w:r w:rsidR="00725832">
        <w:rPr>
          <w:rFonts w:ascii="Arial" w:hAnsi="Arial" w:cs="Arial"/>
          <w:sz w:val="22"/>
          <w:szCs w:val="22"/>
        </w:rPr>
        <w:t>(Footnotes omitted.)</w:t>
      </w:r>
    </w:p>
    <w:p w:rsidR="002C7430" w:rsidRPr="00555295" w:rsidRDefault="002C7430" w:rsidP="00555295">
      <w:pPr>
        <w:spacing w:line="360" w:lineRule="auto"/>
        <w:ind w:left="720" w:hanging="720"/>
        <w:jc w:val="both"/>
        <w:rPr>
          <w:rFonts w:ascii="Arial" w:hAnsi="Arial" w:cs="Arial"/>
        </w:rPr>
      </w:pPr>
    </w:p>
    <w:p w:rsidR="002C7430" w:rsidRPr="00555295" w:rsidRDefault="002C7430" w:rsidP="00555295">
      <w:pPr>
        <w:spacing w:line="360" w:lineRule="auto"/>
        <w:jc w:val="both"/>
        <w:rPr>
          <w:rFonts w:ascii="Arial" w:hAnsi="Arial" w:cs="Arial"/>
        </w:rPr>
      </w:pPr>
      <w:r w:rsidRPr="00555295">
        <w:rPr>
          <w:rFonts w:ascii="Arial" w:hAnsi="Arial" w:cs="Arial"/>
        </w:rPr>
        <w:t>[66]</w:t>
      </w:r>
      <w:r w:rsidRPr="00555295">
        <w:rPr>
          <w:rFonts w:ascii="Arial" w:hAnsi="Arial" w:cs="Arial"/>
        </w:rPr>
        <w:tab/>
        <w:t>Unfortunately, it is not possible in</w:t>
      </w:r>
      <w:r w:rsidR="00416FD8" w:rsidRPr="00555295">
        <w:rPr>
          <w:rFonts w:ascii="Arial" w:hAnsi="Arial" w:cs="Arial"/>
        </w:rPr>
        <w:t xml:space="preserve"> the High Court to have a judgment</w:t>
      </w:r>
      <w:r w:rsidR="00AF1692" w:rsidRPr="00555295">
        <w:rPr>
          <w:rFonts w:ascii="Arial" w:hAnsi="Arial" w:cs="Arial"/>
        </w:rPr>
        <w:t xml:space="preserve"> set aside merely because both </w:t>
      </w:r>
      <w:r w:rsidRPr="00555295">
        <w:rPr>
          <w:rFonts w:ascii="Arial" w:hAnsi="Arial" w:cs="Arial"/>
        </w:rPr>
        <w:t>p</w:t>
      </w:r>
      <w:r w:rsidR="00AF1692" w:rsidRPr="00555295">
        <w:rPr>
          <w:rFonts w:ascii="Arial" w:hAnsi="Arial" w:cs="Arial"/>
        </w:rPr>
        <w:t>a</w:t>
      </w:r>
      <w:r w:rsidRPr="00555295">
        <w:rPr>
          <w:rFonts w:ascii="Arial" w:hAnsi="Arial" w:cs="Arial"/>
        </w:rPr>
        <w:t>rties consent to it.</w:t>
      </w:r>
      <w:r w:rsidR="005F0C01">
        <w:rPr>
          <w:rStyle w:val="FootnoteReference"/>
          <w:rFonts w:ascii="Arial" w:hAnsi="Arial" w:cs="Arial"/>
        </w:rPr>
        <w:footnoteReference w:id="35"/>
      </w:r>
      <w:r w:rsidRPr="00555295">
        <w:rPr>
          <w:rFonts w:ascii="Arial" w:hAnsi="Arial" w:cs="Arial"/>
        </w:rPr>
        <w:t xml:space="preserve"> </w:t>
      </w:r>
    </w:p>
    <w:p w:rsidR="00EC1041" w:rsidRPr="00555295" w:rsidRDefault="00EC1041" w:rsidP="00555295">
      <w:pPr>
        <w:spacing w:line="360" w:lineRule="auto"/>
        <w:jc w:val="both"/>
        <w:rPr>
          <w:rFonts w:ascii="Arial" w:hAnsi="Arial" w:cs="Arial"/>
        </w:rPr>
      </w:pPr>
    </w:p>
    <w:p w:rsidR="00AF1692" w:rsidRPr="00555295" w:rsidRDefault="00AF1692" w:rsidP="00555295">
      <w:pPr>
        <w:spacing w:line="360" w:lineRule="auto"/>
        <w:jc w:val="both"/>
        <w:rPr>
          <w:rFonts w:ascii="Arial" w:hAnsi="Arial" w:cs="Arial"/>
        </w:rPr>
      </w:pPr>
      <w:r w:rsidRPr="00555295">
        <w:rPr>
          <w:rFonts w:ascii="Arial" w:hAnsi="Arial" w:cs="Arial"/>
        </w:rPr>
        <w:t>[67]</w:t>
      </w:r>
      <w:r w:rsidRPr="00555295">
        <w:rPr>
          <w:rFonts w:ascii="Arial" w:hAnsi="Arial" w:cs="Arial"/>
        </w:rPr>
        <w:tab/>
        <w:t>Once the court holds that an order or judgment was erroneously sought or granted</w:t>
      </w:r>
      <w:r w:rsidR="004F0DB8" w:rsidRPr="00555295">
        <w:rPr>
          <w:rFonts w:ascii="Arial" w:hAnsi="Arial" w:cs="Arial"/>
        </w:rPr>
        <w:t>,</w:t>
      </w:r>
      <w:r w:rsidRPr="00555295">
        <w:rPr>
          <w:rFonts w:ascii="Arial" w:hAnsi="Arial" w:cs="Arial"/>
        </w:rPr>
        <w:t xml:space="preserve"> it should without further enquiry rescind or vary the order and it is not necessary for a </w:t>
      </w:r>
      <w:r w:rsidRPr="00555295">
        <w:rPr>
          <w:rFonts w:ascii="Arial" w:hAnsi="Arial" w:cs="Arial"/>
        </w:rPr>
        <w:lastRenderedPageBreak/>
        <w:t>party to show good cause for the sub-rule to apply</w:t>
      </w:r>
      <w:r w:rsidR="005F0C01">
        <w:rPr>
          <w:rFonts w:ascii="Arial" w:hAnsi="Arial" w:cs="Arial"/>
        </w:rPr>
        <w:t>.</w:t>
      </w:r>
      <w:r w:rsidR="005F0C01">
        <w:rPr>
          <w:rStyle w:val="FootnoteReference"/>
          <w:rFonts w:ascii="Arial" w:hAnsi="Arial" w:cs="Arial"/>
        </w:rPr>
        <w:footnoteReference w:id="36"/>
      </w:r>
      <w:r w:rsidRPr="00555295">
        <w:rPr>
          <w:rFonts w:ascii="Arial" w:hAnsi="Arial" w:cs="Arial"/>
        </w:rPr>
        <w:t xml:space="preserve"> </w:t>
      </w:r>
      <w:r w:rsidR="001A2168" w:rsidRPr="00555295">
        <w:rPr>
          <w:rFonts w:ascii="Arial" w:hAnsi="Arial" w:cs="Arial"/>
        </w:rPr>
        <w:t>In general terms</w:t>
      </w:r>
      <w:r w:rsidR="004F0DB8" w:rsidRPr="00555295">
        <w:rPr>
          <w:rFonts w:ascii="Arial" w:hAnsi="Arial" w:cs="Arial"/>
        </w:rPr>
        <w:t>,</w:t>
      </w:r>
      <w:r w:rsidR="001A2168" w:rsidRPr="00555295">
        <w:rPr>
          <w:rFonts w:ascii="Arial" w:hAnsi="Arial" w:cs="Arial"/>
        </w:rPr>
        <w:t xml:space="preserve"> a judgment is erroneously granted if there existed at the time of its issue a fact of which the court was unaware, which would have precluded the granting of the judgment and which would have induced the court, if aware of it, not to grant the judgment</w:t>
      </w:r>
      <w:r w:rsidR="005F0C01">
        <w:rPr>
          <w:rFonts w:ascii="Arial" w:hAnsi="Arial" w:cs="Arial"/>
        </w:rPr>
        <w:t>.</w:t>
      </w:r>
      <w:r w:rsidR="005F0C01">
        <w:rPr>
          <w:rStyle w:val="FootnoteReference"/>
          <w:rFonts w:ascii="Arial" w:hAnsi="Arial" w:cs="Arial"/>
        </w:rPr>
        <w:footnoteReference w:id="37"/>
      </w:r>
      <w:r w:rsidR="001A2168" w:rsidRPr="00555295">
        <w:rPr>
          <w:rFonts w:ascii="Arial" w:hAnsi="Arial" w:cs="Arial"/>
        </w:rPr>
        <w:t xml:space="preserve"> </w:t>
      </w:r>
    </w:p>
    <w:p w:rsidR="00156FC3" w:rsidRPr="00555295" w:rsidRDefault="00156FC3" w:rsidP="00555295">
      <w:pPr>
        <w:spacing w:line="360" w:lineRule="auto"/>
        <w:jc w:val="both"/>
        <w:rPr>
          <w:rFonts w:ascii="Arial" w:hAnsi="Arial" w:cs="Arial"/>
        </w:rPr>
      </w:pPr>
    </w:p>
    <w:p w:rsidR="00D31F6D" w:rsidRPr="00555295" w:rsidRDefault="00D31F6D" w:rsidP="00555295">
      <w:pPr>
        <w:spacing w:line="360" w:lineRule="auto"/>
        <w:jc w:val="both"/>
        <w:rPr>
          <w:rFonts w:ascii="Arial" w:hAnsi="Arial" w:cs="Arial"/>
        </w:rPr>
      </w:pPr>
      <w:r w:rsidRPr="00555295">
        <w:rPr>
          <w:rFonts w:ascii="Arial" w:hAnsi="Arial" w:cs="Arial"/>
        </w:rPr>
        <w:t>[68]</w:t>
      </w:r>
      <w:r w:rsidRPr="00555295">
        <w:rPr>
          <w:rFonts w:ascii="Arial" w:hAnsi="Arial" w:cs="Arial"/>
        </w:rPr>
        <w:tab/>
        <w:t>An order or judgment is also erroneously granted if:</w:t>
      </w:r>
    </w:p>
    <w:p w:rsidR="00D31F6D" w:rsidRPr="0065430E" w:rsidRDefault="00D31F6D" w:rsidP="0027490A">
      <w:pPr>
        <w:spacing w:line="360" w:lineRule="auto"/>
        <w:ind w:left="720" w:hanging="720"/>
        <w:jc w:val="both"/>
        <w:rPr>
          <w:rFonts w:ascii="Arial" w:hAnsi="Arial" w:cs="Arial"/>
        </w:rPr>
      </w:pPr>
      <w:r w:rsidRPr="0065430E">
        <w:rPr>
          <w:rFonts w:ascii="Arial" w:hAnsi="Arial" w:cs="Arial"/>
        </w:rPr>
        <w:t>(a)</w:t>
      </w:r>
      <w:r w:rsidRPr="0065430E">
        <w:rPr>
          <w:rFonts w:ascii="Arial" w:hAnsi="Arial" w:cs="Arial"/>
        </w:rPr>
        <w:tab/>
        <w:t>there was an irregularity in the proceedings;</w:t>
      </w:r>
      <w:r w:rsidR="005F0C01">
        <w:rPr>
          <w:rStyle w:val="FootnoteReference"/>
          <w:rFonts w:ascii="Arial" w:hAnsi="Arial" w:cs="Arial"/>
        </w:rPr>
        <w:footnoteReference w:id="38"/>
      </w:r>
      <w:r w:rsidR="005F0C01">
        <w:rPr>
          <w:rFonts w:ascii="Arial" w:hAnsi="Arial" w:cs="Arial"/>
        </w:rPr>
        <w:t xml:space="preserve"> </w:t>
      </w:r>
      <w:r w:rsidRPr="0065430E">
        <w:rPr>
          <w:rFonts w:ascii="Arial" w:hAnsi="Arial" w:cs="Arial"/>
        </w:rPr>
        <w:t xml:space="preserve">and </w:t>
      </w:r>
    </w:p>
    <w:p w:rsidR="0065430E" w:rsidRPr="00741312" w:rsidRDefault="00D31F6D" w:rsidP="0027490A">
      <w:pPr>
        <w:spacing w:line="360" w:lineRule="auto"/>
        <w:ind w:left="720" w:hanging="720"/>
        <w:jc w:val="both"/>
        <w:rPr>
          <w:rFonts w:ascii="Arial" w:hAnsi="Arial" w:cs="Arial"/>
        </w:rPr>
      </w:pPr>
      <w:r w:rsidRPr="00741312">
        <w:rPr>
          <w:rFonts w:ascii="Arial" w:hAnsi="Arial" w:cs="Arial"/>
        </w:rPr>
        <w:t>(b)</w:t>
      </w:r>
      <w:r w:rsidRPr="00741312">
        <w:rPr>
          <w:rFonts w:ascii="Arial" w:hAnsi="Arial" w:cs="Arial"/>
        </w:rPr>
        <w:tab/>
        <w:t>if it was not legally competent for the court to h</w:t>
      </w:r>
      <w:r w:rsidR="0078034D" w:rsidRPr="00741312">
        <w:rPr>
          <w:rFonts w:ascii="Arial" w:hAnsi="Arial" w:cs="Arial"/>
        </w:rPr>
        <w:t>ave made</w:t>
      </w:r>
      <w:r w:rsidRPr="00741312">
        <w:rPr>
          <w:rFonts w:ascii="Arial" w:hAnsi="Arial" w:cs="Arial"/>
        </w:rPr>
        <w:t xml:space="preserve"> such an order</w:t>
      </w:r>
      <w:r w:rsidR="005F0C01">
        <w:rPr>
          <w:rFonts w:ascii="Arial" w:hAnsi="Arial" w:cs="Arial"/>
        </w:rPr>
        <w:t>.</w:t>
      </w:r>
      <w:r w:rsidR="005F0C01">
        <w:rPr>
          <w:rStyle w:val="FootnoteReference"/>
          <w:rFonts w:ascii="Arial" w:hAnsi="Arial" w:cs="Arial"/>
        </w:rPr>
        <w:footnoteReference w:id="39"/>
      </w:r>
      <w:r w:rsidRPr="00741312">
        <w:rPr>
          <w:rFonts w:ascii="Arial" w:hAnsi="Arial" w:cs="Arial"/>
        </w:rPr>
        <w:t xml:space="preserve"> </w:t>
      </w:r>
      <w:r w:rsidR="0078034D" w:rsidRPr="00741312">
        <w:rPr>
          <w:rFonts w:ascii="Arial" w:hAnsi="Arial" w:cs="Arial"/>
        </w:rPr>
        <w:t xml:space="preserve"> </w:t>
      </w:r>
    </w:p>
    <w:p w:rsidR="00156FC3" w:rsidRPr="00555295" w:rsidRDefault="0078034D" w:rsidP="0065430E">
      <w:pPr>
        <w:spacing w:line="360" w:lineRule="auto"/>
        <w:jc w:val="both"/>
        <w:rPr>
          <w:rFonts w:ascii="Arial" w:hAnsi="Arial" w:cs="Arial"/>
        </w:rPr>
      </w:pPr>
      <w:r w:rsidRPr="001C5B27">
        <w:rPr>
          <w:rFonts w:ascii="Arial" w:hAnsi="Arial" w:cs="Arial"/>
        </w:rPr>
        <w:t>Though</w:t>
      </w:r>
      <w:r w:rsidR="00915BA5" w:rsidRPr="001C5B27">
        <w:rPr>
          <w:rFonts w:ascii="Arial" w:hAnsi="Arial" w:cs="Arial"/>
        </w:rPr>
        <w:t>,</w:t>
      </w:r>
      <w:r w:rsidR="00D31F6D" w:rsidRPr="001C5B27">
        <w:rPr>
          <w:rFonts w:ascii="Arial" w:hAnsi="Arial" w:cs="Arial"/>
        </w:rPr>
        <w:t xml:space="preserve"> in most cases the error concerned would be apparent from the record of the proceedings, it has been held that in deciding whether a judgment was erroneously granted a court is not confined to the </w:t>
      </w:r>
      <w:r w:rsidR="0018202A" w:rsidRPr="001C5B27">
        <w:rPr>
          <w:rFonts w:ascii="Arial" w:hAnsi="Arial" w:cs="Arial"/>
        </w:rPr>
        <w:t>record of the proceedings</w:t>
      </w:r>
      <w:r w:rsidR="005F0C01">
        <w:rPr>
          <w:rFonts w:ascii="Arial" w:hAnsi="Arial" w:cs="Arial"/>
        </w:rPr>
        <w:t>.</w:t>
      </w:r>
      <w:r w:rsidR="005F0C01">
        <w:rPr>
          <w:rStyle w:val="FootnoteReference"/>
          <w:rFonts w:ascii="Arial" w:hAnsi="Arial" w:cs="Arial"/>
        </w:rPr>
        <w:footnoteReference w:id="40"/>
      </w:r>
      <w:r w:rsidR="0018202A" w:rsidRPr="001C5B27">
        <w:rPr>
          <w:rFonts w:ascii="Arial" w:hAnsi="Arial" w:cs="Arial"/>
        </w:rPr>
        <w:t xml:space="preserve"> </w:t>
      </w:r>
    </w:p>
    <w:p w:rsidR="00E36D99" w:rsidRDefault="00E36D99" w:rsidP="00555295">
      <w:pPr>
        <w:spacing w:line="360" w:lineRule="auto"/>
        <w:jc w:val="both"/>
        <w:rPr>
          <w:rFonts w:ascii="Arial" w:hAnsi="Arial" w:cs="Arial"/>
          <w:b/>
          <w:i/>
        </w:rPr>
      </w:pPr>
    </w:p>
    <w:p w:rsidR="00156FC3" w:rsidRPr="0027490A" w:rsidRDefault="00156FC3" w:rsidP="00555295">
      <w:pPr>
        <w:spacing w:line="360" w:lineRule="auto"/>
        <w:jc w:val="both"/>
        <w:rPr>
          <w:rFonts w:ascii="Arial" w:hAnsi="Arial" w:cs="Arial"/>
          <w:b/>
          <w:i/>
        </w:rPr>
      </w:pPr>
      <w:r w:rsidRPr="0027490A">
        <w:rPr>
          <w:rFonts w:ascii="Arial" w:hAnsi="Arial" w:cs="Arial"/>
          <w:b/>
          <w:i/>
        </w:rPr>
        <w:t xml:space="preserve">Common </w:t>
      </w:r>
      <w:r w:rsidR="00084A98">
        <w:rPr>
          <w:rFonts w:ascii="Arial" w:hAnsi="Arial" w:cs="Arial"/>
          <w:b/>
          <w:i/>
        </w:rPr>
        <w:t>l</w:t>
      </w:r>
      <w:r w:rsidRPr="0027490A">
        <w:rPr>
          <w:rFonts w:ascii="Arial" w:hAnsi="Arial" w:cs="Arial"/>
          <w:b/>
          <w:i/>
        </w:rPr>
        <w:t>aw</w:t>
      </w:r>
    </w:p>
    <w:p w:rsidR="00156FC3" w:rsidRPr="00555295" w:rsidRDefault="00156FC3" w:rsidP="00555295">
      <w:pPr>
        <w:spacing w:line="360" w:lineRule="auto"/>
        <w:jc w:val="both"/>
        <w:rPr>
          <w:rFonts w:ascii="Arial" w:hAnsi="Arial" w:cs="Arial"/>
        </w:rPr>
      </w:pPr>
      <w:r w:rsidRPr="00555295">
        <w:rPr>
          <w:rFonts w:ascii="Arial" w:hAnsi="Arial" w:cs="Arial"/>
        </w:rPr>
        <w:t>[69]</w:t>
      </w:r>
      <w:r w:rsidRPr="00555295">
        <w:rPr>
          <w:rFonts w:ascii="Arial" w:hAnsi="Arial" w:cs="Arial"/>
        </w:rPr>
        <w:tab/>
        <w:t>Judgments may also be set aside at common la</w:t>
      </w:r>
      <w:r w:rsidR="00BF47BC" w:rsidRPr="00555295">
        <w:rPr>
          <w:rFonts w:ascii="Arial" w:hAnsi="Arial" w:cs="Arial"/>
        </w:rPr>
        <w:t>w in the following circumstance</w:t>
      </w:r>
      <w:r w:rsidR="0018202A" w:rsidRPr="00555295">
        <w:rPr>
          <w:rFonts w:ascii="Arial" w:hAnsi="Arial" w:cs="Arial"/>
        </w:rPr>
        <w:t>s</w:t>
      </w:r>
      <w:r w:rsidR="00BF47BC" w:rsidRPr="00555295">
        <w:rPr>
          <w:rFonts w:ascii="Arial" w:hAnsi="Arial" w:cs="Arial"/>
        </w:rPr>
        <w:t>:</w:t>
      </w:r>
      <w:r w:rsidR="00084A98">
        <w:rPr>
          <w:rStyle w:val="FootnoteReference"/>
          <w:rFonts w:ascii="Arial" w:hAnsi="Arial" w:cs="Arial"/>
        </w:rPr>
        <w:footnoteReference w:id="41"/>
      </w:r>
    </w:p>
    <w:p w:rsidR="00BF47BC" w:rsidRPr="00D84617" w:rsidRDefault="00EF76E0" w:rsidP="00555295">
      <w:pPr>
        <w:spacing w:line="360" w:lineRule="auto"/>
        <w:jc w:val="both"/>
        <w:rPr>
          <w:rFonts w:ascii="Arial" w:hAnsi="Arial" w:cs="Arial"/>
          <w:sz w:val="22"/>
          <w:szCs w:val="22"/>
          <w:u w:val="single"/>
        </w:rPr>
      </w:pPr>
      <w:r w:rsidRPr="00D84617">
        <w:rPr>
          <w:rFonts w:ascii="Arial" w:hAnsi="Arial" w:cs="Arial"/>
          <w:sz w:val="22"/>
          <w:szCs w:val="22"/>
        </w:rPr>
        <w:t>‘</w:t>
      </w:r>
      <w:r w:rsidR="00BF47BC" w:rsidRPr="00D84617">
        <w:rPr>
          <w:rFonts w:ascii="Arial" w:hAnsi="Arial" w:cs="Arial"/>
          <w:sz w:val="22"/>
          <w:szCs w:val="22"/>
        </w:rPr>
        <w:t>(a)</w:t>
      </w:r>
      <w:r w:rsidR="00BF47BC" w:rsidRPr="00D84617">
        <w:rPr>
          <w:rFonts w:ascii="Arial" w:hAnsi="Arial" w:cs="Arial"/>
          <w:sz w:val="22"/>
          <w:szCs w:val="22"/>
        </w:rPr>
        <w:tab/>
      </w:r>
      <w:r w:rsidR="00BF47BC" w:rsidRPr="00D84617">
        <w:rPr>
          <w:rFonts w:ascii="Arial" w:hAnsi="Arial" w:cs="Arial"/>
          <w:i/>
          <w:sz w:val="22"/>
          <w:szCs w:val="22"/>
        </w:rPr>
        <w:t>fraud</w:t>
      </w:r>
      <w:r w:rsidR="00BF47BC" w:rsidRPr="00D84617">
        <w:rPr>
          <w:rFonts w:ascii="Arial" w:hAnsi="Arial" w:cs="Arial"/>
          <w:sz w:val="22"/>
          <w:szCs w:val="22"/>
        </w:rPr>
        <w:t>;</w:t>
      </w:r>
    </w:p>
    <w:p w:rsidR="00BF47BC" w:rsidRPr="00D84617" w:rsidRDefault="0018202A" w:rsidP="00555295">
      <w:pPr>
        <w:spacing w:line="360" w:lineRule="auto"/>
        <w:jc w:val="both"/>
        <w:rPr>
          <w:rFonts w:ascii="Arial" w:hAnsi="Arial" w:cs="Arial"/>
          <w:sz w:val="22"/>
          <w:szCs w:val="22"/>
        </w:rPr>
      </w:pPr>
      <w:r w:rsidRPr="00D84617">
        <w:rPr>
          <w:rFonts w:ascii="Arial" w:hAnsi="Arial" w:cs="Arial"/>
          <w:sz w:val="22"/>
          <w:szCs w:val="22"/>
        </w:rPr>
        <w:t>(b)</w:t>
      </w:r>
      <w:r w:rsidRPr="00D84617">
        <w:rPr>
          <w:rFonts w:ascii="Arial" w:hAnsi="Arial" w:cs="Arial"/>
          <w:sz w:val="22"/>
          <w:szCs w:val="22"/>
        </w:rPr>
        <w:tab/>
        <w:t>j</w:t>
      </w:r>
      <w:r w:rsidR="00BF47BC" w:rsidRPr="00D84617">
        <w:rPr>
          <w:rFonts w:ascii="Arial" w:hAnsi="Arial" w:cs="Arial"/>
          <w:sz w:val="22"/>
          <w:szCs w:val="22"/>
        </w:rPr>
        <w:t>ustus error (on rare occasions)</w:t>
      </w:r>
      <w:r w:rsidR="001C5B27" w:rsidRPr="00D84617">
        <w:rPr>
          <w:rFonts w:ascii="Arial" w:hAnsi="Arial" w:cs="Arial"/>
          <w:sz w:val="22"/>
          <w:szCs w:val="22"/>
        </w:rPr>
        <w:t>;</w:t>
      </w:r>
    </w:p>
    <w:p w:rsidR="00BF47BC" w:rsidRPr="00D84617" w:rsidRDefault="00BF47BC" w:rsidP="00555295">
      <w:pPr>
        <w:spacing w:line="360" w:lineRule="auto"/>
        <w:ind w:left="720" w:hanging="720"/>
        <w:jc w:val="both"/>
        <w:rPr>
          <w:rFonts w:ascii="Arial" w:hAnsi="Arial" w:cs="Arial"/>
          <w:sz w:val="22"/>
          <w:szCs w:val="22"/>
        </w:rPr>
      </w:pPr>
      <w:r w:rsidRPr="00D84617">
        <w:rPr>
          <w:rFonts w:ascii="Arial" w:hAnsi="Arial" w:cs="Arial"/>
          <w:sz w:val="22"/>
          <w:szCs w:val="22"/>
        </w:rPr>
        <w:t>(c)</w:t>
      </w:r>
      <w:r w:rsidRPr="00D84617">
        <w:rPr>
          <w:rFonts w:ascii="Arial" w:hAnsi="Arial" w:cs="Arial"/>
          <w:sz w:val="22"/>
          <w:szCs w:val="22"/>
        </w:rPr>
        <w:tab/>
        <w:t xml:space="preserve">in certain exceptional circumstances when new documents have been discovered; </w:t>
      </w:r>
    </w:p>
    <w:p w:rsidR="00EF76E0" w:rsidRPr="00D84617" w:rsidRDefault="00BF47BC" w:rsidP="00555295">
      <w:pPr>
        <w:spacing w:line="360" w:lineRule="auto"/>
        <w:ind w:left="720" w:hanging="720"/>
        <w:jc w:val="both"/>
        <w:rPr>
          <w:rFonts w:ascii="Arial" w:hAnsi="Arial" w:cs="Arial"/>
          <w:sz w:val="22"/>
          <w:szCs w:val="22"/>
        </w:rPr>
      </w:pPr>
      <w:r w:rsidRPr="00D84617">
        <w:rPr>
          <w:rFonts w:ascii="Arial" w:hAnsi="Arial" w:cs="Arial"/>
          <w:sz w:val="22"/>
          <w:szCs w:val="22"/>
        </w:rPr>
        <w:t>(d)</w:t>
      </w:r>
      <w:r w:rsidRPr="00D84617">
        <w:rPr>
          <w:rFonts w:ascii="Arial" w:hAnsi="Arial" w:cs="Arial"/>
          <w:sz w:val="22"/>
          <w:szCs w:val="22"/>
        </w:rPr>
        <w:tab/>
      </w:r>
      <w:r w:rsidRPr="00D84617">
        <w:rPr>
          <w:rFonts w:ascii="Arial" w:hAnsi="Arial" w:cs="Arial"/>
          <w:i/>
          <w:sz w:val="22"/>
          <w:szCs w:val="22"/>
        </w:rPr>
        <w:t>where judgment has been granted by default</w:t>
      </w:r>
      <w:r w:rsidR="00EF76E0" w:rsidRPr="00D84617">
        <w:rPr>
          <w:rFonts w:ascii="Arial" w:hAnsi="Arial" w:cs="Arial"/>
          <w:i/>
          <w:sz w:val="22"/>
          <w:szCs w:val="22"/>
        </w:rPr>
        <w:t xml:space="preserve">; </w:t>
      </w:r>
      <w:r w:rsidR="00EF76E0" w:rsidRPr="00D84617">
        <w:rPr>
          <w:rFonts w:ascii="Arial" w:hAnsi="Arial" w:cs="Arial"/>
          <w:sz w:val="22"/>
          <w:szCs w:val="22"/>
        </w:rPr>
        <w:t>and</w:t>
      </w:r>
      <w:r w:rsidR="00A4090B" w:rsidRPr="00D84617">
        <w:rPr>
          <w:rFonts w:ascii="Arial" w:hAnsi="Arial" w:cs="Arial"/>
          <w:sz w:val="22"/>
          <w:szCs w:val="22"/>
        </w:rPr>
        <w:t>.</w:t>
      </w:r>
      <w:r w:rsidRPr="00D84617">
        <w:rPr>
          <w:rFonts w:ascii="Arial" w:hAnsi="Arial" w:cs="Arial"/>
          <w:sz w:val="22"/>
          <w:szCs w:val="22"/>
        </w:rPr>
        <w:t xml:space="preserve"> </w:t>
      </w:r>
    </w:p>
    <w:p w:rsidR="00BF47BC" w:rsidRPr="00EF76E0" w:rsidRDefault="00EF76E0" w:rsidP="00555295">
      <w:pPr>
        <w:spacing w:line="360" w:lineRule="auto"/>
        <w:ind w:left="720" w:hanging="720"/>
        <w:jc w:val="both"/>
        <w:rPr>
          <w:rFonts w:ascii="Arial" w:hAnsi="Arial" w:cs="Arial"/>
          <w:sz w:val="22"/>
          <w:szCs w:val="22"/>
        </w:rPr>
      </w:pPr>
      <w:r w:rsidRPr="00D84617">
        <w:rPr>
          <w:rFonts w:ascii="Arial" w:hAnsi="Arial" w:cs="Arial"/>
          <w:sz w:val="22"/>
          <w:szCs w:val="22"/>
        </w:rPr>
        <w:t>(e)</w:t>
      </w:r>
      <w:r w:rsidRPr="00D84617">
        <w:rPr>
          <w:rFonts w:ascii="Arial" w:hAnsi="Arial" w:cs="Arial"/>
          <w:sz w:val="22"/>
          <w:szCs w:val="22"/>
        </w:rPr>
        <w:tab/>
      </w:r>
      <w:r w:rsidRPr="00D84617">
        <w:rPr>
          <w:rFonts w:ascii="Arial" w:hAnsi="Arial" w:cs="Arial"/>
          <w:color w:val="000000"/>
          <w:sz w:val="22"/>
          <w:szCs w:val="22"/>
        </w:rPr>
        <w:t>in the absence between the parties of a valid agreement to support the judgment, on the grounds of </w:t>
      </w:r>
      <w:r w:rsidRPr="00D84617">
        <w:rPr>
          <w:rFonts w:ascii="Arial" w:hAnsi="Arial" w:cs="Arial"/>
          <w:iCs/>
          <w:color w:val="000000"/>
          <w:sz w:val="22"/>
          <w:szCs w:val="22"/>
        </w:rPr>
        <w:t>justa causa</w:t>
      </w:r>
      <w:r w:rsidRPr="00D84617">
        <w:rPr>
          <w:rFonts w:ascii="Arial" w:hAnsi="Arial" w:cs="Arial"/>
          <w:color w:val="000000"/>
          <w:sz w:val="22"/>
          <w:szCs w:val="22"/>
        </w:rPr>
        <w:t>.’</w:t>
      </w:r>
      <w:r w:rsidRPr="00D84617">
        <w:rPr>
          <w:rFonts w:ascii="Arial" w:hAnsi="Arial" w:cs="Arial"/>
          <w:sz w:val="22"/>
          <w:szCs w:val="22"/>
        </w:rPr>
        <w:t xml:space="preserve"> </w:t>
      </w:r>
      <w:r w:rsidR="00BF47BC" w:rsidRPr="00D84617">
        <w:rPr>
          <w:rFonts w:ascii="Arial" w:hAnsi="Arial" w:cs="Arial"/>
          <w:sz w:val="22"/>
          <w:szCs w:val="22"/>
        </w:rPr>
        <w:t>(</w:t>
      </w:r>
      <w:r w:rsidR="00A4090B" w:rsidRPr="00D84617">
        <w:rPr>
          <w:rFonts w:ascii="Arial" w:hAnsi="Arial" w:cs="Arial"/>
          <w:sz w:val="22"/>
          <w:szCs w:val="22"/>
        </w:rPr>
        <w:t>M</w:t>
      </w:r>
      <w:r w:rsidR="00BF47BC" w:rsidRPr="00D84617">
        <w:rPr>
          <w:rFonts w:ascii="Arial" w:hAnsi="Arial" w:cs="Arial"/>
          <w:sz w:val="22"/>
          <w:szCs w:val="22"/>
        </w:rPr>
        <w:t>y emphasis</w:t>
      </w:r>
      <w:r w:rsidR="00A4090B" w:rsidRPr="00D84617">
        <w:rPr>
          <w:rFonts w:ascii="Arial" w:hAnsi="Arial" w:cs="Arial"/>
          <w:sz w:val="22"/>
          <w:szCs w:val="22"/>
        </w:rPr>
        <w:t>.</w:t>
      </w:r>
      <w:r w:rsidR="00BF47BC" w:rsidRPr="00D84617">
        <w:rPr>
          <w:rFonts w:ascii="Arial" w:hAnsi="Arial" w:cs="Arial"/>
          <w:sz w:val="22"/>
          <w:szCs w:val="22"/>
        </w:rPr>
        <w:t xml:space="preserve">) </w:t>
      </w:r>
      <w:r w:rsidRPr="00D84617">
        <w:rPr>
          <w:rFonts w:ascii="Arial" w:hAnsi="Arial" w:cs="Arial"/>
          <w:sz w:val="22"/>
          <w:szCs w:val="22"/>
        </w:rPr>
        <w:t>(</w:t>
      </w:r>
      <w:r w:rsidR="0022564A">
        <w:rPr>
          <w:rFonts w:ascii="Arial" w:hAnsi="Arial" w:cs="Arial"/>
          <w:sz w:val="22"/>
          <w:szCs w:val="22"/>
        </w:rPr>
        <w:t>Footnotes</w:t>
      </w:r>
      <w:r w:rsidRPr="00D84617">
        <w:rPr>
          <w:rFonts w:ascii="Arial" w:hAnsi="Arial" w:cs="Arial"/>
          <w:sz w:val="22"/>
          <w:szCs w:val="22"/>
        </w:rPr>
        <w:t xml:space="preserve"> omitted.)</w:t>
      </w:r>
    </w:p>
    <w:p w:rsidR="00D11624" w:rsidRPr="00555295" w:rsidRDefault="00D11624" w:rsidP="00555295">
      <w:pPr>
        <w:spacing w:line="360" w:lineRule="auto"/>
        <w:ind w:left="720" w:hanging="720"/>
        <w:jc w:val="both"/>
        <w:rPr>
          <w:rFonts w:ascii="Arial" w:hAnsi="Arial" w:cs="Arial"/>
        </w:rPr>
      </w:pPr>
    </w:p>
    <w:p w:rsidR="0045522B" w:rsidRPr="00555295" w:rsidRDefault="0045522B" w:rsidP="00555295">
      <w:pPr>
        <w:spacing w:line="360" w:lineRule="auto"/>
        <w:ind w:left="720" w:hanging="720"/>
        <w:jc w:val="both"/>
        <w:rPr>
          <w:rFonts w:ascii="Arial" w:hAnsi="Arial" w:cs="Arial"/>
        </w:rPr>
      </w:pPr>
      <w:r w:rsidRPr="00555295">
        <w:rPr>
          <w:rFonts w:ascii="Arial" w:hAnsi="Arial" w:cs="Arial"/>
        </w:rPr>
        <w:t>[70]</w:t>
      </w:r>
      <w:r w:rsidRPr="00555295">
        <w:rPr>
          <w:rFonts w:ascii="Arial" w:hAnsi="Arial" w:cs="Arial"/>
        </w:rPr>
        <w:tab/>
        <w:t>In relation to fraud, to have a judgment set aside a party must prove that:</w:t>
      </w:r>
    </w:p>
    <w:p w:rsidR="0045522B" w:rsidRPr="00555295" w:rsidRDefault="0045522B" w:rsidP="00555295">
      <w:pPr>
        <w:spacing w:line="360" w:lineRule="auto"/>
        <w:ind w:left="720" w:hanging="720"/>
        <w:jc w:val="both"/>
        <w:rPr>
          <w:rFonts w:ascii="Arial" w:hAnsi="Arial" w:cs="Arial"/>
        </w:rPr>
      </w:pPr>
      <w:r w:rsidRPr="00555295">
        <w:rPr>
          <w:rFonts w:ascii="Arial" w:hAnsi="Arial" w:cs="Arial"/>
        </w:rPr>
        <w:t>(a)</w:t>
      </w:r>
      <w:r w:rsidRPr="00555295">
        <w:rPr>
          <w:rFonts w:ascii="Arial" w:hAnsi="Arial" w:cs="Arial"/>
        </w:rPr>
        <w:tab/>
      </w:r>
      <w:r w:rsidRPr="004E3884">
        <w:rPr>
          <w:rFonts w:ascii="Arial" w:hAnsi="Arial" w:cs="Arial"/>
        </w:rPr>
        <w:t>the successful party (or someone to his</w:t>
      </w:r>
      <w:r w:rsidR="00970EAE">
        <w:rPr>
          <w:rFonts w:ascii="Arial" w:hAnsi="Arial" w:cs="Arial"/>
        </w:rPr>
        <w:t>/her</w:t>
      </w:r>
      <w:r w:rsidRPr="004E3884">
        <w:rPr>
          <w:rFonts w:ascii="Arial" w:hAnsi="Arial" w:cs="Arial"/>
        </w:rPr>
        <w:t xml:space="preserve"> knowledge), gave incorrect evidence</w:t>
      </w:r>
      <w:r w:rsidRPr="00555295">
        <w:rPr>
          <w:rFonts w:ascii="Arial" w:hAnsi="Arial" w:cs="Arial"/>
        </w:rPr>
        <w:t xml:space="preserve">; </w:t>
      </w:r>
    </w:p>
    <w:p w:rsidR="00BF47BC" w:rsidRPr="00555295" w:rsidRDefault="0045522B" w:rsidP="00555295">
      <w:pPr>
        <w:spacing w:line="360" w:lineRule="auto"/>
        <w:ind w:left="720" w:hanging="720"/>
        <w:jc w:val="both"/>
        <w:rPr>
          <w:rFonts w:ascii="Arial" w:hAnsi="Arial" w:cs="Arial"/>
        </w:rPr>
      </w:pPr>
      <w:r w:rsidRPr="00555295">
        <w:rPr>
          <w:rFonts w:ascii="Arial" w:hAnsi="Arial" w:cs="Arial"/>
        </w:rPr>
        <w:lastRenderedPageBreak/>
        <w:t>(b)</w:t>
      </w:r>
      <w:r w:rsidRPr="00555295">
        <w:rPr>
          <w:rFonts w:ascii="Arial" w:hAnsi="Arial" w:cs="Arial"/>
        </w:rPr>
        <w:tab/>
        <w:t xml:space="preserve">that the evidence was given fraudulently </w:t>
      </w:r>
      <w:r w:rsidR="00D11624" w:rsidRPr="00555295">
        <w:rPr>
          <w:rFonts w:ascii="Arial" w:hAnsi="Arial" w:cs="Arial"/>
        </w:rPr>
        <w:t xml:space="preserve">and </w:t>
      </w:r>
      <w:r w:rsidRPr="00555295">
        <w:rPr>
          <w:rFonts w:ascii="Arial" w:hAnsi="Arial" w:cs="Arial"/>
        </w:rPr>
        <w:t>wi</w:t>
      </w:r>
      <w:r w:rsidR="00D11624" w:rsidRPr="00555295">
        <w:rPr>
          <w:rFonts w:ascii="Arial" w:hAnsi="Arial" w:cs="Arial"/>
        </w:rPr>
        <w:t>th intent to mislead the court; and</w:t>
      </w:r>
    </w:p>
    <w:p w:rsidR="00B32813" w:rsidRDefault="0045522B" w:rsidP="00B32813">
      <w:pPr>
        <w:spacing w:line="360" w:lineRule="auto"/>
        <w:ind w:left="720" w:hanging="720"/>
        <w:jc w:val="both"/>
        <w:rPr>
          <w:rFonts w:ascii="Arial" w:hAnsi="Arial" w:cs="Arial"/>
        </w:rPr>
      </w:pPr>
      <w:r w:rsidRPr="00555295">
        <w:rPr>
          <w:rFonts w:ascii="Arial" w:hAnsi="Arial" w:cs="Arial"/>
        </w:rPr>
        <w:t>(c)</w:t>
      </w:r>
      <w:r w:rsidRPr="00555295">
        <w:rPr>
          <w:rFonts w:ascii="Arial" w:hAnsi="Arial" w:cs="Arial"/>
        </w:rPr>
        <w:tab/>
        <w:t>that the false evidence was the cause of the unfavourable judgment</w:t>
      </w:r>
      <w:r w:rsidR="005F0C01">
        <w:rPr>
          <w:rFonts w:ascii="Arial" w:hAnsi="Arial" w:cs="Arial"/>
        </w:rPr>
        <w:t>.</w:t>
      </w:r>
      <w:r w:rsidR="005F0C01">
        <w:rPr>
          <w:rStyle w:val="FootnoteReference"/>
          <w:rFonts w:ascii="Arial" w:hAnsi="Arial" w:cs="Arial"/>
        </w:rPr>
        <w:footnoteReference w:id="42"/>
      </w:r>
      <w:r w:rsidRPr="00555295">
        <w:rPr>
          <w:rFonts w:ascii="Arial" w:hAnsi="Arial" w:cs="Arial"/>
        </w:rPr>
        <w:t xml:space="preserve"> </w:t>
      </w:r>
    </w:p>
    <w:p w:rsidR="00A365E3" w:rsidRPr="00555295" w:rsidRDefault="00A365E3" w:rsidP="00555295">
      <w:pPr>
        <w:spacing w:line="360" w:lineRule="auto"/>
        <w:jc w:val="both"/>
        <w:rPr>
          <w:rFonts w:ascii="Arial" w:hAnsi="Arial" w:cs="Arial"/>
        </w:rPr>
      </w:pPr>
      <w:r w:rsidRPr="00555295">
        <w:rPr>
          <w:rFonts w:ascii="Arial" w:hAnsi="Arial" w:cs="Arial"/>
        </w:rPr>
        <w:t>[71]</w:t>
      </w:r>
      <w:r w:rsidRPr="00555295">
        <w:rPr>
          <w:rFonts w:ascii="Arial" w:hAnsi="Arial" w:cs="Arial"/>
        </w:rPr>
        <w:tab/>
        <w:t>A court has power to rescind a judgment obtained on default of appearance</w:t>
      </w:r>
      <w:r w:rsidR="00915BA5" w:rsidRPr="00555295">
        <w:rPr>
          <w:rFonts w:ascii="Arial" w:hAnsi="Arial" w:cs="Arial"/>
        </w:rPr>
        <w:t>,</w:t>
      </w:r>
      <w:r w:rsidRPr="00555295">
        <w:rPr>
          <w:rFonts w:ascii="Arial" w:hAnsi="Arial" w:cs="Arial"/>
        </w:rPr>
        <w:t xml:space="preserve"> provided that sufficient cause for rescission has been shown. This means the following requirement</w:t>
      </w:r>
      <w:r w:rsidR="00D11624" w:rsidRPr="00555295">
        <w:rPr>
          <w:rFonts w:ascii="Arial" w:hAnsi="Arial" w:cs="Arial"/>
        </w:rPr>
        <w:t>s</w:t>
      </w:r>
      <w:r w:rsidRPr="00555295">
        <w:rPr>
          <w:rFonts w:ascii="Arial" w:hAnsi="Arial" w:cs="Arial"/>
        </w:rPr>
        <w:t xml:space="preserve"> must be met:</w:t>
      </w:r>
    </w:p>
    <w:p w:rsidR="00A365E3" w:rsidRPr="00020342" w:rsidRDefault="00A365E3" w:rsidP="00555295">
      <w:pPr>
        <w:spacing w:line="360" w:lineRule="auto"/>
        <w:ind w:left="720" w:hanging="720"/>
        <w:jc w:val="both"/>
        <w:rPr>
          <w:rFonts w:ascii="Arial" w:hAnsi="Arial" w:cs="Arial"/>
        </w:rPr>
      </w:pPr>
      <w:r w:rsidRPr="00020342">
        <w:rPr>
          <w:rFonts w:ascii="Arial" w:hAnsi="Arial" w:cs="Arial"/>
        </w:rPr>
        <w:t>(a)</w:t>
      </w:r>
      <w:r w:rsidRPr="00020342">
        <w:rPr>
          <w:rFonts w:ascii="Arial" w:hAnsi="Arial" w:cs="Arial"/>
        </w:rPr>
        <w:tab/>
        <w:t>that the party seeking relief must present a reasonable and acceptable explanation for his</w:t>
      </w:r>
      <w:r w:rsidR="004E3884" w:rsidRPr="00020342">
        <w:rPr>
          <w:rFonts w:ascii="Arial" w:hAnsi="Arial" w:cs="Arial"/>
        </w:rPr>
        <w:t>/her</w:t>
      </w:r>
      <w:r w:rsidRPr="00020342">
        <w:rPr>
          <w:rFonts w:ascii="Arial" w:hAnsi="Arial" w:cs="Arial"/>
        </w:rPr>
        <w:t xml:space="preserve"> failure to appear (good cause); and </w:t>
      </w:r>
    </w:p>
    <w:p w:rsidR="00A365E3" w:rsidRPr="00555295" w:rsidRDefault="00A365E3" w:rsidP="00555295">
      <w:pPr>
        <w:spacing w:line="360" w:lineRule="auto"/>
        <w:ind w:left="720" w:hanging="720"/>
        <w:jc w:val="both"/>
        <w:rPr>
          <w:rFonts w:ascii="Arial" w:hAnsi="Arial" w:cs="Arial"/>
        </w:rPr>
      </w:pPr>
      <w:r w:rsidRPr="00020342">
        <w:rPr>
          <w:rFonts w:ascii="Arial" w:hAnsi="Arial" w:cs="Arial"/>
        </w:rPr>
        <w:t>(b)</w:t>
      </w:r>
      <w:r w:rsidRPr="00020342">
        <w:rPr>
          <w:rFonts w:ascii="Arial" w:hAnsi="Arial" w:cs="Arial"/>
        </w:rPr>
        <w:tab/>
        <w:t>that he</w:t>
      </w:r>
      <w:r w:rsidR="00E36D99" w:rsidRPr="00020342">
        <w:rPr>
          <w:rFonts w:ascii="Arial" w:hAnsi="Arial" w:cs="Arial"/>
        </w:rPr>
        <w:t>/she</w:t>
      </w:r>
      <w:r w:rsidRPr="00020342">
        <w:rPr>
          <w:rFonts w:ascii="Arial" w:hAnsi="Arial" w:cs="Arial"/>
        </w:rPr>
        <w:t xml:space="preserve"> has a bona fide defence which</w:t>
      </w:r>
      <w:r w:rsidR="00367D14" w:rsidRPr="00020342">
        <w:rPr>
          <w:rFonts w:ascii="Arial" w:hAnsi="Arial" w:cs="Arial"/>
        </w:rPr>
        <w:t>,</w:t>
      </w:r>
      <w:r w:rsidRPr="00020342">
        <w:rPr>
          <w:rFonts w:ascii="Arial" w:hAnsi="Arial" w:cs="Arial"/>
        </w:rPr>
        <w:t xml:space="preserve"> prima facie</w:t>
      </w:r>
      <w:r w:rsidR="00367D14" w:rsidRPr="00020342">
        <w:rPr>
          <w:rFonts w:ascii="Arial" w:hAnsi="Arial" w:cs="Arial"/>
        </w:rPr>
        <w:t>,</w:t>
      </w:r>
      <w:r w:rsidRPr="00020342">
        <w:rPr>
          <w:rFonts w:ascii="Arial" w:hAnsi="Arial" w:cs="Arial"/>
        </w:rPr>
        <w:t xml:space="preserve"> carries some prospect of success</w:t>
      </w:r>
      <w:r w:rsidR="005F0C01" w:rsidRPr="00020342">
        <w:rPr>
          <w:rFonts w:ascii="Arial" w:hAnsi="Arial" w:cs="Arial"/>
        </w:rPr>
        <w:t>.</w:t>
      </w:r>
      <w:r w:rsidR="005F0C01" w:rsidRPr="00020342">
        <w:rPr>
          <w:rStyle w:val="FootnoteReference"/>
          <w:rFonts w:ascii="Arial" w:hAnsi="Arial" w:cs="Arial"/>
        </w:rPr>
        <w:footnoteReference w:id="43"/>
      </w:r>
      <w:r w:rsidRPr="00555295">
        <w:rPr>
          <w:rFonts w:ascii="Arial" w:hAnsi="Arial" w:cs="Arial"/>
        </w:rPr>
        <w:t xml:space="preserve"> </w:t>
      </w:r>
    </w:p>
    <w:p w:rsidR="00367D14" w:rsidRPr="00555295" w:rsidRDefault="00367D14" w:rsidP="00555295">
      <w:pPr>
        <w:spacing w:line="360" w:lineRule="auto"/>
        <w:ind w:left="720" w:hanging="720"/>
        <w:jc w:val="both"/>
        <w:rPr>
          <w:rFonts w:ascii="Arial" w:hAnsi="Arial" w:cs="Arial"/>
        </w:rPr>
      </w:pPr>
    </w:p>
    <w:p w:rsidR="008541DB" w:rsidRPr="00555295" w:rsidRDefault="008541DB" w:rsidP="00555295">
      <w:pPr>
        <w:spacing w:line="360" w:lineRule="auto"/>
        <w:jc w:val="both"/>
        <w:rPr>
          <w:rFonts w:ascii="Arial" w:hAnsi="Arial" w:cs="Arial"/>
        </w:rPr>
      </w:pPr>
      <w:r w:rsidRPr="00555295">
        <w:rPr>
          <w:rFonts w:ascii="Arial" w:hAnsi="Arial" w:cs="Arial"/>
        </w:rPr>
        <w:t>[72]</w:t>
      </w:r>
      <w:r w:rsidRPr="00555295">
        <w:rPr>
          <w:rFonts w:ascii="Arial" w:hAnsi="Arial" w:cs="Arial"/>
        </w:rPr>
        <w:tab/>
        <w:t>In addition, it has been held that the High Court also has an inherent jurisdiction to rescind default judgment</w:t>
      </w:r>
      <w:r w:rsidR="00367D14" w:rsidRPr="00555295">
        <w:rPr>
          <w:rFonts w:ascii="Arial" w:hAnsi="Arial" w:cs="Arial"/>
        </w:rPr>
        <w:t>s</w:t>
      </w:r>
      <w:r w:rsidRPr="00555295">
        <w:rPr>
          <w:rFonts w:ascii="Arial" w:hAnsi="Arial" w:cs="Arial"/>
        </w:rPr>
        <w:t>.</w:t>
      </w:r>
      <w:r w:rsidR="005F0C01">
        <w:rPr>
          <w:rStyle w:val="FootnoteReference"/>
          <w:rFonts w:ascii="Arial" w:hAnsi="Arial" w:cs="Arial"/>
        </w:rPr>
        <w:footnoteReference w:id="44"/>
      </w:r>
      <w:r w:rsidRPr="00555295">
        <w:rPr>
          <w:rFonts w:ascii="Arial" w:hAnsi="Arial" w:cs="Arial"/>
        </w:rPr>
        <w:t xml:space="preserve"> </w:t>
      </w:r>
    </w:p>
    <w:p w:rsidR="00F41942" w:rsidRPr="00555295" w:rsidRDefault="00F41942" w:rsidP="00555295">
      <w:pPr>
        <w:spacing w:line="360" w:lineRule="auto"/>
        <w:jc w:val="both"/>
        <w:rPr>
          <w:rFonts w:ascii="Arial" w:hAnsi="Arial" w:cs="Arial"/>
        </w:rPr>
      </w:pPr>
    </w:p>
    <w:p w:rsidR="000D0D5B" w:rsidRPr="00555295" w:rsidRDefault="000D0D5B" w:rsidP="00555295">
      <w:pPr>
        <w:spacing w:line="360" w:lineRule="auto"/>
        <w:jc w:val="both"/>
        <w:rPr>
          <w:rFonts w:ascii="Arial" w:hAnsi="Arial" w:cs="Arial"/>
        </w:rPr>
      </w:pPr>
      <w:r w:rsidRPr="00555295">
        <w:rPr>
          <w:rFonts w:ascii="Arial" w:hAnsi="Arial" w:cs="Arial"/>
        </w:rPr>
        <w:t>[73]</w:t>
      </w:r>
      <w:r w:rsidRPr="00555295">
        <w:rPr>
          <w:rFonts w:ascii="Arial" w:hAnsi="Arial" w:cs="Arial"/>
        </w:rPr>
        <w:tab/>
        <w:t>I turn to deal with the ground</w:t>
      </w:r>
      <w:r w:rsidR="00367D14" w:rsidRPr="00555295">
        <w:rPr>
          <w:rFonts w:ascii="Arial" w:hAnsi="Arial" w:cs="Arial"/>
        </w:rPr>
        <w:t xml:space="preserve">s for </w:t>
      </w:r>
      <w:r w:rsidRPr="00555295">
        <w:rPr>
          <w:rFonts w:ascii="Arial" w:hAnsi="Arial" w:cs="Arial"/>
        </w:rPr>
        <w:t xml:space="preserve">rescission. </w:t>
      </w:r>
      <w:r w:rsidR="00367D14" w:rsidRPr="00555295">
        <w:rPr>
          <w:rFonts w:ascii="Arial" w:hAnsi="Arial" w:cs="Arial"/>
        </w:rPr>
        <w:t>However,</w:t>
      </w:r>
      <w:r w:rsidRPr="00555295">
        <w:rPr>
          <w:rFonts w:ascii="Arial" w:hAnsi="Arial" w:cs="Arial"/>
        </w:rPr>
        <w:t xml:space="preserve"> before I do so in earnest, may I state upfront that it is my considered view that there are no m</w:t>
      </w:r>
      <w:r w:rsidR="00915BA5" w:rsidRPr="00555295">
        <w:rPr>
          <w:rFonts w:ascii="Arial" w:hAnsi="Arial" w:cs="Arial"/>
        </w:rPr>
        <w:t>aterial factual disputes and/or</w:t>
      </w:r>
      <w:r w:rsidR="00367D14" w:rsidRPr="00555295">
        <w:rPr>
          <w:rFonts w:ascii="Arial" w:hAnsi="Arial" w:cs="Arial"/>
        </w:rPr>
        <w:t xml:space="preserve"> </w:t>
      </w:r>
      <w:r w:rsidRPr="00555295">
        <w:rPr>
          <w:rFonts w:ascii="Arial" w:hAnsi="Arial" w:cs="Arial"/>
        </w:rPr>
        <w:t xml:space="preserve">no genuine ones emerged from the papers. </w:t>
      </w:r>
    </w:p>
    <w:p w:rsidR="00F41942" w:rsidRPr="00555295" w:rsidRDefault="00F41942" w:rsidP="00555295">
      <w:pPr>
        <w:spacing w:line="360" w:lineRule="auto"/>
        <w:jc w:val="both"/>
        <w:rPr>
          <w:rFonts w:ascii="Arial" w:hAnsi="Arial" w:cs="Arial"/>
        </w:rPr>
      </w:pPr>
    </w:p>
    <w:p w:rsidR="00F41942" w:rsidRPr="00BC172A" w:rsidRDefault="00A4090B" w:rsidP="00A4090B">
      <w:pPr>
        <w:spacing w:line="360" w:lineRule="auto"/>
        <w:jc w:val="both"/>
        <w:rPr>
          <w:rFonts w:ascii="Arial" w:hAnsi="Arial" w:cs="Arial"/>
        </w:rPr>
      </w:pPr>
      <w:r w:rsidRPr="00BC172A">
        <w:rPr>
          <w:rFonts w:ascii="Arial" w:hAnsi="Arial" w:cs="Arial"/>
          <w:i/>
        </w:rPr>
        <w:t>(a)</w:t>
      </w:r>
      <w:r w:rsidRPr="00BC172A">
        <w:rPr>
          <w:rFonts w:ascii="Arial" w:hAnsi="Arial" w:cs="Arial"/>
          <w:i/>
        </w:rPr>
        <w:tab/>
      </w:r>
      <w:r w:rsidR="00F41942" w:rsidRPr="00BC172A">
        <w:rPr>
          <w:rFonts w:ascii="Arial" w:hAnsi="Arial" w:cs="Arial"/>
          <w:i/>
        </w:rPr>
        <w:t xml:space="preserve">Material non-disclosure and misrepresentation of facts </w:t>
      </w:r>
    </w:p>
    <w:p w:rsidR="00F41942" w:rsidRPr="00555295" w:rsidRDefault="00F41942" w:rsidP="00555295">
      <w:pPr>
        <w:spacing w:line="360" w:lineRule="auto"/>
        <w:jc w:val="both"/>
        <w:rPr>
          <w:rFonts w:ascii="Arial" w:hAnsi="Arial" w:cs="Arial"/>
        </w:rPr>
      </w:pPr>
      <w:r w:rsidRPr="00555295">
        <w:rPr>
          <w:rFonts w:ascii="Arial" w:hAnsi="Arial" w:cs="Arial"/>
        </w:rPr>
        <w:t>[74]</w:t>
      </w:r>
      <w:r w:rsidRPr="00555295">
        <w:rPr>
          <w:rFonts w:ascii="Arial" w:hAnsi="Arial" w:cs="Arial"/>
        </w:rPr>
        <w:tab/>
        <w:t xml:space="preserve">It is trite in ex parte applications that all material facts must be disclosed which might influence a court in coming to a </w:t>
      </w:r>
      <w:r w:rsidRPr="00765F99">
        <w:rPr>
          <w:rFonts w:ascii="Arial" w:hAnsi="Arial" w:cs="Arial"/>
        </w:rPr>
        <w:t>decision</w:t>
      </w:r>
      <w:r w:rsidR="005F0C01">
        <w:rPr>
          <w:rFonts w:ascii="Arial" w:hAnsi="Arial" w:cs="Arial"/>
        </w:rPr>
        <w:t>.</w:t>
      </w:r>
      <w:r w:rsidR="005F0C01">
        <w:rPr>
          <w:rStyle w:val="FootnoteReference"/>
          <w:rFonts w:ascii="Arial" w:hAnsi="Arial" w:cs="Arial"/>
        </w:rPr>
        <w:footnoteReference w:id="45"/>
      </w:r>
      <w:r w:rsidR="009D5A2B">
        <w:rPr>
          <w:rFonts w:ascii="Arial" w:hAnsi="Arial" w:cs="Arial"/>
        </w:rPr>
        <w:t xml:space="preserve"> </w:t>
      </w:r>
      <w:r w:rsidRPr="00555295">
        <w:rPr>
          <w:rFonts w:ascii="Arial" w:hAnsi="Arial" w:cs="Arial"/>
        </w:rPr>
        <w:t>The l</w:t>
      </w:r>
      <w:r w:rsidR="007924F9" w:rsidRPr="00555295">
        <w:rPr>
          <w:rFonts w:ascii="Arial" w:hAnsi="Arial" w:cs="Arial"/>
        </w:rPr>
        <w:t>egal principle is that the non-</w:t>
      </w:r>
      <w:r w:rsidRPr="00555295">
        <w:rPr>
          <w:rFonts w:ascii="Arial" w:hAnsi="Arial" w:cs="Arial"/>
        </w:rPr>
        <w:t xml:space="preserve">disclosure or suppression of facts need not be wilful or mala fide to incur the penalty of rescission and the court, apprised of the true facts, has the discretion to set aside the order obtained on material facts not disclosed or to preserve it. Unless there are very cogent practical reasons why an order should not be rescinded, the court will always frown on an order obtained ex parte on incomplete information and will set it aside even if relief could be obtained on a subsequent application by the same applicant. A litigant who approaches a court </w:t>
      </w:r>
      <w:r w:rsidRPr="00E500A7">
        <w:rPr>
          <w:rFonts w:ascii="Arial" w:hAnsi="Arial" w:cs="Arial"/>
        </w:rPr>
        <w:t>ex parte</w:t>
      </w:r>
      <w:r w:rsidR="007924F9" w:rsidRPr="00555295">
        <w:rPr>
          <w:rFonts w:ascii="Arial" w:hAnsi="Arial" w:cs="Arial"/>
        </w:rPr>
        <w:t xml:space="preserve"> is not</w:t>
      </w:r>
      <w:r w:rsidRPr="00555295">
        <w:rPr>
          <w:rFonts w:ascii="Arial" w:hAnsi="Arial" w:cs="Arial"/>
        </w:rPr>
        <w:t xml:space="preserve"> entitled to omit any reference to a </w:t>
      </w:r>
      <w:r w:rsidR="005846DA" w:rsidRPr="00DF2DB1">
        <w:rPr>
          <w:rFonts w:ascii="Arial" w:hAnsi="Arial" w:cs="Arial"/>
        </w:rPr>
        <w:t xml:space="preserve">fact or attitude </w:t>
      </w:r>
      <w:r w:rsidR="005846DA" w:rsidRPr="00DF2DB1">
        <w:rPr>
          <w:rFonts w:ascii="Arial" w:hAnsi="Arial" w:cs="Arial"/>
        </w:rPr>
        <w:lastRenderedPageBreak/>
        <w:t>of his opponent which is relevant to the point in issue merely because he is not</w:t>
      </w:r>
      <w:r w:rsidR="005846DA" w:rsidRPr="00555295">
        <w:rPr>
          <w:rFonts w:ascii="Arial" w:hAnsi="Arial" w:cs="Arial"/>
        </w:rPr>
        <w:t xml:space="preserve"> prepared to accept the correctness thereof.</w:t>
      </w:r>
    </w:p>
    <w:p w:rsidR="00402B7E" w:rsidRPr="00555295" w:rsidRDefault="00402B7E" w:rsidP="00555295">
      <w:pPr>
        <w:spacing w:line="360" w:lineRule="auto"/>
        <w:jc w:val="both"/>
        <w:rPr>
          <w:rFonts w:ascii="Arial" w:hAnsi="Arial" w:cs="Arial"/>
        </w:rPr>
      </w:pPr>
    </w:p>
    <w:p w:rsidR="00402B7E" w:rsidRPr="00555295" w:rsidRDefault="003A3F8A" w:rsidP="00555295">
      <w:pPr>
        <w:spacing w:line="360" w:lineRule="auto"/>
        <w:jc w:val="both"/>
        <w:rPr>
          <w:rFonts w:ascii="Arial" w:hAnsi="Arial" w:cs="Arial"/>
        </w:rPr>
      </w:pPr>
      <w:r w:rsidRPr="00555295">
        <w:rPr>
          <w:rFonts w:ascii="Arial" w:hAnsi="Arial" w:cs="Arial"/>
        </w:rPr>
        <w:t>[75]</w:t>
      </w:r>
      <w:r w:rsidRPr="00555295">
        <w:rPr>
          <w:rFonts w:ascii="Arial" w:hAnsi="Arial" w:cs="Arial"/>
        </w:rPr>
        <w:tab/>
        <w:t xml:space="preserve">The </w:t>
      </w:r>
      <w:r w:rsidR="006C719F">
        <w:rPr>
          <w:rFonts w:ascii="Arial" w:hAnsi="Arial" w:cs="Arial"/>
        </w:rPr>
        <w:t xml:space="preserve">above-mentioned </w:t>
      </w:r>
      <w:r w:rsidRPr="00555295">
        <w:rPr>
          <w:rFonts w:ascii="Arial" w:hAnsi="Arial" w:cs="Arial"/>
        </w:rPr>
        <w:t>principle was aptly state</w:t>
      </w:r>
      <w:r w:rsidR="008F5EA4" w:rsidRPr="00555295">
        <w:rPr>
          <w:rFonts w:ascii="Arial" w:hAnsi="Arial" w:cs="Arial"/>
        </w:rPr>
        <w:t xml:space="preserve">d in </w:t>
      </w:r>
      <w:r w:rsidR="008F5EA4" w:rsidRPr="00410782">
        <w:rPr>
          <w:rFonts w:ascii="Arial" w:hAnsi="Arial" w:cs="Arial"/>
          <w:i/>
        </w:rPr>
        <w:t>R</w:t>
      </w:r>
      <w:r w:rsidR="006444BE" w:rsidRPr="00410782">
        <w:rPr>
          <w:rFonts w:ascii="Arial" w:hAnsi="Arial" w:cs="Arial"/>
          <w:i/>
        </w:rPr>
        <w:t>ecycling and Economic Development I</w:t>
      </w:r>
      <w:r w:rsidRPr="00410782">
        <w:rPr>
          <w:rFonts w:ascii="Arial" w:hAnsi="Arial" w:cs="Arial"/>
          <w:i/>
        </w:rPr>
        <w:t xml:space="preserve">nitiative of South Africa v Minister of Environmental Affairs </w:t>
      </w:r>
      <w:r w:rsidRPr="00555295">
        <w:rPr>
          <w:rFonts w:ascii="Arial" w:hAnsi="Arial" w:cs="Arial"/>
        </w:rPr>
        <w:t>as follows:</w:t>
      </w:r>
      <w:r w:rsidR="005F0C01">
        <w:rPr>
          <w:rStyle w:val="FootnoteReference"/>
          <w:rFonts w:ascii="Arial" w:hAnsi="Arial" w:cs="Arial"/>
        </w:rPr>
        <w:footnoteReference w:id="46"/>
      </w:r>
    </w:p>
    <w:p w:rsidR="00402B7E" w:rsidRPr="00A4090B" w:rsidRDefault="00402B7E" w:rsidP="00555295">
      <w:pPr>
        <w:spacing w:line="360" w:lineRule="auto"/>
        <w:jc w:val="both"/>
        <w:rPr>
          <w:rFonts w:ascii="Arial" w:hAnsi="Arial" w:cs="Arial"/>
          <w:sz w:val="22"/>
          <w:szCs w:val="22"/>
        </w:rPr>
      </w:pPr>
      <w:r w:rsidRPr="00A4090B">
        <w:rPr>
          <w:rFonts w:ascii="Arial" w:hAnsi="Arial" w:cs="Arial"/>
          <w:sz w:val="22"/>
          <w:szCs w:val="22"/>
        </w:rPr>
        <w:t>‘[45]</w:t>
      </w:r>
      <w:r w:rsidR="00410782">
        <w:rPr>
          <w:rFonts w:ascii="Arial" w:hAnsi="Arial" w:cs="Arial"/>
          <w:sz w:val="22"/>
          <w:szCs w:val="22"/>
        </w:rPr>
        <w:t xml:space="preserve"> </w:t>
      </w:r>
      <w:r w:rsidRPr="00A4090B">
        <w:rPr>
          <w:rFonts w:ascii="Arial" w:hAnsi="Arial" w:cs="Arial"/>
          <w:sz w:val="22"/>
          <w:szCs w:val="22"/>
        </w:rPr>
        <w:t xml:space="preserve">…In </w:t>
      </w:r>
      <w:r w:rsidRPr="00410782">
        <w:rPr>
          <w:rFonts w:ascii="Arial" w:hAnsi="Arial" w:cs="Arial"/>
          <w:i/>
          <w:sz w:val="22"/>
          <w:szCs w:val="22"/>
        </w:rPr>
        <w:t>NDPP vs Basson</w:t>
      </w:r>
      <w:r w:rsidRPr="00A4090B">
        <w:rPr>
          <w:rFonts w:ascii="Arial" w:hAnsi="Arial" w:cs="Arial"/>
          <w:sz w:val="22"/>
          <w:szCs w:val="22"/>
        </w:rPr>
        <w:t xml:space="preserve"> this </w:t>
      </w:r>
      <w:r w:rsidR="00A85C11">
        <w:rPr>
          <w:rFonts w:ascii="Arial" w:hAnsi="Arial" w:cs="Arial"/>
          <w:sz w:val="22"/>
          <w:szCs w:val="22"/>
        </w:rPr>
        <w:t>c</w:t>
      </w:r>
      <w:r w:rsidRPr="00A4090B">
        <w:rPr>
          <w:rFonts w:ascii="Arial" w:hAnsi="Arial" w:cs="Arial"/>
          <w:sz w:val="22"/>
          <w:szCs w:val="22"/>
        </w:rPr>
        <w:t>ourt said:</w:t>
      </w:r>
    </w:p>
    <w:p w:rsidR="00402B7E" w:rsidRPr="00A4090B" w:rsidRDefault="00A4090B" w:rsidP="00555295">
      <w:pPr>
        <w:spacing w:line="360" w:lineRule="auto"/>
        <w:ind w:left="720"/>
        <w:jc w:val="both"/>
        <w:rPr>
          <w:rFonts w:ascii="Arial" w:hAnsi="Arial" w:cs="Arial"/>
          <w:sz w:val="22"/>
          <w:szCs w:val="22"/>
        </w:rPr>
      </w:pPr>
      <w:r>
        <w:rPr>
          <w:rFonts w:ascii="Arial" w:hAnsi="Arial" w:cs="Arial"/>
          <w:sz w:val="22"/>
          <w:szCs w:val="22"/>
        </w:rPr>
        <w:t>“</w:t>
      </w:r>
      <w:r w:rsidR="00402B7E" w:rsidRPr="00A4090B">
        <w:rPr>
          <w:rFonts w:ascii="Arial" w:hAnsi="Arial" w:cs="Arial"/>
          <w:sz w:val="22"/>
          <w:szCs w:val="22"/>
        </w:rPr>
        <w:t xml:space="preserve">Where an order is sought </w:t>
      </w:r>
      <w:r w:rsidR="00402B7E" w:rsidRPr="00410782">
        <w:rPr>
          <w:rFonts w:ascii="Arial" w:hAnsi="Arial" w:cs="Arial"/>
          <w:i/>
          <w:sz w:val="22"/>
          <w:szCs w:val="22"/>
        </w:rPr>
        <w:t>ex parte</w:t>
      </w:r>
      <w:r w:rsidR="00402B7E" w:rsidRPr="00A4090B">
        <w:rPr>
          <w:rFonts w:ascii="Arial" w:hAnsi="Arial" w:cs="Arial"/>
          <w:sz w:val="22"/>
          <w:szCs w:val="22"/>
        </w:rPr>
        <w:t xml:space="preserve"> it is well established </w:t>
      </w:r>
      <w:r w:rsidR="0059281B" w:rsidRPr="00A4090B">
        <w:rPr>
          <w:rFonts w:ascii="Arial" w:hAnsi="Arial" w:cs="Arial"/>
          <w:sz w:val="22"/>
          <w:szCs w:val="22"/>
        </w:rPr>
        <w:t xml:space="preserve">that the utmost good faith must be observed. All material facts must be disclosed which might influence a court in coming to its decision, and the withholding or suppression of material facts, by itself, entitles a court to set aside an order, even if the non-disclosure or suppression was not wilful or </w:t>
      </w:r>
      <w:r w:rsidR="0059281B" w:rsidRPr="00410782">
        <w:rPr>
          <w:rFonts w:ascii="Arial" w:hAnsi="Arial" w:cs="Arial"/>
          <w:i/>
          <w:sz w:val="22"/>
          <w:szCs w:val="22"/>
        </w:rPr>
        <w:t>mala fide</w:t>
      </w:r>
      <w:r w:rsidR="0059281B" w:rsidRPr="00A4090B">
        <w:rPr>
          <w:rFonts w:ascii="Arial" w:hAnsi="Arial" w:cs="Arial"/>
          <w:sz w:val="22"/>
          <w:szCs w:val="22"/>
        </w:rPr>
        <w:t xml:space="preserve"> (</w:t>
      </w:r>
      <w:r w:rsidR="0059281B" w:rsidRPr="00410782">
        <w:rPr>
          <w:rFonts w:ascii="Arial" w:hAnsi="Arial" w:cs="Arial"/>
          <w:i/>
          <w:sz w:val="22"/>
          <w:szCs w:val="22"/>
        </w:rPr>
        <w:t>Schlesinger v Schlesinger</w:t>
      </w:r>
      <w:r w:rsidR="00410782">
        <w:rPr>
          <w:rFonts w:ascii="Arial" w:hAnsi="Arial" w:cs="Arial"/>
          <w:sz w:val="22"/>
          <w:szCs w:val="22"/>
        </w:rPr>
        <w:t xml:space="preserve"> </w:t>
      </w:r>
      <w:hyperlink r:id="rId9" w:tooltip="View LawCiteRecord" w:history="1">
        <w:r w:rsidR="00410782" w:rsidRPr="00410782">
          <w:rPr>
            <w:rFonts w:ascii="Arial" w:hAnsi="Arial" w:cs="Arial"/>
            <w:sz w:val="22"/>
            <w:szCs w:val="22"/>
          </w:rPr>
          <w:t>1979 (4) SA 342</w:t>
        </w:r>
      </w:hyperlink>
      <w:r w:rsidR="00410782" w:rsidRPr="00410782">
        <w:rPr>
          <w:rFonts w:ascii="Arial" w:hAnsi="Arial" w:cs="Arial"/>
          <w:sz w:val="22"/>
          <w:szCs w:val="22"/>
        </w:rPr>
        <w:t> (W)</w:t>
      </w:r>
      <w:r w:rsidR="00410782" w:rsidRPr="00A4090B">
        <w:rPr>
          <w:rFonts w:ascii="Arial" w:hAnsi="Arial" w:cs="Arial"/>
          <w:sz w:val="22"/>
          <w:szCs w:val="22"/>
        </w:rPr>
        <w:t xml:space="preserve"> </w:t>
      </w:r>
      <w:r w:rsidR="00A85C11">
        <w:rPr>
          <w:rFonts w:ascii="Arial" w:hAnsi="Arial" w:cs="Arial"/>
          <w:sz w:val="22"/>
          <w:szCs w:val="22"/>
        </w:rPr>
        <w:t xml:space="preserve">at </w:t>
      </w:r>
      <w:r w:rsidR="0059281B" w:rsidRPr="00A4090B">
        <w:rPr>
          <w:rFonts w:ascii="Arial" w:hAnsi="Arial" w:cs="Arial"/>
          <w:sz w:val="22"/>
          <w:szCs w:val="22"/>
        </w:rPr>
        <w:t>348E</w:t>
      </w:r>
      <w:r w:rsidR="00410782">
        <w:rPr>
          <w:rFonts w:ascii="Arial" w:hAnsi="Arial" w:cs="Arial"/>
          <w:sz w:val="22"/>
          <w:szCs w:val="22"/>
        </w:rPr>
        <w:t>-</w:t>
      </w:r>
      <w:r w:rsidR="0059281B" w:rsidRPr="00A4090B">
        <w:rPr>
          <w:rFonts w:ascii="Arial" w:hAnsi="Arial" w:cs="Arial"/>
          <w:sz w:val="22"/>
          <w:szCs w:val="22"/>
        </w:rPr>
        <w:t>349B)</w:t>
      </w:r>
      <w:r w:rsidR="006C2EF4" w:rsidRPr="00A4090B">
        <w:rPr>
          <w:rFonts w:ascii="Arial" w:hAnsi="Arial" w:cs="Arial"/>
          <w:sz w:val="22"/>
          <w:szCs w:val="22"/>
        </w:rPr>
        <w:t>.</w:t>
      </w:r>
      <w:r w:rsidR="00A85C11">
        <w:rPr>
          <w:rFonts w:ascii="Arial" w:hAnsi="Arial" w:cs="Arial"/>
          <w:sz w:val="22"/>
          <w:szCs w:val="22"/>
        </w:rPr>
        <w:t>”</w:t>
      </w:r>
    </w:p>
    <w:p w:rsidR="006C2EF4" w:rsidRPr="00A4090B" w:rsidRDefault="006C2EF4" w:rsidP="00A4090B">
      <w:pPr>
        <w:spacing w:line="360" w:lineRule="auto"/>
        <w:jc w:val="both"/>
        <w:rPr>
          <w:rFonts w:ascii="Arial" w:hAnsi="Arial" w:cs="Arial"/>
          <w:sz w:val="22"/>
          <w:szCs w:val="22"/>
        </w:rPr>
      </w:pPr>
      <w:r w:rsidRPr="00A4090B">
        <w:rPr>
          <w:rFonts w:ascii="Arial" w:hAnsi="Arial" w:cs="Arial"/>
          <w:sz w:val="22"/>
          <w:szCs w:val="22"/>
        </w:rPr>
        <w:t>[46]</w:t>
      </w:r>
      <w:r w:rsidR="00410782">
        <w:rPr>
          <w:rFonts w:ascii="Arial" w:hAnsi="Arial" w:cs="Arial"/>
          <w:sz w:val="22"/>
          <w:szCs w:val="22"/>
        </w:rPr>
        <w:t xml:space="preserve"> </w:t>
      </w:r>
      <w:r w:rsidRPr="00A4090B">
        <w:rPr>
          <w:rFonts w:ascii="Arial" w:hAnsi="Arial" w:cs="Arial"/>
          <w:sz w:val="22"/>
          <w:szCs w:val="22"/>
        </w:rPr>
        <w:t>The duty of the utmost good faith, and in particular the duty of full and fair disclosure, is imposed because orders granted without notice to af</w:t>
      </w:r>
      <w:r w:rsidR="00502059" w:rsidRPr="00A4090B">
        <w:rPr>
          <w:rFonts w:ascii="Arial" w:hAnsi="Arial" w:cs="Arial"/>
          <w:sz w:val="22"/>
          <w:szCs w:val="22"/>
        </w:rPr>
        <w:t>fected</w:t>
      </w:r>
      <w:r w:rsidRPr="00A4090B">
        <w:rPr>
          <w:rFonts w:ascii="Arial" w:hAnsi="Arial" w:cs="Arial"/>
          <w:sz w:val="22"/>
          <w:szCs w:val="22"/>
        </w:rPr>
        <w:t xml:space="preserve"> parties are a departure from a fundamental principle of the administration of justice, namely, </w:t>
      </w:r>
      <w:r w:rsidRPr="00410782">
        <w:rPr>
          <w:rFonts w:ascii="Arial" w:hAnsi="Arial" w:cs="Arial"/>
          <w:i/>
          <w:sz w:val="22"/>
          <w:szCs w:val="22"/>
        </w:rPr>
        <w:t>audi alteram partem</w:t>
      </w:r>
      <w:r w:rsidRPr="00A4090B">
        <w:rPr>
          <w:rFonts w:ascii="Arial" w:hAnsi="Arial" w:cs="Arial"/>
          <w:sz w:val="22"/>
          <w:szCs w:val="22"/>
        </w:rPr>
        <w:t xml:space="preserve">. The law sometimes allows a </w:t>
      </w:r>
      <w:r w:rsidR="0081422A" w:rsidRPr="00A4090B">
        <w:rPr>
          <w:rFonts w:ascii="Arial" w:hAnsi="Arial" w:cs="Arial"/>
          <w:sz w:val="22"/>
          <w:szCs w:val="22"/>
        </w:rPr>
        <w:t>departure from</w:t>
      </w:r>
      <w:r w:rsidRPr="00A4090B">
        <w:rPr>
          <w:rFonts w:ascii="Arial" w:hAnsi="Arial" w:cs="Arial"/>
          <w:sz w:val="22"/>
          <w:szCs w:val="22"/>
        </w:rPr>
        <w:t xml:space="preserve"> this principle in the interest</w:t>
      </w:r>
      <w:r w:rsidR="00E5692D" w:rsidRPr="00A4090B">
        <w:rPr>
          <w:rFonts w:ascii="Arial" w:hAnsi="Arial" w:cs="Arial"/>
          <w:sz w:val="22"/>
          <w:szCs w:val="22"/>
        </w:rPr>
        <w:t>s</w:t>
      </w:r>
      <w:r w:rsidRPr="00A4090B">
        <w:rPr>
          <w:rFonts w:ascii="Arial" w:hAnsi="Arial" w:cs="Arial"/>
          <w:sz w:val="22"/>
          <w:szCs w:val="22"/>
        </w:rPr>
        <w:t xml:space="preserve"> of justice but in those exceptional circumstances the </w:t>
      </w:r>
      <w:r w:rsidRPr="00A85C11">
        <w:rPr>
          <w:rFonts w:ascii="Arial" w:hAnsi="Arial" w:cs="Arial"/>
          <w:sz w:val="22"/>
          <w:szCs w:val="22"/>
        </w:rPr>
        <w:t>ex parte</w:t>
      </w:r>
      <w:r w:rsidRPr="00A4090B">
        <w:rPr>
          <w:rFonts w:ascii="Arial" w:hAnsi="Arial" w:cs="Arial"/>
          <w:sz w:val="22"/>
          <w:szCs w:val="22"/>
        </w:rPr>
        <w:t xml:space="preserve"> </w:t>
      </w:r>
      <w:r w:rsidR="00A85C11">
        <w:rPr>
          <w:rFonts w:ascii="Arial" w:hAnsi="Arial" w:cs="Arial"/>
          <w:sz w:val="22"/>
          <w:szCs w:val="22"/>
        </w:rPr>
        <w:t xml:space="preserve">applicant </w:t>
      </w:r>
      <w:r w:rsidRPr="00A4090B">
        <w:rPr>
          <w:rFonts w:ascii="Arial" w:hAnsi="Arial" w:cs="Arial"/>
          <w:sz w:val="22"/>
          <w:szCs w:val="22"/>
        </w:rPr>
        <w:t xml:space="preserve">assumes a heavy responsibility to neutralise </w:t>
      </w:r>
      <w:r w:rsidR="0081422A" w:rsidRPr="00A4090B">
        <w:rPr>
          <w:rFonts w:ascii="Arial" w:hAnsi="Arial" w:cs="Arial"/>
          <w:sz w:val="22"/>
          <w:szCs w:val="22"/>
        </w:rPr>
        <w:t>th</w:t>
      </w:r>
      <w:r w:rsidR="00E5692D" w:rsidRPr="00A4090B">
        <w:rPr>
          <w:rFonts w:ascii="Arial" w:hAnsi="Arial" w:cs="Arial"/>
          <w:sz w:val="22"/>
          <w:szCs w:val="22"/>
        </w:rPr>
        <w:t>e prejudice the affected party</w:t>
      </w:r>
      <w:r w:rsidR="0081422A" w:rsidRPr="00A4090B">
        <w:rPr>
          <w:rFonts w:ascii="Arial" w:hAnsi="Arial" w:cs="Arial"/>
          <w:sz w:val="22"/>
          <w:szCs w:val="22"/>
        </w:rPr>
        <w:t xml:space="preserve"> suffers by his or her absence.</w:t>
      </w:r>
    </w:p>
    <w:p w:rsidR="003D0F1F" w:rsidRPr="00A4090B" w:rsidRDefault="00E5692D" w:rsidP="00A4090B">
      <w:pPr>
        <w:spacing w:line="360" w:lineRule="auto"/>
        <w:jc w:val="both"/>
        <w:rPr>
          <w:rFonts w:ascii="Arial" w:hAnsi="Arial" w:cs="Arial"/>
          <w:sz w:val="22"/>
          <w:szCs w:val="22"/>
        </w:rPr>
      </w:pPr>
      <w:r w:rsidRPr="00A4090B">
        <w:rPr>
          <w:rFonts w:ascii="Arial" w:hAnsi="Arial" w:cs="Arial"/>
          <w:sz w:val="22"/>
          <w:szCs w:val="22"/>
        </w:rPr>
        <w:t>[47]</w:t>
      </w:r>
      <w:r w:rsidR="00410782">
        <w:rPr>
          <w:rFonts w:ascii="Arial" w:hAnsi="Arial" w:cs="Arial"/>
          <w:sz w:val="22"/>
          <w:szCs w:val="22"/>
        </w:rPr>
        <w:t xml:space="preserve"> </w:t>
      </w:r>
      <w:r w:rsidRPr="00A4090B">
        <w:rPr>
          <w:rFonts w:ascii="Arial" w:hAnsi="Arial" w:cs="Arial"/>
          <w:sz w:val="22"/>
          <w:szCs w:val="22"/>
        </w:rPr>
        <w:t>T</w:t>
      </w:r>
      <w:r w:rsidR="003D0F1F" w:rsidRPr="00A4090B">
        <w:rPr>
          <w:rFonts w:ascii="Arial" w:hAnsi="Arial" w:cs="Arial"/>
          <w:sz w:val="22"/>
          <w:szCs w:val="22"/>
        </w:rPr>
        <w:t xml:space="preserve">he applicant </w:t>
      </w:r>
      <w:r w:rsidRPr="00A4090B">
        <w:rPr>
          <w:rFonts w:ascii="Arial" w:hAnsi="Arial" w:cs="Arial"/>
          <w:sz w:val="22"/>
          <w:szCs w:val="22"/>
        </w:rPr>
        <w:t xml:space="preserve">must </w:t>
      </w:r>
      <w:r w:rsidR="003D0F1F" w:rsidRPr="00A4090B">
        <w:rPr>
          <w:rFonts w:ascii="Arial" w:hAnsi="Arial" w:cs="Arial"/>
          <w:sz w:val="22"/>
          <w:szCs w:val="22"/>
        </w:rPr>
        <w:t xml:space="preserve">thus </w:t>
      </w:r>
      <w:r w:rsidRPr="00A4090B">
        <w:rPr>
          <w:rFonts w:ascii="Arial" w:hAnsi="Arial" w:cs="Arial"/>
          <w:sz w:val="22"/>
          <w:szCs w:val="22"/>
        </w:rPr>
        <w:t xml:space="preserve">be </w:t>
      </w:r>
      <w:r w:rsidR="003D0F1F" w:rsidRPr="00A4090B">
        <w:rPr>
          <w:rFonts w:ascii="Arial" w:hAnsi="Arial" w:cs="Arial"/>
          <w:sz w:val="22"/>
          <w:szCs w:val="22"/>
        </w:rPr>
        <w:t xml:space="preserve">scrupulously fair in presenting her own case. </w:t>
      </w:r>
      <w:r w:rsidR="00940A1C" w:rsidRPr="00A4090B">
        <w:rPr>
          <w:rFonts w:ascii="Arial" w:hAnsi="Arial" w:cs="Arial"/>
          <w:sz w:val="22"/>
          <w:szCs w:val="22"/>
        </w:rPr>
        <w:t xml:space="preserve">She must also speak for </w:t>
      </w:r>
      <w:r w:rsidR="00410782">
        <w:rPr>
          <w:rFonts w:ascii="Arial" w:hAnsi="Arial" w:cs="Arial"/>
          <w:sz w:val="22"/>
          <w:szCs w:val="22"/>
        </w:rPr>
        <w:t xml:space="preserve">the </w:t>
      </w:r>
      <w:r w:rsidRPr="00A4090B">
        <w:rPr>
          <w:rFonts w:ascii="Arial" w:hAnsi="Arial" w:cs="Arial"/>
          <w:sz w:val="22"/>
          <w:szCs w:val="22"/>
        </w:rPr>
        <w:t xml:space="preserve">absent </w:t>
      </w:r>
      <w:r w:rsidR="00940A1C" w:rsidRPr="00A4090B">
        <w:rPr>
          <w:rFonts w:ascii="Arial" w:hAnsi="Arial" w:cs="Arial"/>
          <w:sz w:val="22"/>
          <w:szCs w:val="22"/>
        </w:rPr>
        <w:t>party by disclosing all relevant facts she knows or reasonabl</w:t>
      </w:r>
      <w:r w:rsidR="00410782">
        <w:rPr>
          <w:rFonts w:ascii="Arial" w:hAnsi="Arial" w:cs="Arial"/>
          <w:sz w:val="22"/>
          <w:szCs w:val="22"/>
        </w:rPr>
        <w:t>y</w:t>
      </w:r>
      <w:r w:rsidR="00940A1C" w:rsidRPr="00A4090B">
        <w:rPr>
          <w:rFonts w:ascii="Arial" w:hAnsi="Arial" w:cs="Arial"/>
          <w:sz w:val="22"/>
          <w:szCs w:val="22"/>
        </w:rPr>
        <w:t xml:space="preserve"> expects the absent party would want placed before the court.</w:t>
      </w:r>
      <w:r w:rsidR="00C17F21" w:rsidRPr="00A4090B">
        <w:rPr>
          <w:rFonts w:ascii="Arial" w:hAnsi="Arial" w:cs="Arial"/>
          <w:sz w:val="22"/>
          <w:szCs w:val="22"/>
        </w:rPr>
        <w:t xml:space="preserve"> The applicant must </w:t>
      </w:r>
      <w:r w:rsidRPr="00A4090B">
        <w:rPr>
          <w:rFonts w:ascii="Arial" w:hAnsi="Arial" w:cs="Arial"/>
          <w:sz w:val="22"/>
          <w:szCs w:val="22"/>
        </w:rPr>
        <w:t>disclose</w:t>
      </w:r>
      <w:r w:rsidR="00940A1C" w:rsidRPr="00A4090B">
        <w:rPr>
          <w:rFonts w:ascii="Arial" w:hAnsi="Arial" w:cs="Arial"/>
          <w:sz w:val="22"/>
          <w:szCs w:val="22"/>
        </w:rPr>
        <w:t xml:space="preserve"> and deal fairly with any defences of which she is aware or which she </w:t>
      </w:r>
      <w:r w:rsidRPr="00A4090B">
        <w:rPr>
          <w:rFonts w:ascii="Arial" w:hAnsi="Arial" w:cs="Arial"/>
          <w:sz w:val="22"/>
          <w:szCs w:val="22"/>
        </w:rPr>
        <w:t xml:space="preserve">may </w:t>
      </w:r>
      <w:r w:rsidR="00940A1C" w:rsidRPr="00A4090B">
        <w:rPr>
          <w:rFonts w:ascii="Arial" w:hAnsi="Arial" w:cs="Arial"/>
          <w:sz w:val="22"/>
          <w:szCs w:val="22"/>
        </w:rPr>
        <w:t xml:space="preserve">reasonably anticipate. She must </w:t>
      </w:r>
      <w:r w:rsidR="0031059D" w:rsidRPr="00A4090B">
        <w:rPr>
          <w:rFonts w:ascii="Arial" w:hAnsi="Arial" w:cs="Arial"/>
          <w:sz w:val="22"/>
          <w:szCs w:val="22"/>
        </w:rPr>
        <w:t>disclose</w:t>
      </w:r>
      <w:r w:rsidR="00940A1C" w:rsidRPr="00A4090B">
        <w:rPr>
          <w:rFonts w:ascii="Arial" w:hAnsi="Arial" w:cs="Arial"/>
          <w:sz w:val="22"/>
          <w:szCs w:val="22"/>
        </w:rPr>
        <w:t xml:space="preserve"> all relevant adverse material that the absent respondent might have put up in opposition to the order. She must </w:t>
      </w:r>
      <w:r w:rsidRPr="00A4090B">
        <w:rPr>
          <w:rFonts w:ascii="Arial" w:hAnsi="Arial" w:cs="Arial"/>
          <w:sz w:val="22"/>
          <w:szCs w:val="22"/>
        </w:rPr>
        <w:t xml:space="preserve">also </w:t>
      </w:r>
      <w:r w:rsidR="00940A1C" w:rsidRPr="00A4090B">
        <w:rPr>
          <w:rFonts w:ascii="Arial" w:hAnsi="Arial" w:cs="Arial"/>
          <w:i/>
          <w:sz w:val="22"/>
          <w:szCs w:val="22"/>
        </w:rPr>
        <w:t>exercise due care and make such enquiries and conduct such investigation</w:t>
      </w:r>
      <w:r w:rsidR="00064851" w:rsidRPr="00A4090B">
        <w:rPr>
          <w:rFonts w:ascii="Arial" w:hAnsi="Arial" w:cs="Arial"/>
          <w:i/>
          <w:sz w:val="22"/>
          <w:szCs w:val="22"/>
        </w:rPr>
        <w:t>s</w:t>
      </w:r>
      <w:r w:rsidR="00940A1C" w:rsidRPr="00A4090B">
        <w:rPr>
          <w:rFonts w:ascii="Arial" w:hAnsi="Arial" w:cs="Arial"/>
          <w:i/>
          <w:sz w:val="22"/>
          <w:szCs w:val="22"/>
        </w:rPr>
        <w:t xml:space="preserve"> as are reasonable in the circumstances before seeking ex parte relief</w:t>
      </w:r>
      <w:r w:rsidR="00940A1C" w:rsidRPr="00A4090B">
        <w:rPr>
          <w:rFonts w:ascii="Arial" w:hAnsi="Arial" w:cs="Arial"/>
          <w:sz w:val="22"/>
          <w:szCs w:val="22"/>
        </w:rPr>
        <w:t>. She may not refrain from disclosing matter asserted by the a</w:t>
      </w:r>
      <w:r w:rsidR="00064851" w:rsidRPr="00A4090B">
        <w:rPr>
          <w:rFonts w:ascii="Arial" w:hAnsi="Arial" w:cs="Arial"/>
          <w:sz w:val="22"/>
          <w:szCs w:val="22"/>
        </w:rPr>
        <w:t>bsent party because she believes</w:t>
      </w:r>
      <w:r w:rsidR="00940A1C" w:rsidRPr="00A4090B">
        <w:rPr>
          <w:rFonts w:ascii="Arial" w:hAnsi="Arial" w:cs="Arial"/>
          <w:sz w:val="22"/>
          <w:szCs w:val="22"/>
        </w:rPr>
        <w:t xml:space="preserve"> it to be untrue. And even where the </w:t>
      </w:r>
      <w:r w:rsidR="00940A1C" w:rsidRPr="00A85C11">
        <w:rPr>
          <w:rFonts w:ascii="Arial" w:hAnsi="Arial" w:cs="Arial"/>
          <w:sz w:val="22"/>
          <w:szCs w:val="22"/>
        </w:rPr>
        <w:t>ex parte</w:t>
      </w:r>
      <w:r w:rsidR="00940A1C" w:rsidRPr="00A4090B">
        <w:rPr>
          <w:rFonts w:ascii="Arial" w:hAnsi="Arial" w:cs="Arial"/>
          <w:sz w:val="22"/>
          <w:szCs w:val="22"/>
        </w:rPr>
        <w:t xml:space="preserve"> applicant has endeavo</w:t>
      </w:r>
      <w:r w:rsidR="00AE0B06" w:rsidRPr="00A4090B">
        <w:rPr>
          <w:rFonts w:ascii="Arial" w:hAnsi="Arial" w:cs="Arial"/>
          <w:sz w:val="22"/>
          <w:szCs w:val="22"/>
        </w:rPr>
        <w:t>ured in good faith to discharge</w:t>
      </w:r>
      <w:r w:rsidR="00940A1C" w:rsidRPr="00A4090B">
        <w:rPr>
          <w:rFonts w:ascii="Arial" w:hAnsi="Arial" w:cs="Arial"/>
          <w:sz w:val="22"/>
          <w:szCs w:val="22"/>
        </w:rPr>
        <w:t xml:space="preserve"> her duty, </w:t>
      </w:r>
      <w:r w:rsidR="00940A1C" w:rsidRPr="00A4090B">
        <w:rPr>
          <w:rFonts w:ascii="Arial" w:hAnsi="Arial" w:cs="Arial"/>
          <w:i/>
          <w:sz w:val="22"/>
          <w:szCs w:val="22"/>
        </w:rPr>
        <w:t>she will be held to have fallen short if the court finds that matter she regarded</w:t>
      </w:r>
      <w:r w:rsidR="006B104E" w:rsidRPr="00A4090B">
        <w:rPr>
          <w:rFonts w:ascii="Arial" w:hAnsi="Arial" w:cs="Arial"/>
          <w:i/>
          <w:sz w:val="22"/>
          <w:szCs w:val="22"/>
        </w:rPr>
        <w:t xml:space="preserve"> as irrelevant was sufficiently material to require disclosure</w:t>
      </w:r>
      <w:r w:rsidR="006B104E" w:rsidRPr="00A4090B">
        <w:rPr>
          <w:rFonts w:ascii="Arial" w:hAnsi="Arial" w:cs="Arial"/>
          <w:sz w:val="22"/>
          <w:szCs w:val="22"/>
        </w:rPr>
        <w:t xml:space="preserve">. </w:t>
      </w:r>
      <w:r w:rsidR="00443314" w:rsidRPr="00A4090B">
        <w:rPr>
          <w:rFonts w:ascii="Arial" w:hAnsi="Arial" w:cs="Arial"/>
          <w:sz w:val="22"/>
          <w:szCs w:val="22"/>
        </w:rPr>
        <w:t>The test is objective.</w:t>
      </w:r>
    </w:p>
    <w:p w:rsidR="00454167" w:rsidRPr="00A4090B" w:rsidRDefault="00454167" w:rsidP="00A85C11">
      <w:pPr>
        <w:spacing w:line="360" w:lineRule="auto"/>
        <w:jc w:val="both"/>
        <w:rPr>
          <w:rFonts w:ascii="Arial" w:hAnsi="Arial" w:cs="Arial"/>
          <w:sz w:val="22"/>
          <w:szCs w:val="22"/>
        </w:rPr>
      </w:pPr>
      <w:r w:rsidRPr="00A4090B">
        <w:rPr>
          <w:rFonts w:ascii="Arial" w:hAnsi="Arial" w:cs="Arial"/>
          <w:sz w:val="22"/>
          <w:szCs w:val="22"/>
        </w:rPr>
        <w:t>[48]</w:t>
      </w:r>
      <w:r w:rsidR="00410782">
        <w:rPr>
          <w:rFonts w:ascii="Arial" w:hAnsi="Arial" w:cs="Arial"/>
          <w:sz w:val="22"/>
          <w:szCs w:val="22"/>
        </w:rPr>
        <w:t xml:space="preserve"> </w:t>
      </w:r>
      <w:r w:rsidRPr="00A4090B">
        <w:rPr>
          <w:rFonts w:ascii="Arial" w:hAnsi="Arial" w:cs="Arial"/>
          <w:sz w:val="22"/>
          <w:szCs w:val="22"/>
        </w:rPr>
        <w:t xml:space="preserve">As Waller J said in </w:t>
      </w:r>
      <w:r w:rsidRPr="00C21A9E">
        <w:rPr>
          <w:rFonts w:ascii="Arial" w:hAnsi="Arial" w:cs="Arial"/>
          <w:i/>
          <w:sz w:val="22"/>
          <w:szCs w:val="22"/>
        </w:rPr>
        <w:t>Arab Business Consortium</w:t>
      </w:r>
      <w:r w:rsidRPr="00A4090B">
        <w:rPr>
          <w:rFonts w:ascii="Arial" w:hAnsi="Arial" w:cs="Arial"/>
          <w:sz w:val="22"/>
          <w:szCs w:val="22"/>
        </w:rPr>
        <w:t>, points in favour o</w:t>
      </w:r>
      <w:r w:rsidR="003E3FF1" w:rsidRPr="00A4090B">
        <w:rPr>
          <w:rFonts w:ascii="Arial" w:hAnsi="Arial" w:cs="Arial"/>
          <w:sz w:val="22"/>
          <w:szCs w:val="22"/>
        </w:rPr>
        <w:t xml:space="preserve">f the absent party should not </w:t>
      </w:r>
      <w:r w:rsidRPr="00A4090B">
        <w:rPr>
          <w:rFonts w:ascii="Arial" w:hAnsi="Arial" w:cs="Arial"/>
          <w:sz w:val="22"/>
          <w:szCs w:val="22"/>
        </w:rPr>
        <w:t xml:space="preserve">only be drawn to the </w:t>
      </w:r>
      <w:r w:rsidR="00A85C11">
        <w:rPr>
          <w:rFonts w:ascii="Arial" w:hAnsi="Arial" w:cs="Arial"/>
          <w:sz w:val="22"/>
          <w:szCs w:val="22"/>
        </w:rPr>
        <w:t>j</w:t>
      </w:r>
      <w:r w:rsidRPr="00A4090B">
        <w:rPr>
          <w:rFonts w:ascii="Arial" w:hAnsi="Arial" w:cs="Arial"/>
          <w:sz w:val="22"/>
          <w:szCs w:val="22"/>
        </w:rPr>
        <w:t>udge’s atte</w:t>
      </w:r>
      <w:r w:rsidR="003E3FF1" w:rsidRPr="00A4090B">
        <w:rPr>
          <w:rFonts w:ascii="Arial" w:hAnsi="Arial" w:cs="Arial"/>
          <w:sz w:val="22"/>
          <w:szCs w:val="22"/>
        </w:rPr>
        <w:t>ntion, but must be done clearly:</w:t>
      </w:r>
      <w:r w:rsidR="00A85C11">
        <w:rPr>
          <w:rFonts w:ascii="Arial" w:hAnsi="Arial" w:cs="Arial"/>
          <w:sz w:val="22"/>
          <w:szCs w:val="22"/>
        </w:rPr>
        <w:t xml:space="preserve"> </w:t>
      </w:r>
      <w:r w:rsidR="00E753D8" w:rsidRPr="00A4090B">
        <w:rPr>
          <w:rFonts w:ascii="Arial" w:hAnsi="Arial" w:cs="Arial"/>
          <w:sz w:val="22"/>
          <w:szCs w:val="22"/>
        </w:rPr>
        <w:t>“T</w:t>
      </w:r>
      <w:r w:rsidR="00360057" w:rsidRPr="00A4090B">
        <w:rPr>
          <w:rFonts w:ascii="Arial" w:hAnsi="Arial" w:cs="Arial"/>
          <w:sz w:val="22"/>
          <w:szCs w:val="22"/>
        </w:rPr>
        <w:t>here</w:t>
      </w:r>
      <w:r w:rsidRPr="00A4090B">
        <w:rPr>
          <w:rFonts w:ascii="Arial" w:hAnsi="Arial" w:cs="Arial"/>
          <w:sz w:val="22"/>
          <w:szCs w:val="22"/>
        </w:rPr>
        <w:t xml:space="preserve"> should be no thought in </w:t>
      </w:r>
      <w:r w:rsidRPr="00A4090B">
        <w:rPr>
          <w:rFonts w:ascii="Arial" w:hAnsi="Arial" w:cs="Arial"/>
          <w:sz w:val="22"/>
          <w:szCs w:val="22"/>
        </w:rPr>
        <w:lastRenderedPageBreak/>
        <w:t>the mind of those preparing affidavit</w:t>
      </w:r>
      <w:r w:rsidR="00E753D8" w:rsidRPr="00A4090B">
        <w:rPr>
          <w:rFonts w:ascii="Arial" w:hAnsi="Arial" w:cs="Arial"/>
          <w:sz w:val="22"/>
          <w:szCs w:val="22"/>
        </w:rPr>
        <w:t>s</w:t>
      </w:r>
      <w:r w:rsidRPr="00A4090B">
        <w:rPr>
          <w:rFonts w:ascii="Arial" w:hAnsi="Arial" w:cs="Arial"/>
          <w:sz w:val="22"/>
          <w:szCs w:val="22"/>
        </w:rPr>
        <w:t xml:space="preserve"> that provided that somewhere in the exhibits or in the affidavit a point of materiality can be discerned, that is good e</w:t>
      </w:r>
      <w:r w:rsidR="00360057" w:rsidRPr="00A4090B">
        <w:rPr>
          <w:rFonts w:ascii="Arial" w:hAnsi="Arial" w:cs="Arial"/>
          <w:sz w:val="22"/>
          <w:szCs w:val="22"/>
        </w:rPr>
        <w:t>n</w:t>
      </w:r>
      <w:r w:rsidRPr="00A4090B">
        <w:rPr>
          <w:rFonts w:ascii="Arial" w:hAnsi="Arial" w:cs="Arial"/>
          <w:sz w:val="22"/>
          <w:szCs w:val="22"/>
        </w:rPr>
        <w:t>ough</w:t>
      </w:r>
      <w:r w:rsidR="00C21A9E">
        <w:rPr>
          <w:rFonts w:ascii="Arial" w:hAnsi="Arial" w:cs="Arial"/>
          <w:sz w:val="22"/>
          <w:szCs w:val="22"/>
        </w:rPr>
        <w:t>.</w:t>
      </w:r>
      <w:r w:rsidRPr="00A4090B">
        <w:rPr>
          <w:rFonts w:ascii="Arial" w:hAnsi="Arial" w:cs="Arial"/>
          <w:sz w:val="22"/>
          <w:szCs w:val="22"/>
        </w:rPr>
        <w:t>”</w:t>
      </w:r>
    </w:p>
    <w:p w:rsidR="00940A1C" w:rsidRPr="00A4090B" w:rsidRDefault="00360057" w:rsidP="00A4090B">
      <w:pPr>
        <w:spacing w:line="360" w:lineRule="auto"/>
        <w:jc w:val="both"/>
        <w:rPr>
          <w:rFonts w:ascii="Arial" w:hAnsi="Arial" w:cs="Arial"/>
          <w:sz w:val="22"/>
          <w:szCs w:val="22"/>
        </w:rPr>
      </w:pPr>
      <w:r w:rsidRPr="00A4090B">
        <w:rPr>
          <w:rFonts w:ascii="Arial" w:hAnsi="Arial" w:cs="Arial"/>
          <w:sz w:val="22"/>
          <w:szCs w:val="22"/>
        </w:rPr>
        <w:t>[49]</w:t>
      </w:r>
      <w:r w:rsidR="00C21A9E">
        <w:rPr>
          <w:rFonts w:ascii="Arial" w:hAnsi="Arial" w:cs="Arial"/>
          <w:sz w:val="22"/>
          <w:szCs w:val="22"/>
        </w:rPr>
        <w:t xml:space="preserve"> </w:t>
      </w:r>
      <w:r w:rsidRPr="00A4090B">
        <w:rPr>
          <w:rFonts w:ascii="Arial" w:hAnsi="Arial" w:cs="Arial"/>
          <w:i/>
          <w:sz w:val="22"/>
          <w:szCs w:val="22"/>
        </w:rPr>
        <w:t>The ex parte litigant should not be guided by any notion of doing the bare minimum.</w:t>
      </w:r>
      <w:r w:rsidRPr="00A4090B">
        <w:rPr>
          <w:rFonts w:ascii="Arial" w:hAnsi="Arial" w:cs="Arial"/>
          <w:sz w:val="22"/>
          <w:szCs w:val="22"/>
        </w:rPr>
        <w:t xml:space="preserve"> She should not make disclosure in a way calculated </w:t>
      </w:r>
      <w:r w:rsidR="00B11C81" w:rsidRPr="00A4090B">
        <w:rPr>
          <w:rFonts w:ascii="Arial" w:hAnsi="Arial" w:cs="Arial"/>
          <w:sz w:val="22"/>
          <w:szCs w:val="22"/>
        </w:rPr>
        <w:t xml:space="preserve">to deflect the </w:t>
      </w:r>
      <w:r w:rsidR="00A85C11">
        <w:rPr>
          <w:rFonts w:ascii="Arial" w:hAnsi="Arial" w:cs="Arial"/>
          <w:sz w:val="22"/>
          <w:szCs w:val="22"/>
        </w:rPr>
        <w:t>j</w:t>
      </w:r>
      <w:r w:rsidR="00B11C81" w:rsidRPr="00A4090B">
        <w:rPr>
          <w:rFonts w:ascii="Arial" w:hAnsi="Arial" w:cs="Arial"/>
          <w:sz w:val="22"/>
          <w:szCs w:val="22"/>
        </w:rPr>
        <w:t xml:space="preserve">udge’s attention from the force and substance of the absent respondent’s known or likely stance on the matters </w:t>
      </w:r>
      <w:r w:rsidR="00A85C11">
        <w:rPr>
          <w:rFonts w:ascii="Arial" w:hAnsi="Arial" w:cs="Arial"/>
          <w:sz w:val="22"/>
          <w:szCs w:val="22"/>
        </w:rPr>
        <w:t>at</w:t>
      </w:r>
      <w:r w:rsidR="00B11C81" w:rsidRPr="00A4090B">
        <w:rPr>
          <w:rFonts w:ascii="Arial" w:hAnsi="Arial" w:cs="Arial"/>
          <w:sz w:val="22"/>
          <w:szCs w:val="22"/>
        </w:rPr>
        <w:t xml:space="preserve"> issue</w:t>
      </w:r>
      <w:r w:rsidR="00B3419B" w:rsidRPr="00A4090B">
        <w:rPr>
          <w:rFonts w:ascii="Arial" w:hAnsi="Arial" w:cs="Arial"/>
          <w:sz w:val="22"/>
          <w:szCs w:val="22"/>
        </w:rPr>
        <w:t>. G</w:t>
      </w:r>
      <w:r w:rsidR="00B11C81" w:rsidRPr="00A4090B">
        <w:rPr>
          <w:rFonts w:ascii="Arial" w:hAnsi="Arial" w:cs="Arial"/>
          <w:sz w:val="22"/>
          <w:szCs w:val="22"/>
        </w:rPr>
        <w:t>enerally</w:t>
      </w:r>
      <w:r w:rsidR="00A85C11">
        <w:rPr>
          <w:rFonts w:ascii="Arial" w:hAnsi="Arial" w:cs="Arial"/>
          <w:sz w:val="22"/>
          <w:szCs w:val="22"/>
        </w:rPr>
        <w:t>,</w:t>
      </w:r>
      <w:r w:rsidR="00B11C81" w:rsidRPr="00A4090B">
        <w:rPr>
          <w:rFonts w:ascii="Arial" w:hAnsi="Arial" w:cs="Arial"/>
          <w:sz w:val="22"/>
          <w:szCs w:val="22"/>
        </w:rPr>
        <w:t xml:space="preserve"> this will require disclosure in the body of the affidavit. The </w:t>
      </w:r>
      <w:r w:rsidR="00A85C11">
        <w:rPr>
          <w:rFonts w:ascii="Arial" w:hAnsi="Arial" w:cs="Arial"/>
          <w:sz w:val="22"/>
          <w:szCs w:val="22"/>
        </w:rPr>
        <w:t>j</w:t>
      </w:r>
      <w:r w:rsidR="00B11C81" w:rsidRPr="00A4090B">
        <w:rPr>
          <w:rFonts w:ascii="Arial" w:hAnsi="Arial" w:cs="Arial"/>
          <w:sz w:val="22"/>
          <w:szCs w:val="22"/>
        </w:rPr>
        <w:t xml:space="preserve">udge </w:t>
      </w:r>
      <w:r w:rsidR="00B3419B" w:rsidRPr="00A4090B">
        <w:rPr>
          <w:rFonts w:ascii="Arial" w:hAnsi="Arial" w:cs="Arial"/>
          <w:sz w:val="22"/>
          <w:szCs w:val="22"/>
        </w:rPr>
        <w:t xml:space="preserve">who </w:t>
      </w:r>
      <w:r w:rsidR="00B11C81" w:rsidRPr="00A4090B">
        <w:rPr>
          <w:rFonts w:ascii="Arial" w:hAnsi="Arial" w:cs="Arial"/>
          <w:sz w:val="22"/>
          <w:szCs w:val="22"/>
        </w:rPr>
        <w:t xml:space="preserve">hears an </w:t>
      </w:r>
      <w:r w:rsidR="00B11C81" w:rsidRPr="00A85C11">
        <w:rPr>
          <w:rFonts w:ascii="Arial" w:hAnsi="Arial" w:cs="Arial"/>
          <w:sz w:val="22"/>
          <w:szCs w:val="22"/>
        </w:rPr>
        <w:t>ex parte</w:t>
      </w:r>
      <w:r w:rsidR="00B11C81" w:rsidRPr="00A4090B">
        <w:rPr>
          <w:rFonts w:ascii="Arial" w:hAnsi="Arial" w:cs="Arial"/>
          <w:sz w:val="22"/>
          <w:szCs w:val="22"/>
        </w:rPr>
        <w:t xml:space="preserve"> application, particularly if urgent and voluminous, is rarely able </w:t>
      </w:r>
      <w:r w:rsidR="00C21A9E">
        <w:rPr>
          <w:rFonts w:ascii="Arial" w:hAnsi="Arial" w:cs="Arial"/>
          <w:sz w:val="22"/>
          <w:szCs w:val="22"/>
        </w:rPr>
        <w:t xml:space="preserve">to </w:t>
      </w:r>
      <w:r w:rsidR="00B11C81" w:rsidRPr="00A4090B">
        <w:rPr>
          <w:rFonts w:ascii="Arial" w:hAnsi="Arial" w:cs="Arial"/>
          <w:sz w:val="22"/>
          <w:szCs w:val="22"/>
        </w:rPr>
        <w:t xml:space="preserve">study the papers at length and cannot be expected to trawl through annexures in order to find material favouring the absent party. </w:t>
      </w:r>
    </w:p>
    <w:p w:rsidR="00B11C81" w:rsidRPr="00A4090B" w:rsidRDefault="00B11C81" w:rsidP="00A4090B">
      <w:pPr>
        <w:spacing w:line="360" w:lineRule="auto"/>
        <w:jc w:val="both"/>
        <w:rPr>
          <w:rFonts w:ascii="Arial" w:hAnsi="Arial" w:cs="Arial"/>
          <w:sz w:val="22"/>
          <w:szCs w:val="22"/>
        </w:rPr>
      </w:pPr>
      <w:r w:rsidRPr="00A4090B">
        <w:rPr>
          <w:rFonts w:ascii="Arial" w:hAnsi="Arial" w:cs="Arial"/>
          <w:sz w:val="22"/>
          <w:szCs w:val="22"/>
        </w:rPr>
        <w:t>[50]</w:t>
      </w:r>
      <w:r w:rsidR="00C21A9E">
        <w:rPr>
          <w:rFonts w:ascii="Arial" w:hAnsi="Arial" w:cs="Arial"/>
          <w:sz w:val="22"/>
          <w:szCs w:val="22"/>
        </w:rPr>
        <w:t xml:space="preserve"> </w:t>
      </w:r>
      <w:r w:rsidR="004B44D0" w:rsidRPr="00A4090B">
        <w:rPr>
          <w:rFonts w:ascii="Arial" w:hAnsi="Arial" w:cs="Arial"/>
          <w:sz w:val="22"/>
          <w:szCs w:val="22"/>
        </w:rPr>
        <w:t xml:space="preserve">In regard to the </w:t>
      </w:r>
      <w:r w:rsidR="00C21A9E">
        <w:rPr>
          <w:rFonts w:ascii="Arial" w:hAnsi="Arial" w:cs="Arial"/>
          <w:sz w:val="22"/>
          <w:szCs w:val="22"/>
        </w:rPr>
        <w:t>c</w:t>
      </w:r>
      <w:r w:rsidRPr="00A4090B">
        <w:rPr>
          <w:rFonts w:ascii="Arial" w:hAnsi="Arial" w:cs="Arial"/>
          <w:sz w:val="22"/>
          <w:szCs w:val="22"/>
        </w:rPr>
        <w:t>ourt’s discretion as to whether to set aside an</w:t>
      </w:r>
      <w:r w:rsidR="004B44D0" w:rsidRPr="00A4090B">
        <w:rPr>
          <w:rFonts w:ascii="Arial" w:hAnsi="Arial" w:cs="Arial"/>
          <w:sz w:val="22"/>
          <w:szCs w:val="22"/>
        </w:rPr>
        <w:t xml:space="preserve"> </w:t>
      </w:r>
      <w:r w:rsidR="004B44D0" w:rsidRPr="00A85C11">
        <w:rPr>
          <w:rFonts w:ascii="Arial" w:hAnsi="Arial" w:cs="Arial"/>
          <w:sz w:val="22"/>
          <w:szCs w:val="22"/>
        </w:rPr>
        <w:t>ex parte</w:t>
      </w:r>
      <w:r w:rsidR="004B44D0" w:rsidRPr="00A4090B">
        <w:rPr>
          <w:rFonts w:ascii="Arial" w:hAnsi="Arial" w:cs="Arial"/>
          <w:sz w:val="22"/>
          <w:szCs w:val="22"/>
        </w:rPr>
        <w:t xml:space="preserve"> order because of non-</w:t>
      </w:r>
      <w:r w:rsidRPr="00A4090B">
        <w:rPr>
          <w:rFonts w:ascii="Arial" w:hAnsi="Arial" w:cs="Arial"/>
          <w:sz w:val="22"/>
          <w:szCs w:val="22"/>
        </w:rPr>
        <w:t xml:space="preserve">disclosure, Le Roux J said in </w:t>
      </w:r>
      <w:r w:rsidRPr="00C21A9E">
        <w:rPr>
          <w:rFonts w:ascii="Arial" w:hAnsi="Arial" w:cs="Arial"/>
          <w:i/>
          <w:sz w:val="22"/>
          <w:szCs w:val="22"/>
        </w:rPr>
        <w:t>Schlesinger v Schlesinger</w:t>
      </w:r>
      <w:r w:rsidRPr="00A4090B">
        <w:rPr>
          <w:rFonts w:ascii="Arial" w:hAnsi="Arial" w:cs="Arial"/>
          <w:sz w:val="22"/>
          <w:szCs w:val="22"/>
        </w:rPr>
        <w:t>:</w:t>
      </w:r>
    </w:p>
    <w:p w:rsidR="00B11C81" w:rsidRPr="00A4090B" w:rsidRDefault="00A85C11" w:rsidP="00A4090B">
      <w:pPr>
        <w:spacing w:line="360" w:lineRule="auto"/>
        <w:ind w:left="720"/>
        <w:jc w:val="both"/>
        <w:rPr>
          <w:rFonts w:ascii="Arial" w:hAnsi="Arial" w:cs="Arial"/>
          <w:sz w:val="22"/>
          <w:szCs w:val="22"/>
        </w:rPr>
      </w:pPr>
      <w:r>
        <w:rPr>
          <w:rFonts w:ascii="Arial" w:hAnsi="Arial" w:cs="Arial"/>
          <w:sz w:val="22"/>
          <w:szCs w:val="22"/>
        </w:rPr>
        <w:t>“(U)</w:t>
      </w:r>
      <w:r w:rsidR="00B11C81" w:rsidRPr="00A4090B">
        <w:rPr>
          <w:rFonts w:ascii="Arial" w:hAnsi="Arial" w:cs="Arial"/>
          <w:sz w:val="22"/>
          <w:szCs w:val="22"/>
        </w:rPr>
        <w:t xml:space="preserve">nless there are very cogent practical reasons why an order </w:t>
      </w:r>
      <w:r w:rsidR="00874BF2" w:rsidRPr="00A4090B">
        <w:rPr>
          <w:rFonts w:ascii="Arial" w:hAnsi="Arial" w:cs="Arial"/>
          <w:sz w:val="22"/>
          <w:szCs w:val="22"/>
        </w:rPr>
        <w:t>should</w:t>
      </w:r>
      <w:r w:rsidR="004B44D0" w:rsidRPr="00A4090B">
        <w:rPr>
          <w:rFonts w:ascii="Arial" w:hAnsi="Arial" w:cs="Arial"/>
          <w:sz w:val="22"/>
          <w:szCs w:val="22"/>
        </w:rPr>
        <w:t xml:space="preserve"> not be rescinded, the C</w:t>
      </w:r>
      <w:r w:rsidR="00B11C81" w:rsidRPr="00A4090B">
        <w:rPr>
          <w:rFonts w:ascii="Arial" w:hAnsi="Arial" w:cs="Arial"/>
          <w:sz w:val="22"/>
          <w:szCs w:val="22"/>
        </w:rPr>
        <w:t xml:space="preserve">ourt will always </w:t>
      </w:r>
      <w:r w:rsidR="00874BF2" w:rsidRPr="00A4090B">
        <w:rPr>
          <w:rFonts w:ascii="Arial" w:hAnsi="Arial" w:cs="Arial"/>
          <w:sz w:val="22"/>
          <w:szCs w:val="22"/>
        </w:rPr>
        <w:t>frown</w:t>
      </w:r>
      <w:r w:rsidR="00B11C81" w:rsidRPr="00A4090B">
        <w:rPr>
          <w:rFonts w:ascii="Arial" w:hAnsi="Arial" w:cs="Arial"/>
          <w:sz w:val="22"/>
          <w:szCs w:val="22"/>
        </w:rPr>
        <w:t xml:space="preserve"> on an order obtained </w:t>
      </w:r>
      <w:r w:rsidR="00B11C81" w:rsidRPr="00927569">
        <w:rPr>
          <w:rFonts w:ascii="Arial" w:hAnsi="Arial" w:cs="Arial"/>
          <w:i/>
          <w:sz w:val="22"/>
          <w:szCs w:val="22"/>
        </w:rPr>
        <w:t>ex parte</w:t>
      </w:r>
      <w:r w:rsidR="00B11C81" w:rsidRPr="00A4090B">
        <w:rPr>
          <w:rFonts w:ascii="Arial" w:hAnsi="Arial" w:cs="Arial"/>
          <w:sz w:val="22"/>
          <w:szCs w:val="22"/>
        </w:rPr>
        <w:t xml:space="preserve"> on incomplete information and will set it aside even </w:t>
      </w:r>
      <w:r w:rsidR="00874BF2" w:rsidRPr="00A4090B">
        <w:rPr>
          <w:rFonts w:ascii="Arial" w:hAnsi="Arial" w:cs="Arial"/>
          <w:sz w:val="22"/>
          <w:szCs w:val="22"/>
        </w:rPr>
        <w:t>if relief could be obtain</w:t>
      </w:r>
      <w:r w:rsidR="008451CB" w:rsidRPr="00A4090B">
        <w:rPr>
          <w:rFonts w:ascii="Arial" w:hAnsi="Arial" w:cs="Arial"/>
          <w:sz w:val="22"/>
          <w:szCs w:val="22"/>
        </w:rPr>
        <w:t>ed</w:t>
      </w:r>
      <w:r w:rsidR="00874BF2" w:rsidRPr="00A4090B">
        <w:rPr>
          <w:rFonts w:ascii="Arial" w:hAnsi="Arial" w:cs="Arial"/>
          <w:sz w:val="22"/>
          <w:szCs w:val="22"/>
        </w:rPr>
        <w:t xml:space="preserve"> on a subsequent application by the same applicant</w:t>
      </w:r>
      <w:r w:rsidR="00C21A9E">
        <w:rPr>
          <w:rFonts w:ascii="Arial" w:hAnsi="Arial" w:cs="Arial"/>
          <w:sz w:val="22"/>
          <w:szCs w:val="22"/>
        </w:rPr>
        <w:t>.</w:t>
      </w:r>
      <w:r w:rsidR="00874BF2" w:rsidRPr="00A4090B">
        <w:rPr>
          <w:rFonts w:ascii="Arial" w:hAnsi="Arial" w:cs="Arial"/>
          <w:sz w:val="22"/>
          <w:szCs w:val="22"/>
        </w:rPr>
        <w:t>”</w:t>
      </w:r>
    </w:p>
    <w:p w:rsidR="008039C6" w:rsidRPr="00A4090B" w:rsidRDefault="00AE27F7" w:rsidP="00A4090B">
      <w:pPr>
        <w:spacing w:line="360" w:lineRule="auto"/>
        <w:jc w:val="both"/>
        <w:rPr>
          <w:rFonts w:ascii="Arial" w:hAnsi="Arial" w:cs="Arial"/>
          <w:sz w:val="22"/>
          <w:szCs w:val="22"/>
        </w:rPr>
      </w:pPr>
      <w:r w:rsidRPr="00A4090B">
        <w:rPr>
          <w:rFonts w:ascii="Arial" w:hAnsi="Arial" w:cs="Arial"/>
          <w:sz w:val="22"/>
          <w:szCs w:val="22"/>
        </w:rPr>
        <w:t>[51]</w:t>
      </w:r>
      <w:r w:rsidR="00C21A9E">
        <w:rPr>
          <w:rFonts w:ascii="Arial" w:hAnsi="Arial" w:cs="Arial"/>
          <w:sz w:val="22"/>
          <w:szCs w:val="22"/>
        </w:rPr>
        <w:t xml:space="preserve"> </w:t>
      </w:r>
      <w:r w:rsidRPr="00A4090B">
        <w:rPr>
          <w:rFonts w:ascii="Arial" w:hAnsi="Arial" w:cs="Arial"/>
          <w:sz w:val="22"/>
          <w:szCs w:val="22"/>
        </w:rPr>
        <w:t>This is consistent</w:t>
      </w:r>
      <w:r w:rsidR="008039C6" w:rsidRPr="00A4090B">
        <w:rPr>
          <w:rFonts w:ascii="Arial" w:hAnsi="Arial" w:cs="Arial"/>
          <w:sz w:val="22"/>
          <w:szCs w:val="22"/>
        </w:rPr>
        <w:t xml:space="preserve"> with the approach in English law, that if material non-disclosure is established a court will be “astute to ensure that a plaintiff who obtains [an </w:t>
      </w:r>
      <w:r w:rsidR="008039C6" w:rsidRPr="00927569">
        <w:rPr>
          <w:rFonts w:ascii="Arial" w:hAnsi="Arial" w:cs="Arial"/>
          <w:sz w:val="22"/>
          <w:szCs w:val="22"/>
        </w:rPr>
        <w:t>ex parte</w:t>
      </w:r>
      <w:r w:rsidR="008039C6" w:rsidRPr="00A4090B">
        <w:rPr>
          <w:rFonts w:ascii="Arial" w:hAnsi="Arial" w:cs="Arial"/>
          <w:sz w:val="22"/>
          <w:szCs w:val="22"/>
        </w:rPr>
        <w:t xml:space="preserve"> order] without full disclosure, is deprived of any advantage he may have derived by that breach of duty</w:t>
      </w:r>
      <w:r w:rsidR="00927569">
        <w:rPr>
          <w:rFonts w:ascii="Arial" w:hAnsi="Arial" w:cs="Arial"/>
          <w:sz w:val="22"/>
          <w:szCs w:val="22"/>
        </w:rPr>
        <w:t>”</w:t>
      </w:r>
      <w:r w:rsidR="008039C6" w:rsidRPr="00A4090B">
        <w:rPr>
          <w:rFonts w:ascii="Arial" w:hAnsi="Arial" w:cs="Arial"/>
          <w:sz w:val="22"/>
          <w:szCs w:val="22"/>
        </w:rPr>
        <w:t>.</w:t>
      </w:r>
    </w:p>
    <w:p w:rsidR="00DB1484" w:rsidRPr="00A4090B" w:rsidRDefault="002A58D5" w:rsidP="00A4090B">
      <w:pPr>
        <w:spacing w:line="360" w:lineRule="auto"/>
        <w:jc w:val="both"/>
        <w:rPr>
          <w:rFonts w:ascii="Arial" w:hAnsi="Arial" w:cs="Arial"/>
          <w:sz w:val="22"/>
          <w:szCs w:val="22"/>
        </w:rPr>
      </w:pPr>
      <w:r w:rsidRPr="00A4090B">
        <w:rPr>
          <w:rFonts w:ascii="Arial" w:hAnsi="Arial" w:cs="Arial"/>
          <w:sz w:val="22"/>
          <w:szCs w:val="22"/>
        </w:rPr>
        <w:t>[52]</w:t>
      </w:r>
      <w:r w:rsidR="00C21A9E">
        <w:rPr>
          <w:rFonts w:ascii="Arial" w:hAnsi="Arial" w:cs="Arial"/>
          <w:sz w:val="22"/>
          <w:szCs w:val="22"/>
        </w:rPr>
        <w:t xml:space="preserve"> </w:t>
      </w:r>
      <w:r w:rsidRPr="00A4090B">
        <w:rPr>
          <w:rFonts w:ascii="Arial" w:hAnsi="Arial" w:cs="Arial"/>
          <w:sz w:val="22"/>
          <w:szCs w:val="22"/>
        </w:rPr>
        <w:t xml:space="preserve">As to the factors that are relevant in the court’s exercise of its discretion whether or not to set aside an </w:t>
      </w:r>
      <w:r w:rsidRPr="00927569">
        <w:rPr>
          <w:rFonts w:ascii="Arial" w:hAnsi="Arial" w:cs="Arial"/>
          <w:sz w:val="22"/>
          <w:szCs w:val="22"/>
        </w:rPr>
        <w:t>ex parte</w:t>
      </w:r>
      <w:r w:rsidRPr="00A4090B">
        <w:rPr>
          <w:rFonts w:ascii="Arial" w:hAnsi="Arial" w:cs="Arial"/>
          <w:sz w:val="22"/>
          <w:szCs w:val="22"/>
        </w:rPr>
        <w:t xml:space="preserve"> order on ground</w:t>
      </w:r>
      <w:r w:rsidR="00AD7844" w:rsidRPr="00A4090B">
        <w:rPr>
          <w:rFonts w:ascii="Arial" w:hAnsi="Arial" w:cs="Arial"/>
          <w:sz w:val="22"/>
          <w:szCs w:val="22"/>
        </w:rPr>
        <w:t>s</w:t>
      </w:r>
      <w:r w:rsidRPr="00A4090B">
        <w:rPr>
          <w:rFonts w:ascii="Arial" w:hAnsi="Arial" w:cs="Arial"/>
          <w:sz w:val="22"/>
          <w:szCs w:val="22"/>
        </w:rPr>
        <w:t xml:space="preserve"> of non-discl</w:t>
      </w:r>
      <w:r w:rsidR="00AD7844" w:rsidRPr="00A4090B">
        <w:rPr>
          <w:rFonts w:ascii="Arial" w:hAnsi="Arial" w:cs="Arial"/>
          <w:sz w:val="22"/>
          <w:szCs w:val="22"/>
        </w:rPr>
        <w:t xml:space="preserve">osure, in </w:t>
      </w:r>
      <w:r w:rsidR="00AD7844" w:rsidRPr="00C21A9E">
        <w:rPr>
          <w:rFonts w:ascii="Arial" w:hAnsi="Arial" w:cs="Arial"/>
          <w:i/>
          <w:sz w:val="22"/>
          <w:szCs w:val="22"/>
        </w:rPr>
        <w:t>NDPP v Phillips</w:t>
      </w:r>
      <w:r w:rsidR="00AD7844" w:rsidRPr="00A4090B">
        <w:rPr>
          <w:rFonts w:ascii="Arial" w:hAnsi="Arial" w:cs="Arial"/>
          <w:sz w:val="22"/>
          <w:szCs w:val="22"/>
        </w:rPr>
        <w:t xml:space="preserve"> this </w:t>
      </w:r>
      <w:r w:rsidR="00C21A9E">
        <w:rPr>
          <w:rFonts w:ascii="Arial" w:hAnsi="Arial" w:cs="Arial"/>
          <w:sz w:val="22"/>
          <w:szCs w:val="22"/>
        </w:rPr>
        <w:t>c</w:t>
      </w:r>
      <w:r w:rsidRPr="00A4090B">
        <w:rPr>
          <w:rFonts w:ascii="Arial" w:hAnsi="Arial" w:cs="Arial"/>
          <w:sz w:val="22"/>
          <w:szCs w:val="22"/>
        </w:rPr>
        <w:t>ourt said that regard must be had to the extent of the no</w:t>
      </w:r>
      <w:r w:rsidR="00927569">
        <w:rPr>
          <w:rFonts w:ascii="Arial" w:hAnsi="Arial" w:cs="Arial"/>
          <w:sz w:val="22"/>
          <w:szCs w:val="22"/>
        </w:rPr>
        <w:t>n</w:t>
      </w:r>
      <w:r w:rsidRPr="00A4090B">
        <w:rPr>
          <w:rFonts w:ascii="Arial" w:hAnsi="Arial" w:cs="Arial"/>
          <w:sz w:val="22"/>
          <w:szCs w:val="22"/>
        </w:rPr>
        <w:t xml:space="preserve">-disclosure, the question whether the </w:t>
      </w:r>
      <w:r w:rsidR="00927569">
        <w:rPr>
          <w:rFonts w:ascii="Arial" w:hAnsi="Arial" w:cs="Arial"/>
          <w:sz w:val="22"/>
          <w:szCs w:val="22"/>
        </w:rPr>
        <w:t>j</w:t>
      </w:r>
      <w:r w:rsidRPr="00A4090B">
        <w:rPr>
          <w:rFonts w:ascii="Arial" w:hAnsi="Arial" w:cs="Arial"/>
          <w:sz w:val="22"/>
          <w:szCs w:val="22"/>
        </w:rPr>
        <w:t xml:space="preserve">udge hearing the </w:t>
      </w:r>
      <w:r w:rsidRPr="00927569">
        <w:rPr>
          <w:rFonts w:ascii="Arial" w:hAnsi="Arial" w:cs="Arial"/>
          <w:sz w:val="22"/>
          <w:szCs w:val="22"/>
        </w:rPr>
        <w:t>ex parte</w:t>
      </w:r>
      <w:r w:rsidRPr="00C21A9E">
        <w:rPr>
          <w:rFonts w:ascii="Arial" w:hAnsi="Arial" w:cs="Arial"/>
          <w:i/>
          <w:sz w:val="22"/>
          <w:szCs w:val="22"/>
        </w:rPr>
        <w:t xml:space="preserve"> </w:t>
      </w:r>
      <w:r w:rsidRPr="00A4090B">
        <w:rPr>
          <w:rFonts w:ascii="Arial" w:hAnsi="Arial" w:cs="Arial"/>
          <w:sz w:val="22"/>
          <w:szCs w:val="22"/>
        </w:rPr>
        <w:t xml:space="preserve">application might have been influenced by proper disclosure, the reasons for non-disclosure and the </w:t>
      </w:r>
      <w:r w:rsidR="00AC6B8B" w:rsidRPr="00A4090B">
        <w:rPr>
          <w:rFonts w:ascii="Arial" w:hAnsi="Arial" w:cs="Arial"/>
          <w:sz w:val="22"/>
          <w:szCs w:val="22"/>
        </w:rPr>
        <w:t>consequences of setting the provisional order aside.’</w:t>
      </w:r>
      <w:r w:rsidR="00AD7844" w:rsidRPr="00A4090B">
        <w:rPr>
          <w:rFonts w:ascii="Arial" w:hAnsi="Arial" w:cs="Arial"/>
          <w:sz w:val="22"/>
          <w:szCs w:val="22"/>
        </w:rPr>
        <w:t xml:space="preserve"> (My</w:t>
      </w:r>
      <w:r w:rsidR="00A4090B">
        <w:rPr>
          <w:rFonts w:ascii="Arial" w:hAnsi="Arial" w:cs="Arial"/>
          <w:sz w:val="22"/>
          <w:szCs w:val="22"/>
        </w:rPr>
        <w:t xml:space="preserve"> emphasis.</w:t>
      </w:r>
      <w:r w:rsidR="00AD7844" w:rsidRPr="00A4090B">
        <w:rPr>
          <w:rFonts w:ascii="Arial" w:hAnsi="Arial" w:cs="Arial"/>
          <w:sz w:val="22"/>
          <w:szCs w:val="22"/>
        </w:rPr>
        <w:t>)</w:t>
      </w:r>
      <w:r w:rsidR="00C21A9E">
        <w:rPr>
          <w:rFonts w:ascii="Arial" w:hAnsi="Arial" w:cs="Arial"/>
          <w:sz w:val="22"/>
          <w:szCs w:val="22"/>
        </w:rPr>
        <w:t xml:space="preserve"> (Footnotes omitted.)</w:t>
      </w:r>
    </w:p>
    <w:p w:rsidR="00C76715" w:rsidRPr="00555295" w:rsidRDefault="00C76715" w:rsidP="00555295">
      <w:pPr>
        <w:spacing w:line="360" w:lineRule="auto"/>
        <w:ind w:left="720"/>
        <w:jc w:val="both"/>
        <w:rPr>
          <w:rFonts w:ascii="Arial" w:hAnsi="Arial" w:cs="Arial"/>
        </w:rPr>
      </w:pPr>
    </w:p>
    <w:p w:rsidR="00C47738" w:rsidRDefault="00C76715" w:rsidP="00555295">
      <w:pPr>
        <w:spacing w:line="360" w:lineRule="auto"/>
        <w:jc w:val="both"/>
        <w:rPr>
          <w:rFonts w:ascii="Arial" w:hAnsi="Arial" w:cs="Arial"/>
        </w:rPr>
      </w:pPr>
      <w:r w:rsidRPr="00555295">
        <w:rPr>
          <w:rFonts w:ascii="Arial" w:hAnsi="Arial" w:cs="Arial"/>
        </w:rPr>
        <w:t>[76]</w:t>
      </w:r>
      <w:r w:rsidRPr="00555295">
        <w:rPr>
          <w:rFonts w:ascii="Arial" w:hAnsi="Arial" w:cs="Arial"/>
        </w:rPr>
        <w:tab/>
      </w:r>
      <w:r w:rsidR="00DB1484" w:rsidRPr="00555295">
        <w:rPr>
          <w:rFonts w:ascii="Arial" w:hAnsi="Arial" w:cs="Arial"/>
        </w:rPr>
        <w:t>From the new facts which have since</w:t>
      </w:r>
      <w:r w:rsidR="002A58D5" w:rsidRPr="00555295">
        <w:rPr>
          <w:rFonts w:ascii="Arial" w:hAnsi="Arial" w:cs="Arial"/>
        </w:rPr>
        <w:t xml:space="preserve"> </w:t>
      </w:r>
      <w:r w:rsidR="00DB1484" w:rsidRPr="00555295">
        <w:rPr>
          <w:rFonts w:ascii="Arial" w:hAnsi="Arial" w:cs="Arial"/>
        </w:rPr>
        <w:t>emerged in this application, it appears to me that the first respondent and</w:t>
      </w:r>
      <w:r w:rsidR="002C3DBB">
        <w:rPr>
          <w:rFonts w:ascii="Arial" w:hAnsi="Arial" w:cs="Arial"/>
        </w:rPr>
        <w:t>/</w:t>
      </w:r>
      <w:r w:rsidR="00DB1484" w:rsidRPr="00555295">
        <w:rPr>
          <w:rFonts w:ascii="Arial" w:hAnsi="Arial" w:cs="Arial"/>
        </w:rPr>
        <w:t xml:space="preserve">or its directors or attorneys failed to “exercise due care and make such </w:t>
      </w:r>
      <w:r w:rsidR="00711B34" w:rsidRPr="00555295">
        <w:rPr>
          <w:rFonts w:ascii="Arial" w:hAnsi="Arial" w:cs="Arial"/>
        </w:rPr>
        <w:t>enquiries and</w:t>
      </w:r>
      <w:r w:rsidR="00A94960" w:rsidRPr="00555295">
        <w:rPr>
          <w:rFonts w:ascii="Arial" w:hAnsi="Arial" w:cs="Arial"/>
        </w:rPr>
        <w:t xml:space="preserve"> conduct</w:t>
      </w:r>
      <w:r w:rsidR="00DB1484" w:rsidRPr="00555295">
        <w:rPr>
          <w:rFonts w:ascii="Arial" w:hAnsi="Arial" w:cs="Arial"/>
        </w:rPr>
        <w:t xml:space="preserve"> such investigations as are </w:t>
      </w:r>
      <w:r w:rsidR="00711B34" w:rsidRPr="00555295">
        <w:rPr>
          <w:rFonts w:ascii="Arial" w:hAnsi="Arial" w:cs="Arial"/>
        </w:rPr>
        <w:t>reasonable</w:t>
      </w:r>
      <w:r w:rsidR="00DB1484" w:rsidRPr="00555295">
        <w:rPr>
          <w:rFonts w:ascii="Arial" w:hAnsi="Arial" w:cs="Arial"/>
        </w:rPr>
        <w:t xml:space="preserve"> </w:t>
      </w:r>
      <w:r w:rsidR="00711B34" w:rsidRPr="00555295">
        <w:rPr>
          <w:rFonts w:ascii="Arial" w:hAnsi="Arial" w:cs="Arial"/>
        </w:rPr>
        <w:t>in the circumstances before seeking ex parte relief” relating to the final order which fundamentally violated ownership and</w:t>
      </w:r>
      <w:r w:rsidR="006D7B0B">
        <w:rPr>
          <w:rFonts w:ascii="Arial" w:hAnsi="Arial" w:cs="Arial"/>
        </w:rPr>
        <w:t>/</w:t>
      </w:r>
      <w:r w:rsidR="00711B34" w:rsidRPr="00555295">
        <w:rPr>
          <w:rFonts w:ascii="Arial" w:hAnsi="Arial" w:cs="Arial"/>
        </w:rPr>
        <w:t>or possessory rights of the applicants. It see</w:t>
      </w:r>
      <w:r w:rsidRPr="00555295">
        <w:rPr>
          <w:rFonts w:ascii="Arial" w:hAnsi="Arial" w:cs="Arial"/>
        </w:rPr>
        <w:t>ms they were guided by a “</w:t>
      </w:r>
      <w:r w:rsidR="00711B34" w:rsidRPr="00555295">
        <w:rPr>
          <w:rFonts w:ascii="Arial" w:hAnsi="Arial" w:cs="Arial"/>
        </w:rPr>
        <w:t>notion of doing the bare minimum”.</w:t>
      </w:r>
    </w:p>
    <w:p w:rsidR="00B32813" w:rsidRPr="00555295" w:rsidRDefault="00B32813" w:rsidP="00555295">
      <w:pPr>
        <w:spacing w:line="360" w:lineRule="auto"/>
        <w:jc w:val="both"/>
        <w:rPr>
          <w:rFonts w:ascii="Arial" w:hAnsi="Arial" w:cs="Arial"/>
        </w:rPr>
      </w:pPr>
    </w:p>
    <w:p w:rsidR="006A3AA3" w:rsidRPr="00555295" w:rsidRDefault="006A3AA3" w:rsidP="00555295">
      <w:pPr>
        <w:spacing w:line="360" w:lineRule="auto"/>
        <w:jc w:val="both"/>
        <w:rPr>
          <w:rFonts w:ascii="Arial" w:hAnsi="Arial" w:cs="Arial"/>
        </w:rPr>
      </w:pPr>
      <w:r w:rsidRPr="00555295">
        <w:rPr>
          <w:rFonts w:ascii="Arial" w:hAnsi="Arial" w:cs="Arial"/>
        </w:rPr>
        <w:t>[77]</w:t>
      </w:r>
      <w:r w:rsidRPr="00555295">
        <w:rPr>
          <w:rFonts w:ascii="Arial" w:hAnsi="Arial" w:cs="Arial"/>
        </w:rPr>
        <w:tab/>
        <w:t>What demonstrate</w:t>
      </w:r>
      <w:r w:rsidR="003F7378" w:rsidRPr="00555295">
        <w:rPr>
          <w:rFonts w:ascii="Arial" w:hAnsi="Arial" w:cs="Arial"/>
        </w:rPr>
        <w:t>s</w:t>
      </w:r>
      <w:r w:rsidRPr="00555295">
        <w:rPr>
          <w:rFonts w:ascii="Arial" w:hAnsi="Arial" w:cs="Arial"/>
        </w:rPr>
        <w:t xml:space="preserve"> that </w:t>
      </w:r>
      <w:r w:rsidR="0087403B" w:rsidRPr="00555295">
        <w:rPr>
          <w:rFonts w:ascii="Arial" w:hAnsi="Arial" w:cs="Arial"/>
        </w:rPr>
        <w:t>fact</w:t>
      </w:r>
      <w:r w:rsidRPr="00555295">
        <w:rPr>
          <w:rFonts w:ascii="Arial" w:hAnsi="Arial" w:cs="Arial"/>
        </w:rPr>
        <w:t xml:space="preserve"> is the ease with which Strauss was able to trace the o</w:t>
      </w:r>
      <w:r w:rsidR="003F7378" w:rsidRPr="00555295">
        <w:rPr>
          <w:rFonts w:ascii="Arial" w:hAnsi="Arial" w:cs="Arial"/>
        </w:rPr>
        <w:t xml:space="preserve">wners of the farms apparently </w:t>
      </w:r>
      <w:r w:rsidRPr="00555295">
        <w:rPr>
          <w:rFonts w:ascii="Arial" w:hAnsi="Arial" w:cs="Arial"/>
        </w:rPr>
        <w:t>doing her own investigation</w:t>
      </w:r>
      <w:r w:rsidR="003F7378" w:rsidRPr="00555295">
        <w:rPr>
          <w:rFonts w:ascii="Arial" w:hAnsi="Arial" w:cs="Arial"/>
        </w:rPr>
        <w:t>s</w:t>
      </w:r>
      <w:r w:rsidRPr="00555295">
        <w:rPr>
          <w:rFonts w:ascii="Arial" w:hAnsi="Arial" w:cs="Arial"/>
        </w:rPr>
        <w:t xml:space="preserve"> without a tracing urgent. The affidavit</w:t>
      </w:r>
      <w:r w:rsidR="003F7378" w:rsidRPr="00555295">
        <w:rPr>
          <w:rFonts w:ascii="Arial" w:hAnsi="Arial" w:cs="Arial"/>
        </w:rPr>
        <w:t>s</w:t>
      </w:r>
      <w:r w:rsidRPr="00555295">
        <w:rPr>
          <w:rFonts w:ascii="Arial" w:hAnsi="Arial" w:cs="Arial"/>
        </w:rPr>
        <w:t xml:space="preserve"> used to obtain the interim and final relief do not spell out to what great extent </w:t>
      </w:r>
      <w:r w:rsidRPr="00555295">
        <w:rPr>
          <w:rFonts w:ascii="Arial" w:hAnsi="Arial" w:cs="Arial"/>
        </w:rPr>
        <w:lastRenderedPageBreak/>
        <w:t>the first respondent together with its directo</w:t>
      </w:r>
      <w:r w:rsidR="003F7378" w:rsidRPr="00555295">
        <w:rPr>
          <w:rFonts w:ascii="Arial" w:hAnsi="Arial" w:cs="Arial"/>
        </w:rPr>
        <w:t>rs and or legal advisers went</w:t>
      </w:r>
      <w:r w:rsidRPr="00555295">
        <w:rPr>
          <w:rFonts w:ascii="Arial" w:hAnsi="Arial" w:cs="Arial"/>
        </w:rPr>
        <w:t xml:space="preserve"> </w:t>
      </w:r>
      <w:r w:rsidR="006D7B0B">
        <w:rPr>
          <w:rFonts w:ascii="Arial" w:hAnsi="Arial" w:cs="Arial"/>
        </w:rPr>
        <w:t xml:space="preserve">to </w:t>
      </w:r>
      <w:r w:rsidRPr="00555295">
        <w:rPr>
          <w:rFonts w:ascii="Arial" w:hAnsi="Arial" w:cs="Arial"/>
        </w:rPr>
        <w:t xml:space="preserve">in order </w:t>
      </w:r>
      <w:r w:rsidR="003F7378" w:rsidRPr="00555295">
        <w:rPr>
          <w:rFonts w:ascii="Arial" w:hAnsi="Arial" w:cs="Arial"/>
        </w:rPr>
        <w:t xml:space="preserve">to </w:t>
      </w:r>
      <w:r w:rsidRPr="00555295">
        <w:rPr>
          <w:rFonts w:ascii="Arial" w:hAnsi="Arial" w:cs="Arial"/>
        </w:rPr>
        <w:t xml:space="preserve">trace the owners of the farms </w:t>
      </w:r>
      <w:r w:rsidR="00C47738" w:rsidRPr="00555295">
        <w:rPr>
          <w:rFonts w:ascii="Arial" w:hAnsi="Arial" w:cs="Arial"/>
        </w:rPr>
        <w:t>beyond merely assuming, from the title deed</w:t>
      </w:r>
      <w:r w:rsidR="003F7378" w:rsidRPr="00555295">
        <w:rPr>
          <w:rFonts w:ascii="Arial" w:hAnsi="Arial" w:cs="Arial"/>
        </w:rPr>
        <w:t>,</w:t>
      </w:r>
      <w:r w:rsidR="00C47738" w:rsidRPr="00555295">
        <w:rPr>
          <w:rFonts w:ascii="Arial" w:hAnsi="Arial" w:cs="Arial"/>
        </w:rPr>
        <w:t xml:space="preserve"> that they are unlikely to be still alive, </w:t>
      </w:r>
      <w:r w:rsidRPr="00555295">
        <w:rPr>
          <w:rFonts w:ascii="Arial" w:hAnsi="Arial" w:cs="Arial"/>
        </w:rPr>
        <w:t xml:space="preserve">before seeking relief from </w:t>
      </w:r>
      <w:r w:rsidR="002C3DBB">
        <w:rPr>
          <w:rFonts w:ascii="Arial" w:hAnsi="Arial" w:cs="Arial"/>
        </w:rPr>
        <w:t xml:space="preserve">the </w:t>
      </w:r>
      <w:r w:rsidRPr="00555295">
        <w:rPr>
          <w:rFonts w:ascii="Arial" w:hAnsi="Arial" w:cs="Arial"/>
        </w:rPr>
        <w:t>court.</w:t>
      </w:r>
    </w:p>
    <w:p w:rsidR="009E561E" w:rsidRPr="00555295" w:rsidRDefault="009E561E" w:rsidP="00555295">
      <w:pPr>
        <w:spacing w:line="360" w:lineRule="auto"/>
        <w:jc w:val="both"/>
        <w:rPr>
          <w:rFonts w:ascii="Arial" w:hAnsi="Arial" w:cs="Arial"/>
        </w:rPr>
      </w:pPr>
    </w:p>
    <w:p w:rsidR="001D3B03" w:rsidRPr="00555295" w:rsidRDefault="0014785E" w:rsidP="00555295">
      <w:pPr>
        <w:spacing w:line="360" w:lineRule="auto"/>
        <w:jc w:val="both"/>
        <w:rPr>
          <w:rFonts w:ascii="Arial" w:hAnsi="Arial" w:cs="Arial"/>
        </w:rPr>
      </w:pPr>
      <w:r w:rsidRPr="00555295">
        <w:rPr>
          <w:rFonts w:ascii="Arial" w:hAnsi="Arial" w:cs="Arial"/>
        </w:rPr>
        <w:t>[78]</w:t>
      </w:r>
      <w:r w:rsidRPr="00555295">
        <w:rPr>
          <w:rFonts w:ascii="Arial" w:hAnsi="Arial" w:cs="Arial"/>
        </w:rPr>
        <w:tab/>
        <w:t>F</w:t>
      </w:r>
      <w:r w:rsidR="001D3B03" w:rsidRPr="00555295">
        <w:rPr>
          <w:rFonts w:ascii="Arial" w:hAnsi="Arial" w:cs="Arial"/>
        </w:rPr>
        <w:t xml:space="preserve">urthermore, the first respondent or its deponent attached the final liquidation and distribution account of the deceased HCM Geldenhuys to its founding affidavit in the ex parte application. In this document it is clearly indicated that the </w:t>
      </w:r>
      <w:r w:rsidR="00613C77" w:rsidRPr="00555295">
        <w:rPr>
          <w:rFonts w:ascii="Arial" w:hAnsi="Arial" w:cs="Arial"/>
        </w:rPr>
        <w:t>heirs</w:t>
      </w:r>
      <w:r w:rsidR="00D13781" w:rsidRPr="00555295">
        <w:rPr>
          <w:rFonts w:ascii="Arial" w:hAnsi="Arial" w:cs="Arial"/>
        </w:rPr>
        <w:t xml:space="preserve"> to Geldenhuys’s </w:t>
      </w:r>
      <w:r w:rsidR="00497466" w:rsidRPr="00555295">
        <w:rPr>
          <w:rFonts w:ascii="Arial" w:hAnsi="Arial" w:cs="Arial"/>
        </w:rPr>
        <w:t>undivided share in</w:t>
      </w:r>
      <w:r w:rsidR="00D13781" w:rsidRPr="00555295">
        <w:rPr>
          <w:rFonts w:ascii="Arial" w:hAnsi="Arial" w:cs="Arial"/>
        </w:rPr>
        <w:t xml:space="preserve"> the farms are the second applicant and her sister</w:t>
      </w:r>
      <w:r w:rsidRPr="00555295">
        <w:rPr>
          <w:rFonts w:ascii="Arial" w:hAnsi="Arial" w:cs="Arial"/>
        </w:rPr>
        <w:t>,</w:t>
      </w:r>
      <w:r w:rsidR="00D13781" w:rsidRPr="00555295">
        <w:rPr>
          <w:rFonts w:ascii="Arial" w:hAnsi="Arial" w:cs="Arial"/>
        </w:rPr>
        <w:t xml:space="preserve"> Lizel</w:t>
      </w:r>
      <w:r w:rsidRPr="00555295">
        <w:rPr>
          <w:rFonts w:ascii="Arial" w:hAnsi="Arial" w:cs="Arial"/>
        </w:rPr>
        <w:t>le</w:t>
      </w:r>
      <w:r w:rsidR="00D13781" w:rsidRPr="00555295">
        <w:rPr>
          <w:rFonts w:ascii="Arial" w:hAnsi="Arial" w:cs="Arial"/>
        </w:rPr>
        <w:t xml:space="preserve"> Geldenhuys.</w:t>
      </w:r>
      <w:r w:rsidR="00B41E54" w:rsidRPr="00555295">
        <w:rPr>
          <w:rFonts w:ascii="Arial" w:hAnsi="Arial" w:cs="Arial"/>
        </w:rPr>
        <w:t xml:space="preserve"> A simple enquiry with the Master of the High </w:t>
      </w:r>
      <w:r w:rsidR="002C3DBB">
        <w:rPr>
          <w:rFonts w:ascii="Arial" w:hAnsi="Arial" w:cs="Arial"/>
        </w:rPr>
        <w:t xml:space="preserve">Court </w:t>
      </w:r>
      <w:r w:rsidR="00B41E54" w:rsidRPr="00555295">
        <w:rPr>
          <w:rFonts w:ascii="Arial" w:hAnsi="Arial" w:cs="Arial"/>
        </w:rPr>
        <w:t>would, I believe</w:t>
      </w:r>
      <w:r w:rsidRPr="00555295">
        <w:rPr>
          <w:rFonts w:ascii="Arial" w:hAnsi="Arial" w:cs="Arial"/>
        </w:rPr>
        <w:t>,</w:t>
      </w:r>
      <w:r w:rsidR="00B41E54" w:rsidRPr="00555295">
        <w:rPr>
          <w:rFonts w:ascii="Arial" w:hAnsi="Arial" w:cs="Arial"/>
        </w:rPr>
        <w:t xml:space="preserve"> have provided the first respondent with the details of the </w:t>
      </w:r>
      <w:r w:rsidR="002C3DBB">
        <w:rPr>
          <w:rFonts w:ascii="Arial" w:hAnsi="Arial" w:cs="Arial"/>
        </w:rPr>
        <w:t>e</w:t>
      </w:r>
      <w:r w:rsidR="00B41E54" w:rsidRPr="00555295">
        <w:rPr>
          <w:rFonts w:ascii="Arial" w:hAnsi="Arial" w:cs="Arial"/>
        </w:rPr>
        <w:t xml:space="preserve">xecutrix of the </w:t>
      </w:r>
      <w:r w:rsidR="002C3DBB">
        <w:rPr>
          <w:rFonts w:ascii="Arial" w:hAnsi="Arial" w:cs="Arial"/>
        </w:rPr>
        <w:t>e</w:t>
      </w:r>
      <w:r w:rsidR="00B41E54" w:rsidRPr="00555295">
        <w:rPr>
          <w:rFonts w:ascii="Arial" w:hAnsi="Arial" w:cs="Arial"/>
        </w:rPr>
        <w:t xml:space="preserve">state, and the details of the heirs. From the fact that the first respondent attached the liquidation and distribution account of Geldenhuys </w:t>
      </w:r>
      <w:r w:rsidR="00054C1E" w:rsidRPr="00555295">
        <w:rPr>
          <w:rFonts w:ascii="Arial" w:hAnsi="Arial" w:cs="Arial"/>
        </w:rPr>
        <w:t>leads one to the in</w:t>
      </w:r>
      <w:r w:rsidR="00112FDA" w:rsidRPr="00555295">
        <w:rPr>
          <w:rFonts w:ascii="Arial" w:hAnsi="Arial" w:cs="Arial"/>
        </w:rPr>
        <w:t>escapable conclusion that the first respondent and its attorneys had ac</w:t>
      </w:r>
      <w:r w:rsidR="00054C1E" w:rsidRPr="00555295">
        <w:rPr>
          <w:rFonts w:ascii="Arial" w:hAnsi="Arial" w:cs="Arial"/>
        </w:rPr>
        <w:t>cess to the information held by the M</w:t>
      </w:r>
      <w:r w:rsidR="00112FDA" w:rsidRPr="00555295">
        <w:rPr>
          <w:rFonts w:ascii="Arial" w:hAnsi="Arial" w:cs="Arial"/>
        </w:rPr>
        <w:t xml:space="preserve">aster, which included details of the second applicant. </w:t>
      </w:r>
    </w:p>
    <w:p w:rsidR="0087403B" w:rsidRPr="00555295" w:rsidRDefault="0087403B" w:rsidP="00555295">
      <w:pPr>
        <w:spacing w:line="360" w:lineRule="auto"/>
        <w:jc w:val="both"/>
        <w:rPr>
          <w:rFonts w:ascii="Arial" w:hAnsi="Arial" w:cs="Arial"/>
        </w:rPr>
      </w:pPr>
    </w:p>
    <w:p w:rsidR="009E561E" w:rsidRDefault="009E561E" w:rsidP="00555295">
      <w:pPr>
        <w:spacing w:line="360" w:lineRule="auto"/>
        <w:jc w:val="both"/>
        <w:rPr>
          <w:rFonts w:ascii="Arial" w:hAnsi="Arial" w:cs="Arial"/>
        </w:rPr>
      </w:pPr>
      <w:r w:rsidRPr="00555295">
        <w:rPr>
          <w:rFonts w:ascii="Arial" w:hAnsi="Arial" w:cs="Arial"/>
        </w:rPr>
        <w:t>[79]</w:t>
      </w:r>
      <w:r w:rsidRPr="00555295">
        <w:rPr>
          <w:rFonts w:ascii="Arial" w:hAnsi="Arial" w:cs="Arial"/>
        </w:rPr>
        <w:tab/>
      </w:r>
      <w:r w:rsidR="007A6C15" w:rsidRPr="00555295">
        <w:rPr>
          <w:rFonts w:ascii="Arial" w:hAnsi="Arial" w:cs="Arial"/>
        </w:rPr>
        <w:t xml:space="preserve">The </w:t>
      </w:r>
      <w:r w:rsidR="00A97AC1" w:rsidRPr="00555295">
        <w:rPr>
          <w:rFonts w:ascii="Arial" w:hAnsi="Arial" w:cs="Arial"/>
        </w:rPr>
        <w:t>statement by the deponent that “</w:t>
      </w:r>
      <w:r w:rsidR="007A6C15" w:rsidRPr="00DF2DB1">
        <w:rPr>
          <w:rFonts w:ascii="Arial" w:hAnsi="Arial" w:cs="Arial"/>
        </w:rPr>
        <w:t>there is no way of tracing any of the o</w:t>
      </w:r>
      <w:r w:rsidR="00A97AC1" w:rsidRPr="00DF2DB1">
        <w:rPr>
          <w:rFonts w:ascii="Arial" w:hAnsi="Arial" w:cs="Arial"/>
        </w:rPr>
        <w:t xml:space="preserve">wners as per </w:t>
      </w:r>
      <w:r w:rsidR="00A602DF">
        <w:rPr>
          <w:rFonts w:ascii="Arial" w:hAnsi="Arial" w:cs="Arial"/>
        </w:rPr>
        <w:t xml:space="preserve">the </w:t>
      </w:r>
      <w:r w:rsidR="00A97AC1" w:rsidRPr="00DF2DB1">
        <w:rPr>
          <w:rFonts w:ascii="Arial" w:hAnsi="Arial" w:cs="Arial"/>
        </w:rPr>
        <w:t>title deed, nor</w:t>
      </w:r>
      <w:r w:rsidR="007A6C15" w:rsidRPr="00DF2DB1">
        <w:rPr>
          <w:rFonts w:ascii="Arial" w:hAnsi="Arial" w:cs="Arial"/>
        </w:rPr>
        <w:t xml:space="preserve"> is there any way of establishing whether o</w:t>
      </w:r>
      <w:r w:rsidR="00A97AC1" w:rsidRPr="00DF2DB1">
        <w:rPr>
          <w:rFonts w:ascii="Arial" w:hAnsi="Arial" w:cs="Arial"/>
        </w:rPr>
        <w:t>r not there are any next of kin”</w:t>
      </w:r>
      <w:r w:rsidR="00543F4D" w:rsidRPr="00DF2DB1">
        <w:rPr>
          <w:rFonts w:ascii="Arial" w:hAnsi="Arial" w:cs="Arial"/>
        </w:rPr>
        <w:t xml:space="preserve"> is misleading and </w:t>
      </w:r>
      <w:r w:rsidR="002915EA" w:rsidRPr="00DF2DB1">
        <w:rPr>
          <w:rFonts w:ascii="Arial" w:hAnsi="Arial" w:cs="Arial"/>
        </w:rPr>
        <w:t>untru</w:t>
      </w:r>
      <w:r w:rsidR="002915EA">
        <w:rPr>
          <w:rFonts w:ascii="Arial" w:hAnsi="Arial" w:cs="Arial"/>
        </w:rPr>
        <w:t>e. This</w:t>
      </w:r>
      <w:r w:rsidR="00543F4D" w:rsidRPr="00555295">
        <w:rPr>
          <w:rFonts w:ascii="Arial" w:hAnsi="Arial" w:cs="Arial"/>
        </w:rPr>
        <w:t xml:space="preserve"> statement coming from the first respondent</w:t>
      </w:r>
      <w:r w:rsidR="00717B72" w:rsidRPr="00555295">
        <w:rPr>
          <w:rFonts w:ascii="Arial" w:hAnsi="Arial" w:cs="Arial"/>
        </w:rPr>
        <w:t>,</w:t>
      </w:r>
      <w:r w:rsidR="00543F4D" w:rsidRPr="00555295">
        <w:rPr>
          <w:rFonts w:ascii="Arial" w:hAnsi="Arial" w:cs="Arial"/>
        </w:rPr>
        <w:t xml:space="preserve"> who is from the area, and whose properties are adjacent to the farms. The extent of the first respondent</w:t>
      </w:r>
      <w:r w:rsidR="00A97AC1" w:rsidRPr="00555295">
        <w:rPr>
          <w:rFonts w:ascii="Arial" w:hAnsi="Arial" w:cs="Arial"/>
        </w:rPr>
        <w:t>’s</w:t>
      </w:r>
      <w:r w:rsidR="00543F4D" w:rsidRPr="00555295">
        <w:rPr>
          <w:rFonts w:ascii="Arial" w:hAnsi="Arial" w:cs="Arial"/>
        </w:rPr>
        <w:t xml:space="preserve"> investigations </w:t>
      </w:r>
      <w:r w:rsidR="00717B72" w:rsidRPr="00555295">
        <w:rPr>
          <w:rFonts w:ascii="Arial" w:hAnsi="Arial" w:cs="Arial"/>
        </w:rPr>
        <w:t xml:space="preserve">woefully fell short of what was expected to be reasonable in </w:t>
      </w:r>
      <w:r w:rsidR="00A97AC1" w:rsidRPr="00555295">
        <w:rPr>
          <w:rFonts w:ascii="Arial" w:hAnsi="Arial" w:cs="Arial"/>
        </w:rPr>
        <w:t>the circumstances and an inference</w:t>
      </w:r>
      <w:r w:rsidR="00717B72" w:rsidRPr="00555295">
        <w:rPr>
          <w:rFonts w:ascii="Arial" w:hAnsi="Arial" w:cs="Arial"/>
        </w:rPr>
        <w:t xml:space="preserve"> is inescapable that this was done deliberately </w:t>
      </w:r>
      <w:r w:rsidR="00A97AC1" w:rsidRPr="00555295">
        <w:rPr>
          <w:rFonts w:ascii="Arial" w:hAnsi="Arial" w:cs="Arial"/>
        </w:rPr>
        <w:t>with intent to propose</w:t>
      </w:r>
      <w:r w:rsidR="00C41983" w:rsidRPr="00555295">
        <w:rPr>
          <w:rFonts w:ascii="Arial" w:hAnsi="Arial" w:cs="Arial"/>
        </w:rPr>
        <w:t xml:space="preserve"> and achieve transfer of o</w:t>
      </w:r>
      <w:r w:rsidR="001E4E63" w:rsidRPr="00555295">
        <w:rPr>
          <w:rFonts w:ascii="Arial" w:hAnsi="Arial" w:cs="Arial"/>
        </w:rPr>
        <w:t xml:space="preserve">wnership of the farms to itself. </w:t>
      </w:r>
    </w:p>
    <w:p w:rsidR="00A4090B" w:rsidRPr="00555295" w:rsidRDefault="00A4090B" w:rsidP="00555295">
      <w:pPr>
        <w:spacing w:line="360" w:lineRule="auto"/>
        <w:jc w:val="both"/>
        <w:rPr>
          <w:rFonts w:ascii="Arial" w:hAnsi="Arial" w:cs="Arial"/>
        </w:rPr>
      </w:pPr>
    </w:p>
    <w:p w:rsidR="001E4E63" w:rsidRPr="00555295" w:rsidRDefault="001E4E63" w:rsidP="00555295">
      <w:pPr>
        <w:spacing w:line="360" w:lineRule="auto"/>
        <w:jc w:val="both"/>
        <w:rPr>
          <w:rFonts w:ascii="Arial" w:hAnsi="Arial" w:cs="Arial"/>
        </w:rPr>
      </w:pPr>
      <w:r w:rsidRPr="00555295">
        <w:rPr>
          <w:rFonts w:ascii="Arial" w:hAnsi="Arial" w:cs="Arial"/>
        </w:rPr>
        <w:t>[80]</w:t>
      </w:r>
      <w:r w:rsidRPr="00555295">
        <w:rPr>
          <w:rFonts w:ascii="Arial" w:hAnsi="Arial" w:cs="Arial"/>
        </w:rPr>
        <w:tab/>
        <w:t>Even when the first respondent approach</w:t>
      </w:r>
      <w:r w:rsidR="000F6FC0" w:rsidRPr="00555295">
        <w:rPr>
          <w:rFonts w:ascii="Arial" w:hAnsi="Arial" w:cs="Arial"/>
        </w:rPr>
        <w:t>ed</w:t>
      </w:r>
      <w:r w:rsidRPr="00555295">
        <w:rPr>
          <w:rFonts w:ascii="Arial" w:hAnsi="Arial" w:cs="Arial"/>
        </w:rPr>
        <w:t xml:space="preserve"> court</w:t>
      </w:r>
      <w:r w:rsidR="000F6FC0" w:rsidRPr="00555295">
        <w:rPr>
          <w:rFonts w:ascii="Arial" w:hAnsi="Arial" w:cs="Arial"/>
        </w:rPr>
        <w:t>,</w:t>
      </w:r>
      <w:r w:rsidRPr="00555295">
        <w:rPr>
          <w:rFonts w:ascii="Arial" w:hAnsi="Arial" w:cs="Arial"/>
        </w:rPr>
        <w:t xml:space="preserve"> it appears </w:t>
      </w:r>
      <w:r w:rsidR="000F6FC0" w:rsidRPr="00555295">
        <w:rPr>
          <w:rFonts w:ascii="Arial" w:hAnsi="Arial" w:cs="Arial"/>
        </w:rPr>
        <w:t xml:space="preserve">that </w:t>
      </w:r>
      <w:r w:rsidRPr="00555295">
        <w:rPr>
          <w:rFonts w:ascii="Arial" w:hAnsi="Arial" w:cs="Arial"/>
        </w:rPr>
        <w:t>evidence which was either</w:t>
      </w:r>
      <w:r w:rsidR="000F6FC0" w:rsidRPr="00555295">
        <w:rPr>
          <w:rFonts w:ascii="Arial" w:hAnsi="Arial" w:cs="Arial"/>
        </w:rPr>
        <w:t xml:space="preserve"> half-truth or false was adduced</w:t>
      </w:r>
      <w:r w:rsidRPr="00555295">
        <w:rPr>
          <w:rFonts w:ascii="Arial" w:hAnsi="Arial" w:cs="Arial"/>
        </w:rPr>
        <w:t>. The following facts give credence to that conclusion:</w:t>
      </w:r>
    </w:p>
    <w:p w:rsidR="001E4E63" w:rsidRPr="00555295" w:rsidRDefault="00625F66" w:rsidP="00A4090B">
      <w:pPr>
        <w:spacing w:line="360" w:lineRule="auto"/>
        <w:ind w:left="720" w:hanging="720"/>
        <w:jc w:val="both"/>
        <w:rPr>
          <w:rFonts w:ascii="Arial" w:hAnsi="Arial" w:cs="Arial"/>
        </w:rPr>
      </w:pPr>
      <w:r w:rsidRPr="00555295">
        <w:rPr>
          <w:rFonts w:ascii="Arial" w:hAnsi="Arial" w:cs="Arial"/>
        </w:rPr>
        <w:t>(a)</w:t>
      </w:r>
      <w:r w:rsidRPr="00555295">
        <w:rPr>
          <w:rFonts w:ascii="Arial" w:hAnsi="Arial" w:cs="Arial"/>
        </w:rPr>
        <w:tab/>
        <w:t>I</w:t>
      </w:r>
      <w:r w:rsidR="001E4E63" w:rsidRPr="00555295">
        <w:rPr>
          <w:rFonts w:ascii="Arial" w:hAnsi="Arial" w:cs="Arial"/>
        </w:rPr>
        <w:t>n</w:t>
      </w:r>
      <w:r w:rsidRPr="00555295">
        <w:rPr>
          <w:rFonts w:ascii="Arial" w:hAnsi="Arial" w:cs="Arial"/>
        </w:rPr>
        <w:t xml:space="preserve"> the notice of motion reference</w:t>
      </w:r>
      <w:r w:rsidR="001E4E63" w:rsidRPr="00555295">
        <w:rPr>
          <w:rFonts w:ascii="Arial" w:hAnsi="Arial" w:cs="Arial"/>
        </w:rPr>
        <w:t xml:space="preserve"> is </w:t>
      </w:r>
      <w:r w:rsidRPr="00555295">
        <w:rPr>
          <w:rFonts w:ascii="Arial" w:hAnsi="Arial" w:cs="Arial"/>
        </w:rPr>
        <w:t xml:space="preserve">only </w:t>
      </w:r>
      <w:r w:rsidR="001E4E63" w:rsidRPr="00555295">
        <w:rPr>
          <w:rFonts w:ascii="Arial" w:hAnsi="Arial" w:cs="Arial"/>
        </w:rPr>
        <w:t>made to the farm Gen Ashton. All averments in the founding affidavit related to this property and relief sought in the notice of motion only related to this property. Th</w:t>
      </w:r>
      <w:r w:rsidRPr="00555295">
        <w:rPr>
          <w:rFonts w:ascii="Arial" w:hAnsi="Arial" w:cs="Arial"/>
        </w:rPr>
        <w:t>ere was no reference made to</w:t>
      </w:r>
      <w:r w:rsidR="001E4E63" w:rsidRPr="00555295">
        <w:rPr>
          <w:rFonts w:ascii="Arial" w:hAnsi="Arial" w:cs="Arial"/>
        </w:rPr>
        <w:t xml:space="preserve"> Twyfelhoek or Moeders Rus </w:t>
      </w:r>
      <w:r w:rsidRPr="00555295">
        <w:rPr>
          <w:rFonts w:ascii="Arial" w:hAnsi="Arial" w:cs="Arial"/>
        </w:rPr>
        <w:t xml:space="preserve">farms </w:t>
      </w:r>
      <w:r w:rsidR="001E4E63" w:rsidRPr="00555295">
        <w:rPr>
          <w:rFonts w:ascii="Arial" w:hAnsi="Arial" w:cs="Arial"/>
        </w:rPr>
        <w:t>anywhere. None of the averments found in the founding affidavit related to these other two properties</w:t>
      </w:r>
      <w:r w:rsidRPr="00555295">
        <w:rPr>
          <w:rFonts w:ascii="Arial" w:hAnsi="Arial" w:cs="Arial"/>
        </w:rPr>
        <w:t>;</w:t>
      </w:r>
      <w:r w:rsidR="001E4E63" w:rsidRPr="00555295">
        <w:rPr>
          <w:rFonts w:ascii="Arial" w:hAnsi="Arial" w:cs="Arial"/>
        </w:rPr>
        <w:t xml:space="preserve"> and none of the relief </w:t>
      </w:r>
      <w:r w:rsidR="001E4E63" w:rsidRPr="00555295">
        <w:rPr>
          <w:rFonts w:ascii="Arial" w:hAnsi="Arial" w:cs="Arial"/>
        </w:rPr>
        <w:lastRenderedPageBreak/>
        <w:t>sought related to these p</w:t>
      </w:r>
      <w:r w:rsidRPr="00555295">
        <w:rPr>
          <w:rFonts w:ascii="Arial" w:hAnsi="Arial" w:cs="Arial"/>
        </w:rPr>
        <w:t>roperties. This was done notwith</w:t>
      </w:r>
      <w:r w:rsidR="001E4E63" w:rsidRPr="00555295">
        <w:rPr>
          <w:rFonts w:ascii="Arial" w:hAnsi="Arial" w:cs="Arial"/>
        </w:rPr>
        <w:t xml:space="preserve">standing </w:t>
      </w:r>
      <w:r w:rsidRPr="00555295">
        <w:rPr>
          <w:rFonts w:ascii="Arial" w:hAnsi="Arial" w:cs="Arial"/>
        </w:rPr>
        <w:t xml:space="preserve">the </w:t>
      </w:r>
      <w:r w:rsidR="001E4E63" w:rsidRPr="00555295">
        <w:rPr>
          <w:rFonts w:ascii="Arial" w:hAnsi="Arial" w:cs="Arial"/>
        </w:rPr>
        <w:t>fact that</w:t>
      </w:r>
      <w:r w:rsidRPr="00555295">
        <w:rPr>
          <w:rFonts w:ascii="Arial" w:hAnsi="Arial" w:cs="Arial"/>
        </w:rPr>
        <w:t>,</w:t>
      </w:r>
      <w:r w:rsidR="001E4E63" w:rsidRPr="00555295">
        <w:rPr>
          <w:rFonts w:ascii="Arial" w:hAnsi="Arial" w:cs="Arial"/>
        </w:rPr>
        <w:t xml:space="preserve"> at the time of depos</w:t>
      </w:r>
      <w:r w:rsidR="00EC6679">
        <w:rPr>
          <w:rFonts w:ascii="Arial" w:hAnsi="Arial" w:cs="Arial"/>
        </w:rPr>
        <w:t>i</w:t>
      </w:r>
      <w:r w:rsidR="001E4E63" w:rsidRPr="00555295">
        <w:rPr>
          <w:rFonts w:ascii="Arial" w:hAnsi="Arial" w:cs="Arial"/>
        </w:rPr>
        <w:t>ng to the founding affidavit</w:t>
      </w:r>
      <w:r w:rsidRPr="00555295">
        <w:rPr>
          <w:rFonts w:ascii="Arial" w:hAnsi="Arial" w:cs="Arial"/>
        </w:rPr>
        <w:t>,</w:t>
      </w:r>
      <w:r w:rsidR="001E4E63" w:rsidRPr="00555295">
        <w:rPr>
          <w:rFonts w:ascii="Arial" w:hAnsi="Arial" w:cs="Arial"/>
        </w:rPr>
        <w:t xml:space="preserve"> the first respondent already knew (from the copy of the deed of transfer attached) that the farm which form</w:t>
      </w:r>
      <w:r w:rsidRPr="00555295">
        <w:rPr>
          <w:rFonts w:ascii="Arial" w:hAnsi="Arial" w:cs="Arial"/>
        </w:rPr>
        <w:t>ed</w:t>
      </w:r>
      <w:r w:rsidR="001E4E63" w:rsidRPr="00555295">
        <w:rPr>
          <w:rFonts w:ascii="Arial" w:hAnsi="Arial" w:cs="Arial"/>
        </w:rPr>
        <w:t xml:space="preserve"> the subject matter of the relief sought in the notice of motion, was part of three farms held under the same title deed number</w:t>
      </w:r>
      <w:r w:rsidRPr="00555295">
        <w:rPr>
          <w:rFonts w:ascii="Arial" w:hAnsi="Arial" w:cs="Arial"/>
        </w:rPr>
        <w:t>,</w:t>
      </w:r>
      <w:r w:rsidR="001E4E63" w:rsidRPr="00555295">
        <w:rPr>
          <w:rFonts w:ascii="Arial" w:hAnsi="Arial" w:cs="Arial"/>
        </w:rPr>
        <w:t xml:space="preserve"> namely Glen Ashton, Twy</w:t>
      </w:r>
      <w:r w:rsidR="000850E1" w:rsidRPr="00555295">
        <w:rPr>
          <w:rFonts w:ascii="Arial" w:hAnsi="Arial" w:cs="Arial"/>
        </w:rPr>
        <w:t>felhoek and Moeders Rus. Even when transfer of the property to the first respondent was proposed in the supplementary affidavit</w:t>
      </w:r>
      <w:r w:rsidRPr="00555295">
        <w:rPr>
          <w:rFonts w:ascii="Arial" w:hAnsi="Arial" w:cs="Arial"/>
        </w:rPr>
        <w:t>s</w:t>
      </w:r>
      <w:r w:rsidR="000850E1" w:rsidRPr="00555295">
        <w:rPr>
          <w:rFonts w:ascii="Arial" w:hAnsi="Arial" w:cs="Arial"/>
        </w:rPr>
        <w:t xml:space="preserve">, no mention is made of the other two farms. </w:t>
      </w:r>
    </w:p>
    <w:p w:rsidR="00B24341" w:rsidRPr="00555295" w:rsidRDefault="00B24341" w:rsidP="002C3DBB">
      <w:pPr>
        <w:spacing w:line="360" w:lineRule="auto"/>
        <w:ind w:left="720" w:hanging="720"/>
        <w:jc w:val="both"/>
        <w:rPr>
          <w:rFonts w:ascii="Arial" w:hAnsi="Arial" w:cs="Arial"/>
        </w:rPr>
      </w:pPr>
      <w:r w:rsidRPr="00555295">
        <w:rPr>
          <w:rFonts w:ascii="Arial" w:hAnsi="Arial" w:cs="Arial"/>
        </w:rPr>
        <w:t>(b)</w:t>
      </w:r>
      <w:r w:rsidRPr="00555295">
        <w:rPr>
          <w:rFonts w:ascii="Arial" w:hAnsi="Arial" w:cs="Arial"/>
        </w:rPr>
        <w:tab/>
        <w:t>The relief sought in the notice of motion only related to creating and maintaining firebreaks in terms of the National Veld and Forest Act on the farm Glen Ashton. No mention was made, in the founding affidavit, of the first respondent</w:t>
      </w:r>
      <w:r w:rsidR="002A3F34" w:rsidRPr="00555295">
        <w:rPr>
          <w:rFonts w:ascii="Arial" w:hAnsi="Arial" w:cs="Arial"/>
        </w:rPr>
        <w:t>’s</w:t>
      </w:r>
      <w:r w:rsidRPr="00555295">
        <w:rPr>
          <w:rFonts w:ascii="Arial" w:hAnsi="Arial" w:cs="Arial"/>
        </w:rPr>
        <w:t xml:space="preserve"> int</w:t>
      </w:r>
      <w:r w:rsidR="002A3F34" w:rsidRPr="00555295">
        <w:rPr>
          <w:rFonts w:ascii="Arial" w:hAnsi="Arial" w:cs="Arial"/>
        </w:rPr>
        <w:t xml:space="preserve">ention to acquire this </w:t>
      </w:r>
      <w:r w:rsidR="002C3DBB" w:rsidRPr="00555295">
        <w:rPr>
          <w:rFonts w:ascii="Arial" w:hAnsi="Arial" w:cs="Arial"/>
        </w:rPr>
        <w:t>property, let</w:t>
      </w:r>
      <w:r w:rsidRPr="00555295">
        <w:rPr>
          <w:rFonts w:ascii="Arial" w:hAnsi="Arial" w:cs="Arial"/>
        </w:rPr>
        <w:t xml:space="preserve"> alone the other two farms for that matter. As a result, on 6 June 2019, the court order only related to Glen Ashton, authorising access to this farm in o</w:t>
      </w:r>
      <w:r w:rsidR="00B040D3" w:rsidRPr="00555295">
        <w:rPr>
          <w:rFonts w:ascii="Arial" w:hAnsi="Arial" w:cs="Arial"/>
        </w:rPr>
        <w:t>rder to create and or maintain</w:t>
      </w:r>
      <w:r w:rsidR="002915EA">
        <w:rPr>
          <w:rFonts w:ascii="Arial" w:hAnsi="Arial" w:cs="Arial"/>
        </w:rPr>
        <w:t xml:space="preserve"> firebreaks thereon</w:t>
      </w:r>
      <w:r w:rsidR="00E153FE">
        <w:rPr>
          <w:rFonts w:ascii="Arial" w:hAnsi="Arial" w:cs="Arial"/>
        </w:rPr>
        <w:t>.</w:t>
      </w:r>
      <w:r w:rsidRPr="00555295">
        <w:rPr>
          <w:rFonts w:ascii="Arial" w:hAnsi="Arial" w:cs="Arial"/>
        </w:rPr>
        <w:t xml:space="preserve"> Even the advertisement</w:t>
      </w:r>
      <w:r w:rsidR="002A3F34" w:rsidRPr="00555295">
        <w:rPr>
          <w:rFonts w:ascii="Arial" w:hAnsi="Arial" w:cs="Arial"/>
        </w:rPr>
        <w:t>s</w:t>
      </w:r>
      <w:r w:rsidR="00581E7D" w:rsidRPr="00555295">
        <w:rPr>
          <w:rFonts w:ascii="Arial" w:hAnsi="Arial" w:cs="Arial"/>
        </w:rPr>
        <w:t>,</w:t>
      </w:r>
      <w:r w:rsidR="002A3F34" w:rsidRPr="00555295">
        <w:rPr>
          <w:rFonts w:ascii="Arial" w:hAnsi="Arial" w:cs="Arial"/>
        </w:rPr>
        <w:t xml:space="preserve"> placed</w:t>
      </w:r>
      <w:r w:rsidRPr="00555295">
        <w:rPr>
          <w:rFonts w:ascii="Arial" w:hAnsi="Arial" w:cs="Arial"/>
        </w:rPr>
        <w:t xml:space="preserve"> by the first respondent in the newspapers relating to that order</w:t>
      </w:r>
      <w:r w:rsidR="00581E7D" w:rsidRPr="00555295">
        <w:rPr>
          <w:rFonts w:ascii="Arial" w:hAnsi="Arial" w:cs="Arial"/>
        </w:rPr>
        <w:t>,</w:t>
      </w:r>
      <w:r w:rsidRPr="00555295">
        <w:rPr>
          <w:rFonts w:ascii="Arial" w:hAnsi="Arial" w:cs="Arial"/>
        </w:rPr>
        <w:t xml:space="preserve"> only made mention o</w:t>
      </w:r>
      <w:r w:rsidR="002A3F34" w:rsidRPr="00555295">
        <w:rPr>
          <w:rFonts w:ascii="Arial" w:hAnsi="Arial" w:cs="Arial"/>
        </w:rPr>
        <w:t>f Glen Ashton. However, without</w:t>
      </w:r>
      <w:r w:rsidRPr="00555295">
        <w:rPr>
          <w:rFonts w:ascii="Arial" w:hAnsi="Arial" w:cs="Arial"/>
        </w:rPr>
        <w:t xml:space="preserve"> an amendment to the notice of motion to establish a cause of ac</w:t>
      </w:r>
      <w:r w:rsidR="002A3F34" w:rsidRPr="00555295">
        <w:rPr>
          <w:rFonts w:ascii="Arial" w:hAnsi="Arial" w:cs="Arial"/>
        </w:rPr>
        <w:t xml:space="preserve">tion or any legal foundation, the </w:t>
      </w:r>
      <w:r w:rsidRPr="00555295">
        <w:rPr>
          <w:rFonts w:ascii="Arial" w:hAnsi="Arial" w:cs="Arial"/>
        </w:rPr>
        <w:t>first respondent</w:t>
      </w:r>
      <w:r w:rsidR="00ED0F1E" w:rsidRPr="00555295">
        <w:rPr>
          <w:rFonts w:ascii="Arial" w:hAnsi="Arial" w:cs="Arial"/>
        </w:rPr>
        <w:t>,</w:t>
      </w:r>
      <w:r w:rsidRPr="00555295">
        <w:rPr>
          <w:rFonts w:ascii="Arial" w:hAnsi="Arial" w:cs="Arial"/>
        </w:rPr>
        <w:t xml:space="preserve"> on a sudden turn </w:t>
      </w:r>
      <w:r w:rsidR="002A3F34" w:rsidRPr="00555295">
        <w:rPr>
          <w:rFonts w:ascii="Arial" w:hAnsi="Arial" w:cs="Arial"/>
        </w:rPr>
        <w:t>of events, simply</w:t>
      </w:r>
      <w:r w:rsidRPr="00555295">
        <w:rPr>
          <w:rFonts w:ascii="Arial" w:hAnsi="Arial" w:cs="Arial"/>
        </w:rPr>
        <w:t xml:space="preserve"> claims for relief aimed at the acquisition of Glen Ashton farm.</w:t>
      </w:r>
    </w:p>
    <w:p w:rsidR="00F96A37" w:rsidRPr="00555295" w:rsidRDefault="00F96A37" w:rsidP="00A4090B">
      <w:pPr>
        <w:spacing w:line="360" w:lineRule="auto"/>
        <w:ind w:left="720" w:hanging="720"/>
        <w:jc w:val="both"/>
        <w:rPr>
          <w:rFonts w:ascii="Arial" w:hAnsi="Arial" w:cs="Arial"/>
        </w:rPr>
      </w:pPr>
      <w:r w:rsidRPr="00555295">
        <w:rPr>
          <w:rFonts w:ascii="Arial" w:hAnsi="Arial" w:cs="Arial"/>
        </w:rPr>
        <w:t>(c)</w:t>
      </w:r>
      <w:r w:rsidRPr="00555295">
        <w:rPr>
          <w:rFonts w:ascii="Arial" w:hAnsi="Arial" w:cs="Arial"/>
        </w:rPr>
        <w:tab/>
        <w:t>When seeking that order, on 4 December 2019, the first respondent</w:t>
      </w:r>
      <w:r w:rsidR="00ED0F1E" w:rsidRPr="00555295">
        <w:rPr>
          <w:rFonts w:ascii="Arial" w:hAnsi="Arial" w:cs="Arial"/>
        </w:rPr>
        <w:t>,</w:t>
      </w:r>
      <w:r w:rsidRPr="00555295">
        <w:rPr>
          <w:rFonts w:ascii="Arial" w:hAnsi="Arial" w:cs="Arial"/>
        </w:rPr>
        <w:t xml:space="preserve"> well aware of the fact that </w:t>
      </w:r>
      <w:r w:rsidR="00A6695C" w:rsidRPr="00555295">
        <w:rPr>
          <w:rFonts w:ascii="Arial" w:hAnsi="Arial" w:cs="Arial"/>
        </w:rPr>
        <w:t xml:space="preserve">there </w:t>
      </w:r>
      <w:r w:rsidRPr="00555295">
        <w:rPr>
          <w:rFonts w:ascii="Arial" w:hAnsi="Arial" w:cs="Arial"/>
        </w:rPr>
        <w:t xml:space="preserve">were three farms with same title deed number, and that the advertisement in the local newspaper only made reference to the farm </w:t>
      </w:r>
      <w:r w:rsidR="00AD7512" w:rsidRPr="00555295">
        <w:rPr>
          <w:rFonts w:ascii="Arial" w:hAnsi="Arial" w:cs="Arial"/>
        </w:rPr>
        <w:t>Glen Ashton fails to alert the court to the fact that the original notice of motion and affidavit</w:t>
      </w:r>
      <w:r w:rsidR="00A6695C" w:rsidRPr="00555295">
        <w:rPr>
          <w:rFonts w:ascii="Arial" w:hAnsi="Arial" w:cs="Arial"/>
        </w:rPr>
        <w:t>s</w:t>
      </w:r>
      <w:r w:rsidR="00AD7512" w:rsidRPr="00555295">
        <w:rPr>
          <w:rFonts w:ascii="Arial" w:hAnsi="Arial" w:cs="Arial"/>
        </w:rPr>
        <w:t xml:space="preserve"> filed of record only dealt with Glen Ashton farm and not the other two farms. And </w:t>
      </w:r>
      <w:r w:rsidR="00A6695C" w:rsidRPr="00555295">
        <w:rPr>
          <w:rFonts w:ascii="Arial" w:hAnsi="Arial" w:cs="Arial"/>
        </w:rPr>
        <w:t xml:space="preserve">so </w:t>
      </w:r>
      <w:r w:rsidR="00AD7512" w:rsidRPr="00555295">
        <w:rPr>
          <w:rFonts w:ascii="Arial" w:hAnsi="Arial" w:cs="Arial"/>
        </w:rPr>
        <w:t xml:space="preserve">do </w:t>
      </w:r>
      <w:r w:rsidR="007C6FF3">
        <w:rPr>
          <w:rFonts w:ascii="Arial" w:hAnsi="Arial" w:cs="Arial"/>
        </w:rPr>
        <w:t xml:space="preserve">the </w:t>
      </w:r>
      <w:r w:rsidR="00AD7512" w:rsidRPr="00555295">
        <w:rPr>
          <w:rFonts w:ascii="Arial" w:hAnsi="Arial" w:cs="Arial"/>
        </w:rPr>
        <w:t>notices published in terms of the inter</w:t>
      </w:r>
      <w:r w:rsidR="00A6695C" w:rsidRPr="00555295">
        <w:rPr>
          <w:rFonts w:ascii="Arial" w:hAnsi="Arial" w:cs="Arial"/>
        </w:rPr>
        <w:t>im orders. When the final order</w:t>
      </w:r>
      <w:r w:rsidR="00AD7512" w:rsidRPr="00555295">
        <w:rPr>
          <w:rFonts w:ascii="Arial" w:hAnsi="Arial" w:cs="Arial"/>
        </w:rPr>
        <w:t xml:space="preserve"> of 26</w:t>
      </w:r>
      <w:r w:rsidR="00A6695C" w:rsidRPr="00555295">
        <w:rPr>
          <w:rFonts w:ascii="Arial" w:hAnsi="Arial" w:cs="Arial"/>
        </w:rPr>
        <w:t xml:space="preserve"> </w:t>
      </w:r>
      <w:r w:rsidR="00AD7512" w:rsidRPr="00555295">
        <w:rPr>
          <w:rFonts w:ascii="Arial" w:hAnsi="Arial" w:cs="Arial"/>
        </w:rPr>
        <w:t>February 2020 i</w:t>
      </w:r>
      <w:r w:rsidR="00A6695C" w:rsidRPr="00555295">
        <w:rPr>
          <w:rFonts w:ascii="Arial" w:hAnsi="Arial" w:cs="Arial"/>
        </w:rPr>
        <w:t>s issued, suddenly no reference is</w:t>
      </w:r>
      <w:r w:rsidR="00AD7512" w:rsidRPr="00555295">
        <w:rPr>
          <w:rFonts w:ascii="Arial" w:hAnsi="Arial" w:cs="Arial"/>
        </w:rPr>
        <w:t xml:space="preserve"> made to the farm Glen Ashton but only to the title deed number</w:t>
      </w:r>
      <w:r w:rsidR="00A6695C" w:rsidRPr="00555295">
        <w:rPr>
          <w:rFonts w:ascii="Arial" w:hAnsi="Arial" w:cs="Arial"/>
        </w:rPr>
        <w:t>,</w:t>
      </w:r>
      <w:r w:rsidR="00AD7512" w:rsidRPr="00555295">
        <w:rPr>
          <w:rFonts w:ascii="Arial" w:hAnsi="Arial" w:cs="Arial"/>
        </w:rPr>
        <w:t xml:space="preserve"> which included </w:t>
      </w:r>
      <w:r w:rsidR="00A6695C" w:rsidRPr="00555295">
        <w:rPr>
          <w:rFonts w:ascii="Arial" w:hAnsi="Arial" w:cs="Arial"/>
        </w:rPr>
        <w:t>all three farms. Was this subtle</w:t>
      </w:r>
      <w:r w:rsidR="00AD7512" w:rsidRPr="00555295">
        <w:rPr>
          <w:rFonts w:ascii="Arial" w:hAnsi="Arial" w:cs="Arial"/>
        </w:rPr>
        <w:t xml:space="preserve"> change </w:t>
      </w:r>
      <w:r w:rsidR="00A6695C" w:rsidRPr="00555295">
        <w:rPr>
          <w:rFonts w:ascii="Arial" w:hAnsi="Arial" w:cs="Arial"/>
        </w:rPr>
        <w:t xml:space="preserve">intended </w:t>
      </w:r>
      <w:r w:rsidR="002C3DBB">
        <w:rPr>
          <w:rFonts w:ascii="Arial" w:hAnsi="Arial" w:cs="Arial"/>
        </w:rPr>
        <w:t xml:space="preserve">to </w:t>
      </w:r>
      <w:r w:rsidR="00A6695C" w:rsidRPr="00555295">
        <w:rPr>
          <w:rFonts w:ascii="Arial" w:hAnsi="Arial" w:cs="Arial"/>
        </w:rPr>
        <w:t>hoodwink and bamboozle</w:t>
      </w:r>
      <w:r w:rsidR="00AD7512" w:rsidRPr="00555295">
        <w:rPr>
          <w:rFonts w:ascii="Arial" w:hAnsi="Arial" w:cs="Arial"/>
        </w:rPr>
        <w:t xml:space="preserve"> the court to grant this extraordinary relief? It </w:t>
      </w:r>
      <w:r w:rsidR="00E006D0" w:rsidRPr="00555295">
        <w:rPr>
          <w:rFonts w:ascii="Arial" w:hAnsi="Arial" w:cs="Arial"/>
        </w:rPr>
        <w:t>seems</w:t>
      </w:r>
      <w:r w:rsidR="00AD7512" w:rsidRPr="00555295">
        <w:rPr>
          <w:rFonts w:ascii="Arial" w:hAnsi="Arial" w:cs="Arial"/>
        </w:rPr>
        <w:t xml:space="preserve"> so, </w:t>
      </w:r>
      <w:r w:rsidR="00A6695C" w:rsidRPr="00555295">
        <w:rPr>
          <w:rFonts w:ascii="Arial" w:hAnsi="Arial" w:cs="Arial"/>
        </w:rPr>
        <w:t>if one considers further pertinent</w:t>
      </w:r>
      <w:r w:rsidR="00AD7512" w:rsidRPr="00555295">
        <w:rPr>
          <w:rFonts w:ascii="Arial" w:hAnsi="Arial" w:cs="Arial"/>
        </w:rPr>
        <w:t xml:space="preserve"> facts below.</w:t>
      </w:r>
    </w:p>
    <w:p w:rsidR="00E006D0" w:rsidRPr="00555295" w:rsidRDefault="00244F94" w:rsidP="00A4090B">
      <w:pPr>
        <w:spacing w:line="360" w:lineRule="auto"/>
        <w:ind w:left="720" w:hanging="720"/>
        <w:jc w:val="both"/>
        <w:rPr>
          <w:rFonts w:ascii="Arial" w:hAnsi="Arial" w:cs="Arial"/>
        </w:rPr>
      </w:pPr>
      <w:r w:rsidRPr="00555295">
        <w:rPr>
          <w:rFonts w:ascii="Arial" w:hAnsi="Arial" w:cs="Arial"/>
        </w:rPr>
        <w:t>(d)</w:t>
      </w:r>
      <w:r w:rsidRPr="00555295">
        <w:rPr>
          <w:rFonts w:ascii="Arial" w:hAnsi="Arial" w:cs="Arial"/>
        </w:rPr>
        <w:tab/>
        <w:t>O</w:t>
      </w:r>
      <w:r w:rsidR="00E006D0" w:rsidRPr="00555295">
        <w:rPr>
          <w:rFonts w:ascii="Arial" w:hAnsi="Arial" w:cs="Arial"/>
        </w:rPr>
        <w:t>f the three farms</w:t>
      </w:r>
      <w:r w:rsidR="00ED0F1E" w:rsidRPr="00555295">
        <w:rPr>
          <w:rFonts w:ascii="Arial" w:hAnsi="Arial" w:cs="Arial"/>
        </w:rPr>
        <w:t>,</w:t>
      </w:r>
      <w:r w:rsidR="00E006D0" w:rsidRPr="00555295">
        <w:rPr>
          <w:rFonts w:ascii="Arial" w:hAnsi="Arial" w:cs="Arial"/>
        </w:rPr>
        <w:t xml:space="preserve"> only one, namely Glen Ashton, shares a common border with the first respondent</w:t>
      </w:r>
      <w:r w:rsidR="002C3DBB">
        <w:rPr>
          <w:rFonts w:ascii="Arial" w:hAnsi="Arial" w:cs="Arial"/>
        </w:rPr>
        <w:t>’s</w:t>
      </w:r>
      <w:r w:rsidR="00E006D0" w:rsidRPr="00555295">
        <w:rPr>
          <w:rFonts w:ascii="Arial" w:hAnsi="Arial" w:cs="Arial"/>
        </w:rPr>
        <w:t xml:space="preserve"> property. That fact was not disclosed in any of the affidavit</w:t>
      </w:r>
      <w:r w:rsidR="00974D5D" w:rsidRPr="00555295">
        <w:rPr>
          <w:rFonts w:ascii="Arial" w:hAnsi="Arial" w:cs="Arial"/>
        </w:rPr>
        <w:t>s</w:t>
      </w:r>
      <w:r w:rsidR="00E006D0" w:rsidRPr="00555295">
        <w:rPr>
          <w:rFonts w:ascii="Arial" w:hAnsi="Arial" w:cs="Arial"/>
        </w:rPr>
        <w:t xml:space="preserve"> </w:t>
      </w:r>
      <w:r w:rsidR="00E006D0" w:rsidRPr="00555295">
        <w:rPr>
          <w:rFonts w:ascii="Arial" w:hAnsi="Arial" w:cs="Arial"/>
        </w:rPr>
        <w:lastRenderedPageBreak/>
        <w:t>filed o</w:t>
      </w:r>
      <w:r w:rsidR="002C3DBB">
        <w:rPr>
          <w:rFonts w:ascii="Arial" w:hAnsi="Arial" w:cs="Arial"/>
        </w:rPr>
        <w:t>n</w:t>
      </w:r>
      <w:r w:rsidR="00E006D0" w:rsidRPr="00555295">
        <w:rPr>
          <w:rFonts w:ascii="Arial" w:hAnsi="Arial" w:cs="Arial"/>
        </w:rPr>
        <w:t xml:space="preserve"> </w:t>
      </w:r>
      <w:r w:rsidRPr="00555295">
        <w:rPr>
          <w:rFonts w:ascii="Arial" w:hAnsi="Arial" w:cs="Arial"/>
        </w:rPr>
        <w:t>record. All</w:t>
      </w:r>
      <w:r w:rsidR="008C7730" w:rsidRPr="00555295">
        <w:rPr>
          <w:rFonts w:ascii="Arial" w:hAnsi="Arial" w:cs="Arial"/>
        </w:rPr>
        <w:t xml:space="preserve"> that </w:t>
      </w:r>
      <w:r w:rsidR="00974D5D" w:rsidRPr="00555295">
        <w:rPr>
          <w:rFonts w:ascii="Arial" w:hAnsi="Arial" w:cs="Arial"/>
        </w:rPr>
        <w:t>was disclosed</w:t>
      </w:r>
      <w:r w:rsidR="00ED0F1E" w:rsidRPr="00555295">
        <w:rPr>
          <w:rFonts w:ascii="Arial" w:hAnsi="Arial" w:cs="Arial"/>
        </w:rPr>
        <w:t>,</w:t>
      </w:r>
      <w:r w:rsidR="00974D5D" w:rsidRPr="00555295">
        <w:rPr>
          <w:rFonts w:ascii="Arial" w:hAnsi="Arial" w:cs="Arial"/>
        </w:rPr>
        <w:t xml:space="preserve"> was the</w:t>
      </w:r>
      <w:r w:rsidRPr="00555295">
        <w:rPr>
          <w:rFonts w:ascii="Arial" w:hAnsi="Arial" w:cs="Arial"/>
        </w:rPr>
        <w:t xml:space="preserve"> fact that the subject</w:t>
      </w:r>
      <w:r w:rsidR="002C3DBB">
        <w:rPr>
          <w:rFonts w:ascii="Arial" w:hAnsi="Arial" w:cs="Arial"/>
        </w:rPr>
        <w:t>-</w:t>
      </w:r>
      <w:r w:rsidRPr="00555295">
        <w:rPr>
          <w:rFonts w:ascii="Arial" w:hAnsi="Arial" w:cs="Arial"/>
        </w:rPr>
        <w:t xml:space="preserve">matter, </w:t>
      </w:r>
      <w:r w:rsidR="00974D5D" w:rsidRPr="00555295">
        <w:rPr>
          <w:rFonts w:ascii="Arial" w:hAnsi="Arial" w:cs="Arial"/>
        </w:rPr>
        <w:t xml:space="preserve">namely </w:t>
      </w:r>
      <w:r w:rsidRPr="00555295">
        <w:rPr>
          <w:rFonts w:ascii="Arial" w:hAnsi="Arial" w:cs="Arial"/>
        </w:rPr>
        <w:t>Glen Ashton was completely landlocked, which is true, and therefore has no commercial value, housing or industrial value, which is false as some value was obtained by the sworn valuator for some purchase consideration</w:t>
      </w:r>
      <w:r w:rsidR="002C3DBB">
        <w:rPr>
          <w:rFonts w:ascii="Arial" w:hAnsi="Arial" w:cs="Arial"/>
        </w:rPr>
        <w:t>.</w:t>
      </w:r>
      <w:r w:rsidR="002C3DBB">
        <w:rPr>
          <w:rStyle w:val="FootnoteReference"/>
          <w:rFonts w:ascii="Arial" w:hAnsi="Arial" w:cs="Arial"/>
        </w:rPr>
        <w:footnoteReference w:id="47"/>
      </w:r>
      <w:r w:rsidRPr="00555295">
        <w:rPr>
          <w:rFonts w:ascii="Arial" w:hAnsi="Arial" w:cs="Arial"/>
        </w:rPr>
        <w:t xml:space="preserve"> I return to the value aspect later on. The correct position seems to be </w:t>
      </w:r>
      <w:r w:rsidR="00985A57">
        <w:rPr>
          <w:rFonts w:ascii="Arial" w:hAnsi="Arial" w:cs="Arial"/>
        </w:rPr>
        <w:t xml:space="preserve">the </w:t>
      </w:r>
      <w:r w:rsidRPr="00555295">
        <w:rPr>
          <w:rFonts w:ascii="Arial" w:hAnsi="Arial" w:cs="Arial"/>
        </w:rPr>
        <w:t>following:</w:t>
      </w:r>
    </w:p>
    <w:p w:rsidR="00932AE7" w:rsidRPr="00555295" w:rsidRDefault="00FA46E1" w:rsidP="00A4090B">
      <w:pPr>
        <w:spacing w:line="360" w:lineRule="auto"/>
        <w:ind w:left="1440" w:hanging="720"/>
        <w:jc w:val="both"/>
        <w:rPr>
          <w:rFonts w:ascii="Arial" w:hAnsi="Arial" w:cs="Arial"/>
        </w:rPr>
      </w:pPr>
      <w:r w:rsidRPr="00555295">
        <w:rPr>
          <w:rFonts w:ascii="Arial" w:hAnsi="Arial" w:cs="Arial"/>
        </w:rPr>
        <w:t>(i)</w:t>
      </w:r>
      <w:r w:rsidRPr="00555295">
        <w:rPr>
          <w:rFonts w:ascii="Arial" w:hAnsi="Arial" w:cs="Arial"/>
        </w:rPr>
        <w:tab/>
        <w:t>A</w:t>
      </w:r>
      <w:r w:rsidR="00932AE7" w:rsidRPr="00555295">
        <w:rPr>
          <w:rFonts w:ascii="Arial" w:hAnsi="Arial" w:cs="Arial"/>
        </w:rPr>
        <w:t>s alluded to ab</w:t>
      </w:r>
      <w:r w:rsidRPr="00555295">
        <w:rPr>
          <w:rFonts w:ascii="Arial" w:hAnsi="Arial" w:cs="Arial"/>
        </w:rPr>
        <w:t>ove, only Glen Ashton shares a</w:t>
      </w:r>
      <w:r w:rsidR="00932AE7" w:rsidRPr="00555295">
        <w:rPr>
          <w:rFonts w:ascii="Arial" w:hAnsi="Arial" w:cs="Arial"/>
        </w:rPr>
        <w:t xml:space="preserve"> common border with the first respondent</w:t>
      </w:r>
      <w:r w:rsidR="00890CDF">
        <w:rPr>
          <w:rFonts w:ascii="Arial" w:hAnsi="Arial" w:cs="Arial"/>
        </w:rPr>
        <w:t>’s</w:t>
      </w:r>
      <w:r w:rsidR="00932AE7" w:rsidRPr="00555295">
        <w:rPr>
          <w:rFonts w:ascii="Arial" w:hAnsi="Arial" w:cs="Arial"/>
        </w:rPr>
        <w:t xml:space="preserve"> property. It is completely landlocked and </w:t>
      </w:r>
      <w:r w:rsidRPr="00555295">
        <w:rPr>
          <w:rFonts w:ascii="Arial" w:hAnsi="Arial" w:cs="Arial"/>
        </w:rPr>
        <w:t>is</w:t>
      </w:r>
      <w:r w:rsidR="00AC2338" w:rsidRPr="00555295">
        <w:rPr>
          <w:rFonts w:ascii="Arial" w:hAnsi="Arial" w:cs="Arial"/>
        </w:rPr>
        <w:t xml:space="preserve"> </w:t>
      </w:r>
      <w:r w:rsidR="00932AE7" w:rsidRPr="00555295">
        <w:rPr>
          <w:rFonts w:ascii="Arial" w:hAnsi="Arial" w:cs="Arial"/>
        </w:rPr>
        <w:t>surrounded by farms belonging to the first respondent.</w:t>
      </w:r>
      <w:r w:rsidR="00890CDF">
        <w:rPr>
          <w:rStyle w:val="FootnoteReference"/>
          <w:rFonts w:ascii="Arial" w:hAnsi="Arial" w:cs="Arial"/>
        </w:rPr>
        <w:footnoteReference w:id="48"/>
      </w:r>
    </w:p>
    <w:p w:rsidR="00932AE7" w:rsidRPr="00555295" w:rsidRDefault="00932AE7" w:rsidP="00A4090B">
      <w:pPr>
        <w:spacing w:line="360" w:lineRule="auto"/>
        <w:ind w:left="1440" w:hanging="720"/>
        <w:jc w:val="both"/>
        <w:rPr>
          <w:rFonts w:ascii="Arial" w:hAnsi="Arial" w:cs="Arial"/>
        </w:rPr>
      </w:pPr>
      <w:r w:rsidRPr="00555295">
        <w:rPr>
          <w:rFonts w:ascii="Arial" w:hAnsi="Arial" w:cs="Arial"/>
        </w:rPr>
        <w:t>(ii)</w:t>
      </w:r>
      <w:r w:rsidRPr="00555295">
        <w:rPr>
          <w:rFonts w:ascii="Arial" w:hAnsi="Arial" w:cs="Arial"/>
        </w:rPr>
        <w:tab/>
        <w:t xml:space="preserve">Effective firebreaks and back burns around the </w:t>
      </w:r>
      <w:r w:rsidR="00183A7E" w:rsidRPr="00555295">
        <w:rPr>
          <w:rFonts w:ascii="Arial" w:hAnsi="Arial" w:cs="Arial"/>
        </w:rPr>
        <w:t>perimeter of the first respondent</w:t>
      </w:r>
      <w:r w:rsidR="004C1E5A">
        <w:rPr>
          <w:rFonts w:ascii="Arial" w:hAnsi="Arial" w:cs="Arial"/>
        </w:rPr>
        <w:t>’s</w:t>
      </w:r>
      <w:r w:rsidR="00183A7E" w:rsidRPr="00555295">
        <w:rPr>
          <w:rFonts w:ascii="Arial" w:hAnsi="Arial" w:cs="Arial"/>
        </w:rPr>
        <w:t xml:space="preserve"> farms completely insulates Glen Ashton from external fire threats. Similarly, effective firebreaks and back burns </w:t>
      </w:r>
      <w:r w:rsidR="00FA3764" w:rsidRPr="00555295">
        <w:rPr>
          <w:rFonts w:ascii="Arial" w:hAnsi="Arial" w:cs="Arial"/>
        </w:rPr>
        <w:t>around the perimeter of the first responde</w:t>
      </w:r>
      <w:r w:rsidR="00FA46E1" w:rsidRPr="00555295">
        <w:rPr>
          <w:rFonts w:ascii="Arial" w:hAnsi="Arial" w:cs="Arial"/>
        </w:rPr>
        <w:t>nt</w:t>
      </w:r>
      <w:r w:rsidR="004C1E5A">
        <w:rPr>
          <w:rFonts w:ascii="Arial" w:hAnsi="Arial" w:cs="Arial"/>
        </w:rPr>
        <w:t>’s</w:t>
      </w:r>
      <w:r w:rsidR="00FA46E1" w:rsidRPr="00555295">
        <w:rPr>
          <w:rFonts w:ascii="Arial" w:hAnsi="Arial" w:cs="Arial"/>
        </w:rPr>
        <w:t xml:space="preserve"> farms neutralises any threat</w:t>
      </w:r>
      <w:r w:rsidR="00FA3764" w:rsidRPr="00555295">
        <w:rPr>
          <w:rFonts w:ascii="Arial" w:hAnsi="Arial" w:cs="Arial"/>
        </w:rPr>
        <w:t xml:space="preserve"> of a fire emanating from Glen Ashton, from spreading to a</w:t>
      </w:r>
      <w:r w:rsidR="00963BAD" w:rsidRPr="00555295">
        <w:rPr>
          <w:rFonts w:ascii="Arial" w:hAnsi="Arial" w:cs="Arial"/>
        </w:rPr>
        <w:t>ny of the first respondent</w:t>
      </w:r>
      <w:r w:rsidR="00FA46E1" w:rsidRPr="00555295">
        <w:rPr>
          <w:rFonts w:ascii="Arial" w:hAnsi="Arial" w:cs="Arial"/>
        </w:rPr>
        <w:t>’s</w:t>
      </w:r>
      <w:r w:rsidR="00963BAD" w:rsidRPr="00555295">
        <w:rPr>
          <w:rFonts w:ascii="Arial" w:hAnsi="Arial" w:cs="Arial"/>
        </w:rPr>
        <w:t xml:space="preserve"> farms.</w:t>
      </w:r>
    </w:p>
    <w:p w:rsidR="00963BAD" w:rsidRPr="00555295" w:rsidRDefault="00963BAD" w:rsidP="00A4090B">
      <w:pPr>
        <w:spacing w:line="360" w:lineRule="auto"/>
        <w:ind w:left="1440" w:hanging="720"/>
        <w:jc w:val="both"/>
        <w:rPr>
          <w:rFonts w:ascii="Arial" w:hAnsi="Arial" w:cs="Arial"/>
        </w:rPr>
      </w:pPr>
      <w:r w:rsidRPr="00555295">
        <w:rPr>
          <w:rFonts w:ascii="Arial" w:hAnsi="Arial" w:cs="Arial"/>
        </w:rPr>
        <w:t>(iii)</w:t>
      </w:r>
      <w:r w:rsidRPr="00555295">
        <w:rPr>
          <w:rFonts w:ascii="Arial" w:hAnsi="Arial" w:cs="Arial"/>
        </w:rPr>
        <w:tab/>
        <w:t>The first applicant’s son belongs to the local Fire Protection A</w:t>
      </w:r>
      <w:r w:rsidR="001C5707" w:rsidRPr="00555295">
        <w:rPr>
          <w:rFonts w:ascii="Arial" w:hAnsi="Arial" w:cs="Arial"/>
        </w:rPr>
        <w:t>ssociation in Newcastle, and he</w:t>
      </w:r>
      <w:r w:rsidR="00BC16AF" w:rsidRPr="00555295">
        <w:rPr>
          <w:rFonts w:ascii="Arial" w:hAnsi="Arial" w:cs="Arial"/>
        </w:rPr>
        <w:t>,</w:t>
      </w:r>
      <w:r w:rsidR="009C305D">
        <w:rPr>
          <w:rFonts w:ascii="Arial" w:hAnsi="Arial" w:cs="Arial"/>
        </w:rPr>
        <w:t xml:space="preserve"> together with her two </w:t>
      </w:r>
      <w:r w:rsidRPr="00555295">
        <w:rPr>
          <w:rFonts w:ascii="Arial" w:hAnsi="Arial" w:cs="Arial"/>
        </w:rPr>
        <w:t>nephews, made firebreaks and back burns on all three farms since 2012. Before that</w:t>
      </w:r>
      <w:r w:rsidR="009C6486" w:rsidRPr="00555295">
        <w:rPr>
          <w:rFonts w:ascii="Arial" w:hAnsi="Arial" w:cs="Arial"/>
        </w:rPr>
        <w:t>,</w:t>
      </w:r>
      <w:r w:rsidRPr="00555295">
        <w:rPr>
          <w:rFonts w:ascii="Arial" w:hAnsi="Arial" w:cs="Arial"/>
        </w:rPr>
        <w:t xml:space="preserve"> her late brother did the same. It is only since 2020 when the first respondent</w:t>
      </w:r>
      <w:r w:rsidR="001C5707" w:rsidRPr="00555295">
        <w:rPr>
          <w:rFonts w:ascii="Arial" w:hAnsi="Arial" w:cs="Arial"/>
        </w:rPr>
        <w:t xml:space="preserve"> allegedly</w:t>
      </w:r>
      <w:r w:rsidRPr="00555295">
        <w:rPr>
          <w:rFonts w:ascii="Arial" w:hAnsi="Arial" w:cs="Arial"/>
        </w:rPr>
        <w:t xml:space="preserve"> prevented the first applicant’s son and </w:t>
      </w:r>
      <w:r w:rsidR="008F5603" w:rsidRPr="00555295">
        <w:rPr>
          <w:rFonts w:ascii="Arial" w:hAnsi="Arial" w:cs="Arial"/>
        </w:rPr>
        <w:t xml:space="preserve">nephews from accessing Glen Ashton </w:t>
      </w:r>
      <w:r w:rsidR="001C5707" w:rsidRPr="00555295">
        <w:rPr>
          <w:rFonts w:ascii="Arial" w:hAnsi="Arial" w:cs="Arial"/>
        </w:rPr>
        <w:t>via Vulintaba</w:t>
      </w:r>
      <w:r w:rsidR="00A47E2D" w:rsidRPr="00555295">
        <w:rPr>
          <w:rFonts w:ascii="Arial" w:hAnsi="Arial" w:cs="Arial"/>
        </w:rPr>
        <w:t xml:space="preserve"> that they did not make firebreaks and back burns on that farm</w:t>
      </w:r>
      <w:r w:rsidR="009C6486" w:rsidRPr="00555295">
        <w:rPr>
          <w:rFonts w:ascii="Arial" w:hAnsi="Arial" w:cs="Arial"/>
        </w:rPr>
        <w:t>,</w:t>
      </w:r>
      <w:r w:rsidR="00A47E2D" w:rsidRPr="00555295">
        <w:rPr>
          <w:rFonts w:ascii="Arial" w:hAnsi="Arial" w:cs="Arial"/>
        </w:rPr>
        <w:t xml:space="preserve"> but not even this, it would appear, ever caused any realistic threat to the first respondent’s properties.</w:t>
      </w:r>
    </w:p>
    <w:p w:rsidR="00A47E2D" w:rsidRPr="00555295" w:rsidRDefault="00A47E2D" w:rsidP="00A4090B">
      <w:pPr>
        <w:spacing w:line="360" w:lineRule="auto"/>
        <w:ind w:left="1440" w:hanging="720"/>
        <w:jc w:val="both"/>
        <w:rPr>
          <w:rFonts w:ascii="Arial" w:hAnsi="Arial" w:cs="Arial"/>
        </w:rPr>
      </w:pPr>
      <w:r w:rsidRPr="00555295">
        <w:rPr>
          <w:rFonts w:ascii="Arial" w:hAnsi="Arial" w:cs="Arial"/>
        </w:rPr>
        <w:t>(iv)</w:t>
      </w:r>
      <w:r w:rsidR="00791D8A" w:rsidRPr="00555295">
        <w:rPr>
          <w:rFonts w:ascii="Arial" w:hAnsi="Arial" w:cs="Arial"/>
        </w:rPr>
        <w:tab/>
      </w:r>
      <w:r w:rsidR="001C5707" w:rsidRPr="00555295">
        <w:rPr>
          <w:rFonts w:ascii="Arial" w:hAnsi="Arial" w:cs="Arial"/>
        </w:rPr>
        <w:t>It</w:t>
      </w:r>
      <w:r w:rsidR="00791D8A" w:rsidRPr="00555295">
        <w:rPr>
          <w:rFonts w:ascii="Arial" w:hAnsi="Arial" w:cs="Arial"/>
        </w:rPr>
        <w:t xml:space="preserve"> is denied, as false</w:t>
      </w:r>
      <w:r w:rsidR="001C5707" w:rsidRPr="00555295">
        <w:rPr>
          <w:rFonts w:ascii="Arial" w:hAnsi="Arial" w:cs="Arial"/>
        </w:rPr>
        <w:t>,</w:t>
      </w:r>
      <w:r w:rsidR="00791D8A" w:rsidRPr="00555295">
        <w:rPr>
          <w:rFonts w:ascii="Arial" w:hAnsi="Arial" w:cs="Arial"/>
        </w:rPr>
        <w:t xml:space="preserve"> that there are no structures on the farm</w:t>
      </w:r>
      <w:r w:rsidR="004C1E5A">
        <w:rPr>
          <w:rFonts w:ascii="Arial" w:hAnsi="Arial" w:cs="Arial"/>
        </w:rPr>
        <w:t>s</w:t>
      </w:r>
      <w:r w:rsidR="00791D8A" w:rsidRPr="00555295">
        <w:rPr>
          <w:rFonts w:ascii="Arial" w:hAnsi="Arial" w:cs="Arial"/>
        </w:rPr>
        <w:t xml:space="preserve"> and that there are no person</w:t>
      </w:r>
      <w:r w:rsidR="004C1E5A">
        <w:rPr>
          <w:rFonts w:ascii="Arial" w:hAnsi="Arial" w:cs="Arial"/>
        </w:rPr>
        <w:t>s</w:t>
      </w:r>
      <w:r w:rsidR="00791D8A" w:rsidRPr="00555295">
        <w:rPr>
          <w:rFonts w:ascii="Arial" w:hAnsi="Arial" w:cs="Arial"/>
        </w:rPr>
        <w:t xml:space="preserve"> exercising any occupation or control over the farms. The first applicant avers to the fact that her s</w:t>
      </w:r>
      <w:r w:rsidR="001C5707" w:rsidRPr="00555295">
        <w:rPr>
          <w:rFonts w:ascii="Arial" w:hAnsi="Arial" w:cs="Arial"/>
        </w:rPr>
        <w:t>on and great-nephews were utilis</w:t>
      </w:r>
      <w:r w:rsidR="00791D8A" w:rsidRPr="00555295">
        <w:rPr>
          <w:rFonts w:ascii="Arial" w:hAnsi="Arial" w:cs="Arial"/>
        </w:rPr>
        <w:t xml:space="preserve">ing the farms for grazing purposes, and that there were several farm labourers who lived on the farm, although her son and great-nephews did not live on it. </w:t>
      </w:r>
    </w:p>
    <w:p w:rsidR="00791D8A" w:rsidRPr="00555295" w:rsidRDefault="00921E83" w:rsidP="00A4090B">
      <w:pPr>
        <w:spacing w:line="360" w:lineRule="auto"/>
        <w:ind w:left="1440" w:hanging="720"/>
        <w:jc w:val="both"/>
        <w:rPr>
          <w:rFonts w:ascii="Arial" w:hAnsi="Arial" w:cs="Arial"/>
        </w:rPr>
      </w:pPr>
      <w:r w:rsidRPr="00555295">
        <w:rPr>
          <w:rFonts w:ascii="Arial" w:hAnsi="Arial" w:cs="Arial"/>
        </w:rPr>
        <w:lastRenderedPageBreak/>
        <w:t>(v)</w:t>
      </w:r>
      <w:r w:rsidRPr="00555295">
        <w:rPr>
          <w:rFonts w:ascii="Arial" w:hAnsi="Arial" w:cs="Arial"/>
        </w:rPr>
        <w:tab/>
      </w:r>
      <w:r w:rsidR="001C5707" w:rsidRPr="00555295">
        <w:rPr>
          <w:rFonts w:ascii="Arial" w:hAnsi="Arial" w:cs="Arial"/>
        </w:rPr>
        <w:t xml:space="preserve">Twyfelhoek is </w:t>
      </w:r>
      <w:r w:rsidR="00F7216D" w:rsidRPr="00555295">
        <w:rPr>
          <w:rFonts w:ascii="Arial" w:hAnsi="Arial" w:cs="Arial"/>
        </w:rPr>
        <w:t>completely</w:t>
      </w:r>
      <w:r w:rsidR="001C5707" w:rsidRPr="00555295">
        <w:rPr>
          <w:rFonts w:ascii="Arial" w:hAnsi="Arial" w:cs="Arial"/>
        </w:rPr>
        <w:t xml:space="preserve"> landlocked and is surrounded by the Remainder of the F</w:t>
      </w:r>
      <w:r w:rsidRPr="00555295">
        <w:rPr>
          <w:rFonts w:ascii="Arial" w:hAnsi="Arial" w:cs="Arial"/>
        </w:rPr>
        <w:t>arm Twyfelhoek 33</w:t>
      </w:r>
      <w:r w:rsidR="001C5707" w:rsidRPr="00555295">
        <w:rPr>
          <w:rFonts w:ascii="Arial" w:hAnsi="Arial" w:cs="Arial"/>
        </w:rPr>
        <w:t>3</w:t>
      </w:r>
      <w:r w:rsidRPr="00555295">
        <w:rPr>
          <w:rFonts w:ascii="Arial" w:hAnsi="Arial" w:cs="Arial"/>
        </w:rPr>
        <w:t xml:space="preserve">9; the Farm Toegeken 9739; and </w:t>
      </w:r>
      <w:r w:rsidR="001C5707" w:rsidRPr="00555295">
        <w:rPr>
          <w:rFonts w:ascii="Arial" w:hAnsi="Arial" w:cs="Arial"/>
        </w:rPr>
        <w:t>the</w:t>
      </w:r>
      <w:r w:rsidR="009C6486" w:rsidRPr="00555295">
        <w:rPr>
          <w:rFonts w:ascii="Arial" w:hAnsi="Arial" w:cs="Arial"/>
        </w:rPr>
        <w:t xml:space="preserve"> </w:t>
      </w:r>
      <w:r w:rsidRPr="00555295">
        <w:rPr>
          <w:rFonts w:ascii="Arial" w:hAnsi="Arial" w:cs="Arial"/>
        </w:rPr>
        <w:t>Farm the Drop 4603.</w:t>
      </w:r>
      <w:r w:rsidR="007C6FF3">
        <w:rPr>
          <w:rStyle w:val="FootnoteReference"/>
          <w:rFonts w:ascii="Arial" w:hAnsi="Arial" w:cs="Arial"/>
        </w:rPr>
        <w:footnoteReference w:id="49"/>
      </w:r>
      <w:r w:rsidRPr="00555295">
        <w:rPr>
          <w:rFonts w:ascii="Arial" w:hAnsi="Arial" w:cs="Arial"/>
        </w:rPr>
        <w:t xml:space="preserve"> All these farms are said to belong to </w:t>
      </w:r>
      <w:r w:rsidR="007C6FF3">
        <w:rPr>
          <w:rFonts w:ascii="Arial" w:hAnsi="Arial" w:cs="Arial"/>
        </w:rPr>
        <w:t>the</w:t>
      </w:r>
      <w:r w:rsidRPr="00555295">
        <w:rPr>
          <w:rFonts w:ascii="Arial" w:hAnsi="Arial" w:cs="Arial"/>
        </w:rPr>
        <w:t xml:space="preserve"> company Oubas Bosbo</w:t>
      </w:r>
      <w:r w:rsidR="00A602DF">
        <w:rPr>
          <w:rFonts w:ascii="Arial" w:hAnsi="Arial" w:cs="Arial"/>
        </w:rPr>
        <w:t>u</w:t>
      </w:r>
      <w:r w:rsidRPr="00555295">
        <w:rPr>
          <w:rFonts w:ascii="Arial" w:hAnsi="Arial" w:cs="Arial"/>
        </w:rPr>
        <w:t xml:space="preserve"> Landgoed (Pty) Ltd which is neither owned nor associated with the first respondent. Twyfelhoek does not share a common b</w:t>
      </w:r>
      <w:r w:rsidR="002D20A7" w:rsidRPr="00555295">
        <w:rPr>
          <w:rFonts w:ascii="Arial" w:hAnsi="Arial" w:cs="Arial"/>
        </w:rPr>
        <w:t>order with the fi</w:t>
      </w:r>
      <w:r w:rsidR="001C5707" w:rsidRPr="00555295">
        <w:rPr>
          <w:rFonts w:ascii="Arial" w:hAnsi="Arial" w:cs="Arial"/>
        </w:rPr>
        <w:t>rst respondent’s property and in</w:t>
      </w:r>
      <w:r w:rsidR="002D20A7" w:rsidRPr="00555295">
        <w:rPr>
          <w:rFonts w:ascii="Arial" w:hAnsi="Arial" w:cs="Arial"/>
        </w:rPr>
        <w:t xml:space="preserve"> </w:t>
      </w:r>
      <w:r w:rsidR="007C6FF3">
        <w:rPr>
          <w:rFonts w:ascii="Arial" w:hAnsi="Arial" w:cs="Arial"/>
        </w:rPr>
        <w:t xml:space="preserve">so </w:t>
      </w:r>
      <w:r w:rsidR="002D20A7" w:rsidRPr="00555295">
        <w:rPr>
          <w:rFonts w:ascii="Arial" w:hAnsi="Arial" w:cs="Arial"/>
        </w:rPr>
        <w:t>far as the farm might have posed any fire risk, the risk would not have been to the property of the first respondent, but the properties of Oubas Bosbo</w:t>
      </w:r>
      <w:r w:rsidR="00A602DF">
        <w:rPr>
          <w:rFonts w:ascii="Arial" w:hAnsi="Arial" w:cs="Arial"/>
        </w:rPr>
        <w:t>u</w:t>
      </w:r>
      <w:r w:rsidR="002D20A7" w:rsidRPr="00555295">
        <w:rPr>
          <w:rFonts w:ascii="Arial" w:hAnsi="Arial" w:cs="Arial"/>
        </w:rPr>
        <w:t xml:space="preserve"> Landgoed</w:t>
      </w:r>
      <w:r w:rsidR="00A602DF">
        <w:rPr>
          <w:rFonts w:ascii="Arial" w:hAnsi="Arial" w:cs="Arial"/>
        </w:rPr>
        <w:t>.</w:t>
      </w:r>
      <w:r w:rsidR="002D20A7" w:rsidRPr="00555295">
        <w:rPr>
          <w:rFonts w:ascii="Arial" w:hAnsi="Arial" w:cs="Arial"/>
        </w:rPr>
        <w:t xml:space="preserve"> </w:t>
      </w:r>
    </w:p>
    <w:p w:rsidR="00B95286" w:rsidRPr="00555295" w:rsidRDefault="005F1846" w:rsidP="004C1E5A">
      <w:pPr>
        <w:spacing w:line="360" w:lineRule="auto"/>
        <w:ind w:left="1440" w:hanging="720"/>
        <w:jc w:val="both"/>
        <w:rPr>
          <w:rFonts w:ascii="Arial" w:hAnsi="Arial" w:cs="Arial"/>
        </w:rPr>
      </w:pPr>
      <w:r w:rsidRPr="00555295">
        <w:rPr>
          <w:rFonts w:ascii="Arial" w:hAnsi="Arial" w:cs="Arial"/>
        </w:rPr>
        <w:t>(vi)</w:t>
      </w:r>
      <w:r w:rsidRPr="00555295">
        <w:rPr>
          <w:rFonts w:ascii="Arial" w:hAnsi="Arial" w:cs="Arial"/>
        </w:rPr>
        <w:tab/>
        <w:t>Moede</w:t>
      </w:r>
      <w:r w:rsidR="0099689F" w:rsidRPr="00555295">
        <w:rPr>
          <w:rFonts w:ascii="Arial" w:hAnsi="Arial" w:cs="Arial"/>
        </w:rPr>
        <w:t xml:space="preserve">rs Rus is also completely landlocked and </w:t>
      </w:r>
      <w:r w:rsidR="009E4DA2" w:rsidRPr="00555295">
        <w:rPr>
          <w:rFonts w:ascii="Arial" w:hAnsi="Arial" w:cs="Arial"/>
        </w:rPr>
        <w:t xml:space="preserve">is </w:t>
      </w:r>
      <w:r w:rsidR="0099689F" w:rsidRPr="00555295">
        <w:rPr>
          <w:rFonts w:ascii="Arial" w:hAnsi="Arial" w:cs="Arial"/>
        </w:rPr>
        <w:t>surrounded by Portions</w:t>
      </w:r>
      <w:r w:rsidR="009E4DA2" w:rsidRPr="00555295">
        <w:rPr>
          <w:rFonts w:ascii="Arial" w:hAnsi="Arial" w:cs="Arial"/>
        </w:rPr>
        <w:t xml:space="preserve"> 2,3 and 4 of the F</w:t>
      </w:r>
      <w:r w:rsidR="0099689F" w:rsidRPr="00555295">
        <w:rPr>
          <w:rFonts w:ascii="Arial" w:hAnsi="Arial" w:cs="Arial"/>
        </w:rPr>
        <w:t>arm Vergelegen A97</w:t>
      </w:r>
      <w:r w:rsidR="0087232C" w:rsidRPr="00555295">
        <w:rPr>
          <w:rFonts w:ascii="Arial" w:hAnsi="Arial" w:cs="Arial"/>
        </w:rPr>
        <w:t>70 (owned by a certain Mr CJ Botha, Mr</w:t>
      </w:r>
      <w:r w:rsidR="0099689F" w:rsidRPr="00555295">
        <w:rPr>
          <w:rFonts w:ascii="Arial" w:hAnsi="Arial" w:cs="Arial"/>
        </w:rPr>
        <w:t xml:space="preserve"> Giep Van Heerden and Mr Dries Boshoff respectively or companies associated or controlled by them), the Farm Toegeken 9739 and The Drop 4603 (owned by Oubas Bosbo</w:t>
      </w:r>
      <w:r w:rsidR="00A602DF">
        <w:rPr>
          <w:rFonts w:ascii="Arial" w:hAnsi="Arial" w:cs="Arial"/>
        </w:rPr>
        <w:t>u</w:t>
      </w:r>
      <w:r w:rsidR="0099689F" w:rsidRPr="00555295">
        <w:rPr>
          <w:rFonts w:ascii="Arial" w:hAnsi="Arial" w:cs="Arial"/>
        </w:rPr>
        <w:t xml:space="preserve"> Lan</w:t>
      </w:r>
      <w:r w:rsidR="009E4DA2" w:rsidRPr="00555295">
        <w:rPr>
          <w:rFonts w:ascii="Arial" w:hAnsi="Arial" w:cs="Arial"/>
        </w:rPr>
        <w:t>d</w:t>
      </w:r>
      <w:r w:rsidR="0099689F" w:rsidRPr="00555295">
        <w:rPr>
          <w:rFonts w:ascii="Arial" w:hAnsi="Arial" w:cs="Arial"/>
        </w:rPr>
        <w:t>goed</w:t>
      </w:r>
      <w:r w:rsidR="00074DE2">
        <w:rPr>
          <w:rFonts w:ascii="Arial" w:hAnsi="Arial" w:cs="Arial"/>
        </w:rPr>
        <w:t>)</w:t>
      </w:r>
      <w:r w:rsidR="0099689F" w:rsidRPr="00555295">
        <w:rPr>
          <w:rFonts w:ascii="Arial" w:hAnsi="Arial" w:cs="Arial"/>
        </w:rPr>
        <w:t>; and the Far</w:t>
      </w:r>
      <w:r w:rsidR="009E4DA2" w:rsidRPr="00555295">
        <w:rPr>
          <w:rFonts w:ascii="Arial" w:hAnsi="Arial" w:cs="Arial"/>
        </w:rPr>
        <w:t>m Geduld 255 (owned by the MJ G</w:t>
      </w:r>
      <w:r w:rsidR="0099689F" w:rsidRPr="00555295">
        <w:rPr>
          <w:rFonts w:ascii="Arial" w:hAnsi="Arial" w:cs="Arial"/>
        </w:rPr>
        <w:t>lutz Trust</w:t>
      </w:r>
      <w:r w:rsidR="004C1E5A">
        <w:rPr>
          <w:rFonts w:ascii="Arial" w:hAnsi="Arial" w:cs="Arial"/>
        </w:rPr>
        <w:t>)</w:t>
      </w:r>
      <w:r w:rsidR="0099689F" w:rsidRPr="00555295">
        <w:rPr>
          <w:rFonts w:ascii="Arial" w:hAnsi="Arial" w:cs="Arial"/>
        </w:rPr>
        <w:t>. Moeders Rus does not share a common border with the first respondent</w:t>
      </w:r>
      <w:r w:rsidR="004C1E5A">
        <w:rPr>
          <w:rFonts w:ascii="Arial" w:hAnsi="Arial" w:cs="Arial"/>
        </w:rPr>
        <w:t>’s</w:t>
      </w:r>
      <w:r w:rsidR="0099689F" w:rsidRPr="00555295">
        <w:rPr>
          <w:rFonts w:ascii="Arial" w:hAnsi="Arial" w:cs="Arial"/>
        </w:rPr>
        <w:t xml:space="preserve"> property</w:t>
      </w:r>
      <w:r w:rsidR="009E4DA2" w:rsidRPr="00555295">
        <w:rPr>
          <w:rFonts w:ascii="Arial" w:hAnsi="Arial" w:cs="Arial"/>
        </w:rPr>
        <w:t>;</w:t>
      </w:r>
      <w:r w:rsidR="0099689F" w:rsidRPr="00555295">
        <w:rPr>
          <w:rFonts w:ascii="Arial" w:hAnsi="Arial" w:cs="Arial"/>
        </w:rPr>
        <w:t xml:space="preserve"> and in as far as the farm might have </w:t>
      </w:r>
      <w:r w:rsidR="00123B0D" w:rsidRPr="00555295">
        <w:rPr>
          <w:rFonts w:ascii="Arial" w:hAnsi="Arial" w:cs="Arial"/>
        </w:rPr>
        <w:t xml:space="preserve">posed any fire risk, the risk would not have been to the property of the first respondent but </w:t>
      </w:r>
      <w:r w:rsidR="009E4DA2" w:rsidRPr="00555295">
        <w:rPr>
          <w:rFonts w:ascii="Arial" w:hAnsi="Arial" w:cs="Arial"/>
        </w:rPr>
        <w:t xml:space="preserve">the </w:t>
      </w:r>
      <w:r w:rsidR="00123B0D" w:rsidRPr="00555295">
        <w:rPr>
          <w:rFonts w:ascii="Arial" w:hAnsi="Arial" w:cs="Arial"/>
        </w:rPr>
        <w:t xml:space="preserve">aforementioned owners. It is averred that the old </w:t>
      </w:r>
      <w:r w:rsidR="00C33EE3" w:rsidRPr="00555295">
        <w:rPr>
          <w:rFonts w:ascii="Arial" w:hAnsi="Arial" w:cs="Arial"/>
        </w:rPr>
        <w:t>farmhouse</w:t>
      </w:r>
      <w:r w:rsidR="00123B0D" w:rsidRPr="00555295">
        <w:rPr>
          <w:rFonts w:ascii="Arial" w:hAnsi="Arial" w:cs="Arial"/>
        </w:rPr>
        <w:t xml:space="preserve"> in which the first applicant grew up is still on Moeders Rus and until recently</w:t>
      </w:r>
      <w:r w:rsidR="00C33EE3" w:rsidRPr="00555295">
        <w:rPr>
          <w:rFonts w:ascii="Arial" w:hAnsi="Arial" w:cs="Arial"/>
        </w:rPr>
        <w:t>,</w:t>
      </w:r>
      <w:r w:rsidR="00123B0D" w:rsidRPr="00555295">
        <w:rPr>
          <w:rFonts w:ascii="Arial" w:hAnsi="Arial" w:cs="Arial"/>
        </w:rPr>
        <w:t xml:space="preserve"> she state</w:t>
      </w:r>
      <w:r w:rsidR="00C33EE3" w:rsidRPr="00555295">
        <w:rPr>
          <w:rFonts w:ascii="Arial" w:hAnsi="Arial" w:cs="Arial"/>
        </w:rPr>
        <w:t>s</w:t>
      </w:r>
      <w:r w:rsidR="00123B0D" w:rsidRPr="00555295">
        <w:rPr>
          <w:rFonts w:ascii="Arial" w:hAnsi="Arial" w:cs="Arial"/>
        </w:rPr>
        <w:t xml:space="preserve">, her son and nephews would </w:t>
      </w:r>
      <w:r w:rsidR="00CA6E2D" w:rsidRPr="00555295">
        <w:rPr>
          <w:rFonts w:ascii="Arial" w:hAnsi="Arial" w:cs="Arial"/>
        </w:rPr>
        <w:t>occupy</w:t>
      </w:r>
      <w:r w:rsidR="00123B0D" w:rsidRPr="00555295">
        <w:rPr>
          <w:rFonts w:ascii="Arial" w:hAnsi="Arial" w:cs="Arial"/>
        </w:rPr>
        <w:t xml:space="preserve"> the house when they visited the farm to tend to their livest</w:t>
      </w:r>
      <w:r w:rsidR="005A6487" w:rsidRPr="00555295">
        <w:rPr>
          <w:rFonts w:ascii="Arial" w:hAnsi="Arial" w:cs="Arial"/>
        </w:rPr>
        <w:t>ock. It appears that after this application was launched, the first respondent</w:t>
      </w:r>
      <w:r w:rsidR="00C33EE3" w:rsidRPr="00555295">
        <w:rPr>
          <w:rFonts w:ascii="Arial" w:hAnsi="Arial" w:cs="Arial"/>
        </w:rPr>
        <w:t>’s</w:t>
      </w:r>
      <w:r w:rsidR="005A6487" w:rsidRPr="00555295">
        <w:rPr>
          <w:rFonts w:ascii="Arial" w:hAnsi="Arial" w:cs="Arial"/>
        </w:rPr>
        <w:t xml:space="preserve"> employees broke down the door to the house and forced the first applicant’s son to remove all his belonging</w:t>
      </w:r>
      <w:r w:rsidR="00C33EE3" w:rsidRPr="00555295">
        <w:rPr>
          <w:rFonts w:ascii="Arial" w:hAnsi="Arial" w:cs="Arial"/>
        </w:rPr>
        <w:t>s</w:t>
      </w:r>
      <w:r w:rsidR="005A6487" w:rsidRPr="00555295">
        <w:rPr>
          <w:rFonts w:ascii="Arial" w:hAnsi="Arial" w:cs="Arial"/>
        </w:rPr>
        <w:t>.</w:t>
      </w:r>
    </w:p>
    <w:p w:rsidR="00B95286" w:rsidRPr="00555295" w:rsidRDefault="00B95286" w:rsidP="00A4090B">
      <w:pPr>
        <w:spacing w:line="360" w:lineRule="auto"/>
        <w:ind w:left="1440" w:hanging="720"/>
        <w:jc w:val="both"/>
        <w:rPr>
          <w:rFonts w:ascii="Arial" w:hAnsi="Arial" w:cs="Arial"/>
        </w:rPr>
      </w:pPr>
      <w:r w:rsidRPr="00555295">
        <w:rPr>
          <w:rFonts w:ascii="Arial" w:hAnsi="Arial" w:cs="Arial"/>
        </w:rPr>
        <w:t>(vii)</w:t>
      </w:r>
      <w:r w:rsidRPr="00555295">
        <w:rPr>
          <w:rFonts w:ascii="Arial" w:hAnsi="Arial" w:cs="Arial"/>
        </w:rPr>
        <w:tab/>
      </w:r>
      <w:r w:rsidR="004C1E5A">
        <w:rPr>
          <w:rFonts w:ascii="Arial" w:hAnsi="Arial" w:cs="Arial"/>
        </w:rPr>
        <w:t>I</w:t>
      </w:r>
      <w:r w:rsidRPr="00555295">
        <w:rPr>
          <w:rFonts w:ascii="Arial" w:hAnsi="Arial" w:cs="Arial"/>
        </w:rPr>
        <w:t>t is alleged</w:t>
      </w:r>
      <w:r w:rsidR="0030285F" w:rsidRPr="00555295">
        <w:rPr>
          <w:rFonts w:ascii="Arial" w:hAnsi="Arial" w:cs="Arial"/>
        </w:rPr>
        <w:t xml:space="preserve"> that</w:t>
      </w:r>
      <w:r w:rsidR="0087232C" w:rsidRPr="00555295">
        <w:rPr>
          <w:rFonts w:ascii="Arial" w:hAnsi="Arial" w:cs="Arial"/>
        </w:rPr>
        <w:t>,</w:t>
      </w:r>
      <w:r w:rsidR="0030285F" w:rsidRPr="00555295">
        <w:rPr>
          <w:rFonts w:ascii="Arial" w:hAnsi="Arial" w:cs="Arial"/>
        </w:rPr>
        <w:t xml:space="preserve"> to this day</w:t>
      </w:r>
      <w:r w:rsidR="0087232C" w:rsidRPr="00555295">
        <w:rPr>
          <w:rFonts w:ascii="Arial" w:hAnsi="Arial" w:cs="Arial"/>
        </w:rPr>
        <w:t>,</w:t>
      </w:r>
      <w:r w:rsidR="0030285F" w:rsidRPr="00555295">
        <w:rPr>
          <w:rFonts w:ascii="Arial" w:hAnsi="Arial" w:cs="Arial"/>
        </w:rPr>
        <w:t xml:space="preserve"> Twyfelhoek has</w:t>
      </w:r>
      <w:r w:rsidRPr="00555295">
        <w:rPr>
          <w:rFonts w:ascii="Arial" w:hAnsi="Arial" w:cs="Arial"/>
        </w:rPr>
        <w:t xml:space="preserve"> infrastructure which include</w:t>
      </w:r>
      <w:r w:rsidR="0030285F" w:rsidRPr="00555295">
        <w:rPr>
          <w:rFonts w:ascii="Arial" w:hAnsi="Arial" w:cs="Arial"/>
        </w:rPr>
        <w:t>s</w:t>
      </w:r>
      <w:r w:rsidRPr="00555295">
        <w:rPr>
          <w:rFonts w:ascii="Arial" w:hAnsi="Arial" w:cs="Arial"/>
        </w:rPr>
        <w:t xml:space="preserve"> a shed, rondavels, and an ablution facility. The applicants</w:t>
      </w:r>
      <w:r w:rsidR="005F0C01">
        <w:rPr>
          <w:rFonts w:ascii="Arial" w:hAnsi="Arial" w:cs="Arial"/>
        </w:rPr>
        <w:t>’</w:t>
      </w:r>
      <w:r w:rsidRPr="00555295">
        <w:rPr>
          <w:rFonts w:ascii="Arial" w:hAnsi="Arial" w:cs="Arial"/>
        </w:rPr>
        <w:t xml:space="preserve"> family could congregate there at least once a year for a family reunion and the rondavels and ablution facilities were used by the family during these congregations. The last time the family congregated there was in 2019 before the onset of the Covid 19 pandemic.</w:t>
      </w:r>
    </w:p>
    <w:p w:rsidR="0099689F" w:rsidRPr="00555295" w:rsidRDefault="00887B68" w:rsidP="00A4090B">
      <w:pPr>
        <w:spacing w:line="360" w:lineRule="auto"/>
        <w:ind w:left="720" w:hanging="720"/>
        <w:jc w:val="both"/>
        <w:rPr>
          <w:rFonts w:ascii="Arial" w:hAnsi="Arial" w:cs="Arial"/>
        </w:rPr>
      </w:pPr>
      <w:r w:rsidRPr="00555295">
        <w:rPr>
          <w:rFonts w:ascii="Arial" w:hAnsi="Arial" w:cs="Arial"/>
        </w:rPr>
        <w:lastRenderedPageBreak/>
        <w:t>(e)</w:t>
      </w:r>
      <w:r w:rsidRPr="00555295">
        <w:rPr>
          <w:rFonts w:ascii="Arial" w:hAnsi="Arial" w:cs="Arial"/>
        </w:rPr>
        <w:tab/>
        <w:t xml:space="preserve">There were </w:t>
      </w:r>
      <w:r w:rsidR="00A602DF" w:rsidRPr="00555295">
        <w:rPr>
          <w:rFonts w:ascii="Arial" w:hAnsi="Arial" w:cs="Arial"/>
        </w:rPr>
        <w:t xml:space="preserve">cattle </w:t>
      </w:r>
      <w:r w:rsidRPr="00555295">
        <w:rPr>
          <w:rFonts w:ascii="Arial" w:hAnsi="Arial" w:cs="Arial"/>
        </w:rPr>
        <w:t>grazing on the farms which would have been a clear indication that the farms were being utilised. The first respondent or its deponent to the affidavit</w:t>
      </w:r>
      <w:r w:rsidR="00C66150" w:rsidRPr="00555295">
        <w:rPr>
          <w:rFonts w:ascii="Arial" w:hAnsi="Arial" w:cs="Arial"/>
        </w:rPr>
        <w:t>s</w:t>
      </w:r>
      <w:r w:rsidRPr="00555295">
        <w:rPr>
          <w:rFonts w:ascii="Arial" w:hAnsi="Arial" w:cs="Arial"/>
        </w:rPr>
        <w:t xml:space="preserve"> filed o</w:t>
      </w:r>
      <w:r w:rsidR="00303962">
        <w:rPr>
          <w:rFonts w:ascii="Arial" w:hAnsi="Arial" w:cs="Arial"/>
        </w:rPr>
        <w:t xml:space="preserve">n </w:t>
      </w:r>
      <w:r w:rsidRPr="00555295">
        <w:rPr>
          <w:rFonts w:ascii="Arial" w:hAnsi="Arial" w:cs="Arial"/>
        </w:rPr>
        <w:t>record omitted to mention this fact in its evidence</w:t>
      </w:r>
      <w:r w:rsidR="00C66150" w:rsidRPr="00555295">
        <w:rPr>
          <w:rFonts w:ascii="Arial" w:hAnsi="Arial" w:cs="Arial"/>
        </w:rPr>
        <w:t>,</w:t>
      </w:r>
      <w:r w:rsidRPr="00555295">
        <w:rPr>
          <w:rFonts w:ascii="Arial" w:hAnsi="Arial" w:cs="Arial"/>
        </w:rPr>
        <w:t xml:space="preserve"> instead opted to claim that there was no life (of people and animals) on the farms. I find it strange that since these proceedings have been launched there seems to be life again on the farms</w:t>
      </w:r>
      <w:r w:rsidR="00303962">
        <w:rPr>
          <w:rFonts w:ascii="Arial" w:hAnsi="Arial" w:cs="Arial"/>
        </w:rPr>
        <w:t>.</w:t>
      </w:r>
      <w:r w:rsidR="00303962">
        <w:rPr>
          <w:rStyle w:val="FootnoteReference"/>
          <w:rFonts w:ascii="Arial" w:hAnsi="Arial" w:cs="Arial"/>
        </w:rPr>
        <w:footnoteReference w:id="50"/>
      </w:r>
    </w:p>
    <w:p w:rsidR="00210BDA" w:rsidRPr="00555295" w:rsidRDefault="00210BDA" w:rsidP="00A4090B">
      <w:pPr>
        <w:spacing w:line="360" w:lineRule="auto"/>
        <w:ind w:left="720" w:hanging="720"/>
        <w:jc w:val="both"/>
        <w:rPr>
          <w:rFonts w:ascii="Arial" w:hAnsi="Arial" w:cs="Arial"/>
        </w:rPr>
      </w:pPr>
      <w:r w:rsidRPr="00555295">
        <w:rPr>
          <w:rFonts w:ascii="Arial" w:hAnsi="Arial" w:cs="Arial"/>
        </w:rPr>
        <w:t>(f)</w:t>
      </w:r>
      <w:r w:rsidRPr="00555295">
        <w:rPr>
          <w:rFonts w:ascii="Arial" w:hAnsi="Arial" w:cs="Arial"/>
        </w:rPr>
        <w:tab/>
        <w:t xml:space="preserve">Moeders Rus and Twyfelhoek both have access to provincial or municipal roads via servitudes which tends to show that the first respondent was not telling the whole truth in </w:t>
      </w:r>
      <w:r w:rsidR="00A602DF">
        <w:rPr>
          <w:rFonts w:ascii="Arial" w:hAnsi="Arial" w:cs="Arial"/>
        </w:rPr>
        <w:t>its</w:t>
      </w:r>
      <w:r w:rsidR="00A602DF" w:rsidRPr="00555295">
        <w:rPr>
          <w:rFonts w:ascii="Arial" w:hAnsi="Arial" w:cs="Arial"/>
        </w:rPr>
        <w:t xml:space="preserve"> </w:t>
      </w:r>
      <w:r w:rsidRPr="00555295">
        <w:rPr>
          <w:rFonts w:ascii="Arial" w:hAnsi="Arial" w:cs="Arial"/>
        </w:rPr>
        <w:t>affidavit</w:t>
      </w:r>
      <w:r w:rsidR="00EC1249" w:rsidRPr="00555295">
        <w:rPr>
          <w:rFonts w:ascii="Arial" w:hAnsi="Arial" w:cs="Arial"/>
        </w:rPr>
        <w:t>s</w:t>
      </w:r>
      <w:r w:rsidR="003944D4">
        <w:rPr>
          <w:rFonts w:ascii="Arial" w:hAnsi="Arial" w:cs="Arial"/>
        </w:rPr>
        <w:t>, when it stated</w:t>
      </w:r>
      <w:r w:rsidR="0087232C" w:rsidRPr="00555295">
        <w:rPr>
          <w:rFonts w:ascii="Arial" w:hAnsi="Arial" w:cs="Arial"/>
        </w:rPr>
        <w:t xml:space="preserve"> that the farm</w:t>
      </w:r>
      <w:r w:rsidRPr="00555295">
        <w:rPr>
          <w:rFonts w:ascii="Arial" w:hAnsi="Arial" w:cs="Arial"/>
        </w:rPr>
        <w:t xml:space="preserve"> (which to its </w:t>
      </w:r>
      <w:r w:rsidR="0024250B" w:rsidRPr="00555295">
        <w:rPr>
          <w:rFonts w:ascii="Arial" w:hAnsi="Arial" w:cs="Arial"/>
        </w:rPr>
        <w:t>knowledge were actually three farms) had</w:t>
      </w:r>
      <w:r w:rsidR="0087232C" w:rsidRPr="00555295">
        <w:rPr>
          <w:rFonts w:ascii="Arial" w:hAnsi="Arial" w:cs="Arial"/>
        </w:rPr>
        <w:t xml:space="preserve"> no</w:t>
      </w:r>
      <w:r w:rsidR="0024250B" w:rsidRPr="00555295">
        <w:rPr>
          <w:rFonts w:ascii="Arial" w:hAnsi="Arial" w:cs="Arial"/>
        </w:rPr>
        <w:t xml:space="preserve"> road access. Although it is true Glen Ashton needed to be access</w:t>
      </w:r>
      <w:r w:rsidR="00F16C11" w:rsidRPr="00555295">
        <w:rPr>
          <w:rFonts w:ascii="Arial" w:hAnsi="Arial" w:cs="Arial"/>
        </w:rPr>
        <w:t>ed via</w:t>
      </w:r>
      <w:r w:rsidR="004B1560" w:rsidRPr="00555295">
        <w:rPr>
          <w:rFonts w:ascii="Arial" w:hAnsi="Arial" w:cs="Arial"/>
        </w:rPr>
        <w:t xml:space="preserve"> Vulintaba</w:t>
      </w:r>
      <w:r w:rsidR="00A602DF">
        <w:rPr>
          <w:rFonts w:ascii="Arial" w:hAnsi="Arial" w:cs="Arial"/>
        </w:rPr>
        <w:t xml:space="preserve">, </w:t>
      </w:r>
      <w:r w:rsidR="004B1560" w:rsidRPr="00555295">
        <w:rPr>
          <w:rFonts w:ascii="Arial" w:hAnsi="Arial" w:cs="Arial"/>
        </w:rPr>
        <w:t xml:space="preserve">Twyfelhoek is accessed via a servitude that runs over the </w:t>
      </w:r>
      <w:r w:rsidR="00A602DF">
        <w:rPr>
          <w:rFonts w:ascii="Arial" w:hAnsi="Arial" w:cs="Arial"/>
        </w:rPr>
        <w:t>F</w:t>
      </w:r>
      <w:r w:rsidR="004B1560" w:rsidRPr="00555295">
        <w:rPr>
          <w:rFonts w:ascii="Arial" w:hAnsi="Arial" w:cs="Arial"/>
        </w:rPr>
        <w:t>arm Toegeken 9739; while</w:t>
      </w:r>
      <w:r w:rsidR="00286E54" w:rsidRPr="00555295">
        <w:rPr>
          <w:rFonts w:ascii="Arial" w:hAnsi="Arial" w:cs="Arial"/>
        </w:rPr>
        <w:t xml:space="preserve"> Moeders Rus is acc</w:t>
      </w:r>
      <w:r w:rsidR="004B1560" w:rsidRPr="00555295">
        <w:rPr>
          <w:rFonts w:ascii="Arial" w:hAnsi="Arial" w:cs="Arial"/>
        </w:rPr>
        <w:t xml:space="preserve">essed via a servitude that runs </w:t>
      </w:r>
      <w:r w:rsidR="00286E54" w:rsidRPr="00555295">
        <w:rPr>
          <w:rFonts w:ascii="Arial" w:hAnsi="Arial" w:cs="Arial"/>
        </w:rPr>
        <w:t>over Farm Geduld 255. It is to be noted that Vulintaba, of which the deponent to the affidavit</w:t>
      </w:r>
      <w:r w:rsidR="00FD405C" w:rsidRPr="00555295">
        <w:rPr>
          <w:rFonts w:ascii="Arial" w:hAnsi="Arial" w:cs="Arial"/>
        </w:rPr>
        <w:t>s</w:t>
      </w:r>
      <w:r w:rsidR="00286E54" w:rsidRPr="00555295">
        <w:rPr>
          <w:rFonts w:ascii="Arial" w:hAnsi="Arial" w:cs="Arial"/>
        </w:rPr>
        <w:t xml:space="preserve"> is one of the</w:t>
      </w:r>
      <w:r w:rsidR="00FD405C" w:rsidRPr="00555295">
        <w:rPr>
          <w:rFonts w:ascii="Arial" w:hAnsi="Arial" w:cs="Arial"/>
        </w:rPr>
        <w:t xml:space="preserve"> directors, issued an access pa</w:t>
      </w:r>
      <w:r w:rsidR="00286E54" w:rsidRPr="00555295">
        <w:rPr>
          <w:rFonts w:ascii="Arial" w:hAnsi="Arial" w:cs="Arial"/>
        </w:rPr>
        <w:t>s</w:t>
      </w:r>
      <w:r w:rsidR="00E505EB" w:rsidRPr="00555295">
        <w:rPr>
          <w:rFonts w:ascii="Arial" w:hAnsi="Arial" w:cs="Arial"/>
        </w:rPr>
        <w:t xml:space="preserve">s </w:t>
      </w:r>
      <w:r w:rsidR="00286E54" w:rsidRPr="00555295">
        <w:rPr>
          <w:rFonts w:ascii="Arial" w:hAnsi="Arial" w:cs="Arial"/>
        </w:rPr>
        <w:t xml:space="preserve">to </w:t>
      </w:r>
      <w:r w:rsidR="00303962" w:rsidRPr="00555295">
        <w:rPr>
          <w:rFonts w:ascii="Arial" w:hAnsi="Arial" w:cs="Arial"/>
        </w:rPr>
        <w:t>Paul</w:t>
      </w:r>
      <w:r w:rsidR="00286E54" w:rsidRPr="00555295">
        <w:rPr>
          <w:rFonts w:ascii="Arial" w:hAnsi="Arial" w:cs="Arial"/>
        </w:rPr>
        <w:t xml:space="preserve"> Geldenhu</w:t>
      </w:r>
      <w:r w:rsidR="00E505EB" w:rsidRPr="00555295">
        <w:rPr>
          <w:rFonts w:ascii="Arial" w:hAnsi="Arial" w:cs="Arial"/>
        </w:rPr>
        <w:t>y</w:t>
      </w:r>
      <w:r w:rsidR="00286E54" w:rsidRPr="00555295">
        <w:rPr>
          <w:rFonts w:ascii="Arial" w:hAnsi="Arial" w:cs="Arial"/>
        </w:rPr>
        <w:t>s to traverse the Estate</w:t>
      </w:r>
      <w:r w:rsidR="00FD405C" w:rsidRPr="00555295">
        <w:rPr>
          <w:rFonts w:ascii="Arial" w:hAnsi="Arial" w:cs="Arial"/>
        </w:rPr>
        <w:t xml:space="preserve"> in order to access the farm (ostensibly</w:t>
      </w:r>
      <w:r w:rsidR="00E505EB" w:rsidRPr="00555295">
        <w:rPr>
          <w:rFonts w:ascii="Arial" w:hAnsi="Arial" w:cs="Arial"/>
        </w:rPr>
        <w:t xml:space="preserve"> </w:t>
      </w:r>
      <w:r w:rsidR="008F0B24" w:rsidRPr="00555295">
        <w:rPr>
          <w:rFonts w:ascii="Arial" w:hAnsi="Arial" w:cs="Arial"/>
        </w:rPr>
        <w:t>Glen Ashton</w:t>
      </w:r>
      <w:r w:rsidR="00FD405C" w:rsidRPr="00555295">
        <w:rPr>
          <w:rFonts w:ascii="Arial" w:hAnsi="Arial" w:cs="Arial"/>
        </w:rPr>
        <w:t xml:space="preserve">) </w:t>
      </w:r>
      <w:r w:rsidR="00286E54" w:rsidRPr="00555295">
        <w:rPr>
          <w:rFonts w:ascii="Arial" w:hAnsi="Arial" w:cs="Arial"/>
        </w:rPr>
        <w:t>in June 2</w:t>
      </w:r>
      <w:r w:rsidR="00303962">
        <w:rPr>
          <w:rFonts w:ascii="Arial" w:hAnsi="Arial" w:cs="Arial"/>
        </w:rPr>
        <w:t>0</w:t>
      </w:r>
      <w:r w:rsidR="00286E54" w:rsidRPr="00555295">
        <w:rPr>
          <w:rFonts w:ascii="Arial" w:hAnsi="Arial" w:cs="Arial"/>
        </w:rPr>
        <w:t>19, a month after the ex parte application was launched and eight months before the first respondent obtained the final order. The first respondent owned Vulintaba. I find it strange that despite this fact of a neglectful neighbour who has sud</w:t>
      </w:r>
      <w:r w:rsidR="00D57FB1" w:rsidRPr="00555295">
        <w:rPr>
          <w:rFonts w:ascii="Arial" w:hAnsi="Arial" w:cs="Arial"/>
        </w:rPr>
        <w:t xml:space="preserve">denly showed up, which I believe </w:t>
      </w:r>
      <w:r w:rsidR="00286E54" w:rsidRPr="00555295">
        <w:rPr>
          <w:rFonts w:ascii="Arial" w:hAnsi="Arial" w:cs="Arial"/>
        </w:rPr>
        <w:t>should have been within the common knowledge of its employees, the first respondent still went ahead and sought final relief to take ownership of the farms. It appears to me that</w:t>
      </w:r>
      <w:r w:rsidR="00330340" w:rsidRPr="00555295">
        <w:rPr>
          <w:rFonts w:ascii="Arial" w:hAnsi="Arial" w:cs="Arial"/>
        </w:rPr>
        <w:t>,</w:t>
      </w:r>
      <w:r w:rsidR="00286E54" w:rsidRPr="00555295">
        <w:rPr>
          <w:rFonts w:ascii="Arial" w:hAnsi="Arial" w:cs="Arial"/>
        </w:rPr>
        <w:t xml:space="preserve"> at the time the final </w:t>
      </w:r>
      <w:r w:rsidR="00330340" w:rsidRPr="00555295">
        <w:rPr>
          <w:rFonts w:ascii="Arial" w:hAnsi="Arial" w:cs="Arial"/>
        </w:rPr>
        <w:t xml:space="preserve">order </w:t>
      </w:r>
      <w:r w:rsidR="00286E54" w:rsidRPr="00555295">
        <w:rPr>
          <w:rFonts w:ascii="Arial" w:hAnsi="Arial" w:cs="Arial"/>
        </w:rPr>
        <w:t>was granted</w:t>
      </w:r>
      <w:r w:rsidR="00330340" w:rsidRPr="00555295">
        <w:rPr>
          <w:rFonts w:ascii="Arial" w:hAnsi="Arial" w:cs="Arial"/>
        </w:rPr>
        <w:t>,</w:t>
      </w:r>
      <w:r w:rsidR="00286E54" w:rsidRPr="00555295">
        <w:rPr>
          <w:rFonts w:ascii="Arial" w:hAnsi="Arial" w:cs="Arial"/>
        </w:rPr>
        <w:t xml:space="preserve"> the first respondent knew or should have known that the facts upon which the relief sought was </w:t>
      </w:r>
      <w:r w:rsidR="004E4FAD" w:rsidRPr="00555295">
        <w:rPr>
          <w:rFonts w:ascii="Arial" w:hAnsi="Arial" w:cs="Arial"/>
        </w:rPr>
        <w:t>premised were not true.</w:t>
      </w:r>
    </w:p>
    <w:p w:rsidR="0034129D" w:rsidRPr="00555295" w:rsidRDefault="001D72CC" w:rsidP="00A4090B">
      <w:pPr>
        <w:spacing w:line="360" w:lineRule="auto"/>
        <w:ind w:left="720" w:hanging="720"/>
        <w:jc w:val="both"/>
        <w:rPr>
          <w:rFonts w:ascii="Arial" w:hAnsi="Arial" w:cs="Arial"/>
        </w:rPr>
      </w:pPr>
      <w:r w:rsidRPr="00555295">
        <w:rPr>
          <w:rFonts w:ascii="Arial" w:hAnsi="Arial" w:cs="Arial"/>
        </w:rPr>
        <w:t>(g)</w:t>
      </w:r>
      <w:r w:rsidRPr="00555295">
        <w:rPr>
          <w:rFonts w:ascii="Arial" w:hAnsi="Arial" w:cs="Arial"/>
        </w:rPr>
        <w:tab/>
        <w:t>The first respondent held out to the court that the farm (which to its knowledge were actually three farms) was of little or no commercial value. The valuation certificate attached to its supplementary affidavit in the ex parte application indicated the combined value of the three farms is R1 254 687.03</w:t>
      </w:r>
      <w:r w:rsidR="0082603E" w:rsidRPr="00555295">
        <w:rPr>
          <w:rFonts w:ascii="Arial" w:hAnsi="Arial" w:cs="Arial"/>
        </w:rPr>
        <w:t>. Hav</w:t>
      </w:r>
      <w:r w:rsidR="0034129D" w:rsidRPr="00555295">
        <w:rPr>
          <w:rFonts w:ascii="Arial" w:hAnsi="Arial" w:cs="Arial"/>
        </w:rPr>
        <w:t>ing regard to the massive discrepancy between the true value of the farm</w:t>
      </w:r>
      <w:r w:rsidR="0082603E" w:rsidRPr="00555295">
        <w:rPr>
          <w:rFonts w:ascii="Arial" w:hAnsi="Arial" w:cs="Arial"/>
        </w:rPr>
        <w:t>s</w:t>
      </w:r>
      <w:r w:rsidR="0034129D" w:rsidRPr="00555295">
        <w:rPr>
          <w:rFonts w:ascii="Arial" w:hAnsi="Arial" w:cs="Arial"/>
        </w:rPr>
        <w:t xml:space="preserve"> and the value expressed in the valuation certificate, the first respondent</w:t>
      </w:r>
      <w:r w:rsidR="0082603E" w:rsidRPr="00555295">
        <w:rPr>
          <w:rFonts w:ascii="Arial" w:hAnsi="Arial" w:cs="Arial"/>
        </w:rPr>
        <w:t>’s</w:t>
      </w:r>
      <w:r w:rsidR="0034129D" w:rsidRPr="00555295">
        <w:rPr>
          <w:rFonts w:ascii="Arial" w:hAnsi="Arial" w:cs="Arial"/>
        </w:rPr>
        <w:t xml:space="preserve"> valuation is grossly </w:t>
      </w:r>
      <w:r w:rsidR="0034129D" w:rsidRPr="00555295">
        <w:rPr>
          <w:rFonts w:ascii="Arial" w:hAnsi="Arial" w:cs="Arial"/>
        </w:rPr>
        <w:lastRenderedPageBreak/>
        <w:t>inaccurate, and the information contained therein was either manipulated or deliberately misstated.</w:t>
      </w:r>
    </w:p>
    <w:p w:rsidR="0034129D" w:rsidRPr="00555295" w:rsidRDefault="0034129D" w:rsidP="00A4090B">
      <w:pPr>
        <w:spacing w:line="360" w:lineRule="auto"/>
        <w:ind w:left="720" w:hanging="720"/>
        <w:jc w:val="both"/>
        <w:rPr>
          <w:rFonts w:ascii="Arial" w:hAnsi="Arial" w:cs="Arial"/>
        </w:rPr>
      </w:pPr>
      <w:r w:rsidRPr="00555295">
        <w:rPr>
          <w:rFonts w:ascii="Arial" w:hAnsi="Arial" w:cs="Arial"/>
        </w:rPr>
        <w:t>(h)</w:t>
      </w:r>
      <w:r w:rsidRPr="00555295">
        <w:rPr>
          <w:rFonts w:ascii="Arial" w:hAnsi="Arial" w:cs="Arial"/>
        </w:rPr>
        <w:tab/>
        <w:t>The Newc</w:t>
      </w:r>
      <w:r w:rsidR="0082603E" w:rsidRPr="00555295">
        <w:rPr>
          <w:rFonts w:ascii="Arial" w:hAnsi="Arial" w:cs="Arial"/>
        </w:rPr>
        <w:t xml:space="preserve">astle Municipality undertook a General </w:t>
      </w:r>
      <w:r w:rsidR="00AC451D" w:rsidRPr="00555295">
        <w:rPr>
          <w:rFonts w:ascii="Arial" w:hAnsi="Arial" w:cs="Arial"/>
        </w:rPr>
        <w:t>Valuation R</w:t>
      </w:r>
      <w:r w:rsidRPr="00555295">
        <w:rPr>
          <w:rFonts w:ascii="Arial" w:hAnsi="Arial" w:cs="Arial"/>
        </w:rPr>
        <w:t>oll (GV</w:t>
      </w:r>
      <w:r w:rsidR="00C11623">
        <w:rPr>
          <w:rFonts w:ascii="Arial" w:hAnsi="Arial" w:cs="Arial"/>
        </w:rPr>
        <w:t xml:space="preserve"> </w:t>
      </w:r>
      <w:r w:rsidRPr="00555295">
        <w:rPr>
          <w:rFonts w:ascii="Arial" w:hAnsi="Arial" w:cs="Arial"/>
        </w:rPr>
        <w:t xml:space="preserve">2019) which was implemented with effect from 1 July 2019. The GV 2019 Roll property values remain valid for the period 1 July 2019 to June 2024. According to the Valuation Roll the municipal values of three farms are as </w:t>
      </w:r>
      <w:r w:rsidR="000530C4" w:rsidRPr="00555295">
        <w:rPr>
          <w:rFonts w:ascii="Arial" w:hAnsi="Arial" w:cs="Arial"/>
        </w:rPr>
        <w:t>follows: -</w:t>
      </w:r>
    </w:p>
    <w:p w:rsidR="000530C4" w:rsidRPr="00555295" w:rsidRDefault="000530C4" w:rsidP="00A4090B">
      <w:pPr>
        <w:spacing w:line="360" w:lineRule="auto"/>
        <w:ind w:firstLine="720"/>
        <w:jc w:val="both"/>
        <w:rPr>
          <w:rFonts w:ascii="Arial" w:hAnsi="Arial" w:cs="Arial"/>
        </w:rPr>
      </w:pPr>
      <w:r w:rsidRPr="00555295">
        <w:rPr>
          <w:rFonts w:ascii="Arial" w:hAnsi="Arial" w:cs="Arial"/>
        </w:rPr>
        <w:t>(i)</w:t>
      </w:r>
      <w:r w:rsidRPr="00555295">
        <w:rPr>
          <w:rFonts w:ascii="Arial" w:hAnsi="Arial" w:cs="Arial"/>
        </w:rPr>
        <w:tab/>
        <w:t>Glen Ashton – R1 340</w:t>
      </w:r>
      <w:r w:rsidR="00F4651A">
        <w:rPr>
          <w:rFonts w:ascii="Arial" w:hAnsi="Arial" w:cs="Arial"/>
        </w:rPr>
        <w:t> </w:t>
      </w:r>
      <w:r w:rsidRPr="00555295">
        <w:rPr>
          <w:rFonts w:ascii="Arial" w:hAnsi="Arial" w:cs="Arial"/>
        </w:rPr>
        <w:t>000</w:t>
      </w:r>
      <w:r w:rsidR="00F4651A">
        <w:rPr>
          <w:rFonts w:ascii="Arial" w:hAnsi="Arial" w:cs="Arial"/>
        </w:rPr>
        <w:t>;</w:t>
      </w:r>
    </w:p>
    <w:p w:rsidR="000530C4" w:rsidRPr="00555295" w:rsidRDefault="000530C4" w:rsidP="00555295">
      <w:pPr>
        <w:spacing w:line="360" w:lineRule="auto"/>
        <w:ind w:left="720"/>
        <w:jc w:val="both"/>
        <w:rPr>
          <w:rFonts w:ascii="Arial" w:hAnsi="Arial" w:cs="Arial"/>
        </w:rPr>
      </w:pPr>
      <w:r w:rsidRPr="00555295">
        <w:rPr>
          <w:rFonts w:ascii="Arial" w:hAnsi="Arial" w:cs="Arial"/>
        </w:rPr>
        <w:t>(ii)</w:t>
      </w:r>
      <w:r w:rsidRPr="00555295">
        <w:rPr>
          <w:rFonts w:ascii="Arial" w:hAnsi="Arial" w:cs="Arial"/>
        </w:rPr>
        <w:tab/>
        <w:t>Moeders Rus – R4 478</w:t>
      </w:r>
      <w:r w:rsidR="00F4651A">
        <w:rPr>
          <w:rFonts w:ascii="Arial" w:hAnsi="Arial" w:cs="Arial"/>
        </w:rPr>
        <w:t> </w:t>
      </w:r>
      <w:r w:rsidRPr="00555295">
        <w:rPr>
          <w:rFonts w:ascii="Arial" w:hAnsi="Arial" w:cs="Arial"/>
        </w:rPr>
        <w:t>000</w:t>
      </w:r>
      <w:r w:rsidR="00F4651A">
        <w:rPr>
          <w:rFonts w:ascii="Arial" w:hAnsi="Arial" w:cs="Arial"/>
        </w:rPr>
        <w:t>; and</w:t>
      </w:r>
    </w:p>
    <w:p w:rsidR="000530C4" w:rsidRPr="00555295" w:rsidRDefault="000530C4" w:rsidP="00555295">
      <w:pPr>
        <w:spacing w:line="360" w:lineRule="auto"/>
        <w:ind w:left="720"/>
        <w:jc w:val="both"/>
        <w:rPr>
          <w:rFonts w:ascii="Arial" w:hAnsi="Arial" w:cs="Arial"/>
        </w:rPr>
      </w:pPr>
      <w:r w:rsidRPr="00555295">
        <w:rPr>
          <w:rFonts w:ascii="Arial" w:hAnsi="Arial" w:cs="Arial"/>
        </w:rPr>
        <w:t>(iii)</w:t>
      </w:r>
      <w:r w:rsidRPr="00555295">
        <w:rPr>
          <w:rFonts w:ascii="Arial" w:hAnsi="Arial" w:cs="Arial"/>
        </w:rPr>
        <w:tab/>
        <w:t xml:space="preserve">Twyfelhoef </w:t>
      </w:r>
      <w:r w:rsidR="00F4651A" w:rsidRPr="00555295">
        <w:rPr>
          <w:rFonts w:ascii="Arial" w:hAnsi="Arial" w:cs="Arial"/>
        </w:rPr>
        <w:t xml:space="preserve">– </w:t>
      </w:r>
      <w:r w:rsidRPr="00555295">
        <w:rPr>
          <w:rFonts w:ascii="Arial" w:hAnsi="Arial" w:cs="Arial"/>
        </w:rPr>
        <w:t>R 1 272 000</w:t>
      </w:r>
    </w:p>
    <w:p w:rsidR="001D72CC" w:rsidRPr="00555295" w:rsidRDefault="000530C4" w:rsidP="00555295">
      <w:pPr>
        <w:spacing w:line="360" w:lineRule="auto"/>
        <w:ind w:left="720"/>
        <w:jc w:val="both"/>
        <w:rPr>
          <w:rFonts w:ascii="Arial" w:hAnsi="Arial" w:cs="Arial"/>
        </w:rPr>
      </w:pPr>
      <w:r w:rsidRPr="00555295">
        <w:rPr>
          <w:rFonts w:ascii="Arial" w:hAnsi="Arial" w:cs="Arial"/>
        </w:rPr>
        <w:t xml:space="preserve">Therefore, the combined municipal valuation of the farms is R7 090 000. Clearly, the farms were acquired at </w:t>
      </w:r>
      <w:r w:rsidR="001F411C" w:rsidRPr="00555295">
        <w:rPr>
          <w:rFonts w:ascii="Arial" w:hAnsi="Arial" w:cs="Arial"/>
        </w:rPr>
        <w:t xml:space="preserve">a </w:t>
      </w:r>
      <w:r w:rsidRPr="00555295">
        <w:rPr>
          <w:rFonts w:ascii="Arial" w:hAnsi="Arial" w:cs="Arial"/>
        </w:rPr>
        <w:t>bargain</w:t>
      </w:r>
      <w:r w:rsidR="00C068C7" w:rsidRPr="00555295">
        <w:rPr>
          <w:rFonts w:ascii="Arial" w:hAnsi="Arial" w:cs="Arial"/>
        </w:rPr>
        <w:t xml:space="preserve"> even by the municipal standards.</w:t>
      </w:r>
    </w:p>
    <w:p w:rsidR="00F50599" w:rsidRPr="00A4090B" w:rsidRDefault="00C11623" w:rsidP="00C11623">
      <w:pPr>
        <w:spacing w:line="360" w:lineRule="auto"/>
        <w:ind w:left="720" w:hanging="720"/>
        <w:jc w:val="both"/>
        <w:rPr>
          <w:rFonts w:ascii="Arial" w:hAnsi="Arial" w:cs="Arial"/>
        </w:rPr>
      </w:pPr>
      <w:r>
        <w:rPr>
          <w:rFonts w:ascii="Arial" w:hAnsi="Arial" w:cs="Arial"/>
        </w:rPr>
        <w:t>(i)</w:t>
      </w:r>
      <w:r>
        <w:rPr>
          <w:rFonts w:ascii="Arial" w:hAnsi="Arial" w:cs="Arial"/>
        </w:rPr>
        <w:tab/>
      </w:r>
      <w:r w:rsidR="0025749B" w:rsidRPr="00A4090B">
        <w:rPr>
          <w:rFonts w:ascii="Arial" w:hAnsi="Arial" w:cs="Arial"/>
        </w:rPr>
        <w:t>Because a municipal evaluation is general</w:t>
      </w:r>
      <w:r w:rsidR="001F411C" w:rsidRPr="00A4090B">
        <w:rPr>
          <w:rFonts w:ascii="Arial" w:hAnsi="Arial" w:cs="Arial"/>
        </w:rPr>
        <w:t>ly</w:t>
      </w:r>
      <w:r w:rsidR="0025749B" w:rsidRPr="00A4090B">
        <w:rPr>
          <w:rFonts w:ascii="Arial" w:hAnsi="Arial" w:cs="Arial"/>
        </w:rPr>
        <w:t xml:space="preserve"> lower than </w:t>
      </w:r>
      <w:r w:rsidR="001F411C" w:rsidRPr="00A4090B">
        <w:rPr>
          <w:rFonts w:ascii="Arial" w:hAnsi="Arial" w:cs="Arial"/>
        </w:rPr>
        <w:t>the actual commercial value of a</w:t>
      </w:r>
      <w:r w:rsidR="0025749B" w:rsidRPr="00A4090B">
        <w:rPr>
          <w:rFonts w:ascii="Arial" w:hAnsi="Arial" w:cs="Arial"/>
        </w:rPr>
        <w:t xml:space="preserve"> property, the first applicant caused a commercial valuation of the farms to be done using a web-</w:t>
      </w:r>
      <w:r w:rsidR="001F411C" w:rsidRPr="00A4090B">
        <w:rPr>
          <w:rFonts w:ascii="Arial" w:hAnsi="Arial" w:cs="Arial"/>
        </w:rPr>
        <w:t>based application called ‘L</w:t>
      </w:r>
      <w:r w:rsidR="00C80431" w:rsidRPr="00A4090B">
        <w:rPr>
          <w:rFonts w:ascii="Arial" w:hAnsi="Arial" w:cs="Arial"/>
        </w:rPr>
        <w:t>i</w:t>
      </w:r>
      <w:r w:rsidR="001F411C" w:rsidRPr="00A4090B">
        <w:rPr>
          <w:rFonts w:ascii="Arial" w:hAnsi="Arial" w:cs="Arial"/>
        </w:rPr>
        <w:t>ght</w:t>
      </w:r>
      <w:r w:rsidR="0025749B" w:rsidRPr="00A4090B">
        <w:rPr>
          <w:rFonts w:ascii="Arial" w:hAnsi="Arial" w:cs="Arial"/>
        </w:rPr>
        <w:t>stone’ which</w:t>
      </w:r>
      <w:r w:rsidR="00C80431" w:rsidRPr="00A4090B">
        <w:rPr>
          <w:rFonts w:ascii="Arial" w:hAnsi="Arial" w:cs="Arial"/>
        </w:rPr>
        <w:t>,</w:t>
      </w:r>
      <w:r w:rsidR="0025749B" w:rsidRPr="00A4090B">
        <w:rPr>
          <w:rFonts w:ascii="Arial" w:hAnsi="Arial" w:cs="Arial"/>
        </w:rPr>
        <w:t xml:space="preserve"> </w:t>
      </w:r>
      <w:r w:rsidR="001F411C" w:rsidRPr="00A4090B">
        <w:rPr>
          <w:rFonts w:ascii="Arial" w:hAnsi="Arial" w:cs="Arial"/>
        </w:rPr>
        <w:t xml:space="preserve">it is </w:t>
      </w:r>
      <w:r w:rsidR="00BD344B" w:rsidRPr="00A4090B">
        <w:rPr>
          <w:rFonts w:ascii="Arial" w:hAnsi="Arial" w:cs="Arial"/>
        </w:rPr>
        <w:t>argued</w:t>
      </w:r>
      <w:r>
        <w:rPr>
          <w:rFonts w:ascii="Arial" w:hAnsi="Arial" w:cs="Arial"/>
        </w:rPr>
        <w:t xml:space="preserve"> </w:t>
      </w:r>
      <w:r w:rsidR="0025749B" w:rsidRPr="00A4090B">
        <w:rPr>
          <w:rFonts w:ascii="Arial" w:hAnsi="Arial" w:cs="Arial"/>
        </w:rPr>
        <w:t>provides credible and accurate information, valuation</w:t>
      </w:r>
      <w:r w:rsidR="00BD344B" w:rsidRPr="00A4090B">
        <w:rPr>
          <w:rFonts w:ascii="Arial" w:hAnsi="Arial" w:cs="Arial"/>
        </w:rPr>
        <w:t>s</w:t>
      </w:r>
      <w:r w:rsidR="0025749B" w:rsidRPr="00A4090B">
        <w:rPr>
          <w:rFonts w:ascii="Arial" w:hAnsi="Arial" w:cs="Arial"/>
        </w:rPr>
        <w:t xml:space="preserve"> and market intelligence on properties in S</w:t>
      </w:r>
      <w:r w:rsidR="00BD344B" w:rsidRPr="00A4090B">
        <w:rPr>
          <w:rFonts w:ascii="Arial" w:hAnsi="Arial" w:cs="Arial"/>
        </w:rPr>
        <w:t>outh Africa. The platform is said</w:t>
      </w:r>
      <w:r w:rsidR="0025749B" w:rsidRPr="00A4090B">
        <w:rPr>
          <w:rFonts w:ascii="Arial" w:hAnsi="Arial" w:cs="Arial"/>
        </w:rPr>
        <w:t xml:space="preserve"> to be completely impartial </w:t>
      </w:r>
      <w:r w:rsidR="008E5003" w:rsidRPr="00A4090B">
        <w:rPr>
          <w:rFonts w:ascii="Arial" w:hAnsi="Arial" w:cs="Arial"/>
        </w:rPr>
        <w:t>an</w:t>
      </w:r>
      <w:r w:rsidR="00931100">
        <w:rPr>
          <w:rFonts w:ascii="Arial" w:hAnsi="Arial" w:cs="Arial"/>
        </w:rPr>
        <w:t>d</w:t>
      </w:r>
      <w:r w:rsidR="008E5003" w:rsidRPr="00A4090B">
        <w:rPr>
          <w:rFonts w:ascii="Arial" w:hAnsi="Arial" w:cs="Arial"/>
        </w:rPr>
        <w:t xml:space="preserve"> unbiased. According to L</w:t>
      </w:r>
      <w:r w:rsidR="00BD344B" w:rsidRPr="00A4090B">
        <w:rPr>
          <w:rFonts w:ascii="Arial" w:hAnsi="Arial" w:cs="Arial"/>
        </w:rPr>
        <w:t>ight</w:t>
      </w:r>
      <w:r w:rsidR="0025749B" w:rsidRPr="00A4090B">
        <w:rPr>
          <w:rFonts w:ascii="Arial" w:hAnsi="Arial" w:cs="Arial"/>
        </w:rPr>
        <w:t>stone</w:t>
      </w:r>
      <w:r w:rsidR="008E5003" w:rsidRPr="00A4090B">
        <w:rPr>
          <w:rFonts w:ascii="Arial" w:hAnsi="Arial" w:cs="Arial"/>
        </w:rPr>
        <w:t>,</w:t>
      </w:r>
      <w:r w:rsidR="0025749B" w:rsidRPr="00A4090B">
        <w:rPr>
          <w:rFonts w:ascii="Arial" w:hAnsi="Arial" w:cs="Arial"/>
        </w:rPr>
        <w:t xml:space="preserve"> the comparable average sales prices of the farms are as follows:</w:t>
      </w:r>
    </w:p>
    <w:p w:rsidR="00F50599" w:rsidRPr="00F4651A" w:rsidRDefault="00F4651A" w:rsidP="00C11623">
      <w:pPr>
        <w:spacing w:line="360" w:lineRule="auto"/>
        <w:ind w:firstLine="720"/>
        <w:jc w:val="both"/>
        <w:rPr>
          <w:rFonts w:ascii="Arial" w:hAnsi="Arial" w:cs="Arial"/>
        </w:rPr>
      </w:pPr>
      <w:r>
        <w:rPr>
          <w:rFonts w:ascii="Arial" w:hAnsi="Arial" w:cs="Arial"/>
        </w:rPr>
        <w:t>(i)</w:t>
      </w:r>
      <w:r>
        <w:rPr>
          <w:rFonts w:ascii="Arial" w:hAnsi="Arial" w:cs="Arial"/>
        </w:rPr>
        <w:tab/>
      </w:r>
      <w:r w:rsidR="00F50599" w:rsidRPr="00F4651A">
        <w:rPr>
          <w:rFonts w:ascii="Arial" w:hAnsi="Arial" w:cs="Arial"/>
        </w:rPr>
        <w:t>Glen Ashton – R6 785 999.95</w:t>
      </w:r>
      <w:r>
        <w:rPr>
          <w:rFonts w:ascii="Arial" w:hAnsi="Arial" w:cs="Arial"/>
        </w:rPr>
        <w:t>;</w:t>
      </w:r>
    </w:p>
    <w:p w:rsidR="00F50599" w:rsidRPr="00555295" w:rsidRDefault="00F4651A" w:rsidP="00C11623">
      <w:pPr>
        <w:spacing w:line="360" w:lineRule="auto"/>
        <w:ind w:firstLine="720"/>
        <w:jc w:val="both"/>
        <w:rPr>
          <w:rFonts w:ascii="Arial" w:hAnsi="Arial" w:cs="Arial"/>
        </w:rPr>
      </w:pPr>
      <w:r>
        <w:rPr>
          <w:rFonts w:ascii="Arial" w:hAnsi="Arial" w:cs="Arial"/>
        </w:rPr>
        <w:t>(ii)</w:t>
      </w:r>
      <w:r>
        <w:rPr>
          <w:rFonts w:ascii="Arial" w:hAnsi="Arial" w:cs="Arial"/>
        </w:rPr>
        <w:tab/>
      </w:r>
      <w:r w:rsidR="00F50599" w:rsidRPr="00555295">
        <w:rPr>
          <w:rFonts w:ascii="Arial" w:hAnsi="Arial" w:cs="Arial"/>
        </w:rPr>
        <w:t xml:space="preserve">Twyfelhoek </w:t>
      </w:r>
      <w:r w:rsidR="00A4090B" w:rsidRPr="00555295">
        <w:rPr>
          <w:rFonts w:ascii="Arial" w:hAnsi="Arial" w:cs="Arial"/>
        </w:rPr>
        <w:t xml:space="preserve">– </w:t>
      </w:r>
      <w:r w:rsidR="00F50599" w:rsidRPr="00555295">
        <w:rPr>
          <w:rFonts w:ascii="Arial" w:hAnsi="Arial" w:cs="Arial"/>
        </w:rPr>
        <w:t>R6 360 893.10</w:t>
      </w:r>
      <w:r>
        <w:rPr>
          <w:rFonts w:ascii="Arial" w:hAnsi="Arial" w:cs="Arial"/>
        </w:rPr>
        <w:t>; and</w:t>
      </w:r>
    </w:p>
    <w:p w:rsidR="00F50599" w:rsidRPr="00555295" w:rsidRDefault="00F4651A" w:rsidP="00C11623">
      <w:pPr>
        <w:spacing w:line="360" w:lineRule="auto"/>
        <w:ind w:firstLine="720"/>
        <w:jc w:val="both"/>
        <w:rPr>
          <w:rFonts w:ascii="Arial" w:hAnsi="Arial" w:cs="Arial"/>
        </w:rPr>
      </w:pPr>
      <w:r>
        <w:rPr>
          <w:rFonts w:ascii="Arial" w:hAnsi="Arial" w:cs="Arial"/>
        </w:rPr>
        <w:t>(iii)</w:t>
      </w:r>
      <w:r>
        <w:rPr>
          <w:rFonts w:ascii="Arial" w:hAnsi="Arial" w:cs="Arial"/>
        </w:rPr>
        <w:tab/>
      </w:r>
      <w:r w:rsidR="00F50599" w:rsidRPr="00555295">
        <w:rPr>
          <w:rFonts w:ascii="Arial" w:hAnsi="Arial" w:cs="Arial"/>
        </w:rPr>
        <w:t>Moeders Rus – R6 875 249.95</w:t>
      </w:r>
    </w:p>
    <w:p w:rsidR="00DA42BA" w:rsidRDefault="00F50599" w:rsidP="00F4651A">
      <w:pPr>
        <w:spacing w:line="360" w:lineRule="auto"/>
        <w:ind w:left="720"/>
        <w:jc w:val="both"/>
        <w:rPr>
          <w:rFonts w:ascii="Arial" w:hAnsi="Arial" w:cs="Arial"/>
        </w:rPr>
      </w:pPr>
      <w:r w:rsidRPr="00555295">
        <w:rPr>
          <w:rFonts w:ascii="Arial" w:hAnsi="Arial" w:cs="Arial"/>
        </w:rPr>
        <w:t>So, the realistic commercial value of the fa</w:t>
      </w:r>
      <w:r w:rsidR="00EF2D9E" w:rsidRPr="00555295">
        <w:rPr>
          <w:rFonts w:ascii="Arial" w:hAnsi="Arial" w:cs="Arial"/>
        </w:rPr>
        <w:t>rms is therefore R20</w:t>
      </w:r>
      <w:r w:rsidR="00C11623">
        <w:rPr>
          <w:rFonts w:ascii="Arial" w:hAnsi="Arial" w:cs="Arial"/>
        </w:rPr>
        <w:t> </w:t>
      </w:r>
      <w:r w:rsidR="00EF2D9E" w:rsidRPr="00555295">
        <w:rPr>
          <w:rFonts w:ascii="Arial" w:hAnsi="Arial" w:cs="Arial"/>
        </w:rPr>
        <w:t>022</w:t>
      </w:r>
      <w:r w:rsidR="00C11623">
        <w:rPr>
          <w:rFonts w:ascii="Arial" w:hAnsi="Arial" w:cs="Arial"/>
        </w:rPr>
        <w:t xml:space="preserve"> </w:t>
      </w:r>
      <w:r w:rsidR="00EF2D9E" w:rsidRPr="00555295">
        <w:rPr>
          <w:rFonts w:ascii="Arial" w:hAnsi="Arial" w:cs="Arial"/>
        </w:rPr>
        <w:t>143. T</w:t>
      </w:r>
      <w:r w:rsidRPr="00555295">
        <w:rPr>
          <w:rFonts w:ascii="Arial" w:hAnsi="Arial" w:cs="Arial"/>
        </w:rPr>
        <w:t>herefore, the first respondent acquired the farms for R18</w:t>
      </w:r>
      <w:r w:rsidR="00EF2D9E" w:rsidRPr="00555295">
        <w:rPr>
          <w:rFonts w:ascii="Arial" w:hAnsi="Arial" w:cs="Arial"/>
        </w:rPr>
        <w:t xml:space="preserve"> </w:t>
      </w:r>
      <w:r w:rsidR="000A1B54" w:rsidRPr="00555295">
        <w:rPr>
          <w:rFonts w:ascii="Arial" w:hAnsi="Arial" w:cs="Arial"/>
        </w:rPr>
        <w:t>767</w:t>
      </w:r>
      <w:r w:rsidRPr="00555295">
        <w:rPr>
          <w:rFonts w:ascii="Arial" w:hAnsi="Arial" w:cs="Arial"/>
        </w:rPr>
        <w:t xml:space="preserve"> 456 below its commercial value. By any standard, this occasione</w:t>
      </w:r>
      <w:r w:rsidR="00EF2D9E" w:rsidRPr="00555295">
        <w:rPr>
          <w:rFonts w:ascii="Arial" w:hAnsi="Arial" w:cs="Arial"/>
        </w:rPr>
        <w:t>d a big loss to the true owners</w:t>
      </w:r>
      <w:r w:rsidRPr="00555295">
        <w:rPr>
          <w:rFonts w:ascii="Arial" w:hAnsi="Arial" w:cs="Arial"/>
        </w:rPr>
        <w:t xml:space="preserve"> and</w:t>
      </w:r>
      <w:r w:rsidR="00C11623">
        <w:rPr>
          <w:rFonts w:ascii="Arial" w:hAnsi="Arial" w:cs="Arial"/>
        </w:rPr>
        <w:t>/</w:t>
      </w:r>
      <w:r w:rsidRPr="00555295">
        <w:rPr>
          <w:rFonts w:ascii="Arial" w:hAnsi="Arial" w:cs="Arial"/>
        </w:rPr>
        <w:t>or beneficiaries</w:t>
      </w:r>
      <w:r w:rsidR="00C11623">
        <w:rPr>
          <w:rFonts w:ascii="Arial" w:hAnsi="Arial" w:cs="Arial"/>
        </w:rPr>
        <w:t>.</w:t>
      </w:r>
    </w:p>
    <w:p w:rsidR="00C11623" w:rsidRPr="00555295" w:rsidRDefault="00C11623" w:rsidP="00F4651A">
      <w:pPr>
        <w:spacing w:line="360" w:lineRule="auto"/>
        <w:ind w:left="720"/>
        <w:jc w:val="both"/>
        <w:rPr>
          <w:rFonts w:ascii="Arial" w:hAnsi="Arial" w:cs="Arial"/>
        </w:rPr>
      </w:pPr>
    </w:p>
    <w:p w:rsidR="00DA42BA" w:rsidRPr="00084A98" w:rsidRDefault="00A4090B" w:rsidP="00555295">
      <w:pPr>
        <w:spacing w:line="360" w:lineRule="auto"/>
        <w:jc w:val="both"/>
        <w:rPr>
          <w:rFonts w:ascii="Arial" w:hAnsi="Arial" w:cs="Arial"/>
          <w:i/>
        </w:rPr>
      </w:pPr>
      <w:r>
        <w:rPr>
          <w:rFonts w:ascii="Arial" w:hAnsi="Arial" w:cs="Arial"/>
          <w:i/>
        </w:rPr>
        <w:t>(b)</w:t>
      </w:r>
      <w:r>
        <w:rPr>
          <w:rFonts w:ascii="Arial" w:hAnsi="Arial" w:cs="Arial"/>
          <w:i/>
        </w:rPr>
        <w:tab/>
      </w:r>
      <w:r w:rsidR="00DA42BA" w:rsidRPr="00A4090B">
        <w:rPr>
          <w:rFonts w:ascii="Arial" w:hAnsi="Arial" w:cs="Arial"/>
          <w:i/>
        </w:rPr>
        <w:t xml:space="preserve">No cause of action and legal incompetence of </w:t>
      </w:r>
      <w:r w:rsidR="00DA42BA" w:rsidRPr="00A4090B">
        <w:rPr>
          <w:rFonts w:ascii="Arial" w:hAnsi="Arial" w:cs="Arial"/>
        </w:rPr>
        <w:t>a co</w:t>
      </w:r>
      <w:r w:rsidR="00DA42BA" w:rsidRPr="00A4090B">
        <w:rPr>
          <w:rFonts w:ascii="Arial" w:hAnsi="Arial" w:cs="Arial"/>
          <w:i/>
        </w:rPr>
        <w:t xml:space="preserve">urt  </w:t>
      </w:r>
    </w:p>
    <w:p w:rsidR="00E730C1" w:rsidRPr="00555295" w:rsidRDefault="00DA42BA" w:rsidP="00555295">
      <w:pPr>
        <w:spacing w:line="360" w:lineRule="auto"/>
        <w:jc w:val="both"/>
        <w:rPr>
          <w:rFonts w:ascii="Arial" w:hAnsi="Arial" w:cs="Arial"/>
        </w:rPr>
      </w:pPr>
      <w:r w:rsidRPr="00555295">
        <w:rPr>
          <w:rFonts w:ascii="Arial" w:hAnsi="Arial" w:cs="Arial"/>
        </w:rPr>
        <w:t>[81]</w:t>
      </w:r>
      <w:r w:rsidRPr="00555295">
        <w:rPr>
          <w:rFonts w:ascii="Arial" w:hAnsi="Arial" w:cs="Arial"/>
        </w:rPr>
        <w:tab/>
        <w:t>The applicant</w:t>
      </w:r>
      <w:r w:rsidR="000A1B54" w:rsidRPr="00555295">
        <w:rPr>
          <w:rFonts w:ascii="Arial" w:hAnsi="Arial" w:cs="Arial"/>
        </w:rPr>
        <w:t>s submit</w:t>
      </w:r>
      <w:r w:rsidRPr="00555295">
        <w:rPr>
          <w:rFonts w:ascii="Arial" w:hAnsi="Arial" w:cs="Arial"/>
        </w:rPr>
        <w:t xml:space="preserve"> that the application upon which the final order</w:t>
      </w:r>
      <w:r w:rsidR="000A1B54" w:rsidRPr="00555295">
        <w:rPr>
          <w:rFonts w:ascii="Arial" w:hAnsi="Arial" w:cs="Arial"/>
        </w:rPr>
        <w:t xml:space="preserve"> was premised</w:t>
      </w:r>
      <w:r w:rsidR="008E5003" w:rsidRPr="00555295">
        <w:rPr>
          <w:rFonts w:ascii="Arial" w:hAnsi="Arial" w:cs="Arial"/>
        </w:rPr>
        <w:t>,</w:t>
      </w:r>
      <w:r w:rsidR="000A1B54" w:rsidRPr="00555295">
        <w:rPr>
          <w:rFonts w:ascii="Arial" w:hAnsi="Arial" w:cs="Arial"/>
        </w:rPr>
        <w:t xml:space="preserve"> did not disclose</w:t>
      </w:r>
      <w:r w:rsidRPr="00555295">
        <w:rPr>
          <w:rFonts w:ascii="Arial" w:hAnsi="Arial" w:cs="Arial"/>
        </w:rPr>
        <w:t xml:space="preserve"> a cause of action and </w:t>
      </w:r>
      <w:r w:rsidR="000A1B54" w:rsidRPr="00555295">
        <w:rPr>
          <w:rFonts w:ascii="Arial" w:hAnsi="Arial" w:cs="Arial"/>
        </w:rPr>
        <w:t>that it was legally incompetent for</w:t>
      </w:r>
      <w:r w:rsidRPr="00555295">
        <w:rPr>
          <w:rFonts w:ascii="Arial" w:hAnsi="Arial" w:cs="Arial"/>
        </w:rPr>
        <w:t xml:space="preserve"> a court to have made such order. It is argued</w:t>
      </w:r>
      <w:r w:rsidR="008E5003" w:rsidRPr="00555295">
        <w:rPr>
          <w:rFonts w:ascii="Arial" w:hAnsi="Arial" w:cs="Arial"/>
        </w:rPr>
        <w:t>,</w:t>
      </w:r>
      <w:r w:rsidRPr="00555295">
        <w:rPr>
          <w:rFonts w:ascii="Arial" w:hAnsi="Arial" w:cs="Arial"/>
        </w:rPr>
        <w:t xml:space="preserve"> that the court l</w:t>
      </w:r>
      <w:r w:rsidR="000A1B54" w:rsidRPr="00555295">
        <w:rPr>
          <w:rFonts w:ascii="Arial" w:hAnsi="Arial" w:cs="Arial"/>
        </w:rPr>
        <w:t>acked jurisdiction to authorise</w:t>
      </w:r>
      <w:r w:rsidRPr="00555295">
        <w:rPr>
          <w:rFonts w:ascii="Arial" w:hAnsi="Arial" w:cs="Arial"/>
        </w:rPr>
        <w:t xml:space="preserve"> the </w:t>
      </w:r>
      <w:r w:rsidRPr="00555295">
        <w:rPr>
          <w:rFonts w:ascii="Arial" w:hAnsi="Arial" w:cs="Arial"/>
        </w:rPr>
        <w:lastRenderedPageBreak/>
        <w:t xml:space="preserve">transfer of the farms to the first respondent as there is no provision in any law empowering a </w:t>
      </w:r>
      <w:r w:rsidR="008E5003" w:rsidRPr="00555295">
        <w:rPr>
          <w:rFonts w:ascii="Arial" w:hAnsi="Arial" w:cs="Arial"/>
        </w:rPr>
        <w:t>court to do so without express</w:t>
      </w:r>
      <w:r w:rsidRPr="00555295">
        <w:rPr>
          <w:rFonts w:ascii="Arial" w:hAnsi="Arial" w:cs="Arial"/>
        </w:rPr>
        <w:t xml:space="preserve"> statutory provision</w:t>
      </w:r>
      <w:r w:rsidR="005F0C01">
        <w:rPr>
          <w:rFonts w:ascii="Arial" w:hAnsi="Arial" w:cs="Arial"/>
        </w:rPr>
        <w:t>.</w:t>
      </w:r>
      <w:r w:rsidR="005F0C01">
        <w:rPr>
          <w:rStyle w:val="FootnoteReference"/>
          <w:rFonts w:ascii="Arial" w:hAnsi="Arial" w:cs="Arial"/>
        </w:rPr>
        <w:footnoteReference w:id="51"/>
      </w:r>
      <w:r w:rsidRPr="00555295">
        <w:rPr>
          <w:rFonts w:ascii="Arial" w:hAnsi="Arial" w:cs="Arial"/>
        </w:rPr>
        <w:t xml:space="preserve"> </w:t>
      </w:r>
    </w:p>
    <w:p w:rsidR="00E730C1" w:rsidRPr="00555295" w:rsidRDefault="00E730C1" w:rsidP="00555295">
      <w:pPr>
        <w:spacing w:line="360" w:lineRule="auto"/>
        <w:jc w:val="both"/>
        <w:rPr>
          <w:rFonts w:ascii="Arial" w:hAnsi="Arial" w:cs="Arial"/>
        </w:rPr>
      </w:pPr>
    </w:p>
    <w:p w:rsidR="003F1C0C" w:rsidRDefault="00E730C1" w:rsidP="00555295">
      <w:pPr>
        <w:spacing w:line="360" w:lineRule="auto"/>
        <w:jc w:val="both"/>
        <w:rPr>
          <w:rFonts w:ascii="Arial" w:hAnsi="Arial" w:cs="Arial"/>
        </w:rPr>
      </w:pPr>
      <w:r w:rsidRPr="00555295">
        <w:rPr>
          <w:rFonts w:ascii="Arial" w:hAnsi="Arial" w:cs="Arial"/>
        </w:rPr>
        <w:t>[82]</w:t>
      </w:r>
      <w:r w:rsidRPr="00555295">
        <w:rPr>
          <w:rFonts w:ascii="Arial" w:hAnsi="Arial" w:cs="Arial"/>
        </w:rPr>
        <w:tab/>
        <w:t>It would seem as if it was the first respondent’s case, in the ex parte application, that the farms in question w</w:t>
      </w:r>
      <w:r w:rsidR="00FD410C">
        <w:rPr>
          <w:rFonts w:ascii="Arial" w:hAnsi="Arial" w:cs="Arial"/>
        </w:rPr>
        <w:t>ere</w:t>
      </w:r>
      <w:r w:rsidRPr="00555295">
        <w:rPr>
          <w:rFonts w:ascii="Arial" w:hAnsi="Arial" w:cs="Arial"/>
        </w:rPr>
        <w:t xml:space="preserve"> abandoned </w:t>
      </w:r>
      <w:r w:rsidRPr="00555295">
        <w:rPr>
          <w:rFonts w:ascii="Arial" w:hAnsi="Arial" w:cs="Arial"/>
          <w:i/>
        </w:rPr>
        <w:t>(</w:t>
      </w:r>
      <w:r w:rsidRPr="00F4651A">
        <w:rPr>
          <w:rFonts w:ascii="Arial" w:hAnsi="Arial" w:cs="Arial"/>
        </w:rPr>
        <w:t>res derelict</w:t>
      </w:r>
      <w:r w:rsidR="00B76BFA" w:rsidRPr="00F4651A">
        <w:rPr>
          <w:rFonts w:ascii="Arial" w:hAnsi="Arial" w:cs="Arial"/>
        </w:rPr>
        <w:t>a</w:t>
      </w:r>
      <w:r w:rsidRPr="00F4651A">
        <w:rPr>
          <w:rFonts w:ascii="Arial" w:hAnsi="Arial" w:cs="Arial"/>
        </w:rPr>
        <w:t>),</w:t>
      </w:r>
      <w:r w:rsidRPr="00555295">
        <w:rPr>
          <w:rFonts w:ascii="Arial" w:hAnsi="Arial" w:cs="Arial"/>
        </w:rPr>
        <w:t xml:space="preserve"> and as a result became </w:t>
      </w:r>
      <w:r w:rsidRPr="00F4651A">
        <w:rPr>
          <w:rFonts w:ascii="Arial" w:hAnsi="Arial" w:cs="Arial"/>
        </w:rPr>
        <w:t>res nullius.</w:t>
      </w:r>
      <w:r w:rsidRPr="00555295">
        <w:rPr>
          <w:rFonts w:ascii="Arial" w:hAnsi="Arial" w:cs="Arial"/>
        </w:rPr>
        <w:t xml:space="preserve"> However, our courts have taken a strict approach in determining </w:t>
      </w:r>
      <w:r w:rsidR="005C6D11" w:rsidRPr="00555295">
        <w:rPr>
          <w:rFonts w:ascii="Arial" w:hAnsi="Arial" w:cs="Arial"/>
        </w:rPr>
        <w:t>whether valuable property</w:t>
      </w:r>
      <w:r w:rsidR="00BC305A" w:rsidRPr="00555295">
        <w:rPr>
          <w:rFonts w:ascii="Arial" w:hAnsi="Arial" w:cs="Arial"/>
        </w:rPr>
        <w:t xml:space="preserve"> has been abandoned. Apathy on the part of th</w:t>
      </w:r>
      <w:r w:rsidR="005C6D11" w:rsidRPr="00555295">
        <w:rPr>
          <w:rFonts w:ascii="Arial" w:hAnsi="Arial" w:cs="Arial"/>
        </w:rPr>
        <w:t>e owner of</w:t>
      </w:r>
      <w:r w:rsidR="00BC305A" w:rsidRPr="00555295">
        <w:rPr>
          <w:rFonts w:ascii="Arial" w:hAnsi="Arial" w:cs="Arial"/>
        </w:rPr>
        <w:t xml:space="preserve"> valuable property is </w:t>
      </w:r>
      <w:r w:rsidR="005C6D11" w:rsidRPr="00555295">
        <w:rPr>
          <w:rFonts w:ascii="Arial" w:hAnsi="Arial" w:cs="Arial"/>
        </w:rPr>
        <w:t>thus insufficient to establish an intention to abandon. Given</w:t>
      </w:r>
      <w:r w:rsidR="00BC305A" w:rsidRPr="00555295">
        <w:rPr>
          <w:rFonts w:ascii="Arial" w:hAnsi="Arial" w:cs="Arial"/>
        </w:rPr>
        <w:t xml:space="preserve"> the value attached to immovable</w:t>
      </w:r>
      <w:r w:rsidR="005C6D11" w:rsidRPr="00555295">
        <w:rPr>
          <w:rFonts w:ascii="Arial" w:hAnsi="Arial" w:cs="Arial"/>
        </w:rPr>
        <w:t xml:space="preserve"> property</w:t>
      </w:r>
      <w:r w:rsidR="00BC305A" w:rsidRPr="00555295">
        <w:rPr>
          <w:rFonts w:ascii="Arial" w:hAnsi="Arial" w:cs="Arial"/>
        </w:rPr>
        <w:t xml:space="preserve">, a court will not find that abandonment </w:t>
      </w:r>
      <w:r w:rsidR="005C6D11" w:rsidRPr="00555295">
        <w:rPr>
          <w:rFonts w:ascii="Arial" w:hAnsi="Arial" w:cs="Arial"/>
        </w:rPr>
        <w:t>has occurred absent an express</w:t>
      </w:r>
      <w:r w:rsidR="00BC305A" w:rsidRPr="00555295">
        <w:rPr>
          <w:rFonts w:ascii="Arial" w:hAnsi="Arial" w:cs="Arial"/>
        </w:rPr>
        <w:t xml:space="preserve"> intention to do so on the part of the</w:t>
      </w:r>
      <w:r w:rsidR="00B03B28" w:rsidRPr="00555295">
        <w:rPr>
          <w:rFonts w:ascii="Arial" w:hAnsi="Arial" w:cs="Arial"/>
        </w:rPr>
        <w:t xml:space="preserve"> owner</w:t>
      </w:r>
      <w:r w:rsidR="005F0C01">
        <w:rPr>
          <w:rFonts w:ascii="Arial" w:hAnsi="Arial" w:cs="Arial"/>
        </w:rPr>
        <w:t>.</w:t>
      </w:r>
      <w:r w:rsidR="005F0C01">
        <w:rPr>
          <w:rStyle w:val="FootnoteReference"/>
          <w:rFonts w:ascii="Arial" w:hAnsi="Arial" w:cs="Arial"/>
        </w:rPr>
        <w:footnoteReference w:id="52"/>
      </w:r>
      <w:r w:rsidR="00B03B28" w:rsidRPr="00555295">
        <w:rPr>
          <w:rFonts w:ascii="Arial" w:hAnsi="Arial" w:cs="Arial"/>
        </w:rPr>
        <w:t xml:space="preserve"> </w:t>
      </w:r>
    </w:p>
    <w:p w:rsidR="00B32813" w:rsidRPr="00555295" w:rsidRDefault="00B32813" w:rsidP="00555295">
      <w:pPr>
        <w:spacing w:line="360" w:lineRule="auto"/>
        <w:jc w:val="both"/>
        <w:rPr>
          <w:rFonts w:ascii="Arial" w:hAnsi="Arial" w:cs="Arial"/>
        </w:rPr>
      </w:pPr>
    </w:p>
    <w:p w:rsidR="00195905" w:rsidRDefault="003F1C0C" w:rsidP="00555295">
      <w:pPr>
        <w:spacing w:line="360" w:lineRule="auto"/>
        <w:jc w:val="both"/>
        <w:rPr>
          <w:rFonts w:ascii="Arial" w:hAnsi="Arial" w:cs="Arial"/>
        </w:rPr>
      </w:pPr>
      <w:r w:rsidRPr="00555295">
        <w:rPr>
          <w:rFonts w:ascii="Arial" w:hAnsi="Arial" w:cs="Arial"/>
        </w:rPr>
        <w:t>[83]</w:t>
      </w:r>
      <w:r w:rsidRPr="00555295">
        <w:rPr>
          <w:rFonts w:ascii="Arial" w:hAnsi="Arial" w:cs="Arial"/>
        </w:rPr>
        <w:tab/>
        <w:t>Available evidence tells us now that the farms w</w:t>
      </w:r>
      <w:r w:rsidR="00FD410C">
        <w:rPr>
          <w:rFonts w:ascii="Arial" w:hAnsi="Arial" w:cs="Arial"/>
        </w:rPr>
        <w:t>ere</w:t>
      </w:r>
      <w:r w:rsidRPr="00555295">
        <w:rPr>
          <w:rFonts w:ascii="Arial" w:hAnsi="Arial" w:cs="Arial"/>
        </w:rPr>
        <w:t xml:space="preserve"> </w:t>
      </w:r>
      <w:r w:rsidR="00FE6C7A" w:rsidRPr="00555295">
        <w:rPr>
          <w:rFonts w:ascii="Arial" w:hAnsi="Arial" w:cs="Arial"/>
        </w:rPr>
        <w:t xml:space="preserve">not </w:t>
      </w:r>
      <w:r w:rsidRPr="00555295">
        <w:rPr>
          <w:rFonts w:ascii="Arial" w:hAnsi="Arial" w:cs="Arial"/>
        </w:rPr>
        <w:t>re</w:t>
      </w:r>
      <w:r w:rsidR="00FE6C7A" w:rsidRPr="00555295">
        <w:rPr>
          <w:rFonts w:ascii="Arial" w:hAnsi="Arial" w:cs="Arial"/>
        </w:rPr>
        <w:t>s</w:t>
      </w:r>
      <w:r w:rsidRPr="00555295">
        <w:rPr>
          <w:rFonts w:ascii="Arial" w:hAnsi="Arial" w:cs="Arial"/>
        </w:rPr>
        <w:t xml:space="preserve"> derelict</w:t>
      </w:r>
      <w:r w:rsidR="00FE6C7A" w:rsidRPr="00555295">
        <w:rPr>
          <w:rFonts w:ascii="Arial" w:hAnsi="Arial" w:cs="Arial"/>
        </w:rPr>
        <w:t>a</w:t>
      </w:r>
      <w:r w:rsidRPr="00555295">
        <w:rPr>
          <w:rFonts w:ascii="Arial" w:hAnsi="Arial" w:cs="Arial"/>
        </w:rPr>
        <w:t xml:space="preserve">. But even if it was, land which </w:t>
      </w:r>
      <w:r w:rsidR="00FE6C7A" w:rsidRPr="00555295">
        <w:rPr>
          <w:rFonts w:ascii="Arial" w:hAnsi="Arial" w:cs="Arial"/>
        </w:rPr>
        <w:t xml:space="preserve">is </w:t>
      </w:r>
      <w:r w:rsidRPr="00555295">
        <w:rPr>
          <w:rFonts w:ascii="Arial" w:hAnsi="Arial" w:cs="Arial"/>
        </w:rPr>
        <w:t>abandoned by</w:t>
      </w:r>
      <w:r w:rsidR="00FE6C7A" w:rsidRPr="00555295">
        <w:rPr>
          <w:rFonts w:ascii="Arial" w:hAnsi="Arial" w:cs="Arial"/>
        </w:rPr>
        <w:t xml:space="preserve"> its owner would revert to the S</w:t>
      </w:r>
      <w:r w:rsidRPr="00555295">
        <w:rPr>
          <w:rFonts w:ascii="Arial" w:hAnsi="Arial" w:cs="Arial"/>
        </w:rPr>
        <w:t xml:space="preserve">tate and does not become </w:t>
      </w:r>
      <w:r w:rsidRPr="00F4651A">
        <w:rPr>
          <w:rFonts w:ascii="Arial" w:hAnsi="Arial" w:cs="Arial"/>
        </w:rPr>
        <w:t>res nullius</w:t>
      </w:r>
      <w:r w:rsidR="00A86616">
        <w:rPr>
          <w:rFonts w:ascii="Arial" w:hAnsi="Arial" w:cs="Arial"/>
          <w:i/>
        </w:rPr>
        <w:t>.</w:t>
      </w:r>
      <w:r w:rsidR="00A86616" w:rsidRPr="00A86616">
        <w:rPr>
          <w:rStyle w:val="FootnoteReference"/>
          <w:rFonts w:ascii="Arial" w:hAnsi="Arial" w:cs="Arial"/>
        </w:rPr>
        <w:footnoteReference w:id="53"/>
      </w:r>
      <w:r w:rsidRPr="00A86616">
        <w:rPr>
          <w:rFonts w:ascii="Arial" w:hAnsi="Arial" w:cs="Arial"/>
        </w:rPr>
        <w:t xml:space="preserve"> </w:t>
      </w:r>
    </w:p>
    <w:p w:rsidR="00F4651A" w:rsidRPr="00555295" w:rsidRDefault="00F4651A" w:rsidP="00555295">
      <w:pPr>
        <w:spacing w:line="360" w:lineRule="auto"/>
        <w:jc w:val="both"/>
        <w:rPr>
          <w:rFonts w:ascii="Arial" w:hAnsi="Arial" w:cs="Arial"/>
        </w:rPr>
      </w:pPr>
    </w:p>
    <w:p w:rsidR="004D6B3F" w:rsidRPr="00555295" w:rsidRDefault="00540AD0" w:rsidP="00555295">
      <w:pPr>
        <w:spacing w:line="360" w:lineRule="auto"/>
        <w:jc w:val="both"/>
        <w:rPr>
          <w:rFonts w:ascii="Arial" w:hAnsi="Arial" w:cs="Arial"/>
        </w:rPr>
      </w:pPr>
      <w:r w:rsidRPr="00555295">
        <w:rPr>
          <w:rFonts w:ascii="Arial" w:hAnsi="Arial" w:cs="Arial"/>
        </w:rPr>
        <w:t>[84]</w:t>
      </w:r>
      <w:r w:rsidRPr="00555295">
        <w:rPr>
          <w:rFonts w:ascii="Arial" w:hAnsi="Arial" w:cs="Arial"/>
        </w:rPr>
        <w:tab/>
        <w:t xml:space="preserve">The position regarding unclaimed </w:t>
      </w:r>
      <w:r w:rsidR="00AE5070" w:rsidRPr="00555295">
        <w:rPr>
          <w:rFonts w:ascii="Arial" w:hAnsi="Arial" w:cs="Arial"/>
        </w:rPr>
        <w:t>inheritances is also that such property is rendered</w:t>
      </w:r>
      <w:r w:rsidR="00AE5070" w:rsidRPr="00555295">
        <w:rPr>
          <w:rFonts w:ascii="Arial" w:hAnsi="Arial" w:cs="Arial"/>
          <w:i/>
        </w:rPr>
        <w:t xml:space="preserve"> </w:t>
      </w:r>
      <w:r w:rsidR="00AE5070" w:rsidRPr="007032F9">
        <w:rPr>
          <w:rFonts w:ascii="Arial" w:hAnsi="Arial" w:cs="Arial"/>
        </w:rPr>
        <w:t>bon</w:t>
      </w:r>
      <w:r w:rsidR="00195905" w:rsidRPr="007032F9">
        <w:rPr>
          <w:rFonts w:ascii="Arial" w:hAnsi="Arial" w:cs="Arial"/>
        </w:rPr>
        <w:t>a</w:t>
      </w:r>
      <w:r w:rsidR="00AE5070" w:rsidRPr="007032F9">
        <w:rPr>
          <w:rFonts w:ascii="Arial" w:hAnsi="Arial" w:cs="Arial"/>
        </w:rPr>
        <w:t xml:space="preserve"> vacantia</w:t>
      </w:r>
      <w:r w:rsidR="00AE5070" w:rsidRPr="00555295">
        <w:rPr>
          <w:rFonts w:ascii="Arial" w:hAnsi="Arial" w:cs="Arial"/>
        </w:rPr>
        <w:t xml:space="preserve">, although this position is </w:t>
      </w:r>
      <w:r w:rsidR="00332232" w:rsidRPr="00555295">
        <w:rPr>
          <w:rFonts w:ascii="Arial" w:hAnsi="Arial" w:cs="Arial"/>
        </w:rPr>
        <w:t xml:space="preserve">now </w:t>
      </w:r>
      <w:r w:rsidR="00AE5070" w:rsidRPr="00555295">
        <w:rPr>
          <w:rFonts w:ascii="Arial" w:hAnsi="Arial" w:cs="Arial"/>
        </w:rPr>
        <w:t>regulated by legislation.</w:t>
      </w:r>
      <w:r w:rsidR="00A86616">
        <w:rPr>
          <w:rStyle w:val="FootnoteReference"/>
          <w:rFonts w:ascii="Arial" w:hAnsi="Arial" w:cs="Arial"/>
        </w:rPr>
        <w:footnoteReference w:id="54"/>
      </w:r>
      <w:r w:rsidR="00AE5070" w:rsidRPr="00555295">
        <w:rPr>
          <w:rFonts w:ascii="Arial" w:hAnsi="Arial" w:cs="Arial"/>
        </w:rPr>
        <w:t xml:space="preserve"> </w:t>
      </w:r>
    </w:p>
    <w:p w:rsidR="003C1359" w:rsidRPr="00555295" w:rsidRDefault="003C1359" w:rsidP="00555295">
      <w:pPr>
        <w:spacing w:line="360" w:lineRule="auto"/>
        <w:jc w:val="both"/>
        <w:rPr>
          <w:rFonts w:ascii="Arial" w:hAnsi="Arial" w:cs="Arial"/>
        </w:rPr>
      </w:pPr>
    </w:p>
    <w:p w:rsidR="00BC305A" w:rsidRDefault="004D6B3F" w:rsidP="00555295">
      <w:pPr>
        <w:spacing w:line="360" w:lineRule="auto"/>
        <w:jc w:val="both"/>
        <w:rPr>
          <w:rFonts w:ascii="Arial" w:hAnsi="Arial" w:cs="Arial"/>
        </w:rPr>
      </w:pPr>
      <w:r w:rsidRPr="00555295">
        <w:rPr>
          <w:rFonts w:ascii="Arial" w:hAnsi="Arial" w:cs="Arial"/>
        </w:rPr>
        <w:t>[85]</w:t>
      </w:r>
      <w:r w:rsidRPr="00555295">
        <w:rPr>
          <w:rFonts w:ascii="Arial" w:hAnsi="Arial" w:cs="Arial"/>
        </w:rPr>
        <w:tab/>
        <w:t xml:space="preserve">The court order was akin to expropriation </w:t>
      </w:r>
      <w:r w:rsidR="00206EAC" w:rsidRPr="00555295">
        <w:rPr>
          <w:rFonts w:ascii="Arial" w:hAnsi="Arial" w:cs="Arial"/>
        </w:rPr>
        <w:t xml:space="preserve">of land </w:t>
      </w:r>
      <w:r w:rsidRPr="00555295">
        <w:rPr>
          <w:rFonts w:ascii="Arial" w:hAnsi="Arial" w:cs="Arial"/>
        </w:rPr>
        <w:t>without compensation and without any statutory authority empowering the court to do so. Such expropriation, even by an authority statutor</w:t>
      </w:r>
      <w:r w:rsidR="005909A6" w:rsidRPr="00555295">
        <w:rPr>
          <w:rFonts w:ascii="Arial" w:hAnsi="Arial" w:cs="Arial"/>
        </w:rPr>
        <w:t>ily</w:t>
      </w:r>
      <w:r w:rsidRPr="00555295">
        <w:rPr>
          <w:rFonts w:ascii="Arial" w:hAnsi="Arial" w:cs="Arial"/>
        </w:rPr>
        <w:t xml:space="preserve"> empowered to do so, is expressly prohibited by </w:t>
      </w:r>
      <w:r w:rsidR="00A4090B">
        <w:rPr>
          <w:rFonts w:ascii="Arial" w:hAnsi="Arial" w:cs="Arial"/>
        </w:rPr>
        <w:t xml:space="preserve">s </w:t>
      </w:r>
      <w:r w:rsidRPr="00555295">
        <w:rPr>
          <w:rFonts w:ascii="Arial" w:hAnsi="Arial" w:cs="Arial"/>
        </w:rPr>
        <w:t>25 of the Constitution. The court order is therefore in direct violation of the rights of the owners of the farms and their descendants.</w:t>
      </w:r>
    </w:p>
    <w:p w:rsidR="00172D26" w:rsidRPr="00555295" w:rsidRDefault="00172D26" w:rsidP="00555295">
      <w:pPr>
        <w:spacing w:line="360" w:lineRule="auto"/>
        <w:jc w:val="both"/>
        <w:rPr>
          <w:rFonts w:ascii="Arial" w:hAnsi="Arial" w:cs="Arial"/>
        </w:rPr>
      </w:pPr>
    </w:p>
    <w:p w:rsidR="007F0E26" w:rsidRDefault="003C1359" w:rsidP="00555295">
      <w:pPr>
        <w:spacing w:line="360" w:lineRule="auto"/>
        <w:jc w:val="both"/>
        <w:rPr>
          <w:rFonts w:ascii="Arial" w:hAnsi="Arial" w:cs="Arial"/>
        </w:rPr>
      </w:pPr>
      <w:r w:rsidRPr="00555295">
        <w:rPr>
          <w:rFonts w:ascii="Arial" w:hAnsi="Arial" w:cs="Arial"/>
        </w:rPr>
        <w:lastRenderedPageBreak/>
        <w:t>[86]</w:t>
      </w:r>
      <w:r w:rsidRPr="00555295">
        <w:rPr>
          <w:rFonts w:ascii="Arial" w:hAnsi="Arial" w:cs="Arial"/>
        </w:rPr>
        <w:tab/>
        <w:t xml:space="preserve">Even if it </w:t>
      </w:r>
      <w:r w:rsidR="000F08AB" w:rsidRPr="00555295">
        <w:rPr>
          <w:rFonts w:ascii="Arial" w:hAnsi="Arial" w:cs="Arial"/>
        </w:rPr>
        <w:t xml:space="preserve">is </w:t>
      </w:r>
      <w:r w:rsidRPr="00555295">
        <w:rPr>
          <w:rFonts w:ascii="Arial" w:hAnsi="Arial" w:cs="Arial"/>
        </w:rPr>
        <w:t>accepted (from some source I could not establish) that the court had s</w:t>
      </w:r>
      <w:r w:rsidR="000F08AB" w:rsidRPr="00555295">
        <w:rPr>
          <w:rFonts w:ascii="Arial" w:hAnsi="Arial" w:cs="Arial"/>
        </w:rPr>
        <w:t>tatutory authority to authorise</w:t>
      </w:r>
      <w:r w:rsidRPr="00555295">
        <w:rPr>
          <w:rFonts w:ascii="Arial" w:hAnsi="Arial" w:cs="Arial"/>
        </w:rPr>
        <w:t xml:space="preserve"> the transfer of the propert</w:t>
      </w:r>
      <w:r w:rsidR="000F08AB" w:rsidRPr="00555295">
        <w:rPr>
          <w:rFonts w:ascii="Arial" w:hAnsi="Arial" w:cs="Arial"/>
        </w:rPr>
        <w:t>y against the payment into the Guardian</w:t>
      </w:r>
      <w:r w:rsidR="00332232">
        <w:rPr>
          <w:rFonts w:ascii="Arial" w:hAnsi="Arial" w:cs="Arial"/>
        </w:rPr>
        <w:t>’</w:t>
      </w:r>
      <w:r w:rsidR="000F08AB" w:rsidRPr="00555295">
        <w:rPr>
          <w:rFonts w:ascii="Arial" w:hAnsi="Arial" w:cs="Arial"/>
        </w:rPr>
        <w:t>s F</w:t>
      </w:r>
      <w:r w:rsidRPr="00555295">
        <w:rPr>
          <w:rFonts w:ascii="Arial" w:hAnsi="Arial" w:cs="Arial"/>
        </w:rPr>
        <w:t>und, as some compensation, the procedure</w:t>
      </w:r>
      <w:r w:rsidR="000F08AB" w:rsidRPr="00555295">
        <w:rPr>
          <w:rFonts w:ascii="Arial" w:hAnsi="Arial" w:cs="Arial"/>
        </w:rPr>
        <w:t>s set out in the E</w:t>
      </w:r>
      <w:r w:rsidRPr="00555295">
        <w:rPr>
          <w:rFonts w:ascii="Arial" w:hAnsi="Arial" w:cs="Arial"/>
        </w:rPr>
        <w:t>xpropriation Act shoul</w:t>
      </w:r>
      <w:r w:rsidR="000F08AB" w:rsidRPr="00555295">
        <w:rPr>
          <w:rFonts w:ascii="Arial" w:hAnsi="Arial" w:cs="Arial"/>
        </w:rPr>
        <w:t>d have been followed as a guide</w:t>
      </w:r>
      <w:r w:rsidRPr="00555295">
        <w:rPr>
          <w:rFonts w:ascii="Arial" w:hAnsi="Arial" w:cs="Arial"/>
        </w:rPr>
        <w:t xml:space="preserve">line. Compensation had to </w:t>
      </w:r>
      <w:r w:rsidR="000F08AB" w:rsidRPr="00555295">
        <w:rPr>
          <w:rFonts w:ascii="Arial" w:hAnsi="Arial" w:cs="Arial"/>
        </w:rPr>
        <w:t>be calculated in a</w:t>
      </w:r>
      <w:r w:rsidR="004D54E6" w:rsidRPr="00555295">
        <w:rPr>
          <w:rFonts w:ascii="Arial" w:hAnsi="Arial" w:cs="Arial"/>
        </w:rPr>
        <w:t xml:space="preserve"> manner consistent with s 25(3) of the Constitution</w:t>
      </w:r>
      <w:r w:rsidR="00B44937" w:rsidRPr="00555295">
        <w:rPr>
          <w:rFonts w:ascii="Arial" w:hAnsi="Arial" w:cs="Arial"/>
        </w:rPr>
        <w:t>.</w:t>
      </w:r>
      <w:r w:rsidR="00A86616">
        <w:rPr>
          <w:rStyle w:val="FootnoteReference"/>
          <w:rFonts w:ascii="Arial" w:hAnsi="Arial" w:cs="Arial"/>
        </w:rPr>
        <w:footnoteReference w:id="55"/>
      </w:r>
    </w:p>
    <w:p w:rsidR="00B32813" w:rsidRPr="00555295" w:rsidRDefault="00B32813" w:rsidP="00555295">
      <w:pPr>
        <w:spacing w:line="360" w:lineRule="auto"/>
        <w:jc w:val="both"/>
        <w:rPr>
          <w:rFonts w:ascii="Arial" w:hAnsi="Arial" w:cs="Arial"/>
        </w:rPr>
      </w:pPr>
    </w:p>
    <w:p w:rsidR="001F1C81" w:rsidRPr="00555295" w:rsidRDefault="001F1C81" w:rsidP="00555295">
      <w:pPr>
        <w:spacing w:line="360" w:lineRule="auto"/>
        <w:jc w:val="both"/>
        <w:rPr>
          <w:rFonts w:ascii="Arial" w:hAnsi="Arial" w:cs="Arial"/>
        </w:rPr>
      </w:pPr>
      <w:r w:rsidRPr="00555295">
        <w:rPr>
          <w:rFonts w:ascii="Arial" w:hAnsi="Arial" w:cs="Arial"/>
        </w:rPr>
        <w:t>[87]</w:t>
      </w:r>
      <w:r w:rsidRPr="00555295">
        <w:rPr>
          <w:rFonts w:ascii="Arial" w:hAnsi="Arial" w:cs="Arial"/>
        </w:rPr>
        <w:tab/>
        <w:t>The following procedures are prescribed for expropriation:</w:t>
      </w:r>
    </w:p>
    <w:p w:rsidR="001F1C81" w:rsidRPr="00555295" w:rsidRDefault="001F1C81" w:rsidP="00A4090B">
      <w:pPr>
        <w:spacing w:line="360" w:lineRule="auto"/>
        <w:ind w:left="720" w:hanging="720"/>
        <w:jc w:val="both"/>
        <w:rPr>
          <w:rFonts w:ascii="Arial" w:hAnsi="Arial" w:cs="Arial"/>
        </w:rPr>
      </w:pPr>
      <w:r w:rsidRPr="00555295">
        <w:rPr>
          <w:rFonts w:ascii="Arial" w:hAnsi="Arial" w:cs="Arial"/>
        </w:rPr>
        <w:t>(a)</w:t>
      </w:r>
      <w:r w:rsidRPr="00555295">
        <w:rPr>
          <w:rFonts w:ascii="Arial" w:hAnsi="Arial" w:cs="Arial"/>
        </w:rPr>
        <w:tab/>
      </w:r>
      <w:r w:rsidR="0065211D">
        <w:rPr>
          <w:rFonts w:ascii="Arial" w:hAnsi="Arial" w:cs="Arial"/>
        </w:rPr>
        <w:t xml:space="preserve">the </w:t>
      </w:r>
      <w:r w:rsidRPr="00555295">
        <w:rPr>
          <w:rFonts w:ascii="Arial" w:hAnsi="Arial" w:cs="Arial"/>
        </w:rPr>
        <w:t>decision to expropriate is admi</w:t>
      </w:r>
      <w:r w:rsidR="007F0E26" w:rsidRPr="00555295">
        <w:rPr>
          <w:rFonts w:ascii="Arial" w:hAnsi="Arial" w:cs="Arial"/>
        </w:rPr>
        <w:t>nistrative and the rules and</w:t>
      </w:r>
      <w:r w:rsidRPr="00555295">
        <w:rPr>
          <w:rFonts w:ascii="Arial" w:hAnsi="Arial" w:cs="Arial"/>
        </w:rPr>
        <w:t xml:space="preserve"> principle</w:t>
      </w:r>
      <w:r w:rsidR="007F0E26" w:rsidRPr="00555295">
        <w:rPr>
          <w:rFonts w:ascii="Arial" w:hAnsi="Arial" w:cs="Arial"/>
        </w:rPr>
        <w:t>s prescribed for the taking of</w:t>
      </w:r>
      <w:r w:rsidRPr="00555295">
        <w:rPr>
          <w:rFonts w:ascii="Arial" w:hAnsi="Arial" w:cs="Arial"/>
        </w:rPr>
        <w:t xml:space="preserve"> administrativ</w:t>
      </w:r>
      <w:r w:rsidR="007F0E26" w:rsidRPr="00555295">
        <w:rPr>
          <w:rFonts w:ascii="Arial" w:hAnsi="Arial" w:cs="Arial"/>
        </w:rPr>
        <w:t>e decisions should be adhered to</w:t>
      </w:r>
      <w:r w:rsidRPr="00555295">
        <w:rPr>
          <w:rFonts w:ascii="Arial" w:hAnsi="Arial" w:cs="Arial"/>
        </w:rPr>
        <w:t>;</w:t>
      </w:r>
    </w:p>
    <w:p w:rsidR="001F1C81" w:rsidRPr="00555295" w:rsidRDefault="001F1C81" w:rsidP="00555295">
      <w:pPr>
        <w:spacing w:line="360" w:lineRule="auto"/>
        <w:jc w:val="both"/>
        <w:rPr>
          <w:rFonts w:ascii="Arial" w:hAnsi="Arial" w:cs="Arial"/>
        </w:rPr>
      </w:pPr>
      <w:r w:rsidRPr="00555295">
        <w:rPr>
          <w:rFonts w:ascii="Arial" w:hAnsi="Arial" w:cs="Arial"/>
        </w:rPr>
        <w:t>(b)</w:t>
      </w:r>
      <w:r w:rsidRPr="00555295">
        <w:rPr>
          <w:rFonts w:ascii="Arial" w:hAnsi="Arial" w:cs="Arial"/>
        </w:rPr>
        <w:tab/>
        <w:t xml:space="preserve">notice </w:t>
      </w:r>
      <w:r w:rsidR="007F0E26" w:rsidRPr="00555295">
        <w:rPr>
          <w:rFonts w:ascii="Arial" w:hAnsi="Arial" w:cs="Arial"/>
        </w:rPr>
        <w:t xml:space="preserve">of </w:t>
      </w:r>
      <w:r w:rsidRPr="00555295">
        <w:rPr>
          <w:rFonts w:ascii="Arial" w:hAnsi="Arial" w:cs="Arial"/>
        </w:rPr>
        <w:t xml:space="preserve">expropriation must </w:t>
      </w:r>
      <w:r w:rsidR="00F4651A">
        <w:rPr>
          <w:rFonts w:ascii="Arial" w:hAnsi="Arial" w:cs="Arial"/>
        </w:rPr>
        <w:t xml:space="preserve">be </w:t>
      </w:r>
      <w:r w:rsidRPr="00555295">
        <w:rPr>
          <w:rFonts w:ascii="Arial" w:hAnsi="Arial" w:cs="Arial"/>
        </w:rPr>
        <w:t xml:space="preserve">served on </w:t>
      </w:r>
      <w:r w:rsidR="00BA5E7E">
        <w:rPr>
          <w:rFonts w:ascii="Arial" w:hAnsi="Arial" w:cs="Arial"/>
        </w:rPr>
        <w:t xml:space="preserve">the </w:t>
      </w:r>
      <w:r w:rsidRPr="00555295">
        <w:rPr>
          <w:rFonts w:ascii="Arial" w:hAnsi="Arial" w:cs="Arial"/>
        </w:rPr>
        <w:t>owner;</w:t>
      </w:r>
    </w:p>
    <w:p w:rsidR="001F1C81" w:rsidRPr="00555295" w:rsidRDefault="001F1C81" w:rsidP="00A4090B">
      <w:pPr>
        <w:spacing w:line="360" w:lineRule="auto"/>
        <w:ind w:left="720" w:hanging="720"/>
        <w:jc w:val="both"/>
        <w:rPr>
          <w:rFonts w:ascii="Arial" w:hAnsi="Arial" w:cs="Arial"/>
        </w:rPr>
      </w:pPr>
      <w:r w:rsidRPr="00555295">
        <w:rPr>
          <w:rFonts w:ascii="Arial" w:hAnsi="Arial" w:cs="Arial"/>
        </w:rPr>
        <w:t>(c)</w:t>
      </w:r>
      <w:r w:rsidRPr="00555295">
        <w:rPr>
          <w:rFonts w:ascii="Arial" w:hAnsi="Arial" w:cs="Arial"/>
        </w:rPr>
        <w:tab/>
        <w:t>procedure for claiming, negotiating etc</w:t>
      </w:r>
      <w:r w:rsidR="007F0E26" w:rsidRPr="00555295">
        <w:rPr>
          <w:rFonts w:ascii="Arial" w:hAnsi="Arial" w:cs="Arial"/>
        </w:rPr>
        <w:t>.</w:t>
      </w:r>
      <w:r w:rsidRPr="00555295">
        <w:rPr>
          <w:rFonts w:ascii="Arial" w:hAnsi="Arial" w:cs="Arial"/>
        </w:rPr>
        <w:t xml:space="preserve"> of payment of compensation is set out in </w:t>
      </w:r>
      <w:r w:rsidRPr="003C09E8">
        <w:rPr>
          <w:rFonts w:ascii="Arial" w:hAnsi="Arial" w:cs="Arial"/>
        </w:rPr>
        <w:t>s</w:t>
      </w:r>
      <w:r w:rsidR="00A4090B" w:rsidRPr="003C09E8">
        <w:rPr>
          <w:rFonts w:ascii="Arial" w:hAnsi="Arial" w:cs="Arial"/>
        </w:rPr>
        <w:t xml:space="preserve">s </w:t>
      </w:r>
      <w:r w:rsidR="007F0E26" w:rsidRPr="003C09E8">
        <w:rPr>
          <w:rFonts w:ascii="Arial" w:hAnsi="Arial" w:cs="Arial"/>
        </w:rPr>
        <w:t>7(2)(c) and (d)</w:t>
      </w:r>
      <w:r w:rsidR="00C7392D">
        <w:rPr>
          <w:rFonts w:ascii="Arial" w:hAnsi="Arial" w:cs="Arial"/>
        </w:rPr>
        <w:t>;</w:t>
      </w:r>
      <w:r w:rsidR="007F0E26" w:rsidRPr="003C09E8">
        <w:rPr>
          <w:rFonts w:ascii="Arial" w:hAnsi="Arial" w:cs="Arial"/>
        </w:rPr>
        <w:t xml:space="preserve"> </w:t>
      </w:r>
      <w:r w:rsidR="00713F35">
        <w:rPr>
          <w:rFonts w:ascii="Arial" w:hAnsi="Arial" w:cs="Arial"/>
        </w:rPr>
        <w:t xml:space="preserve">and </w:t>
      </w:r>
      <w:r w:rsidR="007F0E26" w:rsidRPr="003C09E8">
        <w:rPr>
          <w:rFonts w:ascii="Arial" w:hAnsi="Arial" w:cs="Arial"/>
        </w:rPr>
        <w:t>9</w:t>
      </w:r>
      <w:r w:rsidR="00992B24" w:rsidRPr="003C09E8">
        <w:rPr>
          <w:rFonts w:ascii="Arial" w:hAnsi="Arial" w:cs="Arial"/>
        </w:rPr>
        <w:t>-</w:t>
      </w:r>
      <w:r w:rsidR="007F0E26" w:rsidRPr="003C09E8">
        <w:rPr>
          <w:rFonts w:ascii="Arial" w:hAnsi="Arial" w:cs="Arial"/>
        </w:rPr>
        <w:t>12 of the E</w:t>
      </w:r>
      <w:r w:rsidRPr="003C09E8">
        <w:rPr>
          <w:rFonts w:ascii="Arial" w:hAnsi="Arial" w:cs="Arial"/>
        </w:rPr>
        <w:t>xpropriation Act;</w:t>
      </w:r>
      <w:r w:rsidR="007F0E26" w:rsidRPr="003C09E8">
        <w:rPr>
          <w:rFonts w:ascii="Arial" w:hAnsi="Arial" w:cs="Arial"/>
        </w:rPr>
        <w:t xml:space="preserve"> and</w:t>
      </w:r>
    </w:p>
    <w:p w:rsidR="00BA5E7E" w:rsidRDefault="001F1C81" w:rsidP="00BA5E7E">
      <w:pPr>
        <w:spacing w:line="360" w:lineRule="auto"/>
        <w:ind w:left="720" w:hanging="720"/>
        <w:jc w:val="both"/>
        <w:rPr>
          <w:rFonts w:ascii="Arial" w:hAnsi="Arial" w:cs="Arial"/>
        </w:rPr>
      </w:pPr>
      <w:r w:rsidRPr="00555295">
        <w:rPr>
          <w:rFonts w:ascii="Arial" w:hAnsi="Arial" w:cs="Arial"/>
        </w:rPr>
        <w:t>(d)</w:t>
      </w:r>
      <w:r w:rsidRPr="00555295">
        <w:rPr>
          <w:rFonts w:ascii="Arial" w:hAnsi="Arial" w:cs="Arial"/>
        </w:rPr>
        <w:tab/>
        <w:t>if there is no agreement on compensation, it has to be decided by the Compensation Court, Land Claim</w:t>
      </w:r>
      <w:r w:rsidR="007F0E26" w:rsidRPr="00555295">
        <w:rPr>
          <w:rFonts w:ascii="Arial" w:hAnsi="Arial" w:cs="Arial"/>
        </w:rPr>
        <w:t>s</w:t>
      </w:r>
      <w:r w:rsidRPr="00555295">
        <w:rPr>
          <w:rFonts w:ascii="Arial" w:hAnsi="Arial" w:cs="Arial"/>
        </w:rPr>
        <w:t xml:space="preserve"> Court or High Court. </w:t>
      </w:r>
    </w:p>
    <w:p w:rsidR="001F1C81" w:rsidRDefault="001F1C81" w:rsidP="00BA5E7E">
      <w:pPr>
        <w:spacing w:line="360" w:lineRule="auto"/>
        <w:jc w:val="both"/>
        <w:rPr>
          <w:rFonts w:ascii="Arial" w:hAnsi="Arial" w:cs="Arial"/>
        </w:rPr>
      </w:pPr>
      <w:r w:rsidRPr="00555295">
        <w:rPr>
          <w:rFonts w:ascii="Arial" w:hAnsi="Arial" w:cs="Arial"/>
        </w:rPr>
        <w:t>Clearly</w:t>
      </w:r>
      <w:r w:rsidR="007F0E26" w:rsidRPr="00555295">
        <w:rPr>
          <w:rFonts w:ascii="Arial" w:hAnsi="Arial" w:cs="Arial"/>
        </w:rPr>
        <w:t>,</w:t>
      </w:r>
      <w:r w:rsidRPr="00555295">
        <w:rPr>
          <w:rFonts w:ascii="Arial" w:hAnsi="Arial" w:cs="Arial"/>
        </w:rPr>
        <w:t xml:space="preserve"> none of these procedures </w:t>
      </w:r>
      <w:r w:rsidR="00292707" w:rsidRPr="00555295">
        <w:rPr>
          <w:rFonts w:ascii="Arial" w:hAnsi="Arial" w:cs="Arial"/>
        </w:rPr>
        <w:t>were followed</w:t>
      </w:r>
      <w:r w:rsidRPr="00555295">
        <w:rPr>
          <w:rFonts w:ascii="Arial" w:hAnsi="Arial" w:cs="Arial"/>
        </w:rPr>
        <w:t xml:space="preserve"> befor</w:t>
      </w:r>
      <w:r w:rsidR="00292707" w:rsidRPr="00555295">
        <w:rPr>
          <w:rFonts w:ascii="Arial" w:hAnsi="Arial" w:cs="Arial"/>
        </w:rPr>
        <w:t>e</w:t>
      </w:r>
      <w:r w:rsidRPr="00555295">
        <w:rPr>
          <w:rFonts w:ascii="Arial" w:hAnsi="Arial" w:cs="Arial"/>
        </w:rPr>
        <w:t xml:space="preserve"> the court granted an </w:t>
      </w:r>
      <w:r w:rsidR="00BA5E7E" w:rsidRPr="00555295">
        <w:rPr>
          <w:rFonts w:ascii="Arial" w:hAnsi="Arial" w:cs="Arial"/>
        </w:rPr>
        <w:t xml:space="preserve">order </w:t>
      </w:r>
      <w:r w:rsidR="00BA5E7E">
        <w:rPr>
          <w:rFonts w:ascii="Arial" w:hAnsi="Arial" w:cs="Arial"/>
        </w:rPr>
        <w:t>authorising</w:t>
      </w:r>
      <w:r w:rsidRPr="00555295">
        <w:rPr>
          <w:rFonts w:ascii="Arial" w:hAnsi="Arial" w:cs="Arial"/>
        </w:rPr>
        <w:t xml:space="preserve"> the </w:t>
      </w:r>
      <w:r w:rsidR="00292707" w:rsidRPr="00555295">
        <w:rPr>
          <w:rFonts w:ascii="Arial" w:hAnsi="Arial" w:cs="Arial"/>
        </w:rPr>
        <w:t>transfer of the properties to the first respondent</w:t>
      </w:r>
      <w:r w:rsidR="00A4090B">
        <w:rPr>
          <w:rFonts w:ascii="Arial" w:hAnsi="Arial" w:cs="Arial"/>
        </w:rPr>
        <w:t>.</w:t>
      </w:r>
    </w:p>
    <w:p w:rsidR="00A4090B" w:rsidRPr="00555295" w:rsidRDefault="00A4090B" w:rsidP="00A4090B">
      <w:pPr>
        <w:spacing w:line="360" w:lineRule="auto"/>
        <w:ind w:left="720" w:hanging="720"/>
        <w:jc w:val="both"/>
        <w:rPr>
          <w:rFonts w:ascii="Arial" w:hAnsi="Arial" w:cs="Arial"/>
        </w:rPr>
      </w:pPr>
    </w:p>
    <w:p w:rsidR="00F8121D" w:rsidRPr="00555295" w:rsidRDefault="00F8121D" w:rsidP="00555295">
      <w:pPr>
        <w:spacing w:line="360" w:lineRule="auto"/>
        <w:jc w:val="both"/>
        <w:rPr>
          <w:rFonts w:ascii="Arial" w:hAnsi="Arial" w:cs="Arial"/>
        </w:rPr>
      </w:pPr>
      <w:r w:rsidRPr="00555295">
        <w:rPr>
          <w:rFonts w:ascii="Arial" w:hAnsi="Arial" w:cs="Arial"/>
        </w:rPr>
        <w:t>[88]</w:t>
      </w:r>
      <w:r w:rsidRPr="00555295">
        <w:rPr>
          <w:rFonts w:ascii="Arial" w:hAnsi="Arial" w:cs="Arial"/>
        </w:rPr>
        <w:tab/>
        <w:t xml:space="preserve">If there is no agreement, a court must determine what is just and equitable, taking into account public interest and those affected. The following factors must be taken into account; </w:t>
      </w:r>
    </w:p>
    <w:p w:rsidR="00F8121D" w:rsidRPr="00555295" w:rsidRDefault="00662146" w:rsidP="00555295">
      <w:pPr>
        <w:spacing w:line="360" w:lineRule="auto"/>
        <w:jc w:val="both"/>
        <w:rPr>
          <w:rFonts w:ascii="Arial" w:hAnsi="Arial" w:cs="Arial"/>
        </w:rPr>
      </w:pPr>
      <w:r w:rsidRPr="00555295">
        <w:rPr>
          <w:rFonts w:ascii="Arial" w:hAnsi="Arial" w:cs="Arial"/>
        </w:rPr>
        <w:t>(a)</w:t>
      </w:r>
      <w:r w:rsidRPr="00555295">
        <w:rPr>
          <w:rFonts w:ascii="Arial" w:hAnsi="Arial" w:cs="Arial"/>
        </w:rPr>
        <w:tab/>
        <w:t>current property use</w:t>
      </w:r>
      <w:r w:rsidR="00F8121D" w:rsidRPr="00555295">
        <w:rPr>
          <w:rFonts w:ascii="Arial" w:hAnsi="Arial" w:cs="Arial"/>
        </w:rPr>
        <w:t>;</w:t>
      </w:r>
    </w:p>
    <w:p w:rsidR="00F8121D" w:rsidRPr="00555295" w:rsidRDefault="00F8121D" w:rsidP="00555295">
      <w:pPr>
        <w:spacing w:line="360" w:lineRule="auto"/>
        <w:jc w:val="both"/>
        <w:rPr>
          <w:rFonts w:ascii="Arial" w:hAnsi="Arial" w:cs="Arial"/>
        </w:rPr>
      </w:pPr>
      <w:r w:rsidRPr="00555295">
        <w:rPr>
          <w:rFonts w:ascii="Arial" w:hAnsi="Arial" w:cs="Arial"/>
        </w:rPr>
        <w:t>(b)</w:t>
      </w:r>
      <w:r w:rsidRPr="00555295">
        <w:rPr>
          <w:rFonts w:ascii="Arial" w:hAnsi="Arial" w:cs="Arial"/>
        </w:rPr>
        <w:tab/>
        <w:t xml:space="preserve">history of acquisition and use of property; </w:t>
      </w:r>
    </w:p>
    <w:p w:rsidR="00F8121D" w:rsidRPr="00555295" w:rsidRDefault="00F8121D" w:rsidP="00555295">
      <w:pPr>
        <w:spacing w:line="360" w:lineRule="auto"/>
        <w:jc w:val="both"/>
        <w:rPr>
          <w:rFonts w:ascii="Arial" w:hAnsi="Arial" w:cs="Arial"/>
        </w:rPr>
      </w:pPr>
      <w:r w:rsidRPr="00555295">
        <w:rPr>
          <w:rFonts w:ascii="Arial" w:hAnsi="Arial" w:cs="Arial"/>
        </w:rPr>
        <w:t xml:space="preserve">(c) </w:t>
      </w:r>
      <w:r w:rsidRPr="00555295">
        <w:rPr>
          <w:rFonts w:ascii="Arial" w:hAnsi="Arial" w:cs="Arial"/>
        </w:rPr>
        <w:tab/>
        <w:t>market value of the property;</w:t>
      </w:r>
      <w:r w:rsidR="00662146" w:rsidRPr="00555295">
        <w:rPr>
          <w:rFonts w:ascii="Arial" w:hAnsi="Arial" w:cs="Arial"/>
        </w:rPr>
        <w:t xml:space="preserve"> and</w:t>
      </w:r>
    </w:p>
    <w:p w:rsidR="00F8121D" w:rsidRPr="00555295" w:rsidRDefault="00662146" w:rsidP="00555295">
      <w:pPr>
        <w:spacing w:line="360" w:lineRule="auto"/>
        <w:jc w:val="both"/>
        <w:rPr>
          <w:rFonts w:ascii="Arial" w:hAnsi="Arial" w:cs="Arial"/>
        </w:rPr>
      </w:pPr>
      <w:r w:rsidRPr="00555295">
        <w:rPr>
          <w:rFonts w:ascii="Arial" w:hAnsi="Arial" w:cs="Arial"/>
        </w:rPr>
        <w:t>(d)</w:t>
      </w:r>
      <w:r w:rsidRPr="00555295">
        <w:rPr>
          <w:rFonts w:ascii="Arial" w:hAnsi="Arial" w:cs="Arial"/>
        </w:rPr>
        <w:tab/>
        <w:t xml:space="preserve">extent </w:t>
      </w:r>
      <w:r w:rsidR="00F8121D" w:rsidRPr="00555295">
        <w:rPr>
          <w:rFonts w:ascii="Arial" w:hAnsi="Arial" w:cs="Arial"/>
        </w:rPr>
        <w:t xml:space="preserve">of </w:t>
      </w:r>
      <w:r w:rsidR="0065211D">
        <w:rPr>
          <w:rFonts w:ascii="Arial" w:hAnsi="Arial" w:cs="Arial"/>
        </w:rPr>
        <w:t>S</w:t>
      </w:r>
      <w:r w:rsidR="00F8121D" w:rsidRPr="00555295">
        <w:rPr>
          <w:rFonts w:ascii="Arial" w:hAnsi="Arial" w:cs="Arial"/>
        </w:rPr>
        <w:t>tate direct investment and subsidy in acquiring the property.</w:t>
      </w:r>
    </w:p>
    <w:p w:rsidR="000C4C56" w:rsidRPr="00555295" w:rsidRDefault="00662146" w:rsidP="00555295">
      <w:pPr>
        <w:spacing w:line="360" w:lineRule="auto"/>
        <w:jc w:val="both"/>
        <w:rPr>
          <w:rFonts w:ascii="Arial" w:hAnsi="Arial" w:cs="Arial"/>
        </w:rPr>
      </w:pPr>
      <w:r w:rsidRPr="00555295">
        <w:rPr>
          <w:rFonts w:ascii="Arial" w:hAnsi="Arial" w:cs="Arial"/>
        </w:rPr>
        <w:t>Clearly, none of these</w:t>
      </w:r>
      <w:r w:rsidR="000C4C56" w:rsidRPr="00555295">
        <w:rPr>
          <w:rFonts w:ascii="Arial" w:hAnsi="Arial" w:cs="Arial"/>
        </w:rPr>
        <w:t xml:space="preserve"> factors were considered when the court determined the amount of compensation to be paid for the properties. In addition, a solatium of </w:t>
      </w:r>
      <w:r w:rsidR="00BA5E7E">
        <w:rPr>
          <w:rFonts w:ascii="Arial" w:hAnsi="Arial" w:cs="Arial"/>
        </w:rPr>
        <w:t>ten</w:t>
      </w:r>
      <w:r w:rsidR="000C4C56" w:rsidRPr="00555295">
        <w:rPr>
          <w:rFonts w:ascii="Arial" w:hAnsi="Arial" w:cs="Arial"/>
        </w:rPr>
        <w:t xml:space="preserve"> percent is normally paid in addition to the actual loss incurred to the owner by the expropriation.</w:t>
      </w:r>
    </w:p>
    <w:p w:rsidR="00E35AB8" w:rsidRPr="00555295" w:rsidRDefault="00E35AB8" w:rsidP="00555295">
      <w:pPr>
        <w:spacing w:line="360" w:lineRule="auto"/>
        <w:jc w:val="both"/>
        <w:rPr>
          <w:rFonts w:ascii="Arial" w:hAnsi="Arial" w:cs="Arial"/>
        </w:rPr>
      </w:pPr>
    </w:p>
    <w:p w:rsidR="006863AB" w:rsidRPr="00A4090B" w:rsidRDefault="00A4090B" w:rsidP="00A4090B">
      <w:pPr>
        <w:spacing w:line="360" w:lineRule="auto"/>
        <w:jc w:val="both"/>
        <w:rPr>
          <w:rFonts w:ascii="Arial" w:hAnsi="Arial" w:cs="Arial"/>
          <w:i/>
        </w:rPr>
      </w:pPr>
      <w:r>
        <w:rPr>
          <w:rFonts w:ascii="Arial" w:hAnsi="Arial" w:cs="Arial"/>
          <w:i/>
        </w:rPr>
        <w:t>(c)</w:t>
      </w:r>
      <w:r>
        <w:rPr>
          <w:rFonts w:ascii="Arial" w:hAnsi="Arial" w:cs="Arial"/>
          <w:i/>
        </w:rPr>
        <w:tab/>
      </w:r>
      <w:r w:rsidR="006863AB" w:rsidRPr="00A4090B">
        <w:rPr>
          <w:rFonts w:ascii="Arial" w:hAnsi="Arial" w:cs="Arial"/>
          <w:i/>
        </w:rPr>
        <w:t xml:space="preserve">Rescission at common law </w:t>
      </w:r>
      <w:r w:rsidR="00E35AB8" w:rsidRPr="00A4090B">
        <w:rPr>
          <w:rFonts w:ascii="Arial" w:hAnsi="Arial" w:cs="Arial"/>
          <w:i/>
        </w:rPr>
        <w:t>(ex</w:t>
      </w:r>
      <w:r w:rsidR="006863AB" w:rsidRPr="00A4090B">
        <w:rPr>
          <w:rFonts w:ascii="Arial" w:hAnsi="Arial" w:cs="Arial"/>
          <w:i/>
        </w:rPr>
        <w:t xml:space="preserve"> abundanti cautela)</w:t>
      </w:r>
    </w:p>
    <w:p w:rsidR="00E35AB8" w:rsidRPr="00555295" w:rsidRDefault="00E35AB8" w:rsidP="00555295">
      <w:pPr>
        <w:spacing w:line="360" w:lineRule="auto"/>
        <w:jc w:val="both"/>
        <w:rPr>
          <w:rFonts w:ascii="Arial" w:hAnsi="Arial" w:cs="Arial"/>
        </w:rPr>
      </w:pPr>
      <w:r w:rsidRPr="00555295">
        <w:rPr>
          <w:rFonts w:ascii="Arial" w:hAnsi="Arial" w:cs="Arial"/>
        </w:rPr>
        <w:lastRenderedPageBreak/>
        <w:t>[89]</w:t>
      </w:r>
      <w:r w:rsidRPr="00555295">
        <w:rPr>
          <w:rFonts w:ascii="Arial" w:hAnsi="Arial" w:cs="Arial"/>
        </w:rPr>
        <w:tab/>
      </w:r>
      <w:r w:rsidR="00662146" w:rsidRPr="00555295">
        <w:rPr>
          <w:rFonts w:ascii="Arial" w:hAnsi="Arial" w:cs="Arial"/>
        </w:rPr>
        <w:t>A</w:t>
      </w:r>
      <w:r w:rsidRPr="00555295">
        <w:rPr>
          <w:rFonts w:ascii="Arial" w:hAnsi="Arial" w:cs="Arial"/>
        </w:rPr>
        <w:t>s alluded to earlier, at common law the court is entitled to rescind a judgment obtain in default of appearance provided suf</w:t>
      </w:r>
      <w:r w:rsidR="00662146" w:rsidRPr="00555295">
        <w:rPr>
          <w:rFonts w:ascii="Arial" w:hAnsi="Arial" w:cs="Arial"/>
        </w:rPr>
        <w:t>ficient cause</w:t>
      </w:r>
      <w:r w:rsidRPr="00555295">
        <w:rPr>
          <w:rFonts w:ascii="Arial" w:hAnsi="Arial" w:cs="Arial"/>
        </w:rPr>
        <w:t xml:space="preserve"> is shown. This includes a reasonable and acceptable explanation for the default </w:t>
      </w:r>
      <w:r w:rsidR="00614466" w:rsidRPr="00555295">
        <w:rPr>
          <w:rFonts w:ascii="Arial" w:hAnsi="Arial" w:cs="Arial"/>
        </w:rPr>
        <w:t>and that on the merits the party has a bona defence</w:t>
      </w:r>
      <w:r w:rsidR="00907242">
        <w:rPr>
          <w:rFonts w:ascii="Arial" w:hAnsi="Arial" w:cs="Arial"/>
        </w:rPr>
        <w:t>.</w:t>
      </w:r>
      <w:r w:rsidR="00907242">
        <w:rPr>
          <w:rStyle w:val="FootnoteReference"/>
          <w:rFonts w:ascii="Arial" w:hAnsi="Arial" w:cs="Arial"/>
        </w:rPr>
        <w:footnoteReference w:id="56"/>
      </w:r>
      <w:r w:rsidR="00614466" w:rsidRPr="00555295">
        <w:rPr>
          <w:rFonts w:ascii="Arial" w:hAnsi="Arial" w:cs="Arial"/>
        </w:rPr>
        <w:t xml:space="preserve"> </w:t>
      </w:r>
    </w:p>
    <w:p w:rsidR="008E7D30" w:rsidRPr="00555295" w:rsidRDefault="008E7D30" w:rsidP="00555295">
      <w:pPr>
        <w:spacing w:line="360" w:lineRule="auto"/>
        <w:jc w:val="both"/>
        <w:rPr>
          <w:rFonts w:ascii="Arial" w:hAnsi="Arial" w:cs="Arial"/>
        </w:rPr>
      </w:pPr>
    </w:p>
    <w:p w:rsidR="00972454" w:rsidRPr="00555295" w:rsidRDefault="008E7D30" w:rsidP="00555295">
      <w:pPr>
        <w:spacing w:line="360" w:lineRule="auto"/>
        <w:jc w:val="both"/>
        <w:rPr>
          <w:rFonts w:ascii="Arial" w:hAnsi="Arial" w:cs="Arial"/>
        </w:rPr>
      </w:pPr>
      <w:r w:rsidRPr="00555295">
        <w:rPr>
          <w:rFonts w:ascii="Arial" w:hAnsi="Arial" w:cs="Arial"/>
        </w:rPr>
        <w:t>[90]</w:t>
      </w:r>
      <w:r w:rsidRPr="00555295">
        <w:rPr>
          <w:rFonts w:ascii="Arial" w:hAnsi="Arial" w:cs="Arial"/>
        </w:rPr>
        <w:tab/>
        <w:t xml:space="preserve">Taken from the history of the matter, the applicants have </w:t>
      </w:r>
      <w:r w:rsidR="00662146" w:rsidRPr="00555295">
        <w:rPr>
          <w:rFonts w:ascii="Arial" w:hAnsi="Arial" w:cs="Arial"/>
        </w:rPr>
        <w:t xml:space="preserve">a </w:t>
      </w:r>
      <w:r w:rsidRPr="00555295">
        <w:rPr>
          <w:rFonts w:ascii="Arial" w:hAnsi="Arial" w:cs="Arial"/>
        </w:rPr>
        <w:t>reasonable explanation for the default. As found earlier, the first respond</w:t>
      </w:r>
      <w:r w:rsidR="00662146" w:rsidRPr="00555295">
        <w:rPr>
          <w:rFonts w:ascii="Arial" w:hAnsi="Arial" w:cs="Arial"/>
        </w:rPr>
        <w:t xml:space="preserve">ent </w:t>
      </w:r>
      <w:r w:rsidRPr="00555295">
        <w:rPr>
          <w:rFonts w:ascii="Arial" w:hAnsi="Arial" w:cs="Arial"/>
        </w:rPr>
        <w:t xml:space="preserve">merely conducted </w:t>
      </w:r>
      <w:r w:rsidR="00662146" w:rsidRPr="00555295">
        <w:rPr>
          <w:rFonts w:ascii="Arial" w:hAnsi="Arial" w:cs="Arial"/>
        </w:rPr>
        <w:t xml:space="preserve">a </w:t>
      </w:r>
      <w:r w:rsidRPr="00555295">
        <w:rPr>
          <w:rFonts w:ascii="Arial" w:hAnsi="Arial" w:cs="Arial"/>
        </w:rPr>
        <w:t>minimal and cosmetic investigation to trace the owners of the farms and the advertisement notices were insufficient and probably never reach</w:t>
      </w:r>
      <w:r w:rsidR="00662146" w:rsidRPr="00555295">
        <w:rPr>
          <w:rFonts w:ascii="Arial" w:hAnsi="Arial" w:cs="Arial"/>
        </w:rPr>
        <w:t>ed</w:t>
      </w:r>
      <w:r w:rsidRPr="00555295">
        <w:rPr>
          <w:rFonts w:ascii="Arial" w:hAnsi="Arial" w:cs="Arial"/>
        </w:rPr>
        <w:t xml:space="preserve"> the applicants</w:t>
      </w:r>
      <w:r w:rsidR="00662146" w:rsidRPr="00555295">
        <w:rPr>
          <w:rFonts w:ascii="Arial" w:hAnsi="Arial" w:cs="Arial"/>
        </w:rPr>
        <w:t>,</w:t>
      </w:r>
      <w:r w:rsidRPr="00555295">
        <w:rPr>
          <w:rFonts w:ascii="Arial" w:hAnsi="Arial" w:cs="Arial"/>
        </w:rPr>
        <w:t xml:space="preserve"> as they claimed. The</w:t>
      </w:r>
      <w:r w:rsidR="00596A6D">
        <w:rPr>
          <w:rFonts w:ascii="Arial" w:hAnsi="Arial" w:cs="Arial"/>
        </w:rPr>
        <w:t>ir</w:t>
      </w:r>
      <w:r w:rsidRPr="00555295">
        <w:rPr>
          <w:rFonts w:ascii="Arial" w:hAnsi="Arial" w:cs="Arial"/>
        </w:rPr>
        <w:t xml:space="preserve"> default was not wilful.</w:t>
      </w:r>
    </w:p>
    <w:p w:rsidR="00662146" w:rsidRPr="00555295" w:rsidRDefault="00662146" w:rsidP="00555295">
      <w:pPr>
        <w:spacing w:line="360" w:lineRule="auto"/>
        <w:jc w:val="both"/>
        <w:rPr>
          <w:rFonts w:ascii="Arial" w:hAnsi="Arial" w:cs="Arial"/>
        </w:rPr>
      </w:pPr>
    </w:p>
    <w:p w:rsidR="00B46916" w:rsidRPr="00555295" w:rsidRDefault="00662146" w:rsidP="00555295">
      <w:pPr>
        <w:spacing w:line="360" w:lineRule="auto"/>
        <w:jc w:val="both"/>
        <w:rPr>
          <w:rFonts w:ascii="Arial" w:hAnsi="Arial" w:cs="Arial"/>
          <w:i/>
        </w:rPr>
      </w:pPr>
      <w:r w:rsidRPr="00555295">
        <w:rPr>
          <w:rFonts w:ascii="Arial" w:hAnsi="Arial" w:cs="Arial"/>
        </w:rPr>
        <w:t>[91]</w:t>
      </w:r>
      <w:r w:rsidRPr="00555295">
        <w:rPr>
          <w:rFonts w:ascii="Arial" w:hAnsi="Arial" w:cs="Arial"/>
        </w:rPr>
        <w:tab/>
        <w:t>I am persuaded (</w:t>
      </w:r>
      <w:r w:rsidR="00972454" w:rsidRPr="00555295">
        <w:rPr>
          <w:rFonts w:ascii="Arial" w:hAnsi="Arial" w:cs="Arial"/>
        </w:rPr>
        <w:t xml:space="preserve">by the new </w:t>
      </w:r>
      <w:r w:rsidRPr="00555295">
        <w:rPr>
          <w:rFonts w:ascii="Arial" w:hAnsi="Arial" w:cs="Arial"/>
        </w:rPr>
        <w:t>facts, which</w:t>
      </w:r>
      <w:r w:rsidR="00972454" w:rsidRPr="00555295">
        <w:rPr>
          <w:rFonts w:ascii="Arial" w:hAnsi="Arial" w:cs="Arial"/>
        </w:rPr>
        <w:t xml:space="preserve"> have emerged since the order</w:t>
      </w:r>
      <w:r w:rsidRPr="00555295">
        <w:rPr>
          <w:rFonts w:ascii="Arial" w:hAnsi="Arial" w:cs="Arial"/>
        </w:rPr>
        <w:t>)</w:t>
      </w:r>
      <w:r w:rsidR="00972454" w:rsidRPr="00555295">
        <w:rPr>
          <w:rFonts w:ascii="Arial" w:hAnsi="Arial" w:cs="Arial"/>
        </w:rPr>
        <w:t>, that the application is made bona fide</w:t>
      </w:r>
      <w:r w:rsidR="00596A6D">
        <w:rPr>
          <w:rFonts w:ascii="Arial" w:hAnsi="Arial" w:cs="Arial"/>
        </w:rPr>
        <w:t xml:space="preserve"> a</w:t>
      </w:r>
      <w:r w:rsidR="00972454" w:rsidRPr="00555295">
        <w:rPr>
          <w:rFonts w:ascii="Arial" w:hAnsi="Arial" w:cs="Arial"/>
        </w:rPr>
        <w:t>nd th</w:t>
      </w:r>
      <w:r w:rsidRPr="00555295">
        <w:rPr>
          <w:rFonts w:ascii="Arial" w:hAnsi="Arial" w:cs="Arial"/>
        </w:rPr>
        <w:t>at the applicants have a genuine</w:t>
      </w:r>
      <w:r w:rsidR="00972454" w:rsidRPr="00555295">
        <w:rPr>
          <w:rFonts w:ascii="Arial" w:hAnsi="Arial" w:cs="Arial"/>
        </w:rPr>
        <w:t xml:space="preserve"> defence or claim which prima facia car</w:t>
      </w:r>
      <w:r w:rsidRPr="00555295">
        <w:rPr>
          <w:rFonts w:ascii="Arial" w:hAnsi="Arial" w:cs="Arial"/>
        </w:rPr>
        <w:t>r</w:t>
      </w:r>
      <w:r w:rsidR="00972454" w:rsidRPr="00555295">
        <w:rPr>
          <w:rFonts w:ascii="Arial" w:hAnsi="Arial" w:cs="Arial"/>
        </w:rPr>
        <w:t>ies some prospect of success. The defence</w:t>
      </w:r>
      <w:r w:rsidRPr="00555295">
        <w:rPr>
          <w:rFonts w:ascii="Arial" w:hAnsi="Arial" w:cs="Arial"/>
        </w:rPr>
        <w:t>(s)</w:t>
      </w:r>
      <w:r w:rsidR="00972454" w:rsidRPr="00555295">
        <w:rPr>
          <w:rFonts w:ascii="Arial" w:hAnsi="Arial" w:cs="Arial"/>
        </w:rPr>
        <w:t xml:space="preserve"> raised by the fi</w:t>
      </w:r>
      <w:r w:rsidRPr="00555295">
        <w:rPr>
          <w:rFonts w:ascii="Arial" w:hAnsi="Arial" w:cs="Arial"/>
        </w:rPr>
        <w:t xml:space="preserve">rst respondent to </w:t>
      </w:r>
      <w:r w:rsidR="00A375D9">
        <w:rPr>
          <w:rFonts w:ascii="Arial" w:hAnsi="Arial" w:cs="Arial"/>
        </w:rPr>
        <w:t>the applicants</w:t>
      </w:r>
      <w:r w:rsidRPr="00555295">
        <w:rPr>
          <w:rFonts w:ascii="Arial" w:hAnsi="Arial" w:cs="Arial"/>
        </w:rPr>
        <w:t xml:space="preserve"> claim of</w:t>
      </w:r>
      <w:r w:rsidR="00972454" w:rsidRPr="00555295">
        <w:rPr>
          <w:rFonts w:ascii="Arial" w:hAnsi="Arial" w:cs="Arial"/>
        </w:rPr>
        <w:t xml:space="preserve"> owner</w:t>
      </w:r>
      <w:r w:rsidR="00F73BC2" w:rsidRPr="00555295">
        <w:rPr>
          <w:rFonts w:ascii="Arial" w:hAnsi="Arial" w:cs="Arial"/>
        </w:rPr>
        <w:t>ship of the farms have no merit</w:t>
      </w:r>
      <w:r w:rsidR="00972454" w:rsidRPr="00555295">
        <w:rPr>
          <w:rFonts w:ascii="Arial" w:hAnsi="Arial" w:cs="Arial"/>
        </w:rPr>
        <w:t xml:space="preserve"> and no basis in law. Theirs (applicants) is a good claim</w:t>
      </w:r>
      <w:r w:rsidR="00907242">
        <w:rPr>
          <w:rFonts w:ascii="Arial" w:hAnsi="Arial" w:cs="Arial"/>
        </w:rPr>
        <w:t>.</w:t>
      </w:r>
      <w:r w:rsidR="00907242">
        <w:rPr>
          <w:rStyle w:val="FootnoteReference"/>
          <w:rFonts w:ascii="Arial" w:hAnsi="Arial" w:cs="Arial"/>
        </w:rPr>
        <w:footnoteReference w:id="57"/>
      </w:r>
      <w:r w:rsidR="00972454" w:rsidRPr="00555295">
        <w:rPr>
          <w:rFonts w:ascii="Arial" w:hAnsi="Arial" w:cs="Arial"/>
        </w:rPr>
        <w:t xml:space="preserve"> </w:t>
      </w:r>
    </w:p>
    <w:p w:rsidR="00B46916" w:rsidRPr="00555295" w:rsidRDefault="00B46916" w:rsidP="00555295">
      <w:pPr>
        <w:spacing w:line="360" w:lineRule="auto"/>
        <w:jc w:val="both"/>
        <w:rPr>
          <w:rFonts w:ascii="Arial" w:hAnsi="Arial" w:cs="Arial"/>
        </w:rPr>
      </w:pPr>
    </w:p>
    <w:p w:rsidR="00B46916" w:rsidRPr="00555295" w:rsidRDefault="00484A87" w:rsidP="00555295">
      <w:pPr>
        <w:spacing w:line="360" w:lineRule="auto"/>
        <w:jc w:val="both"/>
        <w:rPr>
          <w:rFonts w:ascii="Arial" w:hAnsi="Arial" w:cs="Arial"/>
          <w:b/>
        </w:rPr>
      </w:pPr>
      <w:r w:rsidRPr="00555295">
        <w:rPr>
          <w:rFonts w:ascii="Arial" w:hAnsi="Arial" w:cs="Arial"/>
          <w:b/>
        </w:rPr>
        <w:t>Conclus</w:t>
      </w:r>
      <w:r w:rsidR="00B46916" w:rsidRPr="00555295">
        <w:rPr>
          <w:rFonts w:ascii="Arial" w:hAnsi="Arial" w:cs="Arial"/>
          <w:b/>
        </w:rPr>
        <w:t>ion</w:t>
      </w:r>
    </w:p>
    <w:p w:rsidR="00B46916" w:rsidRPr="00555295" w:rsidRDefault="00B46916" w:rsidP="00555295">
      <w:pPr>
        <w:spacing w:line="360" w:lineRule="auto"/>
        <w:jc w:val="both"/>
        <w:rPr>
          <w:rFonts w:ascii="Arial" w:hAnsi="Arial" w:cs="Arial"/>
        </w:rPr>
      </w:pPr>
      <w:r w:rsidRPr="00555295">
        <w:rPr>
          <w:rFonts w:ascii="Arial" w:hAnsi="Arial" w:cs="Arial"/>
        </w:rPr>
        <w:t>[92]</w:t>
      </w:r>
      <w:r w:rsidRPr="00555295">
        <w:rPr>
          <w:rFonts w:ascii="Arial" w:hAnsi="Arial" w:cs="Arial"/>
        </w:rPr>
        <w:tab/>
      </w:r>
      <w:r w:rsidR="00972454" w:rsidRPr="00555295">
        <w:rPr>
          <w:rFonts w:ascii="Arial" w:hAnsi="Arial" w:cs="Arial"/>
        </w:rPr>
        <w:t xml:space="preserve"> </w:t>
      </w:r>
      <w:r w:rsidRPr="00555295">
        <w:rPr>
          <w:rFonts w:ascii="Arial" w:hAnsi="Arial" w:cs="Arial"/>
        </w:rPr>
        <w:t>From the aforegoing</w:t>
      </w:r>
      <w:r w:rsidR="00EF3BF9" w:rsidRPr="00555295">
        <w:rPr>
          <w:rFonts w:ascii="Arial" w:hAnsi="Arial" w:cs="Arial"/>
        </w:rPr>
        <w:t>,</w:t>
      </w:r>
      <w:r w:rsidRPr="00555295">
        <w:rPr>
          <w:rFonts w:ascii="Arial" w:hAnsi="Arial" w:cs="Arial"/>
        </w:rPr>
        <w:t xml:space="preserve"> I am satisfied that the first respondent duly assisted </w:t>
      </w:r>
      <w:r w:rsidR="00EF3BF9" w:rsidRPr="00555295">
        <w:rPr>
          <w:rFonts w:ascii="Arial" w:hAnsi="Arial" w:cs="Arial"/>
        </w:rPr>
        <w:t xml:space="preserve">by </w:t>
      </w:r>
      <w:r w:rsidRPr="00555295">
        <w:rPr>
          <w:rFonts w:ascii="Arial" w:hAnsi="Arial" w:cs="Arial"/>
        </w:rPr>
        <w:t>its attorneys</w:t>
      </w:r>
      <w:r w:rsidR="00EF3BF9" w:rsidRPr="00555295">
        <w:rPr>
          <w:rFonts w:ascii="Arial" w:hAnsi="Arial" w:cs="Arial"/>
        </w:rPr>
        <w:t xml:space="preserve"> committed a comedy of errors in </w:t>
      </w:r>
      <w:r w:rsidRPr="00555295">
        <w:rPr>
          <w:rFonts w:ascii="Arial" w:hAnsi="Arial" w:cs="Arial"/>
        </w:rPr>
        <w:t xml:space="preserve">seeking the </w:t>
      </w:r>
      <w:r w:rsidR="00596A6D">
        <w:rPr>
          <w:rFonts w:ascii="Arial" w:hAnsi="Arial" w:cs="Arial"/>
        </w:rPr>
        <w:t xml:space="preserve">default </w:t>
      </w:r>
      <w:r w:rsidR="00EF3BF9" w:rsidRPr="00555295">
        <w:rPr>
          <w:rFonts w:ascii="Arial" w:hAnsi="Arial" w:cs="Arial"/>
        </w:rPr>
        <w:t xml:space="preserve">judgment. Most </w:t>
      </w:r>
      <w:r w:rsidR="00484A87" w:rsidRPr="00555295">
        <w:rPr>
          <w:rFonts w:ascii="Arial" w:hAnsi="Arial" w:cs="Arial"/>
        </w:rPr>
        <w:t>errors, if not all, seem</w:t>
      </w:r>
      <w:r w:rsidRPr="00555295">
        <w:rPr>
          <w:rFonts w:ascii="Arial" w:hAnsi="Arial" w:cs="Arial"/>
        </w:rPr>
        <w:t xml:space="preserve"> </w:t>
      </w:r>
      <w:r w:rsidR="00EF3BF9" w:rsidRPr="00555295">
        <w:rPr>
          <w:rFonts w:ascii="Arial" w:hAnsi="Arial" w:cs="Arial"/>
        </w:rPr>
        <w:t>to have been geared to surreptitiously</w:t>
      </w:r>
      <w:r w:rsidRPr="00555295">
        <w:rPr>
          <w:rFonts w:ascii="Arial" w:hAnsi="Arial" w:cs="Arial"/>
        </w:rPr>
        <w:t xml:space="preserve"> obtain transfer of the farms into its name, taking advantage of and</w:t>
      </w:r>
      <w:r w:rsidR="00596A6D">
        <w:rPr>
          <w:rFonts w:ascii="Arial" w:hAnsi="Arial" w:cs="Arial"/>
        </w:rPr>
        <w:t>/</w:t>
      </w:r>
      <w:r w:rsidRPr="00555295">
        <w:rPr>
          <w:rFonts w:ascii="Arial" w:hAnsi="Arial" w:cs="Arial"/>
        </w:rPr>
        <w:t xml:space="preserve">or abusing the regular court system to achieve its aim. Otherwise, nothing else explains the hostile processes or procedures adopted to seek the final order of transfer beyond the interim relief granted. </w:t>
      </w:r>
    </w:p>
    <w:p w:rsidR="00601BA9" w:rsidRPr="00555295" w:rsidRDefault="00601BA9" w:rsidP="00555295">
      <w:pPr>
        <w:spacing w:line="360" w:lineRule="auto"/>
        <w:jc w:val="both"/>
        <w:rPr>
          <w:rFonts w:ascii="Arial" w:hAnsi="Arial" w:cs="Arial"/>
        </w:rPr>
      </w:pPr>
    </w:p>
    <w:p w:rsidR="001F1C81" w:rsidRPr="00B32813" w:rsidRDefault="00DD54FC" w:rsidP="00555295">
      <w:pPr>
        <w:spacing w:line="360" w:lineRule="auto"/>
        <w:jc w:val="both"/>
        <w:rPr>
          <w:rFonts w:ascii="Arial" w:hAnsi="Arial" w:cs="Arial"/>
        </w:rPr>
      </w:pPr>
      <w:r w:rsidRPr="00555295">
        <w:rPr>
          <w:rFonts w:ascii="Arial" w:hAnsi="Arial" w:cs="Arial"/>
        </w:rPr>
        <w:t>[93]</w:t>
      </w:r>
      <w:r w:rsidRPr="00555295">
        <w:rPr>
          <w:rFonts w:ascii="Arial" w:hAnsi="Arial" w:cs="Arial"/>
        </w:rPr>
        <w:tab/>
        <w:t xml:space="preserve">The order </w:t>
      </w:r>
      <w:r w:rsidR="00803264" w:rsidRPr="00555295">
        <w:rPr>
          <w:rFonts w:ascii="Arial" w:hAnsi="Arial" w:cs="Arial"/>
        </w:rPr>
        <w:t xml:space="preserve">was </w:t>
      </w:r>
      <w:r w:rsidRPr="00555295">
        <w:rPr>
          <w:rFonts w:ascii="Arial" w:hAnsi="Arial" w:cs="Arial"/>
        </w:rPr>
        <w:t xml:space="preserve">erroneously </w:t>
      </w:r>
      <w:r w:rsidR="00803264" w:rsidRPr="00555295">
        <w:rPr>
          <w:rFonts w:ascii="Arial" w:hAnsi="Arial" w:cs="Arial"/>
        </w:rPr>
        <w:t xml:space="preserve">sought </w:t>
      </w:r>
      <w:r w:rsidRPr="00555295">
        <w:rPr>
          <w:rFonts w:ascii="Arial" w:hAnsi="Arial" w:cs="Arial"/>
        </w:rPr>
        <w:t>or erroneously granted in the absence of the applicant</w:t>
      </w:r>
      <w:r w:rsidR="00803264" w:rsidRPr="00555295">
        <w:rPr>
          <w:rFonts w:ascii="Arial" w:hAnsi="Arial" w:cs="Arial"/>
        </w:rPr>
        <w:t>s</w:t>
      </w:r>
      <w:r w:rsidRPr="00555295">
        <w:rPr>
          <w:rFonts w:ascii="Arial" w:hAnsi="Arial" w:cs="Arial"/>
        </w:rPr>
        <w:t xml:space="preserve"> who are affected by it. That is so for all the reasons enumerated earlier, including that it was not legally competent for the court to have made s</w:t>
      </w:r>
      <w:r w:rsidR="00427B86" w:rsidRPr="00555295">
        <w:rPr>
          <w:rFonts w:ascii="Arial" w:hAnsi="Arial" w:cs="Arial"/>
        </w:rPr>
        <w:t xml:space="preserve">uch an order and </w:t>
      </w:r>
      <w:r w:rsidR="00427B86" w:rsidRPr="00555295">
        <w:rPr>
          <w:rFonts w:ascii="Arial" w:hAnsi="Arial" w:cs="Arial"/>
        </w:rPr>
        <w:lastRenderedPageBreak/>
        <w:t>in the manner</w:t>
      </w:r>
      <w:r w:rsidR="00B46916" w:rsidRPr="00555295">
        <w:rPr>
          <w:rFonts w:ascii="Arial" w:hAnsi="Arial" w:cs="Arial"/>
        </w:rPr>
        <w:t xml:space="preserve"> </w:t>
      </w:r>
      <w:r w:rsidR="00A375D9">
        <w:rPr>
          <w:rFonts w:ascii="Arial" w:hAnsi="Arial" w:cs="Arial"/>
        </w:rPr>
        <w:t xml:space="preserve">that </w:t>
      </w:r>
      <w:r w:rsidRPr="00555295">
        <w:rPr>
          <w:rFonts w:ascii="Arial" w:hAnsi="Arial" w:cs="Arial"/>
        </w:rPr>
        <w:t xml:space="preserve">it was done. I am satisfied that the </w:t>
      </w:r>
      <w:r w:rsidR="00803264" w:rsidRPr="00555295">
        <w:rPr>
          <w:rFonts w:ascii="Arial" w:hAnsi="Arial" w:cs="Arial"/>
        </w:rPr>
        <w:t xml:space="preserve">final </w:t>
      </w:r>
      <w:r w:rsidRPr="00555295">
        <w:rPr>
          <w:rFonts w:ascii="Arial" w:hAnsi="Arial" w:cs="Arial"/>
        </w:rPr>
        <w:t>order</w:t>
      </w:r>
      <w:r w:rsidR="00427B86" w:rsidRPr="00555295">
        <w:rPr>
          <w:rFonts w:ascii="Arial" w:hAnsi="Arial" w:cs="Arial"/>
        </w:rPr>
        <w:t xml:space="preserve"> granted</w:t>
      </w:r>
      <w:r w:rsidRPr="00555295">
        <w:rPr>
          <w:rFonts w:ascii="Arial" w:hAnsi="Arial" w:cs="Arial"/>
        </w:rPr>
        <w:t xml:space="preserve"> cannot be sustained </w:t>
      </w:r>
      <w:r w:rsidR="0010736D" w:rsidRPr="00555295">
        <w:rPr>
          <w:rFonts w:ascii="Arial" w:hAnsi="Arial" w:cs="Arial"/>
        </w:rPr>
        <w:t>and sho</w:t>
      </w:r>
      <w:r w:rsidR="00601BA9" w:rsidRPr="00555295">
        <w:rPr>
          <w:rFonts w:ascii="Arial" w:hAnsi="Arial" w:cs="Arial"/>
        </w:rPr>
        <w:t>uld be rescinded</w:t>
      </w:r>
      <w:r w:rsidR="00803264" w:rsidRPr="00555295">
        <w:rPr>
          <w:rFonts w:ascii="Arial" w:hAnsi="Arial" w:cs="Arial"/>
        </w:rPr>
        <w:t>,</w:t>
      </w:r>
      <w:r w:rsidR="00601BA9" w:rsidRPr="00555295">
        <w:rPr>
          <w:rFonts w:ascii="Arial" w:hAnsi="Arial" w:cs="Arial"/>
        </w:rPr>
        <w:t xml:space="preserve"> with </w:t>
      </w:r>
      <w:r w:rsidR="00803264" w:rsidRPr="00555295">
        <w:rPr>
          <w:rFonts w:ascii="Arial" w:hAnsi="Arial" w:cs="Arial"/>
        </w:rPr>
        <w:t xml:space="preserve">the </w:t>
      </w:r>
      <w:r w:rsidR="00601BA9" w:rsidRPr="00596A6D">
        <w:rPr>
          <w:rFonts w:ascii="Arial" w:hAnsi="Arial" w:cs="Arial"/>
        </w:rPr>
        <w:t>status quo</w:t>
      </w:r>
      <w:r w:rsidR="0010736D" w:rsidRPr="00596A6D">
        <w:rPr>
          <w:rFonts w:ascii="Arial" w:hAnsi="Arial" w:cs="Arial"/>
        </w:rPr>
        <w:t xml:space="preserve"> ante</w:t>
      </w:r>
      <w:r w:rsidR="0010736D" w:rsidRPr="00555295">
        <w:rPr>
          <w:rFonts w:ascii="Arial" w:hAnsi="Arial" w:cs="Arial"/>
        </w:rPr>
        <w:t xml:space="preserve"> revived.</w:t>
      </w:r>
    </w:p>
    <w:p w:rsidR="008D331D" w:rsidRPr="00555295" w:rsidRDefault="00601BA9" w:rsidP="00555295">
      <w:pPr>
        <w:spacing w:line="360" w:lineRule="auto"/>
        <w:jc w:val="both"/>
        <w:rPr>
          <w:rFonts w:ascii="Arial" w:hAnsi="Arial" w:cs="Arial"/>
          <w:b/>
        </w:rPr>
      </w:pPr>
      <w:r w:rsidRPr="00555295">
        <w:rPr>
          <w:rFonts w:ascii="Arial" w:hAnsi="Arial" w:cs="Arial"/>
          <w:b/>
        </w:rPr>
        <w:t>Cost</w:t>
      </w:r>
      <w:r w:rsidR="00A4090B">
        <w:rPr>
          <w:rFonts w:ascii="Arial" w:hAnsi="Arial" w:cs="Arial"/>
          <w:b/>
        </w:rPr>
        <w:t>s</w:t>
      </w:r>
    </w:p>
    <w:p w:rsidR="008D331D" w:rsidRDefault="00601BA9" w:rsidP="00555295">
      <w:pPr>
        <w:spacing w:line="360" w:lineRule="auto"/>
        <w:jc w:val="both"/>
        <w:rPr>
          <w:rFonts w:ascii="Arial" w:hAnsi="Arial" w:cs="Arial"/>
        </w:rPr>
      </w:pPr>
      <w:r w:rsidRPr="00555295">
        <w:rPr>
          <w:rFonts w:ascii="Arial" w:hAnsi="Arial" w:cs="Arial"/>
        </w:rPr>
        <w:t>[94]</w:t>
      </w:r>
      <w:r w:rsidRPr="00555295">
        <w:rPr>
          <w:rFonts w:ascii="Arial" w:hAnsi="Arial" w:cs="Arial"/>
        </w:rPr>
        <w:tab/>
        <w:t xml:space="preserve">The applicants seek for </w:t>
      </w:r>
      <w:r w:rsidR="006A1D24" w:rsidRPr="00555295">
        <w:rPr>
          <w:rFonts w:ascii="Arial" w:hAnsi="Arial" w:cs="Arial"/>
        </w:rPr>
        <w:t xml:space="preserve">a </w:t>
      </w:r>
      <w:r w:rsidRPr="00555295">
        <w:rPr>
          <w:rFonts w:ascii="Arial" w:hAnsi="Arial" w:cs="Arial"/>
        </w:rPr>
        <w:t xml:space="preserve">cost </w:t>
      </w:r>
      <w:r w:rsidRPr="00020342">
        <w:rPr>
          <w:rFonts w:ascii="Arial" w:hAnsi="Arial" w:cs="Arial"/>
        </w:rPr>
        <w:t>order</w:t>
      </w:r>
      <w:r w:rsidRPr="00020342">
        <w:rPr>
          <w:rFonts w:ascii="Arial" w:hAnsi="Arial" w:cs="Arial"/>
          <w:i/>
        </w:rPr>
        <w:t xml:space="preserve"> </w:t>
      </w:r>
      <w:r w:rsidRPr="00020342">
        <w:rPr>
          <w:rFonts w:ascii="Arial" w:hAnsi="Arial" w:cs="Arial"/>
        </w:rPr>
        <w:t>de bonis propr</w:t>
      </w:r>
      <w:r w:rsidR="006A1D24" w:rsidRPr="00020342">
        <w:rPr>
          <w:rFonts w:ascii="Arial" w:hAnsi="Arial" w:cs="Arial"/>
        </w:rPr>
        <w:t>i</w:t>
      </w:r>
      <w:r w:rsidRPr="00020342">
        <w:rPr>
          <w:rFonts w:ascii="Arial" w:hAnsi="Arial" w:cs="Arial"/>
        </w:rPr>
        <w:t>is</w:t>
      </w:r>
      <w:r w:rsidRPr="00555295">
        <w:rPr>
          <w:rFonts w:ascii="Arial" w:hAnsi="Arial" w:cs="Arial"/>
        </w:rPr>
        <w:t xml:space="preserve"> against the displeasing conduct of the first </w:t>
      </w:r>
      <w:r w:rsidR="006A1D24" w:rsidRPr="00555295">
        <w:rPr>
          <w:rFonts w:ascii="Arial" w:hAnsi="Arial" w:cs="Arial"/>
        </w:rPr>
        <w:t>respondents’</w:t>
      </w:r>
      <w:r w:rsidRPr="00555295">
        <w:rPr>
          <w:rFonts w:ascii="Arial" w:hAnsi="Arial" w:cs="Arial"/>
        </w:rPr>
        <w:t xml:space="preserve"> attorneys in pur</w:t>
      </w:r>
      <w:r w:rsidR="006A1D24" w:rsidRPr="00555295">
        <w:rPr>
          <w:rFonts w:ascii="Arial" w:hAnsi="Arial" w:cs="Arial"/>
        </w:rPr>
        <w:t>suance of the course</w:t>
      </w:r>
      <w:r w:rsidRPr="00555295">
        <w:rPr>
          <w:rFonts w:ascii="Arial" w:hAnsi="Arial" w:cs="Arial"/>
        </w:rPr>
        <w:t xml:space="preserve"> which led to the final and transfer order of the farms to the fi</w:t>
      </w:r>
      <w:r w:rsidR="0089284F">
        <w:rPr>
          <w:rFonts w:ascii="Arial" w:hAnsi="Arial" w:cs="Arial"/>
        </w:rPr>
        <w:t xml:space="preserve">rst respondent. It is my view </w:t>
      </w:r>
      <w:r w:rsidRPr="00555295">
        <w:rPr>
          <w:rFonts w:ascii="Arial" w:hAnsi="Arial" w:cs="Arial"/>
        </w:rPr>
        <w:t>that there is a legitimate case to be made out for such cost</w:t>
      </w:r>
      <w:r w:rsidR="006A1D24" w:rsidRPr="00555295">
        <w:rPr>
          <w:rFonts w:ascii="Arial" w:hAnsi="Arial" w:cs="Arial"/>
        </w:rPr>
        <w:t>s</w:t>
      </w:r>
      <w:r w:rsidRPr="00555295">
        <w:rPr>
          <w:rFonts w:ascii="Arial" w:hAnsi="Arial" w:cs="Arial"/>
        </w:rPr>
        <w:t xml:space="preserve"> </w:t>
      </w:r>
      <w:r w:rsidR="009D1913" w:rsidRPr="00555295">
        <w:rPr>
          <w:rFonts w:ascii="Arial" w:hAnsi="Arial" w:cs="Arial"/>
        </w:rPr>
        <w:t>since attorneys should not be allowed to sneak applications through by deliberately failing to make a full and frank disclosure of all relevant facts.</w:t>
      </w:r>
    </w:p>
    <w:p w:rsidR="00F55C6D" w:rsidRPr="00555295" w:rsidRDefault="00F55C6D" w:rsidP="00555295">
      <w:pPr>
        <w:spacing w:line="360" w:lineRule="auto"/>
        <w:jc w:val="both"/>
        <w:rPr>
          <w:rFonts w:ascii="Arial" w:hAnsi="Arial" w:cs="Arial"/>
        </w:rPr>
      </w:pPr>
    </w:p>
    <w:p w:rsidR="00A52407" w:rsidRPr="00555295" w:rsidRDefault="00823409" w:rsidP="00555295">
      <w:pPr>
        <w:spacing w:line="360" w:lineRule="auto"/>
        <w:jc w:val="both"/>
        <w:rPr>
          <w:rFonts w:ascii="Arial" w:hAnsi="Arial" w:cs="Arial"/>
        </w:rPr>
      </w:pPr>
      <w:r w:rsidRPr="00555295">
        <w:rPr>
          <w:rFonts w:ascii="Arial" w:hAnsi="Arial" w:cs="Arial"/>
        </w:rPr>
        <w:t>[95]</w:t>
      </w:r>
      <w:r w:rsidRPr="00555295">
        <w:rPr>
          <w:rFonts w:ascii="Arial" w:hAnsi="Arial" w:cs="Arial"/>
        </w:rPr>
        <w:tab/>
      </w:r>
      <w:r w:rsidRPr="00596A6D">
        <w:rPr>
          <w:rFonts w:ascii="Arial" w:hAnsi="Arial" w:cs="Arial"/>
        </w:rPr>
        <w:t>I</w:t>
      </w:r>
      <w:r w:rsidR="008D331D" w:rsidRPr="00596A6D">
        <w:rPr>
          <w:rFonts w:ascii="Arial" w:hAnsi="Arial" w:cs="Arial"/>
        </w:rPr>
        <w:t>n</w:t>
      </w:r>
      <w:r w:rsidR="008D331D" w:rsidRPr="00555295">
        <w:rPr>
          <w:rFonts w:ascii="Arial" w:hAnsi="Arial" w:cs="Arial"/>
          <w:i/>
        </w:rPr>
        <w:t xml:space="preserve"> </w:t>
      </w:r>
      <w:r w:rsidR="008D331D" w:rsidRPr="00DF2DB1">
        <w:rPr>
          <w:rFonts w:ascii="Arial" w:hAnsi="Arial" w:cs="Arial"/>
          <w:i/>
        </w:rPr>
        <w:t>Khan v Mzovuyo Investments (Pty) Ltd</w:t>
      </w:r>
      <w:r w:rsidR="00907242" w:rsidRPr="00DF2DB1">
        <w:rPr>
          <w:rStyle w:val="FootnoteReference"/>
          <w:rFonts w:ascii="Arial" w:hAnsi="Arial" w:cs="Arial"/>
        </w:rPr>
        <w:footnoteReference w:id="58"/>
      </w:r>
      <w:r w:rsidR="008D331D" w:rsidRPr="00DF2DB1">
        <w:rPr>
          <w:rFonts w:ascii="Arial" w:hAnsi="Arial" w:cs="Arial"/>
        </w:rPr>
        <w:t xml:space="preserve"> </w:t>
      </w:r>
      <w:r w:rsidR="008D331D" w:rsidRPr="00555295">
        <w:rPr>
          <w:rFonts w:ascii="Arial" w:hAnsi="Arial" w:cs="Arial"/>
        </w:rPr>
        <w:t xml:space="preserve">an order to pay wasted costs </w:t>
      </w:r>
      <w:r w:rsidR="008D331D" w:rsidRPr="00A4090B">
        <w:rPr>
          <w:rFonts w:ascii="Arial" w:hAnsi="Arial" w:cs="Arial"/>
        </w:rPr>
        <w:t>de bonis proprii</w:t>
      </w:r>
      <w:r w:rsidRPr="00A4090B">
        <w:rPr>
          <w:rFonts w:ascii="Arial" w:hAnsi="Arial" w:cs="Arial"/>
        </w:rPr>
        <w:t>s</w:t>
      </w:r>
      <w:r w:rsidR="008D331D" w:rsidRPr="00555295">
        <w:rPr>
          <w:rFonts w:ascii="Arial" w:hAnsi="Arial" w:cs="Arial"/>
        </w:rPr>
        <w:t xml:space="preserve"> against the plaintiff’s attorney was granted where his conduct was unreasonable and negligent</w:t>
      </w:r>
      <w:r w:rsidRPr="00555295">
        <w:rPr>
          <w:rFonts w:ascii="Arial" w:hAnsi="Arial" w:cs="Arial"/>
        </w:rPr>
        <w:t>,</w:t>
      </w:r>
      <w:r w:rsidR="008D331D" w:rsidRPr="00555295">
        <w:rPr>
          <w:rFonts w:ascii="Arial" w:hAnsi="Arial" w:cs="Arial"/>
        </w:rPr>
        <w:t xml:space="preserve"> and his handling of the case was </w:t>
      </w:r>
      <w:r w:rsidRPr="00555295">
        <w:rPr>
          <w:rFonts w:ascii="Arial" w:hAnsi="Arial" w:cs="Arial"/>
        </w:rPr>
        <w:t xml:space="preserve">slack and apparently characterised </w:t>
      </w:r>
      <w:r w:rsidR="005117F1" w:rsidRPr="00555295">
        <w:rPr>
          <w:rFonts w:ascii="Arial" w:hAnsi="Arial" w:cs="Arial"/>
        </w:rPr>
        <w:t xml:space="preserve">by </w:t>
      </w:r>
      <w:r w:rsidR="009B41FA">
        <w:rPr>
          <w:rFonts w:ascii="Arial" w:hAnsi="Arial" w:cs="Arial"/>
        </w:rPr>
        <w:t xml:space="preserve">a </w:t>
      </w:r>
      <w:r w:rsidR="005117F1" w:rsidRPr="00555295">
        <w:rPr>
          <w:rFonts w:ascii="Arial" w:hAnsi="Arial" w:cs="Arial"/>
        </w:rPr>
        <w:t>lack of concern.</w:t>
      </w:r>
      <w:r w:rsidR="00907242">
        <w:rPr>
          <w:rStyle w:val="FootnoteReference"/>
          <w:rFonts w:ascii="Arial" w:hAnsi="Arial" w:cs="Arial"/>
        </w:rPr>
        <w:footnoteReference w:id="59"/>
      </w:r>
      <w:r w:rsidR="005117F1" w:rsidRPr="00555295">
        <w:rPr>
          <w:rFonts w:ascii="Arial" w:hAnsi="Arial" w:cs="Arial"/>
        </w:rPr>
        <w:t xml:space="preserve"> </w:t>
      </w:r>
    </w:p>
    <w:p w:rsidR="007B0D2E" w:rsidRPr="00555295" w:rsidRDefault="007B0D2E" w:rsidP="00555295">
      <w:pPr>
        <w:spacing w:line="360" w:lineRule="auto"/>
        <w:jc w:val="both"/>
        <w:rPr>
          <w:rFonts w:ascii="Arial" w:hAnsi="Arial" w:cs="Arial"/>
        </w:rPr>
      </w:pPr>
    </w:p>
    <w:p w:rsidR="008D331D" w:rsidRPr="00555295" w:rsidRDefault="00CC1481" w:rsidP="00555295">
      <w:pPr>
        <w:spacing w:line="360" w:lineRule="auto"/>
        <w:jc w:val="both"/>
        <w:rPr>
          <w:rFonts w:ascii="Arial" w:hAnsi="Arial" w:cs="Arial"/>
        </w:rPr>
      </w:pPr>
      <w:r w:rsidRPr="00555295">
        <w:rPr>
          <w:rFonts w:ascii="Arial" w:hAnsi="Arial" w:cs="Arial"/>
        </w:rPr>
        <w:t>[96]</w:t>
      </w:r>
      <w:r w:rsidRPr="00555295">
        <w:rPr>
          <w:rFonts w:ascii="Arial" w:hAnsi="Arial" w:cs="Arial"/>
        </w:rPr>
        <w:tab/>
      </w:r>
      <w:r w:rsidRPr="00907242">
        <w:rPr>
          <w:rFonts w:ascii="Arial" w:hAnsi="Arial" w:cs="Arial"/>
        </w:rPr>
        <w:t xml:space="preserve">In </w:t>
      </w:r>
      <w:r w:rsidRPr="00DF2DB1">
        <w:rPr>
          <w:rFonts w:ascii="Arial" w:hAnsi="Arial" w:cs="Arial"/>
          <w:i/>
        </w:rPr>
        <w:t>S</w:t>
      </w:r>
      <w:r w:rsidR="00DF2DB1" w:rsidRPr="00DF2DB1">
        <w:rPr>
          <w:rFonts w:ascii="Arial" w:hAnsi="Arial" w:cs="Arial"/>
          <w:i/>
        </w:rPr>
        <w:t xml:space="preserve">outh </w:t>
      </w:r>
      <w:r w:rsidRPr="00DF2DB1">
        <w:rPr>
          <w:rFonts w:ascii="Arial" w:hAnsi="Arial" w:cs="Arial"/>
          <w:i/>
        </w:rPr>
        <w:t>A</w:t>
      </w:r>
      <w:r w:rsidR="00DF2DB1" w:rsidRPr="00DF2DB1">
        <w:rPr>
          <w:rFonts w:ascii="Arial" w:hAnsi="Arial" w:cs="Arial"/>
          <w:i/>
        </w:rPr>
        <w:t>frican</w:t>
      </w:r>
      <w:r w:rsidRPr="00DF2DB1">
        <w:rPr>
          <w:rFonts w:ascii="Arial" w:hAnsi="Arial" w:cs="Arial"/>
          <w:i/>
        </w:rPr>
        <w:t xml:space="preserve"> Liquo</w:t>
      </w:r>
      <w:r w:rsidR="00A52407" w:rsidRPr="00DF2DB1">
        <w:rPr>
          <w:rFonts w:ascii="Arial" w:hAnsi="Arial" w:cs="Arial"/>
          <w:i/>
        </w:rPr>
        <w:t>r Traders</w:t>
      </w:r>
      <w:r w:rsidR="00DF2DB1">
        <w:rPr>
          <w:rFonts w:ascii="Arial" w:hAnsi="Arial" w:cs="Arial"/>
          <w:i/>
        </w:rPr>
        <w:t>’</w:t>
      </w:r>
      <w:r w:rsidR="00A52407" w:rsidRPr="00DF2DB1">
        <w:rPr>
          <w:rFonts w:ascii="Arial" w:hAnsi="Arial" w:cs="Arial"/>
          <w:i/>
        </w:rPr>
        <w:t xml:space="preserve"> Association</w:t>
      </w:r>
      <w:r w:rsidR="00DF2DB1">
        <w:rPr>
          <w:rFonts w:ascii="Arial" w:hAnsi="Arial" w:cs="Arial"/>
          <w:i/>
        </w:rPr>
        <w:t xml:space="preserve"> and Others </w:t>
      </w:r>
      <w:r w:rsidR="00A52407" w:rsidRPr="00DF2DB1">
        <w:rPr>
          <w:rFonts w:ascii="Arial" w:hAnsi="Arial" w:cs="Arial"/>
          <w:i/>
        </w:rPr>
        <w:t xml:space="preserve">v </w:t>
      </w:r>
      <w:r w:rsidR="00DF2DB1">
        <w:rPr>
          <w:rFonts w:ascii="Arial" w:hAnsi="Arial" w:cs="Arial"/>
          <w:i/>
        </w:rPr>
        <w:t xml:space="preserve">Chairperson, </w:t>
      </w:r>
      <w:r w:rsidR="00A52407" w:rsidRPr="00DF2DB1">
        <w:rPr>
          <w:rFonts w:ascii="Arial" w:hAnsi="Arial" w:cs="Arial"/>
          <w:i/>
        </w:rPr>
        <w:t>Gauteng</w:t>
      </w:r>
      <w:r w:rsidR="00A52407" w:rsidRPr="00555295">
        <w:rPr>
          <w:rFonts w:ascii="Arial" w:hAnsi="Arial" w:cs="Arial"/>
          <w:i/>
        </w:rPr>
        <w:t xml:space="preserve"> Liquor Board</w:t>
      </w:r>
      <w:r w:rsidR="00DF2DB1">
        <w:rPr>
          <w:rFonts w:ascii="Arial" w:hAnsi="Arial" w:cs="Arial"/>
          <w:i/>
        </w:rPr>
        <w:t>, and Others</w:t>
      </w:r>
      <w:r w:rsidR="00907242" w:rsidRPr="00907242">
        <w:rPr>
          <w:rStyle w:val="FootnoteReference"/>
          <w:rFonts w:ascii="Arial" w:hAnsi="Arial" w:cs="Arial"/>
        </w:rPr>
        <w:footnoteReference w:id="60"/>
      </w:r>
      <w:r w:rsidR="00A52407" w:rsidRPr="00555295">
        <w:rPr>
          <w:rFonts w:ascii="Arial" w:hAnsi="Arial" w:cs="Arial"/>
          <w:i/>
        </w:rPr>
        <w:t xml:space="preserve"> </w:t>
      </w:r>
      <w:r w:rsidR="00A52407" w:rsidRPr="00555295">
        <w:rPr>
          <w:rFonts w:ascii="Arial" w:hAnsi="Arial" w:cs="Arial"/>
        </w:rPr>
        <w:t>the Constitutional Court stated as follows:</w:t>
      </w:r>
      <w:r w:rsidR="008D331D" w:rsidRPr="00555295">
        <w:rPr>
          <w:rFonts w:ascii="Arial" w:hAnsi="Arial" w:cs="Arial"/>
        </w:rPr>
        <w:t xml:space="preserve"> </w:t>
      </w:r>
    </w:p>
    <w:p w:rsidR="007B0D2E" w:rsidRPr="00A4090B" w:rsidRDefault="007B0D2E" w:rsidP="00A4090B">
      <w:pPr>
        <w:spacing w:line="360" w:lineRule="auto"/>
        <w:jc w:val="both"/>
        <w:rPr>
          <w:rFonts w:ascii="Arial" w:hAnsi="Arial" w:cs="Arial"/>
          <w:sz w:val="22"/>
          <w:szCs w:val="22"/>
        </w:rPr>
      </w:pPr>
      <w:r w:rsidRPr="00DF2DB1">
        <w:rPr>
          <w:rFonts w:ascii="Arial" w:hAnsi="Arial" w:cs="Arial"/>
          <w:sz w:val="22"/>
          <w:szCs w:val="22"/>
        </w:rPr>
        <w:t>‘</w:t>
      </w:r>
      <w:r w:rsidR="00DF2DB1" w:rsidRPr="00DF2DB1">
        <w:rPr>
          <w:rFonts w:ascii="Arial" w:hAnsi="Arial" w:cs="Arial"/>
          <w:sz w:val="22"/>
          <w:szCs w:val="22"/>
        </w:rPr>
        <w:t xml:space="preserve">[54] </w:t>
      </w:r>
      <w:r w:rsidRPr="00DF2DB1">
        <w:rPr>
          <w:rFonts w:ascii="Arial" w:hAnsi="Arial" w:cs="Arial"/>
          <w:sz w:val="22"/>
          <w:szCs w:val="22"/>
        </w:rPr>
        <w:t xml:space="preserve">An order of costs </w:t>
      </w:r>
      <w:r w:rsidRPr="00DF2DB1">
        <w:rPr>
          <w:rFonts w:ascii="Arial" w:hAnsi="Arial" w:cs="Arial"/>
          <w:i/>
          <w:sz w:val="22"/>
          <w:szCs w:val="22"/>
        </w:rPr>
        <w:t>de bo</w:t>
      </w:r>
      <w:r w:rsidR="00CC1481" w:rsidRPr="00DF2DB1">
        <w:rPr>
          <w:rFonts w:ascii="Arial" w:hAnsi="Arial" w:cs="Arial"/>
          <w:i/>
          <w:sz w:val="22"/>
          <w:szCs w:val="22"/>
        </w:rPr>
        <w:t>nis propriis</w:t>
      </w:r>
      <w:r w:rsidR="00CC1481" w:rsidRPr="00DF2DB1">
        <w:rPr>
          <w:rFonts w:ascii="Arial" w:hAnsi="Arial" w:cs="Arial"/>
          <w:sz w:val="22"/>
          <w:szCs w:val="22"/>
        </w:rPr>
        <w:t xml:space="preserve"> is made against</w:t>
      </w:r>
      <w:r w:rsidRPr="00DF2DB1">
        <w:rPr>
          <w:rFonts w:ascii="Arial" w:hAnsi="Arial" w:cs="Arial"/>
          <w:sz w:val="22"/>
          <w:szCs w:val="22"/>
        </w:rPr>
        <w:t xml:space="preserve"> attorneys where a court is satisfi</w:t>
      </w:r>
      <w:r w:rsidR="00CC1481" w:rsidRPr="00DF2DB1">
        <w:rPr>
          <w:rFonts w:ascii="Arial" w:hAnsi="Arial" w:cs="Arial"/>
          <w:sz w:val="22"/>
          <w:szCs w:val="22"/>
        </w:rPr>
        <w:t>ed that there has been negligence</w:t>
      </w:r>
      <w:r w:rsidRPr="00DF2DB1">
        <w:rPr>
          <w:rFonts w:ascii="Arial" w:hAnsi="Arial" w:cs="Arial"/>
          <w:sz w:val="22"/>
          <w:szCs w:val="22"/>
        </w:rPr>
        <w:t xml:space="preserve"> in a serious degree which warrants an order </w:t>
      </w:r>
      <w:r w:rsidR="00CC1481" w:rsidRPr="00DF2DB1">
        <w:rPr>
          <w:rFonts w:ascii="Arial" w:hAnsi="Arial" w:cs="Arial"/>
          <w:sz w:val="22"/>
          <w:szCs w:val="22"/>
        </w:rPr>
        <w:t xml:space="preserve">of </w:t>
      </w:r>
      <w:r w:rsidRPr="00DF2DB1">
        <w:rPr>
          <w:rFonts w:ascii="Arial" w:hAnsi="Arial" w:cs="Arial"/>
          <w:sz w:val="22"/>
          <w:szCs w:val="22"/>
        </w:rPr>
        <w:t>costs being made as a mark of the court’s displeasure</w:t>
      </w:r>
      <w:r w:rsidRPr="00A4090B">
        <w:rPr>
          <w:rFonts w:ascii="Arial" w:hAnsi="Arial" w:cs="Arial"/>
          <w:sz w:val="22"/>
          <w:szCs w:val="22"/>
        </w:rPr>
        <w:t xml:space="preserve">. An attorney is an officer of the court and owes </w:t>
      </w:r>
      <w:r w:rsidR="00CC1481" w:rsidRPr="00A4090B">
        <w:rPr>
          <w:rFonts w:ascii="Arial" w:hAnsi="Arial" w:cs="Arial"/>
          <w:sz w:val="22"/>
          <w:szCs w:val="22"/>
        </w:rPr>
        <w:t xml:space="preserve">a court </w:t>
      </w:r>
      <w:r w:rsidRPr="00A4090B">
        <w:rPr>
          <w:rFonts w:ascii="Arial" w:hAnsi="Arial" w:cs="Arial"/>
          <w:sz w:val="22"/>
          <w:szCs w:val="22"/>
        </w:rPr>
        <w:t>an appropriate level of professionalism and courtesy</w:t>
      </w:r>
      <w:r w:rsidR="00CC1481" w:rsidRPr="00A4090B">
        <w:rPr>
          <w:rFonts w:ascii="Arial" w:hAnsi="Arial" w:cs="Arial"/>
          <w:sz w:val="22"/>
          <w:szCs w:val="22"/>
        </w:rPr>
        <w:t>.  F</w:t>
      </w:r>
      <w:r w:rsidRPr="00A4090B">
        <w:rPr>
          <w:rFonts w:ascii="Arial" w:hAnsi="Arial" w:cs="Arial"/>
          <w:sz w:val="22"/>
          <w:szCs w:val="22"/>
        </w:rPr>
        <w:t>iling correspondence from the Constitutional Court without first reading it constitute</w:t>
      </w:r>
      <w:r w:rsidR="00CC1481" w:rsidRPr="00A4090B">
        <w:rPr>
          <w:rFonts w:ascii="Arial" w:hAnsi="Arial" w:cs="Arial"/>
          <w:sz w:val="22"/>
          <w:szCs w:val="22"/>
        </w:rPr>
        <w:t>s</w:t>
      </w:r>
      <w:r w:rsidRPr="00A4090B">
        <w:rPr>
          <w:rFonts w:ascii="Arial" w:hAnsi="Arial" w:cs="Arial"/>
          <w:sz w:val="22"/>
          <w:szCs w:val="22"/>
        </w:rPr>
        <w:t xml:space="preserve"> negligence of </w:t>
      </w:r>
      <w:r w:rsidR="00CC1481" w:rsidRPr="00A4090B">
        <w:rPr>
          <w:rFonts w:ascii="Arial" w:hAnsi="Arial" w:cs="Arial"/>
          <w:sz w:val="22"/>
          <w:szCs w:val="22"/>
        </w:rPr>
        <w:t xml:space="preserve">a </w:t>
      </w:r>
      <w:r w:rsidRPr="00A4090B">
        <w:rPr>
          <w:rFonts w:ascii="Arial" w:hAnsi="Arial" w:cs="Arial"/>
          <w:sz w:val="22"/>
          <w:szCs w:val="22"/>
        </w:rPr>
        <w:t xml:space="preserve">severe degree. Nothing more need be added to the sorry tale already related to establish that this is an appropriate case for an order of costs </w:t>
      </w:r>
      <w:r w:rsidRPr="00DF2DB1">
        <w:rPr>
          <w:rFonts w:ascii="Arial" w:hAnsi="Arial" w:cs="Arial"/>
          <w:i/>
          <w:sz w:val="22"/>
          <w:szCs w:val="22"/>
        </w:rPr>
        <w:t>de bonis propriis</w:t>
      </w:r>
      <w:r w:rsidRPr="00A4090B">
        <w:rPr>
          <w:rFonts w:ascii="Arial" w:hAnsi="Arial" w:cs="Arial"/>
          <w:sz w:val="22"/>
          <w:szCs w:val="22"/>
        </w:rPr>
        <w:t xml:space="preserve"> on the scale as between attorney and client</w:t>
      </w:r>
      <w:r w:rsidR="00DF2DB1">
        <w:rPr>
          <w:rFonts w:ascii="Arial" w:hAnsi="Arial" w:cs="Arial"/>
          <w:sz w:val="22"/>
          <w:szCs w:val="22"/>
        </w:rPr>
        <w:t>…</w:t>
      </w:r>
      <w:r w:rsidRPr="00A4090B">
        <w:rPr>
          <w:rFonts w:ascii="Arial" w:hAnsi="Arial" w:cs="Arial"/>
          <w:sz w:val="22"/>
          <w:szCs w:val="22"/>
        </w:rPr>
        <w:t>’</w:t>
      </w:r>
      <w:r w:rsidR="006C0E12" w:rsidRPr="00A4090B">
        <w:rPr>
          <w:rFonts w:ascii="Arial" w:hAnsi="Arial" w:cs="Arial"/>
          <w:sz w:val="22"/>
          <w:szCs w:val="22"/>
        </w:rPr>
        <w:t xml:space="preserve"> (</w:t>
      </w:r>
      <w:r w:rsidR="00A4090B" w:rsidRPr="00A4090B">
        <w:rPr>
          <w:rFonts w:ascii="Arial" w:hAnsi="Arial" w:cs="Arial"/>
          <w:sz w:val="22"/>
          <w:szCs w:val="22"/>
        </w:rPr>
        <w:t>F</w:t>
      </w:r>
      <w:r w:rsidR="006C0E12" w:rsidRPr="00A4090B">
        <w:rPr>
          <w:rFonts w:ascii="Arial" w:hAnsi="Arial" w:cs="Arial"/>
          <w:sz w:val="22"/>
          <w:szCs w:val="22"/>
        </w:rPr>
        <w:t>ootnote omitted</w:t>
      </w:r>
      <w:r w:rsidR="00A4090B" w:rsidRPr="00A4090B">
        <w:rPr>
          <w:rFonts w:ascii="Arial" w:hAnsi="Arial" w:cs="Arial"/>
          <w:sz w:val="22"/>
          <w:szCs w:val="22"/>
        </w:rPr>
        <w:t>.</w:t>
      </w:r>
      <w:r w:rsidR="006C0E12" w:rsidRPr="00A4090B">
        <w:rPr>
          <w:rFonts w:ascii="Arial" w:hAnsi="Arial" w:cs="Arial"/>
          <w:sz w:val="22"/>
          <w:szCs w:val="22"/>
        </w:rPr>
        <w:t>)</w:t>
      </w:r>
    </w:p>
    <w:p w:rsidR="00AF59D5" w:rsidRPr="00555295" w:rsidRDefault="00AF59D5" w:rsidP="00555295">
      <w:pPr>
        <w:spacing w:line="360" w:lineRule="auto"/>
        <w:ind w:left="720"/>
        <w:jc w:val="both"/>
        <w:rPr>
          <w:rFonts w:ascii="Arial" w:hAnsi="Arial" w:cs="Arial"/>
        </w:rPr>
      </w:pPr>
    </w:p>
    <w:p w:rsidR="00551F46" w:rsidRPr="00555295" w:rsidRDefault="00551F46" w:rsidP="00555295">
      <w:pPr>
        <w:spacing w:line="360" w:lineRule="auto"/>
        <w:jc w:val="both"/>
        <w:rPr>
          <w:rFonts w:ascii="Arial" w:hAnsi="Arial" w:cs="Arial"/>
        </w:rPr>
      </w:pPr>
      <w:r w:rsidRPr="00555295">
        <w:rPr>
          <w:rFonts w:ascii="Arial" w:hAnsi="Arial" w:cs="Arial"/>
        </w:rPr>
        <w:t>[97]</w:t>
      </w:r>
      <w:r w:rsidRPr="00555295">
        <w:rPr>
          <w:rFonts w:ascii="Arial" w:hAnsi="Arial" w:cs="Arial"/>
        </w:rPr>
        <w:tab/>
        <w:t>The first respondent’s attorney</w:t>
      </w:r>
      <w:r w:rsidR="00596A6D">
        <w:rPr>
          <w:rFonts w:ascii="Arial" w:hAnsi="Arial" w:cs="Arial"/>
        </w:rPr>
        <w:t>s</w:t>
      </w:r>
      <w:r w:rsidRPr="00555295">
        <w:rPr>
          <w:rFonts w:ascii="Arial" w:hAnsi="Arial" w:cs="Arial"/>
        </w:rPr>
        <w:t xml:space="preserve"> launched an application, which was vacuous in obvious respects, an</w:t>
      </w:r>
      <w:r w:rsidR="00AF59D5" w:rsidRPr="00555295">
        <w:rPr>
          <w:rFonts w:ascii="Arial" w:hAnsi="Arial" w:cs="Arial"/>
        </w:rPr>
        <w:t>d</w:t>
      </w:r>
      <w:r w:rsidRPr="00555295">
        <w:rPr>
          <w:rFonts w:ascii="Arial" w:hAnsi="Arial" w:cs="Arial"/>
        </w:rPr>
        <w:t xml:space="preserve"> in which, to the knowledge of the attorney, the deponent d</w:t>
      </w:r>
      <w:r w:rsidR="00AF59D5" w:rsidRPr="00555295">
        <w:rPr>
          <w:rFonts w:ascii="Arial" w:hAnsi="Arial" w:cs="Arial"/>
        </w:rPr>
        <w:t>eliberately omitted to disclose</w:t>
      </w:r>
      <w:r w:rsidRPr="00555295">
        <w:rPr>
          <w:rFonts w:ascii="Arial" w:hAnsi="Arial" w:cs="Arial"/>
        </w:rPr>
        <w:t xml:space="preserve"> material facts. The attorney must have known that the </w:t>
      </w:r>
      <w:r w:rsidRPr="00555295">
        <w:rPr>
          <w:rFonts w:ascii="Arial" w:hAnsi="Arial" w:cs="Arial"/>
        </w:rPr>
        <w:lastRenderedPageBreak/>
        <w:t>only way in which th</w:t>
      </w:r>
      <w:r w:rsidR="00AF59D5" w:rsidRPr="00555295">
        <w:rPr>
          <w:rFonts w:ascii="Arial" w:hAnsi="Arial" w:cs="Arial"/>
        </w:rPr>
        <w:t>e first respondent could have succeeded</w:t>
      </w:r>
      <w:r w:rsidRPr="00555295">
        <w:rPr>
          <w:rFonts w:ascii="Arial" w:hAnsi="Arial" w:cs="Arial"/>
        </w:rPr>
        <w:t xml:space="preserve"> with the application (for the final relief) was to prosecute it in a stealthy and opaque manner.</w:t>
      </w:r>
    </w:p>
    <w:p w:rsidR="00AF59D5" w:rsidRPr="00555295" w:rsidRDefault="00AF59D5" w:rsidP="00555295">
      <w:pPr>
        <w:spacing w:line="360" w:lineRule="auto"/>
        <w:jc w:val="both"/>
        <w:rPr>
          <w:rFonts w:ascii="Arial" w:hAnsi="Arial" w:cs="Arial"/>
        </w:rPr>
      </w:pPr>
    </w:p>
    <w:p w:rsidR="004A7552" w:rsidRPr="00555295" w:rsidRDefault="004A7552" w:rsidP="00555295">
      <w:pPr>
        <w:spacing w:line="360" w:lineRule="auto"/>
        <w:jc w:val="both"/>
        <w:rPr>
          <w:rFonts w:ascii="Arial" w:hAnsi="Arial" w:cs="Arial"/>
        </w:rPr>
      </w:pPr>
      <w:r w:rsidRPr="00555295">
        <w:rPr>
          <w:rFonts w:ascii="Arial" w:hAnsi="Arial" w:cs="Arial"/>
        </w:rPr>
        <w:t>[98]</w:t>
      </w:r>
      <w:r w:rsidRPr="00555295">
        <w:rPr>
          <w:rFonts w:ascii="Arial" w:hAnsi="Arial" w:cs="Arial"/>
        </w:rPr>
        <w:tab/>
        <w:t xml:space="preserve">The attorney would have been aware of the fact that there was no evidence to establish the necessary factual basis for the transfer of the farms to the first respondent. Should the attorney and his client have </w:t>
      </w:r>
      <w:r w:rsidR="00AB36A3" w:rsidRPr="00555295">
        <w:rPr>
          <w:rFonts w:ascii="Arial" w:hAnsi="Arial" w:cs="Arial"/>
        </w:rPr>
        <w:t xml:space="preserve">made </w:t>
      </w:r>
      <w:r w:rsidRPr="00555295">
        <w:rPr>
          <w:rFonts w:ascii="Arial" w:hAnsi="Arial" w:cs="Arial"/>
        </w:rPr>
        <w:t>a frank di</w:t>
      </w:r>
      <w:r w:rsidR="00AB36A3" w:rsidRPr="00555295">
        <w:rPr>
          <w:rFonts w:ascii="Arial" w:hAnsi="Arial" w:cs="Arial"/>
        </w:rPr>
        <w:t>sclosure of all relevant facts, t</w:t>
      </w:r>
      <w:r w:rsidRPr="00555295">
        <w:rPr>
          <w:rFonts w:ascii="Arial" w:hAnsi="Arial" w:cs="Arial"/>
        </w:rPr>
        <w:t>he application would have had no real prospec</w:t>
      </w:r>
      <w:r w:rsidR="00AB36A3" w:rsidRPr="00555295">
        <w:rPr>
          <w:rFonts w:ascii="Arial" w:hAnsi="Arial" w:cs="Arial"/>
        </w:rPr>
        <w:t xml:space="preserve">t of success. This alone is a </w:t>
      </w:r>
      <w:r w:rsidRPr="00555295">
        <w:rPr>
          <w:rFonts w:ascii="Arial" w:hAnsi="Arial" w:cs="Arial"/>
        </w:rPr>
        <w:t xml:space="preserve">sufficient ground for an award of costs de bonis propriis. </w:t>
      </w:r>
    </w:p>
    <w:p w:rsidR="004A7552" w:rsidRPr="00555295" w:rsidRDefault="004A7552" w:rsidP="00555295">
      <w:pPr>
        <w:spacing w:line="360" w:lineRule="auto"/>
        <w:jc w:val="both"/>
        <w:rPr>
          <w:rFonts w:ascii="Arial" w:hAnsi="Arial" w:cs="Arial"/>
        </w:rPr>
      </w:pPr>
    </w:p>
    <w:p w:rsidR="00B34694" w:rsidRPr="00555295" w:rsidRDefault="004A7552" w:rsidP="00555295">
      <w:pPr>
        <w:spacing w:line="360" w:lineRule="auto"/>
        <w:jc w:val="both"/>
        <w:rPr>
          <w:rFonts w:ascii="Arial" w:hAnsi="Arial" w:cs="Arial"/>
        </w:rPr>
      </w:pPr>
      <w:r w:rsidRPr="00555295">
        <w:rPr>
          <w:rFonts w:ascii="Arial" w:hAnsi="Arial" w:cs="Arial"/>
        </w:rPr>
        <w:t>[99]</w:t>
      </w:r>
      <w:r w:rsidR="00565EA5" w:rsidRPr="00555295">
        <w:rPr>
          <w:rFonts w:ascii="Arial" w:hAnsi="Arial" w:cs="Arial"/>
        </w:rPr>
        <w:tab/>
        <w:t xml:space="preserve">In this instance, it appears to me there </w:t>
      </w:r>
      <w:r w:rsidR="00D562A6" w:rsidRPr="00555295">
        <w:rPr>
          <w:rFonts w:ascii="Arial" w:hAnsi="Arial" w:cs="Arial"/>
        </w:rPr>
        <w:t xml:space="preserve">is </w:t>
      </w:r>
      <w:r w:rsidR="00565EA5" w:rsidRPr="00555295">
        <w:rPr>
          <w:rFonts w:ascii="Arial" w:hAnsi="Arial" w:cs="Arial"/>
        </w:rPr>
        <w:t xml:space="preserve">more than mere negligence. There was </w:t>
      </w:r>
      <w:r w:rsidR="00D562A6" w:rsidRPr="00555295">
        <w:rPr>
          <w:rFonts w:ascii="Arial" w:hAnsi="Arial" w:cs="Arial"/>
        </w:rPr>
        <w:t xml:space="preserve">a </w:t>
      </w:r>
      <w:r w:rsidR="00565EA5" w:rsidRPr="00555295">
        <w:rPr>
          <w:rFonts w:ascii="Arial" w:hAnsi="Arial" w:cs="Arial"/>
        </w:rPr>
        <w:t>deliberate and conscious attempt, if not a reckless one, to conceal information and mislead t</w:t>
      </w:r>
      <w:r w:rsidR="00D562A6" w:rsidRPr="00555295">
        <w:rPr>
          <w:rFonts w:ascii="Arial" w:hAnsi="Arial" w:cs="Arial"/>
        </w:rPr>
        <w:t>he court. This conduct is close</w:t>
      </w:r>
      <w:r w:rsidR="00565EA5" w:rsidRPr="00555295">
        <w:rPr>
          <w:rFonts w:ascii="Arial" w:hAnsi="Arial" w:cs="Arial"/>
        </w:rPr>
        <w:t xml:space="preserve">, if </w:t>
      </w:r>
      <w:r w:rsidR="009B6B28" w:rsidRPr="00555295">
        <w:rPr>
          <w:rFonts w:ascii="Arial" w:hAnsi="Arial" w:cs="Arial"/>
        </w:rPr>
        <w:t xml:space="preserve">not equivalent to acquiring someone’s property through fraudulent </w:t>
      </w:r>
      <w:r w:rsidR="00D562A6" w:rsidRPr="00555295">
        <w:rPr>
          <w:rFonts w:ascii="Arial" w:hAnsi="Arial" w:cs="Arial"/>
        </w:rPr>
        <w:t>means, which</w:t>
      </w:r>
      <w:r w:rsidR="009B6B28" w:rsidRPr="00555295">
        <w:rPr>
          <w:rFonts w:ascii="Arial" w:hAnsi="Arial" w:cs="Arial"/>
        </w:rPr>
        <w:t xml:space="preserve"> cannot, and should not be countenanced.</w:t>
      </w:r>
    </w:p>
    <w:p w:rsidR="00907242" w:rsidRDefault="00907242" w:rsidP="00555295">
      <w:pPr>
        <w:spacing w:line="360" w:lineRule="auto"/>
        <w:jc w:val="both"/>
        <w:rPr>
          <w:rFonts w:ascii="Arial" w:hAnsi="Arial" w:cs="Arial"/>
          <w:b/>
        </w:rPr>
      </w:pPr>
    </w:p>
    <w:p w:rsidR="00D562A6" w:rsidRDefault="00B34694" w:rsidP="00555295">
      <w:pPr>
        <w:spacing w:line="360" w:lineRule="auto"/>
        <w:jc w:val="both"/>
        <w:rPr>
          <w:rFonts w:ascii="Arial" w:hAnsi="Arial" w:cs="Arial"/>
          <w:b/>
        </w:rPr>
      </w:pPr>
      <w:r w:rsidRPr="00555295">
        <w:rPr>
          <w:rFonts w:ascii="Arial" w:hAnsi="Arial" w:cs="Arial"/>
          <w:b/>
        </w:rPr>
        <w:t xml:space="preserve">Order </w:t>
      </w:r>
      <w:r w:rsidR="00565EA5" w:rsidRPr="00555295">
        <w:rPr>
          <w:rFonts w:ascii="Arial" w:hAnsi="Arial" w:cs="Arial"/>
          <w:b/>
        </w:rPr>
        <w:t xml:space="preserve"> </w:t>
      </w:r>
    </w:p>
    <w:p w:rsidR="0094060F" w:rsidRPr="00555295" w:rsidRDefault="0094060F" w:rsidP="00555295">
      <w:pPr>
        <w:spacing w:line="360" w:lineRule="auto"/>
        <w:jc w:val="both"/>
        <w:rPr>
          <w:rFonts w:ascii="Arial" w:hAnsi="Arial" w:cs="Arial"/>
          <w:b/>
        </w:rPr>
      </w:pPr>
    </w:p>
    <w:p w:rsidR="00BE51E0" w:rsidRDefault="00A4090B" w:rsidP="00555295">
      <w:pPr>
        <w:spacing w:line="360" w:lineRule="auto"/>
        <w:jc w:val="both"/>
        <w:rPr>
          <w:rFonts w:ascii="Arial" w:hAnsi="Arial" w:cs="Arial"/>
        </w:rPr>
      </w:pPr>
      <w:r>
        <w:rPr>
          <w:rFonts w:ascii="Arial" w:hAnsi="Arial" w:cs="Arial"/>
        </w:rPr>
        <w:t>[100]</w:t>
      </w:r>
      <w:r>
        <w:rPr>
          <w:rFonts w:ascii="Arial" w:hAnsi="Arial" w:cs="Arial"/>
        </w:rPr>
        <w:tab/>
      </w:r>
      <w:r w:rsidR="00D562A6" w:rsidRPr="00555295">
        <w:rPr>
          <w:rFonts w:ascii="Arial" w:hAnsi="Arial" w:cs="Arial"/>
        </w:rPr>
        <w:t>Consequently, the following order shall issue:</w:t>
      </w:r>
    </w:p>
    <w:p w:rsidR="00A25FE4" w:rsidRPr="00555295" w:rsidRDefault="00A25FE4" w:rsidP="00555295">
      <w:pPr>
        <w:spacing w:line="360" w:lineRule="auto"/>
        <w:jc w:val="both"/>
        <w:rPr>
          <w:rFonts w:ascii="Arial" w:hAnsi="Arial" w:cs="Arial"/>
        </w:rPr>
      </w:pPr>
    </w:p>
    <w:p w:rsidR="00642C94" w:rsidRDefault="00642C94" w:rsidP="00D85F69">
      <w:pPr>
        <w:spacing w:line="360" w:lineRule="auto"/>
        <w:ind w:left="720" w:hanging="720"/>
        <w:jc w:val="both"/>
        <w:rPr>
          <w:rFonts w:ascii="Arial" w:hAnsi="Arial" w:cs="Arial"/>
        </w:rPr>
      </w:pPr>
      <w:r>
        <w:rPr>
          <w:rFonts w:ascii="Arial" w:hAnsi="Arial" w:cs="Arial"/>
        </w:rPr>
        <w:t>1.</w:t>
      </w:r>
      <w:r>
        <w:rPr>
          <w:rFonts w:ascii="Arial" w:hAnsi="Arial" w:cs="Arial"/>
        </w:rPr>
        <w:tab/>
        <w:t>T</w:t>
      </w:r>
      <w:r w:rsidRPr="00556B09">
        <w:rPr>
          <w:rFonts w:ascii="Arial" w:hAnsi="Arial" w:cs="Arial"/>
        </w:rPr>
        <w:t xml:space="preserve">he applicants be </w:t>
      </w:r>
      <w:r>
        <w:rPr>
          <w:rFonts w:ascii="Arial" w:hAnsi="Arial" w:cs="Arial"/>
        </w:rPr>
        <w:t xml:space="preserve">joined in the </w:t>
      </w:r>
      <w:r w:rsidRPr="002015BA">
        <w:rPr>
          <w:rFonts w:ascii="Arial" w:hAnsi="Arial" w:cs="Arial"/>
        </w:rPr>
        <w:t>ex parte</w:t>
      </w:r>
      <w:r>
        <w:rPr>
          <w:rFonts w:ascii="Arial" w:hAnsi="Arial" w:cs="Arial"/>
        </w:rPr>
        <w:t xml:space="preserve"> application of Tropical Winter Trading (Pty) Ltd (Case Number: 3635/19P) as first and second respondents respectively. </w:t>
      </w:r>
    </w:p>
    <w:p w:rsidR="00642C94" w:rsidRDefault="00642C94" w:rsidP="00D85F69">
      <w:pPr>
        <w:spacing w:line="360" w:lineRule="auto"/>
        <w:ind w:left="720" w:hanging="720"/>
        <w:jc w:val="both"/>
        <w:rPr>
          <w:rFonts w:ascii="Arial" w:hAnsi="Arial" w:cs="Arial"/>
        </w:rPr>
      </w:pPr>
      <w:r>
        <w:rPr>
          <w:rFonts w:ascii="Arial" w:hAnsi="Arial" w:cs="Arial"/>
        </w:rPr>
        <w:t xml:space="preserve">2. </w:t>
      </w:r>
      <w:r>
        <w:rPr>
          <w:rFonts w:ascii="Arial" w:hAnsi="Arial" w:cs="Arial"/>
        </w:rPr>
        <w:tab/>
        <w:t>The order granted by Seegobin J, on 2</w:t>
      </w:r>
      <w:r w:rsidR="00633C06">
        <w:rPr>
          <w:rFonts w:ascii="Arial" w:hAnsi="Arial" w:cs="Arial"/>
        </w:rPr>
        <w:t>6</w:t>
      </w:r>
      <w:r>
        <w:rPr>
          <w:rFonts w:ascii="Arial" w:hAnsi="Arial" w:cs="Arial"/>
        </w:rPr>
        <w:t xml:space="preserve"> February 2020, in the </w:t>
      </w:r>
      <w:r w:rsidRPr="002015BA">
        <w:rPr>
          <w:rFonts w:ascii="Arial" w:hAnsi="Arial" w:cs="Arial"/>
        </w:rPr>
        <w:t>ex parte</w:t>
      </w:r>
      <w:r>
        <w:rPr>
          <w:rFonts w:ascii="Arial" w:hAnsi="Arial" w:cs="Arial"/>
        </w:rPr>
        <w:t xml:space="preserve"> application of Tropical Winter Trading (Pty) Ltd (Case Number. 3635/19P), is rescinded and set aside.</w:t>
      </w:r>
    </w:p>
    <w:p w:rsidR="00642C94" w:rsidRDefault="00642C94" w:rsidP="00642C94">
      <w:pPr>
        <w:spacing w:line="360" w:lineRule="auto"/>
        <w:ind w:left="720" w:hanging="720"/>
        <w:jc w:val="both"/>
        <w:rPr>
          <w:rFonts w:ascii="Arial" w:hAnsi="Arial" w:cs="Arial"/>
        </w:rPr>
      </w:pPr>
      <w:r>
        <w:rPr>
          <w:rFonts w:ascii="Arial" w:hAnsi="Arial" w:cs="Arial"/>
        </w:rPr>
        <w:t xml:space="preserve">3. </w:t>
      </w:r>
      <w:r>
        <w:rPr>
          <w:rFonts w:ascii="Arial" w:hAnsi="Arial" w:cs="Arial"/>
        </w:rPr>
        <w:tab/>
        <w:t>The registration and transfer of the following properties (collectively referred to as (“the farms”) to the first respondent is set aside</w:t>
      </w:r>
      <w:r w:rsidR="00D85F69">
        <w:rPr>
          <w:rFonts w:ascii="Arial" w:hAnsi="Arial" w:cs="Arial"/>
        </w:rPr>
        <w:t>:</w:t>
      </w:r>
    </w:p>
    <w:p w:rsidR="00642C94" w:rsidRDefault="00642C94" w:rsidP="00642C94">
      <w:pPr>
        <w:spacing w:line="360" w:lineRule="auto"/>
        <w:ind w:left="1440" w:hanging="720"/>
        <w:jc w:val="both"/>
        <w:rPr>
          <w:rFonts w:ascii="Arial" w:hAnsi="Arial" w:cs="Arial"/>
        </w:rPr>
      </w:pPr>
      <w:r>
        <w:rPr>
          <w:rFonts w:ascii="Arial" w:hAnsi="Arial" w:cs="Arial"/>
        </w:rPr>
        <w:t>3.1</w:t>
      </w:r>
      <w:r>
        <w:rPr>
          <w:rFonts w:ascii="Arial" w:hAnsi="Arial" w:cs="Arial"/>
        </w:rPr>
        <w:tab/>
        <w:t>the Remainder of the Farm Glen Ashton, No. 8589, Registration Division HS, Province of KwaZulu-Natal, held under title deed number: T 23804/2020, in extent 191, 6466 (one hundred and ninety – one comma six four six six) hectares, first registered by Crown Grant Number G8589/1914 and previously held by Deed of Transfer Number: T1752/1962;</w:t>
      </w:r>
    </w:p>
    <w:p w:rsidR="00642C94" w:rsidRDefault="00642C94" w:rsidP="00642C94">
      <w:pPr>
        <w:spacing w:line="360" w:lineRule="auto"/>
        <w:ind w:left="1440" w:hanging="720"/>
        <w:jc w:val="both"/>
        <w:rPr>
          <w:rFonts w:ascii="Arial" w:hAnsi="Arial" w:cs="Arial"/>
        </w:rPr>
      </w:pPr>
      <w:r>
        <w:rPr>
          <w:rFonts w:ascii="Arial" w:hAnsi="Arial" w:cs="Arial"/>
        </w:rPr>
        <w:lastRenderedPageBreak/>
        <w:t xml:space="preserve">3.2 </w:t>
      </w:r>
      <w:r>
        <w:rPr>
          <w:rFonts w:ascii="Arial" w:hAnsi="Arial" w:cs="Arial"/>
        </w:rPr>
        <w:tab/>
        <w:t xml:space="preserve">Portion 6 (of 3) of the Farm Twyfelhoek No. 3339, Registration Division HS, Province of KwaZulu – Natal, held under title deed number: T23804/2020, in extent 192, 6811 (one hundred and ninety – two comma six eight one one) hectares, first transferred by </w:t>
      </w:r>
      <w:r w:rsidRPr="00596A6D">
        <w:rPr>
          <w:rFonts w:ascii="Arial" w:hAnsi="Arial" w:cs="Arial"/>
        </w:rPr>
        <w:t xml:space="preserve">Deed </w:t>
      </w:r>
      <w:r>
        <w:rPr>
          <w:rFonts w:ascii="Arial" w:hAnsi="Arial" w:cs="Arial"/>
        </w:rPr>
        <w:t>of Partition Transfer Number: T2420/1927, and previously held by Deed of Transfer Number: T1752/1962;</w:t>
      </w:r>
      <w:r w:rsidR="00D85F69">
        <w:rPr>
          <w:rFonts w:ascii="Arial" w:hAnsi="Arial" w:cs="Arial"/>
        </w:rPr>
        <w:t xml:space="preserve"> and</w:t>
      </w:r>
    </w:p>
    <w:p w:rsidR="00642C94" w:rsidRDefault="00642C94" w:rsidP="00642C94">
      <w:pPr>
        <w:spacing w:line="360" w:lineRule="auto"/>
        <w:ind w:left="1440" w:hanging="720"/>
        <w:jc w:val="both"/>
        <w:rPr>
          <w:rFonts w:ascii="Arial" w:hAnsi="Arial" w:cs="Arial"/>
        </w:rPr>
      </w:pPr>
      <w:r>
        <w:rPr>
          <w:rFonts w:ascii="Arial" w:hAnsi="Arial" w:cs="Arial"/>
        </w:rPr>
        <w:t>3.3</w:t>
      </w:r>
      <w:r>
        <w:rPr>
          <w:rFonts w:ascii="Arial" w:hAnsi="Arial" w:cs="Arial"/>
        </w:rPr>
        <w:tab/>
        <w:t>The Farm Moeders Rus No. 11657, Registration Division HS, Province of KwaZulu – Natal, held under title deed number: T23804/2020, in extent 487,7306 (four hundred and eighty-seven comma seven three zero six) hectares, first registered by Crown Grant Number G11657/1930 and previously held by Deed of Transfer Number: T1752/1962.</w:t>
      </w:r>
    </w:p>
    <w:p w:rsidR="00642C94" w:rsidRDefault="00642C94" w:rsidP="00642C94">
      <w:pPr>
        <w:spacing w:line="360" w:lineRule="auto"/>
        <w:ind w:left="720" w:hanging="720"/>
        <w:jc w:val="both"/>
        <w:rPr>
          <w:rFonts w:ascii="Arial" w:hAnsi="Arial" w:cs="Arial"/>
        </w:rPr>
      </w:pPr>
      <w:r>
        <w:rPr>
          <w:rFonts w:ascii="Arial" w:hAnsi="Arial" w:cs="Arial"/>
        </w:rPr>
        <w:t>4.</w:t>
      </w:r>
      <w:r>
        <w:rPr>
          <w:rFonts w:ascii="Arial" w:hAnsi="Arial" w:cs="Arial"/>
        </w:rPr>
        <w:tab/>
        <w:t>The first respondent be ordered to take all steps necessary, within 1 (one) month of service of this order upon it, to effect transfer of the farms to the erstwhile owners, or their successors in title.</w:t>
      </w:r>
    </w:p>
    <w:p w:rsidR="00642C94" w:rsidRDefault="00642C94" w:rsidP="00642C94">
      <w:pPr>
        <w:spacing w:line="360" w:lineRule="auto"/>
        <w:ind w:left="720" w:hanging="720"/>
        <w:jc w:val="both"/>
        <w:rPr>
          <w:rFonts w:ascii="Arial" w:hAnsi="Arial" w:cs="Arial"/>
        </w:rPr>
      </w:pPr>
      <w:r>
        <w:rPr>
          <w:rFonts w:ascii="Arial" w:hAnsi="Arial" w:cs="Arial"/>
        </w:rPr>
        <w:t>5.</w:t>
      </w:r>
      <w:r>
        <w:rPr>
          <w:rFonts w:ascii="Arial" w:hAnsi="Arial" w:cs="Arial"/>
        </w:rPr>
        <w:tab/>
        <w:t xml:space="preserve">In the event of the first respondent failing, refusing, or neglecting to comply with prayer 4: </w:t>
      </w:r>
    </w:p>
    <w:p w:rsidR="00642C94" w:rsidRDefault="004560D6" w:rsidP="00642C94">
      <w:pPr>
        <w:spacing w:line="360" w:lineRule="auto"/>
        <w:ind w:left="1440" w:hanging="720"/>
        <w:jc w:val="both"/>
        <w:rPr>
          <w:rFonts w:ascii="Arial" w:hAnsi="Arial" w:cs="Arial"/>
        </w:rPr>
      </w:pPr>
      <w:r>
        <w:rPr>
          <w:rFonts w:ascii="Arial" w:hAnsi="Arial" w:cs="Arial"/>
        </w:rPr>
        <w:t xml:space="preserve">5.1 </w:t>
      </w:r>
      <w:r>
        <w:rPr>
          <w:rFonts w:ascii="Arial" w:hAnsi="Arial" w:cs="Arial"/>
        </w:rPr>
        <w:tab/>
        <w:t xml:space="preserve">that the applicant(s) </w:t>
      </w:r>
      <w:r w:rsidR="00642C94">
        <w:rPr>
          <w:rFonts w:ascii="Arial" w:hAnsi="Arial" w:cs="Arial"/>
        </w:rPr>
        <w:t>be authorised to instruct a conveyancer to prepare the necessary documents to effect transfer of the farms to the erstwhile owners, or their successors in title;</w:t>
      </w:r>
    </w:p>
    <w:p w:rsidR="00642C94" w:rsidRDefault="00642C94" w:rsidP="00642C94">
      <w:pPr>
        <w:spacing w:line="360" w:lineRule="auto"/>
        <w:ind w:left="1440" w:hanging="720"/>
        <w:jc w:val="both"/>
        <w:rPr>
          <w:rFonts w:ascii="Arial" w:hAnsi="Arial" w:cs="Arial"/>
        </w:rPr>
      </w:pPr>
      <w:r>
        <w:rPr>
          <w:rFonts w:ascii="Arial" w:hAnsi="Arial" w:cs="Arial"/>
        </w:rPr>
        <w:t xml:space="preserve">5.2 </w:t>
      </w:r>
      <w:r>
        <w:rPr>
          <w:rFonts w:ascii="Arial" w:hAnsi="Arial" w:cs="Arial"/>
        </w:rPr>
        <w:tab/>
        <w:t>that the first respondent be ordered to sign the documents referred to in prayer 5.1, within five (5) days of demand; and</w:t>
      </w:r>
    </w:p>
    <w:p w:rsidR="00642C94" w:rsidRDefault="00642C94" w:rsidP="00642C94">
      <w:pPr>
        <w:spacing w:line="360" w:lineRule="auto"/>
        <w:ind w:left="1440" w:hanging="720"/>
        <w:jc w:val="both"/>
        <w:rPr>
          <w:rFonts w:ascii="Arial" w:hAnsi="Arial" w:cs="Arial"/>
        </w:rPr>
      </w:pPr>
      <w:r>
        <w:rPr>
          <w:rFonts w:ascii="Arial" w:hAnsi="Arial" w:cs="Arial"/>
        </w:rPr>
        <w:t>5.3</w:t>
      </w:r>
      <w:r>
        <w:rPr>
          <w:rFonts w:ascii="Arial" w:hAnsi="Arial" w:cs="Arial"/>
        </w:rPr>
        <w:tab/>
        <w:t>that the Sheriff be authorised to take all steps contemplated in prayer 5.2, in and on the first respondent’s stead and behalf, should the first respondent fail to do so.</w:t>
      </w:r>
    </w:p>
    <w:p w:rsidR="00642C94" w:rsidRDefault="00642C94" w:rsidP="00642C94">
      <w:pPr>
        <w:spacing w:line="360" w:lineRule="auto"/>
        <w:ind w:left="720" w:hanging="720"/>
        <w:jc w:val="both"/>
        <w:rPr>
          <w:rFonts w:ascii="Arial" w:hAnsi="Arial" w:cs="Arial"/>
        </w:rPr>
      </w:pPr>
      <w:r>
        <w:rPr>
          <w:rFonts w:ascii="Arial" w:hAnsi="Arial" w:cs="Arial"/>
        </w:rPr>
        <w:t>6.</w:t>
      </w:r>
      <w:r>
        <w:rPr>
          <w:rFonts w:ascii="Arial" w:hAnsi="Arial" w:cs="Arial"/>
        </w:rPr>
        <w:tab/>
        <w:t>The cost of the application, and the cost associated with giving effect to the relief prayed for in the preceding paragraphs, be paid by the first respondent, jointly and severally with its attorneys, Messrs. Kruger Attorneys and Conveyancers of 32 Mouton Street, Horizon, Roodepoort, the one paying, the other to be absolved, on the scale as between attorney and client.</w:t>
      </w:r>
    </w:p>
    <w:p w:rsidR="008E2515" w:rsidRDefault="008E2515" w:rsidP="00642C94">
      <w:pPr>
        <w:spacing w:line="360" w:lineRule="auto"/>
        <w:ind w:left="720" w:hanging="720"/>
        <w:jc w:val="both"/>
        <w:rPr>
          <w:rFonts w:ascii="Arial" w:hAnsi="Arial" w:cs="Arial"/>
        </w:rPr>
      </w:pPr>
    </w:p>
    <w:p w:rsidR="00642C94" w:rsidRDefault="00642C94" w:rsidP="00642C94">
      <w:pPr>
        <w:spacing w:line="360" w:lineRule="auto"/>
        <w:ind w:left="720" w:hanging="720"/>
        <w:jc w:val="both"/>
        <w:rPr>
          <w:rFonts w:ascii="Arial" w:hAnsi="Arial" w:cs="Arial"/>
        </w:rPr>
      </w:pPr>
      <w:r>
        <w:rPr>
          <w:rFonts w:ascii="Arial" w:hAnsi="Arial" w:cs="Arial"/>
        </w:rPr>
        <w:lastRenderedPageBreak/>
        <w:t xml:space="preserve">7. </w:t>
      </w:r>
      <w:r>
        <w:rPr>
          <w:rFonts w:ascii="Arial" w:hAnsi="Arial" w:cs="Arial"/>
        </w:rPr>
        <w:tab/>
        <w:t>The Registrar of this Court forward a copy of this judgment to the Legal Practice Council to investigate the conduct of the attorneys referred to in paragraph 6.</w:t>
      </w:r>
    </w:p>
    <w:p w:rsidR="00A25FE4" w:rsidRDefault="00A25FE4" w:rsidP="00B32813">
      <w:pPr>
        <w:spacing w:line="360" w:lineRule="auto"/>
        <w:jc w:val="both"/>
        <w:rPr>
          <w:rFonts w:ascii="Arial" w:hAnsi="Arial" w:cs="Arial"/>
        </w:rPr>
      </w:pPr>
    </w:p>
    <w:p w:rsidR="00A25FE4" w:rsidRDefault="00A25FE4" w:rsidP="00A25FE4">
      <w:pPr>
        <w:spacing w:line="360" w:lineRule="auto"/>
        <w:ind w:left="720" w:hanging="720"/>
        <w:jc w:val="both"/>
        <w:rPr>
          <w:rFonts w:ascii="Arial" w:hAnsi="Arial" w:cs="Arial"/>
        </w:rPr>
      </w:pPr>
    </w:p>
    <w:p w:rsidR="00A25FE4" w:rsidRPr="00A25FE4" w:rsidRDefault="00A25FE4" w:rsidP="00986839">
      <w:pPr>
        <w:spacing w:line="360" w:lineRule="auto"/>
        <w:ind w:left="720" w:hanging="720"/>
        <w:jc w:val="right"/>
        <w:rPr>
          <w:rFonts w:ascii="Arial" w:hAnsi="Arial" w:cs="Arial"/>
          <w:b/>
        </w:rPr>
      </w:pPr>
      <w:r w:rsidRPr="00A25FE4">
        <w:rPr>
          <w:rFonts w:ascii="Arial" w:hAnsi="Arial" w:cs="Arial"/>
          <w:b/>
        </w:rPr>
        <w:tab/>
        <w:t>__________</w:t>
      </w:r>
      <w:r w:rsidR="00986839">
        <w:rPr>
          <w:rFonts w:ascii="Arial" w:hAnsi="Arial" w:cs="Arial"/>
          <w:b/>
        </w:rPr>
        <w:t>___</w:t>
      </w:r>
    </w:p>
    <w:p w:rsidR="00A25FE4" w:rsidRDefault="00A25FE4" w:rsidP="00A25FE4">
      <w:pPr>
        <w:spacing w:line="360" w:lineRule="auto"/>
        <w:ind w:left="720" w:hanging="720"/>
        <w:jc w:val="right"/>
        <w:rPr>
          <w:rFonts w:ascii="Arial" w:hAnsi="Arial" w:cs="Arial"/>
          <w:b/>
        </w:rPr>
      </w:pP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r>
      <w:r w:rsidRPr="00A25FE4">
        <w:rPr>
          <w:rFonts w:ascii="Arial" w:hAnsi="Arial" w:cs="Arial"/>
          <w:b/>
        </w:rPr>
        <w:tab/>
        <w:t>ZP Nkosi J</w:t>
      </w:r>
    </w:p>
    <w:p w:rsidR="005A497D" w:rsidRDefault="005A497D" w:rsidP="00A25FE4">
      <w:pPr>
        <w:spacing w:line="360" w:lineRule="auto"/>
        <w:ind w:left="720" w:hanging="720"/>
        <w:jc w:val="right"/>
        <w:rPr>
          <w:rFonts w:ascii="Arial" w:hAnsi="Arial" w:cs="Arial"/>
          <w:b/>
        </w:rPr>
      </w:pPr>
    </w:p>
    <w:p w:rsidR="005A497D" w:rsidRDefault="005A497D" w:rsidP="00A25FE4">
      <w:pPr>
        <w:spacing w:line="360" w:lineRule="auto"/>
        <w:ind w:left="720" w:hanging="720"/>
        <w:jc w:val="right"/>
        <w:rPr>
          <w:rFonts w:ascii="Arial" w:hAnsi="Arial" w:cs="Arial"/>
          <w:b/>
        </w:rPr>
      </w:pPr>
    </w:p>
    <w:p w:rsidR="005A497D" w:rsidRDefault="005A497D" w:rsidP="00A25FE4">
      <w:pPr>
        <w:spacing w:line="360" w:lineRule="auto"/>
        <w:ind w:left="720" w:hanging="720"/>
        <w:jc w:val="right"/>
        <w:rPr>
          <w:rFonts w:ascii="Arial" w:hAnsi="Arial" w:cs="Arial"/>
          <w:b/>
        </w:rPr>
      </w:pPr>
    </w:p>
    <w:p w:rsidR="005A497D" w:rsidRDefault="005A497D" w:rsidP="003A1020">
      <w:pPr>
        <w:spacing w:line="360" w:lineRule="auto"/>
        <w:rPr>
          <w:rFonts w:ascii="Arial" w:hAnsi="Arial" w:cs="Arial"/>
          <w:b/>
        </w:rPr>
      </w:pPr>
    </w:p>
    <w:p w:rsidR="005A497D" w:rsidRDefault="005A497D" w:rsidP="00A25FE4">
      <w:pPr>
        <w:spacing w:line="360" w:lineRule="auto"/>
        <w:ind w:left="720" w:hanging="720"/>
        <w:jc w:val="right"/>
        <w:rPr>
          <w:rFonts w:ascii="Arial" w:hAnsi="Arial" w:cs="Arial"/>
          <w:b/>
        </w:rPr>
      </w:pPr>
    </w:p>
    <w:p w:rsidR="005A497D" w:rsidRDefault="005A497D" w:rsidP="00A25FE4">
      <w:pPr>
        <w:spacing w:line="360" w:lineRule="auto"/>
        <w:ind w:left="720" w:hanging="720"/>
        <w:jc w:val="right"/>
        <w:rPr>
          <w:rFonts w:ascii="Arial" w:hAnsi="Arial" w:cs="Arial"/>
          <w:b/>
        </w:rPr>
      </w:pPr>
    </w:p>
    <w:p w:rsidR="005A497D" w:rsidRDefault="005A497D" w:rsidP="00A25FE4">
      <w:pPr>
        <w:spacing w:line="360" w:lineRule="auto"/>
        <w:ind w:left="720" w:hanging="720"/>
        <w:jc w:val="right"/>
        <w:rPr>
          <w:rFonts w:ascii="Arial" w:hAnsi="Arial" w:cs="Arial"/>
          <w:b/>
        </w:rPr>
      </w:pPr>
    </w:p>
    <w:p w:rsidR="00790C5D" w:rsidRPr="00B559C7" w:rsidRDefault="00790C5D" w:rsidP="00A25FE4">
      <w:pPr>
        <w:spacing w:line="360" w:lineRule="auto"/>
        <w:rPr>
          <w:rFonts w:ascii="Arial" w:hAnsi="Arial" w:cs="Arial"/>
          <w:b/>
          <w:sz w:val="20"/>
          <w:szCs w:val="20"/>
        </w:rPr>
      </w:pPr>
    </w:p>
    <w:p w:rsidR="00117446" w:rsidRPr="00B559C7" w:rsidRDefault="005A497D" w:rsidP="005A497D">
      <w:pPr>
        <w:spacing w:line="360" w:lineRule="auto"/>
        <w:ind w:left="2160" w:firstLine="720"/>
        <w:rPr>
          <w:rFonts w:ascii="Arial" w:hAnsi="Arial" w:cs="Arial"/>
          <w:b/>
          <w:sz w:val="20"/>
          <w:szCs w:val="20"/>
          <w:u w:val="single"/>
        </w:rPr>
      </w:pPr>
      <w:r w:rsidRPr="00B559C7">
        <w:rPr>
          <w:rFonts w:ascii="Arial" w:hAnsi="Arial" w:cs="Arial"/>
          <w:b/>
          <w:sz w:val="20"/>
          <w:szCs w:val="20"/>
          <w:u w:val="single"/>
        </w:rPr>
        <w:t>CASE INFORMATION</w:t>
      </w:r>
    </w:p>
    <w:p w:rsidR="005A497D" w:rsidRPr="00B559C7" w:rsidRDefault="005A497D" w:rsidP="005A497D">
      <w:pPr>
        <w:spacing w:line="360" w:lineRule="auto"/>
        <w:rPr>
          <w:rFonts w:ascii="Arial" w:hAnsi="Arial" w:cs="Arial"/>
          <w:b/>
          <w:sz w:val="20"/>
          <w:szCs w:val="20"/>
          <w:u w:val="single"/>
        </w:rPr>
      </w:pPr>
    </w:p>
    <w:p w:rsidR="005A497D" w:rsidRPr="00B559C7" w:rsidRDefault="005A497D" w:rsidP="005A497D">
      <w:pPr>
        <w:spacing w:line="360" w:lineRule="auto"/>
        <w:rPr>
          <w:rFonts w:ascii="Arial" w:hAnsi="Arial" w:cs="Arial"/>
          <w:b/>
          <w:sz w:val="20"/>
          <w:szCs w:val="20"/>
        </w:rPr>
      </w:pPr>
    </w:p>
    <w:p w:rsidR="005A497D" w:rsidRPr="00B559C7" w:rsidRDefault="005A497D" w:rsidP="005A497D">
      <w:pPr>
        <w:spacing w:line="360" w:lineRule="auto"/>
        <w:rPr>
          <w:rFonts w:ascii="Arial" w:hAnsi="Arial" w:cs="Arial"/>
          <w:b/>
          <w:sz w:val="22"/>
          <w:szCs w:val="22"/>
        </w:rPr>
      </w:pPr>
    </w:p>
    <w:p w:rsidR="005A497D" w:rsidRPr="00B559C7" w:rsidRDefault="005A497D" w:rsidP="005A497D">
      <w:pPr>
        <w:spacing w:line="360" w:lineRule="auto"/>
        <w:rPr>
          <w:rFonts w:ascii="Arial" w:hAnsi="Arial" w:cs="Arial"/>
          <w:b/>
          <w:sz w:val="22"/>
          <w:szCs w:val="22"/>
        </w:rPr>
      </w:pPr>
      <w:r w:rsidRPr="00B559C7">
        <w:rPr>
          <w:rFonts w:ascii="Arial" w:hAnsi="Arial" w:cs="Arial"/>
          <w:b/>
          <w:sz w:val="22"/>
          <w:szCs w:val="22"/>
        </w:rPr>
        <w:t>DATE OF HEARING</w:t>
      </w:r>
      <w:r w:rsidRPr="00B559C7">
        <w:rPr>
          <w:rFonts w:ascii="Arial" w:hAnsi="Arial" w:cs="Arial"/>
          <w:b/>
          <w:sz w:val="22"/>
          <w:szCs w:val="22"/>
        </w:rPr>
        <w:tab/>
      </w:r>
      <w:r w:rsidRPr="00B559C7">
        <w:rPr>
          <w:rFonts w:ascii="Arial" w:hAnsi="Arial" w:cs="Arial"/>
          <w:b/>
          <w:sz w:val="22"/>
          <w:szCs w:val="22"/>
        </w:rPr>
        <w:tab/>
      </w:r>
      <w:r w:rsidR="00B559C7">
        <w:rPr>
          <w:rFonts w:ascii="Arial" w:hAnsi="Arial" w:cs="Arial"/>
          <w:b/>
          <w:sz w:val="22"/>
          <w:szCs w:val="22"/>
        </w:rPr>
        <w:tab/>
      </w:r>
      <w:r w:rsidRPr="00B559C7">
        <w:rPr>
          <w:rFonts w:ascii="Arial" w:hAnsi="Arial" w:cs="Arial"/>
          <w:b/>
          <w:sz w:val="22"/>
          <w:szCs w:val="22"/>
        </w:rPr>
        <w:tab/>
        <w:t>:</w:t>
      </w:r>
      <w:r w:rsidR="0082424C" w:rsidRPr="00B559C7">
        <w:rPr>
          <w:rFonts w:ascii="Arial" w:hAnsi="Arial" w:cs="Arial"/>
          <w:b/>
          <w:sz w:val="22"/>
          <w:szCs w:val="22"/>
        </w:rPr>
        <w:tab/>
      </w:r>
      <w:r w:rsidR="0082424C" w:rsidRPr="00B559C7">
        <w:rPr>
          <w:rFonts w:ascii="Arial" w:hAnsi="Arial" w:cs="Arial"/>
          <w:b/>
          <w:sz w:val="22"/>
          <w:szCs w:val="22"/>
        </w:rPr>
        <w:tab/>
        <w:t>28 OCTOBER 2022</w:t>
      </w:r>
    </w:p>
    <w:p w:rsidR="0076227D" w:rsidRPr="00B559C7" w:rsidRDefault="0076227D" w:rsidP="005A497D">
      <w:pPr>
        <w:spacing w:line="360" w:lineRule="auto"/>
        <w:rPr>
          <w:rFonts w:ascii="Arial" w:hAnsi="Arial" w:cs="Arial"/>
          <w:b/>
          <w:sz w:val="22"/>
          <w:szCs w:val="22"/>
        </w:rPr>
      </w:pPr>
    </w:p>
    <w:p w:rsidR="005A497D" w:rsidRPr="00B559C7" w:rsidRDefault="005A497D" w:rsidP="005A497D">
      <w:pPr>
        <w:spacing w:line="360" w:lineRule="auto"/>
        <w:rPr>
          <w:rFonts w:ascii="Arial" w:hAnsi="Arial" w:cs="Arial"/>
          <w:b/>
          <w:sz w:val="22"/>
          <w:szCs w:val="22"/>
        </w:rPr>
      </w:pPr>
    </w:p>
    <w:p w:rsidR="005A497D" w:rsidRPr="00B559C7" w:rsidRDefault="005A497D" w:rsidP="005A497D">
      <w:pPr>
        <w:spacing w:line="360" w:lineRule="auto"/>
        <w:rPr>
          <w:rFonts w:ascii="Arial" w:hAnsi="Arial" w:cs="Arial"/>
          <w:b/>
          <w:sz w:val="22"/>
          <w:szCs w:val="22"/>
        </w:rPr>
      </w:pPr>
      <w:r w:rsidRPr="00B559C7">
        <w:rPr>
          <w:rFonts w:ascii="Arial" w:hAnsi="Arial" w:cs="Arial"/>
          <w:b/>
          <w:sz w:val="22"/>
          <w:szCs w:val="22"/>
        </w:rPr>
        <w:t>DATE JUDGMENT HANDED DOWN</w:t>
      </w:r>
      <w:r w:rsidRPr="00B559C7">
        <w:rPr>
          <w:rFonts w:ascii="Arial" w:hAnsi="Arial" w:cs="Arial"/>
          <w:b/>
          <w:sz w:val="22"/>
          <w:szCs w:val="22"/>
        </w:rPr>
        <w:tab/>
        <w:t>:</w:t>
      </w:r>
      <w:r w:rsidR="0082424C" w:rsidRPr="00B559C7">
        <w:rPr>
          <w:rFonts w:ascii="Arial" w:hAnsi="Arial" w:cs="Arial"/>
          <w:b/>
          <w:sz w:val="22"/>
          <w:szCs w:val="22"/>
        </w:rPr>
        <w:tab/>
      </w:r>
      <w:r w:rsidR="0082424C" w:rsidRPr="00B559C7">
        <w:rPr>
          <w:rFonts w:ascii="Arial" w:hAnsi="Arial" w:cs="Arial"/>
          <w:b/>
          <w:sz w:val="22"/>
          <w:szCs w:val="22"/>
        </w:rPr>
        <w:tab/>
        <w:t>22 MAY 2023</w:t>
      </w:r>
    </w:p>
    <w:p w:rsidR="005A497D" w:rsidRPr="00B559C7" w:rsidRDefault="005A497D" w:rsidP="005A497D">
      <w:pPr>
        <w:spacing w:line="360" w:lineRule="auto"/>
        <w:rPr>
          <w:rFonts w:ascii="Arial" w:hAnsi="Arial" w:cs="Arial"/>
          <w:b/>
          <w:sz w:val="22"/>
          <w:szCs w:val="22"/>
        </w:rPr>
      </w:pPr>
    </w:p>
    <w:p w:rsidR="005A497D" w:rsidRPr="00B559C7" w:rsidRDefault="005A497D" w:rsidP="005A497D">
      <w:pPr>
        <w:spacing w:line="360" w:lineRule="auto"/>
        <w:rPr>
          <w:rFonts w:ascii="Arial" w:hAnsi="Arial" w:cs="Arial"/>
          <w:b/>
          <w:sz w:val="22"/>
          <w:szCs w:val="22"/>
        </w:rPr>
      </w:pPr>
      <w:r w:rsidRPr="00B559C7">
        <w:rPr>
          <w:rFonts w:ascii="Arial" w:hAnsi="Arial" w:cs="Arial"/>
          <w:b/>
          <w:sz w:val="22"/>
          <w:szCs w:val="22"/>
        </w:rPr>
        <w:t>COUNSEL FOR THE 1</w:t>
      </w:r>
      <w:r w:rsidRPr="00B559C7">
        <w:rPr>
          <w:rFonts w:ascii="Arial" w:hAnsi="Arial" w:cs="Arial"/>
          <w:b/>
          <w:sz w:val="22"/>
          <w:szCs w:val="22"/>
          <w:vertAlign w:val="superscript"/>
        </w:rPr>
        <w:t>ST</w:t>
      </w:r>
      <w:r w:rsidRPr="00B559C7">
        <w:rPr>
          <w:rFonts w:ascii="Arial" w:hAnsi="Arial" w:cs="Arial"/>
          <w:b/>
          <w:sz w:val="22"/>
          <w:szCs w:val="22"/>
        </w:rPr>
        <w:t xml:space="preserve"> AND 2</w:t>
      </w:r>
      <w:r w:rsidRPr="00B559C7">
        <w:rPr>
          <w:rFonts w:ascii="Arial" w:hAnsi="Arial" w:cs="Arial"/>
          <w:b/>
          <w:sz w:val="22"/>
          <w:szCs w:val="22"/>
          <w:vertAlign w:val="superscript"/>
        </w:rPr>
        <w:t>ND</w:t>
      </w:r>
      <w:r w:rsidRPr="00B559C7">
        <w:rPr>
          <w:rFonts w:ascii="Arial" w:hAnsi="Arial" w:cs="Arial"/>
          <w:b/>
          <w:sz w:val="22"/>
          <w:szCs w:val="22"/>
        </w:rPr>
        <w:t xml:space="preserve"> </w:t>
      </w:r>
      <w:r w:rsidR="0082424C" w:rsidRPr="00B559C7">
        <w:rPr>
          <w:rFonts w:ascii="Arial" w:hAnsi="Arial" w:cs="Arial"/>
          <w:b/>
          <w:sz w:val="22"/>
          <w:szCs w:val="22"/>
        </w:rPr>
        <w:tab/>
      </w:r>
      <w:r w:rsidR="0082424C" w:rsidRPr="00B559C7">
        <w:rPr>
          <w:rFonts w:ascii="Arial" w:hAnsi="Arial" w:cs="Arial"/>
          <w:b/>
          <w:sz w:val="22"/>
          <w:szCs w:val="22"/>
        </w:rPr>
        <w:tab/>
      </w:r>
      <w:r w:rsidR="00B559C7">
        <w:rPr>
          <w:rFonts w:ascii="Arial" w:hAnsi="Arial" w:cs="Arial"/>
          <w:b/>
          <w:sz w:val="22"/>
          <w:szCs w:val="22"/>
        </w:rPr>
        <w:t>:</w:t>
      </w:r>
      <w:r w:rsidR="0082424C" w:rsidRPr="00B559C7">
        <w:rPr>
          <w:rFonts w:ascii="Arial" w:hAnsi="Arial" w:cs="Arial"/>
          <w:b/>
          <w:sz w:val="22"/>
          <w:szCs w:val="22"/>
        </w:rPr>
        <w:tab/>
      </w:r>
      <w:r w:rsidR="001F1596">
        <w:rPr>
          <w:rFonts w:ascii="Arial" w:hAnsi="Arial" w:cs="Arial"/>
          <w:b/>
          <w:sz w:val="22"/>
          <w:szCs w:val="22"/>
        </w:rPr>
        <w:tab/>
      </w:r>
      <w:r w:rsidR="00FA1E11" w:rsidRPr="00B559C7">
        <w:rPr>
          <w:rFonts w:ascii="Arial" w:hAnsi="Arial" w:cs="Arial"/>
          <w:b/>
          <w:sz w:val="22"/>
          <w:szCs w:val="22"/>
        </w:rPr>
        <w:t>ADV. ADRIAAN VORSTER</w:t>
      </w:r>
    </w:p>
    <w:p w:rsidR="005A497D" w:rsidRPr="00B559C7" w:rsidRDefault="005A497D" w:rsidP="005A497D">
      <w:pPr>
        <w:spacing w:line="360" w:lineRule="auto"/>
        <w:rPr>
          <w:rFonts w:ascii="Arial" w:hAnsi="Arial" w:cs="Arial"/>
          <w:b/>
          <w:sz w:val="22"/>
          <w:szCs w:val="22"/>
        </w:rPr>
      </w:pPr>
      <w:r w:rsidRPr="00B559C7">
        <w:rPr>
          <w:rFonts w:ascii="Arial" w:hAnsi="Arial" w:cs="Arial"/>
          <w:b/>
          <w:sz w:val="22"/>
          <w:szCs w:val="22"/>
        </w:rPr>
        <w:t>APPLICANTS</w:t>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p>
    <w:p w:rsidR="005A497D" w:rsidRPr="00B559C7" w:rsidRDefault="005A497D" w:rsidP="005A497D">
      <w:pPr>
        <w:spacing w:line="360" w:lineRule="auto"/>
        <w:rPr>
          <w:rFonts w:ascii="Arial" w:hAnsi="Arial" w:cs="Arial"/>
          <w:b/>
          <w:sz w:val="22"/>
          <w:szCs w:val="22"/>
        </w:rPr>
      </w:pPr>
    </w:p>
    <w:p w:rsidR="00FA1E11" w:rsidRPr="00B559C7" w:rsidRDefault="005A497D" w:rsidP="005A497D">
      <w:pPr>
        <w:spacing w:line="360" w:lineRule="auto"/>
        <w:rPr>
          <w:rFonts w:ascii="Arial" w:hAnsi="Arial" w:cs="Arial"/>
          <w:b/>
          <w:sz w:val="22"/>
          <w:szCs w:val="22"/>
        </w:rPr>
      </w:pPr>
      <w:r w:rsidRPr="00B559C7">
        <w:rPr>
          <w:rFonts w:ascii="Arial" w:hAnsi="Arial" w:cs="Arial"/>
          <w:b/>
          <w:sz w:val="22"/>
          <w:szCs w:val="22"/>
        </w:rPr>
        <w:t>INSTRUCTED BY</w:t>
      </w:r>
      <w:r w:rsidRPr="00B559C7">
        <w:rPr>
          <w:rFonts w:ascii="Arial" w:hAnsi="Arial" w:cs="Arial"/>
          <w:b/>
          <w:sz w:val="22"/>
          <w:szCs w:val="22"/>
        </w:rPr>
        <w:tab/>
      </w:r>
      <w:r w:rsidRPr="00B559C7">
        <w:rPr>
          <w:rFonts w:ascii="Arial" w:hAnsi="Arial" w:cs="Arial"/>
          <w:b/>
          <w:sz w:val="22"/>
          <w:szCs w:val="22"/>
        </w:rPr>
        <w:tab/>
      </w:r>
      <w:r w:rsidRPr="00B559C7">
        <w:rPr>
          <w:rFonts w:ascii="Arial" w:hAnsi="Arial" w:cs="Arial"/>
          <w:b/>
          <w:sz w:val="22"/>
          <w:szCs w:val="22"/>
        </w:rPr>
        <w:tab/>
      </w:r>
      <w:r w:rsidRPr="00B559C7">
        <w:rPr>
          <w:rFonts w:ascii="Arial" w:hAnsi="Arial" w:cs="Arial"/>
          <w:b/>
          <w:sz w:val="22"/>
          <w:szCs w:val="22"/>
        </w:rPr>
        <w:tab/>
      </w:r>
      <w:r w:rsidR="00FA1E11" w:rsidRPr="00B559C7">
        <w:rPr>
          <w:rFonts w:ascii="Arial" w:hAnsi="Arial" w:cs="Arial"/>
          <w:b/>
          <w:sz w:val="22"/>
          <w:szCs w:val="22"/>
        </w:rPr>
        <w:tab/>
      </w:r>
      <w:r w:rsidR="00FA1E11" w:rsidRPr="00B559C7">
        <w:rPr>
          <w:rFonts w:ascii="Arial" w:hAnsi="Arial" w:cs="Arial"/>
          <w:b/>
          <w:sz w:val="22"/>
          <w:szCs w:val="22"/>
        </w:rPr>
        <w:tab/>
      </w:r>
    </w:p>
    <w:p w:rsidR="005A497D" w:rsidRPr="00B559C7" w:rsidRDefault="003C2860" w:rsidP="005A497D">
      <w:pPr>
        <w:spacing w:line="360" w:lineRule="auto"/>
        <w:rPr>
          <w:rFonts w:ascii="Arial" w:hAnsi="Arial" w:cs="Arial"/>
          <w:b/>
          <w:sz w:val="22"/>
          <w:szCs w:val="22"/>
        </w:rPr>
      </w:pPr>
      <w:r w:rsidRPr="00B559C7">
        <w:rPr>
          <w:rFonts w:ascii="Arial" w:hAnsi="Arial" w:cs="Arial"/>
          <w:b/>
          <w:sz w:val="22"/>
          <w:szCs w:val="22"/>
        </w:rPr>
        <w:t>(</w:t>
      </w:r>
      <w:r w:rsidR="00FA1E11" w:rsidRPr="00B559C7">
        <w:rPr>
          <w:rFonts w:ascii="Arial" w:hAnsi="Arial" w:cs="Arial"/>
          <w:b/>
          <w:sz w:val="22"/>
          <w:szCs w:val="22"/>
        </w:rPr>
        <w:t xml:space="preserve">BOSHOFF INCORPORATED </w:t>
      </w:r>
    </w:p>
    <w:p w:rsidR="00FA1E11" w:rsidRPr="00B559C7" w:rsidRDefault="00FA1E11" w:rsidP="005A497D">
      <w:pPr>
        <w:spacing w:line="360" w:lineRule="auto"/>
        <w:rPr>
          <w:rFonts w:ascii="Arial" w:hAnsi="Arial" w:cs="Arial"/>
          <w:b/>
          <w:sz w:val="22"/>
          <w:szCs w:val="22"/>
        </w:rPr>
      </w:pPr>
      <w:r w:rsidRPr="00B559C7">
        <w:rPr>
          <w:rFonts w:ascii="Arial" w:hAnsi="Arial" w:cs="Arial"/>
          <w:b/>
          <w:sz w:val="22"/>
          <w:szCs w:val="22"/>
        </w:rPr>
        <w:t>Tel: 012 424 7500</w:t>
      </w:r>
    </w:p>
    <w:p w:rsidR="00FA1E11" w:rsidRPr="00B559C7" w:rsidRDefault="00FA1E11" w:rsidP="005A497D">
      <w:pPr>
        <w:spacing w:line="360" w:lineRule="auto"/>
        <w:rPr>
          <w:rFonts w:ascii="Arial" w:hAnsi="Arial" w:cs="Arial"/>
          <w:b/>
          <w:sz w:val="22"/>
          <w:szCs w:val="22"/>
        </w:rPr>
      </w:pPr>
      <w:r w:rsidRPr="00B559C7">
        <w:rPr>
          <w:rFonts w:ascii="Arial" w:hAnsi="Arial" w:cs="Arial"/>
          <w:b/>
          <w:sz w:val="22"/>
          <w:szCs w:val="22"/>
        </w:rPr>
        <w:t>Ref: N Nor</w:t>
      </w:r>
      <w:r w:rsidR="003C2860" w:rsidRPr="00B559C7">
        <w:rPr>
          <w:rFonts w:ascii="Arial" w:hAnsi="Arial" w:cs="Arial"/>
          <w:b/>
          <w:sz w:val="22"/>
          <w:szCs w:val="22"/>
        </w:rPr>
        <w:t>tje/mm2843</w:t>
      </w:r>
    </w:p>
    <w:p w:rsidR="003C2860" w:rsidRPr="00B559C7" w:rsidRDefault="003C2860" w:rsidP="005A497D">
      <w:pPr>
        <w:spacing w:line="360" w:lineRule="auto"/>
        <w:rPr>
          <w:rFonts w:ascii="Arial" w:hAnsi="Arial" w:cs="Arial"/>
          <w:b/>
          <w:sz w:val="22"/>
          <w:szCs w:val="22"/>
        </w:rPr>
      </w:pPr>
      <w:r w:rsidRPr="00B559C7">
        <w:rPr>
          <w:rFonts w:ascii="Arial" w:hAnsi="Arial" w:cs="Arial"/>
          <w:b/>
          <w:sz w:val="22"/>
          <w:szCs w:val="22"/>
        </w:rPr>
        <w:t xml:space="preserve">Email: </w:t>
      </w:r>
      <w:hyperlink r:id="rId10" w:history="1">
        <w:r w:rsidRPr="00B559C7">
          <w:rPr>
            <w:rStyle w:val="Hyperlink"/>
            <w:rFonts w:ascii="Arial" w:hAnsi="Arial" w:cs="Arial"/>
            <w:b/>
            <w:sz w:val="22"/>
            <w:szCs w:val="22"/>
          </w:rPr>
          <w:t>nnortje@boshoffinc.coza</w:t>
        </w:r>
      </w:hyperlink>
    </w:p>
    <w:p w:rsidR="003C2860" w:rsidRPr="00B559C7" w:rsidRDefault="003C2860" w:rsidP="005A497D">
      <w:pPr>
        <w:spacing w:line="360" w:lineRule="auto"/>
        <w:rPr>
          <w:rFonts w:ascii="Arial" w:hAnsi="Arial" w:cs="Arial"/>
          <w:b/>
          <w:sz w:val="22"/>
          <w:szCs w:val="22"/>
        </w:rPr>
      </w:pPr>
      <w:r w:rsidRPr="00B559C7">
        <w:rPr>
          <w:rFonts w:ascii="Arial" w:hAnsi="Arial" w:cs="Arial"/>
          <w:b/>
          <w:sz w:val="22"/>
          <w:szCs w:val="22"/>
        </w:rPr>
        <w:t>c/o Shepstone &amp; Wyle Attorneys)</w:t>
      </w:r>
    </w:p>
    <w:p w:rsidR="005A497D" w:rsidRPr="00B559C7" w:rsidRDefault="003C2860" w:rsidP="005A497D">
      <w:pPr>
        <w:spacing w:line="360" w:lineRule="auto"/>
        <w:rPr>
          <w:rFonts w:ascii="Arial" w:hAnsi="Arial" w:cs="Arial"/>
          <w:b/>
          <w:sz w:val="22"/>
          <w:szCs w:val="22"/>
        </w:rPr>
      </w:pPr>
      <w:r w:rsidRPr="00B559C7">
        <w:rPr>
          <w:rFonts w:ascii="Arial" w:hAnsi="Arial" w:cs="Arial"/>
          <w:b/>
          <w:sz w:val="22"/>
          <w:szCs w:val="22"/>
        </w:rPr>
        <w:t>Tel: 033 355 1780</w:t>
      </w:r>
    </w:p>
    <w:p w:rsidR="003C2860" w:rsidRPr="00B559C7" w:rsidRDefault="003C2860" w:rsidP="005A497D">
      <w:pPr>
        <w:spacing w:line="360" w:lineRule="auto"/>
        <w:rPr>
          <w:rFonts w:ascii="Arial" w:hAnsi="Arial" w:cs="Arial"/>
          <w:b/>
          <w:sz w:val="22"/>
          <w:szCs w:val="22"/>
        </w:rPr>
      </w:pPr>
      <w:r w:rsidRPr="00B559C7">
        <w:rPr>
          <w:rFonts w:ascii="Arial" w:hAnsi="Arial" w:cs="Arial"/>
          <w:b/>
          <w:sz w:val="22"/>
          <w:szCs w:val="22"/>
        </w:rPr>
        <w:lastRenderedPageBreak/>
        <w:t xml:space="preserve">Email: </w:t>
      </w:r>
      <w:hyperlink r:id="rId11" w:history="1">
        <w:r w:rsidRPr="00B559C7">
          <w:rPr>
            <w:rStyle w:val="Hyperlink"/>
            <w:rFonts w:ascii="Arial" w:hAnsi="Arial" w:cs="Arial"/>
            <w:b/>
            <w:sz w:val="22"/>
            <w:szCs w:val="22"/>
          </w:rPr>
          <w:t>jmanuel@wyllie.co.za</w:t>
        </w:r>
      </w:hyperlink>
    </w:p>
    <w:p w:rsidR="005A497D" w:rsidRPr="00B559C7" w:rsidRDefault="003C2860" w:rsidP="005A497D">
      <w:pPr>
        <w:spacing w:line="360" w:lineRule="auto"/>
        <w:rPr>
          <w:rFonts w:ascii="Arial" w:hAnsi="Arial" w:cs="Arial"/>
          <w:b/>
          <w:sz w:val="22"/>
          <w:szCs w:val="22"/>
        </w:rPr>
      </w:pPr>
      <w:r w:rsidRPr="00B559C7">
        <w:rPr>
          <w:rFonts w:ascii="Arial" w:hAnsi="Arial" w:cs="Arial"/>
          <w:b/>
          <w:sz w:val="22"/>
          <w:szCs w:val="22"/>
        </w:rPr>
        <w:t>Ref: JTM/mm/BOSH32336.12</w:t>
      </w:r>
    </w:p>
    <w:p w:rsidR="005A497D" w:rsidRPr="00B559C7" w:rsidRDefault="005A497D" w:rsidP="005A497D">
      <w:pPr>
        <w:spacing w:line="360" w:lineRule="auto"/>
        <w:rPr>
          <w:rFonts w:ascii="Arial" w:hAnsi="Arial" w:cs="Arial"/>
          <w:b/>
          <w:sz w:val="22"/>
          <w:szCs w:val="22"/>
        </w:rPr>
      </w:pPr>
    </w:p>
    <w:p w:rsidR="005A497D" w:rsidRPr="00B559C7" w:rsidRDefault="005A497D" w:rsidP="005A497D">
      <w:pPr>
        <w:spacing w:line="360" w:lineRule="auto"/>
        <w:rPr>
          <w:rFonts w:ascii="Arial" w:hAnsi="Arial" w:cs="Arial"/>
          <w:b/>
          <w:sz w:val="22"/>
          <w:szCs w:val="22"/>
        </w:rPr>
      </w:pPr>
      <w:r w:rsidRPr="00B559C7">
        <w:rPr>
          <w:rFonts w:ascii="Arial" w:hAnsi="Arial" w:cs="Arial"/>
          <w:b/>
          <w:sz w:val="22"/>
          <w:szCs w:val="22"/>
        </w:rPr>
        <w:t>COUNSEL FOR THE 1</w:t>
      </w:r>
      <w:r w:rsidR="003A40DF" w:rsidRPr="00B559C7">
        <w:rPr>
          <w:rFonts w:ascii="Arial" w:hAnsi="Arial" w:cs="Arial"/>
          <w:b/>
          <w:sz w:val="22"/>
          <w:szCs w:val="22"/>
          <w:vertAlign w:val="superscript"/>
        </w:rPr>
        <w:t>ST</w:t>
      </w:r>
      <w:r w:rsidR="003A40DF">
        <w:rPr>
          <w:rFonts w:ascii="Arial" w:hAnsi="Arial" w:cs="Arial"/>
          <w:b/>
          <w:sz w:val="22"/>
          <w:szCs w:val="22"/>
        </w:rPr>
        <w:t xml:space="preserve"> RESPONDENT</w:t>
      </w:r>
      <w:r w:rsidR="001F1596">
        <w:rPr>
          <w:rFonts w:ascii="Arial" w:hAnsi="Arial" w:cs="Arial"/>
          <w:b/>
          <w:sz w:val="22"/>
          <w:szCs w:val="22"/>
        </w:rPr>
        <w:tab/>
        <w:t xml:space="preserve">     :</w:t>
      </w:r>
      <w:r w:rsidR="003A40DF">
        <w:rPr>
          <w:rFonts w:ascii="Arial" w:hAnsi="Arial" w:cs="Arial"/>
          <w:b/>
          <w:sz w:val="22"/>
          <w:szCs w:val="22"/>
        </w:rPr>
        <w:tab/>
      </w:r>
      <w:r w:rsidR="003A40DF">
        <w:rPr>
          <w:rFonts w:ascii="Arial" w:hAnsi="Arial" w:cs="Arial"/>
          <w:b/>
          <w:sz w:val="22"/>
          <w:szCs w:val="22"/>
        </w:rPr>
        <w:tab/>
        <w:t>ADV.  JOHAN PRINSLOO</w:t>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r w:rsidR="005A536A" w:rsidRPr="00B559C7">
        <w:rPr>
          <w:rFonts w:ascii="Arial" w:hAnsi="Arial" w:cs="Arial"/>
          <w:b/>
          <w:sz w:val="22"/>
          <w:szCs w:val="22"/>
        </w:rPr>
        <w:tab/>
      </w:r>
    </w:p>
    <w:p w:rsidR="005A536A" w:rsidRPr="00B559C7" w:rsidRDefault="005A497D" w:rsidP="005A497D">
      <w:pPr>
        <w:spacing w:line="360" w:lineRule="auto"/>
        <w:rPr>
          <w:rFonts w:ascii="Arial" w:hAnsi="Arial" w:cs="Arial"/>
          <w:b/>
          <w:sz w:val="22"/>
          <w:szCs w:val="22"/>
        </w:rPr>
      </w:pPr>
      <w:r w:rsidRPr="00B559C7">
        <w:rPr>
          <w:rFonts w:ascii="Arial" w:hAnsi="Arial" w:cs="Arial"/>
          <w:b/>
          <w:sz w:val="22"/>
          <w:szCs w:val="22"/>
        </w:rPr>
        <w:t>INSTRUCTED BY</w:t>
      </w:r>
      <w:r w:rsidRPr="00B559C7">
        <w:rPr>
          <w:rFonts w:ascii="Arial" w:hAnsi="Arial" w:cs="Arial"/>
          <w:b/>
          <w:sz w:val="22"/>
          <w:szCs w:val="22"/>
        </w:rPr>
        <w:tab/>
      </w:r>
      <w:r w:rsidRPr="00B559C7">
        <w:rPr>
          <w:rFonts w:ascii="Arial" w:hAnsi="Arial" w:cs="Arial"/>
          <w:b/>
          <w:sz w:val="22"/>
          <w:szCs w:val="22"/>
        </w:rPr>
        <w:tab/>
      </w:r>
      <w:r w:rsidRPr="00B559C7">
        <w:rPr>
          <w:rFonts w:ascii="Arial" w:hAnsi="Arial" w:cs="Arial"/>
          <w:b/>
          <w:sz w:val="22"/>
          <w:szCs w:val="22"/>
        </w:rPr>
        <w:tab/>
      </w:r>
      <w:r w:rsidRPr="00B559C7">
        <w:rPr>
          <w:rFonts w:ascii="Arial" w:hAnsi="Arial" w:cs="Arial"/>
          <w:b/>
          <w:sz w:val="22"/>
          <w:szCs w:val="22"/>
        </w:rPr>
        <w:tab/>
      </w:r>
    </w:p>
    <w:p w:rsidR="005A497D" w:rsidRPr="00B559C7" w:rsidRDefault="005A536A" w:rsidP="005A497D">
      <w:pPr>
        <w:spacing w:line="360" w:lineRule="auto"/>
        <w:rPr>
          <w:rFonts w:ascii="Arial" w:hAnsi="Arial" w:cs="Arial"/>
          <w:b/>
          <w:sz w:val="22"/>
          <w:szCs w:val="22"/>
        </w:rPr>
      </w:pPr>
      <w:r w:rsidRPr="00B559C7">
        <w:rPr>
          <w:rFonts w:ascii="Arial" w:hAnsi="Arial" w:cs="Arial"/>
          <w:b/>
          <w:sz w:val="22"/>
          <w:szCs w:val="22"/>
        </w:rPr>
        <w:t>(KRUGER ATTORNEY AND CONVEYANCERS</w:t>
      </w:r>
    </w:p>
    <w:p w:rsidR="005A536A" w:rsidRPr="00B559C7" w:rsidRDefault="005A536A" w:rsidP="005A497D">
      <w:pPr>
        <w:spacing w:line="360" w:lineRule="auto"/>
        <w:rPr>
          <w:rFonts w:ascii="Arial" w:hAnsi="Arial" w:cs="Arial"/>
          <w:b/>
          <w:sz w:val="22"/>
          <w:szCs w:val="22"/>
        </w:rPr>
      </w:pPr>
      <w:r w:rsidRPr="00B559C7">
        <w:rPr>
          <w:rFonts w:ascii="Arial" w:hAnsi="Arial" w:cs="Arial"/>
          <w:b/>
          <w:sz w:val="22"/>
          <w:szCs w:val="22"/>
        </w:rPr>
        <w:t>Tel: 011 766 1428</w:t>
      </w:r>
    </w:p>
    <w:p w:rsidR="005A536A" w:rsidRPr="00B559C7" w:rsidRDefault="005A536A" w:rsidP="005A497D">
      <w:pPr>
        <w:spacing w:line="360" w:lineRule="auto"/>
        <w:rPr>
          <w:rFonts w:ascii="Arial" w:hAnsi="Arial" w:cs="Arial"/>
          <w:b/>
          <w:sz w:val="22"/>
          <w:szCs w:val="22"/>
        </w:rPr>
      </w:pPr>
      <w:r w:rsidRPr="00B559C7">
        <w:rPr>
          <w:rFonts w:ascii="Arial" w:hAnsi="Arial" w:cs="Arial"/>
          <w:b/>
          <w:sz w:val="22"/>
          <w:szCs w:val="22"/>
        </w:rPr>
        <w:t>Ref: TF Kruger/as/C1035</w:t>
      </w:r>
    </w:p>
    <w:p w:rsidR="005A536A" w:rsidRPr="00B559C7" w:rsidRDefault="005A536A" w:rsidP="005A497D">
      <w:pPr>
        <w:spacing w:line="360" w:lineRule="auto"/>
        <w:rPr>
          <w:rFonts w:ascii="Arial" w:hAnsi="Arial" w:cs="Arial"/>
          <w:b/>
          <w:sz w:val="22"/>
          <w:szCs w:val="22"/>
        </w:rPr>
      </w:pPr>
      <w:r w:rsidRPr="00B559C7">
        <w:rPr>
          <w:rFonts w:ascii="Arial" w:hAnsi="Arial" w:cs="Arial"/>
          <w:b/>
          <w:sz w:val="22"/>
          <w:szCs w:val="22"/>
        </w:rPr>
        <w:t>c/o Grant Swanepoel</w:t>
      </w:r>
    </w:p>
    <w:p w:rsidR="005A536A" w:rsidRPr="00B559C7" w:rsidRDefault="005A536A" w:rsidP="005A497D">
      <w:pPr>
        <w:spacing w:line="360" w:lineRule="auto"/>
        <w:rPr>
          <w:rFonts w:ascii="Arial" w:hAnsi="Arial" w:cs="Arial"/>
          <w:b/>
          <w:sz w:val="22"/>
          <w:szCs w:val="22"/>
        </w:rPr>
      </w:pPr>
      <w:r w:rsidRPr="00B559C7">
        <w:rPr>
          <w:rFonts w:ascii="Arial" w:hAnsi="Arial" w:cs="Arial"/>
          <w:b/>
          <w:sz w:val="22"/>
          <w:szCs w:val="22"/>
        </w:rPr>
        <w:t>Email: odette@krugerattorney.co.za</w:t>
      </w:r>
      <w:r w:rsidR="0041260C">
        <w:rPr>
          <w:rFonts w:ascii="Arial" w:hAnsi="Arial" w:cs="Arial"/>
          <w:b/>
          <w:sz w:val="22"/>
          <w:szCs w:val="22"/>
        </w:rPr>
        <w:t>)</w:t>
      </w:r>
    </w:p>
    <w:p w:rsidR="005A497D" w:rsidRPr="00B559C7" w:rsidRDefault="005A497D" w:rsidP="005A497D">
      <w:pPr>
        <w:spacing w:line="360" w:lineRule="auto"/>
        <w:rPr>
          <w:rFonts w:ascii="Arial" w:hAnsi="Arial" w:cs="Arial"/>
          <w:b/>
          <w:sz w:val="20"/>
          <w:szCs w:val="20"/>
        </w:rPr>
      </w:pPr>
    </w:p>
    <w:sectPr w:rsidR="005A497D" w:rsidRPr="00B559C7" w:rsidSect="00A25FE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381F1" w16cid:durableId="28036730"/>
  <w16cid:commentId w16cid:paraId="0AF52FDE" w16cid:durableId="28036907"/>
  <w16cid:commentId w16cid:paraId="47F6F0A0" w16cid:durableId="27FDE5AD"/>
  <w16cid:commentId w16cid:paraId="35C3BA13" w16cid:durableId="27FE3C92"/>
  <w16cid:commentId w16cid:paraId="006A1502" w16cid:durableId="27FE3CFC"/>
  <w16cid:commentId w16cid:paraId="7E685877" w16cid:durableId="280389C1"/>
  <w16cid:commentId w16cid:paraId="1C6927B3" w16cid:durableId="27FE4521"/>
  <w16cid:commentId w16cid:paraId="58C80DEE" w16cid:durableId="28038BAB"/>
  <w16cid:commentId w16cid:paraId="289607B3" w16cid:durableId="28038BC1"/>
  <w16cid:commentId w16cid:paraId="51A9A5B7" w16cid:durableId="28038C6E"/>
  <w16cid:commentId w16cid:paraId="379F9F74" w16cid:durableId="27FF2D09"/>
  <w16cid:commentId w16cid:paraId="1DDF2642" w16cid:durableId="28048DA4"/>
  <w16cid:commentId w16cid:paraId="4A0239B6" w16cid:durableId="27FF3513"/>
  <w16cid:commentId w16cid:paraId="1C6990D2" w16cid:durableId="2803935A"/>
  <w16cid:commentId w16cid:paraId="4AE97A90" w16cid:durableId="27FF39CA"/>
  <w16cid:commentId w16cid:paraId="567F519C" w16cid:durableId="27FF3D7F"/>
  <w16cid:commentId w16cid:paraId="0495A8AA" w16cid:durableId="27FF436F"/>
  <w16cid:commentId w16cid:paraId="1D739B42" w16cid:durableId="28047FF0"/>
  <w16cid:commentId w16cid:paraId="3C1DF9BA" w16cid:durableId="28048095"/>
  <w16cid:commentId w16cid:paraId="3128500D" w16cid:durableId="27FF4496"/>
  <w16cid:commentId w16cid:paraId="05064478" w16cid:durableId="280483E8"/>
  <w16cid:commentId w16cid:paraId="34C339A3" w16cid:durableId="27FF479B"/>
  <w16cid:commentId w16cid:paraId="4A9B5CEF" w16cid:durableId="280485A3"/>
  <w16cid:commentId w16cid:paraId="73776444" w16cid:durableId="27FF9223"/>
  <w16cid:commentId w16cid:paraId="2A529803" w16cid:durableId="28048C7A"/>
  <w16cid:commentId w16cid:paraId="2805FC54" w16cid:durableId="280367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BB" w:rsidRDefault="000536BB" w:rsidP="00F86897">
      <w:r>
        <w:separator/>
      </w:r>
    </w:p>
  </w:endnote>
  <w:endnote w:type="continuationSeparator" w:id="0">
    <w:p w:rsidR="000536BB" w:rsidRDefault="000536BB" w:rsidP="00F86897">
      <w:r>
        <w:continuationSeparator/>
      </w:r>
    </w:p>
  </w:endnote>
  <w:endnote w:type="continuationNotice" w:id="1">
    <w:p w:rsidR="000536BB" w:rsidRDefault="00053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20" w:rsidRDefault="003A1020">
    <w:pPr>
      <w:pStyle w:val="Footer"/>
      <w:jc w:val="right"/>
    </w:pPr>
  </w:p>
  <w:p w:rsidR="003A1020" w:rsidRDefault="003A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BB" w:rsidRDefault="000536BB" w:rsidP="00F86897">
      <w:r>
        <w:separator/>
      </w:r>
    </w:p>
  </w:footnote>
  <w:footnote w:type="continuationSeparator" w:id="0">
    <w:p w:rsidR="000536BB" w:rsidRDefault="000536BB" w:rsidP="00F86897">
      <w:r>
        <w:continuationSeparator/>
      </w:r>
    </w:p>
  </w:footnote>
  <w:footnote w:type="continuationNotice" w:id="1">
    <w:p w:rsidR="000536BB" w:rsidRDefault="000536BB"/>
  </w:footnote>
  <w:footnote w:id="2">
    <w:p w:rsidR="003A1020" w:rsidRPr="009C016A" w:rsidRDefault="003A1020" w:rsidP="009C016A">
      <w:pPr>
        <w:pStyle w:val="FootnoteText"/>
        <w:jc w:val="both"/>
        <w:rPr>
          <w:rFonts w:ascii="Arial" w:hAnsi="Arial" w:cs="Arial"/>
        </w:rPr>
      </w:pPr>
      <w:r w:rsidRPr="009C016A">
        <w:rPr>
          <w:rStyle w:val="FootnoteReference"/>
          <w:rFonts w:ascii="Arial" w:hAnsi="Arial" w:cs="Arial"/>
        </w:rPr>
        <w:footnoteRef/>
      </w:r>
      <w:r w:rsidRPr="009C016A">
        <w:rPr>
          <w:rFonts w:ascii="Arial" w:hAnsi="Arial" w:cs="Arial"/>
        </w:rPr>
        <w:t xml:space="preserve"> Annexure “SA03” to the founding affidavit</w:t>
      </w:r>
      <w:r>
        <w:rPr>
          <w:rFonts w:ascii="Arial" w:hAnsi="Arial" w:cs="Arial"/>
        </w:rPr>
        <w:t>.</w:t>
      </w:r>
    </w:p>
  </w:footnote>
  <w:footnote w:id="3">
    <w:p w:rsidR="003A1020" w:rsidRPr="00D90F59" w:rsidRDefault="003A1020" w:rsidP="00956421">
      <w:pPr>
        <w:pStyle w:val="FootnoteText"/>
        <w:jc w:val="both"/>
        <w:rPr>
          <w:rFonts w:ascii="Arial" w:hAnsi="Arial" w:cs="Arial"/>
        </w:rPr>
      </w:pPr>
      <w:r w:rsidRPr="00D90F59">
        <w:rPr>
          <w:rStyle w:val="FootnoteReference"/>
          <w:rFonts w:ascii="Arial" w:hAnsi="Arial" w:cs="Arial"/>
        </w:rPr>
        <w:footnoteRef/>
      </w:r>
      <w:r w:rsidRPr="00D90F59">
        <w:rPr>
          <w:rFonts w:ascii="Arial" w:hAnsi="Arial" w:cs="Arial"/>
        </w:rPr>
        <w:t xml:space="preserve"> Annexure “SA05”.</w:t>
      </w:r>
    </w:p>
  </w:footnote>
  <w:footnote w:id="4">
    <w:p w:rsidR="003A1020" w:rsidRPr="00D90F59" w:rsidRDefault="003A1020" w:rsidP="00D90F59">
      <w:pPr>
        <w:pStyle w:val="FootnoteText"/>
        <w:jc w:val="both"/>
        <w:rPr>
          <w:rFonts w:ascii="Arial" w:hAnsi="Arial" w:cs="Arial"/>
        </w:rPr>
      </w:pPr>
      <w:r w:rsidRPr="00D90F59">
        <w:rPr>
          <w:rStyle w:val="FootnoteReference"/>
          <w:rFonts w:ascii="Arial" w:hAnsi="Arial" w:cs="Arial"/>
        </w:rPr>
        <w:footnoteRef/>
      </w:r>
      <w:r w:rsidRPr="00D90F59">
        <w:rPr>
          <w:rFonts w:ascii="Arial" w:hAnsi="Arial" w:cs="Arial"/>
        </w:rPr>
        <w:t xml:space="preserve"> Annexure “SA06”.</w:t>
      </w:r>
    </w:p>
  </w:footnote>
  <w:footnote w:id="5">
    <w:p w:rsidR="003A1020" w:rsidRPr="00D90F59" w:rsidRDefault="003A1020" w:rsidP="00D90F59">
      <w:pPr>
        <w:pStyle w:val="FootnoteText"/>
        <w:jc w:val="both"/>
        <w:rPr>
          <w:rFonts w:ascii="Arial" w:hAnsi="Arial" w:cs="Arial"/>
        </w:rPr>
      </w:pPr>
      <w:r w:rsidRPr="00D90F59">
        <w:rPr>
          <w:rStyle w:val="FootnoteReference"/>
          <w:rFonts w:ascii="Arial" w:hAnsi="Arial" w:cs="Arial"/>
        </w:rPr>
        <w:footnoteRef/>
      </w:r>
      <w:r w:rsidRPr="00D90F59">
        <w:rPr>
          <w:rFonts w:ascii="Arial" w:hAnsi="Arial" w:cs="Arial"/>
        </w:rPr>
        <w:t xml:space="preserve"> Annexure “SA07”.</w:t>
      </w:r>
    </w:p>
  </w:footnote>
  <w:footnote w:id="6">
    <w:p w:rsidR="003A1020" w:rsidRDefault="003A1020" w:rsidP="00D90F59">
      <w:pPr>
        <w:pStyle w:val="FootnoteText"/>
        <w:jc w:val="both"/>
      </w:pPr>
      <w:r w:rsidRPr="00D90F59">
        <w:rPr>
          <w:rStyle w:val="FootnoteReference"/>
          <w:rFonts w:ascii="Arial" w:hAnsi="Arial" w:cs="Arial"/>
        </w:rPr>
        <w:footnoteRef/>
      </w:r>
      <w:r w:rsidRPr="00D90F59">
        <w:rPr>
          <w:rFonts w:ascii="Arial" w:hAnsi="Arial" w:cs="Arial"/>
        </w:rPr>
        <w:t xml:space="preserve"> Annexure “SA08”.</w:t>
      </w:r>
    </w:p>
  </w:footnote>
  <w:footnote w:id="7">
    <w:p w:rsidR="003A1020" w:rsidRPr="00EA628A" w:rsidRDefault="003A1020" w:rsidP="00EA628A">
      <w:pPr>
        <w:pStyle w:val="FootnoteText"/>
        <w:jc w:val="both"/>
        <w:rPr>
          <w:rFonts w:ascii="Arial" w:hAnsi="Arial" w:cs="Arial"/>
        </w:rPr>
      </w:pPr>
      <w:r w:rsidRPr="00EA628A">
        <w:rPr>
          <w:rStyle w:val="FootnoteReference"/>
          <w:rFonts w:ascii="Arial" w:hAnsi="Arial" w:cs="Arial"/>
        </w:rPr>
        <w:footnoteRef/>
      </w:r>
      <w:r w:rsidRPr="00EA628A">
        <w:rPr>
          <w:rFonts w:ascii="Arial" w:hAnsi="Arial" w:cs="Arial"/>
        </w:rPr>
        <w:t xml:space="preserve"> Annexure “SA09”.</w:t>
      </w:r>
    </w:p>
  </w:footnote>
  <w:footnote w:id="8">
    <w:p w:rsidR="003A1020" w:rsidRPr="0040697F" w:rsidRDefault="003A1020" w:rsidP="0040697F">
      <w:pPr>
        <w:pStyle w:val="FootnoteText"/>
        <w:jc w:val="both"/>
        <w:rPr>
          <w:rFonts w:ascii="Arial" w:hAnsi="Arial" w:cs="Arial"/>
        </w:rPr>
      </w:pPr>
      <w:r w:rsidRPr="0040697F">
        <w:rPr>
          <w:rStyle w:val="FootnoteReference"/>
          <w:rFonts w:ascii="Arial" w:hAnsi="Arial" w:cs="Arial"/>
        </w:rPr>
        <w:footnoteRef/>
      </w:r>
      <w:r w:rsidRPr="0040697F">
        <w:rPr>
          <w:rFonts w:ascii="Arial" w:hAnsi="Arial" w:cs="Arial"/>
        </w:rPr>
        <w:t xml:space="preserve"> Attached to annexure “SA04” as “FA8”.</w:t>
      </w:r>
    </w:p>
  </w:footnote>
  <w:footnote w:id="9">
    <w:p w:rsidR="003A1020" w:rsidRPr="0040697F" w:rsidRDefault="003A1020" w:rsidP="0040697F">
      <w:pPr>
        <w:pStyle w:val="FootnoteText"/>
        <w:jc w:val="both"/>
        <w:rPr>
          <w:rFonts w:ascii="Arial" w:hAnsi="Arial" w:cs="Arial"/>
        </w:rPr>
      </w:pPr>
      <w:r w:rsidRPr="0040697F">
        <w:rPr>
          <w:rStyle w:val="FootnoteReference"/>
          <w:rFonts w:ascii="Arial" w:hAnsi="Arial" w:cs="Arial"/>
        </w:rPr>
        <w:footnoteRef/>
      </w:r>
      <w:r w:rsidRPr="0040697F">
        <w:rPr>
          <w:rFonts w:ascii="Arial" w:hAnsi="Arial" w:cs="Arial"/>
        </w:rPr>
        <w:t xml:space="preserve"> Annexure “SA10”.</w:t>
      </w:r>
    </w:p>
  </w:footnote>
  <w:footnote w:id="10">
    <w:p w:rsidR="003A1020" w:rsidRDefault="003A1020" w:rsidP="0040697F">
      <w:pPr>
        <w:pStyle w:val="FootnoteText"/>
        <w:jc w:val="both"/>
      </w:pPr>
      <w:r w:rsidRPr="0040697F">
        <w:rPr>
          <w:rStyle w:val="FootnoteReference"/>
          <w:rFonts w:ascii="Arial" w:hAnsi="Arial" w:cs="Arial"/>
        </w:rPr>
        <w:footnoteRef/>
      </w:r>
      <w:r w:rsidRPr="0040697F">
        <w:rPr>
          <w:rFonts w:ascii="Arial" w:hAnsi="Arial" w:cs="Arial"/>
        </w:rPr>
        <w:t xml:space="preserve"> Annexure “SA11”.</w:t>
      </w:r>
    </w:p>
  </w:footnote>
  <w:footnote w:id="11">
    <w:p w:rsidR="003A1020" w:rsidRPr="00B73BAE" w:rsidRDefault="003A1020" w:rsidP="00B73BAE">
      <w:pPr>
        <w:pStyle w:val="FootnoteText"/>
        <w:jc w:val="both"/>
        <w:rPr>
          <w:rFonts w:ascii="Arial" w:hAnsi="Arial" w:cs="Arial"/>
        </w:rPr>
      </w:pPr>
      <w:r w:rsidRPr="00B73BAE">
        <w:rPr>
          <w:rStyle w:val="FootnoteReference"/>
          <w:rFonts w:ascii="Arial" w:hAnsi="Arial" w:cs="Arial"/>
        </w:rPr>
        <w:footnoteRef/>
      </w:r>
      <w:r w:rsidRPr="00B73BAE">
        <w:rPr>
          <w:rFonts w:ascii="Arial" w:hAnsi="Arial" w:cs="Arial"/>
        </w:rPr>
        <w:t xml:space="preserve"> Annexure “SA12”.</w:t>
      </w:r>
    </w:p>
  </w:footnote>
  <w:footnote w:id="12">
    <w:p w:rsidR="003A1020" w:rsidRPr="00B73BAE" w:rsidRDefault="003A1020" w:rsidP="00B73BAE">
      <w:pPr>
        <w:pStyle w:val="FootnoteText"/>
        <w:jc w:val="both"/>
        <w:rPr>
          <w:rFonts w:ascii="Arial" w:hAnsi="Arial" w:cs="Arial"/>
        </w:rPr>
      </w:pPr>
      <w:r w:rsidRPr="00B73BAE">
        <w:rPr>
          <w:rStyle w:val="FootnoteReference"/>
          <w:rFonts w:ascii="Arial" w:hAnsi="Arial" w:cs="Arial"/>
        </w:rPr>
        <w:footnoteRef/>
      </w:r>
      <w:r w:rsidRPr="00B73BAE">
        <w:rPr>
          <w:rFonts w:ascii="Arial" w:hAnsi="Arial" w:cs="Arial"/>
        </w:rPr>
        <w:t xml:space="preserve"> Annexure “SA13”.</w:t>
      </w:r>
    </w:p>
  </w:footnote>
  <w:footnote w:id="13">
    <w:p w:rsidR="003A1020" w:rsidRPr="00B73BAE" w:rsidRDefault="003A1020" w:rsidP="00B73BAE">
      <w:pPr>
        <w:pStyle w:val="FootnoteText"/>
        <w:jc w:val="both"/>
        <w:rPr>
          <w:rFonts w:ascii="Arial" w:hAnsi="Arial" w:cs="Arial"/>
        </w:rPr>
      </w:pPr>
      <w:r w:rsidRPr="00B73BAE">
        <w:rPr>
          <w:rStyle w:val="FootnoteReference"/>
          <w:rFonts w:ascii="Arial" w:hAnsi="Arial" w:cs="Arial"/>
        </w:rPr>
        <w:footnoteRef/>
      </w:r>
      <w:r w:rsidRPr="00B73BAE">
        <w:rPr>
          <w:rFonts w:ascii="Arial" w:hAnsi="Arial" w:cs="Arial"/>
        </w:rPr>
        <w:t xml:space="preserve"> Annexure “SA14”.</w:t>
      </w:r>
    </w:p>
  </w:footnote>
  <w:footnote w:id="14">
    <w:p w:rsidR="003A1020" w:rsidRDefault="003A1020" w:rsidP="00B73BAE">
      <w:pPr>
        <w:pStyle w:val="FootnoteText"/>
        <w:jc w:val="both"/>
      </w:pPr>
      <w:r w:rsidRPr="00B73BAE">
        <w:rPr>
          <w:rStyle w:val="FootnoteReference"/>
          <w:rFonts w:ascii="Arial" w:hAnsi="Arial" w:cs="Arial"/>
        </w:rPr>
        <w:footnoteRef/>
      </w:r>
      <w:r w:rsidRPr="00B73BAE">
        <w:rPr>
          <w:rFonts w:ascii="Arial" w:hAnsi="Arial" w:cs="Arial"/>
        </w:rPr>
        <w:t xml:space="preserve"> Annexure” SA15”.</w:t>
      </w:r>
    </w:p>
  </w:footnote>
  <w:footnote w:id="15">
    <w:p w:rsidR="003A1020" w:rsidRPr="000B226D" w:rsidRDefault="003A1020" w:rsidP="000B226D">
      <w:pPr>
        <w:pStyle w:val="FootnoteText"/>
        <w:jc w:val="both"/>
        <w:rPr>
          <w:rFonts w:ascii="Arial" w:hAnsi="Arial" w:cs="Arial"/>
        </w:rPr>
      </w:pPr>
      <w:r w:rsidRPr="000B226D">
        <w:rPr>
          <w:rStyle w:val="FootnoteReference"/>
          <w:rFonts w:ascii="Arial" w:hAnsi="Arial" w:cs="Arial"/>
        </w:rPr>
        <w:footnoteRef/>
      </w:r>
      <w:r w:rsidRPr="000B226D">
        <w:rPr>
          <w:rFonts w:ascii="Arial" w:hAnsi="Arial" w:cs="Arial"/>
        </w:rPr>
        <w:t xml:space="preserve"> Annexure “FA8”.</w:t>
      </w:r>
    </w:p>
  </w:footnote>
  <w:footnote w:id="16">
    <w:p w:rsidR="003A1020" w:rsidRPr="000B226D" w:rsidRDefault="003A1020" w:rsidP="000B226D">
      <w:pPr>
        <w:pStyle w:val="FootnoteText"/>
        <w:jc w:val="both"/>
        <w:rPr>
          <w:rFonts w:ascii="Arial" w:hAnsi="Arial" w:cs="Arial"/>
        </w:rPr>
      </w:pPr>
      <w:r w:rsidRPr="000B226D">
        <w:rPr>
          <w:rStyle w:val="FootnoteReference"/>
          <w:rFonts w:ascii="Arial" w:hAnsi="Arial" w:cs="Arial"/>
        </w:rPr>
        <w:footnoteRef/>
      </w:r>
      <w:r w:rsidRPr="000B226D">
        <w:rPr>
          <w:rFonts w:ascii="Arial" w:hAnsi="Arial" w:cs="Arial"/>
        </w:rPr>
        <w:t xml:space="preserve"> Annexure “SA06”.</w:t>
      </w:r>
    </w:p>
  </w:footnote>
  <w:footnote w:id="17">
    <w:p w:rsidR="003A1020" w:rsidRPr="000B226D" w:rsidRDefault="003A1020" w:rsidP="000B226D">
      <w:pPr>
        <w:pStyle w:val="FootnoteText"/>
        <w:jc w:val="both"/>
        <w:rPr>
          <w:rFonts w:ascii="Arial" w:hAnsi="Arial" w:cs="Arial"/>
        </w:rPr>
      </w:pPr>
      <w:r w:rsidRPr="000B226D">
        <w:rPr>
          <w:rStyle w:val="FootnoteReference"/>
          <w:rFonts w:ascii="Arial" w:hAnsi="Arial" w:cs="Arial"/>
        </w:rPr>
        <w:footnoteRef/>
      </w:r>
      <w:r w:rsidRPr="000B226D">
        <w:rPr>
          <w:rFonts w:ascii="Arial" w:hAnsi="Arial" w:cs="Arial"/>
        </w:rPr>
        <w:t xml:space="preserve"> Annexure “SA07”.</w:t>
      </w:r>
    </w:p>
  </w:footnote>
  <w:footnote w:id="18">
    <w:p w:rsidR="003A1020" w:rsidRDefault="003A1020" w:rsidP="000B226D">
      <w:pPr>
        <w:pStyle w:val="FootnoteText"/>
        <w:jc w:val="both"/>
      </w:pPr>
      <w:r w:rsidRPr="000B226D">
        <w:rPr>
          <w:rStyle w:val="FootnoteReference"/>
          <w:rFonts w:ascii="Arial" w:hAnsi="Arial" w:cs="Arial"/>
        </w:rPr>
        <w:footnoteRef/>
      </w:r>
      <w:r w:rsidRPr="000B226D">
        <w:rPr>
          <w:rFonts w:ascii="Arial" w:hAnsi="Arial" w:cs="Arial"/>
        </w:rPr>
        <w:t xml:space="preserve"> Annexure “SA09”.</w:t>
      </w:r>
    </w:p>
  </w:footnote>
  <w:footnote w:id="19">
    <w:p w:rsidR="003A1020" w:rsidRPr="00494E5C" w:rsidRDefault="003A1020" w:rsidP="00494E5C">
      <w:pPr>
        <w:pStyle w:val="FootnoteText"/>
        <w:jc w:val="both"/>
        <w:rPr>
          <w:rFonts w:ascii="Arial" w:hAnsi="Arial" w:cs="Arial"/>
        </w:rPr>
      </w:pPr>
      <w:r w:rsidRPr="00494E5C">
        <w:rPr>
          <w:rStyle w:val="FootnoteReference"/>
          <w:rFonts w:ascii="Arial" w:hAnsi="Arial" w:cs="Arial"/>
        </w:rPr>
        <w:footnoteRef/>
      </w:r>
      <w:r w:rsidRPr="00494E5C">
        <w:rPr>
          <w:rFonts w:ascii="Arial" w:hAnsi="Arial" w:cs="Arial"/>
        </w:rPr>
        <w:t xml:space="preserve"> Annexure “FA9”.</w:t>
      </w:r>
    </w:p>
  </w:footnote>
  <w:footnote w:id="20">
    <w:p w:rsidR="003A1020" w:rsidRDefault="003A1020" w:rsidP="00494E5C">
      <w:pPr>
        <w:pStyle w:val="FootnoteText"/>
        <w:jc w:val="both"/>
      </w:pPr>
      <w:r w:rsidRPr="00494E5C">
        <w:rPr>
          <w:rStyle w:val="FootnoteReference"/>
          <w:rFonts w:ascii="Arial" w:hAnsi="Arial" w:cs="Arial"/>
        </w:rPr>
        <w:footnoteRef/>
      </w:r>
      <w:r w:rsidRPr="00494E5C">
        <w:rPr>
          <w:rFonts w:ascii="Arial" w:hAnsi="Arial" w:cs="Arial"/>
        </w:rPr>
        <w:t xml:space="preserve"> Annexure “SA16”.</w:t>
      </w:r>
    </w:p>
  </w:footnote>
  <w:footnote w:id="21">
    <w:p w:rsidR="003A1020" w:rsidRPr="00596A6D" w:rsidRDefault="003A1020" w:rsidP="00596A6D">
      <w:pPr>
        <w:pStyle w:val="FootnoteText"/>
        <w:jc w:val="both"/>
        <w:rPr>
          <w:rFonts w:ascii="Arial" w:hAnsi="Arial" w:cs="Arial"/>
        </w:rPr>
      </w:pPr>
      <w:r w:rsidRPr="00596A6D">
        <w:rPr>
          <w:rStyle w:val="FootnoteReference"/>
          <w:rFonts w:ascii="Arial" w:hAnsi="Arial" w:cs="Arial"/>
        </w:rPr>
        <w:footnoteRef/>
      </w:r>
      <w:r w:rsidRPr="00596A6D">
        <w:rPr>
          <w:rFonts w:ascii="Arial" w:hAnsi="Arial" w:cs="Arial"/>
        </w:rPr>
        <w:t xml:space="preserve"> </w:t>
      </w:r>
      <w:r w:rsidRPr="00596A6D">
        <w:rPr>
          <w:rFonts w:ascii="Arial" w:hAnsi="Arial" w:cs="Arial"/>
          <w:i/>
        </w:rPr>
        <w:t>Mars Incorporated v Candy World (Pty) Ltd</w:t>
      </w:r>
      <w:r w:rsidRPr="00596A6D">
        <w:rPr>
          <w:rFonts w:ascii="Arial" w:hAnsi="Arial" w:cs="Arial"/>
        </w:rPr>
        <w:t xml:space="preserve"> 1991 (1) SA 567 (A) at 575</w:t>
      </w:r>
      <w:r>
        <w:rPr>
          <w:rFonts w:ascii="Arial" w:hAnsi="Arial" w:cs="Arial"/>
        </w:rPr>
        <w:t>.</w:t>
      </w:r>
    </w:p>
  </w:footnote>
  <w:footnote w:id="22">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Jacobs en ‘n Ander v Waks</w:t>
      </w:r>
      <w:r w:rsidRPr="005F0C01">
        <w:rPr>
          <w:rFonts w:ascii="Arial" w:hAnsi="Arial" w:cs="Arial"/>
        </w:rPr>
        <w:t xml:space="preserve"> </w:t>
      </w:r>
      <w:r>
        <w:rPr>
          <w:rFonts w:ascii="Arial" w:hAnsi="Arial" w:cs="Arial"/>
          <w:i/>
        </w:rPr>
        <w:t xml:space="preserve">en Andere </w:t>
      </w:r>
      <w:r w:rsidRPr="005F0C01">
        <w:rPr>
          <w:rFonts w:ascii="Arial" w:hAnsi="Arial" w:cs="Arial"/>
        </w:rPr>
        <w:t>1992 (1) SA 521 (A) at 534.</w:t>
      </w:r>
    </w:p>
  </w:footnote>
  <w:footnote w:id="23">
    <w:p w:rsidR="003A1020" w:rsidRPr="005F0C01" w:rsidRDefault="003A1020" w:rsidP="005F0C01">
      <w:pPr>
        <w:jc w:val="both"/>
        <w:rPr>
          <w:rFonts w:ascii="Arial" w:hAnsi="Arial" w:cs="Arial"/>
          <w:i/>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DE Van Loggerenberg </w:t>
      </w:r>
      <w:r w:rsidRPr="005F0C01">
        <w:rPr>
          <w:rFonts w:ascii="Arial" w:hAnsi="Arial" w:cs="Arial"/>
          <w:color w:val="000000"/>
          <w:sz w:val="20"/>
          <w:szCs w:val="20"/>
        </w:rPr>
        <w:t>&amp; E Bertelsmann</w:t>
      </w:r>
      <w:r w:rsidRPr="005F0C01">
        <w:rPr>
          <w:rFonts w:ascii="Arial" w:hAnsi="Arial" w:cs="Arial"/>
          <w:sz w:val="20"/>
          <w:szCs w:val="20"/>
        </w:rPr>
        <w:t xml:space="preserve"> </w:t>
      </w:r>
      <w:r w:rsidRPr="005F0C01">
        <w:rPr>
          <w:rFonts w:ascii="Arial" w:hAnsi="Arial" w:cs="Arial"/>
          <w:i/>
          <w:sz w:val="20"/>
          <w:szCs w:val="20"/>
        </w:rPr>
        <w:t xml:space="preserve">Erasmus Superior Court Practice </w:t>
      </w:r>
      <w:r w:rsidRPr="005F0C01">
        <w:rPr>
          <w:rFonts w:ascii="Arial" w:hAnsi="Arial" w:cs="Arial"/>
          <w:sz w:val="20"/>
          <w:szCs w:val="20"/>
        </w:rPr>
        <w:t>(RS20, 2022) at D1-187.</w:t>
      </w:r>
    </w:p>
  </w:footnote>
  <w:footnote w:id="24">
    <w:p w:rsidR="003A1020" w:rsidRDefault="003A1020" w:rsidP="005F0C01">
      <w:pPr>
        <w:pStyle w:val="FootnoteText"/>
        <w:jc w:val="both"/>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Coetzee v Comitis and Others</w:t>
      </w:r>
      <w:r w:rsidRPr="005F0C01">
        <w:rPr>
          <w:rFonts w:ascii="Arial" w:hAnsi="Arial" w:cs="Arial"/>
        </w:rPr>
        <w:t xml:space="preserve"> 2001 (1) SA 1254 (C); and </w:t>
      </w:r>
      <w:r w:rsidRPr="005F0C01">
        <w:rPr>
          <w:rFonts w:ascii="Arial" w:hAnsi="Arial" w:cs="Arial"/>
          <w:i/>
        </w:rPr>
        <w:t>Ferreira v Levin NO and Others; Vryenhoek and Others v Powell NO and Others</w:t>
      </w:r>
      <w:r w:rsidRPr="005F0C01">
        <w:rPr>
          <w:rFonts w:ascii="Arial" w:hAnsi="Arial" w:cs="Arial"/>
        </w:rPr>
        <w:t xml:space="preserve"> 1996 (1) SA 984 (CC) at 1082</w:t>
      </w:r>
      <w:r>
        <w:rPr>
          <w:rFonts w:ascii="Arial" w:hAnsi="Arial" w:cs="Arial"/>
        </w:rPr>
        <w:t>.</w:t>
      </w:r>
    </w:p>
  </w:footnote>
  <w:footnote w:id="25">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Tlouamma and Others v Speaker of the</w:t>
      </w:r>
      <w:r w:rsidRPr="005F0C01">
        <w:rPr>
          <w:rFonts w:ascii="Arial" w:hAnsi="Arial" w:cs="Arial"/>
        </w:rPr>
        <w:t xml:space="preserve"> </w:t>
      </w:r>
      <w:r w:rsidRPr="005F0C01">
        <w:rPr>
          <w:rFonts w:ascii="Arial" w:hAnsi="Arial" w:cs="Arial"/>
          <w:i/>
        </w:rPr>
        <w:t xml:space="preserve">National Assembly and Others </w:t>
      </w:r>
      <w:r w:rsidRPr="005F0C01">
        <w:rPr>
          <w:rFonts w:ascii="Arial" w:hAnsi="Arial" w:cs="Arial"/>
        </w:rPr>
        <w:t>2016 (1) SA 534 (WCC)</w:t>
      </w:r>
      <w:r>
        <w:rPr>
          <w:rFonts w:ascii="Arial" w:hAnsi="Arial" w:cs="Arial"/>
        </w:rPr>
        <w:t xml:space="preserve"> para 159.</w:t>
      </w:r>
    </w:p>
  </w:footnote>
  <w:footnote w:id="26">
    <w:p w:rsidR="003A1020" w:rsidRPr="005F0C01" w:rsidRDefault="003A1020" w:rsidP="005F0C01">
      <w:pPr>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See </w:t>
      </w:r>
      <w:r>
        <w:rPr>
          <w:rFonts w:ascii="Arial" w:hAnsi="Arial" w:cs="Arial"/>
          <w:sz w:val="20"/>
          <w:szCs w:val="20"/>
        </w:rPr>
        <w:t xml:space="preserve">also </w:t>
      </w:r>
      <w:r w:rsidRPr="005F0C01">
        <w:rPr>
          <w:rFonts w:ascii="Arial" w:hAnsi="Arial" w:cs="Arial"/>
          <w:i/>
          <w:sz w:val="20"/>
          <w:szCs w:val="20"/>
        </w:rPr>
        <w:t>Transvaal Agricultural Union v Minister of Agriculture and Land Affairs</w:t>
      </w:r>
      <w:r w:rsidRPr="005F0C01">
        <w:rPr>
          <w:rFonts w:ascii="Arial" w:hAnsi="Arial" w:cs="Arial"/>
          <w:sz w:val="20"/>
          <w:szCs w:val="20"/>
        </w:rPr>
        <w:t xml:space="preserve"> </w:t>
      </w:r>
      <w:r w:rsidRPr="005F0C01">
        <w:rPr>
          <w:rFonts w:ascii="Arial" w:hAnsi="Arial" w:cs="Arial"/>
          <w:i/>
          <w:sz w:val="20"/>
          <w:szCs w:val="20"/>
        </w:rPr>
        <w:t>and Others</w:t>
      </w:r>
      <w:r w:rsidRPr="005F0C01">
        <w:rPr>
          <w:rFonts w:ascii="Arial" w:hAnsi="Arial" w:cs="Arial"/>
          <w:sz w:val="20"/>
          <w:szCs w:val="20"/>
        </w:rPr>
        <w:t xml:space="preserve"> 2005 (4) SA 212 (SCA) paras 64-66; and </w:t>
      </w:r>
      <w:r w:rsidRPr="005F0C01">
        <w:rPr>
          <w:rFonts w:ascii="Arial" w:hAnsi="Arial" w:cs="Arial"/>
          <w:i/>
          <w:sz w:val="20"/>
          <w:szCs w:val="20"/>
        </w:rPr>
        <w:t xml:space="preserve">Shapiro v South African Recording Rights Association Ltd (Galeta Intervening) </w:t>
      </w:r>
      <w:r w:rsidRPr="005F0C01">
        <w:rPr>
          <w:rFonts w:ascii="Arial" w:hAnsi="Arial" w:cs="Arial"/>
          <w:sz w:val="20"/>
          <w:szCs w:val="20"/>
        </w:rPr>
        <w:t>2008 (4) SA 145 (W).</w:t>
      </w:r>
    </w:p>
  </w:footnote>
  <w:footnote w:id="27">
    <w:p w:rsidR="003A1020" w:rsidRPr="00020342" w:rsidRDefault="003A1020" w:rsidP="005F0C01">
      <w:pPr>
        <w:pStyle w:val="FootnoteText"/>
        <w:jc w:val="both"/>
        <w:rPr>
          <w:rFonts w:ascii="Arial" w:hAnsi="Arial" w:cs="Arial"/>
        </w:rPr>
      </w:pPr>
      <w:r w:rsidRPr="00020342">
        <w:rPr>
          <w:rStyle w:val="FootnoteReference"/>
          <w:rFonts w:ascii="Arial" w:hAnsi="Arial" w:cs="Arial"/>
        </w:rPr>
        <w:footnoteRef/>
      </w:r>
      <w:r w:rsidRPr="00020342">
        <w:rPr>
          <w:rFonts w:ascii="Arial" w:hAnsi="Arial" w:cs="Arial"/>
        </w:rPr>
        <w:t xml:space="preserve"> </w:t>
      </w:r>
      <w:r w:rsidRPr="00945109">
        <w:rPr>
          <w:rFonts w:ascii="Arial" w:hAnsi="Arial" w:cs="Arial"/>
        </w:rPr>
        <w:t>Van der Keesel DG</w:t>
      </w:r>
      <w:r w:rsidRPr="00945109">
        <w:rPr>
          <w:rFonts w:ascii="Arial" w:hAnsi="Arial" w:cs="Arial"/>
          <w:i/>
        </w:rPr>
        <w:t xml:space="preserve"> Praelectiones</w:t>
      </w:r>
      <w:r w:rsidRPr="00945109">
        <w:rPr>
          <w:rFonts w:ascii="Arial" w:hAnsi="Arial" w:cs="Arial"/>
        </w:rPr>
        <w:t xml:space="preserve"> </w:t>
      </w:r>
      <w:r w:rsidRPr="00945109">
        <w:rPr>
          <w:rFonts w:ascii="Arial" w:hAnsi="Arial" w:cs="Arial"/>
          <w:i/>
        </w:rPr>
        <w:t>Iuris Hodierni ad Hugonis Grotii Introductionem ad Iurisprudentiam Hollandicam</w:t>
      </w:r>
      <w:r w:rsidRPr="00945109">
        <w:rPr>
          <w:rFonts w:ascii="Arial" w:hAnsi="Arial" w:cs="Arial"/>
        </w:rPr>
        <w:t xml:space="preserve"> (translated by Van Warmelo et al) Balkema 1961-196</w:t>
      </w:r>
      <w:r>
        <w:rPr>
          <w:rFonts w:ascii="Arial" w:hAnsi="Arial" w:cs="Arial"/>
        </w:rPr>
        <w:t xml:space="preserve">7 </w:t>
      </w:r>
      <w:r w:rsidRPr="00945109">
        <w:rPr>
          <w:rFonts w:ascii="Arial" w:hAnsi="Arial" w:cs="Arial"/>
        </w:rPr>
        <w:t>at D43 27 5.</w:t>
      </w:r>
    </w:p>
  </w:footnote>
  <w:footnote w:id="28">
    <w:p w:rsidR="003A1020" w:rsidRPr="00FF2C6B" w:rsidRDefault="003A1020" w:rsidP="005F0C01">
      <w:pPr>
        <w:jc w:val="both"/>
        <w:rPr>
          <w:rFonts w:ascii="Arial" w:hAnsi="Arial" w:cs="Arial"/>
          <w:sz w:val="20"/>
          <w:szCs w:val="20"/>
        </w:rPr>
      </w:pPr>
      <w:r w:rsidRPr="00FF2C6B">
        <w:rPr>
          <w:rStyle w:val="FootnoteReference"/>
          <w:rFonts w:ascii="Arial" w:hAnsi="Arial" w:cs="Arial"/>
          <w:sz w:val="20"/>
          <w:szCs w:val="20"/>
        </w:rPr>
        <w:footnoteRef/>
      </w:r>
      <w:r w:rsidRPr="00FF2C6B">
        <w:rPr>
          <w:rFonts w:ascii="Arial" w:hAnsi="Arial" w:cs="Arial"/>
          <w:sz w:val="20"/>
          <w:szCs w:val="20"/>
        </w:rPr>
        <w:t xml:space="preserve"> See </w:t>
      </w:r>
      <w:r w:rsidRPr="00FF2C6B">
        <w:rPr>
          <w:rFonts w:ascii="Arial" w:hAnsi="Arial" w:cs="Arial"/>
          <w:i/>
          <w:sz w:val="20"/>
          <w:szCs w:val="20"/>
        </w:rPr>
        <w:t>Ohlsson’s Cape Breweries v Hamburg</w:t>
      </w:r>
      <w:r w:rsidRPr="00FF2C6B">
        <w:rPr>
          <w:rFonts w:ascii="Arial" w:hAnsi="Arial" w:cs="Arial"/>
          <w:sz w:val="20"/>
          <w:szCs w:val="20"/>
        </w:rPr>
        <w:t xml:space="preserve"> 1908 TS 134; </w:t>
      </w:r>
      <w:r w:rsidRPr="00FF2C6B">
        <w:rPr>
          <w:rFonts w:ascii="Arial" w:hAnsi="Arial" w:cs="Arial"/>
          <w:i/>
          <w:sz w:val="20"/>
          <w:szCs w:val="20"/>
        </w:rPr>
        <w:t>Gartrell v Southern Life</w:t>
      </w:r>
      <w:r w:rsidRPr="00FF2C6B">
        <w:rPr>
          <w:rFonts w:ascii="Arial" w:hAnsi="Arial" w:cs="Arial"/>
          <w:sz w:val="20"/>
          <w:szCs w:val="20"/>
        </w:rPr>
        <w:t xml:space="preserve"> </w:t>
      </w:r>
      <w:r w:rsidRPr="00FF2C6B">
        <w:rPr>
          <w:rFonts w:ascii="Arial" w:hAnsi="Arial" w:cs="Arial"/>
          <w:i/>
          <w:sz w:val="20"/>
          <w:szCs w:val="20"/>
        </w:rPr>
        <w:t>Association</w:t>
      </w:r>
      <w:r w:rsidRPr="00FF2C6B">
        <w:rPr>
          <w:rFonts w:ascii="Arial" w:hAnsi="Arial" w:cs="Arial"/>
          <w:sz w:val="20"/>
          <w:szCs w:val="20"/>
        </w:rPr>
        <w:t xml:space="preserve"> 1909 TH 57; </w:t>
      </w:r>
      <w:r w:rsidRPr="00FF2C6B">
        <w:rPr>
          <w:rFonts w:ascii="Arial" w:hAnsi="Arial" w:cs="Arial"/>
          <w:i/>
          <w:sz w:val="20"/>
          <w:szCs w:val="20"/>
        </w:rPr>
        <w:t>Estate Hughes v Fouche</w:t>
      </w:r>
      <w:r w:rsidRPr="00FF2C6B">
        <w:rPr>
          <w:rFonts w:ascii="Arial" w:hAnsi="Arial" w:cs="Arial"/>
          <w:sz w:val="20"/>
          <w:szCs w:val="20"/>
        </w:rPr>
        <w:t xml:space="preserve"> 1930 TPP 41; and</w:t>
      </w:r>
      <w:r w:rsidRPr="00FF2C6B">
        <w:rPr>
          <w:rFonts w:ascii="Arial" w:hAnsi="Arial" w:cs="Arial"/>
          <w:i/>
          <w:sz w:val="20"/>
          <w:szCs w:val="20"/>
        </w:rPr>
        <w:t xml:space="preserve"> Horwood v Horwood </w:t>
      </w:r>
      <w:r w:rsidRPr="00FF2C6B">
        <w:rPr>
          <w:rFonts w:ascii="Arial" w:hAnsi="Arial" w:cs="Arial"/>
          <w:sz w:val="20"/>
          <w:szCs w:val="20"/>
        </w:rPr>
        <w:t>1936 (1) PH F74.</w:t>
      </w:r>
    </w:p>
  </w:footnote>
  <w:footnote w:id="29">
    <w:p w:rsidR="003A1020" w:rsidRPr="004F5E96" w:rsidRDefault="003A1020" w:rsidP="004F5E96">
      <w:pPr>
        <w:pStyle w:val="FootnoteText"/>
        <w:jc w:val="both"/>
        <w:rPr>
          <w:rFonts w:ascii="Arial" w:hAnsi="Arial" w:cs="Arial"/>
        </w:rPr>
      </w:pPr>
      <w:r w:rsidRPr="00FF2C6B">
        <w:rPr>
          <w:rStyle w:val="FootnoteReference"/>
          <w:rFonts w:ascii="Arial" w:hAnsi="Arial" w:cs="Arial"/>
        </w:rPr>
        <w:footnoteRef/>
      </w:r>
      <w:r w:rsidRPr="00FF2C6B">
        <w:rPr>
          <w:rFonts w:ascii="Arial" w:hAnsi="Arial" w:cs="Arial"/>
        </w:rPr>
        <w:t xml:space="preserve"> </w:t>
      </w:r>
      <w:r w:rsidRPr="00FF2C6B">
        <w:rPr>
          <w:rFonts w:ascii="Arial" w:hAnsi="Arial" w:cs="Arial"/>
          <w:i/>
        </w:rPr>
        <w:t xml:space="preserve">Booysen and Others v Booysen and Others </w:t>
      </w:r>
      <w:r w:rsidRPr="00FF2C6B">
        <w:rPr>
          <w:rFonts w:ascii="Arial" w:hAnsi="Arial" w:cs="Arial"/>
        </w:rPr>
        <w:t>2012 (2) SA 38 (GSJ).</w:t>
      </w:r>
    </w:p>
  </w:footnote>
  <w:footnote w:id="30">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De Wet and Others v Western Bank Ltd</w:t>
      </w:r>
      <w:r w:rsidRPr="005F0C01">
        <w:rPr>
          <w:rFonts w:ascii="Arial" w:hAnsi="Arial" w:cs="Arial"/>
        </w:rPr>
        <w:t xml:space="preserve"> 1977 (4) SA 770 (T) at 780.</w:t>
      </w:r>
    </w:p>
  </w:footnote>
  <w:footnote w:id="31">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Mutebwa v Mutebwa</w:t>
      </w:r>
      <w:r w:rsidRPr="005F0C01">
        <w:rPr>
          <w:rFonts w:ascii="Arial" w:hAnsi="Arial" w:cs="Arial"/>
        </w:rPr>
        <w:t xml:space="preserve"> </w:t>
      </w:r>
      <w:r w:rsidRPr="005F0C01">
        <w:rPr>
          <w:rFonts w:ascii="Arial" w:hAnsi="Arial" w:cs="Arial"/>
          <w:i/>
        </w:rPr>
        <w:t>and Another</w:t>
      </w:r>
      <w:r w:rsidRPr="005F0C01">
        <w:rPr>
          <w:rFonts w:ascii="Arial" w:hAnsi="Arial" w:cs="Arial"/>
        </w:rPr>
        <w:t xml:space="preserve"> 2001 (2) SA 193 (TkH) para 12; and </w:t>
      </w:r>
      <w:r w:rsidRPr="005F0C01">
        <w:rPr>
          <w:rFonts w:ascii="Arial" w:hAnsi="Arial" w:cs="Arial"/>
          <w:i/>
        </w:rPr>
        <w:t>Swart v Absa Bank Ltd</w:t>
      </w:r>
      <w:r w:rsidRPr="005F0C01">
        <w:rPr>
          <w:rFonts w:ascii="Arial" w:hAnsi="Arial" w:cs="Arial"/>
        </w:rPr>
        <w:t xml:space="preserve"> 2009 (5) SA 219 (C))</w:t>
      </w:r>
      <w:r>
        <w:rPr>
          <w:rFonts w:ascii="Arial" w:hAnsi="Arial" w:cs="Arial"/>
        </w:rPr>
        <w:t>.</w:t>
      </w:r>
    </w:p>
  </w:footnote>
  <w:footnote w:id="32">
    <w:p w:rsidR="003A1020" w:rsidRPr="005F0C01" w:rsidRDefault="003A1020" w:rsidP="005F0C01">
      <w:pPr>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w:t>
      </w:r>
      <w:r w:rsidRPr="005F0C01">
        <w:rPr>
          <w:rFonts w:ascii="Arial" w:hAnsi="Arial" w:cs="Arial"/>
          <w:i/>
          <w:sz w:val="20"/>
          <w:szCs w:val="20"/>
        </w:rPr>
        <w:t>Van Rensb</w:t>
      </w:r>
      <w:r>
        <w:rPr>
          <w:rFonts w:ascii="Arial" w:hAnsi="Arial" w:cs="Arial"/>
          <w:i/>
          <w:sz w:val="20"/>
          <w:szCs w:val="20"/>
        </w:rPr>
        <w:t>u</w:t>
      </w:r>
      <w:r w:rsidRPr="005F0C01">
        <w:rPr>
          <w:rFonts w:ascii="Arial" w:hAnsi="Arial" w:cs="Arial"/>
          <w:i/>
          <w:sz w:val="20"/>
          <w:szCs w:val="20"/>
        </w:rPr>
        <w:t>rg v Van Rensb</w:t>
      </w:r>
      <w:r>
        <w:rPr>
          <w:rFonts w:ascii="Arial" w:hAnsi="Arial" w:cs="Arial"/>
          <w:i/>
          <w:sz w:val="20"/>
          <w:szCs w:val="20"/>
        </w:rPr>
        <w:t>u</w:t>
      </w:r>
      <w:r w:rsidRPr="005F0C01">
        <w:rPr>
          <w:rFonts w:ascii="Arial" w:hAnsi="Arial" w:cs="Arial"/>
          <w:i/>
          <w:sz w:val="20"/>
          <w:szCs w:val="20"/>
        </w:rPr>
        <w:t>rg en Andere</w:t>
      </w:r>
      <w:r w:rsidRPr="005F0C01">
        <w:rPr>
          <w:rFonts w:ascii="Arial" w:hAnsi="Arial" w:cs="Arial"/>
          <w:sz w:val="20"/>
          <w:szCs w:val="20"/>
        </w:rPr>
        <w:t xml:space="preserve"> 1963 (1) SA 505 (A) at 509D</w:t>
      </w:r>
      <w:r>
        <w:rPr>
          <w:rFonts w:ascii="Arial" w:hAnsi="Arial" w:cs="Arial"/>
          <w:sz w:val="20"/>
          <w:szCs w:val="20"/>
        </w:rPr>
        <w:t>-</w:t>
      </w:r>
      <w:r w:rsidRPr="005F0C01">
        <w:rPr>
          <w:rFonts w:ascii="Arial" w:hAnsi="Arial" w:cs="Arial"/>
          <w:sz w:val="20"/>
          <w:szCs w:val="20"/>
        </w:rPr>
        <w:t xml:space="preserve">510D; </w:t>
      </w:r>
      <w:r w:rsidRPr="005F0C01">
        <w:rPr>
          <w:rFonts w:ascii="Arial" w:hAnsi="Arial" w:cs="Arial"/>
          <w:i/>
          <w:sz w:val="20"/>
          <w:szCs w:val="20"/>
        </w:rPr>
        <w:t>Cole v Government of the Union of South Africa</w:t>
      </w:r>
      <w:r w:rsidRPr="005F0C01">
        <w:rPr>
          <w:rFonts w:ascii="Arial" w:hAnsi="Arial" w:cs="Arial"/>
          <w:sz w:val="20"/>
          <w:szCs w:val="20"/>
        </w:rPr>
        <w:t xml:space="preserve"> 1910 AD 263 at 272-273; </w:t>
      </w:r>
      <w:r w:rsidRPr="005F0C01">
        <w:rPr>
          <w:rFonts w:ascii="Arial" w:hAnsi="Arial" w:cs="Arial"/>
          <w:i/>
          <w:sz w:val="20"/>
          <w:szCs w:val="20"/>
        </w:rPr>
        <w:t>Paddock Motors (Pty) Ltd v Igesund</w:t>
      </w:r>
      <w:r w:rsidRPr="005F0C01">
        <w:rPr>
          <w:rFonts w:ascii="Arial" w:hAnsi="Arial" w:cs="Arial"/>
          <w:sz w:val="20"/>
          <w:szCs w:val="20"/>
        </w:rPr>
        <w:t xml:space="preserve"> 1976 (3) SA 16 (A) at 23D-24G; and </w:t>
      </w:r>
      <w:r w:rsidRPr="005F0C01">
        <w:rPr>
          <w:rFonts w:ascii="Arial" w:hAnsi="Arial" w:cs="Arial"/>
          <w:i/>
          <w:sz w:val="20"/>
          <w:szCs w:val="20"/>
        </w:rPr>
        <w:t>Alexkor Ltd and</w:t>
      </w:r>
      <w:r w:rsidRPr="005F0C01">
        <w:rPr>
          <w:rFonts w:ascii="Arial" w:hAnsi="Arial" w:cs="Arial"/>
          <w:sz w:val="20"/>
          <w:szCs w:val="20"/>
        </w:rPr>
        <w:t xml:space="preserve"> </w:t>
      </w:r>
      <w:r w:rsidRPr="005F0C01">
        <w:rPr>
          <w:rFonts w:ascii="Arial" w:hAnsi="Arial" w:cs="Arial"/>
          <w:i/>
          <w:sz w:val="20"/>
          <w:szCs w:val="20"/>
        </w:rPr>
        <w:t>Another v The Richtersveld Community and Others</w:t>
      </w:r>
      <w:r w:rsidRPr="005F0C01">
        <w:rPr>
          <w:rFonts w:ascii="Arial" w:hAnsi="Arial" w:cs="Arial"/>
          <w:sz w:val="20"/>
          <w:szCs w:val="20"/>
        </w:rPr>
        <w:t xml:space="preserve"> 2004 (5) SA 460 (CC) para 43.</w:t>
      </w:r>
    </w:p>
  </w:footnote>
  <w:footnote w:id="33">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See </w:t>
      </w:r>
      <w:r w:rsidRPr="005F0C01">
        <w:rPr>
          <w:rFonts w:ascii="Arial" w:hAnsi="Arial" w:cs="Arial"/>
          <w:i/>
        </w:rPr>
        <w:t>Bakoven Ltd v G J Howes</w:t>
      </w:r>
      <w:r w:rsidRPr="005F0C01">
        <w:rPr>
          <w:rFonts w:ascii="Arial" w:hAnsi="Arial" w:cs="Arial"/>
        </w:rPr>
        <w:t xml:space="preserve"> </w:t>
      </w:r>
      <w:r w:rsidRPr="005F0C01">
        <w:rPr>
          <w:rFonts w:ascii="Arial" w:hAnsi="Arial" w:cs="Arial"/>
          <w:i/>
        </w:rPr>
        <w:t>(Pty) Ltd</w:t>
      </w:r>
      <w:r w:rsidRPr="005F0C01">
        <w:rPr>
          <w:rFonts w:ascii="Arial" w:hAnsi="Arial" w:cs="Arial"/>
        </w:rPr>
        <w:t xml:space="preserve"> 1992 (2) SA 466 (E) at 471E-F; and </w:t>
      </w:r>
      <w:r w:rsidRPr="005F0C01">
        <w:rPr>
          <w:rFonts w:ascii="Arial" w:hAnsi="Arial" w:cs="Arial"/>
          <w:i/>
        </w:rPr>
        <w:t>Pr</w:t>
      </w:r>
      <w:r>
        <w:rPr>
          <w:rFonts w:ascii="Arial" w:hAnsi="Arial" w:cs="Arial"/>
          <w:i/>
        </w:rPr>
        <w:t>o</w:t>
      </w:r>
      <w:r w:rsidRPr="005F0C01">
        <w:rPr>
          <w:rFonts w:ascii="Arial" w:hAnsi="Arial" w:cs="Arial"/>
          <w:i/>
        </w:rPr>
        <w:t>media Drukkers &amp; Uitgewers (Edms) Bpk v Kaimowitz and Others</w:t>
      </w:r>
      <w:r w:rsidRPr="005F0C01">
        <w:rPr>
          <w:rFonts w:ascii="Arial" w:hAnsi="Arial" w:cs="Arial"/>
        </w:rPr>
        <w:t xml:space="preserve"> 1996 (4) SA 411 (C) at 417B.</w:t>
      </w:r>
    </w:p>
  </w:footnote>
  <w:footnote w:id="34">
    <w:p w:rsidR="003A1020" w:rsidRPr="00860C3B"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Kgomo and Another v Standard Bank of South Africa</w:t>
      </w:r>
      <w:r w:rsidRPr="005F0C01">
        <w:rPr>
          <w:rFonts w:ascii="Arial" w:hAnsi="Arial" w:cs="Arial"/>
        </w:rPr>
        <w:t xml:space="preserve"> </w:t>
      </w:r>
      <w:r w:rsidRPr="005F0C01">
        <w:rPr>
          <w:rFonts w:ascii="Arial" w:hAnsi="Arial" w:cs="Arial"/>
          <w:i/>
        </w:rPr>
        <w:t>and Others</w:t>
      </w:r>
      <w:r w:rsidRPr="005F0C01">
        <w:rPr>
          <w:rFonts w:ascii="Arial" w:hAnsi="Arial" w:cs="Arial"/>
        </w:rPr>
        <w:t xml:space="preserve"> 2016 (2) SA 184 (GP</w:t>
      </w:r>
      <w:r w:rsidRPr="005F0C01">
        <w:rPr>
          <w:rFonts w:ascii="Arial" w:hAnsi="Arial" w:cs="Arial"/>
          <w:i/>
        </w:rPr>
        <w:t>)</w:t>
      </w:r>
      <w:r w:rsidRPr="005F0C01">
        <w:rPr>
          <w:rFonts w:ascii="Arial" w:hAnsi="Arial" w:cs="Arial"/>
        </w:rPr>
        <w:t>.</w:t>
      </w:r>
    </w:p>
  </w:footnote>
  <w:footnote w:id="35">
    <w:p w:rsidR="003A1020" w:rsidRPr="005F0C01" w:rsidRDefault="003A1020" w:rsidP="005F0C01">
      <w:pPr>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See </w:t>
      </w:r>
      <w:r w:rsidRPr="005F0C01">
        <w:rPr>
          <w:rFonts w:ascii="Arial" w:hAnsi="Arial" w:cs="Arial"/>
          <w:i/>
          <w:sz w:val="20"/>
          <w:szCs w:val="20"/>
        </w:rPr>
        <w:t>Ex Parte Naude</w:t>
      </w:r>
      <w:r w:rsidRPr="005F0C01">
        <w:rPr>
          <w:rFonts w:ascii="Arial" w:hAnsi="Arial" w:cs="Arial"/>
          <w:sz w:val="20"/>
          <w:szCs w:val="20"/>
        </w:rPr>
        <w:t xml:space="preserve"> 1964 (1) SA 763 (D) at 764.</w:t>
      </w:r>
    </w:p>
  </w:footnote>
  <w:footnote w:id="36">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Tshabalala and Another v Peer</w:t>
      </w:r>
      <w:r w:rsidRPr="005F0C01">
        <w:rPr>
          <w:rFonts w:ascii="Arial" w:hAnsi="Arial" w:cs="Arial"/>
        </w:rPr>
        <w:t xml:space="preserve"> 1979 (4) SA 27 (T) at 30D;</w:t>
      </w:r>
      <w:r w:rsidRPr="005F0C01">
        <w:rPr>
          <w:rFonts w:ascii="Arial" w:hAnsi="Arial" w:cs="Arial"/>
          <w:i/>
        </w:rPr>
        <w:t xml:space="preserve"> Bakoven Ltd v G J Howes</w:t>
      </w:r>
      <w:r w:rsidRPr="005F0C01">
        <w:rPr>
          <w:rFonts w:ascii="Arial" w:hAnsi="Arial" w:cs="Arial"/>
        </w:rPr>
        <w:t xml:space="preserve"> </w:t>
      </w:r>
      <w:r w:rsidRPr="005F0C01">
        <w:rPr>
          <w:rFonts w:ascii="Arial" w:hAnsi="Arial" w:cs="Arial"/>
          <w:i/>
        </w:rPr>
        <w:t>(Pty) Ltd</w:t>
      </w:r>
      <w:r w:rsidRPr="005F0C01">
        <w:rPr>
          <w:rFonts w:ascii="Arial" w:hAnsi="Arial" w:cs="Arial"/>
        </w:rPr>
        <w:t xml:space="preserve"> 1992 (2) SA 466 (E) at 471G; </w:t>
      </w:r>
      <w:r w:rsidRPr="005F0C01">
        <w:rPr>
          <w:rFonts w:ascii="Arial" w:hAnsi="Arial" w:cs="Arial"/>
          <w:i/>
        </w:rPr>
        <w:t>Naidoo v Somai</w:t>
      </w:r>
      <w:r w:rsidRPr="005F0C01">
        <w:rPr>
          <w:rFonts w:ascii="Arial" w:hAnsi="Arial" w:cs="Arial"/>
        </w:rPr>
        <w:t xml:space="preserve"> </w:t>
      </w:r>
      <w:r w:rsidRPr="005F0C01">
        <w:rPr>
          <w:rFonts w:ascii="Arial" w:hAnsi="Arial" w:cs="Arial"/>
          <w:i/>
        </w:rPr>
        <w:t>and Others</w:t>
      </w:r>
      <w:r w:rsidRPr="005F0C01">
        <w:rPr>
          <w:rFonts w:ascii="Arial" w:hAnsi="Arial" w:cs="Arial"/>
        </w:rPr>
        <w:t xml:space="preserve"> 2011 (1) SA 219 (KZD) at </w:t>
      </w:r>
      <w:r w:rsidRPr="00567277">
        <w:rPr>
          <w:rFonts w:ascii="Arial" w:hAnsi="Arial" w:cs="Arial"/>
        </w:rPr>
        <w:t xml:space="preserve">220F-G; and </w:t>
      </w:r>
      <w:r w:rsidRPr="00567277">
        <w:rPr>
          <w:rFonts w:ascii="Arial" w:hAnsi="Arial" w:cs="Arial"/>
          <w:i/>
        </w:rPr>
        <w:t>Rossitter and Others v Nedbank Ltd</w:t>
      </w:r>
      <w:r w:rsidRPr="00567277">
        <w:rPr>
          <w:rFonts w:ascii="Arial" w:hAnsi="Arial" w:cs="Arial"/>
        </w:rPr>
        <w:t xml:space="preserve"> (96/2014) [2015] ZASCA 196 (1 December 2015) para 16.</w:t>
      </w:r>
    </w:p>
  </w:footnote>
  <w:footnote w:id="37">
    <w:p w:rsidR="003A1020" w:rsidRPr="005F0C01" w:rsidRDefault="003A1020" w:rsidP="005F0C01">
      <w:pPr>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w:t>
      </w:r>
      <w:r w:rsidRPr="005F0C01">
        <w:rPr>
          <w:rFonts w:ascii="Arial" w:hAnsi="Arial" w:cs="Arial"/>
          <w:i/>
          <w:sz w:val="20"/>
          <w:szCs w:val="20"/>
        </w:rPr>
        <w:t xml:space="preserve">Nyingwa v Moolman NO </w:t>
      </w:r>
      <w:r w:rsidRPr="005F0C01">
        <w:rPr>
          <w:rFonts w:ascii="Arial" w:hAnsi="Arial" w:cs="Arial"/>
          <w:sz w:val="20"/>
          <w:szCs w:val="20"/>
        </w:rPr>
        <w:t>1993 (2) SA 508 (TK) at 510 D-G</w:t>
      </w:r>
      <w:r w:rsidRPr="005F0C01">
        <w:rPr>
          <w:rFonts w:ascii="Arial" w:hAnsi="Arial" w:cs="Arial"/>
          <w:i/>
          <w:sz w:val="20"/>
          <w:szCs w:val="20"/>
        </w:rPr>
        <w:t>; Naidoo and Another v Matlala</w:t>
      </w:r>
      <w:r w:rsidRPr="005F0C01">
        <w:rPr>
          <w:rFonts w:ascii="Arial" w:hAnsi="Arial" w:cs="Arial"/>
          <w:sz w:val="20"/>
          <w:szCs w:val="20"/>
        </w:rPr>
        <w:t xml:space="preserve"> </w:t>
      </w:r>
      <w:r w:rsidRPr="005F0C01">
        <w:rPr>
          <w:rFonts w:ascii="Arial" w:hAnsi="Arial" w:cs="Arial"/>
          <w:i/>
          <w:sz w:val="20"/>
          <w:szCs w:val="20"/>
        </w:rPr>
        <w:t xml:space="preserve">NO and Others </w:t>
      </w:r>
      <w:r w:rsidRPr="005F0C01">
        <w:rPr>
          <w:rFonts w:ascii="Arial" w:hAnsi="Arial" w:cs="Arial"/>
          <w:sz w:val="20"/>
          <w:szCs w:val="20"/>
        </w:rPr>
        <w:t xml:space="preserve">2012 (4) SA 143 (GNP) at 153C; and </w:t>
      </w:r>
      <w:r w:rsidRPr="005F0C01">
        <w:rPr>
          <w:rFonts w:ascii="Arial" w:hAnsi="Arial" w:cs="Arial"/>
          <w:i/>
          <w:sz w:val="20"/>
          <w:szCs w:val="20"/>
        </w:rPr>
        <w:t>Thomani and Another v Seboka</w:t>
      </w:r>
      <w:r w:rsidRPr="005F0C01">
        <w:rPr>
          <w:rFonts w:ascii="Arial" w:hAnsi="Arial" w:cs="Arial"/>
          <w:sz w:val="20"/>
          <w:szCs w:val="20"/>
        </w:rPr>
        <w:t xml:space="preserve"> </w:t>
      </w:r>
      <w:r w:rsidRPr="005F0C01">
        <w:rPr>
          <w:rFonts w:ascii="Arial" w:hAnsi="Arial" w:cs="Arial"/>
          <w:i/>
          <w:sz w:val="20"/>
          <w:szCs w:val="20"/>
        </w:rPr>
        <w:t>NO and Others</w:t>
      </w:r>
      <w:r w:rsidRPr="005F0C01">
        <w:rPr>
          <w:rFonts w:ascii="Arial" w:hAnsi="Arial" w:cs="Arial"/>
          <w:sz w:val="20"/>
          <w:szCs w:val="20"/>
        </w:rPr>
        <w:t xml:space="preserve"> 2017 (1) SA 51 (GP) at 58C-E.</w:t>
      </w:r>
    </w:p>
  </w:footnote>
  <w:footnote w:id="38">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De Wet and Others v Western Bank Ltd</w:t>
      </w:r>
      <w:r w:rsidRPr="005F0C01">
        <w:rPr>
          <w:rFonts w:ascii="Arial" w:hAnsi="Arial" w:cs="Arial"/>
        </w:rPr>
        <w:t xml:space="preserve"> 1979 (2) SA 1031 (A) at 1038D</w:t>
      </w:r>
      <w:r>
        <w:rPr>
          <w:rFonts w:ascii="Arial" w:hAnsi="Arial" w:cs="Arial"/>
        </w:rPr>
        <w:t>-E</w:t>
      </w:r>
      <w:r w:rsidRPr="005F0C01">
        <w:rPr>
          <w:rFonts w:ascii="Arial" w:hAnsi="Arial" w:cs="Arial"/>
        </w:rPr>
        <w:t>.</w:t>
      </w:r>
    </w:p>
  </w:footnote>
  <w:footnote w:id="39">
    <w:p w:rsidR="003A1020" w:rsidRDefault="003A1020" w:rsidP="005F0C01">
      <w:pPr>
        <w:pStyle w:val="FootnoteText"/>
        <w:jc w:val="both"/>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Athmara</w:t>
      </w:r>
      <w:r>
        <w:rPr>
          <w:rFonts w:ascii="Arial" w:hAnsi="Arial" w:cs="Arial"/>
          <w:i/>
        </w:rPr>
        <w:t>m</w:t>
      </w:r>
      <w:r w:rsidRPr="005F0C01">
        <w:rPr>
          <w:rFonts w:ascii="Arial" w:hAnsi="Arial" w:cs="Arial"/>
          <w:i/>
        </w:rPr>
        <w:t xml:space="preserve"> v Singh</w:t>
      </w:r>
      <w:r w:rsidRPr="005F0C01">
        <w:rPr>
          <w:rFonts w:ascii="Arial" w:hAnsi="Arial" w:cs="Arial"/>
        </w:rPr>
        <w:t xml:space="preserve"> 1989 (3) SA 953 (D) at 956D and 956I</w:t>
      </w:r>
      <w:r>
        <w:rPr>
          <w:rFonts w:ascii="Arial" w:hAnsi="Arial" w:cs="Arial"/>
        </w:rPr>
        <w:t>.</w:t>
      </w:r>
    </w:p>
  </w:footnote>
  <w:footnote w:id="40">
    <w:p w:rsidR="003A1020" w:rsidRPr="005F0C01" w:rsidRDefault="003A1020" w:rsidP="005F0C01">
      <w:pPr>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w:t>
      </w:r>
      <w:r w:rsidRPr="005F0C01">
        <w:rPr>
          <w:rFonts w:ascii="Arial" w:hAnsi="Arial" w:cs="Arial"/>
          <w:i/>
          <w:sz w:val="20"/>
          <w:szCs w:val="20"/>
        </w:rPr>
        <w:t>Lodhi 2 Properties</w:t>
      </w:r>
      <w:r w:rsidRPr="005F0C01">
        <w:rPr>
          <w:rFonts w:ascii="Arial" w:hAnsi="Arial" w:cs="Arial"/>
          <w:sz w:val="20"/>
          <w:szCs w:val="20"/>
        </w:rPr>
        <w:t xml:space="preserve"> </w:t>
      </w:r>
      <w:r w:rsidRPr="005F0C01">
        <w:rPr>
          <w:rFonts w:ascii="Arial" w:hAnsi="Arial" w:cs="Arial"/>
          <w:i/>
          <w:sz w:val="20"/>
          <w:szCs w:val="20"/>
        </w:rPr>
        <w:t xml:space="preserve">Investments CC v Bondev Developments (Pty) Ltd </w:t>
      </w:r>
      <w:r w:rsidRPr="005F0C01">
        <w:rPr>
          <w:rFonts w:ascii="Arial" w:hAnsi="Arial" w:cs="Arial"/>
          <w:sz w:val="20"/>
          <w:szCs w:val="20"/>
        </w:rPr>
        <w:t xml:space="preserve">2007 (6) SA 87 (SCA) at 93C-H; and </w:t>
      </w:r>
      <w:r w:rsidRPr="005F0C01">
        <w:rPr>
          <w:rFonts w:ascii="Arial" w:hAnsi="Arial" w:cs="Arial"/>
          <w:i/>
          <w:sz w:val="20"/>
          <w:szCs w:val="20"/>
        </w:rPr>
        <w:t>President of the Republic of South Africa v Eisenberg and Associates</w:t>
      </w:r>
      <w:r w:rsidRPr="005F0C01">
        <w:rPr>
          <w:rFonts w:ascii="Arial" w:hAnsi="Arial" w:cs="Arial"/>
          <w:sz w:val="20"/>
          <w:szCs w:val="20"/>
        </w:rPr>
        <w:t xml:space="preserve"> </w:t>
      </w:r>
      <w:r w:rsidRPr="005F0C01">
        <w:rPr>
          <w:rFonts w:ascii="Arial" w:hAnsi="Arial" w:cs="Arial"/>
          <w:i/>
          <w:sz w:val="20"/>
          <w:szCs w:val="20"/>
        </w:rPr>
        <w:t>(Minister of Home Affairs Intervening)</w:t>
      </w:r>
      <w:r w:rsidRPr="005F0C01">
        <w:rPr>
          <w:rFonts w:ascii="Arial" w:hAnsi="Arial" w:cs="Arial"/>
          <w:sz w:val="20"/>
          <w:szCs w:val="20"/>
        </w:rPr>
        <w:t xml:space="preserve"> 2005 (1) SA 247 (C) at 264D-H.</w:t>
      </w:r>
    </w:p>
  </w:footnote>
  <w:footnote w:id="41">
    <w:p w:rsidR="003A1020" w:rsidRPr="005F0C01" w:rsidRDefault="003A1020" w:rsidP="005F0C01">
      <w:pPr>
        <w:ind w:left="720" w:hanging="720"/>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w:t>
      </w:r>
      <w:r w:rsidRPr="00FA28F4">
        <w:rPr>
          <w:rFonts w:ascii="Arial" w:hAnsi="Arial" w:cs="Arial"/>
          <w:i/>
          <w:sz w:val="20"/>
          <w:szCs w:val="20"/>
        </w:rPr>
        <w:t>Erasmus</w:t>
      </w:r>
      <w:r w:rsidRPr="005F0C01">
        <w:rPr>
          <w:rFonts w:ascii="Arial" w:hAnsi="Arial" w:cs="Arial"/>
          <w:sz w:val="20"/>
          <w:szCs w:val="20"/>
        </w:rPr>
        <w:t xml:space="preserve"> </w:t>
      </w:r>
      <w:r w:rsidRPr="005F0C01">
        <w:rPr>
          <w:rFonts w:ascii="Arial" w:hAnsi="Arial" w:cs="Arial"/>
          <w:i/>
          <w:sz w:val="20"/>
          <w:szCs w:val="20"/>
        </w:rPr>
        <w:t xml:space="preserve">Superior Court Practice </w:t>
      </w:r>
      <w:r w:rsidRPr="005F0C01">
        <w:rPr>
          <w:rFonts w:ascii="Arial" w:hAnsi="Arial" w:cs="Arial"/>
          <w:sz w:val="20"/>
          <w:szCs w:val="20"/>
        </w:rPr>
        <w:t>(RS20, 2022) at D1-562D.</w:t>
      </w:r>
    </w:p>
  </w:footnote>
  <w:footnote w:id="42">
    <w:p w:rsidR="003A1020" w:rsidRPr="005F0C01" w:rsidRDefault="003A1020" w:rsidP="005F0C01">
      <w:pPr>
        <w:ind w:left="720" w:hanging="720"/>
        <w:jc w:val="both"/>
        <w:rPr>
          <w:rFonts w:ascii="Arial" w:hAnsi="Arial" w:cs="Arial"/>
          <w:sz w:val="20"/>
          <w:szCs w:val="20"/>
        </w:rPr>
      </w:pPr>
      <w:r w:rsidRPr="005F0C01">
        <w:rPr>
          <w:rStyle w:val="FootnoteReference"/>
          <w:rFonts w:ascii="Arial" w:hAnsi="Arial" w:cs="Arial"/>
          <w:sz w:val="20"/>
          <w:szCs w:val="20"/>
        </w:rPr>
        <w:footnoteRef/>
      </w:r>
      <w:r w:rsidRPr="005F0C01">
        <w:rPr>
          <w:rFonts w:ascii="Arial" w:hAnsi="Arial" w:cs="Arial"/>
          <w:sz w:val="20"/>
          <w:szCs w:val="20"/>
        </w:rPr>
        <w:t xml:space="preserve"> </w:t>
      </w:r>
      <w:r w:rsidRPr="005F0C01">
        <w:rPr>
          <w:rFonts w:ascii="Arial" w:hAnsi="Arial" w:cs="Arial"/>
          <w:i/>
          <w:sz w:val="20"/>
          <w:szCs w:val="20"/>
        </w:rPr>
        <w:t>Viljoen v Federated Trust Ltd</w:t>
      </w:r>
      <w:r w:rsidRPr="005F0C01">
        <w:rPr>
          <w:rFonts w:ascii="Arial" w:hAnsi="Arial" w:cs="Arial"/>
          <w:sz w:val="20"/>
          <w:szCs w:val="20"/>
        </w:rPr>
        <w:t xml:space="preserve"> 1971 (1) SA 750 (O); and </w:t>
      </w:r>
      <w:r w:rsidRPr="005F0C01">
        <w:rPr>
          <w:rFonts w:ascii="Arial" w:hAnsi="Arial" w:cs="Arial"/>
          <w:i/>
          <w:sz w:val="20"/>
          <w:szCs w:val="20"/>
        </w:rPr>
        <w:t>Smit v Van Tonder</w:t>
      </w:r>
      <w:r w:rsidRPr="005F0C01">
        <w:rPr>
          <w:rFonts w:ascii="Arial" w:hAnsi="Arial" w:cs="Arial"/>
          <w:sz w:val="20"/>
          <w:szCs w:val="20"/>
        </w:rPr>
        <w:t xml:space="preserve"> 1957 (1) SA 421 (T).</w:t>
      </w:r>
    </w:p>
  </w:footnote>
  <w:footnote w:id="43">
    <w:p w:rsidR="003A1020" w:rsidRPr="00F55C6D" w:rsidRDefault="003A1020" w:rsidP="005F0C01">
      <w:pPr>
        <w:pStyle w:val="FootnoteText"/>
        <w:jc w:val="both"/>
      </w:pPr>
      <w:r w:rsidRPr="00026533">
        <w:rPr>
          <w:rStyle w:val="FootnoteReference"/>
          <w:rFonts w:ascii="Arial" w:hAnsi="Arial" w:cs="Arial"/>
        </w:rPr>
        <w:footnoteRef/>
      </w:r>
      <w:r w:rsidRPr="00026533">
        <w:rPr>
          <w:rFonts w:ascii="Arial" w:hAnsi="Arial" w:cs="Arial"/>
        </w:rPr>
        <w:t xml:space="preserve"> </w:t>
      </w:r>
      <w:r w:rsidRPr="00026533">
        <w:rPr>
          <w:rFonts w:ascii="Arial" w:hAnsi="Arial" w:cs="Arial"/>
          <w:i/>
        </w:rPr>
        <w:t>De Wet and Others v Western Bank Ltd</w:t>
      </w:r>
      <w:r w:rsidRPr="00026533">
        <w:rPr>
          <w:rFonts w:ascii="Arial" w:hAnsi="Arial" w:cs="Arial"/>
        </w:rPr>
        <w:t xml:space="preserve"> 1979 (2) SA 1031 (A) at 1042.</w:t>
      </w:r>
    </w:p>
  </w:footnote>
  <w:footnote w:id="44">
    <w:p w:rsidR="003A1020" w:rsidRPr="00F55C6D" w:rsidRDefault="003A1020" w:rsidP="00020342">
      <w:pPr>
        <w:jc w:val="both"/>
        <w:rPr>
          <w:rFonts w:ascii="Arial" w:hAnsi="Arial" w:cs="Arial"/>
          <w:sz w:val="20"/>
          <w:szCs w:val="20"/>
        </w:rPr>
      </w:pPr>
      <w:r w:rsidRPr="00F55C6D">
        <w:rPr>
          <w:rStyle w:val="FootnoteReference"/>
          <w:rFonts w:ascii="Arial" w:hAnsi="Arial" w:cs="Arial"/>
          <w:sz w:val="20"/>
          <w:szCs w:val="20"/>
        </w:rPr>
        <w:footnoteRef/>
      </w:r>
      <w:r w:rsidRPr="00F55C6D">
        <w:rPr>
          <w:rFonts w:ascii="Arial" w:hAnsi="Arial" w:cs="Arial"/>
          <w:sz w:val="20"/>
          <w:szCs w:val="20"/>
        </w:rPr>
        <w:t xml:space="preserve"> </w:t>
      </w:r>
      <w:r w:rsidRPr="00F55C6D">
        <w:rPr>
          <w:rFonts w:ascii="Arial" w:hAnsi="Arial" w:cs="Arial"/>
          <w:i/>
          <w:sz w:val="20"/>
          <w:szCs w:val="20"/>
        </w:rPr>
        <w:t>Chetty v Law Society, Transvaal</w:t>
      </w:r>
      <w:r w:rsidRPr="00F55C6D">
        <w:rPr>
          <w:rFonts w:ascii="Arial" w:hAnsi="Arial" w:cs="Arial"/>
          <w:sz w:val="20"/>
          <w:szCs w:val="20"/>
        </w:rPr>
        <w:t xml:space="preserve"> 1985 (2) SA 756 (A) at 761H-J.</w:t>
      </w:r>
    </w:p>
  </w:footnote>
  <w:footnote w:id="45">
    <w:p w:rsidR="003A1020" w:rsidRPr="00020342" w:rsidRDefault="003A1020" w:rsidP="00020342">
      <w:pPr>
        <w:pStyle w:val="FootnoteText"/>
        <w:jc w:val="both"/>
        <w:rPr>
          <w:rFonts w:ascii="Arial" w:hAnsi="Arial" w:cs="Arial"/>
        </w:rPr>
      </w:pPr>
      <w:r w:rsidRPr="00F55C6D">
        <w:rPr>
          <w:rStyle w:val="FootnoteReference"/>
          <w:rFonts w:ascii="Arial" w:hAnsi="Arial" w:cs="Arial"/>
        </w:rPr>
        <w:footnoteRef/>
      </w:r>
      <w:r w:rsidRPr="00F55C6D">
        <w:rPr>
          <w:rFonts w:ascii="Arial" w:hAnsi="Arial" w:cs="Arial"/>
        </w:rPr>
        <w:t xml:space="preserve"> </w:t>
      </w:r>
      <w:r w:rsidRPr="00F55C6D">
        <w:rPr>
          <w:rFonts w:ascii="Arial" w:hAnsi="Arial" w:cs="Arial"/>
          <w:i/>
        </w:rPr>
        <w:t>Schlesinger v Schlesinger</w:t>
      </w:r>
      <w:r w:rsidRPr="00F55C6D">
        <w:rPr>
          <w:rFonts w:ascii="Arial" w:hAnsi="Arial" w:cs="Arial"/>
        </w:rPr>
        <w:t xml:space="preserve"> 1979 (4) SA 342 (W).</w:t>
      </w:r>
    </w:p>
  </w:footnote>
  <w:footnote w:id="46">
    <w:p w:rsidR="003A1020" w:rsidRDefault="003A1020" w:rsidP="00020342">
      <w:pPr>
        <w:pStyle w:val="FootnoteText"/>
        <w:jc w:val="both"/>
      </w:pPr>
      <w:r w:rsidRPr="00020342">
        <w:rPr>
          <w:rStyle w:val="FootnoteReference"/>
          <w:rFonts w:ascii="Arial" w:hAnsi="Arial" w:cs="Arial"/>
        </w:rPr>
        <w:footnoteRef/>
      </w:r>
      <w:r w:rsidRPr="00020342">
        <w:rPr>
          <w:rFonts w:ascii="Arial" w:hAnsi="Arial" w:cs="Arial"/>
        </w:rPr>
        <w:t xml:space="preserve"> </w:t>
      </w:r>
      <w:r w:rsidRPr="00020342">
        <w:rPr>
          <w:rFonts w:ascii="Arial" w:hAnsi="Arial" w:cs="Arial"/>
          <w:i/>
        </w:rPr>
        <w:t xml:space="preserve">Recycling and Economic Development Initiative of South Africa v Minister of Environmental Affairs </w:t>
      </w:r>
      <w:r w:rsidRPr="00020342">
        <w:rPr>
          <w:rFonts w:ascii="Arial" w:hAnsi="Arial" w:cs="Arial"/>
        </w:rPr>
        <w:t>2019 (3) SA 251 (SCA).</w:t>
      </w:r>
    </w:p>
  </w:footnote>
  <w:footnote w:id="47">
    <w:p w:rsidR="003A1020" w:rsidRPr="007C6FF3" w:rsidRDefault="003A1020" w:rsidP="007C6FF3">
      <w:pPr>
        <w:pStyle w:val="FootnoteText"/>
        <w:jc w:val="both"/>
        <w:rPr>
          <w:rFonts w:ascii="Arial" w:hAnsi="Arial" w:cs="Arial"/>
        </w:rPr>
      </w:pPr>
      <w:r w:rsidRPr="007C6FF3">
        <w:rPr>
          <w:rStyle w:val="FootnoteReference"/>
          <w:rFonts w:ascii="Arial" w:hAnsi="Arial" w:cs="Arial"/>
        </w:rPr>
        <w:footnoteRef/>
      </w:r>
      <w:r w:rsidRPr="007C6FF3">
        <w:rPr>
          <w:rFonts w:ascii="Arial" w:hAnsi="Arial" w:cs="Arial"/>
        </w:rPr>
        <w:t xml:space="preserve"> Annexure “TFK1”.</w:t>
      </w:r>
    </w:p>
  </w:footnote>
  <w:footnote w:id="48">
    <w:p w:rsidR="003A1020" w:rsidRPr="007C6FF3" w:rsidRDefault="003A1020" w:rsidP="007C6FF3">
      <w:pPr>
        <w:pStyle w:val="FootnoteText"/>
        <w:jc w:val="both"/>
        <w:rPr>
          <w:rFonts w:ascii="Arial" w:hAnsi="Arial" w:cs="Arial"/>
        </w:rPr>
      </w:pPr>
      <w:r w:rsidRPr="007C6FF3">
        <w:rPr>
          <w:rStyle w:val="FootnoteReference"/>
          <w:rFonts w:ascii="Arial" w:hAnsi="Arial" w:cs="Arial"/>
        </w:rPr>
        <w:footnoteRef/>
      </w:r>
      <w:r w:rsidRPr="007C6FF3">
        <w:rPr>
          <w:rFonts w:ascii="Arial" w:hAnsi="Arial" w:cs="Arial"/>
        </w:rPr>
        <w:t xml:space="preserve"> Annexures “FA6” and “SA16”.</w:t>
      </w:r>
    </w:p>
  </w:footnote>
  <w:footnote w:id="49">
    <w:p w:rsidR="003A1020" w:rsidRPr="007C6FF3" w:rsidRDefault="003A1020" w:rsidP="007C6FF3">
      <w:pPr>
        <w:pStyle w:val="FootnoteText"/>
        <w:jc w:val="both"/>
        <w:rPr>
          <w:lang w:val="en-GB"/>
        </w:rPr>
      </w:pPr>
      <w:r w:rsidRPr="007C6FF3">
        <w:rPr>
          <w:rStyle w:val="FootnoteReference"/>
          <w:rFonts w:ascii="Arial" w:hAnsi="Arial" w:cs="Arial"/>
        </w:rPr>
        <w:footnoteRef/>
      </w:r>
      <w:r w:rsidRPr="007C6FF3">
        <w:rPr>
          <w:rFonts w:ascii="Arial" w:hAnsi="Arial" w:cs="Arial"/>
        </w:rPr>
        <w:t xml:space="preserve"> Annexure “FA6”.</w:t>
      </w:r>
    </w:p>
  </w:footnote>
  <w:footnote w:id="50">
    <w:p w:rsidR="003A1020" w:rsidRPr="00303962" w:rsidRDefault="003A1020" w:rsidP="00303962">
      <w:pPr>
        <w:spacing w:line="360" w:lineRule="auto"/>
        <w:ind w:left="720" w:hanging="720"/>
        <w:jc w:val="both"/>
        <w:rPr>
          <w:rFonts w:ascii="Arial" w:hAnsi="Arial" w:cs="Arial"/>
          <w:sz w:val="20"/>
          <w:szCs w:val="20"/>
        </w:rPr>
      </w:pPr>
      <w:r w:rsidRPr="00303962">
        <w:rPr>
          <w:rStyle w:val="FootnoteReference"/>
          <w:rFonts w:ascii="Arial" w:hAnsi="Arial" w:cs="Arial"/>
          <w:sz w:val="20"/>
          <w:szCs w:val="20"/>
        </w:rPr>
        <w:footnoteRef/>
      </w:r>
      <w:r w:rsidRPr="00303962">
        <w:rPr>
          <w:rFonts w:ascii="Arial" w:hAnsi="Arial" w:cs="Arial"/>
          <w:sz w:val="20"/>
          <w:szCs w:val="20"/>
        </w:rPr>
        <w:t xml:space="preserve"> Annexures </w:t>
      </w:r>
      <w:r>
        <w:rPr>
          <w:rFonts w:ascii="Arial" w:hAnsi="Arial" w:cs="Arial"/>
          <w:sz w:val="20"/>
          <w:szCs w:val="20"/>
        </w:rPr>
        <w:t>“</w:t>
      </w:r>
      <w:r w:rsidRPr="00303962">
        <w:rPr>
          <w:rFonts w:ascii="Arial" w:hAnsi="Arial" w:cs="Arial"/>
          <w:sz w:val="20"/>
          <w:szCs w:val="20"/>
        </w:rPr>
        <w:t>AA6” and “AA7” to the answering affidavit.</w:t>
      </w:r>
    </w:p>
  </w:footnote>
  <w:footnote w:id="51">
    <w:p w:rsidR="003A1020" w:rsidRPr="005F0C01" w:rsidRDefault="003A1020" w:rsidP="005F0C01">
      <w:pPr>
        <w:pStyle w:val="FootnoteText"/>
        <w:jc w:val="both"/>
        <w:rPr>
          <w:rFonts w:ascii="Arial" w:hAnsi="Arial" w:cs="Arial"/>
        </w:rPr>
      </w:pPr>
      <w:r w:rsidRPr="005F0C01">
        <w:rPr>
          <w:rStyle w:val="FootnoteReference"/>
          <w:rFonts w:ascii="Arial" w:hAnsi="Arial" w:cs="Arial"/>
        </w:rPr>
        <w:footnoteRef/>
      </w:r>
      <w:r w:rsidRPr="005F0C01">
        <w:rPr>
          <w:rFonts w:ascii="Arial" w:hAnsi="Arial" w:cs="Arial"/>
        </w:rPr>
        <w:t xml:space="preserve"> </w:t>
      </w:r>
      <w:r w:rsidRPr="005F0C01">
        <w:rPr>
          <w:rFonts w:ascii="Arial" w:hAnsi="Arial" w:cs="Arial"/>
          <w:i/>
        </w:rPr>
        <w:t>SP &amp; C Catering</w:t>
      </w:r>
      <w:r w:rsidRPr="005F0C01">
        <w:rPr>
          <w:rFonts w:ascii="Arial" w:hAnsi="Arial" w:cs="Arial"/>
        </w:rPr>
        <w:t xml:space="preserve"> </w:t>
      </w:r>
      <w:r w:rsidRPr="005F0C01">
        <w:rPr>
          <w:rFonts w:ascii="Arial" w:hAnsi="Arial" w:cs="Arial"/>
          <w:i/>
        </w:rPr>
        <w:t>Investments (Pty) Ltd v Body Corporate of Waterfront Mews and Others</w:t>
      </w:r>
      <w:r w:rsidRPr="005F0C01">
        <w:rPr>
          <w:rFonts w:ascii="Arial" w:hAnsi="Arial" w:cs="Arial"/>
        </w:rPr>
        <w:t xml:space="preserve"> 2010 (4) SA 104 (SCA) paras 4 and 5.</w:t>
      </w:r>
    </w:p>
  </w:footnote>
  <w:footnote w:id="52">
    <w:p w:rsidR="003A1020" w:rsidRDefault="003A1020" w:rsidP="005F0C01">
      <w:pPr>
        <w:pStyle w:val="FootnoteText"/>
        <w:jc w:val="both"/>
      </w:pPr>
      <w:r w:rsidRPr="005F0C01">
        <w:rPr>
          <w:rStyle w:val="FootnoteReference"/>
          <w:rFonts w:ascii="Arial" w:hAnsi="Arial" w:cs="Arial"/>
        </w:rPr>
        <w:footnoteRef/>
      </w:r>
      <w:r w:rsidRPr="005F0C01">
        <w:rPr>
          <w:rFonts w:ascii="Arial" w:hAnsi="Arial" w:cs="Arial"/>
        </w:rPr>
        <w:t xml:space="preserve"> See </w:t>
      </w:r>
      <w:r w:rsidRPr="005F0C01">
        <w:rPr>
          <w:rFonts w:ascii="Arial" w:hAnsi="Arial" w:cs="Arial"/>
          <w:i/>
        </w:rPr>
        <w:t>Minister Van Landbou v Sonnendecker</w:t>
      </w:r>
      <w:r w:rsidRPr="005F0C01">
        <w:rPr>
          <w:rFonts w:ascii="Arial" w:hAnsi="Arial" w:cs="Arial"/>
        </w:rPr>
        <w:t xml:space="preserve"> 1979 (2) SA 944 (A) at 946A-947B; </w:t>
      </w:r>
      <w:r w:rsidRPr="002138D3">
        <w:rPr>
          <w:rFonts w:ascii="Arial" w:hAnsi="Arial" w:cs="Arial"/>
          <w:i/>
        </w:rPr>
        <w:t>Meintjes NO v Coetzer</w:t>
      </w:r>
      <w:r w:rsidRPr="005F0C01">
        <w:rPr>
          <w:rFonts w:ascii="Arial" w:hAnsi="Arial" w:cs="Arial"/>
        </w:rPr>
        <w:t xml:space="preserve"> </w:t>
      </w:r>
      <w:r w:rsidRPr="002138D3">
        <w:rPr>
          <w:rFonts w:ascii="Arial" w:hAnsi="Arial" w:cs="Arial"/>
          <w:i/>
        </w:rPr>
        <w:t>and Others</w:t>
      </w:r>
      <w:r>
        <w:rPr>
          <w:rFonts w:ascii="Arial" w:hAnsi="Arial" w:cs="Arial"/>
        </w:rPr>
        <w:t xml:space="preserve"> </w:t>
      </w:r>
      <w:r w:rsidRPr="005F0C01">
        <w:rPr>
          <w:rFonts w:ascii="Arial" w:hAnsi="Arial" w:cs="Arial"/>
        </w:rPr>
        <w:t xml:space="preserve">2010 (5) SA  186 (SCA); and </w:t>
      </w:r>
      <w:r w:rsidRPr="005F0C01">
        <w:rPr>
          <w:rFonts w:ascii="Arial" w:hAnsi="Arial" w:cs="Arial"/>
          <w:i/>
        </w:rPr>
        <w:t>Papas NO v Motsere Trading CC</w:t>
      </w:r>
      <w:r w:rsidRPr="005F0C01">
        <w:rPr>
          <w:rFonts w:ascii="Arial" w:hAnsi="Arial" w:cs="Arial"/>
        </w:rPr>
        <w:t xml:space="preserve"> </w:t>
      </w:r>
      <w:r w:rsidRPr="005F0C01">
        <w:rPr>
          <w:rFonts w:ascii="Arial" w:hAnsi="Arial" w:cs="Arial"/>
          <w:i/>
        </w:rPr>
        <w:t>and Others</w:t>
      </w:r>
      <w:r w:rsidRPr="005F0C01">
        <w:rPr>
          <w:rFonts w:ascii="Arial" w:hAnsi="Arial" w:cs="Arial"/>
        </w:rPr>
        <w:t xml:space="preserve"> (46011/2012) [2014] ZAGPJHC 144 (6 June 2014).</w:t>
      </w:r>
    </w:p>
  </w:footnote>
  <w:footnote w:id="53">
    <w:p w:rsidR="003A1020" w:rsidRPr="000B738B" w:rsidRDefault="003A1020" w:rsidP="00A86616">
      <w:pPr>
        <w:pStyle w:val="FootnoteText"/>
        <w:jc w:val="both"/>
        <w:rPr>
          <w:rFonts w:ascii="Arial" w:hAnsi="Arial" w:cs="Arial"/>
          <w:i/>
        </w:rPr>
      </w:pPr>
      <w:r w:rsidRPr="00350E4B">
        <w:rPr>
          <w:rStyle w:val="FootnoteReference"/>
          <w:rFonts w:ascii="Arial" w:hAnsi="Arial" w:cs="Arial"/>
        </w:rPr>
        <w:footnoteRef/>
      </w:r>
      <w:r w:rsidRPr="00350E4B">
        <w:rPr>
          <w:rFonts w:ascii="Arial" w:hAnsi="Arial" w:cs="Arial"/>
        </w:rPr>
        <w:t xml:space="preserve"> </w:t>
      </w:r>
      <w:r w:rsidRPr="00350E4B">
        <w:rPr>
          <w:rFonts w:ascii="Arial" w:hAnsi="Arial" w:cs="Arial"/>
          <w:i/>
        </w:rPr>
        <w:t>Wille’s Principles</w:t>
      </w:r>
      <w:r w:rsidRPr="00350E4B">
        <w:rPr>
          <w:rFonts w:ascii="Arial" w:hAnsi="Arial" w:cs="Arial"/>
        </w:rPr>
        <w:t xml:space="preserve"> </w:t>
      </w:r>
      <w:r w:rsidRPr="00350E4B">
        <w:rPr>
          <w:rFonts w:ascii="Arial" w:hAnsi="Arial" w:cs="Arial"/>
          <w:i/>
        </w:rPr>
        <w:t>of South African Law</w:t>
      </w:r>
      <w:r w:rsidRPr="00350E4B">
        <w:rPr>
          <w:rFonts w:ascii="Arial" w:hAnsi="Arial" w:cs="Arial"/>
        </w:rPr>
        <w:t xml:space="preserve"> 9 ed (2007) at 492</w:t>
      </w:r>
      <w:r>
        <w:rPr>
          <w:rFonts w:ascii="Arial" w:hAnsi="Arial" w:cs="Arial"/>
        </w:rPr>
        <w:t xml:space="preserve">; </w:t>
      </w:r>
      <w:r w:rsidRPr="000B738B">
        <w:rPr>
          <w:rFonts w:ascii="Arial" w:hAnsi="Arial" w:cs="Arial"/>
        </w:rPr>
        <w:t>DL </w:t>
      </w:r>
      <w:bookmarkStart w:id="1" w:name="LPHit1"/>
      <w:bookmarkEnd w:id="1"/>
      <w:r w:rsidRPr="000B738B">
        <w:rPr>
          <w:rFonts w:ascii="Arial" w:hAnsi="Arial" w:cs="Arial"/>
        </w:rPr>
        <w:t>Carey Miller</w:t>
      </w:r>
      <w:r w:rsidRPr="000B738B">
        <w:rPr>
          <w:rFonts w:ascii="Arial" w:hAnsi="Arial" w:cs="Arial"/>
          <w:i/>
        </w:rPr>
        <w:t> The Acquisition and Protection of Ownership </w:t>
      </w:r>
      <w:r w:rsidRPr="000B738B">
        <w:rPr>
          <w:rFonts w:ascii="Arial" w:hAnsi="Arial" w:cs="Arial"/>
        </w:rPr>
        <w:t>(1986) at</w:t>
      </w:r>
      <w:r w:rsidRPr="000B738B">
        <w:rPr>
          <w:rFonts w:ascii="Arial" w:hAnsi="Arial" w:cs="Arial"/>
          <w:i/>
        </w:rPr>
        <w:t> </w:t>
      </w:r>
      <w:r w:rsidRPr="000B738B">
        <w:rPr>
          <w:rFonts w:ascii="Arial" w:hAnsi="Arial" w:cs="Arial"/>
        </w:rPr>
        <w:t>8-9.</w:t>
      </w:r>
    </w:p>
  </w:footnote>
  <w:footnote w:id="54">
    <w:p w:rsidR="003A1020" w:rsidRPr="00332232" w:rsidRDefault="003A1020" w:rsidP="00A86616">
      <w:pPr>
        <w:jc w:val="both"/>
        <w:rPr>
          <w:rFonts w:ascii="Arial" w:hAnsi="Arial" w:cs="Arial"/>
          <w:sz w:val="20"/>
          <w:szCs w:val="20"/>
        </w:rPr>
      </w:pPr>
      <w:r w:rsidRPr="00D00583">
        <w:rPr>
          <w:rStyle w:val="FootnoteReference"/>
          <w:rFonts w:ascii="Arial" w:hAnsi="Arial" w:cs="Arial"/>
          <w:sz w:val="20"/>
          <w:szCs w:val="20"/>
        </w:rPr>
        <w:footnoteRef/>
      </w:r>
      <w:r w:rsidRPr="00D00583">
        <w:rPr>
          <w:rFonts w:ascii="Arial" w:hAnsi="Arial" w:cs="Arial"/>
          <w:sz w:val="20"/>
          <w:szCs w:val="20"/>
        </w:rPr>
        <w:t xml:space="preserve"> See </w:t>
      </w:r>
      <w:r w:rsidRPr="00D00583">
        <w:rPr>
          <w:rFonts w:ascii="Arial" w:hAnsi="Arial" w:cs="Arial"/>
          <w:i/>
          <w:sz w:val="20"/>
          <w:szCs w:val="20"/>
        </w:rPr>
        <w:t>Estate Baker and Others v Estate Baker and Others</w:t>
      </w:r>
      <w:r w:rsidRPr="00D00583">
        <w:rPr>
          <w:rFonts w:ascii="Arial" w:hAnsi="Arial" w:cs="Arial"/>
          <w:sz w:val="20"/>
          <w:szCs w:val="20"/>
        </w:rPr>
        <w:t xml:space="preserve"> (1908) 25 SC 234; </w:t>
      </w:r>
      <w:r w:rsidRPr="00350E4B">
        <w:rPr>
          <w:rFonts w:ascii="Arial" w:hAnsi="Arial" w:cs="Arial"/>
          <w:i/>
          <w:sz w:val="20"/>
          <w:szCs w:val="20"/>
        </w:rPr>
        <w:t xml:space="preserve">Bielovich and Others v The </w:t>
      </w:r>
      <w:r w:rsidRPr="00332232">
        <w:rPr>
          <w:rFonts w:ascii="Arial" w:hAnsi="Arial" w:cs="Arial"/>
          <w:sz w:val="20"/>
          <w:szCs w:val="20"/>
        </w:rPr>
        <w:t>Master and Another 1992 (4) SA 736 (N); and ss 35(13); 43(6); and s 92 of the Administration of Estates Act 66 of 1965.</w:t>
      </w:r>
    </w:p>
  </w:footnote>
  <w:footnote w:id="55">
    <w:p w:rsidR="003A1020" w:rsidRDefault="003A1020" w:rsidP="00A86616">
      <w:pPr>
        <w:pStyle w:val="FootnoteText"/>
        <w:jc w:val="both"/>
      </w:pPr>
      <w:r w:rsidRPr="00332232">
        <w:rPr>
          <w:rStyle w:val="FootnoteReference"/>
          <w:rFonts w:ascii="Arial" w:hAnsi="Arial" w:cs="Arial"/>
        </w:rPr>
        <w:footnoteRef/>
      </w:r>
      <w:r w:rsidRPr="00332232">
        <w:rPr>
          <w:rFonts w:ascii="Arial" w:hAnsi="Arial" w:cs="Arial"/>
        </w:rPr>
        <w:t xml:space="preserve"> See Harms </w:t>
      </w:r>
      <w:r w:rsidRPr="00332232">
        <w:rPr>
          <w:rFonts w:ascii="Arial" w:hAnsi="Arial" w:cs="Arial"/>
          <w:i/>
        </w:rPr>
        <w:t>Amler’s</w:t>
      </w:r>
      <w:r w:rsidRPr="0032483F">
        <w:rPr>
          <w:rFonts w:ascii="Arial" w:hAnsi="Arial" w:cs="Arial"/>
          <w:i/>
        </w:rPr>
        <w:t xml:space="preserve"> Precedents</w:t>
      </w:r>
      <w:r w:rsidRPr="0032483F">
        <w:rPr>
          <w:rFonts w:ascii="Arial" w:hAnsi="Arial" w:cs="Arial"/>
        </w:rPr>
        <w:t xml:space="preserve"> </w:t>
      </w:r>
      <w:r w:rsidRPr="0032483F">
        <w:rPr>
          <w:rFonts w:ascii="Arial" w:hAnsi="Arial" w:cs="Arial"/>
          <w:i/>
        </w:rPr>
        <w:t>of Pleadings</w:t>
      </w:r>
      <w:r w:rsidRPr="0032483F">
        <w:rPr>
          <w:rFonts w:ascii="Arial" w:hAnsi="Arial" w:cs="Arial"/>
        </w:rPr>
        <w:t>, 9 ed (2018) at 197-200.</w:t>
      </w:r>
    </w:p>
  </w:footnote>
  <w:footnote w:id="56">
    <w:p w:rsidR="003A1020" w:rsidRPr="00907242" w:rsidRDefault="003A1020" w:rsidP="00907242">
      <w:pPr>
        <w:pStyle w:val="FootnoteText"/>
        <w:jc w:val="both"/>
        <w:rPr>
          <w:rFonts w:ascii="Arial" w:hAnsi="Arial" w:cs="Arial"/>
        </w:rPr>
      </w:pPr>
      <w:r w:rsidRPr="00907242">
        <w:rPr>
          <w:rStyle w:val="FootnoteReference"/>
          <w:rFonts w:ascii="Arial" w:hAnsi="Arial" w:cs="Arial"/>
        </w:rPr>
        <w:footnoteRef/>
      </w:r>
      <w:r w:rsidRPr="00907242">
        <w:rPr>
          <w:rFonts w:ascii="Arial" w:hAnsi="Arial" w:cs="Arial"/>
        </w:rPr>
        <w:t xml:space="preserve"> </w:t>
      </w:r>
      <w:r w:rsidRPr="00026533">
        <w:rPr>
          <w:rFonts w:ascii="Arial" w:hAnsi="Arial" w:cs="Arial"/>
          <w:i/>
        </w:rPr>
        <w:t>De Wet and Others v Western Bank Ltd</w:t>
      </w:r>
      <w:r w:rsidRPr="00026533">
        <w:rPr>
          <w:rFonts w:ascii="Arial" w:hAnsi="Arial" w:cs="Arial"/>
        </w:rPr>
        <w:t xml:space="preserve"> 1979 (2) SA 1031 (A) at 1042; and</w:t>
      </w:r>
      <w:r w:rsidRPr="00026533">
        <w:rPr>
          <w:rFonts w:ascii="Arial" w:hAnsi="Arial" w:cs="Arial"/>
          <w:i/>
        </w:rPr>
        <w:t xml:space="preserve"> Chetty v Law Society, Transvaal</w:t>
      </w:r>
      <w:r w:rsidRPr="00026533">
        <w:rPr>
          <w:rFonts w:ascii="Arial" w:hAnsi="Arial" w:cs="Arial"/>
        </w:rPr>
        <w:t xml:space="preserve"> 1985 (2) SA 756 (A) at 764.</w:t>
      </w:r>
    </w:p>
  </w:footnote>
  <w:footnote w:id="57">
    <w:p w:rsidR="003A1020" w:rsidRPr="00907242" w:rsidRDefault="003A1020" w:rsidP="00907242">
      <w:pPr>
        <w:pStyle w:val="FootnoteText"/>
        <w:jc w:val="both"/>
        <w:rPr>
          <w:rFonts w:ascii="Arial" w:hAnsi="Arial" w:cs="Arial"/>
        </w:rPr>
      </w:pPr>
      <w:r w:rsidRPr="00907242">
        <w:rPr>
          <w:rStyle w:val="FootnoteReference"/>
          <w:rFonts w:ascii="Arial" w:hAnsi="Arial" w:cs="Arial"/>
        </w:rPr>
        <w:footnoteRef/>
      </w:r>
      <w:r w:rsidRPr="00907242">
        <w:rPr>
          <w:rFonts w:ascii="Arial" w:hAnsi="Arial" w:cs="Arial"/>
        </w:rPr>
        <w:t xml:space="preserve"> </w:t>
      </w:r>
      <w:r w:rsidRPr="005F0C01">
        <w:rPr>
          <w:rFonts w:ascii="Arial" w:hAnsi="Arial" w:cs="Arial"/>
          <w:i/>
        </w:rPr>
        <w:t>Pr</w:t>
      </w:r>
      <w:r>
        <w:rPr>
          <w:rFonts w:ascii="Arial" w:hAnsi="Arial" w:cs="Arial"/>
          <w:i/>
        </w:rPr>
        <w:t>o</w:t>
      </w:r>
      <w:r w:rsidRPr="005F0C01">
        <w:rPr>
          <w:rFonts w:ascii="Arial" w:hAnsi="Arial" w:cs="Arial"/>
          <w:i/>
        </w:rPr>
        <w:t>media Drukkers &amp; Uitgewers (Edms) Bpk v Kaimowitz and Others</w:t>
      </w:r>
      <w:r w:rsidRPr="005F0C01">
        <w:rPr>
          <w:rFonts w:ascii="Arial" w:hAnsi="Arial" w:cs="Arial"/>
        </w:rPr>
        <w:t xml:space="preserve"> 1996 (4) SA 411 (C)</w:t>
      </w:r>
      <w:r w:rsidRPr="00907242">
        <w:rPr>
          <w:rFonts w:ascii="Arial" w:hAnsi="Arial" w:cs="Arial"/>
        </w:rPr>
        <w:t xml:space="preserve">. </w:t>
      </w:r>
    </w:p>
  </w:footnote>
  <w:footnote w:id="58">
    <w:p w:rsidR="003A1020" w:rsidRDefault="003A1020" w:rsidP="00907242">
      <w:pPr>
        <w:pStyle w:val="FootnoteText"/>
        <w:jc w:val="both"/>
      </w:pPr>
      <w:r w:rsidRPr="00907242">
        <w:rPr>
          <w:rStyle w:val="FootnoteReference"/>
          <w:rFonts w:ascii="Arial" w:hAnsi="Arial" w:cs="Arial"/>
        </w:rPr>
        <w:footnoteRef/>
      </w:r>
      <w:r w:rsidRPr="00907242">
        <w:rPr>
          <w:rFonts w:ascii="Arial" w:hAnsi="Arial" w:cs="Arial"/>
        </w:rPr>
        <w:t xml:space="preserve"> </w:t>
      </w:r>
      <w:r w:rsidRPr="00907242">
        <w:rPr>
          <w:rFonts w:ascii="Arial" w:hAnsi="Arial" w:cs="Arial"/>
          <w:i/>
        </w:rPr>
        <w:t>Khan v Mzovuyo Investments (Pty) Ltd</w:t>
      </w:r>
      <w:r w:rsidRPr="00907242">
        <w:rPr>
          <w:rFonts w:ascii="Arial" w:hAnsi="Arial" w:cs="Arial"/>
        </w:rPr>
        <w:t xml:space="preserve"> 1991 (3) SA 47 (T</w:t>
      </w:r>
      <w:r>
        <w:rPr>
          <w:rFonts w:ascii="Arial" w:hAnsi="Arial" w:cs="Arial"/>
        </w:rPr>
        <w:t>K</w:t>
      </w:r>
      <w:r w:rsidRPr="00907242">
        <w:rPr>
          <w:rFonts w:ascii="Arial" w:hAnsi="Arial" w:cs="Arial"/>
        </w:rPr>
        <w:t>) at 48G-I</w:t>
      </w:r>
      <w:r>
        <w:rPr>
          <w:rFonts w:ascii="Arial" w:hAnsi="Arial" w:cs="Arial"/>
        </w:rPr>
        <w:t>.</w:t>
      </w:r>
    </w:p>
  </w:footnote>
  <w:footnote w:id="59">
    <w:p w:rsidR="003A1020" w:rsidRPr="00907242" w:rsidRDefault="003A1020" w:rsidP="00907242">
      <w:pPr>
        <w:jc w:val="both"/>
        <w:rPr>
          <w:rFonts w:ascii="Arial" w:hAnsi="Arial" w:cs="Arial"/>
          <w:sz w:val="20"/>
          <w:szCs w:val="20"/>
        </w:rPr>
      </w:pPr>
      <w:r w:rsidRPr="00907242">
        <w:rPr>
          <w:rStyle w:val="FootnoteReference"/>
          <w:rFonts w:ascii="Arial" w:hAnsi="Arial" w:cs="Arial"/>
          <w:sz w:val="20"/>
          <w:szCs w:val="20"/>
        </w:rPr>
        <w:footnoteRef/>
      </w:r>
      <w:r w:rsidRPr="00907242">
        <w:rPr>
          <w:rFonts w:ascii="Arial" w:hAnsi="Arial" w:cs="Arial"/>
          <w:sz w:val="20"/>
          <w:szCs w:val="20"/>
        </w:rPr>
        <w:t xml:space="preserve"> See </w:t>
      </w:r>
      <w:r w:rsidRPr="00907242">
        <w:rPr>
          <w:rFonts w:ascii="Arial" w:hAnsi="Arial" w:cs="Arial"/>
          <w:i/>
          <w:sz w:val="20"/>
          <w:szCs w:val="20"/>
        </w:rPr>
        <w:t>Darries v Sheriff, Magistrate</w:t>
      </w:r>
      <w:r>
        <w:rPr>
          <w:rFonts w:ascii="Arial" w:hAnsi="Arial" w:cs="Arial"/>
          <w:i/>
          <w:sz w:val="20"/>
          <w:szCs w:val="20"/>
        </w:rPr>
        <w:t>’s</w:t>
      </w:r>
      <w:r w:rsidRPr="00907242">
        <w:rPr>
          <w:rFonts w:ascii="Arial" w:hAnsi="Arial" w:cs="Arial"/>
          <w:i/>
          <w:sz w:val="20"/>
          <w:szCs w:val="20"/>
        </w:rPr>
        <w:t xml:space="preserve"> Court Wynbe</w:t>
      </w:r>
      <w:r>
        <w:rPr>
          <w:rFonts w:ascii="Arial" w:hAnsi="Arial" w:cs="Arial"/>
          <w:i/>
          <w:sz w:val="20"/>
          <w:szCs w:val="20"/>
        </w:rPr>
        <w:t>rg, and Another</w:t>
      </w:r>
      <w:r w:rsidRPr="00907242">
        <w:rPr>
          <w:rFonts w:ascii="Arial" w:hAnsi="Arial" w:cs="Arial"/>
          <w:i/>
          <w:sz w:val="20"/>
          <w:szCs w:val="20"/>
        </w:rPr>
        <w:t xml:space="preserve"> </w:t>
      </w:r>
      <w:r w:rsidRPr="00907242">
        <w:rPr>
          <w:rFonts w:ascii="Arial" w:hAnsi="Arial" w:cs="Arial"/>
          <w:sz w:val="20"/>
          <w:szCs w:val="20"/>
        </w:rPr>
        <w:t>1998 (3) SA 34 (SCA).</w:t>
      </w:r>
    </w:p>
  </w:footnote>
  <w:footnote w:id="60">
    <w:p w:rsidR="003A1020" w:rsidRDefault="003A1020" w:rsidP="00907242">
      <w:pPr>
        <w:pStyle w:val="FootnoteText"/>
        <w:jc w:val="both"/>
      </w:pPr>
      <w:r w:rsidRPr="00907242">
        <w:rPr>
          <w:rStyle w:val="FootnoteReference"/>
          <w:rFonts w:ascii="Arial" w:hAnsi="Arial" w:cs="Arial"/>
        </w:rPr>
        <w:footnoteRef/>
      </w:r>
      <w:r w:rsidRPr="00907242">
        <w:rPr>
          <w:rFonts w:ascii="Arial" w:hAnsi="Arial" w:cs="Arial"/>
        </w:rPr>
        <w:t xml:space="preserve"> </w:t>
      </w:r>
      <w:r w:rsidRPr="00DF2DB1">
        <w:rPr>
          <w:rFonts w:ascii="Arial" w:hAnsi="Arial" w:cs="Arial"/>
          <w:i/>
        </w:rPr>
        <w:t>South African Liquor Traders</w:t>
      </w:r>
      <w:r>
        <w:rPr>
          <w:rFonts w:ascii="Arial" w:hAnsi="Arial" w:cs="Arial"/>
          <w:i/>
        </w:rPr>
        <w:t>’</w:t>
      </w:r>
      <w:r w:rsidRPr="00DF2DB1">
        <w:rPr>
          <w:rFonts w:ascii="Arial" w:hAnsi="Arial" w:cs="Arial"/>
          <w:i/>
        </w:rPr>
        <w:t xml:space="preserve"> Association</w:t>
      </w:r>
      <w:r>
        <w:rPr>
          <w:rFonts w:ascii="Arial" w:hAnsi="Arial" w:cs="Arial"/>
          <w:i/>
        </w:rPr>
        <w:t xml:space="preserve"> and Others</w:t>
      </w:r>
      <w:r w:rsidRPr="00DF2DB1">
        <w:rPr>
          <w:rFonts w:ascii="Arial" w:hAnsi="Arial" w:cs="Arial"/>
          <w:i/>
        </w:rPr>
        <w:t xml:space="preserve"> v </w:t>
      </w:r>
      <w:r>
        <w:rPr>
          <w:rFonts w:ascii="Arial" w:hAnsi="Arial" w:cs="Arial"/>
          <w:i/>
        </w:rPr>
        <w:t xml:space="preserve">Chairperson, </w:t>
      </w:r>
      <w:r w:rsidRPr="00DF2DB1">
        <w:rPr>
          <w:rFonts w:ascii="Arial" w:hAnsi="Arial" w:cs="Arial"/>
          <w:i/>
        </w:rPr>
        <w:t>Gauteng</w:t>
      </w:r>
      <w:r w:rsidRPr="00555295">
        <w:rPr>
          <w:rFonts w:ascii="Arial" w:hAnsi="Arial" w:cs="Arial"/>
          <w:i/>
        </w:rPr>
        <w:t xml:space="preserve"> Liquor Board</w:t>
      </w:r>
      <w:r>
        <w:rPr>
          <w:rFonts w:ascii="Arial" w:hAnsi="Arial" w:cs="Arial"/>
          <w:i/>
        </w:rPr>
        <w:t>, and Others</w:t>
      </w:r>
      <w:r w:rsidRPr="00907242">
        <w:rPr>
          <w:rFonts w:ascii="Arial" w:hAnsi="Arial" w:cs="Arial"/>
        </w:rPr>
        <w:t xml:space="preserve"> 2009 (1) SA 565 (CC)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12402"/>
      <w:docPartObj>
        <w:docPartGallery w:val="Page Numbers (Top of Page)"/>
        <w:docPartUnique/>
      </w:docPartObj>
    </w:sdtPr>
    <w:sdtEndPr>
      <w:rPr>
        <w:noProof/>
      </w:rPr>
    </w:sdtEndPr>
    <w:sdtContent>
      <w:p w:rsidR="003A1020" w:rsidRDefault="003A1020">
        <w:pPr>
          <w:pStyle w:val="Header"/>
          <w:jc w:val="right"/>
        </w:pPr>
        <w:r>
          <w:fldChar w:fldCharType="begin"/>
        </w:r>
        <w:r>
          <w:instrText xml:space="preserve"> PAGE   \* MERGEFORMAT </w:instrText>
        </w:r>
        <w:r>
          <w:fldChar w:fldCharType="separate"/>
        </w:r>
        <w:r w:rsidR="009A629F">
          <w:rPr>
            <w:noProof/>
          </w:rPr>
          <w:t>2</w:t>
        </w:r>
        <w:r>
          <w:rPr>
            <w:noProof/>
          </w:rPr>
          <w:fldChar w:fldCharType="end"/>
        </w:r>
      </w:p>
    </w:sdtContent>
  </w:sdt>
  <w:p w:rsidR="003A1020" w:rsidRDefault="003A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20" w:rsidRDefault="003A1020">
    <w:pPr>
      <w:pStyle w:val="Header"/>
      <w:jc w:val="right"/>
    </w:pPr>
  </w:p>
  <w:p w:rsidR="003A1020" w:rsidRDefault="003A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20D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86F9D"/>
    <w:multiLevelType w:val="hybridMultilevel"/>
    <w:tmpl w:val="B800827C"/>
    <w:lvl w:ilvl="0" w:tplc="2CB0E6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F24CE7"/>
    <w:multiLevelType w:val="hybridMultilevel"/>
    <w:tmpl w:val="2A86D348"/>
    <w:lvl w:ilvl="0" w:tplc="0BA2B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A27DB"/>
    <w:multiLevelType w:val="hybridMultilevel"/>
    <w:tmpl w:val="749A9F1A"/>
    <w:lvl w:ilvl="0" w:tplc="98D23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0B24F8"/>
    <w:multiLevelType w:val="hybridMultilevel"/>
    <w:tmpl w:val="16B0E0F0"/>
    <w:lvl w:ilvl="0" w:tplc="742E8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8712F"/>
    <w:multiLevelType w:val="hybridMultilevel"/>
    <w:tmpl w:val="89E0DA2A"/>
    <w:lvl w:ilvl="0" w:tplc="D1B25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B0254"/>
    <w:multiLevelType w:val="hybridMultilevel"/>
    <w:tmpl w:val="FE4E8338"/>
    <w:lvl w:ilvl="0" w:tplc="A18A9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C6A1E"/>
    <w:multiLevelType w:val="hybridMultilevel"/>
    <w:tmpl w:val="4A9C968A"/>
    <w:lvl w:ilvl="0" w:tplc="4E2E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54176"/>
    <w:multiLevelType w:val="hybridMultilevel"/>
    <w:tmpl w:val="89142D96"/>
    <w:lvl w:ilvl="0" w:tplc="F2EA8F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6661DF"/>
    <w:multiLevelType w:val="hybridMultilevel"/>
    <w:tmpl w:val="C880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65A46"/>
    <w:multiLevelType w:val="hybridMultilevel"/>
    <w:tmpl w:val="CC660CE4"/>
    <w:lvl w:ilvl="0" w:tplc="6AB058A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4"/>
  </w:num>
  <w:num w:numId="6">
    <w:abstractNumId w:val="10"/>
  </w:num>
  <w:num w:numId="7">
    <w:abstractNumId w:val="3"/>
  </w:num>
  <w:num w:numId="8">
    <w:abstractNumId w:val="1"/>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A3"/>
    <w:rsid w:val="000127CF"/>
    <w:rsid w:val="00013FEA"/>
    <w:rsid w:val="00014494"/>
    <w:rsid w:val="00020342"/>
    <w:rsid w:val="00021FD8"/>
    <w:rsid w:val="00023A30"/>
    <w:rsid w:val="00026533"/>
    <w:rsid w:val="000278EB"/>
    <w:rsid w:val="00033E95"/>
    <w:rsid w:val="000367E4"/>
    <w:rsid w:val="00044109"/>
    <w:rsid w:val="000461DC"/>
    <w:rsid w:val="00052044"/>
    <w:rsid w:val="00052DFE"/>
    <w:rsid w:val="00052EF2"/>
    <w:rsid w:val="000530C4"/>
    <w:rsid w:val="00053356"/>
    <w:rsid w:val="000536BB"/>
    <w:rsid w:val="0005387D"/>
    <w:rsid w:val="00053BF8"/>
    <w:rsid w:val="00054A20"/>
    <w:rsid w:val="00054C1E"/>
    <w:rsid w:val="000558AD"/>
    <w:rsid w:val="00055C7F"/>
    <w:rsid w:val="000570BE"/>
    <w:rsid w:val="00060258"/>
    <w:rsid w:val="0006365C"/>
    <w:rsid w:val="00064851"/>
    <w:rsid w:val="00065021"/>
    <w:rsid w:val="00066615"/>
    <w:rsid w:val="00067191"/>
    <w:rsid w:val="00067AE5"/>
    <w:rsid w:val="00067CBF"/>
    <w:rsid w:val="00070C3A"/>
    <w:rsid w:val="00073E21"/>
    <w:rsid w:val="00074DE2"/>
    <w:rsid w:val="00076609"/>
    <w:rsid w:val="0008455F"/>
    <w:rsid w:val="00084A98"/>
    <w:rsid w:val="000850E1"/>
    <w:rsid w:val="000965C9"/>
    <w:rsid w:val="000A000B"/>
    <w:rsid w:val="000A1B54"/>
    <w:rsid w:val="000B0EC3"/>
    <w:rsid w:val="000B2256"/>
    <w:rsid w:val="000B226D"/>
    <w:rsid w:val="000B2846"/>
    <w:rsid w:val="000B4348"/>
    <w:rsid w:val="000B738B"/>
    <w:rsid w:val="000C2E35"/>
    <w:rsid w:val="000C2E65"/>
    <w:rsid w:val="000C4C56"/>
    <w:rsid w:val="000C5774"/>
    <w:rsid w:val="000C7783"/>
    <w:rsid w:val="000D0175"/>
    <w:rsid w:val="000D05C7"/>
    <w:rsid w:val="000D0D5B"/>
    <w:rsid w:val="000D2D6D"/>
    <w:rsid w:val="000D55CF"/>
    <w:rsid w:val="000E3DC8"/>
    <w:rsid w:val="000E4139"/>
    <w:rsid w:val="000E434A"/>
    <w:rsid w:val="000F08AB"/>
    <w:rsid w:val="000F6FC0"/>
    <w:rsid w:val="0010736D"/>
    <w:rsid w:val="00110FB0"/>
    <w:rsid w:val="00112FDA"/>
    <w:rsid w:val="00113217"/>
    <w:rsid w:val="0011328B"/>
    <w:rsid w:val="001134DC"/>
    <w:rsid w:val="00116CE6"/>
    <w:rsid w:val="00117446"/>
    <w:rsid w:val="00122E55"/>
    <w:rsid w:val="00123B0D"/>
    <w:rsid w:val="00127E4C"/>
    <w:rsid w:val="001346EF"/>
    <w:rsid w:val="00140017"/>
    <w:rsid w:val="0014785E"/>
    <w:rsid w:val="00147A0B"/>
    <w:rsid w:val="00155EB8"/>
    <w:rsid w:val="00156FC3"/>
    <w:rsid w:val="0016389D"/>
    <w:rsid w:val="001644BD"/>
    <w:rsid w:val="00172D26"/>
    <w:rsid w:val="0018202A"/>
    <w:rsid w:val="00183A7E"/>
    <w:rsid w:val="00194153"/>
    <w:rsid w:val="00195905"/>
    <w:rsid w:val="001968D8"/>
    <w:rsid w:val="00196E4D"/>
    <w:rsid w:val="00197A3A"/>
    <w:rsid w:val="001A2168"/>
    <w:rsid w:val="001A69F3"/>
    <w:rsid w:val="001A78E1"/>
    <w:rsid w:val="001B1D63"/>
    <w:rsid w:val="001B3DE5"/>
    <w:rsid w:val="001B6121"/>
    <w:rsid w:val="001B7013"/>
    <w:rsid w:val="001C24C1"/>
    <w:rsid w:val="001C4E92"/>
    <w:rsid w:val="001C52A3"/>
    <w:rsid w:val="001C5707"/>
    <w:rsid w:val="001C5B27"/>
    <w:rsid w:val="001C7E63"/>
    <w:rsid w:val="001D3B03"/>
    <w:rsid w:val="001D5BC5"/>
    <w:rsid w:val="001D6F34"/>
    <w:rsid w:val="001D72CC"/>
    <w:rsid w:val="001E4357"/>
    <w:rsid w:val="001E438B"/>
    <w:rsid w:val="001E4E63"/>
    <w:rsid w:val="001E52E0"/>
    <w:rsid w:val="001E5453"/>
    <w:rsid w:val="001F1596"/>
    <w:rsid w:val="001F1C81"/>
    <w:rsid w:val="001F411C"/>
    <w:rsid w:val="001F6FD9"/>
    <w:rsid w:val="002015BA"/>
    <w:rsid w:val="00201F03"/>
    <w:rsid w:val="0020682E"/>
    <w:rsid w:val="00206EAC"/>
    <w:rsid w:val="00207BF3"/>
    <w:rsid w:val="00210206"/>
    <w:rsid w:val="00210BDA"/>
    <w:rsid w:val="002117C6"/>
    <w:rsid w:val="00212B70"/>
    <w:rsid w:val="002138D3"/>
    <w:rsid w:val="00214988"/>
    <w:rsid w:val="00217966"/>
    <w:rsid w:val="00221831"/>
    <w:rsid w:val="0022207E"/>
    <w:rsid w:val="00222722"/>
    <w:rsid w:val="0022391F"/>
    <w:rsid w:val="00224FC5"/>
    <w:rsid w:val="0022564A"/>
    <w:rsid w:val="00231E3A"/>
    <w:rsid w:val="002328D5"/>
    <w:rsid w:val="0023291D"/>
    <w:rsid w:val="00240FAD"/>
    <w:rsid w:val="0024250B"/>
    <w:rsid w:val="00243688"/>
    <w:rsid w:val="002436A5"/>
    <w:rsid w:val="00244360"/>
    <w:rsid w:val="00244F94"/>
    <w:rsid w:val="00252D28"/>
    <w:rsid w:val="0025571F"/>
    <w:rsid w:val="0025594A"/>
    <w:rsid w:val="00255F8C"/>
    <w:rsid w:val="00256892"/>
    <w:rsid w:val="0025749B"/>
    <w:rsid w:val="0026279A"/>
    <w:rsid w:val="002655D5"/>
    <w:rsid w:val="002675D6"/>
    <w:rsid w:val="0027490A"/>
    <w:rsid w:val="002756D6"/>
    <w:rsid w:val="00276A98"/>
    <w:rsid w:val="00282D27"/>
    <w:rsid w:val="00286E54"/>
    <w:rsid w:val="002915EA"/>
    <w:rsid w:val="002923F6"/>
    <w:rsid w:val="00292707"/>
    <w:rsid w:val="002930EF"/>
    <w:rsid w:val="00293499"/>
    <w:rsid w:val="00297E4F"/>
    <w:rsid w:val="002A0720"/>
    <w:rsid w:val="002A3F34"/>
    <w:rsid w:val="002A4E55"/>
    <w:rsid w:val="002A58D5"/>
    <w:rsid w:val="002A6308"/>
    <w:rsid w:val="002B0860"/>
    <w:rsid w:val="002B2286"/>
    <w:rsid w:val="002B7E1B"/>
    <w:rsid w:val="002C3DBB"/>
    <w:rsid w:val="002C7430"/>
    <w:rsid w:val="002D1CEB"/>
    <w:rsid w:val="002D20A7"/>
    <w:rsid w:val="002D55DB"/>
    <w:rsid w:val="002D617D"/>
    <w:rsid w:val="002E1E61"/>
    <w:rsid w:val="002E447C"/>
    <w:rsid w:val="002E7586"/>
    <w:rsid w:val="002F1C7C"/>
    <w:rsid w:val="002F24C4"/>
    <w:rsid w:val="002F2786"/>
    <w:rsid w:val="002F76B9"/>
    <w:rsid w:val="0030285F"/>
    <w:rsid w:val="00303962"/>
    <w:rsid w:val="0030514A"/>
    <w:rsid w:val="0031059D"/>
    <w:rsid w:val="00314E46"/>
    <w:rsid w:val="0031735C"/>
    <w:rsid w:val="0032483F"/>
    <w:rsid w:val="0033016B"/>
    <w:rsid w:val="00330340"/>
    <w:rsid w:val="0033035E"/>
    <w:rsid w:val="00331F53"/>
    <w:rsid w:val="00332232"/>
    <w:rsid w:val="00335457"/>
    <w:rsid w:val="00337CF5"/>
    <w:rsid w:val="00340611"/>
    <w:rsid w:val="0034129D"/>
    <w:rsid w:val="00343674"/>
    <w:rsid w:val="00344A02"/>
    <w:rsid w:val="00350E4B"/>
    <w:rsid w:val="003527D9"/>
    <w:rsid w:val="0035749F"/>
    <w:rsid w:val="00360057"/>
    <w:rsid w:val="003663CB"/>
    <w:rsid w:val="0036704D"/>
    <w:rsid w:val="0036772D"/>
    <w:rsid w:val="00367D14"/>
    <w:rsid w:val="00372DF4"/>
    <w:rsid w:val="00377D4B"/>
    <w:rsid w:val="00381523"/>
    <w:rsid w:val="003835BD"/>
    <w:rsid w:val="0038735B"/>
    <w:rsid w:val="003944D4"/>
    <w:rsid w:val="0039540B"/>
    <w:rsid w:val="00395AC3"/>
    <w:rsid w:val="00396BDE"/>
    <w:rsid w:val="003A1020"/>
    <w:rsid w:val="003A1DDE"/>
    <w:rsid w:val="003A2771"/>
    <w:rsid w:val="003A3F8A"/>
    <w:rsid w:val="003A40DF"/>
    <w:rsid w:val="003A40E8"/>
    <w:rsid w:val="003B0CDA"/>
    <w:rsid w:val="003B0F16"/>
    <w:rsid w:val="003B2E30"/>
    <w:rsid w:val="003B3F1D"/>
    <w:rsid w:val="003B6AD3"/>
    <w:rsid w:val="003B75EB"/>
    <w:rsid w:val="003C09E8"/>
    <w:rsid w:val="003C1359"/>
    <w:rsid w:val="003C1A8C"/>
    <w:rsid w:val="003C2860"/>
    <w:rsid w:val="003D0F1F"/>
    <w:rsid w:val="003D655E"/>
    <w:rsid w:val="003E0998"/>
    <w:rsid w:val="003E3FF1"/>
    <w:rsid w:val="003F1C0C"/>
    <w:rsid w:val="003F4E55"/>
    <w:rsid w:val="003F6570"/>
    <w:rsid w:val="003F7378"/>
    <w:rsid w:val="00402B7E"/>
    <w:rsid w:val="0040697F"/>
    <w:rsid w:val="00410782"/>
    <w:rsid w:val="0041113F"/>
    <w:rsid w:val="0041260C"/>
    <w:rsid w:val="00416FD8"/>
    <w:rsid w:val="00422450"/>
    <w:rsid w:val="0042704B"/>
    <w:rsid w:val="00427B86"/>
    <w:rsid w:val="00430875"/>
    <w:rsid w:val="004328ED"/>
    <w:rsid w:val="0043791A"/>
    <w:rsid w:val="00440EB0"/>
    <w:rsid w:val="00442544"/>
    <w:rsid w:val="00443314"/>
    <w:rsid w:val="00454167"/>
    <w:rsid w:val="004542EE"/>
    <w:rsid w:val="0045522B"/>
    <w:rsid w:val="004560D6"/>
    <w:rsid w:val="004603E3"/>
    <w:rsid w:val="004651F5"/>
    <w:rsid w:val="004702BB"/>
    <w:rsid w:val="004716BC"/>
    <w:rsid w:val="00472F07"/>
    <w:rsid w:val="004830BA"/>
    <w:rsid w:val="004847E5"/>
    <w:rsid w:val="00484A87"/>
    <w:rsid w:val="004868A3"/>
    <w:rsid w:val="00491189"/>
    <w:rsid w:val="00491F24"/>
    <w:rsid w:val="00492A19"/>
    <w:rsid w:val="00494E5C"/>
    <w:rsid w:val="00497466"/>
    <w:rsid w:val="00497AAA"/>
    <w:rsid w:val="004A1402"/>
    <w:rsid w:val="004A54C7"/>
    <w:rsid w:val="004A7552"/>
    <w:rsid w:val="004B0A7D"/>
    <w:rsid w:val="004B1560"/>
    <w:rsid w:val="004B44D0"/>
    <w:rsid w:val="004B7549"/>
    <w:rsid w:val="004C1E5A"/>
    <w:rsid w:val="004C216D"/>
    <w:rsid w:val="004C4CA0"/>
    <w:rsid w:val="004D54E6"/>
    <w:rsid w:val="004D6B3F"/>
    <w:rsid w:val="004E3884"/>
    <w:rsid w:val="004E4FAD"/>
    <w:rsid w:val="004E54B5"/>
    <w:rsid w:val="004E65B5"/>
    <w:rsid w:val="004F0DB8"/>
    <w:rsid w:val="004F0E73"/>
    <w:rsid w:val="004F1AA7"/>
    <w:rsid w:val="004F5E96"/>
    <w:rsid w:val="00500BD2"/>
    <w:rsid w:val="00501080"/>
    <w:rsid w:val="00502059"/>
    <w:rsid w:val="005025DF"/>
    <w:rsid w:val="005028D1"/>
    <w:rsid w:val="005117F1"/>
    <w:rsid w:val="00512493"/>
    <w:rsid w:val="0051294D"/>
    <w:rsid w:val="0052005F"/>
    <w:rsid w:val="005201BF"/>
    <w:rsid w:val="0052028D"/>
    <w:rsid w:val="00524DC4"/>
    <w:rsid w:val="005272E9"/>
    <w:rsid w:val="00531D06"/>
    <w:rsid w:val="005340F9"/>
    <w:rsid w:val="00537996"/>
    <w:rsid w:val="00540AD0"/>
    <w:rsid w:val="00543DCA"/>
    <w:rsid w:val="00543F4A"/>
    <w:rsid w:val="00543F4D"/>
    <w:rsid w:val="00551333"/>
    <w:rsid w:val="00551F46"/>
    <w:rsid w:val="00552C21"/>
    <w:rsid w:val="00555295"/>
    <w:rsid w:val="00556B09"/>
    <w:rsid w:val="00560362"/>
    <w:rsid w:val="00562571"/>
    <w:rsid w:val="0056511F"/>
    <w:rsid w:val="00565EA5"/>
    <w:rsid w:val="00567277"/>
    <w:rsid w:val="00567519"/>
    <w:rsid w:val="005708D5"/>
    <w:rsid w:val="005747F4"/>
    <w:rsid w:val="00575743"/>
    <w:rsid w:val="00581E7D"/>
    <w:rsid w:val="005846DA"/>
    <w:rsid w:val="005863D5"/>
    <w:rsid w:val="005909A6"/>
    <w:rsid w:val="005915DB"/>
    <w:rsid w:val="0059281B"/>
    <w:rsid w:val="00596A6D"/>
    <w:rsid w:val="005A497D"/>
    <w:rsid w:val="005A536A"/>
    <w:rsid w:val="005A6487"/>
    <w:rsid w:val="005A6E87"/>
    <w:rsid w:val="005A72F9"/>
    <w:rsid w:val="005B1242"/>
    <w:rsid w:val="005B1BCE"/>
    <w:rsid w:val="005B4EF0"/>
    <w:rsid w:val="005C2B6E"/>
    <w:rsid w:val="005C3D47"/>
    <w:rsid w:val="005C6D11"/>
    <w:rsid w:val="005D5A04"/>
    <w:rsid w:val="005D61E0"/>
    <w:rsid w:val="005D66B0"/>
    <w:rsid w:val="005E6525"/>
    <w:rsid w:val="005F0C01"/>
    <w:rsid w:val="005F1846"/>
    <w:rsid w:val="005F3DA0"/>
    <w:rsid w:val="005F60CD"/>
    <w:rsid w:val="00601BA9"/>
    <w:rsid w:val="006135AD"/>
    <w:rsid w:val="00613C77"/>
    <w:rsid w:val="00614466"/>
    <w:rsid w:val="006144FC"/>
    <w:rsid w:val="00614F56"/>
    <w:rsid w:val="0062029A"/>
    <w:rsid w:val="00622A3C"/>
    <w:rsid w:val="00625F66"/>
    <w:rsid w:val="00633C06"/>
    <w:rsid w:val="00634FF8"/>
    <w:rsid w:val="00636484"/>
    <w:rsid w:val="00642C94"/>
    <w:rsid w:val="006444BE"/>
    <w:rsid w:val="00646D9D"/>
    <w:rsid w:val="006517D5"/>
    <w:rsid w:val="0065211D"/>
    <w:rsid w:val="00653E83"/>
    <w:rsid w:val="0065430E"/>
    <w:rsid w:val="0066045F"/>
    <w:rsid w:val="00662146"/>
    <w:rsid w:val="0068078D"/>
    <w:rsid w:val="00685559"/>
    <w:rsid w:val="006863AB"/>
    <w:rsid w:val="006957C7"/>
    <w:rsid w:val="006A1D24"/>
    <w:rsid w:val="006A1F3E"/>
    <w:rsid w:val="006A3AA3"/>
    <w:rsid w:val="006B104E"/>
    <w:rsid w:val="006B576A"/>
    <w:rsid w:val="006B7C2C"/>
    <w:rsid w:val="006C0042"/>
    <w:rsid w:val="006C0E12"/>
    <w:rsid w:val="006C2EF4"/>
    <w:rsid w:val="006C52A0"/>
    <w:rsid w:val="006C6248"/>
    <w:rsid w:val="006C719F"/>
    <w:rsid w:val="006D027A"/>
    <w:rsid w:val="006D313A"/>
    <w:rsid w:val="006D776E"/>
    <w:rsid w:val="006D7B0B"/>
    <w:rsid w:val="006E3451"/>
    <w:rsid w:val="006F16DD"/>
    <w:rsid w:val="006F36FA"/>
    <w:rsid w:val="006F44EA"/>
    <w:rsid w:val="007032F9"/>
    <w:rsid w:val="00706FA0"/>
    <w:rsid w:val="00711B34"/>
    <w:rsid w:val="00713F35"/>
    <w:rsid w:val="00715A26"/>
    <w:rsid w:val="00717B72"/>
    <w:rsid w:val="007224DC"/>
    <w:rsid w:val="0072503D"/>
    <w:rsid w:val="00725832"/>
    <w:rsid w:val="00730074"/>
    <w:rsid w:val="00730979"/>
    <w:rsid w:val="0073351C"/>
    <w:rsid w:val="00741312"/>
    <w:rsid w:val="00743C01"/>
    <w:rsid w:val="00746110"/>
    <w:rsid w:val="0074681D"/>
    <w:rsid w:val="0075006C"/>
    <w:rsid w:val="007504CE"/>
    <w:rsid w:val="007542D7"/>
    <w:rsid w:val="0076227D"/>
    <w:rsid w:val="0076488A"/>
    <w:rsid w:val="00765130"/>
    <w:rsid w:val="00765961"/>
    <w:rsid w:val="00765F99"/>
    <w:rsid w:val="0076691A"/>
    <w:rsid w:val="007708FB"/>
    <w:rsid w:val="0077107C"/>
    <w:rsid w:val="0078034D"/>
    <w:rsid w:val="00781E7D"/>
    <w:rsid w:val="00783ACB"/>
    <w:rsid w:val="00784CB1"/>
    <w:rsid w:val="00790C5D"/>
    <w:rsid w:val="00791D8A"/>
    <w:rsid w:val="007924F9"/>
    <w:rsid w:val="00792E5B"/>
    <w:rsid w:val="0079396D"/>
    <w:rsid w:val="0079514E"/>
    <w:rsid w:val="007962AE"/>
    <w:rsid w:val="007A0799"/>
    <w:rsid w:val="007A0DB2"/>
    <w:rsid w:val="007A2932"/>
    <w:rsid w:val="007A6A27"/>
    <w:rsid w:val="007A6C15"/>
    <w:rsid w:val="007B0D2E"/>
    <w:rsid w:val="007B2064"/>
    <w:rsid w:val="007B23C6"/>
    <w:rsid w:val="007B29A6"/>
    <w:rsid w:val="007B4942"/>
    <w:rsid w:val="007C0DDA"/>
    <w:rsid w:val="007C154F"/>
    <w:rsid w:val="007C6FF3"/>
    <w:rsid w:val="007D447D"/>
    <w:rsid w:val="007D5163"/>
    <w:rsid w:val="007E0F64"/>
    <w:rsid w:val="007E107A"/>
    <w:rsid w:val="007F0E26"/>
    <w:rsid w:val="007F21FF"/>
    <w:rsid w:val="007F4059"/>
    <w:rsid w:val="007F6B2A"/>
    <w:rsid w:val="00803264"/>
    <w:rsid w:val="008039C6"/>
    <w:rsid w:val="00803AF8"/>
    <w:rsid w:val="00803C02"/>
    <w:rsid w:val="00813F42"/>
    <w:rsid w:val="0081422A"/>
    <w:rsid w:val="00816152"/>
    <w:rsid w:val="00817670"/>
    <w:rsid w:val="00822B32"/>
    <w:rsid w:val="00823409"/>
    <w:rsid w:val="008238E0"/>
    <w:rsid w:val="00823AFF"/>
    <w:rsid w:val="00823E4A"/>
    <w:rsid w:val="0082424C"/>
    <w:rsid w:val="0082603E"/>
    <w:rsid w:val="00833E56"/>
    <w:rsid w:val="00835793"/>
    <w:rsid w:val="00837549"/>
    <w:rsid w:val="008451CB"/>
    <w:rsid w:val="00846D62"/>
    <w:rsid w:val="008541DB"/>
    <w:rsid w:val="00857DE0"/>
    <w:rsid w:val="00860C3B"/>
    <w:rsid w:val="00860F5E"/>
    <w:rsid w:val="00863EA5"/>
    <w:rsid w:val="00866CD7"/>
    <w:rsid w:val="008670A6"/>
    <w:rsid w:val="008678B9"/>
    <w:rsid w:val="008715A8"/>
    <w:rsid w:val="0087232C"/>
    <w:rsid w:val="0087403B"/>
    <w:rsid w:val="00874BF2"/>
    <w:rsid w:val="00877A08"/>
    <w:rsid w:val="00887B68"/>
    <w:rsid w:val="00887F11"/>
    <w:rsid w:val="008904EB"/>
    <w:rsid w:val="00890CDF"/>
    <w:rsid w:val="0089284F"/>
    <w:rsid w:val="008A53B8"/>
    <w:rsid w:val="008A5C98"/>
    <w:rsid w:val="008A66B7"/>
    <w:rsid w:val="008B2A7D"/>
    <w:rsid w:val="008C0607"/>
    <w:rsid w:val="008C3CC2"/>
    <w:rsid w:val="008C3CDF"/>
    <w:rsid w:val="008C7730"/>
    <w:rsid w:val="008D331D"/>
    <w:rsid w:val="008D4CDD"/>
    <w:rsid w:val="008D6B31"/>
    <w:rsid w:val="008E2515"/>
    <w:rsid w:val="008E5003"/>
    <w:rsid w:val="008E7D30"/>
    <w:rsid w:val="008F0B24"/>
    <w:rsid w:val="008F5603"/>
    <w:rsid w:val="008F5EA4"/>
    <w:rsid w:val="008F5FFD"/>
    <w:rsid w:val="008F603F"/>
    <w:rsid w:val="008F710F"/>
    <w:rsid w:val="008F7FD1"/>
    <w:rsid w:val="0090333F"/>
    <w:rsid w:val="009063E9"/>
    <w:rsid w:val="00906E07"/>
    <w:rsid w:val="00907242"/>
    <w:rsid w:val="00910DC5"/>
    <w:rsid w:val="00915BA5"/>
    <w:rsid w:val="00915E30"/>
    <w:rsid w:val="00920734"/>
    <w:rsid w:val="00921E83"/>
    <w:rsid w:val="009233B0"/>
    <w:rsid w:val="00927569"/>
    <w:rsid w:val="00931100"/>
    <w:rsid w:val="00932AE7"/>
    <w:rsid w:val="009366BE"/>
    <w:rsid w:val="00936E7A"/>
    <w:rsid w:val="0094060F"/>
    <w:rsid w:val="00940A1C"/>
    <w:rsid w:val="00945109"/>
    <w:rsid w:val="0095210F"/>
    <w:rsid w:val="00953916"/>
    <w:rsid w:val="00956421"/>
    <w:rsid w:val="009576D4"/>
    <w:rsid w:val="00962411"/>
    <w:rsid w:val="00963BAD"/>
    <w:rsid w:val="00964A66"/>
    <w:rsid w:val="00970EAE"/>
    <w:rsid w:val="00971277"/>
    <w:rsid w:val="00972454"/>
    <w:rsid w:val="009744C2"/>
    <w:rsid w:val="00974D5D"/>
    <w:rsid w:val="00976F5C"/>
    <w:rsid w:val="009847A3"/>
    <w:rsid w:val="00984C18"/>
    <w:rsid w:val="00985A57"/>
    <w:rsid w:val="00986839"/>
    <w:rsid w:val="00992B24"/>
    <w:rsid w:val="00992F77"/>
    <w:rsid w:val="00996222"/>
    <w:rsid w:val="0099689F"/>
    <w:rsid w:val="009A0A7D"/>
    <w:rsid w:val="009A497D"/>
    <w:rsid w:val="009A629F"/>
    <w:rsid w:val="009A69CC"/>
    <w:rsid w:val="009A6AA4"/>
    <w:rsid w:val="009A760C"/>
    <w:rsid w:val="009B29B8"/>
    <w:rsid w:val="009B41FA"/>
    <w:rsid w:val="009B6B28"/>
    <w:rsid w:val="009C016A"/>
    <w:rsid w:val="009C305D"/>
    <w:rsid w:val="009C6486"/>
    <w:rsid w:val="009C7877"/>
    <w:rsid w:val="009D1913"/>
    <w:rsid w:val="009D5A2B"/>
    <w:rsid w:val="009E4DA2"/>
    <w:rsid w:val="009E561E"/>
    <w:rsid w:val="009F162D"/>
    <w:rsid w:val="00A13585"/>
    <w:rsid w:val="00A14317"/>
    <w:rsid w:val="00A14FD2"/>
    <w:rsid w:val="00A17BB6"/>
    <w:rsid w:val="00A216B6"/>
    <w:rsid w:val="00A25CCD"/>
    <w:rsid w:val="00A25FE4"/>
    <w:rsid w:val="00A2697E"/>
    <w:rsid w:val="00A3123B"/>
    <w:rsid w:val="00A3446F"/>
    <w:rsid w:val="00A358CA"/>
    <w:rsid w:val="00A35C96"/>
    <w:rsid w:val="00A365E3"/>
    <w:rsid w:val="00A375D9"/>
    <w:rsid w:val="00A4090B"/>
    <w:rsid w:val="00A42342"/>
    <w:rsid w:val="00A4395C"/>
    <w:rsid w:val="00A450E7"/>
    <w:rsid w:val="00A47E2D"/>
    <w:rsid w:val="00A5117B"/>
    <w:rsid w:val="00A52407"/>
    <w:rsid w:val="00A5396E"/>
    <w:rsid w:val="00A602DF"/>
    <w:rsid w:val="00A64F24"/>
    <w:rsid w:val="00A6695C"/>
    <w:rsid w:val="00A67CA1"/>
    <w:rsid w:val="00A70F27"/>
    <w:rsid w:val="00A72F1A"/>
    <w:rsid w:val="00A73C03"/>
    <w:rsid w:val="00A7568D"/>
    <w:rsid w:val="00A7761A"/>
    <w:rsid w:val="00A83291"/>
    <w:rsid w:val="00A85C11"/>
    <w:rsid w:val="00A86616"/>
    <w:rsid w:val="00A94960"/>
    <w:rsid w:val="00A97AC1"/>
    <w:rsid w:val="00AB36A3"/>
    <w:rsid w:val="00AC0009"/>
    <w:rsid w:val="00AC2338"/>
    <w:rsid w:val="00AC451D"/>
    <w:rsid w:val="00AC4527"/>
    <w:rsid w:val="00AC6B8B"/>
    <w:rsid w:val="00AD29AB"/>
    <w:rsid w:val="00AD7512"/>
    <w:rsid w:val="00AD7844"/>
    <w:rsid w:val="00AE0B06"/>
    <w:rsid w:val="00AE23F7"/>
    <w:rsid w:val="00AE27F7"/>
    <w:rsid w:val="00AE33A8"/>
    <w:rsid w:val="00AE5070"/>
    <w:rsid w:val="00AF1692"/>
    <w:rsid w:val="00AF4811"/>
    <w:rsid w:val="00AF59D5"/>
    <w:rsid w:val="00AF66D5"/>
    <w:rsid w:val="00B03B28"/>
    <w:rsid w:val="00B040D3"/>
    <w:rsid w:val="00B11C81"/>
    <w:rsid w:val="00B12BDB"/>
    <w:rsid w:val="00B204AD"/>
    <w:rsid w:val="00B24341"/>
    <w:rsid w:val="00B273CD"/>
    <w:rsid w:val="00B30A0F"/>
    <w:rsid w:val="00B3205B"/>
    <w:rsid w:val="00B32813"/>
    <w:rsid w:val="00B3419B"/>
    <w:rsid w:val="00B34694"/>
    <w:rsid w:val="00B35C01"/>
    <w:rsid w:val="00B37821"/>
    <w:rsid w:val="00B41E54"/>
    <w:rsid w:val="00B42C3B"/>
    <w:rsid w:val="00B44937"/>
    <w:rsid w:val="00B46916"/>
    <w:rsid w:val="00B52853"/>
    <w:rsid w:val="00B559C7"/>
    <w:rsid w:val="00B60A1B"/>
    <w:rsid w:val="00B71ACB"/>
    <w:rsid w:val="00B73BAE"/>
    <w:rsid w:val="00B742E2"/>
    <w:rsid w:val="00B76BFA"/>
    <w:rsid w:val="00B76EB9"/>
    <w:rsid w:val="00B816E3"/>
    <w:rsid w:val="00B84885"/>
    <w:rsid w:val="00B85B69"/>
    <w:rsid w:val="00B95286"/>
    <w:rsid w:val="00BA32AF"/>
    <w:rsid w:val="00BA5E7E"/>
    <w:rsid w:val="00BA6F3C"/>
    <w:rsid w:val="00BB1BF8"/>
    <w:rsid w:val="00BB2DDD"/>
    <w:rsid w:val="00BB577C"/>
    <w:rsid w:val="00BC16AF"/>
    <w:rsid w:val="00BC172A"/>
    <w:rsid w:val="00BC305A"/>
    <w:rsid w:val="00BD344B"/>
    <w:rsid w:val="00BD7CBF"/>
    <w:rsid w:val="00BE04BB"/>
    <w:rsid w:val="00BE4532"/>
    <w:rsid w:val="00BE51E0"/>
    <w:rsid w:val="00BE5E33"/>
    <w:rsid w:val="00BF47BC"/>
    <w:rsid w:val="00BF7FAD"/>
    <w:rsid w:val="00C018A3"/>
    <w:rsid w:val="00C06344"/>
    <w:rsid w:val="00C068C7"/>
    <w:rsid w:val="00C06E13"/>
    <w:rsid w:val="00C078C7"/>
    <w:rsid w:val="00C11623"/>
    <w:rsid w:val="00C1717F"/>
    <w:rsid w:val="00C17653"/>
    <w:rsid w:val="00C178E8"/>
    <w:rsid w:val="00C17F21"/>
    <w:rsid w:val="00C21A9E"/>
    <w:rsid w:val="00C22C3D"/>
    <w:rsid w:val="00C241F0"/>
    <w:rsid w:val="00C26543"/>
    <w:rsid w:val="00C26605"/>
    <w:rsid w:val="00C30204"/>
    <w:rsid w:val="00C3214A"/>
    <w:rsid w:val="00C32B25"/>
    <w:rsid w:val="00C33EE3"/>
    <w:rsid w:val="00C37614"/>
    <w:rsid w:val="00C3770E"/>
    <w:rsid w:val="00C41983"/>
    <w:rsid w:val="00C44975"/>
    <w:rsid w:val="00C46E62"/>
    <w:rsid w:val="00C47738"/>
    <w:rsid w:val="00C53C12"/>
    <w:rsid w:val="00C66150"/>
    <w:rsid w:val="00C67E07"/>
    <w:rsid w:val="00C7392D"/>
    <w:rsid w:val="00C76222"/>
    <w:rsid w:val="00C76715"/>
    <w:rsid w:val="00C80431"/>
    <w:rsid w:val="00C86349"/>
    <w:rsid w:val="00CA6E2D"/>
    <w:rsid w:val="00CA72BA"/>
    <w:rsid w:val="00CB09F8"/>
    <w:rsid w:val="00CB0F55"/>
    <w:rsid w:val="00CB3136"/>
    <w:rsid w:val="00CC1481"/>
    <w:rsid w:val="00CC28A6"/>
    <w:rsid w:val="00CD1156"/>
    <w:rsid w:val="00CD7B64"/>
    <w:rsid w:val="00CE250F"/>
    <w:rsid w:val="00CE2895"/>
    <w:rsid w:val="00CE591B"/>
    <w:rsid w:val="00CF2153"/>
    <w:rsid w:val="00CF3E87"/>
    <w:rsid w:val="00CF5024"/>
    <w:rsid w:val="00CF771C"/>
    <w:rsid w:val="00D00583"/>
    <w:rsid w:val="00D00C24"/>
    <w:rsid w:val="00D06869"/>
    <w:rsid w:val="00D06EEE"/>
    <w:rsid w:val="00D11624"/>
    <w:rsid w:val="00D13781"/>
    <w:rsid w:val="00D13F8E"/>
    <w:rsid w:val="00D14D16"/>
    <w:rsid w:val="00D15BCA"/>
    <w:rsid w:val="00D2349F"/>
    <w:rsid w:val="00D239E3"/>
    <w:rsid w:val="00D26C67"/>
    <w:rsid w:val="00D312BC"/>
    <w:rsid w:val="00D31597"/>
    <w:rsid w:val="00D31F6D"/>
    <w:rsid w:val="00D373D7"/>
    <w:rsid w:val="00D456FA"/>
    <w:rsid w:val="00D55BE6"/>
    <w:rsid w:val="00D562A6"/>
    <w:rsid w:val="00D57FB1"/>
    <w:rsid w:val="00D60DEF"/>
    <w:rsid w:val="00D62E05"/>
    <w:rsid w:val="00D67064"/>
    <w:rsid w:val="00D71098"/>
    <w:rsid w:val="00D71E32"/>
    <w:rsid w:val="00D753AB"/>
    <w:rsid w:val="00D75E37"/>
    <w:rsid w:val="00D77877"/>
    <w:rsid w:val="00D84617"/>
    <w:rsid w:val="00D85F69"/>
    <w:rsid w:val="00D90F59"/>
    <w:rsid w:val="00D93A93"/>
    <w:rsid w:val="00D94207"/>
    <w:rsid w:val="00D95294"/>
    <w:rsid w:val="00D973E6"/>
    <w:rsid w:val="00DA08F8"/>
    <w:rsid w:val="00DA11D7"/>
    <w:rsid w:val="00DA42BA"/>
    <w:rsid w:val="00DB1484"/>
    <w:rsid w:val="00DC5115"/>
    <w:rsid w:val="00DC659C"/>
    <w:rsid w:val="00DD01D2"/>
    <w:rsid w:val="00DD54FC"/>
    <w:rsid w:val="00DD65C2"/>
    <w:rsid w:val="00DF2DB1"/>
    <w:rsid w:val="00DF2DDE"/>
    <w:rsid w:val="00DF3BC5"/>
    <w:rsid w:val="00E006D0"/>
    <w:rsid w:val="00E02305"/>
    <w:rsid w:val="00E03517"/>
    <w:rsid w:val="00E05C9C"/>
    <w:rsid w:val="00E06856"/>
    <w:rsid w:val="00E13AA0"/>
    <w:rsid w:val="00E149F3"/>
    <w:rsid w:val="00E153FE"/>
    <w:rsid w:val="00E263E8"/>
    <w:rsid w:val="00E3527B"/>
    <w:rsid w:val="00E35AB8"/>
    <w:rsid w:val="00E36D99"/>
    <w:rsid w:val="00E43211"/>
    <w:rsid w:val="00E43466"/>
    <w:rsid w:val="00E43F41"/>
    <w:rsid w:val="00E4501B"/>
    <w:rsid w:val="00E4588C"/>
    <w:rsid w:val="00E500A7"/>
    <w:rsid w:val="00E505EB"/>
    <w:rsid w:val="00E55AD1"/>
    <w:rsid w:val="00E56093"/>
    <w:rsid w:val="00E5692D"/>
    <w:rsid w:val="00E5716D"/>
    <w:rsid w:val="00E61620"/>
    <w:rsid w:val="00E630FC"/>
    <w:rsid w:val="00E71EE1"/>
    <w:rsid w:val="00E730C1"/>
    <w:rsid w:val="00E75161"/>
    <w:rsid w:val="00E753D8"/>
    <w:rsid w:val="00E8307B"/>
    <w:rsid w:val="00E84170"/>
    <w:rsid w:val="00E842E5"/>
    <w:rsid w:val="00E909B1"/>
    <w:rsid w:val="00E9131F"/>
    <w:rsid w:val="00E92067"/>
    <w:rsid w:val="00E97817"/>
    <w:rsid w:val="00EA1997"/>
    <w:rsid w:val="00EA616E"/>
    <w:rsid w:val="00EA628A"/>
    <w:rsid w:val="00EA6492"/>
    <w:rsid w:val="00EC1041"/>
    <w:rsid w:val="00EC1249"/>
    <w:rsid w:val="00EC5626"/>
    <w:rsid w:val="00EC6679"/>
    <w:rsid w:val="00ED0F1E"/>
    <w:rsid w:val="00ED6394"/>
    <w:rsid w:val="00ED64CB"/>
    <w:rsid w:val="00ED7D65"/>
    <w:rsid w:val="00EE3776"/>
    <w:rsid w:val="00EE52A1"/>
    <w:rsid w:val="00EE62D6"/>
    <w:rsid w:val="00EF05C5"/>
    <w:rsid w:val="00EF16F8"/>
    <w:rsid w:val="00EF2D9E"/>
    <w:rsid w:val="00EF3BF9"/>
    <w:rsid w:val="00EF76E0"/>
    <w:rsid w:val="00F05758"/>
    <w:rsid w:val="00F0757C"/>
    <w:rsid w:val="00F16C11"/>
    <w:rsid w:val="00F170CF"/>
    <w:rsid w:val="00F1728D"/>
    <w:rsid w:val="00F20615"/>
    <w:rsid w:val="00F21B21"/>
    <w:rsid w:val="00F30335"/>
    <w:rsid w:val="00F30458"/>
    <w:rsid w:val="00F40137"/>
    <w:rsid w:val="00F41942"/>
    <w:rsid w:val="00F41BDB"/>
    <w:rsid w:val="00F4651A"/>
    <w:rsid w:val="00F47FEE"/>
    <w:rsid w:val="00F50599"/>
    <w:rsid w:val="00F53002"/>
    <w:rsid w:val="00F55C6D"/>
    <w:rsid w:val="00F57CDA"/>
    <w:rsid w:val="00F637D3"/>
    <w:rsid w:val="00F64568"/>
    <w:rsid w:val="00F66EBB"/>
    <w:rsid w:val="00F70206"/>
    <w:rsid w:val="00F7216D"/>
    <w:rsid w:val="00F73BC2"/>
    <w:rsid w:val="00F8121D"/>
    <w:rsid w:val="00F86897"/>
    <w:rsid w:val="00F94149"/>
    <w:rsid w:val="00F94206"/>
    <w:rsid w:val="00F96A37"/>
    <w:rsid w:val="00F96AB0"/>
    <w:rsid w:val="00FA1E11"/>
    <w:rsid w:val="00FA28F4"/>
    <w:rsid w:val="00FA3764"/>
    <w:rsid w:val="00FA46E1"/>
    <w:rsid w:val="00FA552B"/>
    <w:rsid w:val="00FB151D"/>
    <w:rsid w:val="00FC2F8D"/>
    <w:rsid w:val="00FC3631"/>
    <w:rsid w:val="00FD0255"/>
    <w:rsid w:val="00FD11D3"/>
    <w:rsid w:val="00FD2FED"/>
    <w:rsid w:val="00FD3C52"/>
    <w:rsid w:val="00FD405C"/>
    <w:rsid w:val="00FD410C"/>
    <w:rsid w:val="00FD600F"/>
    <w:rsid w:val="00FE2140"/>
    <w:rsid w:val="00FE6C7A"/>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3818B-8E46-4C26-8C82-F6B7F589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A3"/>
    <w:pPr>
      <w:spacing w:after="0" w:line="240" w:lineRule="auto"/>
    </w:pPr>
    <w:rPr>
      <w:rFonts w:ascii="Times New Roman" w:eastAsia="Times New Roman" w:hAnsi="Times New Roman" w:cs="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09"/>
    <w:pPr>
      <w:ind w:left="720"/>
      <w:contextualSpacing/>
    </w:pPr>
  </w:style>
  <w:style w:type="paragraph" w:styleId="Header">
    <w:name w:val="header"/>
    <w:basedOn w:val="Normal"/>
    <w:link w:val="HeaderChar"/>
    <w:uiPriority w:val="99"/>
    <w:unhideWhenUsed/>
    <w:rsid w:val="00F86897"/>
    <w:pPr>
      <w:tabs>
        <w:tab w:val="center" w:pos="4680"/>
        <w:tab w:val="right" w:pos="9360"/>
      </w:tabs>
    </w:pPr>
  </w:style>
  <w:style w:type="character" w:customStyle="1" w:styleId="HeaderChar">
    <w:name w:val="Header Char"/>
    <w:basedOn w:val="DefaultParagraphFont"/>
    <w:link w:val="Header"/>
    <w:uiPriority w:val="99"/>
    <w:rsid w:val="00F86897"/>
    <w:rPr>
      <w:rFonts w:ascii="Times New Roman" w:eastAsia="Times New Roman" w:hAnsi="Times New Roman" w:cs="Times New Roman"/>
      <w:sz w:val="24"/>
      <w:szCs w:val="24"/>
      <w:lang w:val="en-ZA" w:eastAsia="en-ZA"/>
    </w:rPr>
  </w:style>
  <w:style w:type="paragraph" w:styleId="Footer">
    <w:name w:val="footer"/>
    <w:basedOn w:val="Normal"/>
    <w:link w:val="FooterChar"/>
    <w:uiPriority w:val="99"/>
    <w:unhideWhenUsed/>
    <w:rsid w:val="00F86897"/>
    <w:pPr>
      <w:tabs>
        <w:tab w:val="center" w:pos="4680"/>
        <w:tab w:val="right" w:pos="9360"/>
      </w:tabs>
    </w:pPr>
  </w:style>
  <w:style w:type="character" w:customStyle="1" w:styleId="FooterChar">
    <w:name w:val="Footer Char"/>
    <w:basedOn w:val="DefaultParagraphFont"/>
    <w:link w:val="Footer"/>
    <w:uiPriority w:val="99"/>
    <w:rsid w:val="00F86897"/>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C41983"/>
    <w:rPr>
      <w:sz w:val="16"/>
      <w:szCs w:val="16"/>
    </w:rPr>
  </w:style>
  <w:style w:type="paragraph" w:styleId="CommentText">
    <w:name w:val="annotation text"/>
    <w:basedOn w:val="Normal"/>
    <w:link w:val="CommentTextChar"/>
    <w:uiPriority w:val="99"/>
    <w:semiHidden/>
    <w:unhideWhenUsed/>
    <w:rsid w:val="00C41983"/>
    <w:rPr>
      <w:sz w:val="20"/>
      <w:szCs w:val="20"/>
    </w:rPr>
  </w:style>
  <w:style w:type="character" w:customStyle="1" w:styleId="CommentTextChar">
    <w:name w:val="Comment Text Char"/>
    <w:basedOn w:val="DefaultParagraphFont"/>
    <w:link w:val="CommentText"/>
    <w:uiPriority w:val="99"/>
    <w:semiHidden/>
    <w:rsid w:val="00C41983"/>
    <w:rPr>
      <w:rFonts w:ascii="Times New Roman" w:eastAsia="Times New Roman" w:hAnsi="Times New Roman" w:cs="Times New Roman"/>
      <w:sz w:val="20"/>
      <w:szCs w:val="20"/>
      <w:lang w:val="en-ZA" w:eastAsia="en-ZA"/>
    </w:rPr>
  </w:style>
  <w:style w:type="paragraph" w:styleId="CommentSubject">
    <w:name w:val="annotation subject"/>
    <w:basedOn w:val="CommentText"/>
    <w:next w:val="CommentText"/>
    <w:link w:val="CommentSubjectChar"/>
    <w:uiPriority w:val="99"/>
    <w:semiHidden/>
    <w:unhideWhenUsed/>
    <w:rsid w:val="00C41983"/>
    <w:rPr>
      <w:b/>
      <w:bCs/>
    </w:rPr>
  </w:style>
  <w:style w:type="character" w:customStyle="1" w:styleId="CommentSubjectChar">
    <w:name w:val="Comment Subject Char"/>
    <w:basedOn w:val="CommentTextChar"/>
    <w:link w:val="CommentSubject"/>
    <w:uiPriority w:val="99"/>
    <w:semiHidden/>
    <w:rsid w:val="00C41983"/>
    <w:rPr>
      <w:rFonts w:ascii="Times New Roman" w:eastAsia="Times New Roman" w:hAnsi="Times New Roman" w:cs="Times New Roman"/>
      <w:b/>
      <w:bCs/>
      <w:sz w:val="20"/>
      <w:szCs w:val="20"/>
      <w:lang w:val="en-ZA" w:eastAsia="en-ZA"/>
    </w:rPr>
  </w:style>
  <w:style w:type="paragraph" w:styleId="BalloonText">
    <w:name w:val="Balloon Text"/>
    <w:basedOn w:val="Normal"/>
    <w:link w:val="BalloonTextChar"/>
    <w:uiPriority w:val="99"/>
    <w:semiHidden/>
    <w:unhideWhenUsed/>
    <w:rsid w:val="00C41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3"/>
    <w:rPr>
      <w:rFonts w:ascii="Segoe UI" w:eastAsia="Times New Roman" w:hAnsi="Segoe UI" w:cs="Segoe UI"/>
      <w:sz w:val="18"/>
      <w:szCs w:val="18"/>
      <w:lang w:val="en-ZA" w:eastAsia="en-ZA"/>
    </w:rPr>
  </w:style>
  <w:style w:type="character" w:styleId="PlaceholderText">
    <w:name w:val="Placeholder Text"/>
    <w:basedOn w:val="DefaultParagraphFont"/>
    <w:uiPriority w:val="99"/>
    <w:semiHidden/>
    <w:rsid w:val="00816152"/>
    <w:rPr>
      <w:color w:val="808080"/>
    </w:rPr>
  </w:style>
  <w:style w:type="paragraph" w:styleId="ListBullet">
    <w:name w:val="List Bullet"/>
    <w:basedOn w:val="Normal"/>
    <w:uiPriority w:val="99"/>
    <w:unhideWhenUsed/>
    <w:rsid w:val="00EE52A1"/>
    <w:pPr>
      <w:numPr>
        <w:numId w:val="10"/>
      </w:numPr>
      <w:contextualSpacing/>
    </w:pPr>
  </w:style>
  <w:style w:type="paragraph" w:styleId="FootnoteText">
    <w:name w:val="footnote text"/>
    <w:basedOn w:val="Normal"/>
    <w:link w:val="FootnoteTextChar"/>
    <w:uiPriority w:val="99"/>
    <w:semiHidden/>
    <w:unhideWhenUsed/>
    <w:rsid w:val="00422450"/>
    <w:rPr>
      <w:sz w:val="20"/>
      <w:szCs w:val="20"/>
    </w:rPr>
  </w:style>
  <w:style w:type="character" w:customStyle="1" w:styleId="FootnoteTextChar">
    <w:name w:val="Footnote Text Char"/>
    <w:basedOn w:val="DefaultParagraphFont"/>
    <w:link w:val="FootnoteText"/>
    <w:uiPriority w:val="99"/>
    <w:semiHidden/>
    <w:rsid w:val="00422450"/>
    <w:rPr>
      <w:rFonts w:ascii="Times New Roman" w:eastAsia="Times New Roman" w:hAnsi="Times New Roman" w:cs="Times New Roman"/>
      <w:sz w:val="20"/>
      <w:szCs w:val="20"/>
      <w:lang w:val="en-ZA" w:eastAsia="en-ZA"/>
    </w:rPr>
  </w:style>
  <w:style w:type="character" w:styleId="FootnoteReference">
    <w:name w:val="footnote reference"/>
    <w:basedOn w:val="DefaultParagraphFont"/>
    <w:uiPriority w:val="99"/>
    <w:semiHidden/>
    <w:unhideWhenUsed/>
    <w:rsid w:val="00422450"/>
    <w:rPr>
      <w:vertAlign w:val="superscript"/>
    </w:rPr>
  </w:style>
  <w:style w:type="paragraph" w:styleId="Revision">
    <w:name w:val="Revision"/>
    <w:hidden/>
    <w:uiPriority w:val="99"/>
    <w:semiHidden/>
    <w:rsid w:val="00B73BAE"/>
    <w:pPr>
      <w:spacing w:after="0"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10782"/>
    <w:rPr>
      <w:color w:val="0000FF"/>
      <w:u w:val="single"/>
    </w:rPr>
  </w:style>
  <w:style w:type="character" w:customStyle="1" w:styleId="mc">
    <w:name w:val="mc"/>
    <w:basedOn w:val="DefaultParagraphFont"/>
    <w:rsid w:val="00A1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nuel@wylli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nortje@boshoffinc.coza" TargetMode="External"/><Relationship Id="rId4" Type="http://schemas.openxmlformats.org/officeDocument/2006/relationships/settings" Target="settings.xml"/><Relationship Id="rId9" Type="http://schemas.openxmlformats.org/officeDocument/2006/relationships/hyperlink" Target="http://www.saflii.org/cgi-bin/LawCite?cit=1979%20%284%29%20SA%2034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2AB6-CE56-4DE1-B030-C0C9ACA4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11070</Words>
  <Characters>63102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Nomusa Shembe</dc:creator>
  <cp:keywords/>
  <dc:description/>
  <cp:lastModifiedBy>Mokone</cp:lastModifiedBy>
  <cp:revision>3</cp:revision>
  <cp:lastPrinted>2023-05-17T13:20:00Z</cp:lastPrinted>
  <dcterms:created xsi:type="dcterms:W3CDTF">2023-05-24T09:35:00Z</dcterms:created>
  <dcterms:modified xsi:type="dcterms:W3CDTF">2023-05-24T09:49:00Z</dcterms:modified>
</cp:coreProperties>
</file>