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38B2B8" w14:textId="77777777" w:rsidR="00271B58" w:rsidRPr="00197362" w:rsidRDefault="00271B58" w:rsidP="00197362">
      <w:pPr>
        <w:widowControl w:val="0"/>
        <w:tabs>
          <w:tab w:val="left" w:pos="5529"/>
        </w:tabs>
        <w:spacing w:after="0" w:line="360" w:lineRule="auto"/>
        <w:jc w:val="center"/>
        <w:rPr>
          <w:rFonts w:ascii="Arial" w:hAnsi="Arial" w:cs="Arial"/>
          <w:b/>
          <w:sz w:val="24"/>
          <w:szCs w:val="24"/>
          <w:lang w:val="en-ZA"/>
        </w:rPr>
      </w:pPr>
      <w:bookmarkStart w:id="0" w:name="_GoBack"/>
      <w:bookmarkEnd w:id="0"/>
      <w:r w:rsidRPr="00197362">
        <w:rPr>
          <w:rFonts w:ascii="Arial" w:hAnsi="Arial" w:cs="Arial"/>
          <w:noProof/>
          <w:sz w:val="24"/>
          <w:szCs w:val="24"/>
        </w:rPr>
        <w:drawing>
          <wp:inline distT="0" distB="0" distL="0" distR="0" wp14:anchorId="56277570" wp14:editId="42D139C8">
            <wp:extent cx="969532" cy="951856"/>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936" cy="964034"/>
                    </a:xfrm>
                    <a:prstGeom prst="rect">
                      <a:avLst/>
                    </a:prstGeom>
                    <a:noFill/>
                    <a:ln>
                      <a:noFill/>
                    </a:ln>
                  </pic:spPr>
                </pic:pic>
              </a:graphicData>
            </a:graphic>
          </wp:inline>
        </w:drawing>
      </w:r>
    </w:p>
    <w:p w14:paraId="1A2CF1E5" w14:textId="77777777" w:rsidR="00271B58" w:rsidRPr="00197362" w:rsidRDefault="00271B58" w:rsidP="00197362">
      <w:pPr>
        <w:widowControl w:val="0"/>
        <w:tabs>
          <w:tab w:val="left" w:pos="5529"/>
        </w:tabs>
        <w:spacing w:after="0" w:line="360" w:lineRule="auto"/>
        <w:contextualSpacing/>
        <w:jc w:val="center"/>
        <w:rPr>
          <w:rFonts w:ascii="Arial" w:hAnsi="Arial" w:cs="Arial"/>
          <w:b/>
          <w:sz w:val="24"/>
          <w:szCs w:val="24"/>
          <w:lang w:val="en-ZA"/>
        </w:rPr>
      </w:pPr>
      <w:r w:rsidRPr="00197362">
        <w:rPr>
          <w:rFonts w:ascii="Arial" w:hAnsi="Arial" w:cs="Arial"/>
          <w:b/>
          <w:sz w:val="24"/>
          <w:szCs w:val="24"/>
          <w:lang w:val="en-ZA"/>
        </w:rPr>
        <w:t>IN THE HIGH COURT OF SOUTH AFRICA</w:t>
      </w:r>
    </w:p>
    <w:p w14:paraId="4948A8BF" w14:textId="0CC8B0B1" w:rsidR="00271B58" w:rsidRDefault="00271B58" w:rsidP="00197362">
      <w:pPr>
        <w:widowControl w:val="0"/>
        <w:tabs>
          <w:tab w:val="left" w:pos="5529"/>
        </w:tabs>
        <w:spacing w:after="0" w:line="360" w:lineRule="auto"/>
        <w:contextualSpacing/>
        <w:jc w:val="center"/>
        <w:rPr>
          <w:rFonts w:ascii="Arial" w:hAnsi="Arial" w:cs="Arial"/>
          <w:b/>
          <w:sz w:val="24"/>
          <w:szCs w:val="24"/>
          <w:lang w:val="en-ZA"/>
        </w:rPr>
      </w:pPr>
      <w:r w:rsidRPr="00197362">
        <w:rPr>
          <w:rFonts w:ascii="Arial" w:hAnsi="Arial" w:cs="Arial"/>
          <w:b/>
          <w:sz w:val="24"/>
          <w:szCs w:val="24"/>
          <w:lang w:val="en-ZA"/>
        </w:rPr>
        <w:t>KWAZULU-NATAL DIVISION, PIETERMARITZBURG</w:t>
      </w:r>
    </w:p>
    <w:p w14:paraId="0A2F25CF" w14:textId="77777777" w:rsidR="00197362" w:rsidRPr="00197362" w:rsidRDefault="00197362" w:rsidP="00197362">
      <w:pPr>
        <w:widowControl w:val="0"/>
        <w:tabs>
          <w:tab w:val="left" w:pos="5529"/>
        </w:tabs>
        <w:spacing w:after="0" w:line="360" w:lineRule="auto"/>
        <w:contextualSpacing/>
        <w:jc w:val="center"/>
        <w:rPr>
          <w:rFonts w:ascii="Arial" w:hAnsi="Arial" w:cs="Arial"/>
          <w:b/>
          <w:sz w:val="24"/>
          <w:szCs w:val="24"/>
          <w:lang w:val="en-ZA"/>
        </w:rPr>
      </w:pPr>
    </w:p>
    <w:p w14:paraId="037E8555" w14:textId="073C9223" w:rsidR="00271B58" w:rsidRPr="00197362" w:rsidRDefault="00197362" w:rsidP="00197362">
      <w:pPr>
        <w:spacing w:after="0" w:line="360" w:lineRule="auto"/>
        <w:rPr>
          <w:rFonts w:ascii="Arial" w:hAnsi="Arial" w:cs="Arial"/>
          <w:sz w:val="24"/>
          <w:szCs w:val="24"/>
          <w:lang w:val="en-ZA"/>
        </w:rPr>
      </w:pPr>
      <w:r w:rsidRPr="00197362">
        <w:rPr>
          <w:rFonts w:ascii="Arial" w:hAnsi="Arial" w:cs="Arial"/>
          <w:b/>
          <w:sz w:val="24"/>
          <w:szCs w:val="24"/>
          <w:lang w:val="en-ZA"/>
        </w:rPr>
        <w:t xml:space="preserve"> </w:t>
      </w:r>
      <w:r w:rsidR="00271B58" w:rsidRPr="00197362">
        <w:rPr>
          <w:rFonts w:ascii="Arial" w:hAnsi="Arial" w:cs="Arial"/>
          <w:b/>
          <w:sz w:val="24"/>
          <w:szCs w:val="24"/>
          <w:lang w:val="en-ZA"/>
        </w:rPr>
        <w:tab/>
      </w:r>
      <w:r w:rsidR="00271B58" w:rsidRPr="00197362">
        <w:rPr>
          <w:rFonts w:ascii="Arial" w:hAnsi="Arial" w:cs="Arial"/>
          <w:b/>
          <w:sz w:val="24"/>
          <w:szCs w:val="24"/>
          <w:lang w:val="en-ZA"/>
        </w:rPr>
        <w:tab/>
      </w:r>
      <w:r w:rsidR="00271B58" w:rsidRPr="00197362">
        <w:rPr>
          <w:rFonts w:ascii="Arial" w:hAnsi="Arial" w:cs="Arial"/>
          <w:b/>
          <w:sz w:val="24"/>
          <w:szCs w:val="24"/>
          <w:lang w:val="en-ZA"/>
        </w:rPr>
        <w:tab/>
      </w:r>
      <w:r w:rsidR="00271B58" w:rsidRPr="00197362">
        <w:rPr>
          <w:rFonts w:ascii="Arial" w:hAnsi="Arial" w:cs="Arial"/>
          <w:b/>
          <w:sz w:val="24"/>
          <w:szCs w:val="24"/>
          <w:lang w:val="en-ZA"/>
        </w:rPr>
        <w:tab/>
      </w:r>
      <w:r w:rsidR="00271B58" w:rsidRPr="00197362">
        <w:rPr>
          <w:rFonts w:ascii="Arial" w:hAnsi="Arial" w:cs="Arial"/>
          <w:b/>
          <w:sz w:val="24"/>
          <w:szCs w:val="24"/>
          <w:lang w:val="en-ZA"/>
        </w:rPr>
        <w:tab/>
      </w:r>
      <w:r w:rsidR="00271B58" w:rsidRPr="00197362">
        <w:rPr>
          <w:rFonts w:ascii="Arial" w:hAnsi="Arial" w:cs="Arial"/>
          <w:b/>
          <w:sz w:val="24"/>
          <w:szCs w:val="24"/>
          <w:lang w:val="en-ZA"/>
        </w:rPr>
        <w:tab/>
      </w:r>
      <w:r w:rsidR="00271B58" w:rsidRPr="00197362">
        <w:rPr>
          <w:rFonts w:ascii="Arial" w:hAnsi="Arial" w:cs="Arial"/>
          <w:b/>
          <w:sz w:val="24"/>
          <w:szCs w:val="24"/>
          <w:lang w:val="en-ZA"/>
        </w:rPr>
        <w:tab/>
      </w:r>
      <w:r w:rsidR="00271B58" w:rsidRPr="00197362">
        <w:rPr>
          <w:rFonts w:ascii="Arial" w:hAnsi="Arial" w:cs="Arial"/>
          <w:b/>
          <w:sz w:val="24"/>
          <w:szCs w:val="24"/>
          <w:lang w:val="en-ZA"/>
        </w:rPr>
        <w:tab/>
      </w:r>
      <w:r w:rsidR="00271B58" w:rsidRPr="00197362">
        <w:rPr>
          <w:rFonts w:ascii="Arial" w:hAnsi="Arial" w:cs="Arial"/>
          <w:sz w:val="24"/>
          <w:szCs w:val="24"/>
          <w:lang w:val="en-ZA"/>
        </w:rPr>
        <w:t xml:space="preserve">Case no: </w:t>
      </w:r>
      <w:r w:rsidR="008B0462" w:rsidRPr="00197362">
        <w:rPr>
          <w:rFonts w:ascii="Arial" w:hAnsi="Arial" w:cs="Arial"/>
          <w:sz w:val="24"/>
          <w:szCs w:val="24"/>
          <w:lang w:val="en-ZA"/>
        </w:rPr>
        <w:t>11517/2021P</w:t>
      </w:r>
    </w:p>
    <w:p w14:paraId="6601BF3F" w14:textId="77777777" w:rsidR="00197362" w:rsidRDefault="00197362" w:rsidP="00197362">
      <w:pPr>
        <w:spacing w:after="0" w:line="360" w:lineRule="auto"/>
        <w:rPr>
          <w:rFonts w:ascii="Arial" w:hAnsi="Arial" w:cs="Arial"/>
          <w:bCs/>
          <w:sz w:val="24"/>
          <w:szCs w:val="24"/>
          <w:lang w:val="en-ZA"/>
        </w:rPr>
      </w:pPr>
    </w:p>
    <w:p w14:paraId="27CDC0AF" w14:textId="6DBC25C4" w:rsidR="00271B58" w:rsidRPr="00197362" w:rsidRDefault="00271B58" w:rsidP="00197362">
      <w:pPr>
        <w:spacing w:after="0" w:line="360" w:lineRule="auto"/>
        <w:rPr>
          <w:rFonts w:ascii="Arial" w:hAnsi="Arial" w:cs="Arial"/>
          <w:bCs/>
          <w:sz w:val="24"/>
          <w:szCs w:val="24"/>
          <w:lang w:val="en-ZA"/>
        </w:rPr>
      </w:pPr>
      <w:r w:rsidRPr="00197362">
        <w:rPr>
          <w:rFonts w:ascii="Arial" w:hAnsi="Arial" w:cs="Arial"/>
          <w:bCs/>
          <w:sz w:val="24"/>
          <w:szCs w:val="24"/>
          <w:lang w:val="en-ZA"/>
        </w:rPr>
        <w:t>In the matter between:</w:t>
      </w:r>
    </w:p>
    <w:p w14:paraId="1B65B2E6" w14:textId="7AF75B72" w:rsidR="00271B58" w:rsidRPr="00197362" w:rsidRDefault="00197362" w:rsidP="00197362">
      <w:pPr>
        <w:spacing w:after="0" w:line="360" w:lineRule="auto"/>
        <w:rPr>
          <w:rFonts w:ascii="Arial" w:hAnsi="Arial" w:cs="Arial"/>
          <w:b/>
          <w:sz w:val="24"/>
          <w:szCs w:val="24"/>
          <w:lang w:val="en-ZA"/>
        </w:rPr>
      </w:pPr>
      <w:r>
        <w:rPr>
          <w:rFonts w:ascii="Arial" w:hAnsi="Arial" w:cs="Arial"/>
          <w:b/>
          <w:sz w:val="24"/>
          <w:szCs w:val="24"/>
          <w:lang w:val="en-ZA"/>
        </w:rPr>
        <w:t>NED</w:t>
      </w:r>
      <w:r w:rsidR="008B0462" w:rsidRPr="00197362">
        <w:rPr>
          <w:rFonts w:ascii="Arial" w:hAnsi="Arial" w:cs="Arial"/>
          <w:b/>
          <w:sz w:val="24"/>
          <w:szCs w:val="24"/>
          <w:lang w:val="en-ZA"/>
        </w:rPr>
        <w:t>BANK</w:t>
      </w:r>
      <w:r>
        <w:rPr>
          <w:rFonts w:ascii="Arial" w:hAnsi="Arial" w:cs="Arial"/>
          <w:b/>
          <w:sz w:val="24"/>
          <w:szCs w:val="24"/>
          <w:lang w:val="en-ZA"/>
        </w:rPr>
        <w:t xml:space="preserve"> </w:t>
      </w:r>
      <w:r w:rsidR="008B0462" w:rsidRPr="00197362">
        <w:rPr>
          <w:rFonts w:ascii="Arial" w:hAnsi="Arial" w:cs="Arial"/>
          <w:b/>
          <w:sz w:val="24"/>
          <w:szCs w:val="24"/>
          <w:lang w:val="en-ZA"/>
        </w:rPr>
        <w:t>LIMITED</w:t>
      </w:r>
      <w:r w:rsidR="00271B58" w:rsidRPr="00197362">
        <w:rPr>
          <w:rFonts w:ascii="Arial" w:hAnsi="Arial" w:cs="Arial"/>
          <w:b/>
          <w:sz w:val="24"/>
          <w:szCs w:val="24"/>
          <w:lang w:val="en-ZA"/>
        </w:rPr>
        <w:tab/>
      </w:r>
      <w:r w:rsidR="00271B58" w:rsidRPr="00197362">
        <w:rPr>
          <w:rFonts w:ascii="Arial" w:hAnsi="Arial" w:cs="Arial"/>
          <w:b/>
          <w:sz w:val="24"/>
          <w:szCs w:val="24"/>
          <w:lang w:val="en-ZA"/>
        </w:rPr>
        <w:tab/>
      </w:r>
      <w:r w:rsidR="00271B58" w:rsidRPr="00197362">
        <w:rPr>
          <w:rFonts w:ascii="Arial" w:hAnsi="Arial" w:cs="Arial"/>
          <w:b/>
          <w:sz w:val="24"/>
          <w:szCs w:val="24"/>
          <w:lang w:val="en-ZA"/>
        </w:rPr>
        <w:tab/>
      </w:r>
      <w:r w:rsidR="00271B58" w:rsidRPr="00197362">
        <w:rPr>
          <w:rFonts w:ascii="Arial" w:hAnsi="Arial" w:cs="Arial"/>
          <w:b/>
          <w:sz w:val="24"/>
          <w:szCs w:val="24"/>
          <w:lang w:val="en-ZA"/>
        </w:rPr>
        <w:tab/>
      </w:r>
      <w:r w:rsidR="00271B58" w:rsidRPr="00197362">
        <w:rPr>
          <w:rFonts w:ascii="Arial" w:hAnsi="Arial" w:cs="Arial"/>
          <w:b/>
          <w:sz w:val="24"/>
          <w:szCs w:val="24"/>
          <w:lang w:val="en-ZA"/>
        </w:rPr>
        <w:tab/>
        <w:t>Applicant</w:t>
      </w:r>
    </w:p>
    <w:p w14:paraId="278CD34F" w14:textId="31D8BD0C" w:rsidR="00271B58" w:rsidRPr="00197362" w:rsidRDefault="002778D2" w:rsidP="00197362">
      <w:pPr>
        <w:spacing w:after="0" w:line="360" w:lineRule="auto"/>
        <w:rPr>
          <w:rFonts w:ascii="Arial" w:hAnsi="Arial" w:cs="Arial"/>
          <w:b/>
          <w:sz w:val="24"/>
          <w:szCs w:val="24"/>
          <w:lang w:val="en-ZA"/>
        </w:rPr>
      </w:pPr>
      <w:r w:rsidRPr="00197362">
        <w:rPr>
          <w:rFonts w:ascii="Arial" w:hAnsi="Arial" w:cs="Arial"/>
          <w:b/>
          <w:sz w:val="24"/>
          <w:szCs w:val="24"/>
          <w:lang w:val="en-ZA"/>
        </w:rPr>
        <w:t>a</w:t>
      </w:r>
      <w:r w:rsidR="00271B58" w:rsidRPr="00197362">
        <w:rPr>
          <w:rFonts w:ascii="Arial" w:hAnsi="Arial" w:cs="Arial"/>
          <w:b/>
          <w:sz w:val="24"/>
          <w:szCs w:val="24"/>
          <w:lang w:val="en-ZA"/>
        </w:rPr>
        <w:t>nd</w:t>
      </w:r>
    </w:p>
    <w:p w14:paraId="6093488D" w14:textId="395C2FBD" w:rsidR="00271B58" w:rsidRPr="00197362" w:rsidRDefault="00C830F8" w:rsidP="00197362">
      <w:pPr>
        <w:spacing w:after="0" w:line="360" w:lineRule="auto"/>
        <w:rPr>
          <w:rFonts w:ascii="Arial" w:hAnsi="Arial" w:cs="Arial"/>
          <w:sz w:val="24"/>
          <w:szCs w:val="24"/>
          <w:lang w:val="en-ZA"/>
        </w:rPr>
      </w:pPr>
      <w:r w:rsidRPr="00197362">
        <w:rPr>
          <w:rFonts w:ascii="Arial" w:hAnsi="Arial" w:cs="Arial"/>
          <w:b/>
          <w:sz w:val="24"/>
          <w:szCs w:val="24"/>
          <w:lang w:val="en-ZA"/>
        </w:rPr>
        <w:t xml:space="preserve">EUPINA </w:t>
      </w:r>
      <w:r w:rsidR="008B0462" w:rsidRPr="00197362">
        <w:rPr>
          <w:rFonts w:ascii="Arial" w:hAnsi="Arial" w:cs="Arial"/>
          <w:b/>
          <w:sz w:val="24"/>
          <w:szCs w:val="24"/>
          <w:lang w:val="en-ZA"/>
        </w:rPr>
        <w:t>MAGADLA</w:t>
      </w:r>
      <w:r w:rsidR="00271B58" w:rsidRPr="00197362">
        <w:rPr>
          <w:rFonts w:ascii="Arial" w:hAnsi="Arial" w:cs="Arial"/>
          <w:b/>
          <w:sz w:val="24"/>
          <w:szCs w:val="24"/>
          <w:lang w:val="en-ZA"/>
        </w:rPr>
        <w:tab/>
      </w:r>
      <w:r w:rsidR="00271B58" w:rsidRPr="00197362">
        <w:rPr>
          <w:rFonts w:ascii="Arial" w:hAnsi="Arial" w:cs="Arial"/>
          <w:b/>
          <w:sz w:val="24"/>
          <w:szCs w:val="24"/>
          <w:lang w:val="en-ZA"/>
        </w:rPr>
        <w:tab/>
      </w:r>
      <w:r w:rsidR="00271B58" w:rsidRPr="00197362">
        <w:rPr>
          <w:rFonts w:ascii="Arial" w:hAnsi="Arial" w:cs="Arial"/>
          <w:b/>
          <w:sz w:val="24"/>
          <w:szCs w:val="24"/>
          <w:lang w:val="en-ZA"/>
        </w:rPr>
        <w:tab/>
      </w:r>
      <w:r w:rsidR="00271B58" w:rsidRPr="00197362">
        <w:rPr>
          <w:rFonts w:ascii="Arial" w:hAnsi="Arial" w:cs="Arial"/>
          <w:b/>
          <w:sz w:val="24"/>
          <w:szCs w:val="24"/>
          <w:lang w:val="en-ZA"/>
        </w:rPr>
        <w:tab/>
      </w:r>
      <w:r w:rsidR="00271B58" w:rsidRPr="00197362">
        <w:rPr>
          <w:rFonts w:ascii="Arial" w:hAnsi="Arial" w:cs="Arial"/>
          <w:b/>
          <w:sz w:val="24"/>
          <w:szCs w:val="24"/>
          <w:lang w:val="en-ZA"/>
        </w:rPr>
        <w:tab/>
      </w:r>
      <w:r w:rsidR="00197362" w:rsidRPr="00197362">
        <w:rPr>
          <w:rFonts w:ascii="Arial" w:hAnsi="Arial" w:cs="Arial"/>
          <w:b/>
          <w:sz w:val="24"/>
          <w:szCs w:val="24"/>
          <w:lang w:val="en-ZA"/>
        </w:rPr>
        <w:t xml:space="preserve"> </w:t>
      </w:r>
      <w:r w:rsidR="00271B58" w:rsidRPr="00197362">
        <w:rPr>
          <w:rFonts w:ascii="Arial" w:hAnsi="Arial" w:cs="Arial"/>
          <w:b/>
          <w:sz w:val="24"/>
          <w:szCs w:val="24"/>
          <w:lang w:val="en-ZA"/>
        </w:rPr>
        <w:t>Respondent</w:t>
      </w:r>
    </w:p>
    <w:p w14:paraId="4C187018" w14:textId="4FD6AF70" w:rsidR="00271B58" w:rsidRPr="00197362" w:rsidRDefault="00271B58" w:rsidP="00197362">
      <w:pPr>
        <w:widowControl w:val="0"/>
        <w:tabs>
          <w:tab w:val="left" w:pos="6946"/>
        </w:tabs>
        <w:spacing w:after="0" w:line="360" w:lineRule="auto"/>
        <w:contextualSpacing/>
        <w:rPr>
          <w:rFonts w:ascii="Arial" w:hAnsi="Arial" w:cs="Arial"/>
          <w:sz w:val="24"/>
          <w:szCs w:val="24"/>
          <w:u w:val="single"/>
          <w:lang w:val="en-ZA"/>
        </w:rPr>
      </w:pPr>
      <w:r w:rsidRPr="00197362">
        <w:rPr>
          <w:rFonts w:ascii="Arial" w:hAnsi="Arial" w:cs="Arial"/>
          <w:sz w:val="24"/>
          <w:szCs w:val="24"/>
          <w:u w:val="single"/>
          <w:lang w:val="en-ZA"/>
        </w:rPr>
        <w:t>________________________________________________________________</w:t>
      </w:r>
      <w:r w:rsidR="00FD0D31">
        <w:rPr>
          <w:rFonts w:ascii="Arial" w:hAnsi="Arial" w:cs="Arial"/>
          <w:sz w:val="24"/>
          <w:szCs w:val="24"/>
          <w:u w:val="single"/>
          <w:lang w:val="en-ZA"/>
        </w:rPr>
        <w:t>____</w:t>
      </w:r>
      <w:r w:rsidRPr="00197362">
        <w:rPr>
          <w:rFonts w:ascii="Arial" w:hAnsi="Arial" w:cs="Arial"/>
          <w:sz w:val="24"/>
          <w:szCs w:val="24"/>
          <w:u w:val="single"/>
          <w:lang w:val="en-ZA"/>
        </w:rPr>
        <w:t>__</w:t>
      </w:r>
    </w:p>
    <w:p w14:paraId="20D2C563" w14:textId="77777777" w:rsidR="003A763B" w:rsidRPr="00197362" w:rsidRDefault="003A763B" w:rsidP="00197362">
      <w:pPr>
        <w:widowControl w:val="0"/>
        <w:pBdr>
          <w:bottom w:val="single" w:sz="12" w:space="0" w:color="auto"/>
        </w:pBdr>
        <w:spacing w:after="0" w:line="360" w:lineRule="auto"/>
        <w:contextualSpacing/>
        <w:jc w:val="center"/>
        <w:rPr>
          <w:rFonts w:ascii="Arial" w:hAnsi="Arial" w:cs="Arial"/>
          <w:b/>
          <w:sz w:val="24"/>
          <w:szCs w:val="24"/>
          <w:lang w:val="en-ZA"/>
        </w:rPr>
      </w:pPr>
    </w:p>
    <w:p w14:paraId="09EA0CAB" w14:textId="50EB253B" w:rsidR="002778D2" w:rsidRPr="00197362" w:rsidRDefault="00271B58" w:rsidP="00197362">
      <w:pPr>
        <w:widowControl w:val="0"/>
        <w:pBdr>
          <w:bottom w:val="single" w:sz="12" w:space="0" w:color="auto"/>
        </w:pBdr>
        <w:spacing w:after="0" w:line="360" w:lineRule="auto"/>
        <w:contextualSpacing/>
        <w:jc w:val="center"/>
        <w:rPr>
          <w:rFonts w:ascii="Arial" w:hAnsi="Arial" w:cs="Arial"/>
          <w:b/>
          <w:sz w:val="24"/>
          <w:szCs w:val="24"/>
          <w:lang w:val="en-ZA"/>
        </w:rPr>
      </w:pPr>
      <w:r w:rsidRPr="00197362">
        <w:rPr>
          <w:rFonts w:ascii="Arial" w:hAnsi="Arial" w:cs="Arial"/>
          <w:b/>
          <w:sz w:val="24"/>
          <w:szCs w:val="24"/>
          <w:lang w:val="en-ZA"/>
        </w:rPr>
        <w:t>ORDER</w:t>
      </w:r>
    </w:p>
    <w:p w14:paraId="68002019" w14:textId="77777777" w:rsidR="003A763B" w:rsidRPr="00197362" w:rsidRDefault="003A763B" w:rsidP="00197362">
      <w:pPr>
        <w:widowControl w:val="0"/>
        <w:pBdr>
          <w:bottom w:val="single" w:sz="12" w:space="0" w:color="auto"/>
        </w:pBdr>
        <w:spacing w:after="0" w:line="360" w:lineRule="auto"/>
        <w:contextualSpacing/>
        <w:jc w:val="center"/>
        <w:rPr>
          <w:rFonts w:ascii="Arial" w:hAnsi="Arial" w:cs="Arial"/>
          <w:b/>
          <w:sz w:val="24"/>
          <w:szCs w:val="24"/>
          <w:lang w:val="en-ZA"/>
        </w:rPr>
      </w:pPr>
    </w:p>
    <w:p w14:paraId="7503E1FD" w14:textId="46605471" w:rsidR="00291941" w:rsidRPr="00197362" w:rsidRDefault="00291941" w:rsidP="00197362">
      <w:pPr>
        <w:spacing w:after="0" w:line="360" w:lineRule="auto"/>
        <w:jc w:val="both"/>
        <w:rPr>
          <w:rFonts w:ascii="Arial" w:hAnsi="Arial" w:cs="Arial"/>
          <w:sz w:val="24"/>
          <w:szCs w:val="24"/>
          <w:lang w:val="en-ZA"/>
        </w:rPr>
      </w:pPr>
    </w:p>
    <w:p w14:paraId="31019CD9" w14:textId="56C00114" w:rsidR="00291941" w:rsidRPr="00197362" w:rsidRDefault="00291941" w:rsidP="00197362">
      <w:pPr>
        <w:spacing w:after="0" w:line="360" w:lineRule="auto"/>
        <w:jc w:val="both"/>
        <w:rPr>
          <w:rFonts w:ascii="Arial" w:hAnsi="Arial" w:cs="Arial"/>
          <w:sz w:val="24"/>
          <w:szCs w:val="24"/>
          <w:lang w:val="en-ZA"/>
        </w:rPr>
      </w:pPr>
      <w:r w:rsidRPr="00197362">
        <w:rPr>
          <w:rFonts w:ascii="Arial" w:hAnsi="Arial" w:cs="Arial"/>
          <w:sz w:val="24"/>
          <w:szCs w:val="24"/>
          <w:lang w:val="en-ZA"/>
        </w:rPr>
        <w:t>The following order is granted:</w:t>
      </w:r>
    </w:p>
    <w:p w14:paraId="6EB35874" w14:textId="77777777" w:rsidR="009F7CC4" w:rsidRPr="009F7CC4" w:rsidRDefault="009F7CC4" w:rsidP="009F7CC4">
      <w:pPr>
        <w:spacing w:after="0" w:line="360" w:lineRule="auto"/>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Pr="009F7CC4">
        <w:rPr>
          <w:rFonts w:ascii="Arial" w:hAnsi="Arial" w:cs="Arial"/>
          <w:sz w:val="24"/>
          <w:szCs w:val="24"/>
          <w:lang w:val="en-ZA"/>
        </w:rPr>
        <w:t>Summary judgment is granted in favour of the plaintiff against the defendant as follows:</w:t>
      </w:r>
    </w:p>
    <w:p w14:paraId="715556F8" w14:textId="77777777" w:rsidR="009F7CC4" w:rsidRPr="009F7CC4" w:rsidRDefault="009F7CC4" w:rsidP="00FD0D31">
      <w:pPr>
        <w:spacing w:after="0" w:line="360" w:lineRule="auto"/>
        <w:ind w:left="720"/>
        <w:jc w:val="both"/>
        <w:rPr>
          <w:rFonts w:ascii="Arial" w:hAnsi="Arial" w:cs="Arial"/>
          <w:sz w:val="24"/>
          <w:szCs w:val="24"/>
          <w:lang w:val="en-ZA"/>
        </w:rPr>
      </w:pPr>
      <w:r>
        <w:rPr>
          <w:rFonts w:ascii="Arial" w:hAnsi="Arial" w:cs="Arial"/>
          <w:sz w:val="24"/>
          <w:szCs w:val="24"/>
          <w:lang w:val="en-ZA"/>
        </w:rPr>
        <w:t>1.1.</w:t>
      </w:r>
      <w:r>
        <w:rPr>
          <w:rFonts w:ascii="Arial" w:hAnsi="Arial" w:cs="Arial"/>
          <w:sz w:val="24"/>
          <w:szCs w:val="24"/>
          <w:lang w:val="en-ZA"/>
        </w:rPr>
        <w:tab/>
      </w:r>
      <w:r w:rsidRPr="009F7CC4">
        <w:rPr>
          <w:rFonts w:ascii="Arial" w:hAnsi="Arial" w:cs="Arial"/>
          <w:sz w:val="24"/>
          <w:szCs w:val="24"/>
          <w:lang w:val="en-ZA"/>
        </w:rPr>
        <w:t xml:space="preserve">The plaintiff’s cancelation of the agreement relating to the vehicle described in paragraph </w:t>
      </w:r>
      <w:r>
        <w:rPr>
          <w:rFonts w:ascii="Arial" w:hAnsi="Arial" w:cs="Arial"/>
          <w:sz w:val="24"/>
          <w:szCs w:val="24"/>
          <w:lang w:val="en-ZA"/>
        </w:rPr>
        <w:t>1.</w:t>
      </w:r>
      <w:r w:rsidRPr="009F7CC4">
        <w:rPr>
          <w:rFonts w:ascii="Arial" w:hAnsi="Arial" w:cs="Arial"/>
          <w:sz w:val="24"/>
          <w:szCs w:val="24"/>
          <w:lang w:val="en-ZA"/>
        </w:rPr>
        <w:t xml:space="preserve">2 of </w:t>
      </w:r>
      <w:r>
        <w:rPr>
          <w:rFonts w:ascii="Arial" w:hAnsi="Arial" w:cs="Arial"/>
          <w:sz w:val="24"/>
          <w:szCs w:val="24"/>
          <w:lang w:val="en-ZA"/>
        </w:rPr>
        <w:t xml:space="preserve">this </w:t>
      </w:r>
      <w:r w:rsidRPr="009F7CC4">
        <w:rPr>
          <w:rFonts w:ascii="Arial" w:hAnsi="Arial" w:cs="Arial"/>
          <w:sz w:val="24"/>
          <w:szCs w:val="24"/>
          <w:lang w:val="en-ZA"/>
        </w:rPr>
        <w:t>order is confirmed</w:t>
      </w:r>
      <w:r>
        <w:rPr>
          <w:rFonts w:ascii="Arial" w:hAnsi="Arial" w:cs="Arial"/>
          <w:sz w:val="24"/>
          <w:szCs w:val="24"/>
          <w:lang w:val="en-ZA"/>
        </w:rPr>
        <w:t>.</w:t>
      </w:r>
    </w:p>
    <w:p w14:paraId="71F6599B" w14:textId="77777777" w:rsidR="009F7CC4" w:rsidRPr="009F7CC4" w:rsidRDefault="009F7CC4" w:rsidP="00FD0D31">
      <w:pPr>
        <w:spacing w:after="0" w:line="360" w:lineRule="auto"/>
        <w:ind w:left="720"/>
        <w:jc w:val="both"/>
        <w:rPr>
          <w:rFonts w:ascii="Arial" w:hAnsi="Arial" w:cs="Arial"/>
          <w:sz w:val="24"/>
          <w:szCs w:val="24"/>
          <w:lang w:val="en-ZA"/>
        </w:rPr>
      </w:pPr>
      <w:r>
        <w:rPr>
          <w:rFonts w:ascii="Arial" w:hAnsi="Arial" w:cs="Arial"/>
          <w:sz w:val="24"/>
          <w:szCs w:val="24"/>
          <w:lang w:val="en-ZA"/>
        </w:rPr>
        <w:t>1.2.</w:t>
      </w:r>
      <w:r>
        <w:rPr>
          <w:rFonts w:ascii="Arial" w:hAnsi="Arial" w:cs="Arial"/>
          <w:sz w:val="24"/>
          <w:szCs w:val="24"/>
          <w:lang w:val="en-ZA"/>
        </w:rPr>
        <w:tab/>
      </w:r>
      <w:r w:rsidRPr="009F7CC4">
        <w:rPr>
          <w:rFonts w:ascii="Arial" w:hAnsi="Arial" w:cs="Arial"/>
          <w:sz w:val="24"/>
          <w:szCs w:val="24"/>
          <w:lang w:val="en-ZA"/>
        </w:rPr>
        <w:t xml:space="preserve">The defendant is ordered to return the vehicle described as </w:t>
      </w:r>
      <w:r>
        <w:rPr>
          <w:rFonts w:ascii="Arial" w:hAnsi="Arial" w:cs="Arial"/>
          <w:sz w:val="24"/>
          <w:szCs w:val="24"/>
          <w:lang w:val="en-ZA"/>
        </w:rPr>
        <w:t xml:space="preserve">a </w:t>
      </w:r>
      <w:r w:rsidRPr="009F7CC4">
        <w:rPr>
          <w:rFonts w:ascii="Arial" w:hAnsi="Arial" w:cs="Arial"/>
          <w:sz w:val="24"/>
          <w:szCs w:val="24"/>
          <w:lang w:val="en-ZA"/>
        </w:rPr>
        <w:t>2014 Land Rover Discovery 4 3.0 TD/SD V6 SE</w:t>
      </w:r>
      <w:r>
        <w:rPr>
          <w:rFonts w:ascii="Arial" w:hAnsi="Arial" w:cs="Arial"/>
          <w:sz w:val="24"/>
          <w:szCs w:val="24"/>
          <w:lang w:val="en-ZA"/>
        </w:rPr>
        <w:t>, with</w:t>
      </w:r>
      <w:r w:rsidRPr="009F7CC4">
        <w:rPr>
          <w:rFonts w:ascii="Arial" w:hAnsi="Arial" w:cs="Arial"/>
          <w:sz w:val="24"/>
          <w:szCs w:val="24"/>
          <w:lang w:val="en-ZA"/>
        </w:rPr>
        <w:t xml:space="preserve"> </w:t>
      </w:r>
      <w:r>
        <w:rPr>
          <w:rFonts w:ascii="Arial" w:hAnsi="Arial" w:cs="Arial"/>
          <w:sz w:val="24"/>
          <w:szCs w:val="24"/>
          <w:lang w:val="en-ZA"/>
        </w:rPr>
        <w:t>e</w:t>
      </w:r>
      <w:r w:rsidRPr="009F7CC4">
        <w:rPr>
          <w:rFonts w:ascii="Arial" w:hAnsi="Arial" w:cs="Arial"/>
          <w:sz w:val="24"/>
          <w:szCs w:val="24"/>
          <w:lang w:val="en-ZA"/>
        </w:rPr>
        <w:t>ngine number 0768062306DT</w:t>
      </w:r>
      <w:r>
        <w:rPr>
          <w:rFonts w:ascii="Arial" w:hAnsi="Arial" w:cs="Arial"/>
          <w:sz w:val="24"/>
          <w:szCs w:val="24"/>
          <w:lang w:val="en-ZA"/>
        </w:rPr>
        <w:t>,</w:t>
      </w:r>
      <w:r w:rsidRPr="009F7CC4">
        <w:rPr>
          <w:rFonts w:ascii="Arial" w:hAnsi="Arial" w:cs="Arial"/>
          <w:sz w:val="24"/>
          <w:szCs w:val="24"/>
          <w:lang w:val="en-ZA"/>
        </w:rPr>
        <w:t xml:space="preserve"> </w:t>
      </w:r>
      <w:r>
        <w:rPr>
          <w:rFonts w:ascii="Arial" w:hAnsi="Arial" w:cs="Arial"/>
          <w:sz w:val="24"/>
          <w:szCs w:val="24"/>
          <w:lang w:val="en-ZA"/>
        </w:rPr>
        <w:t xml:space="preserve">and </w:t>
      </w:r>
      <w:r w:rsidRPr="009F7CC4">
        <w:rPr>
          <w:rFonts w:ascii="Arial" w:hAnsi="Arial" w:cs="Arial"/>
          <w:sz w:val="24"/>
          <w:szCs w:val="24"/>
          <w:lang w:val="en-ZA"/>
        </w:rPr>
        <w:t>with chassis number SALLAAAFSDA689308</w:t>
      </w:r>
      <w:r>
        <w:rPr>
          <w:rFonts w:ascii="Arial" w:hAnsi="Arial" w:cs="Arial"/>
          <w:sz w:val="24"/>
          <w:szCs w:val="24"/>
          <w:lang w:val="en-ZA"/>
        </w:rPr>
        <w:t>,</w:t>
      </w:r>
      <w:r w:rsidRPr="009F7CC4">
        <w:rPr>
          <w:rFonts w:ascii="Arial" w:hAnsi="Arial" w:cs="Arial"/>
          <w:sz w:val="24"/>
          <w:szCs w:val="24"/>
          <w:lang w:val="en-ZA"/>
        </w:rPr>
        <w:t xml:space="preserve"> to the plaintiff</w:t>
      </w:r>
    </w:p>
    <w:p w14:paraId="12D896B5" w14:textId="77777777" w:rsidR="009F7CC4" w:rsidRPr="009F7CC4" w:rsidRDefault="009F7CC4" w:rsidP="00FD0D31">
      <w:pPr>
        <w:spacing w:after="0" w:line="360" w:lineRule="auto"/>
        <w:ind w:firstLine="720"/>
        <w:jc w:val="both"/>
        <w:rPr>
          <w:rFonts w:ascii="Arial" w:hAnsi="Arial" w:cs="Arial"/>
          <w:sz w:val="24"/>
          <w:szCs w:val="24"/>
          <w:lang w:val="en-ZA"/>
        </w:rPr>
      </w:pPr>
      <w:r>
        <w:rPr>
          <w:rFonts w:ascii="Arial" w:hAnsi="Arial" w:cs="Arial"/>
          <w:sz w:val="24"/>
          <w:szCs w:val="24"/>
          <w:lang w:val="en-ZA"/>
        </w:rPr>
        <w:t>1.3</w:t>
      </w:r>
      <w:r>
        <w:rPr>
          <w:rFonts w:ascii="Arial" w:hAnsi="Arial" w:cs="Arial"/>
          <w:sz w:val="24"/>
          <w:szCs w:val="24"/>
          <w:lang w:val="en-ZA"/>
        </w:rPr>
        <w:tab/>
      </w:r>
      <w:r w:rsidRPr="009F7CC4">
        <w:rPr>
          <w:rFonts w:ascii="Arial" w:hAnsi="Arial" w:cs="Arial"/>
          <w:sz w:val="24"/>
          <w:szCs w:val="24"/>
          <w:lang w:val="en-ZA"/>
        </w:rPr>
        <w:t>The defendant is directed to pay the costs of suit</w:t>
      </w:r>
    </w:p>
    <w:p w14:paraId="1A1A59ED" w14:textId="3583887E" w:rsidR="009F7CC4" w:rsidRPr="009F7CC4" w:rsidRDefault="009F7CC4" w:rsidP="009F7CC4">
      <w:pPr>
        <w:spacing w:after="0" w:line="360" w:lineRule="auto"/>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r>
      <w:r w:rsidRPr="009F7CC4">
        <w:rPr>
          <w:rFonts w:ascii="Arial" w:hAnsi="Arial" w:cs="Arial"/>
          <w:sz w:val="24"/>
          <w:szCs w:val="24"/>
          <w:lang w:val="en-ZA"/>
        </w:rPr>
        <w:t>The plaintiff is granted leave to apply to this court on the same papers, duly supplemented, in so far as it may be necessary, for an order for any damages which it is entitled to, which will be quantified once the vehicle has been located and sold</w:t>
      </w:r>
      <w:r w:rsidR="00B952AE">
        <w:rPr>
          <w:rFonts w:ascii="Arial" w:hAnsi="Arial" w:cs="Arial"/>
          <w:sz w:val="24"/>
          <w:szCs w:val="24"/>
          <w:lang w:val="en-ZA"/>
        </w:rPr>
        <w:t>.</w:t>
      </w:r>
    </w:p>
    <w:p w14:paraId="7FF8871A" w14:textId="77777777" w:rsidR="009F7CC4" w:rsidRPr="009F7CC4" w:rsidRDefault="009F7CC4" w:rsidP="009F7CC4">
      <w:pPr>
        <w:spacing w:after="0" w:line="360" w:lineRule="auto"/>
        <w:jc w:val="both"/>
        <w:rPr>
          <w:rFonts w:ascii="Arial" w:hAnsi="Arial" w:cs="Arial"/>
          <w:sz w:val="24"/>
          <w:szCs w:val="24"/>
          <w:lang w:val="en-ZA"/>
        </w:rPr>
      </w:pPr>
      <w:r>
        <w:rPr>
          <w:rFonts w:ascii="Arial" w:hAnsi="Arial" w:cs="Arial"/>
          <w:sz w:val="24"/>
          <w:szCs w:val="24"/>
          <w:lang w:val="en-ZA"/>
        </w:rPr>
        <w:lastRenderedPageBreak/>
        <w:t>3.</w:t>
      </w:r>
      <w:r>
        <w:rPr>
          <w:rFonts w:ascii="Arial" w:hAnsi="Arial" w:cs="Arial"/>
          <w:sz w:val="24"/>
          <w:szCs w:val="24"/>
          <w:lang w:val="en-ZA"/>
        </w:rPr>
        <w:tab/>
      </w:r>
      <w:r w:rsidRPr="009F7CC4">
        <w:rPr>
          <w:rFonts w:ascii="Arial" w:hAnsi="Arial" w:cs="Arial"/>
          <w:sz w:val="24"/>
          <w:szCs w:val="24"/>
          <w:lang w:val="en-ZA"/>
        </w:rPr>
        <w:t xml:space="preserve">The plaintiff shall allege and prove, in its action for any outstanding damages, that it has complied with the requirements set out in para 20.3 of the substituted order granted in </w:t>
      </w:r>
      <w:r w:rsidRPr="009F7CC4">
        <w:rPr>
          <w:rFonts w:ascii="Arial" w:hAnsi="Arial" w:cs="Arial"/>
          <w:i/>
          <w:sz w:val="24"/>
          <w:szCs w:val="24"/>
          <w:lang w:val="en-ZA"/>
        </w:rPr>
        <w:t>FirstRand Bank Limited t/a Wesbank v Davel</w:t>
      </w:r>
      <w:r w:rsidRPr="009F7CC4">
        <w:rPr>
          <w:rFonts w:ascii="Arial" w:hAnsi="Arial" w:cs="Arial"/>
          <w:sz w:val="24"/>
          <w:szCs w:val="24"/>
          <w:lang w:val="en-ZA"/>
        </w:rPr>
        <w:t xml:space="preserve"> [2019] ZASCA 168.</w:t>
      </w:r>
    </w:p>
    <w:p w14:paraId="34AF8261" w14:textId="7AE8F32F" w:rsidR="003A763B" w:rsidRPr="00197362" w:rsidRDefault="002778D2" w:rsidP="00197362">
      <w:pPr>
        <w:widowControl w:val="0"/>
        <w:tabs>
          <w:tab w:val="left" w:pos="6946"/>
        </w:tabs>
        <w:spacing w:after="0" w:line="360" w:lineRule="auto"/>
        <w:contextualSpacing/>
        <w:rPr>
          <w:rFonts w:ascii="Arial" w:hAnsi="Arial" w:cs="Arial"/>
          <w:sz w:val="24"/>
          <w:szCs w:val="24"/>
          <w:u w:val="single"/>
          <w:lang w:val="en-ZA"/>
        </w:rPr>
      </w:pPr>
      <w:r w:rsidRPr="00197362">
        <w:rPr>
          <w:rFonts w:ascii="Arial" w:hAnsi="Arial" w:cs="Arial"/>
          <w:sz w:val="24"/>
          <w:szCs w:val="24"/>
          <w:u w:val="single"/>
          <w:lang w:val="en-ZA"/>
        </w:rPr>
        <w:t>______________________________________________________________</w:t>
      </w:r>
      <w:r w:rsidR="00294429">
        <w:rPr>
          <w:rFonts w:ascii="Arial" w:hAnsi="Arial" w:cs="Arial"/>
          <w:sz w:val="24"/>
          <w:szCs w:val="24"/>
          <w:u w:val="single"/>
          <w:lang w:val="en-ZA"/>
        </w:rPr>
        <w:t>____</w:t>
      </w:r>
      <w:r w:rsidRPr="00197362">
        <w:rPr>
          <w:rFonts w:ascii="Arial" w:hAnsi="Arial" w:cs="Arial"/>
          <w:sz w:val="24"/>
          <w:szCs w:val="24"/>
          <w:u w:val="single"/>
          <w:lang w:val="en-ZA"/>
        </w:rPr>
        <w:t>____</w:t>
      </w:r>
    </w:p>
    <w:p w14:paraId="64F3AB9D" w14:textId="77777777" w:rsidR="003A763B" w:rsidRPr="00197362" w:rsidRDefault="003A763B" w:rsidP="00197362">
      <w:pPr>
        <w:spacing w:after="0" w:line="360" w:lineRule="auto"/>
        <w:jc w:val="center"/>
        <w:rPr>
          <w:rFonts w:ascii="Arial" w:hAnsi="Arial" w:cs="Arial"/>
          <w:b/>
          <w:sz w:val="24"/>
          <w:szCs w:val="24"/>
          <w:lang w:val="en-ZA"/>
        </w:rPr>
      </w:pPr>
    </w:p>
    <w:p w14:paraId="63E8AF53" w14:textId="72C02672" w:rsidR="002778D2" w:rsidRPr="00197362" w:rsidRDefault="002778D2" w:rsidP="00197362">
      <w:pPr>
        <w:spacing w:after="0" w:line="360" w:lineRule="auto"/>
        <w:jc w:val="center"/>
        <w:rPr>
          <w:rFonts w:ascii="Arial" w:hAnsi="Arial" w:cs="Arial"/>
          <w:b/>
          <w:sz w:val="24"/>
          <w:szCs w:val="24"/>
          <w:lang w:val="en-ZA"/>
        </w:rPr>
      </w:pPr>
      <w:r w:rsidRPr="00197362">
        <w:rPr>
          <w:rFonts w:ascii="Arial" w:hAnsi="Arial" w:cs="Arial"/>
          <w:b/>
          <w:sz w:val="24"/>
          <w:szCs w:val="24"/>
          <w:lang w:val="en-ZA"/>
        </w:rPr>
        <w:t xml:space="preserve">JUDGMENT </w:t>
      </w:r>
    </w:p>
    <w:p w14:paraId="709AFE68" w14:textId="2EDE7A95" w:rsidR="002778D2" w:rsidRPr="00294429" w:rsidRDefault="00294429" w:rsidP="00197362">
      <w:pPr>
        <w:widowControl w:val="0"/>
        <w:pBdr>
          <w:bottom w:val="single" w:sz="12" w:space="0" w:color="auto"/>
        </w:pBdr>
        <w:spacing w:after="0" w:line="360" w:lineRule="auto"/>
        <w:contextualSpacing/>
        <w:jc w:val="center"/>
        <w:rPr>
          <w:rFonts w:ascii="Arial" w:hAnsi="Arial" w:cs="Arial"/>
          <w:b/>
          <w:lang w:val="en-ZA"/>
        </w:rPr>
      </w:pPr>
      <w:r>
        <w:rPr>
          <w:rFonts w:ascii="Arial" w:hAnsi="Arial" w:cs="Arial"/>
          <w:b/>
          <w:sz w:val="24"/>
          <w:szCs w:val="24"/>
          <w:lang w:val="en-ZA"/>
        </w:rPr>
        <w:tab/>
      </w:r>
      <w:r>
        <w:rPr>
          <w:rFonts w:ascii="Arial" w:hAnsi="Arial" w:cs="Arial"/>
          <w:b/>
          <w:sz w:val="24"/>
          <w:szCs w:val="24"/>
          <w:lang w:val="en-ZA"/>
        </w:rPr>
        <w:tab/>
      </w:r>
      <w:r>
        <w:rPr>
          <w:rFonts w:ascii="Arial" w:hAnsi="Arial" w:cs="Arial"/>
          <w:b/>
          <w:sz w:val="24"/>
          <w:szCs w:val="24"/>
          <w:lang w:val="en-ZA"/>
        </w:rPr>
        <w:tab/>
        <w:t xml:space="preserve">                                                                       </w:t>
      </w:r>
      <w:r w:rsidRPr="00294429">
        <w:rPr>
          <w:rFonts w:ascii="Arial" w:hAnsi="Arial" w:cs="Arial"/>
          <w:b/>
          <w:lang w:val="en-ZA"/>
        </w:rPr>
        <w:t>Delivered</w:t>
      </w:r>
      <w:r>
        <w:rPr>
          <w:rFonts w:ascii="Arial" w:hAnsi="Arial" w:cs="Arial"/>
          <w:b/>
          <w:lang w:val="en-ZA"/>
        </w:rPr>
        <w:t>: 2</w:t>
      </w:r>
      <w:r w:rsidR="008A1F3B">
        <w:rPr>
          <w:rFonts w:ascii="Arial" w:hAnsi="Arial" w:cs="Arial"/>
          <w:b/>
          <w:lang w:val="en-ZA"/>
        </w:rPr>
        <w:t>4</w:t>
      </w:r>
      <w:r>
        <w:rPr>
          <w:rFonts w:ascii="Arial" w:hAnsi="Arial" w:cs="Arial"/>
          <w:b/>
          <w:lang w:val="en-ZA"/>
        </w:rPr>
        <w:t xml:space="preserve"> May 2023</w:t>
      </w:r>
    </w:p>
    <w:p w14:paraId="6106ADDE" w14:textId="77777777" w:rsidR="001F13C8" w:rsidRPr="00197362" w:rsidRDefault="001F13C8" w:rsidP="00197362">
      <w:pPr>
        <w:spacing w:after="0" w:line="360" w:lineRule="auto"/>
        <w:rPr>
          <w:rFonts w:ascii="Arial" w:hAnsi="Arial" w:cs="Arial"/>
          <w:b/>
          <w:sz w:val="24"/>
          <w:szCs w:val="24"/>
          <w:lang w:val="en-ZA"/>
        </w:rPr>
      </w:pPr>
      <w:r w:rsidRPr="00197362">
        <w:rPr>
          <w:rFonts w:ascii="Arial" w:hAnsi="Arial" w:cs="Arial"/>
          <w:sz w:val="24"/>
          <w:szCs w:val="24"/>
          <w:lang w:val="en-ZA"/>
        </w:rPr>
        <w:tab/>
      </w:r>
      <w:r w:rsidRPr="00197362">
        <w:rPr>
          <w:rFonts w:ascii="Arial" w:hAnsi="Arial" w:cs="Arial"/>
          <w:sz w:val="24"/>
          <w:szCs w:val="24"/>
          <w:lang w:val="en-ZA"/>
        </w:rPr>
        <w:tab/>
      </w:r>
      <w:r w:rsidR="00AE4636" w:rsidRPr="00197362">
        <w:rPr>
          <w:rFonts w:ascii="Arial" w:hAnsi="Arial" w:cs="Arial"/>
          <w:sz w:val="24"/>
          <w:szCs w:val="24"/>
          <w:lang w:val="en-ZA"/>
        </w:rPr>
        <w:tab/>
      </w:r>
    </w:p>
    <w:p w14:paraId="5848F769" w14:textId="633EF645" w:rsidR="00AE4636" w:rsidRPr="00197362" w:rsidRDefault="00AE4636" w:rsidP="00197362">
      <w:pPr>
        <w:spacing w:after="0" w:line="360" w:lineRule="auto"/>
        <w:rPr>
          <w:rFonts w:ascii="Arial" w:hAnsi="Arial" w:cs="Arial"/>
          <w:b/>
          <w:sz w:val="24"/>
          <w:szCs w:val="24"/>
          <w:lang w:val="en-ZA"/>
        </w:rPr>
      </w:pPr>
      <w:r w:rsidRPr="00197362">
        <w:rPr>
          <w:rFonts w:ascii="Arial" w:hAnsi="Arial" w:cs="Arial"/>
          <w:b/>
          <w:sz w:val="24"/>
          <w:szCs w:val="24"/>
          <w:lang w:val="en-ZA"/>
        </w:rPr>
        <w:t>M</w:t>
      </w:r>
      <w:r w:rsidR="00197362" w:rsidRPr="00197362">
        <w:rPr>
          <w:rFonts w:ascii="Arial" w:hAnsi="Arial" w:cs="Arial"/>
          <w:b/>
          <w:sz w:val="24"/>
          <w:szCs w:val="24"/>
          <w:lang w:val="en-ZA"/>
        </w:rPr>
        <w:t>athenjwa</w:t>
      </w:r>
      <w:r w:rsidRPr="00197362">
        <w:rPr>
          <w:rFonts w:ascii="Arial" w:hAnsi="Arial" w:cs="Arial"/>
          <w:b/>
          <w:sz w:val="24"/>
          <w:szCs w:val="24"/>
          <w:lang w:val="en-ZA"/>
        </w:rPr>
        <w:t xml:space="preserve"> AJ</w:t>
      </w:r>
    </w:p>
    <w:p w14:paraId="5456EA37" w14:textId="16A05460" w:rsidR="007D180C" w:rsidRDefault="007D180C" w:rsidP="00197362">
      <w:pPr>
        <w:spacing w:after="0" w:line="360" w:lineRule="auto"/>
        <w:rPr>
          <w:rFonts w:ascii="Arial" w:hAnsi="Arial" w:cs="Arial"/>
          <w:b/>
          <w:sz w:val="24"/>
          <w:szCs w:val="24"/>
          <w:lang w:val="en-ZA"/>
        </w:rPr>
      </w:pPr>
    </w:p>
    <w:p w14:paraId="6D8B8F71" w14:textId="101C2962" w:rsidR="00197362" w:rsidRPr="00197362" w:rsidRDefault="00197362" w:rsidP="00197362">
      <w:pPr>
        <w:spacing w:after="0" w:line="360" w:lineRule="auto"/>
        <w:jc w:val="both"/>
        <w:rPr>
          <w:rFonts w:ascii="Arial" w:hAnsi="Arial" w:cs="Arial"/>
          <w:b/>
          <w:sz w:val="24"/>
          <w:szCs w:val="24"/>
          <w:lang w:val="en-ZA"/>
        </w:rPr>
      </w:pPr>
      <w:r>
        <w:rPr>
          <w:rFonts w:ascii="Arial" w:hAnsi="Arial" w:cs="Arial"/>
          <w:b/>
          <w:sz w:val="24"/>
          <w:szCs w:val="24"/>
          <w:lang w:val="en-ZA"/>
        </w:rPr>
        <w:t>Introduction</w:t>
      </w:r>
    </w:p>
    <w:p w14:paraId="0C58C4A6" w14:textId="26F25B26" w:rsidR="006E2ACE" w:rsidRPr="00197362" w:rsidRDefault="00271B58" w:rsidP="00197362">
      <w:pPr>
        <w:spacing w:after="0" w:line="360" w:lineRule="auto"/>
        <w:jc w:val="both"/>
        <w:rPr>
          <w:rFonts w:ascii="Arial" w:hAnsi="Arial" w:cs="Arial"/>
          <w:sz w:val="24"/>
          <w:szCs w:val="24"/>
          <w:lang w:val="en-ZA"/>
        </w:rPr>
      </w:pPr>
      <w:r w:rsidRPr="00197362">
        <w:rPr>
          <w:rFonts w:ascii="Arial" w:hAnsi="Arial" w:cs="Arial"/>
          <w:sz w:val="24"/>
          <w:szCs w:val="24"/>
          <w:lang w:val="en-ZA"/>
        </w:rPr>
        <w:t>[1]</w:t>
      </w:r>
      <w:r w:rsidRPr="00197362">
        <w:rPr>
          <w:rFonts w:ascii="Arial" w:hAnsi="Arial" w:cs="Arial"/>
          <w:sz w:val="24"/>
          <w:szCs w:val="24"/>
          <w:lang w:val="en-ZA"/>
        </w:rPr>
        <w:tab/>
      </w:r>
      <w:r w:rsidR="00995E9A" w:rsidRPr="00197362">
        <w:rPr>
          <w:rFonts w:ascii="Arial" w:hAnsi="Arial" w:cs="Arial"/>
          <w:sz w:val="24"/>
          <w:szCs w:val="24"/>
          <w:lang w:val="en-ZA"/>
        </w:rPr>
        <w:t xml:space="preserve"> The</w:t>
      </w:r>
      <w:r w:rsidR="00197362" w:rsidRPr="00197362">
        <w:rPr>
          <w:rFonts w:ascii="Arial" w:hAnsi="Arial" w:cs="Arial"/>
          <w:sz w:val="24"/>
          <w:szCs w:val="24"/>
          <w:lang w:val="en-ZA"/>
        </w:rPr>
        <w:t xml:space="preserve"> </w:t>
      </w:r>
      <w:r w:rsidR="006E2ACE" w:rsidRPr="00197362">
        <w:rPr>
          <w:rFonts w:ascii="Arial" w:hAnsi="Arial" w:cs="Arial"/>
          <w:sz w:val="24"/>
          <w:szCs w:val="24"/>
          <w:lang w:val="en-ZA"/>
        </w:rPr>
        <w:t>plaintiff</w:t>
      </w:r>
      <w:r w:rsidR="00197362">
        <w:rPr>
          <w:rFonts w:ascii="Arial" w:hAnsi="Arial" w:cs="Arial"/>
          <w:sz w:val="24"/>
          <w:szCs w:val="24"/>
          <w:lang w:val="en-ZA"/>
        </w:rPr>
        <w:t>,</w:t>
      </w:r>
      <w:r w:rsidR="00197362" w:rsidRPr="00197362">
        <w:rPr>
          <w:rFonts w:ascii="Arial" w:hAnsi="Arial" w:cs="Arial"/>
          <w:sz w:val="24"/>
          <w:szCs w:val="24"/>
          <w:lang w:val="en-ZA"/>
        </w:rPr>
        <w:t xml:space="preserve"> </w:t>
      </w:r>
      <w:r w:rsidR="006E2ACE" w:rsidRPr="00197362">
        <w:rPr>
          <w:rFonts w:ascii="Arial" w:hAnsi="Arial" w:cs="Arial"/>
          <w:sz w:val="24"/>
          <w:szCs w:val="24"/>
          <w:lang w:val="en-ZA"/>
        </w:rPr>
        <w:t>Nedbank Limited</w:t>
      </w:r>
      <w:r w:rsidR="00197362">
        <w:rPr>
          <w:rFonts w:ascii="Arial" w:hAnsi="Arial" w:cs="Arial"/>
          <w:sz w:val="24"/>
          <w:szCs w:val="24"/>
          <w:lang w:val="en-ZA"/>
        </w:rPr>
        <w:t>,</w:t>
      </w:r>
      <w:r w:rsidR="00197362" w:rsidRPr="00197362">
        <w:rPr>
          <w:rFonts w:ascii="Arial" w:hAnsi="Arial" w:cs="Arial"/>
          <w:sz w:val="24"/>
          <w:szCs w:val="24"/>
          <w:lang w:val="en-ZA"/>
        </w:rPr>
        <w:t xml:space="preserve"> </w:t>
      </w:r>
      <w:r w:rsidR="006E2ACE" w:rsidRPr="00197362">
        <w:rPr>
          <w:rFonts w:ascii="Arial" w:hAnsi="Arial" w:cs="Arial"/>
          <w:sz w:val="24"/>
          <w:szCs w:val="24"/>
          <w:lang w:val="en-ZA"/>
        </w:rPr>
        <w:t>instituted action ag</w:t>
      </w:r>
      <w:r w:rsidR="00AE0310" w:rsidRPr="00197362">
        <w:rPr>
          <w:rFonts w:ascii="Arial" w:hAnsi="Arial" w:cs="Arial"/>
          <w:sz w:val="24"/>
          <w:szCs w:val="24"/>
          <w:lang w:val="en-ZA"/>
        </w:rPr>
        <w:t>a</w:t>
      </w:r>
      <w:r w:rsidR="006E2ACE" w:rsidRPr="00197362">
        <w:rPr>
          <w:rFonts w:ascii="Arial" w:hAnsi="Arial" w:cs="Arial"/>
          <w:sz w:val="24"/>
          <w:szCs w:val="24"/>
          <w:lang w:val="en-ZA"/>
        </w:rPr>
        <w:t>inst the defendant</w:t>
      </w:r>
      <w:r w:rsidR="006F5868">
        <w:rPr>
          <w:rFonts w:ascii="Arial" w:hAnsi="Arial" w:cs="Arial"/>
          <w:sz w:val="24"/>
          <w:szCs w:val="24"/>
          <w:lang w:val="en-ZA"/>
        </w:rPr>
        <w:t>,</w:t>
      </w:r>
      <w:r w:rsidR="00197362" w:rsidRPr="00197362">
        <w:rPr>
          <w:rFonts w:ascii="Arial" w:hAnsi="Arial" w:cs="Arial"/>
          <w:sz w:val="24"/>
          <w:szCs w:val="24"/>
          <w:lang w:val="en-ZA"/>
        </w:rPr>
        <w:t xml:space="preserve"> </w:t>
      </w:r>
      <w:r w:rsidR="006E2ACE" w:rsidRPr="00197362">
        <w:rPr>
          <w:rFonts w:ascii="Arial" w:hAnsi="Arial" w:cs="Arial"/>
          <w:sz w:val="24"/>
          <w:szCs w:val="24"/>
          <w:lang w:val="en-ZA"/>
        </w:rPr>
        <w:t>Ms Eupina Magadla</w:t>
      </w:r>
      <w:r w:rsidR="006F5868">
        <w:rPr>
          <w:rFonts w:ascii="Arial" w:hAnsi="Arial" w:cs="Arial"/>
          <w:sz w:val="24"/>
          <w:szCs w:val="24"/>
          <w:lang w:val="en-ZA"/>
        </w:rPr>
        <w:t>,</w:t>
      </w:r>
      <w:r w:rsidR="00197362" w:rsidRPr="00197362">
        <w:rPr>
          <w:rFonts w:ascii="Arial" w:hAnsi="Arial" w:cs="Arial"/>
          <w:sz w:val="24"/>
          <w:szCs w:val="24"/>
          <w:lang w:val="en-ZA"/>
        </w:rPr>
        <w:t xml:space="preserve"> </w:t>
      </w:r>
      <w:r w:rsidR="006E2ACE" w:rsidRPr="00197362">
        <w:rPr>
          <w:rFonts w:ascii="Arial" w:hAnsi="Arial" w:cs="Arial"/>
          <w:sz w:val="24"/>
          <w:szCs w:val="24"/>
          <w:lang w:val="en-ZA"/>
        </w:rPr>
        <w:t>claiming inter alia</w:t>
      </w:r>
      <w:r w:rsidR="00197362" w:rsidRPr="00197362">
        <w:rPr>
          <w:rFonts w:ascii="Arial" w:hAnsi="Arial" w:cs="Arial"/>
          <w:sz w:val="24"/>
          <w:szCs w:val="24"/>
          <w:lang w:val="en-ZA"/>
        </w:rPr>
        <w:t xml:space="preserve"> </w:t>
      </w:r>
      <w:r w:rsidR="006E2ACE" w:rsidRPr="00197362">
        <w:rPr>
          <w:rFonts w:ascii="Arial" w:hAnsi="Arial" w:cs="Arial"/>
          <w:sz w:val="24"/>
          <w:szCs w:val="24"/>
          <w:lang w:val="en-ZA"/>
        </w:rPr>
        <w:t xml:space="preserve">confirmation of the cancellation of the </w:t>
      </w:r>
      <w:r w:rsidR="00C830F8">
        <w:rPr>
          <w:rFonts w:ascii="Arial" w:hAnsi="Arial" w:cs="Arial"/>
          <w:sz w:val="24"/>
          <w:szCs w:val="24"/>
          <w:lang w:val="en-ZA"/>
        </w:rPr>
        <w:t xml:space="preserve">credit </w:t>
      </w:r>
      <w:r w:rsidR="006E2ACE" w:rsidRPr="00197362">
        <w:rPr>
          <w:rFonts w:ascii="Arial" w:hAnsi="Arial" w:cs="Arial"/>
          <w:sz w:val="24"/>
          <w:szCs w:val="24"/>
          <w:lang w:val="en-ZA"/>
        </w:rPr>
        <w:t>agreement, return of a motor</w:t>
      </w:r>
      <w:r w:rsidR="00197362" w:rsidRPr="00197362">
        <w:rPr>
          <w:rFonts w:ascii="Arial" w:hAnsi="Arial" w:cs="Arial"/>
          <w:sz w:val="24"/>
          <w:szCs w:val="24"/>
          <w:lang w:val="en-ZA"/>
        </w:rPr>
        <w:t xml:space="preserve"> </w:t>
      </w:r>
      <w:r w:rsidR="006E2ACE" w:rsidRPr="00197362">
        <w:rPr>
          <w:rFonts w:ascii="Arial" w:hAnsi="Arial" w:cs="Arial"/>
          <w:sz w:val="24"/>
          <w:szCs w:val="24"/>
          <w:lang w:val="en-ZA"/>
        </w:rPr>
        <w:t xml:space="preserve">vehicle and </w:t>
      </w:r>
      <w:r w:rsidR="006F5868">
        <w:rPr>
          <w:rFonts w:ascii="Arial" w:hAnsi="Arial" w:cs="Arial"/>
          <w:sz w:val="24"/>
          <w:szCs w:val="24"/>
          <w:lang w:val="en-ZA"/>
        </w:rPr>
        <w:t>further related</w:t>
      </w:r>
      <w:r w:rsidR="006F5868" w:rsidRPr="00197362">
        <w:rPr>
          <w:rFonts w:ascii="Arial" w:hAnsi="Arial" w:cs="Arial"/>
          <w:sz w:val="24"/>
          <w:szCs w:val="24"/>
          <w:lang w:val="en-ZA"/>
        </w:rPr>
        <w:t xml:space="preserve"> </w:t>
      </w:r>
      <w:r w:rsidR="006E2ACE" w:rsidRPr="00197362">
        <w:rPr>
          <w:rFonts w:ascii="Arial" w:hAnsi="Arial" w:cs="Arial"/>
          <w:sz w:val="24"/>
          <w:szCs w:val="24"/>
          <w:lang w:val="en-ZA"/>
        </w:rPr>
        <w:t>relief. The defendant defended the matter and filed her plea</w:t>
      </w:r>
      <w:r w:rsidR="00197362" w:rsidRPr="00197362">
        <w:rPr>
          <w:rFonts w:ascii="Arial" w:hAnsi="Arial" w:cs="Arial"/>
          <w:sz w:val="24"/>
          <w:szCs w:val="24"/>
          <w:lang w:val="en-ZA"/>
        </w:rPr>
        <w:t xml:space="preserve"> </w:t>
      </w:r>
      <w:r w:rsidR="006E2ACE" w:rsidRPr="00197362">
        <w:rPr>
          <w:rFonts w:ascii="Arial" w:hAnsi="Arial" w:cs="Arial"/>
          <w:sz w:val="24"/>
          <w:szCs w:val="24"/>
          <w:lang w:val="en-ZA"/>
        </w:rPr>
        <w:t xml:space="preserve">on </w:t>
      </w:r>
      <w:r w:rsidR="002F1C8B">
        <w:rPr>
          <w:rFonts w:ascii="Arial" w:hAnsi="Arial" w:cs="Arial"/>
          <w:sz w:val="24"/>
          <w:szCs w:val="24"/>
          <w:lang w:val="en-ZA"/>
        </w:rPr>
        <w:t>28</w:t>
      </w:r>
      <w:r w:rsidR="006E2ACE" w:rsidRPr="00197362">
        <w:rPr>
          <w:rFonts w:ascii="Arial" w:hAnsi="Arial" w:cs="Arial"/>
          <w:sz w:val="24"/>
          <w:szCs w:val="24"/>
          <w:lang w:val="en-ZA"/>
        </w:rPr>
        <w:t xml:space="preserve"> February 2022. The plaintiff filed an application for summary judgment on</w:t>
      </w:r>
      <w:r w:rsidR="00DB31D5" w:rsidRPr="00197362">
        <w:rPr>
          <w:rFonts w:ascii="Arial" w:hAnsi="Arial" w:cs="Arial"/>
          <w:sz w:val="24"/>
          <w:szCs w:val="24"/>
          <w:lang w:val="en-ZA"/>
        </w:rPr>
        <w:t xml:space="preserve"> </w:t>
      </w:r>
      <w:r w:rsidR="00AE0310" w:rsidRPr="00197362">
        <w:rPr>
          <w:rFonts w:ascii="Arial" w:hAnsi="Arial" w:cs="Arial"/>
          <w:sz w:val="24"/>
          <w:szCs w:val="24"/>
          <w:lang w:val="en-ZA"/>
        </w:rPr>
        <w:t>22 March 2022</w:t>
      </w:r>
      <w:r w:rsidR="00C830F8">
        <w:rPr>
          <w:rFonts w:ascii="Arial" w:hAnsi="Arial" w:cs="Arial"/>
          <w:sz w:val="24"/>
          <w:szCs w:val="24"/>
          <w:lang w:val="en-ZA"/>
        </w:rPr>
        <w:t>,</w:t>
      </w:r>
      <w:r w:rsidR="00AE0310" w:rsidRPr="00197362">
        <w:rPr>
          <w:rFonts w:ascii="Arial" w:hAnsi="Arial" w:cs="Arial"/>
          <w:sz w:val="24"/>
          <w:szCs w:val="24"/>
          <w:lang w:val="en-ZA"/>
        </w:rPr>
        <w:t xml:space="preserve"> and the defendant filed an opposing affidavit resisting summary judgment on 24 May 2022.</w:t>
      </w:r>
      <w:r w:rsidR="00DB31D5" w:rsidRPr="00197362">
        <w:rPr>
          <w:rFonts w:ascii="Arial" w:hAnsi="Arial" w:cs="Arial"/>
          <w:sz w:val="24"/>
          <w:szCs w:val="24"/>
          <w:lang w:val="en-ZA"/>
        </w:rPr>
        <w:t xml:space="preserve"> Consequently,</w:t>
      </w:r>
      <w:r w:rsidR="00601FF3" w:rsidRPr="00197362">
        <w:rPr>
          <w:rFonts w:ascii="Arial" w:hAnsi="Arial" w:cs="Arial"/>
          <w:sz w:val="24"/>
          <w:szCs w:val="24"/>
          <w:lang w:val="en-ZA"/>
        </w:rPr>
        <w:t xml:space="preserve"> the matter came before me as </w:t>
      </w:r>
      <w:r w:rsidR="006F5868">
        <w:rPr>
          <w:rFonts w:ascii="Arial" w:hAnsi="Arial" w:cs="Arial"/>
          <w:sz w:val="24"/>
          <w:szCs w:val="24"/>
          <w:lang w:val="en-ZA"/>
        </w:rPr>
        <w:t xml:space="preserve">an </w:t>
      </w:r>
      <w:r w:rsidR="00601FF3" w:rsidRPr="00197362">
        <w:rPr>
          <w:rFonts w:ascii="Arial" w:hAnsi="Arial" w:cs="Arial"/>
          <w:sz w:val="24"/>
          <w:szCs w:val="24"/>
          <w:lang w:val="en-ZA"/>
        </w:rPr>
        <w:t>opposed motion</w:t>
      </w:r>
      <w:r w:rsidR="00B80911" w:rsidRPr="00197362">
        <w:rPr>
          <w:rFonts w:ascii="Arial" w:hAnsi="Arial" w:cs="Arial"/>
          <w:sz w:val="24"/>
          <w:szCs w:val="24"/>
          <w:lang w:val="en-ZA"/>
        </w:rPr>
        <w:t>.</w:t>
      </w:r>
    </w:p>
    <w:p w14:paraId="2D7F24B1" w14:textId="77777777" w:rsidR="007D180C" w:rsidRPr="00197362" w:rsidRDefault="007D180C" w:rsidP="00197362">
      <w:pPr>
        <w:spacing w:after="0" w:line="360" w:lineRule="auto"/>
        <w:jc w:val="both"/>
        <w:rPr>
          <w:rFonts w:ascii="Arial" w:hAnsi="Arial" w:cs="Arial"/>
          <w:b/>
          <w:bCs/>
          <w:sz w:val="24"/>
          <w:szCs w:val="24"/>
          <w:lang w:val="en-ZA"/>
        </w:rPr>
      </w:pPr>
    </w:p>
    <w:p w14:paraId="65DE7763" w14:textId="1BE3C436" w:rsidR="00BB39C7" w:rsidRPr="00197362" w:rsidRDefault="007D180C" w:rsidP="00197362">
      <w:pPr>
        <w:spacing w:after="0" w:line="360" w:lineRule="auto"/>
        <w:jc w:val="both"/>
        <w:rPr>
          <w:rFonts w:ascii="Arial" w:hAnsi="Arial" w:cs="Arial"/>
          <w:sz w:val="24"/>
          <w:szCs w:val="24"/>
          <w:lang w:val="en-ZA"/>
        </w:rPr>
      </w:pPr>
      <w:r w:rsidRPr="00197362">
        <w:rPr>
          <w:rFonts w:ascii="Arial" w:hAnsi="Arial" w:cs="Arial"/>
          <w:b/>
          <w:bCs/>
          <w:sz w:val="24"/>
          <w:szCs w:val="24"/>
          <w:lang w:val="en-ZA"/>
        </w:rPr>
        <w:t>Condonation</w:t>
      </w:r>
    </w:p>
    <w:p w14:paraId="350579F6" w14:textId="14E8E10D" w:rsidR="00BB39C7" w:rsidRPr="00197362" w:rsidRDefault="00BB39C7" w:rsidP="00197362">
      <w:pPr>
        <w:spacing w:after="0" w:line="360" w:lineRule="auto"/>
        <w:jc w:val="both"/>
        <w:rPr>
          <w:rFonts w:ascii="Arial" w:hAnsi="Arial" w:cs="Arial"/>
          <w:sz w:val="24"/>
          <w:szCs w:val="24"/>
          <w:lang w:val="en-ZA"/>
        </w:rPr>
      </w:pPr>
      <w:r w:rsidRPr="00197362">
        <w:rPr>
          <w:rFonts w:ascii="Arial" w:hAnsi="Arial" w:cs="Arial"/>
          <w:sz w:val="24"/>
          <w:szCs w:val="24"/>
          <w:lang w:val="en-ZA"/>
        </w:rPr>
        <w:t>[</w:t>
      </w:r>
      <w:r w:rsidR="008C7F5A" w:rsidRPr="00197362">
        <w:rPr>
          <w:rFonts w:ascii="Arial" w:hAnsi="Arial" w:cs="Arial"/>
          <w:sz w:val="24"/>
          <w:szCs w:val="24"/>
          <w:lang w:val="en-ZA"/>
        </w:rPr>
        <w:t>2</w:t>
      </w:r>
      <w:r w:rsidRPr="00197362">
        <w:rPr>
          <w:rFonts w:ascii="Arial" w:hAnsi="Arial" w:cs="Arial"/>
          <w:sz w:val="24"/>
          <w:szCs w:val="24"/>
          <w:lang w:val="en-ZA"/>
        </w:rPr>
        <w:t xml:space="preserve">] </w:t>
      </w:r>
      <w:r w:rsidR="008C7F5A" w:rsidRPr="00197362">
        <w:rPr>
          <w:rFonts w:ascii="Arial" w:hAnsi="Arial" w:cs="Arial"/>
          <w:sz w:val="24"/>
          <w:szCs w:val="24"/>
          <w:lang w:val="en-ZA"/>
        </w:rPr>
        <w:tab/>
      </w:r>
      <w:r w:rsidRPr="00197362">
        <w:rPr>
          <w:rFonts w:ascii="Arial" w:hAnsi="Arial" w:cs="Arial"/>
          <w:sz w:val="24"/>
          <w:szCs w:val="24"/>
          <w:lang w:val="en-ZA"/>
        </w:rPr>
        <w:t xml:space="preserve">At the commencement of the hearing of this application the </w:t>
      </w:r>
      <w:r w:rsidR="00DB31D5" w:rsidRPr="00197362">
        <w:rPr>
          <w:rFonts w:ascii="Arial" w:hAnsi="Arial" w:cs="Arial"/>
          <w:sz w:val="24"/>
          <w:szCs w:val="24"/>
          <w:lang w:val="en-ZA"/>
        </w:rPr>
        <w:t>plaintiff</w:t>
      </w:r>
      <w:r w:rsidRPr="00197362">
        <w:rPr>
          <w:rFonts w:ascii="Arial" w:hAnsi="Arial" w:cs="Arial"/>
          <w:sz w:val="24"/>
          <w:szCs w:val="24"/>
          <w:lang w:val="en-ZA"/>
        </w:rPr>
        <w:t xml:space="preserve"> sought condonation for </w:t>
      </w:r>
      <w:r w:rsidR="006F5868">
        <w:rPr>
          <w:rFonts w:ascii="Arial" w:hAnsi="Arial" w:cs="Arial"/>
          <w:sz w:val="24"/>
          <w:szCs w:val="24"/>
          <w:lang w:val="en-ZA"/>
        </w:rPr>
        <w:t xml:space="preserve">the  </w:t>
      </w:r>
      <w:r w:rsidRPr="00197362">
        <w:rPr>
          <w:rFonts w:ascii="Arial" w:hAnsi="Arial" w:cs="Arial"/>
          <w:sz w:val="24"/>
          <w:szCs w:val="24"/>
          <w:lang w:val="en-ZA"/>
        </w:rPr>
        <w:t xml:space="preserve">delivery of their short heads of argument consisting </w:t>
      </w:r>
      <w:r w:rsidR="006F5868">
        <w:rPr>
          <w:rFonts w:ascii="Arial" w:hAnsi="Arial" w:cs="Arial"/>
          <w:sz w:val="24"/>
          <w:szCs w:val="24"/>
          <w:lang w:val="en-ZA"/>
        </w:rPr>
        <w:t>of six (</w:t>
      </w:r>
      <w:r w:rsidRPr="00197362">
        <w:rPr>
          <w:rFonts w:ascii="Arial" w:hAnsi="Arial" w:cs="Arial"/>
          <w:sz w:val="24"/>
          <w:szCs w:val="24"/>
          <w:lang w:val="en-ZA"/>
        </w:rPr>
        <w:t>6</w:t>
      </w:r>
      <w:r w:rsidR="006F5868">
        <w:rPr>
          <w:rFonts w:ascii="Arial" w:hAnsi="Arial" w:cs="Arial"/>
          <w:sz w:val="24"/>
          <w:szCs w:val="24"/>
          <w:lang w:val="en-ZA"/>
        </w:rPr>
        <w:t>) pages and its non-</w:t>
      </w:r>
      <w:r w:rsidRPr="00197362">
        <w:rPr>
          <w:rFonts w:ascii="Arial" w:hAnsi="Arial" w:cs="Arial"/>
          <w:sz w:val="24"/>
          <w:szCs w:val="24"/>
          <w:lang w:val="en-ZA"/>
        </w:rPr>
        <w:t>compliance with practice directive 9.4.1.</w:t>
      </w:r>
      <w:r w:rsidR="006F5868">
        <w:rPr>
          <w:rStyle w:val="FootnoteReference"/>
          <w:rFonts w:ascii="Arial" w:hAnsi="Arial" w:cs="Arial"/>
          <w:sz w:val="24"/>
          <w:szCs w:val="24"/>
          <w:lang w:val="en-ZA"/>
        </w:rPr>
        <w:footnoteReference w:id="1"/>
      </w:r>
      <w:r w:rsidR="006F5868">
        <w:rPr>
          <w:rFonts w:ascii="Arial" w:hAnsi="Arial" w:cs="Arial"/>
          <w:sz w:val="24"/>
          <w:szCs w:val="24"/>
          <w:lang w:val="en-ZA"/>
        </w:rPr>
        <w:t xml:space="preserve"> </w:t>
      </w:r>
      <w:r w:rsidRPr="00197362">
        <w:rPr>
          <w:rFonts w:ascii="Arial" w:hAnsi="Arial" w:cs="Arial"/>
          <w:sz w:val="24"/>
          <w:szCs w:val="24"/>
          <w:lang w:val="en-ZA"/>
        </w:rPr>
        <w:t xml:space="preserve">The </w:t>
      </w:r>
      <w:r w:rsidR="007D180C" w:rsidRPr="00197362">
        <w:rPr>
          <w:rFonts w:ascii="Arial" w:hAnsi="Arial" w:cs="Arial"/>
          <w:sz w:val="24"/>
          <w:szCs w:val="24"/>
          <w:lang w:val="en-ZA"/>
        </w:rPr>
        <w:t>defendant’s</w:t>
      </w:r>
      <w:r w:rsidRPr="00197362">
        <w:rPr>
          <w:rFonts w:ascii="Arial" w:hAnsi="Arial" w:cs="Arial"/>
          <w:sz w:val="24"/>
          <w:szCs w:val="24"/>
          <w:lang w:val="en-ZA"/>
        </w:rPr>
        <w:t xml:space="preserve"> legal representative opposed the application</w:t>
      </w:r>
      <w:r w:rsidR="00B80911" w:rsidRPr="00197362">
        <w:rPr>
          <w:rFonts w:ascii="Arial" w:hAnsi="Arial" w:cs="Arial"/>
          <w:sz w:val="24"/>
          <w:szCs w:val="24"/>
          <w:lang w:val="en-ZA"/>
        </w:rPr>
        <w:t>.</w:t>
      </w:r>
    </w:p>
    <w:p w14:paraId="6F7C47BE" w14:textId="61B1FD15" w:rsidR="00BB39C7" w:rsidRPr="00197362" w:rsidRDefault="00BB39C7" w:rsidP="00197362">
      <w:pPr>
        <w:spacing w:after="0" w:line="360" w:lineRule="auto"/>
        <w:jc w:val="both"/>
        <w:rPr>
          <w:rFonts w:ascii="Arial" w:hAnsi="Arial" w:cs="Arial"/>
          <w:b/>
          <w:bCs/>
          <w:sz w:val="24"/>
          <w:szCs w:val="24"/>
          <w:lang w:val="en-ZA"/>
        </w:rPr>
      </w:pPr>
    </w:p>
    <w:p w14:paraId="0DD92E33" w14:textId="050DB341" w:rsidR="00BB39C7" w:rsidRPr="00197362" w:rsidRDefault="00BB39C7" w:rsidP="00197362">
      <w:pPr>
        <w:spacing w:after="0" w:line="360" w:lineRule="auto"/>
        <w:jc w:val="both"/>
        <w:rPr>
          <w:rFonts w:ascii="Arial" w:hAnsi="Arial" w:cs="Arial"/>
          <w:sz w:val="24"/>
          <w:szCs w:val="24"/>
          <w:lang w:val="en-ZA"/>
        </w:rPr>
      </w:pPr>
      <w:r w:rsidRPr="00197362">
        <w:rPr>
          <w:rFonts w:ascii="Arial" w:hAnsi="Arial" w:cs="Arial"/>
          <w:sz w:val="24"/>
          <w:szCs w:val="24"/>
          <w:lang w:val="en-ZA"/>
        </w:rPr>
        <w:t>[</w:t>
      </w:r>
      <w:r w:rsidR="008C7F5A" w:rsidRPr="00197362">
        <w:rPr>
          <w:rFonts w:ascii="Arial" w:hAnsi="Arial" w:cs="Arial"/>
          <w:sz w:val="24"/>
          <w:szCs w:val="24"/>
          <w:lang w:val="en-ZA"/>
        </w:rPr>
        <w:t>3</w:t>
      </w:r>
      <w:r w:rsidRPr="00197362">
        <w:rPr>
          <w:rFonts w:ascii="Arial" w:hAnsi="Arial" w:cs="Arial"/>
          <w:sz w:val="24"/>
          <w:szCs w:val="24"/>
          <w:lang w:val="en-ZA"/>
        </w:rPr>
        <w:t>]</w:t>
      </w:r>
      <w:r w:rsidR="00197362" w:rsidRPr="00197362">
        <w:rPr>
          <w:rFonts w:ascii="Arial" w:hAnsi="Arial" w:cs="Arial"/>
          <w:sz w:val="24"/>
          <w:szCs w:val="24"/>
          <w:lang w:val="en-ZA"/>
        </w:rPr>
        <w:t xml:space="preserve"> </w:t>
      </w:r>
      <w:r w:rsidR="008C7F5A" w:rsidRPr="00197362">
        <w:rPr>
          <w:rFonts w:ascii="Arial" w:hAnsi="Arial" w:cs="Arial"/>
          <w:sz w:val="24"/>
          <w:szCs w:val="24"/>
          <w:lang w:val="en-ZA"/>
        </w:rPr>
        <w:tab/>
      </w:r>
      <w:r w:rsidRPr="00197362">
        <w:rPr>
          <w:rFonts w:ascii="Arial" w:hAnsi="Arial" w:cs="Arial"/>
          <w:sz w:val="24"/>
          <w:szCs w:val="24"/>
          <w:lang w:val="en-ZA"/>
        </w:rPr>
        <w:t>A brief background to the application for condonation is that on 6 September 2022</w:t>
      </w:r>
      <w:r w:rsidR="00197362" w:rsidRPr="00197362">
        <w:rPr>
          <w:rFonts w:ascii="Arial" w:hAnsi="Arial" w:cs="Arial"/>
          <w:sz w:val="24"/>
          <w:szCs w:val="24"/>
          <w:lang w:val="en-ZA"/>
        </w:rPr>
        <w:t xml:space="preserve"> </w:t>
      </w:r>
      <w:r w:rsidRPr="00197362">
        <w:rPr>
          <w:rFonts w:ascii="Arial" w:hAnsi="Arial" w:cs="Arial"/>
          <w:sz w:val="24"/>
          <w:szCs w:val="24"/>
          <w:lang w:val="en-ZA"/>
        </w:rPr>
        <w:t>the</w:t>
      </w:r>
      <w:r w:rsidR="00197362" w:rsidRPr="00197362">
        <w:rPr>
          <w:rFonts w:ascii="Arial" w:hAnsi="Arial" w:cs="Arial"/>
          <w:sz w:val="24"/>
          <w:szCs w:val="24"/>
          <w:lang w:val="en-ZA"/>
        </w:rPr>
        <w:t xml:space="preserve"> </w:t>
      </w:r>
      <w:r w:rsidRPr="00197362">
        <w:rPr>
          <w:rFonts w:ascii="Arial" w:hAnsi="Arial" w:cs="Arial"/>
          <w:sz w:val="24"/>
          <w:szCs w:val="24"/>
          <w:lang w:val="en-ZA"/>
        </w:rPr>
        <w:t>matter came before Khalill AJ</w:t>
      </w:r>
      <w:r w:rsidR="00197362" w:rsidRPr="00197362">
        <w:rPr>
          <w:rFonts w:ascii="Arial" w:hAnsi="Arial" w:cs="Arial"/>
          <w:sz w:val="24"/>
          <w:szCs w:val="24"/>
          <w:lang w:val="en-ZA"/>
        </w:rPr>
        <w:t>.</w:t>
      </w:r>
      <w:r w:rsidR="00B80911" w:rsidRPr="00197362">
        <w:rPr>
          <w:rFonts w:ascii="Arial" w:hAnsi="Arial" w:cs="Arial"/>
          <w:sz w:val="24"/>
          <w:szCs w:val="24"/>
          <w:lang w:val="en-ZA"/>
        </w:rPr>
        <w:t xml:space="preserve"> T</w:t>
      </w:r>
      <w:r w:rsidRPr="00197362">
        <w:rPr>
          <w:rFonts w:ascii="Arial" w:hAnsi="Arial" w:cs="Arial"/>
          <w:sz w:val="24"/>
          <w:szCs w:val="24"/>
          <w:lang w:val="en-ZA"/>
        </w:rPr>
        <w:t xml:space="preserve">he </w:t>
      </w:r>
      <w:r w:rsidR="00B80911" w:rsidRPr="00197362">
        <w:rPr>
          <w:rFonts w:ascii="Arial" w:hAnsi="Arial" w:cs="Arial"/>
          <w:sz w:val="24"/>
          <w:szCs w:val="24"/>
          <w:lang w:val="en-ZA"/>
        </w:rPr>
        <w:t>defendant</w:t>
      </w:r>
      <w:r w:rsidRPr="00197362">
        <w:rPr>
          <w:rFonts w:ascii="Arial" w:hAnsi="Arial" w:cs="Arial"/>
          <w:sz w:val="24"/>
          <w:szCs w:val="24"/>
          <w:lang w:val="en-ZA"/>
        </w:rPr>
        <w:t xml:space="preserve"> asked for an order </w:t>
      </w:r>
      <w:r w:rsidR="007D180C" w:rsidRPr="00197362">
        <w:rPr>
          <w:rFonts w:ascii="Arial" w:hAnsi="Arial" w:cs="Arial"/>
          <w:sz w:val="24"/>
          <w:szCs w:val="24"/>
          <w:lang w:val="en-ZA"/>
        </w:rPr>
        <w:t>striking</w:t>
      </w:r>
      <w:r w:rsidR="00197362" w:rsidRPr="00197362">
        <w:rPr>
          <w:rFonts w:ascii="Arial" w:hAnsi="Arial" w:cs="Arial"/>
          <w:sz w:val="24"/>
          <w:szCs w:val="24"/>
          <w:lang w:val="en-ZA"/>
        </w:rPr>
        <w:t xml:space="preserve"> </w:t>
      </w:r>
      <w:r w:rsidR="00B80911" w:rsidRPr="00197362">
        <w:rPr>
          <w:rFonts w:ascii="Arial" w:hAnsi="Arial" w:cs="Arial"/>
          <w:sz w:val="24"/>
          <w:szCs w:val="24"/>
          <w:lang w:val="en-ZA"/>
        </w:rPr>
        <w:t xml:space="preserve">off </w:t>
      </w:r>
      <w:r w:rsidRPr="00197362">
        <w:rPr>
          <w:rFonts w:ascii="Arial" w:hAnsi="Arial" w:cs="Arial"/>
          <w:sz w:val="24"/>
          <w:szCs w:val="24"/>
          <w:lang w:val="en-ZA"/>
        </w:rPr>
        <w:t>the matter</w:t>
      </w:r>
      <w:r w:rsidR="00197362" w:rsidRPr="00197362">
        <w:rPr>
          <w:rFonts w:ascii="Arial" w:hAnsi="Arial" w:cs="Arial"/>
          <w:sz w:val="24"/>
          <w:szCs w:val="24"/>
          <w:lang w:val="en-ZA"/>
        </w:rPr>
        <w:t xml:space="preserve"> </w:t>
      </w:r>
      <w:r w:rsidR="00B80911" w:rsidRPr="00197362">
        <w:rPr>
          <w:rFonts w:ascii="Arial" w:hAnsi="Arial" w:cs="Arial"/>
          <w:sz w:val="24"/>
          <w:szCs w:val="24"/>
          <w:lang w:val="en-ZA"/>
        </w:rPr>
        <w:t>from</w:t>
      </w:r>
      <w:r w:rsidRPr="00197362">
        <w:rPr>
          <w:rFonts w:ascii="Arial" w:hAnsi="Arial" w:cs="Arial"/>
          <w:sz w:val="24"/>
          <w:szCs w:val="24"/>
          <w:lang w:val="en-ZA"/>
        </w:rPr>
        <w:t xml:space="preserve"> the roll for</w:t>
      </w:r>
      <w:r w:rsidR="00197362" w:rsidRPr="00197362">
        <w:rPr>
          <w:rFonts w:ascii="Arial" w:hAnsi="Arial" w:cs="Arial"/>
          <w:sz w:val="24"/>
          <w:szCs w:val="24"/>
          <w:lang w:val="en-ZA"/>
        </w:rPr>
        <w:t xml:space="preserve"> </w:t>
      </w:r>
      <w:r w:rsidRPr="00197362">
        <w:rPr>
          <w:rFonts w:ascii="Arial" w:hAnsi="Arial" w:cs="Arial"/>
          <w:sz w:val="24"/>
          <w:szCs w:val="24"/>
          <w:lang w:val="en-ZA"/>
        </w:rPr>
        <w:t xml:space="preserve">no condonation for </w:t>
      </w:r>
      <w:r w:rsidR="007D180C" w:rsidRPr="00197362">
        <w:rPr>
          <w:rFonts w:ascii="Arial" w:hAnsi="Arial" w:cs="Arial"/>
          <w:sz w:val="24"/>
          <w:szCs w:val="24"/>
          <w:lang w:val="en-ZA"/>
        </w:rPr>
        <w:t>noncompliance</w:t>
      </w:r>
      <w:r w:rsidRPr="00197362">
        <w:rPr>
          <w:rFonts w:ascii="Arial" w:hAnsi="Arial" w:cs="Arial"/>
          <w:sz w:val="24"/>
          <w:szCs w:val="24"/>
          <w:lang w:val="en-ZA"/>
        </w:rPr>
        <w:t xml:space="preserve"> with practice directive 9.4.1. </w:t>
      </w:r>
      <w:r w:rsidR="007D180C" w:rsidRPr="00197362">
        <w:rPr>
          <w:rFonts w:ascii="Arial" w:hAnsi="Arial" w:cs="Arial"/>
          <w:sz w:val="24"/>
          <w:szCs w:val="24"/>
          <w:lang w:val="en-ZA"/>
        </w:rPr>
        <w:t>Consequently,</w:t>
      </w:r>
      <w:r w:rsidRPr="00197362">
        <w:rPr>
          <w:rFonts w:ascii="Arial" w:hAnsi="Arial" w:cs="Arial"/>
          <w:sz w:val="24"/>
          <w:szCs w:val="24"/>
          <w:lang w:val="en-ZA"/>
        </w:rPr>
        <w:t xml:space="preserve"> Khalill AJ issued an order </w:t>
      </w:r>
      <w:r w:rsidR="007D180C" w:rsidRPr="00197362">
        <w:rPr>
          <w:rFonts w:ascii="Arial" w:hAnsi="Arial" w:cs="Arial"/>
          <w:sz w:val="24"/>
          <w:szCs w:val="24"/>
          <w:lang w:val="en-ZA"/>
        </w:rPr>
        <w:t>striking</w:t>
      </w:r>
      <w:r w:rsidR="00197362">
        <w:rPr>
          <w:rFonts w:ascii="Arial" w:hAnsi="Arial" w:cs="Arial"/>
          <w:sz w:val="24"/>
          <w:szCs w:val="24"/>
          <w:lang w:val="en-ZA"/>
        </w:rPr>
        <w:t xml:space="preserve"> the matter off the roll</w:t>
      </w:r>
      <w:r w:rsidR="00B80911" w:rsidRPr="00197362">
        <w:rPr>
          <w:rFonts w:ascii="Arial" w:hAnsi="Arial" w:cs="Arial"/>
          <w:sz w:val="24"/>
          <w:szCs w:val="24"/>
          <w:lang w:val="en-ZA"/>
        </w:rPr>
        <w:t>.</w:t>
      </w:r>
    </w:p>
    <w:p w14:paraId="1304D330" w14:textId="77777777" w:rsidR="00DB31D5" w:rsidRPr="00197362" w:rsidRDefault="00DB31D5" w:rsidP="00197362">
      <w:pPr>
        <w:spacing w:after="0" w:line="360" w:lineRule="auto"/>
        <w:jc w:val="both"/>
        <w:rPr>
          <w:rFonts w:ascii="Arial" w:hAnsi="Arial" w:cs="Arial"/>
          <w:sz w:val="24"/>
          <w:szCs w:val="24"/>
          <w:lang w:val="en-ZA"/>
        </w:rPr>
      </w:pPr>
    </w:p>
    <w:p w14:paraId="7DDCB2D0" w14:textId="050258CC" w:rsidR="00755B76" w:rsidRPr="00197362" w:rsidRDefault="00BB39C7" w:rsidP="00197362">
      <w:pPr>
        <w:spacing w:after="0" w:line="360" w:lineRule="auto"/>
        <w:jc w:val="both"/>
        <w:rPr>
          <w:rFonts w:ascii="Arial" w:hAnsi="Arial" w:cs="Arial"/>
          <w:sz w:val="24"/>
          <w:szCs w:val="24"/>
          <w:lang w:val="en-ZA"/>
        </w:rPr>
      </w:pPr>
      <w:r w:rsidRPr="00197362">
        <w:rPr>
          <w:rFonts w:ascii="Arial" w:hAnsi="Arial" w:cs="Arial"/>
          <w:sz w:val="24"/>
          <w:szCs w:val="24"/>
          <w:lang w:val="en-ZA"/>
        </w:rPr>
        <w:lastRenderedPageBreak/>
        <w:t>[</w:t>
      </w:r>
      <w:r w:rsidR="008C7F5A" w:rsidRPr="00197362">
        <w:rPr>
          <w:rFonts w:ascii="Arial" w:hAnsi="Arial" w:cs="Arial"/>
          <w:sz w:val="24"/>
          <w:szCs w:val="24"/>
          <w:lang w:val="en-ZA"/>
        </w:rPr>
        <w:t>4</w:t>
      </w:r>
      <w:r w:rsidRPr="00197362">
        <w:rPr>
          <w:rFonts w:ascii="Arial" w:hAnsi="Arial" w:cs="Arial"/>
          <w:sz w:val="24"/>
          <w:szCs w:val="24"/>
          <w:lang w:val="en-ZA"/>
        </w:rPr>
        <w:t>]</w:t>
      </w:r>
      <w:r w:rsidR="00197362" w:rsidRPr="00197362">
        <w:rPr>
          <w:rFonts w:ascii="Arial" w:hAnsi="Arial" w:cs="Arial"/>
          <w:sz w:val="24"/>
          <w:szCs w:val="24"/>
          <w:lang w:val="en-ZA"/>
        </w:rPr>
        <w:t xml:space="preserve"> </w:t>
      </w:r>
      <w:r w:rsidR="008C7F5A" w:rsidRPr="00197362">
        <w:rPr>
          <w:rFonts w:ascii="Arial" w:hAnsi="Arial" w:cs="Arial"/>
          <w:sz w:val="24"/>
          <w:szCs w:val="24"/>
          <w:lang w:val="en-ZA"/>
        </w:rPr>
        <w:tab/>
      </w:r>
      <w:r w:rsidR="00B80911" w:rsidRPr="00197362">
        <w:rPr>
          <w:rFonts w:ascii="Arial" w:hAnsi="Arial" w:cs="Arial"/>
          <w:sz w:val="24"/>
          <w:szCs w:val="24"/>
          <w:lang w:val="en-ZA"/>
        </w:rPr>
        <w:t xml:space="preserve">When the application for condonation was argued before me, </w:t>
      </w:r>
      <w:r w:rsidRPr="00197362">
        <w:rPr>
          <w:rFonts w:ascii="Arial" w:hAnsi="Arial" w:cs="Arial"/>
          <w:sz w:val="24"/>
          <w:szCs w:val="24"/>
          <w:lang w:val="en-ZA"/>
        </w:rPr>
        <w:t>Mr Templett</w:t>
      </w:r>
      <w:r w:rsidR="004F4384">
        <w:rPr>
          <w:rFonts w:ascii="Arial" w:hAnsi="Arial" w:cs="Arial"/>
          <w:sz w:val="24"/>
          <w:szCs w:val="24"/>
          <w:lang w:val="en-ZA"/>
        </w:rPr>
        <w:t>,</w:t>
      </w:r>
      <w:r w:rsidRPr="00197362">
        <w:rPr>
          <w:rFonts w:ascii="Arial" w:hAnsi="Arial" w:cs="Arial"/>
          <w:sz w:val="24"/>
          <w:szCs w:val="24"/>
          <w:lang w:val="en-ZA"/>
        </w:rPr>
        <w:t xml:space="preserve"> for the </w:t>
      </w:r>
      <w:r w:rsidR="00DB31D5" w:rsidRPr="00197362">
        <w:rPr>
          <w:rFonts w:ascii="Arial" w:hAnsi="Arial" w:cs="Arial"/>
          <w:sz w:val="24"/>
          <w:szCs w:val="24"/>
          <w:lang w:val="en-ZA"/>
        </w:rPr>
        <w:t>plaintiff</w:t>
      </w:r>
      <w:r w:rsidR="004F4384">
        <w:rPr>
          <w:rFonts w:ascii="Arial" w:hAnsi="Arial" w:cs="Arial"/>
          <w:sz w:val="24"/>
          <w:szCs w:val="24"/>
          <w:lang w:val="en-ZA"/>
        </w:rPr>
        <w:t>,</w:t>
      </w:r>
      <w:r w:rsidR="00197362" w:rsidRPr="00197362">
        <w:rPr>
          <w:rFonts w:ascii="Arial" w:hAnsi="Arial" w:cs="Arial"/>
          <w:sz w:val="24"/>
          <w:szCs w:val="24"/>
          <w:lang w:val="en-ZA"/>
        </w:rPr>
        <w:t xml:space="preserve"> </w:t>
      </w:r>
      <w:r w:rsidRPr="00197362">
        <w:rPr>
          <w:rFonts w:ascii="Arial" w:hAnsi="Arial" w:cs="Arial"/>
          <w:sz w:val="24"/>
          <w:szCs w:val="24"/>
          <w:lang w:val="en-ZA"/>
        </w:rPr>
        <w:t>contend</w:t>
      </w:r>
      <w:r w:rsidR="00DB31D5" w:rsidRPr="00197362">
        <w:rPr>
          <w:rFonts w:ascii="Arial" w:hAnsi="Arial" w:cs="Arial"/>
          <w:sz w:val="24"/>
          <w:szCs w:val="24"/>
          <w:lang w:val="en-ZA"/>
        </w:rPr>
        <w:t>ed</w:t>
      </w:r>
      <w:r w:rsidRPr="00197362">
        <w:rPr>
          <w:rFonts w:ascii="Arial" w:hAnsi="Arial" w:cs="Arial"/>
          <w:sz w:val="24"/>
          <w:szCs w:val="24"/>
          <w:lang w:val="en-ZA"/>
        </w:rPr>
        <w:t xml:space="preserve"> that the</w:t>
      </w:r>
      <w:r w:rsidR="00197362" w:rsidRPr="00197362">
        <w:rPr>
          <w:rFonts w:ascii="Arial" w:hAnsi="Arial" w:cs="Arial"/>
          <w:sz w:val="24"/>
          <w:szCs w:val="24"/>
          <w:lang w:val="en-ZA"/>
        </w:rPr>
        <w:t xml:space="preserve"> </w:t>
      </w:r>
      <w:r w:rsidRPr="00197362">
        <w:rPr>
          <w:rFonts w:ascii="Arial" w:hAnsi="Arial" w:cs="Arial"/>
          <w:sz w:val="24"/>
          <w:szCs w:val="24"/>
          <w:lang w:val="en-ZA"/>
        </w:rPr>
        <w:t>matter was struck off the roll with no order as to costs</w:t>
      </w:r>
      <w:r w:rsidR="004F4384">
        <w:rPr>
          <w:rFonts w:ascii="Arial" w:hAnsi="Arial" w:cs="Arial"/>
          <w:sz w:val="24"/>
          <w:szCs w:val="24"/>
          <w:lang w:val="en-ZA"/>
        </w:rPr>
        <w:t>,</w:t>
      </w:r>
      <w:r w:rsidRPr="00197362">
        <w:rPr>
          <w:rFonts w:ascii="Arial" w:hAnsi="Arial" w:cs="Arial"/>
          <w:sz w:val="24"/>
          <w:szCs w:val="24"/>
          <w:lang w:val="en-ZA"/>
        </w:rPr>
        <w:t xml:space="preserve"> because</w:t>
      </w:r>
      <w:r w:rsidR="00197362" w:rsidRPr="00197362">
        <w:rPr>
          <w:rFonts w:ascii="Arial" w:hAnsi="Arial" w:cs="Arial"/>
          <w:sz w:val="24"/>
          <w:szCs w:val="24"/>
          <w:lang w:val="en-ZA"/>
        </w:rPr>
        <w:t xml:space="preserve"> </w:t>
      </w:r>
      <w:r w:rsidR="00B80911" w:rsidRPr="00197362">
        <w:rPr>
          <w:rFonts w:ascii="Arial" w:hAnsi="Arial" w:cs="Arial"/>
          <w:sz w:val="24"/>
          <w:szCs w:val="24"/>
          <w:lang w:val="en-ZA"/>
        </w:rPr>
        <w:t>both the plaintiff’s and</w:t>
      </w:r>
      <w:r w:rsidR="00197362" w:rsidRPr="00197362">
        <w:rPr>
          <w:rFonts w:ascii="Arial" w:hAnsi="Arial" w:cs="Arial"/>
          <w:sz w:val="24"/>
          <w:szCs w:val="24"/>
          <w:lang w:val="en-ZA"/>
        </w:rPr>
        <w:t xml:space="preserve"> </w:t>
      </w:r>
      <w:r w:rsidR="00B80911" w:rsidRPr="00197362">
        <w:rPr>
          <w:rFonts w:ascii="Arial" w:hAnsi="Arial" w:cs="Arial"/>
          <w:sz w:val="24"/>
          <w:szCs w:val="24"/>
          <w:lang w:val="en-ZA"/>
        </w:rPr>
        <w:t>defendant’s</w:t>
      </w:r>
      <w:r w:rsidRPr="00197362">
        <w:rPr>
          <w:rFonts w:ascii="Arial" w:hAnsi="Arial" w:cs="Arial"/>
          <w:sz w:val="24"/>
          <w:szCs w:val="24"/>
          <w:lang w:val="en-ZA"/>
        </w:rPr>
        <w:t>’ practice note</w:t>
      </w:r>
      <w:r w:rsidR="00197362" w:rsidRPr="00197362">
        <w:rPr>
          <w:rFonts w:ascii="Arial" w:hAnsi="Arial" w:cs="Arial"/>
          <w:sz w:val="24"/>
          <w:szCs w:val="24"/>
          <w:lang w:val="en-ZA"/>
        </w:rPr>
        <w:t xml:space="preserve"> </w:t>
      </w:r>
      <w:r w:rsidR="00B80911" w:rsidRPr="00197362">
        <w:rPr>
          <w:rFonts w:ascii="Arial" w:hAnsi="Arial" w:cs="Arial"/>
          <w:sz w:val="24"/>
          <w:szCs w:val="24"/>
          <w:lang w:val="en-ZA"/>
        </w:rPr>
        <w:t>did not</w:t>
      </w:r>
      <w:r w:rsidR="00197362" w:rsidRPr="00197362">
        <w:rPr>
          <w:rFonts w:ascii="Arial" w:hAnsi="Arial" w:cs="Arial"/>
          <w:sz w:val="24"/>
          <w:szCs w:val="24"/>
          <w:lang w:val="en-ZA"/>
        </w:rPr>
        <w:t xml:space="preserve"> </w:t>
      </w:r>
      <w:r w:rsidRPr="00197362">
        <w:rPr>
          <w:rFonts w:ascii="Arial" w:hAnsi="Arial" w:cs="Arial"/>
          <w:sz w:val="24"/>
          <w:szCs w:val="24"/>
          <w:lang w:val="en-ZA"/>
        </w:rPr>
        <w:t>comply with</w:t>
      </w:r>
      <w:r w:rsidR="00197362" w:rsidRPr="00197362">
        <w:rPr>
          <w:rFonts w:ascii="Arial" w:hAnsi="Arial" w:cs="Arial"/>
          <w:sz w:val="24"/>
          <w:szCs w:val="24"/>
          <w:lang w:val="en-ZA"/>
        </w:rPr>
        <w:t xml:space="preserve"> </w:t>
      </w:r>
      <w:r w:rsidRPr="00197362">
        <w:rPr>
          <w:rFonts w:ascii="Arial" w:hAnsi="Arial" w:cs="Arial"/>
          <w:sz w:val="24"/>
          <w:szCs w:val="24"/>
          <w:lang w:val="en-ZA"/>
        </w:rPr>
        <w:t>practice directive 9.4.1</w:t>
      </w:r>
      <w:r w:rsidRPr="004F4384">
        <w:rPr>
          <w:rFonts w:ascii="Arial" w:hAnsi="Arial" w:cs="Arial"/>
          <w:i/>
          <w:sz w:val="24"/>
          <w:szCs w:val="24"/>
          <w:lang w:val="en-ZA"/>
        </w:rPr>
        <w:t>(f)</w:t>
      </w:r>
      <w:r w:rsidRPr="00197362">
        <w:rPr>
          <w:rFonts w:ascii="Arial" w:hAnsi="Arial" w:cs="Arial"/>
          <w:sz w:val="24"/>
          <w:szCs w:val="24"/>
          <w:lang w:val="en-ZA"/>
        </w:rPr>
        <w:t xml:space="preserve"> in that the </w:t>
      </w:r>
      <w:r w:rsidR="00B80911" w:rsidRPr="00197362">
        <w:rPr>
          <w:rFonts w:ascii="Arial" w:hAnsi="Arial" w:cs="Arial"/>
          <w:sz w:val="24"/>
          <w:szCs w:val="24"/>
          <w:lang w:val="en-ZA"/>
        </w:rPr>
        <w:t>defendant also</w:t>
      </w:r>
      <w:r w:rsidR="00F069CC" w:rsidRPr="00197362">
        <w:rPr>
          <w:rFonts w:ascii="Arial" w:hAnsi="Arial" w:cs="Arial"/>
          <w:sz w:val="24"/>
          <w:szCs w:val="24"/>
          <w:lang w:val="en-ZA"/>
        </w:rPr>
        <w:t xml:space="preserve"> </w:t>
      </w:r>
      <w:r w:rsidRPr="00197362">
        <w:rPr>
          <w:rFonts w:ascii="Arial" w:hAnsi="Arial" w:cs="Arial"/>
          <w:sz w:val="24"/>
          <w:szCs w:val="24"/>
          <w:lang w:val="en-ZA"/>
        </w:rPr>
        <w:t>did not state whether any material dispute of facts existed</w:t>
      </w:r>
      <w:r w:rsidR="00B80911" w:rsidRPr="00197362">
        <w:rPr>
          <w:rFonts w:ascii="Arial" w:hAnsi="Arial" w:cs="Arial"/>
          <w:sz w:val="24"/>
          <w:szCs w:val="24"/>
          <w:lang w:val="en-ZA"/>
        </w:rPr>
        <w:t>. Both</w:t>
      </w:r>
      <w:r w:rsidR="00197362" w:rsidRPr="00197362">
        <w:rPr>
          <w:rFonts w:ascii="Arial" w:hAnsi="Arial" w:cs="Arial"/>
          <w:sz w:val="24"/>
          <w:szCs w:val="24"/>
          <w:lang w:val="en-ZA"/>
        </w:rPr>
        <w:t xml:space="preserve"> </w:t>
      </w:r>
      <w:r w:rsidR="00DB31D5" w:rsidRPr="00197362">
        <w:rPr>
          <w:rFonts w:ascii="Arial" w:hAnsi="Arial" w:cs="Arial"/>
          <w:sz w:val="24"/>
          <w:szCs w:val="24"/>
          <w:lang w:val="en-ZA"/>
        </w:rPr>
        <w:t>parties</w:t>
      </w:r>
      <w:r w:rsidR="00197362" w:rsidRPr="00197362">
        <w:rPr>
          <w:rFonts w:ascii="Arial" w:hAnsi="Arial" w:cs="Arial"/>
          <w:sz w:val="24"/>
          <w:szCs w:val="24"/>
          <w:lang w:val="en-ZA"/>
        </w:rPr>
        <w:t xml:space="preserve"> </w:t>
      </w:r>
      <w:r w:rsidRPr="00197362">
        <w:rPr>
          <w:rFonts w:ascii="Arial" w:hAnsi="Arial" w:cs="Arial"/>
          <w:sz w:val="24"/>
          <w:szCs w:val="24"/>
          <w:lang w:val="en-ZA"/>
        </w:rPr>
        <w:t>have</w:t>
      </w:r>
      <w:r w:rsidR="00DB31D5" w:rsidRPr="00197362">
        <w:rPr>
          <w:rFonts w:ascii="Arial" w:hAnsi="Arial" w:cs="Arial"/>
          <w:sz w:val="24"/>
          <w:szCs w:val="24"/>
          <w:lang w:val="en-ZA"/>
        </w:rPr>
        <w:t xml:space="preserve"> not</w:t>
      </w:r>
      <w:r w:rsidRPr="00197362">
        <w:rPr>
          <w:rFonts w:ascii="Arial" w:hAnsi="Arial" w:cs="Arial"/>
          <w:sz w:val="24"/>
          <w:szCs w:val="24"/>
          <w:lang w:val="en-ZA"/>
        </w:rPr>
        <w:t xml:space="preserve"> rectified their strict </w:t>
      </w:r>
      <w:r w:rsidR="007D180C" w:rsidRPr="00197362">
        <w:rPr>
          <w:rFonts w:ascii="Arial" w:hAnsi="Arial" w:cs="Arial"/>
          <w:sz w:val="24"/>
          <w:szCs w:val="24"/>
          <w:lang w:val="en-ZA"/>
        </w:rPr>
        <w:t>noncompliance</w:t>
      </w:r>
      <w:r w:rsidRPr="00197362">
        <w:rPr>
          <w:rFonts w:ascii="Arial" w:hAnsi="Arial" w:cs="Arial"/>
          <w:sz w:val="24"/>
          <w:szCs w:val="24"/>
          <w:lang w:val="en-ZA"/>
        </w:rPr>
        <w:t xml:space="preserve"> with</w:t>
      </w:r>
      <w:r w:rsidR="00197362" w:rsidRPr="00197362">
        <w:rPr>
          <w:rFonts w:ascii="Arial" w:hAnsi="Arial" w:cs="Arial"/>
          <w:sz w:val="24"/>
          <w:szCs w:val="24"/>
          <w:lang w:val="en-ZA"/>
        </w:rPr>
        <w:t xml:space="preserve"> </w:t>
      </w:r>
      <w:r w:rsidR="00DB31D5" w:rsidRPr="00197362">
        <w:rPr>
          <w:rFonts w:ascii="Arial" w:hAnsi="Arial" w:cs="Arial"/>
          <w:sz w:val="24"/>
          <w:szCs w:val="24"/>
          <w:lang w:val="en-ZA"/>
        </w:rPr>
        <w:t xml:space="preserve">the </w:t>
      </w:r>
      <w:r w:rsidRPr="00197362">
        <w:rPr>
          <w:rFonts w:ascii="Arial" w:hAnsi="Arial" w:cs="Arial"/>
          <w:sz w:val="24"/>
          <w:szCs w:val="24"/>
          <w:lang w:val="en-ZA"/>
        </w:rPr>
        <w:t>practice directive. The</w:t>
      </w:r>
      <w:r w:rsidR="00197362" w:rsidRPr="00197362">
        <w:rPr>
          <w:rFonts w:ascii="Arial" w:hAnsi="Arial" w:cs="Arial"/>
          <w:sz w:val="24"/>
          <w:szCs w:val="24"/>
          <w:lang w:val="en-ZA"/>
        </w:rPr>
        <w:t xml:space="preserve"> </w:t>
      </w:r>
      <w:r w:rsidR="00DB31D5" w:rsidRPr="00197362">
        <w:rPr>
          <w:rFonts w:ascii="Arial" w:hAnsi="Arial" w:cs="Arial"/>
          <w:sz w:val="24"/>
          <w:szCs w:val="24"/>
          <w:lang w:val="en-ZA"/>
        </w:rPr>
        <w:t>plaintiff</w:t>
      </w:r>
      <w:r w:rsidRPr="00197362">
        <w:rPr>
          <w:rFonts w:ascii="Arial" w:hAnsi="Arial" w:cs="Arial"/>
          <w:sz w:val="24"/>
          <w:szCs w:val="24"/>
          <w:lang w:val="en-ZA"/>
        </w:rPr>
        <w:t xml:space="preserve"> contend</w:t>
      </w:r>
      <w:r w:rsidR="00DB31D5" w:rsidRPr="00197362">
        <w:rPr>
          <w:rFonts w:ascii="Arial" w:hAnsi="Arial" w:cs="Arial"/>
          <w:sz w:val="24"/>
          <w:szCs w:val="24"/>
          <w:lang w:val="en-ZA"/>
        </w:rPr>
        <w:t>ed</w:t>
      </w:r>
      <w:r w:rsidRPr="00197362">
        <w:rPr>
          <w:rFonts w:ascii="Arial" w:hAnsi="Arial" w:cs="Arial"/>
          <w:sz w:val="24"/>
          <w:szCs w:val="24"/>
          <w:lang w:val="en-ZA"/>
        </w:rPr>
        <w:t xml:space="preserve"> that due to </w:t>
      </w:r>
      <w:r w:rsidR="004F4384">
        <w:rPr>
          <w:rFonts w:ascii="Arial" w:hAnsi="Arial" w:cs="Arial"/>
          <w:sz w:val="24"/>
          <w:szCs w:val="24"/>
          <w:lang w:val="en-ZA"/>
        </w:rPr>
        <w:t xml:space="preserve">the </w:t>
      </w:r>
      <w:r w:rsidRPr="00197362">
        <w:rPr>
          <w:rFonts w:ascii="Arial" w:hAnsi="Arial" w:cs="Arial"/>
          <w:sz w:val="24"/>
          <w:szCs w:val="24"/>
          <w:lang w:val="en-ZA"/>
        </w:rPr>
        <w:t>vast number of technical</w:t>
      </w:r>
      <w:r w:rsidR="00197362" w:rsidRPr="00197362">
        <w:rPr>
          <w:rFonts w:ascii="Arial" w:hAnsi="Arial" w:cs="Arial"/>
          <w:sz w:val="24"/>
          <w:szCs w:val="24"/>
          <w:lang w:val="en-ZA"/>
        </w:rPr>
        <w:t xml:space="preserve"> </w:t>
      </w:r>
      <w:r w:rsidRPr="00197362">
        <w:rPr>
          <w:rFonts w:ascii="Arial" w:hAnsi="Arial" w:cs="Arial"/>
          <w:sz w:val="24"/>
          <w:szCs w:val="24"/>
          <w:lang w:val="en-ZA"/>
        </w:rPr>
        <w:t xml:space="preserve">and other points raised by the </w:t>
      </w:r>
      <w:r w:rsidR="00DB31D5" w:rsidRPr="00197362">
        <w:rPr>
          <w:rFonts w:ascii="Arial" w:hAnsi="Arial" w:cs="Arial"/>
          <w:sz w:val="24"/>
          <w:szCs w:val="24"/>
          <w:lang w:val="en-ZA"/>
        </w:rPr>
        <w:t>defendant</w:t>
      </w:r>
      <w:r w:rsidRPr="00197362">
        <w:rPr>
          <w:rFonts w:ascii="Arial" w:hAnsi="Arial" w:cs="Arial"/>
          <w:sz w:val="24"/>
          <w:szCs w:val="24"/>
          <w:lang w:val="en-ZA"/>
        </w:rPr>
        <w:t xml:space="preserve"> in </w:t>
      </w:r>
      <w:r w:rsidR="00F069CC" w:rsidRPr="00197362">
        <w:rPr>
          <w:rFonts w:ascii="Arial" w:hAnsi="Arial" w:cs="Arial"/>
          <w:sz w:val="24"/>
          <w:szCs w:val="24"/>
          <w:lang w:val="en-ZA"/>
        </w:rPr>
        <w:t>their</w:t>
      </w:r>
      <w:r w:rsidRPr="00197362">
        <w:rPr>
          <w:rFonts w:ascii="Arial" w:hAnsi="Arial" w:cs="Arial"/>
          <w:sz w:val="24"/>
          <w:szCs w:val="24"/>
          <w:lang w:val="en-ZA"/>
        </w:rPr>
        <w:t xml:space="preserve"> summary</w:t>
      </w:r>
      <w:r w:rsidR="00197362" w:rsidRPr="00197362">
        <w:rPr>
          <w:rFonts w:ascii="Arial" w:hAnsi="Arial" w:cs="Arial"/>
          <w:sz w:val="24"/>
          <w:szCs w:val="24"/>
          <w:lang w:val="en-ZA"/>
        </w:rPr>
        <w:t xml:space="preserve"> </w:t>
      </w:r>
      <w:r w:rsidRPr="00197362">
        <w:rPr>
          <w:rFonts w:ascii="Arial" w:hAnsi="Arial" w:cs="Arial"/>
          <w:sz w:val="24"/>
          <w:szCs w:val="24"/>
          <w:lang w:val="en-ZA"/>
        </w:rPr>
        <w:t>judgment</w:t>
      </w:r>
      <w:r w:rsidR="00F069CC" w:rsidRPr="00197362">
        <w:rPr>
          <w:rFonts w:ascii="Arial" w:hAnsi="Arial" w:cs="Arial"/>
          <w:sz w:val="24"/>
          <w:szCs w:val="24"/>
          <w:lang w:val="en-ZA"/>
        </w:rPr>
        <w:t xml:space="preserve"> opposing</w:t>
      </w:r>
      <w:r w:rsidR="00755B76" w:rsidRPr="00197362">
        <w:rPr>
          <w:rFonts w:ascii="Arial" w:hAnsi="Arial" w:cs="Arial"/>
          <w:sz w:val="24"/>
          <w:szCs w:val="24"/>
          <w:lang w:val="en-ZA"/>
        </w:rPr>
        <w:t xml:space="preserve"> affidavit</w:t>
      </w:r>
      <w:r w:rsidR="00F069CC" w:rsidRPr="00197362">
        <w:rPr>
          <w:rFonts w:ascii="Arial" w:hAnsi="Arial" w:cs="Arial"/>
          <w:sz w:val="24"/>
          <w:szCs w:val="24"/>
          <w:lang w:val="en-ZA"/>
        </w:rPr>
        <w:t>, i</w:t>
      </w:r>
      <w:r w:rsidR="00755B76" w:rsidRPr="00197362">
        <w:rPr>
          <w:rFonts w:ascii="Arial" w:hAnsi="Arial" w:cs="Arial"/>
          <w:sz w:val="24"/>
          <w:szCs w:val="24"/>
          <w:lang w:val="en-ZA"/>
        </w:rPr>
        <w:t>t</w:t>
      </w:r>
      <w:r w:rsidRPr="00197362">
        <w:rPr>
          <w:rFonts w:ascii="Arial" w:hAnsi="Arial" w:cs="Arial"/>
          <w:sz w:val="24"/>
          <w:szCs w:val="24"/>
          <w:lang w:val="en-ZA"/>
        </w:rPr>
        <w:t xml:space="preserve"> was not possible</w:t>
      </w:r>
      <w:r w:rsidR="00F069CC" w:rsidRPr="00197362">
        <w:rPr>
          <w:rFonts w:ascii="Arial" w:hAnsi="Arial" w:cs="Arial"/>
          <w:sz w:val="24"/>
          <w:szCs w:val="24"/>
          <w:lang w:val="en-ZA"/>
        </w:rPr>
        <w:t xml:space="preserve"> for the plaintiff,</w:t>
      </w:r>
      <w:r w:rsidR="00755B76" w:rsidRPr="00197362">
        <w:rPr>
          <w:rFonts w:ascii="Arial" w:hAnsi="Arial" w:cs="Arial"/>
          <w:sz w:val="24"/>
          <w:szCs w:val="24"/>
          <w:lang w:val="en-ZA"/>
        </w:rPr>
        <w:t xml:space="preserve"> </w:t>
      </w:r>
      <w:r w:rsidRPr="00197362">
        <w:rPr>
          <w:rFonts w:ascii="Arial" w:hAnsi="Arial" w:cs="Arial"/>
          <w:sz w:val="24"/>
          <w:szCs w:val="24"/>
          <w:lang w:val="en-ZA"/>
        </w:rPr>
        <w:t>to adequately address every issue in the</w:t>
      </w:r>
      <w:r w:rsidR="004F4384">
        <w:rPr>
          <w:rFonts w:ascii="Arial" w:hAnsi="Arial" w:cs="Arial"/>
          <w:sz w:val="24"/>
          <w:szCs w:val="24"/>
          <w:lang w:val="en-ZA"/>
        </w:rPr>
        <w:t>ir</w:t>
      </w:r>
      <w:r w:rsidRPr="00197362">
        <w:rPr>
          <w:rFonts w:ascii="Arial" w:hAnsi="Arial" w:cs="Arial"/>
          <w:sz w:val="24"/>
          <w:szCs w:val="24"/>
          <w:lang w:val="en-ZA"/>
        </w:rPr>
        <w:t xml:space="preserve"> heads</w:t>
      </w:r>
      <w:r w:rsidR="00F069CC" w:rsidRPr="00197362">
        <w:rPr>
          <w:rFonts w:ascii="Arial" w:hAnsi="Arial" w:cs="Arial"/>
          <w:sz w:val="24"/>
          <w:szCs w:val="24"/>
          <w:lang w:val="en-ZA"/>
        </w:rPr>
        <w:t xml:space="preserve"> of</w:t>
      </w:r>
      <w:r w:rsidRPr="00197362">
        <w:rPr>
          <w:rFonts w:ascii="Arial" w:hAnsi="Arial" w:cs="Arial"/>
          <w:sz w:val="24"/>
          <w:szCs w:val="24"/>
          <w:lang w:val="en-ZA"/>
        </w:rPr>
        <w:t xml:space="preserve"> argument without delivering one additional page.</w:t>
      </w:r>
      <w:r w:rsidR="00DB31D5" w:rsidRPr="00197362">
        <w:rPr>
          <w:rFonts w:ascii="Arial" w:hAnsi="Arial" w:cs="Arial"/>
          <w:sz w:val="24"/>
          <w:szCs w:val="24"/>
          <w:lang w:val="en-ZA"/>
        </w:rPr>
        <w:t xml:space="preserve"> </w:t>
      </w:r>
    </w:p>
    <w:p w14:paraId="5FCE1CD6" w14:textId="392CBE1E" w:rsidR="00BB39C7" w:rsidRPr="00197362" w:rsidRDefault="00BB39C7" w:rsidP="00197362">
      <w:pPr>
        <w:spacing w:after="0" w:line="360" w:lineRule="auto"/>
        <w:jc w:val="both"/>
        <w:rPr>
          <w:rFonts w:ascii="Arial" w:hAnsi="Arial" w:cs="Arial"/>
          <w:sz w:val="24"/>
          <w:szCs w:val="24"/>
          <w:lang w:val="en-ZA"/>
        </w:rPr>
      </w:pPr>
    </w:p>
    <w:p w14:paraId="0135346F" w14:textId="0538CC04" w:rsidR="00BB39C7" w:rsidRPr="00197362" w:rsidRDefault="00BB39C7" w:rsidP="00197362">
      <w:pPr>
        <w:spacing w:after="0" w:line="360" w:lineRule="auto"/>
        <w:jc w:val="both"/>
        <w:rPr>
          <w:rFonts w:ascii="Arial" w:hAnsi="Arial" w:cs="Arial"/>
          <w:sz w:val="24"/>
          <w:szCs w:val="24"/>
          <w:lang w:val="en-ZA"/>
        </w:rPr>
      </w:pPr>
      <w:r w:rsidRPr="00197362">
        <w:rPr>
          <w:rFonts w:ascii="Arial" w:hAnsi="Arial" w:cs="Arial"/>
          <w:sz w:val="24"/>
          <w:szCs w:val="24"/>
          <w:lang w:val="en-ZA"/>
        </w:rPr>
        <w:t>[</w:t>
      </w:r>
      <w:r w:rsidR="008C7F5A" w:rsidRPr="00197362">
        <w:rPr>
          <w:rFonts w:ascii="Arial" w:hAnsi="Arial" w:cs="Arial"/>
          <w:sz w:val="24"/>
          <w:szCs w:val="24"/>
          <w:lang w:val="en-ZA"/>
        </w:rPr>
        <w:t>5</w:t>
      </w:r>
      <w:r w:rsidRPr="00197362">
        <w:rPr>
          <w:rFonts w:ascii="Arial" w:hAnsi="Arial" w:cs="Arial"/>
          <w:sz w:val="24"/>
          <w:szCs w:val="24"/>
          <w:lang w:val="en-ZA"/>
        </w:rPr>
        <w:t xml:space="preserve">] </w:t>
      </w:r>
      <w:r w:rsidR="008C7F5A" w:rsidRPr="00197362">
        <w:rPr>
          <w:rFonts w:ascii="Arial" w:hAnsi="Arial" w:cs="Arial"/>
          <w:sz w:val="24"/>
          <w:szCs w:val="24"/>
          <w:lang w:val="en-ZA"/>
        </w:rPr>
        <w:tab/>
      </w:r>
      <w:r w:rsidRPr="00197362">
        <w:rPr>
          <w:rFonts w:ascii="Arial" w:hAnsi="Arial" w:cs="Arial"/>
          <w:sz w:val="24"/>
          <w:szCs w:val="24"/>
          <w:lang w:val="en-ZA"/>
        </w:rPr>
        <w:t xml:space="preserve">Mr </w:t>
      </w:r>
      <w:r w:rsidR="007D180C" w:rsidRPr="00197362">
        <w:rPr>
          <w:rFonts w:ascii="Arial" w:hAnsi="Arial" w:cs="Arial"/>
          <w:sz w:val="24"/>
          <w:szCs w:val="24"/>
          <w:lang w:val="en-ZA"/>
        </w:rPr>
        <w:t>Ha</w:t>
      </w:r>
      <w:r w:rsidR="00FD467D">
        <w:rPr>
          <w:rFonts w:ascii="Arial" w:hAnsi="Arial" w:cs="Arial"/>
          <w:sz w:val="24"/>
          <w:szCs w:val="24"/>
          <w:lang w:val="en-ZA"/>
        </w:rPr>
        <w:t>ve</w:t>
      </w:r>
      <w:r w:rsidR="007D180C" w:rsidRPr="00197362">
        <w:rPr>
          <w:rFonts w:ascii="Arial" w:hAnsi="Arial" w:cs="Arial"/>
          <w:sz w:val="24"/>
          <w:szCs w:val="24"/>
          <w:lang w:val="en-ZA"/>
        </w:rPr>
        <w:t>mann</w:t>
      </w:r>
      <w:r w:rsidR="004F4384">
        <w:rPr>
          <w:rFonts w:ascii="Arial" w:hAnsi="Arial" w:cs="Arial"/>
          <w:sz w:val="24"/>
          <w:szCs w:val="24"/>
          <w:lang w:val="en-ZA"/>
        </w:rPr>
        <w:t>,</w:t>
      </w:r>
      <w:r w:rsidRPr="00197362">
        <w:rPr>
          <w:rFonts w:ascii="Arial" w:hAnsi="Arial" w:cs="Arial"/>
          <w:sz w:val="24"/>
          <w:szCs w:val="24"/>
          <w:lang w:val="en-ZA"/>
        </w:rPr>
        <w:t xml:space="preserve"> for the</w:t>
      </w:r>
      <w:r w:rsidR="00197362" w:rsidRPr="00197362">
        <w:rPr>
          <w:rFonts w:ascii="Arial" w:hAnsi="Arial" w:cs="Arial"/>
          <w:sz w:val="24"/>
          <w:szCs w:val="24"/>
          <w:lang w:val="en-ZA"/>
        </w:rPr>
        <w:t xml:space="preserve"> </w:t>
      </w:r>
      <w:r w:rsidR="00755B76" w:rsidRPr="00197362">
        <w:rPr>
          <w:rFonts w:ascii="Arial" w:hAnsi="Arial" w:cs="Arial"/>
          <w:sz w:val="24"/>
          <w:szCs w:val="24"/>
          <w:lang w:val="en-ZA"/>
        </w:rPr>
        <w:t>defendant</w:t>
      </w:r>
      <w:r w:rsidR="004F4384">
        <w:rPr>
          <w:rFonts w:ascii="Arial" w:hAnsi="Arial" w:cs="Arial"/>
          <w:sz w:val="24"/>
          <w:szCs w:val="24"/>
          <w:lang w:val="en-ZA"/>
        </w:rPr>
        <w:t>,</w:t>
      </w:r>
      <w:r w:rsidR="00197362" w:rsidRPr="00197362">
        <w:rPr>
          <w:rFonts w:ascii="Arial" w:hAnsi="Arial" w:cs="Arial"/>
          <w:sz w:val="24"/>
          <w:szCs w:val="24"/>
          <w:lang w:val="en-ZA"/>
        </w:rPr>
        <w:t xml:space="preserve"> </w:t>
      </w:r>
      <w:r w:rsidRPr="00197362">
        <w:rPr>
          <w:rFonts w:ascii="Arial" w:hAnsi="Arial" w:cs="Arial"/>
          <w:sz w:val="24"/>
          <w:szCs w:val="24"/>
          <w:lang w:val="en-ZA"/>
        </w:rPr>
        <w:t>contend</w:t>
      </w:r>
      <w:r w:rsidR="00755B76" w:rsidRPr="00197362">
        <w:rPr>
          <w:rFonts w:ascii="Arial" w:hAnsi="Arial" w:cs="Arial"/>
          <w:sz w:val="24"/>
          <w:szCs w:val="24"/>
          <w:lang w:val="en-ZA"/>
        </w:rPr>
        <w:t>ed</w:t>
      </w:r>
      <w:r w:rsidRPr="00197362">
        <w:rPr>
          <w:rFonts w:ascii="Arial" w:hAnsi="Arial" w:cs="Arial"/>
          <w:sz w:val="24"/>
          <w:szCs w:val="24"/>
          <w:lang w:val="en-ZA"/>
        </w:rPr>
        <w:t xml:space="preserve"> that</w:t>
      </w:r>
      <w:r w:rsidR="00197362" w:rsidRPr="00197362">
        <w:rPr>
          <w:rFonts w:ascii="Arial" w:hAnsi="Arial" w:cs="Arial"/>
          <w:sz w:val="24"/>
          <w:szCs w:val="24"/>
          <w:lang w:val="en-ZA"/>
        </w:rPr>
        <w:t xml:space="preserve"> </w:t>
      </w:r>
      <w:r w:rsidRPr="00197362">
        <w:rPr>
          <w:rFonts w:ascii="Arial" w:hAnsi="Arial" w:cs="Arial"/>
          <w:sz w:val="24"/>
          <w:szCs w:val="24"/>
          <w:lang w:val="en-ZA"/>
        </w:rPr>
        <w:t xml:space="preserve">the </w:t>
      </w:r>
      <w:r w:rsidR="00755B76" w:rsidRPr="00197362">
        <w:rPr>
          <w:rFonts w:ascii="Arial" w:hAnsi="Arial" w:cs="Arial"/>
          <w:sz w:val="24"/>
          <w:szCs w:val="24"/>
          <w:lang w:val="en-ZA"/>
        </w:rPr>
        <w:t>plaintiff</w:t>
      </w:r>
      <w:r w:rsidR="00197362" w:rsidRPr="00197362">
        <w:rPr>
          <w:rFonts w:ascii="Arial" w:hAnsi="Arial" w:cs="Arial"/>
          <w:sz w:val="24"/>
          <w:szCs w:val="24"/>
          <w:lang w:val="en-ZA"/>
        </w:rPr>
        <w:t xml:space="preserve"> </w:t>
      </w:r>
      <w:r w:rsidRPr="00197362">
        <w:rPr>
          <w:rFonts w:ascii="Arial" w:hAnsi="Arial" w:cs="Arial"/>
          <w:sz w:val="24"/>
          <w:szCs w:val="24"/>
          <w:lang w:val="en-ZA"/>
        </w:rPr>
        <w:t>failed to explain the delay in seeking condonation from September</w:t>
      </w:r>
      <w:r w:rsidR="00197362" w:rsidRPr="00197362">
        <w:rPr>
          <w:rFonts w:ascii="Arial" w:hAnsi="Arial" w:cs="Arial"/>
          <w:sz w:val="24"/>
          <w:szCs w:val="24"/>
          <w:lang w:val="en-ZA"/>
        </w:rPr>
        <w:t xml:space="preserve"> </w:t>
      </w:r>
      <w:r w:rsidR="00755B76" w:rsidRPr="00197362">
        <w:rPr>
          <w:rFonts w:ascii="Arial" w:hAnsi="Arial" w:cs="Arial"/>
          <w:sz w:val="24"/>
          <w:szCs w:val="24"/>
          <w:lang w:val="en-ZA"/>
        </w:rPr>
        <w:t xml:space="preserve">2022 </w:t>
      </w:r>
      <w:r w:rsidRPr="00197362">
        <w:rPr>
          <w:rFonts w:ascii="Arial" w:hAnsi="Arial" w:cs="Arial"/>
          <w:sz w:val="24"/>
          <w:szCs w:val="24"/>
          <w:lang w:val="en-ZA"/>
        </w:rPr>
        <w:t>when the matter was struck off the r</w:t>
      </w:r>
      <w:r w:rsidR="00197362">
        <w:rPr>
          <w:rFonts w:ascii="Arial" w:hAnsi="Arial" w:cs="Arial"/>
          <w:sz w:val="24"/>
          <w:szCs w:val="24"/>
          <w:lang w:val="en-ZA"/>
        </w:rPr>
        <w:t>oll. The long</w:t>
      </w:r>
      <w:r w:rsidR="004F4384">
        <w:rPr>
          <w:rFonts w:ascii="Arial" w:hAnsi="Arial" w:cs="Arial"/>
          <w:sz w:val="24"/>
          <w:szCs w:val="24"/>
          <w:lang w:val="en-ZA"/>
        </w:rPr>
        <w:t>er</w:t>
      </w:r>
      <w:r w:rsidR="00197362">
        <w:rPr>
          <w:rFonts w:ascii="Arial" w:hAnsi="Arial" w:cs="Arial"/>
          <w:sz w:val="24"/>
          <w:szCs w:val="24"/>
          <w:lang w:val="en-ZA"/>
        </w:rPr>
        <w:t xml:space="preserve"> heads of argument</w:t>
      </w:r>
      <w:r w:rsidR="00755B76" w:rsidRPr="00197362">
        <w:rPr>
          <w:rFonts w:ascii="Arial" w:hAnsi="Arial" w:cs="Arial"/>
          <w:sz w:val="24"/>
          <w:szCs w:val="24"/>
          <w:lang w:val="en-ZA"/>
        </w:rPr>
        <w:t xml:space="preserve">, </w:t>
      </w:r>
      <w:r w:rsidRPr="00197362">
        <w:rPr>
          <w:rFonts w:ascii="Arial" w:hAnsi="Arial" w:cs="Arial"/>
          <w:sz w:val="24"/>
          <w:szCs w:val="24"/>
          <w:lang w:val="en-ZA"/>
        </w:rPr>
        <w:t>ha</w:t>
      </w:r>
      <w:r w:rsidR="00F069CC" w:rsidRPr="00197362">
        <w:rPr>
          <w:rFonts w:ascii="Arial" w:hAnsi="Arial" w:cs="Arial"/>
          <w:sz w:val="24"/>
          <w:szCs w:val="24"/>
          <w:lang w:val="en-ZA"/>
        </w:rPr>
        <w:t>d</w:t>
      </w:r>
      <w:r w:rsidRPr="00197362">
        <w:rPr>
          <w:rFonts w:ascii="Arial" w:hAnsi="Arial" w:cs="Arial"/>
          <w:sz w:val="24"/>
          <w:szCs w:val="24"/>
          <w:lang w:val="en-ZA"/>
        </w:rPr>
        <w:t xml:space="preserve"> increased</w:t>
      </w:r>
      <w:r w:rsidR="00197362" w:rsidRPr="00197362">
        <w:rPr>
          <w:rFonts w:ascii="Arial" w:hAnsi="Arial" w:cs="Arial"/>
          <w:sz w:val="24"/>
          <w:szCs w:val="24"/>
          <w:lang w:val="en-ZA"/>
        </w:rPr>
        <w:t xml:space="preserve"> </w:t>
      </w:r>
      <w:r w:rsidRPr="00197362">
        <w:rPr>
          <w:rFonts w:ascii="Arial" w:hAnsi="Arial" w:cs="Arial"/>
          <w:sz w:val="24"/>
          <w:szCs w:val="24"/>
          <w:lang w:val="en-ZA"/>
        </w:rPr>
        <w:t xml:space="preserve">the </w:t>
      </w:r>
      <w:r w:rsidR="00755B76" w:rsidRPr="00197362">
        <w:rPr>
          <w:rFonts w:ascii="Arial" w:hAnsi="Arial" w:cs="Arial"/>
          <w:sz w:val="24"/>
          <w:szCs w:val="24"/>
          <w:lang w:val="en-ZA"/>
        </w:rPr>
        <w:t>defendant’</w:t>
      </w:r>
      <w:r w:rsidRPr="00197362">
        <w:rPr>
          <w:rFonts w:ascii="Arial" w:hAnsi="Arial" w:cs="Arial"/>
          <w:sz w:val="24"/>
          <w:szCs w:val="24"/>
          <w:lang w:val="en-ZA"/>
        </w:rPr>
        <w:t>s costs</w:t>
      </w:r>
      <w:r w:rsidR="00755B76" w:rsidRPr="00197362">
        <w:rPr>
          <w:rFonts w:ascii="Arial" w:hAnsi="Arial" w:cs="Arial"/>
          <w:sz w:val="24"/>
          <w:szCs w:val="24"/>
          <w:lang w:val="en-ZA"/>
        </w:rPr>
        <w:t>.</w:t>
      </w:r>
    </w:p>
    <w:p w14:paraId="71292F02" w14:textId="77777777" w:rsidR="00BB39C7" w:rsidRPr="00197362" w:rsidRDefault="00BB39C7" w:rsidP="00197362">
      <w:pPr>
        <w:spacing w:after="0" w:line="360" w:lineRule="auto"/>
        <w:jc w:val="both"/>
        <w:rPr>
          <w:rFonts w:ascii="Arial" w:hAnsi="Arial" w:cs="Arial"/>
          <w:sz w:val="24"/>
          <w:szCs w:val="24"/>
          <w:lang w:val="en-ZA"/>
        </w:rPr>
      </w:pPr>
    </w:p>
    <w:p w14:paraId="3836C31D" w14:textId="0D7B01BA" w:rsidR="00BB39C7" w:rsidRPr="00197362" w:rsidRDefault="00BB39C7" w:rsidP="00197362">
      <w:pPr>
        <w:spacing w:after="0" w:line="360" w:lineRule="auto"/>
        <w:jc w:val="both"/>
        <w:rPr>
          <w:rFonts w:ascii="Arial" w:hAnsi="Arial" w:cs="Arial"/>
          <w:sz w:val="24"/>
          <w:szCs w:val="24"/>
          <w:lang w:val="en-ZA"/>
        </w:rPr>
      </w:pPr>
      <w:r w:rsidRPr="00197362">
        <w:rPr>
          <w:rFonts w:ascii="Arial" w:hAnsi="Arial" w:cs="Arial"/>
          <w:sz w:val="24"/>
          <w:szCs w:val="24"/>
          <w:lang w:val="en-ZA"/>
        </w:rPr>
        <w:t>[</w:t>
      </w:r>
      <w:r w:rsidR="008C7F5A" w:rsidRPr="00197362">
        <w:rPr>
          <w:rFonts w:ascii="Arial" w:hAnsi="Arial" w:cs="Arial"/>
          <w:sz w:val="24"/>
          <w:szCs w:val="24"/>
          <w:lang w:val="en-ZA"/>
        </w:rPr>
        <w:t>6</w:t>
      </w:r>
      <w:r w:rsidRPr="00197362">
        <w:rPr>
          <w:rFonts w:ascii="Arial" w:hAnsi="Arial" w:cs="Arial"/>
          <w:sz w:val="24"/>
          <w:szCs w:val="24"/>
          <w:lang w:val="en-ZA"/>
        </w:rPr>
        <w:t xml:space="preserve">] </w:t>
      </w:r>
      <w:r w:rsidR="008C7F5A" w:rsidRPr="00197362">
        <w:rPr>
          <w:rFonts w:ascii="Arial" w:hAnsi="Arial" w:cs="Arial"/>
          <w:sz w:val="24"/>
          <w:szCs w:val="24"/>
          <w:lang w:val="en-ZA"/>
        </w:rPr>
        <w:tab/>
      </w:r>
      <w:r w:rsidRPr="00197362">
        <w:rPr>
          <w:rFonts w:ascii="Arial" w:hAnsi="Arial" w:cs="Arial"/>
          <w:sz w:val="24"/>
          <w:szCs w:val="24"/>
          <w:lang w:val="en-ZA"/>
        </w:rPr>
        <w:t xml:space="preserve">It is appropriate to point out that it is not in dispute that both </w:t>
      </w:r>
      <w:r w:rsidR="007D180C" w:rsidRPr="00197362">
        <w:rPr>
          <w:rFonts w:ascii="Arial" w:hAnsi="Arial" w:cs="Arial"/>
          <w:sz w:val="24"/>
          <w:szCs w:val="24"/>
          <w:lang w:val="en-ZA"/>
        </w:rPr>
        <w:t>parties’</w:t>
      </w:r>
      <w:r w:rsidRPr="00197362">
        <w:rPr>
          <w:rFonts w:ascii="Arial" w:hAnsi="Arial" w:cs="Arial"/>
          <w:sz w:val="24"/>
          <w:szCs w:val="24"/>
          <w:lang w:val="en-ZA"/>
        </w:rPr>
        <w:t xml:space="preserve"> heads of argument d</w:t>
      </w:r>
      <w:r w:rsidR="00755B76" w:rsidRPr="00197362">
        <w:rPr>
          <w:rFonts w:ascii="Arial" w:hAnsi="Arial" w:cs="Arial"/>
          <w:sz w:val="24"/>
          <w:szCs w:val="24"/>
          <w:lang w:val="en-ZA"/>
        </w:rPr>
        <w:t>id</w:t>
      </w:r>
      <w:r w:rsidR="00197362" w:rsidRPr="00197362">
        <w:rPr>
          <w:rFonts w:ascii="Arial" w:hAnsi="Arial" w:cs="Arial"/>
          <w:sz w:val="24"/>
          <w:szCs w:val="24"/>
          <w:lang w:val="en-ZA"/>
        </w:rPr>
        <w:t xml:space="preserve"> </w:t>
      </w:r>
      <w:r w:rsidR="00F069CC" w:rsidRPr="00197362">
        <w:rPr>
          <w:rFonts w:ascii="Arial" w:hAnsi="Arial" w:cs="Arial"/>
          <w:sz w:val="24"/>
          <w:szCs w:val="24"/>
          <w:lang w:val="en-ZA"/>
        </w:rPr>
        <w:t xml:space="preserve">not </w:t>
      </w:r>
      <w:r w:rsidR="00755B76" w:rsidRPr="00197362">
        <w:rPr>
          <w:rFonts w:ascii="Arial" w:hAnsi="Arial" w:cs="Arial"/>
          <w:sz w:val="24"/>
          <w:szCs w:val="24"/>
          <w:lang w:val="en-ZA"/>
        </w:rPr>
        <w:t>and still do not</w:t>
      </w:r>
      <w:r w:rsidRPr="00197362">
        <w:rPr>
          <w:rFonts w:ascii="Arial" w:hAnsi="Arial" w:cs="Arial"/>
          <w:sz w:val="24"/>
          <w:szCs w:val="24"/>
          <w:lang w:val="en-ZA"/>
        </w:rPr>
        <w:t xml:space="preserve"> comply with the practice directive. The </w:t>
      </w:r>
      <w:r w:rsidR="00755B76" w:rsidRPr="00197362">
        <w:rPr>
          <w:rFonts w:ascii="Arial" w:hAnsi="Arial" w:cs="Arial"/>
          <w:sz w:val="24"/>
          <w:szCs w:val="24"/>
          <w:lang w:val="en-ZA"/>
        </w:rPr>
        <w:t>plaintiff</w:t>
      </w:r>
      <w:r w:rsidRPr="00197362">
        <w:rPr>
          <w:rFonts w:ascii="Arial" w:hAnsi="Arial" w:cs="Arial"/>
          <w:sz w:val="24"/>
          <w:szCs w:val="24"/>
          <w:lang w:val="en-ZA"/>
        </w:rPr>
        <w:t xml:space="preserve"> has applied for condonation for </w:t>
      </w:r>
      <w:r w:rsidR="007D180C" w:rsidRPr="00197362">
        <w:rPr>
          <w:rFonts w:ascii="Arial" w:hAnsi="Arial" w:cs="Arial"/>
          <w:sz w:val="24"/>
          <w:szCs w:val="24"/>
          <w:lang w:val="en-ZA"/>
        </w:rPr>
        <w:t>noncompliance</w:t>
      </w:r>
      <w:r w:rsidRPr="00197362">
        <w:rPr>
          <w:rFonts w:ascii="Arial" w:hAnsi="Arial" w:cs="Arial"/>
          <w:sz w:val="24"/>
          <w:szCs w:val="24"/>
          <w:lang w:val="en-ZA"/>
        </w:rPr>
        <w:t xml:space="preserve"> with the directive and the </w:t>
      </w:r>
      <w:r w:rsidR="00755B76" w:rsidRPr="00197362">
        <w:rPr>
          <w:rFonts w:ascii="Arial" w:hAnsi="Arial" w:cs="Arial"/>
          <w:sz w:val="24"/>
          <w:szCs w:val="24"/>
          <w:lang w:val="en-ZA"/>
        </w:rPr>
        <w:t>defendant</w:t>
      </w:r>
      <w:r w:rsidRPr="00197362">
        <w:rPr>
          <w:rFonts w:ascii="Arial" w:hAnsi="Arial" w:cs="Arial"/>
          <w:sz w:val="24"/>
          <w:szCs w:val="24"/>
          <w:lang w:val="en-ZA"/>
        </w:rPr>
        <w:t xml:space="preserve"> has not applied for condonation. I</w:t>
      </w:r>
      <w:r w:rsidR="00755B76" w:rsidRPr="00197362">
        <w:rPr>
          <w:rFonts w:ascii="Arial" w:hAnsi="Arial" w:cs="Arial"/>
          <w:sz w:val="24"/>
          <w:szCs w:val="24"/>
          <w:lang w:val="en-ZA"/>
        </w:rPr>
        <w:t xml:space="preserve">f one has regard to </w:t>
      </w:r>
      <w:r w:rsidR="00F069CC" w:rsidRPr="00197362">
        <w:rPr>
          <w:rFonts w:ascii="Arial" w:hAnsi="Arial" w:cs="Arial"/>
          <w:sz w:val="24"/>
          <w:szCs w:val="24"/>
          <w:lang w:val="en-ZA"/>
        </w:rPr>
        <w:t xml:space="preserve">the </w:t>
      </w:r>
      <w:r w:rsidR="00755B76" w:rsidRPr="00197362">
        <w:rPr>
          <w:rFonts w:ascii="Arial" w:hAnsi="Arial" w:cs="Arial"/>
          <w:sz w:val="24"/>
          <w:szCs w:val="24"/>
          <w:lang w:val="en-ZA"/>
        </w:rPr>
        <w:t>number of issues raised by the defendant in their</w:t>
      </w:r>
      <w:r w:rsidRPr="00197362">
        <w:rPr>
          <w:rFonts w:ascii="Arial" w:hAnsi="Arial" w:cs="Arial"/>
          <w:sz w:val="24"/>
          <w:szCs w:val="24"/>
          <w:lang w:val="en-ZA"/>
        </w:rPr>
        <w:t xml:space="preserve"> summary judgment</w:t>
      </w:r>
      <w:r w:rsidR="00197362" w:rsidRPr="00197362">
        <w:rPr>
          <w:rFonts w:ascii="Arial" w:hAnsi="Arial" w:cs="Arial"/>
          <w:sz w:val="24"/>
          <w:szCs w:val="24"/>
          <w:lang w:val="en-ZA"/>
        </w:rPr>
        <w:t xml:space="preserve"> </w:t>
      </w:r>
      <w:r w:rsidRPr="00197362">
        <w:rPr>
          <w:rFonts w:ascii="Arial" w:hAnsi="Arial" w:cs="Arial"/>
          <w:sz w:val="24"/>
          <w:szCs w:val="24"/>
          <w:lang w:val="en-ZA"/>
        </w:rPr>
        <w:t>opposing affidavit</w:t>
      </w:r>
      <w:r w:rsidR="00755B76" w:rsidRPr="00197362">
        <w:rPr>
          <w:rFonts w:ascii="Arial" w:hAnsi="Arial" w:cs="Arial"/>
          <w:sz w:val="24"/>
          <w:szCs w:val="24"/>
          <w:lang w:val="en-ZA"/>
        </w:rPr>
        <w:t>, the plaintiff had to</w:t>
      </w:r>
      <w:r w:rsidR="00197362" w:rsidRPr="00197362">
        <w:rPr>
          <w:rFonts w:ascii="Arial" w:hAnsi="Arial" w:cs="Arial"/>
          <w:sz w:val="24"/>
          <w:szCs w:val="24"/>
          <w:lang w:val="en-ZA"/>
        </w:rPr>
        <w:t xml:space="preserve"> </w:t>
      </w:r>
      <w:r w:rsidRPr="00197362">
        <w:rPr>
          <w:rFonts w:ascii="Arial" w:hAnsi="Arial" w:cs="Arial"/>
          <w:sz w:val="24"/>
          <w:szCs w:val="24"/>
          <w:lang w:val="en-ZA"/>
        </w:rPr>
        <w:t>respondent</w:t>
      </w:r>
      <w:r w:rsidR="00197362" w:rsidRPr="00197362">
        <w:rPr>
          <w:rFonts w:ascii="Arial" w:hAnsi="Arial" w:cs="Arial"/>
          <w:sz w:val="24"/>
          <w:szCs w:val="24"/>
          <w:lang w:val="en-ZA"/>
        </w:rPr>
        <w:t xml:space="preserve"> </w:t>
      </w:r>
      <w:r w:rsidR="00755B76" w:rsidRPr="00197362">
        <w:rPr>
          <w:rFonts w:ascii="Arial" w:hAnsi="Arial" w:cs="Arial"/>
          <w:sz w:val="24"/>
          <w:szCs w:val="24"/>
          <w:lang w:val="en-ZA"/>
        </w:rPr>
        <w:t>adequately</w:t>
      </w:r>
      <w:r w:rsidR="00197362" w:rsidRPr="00197362">
        <w:rPr>
          <w:rFonts w:ascii="Arial" w:hAnsi="Arial" w:cs="Arial"/>
          <w:sz w:val="24"/>
          <w:szCs w:val="24"/>
          <w:lang w:val="en-ZA"/>
        </w:rPr>
        <w:t xml:space="preserve"> </w:t>
      </w:r>
      <w:r w:rsidR="00755B76" w:rsidRPr="00197362">
        <w:rPr>
          <w:rFonts w:ascii="Arial" w:hAnsi="Arial" w:cs="Arial"/>
          <w:sz w:val="24"/>
          <w:szCs w:val="24"/>
          <w:lang w:val="en-ZA"/>
        </w:rPr>
        <w:t>to the issues raised by the defendant.</w:t>
      </w:r>
      <w:r w:rsidR="00197362" w:rsidRPr="00197362">
        <w:rPr>
          <w:rFonts w:ascii="Arial" w:hAnsi="Arial" w:cs="Arial"/>
          <w:sz w:val="24"/>
          <w:szCs w:val="24"/>
          <w:lang w:val="en-ZA"/>
        </w:rPr>
        <w:t xml:space="preserve"> </w:t>
      </w:r>
      <w:r w:rsidR="005D4458" w:rsidRPr="00197362">
        <w:rPr>
          <w:rFonts w:ascii="Arial" w:hAnsi="Arial" w:cs="Arial"/>
          <w:sz w:val="24"/>
          <w:szCs w:val="24"/>
          <w:lang w:val="en-ZA"/>
        </w:rPr>
        <w:t>The defendant was not prejudiced</w:t>
      </w:r>
      <w:r w:rsidR="00197362" w:rsidRPr="00197362">
        <w:rPr>
          <w:rFonts w:ascii="Arial" w:hAnsi="Arial" w:cs="Arial"/>
          <w:sz w:val="24"/>
          <w:szCs w:val="24"/>
          <w:lang w:val="en-ZA"/>
        </w:rPr>
        <w:t xml:space="preserve"> </w:t>
      </w:r>
      <w:r w:rsidR="005D4458" w:rsidRPr="00197362">
        <w:rPr>
          <w:rFonts w:ascii="Arial" w:hAnsi="Arial" w:cs="Arial"/>
          <w:sz w:val="24"/>
          <w:szCs w:val="24"/>
          <w:lang w:val="en-ZA"/>
        </w:rPr>
        <w:t>by</w:t>
      </w:r>
      <w:r w:rsidR="00197362" w:rsidRPr="00197362">
        <w:rPr>
          <w:rFonts w:ascii="Arial" w:hAnsi="Arial" w:cs="Arial"/>
          <w:sz w:val="24"/>
          <w:szCs w:val="24"/>
          <w:lang w:val="en-ZA"/>
        </w:rPr>
        <w:t xml:space="preserve"> </w:t>
      </w:r>
      <w:r w:rsidR="005D4458" w:rsidRPr="00197362">
        <w:rPr>
          <w:rFonts w:ascii="Arial" w:hAnsi="Arial" w:cs="Arial"/>
          <w:sz w:val="24"/>
          <w:szCs w:val="24"/>
          <w:lang w:val="en-ZA"/>
        </w:rPr>
        <w:t>the plaintiff exceeding</w:t>
      </w:r>
      <w:r w:rsidR="00197362" w:rsidRPr="00197362">
        <w:rPr>
          <w:rFonts w:ascii="Arial" w:hAnsi="Arial" w:cs="Arial"/>
          <w:sz w:val="24"/>
          <w:szCs w:val="24"/>
          <w:lang w:val="en-ZA"/>
        </w:rPr>
        <w:t xml:space="preserve"> </w:t>
      </w:r>
      <w:r w:rsidR="005D4458" w:rsidRPr="00197362">
        <w:rPr>
          <w:rFonts w:ascii="Arial" w:hAnsi="Arial" w:cs="Arial"/>
          <w:sz w:val="24"/>
          <w:szCs w:val="24"/>
          <w:lang w:val="en-ZA"/>
        </w:rPr>
        <w:t xml:space="preserve">the </w:t>
      </w:r>
      <w:r w:rsidRPr="00197362">
        <w:rPr>
          <w:rFonts w:ascii="Arial" w:hAnsi="Arial" w:cs="Arial"/>
          <w:sz w:val="24"/>
          <w:szCs w:val="24"/>
          <w:lang w:val="en-ZA"/>
        </w:rPr>
        <w:t xml:space="preserve">prescribed </w:t>
      </w:r>
      <w:r w:rsidR="005D4458" w:rsidRPr="00197362">
        <w:rPr>
          <w:rFonts w:ascii="Arial" w:hAnsi="Arial" w:cs="Arial"/>
          <w:sz w:val="24"/>
          <w:szCs w:val="24"/>
          <w:lang w:val="en-ZA"/>
        </w:rPr>
        <w:t>number</w:t>
      </w:r>
      <w:r w:rsidR="00197362" w:rsidRPr="00197362">
        <w:rPr>
          <w:rFonts w:ascii="Arial" w:hAnsi="Arial" w:cs="Arial"/>
          <w:sz w:val="24"/>
          <w:szCs w:val="24"/>
          <w:lang w:val="en-ZA"/>
        </w:rPr>
        <w:t xml:space="preserve"> </w:t>
      </w:r>
      <w:r w:rsidR="00F069CC" w:rsidRPr="00197362">
        <w:rPr>
          <w:rFonts w:ascii="Arial" w:hAnsi="Arial" w:cs="Arial"/>
          <w:sz w:val="24"/>
          <w:szCs w:val="24"/>
          <w:lang w:val="en-ZA"/>
        </w:rPr>
        <w:t xml:space="preserve">of </w:t>
      </w:r>
      <w:r w:rsidRPr="00197362">
        <w:rPr>
          <w:rFonts w:ascii="Arial" w:hAnsi="Arial" w:cs="Arial"/>
          <w:sz w:val="24"/>
          <w:szCs w:val="24"/>
          <w:lang w:val="en-ZA"/>
        </w:rPr>
        <w:t>pages of the heads</w:t>
      </w:r>
      <w:r w:rsidR="00197362" w:rsidRPr="00197362">
        <w:rPr>
          <w:rFonts w:ascii="Arial" w:hAnsi="Arial" w:cs="Arial"/>
          <w:sz w:val="24"/>
          <w:szCs w:val="24"/>
          <w:lang w:val="en-ZA"/>
        </w:rPr>
        <w:t xml:space="preserve"> </w:t>
      </w:r>
      <w:r w:rsidR="005D4458" w:rsidRPr="00197362">
        <w:rPr>
          <w:rFonts w:ascii="Arial" w:hAnsi="Arial" w:cs="Arial"/>
          <w:sz w:val="24"/>
          <w:szCs w:val="24"/>
          <w:lang w:val="en-ZA"/>
        </w:rPr>
        <w:t>by</w:t>
      </w:r>
      <w:r w:rsidR="00197362" w:rsidRPr="00197362">
        <w:rPr>
          <w:rFonts w:ascii="Arial" w:hAnsi="Arial" w:cs="Arial"/>
          <w:sz w:val="24"/>
          <w:szCs w:val="24"/>
          <w:lang w:val="en-ZA"/>
        </w:rPr>
        <w:t xml:space="preserve"> </w:t>
      </w:r>
      <w:r w:rsidR="004F4384">
        <w:rPr>
          <w:rFonts w:ascii="Arial" w:hAnsi="Arial" w:cs="Arial"/>
          <w:sz w:val="24"/>
          <w:szCs w:val="24"/>
          <w:lang w:val="en-ZA"/>
        </w:rPr>
        <w:t xml:space="preserve">supplementing with one </w:t>
      </w:r>
      <w:r w:rsidR="005D4458" w:rsidRPr="00197362">
        <w:rPr>
          <w:rFonts w:ascii="Arial" w:hAnsi="Arial" w:cs="Arial"/>
          <w:sz w:val="24"/>
          <w:szCs w:val="24"/>
          <w:lang w:val="en-ZA"/>
        </w:rPr>
        <w:t xml:space="preserve">additional </w:t>
      </w:r>
      <w:r w:rsidRPr="00197362">
        <w:rPr>
          <w:rFonts w:ascii="Arial" w:hAnsi="Arial" w:cs="Arial"/>
          <w:sz w:val="24"/>
          <w:szCs w:val="24"/>
          <w:lang w:val="en-ZA"/>
        </w:rPr>
        <w:t>page</w:t>
      </w:r>
      <w:r w:rsidR="005D4458" w:rsidRPr="00197362">
        <w:rPr>
          <w:rFonts w:ascii="Arial" w:hAnsi="Arial" w:cs="Arial"/>
          <w:sz w:val="24"/>
          <w:szCs w:val="24"/>
          <w:lang w:val="en-ZA"/>
        </w:rPr>
        <w:t>.</w:t>
      </w:r>
      <w:r w:rsidR="00197362" w:rsidRPr="00197362">
        <w:rPr>
          <w:rFonts w:ascii="Arial" w:hAnsi="Arial" w:cs="Arial"/>
          <w:sz w:val="24"/>
          <w:szCs w:val="24"/>
          <w:lang w:val="en-ZA"/>
        </w:rPr>
        <w:t xml:space="preserve"> </w:t>
      </w:r>
      <w:r w:rsidR="005D4458" w:rsidRPr="00197362">
        <w:rPr>
          <w:rFonts w:ascii="Arial" w:hAnsi="Arial" w:cs="Arial"/>
          <w:sz w:val="24"/>
          <w:szCs w:val="24"/>
          <w:lang w:val="en-ZA"/>
        </w:rPr>
        <w:t>Regarding the contention that the plaintiff failed to explain the delay for the condonation, I consider that</w:t>
      </w:r>
      <w:r w:rsidR="00197362" w:rsidRPr="00197362">
        <w:rPr>
          <w:rFonts w:ascii="Arial" w:hAnsi="Arial" w:cs="Arial"/>
          <w:sz w:val="24"/>
          <w:szCs w:val="24"/>
          <w:lang w:val="en-ZA"/>
        </w:rPr>
        <w:t xml:space="preserve"> </w:t>
      </w:r>
      <w:r w:rsidR="005D4458" w:rsidRPr="00197362">
        <w:rPr>
          <w:rFonts w:ascii="Arial" w:hAnsi="Arial" w:cs="Arial"/>
          <w:sz w:val="24"/>
          <w:szCs w:val="24"/>
          <w:lang w:val="en-ZA"/>
        </w:rPr>
        <w:t>the matter was struck off the role</w:t>
      </w:r>
      <w:r w:rsidR="00F069CC" w:rsidRPr="00197362">
        <w:rPr>
          <w:rFonts w:ascii="Arial" w:hAnsi="Arial" w:cs="Arial"/>
          <w:sz w:val="24"/>
          <w:szCs w:val="24"/>
          <w:lang w:val="en-ZA"/>
        </w:rPr>
        <w:t xml:space="preserve"> by order of the court</w:t>
      </w:r>
      <w:r w:rsidR="005D4458" w:rsidRPr="00197362">
        <w:rPr>
          <w:rFonts w:ascii="Arial" w:hAnsi="Arial" w:cs="Arial"/>
          <w:sz w:val="24"/>
          <w:szCs w:val="24"/>
          <w:lang w:val="en-ZA"/>
        </w:rPr>
        <w:t xml:space="preserve"> for no</w:t>
      </w:r>
      <w:r w:rsidR="004F4384">
        <w:rPr>
          <w:rFonts w:ascii="Arial" w:hAnsi="Arial" w:cs="Arial"/>
          <w:sz w:val="24"/>
          <w:szCs w:val="24"/>
          <w:lang w:val="en-ZA"/>
        </w:rPr>
        <w:t>t requesting</w:t>
      </w:r>
      <w:r w:rsidR="005D4458" w:rsidRPr="00197362">
        <w:rPr>
          <w:rFonts w:ascii="Arial" w:hAnsi="Arial" w:cs="Arial"/>
          <w:sz w:val="24"/>
          <w:szCs w:val="24"/>
          <w:lang w:val="en-ZA"/>
        </w:rPr>
        <w:t xml:space="preserve"> condonation</w:t>
      </w:r>
      <w:r w:rsidR="004F4384">
        <w:rPr>
          <w:rFonts w:ascii="Arial" w:hAnsi="Arial" w:cs="Arial"/>
          <w:sz w:val="24"/>
          <w:szCs w:val="24"/>
          <w:lang w:val="en-ZA"/>
        </w:rPr>
        <w:t xml:space="preserve"> for the noncompliance with the practice directive</w:t>
      </w:r>
      <w:r w:rsidR="00F069CC" w:rsidRPr="00197362">
        <w:rPr>
          <w:rFonts w:ascii="Arial" w:hAnsi="Arial" w:cs="Arial"/>
          <w:sz w:val="24"/>
          <w:szCs w:val="24"/>
          <w:lang w:val="en-ZA"/>
        </w:rPr>
        <w:t>,</w:t>
      </w:r>
      <w:r w:rsidR="005D4458" w:rsidRPr="00197362">
        <w:rPr>
          <w:rFonts w:ascii="Arial" w:hAnsi="Arial" w:cs="Arial"/>
          <w:sz w:val="24"/>
          <w:szCs w:val="24"/>
          <w:lang w:val="en-ZA"/>
        </w:rPr>
        <w:t xml:space="preserve"> and the plaintiff</w:t>
      </w:r>
      <w:r w:rsidR="00197362" w:rsidRPr="00197362">
        <w:rPr>
          <w:rFonts w:ascii="Arial" w:hAnsi="Arial" w:cs="Arial"/>
          <w:sz w:val="24"/>
          <w:szCs w:val="24"/>
          <w:lang w:val="en-ZA"/>
        </w:rPr>
        <w:t xml:space="preserve"> </w:t>
      </w:r>
      <w:r w:rsidR="005D4458" w:rsidRPr="00197362">
        <w:rPr>
          <w:rFonts w:ascii="Arial" w:hAnsi="Arial" w:cs="Arial"/>
          <w:sz w:val="24"/>
          <w:szCs w:val="24"/>
          <w:lang w:val="en-ZA"/>
        </w:rPr>
        <w:t>has complied with the court order and filed</w:t>
      </w:r>
      <w:r w:rsidR="00197362" w:rsidRPr="00197362">
        <w:rPr>
          <w:rFonts w:ascii="Arial" w:hAnsi="Arial" w:cs="Arial"/>
          <w:sz w:val="24"/>
          <w:szCs w:val="24"/>
          <w:lang w:val="en-ZA"/>
        </w:rPr>
        <w:t xml:space="preserve"> </w:t>
      </w:r>
      <w:r w:rsidR="004F4384">
        <w:rPr>
          <w:rFonts w:ascii="Arial" w:hAnsi="Arial" w:cs="Arial"/>
          <w:sz w:val="24"/>
          <w:szCs w:val="24"/>
          <w:lang w:val="en-ZA"/>
        </w:rPr>
        <w:t>a</w:t>
      </w:r>
      <w:r w:rsidR="004F4384" w:rsidRPr="00197362">
        <w:rPr>
          <w:rFonts w:ascii="Arial" w:hAnsi="Arial" w:cs="Arial"/>
          <w:sz w:val="24"/>
          <w:szCs w:val="24"/>
          <w:lang w:val="en-ZA"/>
        </w:rPr>
        <w:t xml:space="preserve"> </w:t>
      </w:r>
      <w:r w:rsidR="005D4458" w:rsidRPr="00197362">
        <w:rPr>
          <w:rFonts w:ascii="Arial" w:hAnsi="Arial" w:cs="Arial"/>
          <w:sz w:val="24"/>
          <w:szCs w:val="24"/>
          <w:lang w:val="en-ZA"/>
        </w:rPr>
        <w:t>condonation</w:t>
      </w:r>
      <w:r w:rsidR="004F4384">
        <w:rPr>
          <w:rFonts w:ascii="Arial" w:hAnsi="Arial" w:cs="Arial"/>
          <w:sz w:val="24"/>
          <w:szCs w:val="24"/>
          <w:lang w:val="en-ZA"/>
        </w:rPr>
        <w:t xml:space="preserve"> application</w:t>
      </w:r>
      <w:r w:rsidR="00F069CC" w:rsidRPr="00197362">
        <w:rPr>
          <w:rFonts w:ascii="Arial" w:hAnsi="Arial" w:cs="Arial"/>
          <w:sz w:val="24"/>
          <w:szCs w:val="24"/>
          <w:lang w:val="en-ZA"/>
        </w:rPr>
        <w:t>. In the application for condonation the plaintiff has adequately explained</w:t>
      </w:r>
      <w:r w:rsidR="00197362" w:rsidRPr="00197362">
        <w:rPr>
          <w:rFonts w:ascii="Arial" w:hAnsi="Arial" w:cs="Arial"/>
          <w:sz w:val="24"/>
          <w:szCs w:val="24"/>
          <w:lang w:val="en-ZA"/>
        </w:rPr>
        <w:t xml:space="preserve"> </w:t>
      </w:r>
      <w:r w:rsidR="00F069CC" w:rsidRPr="00197362">
        <w:rPr>
          <w:rFonts w:ascii="Arial" w:hAnsi="Arial" w:cs="Arial"/>
          <w:sz w:val="24"/>
          <w:szCs w:val="24"/>
          <w:lang w:val="en-ZA"/>
        </w:rPr>
        <w:t>the reasons for their failure</w:t>
      </w:r>
      <w:r w:rsidR="005D4458" w:rsidRPr="00197362">
        <w:rPr>
          <w:rFonts w:ascii="Arial" w:hAnsi="Arial" w:cs="Arial"/>
          <w:sz w:val="24"/>
          <w:szCs w:val="24"/>
          <w:lang w:val="en-ZA"/>
        </w:rPr>
        <w:t xml:space="preserve"> to strictly comply with the directive.</w:t>
      </w:r>
    </w:p>
    <w:p w14:paraId="7A643112" w14:textId="77777777" w:rsidR="005D4458" w:rsidRPr="00197362" w:rsidRDefault="005D4458" w:rsidP="00197362">
      <w:pPr>
        <w:spacing w:after="0" w:line="360" w:lineRule="auto"/>
        <w:jc w:val="both"/>
        <w:rPr>
          <w:rFonts w:ascii="Arial" w:hAnsi="Arial" w:cs="Arial"/>
          <w:sz w:val="24"/>
          <w:szCs w:val="24"/>
          <w:lang w:val="en-ZA"/>
        </w:rPr>
      </w:pPr>
    </w:p>
    <w:p w14:paraId="02C9ACAB" w14:textId="42FDF07F" w:rsidR="006E2ACE" w:rsidRPr="00197362" w:rsidRDefault="008C7F5A" w:rsidP="00197362">
      <w:pPr>
        <w:spacing w:after="0" w:line="360" w:lineRule="auto"/>
        <w:jc w:val="both"/>
        <w:rPr>
          <w:rFonts w:ascii="Arial" w:hAnsi="Arial" w:cs="Arial"/>
          <w:sz w:val="24"/>
          <w:szCs w:val="24"/>
          <w:lang w:val="en-ZA"/>
        </w:rPr>
      </w:pPr>
      <w:r w:rsidRPr="00197362">
        <w:rPr>
          <w:rFonts w:ascii="Arial" w:hAnsi="Arial" w:cs="Arial"/>
          <w:sz w:val="24"/>
          <w:szCs w:val="24"/>
          <w:lang w:val="en-ZA"/>
        </w:rPr>
        <w:t>[7]</w:t>
      </w:r>
      <w:r w:rsidRPr="00197362">
        <w:rPr>
          <w:rFonts w:ascii="Arial" w:hAnsi="Arial" w:cs="Arial"/>
          <w:sz w:val="24"/>
          <w:szCs w:val="24"/>
          <w:lang w:val="en-ZA"/>
        </w:rPr>
        <w:tab/>
      </w:r>
      <w:r w:rsidR="005D4458" w:rsidRPr="00197362">
        <w:rPr>
          <w:rFonts w:ascii="Arial" w:hAnsi="Arial" w:cs="Arial"/>
          <w:sz w:val="24"/>
          <w:szCs w:val="24"/>
          <w:lang w:val="en-ZA"/>
        </w:rPr>
        <w:t>In my view</w:t>
      </w:r>
      <w:r w:rsidR="004F4384">
        <w:rPr>
          <w:rFonts w:ascii="Arial" w:hAnsi="Arial" w:cs="Arial"/>
          <w:sz w:val="24"/>
          <w:szCs w:val="24"/>
          <w:lang w:val="en-ZA"/>
        </w:rPr>
        <w:t>,</w:t>
      </w:r>
      <w:r w:rsidR="005D4458" w:rsidRPr="00197362">
        <w:rPr>
          <w:rFonts w:ascii="Arial" w:hAnsi="Arial" w:cs="Arial"/>
          <w:sz w:val="24"/>
          <w:szCs w:val="24"/>
          <w:lang w:val="en-ZA"/>
        </w:rPr>
        <w:t xml:space="preserve"> the plaintiff’s explanation</w:t>
      </w:r>
      <w:r w:rsidR="00197362" w:rsidRPr="00197362">
        <w:rPr>
          <w:rFonts w:ascii="Arial" w:hAnsi="Arial" w:cs="Arial"/>
          <w:sz w:val="24"/>
          <w:szCs w:val="24"/>
          <w:lang w:val="en-ZA"/>
        </w:rPr>
        <w:t xml:space="preserve"> </w:t>
      </w:r>
      <w:r w:rsidR="005D4458" w:rsidRPr="00197362">
        <w:rPr>
          <w:rFonts w:ascii="Arial" w:hAnsi="Arial" w:cs="Arial"/>
          <w:sz w:val="24"/>
          <w:szCs w:val="24"/>
          <w:lang w:val="en-ZA"/>
        </w:rPr>
        <w:t>is reasonable</w:t>
      </w:r>
      <w:r w:rsidRPr="00197362">
        <w:rPr>
          <w:rFonts w:ascii="Arial" w:hAnsi="Arial" w:cs="Arial"/>
          <w:sz w:val="24"/>
          <w:szCs w:val="24"/>
          <w:lang w:val="en-ZA"/>
        </w:rPr>
        <w:t xml:space="preserve">. </w:t>
      </w:r>
      <w:r w:rsidR="007D180C" w:rsidRPr="00197362">
        <w:rPr>
          <w:rFonts w:ascii="Arial" w:hAnsi="Arial" w:cs="Arial"/>
          <w:sz w:val="24"/>
          <w:szCs w:val="24"/>
          <w:lang w:val="en-ZA"/>
        </w:rPr>
        <w:t>Therefore,</w:t>
      </w:r>
      <w:r w:rsidR="00197362" w:rsidRPr="00197362">
        <w:rPr>
          <w:rFonts w:ascii="Arial" w:hAnsi="Arial" w:cs="Arial"/>
          <w:sz w:val="24"/>
          <w:szCs w:val="24"/>
          <w:lang w:val="en-ZA"/>
        </w:rPr>
        <w:t xml:space="preserve"> </w:t>
      </w:r>
      <w:r w:rsidRPr="00197362">
        <w:rPr>
          <w:rFonts w:ascii="Arial" w:hAnsi="Arial" w:cs="Arial"/>
          <w:sz w:val="24"/>
          <w:szCs w:val="24"/>
          <w:lang w:val="en-ZA"/>
        </w:rPr>
        <w:t xml:space="preserve">condonation for </w:t>
      </w:r>
      <w:r w:rsidR="007D180C" w:rsidRPr="00197362">
        <w:rPr>
          <w:rFonts w:ascii="Arial" w:hAnsi="Arial" w:cs="Arial"/>
          <w:sz w:val="24"/>
          <w:szCs w:val="24"/>
          <w:lang w:val="en-ZA"/>
        </w:rPr>
        <w:t>noncompliance</w:t>
      </w:r>
      <w:r w:rsidRPr="00197362">
        <w:rPr>
          <w:rFonts w:ascii="Arial" w:hAnsi="Arial" w:cs="Arial"/>
          <w:sz w:val="24"/>
          <w:szCs w:val="24"/>
          <w:lang w:val="en-ZA"/>
        </w:rPr>
        <w:t xml:space="preserve"> with the practice manual is granted and there is no order as to costs. This brings me to the main application for summary judgment.</w:t>
      </w:r>
    </w:p>
    <w:p w14:paraId="5D51EA3B" w14:textId="3AC4BB20" w:rsidR="00995E9A" w:rsidRPr="00197362" w:rsidRDefault="003B3E18" w:rsidP="00197362">
      <w:pPr>
        <w:spacing w:after="0" w:line="360" w:lineRule="auto"/>
        <w:jc w:val="both"/>
        <w:rPr>
          <w:rFonts w:ascii="Arial" w:hAnsi="Arial" w:cs="Arial"/>
          <w:b/>
          <w:bCs/>
          <w:sz w:val="24"/>
          <w:szCs w:val="24"/>
          <w:lang w:val="en-ZA"/>
        </w:rPr>
      </w:pPr>
      <w:r w:rsidRPr="00197362">
        <w:rPr>
          <w:rFonts w:ascii="Arial" w:hAnsi="Arial" w:cs="Arial"/>
          <w:b/>
          <w:bCs/>
          <w:sz w:val="24"/>
          <w:szCs w:val="24"/>
          <w:lang w:val="en-ZA"/>
        </w:rPr>
        <w:lastRenderedPageBreak/>
        <w:t>Background</w:t>
      </w:r>
    </w:p>
    <w:p w14:paraId="69337BF7" w14:textId="4549918D" w:rsidR="00CA0F48" w:rsidRPr="00197362" w:rsidRDefault="00995E9A" w:rsidP="00197362">
      <w:pPr>
        <w:spacing w:after="0" w:line="360" w:lineRule="auto"/>
        <w:jc w:val="both"/>
        <w:rPr>
          <w:rFonts w:ascii="Arial" w:hAnsi="Arial" w:cs="Arial"/>
          <w:sz w:val="24"/>
          <w:szCs w:val="24"/>
          <w:lang w:val="en-ZA"/>
        </w:rPr>
      </w:pPr>
      <w:r w:rsidRPr="00197362">
        <w:rPr>
          <w:rFonts w:ascii="Arial" w:hAnsi="Arial" w:cs="Arial"/>
          <w:sz w:val="24"/>
          <w:szCs w:val="24"/>
          <w:lang w:val="en-ZA"/>
        </w:rPr>
        <w:t>[</w:t>
      </w:r>
      <w:r w:rsidR="008C7F5A" w:rsidRPr="00197362">
        <w:rPr>
          <w:rFonts w:ascii="Arial" w:hAnsi="Arial" w:cs="Arial"/>
          <w:sz w:val="24"/>
          <w:szCs w:val="24"/>
          <w:lang w:val="en-ZA"/>
        </w:rPr>
        <w:t>9</w:t>
      </w:r>
      <w:r w:rsidRPr="00197362">
        <w:rPr>
          <w:rFonts w:ascii="Arial" w:hAnsi="Arial" w:cs="Arial"/>
          <w:sz w:val="24"/>
          <w:szCs w:val="24"/>
          <w:lang w:val="en-ZA"/>
        </w:rPr>
        <w:t>]</w:t>
      </w:r>
      <w:r w:rsidR="00197362" w:rsidRPr="00197362">
        <w:rPr>
          <w:rFonts w:ascii="Arial" w:hAnsi="Arial" w:cs="Arial"/>
          <w:sz w:val="24"/>
          <w:szCs w:val="24"/>
          <w:lang w:val="en-ZA"/>
        </w:rPr>
        <w:t xml:space="preserve"> </w:t>
      </w:r>
      <w:r w:rsidR="007D180C" w:rsidRPr="00197362">
        <w:rPr>
          <w:rFonts w:ascii="Arial" w:hAnsi="Arial" w:cs="Arial"/>
          <w:sz w:val="24"/>
          <w:szCs w:val="24"/>
          <w:lang w:val="en-ZA"/>
        </w:rPr>
        <w:tab/>
      </w:r>
      <w:r w:rsidR="00815C12" w:rsidRPr="00197362">
        <w:rPr>
          <w:rFonts w:ascii="Arial" w:hAnsi="Arial" w:cs="Arial"/>
          <w:sz w:val="24"/>
          <w:szCs w:val="24"/>
          <w:lang w:val="en-ZA"/>
        </w:rPr>
        <w:t>On 12 October 2020</w:t>
      </w:r>
      <w:r w:rsidR="00487DF3">
        <w:rPr>
          <w:rFonts w:ascii="Arial" w:hAnsi="Arial" w:cs="Arial"/>
          <w:sz w:val="24"/>
          <w:szCs w:val="24"/>
          <w:lang w:val="en-ZA"/>
        </w:rPr>
        <w:t>,</w:t>
      </w:r>
      <w:r w:rsidR="00815C12" w:rsidRPr="00197362">
        <w:rPr>
          <w:rFonts w:ascii="Arial" w:hAnsi="Arial" w:cs="Arial"/>
          <w:sz w:val="24"/>
          <w:szCs w:val="24"/>
          <w:lang w:val="en-ZA"/>
        </w:rPr>
        <w:t xml:space="preserve"> in Durban</w:t>
      </w:r>
      <w:r w:rsidR="00487DF3">
        <w:rPr>
          <w:rFonts w:ascii="Arial" w:hAnsi="Arial" w:cs="Arial"/>
          <w:sz w:val="24"/>
          <w:szCs w:val="24"/>
          <w:lang w:val="en-ZA"/>
        </w:rPr>
        <w:t>,</w:t>
      </w:r>
      <w:r w:rsidR="00815C12" w:rsidRPr="00197362">
        <w:rPr>
          <w:rFonts w:ascii="Arial" w:hAnsi="Arial" w:cs="Arial"/>
          <w:sz w:val="24"/>
          <w:szCs w:val="24"/>
          <w:lang w:val="en-ZA"/>
        </w:rPr>
        <w:t xml:space="preserve"> the</w:t>
      </w:r>
      <w:r w:rsidR="00601FF3" w:rsidRPr="00197362">
        <w:rPr>
          <w:rFonts w:ascii="Arial" w:hAnsi="Arial" w:cs="Arial"/>
          <w:sz w:val="24"/>
          <w:szCs w:val="24"/>
          <w:lang w:val="en-ZA"/>
        </w:rPr>
        <w:t xml:space="preserve"> plaintiff</w:t>
      </w:r>
      <w:r w:rsidR="00815C12" w:rsidRPr="00197362">
        <w:rPr>
          <w:rFonts w:ascii="Arial" w:hAnsi="Arial" w:cs="Arial"/>
          <w:sz w:val="24"/>
          <w:szCs w:val="24"/>
          <w:lang w:val="en-ZA"/>
        </w:rPr>
        <w:t xml:space="preserve"> and the</w:t>
      </w:r>
      <w:r w:rsidR="00601FF3" w:rsidRPr="00197362">
        <w:rPr>
          <w:rFonts w:ascii="Arial" w:hAnsi="Arial" w:cs="Arial"/>
          <w:sz w:val="24"/>
          <w:szCs w:val="24"/>
          <w:lang w:val="en-ZA"/>
        </w:rPr>
        <w:t xml:space="preserve"> defendant </w:t>
      </w:r>
      <w:r w:rsidR="00815C12" w:rsidRPr="00197362">
        <w:rPr>
          <w:rFonts w:ascii="Arial" w:hAnsi="Arial" w:cs="Arial"/>
          <w:sz w:val="24"/>
          <w:szCs w:val="24"/>
          <w:lang w:val="en-ZA"/>
        </w:rPr>
        <w:t>entered into</w:t>
      </w:r>
      <w:r w:rsidR="00197362" w:rsidRPr="00197362">
        <w:rPr>
          <w:rFonts w:ascii="Arial" w:hAnsi="Arial" w:cs="Arial"/>
          <w:sz w:val="24"/>
          <w:szCs w:val="24"/>
          <w:lang w:val="en-ZA"/>
        </w:rPr>
        <w:t xml:space="preserve"> </w:t>
      </w:r>
      <w:r w:rsidR="00601FF3" w:rsidRPr="00197362">
        <w:rPr>
          <w:rFonts w:ascii="Arial" w:hAnsi="Arial" w:cs="Arial"/>
          <w:sz w:val="24"/>
          <w:szCs w:val="24"/>
          <w:lang w:val="en-ZA"/>
        </w:rPr>
        <w:t>an</w:t>
      </w:r>
      <w:r w:rsidR="00815C12" w:rsidRPr="00197362">
        <w:rPr>
          <w:rFonts w:ascii="Arial" w:hAnsi="Arial" w:cs="Arial"/>
          <w:sz w:val="24"/>
          <w:szCs w:val="24"/>
          <w:lang w:val="en-ZA"/>
        </w:rPr>
        <w:t xml:space="preserve"> agreement</w:t>
      </w:r>
      <w:r w:rsidR="00601FF3" w:rsidRPr="00197362">
        <w:rPr>
          <w:rFonts w:ascii="Arial" w:hAnsi="Arial" w:cs="Arial"/>
          <w:sz w:val="24"/>
          <w:szCs w:val="24"/>
          <w:lang w:val="en-ZA"/>
        </w:rPr>
        <w:t xml:space="preserve"> of sale, in</w:t>
      </w:r>
      <w:r w:rsidR="00197362" w:rsidRPr="00197362">
        <w:rPr>
          <w:rFonts w:ascii="Arial" w:hAnsi="Arial" w:cs="Arial"/>
          <w:sz w:val="24"/>
          <w:szCs w:val="24"/>
          <w:lang w:val="en-ZA"/>
        </w:rPr>
        <w:t xml:space="preserve"> </w:t>
      </w:r>
      <w:r w:rsidR="00815C12" w:rsidRPr="00197362">
        <w:rPr>
          <w:rFonts w:ascii="Arial" w:hAnsi="Arial" w:cs="Arial"/>
          <w:sz w:val="24"/>
          <w:szCs w:val="24"/>
          <w:lang w:val="en-ZA"/>
        </w:rPr>
        <w:t>terms of which the</w:t>
      </w:r>
      <w:r w:rsidR="00197362" w:rsidRPr="00197362">
        <w:rPr>
          <w:rFonts w:ascii="Arial" w:hAnsi="Arial" w:cs="Arial"/>
          <w:sz w:val="24"/>
          <w:szCs w:val="24"/>
          <w:lang w:val="en-ZA"/>
        </w:rPr>
        <w:t xml:space="preserve"> </w:t>
      </w:r>
      <w:r w:rsidR="00601FF3" w:rsidRPr="00197362">
        <w:rPr>
          <w:rFonts w:ascii="Arial" w:hAnsi="Arial" w:cs="Arial"/>
          <w:sz w:val="24"/>
          <w:szCs w:val="24"/>
          <w:lang w:val="en-ZA"/>
        </w:rPr>
        <w:t>plaintiff</w:t>
      </w:r>
      <w:r w:rsidR="00197362" w:rsidRPr="00197362">
        <w:rPr>
          <w:rFonts w:ascii="Arial" w:hAnsi="Arial" w:cs="Arial"/>
          <w:sz w:val="24"/>
          <w:szCs w:val="24"/>
          <w:lang w:val="en-ZA"/>
        </w:rPr>
        <w:t xml:space="preserve"> </w:t>
      </w:r>
      <w:r w:rsidR="00815C12" w:rsidRPr="00197362">
        <w:rPr>
          <w:rFonts w:ascii="Arial" w:hAnsi="Arial" w:cs="Arial"/>
          <w:sz w:val="24"/>
          <w:szCs w:val="24"/>
          <w:lang w:val="en-ZA"/>
        </w:rPr>
        <w:t>sold</w:t>
      </w:r>
      <w:r w:rsidR="00197362" w:rsidRPr="00197362">
        <w:rPr>
          <w:rFonts w:ascii="Arial" w:hAnsi="Arial" w:cs="Arial"/>
          <w:sz w:val="24"/>
          <w:szCs w:val="24"/>
          <w:lang w:val="en-ZA"/>
        </w:rPr>
        <w:t xml:space="preserve"> </w:t>
      </w:r>
      <w:r w:rsidR="00601FF3" w:rsidRPr="00197362">
        <w:rPr>
          <w:rFonts w:ascii="Arial" w:hAnsi="Arial" w:cs="Arial"/>
          <w:sz w:val="24"/>
          <w:szCs w:val="24"/>
          <w:lang w:val="en-ZA"/>
        </w:rPr>
        <w:t>and delivered</w:t>
      </w:r>
      <w:r w:rsidR="00197362" w:rsidRPr="00197362">
        <w:rPr>
          <w:rFonts w:ascii="Arial" w:hAnsi="Arial" w:cs="Arial"/>
          <w:sz w:val="24"/>
          <w:szCs w:val="24"/>
          <w:lang w:val="en-ZA"/>
        </w:rPr>
        <w:t xml:space="preserve"> </w:t>
      </w:r>
      <w:r w:rsidR="00601FF3" w:rsidRPr="00197362">
        <w:rPr>
          <w:rFonts w:ascii="Arial" w:hAnsi="Arial" w:cs="Arial"/>
          <w:sz w:val="24"/>
          <w:szCs w:val="24"/>
          <w:lang w:val="en-ZA"/>
        </w:rPr>
        <w:t xml:space="preserve">to the defendant </w:t>
      </w:r>
      <w:r w:rsidR="008C7F5A" w:rsidRPr="00197362">
        <w:rPr>
          <w:rFonts w:ascii="Arial" w:hAnsi="Arial" w:cs="Arial"/>
          <w:sz w:val="24"/>
          <w:szCs w:val="24"/>
          <w:lang w:val="en-ZA"/>
        </w:rPr>
        <w:t>a</w:t>
      </w:r>
      <w:r w:rsidR="00815C12" w:rsidRPr="00197362">
        <w:rPr>
          <w:rFonts w:ascii="Arial" w:hAnsi="Arial" w:cs="Arial"/>
          <w:sz w:val="24"/>
          <w:szCs w:val="24"/>
          <w:lang w:val="en-ZA"/>
        </w:rPr>
        <w:t xml:space="preserve"> Land Rover Discovery</w:t>
      </w:r>
      <w:r w:rsidR="00197362" w:rsidRPr="00197362">
        <w:rPr>
          <w:rFonts w:ascii="Arial" w:hAnsi="Arial" w:cs="Arial"/>
          <w:sz w:val="24"/>
          <w:szCs w:val="24"/>
          <w:lang w:val="en-ZA"/>
        </w:rPr>
        <w:t xml:space="preserve"> </w:t>
      </w:r>
      <w:r w:rsidR="00601FF3" w:rsidRPr="00197362">
        <w:rPr>
          <w:rFonts w:ascii="Arial" w:hAnsi="Arial" w:cs="Arial"/>
          <w:sz w:val="24"/>
          <w:szCs w:val="24"/>
          <w:lang w:val="en-ZA"/>
        </w:rPr>
        <w:t>vehicle</w:t>
      </w:r>
      <w:r w:rsidR="00487DF3">
        <w:rPr>
          <w:rFonts w:ascii="Arial" w:hAnsi="Arial" w:cs="Arial"/>
          <w:sz w:val="24"/>
          <w:szCs w:val="24"/>
          <w:lang w:val="en-ZA"/>
        </w:rPr>
        <w:t xml:space="preserve"> (the vehicle)</w:t>
      </w:r>
      <w:r w:rsidR="00601FF3" w:rsidRPr="00197362">
        <w:rPr>
          <w:rFonts w:ascii="Arial" w:hAnsi="Arial" w:cs="Arial"/>
          <w:sz w:val="24"/>
          <w:szCs w:val="24"/>
          <w:lang w:val="en-ZA"/>
        </w:rPr>
        <w:t>.</w:t>
      </w:r>
      <w:r w:rsidR="00815C12" w:rsidRPr="00197362">
        <w:rPr>
          <w:rFonts w:ascii="Arial" w:hAnsi="Arial" w:cs="Arial"/>
          <w:sz w:val="24"/>
          <w:szCs w:val="24"/>
          <w:lang w:val="en-ZA"/>
        </w:rPr>
        <w:t xml:space="preserve"> </w:t>
      </w:r>
      <w:r w:rsidR="00601FF3" w:rsidRPr="00197362">
        <w:rPr>
          <w:rFonts w:ascii="Arial" w:hAnsi="Arial" w:cs="Arial"/>
          <w:sz w:val="24"/>
          <w:szCs w:val="24"/>
          <w:lang w:val="en-ZA"/>
        </w:rPr>
        <w:t>The</w:t>
      </w:r>
      <w:r w:rsidR="00CA0F48" w:rsidRPr="00197362">
        <w:rPr>
          <w:rFonts w:ascii="Arial" w:hAnsi="Arial" w:cs="Arial"/>
          <w:sz w:val="24"/>
          <w:szCs w:val="24"/>
          <w:lang w:val="en-ZA"/>
        </w:rPr>
        <w:t xml:space="preserve"> total costs for t</w:t>
      </w:r>
      <w:r w:rsidR="00601FF3" w:rsidRPr="00197362">
        <w:rPr>
          <w:rFonts w:ascii="Arial" w:hAnsi="Arial" w:cs="Arial"/>
          <w:sz w:val="24"/>
          <w:szCs w:val="24"/>
          <w:lang w:val="en-ZA"/>
        </w:rPr>
        <w:t>he vehicle</w:t>
      </w:r>
      <w:r w:rsidR="00CA0F48" w:rsidRPr="00197362">
        <w:rPr>
          <w:rFonts w:ascii="Arial" w:hAnsi="Arial" w:cs="Arial"/>
          <w:sz w:val="24"/>
          <w:szCs w:val="24"/>
          <w:lang w:val="en-ZA"/>
        </w:rPr>
        <w:t xml:space="preserve"> </w:t>
      </w:r>
      <w:r w:rsidR="007D180C" w:rsidRPr="00197362">
        <w:rPr>
          <w:rFonts w:ascii="Arial" w:hAnsi="Arial" w:cs="Arial"/>
          <w:sz w:val="24"/>
          <w:szCs w:val="24"/>
          <w:lang w:val="en-ZA"/>
        </w:rPr>
        <w:t>were</w:t>
      </w:r>
      <w:r w:rsidR="00CA0F48" w:rsidRPr="00197362">
        <w:rPr>
          <w:rFonts w:ascii="Arial" w:hAnsi="Arial" w:cs="Arial"/>
          <w:sz w:val="24"/>
          <w:szCs w:val="24"/>
          <w:lang w:val="en-ZA"/>
        </w:rPr>
        <w:t xml:space="preserve"> </w:t>
      </w:r>
      <w:r w:rsidR="00487DF3">
        <w:rPr>
          <w:rFonts w:ascii="Arial" w:hAnsi="Arial" w:cs="Arial"/>
          <w:sz w:val="24"/>
          <w:szCs w:val="24"/>
          <w:lang w:val="en-ZA"/>
        </w:rPr>
        <w:t>R467 677. 32</w:t>
      </w:r>
      <w:r w:rsidR="00601FF3" w:rsidRPr="00197362">
        <w:rPr>
          <w:rFonts w:ascii="Arial" w:hAnsi="Arial" w:cs="Arial"/>
          <w:sz w:val="24"/>
          <w:szCs w:val="24"/>
          <w:lang w:val="en-ZA"/>
        </w:rPr>
        <w:t>(</w:t>
      </w:r>
      <w:r w:rsidR="00487DF3">
        <w:rPr>
          <w:rFonts w:ascii="Arial" w:hAnsi="Arial" w:cs="Arial"/>
          <w:sz w:val="24"/>
          <w:szCs w:val="24"/>
          <w:lang w:val="en-ZA"/>
        </w:rPr>
        <w:t>f</w:t>
      </w:r>
      <w:r w:rsidR="00487DF3" w:rsidRPr="00197362">
        <w:rPr>
          <w:rFonts w:ascii="Arial" w:hAnsi="Arial" w:cs="Arial"/>
          <w:sz w:val="24"/>
          <w:szCs w:val="24"/>
          <w:lang w:val="en-ZA"/>
        </w:rPr>
        <w:t xml:space="preserve">our </w:t>
      </w:r>
      <w:r w:rsidR="00601FF3" w:rsidRPr="00197362">
        <w:rPr>
          <w:rFonts w:ascii="Arial" w:hAnsi="Arial" w:cs="Arial"/>
          <w:sz w:val="24"/>
          <w:szCs w:val="24"/>
          <w:lang w:val="en-ZA"/>
        </w:rPr>
        <w:t xml:space="preserve">hundred and </w:t>
      </w:r>
      <w:r w:rsidR="007D180C" w:rsidRPr="00197362">
        <w:rPr>
          <w:rFonts w:ascii="Arial" w:hAnsi="Arial" w:cs="Arial"/>
          <w:sz w:val="24"/>
          <w:szCs w:val="24"/>
          <w:lang w:val="en-ZA"/>
        </w:rPr>
        <w:t>sixty-seven</w:t>
      </w:r>
      <w:r w:rsidR="00601FF3" w:rsidRPr="00197362">
        <w:rPr>
          <w:rFonts w:ascii="Arial" w:hAnsi="Arial" w:cs="Arial"/>
          <w:sz w:val="24"/>
          <w:szCs w:val="24"/>
          <w:lang w:val="en-ZA"/>
        </w:rPr>
        <w:t xml:space="preserve"> thousand</w:t>
      </w:r>
      <w:r w:rsidR="00C5071D" w:rsidRPr="00197362">
        <w:rPr>
          <w:rFonts w:ascii="Arial" w:hAnsi="Arial" w:cs="Arial"/>
          <w:sz w:val="24"/>
          <w:szCs w:val="24"/>
          <w:lang w:val="en-ZA"/>
        </w:rPr>
        <w:t>,</w:t>
      </w:r>
      <w:r w:rsidR="00601FF3" w:rsidRPr="00197362">
        <w:rPr>
          <w:rFonts w:ascii="Arial" w:hAnsi="Arial" w:cs="Arial"/>
          <w:sz w:val="24"/>
          <w:szCs w:val="24"/>
          <w:lang w:val="en-ZA"/>
        </w:rPr>
        <w:t xml:space="preserve"> six hundred and </w:t>
      </w:r>
      <w:r w:rsidR="007D180C" w:rsidRPr="00197362">
        <w:rPr>
          <w:rFonts w:ascii="Arial" w:hAnsi="Arial" w:cs="Arial"/>
          <w:sz w:val="24"/>
          <w:szCs w:val="24"/>
          <w:lang w:val="en-ZA"/>
        </w:rPr>
        <w:t>seventy-seven</w:t>
      </w:r>
      <w:r w:rsidR="00601FF3" w:rsidRPr="00197362">
        <w:rPr>
          <w:rFonts w:ascii="Arial" w:hAnsi="Arial" w:cs="Arial"/>
          <w:sz w:val="24"/>
          <w:szCs w:val="24"/>
          <w:lang w:val="en-ZA"/>
        </w:rPr>
        <w:t xml:space="preserve"> rand</w:t>
      </w:r>
      <w:r w:rsidR="00487DF3">
        <w:rPr>
          <w:rFonts w:ascii="Arial" w:hAnsi="Arial" w:cs="Arial"/>
          <w:sz w:val="24"/>
          <w:szCs w:val="24"/>
          <w:lang w:val="en-ZA"/>
        </w:rPr>
        <w:t>,</w:t>
      </w:r>
      <w:r w:rsidR="00197362" w:rsidRPr="00197362">
        <w:rPr>
          <w:rFonts w:ascii="Arial" w:hAnsi="Arial" w:cs="Arial"/>
          <w:sz w:val="24"/>
          <w:szCs w:val="24"/>
          <w:lang w:val="en-ZA"/>
        </w:rPr>
        <w:t xml:space="preserve"> </w:t>
      </w:r>
      <w:r w:rsidR="00601FF3" w:rsidRPr="00197362">
        <w:rPr>
          <w:rFonts w:ascii="Arial" w:hAnsi="Arial" w:cs="Arial"/>
          <w:sz w:val="24"/>
          <w:szCs w:val="24"/>
          <w:lang w:val="en-ZA"/>
        </w:rPr>
        <w:t xml:space="preserve">and </w:t>
      </w:r>
      <w:r w:rsidR="007D180C" w:rsidRPr="00197362">
        <w:rPr>
          <w:rFonts w:ascii="Arial" w:hAnsi="Arial" w:cs="Arial"/>
          <w:sz w:val="24"/>
          <w:szCs w:val="24"/>
          <w:lang w:val="en-ZA"/>
        </w:rPr>
        <w:t>thirty-two</w:t>
      </w:r>
      <w:r w:rsidR="00601FF3" w:rsidRPr="00197362">
        <w:rPr>
          <w:rFonts w:ascii="Arial" w:hAnsi="Arial" w:cs="Arial"/>
          <w:sz w:val="24"/>
          <w:szCs w:val="24"/>
          <w:lang w:val="en-ZA"/>
        </w:rPr>
        <w:t xml:space="preserve"> cents)</w:t>
      </w:r>
      <w:r w:rsidR="00CA0F48" w:rsidRPr="00197362">
        <w:rPr>
          <w:rFonts w:ascii="Arial" w:hAnsi="Arial" w:cs="Arial"/>
          <w:sz w:val="24"/>
          <w:szCs w:val="24"/>
          <w:lang w:val="en-ZA"/>
        </w:rPr>
        <w:t xml:space="preserve">. The </w:t>
      </w:r>
      <w:r w:rsidR="00C5071D" w:rsidRPr="00197362">
        <w:rPr>
          <w:rFonts w:ascii="Arial" w:hAnsi="Arial" w:cs="Arial"/>
          <w:sz w:val="24"/>
          <w:szCs w:val="24"/>
          <w:lang w:val="en-ZA"/>
        </w:rPr>
        <w:t>amount</w:t>
      </w:r>
      <w:r w:rsidR="00CA0F48" w:rsidRPr="00197362">
        <w:rPr>
          <w:rFonts w:ascii="Arial" w:hAnsi="Arial" w:cs="Arial"/>
          <w:sz w:val="24"/>
          <w:szCs w:val="24"/>
          <w:lang w:val="en-ZA"/>
        </w:rPr>
        <w:t xml:space="preserve"> was payable by way of m</w:t>
      </w:r>
      <w:r w:rsidR="004A2755" w:rsidRPr="00197362">
        <w:rPr>
          <w:rFonts w:ascii="Arial" w:hAnsi="Arial" w:cs="Arial"/>
          <w:sz w:val="24"/>
          <w:szCs w:val="24"/>
          <w:lang w:val="en-ZA"/>
        </w:rPr>
        <w:t>o</w:t>
      </w:r>
      <w:r w:rsidR="00CA0F48" w:rsidRPr="00197362">
        <w:rPr>
          <w:rFonts w:ascii="Arial" w:hAnsi="Arial" w:cs="Arial"/>
          <w:sz w:val="24"/>
          <w:szCs w:val="24"/>
          <w:lang w:val="en-ZA"/>
        </w:rPr>
        <w:t>nthly instalment of R6 539.42</w:t>
      </w:r>
      <w:r w:rsidR="00487DF3">
        <w:rPr>
          <w:rFonts w:ascii="Arial" w:hAnsi="Arial" w:cs="Arial"/>
          <w:sz w:val="24"/>
          <w:szCs w:val="24"/>
          <w:lang w:val="en-ZA"/>
        </w:rPr>
        <w:t xml:space="preserve"> (six thousand, five hundred and</w:t>
      </w:r>
      <w:r w:rsidR="00601FF3" w:rsidRPr="00197362">
        <w:rPr>
          <w:rFonts w:ascii="Arial" w:hAnsi="Arial" w:cs="Arial"/>
          <w:sz w:val="24"/>
          <w:szCs w:val="24"/>
          <w:lang w:val="en-ZA"/>
        </w:rPr>
        <w:t xml:space="preserve"> </w:t>
      </w:r>
      <w:r w:rsidR="007D180C" w:rsidRPr="00197362">
        <w:rPr>
          <w:rFonts w:ascii="Arial" w:hAnsi="Arial" w:cs="Arial"/>
          <w:sz w:val="24"/>
          <w:szCs w:val="24"/>
          <w:lang w:val="en-ZA"/>
        </w:rPr>
        <w:t>thirty-nine</w:t>
      </w:r>
      <w:r w:rsidR="00601FF3" w:rsidRPr="00197362">
        <w:rPr>
          <w:rFonts w:ascii="Arial" w:hAnsi="Arial" w:cs="Arial"/>
          <w:sz w:val="24"/>
          <w:szCs w:val="24"/>
          <w:lang w:val="en-ZA"/>
        </w:rPr>
        <w:t xml:space="preserve"> rand</w:t>
      </w:r>
      <w:r w:rsidR="00487DF3">
        <w:rPr>
          <w:rFonts w:ascii="Arial" w:hAnsi="Arial" w:cs="Arial"/>
          <w:sz w:val="24"/>
          <w:szCs w:val="24"/>
          <w:lang w:val="en-ZA"/>
        </w:rPr>
        <w:t>,</w:t>
      </w:r>
      <w:r w:rsidR="00601FF3" w:rsidRPr="00197362">
        <w:rPr>
          <w:rFonts w:ascii="Arial" w:hAnsi="Arial" w:cs="Arial"/>
          <w:sz w:val="24"/>
          <w:szCs w:val="24"/>
          <w:lang w:val="en-ZA"/>
        </w:rPr>
        <w:t xml:space="preserve"> and </w:t>
      </w:r>
      <w:r w:rsidR="007D180C" w:rsidRPr="00197362">
        <w:rPr>
          <w:rFonts w:ascii="Arial" w:hAnsi="Arial" w:cs="Arial"/>
          <w:sz w:val="24"/>
          <w:szCs w:val="24"/>
          <w:lang w:val="en-ZA"/>
        </w:rPr>
        <w:t>forty-two</w:t>
      </w:r>
      <w:r w:rsidR="00601FF3" w:rsidRPr="00197362">
        <w:rPr>
          <w:rFonts w:ascii="Arial" w:hAnsi="Arial" w:cs="Arial"/>
          <w:sz w:val="24"/>
          <w:szCs w:val="24"/>
          <w:lang w:val="en-ZA"/>
        </w:rPr>
        <w:t xml:space="preserve"> cents)</w:t>
      </w:r>
      <w:r w:rsidR="00197362" w:rsidRPr="00197362">
        <w:rPr>
          <w:rFonts w:ascii="Arial" w:hAnsi="Arial" w:cs="Arial"/>
          <w:sz w:val="24"/>
          <w:szCs w:val="24"/>
          <w:lang w:val="en-ZA"/>
        </w:rPr>
        <w:t xml:space="preserve"> </w:t>
      </w:r>
      <w:r w:rsidR="00647402" w:rsidRPr="00197362">
        <w:rPr>
          <w:rFonts w:ascii="Arial" w:hAnsi="Arial" w:cs="Arial"/>
          <w:sz w:val="24"/>
          <w:szCs w:val="24"/>
          <w:lang w:val="en-ZA"/>
        </w:rPr>
        <w:t>with</w:t>
      </w:r>
      <w:r w:rsidR="00197362" w:rsidRPr="00197362">
        <w:rPr>
          <w:rFonts w:ascii="Arial" w:hAnsi="Arial" w:cs="Arial"/>
          <w:sz w:val="24"/>
          <w:szCs w:val="24"/>
          <w:lang w:val="en-ZA"/>
        </w:rPr>
        <w:t xml:space="preserve"> </w:t>
      </w:r>
      <w:r w:rsidR="00601FF3" w:rsidRPr="00197362">
        <w:rPr>
          <w:rFonts w:ascii="Arial" w:hAnsi="Arial" w:cs="Arial"/>
          <w:sz w:val="24"/>
          <w:szCs w:val="24"/>
          <w:lang w:val="en-ZA"/>
        </w:rPr>
        <w:t xml:space="preserve">the </w:t>
      </w:r>
      <w:r w:rsidR="00647402" w:rsidRPr="00197362">
        <w:rPr>
          <w:rFonts w:ascii="Arial" w:hAnsi="Arial" w:cs="Arial"/>
          <w:sz w:val="24"/>
          <w:szCs w:val="24"/>
          <w:lang w:val="en-ZA"/>
        </w:rPr>
        <w:t>first instalment commencing</w:t>
      </w:r>
      <w:r w:rsidR="00197362" w:rsidRPr="00197362">
        <w:rPr>
          <w:rFonts w:ascii="Arial" w:hAnsi="Arial" w:cs="Arial"/>
          <w:sz w:val="24"/>
          <w:szCs w:val="24"/>
          <w:lang w:val="en-ZA"/>
        </w:rPr>
        <w:t xml:space="preserve"> </w:t>
      </w:r>
      <w:r w:rsidR="00F069CC" w:rsidRPr="00197362">
        <w:rPr>
          <w:rFonts w:ascii="Arial" w:hAnsi="Arial" w:cs="Arial"/>
          <w:sz w:val="24"/>
          <w:szCs w:val="24"/>
          <w:lang w:val="en-ZA"/>
        </w:rPr>
        <w:t>on</w:t>
      </w:r>
      <w:r w:rsidR="00647402" w:rsidRPr="00197362">
        <w:rPr>
          <w:rFonts w:ascii="Arial" w:hAnsi="Arial" w:cs="Arial"/>
          <w:sz w:val="24"/>
          <w:szCs w:val="24"/>
          <w:lang w:val="en-ZA"/>
        </w:rPr>
        <w:t xml:space="preserve"> 25 November 2020</w:t>
      </w:r>
      <w:r w:rsidR="00601FF3" w:rsidRPr="00197362">
        <w:rPr>
          <w:rFonts w:ascii="Arial" w:hAnsi="Arial" w:cs="Arial"/>
          <w:sz w:val="24"/>
          <w:szCs w:val="24"/>
          <w:lang w:val="en-ZA"/>
        </w:rPr>
        <w:t>.</w:t>
      </w:r>
    </w:p>
    <w:p w14:paraId="50D083C0" w14:textId="53887953" w:rsidR="00FD2983" w:rsidRPr="00197362" w:rsidRDefault="00FD2983" w:rsidP="00197362">
      <w:pPr>
        <w:spacing w:after="0" w:line="360" w:lineRule="auto"/>
        <w:jc w:val="both"/>
        <w:rPr>
          <w:rFonts w:ascii="Arial" w:hAnsi="Arial" w:cs="Arial"/>
          <w:sz w:val="24"/>
          <w:szCs w:val="24"/>
          <w:lang w:val="en-ZA"/>
        </w:rPr>
      </w:pPr>
    </w:p>
    <w:p w14:paraId="398C5621" w14:textId="3261BA58" w:rsidR="00CA0F48" w:rsidRPr="00197362" w:rsidRDefault="00C068AC" w:rsidP="00197362">
      <w:pPr>
        <w:spacing w:after="0" w:line="360" w:lineRule="auto"/>
        <w:jc w:val="both"/>
        <w:rPr>
          <w:rFonts w:ascii="Arial" w:hAnsi="Arial" w:cs="Arial"/>
          <w:sz w:val="24"/>
          <w:szCs w:val="24"/>
          <w:lang w:val="en-ZA"/>
        </w:rPr>
      </w:pPr>
      <w:r w:rsidRPr="00197362">
        <w:rPr>
          <w:rFonts w:ascii="Arial" w:hAnsi="Arial" w:cs="Arial"/>
          <w:sz w:val="24"/>
          <w:szCs w:val="24"/>
          <w:lang w:val="en-ZA"/>
        </w:rPr>
        <w:t>[</w:t>
      </w:r>
      <w:r w:rsidR="00C5071D" w:rsidRPr="00197362">
        <w:rPr>
          <w:rFonts w:ascii="Arial" w:hAnsi="Arial" w:cs="Arial"/>
          <w:sz w:val="24"/>
          <w:szCs w:val="24"/>
          <w:lang w:val="en-ZA"/>
        </w:rPr>
        <w:t>10</w:t>
      </w:r>
      <w:r w:rsidRPr="00197362">
        <w:rPr>
          <w:rFonts w:ascii="Arial" w:hAnsi="Arial" w:cs="Arial"/>
          <w:sz w:val="24"/>
          <w:szCs w:val="24"/>
          <w:lang w:val="en-ZA"/>
        </w:rPr>
        <w:t>]</w:t>
      </w:r>
      <w:r w:rsidR="00197362" w:rsidRPr="00197362">
        <w:rPr>
          <w:rFonts w:ascii="Arial" w:hAnsi="Arial" w:cs="Arial"/>
          <w:sz w:val="24"/>
          <w:szCs w:val="24"/>
          <w:lang w:val="en-ZA"/>
        </w:rPr>
        <w:t xml:space="preserve"> </w:t>
      </w:r>
      <w:r w:rsidR="00197362">
        <w:rPr>
          <w:rFonts w:ascii="Arial" w:hAnsi="Arial" w:cs="Arial"/>
          <w:sz w:val="24"/>
          <w:szCs w:val="24"/>
          <w:lang w:val="en-ZA"/>
        </w:rPr>
        <w:tab/>
      </w:r>
      <w:r w:rsidR="00254315" w:rsidRPr="00197362">
        <w:rPr>
          <w:rFonts w:ascii="Arial" w:hAnsi="Arial" w:cs="Arial"/>
          <w:sz w:val="24"/>
          <w:szCs w:val="24"/>
          <w:lang w:val="en-ZA"/>
        </w:rPr>
        <w:t>The plaintiff</w:t>
      </w:r>
      <w:r w:rsidR="00197362" w:rsidRPr="00197362">
        <w:rPr>
          <w:rFonts w:ascii="Arial" w:hAnsi="Arial" w:cs="Arial"/>
          <w:sz w:val="24"/>
          <w:szCs w:val="24"/>
          <w:lang w:val="en-ZA"/>
        </w:rPr>
        <w:t xml:space="preserve"> </w:t>
      </w:r>
      <w:r w:rsidRPr="00197362">
        <w:rPr>
          <w:rFonts w:ascii="Arial" w:hAnsi="Arial" w:cs="Arial"/>
          <w:sz w:val="24"/>
          <w:szCs w:val="24"/>
          <w:lang w:val="en-ZA"/>
        </w:rPr>
        <w:t xml:space="preserve">alleged that in breach of the agreement the </w:t>
      </w:r>
      <w:r w:rsidR="00254315" w:rsidRPr="00197362">
        <w:rPr>
          <w:rFonts w:ascii="Arial" w:hAnsi="Arial" w:cs="Arial"/>
          <w:sz w:val="24"/>
          <w:szCs w:val="24"/>
          <w:lang w:val="en-ZA"/>
        </w:rPr>
        <w:t>defendant</w:t>
      </w:r>
      <w:r w:rsidRPr="00197362">
        <w:rPr>
          <w:rFonts w:ascii="Arial" w:hAnsi="Arial" w:cs="Arial"/>
          <w:sz w:val="24"/>
          <w:szCs w:val="24"/>
          <w:lang w:val="en-ZA"/>
        </w:rPr>
        <w:t xml:space="preserve"> failed to make due and punctual monthly payments to the plaintiff, and</w:t>
      </w:r>
      <w:r w:rsidR="00197362" w:rsidRPr="00197362">
        <w:rPr>
          <w:rFonts w:ascii="Arial" w:hAnsi="Arial" w:cs="Arial"/>
          <w:sz w:val="24"/>
          <w:szCs w:val="24"/>
          <w:lang w:val="en-ZA"/>
        </w:rPr>
        <w:t xml:space="preserve"> </w:t>
      </w:r>
      <w:r w:rsidR="00254315" w:rsidRPr="00197362">
        <w:rPr>
          <w:rFonts w:ascii="Arial" w:hAnsi="Arial" w:cs="Arial"/>
          <w:sz w:val="24"/>
          <w:szCs w:val="24"/>
          <w:lang w:val="en-ZA"/>
        </w:rPr>
        <w:t>on</w:t>
      </w:r>
      <w:r w:rsidRPr="00197362">
        <w:rPr>
          <w:rFonts w:ascii="Arial" w:hAnsi="Arial" w:cs="Arial"/>
          <w:sz w:val="24"/>
          <w:szCs w:val="24"/>
          <w:lang w:val="en-ZA"/>
        </w:rPr>
        <w:t xml:space="preserve"> 7 October 2021</w:t>
      </w:r>
      <w:r w:rsidR="00197362" w:rsidRPr="00197362">
        <w:rPr>
          <w:rFonts w:ascii="Arial" w:hAnsi="Arial" w:cs="Arial"/>
          <w:sz w:val="24"/>
          <w:szCs w:val="24"/>
          <w:lang w:val="en-ZA"/>
        </w:rPr>
        <w:t xml:space="preserve"> </w:t>
      </w:r>
      <w:r w:rsidR="00BB1536" w:rsidRPr="00197362">
        <w:rPr>
          <w:rFonts w:ascii="Arial" w:hAnsi="Arial" w:cs="Arial"/>
          <w:sz w:val="24"/>
          <w:szCs w:val="24"/>
          <w:lang w:val="en-ZA"/>
        </w:rPr>
        <w:t>they</w:t>
      </w:r>
      <w:r w:rsidR="00254315" w:rsidRPr="00197362">
        <w:rPr>
          <w:rFonts w:ascii="Arial" w:hAnsi="Arial" w:cs="Arial"/>
          <w:sz w:val="24"/>
          <w:szCs w:val="24"/>
          <w:lang w:val="en-ZA"/>
        </w:rPr>
        <w:t xml:space="preserve"> w</w:t>
      </w:r>
      <w:r w:rsidR="00BB1536" w:rsidRPr="00197362">
        <w:rPr>
          <w:rFonts w:ascii="Arial" w:hAnsi="Arial" w:cs="Arial"/>
          <w:sz w:val="24"/>
          <w:szCs w:val="24"/>
          <w:lang w:val="en-ZA"/>
        </w:rPr>
        <w:t>ere</w:t>
      </w:r>
      <w:r w:rsidR="00254315" w:rsidRPr="00197362">
        <w:rPr>
          <w:rFonts w:ascii="Arial" w:hAnsi="Arial" w:cs="Arial"/>
          <w:sz w:val="24"/>
          <w:szCs w:val="24"/>
          <w:lang w:val="en-ZA"/>
        </w:rPr>
        <w:t xml:space="preserve"> </w:t>
      </w:r>
      <w:r w:rsidRPr="00197362">
        <w:rPr>
          <w:rFonts w:ascii="Arial" w:hAnsi="Arial" w:cs="Arial"/>
          <w:sz w:val="24"/>
          <w:szCs w:val="24"/>
          <w:lang w:val="en-ZA"/>
        </w:rPr>
        <w:t>in arrears</w:t>
      </w:r>
      <w:r w:rsidR="00197362" w:rsidRPr="00197362">
        <w:rPr>
          <w:rFonts w:ascii="Arial" w:hAnsi="Arial" w:cs="Arial"/>
          <w:sz w:val="24"/>
          <w:szCs w:val="24"/>
          <w:lang w:val="en-ZA"/>
        </w:rPr>
        <w:t xml:space="preserve"> </w:t>
      </w:r>
      <w:r w:rsidRPr="00197362">
        <w:rPr>
          <w:rFonts w:ascii="Arial" w:hAnsi="Arial" w:cs="Arial"/>
          <w:sz w:val="24"/>
          <w:szCs w:val="24"/>
          <w:lang w:val="en-ZA"/>
        </w:rPr>
        <w:t>in respect of the</w:t>
      </w:r>
      <w:r w:rsidR="00197362" w:rsidRPr="00197362">
        <w:rPr>
          <w:rFonts w:ascii="Arial" w:hAnsi="Arial" w:cs="Arial"/>
          <w:sz w:val="24"/>
          <w:szCs w:val="24"/>
          <w:lang w:val="en-ZA"/>
        </w:rPr>
        <w:t xml:space="preserve"> </w:t>
      </w:r>
      <w:r w:rsidRPr="00197362">
        <w:rPr>
          <w:rFonts w:ascii="Arial" w:hAnsi="Arial" w:cs="Arial"/>
          <w:sz w:val="24"/>
          <w:szCs w:val="24"/>
          <w:lang w:val="en-ZA"/>
        </w:rPr>
        <w:t xml:space="preserve">agreement in </w:t>
      </w:r>
      <w:r w:rsidR="00C5071D" w:rsidRPr="00197362">
        <w:rPr>
          <w:rFonts w:ascii="Arial" w:hAnsi="Arial" w:cs="Arial"/>
          <w:sz w:val="24"/>
          <w:szCs w:val="24"/>
          <w:lang w:val="en-ZA"/>
        </w:rPr>
        <w:t>the</w:t>
      </w:r>
      <w:r w:rsidRPr="00197362">
        <w:rPr>
          <w:rFonts w:ascii="Arial" w:hAnsi="Arial" w:cs="Arial"/>
          <w:sz w:val="24"/>
          <w:szCs w:val="24"/>
          <w:lang w:val="en-ZA"/>
        </w:rPr>
        <w:t xml:space="preserve"> amount of R80 297</w:t>
      </w:r>
      <w:r w:rsidR="00487DF3">
        <w:rPr>
          <w:rFonts w:ascii="Arial" w:hAnsi="Arial" w:cs="Arial"/>
          <w:sz w:val="24"/>
          <w:szCs w:val="24"/>
          <w:lang w:val="en-ZA"/>
        </w:rPr>
        <w:t>.</w:t>
      </w:r>
      <w:r w:rsidR="00487DF3" w:rsidRPr="00197362">
        <w:rPr>
          <w:rFonts w:ascii="Arial" w:hAnsi="Arial" w:cs="Arial"/>
          <w:sz w:val="24"/>
          <w:szCs w:val="24"/>
          <w:lang w:val="en-ZA"/>
        </w:rPr>
        <w:t xml:space="preserve"> </w:t>
      </w:r>
      <w:r w:rsidRPr="00197362">
        <w:rPr>
          <w:rFonts w:ascii="Arial" w:hAnsi="Arial" w:cs="Arial"/>
          <w:sz w:val="24"/>
          <w:szCs w:val="24"/>
          <w:lang w:val="en-ZA"/>
        </w:rPr>
        <w:t>58</w:t>
      </w:r>
      <w:r w:rsidR="00487DF3">
        <w:rPr>
          <w:rFonts w:ascii="Arial" w:hAnsi="Arial" w:cs="Arial"/>
          <w:sz w:val="24"/>
          <w:szCs w:val="24"/>
          <w:lang w:val="en-ZA"/>
        </w:rPr>
        <w:t xml:space="preserve"> (eighty thousand, two hun</w:t>
      </w:r>
      <w:r w:rsidR="004A0F0E">
        <w:rPr>
          <w:rFonts w:ascii="Arial" w:hAnsi="Arial" w:cs="Arial"/>
          <w:sz w:val="24"/>
          <w:szCs w:val="24"/>
          <w:lang w:val="en-ZA"/>
        </w:rPr>
        <w:t>d</w:t>
      </w:r>
      <w:r w:rsidR="00487DF3">
        <w:rPr>
          <w:rFonts w:ascii="Arial" w:hAnsi="Arial" w:cs="Arial"/>
          <w:sz w:val="24"/>
          <w:szCs w:val="24"/>
          <w:lang w:val="en-ZA"/>
        </w:rPr>
        <w:t>red and ninety-seven rand, and fifty-eight cents)</w:t>
      </w:r>
      <w:r w:rsidR="00FD2983" w:rsidRPr="00197362">
        <w:rPr>
          <w:rFonts w:ascii="Arial" w:hAnsi="Arial" w:cs="Arial"/>
          <w:sz w:val="24"/>
          <w:szCs w:val="24"/>
          <w:lang w:val="en-ZA"/>
        </w:rPr>
        <w:t>.</w:t>
      </w:r>
    </w:p>
    <w:p w14:paraId="0753BA68" w14:textId="77777777" w:rsidR="00941850" w:rsidRPr="00197362" w:rsidRDefault="00941850" w:rsidP="00197362">
      <w:pPr>
        <w:spacing w:after="0" w:line="360" w:lineRule="auto"/>
        <w:jc w:val="both"/>
        <w:rPr>
          <w:rFonts w:ascii="Arial" w:hAnsi="Arial" w:cs="Arial"/>
          <w:b/>
          <w:bCs/>
          <w:sz w:val="24"/>
          <w:szCs w:val="24"/>
          <w:lang w:val="en-ZA"/>
        </w:rPr>
      </w:pPr>
    </w:p>
    <w:p w14:paraId="4DAE26BB" w14:textId="0482C5A9" w:rsidR="00254315" w:rsidRPr="00197362" w:rsidRDefault="007D180C" w:rsidP="00197362">
      <w:pPr>
        <w:spacing w:after="0" w:line="360" w:lineRule="auto"/>
        <w:jc w:val="both"/>
        <w:rPr>
          <w:rFonts w:ascii="Arial" w:hAnsi="Arial" w:cs="Arial"/>
          <w:b/>
          <w:bCs/>
          <w:sz w:val="24"/>
          <w:szCs w:val="24"/>
          <w:lang w:val="en-ZA"/>
        </w:rPr>
      </w:pPr>
      <w:r w:rsidRPr="00197362">
        <w:rPr>
          <w:rFonts w:ascii="Arial" w:hAnsi="Arial" w:cs="Arial"/>
          <w:b/>
          <w:bCs/>
          <w:sz w:val="24"/>
          <w:szCs w:val="24"/>
          <w:lang w:val="en-ZA"/>
        </w:rPr>
        <w:t>Parties’</w:t>
      </w:r>
      <w:r w:rsidR="0003164D" w:rsidRPr="00197362">
        <w:rPr>
          <w:rFonts w:ascii="Arial" w:hAnsi="Arial" w:cs="Arial"/>
          <w:b/>
          <w:bCs/>
          <w:sz w:val="24"/>
          <w:szCs w:val="24"/>
          <w:lang w:val="en-ZA"/>
        </w:rPr>
        <w:t xml:space="preserve"> contention</w:t>
      </w:r>
    </w:p>
    <w:p w14:paraId="239343E6" w14:textId="67FA39CB" w:rsidR="00E60D76" w:rsidRPr="00197362" w:rsidRDefault="00197362" w:rsidP="00197362">
      <w:pPr>
        <w:spacing w:after="0" w:line="360" w:lineRule="auto"/>
        <w:jc w:val="both"/>
        <w:rPr>
          <w:rFonts w:ascii="Arial" w:hAnsi="Arial" w:cs="Arial"/>
          <w:sz w:val="24"/>
          <w:szCs w:val="24"/>
          <w:lang w:val="en-ZA"/>
        </w:rPr>
      </w:pPr>
      <w:r>
        <w:rPr>
          <w:rFonts w:ascii="Arial" w:hAnsi="Arial" w:cs="Arial"/>
          <w:sz w:val="24"/>
          <w:szCs w:val="24"/>
          <w:lang w:val="en-ZA"/>
        </w:rPr>
        <w:t>[</w:t>
      </w:r>
      <w:r w:rsidR="00C5071D" w:rsidRPr="00197362">
        <w:rPr>
          <w:rFonts w:ascii="Arial" w:hAnsi="Arial" w:cs="Arial"/>
          <w:sz w:val="24"/>
          <w:szCs w:val="24"/>
          <w:lang w:val="en-ZA"/>
        </w:rPr>
        <w:t>11</w:t>
      </w:r>
      <w:r w:rsidR="00BB39C7" w:rsidRPr="00197362">
        <w:rPr>
          <w:rFonts w:ascii="Arial" w:hAnsi="Arial" w:cs="Arial"/>
          <w:sz w:val="24"/>
          <w:szCs w:val="24"/>
          <w:lang w:val="en-ZA"/>
        </w:rPr>
        <w:t xml:space="preserve">] </w:t>
      </w:r>
      <w:r w:rsidR="00BB1536" w:rsidRPr="00197362">
        <w:rPr>
          <w:rFonts w:ascii="Arial" w:hAnsi="Arial" w:cs="Arial"/>
          <w:sz w:val="24"/>
          <w:szCs w:val="24"/>
          <w:lang w:val="en-ZA"/>
        </w:rPr>
        <w:tab/>
      </w:r>
      <w:r w:rsidR="00254315" w:rsidRPr="00197362">
        <w:rPr>
          <w:rFonts w:ascii="Arial" w:hAnsi="Arial" w:cs="Arial"/>
          <w:sz w:val="24"/>
          <w:szCs w:val="24"/>
          <w:lang w:val="en-ZA"/>
        </w:rPr>
        <w:t>The defendant</w:t>
      </w:r>
      <w:r w:rsidR="00487DF3">
        <w:rPr>
          <w:rFonts w:ascii="Arial" w:hAnsi="Arial" w:cs="Arial"/>
          <w:sz w:val="24"/>
          <w:szCs w:val="24"/>
          <w:lang w:val="en-ZA"/>
        </w:rPr>
        <w:t>,</w:t>
      </w:r>
      <w:r w:rsidRPr="00197362">
        <w:rPr>
          <w:rFonts w:ascii="Arial" w:hAnsi="Arial" w:cs="Arial"/>
          <w:sz w:val="24"/>
          <w:szCs w:val="24"/>
          <w:lang w:val="en-ZA"/>
        </w:rPr>
        <w:t xml:space="preserve"> </w:t>
      </w:r>
      <w:r w:rsidR="00254315" w:rsidRPr="00197362">
        <w:rPr>
          <w:rFonts w:ascii="Arial" w:hAnsi="Arial" w:cs="Arial"/>
          <w:sz w:val="24"/>
          <w:szCs w:val="24"/>
          <w:lang w:val="en-ZA"/>
        </w:rPr>
        <w:t xml:space="preserve">in </w:t>
      </w:r>
      <w:r w:rsidR="00BB1536" w:rsidRPr="00197362">
        <w:rPr>
          <w:rFonts w:ascii="Arial" w:hAnsi="Arial" w:cs="Arial"/>
          <w:sz w:val="24"/>
          <w:szCs w:val="24"/>
          <w:lang w:val="en-ZA"/>
        </w:rPr>
        <w:t>their</w:t>
      </w:r>
      <w:r w:rsidR="00254315" w:rsidRPr="00197362">
        <w:rPr>
          <w:rFonts w:ascii="Arial" w:hAnsi="Arial" w:cs="Arial"/>
          <w:sz w:val="24"/>
          <w:szCs w:val="24"/>
          <w:lang w:val="en-ZA"/>
        </w:rPr>
        <w:t xml:space="preserve"> plea</w:t>
      </w:r>
      <w:r w:rsidR="00487DF3">
        <w:rPr>
          <w:rFonts w:ascii="Arial" w:hAnsi="Arial" w:cs="Arial"/>
          <w:sz w:val="24"/>
          <w:szCs w:val="24"/>
          <w:lang w:val="en-ZA"/>
        </w:rPr>
        <w:t>,</w:t>
      </w:r>
      <w:r w:rsidR="00254315" w:rsidRPr="00197362">
        <w:rPr>
          <w:rFonts w:ascii="Arial" w:hAnsi="Arial" w:cs="Arial"/>
          <w:sz w:val="24"/>
          <w:szCs w:val="24"/>
          <w:lang w:val="en-ZA"/>
        </w:rPr>
        <w:t xml:space="preserve"> admit</w:t>
      </w:r>
      <w:r w:rsidR="00487DF3">
        <w:rPr>
          <w:rFonts w:ascii="Arial" w:hAnsi="Arial" w:cs="Arial"/>
          <w:sz w:val="24"/>
          <w:szCs w:val="24"/>
          <w:lang w:val="en-ZA"/>
        </w:rPr>
        <w:t>s</w:t>
      </w:r>
      <w:r w:rsidR="00254315" w:rsidRPr="00197362">
        <w:rPr>
          <w:rFonts w:ascii="Arial" w:hAnsi="Arial" w:cs="Arial"/>
          <w:sz w:val="24"/>
          <w:szCs w:val="24"/>
          <w:lang w:val="en-ZA"/>
        </w:rPr>
        <w:t xml:space="preserve"> that</w:t>
      </w:r>
      <w:r w:rsidRPr="00197362">
        <w:rPr>
          <w:rFonts w:ascii="Arial" w:hAnsi="Arial" w:cs="Arial"/>
          <w:sz w:val="24"/>
          <w:szCs w:val="24"/>
          <w:lang w:val="en-ZA"/>
        </w:rPr>
        <w:t xml:space="preserve"> </w:t>
      </w:r>
      <w:r w:rsidR="00BB1536" w:rsidRPr="00197362">
        <w:rPr>
          <w:rFonts w:ascii="Arial" w:hAnsi="Arial" w:cs="Arial"/>
          <w:sz w:val="24"/>
          <w:szCs w:val="24"/>
          <w:lang w:val="en-ZA"/>
        </w:rPr>
        <w:t>they</w:t>
      </w:r>
      <w:r w:rsidR="00254315" w:rsidRPr="00197362">
        <w:rPr>
          <w:rFonts w:ascii="Arial" w:hAnsi="Arial" w:cs="Arial"/>
          <w:sz w:val="24"/>
          <w:szCs w:val="24"/>
          <w:lang w:val="en-ZA"/>
        </w:rPr>
        <w:t xml:space="preserve"> and the plaintiff entered into an instalment agreement for </w:t>
      </w:r>
      <w:r w:rsidR="00487DF3">
        <w:rPr>
          <w:rFonts w:ascii="Arial" w:hAnsi="Arial" w:cs="Arial"/>
          <w:sz w:val="24"/>
          <w:szCs w:val="24"/>
          <w:lang w:val="en-ZA"/>
        </w:rPr>
        <w:t xml:space="preserve">the </w:t>
      </w:r>
      <w:r w:rsidR="00254315" w:rsidRPr="00197362">
        <w:rPr>
          <w:rFonts w:ascii="Arial" w:hAnsi="Arial" w:cs="Arial"/>
          <w:sz w:val="24"/>
          <w:szCs w:val="24"/>
          <w:lang w:val="en-ZA"/>
        </w:rPr>
        <w:t>sale of the vehicle</w:t>
      </w:r>
      <w:r w:rsidR="00C5071D" w:rsidRPr="00197362">
        <w:rPr>
          <w:rFonts w:ascii="Arial" w:hAnsi="Arial" w:cs="Arial"/>
          <w:sz w:val="24"/>
          <w:szCs w:val="24"/>
          <w:lang w:val="en-ZA"/>
        </w:rPr>
        <w:t>,</w:t>
      </w:r>
      <w:r w:rsidR="00A57BFA" w:rsidRPr="00197362">
        <w:rPr>
          <w:rFonts w:ascii="Arial" w:hAnsi="Arial" w:cs="Arial"/>
          <w:sz w:val="24"/>
          <w:szCs w:val="24"/>
          <w:lang w:val="en-ZA"/>
        </w:rPr>
        <w:t xml:space="preserve"> but avers that </w:t>
      </w:r>
      <w:r w:rsidR="00BB1536" w:rsidRPr="00197362">
        <w:rPr>
          <w:rFonts w:ascii="Arial" w:hAnsi="Arial" w:cs="Arial"/>
          <w:sz w:val="24"/>
          <w:szCs w:val="24"/>
          <w:lang w:val="en-ZA"/>
        </w:rPr>
        <w:t>the defendant</w:t>
      </w:r>
      <w:r w:rsidR="00A57BFA" w:rsidRPr="00197362">
        <w:rPr>
          <w:rFonts w:ascii="Arial" w:hAnsi="Arial" w:cs="Arial"/>
          <w:sz w:val="24"/>
          <w:szCs w:val="24"/>
          <w:lang w:val="en-ZA"/>
        </w:rPr>
        <w:t xml:space="preserve"> does not have </w:t>
      </w:r>
      <w:r w:rsidR="00BB1536" w:rsidRPr="00197362">
        <w:rPr>
          <w:rFonts w:ascii="Arial" w:hAnsi="Arial" w:cs="Arial"/>
          <w:sz w:val="24"/>
          <w:szCs w:val="24"/>
          <w:lang w:val="en-ZA"/>
        </w:rPr>
        <w:t xml:space="preserve">a </w:t>
      </w:r>
      <w:r w:rsidR="00A57BFA" w:rsidRPr="00197362">
        <w:rPr>
          <w:rFonts w:ascii="Arial" w:hAnsi="Arial" w:cs="Arial"/>
          <w:sz w:val="24"/>
          <w:szCs w:val="24"/>
          <w:lang w:val="en-ZA"/>
        </w:rPr>
        <w:t>copy of the signed contract and cannot confirm whether the</w:t>
      </w:r>
      <w:r w:rsidRPr="00197362">
        <w:rPr>
          <w:rFonts w:ascii="Arial" w:hAnsi="Arial" w:cs="Arial"/>
          <w:sz w:val="24"/>
          <w:szCs w:val="24"/>
          <w:lang w:val="en-ZA"/>
        </w:rPr>
        <w:t xml:space="preserve"> </w:t>
      </w:r>
      <w:r w:rsidR="00C5071D" w:rsidRPr="00197362">
        <w:rPr>
          <w:rFonts w:ascii="Arial" w:hAnsi="Arial" w:cs="Arial"/>
          <w:sz w:val="24"/>
          <w:szCs w:val="24"/>
          <w:lang w:val="en-ZA"/>
        </w:rPr>
        <w:t>contract</w:t>
      </w:r>
      <w:r w:rsidRPr="00197362">
        <w:rPr>
          <w:rFonts w:ascii="Arial" w:hAnsi="Arial" w:cs="Arial"/>
          <w:sz w:val="24"/>
          <w:szCs w:val="24"/>
          <w:lang w:val="en-ZA"/>
        </w:rPr>
        <w:t xml:space="preserve"> </w:t>
      </w:r>
      <w:r w:rsidR="00C5071D" w:rsidRPr="00197362">
        <w:rPr>
          <w:rFonts w:ascii="Arial" w:hAnsi="Arial" w:cs="Arial"/>
          <w:sz w:val="24"/>
          <w:szCs w:val="24"/>
          <w:lang w:val="en-ZA"/>
        </w:rPr>
        <w:t>agreement</w:t>
      </w:r>
      <w:r w:rsidR="00A57BFA" w:rsidRPr="00197362">
        <w:rPr>
          <w:rFonts w:ascii="Arial" w:hAnsi="Arial" w:cs="Arial"/>
          <w:sz w:val="24"/>
          <w:szCs w:val="24"/>
          <w:lang w:val="en-ZA"/>
        </w:rPr>
        <w:t xml:space="preserve"> is a</w:t>
      </w:r>
      <w:r w:rsidR="00195B22" w:rsidRPr="00197362">
        <w:rPr>
          <w:rFonts w:ascii="Arial" w:hAnsi="Arial" w:cs="Arial"/>
          <w:sz w:val="24"/>
          <w:szCs w:val="24"/>
          <w:lang w:val="en-ZA"/>
        </w:rPr>
        <w:t xml:space="preserve"> </w:t>
      </w:r>
      <w:r w:rsidR="00A57BFA" w:rsidRPr="00197362">
        <w:rPr>
          <w:rFonts w:ascii="Arial" w:hAnsi="Arial" w:cs="Arial"/>
          <w:sz w:val="24"/>
          <w:szCs w:val="24"/>
          <w:lang w:val="en-ZA"/>
        </w:rPr>
        <w:t>true copy of the agreement</w:t>
      </w:r>
      <w:r w:rsidR="00C5071D" w:rsidRPr="00197362">
        <w:rPr>
          <w:rFonts w:ascii="Arial" w:hAnsi="Arial" w:cs="Arial"/>
          <w:sz w:val="24"/>
          <w:szCs w:val="24"/>
          <w:lang w:val="en-ZA"/>
        </w:rPr>
        <w:t xml:space="preserve">. </w:t>
      </w:r>
      <w:r w:rsidR="007D180C" w:rsidRPr="00197362">
        <w:rPr>
          <w:rFonts w:ascii="Arial" w:hAnsi="Arial" w:cs="Arial"/>
          <w:sz w:val="24"/>
          <w:szCs w:val="24"/>
          <w:lang w:val="en-ZA"/>
        </w:rPr>
        <w:t>Furthermore,</w:t>
      </w:r>
      <w:r w:rsidR="00254315" w:rsidRPr="00197362">
        <w:rPr>
          <w:rFonts w:ascii="Arial" w:hAnsi="Arial" w:cs="Arial"/>
          <w:sz w:val="24"/>
          <w:szCs w:val="24"/>
          <w:lang w:val="en-ZA"/>
        </w:rPr>
        <w:t xml:space="preserve"> </w:t>
      </w:r>
      <w:r w:rsidR="00C5071D" w:rsidRPr="00197362">
        <w:rPr>
          <w:rFonts w:ascii="Arial" w:hAnsi="Arial" w:cs="Arial"/>
          <w:sz w:val="24"/>
          <w:szCs w:val="24"/>
          <w:lang w:val="en-ZA"/>
        </w:rPr>
        <w:t>the total calculation</w:t>
      </w:r>
      <w:r w:rsidRPr="00197362">
        <w:rPr>
          <w:rFonts w:ascii="Arial" w:hAnsi="Arial" w:cs="Arial"/>
          <w:sz w:val="24"/>
          <w:szCs w:val="24"/>
          <w:lang w:val="en-ZA"/>
        </w:rPr>
        <w:t xml:space="preserve"> </w:t>
      </w:r>
      <w:r w:rsidR="00BB1536" w:rsidRPr="00197362">
        <w:rPr>
          <w:rFonts w:ascii="Arial" w:hAnsi="Arial" w:cs="Arial"/>
          <w:sz w:val="24"/>
          <w:szCs w:val="24"/>
          <w:lang w:val="en-ZA"/>
        </w:rPr>
        <w:t xml:space="preserve">of </w:t>
      </w:r>
      <w:r w:rsidR="00C5071D" w:rsidRPr="00197362">
        <w:rPr>
          <w:rFonts w:ascii="Arial" w:hAnsi="Arial" w:cs="Arial"/>
          <w:sz w:val="24"/>
          <w:szCs w:val="24"/>
          <w:lang w:val="en-ZA"/>
        </w:rPr>
        <w:t>the</w:t>
      </w:r>
      <w:r w:rsidRPr="00197362">
        <w:rPr>
          <w:rFonts w:ascii="Arial" w:hAnsi="Arial" w:cs="Arial"/>
          <w:sz w:val="24"/>
          <w:szCs w:val="24"/>
          <w:lang w:val="en-ZA"/>
        </w:rPr>
        <w:t xml:space="preserve"> </w:t>
      </w:r>
      <w:r w:rsidR="00254315" w:rsidRPr="00197362">
        <w:rPr>
          <w:rFonts w:ascii="Arial" w:hAnsi="Arial" w:cs="Arial"/>
          <w:sz w:val="24"/>
          <w:szCs w:val="24"/>
          <w:lang w:val="en-ZA"/>
        </w:rPr>
        <w:t>credit by the plaintiff</w:t>
      </w:r>
      <w:r w:rsidRPr="00197362">
        <w:rPr>
          <w:rFonts w:ascii="Arial" w:hAnsi="Arial" w:cs="Arial"/>
          <w:sz w:val="24"/>
          <w:szCs w:val="24"/>
          <w:lang w:val="en-ZA"/>
        </w:rPr>
        <w:t xml:space="preserve"> </w:t>
      </w:r>
      <w:r w:rsidR="00BB1536" w:rsidRPr="00197362">
        <w:rPr>
          <w:rFonts w:ascii="Arial" w:hAnsi="Arial" w:cs="Arial"/>
          <w:sz w:val="24"/>
          <w:szCs w:val="24"/>
          <w:lang w:val="en-ZA"/>
        </w:rPr>
        <w:t>is incorrect</w:t>
      </w:r>
      <w:r w:rsidRPr="00197362">
        <w:rPr>
          <w:rFonts w:ascii="Arial" w:hAnsi="Arial" w:cs="Arial"/>
          <w:sz w:val="24"/>
          <w:szCs w:val="24"/>
          <w:lang w:val="en-ZA"/>
        </w:rPr>
        <w:t xml:space="preserve"> </w:t>
      </w:r>
      <w:r w:rsidR="00BB1536" w:rsidRPr="00197362">
        <w:rPr>
          <w:rFonts w:ascii="Arial" w:hAnsi="Arial" w:cs="Arial"/>
          <w:sz w:val="24"/>
          <w:szCs w:val="24"/>
          <w:lang w:val="en-ZA"/>
        </w:rPr>
        <w:t>because</w:t>
      </w:r>
      <w:r w:rsidRPr="00197362">
        <w:rPr>
          <w:rFonts w:ascii="Arial" w:hAnsi="Arial" w:cs="Arial"/>
          <w:sz w:val="24"/>
          <w:szCs w:val="24"/>
          <w:lang w:val="en-ZA"/>
        </w:rPr>
        <w:t xml:space="preserve"> </w:t>
      </w:r>
      <w:r w:rsidR="00A57BFA" w:rsidRPr="00197362">
        <w:rPr>
          <w:rFonts w:ascii="Arial" w:hAnsi="Arial" w:cs="Arial"/>
          <w:sz w:val="24"/>
          <w:szCs w:val="24"/>
          <w:lang w:val="en-ZA"/>
        </w:rPr>
        <w:t>the plaintiff charged V</w:t>
      </w:r>
      <w:r w:rsidR="00C5071D" w:rsidRPr="00197362">
        <w:rPr>
          <w:rFonts w:ascii="Arial" w:hAnsi="Arial" w:cs="Arial"/>
          <w:sz w:val="24"/>
          <w:szCs w:val="24"/>
          <w:lang w:val="en-ZA"/>
        </w:rPr>
        <w:t>AT</w:t>
      </w:r>
      <w:r w:rsidR="00A57BFA" w:rsidRPr="00197362">
        <w:rPr>
          <w:rFonts w:ascii="Arial" w:hAnsi="Arial" w:cs="Arial"/>
          <w:sz w:val="24"/>
          <w:szCs w:val="24"/>
          <w:lang w:val="en-ZA"/>
        </w:rPr>
        <w:t xml:space="preserve"> and interest separately</w:t>
      </w:r>
      <w:r w:rsidR="00C5071D" w:rsidRPr="00197362">
        <w:rPr>
          <w:rFonts w:ascii="Arial" w:hAnsi="Arial" w:cs="Arial"/>
          <w:sz w:val="24"/>
          <w:szCs w:val="24"/>
          <w:lang w:val="en-ZA"/>
        </w:rPr>
        <w:t>,</w:t>
      </w:r>
      <w:r w:rsidR="00A57BFA" w:rsidRPr="00197362">
        <w:rPr>
          <w:rFonts w:ascii="Arial" w:hAnsi="Arial" w:cs="Arial"/>
          <w:sz w:val="24"/>
          <w:szCs w:val="24"/>
          <w:lang w:val="en-ZA"/>
        </w:rPr>
        <w:t xml:space="preserve"> notwithstanding</w:t>
      </w:r>
      <w:r w:rsidRPr="00197362">
        <w:rPr>
          <w:rFonts w:ascii="Arial" w:hAnsi="Arial" w:cs="Arial"/>
          <w:sz w:val="24"/>
          <w:szCs w:val="24"/>
          <w:lang w:val="en-ZA"/>
        </w:rPr>
        <w:t xml:space="preserve"> </w:t>
      </w:r>
      <w:r w:rsidR="00C5071D" w:rsidRPr="00197362">
        <w:rPr>
          <w:rFonts w:ascii="Arial" w:hAnsi="Arial" w:cs="Arial"/>
          <w:sz w:val="24"/>
          <w:szCs w:val="24"/>
          <w:lang w:val="en-ZA"/>
        </w:rPr>
        <w:t xml:space="preserve">that </w:t>
      </w:r>
      <w:r w:rsidR="00A57BFA" w:rsidRPr="00197362">
        <w:rPr>
          <w:rFonts w:ascii="Arial" w:hAnsi="Arial" w:cs="Arial"/>
          <w:sz w:val="24"/>
          <w:szCs w:val="24"/>
          <w:lang w:val="en-ZA"/>
        </w:rPr>
        <w:t xml:space="preserve">both charges </w:t>
      </w:r>
      <w:r w:rsidR="00BB1536" w:rsidRPr="00197362">
        <w:rPr>
          <w:rFonts w:ascii="Arial" w:hAnsi="Arial" w:cs="Arial"/>
          <w:sz w:val="24"/>
          <w:szCs w:val="24"/>
          <w:lang w:val="en-ZA"/>
        </w:rPr>
        <w:t>were</w:t>
      </w:r>
      <w:r w:rsidR="00A57BFA" w:rsidRPr="00197362">
        <w:rPr>
          <w:rFonts w:ascii="Arial" w:hAnsi="Arial" w:cs="Arial"/>
          <w:sz w:val="24"/>
          <w:szCs w:val="24"/>
          <w:lang w:val="en-ZA"/>
        </w:rPr>
        <w:t xml:space="preserve"> agreed to be included in the mentioned value of vatable goods. </w:t>
      </w:r>
      <w:r w:rsidR="00C5071D" w:rsidRPr="00197362">
        <w:rPr>
          <w:rFonts w:ascii="Arial" w:hAnsi="Arial" w:cs="Arial"/>
          <w:sz w:val="24"/>
          <w:szCs w:val="24"/>
          <w:lang w:val="en-ZA"/>
        </w:rPr>
        <w:t>The d</w:t>
      </w:r>
      <w:r w:rsidR="00A57BFA" w:rsidRPr="00197362">
        <w:rPr>
          <w:rFonts w:ascii="Arial" w:hAnsi="Arial" w:cs="Arial"/>
          <w:sz w:val="24"/>
          <w:szCs w:val="24"/>
          <w:lang w:val="en-ZA"/>
        </w:rPr>
        <w:t>efendant</w:t>
      </w:r>
      <w:r w:rsidRPr="00197362">
        <w:rPr>
          <w:rFonts w:ascii="Arial" w:hAnsi="Arial" w:cs="Arial"/>
          <w:sz w:val="24"/>
          <w:szCs w:val="24"/>
          <w:lang w:val="en-ZA"/>
        </w:rPr>
        <w:t xml:space="preserve"> </w:t>
      </w:r>
      <w:r w:rsidR="00BB1536" w:rsidRPr="00197362">
        <w:rPr>
          <w:rFonts w:ascii="Arial" w:hAnsi="Arial" w:cs="Arial"/>
          <w:sz w:val="24"/>
          <w:szCs w:val="24"/>
          <w:lang w:val="en-ZA"/>
        </w:rPr>
        <w:t>contended that</w:t>
      </w:r>
      <w:r w:rsidR="000B60FD" w:rsidRPr="00197362">
        <w:rPr>
          <w:rFonts w:ascii="Arial" w:hAnsi="Arial" w:cs="Arial"/>
          <w:sz w:val="24"/>
          <w:szCs w:val="24"/>
          <w:lang w:val="en-ZA"/>
        </w:rPr>
        <w:t xml:space="preserve"> after </w:t>
      </w:r>
      <w:r w:rsidR="00BB1536" w:rsidRPr="00197362">
        <w:rPr>
          <w:rFonts w:ascii="Arial" w:hAnsi="Arial" w:cs="Arial"/>
          <w:sz w:val="24"/>
          <w:szCs w:val="24"/>
          <w:lang w:val="en-ZA"/>
        </w:rPr>
        <w:t>they</w:t>
      </w:r>
      <w:r w:rsidR="000B60FD" w:rsidRPr="00197362">
        <w:rPr>
          <w:rFonts w:ascii="Arial" w:hAnsi="Arial" w:cs="Arial"/>
          <w:sz w:val="24"/>
          <w:szCs w:val="24"/>
          <w:lang w:val="en-ZA"/>
        </w:rPr>
        <w:t xml:space="preserve"> had referred the matter for debt review the plaintiff did not negotiate in good faith and</w:t>
      </w:r>
      <w:r w:rsidRPr="00197362">
        <w:rPr>
          <w:rFonts w:ascii="Arial" w:hAnsi="Arial" w:cs="Arial"/>
          <w:sz w:val="24"/>
          <w:szCs w:val="24"/>
          <w:lang w:val="en-ZA"/>
        </w:rPr>
        <w:t xml:space="preserve"> </w:t>
      </w:r>
      <w:r w:rsidR="000B60FD" w:rsidRPr="00197362">
        <w:rPr>
          <w:rFonts w:ascii="Arial" w:hAnsi="Arial" w:cs="Arial"/>
          <w:sz w:val="24"/>
          <w:szCs w:val="24"/>
          <w:lang w:val="en-ZA"/>
        </w:rPr>
        <w:t xml:space="preserve">abandoned </w:t>
      </w:r>
      <w:r w:rsidR="00A57BFA" w:rsidRPr="00197362">
        <w:rPr>
          <w:rFonts w:ascii="Arial" w:hAnsi="Arial" w:cs="Arial"/>
          <w:sz w:val="24"/>
          <w:szCs w:val="24"/>
          <w:lang w:val="en-ZA"/>
        </w:rPr>
        <w:t>the</w:t>
      </w:r>
      <w:r w:rsidR="00195B22" w:rsidRPr="00197362">
        <w:rPr>
          <w:rFonts w:ascii="Arial" w:hAnsi="Arial" w:cs="Arial"/>
          <w:sz w:val="24"/>
          <w:szCs w:val="24"/>
          <w:lang w:val="en-ZA"/>
        </w:rPr>
        <w:t xml:space="preserve"> </w:t>
      </w:r>
      <w:r w:rsidR="00A57BFA" w:rsidRPr="00197362">
        <w:rPr>
          <w:rFonts w:ascii="Arial" w:hAnsi="Arial" w:cs="Arial"/>
          <w:sz w:val="24"/>
          <w:szCs w:val="24"/>
          <w:lang w:val="en-ZA"/>
        </w:rPr>
        <w:t>debt review</w:t>
      </w:r>
      <w:r w:rsidR="000B60FD" w:rsidRPr="00197362">
        <w:rPr>
          <w:rFonts w:ascii="Arial" w:hAnsi="Arial" w:cs="Arial"/>
          <w:sz w:val="24"/>
          <w:szCs w:val="24"/>
          <w:lang w:val="en-ZA"/>
        </w:rPr>
        <w:t xml:space="preserve"> without giving the defendant notice of</w:t>
      </w:r>
      <w:r w:rsidRPr="00197362">
        <w:rPr>
          <w:rFonts w:ascii="Arial" w:hAnsi="Arial" w:cs="Arial"/>
          <w:sz w:val="24"/>
          <w:szCs w:val="24"/>
          <w:lang w:val="en-ZA"/>
        </w:rPr>
        <w:t xml:space="preserve"> </w:t>
      </w:r>
      <w:r w:rsidR="000B60FD" w:rsidRPr="00197362">
        <w:rPr>
          <w:rFonts w:ascii="Arial" w:hAnsi="Arial" w:cs="Arial"/>
          <w:sz w:val="24"/>
          <w:szCs w:val="24"/>
          <w:lang w:val="en-ZA"/>
        </w:rPr>
        <w:t>termination</w:t>
      </w:r>
      <w:r w:rsidR="00A57BFA" w:rsidRPr="00197362">
        <w:rPr>
          <w:rFonts w:ascii="Arial" w:hAnsi="Arial" w:cs="Arial"/>
          <w:sz w:val="24"/>
          <w:szCs w:val="24"/>
          <w:lang w:val="en-ZA"/>
        </w:rPr>
        <w:t xml:space="preserve"> i</w:t>
      </w:r>
      <w:r w:rsidR="004B159B">
        <w:rPr>
          <w:rFonts w:ascii="Arial" w:hAnsi="Arial" w:cs="Arial"/>
          <w:sz w:val="24"/>
          <w:szCs w:val="24"/>
          <w:lang w:val="en-ZA"/>
        </w:rPr>
        <w:t>n terms of section 86</w:t>
      </w:r>
      <w:r w:rsidR="00A57BFA" w:rsidRPr="00197362">
        <w:rPr>
          <w:rFonts w:ascii="Arial" w:hAnsi="Arial" w:cs="Arial"/>
          <w:sz w:val="24"/>
          <w:szCs w:val="24"/>
          <w:lang w:val="en-ZA"/>
        </w:rPr>
        <w:t>(10) of</w:t>
      </w:r>
      <w:r w:rsidR="004B159B">
        <w:rPr>
          <w:rFonts w:ascii="Arial" w:hAnsi="Arial" w:cs="Arial"/>
          <w:sz w:val="24"/>
          <w:szCs w:val="24"/>
          <w:lang w:val="en-ZA"/>
        </w:rPr>
        <w:t xml:space="preserve"> National Credit Act 34 of 2005</w:t>
      </w:r>
      <w:r w:rsidR="00A57BFA" w:rsidRPr="00197362">
        <w:rPr>
          <w:rFonts w:ascii="Arial" w:hAnsi="Arial" w:cs="Arial"/>
          <w:sz w:val="24"/>
          <w:szCs w:val="24"/>
          <w:lang w:val="en-ZA"/>
        </w:rPr>
        <w:t xml:space="preserve"> </w:t>
      </w:r>
      <w:r w:rsidR="004B159B">
        <w:rPr>
          <w:rFonts w:ascii="Arial" w:hAnsi="Arial" w:cs="Arial"/>
          <w:sz w:val="24"/>
          <w:szCs w:val="24"/>
          <w:lang w:val="en-ZA"/>
        </w:rPr>
        <w:t xml:space="preserve">(the </w:t>
      </w:r>
      <w:r w:rsidR="00A57BFA" w:rsidRPr="00197362">
        <w:rPr>
          <w:rFonts w:ascii="Arial" w:hAnsi="Arial" w:cs="Arial"/>
          <w:sz w:val="24"/>
          <w:szCs w:val="24"/>
          <w:lang w:val="en-ZA"/>
        </w:rPr>
        <w:t>NCA</w:t>
      </w:r>
      <w:r w:rsidR="004B159B">
        <w:rPr>
          <w:rFonts w:ascii="Arial" w:hAnsi="Arial" w:cs="Arial"/>
          <w:sz w:val="24"/>
          <w:szCs w:val="24"/>
          <w:lang w:val="en-ZA"/>
        </w:rPr>
        <w:t>)</w:t>
      </w:r>
      <w:r w:rsidR="00BB1536" w:rsidRPr="00197362">
        <w:rPr>
          <w:rFonts w:ascii="Arial" w:hAnsi="Arial" w:cs="Arial"/>
          <w:sz w:val="24"/>
          <w:szCs w:val="24"/>
          <w:lang w:val="en-ZA"/>
        </w:rPr>
        <w:t>.</w:t>
      </w:r>
      <w:r w:rsidR="00A57BFA" w:rsidRPr="00197362">
        <w:rPr>
          <w:rFonts w:ascii="Arial" w:hAnsi="Arial" w:cs="Arial"/>
          <w:sz w:val="24"/>
          <w:szCs w:val="24"/>
          <w:lang w:val="en-ZA"/>
        </w:rPr>
        <w:t xml:space="preserve"> </w:t>
      </w:r>
      <w:r w:rsidR="00E60D76" w:rsidRPr="00197362">
        <w:rPr>
          <w:rFonts w:ascii="Arial" w:hAnsi="Arial" w:cs="Arial"/>
          <w:sz w:val="24"/>
          <w:szCs w:val="24"/>
          <w:lang w:val="en-ZA"/>
        </w:rPr>
        <w:t>In</w:t>
      </w:r>
      <w:r w:rsidRPr="00197362">
        <w:rPr>
          <w:rFonts w:ascii="Arial" w:hAnsi="Arial" w:cs="Arial"/>
          <w:sz w:val="24"/>
          <w:szCs w:val="24"/>
          <w:lang w:val="en-ZA"/>
        </w:rPr>
        <w:t xml:space="preserve"> </w:t>
      </w:r>
      <w:r w:rsidR="00E60D76" w:rsidRPr="00197362">
        <w:rPr>
          <w:rFonts w:ascii="Arial" w:hAnsi="Arial" w:cs="Arial"/>
          <w:sz w:val="24"/>
          <w:szCs w:val="24"/>
          <w:lang w:val="en-ZA"/>
        </w:rPr>
        <w:t xml:space="preserve">their </w:t>
      </w:r>
      <w:r w:rsidR="004B159B">
        <w:rPr>
          <w:rFonts w:ascii="Arial" w:hAnsi="Arial" w:cs="Arial"/>
          <w:sz w:val="24"/>
          <w:szCs w:val="24"/>
          <w:lang w:val="en-ZA"/>
        </w:rPr>
        <w:t xml:space="preserve">affidavit opposing </w:t>
      </w:r>
      <w:r w:rsidR="00E60D76" w:rsidRPr="00197362">
        <w:rPr>
          <w:rFonts w:ascii="Arial" w:hAnsi="Arial" w:cs="Arial"/>
          <w:sz w:val="24"/>
          <w:szCs w:val="24"/>
          <w:lang w:val="en-ZA"/>
        </w:rPr>
        <w:t>summary judgment</w:t>
      </w:r>
      <w:r w:rsidR="004B159B">
        <w:rPr>
          <w:rFonts w:ascii="Arial" w:hAnsi="Arial" w:cs="Arial"/>
          <w:sz w:val="24"/>
          <w:szCs w:val="24"/>
          <w:lang w:val="en-ZA"/>
        </w:rPr>
        <w:t>,</w:t>
      </w:r>
      <w:r w:rsidR="00E60D76" w:rsidRPr="00197362">
        <w:rPr>
          <w:rFonts w:ascii="Arial" w:hAnsi="Arial" w:cs="Arial"/>
          <w:sz w:val="24"/>
          <w:szCs w:val="24"/>
          <w:lang w:val="en-ZA"/>
        </w:rPr>
        <w:t xml:space="preserve"> the defendant</w:t>
      </w:r>
      <w:r w:rsidRPr="00197362">
        <w:rPr>
          <w:rFonts w:ascii="Arial" w:hAnsi="Arial" w:cs="Arial"/>
          <w:sz w:val="24"/>
          <w:szCs w:val="24"/>
          <w:lang w:val="en-ZA"/>
        </w:rPr>
        <w:t xml:space="preserve"> </w:t>
      </w:r>
      <w:r w:rsidR="00E60D76" w:rsidRPr="00197362">
        <w:rPr>
          <w:rFonts w:ascii="Arial" w:hAnsi="Arial" w:cs="Arial"/>
          <w:sz w:val="24"/>
          <w:szCs w:val="24"/>
          <w:lang w:val="en-ZA"/>
        </w:rPr>
        <w:t>contended that the deponent to the</w:t>
      </w:r>
      <w:r w:rsidRPr="00197362">
        <w:rPr>
          <w:rFonts w:ascii="Arial" w:hAnsi="Arial" w:cs="Arial"/>
          <w:sz w:val="24"/>
          <w:szCs w:val="24"/>
          <w:lang w:val="en-ZA"/>
        </w:rPr>
        <w:t xml:space="preserve"> </w:t>
      </w:r>
      <w:r w:rsidR="00E60D76" w:rsidRPr="00197362">
        <w:rPr>
          <w:rFonts w:ascii="Arial" w:hAnsi="Arial" w:cs="Arial"/>
          <w:sz w:val="24"/>
          <w:szCs w:val="24"/>
          <w:lang w:val="en-ZA"/>
        </w:rPr>
        <w:t>plaintiffs’ founding affidavit</w:t>
      </w:r>
      <w:r w:rsidR="004B159B">
        <w:rPr>
          <w:rFonts w:ascii="Arial" w:hAnsi="Arial" w:cs="Arial"/>
          <w:sz w:val="24"/>
          <w:szCs w:val="24"/>
          <w:lang w:val="en-ZA"/>
        </w:rPr>
        <w:t>,</w:t>
      </w:r>
      <w:r w:rsidR="00E60D76" w:rsidRPr="00197362">
        <w:rPr>
          <w:rFonts w:ascii="Arial" w:hAnsi="Arial" w:cs="Arial"/>
          <w:sz w:val="24"/>
          <w:szCs w:val="24"/>
          <w:lang w:val="en-ZA"/>
        </w:rPr>
        <w:t xml:space="preserve"> </w:t>
      </w:r>
      <w:r w:rsidR="004B159B">
        <w:rPr>
          <w:rFonts w:ascii="Arial" w:hAnsi="Arial" w:cs="Arial"/>
          <w:sz w:val="24"/>
          <w:szCs w:val="24"/>
          <w:lang w:val="en-ZA"/>
        </w:rPr>
        <w:t xml:space="preserve">Mr </w:t>
      </w:r>
      <w:r w:rsidR="00E60D76" w:rsidRPr="00197362">
        <w:rPr>
          <w:rFonts w:ascii="Arial" w:hAnsi="Arial" w:cs="Arial"/>
          <w:sz w:val="24"/>
          <w:szCs w:val="24"/>
          <w:lang w:val="en-ZA"/>
        </w:rPr>
        <w:t>Mmanni Motau</w:t>
      </w:r>
      <w:r w:rsidR="004B159B">
        <w:rPr>
          <w:rFonts w:ascii="Arial" w:hAnsi="Arial" w:cs="Arial"/>
          <w:sz w:val="24"/>
          <w:szCs w:val="24"/>
          <w:lang w:val="en-ZA"/>
        </w:rPr>
        <w:t>,</w:t>
      </w:r>
      <w:r w:rsidR="00E60D76" w:rsidRPr="00197362">
        <w:rPr>
          <w:rFonts w:ascii="Arial" w:hAnsi="Arial" w:cs="Arial"/>
          <w:sz w:val="24"/>
          <w:szCs w:val="24"/>
          <w:lang w:val="en-ZA"/>
        </w:rPr>
        <w:t xml:space="preserve"> did not have personal knowledge of the facts deposed to in the affidavit</w:t>
      </w:r>
      <w:r w:rsidR="0073257C">
        <w:rPr>
          <w:rFonts w:ascii="Arial" w:hAnsi="Arial" w:cs="Arial"/>
          <w:sz w:val="24"/>
          <w:szCs w:val="24"/>
          <w:lang w:val="en-ZA"/>
        </w:rPr>
        <w:t>,</w:t>
      </w:r>
      <w:r w:rsidR="00E60D76" w:rsidRPr="00197362">
        <w:rPr>
          <w:rFonts w:ascii="Arial" w:hAnsi="Arial" w:cs="Arial"/>
          <w:sz w:val="24"/>
          <w:szCs w:val="24"/>
          <w:lang w:val="en-ZA"/>
        </w:rPr>
        <w:t xml:space="preserve"> because he said that he is</w:t>
      </w:r>
      <w:r w:rsidRPr="00197362">
        <w:rPr>
          <w:rFonts w:ascii="Arial" w:hAnsi="Arial" w:cs="Arial"/>
          <w:sz w:val="24"/>
          <w:szCs w:val="24"/>
          <w:lang w:val="en-ZA"/>
        </w:rPr>
        <w:t xml:space="preserve"> </w:t>
      </w:r>
      <w:r w:rsidR="00E60D76" w:rsidRPr="00197362">
        <w:rPr>
          <w:rFonts w:ascii="Arial" w:hAnsi="Arial" w:cs="Arial"/>
          <w:sz w:val="24"/>
          <w:szCs w:val="24"/>
          <w:lang w:val="en-ZA"/>
        </w:rPr>
        <w:t xml:space="preserve">a manager at the department in </w:t>
      </w:r>
      <w:r w:rsidR="0073257C">
        <w:rPr>
          <w:rFonts w:ascii="Arial" w:hAnsi="Arial" w:cs="Arial"/>
          <w:sz w:val="24"/>
          <w:szCs w:val="24"/>
          <w:lang w:val="en-ZA"/>
        </w:rPr>
        <w:t>‘</w:t>
      </w:r>
      <w:r w:rsidR="00E60D76" w:rsidRPr="00197362">
        <w:rPr>
          <w:rFonts w:ascii="Arial" w:hAnsi="Arial" w:cs="Arial"/>
          <w:sz w:val="24"/>
          <w:szCs w:val="24"/>
          <w:lang w:val="en-ZA"/>
        </w:rPr>
        <w:t>MFC</w:t>
      </w:r>
      <w:r w:rsidR="0073257C">
        <w:rPr>
          <w:rFonts w:ascii="Arial" w:hAnsi="Arial" w:cs="Arial"/>
          <w:sz w:val="24"/>
          <w:szCs w:val="24"/>
          <w:lang w:val="en-ZA"/>
        </w:rPr>
        <w:t>’</w:t>
      </w:r>
      <w:r w:rsidR="00E60D76" w:rsidRPr="00197362">
        <w:rPr>
          <w:rFonts w:ascii="Arial" w:hAnsi="Arial" w:cs="Arial"/>
          <w:sz w:val="24"/>
          <w:szCs w:val="24"/>
          <w:lang w:val="en-ZA"/>
        </w:rPr>
        <w:t xml:space="preserve"> which seems to be one of the departments at a lender who is not the</w:t>
      </w:r>
      <w:r w:rsidRPr="00197362">
        <w:rPr>
          <w:rFonts w:ascii="Arial" w:hAnsi="Arial" w:cs="Arial"/>
          <w:sz w:val="24"/>
          <w:szCs w:val="24"/>
          <w:lang w:val="en-ZA"/>
        </w:rPr>
        <w:t xml:space="preserve"> </w:t>
      </w:r>
      <w:r w:rsidR="00E60D76" w:rsidRPr="00197362">
        <w:rPr>
          <w:rFonts w:ascii="Arial" w:hAnsi="Arial" w:cs="Arial"/>
          <w:sz w:val="24"/>
          <w:szCs w:val="24"/>
          <w:lang w:val="en-ZA"/>
        </w:rPr>
        <w:t>plaintiff.</w:t>
      </w:r>
    </w:p>
    <w:p w14:paraId="2BCF5C63" w14:textId="5B99D3BB" w:rsidR="00BB39C7" w:rsidRPr="00197362" w:rsidRDefault="00BB39C7" w:rsidP="00197362">
      <w:pPr>
        <w:spacing w:after="0" w:line="360" w:lineRule="auto"/>
        <w:jc w:val="both"/>
        <w:rPr>
          <w:rFonts w:ascii="Arial" w:hAnsi="Arial" w:cs="Arial"/>
          <w:sz w:val="24"/>
          <w:szCs w:val="24"/>
          <w:lang w:val="en-ZA"/>
        </w:rPr>
      </w:pPr>
    </w:p>
    <w:p w14:paraId="074385AB" w14:textId="0EBAB311" w:rsidR="00BB39C7" w:rsidRPr="00197362" w:rsidRDefault="00BB39C7" w:rsidP="00197362">
      <w:pPr>
        <w:spacing w:after="0" w:line="360" w:lineRule="auto"/>
        <w:jc w:val="both"/>
        <w:rPr>
          <w:rFonts w:ascii="Arial" w:hAnsi="Arial" w:cs="Arial"/>
          <w:sz w:val="24"/>
          <w:szCs w:val="24"/>
          <w:lang w:val="en-ZA"/>
        </w:rPr>
      </w:pPr>
      <w:r w:rsidRPr="00197362">
        <w:rPr>
          <w:rFonts w:ascii="Arial" w:hAnsi="Arial" w:cs="Arial"/>
          <w:sz w:val="24"/>
          <w:szCs w:val="24"/>
          <w:lang w:val="en-ZA"/>
        </w:rPr>
        <w:lastRenderedPageBreak/>
        <w:t>[</w:t>
      </w:r>
      <w:r w:rsidR="000B60FD" w:rsidRPr="00197362">
        <w:rPr>
          <w:rFonts w:ascii="Arial" w:hAnsi="Arial" w:cs="Arial"/>
          <w:sz w:val="24"/>
          <w:szCs w:val="24"/>
          <w:lang w:val="en-ZA"/>
        </w:rPr>
        <w:t>12</w:t>
      </w:r>
      <w:r w:rsidRPr="00197362">
        <w:rPr>
          <w:rFonts w:ascii="Arial" w:hAnsi="Arial" w:cs="Arial"/>
          <w:sz w:val="24"/>
          <w:szCs w:val="24"/>
          <w:lang w:val="en-ZA"/>
        </w:rPr>
        <w:t>]</w:t>
      </w:r>
      <w:r w:rsidR="00197362" w:rsidRPr="00197362">
        <w:rPr>
          <w:rFonts w:ascii="Arial" w:hAnsi="Arial" w:cs="Arial"/>
          <w:sz w:val="24"/>
          <w:szCs w:val="24"/>
          <w:lang w:val="en-ZA"/>
        </w:rPr>
        <w:t xml:space="preserve"> </w:t>
      </w:r>
      <w:r w:rsidR="0073257C">
        <w:rPr>
          <w:rFonts w:ascii="Arial" w:hAnsi="Arial" w:cs="Arial"/>
          <w:sz w:val="24"/>
          <w:szCs w:val="24"/>
          <w:lang w:val="en-ZA"/>
        </w:rPr>
        <w:tab/>
      </w:r>
      <w:r w:rsidRPr="00197362">
        <w:rPr>
          <w:rFonts w:ascii="Arial" w:hAnsi="Arial" w:cs="Arial"/>
          <w:sz w:val="24"/>
          <w:szCs w:val="24"/>
          <w:lang w:val="en-ZA"/>
        </w:rPr>
        <w:t>The plaintiff contend</w:t>
      </w:r>
      <w:r w:rsidR="000B60FD" w:rsidRPr="00197362">
        <w:rPr>
          <w:rFonts w:ascii="Arial" w:hAnsi="Arial" w:cs="Arial"/>
          <w:sz w:val="24"/>
          <w:szCs w:val="24"/>
          <w:lang w:val="en-ZA"/>
        </w:rPr>
        <w:t>ed</w:t>
      </w:r>
      <w:r w:rsidRPr="00197362">
        <w:rPr>
          <w:rFonts w:ascii="Arial" w:hAnsi="Arial" w:cs="Arial"/>
          <w:sz w:val="24"/>
          <w:szCs w:val="24"/>
          <w:lang w:val="en-ZA"/>
        </w:rPr>
        <w:t xml:space="preserve"> that the defence</w:t>
      </w:r>
      <w:r w:rsidR="00197362" w:rsidRPr="00197362">
        <w:rPr>
          <w:rFonts w:ascii="Arial" w:hAnsi="Arial" w:cs="Arial"/>
          <w:sz w:val="24"/>
          <w:szCs w:val="24"/>
          <w:lang w:val="en-ZA"/>
        </w:rPr>
        <w:t xml:space="preserve"> </w:t>
      </w:r>
      <w:r w:rsidRPr="00197362">
        <w:rPr>
          <w:rFonts w:ascii="Arial" w:hAnsi="Arial" w:cs="Arial"/>
          <w:sz w:val="24"/>
          <w:szCs w:val="24"/>
          <w:lang w:val="en-ZA"/>
        </w:rPr>
        <w:t xml:space="preserve">pleaded by the </w:t>
      </w:r>
      <w:r w:rsidR="000B60FD" w:rsidRPr="00197362">
        <w:rPr>
          <w:rFonts w:ascii="Arial" w:hAnsi="Arial" w:cs="Arial"/>
          <w:sz w:val="24"/>
          <w:szCs w:val="24"/>
          <w:lang w:val="en-ZA"/>
        </w:rPr>
        <w:t>defendant</w:t>
      </w:r>
      <w:r w:rsidRPr="00197362">
        <w:rPr>
          <w:rFonts w:ascii="Arial" w:hAnsi="Arial" w:cs="Arial"/>
          <w:sz w:val="24"/>
          <w:szCs w:val="24"/>
          <w:lang w:val="en-ZA"/>
        </w:rPr>
        <w:t xml:space="preserve"> does not raise any</w:t>
      </w:r>
      <w:r w:rsidR="000B60FD" w:rsidRPr="00197362">
        <w:rPr>
          <w:rFonts w:ascii="Arial" w:hAnsi="Arial" w:cs="Arial"/>
          <w:sz w:val="24"/>
          <w:szCs w:val="24"/>
          <w:lang w:val="en-ZA"/>
        </w:rPr>
        <w:t xml:space="preserve"> triable</w:t>
      </w:r>
      <w:r w:rsidRPr="00197362">
        <w:rPr>
          <w:rFonts w:ascii="Arial" w:hAnsi="Arial" w:cs="Arial"/>
          <w:sz w:val="24"/>
          <w:szCs w:val="24"/>
          <w:lang w:val="en-ZA"/>
        </w:rPr>
        <w:t xml:space="preserve"> issue.</w:t>
      </w:r>
      <w:r w:rsidR="000B60FD" w:rsidRPr="00197362">
        <w:rPr>
          <w:rFonts w:ascii="Arial" w:hAnsi="Arial" w:cs="Arial"/>
          <w:sz w:val="24"/>
          <w:szCs w:val="24"/>
          <w:lang w:val="en-ZA"/>
        </w:rPr>
        <w:t xml:space="preserve"> There is no merit, the plaintiff argued,</w:t>
      </w:r>
      <w:r w:rsidRPr="00197362">
        <w:rPr>
          <w:rFonts w:ascii="Arial" w:hAnsi="Arial" w:cs="Arial"/>
          <w:sz w:val="24"/>
          <w:szCs w:val="24"/>
          <w:lang w:val="en-ZA"/>
        </w:rPr>
        <w:t xml:space="preserve"> on the</w:t>
      </w:r>
      <w:r w:rsidR="00197362" w:rsidRPr="00197362">
        <w:rPr>
          <w:rFonts w:ascii="Arial" w:hAnsi="Arial" w:cs="Arial"/>
          <w:sz w:val="24"/>
          <w:szCs w:val="24"/>
          <w:lang w:val="en-ZA"/>
        </w:rPr>
        <w:t xml:space="preserve"> </w:t>
      </w:r>
      <w:r w:rsidR="000B60FD" w:rsidRPr="00197362">
        <w:rPr>
          <w:rFonts w:ascii="Arial" w:hAnsi="Arial" w:cs="Arial"/>
          <w:sz w:val="24"/>
          <w:szCs w:val="24"/>
          <w:lang w:val="en-ZA"/>
        </w:rPr>
        <w:t>defendant’s</w:t>
      </w:r>
      <w:r w:rsidRPr="00197362">
        <w:rPr>
          <w:rFonts w:ascii="Arial" w:hAnsi="Arial" w:cs="Arial"/>
          <w:sz w:val="24"/>
          <w:szCs w:val="24"/>
          <w:lang w:val="en-ZA"/>
        </w:rPr>
        <w:t xml:space="preserve"> contention regarding</w:t>
      </w:r>
      <w:r w:rsidR="00197362" w:rsidRPr="00197362">
        <w:rPr>
          <w:rFonts w:ascii="Arial" w:hAnsi="Arial" w:cs="Arial"/>
          <w:sz w:val="24"/>
          <w:szCs w:val="24"/>
          <w:lang w:val="en-ZA"/>
        </w:rPr>
        <w:t xml:space="preserve"> </w:t>
      </w:r>
      <w:r w:rsidR="00BB1536" w:rsidRPr="00197362">
        <w:rPr>
          <w:rFonts w:ascii="Arial" w:hAnsi="Arial" w:cs="Arial"/>
          <w:sz w:val="24"/>
          <w:szCs w:val="24"/>
          <w:lang w:val="en-ZA"/>
        </w:rPr>
        <w:t xml:space="preserve">the </w:t>
      </w:r>
      <w:r w:rsidRPr="00197362">
        <w:rPr>
          <w:rFonts w:ascii="Arial" w:hAnsi="Arial" w:cs="Arial"/>
          <w:sz w:val="24"/>
          <w:szCs w:val="24"/>
          <w:lang w:val="en-ZA"/>
        </w:rPr>
        <w:t>calculation of VAT and interest</w:t>
      </w:r>
      <w:r w:rsidR="00F64ABF">
        <w:rPr>
          <w:rFonts w:ascii="Arial" w:hAnsi="Arial" w:cs="Arial"/>
          <w:sz w:val="24"/>
          <w:szCs w:val="24"/>
          <w:lang w:val="en-ZA"/>
        </w:rPr>
        <w:t>,</w:t>
      </w:r>
      <w:r w:rsidRPr="00197362">
        <w:rPr>
          <w:rFonts w:ascii="Arial" w:hAnsi="Arial" w:cs="Arial"/>
          <w:sz w:val="24"/>
          <w:szCs w:val="24"/>
          <w:lang w:val="en-ZA"/>
        </w:rPr>
        <w:t xml:space="preserve"> because i</w:t>
      </w:r>
      <w:r w:rsidR="0073257C">
        <w:rPr>
          <w:rFonts w:ascii="Arial" w:hAnsi="Arial" w:cs="Arial"/>
          <w:sz w:val="24"/>
          <w:szCs w:val="24"/>
          <w:lang w:val="en-ZA"/>
        </w:rPr>
        <w:t>n terms of section 102(1)</w:t>
      </w:r>
      <w:r w:rsidRPr="00633248">
        <w:rPr>
          <w:rFonts w:ascii="Arial" w:hAnsi="Arial" w:cs="Arial"/>
          <w:i/>
          <w:sz w:val="24"/>
          <w:szCs w:val="24"/>
          <w:lang w:val="en-ZA"/>
        </w:rPr>
        <w:t>(e)</w:t>
      </w:r>
      <w:r w:rsidRPr="00197362">
        <w:rPr>
          <w:rFonts w:ascii="Arial" w:hAnsi="Arial" w:cs="Arial"/>
          <w:sz w:val="24"/>
          <w:szCs w:val="24"/>
          <w:lang w:val="en-ZA"/>
        </w:rPr>
        <w:t xml:space="preserve"> of the </w:t>
      </w:r>
      <w:r w:rsidRPr="00197362">
        <w:rPr>
          <w:rFonts w:ascii="Arial" w:hAnsi="Arial" w:cs="Arial"/>
          <w:color w:val="000000" w:themeColor="text1"/>
          <w:sz w:val="24"/>
          <w:szCs w:val="24"/>
          <w:lang w:val="en-ZA"/>
        </w:rPr>
        <w:t>NCA</w:t>
      </w:r>
      <w:r w:rsidR="000B60FD" w:rsidRPr="00197362">
        <w:rPr>
          <w:rFonts w:ascii="Arial" w:hAnsi="Arial" w:cs="Arial"/>
          <w:color w:val="000000" w:themeColor="text1"/>
          <w:sz w:val="24"/>
          <w:szCs w:val="24"/>
          <w:lang w:val="en-ZA"/>
        </w:rPr>
        <w:t>,</w:t>
      </w:r>
      <w:r w:rsidRPr="00197362">
        <w:rPr>
          <w:rFonts w:ascii="Arial" w:hAnsi="Arial" w:cs="Arial"/>
          <w:color w:val="000000" w:themeColor="text1"/>
          <w:sz w:val="24"/>
          <w:szCs w:val="24"/>
          <w:lang w:val="en-ZA"/>
        </w:rPr>
        <w:t xml:space="preserve"> VAT is calculated</w:t>
      </w:r>
      <w:r w:rsidR="00197362" w:rsidRPr="00197362">
        <w:rPr>
          <w:rFonts w:ascii="Arial" w:hAnsi="Arial" w:cs="Arial"/>
          <w:color w:val="000000" w:themeColor="text1"/>
          <w:sz w:val="24"/>
          <w:szCs w:val="24"/>
          <w:lang w:val="en-ZA"/>
        </w:rPr>
        <w:t xml:space="preserve"> </w:t>
      </w:r>
      <w:r w:rsidR="000B60FD" w:rsidRPr="00197362">
        <w:rPr>
          <w:rFonts w:ascii="Arial" w:hAnsi="Arial" w:cs="Arial"/>
          <w:color w:val="000000" w:themeColor="text1"/>
          <w:sz w:val="24"/>
          <w:szCs w:val="24"/>
          <w:lang w:val="en-ZA"/>
        </w:rPr>
        <w:t>and</w:t>
      </w:r>
      <w:r w:rsidR="00197362" w:rsidRPr="00197362">
        <w:rPr>
          <w:rFonts w:ascii="Arial" w:hAnsi="Arial" w:cs="Arial"/>
          <w:color w:val="000000" w:themeColor="text1"/>
          <w:sz w:val="24"/>
          <w:szCs w:val="24"/>
          <w:lang w:val="en-ZA"/>
        </w:rPr>
        <w:t xml:space="preserve"> </w:t>
      </w:r>
      <w:r w:rsidRPr="00197362">
        <w:rPr>
          <w:rFonts w:ascii="Arial" w:hAnsi="Arial" w:cs="Arial"/>
          <w:color w:val="000000" w:themeColor="text1"/>
          <w:sz w:val="24"/>
          <w:szCs w:val="24"/>
          <w:lang w:val="en-ZA"/>
        </w:rPr>
        <w:t>charged separately on the sale price</w:t>
      </w:r>
      <w:r w:rsidR="000B60FD" w:rsidRPr="00197362">
        <w:rPr>
          <w:rFonts w:ascii="Arial" w:hAnsi="Arial" w:cs="Arial"/>
          <w:color w:val="000000" w:themeColor="text1"/>
          <w:sz w:val="24"/>
          <w:szCs w:val="24"/>
          <w:lang w:val="en-ZA"/>
        </w:rPr>
        <w:t>,</w:t>
      </w:r>
      <w:r w:rsidR="0073257C">
        <w:rPr>
          <w:rFonts w:ascii="Arial" w:hAnsi="Arial" w:cs="Arial"/>
          <w:color w:val="000000" w:themeColor="text1"/>
          <w:sz w:val="24"/>
          <w:szCs w:val="24"/>
          <w:lang w:val="en-ZA"/>
        </w:rPr>
        <w:t xml:space="preserve"> and in terms of s</w:t>
      </w:r>
      <w:r w:rsidR="00F64ABF">
        <w:rPr>
          <w:rFonts w:ascii="Arial" w:hAnsi="Arial" w:cs="Arial"/>
          <w:color w:val="000000" w:themeColor="text1"/>
          <w:sz w:val="24"/>
          <w:szCs w:val="24"/>
          <w:lang w:val="en-ZA"/>
        </w:rPr>
        <w:t>ection</w:t>
      </w:r>
      <w:r w:rsidR="0073257C">
        <w:rPr>
          <w:rFonts w:ascii="Arial" w:hAnsi="Arial" w:cs="Arial"/>
          <w:color w:val="000000" w:themeColor="text1"/>
          <w:sz w:val="24"/>
          <w:szCs w:val="24"/>
          <w:lang w:val="en-ZA"/>
        </w:rPr>
        <w:t xml:space="preserve"> 101</w:t>
      </w:r>
      <w:r w:rsidR="0073257C">
        <w:rPr>
          <w:rFonts w:ascii="Arial" w:hAnsi="Arial" w:cs="Arial"/>
          <w:sz w:val="24"/>
          <w:szCs w:val="24"/>
          <w:lang w:val="en-ZA"/>
        </w:rPr>
        <w:t>(1)</w:t>
      </w:r>
      <w:r w:rsidRPr="00633248">
        <w:rPr>
          <w:rFonts w:ascii="Arial" w:hAnsi="Arial" w:cs="Arial"/>
          <w:i/>
          <w:sz w:val="24"/>
          <w:szCs w:val="24"/>
          <w:lang w:val="en-ZA"/>
        </w:rPr>
        <w:t>(d)</w:t>
      </w:r>
      <w:r w:rsidRPr="00197362">
        <w:rPr>
          <w:rFonts w:ascii="Arial" w:hAnsi="Arial" w:cs="Arial"/>
          <w:sz w:val="24"/>
          <w:szCs w:val="24"/>
          <w:lang w:val="en-ZA"/>
        </w:rPr>
        <w:t>(i) and (ii) of NCA</w:t>
      </w:r>
      <w:r w:rsidR="00BB1536" w:rsidRPr="00197362">
        <w:rPr>
          <w:rFonts w:ascii="Arial" w:hAnsi="Arial" w:cs="Arial"/>
          <w:sz w:val="24"/>
          <w:szCs w:val="24"/>
          <w:lang w:val="en-ZA"/>
        </w:rPr>
        <w:t>,</w:t>
      </w:r>
      <w:r w:rsidR="00197362" w:rsidRPr="00197362">
        <w:rPr>
          <w:rFonts w:ascii="Arial" w:hAnsi="Arial" w:cs="Arial"/>
          <w:sz w:val="24"/>
          <w:szCs w:val="24"/>
          <w:lang w:val="en-ZA"/>
        </w:rPr>
        <w:t xml:space="preserve"> </w:t>
      </w:r>
      <w:r w:rsidRPr="00197362">
        <w:rPr>
          <w:rFonts w:ascii="Arial" w:hAnsi="Arial" w:cs="Arial"/>
          <w:sz w:val="24"/>
          <w:szCs w:val="24"/>
          <w:lang w:val="en-ZA"/>
        </w:rPr>
        <w:t xml:space="preserve">interest is calculated separately from </w:t>
      </w:r>
      <w:r w:rsidRPr="00197362">
        <w:rPr>
          <w:rFonts w:ascii="Arial" w:hAnsi="Arial" w:cs="Arial"/>
          <w:color w:val="0D0D0D" w:themeColor="text1" w:themeTint="F2"/>
          <w:sz w:val="24"/>
          <w:szCs w:val="24"/>
          <w:lang w:val="en-ZA"/>
        </w:rPr>
        <w:t>VAT.</w:t>
      </w:r>
      <w:r w:rsidRPr="00197362">
        <w:rPr>
          <w:rFonts w:ascii="Arial" w:hAnsi="Arial" w:cs="Arial"/>
          <w:sz w:val="24"/>
          <w:szCs w:val="24"/>
          <w:lang w:val="en-ZA"/>
        </w:rPr>
        <w:t xml:space="preserve"> Regarding the contention that the </w:t>
      </w:r>
      <w:r w:rsidR="000B60FD" w:rsidRPr="00197362">
        <w:rPr>
          <w:rFonts w:ascii="Arial" w:hAnsi="Arial" w:cs="Arial"/>
          <w:sz w:val="24"/>
          <w:szCs w:val="24"/>
          <w:lang w:val="en-ZA"/>
        </w:rPr>
        <w:t>defendant</w:t>
      </w:r>
      <w:r w:rsidR="003D276A" w:rsidRPr="00197362">
        <w:rPr>
          <w:rFonts w:ascii="Arial" w:hAnsi="Arial" w:cs="Arial"/>
          <w:sz w:val="24"/>
          <w:szCs w:val="24"/>
          <w:lang w:val="en-ZA"/>
        </w:rPr>
        <w:t xml:space="preserve"> </w:t>
      </w:r>
      <w:r w:rsidRPr="00197362">
        <w:rPr>
          <w:rFonts w:ascii="Arial" w:hAnsi="Arial" w:cs="Arial"/>
          <w:sz w:val="24"/>
          <w:szCs w:val="24"/>
          <w:lang w:val="en-ZA"/>
        </w:rPr>
        <w:t xml:space="preserve">did not receive a copy of the agreement the </w:t>
      </w:r>
      <w:r w:rsidR="003D276A" w:rsidRPr="00197362">
        <w:rPr>
          <w:rFonts w:ascii="Arial" w:hAnsi="Arial" w:cs="Arial"/>
          <w:sz w:val="24"/>
          <w:szCs w:val="24"/>
          <w:lang w:val="en-ZA"/>
        </w:rPr>
        <w:t>plaintiff</w:t>
      </w:r>
      <w:r w:rsidRPr="00197362">
        <w:rPr>
          <w:rFonts w:ascii="Arial" w:hAnsi="Arial" w:cs="Arial"/>
          <w:sz w:val="24"/>
          <w:szCs w:val="24"/>
          <w:lang w:val="en-ZA"/>
        </w:rPr>
        <w:t xml:space="preserve"> </w:t>
      </w:r>
      <w:r w:rsidR="00F64ABF" w:rsidRPr="00197362">
        <w:rPr>
          <w:rFonts w:ascii="Arial" w:hAnsi="Arial" w:cs="Arial"/>
          <w:sz w:val="24"/>
          <w:szCs w:val="24"/>
          <w:lang w:val="en-ZA"/>
        </w:rPr>
        <w:t>averred</w:t>
      </w:r>
      <w:r w:rsidRPr="00197362">
        <w:rPr>
          <w:rFonts w:ascii="Arial" w:hAnsi="Arial" w:cs="Arial"/>
          <w:sz w:val="24"/>
          <w:szCs w:val="24"/>
          <w:lang w:val="en-ZA"/>
        </w:rPr>
        <w:t xml:space="preserve"> that the </w:t>
      </w:r>
      <w:r w:rsidR="003D276A" w:rsidRPr="00197362">
        <w:rPr>
          <w:rFonts w:ascii="Arial" w:hAnsi="Arial" w:cs="Arial"/>
          <w:sz w:val="24"/>
          <w:szCs w:val="24"/>
          <w:lang w:val="en-ZA"/>
        </w:rPr>
        <w:t>defendant</w:t>
      </w:r>
      <w:r w:rsidRPr="00197362">
        <w:rPr>
          <w:rFonts w:ascii="Arial" w:hAnsi="Arial" w:cs="Arial"/>
          <w:sz w:val="24"/>
          <w:szCs w:val="24"/>
          <w:lang w:val="en-ZA"/>
        </w:rPr>
        <w:t xml:space="preserve"> ha</w:t>
      </w:r>
      <w:r w:rsidR="003D276A" w:rsidRPr="00197362">
        <w:rPr>
          <w:rFonts w:ascii="Arial" w:hAnsi="Arial" w:cs="Arial"/>
          <w:sz w:val="24"/>
          <w:szCs w:val="24"/>
          <w:lang w:val="en-ZA"/>
        </w:rPr>
        <w:t>d</w:t>
      </w:r>
      <w:r w:rsidRPr="00197362">
        <w:rPr>
          <w:rFonts w:ascii="Arial" w:hAnsi="Arial" w:cs="Arial"/>
          <w:sz w:val="24"/>
          <w:szCs w:val="24"/>
          <w:lang w:val="en-ZA"/>
        </w:rPr>
        <w:t xml:space="preserve"> sight of and ha</w:t>
      </w:r>
      <w:r w:rsidR="003D276A" w:rsidRPr="00197362">
        <w:rPr>
          <w:rFonts w:ascii="Arial" w:hAnsi="Arial" w:cs="Arial"/>
          <w:sz w:val="24"/>
          <w:szCs w:val="24"/>
          <w:lang w:val="en-ZA"/>
        </w:rPr>
        <w:t>d</w:t>
      </w:r>
      <w:r w:rsidRPr="00197362">
        <w:rPr>
          <w:rFonts w:ascii="Arial" w:hAnsi="Arial" w:cs="Arial"/>
          <w:sz w:val="24"/>
          <w:szCs w:val="24"/>
          <w:lang w:val="en-ZA"/>
        </w:rPr>
        <w:t xml:space="preserve"> signed the agreement.</w:t>
      </w:r>
      <w:r w:rsidR="00197362" w:rsidRPr="00197362">
        <w:rPr>
          <w:rFonts w:ascii="Arial" w:hAnsi="Arial" w:cs="Arial"/>
          <w:sz w:val="24"/>
          <w:szCs w:val="24"/>
          <w:lang w:val="en-ZA"/>
        </w:rPr>
        <w:t xml:space="preserve"> </w:t>
      </w:r>
      <w:r w:rsidR="003D276A" w:rsidRPr="00197362">
        <w:rPr>
          <w:rFonts w:ascii="Arial" w:hAnsi="Arial" w:cs="Arial"/>
          <w:sz w:val="24"/>
          <w:szCs w:val="24"/>
          <w:lang w:val="en-ZA"/>
        </w:rPr>
        <w:t>The plaintiff</w:t>
      </w:r>
      <w:r w:rsidRPr="00197362">
        <w:rPr>
          <w:rFonts w:ascii="Arial" w:hAnsi="Arial" w:cs="Arial"/>
          <w:sz w:val="24"/>
          <w:szCs w:val="24"/>
          <w:lang w:val="en-ZA"/>
        </w:rPr>
        <w:t xml:space="preserve"> contend</w:t>
      </w:r>
      <w:r w:rsidR="003D276A" w:rsidRPr="00197362">
        <w:rPr>
          <w:rFonts w:ascii="Arial" w:hAnsi="Arial" w:cs="Arial"/>
          <w:sz w:val="24"/>
          <w:szCs w:val="24"/>
          <w:lang w:val="en-ZA"/>
        </w:rPr>
        <w:t>ed</w:t>
      </w:r>
      <w:r w:rsidRPr="00197362">
        <w:rPr>
          <w:rFonts w:ascii="Arial" w:hAnsi="Arial" w:cs="Arial"/>
          <w:sz w:val="24"/>
          <w:szCs w:val="24"/>
          <w:lang w:val="en-ZA"/>
        </w:rPr>
        <w:t xml:space="preserve"> that for purposes of th</w:t>
      </w:r>
      <w:r w:rsidR="00BB1536" w:rsidRPr="00197362">
        <w:rPr>
          <w:rFonts w:ascii="Arial" w:hAnsi="Arial" w:cs="Arial"/>
          <w:sz w:val="24"/>
          <w:szCs w:val="24"/>
          <w:lang w:val="en-ZA"/>
        </w:rPr>
        <w:t>is</w:t>
      </w:r>
      <w:r w:rsidRPr="00197362">
        <w:rPr>
          <w:rFonts w:ascii="Arial" w:hAnsi="Arial" w:cs="Arial"/>
          <w:sz w:val="24"/>
          <w:szCs w:val="24"/>
          <w:lang w:val="en-ZA"/>
        </w:rPr>
        <w:t xml:space="preserve"> application for return of the</w:t>
      </w:r>
      <w:r w:rsidR="00197362" w:rsidRPr="00197362">
        <w:rPr>
          <w:rFonts w:ascii="Arial" w:hAnsi="Arial" w:cs="Arial"/>
          <w:sz w:val="24"/>
          <w:szCs w:val="24"/>
          <w:lang w:val="en-ZA"/>
        </w:rPr>
        <w:t xml:space="preserve"> </w:t>
      </w:r>
      <w:r w:rsidRPr="00197362">
        <w:rPr>
          <w:rFonts w:ascii="Arial" w:hAnsi="Arial" w:cs="Arial"/>
          <w:sz w:val="24"/>
          <w:szCs w:val="24"/>
          <w:lang w:val="en-ZA"/>
        </w:rPr>
        <w:t>vehicle the</w:t>
      </w:r>
      <w:r w:rsidR="00197362" w:rsidRPr="00197362">
        <w:rPr>
          <w:rFonts w:ascii="Arial" w:hAnsi="Arial" w:cs="Arial"/>
          <w:sz w:val="24"/>
          <w:szCs w:val="24"/>
          <w:lang w:val="en-ZA"/>
        </w:rPr>
        <w:t xml:space="preserve"> </w:t>
      </w:r>
      <w:r w:rsidR="003D276A" w:rsidRPr="00197362">
        <w:rPr>
          <w:rFonts w:ascii="Arial" w:hAnsi="Arial" w:cs="Arial"/>
          <w:sz w:val="24"/>
          <w:szCs w:val="24"/>
          <w:lang w:val="en-ZA"/>
        </w:rPr>
        <w:t>balance</w:t>
      </w:r>
      <w:r w:rsidR="0003164D" w:rsidRPr="00197362">
        <w:rPr>
          <w:rFonts w:ascii="Arial" w:hAnsi="Arial" w:cs="Arial"/>
          <w:sz w:val="24"/>
          <w:szCs w:val="24"/>
          <w:lang w:val="en-ZA"/>
        </w:rPr>
        <w:t xml:space="preserve"> certificate</w:t>
      </w:r>
      <w:r w:rsidR="00197362" w:rsidRPr="00197362">
        <w:rPr>
          <w:rFonts w:ascii="Arial" w:hAnsi="Arial" w:cs="Arial"/>
          <w:sz w:val="24"/>
          <w:szCs w:val="24"/>
          <w:lang w:val="en-ZA"/>
        </w:rPr>
        <w:t xml:space="preserve"> </w:t>
      </w:r>
      <w:r w:rsidRPr="00197362">
        <w:rPr>
          <w:rFonts w:ascii="Arial" w:hAnsi="Arial" w:cs="Arial"/>
          <w:sz w:val="24"/>
          <w:szCs w:val="24"/>
          <w:lang w:val="en-ZA"/>
        </w:rPr>
        <w:t xml:space="preserve">is not </w:t>
      </w:r>
      <w:r w:rsidR="003D276A" w:rsidRPr="00197362">
        <w:rPr>
          <w:rFonts w:ascii="Arial" w:hAnsi="Arial" w:cs="Arial"/>
          <w:sz w:val="24"/>
          <w:szCs w:val="24"/>
          <w:lang w:val="en-ZA"/>
        </w:rPr>
        <w:t xml:space="preserve">material </w:t>
      </w:r>
      <w:r w:rsidR="00BB1536" w:rsidRPr="00197362">
        <w:rPr>
          <w:rFonts w:ascii="Arial" w:hAnsi="Arial" w:cs="Arial"/>
          <w:sz w:val="24"/>
          <w:szCs w:val="24"/>
          <w:lang w:val="en-ZA"/>
        </w:rPr>
        <w:t>because</w:t>
      </w:r>
      <w:r w:rsidR="00197362" w:rsidRPr="00197362">
        <w:rPr>
          <w:rFonts w:ascii="Arial" w:hAnsi="Arial" w:cs="Arial"/>
          <w:sz w:val="24"/>
          <w:szCs w:val="24"/>
          <w:lang w:val="en-ZA"/>
        </w:rPr>
        <w:t xml:space="preserve"> </w:t>
      </w:r>
      <w:r w:rsidRPr="00197362">
        <w:rPr>
          <w:rFonts w:ascii="Arial" w:hAnsi="Arial" w:cs="Arial"/>
          <w:sz w:val="24"/>
          <w:szCs w:val="24"/>
          <w:lang w:val="en-ZA"/>
        </w:rPr>
        <w:t xml:space="preserve">the </w:t>
      </w:r>
      <w:r w:rsidR="003D276A" w:rsidRPr="00197362">
        <w:rPr>
          <w:rFonts w:ascii="Arial" w:hAnsi="Arial" w:cs="Arial"/>
          <w:sz w:val="24"/>
          <w:szCs w:val="24"/>
          <w:lang w:val="en-ZA"/>
        </w:rPr>
        <w:t>defendant</w:t>
      </w:r>
      <w:r w:rsidRPr="00197362">
        <w:rPr>
          <w:rFonts w:ascii="Arial" w:hAnsi="Arial" w:cs="Arial"/>
          <w:sz w:val="24"/>
          <w:szCs w:val="24"/>
          <w:lang w:val="en-ZA"/>
        </w:rPr>
        <w:t xml:space="preserve"> ha</w:t>
      </w:r>
      <w:r w:rsidR="003D276A" w:rsidRPr="00197362">
        <w:rPr>
          <w:rFonts w:ascii="Arial" w:hAnsi="Arial" w:cs="Arial"/>
          <w:sz w:val="24"/>
          <w:szCs w:val="24"/>
          <w:lang w:val="en-ZA"/>
        </w:rPr>
        <w:t>d</w:t>
      </w:r>
      <w:r w:rsidRPr="00197362">
        <w:rPr>
          <w:rFonts w:ascii="Arial" w:hAnsi="Arial" w:cs="Arial"/>
          <w:sz w:val="24"/>
          <w:szCs w:val="24"/>
          <w:lang w:val="en-ZA"/>
        </w:rPr>
        <w:t xml:space="preserve"> not</w:t>
      </w:r>
      <w:r w:rsidR="00197362" w:rsidRPr="00197362">
        <w:rPr>
          <w:rFonts w:ascii="Arial" w:hAnsi="Arial" w:cs="Arial"/>
          <w:sz w:val="24"/>
          <w:szCs w:val="24"/>
          <w:lang w:val="en-ZA"/>
        </w:rPr>
        <w:t xml:space="preserve"> </w:t>
      </w:r>
      <w:r w:rsidRPr="00197362">
        <w:rPr>
          <w:rFonts w:ascii="Arial" w:hAnsi="Arial" w:cs="Arial"/>
          <w:sz w:val="24"/>
          <w:szCs w:val="24"/>
          <w:lang w:val="en-ZA"/>
        </w:rPr>
        <w:t>made any payments on the account.</w:t>
      </w:r>
      <w:r w:rsidR="00197362" w:rsidRPr="00197362">
        <w:rPr>
          <w:rFonts w:ascii="Arial" w:hAnsi="Arial" w:cs="Arial"/>
          <w:sz w:val="24"/>
          <w:szCs w:val="24"/>
          <w:lang w:val="en-ZA"/>
        </w:rPr>
        <w:t xml:space="preserve"> </w:t>
      </w:r>
      <w:r w:rsidRPr="00197362">
        <w:rPr>
          <w:rFonts w:ascii="Arial" w:hAnsi="Arial" w:cs="Arial"/>
          <w:sz w:val="24"/>
          <w:szCs w:val="24"/>
          <w:lang w:val="en-ZA"/>
        </w:rPr>
        <w:t xml:space="preserve">The </w:t>
      </w:r>
      <w:r w:rsidR="008A1F3B">
        <w:rPr>
          <w:rFonts w:ascii="Arial" w:hAnsi="Arial" w:cs="Arial"/>
          <w:sz w:val="24"/>
          <w:szCs w:val="24"/>
          <w:lang w:val="en-ZA"/>
        </w:rPr>
        <w:t>plaintiff</w:t>
      </w:r>
      <w:r w:rsidRPr="00197362">
        <w:rPr>
          <w:rFonts w:ascii="Arial" w:hAnsi="Arial" w:cs="Arial"/>
          <w:sz w:val="24"/>
          <w:szCs w:val="24"/>
          <w:lang w:val="en-ZA"/>
        </w:rPr>
        <w:t xml:space="preserve"> attached proof of termination notices in terms of s</w:t>
      </w:r>
      <w:r w:rsidR="00633248">
        <w:rPr>
          <w:rFonts w:ascii="Arial" w:hAnsi="Arial" w:cs="Arial"/>
          <w:sz w:val="24"/>
          <w:szCs w:val="24"/>
          <w:lang w:val="en-ZA"/>
        </w:rPr>
        <w:t>ection</w:t>
      </w:r>
      <w:r w:rsidRPr="00197362">
        <w:rPr>
          <w:rFonts w:ascii="Arial" w:hAnsi="Arial" w:cs="Arial"/>
          <w:sz w:val="24"/>
          <w:szCs w:val="24"/>
          <w:lang w:val="en-ZA"/>
        </w:rPr>
        <w:t xml:space="preserve"> 86(10)</w:t>
      </w:r>
      <w:r w:rsidR="00633248">
        <w:rPr>
          <w:rFonts w:ascii="Arial" w:hAnsi="Arial" w:cs="Arial"/>
          <w:sz w:val="24"/>
          <w:szCs w:val="24"/>
          <w:lang w:val="en-ZA"/>
        </w:rPr>
        <w:t xml:space="preserve"> of the NCA that were sent</w:t>
      </w:r>
      <w:r w:rsidRPr="00197362">
        <w:rPr>
          <w:rFonts w:ascii="Arial" w:hAnsi="Arial" w:cs="Arial"/>
          <w:sz w:val="24"/>
          <w:szCs w:val="24"/>
          <w:lang w:val="en-ZA"/>
        </w:rPr>
        <w:t xml:space="preserve"> to</w:t>
      </w:r>
      <w:r w:rsidR="00197362" w:rsidRPr="00197362">
        <w:rPr>
          <w:rFonts w:ascii="Arial" w:hAnsi="Arial" w:cs="Arial"/>
          <w:sz w:val="24"/>
          <w:szCs w:val="24"/>
          <w:lang w:val="en-ZA"/>
        </w:rPr>
        <w:t xml:space="preserve"> </w:t>
      </w:r>
      <w:r w:rsidR="00BB1536" w:rsidRPr="00197362">
        <w:rPr>
          <w:rFonts w:ascii="Arial" w:hAnsi="Arial" w:cs="Arial"/>
          <w:sz w:val="24"/>
          <w:szCs w:val="24"/>
          <w:lang w:val="en-ZA"/>
        </w:rPr>
        <w:t>the defendant and the debt counsellor</w:t>
      </w:r>
      <w:r w:rsidRPr="00197362">
        <w:rPr>
          <w:rFonts w:ascii="Arial" w:hAnsi="Arial" w:cs="Arial"/>
          <w:sz w:val="24"/>
          <w:szCs w:val="24"/>
          <w:lang w:val="en-ZA"/>
        </w:rPr>
        <w:t xml:space="preserve">. </w:t>
      </w:r>
      <w:r w:rsidR="007D180C" w:rsidRPr="00197362">
        <w:rPr>
          <w:rFonts w:ascii="Arial" w:hAnsi="Arial" w:cs="Arial"/>
          <w:sz w:val="24"/>
          <w:szCs w:val="24"/>
          <w:lang w:val="en-ZA"/>
        </w:rPr>
        <w:t>Finally,</w:t>
      </w:r>
      <w:r w:rsidRPr="00197362">
        <w:rPr>
          <w:rFonts w:ascii="Arial" w:hAnsi="Arial" w:cs="Arial"/>
          <w:sz w:val="24"/>
          <w:szCs w:val="24"/>
          <w:lang w:val="en-ZA"/>
        </w:rPr>
        <w:t xml:space="preserve"> the</w:t>
      </w:r>
      <w:r w:rsidR="00197362" w:rsidRPr="00197362">
        <w:rPr>
          <w:rFonts w:ascii="Arial" w:hAnsi="Arial" w:cs="Arial"/>
          <w:sz w:val="24"/>
          <w:szCs w:val="24"/>
          <w:lang w:val="en-ZA"/>
        </w:rPr>
        <w:t xml:space="preserve"> </w:t>
      </w:r>
      <w:r w:rsidR="00BB1536" w:rsidRPr="00197362">
        <w:rPr>
          <w:rFonts w:ascii="Arial" w:hAnsi="Arial" w:cs="Arial"/>
          <w:sz w:val="24"/>
          <w:szCs w:val="24"/>
          <w:lang w:val="en-ZA"/>
        </w:rPr>
        <w:t>plaintiff</w:t>
      </w:r>
      <w:r w:rsidR="00197362" w:rsidRPr="00197362">
        <w:rPr>
          <w:rFonts w:ascii="Arial" w:hAnsi="Arial" w:cs="Arial"/>
          <w:sz w:val="24"/>
          <w:szCs w:val="24"/>
          <w:lang w:val="en-ZA"/>
        </w:rPr>
        <w:t xml:space="preserve"> </w:t>
      </w:r>
      <w:r w:rsidRPr="00197362">
        <w:rPr>
          <w:rFonts w:ascii="Arial" w:hAnsi="Arial" w:cs="Arial"/>
          <w:sz w:val="24"/>
          <w:szCs w:val="24"/>
          <w:lang w:val="en-ZA"/>
        </w:rPr>
        <w:t>conten</w:t>
      </w:r>
      <w:r w:rsidR="003D276A" w:rsidRPr="00197362">
        <w:rPr>
          <w:rFonts w:ascii="Arial" w:hAnsi="Arial" w:cs="Arial"/>
          <w:sz w:val="24"/>
          <w:szCs w:val="24"/>
          <w:lang w:val="en-ZA"/>
        </w:rPr>
        <w:t>ded</w:t>
      </w:r>
      <w:r w:rsidRPr="00197362">
        <w:rPr>
          <w:rFonts w:ascii="Arial" w:hAnsi="Arial" w:cs="Arial"/>
          <w:sz w:val="24"/>
          <w:szCs w:val="24"/>
          <w:lang w:val="en-ZA"/>
        </w:rPr>
        <w:t xml:space="preserve"> that the </w:t>
      </w:r>
      <w:r w:rsidR="003D276A" w:rsidRPr="00197362">
        <w:rPr>
          <w:rFonts w:ascii="Arial" w:hAnsi="Arial" w:cs="Arial"/>
          <w:sz w:val="24"/>
          <w:szCs w:val="24"/>
          <w:lang w:val="en-ZA"/>
        </w:rPr>
        <w:t>defendant</w:t>
      </w:r>
      <w:r w:rsidRPr="00197362">
        <w:rPr>
          <w:rFonts w:ascii="Arial" w:hAnsi="Arial" w:cs="Arial"/>
          <w:sz w:val="24"/>
          <w:szCs w:val="24"/>
          <w:lang w:val="en-ZA"/>
        </w:rPr>
        <w:t xml:space="preserve"> is not entitled to an order for debt review whilst retaining possession</w:t>
      </w:r>
      <w:r w:rsidR="00197362" w:rsidRPr="00197362">
        <w:rPr>
          <w:rFonts w:ascii="Arial" w:hAnsi="Arial" w:cs="Arial"/>
          <w:sz w:val="24"/>
          <w:szCs w:val="24"/>
          <w:lang w:val="en-ZA"/>
        </w:rPr>
        <w:t xml:space="preserve"> </w:t>
      </w:r>
      <w:r w:rsidRPr="00197362">
        <w:rPr>
          <w:rFonts w:ascii="Arial" w:hAnsi="Arial" w:cs="Arial"/>
          <w:sz w:val="24"/>
          <w:szCs w:val="24"/>
          <w:lang w:val="en-ZA"/>
        </w:rPr>
        <w:t>of the</w:t>
      </w:r>
      <w:r w:rsidR="00197362" w:rsidRPr="00197362">
        <w:rPr>
          <w:rFonts w:ascii="Arial" w:hAnsi="Arial" w:cs="Arial"/>
          <w:sz w:val="24"/>
          <w:szCs w:val="24"/>
          <w:lang w:val="en-ZA"/>
        </w:rPr>
        <w:t xml:space="preserve"> </w:t>
      </w:r>
      <w:r w:rsidRPr="00197362">
        <w:rPr>
          <w:rFonts w:ascii="Arial" w:hAnsi="Arial" w:cs="Arial"/>
          <w:sz w:val="24"/>
          <w:szCs w:val="24"/>
          <w:lang w:val="en-ZA"/>
        </w:rPr>
        <w:t>motor vehicle where the instalment sale</w:t>
      </w:r>
      <w:r w:rsidR="00197362" w:rsidRPr="00197362">
        <w:rPr>
          <w:rFonts w:ascii="Arial" w:hAnsi="Arial" w:cs="Arial"/>
          <w:sz w:val="24"/>
          <w:szCs w:val="24"/>
          <w:lang w:val="en-ZA"/>
        </w:rPr>
        <w:t xml:space="preserve"> </w:t>
      </w:r>
      <w:r w:rsidRPr="00197362">
        <w:rPr>
          <w:rFonts w:ascii="Arial" w:hAnsi="Arial" w:cs="Arial"/>
          <w:sz w:val="24"/>
          <w:szCs w:val="24"/>
          <w:lang w:val="en-ZA"/>
        </w:rPr>
        <w:t>agreement has been cancelled</w:t>
      </w:r>
      <w:r w:rsidR="003D276A" w:rsidRPr="00197362">
        <w:rPr>
          <w:rFonts w:ascii="Arial" w:hAnsi="Arial" w:cs="Arial"/>
          <w:sz w:val="24"/>
          <w:szCs w:val="24"/>
          <w:lang w:val="en-ZA"/>
        </w:rPr>
        <w:t>.</w:t>
      </w:r>
    </w:p>
    <w:p w14:paraId="5361071B" w14:textId="339CBD8D" w:rsidR="00BB39C7" w:rsidRPr="00197362" w:rsidRDefault="00BB39C7" w:rsidP="00197362">
      <w:pPr>
        <w:spacing w:after="0" w:line="360" w:lineRule="auto"/>
        <w:jc w:val="both"/>
        <w:rPr>
          <w:rFonts w:ascii="Arial" w:hAnsi="Arial" w:cs="Arial"/>
          <w:b/>
          <w:bCs/>
          <w:sz w:val="24"/>
          <w:szCs w:val="24"/>
          <w:lang w:val="en-ZA"/>
        </w:rPr>
      </w:pPr>
    </w:p>
    <w:p w14:paraId="4D81B578" w14:textId="35CC45C1" w:rsidR="00C60121" w:rsidRPr="00197362" w:rsidRDefault="0003164D" w:rsidP="00197362">
      <w:pPr>
        <w:spacing w:after="0" w:line="360" w:lineRule="auto"/>
        <w:jc w:val="both"/>
        <w:rPr>
          <w:rFonts w:ascii="Arial" w:hAnsi="Arial" w:cs="Arial"/>
          <w:b/>
          <w:bCs/>
          <w:sz w:val="24"/>
          <w:szCs w:val="24"/>
          <w:lang w:val="en-ZA"/>
        </w:rPr>
      </w:pPr>
      <w:r w:rsidRPr="00197362">
        <w:rPr>
          <w:rFonts w:ascii="Arial" w:hAnsi="Arial" w:cs="Arial"/>
          <w:b/>
          <w:bCs/>
          <w:sz w:val="24"/>
          <w:szCs w:val="24"/>
          <w:lang w:val="en-ZA"/>
        </w:rPr>
        <w:t>Legal principles</w:t>
      </w:r>
    </w:p>
    <w:p w14:paraId="30E877B0" w14:textId="4FA93EE6" w:rsidR="00C60121" w:rsidRPr="00197362" w:rsidRDefault="00C60121" w:rsidP="00197362">
      <w:pPr>
        <w:spacing w:after="0" w:line="360" w:lineRule="auto"/>
        <w:jc w:val="both"/>
        <w:rPr>
          <w:rFonts w:ascii="Arial" w:hAnsi="Arial" w:cs="Arial"/>
          <w:sz w:val="24"/>
          <w:szCs w:val="24"/>
          <w:lang w:val="en-ZA"/>
        </w:rPr>
      </w:pPr>
      <w:r w:rsidRPr="00197362">
        <w:rPr>
          <w:rFonts w:ascii="Arial" w:hAnsi="Arial" w:cs="Arial"/>
          <w:sz w:val="24"/>
          <w:szCs w:val="24"/>
          <w:lang w:val="en-ZA"/>
        </w:rPr>
        <w:t>[</w:t>
      </w:r>
      <w:r w:rsidR="0003164D" w:rsidRPr="00197362">
        <w:rPr>
          <w:rFonts w:ascii="Arial" w:hAnsi="Arial" w:cs="Arial"/>
          <w:sz w:val="24"/>
          <w:szCs w:val="24"/>
          <w:lang w:val="en-ZA"/>
        </w:rPr>
        <w:t>13</w:t>
      </w:r>
      <w:r w:rsidRPr="00197362">
        <w:rPr>
          <w:rFonts w:ascii="Arial" w:hAnsi="Arial" w:cs="Arial"/>
          <w:sz w:val="24"/>
          <w:szCs w:val="24"/>
          <w:lang w:val="en-ZA"/>
        </w:rPr>
        <w:t xml:space="preserve">] </w:t>
      </w:r>
      <w:r w:rsidR="0003164D" w:rsidRPr="00197362">
        <w:rPr>
          <w:rFonts w:ascii="Arial" w:hAnsi="Arial" w:cs="Arial"/>
          <w:sz w:val="24"/>
          <w:szCs w:val="24"/>
          <w:lang w:val="en-ZA"/>
        </w:rPr>
        <w:tab/>
      </w:r>
      <w:r w:rsidRPr="00197362">
        <w:rPr>
          <w:rFonts w:ascii="Arial" w:hAnsi="Arial" w:cs="Arial"/>
          <w:sz w:val="24"/>
          <w:szCs w:val="24"/>
          <w:lang w:val="en-ZA"/>
        </w:rPr>
        <w:t>It is apposite at this stage to consider the principles governing the grant or refusal of summary judgment</w:t>
      </w:r>
      <w:r w:rsidR="00BF5C3C" w:rsidRPr="00197362">
        <w:rPr>
          <w:rFonts w:ascii="Arial" w:hAnsi="Arial" w:cs="Arial"/>
          <w:sz w:val="24"/>
          <w:szCs w:val="24"/>
          <w:lang w:val="en-ZA"/>
        </w:rPr>
        <w:t>.</w:t>
      </w:r>
      <w:r w:rsidRPr="00197362">
        <w:rPr>
          <w:rFonts w:ascii="Arial" w:hAnsi="Arial" w:cs="Arial"/>
          <w:sz w:val="24"/>
          <w:szCs w:val="24"/>
          <w:lang w:val="en-ZA"/>
        </w:rPr>
        <w:t xml:space="preserve"> The purpose of summary judgment was explained in </w:t>
      </w:r>
      <w:r w:rsidR="00197362">
        <w:rPr>
          <w:rFonts w:ascii="Arial" w:hAnsi="Arial" w:cs="Arial"/>
          <w:i/>
          <w:iCs/>
          <w:sz w:val="24"/>
          <w:szCs w:val="24"/>
          <w:lang w:val="en-ZA"/>
        </w:rPr>
        <w:t>Joob Joob Inve</w:t>
      </w:r>
      <w:r w:rsidR="0073257C">
        <w:rPr>
          <w:rFonts w:ascii="Arial" w:hAnsi="Arial" w:cs="Arial"/>
          <w:i/>
          <w:iCs/>
          <w:sz w:val="24"/>
          <w:szCs w:val="24"/>
          <w:lang w:val="en-ZA"/>
        </w:rPr>
        <w:t>sgtments</w:t>
      </w:r>
      <w:r w:rsidRPr="00197362">
        <w:rPr>
          <w:rFonts w:ascii="Arial" w:hAnsi="Arial" w:cs="Arial"/>
          <w:i/>
          <w:iCs/>
          <w:sz w:val="24"/>
          <w:szCs w:val="24"/>
          <w:lang w:val="en-ZA"/>
        </w:rPr>
        <w:t xml:space="preserve"> </w:t>
      </w:r>
      <w:r w:rsidR="0073257C">
        <w:rPr>
          <w:rFonts w:ascii="Arial" w:hAnsi="Arial" w:cs="Arial"/>
          <w:i/>
          <w:iCs/>
          <w:sz w:val="24"/>
          <w:szCs w:val="24"/>
          <w:lang w:val="en-ZA"/>
        </w:rPr>
        <w:t>(</w:t>
      </w:r>
      <w:r w:rsidRPr="00197362">
        <w:rPr>
          <w:rFonts w:ascii="Arial" w:hAnsi="Arial" w:cs="Arial"/>
          <w:i/>
          <w:iCs/>
          <w:sz w:val="24"/>
          <w:szCs w:val="24"/>
          <w:lang w:val="en-ZA"/>
        </w:rPr>
        <w:t>Pty) Ltd v Stocks Mavundla Zek Joint Venture</w:t>
      </w:r>
      <w:r w:rsidR="00633248">
        <w:rPr>
          <w:rFonts w:ascii="Arial" w:hAnsi="Arial" w:cs="Arial"/>
          <w:sz w:val="24"/>
          <w:szCs w:val="24"/>
          <w:lang w:val="en-ZA"/>
        </w:rPr>
        <w:t>,</w:t>
      </w:r>
      <w:r w:rsidR="00633248">
        <w:rPr>
          <w:rStyle w:val="FootnoteReference"/>
          <w:rFonts w:ascii="Arial" w:hAnsi="Arial" w:cs="Arial"/>
          <w:sz w:val="24"/>
          <w:szCs w:val="24"/>
          <w:lang w:val="en-ZA"/>
        </w:rPr>
        <w:footnoteReference w:id="2"/>
      </w:r>
      <w:r w:rsidRPr="00197362">
        <w:rPr>
          <w:rFonts w:ascii="Arial" w:hAnsi="Arial" w:cs="Arial"/>
          <w:sz w:val="24"/>
          <w:szCs w:val="24"/>
          <w:lang w:val="en-ZA"/>
        </w:rPr>
        <w:t xml:space="preserve"> </w:t>
      </w:r>
      <w:r w:rsidR="007B2543">
        <w:rPr>
          <w:rFonts w:ascii="Arial" w:hAnsi="Arial" w:cs="Arial"/>
          <w:sz w:val="24"/>
          <w:szCs w:val="24"/>
          <w:lang w:val="en-ZA"/>
        </w:rPr>
        <w:t>where</w:t>
      </w:r>
      <w:r w:rsidRPr="00197362">
        <w:rPr>
          <w:rFonts w:ascii="Arial" w:hAnsi="Arial" w:cs="Arial"/>
          <w:sz w:val="24"/>
          <w:szCs w:val="24"/>
          <w:lang w:val="en-ZA"/>
        </w:rPr>
        <w:t xml:space="preserve"> Harms DP stated as follows: </w:t>
      </w:r>
    </w:p>
    <w:p w14:paraId="73B68B33" w14:textId="0D6D150C" w:rsidR="00C60121" w:rsidRPr="00197362" w:rsidRDefault="00197362" w:rsidP="00197362">
      <w:pPr>
        <w:spacing w:after="0" w:line="360" w:lineRule="auto"/>
        <w:jc w:val="both"/>
        <w:rPr>
          <w:rFonts w:ascii="Arial" w:hAnsi="Arial" w:cs="Arial"/>
          <w:szCs w:val="24"/>
          <w:lang w:val="en-ZA"/>
        </w:rPr>
      </w:pPr>
      <w:r w:rsidRPr="00197362">
        <w:rPr>
          <w:rFonts w:ascii="Arial" w:hAnsi="Arial" w:cs="Arial"/>
          <w:szCs w:val="24"/>
          <w:lang w:val="en-ZA"/>
        </w:rPr>
        <w:t>‘</w:t>
      </w:r>
      <w:r w:rsidR="007B2543" w:rsidRPr="007B2543">
        <w:rPr>
          <w:rFonts w:ascii="Arial" w:hAnsi="Arial" w:cs="Arial"/>
          <w:szCs w:val="24"/>
          <w:lang w:val="en-ZA"/>
        </w:rPr>
        <w:t xml:space="preserve">So too in South Africa, the summary judgment procedure was not intended to </w:t>
      </w:r>
      <w:r w:rsidR="007B2543">
        <w:rPr>
          <w:rFonts w:ascii="Arial" w:hAnsi="Arial" w:cs="Arial"/>
          <w:szCs w:val="24"/>
          <w:lang w:val="en-ZA"/>
        </w:rPr>
        <w:t>“</w:t>
      </w:r>
      <w:r w:rsidR="007B2543" w:rsidRPr="007B2543">
        <w:rPr>
          <w:rFonts w:ascii="Arial" w:hAnsi="Arial" w:cs="Arial"/>
          <w:szCs w:val="24"/>
          <w:lang w:val="en-ZA"/>
        </w:rPr>
        <w:t>shut (a defendant) out from defending</w:t>
      </w:r>
      <w:r w:rsidR="007B2543">
        <w:rPr>
          <w:rFonts w:ascii="Arial" w:hAnsi="Arial" w:cs="Arial"/>
          <w:szCs w:val="24"/>
          <w:lang w:val="en-ZA"/>
        </w:rPr>
        <w:t>”</w:t>
      </w:r>
      <w:r w:rsidR="007B2543" w:rsidRPr="007B2543">
        <w:rPr>
          <w:rFonts w:ascii="Arial" w:hAnsi="Arial" w:cs="Arial"/>
          <w:szCs w:val="24"/>
          <w:lang w:val="en-ZA"/>
        </w:rPr>
        <w:t>, unless it was very clear indeed that he had no case in the action. It was intended to prevent sham defences from defeating the rights of parties by delay, and at the same time causing great loss to plaintiffs who were endeavouring to enforce their rights</w:t>
      </w:r>
      <w:r w:rsidR="00BF5C3C" w:rsidRPr="00197362">
        <w:rPr>
          <w:rFonts w:ascii="Arial" w:hAnsi="Arial" w:cs="Arial"/>
          <w:szCs w:val="24"/>
          <w:lang w:val="en-ZA"/>
        </w:rPr>
        <w:t>.’</w:t>
      </w:r>
      <w:r w:rsidR="007B2543">
        <w:rPr>
          <w:rFonts w:ascii="Arial" w:hAnsi="Arial" w:cs="Arial"/>
          <w:szCs w:val="24"/>
          <w:lang w:val="en-ZA"/>
        </w:rPr>
        <w:t xml:space="preserve"> (foonote omitted)</w:t>
      </w:r>
    </w:p>
    <w:p w14:paraId="3368ECB6" w14:textId="004E6933" w:rsidR="003A3D36" w:rsidRPr="00197362" w:rsidRDefault="003A3D36" w:rsidP="00197362">
      <w:pPr>
        <w:spacing w:after="0" w:line="360" w:lineRule="auto"/>
        <w:jc w:val="both"/>
        <w:rPr>
          <w:rFonts w:ascii="Arial" w:hAnsi="Arial" w:cs="Arial"/>
          <w:sz w:val="24"/>
          <w:szCs w:val="24"/>
          <w:lang w:val="en-ZA"/>
        </w:rPr>
      </w:pPr>
      <w:r w:rsidRPr="00197362">
        <w:rPr>
          <w:rFonts w:ascii="Arial" w:hAnsi="Arial" w:cs="Arial"/>
          <w:sz w:val="24"/>
          <w:szCs w:val="24"/>
          <w:lang w:val="en-ZA"/>
        </w:rPr>
        <w:t>A defendant resisting summary judgment is required to</w:t>
      </w:r>
      <w:r w:rsidR="00197362" w:rsidRPr="00197362">
        <w:rPr>
          <w:rFonts w:ascii="Arial" w:hAnsi="Arial" w:cs="Arial"/>
          <w:sz w:val="24"/>
          <w:szCs w:val="24"/>
          <w:lang w:val="en-ZA"/>
        </w:rPr>
        <w:t xml:space="preserve"> </w:t>
      </w:r>
      <w:r w:rsidRPr="00197362">
        <w:rPr>
          <w:rFonts w:ascii="Arial" w:hAnsi="Arial" w:cs="Arial"/>
          <w:sz w:val="24"/>
          <w:szCs w:val="24"/>
          <w:lang w:val="en-ZA"/>
        </w:rPr>
        <w:t>disclose fully the nature and grounds of his defence in his opposing affidavit.</w:t>
      </w:r>
      <w:r w:rsidR="00197362" w:rsidRPr="00197362">
        <w:rPr>
          <w:rFonts w:ascii="Arial" w:hAnsi="Arial" w:cs="Arial"/>
          <w:sz w:val="24"/>
          <w:szCs w:val="24"/>
          <w:lang w:val="en-ZA"/>
        </w:rPr>
        <w:t xml:space="preserve"> </w:t>
      </w:r>
      <w:r w:rsidR="0003164D" w:rsidRPr="00197362">
        <w:rPr>
          <w:rFonts w:ascii="Arial" w:hAnsi="Arial" w:cs="Arial"/>
          <w:i/>
          <w:iCs/>
          <w:sz w:val="24"/>
          <w:szCs w:val="24"/>
          <w:lang w:val="en-ZA"/>
        </w:rPr>
        <w:t>M</w:t>
      </w:r>
      <w:r w:rsidRPr="00197362">
        <w:rPr>
          <w:rFonts w:ascii="Arial" w:hAnsi="Arial" w:cs="Arial"/>
          <w:i/>
          <w:iCs/>
          <w:sz w:val="24"/>
          <w:szCs w:val="24"/>
          <w:lang w:val="en-ZA"/>
        </w:rPr>
        <w:t>aharaj v Barclays National Bank</w:t>
      </w:r>
      <w:r w:rsidR="007B2543">
        <w:rPr>
          <w:rStyle w:val="FootnoteReference"/>
          <w:rFonts w:ascii="Arial" w:hAnsi="Arial" w:cs="Arial"/>
          <w:sz w:val="24"/>
          <w:szCs w:val="24"/>
          <w:lang w:val="en-ZA"/>
        </w:rPr>
        <w:footnoteReference w:id="3"/>
      </w:r>
      <w:r w:rsidR="00197362" w:rsidRPr="00197362">
        <w:rPr>
          <w:rFonts w:ascii="Arial" w:hAnsi="Arial" w:cs="Arial"/>
          <w:sz w:val="24"/>
          <w:szCs w:val="24"/>
          <w:lang w:val="en-ZA"/>
        </w:rPr>
        <w:t xml:space="preserve"> </w:t>
      </w:r>
      <w:r w:rsidR="00E60D76" w:rsidRPr="00197362">
        <w:rPr>
          <w:rFonts w:ascii="Arial" w:hAnsi="Arial" w:cs="Arial"/>
          <w:sz w:val="24"/>
          <w:szCs w:val="24"/>
          <w:lang w:val="en-ZA"/>
        </w:rPr>
        <w:t>spelt</w:t>
      </w:r>
      <w:r w:rsidR="00197362" w:rsidRPr="00197362">
        <w:rPr>
          <w:rFonts w:ascii="Arial" w:hAnsi="Arial" w:cs="Arial"/>
          <w:sz w:val="24"/>
          <w:szCs w:val="24"/>
          <w:lang w:val="en-ZA"/>
        </w:rPr>
        <w:t xml:space="preserve"> </w:t>
      </w:r>
      <w:r w:rsidR="00E60D76" w:rsidRPr="00197362">
        <w:rPr>
          <w:rFonts w:ascii="Arial" w:hAnsi="Arial" w:cs="Arial"/>
          <w:sz w:val="24"/>
          <w:szCs w:val="24"/>
          <w:lang w:val="en-ZA"/>
        </w:rPr>
        <w:t>out</w:t>
      </w:r>
      <w:r w:rsidR="0003164D" w:rsidRPr="00197362">
        <w:rPr>
          <w:rFonts w:ascii="Arial" w:hAnsi="Arial" w:cs="Arial"/>
          <w:sz w:val="24"/>
          <w:szCs w:val="24"/>
          <w:lang w:val="en-ZA"/>
        </w:rPr>
        <w:t xml:space="preserve"> the legal principles applicable in summary judgment applications</w:t>
      </w:r>
      <w:r w:rsidR="004A0F0E">
        <w:rPr>
          <w:rFonts w:ascii="Arial" w:hAnsi="Arial" w:cs="Arial"/>
          <w:sz w:val="24"/>
          <w:szCs w:val="24"/>
          <w:lang w:val="en-ZA"/>
        </w:rPr>
        <w:t xml:space="preserve"> </w:t>
      </w:r>
      <w:r w:rsidR="007B2543">
        <w:rPr>
          <w:rFonts w:ascii="Arial" w:hAnsi="Arial" w:cs="Arial"/>
          <w:sz w:val="24"/>
          <w:szCs w:val="24"/>
          <w:lang w:val="en-ZA"/>
        </w:rPr>
        <w:t>and</w:t>
      </w:r>
      <w:r w:rsidRPr="00197362">
        <w:rPr>
          <w:rFonts w:ascii="Arial" w:hAnsi="Arial" w:cs="Arial"/>
          <w:sz w:val="24"/>
          <w:szCs w:val="24"/>
          <w:lang w:val="en-ZA"/>
        </w:rPr>
        <w:t xml:space="preserve"> stated as follows: </w:t>
      </w:r>
    </w:p>
    <w:p w14:paraId="40039D48" w14:textId="5B764078" w:rsidR="003A3D36" w:rsidRPr="00197362" w:rsidRDefault="00197362" w:rsidP="00197362">
      <w:pPr>
        <w:spacing w:after="0" w:line="360" w:lineRule="auto"/>
        <w:jc w:val="both"/>
        <w:rPr>
          <w:rFonts w:ascii="Arial" w:hAnsi="Arial" w:cs="Arial"/>
          <w:szCs w:val="24"/>
          <w:lang w:val="en-ZA"/>
        </w:rPr>
      </w:pPr>
      <w:r w:rsidRPr="00197362">
        <w:rPr>
          <w:rFonts w:ascii="Arial" w:hAnsi="Arial" w:cs="Arial"/>
          <w:szCs w:val="24"/>
          <w:lang w:val="en-ZA"/>
        </w:rPr>
        <w:lastRenderedPageBreak/>
        <w:t>‘</w:t>
      </w:r>
      <w:r w:rsidR="00B60B10">
        <w:rPr>
          <w:rFonts w:ascii="Arial" w:hAnsi="Arial" w:cs="Arial"/>
          <w:szCs w:val="24"/>
          <w:lang w:val="en-ZA"/>
        </w:rPr>
        <w:t>[One]</w:t>
      </w:r>
      <w:r w:rsidR="00B60B10" w:rsidRPr="00B60B10">
        <w:rPr>
          <w:rFonts w:ascii="Arial" w:hAnsi="Arial" w:cs="Arial"/>
          <w:szCs w:val="24"/>
          <w:lang w:val="en-ZA"/>
        </w:rPr>
        <w:t xml:space="preserve"> of the ways in which a defendant may successfully oppose a claim for summary judgment is by satisfying the Court by affidavit that he has a bona fide defence to the claim. Where the defence is based upon facts, in the sense that material facts alleged by the plaintiff in his summons, or combined summons, are disputed or new facts are alleged constituting a defence, the Court does not attempt to decide these issues or to determine whether or not there is a balance of probabilities in favour of the one party or the other. All that the Court enquires into is: (a) whether the defendant has </w:t>
      </w:r>
      <w:r w:rsidR="00B60B10">
        <w:rPr>
          <w:rFonts w:ascii="Arial" w:hAnsi="Arial" w:cs="Arial"/>
          <w:szCs w:val="24"/>
          <w:lang w:val="en-ZA"/>
        </w:rPr>
        <w:t>“</w:t>
      </w:r>
      <w:r w:rsidR="00B60B10" w:rsidRPr="00B60B10">
        <w:rPr>
          <w:rFonts w:ascii="Arial" w:hAnsi="Arial" w:cs="Arial"/>
          <w:szCs w:val="24"/>
          <w:lang w:val="en-ZA"/>
        </w:rPr>
        <w:t>fully</w:t>
      </w:r>
      <w:r w:rsidR="00B60B10">
        <w:rPr>
          <w:rFonts w:ascii="Arial" w:hAnsi="Arial" w:cs="Arial"/>
          <w:szCs w:val="24"/>
          <w:lang w:val="en-ZA"/>
        </w:rPr>
        <w:t>”</w:t>
      </w:r>
      <w:r w:rsidR="00B60B10" w:rsidRPr="00B60B10">
        <w:rPr>
          <w:rFonts w:ascii="Arial" w:hAnsi="Arial" w:cs="Arial"/>
          <w:szCs w:val="24"/>
          <w:lang w:val="en-ZA"/>
        </w:rPr>
        <w:t xml:space="preserve"> disclosed the nature and grounds of his defence and the material facts upon which it is founded, and (b) whether on the facts so disclosed the defendant appears to have, as to either the whole or part of the claim, a defence which is both bona fide and good in law. If satisfied on these matters the Court must refuse summary judgment, either wholly or in part, as the case may be</w:t>
      </w:r>
      <w:r w:rsidR="00B21A31" w:rsidRPr="00197362">
        <w:rPr>
          <w:rFonts w:ascii="Arial" w:hAnsi="Arial" w:cs="Arial"/>
          <w:szCs w:val="24"/>
          <w:lang w:val="en-ZA"/>
        </w:rPr>
        <w:t>.</w:t>
      </w:r>
      <w:r w:rsidR="00B60B10">
        <w:rPr>
          <w:rFonts w:ascii="Arial" w:hAnsi="Arial" w:cs="Arial"/>
          <w:szCs w:val="24"/>
          <w:lang w:val="en-ZA"/>
        </w:rPr>
        <w:t>’</w:t>
      </w:r>
    </w:p>
    <w:p w14:paraId="64001EF6" w14:textId="77777777" w:rsidR="00E60D76" w:rsidRPr="00197362" w:rsidRDefault="00E60D76" w:rsidP="00197362">
      <w:pPr>
        <w:spacing w:after="0" w:line="360" w:lineRule="auto"/>
        <w:jc w:val="both"/>
        <w:rPr>
          <w:rFonts w:ascii="Arial" w:hAnsi="Arial" w:cs="Arial"/>
          <w:sz w:val="24"/>
          <w:szCs w:val="24"/>
          <w:lang w:val="en-ZA"/>
        </w:rPr>
      </w:pPr>
    </w:p>
    <w:p w14:paraId="569DC426" w14:textId="109A1DD2" w:rsidR="00CD7064" w:rsidRPr="00197362" w:rsidRDefault="00197362" w:rsidP="003C6EED">
      <w:pPr>
        <w:spacing w:after="0" w:line="360" w:lineRule="auto"/>
        <w:jc w:val="both"/>
        <w:rPr>
          <w:rFonts w:ascii="Arial" w:hAnsi="Arial" w:cs="Arial"/>
          <w:sz w:val="24"/>
          <w:szCs w:val="24"/>
          <w:lang w:val="en-ZA"/>
        </w:rPr>
      </w:pPr>
      <w:r>
        <w:rPr>
          <w:rFonts w:ascii="Arial" w:hAnsi="Arial" w:cs="Arial"/>
          <w:sz w:val="24"/>
          <w:szCs w:val="24"/>
          <w:lang w:val="en-ZA"/>
        </w:rPr>
        <w:t>[</w:t>
      </w:r>
      <w:r w:rsidR="00000056" w:rsidRPr="00197362">
        <w:rPr>
          <w:rFonts w:ascii="Arial" w:hAnsi="Arial" w:cs="Arial"/>
          <w:sz w:val="24"/>
          <w:szCs w:val="24"/>
          <w:lang w:val="en-ZA"/>
        </w:rPr>
        <w:t>14]</w:t>
      </w:r>
      <w:r w:rsidR="00000056" w:rsidRPr="00197362">
        <w:rPr>
          <w:rFonts w:ascii="Arial" w:hAnsi="Arial" w:cs="Arial"/>
          <w:sz w:val="24"/>
          <w:szCs w:val="24"/>
          <w:lang w:val="en-ZA"/>
        </w:rPr>
        <w:tab/>
        <w:t xml:space="preserve"> The meaning of the phrase </w:t>
      </w:r>
      <w:r w:rsidR="00B60B10">
        <w:rPr>
          <w:rFonts w:ascii="Arial" w:hAnsi="Arial" w:cs="Arial"/>
          <w:sz w:val="24"/>
          <w:szCs w:val="24"/>
          <w:lang w:val="en-ZA"/>
        </w:rPr>
        <w:t>‘</w:t>
      </w:r>
      <w:r w:rsidR="00000056" w:rsidRPr="00197362">
        <w:rPr>
          <w:rFonts w:ascii="Arial" w:hAnsi="Arial" w:cs="Arial"/>
          <w:sz w:val="24"/>
          <w:szCs w:val="24"/>
          <w:lang w:val="en-ZA"/>
        </w:rPr>
        <w:t>bona fide defence</w:t>
      </w:r>
      <w:r w:rsidR="00B60B10">
        <w:rPr>
          <w:rFonts w:ascii="Arial" w:hAnsi="Arial" w:cs="Arial"/>
          <w:sz w:val="24"/>
          <w:szCs w:val="24"/>
          <w:lang w:val="en-ZA"/>
        </w:rPr>
        <w:t>’</w:t>
      </w:r>
      <w:r w:rsidR="00000056" w:rsidRPr="00197362">
        <w:rPr>
          <w:rFonts w:ascii="Arial" w:hAnsi="Arial" w:cs="Arial"/>
          <w:sz w:val="24"/>
          <w:szCs w:val="24"/>
          <w:lang w:val="en-ZA"/>
        </w:rPr>
        <w:t xml:space="preserve"> was explained </w:t>
      </w:r>
      <w:r w:rsidR="00B21A31" w:rsidRPr="00197362">
        <w:rPr>
          <w:rFonts w:ascii="Arial" w:hAnsi="Arial" w:cs="Arial"/>
          <w:sz w:val="24"/>
          <w:szCs w:val="24"/>
          <w:lang w:val="en-ZA"/>
        </w:rPr>
        <w:t xml:space="preserve">In </w:t>
      </w:r>
      <w:r w:rsidR="00B21A31" w:rsidRPr="00197362">
        <w:rPr>
          <w:rFonts w:ascii="Arial" w:hAnsi="Arial" w:cs="Arial"/>
          <w:i/>
          <w:iCs/>
          <w:sz w:val="24"/>
          <w:szCs w:val="24"/>
          <w:lang w:val="en-ZA"/>
        </w:rPr>
        <w:t>Nedbank v Maredi</w:t>
      </w:r>
      <w:r w:rsidR="00B60B10">
        <w:rPr>
          <w:rFonts w:ascii="Arial" w:hAnsi="Arial" w:cs="Arial"/>
          <w:sz w:val="24"/>
          <w:szCs w:val="24"/>
          <w:lang w:val="en-ZA"/>
        </w:rPr>
        <w:t>,</w:t>
      </w:r>
      <w:r w:rsidR="00B60B10">
        <w:rPr>
          <w:rStyle w:val="FootnoteReference"/>
          <w:rFonts w:ascii="Arial" w:hAnsi="Arial" w:cs="Arial"/>
          <w:sz w:val="24"/>
          <w:szCs w:val="24"/>
          <w:lang w:val="en-ZA"/>
        </w:rPr>
        <w:footnoteReference w:id="4"/>
      </w:r>
      <w:r w:rsidR="00B60B10" w:rsidRPr="00197362">
        <w:rPr>
          <w:rFonts w:ascii="Arial" w:hAnsi="Arial" w:cs="Arial"/>
          <w:sz w:val="24"/>
          <w:szCs w:val="24"/>
          <w:lang w:val="en-ZA"/>
        </w:rPr>
        <w:t xml:space="preserve"> </w:t>
      </w:r>
      <w:r w:rsidR="00B60B10">
        <w:rPr>
          <w:rFonts w:ascii="Arial" w:hAnsi="Arial" w:cs="Arial"/>
          <w:sz w:val="24"/>
          <w:szCs w:val="24"/>
          <w:lang w:val="en-ZA"/>
        </w:rPr>
        <w:t xml:space="preserve">which </w:t>
      </w:r>
      <w:r w:rsidR="004A0F0E">
        <w:rPr>
          <w:rFonts w:ascii="Arial" w:hAnsi="Arial" w:cs="Arial"/>
          <w:sz w:val="24"/>
          <w:szCs w:val="24"/>
          <w:lang w:val="en-ZA"/>
        </w:rPr>
        <w:t>held</w:t>
      </w:r>
      <w:r w:rsidR="00000056" w:rsidRPr="00197362">
        <w:rPr>
          <w:rFonts w:ascii="Arial" w:hAnsi="Arial" w:cs="Arial"/>
          <w:sz w:val="24"/>
          <w:szCs w:val="24"/>
          <w:lang w:val="en-ZA"/>
        </w:rPr>
        <w:t xml:space="preserve"> as follows</w:t>
      </w:r>
      <w:r w:rsidR="00CD7064" w:rsidRPr="00197362">
        <w:rPr>
          <w:rFonts w:ascii="Arial" w:hAnsi="Arial" w:cs="Arial"/>
          <w:sz w:val="24"/>
          <w:szCs w:val="24"/>
          <w:lang w:val="en-ZA"/>
        </w:rPr>
        <w:t>:</w:t>
      </w:r>
      <w:r w:rsidR="004A0F0E">
        <w:rPr>
          <w:rFonts w:ascii="Arial" w:hAnsi="Arial" w:cs="Arial"/>
          <w:sz w:val="24"/>
          <w:szCs w:val="24"/>
          <w:lang w:val="en-ZA"/>
        </w:rPr>
        <w:t xml:space="preserve"> that</w:t>
      </w:r>
      <w:r w:rsidR="00CD7064" w:rsidRPr="00197362">
        <w:rPr>
          <w:rFonts w:ascii="Arial" w:hAnsi="Arial" w:cs="Arial"/>
          <w:sz w:val="24"/>
          <w:szCs w:val="24"/>
          <w:lang w:val="en-ZA"/>
        </w:rPr>
        <w:t xml:space="preserve"> ‘</w:t>
      </w:r>
      <w:r w:rsidR="003C6EED" w:rsidRPr="003C6EED">
        <w:rPr>
          <w:rFonts w:ascii="Arial" w:hAnsi="Arial" w:cs="Arial"/>
          <w:sz w:val="24"/>
          <w:szCs w:val="24"/>
          <w:lang w:val="en-ZA"/>
        </w:rPr>
        <w:t xml:space="preserve">a </w:t>
      </w:r>
      <w:r w:rsidR="003C6EED" w:rsidRPr="003C6EED">
        <w:rPr>
          <w:rFonts w:ascii="Arial" w:hAnsi="Arial" w:cs="Arial"/>
          <w:i/>
          <w:sz w:val="24"/>
          <w:szCs w:val="24"/>
          <w:lang w:val="en-ZA"/>
        </w:rPr>
        <w:t>bona fide</w:t>
      </w:r>
      <w:r w:rsidR="003C6EED" w:rsidRPr="003C6EED">
        <w:rPr>
          <w:rFonts w:ascii="Arial" w:hAnsi="Arial" w:cs="Arial"/>
          <w:sz w:val="24"/>
          <w:szCs w:val="24"/>
          <w:lang w:val="en-ZA"/>
        </w:rPr>
        <w:t xml:space="preserve"> defence, which means a defence set up </w:t>
      </w:r>
      <w:r w:rsidR="003C6EED" w:rsidRPr="003C6EED">
        <w:rPr>
          <w:rFonts w:ascii="Arial" w:hAnsi="Arial" w:cs="Arial"/>
          <w:i/>
          <w:sz w:val="24"/>
          <w:szCs w:val="24"/>
          <w:lang w:val="en-ZA"/>
        </w:rPr>
        <w:t>bona fide</w:t>
      </w:r>
      <w:r w:rsidR="003C6EED" w:rsidRPr="003C6EED">
        <w:rPr>
          <w:rFonts w:ascii="Arial" w:hAnsi="Arial" w:cs="Arial"/>
          <w:sz w:val="24"/>
          <w:szCs w:val="24"/>
          <w:lang w:val="en-ZA"/>
        </w:rPr>
        <w:t xml:space="preserve"> or</w:t>
      </w:r>
      <w:r w:rsidR="003C6EED">
        <w:rPr>
          <w:rFonts w:ascii="Arial" w:hAnsi="Arial" w:cs="Arial"/>
          <w:sz w:val="24"/>
          <w:szCs w:val="24"/>
          <w:lang w:val="en-ZA"/>
        </w:rPr>
        <w:t xml:space="preserve"> </w:t>
      </w:r>
      <w:r w:rsidR="003C6EED" w:rsidRPr="003C6EED">
        <w:rPr>
          <w:rFonts w:ascii="Arial" w:hAnsi="Arial" w:cs="Arial"/>
          <w:sz w:val="24"/>
          <w:szCs w:val="24"/>
          <w:lang w:val="en-ZA"/>
        </w:rPr>
        <w:t>honestly, which if proved at the trial</w:t>
      </w:r>
      <w:r w:rsidR="00CD7064" w:rsidRPr="00197362">
        <w:rPr>
          <w:rFonts w:ascii="Arial" w:hAnsi="Arial" w:cs="Arial"/>
          <w:sz w:val="24"/>
          <w:szCs w:val="24"/>
          <w:lang w:val="en-ZA"/>
        </w:rPr>
        <w:t xml:space="preserve">, </w:t>
      </w:r>
      <w:r w:rsidR="003C6EED" w:rsidRPr="003C6EED">
        <w:rPr>
          <w:rFonts w:ascii="Arial" w:hAnsi="Arial" w:cs="Arial"/>
          <w:sz w:val="24"/>
          <w:szCs w:val="24"/>
          <w:lang w:val="en-ZA"/>
        </w:rPr>
        <w:t>would constitute a defence to the plaintiff’s claim</w:t>
      </w:r>
      <w:r w:rsidR="00CD7064" w:rsidRPr="00197362">
        <w:rPr>
          <w:rFonts w:ascii="Arial" w:hAnsi="Arial" w:cs="Arial"/>
          <w:sz w:val="24"/>
          <w:szCs w:val="24"/>
          <w:lang w:val="en-ZA"/>
        </w:rPr>
        <w:t>’.</w:t>
      </w:r>
      <w:r w:rsidRPr="00197362">
        <w:rPr>
          <w:rFonts w:ascii="Arial" w:hAnsi="Arial" w:cs="Arial"/>
          <w:sz w:val="24"/>
          <w:szCs w:val="24"/>
          <w:lang w:val="en-ZA"/>
        </w:rPr>
        <w:t xml:space="preserve"> </w:t>
      </w:r>
      <w:r w:rsidR="00CD7064" w:rsidRPr="00197362">
        <w:rPr>
          <w:rFonts w:ascii="Arial" w:hAnsi="Arial" w:cs="Arial"/>
          <w:sz w:val="24"/>
          <w:szCs w:val="24"/>
          <w:lang w:val="en-ZA"/>
        </w:rPr>
        <w:t xml:space="preserve">In </w:t>
      </w:r>
      <w:r w:rsidR="00CD7064" w:rsidRPr="00197362">
        <w:rPr>
          <w:rFonts w:ascii="Arial" w:hAnsi="Arial" w:cs="Arial"/>
          <w:i/>
          <w:iCs/>
          <w:sz w:val="24"/>
          <w:szCs w:val="24"/>
          <w:lang w:val="en-ZA"/>
        </w:rPr>
        <w:t>Tumeleng Trading CC</w:t>
      </w:r>
      <w:r>
        <w:rPr>
          <w:rFonts w:ascii="Arial" w:hAnsi="Arial" w:cs="Arial"/>
          <w:i/>
          <w:iCs/>
          <w:sz w:val="24"/>
          <w:szCs w:val="24"/>
          <w:lang w:val="en-ZA"/>
        </w:rPr>
        <w:t xml:space="preserve"> v National Security and Fire (</w:t>
      </w:r>
      <w:r w:rsidR="00CD7064" w:rsidRPr="00197362">
        <w:rPr>
          <w:rFonts w:ascii="Arial" w:hAnsi="Arial" w:cs="Arial"/>
          <w:i/>
          <w:iCs/>
          <w:sz w:val="24"/>
          <w:szCs w:val="24"/>
          <w:lang w:val="en-ZA"/>
        </w:rPr>
        <w:t>Pty) Ltd</w:t>
      </w:r>
      <w:r w:rsidR="00B60B10">
        <w:rPr>
          <w:rStyle w:val="FootnoteReference"/>
          <w:rFonts w:ascii="Arial" w:hAnsi="Arial" w:cs="Arial"/>
          <w:sz w:val="24"/>
          <w:szCs w:val="24"/>
          <w:lang w:val="en-ZA"/>
        </w:rPr>
        <w:footnoteReference w:id="5"/>
      </w:r>
      <w:r w:rsidR="00CD7064" w:rsidRPr="00197362">
        <w:rPr>
          <w:rFonts w:ascii="Arial" w:hAnsi="Arial" w:cs="Arial"/>
          <w:sz w:val="24"/>
          <w:szCs w:val="24"/>
          <w:lang w:val="en-ZA"/>
        </w:rPr>
        <w:t xml:space="preserve"> the court explained the effect of</w:t>
      </w:r>
      <w:r w:rsidR="00000056" w:rsidRPr="00197362">
        <w:rPr>
          <w:rFonts w:ascii="Arial" w:hAnsi="Arial" w:cs="Arial"/>
          <w:sz w:val="24"/>
          <w:szCs w:val="24"/>
          <w:lang w:val="en-ZA"/>
        </w:rPr>
        <w:t xml:space="preserve"> the</w:t>
      </w:r>
      <w:r w:rsidRPr="00197362">
        <w:rPr>
          <w:rFonts w:ascii="Arial" w:hAnsi="Arial" w:cs="Arial"/>
          <w:sz w:val="24"/>
          <w:szCs w:val="24"/>
          <w:lang w:val="en-ZA"/>
        </w:rPr>
        <w:t xml:space="preserve"> </w:t>
      </w:r>
      <w:r w:rsidR="00CD7064" w:rsidRPr="00197362">
        <w:rPr>
          <w:rFonts w:ascii="Arial" w:hAnsi="Arial" w:cs="Arial"/>
          <w:sz w:val="24"/>
          <w:szCs w:val="24"/>
          <w:lang w:val="en-ZA"/>
        </w:rPr>
        <w:t>amendment</w:t>
      </w:r>
      <w:r w:rsidRPr="00197362">
        <w:rPr>
          <w:rFonts w:ascii="Arial" w:hAnsi="Arial" w:cs="Arial"/>
          <w:sz w:val="24"/>
          <w:szCs w:val="24"/>
          <w:lang w:val="en-ZA"/>
        </w:rPr>
        <w:t xml:space="preserve"> </w:t>
      </w:r>
      <w:r w:rsidR="00000056" w:rsidRPr="00197362">
        <w:rPr>
          <w:rFonts w:ascii="Arial" w:hAnsi="Arial" w:cs="Arial"/>
          <w:sz w:val="24"/>
          <w:szCs w:val="24"/>
          <w:lang w:val="en-ZA"/>
        </w:rPr>
        <w:t>to</w:t>
      </w:r>
      <w:r w:rsidR="007F69AA">
        <w:rPr>
          <w:rFonts w:ascii="Arial" w:hAnsi="Arial" w:cs="Arial"/>
          <w:sz w:val="24"/>
          <w:szCs w:val="24"/>
          <w:lang w:val="en-ZA"/>
        </w:rPr>
        <w:t xml:space="preserve"> Uniform rule 32</w:t>
      </w:r>
      <w:r w:rsidR="00CD7064" w:rsidRPr="003C6EED">
        <w:rPr>
          <w:rFonts w:ascii="Arial" w:hAnsi="Arial" w:cs="Arial"/>
          <w:i/>
          <w:sz w:val="24"/>
          <w:szCs w:val="24"/>
          <w:lang w:val="en-ZA"/>
        </w:rPr>
        <w:t>(b)</w:t>
      </w:r>
      <w:r w:rsidR="00CD7064" w:rsidRPr="00197362">
        <w:rPr>
          <w:rFonts w:ascii="Arial" w:hAnsi="Arial" w:cs="Arial"/>
          <w:sz w:val="24"/>
          <w:szCs w:val="24"/>
          <w:lang w:val="en-ZA"/>
        </w:rPr>
        <w:t xml:space="preserve"> with regard to the requirement that the plaintiff should explain briefly why the pleaded defence does not raise</w:t>
      </w:r>
      <w:r w:rsidR="00A55CA9" w:rsidRPr="00197362">
        <w:rPr>
          <w:rFonts w:ascii="Arial" w:hAnsi="Arial" w:cs="Arial"/>
          <w:sz w:val="24"/>
          <w:szCs w:val="24"/>
          <w:lang w:val="en-ZA"/>
        </w:rPr>
        <w:t xml:space="preserve"> an issue for trial. </w:t>
      </w:r>
      <w:r w:rsidR="00B60B10">
        <w:rPr>
          <w:rFonts w:ascii="Arial" w:hAnsi="Arial" w:cs="Arial"/>
          <w:sz w:val="24"/>
          <w:szCs w:val="24"/>
          <w:lang w:val="en-ZA"/>
        </w:rPr>
        <w:t>Binns-</w:t>
      </w:r>
      <w:r w:rsidR="00A55CA9" w:rsidRPr="00197362">
        <w:rPr>
          <w:rFonts w:ascii="Arial" w:hAnsi="Arial" w:cs="Arial"/>
          <w:sz w:val="24"/>
          <w:szCs w:val="24"/>
          <w:lang w:val="en-ZA"/>
        </w:rPr>
        <w:t>Ward J stated as follows:</w:t>
      </w:r>
    </w:p>
    <w:p w14:paraId="15059A4D" w14:textId="28FB29A6" w:rsidR="0016234F" w:rsidRPr="00197362" w:rsidRDefault="00197362" w:rsidP="00197362">
      <w:pPr>
        <w:spacing w:after="0" w:line="360" w:lineRule="auto"/>
        <w:jc w:val="both"/>
        <w:rPr>
          <w:rFonts w:ascii="Arial" w:hAnsi="Arial" w:cs="Arial"/>
          <w:szCs w:val="24"/>
          <w:lang w:val="en-ZA"/>
        </w:rPr>
      </w:pPr>
      <w:r w:rsidRPr="00197362">
        <w:rPr>
          <w:rFonts w:ascii="Arial" w:hAnsi="Arial" w:cs="Arial"/>
          <w:szCs w:val="24"/>
          <w:lang w:val="en-ZA"/>
        </w:rPr>
        <w:t>‘</w:t>
      </w:r>
      <w:r w:rsidR="003C6EED" w:rsidRPr="003C6EED">
        <w:rPr>
          <w:rFonts w:ascii="Arial" w:hAnsi="Arial" w:cs="Arial"/>
          <w:szCs w:val="24"/>
          <w:lang w:val="en-ZA"/>
        </w:rPr>
        <w:t>What the amended rule does seem to do is to require of a plaintiff to consider very carefully its ability to allege a belief that the defendant does not have a bon</w:t>
      </w:r>
      <w:r w:rsidR="003C6EED">
        <w:rPr>
          <w:rFonts w:ascii="Arial" w:hAnsi="Arial" w:cs="Arial"/>
          <w:szCs w:val="24"/>
          <w:lang w:val="en-ZA"/>
        </w:rPr>
        <w:t>a fide defence.</w:t>
      </w:r>
      <w:r w:rsidR="003C6EED" w:rsidRPr="003C6EED">
        <w:rPr>
          <w:rFonts w:ascii="Arial" w:hAnsi="Arial" w:cs="Arial"/>
          <w:szCs w:val="24"/>
          <w:lang w:val="en-ZA"/>
        </w:rPr>
        <w:t xml:space="preserve"> This is because the plaintiff’s supporting affidavit now falls to be made in the context of the deponent’s knowledge of th</w:t>
      </w:r>
      <w:r w:rsidR="003C6EED">
        <w:rPr>
          <w:rFonts w:ascii="Arial" w:hAnsi="Arial" w:cs="Arial"/>
          <w:szCs w:val="24"/>
          <w:lang w:val="en-ZA"/>
        </w:rPr>
        <w:t xml:space="preserve">e content of a delivered plea. </w:t>
      </w:r>
      <w:r w:rsidR="003C6EED" w:rsidRPr="003C6EED">
        <w:rPr>
          <w:rFonts w:ascii="Arial" w:hAnsi="Arial" w:cs="Arial"/>
          <w:szCs w:val="24"/>
          <w:lang w:val="en-ZA"/>
        </w:rPr>
        <w:t xml:space="preserve">That provides a plausible reason for the requirement of something more than a </w:t>
      </w:r>
      <w:r w:rsidR="003C6EED">
        <w:rPr>
          <w:rFonts w:ascii="Arial" w:hAnsi="Arial" w:cs="Arial"/>
          <w:szCs w:val="24"/>
          <w:lang w:val="en-ZA"/>
        </w:rPr>
        <w:t>“</w:t>
      </w:r>
      <w:r w:rsidR="003C6EED" w:rsidRPr="003C6EED">
        <w:rPr>
          <w:rFonts w:ascii="Arial" w:hAnsi="Arial" w:cs="Arial"/>
          <w:szCs w:val="24"/>
          <w:lang w:val="en-ZA"/>
        </w:rPr>
        <w:t>formulaic</w:t>
      </w:r>
      <w:r w:rsidR="003C6EED">
        <w:rPr>
          <w:rFonts w:ascii="Arial" w:hAnsi="Arial" w:cs="Arial"/>
          <w:szCs w:val="24"/>
          <w:lang w:val="en-ZA"/>
        </w:rPr>
        <w:t>”</w:t>
      </w:r>
      <w:r w:rsidR="003C6EED" w:rsidRPr="003C6EED">
        <w:rPr>
          <w:rFonts w:ascii="Arial" w:hAnsi="Arial" w:cs="Arial"/>
          <w:szCs w:val="24"/>
          <w:lang w:val="en-ZA"/>
        </w:rPr>
        <w:t xml:space="preserve"> supportin</w:t>
      </w:r>
      <w:r w:rsidR="003C6EED">
        <w:rPr>
          <w:rFonts w:ascii="Arial" w:hAnsi="Arial" w:cs="Arial"/>
          <w:szCs w:val="24"/>
          <w:lang w:val="en-ZA"/>
        </w:rPr>
        <w:t>g affidavit from the plaintiff.</w:t>
      </w:r>
      <w:r w:rsidR="003C6EED" w:rsidRPr="003C6EED">
        <w:rPr>
          <w:rFonts w:ascii="Arial" w:hAnsi="Arial" w:cs="Arial"/>
          <w:szCs w:val="24"/>
          <w:lang w:val="en-ZA"/>
        </w:rPr>
        <w:t xml:space="preserve"> The plaintiff is now required to engage with the content of the plea in order to substantiate its averments that the defence is not bona fide and has been raised merely for the purposes of delay</w:t>
      </w:r>
      <w:r w:rsidR="003C6EED">
        <w:rPr>
          <w:rFonts w:ascii="Arial" w:hAnsi="Arial" w:cs="Arial"/>
          <w:szCs w:val="24"/>
          <w:lang w:val="en-ZA"/>
        </w:rPr>
        <w:t>.’</w:t>
      </w:r>
    </w:p>
    <w:p w14:paraId="02922428" w14:textId="0C649AAC" w:rsidR="00012D4E" w:rsidRPr="00197362" w:rsidRDefault="00012D4E" w:rsidP="00197362">
      <w:pPr>
        <w:spacing w:after="0" w:line="360" w:lineRule="auto"/>
        <w:jc w:val="both"/>
        <w:rPr>
          <w:rFonts w:ascii="Arial" w:hAnsi="Arial" w:cs="Arial"/>
          <w:b/>
          <w:bCs/>
          <w:sz w:val="24"/>
          <w:szCs w:val="24"/>
          <w:lang w:val="en-ZA"/>
        </w:rPr>
      </w:pPr>
    </w:p>
    <w:p w14:paraId="30AFB904" w14:textId="733F0587" w:rsidR="00E60D76" w:rsidRPr="00197362" w:rsidRDefault="00197362" w:rsidP="00197362">
      <w:pPr>
        <w:spacing w:after="0" w:line="360" w:lineRule="auto"/>
        <w:jc w:val="both"/>
        <w:rPr>
          <w:rFonts w:ascii="Arial" w:hAnsi="Arial" w:cs="Arial"/>
          <w:sz w:val="24"/>
          <w:szCs w:val="24"/>
          <w:lang w:val="en-ZA"/>
        </w:rPr>
      </w:pPr>
      <w:r>
        <w:rPr>
          <w:rFonts w:ascii="Arial" w:hAnsi="Arial" w:cs="Arial"/>
          <w:sz w:val="24"/>
          <w:szCs w:val="24"/>
          <w:lang w:val="en-ZA"/>
        </w:rPr>
        <w:t>[</w:t>
      </w:r>
      <w:r w:rsidR="00000056" w:rsidRPr="00197362">
        <w:rPr>
          <w:rFonts w:ascii="Arial" w:hAnsi="Arial" w:cs="Arial"/>
          <w:sz w:val="24"/>
          <w:szCs w:val="24"/>
          <w:lang w:val="en-ZA"/>
        </w:rPr>
        <w:t>15</w:t>
      </w:r>
      <w:r w:rsidR="00FD2983" w:rsidRPr="00197362">
        <w:rPr>
          <w:rFonts w:ascii="Arial" w:hAnsi="Arial" w:cs="Arial"/>
          <w:sz w:val="24"/>
          <w:szCs w:val="24"/>
          <w:lang w:val="en-ZA"/>
        </w:rPr>
        <w:t xml:space="preserve">] </w:t>
      </w:r>
      <w:r w:rsidR="00E60D76" w:rsidRPr="00197362">
        <w:rPr>
          <w:rFonts w:ascii="Arial" w:hAnsi="Arial" w:cs="Arial"/>
          <w:sz w:val="24"/>
          <w:szCs w:val="24"/>
          <w:lang w:val="en-ZA"/>
        </w:rPr>
        <w:tab/>
      </w:r>
      <w:r w:rsidR="00FD2983" w:rsidRPr="00197362">
        <w:rPr>
          <w:rFonts w:ascii="Arial" w:hAnsi="Arial" w:cs="Arial"/>
          <w:sz w:val="24"/>
          <w:szCs w:val="24"/>
          <w:lang w:val="en-ZA"/>
        </w:rPr>
        <w:t>The</w:t>
      </w:r>
      <w:r w:rsidRPr="00197362">
        <w:rPr>
          <w:rFonts w:ascii="Arial" w:hAnsi="Arial" w:cs="Arial"/>
          <w:sz w:val="24"/>
          <w:szCs w:val="24"/>
          <w:lang w:val="en-ZA"/>
        </w:rPr>
        <w:t xml:space="preserve"> </w:t>
      </w:r>
      <w:r w:rsidR="00000056" w:rsidRPr="00197362">
        <w:rPr>
          <w:rFonts w:ascii="Arial" w:hAnsi="Arial" w:cs="Arial"/>
          <w:sz w:val="24"/>
          <w:szCs w:val="24"/>
          <w:lang w:val="en-ZA"/>
        </w:rPr>
        <w:t>defendant’s</w:t>
      </w:r>
      <w:r w:rsidR="00FD2983" w:rsidRPr="00197362">
        <w:rPr>
          <w:rFonts w:ascii="Arial" w:hAnsi="Arial" w:cs="Arial"/>
          <w:sz w:val="24"/>
          <w:szCs w:val="24"/>
          <w:lang w:val="en-ZA"/>
        </w:rPr>
        <w:t xml:space="preserve"> defence</w:t>
      </w:r>
      <w:r w:rsidRPr="00197362">
        <w:rPr>
          <w:rFonts w:ascii="Arial" w:hAnsi="Arial" w:cs="Arial"/>
          <w:sz w:val="24"/>
          <w:szCs w:val="24"/>
          <w:lang w:val="en-ZA"/>
        </w:rPr>
        <w:t xml:space="preserve"> </w:t>
      </w:r>
      <w:r w:rsidR="00000056" w:rsidRPr="00197362">
        <w:rPr>
          <w:rFonts w:ascii="Arial" w:hAnsi="Arial" w:cs="Arial"/>
          <w:sz w:val="24"/>
          <w:szCs w:val="24"/>
          <w:lang w:val="en-ZA"/>
        </w:rPr>
        <w:t xml:space="preserve">to the </w:t>
      </w:r>
      <w:r w:rsidR="008B5D14" w:rsidRPr="00197362">
        <w:rPr>
          <w:rFonts w:ascii="Arial" w:hAnsi="Arial" w:cs="Arial"/>
          <w:sz w:val="24"/>
          <w:szCs w:val="24"/>
          <w:lang w:val="en-ZA"/>
        </w:rPr>
        <w:t>plaintiff</w:t>
      </w:r>
      <w:r w:rsidR="008B5D14">
        <w:rPr>
          <w:rFonts w:ascii="Arial" w:hAnsi="Arial" w:cs="Arial"/>
          <w:sz w:val="24"/>
          <w:szCs w:val="24"/>
          <w:lang w:val="en-ZA"/>
        </w:rPr>
        <w:t>’s</w:t>
      </w:r>
      <w:r w:rsidR="00000056" w:rsidRPr="00197362">
        <w:rPr>
          <w:rFonts w:ascii="Arial" w:hAnsi="Arial" w:cs="Arial"/>
          <w:sz w:val="24"/>
          <w:szCs w:val="24"/>
          <w:lang w:val="en-ZA"/>
        </w:rPr>
        <w:t xml:space="preserve"> claim is</w:t>
      </w:r>
      <w:r w:rsidRPr="00197362">
        <w:rPr>
          <w:rFonts w:ascii="Arial" w:hAnsi="Arial" w:cs="Arial"/>
          <w:sz w:val="24"/>
          <w:szCs w:val="24"/>
          <w:lang w:val="en-ZA"/>
        </w:rPr>
        <w:t xml:space="preserve"> </w:t>
      </w:r>
      <w:r w:rsidR="00000056" w:rsidRPr="00197362">
        <w:rPr>
          <w:rFonts w:ascii="Arial" w:hAnsi="Arial" w:cs="Arial"/>
          <w:sz w:val="24"/>
          <w:szCs w:val="24"/>
          <w:lang w:val="en-ZA"/>
        </w:rPr>
        <w:t>mainly</w:t>
      </w:r>
      <w:r w:rsidRPr="00197362">
        <w:rPr>
          <w:rFonts w:ascii="Arial" w:hAnsi="Arial" w:cs="Arial"/>
          <w:sz w:val="24"/>
          <w:szCs w:val="24"/>
          <w:lang w:val="en-ZA"/>
        </w:rPr>
        <w:t xml:space="preserve"> </w:t>
      </w:r>
      <w:r w:rsidR="00FD2983" w:rsidRPr="00197362">
        <w:rPr>
          <w:rFonts w:ascii="Arial" w:hAnsi="Arial" w:cs="Arial"/>
          <w:sz w:val="24"/>
          <w:szCs w:val="24"/>
          <w:lang w:val="en-ZA"/>
        </w:rPr>
        <w:t xml:space="preserve">based on </w:t>
      </w:r>
      <w:r w:rsidR="004A4E12" w:rsidRPr="00197362">
        <w:rPr>
          <w:rFonts w:ascii="Arial" w:hAnsi="Arial" w:cs="Arial"/>
          <w:sz w:val="24"/>
          <w:szCs w:val="24"/>
          <w:lang w:val="en-ZA"/>
        </w:rPr>
        <w:t>the</w:t>
      </w:r>
      <w:r w:rsidR="008B5D14">
        <w:rPr>
          <w:rFonts w:ascii="Arial" w:hAnsi="Arial" w:cs="Arial"/>
          <w:sz w:val="24"/>
          <w:szCs w:val="24"/>
          <w:lang w:val="en-ZA"/>
        </w:rPr>
        <w:t xml:space="preserve"> plaintiff’s</w:t>
      </w:r>
      <w:r w:rsidR="004A4E12" w:rsidRPr="00197362">
        <w:rPr>
          <w:rFonts w:ascii="Arial" w:hAnsi="Arial" w:cs="Arial"/>
          <w:sz w:val="24"/>
          <w:szCs w:val="24"/>
          <w:lang w:val="en-ZA"/>
        </w:rPr>
        <w:t xml:space="preserve"> alleged </w:t>
      </w:r>
      <w:r w:rsidR="00FD2983" w:rsidRPr="00197362">
        <w:rPr>
          <w:rFonts w:ascii="Arial" w:hAnsi="Arial" w:cs="Arial"/>
          <w:sz w:val="24"/>
          <w:szCs w:val="24"/>
          <w:lang w:val="en-ZA"/>
        </w:rPr>
        <w:t xml:space="preserve"> failure to comply with the requirements of the NCA,</w:t>
      </w:r>
      <w:r w:rsidRPr="00197362">
        <w:rPr>
          <w:rFonts w:ascii="Arial" w:hAnsi="Arial" w:cs="Arial"/>
          <w:sz w:val="24"/>
          <w:szCs w:val="24"/>
          <w:lang w:val="en-ZA"/>
        </w:rPr>
        <w:t xml:space="preserve"> </w:t>
      </w:r>
      <w:r w:rsidR="004A4E12" w:rsidRPr="00197362">
        <w:rPr>
          <w:rFonts w:ascii="Arial" w:hAnsi="Arial" w:cs="Arial"/>
          <w:sz w:val="24"/>
          <w:szCs w:val="24"/>
          <w:lang w:val="en-ZA"/>
        </w:rPr>
        <w:t>more particularly s</w:t>
      </w:r>
      <w:r w:rsidR="003C6EED">
        <w:rPr>
          <w:rFonts w:ascii="Arial" w:hAnsi="Arial" w:cs="Arial"/>
          <w:sz w:val="24"/>
          <w:szCs w:val="24"/>
          <w:lang w:val="en-ZA"/>
        </w:rPr>
        <w:t>ection</w:t>
      </w:r>
      <w:r w:rsidRPr="00197362">
        <w:rPr>
          <w:rFonts w:ascii="Arial" w:hAnsi="Arial" w:cs="Arial"/>
          <w:sz w:val="24"/>
          <w:szCs w:val="24"/>
          <w:lang w:val="en-ZA"/>
        </w:rPr>
        <w:t xml:space="preserve"> </w:t>
      </w:r>
      <w:r w:rsidR="003C6EED">
        <w:rPr>
          <w:rFonts w:ascii="Arial" w:hAnsi="Arial" w:cs="Arial"/>
          <w:sz w:val="24"/>
          <w:szCs w:val="24"/>
          <w:lang w:val="en-ZA"/>
        </w:rPr>
        <w:t>86</w:t>
      </w:r>
      <w:r w:rsidR="00FD2983" w:rsidRPr="00197362">
        <w:rPr>
          <w:rFonts w:ascii="Arial" w:hAnsi="Arial" w:cs="Arial"/>
          <w:sz w:val="24"/>
          <w:szCs w:val="24"/>
          <w:lang w:val="en-ZA"/>
        </w:rPr>
        <w:t>(10)</w:t>
      </w:r>
      <w:r w:rsidRPr="00197362">
        <w:rPr>
          <w:rFonts w:ascii="Arial" w:hAnsi="Arial" w:cs="Arial"/>
          <w:sz w:val="24"/>
          <w:szCs w:val="24"/>
          <w:lang w:val="en-ZA"/>
        </w:rPr>
        <w:t xml:space="preserve"> </w:t>
      </w:r>
      <w:r w:rsidR="004A4E12" w:rsidRPr="00197362">
        <w:rPr>
          <w:rFonts w:ascii="Arial" w:hAnsi="Arial" w:cs="Arial"/>
          <w:sz w:val="24"/>
          <w:szCs w:val="24"/>
          <w:lang w:val="en-ZA"/>
        </w:rPr>
        <w:t xml:space="preserve">which </w:t>
      </w:r>
      <w:r w:rsidR="00FD2983" w:rsidRPr="00197362">
        <w:rPr>
          <w:rFonts w:ascii="Arial" w:hAnsi="Arial" w:cs="Arial"/>
          <w:sz w:val="24"/>
          <w:szCs w:val="24"/>
          <w:lang w:val="en-ZA"/>
        </w:rPr>
        <w:t>provides that:</w:t>
      </w:r>
      <w:r w:rsidRPr="00197362">
        <w:rPr>
          <w:rFonts w:ascii="Arial" w:hAnsi="Arial" w:cs="Arial"/>
          <w:sz w:val="24"/>
          <w:szCs w:val="24"/>
          <w:lang w:val="en-ZA"/>
        </w:rPr>
        <w:t xml:space="preserve"> </w:t>
      </w:r>
    </w:p>
    <w:p w14:paraId="06FE0F7C" w14:textId="7F2AD095" w:rsidR="008B5D14" w:rsidRPr="008B5D14" w:rsidRDefault="00E60D76" w:rsidP="008B5D14">
      <w:pPr>
        <w:spacing w:after="0" w:line="360" w:lineRule="auto"/>
        <w:jc w:val="both"/>
        <w:rPr>
          <w:rFonts w:ascii="Arial" w:hAnsi="Arial" w:cs="Arial"/>
          <w:szCs w:val="24"/>
          <w:lang w:val="en-ZA"/>
        </w:rPr>
      </w:pPr>
      <w:r w:rsidRPr="00197362">
        <w:rPr>
          <w:rFonts w:ascii="Arial" w:hAnsi="Arial" w:cs="Arial"/>
          <w:szCs w:val="24"/>
          <w:lang w:val="en-ZA"/>
        </w:rPr>
        <w:lastRenderedPageBreak/>
        <w:t>‘</w:t>
      </w:r>
      <w:r w:rsidR="008B5D14" w:rsidRPr="008B5D14">
        <w:rPr>
          <w:rFonts w:ascii="Arial" w:hAnsi="Arial" w:cs="Arial"/>
          <w:i/>
          <w:szCs w:val="24"/>
          <w:lang w:val="en-ZA"/>
        </w:rPr>
        <w:t>(a)</w:t>
      </w:r>
      <w:r w:rsidR="008B5D14">
        <w:rPr>
          <w:rFonts w:ascii="Arial" w:hAnsi="Arial" w:cs="Arial"/>
          <w:szCs w:val="24"/>
          <w:lang w:val="en-ZA"/>
        </w:rPr>
        <w:t xml:space="preserve"> </w:t>
      </w:r>
      <w:r w:rsidR="008B5D14">
        <w:rPr>
          <w:rFonts w:ascii="Arial" w:hAnsi="Arial" w:cs="Arial"/>
          <w:szCs w:val="24"/>
          <w:lang w:val="en-ZA"/>
        </w:rPr>
        <w:tab/>
      </w:r>
      <w:r w:rsidR="008B5D14" w:rsidRPr="008B5D14">
        <w:rPr>
          <w:rFonts w:ascii="Arial" w:hAnsi="Arial" w:cs="Arial"/>
          <w:szCs w:val="24"/>
          <w:lang w:val="en-ZA"/>
        </w:rPr>
        <w:t>If a consumer is in default under a credit agreement that is being reviewed in terms of this section, the credit provider in respect of that credit agreement may, at any time at least 60</w:t>
      </w:r>
      <w:r w:rsidR="008B5D14">
        <w:rPr>
          <w:rFonts w:ascii="Arial" w:hAnsi="Arial" w:cs="Arial"/>
          <w:szCs w:val="24"/>
          <w:lang w:val="en-ZA"/>
        </w:rPr>
        <w:t xml:space="preserve"> </w:t>
      </w:r>
      <w:r w:rsidR="008B5D14" w:rsidRPr="008B5D14">
        <w:rPr>
          <w:rFonts w:ascii="Arial" w:hAnsi="Arial" w:cs="Arial"/>
          <w:szCs w:val="24"/>
          <w:lang w:val="en-ZA"/>
        </w:rPr>
        <w:t>business days after the date on which the consumer applied for the debt review, give notice to terminate the review in the prescribed manner to-</w:t>
      </w:r>
    </w:p>
    <w:p w14:paraId="5BA4C304" w14:textId="65BE2D1C" w:rsidR="008B5D14" w:rsidRPr="008B5D14" w:rsidRDefault="008B5D14" w:rsidP="008B5D14">
      <w:pPr>
        <w:spacing w:after="0" w:line="360" w:lineRule="auto"/>
        <w:ind w:left="720"/>
        <w:jc w:val="both"/>
        <w:rPr>
          <w:rFonts w:ascii="Arial" w:hAnsi="Arial" w:cs="Arial"/>
          <w:szCs w:val="24"/>
          <w:lang w:val="en-ZA"/>
        </w:rPr>
      </w:pPr>
      <w:r w:rsidRPr="008B5D14">
        <w:rPr>
          <w:rFonts w:ascii="Arial" w:hAnsi="Arial" w:cs="Arial"/>
          <w:szCs w:val="24"/>
          <w:lang w:val="en-ZA"/>
        </w:rPr>
        <w:t xml:space="preserve">(i) </w:t>
      </w:r>
      <w:r>
        <w:rPr>
          <w:rFonts w:ascii="Arial" w:hAnsi="Arial" w:cs="Arial"/>
          <w:szCs w:val="24"/>
          <w:lang w:val="en-ZA"/>
        </w:rPr>
        <w:tab/>
      </w:r>
      <w:r w:rsidRPr="008B5D14">
        <w:rPr>
          <w:rFonts w:ascii="Arial" w:hAnsi="Arial" w:cs="Arial"/>
          <w:szCs w:val="24"/>
          <w:lang w:val="en-ZA"/>
        </w:rPr>
        <w:t>the consumer;</w:t>
      </w:r>
    </w:p>
    <w:p w14:paraId="5ADA486B" w14:textId="1185F299" w:rsidR="008B5D14" w:rsidRPr="008B5D14" w:rsidRDefault="008B5D14" w:rsidP="008B5D14">
      <w:pPr>
        <w:spacing w:after="0" w:line="360" w:lineRule="auto"/>
        <w:ind w:left="720"/>
        <w:jc w:val="both"/>
        <w:rPr>
          <w:rFonts w:ascii="Arial" w:hAnsi="Arial" w:cs="Arial"/>
          <w:szCs w:val="24"/>
          <w:lang w:val="en-ZA"/>
        </w:rPr>
      </w:pPr>
      <w:r w:rsidRPr="008B5D14">
        <w:rPr>
          <w:rFonts w:ascii="Arial" w:hAnsi="Arial" w:cs="Arial"/>
          <w:szCs w:val="24"/>
          <w:lang w:val="en-ZA"/>
        </w:rPr>
        <w:t xml:space="preserve">(ii) </w:t>
      </w:r>
      <w:r>
        <w:rPr>
          <w:rFonts w:ascii="Arial" w:hAnsi="Arial" w:cs="Arial"/>
          <w:szCs w:val="24"/>
          <w:lang w:val="en-ZA"/>
        </w:rPr>
        <w:tab/>
      </w:r>
      <w:r w:rsidRPr="008B5D14">
        <w:rPr>
          <w:rFonts w:ascii="Arial" w:hAnsi="Arial" w:cs="Arial"/>
          <w:szCs w:val="24"/>
          <w:lang w:val="en-ZA"/>
        </w:rPr>
        <w:t>the debt counsellor; and</w:t>
      </w:r>
    </w:p>
    <w:p w14:paraId="00FCFAA4" w14:textId="53C40846" w:rsidR="00FD2983" w:rsidRPr="00197362" w:rsidRDefault="008B5D14" w:rsidP="008B5D14">
      <w:pPr>
        <w:spacing w:after="0" w:line="360" w:lineRule="auto"/>
        <w:ind w:left="720"/>
        <w:jc w:val="both"/>
        <w:rPr>
          <w:rFonts w:ascii="Arial" w:hAnsi="Arial" w:cs="Arial"/>
          <w:sz w:val="24"/>
          <w:szCs w:val="24"/>
          <w:lang w:val="en-ZA"/>
        </w:rPr>
      </w:pPr>
      <w:r w:rsidRPr="008B5D14">
        <w:rPr>
          <w:rFonts w:ascii="Arial" w:hAnsi="Arial" w:cs="Arial"/>
          <w:szCs w:val="24"/>
          <w:lang w:val="en-ZA"/>
        </w:rPr>
        <w:t xml:space="preserve">(iii) </w:t>
      </w:r>
      <w:r>
        <w:rPr>
          <w:rFonts w:ascii="Arial" w:hAnsi="Arial" w:cs="Arial"/>
          <w:szCs w:val="24"/>
          <w:lang w:val="en-ZA"/>
        </w:rPr>
        <w:tab/>
      </w:r>
      <w:r w:rsidRPr="008B5D14">
        <w:rPr>
          <w:rFonts w:ascii="Arial" w:hAnsi="Arial" w:cs="Arial"/>
          <w:szCs w:val="24"/>
          <w:lang w:val="en-ZA"/>
        </w:rPr>
        <w:t>the National Credit Regulator</w:t>
      </w:r>
      <w:r>
        <w:rPr>
          <w:rFonts w:ascii="Arial" w:hAnsi="Arial" w:cs="Arial"/>
          <w:szCs w:val="24"/>
          <w:lang w:val="en-ZA"/>
        </w:rPr>
        <w:t xml:space="preserve"> . . .</w:t>
      </w:r>
      <w:r w:rsidR="00E60D76" w:rsidRPr="00197362">
        <w:rPr>
          <w:rFonts w:ascii="Arial" w:hAnsi="Arial" w:cs="Arial"/>
          <w:szCs w:val="24"/>
          <w:lang w:val="en-ZA"/>
        </w:rPr>
        <w:t>’</w:t>
      </w:r>
      <w:r w:rsidR="00E60D76" w:rsidRPr="00197362">
        <w:rPr>
          <w:rFonts w:ascii="Arial" w:hAnsi="Arial" w:cs="Arial"/>
          <w:sz w:val="24"/>
          <w:szCs w:val="24"/>
          <w:lang w:val="en-ZA"/>
        </w:rPr>
        <w:t xml:space="preserve"> </w:t>
      </w:r>
    </w:p>
    <w:p w14:paraId="0EACBE6A" w14:textId="613F80E0" w:rsidR="00FD2983" w:rsidRPr="00197362" w:rsidRDefault="008B5D14" w:rsidP="00197362">
      <w:pPr>
        <w:spacing w:after="0" w:line="360" w:lineRule="auto"/>
        <w:jc w:val="both"/>
        <w:rPr>
          <w:rFonts w:ascii="Arial" w:hAnsi="Arial" w:cs="Arial"/>
          <w:sz w:val="24"/>
          <w:szCs w:val="24"/>
          <w:lang w:val="en-ZA"/>
        </w:rPr>
      </w:pPr>
      <w:r>
        <w:rPr>
          <w:rFonts w:ascii="Arial" w:hAnsi="Arial" w:cs="Arial"/>
          <w:sz w:val="24"/>
          <w:szCs w:val="24"/>
          <w:lang w:val="en-ZA"/>
        </w:rPr>
        <w:t>And section</w:t>
      </w:r>
      <w:r w:rsidRPr="00197362">
        <w:rPr>
          <w:rFonts w:ascii="Arial" w:hAnsi="Arial" w:cs="Arial"/>
          <w:sz w:val="24"/>
          <w:szCs w:val="24"/>
          <w:lang w:val="en-ZA"/>
        </w:rPr>
        <w:t xml:space="preserve"> </w:t>
      </w:r>
      <w:r>
        <w:rPr>
          <w:rFonts w:ascii="Arial" w:hAnsi="Arial" w:cs="Arial"/>
          <w:sz w:val="24"/>
          <w:szCs w:val="24"/>
          <w:lang w:val="en-ZA"/>
        </w:rPr>
        <w:t>130</w:t>
      </w:r>
      <w:r w:rsidR="00FD2983" w:rsidRPr="00197362">
        <w:rPr>
          <w:rFonts w:ascii="Arial" w:hAnsi="Arial" w:cs="Arial"/>
          <w:sz w:val="24"/>
          <w:szCs w:val="24"/>
          <w:lang w:val="en-ZA"/>
        </w:rPr>
        <w:t>(1)</w:t>
      </w:r>
      <w:r w:rsidR="004A4E12" w:rsidRPr="00197362">
        <w:rPr>
          <w:rFonts w:ascii="Arial" w:hAnsi="Arial" w:cs="Arial"/>
          <w:sz w:val="24"/>
          <w:szCs w:val="24"/>
          <w:lang w:val="en-ZA"/>
        </w:rPr>
        <w:t xml:space="preserve"> which</w:t>
      </w:r>
      <w:r w:rsidR="00FD2983" w:rsidRPr="00197362">
        <w:rPr>
          <w:rFonts w:ascii="Arial" w:hAnsi="Arial" w:cs="Arial"/>
          <w:sz w:val="24"/>
          <w:szCs w:val="24"/>
          <w:lang w:val="en-ZA"/>
        </w:rPr>
        <w:t xml:space="preserve"> provides that:</w:t>
      </w:r>
    </w:p>
    <w:p w14:paraId="5EAA3652" w14:textId="66438794" w:rsidR="008B5D14" w:rsidRPr="008B5D14" w:rsidRDefault="00FD2983" w:rsidP="008B5D14">
      <w:pPr>
        <w:spacing w:after="0" w:line="360" w:lineRule="auto"/>
        <w:jc w:val="both"/>
        <w:rPr>
          <w:rFonts w:ascii="Arial" w:hAnsi="Arial" w:cs="Arial"/>
          <w:szCs w:val="24"/>
          <w:lang w:val="en-ZA"/>
        </w:rPr>
      </w:pPr>
      <w:r w:rsidRPr="00197362">
        <w:rPr>
          <w:rFonts w:ascii="Arial" w:hAnsi="Arial" w:cs="Arial"/>
          <w:szCs w:val="24"/>
          <w:lang w:val="en-ZA"/>
        </w:rPr>
        <w:t>‘</w:t>
      </w:r>
      <w:r w:rsidR="008B5D14" w:rsidRPr="008B5D14">
        <w:rPr>
          <w:rFonts w:ascii="Arial" w:hAnsi="Arial" w:cs="Arial"/>
          <w:szCs w:val="24"/>
          <w:lang w:val="en-ZA"/>
        </w:rPr>
        <w:t>Subject to subsection (2), a credit provider may approach the court for an order to enforce a</w:t>
      </w:r>
      <w:r w:rsidR="00547F0F">
        <w:rPr>
          <w:rFonts w:ascii="Arial" w:hAnsi="Arial" w:cs="Arial"/>
          <w:szCs w:val="24"/>
          <w:lang w:val="en-ZA"/>
        </w:rPr>
        <w:t xml:space="preserve"> </w:t>
      </w:r>
      <w:r w:rsidR="008B5D14" w:rsidRPr="008B5D14">
        <w:rPr>
          <w:rFonts w:ascii="Arial" w:hAnsi="Arial" w:cs="Arial"/>
          <w:szCs w:val="24"/>
          <w:lang w:val="en-ZA"/>
        </w:rPr>
        <w:t>credit agreement only if, at that time, the consumer is in default and has been in default under that credit agreement for at least 20 business days and-</w:t>
      </w:r>
    </w:p>
    <w:p w14:paraId="7B16F450" w14:textId="36F05C22" w:rsidR="008B5D14" w:rsidRPr="008B5D14" w:rsidRDefault="008B5D14" w:rsidP="008B5D14">
      <w:pPr>
        <w:spacing w:after="0" w:line="360" w:lineRule="auto"/>
        <w:ind w:left="709" w:hanging="709"/>
        <w:jc w:val="both"/>
        <w:rPr>
          <w:rFonts w:ascii="Arial" w:hAnsi="Arial" w:cs="Arial"/>
          <w:szCs w:val="24"/>
          <w:lang w:val="en-ZA"/>
        </w:rPr>
      </w:pPr>
      <w:r w:rsidRPr="008B5D14">
        <w:rPr>
          <w:rFonts w:ascii="Arial" w:hAnsi="Arial" w:cs="Arial"/>
          <w:i/>
          <w:szCs w:val="24"/>
          <w:lang w:val="en-ZA"/>
        </w:rPr>
        <w:t>(a)</w:t>
      </w:r>
      <w:r>
        <w:rPr>
          <w:rFonts w:ascii="Arial" w:hAnsi="Arial" w:cs="Arial"/>
          <w:szCs w:val="24"/>
          <w:lang w:val="en-ZA"/>
        </w:rPr>
        <w:t xml:space="preserve"> </w:t>
      </w:r>
      <w:r>
        <w:rPr>
          <w:rFonts w:ascii="Arial" w:hAnsi="Arial" w:cs="Arial"/>
          <w:szCs w:val="24"/>
          <w:lang w:val="en-ZA"/>
        </w:rPr>
        <w:tab/>
      </w:r>
      <w:r w:rsidRPr="008B5D14">
        <w:rPr>
          <w:rFonts w:ascii="Arial" w:hAnsi="Arial" w:cs="Arial"/>
          <w:szCs w:val="24"/>
          <w:lang w:val="en-ZA"/>
        </w:rPr>
        <w:t>at least 10 business days have elapsed since the credit provider delivered a notice to the consumer as contemplated in section 86 (10), or section 129 (1), as the case may be;</w:t>
      </w:r>
    </w:p>
    <w:p w14:paraId="7ADBBABD" w14:textId="5DAF2C8B" w:rsidR="008B5D14" w:rsidRPr="008B5D14" w:rsidRDefault="008B5D14" w:rsidP="008B5D14">
      <w:pPr>
        <w:spacing w:after="0" w:line="360" w:lineRule="auto"/>
        <w:ind w:left="709" w:hanging="709"/>
        <w:jc w:val="both"/>
        <w:rPr>
          <w:rFonts w:ascii="Arial" w:hAnsi="Arial" w:cs="Arial"/>
          <w:szCs w:val="24"/>
          <w:lang w:val="en-ZA"/>
        </w:rPr>
      </w:pPr>
      <w:r w:rsidRPr="008B5D14">
        <w:rPr>
          <w:rFonts w:ascii="Arial" w:hAnsi="Arial" w:cs="Arial"/>
          <w:i/>
          <w:szCs w:val="24"/>
          <w:lang w:val="en-ZA"/>
        </w:rPr>
        <w:t>(b)</w:t>
      </w:r>
      <w:r>
        <w:rPr>
          <w:rFonts w:ascii="Arial" w:hAnsi="Arial" w:cs="Arial"/>
          <w:szCs w:val="24"/>
          <w:lang w:val="en-ZA"/>
        </w:rPr>
        <w:t xml:space="preserve"> </w:t>
      </w:r>
      <w:r>
        <w:rPr>
          <w:rFonts w:ascii="Arial" w:hAnsi="Arial" w:cs="Arial"/>
          <w:szCs w:val="24"/>
          <w:lang w:val="en-ZA"/>
        </w:rPr>
        <w:tab/>
      </w:r>
      <w:r w:rsidRPr="008B5D14">
        <w:rPr>
          <w:rFonts w:ascii="Arial" w:hAnsi="Arial" w:cs="Arial"/>
          <w:szCs w:val="24"/>
          <w:lang w:val="en-ZA"/>
        </w:rPr>
        <w:t>in the case of a notice contemplated in section 129 (1), the consumer has-</w:t>
      </w:r>
    </w:p>
    <w:p w14:paraId="5A97D9D9" w14:textId="2EF1AEF4" w:rsidR="008B5D14" w:rsidRPr="008B5D14" w:rsidRDefault="008B5D14" w:rsidP="008B5D14">
      <w:pPr>
        <w:spacing w:after="0" w:line="360" w:lineRule="auto"/>
        <w:ind w:left="1418" w:hanging="709"/>
        <w:jc w:val="both"/>
        <w:rPr>
          <w:rFonts w:ascii="Arial" w:hAnsi="Arial" w:cs="Arial"/>
          <w:szCs w:val="24"/>
          <w:lang w:val="en-ZA"/>
        </w:rPr>
      </w:pPr>
      <w:r w:rsidRPr="008B5D14">
        <w:rPr>
          <w:rFonts w:ascii="Arial" w:hAnsi="Arial" w:cs="Arial"/>
          <w:szCs w:val="24"/>
          <w:lang w:val="en-ZA"/>
        </w:rPr>
        <w:t xml:space="preserve">(i) </w:t>
      </w:r>
      <w:r>
        <w:rPr>
          <w:rFonts w:ascii="Arial" w:hAnsi="Arial" w:cs="Arial"/>
          <w:szCs w:val="24"/>
          <w:lang w:val="en-ZA"/>
        </w:rPr>
        <w:tab/>
      </w:r>
      <w:r w:rsidRPr="008B5D14">
        <w:rPr>
          <w:rFonts w:ascii="Arial" w:hAnsi="Arial" w:cs="Arial"/>
          <w:szCs w:val="24"/>
          <w:lang w:val="en-ZA"/>
        </w:rPr>
        <w:t>not responded to that notice; or</w:t>
      </w:r>
    </w:p>
    <w:p w14:paraId="0E8D36F9" w14:textId="08149282" w:rsidR="008B5D14" w:rsidRPr="008B5D14" w:rsidRDefault="008B5D14" w:rsidP="008B5D14">
      <w:pPr>
        <w:spacing w:after="0" w:line="360" w:lineRule="auto"/>
        <w:ind w:left="1418" w:hanging="709"/>
        <w:jc w:val="both"/>
        <w:rPr>
          <w:rFonts w:ascii="Arial" w:hAnsi="Arial" w:cs="Arial"/>
          <w:szCs w:val="24"/>
          <w:lang w:val="en-ZA"/>
        </w:rPr>
      </w:pPr>
      <w:r w:rsidRPr="008B5D14">
        <w:rPr>
          <w:rFonts w:ascii="Arial" w:hAnsi="Arial" w:cs="Arial"/>
          <w:szCs w:val="24"/>
          <w:lang w:val="en-ZA"/>
        </w:rPr>
        <w:t xml:space="preserve">(ii) </w:t>
      </w:r>
      <w:r>
        <w:rPr>
          <w:rFonts w:ascii="Arial" w:hAnsi="Arial" w:cs="Arial"/>
          <w:szCs w:val="24"/>
          <w:lang w:val="en-ZA"/>
        </w:rPr>
        <w:tab/>
      </w:r>
      <w:r w:rsidRPr="008B5D14">
        <w:rPr>
          <w:rFonts w:ascii="Arial" w:hAnsi="Arial" w:cs="Arial"/>
          <w:szCs w:val="24"/>
          <w:lang w:val="en-ZA"/>
        </w:rPr>
        <w:t>responded to the notice by rejecting the credit provider's proposals; and</w:t>
      </w:r>
    </w:p>
    <w:p w14:paraId="1364DC34" w14:textId="19EFFA63" w:rsidR="00FD2983" w:rsidRPr="00197362" w:rsidRDefault="008B5D14" w:rsidP="008B5D14">
      <w:pPr>
        <w:spacing w:after="0" w:line="360" w:lineRule="auto"/>
        <w:ind w:left="709" w:hanging="709"/>
        <w:jc w:val="both"/>
        <w:rPr>
          <w:rFonts w:ascii="Arial" w:hAnsi="Arial" w:cs="Arial"/>
          <w:szCs w:val="24"/>
          <w:lang w:val="en-ZA"/>
        </w:rPr>
      </w:pPr>
      <w:r w:rsidRPr="008B5D14">
        <w:rPr>
          <w:rFonts w:ascii="Arial" w:hAnsi="Arial" w:cs="Arial"/>
          <w:i/>
          <w:szCs w:val="24"/>
          <w:lang w:val="en-ZA"/>
        </w:rPr>
        <w:t>(c)</w:t>
      </w:r>
      <w:r>
        <w:rPr>
          <w:rFonts w:ascii="Arial" w:hAnsi="Arial" w:cs="Arial"/>
          <w:szCs w:val="24"/>
          <w:lang w:val="en-ZA"/>
        </w:rPr>
        <w:t xml:space="preserve"> </w:t>
      </w:r>
      <w:r>
        <w:rPr>
          <w:rFonts w:ascii="Arial" w:hAnsi="Arial" w:cs="Arial"/>
          <w:szCs w:val="24"/>
          <w:lang w:val="en-ZA"/>
        </w:rPr>
        <w:tab/>
      </w:r>
      <w:r w:rsidRPr="008B5D14">
        <w:rPr>
          <w:rFonts w:ascii="Arial" w:hAnsi="Arial" w:cs="Arial"/>
          <w:szCs w:val="24"/>
          <w:lang w:val="en-ZA"/>
        </w:rPr>
        <w:t>in the case of an instalment agreement, secured loan, or lease, the consumer has not surrendered the relevant property to the credit provider as contemplated in section 127</w:t>
      </w:r>
      <w:r w:rsidR="004A4E12" w:rsidRPr="00197362">
        <w:rPr>
          <w:rFonts w:ascii="Arial" w:hAnsi="Arial" w:cs="Arial"/>
          <w:szCs w:val="24"/>
          <w:lang w:val="en-ZA"/>
        </w:rPr>
        <w:t>’</w:t>
      </w:r>
      <w:r>
        <w:rPr>
          <w:rFonts w:ascii="Arial" w:hAnsi="Arial" w:cs="Arial"/>
          <w:szCs w:val="24"/>
          <w:lang w:val="en-ZA"/>
        </w:rPr>
        <w:t>.</w:t>
      </w:r>
    </w:p>
    <w:p w14:paraId="5458F647" w14:textId="77777777" w:rsidR="00B80911" w:rsidRPr="00197362" w:rsidRDefault="00B80911" w:rsidP="00197362">
      <w:pPr>
        <w:spacing w:after="0" w:line="360" w:lineRule="auto"/>
        <w:jc w:val="both"/>
        <w:rPr>
          <w:rFonts w:ascii="Arial" w:hAnsi="Arial" w:cs="Arial"/>
          <w:sz w:val="24"/>
          <w:szCs w:val="24"/>
          <w:lang w:val="en-ZA"/>
        </w:rPr>
      </w:pPr>
      <w:r w:rsidRPr="00197362">
        <w:rPr>
          <w:rFonts w:ascii="Arial" w:hAnsi="Arial" w:cs="Arial"/>
          <w:sz w:val="24"/>
          <w:szCs w:val="24"/>
          <w:lang w:val="en-ZA"/>
        </w:rPr>
        <w:t xml:space="preserve"> </w:t>
      </w:r>
    </w:p>
    <w:p w14:paraId="2AB4399D" w14:textId="5F933474" w:rsidR="00007158" w:rsidRPr="00197362" w:rsidRDefault="00B80911" w:rsidP="00197362">
      <w:pPr>
        <w:spacing w:after="0" w:line="360" w:lineRule="auto"/>
        <w:jc w:val="both"/>
        <w:rPr>
          <w:rFonts w:ascii="Arial" w:hAnsi="Arial" w:cs="Arial"/>
          <w:b/>
          <w:bCs/>
          <w:sz w:val="24"/>
          <w:szCs w:val="24"/>
          <w:lang w:val="en-ZA"/>
        </w:rPr>
      </w:pPr>
      <w:r w:rsidRPr="00197362">
        <w:rPr>
          <w:rFonts w:ascii="Arial" w:hAnsi="Arial" w:cs="Arial"/>
          <w:b/>
          <w:bCs/>
          <w:sz w:val="24"/>
          <w:szCs w:val="24"/>
          <w:lang w:val="en-ZA"/>
        </w:rPr>
        <w:t>Analysis of the facts</w:t>
      </w:r>
    </w:p>
    <w:p w14:paraId="72056A6B" w14:textId="49E91216" w:rsidR="00471247" w:rsidRPr="00197362" w:rsidRDefault="00197362" w:rsidP="00197362">
      <w:pPr>
        <w:spacing w:after="0" w:line="360" w:lineRule="auto"/>
        <w:jc w:val="both"/>
        <w:rPr>
          <w:rFonts w:ascii="Arial" w:hAnsi="Arial" w:cs="Arial"/>
          <w:sz w:val="24"/>
          <w:szCs w:val="24"/>
          <w:lang w:val="en-ZA"/>
        </w:rPr>
      </w:pPr>
      <w:r>
        <w:rPr>
          <w:rFonts w:ascii="Arial" w:hAnsi="Arial" w:cs="Arial"/>
          <w:sz w:val="24"/>
          <w:szCs w:val="24"/>
          <w:lang w:val="en-ZA"/>
        </w:rPr>
        <w:t>[</w:t>
      </w:r>
      <w:r w:rsidR="002B41F5" w:rsidRPr="00197362">
        <w:rPr>
          <w:rFonts w:ascii="Arial" w:hAnsi="Arial" w:cs="Arial"/>
          <w:sz w:val="24"/>
          <w:szCs w:val="24"/>
          <w:lang w:val="en-ZA"/>
        </w:rPr>
        <w:t>16</w:t>
      </w:r>
      <w:r w:rsidR="00007158" w:rsidRPr="00197362">
        <w:rPr>
          <w:rFonts w:ascii="Arial" w:hAnsi="Arial" w:cs="Arial"/>
          <w:sz w:val="24"/>
          <w:szCs w:val="24"/>
          <w:lang w:val="en-ZA"/>
        </w:rPr>
        <w:t>]</w:t>
      </w:r>
      <w:r w:rsidRPr="00197362">
        <w:rPr>
          <w:rFonts w:ascii="Arial" w:hAnsi="Arial" w:cs="Arial"/>
          <w:sz w:val="24"/>
          <w:szCs w:val="24"/>
          <w:lang w:val="en-ZA"/>
        </w:rPr>
        <w:t xml:space="preserve"> </w:t>
      </w:r>
      <w:r>
        <w:rPr>
          <w:rFonts w:ascii="Arial" w:hAnsi="Arial" w:cs="Arial"/>
          <w:sz w:val="24"/>
          <w:szCs w:val="24"/>
          <w:lang w:val="en-ZA"/>
        </w:rPr>
        <w:tab/>
      </w:r>
      <w:r w:rsidR="000D6808" w:rsidRPr="00197362">
        <w:rPr>
          <w:rFonts w:ascii="Arial" w:hAnsi="Arial" w:cs="Arial"/>
          <w:sz w:val="24"/>
          <w:szCs w:val="24"/>
          <w:lang w:val="en-ZA"/>
        </w:rPr>
        <w:t>This brings me to the question of whether the defendant has disclosed a</w:t>
      </w:r>
      <w:r w:rsidR="004A4E12" w:rsidRPr="00197362">
        <w:rPr>
          <w:rFonts w:ascii="Arial" w:hAnsi="Arial" w:cs="Arial"/>
          <w:sz w:val="24"/>
          <w:szCs w:val="24"/>
          <w:lang w:val="en-ZA"/>
        </w:rPr>
        <w:t xml:space="preserve"> </w:t>
      </w:r>
      <w:r w:rsidR="000D6808" w:rsidRPr="00197362">
        <w:rPr>
          <w:rFonts w:ascii="Arial" w:hAnsi="Arial" w:cs="Arial"/>
          <w:sz w:val="24"/>
          <w:szCs w:val="24"/>
          <w:lang w:val="en-ZA"/>
        </w:rPr>
        <w:t>bona fide defence to the plaintiff’s claim.</w:t>
      </w:r>
      <w:r w:rsidR="0060732A" w:rsidRPr="00197362">
        <w:rPr>
          <w:rFonts w:ascii="Arial" w:hAnsi="Arial" w:cs="Arial"/>
          <w:sz w:val="24"/>
          <w:szCs w:val="24"/>
          <w:lang w:val="en-ZA"/>
        </w:rPr>
        <w:t xml:space="preserve"> </w:t>
      </w:r>
      <w:r w:rsidR="0060732A" w:rsidRPr="00197362">
        <w:rPr>
          <w:rFonts w:ascii="Arial" w:hAnsi="Arial" w:cs="Arial"/>
          <w:color w:val="000000" w:themeColor="text1"/>
          <w:sz w:val="24"/>
          <w:szCs w:val="24"/>
          <w:lang w:val="en-ZA"/>
        </w:rPr>
        <w:t>The contention that the deponent to the affidavit for summary judgment</w:t>
      </w:r>
      <w:r w:rsidRPr="00197362">
        <w:rPr>
          <w:rFonts w:ascii="Arial" w:hAnsi="Arial" w:cs="Arial"/>
          <w:color w:val="000000" w:themeColor="text1"/>
          <w:sz w:val="24"/>
          <w:szCs w:val="24"/>
          <w:lang w:val="en-ZA"/>
        </w:rPr>
        <w:t xml:space="preserve"> </w:t>
      </w:r>
      <w:r w:rsidR="00647402" w:rsidRPr="00197362">
        <w:rPr>
          <w:rFonts w:ascii="Arial" w:hAnsi="Arial" w:cs="Arial"/>
          <w:sz w:val="24"/>
          <w:szCs w:val="24"/>
          <w:lang w:val="en-ZA"/>
        </w:rPr>
        <w:t>d</w:t>
      </w:r>
      <w:r w:rsidR="004A4E12" w:rsidRPr="00197362">
        <w:rPr>
          <w:rFonts w:ascii="Arial" w:hAnsi="Arial" w:cs="Arial"/>
          <w:sz w:val="24"/>
          <w:szCs w:val="24"/>
          <w:lang w:val="en-ZA"/>
        </w:rPr>
        <w:t>id</w:t>
      </w:r>
      <w:r w:rsidR="00647402" w:rsidRPr="00197362">
        <w:rPr>
          <w:rFonts w:ascii="Arial" w:hAnsi="Arial" w:cs="Arial"/>
          <w:sz w:val="24"/>
          <w:szCs w:val="24"/>
          <w:lang w:val="en-ZA"/>
        </w:rPr>
        <w:t xml:space="preserve"> not have</w:t>
      </w:r>
      <w:r w:rsidRPr="00197362">
        <w:rPr>
          <w:rFonts w:ascii="Arial" w:hAnsi="Arial" w:cs="Arial"/>
          <w:sz w:val="24"/>
          <w:szCs w:val="24"/>
          <w:lang w:val="en-ZA"/>
        </w:rPr>
        <w:t xml:space="preserve"> </w:t>
      </w:r>
      <w:r w:rsidR="000D6808" w:rsidRPr="00197362">
        <w:rPr>
          <w:rFonts w:ascii="Arial" w:hAnsi="Arial" w:cs="Arial"/>
          <w:sz w:val="24"/>
          <w:szCs w:val="24"/>
          <w:lang w:val="en-ZA"/>
        </w:rPr>
        <w:t>personal</w:t>
      </w:r>
      <w:r w:rsidRPr="00197362">
        <w:rPr>
          <w:rFonts w:ascii="Arial" w:hAnsi="Arial" w:cs="Arial"/>
          <w:sz w:val="24"/>
          <w:szCs w:val="24"/>
          <w:lang w:val="en-ZA"/>
        </w:rPr>
        <w:t xml:space="preserve"> </w:t>
      </w:r>
      <w:r w:rsidR="000D6808" w:rsidRPr="00197362">
        <w:rPr>
          <w:rFonts w:ascii="Arial" w:hAnsi="Arial" w:cs="Arial"/>
          <w:sz w:val="24"/>
          <w:szCs w:val="24"/>
          <w:lang w:val="en-ZA"/>
        </w:rPr>
        <w:t>knowledge of the facts is not correct</w:t>
      </w:r>
      <w:r w:rsidR="00141907">
        <w:rPr>
          <w:rFonts w:ascii="Arial" w:hAnsi="Arial" w:cs="Arial"/>
          <w:sz w:val="24"/>
          <w:szCs w:val="24"/>
          <w:lang w:val="en-ZA"/>
        </w:rPr>
        <w:t>,</w:t>
      </w:r>
      <w:r w:rsidR="000D6808" w:rsidRPr="00197362">
        <w:rPr>
          <w:rFonts w:ascii="Arial" w:hAnsi="Arial" w:cs="Arial"/>
          <w:sz w:val="24"/>
          <w:szCs w:val="24"/>
          <w:lang w:val="en-ZA"/>
        </w:rPr>
        <w:t xml:space="preserve"> because</w:t>
      </w:r>
      <w:r w:rsidRPr="00197362">
        <w:rPr>
          <w:rFonts w:ascii="Arial" w:hAnsi="Arial" w:cs="Arial"/>
          <w:sz w:val="24"/>
          <w:szCs w:val="24"/>
          <w:lang w:val="en-ZA"/>
        </w:rPr>
        <w:t xml:space="preserve"> </w:t>
      </w:r>
      <w:r w:rsidR="000D6808" w:rsidRPr="00197362">
        <w:rPr>
          <w:rFonts w:ascii="Arial" w:hAnsi="Arial" w:cs="Arial"/>
          <w:sz w:val="24"/>
          <w:szCs w:val="24"/>
          <w:lang w:val="en-ZA"/>
        </w:rPr>
        <w:t>Mr Motau have</w:t>
      </w:r>
      <w:r>
        <w:rPr>
          <w:rFonts w:ascii="Arial" w:hAnsi="Arial" w:cs="Arial"/>
          <w:sz w:val="24"/>
          <w:szCs w:val="24"/>
          <w:lang w:val="en-ZA"/>
        </w:rPr>
        <w:t xml:space="preserve"> stated in the affidavit that </w:t>
      </w:r>
      <w:r w:rsidR="00141907">
        <w:rPr>
          <w:rFonts w:ascii="Arial" w:hAnsi="Arial" w:cs="Arial"/>
          <w:sz w:val="24"/>
          <w:szCs w:val="24"/>
          <w:lang w:val="en-ZA"/>
        </w:rPr>
        <w:t>‘</w:t>
      </w:r>
      <w:r w:rsidR="000D6808" w:rsidRPr="00197362">
        <w:rPr>
          <w:rFonts w:ascii="Arial" w:hAnsi="Arial" w:cs="Arial"/>
          <w:sz w:val="24"/>
          <w:szCs w:val="24"/>
          <w:lang w:val="en-ZA"/>
        </w:rPr>
        <w:t>MFC</w:t>
      </w:r>
      <w:r w:rsidR="00141907">
        <w:rPr>
          <w:rFonts w:ascii="Arial" w:hAnsi="Arial" w:cs="Arial"/>
          <w:sz w:val="24"/>
          <w:szCs w:val="24"/>
          <w:lang w:val="en-ZA"/>
        </w:rPr>
        <w:t>’</w:t>
      </w:r>
      <w:r w:rsidR="000D6808" w:rsidRPr="00197362">
        <w:rPr>
          <w:rFonts w:ascii="Arial" w:hAnsi="Arial" w:cs="Arial"/>
          <w:sz w:val="24"/>
          <w:szCs w:val="24"/>
          <w:lang w:val="en-ZA"/>
        </w:rPr>
        <w:t xml:space="preserve"> is a division within the plaintiff.</w:t>
      </w:r>
      <w:r w:rsidRPr="00197362">
        <w:rPr>
          <w:rFonts w:ascii="Arial" w:hAnsi="Arial" w:cs="Arial"/>
          <w:sz w:val="24"/>
          <w:szCs w:val="24"/>
          <w:lang w:val="en-ZA"/>
        </w:rPr>
        <w:t xml:space="preserve"> </w:t>
      </w:r>
      <w:r w:rsidR="007D180C" w:rsidRPr="00197362">
        <w:rPr>
          <w:rFonts w:ascii="Arial" w:hAnsi="Arial" w:cs="Arial"/>
          <w:sz w:val="24"/>
          <w:szCs w:val="24"/>
          <w:lang w:val="en-ZA"/>
        </w:rPr>
        <w:t>Furthermore,</w:t>
      </w:r>
      <w:r w:rsidR="00471247" w:rsidRPr="00197362">
        <w:rPr>
          <w:rFonts w:ascii="Arial" w:hAnsi="Arial" w:cs="Arial"/>
          <w:sz w:val="24"/>
          <w:szCs w:val="24"/>
          <w:lang w:val="en-ZA"/>
        </w:rPr>
        <w:t xml:space="preserve"> </w:t>
      </w:r>
      <w:r w:rsidR="000D6808" w:rsidRPr="00197362">
        <w:rPr>
          <w:rFonts w:ascii="Arial" w:hAnsi="Arial" w:cs="Arial"/>
          <w:sz w:val="24"/>
          <w:szCs w:val="24"/>
          <w:lang w:val="en-ZA"/>
        </w:rPr>
        <w:t>the</w:t>
      </w:r>
      <w:r w:rsidRPr="00197362">
        <w:rPr>
          <w:rFonts w:ascii="Arial" w:hAnsi="Arial" w:cs="Arial"/>
          <w:sz w:val="24"/>
          <w:szCs w:val="24"/>
          <w:lang w:val="en-ZA"/>
        </w:rPr>
        <w:t xml:space="preserve"> </w:t>
      </w:r>
      <w:r w:rsidR="00471247" w:rsidRPr="00197362">
        <w:rPr>
          <w:rFonts w:ascii="Arial" w:hAnsi="Arial" w:cs="Arial"/>
          <w:sz w:val="24"/>
          <w:szCs w:val="24"/>
          <w:lang w:val="en-ZA"/>
        </w:rPr>
        <w:t>agreement of sale</w:t>
      </w:r>
      <w:r w:rsidRPr="00197362">
        <w:rPr>
          <w:rFonts w:ascii="Arial" w:hAnsi="Arial" w:cs="Arial"/>
          <w:sz w:val="24"/>
          <w:szCs w:val="24"/>
          <w:lang w:val="en-ZA"/>
        </w:rPr>
        <w:t xml:space="preserve"> </w:t>
      </w:r>
      <w:r w:rsidR="000D6808" w:rsidRPr="00197362">
        <w:rPr>
          <w:rFonts w:ascii="Arial" w:hAnsi="Arial" w:cs="Arial"/>
          <w:sz w:val="24"/>
          <w:szCs w:val="24"/>
          <w:lang w:val="en-ZA"/>
        </w:rPr>
        <w:t>was signed betwee</w:t>
      </w:r>
      <w:r w:rsidR="00E60D76" w:rsidRPr="00197362">
        <w:rPr>
          <w:rFonts w:ascii="Arial" w:hAnsi="Arial" w:cs="Arial"/>
          <w:sz w:val="24"/>
          <w:szCs w:val="24"/>
          <w:lang w:val="en-ZA"/>
        </w:rPr>
        <w:t>n the</w:t>
      </w:r>
      <w:r w:rsidRPr="00197362">
        <w:rPr>
          <w:rFonts w:ascii="Arial" w:hAnsi="Arial" w:cs="Arial"/>
          <w:sz w:val="24"/>
          <w:szCs w:val="24"/>
          <w:lang w:val="en-ZA"/>
        </w:rPr>
        <w:t xml:space="preserve"> </w:t>
      </w:r>
      <w:r w:rsidR="000D6808" w:rsidRPr="00197362">
        <w:rPr>
          <w:rFonts w:ascii="Arial" w:hAnsi="Arial" w:cs="Arial"/>
          <w:sz w:val="24"/>
          <w:szCs w:val="24"/>
          <w:lang w:val="en-ZA"/>
        </w:rPr>
        <w:t xml:space="preserve">defendant and the </w:t>
      </w:r>
      <w:r w:rsidR="00141907">
        <w:rPr>
          <w:rFonts w:ascii="Arial" w:hAnsi="Arial" w:cs="Arial"/>
          <w:sz w:val="24"/>
          <w:szCs w:val="24"/>
          <w:lang w:val="en-ZA"/>
        </w:rPr>
        <w:t>‘</w:t>
      </w:r>
      <w:r w:rsidR="000D6808" w:rsidRPr="00197362">
        <w:rPr>
          <w:rFonts w:ascii="Arial" w:hAnsi="Arial" w:cs="Arial"/>
          <w:sz w:val="24"/>
          <w:szCs w:val="24"/>
          <w:lang w:val="en-ZA"/>
        </w:rPr>
        <w:t>MFC</w:t>
      </w:r>
      <w:r w:rsidR="00141907">
        <w:rPr>
          <w:rFonts w:ascii="Arial" w:hAnsi="Arial" w:cs="Arial"/>
          <w:sz w:val="24"/>
          <w:szCs w:val="24"/>
          <w:lang w:val="en-ZA"/>
        </w:rPr>
        <w:t>’</w:t>
      </w:r>
      <w:r w:rsidR="000D6808" w:rsidRPr="00197362">
        <w:rPr>
          <w:rFonts w:ascii="Arial" w:hAnsi="Arial" w:cs="Arial"/>
          <w:sz w:val="24"/>
          <w:szCs w:val="24"/>
          <w:lang w:val="en-ZA"/>
        </w:rPr>
        <w:t xml:space="preserve"> </w:t>
      </w:r>
      <w:r w:rsidR="00141907">
        <w:rPr>
          <w:rFonts w:ascii="Arial" w:hAnsi="Arial" w:cs="Arial"/>
          <w:sz w:val="24"/>
          <w:szCs w:val="24"/>
          <w:lang w:val="en-ZA"/>
        </w:rPr>
        <w:t xml:space="preserve">as the relevant </w:t>
      </w:r>
      <w:r w:rsidR="000D6808" w:rsidRPr="00197362">
        <w:rPr>
          <w:rFonts w:ascii="Arial" w:hAnsi="Arial" w:cs="Arial"/>
          <w:sz w:val="24"/>
          <w:szCs w:val="24"/>
          <w:lang w:val="en-ZA"/>
        </w:rPr>
        <w:t>divi</w:t>
      </w:r>
      <w:r w:rsidR="00C00FBE" w:rsidRPr="00197362">
        <w:rPr>
          <w:rFonts w:ascii="Arial" w:hAnsi="Arial" w:cs="Arial"/>
          <w:sz w:val="24"/>
          <w:szCs w:val="24"/>
          <w:lang w:val="en-ZA"/>
        </w:rPr>
        <w:t>s</w:t>
      </w:r>
      <w:r w:rsidR="000D6808" w:rsidRPr="00197362">
        <w:rPr>
          <w:rFonts w:ascii="Arial" w:hAnsi="Arial" w:cs="Arial"/>
          <w:sz w:val="24"/>
          <w:szCs w:val="24"/>
          <w:lang w:val="en-ZA"/>
        </w:rPr>
        <w:t>ion within the plaintiff.</w:t>
      </w:r>
      <w:r w:rsidRPr="00197362">
        <w:rPr>
          <w:rFonts w:ascii="Arial" w:hAnsi="Arial" w:cs="Arial"/>
          <w:sz w:val="24"/>
          <w:szCs w:val="24"/>
          <w:lang w:val="en-ZA"/>
        </w:rPr>
        <w:t xml:space="preserve"> </w:t>
      </w:r>
      <w:r w:rsidR="004A4E12" w:rsidRPr="00197362">
        <w:rPr>
          <w:rFonts w:ascii="Arial" w:hAnsi="Arial" w:cs="Arial"/>
          <w:sz w:val="24"/>
          <w:szCs w:val="24"/>
          <w:lang w:val="en-ZA"/>
        </w:rPr>
        <w:t>I am in agreement with the plaintiff’s contention that</w:t>
      </w:r>
      <w:r w:rsidRPr="00197362">
        <w:rPr>
          <w:rFonts w:ascii="Arial" w:hAnsi="Arial" w:cs="Arial"/>
          <w:sz w:val="24"/>
          <w:szCs w:val="24"/>
          <w:lang w:val="en-ZA"/>
        </w:rPr>
        <w:t xml:space="preserve"> </w:t>
      </w:r>
      <w:r w:rsidR="00E60D76" w:rsidRPr="00197362">
        <w:rPr>
          <w:rFonts w:ascii="Arial" w:hAnsi="Arial" w:cs="Arial"/>
          <w:sz w:val="24"/>
          <w:szCs w:val="24"/>
          <w:lang w:val="en-ZA"/>
        </w:rPr>
        <w:t>the</w:t>
      </w:r>
      <w:r w:rsidRPr="00197362">
        <w:rPr>
          <w:rFonts w:ascii="Arial" w:hAnsi="Arial" w:cs="Arial"/>
          <w:sz w:val="24"/>
          <w:szCs w:val="24"/>
          <w:lang w:val="en-ZA"/>
        </w:rPr>
        <w:t xml:space="preserve"> </w:t>
      </w:r>
      <w:r w:rsidR="00471247" w:rsidRPr="00197362">
        <w:rPr>
          <w:rFonts w:ascii="Arial" w:hAnsi="Arial" w:cs="Arial"/>
          <w:sz w:val="24"/>
          <w:szCs w:val="24"/>
          <w:lang w:val="en-ZA"/>
        </w:rPr>
        <w:t xml:space="preserve">issue relating to the failure </w:t>
      </w:r>
      <w:r w:rsidR="00E60D76" w:rsidRPr="00197362">
        <w:rPr>
          <w:rFonts w:ascii="Arial" w:hAnsi="Arial" w:cs="Arial"/>
          <w:sz w:val="24"/>
          <w:szCs w:val="24"/>
          <w:lang w:val="en-ZA"/>
        </w:rPr>
        <w:t>by</w:t>
      </w:r>
      <w:r w:rsidR="00471247" w:rsidRPr="00197362">
        <w:rPr>
          <w:rFonts w:ascii="Arial" w:hAnsi="Arial" w:cs="Arial"/>
          <w:sz w:val="24"/>
          <w:szCs w:val="24"/>
          <w:lang w:val="en-ZA"/>
        </w:rPr>
        <w:t xml:space="preserve"> the </w:t>
      </w:r>
      <w:r w:rsidR="00C00FBE" w:rsidRPr="00197362">
        <w:rPr>
          <w:rFonts w:ascii="Arial" w:hAnsi="Arial" w:cs="Arial"/>
          <w:sz w:val="24"/>
          <w:szCs w:val="24"/>
          <w:lang w:val="en-ZA"/>
        </w:rPr>
        <w:t>plaintiff</w:t>
      </w:r>
      <w:r w:rsidR="00471247" w:rsidRPr="00197362">
        <w:rPr>
          <w:rFonts w:ascii="Arial" w:hAnsi="Arial" w:cs="Arial"/>
          <w:sz w:val="24"/>
          <w:szCs w:val="24"/>
          <w:lang w:val="en-ZA"/>
        </w:rPr>
        <w:t xml:space="preserve"> to attach </w:t>
      </w:r>
      <w:r w:rsidR="00E60D76" w:rsidRPr="00197362">
        <w:rPr>
          <w:rFonts w:ascii="Arial" w:hAnsi="Arial" w:cs="Arial"/>
          <w:sz w:val="24"/>
          <w:szCs w:val="24"/>
          <w:lang w:val="en-ZA"/>
        </w:rPr>
        <w:t>a</w:t>
      </w:r>
      <w:r w:rsidR="00471247" w:rsidRPr="00197362">
        <w:rPr>
          <w:rFonts w:ascii="Arial" w:hAnsi="Arial" w:cs="Arial"/>
          <w:sz w:val="24"/>
          <w:szCs w:val="24"/>
          <w:lang w:val="en-ZA"/>
        </w:rPr>
        <w:t xml:space="preserve"> balance sheet</w:t>
      </w:r>
      <w:r w:rsidR="00C00FBE" w:rsidRPr="00197362">
        <w:rPr>
          <w:rFonts w:ascii="Arial" w:hAnsi="Arial" w:cs="Arial"/>
          <w:sz w:val="24"/>
          <w:szCs w:val="24"/>
          <w:lang w:val="en-ZA"/>
        </w:rPr>
        <w:t xml:space="preserve">, </w:t>
      </w:r>
      <w:r w:rsidR="007D180C" w:rsidRPr="00197362">
        <w:rPr>
          <w:rFonts w:ascii="Arial" w:hAnsi="Arial" w:cs="Arial"/>
          <w:sz w:val="24"/>
          <w:szCs w:val="24"/>
          <w:lang w:val="en-ZA"/>
        </w:rPr>
        <w:t xml:space="preserve">is </w:t>
      </w:r>
      <w:r w:rsidR="00C00FBE" w:rsidRPr="00197362">
        <w:rPr>
          <w:rFonts w:ascii="Arial" w:hAnsi="Arial" w:cs="Arial"/>
          <w:sz w:val="24"/>
          <w:szCs w:val="24"/>
          <w:lang w:val="en-ZA"/>
        </w:rPr>
        <w:t>not material in the present matter</w:t>
      </w:r>
      <w:r w:rsidR="00616148">
        <w:rPr>
          <w:rFonts w:ascii="Arial" w:hAnsi="Arial" w:cs="Arial"/>
          <w:sz w:val="24"/>
          <w:szCs w:val="24"/>
          <w:lang w:val="en-ZA"/>
        </w:rPr>
        <w:t>,</w:t>
      </w:r>
      <w:r w:rsidR="00C00FBE" w:rsidRPr="00197362">
        <w:rPr>
          <w:rFonts w:ascii="Arial" w:hAnsi="Arial" w:cs="Arial"/>
          <w:sz w:val="24"/>
          <w:szCs w:val="24"/>
          <w:lang w:val="en-ZA"/>
        </w:rPr>
        <w:t xml:space="preserve"> because the defendant does not deny that she has not paid even a single instalment since taking possession of the vehicle in October 2020.</w:t>
      </w:r>
      <w:r w:rsidRPr="00197362">
        <w:rPr>
          <w:rFonts w:ascii="Arial" w:hAnsi="Arial" w:cs="Arial"/>
          <w:sz w:val="24"/>
          <w:szCs w:val="24"/>
          <w:lang w:val="en-ZA"/>
        </w:rPr>
        <w:t xml:space="preserve"> </w:t>
      </w:r>
      <w:r w:rsidR="004A4E12" w:rsidRPr="00197362">
        <w:rPr>
          <w:rFonts w:ascii="Arial" w:hAnsi="Arial" w:cs="Arial"/>
          <w:sz w:val="24"/>
          <w:szCs w:val="24"/>
          <w:lang w:val="en-ZA"/>
        </w:rPr>
        <w:t>Likewise</w:t>
      </w:r>
      <w:r w:rsidR="00E60D76" w:rsidRPr="00197362">
        <w:rPr>
          <w:rFonts w:ascii="Arial" w:hAnsi="Arial" w:cs="Arial"/>
          <w:sz w:val="24"/>
          <w:szCs w:val="24"/>
          <w:lang w:val="en-ZA"/>
        </w:rPr>
        <w:t>,</w:t>
      </w:r>
      <w:r w:rsidRPr="00197362">
        <w:rPr>
          <w:rFonts w:ascii="Arial" w:hAnsi="Arial" w:cs="Arial"/>
          <w:sz w:val="24"/>
          <w:szCs w:val="24"/>
          <w:lang w:val="en-ZA"/>
        </w:rPr>
        <w:t xml:space="preserve"> </w:t>
      </w:r>
      <w:r w:rsidR="002B41F5" w:rsidRPr="00197362">
        <w:rPr>
          <w:rFonts w:ascii="Arial" w:hAnsi="Arial" w:cs="Arial"/>
          <w:sz w:val="24"/>
          <w:szCs w:val="24"/>
          <w:lang w:val="en-ZA"/>
        </w:rPr>
        <w:t>in my view</w:t>
      </w:r>
      <w:r w:rsidR="00616148">
        <w:rPr>
          <w:rFonts w:ascii="Arial" w:hAnsi="Arial" w:cs="Arial"/>
          <w:sz w:val="24"/>
          <w:szCs w:val="24"/>
          <w:lang w:val="en-ZA"/>
        </w:rPr>
        <w:t>,</w:t>
      </w:r>
      <w:r w:rsidR="002B41F5" w:rsidRPr="00197362">
        <w:rPr>
          <w:rFonts w:ascii="Arial" w:hAnsi="Arial" w:cs="Arial"/>
          <w:sz w:val="24"/>
          <w:szCs w:val="24"/>
          <w:lang w:val="en-ZA"/>
        </w:rPr>
        <w:t xml:space="preserve"> </w:t>
      </w:r>
      <w:r w:rsidR="004A4E12" w:rsidRPr="00197362">
        <w:rPr>
          <w:rFonts w:ascii="Arial" w:hAnsi="Arial" w:cs="Arial"/>
          <w:sz w:val="24"/>
          <w:szCs w:val="24"/>
          <w:lang w:val="en-ZA"/>
        </w:rPr>
        <w:t>the contention</w:t>
      </w:r>
      <w:r w:rsidRPr="00197362">
        <w:rPr>
          <w:rFonts w:ascii="Arial" w:hAnsi="Arial" w:cs="Arial"/>
          <w:sz w:val="24"/>
          <w:szCs w:val="24"/>
          <w:lang w:val="en-ZA"/>
        </w:rPr>
        <w:t xml:space="preserve"> </w:t>
      </w:r>
      <w:r w:rsidR="002B41F5" w:rsidRPr="00197362">
        <w:rPr>
          <w:rFonts w:ascii="Arial" w:hAnsi="Arial" w:cs="Arial"/>
          <w:sz w:val="24"/>
          <w:szCs w:val="24"/>
          <w:lang w:val="en-ZA"/>
        </w:rPr>
        <w:t>about</w:t>
      </w:r>
      <w:r w:rsidRPr="00197362">
        <w:rPr>
          <w:rFonts w:ascii="Arial" w:hAnsi="Arial" w:cs="Arial"/>
          <w:sz w:val="24"/>
          <w:szCs w:val="24"/>
          <w:lang w:val="en-ZA"/>
        </w:rPr>
        <w:t xml:space="preserve"> </w:t>
      </w:r>
      <w:r w:rsidR="002B41F5" w:rsidRPr="00197362">
        <w:rPr>
          <w:rFonts w:ascii="Arial" w:hAnsi="Arial" w:cs="Arial"/>
          <w:sz w:val="24"/>
          <w:szCs w:val="24"/>
          <w:lang w:val="en-ZA"/>
        </w:rPr>
        <w:t>incorrect calculation of VAT and interests is not material</w:t>
      </w:r>
      <w:r w:rsidRPr="00197362">
        <w:rPr>
          <w:rFonts w:ascii="Arial" w:hAnsi="Arial" w:cs="Arial"/>
          <w:sz w:val="24"/>
          <w:szCs w:val="24"/>
          <w:lang w:val="en-ZA"/>
        </w:rPr>
        <w:t xml:space="preserve"> </w:t>
      </w:r>
      <w:r w:rsidR="002B41F5" w:rsidRPr="00197362">
        <w:rPr>
          <w:rFonts w:ascii="Arial" w:hAnsi="Arial" w:cs="Arial"/>
          <w:sz w:val="24"/>
          <w:szCs w:val="24"/>
          <w:lang w:val="en-ZA"/>
        </w:rPr>
        <w:t>in the present matter where the plaint</w:t>
      </w:r>
      <w:r>
        <w:rPr>
          <w:rFonts w:ascii="Arial" w:hAnsi="Arial" w:cs="Arial"/>
          <w:sz w:val="24"/>
          <w:szCs w:val="24"/>
          <w:lang w:val="en-ZA"/>
        </w:rPr>
        <w:t>iff claim</w:t>
      </w:r>
      <w:r w:rsidR="00616148">
        <w:rPr>
          <w:rFonts w:ascii="Arial" w:hAnsi="Arial" w:cs="Arial"/>
          <w:sz w:val="24"/>
          <w:szCs w:val="24"/>
          <w:lang w:val="en-ZA"/>
        </w:rPr>
        <w:t>s the</w:t>
      </w:r>
      <w:r>
        <w:rPr>
          <w:rFonts w:ascii="Arial" w:hAnsi="Arial" w:cs="Arial"/>
          <w:sz w:val="24"/>
          <w:szCs w:val="24"/>
          <w:lang w:val="en-ZA"/>
        </w:rPr>
        <w:t xml:space="preserve"> return of the vehicle</w:t>
      </w:r>
      <w:r w:rsidR="002B41F5" w:rsidRPr="00197362">
        <w:rPr>
          <w:rFonts w:ascii="Arial" w:hAnsi="Arial" w:cs="Arial"/>
          <w:sz w:val="24"/>
          <w:szCs w:val="24"/>
          <w:lang w:val="en-ZA"/>
        </w:rPr>
        <w:t>, not damages</w:t>
      </w:r>
      <w:r w:rsidR="00E60D76" w:rsidRPr="00197362">
        <w:rPr>
          <w:rFonts w:ascii="Arial" w:hAnsi="Arial" w:cs="Arial"/>
          <w:sz w:val="24"/>
          <w:szCs w:val="24"/>
          <w:lang w:val="en-ZA"/>
        </w:rPr>
        <w:t>,</w:t>
      </w:r>
      <w:r w:rsidRPr="00197362">
        <w:rPr>
          <w:rFonts w:ascii="Arial" w:hAnsi="Arial" w:cs="Arial"/>
          <w:sz w:val="24"/>
          <w:szCs w:val="24"/>
          <w:lang w:val="en-ZA"/>
        </w:rPr>
        <w:t xml:space="preserve"> </w:t>
      </w:r>
      <w:r w:rsidR="002B41F5" w:rsidRPr="00197362">
        <w:rPr>
          <w:rFonts w:ascii="Arial" w:hAnsi="Arial" w:cs="Arial"/>
          <w:sz w:val="24"/>
          <w:szCs w:val="24"/>
          <w:lang w:val="en-ZA"/>
        </w:rPr>
        <w:t xml:space="preserve">and in </w:t>
      </w:r>
      <w:r w:rsidR="00616148">
        <w:rPr>
          <w:rFonts w:ascii="Arial" w:hAnsi="Arial" w:cs="Arial"/>
          <w:sz w:val="24"/>
          <w:szCs w:val="24"/>
          <w:lang w:val="en-ZA"/>
        </w:rPr>
        <w:t xml:space="preserve">the </w:t>
      </w:r>
      <w:r w:rsidR="002B41F5" w:rsidRPr="00197362">
        <w:rPr>
          <w:rFonts w:ascii="Arial" w:hAnsi="Arial" w:cs="Arial"/>
          <w:sz w:val="24"/>
          <w:szCs w:val="24"/>
          <w:lang w:val="en-ZA"/>
        </w:rPr>
        <w:t>circumstances where the defendant has not paid any</w:t>
      </w:r>
      <w:r w:rsidRPr="00197362">
        <w:rPr>
          <w:rFonts w:ascii="Arial" w:hAnsi="Arial" w:cs="Arial"/>
          <w:sz w:val="24"/>
          <w:szCs w:val="24"/>
          <w:lang w:val="en-ZA"/>
        </w:rPr>
        <w:t xml:space="preserve"> </w:t>
      </w:r>
      <w:r w:rsidR="002B41F5" w:rsidRPr="00197362">
        <w:rPr>
          <w:rFonts w:ascii="Arial" w:hAnsi="Arial" w:cs="Arial"/>
          <w:sz w:val="24"/>
          <w:szCs w:val="24"/>
          <w:lang w:val="en-ZA"/>
        </w:rPr>
        <w:t>instalment for the vehicle.</w:t>
      </w:r>
      <w:r w:rsidR="00385C81" w:rsidRPr="00197362">
        <w:rPr>
          <w:rFonts w:ascii="Arial" w:hAnsi="Arial" w:cs="Arial"/>
          <w:sz w:val="24"/>
          <w:szCs w:val="24"/>
          <w:lang w:val="en-ZA"/>
        </w:rPr>
        <w:t xml:space="preserve"> With regard to the </w:t>
      </w:r>
      <w:r w:rsidR="00616148">
        <w:rPr>
          <w:rFonts w:ascii="Arial" w:hAnsi="Arial" w:cs="Arial"/>
          <w:sz w:val="24"/>
          <w:szCs w:val="24"/>
          <w:lang w:val="en-ZA"/>
        </w:rPr>
        <w:t>defendant</w:t>
      </w:r>
      <w:r w:rsidR="00616148" w:rsidRPr="00197362">
        <w:rPr>
          <w:rFonts w:ascii="Arial" w:hAnsi="Arial" w:cs="Arial"/>
          <w:sz w:val="24"/>
          <w:szCs w:val="24"/>
          <w:lang w:val="en-ZA"/>
        </w:rPr>
        <w:t xml:space="preserve">’s </w:t>
      </w:r>
      <w:r w:rsidR="00385C81" w:rsidRPr="00197362">
        <w:rPr>
          <w:rFonts w:ascii="Arial" w:hAnsi="Arial" w:cs="Arial"/>
          <w:sz w:val="24"/>
          <w:szCs w:val="24"/>
          <w:lang w:val="en-ZA"/>
        </w:rPr>
        <w:t xml:space="preserve">contention that the </w:t>
      </w:r>
      <w:r w:rsidR="00616148">
        <w:rPr>
          <w:rFonts w:ascii="Arial" w:hAnsi="Arial" w:cs="Arial"/>
          <w:sz w:val="24"/>
          <w:szCs w:val="24"/>
          <w:lang w:val="en-ZA"/>
        </w:rPr>
        <w:t>plaintiff</w:t>
      </w:r>
      <w:r w:rsidR="00616148" w:rsidRPr="00197362">
        <w:rPr>
          <w:rFonts w:ascii="Arial" w:hAnsi="Arial" w:cs="Arial"/>
          <w:sz w:val="24"/>
          <w:szCs w:val="24"/>
          <w:lang w:val="en-ZA"/>
        </w:rPr>
        <w:t xml:space="preserve">’s </w:t>
      </w:r>
      <w:r w:rsidR="00385C81" w:rsidRPr="00197362">
        <w:rPr>
          <w:rFonts w:ascii="Arial" w:hAnsi="Arial" w:cs="Arial"/>
          <w:sz w:val="24"/>
          <w:szCs w:val="24"/>
          <w:lang w:val="en-ZA"/>
        </w:rPr>
        <w:t xml:space="preserve">affidavit does </w:t>
      </w:r>
      <w:r w:rsidR="00141907">
        <w:rPr>
          <w:rFonts w:ascii="Arial" w:hAnsi="Arial" w:cs="Arial"/>
          <w:sz w:val="24"/>
          <w:szCs w:val="24"/>
          <w:lang w:val="en-ZA"/>
        </w:rPr>
        <w:t xml:space="preserve">not comply with </w:t>
      </w:r>
      <w:r w:rsidR="00141907">
        <w:rPr>
          <w:rFonts w:ascii="Arial" w:hAnsi="Arial" w:cs="Arial"/>
          <w:sz w:val="24"/>
          <w:szCs w:val="24"/>
          <w:lang w:val="en-ZA"/>
        </w:rPr>
        <w:lastRenderedPageBreak/>
        <w:t>Uniform rule 32</w:t>
      </w:r>
      <w:r w:rsidR="00385C81" w:rsidRPr="00197362">
        <w:rPr>
          <w:rFonts w:ascii="Arial" w:hAnsi="Arial" w:cs="Arial"/>
          <w:sz w:val="24"/>
          <w:szCs w:val="24"/>
          <w:lang w:val="en-ZA"/>
        </w:rPr>
        <w:t xml:space="preserve">(4) because the </w:t>
      </w:r>
      <w:r w:rsidR="00DB132C">
        <w:rPr>
          <w:rFonts w:ascii="Arial" w:hAnsi="Arial" w:cs="Arial"/>
          <w:sz w:val="24"/>
          <w:szCs w:val="24"/>
          <w:lang w:val="en-ZA"/>
        </w:rPr>
        <w:t>plaintiff</w:t>
      </w:r>
      <w:r w:rsidR="00385C81" w:rsidRPr="00197362">
        <w:rPr>
          <w:rFonts w:ascii="Arial" w:hAnsi="Arial" w:cs="Arial"/>
          <w:sz w:val="24"/>
          <w:szCs w:val="24"/>
          <w:lang w:val="en-ZA"/>
        </w:rPr>
        <w:t xml:space="preserve"> has attached evidence to the affidavit, I align myself with</w:t>
      </w:r>
      <w:r w:rsidR="00145053" w:rsidRPr="00197362">
        <w:rPr>
          <w:rFonts w:ascii="Arial" w:hAnsi="Arial" w:cs="Arial"/>
          <w:sz w:val="24"/>
          <w:szCs w:val="24"/>
          <w:lang w:val="en-ZA"/>
        </w:rPr>
        <w:t xml:space="preserve"> the judgment of</w:t>
      </w:r>
      <w:r w:rsidR="00385C81" w:rsidRPr="00197362">
        <w:rPr>
          <w:rFonts w:ascii="Arial" w:hAnsi="Arial" w:cs="Arial"/>
          <w:sz w:val="24"/>
          <w:szCs w:val="24"/>
          <w:lang w:val="en-ZA"/>
        </w:rPr>
        <w:t xml:space="preserve"> </w:t>
      </w:r>
      <w:r w:rsidR="00385C81" w:rsidRPr="00197362">
        <w:rPr>
          <w:rFonts w:ascii="Arial" w:hAnsi="Arial" w:cs="Arial"/>
          <w:i/>
          <w:iCs/>
          <w:sz w:val="24"/>
          <w:szCs w:val="24"/>
          <w:lang w:val="en-ZA"/>
        </w:rPr>
        <w:t>Tumeleng Trading CC</w:t>
      </w:r>
      <w:r w:rsidR="00616148">
        <w:rPr>
          <w:rFonts w:ascii="Arial" w:hAnsi="Arial" w:cs="Arial"/>
          <w:i/>
          <w:iCs/>
          <w:sz w:val="24"/>
          <w:szCs w:val="24"/>
          <w:lang w:val="en-ZA"/>
        </w:rPr>
        <w:t xml:space="preserve"> v National Security and Fire (</w:t>
      </w:r>
      <w:r w:rsidR="00385C81" w:rsidRPr="00197362">
        <w:rPr>
          <w:rFonts w:ascii="Arial" w:hAnsi="Arial" w:cs="Arial"/>
          <w:i/>
          <w:iCs/>
          <w:sz w:val="24"/>
          <w:szCs w:val="24"/>
          <w:lang w:val="en-ZA"/>
        </w:rPr>
        <w:t>Pty) Ltd</w:t>
      </w:r>
      <w:r w:rsidR="00616148" w:rsidRPr="00616148">
        <w:rPr>
          <w:rFonts w:ascii="Arial" w:hAnsi="Arial" w:cs="Arial"/>
          <w:iCs/>
          <w:sz w:val="24"/>
          <w:szCs w:val="24"/>
          <w:lang w:val="en-ZA"/>
        </w:rPr>
        <w:t>,</w:t>
      </w:r>
      <w:r w:rsidRPr="00197362">
        <w:rPr>
          <w:rFonts w:ascii="Arial" w:hAnsi="Arial" w:cs="Arial"/>
          <w:sz w:val="24"/>
          <w:szCs w:val="24"/>
          <w:lang w:val="en-ZA"/>
        </w:rPr>
        <w:t xml:space="preserve"> </w:t>
      </w:r>
      <w:r w:rsidR="00CD256C" w:rsidRPr="00197362">
        <w:rPr>
          <w:rFonts w:ascii="Arial" w:hAnsi="Arial" w:cs="Arial"/>
          <w:sz w:val="24"/>
          <w:szCs w:val="24"/>
          <w:lang w:val="en-ZA"/>
        </w:rPr>
        <w:t>where the court held</w:t>
      </w:r>
      <w:r w:rsidR="00385C81" w:rsidRPr="00197362">
        <w:rPr>
          <w:rFonts w:ascii="Arial" w:hAnsi="Arial" w:cs="Arial"/>
          <w:sz w:val="24"/>
          <w:szCs w:val="24"/>
          <w:lang w:val="en-ZA"/>
        </w:rPr>
        <w:t xml:space="preserve"> that</w:t>
      </w:r>
      <w:r w:rsidRPr="00197362">
        <w:rPr>
          <w:rFonts w:ascii="Arial" w:hAnsi="Arial" w:cs="Arial"/>
          <w:sz w:val="24"/>
          <w:szCs w:val="24"/>
          <w:lang w:val="en-ZA"/>
        </w:rPr>
        <w:t xml:space="preserve"> </w:t>
      </w:r>
      <w:r w:rsidR="00385C81" w:rsidRPr="00197362">
        <w:rPr>
          <w:rFonts w:ascii="Arial" w:hAnsi="Arial" w:cs="Arial"/>
          <w:sz w:val="24"/>
          <w:szCs w:val="24"/>
          <w:lang w:val="en-ZA"/>
        </w:rPr>
        <w:t>the</w:t>
      </w:r>
      <w:r w:rsidRPr="00197362">
        <w:rPr>
          <w:rFonts w:ascii="Arial" w:hAnsi="Arial" w:cs="Arial"/>
          <w:sz w:val="24"/>
          <w:szCs w:val="24"/>
          <w:lang w:val="en-ZA"/>
        </w:rPr>
        <w:t xml:space="preserve"> </w:t>
      </w:r>
      <w:r w:rsidR="00385C81" w:rsidRPr="00197362">
        <w:rPr>
          <w:rFonts w:ascii="Arial" w:hAnsi="Arial" w:cs="Arial"/>
          <w:sz w:val="24"/>
          <w:szCs w:val="24"/>
          <w:lang w:val="en-ZA"/>
        </w:rPr>
        <w:t>amended rule require</w:t>
      </w:r>
      <w:r w:rsidR="00CD256C" w:rsidRPr="00197362">
        <w:rPr>
          <w:rFonts w:ascii="Arial" w:hAnsi="Arial" w:cs="Arial"/>
          <w:sz w:val="24"/>
          <w:szCs w:val="24"/>
          <w:lang w:val="en-ZA"/>
        </w:rPr>
        <w:t>d</w:t>
      </w:r>
      <w:r w:rsidR="00385C81" w:rsidRPr="00197362">
        <w:rPr>
          <w:rFonts w:ascii="Arial" w:hAnsi="Arial" w:cs="Arial"/>
          <w:sz w:val="24"/>
          <w:szCs w:val="24"/>
          <w:lang w:val="en-ZA"/>
        </w:rPr>
        <w:t xml:space="preserve"> som</w:t>
      </w:r>
      <w:r w:rsidR="00616148">
        <w:rPr>
          <w:rFonts w:ascii="Arial" w:hAnsi="Arial" w:cs="Arial"/>
          <w:sz w:val="24"/>
          <w:szCs w:val="24"/>
          <w:lang w:val="en-ZA"/>
        </w:rPr>
        <w:t>ething more than a ‘</w:t>
      </w:r>
      <w:r w:rsidR="00385C81" w:rsidRPr="00197362">
        <w:rPr>
          <w:rFonts w:ascii="Arial" w:hAnsi="Arial" w:cs="Arial"/>
          <w:sz w:val="24"/>
          <w:szCs w:val="24"/>
          <w:lang w:val="en-ZA"/>
        </w:rPr>
        <w:t>formulaic</w:t>
      </w:r>
      <w:r w:rsidR="00616148">
        <w:rPr>
          <w:rFonts w:ascii="Arial" w:hAnsi="Arial" w:cs="Arial"/>
          <w:sz w:val="24"/>
          <w:szCs w:val="24"/>
          <w:lang w:val="en-ZA"/>
        </w:rPr>
        <w:t>’</w:t>
      </w:r>
      <w:r w:rsidR="00385C81" w:rsidRPr="00197362">
        <w:rPr>
          <w:rFonts w:ascii="Arial" w:hAnsi="Arial" w:cs="Arial"/>
          <w:sz w:val="24"/>
          <w:szCs w:val="24"/>
          <w:lang w:val="en-ZA"/>
        </w:rPr>
        <w:t xml:space="preserve"> supporting affidavit from the plaintiff in that the plaintiff should engage</w:t>
      </w:r>
      <w:r w:rsidRPr="00197362">
        <w:rPr>
          <w:rFonts w:ascii="Arial" w:hAnsi="Arial" w:cs="Arial"/>
          <w:sz w:val="24"/>
          <w:szCs w:val="24"/>
          <w:lang w:val="en-ZA"/>
        </w:rPr>
        <w:t xml:space="preserve"> </w:t>
      </w:r>
      <w:r w:rsidR="00385C81" w:rsidRPr="00197362">
        <w:rPr>
          <w:rFonts w:ascii="Arial" w:hAnsi="Arial" w:cs="Arial"/>
          <w:sz w:val="24"/>
          <w:szCs w:val="24"/>
          <w:lang w:val="en-ZA"/>
        </w:rPr>
        <w:t>and respond to the plea in showing that the defendant</w:t>
      </w:r>
      <w:r w:rsidR="00616148">
        <w:rPr>
          <w:rFonts w:ascii="Arial" w:hAnsi="Arial" w:cs="Arial"/>
          <w:sz w:val="24"/>
          <w:szCs w:val="24"/>
          <w:lang w:val="en-ZA"/>
        </w:rPr>
        <w:t>’s</w:t>
      </w:r>
      <w:r w:rsidR="00385C81" w:rsidRPr="00197362">
        <w:rPr>
          <w:rFonts w:ascii="Arial" w:hAnsi="Arial" w:cs="Arial"/>
          <w:sz w:val="24"/>
          <w:szCs w:val="24"/>
          <w:lang w:val="en-ZA"/>
        </w:rPr>
        <w:t xml:space="preserve"> defence is not bona fide</w:t>
      </w:r>
      <w:r w:rsidR="00CD256C" w:rsidRPr="00197362">
        <w:rPr>
          <w:rFonts w:ascii="Arial" w:hAnsi="Arial" w:cs="Arial"/>
          <w:sz w:val="24"/>
          <w:szCs w:val="24"/>
          <w:lang w:val="en-ZA"/>
        </w:rPr>
        <w:t>.</w:t>
      </w:r>
    </w:p>
    <w:p w14:paraId="4DE4A3D7" w14:textId="17B58E88" w:rsidR="00471247" w:rsidRPr="00197362" w:rsidRDefault="00471247" w:rsidP="00197362">
      <w:pPr>
        <w:spacing w:after="0" w:line="360" w:lineRule="auto"/>
        <w:jc w:val="both"/>
        <w:rPr>
          <w:rFonts w:ascii="Arial" w:hAnsi="Arial" w:cs="Arial"/>
          <w:sz w:val="24"/>
          <w:szCs w:val="24"/>
          <w:lang w:val="en-ZA"/>
        </w:rPr>
      </w:pPr>
    </w:p>
    <w:p w14:paraId="6F78A552" w14:textId="4B2AF29D" w:rsidR="006315C1" w:rsidRPr="00197362" w:rsidRDefault="00B02D6B" w:rsidP="00197362">
      <w:pPr>
        <w:spacing w:after="0" w:line="360" w:lineRule="auto"/>
        <w:jc w:val="both"/>
        <w:rPr>
          <w:rFonts w:ascii="Arial" w:hAnsi="Arial" w:cs="Arial"/>
          <w:sz w:val="24"/>
          <w:szCs w:val="24"/>
          <w:lang w:val="en-ZA"/>
        </w:rPr>
      </w:pPr>
      <w:r w:rsidRPr="00197362">
        <w:rPr>
          <w:rFonts w:ascii="Arial" w:hAnsi="Arial" w:cs="Arial"/>
          <w:sz w:val="24"/>
          <w:szCs w:val="24"/>
          <w:lang w:val="en-ZA"/>
        </w:rPr>
        <w:t>[</w:t>
      </w:r>
      <w:r w:rsidR="002B41F5" w:rsidRPr="00197362">
        <w:rPr>
          <w:rFonts w:ascii="Arial" w:hAnsi="Arial" w:cs="Arial"/>
          <w:sz w:val="24"/>
          <w:szCs w:val="24"/>
          <w:lang w:val="en-ZA"/>
        </w:rPr>
        <w:t>17</w:t>
      </w:r>
      <w:r w:rsidRPr="00197362">
        <w:rPr>
          <w:rFonts w:ascii="Arial" w:hAnsi="Arial" w:cs="Arial"/>
          <w:sz w:val="24"/>
          <w:szCs w:val="24"/>
          <w:lang w:val="en-ZA"/>
        </w:rPr>
        <w:t xml:space="preserve">] </w:t>
      </w:r>
      <w:r w:rsidR="00CD256C" w:rsidRPr="00197362">
        <w:rPr>
          <w:rFonts w:ascii="Arial" w:hAnsi="Arial" w:cs="Arial"/>
          <w:sz w:val="24"/>
          <w:szCs w:val="24"/>
          <w:lang w:val="en-ZA"/>
        </w:rPr>
        <w:tab/>
      </w:r>
      <w:r w:rsidR="006315C1" w:rsidRPr="00197362">
        <w:rPr>
          <w:rFonts w:ascii="Arial" w:hAnsi="Arial" w:cs="Arial"/>
          <w:sz w:val="24"/>
          <w:szCs w:val="24"/>
          <w:lang w:val="en-ZA"/>
        </w:rPr>
        <w:t xml:space="preserve"> </w:t>
      </w:r>
      <w:r w:rsidR="006315C1" w:rsidRPr="00197362">
        <w:rPr>
          <w:rFonts w:ascii="Arial" w:hAnsi="Arial" w:cs="Arial"/>
          <w:color w:val="000000" w:themeColor="text1"/>
          <w:sz w:val="24"/>
          <w:szCs w:val="24"/>
          <w:lang w:val="en-ZA"/>
        </w:rPr>
        <w:t xml:space="preserve">In assessing whether the </w:t>
      </w:r>
      <w:r w:rsidR="00385C81" w:rsidRPr="00197362">
        <w:rPr>
          <w:rFonts w:ascii="Arial" w:hAnsi="Arial" w:cs="Arial"/>
          <w:color w:val="000000" w:themeColor="text1"/>
          <w:sz w:val="24"/>
          <w:szCs w:val="24"/>
          <w:lang w:val="en-ZA"/>
        </w:rPr>
        <w:t>defendant’</w:t>
      </w:r>
      <w:r w:rsidR="006315C1" w:rsidRPr="00197362">
        <w:rPr>
          <w:rFonts w:ascii="Arial" w:hAnsi="Arial" w:cs="Arial"/>
          <w:color w:val="000000" w:themeColor="text1"/>
          <w:sz w:val="24"/>
          <w:szCs w:val="24"/>
          <w:lang w:val="en-ZA"/>
        </w:rPr>
        <w:t>s defence</w:t>
      </w:r>
      <w:r w:rsidR="00385C81" w:rsidRPr="00197362">
        <w:rPr>
          <w:rFonts w:ascii="Arial" w:hAnsi="Arial" w:cs="Arial"/>
          <w:color w:val="000000" w:themeColor="text1"/>
          <w:sz w:val="24"/>
          <w:szCs w:val="24"/>
          <w:lang w:val="en-ZA"/>
        </w:rPr>
        <w:t xml:space="preserve"> of </w:t>
      </w:r>
      <w:r w:rsidR="007D180C" w:rsidRPr="00197362">
        <w:rPr>
          <w:rFonts w:ascii="Arial" w:hAnsi="Arial" w:cs="Arial"/>
          <w:color w:val="000000" w:themeColor="text1"/>
          <w:sz w:val="24"/>
          <w:szCs w:val="24"/>
          <w:lang w:val="en-ZA"/>
        </w:rPr>
        <w:t>noncompliance</w:t>
      </w:r>
      <w:r w:rsidR="00385C81" w:rsidRPr="00197362">
        <w:rPr>
          <w:rFonts w:ascii="Arial" w:hAnsi="Arial" w:cs="Arial"/>
          <w:color w:val="000000" w:themeColor="text1"/>
          <w:sz w:val="24"/>
          <w:szCs w:val="24"/>
          <w:lang w:val="en-ZA"/>
        </w:rPr>
        <w:t xml:space="preserve"> with the provisions of NCA</w:t>
      </w:r>
      <w:r w:rsidR="00197362" w:rsidRPr="00197362">
        <w:rPr>
          <w:rFonts w:ascii="Arial" w:hAnsi="Arial" w:cs="Arial"/>
          <w:color w:val="000000" w:themeColor="text1"/>
          <w:sz w:val="24"/>
          <w:szCs w:val="24"/>
          <w:lang w:val="en-ZA"/>
        </w:rPr>
        <w:t xml:space="preserve"> </w:t>
      </w:r>
      <w:r w:rsidR="00760920" w:rsidRPr="00197362">
        <w:rPr>
          <w:rFonts w:ascii="Arial" w:hAnsi="Arial" w:cs="Arial"/>
          <w:color w:val="000000" w:themeColor="text1"/>
          <w:sz w:val="24"/>
          <w:szCs w:val="24"/>
          <w:lang w:val="en-ZA"/>
        </w:rPr>
        <w:t xml:space="preserve">raises a triable issue, </w:t>
      </w:r>
      <w:r w:rsidR="00385C81" w:rsidRPr="00197362">
        <w:rPr>
          <w:rFonts w:ascii="Arial" w:hAnsi="Arial" w:cs="Arial"/>
          <w:color w:val="000000" w:themeColor="text1"/>
          <w:sz w:val="24"/>
          <w:szCs w:val="24"/>
          <w:lang w:val="en-ZA"/>
        </w:rPr>
        <w:t xml:space="preserve">regard should </w:t>
      </w:r>
      <w:r w:rsidR="00760920" w:rsidRPr="00197362">
        <w:rPr>
          <w:rFonts w:ascii="Arial" w:hAnsi="Arial" w:cs="Arial"/>
          <w:color w:val="000000" w:themeColor="text1"/>
          <w:sz w:val="24"/>
          <w:szCs w:val="24"/>
          <w:lang w:val="en-ZA"/>
        </w:rPr>
        <w:t>be</w:t>
      </w:r>
      <w:r w:rsidR="00385C81" w:rsidRPr="00197362">
        <w:rPr>
          <w:rFonts w:ascii="Arial" w:hAnsi="Arial" w:cs="Arial"/>
          <w:color w:val="000000" w:themeColor="text1"/>
          <w:sz w:val="24"/>
          <w:szCs w:val="24"/>
          <w:lang w:val="en-ZA"/>
        </w:rPr>
        <w:t xml:space="preserve"> had to the pleadings </w:t>
      </w:r>
      <w:r w:rsidR="00616148">
        <w:rPr>
          <w:rFonts w:ascii="Arial" w:hAnsi="Arial" w:cs="Arial"/>
          <w:color w:val="000000" w:themeColor="text1"/>
          <w:sz w:val="24"/>
          <w:szCs w:val="24"/>
          <w:lang w:val="en-ZA"/>
        </w:rPr>
        <w:t>as well as</w:t>
      </w:r>
      <w:r w:rsidR="00616148" w:rsidRPr="00197362">
        <w:rPr>
          <w:rFonts w:ascii="Arial" w:hAnsi="Arial" w:cs="Arial"/>
          <w:color w:val="000000" w:themeColor="text1"/>
          <w:sz w:val="24"/>
          <w:szCs w:val="24"/>
          <w:lang w:val="en-ZA"/>
        </w:rPr>
        <w:t xml:space="preserve"> </w:t>
      </w:r>
      <w:r w:rsidR="00616148">
        <w:rPr>
          <w:rFonts w:ascii="Arial" w:hAnsi="Arial" w:cs="Arial"/>
          <w:color w:val="000000" w:themeColor="text1"/>
          <w:sz w:val="24"/>
          <w:szCs w:val="24"/>
          <w:lang w:val="en-ZA"/>
        </w:rPr>
        <w:t>the documents attached and</w:t>
      </w:r>
      <w:r w:rsidR="00616148" w:rsidRPr="00197362">
        <w:rPr>
          <w:rFonts w:ascii="Arial" w:hAnsi="Arial" w:cs="Arial"/>
          <w:color w:val="000000" w:themeColor="text1"/>
          <w:sz w:val="24"/>
          <w:szCs w:val="24"/>
          <w:lang w:val="en-ZA"/>
        </w:rPr>
        <w:t xml:space="preserve"> </w:t>
      </w:r>
      <w:r w:rsidR="00E24CDE" w:rsidRPr="00197362">
        <w:rPr>
          <w:rFonts w:ascii="Arial" w:hAnsi="Arial" w:cs="Arial"/>
          <w:color w:val="000000" w:themeColor="text1"/>
          <w:sz w:val="24"/>
          <w:szCs w:val="24"/>
          <w:lang w:val="en-ZA"/>
        </w:rPr>
        <w:t>marked as annexures SJ</w:t>
      </w:r>
      <w:r w:rsidR="00616148">
        <w:rPr>
          <w:rFonts w:ascii="Arial" w:hAnsi="Arial" w:cs="Arial"/>
          <w:color w:val="000000" w:themeColor="text1"/>
          <w:sz w:val="24"/>
          <w:szCs w:val="24"/>
          <w:lang w:val="en-ZA"/>
        </w:rPr>
        <w:t xml:space="preserve"> </w:t>
      </w:r>
      <w:r w:rsidR="00E24CDE" w:rsidRPr="00197362">
        <w:rPr>
          <w:rFonts w:ascii="Arial" w:hAnsi="Arial" w:cs="Arial"/>
          <w:color w:val="000000" w:themeColor="text1"/>
          <w:sz w:val="24"/>
          <w:szCs w:val="24"/>
          <w:lang w:val="en-ZA"/>
        </w:rPr>
        <w:t>3 to SJ 9 to the</w:t>
      </w:r>
      <w:r w:rsidR="00385C81" w:rsidRPr="00197362">
        <w:rPr>
          <w:rFonts w:ascii="Arial" w:hAnsi="Arial" w:cs="Arial"/>
          <w:color w:val="000000" w:themeColor="text1"/>
          <w:sz w:val="24"/>
          <w:szCs w:val="24"/>
          <w:lang w:val="en-ZA"/>
        </w:rPr>
        <w:t xml:space="preserve"> </w:t>
      </w:r>
      <w:r w:rsidR="007D180C" w:rsidRPr="00197362">
        <w:rPr>
          <w:rFonts w:ascii="Arial" w:hAnsi="Arial" w:cs="Arial"/>
          <w:color w:val="000000" w:themeColor="text1"/>
          <w:sz w:val="24"/>
          <w:szCs w:val="24"/>
          <w:lang w:val="en-ZA"/>
        </w:rPr>
        <w:t>plaintiff’s</w:t>
      </w:r>
      <w:r w:rsidR="00E24CDE" w:rsidRPr="00197362">
        <w:rPr>
          <w:rFonts w:ascii="Arial" w:hAnsi="Arial" w:cs="Arial"/>
          <w:color w:val="000000" w:themeColor="text1"/>
          <w:sz w:val="24"/>
          <w:szCs w:val="24"/>
          <w:lang w:val="en-ZA"/>
        </w:rPr>
        <w:t xml:space="preserve"> affidavit</w:t>
      </w:r>
      <w:r w:rsidR="004F6C0E" w:rsidRPr="00197362">
        <w:rPr>
          <w:rFonts w:ascii="Arial" w:hAnsi="Arial" w:cs="Arial"/>
          <w:color w:val="000000" w:themeColor="text1"/>
          <w:sz w:val="24"/>
          <w:szCs w:val="24"/>
          <w:lang w:val="en-ZA"/>
        </w:rPr>
        <w:t>.</w:t>
      </w:r>
      <w:r w:rsidR="00E24CDE" w:rsidRPr="00197362">
        <w:rPr>
          <w:rFonts w:ascii="Arial" w:hAnsi="Arial" w:cs="Arial"/>
          <w:color w:val="FF0000"/>
          <w:sz w:val="24"/>
          <w:szCs w:val="24"/>
          <w:lang w:val="en-ZA"/>
        </w:rPr>
        <w:t xml:space="preserve"> </w:t>
      </w:r>
      <w:r w:rsidR="006315C1" w:rsidRPr="00197362">
        <w:rPr>
          <w:rFonts w:ascii="Arial" w:hAnsi="Arial" w:cs="Arial"/>
          <w:sz w:val="24"/>
          <w:szCs w:val="24"/>
          <w:lang w:val="en-ZA"/>
        </w:rPr>
        <w:t xml:space="preserve">On 15 December 2020 the </w:t>
      </w:r>
      <w:r w:rsidR="00760920" w:rsidRPr="00197362">
        <w:rPr>
          <w:rFonts w:ascii="Arial" w:hAnsi="Arial" w:cs="Arial"/>
          <w:sz w:val="24"/>
          <w:szCs w:val="24"/>
          <w:lang w:val="en-ZA"/>
        </w:rPr>
        <w:t>defendant</w:t>
      </w:r>
      <w:r w:rsidR="006315C1" w:rsidRPr="00197362">
        <w:rPr>
          <w:rFonts w:ascii="Arial" w:hAnsi="Arial" w:cs="Arial"/>
          <w:sz w:val="24"/>
          <w:szCs w:val="24"/>
          <w:lang w:val="en-ZA"/>
        </w:rPr>
        <w:t xml:space="preserve"> applied for a debt review in terms of section 86 of NCA. On 12 February 2021 the debt counsellor submitted a repayment proposal</w:t>
      </w:r>
      <w:r w:rsidR="00197362" w:rsidRPr="00197362">
        <w:rPr>
          <w:rFonts w:ascii="Arial" w:hAnsi="Arial" w:cs="Arial"/>
          <w:sz w:val="24"/>
          <w:szCs w:val="24"/>
          <w:lang w:val="en-ZA"/>
        </w:rPr>
        <w:t xml:space="preserve"> </w:t>
      </w:r>
      <w:r w:rsidR="004F6C0E" w:rsidRPr="00197362">
        <w:rPr>
          <w:rFonts w:ascii="Arial" w:hAnsi="Arial" w:cs="Arial"/>
          <w:sz w:val="24"/>
          <w:szCs w:val="24"/>
          <w:lang w:val="en-ZA"/>
        </w:rPr>
        <w:t>to the</w:t>
      </w:r>
      <w:r w:rsidR="00760920" w:rsidRPr="00197362">
        <w:rPr>
          <w:rFonts w:ascii="Arial" w:hAnsi="Arial" w:cs="Arial"/>
          <w:sz w:val="24"/>
          <w:szCs w:val="24"/>
          <w:lang w:val="en-ZA"/>
        </w:rPr>
        <w:t xml:space="preserve"> plaintiff</w:t>
      </w:r>
      <w:r w:rsidR="004F6C0E" w:rsidRPr="00197362">
        <w:rPr>
          <w:rFonts w:ascii="Arial" w:hAnsi="Arial" w:cs="Arial"/>
          <w:sz w:val="24"/>
          <w:szCs w:val="24"/>
          <w:lang w:val="en-ZA"/>
        </w:rPr>
        <w:t xml:space="preserve"> </w:t>
      </w:r>
      <w:r w:rsidR="006315C1" w:rsidRPr="00197362">
        <w:rPr>
          <w:rFonts w:ascii="Arial" w:hAnsi="Arial" w:cs="Arial"/>
          <w:sz w:val="24"/>
          <w:szCs w:val="24"/>
          <w:lang w:val="en-ZA"/>
        </w:rPr>
        <w:t>in the amount of R4</w:t>
      </w:r>
      <w:r w:rsidR="00616148">
        <w:rPr>
          <w:rFonts w:ascii="Arial" w:hAnsi="Arial" w:cs="Arial"/>
          <w:sz w:val="24"/>
          <w:szCs w:val="24"/>
          <w:lang w:val="en-ZA"/>
        </w:rPr>
        <w:t xml:space="preserve"> </w:t>
      </w:r>
      <w:r w:rsidR="006315C1" w:rsidRPr="00197362">
        <w:rPr>
          <w:rFonts w:ascii="Arial" w:hAnsi="Arial" w:cs="Arial"/>
          <w:sz w:val="24"/>
          <w:szCs w:val="24"/>
          <w:lang w:val="en-ZA"/>
        </w:rPr>
        <w:t>179.19</w:t>
      </w:r>
      <w:r w:rsidR="004A0F0E">
        <w:rPr>
          <w:rFonts w:ascii="Arial" w:hAnsi="Arial" w:cs="Arial"/>
          <w:sz w:val="24"/>
          <w:szCs w:val="24"/>
          <w:lang w:val="en-ZA"/>
        </w:rPr>
        <w:t xml:space="preserve"> (four thousand, one hundred and seventy-nine rand, and nineteen cents)</w:t>
      </w:r>
      <w:r w:rsidR="006315C1" w:rsidRPr="00197362">
        <w:rPr>
          <w:rFonts w:ascii="Arial" w:hAnsi="Arial" w:cs="Arial"/>
          <w:sz w:val="24"/>
          <w:szCs w:val="24"/>
          <w:lang w:val="en-ZA"/>
        </w:rPr>
        <w:t xml:space="preserve"> over an additional extended term of 110 months. On 16 February 2021 the </w:t>
      </w:r>
      <w:r w:rsidR="00CD256C" w:rsidRPr="00197362">
        <w:rPr>
          <w:rFonts w:ascii="Arial" w:hAnsi="Arial" w:cs="Arial"/>
          <w:sz w:val="24"/>
          <w:szCs w:val="24"/>
          <w:lang w:val="en-ZA"/>
        </w:rPr>
        <w:t>plaintiff</w:t>
      </w:r>
      <w:r w:rsidR="00197362" w:rsidRPr="00197362">
        <w:rPr>
          <w:rFonts w:ascii="Arial" w:hAnsi="Arial" w:cs="Arial"/>
          <w:sz w:val="24"/>
          <w:szCs w:val="24"/>
          <w:lang w:val="en-ZA"/>
        </w:rPr>
        <w:t xml:space="preserve"> </w:t>
      </w:r>
      <w:r w:rsidR="006315C1" w:rsidRPr="00197362">
        <w:rPr>
          <w:rFonts w:ascii="Arial" w:hAnsi="Arial" w:cs="Arial"/>
          <w:sz w:val="24"/>
          <w:szCs w:val="24"/>
          <w:lang w:val="en-ZA"/>
        </w:rPr>
        <w:t>informed the de</w:t>
      </w:r>
      <w:r w:rsidR="00616148">
        <w:rPr>
          <w:rFonts w:ascii="Arial" w:hAnsi="Arial" w:cs="Arial"/>
          <w:sz w:val="24"/>
          <w:szCs w:val="24"/>
          <w:lang w:val="en-ZA"/>
        </w:rPr>
        <w:t>bt counsellor that the debt re-</w:t>
      </w:r>
      <w:r w:rsidR="006315C1" w:rsidRPr="00197362">
        <w:rPr>
          <w:rFonts w:ascii="Arial" w:hAnsi="Arial" w:cs="Arial"/>
          <w:sz w:val="24"/>
          <w:szCs w:val="24"/>
          <w:lang w:val="en-ZA"/>
        </w:rPr>
        <w:t>arrangement proposal has not been</w:t>
      </w:r>
      <w:r w:rsidR="00197362" w:rsidRPr="00197362">
        <w:rPr>
          <w:rFonts w:ascii="Arial" w:hAnsi="Arial" w:cs="Arial"/>
          <w:sz w:val="24"/>
          <w:szCs w:val="24"/>
          <w:lang w:val="en-ZA"/>
        </w:rPr>
        <w:t xml:space="preserve"> </w:t>
      </w:r>
      <w:r w:rsidR="006315C1" w:rsidRPr="00197362">
        <w:rPr>
          <w:rFonts w:ascii="Arial" w:hAnsi="Arial" w:cs="Arial"/>
          <w:sz w:val="24"/>
          <w:szCs w:val="24"/>
          <w:lang w:val="en-ZA"/>
        </w:rPr>
        <w:t>accepted</w:t>
      </w:r>
      <w:r w:rsidR="00197362" w:rsidRPr="00197362">
        <w:rPr>
          <w:rFonts w:ascii="Arial" w:hAnsi="Arial" w:cs="Arial"/>
          <w:sz w:val="24"/>
          <w:szCs w:val="24"/>
          <w:lang w:val="en-ZA"/>
        </w:rPr>
        <w:t xml:space="preserve"> </w:t>
      </w:r>
      <w:r w:rsidR="006315C1" w:rsidRPr="00197362">
        <w:rPr>
          <w:rFonts w:ascii="Arial" w:hAnsi="Arial" w:cs="Arial"/>
          <w:sz w:val="24"/>
          <w:szCs w:val="24"/>
          <w:lang w:val="en-ZA"/>
        </w:rPr>
        <w:t xml:space="preserve">because the proposal </w:t>
      </w:r>
      <w:r w:rsidR="00665E06">
        <w:rPr>
          <w:rFonts w:ascii="Arial" w:hAnsi="Arial" w:cs="Arial"/>
          <w:sz w:val="24"/>
          <w:szCs w:val="24"/>
          <w:lang w:val="en-ZA"/>
        </w:rPr>
        <w:t xml:space="preserve"> was not reasonable  and would not result in the resolution of the debt as required by the plaintiff. </w:t>
      </w:r>
      <w:r w:rsidR="00760920" w:rsidRPr="00197362">
        <w:rPr>
          <w:rFonts w:ascii="Arial" w:hAnsi="Arial" w:cs="Arial"/>
          <w:sz w:val="24"/>
          <w:szCs w:val="24"/>
          <w:lang w:val="en-ZA"/>
        </w:rPr>
        <w:t>The plaintiff</w:t>
      </w:r>
      <w:r w:rsidR="00197362" w:rsidRPr="00197362">
        <w:rPr>
          <w:rFonts w:ascii="Arial" w:hAnsi="Arial" w:cs="Arial"/>
          <w:sz w:val="24"/>
          <w:szCs w:val="24"/>
          <w:lang w:val="en-ZA"/>
        </w:rPr>
        <w:t xml:space="preserve"> </w:t>
      </w:r>
      <w:r w:rsidR="006315C1" w:rsidRPr="00197362">
        <w:rPr>
          <w:rFonts w:ascii="Arial" w:hAnsi="Arial" w:cs="Arial"/>
          <w:sz w:val="24"/>
          <w:szCs w:val="24"/>
          <w:lang w:val="en-ZA"/>
        </w:rPr>
        <w:t>made a counter</w:t>
      </w:r>
      <w:r w:rsidR="00197362" w:rsidRPr="00197362">
        <w:rPr>
          <w:rFonts w:ascii="Arial" w:hAnsi="Arial" w:cs="Arial"/>
          <w:sz w:val="24"/>
          <w:szCs w:val="24"/>
          <w:lang w:val="en-ZA"/>
        </w:rPr>
        <w:t xml:space="preserve"> </w:t>
      </w:r>
      <w:r w:rsidR="006315C1" w:rsidRPr="00197362">
        <w:rPr>
          <w:rFonts w:ascii="Arial" w:hAnsi="Arial" w:cs="Arial"/>
          <w:sz w:val="24"/>
          <w:szCs w:val="24"/>
          <w:lang w:val="en-ZA"/>
        </w:rPr>
        <w:t>proposal of R5</w:t>
      </w:r>
      <w:r w:rsidR="00616148">
        <w:rPr>
          <w:rFonts w:ascii="Arial" w:hAnsi="Arial" w:cs="Arial"/>
          <w:sz w:val="24"/>
          <w:szCs w:val="24"/>
          <w:lang w:val="en-ZA"/>
        </w:rPr>
        <w:t xml:space="preserve"> </w:t>
      </w:r>
      <w:r w:rsidR="006315C1" w:rsidRPr="00197362">
        <w:rPr>
          <w:rFonts w:ascii="Arial" w:hAnsi="Arial" w:cs="Arial"/>
          <w:sz w:val="24"/>
          <w:szCs w:val="24"/>
          <w:lang w:val="en-ZA"/>
        </w:rPr>
        <w:t>154</w:t>
      </w:r>
      <w:r w:rsidR="00616148">
        <w:rPr>
          <w:rFonts w:ascii="Arial" w:hAnsi="Arial" w:cs="Arial"/>
          <w:sz w:val="24"/>
          <w:szCs w:val="24"/>
          <w:lang w:val="en-ZA"/>
        </w:rPr>
        <w:t>.</w:t>
      </w:r>
      <w:r w:rsidR="006315C1" w:rsidRPr="00197362">
        <w:rPr>
          <w:rFonts w:ascii="Arial" w:hAnsi="Arial" w:cs="Arial"/>
          <w:sz w:val="24"/>
          <w:szCs w:val="24"/>
          <w:lang w:val="en-ZA"/>
        </w:rPr>
        <w:t>43</w:t>
      </w:r>
      <w:r w:rsidR="004A0F0E">
        <w:rPr>
          <w:rFonts w:ascii="Arial" w:hAnsi="Arial" w:cs="Arial"/>
          <w:sz w:val="24"/>
          <w:szCs w:val="24"/>
          <w:lang w:val="en-ZA"/>
        </w:rPr>
        <w:t xml:space="preserve"> (five thousand, one hundred and fifty-four rand, and forty-three cents)</w:t>
      </w:r>
      <w:r w:rsidR="006315C1" w:rsidRPr="00197362">
        <w:rPr>
          <w:rFonts w:ascii="Arial" w:hAnsi="Arial" w:cs="Arial"/>
          <w:sz w:val="24"/>
          <w:szCs w:val="24"/>
          <w:lang w:val="en-ZA"/>
        </w:rPr>
        <w:t xml:space="preserve"> at a rate of 11.50%. On</w:t>
      </w:r>
      <w:r w:rsidR="00197362" w:rsidRPr="00197362">
        <w:rPr>
          <w:rFonts w:ascii="Arial" w:hAnsi="Arial" w:cs="Arial"/>
          <w:sz w:val="24"/>
          <w:szCs w:val="24"/>
          <w:lang w:val="en-ZA"/>
        </w:rPr>
        <w:t xml:space="preserve"> </w:t>
      </w:r>
      <w:r w:rsidR="006315C1" w:rsidRPr="00197362">
        <w:rPr>
          <w:rFonts w:ascii="Arial" w:hAnsi="Arial" w:cs="Arial"/>
          <w:sz w:val="24"/>
          <w:szCs w:val="24"/>
          <w:lang w:val="en-ZA"/>
        </w:rPr>
        <w:t>9 March 2021 the</w:t>
      </w:r>
      <w:r w:rsidR="00197362" w:rsidRPr="00197362">
        <w:rPr>
          <w:rFonts w:ascii="Arial" w:hAnsi="Arial" w:cs="Arial"/>
          <w:sz w:val="24"/>
          <w:szCs w:val="24"/>
          <w:lang w:val="en-ZA"/>
        </w:rPr>
        <w:t xml:space="preserve"> </w:t>
      </w:r>
      <w:r w:rsidR="00760920" w:rsidRPr="00197362">
        <w:rPr>
          <w:rFonts w:ascii="Arial" w:hAnsi="Arial" w:cs="Arial"/>
          <w:sz w:val="24"/>
          <w:szCs w:val="24"/>
          <w:lang w:val="en-ZA"/>
        </w:rPr>
        <w:t>plaintiff</w:t>
      </w:r>
      <w:r w:rsidR="00197362" w:rsidRPr="00197362">
        <w:rPr>
          <w:rFonts w:ascii="Arial" w:hAnsi="Arial" w:cs="Arial"/>
          <w:sz w:val="24"/>
          <w:szCs w:val="24"/>
          <w:lang w:val="en-ZA"/>
        </w:rPr>
        <w:t xml:space="preserve"> </w:t>
      </w:r>
      <w:r w:rsidR="006315C1" w:rsidRPr="00197362">
        <w:rPr>
          <w:rFonts w:ascii="Arial" w:hAnsi="Arial" w:cs="Arial"/>
          <w:sz w:val="24"/>
          <w:szCs w:val="24"/>
          <w:lang w:val="en-ZA"/>
        </w:rPr>
        <w:t>informed the debt counsellor</w:t>
      </w:r>
      <w:r w:rsidR="00197362" w:rsidRPr="00197362">
        <w:rPr>
          <w:rFonts w:ascii="Arial" w:hAnsi="Arial" w:cs="Arial"/>
          <w:sz w:val="24"/>
          <w:szCs w:val="24"/>
          <w:lang w:val="en-ZA"/>
        </w:rPr>
        <w:t xml:space="preserve"> </w:t>
      </w:r>
      <w:r w:rsidR="006315C1" w:rsidRPr="00197362">
        <w:rPr>
          <w:rFonts w:ascii="Arial" w:hAnsi="Arial" w:cs="Arial"/>
          <w:sz w:val="24"/>
          <w:szCs w:val="24"/>
          <w:lang w:val="en-ZA"/>
        </w:rPr>
        <w:t xml:space="preserve">that </w:t>
      </w:r>
      <w:r w:rsidR="00CD256C" w:rsidRPr="00197362">
        <w:rPr>
          <w:rFonts w:ascii="Arial" w:hAnsi="Arial" w:cs="Arial"/>
          <w:sz w:val="24"/>
          <w:szCs w:val="24"/>
          <w:lang w:val="en-ZA"/>
        </w:rPr>
        <w:t>they</w:t>
      </w:r>
      <w:r w:rsidR="006315C1" w:rsidRPr="00197362">
        <w:rPr>
          <w:rFonts w:ascii="Arial" w:hAnsi="Arial" w:cs="Arial"/>
          <w:sz w:val="24"/>
          <w:szCs w:val="24"/>
          <w:lang w:val="en-ZA"/>
        </w:rPr>
        <w:t xml:space="preserve"> ha</w:t>
      </w:r>
      <w:r w:rsidR="00CD256C" w:rsidRPr="00197362">
        <w:rPr>
          <w:rFonts w:ascii="Arial" w:hAnsi="Arial" w:cs="Arial"/>
          <w:sz w:val="24"/>
          <w:szCs w:val="24"/>
          <w:lang w:val="en-ZA"/>
        </w:rPr>
        <w:t xml:space="preserve">ve </w:t>
      </w:r>
      <w:r w:rsidR="006315C1" w:rsidRPr="00197362">
        <w:rPr>
          <w:rFonts w:ascii="Arial" w:hAnsi="Arial" w:cs="Arial"/>
          <w:sz w:val="24"/>
          <w:szCs w:val="24"/>
          <w:lang w:val="en-ZA"/>
        </w:rPr>
        <w:t>not received</w:t>
      </w:r>
      <w:r w:rsidR="00197362" w:rsidRPr="00197362">
        <w:rPr>
          <w:rFonts w:ascii="Arial" w:hAnsi="Arial" w:cs="Arial"/>
          <w:sz w:val="24"/>
          <w:szCs w:val="24"/>
          <w:lang w:val="en-ZA"/>
        </w:rPr>
        <w:t xml:space="preserve"> </w:t>
      </w:r>
      <w:r w:rsidR="006315C1" w:rsidRPr="00197362">
        <w:rPr>
          <w:rFonts w:ascii="Arial" w:hAnsi="Arial" w:cs="Arial"/>
          <w:sz w:val="24"/>
          <w:szCs w:val="24"/>
          <w:lang w:val="en-ZA"/>
        </w:rPr>
        <w:t xml:space="preserve">reply to </w:t>
      </w:r>
      <w:r w:rsidR="00CD256C" w:rsidRPr="00197362">
        <w:rPr>
          <w:rFonts w:ascii="Arial" w:hAnsi="Arial" w:cs="Arial"/>
          <w:sz w:val="24"/>
          <w:szCs w:val="24"/>
          <w:lang w:val="en-ZA"/>
        </w:rPr>
        <w:t>the plaintiff’s</w:t>
      </w:r>
      <w:r w:rsidR="006315C1" w:rsidRPr="00197362">
        <w:rPr>
          <w:rFonts w:ascii="Arial" w:hAnsi="Arial" w:cs="Arial"/>
          <w:sz w:val="24"/>
          <w:szCs w:val="24"/>
          <w:lang w:val="en-ZA"/>
        </w:rPr>
        <w:t xml:space="preserve"> counter offer and requested the debt counsellor to submit a revised proposal.</w:t>
      </w:r>
      <w:r w:rsidR="00197362" w:rsidRPr="00197362">
        <w:rPr>
          <w:rFonts w:ascii="Arial" w:hAnsi="Arial" w:cs="Arial"/>
          <w:sz w:val="24"/>
          <w:szCs w:val="24"/>
          <w:lang w:val="en-ZA"/>
        </w:rPr>
        <w:t xml:space="preserve"> </w:t>
      </w:r>
      <w:r w:rsidR="004F6C0E" w:rsidRPr="00197362">
        <w:rPr>
          <w:rFonts w:ascii="Arial" w:hAnsi="Arial" w:cs="Arial"/>
          <w:sz w:val="24"/>
          <w:szCs w:val="24"/>
          <w:lang w:val="en-ZA"/>
        </w:rPr>
        <w:t>Having not heard from the debt counsellor, o</w:t>
      </w:r>
      <w:r w:rsidR="006315C1" w:rsidRPr="00197362">
        <w:rPr>
          <w:rFonts w:ascii="Arial" w:hAnsi="Arial" w:cs="Arial"/>
          <w:sz w:val="24"/>
          <w:szCs w:val="24"/>
          <w:lang w:val="en-ZA"/>
        </w:rPr>
        <w:t xml:space="preserve">n 16 March 2021 the </w:t>
      </w:r>
      <w:r w:rsidR="00760920" w:rsidRPr="00197362">
        <w:rPr>
          <w:rFonts w:ascii="Arial" w:hAnsi="Arial" w:cs="Arial"/>
          <w:sz w:val="24"/>
          <w:szCs w:val="24"/>
          <w:lang w:val="en-ZA"/>
        </w:rPr>
        <w:t>plaintiff</w:t>
      </w:r>
      <w:r w:rsidR="006315C1" w:rsidRPr="00197362">
        <w:rPr>
          <w:rFonts w:ascii="Arial" w:hAnsi="Arial" w:cs="Arial"/>
          <w:sz w:val="24"/>
          <w:szCs w:val="24"/>
          <w:lang w:val="en-ZA"/>
        </w:rPr>
        <w:t xml:space="preserve"> sent a notice of termination in term</w:t>
      </w:r>
      <w:r w:rsidR="00616148">
        <w:rPr>
          <w:rFonts w:ascii="Arial" w:hAnsi="Arial" w:cs="Arial"/>
          <w:sz w:val="24"/>
          <w:szCs w:val="24"/>
          <w:lang w:val="en-ZA"/>
        </w:rPr>
        <w:t>s of section 86</w:t>
      </w:r>
      <w:r w:rsidR="006315C1" w:rsidRPr="00197362">
        <w:rPr>
          <w:rFonts w:ascii="Arial" w:hAnsi="Arial" w:cs="Arial"/>
          <w:sz w:val="24"/>
          <w:szCs w:val="24"/>
          <w:lang w:val="en-ZA"/>
        </w:rPr>
        <w:t>(10)</w:t>
      </w:r>
      <w:r w:rsidR="00616148">
        <w:rPr>
          <w:rFonts w:ascii="Arial" w:hAnsi="Arial" w:cs="Arial"/>
          <w:sz w:val="24"/>
          <w:szCs w:val="24"/>
          <w:lang w:val="en-ZA"/>
        </w:rPr>
        <w:t xml:space="preserve"> of the NCA</w:t>
      </w:r>
      <w:r w:rsidR="00197362" w:rsidRPr="00197362">
        <w:rPr>
          <w:rFonts w:ascii="Arial" w:hAnsi="Arial" w:cs="Arial"/>
          <w:sz w:val="24"/>
          <w:szCs w:val="24"/>
          <w:lang w:val="en-ZA"/>
        </w:rPr>
        <w:t xml:space="preserve"> </w:t>
      </w:r>
      <w:r w:rsidR="006315C1" w:rsidRPr="00197362">
        <w:rPr>
          <w:rFonts w:ascii="Arial" w:hAnsi="Arial" w:cs="Arial"/>
          <w:sz w:val="24"/>
          <w:szCs w:val="24"/>
          <w:lang w:val="en-ZA"/>
        </w:rPr>
        <w:t>to the debt counsellor,</w:t>
      </w:r>
      <w:r w:rsidR="00760920" w:rsidRPr="00197362">
        <w:rPr>
          <w:rFonts w:ascii="Arial" w:hAnsi="Arial" w:cs="Arial"/>
          <w:sz w:val="24"/>
          <w:szCs w:val="24"/>
          <w:lang w:val="en-ZA"/>
        </w:rPr>
        <w:t xml:space="preserve"> and </w:t>
      </w:r>
      <w:r w:rsidR="006315C1" w:rsidRPr="00197362">
        <w:rPr>
          <w:rFonts w:ascii="Arial" w:hAnsi="Arial" w:cs="Arial"/>
          <w:sz w:val="24"/>
          <w:szCs w:val="24"/>
          <w:lang w:val="en-ZA"/>
        </w:rPr>
        <w:t xml:space="preserve">the </w:t>
      </w:r>
      <w:r w:rsidR="00760920" w:rsidRPr="00197362">
        <w:rPr>
          <w:rFonts w:ascii="Arial" w:hAnsi="Arial" w:cs="Arial"/>
          <w:sz w:val="24"/>
          <w:szCs w:val="24"/>
          <w:lang w:val="en-ZA"/>
        </w:rPr>
        <w:t>defendant</w:t>
      </w:r>
      <w:r w:rsidR="006315C1" w:rsidRPr="00197362">
        <w:rPr>
          <w:rFonts w:ascii="Arial" w:hAnsi="Arial" w:cs="Arial"/>
          <w:sz w:val="24"/>
          <w:szCs w:val="24"/>
          <w:lang w:val="en-ZA"/>
        </w:rPr>
        <w:t>. On 19 March 202</w:t>
      </w:r>
      <w:r w:rsidR="000F1821" w:rsidRPr="00197362">
        <w:rPr>
          <w:rFonts w:ascii="Arial" w:hAnsi="Arial" w:cs="Arial"/>
          <w:sz w:val="24"/>
          <w:szCs w:val="24"/>
          <w:lang w:val="en-ZA"/>
        </w:rPr>
        <w:t>1</w:t>
      </w:r>
      <w:r w:rsidR="006315C1" w:rsidRPr="00197362">
        <w:rPr>
          <w:rFonts w:ascii="Arial" w:hAnsi="Arial" w:cs="Arial"/>
          <w:sz w:val="24"/>
          <w:szCs w:val="24"/>
          <w:lang w:val="en-ZA"/>
        </w:rPr>
        <w:t xml:space="preserve"> the debt counsellor addressed a letter to the </w:t>
      </w:r>
      <w:r w:rsidR="00760920" w:rsidRPr="00197362">
        <w:rPr>
          <w:rFonts w:ascii="Arial" w:hAnsi="Arial" w:cs="Arial"/>
          <w:sz w:val="24"/>
          <w:szCs w:val="24"/>
          <w:lang w:val="en-ZA"/>
        </w:rPr>
        <w:t>plaintiff</w:t>
      </w:r>
      <w:r w:rsidR="006315C1" w:rsidRPr="00197362">
        <w:rPr>
          <w:rFonts w:ascii="Arial" w:hAnsi="Arial" w:cs="Arial"/>
          <w:sz w:val="24"/>
          <w:szCs w:val="24"/>
          <w:lang w:val="en-ZA"/>
        </w:rPr>
        <w:t xml:space="preserve"> informing </w:t>
      </w:r>
      <w:r w:rsidR="00CD256C" w:rsidRPr="00197362">
        <w:rPr>
          <w:rFonts w:ascii="Arial" w:hAnsi="Arial" w:cs="Arial"/>
          <w:sz w:val="24"/>
          <w:szCs w:val="24"/>
          <w:lang w:val="en-ZA"/>
        </w:rPr>
        <w:t>them</w:t>
      </w:r>
      <w:r w:rsidR="006315C1" w:rsidRPr="00197362">
        <w:rPr>
          <w:rFonts w:ascii="Arial" w:hAnsi="Arial" w:cs="Arial"/>
          <w:sz w:val="24"/>
          <w:szCs w:val="24"/>
          <w:lang w:val="en-ZA"/>
        </w:rPr>
        <w:t xml:space="preserve"> that</w:t>
      </w:r>
      <w:r w:rsidR="00197362" w:rsidRPr="00197362">
        <w:rPr>
          <w:rFonts w:ascii="Arial" w:hAnsi="Arial" w:cs="Arial"/>
          <w:sz w:val="24"/>
          <w:szCs w:val="24"/>
          <w:lang w:val="en-ZA"/>
        </w:rPr>
        <w:t xml:space="preserve"> </w:t>
      </w:r>
      <w:r w:rsidR="006315C1" w:rsidRPr="00197362">
        <w:rPr>
          <w:rFonts w:ascii="Arial" w:hAnsi="Arial" w:cs="Arial"/>
          <w:sz w:val="24"/>
          <w:szCs w:val="24"/>
          <w:lang w:val="en-ZA"/>
        </w:rPr>
        <w:t>they have received</w:t>
      </w:r>
      <w:r w:rsidR="00197362" w:rsidRPr="00197362">
        <w:rPr>
          <w:rFonts w:ascii="Arial" w:hAnsi="Arial" w:cs="Arial"/>
          <w:sz w:val="24"/>
          <w:szCs w:val="24"/>
          <w:lang w:val="en-ZA"/>
        </w:rPr>
        <w:t xml:space="preserve"> </w:t>
      </w:r>
      <w:r w:rsidR="00760920" w:rsidRPr="00197362">
        <w:rPr>
          <w:rFonts w:ascii="Arial" w:hAnsi="Arial" w:cs="Arial"/>
          <w:sz w:val="24"/>
          <w:szCs w:val="24"/>
          <w:lang w:val="en-ZA"/>
        </w:rPr>
        <w:t xml:space="preserve">the </w:t>
      </w:r>
      <w:r w:rsidR="006315C1" w:rsidRPr="00197362">
        <w:rPr>
          <w:rFonts w:ascii="Arial" w:hAnsi="Arial" w:cs="Arial"/>
          <w:sz w:val="24"/>
          <w:szCs w:val="24"/>
          <w:lang w:val="en-ZA"/>
        </w:rPr>
        <w:t>notice of intending to terminate the account</w:t>
      </w:r>
      <w:r w:rsidR="004F6C0E" w:rsidRPr="00197362">
        <w:rPr>
          <w:rFonts w:ascii="Arial" w:hAnsi="Arial" w:cs="Arial"/>
          <w:sz w:val="24"/>
          <w:szCs w:val="24"/>
          <w:lang w:val="en-ZA"/>
        </w:rPr>
        <w:t>, but</w:t>
      </w:r>
      <w:r w:rsidR="006315C1" w:rsidRPr="00197362">
        <w:rPr>
          <w:rFonts w:ascii="Arial" w:hAnsi="Arial" w:cs="Arial"/>
          <w:sz w:val="24"/>
          <w:szCs w:val="24"/>
          <w:lang w:val="en-ZA"/>
        </w:rPr>
        <w:t xml:space="preserve"> advised</w:t>
      </w:r>
      <w:r w:rsidR="00197362" w:rsidRPr="00197362">
        <w:rPr>
          <w:rFonts w:ascii="Arial" w:hAnsi="Arial" w:cs="Arial"/>
          <w:sz w:val="24"/>
          <w:szCs w:val="24"/>
          <w:lang w:val="en-ZA"/>
        </w:rPr>
        <w:t xml:space="preserve"> </w:t>
      </w:r>
      <w:r w:rsidR="00CD256C" w:rsidRPr="00197362">
        <w:rPr>
          <w:rFonts w:ascii="Arial" w:hAnsi="Arial" w:cs="Arial"/>
          <w:sz w:val="24"/>
          <w:szCs w:val="24"/>
          <w:lang w:val="en-ZA"/>
        </w:rPr>
        <w:t xml:space="preserve">the </w:t>
      </w:r>
      <w:r w:rsidR="00760920" w:rsidRPr="00197362">
        <w:rPr>
          <w:rFonts w:ascii="Arial" w:hAnsi="Arial" w:cs="Arial"/>
          <w:sz w:val="24"/>
          <w:szCs w:val="24"/>
          <w:lang w:val="en-ZA"/>
        </w:rPr>
        <w:t>plaintiff</w:t>
      </w:r>
      <w:r w:rsidR="00197362" w:rsidRPr="00197362">
        <w:rPr>
          <w:rFonts w:ascii="Arial" w:hAnsi="Arial" w:cs="Arial"/>
          <w:sz w:val="24"/>
          <w:szCs w:val="24"/>
          <w:lang w:val="en-ZA"/>
        </w:rPr>
        <w:t xml:space="preserve"> </w:t>
      </w:r>
      <w:r w:rsidR="004F6C0E" w:rsidRPr="00197362">
        <w:rPr>
          <w:rFonts w:ascii="Arial" w:hAnsi="Arial" w:cs="Arial"/>
          <w:sz w:val="24"/>
          <w:szCs w:val="24"/>
          <w:lang w:val="en-ZA"/>
        </w:rPr>
        <w:t>that</w:t>
      </w:r>
      <w:r w:rsidR="006315C1" w:rsidRPr="00197362">
        <w:rPr>
          <w:rFonts w:ascii="Arial" w:hAnsi="Arial" w:cs="Arial"/>
          <w:sz w:val="24"/>
          <w:szCs w:val="24"/>
          <w:lang w:val="en-ZA"/>
        </w:rPr>
        <w:t xml:space="preserve"> the </w:t>
      </w:r>
      <w:r w:rsidR="00760920" w:rsidRPr="00197362">
        <w:rPr>
          <w:rFonts w:ascii="Arial" w:hAnsi="Arial" w:cs="Arial"/>
          <w:sz w:val="24"/>
          <w:szCs w:val="24"/>
          <w:lang w:val="en-ZA"/>
        </w:rPr>
        <w:t>defendant</w:t>
      </w:r>
      <w:r w:rsidR="006315C1" w:rsidRPr="00197362">
        <w:rPr>
          <w:rFonts w:ascii="Arial" w:hAnsi="Arial" w:cs="Arial"/>
          <w:sz w:val="24"/>
          <w:szCs w:val="24"/>
          <w:lang w:val="en-ZA"/>
        </w:rPr>
        <w:t xml:space="preserve"> is not able to increase the payment. On 26 March 202</w:t>
      </w:r>
      <w:r w:rsidR="000F1821" w:rsidRPr="00197362">
        <w:rPr>
          <w:rFonts w:ascii="Arial" w:hAnsi="Arial" w:cs="Arial"/>
          <w:sz w:val="24"/>
          <w:szCs w:val="24"/>
          <w:lang w:val="en-ZA"/>
        </w:rPr>
        <w:t>1</w:t>
      </w:r>
      <w:r w:rsidR="006315C1" w:rsidRPr="00197362">
        <w:rPr>
          <w:rFonts w:ascii="Arial" w:hAnsi="Arial" w:cs="Arial"/>
          <w:sz w:val="24"/>
          <w:szCs w:val="24"/>
          <w:lang w:val="en-ZA"/>
        </w:rPr>
        <w:t xml:space="preserve"> the </w:t>
      </w:r>
      <w:r w:rsidR="00760920" w:rsidRPr="00197362">
        <w:rPr>
          <w:rFonts w:ascii="Arial" w:hAnsi="Arial" w:cs="Arial"/>
          <w:sz w:val="24"/>
          <w:szCs w:val="24"/>
          <w:lang w:val="en-ZA"/>
        </w:rPr>
        <w:t>plaintiff</w:t>
      </w:r>
      <w:r w:rsidR="006315C1" w:rsidRPr="00197362">
        <w:rPr>
          <w:rFonts w:ascii="Arial" w:hAnsi="Arial" w:cs="Arial"/>
          <w:sz w:val="24"/>
          <w:szCs w:val="24"/>
          <w:lang w:val="en-ZA"/>
        </w:rPr>
        <w:t xml:space="preserve"> addressed a letter to the debt counsellor informing them that</w:t>
      </w:r>
      <w:r w:rsidR="00197362" w:rsidRPr="00197362">
        <w:rPr>
          <w:rFonts w:ascii="Arial" w:hAnsi="Arial" w:cs="Arial"/>
          <w:sz w:val="24"/>
          <w:szCs w:val="24"/>
          <w:lang w:val="en-ZA"/>
        </w:rPr>
        <w:t xml:space="preserve"> </w:t>
      </w:r>
      <w:r w:rsidR="006315C1" w:rsidRPr="00197362">
        <w:rPr>
          <w:rFonts w:ascii="Arial" w:hAnsi="Arial" w:cs="Arial"/>
          <w:sz w:val="24"/>
          <w:szCs w:val="24"/>
          <w:lang w:val="en-ZA"/>
        </w:rPr>
        <w:t>their request for</w:t>
      </w:r>
      <w:r w:rsidR="00197362" w:rsidRPr="00197362">
        <w:rPr>
          <w:rFonts w:ascii="Arial" w:hAnsi="Arial" w:cs="Arial"/>
          <w:sz w:val="24"/>
          <w:szCs w:val="24"/>
          <w:lang w:val="en-ZA"/>
        </w:rPr>
        <w:t xml:space="preserve"> </w:t>
      </w:r>
      <w:r w:rsidR="00616148">
        <w:rPr>
          <w:rFonts w:ascii="Arial" w:hAnsi="Arial" w:cs="Arial"/>
          <w:sz w:val="24"/>
          <w:szCs w:val="24"/>
          <w:lang w:val="en-ZA"/>
        </w:rPr>
        <w:t>re-</w:t>
      </w:r>
      <w:r w:rsidR="006315C1" w:rsidRPr="00197362">
        <w:rPr>
          <w:rFonts w:ascii="Arial" w:hAnsi="Arial" w:cs="Arial"/>
          <w:sz w:val="24"/>
          <w:szCs w:val="24"/>
          <w:lang w:val="en-ZA"/>
        </w:rPr>
        <w:t>instatement of the account was rejected because</w:t>
      </w:r>
      <w:r w:rsidR="004F6C0E" w:rsidRPr="00197362">
        <w:rPr>
          <w:rFonts w:ascii="Arial" w:hAnsi="Arial" w:cs="Arial"/>
          <w:sz w:val="24"/>
          <w:szCs w:val="24"/>
          <w:lang w:val="en-ZA"/>
        </w:rPr>
        <w:t>,</w:t>
      </w:r>
      <w:r w:rsidR="006315C1" w:rsidRPr="00197362">
        <w:rPr>
          <w:rFonts w:ascii="Arial" w:hAnsi="Arial" w:cs="Arial"/>
          <w:sz w:val="24"/>
          <w:szCs w:val="24"/>
          <w:lang w:val="en-ZA"/>
        </w:rPr>
        <w:t xml:space="preserve"> since the </w:t>
      </w:r>
      <w:r w:rsidR="00760920" w:rsidRPr="00197362">
        <w:rPr>
          <w:rFonts w:ascii="Arial" w:hAnsi="Arial" w:cs="Arial"/>
          <w:sz w:val="24"/>
          <w:szCs w:val="24"/>
          <w:lang w:val="en-ZA"/>
        </w:rPr>
        <w:t>defendant had</w:t>
      </w:r>
      <w:r w:rsidR="006315C1" w:rsidRPr="00197362">
        <w:rPr>
          <w:rFonts w:ascii="Arial" w:hAnsi="Arial" w:cs="Arial"/>
          <w:sz w:val="24"/>
          <w:szCs w:val="24"/>
          <w:lang w:val="en-ZA"/>
        </w:rPr>
        <w:t xml:space="preserve"> </w:t>
      </w:r>
      <w:r w:rsidR="007D180C" w:rsidRPr="00197362">
        <w:rPr>
          <w:rFonts w:ascii="Arial" w:hAnsi="Arial" w:cs="Arial"/>
          <w:sz w:val="24"/>
          <w:szCs w:val="24"/>
          <w:lang w:val="en-ZA"/>
        </w:rPr>
        <w:t>taken</w:t>
      </w:r>
      <w:r w:rsidR="006315C1" w:rsidRPr="00197362">
        <w:rPr>
          <w:rFonts w:ascii="Arial" w:hAnsi="Arial" w:cs="Arial"/>
          <w:sz w:val="24"/>
          <w:szCs w:val="24"/>
          <w:lang w:val="en-ZA"/>
        </w:rPr>
        <w:t xml:space="preserve"> possession of the vehicle</w:t>
      </w:r>
      <w:r w:rsidR="00197362" w:rsidRPr="00197362">
        <w:rPr>
          <w:rFonts w:ascii="Arial" w:hAnsi="Arial" w:cs="Arial"/>
          <w:sz w:val="24"/>
          <w:szCs w:val="24"/>
          <w:lang w:val="en-ZA"/>
        </w:rPr>
        <w:t xml:space="preserve"> </w:t>
      </w:r>
      <w:r w:rsidR="00CD256C" w:rsidRPr="00197362">
        <w:rPr>
          <w:rFonts w:ascii="Arial" w:hAnsi="Arial" w:cs="Arial"/>
          <w:sz w:val="24"/>
          <w:szCs w:val="24"/>
          <w:lang w:val="en-ZA"/>
        </w:rPr>
        <w:t>they</w:t>
      </w:r>
      <w:r w:rsidR="00197362" w:rsidRPr="00197362">
        <w:rPr>
          <w:rFonts w:ascii="Arial" w:hAnsi="Arial" w:cs="Arial"/>
          <w:sz w:val="24"/>
          <w:szCs w:val="24"/>
          <w:lang w:val="en-ZA"/>
        </w:rPr>
        <w:t xml:space="preserve"> </w:t>
      </w:r>
      <w:r w:rsidR="00CD256C" w:rsidRPr="00197362">
        <w:rPr>
          <w:rFonts w:ascii="Arial" w:hAnsi="Arial" w:cs="Arial"/>
          <w:sz w:val="24"/>
          <w:szCs w:val="24"/>
          <w:lang w:val="en-ZA"/>
        </w:rPr>
        <w:t xml:space="preserve">have </w:t>
      </w:r>
      <w:r w:rsidR="006315C1" w:rsidRPr="00197362">
        <w:rPr>
          <w:rFonts w:ascii="Arial" w:hAnsi="Arial" w:cs="Arial"/>
          <w:sz w:val="24"/>
          <w:szCs w:val="24"/>
          <w:lang w:val="en-ZA"/>
        </w:rPr>
        <w:t xml:space="preserve">not made any payment to the </w:t>
      </w:r>
      <w:r w:rsidR="00760920" w:rsidRPr="00197362">
        <w:rPr>
          <w:rFonts w:ascii="Arial" w:hAnsi="Arial" w:cs="Arial"/>
          <w:sz w:val="24"/>
          <w:szCs w:val="24"/>
          <w:lang w:val="en-ZA"/>
        </w:rPr>
        <w:t>plaintiff</w:t>
      </w:r>
      <w:r w:rsidR="006315C1" w:rsidRPr="00197362">
        <w:rPr>
          <w:rFonts w:ascii="Arial" w:hAnsi="Arial" w:cs="Arial"/>
          <w:sz w:val="24"/>
          <w:szCs w:val="24"/>
          <w:lang w:val="en-ZA"/>
        </w:rPr>
        <w:t xml:space="preserve">, and that the </w:t>
      </w:r>
      <w:r w:rsidR="007D180C" w:rsidRPr="00197362">
        <w:rPr>
          <w:rFonts w:ascii="Arial" w:hAnsi="Arial" w:cs="Arial"/>
          <w:sz w:val="24"/>
          <w:szCs w:val="24"/>
          <w:lang w:val="en-ZA"/>
        </w:rPr>
        <w:t>60</w:t>
      </w:r>
      <w:r w:rsidR="005D2568">
        <w:rPr>
          <w:rFonts w:ascii="Arial" w:hAnsi="Arial" w:cs="Arial"/>
          <w:sz w:val="24"/>
          <w:szCs w:val="24"/>
          <w:lang w:val="en-ZA"/>
        </w:rPr>
        <w:t xml:space="preserve"> </w:t>
      </w:r>
      <w:r w:rsidR="007D180C" w:rsidRPr="00197362">
        <w:rPr>
          <w:rFonts w:ascii="Arial" w:hAnsi="Arial" w:cs="Arial"/>
          <w:sz w:val="24"/>
          <w:szCs w:val="24"/>
          <w:lang w:val="en-ZA"/>
        </w:rPr>
        <w:t>business</w:t>
      </w:r>
      <w:r w:rsidR="006315C1" w:rsidRPr="00197362">
        <w:rPr>
          <w:rFonts w:ascii="Arial" w:hAnsi="Arial" w:cs="Arial"/>
          <w:sz w:val="24"/>
          <w:szCs w:val="24"/>
          <w:lang w:val="en-ZA"/>
        </w:rPr>
        <w:t xml:space="preserve"> day</w:t>
      </w:r>
      <w:r w:rsidR="00D2394D">
        <w:rPr>
          <w:rFonts w:ascii="Arial" w:hAnsi="Arial" w:cs="Arial"/>
          <w:sz w:val="24"/>
          <w:szCs w:val="24"/>
          <w:lang w:val="en-ZA"/>
        </w:rPr>
        <w:t>s</w:t>
      </w:r>
      <w:r w:rsidR="006315C1" w:rsidRPr="00197362">
        <w:rPr>
          <w:rFonts w:ascii="Arial" w:hAnsi="Arial" w:cs="Arial"/>
          <w:sz w:val="24"/>
          <w:szCs w:val="24"/>
          <w:lang w:val="en-ZA"/>
        </w:rPr>
        <w:t xml:space="preserve"> provided for in the NCA has lapsed without the parties reaching agreement on the debt restructuring</w:t>
      </w:r>
      <w:r w:rsidR="00CD256C" w:rsidRPr="00197362">
        <w:rPr>
          <w:rFonts w:ascii="Arial" w:hAnsi="Arial" w:cs="Arial"/>
          <w:sz w:val="24"/>
          <w:szCs w:val="24"/>
          <w:lang w:val="en-ZA"/>
        </w:rPr>
        <w:t>.</w:t>
      </w:r>
      <w:r w:rsidR="004F6C0E" w:rsidRPr="00197362">
        <w:rPr>
          <w:rFonts w:ascii="Arial" w:hAnsi="Arial" w:cs="Arial"/>
          <w:sz w:val="24"/>
          <w:szCs w:val="24"/>
          <w:lang w:val="en-ZA"/>
        </w:rPr>
        <w:t xml:space="preserve"> </w:t>
      </w:r>
      <w:r w:rsidR="006315C1" w:rsidRPr="00197362">
        <w:rPr>
          <w:rFonts w:ascii="Arial" w:hAnsi="Arial" w:cs="Arial"/>
          <w:sz w:val="24"/>
          <w:szCs w:val="24"/>
          <w:lang w:val="en-ZA"/>
        </w:rPr>
        <w:t>On 13 April 2021 the debt counsellor issued a debt review application to Durban</w:t>
      </w:r>
      <w:r w:rsidR="00197362" w:rsidRPr="00197362">
        <w:rPr>
          <w:rFonts w:ascii="Arial" w:hAnsi="Arial" w:cs="Arial"/>
          <w:sz w:val="24"/>
          <w:szCs w:val="24"/>
          <w:lang w:val="en-ZA"/>
        </w:rPr>
        <w:t xml:space="preserve"> </w:t>
      </w:r>
      <w:r w:rsidR="006315C1" w:rsidRPr="00197362">
        <w:rPr>
          <w:rFonts w:ascii="Arial" w:hAnsi="Arial" w:cs="Arial"/>
          <w:sz w:val="24"/>
          <w:szCs w:val="24"/>
          <w:lang w:val="en-ZA"/>
        </w:rPr>
        <w:t>Magistrate</w:t>
      </w:r>
      <w:r w:rsidR="00616148">
        <w:rPr>
          <w:rFonts w:ascii="Arial" w:hAnsi="Arial" w:cs="Arial"/>
          <w:sz w:val="24"/>
          <w:szCs w:val="24"/>
          <w:lang w:val="en-ZA"/>
        </w:rPr>
        <w:t>s’</w:t>
      </w:r>
      <w:r w:rsidR="006315C1" w:rsidRPr="00197362">
        <w:rPr>
          <w:rFonts w:ascii="Arial" w:hAnsi="Arial" w:cs="Arial"/>
          <w:sz w:val="24"/>
          <w:szCs w:val="24"/>
          <w:lang w:val="en-ZA"/>
        </w:rPr>
        <w:t xml:space="preserve"> Court. On 27 </w:t>
      </w:r>
      <w:r w:rsidR="006315C1" w:rsidRPr="00197362">
        <w:rPr>
          <w:rFonts w:ascii="Arial" w:hAnsi="Arial" w:cs="Arial"/>
          <w:sz w:val="24"/>
          <w:szCs w:val="24"/>
          <w:lang w:val="en-ZA"/>
        </w:rPr>
        <w:lastRenderedPageBreak/>
        <w:t>September 202</w:t>
      </w:r>
      <w:r w:rsidR="004F6C0E" w:rsidRPr="00197362">
        <w:rPr>
          <w:rFonts w:ascii="Arial" w:hAnsi="Arial" w:cs="Arial"/>
          <w:sz w:val="24"/>
          <w:szCs w:val="24"/>
          <w:lang w:val="en-ZA"/>
        </w:rPr>
        <w:t>2</w:t>
      </w:r>
      <w:r w:rsidR="006315C1" w:rsidRPr="00197362">
        <w:rPr>
          <w:rFonts w:ascii="Arial" w:hAnsi="Arial" w:cs="Arial"/>
          <w:sz w:val="24"/>
          <w:szCs w:val="24"/>
          <w:lang w:val="en-ZA"/>
        </w:rPr>
        <w:t xml:space="preserve"> the debt counsellor withdrew the debt review application from the</w:t>
      </w:r>
      <w:r w:rsidR="00197362" w:rsidRPr="00197362">
        <w:rPr>
          <w:rFonts w:ascii="Arial" w:hAnsi="Arial" w:cs="Arial"/>
          <w:sz w:val="24"/>
          <w:szCs w:val="24"/>
          <w:lang w:val="en-ZA"/>
        </w:rPr>
        <w:t xml:space="preserve"> </w:t>
      </w:r>
      <w:r w:rsidR="005D2568">
        <w:rPr>
          <w:rFonts w:ascii="Arial" w:hAnsi="Arial" w:cs="Arial"/>
          <w:sz w:val="24"/>
          <w:szCs w:val="24"/>
          <w:lang w:val="en-ZA"/>
        </w:rPr>
        <w:t>m</w:t>
      </w:r>
      <w:r w:rsidR="005D2568" w:rsidRPr="00197362">
        <w:rPr>
          <w:rFonts w:ascii="Arial" w:hAnsi="Arial" w:cs="Arial"/>
          <w:sz w:val="24"/>
          <w:szCs w:val="24"/>
          <w:lang w:val="en-ZA"/>
        </w:rPr>
        <w:t>agistrate</w:t>
      </w:r>
      <w:r w:rsidR="005D2568">
        <w:rPr>
          <w:rFonts w:ascii="Arial" w:hAnsi="Arial" w:cs="Arial"/>
          <w:sz w:val="24"/>
          <w:szCs w:val="24"/>
          <w:lang w:val="en-ZA"/>
        </w:rPr>
        <w:t>s’</w:t>
      </w:r>
      <w:r w:rsidR="005D2568" w:rsidRPr="00197362">
        <w:rPr>
          <w:rFonts w:ascii="Arial" w:hAnsi="Arial" w:cs="Arial"/>
          <w:sz w:val="24"/>
          <w:szCs w:val="24"/>
          <w:lang w:val="en-ZA"/>
        </w:rPr>
        <w:t xml:space="preserve"> </w:t>
      </w:r>
      <w:r w:rsidR="005D2568">
        <w:rPr>
          <w:rFonts w:ascii="Arial" w:hAnsi="Arial" w:cs="Arial"/>
          <w:sz w:val="24"/>
          <w:szCs w:val="24"/>
          <w:lang w:val="en-ZA"/>
        </w:rPr>
        <w:t>c</w:t>
      </w:r>
      <w:r w:rsidR="005D2568" w:rsidRPr="00197362">
        <w:rPr>
          <w:rFonts w:ascii="Arial" w:hAnsi="Arial" w:cs="Arial"/>
          <w:sz w:val="24"/>
          <w:szCs w:val="24"/>
          <w:lang w:val="en-ZA"/>
        </w:rPr>
        <w:t>ourt</w:t>
      </w:r>
      <w:r w:rsidR="006315C1" w:rsidRPr="00197362">
        <w:rPr>
          <w:rFonts w:ascii="Arial" w:hAnsi="Arial" w:cs="Arial"/>
          <w:sz w:val="24"/>
          <w:szCs w:val="24"/>
          <w:lang w:val="en-ZA"/>
        </w:rPr>
        <w:t>.</w:t>
      </w:r>
    </w:p>
    <w:p w14:paraId="7747B41E" w14:textId="026B2DCF" w:rsidR="006315C1" w:rsidRPr="00197362" w:rsidRDefault="006315C1" w:rsidP="00197362">
      <w:pPr>
        <w:spacing w:after="0" w:line="360" w:lineRule="auto"/>
        <w:jc w:val="both"/>
        <w:rPr>
          <w:rFonts w:ascii="Arial" w:hAnsi="Arial" w:cs="Arial"/>
          <w:sz w:val="24"/>
          <w:szCs w:val="24"/>
          <w:lang w:val="en-ZA"/>
        </w:rPr>
      </w:pPr>
    </w:p>
    <w:p w14:paraId="084C5CE6" w14:textId="49527054" w:rsidR="000F1821" w:rsidRPr="00197362" w:rsidRDefault="00B02D6B" w:rsidP="00197362">
      <w:pPr>
        <w:spacing w:after="0" w:line="360" w:lineRule="auto"/>
        <w:jc w:val="both"/>
        <w:rPr>
          <w:rFonts w:ascii="Arial" w:hAnsi="Arial" w:cs="Arial"/>
          <w:sz w:val="24"/>
          <w:szCs w:val="24"/>
          <w:lang w:val="en-ZA"/>
        </w:rPr>
      </w:pPr>
      <w:r w:rsidRPr="00197362">
        <w:rPr>
          <w:rFonts w:ascii="Arial" w:hAnsi="Arial" w:cs="Arial"/>
          <w:sz w:val="24"/>
          <w:szCs w:val="24"/>
          <w:lang w:val="en-ZA"/>
        </w:rPr>
        <w:t>[</w:t>
      </w:r>
      <w:r w:rsidR="00760920" w:rsidRPr="00197362">
        <w:rPr>
          <w:rFonts w:ascii="Arial" w:hAnsi="Arial" w:cs="Arial"/>
          <w:sz w:val="24"/>
          <w:szCs w:val="24"/>
          <w:lang w:val="en-ZA"/>
        </w:rPr>
        <w:t>18</w:t>
      </w:r>
      <w:r w:rsidRPr="00197362">
        <w:rPr>
          <w:rFonts w:ascii="Arial" w:hAnsi="Arial" w:cs="Arial"/>
          <w:sz w:val="24"/>
          <w:szCs w:val="24"/>
          <w:lang w:val="en-ZA"/>
        </w:rPr>
        <w:t>]</w:t>
      </w:r>
      <w:r w:rsidR="00197362" w:rsidRPr="00197362">
        <w:rPr>
          <w:rFonts w:ascii="Arial" w:hAnsi="Arial" w:cs="Arial"/>
          <w:sz w:val="24"/>
          <w:szCs w:val="24"/>
          <w:lang w:val="en-ZA"/>
        </w:rPr>
        <w:t xml:space="preserve"> </w:t>
      </w:r>
      <w:r w:rsidR="00CD256C" w:rsidRPr="00197362">
        <w:rPr>
          <w:rFonts w:ascii="Arial" w:hAnsi="Arial" w:cs="Arial"/>
          <w:sz w:val="24"/>
          <w:szCs w:val="24"/>
          <w:lang w:val="en-ZA"/>
        </w:rPr>
        <w:tab/>
      </w:r>
      <w:r w:rsidR="00ED6FB7" w:rsidRPr="00197362">
        <w:rPr>
          <w:rFonts w:ascii="Arial" w:hAnsi="Arial" w:cs="Arial"/>
          <w:sz w:val="24"/>
          <w:szCs w:val="24"/>
          <w:lang w:val="en-ZA"/>
        </w:rPr>
        <w:t>It is apparent from the attached correspondence that the defendant referred the debt</w:t>
      </w:r>
      <w:r w:rsidR="00197362" w:rsidRPr="00197362">
        <w:rPr>
          <w:rFonts w:ascii="Arial" w:hAnsi="Arial" w:cs="Arial"/>
          <w:sz w:val="24"/>
          <w:szCs w:val="24"/>
          <w:lang w:val="en-ZA"/>
        </w:rPr>
        <w:t xml:space="preserve"> </w:t>
      </w:r>
      <w:r w:rsidR="00ED6FB7" w:rsidRPr="00197362">
        <w:rPr>
          <w:rFonts w:ascii="Arial" w:hAnsi="Arial" w:cs="Arial"/>
          <w:sz w:val="24"/>
          <w:szCs w:val="24"/>
          <w:lang w:val="en-ZA"/>
        </w:rPr>
        <w:t>to a</w:t>
      </w:r>
      <w:r w:rsidR="00197362" w:rsidRPr="00197362">
        <w:rPr>
          <w:rFonts w:ascii="Arial" w:hAnsi="Arial" w:cs="Arial"/>
          <w:sz w:val="24"/>
          <w:szCs w:val="24"/>
          <w:lang w:val="en-ZA"/>
        </w:rPr>
        <w:t xml:space="preserve"> </w:t>
      </w:r>
      <w:r w:rsidR="00145053" w:rsidRPr="00197362">
        <w:rPr>
          <w:rFonts w:ascii="Arial" w:hAnsi="Arial" w:cs="Arial"/>
          <w:sz w:val="24"/>
          <w:szCs w:val="24"/>
          <w:lang w:val="en-ZA"/>
        </w:rPr>
        <w:t>debt counsellor</w:t>
      </w:r>
      <w:r w:rsidR="005D2568">
        <w:rPr>
          <w:rFonts w:ascii="Arial" w:hAnsi="Arial" w:cs="Arial"/>
          <w:sz w:val="24"/>
          <w:szCs w:val="24"/>
          <w:lang w:val="en-ZA"/>
        </w:rPr>
        <w:t>,</w:t>
      </w:r>
      <w:r w:rsidR="00197362" w:rsidRPr="00197362">
        <w:rPr>
          <w:rFonts w:ascii="Arial" w:hAnsi="Arial" w:cs="Arial"/>
          <w:sz w:val="24"/>
          <w:szCs w:val="24"/>
          <w:lang w:val="en-ZA"/>
        </w:rPr>
        <w:t xml:space="preserve"> </w:t>
      </w:r>
      <w:r w:rsidR="00760920" w:rsidRPr="00197362">
        <w:rPr>
          <w:rFonts w:ascii="Arial" w:hAnsi="Arial" w:cs="Arial"/>
          <w:sz w:val="24"/>
          <w:szCs w:val="24"/>
          <w:lang w:val="en-ZA"/>
        </w:rPr>
        <w:t>therefore the plaintiff was no</w:t>
      </w:r>
      <w:r w:rsidR="00CD256C" w:rsidRPr="00197362">
        <w:rPr>
          <w:rFonts w:ascii="Arial" w:hAnsi="Arial" w:cs="Arial"/>
          <w:sz w:val="24"/>
          <w:szCs w:val="24"/>
          <w:lang w:val="en-ZA"/>
        </w:rPr>
        <w:t xml:space="preserve">t required to </w:t>
      </w:r>
      <w:r w:rsidR="005D2568">
        <w:rPr>
          <w:rFonts w:ascii="Arial" w:hAnsi="Arial" w:cs="Arial"/>
          <w:sz w:val="24"/>
          <w:szCs w:val="24"/>
          <w:lang w:val="en-ZA"/>
        </w:rPr>
        <w:t xml:space="preserve">send </w:t>
      </w:r>
      <w:r w:rsidR="00CD256C" w:rsidRPr="00197362">
        <w:rPr>
          <w:rFonts w:ascii="Arial" w:hAnsi="Arial" w:cs="Arial"/>
          <w:sz w:val="24"/>
          <w:szCs w:val="24"/>
          <w:lang w:val="en-ZA"/>
        </w:rPr>
        <w:t>the</w:t>
      </w:r>
      <w:r w:rsidR="00197362" w:rsidRPr="00197362">
        <w:rPr>
          <w:rFonts w:ascii="Arial" w:hAnsi="Arial" w:cs="Arial"/>
          <w:sz w:val="24"/>
          <w:szCs w:val="24"/>
          <w:lang w:val="en-ZA"/>
        </w:rPr>
        <w:t xml:space="preserve"> </w:t>
      </w:r>
      <w:r w:rsidR="00CD256C" w:rsidRPr="00197362">
        <w:rPr>
          <w:rFonts w:ascii="Arial" w:hAnsi="Arial" w:cs="Arial"/>
          <w:sz w:val="24"/>
          <w:szCs w:val="24"/>
          <w:lang w:val="en-ZA"/>
        </w:rPr>
        <w:t>defendant</w:t>
      </w:r>
      <w:r w:rsidR="00197362" w:rsidRPr="00197362">
        <w:rPr>
          <w:rFonts w:ascii="Arial" w:hAnsi="Arial" w:cs="Arial"/>
          <w:sz w:val="24"/>
          <w:szCs w:val="24"/>
          <w:lang w:val="en-ZA"/>
        </w:rPr>
        <w:t xml:space="preserve"> </w:t>
      </w:r>
      <w:r w:rsidR="005D2568">
        <w:rPr>
          <w:rFonts w:ascii="Arial" w:hAnsi="Arial" w:cs="Arial"/>
          <w:sz w:val="24"/>
          <w:szCs w:val="24"/>
          <w:lang w:val="en-ZA"/>
        </w:rPr>
        <w:t xml:space="preserve">the requisite </w:t>
      </w:r>
      <w:r w:rsidR="00760920" w:rsidRPr="00197362">
        <w:rPr>
          <w:rFonts w:ascii="Arial" w:hAnsi="Arial" w:cs="Arial"/>
          <w:sz w:val="24"/>
          <w:szCs w:val="24"/>
          <w:lang w:val="en-ZA"/>
        </w:rPr>
        <w:t>notice in terms of s</w:t>
      </w:r>
      <w:r w:rsidR="005D2568">
        <w:rPr>
          <w:rFonts w:ascii="Arial" w:hAnsi="Arial" w:cs="Arial"/>
          <w:sz w:val="24"/>
          <w:szCs w:val="24"/>
          <w:lang w:val="en-ZA"/>
        </w:rPr>
        <w:t>ection</w:t>
      </w:r>
      <w:r w:rsidR="00760920" w:rsidRPr="00197362">
        <w:rPr>
          <w:rFonts w:ascii="Arial" w:hAnsi="Arial" w:cs="Arial"/>
          <w:sz w:val="24"/>
          <w:szCs w:val="24"/>
          <w:lang w:val="en-ZA"/>
        </w:rPr>
        <w:t xml:space="preserve"> 129 of NCA.</w:t>
      </w:r>
      <w:r w:rsidR="00197362" w:rsidRPr="00197362">
        <w:rPr>
          <w:rFonts w:ascii="Arial" w:hAnsi="Arial" w:cs="Arial"/>
          <w:sz w:val="24"/>
          <w:szCs w:val="24"/>
          <w:lang w:val="en-ZA"/>
        </w:rPr>
        <w:t xml:space="preserve"> </w:t>
      </w:r>
      <w:r w:rsidR="006D3574" w:rsidRPr="00197362">
        <w:rPr>
          <w:rFonts w:ascii="Arial" w:hAnsi="Arial" w:cs="Arial"/>
          <w:sz w:val="24"/>
          <w:szCs w:val="24"/>
          <w:lang w:val="en-ZA"/>
        </w:rPr>
        <w:t>It is apparent that t</w:t>
      </w:r>
      <w:r w:rsidR="006B3307" w:rsidRPr="00197362">
        <w:rPr>
          <w:rFonts w:ascii="Arial" w:hAnsi="Arial" w:cs="Arial"/>
          <w:sz w:val="24"/>
          <w:szCs w:val="24"/>
          <w:lang w:val="en-ZA"/>
        </w:rPr>
        <w:t>he</w:t>
      </w:r>
      <w:r w:rsidR="00197362" w:rsidRPr="00197362">
        <w:rPr>
          <w:rFonts w:ascii="Arial" w:hAnsi="Arial" w:cs="Arial"/>
          <w:sz w:val="24"/>
          <w:szCs w:val="24"/>
          <w:lang w:val="en-ZA"/>
        </w:rPr>
        <w:t xml:space="preserve"> </w:t>
      </w:r>
      <w:r w:rsidR="006B3307" w:rsidRPr="00197362">
        <w:rPr>
          <w:rFonts w:ascii="Arial" w:hAnsi="Arial" w:cs="Arial"/>
          <w:sz w:val="24"/>
          <w:szCs w:val="24"/>
          <w:lang w:val="en-ZA"/>
        </w:rPr>
        <w:t xml:space="preserve">plaintiff participated in </w:t>
      </w:r>
      <w:r w:rsidR="00CD256C" w:rsidRPr="00197362">
        <w:rPr>
          <w:rFonts w:ascii="Arial" w:hAnsi="Arial" w:cs="Arial"/>
          <w:sz w:val="24"/>
          <w:szCs w:val="24"/>
          <w:lang w:val="en-ZA"/>
        </w:rPr>
        <w:t xml:space="preserve">the </w:t>
      </w:r>
      <w:r w:rsidR="006B3307" w:rsidRPr="00197362">
        <w:rPr>
          <w:rFonts w:ascii="Arial" w:hAnsi="Arial" w:cs="Arial"/>
          <w:sz w:val="24"/>
          <w:szCs w:val="24"/>
          <w:lang w:val="en-ZA"/>
        </w:rPr>
        <w:t>negotia</w:t>
      </w:r>
      <w:r w:rsidR="00145053" w:rsidRPr="00197362">
        <w:rPr>
          <w:rFonts w:ascii="Arial" w:hAnsi="Arial" w:cs="Arial"/>
          <w:sz w:val="24"/>
          <w:szCs w:val="24"/>
          <w:lang w:val="en-ZA"/>
        </w:rPr>
        <w:t>ti</w:t>
      </w:r>
      <w:r w:rsidR="006B3307" w:rsidRPr="00197362">
        <w:rPr>
          <w:rFonts w:ascii="Arial" w:hAnsi="Arial" w:cs="Arial"/>
          <w:sz w:val="24"/>
          <w:szCs w:val="24"/>
          <w:lang w:val="en-ZA"/>
        </w:rPr>
        <w:t>ons</w:t>
      </w:r>
      <w:r w:rsidR="006D3574" w:rsidRPr="00197362">
        <w:rPr>
          <w:rFonts w:ascii="Arial" w:hAnsi="Arial" w:cs="Arial"/>
          <w:sz w:val="24"/>
          <w:szCs w:val="24"/>
          <w:lang w:val="en-ZA"/>
        </w:rPr>
        <w:t xml:space="preserve"> for debt review and</w:t>
      </w:r>
      <w:r w:rsidR="00197362" w:rsidRPr="00197362">
        <w:rPr>
          <w:rFonts w:ascii="Arial" w:hAnsi="Arial" w:cs="Arial"/>
          <w:sz w:val="24"/>
          <w:szCs w:val="24"/>
          <w:lang w:val="en-ZA"/>
        </w:rPr>
        <w:t xml:space="preserve"> </w:t>
      </w:r>
      <w:r w:rsidR="006B3307" w:rsidRPr="00197362">
        <w:rPr>
          <w:rFonts w:ascii="Arial" w:hAnsi="Arial" w:cs="Arial"/>
          <w:sz w:val="24"/>
          <w:szCs w:val="24"/>
          <w:lang w:val="en-ZA"/>
        </w:rPr>
        <w:t>offered a counter offer</w:t>
      </w:r>
      <w:r w:rsidR="00A07709" w:rsidRPr="00197362">
        <w:rPr>
          <w:rFonts w:ascii="Arial" w:hAnsi="Arial" w:cs="Arial"/>
          <w:sz w:val="24"/>
          <w:szCs w:val="24"/>
          <w:lang w:val="en-ZA"/>
        </w:rPr>
        <w:t xml:space="preserve"> to the</w:t>
      </w:r>
      <w:r w:rsidR="006B3307" w:rsidRPr="00197362">
        <w:rPr>
          <w:rFonts w:ascii="Arial" w:hAnsi="Arial" w:cs="Arial"/>
          <w:sz w:val="24"/>
          <w:szCs w:val="24"/>
          <w:lang w:val="en-ZA"/>
        </w:rPr>
        <w:t xml:space="preserve"> </w:t>
      </w:r>
      <w:r w:rsidR="00ED6FB7" w:rsidRPr="00197362">
        <w:rPr>
          <w:rFonts w:ascii="Arial" w:hAnsi="Arial" w:cs="Arial"/>
          <w:sz w:val="24"/>
          <w:szCs w:val="24"/>
          <w:lang w:val="en-ZA"/>
        </w:rPr>
        <w:t>debt counsellor</w:t>
      </w:r>
      <w:r w:rsidR="00A07709" w:rsidRPr="00197362">
        <w:rPr>
          <w:rFonts w:ascii="Arial" w:hAnsi="Arial" w:cs="Arial"/>
          <w:sz w:val="24"/>
          <w:szCs w:val="24"/>
          <w:lang w:val="en-ZA"/>
        </w:rPr>
        <w:t>.</w:t>
      </w:r>
      <w:r w:rsidR="006D3574" w:rsidRPr="00197362">
        <w:rPr>
          <w:rFonts w:ascii="Arial" w:hAnsi="Arial" w:cs="Arial"/>
          <w:sz w:val="24"/>
          <w:szCs w:val="24"/>
          <w:lang w:val="en-ZA"/>
        </w:rPr>
        <w:t xml:space="preserve"> The</w:t>
      </w:r>
      <w:r w:rsidRPr="00197362">
        <w:rPr>
          <w:rFonts w:ascii="Arial" w:hAnsi="Arial" w:cs="Arial"/>
          <w:sz w:val="24"/>
          <w:szCs w:val="24"/>
          <w:lang w:val="en-ZA"/>
        </w:rPr>
        <w:t xml:space="preserve"> </w:t>
      </w:r>
      <w:r w:rsidR="00145053" w:rsidRPr="00197362">
        <w:rPr>
          <w:rFonts w:ascii="Arial" w:hAnsi="Arial" w:cs="Arial"/>
          <w:sz w:val="24"/>
          <w:szCs w:val="24"/>
          <w:lang w:val="en-ZA"/>
        </w:rPr>
        <w:t>plaintiff</w:t>
      </w:r>
      <w:r w:rsidRPr="00197362">
        <w:rPr>
          <w:rFonts w:ascii="Arial" w:hAnsi="Arial" w:cs="Arial"/>
          <w:sz w:val="24"/>
          <w:szCs w:val="24"/>
          <w:lang w:val="en-ZA"/>
        </w:rPr>
        <w:t xml:space="preserve"> gave notice to terminate </w:t>
      </w:r>
      <w:r w:rsidR="00A07709" w:rsidRPr="00197362">
        <w:rPr>
          <w:rFonts w:ascii="Arial" w:hAnsi="Arial" w:cs="Arial"/>
          <w:sz w:val="24"/>
          <w:szCs w:val="24"/>
          <w:lang w:val="en-ZA"/>
        </w:rPr>
        <w:t xml:space="preserve">the </w:t>
      </w:r>
      <w:r w:rsidR="00145053" w:rsidRPr="00197362">
        <w:rPr>
          <w:rFonts w:ascii="Arial" w:hAnsi="Arial" w:cs="Arial"/>
          <w:sz w:val="24"/>
          <w:szCs w:val="24"/>
          <w:lang w:val="en-ZA"/>
        </w:rPr>
        <w:t>debt</w:t>
      </w:r>
      <w:r w:rsidRPr="00197362">
        <w:rPr>
          <w:rFonts w:ascii="Arial" w:hAnsi="Arial" w:cs="Arial"/>
          <w:sz w:val="24"/>
          <w:szCs w:val="24"/>
          <w:lang w:val="en-ZA"/>
        </w:rPr>
        <w:t xml:space="preserve"> review to the</w:t>
      </w:r>
      <w:r w:rsidR="00197362" w:rsidRPr="00197362">
        <w:rPr>
          <w:rFonts w:ascii="Arial" w:hAnsi="Arial" w:cs="Arial"/>
          <w:sz w:val="24"/>
          <w:szCs w:val="24"/>
          <w:lang w:val="en-ZA"/>
        </w:rPr>
        <w:t xml:space="preserve"> </w:t>
      </w:r>
      <w:r w:rsidR="006D3574" w:rsidRPr="00197362">
        <w:rPr>
          <w:rFonts w:ascii="Arial" w:hAnsi="Arial" w:cs="Arial"/>
          <w:sz w:val="24"/>
          <w:szCs w:val="24"/>
          <w:lang w:val="en-ZA"/>
        </w:rPr>
        <w:t xml:space="preserve">defendant </w:t>
      </w:r>
      <w:r w:rsidR="00145053" w:rsidRPr="00197362">
        <w:rPr>
          <w:rFonts w:ascii="Arial" w:hAnsi="Arial" w:cs="Arial"/>
          <w:sz w:val="24"/>
          <w:szCs w:val="24"/>
          <w:lang w:val="en-ZA"/>
        </w:rPr>
        <w:t>and debt counsellor</w:t>
      </w:r>
      <w:r w:rsidR="00A07709" w:rsidRPr="00197362">
        <w:rPr>
          <w:rFonts w:ascii="Arial" w:hAnsi="Arial" w:cs="Arial"/>
          <w:sz w:val="24"/>
          <w:szCs w:val="24"/>
          <w:lang w:val="en-ZA"/>
        </w:rPr>
        <w:t xml:space="preserve"> by registered mail</w:t>
      </w:r>
      <w:r w:rsidRPr="00197362">
        <w:rPr>
          <w:rFonts w:ascii="Arial" w:hAnsi="Arial" w:cs="Arial"/>
          <w:sz w:val="24"/>
          <w:szCs w:val="24"/>
          <w:lang w:val="en-ZA"/>
        </w:rPr>
        <w:t xml:space="preserve"> </w:t>
      </w:r>
      <w:r w:rsidR="000F1821" w:rsidRPr="00197362">
        <w:rPr>
          <w:rFonts w:ascii="Arial" w:hAnsi="Arial" w:cs="Arial"/>
          <w:sz w:val="24"/>
          <w:szCs w:val="24"/>
          <w:lang w:val="en-ZA"/>
        </w:rPr>
        <w:t>before the debt</w:t>
      </w:r>
      <w:r w:rsidR="00A07709" w:rsidRPr="00197362">
        <w:rPr>
          <w:rFonts w:ascii="Arial" w:hAnsi="Arial" w:cs="Arial"/>
          <w:sz w:val="24"/>
          <w:szCs w:val="24"/>
          <w:lang w:val="en-ZA"/>
        </w:rPr>
        <w:t xml:space="preserve"> counsellor</w:t>
      </w:r>
      <w:r w:rsidR="00197362" w:rsidRPr="00197362">
        <w:rPr>
          <w:rFonts w:ascii="Arial" w:hAnsi="Arial" w:cs="Arial"/>
          <w:sz w:val="24"/>
          <w:szCs w:val="24"/>
          <w:lang w:val="en-ZA"/>
        </w:rPr>
        <w:t xml:space="preserve"> </w:t>
      </w:r>
      <w:r w:rsidR="006D3574" w:rsidRPr="00197362">
        <w:rPr>
          <w:rFonts w:ascii="Arial" w:hAnsi="Arial" w:cs="Arial"/>
          <w:sz w:val="24"/>
          <w:szCs w:val="24"/>
          <w:lang w:val="en-ZA"/>
        </w:rPr>
        <w:t>applied to court for review of the debt</w:t>
      </w:r>
      <w:r w:rsidR="005D2568">
        <w:rPr>
          <w:rFonts w:ascii="Arial" w:hAnsi="Arial" w:cs="Arial"/>
          <w:sz w:val="24"/>
          <w:szCs w:val="24"/>
          <w:lang w:val="en-ZA"/>
        </w:rPr>
        <w:t>.</w:t>
      </w:r>
      <w:r w:rsidR="005D2568" w:rsidRPr="00197362">
        <w:rPr>
          <w:rFonts w:ascii="Arial" w:hAnsi="Arial" w:cs="Arial"/>
          <w:sz w:val="24"/>
          <w:szCs w:val="24"/>
          <w:lang w:val="en-ZA"/>
        </w:rPr>
        <w:t xml:space="preserve"> </w:t>
      </w:r>
      <w:r w:rsidR="000F1821" w:rsidRPr="00197362">
        <w:rPr>
          <w:rFonts w:ascii="Arial" w:hAnsi="Arial" w:cs="Arial"/>
          <w:sz w:val="24"/>
          <w:szCs w:val="24"/>
          <w:lang w:val="en-ZA"/>
        </w:rPr>
        <w:t xml:space="preserve">Considering </w:t>
      </w:r>
      <w:r w:rsidR="00145053" w:rsidRPr="00197362">
        <w:rPr>
          <w:rFonts w:ascii="Arial" w:hAnsi="Arial" w:cs="Arial"/>
          <w:sz w:val="24"/>
          <w:szCs w:val="24"/>
          <w:lang w:val="en-ZA"/>
        </w:rPr>
        <w:t>the correspondence between the debt counsellor and the plaintiff</w:t>
      </w:r>
      <w:r w:rsidR="00D557AE" w:rsidRPr="00197362">
        <w:rPr>
          <w:rFonts w:ascii="Arial" w:hAnsi="Arial" w:cs="Arial"/>
          <w:sz w:val="24"/>
          <w:szCs w:val="24"/>
          <w:lang w:val="en-ZA"/>
        </w:rPr>
        <w:t xml:space="preserve"> regarding</w:t>
      </w:r>
      <w:r w:rsidR="00197362" w:rsidRPr="00197362">
        <w:rPr>
          <w:rFonts w:ascii="Arial" w:hAnsi="Arial" w:cs="Arial"/>
          <w:sz w:val="24"/>
          <w:szCs w:val="24"/>
          <w:lang w:val="en-ZA"/>
        </w:rPr>
        <w:t xml:space="preserve"> </w:t>
      </w:r>
      <w:r w:rsidR="005D2568">
        <w:rPr>
          <w:rFonts w:ascii="Arial" w:hAnsi="Arial" w:cs="Arial"/>
          <w:sz w:val="24"/>
          <w:szCs w:val="24"/>
          <w:lang w:val="en-ZA"/>
        </w:rPr>
        <w:t xml:space="preserve">the </w:t>
      </w:r>
      <w:r w:rsidR="00D557AE" w:rsidRPr="00197362">
        <w:rPr>
          <w:rFonts w:ascii="Arial" w:hAnsi="Arial" w:cs="Arial"/>
          <w:sz w:val="24"/>
          <w:szCs w:val="24"/>
          <w:lang w:val="en-ZA"/>
        </w:rPr>
        <w:t xml:space="preserve">offer, </w:t>
      </w:r>
      <w:r w:rsidR="005D2568">
        <w:rPr>
          <w:rFonts w:ascii="Arial" w:hAnsi="Arial" w:cs="Arial"/>
          <w:sz w:val="24"/>
          <w:szCs w:val="24"/>
          <w:lang w:val="en-ZA"/>
        </w:rPr>
        <w:t xml:space="preserve">the </w:t>
      </w:r>
      <w:r w:rsidR="005D2568" w:rsidRPr="00197362">
        <w:rPr>
          <w:rFonts w:ascii="Arial" w:hAnsi="Arial" w:cs="Arial"/>
          <w:sz w:val="24"/>
          <w:szCs w:val="24"/>
          <w:lang w:val="en-ZA"/>
        </w:rPr>
        <w:t>counter</w:t>
      </w:r>
      <w:r w:rsidR="005D2568">
        <w:rPr>
          <w:rFonts w:ascii="Arial" w:hAnsi="Arial" w:cs="Arial"/>
          <w:sz w:val="24"/>
          <w:szCs w:val="24"/>
          <w:lang w:val="en-ZA"/>
        </w:rPr>
        <w:t>-</w:t>
      </w:r>
      <w:r w:rsidR="00D557AE" w:rsidRPr="00197362">
        <w:rPr>
          <w:rFonts w:ascii="Arial" w:hAnsi="Arial" w:cs="Arial"/>
          <w:sz w:val="24"/>
          <w:szCs w:val="24"/>
          <w:lang w:val="en-ZA"/>
        </w:rPr>
        <w:t>offer and</w:t>
      </w:r>
      <w:r w:rsidR="00197362" w:rsidRPr="00197362">
        <w:rPr>
          <w:rFonts w:ascii="Arial" w:hAnsi="Arial" w:cs="Arial"/>
          <w:sz w:val="24"/>
          <w:szCs w:val="24"/>
          <w:lang w:val="en-ZA"/>
        </w:rPr>
        <w:t xml:space="preserve"> </w:t>
      </w:r>
      <w:r w:rsidR="00D557AE" w:rsidRPr="00197362">
        <w:rPr>
          <w:rFonts w:ascii="Arial" w:hAnsi="Arial" w:cs="Arial"/>
          <w:sz w:val="24"/>
          <w:szCs w:val="24"/>
          <w:lang w:val="en-ZA"/>
        </w:rPr>
        <w:t>notice of termination of debt review,</w:t>
      </w:r>
      <w:r w:rsidR="00197362" w:rsidRPr="00197362">
        <w:rPr>
          <w:rFonts w:ascii="Arial" w:hAnsi="Arial" w:cs="Arial"/>
          <w:sz w:val="24"/>
          <w:szCs w:val="24"/>
          <w:lang w:val="en-ZA"/>
        </w:rPr>
        <w:t xml:space="preserve"> </w:t>
      </w:r>
      <w:r w:rsidR="007D180C" w:rsidRPr="00197362">
        <w:rPr>
          <w:rFonts w:ascii="Arial" w:hAnsi="Arial" w:cs="Arial"/>
          <w:sz w:val="24"/>
          <w:szCs w:val="24"/>
          <w:lang w:val="en-ZA"/>
        </w:rPr>
        <w:t>it</w:t>
      </w:r>
      <w:r w:rsidR="00A07709" w:rsidRPr="00197362">
        <w:rPr>
          <w:rFonts w:ascii="Arial" w:hAnsi="Arial" w:cs="Arial"/>
          <w:sz w:val="24"/>
          <w:szCs w:val="24"/>
          <w:lang w:val="en-ZA"/>
        </w:rPr>
        <w:t xml:space="preserve"> is apparent that</w:t>
      </w:r>
      <w:r w:rsidR="00197362" w:rsidRPr="00197362">
        <w:rPr>
          <w:rFonts w:ascii="Arial" w:hAnsi="Arial" w:cs="Arial"/>
          <w:sz w:val="24"/>
          <w:szCs w:val="24"/>
          <w:lang w:val="en-ZA"/>
        </w:rPr>
        <w:t xml:space="preserve"> </w:t>
      </w:r>
      <w:r w:rsidR="00A07709" w:rsidRPr="00197362">
        <w:rPr>
          <w:rFonts w:ascii="Arial" w:hAnsi="Arial" w:cs="Arial"/>
          <w:sz w:val="24"/>
          <w:szCs w:val="24"/>
          <w:lang w:val="en-ZA"/>
        </w:rPr>
        <w:t xml:space="preserve">the </w:t>
      </w:r>
      <w:r w:rsidR="006D3574" w:rsidRPr="00197362">
        <w:rPr>
          <w:rFonts w:ascii="Arial" w:hAnsi="Arial" w:cs="Arial"/>
          <w:sz w:val="24"/>
          <w:szCs w:val="24"/>
          <w:lang w:val="en-ZA"/>
        </w:rPr>
        <w:t>defendant</w:t>
      </w:r>
      <w:r w:rsidR="005D2568">
        <w:rPr>
          <w:rFonts w:ascii="Arial" w:hAnsi="Arial" w:cs="Arial"/>
          <w:sz w:val="24"/>
          <w:szCs w:val="24"/>
          <w:lang w:val="en-ZA"/>
        </w:rPr>
        <w:t>’s</w:t>
      </w:r>
      <w:r w:rsidR="006D3574" w:rsidRPr="00197362">
        <w:rPr>
          <w:rFonts w:ascii="Arial" w:hAnsi="Arial" w:cs="Arial"/>
          <w:sz w:val="24"/>
          <w:szCs w:val="24"/>
          <w:lang w:val="en-ZA"/>
        </w:rPr>
        <w:t xml:space="preserve"> defence is bogus and the plaintiff’s claim is </w:t>
      </w:r>
      <w:r w:rsidR="007D180C" w:rsidRPr="00197362">
        <w:rPr>
          <w:rFonts w:ascii="Arial" w:hAnsi="Arial" w:cs="Arial"/>
          <w:sz w:val="24"/>
          <w:szCs w:val="24"/>
          <w:lang w:val="en-ZA"/>
        </w:rPr>
        <w:t>unimpeachable</w:t>
      </w:r>
      <w:r w:rsidR="006D3574" w:rsidRPr="00197362">
        <w:rPr>
          <w:rFonts w:ascii="Arial" w:hAnsi="Arial" w:cs="Arial"/>
          <w:sz w:val="24"/>
          <w:szCs w:val="24"/>
          <w:lang w:val="en-ZA"/>
        </w:rPr>
        <w:t>.</w:t>
      </w:r>
      <w:r w:rsidR="00A07709" w:rsidRPr="00197362">
        <w:rPr>
          <w:rFonts w:ascii="Arial" w:hAnsi="Arial" w:cs="Arial"/>
          <w:sz w:val="24"/>
          <w:szCs w:val="24"/>
          <w:lang w:val="en-ZA"/>
        </w:rPr>
        <w:t xml:space="preserve"> </w:t>
      </w:r>
    </w:p>
    <w:p w14:paraId="152A2CDB" w14:textId="77777777" w:rsidR="002630C2" w:rsidRPr="00197362" w:rsidRDefault="002630C2" w:rsidP="00197362">
      <w:pPr>
        <w:spacing w:after="0" w:line="360" w:lineRule="auto"/>
        <w:jc w:val="both"/>
        <w:rPr>
          <w:rFonts w:ascii="Arial" w:hAnsi="Arial" w:cs="Arial"/>
          <w:sz w:val="24"/>
          <w:szCs w:val="24"/>
          <w:lang w:val="en-ZA"/>
        </w:rPr>
      </w:pPr>
    </w:p>
    <w:p w14:paraId="67208B35" w14:textId="706D720B" w:rsidR="002630C2" w:rsidRPr="00197362" w:rsidRDefault="0045626D" w:rsidP="00197362">
      <w:pPr>
        <w:spacing w:after="0" w:line="360" w:lineRule="auto"/>
        <w:jc w:val="both"/>
        <w:rPr>
          <w:rFonts w:ascii="Arial" w:hAnsi="Arial" w:cs="Arial"/>
          <w:sz w:val="24"/>
          <w:szCs w:val="24"/>
          <w:lang w:val="en-ZA"/>
        </w:rPr>
      </w:pPr>
      <w:r w:rsidRPr="00197362">
        <w:rPr>
          <w:rFonts w:ascii="Arial" w:hAnsi="Arial" w:cs="Arial"/>
          <w:sz w:val="24"/>
          <w:szCs w:val="24"/>
          <w:lang w:val="en-ZA"/>
        </w:rPr>
        <w:t>[</w:t>
      </w:r>
      <w:r w:rsidR="00291941" w:rsidRPr="00197362">
        <w:rPr>
          <w:rFonts w:ascii="Arial" w:hAnsi="Arial" w:cs="Arial"/>
          <w:sz w:val="24"/>
          <w:szCs w:val="24"/>
          <w:lang w:val="en-ZA"/>
        </w:rPr>
        <w:t>19</w:t>
      </w:r>
      <w:r w:rsidRPr="00197362">
        <w:rPr>
          <w:rFonts w:ascii="Arial" w:hAnsi="Arial" w:cs="Arial"/>
          <w:sz w:val="24"/>
          <w:szCs w:val="24"/>
          <w:lang w:val="en-ZA"/>
        </w:rPr>
        <w:t>]</w:t>
      </w:r>
      <w:r w:rsidR="00197362" w:rsidRPr="00197362">
        <w:rPr>
          <w:rFonts w:ascii="Arial" w:hAnsi="Arial" w:cs="Arial"/>
          <w:sz w:val="24"/>
          <w:szCs w:val="24"/>
          <w:lang w:val="en-ZA"/>
        </w:rPr>
        <w:t xml:space="preserve"> </w:t>
      </w:r>
      <w:r w:rsidR="005D2568">
        <w:rPr>
          <w:rFonts w:ascii="Arial" w:hAnsi="Arial" w:cs="Arial"/>
          <w:sz w:val="24"/>
          <w:szCs w:val="24"/>
          <w:lang w:val="en-ZA"/>
        </w:rPr>
        <w:tab/>
      </w:r>
      <w:r w:rsidRPr="00197362">
        <w:rPr>
          <w:rFonts w:ascii="Arial" w:hAnsi="Arial" w:cs="Arial"/>
          <w:sz w:val="24"/>
          <w:szCs w:val="24"/>
          <w:lang w:val="en-ZA"/>
        </w:rPr>
        <w:t>Considering that the defendant</w:t>
      </w:r>
      <w:r w:rsidR="00197362" w:rsidRPr="00197362">
        <w:rPr>
          <w:rFonts w:ascii="Arial" w:hAnsi="Arial" w:cs="Arial"/>
          <w:sz w:val="24"/>
          <w:szCs w:val="24"/>
          <w:lang w:val="en-ZA"/>
        </w:rPr>
        <w:t xml:space="preserve"> </w:t>
      </w:r>
      <w:r w:rsidRPr="00197362">
        <w:rPr>
          <w:rFonts w:ascii="Arial" w:hAnsi="Arial" w:cs="Arial"/>
          <w:sz w:val="24"/>
          <w:szCs w:val="24"/>
          <w:lang w:val="en-ZA"/>
        </w:rPr>
        <w:t>applied for</w:t>
      </w:r>
      <w:r w:rsidR="00197362" w:rsidRPr="00197362">
        <w:rPr>
          <w:rFonts w:ascii="Arial" w:hAnsi="Arial" w:cs="Arial"/>
          <w:sz w:val="24"/>
          <w:szCs w:val="24"/>
          <w:lang w:val="en-ZA"/>
        </w:rPr>
        <w:t xml:space="preserve"> </w:t>
      </w:r>
      <w:r w:rsidRPr="00197362">
        <w:rPr>
          <w:rFonts w:ascii="Arial" w:hAnsi="Arial" w:cs="Arial"/>
          <w:sz w:val="24"/>
          <w:szCs w:val="24"/>
          <w:lang w:val="en-ZA"/>
        </w:rPr>
        <w:t>debt review a mere two months after purchasing the vehicle</w:t>
      </w:r>
      <w:r w:rsidR="00291941" w:rsidRPr="00197362">
        <w:rPr>
          <w:rFonts w:ascii="Arial" w:hAnsi="Arial" w:cs="Arial"/>
          <w:sz w:val="24"/>
          <w:szCs w:val="24"/>
          <w:lang w:val="en-ZA"/>
        </w:rPr>
        <w:t xml:space="preserve"> and </w:t>
      </w:r>
      <w:r w:rsidR="00230DD4" w:rsidRPr="00197362">
        <w:rPr>
          <w:rFonts w:ascii="Arial" w:hAnsi="Arial" w:cs="Arial"/>
          <w:sz w:val="24"/>
          <w:szCs w:val="24"/>
          <w:lang w:val="en-ZA"/>
        </w:rPr>
        <w:t>they</w:t>
      </w:r>
      <w:r w:rsidR="00197362" w:rsidRPr="00197362">
        <w:rPr>
          <w:rFonts w:ascii="Arial" w:hAnsi="Arial" w:cs="Arial"/>
          <w:sz w:val="24"/>
          <w:szCs w:val="24"/>
          <w:lang w:val="en-ZA"/>
        </w:rPr>
        <w:t xml:space="preserve"> </w:t>
      </w:r>
      <w:r w:rsidR="00230DD4" w:rsidRPr="00197362">
        <w:rPr>
          <w:rFonts w:ascii="Arial" w:hAnsi="Arial" w:cs="Arial"/>
          <w:sz w:val="24"/>
          <w:szCs w:val="24"/>
          <w:lang w:val="en-ZA"/>
        </w:rPr>
        <w:t>are</w:t>
      </w:r>
      <w:r w:rsidR="00197362" w:rsidRPr="00197362">
        <w:rPr>
          <w:rFonts w:ascii="Arial" w:hAnsi="Arial" w:cs="Arial"/>
          <w:sz w:val="24"/>
          <w:szCs w:val="24"/>
          <w:lang w:val="en-ZA"/>
        </w:rPr>
        <w:t xml:space="preserve"> </w:t>
      </w:r>
      <w:r w:rsidRPr="00197362">
        <w:rPr>
          <w:rFonts w:ascii="Arial" w:hAnsi="Arial" w:cs="Arial"/>
          <w:sz w:val="24"/>
          <w:szCs w:val="24"/>
          <w:lang w:val="en-ZA"/>
        </w:rPr>
        <w:t>in possession of the vehicle</w:t>
      </w:r>
      <w:r w:rsidR="005D2568">
        <w:rPr>
          <w:rFonts w:ascii="Arial" w:hAnsi="Arial" w:cs="Arial"/>
          <w:sz w:val="24"/>
          <w:szCs w:val="24"/>
          <w:lang w:val="en-ZA"/>
        </w:rPr>
        <w:t>,</w:t>
      </w:r>
      <w:r w:rsidRPr="00197362">
        <w:rPr>
          <w:rFonts w:ascii="Arial" w:hAnsi="Arial" w:cs="Arial"/>
          <w:sz w:val="24"/>
          <w:szCs w:val="24"/>
          <w:lang w:val="en-ZA"/>
        </w:rPr>
        <w:t xml:space="preserve"> whilst </w:t>
      </w:r>
      <w:r w:rsidR="00230DD4" w:rsidRPr="00197362">
        <w:rPr>
          <w:rFonts w:ascii="Arial" w:hAnsi="Arial" w:cs="Arial"/>
          <w:sz w:val="24"/>
          <w:szCs w:val="24"/>
          <w:lang w:val="en-ZA"/>
        </w:rPr>
        <w:t>they</w:t>
      </w:r>
      <w:r w:rsidRPr="00197362">
        <w:rPr>
          <w:rFonts w:ascii="Arial" w:hAnsi="Arial" w:cs="Arial"/>
          <w:sz w:val="24"/>
          <w:szCs w:val="24"/>
          <w:lang w:val="en-ZA"/>
        </w:rPr>
        <w:t xml:space="preserve"> ha</w:t>
      </w:r>
      <w:r w:rsidR="00230DD4" w:rsidRPr="00197362">
        <w:rPr>
          <w:rFonts w:ascii="Arial" w:hAnsi="Arial" w:cs="Arial"/>
          <w:sz w:val="24"/>
          <w:szCs w:val="24"/>
          <w:lang w:val="en-ZA"/>
        </w:rPr>
        <w:t>ve</w:t>
      </w:r>
      <w:r w:rsidRPr="00197362">
        <w:rPr>
          <w:rFonts w:ascii="Arial" w:hAnsi="Arial" w:cs="Arial"/>
          <w:sz w:val="24"/>
          <w:szCs w:val="24"/>
          <w:lang w:val="en-ZA"/>
        </w:rPr>
        <w:t xml:space="preserve"> not paid a single instalment for the vehicle, I</w:t>
      </w:r>
      <w:r w:rsidR="00197362" w:rsidRPr="00197362">
        <w:rPr>
          <w:rFonts w:ascii="Arial" w:hAnsi="Arial" w:cs="Arial"/>
          <w:sz w:val="24"/>
          <w:szCs w:val="24"/>
          <w:lang w:val="en-ZA"/>
        </w:rPr>
        <w:t xml:space="preserve"> </w:t>
      </w:r>
      <w:r w:rsidRPr="00197362">
        <w:rPr>
          <w:rFonts w:ascii="Arial" w:hAnsi="Arial" w:cs="Arial"/>
          <w:sz w:val="24"/>
          <w:szCs w:val="24"/>
          <w:lang w:val="en-ZA"/>
        </w:rPr>
        <w:t xml:space="preserve">agree that the defendant has no bona fide defence </w:t>
      </w:r>
      <w:r w:rsidR="00230DD4" w:rsidRPr="00197362">
        <w:rPr>
          <w:rFonts w:ascii="Arial" w:hAnsi="Arial" w:cs="Arial"/>
          <w:sz w:val="24"/>
          <w:szCs w:val="24"/>
          <w:lang w:val="en-ZA"/>
        </w:rPr>
        <w:t>to</w:t>
      </w:r>
      <w:r w:rsidRPr="00197362">
        <w:rPr>
          <w:rFonts w:ascii="Arial" w:hAnsi="Arial" w:cs="Arial"/>
          <w:sz w:val="24"/>
          <w:szCs w:val="24"/>
          <w:lang w:val="en-ZA"/>
        </w:rPr>
        <w:t xml:space="preserve"> the plaintiff’s claim.</w:t>
      </w:r>
    </w:p>
    <w:p w14:paraId="3EFA4038" w14:textId="77777777" w:rsidR="002630C2" w:rsidRPr="00197362" w:rsidRDefault="002630C2" w:rsidP="00197362">
      <w:pPr>
        <w:spacing w:after="0" w:line="360" w:lineRule="auto"/>
        <w:jc w:val="both"/>
        <w:rPr>
          <w:rFonts w:ascii="Arial" w:hAnsi="Arial" w:cs="Arial"/>
          <w:sz w:val="24"/>
          <w:szCs w:val="24"/>
          <w:lang w:val="en-ZA"/>
        </w:rPr>
      </w:pPr>
    </w:p>
    <w:p w14:paraId="0A0CA1A9" w14:textId="51BF25FF" w:rsidR="002630C2" w:rsidRPr="00197362" w:rsidRDefault="002630C2" w:rsidP="00197362">
      <w:pPr>
        <w:spacing w:after="0" w:line="360" w:lineRule="auto"/>
        <w:jc w:val="both"/>
        <w:rPr>
          <w:rFonts w:ascii="Arial" w:hAnsi="Arial" w:cs="Arial"/>
          <w:b/>
          <w:bCs/>
          <w:sz w:val="24"/>
          <w:szCs w:val="24"/>
          <w:lang w:val="en-ZA"/>
        </w:rPr>
      </w:pPr>
      <w:r w:rsidRPr="00197362">
        <w:rPr>
          <w:rFonts w:ascii="Arial" w:hAnsi="Arial" w:cs="Arial"/>
          <w:b/>
          <w:bCs/>
          <w:sz w:val="24"/>
          <w:szCs w:val="24"/>
          <w:lang w:val="en-ZA"/>
        </w:rPr>
        <w:t>Order</w:t>
      </w:r>
    </w:p>
    <w:p w14:paraId="38BFB8B8" w14:textId="6469DE82" w:rsidR="00B80911" w:rsidRPr="00197362" w:rsidRDefault="002630C2" w:rsidP="00197362">
      <w:pPr>
        <w:spacing w:after="0" w:line="360" w:lineRule="auto"/>
        <w:jc w:val="both"/>
        <w:rPr>
          <w:rFonts w:ascii="Arial" w:hAnsi="Arial" w:cs="Arial"/>
          <w:sz w:val="24"/>
          <w:szCs w:val="24"/>
          <w:lang w:val="en-ZA"/>
        </w:rPr>
      </w:pPr>
      <w:r w:rsidRPr="00197362">
        <w:rPr>
          <w:rFonts w:ascii="Arial" w:hAnsi="Arial" w:cs="Arial"/>
          <w:sz w:val="24"/>
          <w:szCs w:val="24"/>
          <w:lang w:val="en-ZA"/>
        </w:rPr>
        <w:t>[</w:t>
      </w:r>
      <w:r w:rsidR="00B80911" w:rsidRPr="00197362">
        <w:rPr>
          <w:rFonts w:ascii="Arial" w:hAnsi="Arial" w:cs="Arial"/>
          <w:sz w:val="24"/>
          <w:szCs w:val="24"/>
          <w:lang w:val="en-ZA"/>
        </w:rPr>
        <w:t>20</w:t>
      </w:r>
      <w:r w:rsidRPr="00197362">
        <w:rPr>
          <w:rFonts w:ascii="Arial" w:hAnsi="Arial" w:cs="Arial"/>
          <w:sz w:val="24"/>
          <w:szCs w:val="24"/>
          <w:lang w:val="en-ZA"/>
        </w:rPr>
        <w:t xml:space="preserve">] </w:t>
      </w:r>
      <w:r w:rsidR="005D2568">
        <w:rPr>
          <w:rFonts w:ascii="Arial" w:hAnsi="Arial" w:cs="Arial"/>
          <w:sz w:val="24"/>
          <w:szCs w:val="24"/>
          <w:lang w:val="en-ZA"/>
        </w:rPr>
        <w:tab/>
      </w:r>
      <w:r w:rsidRPr="00197362">
        <w:rPr>
          <w:rFonts w:ascii="Arial" w:hAnsi="Arial" w:cs="Arial"/>
          <w:sz w:val="24"/>
          <w:szCs w:val="24"/>
          <w:lang w:val="en-ZA"/>
        </w:rPr>
        <w:t>The following order is granted:</w:t>
      </w:r>
    </w:p>
    <w:p w14:paraId="20654B63" w14:textId="5EB813D5" w:rsidR="002630C2" w:rsidRPr="009F7CC4" w:rsidRDefault="009F7CC4" w:rsidP="009F7CC4">
      <w:pPr>
        <w:spacing w:after="0" w:line="360" w:lineRule="auto"/>
        <w:jc w:val="both"/>
        <w:rPr>
          <w:rFonts w:ascii="Arial" w:hAnsi="Arial" w:cs="Arial"/>
          <w:sz w:val="24"/>
          <w:szCs w:val="24"/>
          <w:lang w:val="en-ZA"/>
        </w:rPr>
      </w:pPr>
      <w:r>
        <w:rPr>
          <w:rFonts w:ascii="Arial" w:hAnsi="Arial" w:cs="Arial"/>
          <w:sz w:val="24"/>
          <w:szCs w:val="24"/>
          <w:lang w:val="en-ZA"/>
        </w:rPr>
        <w:t>1.</w:t>
      </w:r>
      <w:r>
        <w:rPr>
          <w:rFonts w:ascii="Arial" w:hAnsi="Arial" w:cs="Arial"/>
          <w:sz w:val="24"/>
          <w:szCs w:val="24"/>
          <w:lang w:val="en-ZA"/>
        </w:rPr>
        <w:tab/>
      </w:r>
      <w:r w:rsidR="002630C2" w:rsidRPr="009F7CC4">
        <w:rPr>
          <w:rFonts w:ascii="Arial" w:hAnsi="Arial" w:cs="Arial"/>
          <w:sz w:val="24"/>
          <w:szCs w:val="24"/>
          <w:lang w:val="en-ZA"/>
        </w:rPr>
        <w:t>Summary judgment is granted in favour of the plaintiff against the defendant</w:t>
      </w:r>
      <w:r w:rsidRPr="009F7CC4">
        <w:rPr>
          <w:rFonts w:ascii="Arial" w:hAnsi="Arial" w:cs="Arial"/>
          <w:sz w:val="24"/>
          <w:szCs w:val="24"/>
          <w:lang w:val="en-ZA"/>
        </w:rPr>
        <w:t xml:space="preserve"> as follows:</w:t>
      </w:r>
    </w:p>
    <w:p w14:paraId="4189C143" w14:textId="28F009A7" w:rsidR="002630C2" w:rsidRPr="009F7CC4" w:rsidRDefault="009F7CC4" w:rsidP="00FD0D31">
      <w:pPr>
        <w:spacing w:after="0" w:line="360" w:lineRule="auto"/>
        <w:ind w:left="720"/>
        <w:jc w:val="both"/>
        <w:rPr>
          <w:rFonts w:ascii="Arial" w:hAnsi="Arial" w:cs="Arial"/>
          <w:sz w:val="24"/>
          <w:szCs w:val="24"/>
          <w:lang w:val="en-ZA"/>
        </w:rPr>
      </w:pPr>
      <w:r>
        <w:rPr>
          <w:rFonts w:ascii="Arial" w:hAnsi="Arial" w:cs="Arial"/>
          <w:sz w:val="24"/>
          <w:szCs w:val="24"/>
          <w:lang w:val="en-ZA"/>
        </w:rPr>
        <w:t>1.1.</w:t>
      </w:r>
      <w:r>
        <w:rPr>
          <w:rFonts w:ascii="Arial" w:hAnsi="Arial" w:cs="Arial"/>
          <w:sz w:val="24"/>
          <w:szCs w:val="24"/>
          <w:lang w:val="en-ZA"/>
        </w:rPr>
        <w:tab/>
      </w:r>
      <w:r w:rsidR="002630C2" w:rsidRPr="009F7CC4">
        <w:rPr>
          <w:rFonts w:ascii="Arial" w:hAnsi="Arial" w:cs="Arial"/>
          <w:sz w:val="24"/>
          <w:szCs w:val="24"/>
          <w:lang w:val="en-ZA"/>
        </w:rPr>
        <w:t xml:space="preserve">The plaintiff’s cancelation of the agreement </w:t>
      </w:r>
      <w:r w:rsidR="007D180C" w:rsidRPr="009F7CC4">
        <w:rPr>
          <w:rFonts w:ascii="Arial" w:hAnsi="Arial" w:cs="Arial"/>
          <w:sz w:val="24"/>
          <w:szCs w:val="24"/>
          <w:lang w:val="en-ZA"/>
        </w:rPr>
        <w:t>relating</w:t>
      </w:r>
      <w:r w:rsidR="002630C2" w:rsidRPr="009F7CC4">
        <w:rPr>
          <w:rFonts w:ascii="Arial" w:hAnsi="Arial" w:cs="Arial"/>
          <w:sz w:val="24"/>
          <w:szCs w:val="24"/>
          <w:lang w:val="en-ZA"/>
        </w:rPr>
        <w:t xml:space="preserve"> to the vehicle described in paragraph </w:t>
      </w:r>
      <w:r>
        <w:rPr>
          <w:rFonts w:ascii="Arial" w:hAnsi="Arial" w:cs="Arial"/>
          <w:sz w:val="24"/>
          <w:szCs w:val="24"/>
          <w:lang w:val="en-ZA"/>
        </w:rPr>
        <w:t>1.</w:t>
      </w:r>
      <w:r w:rsidR="002630C2" w:rsidRPr="009F7CC4">
        <w:rPr>
          <w:rFonts w:ascii="Arial" w:hAnsi="Arial" w:cs="Arial"/>
          <w:sz w:val="24"/>
          <w:szCs w:val="24"/>
          <w:lang w:val="en-ZA"/>
        </w:rPr>
        <w:t xml:space="preserve">2 of </w:t>
      </w:r>
      <w:r>
        <w:rPr>
          <w:rFonts w:ascii="Arial" w:hAnsi="Arial" w:cs="Arial"/>
          <w:sz w:val="24"/>
          <w:szCs w:val="24"/>
          <w:lang w:val="en-ZA"/>
        </w:rPr>
        <w:t xml:space="preserve">this </w:t>
      </w:r>
      <w:r w:rsidR="002630C2" w:rsidRPr="009F7CC4">
        <w:rPr>
          <w:rFonts w:ascii="Arial" w:hAnsi="Arial" w:cs="Arial"/>
          <w:sz w:val="24"/>
          <w:szCs w:val="24"/>
          <w:lang w:val="en-ZA"/>
        </w:rPr>
        <w:t>order is confirmed</w:t>
      </w:r>
      <w:r>
        <w:rPr>
          <w:rFonts w:ascii="Arial" w:hAnsi="Arial" w:cs="Arial"/>
          <w:sz w:val="24"/>
          <w:szCs w:val="24"/>
          <w:lang w:val="en-ZA"/>
        </w:rPr>
        <w:t>.</w:t>
      </w:r>
    </w:p>
    <w:p w14:paraId="358C6496" w14:textId="53E2F24A" w:rsidR="002630C2" w:rsidRPr="009F7CC4" w:rsidRDefault="009F7CC4" w:rsidP="00FD0D31">
      <w:pPr>
        <w:spacing w:after="0" w:line="360" w:lineRule="auto"/>
        <w:ind w:left="720"/>
        <w:jc w:val="both"/>
        <w:rPr>
          <w:rFonts w:ascii="Arial" w:hAnsi="Arial" w:cs="Arial"/>
          <w:sz w:val="24"/>
          <w:szCs w:val="24"/>
          <w:lang w:val="en-ZA"/>
        </w:rPr>
      </w:pPr>
      <w:r>
        <w:rPr>
          <w:rFonts w:ascii="Arial" w:hAnsi="Arial" w:cs="Arial"/>
          <w:sz w:val="24"/>
          <w:szCs w:val="24"/>
          <w:lang w:val="en-ZA"/>
        </w:rPr>
        <w:t>1.2.</w:t>
      </w:r>
      <w:r>
        <w:rPr>
          <w:rFonts w:ascii="Arial" w:hAnsi="Arial" w:cs="Arial"/>
          <w:sz w:val="24"/>
          <w:szCs w:val="24"/>
          <w:lang w:val="en-ZA"/>
        </w:rPr>
        <w:tab/>
      </w:r>
      <w:r w:rsidR="002630C2" w:rsidRPr="009F7CC4">
        <w:rPr>
          <w:rFonts w:ascii="Arial" w:hAnsi="Arial" w:cs="Arial"/>
          <w:sz w:val="24"/>
          <w:szCs w:val="24"/>
          <w:lang w:val="en-ZA"/>
        </w:rPr>
        <w:t xml:space="preserve">The defendant is ordered to return the vehicle described as </w:t>
      </w:r>
      <w:r>
        <w:rPr>
          <w:rFonts w:ascii="Arial" w:hAnsi="Arial" w:cs="Arial"/>
          <w:sz w:val="24"/>
          <w:szCs w:val="24"/>
          <w:lang w:val="en-ZA"/>
        </w:rPr>
        <w:t xml:space="preserve">a </w:t>
      </w:r>
      <w:r w:rsidR="002630C2" w:rsidRPr="009F7CC4">
        <w:rPr>
          <w:rFonts w:ascii="Arial" w:hAnsi="Arial" w:cs="Arial"/>
          <w:sz w:val="24"/>
          <w:szCs w:val="24"/>
          <w:lang w:val="en-ZA"/>
        </w:rPr>
        <w:t>2014 Land Rover Discovery 4 3.0 TD/SD V6 SE</w:t>
      </w:r>
      <w:r>
        <w:rPr>
          <w:rFonts w:ascii="Arial" w:hAnsi="Arial" w:cs="Arial"/>
          <w:sz w:val="24"/>
          <w:szCs w:val="24"/>
          <w:lang w:val="en-ZA"/>
        </w:rPr>
        <w:t>, with</w:t>
      </w:r>
      <w:r w:rsidR="007D180C" w:rsidRPr="009F7CC4">
        <w:rPr>
          <w:rFonts w:ascii="Arial" w:hAnsi="Arial" w:cs="Arial"/>
          <w:sz w:val="24"/>
          <w:szCs w:val="24"/>
          <w:lang w:val="en-ZA"/>
        </w:rPr>
        <w:t xml:space="preserve"> </w:t>
      </w:r>
      <w:r>
        <w:rPr>
          <w:rFonts w:ascii="Arial" w:hAnsi="Arial" w:cs="Arial"/>
          <w:sz w:val="24"/>
          <w:szCs w:val="24"/>
          <w:lang w:val="en-ZA"/>
        </w:rPr>
        <w:t>e</w:t>
      </w:r>
      <w:r w:rsidR="002630C2" w:rsidRPr="009F7CC4">
        <w:rPr>
          <w:rFonts w:ascii="Arial" w:hAnsi="Arial" w:cs="Arial"/>
          <w:sz w:val="24"/>
          <w:szCs w:val="24"/>
          <w:lang w:val="en-ZA"/>
        </w:rPr>
        <w:t>ngine number 0768062306DT</w:t>
      </w:r>
      <w:r>
        <w:rPr>
          <w:rFonts w:ascii="Arial" w:hAnsi="Arial" w:cs="Arial"/>
          <w:sz w:val="24"/>
          <w:szCs w:val="24"/>
          <w:lang w:val="en-ZA"/>
        </w:rPr>
        <w:t>,</w:t>
      </w:r>
      <w:r w:rsidR="002630C2" w:rsidRPr="009F7CC4">
        <w:rPr>
          <w:rFonts w:ascii="Arial" w:hAnsi="Arial" w:cs="Arial"/>
          <w:sz w:val="24"/>
          <w:szCs w:val="24"/>
          <w:lang w:val="en-ZA"/>
        </w:rPr>
        <w:t xml:space="preserve"> </w:t>
      </w:r>
      <w:r>
        <w:rPr>
          <w:rFonts w:ascii="Arial" w:hAnsi="Arial" w:cs="Arial"/>
          <w:sz w:val="24"/>
          <w:szCs w:val="24"/>
          <w:lang w:val="en-ZA"/>
        </w:rPr>
        <w:t xml:space="preserve">and </w:t>
      </w:r>
      <w:r w:rsidR="002630C2" w:rsidRPr="009F7CC4">
        <w:rPr>
          <w:rFonts w:ascii="Arial" w:hAnsi="Arial" w:cs="Arial"/>
          <w:sz w:val="24"/>
          <w:szCs w:val="24"/>
          <w:lang w:val="en-ZA"/>
        </w:rPr>
        <w:t>with chassis number SALLAAAFSDA689308</w:t>
      </w:r>
      <w:r>
        <w:rPr>
          <w:rFonts w:ascii="Arial" w:hAnsi="Arial" w:cs="Arial"/>
          <w:sz w:val="24"/>
          <w:szCs w:val="24"/>
          <w:lang w:val="en-ZA"/>
        </w:rPr>
        <w:t>,</w:t>
      </w:r>
      <w:r w:rsidR="00197362" w:rsidRPr="009F7CC4">
        <w:rPr>
          <w:rFonts w:ascii="Arial" w:hAnsi="Arial" w:cs="Arial"/>
          <w:sz w:val="24"/>
          <w:szCs w:val="24"/>
          <w:lang w:val="en-ZA"/>
        </w:rPr>
        <w:t xml:space="preserve"> </w:t>
      </w:r>
      <w:r w:rsidR="002630C2" w:rsidRPr="009F7CC4">
        <w:rPr>
          <w:rFonts w:ascii="Arial" w:hAnsi="Arial" w:cs="Arial"/>
          <w:sz w:val="24"/>
          <w:szCs w:val="24"/>
          <w:lang w:val="en-ZA"/>
        </w:rPr>
        <w:t>to the plaintiff</w:t>
      </w:r>
    </w:p>
    <w:p w14:paraId="5FD226A0" w14:textId="043A7320" w:rsidR="002630C2" w:rsidRPr="009F7CC4" w:rsidRDefault="009F7CC4" w:rsidP="00FD0D31">
      <w:pPr>
        <w:spacing w:after="0" w:line="360" w:lineRule="auto"/>
        <w:ind w:firstLine="720"/>
        <w:jc w:val="both"/>
        <w:rPr>
          <w:rFonts w:ascii="Arial" w:hAnsi="Arial" w:cs="Arial"/>
          <w:sz w:val="24"/>
          <w:szCs w:val="24"/>
          <w:lang w:val="en-ZA"/>
        </w:rPr>
      </w:pPr>
      <w:r>
        <w:rPr>
          <w:rFonts w:ascii="Arial" w:hAnsi="Arial" w:cs="Arial"/>
          <w:sz w:val="24"/>
          <w:szCs w:val="24"/>
          <w:lang w:val="en-ZA"/>
        </w:rPr>
        <w:t>1.3</w:t>
      </w:r>
      <w:r>
        <w:rPr>
          <w:rFonts w:ascii="Arial" w:hAnsi="Arial" w:cs="Arial"/>
          <w:sz w:val="24"/>
          <w:szCs w:val="24"/>
          <w:lang w:val="en-ZA"/>
        </w:rPr>
        <w:tab/>
      </w:r>
      <w:r w:rsidR="002630C2" w:rsidRPr="009F7CC4">
        <w:rPr>
          <w:rFonts w:ascii="Arial" w:hAnsi="Arial" w:cs="Arial"/>
          <w:sz w:val="24"/>
          <w:szCs w:val="24"/>
          <w:lang w:val="en-ZA"/>
        </w:rPr>
        <w:t>The defendant is directed to pay the costs of suit</w:t>
      </w:r>
    </w:p>
    <w:p w14:paraId="18FA6ED8" w14:textId="39297A4D" w:rsidR="002630C2" w:rsidRPr="009F7CC4" w:rsidRDefault="009F7CC4" w:rsidP="009F7CC4">
      <w:pPr>
        <w:spacing w:after="0" w:line="360" w:lineRule="auto"/>
        <w:jc w:val="both"/>
        <w:rPr>
          <w:rFonts w:ascii="Arial" w:hAnsi="Arial" w:cs="Arial"/>
          <w:sz w:val="24"/>
          <w:szCs w:val="24"/>
          <w:lang w:val="en-ZA"/>
        </w:rPr>
      </w:pPr>
      <w:r>
        <w:rPr>
          <w:rFonts w:ascii="Arial" w:hAnsi="Arial" w:cs="Arial"/>
          <w:sz w:val="24"/>
          <w:szCs w:val="24"/>
          <w:lang w:val="en-ZA"/>
        </w:rPr>
        <w:t>2.</w:t>
      </w:r>
      <w:r>
        <w:rPr>
          <w:rFonts w:ascii="Arial" w:hAnsi="Arial" w:cs="Arial"/>
          <w:sz w:val="24"/>
          <w:szCs w:val="24"/>
          <w:lang w:val="en-ZA"/>
        </w:rPr>
        <w:tab/>
      </w:r>
      <w:r w:rsidR="002630C2" w:rsidRPr="009F7CC4">
        <w:rPr>
          <w:rFonts w:ascii="Arial" w:hAnsi="Arial" w:cs="Arial"/>
          <w:sz w:val="24"/>
          <w:szCs w:val="24"/>
          <w:lang w:val="en-ZA"/>
        </w:rPr>
        <w:t>The plaintiff is granted leave to apply to this court on the same papers, duly supplemented, in so</w:t>
      </w:r>
      <w:r w:rsidR="00291941" w:rsidRPr="009F7CC4">
        <w:rPr>
          <w:rFonts w:ascii="Arial" w:hAnsi="Arial" w:cs="Arial"/>
          <w:sz w:val="24"/>
          <w:szCs w:val="24"/>
          <w:lang w:val="en-ZA"/>
        </w:rPr>
        <w:t xml:space="preserve"> </w:t>
      </w:r>
      <w:r w:rsidR="002630C2" w:rsidRPr="009F7CC4">
        <w:rPr>
          <w:rFonts w:ascii="Arial" w:hAnsi="Arial" w:cs="Arial"/>
          <w:sz w:val="24"/>
          <w:szCs w:val="24"/>
          <w:lang w:val="en-ZA"/>
        </w:rPr>
        <w:t>far as it may be necessary, for an order for any damages which it is entitled to, which will be quantified once the vehicle has been located and sold</w:t>
      </w:r>
    </w:p>
    <w:p w14:paraId="092192F5" w14:textId="0E2AC78D" w:rsidR="002630C2" w:rsidRPr="009F7CC4" w:rsidRDefault="009F7CC4" w:rsidP="009F7CC4">
      <w:pPr>
        <w:spacing w:after="0" w:line="360" w:lineRule="auto"/>
        <w:jc w:val="both"/>
        <w:rPr>
          <w:rFonts w:ascii="Arial" w:hAnsi="Arial" w:cs="Arial"/>
          <w:sz w:val="24"/>
          <w:szCs w:val="24"/>
          <w:lang w:val="en-ZA"/>
        </w:rPr>
      </w:pPr>
      <w:r>
        <w:rPr>
          <w:rFonts w:ascii="Arial" w:hAnsi="Arial" w:cs="Arial"/>
          <w:sz w:val="24"/>
          <w:szCs w:val="24"/>
          <w:lang w:val="en-ZA"/>
        </w:rPr>
        <w:lastRenderedPageBreak/>
        <w:t>3.</w:t>
      </w:r>
      <w:r>
        <w:rPr>
          <w:rFonts w:ascii="Arial" w:hAnsi="Arial" w:cs="Arial"/>
          <w:sz w:val="24"/>
          <w:szCs w:val="24"/>
          <w:lang w:val="en-ZA"/>
        </w:rPr>
        <w:tab/>
      </w:r>
      <w:r w:rsidR="002630C2" w:rsidRPr="009F7CC4">
        <w:rPr>
          <w:rFonts w:ascii="Arial" w:hAnsi="Arial" w:cs="Arial"/>
          <w:sz w:val="24"/>
          <w:szCs w:val="24"/>
          <w:lang w:val="en-ZA"/>
        </w:rPr>
        <w:t>The plaintiff shall allege and prove</w:t>
      </w:r>
      <w:r w:rsidR="00A07709" w:rsidRPr="009F7CC4">
        <w:rPr>
          <w:rFonts w:ascii="Arial" w:hAnsi="Arial" w:cs="Arial"/>
          <w:sz w:val="24"/>
          <w:szCs w:val="24"/>
          <w:lang w:val="en-ZA"/>
        </w:rPr>
        <w:t>, in its action for any outstanding damages, that</w:t>
      </w:r>
      <w:r w:rsidR="00197362" w:rsidRPr="009F7CC4">
        <w:rPr>
          <w:rFonts w:ascii="Arial" w:hAnsi="Arial" w:cs="Arial"/>
          <w:sz w:val="24"/>
          <w:szCs w:val="24"/>
          <w:lang w:val="en-ZA"/>
        </w:rPr>
        <w:t xml:space="preserve"> </w:t>
      </w:r>
      <w:r w:rsidR="00A07709" w:rsidRPr="009F7CC4">
        <w:rPr>
          <w:rFonts w:ascii="Arial" w:hAnsi="Arial" w:cs="Arial"/>
          <w:sz w:val="24"/>
          <w:szCs w:val="24"/>
          <w:lang w:val="en-ZA"/>
        </w:rPr>
        <w:t xml:space="preserve">it has complied with the requirements set out in para 20.3 of the substituted order granted in </w:t>
      </w:r>
      <w:r w:rsidR="00C95851" w:rsidRPr="009F7CC4">
        <w:rPr>
          <w:rFonts w:ascii="Arial" w:hAnsi="Arial" w:cs="Arial"/>
          <w:i/>
          <w:sz w:val="24"/>
          <w:szCs w:val="24"/>
          <w:lang w:val="en-ZA"/>
        </w:rPr>
        <w:t>FirstRand Bank Limited t/a Wesbank v Davel</w:t>
      </w:r>
      <w:r w:rsidR="00C95851" w:rsidRPr="009F7CC4">
        <w:rPr>
          <w:rFonts w:ascii="Arial" w:hAnsi="Arial" w:cs="Arial"/>
          <w:sz w:val="24"/>
          <w:szCs w:val="24"/>
          <w:lang w:val="en-ZA"/>
        </w:rPr>
        <w:t xml:space="preserve"> [2019] ZASCA 168</w:t>
      </w:r>
      <w:r w:rsidR="00A07709" w:rsidRPr="009F7CC4">
        <w:rPr>
          <w:rFonts w:ascii="Arial" w:hAnsi="Arial" w:cs="Arial"/>
          <w:sz w:val="24"/>
          <w:szCs w:val="24"/>
          <w:lang w:val="en-ZA"/>
        </w:rPr>
        <w:t>.</w:t>
      </w:r>
    </w:p>
    <w:p w14:paraId="34850C3D" w14:textId="77777777" w:rsidR="00291941" w:rsidRPr="00197362" w:rsidRDefault="00291941" w:rsidP="00197362">
      <w:pPr>
        <w:pStyle w:val="ListParagraph"/>
        <w:spacing w:after="0" w:line="360" w:lineRule="auto"/>
        <w:jc w:val="both"/>
        <w:rPr>
          <w:rFonts w:ascii="Arial" w:hAnsi="Arial" w:cs="Arial"/>
          <w:sz w:val="24"/>
          <w:szCs w:val="24"/>
          <w:lang w:val="en-ZA"/>
        </w:rPr>
      </w:pPr>
    </w:p>
    <w:p w14:paraId="1D47A3BF" w14:textId="0A850852" w:rsidR="00291941" w:rsidRDefault="00291941" w:rsidP="00197362">
      <w:pPr>
        <w:pStyle w:val="ListParagraph"/>
        <w:spacing w:after="0" w:line="360" w:lineRule="auto"/>
        <w:jc w:val="both"/>
        <w:rPr>
          <w:rFonts w:ascii="Arial" w:hAnsi="Arial" w:cs="Arial"/>
          <w:sz w:val="24"/>
          <w:szCs w:val="24"/>
          <w:lang w:val="en-ZA"/>
        </w:rPr>
      </w:pPr>
    </w:p>
    <w:p w14:paraId="2C9CD84E" w14:textId="77777777" w:rsidR="00FD0D31" w:rsidRPr="00197362" w:rsidRDefault="00FD0D31" w:rsidP="00197362">
      <w:pPr>
        <w:pStyle w:val="ListParagraph"/>
        <w:spacing w:after="0" w:line="360" w:lineRule="auto"/>
        <w:jc w:val="both"/>
        <w:rPr>
          <w:rFonts w:ascii="Arial" w:hAnsi="Arial" w:cs="Arial"/>
          <w:sz w:val="24"/>
          <w:szCs w:val="24"/>
          <w:lang w:val="en-ZA"/>
        </w:rPr>
      </w:pPr>
    </w:p>
    <w:p w14:paraId="4332F8F8" w14:textId="77777777" w:rsidR="00291941" w:rsidRPr="00197362" w:rsidRDefault="00291941" w:rsidP="00197362">
      <w:pPr>
        <w:spacing w:after="0" w:line="360" w:lineRule="auto"/>
        <w:jc w:val="right"/>
        <w:rPr>
          <w:rFonts w:ascii="Arial" w:hAnsi="Arial" w:cs="Arial"/>
          <w:b/>
          <w:sz w:val="24"/>
          <w:szCs w:val="24"/>
        </w:rPr>
      </w:pPr>
      <w:bookmarkStart w:id="1" w:name="_Hlk133482594"/>
      <w:r w:rsidRPr="00197362">
        <w:rPr>
          <w:rFonts w:ascii="Arial" w:hAnsi="Arial" w:cs="Arial"/>
          <w:b/>
          <w:sz w:val="24"/>
          <w:szCs w:val="24"/>
        </w:rPr>
        <w:t>_______________</w:t>
      </w:r>
    </w:p>
    <w:p w14:paraId="1586169E" w14:textId="77777777" w:rsidR="00291941" w:rsidRPr="00197362" w:rsidRDefault="00291941" w:rsidP="00197362">
      <w:pPr>
        <w:spacing w:after="0" w:line="360" w:lineRule="auto"/>
        <w:jc w:val="right"/>
        <w:rPr>
          <w:rFonts w:ascii="Arial" w:hAnsi="Arial" w:cs="Arial"/>
          <w:b/>
          <w:sz w:val="24"/>
          <w:szCs w:val="24"/>
        </w:rPr>
      </w:pPr>
      <w:r w:rsidRPr="00197362">
        <w:rPr>
          <w:rFonts w:ascii="Arial" w:hAnsi="Arial" w:cs="Arial"/>
          <w:b/>
          <w:sz w:val="24"/>
          <w:szCs w:val="24"/>
        </w:rPr>
        <w:t>MATHENJWA AJ</w:t>
      </w:r>
    </w:p>
    <w:p w14:paraId="541E5AAD" w14:textId="77777777" w:rsidR="00291941" w:rsidRPr="00197362" w:rsidRDefault="00291941" w:rsidP="00197362">
      <w:pPr>
        <w:spacing w:after="0" w:line="360" w:lineRule="auto"/>
        <w:jc w:val="both"/>
        <w:rPr>
          <w:rFonts w:ascii="Arial" w:hAnsi="Arial" w:cs="Arial"/>
          <w:sz w:val="24"/>
          <w:szCs w:val="24"/>
        </w:rPr>
      </w:pPr>
    </w:p>
    <w:p w14:paraId="2B89904A" w14:textId="77777777" w:rsidR="00291941" w:rsidRPr="00197362" w:rsidRDefault="00291941" w:rsidP="00197362">
      <w:pPr>
        <w:spacing w:after="0" w:line="360" w:lineRule="auto"/>
        <w:jc w:val="both"/>
        <w:rPr>
          <w:rFonts w:ascii="Arial" w:hAnsi="Arial" w:cs="Arial"/>
          <w:sz w:val="24"/>
          <w:szCs w:val="24"/>
        </w:rPr>
      </w:pPr>
    </w:p>
    <w:p w14:paraId="734C764A" w14:textId="29FBA36C" w:rsidR="00291941" w:rsidRPr="00197362" w:rsidRDefault="00291941" w:rsidP="00197362">
      <w:pPr>
        <w:spacing w:after="0" w:line="360" w:lineRule="auto"/>
        <w:ind w:right="-153"/>
        <w:contextualSpacing/>
        <w:rPr>
          <w:rFonts w:ascii="Arial" w:hAnsi="Arial" w:cs="Arial"/>
          <w:sz w:val="24"/>
          <w:szCs w:val="24"/>
        </w:rPr>
      </w:pPr>
      <w:r w:rsidRPr="00197362">
        <w:rPr>
          <w:rFonts w:ascii="Arial" w:hAnsi="Arial" w:cs="Arial"/>
          <w:sz w:val="24"/>
          <w:szCs w:val="24"/>
        </w:rPr>
        <w:t xml:space="preserve">Date of hearing: </w:t>
      </w:r>
      <w:r w:rsidR="007D180C" w:rsidRPr="00197362">
        <w:rPr>
          <w:rFonts w:ascii="Arial" w:hAnsi="Arial" w:cs="Arial"/>
          <w:sz w:val="24"/>
          <w:szCs w:val="24"/>
        </w:rPr>
        <w:tab/>
      </w:r>
      <w:r w:rsidR="00FD0D31">
        <w:rPr>
          <w:rFonts w:ascii="Arial" w:hAnsi="Arial" w:cs="Arial"/>
          <w:sz w:val="24"/>
          <w:szCs w:val="24"/>
        </w:rPr>
        <w:tab/>
      </w:r>
      <w:r w:rsidR="00D217D3" w:rsidRPr="00197362">
        <w:rPr>
          <w:rFonts w:ascii="Arial" w:hAnsi="Arial" w:cs="Arial"/>
          <w:sz w:val="24"/>
          <w:szCs w:val="24"/>
        </w:rPr>
        <w:t>18</w:t>
      </w:r>
      <w:r w:rsidR="007D180C" w:rsidRPr="00197362">
        <w:rPr>
          <w:rFonts w:ascii="Arial" w:hAnsi="Arial" w:cs="Arial"/>
          <w:sz w:val="24"/>
          <w:szCs w:val="24"/>
        </w:rPr>
        <w:t xml:space="preserve"> April 2023</w:t>
      </w:r>
      <w:r w:rsidRPr="00197362">
        <w:rPr>
          <w:rFonts w:ascii="Arial" w:hAnsi="Arial" w:cs="Arial"/>
          <w:sz w:val="24"/>
          <w:szCs w:val="24"/>
        </w:rPr>
        <w:tab/>
      </w:r>
      <w:r w:rsidRPr="00197362">
        <w:rPr>
          <w:rFonts w:ascii="Arial" w:hAnsi="Arial" w:cs="Arial"/>
          <w:sz w:val="24"/>
          <w:szCs w:val="24"/>
        </w:rPr>
        <w:tab/>
      </w:r>
      <w:r w:rsidRPr="00197362">
        <w:rPr>
          <w:rFonts w:ascii="Arial" w:hAnsi="Arial" w:cs="Arial"/>
          <w:sz w:val="24"/>
          <w:szCs w:val="24"/>
        </w:rPr>
        <w:tab/>
      </w:r>
    </w:p>
    <w:p w14:paraId="5762FA07" w14:textId="5713578C" w:rsidR="00291941" w:rsidRPr="00197362" w:rsidRDefault="00291941" w:rsidP="00197362">
      <w:pPr>
        <w:spacing w:after="0" w:line="360" w:lineRule="auto"/>
        <w:ind w:right="-153"/>
        <w:contextualSpacing/>
        <w:rPr>
          <w:rFonts w:ascii="Arial" w:hAnsi="Arial" w:cs="Arial"/>
          <w:sz w:val="24"/>
          <w:szCs w:val="24"/>
        </w:rPr>
      </w:pPr>
      <w:r w:rsidRPr="00197362">
        <w:rPr>
          <w:rFonts w:ascii="Arial" w:hAnsi="Arial" w:cs="Arial"/>
          <w:sz w:val="24"/>
          <w:szCs w:val="24"/>
        </w:rPr>
        <w:t>Date of judgment:</w:t>
      </w:r>
      <w:r w:rsidRPr="00197362">
        <w:rPr>
          <w:rFonts w:ascii="Arial" w:hAnsi="Arial" w:cs="Arial"/>
          <w:sz w:val="24"/>
          <w:szCs w:val="24"/>
        </w:rPr>
        <w:tab/>
      </w:r>
      <w:r w:rsidR="00FD0D31">
        <w:rPr>
          <w:rFonts w:ascii="Arial" w:hAnsi="Arial" w:cs="Arial"/>
          <w:sz w:val="24"/>
          <w:szCs w:val="24"/>
        </w:rPr>
        <w:tab/>
      </w:r>
      <w:r w:rsidR="00DB132C">
        <w:rPr>
          <w:rFonts w:ascii="Arial" w:hAnsi="Arial" w:cs="Arial"/>
          <w:sz w:val="24"/>
          <w:szCs w:val="24"/>
        </w:rPr>
        <w:t>2</w:t>
      </w:r>
      <w:r w:rsidR="00547F0F">
        <w:rPr>
          <w:rFonts w:ascii="Arial" w:hAnsi="Arial" w:cs="Arial"/>
          <w:sz w:val="24"/>
          <w:szCs w:val="24"/>
        </w:rPr>
        <w:t>4</w:t>
      </w:r>
      <w:r w:rsidR="00DB132C">
        <w:rPr>
          <w:rFonts w:ascii="Arial" w:hAnsi="Arial" w:cs="Arial"/>
          <w:sz w:val="24"/>
          <w:szCs w:val="24"/>
        </w:rPr>
        <w:t xml:space="preserve"> May 2023</w:t>
      </w:r>
      <w:r w:rsidRPr="00197362">
        <w:rPr>
          <w:rFonts w:ascii="Arial" w:hAnsi="Arial" w:cs="Arial"/>
          <w:sz w:val="24"/>
          <w:szCs w:val="24"/>
        </w:rPr>
        <w:tab/>
      </w:r>
      <w:r w:rsidRPr="00197362">
        <w:rPr>
          <w:rFonts w:ascii="Arial" w:hAnsi="Arial" w:cs="Arial"/>
          <w:sz w:val="24"/>
          <w:szCs w:val="24"/>
        </w:rPr>
        <w:tab/>
      </w:r>
    </w:p>
    <w:p w14:paraId="0B1ED635" w14:textId="77777777" w:rsidR="00291941" w:rsidRPr="00197362" w:rsidRDefault="00291941" w:rsidP="00197362">
      <w:pPr>
        <w:spacing w:after="0" w:line="360" w:lineRule="auto"/>
        <w:ind w:right="-153"/>
        <w:contextualSpacing/>
        <w:rPr>
          <w:rFonts w:ascii="Arial" w:hAnsi="Arial" w:cs="Arial"/>
          <w:sz w:val="24"/>
          <w:szCs w:val="24"/>
        </w:rPr>
      </w:pPr>
    </w:p>
    <w:p w14:paraId="390C65CD" w14:textId="77777777" w:rsidR="00291941" w:rsidRPr="00197362" w:rsidRDefault="00291941" w:rsidP="00197362">
      <w:pPr>
        <w:spacing w:after="0" w:line="360" w:lineRule="auto"/>
        <w:jc w:val="both"/>
        <w:rPr>
          <w:rFonts w:ascii="Arial" w:hAnsi="Arial" w:cs="Arial"/>
          <w:b/>
          <w:bCs/>
          <w:sz w:val="24"/>
          <w:szCs w:val="24"/>
          <w:lang w:eastAsia="en-GB"/>
        </w:rPr>
      </w:pPr>
      <w:r w:rsidRPr="00197362">
        <w:rPr>
          <w:rFonts w:ascii="Arial" w:hAnsi="Arial" w:cs="Arial"/>
          <w:b/>
          <w:bCs/>
          <w:sz w:val="24"/>
          <w:szCs w:val="24"/>
          <w:lang w:eastAsia="en-GB"/>
        </w:rPr>
        <w:t>Appearances:</w:t>
      </w:r>
    </w:p>
    <w:p w14:paraId="3F3E1637" w14:textId="58C64F5B" w:rsidR="00291941" w:rsidRPr="00197362" w:rsidRDefault="00D217D3" w:rsidP="00197362">
      <w:pPr>
        <w:spacing w:after="0" w:line="360" w:lineRule="auto"/>
        <w:jc w:val="both"/>
        <w:rPr>
          <w:rFonts w:ascii="Arial" w:hAnsi="Arial" w:cs="Arial"/>
          <w:sz w:val="24"/>
          <w:szCs w:val="24"/>
          <w:lang w:eastAsia="en-GB"/>
        </w:rPr>
      </w:pPr>
      <w:r w:rsidRPr="00197362">
        <w:rPr>
          <w:rFonts w:ascii="Arial" w:hAnsi="Arial" w:cs="Arial"/>
          <w:sz w:val="24"/>
          <w:szCs w:val="24"/>
          <w:lang w:eastAsia="en-GB"/>
        </w:rPr>
        <w:t>Plaintiff’</w:t>
      </w:r>
      <w:r w:rsidR="00291941" w:rsidRPr="00197362">
        <w:rPr>
          <w:rFonts w:ascii="Arial" w:hAnsi="Arial" w:cs="Arial"/>
          <w:sz w:val="24"/>
          <w:szCs w:val="24"/>
          <w:lang w:eastAsia="en-GB"/>
        </w:rPr>
        <w:t>s counsel:</w:t>
      </w:r>
      <w:r w:rsidR="00197362" w:rsidRPr="00197362">
        <w:rPr>
          <w:rFonts w:ascii="Arial" w:hAnsi="Arial" w:cs="Arial"/>
          <w:sz w:val="24"/>
          <w:szCs w:val="24"/>
          <w:lang w:eastAsia="en-GB"/>
        </w:rPr>
        <w:t xml:space="preserve"> </w:t>
      </w:r>
      <w:r w:rsidR="00FD0D31">
        <w:rPr>
          <w:rFonts w:ascii="Arial" w:hAnsi="Arial" w:cs="Arial"/>
          <w:sz w:val="24"/>
          <w:szCs w:val="24"/>
          <w:lang w:eastAsia="en-GB"/>
        </w:rPr>
        <w:tab/>
      </w:r>
      <w:r w:rsidR="00FD0D31">
        <w:rPr>
          <w:rFonts w:ascii="Arial" w:hAnsi="Arial" w:cs="Arial"/>
          <w:sz w:val="24"/>
          <w:szCs w:val="24"/>
          <w:lang w:eastAsia="en-GB"/>
        </w:rPr>
        <w:tab/>
      </w:r>
      <w:r w:rsidRPr="00197362">
        <w:rPr>
          <w:rFonts w:ascii="Arial" w:hAnsi="Arial" w:cs="Arial"/>
          <w:sz w:val="24"/>
          <w:szCs w:val="24"/>
          <w:lang w:eastAsia="en-GB"/>
        </w:rPr>
        <w:t>Adv J W Temlett</w:t>
      </w:r>
      <w:r w:rsidR="00291941" w:rsidRPr="00197362">
        <w:rPr>
          <w:rFonts w:ascii="Arial" w:hAnsi="Arial" w:cs="Arial"/>
          <w:sz w:val="24"/>
          <w:szCs w:val="24"/>
          <w:lang w:eastAsia="en-GB"/>
        </w:rPr>
        <w:tab/>
      </w:r>
      <w:r w:rsidR="00291941" w:rsidRPr="00197362">
        <w:rPr>
          <w:rFonts w:ascii="Arial" w:hAnsi="Arial" w:cs="Arial"/>
          <w:sz w:val="24"/>
          <w:szCs w:val="24"/>
          <w:lang w:eastAsia="en-GB"/>
        </w:rPr>
        <w:tab/>
        <w:t xml:space="preserve"> </w:t>
      </w:r>
      <w:r w:rsidR="00291941" w:rsidRPr="00197362">
        <w:rPr>
          <w:rFonts w:ascii="Arial" w:hAnsi="Arial" w:cs="Arial"/>
          <w:sz w:val="24"/>
          <w:szCs w:val="24"/>
          <w:lang w:eastAsia="en-GB"/>
        </w:rPr>
        <w:tab/>
      </w:r>
      <w:r w:rsidR="00291941" w:rsidRPr="00197362">
        <w:rPr>
          <w:rFonts w:ascii="Arial" w:hAnsi="Arial" w:cs="Arial"/>
          <w:sz w:val="24"/>
          <w:szCs w:val="24"/>
          <w:lang w:eastAsia="en-GB"/>
        </w:rPr>
        <w:tab/>
      </w:r>
    </w:p>
    <w:p w14:paraId="7C969050" w14:textId="5086616F" w:rsidR="00D217D3" w:rsidRPr="00197362" w:rsidRDefault="00291941" w:rsidP="00197362">
      <w:pPr>
        <w:spacing w:after="0" w:line="360" w:lineRule="auto"/>
        <w:jc w:val="both"/>
        <w:rPr>
          <w:rFonts w:ascii="Arial" w:hAnsi="Arial" w:cs="Arial"/>
          <w:sz w:val="24"/>
          <w:szCs w:val="24"/>
          <w:lang w:eastAsia="en-GB"/>
        </w:rPr>
      </w:pPr>
      <w:r w:rsidRPr="00197362">
        <w:rPr>
          <w:rFonts w:ascii="Arial" w:hAnsi="Arial" w:cs="Arial"/>
          <w:sz w:val="24"/>
          <w:szCs w:val="24"/>
          <w:lang w:eastAsia="en-GB"/>
        </w:rPr>
        <w:t xml:space="preserve">Instructed by: </w:t>
      </w:r>
      <w:r w:rsidRPr="00197362">
        <w:rPr>
          <w:rFonts w:ascii="Arial" w:hAnsi="Arial" w:cs="Arial"/>
          <w:sz w:val="24"/>
          <w:szCs w:val="24"/>
          <w:lang w:eastAsia="en-GB"/>
        </w:rPr>
        <w:tab/>
      </w:r>
      <w:r w:rsidR="00FD0D31">
        <w:rPr>
          <w:rFonts w:ascii="Arial" w:hAnsi="Arial" w:cs="Arial"/>
          <w:sz w:val="24"/>
          <w:szCs w:val="24"/>
          <w:lang w:eastAsia="en-GB"/>
        </w:rPr>
        <w:tab/>
      </w:r>
      <w:r w:rsidR="00D217D3" w:rsidRPr="00197362">
        <w:rPr>
          <w:rFonts w:ascii="Arial" w:hAnsi="Arial" w:cs="Arial"/>
          <w:sz w:val="24"/>
          <w:szCs w:val="24"/>
          <w:lang w:eastAsia="en-GB"/>
        </w:rPr>
        <w:t>Hainsworth Koopman Inc</w:t>
      </w:r>
    </w:p>
    <w:p w14:paraId="4BE71991" w14:textId="509A3116" w:rsidR="00291941" w:rsidRPr="00197362" w:rsidRDefault="00D217D3" w:rsidP="00197362">
      <w:pPr>
        <w:spacing w:after="0" w:line="360" w:lineRule="auto"/>
        <w:jc w:val="both"/>
        <w:rPr>
          <w:rFonts w:ascii="Arial" w:hAnsi="Arial" w:cs="Arial"/>
          <w:sz w:val="24"/>
          <w:szCs w:val="24"/>
          <w:lang w:eastAsia="en-GB"/>
        </w:rPr>
      </w:pPr>
      <w:r w:rsidRPr="00197362">
        <w:rPr>
          <w:rFonts w:ascii="Arial" w:hAnsi="Arial" w:cs="Arial"/>
          <w:sz w:val="24"/>
          <w:szCs w:val="24"/>
          <w:lang w:eastAsia="en-GB"/>
        </w:rPr>
        <w:tab/>
      </w:r>
      <w:r w:rsidRPr="00197362">
        <w:rPr>
          <w:rFonts w:ascii="Arial" w:hAnsi="Arial" w:cs="Arial"/>
          <w:sz w:val="24"/>
          <w:szCs w:val="24"/>
          <w:lang w:eastAsia="en-GB"/>
        </w:rPr>
        <w:tab/>
      </w:r>
      <w:r w:rsidR="00197362" w:rsidRPr="00197362">
        <w:rPr>
          <w:rFonts w:ascii="Arial" w:hAnsi="Arial" w:cs="Arial"/>
          <w:sz w:val="24"/>
          <w:szCs w:val="24"/>
          <w:lang w:eastAsia="en-GB"/>
        </w:rPr>
        <w:t xml:space="preserve"> </w:t>
      </w:r>
      <w:r w:rsidR="00DB132C">
        <w:rPr>
          <w:rFonts w:ascii="Arial" w:hAnsi="Arial" w:cs="Arial"/>
          <w:sz w:val="24"/>
          <w:szCs w:val="24"/>
          <w:lang w:eastAsia="en-GB"/>
        </w:rPr>
        <w:tab/>
      </w:r>
      <w:r w:rsidR="00FD0D31">
        <w:rPr>
          <w:rFonts w:ascii="Arial" w:hAnsi="Arial" w:cs="Arial"/>
          <w:sz w:val="24"/>
          <w:szCs w:val="24"/>
          <w:lang w:eastAsia="en-GB"/>
        </w:rPr>
        <w:tab/>
      </w:r>
      <w:r w:rsidRPr="00197362">
        <w:rPr>
          <w:rFonts w:ascii="Arial" w:hAnsi="Arial" w:cs="Arial"/>
          <w:sz w:val="24"/>
          <w:szCs w:val="24"/>
          <w:lang w:eastAsia="en-GB"/>
        </w:rPr>
        <w:t>Pietermaritzburg</w:t>
      </w:r>
      <w:r w:rsidR="00291941" w:rsidRPr="00197362">
        <w:rPr>
          <w:rFonts w:ascii="Arial" w:hAnsi="Arial" w:cs="Arial"/>
          <w:sz w:val="24"/>
          <w:szCs w:val="24"/>
          <w:lang w:eastAsia="en-GB"/>
        </w:rPr>
        <w:tab/>
      </w:r>
      <w:r w:rsidR="00291941" w:rsidRPr="00197362">
        <w:rPr>
          <w:rFonts w:ascii="Arial" w:hAnsi="Arial" w:cs="Arial"/>
          <w:sz w:val="24"/>
          <w:szCs w:val="24"/>
          <w:lang w:eastAsia="en-GB"/>
        </w:rPr>
        <w:tab/>
      </w:r>
    </w:p>
    <w:p w14:paraId="7BCCA47E" w14:textId="58D57D26" w:rsidR="00291941" w:rsidRPr="00197362" w:rsidRDefault="00291941" w:rsidP="00197362">
      <w:pPr>
        <w:spacing w:after="0" w:line="360" w:lineRule="auto"/>
        <w:jc w:val="both"/>
        <w:rPr>
          <w:rFonts w:ascii="Arial" w:hAnsi="Arial" w:cs="Arial"/>
          <w:sz w:val="24"/>
          <w:szCs w:val="24"/>
          <w:lang w:eastAsia="en-GB"/>
        </w:rPr>
      </w:pPr>
      <w:r w:rsidRPr="00197362">
        <w:rPr>
          <w:rFonts w:ascii="Arial" w:hAnsi="Arial" w:cs="Arial"/>
          <w:sz w:val="24"/>
          <w:szCs w:val="24"/>
          <w:lang w:eastAsia="en-GB"/>
        </w:rPr>
        <w:tab/>
      </w:r>
      <w:r w:rsidRPr="00197362">
        <w:rPr>
          <w:rFonts w:ascii="Arial" w:hAnsi="Arial" w:cs="Arial"/>
          <w:sz w:val="24"/>
          <w:szCs w:val="24"/>
          <w:lang w:eastAsia="en-GB"/>
        </w:rPr>
        <w:tab/>
      </w:r>
      <w:r w:rsidRPr="00197362">
        <w:rPr>
          <w:rFonts w:ascii="Arial" w:hAnsi="Arial" w:cs="Arial"/>
          <w:sz w:val="24"/>
          <w:szCs w:val="24"/>
          <w:lang w:eastAsia="en-GB"/>
        </w:rPr>
        <w:tab/>
      </w:r>
      <w:r w:rsidRPr="00197362">
        <w:rPr>
          <w:rFonts w:ascii="Arial" w:hAnsi="Arial" w:cs="Arial"/>
          <w:sz w:val="24"/>
          <w:szCs w:val="24"/>
          <w:lang w:eastAsia="en-GB"/>
        </w:rPr>
        <w:tab/>
      </w:r>
    </w:p>
    <w:p w14:paraId="74CF6749" w14:textId="77777777" w:rsidR="00291941" w:rsidRPr="00197362" w:rsidRDefault="00291941" w:rsidP="00197362">
      <w:pPr>
        <w:spacing w:after="0" w:line="360" w:lineRule="auto"/>
        <w:jc w:val="both"/>
        <w:rPr>
          <w:rFonts w:ascii="Arial" w:hAnsi="Arial" w:cs="Arial"/>
          <w:sz w:val="24"/>
          <w:szCs w:val="24"/>
          <w:lang w:eastAsia="en-GB"/>
        </w:rPr>
      </w:pPr>
      <w:r w:rsidRPr="00197362">
        <w:rPr>
          <w:rFonts w:ascii="Arial" w:hAnsi="Arial" w:cs="Arial"/>
          <w:sz w:val="24"/>
          <w:szCs w:val="24"/>
          <w:lang w:eastAsia="en-GB"/>
        </w:rPr>
        <w:t xml:space="preserve"> </w:t>
      </w:r>
    </w:p>
    <w:p w14:paraId="1F3EDFA9" w14:textId="664D34DC" w:rsidR="00D217D3" w:rsidRDefault="00D217D3" w:rsidP="00197362">
      <w:pPr>
        <w:spacing w:after="0" w:line="360" w:lineRule="auto"/>
        <w:jc w:val="both"/>
        <w:rPr>
          <w:rFonts w:ascii="Arial" w:hAnsi="Arial" w:cs="Arial"/>
          <w:sz w:val="24"/>
          <w:szCs w:val="24"/>
          <w:lang w:eastAsia="en-GB"/>
        </w:rPr>
      </w:pPr>
      <w:r w:rsidRPr="00197362">
        <w:rPr>
          <w:rFonts w:ascii="Arial" w:hAnsi="Arial" w:cs="Arial"/>
          <w:sz w:val="24"/>
          <w:szCs w:val="24"/>
          <w:lang w:eastAsia="en-GB"/>
        </w:rPr>
        <w:t>Defendant</w:t>
      </w:r>
      <w:r w:rsidR="00291941" w:rsidRPr="00197362">
        <w:rPr>
          <w:rFonts w:ascii="Arial" w:hAnsi="Arial" w:cs="Arial"/>
          <w:sz w:val="24"/>
          <w:szCs w:val="24"/>
          <w:lang w:eastAsia="en-GB"/>
        </w:rPr>
        <w:t>’s counsel:</w:t>
      </w:r>
      <w:r w:rsidR="00291941" w:rsidRPr="00197362">
        <w:rPr>
          <w:rFonts w:ascii="Arial" w:hAnsi="Arial" w:cs="Arial"/>
          <w:sz w:val="24"/>
          <w:szCs w:val="24"/>
          <w:lang w:eastAsia="en-GB"/>
        </w:rPr>
        <w:tab/>
      </w:r>
      <w:r w:rsidR="007D180C" w:rsidRPr="00197362">
        <w:rPr>
          <w:rFonts w:ascii="Arial" w:hAnsi="Arial" w:cs="Arial"/>
          <w:sz w:val="24"/>
          <w:szCs w:val="24"/>
          <w:lang w:eastAsia="en-GB"/>
        </w:rPr>
        <w:t>Mr</w:t>
      </w:r>
      <w:r w:rsidRPr="00197362">
        <w:rPr>
          <w:rFonts w:ascii="Arial" w:hAnsi="Arial" w:cs="Arial"/>
          <w:sz w:val="24"/>
          <w:szCs w:val="24"/>
          <w:lang w:eastAsia="en-GB"/>
        </w:rPr>
        <w:t xml:space="preserve"> C W Havemann</w:t>
      </w:r>
      <w:r w:rsidRPr="00197362">
        <w:rPr>
          <w:rFonts w:ascii="Arial" w:hAnsi="Arial" w:cs="Arial"/>
          <w:sz w:val="24"/>
          <w:szCs w:val="24"/>
          <w:lang w:eastAsia="en-GB"/>
        </w:rPr>
        <w:tab/>
      </w:r>
      <w:r w:rsidRPr="00197362">
        <w:rPr>
          <w:rFonts w:ascii="Arial" w:hAnsi="Arial" w:cs="Arial"/>
          <w:sz w:val="24"/>
          <w:szCs w:val="24"/>
          <w:lang w:eastAsia="en-GB"/>
        </w:rPr>
        <w:tab/>
      </w:r>
      <w:r w:rsidRPr="00197362">
        <w:rPr>
          <w:rFonts w:ascii="Arial" w:hAnsi="Arial" w:cs="Arial"/>
          <w:sz w:val="24"/>
          <w:szCs w:val="24"/>
          <w:lang w:eastAsia="en-GB"/>
        </w:rPr>
        <w:tab/>
      </w:r>
    </w:p>
    <w:p w14:paraId="0E8E9F92" w14:textId="53D84A84" w:rsidR="00665E06" w:rsidRDefault="00665E06" w:rsidP="00197362">
      <w:pPr>
        <w:spacing w:after="0" w:line="360" w:lineRule="auto"/>
        <w:jc w:val="both"/>
        <w:rPr>
          <w:rFonts w:ascii="Arial" w:hAnsi="Arial" w:cs="Arial"/>
          <w:sz w:val="24"/>
          <w:szCs w:val="24"/>
          <w:lang w:eastAsia="en-GB"/>
        </w:rPr>
      </w:pPr>
      <w:r>
        <w:rPr>
          <w:rFonts w:ascii="Arial" w:hAnsi="Arial" w:cs="Arial"/>
          <w:sz w:val="24"/>
          <w:szCs w:val="24"/>
          <w:lang w:eastAsia="en-GB"/>
        </w:rPr>
        <w:t>Instructed by:</w:t>
      </w:r>
      <w:r>
        <w:rPr>
          <w:rFonts w:ascii="Arial" w:hAnsi="Arial" w:cs="Arial"/>
          <w:sz w:val="24"/>
          <w:szCs w:val="24"/>
          <w:lang w:eastAsia="en-GB"/>
        </w:rPr>
        <w:tab/>
      </w:r>
      <w:r>
        <w:rPr>
          <w:rFonts w:ascii="Arial" w:hAnsi="Arial" w:cs="Arial"/>
          <w:sz w:val="24"/>
          <w:szCs w:val="24"/>
          <w:lang w:eastAsia="en-GB"/>
        </w:rPr>
        <w:tab/>
        <w:t>CWH Attorneys</w:t>
      </w:r>
    </w:p>
    <w:p w14:paraId="43A03444" w14:textId="598B11DA" w:rsidR="00665E06" w:rsidRPr="00197362" w:rsidRDefault="00665E06" w:rsidP="00197362">
      <w:pPr>
        <w:spacing w:after="0" w:line="360" w:lineRule="auto"/>
        <w:jc w:val="both"/>
        <w:rPr>
          <w:rFonts w:ascii="Arial" w:hAnsi="Arial" w:cs="Arial"/>
          <w:sz w:val="24"/>
          <w:szCs w:val="24"/>
          <w:lang w:eastAsia="en-GB"/>
        </w:rPr>
      </w:pP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t>Pietermaritzburg</w:t>
      </w:r>
    </w:p>
    <w:p w14:paraId="30718D8A" w14:textId="5B712901" w:rsidR="00291941" w:rsidRPr="00197362" w:rsidRDefault="00291941" w:rsidP="00197362">
      <w:pPr>
        <w:spacing w:after="0" w:line="360" w:lineRule="auto"/>
        <w:jc w:val="both"/>
        <w:rPr>
          <w:rFonts w:ascii="Arial" w:hAnsi="Arial" w:cs="Arial"/>
          <w:sz w:val="24"/>
          <w:szCs w:val="24"/>
          <w:lang w:eastAsia="en-GB"/>
        </w:rPr>
      </w:pPr>
      <w:r w:rsidRPr="00197362">
        <w:rPr>
          <w:rFonts w:ascii="Arial" w:hAnsi="Arial" w:cs="Arial"/>
          <w:sz w:val="24"/>
          <w:szCs w:val="24"/>
          <w:lang w:eastAsia="en-GB"/>
        </w:rPr>
        <w:tab/>
      </w:r>
      <w:r w:rsidRPr="00197362">
        <w:rPr>
          <w:rFonts w:ascii="Arial" w:hAnsi="Arial" w:cs="Arial"/>
          <w:sz w:val="24"/>
          <w:szCs w:val="24"/>
          <w:lang w:eastAsia="en-GB"/>
        </w:rPr>
        <w:tab/>
      </w:r>
      <w:r w:rsidRPr="00197362">
        <w:rPr>
          <w:rFonts w:ascii="Arial" w:hAnsi="Arial" w:cs="Arial"/>
          <w:sz w:val="24"/>
          <w:szCs w:val="24"/>
          <w:lang w:eastAsia="en-GB"/>
        </w:rPr>
        <w:tab/>
      </w:r>
    </w:p>
    <w:p w14:paraId="0F4FBB81" w14:textId="14E2E16A" w:rsidR="00291941" w:rsidRPr="00197362" w:rsidRDefault="00291941" w:rsidP="00197362">
      <w:pPr>
        <w:spacing w:after="0" w:line="360" w:lineRule="auto"/>
        <w:jc w:val="both"/>
        <w:rPr>
          <w:rFonts w:ascii="Arial" w:hAnsi="Arial" w:cs="Arial"/>
          <w:sz w:val="24"/>
          <w:szCs w:val="24"/>
          <w:lang w:eastAsia="en-GB"/>
        </w:rPr>
      </w:pPr>
      <w:r w:rsidRPr="00197362">
        <w:rPr>
          <w:rFonts w:ascii="Arial" w:hAnsi="Arial" w:cs="Arial"/>
          <w:sz w:val="24"/>
          <w:szCs w:val="24"/>
          <w:lang w:eastAsia="en-GB"/>
        </w:rPr>
        <w:tab/>
      </w:r>
      <w:r w:rsidRPr="00197362">
        <w:rPr>
          <w:rFonts w:ascii="Arial" w:hAnsi="Arial" w:cs="Arial"/>
          <w:sz w:val="24"/>
          <w:szCs w:val="24"/>
          <w:lang w:eastAsia="en-GB"/>
        </w:rPr>
        <w:tab/>
      </w:r>
      <w:r w:rsidRPr="00197362">
        <w:rPr>
          <w:rFonts w:ascii="Arial" w:hAnsi="Arial" w:cs="Arial"/>
          <w:sz w:val="24"/>
          <w:szCs w:val="24"/>
          <w:lang w:eastAsia="en-GB"/>
        </w:rPr>
        <w:tab/>
      </w:r>
      <w:r w:rsidR="00DB132C">
        <w:rPr>
          <w:rFonts w:ascii="Arial" w:hAnsi="Arial" w:cs="Arial"/>
          <w:sz w:val="24"/>
          <w:szCs w:val="24"/>
          <w:lang w:eastAsia="en-GB"/>
        </w:rPr>
        <w:tab/>
      </w:r>
      <w:r w:rsidRPr="00197362">
        <w:rPr>
          <w:rFonts w:ascii="Arial" w:hAnsi="Arial" w:cs="Arial"/>
          <w:sz w:val="24"/>
          <w:szCs w:val="24"/>
          <w:lang w:eastAsia="en-GB"/>
        </w:rPr>
        <w:tab/>
      </w:r>
    </w:p>
    <w:p w14:paraId="00D90B93" w14:textId="77777777" w:rsidR="00291941" w:rsidRPr="00197362" w:rsidRDefault="00291941" w:rsidP="00197362">
      <w:pPr>
        <w:spacing w:after="0" w:line="360" w:lineRule="auto"/>
        <w:jc w:val="both"/>
        <w:rPr>
          <w:rFonts w:ascii="Arial" w:hAnsi="Arial" w:cs="Arial"/>
          <w:sz w:val="24"/>
          <w:szCs w:val="24"/>
          <w:lang w:eastAsia="en-GB"/>
        </w:rPr>
      </w:pPr>
    </w:p>
    <w:p w14:paraId="219DB35D" w14:textId="77777777" w:rsidR="00291941" w:rsidRPr="00197362" w:rsidRDefault="00291941" w:rsidP="00197362">
      <w:pPr>
        <w:spacing w:after="0" w:line="360" w:lineRule="auto"/>
        <w:jc w:val="both"/>
        <w:rPr>
          <w:rFonts w:ascii="Arial" w:hAnsi="Arial" w:cs="Arial"/>
          <w:sz w:val="24"/>
          <w:szCs w:val="24"/>
          <w:lang w:eastAsia="en-GB"/>
        </w:rPr>
      </w:pPr>
    </w:p>
    <w:p w14:paraId="39F6A9AA" w14:textId="77777777" w:rsidR="00291941" w:rsidRPr="00197362" w:rsidRDefault="00291941" w:rsidP="00197362">
      <w:pPr>
        <w:spacing w:after="0" w:line="360" w:lineRule="auto"/>
        <w:jc w:val="both"/>
        <w:rPr>
          <w:rFonts w:ascii="Arial" w:hAnsi="Arial" w:cs="Arial"/>
          <w:sz w:val="24"/>
          <w:szCs w:val="24"/>
          <w:lang w:eastAsia="en-GB"/>
        </w:rPr>
      </w:pPr>
    </w:p>
    <w:p w14:paraId="46D7AA8C" w14:textId="77777777" w:rsidR="00291941" w:rsidRPr="00197362" w:rsidRDefault="00291941" w:rsidP="00197362">
      <w:pPr>
        <w:spacing w:after="0" w:line="360" w:lineRule="auto"/>
        <w:jc w:val="both"/>
        <w:rPr>
          <w:rFonts w:ascii="Arial" w:hAnsi="Arial" w:cs="Arial"/>
          <w:sz w:val="24"/>
          <w:szCs w:val="24"/>
          <w:lang w:eastAsia="en-GB"/>
        </w:rPr>
      </w:pPr>
    </w:p>
    <w:bookmarkEnd w:id="1"/>
    <w:p w14:paraId="5AB69F77" w14:textId="77777777" w:rsidR="00291941" w:rsidRPr="00197362" w:rsidRDefault="00291941" w:rsidP="00197362">
      <w:pPr>
        <w:spacing w:after="0" w:line="360" w:lineRule="auto"/>
        <w:ind w:right="-153"/>
        <w:contextualSpacing/>
        <w:rPr>
          <w:rFonts w:ascii="Arial" w:hAnsi="Arial" w:cs="Arial"/>
          <w:sz w:val="24"/>
          <w:szCs w:val="24"/>
        </w:rPr>
      </w:pPr>
    </w:p>
    <w:p w14:paraId="1C960B0F" w14:textId="77777777" w:rsidR="00291941" w:rsidRPr="00197362" w:rsidRDefault="00291941" w:rsidP="00197362">
      <w:pPr>
        <w:pStyle w:val="ListParagraph"/>
        <w:spacing w:after="0" w:line="360" w:lineRule="auto"/>
        <w:jc w:val="both"/>
        <w:rPr>
          <w:rFonts w:ascii="Arial" w:hAnsi="Arial" w:cs="Arial"/>
          <w:sz w:val="24"/>
          <w:szCs w:val="24"/>
          <w:lang w:val="en-ZA"/>
        </w:rPr>
      </w:pPr>
    </w:p>
    <w:sectPr w:rsidR="00291941" w:rsidRPr="00197362" w:rsidSect="00197362">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F54D5C" w14:textId="77777777" w:rsidR="00B03086" w:rsidRDefault="00B03086" w:rsidP="00B75D68">
      <w:pPr>
        <w:spacing w:after="0" w:line="240" w:lineRule="auto"/>
      </w:pPr>
      <w:r>
        <w:separator/>
      </w:r>
    </w:p>
  </w:endnote>
  <w:endnote w:type="continuationSeparator" w:id="0">
    <w:p w14:paraId="06A7C52C" w14:textId="77777777" w:rsidR="00B03086" w:rsidRDefault="00B03086" w:rsidP="00B75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80EAC" w14:textId="77777777" w:rsidR="00B03086" w:rsidRDefault="00B03086" w:rsidP="00B75D68">
      <w:pPr>
        <w:spacing w:after="0" w:line="240" w:lineRule="auto"/>
      </w:pPr>
      <w:r>
        <w:separator/>
      </w:r>
    </w:p>
  </w:footnote>
  <w:footnote w:type="continuationSeparator" w:id="0">
    <w:p w14:paraId="625A195B" w14:textId="77777777" w:rsidR="00B03086" w:rsidRDefault="00B03086" w:rsidP="00B75D68">
      <w:pPr>
        <w:spacing w:after="0" w:line="240" w:lineRule="auto"/>
      </w:pPr>
      <w:r>
        <w:continuationSeparator/>
      </w:r>
    </w:p>
  </w:footnote>
  <w:footnote w:id="1">
    <w:p w14:paraId="1F01C64A" w14:textId="434D30D3" w:rsidR="007B2543" w:rsidRPr="00DB132C" w:rsidRDefault="007B2543" w:rsidP="00C830F8">
      <w:pPr>
        <w:pStyle w:val="FootnoteText"/>
        <w:jc w:val="both"/>
        <w:rPr>
          <w:rFonts w:ascii="Arial" w:hAnsi="Arial" w:cs="Arial"/>
          <w:lang w:val="en-GB"/>
        </w:rPr>
      </w:pPr>
      <w:r w:rsidRPr="00C830F8">
        <w:rPr>
          <w:rStyle w:val="FootnoteReference"/>
          <w:rFonts w:ascii="Arial" w:hAnsi="Arial" w:cs="Arial"/>
        </w:rPr>
        <w:footnoteRef/>
      </w:r>
      <w:r w:rsidRPr="00C830F8">
        <w:rPr>
          <w:rFonts w:ascii="Arial" w:hAnsi="Arial" w:cs="Arial"/>
        </w:rPr>
        <w:t xml:space="preserve"> </w:t>
      </w:r>
      <w:r w:rsidRPr="00C830F8">
        <w:rPr>
          <w:rFonts w:ascii="Arial" w:hAnsi="Arial" w:cs="Arial"/>
          <w:lang w:val="en-GB"/>
        </w:rPr>
        <w:t>See the Practice Manual of the KwaZulu-Natal Division of the High Courts.</w:t>
      </w:r>
    </w:p>
  </w:footnote>
  <w:footnote w:id="2">
    <w:p w14:paraId="71AD5672" w14:textId="3529EBE2" w:rsidR="007B2543" w:rsidRPr="00C830F8" w:rsidRDefault="007B2543" w:rsidP="00C830F8">
      <w:pPr>
        <w:pStyle w:val="FootnoteText"/>
        <w:jc w:val="both"/>
        <w:rPr>
          <w:rFonts w:ascii="Arial" w:hAnsi="Arial" w:cs="Arial"/>
          <w:lang w:val="en-GB"/>
        </w:rPr>
      </w:pPr>
      <w:r w:rsidRPr="00C830F8">
        <w:rPr>
          <w:rStyle w:val="FootnoteReference"/>
          <w:rFonts w:ascii="Arial" w:hAnsi="Arial" w:cs="Arial"/>
        </w:rPr>
        <w:footnoteRef/>
      </w:r>
      <w:r w:rsidRPr="00C830F8">
        <w:rPr>
          <w:rFonts w:ascii="Arial" w:hAnsi="Arial" w:cs="Arial"/>
        </w:rPr>
        <w:t xml:space="preserve"> </w:t>
      </w:r>
      <w:r w:rsidRPr="00C830F8">
        <w:rPr>
          <w:rFonts w:ascii="Arial" w:hAnsi="Arial" w:cs="Arial"/>
          <w:i/>
        </w:rPr>
        <w:t>Joob Joob Investments (Pty) Ltd v Stocks Mavundla Zek Joint Venture</w:t>
      </w:r>
      <w:r w:rsidRPr="00C830F8">
        <w:rPr>
          <w:rFonts w:ascii="Arial" w:hAnsi="Arial" w:cs="Arial"/>
        </w:rPr>
        <w:t xml:space="preserve"> 2009 (5) SA 1 (SCA) para 31.</w:t>
      </w:r>
    </w:p>
  </w:footnote>
  <w:footnote w:id="3">
    <w:p w14:paraId="51073E91" w14:textId="2B3BAEA0" w:rsidR="007B2543" w:rsidRPr="00C830F8" w:rsidRDefault="007B2543" w:rsidP="00C830F8">
      <w:pPr>
        <w:pStyle w:val="FootnoteText"/>
        <w:jc w:val="both"/>
        <w:rPr>
          <w:rFonts w:ascii="Arial" w:hAnsi="Arial" w:cs="Arial"/>
          <w:lang w:val="en-GB"/>
        </w:rPr>
      </w:pPr>
      <w:r w:rsidRPr="00C830F8">
        <w:rPr>
          <w:rStyle w:val="FootnoteReference"/>
          <w:rFonts w:ascii="Arial" w:hAnsi="Arial" w:cs="Arial"/>
        </w:rPr>
        <w:footnoteRef/>
      </w:r>
      <w:r w:rsidRPr="00C830F8">
        <w:rPr>
          <w:rFonts w:ascii="Arial" w:hAnsi="Arial" w:cs="Arial"/>
        </w:rPr>
        <w:t xml:space="preserve"> </w:t>
      </w:r>
      <w:r w:rsidRPr="00C830F8">
        <w:rPr>
          <w:rFonts w:ascii="Arial" w:hAnsi="Arial" w:cs="Arial"/>
          <w:i/>
        </w:rPr>
        <w:t>Maharaj v Barclays National Bank Ltd</w:t>
      </w:r>
      <w:r w:rsidRPr="00C830F8">
        <w:rPr>
          <w:rFonts w:ascii="Arial" w:hAnsi="Arial" w:cs="Arial"/>
        </w:rPr>
        <w:t xml:space="preserve"> 1976 (1) SA 418 (A) at 42</w:t>
      </w:r>
      <w:r w:rsidR="00B60B10" w:rsidRPr="00C830F8">
        <w:rPr>
          <w:rFonts w:ascii="Arial" w:hAnsi="Arial" w:cs="Arial"/>
        </w:rPr>
        <w:t>6A-C.</w:t>
      </w:r>
    </w:p>
  </w:footnote>
  <w:footnote w:id="4">
    <w:p w14:paraId="09B743BD" w14:textId="5A9BCDD1" w:rsidR="00B60B10" w:rsidRPr="00C830F8" w:rsidRDefault="00B60B10" w:rsidP="00C830F8">
      <w:pPr>
        <w:pStyle w:val="FootnoteText"/>
        <w:jc w:val="both"/>
        <w:rPr>
          <w:rFonts w:ascii="Arial" w:hAnsi="Arial" w:cs="Arial"/>
          <w:lang w:val="en-GB"/>
        </w:rPr>
      </w:pPr>
      <w:r w:rsidRPr="00C830F8">
        <w:rPr>
          <w:rStyle w:val="FootnoteReference"/>
          <w:rFonts w:ascii="Arial" w:hAnsi="Arial" w:cs="Arial"/>
        </w:rPr>
        <w:footnoteRef/>
      </w:r>
      <w:r w:rsidRPr="00C830F8">
        <w:rPr>
          <w:rFonts w:ascii="Arial" w:hAnsi="Arial" w:cs="Arial"/>
        </w:rPr>
        <w:t xml:space="preserve"> </w:t>
      </w:r>
      <w:r w:rsidRPr="00C830F8">
        <w:rPr>
          <w:rFonts w:ascii="Arial" w:hAnsi="Arial" w:cs="Arial"/>
          <w:i/>
        </w:rPr>
        <w:t>Nedbank v Maredi</w:t>
      </w:r>
      <w:r w:rsidRPr="00C830F8">
        <w:rPr>
          <w:rFonts w:ascii="Arial" w:hAnsi="Arial" w:cs="Arial"/>
        </w:rPr>
        <w:t xml:space="preserve"> [2014] ZAGPPHC 43 para 14.</w:t>
      </w:r>
    </w:p>
  </w:footnote>
  <w:footnote w:id="5">
    <w:p w14:paraId="52FB759A" w14:textId="03E74C48" w:rsidR="00B60B10" w:rsidRPr="00C830F8" w:rsidRDefault="00B60B10" w:rsidP="00C830F8">
      <w:pPr>
        <w:pStyle w:val="FootnoteText"/>
        <w:jc w:val="both"/>
        <w:rPr>
          <w:rFonts w:ascii="Arial" w:hAnsi="Arial" w:cs="Arial"/>
          <w:lang w:val="en-GB"/>
        </w:rPr>
      </w:pPr>
      <w:r w:rsidRPr="00C830F8">
        <w:rPr>
          <w:rStyle w:val="FootnoteReference"/>
          <w:rFonts w:ascii="Arial" w:hAnsi="Arial" w:cs="Arial"/>
        </w:rPr>
        <w:footnoteRef/>
      </w:r>
      <w:r w:rsidRPr="00C830F8">
        <w:rPr>
          <w:rFonts w:ascii="Arial" w:hAnsi="Arial" w:cs="Arial"/>
        </w:rPr>
        <w:t xml:space="preserve"> </w:t>
      </w:r>
      <w:r w:rsidR="003C6EED" w:rsidRPr="00C830F8">
        <w:rPr>
          <w:rFonts w:ascii="Arial" w:hAnsi="Arial" w:cs="Arial"/>
          <w:i/>
        </w:rPr>
        <w:t>Tumileng Trading CC v National Security and Fire (Pty) Ltd; E and D Security Systems CC v National Security and Fire (Pty) Ltd</w:t>
      </w:r>
      <w:r w:rsidR="007F69AA" w:rsidRPr="00C830F8">
        <w:rPr>
          <w:rFonts w:ascii="Arial" w:hAnsi="Arial" w:cs="Arial"/>
        </w:rPr>
        <w:t xml:space="preserve"> [2020] ZAWCHC 28, 2020 (6) SA 624 (WCC) para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9768810"/>
      <w:docPartObj>
        <w:docPartGallery w:val="Page Numbers (Top of Page)"/>
        <w:docPartUnique/>
      </w:docPartObj>
    </w:sdtPr>
    <w:sdtEndPr>
      <w:rPr>
        <w:rFonts w:ascii="Arial" w:hAnsi="Arial" w:cs="Arial"/>
        <w:noProof/>
      </w:rPr>
    </w:sdtEndPr>
    <w:sdtContent>
      <w:p w14:paraId="4654445B" w14:textId="006B913D" w:rsidR="007B2543" w:rsidRPr="00197362" w:rsidRDefault="007B2543">
        <w:pPr>
          <w:pStyle w:val="Header"/>
          <w:jc w:val="right"/>
          <w:rPr>
            <w:rFonts w:ascii="Arial" w:hAnsi="Arial" w:cs="Arial"/>
          </w:rPr>
        </w:pPr>
        <w:r w:rsidRPr="00197362">
          <w:rPr>
            <w:rFonts w:ascii="Arial" w:hAnsi="Arial" w:cs="Arial"/>
          </w:rPr>
          <w:fldChar w:fldCharType="begin"/>
        </w:r>
        <w:r w:rsidRPr="00197362">
          <w:rPr>
            <w:rFonts w:ascii="Arial" w:hAnsi="Arial" w:cs="Arial"/>
          </w:rPr>
          <w:instrText xml:space="preserve"> PAGE   \* MERGEFORMAT </w:instrText>
        </w:r>
        <w:r w:rsidRPr="00197362">
          <w:rPr>
            <w:rFonts w:ascii="Arial" w:hAnsi="Arial" w:cs="Arial"/>
          </w:rPr>
          <w:fldChar w:fldCharType="separate"/>
        </w:r>
        <w:r w:rsidR="00332558">
          <w:rPr>
            <w:rFonts w:ascii="Arial" w:hAnsi="Arial" w:cs="Arial"/>
            <w:noProof/>
          </w:rPr>
          <w:t>3</w:t>
        </w:r>
        <w:r w:rsidRPr="00197362">
          <w:rPr>
            <w:rFonts w:ascii="Arial" w:hAnsi="Arial" w:cs="Arial"/>
            <w:noProof/>
          </w:rPr>
          <w:fldChar w:fldCharType="end"/>
        </w:r>
      </w:p>
    </w:sdtContent>
  </w:sdt>
  <w:p w14:paraId="72108E94" w14:textId="77777777" w:rsidR="007B2543" w:rsidRDefault="007B25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C16BD"/>
    <w:multiLevelType w:val="hybridMultilevel"/>
    <w:tmpl w:val="9D72B3D8"/>
    <w:lvl w:ilvl="0" w:tplc="4AE80B0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nsid w:val="039216E7"/>
    <w:multiLevelType w:val="hybridMultilevel"/>
    <w:tmpl w:val="C7221E18"/>
    <w:lvl w:ilvl="0" w:tplc="E9668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1A1FC1"/>
    <w:multiLevelType w:val="hybridMultilevel"/>
    <w:tmpl w:val="7716FF70"/>
    <w:lvl w:ilvl="0" w:tplc="ABD6D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64983"/>
    <w:multiLevelType w:val="hybridMultilevel"/>
    <w:tmpl w:val="52865C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F040F07"/>
    <w:multiLevelType w:val="hybridMultilevel"/>
    <w:tmpl w:val="C24EE2D8"/>
    <w:lvl w:ilvl="0" w:tplc="1AF8F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951CA"/>
    <w:multiLevelType w:val="hybridMultilevel"/>
    <w:tmpl w:val="3CB2C5D6"/>
    <w:lvl w:ilvl="0" w:tplc="35C2DC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5903D42"/>
    <w:multiLevelType w:val="hybridMultilevel"/>
    <w:tmpl w:val="0CFED3C8"/>
    <w:lvl w:ilvl="0" w:tplc="7A988DEC">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7">
    <w:nsid w:val="4DD77774"/>
    <w:multiLevelType w:val="hybridMultilevel"/>
    <w:tmpl w:val="D75202A8"/>
    <w:lvl w:ilvl="0" w:tplc="BBD42B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0B5678"/>
    <w:multiLevelType w:val="hybridMultilevel"/>
    <w:tmpl w:val="5FB65DC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3E006D8"/>
    <w:multiLevelType w:val="hybridMultilevel"/>
    <w:tmpl w:val="5DDE8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047EA0"/>
    <w:multiLevelType w:val="hybridMultilevel"/>
    <w:tmpl w:val="30B27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DA0AEA"/>
    <w:multiLevelType w:val="hybridMultilevel"/>
    <w:tmpl w:val="34D2B26A"/>
    <w:lvl w:ilvl="0" w:tplc="5798BBCC">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728A7570"/>
    <w:multiLevelType w:val="hybridMultilevel"/>
    <w:tmpl w:val="5C221CD4"/>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BBA5FAB"/>
    <w:multiLevelType w:val="hybridMultilevel"/>
    <w:tmpl w:val="BAA01B20"/>
    <w:lvl w:ilvl="0" w:tplc="6BAE7CC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10"/>
  </w:num>
  <w:num w:numId="2">
    <w:abstractNumId w:val="1"/>
  </w:num>
  <w:num w:numId="3">
    <w:abstractNumId w:val="4"/>
  </w:num>
  <w:num w:numId="4">
    <w:abstractNumId w:val="7"/>
  </w:num>
  <w:num w:numId="5">
    <w:abstractNumId w:val="2"/>
  </w:num>
  <w:num w:numId="6">
    <w:abstractNumId w:val="9"/>
  </w:num>
  <w:num w:numId="7">
    <w:abstractNumId w:val="12"/>
  </w:num>
  <w:num w:numId="8">
    <w:abstractNumId w:val="6"/>
  </w:num>
  <w:num w:numId="9">
    <w:abstractNumId w:val="5"/>
  </w:num>
  <w:num w:numId="10">
    <w:abstractNumId w:val="11"/>
  </w:num>
  <w:num w:numId="11">
    <w:abstractNumId w:val="0"/>
  </w:num>
  <w:num w:numId="12">
    <w:abstractNumId w:val="13"/>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C8"/>
    <w:rsid w:val="00000056"/>
    <w:rsid w:val="00003325"/>
    <w:rsid w:val="00005602"/>
    <w:rsid w:val="00007158"/>
    <w:rsid w:val="00012D4E"/>
    <w:rsid w:val="0003164D"/>
    <w:rsid w:val="00062532"/>
    <w:rsid w:val="0008019C"/>
    <w:rsid w:val="000A5EBB"/>
    <w:rsid w:val="000B60FD"/>
    <w:rsid w:val="000D6808"/>
    <w:rsid w:val="000F1821"/>
    <w:rsid w:val="00104842"/>
    <w:rsid w:val="00111295"/>
    <w:rsid w:val="00141907"/>
    <w:rsid w:val="00145053"/>
    <w:rsid w:val="0016234F"/>
    <w:rsid w:val="001852C3"/>
    <w:rsid w:val="00195B22"/>
    <w:rsid w:val="00197362"/>
    <w:rsid w:val="001C4A4C"/>
    <w:rsid w:val="001F13C8"/>
    <w:rsid w:val="00205769"/>
    <w:rsid w:val="00230DD4"/>
    <w:rsid w:val="002475BB"/>
    <w:rsid w:val="0024774C"/>
    <w:rsid w:val="00254315"/>
    <w:rsid w:val="002630C2"/>
    <w:rsid w:val="00271B58"/>
    <w:rsid w:val="002764E7"/>
    <w:rsid w:val="002778D2"/>
    <w:rsid w:val="00280C0D"/>
    <w:rsid w:val="002855A6"/>
    <w:rsid w:val="00291941"/>
    <w:rsid w:val="00294429"/>
    <w:rsid w:val="00294C36"/>
    <w:rsid w:val="002B41F5"/>
    <w:rsid w:val="002C12A3"/>
    <w:rsid w:val="002D1A16"/>
    <w:rsid w:val="002E245D"/>
    <w:rsid w:val="002F1C8B"/>
    <w:rsid w:val="0030277B"/>
    <w:rsid w:val="00307928"/>
    <w:rsid w:val="00323EB5"/>
    <w:rsid w:val="003309DB"/>
    <w:rsid w:val="00332558"/>
    <w:rsid w:val="00332B45"/>
    <w:rsid w:val="00364479"/>
    <w:rsid w:val="00385C81"/>
    <w:rsid w:val="003950F0"/>
    <w:rsid w:val="003A3D36"/>
    <w:rsid w:val="003A763B"/>
    <w:rsid w:val="003A7F1B"/>
    <w:rsid w:val="003B3E18"/>
    <w:rsid w:val="003C6EED"/>
    <w:rsid w:val="003D276A"/>
    <w:rsid w:val="003E3C13"/>
    <w:rsid w:val="00417470"/>
    <w:rsid w:val="00443A9F"/>
    <w:rsid w:val="00444354"/>
    <w:rsid w:val="0045626D"/>
    <w:rsid w:val="00464ADF"/>
    <w:rsid w:val="00471247"/>
    <w:rsid w:val="00482562"/>
    <w:rsid w:val="00487DF3"/>
    <w:rsid w:val="004934DA"/>
    <w:rsid w:val="004A0F0E"/>
    <w:rsid w:val="004A2755"/>
    <w:rsid w:val="004A4E12"/>
    <w:rsid w:val="004B159B"/>
    <w:rsid w:val="004B60F2"/>
    <w:rsid w:val="004C551F"/>
    <w:rsid w:val="004E08DD"/>
    <w:rsid w:val="004F4384"/>
    <w:rsid w:val="004F6C0E"/>
    <w:rsid w:val="00533323"/>
    <w:rsid w:val="00547F0F"/>
    <w:rsid w:val="00590E1A"/>
    <w:rsid w:val="005D2568"/>
    <w:rsid w:val="005D4458"/>
    <w:rsid w:val="005F386A"/>
    <w:rsid w:val="005F47FB"/>
    <w:rsid w:val="00601FF3"/>
    <w:rsid w:val="0060732A"/>
    <w:rsid w:val="00612E99"/>
    <w:rsid w:val="00616148"/>
    <w:rsid w:val="0063153A"/>
    <w:rsid w:val="006315C1"/>
    <w:rsid w:val="00633248"/>
    <w:rsid w:val="00641A74"/>
    <w:rsid w:val="00647402"/>
    <w:rsid w:val="00665E06"/>
    <w:rsid w:val="0068591F"/>
    <w:rsid w:val="006B3307"/>
    <w:rsid w:val="006D3574"/>
    <w:rsid w:val="006E2ACE"/>
    <w:rsid w:val="006E39DF"/>
    <w:rsid w:val="006F5868"/>
    <w:rsid w:val="0073257C"/>
    <w:rsid w:val="007538D0"/>
    <w:rsid w:val="00755B76"/>
    <w:rsid w:val="00760920"/>
    <w:rsid w:val="00762E9D"/>
    <w:rsid w:val="007729CB"/>
    <w:rsid w:val="007753E3"/>
    <w:rsid w:val="007843EE"/>
    <w:rsid w:val="00793C86"/>
    <w:rsid w:val="007B2543"/>
    <w:rsid w:val="007D180C"/>
    <w:rsid w:val="007D44E8"/>
    <w:rsid w:val="007F69AA"/>
    <w:rsid w:val="0080300D"/>
    <w:rsid w:val="0080451A"/>
    <w:rsid w:val="00815C12"/>
    <w:rsid w:val="008243C2"/>
    <w:rsid w:val="008244A6"/>
    <w:rsid w:val="00833093"/>
    <w:rsid w:val="00836A99"/>
    <w:rsid w:val="00877AD8"/>
    <w:rsid w:val="008809A9"/>
    <w:rsid w:val="008870FE"/>
    <w:rsid w:val="008962EB"/>
    <w:rsid w:val="00896629"/>
    <w:rsid w:val="00896B23"/>
    <w:rsid w:val="008A1F3B"/>
    <w:rsid w:val="008B0462"/>
    <w:rsid w:val="008B5D14"/>
    <w:rsid w:val="008C7574"/>
    <w:rsid w:val="008C7F5A"/>
    <w:rsid w:val="00903E93"/>
    <w:rsid w:val="0090754E"/>
    <w:rsid w:val="00930883"/>
    <w:rsid w:val="00941850"/>
    <w:rsid w:val="00951783"/>
    <w:rsid w:val="00952466"/>
    <w:rsid w:val="00957AE9"/>
    <w:rsid w:val="00995E9A"/>
    <w:rsid w:val="009F3E24"/>
    <w:rsid w:val="009F7CC4"/>
    <w:rsid w:val="00A07709"/>
    <w:rsid w:val="00A17663"/>
    <w:rsid w:val="00A25731"/>
    <w:rsid w:val="00A3234F"/>
    <w:rsid w:val="00A37D1E"/>
    <w:rsid w:val="00A55CA9"/>
    <w:rsid w:val="00A57BFA"/>
    <w:rsid w:val="00A64C83"/>
    <w:rsid w:val="00A94BC7"/>
    <w:rsid w:val="00AB7FE4"/>
    <w:rsid w:val="00AC3E8E"/>
    <w:rsid w:val="00AE0310"/>
    <w:rsid w:val="00AE309B"/>
    <w:rsid w:val="00AE4636"/>
    <w:rsid w:val="00AE5E0B"/>
    <w:rsid w:val="00AF0917"/>
    <w:rsid w:val="00AF19E2"/>
    <w:rsid w:val="00B02D6B"/>
    <w:rsid w:val="00B03086"/>
    <w:rsid w:val="00B1421C"/>
    <w:rsid w:val="00B21A31"/>
    <w:rsid w:val="00B3049C"/>
    <w:rsid w:val="00B60B10"/>
    <w:rsid w:val="00B75D68"/>
    <w:rsid w:val="00B80911"/>
    <w:rsid w:val="00B952AE"/>
    <w:rsid w:val="00B965D8"/>
    <w:rsid w:val="00BB1536"/>
    <w:rsid w:val="00BB39C7"/>
    <w:rsid w:val="00BC0375"/>
    <w:rsid w:val="00BC4177"/>
    <w:rsid w:val="00BE58D8"/>
    <w:rsid w:val="00BF5C3C"/>
    <w:rsid w:val="00C00FBE"/>
    <w:rsid w:val="00C068AC"/>
    <w:rsid w:val="00C12E8F"/>
    <w:rsid w:val="00C5071D"/>
    <w:rsid w:val="00C60121"/>
    <w:rsid w:val="00C830F8"/>
    <w:rsid w:val="00C83D22"/>
    <w:rsid w:val="00C847C2"/>
    <w:rsid w:val="00C90C0B"/>
    <w:rsid w:val="00C95851"/>
    <w:rsid w:val="00C97F46"/>
    <w:rsid w:val="00CA0F48"/>
    <w:rsid w:val="00CC2E17"/>
    <w:rsid w:val="00CD0DFD"/>
    <w:rsid w:val="00CD256C"/>
    <w:rsid w:val="00CD7064"/>
    <w:rsid w:val="00CE56FD"/>
    <w:rsid w:val="00D1782D"/>
    <w:rsid w:val="00D217D3"/>
    <w:rsid w:val="00D2394D"/>
    <w:rsid w:val="00D5156D"/>
    <w:rsid w:val="00D557AE"/>
    <w:rsid w:val="00D8240C"/>
    <w:rsid w:val="00D93BB2"/>
    <w:rsid w:val="00DB132C"/>
    <w:rsid w:val="00DB31D5"/>
    <w:rsid w:val="00DB3A32"/>
    <w:rsid w:val="00DB41EE"/>
    <w:rsid w:val="00DC2049"/>
    <w:rsid w:val="00DD1475"/>
    <w:rsid w:val="00DD53D0"/>
    <w:rsid w:val="00E07D0A"/>
    <w:rsid w:val="00E10316"/>
    <w:rsid w:val="00E16F96"/>
    <w:rsid w:val="00E23BBD"/>
    <w:rsid w:val="00E24CDE"/>
    <w:rsid w:val="00E41EFC"/>
    <w:rsid w:val="00E444F3"/>
    <w:rsid w:val="00E470EB"/>
    <w:rsid w:val="00E56950"/>
    <w:rsid w:val="00E60D76"/>
    <w:rsid w:val="00E66447"/>
    <w:rsid w:val="00E92E20"/>
    <w:rsid w:val="00ED6FB7"/>
    <w:rsid w:val="00EF60F6"/>
    <w:rsid w:val="00F069CC"/>
    <w:rsid w:val="00F3300F"/>
    <w:rsid w:val="00F55B83"/>
    <w:rsid w:val="00F64ABF"/>
    <w:rsid w:val="00F81721"/>
    <w:rsid w:val="00FB3231"/>
    <w:rsid w:val="00FC0476"/>
    <w:rsid w:val="00FC1906"/>
    <w:rsid w:val="00FD0D31"/>
    <w:rsid w:val="00FD2983"/>
    <w:rsid w:val="00FD467D"/>
    <w:rsid w:val="00FD7539"/>
    <w:rsid w:val="00FE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FCCD4"/>
  <w15:chartTrackingRefBased/>
  <w15:docId w15:val="{C61CFF2C-A294-4D07-A290-BC407A7B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34F"/>
    <w:pPr>
      <w:ind w:left="720"/>
      <w:contextualSpacing/>
    </w:pPr>
  </w:style>
  <w:style w:type="paragraph" w:styleId="Header">
    <w:name w:val="header"/>
    <w:basedOn w:val="Normal"/>
    <w:link w:val="HeaderChar"/>
    <w:uiPriority w:val="99"/>
    <w:unhideWhenUsed/>
    <w:rsid w:val="00B75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D68"/>
  </w:style>
  <w:style w:type="paragraph" w:styleId="Footer">
    <w:name w:val="footer"/>
    <w:basedOn w:val="Normal"/>
    <w:link w:val="FooterChar"/>
    <w:uiPriority w:val="99"/>
    <w:unhideWhenUsed/>
    <w:rsid w:val="00B75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D68"/>
  </w:style>
  <w:style w:type="paragraph" w:styleId="FootnoteText">
    <w:name w:val="footnote text"/>
    <w:basedOn w:val="Normal"/>
    <w:link w:val="FootnoteTextChar"/>
    <w:uiPriority w:val="99"/>
    <w:semiHidden/>
    <w:unhideWhenUsed/>
    <w:rsid w:val="003A7F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A7F1B"/>
    <w:rPr>
      <w:sz w:val="20"/>
      <w:szCs w:val="20"/>
    </w:rPr>
  </w:style>
  <w:style w:type="character" w:styleId="FootnoteReference">
    <w:name w:val="footnote reference"/>
    <w:basedOn w:val="DefaultParagraphFont"/>
    <w:uiPriority w:val="99"/>
    <w:semiHidden/>
    <w:unhideWhenUsed/>
    <w:rsid w:val="003A7F1B"/>
    <w:rPr>
      <w:vertAlign w:val="superscript"/>
    </w:rPr>
  </w:style>
  <w:style w:type="character" w:styleId="CommentReference">
    <w:name w:val="annotation reference"/>
    <w:basedOn w:val="DefaultParagraphFont"/>
    <w:uiPriority w:val="99"/>
    <w:semiHidden/>
    <w:unhideWhenUsed/>
    <w:rsid w:val="00323EB5"/>
    <w:rPr>
      <w:sz w:val="16"/>
      <w:szCs w:val="16"/>
    </w:rPr>
  </w:style>
  <w:style w:type="paragraph" w:styleId="CommentText">
    <w:name w:val="annotation text"/>
    <w:basedOn w:val="Normal"/>
    <w:link w:val="CommentTextChar"/>
    <w:uiPriority w:val="99"/>
    <w:semiHidden/>
    <w:unhideWhenUsed/>
    <w:rsid w:val="00323EB5"/>
    <w:pPr>
      <w:spacing w:line="240" w:lineRule="auto"/>
    </w:pPr>
    <w:rPr>
      <w:sz w:val="20"/>
      <w:szCs w:val="20"/>
    </w:rPr>
  </w:style>
  <w:style w:type="character" w:customStyle="1" w:styleId="CommentTextChar">
    <w:name w:val="Comment Text Char"/>
    <w:basedOn w:val="DefaultParagraphFont"/>
    <w:link w:val="CommentText"/>
    <w:uiPriority w:val="99"/>
    <w:semiHidden/>
    <w:rsid w:val="00323EB5"/>
    <w:rPr>
      <w:sz w:val="20"/>
      <w:szCs w:val="20"/>
    </w:rPr>
  </w:style>
  <w:style w:type="paragraph" w:styleId="CommentSubject">
    <w:name w:val="annotation subject"/>
    <w:basedOn w:val="CommentText"/>
    <w:next w:val="CommentText"/>
    <w:link w:val="CommentSubjectChar"/>
    <w:uiPriority w:val="99"/>
    <w:semiHidden/>
    <w:unhideWhenUsed/>
    <w:rsid w:val="00323EB5"/>
    <w:rPr>
      <w:b/>
      <w:bCs/>
    </w:rPr>
  </w:style>
  <w:style w:type="character" w:customStyle="1" w:styleId="CommentSubjectChar">
    <w:name w:val="Comment Subject Char"/>
    <w:basedOn w:val="CommentTextChar"/>
    <w:link w:val="CommentSubject"/>
    <w:uiPriority w:val="99"/>
    <w:semiHidden/>
    <w:rsid w:val="00323EB5"/>
    <w:rPr>
      <w:b/>
      <w:bCs/>
      <w:sz w:val="20"/>
      <w:szCs w:val="20"/>
    </w:rPr>
  </w:style>
  <w:style w:type="paragraph" w:styleId="BalloonText">
    <w:name w:val="Balloon Text"/>
    <w:basedOn w:val="Normal"/>
    <w:link w:val="BalloonTextChar"/>
    <w:uiPriority w:val="99"/>
    <w:semiHidden/>
    <w:unhideWhenUsed/>
    <w:rsid w:val="008C75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574"/>
    <w:rPr>
      <w:rFonts w:ascii="Segoe UI" w:hAnsi="Segoe UI" w:cs="Segoe UI"/>
      <w:sz w:val="18"/>
      <w:szCs w:val="18"/>
    </w:rPr>
  </w:style>
  <w:style w:type="paragraph" w:styleId="Revision">
    <w:name w:val="Revision"/>
    <w:hidden/>
    <w:uiPriority w:val="99"/>
    <w:semiHidden/>
    <w:rsid w:val="00E470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D8781-9030-4860-BBB5-5DE0A696C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2858</Words>
  <Characters>16292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Mokone</cp:lastModifiedBy>
  <cp:revision>2</cp:revision>
  <cp:lastPrinted>2023-05-23T06:27:00Z</cp:lastPrinted>
  <dcterms:created xsi:type="dcterms:W3CDTF">2023-05-24T12:43:00Z</dcterms:created>
  <dcterms:modified xsi:type="dcterms:W3CDTF">2023-05-24T12:43:00Z</dcterms:modified>
</cp:coreProperties>
</file>