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64" w:rsidRPr="006C3464" w:rsidRDefault="006C3464" w:rsidP="008A30EA">
      <w:pPr>
        <w:spacing w:line="360" w:lineRule="auto"/>
        <w:jc w:val="center"/>
        <w:outlineLvl w:val="0"/>
        <w:rPr>
          <w:rFonts w:cs="Arial"/>
          <w:bCs/>
        </w:rPr>
      </w:pPr>
      <w:bookmarkStart w:id="0" w:name="OLE_LINK5"/>
      <w:bookmarkStart w:id="1" w:name="OLE_LINK6"/>
      <w:bookmarkStart w:id="2" w:name="_Hlk4159271"/>
      <w:r w:rsidRPr="000C5487">
        <w:rPr>
          <w:noProof/>
          <w:lang w:val="en-US"/>
        </w:rPr>
        <w:drawing>
          <wp:inline distT="0" distB="0" distL="0" distR="0" wp14:anchorId="007B8A2C" wp14:editId="1E706D2A">
            <wp:extent cx="1323975" cy="1162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inline>
        </w:drawing>
      </w:r>
    </w:p>
    <w:p w:rsidR="008A30EA" w:rsidRPr="00200829" w:rsidRDefault="00200829" w:rsidP="00200829">
      <w:pPr>
        <w:tabs>
          <w:tab w:val="center" w:pos="4110"/>
          <w:tab w:val="right" w:pos="8220"/>
        </w:tabs>
        <w:spacing w:line="360" w:lineRule="auto"/>
        <w:outlineLvl w:val="0"/>
        <w:rPr>
          <w:rFonts w:cs="Arial"/>
          <w:bCs/>
        </w:rPr>
      </w:pPr>
      <w:r>
        <w:rPr>
          <w:rFonts w:cs="Arial"/>
          <w:bCs/>
        </w:rPr>
        <w:tab/>
      </w:r>
      <w:r w:rsidR="008A30EA" w:rsidRPr="00200829">
        <w:rPr>
          <w:rFonts w:cs="Arial"/>
          <w:bCs/>
        </w:rPr>
        <w:t>IN THE HIGH COURT OF SOUTH AFRICA</w:t>
      </w:r>
      <w:r>
        <w:rPr>
          <w:rFonts w:cs="Arial"/>
          <w:bCs/>
        </w:rPr>
        <w:tab/>
      </w:r>
    </w:p>
    <w:p w:rsidR="008A30EA" w:rsidRPr="00200829" w:rsidRDefault="008A30EA" w:rsidP="008A30EA">
      <w:pPr>
        <w:spacing w:line="360" w:lineRule="auto"/>
        <w:jc w:val="center"/>
        <w:outlineLvl w:val="0"/>
        <w:rPr>
          <w:rFonts w:cs="Arial"/>
          <w:bCs/>
        </w:rPr>
      </w:pPr>
      <w:r w:rsidRPr="00200829">
        <w:rPr>
          <w:rFonts w:cs="Arial"/>
          <w:bCs/>
        </w:rPr>
        <w:t xml:space="preserve">KWAZULU-NATAL DIVISION, </w:t>
      </w:r>
      <w:r w:rsidR="00D534EA" w:rsidRPr="00200829">
        <w:rPr>
          <w:rFonts w:cs="Arial"/>
          <w:bCs/>
        </w:rPr>
        <w:t>PIETERMARITZBURG</w:t>
      </w:r>
    </w:p>
    <w:p w:rsidR="008A30EA" w:rsidRPr="00200829" w:rsidRDefault="008A30EA" w:rsidP="008A30EA">
      <w:pPr>
        <w:spacing w:line="276" w:lineRule="auto"/>
        <w:ind w:left="4320" w:firstLine="720"/>
        <w:jc w:val="both"/>
        <w:outlineLvl w:val="0"/>
        <w:rPr>
          <w:rFonts w:cs="Arial"/>
          <w:bCs/>
        </w:rPr>
      </w:pPr>
    </w:p>
    <w:bookmarkEnd w:id="0"/>
    <w:bookmarkEnd w:id="1"/>
    <w:p w:rsidR="00CA7DEF" w:rsidRPr="00200829" w:rsidRDefault="00D534EA" w:rsidP="00CA7DEF">
      <w:pPr>
        <w:jc w:val="right"/>
        <w:rPr>
          <w:bCs/>
          <w:lang w:val="en-US" w:eastAsia="en-ZA"/>
        </w:rPr>
      </w:pPr>
      <w:r w:rsidRPr="00200829">
        <w:rPr>
          <w:rFonts w:cs="Arial"/>
          <w:bCs/>
        </w:rPr>
        <w:t xml:space="preserve">APPEAL </w:t>
      </w:r>
      <w:r w:rsidR="008A30EA" w:rsidRPr="00200829">
        <w:rPr>
          <w:rFonts w:cs="Arial"/>
          <w:bCs/>
        </w:rPr>
        <w:t xml:space="preserve">NO: </w:t>
      </w:r>
      <w:r w:rsidRPr="00200829">
        <w:rPr>
          <w:bCs/>
          <w:lang w:val="en-US"/>
        </w:rPr>
        <w:t>AR 114/20</w:t>
      </w:r>
    </w:p>
    <w:p w:rsidR="00D44AC4" w:rsidRPr="00200829" w:rsidRDefault="00D44AC4" w:rsidP="00D44AC4">
      <w:pPr>
        <w:spacing w:line="276" w:lineRule="auto"/>
        <w:jc w:val="right"/>
        <w:rPr>
          <w:rFonts w:cs="Arial"/>
          <w:bCs/>
        </w:rPr>
      </w:pPr>
    </w:p>
    <w:p w:rsidR="00D44AC4" w:rsidRPr="00200829" w:rsidRDefault="00D44AC4" w:rsidP="008A30EA">
      <w:pPr>
        <w:spacing w:line="276" w:lineRule="auto"/>
        <w:jc w:val="both"/>
        <w:rPr>
          <w:rFonts w:cs="Arial"/>
          <w:bCs/>
        </w:rPr>
      </w:pPr>
    </w:p>
    <w:p w:rsidR="008A30EA" w:rsidRPr="00200829" w:rsidRDefault="008A30EA" w:rsidP="008A30EA">
      <w:pPr>
        <w:spacing w:line="276" w:lineRule="auto"/>
        <w:jc w:val="both"/>
        <w:rPr>
          <w:rFonts w:cs="Arial"/>
          <w:bCs/>
        </w:rPr>
      </w:pPr>
      <w:r w:rsidRPr="00200829">
        <w:rPr>
          <w:rFonts w:cs="Arial"/>
          <w:bCs/>
        </w:rPr>
        <w:t>In the matter between:</w:t>
      </w:r>
    </w:p>
    <w:p w:rsidR="00C136B9" w:rsidRPr="00200829" w:rsidRDefault="00C136B9" w:rsidP="008A30EA">
      <w:pPr>
        <w:spacing w:line="276" w:lineRule="auto"/>
        <w:jc w:val="both"/>
        <w:rPr>
          <w:rFonts w:cs="Arial"/>
          <w:bCs/>
        </w:rPr>
      </w:pPr>
    </w:p>
    <w:p w:rsidR="00D44AC4" w:rsidRPr="00200829" w:rsidRDefault="00D534EA" w:rsidP="00D44AC4">
      <w:pPr>
        <w:tabs>
          <w:tab w:val="right" w:pos="8505"/>
          <w:tab w:val="right" w:pos="8820"/>
        </w:tabs>
        <w:jc w:val="both"/>
        <w:rPr>
          <w:bCs/>
        </w:rPr>
      </w:pPr>
      <w:r w:rsidRPr="00200829">
        <w:rPr>
          <w:bCs/>
          <w:lang w:val="en-US"/>
        </w:rPr>
        <w:t>STHEMBISO BONGANI NDABA</w:t>
      </w:r>
      <w:r w:rsidR="00D44AC4" w:rsidRPr="00200829">
        <w:rPr>
          <w:bCs/>
        </w:rPr>
        <w:tab/>
      </w:r>
      <w:r w:rsidR="00855BCB" w:rsidRPr="00200829">
        <w:rPr>
          <w:bCs/>
        </w:rPr>
        <w:t>FIRST APPELLANT</w:t>
      </w:r>
    </w:p>
    <w:p w:rsidR="00CA7DEF" w:rsidRPr="00200829" w:rsidRDefault="00CA7DEF" w:rsidP="00D44AC4">
      <w:pPr>
        <w:tabs>
          <w:tab w:val="right" w:pos="8505"/>
          <w:tab w:val="right" w:pos="8820"/>
        </w:tabs>
        <w:jc w:val="both"/>
        <w:rPr>
          <w:bCs/>
        </w:rPr>
      </w:pPr>
    </w:p>
    <w:p w:rsidR="00CA7DEF" w:rsidRPr="00200829" w:rsidRDefault="00D534EA" w:rsidP="00D44AC4">
      <w:pPr>
        <w:tabs>
          <w:tab w:val="right" w:pos="8505"/>
          <w:tab w:val="right" w:pos="8820"/>
        </w:tabs>
        <w:jc w:val="both"/>
        <w:rPr>
          <w:bCs/>
        </w:rPr>
      </w:pPr>
      <w:r w:rsidRPr="00200829">
        <w:rPr>
          <w:bCs/>
          <w:lang w:val="en-US"/>
        </w:rPr>
        <w:t>SIBONGAKONKE PERCIVAL CEBEKHULU</w:t>
      </w:r>
      <w:r w:rsidR="00CA7DEF" w:rsidRPr="00200829">
        <w:rPr>
          <w:bCs/>
          <w:lang w:val="en-US"/>
        </w:rPr>
        <w:tab/>
      </w:r>
      <w:r w:rsidR="00855BCB" w:rsidRPr="00200829">
        <w:rPr>
          <w:bCs/>
          <w:lang w:val="en-US"/>
        </w:rPr>
        <w:t>SECOND APPELLANT</w:t>
      </w:r>
    </w:p>
    <w:p w:rsidR="00CA7DEF" w:rsidRPr="00200829" w:rsidRDefault="00CA7DEF" w:rsidP="00D44AC4">
      <w:pPr>
        <w:tabs>
          <w:tab w:val="left" w:pos="4230"/>
          <w:tab w:val="right" w:pos="8505"/>
        </w:tabs>
        <w:jc w:val="both"/>
        <w:rPr>
          <w:bCs/>
        </w:rPr>
      </w:pPr>
    </w:p>
    <w:p w:rsidR="00CA7DEF" w:rsidRPr="00200829" w:rsidRDefault="00CA7DEF" w:rsidP="00D44AC4">
      <w:pPr>
        <w:tabs>
          <w:tab w:val="left" w:pos="4230"/>
          <w:tab w:val="right" w:pos="8505"/>
        </w:tabs>
        <w:jc w:val="both"/>
        <w:rPr>
          <w:bCs/>
        </w:rPr>
      </w:pPr>
    </w:p>
    <w:p w:rsidR="00D44AC4" w:rsidRPr="00200829" w:rsidRDefault="00D44AC4" w:rsidP="00D44AC4">
      <w:pPr>
        <w:tabs>
          <w:tab w:val="right" w:pos="8364"/>
          <w:tab w:val="right" w:pos="8505"/>
        </w:tabs>
        <w:jc w:val="both"/>
        <w:rPr>
          <w:rFonts w:cs="Arial"/>
          <w:bCs/>
        </w:rPr>
      </w:pPr>
      <w:r w:rsidRPr="00200829">
        <w:rPr>
          <w:rFonts w:cs="Arial"/>
          <w:bCs/>
        </w:rPr>
        <w:t>and</w:t>
      </w:r>
    </w:p>
    <w:p w:rsidR="00D44AC4" w:rsidRPr="00200829" w:rsidRDefault="00D44AC4" w:rsidP="00D44AC4">
      <w:pPr>
        <w:tabs>
          <w:tab w:val="right" w:pos="8364"/>
          <w:tab w:val="right" w:pos="8505"/>
        </w:tabs>
        <w:jc w:val="both"/>
        <w:rPr>
          <w:rFonts w:cs="Arial"/>
          <w:bCs/>
        </w:rPr>
      </w:pPr>
    </w:p>
    <w:p w:rsidR="00CA7DEF" w:rsidRPr="00200829" w:rsidRDefault="00CA7DEF" w:rsidP="00D44AC4">
      <w:pPr>
        <w:tabs>
          <w:tab w:val="right" w:pos="8364"/>
          <w:tab w:val="right" w:pos="8505"/>
        </w:tabs>
        <w:jc w:val="both"/>
        <w:rPr>
          <w:rFonts w:cs="Arial"/>
          <w:bCs/>
        </w:rPr>
      </w:pPr>
    </w:p>
    <w:p w:rsidR="00D44AC4" w:rsidRPr="00200829" w:rsidRDefault="00D534EA" w:rsidP="00D44AC4">
      <w:pPr>
        <w:tabs>
          <w:tab w:val="left" w:pos="4230"/>
          <w:tab w:val="right" w:pos="8505"/>
        </w:tabs>
        <w:jc w:val="both"/>
        <w:rPr>
          <w:bCs/>
        </w:rPr>
      </w:pPr>
      <w:r w:rsidRPr="00200829">
        <w:rPr>
          <w:bCs/>
          <w:lang w:val="en-US"/>
        </w:rPr>
        <w:t>THE STATE</w:t>
      </w:r>
      <w:r w:rsidRPr="00200829">
        <w:rPr>
          <w:bCs/>
          <w:lang w:val="en-US"/>
        </w:rPr>
        <w:tab/>
      </w:r>
      <w:r w:rsidR="00D44AC4" w:rsidRPr="00200829">
        <w:rPr>
          <w:bCs/>
        </w:rPr>
        <w:tab/>
      </w:r>
      <w:r w:rsidR="00855BCB" w:rsidRPr="00200829">
        <w:rPr>
          <w:bCs/>
        </w:rPr>
        <w:t>RESPONDENT</w:t>
      </w:r>
    </w:p>
    <w:p w:rsidR="00CA7DEF" w:rsidRPr="00200829" w:rsidRDefault="00CA7DEF" w:rsidP="00D44AC4">
      <w:pPr>
        <w:tabs>
          <w:tab w:val="right" w:pos="8505"/>
          <w:tab w:val="right" w:pos="8820"/>
        </w:tabs>
        <w:jc w:val="both"/>
        <w:rPr>
          <w:bCs/>
        </w:rPr>
      </w:pPr>
    </w:p>
    <w:p w:rsidR="00D44AC4" w:rsidRPr="00200829" w:rsidRDefault="00D44AC4" w:rsidP="00D44AC4">
      <w:pPr>
        <w:tabs>
          <w:tab w:val="right" w:pos="8220"/>
        </w:tabs>
        <w:rPr>
          <w:rFonts w:cs="Arial"/>
          <w:bCs/>
          <w:u w:val="single"/>
          <w:lang w:val="en-US"/>
        </w:rPr>
      </w:pPr>
      <w:r w:rsidRPr="00200829">
        <w:rPr>
          <w:rFonts w:cs="Arial"/>
          <w:bCs/>
          <w:u w:val="single"/>
          <w:lang w:val="en-US"/>
        </w:rPr>
        <w:tab/>
      </w:r>
    </w:p>
    <w:p w:rsidR="00D44AC4" w:rsidRPr="00200829" w:rsidRDefault="00D44AC4" w:rsidP="00467335">
      <w:pPr>
        <w:tabs>
          <w:tab w:val="right" w:pos="7938"/>
        </w:tabs>
        <w:spacing w:line="360" w:lineRule="auto"/>
        <w:rPr>
          <w:rFonts w:cs="Arial"/>
          <w:bCs/>
          <w:u w:val="single"/>
          <w:lang w:val="en-US"/>
        </w:rPr>
      </w:pPr>
    </w:p>
    <w:p w:rsidR="00DD7C85" w:rsidRPr="00200829" w:rsidRDefault="00D44AC4" w:rsidP="00467335">
      <w:pPr>
        <w:tabs>
          <w:tab w:val="center" w:pos="4110"/>
          <w:tab w:val="left" w:pos="6390"/>
          <w:tab w:val="right" w:pos="7938"/>
        </w:tabs>
        <w:spacing w:line="360" w:lineRule="auto"/>
        <w:rPr>
          <w:rFonts w:cs="Arial"/>
          <w:bCs/>
          <w:lang w:val="en-US"/>
        </w:rPr>
      </w:pPr>
      <w:r w:rsidRPr="00200829">
        <w:rPr>
          <w:rFonts w:cs="Arial"/>
          <w:bCs/>
          <w:lang w:val="en-US"/>
        </w:rPr>
        <w:tab/>
      </w:r>
      <w:r w:rsidR="00DD7C85" w:rsidRPr="00200829">
        <w:rPr>
          <w:rFonts w:cs="Arial"/>
          <w:bCs/>
          <w:lang w:val="en-US"/>
        </w:rPr>
        <w:t>JUDGMENT</w:t>
      </w:r>
      <w:r w:rsidR="00DD7C85" w:rsidRPr="00200829">
        <w:rPr>
          <w:rFonts w:cs="Arial"/>
          <w:bCs/>
          <w:lang w:val="en-US"/>
        </w:rPr>
        <w:tab/>
        <w:t xml:space="preserve">                                                                           </w:t>
      </w:r>
    </w:p>
    <w:p w:rsidR="00D44AC4" w:rsidRPr="00200829" w:rsidRDefault="00D44AC4" w:rsidP="00467335">
      <w:pPr>
        <w:tabs>
          <w:tab w:val="right" w:pos="8220"/>
        </w:tabs>
        <w:spacing w:line="360" w:lineRule="auto"/>
        <w:jc w:val="both"/>
        <w:rPr>
          <w:rFonts w:cs="Arial"/>
          <w:bCs/>
          <w:lang w:val="en-US"/>
        </w:rPr>
      </w:pPr>
      <w:r w:rsidRPr="00200829">
        <w:rPr>
          <w:rFonts w:cs="Arial"/>
          <w:bCs/>
          <w:u w:val="single"/>
          <w:lang w:val="en-US"/>
        </w:rPr>
        <w:tab/>
      </w:r>
    </w:p>
    <w:p w:rsidR="00831BF1" w:rsidRPr="00200829" w:rsidRDefault="00831BF1" w:rsidP="00467335">
      <w:pPr>
        <w:spacing w:line="360" w:lineRule="auto"/>
        <w:jc w:val="both"/>
        <w:outlineLvl w:val="0"/>
        <w:rPr>
          <w:rFonts w:cs="Arial"/>
          <w:bCs/>
        </w:rPr>
      </w:pPr>
    </w:p>
    <w:p w:rsidR="00D44AC4" w:rsidRPr="00200829" w:rsidRDefault="00DD7C85" w:rsidP="00467335">
      <w:pPr>
        <w:spacing w:line="360" w:lineRule="auto"/>
        <w:jc w:val="both"/>
        <w:outlineLvl w:val="0"/>
        <w:rPr>
          <w:rFonts w:cs="Arial"/>
          <w:bCs/>
        </w:rPr>
      </w:pPr>
      <w:r w:rsidRPr="00200829">
        <w:rPr>
          <w:rFonts w:cs="Arial"/>
          <w:bCs/>
        </w:rPr>
        <w:t>M. Sibisi AJ (Lopes J concurring)</w:t>
      </w:r>
    </w:p>
    <w:p w:rsidR="00DD7C85" w:rsidRPr="00307013" w:rsidRDefault="00DD7C85" w:rsidP="00831BF1">
      <w:pPr>
        <w:spacing w:line="360" w:lineRule="auto"/>
        <w:jc w:val="both"/>
        <w:outlineLvl w:val="0"/>
        <w:rPr>
          <w:rFonts w:cs="Arial"/>
          <w:b/>
        </w:rPr>
      </w:pPr>
    </w:p>
    <w:p w:rsidR="00DD7C85" w:rsidRDefault="00D76063" w:rsidP="00D76063">
      <w:pPr>
        <w:tabs>
          <w:tab w:val="left" w:pos="851"/>
        </w:tabs>
        <w:spacing w:line="360" w:lineRule="auto"/>
        <w:jc w:val="both"/>
        <w:rPr>
          <w:rFonts w:cs="Arial"/>
        </w:rPr>
      </w:pPr>
      <w:r>
        <w:rPr>
          <w:rFonts w:cs="Arial"/>
        </w:rPr>
        <w:t>[1]</w:t>
      </w:r>
      <w:r>
        <w:rPr>
          <w:rFonts w:cs="Arial"/>
        </w:rPr>
        <w:tab/>
      </w:r>
      <w:r w:rsidR="00B61220" w:rsidRPr="00307013">
        <w:rPr>
          <w:rFonts w:cs="Arial"/>
        </w:rPr>
        <w:t>On the 9</w:t>
      </w:r>
      <w:r w:rsidR="00B61220" w:rsidRPr="00307013">
        <w:rPr>
          <w:rFonts w:cs="Arial"/>
          <w:vertAlign w:val="superscript"/>
        </w:rPr>
        <w:t>th</w:t>
      </w:r>
      <w:r w:rsidR="00B61220" w:rsidRPr="00307013">
        <w:rPr>
          <w:rFonts w:cs="Arial"/>
        </w:rPr>
        <w:t xml:space="preserve"> October 2018, the </w:t>
      </w:r>
      <w:r w:rsidR="00163526" w:rsidRPr="00307013">
        <w:rPr>
          <w:rFonts w:cs="Arial"/>
        </w:rPr>
        <w:t>a</w:t>
      </w:r>
      <w:r w:rsidR="00B61220" w:rsidRPr="00307013">
        <w:rPr>
          <w:rFonts w:cs="Arial"/>
        </w:rPr>
        <w:t xml:space="preserve">ppellants pleaded not guilty in the Esikhawini Regional Court on the </w:t>
      </w:r>
      <w:r w:rsidR="0061208C">
        <w:rPr>
          <w:rFonts w:cs="Arial"/>
        </w:rPr>
        <w:t xml:space="preserve">following </w:t>
      </w:r>
      <w:r w:rsidR="00B61220" w:rsidRPr="00307013">
        <w:rPr>
          <w:rFonts w:cs="Arial"/>
        </w:rPr>
        <w:t>count</w:t>
      </w:r>
      <w:r w:rsidR="0061208C">
        <w:rPr>
          <w:rFonts w:cs="Arial"/>
        </w:rPr>
        <w:t>s:</w:t>
      </w:r>
      <w:r w:rsidR="00B61220" w:rsidRPr="00307013">
        <w:rPr>
          <w:rFonts w:cs="Arial"/>
        </w:rPr>
        <w:t xml:space="preserve"> robbery with aggravating circumstances (Count 1)</w:t>
      </w:r>
      <w:r w:rsidR="0061208C">
        <w:rPr>
          <w:rFonts w:cs="Arial"/>
        </w:rPr>
        <w:t>;</w:t>
      </w:r>
      <w:r w:rsidR="00B61220" w:rsidRPr="00307013">
        <w:rPr>
          <w:rFonts w:cs="Arial"/>
        </w:rPr>
        <w:t xml:space="preserve"> kidnapping (Count 2)</w:t>
      </w:r>
      <w:r w:rsidR="0061208C">
        <w:rPr>
          <w:rFonts w:cs="Arial"/>
        </w:rPr>
        <w:t>;</w:t>
      </w:r>
      <w:r w:rsidR="00B61220" w:rsidRPr="00307013">
        <w:rPr>
          <w:rFonts w:cs="Arial"/>
        </w:rPr>
        <w:t xml:space="preserve"> attempted murder (Count 3)</w:t>
      </w:r>
      <w:r w:rsidR="0061208C">
        <w:rPr>
          <w:rFonts w:cs="Arial"/>
        </w:rPr>
        <w:t>;</w:t>
      </w:r>
      <w:r w:rsidR="00B61220" w:rsidRPr="00307013">
        <w:rPr>
          <w:rFonts w:cs="Arial"/>
        </w:rPr>
        <w:t xml:space="preserve"> possession of a prohibited firearm (Count 4)</w:t>
      </w:r>
      <w:r w:rsidR="0061208C">
        <w:rPr>
          <w:rFonts w:cs="Arial"/>
        </w:rPr>
        <w:t>;</w:t>
      </w:r>
      <w:r w:rsidR="00B61220" w:rsidRPr="00307013">
        <w:rPr>
          <w:rFonts w:cs="Arial"/>
        </w:rPr>
        <w:t xml:space="preserve"> </w:t>
      </w:r>
      <w:r w:rsidR="009E4C6D">
        <w:rPr>
          <w:rFonts w:cs="Arial"/>
        </w:rPr>
        <w:t xml:space="preserve">the unlawful </w:t>
      </w:r>
      <w:r w:rsidR="00B61220" w:rsidRPr="00307013">
        <w:rPr>
          <w:rFonts w:cs="Arial"/>
        </w:rPr>
        <w:t>possession of ammunition (Count</w:t>
      </w:r>
      <w:r w:rsidR="0061208C">
        <w:rPr>
          <w:rFonts w:cs="Arial"/>
        </w:rPr>
        <w:t> </w:t>
      </w:r>
      <w:r w:rsidR="00B61220" w:rsidRPr="00307013">
        <w:rPr>
          <w:rFonts w:cs="Arial"/>
        </w:rPr>
        <w:t>5)</w:t>
      </w:r>
      <w:r w:rsidR="0061208C">
        <w:rPr>
          <w:rFonts w:cs="Arial"/>
        </w:rPr>
        <w:t>;</w:t>
      </w:r>
      <w:r w:rsidR="00B61220" w:rsidRPr="00307013">
        <w:rPr>
          <w:rFonts w:cs="Arial"/>
        </w:rPr>
        <w:t xml:space="preserve"> possession of a firearm without holding a licence, permit or authorisation issued in terms of the Firearms Control Act 60 of 2000</w:t>
      </w:r>
      <w:r w:rsidR="0061208C">
        <w:rPr>
          <w:rFonts w:cs="Arial"/>
        </w:rPr>
        <w:t xml:space="preserve"> (‘the Act’)</w:t>
      </w:r>
      <w:r w:rsidR="00B61220" w:rsidRPr="00307013">
        <w:rPr>
          <w:rFonts w:cs="Arial"/>
        </w:rPr>
        <w:t xml:space="preserve"> (Count 6)</w:t>
      </w:r>
      <w:r w:rsidR="0061208C">
        <w:rPr>
          <w:rFonts w:cs="Arial"/>
        </w:rPr>
        <w:t>;</w:t>
      </w:r>
      <w:r w:rsidR="00B61220" w:rsidRPr="00307013">
        <w:rPr>
          <w:rFonts w:cs="Arial"/>
        </w:rPr>
        <w:t xml:space="preserve"> possession of ammunition without being the holder</w:t>
      </w:r>
      <w:r w:rsidR="001E2FB4" w:rsidRPr="00307013">
        <w:rPr>
          <w:rFonts w:cs="Arial"/>
        </w:rPr>
        <w:t xml:space="preserve"> of a </w:t>
      </w:r>
      <w:r w:rsidR="001E2FB4" w:rsidRPr="00307013">
        <w:rPr>
          <w:rFonts w:cs="Arial"/>
        </w:rPr>
        <w:lastRenderedPageBreak/>
        <w:t xml:space="preserve">license in respect of the firearm capable of discharging that ammunition, or a permit to possess </w:t>
      </w:r>
      <w:r w:rsidR="009E4C6D">
        <w:rPr>
          <w:rFonts w:cs="Arial"/>
        </w:rPr>
        <w:t xml:space="preserve">the </w:t>
      </w:r>
      <w:r w:rsidR="001E2FB4" w:rsidRPr="00307013">
        <w:rPr>
          <w:rFonts w:cs="Arial"/>
        </w:rPr>
        <w:t xml:space="preserve">ammunition </w:t>
      </w:r>
      <w:r w:rsidR="002D16AC" w:rsidRPr="00307013">
        <w:rPr>
          <w:rFonts w:cs="Arial"/>
        </w:rPr>
        <w:t xml:space="preserve">(Count 7). </w:t>
      </w:r>
    </w:p>
    <w:p w:rsidR="006C3464" w:rsidRPr="00307013" w:rsidRDefault="006C3464" w:rsidP="00831BF1">
      <w:pPr>
        <w:tabs>
          <w:tab w:val="left" w:pos="851"/>
        </w:tabs>
        <w:spacing w:line="360" w:lineRule="auto"/>
        <w:jc w:val="both"/>
        <w:rPr>
          <w:rFonts w:cs="Arial"/>
        </w:rPr>
      </w:pPr>
    </w:p>
    <w:p w:rsidR="00DD7C85" w:rsidRPr="00307013" w:rsidRDefault="00D76063" w:rsidP="00D76063">
      <w:pPr>
        <w:tabs>
          <w:tab w:val="left" w:pos="851"/>
        </w:tabs>
        <w:spacing w:line="360" w:lineRule="auto"/>
        <w:jc w:val="both"/>
        <w:rPr>
          <w:rFonts w:cs="Arial"/>
        </w:rPr>
      </w:pPr>
      <w:r w:rsidRPr="00307013">
        <w:rPr>
          <w:rFonts w:cs="Arial"/>
        </w:rPr>
        <w:t>[2]</w:t>
      </w:r>
      <w:r w:rsidRPr="00307013">
        <w:rPr>
          <w:rFonts w:cs="Arial"/>
        </w:rPr>
        <w:tab/>
      </w:r>
      <w:r w:rsidR="002D16AC" w:rsidRPr="00307013">
        <w:rPr>
          <w:rFonts w:cs="Arial"/>
        </w:rPr>
        <w:t>On the 26</w:t>
      </w:r>
      <w:r w:rsidR="002D16AC" w:rsidRPr="00307013">
        <w:rPr>
          <w:rFonts w:cs="Arial"/>
          <w:vertAlign w:val="superscript"/>
        </w:rPr>
        <w:t>th</w:t>
      </w:r>
      <w:r w:rsidR="002D16AC" w:rsidRPr="00307013">
        <w:rPr>
          <w:rFonts w:cs="Arial"/>
        </w:rPr>
        <w:t xml:space="preserve"> April 2019, the </w:t>
      </w:r>
      <w:r w:rsidR="00163526" w:rsidRPr="00307013">
        <w:rPr>
          <w:rFonts w:cs="Arial"/>
        </w:rPr>
        <w:t>f</w:t>
      </w:r>
      <w:r w:rsidR="002D16AC" w:rsidRPr="00307013">
        <w:rPr>
          <w:rFonts w:cs="Arial"/>
        </w:rPr>
        <w:t xml:space="preserve">irst </w:t>
      </w:r>
      <w:r w:rsidR="00163526" w:rsidRPr="00307013">
        <w:rPr>
          <w:rFonts w:cs="Arial"/>
        </w:rPr>
        <w:t>a</w:t>
      </w:r>
      <w:r w:rsidR="002D16AC" w:rsidRPr="00307013">
        <w:rPr>
          <w:rFonts w:cs="Arial"/>
        </w:rPr>
        <w:t xml:space="preserve">ppellant was convicted on Counts 4 and 5, possession of a prohibited firearm and possession of ammunition. </w:t>
      </w:r>
    </w:p>
    <w:p w:rsidR="00163526" w:rsidRPr="00307013" w:rsidRDefault="00163526" w:rsidP="00831BF1">
      <w:pPr>
        <w:tabs>
          <w:tab w:val="left" w:pos="851"/>
        </w:tabs>
        <w:spacing w:line="360" w:lineRule="auto"/>
        <w:jc w:val="both"/>
        <w:rPr>
          <w:rFonts w:cs="Arial"/>
        </w:rPr>
      </w:pPr>
    </w:p>
    <w:p w:rsidR="00DD7C85" w:rsidRPr="00307013" w:rsidRDefault="00D76063" w:rsidP="00D76063">
      <w:pPr>
        <w:tabs>
          <w:tab w:val="left" w:pos="851"/>
        </w:tabs>
        <w:spacing w:line="360" w:lineRule="auto"/>
        <w:jc w:val="both"/>
        <w:rPr>
          <w:rFonts w:cs="Arial"/>
        </w:rPr>
      </w:pPr>
      <w:r w:rsidRPr="00307013">
        <w:rPr>
          <w:rFonts w:cs="Arial"/>
        </w:rPr>
        <w:t>[3]</w:t>
      </w:r>
      <w:r w:rsidRPr="00307013">
        <w:rPr>
          <w:rFonts w:cs="Arial"/>
        </w:rPr>
        <w:tab/>
      </w:r>
      <w:r w:rsidR="002D16AC" w:rsidRPr="00307013">
        <w:rPr>
          <w:rFonts w:cs="Arial"/>
        </w:rPr>
        <w:t xml:space="preserve">The </w:t>
      </w:r>
      <w:r w:rsidR="00163526" w:rsidRPr="00307013">
        <w:rPr>
          <w:rFonts w:cs="Arial"/>
        </w:rPr>
        <w:t>se</w:t>
      </w:r>
      <w:r w:rsidR="002D16AC" w:rsidRPr="00307013">
        <w:rPr>
          <w:rFonts w:cs="Arial"/>
        </w:rPr>
        <w:t xml:space="preserve">cond </w:t>
      </w:r>
      <w:r w:rsidR="00163526" w:rsidRPr="00307013">
        <w:rPr>
          <w:rFonts w:cs="Arial"/>
        </w:rPr>
        <w:t>a</w:t>
      </w:r>
      <w:r w:rsidR="002D16AC" w:rsidRPr="00307013">
        <w:rPr>
          <w:rFonts w:cs="Arial"/>
        </w:rPr>
        <w:t xml:space="preserve">ppellant was convicted </w:t>
      </w:r>
      <w:r w:rsidR="00340488">
        <w:rPr>
          <w:rFonts w:cs="Arial"/>
        </w:rPr>
        <w:t>i</w:t>
      </w:r>
      <w:r w:rsidR="002D16AC" w:rsidRPr="00307013">
        <w:rPr>
          <w:rFonts w:cs="Arial"/>
        </w:rPr>
        <w:t>n Counts 1, 2, 6 and 7, robbery with aggravat</w:t>
      </w:r>
      <w:r w:rsidR="00200829">
        <w:rPr>
          <w:rFonts w:cs="Arial"/>
        </w:rPr>
        <w:t>ing</w:t>
      </w:r>
      <w:r w:rsidR="002D16AC" w:rsidRPr="00307013">
        <w:rPr>
          <w:rFonts w:cs="Arial"/>
        </w:rPr>
        <w:t xml:space="preserve"> circumstances, kidnapping, possession of a firearm and possession of ammunition. </w:t>
      </w:r>
    </w:p>
    <w:p w:rsidR="00163526" w:rsidRPr="00307013" w:rsidRDefault="00163526" w:rsidP="00831BF1">
      <w:pPr>
        <w:pStyle w:val="ListParagraph"/>
        <w:spacing w:line="360" w:lineRule="auto"/>
        <w:rPr>
          <w:rFonts w:cs="Arial"/>
        </w:rPr>
      </w:pPr>
    </w:p>
    <w:p w:rsidR="00DD7C85" w:rsidRPr="00307013" w:rsidRDefault="00D76063" w:rsidP="00D76063">
      <w:pPr>
        <w:tabs>
          <w:tab w:val="left" w:pos="851"/>
        </w:tabs>
        <w:spacing w:line="360" w:lineRule="auto"/>
        <w:jc w:val="both"/>
        <w:rPr>
          <w:rFonts w:cs="Arial"/>
        </w:rPr>
      </w:pPr>
      <w:r w:rsidRPr="00307013">
        <w:rPr>
          <w:rFonts w:cs="Arial"/>
        </w:rPr>
        <w:t>[4]</w:t>
      </w:r>
      <w:r w:rsidRPr="00307013">
        <w:rPr>
          <w:rFonts w:cs="Arial"/>
        </w:rPr>
        <w:tab/>
      </w:r>
      <w:r w:rsidR="002D16AC" w:rsidRPr="00307013">
        <w:rPr>
          <w:rFonts w:cs="Arial"/>
        </w:rPr>
        <w:t xml:space="preserve">The </w:t>
      </w:r>
      <w:r w:rsidR="00163526" w:rsidRPr="00307013">
        <w:rPr>
          <w:rFonts w:cs="Arial"/>
        </w:rPr>
        <w:t>f</w:t>
      </w:r>
      <w:r w:rsidR="002D16AC" w:rsidRPr="00307013">
        <w:rPr>
          <w:rFonts w:cs="Arial"/>
        </w:rPr>
        <w:t xml:space="preserve">irst </w:t>
      </w:r>
      <w:r w:rsidR="00163526" w:rsidRPr="00307013">
        <w:rPr>
          <w:rFonts w:cs="Arial"/>
        </w:rPr>
        <w:t>a</w:t>
      </w:r>
      <w:r w:rsidR="002D16AC" w:rsidRPr="00307013">
        <w:rPr>
          <w:rFonts w:cs="Arial"/>
        </w:rPr>
        <w:t xml:space="preserve">ppellant was sentenced to </w:t>
      </w:r>
      <w:r w:rsidR="0061208C">
        <w:rPr>
          <w:rFonts w:cs="Arial"/>
        </w:rPr>
        <w:t>ten</w:t>
      </w:r>
      <w:r w:rsidR="0061208C" w:rsidRPr="00307013">
        <w:rPr>
          <w:rFonts w:cs="Arial"/>
        </w:rPr>
        <w:t xml:space="preserve"> </w:t>
      </w:r>
      <w:r w:rsidR="002D16AC" w:rsidRPr="00307013">
        <w:rPr>
          <w:rFonts w:cs="Arial"/>
        </w:rPr>
        <w:t>years</w:t>
      </w:r>
      <w:r w:rsidR="0061208C">
        <w:rPr>
          <w:rFonts w:cs="Arial"/>
        </w:rPr>
        <w:t>’</w:t>
      </w:r>
      <w:r w:rsidR="002D16AC" w:rsidRPr="00307013">
        <w:rPr>
          <w:rFonts w:cs="Arial"/>
        </w:rPr>
        <w:t xml:space="preserve"> imprisonment on Count 4 and </w:t>
      </w:r>
      <w:r w:rsidR="0061208C">
        <w:rPr>
          <w:rFonts w:cs="Arial"/>
        </w:rPr>
        <w:t>two</w:t>
      </w:r>
      <w:r w:rsidR="0061208C" w:rsidRPr="00307013">
        <w:rPr>
          <w:rFonts w:cs="Arial"/>
        </w:rPr>
        <w:t xml:space="preserve"> </w:t>
      </w:r>
      <w:r w:rsidR="002D16AC" w:rsidRPr="00307013">
        <w:rPr>
          <w:rFonts w:cs="Arial"/>
        </w:rPr>
        <w:t>years</w:t>
      </w:r>
      <w:r w:rsidR="0061208C">
        <w:rPr>
          <w:rFonts w:cs="Arial"/>
        </w:rPr>
        <w:t>’</w:t>
      </w:r>
      <w:r w:rsidR="0061208C" w:rsidRPr="0061208C">
        <w:rPr>
          <w:rFonts w:cs="Arial"/>
        </w:rPr>
        <w:t xml:space="preserve"> </w:t>
      </w:r>
      <w:r w:rsidR="0061208C" w:rsidRPr="00307013">
        <w:rPr>
          <w:rFonts w:cs="Arial"/>
        </w:rPr>
        <w:t>imprisonment</w:t>
      </w:r>
      <w:r w:rsidR="0061208C">
        <w:rPr>
          <w:rFonts w:cs="Arial"/>
        </w:rPr>
        <w:t xml:space="preserve"> </w:t>
      </w:r>
      <w:r w:rsidR="002D16AC" w:rsidRPr="00307013">
        <w:rPr>
          <w:rFonts w:cs="Arial"/>
        </w:rPr>
        <w:t>on Count 5</w:t>
      </w:r>
      <w:r w:rsidR="009E4C6D">
        <w:rPr>
          <w:rFonts w:cs="Arial"/>
        </w:rPr>
        <w:t>, with</w:t>
      </w:r>
      <w:r w:rsidR="002D16AC" w:rsidRPr="00307013">
        <w:rPr>
          <w:rFonts w:cs="Arial"/>
        </w:rPr>
        <w:t xml:space="preserve"> the sentences imposed to run concurrently.</w:t>
      </w:r>
    </w:p>
    <w:p w:rsidR="00163526" w:rsidRPr="00307013" w:rsidRDefault="00163526" w:rsidP="00831BF1">
      <w:pPr>
        <w:pStyle w:val="ListParagraph"/>
        <w:spacing w:line="360" w:lineRule="auto"/>
        <w:rPr>
          <w:rFonts w:cs="Arial"/>
        </w:rPr>
      </w:pPr>
    </w:p>
    <w:p w:rsidR="002D16AC" w:rsidRPr="00307013" w:rsidRDefault="00D76063" w:rsidP="00D76063">
      <w:pPr>
        <w:tabs>
          <w:tab w:val="left" w:pos="851"/>
        </w:tabs>
        <w:spacing w:line="360" w:lineRule="auto"/>
        <w:jc w:val="both"/>
        <w:rPr>
          <w:rFonts w:cs="Arial"/>
        </w:rPr>
      </w:pPr>
      <w:r w:rsidRPr="00307013">
        <w:rPr>
          <w:rFonts w:cs="Arial"/>
        </w:rPr>
        <w:t>[5]</w:t>
      </w:r>
      <w:r w:rsidRPr="00307013">
        <w:rPr>
          <w:rFonts w:cs="Arial"/>
        </w:rPr>
        <w:tab/>
      </w:r>
      <w:r w:rsidR="002D16AC" w:rsidRPr="00307013">
        <w:rPr>
          <w:rFonts w:cs="Arial"/>
        </w:rPr>
        <w:t xml:space="preserve">The </w:t>
      </w:r>
      <w:r w:rsidR="00163526" w:rsidRPr="00307013">
        <w:rPr>
          <w:rFonts w:cs="Arial"/>
        </w:rPr>
        <w:t>s</w:t>
      </w:r>
      <w:r w:rsidR="002D16AC" w:rsidRPr="00307013">
        <w:rPr>
          <w:rFonts w:cs="Arial"/>
        </w:rPr>
        <w:t xml:space="preserve">econd </w:t>
      </w:r>
      <w:r w:rsidR="00163526" w:rsidRPr="00307013">
        <w:rPr>
          <w:rFonts w:cs="Arial"/>
        </w:rPr>
        <w:t>a</w:t>
      </w:r>
      <w:r w:rsidR="002D16AC" w:rsidRPr="00307013">
        <w:rPr>
          <w:rFonts w:cs="Arial"/>
        </w:rPr>
        <w:t xml:space="preserve">ppellant was sentenced to 13 years on Count 1, </w:t>
      </w:r>
      <w:r w:rsidR="0061208C">
        <w:rPr>
          <w:rFonts w:cs="Arial"/>
        </w:rPr>
        <w:t xml:space="preserve">five </w:t>
      </w:r>
      <w:r w:rsidR="002D16AC" w:rsidRPr="00307013">
        <w:rPr>
          <w:rFonts w:cs="Arial"/>
        </w:rPr>
        <w:t>years on Count 2</w:t>
      </w:r>
      <w:r w:rsidR="00D745A4">
        <w:rPr>
          <w:rFonts w:cs="Arial"/>
        </w:rPr>
        <w:t xml:space="preserve"> (both to run concurrently)</w:t>
      </w:r>
      <w:r w:rsidR="002D16AC" w:rsidRPr="00307013">
        <w:rPr>
          <w:rFonts w:cs="Arial"/>
        </w:rPr>
        <w:t xml:space="preserve">, </w:t>
      </w:r>
      <w:r w:rsidR="0061208C">
        <w:rPr>
          <w:rFonts w:cs="Arial"/>
        </w:rPr>
        <w:t>eight</w:t>
      </w:r>
      <w:r w:rsidR="0061208C" w:rsidRPr="00307013">
        <w:rPr>
          <w:rFonts w:cs="Arial"/>
        </w:rPr>
        <w:t xml:space="preserve"> </w:t>
      </w:r>
      <w:r w:rsidR="002D16AC" w:rsidRPr="00307013">
        <w:rPr>
          <w:rFonts w:cs="Arial"/>
        </w:rPr>
        <w:t xml:space="preserve">years on Count 6 and </w:t>
      </w:r>
      <w:r w:rsidR="0061208C">
        <w:rPr>
          <w:rFonts w:cs="Arial"/>
        </w:rPr>
        <w:t>two</w:t>
      </w:r>
      <w:r w:rsidR="0061208C" w:rsidRPr="00307013">
        <w:rPr>
          <w:rFonts w:cs="Arial"/>
        </w:rPr>
        <w:t xml:space="preserve"> </w:t>
      </w:r>
      <w:r w:rsidR="002D16AC" w:rsidRPr="00307013">
        <w:rPr>
          <w:rFonts w:cs="Arial"/>
        </w:rPr>
        <w:t>years on Count 7</w:t>
      </w:r>
      <w:r w:rsidR="00682B95">
        <w:rPr>
          <w:rFonts w:cs="Arial"/>
        </w:rPr>
        <w:t xml:space="preserve"> </w:t>
      </w:r>
      <w:r w:rsidR="00D745A4">
        <w:rPr>
          <w:rFonts w:cs="Arial"/>
        </w:rPr>
        <w:t xml:space="preserve">(both </w:t>
      </w:r>
      <w:r w:rsidR="002D16AC" w:rsidRPr="00307013">
        <w:rPr>
          <w:rFonts w:cs="Arial"/>
        </w:rPr>
        <w:t>to run concurrently</w:t>
      </w:r>
      <w:r w:rsidR="00D745A4">
        <w:rPr>
          <w:rFonts w:cs="Arial"/>
        </w:rPr>
        <w:t>)</w:t>
      </w:r>
      <w:r w:rsidR="002D16AC" w:rsidRPr="00307013">
        <w:rPr>
          <w:rFonts w:cs="Arial"/>
        </w:rPr>
        <w:t>.</w:t>
      </w:r>
      <w:r w:rsidR="00D745A4">
        <w:rPr>
          <w:rFonts w:cs="Arial"/>
        </w:rPr>
        <w:t xml:space="preserve"> The effective term of imprisonment then, was 21 years.</w:t>
      </w:r>
    </w:p>
    <w:p w:rsidR="002D16AC" w:rsidRPr="00307013" w:rsidRDefault="002D16AC" w:rsidP="00831BF1">
      <w:pPr>
        <w:tabs>
          <w:tab w:val="left" w:pos="851"/>
        </w:tabs>
        <w:spacing w:line="360" w:lineRule="auto"/>
        <w:jc w:val="both"/>
        <w:rPr>
          <w:rFonts w:cs="Arial"/>
        </w:rPr>
      </w:pPr>
    </w:p>
    <w:p w:rsidR="002D16AC" w:rsidRPr="00307013" w:rsidRDefault="00D76063" w:rsidP="00D76063">
      <w:pPr>
        <w:tabs>
          <w:tab w:val="left" w:pos="851"/>
        </w:tabs>
        <w:spacing w:line="360" w:lineRule="auto"/>
        <w:jc w:val="both"/>
        <w:rPr>
          <w:rFonts w:cs="Arial"/>
        </w:rPr>
      </w:pPr>
      <w:r w:rsidRPr="00307013">
        <w:rPr>
          <w:rFonts w:cs="Arial"/>
        </w:rPr>
        <w:t>[6]</w:t>
      </w:r>
      <w:r w:rsidRPr="00307013">
        <w:rPr>
          <w:rFonts w:cs="Arial"/>
        </w:rPr>
        <w:tab/>
      </w:r>
      <w:r w:rsidR="002D16AC" w:rsidRPr="00307013">
        <w:rPr>
          <w:rFonts w:cs="Arial"/>
        </w:rPr>
        <w:t xml:space="preserve">The </w:t>
      </w:r>
      <w:r w:rsidR="00163526" w:rsidRPr="00307013">
        <w:rPr>
          <w:rFonts w:cs="Arial"/>
        </w:rPr>
        <w:t>a</w:t>
      </w:r>
      <w:r w:rsidR="002D16AC" w:rsidRPr="00307013">
        <w:rPr>
          <w:rFonts w:cs="Arial"/>
        </w:rPr>
        <w:t xml:space="preserve">ppellants applied for leave to appeal against the conviction and sentence from the </w:t>
      </w:r>
      <w:r w:rsidR="00163526" w:rsidRPr="00307013">
        <w:rPr>
          <w:rFonts w:cs="Arial"/>
        </w:rPr>
        <w:t>c</w:t>
      </w:r>
      <w:r w:rsidR="002D16AC" w:rsidRPr="00307013">
        <w:rPr>
          <w:rFonts w:cs="Arial"/>
        </w:rPr>
        <w:t xml:space="preserve">ourt </w:t>
      </w:r>
      <w:r w:rsidR="002D16AC" w:rsidRPr="00627364">
        <w:rPr>
          <w:rFonts w:cs="Arial"/>
          <w:i/>
          <w:iCs/>
        </w:rPr>
        <w:t>a quo</w:t>
      </w:r>
      <w:r w:rsidR="002D16AC" w:rsidRPr="00307013">
        <w:rPr>
          <w:rFonts w:cs="Arial"/>
        </w:rPr>
        <w:t xml:space="preserve"> and leave was granted.</w:t>
      </w:r>
    </w:p>
    <w:p w:rsidR="002D16AC" w:rsidRPr="00307013" w:rsidRDefault="002D16AC" w:rsidP="00831BF1">
      <w:pPr>
        <w:pStyle w:val="ListParagraph"/>
        <w:spacing w:line="360" w:lineRule="auto"/>
        <w:rPr>
          <w:rFonts w:cs="Arial"/>
        </w:rPr>
      </w:pPr>
    </w:p>
    <w:p w:rsidR="002D16AC" w:rsidRDefault="00D76063" w:rsidP="00D76063">
      <w:pPr>
        <w:tabs>
          <w:tab w:val="left" w:pos="851"/>
        </w:tabs>
        <w:spacing w:line="360" w:lineRule="auto"/>
        <w:jc w:val="both"/>
        <w:rPr>
          <w:rFonts w:cs="Arial"/>
        </w:rPr>
      </w:pPr>
      <w:r>
        <w:rPr>
          <w:rFonts w:cs="Arial"/>
        </w:rPr>
        <w:t>[7]</w:t>
      </w:r>
      <w:r>
        <w:rPr>
          <w:rFonts w:cs="Arial"/>
        </w:rPr>
        <w:tab/>
      </w:r>
      <w:r w:rsidR="002901BC" w:rsidRPr="00307013">
        <w:rPr>
          <w:rFonts w:cs="Arial"/>
        </w:rPr>
        <w:t>In respect of the conv</w:t>
      </w:r>
      <w:r w:rsidR="00CF109A" w:rsidRPr="00307013">
        <w:rPr>
          <w:rFonts w:cs="Arial"/>
        </w:rPr>
        <w:t xml:space="preserve">iction, </w:t>
      </w:r>
      <w:r w:rsidR="000F7590">
        <w:rPr>
          <w:rFonts w:cs="Arial"/>
        </w:rPr>
        <w:t xml:space="preserve">both appellants contend that the chain </w:t>
      </w:r>
      <w:r w:rsidR="00682B95">
        <w:rPr>
          <w:rFonts w:cs="Arial"/>
        </w:rPr>
        <w:t xml:space="preserve">of </w:t>
      </w:r>
      <w:r w:rsidR="000F7590">
        <w:rPr>
          <w:rFonts w:cs="Arial"/>
        </w:rPr>
        <w:t>evidence was broken</w:t>
      </w:r>
      <w:r w:rsidR="00200829">
        <w:rPr>
          <w:rFonts w:cs="Arial"/>
        </w:rPr>
        <w:t>,</w:t>
      </w:r>
      <w:r w:rsidR="000F7590">
        <w:rPr>
          <w:rFonts w:cs="Arial"/>
        </w:rPr>
        <w:t xml:space="preserve"> </w:t>
      </w:r>
      <w:r w:rsidR="00200829">
        <w:rPr>
          <w:rFonts w:cs="Arial"/>
        </w:rPr>
        <w:t>linking them</w:t>
      </w:r>
      <w:r w:rsidR="000F7590">
        <w:rPr>
          <w:rFonts w:cs="Arial"/>
        </w:rPr>
        <w:t xml:space="preserve"> to the firearms and ammunition recovered at the scene because there was no proper description, handling, packaging and examination from seizure to final analysis.</w:t>
      </w:r>
    </w:p>
    <w:p w:rsidR="00E74CF3" w:rsidRDefault="00E74CF3" w:rsidP="00831BF1">
      <w:pPr>
        <w:pStyle w:val="ListParagraph"/>
        <w:spacing w:line="360" w:lineRule="auto"/>
        <w:rPr>
          <w:rFonts w:cs="Arial"/>
        </w:rPr>
      </w:pPr>
    </w:p>
    <w:p w:rsidR="00E74CF3" w:rsidRDefault="00D76063" w:rsidP="00D76063">
      <w:pPr>
        <w:tabs>
          <w:tab w:val="left" w:pos="851"/>
        </w:tabs>
        <w:spacing w:line="360" w:lineRule="auto"/>
        <w:jc w:val="both"/>
        <w:rPr>
          <w:rFonts w:cs="Arial"/>
        </w:rPr>
      </w:pPr>
      <w:r>
        <w:rPr>
          <w:rFonts w:cs="Arial"/>
        </w:rPr>
        <w:t>[8]</w:t>
      </w:r>
      <w:r>
        <w:rPr>
          <w:rFonts w:cs="Arial"/>
        </w:rPr>
        <w:tab/>
      </w:r>
      <w:r w:rsidR="00E74CF3">
        <w:rPr>
          <w:rFonts w:cs="Arial"/>
        </w:rPr>
        <w:t>According to the second appellant, the state witnesses could not have been able to identify him because his facial features could not have been visible.</w:t>
      </w:r>
    </w:p>
    <w:p w:rsidR="00E74CF3" w:rsidRDefault="00E74CF3" w:rsidP="00831BF1">
      <w:pPr>
        <w:pStyle w:val="ListParagraph"/>
        <w:spacing w:line="360" w:lineRule="auto"/>
        <w:rPr>
          <w:rFonts w:cs="Arial"/>
        </w:rPr>
      </w:pPr>
    </w:p>
    <w:p w:rsidR="00E74CF3" w:rsidRDefault="00D76063" w:rsidP="00D76063">
      <w:pPr>
        <w:tabs>
          <w:tab w:val="left" w:pos="851"/>
        </w:tabs>
        <w:spacing w:line="360" w:lineRule="auto"/>
        <w:jc w:val="both"/>
        <w:rPr>
          <w:rFonts w:cs="Arial"/>
        </w:rPr>
      </w:pPr>
      <w:r>
        <w:rPr>
          <w:rFonts w:cs="Arial"/>
        </w:rPr>
        <w:lastRenderedPageBreak/>
        <w:t>[9]</w:t>
      </w:r>
      <w:r>
        <w:rPr>
          <w:rFonts w:cs="Arial"/>
        </w:rPr>
        <w:tab/>
      </w:r>
      <w:r w:rsidR="00E74CF3">
        <w:rPr>
          <w:rFonts w:cs="Arial"/>
        </w:rPr>
        <w:t>The second appellant contends that his photograph that appeared in the 20</w:t>
      </w:r>
      <w:r w:rsidR="00E74CF3" w:rsidRPr="00E74CF3">
        <w:rPr>
          <w:rFonts w:cs="Arial"/>
          <w:vertAlign w:val="superscript"/>
        </w:rPr>
        <w:t>th</w:t>
      </w:r>
      <w:r w:rsidR="00E74CF3">
        <w:rPr>
          <w:rFonts w:cs="Arial"/>
        </w:rPr>
        <w:t xml:space="preserve"> January 2017 Zululand Observer publication</w:t>
      </w:r>
      <w:r w:rsidR="00682B95">
        <w:rPr>
          <w:rFonts w:cs="Arial"/>
        </w:rPr>
        <w:t>,</w:t>
      </w:r>
      <w:r w:rsidR="00E74CF3">
        <w:rPr>
          <w:rFonts w:cs="Arial"/>
        </w:rPr>
        <w:t xml:space="preserve"> </w:t>
      </w:r>
      <w:r w:rsidR="00682B95">
        <w:rPr>
          <w:rFonts w:cs="Arial"/>
        </w:rPr>
        <w:t xml:space="preserve">probably </w:t>
      </w:r>
      <w:r w:rsidR="00E74CF3">
        <w:rPr>
          <w:rFonts w:cs="Arial"/>
        </w:rPr>
        <w:t>came to the attention of the state witnesses prior to the identification parade.</w:t>
      </w:r>
    </w:p>
    <w:p w:rsidR="00E74CF3" w:rsidRDefault="00E74CF3" w:rsidP="00831BF1">
      <w:pPr>
        <w:pStyle w:val="ListParagraph"/>
        <w:spacing w:line="360" w:lineRule="auto"/>
        <w:rPr>
          <w:rFonts w:cs="Arial"/>
        </w:rPr>
      </w:pPr>
    </w:p>
    <w:p w:rsidR="00E74CF3" w:rsidRDefault="00D76063" w:rsidP="00D76063">
      <w:pPr>
        <w:tabs>
          <w:tab w:val="left" w:pos="851"/>
        </w:tabs>
        <w:spacing w:line="360" w:lineRule="auto"/>
        <w:jc w:val="both"/>
        <w:rPr>
          <w:rFonts w:cs="Arial"/>
        </w:rPr>
      </w:pPr>
      <w:r>
        <w:rPr>
          <w:rFonts w:cs="Arial"/>
        </w:rPr>
        <w:t>[10]</w:t>
      </w:r>
      <w:r>
        <w:rPr>
          <w:rFonts w:cs="Arial"/>
        </w:rPr>
        <w:tab/>
      </w:r>
      <w:r w:rsidR="00E74CF3">
        <w:rPr>
          <w:rFonts w:cs="Arial"/>
        </w:rPr>
        <w:t xml:space="preserve">Furthermore, the second appellant wants this court to draw an </w:t>
      </w:r>
      <w:r w:rsidR="00350B03">
        <w:rPr>
          <w:rFonts w:cs="Arial"/>
        </w:rPr>
        <w:t xml:space="preserve">adverse </w:t>
      </w:r>
      <w:r w:rsidR="00E74CF3">
        <w:rPr>
          <w:rFonts w:cs="Arial"/>
        </w:rPr>
        <w:t>inference</w:t>
      </w:r>
      <w:r w:rsidR="00350B03">
        <w:rPr>
          <w:rFonts w:cs="Arial"/>
        </w:rPr>
        <w:t xml:space="preserve"> because Ms Ngema made a short statement on the date of the incident</w:t>
      </w:r>
      <w:r w:rsidR="00682B95">
        <w:rPr>
          <w:rFonts w:cs="Arial"/>
        </w:rPr>
        <w:t>,</w:t>
      </w:r>
      <w:r w:rsidR="00350B03">
        <w:rPr>
          <w:rFonts w:cs="Arial"/>
        </w:rPr>
        <w:t xml:space="preserve"> and stated that she was unable to identify any of the suspects. Three months</w:t>
      </w:r>
      <w:r w:rsidR="00682B95">
        <w:rPr>
          <w:rFonts w:cs="Arial"/>
        </w:rPr>
        <w:t>’</w:t>
      </w:r>
      <w:r w:rsidR="00350B03">
        <w:rPr>
          <w:rFonts w:cs="Arial"/>
        </w:rPr>
        <w:t xml:space="preserve"> later Ms Ngema made a detailed statement in which she stated that she would be able to identify the suspect that was guarding her. </w:t>
      </w:r>
    </w:p>
    <w:p w:rsidR="000F7590" w:rsidRDefault="000F7590" w:rsidP="00831BF1">
      <w:pPr>
        <w:pStyle w:val="ListParagraph"/>
        <w:spacing w:line="360" w:lineRule="auto"/>
        <w:rPr>
          <w:rFonts w:cs="Arial"/>
        </w:rPr>
      </w:pPr>
    </w:p>
    <w:p w:rsidR="000F7590" w:rsidRPr="00B27161" w:rsidRDefault="00D76063" w:rsidP="00D76063">
      <w:pPr>
        <w:tabs>
          <w:tab w:val="left" w:pos="851"/>
        </w:tabs>
        <w:spacing w:line="360" w:lineRule="auto"/>
        <w:jc w:val="both"/>
        <w:rPr>
          <w:rFonts w:cs="Arial"/>
        </w:rPr>
      </w:pPr>
      <w:r w:rsidRPr="00B27161">
        <w:rPr>
          <w:rFonts w:cs="Arial"/>
        </w:rPr>
        <w:t>[11]</w:t>
      </w:r>
      <w:r w:rsidRPr="00B27161">
        <w:rPr>
          <w:rFonts w:cs="Arial"/>
        </w:rPr>
        <w:tab/>
      </w:r>
      <w:r w:rsidR="000F7590">
        <w:rPr>
          <w:rFonts w:cs="Arial"/>
        </w:rPr>
        <w:t xml:space="preserve">According to both appellants, the sentences imposed were grossly inappropriate as to induce a sense of shock. They acknowledge that the court </w:t>
      </w:r>
      <w:r w:rsidR="000F7590" w:rsidRPr="000F7590">
        <w:rPr>
          <w:rFonts w:cs="Arial"/>
          <w:i/>
          <w:iCs/>
        </w:rPr>
        <w:t>a</w:t>
      </w:r>
      <w:r w:rsidR="00682B95">
        <w:rPr>
          <w:rFonts w:cs="Arial"/>
          <w:i/>
          <w:iCs/>
        </w:rPr>
        <w:t xml:space="preserve"> </w:t>
      </w:r>
      <w:r w:rsidR="000F7590" w:rsidRPr="000F7590">
        <w:rPr>
          <w:rFonts w:cs="Arial"/>
          <w:i/>
          <w:iCs/>
        </w:rPr>
        <w:t>quo</w:t>
      </w:r>
      <w:r w:rsidR="000F7590">
        <w:rPr>
          <w:rFonts w:cs="Arial"/>
        </w:rPr>
        <w:t xml:space="preserve"> found that there were substantial and compelling circumstances justifying a departure from the prescribed statutory norm</w:t>
      </w:r>
      <w:r w:rsidR="00E74CF3">
        <w:rPr>
          <w:rFonts w:cs="Arial"/>
        </w:rPr>
        <w:t>.</w:t>
      </w:r>
    </w:p>
    <w:p w:rsidR="007105B0" w:rsidRPr="00307013" w:rsidRDefault="007105B0" w:rsidP="00831BF1">
      <w:pPr>
        <w:spacing w:line="360" w:lineRule="auto"/>
        <w:rPr>
          <w:rFonts w:cs="Arial"/>
        </w:rPr>
      </w:pPr>
    </w:p>
    <w:p w:rsidR="001E2FB4" w:rsidRDefault="00D76063" w:rsidP="00D76063">
      <w:pPr>
        <w:tabs>
          <w:tab w:val="left" w:pos="851"/>
        </w:tabs>
        <w:spacing w:line="360" w:lineRule="auto"/>
        <w:jc w:val="both"/>
        <w:rPr>
          <w:rFonts w:cs="Arial"/>
        </w:rPr>
      </w:pPr>
      <w:r>
        <w:rPr>
          <w:rFonts w:cs="Arial"/>
        </w:rPr>
        <w:t>[1</w:t>
      </w:r>
      <w:bookmarkStart w:id="3" w:name="_GoBack"/>
      <w:bookmarkEnd w:id="3"/>
      <w:r>
        <w:rPr>
          <w:rFonts w:cs="Arial"/>
        </w:rPr>
        <w:t>2]</w:t>
      </w:r>
      <w:r>
        <w:rPr>
          <w:rFonts w:cs="Arial"/>
        </w:rPr>
        <w:tab/>
      </w:r>
      <w:r w:rsidR="00E74CF3">
        <w:rPr>
          <w:rFonts w:cs="Arial"/>
        </w:rPr>
        <w:t>T</w:t>
      </w:r>
      <w:r w:rsidR="00872665" w:rsidRPr="00307013">
        <w:rPr>
          <w:rFonts w:cs="Arial"/>
        </w:rPr>
        <w:t xml:space="preserve">he </w:t>
      </w:r>
      <w:r w:rsidR="00307013">
        <w:rPr>
          <w:rFonts w:cs="Arial"/>
        </w:rPr>
        <w:t>s</w:t>
      </w:r>
      <w:r w:rsidR="00872665" w:rsidRPr="00307013">
        <w:rPr>
          <w:rFonts w:cs="Arial"/>
        </w:rPr>
        <w:t xml:space="preserve">econd </w:t>
      </w:r>
      <w:r w:rsidR="00307013">
        <w:rPr>
          <w:rFonts w:cs="Arial"/>
        </w:rPr>
        <w:t>a</w:t>
      </w:r>
      <w:r w:rsidR="00872665" w:rsidRPr="00307013">
        <w:rPr>
          <w:rFonts w:cs="Arial"/>
        </w:rPr>
        <w:t xml:space="preserve">ppellant contends that the </w:t>
      </w:r>
      <w:r w:rsidR="00383BA3">
        <w:rPr>
          <w:rFonts w:cs="Arial"/>
        </w:rPr>
        <w:t xml:space="preserve">court </w:t>
      </w:r>
      <w:r w:rsidR="00383BA3" w:rsidRPr="0077237F">
        <w:rPr>
          <w:rFonts w:cs="Arial"/>
          <w:i/>
        </w:rPr>
        <w:t>a quo</w:t>
      </w:r>
      <w:r w:rsidR="00872665" w:rsidRPr="00307013">
        <w:rPr>
          <w:rFonts w:cs="Arial"/>
        </w:rPr>
        <w:t xml:space="preserve"> did not </w:t>
      </w:r>
      <w:r w:rsidR="00682B95">
        <w:rPr>
          <w:rFonts w:cs="Arial"/>
        </w:rPr>
        <w:t xml:space="preserve">adequately consider </w:t>
      </w:r>
      <w:r w:rsidR="00872665" w:rsidRPr="00307013">
        <w:rPr>
          <w:rFonts w:cs="Arial"/>
        </w:rPr>
        <w:t>his personal circumstances</w:t>
      </w:r>
      <w:r w:rsidR="00383BA3">
        <w:rPr>
          <w:rFonts w:cs="Arial"/>
        </w:rPr>
        <w:t>;</w:t>
      </w:r>
      <w:r w:rsidR="00872665" w:rsidRPr="00307013">
        <w:rPr>
          <w:rFonts w:cs="Arial"/>
        </w:rPr>
        <w:t xml:space="preserve"> there was </w:t>
      </w:r>
      <w:r w:rsidR="00F4684D">
        <w:rPr>
          <w:rFonts w:cs="Arial"/>
        </w:rPr>
        <w:t xml:space="preserve">an </w:t>
      </w:r>
      <w:r w:rsidR="00872665" w:rsidRPr="00307013">
        <w:rPr>
          <w:rFonts w:cs="Arial"/>
        </w:rPr>
        <w:t>overemphasis on the manner in which the offences were committed</w:t>
      </w:r>
      <w:r w:rsidR="00682B95">
        <w:rPr>
          <w:rFonts w:cs="Arial"/>
        </w:rPr>
        <w:t>,</w:t>
      </w:r>
      <w:r w:rsidR="00872665" w:rsidRPr="00307013">
        <w:rPr>
          <w:rFonts w:cs="Arial"/>
        </w:rPr>
        <w:t xml:space="preserve"> and </w:t>
      </w:r>
      <w:r w:rsidR="00383BA3">
        <w:rPr>
          <w:rFonts w:cs="Arial"/>
        </w:rPr>
        <w:t xml:space="preserve">it was </w:t>
      </w:r>
      <w:r w:rsidR="00872665" w:rsidRPr="00307013">
        <w:rPr>
          <w:rFonts w:cs="Arial"/>
        </w:rPr>
        <w:t>ignored that no injuries were afflicted on the complainant and her witnesses. Further</w:t>
      </w:r>
      <w:r w:rsidR="00F4684D">
        <w:rPr>
          <w:rFonts w:cs="Arial"/>
        </w:rPr>
        <w:t>,</w:t>
      </w:r>
      <w:r w:rsidR="00872665" w:rsidRPr="00307013">
        <w:rPr>
          <w:rFonts w:cs="Arial"/>
        </w:rPr>
        <w:t xml:space="preserve"> that the </w:t>
      </w:r>
      <w:r w:rsidR="00163526" w:rsidRPr="00307013">
        <w:rPr>
          <w:rFonts w:cs="Arial"/>
        </w:rPr>
        <w:t>c</w:t>
      </w:r>
      <w:r w:rsidR="00872665" w:rsidRPr="00307013">
        <w:rPr>
          <w:rFonts w:cs="Arial"/>
        </w:rPr>
        <w:t>ourt</w:t>
      </w:r>
      <w:r w:rsidR="00E674C3" w:rsidRPr="00307013">
        <w:rPr>
          <w:rFonts w:cs="Arial"/>
        </w:rPr>
        <w:t xml:space="preserve"> </w:t>
      </w:r>
      <w:r w:rsidR="00E674C3" w:rsidRPr="00627364">
        <w:rPr>
          <w:rFonts w:cs="Arial"/>
          <w:i/>
          <w:iCs/>
        </w:rPr>
        <w:t>a quo</w:t>
      </w:r>
      <w:r w:rsidR="00872665" w:rsidRPr="00307013">
        <w:rPr>
          <w:rFonts w:cs="Arial"/>
        </w:rPr>
        <w:t xml:space="preserve"> neglected the principle that </w:t>
      </w:r>
      <w:r w:rsidR="00682B95">
        <w:rPr>
          <w:rFonts w:cs="Arial"/>
        </w:rPr>
        <w:t xml:space="preserve">any </w:t>
      </w:r>
      <w:r w:rsidR="00872665" w:rsidRPr="00307013">
        <w:rPr>
          <w:rFonts w:cs="Arial"/>
        </w:rPr>
        <w:t xml:space="preserve">sentence should be coupled with mercy and that </w:t>
      </w:r>
      <w:r w:rsidR="00383BA3">
        <w:rPr>
          <w:rFonts w:cs="Arial"/>
        </w:rPr>
        <w:t>it</w:t>
      </w:r>
      <w:r w:rsidR="00872665" w:rsidRPr="00307013">
        <w:rPr>
          <w:rFonts w:cs="Arial"/>
        </w:rPr>
        <w:t xml:space="preserve"> should have realised that 21 years</w:t>
      </w:r>
      <w:r w:rsidR="00383BA3">
        <w:rPr>
          <w:rFonts w:cs="Arial"/>
        </w:rPr>
        <w:t>’</w:t>
      </w:r>
      <w:r w:rsidR="00872665" w:rsidRPr="00307013">
        <w:rPr>
          <w:rFonts w:cs="Arial"/>
        </w:rPr>
        <w:t xml:space="preserve"> imprisonment was harsh and shocking. Further</w:t>
      </w:r>
      <w:r w:rsidR="00F4684D">
        <w:rPr>
          <w:rFonts w:cs="Arial"/>
        </w:rPr>
        <w:t>,</w:t>
      </w:r>
      <w:r w:rsidR="00872665" w:rsidRPr="00307013">
        <w:rPr>
          <w:rFonts w:cs="Arial"/>
        </w:rPr>
        <w:t xml:space="preserve"> that the period already spent in custody should have been taken into consideration</w:t>
      </w:r>
      <w:r w:rsidR="00682B95">
        <w:rPr>
          <w:rFonts w:cs="Arial"/>
        </w:rPr>
        <w:t>,</w:t>
      </w:r>
      <w:r w:rsidR="00F4684D">
        <w:rPr>
          <w:rFonts w:cs="Arial"/>
        </w:rPr>
        <w:t xml:space="preserve"> and</w:t>
      </w:r>
      <w:r w:rsidR="00872665" w:rsidRPr="00307013">
        <w:rPr>
          <w:rFonts w:cs="Arial"/>
        </w:rPr>
        <w:t xml:space="preserve"> the personal circumstances of the </w:t>
      </w:r>
      <w:r w:rsidR="00307013">
        <w:rPr>
          <w:rFonts w:cs="Arial"/>
        </w:rPr>
        <w:t>s</w:t>
      </w:r>
      <w:r w:rsidR="00872665" w:rsidRPr="00307013">
        <w:rPr>
          <w:rFonts w:cs="Arial"/>
        </w:rPr>
        <w:t xml:space="preserve">econd </w:t>
      </w:r>
      <w:r w:rsidR="00307013">
        <w:rPr>
          <w:rFonts w:cs="Arial"/>
        </w:rPr>
        <w:t>a</w:t>
      </w:r>
      <w:r w:rsidR="00872665" w:rsidRPr="00307013">
        <w:rPr>
          <w:rFonts w:cs="Arial"/>
        </w:rPr>
        <w:t>ppellant constituted strong substantial and compelling circumstances which justif</w:t>
      </w:r>
      <w:r w:rsidR="00682B95">
        <w:rPr>
          <w:rFonts w:cs="Arial"/>
        </w:rPr>
        <w:t>ied the imposition of</w:t>
      </w:r>
      <w:r w:rsidR="00872665" w:rsidRPr="00307013">
        <w:rPr>
          <w:rFonts w:cs="Arial"/>
        </w:rPr>
        <w:t xml:space="preserve"> a lesser sentence. The </w:t>
      </w:r>
      <w:r w:rsidR="00163526" w:rsidRPr="00307013">
        <w:rPr>
          <w:rFonts w:cs="Arial"/>
        </w:rPr>
        <w:t>c</w:t>
      </w:r>
      <w:r w:rsidR="00872665" w:rsidRPr="00307013">
        <w:rPr>
          <w:rFonts w:cs="Arial"/>
        </w:rPr>
        <w:t>ourt</w:t>
      </w:r>
      <w:r w:rsidR="00E674C3" w:rsidRPr="00307013">
        <w:rPr>
          <w:rFonts w:cs="Arial"/>
        </w:rPr>
        <w:t xml:space="preserve"> </w:t>
      </w:r>
      <w:r w:rsidR="00E674C3" w:rsidRPr="00627364">
        <w:rPr>
          <w:rFonts w:cs="Arial"/>
          <w:i/>
          <w:iCs/>
        </w:rPr>
        <w:t>a quo</w:t>
      </w:r>
      <w:r w:rsidR="00872665" w:rsidRPr="00307013">
        <w:rPr>
          <w:rFonts w:cs="Arial"/>
        </w:rPr>
        <w:t xml:space="preserve"> should have considered that the </w:t>
      </w:r>
      <w:r w:rsidR="00383BA3">
        <w:rPr>
          <w:rFonts w:cs="Arial"/>
        </w:rPr>
        <w:t>second appellant</w:t>
      </w:r>
      <w:r w:rsidR="00872665" w:rsidRPr="00307013">
        <w:rPr>
          <w:rFonts w:cs="Arial"/>
        </w:rPr>
        <w:t xml:space="preserve"> was a first offender, 31 years</w:t>
      </w:r>
      <w:r w:rsidR="00383BA3">
        <w:rPr>
          <w:rFonts w:cs="Arial"/>
        </w:rPr>
        <w:t>’</w:t>
      </w:r>
      <w:r w:rsidR="00872665" w:rsidRPr="00307013">
        <w:rPr>
          <w:rFonts w:cs="Arial"/>
        </w:rPr>
        <w:t xml:space="preserve"> old at the time and could be rehabilitated. The </w:t>
      </w:r>
      <w:r w:rsidR="00163526" w:rsidRPr="00307013">
        <w:rPr>
          <w:rFonts w:cs="Arial"/>
        </w:rPr>
        <w:t>c</w:t>
      </w:r>
      <w:r w:rsidR="00872665" w:rsidRPr="00307013">
        <w:rPr>
          <w:rFonts w:cs="Arial"/>
        </w:rPr>
        <w:t>ourt</w:t>
      </w:r>
      <w:r w:rsidR="00E674C3" w:rsidRPr="00307013">
        <w:rPr>
          <w:rFonts w:cs="Arial"/>
        </w:rPr>
        <w:t xml:space="preserve"> </w:t>
      </w:r>
      <w:r w:rsidR="00E674C3" w:rsidRPr="00627364">
        <w:rPr>
          <w:rFonts w:cs="Arial"/>
          <w:i/>
          <w:iCs/>
        </w:rPr>
        <w:t>a quo</w:t>
      </w:r>
      <w:r w:rsidR="00872665" w:rsidRPr="00307013">
        <w:rPr>
          <w:rFonts w:cs="Arial"/>
        </w:rPr>
        <w:t xml:space="preserve"> </w:t>
      </w:r>
      <w:r w:rsidR="00F4684D">
        <w:rPr>
          <w:rFonts w:cs="Arial"/>
        </w:rPr>
        <w:t>placed more emphasis</w:t>
      </w:r>
      <w:r w:rsidR="00872665" w:rsidRPr="00307013">
        <w:rPr>
          <w:rFonts w:cs="Arial"/>
        </w:rPr>
        <w:t xml:space="preserve"> on the offence than the offender</w:t>
      </w:r>
      <w:r w:rsidR="00F4684D">
        <w:rPr>
          <w:rFonts w:cs="Arial"/>
        </w:rPr>
        <w:t>,</w:t>
      </w:r>
      <w:r w:rsidR="00872665" w:rsidRPr="00307013">
        <w:rPr>
          <w:rFonts w:cs="Arial"/>
        </w:rPr>
        <w:t xml:space="preserve"> whose personal circumstances needed to be balanced with the surrounding factor</w:t>
      </w:r>
      <w:r w:rsidR="00E674C3" w:rsidRPr="00307013">
        <w:rPr>
          <w:rFonts w:cs="Arial"/>
        </w:rPr>
        <w:t>s</w:t>
      </w:r>
      <w:r w:rsidR="00872665" w:rsidRPr="00307013">
        <w:rPr>
          <w:rFonts w:cs="Arial"/>
        </w:rPr>
        <w:t xml:space="preserve"> to be con</w:t>
      </w:r>
      <w:r w:rsidR="00A71787" w:rsidRPr="00307013">
        <w:rPr>
          <w:rFonts w:cs="Arial"/>
        </w:rPr>
        <w:t>sidered</w:t>
      </w:r>
      <w:r w:rsidR="00872665" w:rsidRPr="00307013">
        <w:rPr>
          <w:rFonts w:cs="Arial"/>
        </w:rPr>
        <w:t xml:space="preserve"> during sentencing</w:t>
      </w:r>
      <w:r w:rsidR="00F4684D">
        <w:rPr>
          <w:rFonts w:cs="Arial"/>
        </w:rPr>
        <w:t>.</w:t>
      </w:r>
      <w:r w:rsidR="00872665" w:rsidRPr="00307013">
        <w:rPr>
          <w:rFonts w:cs="Arial"/>
        </w:rPr>
        <w:t xml:space="preserve"> </w:t>
      </w:r>
      <w:r w:rsidR="00F4684D">
        <w:rPr>
          <w:rFonts w:cs="Arial"/>
        </w:rPr>
        <w:t>T</w:t>
      </w:r>
      <w:r w:rsidR="00872665" w:rsidRPr="00307013">
        <w:rPr>
          <w:rFonts w:cs="Arial"/>
        </w:rPr>
        <w:t>h</w:t>
      </w:r>
      <w:r w:rsidR="00A71787" w:rsidRPr="00307013">
        <w:rPr>
          <w:rFonts w:cs="Arial"/>
        </w:rPr>
        <w:t>is</w:t>
      </w:r>
      <w:r w:rsidR="00872665" w:rsidRPr="00307013">
        <w:rPr>
          <w:rFonts w:cs="Arial"/>
        </w:rPr>
        <w:t xml:space="preserve"> </w:t>
      </w:r>
      <w:r w:rsidR="00163526" w:rsidRPr="00307013">
        <w:rPr>
          <w:rFonts w:cs="Arial"/>
        </w:rPr>
        <w:t>c</w:t>
      </w:r>
      <w:r w:rsidR="00872665" w:rsidRPr="00307013">
        <w:rPr>
          <w:rFonts w:cs="Arial"/>
        </w:rPr>
        <w:t>ourt</w:t>
      </w:r>
      <w:r w:rsidR="00A71787" w:rsidRPr="00307013">
        <w:rPr>
          <w:rFonts w:cs="Arial"/>
        </w:rPr>
        <w:t xml:space="preserve"> </w:t>
      </w:r>
      <w:r w:rsidR="00872665" w:rsidRPr="00307013">
        <w:rPr>
          <w:rFonts w:cs="Arial"/>
        </w:rPr>
        <w:t xml:space="preserve">should </w:t>
      </w:r>
      <w:r w:rsidR="00F4684D">
        <w:rPr>
          <w:rFonts w:cs="Arial"/>
        </w:rPr>
        <w:t xml:space="preserve">accordingly </w:t>
      </w:r>
      <w:r w:rsidR="00452B3C" w:rsidRPr="00307013">
        <w:rPr>
          <w:rFonts w:cs="Arial"/>
        </w:rPr>
        <w:t>interfere with the sentence</w:t>
      </w:r>
      <w:r w:rsidR="0005601B">
        <w:rPr>
          <w:rFonts w:cs="Arial"/>
        </w:rPr>
        <w:t>s</w:t>
      </w:r>
      <w:r w:rsidR="00452B3C" w:rsidRPr="00307013">
        <w:rPr>
          <w:rFonts w:cs="Arial"/>
        </w:rPr>
        <w:t>.</w:t>
      </w:r>
    </w:p>
    <w:p w:rsidR="00350B03" w:rsidRPr="00307013" w:rsidRDefault="00350B03" w:rsidP="00831BF1">
      <w:pPr>
        <w:tabs>
          <w:tab w:val="left" w:pos="851"/>
        </w:tabs>
        <w:spacing w:line="360" w:lineRule="auto"/>
        <w:jc w:val="both"/>
        <w:rPr>
          <w:rFonts w:cs="Arial"/>
        </w:rPr>
      </w:pPr>
    </w:p>
    <w:p w:rsidR="00E674C3" w:rsidRPr="00307013" w:rsidRDefault="00D76063" w:rsidP="00D76063">
      <w:pPr>
        <w:tabs>
          <w:tab w:val="left" w:pos="851"/>
        </w:tabs>
        <w:spacing w:line="360" w:lineRule="auto"/>
        <w:jc w:val="both"/>
        <w:rPr>
          <w:rFonts w:cs="Arial"/>
        </w:rPr>
      </w:pPr>
      <w:r w:rsidRPr="00307013">
        <w:rPr>
          <w:rFonts w:cs="Arial"/>
        </w:rPr>
        <w:lastRenderedPageBreak/>
        <w:t>[13]</w:t>
      </w:r>
      <w:r w:rsidRPr="00307013">
        <w:rPr>
          <w:rFonts w:cs="Arial"/>
        </w:rPr>
        <w:tab/>
      </w:r>
      <w:r w:rsidR="00452B3C" w:rsidRPr="00307013">
        <w:rPr>
          <w:rFonts w:cs="Arial"/>
        </w:rPr>
        <w:t xml:space="preserve">According to the </w:t>
      </w:r>
      <w:r w:rsidR="00307013">
        <w:rPr>
          <w:rFonts w:cs="Arial"/>
        </w:rPr>
        <w:t>a</w:t>
      </w:r>
      <w:r w:rsidR="00452B3C" w:rsidRPr="00307013">
        <w:rPr>
          <w:rFonts w:cs="Arial"/>
        </w:rPr>
        <w:t>ppellants, the discrepancy regard</w:t>
      </w:r>
      <w:r w:rsidR="0005601B">
        <w:rPr>
          <w:rFonts w:cs="Arial"/>
        </w:rPr>
        <w:t>ing</w:t>
      </w:r>
      <w:r w:rsidR="00452B3C" w:rsidRPr="00307013">
        <w:rPr>
          <w:rFonts w:cs="Arial"/>
        </w:rPr>
        <w:t xml:space="preserve"> the </w:t>
      </w:r>
      <w:r w:rsidR="0005601B">
        <w:rPr>
          <w:rFonts w:cs="Arial"/>
        </w:rPr>
        <w:t>identification of one of the firearms in the charge sheet as a</w:t>
      </w:r>
      <w:r w:rsidR="00452B3C" w:rsidRPr="00307013">
        <w:rPr>
          <w:rFonts w:cs="Arial"/>
        </w:rPr>
        <w:t xml:space="preserve"> </w:t>
      </w:r>
      <w:r w:rsidR="00A71787" w:rsidRPr="00307013">
        <w:rPr>
          <w:rFonts w:cs="Arial"/>
        </w:rPr>
        <w:t>‘</w:t>
      </w:r>
      <w:r w:rsidR="00452B3C" w:rsidRPr="00307013">
        <w:rPr>
          <w:rFonts w:cs="Arial"/>
        </w:rPr>
        <w:t>Luger</w:t>
      </w:r>
      <w:r w:rsidR="00A71787" w:rsidRPr="00307013">
        <w:rPr>
          <w:rFonts w:cs="Arial"/>
        </w:rPr>
        <w:t>’</w:t>
      </w:r>
      <w:r w:rsidR="00452B3C" w:rsidRPr="00307013">
        <w:rPr>
          <w:rFonts w:cs="Arial"/>
        </w:rPr>
        <w:t xml:space="preserve"> is material. The firearms that were recovered at the scene were entered into an SAP13 register (exhibit </w:t>
      </w:r>
      <w:r w:rsidR="00CA5D14">
        <w:rPr>
          <w:rFonts w:cs="Arial"/>
        </w:rPr>
        <w:t>‘</w:t>
      </w:r>
      <w:r w:rsidR="00452B3C" w:rsidRPr="00307013">
        <w:rPr>
          <w:rFonts w:cs="Arial"/>
        </w:rPr>
        <w:t>D</w:t>
      </w:r>
      <w:r w:rsidR="00CA5D14">
        <w:rPr>
          <w:rFonts w:cs="Arial"/>
        </w:rPr>
        <w:t>’</w:t>
      </w:r>
      <w:r w:rsidR="00452B3C" w:rsidRPr="00307013">
        <w:rPr>
          <w:rFonts w:cs="Arial"/>
        </w:rPr>
        <w:t>). On the 19</w:t>
      </w:r>
      <w:r w:rsidR="00452B3C" w:rsidRPr="00307013">
        <w:rPr>
          <w:rFonts w:cs="Arial"/>
          <w:vertAlign w:val="superscript"/>
        </w:rPr>
        <w:t>th</w:t>
      </w:r>
      <w:r w:rsidR="00452B3C" w:rsidRPr="00307013">
        <w:rPr>
          <w:rFonts w:cs="Arial"/>
        </w:rPr>
        <w:t xml:space="preserve"> January 2017, Warrant Officer S</w:t>
      </w:r>
      <w:r w:rsidR="00CA5D14">
        <w:rPr>
          <w:rFonts w:cs="Arial"/>
        </w:rPr>
        <w:t xml:space="preserve"> </w:t>
      </w:r>
      <w:r w:rsidR="00452B3C" w:rsidRPr="00307013">
        <w:rPr>
          <w:rFonts w:cs="Arial"/>
        </w:rPr>
        <w:t>E Nkosi found a pistol with 8 rounds of ammunition</w:t>
      </w:r>
      <w:r w:rsidR="00F4684D">
        <w:rPr>
          <w:rFonts w:cs="Arial"/>
        </w:rPr>
        <w:t>;</w:t>
      </w:r>
      <w:r w:rsidR="00452B3C" w:rsidRPr="00307013">
        <w:rPr>
          <w:rFonts w:cs="Arial"/>
        </w:rPr>
        <w:t xml:space="preserve"> a pistol with 5 rounds of ammunition</w:t>
      </w:r>
      <w:r w:rsidR="00F4684D">
        <w:rPr>
          <w:rFonts w:cs="Arial"/>
        </w:rPr>
        <w:t>;</w:t>
      </w:r>
      <w:r w:rsidR="00452B3C" w:rsidRPr="00307013">
        <w:rPr>
          <w:rFonts w:cs="Arial"/>
        </w:rPr>
        <w:t xml:space="preserve"> another pistol with serial number B1894 with 3 rounds of ammunition</w:t>
      </w:r>
      <w:r w:rsidR="00F4684D">
        <w:rPr>
          <w:rFonts w:cs="Arial"/>
        </w:rPr>
        <w:t>;</w:t>
      </w:r>
      <w:r w:rsidR="00452B3C" w:rsidRPr="00307013">
        <w:rPr>
          <w:rFonts w:cs="Arial"/>
        </w:rPr>
        <w:t xml:space="preserve"> a hunting rifle and a shotgun</w:t>
      </w:r>
      <w:r w:rsidR="004F4EAC" w:rsidRPr="00307013">
        <w:rPr>
          <w:rFonts w:cs="Arial"/>
        </w:rPr>
        <w:t xml:space="preserve">. These were </w:t>
      </w:r>
      <w:r w:rsidR="00452B3C" w:rsidRPr="00307013">
        <w:rPr>
          <w:rFonts w:cs="Arial"/>
        </w:rPr>
        <w:t xml:space="preserve">packed in an exhibit bag with reference number PAB000213971 which was delivered </w:t>
      </w:r>
      <w:r w:rsidR="004F4EAC" w:rsidRPr="00307013">
        <w:rPr>
          <w:rFonts w:cs="Arial"/>
        </w:rPr>
        <w:t>to</w:t>
      </w:r>
      <w:r w:rsidR="00452B3C" w:rsidRPr="00307013">
        <w:rPr>
          <w:rFonts w:cs="Arial"/>
        </w:rPr>
        <w:t xml:space="preserve"> the </w:t>
      </w:r>
      <w:r w:rsidR="004F4EAC" w:rsidRPr="00307013">
        <w:rPr>
          <w:rFonts w:cs="Arial"/>
        </w:rPr>
        <w:t>F</w:t>
      </w:r>
      <w:r w:rsidR="00452B3C" w:rsidRPr="00307013">
        <w:rPr>
          <w:rFonts w:cs="Arial"/>
        </w:rPr>
        <w:t xml:space="preserve">orensic </w:t>
      </w:r>
      <w:r w:rsidR="004F4EAC" w:rsidRPr="00307013">
        <w:rPr>
          <w:rFonts w:cs="Arial"/>
        </w:rPr>
        <w:t>S</w:t>
      </w:r>
      <w:r w:rsidR="00452B3C" w:rsidRPr="00307013">
        <w:rPr>
          <w:rFonts w:cs="Arial"/>
        </w:rPr>
        <w:t xml:space="preserve">cience </w:t>
      </w:r>
      <w:r w:rsidR="004F4EAC" w:rsidRPr="00307013">
        <w:rPr>
          <w:rFonts w:cs="Arial"/>
        </w:rPr>
        <w:t>L</w:t>
      </w:r>
      <w:r w:rsidR="00452B3C" w:rsidRPr="00307013">
        <w:rPr>
          <w:rFonts w:cs="Arial"/>
        </w:rPr>
        <w:t>aboratory in Amanzimtoti.</w:t>
      </w:r>
      <w:r w:rsidR="00307013" w:rsidRPr="00307013">
        <w:rPr>
          <w:rStyle w:val="FootnoteReference"/>
          <w:rFonts w:cs="Arial"/>
        </w:rPr>
        <w:footnoteReference w:id="1"/>
      </w:r>
      <w:r w:rsidR="00452B3C" w:rsidRPr="00307013">
        <w:rPr>
          <w:rFonts w:cs="Arial"/>
        </w:rPr>
        <w:t xml:space="preserve"> </w:t>
      </w:r>
    </w:p>
    <w:p w:rsidR="000A19FE" w:rsidRPr="00307013" w:rsidRDefault="000A19FE" w:rsidP="00831BF1">
      <w:pPr>
        <w:tabs>
          <w:tab w:val="left" w:pos="851"/>
        </w:tabs>
        <w:spacing w:line="360" w:lineRule="auto"/>
        <w:jc w:val="both"/>
        <w:rPr>
          <w:rFonts w:cs="Arial"/>
        </w:rPr>
      </w:pPr>
    </w:p>
    <w:p w:rsidR="004F4EAC" w:rsidRPr="00307013" w:rsidRDefault="00D76063" w:rsidP="00D76063">
      <w:pPr>
        <w:tabs>
          <w:tab w:val="left" w:pos="851"/>
        </w:tabs>
        <w:spacing w:line="360" w:lineRule="auto"/>
        <w:jc w:val="both"/>
        <w:rPr>
          <w:rFonts w:cs="Arial"/>
        </w:rPr>
      </w:pPr>
      <w:r w:rsidRPr="00307013">
        <w:rPr>
          <w:rFonts w:cs="Arial"/>
        </w:rPr>
        <w:t>[14]</w:t>
      </w:r>
      <w:r w:rsidRPr="00307013">
        <w:rPr>
          <w:rFonts w:cs="Arial"/>
        </w:rPr>
        <w:tab/>
      </w:r>
      <w:r w:rsidR="004F4EAC" w:rsidRPr="00307013">
        <w:rPr>
          <w:rFonts w:cs="Arial"/>
        </w:rPr>
        <w:t>On the 23</w:t>
      </w:r>
      <w:r w:rsidR="004F4EAC" w:rsidRPr="00307013">
        <w:rPr>
          <w:rFonts w:cs="Arial"/>
          <w:vertAlign w:val="superscript"/>
        </w:rPr>
        <w:t>rd</w:t>
      </w:r>
      <w:r w:rsidR="004F4EAC" w:rsidRPr="00307013">
        <w:rPr>
          <w:rFonts w:cs="Arial"/>
        </w:rPr>
        <w:t xml:space="preserve"> February 2017 </w:t>
      </w:r>
      <w:r w:rsidR="00452B3C" w:rsidRPr="00307013">
        <w:rPr>
          <w:rFonts w:cs="Arial"/>
        </w:rPr>
        <w:t>Warrant Officer Mahesh</w:t>
      </w:r>
      <w:r w:rsidR="00E46002" w:rsidRPr="00307013">
        <w:rPr>
          <w:rFonts w:cs="Arial"/>
        </w:rPr>
        <w:t>, the forensic analyst attached to the Forensic Science Laboratory at Amanzimtoti</w:t>
      </w:r>
      <w:r w:rsidR="0005601B">
        <w:rPr>
          <w:rFonts w:cs="Arial"/>
        </w:rPr>
        <w:t>,</w:t>
      </w:r>
      <w:r w:rsidR="004F4EAC" w:rsidRPr="00307013">
        <w:rPr>
          <w:rFonts w:cs="Arial"/>
        </w:rPr>
        <w:t xml:space="preserve"> </w:t>
      </w:r>
      <w:r w:rsidR="00E46002" w:rsidRPr="00307013">
        <w:rPr>
          <w:rFonts w:cs="Arial"/>
        </w:rPr>
        <w:t xml:space="preserve">received </w:t>
      </w:r>
      <w:r w:rsidR="00F4684D">
        <w:rPr>
          <w:rFonts w:cs="Arial"/>
        </w:rPr>
        <w:t xml:space="preserve">a </w:t>
      </w:r>
      <w:r w:rsidR="00E46002" w:rsidRPr="00307013">
        <w:rPr>
          <w:rFonts w:cs="Arial"/>
        </w:rPr>
        <w:t>sealed evidence bag with serial number PAB000213971</w:t>
      </w:r>
      <w:r w:rsidR="004F4EAC" w:rsidRPr="00307013">
        <w:rPr>
          <w:rFonts w:cs="Arial"/>
        </w:rPr>
        <w:t>. Mahesh</w:t>
      </w:r>
      <w:r w:rsidR="00E46002" w:rsidRPr="00307013">
        <w:rPr>
          <w:rFonts w:cs="Arial"/>
        </w:rPr>
        <w:t xml:space="preserve"> tested the firearms and found that they were all functioning normally without any obvious defects. </w:t>
      </w:r>
      <w:r w:rsidR="00383BBC" w:rsidRPr="00307013">
        <w:rPr>
          <w:rFonts w:cs="Arial"/>
        </w:rPr>
        <w:t xml:space="preserve">None of the pistols was </w:t>
      </w:r>
      <w:r w:rsidR="0005601B">
        <w:rPr>
          <w:rFonts w:cs="Arial"/>
        </w:rPr>
        <w:t xml:space="preserve">described as </w:t>
      </w:r>
      <w:r w:rsidR="00383BBC" w:rsidRPr="00307013">
        <w:rPr>
          <w:rFonts w:cs="Arial"/>
        </w:rPr>
        <w:t xml:space="preserve">a Luger. </w:t>
      </w:r>
    </w:p>
    <w:p w:rsidR="00054793" w:rsidRPr="00307013" w:rsidRDefault="00054793" w:rsidP="00831BF1">
      <w:pPr>
        <w:spacing w:line="360" w:lineRule="auto"/>
        <w:rPr>
          <w:rFonts w:cs="Arial"/>
        </w:rPr>
      </w:pPr>
    </w:p>
    <w:p w:rsidR="00452B3C" w:rsidRPr="00307013" w:rsidRDefault="00D76063" w:rsidP="00D76063">
      <w:pPr>
        <w:tabs>
          <w:tab w:val="left" w:pos="851"/>
        </w:tabs>
        <w:spacing w:line="360" w:lineRule="auto"/>
        <w:jc w:val="both"/>
        <w:rPr>
          <w:rFonts w:cs="Arial"/>
        </w:rPr>
      </w:pPr>
      <w:r w:rsidRPr="00307013">
        <w:rPr>
          <w:rFonts w:cs="Arial"/>
        </w:rPr>
        <w:t>[15]</w:t>
      </w:r>
      <w:r w:rsidRPr="00307013">
        <w:rPr>
          <w:rFonts w:cs="Arial"/>
        </w:rPr>
        <w:tab/>
      </w:r>
      <w:r w:rsidR="00383BBC" w:rsidRPr="00307013">
        <w:rPr>
          <w:rFonts w:cs="Arial"/>
        </w:rPr>
        <w:t>The firearms were identified at the scene and there is nothing suggesting that there was</w:t>
      </w:r>
      <w:r w:rsidR="004F4EAC" w:rsidRPr="00307013">
        <w:rPr>
          <w:rFonts w:cs="Arial"/>
        </w:rPr>
        <w:t xml:space="preserve"> any</w:t>
      </w:r>
      <w:r w:rsidR="00383BBC" w:rsidRPr="00307013">
        <w:rPr>
          <w:rFonts w:cs="Arial"/>
        </w:rPr>
        <w:t xml:space="preserve"> interference with the</w:t>
      </w:r>
      <w:r w:rsidR="004F4EAC" w:rsidRPr="00307013">
        <w:rPr>
          <w:rFonts w:cs="Arial"/>
        </w:rPr>
        <w:t>m</w:t>
      </w:r>
      <w:r w:rsidR="00383BBC" w:rsidRPr="00307013">
        <w:rPr>
          <w:rFonts w:cs="Arial"/>
        </w:rPr>
        <w:t xml:space="preserve">. </w:t>
      </w:r>
      <w:r w:rsidR="004F4EAC" w:rsidRPr="00307013">
        <w:rPr>
          <w:rFonts w:cs="Arial"/>
        </w:rPr>
        <w:t xml:space="preserve">We were not shown how the </w:t>
      </w:r>
      <w:r w:rsidR="0005601B">
        <w:rPr>
          <w:rFonts w:cs="Arial"/>
        </w:rPr>
        <w:t xml:space="preserve">evidential </w:t>
      </w:r>
      <w:r w:rsidR="004F4EAC" w:rsidRPr="00307013">
        <w:rPr>
          <w:rFonts w:cs="Arial"/>
        </w:rPr>
        <w:t>chain was broken</w:t>
      </w:r>
      <w:r w:rsidR="0005601B">
        <w:rPr>
          <w:rFonts w:cs="Arial"/>
        </w:rPr>
        <w:t>, which could have allowed the substitution of another firearm in the chain of evidence leading to the testing of the firearms.</w:t>
      </w:r>
    </w:p>
    <w:p w:rsidR="000A19FE" w:rsidRPr="00307013" w:rsidRDefault="000A19FE" w:rsidP="00831BF1">
      <w:pPr>
        <w:tabs>
          <w:tab w:val="left" w:pos="851"/>
        </w:tabs>
        <w:spacing w:line="360" w:lineRule="auto"/>
        <w:jc w:val="both"/>
        <w:rPr>
          <w:rFonts w:cs="Arial"/>
        </w:rPr>
      </w:pPr>
    </w:p>
    <w:p w:rsidR="00262DCB" w:rsidRPr="00307013" w:rsidRDefault="00D76063" w:rsidP="00D76063">
      <w:pPr>
        <w:tabs>
          <w:tab w:val="left" w:pos="851"/>
        </w:tabs>
        <w:spacing w:line="360" w:lineRule="auto"/>
        <w:jc w:val="both"/>
        <w:rPr>
          <w:rFonts w:cs="Arial"/>
        </w:rPr>
      </w:pPr>
      <w:r w:rsidRPr="00307013">
        <w:rPr>
          <w:rFonts w:cs="Arial"/>
        </w:rPr>
        <w:t>[16]</w:t>
      </w:r>
      <w:r w:rsidRPr="00307013">
        <w:rPr>
          <w:rFonts w:cs="Arial"/>
        </w:rPr>
        <w:tab/>
      </w:r>
      <w:r w:rsidR="00262DCB" w:rsidRPr="00307013">
        <w:rPr>
          <w:rFonts w:cs="Arial"/>
        </w:rPr>
        <w:t xml:space="preserve">According to Warrant Officer Thabethe, the </w:t>
      </w:r>
      <w:r w:rsidR="00307013">
        <w:rPr>
          <w:rFonts w:cs="Arial"/>
        </w:rPr>
        <w:t>f</w:t>
      </w:r>
      <w:r w:rsidR="00262DCB" w:rsidRPr="00307013">
        <w:rPr>
          <w:rFonts w:cs="Arial"/>
        </w:rPr>
        <w:t xml:space="preserve">irst </w:t>
      </w:r>
      <w:r w:rsidR="00307013">
        <w:rPr>
          <w:rFonts w:cs="Arial"/>
        </w:rPr>
        <w:t>a</w:t>
      </w:r>
      <w:r w:rsidR="00262DCB" w:rsidRPr="00307013">
        <w:rPr>
          <w:rFonts w:cs="Arial"/>
        </w:rPr>
        <w:t>ppellant was arrested by him. At the time of arrest he had a ‘small’ firearm on his waist which did not have a serial number</w:t>
      </w:r>
      <w:r w:rsidR="007B712A" w:rsidRPr="00307013">
        <w:rPr>
          <w:rFonts w:cs="Arial"/>
        </w:rPr>
        <w:t xml:space="preserve"> and Thabethe took the firearm</w:t>
      </w:r>
      <w:r w:rsidR="00307013" w:rsidRPr="00307013">
        <w:rPr>
          <w:rStyle w:val="FootnoteReference"/>
          <w:rFonts w:cs="Arial"/>
        </w:rPr>
        <w:footnoteReference w:id="2"/>
      </w:r>
      <w:r w:rsidR="007B712A" w:rsidRPr="00307013">
        <w:rPr>
          <w:rFonts w:cs="Arial"/>
        </w:rPr>
        <w:t xml:space="preserve"> and put it next to the </w:t>
      </w:r>
      <w:r w:rsidR="00307013">
        <w:rPr>
          <w:rFonts w:cs="Arial"/>
        </w:rPr>
        <w:t>f</w:t>
      </w:r>
      <w:r w:rsidR="007B712A" w:rsidRPr="00307013">
        <w:rPr>
          <w:rFonts w:cs="Arial"/>
        </w:rPr>
        <w:t xml:space="preserve">irst </w:t>
      </w:r>
      <w:r w:rsidR="00307013">
        <w:rPr>
          <w:rFonts w:cs="Arial"/>
        </w:rPr>
        <w:t>a</w:t>
      </w:r>
      <w:r w:rsidR="007B712A" w:rsidRPr="00307013">
        <w:rPr>
          <w:rFonts w:cs="Arial"/>
        </w:rPr>
        <w:t>ppellant</w:t>
      </w:r>
      <w:r w:rsidR="00CC2009" w:rsidRPr="00307013">
        <w:rPr>
          <w:rFonts w:cs="Arial"/>
        </w:rPr>
        <w:t>.</w:t>
      </w:r>
      <w:r w:rsidR="00307013" w:rsidRPr="00307013">
        <w:rPr>
          <w:rStyle w:val="FootnoteReference"/>
          <w:rFonts w:cs="Arial"/>
        </w:rPr>
        <w:footnoteReference w:id="3"/>
      </w:r>
    </w:p>
    <w:p w:rsidR="000A19FE" w:rsidRPr="00307013" w:rsidRDefault="000A19FE" w:rsidP="00831BF1">
      <w:pPr>
        <w:tabs>
          <w:tab w:val="left" w:pos="851"/>
        </w:tabs>
        <w:spacing w:line="360" w:lineRule="auto"/>
        <w:jc w:val="both"/>
        <w:rPr>
          <w:rFonts w:cs="Arial"/>
        </w:rPr>
      </w:pPr>
    </w:p>
    <w:p w:rsidR="000A19FE" w:rsidRPr="00307013" w:rsidRDefault="00D76063" w:rsidP="00D76063">
      <w:pPr>
        <w:tabs>
          <w:tab w:val="left" w:pos="851"/>
        </w:tabs>
        <w:spacing w:line="360" w:lineRule="auto"/>
        <w:jc w:val="both"/>
        <w:rPr>
          <w:rFonts w:cs="Arial"/>
        </w:rPr>
      </w:pPr>
      <w:r w:rsidRPr="00307013">
        <w:rPr>
          <w:rFonts w:cs="Arial"/>
        </w:rPr>
        <w:t>[17]</w:t>
      </w:r>
      <w:r w:rsidRPr="00307013">
        <w:rPr>
          <w:rFonts w:cs="Arial"/>
        </w:rPr>
        <w:tab/>
      </w:r>
      <w:r w:rsidR="004F4EAC" w:rsidRPr="00307013">
        <w:rPr>
          <w:rFonts w:cs="Arial"/>
        </w:rPr>
        <w:t xml:space="preserve">Even if </w:t>
      </w:r>
      <w:r w:rsidR="00383BBC" w:rsidRPr="00307013">
        <w:rPr>
          <w:rFonts w:cs="Arial"/>
        </w:rPr>
        <w:t xml:space="preserve">a firearm </w:t>
      </w:r>
      <w:r w:rsidR="0005601B">
        <w:rPr>
          <w:rFonts w:cs="Arial"/>
        </w:rPr>
        <w:t>wa</w:t>
      </w:r>
      <w:r w:rsidR="00383BBC" w:rsidRPr="00307013">
        <w:rPr>
          <w:rFonts w:cs="Arial"/>
        </w:rPr>
        <w:t>s incorrect</w:t>
      </w:r>
      <w:r w:rsidR="004F4EAC" w:rsidRPr="00307013">
        <w:rPr>
          <w:rFonts w:cs="Arial"/>
        </w:rPr>
        <w:t>ly</w:t>
      </w:r>
      <w:r w:rsidR="00383BBC" w:rsidRPr="00307013">
        <w:rPr>
          <w:rFonts w:cs="Arial"/>
        </w:rPr>
        <w:t xml:space="preserve"> described</w:t>
      </w:r>
      <w:r w:rsidR="0005601B">
        <w:rPr>
          <w:rFonts w:cs="Arial"/>
        </w:rPr>
        <w:t xml:space="preserve"> in the charge sheet</w:t>
      </w:r>
      <w:r w:rsidR="004F4EAC" w:rsidRPr="00307013">
        <w:rPr>
          <w:rFonts w:cs="Arial"/>
        </w:rPr>
        <w:t xml:space="preserve">, the totality of the evidence </w:t>
      </w:r>
      <w:r w:rsidR="00D745A4">
        <w:rPr>
          <w:rFonts w:cs="Arial"/>
        </w:rPr>
        <w:t>must</w:t>
      </w:r>
      <w:r w:rsidR="004F4EAC" w:rsidRPr="00307013">
        <w:rPr>
          <w:rFonts w:cs="Arial"/>
        </w:rPr>
        <w:t xml:space="preserve"> be looked at</w:t>
      </w:r>
      <w:r w:rsidR="0005601B">
        <w:rPr>
          <w:rFonts w:cs="Arial"/>
        </w:rPr>
        <w:t>,</w:t>
      </w:r>
      <w:r w:rsidR="004F4EAC" w:rsidRPr="00307013">
        <w:rPr>
          <w:rFonts w:cs="Arial"/>
        </w:rPr>
        <w:t xml:space="preserve"> and the </w:t>
      </w:r>
      <w:r w:rsidR="00D745A4">
        <w:rPr>
          <w:rFonts w:cs="Arial"/>
        </w:rPr>
        <w:t>mis</w:t>
      </w:r>
      <w:r w:rsidR="004F4EAC" w:rsidRPr="00307013">
        <w:rPr>
          <w:rFonts w:cs="Arial"/>
        </w:rPr>
        <w:t>description alone</w:t>
      </w:r>
      <w:r w:rsidR="00383BBC" w:rsidRPr="00307013">
        <w:rPr>
          <w:rFonts w:cs="Arial"/>
        </w:rPr>
        <w:t xml:space="preserve"> cannot </w:t>
      </w:r>
      <w:r w:rsidR="0005601B">
        <w:rPr>
          <w:rFonts w:cs="Arial"/>
        </w:rPr>
        <w:t>constitute</w:t>
      </w:r>
      <w:r w:rsidR="00CA5D14">
        <w:rPr>
          <w:rFonts w:cs="Arial"/>
        </w:rPr>
        <w:t xml:space="preserve"> a</w:t>
      </w:r>
      <w:r w:rsidR="00383BBC" w:rsidRPr="00307013">
        <w:rPr>
          <w:rFonts w:cs="Arial"/>
        </w:rPr>
        <w:t xml:space="preserve"> defence </w:t>
      </w:r>
      <w:r w:rsidR="00CA5D14">
        <w:rPr>
          <w:rFonts w:cs="Arial"/>
        </w:rPr>
        <w:t>for</w:t>
      </w:r>
      <w:r w:rsidR="00CA5D14" w:rsidRPr="00307013">
        <w:rPr>
          <w:rFonts w:cs="Arial"/>
        </w:rPr>
        <w:t xml:space="preserve"> </w:t>
      </w:r>
      <w:r w:rsidR="00383BBC" w:rsidRPr="00307013">
        <w:rPr>
          <w:rFonts w:cs="Arial"/>
        </w:rPr>
        <w:t xml:space="preserve">the </w:t>
      </w:r>
      <w:r w:rsidR="00307013">
        <w:rPr>
          <w:rFonts w:cs="Arial"/>
        </w:rPr>
        <w:t>a</w:t>
      </w:r>
      <w:r w:rsidR="00383BBC" w:rsidRPr="00307013">
        <w:rPr>
          <w:rFonts w:cs="Arial"/>
        </w:rPr>
        <w:t xml:space="preserve">ppellants. </w:t>
      </w:r>
      <w:r w:rsidR="004F4EAC" w:rsidRPr="00307013">
        <w:rPr>
          <w:rFonts w:cs="Arial"/>
        </w:rPr>
        <w:t>The State led evidence</w:t>
      </w:r>
      <w:r w:rsidR="00383BBC" w:rsidRPr="00307013">
        <w:rPr>
          <w:rFonts w:cs="Arial"/>
        </w:rPr>
        <w:t xml:space="preserve"> that the</w:t>
      </w:r>
      <w:r w:rsidR="004F4EAC" w:rsidRPr="00307013">
        <w:rPr>
          <w:rFonts w:cs="Arial"/>
        </w:rPr>
        <w:t xml:space="preserve"> firearms recovered matched the description</w:t>
      </w:r>
      <w:r w:rsidR="00883740" w:rsidRPr="00307013">
        <w:rPr>
          <w:rFonts w:cs="Arial"/>
        </w:rPr>
        <w:t xml:space="preserve"> in the evidence</w:t>
      </w:r>
      <w:r w:rsidR="000873AD" w:rsidRPr="00307013">
        <w:rPr>
          <w:rFonts w:cs="Arial"/>
        </w:rPr>
        <w:t>.</w:t>
      </w:r>
      <w:r w:rsidR="00307013" w:rsidRPr="00307013">
        <w:rPr>
          <w:rStyle w:val="FootnoteReference"/>
          <w:rFonts w:cs="Arial"/>
        </w:rPr>
        <w:footnoteReference w:id="4"/>
      </w:r>
      <w:r w:rsidR="000873AD" w:rsidRPr="00307013">
        <w:rPr>
          <w:rFonts w:cs="Arial"/>
        </w:rPr>
        <w:t xml:space="preserve"> </w:t>
      </w:r>
    </w:p>
    <w:p w:rsidR="000A19FE" w:rsidRPr="00307013" w:rsidRDefault="000A19FE" w:rsidP="00831BF1">
      <w:pPr>
        <w:tabs>
          <w:tab w:val="left" w:pos="851"/>
        </w:tabs>
        <w:spacing w:line="360" w:lineRule="auto"/>
        <w:jc w:val="both"/>
        <w:rPr>
          <w:rFonts w:cs="Arial"/>
        </w:rPr>
      </w:pPr>
    </w:p>
    <w:p w:rsidR="00383BBC" w:rsidRPr="00307013" w:rsidRDefault="00D76063" w:rsidP="00D76063">
      <w:pPr>
        <w:tabs>
          <w:tab w:val="left" w:pos="851"/>
        </w:tabs>
        <w:spacing w:line="360" w:lineRule="auto"/>
        <w:jc w:val="both"/>
        <w:rPr>
          <w:rFonts w:cs="Arial"/>
        </w:rPr>
      </w:pPr>
      <w:r w:rsidRPr="00307013">
        <w:rPr>
          <w:rFonts w:cs="Arial"/>
        </w:rPr>
        <w:t>[18]</w:t>
      </w:r>
      <w:r w:rsidRPr="00307013">
        <w:rPr>
          <w:rFonts w:cs="Arial"/>
        </w:rPr>
        <w:tab/>
      </w:r>
      <w:r w:rsidR="00383BBC" w:rsidRPr="00307013">
        <w:rPr>
          <w:rFonts w:cs="Arial"/>
        </w:rPr>
        <w:t>The firearms were tested</w:t>
      </w:r>
      <w:r w:rsidR="00CA5D14">
        <w:rPr>
          <w:rFonts w:cs="Arial"/>
        </w:rPr>
        <w:t>,</w:t>
      </w:r>
      <w:r w:rsidR="00383BBC" w:rsidRPr="00307013">
        <w:rPr>
          <w:rFonts w:cs="Arial"/>
        </w:rPr>
        <w:t xml:space="preserve"> contrary to the contention by the </w:t>
      </w:r>
      <w:r w:rsidR="00DC6C8C">
        <w:rPr>
          <w:rFonts w:cs="Arial"/>
        </w:rPr>
        <w:t>a</w:t>
      </w:r>
      <w:r w:rsidR="00383BBC" w:rsidRPr="00307013">
        <w:rPr>
          <w:rFonts w:cs="Arial"/>
        </w:rPr>
        <w:t>ppellants</w:t>
      </w:r>
      <w:r w:rsidR="007B712A" w:rsidRPr="00307013">
        <w:rPr>
          <w:rFonts w:cs="Arial"/>
        </w:rPr>
        <w:t>.</w:t>
      </w:r>
      <w:r w:rsidR="00307013" w:rsidRPr="00307013">
        <w:rPr>
          <w:rStyle w:val="FootnoteReference"/>
          <w:rFonts w:cs="Arial"/>
        </w:rPr>
        <w:footnoteReference w:id="5"/>
      </w:r>
      <w:r w:rsidR="007B712A" w:rsidRPr="00307013">
        <w:rPr>
          <w:rFonts w:cs="Arial"/>
        </w:rPr>
        <w:t xml:space="preserve"> </w:t>
      </w:r>
    </w:p>
    <w:p w:rsidR="00DC6C8C" w:rsidRPr="00307013" w:rsidRDefault="00DC6C8C" w:rsidP="00831BF1">
      <w:pPr>
        <w:tabs>
          <w:tab w:val="left" w:pos="851"/>
        </w:tabs>
        <w:spacing w:line="360" w:lineRule="auto"/>
        <w:jc w:val="both"/>
        <w:rPr>
          <w:rFonts w:cs="Arial"/>
        </w:rPr>
      </w:pPr>
    </w:p>
    <w:p w:rsidR="000A19FE" w:rsidRPr="00307013" w:rsidRDefault="00D76063" w:rsidP="00D76063">
      <w:pPr>
        <w:tabs>
          <w:tab w:val="left" w:pos="851"/>
        </w:tabs>
        <w:spacing w:line="360" w:lineRule="auto"/>
        <w:jc w:val="both"/>
        <w:rPr>
          <w:rFonts w:cs="Arial"/>
        </w:rPr>
      </w:pPr>
      <w:r w:rsidRPr="00307013">
        <w:rPr>
          <w:rFonts w:cs="Arial"/>
        </w:rPr>
        <w:t>[19]</w:t>
      </w:r>
      <w:r w:rsidRPr="00307013">
        <w:rPr>
          <w:rFonts w:cs="Arial"/>
        </w:rPr>
        <w:tab/>
      </w:r>
      <w:r w:rsidR="00054793" w:rsidRPr="00307013">
        <w:rPr>
          <w:rFonts w:cs="Arial"/>
        </w:rPr>
        <w:t xml:space="preserve">We were not directed </w:t>
      </w:r>
      <w:r w:rsidR="00CA5D14">
        <w:rPr>
          <w:rFonts w:cs="Arial"/>
        </w:rPr>
        <w:t>to</w:t>
      </w:r>
      <w:r w:rsidR="00CA5D14" w:rsidRPr="00307013">
        <w:rPr>
          <w:rFonts w:cs="Arial"/>
        </w:rPr>
        <w:t xml:space="preserve"> </w:t>
      </w:r>
      <w:r w:rsidR="00054793" w:rsidRPr="00307013">
        <w:rPr>
          <w:rFonts w:cs="Arial"/>
        </w:rPr>
        <w:t xml:space="preserve">anything that suggests that the </w:t>
      </w:r>
      <w:r w:rsidR="00307013" w:rsidRPr="00307013">
        <w:rPr>
          <w:rFonts w:cs="Arial"/>
        </w:rPr>
        <w:t>a</w:t>
      </w:r>
      <w:r w:rsidR="00054793" w:rsidRPr="00307013">
        <w:rPr>
          <w:rFonts w:cs="Arial"/>
        </w:rPr>
        <w:t>ppellants could have been prejudiced if the charge sheet was amended to reflect the correct description of the firearm</w:t>
      </w:r>
      <w:r w:rsidR="00307013" w:rsidRPr="00307013">
        <w:rPr>
          <w:rFonts w:cs="Arial"/>
        </w:rPr>
        <w:t>.</w:t>
      </w:r>
      <w:r w:rsidR="00307013" w:rsidRPr="00307013">
        <w:rPr>
          <w:rStyle w:val="FootnoteReference"/>
          <w:rFonts w:cs="Arial"/>
        </w:rPr>
        <w:footnoteReference w:id="6"/>
      </w:r>
      <w:r w:rsidR="00054793" w:rsidRPr="00307013">
        <w:rPr>
          <w:rFonts w:cs="Arial"/>
        </w:rPr>
        <w:t xml:space="preserve"> </w:t>
      </w:r>
    </w:p>
    <w:p w:rsidR="00307013" w:rsidRPr="00307013" w:rsidRDefault="00307013" w:rsidP="00831BF1">
      <w:pPr>
        <w:pStyle w:val="ListParagraph"/>
        <w:spacing w:line="360" w:lineRule="auto"/>
        <w:rPr>
          <w:rFonts w:cs="Arial"/>
        </w:rPr>
      </w:pPr>
    </w:p>
    <w:p w:rsidR="000A19FE" w:rsidRPr="00307013" w:rsidRDefault="00D76063" w:rsidP="00D76063">
      <w:pPr>
        <w:tabs>
          <w:tab w:val="left" w:pos="851"/>
        </w:tabs>
        <w:spacing w:line="360" w:lineRule="auto"/>
        <w:jc w:val="both"/>
        <w:rPr>
          <w:rFonts w:cs="Arial"/>
        </w:rPr>
      </w:pPr>
      <w:r w:rsidRPr="00307013">
        <w:rPr>
          <w:rFonts w:cs="Arial"/>
        </w:rPr>
        <w:t>[20]</w:t>
      </w:r>
      <w:r w:rsidRPr="00307013">
        <w:rPr>
          <w:rFonts w:cs="Arial"/>
        </w:rPr>
        <w:tab/>
      </w:r>
      <w:r w:rsidR="00383BBC" w:rsidRPr="00307013">
        <w:rPr>
          <w:rFonts w:cs="Arial"/>
        </w:rPr>
        <w:t xml:space="preserve">The contention by the </w:t>
      </w:r>
      <w:r w:rsidR="00CA5D14">
        <w:rPr>
          <w:rFonts w:cs="Arial"/>
        </w:rPr>
        <w:t>s</w:t>
      </w:r>
      <w:r w:rsidR="00383BBC" w:rsidRPr="00307013">
        <w:rPr>
          <w:rFonts w:cs="Arial"/>
        </w:rPr>
        <w:t xml:space="preserve">econd </w:t>
      </w:r>
      <w:r w:rsidR="00CA5D14">
        <w:rPr>
          <w:rFonts w:cs="Arial"/>
        </w:rPr>
        <w:t>a</w:t>
      </w:r>
      <w:r w:rsidR="00383BBC" w:rsidRPr="00307013">
        <w:rPr>
          <w:rFonts w:cs="Arial"/>
        </w:rPr>
        <w:t>ppellant that</w:t>
      </w:r>
      <w:r w:rsidR="00003A32">
        <w:rPr>
          <w:rFonts w:cs="Arial"/>
        </w:rPr>
        <w:t>,</w:t>
      </w:r>
      <w:r w:rsidR="00383BBC" w:rsidRPr="00307013">
        <w:rPr>
          <w:rFonts w:cs="Arial"/>
        </w:rPr>
        <w:t xml:space="preserve"> since his photograph was published in the Zululand Observer before the identification parade</w:t>
      </w:r>
      <w:r w:rsidR="00341F1A" w:rsidRPr="00307013">
        <w:rPr>
          <w:rFonts w:cs="Arial"/>
        </w:rPr>
        <w:t>,</w:t>
      </w:r>
      <w:r w:rsidR="00883740" w:rsidRPr="00307013">
        <w:rPr>
          <w:rFonts w:cs="Arial"/>
        </w:rPr>
        <w:t xml:space="preserve"> an inference should be drawn that</w:t>
      </w:r>
      <w:r w:rsidR="00CA5D14">
        <w:rPr>
          <w:rFonts w:cs="Arial"/>
        </w:rPr>
        <w:t xml:space="preserve"> the</w:t>
      </w:r>
      <w:r w:rsidR="00883740" w:rsidRPr="00307013">
        <w:rPr>
          <w:rFonts w:cs="Arial"/>
        </w:rPr>
        <w:t xml:space="preserve"> outcome </w:t>
      </w:r>
      <w:r w:rsidR="00CA5D14">
        <w:rPr>
          <w:rFonts w:cs="Arial"/>
        </w:rPr>
        <w:t xml:space="preserve">of the identification parade </w:t>
      </w:r>
      <w:r w:rsidR="00883740" w:rsidRPr="00307013">
        <w:rPr>
          <w:rFonts w:cs="Arial"/>
        </w:rPr>
        <w:t>cannot be credible</w:t>
      </w:r>
      <w:r w:rsidR="00003A32">
        <w:rPr>
          <w:rFonts w:cs="Arial"/>
        </w:rPr>
        <w:t>,</w:t>
      </w:r>
      <w:r w:rsidR="00883740" w:rsidRPr="00307013">
        <w:rPr>
          <w:rFonts w:cs="Arial"/>
        </w:rPr>
        <w:t xml:space="preserve"> is without substance.</w:t>
      </w:r>
      <w:r w:rsidR="00341F1A" w:rsidRPr="00307013">
        <w:rPr>
          <w:rFonts w:cs="Arial"/>
        </w:rPr>
        <w:t xml:space="preserve"> </w:t>
      </w:r>
      <w:r w:rsidR="00883740" w:rsidRPr="00307013">
        <w:rPr>
          <w:rFonts w:cs="Arial"/>
        </w:rPr>
        <w:t>Both Ms Ngema and Mr Zikhali</w:t>
      </w:r>
      <w:r w:rsidR="00383BBC" w:rsidRPr="00307013">
        <w:rPr>
          <w:rFonts w:cs="Arial"/>
        </w:rPr>
        <w:t xml:space="preserve"> testified that the Zululand Observer publication of the 20</w:t>
      </w:r>
      <w:r w:rsidR="00383BBC" w:rsidRPr="00307013">
        <w:rPr>
          <w:rFonts w:cs="Arial"/>
          <w:vertAlign w:val="superscript"/>
        </w:rPr>
        <w:t>th</w:t>
      </w:r>
      <w:r w:rsidR="00383BBC" w:rsidRPr="00307013">
        <w:rPr>
          <w:rFonts w:cs="Arial"/>
        </w:rPr>
        <w:t xml:space="preserve"> January 2017</w:t>
      </w:r>
      <w:r w:rsidR="00341F1A" w:rsidRPr="00307013">
        <w:rPr>
          <w:rFonts w:cs="Arial"/>
        </w:rPr>
        <w:t xml:space="preserve"> and </w:t>
      </w:r>
      <w:r w:rsidR="0005601B">
        <w:rPr>
          <w:rFonts w:cs="Arial"/>
        </w:rPr>
        <w:t xml:space="preserve">the </w:t>
      </w:r>
      <w:r w:rsidR="00341F1A" w:rsidRPr="00307013">
        <w:rPr>
          <w:rFonts w:cs="Arial"/>
        </w:rPr>
        <w:t>internet images</w:t>
      </w:r>
      <w:r w:rsidR="00383BBC" w:rsidRPr="00307013">
        <w:rPr>
          <w:rFonts w:cs="Arial"/>
        </w:rPr>
        <w:t xml:space="preserve"> </w:t>
      </w:r>
      <w:r w:rsidR="0005601B">
        <w:rPr>
          <w:rFonts w:cs="Arial"/>
        </w:rPr>
        <w:t xml:space="preserve">thereof, </w:t>
      </w:r>
      <w:r w:rsidR="00383BBC" w:rsidRPr="00307013">
        <w:rPr>
          <w:rFonts w:cs="Arial"/>
        </w:rPr>
        <w:t xml:space="preserve">did not come to </w:t>
      </w:r>
      <w:r w:rsidR="00883740" w:rsidRPr="00307013">
        <w:rPr>
          <w:rFonts w:cs="Arial"/>
        </w:rPr>
        <w:t>their</w:t>
      </w:r>
      <w:r w:rsidR="00383BBC" w:rsidRPr="00307013">
        <w:rPr>
          <w:rFonts w:cs="Arial"/>
        </w:rPr>
        <w:t xml:space="preserve"> attention</w:t>
      </w:r>
      <w:r w:rsidR="00341F1A" w:rsidRPr="00307013">
        <w:rPr>
          <w:rFonts w:cs="Arial"/>
        </w:rPr>
        <w:t xml:space="preserve">, </w:t>
      </w:r>
      <w:r w:rsidR="00CA5D14">
        <w:rPr>
          <w:rFonts w:cs="Arial"/>
        </w:rPr>
        <w:t xml:space="preserve">and </w:t>
      </w:r>
      <w:r w:rsidR="00341F1A" w:rsidRPr="00307013">
        <w:rPr>
          <w:rFonts w:cs="Arial"/>
        </w:rPr>
        <w:t>there is nothing to gainsay that.</w:t>
      </w:r>
      <w:r w:rsidR="0005601B">
        <w:rPr>
          <w:rFonts w:cs="Arial"/>
        </w:rPr>
        <w:t xml:space="preserve"> Their evidence was accepted by the learned magistrate, and there is no basis upon which this court could interfere with his conclusions.</w:t>
      </w:r>
    </w:p>
    <w:p w:rsidR="000A19FE" w:rsidRPr="00307013" w:rsidRDefault="000A19FE" w:rsidP="00831BF1">
      <w:pPr>
        <w:pStyle w:val="ListParagraph"/>
        <w:spacing w:line="360" w:lineRule="auto"/>
        <w:rPr>
          <w:rFonts w:cs="Arial"/>
        </w:rPr>
      </w:pPr>
    </w:p>
    <w:p w:rsidR="000A19FE" w:rsidRPr="00307013" w:rsidRDefault="00D76063" w:rsidP="00D76063">
      <w:pPr>
        <w:tabs>
          <w:tab w:val="left" w:pos="851"/>
        </w:tabs>
        <w:spacing w:line="360" w:lineRule="auto"/>
        <w:jc w:val="both"/>
        <w:rPr>
          <w:rFonts w:cs="Arial"/>
        </w:rPr>
      </w:pPr>
      <w:r w:rsidRPr="00307013">
        <w:rPr>
          <w:rFonts w:cs="Arial"/>
        </w:rPr>
        <w:t>[21]</w:t>
      </w:r>
      <w:r w:rsidRPr="00307013">
        <w:rPr>
          <w:rFonts w:cs="Arial"/>
        </w:rPr>
        <w:tab/>
      </w:r>
      <w:r w:rsidR="00383BBC" w:rsidRPr="00307013">
        <w:rPr>
          <w:rFonts w:cs="Arial"/>
        </w:rPr>
        <w:t>Ms Ngema testified that when she made the statement on the date of the incident, the 10</w:t>
      </w:r>
      <w:r w:rsidR="00383BBC" w:rsidRPr="00307013">
        <w:rPr>
          <w:rFonts w:cs="Arial"/>
          <w:vertAlign w:val="superscript"/>
        </w:rPr>
        <w:t>th</w:t>
      </w:r>
      <w:r w:rsidR="00383BBC" w:rsidRPr="00307013">
        <w:rPr>
          <w:rFonts w:cs="Arial"/>
        </w:rPr>
        <w:t xml:space="preserve"> August 2016, she was still in shock and was not able to give a detailed statement. On the 25</w:t>
      </w:r>
      <w:r w:rsidR="00383BBC" w:rsidRPr="00307013">
        <w:rPr>
          <w:rFonts w:cs="Arial"/>
          <w:vertAlign w:val="superscript"/>
        </w:rPr>
        <w:t>th</w:t>
      </w:r>
      <w:r w:rsidR="00383BBC" w:rsidRPr="00307013">
        <w:rPr>
          <w:rFonts w:cs="Arial"/>
        </w:rPr>
        <w:t xml:space="preserve"> November 2016 when she made the second statement, she was in a position to give a detailed explanation as to the events that</w:t>
      </w:r>
      <w:r w:rsidR="00003A32">
        <w:rPr>
          <w:rFonts w:cs="Arial"/>
        </w:rPr>
        <w:t xml:space="preserve"> had</w:t>
      </w:r>
      <w:r w:rsidR="00383BBC" w:rsidRPr="00307013">
        <w:rPr>
          <w:rFonts w:cs="Arial"/>
        </w:rPr>
        <w:t xml:space="preserve"> transpired on the 10</w:t>
      </w:r>
      <w:r w:rsidR="00383BBC" w:rsidRPr="00307013">
        <w:rPr>
          <w:rFonts w:cs="Arial"/>
          <w:vertAlign w:val="superscript"/>
        </w:rPr>
        <w:t>th</w:t>
      </w:r>
      <w:r w:rsidR="00383BBC" w:rsidRPr="00307013">
        <w:rPr>
          <w:rFonts w:cs="Arial"/>
        </w:rPr>
        <w:t xml:space="preserve"> August 2016.</w:t>
      </w:r>
    </w:p>
    <w:p w:rsidR="000A19FE" w:rsidRPr="00307013" w:rsidRDefault="000A19FE" w:rsidP="00831BF1">
      <w:pPr>
        <w:pStyle w:val="ListParagraph"/>
        <w:spacing w:line="360" w:lineRule="auto"/>
        <w:rPr>
          <w:rFonts w:cs="Arial"/>
        </w:rPr>
      </w:pPr>
    </w:p>
    <w:p w:rsidR="00883740" w:rsidRPr="00307013" w:rsidRDefault="00D76063" w:rsidP="00D76063">
      <w:pPr>
        <w:tabs>
          <w:tab w:val="left" w:pos="851"/>
        </w:tabs>
        <w:spacing w:line="360" w:lineRule="auto"/>
        <w:jc w:val="both"/>
        <w:rPr>
          <w:rFonts w:cs="Arial"/>
        </w:rPr>
      </w:pPr>
      <w:r w:rsidRPr="00307013">
        <w:rPr>
          <w:rFonts w:cs="Arial"/>
        </w:rPr>
        <w:t>[22]</w:t>
      </w:r>
      <w:r w:rsidRPr="00307013">
        <w:rPr>
          <w:rFonts w:cs="Arial"/>
        </w:rPr>
        <w:tab/>
      </w:r>
      <w:r w:rsidR="000A19FE" w:rsidRPr="00307013">
        <w:rPr>
          <w:rFonts w:cs="Arial"/>
        </w:rPr>
        <w:t xml:space="preserve">It is trite that the circumstances in which a </w:t>
      </w:r>
      <w:r w:rsidR="00163526" w:rsidRPr="00307013">
        <w:rPr>
          <w:rFonts w:cs="Arial"/>
        </w:rPr>
        <w:t>c</w:t>
      </w:r>
      <w:r w:rsidR="000A19FE" w:rsidRPr="00307013">
        <w:rPr>
          <w:rFonts w:cs="Arial"/>
        </w:rPr>
        <w:t xml:space="preserve">ourt of appeal may interfere </w:t>
      </w:r>
      <w:r w:rsidR="00B62EF0">
        <w:rPr>
          <w:rFonts w:cs="Arial"/>
        </w:rPr>
        <w:t>with the</w:t>
      </w:r>
      <w:r w:rsidR="00B62EF0" w:rsidRPr="00307013">
        <w:rPr>
          <w:rFonts w:cs="Arial"/>
        </w:rPr>
        <w:t xml:space="preserve"> </w:t>
      </w:r>
      <w:r w:rsidR="000A19FE" w:rsidRPr="00307013">
        <w:rPr>
          <w:rFonts w:cs="Arial"/>
        </w:rPr>
        <w:t>sentencing discretion of a lower court are limited.</w:t>
      </w:r>
      <w:r w:rsidR="000A19FE" w:rsidRPr="00307013">
        <w:rPr>
          <w:rStyle w:val="FootnoteReference"/>
          <w:rFonts w:cs="Arial"/>
        </w:rPr>
        <w:footnoteReference w:id="7"/>
      </w:r>
      <w:r w:rsidR="000A19FE" w:rsidRPr="00307013">
        <w:rPr>
          <w:rFonts w:cs="Arial"/>
        </w:rPr>
        <w:t xml:space="preserve"> The findings are presumed to be correct and will only be disregarded if the recorded evidence shows them to be clearly wrong.</w:t>
      </w:r>
      <w:r w:rsidR="000A19FE" w:rsidRPr="00307013">
        <w:rPr>
          <w:rStyle w:val="FootnoteReference"/>
          <w:rFonts w:cs="Arial"/>
        </w:rPr>
        <w:footnoteReference w:id="8"/>
      </w:r>
      <w:r w:rsidR="000A19FE" w:rsidRPr="00307013">
        <w:rPr>
          <w:rFonts w:cs="Arial"/>
        </w:rPr>
        <w:t xml:space="preserve"> There must be either a material misdirection by the trial court or </w:t>
      </w:r>
      <w:r w:rsidR="0031010C">
        <w:rPr>
          <w:rFonts w:cs="Arial"/>
        </w:rPr>
        <w:t>a</w:t>
      </w:r>
      <w:r w:rsidR="00627364">
        <w:rPr>
          <w:rFonts w:cs="Arial"/>
        </w:rPr>
        <w:t xml:space="preserve"> marked</w:t>
      </w:r>
      <w:r w:rsidR="0031010C" w:rsidRPr="00307013">
        <w:rPr>
          <w:rFonts w:cs="Arial"/>
        </w:rPr>
        <w:t xml:space="preserve"> </w:t>
      </w:r>
      <w:r w:rsidR="000A19FE" w:rsidRPr="00307013">
        <w:rPr>
          <w:rFonts w:cs="Arial"/>
        </w:rPr>
        <w:t xml:space="preserve">disparity between the sentence of the trial court and the sentence </w:t>
      </w:r>
      <w:r w:rsidR="00627364">
        <w:rPr>
          <w:rFonts w:cs="Arial"/>
        </w:rPr>
        <w:t>which</w:t>
      </w:r>
      <w:r w:rsidR="00627364" w:rsidRPr="00307013">
        <w:rPr>
          <w:rFonts w:cs="Arial"/>
        </w:rPr>
        <w:t xml:space="preserve"> </w:t>
      </w:r>
      <w:r w:rsidR="000A19FE" w:rsidRPr="00307013">
        <w:rPr>
          <w:rFonts w:cs="Arial"/>
        </w:rPr>
        <w:t>the appellate court would have imposed.</w:t>
      </w:r>
      <w:r w:rsidR="000A19FE" w:rsidRPr="00307013">
        <w:rPr>
          <w:rStyle w:val="FootnoteReference"/>
          <w:rFonts w:cs="Arial"/>
        </w:rPr>
        <w:footnoteReference w:id="9"/>
      </w:r>
    </w:p>
    <w:p w:rsidR="007D49FB" w:rsidRPr="00307013" w:rsidRDefault="007D49FB" w:rsidP="00831BF1">
      <w:pPr>
        <w:pStyle w:val="ListParagraph"/>
        <w:spacing w:line="360" w:lineRule="auto"/>
        <w:rPr>
          <w:rFonts w:cs="Arial"/>
        </w:rPr>
      </w:pPr>
    </w:p>
    <w:p w:rsidR="007D49FB" w:rsidRPr="00307013" w:rsidRDefault="00D76063" w:rsidP="00D76063">
      <w:pPr>
        <w:tabs>
          <w:tab w:val="left" w:pos="851"/>
        </w:tabs>
        <w:spacing w:line="360" w:lineRule="auto"/>
        <w:jc w:val="both"/>
        <w:rPr>
          <w:rFonts w:cs="Arial"/>
        </w:rPr>
      </w:pPr>
      <w:r w:rsidRPr="00307013">
        <w:rPr>
          <w:rFonts w:cs="Arial"/>
        </w:rPr>
        <w:t>[23]</w:t>
      </w:r>
      <w:r w:rsidRPr="00307013">
        <w:rPr>
          <w:rFonts w:cs="Arial"/>
        </w:rPr>
        <w:tab/>
      </w:r>
      <w:r w:rsidR="007D49FB" w:rsidRPr="00307013">
        <w:rPr>
          <w:rFonts w:cs="Arial"/>
        </w:rPr>
        <w:t xml:space="preserve">In </w:t>
      </w:r>
      <w:r w:rsidR="007D49FB" w:rsidRPr="00307013">
        <w:rPr>
          <w:rFonts w:cs="Arial"/>
          <w:i/>
          <w:iCs/>
        </w:rPr>
        <w:t xml:space="preserve">S v Rabie </w:t>
      </w:r>
      <w:r w:rsidR="007D49FB" w:rsidRPr="00307013">
        <w:rPr>
          <w:rFonts w:cs="Arial"/>
        </w:rPr>
        <w:t>1975 (4) SA 855 (A) at 857D–E, the court stated the following:</w:t>
      </w:r>
    </w:p>
    <w:p w:rsidR="007D49FB" w:rsidRPr="00307013" w:rsidRDefault="0031010C" w:rsidP="00831BF1">
      <w:pPr>
        <w:tabs>
          <w:tab w:val="left" w:pos="851"/>
        </w:tabs>
        <w:spacing w:line="360" w:lineRule="auto"/>
        <w:jc w:val="both"/>
        <w:rPr>
          <w:rFonts w:cs="Arial"/>
          <w:sz w:val="22"/>
        </w:rPr>
      </w:pPr>
      <w:r>
        <w:rPr>
          <w:rFonts w:cs="Arial"/>
          <w:sz w:val="22"/>
        </w:rPr>
        <w:t>‘</w:t>
      </w:r>
      <w:r w:rsidR="007D49FB" w:rsidRPr="00307013">
        <w:rPr>
          <w:rFonts w:cs="Arial"/>
          <w:sz w:val="22"/>
        </w:rPr>
        <w:t xml:space="preserve">In any appeal against sentence, whether imposed by a magistrate or a </w:t>
      </w:r>
      <w:r w:rsidR="008E6401">
        <w:rPr>
          <w:rFonts w:cs="Arial"/>
          <w:sz w:val="22"/>
        </w:rPr>
        <w:t>J</w:t>
      </w:r>
      <w:r w:rsidR="007D49FB" w:rsidRPr="00307013">
        <w:rPr>
          <w:rFonts w:cs="Arial"/>
          <w:sz w:val="22"/>
        </w:rPr>
        <w:t xml:space="preserve">udge, the </w:t>
      </w:r>
      <w:r w:rsidR="008E6401">
        <w:rPr>
          <w:rFonts w:cs="Arial"/>
          <w:sz w:val="22"/>
        </w:rPr>
        <w:t>C</w:t>
      </w:r>
      <w:r w:rsidR="007D49FB" w:rsidRPr="00307013">
        <w:rPr>
          <w:rFonts w:cs="Arial"/>
          <w:sz w:val="22"/>
        </w:rPr>
        <w:t xml:space="preserve">ourt hearing the appeal – </w:t>
      </w:r>
    </w:p>
    <w:p w:rsidR="00036C4A" w:rsidRPr="00D76063" w:rsidRDefault="00D76063" w:rsidP="00D76063">
      <w:pPr>
        <w:tabs>
          <w:tab w:val="left" w:pos="851"/>
        </w:tabs>
        <w:spacing w:line="360" w:lineRule="auto"/>
        <w:jc w:val="both"/>
        <w:rPr>
          <w:rFonts w:cs="Arial"/>
          <w:sz w:val="22"/>
        </w:rPr>
      </w:pPr>
      <w:r w:rsidRPr="00307013">
        <w:rPr>
          <w:rFonts w:cs="Arial"/>
          <w:sz w:val="22"/>
        </w:rPr>
        <w:t>(a)</w:t>
      </w:r>
      <w:r w:rsidRPr="00307013">
        <w:rPr>
          <w:rFonts w:cs="Arial"/>
          <w:sz w:val="22"/>
        </w:rPr>
        <w:tab/>
      </w:r>
      <w:r w:rsidR="007D49FB" w:rsidRPr="00D76063">
        <w:rPr>
          <w:rFonts w:cs="Arial"/>
          <w:sz w:val="22"/>
        </w:rPr>
        <w:t>should be guided by the princip</w:t>
      </w:r>
      <w:r w:rsidR="008E6401" w:rsidRPr="00D76063">
        <w:rPr>
          <w:rFonts w:cs="Arial"/>
          <w:sz w:val="22"/>
        </w:rPr>
        <w:t>le</w:t>
      </w:r>
      <w:r w:rsidR="007D49FB" w:rsidRPr="00D76063">
        <w:rPr>
          <w:rFonts w:cs="Arial"/>
          <w:sz w:val="22"/>
        </w:rPr>
        <w:t xml:space="preserve"> that punishment is </w:t>
      </w:r>
      <w:r w:rsidR="008E6401" w:rsidRPr="00D76063">
        <w:rPr>
          <w:rFonts w:cs="Arial"/>
          <w:sz w:val="22"/>
        </w:rPr>
        <w:t>“</w:t>
      </w:r>
      <w:r w:rsidR="007D49FB" w:rsidRPr="00D76063">
        <w:rPr>
          <w:rFonts w:cs="Arial"/>
          <w:sz w:val="22"/>
        </w:rPr>
        <w:t xml:space="preserve">pre-eminently </w:t>
      </w:r>
      <w:r w:rsidR="00036C4A" w:rsidRPr="00D76063">
        <w:rPr>
          <w:rFonts w:cs="Arial"/>
          <w:sz w:val="22"/>
        </w:rPr>
        <w:t xml:space="preserve">a matter for the discretion of the trial </w:t>
      </w:r>
      <w:r w:rsidR="008E6401" w:rsidRPr="00D76063">
        <w:rPr>
          <w:rFonts w:cs="Arial"/>
          <w:sz w:val="22"/>
        </w:rPr>
        <w:t>C</w:t>
      </w:r>
      <w:r w:rsidR="00036C4A" w:rsidRPr="00D76063">
        <w:rPr>
          <w:rFonts w:cs="Arial"/>
          <w:sz w:val="22"/>
        </w:rPr>
        <w:t>ourt</w:t>
      </w:r>
      <w:r w:rsidR="008E6401" w:rsidRPr="00D76063">
        <w:rPr>
          <w:rFonts w:cs="Arial"/>
          <w:sz w:val="22"/>
        </w:rPr>
        <w:t>”</w:t>
      </w:r>
      <w:r w:rsidR="00036C4A" w:rsidRPr="00D76063">
        <w:rPr>
          <w:rFonts w:cs="Arial"/>
          <w:sz w:val="22"/>
        </w:rPr>
        <w:t xml:space="preserve"> and;</w:t>
      </w:r>
    </w:p>
    <w:p w:rsidR="00036C4A" w:rsidRPr="00D76063" w:rsidRDefault="00D76063" w:rsidP="00D76063">
      <w:pPr>
        <w:tabs>
          <w:tab w:val="left" w:pos="851"/>
        </w:tabs>
        <w:spacing w:line="360" w:lineRule="auto"/>
        <w:jc w:val="both"/>
        <w:rPr>
          <w:rFonts w:cs="Arial"/>
          <w:sz w:val="22"/>
        </w:rPr>
      </w:pPr>
      <w:r w:rsidRPr="00307013">
        <w:rPr>
          <w:rFonts w:cs="Arial"/>
          <w:sz w:val="22"/>
        </w:rPr>
        <w:t>(b)</w:t>
      </w:r>
      <w:r w:rsidRPr="00307013">
        <w:rPr>
          <w:rFonts w:cs="Arial"/>
          <w:sz w:val="22"/>
        </w:rPr>
        <w:tab/>
      </w:r>
      <w:r w:rsidR="00036C4A" w:rsidRPr="00D76063">
        <w:rPr>
          <w:rFonts w:cs="Arial"/>
          <w:sz w:val="22"/>
        </w:rPr>
        <w:t>should be careful not to erode such discretion: hence the further princip</w:t>
      </w:r>
      <w:r w:rsidR="008E6401" w:rsidRPr="00D76063">
        <w:rPr>
          <w:rFonts w:cs="Arial"/>
          <w:sz w:val="22"/>
        </w:rPr>
        <w:t>le</w:t>
      </w:r>
      <w:r w:rsidR="00036C4A" w:rsidRPr="00D76063">
        <w:rPr>
          <w:rFonts w:cs="Arial"/>
          <w:sz w:val="22"/>
        </w:rPr>
        <w:t xml:space="preserve"> that the sentence should only be altered if the discretion has not been </w:t>
      </w:r>
      <w:r w:rsidR="008E6401" w:rsidRPr="00D76063">
        <w:rPr>
          <w:rFonts w:cs="Arial"/>
          <w:sz w:val="22"/>
        </w:rPr>
        <w:t>“</w:t>
      </w:r>
      <w:r w:rsidR="00036C4A" w:rsidRPr="00D76063">
        <w:rPr>
          <w:rFonts w:cs="Arial"/>
          <w:sz w:val="22"/>
        </w:rPr>
        <w:t>judicially and properly exercised</w:t>
      </w:r>
      <w:r w:rsidR="008E6401" w:rsidRPr="00D76063">
        <w:rPr>
          <w:rFonts w:cs="Arial"/>
          <w:sz w:val="22"/>
        </w:rPr>
        <w:t>”</w:t>
      </w:r>
      <w:r w:rsidR="00036C4A" w:rsidRPr="00D76063">
        <w:rPr>
          <w:rFonts w:cs="Arial"/>
          <w:sz w:val="22"/>
        </w:rPr>
        <w:t>.</w:t>
      </w:r>
    </w:p>
    <w:p w:rsidR="00036C4A" w:rsidRPr="00307013" w:rsidRDefault="00036C4A" w:rsidP="00831BF1">
      <w:pPr>
        <w:pStyle w:val="ListParagraph"/>
        <w:tabs>
          <w:tab w:val="left" w:pos="851"/>
        </w:tabs>
        <w:spacing w:line="360" w:lineRule="auto"/>
        <w:ind w:left="0"/>
        <w:jc w:val="both"/>
        <w:rPr>
          <w:rFonts w:cs="Arial"/>
          <w:sz w:val="22"/>
        </w:rPr>
      </w:pPr>
      <w:r w:rsidRPr="00307013">
        <w:rPr>
          <w:rFonts w:cs="Arial"/>
          <w:sz w:val="22"/>
        </w:rPr>
        <w:t>The test under (b) is whether the sentence is vitiated by irregularity or misdirection or is disturbingly inappropriate.</w:t>
      </w:r>
      <w:r w:rsidR="0031010C">
        <w:rPr>
          <w:rFonts w:cs="Arial"/>
          <w:sz w:val="22"/>
        </w:rPr>
        <w:t>’</w:t>
      </w:r>
    </w:p>
    <w:p w:rsidR="007D49FB" w:rsidRPr="00307013" w:rsidRDefault="007D49FB" w:rsidP="00831BF1">
      <w:pPr>
        <w:pStyle w:val="ListParagraph"/>
        <w:spacing w:line="360" w:lineRule="auto"/>
        <w:rPr>
          <w:rFonts w:cs="Arial"/>
        </w:rPr>
      </w:pPr>
    </w:p>
    <w:p w:rsidR="007D49FB" w:rsidRPr="00307013" w:rsidRDefault="00D76063" w:rsidP="00D76063">
      <w:pPr>
        <w:tabs>
          <w:tab w:val="left" w:pos="851"/>
        </w:tabs>
        <w:spacing w:line="360" w:lineRule="auto"/>
        <w:jc w:val="both"/>
        <w:rPr>
          <w:rFonts w:cs="Arial"/>
        </w:rPr>
      </w:pPr>
      <w:r w:rsidRPr="00307013">
        <w:rPr>
          <w:rFonts w:cs="Arial"/>
        </w:rPr>
        <w:t>[24]</w:t>
      </w:r>
      <w:r w:rsidRPr="00307013">
        <w:rPr>
          <w:rFonts w:cs="Arial"/>
        </w:rPr>
        <w:tab/>
      </w:r>
      <w:r w:rsidR="00036C4A" w:rsidRPr="00307013">
        <w:rPr>
          <w:rFonts w:cs="Arial"/>
        </w:rPr>
        <w:t xml:space="preserve">In </w:t>
      </w:r>
      <w:r w:rsidR="0031010C" w:rsidRPr="00307013">
        <w:rPr>
          <w:i/>
          <w:iCs/>
          <w:lang w:val="en-US"/>
        </w:rPr>
        <w:t xml:space="preserve">S v Malgas </w:t>
      </w:r>
      <w:r w:rsidR="0031010C">
        <w:rPr>
          <w:lang w:val="en-US"/>
        </w:rPr>
        <w:t>2001 (1) SACR 469 (SCA)</w:t>
      </w:r>
      <w:r w:rsidR="008E6401">
        <w:rPr>
          <w:rFonts w:cs="Arial"/>
        </w:rPr>
        <w:t xml:space="preserve"> para 12,</w:t>
      </w:r>
      <w:r w:rsidR="00036C4A" w:rsidRPr="00307013">
        <w:rPr>
          <w:rFonts w:cs="Arial"/>
        </w:rPr>
        <w:t xml:space="preserve"> the </w:t>
      </w:r>
      <w:r w:rsidR="0031010C">
        <w:rPr>
          <w:rFonts w:cs="Arial"/>
        </w:rPr>
        <w:t>c</w:t>
      </w:r>
      <w:r w:rsidR="00036C4A" w:rsidRPr="00307013">
        <w:rPr>
          <w:rFonts w:cs="Arial"/>
        </w:rPr>
        <w:t>ourt stated the following in applying a broadened scope for the interference:</w:t>
      </w:r>
    </w:p>
    <w:p w:rsidR="00036C4A" w:rsidRPr="00307013" w:rsidRDefault="0031010C" w:rsidP="00831BF1">
      <w:pPr>
        <w:tabs>
          <w:tab w:val="left" w:pos="851"/>
        </w:tabs>
        <w:spacing w:line="360" w:lineRule="auto"/>
        <w:jc w:val="both"/>
        <w:rPr>
          <w:rFonts w:cs="Arial"/>
          <w:sz w:val="22"/>
        </w:rPr>
      </w:pPr>
      <w:r>
        <w:rPr>
          <w:rFonts w:cs="Arial"/>
        </w:rPr>
        <w:t>‘</w:t>
      </w:r>
      <w:r w:rsidR="0005601B">
        <w:rPr>
          <w:rFonts w:cs="Arial"/>
        </w:rPr>
        <w:t xml:space="preserve">. . . </w:t>
      </w:r>
      <w:r w:rsidR="00036C4A" w:rsidRPr="00307013">
        <w:rPr>
          <w:rFonts w:cs="Arial"/>
          <w:sz w:val="22"/>
        </w:rPr>
        <w:t xml:space="preserve">However, even in the absence of material misdirection, an appellate court may yet be justified in interfering with the sentence imposed by the trial court. It may do so when the disparity between the sentence of the trial court and the sentence which the appellate </w:t>
      </w:r>
      <w:r w:rsidR="008E6401">
        <w:rPr>
          <w:rFonts w:cs="Arial"/>
          <w:sz w:val="22"/>
        </w:rPr>
        <w:t>C</w:t>
      </w:r>
      <w:r w:rsidR="00036C4A" w:rsidRPr="00307013">
        <w:rPr>
          <w:rFonts w:cs="Arial"/>
          <w:sz w:val="22"/>
        </w:rPr>
        <w:t xml:space="preserve">ourt would have imposed had it been the trial court is so marked that it can properly be described as “shocking”, “startling” or “disturbingly inappropriate”. It must be </w:t>
      </w:r>
      <w:r w:rsidR="008E6401" w:rsidRPr="00307013">
        <w:rPr>
          <w:rFonts w:cs="Arial"/>
          <w:sz w:val="22"/>
        </w:rPr>
        <w:t>emphasi</w:t>
      </w:r>
      <w:r w:rsidR="008E6401">
        <w:rPr>
          <w:rFonts w:cs="Arial"/>
          <w:sz w:val="22"/>
        </w:rPr>
        <w:t>s</w:t>
      </w:r>
      <w:r w:rsidR="008E6401" w:rsidRPr="00307013">
        <w:rPr>
          <w:rFonts w:cs="Arial"/>
          <w:sz w:val="22"/>
        </w:rPr>
        <w:t xml:space="preserve">ed </w:t>
      </w:r>
      <w:r w:rsidR="00036C4A" w:rsidRPr="00307013">
        <w:rPr>
          <w:rFonts w:cs="Arial"/>
          <w:sz w:val="22"/>
        </w:rPr>
        <w:t xml:space="preserve">that in the latter situation the </w:t>
      </w:r>
      <w:r w:rsidR="00163526" w:rsidRPr="00307013">
        <w:rPr>
          <w:rFonts w:cs="Arial"/>
          <w:sz w:val="22"/>
        </w:rPr>
        <w:t>a</w:t>
      </w:r>
      <w:r w:rsidR="00036C4A" w:rsidRPr="00307013">
        <w:rPr>
          <w:rFonts w:cs="Arial"/>
          <w:sz w:val="22"/>
        </w:rPr>
        <w:t xml:space="preserve">ppellate </w:t>
      </w:r>
      <w:r w:rsidR="00163526" w:rsidRPr="00307013">
        <w:rPr>
          <w:rFonts w:cs="Arial"/>
          <w:sz w:val="22"/>
        </w:rPr>
        <w:t>c</w:t>
      </w:r>
      <w:r w:rsidR="00036C4A" w:rsidRPr="00307013">
        <w:rPr>
          <w:rFonts w:cs="Arial"/>
          <w:sz w:val="22"/>
        </w:rPr>
        <w:t xml:space="preserve">ourt is not large in the sense in which it is at large in the former. In the latter situation it may not substitute the sentence which it thinks appropriate merely because it does not accord with the sentence imposed by the trial court or because it prefers it </w:t>
      </w:r>
      <w:r w:rsidR="00AF4B6C">
        <w:rPr>
          <w:rFonts w:cs="Arial"/>
          <w:sz w:val="22"/>
        </w:rPr>
        <w:t xml:space="preserve">to </w:t>
      </w:r>
      <w:r w:rsidR="00036C4A" w:rsidRPr="00307013">
        <w:rPr>
          <w:rFonts w:cs="Arial"/>
          <w:sz w:val="22"/>
        </w:rPr>
        <w:t>that sentence. It may do so only where the difference is so substantial that it attracts epithets of the kind I have mentioned.</w:t>
      </w:r>
      <w:r w:rsidR="00AF4B6C">
        <w:rPr>
          <w:rFonts w:cs="Arial"/>
          <w:sz w:val="22"/>
        </w:rPr>
        <w:t xml:space="preserve"> . . .</w:t>
      </w:r>
      <w:r>
        <w:rPr>
          <w:rFonts w:cs="Arial"/>
          <w:sz w:val="22"/>
        </w:rPr>
        <w:t>’</w:t>
      </w:r>
    </w:p>
    <w:p w:rsidR="00036C4A" w:rsidRPr="00307013" w:rsidRDefault="00036C4A" w:rsidP="00831BF1">
      <w:pPr>
        <w:pStyle w:val="ListParagraph"/>
        <w:spacing w:line="360" w:lineRule="auto"/>
        <w:rPr>
          <w:rFonts w:cs="Arial"/>
          <w:sz w:val="22"/>
        </w:rPr>
      </w:pPr>
    </w:p>
    <w:p w:rsidR="00036C4A" w:rsidRPr="00307013" w:rsidRDefault="00D76063" w:rsidP="00D76063">
      <w:pPr>
        <w:tabs>
          <w:tab w:val="left" w:pos="851"/>
        </w:tabs>
        <w:spacing w:line="360" w:lineRule="auto"/>
        <w:jc w:val="both"/>
        <w:rPr>
          <w:rFonts w:cs="Arial"/>
        </w:rPr>
      </w:pPr>
      <w:r w:rsidRPr="00307013">
        <w:rPr>
          <w:rFonts w:cs="Arial"/>
        </w:rPr>
        <w:t>[25]</w:t>
      </w:r>
      <w:r w:rsidRPr="00307013">
        <w:rPr>
          <w:rFonts w:cs="Arial"/>
        </w:rPr>
        <w:tab/>
      </w:r>
      <w:r w:rsidR="00036C4A" w:rsidRPr="00307013">
        <w:rPr>
          <w:rFonts w:cs="Arial"/>
        </w:rPr>
        <w:t>We are satisfied that the court</w:t>
      </w:r>
      <w:r w:rsidR="00036C4A" w:rsidRPr="00307013">
        <w:rPr>
          <w:rFonts w:cs="Arial"/>
          <w:i/>
          <w:iCs/>
        </w:rPr>
        <w:t xml:space="preserve"> a quo</w:t>
      </w:r>
      <w:r w:rsidR="00036C4A" w:rsidRPr="00307013">
        <w:t xml:space="preserve"> properly took into account all the relevant factors that needed to be taken into account when determining whether there were substantial and compelling circumstances present. The trial court deviated and imposed lesser sentences and we find no justification in interfering with the sentences imposed </w:t>
      </w:r>
      <w:r w:rsidR="00036C4A" w:rsidRPr="00307013">
        <w:rPr>
          <w:i/>
          <w:iCs/>
        </w:rPr>
        <w:t>a quo</w:t>
      </w:r>
      <w:r w:rsidR="00036C4A" w:rsidRPr="00307013">
        <w:t>.</w:t>
      </w:r>
    </w:p>
    <w:p w:rsidR="00036C4A" w:rsidRPr="00307013" w:rsidRDefault="00036C4A" w:rsidP="00831BF1">
      <w:pPr>
        <w:tabs>
          <w:tab w:val="left" w:pos="851"/>
        </w:tabs>
        <w:spacing w:line="360" w:lineRule="auto"/>
        <w:jc w:val="both"/>
        <w:rPr>
          <w:rFonts w:cs="Arial"/>
        </w:rPr>
      </w:pPr>
    </w:p>
    <w:p w:rsidR="00036C4A" w:rsidRPr="00C67AC6" w:rsidRDefault="00D76063" w:rsidP="00D76063">
      <w:pPr>
        <w:tabs>
          <w:tab w:val="left" w:pos="851"/>
        </w:tabs>
        <w:spacing w:line="360" w:lineRule="auto"/>
        <w:jc w:val="both"/>
        <w:rPr>
          <w:rFonts w:cs="Arial"/>
        </w:rPr>
      </w:pPr>
      <w:r w:rsidRPr="00C67AC6">
        <w:rPr>
          <w:rFonts w:cs="Arial"/>
        </w:rPr>
        <w:t>[26]</w:t>
      </w:r>
      <w:r w:rsidRPr="00C67AC6">
        <w:rPr>
          <w:rFonts w:cs="Arial"/>
        </w:rPr>
        <w:tab/>
      </w:r>
      <w:r w:rsidR="00036C4A" w:rsidRPr="00307013">
        <w:t xml:space="preserve">In the result, </w:t>
      </w:r>
      <w:r w:rsidR="00163526" w:rsidRPr="00307013">
        <w:t>the following order is proposed</w:t>
      </w:r>
      <w:r w:rsidR="00C67AC6">
        <w:t>:</w:t>
      </w:r>
    </w:p>
    <w:p w:rsidR="00C67AC6" w:rsidRDefault="00C67AC6" w:rsidP="00831BF1">
      <w:pPr>
        <w:pStyle w:val="ListParagraph"/>
        <w:spacing w:line="360" w:lineRule="auto"/>
        <w:rPr>
          <w:rFonts w:cs="Arial"/>
        </w:rPr>
      </w:pPr>
    </w:p>
    <w:p w:rsidR="00036C4A" w:rsidRPr="00307013" w:rsidRDefault="00C67AC6" w:rsidP="00831BF1">
      <w:pPr>
        <w:tabs>
          <w:tab w:val="left" w:pos="851"/>
        </w:tabs>
        <w:spacing w:line="360" w:lineRule="auto"/>
        <w:ind w:left="1440" w:hanging="1440"/>
        <w:jc w:val="both"/>
        <w:rPr>
          <w:rFonts w:cs="Arial"/>
        </w:rPr>
      </w:pPr>
      <w:r>
        <w:rPr>
          <w:rFonts w:cs="Arial"/>
          <w:lang w:val="en-GB"/>
        </w:rPr>
        <w:tab/>
        <w:t>(a)</w:t>
      </w:r>
      <w:r>
        <w:rPr>
          <w:rFonts w:cs="Arial"/>
          <w:lang w:val="en-GB"/>
        </w:rPr>
        <w:tab/>
      </w:r>
      <w:r w:rsidR="0077237F">
        <w:rPr>
          <w:rFonts w:cs="Arial"/>
        </w:rPr>
        <w:t xml:space="preserve">The appeal against conviction and sentence </w:t>
      </w:r>
      <w:r w:rsidR="00163526" w:rsidRPr="00307013">
        <w:rPr>
          <w:rFonts w:cs="Arial"/>
        </w:rPr>
        <w:t>is dismissed.</w:t>
      </w:r>
    </w:p>
    <w:p w:rsidR="00036C4A" w:rsidRPr="00307013" w:rsidRDefault="00036C4A" w:rsidP="00307013">
      <w:pPr>
        <w:pStyle w:val="ListParagraph"/>
        <w:spacing w:line="360" w:lineRule="auto"/>
        <w:rPr>
          <w:rFonts w:cs="Arial"/>
          <w:sz w:val="22"/>
        </w:rPr>
      </w:pPr>
    </w:p>
    <w:p w:rsidR="00307013" w:rsidRPr="00307013" w:rsidRDefault="00307013" w:rsidP="00307013">
      <w:pPr>
        <w:pStyle w:val="ListParagraph"/>
        <w:spacing w:line="360" w:lineRule="auto"/>
        <w:rPr>
          <w:rFonts w:cs="Arial"/>
          <w:sz w:val="22"/>
        </w:rPr>
      </w:pPr>
    </w:p>
    <w:bookmarkEnd w:id="2"/>
    <w:p w:rsidR="001C143E" w:rsidRPr="00D745A4" w:rsidRDefault="001C143E" w:rsidP="00D745A4">
      <w:pPr>
        <w:spacing w:line="360" w:lineRule="auto"/>
        <w:rPr>
          <w:rFonts w:cs="Arial"/>
          <w:bCs/>
        </w:rPr>
      </w:pPr>
      <w:r w:rsidRPr="00D745A4">
        <w:rPr>
          <w:rFonts w:cs="Arial"/>
          <w:bCs/>
        </w:rPr>
        <w:t>________</w:t>
      </w:r>
      <w:r w:rsidR="005B2A5F" w:rsidRPr="00D745A4">
        <w:rPr>
          <w:rFonts w:cs="Arial"/>
          <w:bCs/>
        </w:rPr>
        <w:t>___</w:t>
      </w:r>
      <w:r w:rsidRPr="00D745A4">
        <w:rPr>
          <w:rFonts w:cs="Arial"/>
          <w:bCs/>
        </w:rPr>
        <w:t>___</w:t>
      </w:r>
    </w:p>
    <w:p w:rsidR="001C143E" w:rsidRPr="00D745A4" w:rsidRDefault="00883740" w:rsidP="00AF4B6C">
      <w:pPr>
        <w:spacing w:line="360" w:lineRule="auto"/>
        <w:rPr>
          <w:rFonts w:cs="Arial"/>
          <w:bCs/>
        </w:rPr>
      </w:pPr>
      <w:r w:rsidRPr="00D745A4">
        <w:rPr>
          <w:rFonts w:cs="Arial"/>
          <w:bCs/>
        </w:rPr>
        <w:t>M. Sibisi AJ</w:t>
      </w:r>
    </w:p>
    <w:p w:rsidR="00AF4B6C" w:rsidRDefault="00AF4B6C" w:rsidP="00AF4B6C">
      <w:pPr>
        <w:spacing w:line="360" w:lineRule="auto"/>
        <w:rPr>
          <w:rFonts w:cs="Arial"/>
          <w:b/>
        </w:rPr>
      </w:pPr>
    </w:p>
    <w:p w:rsidR="003014DB" w:rsidRPr="00307013" w:rsidRDefault="003014DB" w:rsidP="00307013">
      <w:pPr>
        <w:spacing w:line="360" w:lineRule="auto"/>
        <w:jc w:val="right"/>
        <w:rPr>
          <w:rFonts w:cs="Arial"/>
          <w:bCs/>
        </w:rPr>
      </w:pPr>
    </w:p>
    <w:p w:rsidR="000D7619" w:rsidRPr="00D745A4" w:rsidRDefault="000D7619" w:rsidP="00D745A4">
      <w:pPr>
        <w:spacing w:line="360" w:lineRule="auto"/>
        <w:rPr>
          <w:rFonts w:cs="Arial"/>
          <w:bCs/>
        </w:rPr>
      </w:pPr>
      <w:r w:rsidRPr="00D745A4">
        <w:rPr>
          <w:rFonts w:cs="Arial"/>
          <w:bCs/>
        </w:rPr>
        <w:t>______________</w:t>
      </w:r>
    </w:p>
    <w:p w:rsidR="000D7619" w:rsidRPr="00D745A4" w:rsidRDefault="00883740" w:rsidP="00D745A4">
      <w:pPr>
        <w:spacing w:line="360" w:lineRule="auto"/>
        <w:rPr>
          <w:rFonts w:cs="Arial"/>
          <w:bCs/>
        </w:rPr>
      </w:pPr>
      <w:r w:rsidRPr="00D745A4">
        <w:rPr>
          <w:rFonts w:cs="Arial"/>
          <w:bCs/>
        </w:rPr>
        <w:t xml:space="preserve">Lopes </w:t>
      </w:r>
      <w:r w:rsidR="000D7619" w:rsidRPr="00D745A4">
        <w:rPr>
          <w:rFonts w:cs="Arial"/>
          <w:bCs/>
        </w:rPr>
        <w:t>J</w:t>
      </w:r>
    </w:p>
    <w:p w:rsidR="00350B03" w:rsidRPr="00307013" w:rsidRDefault="00350B03" w:rsidP="00307013">
      <w:pPr>
        <w:spacing w:line="360" w:lineRule="auto"/>
        <w:jc w:val="right"/>
        <w:rPr>
          <w:rFonts w:cs="Arial"/>
          <w:b/>
        </w:rPr>
      </w:pPr>
    </w:p>
    <w:p w:rsidR="000D7619" w:rsidRPr="00307013" w:rsidRDefault="000D7619" w:rsidP="00307013">
      <w:pPr>
        <w:spacing w:line="360" w:lineRule="auto"/>
        <w:jc w:val="right"/>
        <w:rPr>
          <w:rFonts w:cs="Arial"/>
          <w:b/>
        </w:rPr>
      </w:pPr>
    </w:p>
    <w:p w:rsidR="00883740" w:rsidRDefault="00883740" w:rsidP="00307013">
      <w:pPr>
        <w:spacing w:line="360" w:lineRule="auto"/>
        <w:jc w:val="right"/>
        <w:rPr>
          <w:rFonts w:cs="Arial"/>
          <w:b/>
        </w:rPr>
      </w:pPr>
    </w:p>
    <w:p w:rsidR="003014DB" w:rsidRPr="00307013" w:rsidRDefault="003014DB" w:rsidP="00307013">
      <w:pPr>
        <w:spacing w:line="360" w:lineRule="auto"/>
        <w:jc w:val="right"/>
        <w:rPr>
          <w:rFonts w:cs="Arial"/>
          <w:b/>
        </w:rPr>
      </w:pPr>
    </w:p>
    <w:p w:rsidR="00883740" w:rsidRPr="00307013" w:rsidRDefault="00307013" w:rsidP="00307013">
      <w:pPr>
        <w:spacing w:line="360" w:lineRule="auto"/>
        <w:rPr>
          <w:rFonts w:cs="Arial"/>
          <w:bCs/>
        </w:rPr>
      </w:pPr>
      <w:r w:rsidRPr="00307013">
        <w:rPr>
          <w:rFonts w:cs="Arial"/>
          <w:bCs/>
        </w:rPr>
        <w:t xml:space="preserve">Date of hearing: </w:t>
      </w:r>
      <w:r w:rsidRPr="00307013">
        <w:rPr>
          <w:rFonts w:cs="Arial"/>
          <w:bCs/>
        </w:rPr>
        <w:tab/>
      </w:r>
      <w:r w:rsidRPr="00307013">
        <w:rPr>
          <w:rFonts w:cs="Arial"/>
          <w:bCs/>
        </w:rPr>
        <w:tab/>
        <w:t>5</w:t>
      </w:r>
      <w:r w:rsidR="00AF4B6C" w:rsidRPr="00730325">
        <w:rPr>
          <w:rFonts w:cs="Arial"/>
          <w:bCs/>
          <w:vertAlign w:val="superscript"/>
        </w:rPr>
        <w:t>th</w:t>
      </w:r>
      <w:r w:rsidRPr="00307013">
        <w:rPr>
          <w:rFonts w:cs="Arial"/>
          <w:bCs/>
        </w:rPr>
        <w:t xml:space="preserve"> May 2023</w:t>
      </w:r>
      <w:r w:rsidR="00AF4B6C">
        <w:rPr>
          <w:rFonts w:cs="Arial"/>
          <w:bCs/>
        </w:rPr>
        <w:t>.</w:t>
      </w:r>
    </w:p>
    <w:p w:rsidR="00883740" w:rsidRPr="00307013" w:rsidRDefault="003E0884" w:rsidP="00730325">
      <w:pPr>
        <w:spacing w:line="360" w:lineRule="auto"/>
        <w:rPr>
          <w:rFonts w:cs="Arial"/>
          <w:bCs/>
        </w:rPr>
      </w:pPr>
      <w:r w:rsidRPr="00730325">
        <w:rPr>
          <w:rFonts w:cs="Arial"/>
          <w:bCs/>
        </w:rPr>
        <w:t>Date of hearing:</w:t>
      </w:r>
      <w:r w:rsidRPr="00730325">
        <w:rPr>
          <w:rFonts w:cs="Arial"/>
          <w:bCs/>
        </w:rPr>
        <w:tab/>
      </w:r>
      <w:r w:rsidRPr="00730325">
        <w:rPr>
          <w:rFonts w:cs="Arial"/>
          <w:bCs/>
        </w:rPr>
        <w:tab/>
      </w:r>
      <w:r w:rsidR="00260434">
        <w:rPr>
          <w:rFonts w:cs="Arial"/>
          <w:bCs/>
        </w:rPr>
        <w:t>9</w:t>
      </w:r>
      <w:r w:rsidR="00260434" w:rsidRPr="00260434">
        <w:rPr>
          <w:rFonts w:cs="Arial"/>
          <w:bCs/>
          <w:vertAlign w:val="superscript"/>
        </w:rPr>
        <w:t>th</w:t>
      </w:r>
      <w:r w:rsidR="00260434">
        <w:rPr>
          <w:rFonts w:cs="Arial"/>
          <w:bCs/>
        </w:rPr>
        <w:t xml:space="preserve"> </w:t>
      </w:r>
      <w:r w:rsidRPr="00730325">
        <w:rPr>
          <w:rFonts w:cs="Arial"/>
          <w:bCs/>
        </w:rPr>
        <w:t>June 2023.</w:t>
      </w:r>
    </w:p>
    <w:p w:rsidR="00584CD1" w:rsidRPr="00307013" w:rsidRDefault="00883740" w:rsidP="00307013">
      <w:pPr>
        <w:spacing w:line="360" w:lineRule="auto"/>
        <w:jc w:val="both"/>
        <w:rPr>
          <w:rFonts w:cs="Arial"/>
          <w:bCs/>
        </w:rPr>
      </w:pPr>
      <w:r w:rsidRPr="00307013">
        <w:rPr>
          <w:rFonts w:cs="Arial"/>
          <w:bCs/>
        </w:rPr>
        <w:t xml:space="preserve">For </w:t>
      </w:r>
      <w:r w:rsidR="00AF4B6C">
        <w:rPr>
          <w:rFonts w:cs="Arial"/>
          <w:bCs/>
        </w:rPr>
        <w:t>the a</w:t>
      </w:r>
      <w:r w:rsidRPr="00307013">
        <w:rPr>
          <w:rFonts w:cs="Arial"/>
          <w:bCs/>
        </w:rPr>
        <w:t>ppellant</w:t>
      </w:r>
      <w:r w:rsidR="00AF4B6C">
        <w:rPr>
          <w:rFonts w:cs="Arial"/>
          <w:bCs/>
        </w:rPr>
        <w:t>s</w:t>
      </w:r>
      <w:r w:rsidRPr="00307013">
        <w:rPr>
          <w:rFonts w:cs="Arial"/>
          <w:bCs/>
        </w:rPr>
        <w:t xml:space="preserve">: </w:t>
      </w:r>
      <w:r w:rsidR="00163526" w:rsidRPr="00307013">
        <w:rPr>
          <w:rFonts w:cs="Arial"/>
          <w:bCs/>
        </w:rPr>
        <w:tab/>
      </w:r>
      <w:r w:rsidR="00163526" w:rsidRPr="00307013">
        <w:rPr>
          <w:rFonts w:cs="Arial"/>
          <w:bCs/>
        </w:rPr>
        <w:tab/>
      </w:r>
      <w:r w:rsidRPr="00307013">
        <w:rPr>
          <w:rFonts w:cs="Arial"/>
          <w:bCs/>
        </w:rPr>
        <w:t>Ms Z</w:t>
      </w:r>
      <w:r w:rsidR="00584CD1" w:rsidRPr="00307013">
        <w:rPr>
          <w:rFonts w:cs="Arial"/>
          <w:bCs/>
        </w:rPr>
        <w:t>.</w:t>
      </w:r>
      <w:r w:rsidRPr="00307013">
        <w:rPr>
          <w:rFonts w:cs="Arial"/>
          <w:bCs/>
        </w:rPr>
        <w:t xml:space="preserve"> Fareed</w:t>
      </w:r>
      <w:r w:rsidR="00AF4B6C">
        <w:rPr>
          <w:rFonts w:cs="Arial"/>
          <w:bCs/>
        </w:rPr>
        <w:t xml:space="preserve"> (instructed by </w:t>
      </w:r>
      <w:r w:rsidR="00584CD1" w:rsidRPr="00307013">
        <w:rPr>
          <w:rFonts w:cs="Arial"/>
          <w:bCs/>
        </w:rPr>
        <w:t>Legal Aid SA</w:t>
      </w:r>
      <w:r w:rsidR="00AF4B6C">
        <w:rPr>
          <w:rFonts w:cs="Arial"/>
          <w:bCs/>
        </w:rPr>
        <w:t>)</w:t>
      </w:r>
    </w:p>
    <w:p w:rsidR="00584CD1" w:rsidRPr="00307013" w:rsidRDefault="00584CD1" w:rsidP="00730325">
      <w:pPr>
        <w:spacing w:line="360" w:lineRule="auto"/>
        <w:ind w:left="2880" w:hanging="2880"/>
        <w:jc w:val="both"/>
        <w:rPr>
          <w:rFonts w:cs="Arial"/>
          <w:bCs/>
        </w:rPr>
      </w:pPr>
      <w:r w:rsidRPr="00307013">
        <w:rPr>
          <w:rFonts w:cs="Arial"/>
          <w:bCs/>
        </w:rPr>
        <w:t xml:space="preserve">For </w:t>
      </w:r>
      <w:r w:rsidR="00AF4B6C">
        <w:rPr>
          <w:rFonts w:cs="Arial"/>
          <w:bCs/>
        </w:rPr>
        <w:t>r</w:t>
      </w:r>
      <w:r w:rsidRPr="00307013">
        <w:rPr>
          <w:rFonts w:cs="Arial"/>
          <w:bCs/>
        </w:rPr>
        <w:t xml:space="preserve">espondent: </w:t>
      </w:r>
      <w:r w:rsidR="00163526" w:rsidRPr="00307013">
        <w:rPr>
          <w:rFonts w:cs="Arial"/>
          <w:bCs/>
        </w:rPr>
        <w:tab/>
      </w:r>
      <w:r w:rsidRPr="00307013">
        <w:rPr>
          <w:rFonts w:cs="Arial"/>
          <w:bCs/>
        </w:rPr>
        <w:t xml:space="preserve">Ms N. Moosa </w:t>
      </w:r>
      <w:r w:rsidR="00AF4B6C">
        <w:rPr>
          <w:rFonts w:cs="Arial"/>
          <w:bCs/>
        </w:rPr>
        <w:t xml:space="preserve">(instructed by the </w:t>
      </w:r>
      <w:r w:rsidRPr="00307013">
        <w:rPr>
          <w:rFonts w:cs="Arial"/>
          <w:bCs/>
        </w:rPr>
        <w:t>Deputy Director of Public Prosecutions</w:t>
      </w:r>
      <w:r w:rsidR="00AF4B6C">
        <w:rPr>
          <w:rFonts w:cs="Arial"/>
          <w:bCs/>
        </w:rPr>
        <w:t>).</w:t>
      </w:r>
    </w:p>
    <w:p w:rsidR="00584CD1" w:rsidRPr="000D7619" w:rsidRDefault="00584CD1" w:rsidP="00D745A4">
      <w:pPr>
        <w:spacing w:line="360" w:lineRule="auto"/>
        <w:ind w:left="2160" w:firstLine="720"/>
        <w:jc w:val="both"/>
        <w:rPr>
          <w:rFonts w:cs="Arial"/>
          <w:bCs/>
        </w:rPr>
      </w:pPr>
    </w:p>
    <w:sectPr w:rsidR="00584CD1" w:rsidRPr="000D7619" w:rsidSect="00D252F6">
      <w:headerReference w:type="default" r:id="rId9"/>
      <w:pgSz w:w="11906" w:h="16838"/>
      <w:pgMar w:top="1701" w:right="1701" w:bottom="1701" w:left="1985"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CD" w:rsidRDefault="003774CD" w:rsidP="008674D3">
      <w:r>
        <w:separator/>
      </w:r>
    </w:p>
  </w:endnote>
  <w:endnote w:type="continuationSeparator" w:id="0">
    <w:p w:rsidR="003774CD" w:rsidRDefault="003774CD" w:rsidP="0086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CD" w:rsidRDefault="003774CD" w:rsidP="008674D3">
      <w:r>
        <w:separator/>
      </w:r>
    </w:p>
  </w:footnote>
  <w:footnote w:type="continuationSeparator" w:id="0">
    <w:p w:rsidR="003774CD" w:rsidRDefault="003774CD" w:rsidP="008674D3">
      <w:r>
        <w:continuationSeparator/>
      </w:r>
    </w:p>
  </w:footnote>
  <w:footnote w:id="1">
    <w:p w:rsidR="00714FE9" w:rsidRPr="00307013" w:rsidRDefault="00714FE9">
      <w:pPr>
        <w:pStyle w:val="FootnoteText"/>
        <w:rPr>
          <w:lang w:val="en-US"/>
        </w:rPr>
      </w:pPr>
      <w:r>
        <w:rPr>
          <w:rStyle w:val="FootnoteReference"/>
        </w:rPr>
        <w:footnoteRef/>
      </w:r>
      <w:r>
        <w:t xml:space="preserve"> </w:t>
      </w:r>
      <w:r w:rsidRPr="00307013">
        <w:rPr>
          <w:rFonts w:cs="Arial"/>
        </w:rPr>
        <w:t xml:space="preserve">Firearms were in protective custody. See pages 136, 142 and 143 of volume 2 of the record and also exhibit </w:t>
      </w:r>
      <w:r>
        <w:rPr>
          <w:rFonts w:cs="Arial"/>
        </w:rPr>
        <w:t>‘</w:t>
      </w:r>
      <w:r w:rsidRPr="00307013">
        <w:rPr>
          <w:rFonts w:cs="Arial"/>
        </w:rPr>
        <w:t>G</w:t>
      </w:r>
      <w:r>
        <w:rPr>
          <w:rFonts w:cs="Arial"/>
        </w:rPr>
        <w:t>’.</w:t>
      </w:r>
    </w:p>
  </w:footnote>
  <w:footnote w:id="2">
    <w:p w:rsidR="00714FE9" w:rsidRPr="00307013" w:rsidRDefault="00714FE9">
      <w:pPr>
        <w:pStyle w:val="FootnoteText"/>
        <w:rPr>
          <w:lang w:val="en-US"/>
        </w:rPr>
      </w:pPr>
      <w:r w:rsidRPr="00307013">
        <w:rPr>
          <w:rStyle w:val="FootnoteReference"/>
        </w:rPr>
        <w:footnoteRef/>
      </w:r>
      <w:r w:rsidRPr="00307013">
        <w:t xml:space="preserve"> </w:t>
      </w:r>
      <w:r w:rsidRPr="00307013">
        <w:rPr>
          <w:rFonts w:cs="Arial"/>
        </w:rPr>
        <w:t>Bottom of page 81 of volume 1 of the record</w:t>
      </w:r>
      <w:r>
        <w:rPr>
          <w:rFonts w:cs="Arial"/>
        </w:rPr>
        <w:t>.</w:t>
      </w:r>
    </w:p>
  </w:footnote>
  <w:footnote w:id="3">
    <w:p w:rsidR="00714FE9" w:rsidRPr="00307013" w:rsidRDefault="00714FE9">
      <w:pPr>
        <w:pStyle w:val="FootnoteText"/>
        <w:rPr>
          <w:lang w:val="en-US"/>
        </w:rPr>
      </w:pPr>
      <w:r w:rsidRPr="00307013">
        <w:rPr>
          <w:rStyle w:val="FootnoteReference"/>
        </w:rPr>
        <w:footnoteRef/>
      </w:r>
      <w:r w:rsidRPr="00307013">
        <w:t xml:space="preserve"> </w:t>
      </w:r>
      <w:r w:rsidRPr="00307013">
        <w:rPr>
          <w:rFonts w:cs="Arial"/>
        </w:rPr>
        <w:t>See pages 81 to 83 of volume 1 of the record. Evidence of handover of the scene was also led</w:t>
      </w:r>
      <w:r>
        <w:rPr>
          <w:rFonts w:cs="Arial"/>
        </w:rPr>
        <w:t>.</w:t>
      </w:r>
    </w:p>
  </w:footnote>
  <w:footnote w:id="4">
    <w:p w:rsidR="00714FE9" w:rsidRPr="00307013" w:rsidRDefault="00714FE9">
      <w:pPr>
        <w:pStyle w:val="FootnoteText"/>
        <w:rPr>
          <w:lang w:val="en-US"/>
        </w:rPr>
      </w:pPr>
      <w:r w:rsidRPr="00307013">
        <w:rPr>
          <w:rStyle w:val="FootnoteReference"/>
        </w:rPr>
        <w:footnoteRef/>
      </w:r>
      <w:r w:rsidRPr="00307013">
        <w:t xml:space="preserve"> </w:t>
      </w:r>
      <w:r w:rsidRPr="00307013">
        <w:rPr>
          <w:rFonts w:cs="Arial"/>
        </w:rPr>
        <w:t>Firearms and ammunition as per the evidence of Mahesh</w:t>
      </w:r>
      <w:r>
        <w:rPr>
          <w:rFonts w:cs="Arial"/>
        </w:rPr>
        <w:t>,</w:t>
      </w:r>
      <w:r w:rsidRPr="00307013">
        <w:rPr>
          <w:rFonts w:cs="Arial"/>
        </w:rPr>
        <w:t xml:space="preserve"> pages 176 to 181 of volume 2 of the record</w:t>
      </w:r>
      <w:r>
        <w:rPr>
          <w:rFonts w:cs="Arial"/>
        </w:rPr>
        <w:t>.</w:t>
      </w:r>
    </w:p>
  </w:footnote>
  <w:footnote w:id="5">
    <w:p w:rsidR="00714FE9" w:rsidRPr="00307013" w:rsidRDefault="00714FE9">
      <w:pPr>
        <w:pStyle w:val="FootnoteText"/>
        <w:rPr>
          <w:lang w:val="en-US"/>
        </w:rPr>
      </w:pPr>
      <w:r w:rsidRPr="00307013">
        <w:rPr>
          <w:rStyle w:val="FootnoteReference"/>
        </w:rPr>
        <w:footnoteRef/>
      </w:r>
      <w:r w:rsidRPr="00307013">
        <w:t xml:space="preserve"> </w:t>
      </w:r>
      <w:r w:rsidRPr="00307013">
        <w:rPr>
          <w:rFonts w:cs="Arial"/>
        </w:rPr>
        <w:t>See examination</w:t>
      </w:r>
      <w:r>
        <w:rPr>
          <w:rFonts w:cs="Arial"/>
        </w:rPr>
        <w:t>-</w:t>
      </w:r>
      <w:r w:rsidRPr="00307013">
        <w:rPr>
          <w:rFonts w:cs="Arial"/>
        </w:rPr>
        <w:t>in</w:t>
      </w:r>
      <w:r>
        <w:rPr>
          <w:rFonts w:cs="Arial"/>
        </w:rPr>
        <w:t>-</w:t>
      </w:r>
      <w:r w:rsidRPr="00307013">
        <w:rPr>
          <w:rFonts w:cs="Arial"/>
        </w:rPr>
        <w:t>chief and cross-examination of Warrant Officer Mahesh</w:t>
      </w:r>
      <w:r>
        <w:rPr>
          <w:rFonts w:cs="Arial"/>
        </w:rPr>
        <w:t xml:space="preserve">, </w:t>
      </w:r>
      <w:r w:rsidRPr="00307013">
        <w:rPr>
          <w:rFonts w:cs="Arial"/>
        </w:rPr>
        <w:t>pages 176 to 184 of volume 2 of the record</w:t>
      </w:r>
      <w:r>
        <w:rPr>
          <w:rFonts w:cs="Arial"/>
        </w:rPr>
        <w:t>.</w:t>
      </w:r>
    </w:p>
  </w:footnote>
  <w:footnote w:id="6">
    <w:p w:rsidR="00714FE9" w:rsidRPr="00307013" w:rsidRDefault="00714FE9">
      <w:pPr>
        <w:pStyle w:val="FootnoteText"/>
        <w:rPr>
          <w:lang w:val="en-US"/>
        </w:rPr>
      </w:pPr>
      <w:r w:rsidRPr="00307013">
        <w:rPr>
          <w:rStyle w:val="FootnoteReference"/>
        </w:rPr>
        <w:footnoteRef/>
      </w:r>
      <w:r w:rsidRPr="00307013">
        <w:t xml:space="preserve"> </w:t>
      </w:r>
      <w:r w:rsidRPr="00307013">
        <w:rPr>
          <w:rFonts w:cs="Arial"/>
        </w:rPr>
        <w:t>See</w:t>
      </w:r>
      <w:r>
        <w:rPr>
          <w:rFonts w:cs="Arial"/>
        </w:rPr>
        <w:t xml:space="preserve"> </w:t>
      </w:r>
      <w:r w:rsidRPr="00307013">
        <w:rPr>
          <w:rFonts w:cs="Arial"/>
          <w:i/>
          <w:iCs/>
        </w:rPr>
        <w:t>S v Kruger</w:t>
      </w:r>
      <w:r w:rsidRPr="00307013">
        <w:rPr>
          <w:rFonts w:cs="Arial"/>
        </w:rPr>
        <w:t xml:space="preserve"> 198</w:t>
      </w:r>
      <w:r>
        <w:rPr>
          <w:rFonts w:cs="Arial"/>
        </w:rPr>
        <w:t>9</w:t>
      </w:r>
      <w:r w:rsidRPr="00307013">
        <w:rPr>
          <w:rFonts w:cs="Arial"/>
        </w:rPr>
        <w:t xml:space="preserve"> (1) 785 (AD) 796A-E; </w:t>
      </w:r>
      <w:r w:rsidRPr="00307013">
        <w:rPr>
          <w:rFonts w:cs="Arial"/>
          <w:i/>
          <w:iCs/>
        </w:rPr>
        <w:t>S v Mdunge</w:t>
      </w:r>
      <w:r w:rsidRPr="00307013">
        <w:rPr>
          <w:rFonts w:cs="Arial"/>
        </w:rPr>
        <w:t xml:space="preserve"> 1962 (2) SA 500 (N); </w:t>
      </w:r>
      <w:r w:rsidRPr="00307013">
        <w:rPr>
          <w:rFonts w:cs="Arial"/>
          <w:i/>
          <w:iCs/>
        </w:rPr>
        <w:t xml:space="preserve">S v Nel </w:t>
      </w:r>
      <w:r w:rsidRPr="00307013">
        <w:rPr>
          <w:rFonts w:cs="Arial"/>
        </w:rPr>
        <w:t xml:space="preserve">1989 (4) SA 845 (AD) 851G-H; </w:t>
      </w:r>
      <w:r w:rsidRPr="00307013">
        <w:rPr>
          <w:rFonts w:cs="Arial"/>
          <w:i/>
          <w:iCs/>
        </w:rPr>
        <w:t>S v Barketts Transport</w:t>
      </w:r>
      <w:r w:rsidRPr="00307013">
        <w:rPr>
          <w:rFonts w:cs="Arial"/>
        </w:rPr>
        <w:t xml:space="preserve"> (</w:t>
      </w:r>
      <w:r w:rsidRPr="00307013">
        <w:rPr>
          <w:rFonts w:cs="Arial"/>
          <w:i/>
          <w:iCs/>
        </w:rPr>
        <w:t xml:space="preserve">EDMS) BPK En </w:t>
      </w:r>
      <w:r>
        <w:rPr>
          <w:rFonts w:cs="Arial"/>
          <w:i/>
          <w:iCs/>
        </w:rPr>
        <w:t xml:space="preserve">‘N </w:t>
      </w:r>
      <w:r w:rsidRPr="00307013">
        <w:rPr>
          <w:rFonts w:cs="Arial"/>
          <w:i/>
          <w:iCs/>
        </w:rPr>
        <w:t>Ander</w:t>
      </w:r>
      <w:r w:rsidRPr="00307013">
        <w:rPr>
          <w:rFonts w:cs="Arial"/>
        </w:rPr>
        <w:t xml:space="preserve"> 1988 (1) SA 157 (AD) and </w:t>
      </w:r>
      <w:r w:rsidRPr="00307013">
        <w:rPr>
          <w:rFonts w:cs="Arial"/>
          <w:i/>
          <w:iCs/>
        </w:rPr>
        <w:t>S v Magwaza</w:t>
      </w:r>
      <w:r w:rsidRPr="00307013">
        <w:rPr>
          <w:rFonts w:cs="Arial"/>
        </w:rPr>
        <w:t xml:space="preserve"> 1972 (2) 781 (N)</w:t>
      </w:r>
      <w:r>
        <w:rPr>
          <w:rFonts w:cs="Arial"/>
        </w:rPr>
        <w:t>.</w:t>
      </w:r>
    </w:p>
  </w:footnote>
  <w:footnote w:id="7">
    <w:p w:rsidR="00714FE9" w:rsidRPr="00307013" w:rsidRDefault="00714FE9">
      <w:pPr>
        <w:pStyle w:val="FootnoteText"/>
        <w:rPr>
          <w:lang w:val="en-US"/>
        </w:rPr>
      </w:pPr>
      <w:r w:rsidRPr="00307013">
        <w:rPr>
          <w:rStyle w:val="FootnoteReference"/>
        </w:rPr>
        <w:footnoteRef/>
      </w:r>
      <w:r w:rsidRPr="00307013">
        <w:t xml:space="preserve"> </w:t>
      </w:r>
      <w:r w:rsidRPr="00307013">
        <w:rPr>
          <w:rFonts w:cs="Arial"/>
          <w:i/>
          <w:iCs/>
        </w:rPr>
        <w:t xml:space="preserve">S v Monyane and Others </w:t>
      </w:r>
      <w:r w:rsidRPr="00307013">
        <w:rPr>
          <w:rFonts w:cs="Arial"/>
        </w:rPr>
        <w:t>2008 (1) SACR 543 (SCA)</w:t>
      </w:r>
      <w:r>
        <w:rPr>
          <w:rFonts w:cs="Arial"/>
        </w:rPr>
        <w:t>.</w:t>
      </w:r>
    </w:p>
  </w:footnote>
  <w:footnote w:id="8">
    <w:p w:rsidR="00714FE9" w:rsidRPr="00307013" w:rsidRDefault="00714FE9">
      <w:pPr>
        <w:pStyle w:val="FootnoteText"/>
        <w:rPr>
          <w:lang w:val="en-US"/>
        </w:rPr>
      </w:pPr>
      <w:r w:rsidRPr="00307013">
        <w:rPr>
          <w:rStyle w:val="FootnoteReference"/>
        </w:rPr>
        <w:footnoteRef/>
      </w:r>
      <w:r w:rsidRPr="00307013">
        <w:t xml:space="preserve"> </w:t>
      </w:r>
      <w:r w:rsidRPr="00307013">
        <w:rPr>
          <w:i/>
          <w:iCs/>
          <w:lang w:val="en-US"/>
        </w:rPr>
        <w:t xml:space="preserve">S v Hadebe and Others </w:t>
      </w:r>
      <w:r w:rsidRPr="00307013">
        <w:rPr>
          <w:lang w:val="en-US"/>
        </w:rPr>
        <w:t xml:space="preserve">1997 (2) SACR 641 (SCA) and </w:t>
      </w:r>
      <w:r w:rsidRPr="00307013">
        <w:rPr>
          <w:i/>
          <w:iCs/>
          <w:lang w:val="en-US"/>
        </w:rPr>
        <w:t xml:space="preserve">S v Francis </w:t>
      </w:r>
      <w:r w:rsidRPr="00307013">
        <w:rPr>
          <w:lang w:val="en-US"/>
        </w:rPr>
        <w:t>1991 (1) SACR 198 (A)</w:t>
      </w:r>
      <w:r>
        <w:rPr>
          <w:lang w:val="en-US"/>
        </w:rPr>
        <w:t>.</w:t>
      </w:r>
    </w:p>
  </w:footnote>
  <w:footnote w:id="9">
    <w:p w:rsidR="00714FE9" w:rsidRPr="000A19FE" w:rsidRDefault="00714FE9">
      <w:pPr>
        <w:pStyle w:val="FootnoteText"/>
        <w:rPr>
          <w:lang w:val="en-US"/>
        </w:rPr>
      </w:pPr>
      <w:r w:rsidRPr="00307013">
        <w:rPr>
          <w:rStyle w:val="FootnoteReference"/>
        </w:rPr>
        <w:footnoteRef/>
      </w:r>
      <w:r w:rsidRPr="00307013">
        <w:t xml:space="preserve"> </w:t>
      </w:r>
      <w:r w:rsidRPr="00307013">
        <w:rPr>
          <w:i/>
          <w:iCs/>
          <w:lang w:val="en-US"/>
        </w:rPr>
        <w:t xml:space="preserve">S v Malgas </w:t>
      </w:r>
      <w:r w:rsidRPr="00307013">
        <w:rPr>
          <w:lang w:val="en-US"/>
        </w:rPr>
        <w:t>2001 (1) SACR 469 (SCA) at 478D</w:t>
      </w:r>
      <w:r>
        <w:rPr>
          <w:lang w:val="en-US"/>
        </w:rPr>
        <w:t>-</w:t>
      </w:r>
      <w:r w:rsidRPr="00307013">
        <w:rPr>
          <w:lang w:val="en-US"/>
        </w:rPr>
        <w:t>G</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E9" w:rsidRDefault="00714FE9">
    <w:pPr>
      <w:pStyle w:val="Header"/>
      <w:jc w:val="right"/>
    </w:pPr>
    <w:r>
      <w:t xml:space="preserve">Page </w:t>
    </w:r>
    <w:r>
      <w:fldChar w:fldCharType="begin"/>
    </w:r>
    <w:r>
      <w:instrText xml:space="preserve"> PAGE   \* MERGEFORMAT </w:instrText>
    </w:r>
    <w:r>
      <w:fldChar w:fldCharType="separate"/>
    </w:r>
    <w:r w:rsidR="00D76063">
      <w:rPr>
        <w:noProof/>
      </w:rPr>
      <w:t>4</w:t>
    </w:r>
    <w:r>
      <w:rPr>
        <w:noProof/>
      </w:rPr>
      <w:fldChar w:fldCharType="end"/>
    </w:r>
  </w:p>
  <w:p w:rsidR="00714FE9" w:rsidRDefault="00714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5C37"/>
    <w:multiLevelType w:val="multilevel"/>
    <w:tmpl w:val="C9B25D96"/>
    <w:lvl w:ilvl="0">
      <w:start w:val="4"/>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1">
    <w:nsid w:val="0FA25A4B"/>
    <w:multiLevelType w:val="hybridMultilevel"/>
    <w:tmpl w:val="89F03582"/>
    <w:lvl w:ilvl="0" w:tplc="E1D89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465F04"/>
    <w:multiLevelType w:val="multilevel"/>
    <w:tmpl w:val="C62C105A"/>
    <w:lvl w:ilvl="0">
      <w:start w:val="1"/>
      <w:numFmt w:val="decimal"/>
      <w:lvlText w:val="%1"/>
      <w:lvlJc w:val="left"/>
      <w:pPr>
        <w:ind w:left="360" w:hanging="360"/>
      </w:pPr>
      <w:rPr>
        <w:rFonts w:hint="default"/>
      </w:rPr>
    </w:lvl>
    <w:lvl w:ilvl="1">
      <w:start w:val="1"/>
      <w:numFmt w:val="decimal"/>
      <w:lvlText w:val="%1.%2"/>
      <w:lvlJc w:val="left"/>
      <w:pPr>
        <w:ind w:left="2040" w:hanging="36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
    <w:nsid w:val="25026F94"/>
    <w:multiLevelType w:val="multilevel"/>
    <w:tmpl w:val="92F401E8"/>
    <w:lvl w:ilvl="0">
      <w:start w:val="1"/>
      <w:numFmt w:val="decimal"/>
      <w:pStyle w:val="Heading1"/>
      <w:isLgl/>
      <w:suff w:val="space"/>
      <w:lvlText w:val="%1."/>
      <w:lvlJc w:val="center"/>
      <w:pPr>
        <w:ind w:left="0" w:firstLine="0"/>
      </w:pPr>
      <w:rPr>
        <w:rFonts w:ascii="Arial" w:hAnsi="Arial" w:hint="default"/>
        <w:b w:val="0"/>
        <w:i w:val="0"/>
        <w:sz w:val="24"/>
        <w:szCs w:val="24"/>
      </w:rPr>
    </w:lvl>
    <w:lvl w:ilvl="1">
      <w:start w:val="1"/>
      <w:numFmt w:val="decimal"/>
      <w:pStyle w:val="Heading2"/>
      <w:isLgl/>
      <w:lvlText w:val="%1.%2"/>
      <w:lvlJc w:val="left"/>
      <w:pPr>
        <w:tabs>
          <w:tab w:val="num" w:pos="851"/>
        </w:tabs>
        <w:ind w:left="851" w:hanging="851"/>
      </w:pPr>
      <w:rPr>
        <w:rFonts w:ascii="Arial" w:hAnsi="Arial" w:hint="default"/>
        <w:b w:val="0"/>
        <w:i w:val="0"/>
        <w:sz w:val="24"/>
        <w:szCs w:val="24"/>
      </w:rPr>
    </w:lvl>
    <w:lvl w:ilvl="2">
      <w:start w:val="1"/>
      <w:numFmt w:val="decimal"/>
      <w:pStyle w:val="Heading3"/>
      <w:isLgl/>
      <w:lvlText w:val="%1.%2.%3"/>
      <w:lvlJc w:val="left"/>
      <w:pPr>
        <w:tabs>
          <w:tab w:val="num" w:pos="1701"/>
        </w:tabs>
        <w:ind w:left="1701" w:hanging="850"/>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68B4F53"/>
    <w:multiLevelType w:val="multilevel"/>
    <w:tmpl w:val="0666C684"/>
    <w:lvl w:ilvl="0">
      <w:start w:val="1"/>
      <w:numFmt w:val="decimal"/>
      <w:lvlText w:val="[%1]"/>
      <w:lvlJc w:val="left"/>
      <w:pPr>
        <w:ind w:left="3229" w:hanging="360"/>
      </w:pPr>
      <w:rPr>
        <w:rFonts w:hint="default"/>
        <w:b w:val="0"/>
        <w:i w:val="0"/>
        <w:iCs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5">
    <w:nsid w:val="2F354B47"/>
    <w:multiLevelType w:val="hybridMultilevel"/>
    <w:tmpl w:val="F6802CA2"/>
    <w:lvl w:ilvl="0" w:tplc="D116B226">
      <w:start w:val="10"/>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6">
    <w:nsid w:val="44971A19"/>
    <w:multiLevelType w:val="multilevel"/>
    <w:tmpl w:val="F38E586A"/>
    <w:styleLink w:val="CurrentList1"/>
    <w:lvl w:ilvl="0">
      <w:start w:val="1"/>
      <w:numFmt w:val="decimal"/>
      <w:lvlText w:val="[%1]"/>
      <w:lvlJc w:val="left"/>
      <w:pPr>
        <w:ind w:left="3229" w:hanging="360"/>
      </w:pPr>
      <w:rPr>
        <w:rFonts w:hint="default"/>
        <w:b w:val="0"/>
        <w:color w:val="auto"/>
        <w:sz w:val="24"/>
        <w:szCs w:val="24"/>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1800"/>
      </w:pPr>
      <w:rPr>
        <w:rFonts w:hint="default"/>
      </w:rPr>
    </w:lvl>
  </w:abstractNum>
  <w:abstractNum w:abstractNumId="7">
    <w:nsid w:val="494D4D35"/>
    <w:multiLevelType w:val="hybridMultilevel"/>
    <w:tmpl w:val="7D0EF61C"/>
    <w:lvl w:ilvl="0" w:tplc="CC66049E">
      <w:start w:val="12"/>
      <w:numFmt w:val="decimal"/>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8">
    <w:nsid w:val="4AC51C94"/>
    <w:multiLevelType w:val="hybridMultilevel"/>
    <w:tmpl w:val="8B8ABBEA"/>
    <w:lvl w:ilvl="0" w:tplc="7F846516">
      <w:start w:val="3"/>
      <w:numFmt w:val="bullet"/>
      <w:lvlText w:val=""/>
      <w:lvlJc w:val="left"/>
      <w:pPr>
        <w:ind w:left="2061" w:hanging="360"/>
      </w:pPr>
      <w:rPr>
        <w:rFonts w:ascii="Symbol" w:eastAsia="Times New Roman" w:hAnsi="Symbol" w:cs="Arial"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9">
    <w:nsid w:val="6A477C41"/>
    <w:multiLevelType w:val="multilevel"/>
    <w:tmpl w:val="71961752"/>
    <w:lvl w:ilvl="0">
      <w:start w:val="2"/>
      <w:numFmt w:val="decimal"/>
      <w:lvlText w:val="%1."/>
      <w:lvlJc w:val="left"/>
      <w:pPr>
        <w:ind w:left="2421" w:hanging="360"/>
      </w:pPr>
      <w:rPr>
        <w:rFonts w:hint="default"/>
      </w:rPr>
    </w:lvl>
    <w:lvl w:ilvl="1">
      <w:start w:val="1"/>
      <w:numFmt w:val="decimal"/>
      <w:isLgl/>
      <w:lvlText w:val="%1.%2"/>
      <w:lvlJc w:val="left"/>
      <w:pPr>
        <w:ind w:left="2829" w:hanging="408"/>
      </w:pPr>
      <w:rPr>
        <w:rFonts w:hint="default"/>
      </w:rPr>
    </w:lvl>
    <w:lvl w:ilvl="2">
      <w:start w:val="1"/>
      <w:numFmt w:val="decimal"/>
      <w:isLgl/>
      <w:lvlText w:val="%1.%2.%3"/>
      <w:lvlJc w:val="left"/>
      <w:pPr>
        <w:ind w:left="3501"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4581" w:hanging="1080"/>
      </w:pPr>
      <w:rPr>
        <w:rFonts w:hint="default"/>
      </w:rPr>
    </w:lvl>
    <w:lvl w:ilvl="5">
      <w:start w:val="1"/>
      <w:numFmt w:val="decimal"/>
      <w:isLgl/>
      <w:lvlText w:val="%1.%2.%3.%4.%5.%6"/>
      <w:lvlJc w:val="left"/>
      <w:pPr>
        <w:ind w:left="4941" w:hanging="1080"/>
      </w:pPr>
      <w:rPr>
        <w:rFonts w:hint="default"/>
      </w:rPr>
    </w:lvl>
    <w:lvl w:ilvl="6">
      <w:start w:val="1"/>
      <w:numFmt w:val="decimal"/>
      <w:isLgl/>
      <w:lvlText w:val="%1.%2.%3.%4.%5.%6.%7"/>
      <w:lvlJc w:val="left"/>
      <w:pPr>
        <w:ind w:left="5661" w:hanging="1440"/>
      </w:pPr>
      <w:rPr>
        <w:rFonts w:hint="default"/>
      </w:rPr>
    </w:lvl>
    <w:lvl w:ilvl="7">
      <w:start w:val="1"/>
      <w:numFmt w:val="decimal"/>
      <w:isLgl/>
      <w:lvlText w:val="%1.%2.%3.%4.%5.%6.%7.%8"/>
      <w:lvlJc w:val="left"/>
      <w:pPr>
        <w:ind w:left="6021" w:hanging="1440"/>
      </w:pPr>
      <w:rPr>
        <w:rFonts w:hint="default"/>
      </w:rPr>
    </w:lvl>
    <w:lvl w:ilvl="8">
      <w:start w:val="1"/>
      <w:numFmt w:val="decimal"/>
      <w:isLgl/>
      <w:lvlText w:val="%1.%2.%3.%4.%5.%6.%7.%8.%9"/>
      <w:lvlJc w:val="left"/>
      <w:pPr>
        <w:ind w:left="6741" w:hanging="1800"/>
      </w:pPr>
      <w:rPr>
        <w:rFonts w:hint="default"/>
      </w:rPr>
    </w:lvl>
  </w:abstractNum>
  <w:num w:numId="1">
    <w:abstractNumId w:val="3"/>
  </w:num>
  <w:num w:numId="2">
    <w:abstractNumId w:val="4"/>
  </w:num>
  <w:num w:numId="3">
    <w:abstractNumId w:val="6"/>
  </w:num>
  <w:num w:numId="4">
    <w:abstractNumId w:val="8"/>
  </w:num>
  <w:num w:numId="5">
    <w:abstractNumId w:val="2"/>
  </w:num>
  <w:num w:numId="6">
    <w:abstractNumId w:val="0"/>
  </w:num>
  <w:num w:numId="7">
    <w:abstractNumId w:val="9"/>
  </w:num>
  <w:num w:numId="8">
    <w:abstractNumId w:val="5"/>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D"/>
    <w:rsid w:val="00000B4E"/>
    <w:rsid w:val="00003A32"/>
    <w:rsid w:val="00005A77"/>
    <w:rsid w:val="000064DA"/>
    <w:rsid w:val="00010474"/>
    <w:rsid w:val="00010ED2"/>
    <w:rsid w:val="00011F9F"/>
    <w:rsid w:val="0001372D"/>
    <w:rsid w:val="00015D62"/>
    <w:rsid w:val="00016CA3"/>
    <w:rsid w:val="00017E9D"/>
    <w:rsid w:val="00017EC6"/>
    <w:rsid w:val="00022562"/>
    <w:rsid w:val="00027035"/>
    <w:rsid w:val="00030276"/>
    <w:rsid w:val="00033308"/>
    <w:rsid w:val="00033C9C"/>
    <w:rsid w:val="0003496B"/>
    <w:rsid w:val="0003543D"/>
    <w:rsid w:val="00036C4A"/>
    <w:rsid w:val="000433FC"/>
    <w:rsid w:val="00045086"/>
    <w:rsid w:val="00047A1C"/>
    <w:rsid w:val="000517EF"/>
    <w:rsid w:val="00054793"/>
    <w:rsid w:val="0005601B"/>
    <w:rsid w:val="00061611"/>
    <w:rsid w:val="00070EC5"/>
    <w:rsid w:val="000731F6"/>
    <w:rsid w:val="00073412"/>
    <w:rsid w:val="00075030"/>
    <w:rsid w:val="0007697F"/>
    <w:rsid w:val="00080A2D"/>
    <w:rsid w:val="000873AD"/>
    <w:rsid w:val="000929C2"/>
    <w:rsid w:val="00094553"/>
    <w:rsid w:val="000A148B"/>
    <w:rsid w:val="000A19FE"/>
    <w:rsid w:val="000A4BCB"/>
    <w:rsid w:val="000A7191"/>
    <w:rsid w:val="000A7E7F"/>
    <w:rsid w:val="000B15D7"/>
    <w:rsid w:val="000B6D0E"/>
    <w:rsid w:val="000C0C37"/>
    <w:rsid w:val="000C199A"/>
    <w:rsid w:val="000C2646"/>
    <w:rsid w:val="000C2BC2"/>
    <w:rsid w:val="000C5487"/>
    <w:rsid w:val="000C55EC"/>
    <w:rsid w:val="000D1CDB"/>
    <w:rsid w:val="000D5403"/>
    <w:rsid w:val="000D7619"/>
    <w:rsid w:val="000E31A0"/>
    <w:rsid w:val="000F3928"/>
    <w:rsid w:val="000F7590"/>
    <w:rsid w:val="00104251"/>
    <w:rsid w:val="00104542"/>
    <w:rsid w:val="00106246"/>
    <w:rsid w:val="00111DBF"/>
    <w:rsid w:val="0011554D"/>
    <w:rsid w:val="00115E58"/>
    <w:rsid w:val="00115E6B"/>
    <w:rsid w:val="00120835"/>
    <w:rsid w:val="00121D07"/>
    <w:rsid w:val="00123A46"/>
    <w:rsid w:val="00127005"/>
    <w:rsid w:val="00134F3C"/>
    <w:rsid w:val="00141C2F"/>
    <w:rsid w:val="001448F5"/>
    <w:rsid w:val="00144939"/>
    <w:rsid w:val="00153D75"/>
    <w:rsid w:val="001562D3"/>
    <w:rsid w:val="001567C1"/>
    <w:rsid w:val="00163526"/>
    <w:rsid w:val="0016449C"/>
    <w:rsid w:val="00164AAD"/>
    <w:rsid w:val="0016750E"/>
    <w:rsid w:val="00167940"/>
    <w:rsid w:val="00170250"/>
    <w:rsid w:val="00170617"/>
    <w:rsid w:val="00176A78"/>
    <w:rsid w:val="00177F93"/>
    <w:rsid w:val="00182F4A"/>
    <w:rsid w:val="00184FF0"/>
    <w:rsid w:val="00185320"/>
    <w:rsid w:val="00185C25"/>
    <w:rsid w:val="001871C2"/>
    <w:rsid w:val="001A353D"/>
    <w:rsid w:val="001A49FF"/>
    <w:rsid w:val="001A5840"/>
    <w:rsid w:val="001A6B83"/>
    <w:rsid w:val="001B1C7E"/>
    <w:rsid w:val="001B3741"/>
    <w:rsid w:val="001B4947"/>
    <w:rsid w:val="001B7390"/>
    <w:rsid w:val="001B769E"/>
    <w:rsid w:val="001C143E"/>
    <w:rsid w:val="001C55ED"/>
    <w:rsid w:val="001D0024"/>
    <w:rsid w:val="001D14DA"/>
    <w:rsid w:val="001D5708"/>
    <w:rsid w:val="001E0AB2"/>
    <w:rsid w:val="001E2FB4"/>
    <w:rsid w:val="001E34AF"/>
    <w:rsid w:val="001E5D55"/>
    <w:rsid w:val="001E61F9"/>
    <w:rsid w:val="001E689F"/>
    <w:rsid w:val="001F424D"/>
    <w:rsid w:val="001F7305"/>
    <w:rsid w:val="00200829"/>
    <w:rsid w:val="00200B0C"/>
    <w:rsid w:val="00204099"/>
    <w:rsid w:val="00206349"/>
    <w:rsid w:val="002161E2"/>
    <w:rsid w:val="00220E94"/>
    <w:rsid w:val="00224A17"/>
    <w:rsid w:val="002255FB"/>
    <w:rsid w:val="00233028"/>
    <w:rsid w:val="00234E67"/>
    <w:rsid w:val="00235239"/>
    <w:rsid w:val="00236276"/>
    <w:rsid w:val="00241CD0"/>
    <w:rsid w:val="00244A78"/>
    <w:rsid w:val="00244EBC"/>
    <w:rsid w:val="002458F1"/>
    <w:rsid w:val="0025413A"/>
    <w:rsid w:val="00260434"/>
    <w:rsid w:val="00262DCB"/>
    <w:rsid w:val="00264D7A"/>
    <w:rsid w:val="0027209E"/>
    <w:rsid w:val="002813BE"/>
    <w:rsid w:val="0028230E"/>
    <w:rsid w:val="00286244"/>
    <w:rsid w:val="00287C70"/>
    <w:rsid w:val="002901BC"/>
    <w:rsid w:val="00291CD1"/>
    <w:rsid w:val="002B4A3C"/>
    <w:rsid w:val="002B79C1"/>
    <w:rsid w:val="002C143A"/>
    <w:rsid w:val="002C3074"/>
    <w:rsid w:val="002C4017"/>
    <w:rsid w:val="002D16AC"/>
    <w:rsid w:val="002D1A91"/>
    <w:rsid w:val="002D1DAE"/>
    <w:rsid w:val="002D3891"/>
    <w:rsid w:val="002F138A"/>
    <w:rsid w:val="002F267E"/>
    <w:rsid w:val="002F4568"/>
    <w:rsid w:val="003014DB"/>
    <w:rsid w:val="0030161B"/>
    <w:rsid w:val="00307013"/>
    <w:rsid w:val="0031010C"/>
    <w:rsid w:val="00311393"/>
    <w:rsid w:val="00313022"/>
    <w:rsid w:val="00316704"/>
    <w:rsid w:val="00317C78"/>
    <w:rsid w:val="00322598"/>
    <w:rsid w:val="003258B0"/>
    <w:rsid w:val="00337979"/>
    <w:rsid w:val="00340488"/>
    <w:rsid w:val="00341F1A"/>
    <w:rsid w:val="00345847"/>
    <w:rsid w:val="00347C28"/>
    <w:rsid w:val="00350B03"/>
    <w:rsid w:val="00355A13"/>
    <w:rsid w:val="00356F94"/>
    <w:rsid w:val="00362826"/>
    <w:rsid w:val="0036365D"/>
    <w:rsid w:val="003772F9"/>
    <w:rsid w:val="003774CD"/>
    <w:rsid w:val="00380E04"/>
    <w:rsid w:val="0038132A"/>
    <w:rsid w:val="00381707"/>
    <w:rsid w:val="003817B8"/>
    <w:rsid w:val="00383BA3"/>
    <w:rsid w:val="00383BBC"/>
    <w:rsid w:val="00386002"/>
    <w:rsid w:val="00393DB1"/>
    <w:rsid w:val="00394527"/>
    <w:rsid w:val="0039533D"/>
    <w:rsid w:val="003A0649"/>
    <w:rsid w:val="003A0BDC"/>
    <w:rsid w:val="003A2110"/>
    <w:rsid w:val="003A441E"/>
    <w:rsid w:val="003A7450"/>
    <w:rsid w:val="003B1C5D"/>
    <w:rsid w:val="003B21A2"/>
    <w:rsid w:val="003B4A3B"/>
    <w:rsid w:val="003B5A47"/>
    <w:rsid w:val="003C6F2E"/>
    <w:rsid w:val="003C7C9E"/>
    <w:rsid w:val="003D57E1"/>
    <w:rsid w:val="003E0884"/>
    <w:rsid w:val="003E5A70"/>
    <w:rsid w:val="003F0C8A"/>
    <w:rsid w:val="003F169C"/>
    <w:rsid w:val="003F36D9"/>
    <w:rsid w:val="003F3E0E"/>
    <w:rsid w:val="0040418A"/>
    <w:rsid w:val="00411C8D"/>
    <w:rsid w:val="004120D1"/>
    <w:rsid w:val="004121D6"/>
    <w:rsid w:val="004143C2"/>
    <w:rsid w:val="004222B5"/>
    <w:rsid w:val="00422EE5"/>
    <w:rsid w:val="00423067"/>
    <w:rsid w:val="00434987"/>
    <w:rsid w:val="00435CC9"/>
    <w:rsid w:val="00435D4C"/>
    <w:rsid w:val="004404D1"/>
    <w:rsid w:val="00440A70"/>
    <w:rsid w:val="00440CC4"/>
    <w:rsid w:val="00444241"/>
    <w:rsid w:val="004456CB"/>
    <w:rsid w:val="004476C6"/>
    <w:rsid w:val="004523E8"/>
    <w:rsid w:val="00452B3C"/>
    <w:rsid w:val="00455BC8"/>
    <w:rsid w:val="004570FE"/>
    <w:rsid w:val="00462543"/>
    <w:rsid w:val="004645DA"/>
    <w:rsid w:val="00467091"/>
    <w:rsid w:val="00467335"/>
    <w:rsid w:val="0046737F"/>
    <w:rsid w:val="00476948"/>
    <w:rsid w:val="0048082A"/>
    <w:rsid w:val="00485D3D"/>
    <w:rsid w:val="004935EC"/>
    <w:rsid w:val="004A15AD"/>
    <w:rsid w:val="004A1E29"/>
    <w:rsid w:val="004C0F38"/>
    <w:rsid w:val="004C2501"/>
    <w:rsid w:val="004D30FA"/>
    <w:rsid w:val="004D5999"/>
    <w:rsid w:val="004E1011"/>
    <w:rsid w:val="004E1573"/>
    <w:rsid w:val="004E7100"/>
    <w:rsid w:val="004E7EC7"/>
    <w:rsid w:val="004F11D9"/>
    <w:rsid w:val="004F1212"/>
    <w:rsid w:val="004F24F3"/>
    <w:rsid w:val="004F4074"/>
    <w:rsid w:val="004F4EAC"/>
    <w:rsid w:val="004F5683"/>
    <w:rsid w:val="0050112C"/>
    <w:rsid w:val="00501A1B"/>
    <w:rsid w:val="0050239D"/>
    <w:rsid w:val="005040FD"/>
    <w:rsid w:val="00504FFA"/>
    <w:rsid w:val="0051210E"/>
    <w:rsid w:val="0051653D"/>
    <w:rsid w:val="005231C6"/>
    <w:rsid w:val="00527F88"/>
    <w:rsid w:val="005337B3"/>
    <w:rsid w:val="00536D9C"/>
    <w:rsid w:val="00541A46"/>
    <w:rsid w:val="00542A8E"/>
    <w:rsid w:val="00543F82"/>
    <w:rsid w:val="00552070"/>
    <w:rsid w:val="00552B84"/>
    <w:rsid w:val="00552C6E"/>
    <w:rsid w:val="005620A9"/>
    <w:rsid w:val="00562EC3"/>
    <w:rsid w:val="00563E8C"/>
    <w:rsid w:val="00564878"/>
    <w:rsid w:val="00566060"/>
    <w:rsid w:val="00571731"/>
    <w:rsid w:val="00572697"/>
    <w:rsid w:val="00575206"/>
    <w:rsid w:val="0057524A"/>
    <w:rsid w:val="00575E63"/>
    <w:rsid w:val="00577A4D"/>
    <w:rsid w:val="00580EFC"/>
    <w:rsid w:val="00581D30"/>
    <w:rsid w:val="005849C7"/>
    <w:rsid w:val="00584AE0"/>
    <w:rsid w:val="00584CD1"/>
    <w:rsid w:val="005906CB"/>
    <w:rsid w:val="0059189F"/>
    <w:rsid w:val="00592814"/>
    <w:rsid w:val="005A28E7"/>
    <w:rsid w:val="005B0C81"/>
    <w:rsid w:val="005B2A5F"/>
    <w:rsid w:val="005B31FA"/>
    <w:rsid w:val="005B32F1"/>
    <w:rsid w:val="005C27D1"/>
    <w:rsid w:val="005C2939"/>
    <w:rsid w:val="005C54E4"/>
    <w:rsid w:val="005C7F06"/>
    <w:rsid w:val="005D05E8"/>
    <w:rsid w:val="005D1D9C"/>
    <w:rsid w:val="005D3127"/>
    <w:rsid w:val="005D7654"/>
    <w:rsid w:val="005E00C5"/>
    <w:rsid w:val="005E4796"/>
    <w:rsid w:val="005E49AD"/>
    <w:rsid w:val="005F1268"/>
    <w:rsid w:val="005F6AB1"/>
    <w:rsid w:val="00600CF4"/>
    <w:rsid w:val="00606116"/>
    <w:rsid w:val="0061208C"/>
    <w:rsid w:val="00616272"/>
    <w:rsid w:val="00617142"/>
    <w:rsid w:val="00627364"/>
    <w:rsid w:val="00636B73"/>
    <w:rsid w:val="0064379B"/>
    <w:rsid w:val="006472E0"/>
    <w:rsid w:val="00647511"/>
    <w:rsid w:val="0065119A"/>
    <w:rsid w:val="006523D4"/>
    <w:rsid w:val="006537E4"/>
    <w:rsid w:val="00653DC0"/>
    <w:rsid w:val="00655DCA"/>
    <w:rsid w:val="00657020"/>
    <w:rsid w:val="006573FD"/>
    <w:rsid w:val="006622AD"/>
    <w:rsid w:val="00664B01"/>
    <w:rsid w:val="00665B2A"/>
    <w:rsid w:val="006663B9"/>
    <w:rsid w:val="0067758F"/>
    <w:rsid w:val="0067784C"/>
    <w:rsid w:val="00682B95"/>
    <w:rsid w:val="00686D06"/>
    <w:rsid w:val="006871FA"/>
    <w:rsid w:val="00687A24"/>
    <w:rsid w:val="00695E42"/>
    <w:rsid w:val="006B2F21"/>
    <w:rsid w:val="006B3368"/>
    <w:rsid w:val="006B3C85"/>
    <w:rsid w:val="006B5FA8"/>
    <w:rsid w:val="006B6BF4"/>
    <w:rsid w:val="006C3464"/>
    <w:rsid w:val="006C4CE4"/>
    <w:rsid w:val="006C564A"/>
    <w:rsid w:val="006D794A"/>
    <w:rsid w:val="006E227A"/>
    <w:rsid w:val="006F188E"/>
    <w:rsid w:val="006F79DD"/>
    <w:rsid w:val="00700249"/>
    <w:rsid w:val="007012F9"/>
    <w:rsid w:val="00704172"/>
    <w:rsid w:val="007041BA"/>
    <w:rsid w:val="00704D2D"/>
    <w:rsid w:val="007105B0"/>
    <w:rsid w:val="00713463"/>
    <w:rsid w:val="0071420A"/>
    <w:rsid w:val="00714875"/>
    <w:rsid w:val="00714E0E"/>
    <w:rsid w:val="00714F66"/>
    <w:rsid w:val="00714FE9"/>
    <w:rsid w:val="007167F8"/>
    <w:rsid w:val="00717C17"/>
    <w:rsid w:val="00722CEC"/>
    <w:rsid w:val="00730325"/>
    <w:rsid w:val="00734D6D"/>
    <w:rsid w:val="007379C0"/>
    <w:rsid w:val="00745B2F"/>
    <w:rsid w:val="007538D1"/>
    <w:rsid w:val="00753B76"/>
    <w:rsid w:val="00757B60"/>
    <w:rsid w:val="00761995"/>
    <w:rsid w:val="007639F1"/>
    <w:rsid w:val="00767FAF"/>
    <w:rsid w:val="0077237F"/>
    <w:rsid w:val="00773AC1"/>
    <w:rsid w:val="007836F2"/>
    <w:rsid w:val="00783F76"/>
    <w:rsid w:val="00787178"/>
    <w:rsid w:val="00794B97"/>
    <w:rsid w:val="00795423"/>
    <w:rsid w:val="00795776"/>
    <w:rsid w:val="0079606B"/>
    <w:rsid w:val="007A0153"/>
    <w:rsid w:val="007A4ACB"/>
    <w:rsid w:val="007A532B"/>
    <w:rsid w:val="007B02EF"/>
    <w:rsid w:val="007B0739"/>
    <w:rsid w:val="007B0BFF"/>
    <w:rsid w:val="007B2E78"/>
    <w:rsid w:val="007B712A"/>
    <w:rsid w:val="007C2BCA"/>
    <w:rsid w:val="007C527E"/>
    <w:rsid w:val="007D49FB"/>
    <w:rsid w:val="007D5B37"/>
    <w:rsid w:val="007E7071"/>
    <w:rsid w:val="007F5323"/>
    <w:rsid w:val="007F6417"/>
    <w:rsid w:val="007F7BA8"/>
    <w:rsid w:val="007F7E2A"/>
    <w:rsid w:val="00800078"/>
    <w:rsid w:val="00803382"/>
    <w:rsid w:val="00804162"/>
    <w:rsid w:val="00804C05"/>
    <w:rsid w:val="00812B93"/>
    <w:rsid w:val="00814113"/>
    <w:rsid w:val="008161D4"/>
    <w:rsid w:val="008245D7"/>
    <w:rsid w:val="00824AB5"/>
    <w:rsid w:val="00830484"/>
    <w:rsid w:val="00831BF1"/>
    <w:rsid w:val="008347B9"/>
    <w:rsid w:val="00837530"/>
    <w:rsid w:val="00842E7C"/>
    <w:rsid w:val="00855BCB"/>
    <w:rsid w:val="00865151"/>
    <w:rsid w:val="008674D3"/>
    <w:rsid w:val="00872665"/>
    <w:rsid w:val="00881EC2"/>
    <w:rsid w:val="00882E94"/>
    <w:rsid w:val="00883363"/>
    <w:rsid w:val="00883740"/>
    <w:rsid w:val="00886D4A"/>
    <w:rsid w:val="0089181B"/>
    <w:rsid w:val="00891A91"/>
    <w:rsid w:val="00896A51"/>
    <w:rsid w:val="008A30EA"/>
    <w:rsid w:val="008B001C"/>
    <w:rsid w:val="008B06DB"/>
    <w:rsid w:val="008B15B4"/>
    <w:rsid w:val="008B277F"/>
    <w:rsid w:val="008B414C"/>
    <w:rsid w:val="008B4DB4"/>
    <w:rsid w:val="008D4F97"/>
    <w:rsid w:val="008E0C49"/>
    <w:rsid w:val="008E1BF3"/>
    <w:rsid w:val="008E1E48"/>
    <w:rsid w:val="008E2028"/>
    <w:rsid w:val="008E3F52"/>
    <w:rsid w:val="008E6400"/>
    <w:rsid w:val="008E6401"/>
    <w:rsid w:val="008E6DE7"/>
    <w:rsid w:val="008E7156"/>
    <w:rsid w:val="008E73D5"/>
    <w:rsid w:val="008F0FC0"/>
    <w:rsid w:val="008F5AF3"/>
    <w:rsid w:val="008F7702"/>
    <w:rsid w:val="009024E0"/>
    <w:rsid w:val="00905A64"/>
    <w:rsid w:val="00907793"/>
    <w:rsid w:val="00917DEF"/>
    <w:rsid w:val="0092368D"/>
    <w:rsid w:val="00923949"/>
    <w:rsid w:val="00923FFC"/>
    <w:rsid w:val="00924C58"/>
    <w:rsid w:val="009340BF"/>
    <w:rsid w:val="009355C5"/>
    <w:rsid w:val="0093674F"/>
    <w:rsid w:val="009376D4"/>
    <w:rsid w:val="00943755"/>
    <w:rsid w:val="00951E23"/>
    <w:rsid w:val="00952636"/>
    <w:rsid w:val="00952C76"/>
    <w:rsid w:val="0095368E"/>
    <w:rsid w:val="00953E20"/>
    <w:rsid w:val="00954931"/>
    <w:rsid w:val="009556D4"/>
    <w:rsid w:val="00965ADF"/>
    <w:rsid w:val="0097286C"/>
    <w:rsid w:val="00974DF6"/>
    <w:rsid w:val="00975702"/>
    <w:rsid w:val="009809E9"/>
    <w:rsid w:val="00981D61"/>
    <w:rsid w:val="00982DDC"/>
    <w:rsid w:val="0098382B"/>
    <w:rsid w:val="009839B1"/>
    <w:rsid w:val="00987D10"/>
    <w:rsid w:val="009906FA"/>
    <w:rsid w:val="009967BD"/>
    <w:rsid w:val="009A086B"/>
    <w:rsid w:val="009A17C1"/>
    <w:rsid w:val="009C198C"/>
    <w:rsid w:val="009C282C"/>
    <w:rsid w:val="009C5822"/>
    <w:rsid w:val="009C7949"/>
    <w:rsid w:val="009D2BBF"/>
    <w:rsid w:val="009E223A"/>
    <w:rsid w:val="009E4C6D"/>
    <w:rsid w:val="009E653E"/>
    <w:rsid w:val="009F02B2"/>
    <w:rsid w:val="009F1624"/>
    <w:rsid w:val="009F5867"/>
    <w:rsid w:val="00A01A44"/>
    <w:rsid w:val="00A04AF6"/>
    <w:rsid w:val="00A06849"/>
    <w:rsid w:val="00A111B7"/>
    <w:rsid w:val="00A1455E"/>
    <w:rsid w:val="00A163E8"/>
    <w:rsid w:val="00A20CD4"/>
    <w:rsid w:val="00A27019"/>
    <w:rsid w:val="00A272A7"/>
    <w:rsid w:val="00A33B7E"/>
    <w:rsid w:val="00A34DA5"/>
    <w:rsid w:val="00A35E99"/>
    <w:rsid w:val="00A44F10"/>
    <w:rsid w:val="00A456ED"/>
    <w:rsid w:val="00A47D65"/>
    <w:rsid w:val="00A5662E"/>
    <w:rsid w:val="00A57D4B"/>
    <w:rsid w:val="00A62D71"/>
    <w:rsid w:val="00A63105"/>
    <w:rsid w:val="00A638AC"/>
    <w:rsid w:val="00A708B6"/>
    <w:rsid w:val="00A71787"/>
    <w:rsid w:val="00A7506E"/>
    <w:rsid w:val="00A80E92"/>
    <w:rsid w:val="00A834AF"/>
    <w:rsid w:val="00A842BC"/>
    <w:rsid w:val="00AA02AF"/>
    <w:rsid w:val="00AA1FF8"/>
    <w:rsid w:val="00AA3E50"/>
    <w:rsid w:val="00AA4296"/>
    <w:rsid w:val="00AA4E67"/>
    <w:rsid w:val="00AA78FD"/>
    <w:rsid w:val="00AB2CBD"/>
    <w:rsid w:val="00AB7452"/>
    <w:rsid w:val="00AC029E"/>
    <w:rsid w:val="00AC1688"/>
    <w:rsid w:val="00AC4DE0"/>
    <w:rsid w:val="00AE7CCF"/>
    <w:rsid w:val="00AF4B6C"/>
    <w:rsid w:val="00AF6280"/>
    <w:rsid w:val="00AF6D32"/>
    <w:rsid w:val="00B01B83"/>
    <w:rsid w:val="00B0518C"/>
    <w:rsid w:val="00B14C76"/>
    <w:rsid w:val="00B21CC7"/>
    <w:rsid w:val="00B2439C"/>
    <w:rsid w:val="00B27161"/>
    <w:rsid w:val="00B41AB0"/>
    <w:rsid w:val="00B46EFB"/>
    <w:rsid w:val="00B5218D"/>
    <w:rsid w:val="00B53715"/>
    <w:rsid w:val="00B55D34"/>
    <w:rsid w:val="00B60819"/>
    <w:rsid w:val="00B60ED3"/>
    <w:rsid w:val="00B61220"/>
    <w:rsid w:val="00B6180A"/>
    <w:rsid w:val="00B61B3A"/>
    <w:rsid w:val="00B62EF0"/>
    <w:rsid w:val="00B75DF6"/>
    <w:rsid w:val="00B92202"/>
    <w:rsid w:val="00B9474A"/>
    <w:rsid w:val="00B96E19"/>
    <w:rsid w:val="00B97620"/>
    <w:rsid w:val="00BA23C7"/>
    <w:rsid w:val="00BA3B45"/>
    <w:rsid w:val="00BA4B3E"/>
    <w:rsid w:val="00BA534E"/>
    <w:rsid w:val="00BB1F7B"/>
    <w:rsid w:val="00BB2113"/>
    <w:rsid w:val="00BB4758"/>
    <w:rsid w:val="00BC5710"/>
    <w:rsid w:val="00BC7374"/>
    <w:rsid w:val="00BD1FBE"/>
    <w:rsid w:val="00BD3D24"/>
    <w:rsid w:val="00BD420F"/>
    <w:rsid w:val="00BD681C"/>
    <w:rsid w:val="00BE238C"/>
    <w:rsid w:val="00BE61C7"/>
    <w:rsid w:val="00BE7879"/>
    <w:rsid w:val="00BF35B0"/>
    <w:rsid w:val="00BF58CC"/>
    <w:rsid w:val="00C05CB4"/>
    <w:rsid w:val="00C07453"/>
    <w:rsid w:val="00C10762"/>
    <w:rsid w:val="00C1149F"/>
    <w:rsid w:val="00C136B9"/>
    <w:rsid w:val="00C15253"/>
    <w:rsid w:val="00C200C5"/>
    <w:rsid w:val="00C26DC6"/>
    <w:rsid w:val="00C307A5"/>
    <w:rsid w:val="00C30B99"/>
    <w:rsid w:val="00C31795"/>
    <w:rsid w:val="00C367E5"/>
    <w:rsid w:val="00C47E6A"/>
    <w:rsid w:val="00C51896"/>
    <w:rsid w:val="00C556E0"/>
    <w:rsid w:val="00C60D25"/>
    <w:rsid w:val="00C634DA"/>
    <w:rsid w:val="00C67AC6"/>
    <w:rsid w:val="00C701F9"/>
    <w:rsid w:val="00C731F3"/>
    <w:rsid w:val="00C73AC7"/>
    <w:rsid w:val="00C749EB"/>
    <w:rsid w:val="00C805E1"/>
    <w:rsid w:val="00C84693"/>
    <w:rsid w:val="00C86BD3"/>
    <w:rsid w:val="00C930E6"/>
    <w:rsid w:val="00CA38F0"/>
    <w:rsid w:val="00CA5D14"/>
    <w:rsid w:val="00CA617F"/>
    <w:rsid w:val="00CA7341"/>
    <w:rsid w:val="00CA7DEF"/>
    <w:rsid w:val="00CB168A"/>
    <w:rsid w:val="00CB2094"/>
    <w:rsid w:val="00CB5FB3"/>
    <w:rsid w:val="00CB774A"/>
    <w:rsid w:val="00CC2009"/>
    <w:rsid w:val="00CC7172"/>
    <w:rsid w:val="00CD0391"/>
    <w:rsid w:val="00CD1CB0"/>
    <w:rsid w:val="00CD1DAA"/>
    <w:rsid w:val="00CD3E7B"/>
    <w:rsid w:val="00CD5F4E"/>
    <w:rsid w:val="00CF02AB"/>
    <w:rsid w:val="00CF109A"/>
    <w:rsid w:val="00CF2812"/>
    <w:rsid w:val="00CF3C93"/>
    <w:rsid w:val="00CF402A"/>
    <w:rsid w:val="00CF4799"/>
    <w:rsid w:val="00D06603"/>
    <w:rsid w:val="00D07396"/>
    <w:rsid w:val="00D13504"/>
    <w:rsid w:val="00D17F7C"/>
    <w:rsid w:val="00D21D44"/>
    <w:rsid w:val="00D2491C"/>
    <w:rsid w:val="00D252F6"/>
    <w:rsid w:val="00D26283"/>
    <w:rsid w:val="00D3026B"/>
    <w:rsid w:val="00D36748"/>
    <w:rsid w:val="00D411DE"/>
    <w:rsid w:val="00D44AC4"/>
    <w:rsid w:val="00D45E9C"/>
    <w:rsid w:val="00D463AD"/>
    <w:rsid w:val="00D50B6C"/>
    <w:rsid w:val="00D52F72"/>
    <w:rsid w:val="00D534EA"/>
    <w:rsid w:val="00D54237"/>
    <w:rsid w:val="00D542F2"/>
    <w:rsid w:val="00D5458F"/>
    <w:rsid w:val="00D55AA9"/>
    <w:rsid w:val="00D66774"/>
    <w:rsid w:val="00D70C2C"/>
    <w:rsid w:val="00D70D43"/>
    <w:rsid w:val="00D7356A"/>
    <w:rsid w:val="00D735AB"/>
    <w:rsid w:val="00D745A4"/>
    <w:rsid w:val="00D75581"/>
    <w:rsid w:val="00D76063"/>
    <w:rsid w:val="00D76B9A"/>
    <w:rsid w:val="00D817CD"/>
    <w:rsid w:val="00D81AAB"/>
    <w:rsid w:val="00D81DB3"/>
    <w:rsid w:val="00D8592C"/>
    <w:rsid w:val="00D9236B"/>
    <w:rsid w:val="00DA084E"/>
    <w:rsid w:val="00DA580F"/>
    <w:rsid w:val="00DA5BF4"/>
    <w:rsid w:val="00DB54A5"/>
    <w:rsid w:val="00DB6CC6"/>
    <w:rsid w:val="00DC06D8"/>
    <w:rsid w:val="00DC3386"/>
    <w:rsid w:val="00DC441B"/>
    <w:rsid w:val="00DC6C8C"/>
    <w:rsid w:val="00DC7921"/>
    <w:rsid w:val="00DD09F2"/>
    <w:rsid w:val="00DD7C85"/>
    <w:rsid w:val="00DE1542"/>
    <w:rsid w:val="00DE2220"/>
    <w:rsid w:val="00DE3FE8"/>
    <w:rsid w:val="00DE65AB"/>
    <w:rsid w:val="00DE6E73"/>
    <w:rsid w:val="00DE6F0C"/>
    <w:rsid w:val="00DE7B22"/>
    <w:rsid w:val="00DF56CE"/>
    <w:rsid w:val="00DF67F3"/>
    <w:rsid w:val="00E02BA7"/>
    <w:rsid w:val="00E03216"/>
    <w:rsid w:val="00E072EB"/>
    <w:rsid w:val="00E127FE"/>
    <w:rsid w:val="00E141FD"/>
    <w:rsid w:val="00E16157"/>
    <w:rsid w:val="00E206D1"/>
    <w:rsid w:val="00E209CA"/>
    <w:rsid w:val="00E27609"/>
    <w:rsid w:val="00E31542"/>
    <w:rsid w:val="00E33E8E"/>
    <w:rsid w:val="00E36594"/>
    <w:rsid w:val="00E41A65"/>
    <w:rsid w:val="00E46002"/>
    <w:rsid w:val="00E471AA"/>
    <w:rsid w:val="00E53EF0"/>
    <w:rsid w:val="00E564FA"/>
    <w:rsid w:val="00E60C8E"/>
    <w:rsid w:val="00E616B0"/>
    <w:rsid w:val="00E650B6"/>
    <w:rsid w:val="00E674C3"/>
    <w:rsid w:val="00E67A68"/>
    <w:rsid w:val="00E70BBB"/>
    <w:rsid w:val="00E74CF3"/>
    <w:rsid w:val="00E80962"/>
    <w:rsid w:val="00E81C93"/>
    <w:rsid w:val="00E82626"/>
    <w:rsid w:val="00E9298F"/>
    <w:rsid w:val="00EA16AD"/>
    <w:rsid w:val="00EA6CD6"/>
    <w:rsid w:val="00EB10E6"/>
    <w:rsid w:val="00EB5C23"/>
    <w:rsid w:val="00EC094B"/>
    <w:rsid w:val="00EC5271"/>
    <w:rsid w:val="00EC56A1"/>
    <w:rsid w:val="00ED1C4A"/>
    <w:rsid w:val="00ED697B"/>
    <w:rsid w:val="00ED7BFC"/>
    <w:rsid w:val="00EE42E8"/>
    <w:rsid w:val="00EE54DA"/>
    <w:rsid w:val="00EE5C23"/>
    <w:rsid w:val="00EE7A6B"/>
    <w:rsid w:val="00EF193B"/>
    <w:rsid w:val="00EF249F"/>
    <w:rsid w:val="00EF2584"/>
    <w:rsid w:val="00EF2EA1"/>
    <w:rsid w:val="00EF5E45"/>
    <w:rsid w:val="00F02BA4"/>
    <w:rsid w:val="00F05EE1"/>
    <w:rsid w:val="00F06A6A"/>
    <w:rsid w:val="00F10511"/>
    <w:rsid w:val="00F116E0"/>
    <w:rsid w:val="00F1436B"/>
    <w:rsid w:val="00F145D4"/>
    <w:rsid w:val="00F14EFB"/>
    <w:rsid w:val="00F16905"/>
    <w:rsid w:val="00F25452"/>
    <w:rsid w:val="00F273C3"/>
    <w:rsid w:val="00F307BB"/>
    <w:rsid w:val="00F31E79"/>
    <w:rsid w:val="00F34D07"/>
    <w:rsid w:val="00F35989"/>
    <w:rsid w:val="00F40068"/>
    <w:rsid w:val="00F41AE7"/>
    <w:rsid w:val="00F4684D"/>
    <w:rsid w:val="00F5639D"/>
    <w:rsid w:val="00F61D89"/>
    <w:rsid w:val="00F670DD"/>
    <w:rsid w:val="00F71552"/>
    <w:rsid w:val="00F73C8C"/>
    <w:rsid w:val="00F75420"/>
    <w:rsid w:val="00F75D50"/>
    <w:rsid w:val="00F815B5"/>
    <w:rsid w:val="00F8172D"/>
    <w:rsid w:val="00F829BC"/>
    <w:rsid w:val="00F85B7D"/>
    <w:rsid w:val="00F87D59"/>
    <w:rsid w:val="00F900D3"/>
    <w:rsid w:val="00F9185F"/>
    <w:rsid w:val="00F9213B"/>
    <w:rsid w:val="00F971FE"/>
    <w:rsid w:val="00FA10BF"/>
    <w:rsid w:val="00FA5B88"/>
    <w:rsid w:val="00FA7F87"/>
    <w:rsid w:val="00FB0676"/>
    <w:rsid w:val="00FB12C4"/>
    <w:rsid w:val="00FB1B07"/>
    <w:rsid w:val="00FB2BED"/>
    <w:rsid w:val="00FB2D23"/>
    <w:rsid w:val="00FC3B5C"/>
    <w:rsid w:val="00FC662B"/>
    <w:rsid w:val="00FD1A48"/>
    <w:rsid w:val="00FD32B1"/>
    <w:rsid w:val="00FD3FE2"/>
    <w:rsid w:val="00FE1B00"/>
    <w:rsid w:val="00FE3688"/>
    <w:rsid w:val="00FF0565"/>
    <w:rsid w:val="00FF09F7"/>
    <w:rsid w:val="00FF0C26"/>
    <w:rsid w:val="00FF18AE"/>
    <w:rsid w:val="00FF24A9"/>
    <w:rsid w:val="00FF6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CCB69-E015-4FA2-9A7F-9C887D0E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4D"/>
    <w:rPr>
      <w:rFonts w:eastAsia="Times New Roman"/>
      <w:sz w:val="24"/>
      <w:szCs w:val="24"/>
      <w:lang w:eastAsia="en-US"/>
    </w:rPr>
  </w:style>
  <w:style w:type="paragraph" w:styleId="Heading1">
    <w:name w:val="heading 1"/>
    <w:basedOn w:val="Normal"/>
    <w:next w:val="Normal"/>
    <w:link w:val="Heading1Char"/>
    <w:qFormat/>
    <w:rsid w:val="00D542F2"/>
    <w:pPr>
      <w:keepNext/>
      <w:numPr>
        <w:numId w:val="1"/>
      </w:numPr>
      <w:spacing w:before="240" w:after="60" w:line="480" w:lineRule="auto"/>
      <w:jc w:val="center"/>
      <w:outlineLvl w:val="0"/>
    </w:pPr>
    <w:rPr>
      <w:rFonts w:cs="Arial"/>
      <w:bCs/>
      <w:kern w:val="32"/>
      <w:szCs w:val="32"/>
    </w:rPr>
  </w:style>
  <w:style w:type="paragraph" w:styleId="Heading2">
    <w:name w:val="heading 2"/>
    <w:basedOn w:val="Normal"/>
    <w:next w:val="Normal"/>
    <w:link w:val="Heading2Char"/>
    <w:qFormat/>
    <w:rsid w:val="00D542F2"/>
    <w:pPr>
      <w:keepNext/>
      <w:numPr>
        <w:ilvl w:val="1"/>
        <w:numId w:val="1"/>
      </w:numPr>
      <w:spacing w:line="480" w:lineRule="auto"/>
      <w:jc w:val="both"/>
      <w:outlineLvl w:val="1"/>
    </w:pPr>
    <w:rPr>
      <w:rFonts w:cs="Arial"/>
      <w:bCs/>
      <w:iCs/>
      <w:szCs w:val="28"/>
    </w:rPr>
  </w:style>
  <w:style w:type="paragraph" w:styleId="Heading3">
    <w:name w:val="heading 3"/>
    <w:basedOn w:val="Normal"/>
    <w:next w:val="Normal"/>
    <w:link w:val="Heading3Char"/>
    <w:qFormat/>
    <w:rsid w:val="00D542F2"/>
    <w:pPr>
      <w:keepNext/>
      <w:numPr>
        <w:ilvl w:val="2"/>
        <w:numId w:val="1"/>
      </w:numPr>
      <w:spacing w:line="480" w:lineRule="auto"/>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2F2"/>
    <w:rPr>
      <w:rFonts w:eastAsia="Times New Roman" w:cs="Arial"/>
      <w:bCs/>
      <w:kern w:val="32"/>
      <w:sz w:val="24"/>
      <w:szCs w:val="32"/>
      <w:lang w:eastAsia="en-US"/>
    </w:rPr>
  </w:style>
  <w:style w:type="character" w:customStyle="1" w:styleId="Heading2Char">
    <w:name w:val="Heading 2 Char"/>
    <w:link w:val="Heading2"/>
    <w:rsid w:val="00D542F2"/>
    <w:rPr>
      <w:rFonts w:eastAsia="Times New Roman" w:cs="Arial"/>
      <w:bCs/>
      <w:iCs/>
      <w:sz w:val="24"/>
      <w:szCs w:val="28"/>
      <w:lang w:eastAsia="en-US"/>
    </w:rPr>
  </w:style>
  <w:style w:type="character" w:customStyle="1" w:styleId="Heading3Char">
    <w:name w:val="Heading 3 Char"/>
    <w:link w:val="Heading3"/>
    <w:rsid w:val="00D542F2"/>
    <w:rPr>
      <w:rFonts w:eastAsia="Times New Roman" w:cs="Arial"/>
      <w:bCs/>
      <w:sz w:val="24"/>
      <w:szCs w:val="26"/>
      <w:lang w:eastAsia="en-US"/>
    </w:rPr>
  </w:style>
  <w:style w:type="paragraph" w:styleId="BodyText2">
    <w:name w:val="Body Text 2"/>
    <w:basedOn w:val="Normal"/>
    <w:link w:val="BodyText2Char"/>
    <w:rsid w:val="00D542F2"/>
    <w:pPr>
      <w:spacing w:after="120" w:line="480" w:lineRule="auto"/>
    </w:pPr>
  </w:style>
  <w:style w:type="character" w:customStyle="1" w:styleId="BodyText2Char">
    <w:name w:val="Body Text 2 Char"/>
    <w:link w:val="BodyText2"/>
    <w:rsid w:val="00D542F2"/>
    <w:rPr>
      <w:rFonts w:eastAsia="Times New Roman" w:cs="Times New Roman"/>
      <w:szCs w:val="24"/>
    </w:rPr>
  </w:style>
  <w:style w:type="paragraph" w:styleId="ListParagraph">
    <w:name w:val="List Paragraph"/>
    <w:basedOn w:val="Normal"/>
    <w:uiPriority w:val="34"/>
    <w:qFormat/>
    <w:rsid w:val="00B97620"/>
    <w:pPr>
      <w:ind w:left="720"/>
    </w:pPr>
  </w:style>
  <w:style w:type="paragraph" w:styleId="Header">
    <w:name w:val="header"/>
    <w:basedOn w:val="Normal"/>
    <w:link w:val="HeaderChar"/>
    <w:uiPriority w:val="99"/>
    <w:unhideWhenUsed/>
    <w:rsid w:val="008674D3"/>
    <w:pPr>
      <w:tabs>
        <w:tab w:val="center" w:pos="4513"/>
        <w:tab w:val="right" w:pos="9026"/>
      </w:tabs>
    </w:pPr>
  </w:style>
  <w:style w:type="character" w:customStyle="1" w:styleId="HeaderChar">
    <w:name w:val="Header Char"/>
    <w:link w:val="Header"/>
    <w:uiPriority w:val="99"/>
    <w:rsid w:val="008674D3"/>
    <w:rPr>
      <w:rFonts w:eastAsia="Times New Roman"/>
      <w:sz w:val="24"/>
      <w:szCs w:val="24"/>
      <w:lang w:eastAsia="en-US"/>
    </w:rPr>
  </w:style>
  <w:style w:type="paragraph" w:styleId="Footer">
    <w:name w:val="footer"/>
    <w:basedOn w:val="Normal"/>
    <w:link w:val="FooterChar"/>
    <w:uiPriority w:val="99"/>
    <w:unhideWhenUsed/>
    <w:rsid w:val="008674D3"/>
    <w:pPr>
      <w:tabs>
        <w:tab w:val="center" w:pos="4513"/>
        <w:tab w:val="right" w:pos="9026"/>
      </w:tabs>
    </w:pPr>
  </w:style>
  <w:style w:type="character" w:customStyle="1" w:styleId="FooterChar">
    <w:name w:val="Footer Char"/>
    <w:link w:val="Footer"/>
    <w:uiPriority w:val="99"/>
    <w:rsid w:val="008674D3"/>
    <w:rPr>
      <w:rFonts w:eastAsia="Times New Roman"/>
      <w:sz w:val="24"/>
      <w:szCs w:val="24"/>
      <w:lang w:eastAsia="en-US"/>
    </w:rPr>
  </w:style>
  <w:style w:type="paragraph" w:styleId="FootnoteText">
    <w:name w:val="footnote text"/>
    <w:basedOn w:val="Normal"/>
    <w:link w:val="FootnoteTextChar"/>
    <w:uiPriority w:val="99"/>
    <w:unhideWhenUsed/>
    <w:rsid w:val="001B7390"/>
    <w:rPr>
      <w:sz w:val="20"/>
      <w:szCs w:val="20"/>
    </w:rPr>
  </w:style>
  <w:style w:type="character" w:customStyle="1" w:styleId="FootnoteTextChar">
    <w:name w:val="Footnote Text Char"/>
    <w:link w:val="FootnoteText"/>
    <w:uiPriority w:val="99"/>
    <w:rsid w:val="001B7390"/>
    <w:rPr>
      <w:rFonts w:eastAsia="Times New Roman"/>
      <w:lang w:eastAsia="en-US"/>
    </w:rPr>
  </w:style>
  <w:style w:type="character" w:styleId="FootnoteReference">
    <w:name w:val="footnote reference"/>
    <w:uiPriority w:val="99"/>
    <w:semiHidden/>
    <w:unhideWhenUsed/>
    <w:rsid w:val="001B7390"/>
    <w:rPr>
      <w:vertAlign w:val="superscript"/>
    </w:rPr>
  </w:style>
  <w:style w:type="paragraph" w:styleId="BalloonText">
    <w:name w:val="Balloon Text"/>
    <w:basedOn w:val="Normal"/>
    <w:link w:val="BalloonTextChar"/>
    <w:uiPriority w:val="99"/>
    <w:semiHidden/>
    <w:unhideWhenUsed/>
    <w:rsid w:val="001D0024"/>
    <w:rPr>
      <w:rFonts w:ascii="Segoe UI" w:hAnsi="Segoe UI" w:cs="Segoe UI"/>
      <w:sz w:val="18"/>
      <w:szCs w:val="18"/>
    </w:rPr>
  </w:style>
  <w:style w:type="character" w:customStyle="1" w:styleId="BalloonTextChar">
    <w:name w:val="Balloon Text Char"/>
    <w:link w:val="BalloonText"/>
    <w:uiPriority w:val="99"/>
    <w:semiHidden/>
    <w:rsid w:val="001D0024"/>
    <w:rPr>
      <w:rFonts w:ascii="Segoe UI" w:eastAsia="Times New Roman" w:hAnsi="Segoe UI" w:cs="Segoe UI"/>
      <w:sz w:val="18"/>
      <w:szCs w:val="18"/>
      <w:lang w:eastAsia="en-US"/>
    </w:rPr>
  </w:style>
  <w:style w:type="paragraph" w:styleId="NormalWeb">
    <w:name w:val="Normal (Web)"/>
    <w:basedOn w:val="Normal"/>
    <w:uiPriority w:val="99"/>
    <w:semiHidden/>
    <w:unhideWhenUsed/>
    <w:rsid w:val="004645DA"/>
    <w:pPr>
      <w:spacing w:before="100" w:beforeAutospacing="1" w:after="100" w:afterAutospacing="1"/>
    </w:pPr>
    <w:rPr>
      <w:rFonts w:ascii="Times New Roman" w:hAnsi="Times New Roman"/>
      <w:lang w:eastAsia="en-ZA"/>
    </w:rPr>
  </w:style>
  <w:style w:type="paragraph" w:customStyle="1" w:styleId="Default">
    <w:name w:val="Default"/>
    <w:rsid w:val="008A30EA"/>
    <w:pPr>
      <w:autoSpaceDE w:val="0"/>
      <w:autoSpaceDN w:val="0"/>
      <w:adjustRightInd w:val="0"/>
    </w:pPr>
    <w:rPr>
      <w:rFonts w:eastAsia="Times New Roman" w:cs="Arial"/>
      <w:color w:val="000000"/>
      <w:sz w:val="24"/>
      <w:szCs w:val="24"/>
    </w:rPr>
  </w:style>
  <w:style w:type="numbering" w:customStyle="1" w:styleId="CurrentList1">
    <w:name w:val="Current List1"/>
    <w:uiPriority w:val="99"/>
    <w:rsid w:val="00435CC9"/>
    <w:pPr>
      <w:numPr>
        <w:numId w:val="3"/>
      </w:numPr>
    </w:pPr>
  </w:style>
  <w:style w:type="character" w:styleId="CommentReference">
    <w:name w:val="annotation reference"/>
    <w:basedOn w:val="DefaultParagraphFont"/>
    <w:uiPriority w:val="99"/>
    <w:semiHidden/>
    <w:unhideWhenUsed/>
    <w:rsid w:val="00DB54A5"/>
    <w:rPr>
      <w:sz w:val="16"/>
      <w:szCs w:val="16"/>
    </w:rPr>
  </w:style>
  <w:style w:type="paragraph" w:styleId="CommentText">
    <w:name w:val="annotation text"/>
    <w:basedOn w:val="Normal"/>
    <w:link w:val="CommentTextChar"/>
    <w:uiPriority w:val="99"/>
    <w:semiHidden/>
    <w:unhideWhenUsed/>
    <w:rsid w:val="00DB54A5"/>
    <w:rPr>
      <w:sz w:val="20"/>
      <w:szCs w:val="20"/>
    </w:rPr>
  </w:style>
  <w:style w:type="character" w:customStyle="1" w:styleId="CommentTextChar">
    <w:name w:val="Comment Text Char"/>
    <w:basedOn w:val="DefaultParagraphFont"/>
    <w:link w:val="CommentText"/>
    <w:uiPriority w:val="99"/>
    <w:semiHidden/>
    <w:rsid w:val="00DB54A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B54A5"/>
    <w:rPr>
      <w:b/>
      <w:bCs/>
    </w:rPr>
  </w:style>
  <w:style w:type="character" w:customStyle="1" w:styleId="CommentSubjectChar">
    <w:name w:val="Comment Subject Char"/>
    <w:basedOn w:val="CommentTextChar"/>
    <w:link w:val="CommentSubject"/>
    <w:uiPriority w:val="99"/>
    <w:semiHidden/>
    <w:rsid w:val="00DB54A5"/>
    <w:rPr>
      <w:rFonts w:eastAsia="Times New Roman"/>
      <w:b/>
      <w:bCs/>
      <w:lang w:eastAsia="en-US"/>
    </w:rPr>
  </w:style>
  <w:style w:type="character" w:customStyle="1" w:styleId="mc">
    <w:name w:val="mc"/>
    <w:basedOn w:val="DefaultParagraphFont"/>
    <w:rsid w:val="00627364"/>
  </w:style>
  <w:style w:type="paragraph" w:styleId="Revision">
    <w:name w:val="Revision"/>
    <w:hidden/>
    <w:uiPriority w:val="99"/>
    <w:semiHidden/>
    <w:rsid w:val="0077237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4058">
      <w:bodyDiv w:val="1"/>
      <w:marLeft w:val="0"/>
      <w:marRight w:val="0"/>
      <w:marTop w:val="0"/>
      <w:marBottom w:val="0"/>
      <w:divBdr>
        <w:top w:val="none" w:sz="0" w:space="0" w:color="auto"/>
        <w:left w:val="none" w:sz="0" w:space="0" w:color="auto"/>
        <w:bottom w:val="none" w:sz="0" w:space="0" w:color="auto"/>
        <w:right w:val="none" w:sz="0" w:space="0" w:color="auto"/>
      </w:divBdr>
    </w:div>
    <w:div w:id="999501784">
      <w:bodyDiv w:val="1"/>
      <w:marLeft w:val="0"/>
      <w:marRight w:val="0"/>
      <w:marTop w:val="0"/>
      <w:marBottom w:val="0"/>
      <w:divBdr>
        <w:top w:val="none" w:sz="0" w:space="0" w:color="auto"/>
        <w:left w:val="none" w:sz="0" w:space="0" w:color="auto"/>
        <w:bottom w:val="none" w:sz="0" w:space="0" w:color="auto"/>
        <w:right w:val="none" w:sz="0" w:space="0" w:color="auto"/>
      </w:divBdr>
    </w:div>
    <w:div w:id="1374036495">
      <w:bodyDiv w:val="1"/>
      <w:marLeft w:val="0"/>
      <w:marRight w:val="0"/>
      <w:marTop w:val="0"/>
      <w:marBottom w:val="0"/>
      <w:divBdr>
        <w:top w:val="none" w:sz="0" w:space="0" w:color="auto"/>
        <w:left w:val="none" w:sz="0" w:space="0" w:color="auto"/>
        <w:bottom w:val="none" w:sz="0" w:space="0" w:color="auto"/>
        <w:right w:val="none" w:sz="0" w:space="0" w:color="auto"/>
      </w:divBdr>
    </w:div>
    <w:div w:id="1384016317">
      <w:bodyDiv w:val="1"/>
      <w:marLeft w:val="0"/>
      <w:marRight w:val="0"/>
      <w:marTop w:val="0"/>
      <w:marBottom w:val="0"/>
      <w:divBdr>
        <w:top w:val="none" w:sz="0" w:space="0" w:color="auto"/>
        <w:left w:val="none" w:sz="0" w:space="0" w:color="auto"/>
        <w:bottom w:val="none" w:sz="0" w:space="0" w:color="auto"/>
        <w:right w:val="none" w:sz="0" w:space="0" w:color="auto"/>
      </w:divBdr>
    </w:div>
    <w:div w:id="1923877602">
      <w:bodyDiv w:val="1"/>
      <w:marLeft w:val="0"/>
      <w:marRight w:val="0"/>
      <w:marTop w:val="0"/>
      <w:marBottom w:val="0"/>
      <w:divBdr>
        <w:top w:val="none" w:sz="0" w:space="0" w:color="auto"/>
        <w:left w:val="none" w:sz="0" w:space="0" w:color="auto"/>
        <w:bottom w:val="none" w:sz="0" w:space="0" w:color="auto"/>
        <w:right w:val="none" w:sz="0" w:space="0" w:color="auto"/>
      </w:divBdr>
    </w:div>
    <w:div w:id="20815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BA1A-6301-44F3-9EF0-2BC84415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advocate_g</dc:creator>
  <cp:keywords/>
  <dc:description/>
  <cp:lastModifiedBy>Mokone</cp:lastModifiedBy>
  <cp:revision>3</cp:revision>
  <cp:lastPrinted>2023-05-30T07:38:00Z</cp:lastPrinted>
  <dcterms:created xsi:type="dcterms:W3CDTF">2023-06-12T08:12:00Z</dcterms:created>
  <dcterms:modified xsi:type="dcterms:W3CDTF">2023-06-12T08:13:00Z</dcterms:modified>
</cp:coreProperties>
</file>