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84FD4" w14:textId="06744A66" w:rsidR="00182054" w:rsidRPr="008A132B" w:rsidRDefault="00182054" w:rsidP="00CC12CF">
      <w:pPr>
        <w:spacing w:line="360" w:lineRule="auto"/>
        <w:jc w:val="center"/>
      </w:pPr>
      <w:r w:rsidRPr="008A132B">
        <w:rPr>
          <w:noProof/>
          <w:lang w:val="en-US"/>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36CD9B44" w14:textId="77777777" w:rsidR="00093030" w:rsidRPr="008A132B" w:rsidRDefault="00093030" w:rsidP="00CC12CF">
      <w:pPr>
        <w:spacing w:line="360" w:lineRule="auto"/>
        <w:rPr>
          <w:b/>
          <w:bCs/>
        </w:rPr>
      </w:pPr>
    </w:p>
    <w:p w14:paraId="08CA4D55" w14:textId="632BE1FD" w:rsidR="00093030" w:rsidRPr="008A132B" w:rsidRDefault="0091589E" w:rsidP="00CC12CF">
      <w:pPr>
        <w:spacing w:line="360" w:lineRule="auto"/>
        <w:jc w:val="center"/>
        <w:rPr>
          <w:b/>
          <w:bCs/>
        </w:rPr>
      </w:pPr>
      <w:r w:rsidRPr="008A132B">
        <w:rPr>
          <w:b/>
          <w:bCs/>
        </w:rPr>
        <w:t xml:space="preserve">IN THE HIGH COURT </w:t>
      </w:r>
      <w:r w:rsidR="00093030" w:rsidRPr="008A132B">
        <w:rPr>
          <w:b/>
          <w:bCs/>
        </w:rPr>
        <w:t>OF SOUTH AFRICA</w:t>
      </w:r>
    </w:p>
    <w:p w14:paraId="5405703F" w14:textId="554C651E" w:rsidR="00093030" w:rsidRPr="008A132B" w:rsidRDefault="0091589E" w:rsidP="00CC12CF">
      <w:pPr>
        <w:spacing w:line="360" w:lineRule="auto"/>
        <w:jc w:val="center"/>
        <w:rPr>
          <w:b/>
          <w:bCs/>
        </w:rPr>
      </w:pPr>
      <w:r w:rsidRPr="008A132B">
        <w:rPr>
          <w:b/>
          <w:bCs/>
        </w:rPr>
        <w:t>KWAZULU-NATAL DIVISION, PIETERMARITZBURG</w:t>
      </w:r>
    </w:p>
    <w:p w14:paraId="4E50FCC0" w14:textId="77777777" w:rsidR="001C260A" w:rsidRPr="008A132B" w:rsidRDefault="001C260A" w:rsidP="00CC12CF">
      <w:pPr>
        <w:spacing w:line="360" w:lineRule="auto"/>
        <w:rPr>
          <w:b/>
          <w:bCs/>
        </w:rPr>
      </w:pPr>
    </w:p>
    <w:p w14:paraId="447D0058" w14:textId="63001146" w:rsidR="001C260A" w:rsidRPr="008A132B" w:rsidRDefault="001C260A" w:rsidP="00CC12CF">
      <w:pPr>
        <w:spacing w:line="360" w:lineRule="auto"/>
        <w:jc w:val="right"/>
      </w:pPr>
      <w:r w:rsidRPr="008A132B">
        <w:t>Case no: 3</w:t>
      </w:r>
      <w:r w:rsidR="00973D14" w:rsidRPr="008A132B">
        <w:t>518/2023P</w:t>
      </w:r>
    </w:p>
    <w:p w14:paraId="0A8302C5" w14:textId="77777777" w:rsidR="001C260A" w:rsidRPr="008A132B" w:rsidRDefault="001C260A" w:rsidP="00CC12CF">
      <w:pPr>
        <w:spacing w:line="360" w:lineRule="auto"/>
        <w:jc w:val="both"/>
      </w:pPr>
      <w:r w:rsidRPr="008A132B">
        <w:t>In the matter between:</w:t>
      </w:r>
    </w:p>
    <w:p w14:paraId="5F0DE807" w14:textId="77777777" w:rsidR="001C260A" w:rsidRPr="008A132B" w:rsidRDefault="001C260A" w:rsidP="00CC12CF">
      <w:pPr>
        <w:spacing w:line="360" w:lineRule="auto"/>
        <w:jc w:val="both"/>
      </w:pPr>
    </w:p>
    <w:p w14:paraId="611A36A8" w14:textId="77777777" w:rsidR="00973D14" w:rsidRPr="008A132B" w:rsidRDefault="00973D14" w:rsidP="00CC12CF">
      <w:pPr>
        <w:spacing w:line="360" w:lineRule="auto"/>
        <w:jc w:val="both"/>
        <w:rPr>
          <w:b/>
          <w:bCs/>
        </w:rPr>
      </w:pPr>
      <w:r w:rsidRPr="008A132B">
        <w:rPr>
          <w:b/>
          <w:bCs/>
        </w:rPr>
        <w:t xml:space="preserve">MFOLOZI COMMUNITY ENVIRONMENTAL </w:t>
      </w:r>
    </w:p>
    <w:p w14:paraId="338B31AE" w14:textId="5DF360C2" w:rsidR="001C260A" w:rsidRPr="008A132B" w:rsidRDefault="00973D14" w:rsidP="00CC12CF">
      <w:pPr>
        <w:spacing w:line="360" w:lineRule="auto"/>
        <w:jc w:val="both"/>
        <w:rPr>
          <w:b/>
        </w:rPr>
      </w:pPr>
      <w:r w:rsidRPr="008A132B">
        <w:rPr>
          <w:b/>
          <w:bCs/>
        </w:rPr>
        <w:t>JUSTICE ORGANI</w:t>
      </w:r>
      <w:r w:rsidR="00FE0812" w:rsidRPr="008A132B">
        <w:rPr>
          <w:b/>
          <w:bCs/>
        </w:rPr>
        <w:t>S</w:t>
      </w:r>
      <w:r w:rsidRPr="008A132B">
        <w:rPr>
          <w:b/>
          <w:bCs/>
        </w:rPr>
        <w:t>ATION</w:t>
      </w:r>
      <w:r w:rsidRPr="008A132B">
        <w:rPr>
          <w:b/>
          <w:bCs/>
        </w:rPr>
        <w:tab/>
      </w:r>
      <w:r w:rsidRPr="008A132B">
        <w:rPr>
          <w:b/>
          <w:bCs/>
        </w:rPr>
        <w:tab/>
      </w:r>
      <w:r w:rsidRPr="008A132B">
        <w:rPr>
          <w:b/>
          <w:bCs/>
        </w:rPr>
        <w:tab/>
      </w:r>
      <w:r w:rsidRPr="008A132B">
        <w:rPr>
          <w:b/>
          <w:bCs/>
        </w:rPr>
        <w:tab/>
      </w:r>
      <w:r w:rsidRPr="008A132B">
        <w:rPr>
          <w:b/>
          <w:bCs/>
        </w:rPr>
        <w:tab/>
      </w:r>
      <w:r w:rsidR="00E12C0C" w:rsidRPr="008A132B">
        <w:rPr>
          <w:b/>
          <w:bCs/>
        </w:rPr>
        <w:t xml:space="preserve">      </w:t>
      </w:r>
      <w:r w:rsidRPr="008A132B">
        <w:rPr>
          <w:b/>
          <w:bCs/>
        </w:rPr>
        <w:t xml:space="preserve">FIRST </w:t>
      </w:r>
      <w:r w:rsidR="001C260A" w:rsidRPr="008A132B">
        <w:rPr>
          <w:b/>
          <w:bCs/>
        </w:rPr>
        <w:t>APPLICANT</w:t>
      </w:r>
      <w:r w:rsidR="001C260A" w:rsidRPr="008A132B">
        <w:rPr>
          <w:b/>
        </w:rPr>
        <w:t xml:space="preserve"> </w:t>
      </w:r>
    </w:p>
    <w:p w14:paraId="4B7E3223" w14:textId="77777777" w:rsidR="00D44C3C" w:rsidRPr="008A132B" w:rsidRDefault="00D44C3C" w:rsidP="00CC12CF">
      <w:pPr>
        <w:spacing w:line="360" w:lineRule="auto"/>
        <w:jc w:val="both"/>
        <w:rPr>
          <w:b/>
          <w:bCs/>
        </w:rPr>
      </w:pPr>
      <w:r w:rsidRPr="008A132B">
        <w:rPr>
          <w:b/>
          <w:bCs/>
        </w:rPr>
        <w:t xml:space="preserve">THE TRUSTEES FOR THE TIME </w:t>
      </w:r>
    </w:p>
    <w:p w14:paraId="57FDC96E" w14:textId="341F2671" w:rsidR="001C260A" w:rsidRPr="008A132B" w:rsidRDefault="00D44C3C" w:rsidP="00CC12CF">
      <w:pPr>
        <w:spacing w:line="360" w:lineRule="auto"/>
        <w:jc w:val="both"/>
        <w:rPr>
          <w:b/>
          <w:bCs/>
        </w:rPr>
      </w:pPr>
      <w:r w:rsidRPr="008A132B">
        <w:rPr>
          <w:b/>
          <w:bCs/>
        </w:rPr>
        <w:t>BEING OF GLOBAL ENVIRONMENT</w:t>
      </w:r>
      <w:r w:rsidR="007B3282" w:rsidRPr="008A132B">
        <w:rPr>
          <w:b/>
          <w:bCs/>
        </w:rPr>
        <w:t>A</w:t>
      </w:r>
      <w:r w:rsidRPr="008A132B">
        <w:rPr>
          <w:b/>
          <w:bCs/>
        </w:rPr>
        <w:t xml:space="preserve">L TRUST              </w:t>
      </w:r>
      <w:r w:rsidR="00E12C0C" w:rsidRPr="008A132B">
        <w:rPr>
          <w:b/>
          <w:bCs/>
        </w:rPr>
        <w:t xml:space="preserve">     </w:t>
      </w:r>
      <w:r w:rsidRPr="008A132B">
        <w:rPr>
          <w:b/>
          <w:bCs/>
        </w:rPr>
        <w:t xml:space="preserve">SECOND </w:t>
      </w:r>
      <w:r w:rsidR="007B3282" w:rsidRPr="008A132B">
        <w:rPr>
          <w:b/>
          <w:bCs/>
        </w:rPr>
        <w:t>APPLICANT</w:t>
      </w:r>
    </w:p>
    <w:p w14:paraId="5E3407A8" w14:textId="77777777" w:rsidR="007B3282" w:rsidRPr="008A132B" w:rsidRDefault="00D44C3C" w:rsidP="00CC12CF">
      <w:pPr>
        <w:spacing w:line="360" w:lineRule="auto"/>
        <w:jc w:val="both"/>
        <w:rPr>
          <w:b/>
          <w:bCs/>
        </w:rPr>
      </w:pPr>
      <w:r w:rsidRPr="008A132B">
        <w:rPr>
          <w:b/>
          <w:bCs/>
        </w:rPr>
        <w:t xml:space="preserve">MINING AFFECTED COMMUNITIES UNITED IN </w:t>
      </w:r>
    </w:p>
    <w:p w14:paraId="17DF2FF7" w14:textId="01A39D3D" w:rsidR="00D44C3C" w:rsidRPr="008A132B" w:rsidRDefault="00D44C3C" w:rsidP="00CC12CF">
      <w:pPr>
        <w:spacing w:line="360" w:lineRule="auto"/>
        <w:jc w:val="both"/>
        <w:rPr>
          <w:b/>
          <w:bCs/>
        </w:rPr>
      </w:pPr>
      <w:r w:rsidRPr="008A132B">
        <w:rPr>
          <w:b/>
          <w:bCs/>
        </w:rPr>
        <w:t xml:space="preserve">ACTION        </w:t>
      </w:r>
      <w:r w:rsidR="007B3282" w:rsidRPr="008A132B">
        <w:rPr>
          <w:b/>
          <w:bCs/>
        </w:rPr>
        <w:tab/>
      </w:r>
      <w:r w:rsidR="007B3282" w:rsidRPr="008A132B">
        <w:rPr>
          <w:b/>
          <w:bCs/>
        </w:rPr>
        <w:tab/>
      </w:r>
      <w:r w:rsidR="007B3282" w:rsidRPr="008A132B">
        <w:rPr>
          <w:b/>
          <w:bCs/>
        </w:rPr>
        <w:tab/>
      </w:r>
      <w:r w:rsidR="007B3282" w:rsidRPr="008A132B">
        <w:rPr>
          <w:b/>
          <w:bCs/>
        </w:rPr>
        <w:tab/>
      </w:r>
      <w:r w:rsidR="007B3282" w:rsidRPr="008A132B">
        <w:rPr>
          <w:b/>
          <w:bCs/>
        </w:rPr>
        <w:tab/>
      </w:r>
      <w:r w:rsidR="007B3282" w:rsidRPr="008A132B">
        <w:rPr>
          <w:b/>
          <w:bCs/>
        </w:rPr>
        <w:tab/>
      </w:r>
      <w:r w:rsidR="00E12C0C" w:rsidRPr="008A132B">
        <w:rPr>
          <w:b/>
          <w:bCs/>
        </w:rPr>
        <w:t xml:space="preserve">                </w:t>
      </w:r>
      <w:r w:rsidRPr="008A132B">
        <w:rPr>
          <w:b/>
          <w:bCs/>
        </w:rPr>
        <w:t xml:space="preserve">THIRD </w:t>
      </w:r>
      <w:r w:rsidR="007B3282" w:rsidRPr="008A132B">
        <w:rPr>
          <w:b/>
          <w:bCs/>
        </w:rPr>
        <w:t>APPLICANT</w:t>
      </w:r>
    </w:p>
    <w:p w14:paraId="3FF4031C" w14:textId="77777777" w:rsidR="00D44C3C" w:rsidRPr="008A132B" w:rsidRDefault="00D44C3C" w:rsidP="00CC12CF">
      <w:pPr>
        <w:spacing w:line="360" w:lineRule="auto"/>
        <w:jc w:val="both"/>
        <w:rPr>
          <w:b/>
          <w:bCs/>
        </w:rPr>
      </w:pPr>
      <w:r w:rsidRPr="008A132B">
        <w:rPr>
          <w:b/>
          <w:bCs/>
        </w:rPr>
        <w:t xml:space="preserve">SOUTHERN AFRICAN HUMAN RIGHTS </w:t>
      </w:r>
    </w:p>
    <w:p w14:paraId="4C275F0A" w14:textId="6DAC0F93" w:rsidR="00D44C3C" w:rsidRPr="008A132B" w:rsidRDefault="00D44C3C" w:rsidP="00CC12CF">
      <w:pPr>
        <w:spacing w:line="360" w:lineRule="auto"/>
        <w:jc w:val="both"/>
        <w:rPr>
          <w:b/>
          <w:bCs/>
        </w:rPr>
      </w:pPr>
      <w:r w:rsidRPr="008A132B">
        <w:rPr>
          <w:b/>
          <w:bCs/>
        </w:rPr>
        <w:t xml:space="preserve">DEFENDERS NETWORK                                                  </w:t>
      </w:r>
      <w:r w:rsidR="00E12C0C" w:rsidRPr="008A132B">
        <w:rPr>
          <w:b/>
          <w:bCs/>
        </w:rPr>
        <w:t xml:space="preserve">      </w:t>
      </w:r>
      <w:r w:rsidRPr="008A132B">
        <w:rPr>
          <w:b/>
          <w:bCs/>
        </w:rPr>
        <w:t xml:space="preserve">FOURTH </w:t>
      </w:r>
      <w:r w:rsidR="007B3282" w:rsidRPr="008A132B">
        <w:rPr>
          <w:b/>
          <w:bCs/>
        </w:rPr>
        <w:t>APPLICANT</w:t>
      </w:r>
    </w:p>
    <w:p w14:paraId="5B61610C" w14:textId="184F73E1" w:rsidR="00973D14" w:rsidRPr="008A132B" w:rsidRDefault="00D44C3C" w:rsidP="00CC12CF">
      <w:pPr>
        <w:spacing w:line="360" w:lineRule="auto"/>
        <w:jc w:val="both"/>
        <w:rPr>
          <w:b/>
          <w:bCs/>
        </w:rPr>
      </w:pPr>
      <w:r w:rsidRPr="008A132B">
        <w:rPr>
          <w:b/>
          <w:bCs/>
        </w:rPr>
        <w:t>ACTIONAID SOUTH AFRICA</w:t>
      </w:r>
      <w:r w:rsidRPr="008A132B">
        <w:rPr>
          <w:b/>
          <w:bCs/>
        </w:rPr>
        <w:tab/>
      </w:r>
      <w:r w:rsidRPr="008A132B">
        <w:rPr>
          <w:b/>
          <w:bCs/>
        </w:rPr>
        <w:tab/>
      </w:r>
      <w:r w:rsidRPr="008A132B">
        <w:rPr>
          <w:b/>
          <w:bCs/>
        </w:rPr>
        <w:tab/>
      </w:r>
      <w:r w:rsidRPr="008A132B">
        <w:rPr>
          <w:b/>
          <w:bCs/>
        </w:rPr>
        <w:tab/>
      </w:r>
      <w:r w:rsidR="00E12C0C" w:rsidRPr="008A132B">
        <w:rPr>
          <w:b/>
          <w:bCs/>
        </w:rPr>
        <w:t xml:space="preserve">                </w:t>
      </w:r>
      <w:r w:rsidRPr="008A132B">
        <w:rPr>
          <w:b/>
          <w:bCs/>
        </w:rPr>
        <w:t xml:space="preserve">FIFTH </w:t>
      </w:r>
      <w:r w:rsidR="007B3282" w:rsidRPr="008A132B">
        <w:rPr>
          <w:b/>
          <w:bCs/>
        </w:rPr>
        <w:t>APPLICANT</w:t>
      </w:r>
      <w:r w:rsidRPr="008A132B">
        <w:rPr>
          <w:b/>
          <w:bCs/>
        </w:rPr>
        <w:t xml:space="preserve">  </w:t>
      </w:r>
    </w:p>
    <w:p w14:paraId="79FB4297" w14:textId="77777777" w:rsidR="00D44C3C" w:rsidRPr="008A132B" w:rsidRDefault="00D44C3C" w:rsidP="00CC12CF">
      <w:pPr>
        <w:spacing w:line="360" w:lineRule="auto"/>
        <w:jc w:val="both"/>
        <w:rPr>
          <w:b/>
          <w:bCs/>
        </w:rPr>
      </w:pPr>
    </w:p>
    <w:p w14:paraId="3E256212" w14:textId="77777777" w:rsidR="001C260A" w:rsidRPr="008A132B" w:rsidRDefault="001C260A" w:rsidP="00CC12CF">
      <w:pPr>
        <w:spacing w:line="360" w:lineRule="auto"/>
        <w:jc w:val="both"/>
      </w:pPr>
      <w:r w:rsidRPr="008A132B">
        <w:t>and</w:t>
      </w:r>
    </w:p>
    <w:p w14:paraId="3B300F9A" w14:textId="77777777" w:rsidR="001C260A" w:rsidRPr="008A132B" w:rsidRDefault="001C260A" w:rsidP="00CC12CF">
      <w:pPr>
        <w:spacing w:line="360" w:lineRule="auto"/>
        <w:jc w:val="both"/>
        <w:rPr>
          <w:b/>
          <w:bCs/>
        </w:rPr>
      </w:pPr>
    </w:p>
    <w:p w14:paraId="79DAE16F" w14:textId="38E76C34" w:rsidR="001C260A" w:rsidRPr="008A132B" w:rsidRDefault="00973D14" w:rsidP="00CC12CF">
      <w:pPr>
        <w:spacing w:line="360" w:lineRule="auto"/>
        <w:jc w:val="both"/>
        <w:rPr>
          <w:b/>
          <w:bCs/>
        </w:rPr>
      </w:pPr>
      <w:r w:rsidRPr="008A132B">
        <w:rPr>
          <w:b/>
          <w:bCs/>
        </w:rPr>
        <w:t>TENDELE COAL MINING (PTY) LTD</w:t>
      </w:r>
      <w:r w:rsidR="001C260A" w:rsidRPr="008A132B">
        <w:rPr>
          <w:b/>
          <w:bCs/>
        </w:rPr>
        <w:tab/>
      </w:r>
      <w:r w:rsidR="001C260A" w:rsidRPr="008A132B">
        <w:rPr>
          <w:b/>
          <w:bCs/>
        </w:rPr>
        <w:tab/>
      </w:r>
      <w:r w:rsidR="001C260A" w:rsidRPr="008A132B">
        <w:rPr>
          <w:b/>
          <w:bCs/>
        </w:rPr>
        <w:tab/>
        <w:t xml:space="preserve">      </w:t>
      </w:r>
      <w:r w:rsidR="00E12C0C" w:rsidRPr="008A132B">
        <w:rPr>
          <w:b/>
          <w:bCs/>
        </w:rPr>
        <w:t xml:space="preserve">      </w:t>
      </w:r>
      <w:r w:rsidR="001C260A" w:rsidRPr="008A132B">
        <w:rPr>
          <w:b/>
          <w:bCs/>
        </w:rPr>
        <w:t xml:space="preserve">FIRST RESPONDENT </w:t>
      </w:r>
    </w:p>
    <w:p w14:paraId="42D73A20" w14:textId="77777777" w:rsidR="00973D14" w:rsidRPr="008A132B" w:rsidRDefault="00973D14" w:rsidP="00CC12CF">
      <w:pPr>
        <w:spacing w:line="360" w:lineRule="auto"/>
        <w:jc w:val="both"/>
        <w:rPr>
          <w:b/>
          <w:bCs/>
        </w:rPr>
      </w:pPr>
      <w:r w:rsidRPr="008A132B">
        <w:rPr>
          <w:b/>
          <w:bCs/>
        </w:rPr>
        <w:t xml:space="preserve">THE MINISTER OF MINERAL RESOURCES AND </w:t>
      </w:r>
    </w:p>
    <w:p w14:paraId="3DD3503A" w14:textId="563B811E" w:rsidR="001C260A" w:rsidRPr="008A132B" w:rsidRDefault="00973D14" w:rsidP="00CC12CF">
      <w:pPr>
        <w:spacing w:line="360" w:lineRule="auto"/>
        <w:jc w:val="both"/>
        <w:rPr>
          <w:b/>
        </w:rPr>
      </w:pPr>
      <w:r w:rsidRPr="008A132B">
        <w:rPr>
          <w:b/>
          <w:bCs/>
        </w:rPr>
        <w:t xml:space="preserve">ENERGY   </w:t>
      </w:r>
      <w:r w:rsidRPr="008A132B">
        <w:rPr>
          <w:b/>
          <w:bCs/>
        </w:rPr>
        <w:tab/>
      </w:r>
      <w:r w:rsidRPr="008A132B">
        <w:rPr>
          <w:b/>
          <w:bCs/>
        </w:rPr>
        <w:tab/>
      </w:r>
      <w:r w:rsidRPr="008A132B">
        <w:rPr>
          <w:b/>
          <w:bCs/>
        </w:rPr>
        <w:tab/>
      </w:r>
      <w:r w:rsidRPr="008A132B">
        <w:rPr>
          <w:b/>
          <w:bCs/>
        </w:rPr>
        <w:tab/>
      </w:r>
      <w:r w:rsidRPr="008A132B">
        <w:rPr>
          <w:b/>
          <w:bCs/>
        </w:rPr>
        <w:tab/>
      </w:r>
      <w:r w:rsidRPr="008A132B">
        <w:rPr>
          <w:b/>
          <w:bCs/>
        </w:rPr>
        <w:tab/>
      </w:r>
      <w:r w:rsidR="001C260A" w:rsidRPr="008A132B">
        <w:rPr>
          <w:b/>
          <w:bCs/>
        </w:rPr>
        <w:t xml:space="preserve">          </w:t>
      </w:r>
      <w:r w:rsidR="001C260A" w:rsidRPr="008A132B">
        <w:rPr>
          <w:b/>
          <w:bCs/>
        </w:rPr>
        <w:tab/>
        <w:t xml:space="preserve">       SECOND </w:t>
      </w:r>
      <w:r w:rsidR="001C260A" w:rsidRPr="008A132B">
        <w:rPr>
          <w:b/>
        </w:rPr>
        <w:t>RESPONDENT</w:t>
      </w:r>
    </w:p>
    <w:p w14:paraId="6EB98D45" w14:textId="4F1E199C" w:rsidR="001C260A" w:rsidRPr="008A132B" w:rsidRDefault="00973D14" w:rsidP="00CC12CF">
      <w:pPr>
        <w:spacing w:line="360" w:lineRule="auto"/>
        <w:jc w:val="both"/>
        <w:rPr>
          <w:b/>
          <w:bCs/>
        </w:rPr>
      </w:pPr>
      <w:r w:rsidRPr="008A132B">
        <w:rPr>
          <w:b/>
          <w:bCs/>
        </w:rPr>
        <w:t>THE MINISTER OF ENVIRONMENTAL AFFAIRS</w:t>
      </w:r>
      <w:r w:rsidR="001C260A" w:rsidRPr="008A132B">
        <w:rPr>
          <w:b/>
          <w:bCs/>
        </w:rPr>
        <w:tab/>
        <w:t xml:space="preserve">      </w:t>
      </w:r>
      <w:r w:rsidR="00E12C0C" w:rsidRPr="008A132B">
        <w:rPr>
          <w:b/>
          <w:bCs/>
        </w:rPr>
        <w:t xml:space="preserve">     </w:t>
      </w:r>
      <w:r w:rsidR="001C260A" w:rsidRPr="008A132B">
        <w:rPr>
          <w:b/>
          <w:bCs/>
        </w:rPr>
        <w:t>THIRD RESPONDENT</w:t>
      </w:r>
    </w:p>
    <w:p w14:paraId="73C5CEBB" w14:textId="77777777" w:rsidR="00973D14" w:rsidRPr="008A132B" w:rsidRDefault="00973D14" w:rsidP="00CC12CF">
      <w:pPr>
        <w:spacing w:line="360" w:lineRule="auto"/>
        <w:jc w:val="both"/>
        <w:rPr>
          <w:b/>
          <w:bCs/>
        </w:rPr>
      </w:pPr>
      <w:r w:rsidRPr="008A132B">
        <w:rPr>
          <w:b/>
          <w:bCs/>
        </w:rPr>
        <w:t xml:space="preserve">MEC FOR TRANSPORT, COMMUNITY SAFETY AND </w:t>
      </w:r>
    </w:p>
    <w:p w14:paraId="728B8428" w14:textId="48B200C4" w:rsidR="00973D14" w:rsidRPr="008A132B" w:rsidRDefault="00973D14" w:rsidP="00CC12CF">
      <w:pPr>
        <w:spacing w:line="360" w:lineRule="auto"/>
        <w:jc w:val="both"/>
        <w:rPr>
          <w:b/>
          <w:bCs/>
        </w:rPr>
      </w:pPr>
      <w:r w:rsidRPr="008A132B">
        <w:rPr>
          <w:b/>
          <w:bCs/>
        </w:rPr>
        <w:t>LIAISON, KWAZULU-NATAL</w:t>
      </w:r>
      <w:r w:rsidR="00510A3B" w:rsidRPr="008A132B">
        <w:rPr>
          <w:b/>
          <w:bCs/>
        </w:rPr>
        <w:tab/>
      </w:r>
      <w:r w:rsidR="00510A3B" w:rsidRPr="008A132B">
        <w:rPr>
          <w:b/>
          <w:bCs/>
        </w:rPr>
        <w:tab/>
      </w:r>
      <w:r w:rsidR="00510A3B" w:rsidRPr="008A132B">
        <w:rPr>
          <w:b/>
          <w:bCs/>
        </w:rPr>
        <w:tab/>
      </w:r>
      <w:r w:rsidR="00510A3B" w:rsidRPr="008A132B">
        <w:rPr>
          <w:b/>
          <w:bCs/>
        </w:rPr>
        <w:tab/>
      </w:r>
      <w:r w:rsidR="00E12C0C" w:rsidRPr="008A132B">
        <w:rPr>
          <w:b/>
          <w:bCs/>
        </w:rPr>
        <w:t xml:space="preserve">       </w:t>
      </w:r>
      <w:r w:rsidR="00510A3B" w:rsidRPr="008A132B">
        <w:rPr>
          <w:b/>
          <w:bCs/>
        </w:rPr>
        <w:t xml:space="preserve">FOURTH RESPONDENT </w:t>
      </w:r>
      <w:r w:rsidRPr="008A132B">
        <w:rPr>
          <w:b/>
          <w:bCs/>
        </w:rPr>
        <w:t>MPUKUNYONI TRADITIONAL COUNCIL/</w:t>
      </w:r>
    </w:p>
    <w:p w14:paraId="5F6D85DA" w14:textId="3A2911FE" w:rsidR="001C260A" w:rsidRPr="008A132B" w:rsidRDefault="00973D14" w:rsidP="00CC12CF">
      <w:pPr>
        <w:spacing w:line="360" w:lineRule="auto"/>
        <w:jc w:val="both"/>
        <w:rPr>
          <w:b/>
          <w:bCs/>
        </w:rPr>
      </w:pPr>
      <w:r w:rsidRPr="008A132B">
        <w:rPr>
          <w:b/>
          <w:bCs/>
        </w:rPr>
        <w:t>MPUNKUNYONI TRADITIONAL AUTHORITY</w:t>
      </w:r>
      <w:r w:rsidR="00510A3B" w:rsidRPr="008A132B">
        <w:rPr>
          <w:b/>
          <w:bCs/>
        </w:rPr>
        <w:tab/>
      </w:r>
      <w:r w:rsidR="00510A3B" w:rsidRPr="008A132B">
        <w:rPr>
          <w:b/>
          <w:bCs/>
        </w:rPr>
        <w:tab/>
        <w:t xml:space="preserve">       </w:t>
      </w:r>
      <w:r w:rsidR="00E12C0C" w:rsidRPr="008A132B">
        <w:rPr>
          <w:b/>
          <w:bCs/>
        </w:rPr>
        <w:t xml:space="preserve">    </w:t>
      </w:r>
      <w:r w:rsidR="00510A3B" w:rsidRPr="008A132B">
        <w:rPr>
          <w:b/>
          <w:bCs/>
        </w:rPr>
        <w:t xml:space="preserve"> FIFTH RESPONDENT </w:t>
      </w:r>
    </w:p>
    <w:p w14:paraId="1C93B102" w14:textId="7ED794B8" w:rsidR="00973D14" w:rsidRPr="008A132B" w:rsidRDefault="00973D14" w:rsidP="00CC12CF">
      <w:pPr>
        <w:spacing w:line="360" w:lineRule="auto"/>
        <w:jc w:val="both"/>
        <w:rPr>
          <w:b/>
          <w:bCs/>
        </w:rPr>
      </w:pPr>
      <w:r w:rsidRPr="008A132B">
        <w:rPr>
          <w:b/>
          <w:bCs/>
        </w:rPr>
        <w:t>MPUKUNYONI MINING FORUM</w:t>
      </w:r>
      <w:r w:rsidRPr="008A132B">
        <w:rPr>
          <w:b/>
          <w:bCs/>
        </w:rPr>
        <w:tab/>
      </w:r>
      <w:r w:rsidRPr="008A132B">
        <w:rPr>
          <w:b/>
          <w:bCs/>
        </w:rPr>
        <w:tab/>
      </w:r>
      <w:r w:rsidRPr="008A132B">
        <w:rPr>
          <w:b/>
          <w:bCs/>
        </w:rPr>
        <w:tab/>
      </w:r>
      <w:r w:rsidRPr="008A132B">
        <w:rPr>
          <w:b/>
          <w:bCs/>
        </w:rPr>
        <w:tab/>
      </w:r>
      <w:r w:rsidRPr="008A132B">
        <w:rPr>
          <w:b/>
          <w:bCs/>
        </w:rPr>
        <w:tab/>
      </w:r>
      <w:r w:rsidR="00E12C0C" w:rsidRPr="008A132B">
        <w:rPr>
          <w:b/>
          <w:bCs/>
        </w:rPr>
        <w:t xml:space="preserve"> </w:t>
      </w:r>
      <w:r w:rsidRPr="008A132B">
        <w:rPr>
          <w:b/>
          <w:bCs/>
        </w:rPr>
        <w:t>SIXTH RESPONDENT</w:t>
      </w:r>
    </w:p>
    <w:p w14:paraId="087FD994" w14:textId="77777777" w:rsidR="00973D14" w:rsidRPr="008A132B" w:rsidRDefault="00973D14" w:rsidP="00CC12CF">
      <w:pPr>
        <w:spacing w:line="360" w:lineRule="auto"/>
        <w:ind w:left="1418" w:hanging="1418"/>
        <w:jc w:val="both"/>
        <w:rPr>
          <w:b/>
          <w:bCs/>
        </w:rPr>
      </w:pPr>
      <w:r w:rsidRPr="008A132B">
        <w:rPr>
          <w:b/>
          <w:bCs/>
        </w:rPr>
        <w:t xml:space="preserve">ASSOCIATION OF MIINEWORKERS AND </w:t>
      </w:r>
    </w:p>
    <w:p w14:paraId="07B4EAB8" w14:textId="194EB1F1" w:rsidR="001C260A" w:rsidRPr="008A132B" w:rsidRDefault="00973D14" w:rsidP="00CC12CF">
      <w:pPr>
        <w:spacing w:line="360" w:lineRule="auto"/>
        <w:ind w:left="1418" w:right="-154" w:hanging="1418"/>
        <w:jc w:val="both"/>
        <w:rPr>
          <w:b/>
          <w:bCs/>
        </w:rPr>
      </w:pPr>
      <w:r w:rsidRPr="008A132B">
        <w:rPr>
          <w:b/>
          <w:bCs/>
        </w:rPr>
        <w:t>CONSTRUCTION UNION</w:t>
      </w:r>
      <w:r w:rsidRPr="008A132B">
        <w:rPr>
          <w:b/>
          <w:bCs/>
        </w:rPr>
        <w:tab/>
        <w:t xml:space="preserve"> </w:t>
      </w:r>
      <w:r w:rsidRPr="008A132B">
        <w:rPr>
          <w:b/>
          <w:bCs/>
        </w:rPr>
        <w:tab/>
      </w:r>
      <w:r w:rsidRPr="008A132B">
        <w:rPr>
          <w:b/>
          <w:bCs/>
        </w:rPr>
        <w:tab/>
      </w:r>
      <w:r w:rsidRPr="008A132B">
        <w:rPr>
          <w:b/>
          <w:bCs/>
        </w:rPr>
        <w:tab/>
      </w:r>
      <w:r w:rsidRPr="008A132B">
        <w:rPr>
          <w:b/>
          <w:bCs/>
        </w:rPr>
        <w:tab/>
      </w:r>
      <w:r w:rsidR="00E12C0C" w:rsidRPr="008A132B">
        <w:rPr>
          <w:b/>
          <w:bCs/>
        </w:rPr>
        <w:t xml:space="preserve">      </w:t>
      </w:r>
      <w:r w:rsidRPr="008A132B">
        <w:rPr>
          <w:b/>
          <w:bCs/>
        </w:rPr>
        <w:t>SEVENTH RESPONDENT</w:t>
      </w:r>
    </w:p>
    <w:p w14:paraId="57FB5C8A" w14:textId="6B74553B" w:rsidR="00973D14" w:rsidRPr="008A132B" w:rsidRDefault="00D44C3C" w:rsidP="00CC12CF">
      <w:pPr>
        <w:spacing w:line="360" w:lineRule="auto"/>
        <w:ind w:left="1418" w:hanging="1418"/>
        <w:jc w:val="both"/>
        <w:rPr>
          <w:b/>
          <w:bCs/>
        </w:rPr>
      </w:pPr>
      <w:r w:rsidRPr="008A132B">
        <w:rPr>
          <w:b/>
          <w:bCs/>
        </w:rPr>
        <w:t>NATIONAL UNION OF MINEWORKERS</w:t>
      </w:r>
      <w:r w:rsidRPr="008A132B">
        <w:rPr>
          <w:b/>
          <w:bCs/>
        </w:rPr>
        <w:tab/>
      </w:r>
      <w:r w:rsidRPr="008A132B">
        <w:rPr>
          <w:b/>
          <w:bCs/>
        </w:rPr>
        <w:tab/>
      </w:r>
      <w:r w:rsidR="00E12C0C" w:rsidRPr="008A132B">
        <w:rPr>
          <w:b/>
          <w:bCs/>
        </w:rPr>
        <w:t xml:space="preserve">         </w:t>
      </w:r>
      <w:r w:rsidRPr="008A132B">
        <w:rPr>
          <w:b/>
          <w:bCs/>
        </w:rPr>
        <w:t>EIGHTH RESPONDENT</w:t>
      </w:r>
    </w:p>
    <w:p w14:paraId="13FD1EB4" w14:textId="77777777" w:rsidR="001C260A" w:rsidRPr="008A132B" w:rsidRDefault="001C260A" w:rsidP="00CC12CF">
      <w:pPr>
        <w:spacing w:line="360" w:lineRule="auto"/>
        <w:rPr>
          <w:b/>
          <w:bCs/>
        </w:rPr>
      </w:pPr>
    </w:p>
    <w:p w14:paraId="2749A9A7" w14:textId="43B0F0B6" w:rsidR="00510A3B" w:rsidRPr="008A132B" w:rsidRDefault="00D44C3C" w:rsidP="00CC12CF">
      <w:pPr>
        <w:spacing w:line="360" w:lineRule="auto"/>
        <w:rPr>
          <w:b/>
          <w:bCs/>
        </w:rPr>
      </w:pPr>
      <w:r w:rsidRPr="008A132B">
        <w:rPr>
          <w:b/>
          <w:bCs/>
        </w:rPr>
        <w:t>___________________________________________________________________</w:t>
      </w:r>
    </w:p>
    <w:p w14:paraId="21DBB94D" w14:textId="65802116" w:rsidR="003E7496" w:rsidRPr="008A132B" w:rsidRDefault="003E7496" w:rsidP="00CC12CF">
      <w:pPr>
        <w:spacing w:line="360" w:lineRule="auto"/>
        <w:ind w:left="1418" w:hanging="1418"/>
        <w:rPr>
          <w:b/>
          <w:bCs/>
        </w:rPr>
      </w:pPr>
      <w:r w:rsidRPr="008A132B">
        <w:rPr>
          <w:b/>
          <w:bCs/>
        </w:rPr>
        <w:t>Coram:</w:t>
      </w:r>
      <w:r w:rsidRPr="008A132B">
        <w:rPr>
          <w:b/>
          <w:bCs/>
        </w:rPr>
        <w:tab/>
      </w:r>
      <w:r w:rsidR="0091589E" w:rsidRPr="008A132B">
        <w:rPr>
          <w:b/>
          <w:bCs/>
        </w:rPr>
        <w:t>K</w:t>
      </w:r>
      <w:r w:rsidR="009C1F79" w:rsidRPr="008A132B">
        <w:rPr>
          <w:b/>
          <w:bCs/>
        </w:rPr>
        <w:t>oen</w:t>
      </w:r>
      <w:r w:rsidR="0091589E" w:rsidRPr="008A132B">
        <w:rPr>
          <w:b/>
          <w:bCs/>
        </w:rPr>
        <w:t xml:space="preserve"> J</w:t>
      </w:r>
    </w:p>
    <w:p w14:paraId="11407E29" w14:textId="7EE40BA0" w:rsidR="002363F2" w:rsidRPr="008A132B" w:rsidRDefault="00510A3B" w:rsidP="00CC12CF">
      <w:pPr>
        <w:spacing w:line="360" w:lineRule="auto"/>
        <w:rPr>
          <w:b/>
        </w:rPr>
      </w:pPr>
      <w:r w:rsidRPr="008A132B">
        <w:rPr>
          <w:b/>
        </w:rPr>
        <w:t>Heard:</w:t>
      </w:r>
      <w:r w:rsidR="00A902FD" w:rsidRPr="008A132B">
        <w:rPr>
          <w:b/>
        </w:rPr>
        <w:tab/>
      </w:r>
      <w:r w:rsidR="00D44C3C" w:rsidRPr="008A132B">
        <w:rPr>
          <w:b/>
        </w:rPr>
        <w:t>9 June 2023</w:t>
      </w:r>
    </w:p>
    <w:p w14:paraId="7366D95D" w14:textId="728E49EF" w:rsidR="002363F2" w:rsidRPr="008A132B" w:rsidRDefault="002363F2" w:rsidP="00CC12CF">
      <w:pPr>
        <w:spacing w:line="360" w:lineRule="auto"/>
        <w:rPr>
          <w:b/>
          <w:bCs/>
        </w:rPr>
      </w:pPr>
      <w:r w:rsidRPr="008A132B">
        <w:rPr>
          <w:b/>
          <w:bCs/>
        </w:rPr>
        <w:t>Delivered</w:t>
      </w:r>
      <w:r w:rsidRPr="008A132B">
        <w:rPr>
          <w:b/>
        </w:rPr>
        <w:t>:</w:t>
      </w:r>
      <w:r w:rsidR="00534C61">
        <w:rPr>
          <w:b/>
        </w:rPr>
        <w:tab/>
        <w:t>13 July 2023</w:t>
      </w:r>
    </w:p>
    <w:p w14:paraId="29234C7F" w14:textId="77777777" w:rsidR="001D6016" w:rsidRPr="008A132B" w:rsidRDefault="001D6016" w:rsidP="00CC12CF">
      <w:pPr>
        <w:spacing w:line="360" w:lineRule="auto"/>
        <w:rPr>
          <w:b/>
          <w:bCs/>
          <w:sz w:val="22"/>
        </w:rPr>
      </w:pPr>
    </w:p>
    <w:p w14:paraId="4A3A700A" w14:textId="77777777" w:rsidR="001D6016" w:rsidRPr="008A132B" w:rsidRDefault="001D6016" w:rsidP="00CC12CF">
      <w:pPr>
        <w:spacing w:line="360" w:lineRule="auto"/>
        <w:rPr>
          <w:b/>
          <w:sz w:val="22"/>
        </w:rPr>
      </w:pPr>
      <w:r w:rsidRPr="008A132B">
        <w:rPr>
          <w:b/>
          <w:noProof/>
          <w:sz w:val="20"/>
          <w:lang w:val="en-US"/>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8A132B">
        <w:rPr>
          <w:b/>
          <w:noProof/>
          <w:sz w:val="20"/>
          <w:lang w:val="en-US"/>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8A132B" w:rsidRDefault="001D6016" w:rsidP="00CC12CF">
      <w:pPr>
        <w:pStyle w:val="Heading3"/>
        <w:jc w:val="center"/>
        <w:rPr>
          <w:b/>
          <w:i w:val="0"/>
          <w:sz w:val="24"/>
        </w:rPr>
      </w:pPr>
      <w:r w:rsidRPr="008A132B">
        <w:rPr>
          <w:b/>
          <w:i w:val="0"/>
          <w:sz w:val="24"/>
        </w:rPr>
        <w:t>ORDER</w:t>
      </w:r>
    </w:p>
    <w:p w14:paraId="0D201881" w14:textId="77777777" w:rsidR="001D6016" w:rsidRPr="008A132B" w:rsidRDefault="001D6016" w:rsidP="00CC12CF">
      <w:pPr>
        <w:spacing w:line="360" w:lineRule="auto"/>
        <w:rPr>
          <w:b/>
          <w:bCs/>
          <w:sz w:val="22"/>
        </w:rPr>
      </w:pPr>
    </w:p>
    <w:p w14:paraId="06986997" w14:textId="77777777" w:rsidR="00FE0812" w:rsidRPr="008A132B" w:rsidRDefault="001D6016" w:rsidP="00CC12CF">
      <w:pPr>
        <w:spacing w:line="360" w:lineRule="auto"/>
        <w:rPr>
          <w:b/>
          <w:sz w:val="22"/>
        </w:rPr>
      </w:pPr>
      <w:r w:rsidRPr="008A132B">
        <w:rPr>
          <w:b/>
          <w:noProof/>
          <w:sz w:val="20"/>
          <w:lang w:val="en-US"/>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8A132B">
        <w:rPr>
          <w:b/>
          <w:noProof/>
          <w:sz w:val="20"/>
          <w:lang w:val="en-US"/>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4163EA57" w14:textId="7166836C" w:rsidR="00FE0812" w:rsidRPr="008A132B" w:rsidRDefault="00FE0812" w:rsidP="00CC12CF">
      <w:pPr>
        <w:spacing w:line="360" w:lineRule="auto"/>
        <w:jc w:val="both"/>
        <w:rPr>
          <w:szCs w:val="24"/>
        </w:rPr>
      </w:pPr>
      <w:r w:rsidRPr="008A132B">
        <w:rPr>
          <w:szCs w:val="24"/>
        </w:rPr>
        <w:t>The following order is granted:</w:t>
      </w:r>
    </w:p>
    <w:p w14:paraId="03D10D66" w14:textId="584DC557" w:rsidR="002A084B" w:rsidRPr="008B3569" w:rsidRDefault="00FE0812" w:rsidP="008B3569">
      <w:pPr>
        <w:spacing w:line="360" w:lineRule="auto"/>
        <w:jc w:val="both"/>
        <w:rPr>
          <w:b/>
          <w:sz w:val="22"/>
        </w:rPr>
      </w:pPr>
      <w:r w:rsidRPr="008B3569">
        <w:rPr>
          <w:szCs w:val="24"/>
        </w:rPr>
        <w:t>The application for the relief in part A of the Notice of Motion is dismissed.</w:t>
      </w:r>
    </w:p>
    <w:p w14:paraId="09A590DB" w14:textId="5841B2FF" w:rsidR="001D6016" w:rsidRPr="008B3569" w:rsidRDefault="001D6016" w:rsidP="008B3569">
      <w:pPr>
        <w:spacing w:line="360" w:lineRule="auto"/>
        <w:jc w:val="both"/>
        <w:rPr>
          <w:b/>
          <w:bCs/>
          <w:szCs w:val="24"/>
        </w:rPr>
      </w:pPr>
    </w:p>
    <w:p w14:paraId="2FB2D8EF" w14:textId="77777777" w:rsidR="001D6016" w:rsidRPr="008A132B" w:rsidRDefault="001D6016" w:rsidP="00CC12CF">
      <w:pPr>
        <w:spacing w:line="360" w:lineRule="auto"/>
        <w:rPr>
          <w:b/>
          <w:sz w:val="22"/>
        </w:rPr>
      </w:pPr>
      <w:r w:rsidRPr="008A132B">
        <w:rPr>
          <w:b/>
          <w:noProof/>
          <w:sz w:val="20"/>
          <w:lang w:val="en-US"/>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8A132B">
        <w:rPr>
          <w:b/>
          <w:noProof/>
          <w:sz w:val="20"/>
          <w:lang w:val="en-US"/>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8A132B" w:rsidRDefault="001D6016" w:rsidP="00CC12CF">
      <w:pPr>
        <w:pStyle w:val="Heading1"/>
        <w:jc w:val="center"/>
        <w:rPr>
          <w:sz w:val="24"/>
        </w:rPr>
      </w:pPr>
      <w:r w:rsidRPr="008A132B">
        <w:rPr>
          <w:sz w:val="24"/>
        </w:rPr>
        <w:t>JUDGMENT</w:t>
      </w:r>
    </w:p>
    <w:p w14:paraId="5589F841" w14:textId="77777777" w:rsidR="001D6016" w:rsidRPr="008A132B" w:rsidRDefault="001D6016" w:rsidP="00CC12CF">
      <w:pPr>
        <w:spacing w:line="360" w:lineRule="auto"/>
        <w:rPr>
          <w:b/>
          <w:bCs/>
          <w:sz w:val="22"/>
        </w:rPr>
      </w:pPr>
    </w:p>
    <w:p w14:paraId="2905B765" w14:textId="77777777" w:rsidR="001D6016" w:rsidRPr="008A132B" w:rsidRDefault="001D6016" w:rsidP="00CC12CF">
      <w:pPr>
        <w:spacing w:line="360" w:lineRule="auto"/>
        <w:rPr>
          <w:b/>
          <w:sz w:val="22"/>
        </w:rPr>
      </w:pPr>
      <w:r w:rsidRPr="008A132B">
        <w:rPr>
          <w:b/>
          <w:noProof/>
          <w:sz w:val="20"/>
          <w:lang w:val="en-US"/>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8A132B">
        <w:rPr>
          <w:b/>
          <w:noProof/>
          <w:sz w:val="20"/>
          <w:lang w:val="en-US"/>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8A132B" w:rsidRDefault="001D6016" w:rsidP="00CC12CF">
      <w:pPr>
        <w:spacing w:line="360" w:lineRule="auto"/>
        <w:jc w:val="both"/>
        <w:rPr>
          <w:b/>
          <w:bCs/>
        </w:rPr>
      </w:pPr>
      <w:r w:rsidRPr="008A132B">
        <w:rPr>
          <w:b/>
        </w:rPr>
        <w:t>Koen J</w:t>
      </w:r>
    </w:p>
    <w:p w14:paraId="3C28BF29" w14:textId="77777777" w:rsidR="00496957" w:rsidRPr="008A132B" w:rsidRDefault="00496957" w:rsidP="00CC12CF">
      <w:pPr>
        <w:spacing w:line="360" w:lineRule="auto"/>
        <w:jc w:val="both"/>
        <w:rPr>
          <w:b/>
        </w:rPr>
      </w:pPr>
    </w:p>
    <w:p w14:paraId="169BA5C3" w14:textId="079906FD" w:rsidR="00496957" w:rsidRPr="008A132B" w:rsidRDefault="00496957" w:rsidP="00CC12CF">
      <w:pPr>
        <w:spacing w:line="360" w:lineRule="auto"/>
        <w:jc w:val="both"/>
        <w:rPr>
          <w:b/>
        </w:rPr>
      </w:pPr>
      <w:r w:rsidRPr="008A132B">
        <w:rPr>
          <w:b/>
        </w:rPr>
        <w:t>Introduction</w:t>
      </w:r>
    </w:p>
    <w:p w14:paraId="1DAF5E5D" w14:textId="61F12F6A" w:rsidR="00F70473" w:rsidRPr="008A132B" w:rsidRDefault="006D79CC" w:rsidP="006D79CC">
      <w:pPr>
        <w:spacing w:line="360" w:lineRule="auto"/>
        <w:jc w:val="both"/>
      </w:pPr>
      <w:r w:rsidRPr="008A132B">
        <w:rPr>
          <w:szCs w:val="24"/>
        </w:rPr>
        <w:t>[1</w:t>
      </w:r>
      <w:bookmarkStart w:id="0" w:name="_GoBack"/>
      <w:bookmarkEnd w:id="0"/>
      <w:r w:rsidRPr="008A132B">
        <w:rPr>
          <w:szCs w:val="24"/>
        </w:rPr>
        <w:t>]</w:t>
      </w:r>
      <w:r w:rsidRPr="008A132B">
        <w:rPr>
          <w:szCs w:val="24"/>
        </w:rPr>
        <w:tab/>
      </w:r>
      <w:r w:rsidR="00EB6CAF" w:rsidRPr="008A132B">
        <w:t>Th</w:t>
      </w:r>
      <w:r w:rsidR="00D44C3C" w:rsidRPr="008A132B">
        <w:t>e applicants</w:t>
      </w:r>
      <w:r w:rsidR="00B048BB" w:rsidRPr="008A132B">
        <w:rPr>
          <w:rStyle w:val="FootnoteReference"/>
        </w:rPr>
        <w:footnoteReference w:id="1"/>
      </w:r>
      <w:r w:rsidR="00D44C3C" w:rsidRPr="008A132B">
        <w:t xml:space="preserve"> seek an interim interdict</w:t>
      </w:r>
      <w:r w:rsidR="00972959" w:rsidRPr="008A132B">
        <w:t>,</w:t>
      </w:r>
      <w:r w:rsidR="00D44C3C" w:rsidRPr="008A132B">
        <w:t xml:space="preserve"> </w:t>
      </w:r>
      <w:r w:rsidR="00F70473" w:rsidRPr="008A132B">
        <w:t>in terms of Part A of the notice of motion</w:t>
      </w:r>
      <w:r w:rsidR="00665DB6" w:rsidRPr="008A132B">
        <w:t>,</w:t>
      </w:r>
      <w:r w:rsidR="00F70473" w:rsidRPr="008A132B">
        <w:t xml:space="preserve"> </w:t>
      </w:r>
      <w:r w:rsidR="00111722" w:rsidRPr="008A132B">
        <w:t>the relevant part reading as follows</w:t>
      </w:r>
      <w:r w:rsidR="00F70473" w:rsidRPr="008A132B">
        <w:t xml:space="preserve">: </w:t>
      </w:r>
    </w:p>
    <w:p w14:paraId="603347B5" w14:textId="630ED34C" w:rsidR="00F70473" w:rsidRPr="008A132B" w:rsidRDefault="00111722" w:rsidP="00CC12CF">
      <w:pPr>
        <w:spacing w:line="360" w:lineRule="auto"/>
        <w:jc w:val="both"/>
        <w:rPr>
          <w:sz w:val="22"/>
          <w:szCs w:val="22"/>
        </w:rPr>
      </w:pPr>
      <w:r w:rsidRPr="008A132B">
        <w:rPr>
          <w:sz w:val="22"/>
          <w:szCs w:val="22"/>
        </w:rPr>
        <w:t>‘</w:t>
      </w:r>
      <w:r w:rsidR="00F70473" w:rsidRPr="008A132B">
        <w:rPr>
          <w:sz w:val="22"/>
          <w:szCs w:val="22"/>
        </w:rPr>
        <w:t>2.</w:t>
      </w:r>
      <w:r w:rsidR="00F70473" w:rsidRPr="008A132B">
        <w:rPr>
          <w:sz w:val="22"/>
          <w:szCs w:val="22"/>
        </w:rPr>
        <w:tab/>
        <w:t xml:space="preserve">The First Respondent is interdicted and restrained from undertaking </w:t>
      </w:r>
      <w:r w:rsidRPr="008A132B">
        <w:rPr>
          <w:sz w:val="22"/>
          <w:szCs w:val="22"/>
        </w:rPr>
        <w:t xml:space="preserve">[or] </w:t>
      </w:r>
      <w:r w:rsidR="00F70473" w:rsidRPr="008A132B">
        <w:rPr>
          <w:sz w:val="22"/>
          <w:szCs w:val="22"/>
        </w:rPr>
        <w:t>commencing with any mining and mining-related activities listed in its notices dated 14 February 2023 and 15 February 2023, as supplemented by its letter of 24 February 2023, which related to the First Respondent’s mining right described as</w:t>
      </w:r>
      <w:r w:rsidR="00F70473" w:rsidRPr="008A132B">
        <w:rPr>
          <w:b/>
          <w:sz w:val="22"/>
          <w:szCs w:val="22"/>
        </w:rPr>
        <w:t xml:space="preserve"> “</w:t>
      </w:r>
      <w:r w:rsidR="00F70473" w:rsidRPr="008A132B">
        <w:rPr>
          <w:b/>
          <w:i/>
          <w:sz w:val="22"/>
          <w:szCs w:val="22"/>
        </w:rPr>
        <w:t xml:space="preserve">Part of Remainder or Reserve 3, No </w:t>
      </w:r>
      <w:r w:rsidR="000F6E51" w:rsidRPr="008A132B">
        <w:rPr>
          <w:b/>
          <w:i/>
          <w:sz w:val="22"/>
          <w:szCs w:val="22"/>
        </w:rPr>
        <w:t>158822</w:t>
      </w:r>
      <w:r w:rsidR="00F70473" w:rsidRPr="008A132B">
        <w:rPr>
          <w:b/>
          <w:i/>
          <w:sz w:val="22"/>
          <w:szCs w:val="22"/>
        </w:rPr>
        <w:t>, Hlabisa Magisterial District, measuring 21 233 0525 hectares,</w:t>
      </w:r>
      <w:r w:rsidRPr="008A132B">
        <w:rPr>
          <w:b/>
          <w:i/>
          <w:sz w:val="22"/>
          <w:szCs w:val="22"/>
        </w:rPr>
        <w:t xml:space="preserve"> 222km</w:t>
      </w:r>
      <w:r w:rsidRPr="008A132B">
        <w:rPr>
          <w:b/>
          <w:i/>
          <w:sz w:val="22"/>
          <w:szCs w:val="22"/>
          <w:vertAlign w:val="superscript"/>
        </w:rPr>
        <w:t>2</w:t>
      </w:r>
      <w:r w:rsidR="00F70473" w:rsidRPr="008A132B">
        <w:rPr>
          <w:b/>
          <w:i/>
          <w:sz w:val="22"/>
          <w:szCs w:val="22"/>
        </w:rPr>
        <w:t xml:space="preserve"> KZN30/5/1/2/2/10041MR</w:t>
      </w:r>
      <w:r w:rsidR="00F70473" w:rsidRPr="008A132B">
        <w:rPr>
          <w:b/>
          <w:sz w:val="22"/>
          <w:szCs w:val="22"/>
        </w:rPr>
        <w:t>”</w:t>
      </w:r>
      <w:r w:rsidR="00F70473" w:rsidRPr="008A132B">
        <w:rPr>
          <w:sz w:val="22"/>
          <w:szCs w:val="22"/>
        </w:rPr>
        <w:t xml:space="preserve"> and the related mining areas, pending the finalisation of Part B of this Notice of Motion.</w:t>
      </w:r>
    </w:p>
    <w:p w14:paraId="404D57E3" w14:textId="157C2024" w:rsidR="00F70473" w:rsidRPr="008A132B" w:rsidRDefault="00F70473" w:rsidP="00CC12CF">
      <w:pPr>
        <w:spacing w:line="360" w:lineRule="auto"/>
        <w:jc w:val="both"/>
        <w:rPr>
          <w:sz w:val="22"/>
          <w:szCs w:val="22"/>
        </w:rPr>
      </w:pPr>
      <w:r w:rsidRPr="008A132B">
        <w:rPr>
          <w:sz w:val="22"/>
          <w:szCs w:val="22"/>
        </w:rPr>
        <w:t xml:space="preserve">3. </w:t>
      </w:r>
      <w:r w:rsidRPr="008A132B">
        <w:rPr>
          <w:sz w:val="22"/>
          <w:szCs w:val="22"/>
        </w:rPr>
        <w:tab/>
        <w:t>Any Respondent opposing the application is ordered to pay the Applicants’ costs, including the costs of three Coun</w:t>
      </w:r>
      <w:r w:rsidR="000F271B" w:rsidRPr="008A132B">
        <w:rPr>
          <w:sz w:val="22"/>
          <w:szCs w:val="22"/>
        </w:rPr>
        <w:t>sel</w:t>
      </w:r>
      <w:r w:rsidRPr="008A132B">
        <w:rPr>
          <w:sz w:val="22"/>
          <w:szCs w:val="22"/>
        </w:rPr>
        <w:t>.</w:t>
      </w:r>
      <w:r w:rsidR="00111722" w:rsidRPr="008A132B">
        <w:rPr>
          <w:sz w:val="22"/>
          <w:szCs w:val="22"/>
        </w:rPr>
        <w:t>’</w:t>
      </w:r>
    </w:p>
    <w:p w14:paraId="7CBAF1AB" w14:textId="77777777" w:rsidR="00111722" w:rsidRPr="008A132B" w:rsidRDefault="00111722" w:rsidP="00CC12CF">
      <w:pPr>
        <w:spacing w:line="360" w:lineRule="auto"/>
        <w:jc w:val="both"/>
        <w:rPr>
          <w:szCs w:val="22"/>
        </w:rPr>
      </w:pPr>
    </w:p>
    <w:p w14:paraId="348539F2" w14:textId="63557EDF" w:rsidR="00496957" w:rsidRPr="008A132B" w:rsidRDefault="006D79CC" w:rsidP="006D79CC">
      <w:pPr>
        <w:spacing w:line="360" w:lineRule="auto"/>
        <w:jc w:val="both"/>
      </w:pPr>
      <w:r w:rsidRPr="008A132B">
        <w:rPr>
          <w:szCs w:val="24"/>
        </w:rPr>
        <w:t>[2]</w:t>
      </w:r>
      <w:r w:rsidRPr="008A132B">
        <w:rPr>
          <w:szCs w:val="24"/>
        </w:rPr>
        <w:tab/>
      </w:r>
      <w:r w:rsidR="00496957" w:rsidRPr="008A132B">
        <w:t>Part B of the notice of motion provides:</w:t>
      </w:r>
    </w:p>
    <w:p w14:paraId="46188964" w14:textId="286F74D8" w:rsidR="00496957" w:rsidRPr="008A132B" w:rsidRDefault="00496957" w:rsidP="00CC12CF">
      <w:pPr>
        <w:spacing w:line="360" w:lineRule="auto"/>
        <w:jc w:val="both"/>
        <w:rPr>
          <w:sz w:val="22"/>
          <w:szCs w:val="22"/>
        </w:rPr>
      </w:pPr>
      <w:r w:rsidRPr="008A132B">
        <w:rPr>
          <w:sz w:val="22"/>
          <w:szCs w:val="22"/>
        </w:rPr>
        <w:lastRenderedPageBreak/>
        <w:t xml:space="preserve">‘5. The First Respondent </w:t>
      </w:r>
      <w:r w:rsidR="00F70473" w:rsidRPr="008A132B">
        <w:rPr>
          <w:sz w:val="22"/>
          <w:szCs w:val="22"/>
        </w:rPr>
        <w:t>is interdicted and restrained from undertaking any mining and mining related activities, including the activities listed in its notices dated 14 February 2023 and 15 February 2023, as supplemented by its letter of 24 February 2023, pertaining to the First Respondent</w:t>
      </w:r>
      <w:r w:rsidR="000F68CB" w:rsidRPr="008A132B">
        <w:rPr>
          <w:sz w:val="22"/>
          <w:szCs w:val="22"/>
        </w:rPr>
        <w:t>’</w:t>
      </w:r>
      <w:r w:rsidR="00F70473" w:rsidRPr="008A132B">
        <w:rPr>
          <w:sz w:val="22"/>
          <w:szCs w:val="22"/>
        </w:rPr>
        <w:t xml:space="preserve">s mining right described as </w:t>
      </w:r>
      <w:r w:rsidR="009B4DAA" w:rsidRPr="008A132B">
        <w:rPr>
          <w:b/>
          <w:sz w:val="22"/>
          <w:szCs w:val="22"/>
        </w:rPr>
        <w:t>“</w:t>
      </w:r>
      <w:r w:rsidR="009B4DAA" w:rsidRPr="008A132B">
        <w:rPr>
          <w:b/>
          <w:i/>
          <w:sz w:val="22"/>
          <w:szCs w:val="22"/>
        </w:rPr>
        <w:t>Part of Remainder or Reserve 3, No 158822, Hlabisa Magisterial District, measuring 21 233 0525 hectares,</w:t>
      </w:r>
      <w:r w:rsidR="00DA0CAC" w:rsidRPr="008A132B">
        <w:rPr>
          <w:b/>
          <w:i/>
        </w:rPr>
        <w:t xml:space="preserve"> </w:t>
      </w:r>
      <w:r w:rsidR="00DA0CAC" w:rsidRPr="008A132B">
        <w:rPr>
          <w:b/>
          <w:i/>
          <w:sz w:val="22"/>
          <w:szCs w:val="22"/>
        </w:rPr>
        <w:t>222km</w:t>
      </w:r>
      <w:r w:rsidR="00DA0CAC" w:rsidRPr="008A132B">
        <w:rPr>
          <w:b/>
          <w:i/>
          <w:sz w:val="22"/>
          <w:szCs w:val="22"/>
          <w:vertAlign w:val="superscript"/>
        </w:rPr>
        <w:t>2</w:t>
      </w:r>
      <w:r w:rsidR="009B4DAA" w:rsidRPr="008A132B">
        <w:rPr>
          <w:b/>
          <w:i/>
          <w:sz w:val="22"/>
          <w:szCs w:val="22"/>
        </w:rPr>
        <w:t xml:space="preserve"> KZN30/5/1/2/2/10041MR</w:t>
      </w:r>
      <w:r w:rsidR="009B4DAA" w:rsidRPr="008A132B">
        <w:rPr>
          <w:b/>
          <w:sz w:val="22"/>
          <w:szCs w:val="22"/>
        </w:rPr>
        <w:t>”</w:t>
      </w:r>
      <w:r w:rsidR="009B4DAA" w:rsidRPr="008A132B">
        <w:rPr>
          <w:sz w:val="22"/>
          <w:szCs w:val="22"/>
        </w:rPr>
        <w:t xml:space="preserve"> and the mining areas related thereto unless and until they have:</w:t>
      </w:r>
    </w:p>
    <w:p w14:paraId="7E9BC8BD" w14:textId="08D4B5F7" w:rsidR="00D80D3E" w:rsidRPr="006D79CC" w:rsidRDefault="006D79CC" w:rsidP="006D79CC">
      <w:pPr>
        <w:spacing w:line="360" w:lineRule="auto"/>
        <w:ind w:left="709" w:hanging="709"/>
        <w:jc w:val="both"/>
        <w:rPr>
          <w:sz w:val="22"/>
          <w:szCs w:val="22"/>
        </w:rPr>
      </w:pPr>
      <w:r w:rsidRPr="008A132B">
        <w:rPr>
          <w:sz w:val="22"/>
          <w:szCs w:val="22"/>
        </w:rPr>
        <w:t>5.1</w:t>
      </w:r>
      <w:r w:rsidRPr="008A132B">
        <w:rPr>
          <w:sz w:val="22"/>
          <w:szCs w:val="22"/>
        </w:rPr>
        <w:tab/>
      </w:r>
      <w:r w:rsidR="009B4DAA" w:rsidRPr="006D79CC">
        <w:rPr>
          <w:sz w:val="22"/>
          <w:szCs w:val="22"/>
        </w:rPr>
        <w:t xml:space="preserve">complied </w:t>
      </w:r>
      <w:r w:rsidR="00D80D3E" w:rsidRPr="006D79CC">
        <w:rPr>
          <w:sz w:val="22"/>
          <w:szCs w:val="22"/>
        </w:rPr>
        <w:t xml:space="preserve">with the order of the North Gauteng High Court </w:t>
      </w:r>
      <w:r w:rsidR="00ED0B94" w:rsidRPr="006D79CC">
        <w:rPr>
          <w:sz w:val="22"/>
          <w:szCs w:val="22"/>
        </w:rPr>
        <w:t>under</w:t>
      </w:r>
      <w:r w:rsidR="00D80D3E" w:rsidRPr="006D79CC">
        <w:rPr>
          <w:sz w:val="22"/>
          <w:szCs w:val="22"/>
        </w:rPr>
        <w:t xml:space="preserve"> case number 82865/2018 by:</w:t>
      </w:r>
    </w:p>
    <w:p w14:paraId="40A45E18" w14:textId="4A90521C" w:rsidR="00D80D3E" w:rsidRPr="006D79CC" w:rsidRDefault="006D79CC" w:rsidP="006D79CC">
      <w:pPr>
        <w:spacing w:line="360" w:lineRule="auto"/>
        <w:ind w:left="1276" w:hanging="567"/>
        <w:jc w:val="both"/>
        <w:rPr>
          <w:sz w:val="22"/>
          <w:szCs w:val="22"/>
        </w:rPr>
      </w:pPr>
      <w:r w:rsidRPr="008A132B">
        <w:rPr>
          <w:sz w:val="22"/>
          <w:szCs w:val="22"/>
        </w:rPr>
        <w:t>5.1.1</w:t>
      </w:r>
      <w:r w:rsidRPr="008A132B">
        <w:rPr>
          <w:sz w:val="22"/>
          <w:szCs w:val="22"/>
        </w:rPr>
        <w:tab/>
      </w:r>
      <w:r w:rsidR="00D80D3E" w:rsidRPr="006D79CC">
        <w:rPr>
          <w:sz w:val="22"/>
          <w:szCs w:val="22"/>
        </w:rPr>
        <w:t>Comp</w:t>
      </w:r>
      <w:r w:rsidR="00ED0B94" w:rsidRPr="006D79CC">
        <w:rPr>
          <w:sz w:val="22"/>
          <w:szCs w:val="22"/>
        </w:rPr>
        <w:t>l</w:t>
      </w:r>
      <w:r w:rsidR="00D80D3E" w:rsidRPr="006D79CC">
        <w:rPr>
          <w:sz w:val="22"/>
          <w:szCs w:val="22"/>
        </w:rPr>
        <w:t>eting an Environmental Impact Assessment process as contemplated in Se</w:t>
      </w:r>
      <w:r w:rsidR="000F68CB" w:rsidRPr="006D79CC">
        <w:rPr>
          <w:sz w:val="22"/>
          <w:szCs w:val="22"/>
        </w:rPr>
        <w:t>ction 39</w:t>
      </w:r>
      <w:r w:rsidR="00D80D3E" w:rsidRPr="006D79CC">
        <w:rPr>
          <w:sz w:val="22"/>
          <w:szCs w:val="22"/>
        </w:rPr>
        <w:t>(1) of the Mineral and Petroleum Resources Development Act 28 of 2002 (“MPRDA”);</w:t>
      </w:r>
    </w:p>
    <w:p w14:paraId="6C3A22D7" w14:textId="6A925FB5" w:rsidR="00D80D3E" w:rsidRPr="006D79CC" w:rsidRDefault="006D79CC" w:rsidP="006D79CC">
      <w:pPr>
        <w:spacing w:line="360" w:lineRule="auto"/>
        <w:ind w:left="1276" w:hanging="567"/>
        <w:jc w:val="both"/>
        <w:rPr>
          <w:sz w:val="22"/>
          <w:szCs w:val="22"/>
        </w:rPr>
      </w:pPr>
      <w:r w:rsidRPr="008A132B">
        <w:rPr>
          <w:sz w:val="22"/>
          <w:szCs w:val="22"/>
        </w:rPr>
        <w:t>5.1.2</w:t>
      </w:r>
      <w:r w:rsidRPr="008A132B">
        <w:rPr>
          <w:sz w:val="22"/>
          <w:szCs w:val="22"/>
        </w:rPr>
        <w:tab/>
      </w:r>
      <w:r w:rsidR="00D80D3E" w:rsidRPr="006D79CC">
        <w:rPr>
          <w:sz w:val="22"/>
          <w:szCs w:val="22"/>
        </w:rPr>
        <w:t>Compiling and delivering a scoping report, environmental impact assessment report an</w:t>
      </w:r>
      <w:r w:rsidR="00972959" w:rsidRPr="006D79CC">
        <w:rPr>
          <w:sz w:val="22"/>
          <w:szCs w:val="22"/>
        </w:rPr>
        <w:t>d</w:t>
      </w:r>
      <w:r w:rsidR="00D80D3E" w:rsidRPr="006D79CC">
        <w:rPr>
          <w:sz w:val="22"/>
          <w:szCs w:val="22"/>
        </w:rPr>
        <w:t xml:space="preserve"> environmental management program that adheres to Regulations 49, 50 and 51 of the MPRDA Regulations, Reg 527 of GG 26275 of 2004;</w:t>
      </w:r>
    </w:p>
    <w:p w14:paraId="230A703A" w14:textId="0597B970" w:rsidR="00D80D3E" w:rsidRPr="006D79CC" w:rsidRDefault="006D79CC" w:rsidP="006D79CC">
      <w:pPr>
        <w:spacing w:line="360" w:lineRule="auto"/>
        <w:ind w:left="1276" w:hanging="567"/>
        <w:jc w:val="both"/>
        <w:rPr>
          <w:sz w:val="22"/>
          <w:szCs w:val="22"/>
        </w:rPr>
      </w:pPr>
      <w:r w:rsidRPr="008A132B">
        <w:rPr>
          <w:sz w:val="22"/>
          <w:szCs w:val="22"/>
        </w:rPr>
        <w:t>5.1.3</w:t>
      </w:r>
      <w:r w:rsidRPr="008A132B">
        <w:rPr>
          <w:sz w:val="22"/>
          <w:szCs w:val="22"/>
        </w:rPr>
        <w:tab/>
      </w:r>
      <w:r w:rsidR="00D80D3E" w:rsidRPr="006D79CC">
        <w:rPr>
          <w:sz w:val="22"/>
          <w:szCs w:val="22"/>
        </w:rPr>
        <w:t xml:space="preserve">Obtaining consent, in terms of section 2 of the Interim Protection of Informal Land Rights Act 31 of 1996 </w:t>
      </w:r>
      <w:r w:rsidR="00D80D3E" w:rsidRPr="006D79CC">
        <w:rPr>
          <w:i/>
          <w:iCs/>
          <w:sz w:val="22"/>
          <w:szCs w:val="22"/>
        </w:rPr>
        <w:t>(“IPILRA”</w:t>
      </w:r>
      <w:r w:rsidR="00D80D3E" w:rsidRPr="006D79CC">
        <w:rPr>
          <w:sz w:val="22"/>
          <w:szCs w:val="22"/>
        </w:rPr>
        <w:t>), specifically from the persons who may be deprived of their informal rights to land by the execution of the First Respondent’s mining and related activities.</w:t>
      </w:r>
    </w:p>
    <w:p w14:paraId="1CD69D05" w14:textId="1650F362" w:rsidR="00D80D3E" w:rsidRPr="006D79CC" w:rsidRDefault="006D79CC" w:rsidP="006D79CC">
      <w:pPr>
        <w:spacing w:line="360" w:lineRule="auto"/>
        <w:ind w:left="709" w:hanging="709"/>
        <w:jc w:val="both"/>
        <w:rPr>
          <w:sz w:val="22"/>
          <w:szCs w:val="22"/>
        </w:rPr>
      </w:pPr>
      <w:r w:rsidRPr="008A132B">
        <w:rPr>
          <w:sz w:val="22"/>
          <w:szCs w:val="22"/>
        </w:rPr>
        <w:t>5.2</w:t>
      </w:r>
      <w:r w:rsidRPr="008A132B">
        <w:rPr>
          <w:sz w:val="22"/>
          <w:szCs w:val="22"/>
        </w:rPr>
        <w:tab/>
      </w:r>
      <w:r w:rsidR="00D80D3E" w:rsidRPr="006D79CC">
        <w:rPr>
          <w:sz w:val="22"/>
          <w:szCs w:val="22"/>
        </w:rPr>
        <w:t>Complied with or amended its Environmental Management Programme (EMP</w:t>
      </w:r>
      <w:r w:rsidR="000005BA" w:rsidRPr="006D79CC">
        <w:rPr>
          <w:sz w:val="22"/>
          <w:szCs w:val="22"/>
        </w:rPr>
        <w:t>r</w:t>
      </w:r>
      <w:r w:rsidR="00D80D3E" w:rsidRPr="006D79CC">
        <w:rPr>
          <w:sz w:val="22"/>
          <w:szCs w:val="22"/>
        </w:rPr>
        <w:t>) and as far as it relates to the activities as set out in the 14 and 15 February 2023 Notices, supplemented by Tendele’s letter of 24 February 2023.</w:t>
      </w:r>
    </w:p>
    <w:p w14:paraId="084FBD9E" w14:textId="6D69647A" w:rsidR="00D80D3E" w:rsidRPr="006D79CC" w:rsidRDefault="006D79CC" w:rsidP="006D79CC">
      <w:pPr>
        <w:spacing w:line="360" w:lineRule="auto"/>
        <w:ind w:left="709" w:hanging="709"/>
        <w:jc w:val="both"/>
        <w:rPr>
          <w:sz w:val="22"/>
          <w:szCs w:val="22"/>
        </w:rPr>
      </w:pPr>
      <w:r w:rsidRPr="008A132B">
        <w:rPr>
          <w:sz w:val="22"/>
          <w:szCs w:val="22"/>
        </w:rPr>
        <w:t>5.3</w:t>
      </w:r>
      <w:r w:rsidRPr="008A132B">
        <w:rPr>
          <w:sz w:val="22"/>
          <w:szCs w:val="22"/>
        </w:rPr>
        <w:tab/>
      </w:r>
      <w:r w:rsidR="00D80D3E" w:rsidRPr="006D79CC">
        <w:rPr>
          <w:sz w:val="22"/>
          <w:szCs w:val="22"/>
        </w:rPr>
        <w:t>Conducted public participation processes compliant with the Public Participation Guidelines in terms of NEMA and Chapter 6 of the EIA Regulations, 2014 and any other legislative requirements, with members of the First Applicant and all interested and affected persons who:</w:t>
      </w:r>
    </w:p>
    <w:p w14:paraId="7D1C2625" w14:textId="68CA98F5" w:rsidR="00D80D3E" w:rsidRPr="006D79CC" w:rsidRDefault="006D79CC" w:rsidP="006D79CC">
      <w:pPr>
        <w:spacing w:line="360" w:lineRule="auto"/>
        <w:ind w:left="1418" w:hanging="720"/>
        <w:jc w:val="both"/>
        <w:rPr>
          <w:sz w:val="22"/>
          <w:szCs w:val="22"/>
        </w:rPr>
      </w:pPr>
      <w:r w:rsidRPr="008A132B">
        <w:rPr>
          <w:sz w:val="22"/>
          <w:szCs w:val="22"/>
        </w:rPr>
        <w:t>5.3.1</w:t>
      </w:r>
      <w:r w:rsidRPr="008A132B">
        <w:rPr>
          <w:sz w:val="22"/>
          <w:szCs w:val="22"/>
        </w:rPr>
        <w:tab/>
      </w:r>
      <w:r w:rsidR="00D80D3E" w:rsidRPr="006D79CC">
        <w:rPr>
          <w:sz w:val="22"/>
          <w:szCs w:val="22"/>
        </w:rPr>
        <w:t>Shall or may be resettled or relocated in the process of the First Respondent commencing its mining and/or related activities</w:t>
      </w:r>
      <w:r w:rsidR="006A468A" w:rsidRPr="006D79CC">
        <w:rPr>
          <w:sz w:val="22"/>
          <w:szCs w:val="22"/>
        </w:rPr>
        <w:t>;</w:t>
      </w:r>
    </w:p>
    <w:p w14:paraId="18ECD312" w14:textId="4D853EE4" w:rsidR="00D80D3E" w:rsidRPr="006D79CC" w:rsidRDefault="006D79CC" w:rsidP="006D79CC">
      <w:pPr>
        <w:spacing w:line="360" w:lineRule="auto"/>
        <w:ind w:left="1418" w:hanging="720"/>
        <w:jc w:val="both"/>
        <w:rPr>
          <w:sz w:val="22"/>
          <w:szCs w:val="22"/>
        </w:rPr>
      </w:pPr>
      <w:r w:rsidRPr="008A132B">
        <w:rPr>
          <w:sz w:val="22"/>
          <w:szCs w:val="22"/>
        </w:rPr>
        <w:t>5.3.2</w:t>
      </w:r>
      <w:r w:rsidRPr="008A132B">
        <w:rPr>
          <w:sz w:val="22"/>
          <w:szCs w:val="22"/>
        </w:rPr>
        <w:tab/>
      </w:r>
      <w:r w:rsidR="00D80D3E" w:rsidRPr="006D79CC">
        <w:rPr>
          <w:sz w:val="22"/>
          <w:szCs w:val="22"/>
        </w:rPr>
        <w:t xml:space="preserve">Reside or use land within the area where the intended </w:t>
      </w:r>
      <w:r w:rsidR="00364923" w:rsidRPr="006D79CC">
        <w:rPr>
          <w:sz w:val="22"/>
          <w:szCs w:val="22"/>
        </w:rPr>
        <w:t>haul</w:t>
      </w:r>
      <w:r w:rsidR="00D80D3E" w:rsidRPr="006D79CC">
        <w:rPr>
          <w:sz w:val="22"/>
          <w:szCs w:val="22"/>
        </w:rPr>
        <w:t xml:space="preserve"> road</w:t>
      </w:r>
      <w:r w:rsidR="00F520CA" w:rsidRPr="006D79CC">
        <w:rPr>
          <w:sz w:val="22"/>
          <w:szCs w:val="22"/>
        </w:rPr>
        <w:t xml:space="preserve"> and temporary roads will be constructed or altered in any way;</w:t>
      </w:r>
    </w:p>
    <w:p w14:paraId="31F0A29D" w14:textId="16D4246F" w:rsidR="00F520CA" w:rsidRPr="006D79CC" w:rsidRDefault="006D79CC" w:rsidP="006D79CC">
      <w:pPr>
        <w:spacing w:line="360" w:lineRule="auto"/>
        <w:ind w:left="1418" w:hanging="720"/>
        <w:jc w:val="both"/>
        <w:rPr>
          <w:sz w:val="22"/>
          <w:szCs w:val="22"/>
        </w:rPr>
      </w:pPr>
      <w:r w:rsidRPr="008A132B">
        <w:rPr>
          <w:sz w:val="22"/>
          <w:szCs w:val="22"/>
        </w:rPr>
        <w:t>5.3.3</w:t>
      </w:r>
      <w:r w:rsidRPr="008A132B">
        <w:rPr>
          <w:sz w:val="22"/>
          <w:szCs w:val="22"/>
        </w:rPr>
        <w:tab/>
      </w:r>
      <w:r w:rsidR="00F520CA" w:rsidRPr="006D79CC">
        <w:rPr>
          <w:sz w:val="22"/>
          <w:szCs w:val="22"/>
        </w:rPr>
        <w:t>Reside or use land within the areas where the intended fences will be erected;</w:t>
      </w:r>
    </w:p>
    <w:p w14:paraId="226503E2" w14:textId="52905442" w:rsidR="00F520CA" w:rsidRPr="006D79CC" w:rsidRDefault="006D79CC" w:rsidP="006D79CC">
      <w:pPr>
        <w:spacing w:line="360" w:lineRule="auto"/>
        <w:ind w:left="1418" w:hanging="720"/>
        <w:jc w:val="both"/>
        <w:rPr>
          <w:sz w:val="22"/>
          <w:szCs w:val="22"/>
        </w:rPr>
      </w:pPr>
      <w:r w:rsidRPr="008A132B">
        <w:rPr>
          <w:sz w:val="22"/>
          <w:szCs w:val="22"/>
        </w:rPr>
        <w:t>5.3.4</w:t>
      </w:r>
      <w:r w:rsidRPr="008A132B">
        <w:rPr>
          <w:sz w:val="22"/>
          <w:szCs w:val="22"/>
        </w:rPr>
        <w:tab/>
      </w:r>
      <w:r w:rsidR="00F520CA" w:rsidRPr="006D79CC">
        <w:rPr>
          <w:sz w:val="22"/>
          <w:szCs w:val="22"/>
        </w:rPr>
        <w:t>Shall or may be relocated;</w:t>
      </w:r>
    </w:p>
    <w:p w14:paraId="40E6F375" w14:textId="446474CD" w:rsidR="00F520CA" w:rsidRPr="006D79CC" w:rsidRDefault="006D79CC" w:rsidP="006D79CC">
      <w:pPr>
        <w:spacing w:line="360" w:lineRule="auto"/>
        <w:ind w:left="1418" w:hanging="720"/>
        <w:jc w:val="both"/>
        <w:rPr>
          <w:sz w:val="22"/>
          <w:szCs w:val="22"/>
        </w:rPr>
      </w:pPr>
      <w:r w:rsidRPr="008A132B">
        <w:rPr>
          <w:sz w:val="22"/>
          <w:szCs w:val="22"/>
        </w:rPr>
        <w:t>5.3.5</w:t>
      </w:r>
      <w:r w:rsidRPr="008A132B">
        <w:rPr>
          <w:sz w:val="22"/>
          <w:szCs w:val="22"/>
        </w:rPr>
        <w:tab/>
      </w:r>
      <w:r w:rsidR="00F520CA" w:rsidRPr="006D79CC">
        <w:rPr>
          <w:sz w:val="22"/>
          <w:szCs w:val="22"/>
        </w:rPr>
        <w:t>Reside or use land within the areas to which persons or infrastructure may be relocated;</w:t>
      </w:r>
    </w:p>
    <w:p w14:paraId="30A3DF8F" w14:textId="3730DEBC" w:rsidR="00F520CA" w:rsidRPr="006D79CC" w:rsidRDefault="006D79CC" w:rsidP="006D79CC">
      <w:pPr>
        <w:spacing w:line="360" w:lineRule="auto"/>
        <w:ind w:left="1418" w:hanging="720"/>
        <w:jc w:val="both"/>
        <w:rPr>
          <w:sz w:val="22"/>
          <w:szCs w:val="22"/>
        </w:rPr>
      </w:pPr>
      <w:r w:rsidRPr="008A132B">
        <w:rPr>
          <w:sz w:val="22"/>
          <w:szCs w:val="22"/>
        </w:rPr>
        <w:t>5.3.6</w:t>
      </w:r>
      <w:r w:rsidRPr="008A132B">
        <w:rPr>
          <w:sz w:val="22"/>
          <w:szCs w:val="22"/>
        </w:rPr>
        <w:tab/>
      </w:r>
      <w:r w:rsidR="00F520CA" w:rsidRPr="006D79CC">
        <w:rPr>
          <w:sz w:val="22"/>
          <w:szCs w:val="22"/>
        </w:rPr>
        <w:t>Reside or use land in the biodiversity off</w:t>
      </w:r>
      <w:r w:rsidR="00364923" w:rsidRPr="006D79CC">
        <w:rPr>
          <w:sz w:val="22"/>
          <w:szCs w:val="22"/>
        </w:rPr>
        <w:t>-</w:t>
      </w:r>
      <w:r w:rsidR="00F520CA" w:rsidRPr="006D79CC">
        <w:rPr>
          <w:sz w:val="22"/>
          <w:szCs w:val="22"/>
        </w:rPr>
        <w:t>set areas;</w:t>
      </w:r>
    </w:p>
    <w:p w14:paraId="5229CD27" w14:textId="559805F0" w:rsidR="00F520CA" w:rsidRPr="006D79CC" w:rsidRDefault="006D79CC" w:rsidP="006D79CC">
      <w:pPr>
        <w:spacing w:line="360" w:lineRule="auto"/>
        <w:ind w:left="1418" w:hanging="720"/>
        <w:jc w:val="both"/>
        <w:rPr>
          <w:sz w:val="22"/>
          <w:szCs w:val="22"/>
        </w:rPr>
      </w:pPr>
      <w:r w:rsidRPr="008A132B">
        <w:rPr>
          <w:sz w:val="22"/>
          <w:szCs w:val="22"/>
        </w:rPr>
        <w:t>5.3.7</w:t>
      </w:r>
      <w:r w:rsidRPr="008A132B">
        <w:rPr>
          <w:sz w:val="22"/>
          <w:szCs w:val="22"/>
        </w:rPr>
        <w:tab/>
      </w:r>
      <w:r w:rsidR="00F520CA" w:rsidRPr="006D79CC">
        <w:rPr>
          <w:sz w:val="22"/>
          <w:szCs w:val="22"/>
        </w:rPr>
        <w:t>Reside or use land in any other area to be affected by the mining or mining</w:t>
      </w:r>
      <w:r w:rsidR="00364923" w:rsidRPr="006D79CC">
        <w:rPr>
          <w:sz w:val="22"/>
          <w:szCs w:val="22"/>
        </w:rPr>
        <w:t xml:space="preserve"> </w:t>
      </w:r>
      <w:r w:rsidR="00F520CA" w:rsidRPr="006D79CC">
        <w:rPr>
          <w:sz w:val="22"/>
          <w:szCs w:val="22"/>
        </w:rPr>
        <w:t>related activities.</w:t>
      </w:r>
    </w:p>
    <w:p w14:paraId="4ED86CC5" w14:textId="5B69E6F8" w:rsidR="00D80D3E" w:rsidRPr="008A132B" w:rsidRDefault="00364923" w:rsidP="00CC12CF">
      <w:pPr>
        <w:spacing w:line="360" w:lineRule="auto"/>
        <w:jc w:val="both"/>
        <w:rPr>
          <w:sz w:val="22"/>
          <w:szCs w:val="22"/>
        </w:rPr>
      </w:pPr>
      <w:r w:rsidRPr="008A132B">
        <w:rPr>
          <w:sz w:val="22"/>
          <w:szCs w:val="22"/>
        </w:rPr>
        <w:t xml:space="preserve">6. </w:t>
      </w:r>
      <w:r w:rsidR="00F520CA" w:rsidRPr="008A132B">
        <w:rPr>
          <w:sz w:val="22"/>
          <w:szCs w:val="22"/>
        </w:rPr>
        <w:t xml:space="preserve">Any Respondent opposing the application is ordered to pay the Applicants’ costs, including the cost of three </w:t>
      </w:r>
      <w:r w:rsidRPr="008A132B">
        <w:rPr>
          <w:sz w:val="22"/>
          <w:szCs w:val="22"/>
        </w:rPr>
        <w:t>c</w:t>
      </w:r>
      <w:r w:rsidR="00F520CA" w:rsidRPr="008A132B">
        <w:rPr>
          <w:sz w:val="22"/>
          <w:szCs w:val="22"/>
        </w:rPr>
        <w:t>ounsel.</w:t>
      </w:r>
    </w:p>
    <w:p w14:paraId="0A997BF5" w14:textId="79CFA72A" w:rsidR="00496957" w:rsidRPr="008A132B" w:rsidRDefault="00364923" w:rsidP="00CC12CF">
      <w:pPr>
        <w:spacing w:line="360" w:lineRule="auto"/>
        <w:jc w:val="both"/>
        <w:rPr>
          <w:sz w:val="22"/>
          <w:szCs w:val="22"/>
        </w:rPr>
      </w:pPr>
      <w:r w:rsidRPr="008A132B">
        <w:rPr>
          <w:sz w:val="22"/>
          <w:szCs w:val="22"/>
        </w:rPr>
        <w:lastRenderedPageBreak/>
        <w:t xml:space="preserve">7. </w:t>
      </w:r>
      <w:r w:rsidR="00F520CA" w:rsidRPr="008A132B">
        <w:rPr>
          <w:sz w:val="22"/>
          <w:szCs w:val="22"/>
        </w:rPr>
        <w:t>Further and/or alternative relief.’</w:t>
      </w:r>
    </w:p>
    <w:p w14:paraId="4983E314" w14:textId="77777777" w:rsidR="00CC12CF" w:rsidRPr="008A132B" w:rsidRDefault="00CC12CF" w:rsidP="00CC12CF">
      <w:pPr>
        <w:spacing w:line="360" w:lineRule="auto"/>
        <w:jc w:val="both"/>
        <w:rPr>
          <w:szCs w:val="22"/>
        </w:rPr>
      </w:pPr>
    </w:p>
    <w:p w14:paraId="01F8D66E" w14:textId="1496AEA8" w:rsidR="00665DB6"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[3]</w:t>
      </w:r>
      <w:r w:rsidRPr="008A132B">
        <w:rPr>
          <w:rFonts w:cs="Arial"/>
          <w:iCs w:val="0"/>
          <w:szCs w:val="24"/>
          <w:lang w:val="en-ZA"/>
        </w:rPr>
        <w:tab/>
      </w:r>
      <w:r w:rsidR="001F52A7" w:rsidRPr="008A132B">
        <w:rPr>
          <w:rFonts w:cs="Arial"/>
          <w:szCs w:val="24"/>
          <w:lang w:val="en-ZA"/>
        </w:rPr>
        <w:t xml:space="preserve">The application is opposed by </w:t>
      </w:r>
      <w:r w:rsidR="006A468A" w:rsidRPr="008A132B">
        <w:rPr>
          <w:rFonts w:cs="Arial"/>
          <w:szCs w:val="24"/>
          <w:lang w:val="en-ZA"/>
        </w:rPr>
        <w:t xml:space="preserve">the first respondent </w:t>
      </w:r>
      <w:r w:rsidR="001F52A7" w:rsidRPr="008A132B">
        <w:rPr>
          <w:rFonts w:cs="Arial"/>
          <w:szCs w:val="24"/>
          <w:lang w:val="en-ZA"/>
        </w:rPr>
        <w:t>Tendele</w:t>
      </w:r>
      <w:r w:rsidR="003B577D" w:rsidRPr="008A132B">
        <w:rPr>
          <w:rFonts w:cs="Arial"/>
          <w:szCs w:val="24"/>
          <w:lang w:val="en-ZA"/>
        </w:rPr>
        <w:t xml:space="preserve"> Coal Mining (Pty) Ltd (Tendele)</w:t>
      </w:r>
      <w:r w:rsidR="001F52A7" w:rsidRPr="008A132B">
        <w:rPr>
          <w:rFonts w:cs="Arial"/>
          <w:szCs w:val="24"/>
          <w:lang w:val="en-ZA"/>
        </w:rPr>
        <w:t xml:space="preserve">, </w:t>
      </w:r>
      <w:r w:rsidR="006A468A" w:rsidRPr="008A132B">
        <w:rPr>
          <w:rFonts w:cs="Arial"/>
          <w:szCs w:val="24"/>
          <w:lang w:val="en-ZA"/>
        </w:rPr>
        <w:t>t</w:t>
      </w:r>
      <w:r w:rsidR="000A1180" w:rsidRPr="008A132B">
        <w:rPr>
          <w:rFonts w:cs="Arial"/>
          <w:szCs w:val="24"/>
          <w:lang w:val="en-ZA"/>
        </w:rPr>
        <w:t xml:space="preserve">he </w:t>
      </w:r>
      <w:r w:rsidR="006A468A" w:rsidRPr="008A132B">
        <w:rPr>
          <w:rFonts w:cs="Arial"/>
          <w:szCs w:val="24"/>
          <w:lang w:val="en-ZA"/>
        </w:rPr>
        <w:t xml:space="preserve">fifth respondent the </w:t>
      </w:r>
      <w:r w:rsidR="000A1180" w:rsidRPr="008A132B">
        <w:rPr>
          <w:lang w:val="en-ZA"/>
        </w:rPr>
        <w:t xml:space="preserve">Mpunkuyoni Traditional Authority, the </w:t>
      </w:r>
      <w:r w:rsidR="006A468A" w:rsidRPr="008A132B">
        <w:rPr>
          <w:lang w:val="en-ZA"/>
        </w:rPr>
        <w:t xml:space="preserve">sixth </w:t>
      </w:r>
      <w:r w:rsidR="000A1180" w:rsidRPr="008A132B">
        <w:rPr>
          <w:lang w:val="en-ZA"/>
        </w:rPr>
        <w:t>respondent the Mpu</w:t>
      </w:r>
      <w:r w:rsidR="00537482" w:rsidRPr="008A132B">
        <w:rPr>
          <w:lang w:val="en-ZA"/>
        </w:rPr>
        <w:t>n</w:t>
      </w:r>
      <w:r w:rsidR="000A1180" w:rsidRPr="008A132B">
        <w:rPr>
          <w:lang w:val="en-ZA"/>
        </w:rPr>
        <w:t xml:space="preserve">kuyoni Mining Forum, the </w:t>
      </w:r>
      <w:r w:rsidR="006A468A" w:rsidRPr="008A132B">
        <w:rPr>
          <w:lang w:val="en-ZA"/>
        </w:rPr>
        <w:t xml:space="preserve">seventh </w:t>
      </w:r>
      <w:r w:rsidR="000A1180" w:rsidRPr="008A132B">
        <w:rPr>
          <w:lang w:val="en-ZA"/>
        </w:rPr>
        <w:t xml:space="preserve">respondent the Association of Mineworkers and Construction Union, </w:t>
      </w:r>
      <w:r w:rsidR="006A468A" w:rsidRPr="008A132B">
        <w:rPr>
          <w:lang w:val="en-ZA"/>
        </w:rPr>
        <w:t xml:space="preserve">and </w:t>
      </w:r>
      <w:r w:rsidR="000A1180" w:rsidRPr="008A132B">
        <w:rPr>
          <w:lang w:val="en-ZA"/>
        </w:rPr>
        <w:t xml:space="preserve">the </w:t>
      </w:r>
      <w:r w:rsidR="006A468A" w:rsidRPr="008A132B">
        <w:rPr>
          <w:lang w:val="en-ZA"/>
        </w:rPr>
        <w:t xml:space="preserve">eighth </w:t>
      </w:r>
      <w:r w:rsidR="000A1180" w:rsidRPr="008A132B">
        <w:rPr>
          <w:lang w:val="en-ZA"/>
        </w:rPr>
        <w:t xml:space="preserve">respondent the National Union of Mineworkers. The </w:t>
      </w:r>
      <w:r w:rsidR="003B577D" w:rsidRPr="008A132B">
        <w:rPr>
          <w:lang w:val="en-ZA"/>
        </w:rPr>
        <w:t xml:space="preserve">application </w:t>
      </w:r>
      <w:r w:rsidR="000A1180" w:rsidRPr="008A132B">
        <w:rPr>
          <w:lang w:val="en-ZA"/>
        </w:rPr>
        <w:t>i</w:t>
      </w:r>
      <w:r w:rsidR="00E514B5" w:rsidRPr="008A132B">
        <w:rPr>
          <w:lang w:val="en-ZA"/>
        </w:rPr>
        <w:t>s</w:t>
      </w:r>
      <w:r w:rsidR="000A1180" w:rsidRPr="008A132B">
        <w:rPr>
          <w:lang w:val="en-ZA"/>
        </w:rPr>
        <w:t xml:space="preserve"> not opposed </w:t>
      </w:r>
      <w:r w:rsidR="001F52A7" w:rsidRPr="008A132B">
        <w:rPr>
          <w:rFonts w:cs="Arial"/>
          <w:szCs w:val="24"/>
          <w:lang w:val="en-ZA"/>
        </w:rPr>
        <w:t>by the Minister of Mineral Resources and Energy (the Minister)</w:t>
      </w:r>
      <w:r w:rsidR="003B577D" w:rsidRPr="008A132B">
        <w:rPr>
          <w:rFonts w:cs="Arial"/>
          <w:szCs w:val="24"/>
          <w:lang w:val="en-ZA"/>
        </w:rPr>
        <w:t xml:space="preserve"> who is</w:t>
      </w:r>
      <w:r w:rsidR="001F52A7" w:rsidRPr="008A132B">
        <w:rPr>
          <w:rFonts w:cs="Arial"/>
          <w:szCs w:val="24"/>
          <w:lang w:val="en-ZA"/>
        </w:rPr>
        <w:t xml:space="preserve"> the second respondent, the Minister </w:t>
      </w:r>
      <w:r w:rsidR="000A1180" w:rsidRPr="008A132B">
        <w:rPr>
          <w:rFonts w:cs="Arial"/>
          <w:szCs w:val="24"/>
          <w:lang w:val="en-ZA"/>
        </w:rPr>
        <w:t xml:space="preserve">of Environmental Affairs, </w:t>
      </w:r>
      <w:r w:rsidR="001F52A7" w:rsidRPr="008A132B">
        <w:rPr>
          <w:rFonts w:cs="Arial"/>
          <w:szCs w:val="24"/>
          <w:lang w:val="en-ZA"/>
        </w:rPr>
        <w:t xml:space="preserve">the third respondent, or </w:t>
      </w:r>
      <w:r w:rsidR="000A1180" w:rsidRPr="008A132B">
        <w:rPr>
          <w:rFonts w:cs="Arial"/>
          <w:szCs w:val="24"/>
          <w:lang w:val="en-ZA"/>
        </w:rPr>
        <w:t>the MEC for Transport, Community Safety and Liaison, KwaZulu-Natal</w:t>
      </w:r>
      <w:r w:rsidR="001F52A7" w:rsidRPr="008A132B">
        <w:rPr>
          <w:rFonts w:cs="Arial"/>
          <w:szCs w:val="24"/>
          <w:lang w:val="en-ZA"/>
        </w:rPr>
        <w:t xml:space="preserve">, the fourth respondent. </w:t>
      </w:r>
    </w:p>
    <w:p w14:paraId="6AE0B3D9" w14:textId="77777777" w:rsidR="00537482" w:rsidRPr="008A132B" w:rsidRDefault="00537482" w:rsidP="00CC12CF">
      <w:pPr>
        <w:pStyle w:val="1"/>
        <w:numPr>
          <w:ilvl w:val="0"/>
          <w:numId w:val="0"/>
        </w:numPr>
        <w:spacing w:before="0" w:line="360" w:lineRule="auto"/>
        <w:rPr>
          <w:rFonts w:cs="Arial"/>
          <w:szCs w:val="24"/>
          <w:lang w:val="en-ZA"/>
        </w:rPr>
      </w:pPr>
    </w:p>
    <w:p w14:paraId="6D23605F" w14:textId="5FF23B7A" w:rsidR="00665DB6" w:rsidRPr="008A132B" w:rsidRDefault="00665DB6" w:rsidP="00CC12CF">
      <w:pPr>
        <w:pStyle w:val="1"/>
        <w:numPr>
          <w:ilvl w:val="0"/>
          <w:numId w:val="0"/>
        </w:numPr>
        <w:spacing w:before="0" w:line="360" w:lineRule="auto"/>
        <w:rPr>
          <w:rFonts w:cs="Arial"/>
          <w:b/>
          <w:bCs/>
          <w:szCs w:val="24"/>
          <w:lang w:val="en-ZA"/>
        </w:rPr>
      </w:pPr>
      <w:r w:rsidRPr="008A132B">
        <w:rPr>
          <w:rFonts w:cs="Arial"/>
          <w:b/>
          <w:bCs/>
          <w:szCs w:val="24"/>
          <w:lang w:val="en-ZA"/>
        </w:rPr>
        <w:t>Background</w:t>
      </w:r>
    </w:p>
    <w:p w14:paraId="18FB8132" w14:textId="2A839277" w:rsidR="00D40D4F"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[4]</w:t>
      </w:r>
      <w:r w:rsidRPr="008A132B">
        <w:rPr>
          <w:rFonts w:cs="Arial"/>
          <w:iCs w:val="0"/>
          <w:szCs w:val="24"/>
          <w:lang w:val="en-ZA"/>
        </w:rPr>
        <w:tab/>
      </w:r>
      <w:r w:rsidR="001D44A8" w:rsidRPr="008A132B">
        <w:rPr>
          <w:lang w:val="en-ZA"/>
        </w:rPr>
        <w:t xml:space="preserve">The mining right </w:t>
      </w:r>
      <w:r w:rsidR="006A468A" w:rsidRPr="008A132B">
        <w:rPr>
          <w:lang w:val="en-ZA"/>
        </w:rPr>
        <w:t>referred</w:t>
      </w:r>
      <w:r w:rsidR="002D0950" w:rsidRPr="008A132B">
        <w:rPr>
          <w:lang w:val="en-ZA"/>
        </w:rPr>
        <w:t xml:space="preserve"> to in the notice of motion</w:t>
      </w:r>
      <w:r w:rsidR="00830D5D">
        <w:rPr>
          <w:lang w:val="en-ZA"/>
        </w:rPr>
        <w:t>, which has been</w:t>
      </w:r>
      <w:r w:rsidR="002D0950" w:rsidRPr="008A132B">
        <w:rPr>
          <w:lang w:val="en-ZA"/>
        </w:rPr>
        <w:t xml:space="preserve"> </w:t>
      </w:r>
      <w:r w:rsidR="001D44A8" w:rsidRPr="008A132B">
        <w:rPr>
          <w:lang w:val="en-ZA"/>
        </w:rPr>
        <w:t>issued to Tendele</w:t>
      </w:r>
      <w:r w:rsidR="00830D5D">
        <w:rPr>
          <w:lang w:val="en-ZA"/>
        </w:rPr>
        <w:t>,</w:t>
      </w:r>
      <w:r w:rsidR="001D44A8" w:rsidRPr="008A132B">
        <w:rPr>
          <w:lang w:val="en-ZA"/>
        </w:rPr>
        <w:t xml:space="preserve"> </w:t>
      </w:r>
      <w:r w:rsidR="003B577D" w:rsidRPr="008A132B">
        <w:rPr>
          <w:lang w:val="en-ZA"/>
        </w:rPr>
        <w:t xml:space="preserve">relates to an area of the Somkhele </w:t>
      </w:r>
      <w:r w:rsidR="0091756D" w:rsidRPr="008A132B">
        <w:rPr>
          <w:lang w:val="en-ZA"/>
        </w:rPr>
        <w:t xml:space="preserve">Mine </w:t>
      </w:r>
      <w:r w:rsidR="003B577D" w:rsidRPr="008A132B">
        <w:rPr>
          <w:lang w:val="en-ZA"/>
        </w:rPr>
        <w:t xml:space="preserve">(the mine) </w:t>
      </w:r>
      <w:r w:rsidR="00D6098A" w:rsidRPr="008A132B">
        <w:rPr>
          <w:lang w:val="en-ZA"/>
        </w:rPr>
        <w:t xml:space="preserve">to which </w:t>
      </w:r>
      <w:r w:rsidR="003B577D" w:rsidRPr="008A132B">
        <w:rPr>
          <w:lang w:val="en-ZA"/>
        </w:rPr>
        <w:t>Tendele wishes to extend it</w:t>
      </w:r>
      <w:r w:rsidR="0091756D" w:rsidRPr="008A132B">
        <w:rPr>
          <w:lang w:val="en-ZA"/>
        </w:rPr>
        <w:t>s</w:t>
      </w:r>
      <w:r w:rsidR="003B577D" w:rsidRPr="008A132B">
        <w:rPr>
          <w:lang w:val="en-ZA"/>
        </w:rPr>
        <w:t xml:space="preserve"> operations. The mine</w:t>
      </w:r>
      <w:r w:rsidR="006A468A" w:rsidRPr="008A132B">
        <w:rPr>
          <w:lang w:val="en-ZA"/>
        </w:rPr>
        <w:t xml:space="preserve"> is </w:t>
      </w:r>
      <w:r w:rsidR="003B577D" w:rsidRPr="008A132B">
        <w:rPr>
          <w:lang w:val="en-ZA"/>
        </w:rPr>
        <w:t xml:space="preserve">an </w:t>
      </w:r>
      <w:r w:rsidR="001D44A8" w:rsidRPr="008A132B">
        <w:rPr>
          <w:lang w:val="en-ZA"/>
        </w:rPr>
        <w:t>open cast coal min</w:t>
      </w:r>
      <w:r w:rsidR="003B577D" w:rsidRPr="008A132B">
        <w:rPr>
          <w:lang w:val="en-ZA"/>
        </w:rPr>
        <w:t>e</w:t>
      </w:r>
      <w:r w:rsidR="006A468A" w:rsidRPr="008A132B">
        <w:rPr>
          <w:lang w:val="en-ZA"/>
        </w:rPr>
        <w:t xml:space="preserve"> which Tendele has operated </w:t>
      </w:r>
      <w:r w:rsidR="003B577D" w:rsidRPr="008A132B">
        <w:rPr>
          <w:lang w:val="en-ZA"/>
        </w:rPr>
        <w:t>since 20</w:t>
      </w:r>
      <w:r w:rsidR="000A098C" w:rsidRPr="008A132B">
        <w:rPr>
          <w:rFonts w:cs="Arial"/>
          <w:szCs w:val="24"/>
          <w:lang w:val="en-ZA"/>
        </w:rPr>
        <w:t>06</w:t>
      </w:r>
      <w:r w:rsidR="00972959" w:rsidRPr="008A132B">
        <w:rPr>
          <w:rFonts w:cs="Arial"/>
          <w:szCs w:val="24"/>
          <w:lang w:val="en-ZA"/>
        </w:rPr>
        <w:t>.</w:t>
      </w:r>
      <w:r w:rsidR="000A098C" w:rsidRPr="008A132B">
        <w:rPr>
          <w:rStyle w:val="FootnoteReference"/>
          <w:rFonts w:cs="Arial"/>
          <w:szCs w:val="24"/>
          <w:lang w:val="en-ZA"/>
        </w:rPr>
        <w:footnoteReference w:id="2"/>
      </w:r>
      <w:r w:rsidR="00C34DCA" w:rsidRPr="008A132B">
        <w:rPr>
          <w:rFonts w:cs="Arial"/>
          <w:szCs w:val="24"/>
          <w:lang w:val="en-ZA"/>
        </w:rPr>
        <w:t xml:space="preserve"> </w:t>
      </w:r>
      <w:r w:rsidR="00972959" w:rsidRPr="008A132B">
        <w:rPr>
          <w:rFonts w:cs="Arial"/>
          <w:szCs w:val="24"/>
          <w:lang w:val="en-ZA"/>
        </w:rPr>
        <w:t xml:space="preserve">It is situated </w:t>
      </w:r>
      <w:r w:rsidR="0055420D" w:rsidRPr="008A132B">
        <w:rPr>
          <w:rFonts w:cs="Arial"/>
          <w:szCs w:val="24"/>
          <w:lang w:val="en-ZA"/>
        </w:rPr>
        <w:t xml:space="preserve">some 27 </w:t>
      </w:r>
      <w:r w:rsidR="00BF6EFE" w:rsidRPr="008A132B">
        <w:rPr>
          <w:rFonts w:cs="Arial"/>
          <w:szCs w:val="24"/>
          <w:lang w:val="en-ZA"/>
        </w:rPr>
        <w:t>kilometres</w:t>
      </w:r>
      <w:r w:rsidR="0055420D" w:rsidRPr="008A132B">
        <w:rPr>
          <w:rFonts w:cs="Arial"/>
          <w:szCs w:val="24"/>
          <w:lang w:val="en-ZA"/>
        </w:rPr>
        <w:t xml:space="preserve"> west of </w:t>
      </w:r>
      <w:r w:rsidR="00C34DCA" w:rsidRPr="008A132B">
        <w:rPr>
          <w:rFonts w:cs="Arial"/>
          <w:szCs w:val="24"/>
          <w:lang w:val="en-ZA"/>
        </w:rPr>
        <w:t>Mtubatuba in KwaZulu-Natal.</w:t>
      </w:r>
      <w:r w:rsidR="000A098C" w:rsidRPr="008A132B">
        <w:rPr>
          <w:rFonts w:cs="Arial"/>
          <w:szCs w:val="24"/>
          <w:lang w:val="en-ZA"/>
        </w:rPr>
        <w:t xml:space="preserve"> </w:t>
      </w:r>
      <w:r w:rsidR="006A468A" w:rsidRPr="008A132B">
        <w:rPr>
          <w:rFonts w:cs="Arial"/>
          <w:szCs w:val="24"/>
          <w:lang w:val="en-ZA"/>
        </w:rPr>
        <w:t xml:space="preserve">It </w:t>
      </w:r>
      <w:r w:rsidR="003B577D" w:rsidRPr="008A132B">
        <w:rPr>
          <w:rFonts w:cs="Arial"/>
          <w:szCs w:val="24"/>
          <w:lang w:val="en-ZA"/>
        </w:rPr>
        <w:t xml:space="preserve">has one of the largest resources of open pit mineable anthracite reserves in South Africa. </w:t>
      </w:r>
      <w:r w:rsidR="000A098C" w:rsidRPr="008A132B">
        <w:rPr>
          <w:rFonts w:cs="Arial"/>
          <w:szCs w:val="24"/>
          <w:lang w:val="en-ZA"/>
        </w:rPr>
        <w:t>Tendele has played a crucial role in supplying local manufacturers with anthracite and facilitating the production of ferrochrome</w:t>
      </w:r>
      <w:r w:rsidR="00527A95" w:rsidRPr="008A132B">
        <w:rPr>
          <w:rStyle w:val="FootnoteReference"/>
          <w:rFonts w:cs="Arial"/>
          <w:szCs w:val="24"/>
          <w:lang w:val="en-ZA"/>
        </w:rPr>
        <w:footnoteReference w:id="3"/>
      </w:r>
      <w:r w:rsidR="000A098C" w:rsidRPr="008A132B">
        <w:rPr>
          <w:rFonts w:cs="Arial"/>
          <w:szCs w:val="24"/>
          <w:lang w:val="en-ZA"/>
        </w:rPr>
        <w:t xml:space="preserve"> and </w:t>
      </w:r>
      <w:r w:rsidR="00665DB6" w:rsidRPr="008A132B">
        <w:rPr>
          <w:rFonts w:cs="Arial"/>
          <w:szCs w:val="24"/>
          <w:lang w:val="en-ZA"/>
        </w:rPr>
        <w:t xml:space="preserve">the </w:t>
      </w:r>
      <w:r w:rsidR="000A098C" w:rsidRPr="008A132B">
        <w:rPr>
          <w:rFonts w:cs="Arial"/>
          <w:szCs w:val="24"/>
          <w:lang w:val="en-ZA"/>
        </w:rPr>
        <w:t>manufactur</w:t>
      </w:r>
      <w:r w:rsidR="00972959" w:rsidRPr="008A132B">
        <w:rPr>
          <w:rFonts w:cs="Arial"/>
          <w:szCs w:val="24"/>
          <w:lang w:val="en-ZA"/>
        </w:rPr>
        <w:t>e</w:t>
      </w:r>
      <w:r w:rsidR="000A098C" w:rsidRPr="008A132B">
        <w:rPr>
          <w:rFonts w:cs="Arial"/>
          <w:szCs w:val="24"/>
          <w:lang w:val="en-ZA"/>
        </w:rPr>
        <w:t xml:space="preserve"> of stainless steel.</w:t>
      </w:r>
      <w:r w:rsidR="000A098C" w:rsidRPr="008A132B">
        <w:rPr>
          <w:rStyle w:val="FootnoteReference"/>
          <w:rFonts w:cs="Arial"/>
          <w:szCs w:val="24"/>
          <w:lang w:val="en-ZA"/>
        </w:rPr>
        <w:footnoteReference w:id="4"/>
      </w:r>
      <w:r w:rsidR="000A098C" w:rsidRPr="008A132B">
        <w:rPr>
          <w:rFonts w:cs="Arial"/>
          <w:szCs w:val="24"/>
          <w:lang w:val="en-ZA"/>
        </w:rPr>
        <w:t xml:space="preserve">  </w:t>
      </w:r>
      <w:r w:rsidR="00ED0B94" w:rsidRPr="008A132B">
        <w:rPr>
          <w:rFonts w:cs="Arial"/>
          <w:szCs w:val="24"/>
          <w:lang w:val="en-ZA"/>
        </w:rPr>
        <w:t xml:space="preserve">It </w:t>
      </w:r>
      <w:r w:rsidR="006A468A" w:rsidRPr="008A132B">
        <w:rPr>
          <w:rFonts w:cs="Arial"/>
          <w:szCs w:val="24"/>
          <w:lang w:val="en-ZA"/>
        </w:rPr>
        <w:t xml:space="preserve">has been a major contributor to social and economic development in the area. It </w:t>
      </w:r>
      <w:r w:rsidR="00527A95" w:rsidRPr="008A132B">
        <w:rPr>
          <w:rFonts w:cs="Arial"/>
          <w:szCs w:val="24"/>
          <w:lang w:val="en-ZA"/>
        </w:rPr>
        <w:t>alleges that p</w:t>
      </w:r>
      <w:r w:rsidR="000A098C" w:rsidRPr="008A132B">
        <w:rPr>
          <w:rFonts w:cs="Arial"/>
          <w:szCs w:val="24"/>
          <w:lang w:val="en-ZA"/>
        </w:rPr>
        <w:t xml:space="preserve">rior to it being </w:t>
      </w:r>
      <w:r w:rsidR="000A098C" w:rsidRPr="008A132B">
        <w:rPr>
          <w:szCs w:val="24"/>
          <w:lang w:val="en-ZA"/>
        </w:rPr>
        <w:t>placed on care and maintenance in July 2022,</w:t>
      </w:r>
      <w:r w:rsidR="00527A95" w:rsidRPr="008A132B">
        <w:rPr>
          <w:szCs w:val="24"/>
          <w:lang w:val="en-ZA"/>
        </w:rPr>
        <w:t xml:space="preserve"> some</w:t>
      </w:r>
      <w:r w:rsidR="00527A95" w:rsidRPr="008A132B">
        <w:rPr>
          <w:rFonts w:cs="Arial"/>
          <w:szCs w:val="24"/>
          <w:lang w:val="en-ZA"/>
        </w:rPr>
        <w:t xml:space="preserve"> 20 000 people benefited from employment and procurement opportunities at the </w:t>
      </w:r>
      <w:r w:rsidR="00D6098A" w:rsidRPr="008A132B">
        <w:rPr>
          <w:rFonts w:cs="Arial"/>
          <w:szCs w:val="24"/>
          <w:lang w:val="en-ZA"/>
        </w:rPr>
        <w:t>m</w:t>
      </w:r>
      <w:r w:rsidR="00527A95" w:rsidRPr="008A132B">
        <w:rPr>
          <w:rFonts w:cs="Arial"/>
          <w:szCs w:val="24"/>
          <w:lang w:val="en-ZA"/>
        </w:rPr>
        <w:t>ine,</w:t>
      </w:r>
      <w:r w:rsidR="000A098C" w:rsidRPr="008A132B">
        <w:rPr>
          <w:rStyle w:val="FootnoteReference"/>
          <w:rFonts w:cs="Arial"/>
          <w:szCs w:val="24"/>
          <w:lang w:val="en-ZA"/>
        </w:rPr>
        <w:footnoteReference w:id="5"/>
      </w:r>
      <w:r w:rsidR="00527A95" w:rsidRPr="008A132B">
        <w:rPr>
          <w:rFonts w:cs="Arial"/>
          <w:szCs w:val="24"/>
          <w:lang w:val="en-ZA"/>
        </w:rPr>
        <w:t xml:space="preserve"> and that s</w:t>
      </w:r>
      <w:r w:rsidR="00D40D4F" w:rsidRPr="008A132B">
        <w:rPr>
          <w:rFonts w:cs="Arial"/>
          <w:szCs w:val="24"/>
          <w:lang w:val="en-ZA"/>
        </w:rPr>
        <w:t>ince 2006</w:t>
      </w:r>
      <w:r w:rsidR="00527A95" w:rsidRPr="008A132B">
        <w:rPr>
          <w:rFonts w:cs="Arial"/>
          <w:szCs w:val="24"/>
          <w:lang w:val="en-ZA"/>
        </w:rPr>
        <w:t xml:space="preserve"> it has </w:t>
      </w:r>
      <w:r w:rsidR="00D40D4F" w:rsidRPr="008A132B">
        <w:rPr>
          <w:rFonts w:cs="Arial"/>
          <w:szCs w:val="24"/>
          <w:lang w:val="en-ZA"/>
        </w:rPr>
        <w:t xml:space="preserve">spent more than R1.2 billion establishing infrastructure and purchasing equipment at the </w:t>
      </w:r>
      <w:r w:rsidR="00527A95" w:rsidRPr="008A132B">
        <w:rPr>
          <w:rFonts w:cs="Arial"/>
          <w:szCs w:val="24"/>
          <w:lang w:val="en-ZA"/>
        </w:rPr>
        <w:t>m</w:t>
      </w:r>
      <w:r w:rsidR="00D40D4F" w:rsidRPr="008A132B">
        <w:rPr>
          <w:rFonts w:cs="Arial"/>
          <w:szCs w:val="24"/>
          <w:lang w:val="en-ZA"/>
        </w:rPr>
        <w:t>ine</w:t>
      </w:r>
      <w:r w:rsidR="00D6098A" w:rsidRPr="008A132B">
        <w:rPr>
          <w:rFonts w:cs="Arial"/>
          <w:szCs w:val="24"/>
          <w:lang w:val="en-ZA"/>
        </w:rPr>
        <w:t>,</w:t>
      </w:r>
      <w:r w:rsidR="00D40D4F" w:rsidRPr="008A132B">
        <w:rPr>
          <w:rFonts w:cs="Arial"/>
          <w:szCs w:val="24"/>
          <w:lang w:val="en-ZA"/>
        </w:rPr>
        <w:t xml:space="preserve"> and some R6.5 billion developing the open mining pits.</w:t>
      </w:r>
      <w:r w:rsidR="00D40D4F" w:rsidRPr="008A132B">
        <w:rPr>
          <w:rStyle w:val="FootnoteReference"/>
          <w:rFonts w:cs="Arial"/>
          <w:szCs w:val="24"/>
          <w:lang w:val="en-ZA"/>
        </w:rPr>
        <w:footnoteReference w:id="6"/>
      </w:r>
      <w:r w:rsidR="00D40D4F" w:rsidRPr="008A132B">
        <w:rPr>
          <w:rFonts w:cs="Arial"/>
          <w:szCs w:val="24"/>
          <w:lang w:val="en-ZA"/>
        </w:rPr>
        <w:t xml:space="preserve"> </w:t>
      </w:r>
      <w:r w:rsidR="00527A95" w:rsidRPr="008A132B">
        <w:rPr>
          <w:rFonts w:cs="Arial"/>
          <w:szCs w:val="24"/>
          <w:lang w:val="en-ZA"/>
        </w:rPr>
        <w:t xml:space="preserve">It alleges that since it was </w:t>
      </w:r>
      <w:r w:rsidR="00D40D4F" w:rsidRPr="008A132B">
        <w:rPr>
          <w:rFonts w:cs="Arial"/>
          <w:szCs w:val="24"/>
          <w:lang w:val="en-ZA"/>
        </w:rPr>
        <w:t xml:space="preserve">placed on care and </w:t>
      </w:r>
      <w:r w:rsidR="00D40D4F" w:rsidRPr="008A132B">
        <w:rPr>
          <w:rFonts w:cs="Arial"/>
          <w:szCs w:val="24"/>
          <w:lang w:val="en-ZA"/>
        </w:rPr>
        <w:lastRenderedPageBreak/>
        <w:t xml:space="preserve">maintenance, </w:t>
      </w:r>
      <w:r w:rsidR="00527A95" w:rsidRPr="008A132B">
        <w:rPr>
          <w:rFonts w:cs="Arial"/>
          <w:szCs w:val="24"/>
          <w:lang w:val="en-ZA"/>
        </w:rPr>
        <w:t xml:space="preserve">following </w:t>
      </w:r>
      <w:r w:rsidR="00D40D4F" w:rsidRPr="008A132B">
        <w:rPr>
          <w:rFonts w:cs="Arial"/>
          <w:szCs w:val="24"/>
          <w:lang w:val="en-ZA"/>
        </w:rPr>
        <w:t xml:space="preserve">gradual retrenchment of </w:t>
      </w:r>
      <w:r w:rsidR="00527A95" w:rsidRPr="008A132B">
        <w:rPr>
          <w:rFonts w:cs="Arial"/>
          <w:szCs w:val="24"/>
          <w:lang w:val="en-ZA"/>
        </w:rPr>
        <w:t>m</w:t>
      </w:r>
      <w:r w:rsidR="00D40D4F" w:rsidRPr="008A132B">
        <w:rPr>
          <w:rFonts w:cs="Arial"/>
          <w:szCs w:val="24"/>
          <w:lang w:val="en-ZA"/>
        </w:rPr>
        <w:t xml:space="preserve">ine employees, the unemployment rate in the Mtubatuba Local Municipality </w:t>
      </w:r>
      <w:r w:rsidR="00527A95" w:rsidRPr="008A132B">
        <w:rPr>
          <w:rFonts w:cs="Arial"/>
          <w:szCs w:val="24"/>
          <w:lang w:val="en-ZA"/>
        </w:rPr>
        <w:t xml:space="preserve">area </w:t>
      </w:r>
      <w:r w:rsidR="00D40D4F" w:rsidRPr="008A132B">
        <w:rPr>
          <w:rFonts w:cs="Arial"/>
          <w:szCs w:val="24"/>
          <w:lang w:val="en-ZA"/>
        </w:rPr>
        <w:t>has increased to between 70 and 80 per cent</w:t>
      </w:r>
      <w:r w:rsidR="003A4EC0">
        <w:rPr>
          <w:rFonts w:cs="Arial"/>
          <w:szCs w:val="24"/>
          <w:lang w:val="en-ZA"/>
        </w:rPr>
        <w:t xml:space="preserve">, </w:t>
      </w:r>
      <w:r w:rsidR="00D40D4F" w:rsidRPr="008A132B">
        <w:rPr>
          <w:rFonts w:cs="Arial"/>
          <w:szCs w:val="24"/>
          <w:lang w:val="en-ZA"/>
        </w:rPr>
        <w:t xml:space="preserve">and is now </w:t>
      </w:r>
      <w:r w:rsidR="00972959" w:rsidRPr="008A132B">
        <w:rPr>
          <w:rFonts w:cs="Arial"/>
          <w:szCs w:val="24"/>
          <w:lang w:val="en-ZA"/>
        </w:rPr>
        <w:t>p</w:t>
      </w:r>
      <w:r w:rsidR="00D6098A" w:rsidRPr="008A132B">
        <w:rPr>
          <w:rFonts w:cs="Arial"/>
          <w:szCs w:val="24"/>
          <w:lang w:val="en-ZA"/>
        </w:rPr>
        <w:t xml:space="preserve">ossibly </w:t>
      </w:r>
      <w:r w:rsidR="00972959" w:rsidRPr="008A132B">
        <w:rPr>
          <w:rFonts w:cs="Arial"/>
          <w:szCs w:val="24"/>
          <w:lang w:val="en-ZA"/>
        </w:rPr>
        <w:t>h</w:t>
      </w:r>
      <w:r w:rsidR="00D40D4F" w:rsidRPr="008A132B">
        <w:rPr>
          <w:rFonts w:cs="Arial"/>
          <w:szCs w:val="24"/>
          <w:lang w:val="en-ZA"/>
        </w:rPr>
        <w:t>igher.</w:t>
      </w:r>
    </w:p>
    <w:p w14:paraId="3F2B0761" w14:textId="77777777" w:rsidR="00C34DCA" w:rsidRPr="008A132B" w:rsidRDefault="00C34DCA" w:rsidP="00CC12CF">
      <w:pPr>
        <w:pStyle w:val="1"/>
        <w:numPr>
          <w:ilvl w:val="0"/>
          <w:numId w:val="0"/>
        </w:numPr>
        <w:spacing w:before="0" w:line="360" w:lineRule="auto"/>
        <w:rPr>
          <w:rFonts w:cs="Arial"/>
          <w:szCs w:val="24"/>
          <w:lang w:val="en-ZA"/>
        </w:rPr>
      </w:pPr>
    </w:p>
    <w:p w14:paraId="256AABFE" w14:textId="4FB6951E" w:rsidR="00EF1613"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[5]</w:t>
      </w:r>
      <w:r w:rsidRPr="008A132B">
        <w:rPr>
          <w:rFonts w:cs="Arial"/>
          <w:iCs w:val="0"/>
          <w:szCs w:val="24"/>
          <w:lang w:val="en-ZA"/>
        </w:rPr>
        <w:tab/>
      </w:r>
      <w:r w:rsidR="000A098C" w:rsidRPr="008A132B">
        <w:rPr>
          <w:rFonts w:cs="Arial"/>
          <w:szCs w:val="24"/>
          <w:lang w:val="en-ZA" w:eastAsia="en-GB"/>
        </w:rPr>
        <w:t xml:space="preserve">The </w:t>
      </w:r>
      <w:r w:rsidR="00665DB6" w:rsidRPr="008A132B">
        <w:rPr>
          <w:rFonts w:cs="Arial"/>
          <w:szCs w:val="24"/>
          <w:lang w:val="en-ZA" w:eastAsia="en-GB"/>
        </w:rPr>
        <w:t>m</w:t>
      </w:r>
      <w:r w:rsidR="000A098C" w:rsidRPr="008A132B">
        <w:rPr>
          <w:rFonts w:cs="Arial"/>
          <w:szCs w:val="24"/>
          <w:lang w:val="en-ZA" w:eastAsia="en-GB"/>
        </w:rPr>
        <w:t xml:space="preserve">ine is a single operation that consists of mining pits divided </w:t>
      </w:r>
      <w:r w:rsidR="00665DB6" w:rsidRPr="008A132B">
        <w:rPr>
          <w:rFonts w:cs="Arial"/>
          <w:szCs w:val="24"/>
          <w:lang w:val="en-ZA" w:eastAsia="en-GB"/>
        </w:rPr>
        <w:t xml:space="preserve">into </w:t>
      </w:r>
      <w:r w:rsidR="000A098C" w:rsidRPr="008A132B">
        <w:rPr>
          <w:rFonts w:cs="Arial"/>
          <w:szCs w:val="24"/>
          <w:lang w:val="en-ZA" w:eastAsia="en-GB"/>
        </w:rPr>
        <w:t xml:space="preserve">five areas, with separate mining rights and </w:t>
      </w:r>
      <w:r w:rsidR="000A098C" w:rsidRPr="008A132B">
        <w:rPr>
          <w:rFonts w:cs="Arial"/>
          <w:szCs w:val="24"/>
          <w:lang w:val="en-ZA"/>
        </w:rPr>
        <w:t xml:space="preserve">environmental management programmes </w:t>
      </w:r>
      <w:r w:rsidR="00D6098A" w:rsidRPr="008A132B">
        <w:rPr>
          <w:rFonts w:cs="Arial"/>
          <w:szCs w:val="24"/>
          <w:lang w:val="en-ZA"/>
        </w:rPr>
        <w:t xml:space="preserve">(EMPr) </w:t>
      </w:r>
      <w:r w:rsidR="000A098C" w:rsidRPr="008A132B">
        <w:rPr>
          <w:rFonts w:cs="Arial"/>
          <w:szCs w:val="24"/>
          <w:lang w:val="en-ZA" w:eastAsia="en-GB"/>
        </w:rPr>
        <w:t xml:space="preserve">applying to each area. </w:t>
      </w:r>
      <w:r w:rsidR="00BF6EFE" w:rsidRPr="008A132B">
        <w:rPr>
          <w:rFonts w:cs="Arial"/>
          <w:szCs w:val="24"/>
          <w:lang w:val="en-ZA" w:eastAsia="en-GB"/>
        </w:rPr>
        <w:t xml:space="preserve">Tendele </w:t>
      </w:r>
      <w:r w:rsidR="00665DB6" w:rsidRPr="008A132B">
        <w:rPr>
          <w:rFonts w:cs="Arial"/>
          <w:szCs w:val="24"/>
          <w:lang w:val="en-ZA" w:eastAsia="en-GB"/>
        </w:rPr>
        <w:t>mined in two areas until 2022. The</w:t>
      </w:r>
      <w:r w:rsidR="006A468A" w:rsidRPr="008A132B">
        <w:rPr>
          <w:rFonts w:cs="Arial"/>
          <w:szCs w:val="24"/>
          <w:lang w:val="en-ZA" w:eastAsia="en-GB"/>
        </w:rPr>
        <w:t>se</w:t>
      </w:r>
      <w:r w:rsidR="00665DB6" w:rsidRPr="008A132B">
        <w:rPr>
          <w:rFonts w:cs="Arial"/>
          <w:szCs w:val="24"/>
          <w:lang w:val="en-ZA" w:eastAsia="en-GB"/>
        </w:rPr>
        <w:t xml:space="preserve"> </w:t>
      </w:r>
      <w:r w:rsidR="000A098C" w:rsidRPr="008A132B">
        <w:rPr>
          <w:rFonts w:cs="Arial"/>
          <w:szCs w:val="24"/>
          <w:lang w:val="en-ZA" w:eastAsia="en-GB"/>
        </w:rPr>
        <w:t xml:space="preserve">two areas have now been depleted. </w:t>
      </w:r>
      <w:r w:rsidR="006A468A" w:rsidRPr="008A132B">
        <w:rPr>
          <w:rFonts w:cs="Arial"/>
          <w:szCs w:val="24"/>
          <w:lang w:val="en-ZA" w:eastAsia="en-GB"/>
        </w:rPr>
        <w:t xml:space="preserve">It </w:t>
      </w:r>
      <w:r w:rsidR="00665DB6" w:rsidRPr="008A132B">
        <w:rPr>
          <w:rFonts w:cs="Arial"/>
          <w:szCs w:val="24"/>
          <w:lang w:val="en-ZA" w:eastAsia="en-GB"/>
        </w:rPr>
        <w:t xml:space="preserve">accordingly </w:t>
      </w:r>
      <w:r w:rsidR="000A098C" w:rsidRPr="008A132B">
        <w:rPr>
          <w:rFonts w:cs="Arial"/>
          <w:szCs w:val="24"/>
          <w:lang w:val="en-ZA" w:eastAsia="en-GB"/>
        </w:rPr>
        <w:t xml:space="preserve">intends </w:t>
      </w:r>
      <w:r w:rsidR="006A468A" w:rsidRPr="008A132B">
        <w:rPr>
          <w:rFonts w:cs="Arial"/>
          <w:szCs w:val="24"/>
          <w:lang w:val="en-ZA" w:eastAsia="en-GB"/>
        </w:rPr>
        <w:t xml:space="preserve">extending its </w:t>
      </w:r>
      <w:r w:rsidR="000A098C" w:rsidRPr="008A132B">
        <w:rPr>
          <w:rFonts w:cs="Arial"/>
          <w:szCs w:val="24"/>
          <w:lang w:val="en-ZA" w:eastAsia="en-GB"/>
        </w:rPr>
        <w:t xml:space="preserve">mining </w:t>
      </w:r>
      <w:r w:rsidR="006A468A" w:rsidRPr="008A132B">
        <w:rPr>
          <w:rFonts w:cs="Arial"/>
          <w:szCs w:val="24"/>
          <w:lang w:val="en-ZA" w:eastAsia="en-GB"/>
        </w:rPr>
        <w:t xml:space="preserve">operations to </w:t>
      </w:r>
      <w:r w:rsidR="000A098C" w:rsidRPr="008A132B">
        <w:rPr>
          <w:rFonts w:cs="Arial"/>
          <w:szCs w:val="24"/>
          <w:lang w:val="en-ZA" w:eastAsia="en-GB"/>
        </w:rPr>
        <w:t>the Emalahleni, Ophondweni, and Mahujini areas</w:t>
      </w:r>
      <w:r w:rsidR="009D72CC" w:rsidRPr="008A132B">
        <w:rPr>
          <w:rFonts w:cs="Arial"/>
          <w:szCs w:val="24"/>
          <w:lang w:val="en-ZA" w:eastAsia="en-GB"/>
        </w:rPr>
        <w:t xml:space="preserve"> (commonly also referred to as areas 4 and 5)</w:t>
      </w:r>
      <w:r w:rsidR="00BF6EFE" w:rsidRPr="008A132B">
        <w:rPr>
          <w:rFonts w:cs="Arial"/>
          <w:szCs w:val="24"/>
          <w:lang w:val="en-ZA" w:eastAsia="en-GB"/>
        </w:rPr>
        <w:t>,</w:t>
      </w:r>
      <w:r w:rsidR="00EF1613" w:rsidRPr="008A132B">
        <w:rPr>
          <w:rFonts w:cs="Arial"/>
          <w:szCs w:val="24"/>
          <w:lang w:val="en-ZA" w:eastAsia="en-GB"/>
        </w:rPr>
        <w:t xml:space="preserve"> the respective areas of which are 2.5836</w:t>
      </w:r>
      <w:r w:rsidR="001135C3" w:rsidRPr="008A132B">
        <w:rPr>
          <w:rFonts w:cs="Arial"/>
          <w:szCs w:val="24"/>
          <w:lang w:val="en-ZA" w:eastAsia="en-GB"/>
        </w:rPr>
        <w:t>;</w:t>
      </w:r>
      <w:r w:rsidR="00EF1613" w:rsidRPr="008A132B">
        <w:rPr>
          <w:rFonts w:cs="Arial"/>
          <w:szCs w:val="24"/>
          <w:lang w:val="en-ZA" w:eastAsia="en-GB"/>
        </w:rPr>
        <w:t xml:space="preserve"> 5.5585 and 1.5168 square kilometers. </w:t>
      </w:r>
    </w:p>
    <w:p w14:paraId="7BA023EF" w14:textId="77777777" w:rsidR="00CC12CF" w:rsidRPr="008A132B" w:rsidRDefault="00CC12CF" w:rsidP="00CC12CF">
      <w:pPr>
        <w:pStyle w:val="2"/>
        <w:numPr>
          <w:ilvl w:val="0"/>
          <w:numId w:val="0"/>
        </w:numPr>
        <w:spacing w:before="0" w:line="360" w:lineRule="auto"/>
        <w:rPr>
          <w:rFonts w:cs="Arial"/>
          <w:szCs w:val="24"/>
          <w:lang w:val="en-ZA"/>
        </w:rPr>
      </w:pPr>
    </w:p>
    <w:p w14:paraId="376A1AF4" w14:textId="586FAFC2" w:rsidR="00D6098A" w:rsidRPr="008A132B" w:rsidRDefault="006D79CC" w:rsidP="006D79CC">
      <w:pPr>
        <w:pStyle w:val="1"/>
        <w:numPr>
          <w:ilvl w:val="0"/>
          <w:numId w:val="0"/>
        </w:numPr>
        <w:spacing w:before="0" w:line="360" w:lineRule="auto"/>
        <w:rPr>
          <w:rFonts w:cs="Arial"/>
          <w:szCs w:val="24"/>
          <w:lang w:val="en-ZA" w:eastAsia="en-GB"/>
        </w:rPr>
      </w:pPr>
      <w:r w:rsidRPr="008A132B">
        <w:rPr>
          <w:rFonts w:cs="Arial"/>
          <w:iCs w:val="0"/>
          <w:szCs w:val="24"/>
          <w:lang w:val="en-ZA" w:eastAsia="en-GB"/>
        </w:rPr>
        <w:t>[6]</w:t>
      </w:r>
      <w:r w:rsidRPr="008A132B">
        <w:rPr>
          <w:rFonts w:cs="Arial"/>
          <w:iCs w:val="0"/>
          <w:szCs w:val="24"/>
          <w:lang w:val="en-ZA" w:eastAsia="en-GB"/>
        </w:rPr>
        <w:tab/>
      </w:r>
      <w:r w:rsidR="003A5E13" w:rsidRPr="008A132B">
        <w:rPr>
          <w:rFonts w:cs="Arial"/>
          <w:szCs w:val="24"/>
          <w:lang w:val="en-ZA" w:eastAsia="en-GB"/>
        </w:rPr>
        <w:t xml:space="preserve">Tendele’s proposed expansion into these areas </w:t>
      </w:r>
      <w:r w:rsidR="006A468A" w:rsidRPr="008A132B">
        <w:rPr>
          <w:rFonts w:cs="Arial"/>
          <w:szCs w:val="24"/>
          <w:lang w:val="en-ZA" w:eastAsia="en-GB"/>
        </w:rPr>
        <w:t xml:space="preserve">is alleged to </w:t>
      </w:r>
      <w:r w:rsidR="00ED0B94" w:rsidRPr="008A132B">
        <w:rPr>
          <w:rFonts w:cs="Arial"/>
          <w:szCs w:val="24"/>
          <w:lang w:val="en-ZA" w:eastAsia="en-GB"/>
        </w:rPr>
        <w:t xml:space="preserve">be necessary to enable it </w:t>
      </w:r>
      <w:r w:rsidR="003A5E13" w:rsidRPr="008A132B">
        <w:rPr>
          <w:rFonts w:cs="Arial"/>
          <w:szCs w:val="24"/>
          <w:lang w:val="en-ZA" w:eastAsia="en-GB"/>
        </w:rPr>
        <w:t xml:space="preserve">to continue operations for approximately </w:t>
      </w:r>
      <w:r w:rsidR="00527A95" w:rsidRPr="008A132B">
        <w:rPr>
          <w:rFonts w:cs="Arial"/>
          <w:szCs w:val="24"/>
          <w:lang w:val="en-ZA" w:eastAsia="en-GB"/>
        </w:rPr>
        <w:t xml:space="preserve">another </w:t>
      </w:r>
      <w:r w:rsidR="003A5E13" w:rsidRPr="008A132B">
        <w:rPr>
          <w:rFonts w:cs="Arial"/>
          <w:szCs w:val="24"/>
          <w:lang w:val="en-ZA" w:eastAsia="en-GB"/>
        </w:rPr>
        <w:t>10 years</w:t>
      </w:r>
      <w:r w:rsidR="00ED0B94" w:rsidRPr="008A132B">
        <w:rPr>
          <w:rFonts w:cs="Arial"/>
          <w:szCs w:val="24"/>
          <w:lang w:val="en-ZA" w:eastAsia="en-GB"/>
        </w:rPr>
        <w:t xml:space="preserve">, to ensure its </w:t>
      </w:r>
      <w:r w:rsidR="003A5E13" w:rsidRPr="008A132B">
        <w:rPr>
          <w:rFonts w:cs="Arial"/>
          <w:szCs w:val="24"/>
          <w:lang w:val="en-ZA" w:eastAsia="en-GB"/>
        </w:rPr>
        <w:t xml:space="preserve">survival. </w:t>
      </w:r>
      <w:r w:rsidR="00665DB6" w:rsidRPr="008A132B">
        <w:rPr>
          <w:rFonts w:cs="Arial"/>
          <w:szCs w:val="24"/>
          <w:lang w:val="en-ZA" w:eastAsia="en-GB"/>
        </w:rPr>
        <w:t xml:space="preserve">The mining method and infrastructure which Tendele will use in the new areas </w:t>
      </w:r>
      <w:r w:rsidR="003A5E13" w:rsidRPr="008A132B">
        <w:rPr>
          <w:rFonts w:cs="Arial"/>
          <w:szCs w:val="24"/>
          <w:lang w:val="en-ZA" w:eastAsia="en-GB"/>
        </w:rPr>
        <w:t xml:space="preserve">will be the </w:t>
      </w:r>
      <w:r w:rsidR="00665DB6" w:rsidRPr="008A132B">
        <w:rPr>
          <w:rFonts w:cs="Arial"/>
          <w:szCs w:val="24"/>
          <w:lang w:val="en-ZA" w:eastAsia="en-GB"/>
        </w:rPr>
        <w:t>same as it has previously use</w:t>
      </w:r>
      <w:r w:rsidR="003A5E13" w:rsidRPr="008A132B">
        <w:rPr>
          <w:rFonts w:cs="Arial"/>
          <w:szCs w:val="24"/>
          <w:lang w:val="en-ZA" w:eastAsia="en-GB"/>
        </w:rPr>
        <w:t>d</w:t>
      </w:r>
      <w:r w:rsidR="00665DB6" w:rsidRPr="008A132B">
        <w:rPr>
          <w:rFonts w:cs="Arial"/>
          <w:szCs w:val="24"/>
          <w:lang w:val="en-ZA" w:eastAsia="en-GB"/>
        </w:rPr>
        <w:t>.</w:t>
      </w:r>
      <w:r w:rsidR="003A5E13" w:rsidRPr="008A132B">
        <w:rPr>
          <w:rFonts w:cs="Arial"/>
          <w:szCs w:val="24"/>
          <w:lang w:val="en-ZA" w:eastAsia="en-GB"/>
        </w:rPr>
        <w:t xml:space="preserve"> Should the </w:t>
      </w:r>
      <w:r w:rsidR="00D6098A" w:rsidRPr="008A132B">
        <w:rPr>
          <w:rFonts w:cs="Arial"/>
          <w:szCs w:val="24"/>
          <w:lang w:val="en-ZA" w:eastAsia="en-GB"/>
        </w:rPr>
        <w:t>m</w:t>
      </w:r>
      <w:r w:rsidR="003A5E13" w:rsidRPr="008A132B">
        <w:rPr>
          <w:rFonts w:cs="Arial"/>
          <w:szCs w:val="24"/>
          <w:lang w:val="en-ZA" w:eastAsia="en-GB"/>
        </w:rPr>
        <w:t>ine intend to operate after this time, it would be obliged to apply afresh for a new mining right and environmental authorisation for any further new areas.</w:t>
      </w:r>
    </w:p>
    <w:p w14:paraId="5FA91DFD" w14:textId="77777777" w:rsidR="004064D0" w:rsidRPr="008A132B" w:rsidRDefault="004064D0" w:rsidP="00CC12CF">
      <w:pPr>
        <w:pStyle w:val="1"/>
        <w:numPr>
          <w:ilvl w:val="0"/>
          <w:numId w:val="0"/>
        </w:numPr>
        <w:spacing w:before="0" w:line="360" w:lineRule="auto"/>
        <w:rPr>
          <w:rFonts w:cs="Arial"/>
          <w:szCs w:val="24"/>
          <w:lang w:val="en-ZA" w:eastAsia="en-GB"/>
        </w:rPr>
      </w:pPr>
    </w:p>
    <w:p w14:paraId="1ECA1D50" w14:textId="38560E4F" w:rsidR="00D40D4F" w:rsidRPr="008A132B" w:rsidRDefault="006D79CC" w:rsidP="006D79CC">
      <w:pPr>
        <w:spacing w:line="360" w:lineRule="auto"/>
        <w:jc w:val="both"/>
      </w:pPr>
      <w:r w:rsidRPr="008A132B">
        <w:rPr>
          <w:szCs w:val="24"/>
        </w:rPr>
        <w:t>[7]</w:t>
      </w:r>
      <w:r w:rsidRPr="008A132B">
        <w:rPr>
          <w:szCs w:val="24"/>
        </w:rPr>
        <w:tab/>
      </w:r>
      <w:r w:rsidR="00D40D4F" w:rsidRPr="008A132B">
        <w:t>Mining activity impacts on the environment and has the potential for adversely affecting persons living and working in the vicinity of such mining operations. Mining activities</w:t>
      </w:r>
      <w:r w:rsidR="00D6098A" w:rsidRPr="008A132B">
        <w:t>,</w:t>
      </w:r>
      <w:r w:rsidR="00D40D4F" w:rsidRPr="008A132B">
        <w:t xml:space="preserve"> and decisions permitting such activities</w:t>
      </w:r>
      <w:r w:rsidR="00D6098A" w:rsidRPr="008A132B">
        <w:t>,</w:t>
      </w:r>
      <w:r w:rsidR="00D40D4F" w:rsidRPr="008A132B">
        <w:t xml:space="preserve"> implicate and create a tension </w:t>
      </w:r>
      <w:r w:rsidR="006A468A" w:rsidRPr="008A132B">
        <w:t xml:space="preserve">between and amongst </w:t>
      </w:r>
      <w:r w:rsidR="00D40D4F" w:rsidRPr="008A132B">
        <w:t xml:space="preserve">a number of </w:t>
      </w:r>
      <w:r w:rsidR="00B83B29" w:rsidRPr="008A132B">
        <w:t xml:space="preserve">constitutional </w:t>
      </w:r>
      <w:r w:rsidR="00D40D4F" w:rsidRPr="008A132B">
        <w:t>rights and principles. At a bare minimum, these include inter alia the principle of legality,</w:t>
      </w:r>
      <w:r w:rsidR="00D40D4F" w:rsidRPr="008A132B">
        <w:rPr>
          <w:rStyle w:val="FootnoteReference"/>
        </w:rPr>
        <w:footnoteReference w:id="7"/>
      </w:r>
      <w:r w:rsidR="00D40D4F" w:rsidRPr="008A132B">
        <w:t xml:space="preserve"> the right to an environment that is not harmful to health or well-being,</w:t>
      </w:r>
      <w:r w:rsidR="00D40D4F" w:rsidRPr="008A132B">
        <w:rPr>
          <w:rStyle w:val="FootnoteReference"/>
        </w:rPr>
        <w:footnoteReference w:id="8"/>
      </w:r>
      <w:r w:rsidR="00D40D4F" w:rsidRPr="008A132B">
        <w:t xml:space="preserve"> the right of the mining entity to freedom of </w:t>
      </w:r>
      <w:r w:rsidR="00D40D4F" w:rsidRPr="008A132B">
        <w:lastRenderedPageBreak/>
        <w:t xml:space="preserve">trade and </w:t>
      </w:r>
      <w:r w:rsidR="00972959" w:rsidRPr="008A132B">
        <w:t xml:space="preserve">to </w:t>
      </w:r>
      <w:r w:rsidR="00D40D4F" w:rsidRPr="008A132B">
        <w:t>earn an income, and the right of the parties and the public generally to</w:t>
      </w:r>
      <w:r w:rsidR="00972959" w:rsidRPr="008A132B">
        <w:t xml:space="preserve"> earn an income,</w:t>
      </w:r>
      <w:r w:rsidR="00AE6320" w:rsidRPr="008A132B">
        <w:rPr>
          <w:rStyle w:val="FootnoteReference"/>
        </w:rPr>
        <w:footnoteReference w:id="9"/>
      </w:r>
      <w:r w:rsidR="00D40D4F" w:rsidRPr="008A132B">
        <w:t xml:space="preserve"> just administrative action</w:t>
      </w:r>
      <w:r w:rsidR="00D40D4F" w:rsidRPr="008A132B">
        <w:rPr>
          <w:rStyle w:val="FootnoteReference"/>
        </w:rPr>
        <w:footnoteReference w:id="10"/>
      </w:r>
      <w:r w:rsidR="00D40D4F" w:rsidRPr="008A132B">
        <w:t xml:space="preserve"> and </w:t>
      </w:r>
      <w:r w:rsidR="00D6098A" w:rsidRPr="008A132B">
        <w:t xml:space="preserve">the right </w:t>
      </w:r>
      <w:r w:rsidR="00DE1C70" w:rsidRPr="008A132B">
        <w:t xml:space="preserve">to </w:t>
      </w:r>
      <w:r w:rsidR="00D40D4F" w:rsidRPr="008A132B">
        <w:t>have disputes resolved by the application of law before a court.</w:t>
      </w:r>
      <w:r w:rsidR="00D40D4F" w:rsidRPr="008A132B">
        <w:rPr>
          <w:rStyle w:val="FootnoteReference"/>
        </w:rPr>
        <w:footnoteReference w:id="11"/>
      </w:r>
      <w:r w:rsidR="00D40D4F" w:rsidRPr="008A132B">
        <w:t xml:space="preserve"> Accordingly, the right to mine, and activities associated therewith, </w:t>
      </w:r>
      <w:r w:rsidR="00DE1C70" w:rsidRPr="008A132B">
        <w:t xml:space="preserve">have come to be </w:t>
      </w:r>
      <w:r w:rsidR="00D40D4F" w:rsidRPr="008A132B">
        <w:t>regulated by various statutory provisions, which themselves have been subject to amendment</w:t>
      </w:r>
      <w:r w:rsidR="00AE6320" w:rsidRPr="008A132B">
        <w:t>s</w:t>
      </w:r>
      <w:r w:rsidR="00D40D4F" w:rsidRPr="008A132B">
        <w:t xml:space="preserve"> over time, which seek to strike a balance between these competing and other rights.</w:t>
      </w:r>
    </w:p>
    <w:p w14:paraId="0C7B1DD7" w14:textId="2A7BCA4F" w:rsidR="00250A15" w:rsidRPr="008A132B" w:rsidRDefault="00250A15" w:rsidP="00CC12CF">
      <w:pPr>
        <w:spacing w:line="360" w:lineRule="auto"/>
        <w:jc w:val="both"/>
      </w:pPr>
    </w:p>
    <w:p w14:paraId="251C6BC1" w14:textId="75E048CE" w:rsidR="00D40D4F" w:rsidRPr="008A132B" w:rsidRDefault="006D79CC" w:rsidP="006D79CC">
      <w:pPr>
        <w:spacing w:line="360" w:lineRule="auto"/>
        <w:jc w:val="both"/>
        <w:rPr>
          <w:szCs w:val="24"/>
        </w:rPr>
      </w:pPr>
      <w:r w:rsidRPr="008A132B">
        <w:rPr>
          <w:szCs w:val="24"/>
        </w:rPr>
        <w:t>[8]</w:t>
      </w:r>
      <w:r w:rsidRPr="008A132B">
        <w:rPr>
          <w:szCs w:val="24"/>
        </w:rPr>
        <w:tab/>
      </w:r>
      <w:r w:rsidR="00D40D4F" w:rsidRPr="008A132B">
        <w:t>At the risk of oversimplification, the</w:t>
      </w:r>
      <w:r w:rsidR="00D6098A" w:rsidRPr="008A132B">
        <w:t>se</w:t>
      </w:r>
      <w:r w:rsidR="00D40D4F" w:rsidRPr="008A132B">
        <w:t xml:space="preserve"> statutory provisions require a mining company</w:t>
      </w:r>
      <w:r w:rsidR="00AE6320" w:rsidRPr="008A132B">
        <w:t>,</w:t>
      </w:r>
      <w:r w:rsidR="00D40D4F" w:rsidRPr="008A132B">
        <w:t xml:space="preserve"> in the position of Tendele</w:t>
      </w:r>
      <w:r w:rsidR="00AE6320" w:rsidRPr="008A132B">
        <w:t>,</w:t>
      </w:r>
      <w:r w:rsidR="00D40D4F" w:rsidRPr="008A132B">
        <w:t xml:space="preserve"> to comply </w:t>
      </w:r>
      <w:r w:rsidR="00E514B5" w:rsidRPr="008A132B">
        <w:t>with a myriad of legislation</w:t>
      </w:r>
      <w:r w:rsidR="00CD4996" w:rsidRPr="008A132B">
        <w:t>,</w:t>
      </w:r>
      <w:r w:rsidR="00E514B5" w:rsidRPr="008A132B">
        <w:t xml:space="preserve"> including</w:t>
      </w:r>
      <w:r w:rsidR="00D6098A" w:rsidRPr="008A132B">
        <w:t>, inter alia</w:t>
      </w:r>
      <w:r w:rsidR="00C0142F" w:rsidRPr="008A132B">
        <w:t xml:space="preserve"> the </w:t>
      </w:r>
      <w:r w:rsidR="001E0AAE" w:rsidRPr="008A132B">
        <w:rPr>
          <w:szCs w:val="24"/>
        </w:rPr>
        <w:t>Mineral and Petroleum Resources Development Act</w:t>
      </w:r>
      <w:r w:rsidR="00AE6320" w:rsidRPr="008A132B">
        <w:rPr>
          <w:szCs w:val="24"/>
        </w:rPr>
        <w:t xml:space="preserve"> 28 of 2002</w:t>
      </w:r>
      <w:r w:rsidR="001E0AAE" w:rsidRPr="008A132B">
        <w:rPr>
          <w:szCs w:val="24"/>
        </w:rPr>
        <w:t xml:space="preserve"> (MPRD</w:t>
      </w:r>
      <w:r w:rsidR="00AD0ED5" w:rsidRPr="008A132B">
        <w:rPr>
          <w:szCs w:val="24"/>
        </w:rPr>
        <w:t>A</w:t>
      </w:r>
      <w:r w:rsidR="001E0AAE" w:rsidRPr="008A132B">
        <w:rPr>
          <w:szCs w:val="24"/>
        </w:rPr>
        <w:t>)</w:t>
      </w:r>
      <w:r w:rsidR="00AE6320" w:rsidRPr="008A132B">
        <w:rPr>
          <w:szCs w:val="24"/>
        </w:rPr>
        <w:t xml:space="preserve">, and </w:t>
      </w:r>
      <w:r w:rsidR="00911E3E" w:rsidRPr="008A132B">
        <w:rPr>
          <w:szCs w:val="24"/>
        </w:rPr>
        <w:t>the requisite</w:t>
      </w:r>
      <w:r w:rsidR="005F2C8B" w:rsidRPr="008A132B">
        <w:rPr>
          <w:szCs w:val="24"/>
        </w:rPr>
        <w:t xml:space="preserve"> </w:t>
      </w:r>
      <w:r w:rsidR="00AE6320" w:rsidRPr="008A132B">
        <w:rPr>
          <w:szCs w:val="24"/>
        </w:rPr>
        <w:t>regulations</w:t>
      </w:r>
      <w:r w:rsidR="00662F2B" w:rsidRPr="008A132B">
        <w:t xml:space="preserve">, </w:t>
      </w:r>
      <w:r w:rsidR="00ED0B94" w:rsidRPr="008A132B">
        <w:t xml:space="preserve">the </w:t>
      </w:r>
      <w:r w:rsidR="00ED0B94" w:rsidRPr="008A132B">
        <w:rPr>
          <w:szCs w:val="24"/>
          <w:shd w:val="clear" w:color="auto" w:fill="FFFFFF"/>
        </w:rPr>
        <w:t>National Environmental Management Act</w:t>
      </w:r>
      <w:r w:rsidR="006C6C6F" w:rsidRPr="008A132B">
        <w:rPr>
          <w:szCs w:val="24"/>
          <w:shd w:val="clear" w:color="auto" w:fill="FFFFFF"/>
        </w:rPr>
        <w:t xml:space="preserve"> 107 of 1998</w:t>
      </w:r>
      <w:r w:rsidR="00CD4996" w:rsidRPr="008A132B">
        <w:rPr>
          <w:szCs w:val="24"/>
          <w:shd w:val="clear" w:color="auto" w:fill="FFFFFF"/>
        </w:rPr>
        <w:t xml:space="preserve"> (</w:t>
      </w:r>
      <w:r w:rsidR="00662F2B" w:rsidRPr="008A132B">
        <w:rPr>
          <w:szCs w:val="24"/>
        </w:rPr>
        <w:t>NEMA</w:t>
      </w:r>
      <w:r w:rsidR="00ED0B94" w:rsidRPr="008A132B">
        <w:rPr>
          <w:szCs w:val="24"/>
        </w:rPr>
        <w:t>)</w:t>
      </w:r>
      <w:r w:rsidR="006C6C6F" w:rsidRPr="008A132B">
        <w:rPr>
          <w:szCs w:val="24"/>
        </w:rPr>
        <w:t xml:space="preserve">, </w:t>
      </w:r>
      <w:r w:rsidR="00911E3E" w:rsidRPr="008A132B">
        <w:rPr>
          <w:szCs w:val="24"/>
        </w:rPr>
        <w:t>and the requisite regulations</w:t>
      </w:r>
      <w:r w:rsidR="00CD4996" w:rsidRPr="008A132B">
        <w:rPr>
          <w:szCs w:val="24"/>
        </w:rPr>
        <w:t>, and the</w:t>
      </w:r>
      <w:r w:rsidR="00E514B5" w:rsidRPr="008A132B">
        <w:rPr>
          <w:szCs w:val="24"/>
        </w:rPr>
        <w:t xml:space="preserve"> </w:t>
      </w:r>
      <w:r w:rsidR="00C0142F" w:rsidRPr="008A132B">
        <w:rPr>
          <w:szCs w:val="24"/>
        </w:rPr>
        <w:t>Interim Protection of Informal Land Rights Act</w:t>
      </w:r>
      <w:r w:rsidR="006C6C6F" w:rsidRPr="008A132B">
        <w:rPr>
          <w:szCs w:val="24"/>
        </w:rPr>
        <w:t xml:space="preserve"> 31 of 1996</w:t>
      </w:r>
      <w:r w:rsidR="00C0142F" w:rsidRPr="008A132B">
        <w:rPr>
          <w:szCs w:val="24"/>
        </w:rPr>
        <w:t xml:space="preserve"> (IPILRA)</w:t>
      </w:r>
      <w:r w:rsidR="006C6C6F" w:rsidRPr="008A132B">
        <w:rPr>
          <w:szCs w:val="24"/>
        </w:rPr>
        <w:t xml:space="preserve">, </w:t>
      </w:r>
      <w:r w:rsidR="00911E3E" w:rsidRPr="008A132B">
        <w:rPr>
          <w:szCs w:val="24"/>
        </w:rPr>
        <w:t>and the requisite regulations</w:t>
      </w:r>
      <w:r w:rsidR="00D6098A" w:rsidRPr="008A132B">
        <w:rPr>
          <w:szCs w:val="24"/>
        </w:rPr>
        <w:t>,</w:t>
      </w:r>
      <w:r w:rsidR="00C0142F" w:rsidRPr="008A132B">
        <w:rPr>
          <w:szCs w:val="24"/>
        </w:rPr>
        <w:t xml:space="preserve"> </w:t>
      </w:r>
      <w:r w:rsidR="006A468A" w:rsidRPr="008A132B">
        <w:rPr>
          <w:szCs w:val="24"/>
        </w:rPr>
        <w:t>w</w:t>
      </w:r>
      <w:r w:rsidR="00E514B5" w:rsidRPr="008A132B">
        <w:rPr>
          <w:szCs w:val="24"/>
        </w:rPr>
        <w:t>h</w:t>
      </w:r>
      <w:r w:rsidR="00C0142F" w:rsidRPr="008A132B">
        <w:rPr>
          <w:szCs w:val="24"/>
        </w:rPr>
        <w:t>i</w:t>
      </w:r>
      <w:r w:rsidR="00E514B5" w:rsidRPr="008A132B">
        <w:rPr>
          <w:szCs w:val="24"/>
        </w:rPr>
        <w:t>ch prescribe</w:t>
      </w:r>
      <w:r w:rsidR="00D40D4F" w:rsidRPr="008A132B">
        <w:rPr>
          <w:szCs w:val="24"/>
        </w:rPr>
        <w:t xml:space="preserve"> various administrative procedures before</w:t>
      </w:r>
      <w:r w:rsidR="00D40D4F" w:rsidRPr="008A132B">
        <w:t xml:space="preserve"> </w:t>
      </w:r>
      <w:r w:rsidR="00662F2B" w:rsidRPr="008A132B">
        <w:t xml:space="preserve">an entity </w:t>
      </w:r>
      <w:r w:rsidR="00D40D4F" w:rsidRPr="008A132B">
        <w:t xml:space="preserve">can mine on a particular portion of land. Without purporting to provide a comprehensive list of </w:t>
      </w:r>
      <w:r w:rsidR="00972959" w:rsidRPr="008A132B">
        <w:t xml:space="preserve">the </w:t>
      </w:r>
      <w:r w:rsidR="00D40D4F" w:rsidRPr="008A132B">
        <w:t>requirements,</w:t>
      </w:r>
      <w:r w:rsidR="00D40D4F" w:rsidRPr="008A132B">
        <w:rPr>
          <w:rStyle w:val="FootnoteReference"/>
        </w:rPr>
        <w:footnoteReference w:id="12"/>
      </w:r>
      <w:r w:rsidR="00D40D4F" w:rsidRPr="008A132B">
        <w:t xml:space="preserve"> the administrative procedures required to be complied with entail</w:t>
      </w:r>
      <w:r w:rsidR="00D6098A" w:rsidRPr="008A132B">
        <w:t>,</w:t>
      </w:r>
      <w:r w:rsidR="00D40D4F" w:rsidRPr="008A132B">
        <w:t xml:space="preserve"> inter alia</w:t>
      </w:r>
      <w:r w:rsidR="00D6098A" w:rsidRPr="008A132B">
        <w:t>,</w:t>
      </w:r>
      <w:r w:rsidR="00D40D4F" w:rsidRPr="008A132B">
        <w:t xml:space="preserve"> the following:</w:t>
      </w:r>
    </w:p>
    <w:p w14:paraId="0C964A6B" w14:textId="2EDD2BA6" w:rsidR="00662F2B" w:rsidRPr="008A132B" w:rsidRDefault="006D79CC" w:rsidP="006D79CC">
      <w:pPr>
        <w:spacing w:line="360" w:lineRule="auto"/>
        <w:jc w:val="both"/>
      </w:pPr>
      <w:r w:rsidRPr="008A132B">
        <w:t>(a)</w:t>
      </w:r>
      <w:r w:rsidRPr="008A132B">
        <w:tab/>
      </w:r>
      <w:r w:rsidR="00D40D4F" w:rsidRPr="008A132B">
        <w:t>An application by Tendele</w:t>
      </w:r>
      <w:r w:rsidR="001E0AAE" w:rsidRPr="008A132B">
        <w:t>,</w:t>
      </w:r>
      <w:r w:rsidR="00D40D4F" w:rsidRPr="008A132B">
        <w:t xml:space="preserve"> </w:t>
      </w:r>
      <w:r w:rsidR="001E0AAE" w:rsidRPr="008A132B">
        <w:t xml:space="preserve">followed by </w:t>
      </w:r>
      <w:r w:rsidR="00662F2B" w:rsidRPr="008A132B">
        <w:t xml:space="preserve">a decision by </w:t>
      </w:r>
      <w:r w:rsidR="00D40D4F" w:rsidRPr="008A132B">
        <w:t>the Director General of the Department of Mineral Resources and Energy (the department)</w:t>
      </w:r>
      <w:r w:rsidR="00D6098A" w:rsidRPr="008A132B">
        <w:t>,</w:t>
      </w:r>
      <w:r w:rsidR="00D40D4F" w:rsidRPr="008A132B">
        <w:rPr>
          <w:rStyle w:val="FootnoteReference"/>
        </w:rPr>
        <w:footnoteReference w:id="13"/>
      </w:r>
      <w:r w:rsidR="00D40D4F" w:rsidRPr="008A132B">
        <w:t xml:space="preserve"> to award </w:t>
      </w:r>
      <w:r w:rsidR="001E0AAE" w:rsidRPr="008A132B">
        <w:t>the</w:t>
      </w:r>
      <w:r w:rsidR="00D40D4F" w:rsidRPr="008A132B">
        <w:t xml:space="preserve"> mining right to it</w:t>
      </w:r>
      <w:r w:rsidR="00662F2B" w:rsidRPr="008A132B">
        <w:t>;</w:t>
      </w:r>
    </w:p>
    <w:p w14:paraId="4CB601E0" w14:textId="4D3A0F64" w:rsidR="00662F2B" w:rsidRPr="008A132B" w:rsidRDefault="006D79CC" w:rsidP="006D79CC">
      <w:pPr>
        <w:spacing w:line="360" w:lineRule="auto"/>
        <w:jc w:val="both"/>
      </w:pPr>
      <w:r w:rsidRPr="008A132B">
        <w:lastRenderedPageBreak/>
        <w:t>(b)</w:t>
      </w:r>
      <w:r w:rsidRPr="008A132B">
        <w:tab/>
      </w:r>
      <w:r w:rsidR="00662F2B" w:rsidRPr="008A132B">
        <w:t>T</w:t>
      </w:r>
      <w:r w:rsidR="00D40D4F" w:rsidRPr="008A132B">
        <w:t xml:space="preserve">he </w:t>
      </w:r>
      <w:r w:rsidR="00662F2B" w:rsidRPr="008A132B">
        <w:t xml:space="preserve">preparation by Tendele of an EMPr relating to such mining, and a decision by </w:t>
      </w:r>
      <w:r w:rsidR="00D40D4F" w:rsidRPr="008A132B">
        <w:t xml:space="preserve">the Regional Manager of the </w:t>
      </w:r>
      <w:r w:rsidR="00AD0ED5" w:rsidRPr="008A132B">
        <w:t xml:space="preserve">department </w:t>
      </w:r>
      <w:r w:rsidR="00662F2B" w:rsidRPr="008A132B">
        <w:t>approving the EMPr.</w:t>
      </w:r>
    </w:p>
    <w:p w14:paraId="614A66C4" w14:textId="77777777" w:rsidR="004456D5" w:rsidRPr="008A132B" w:rsidRDefault="004456D5" w:rsidP="00CC12CF">
      <w:pPr>
        <w:pStyle w:val="FootnoteText"/>
        <w:spacing w:line="360" w:lineRule="auto"/>
        <w:jc w:val="both"/>
        <w:rPr>
          <w:sz w:val="24"/>
          <w:szCs w:val="24"/>
        </w:rPr>
      </w:pPr>
    </w:p>
    <w:p w14:paraId="35B84321" w14:textId="5D2E3A89" w:rsidR="004456D5" w:rsidRPr="008A132B" w:rsidRDefault="006D79CC" w:rsidP="006D79CC">
      <w:pPr>
        <w:spacing w:line="360" w:lineRule="auto"/>
        <w:jc w:val="both"/>
        <w:rPr>
          <w:szCs w:val="24"/>
        </w:rPr>
      </w:pPr>
      <w:r w:rsidRPr="008A132B">
        <w:rPr>
          <w:szCs w:val="24"/>
        </w:rPr>
        <w:t>[9]</w:t>
      </w:r>
      <w:r w:rsidRPr="008A132B">
        <w:rPr>
          <w:szCs w:val="24"/>
        </w:rPr>
        <w:tab/>
      </w:r>
      <w:r w:rsidR="004456D5" w:rsidRPr="008A132B">
        <w:rPr>
          <w:szCs w:val="24"/>
        </w:rPr>
        <w:t xml:space="preserve">The issue of </w:t>
      </w:r>
      <w:r w:rsidR="00AB64C2" w:rsidRPr="008A132B">
        <w:rPr>
          <w:szCs w:val="24"/>
        </w:rPr>
        <w:t>a</w:t>
      </w:r>
      <w:r w:rsidR="004456D5" w:rsidRPr="008A132B">
        <w:rPr>
          <w:szCs w:val="24"/>
        </w:rPr>
        <w:t xml:space="preserve"> mining right in terms of s 22 of the MPRD</w:t>
      </w:r>
      <w:r w:rsidR="00AD0ED5" w:rsidRPr="008A132B">
        <w:rPr>
          <w:szCs w:val="24"/>
        </w:rPr>
        <w:t>A</w:t>
      </w:r>
      <w:r w:rsidR="001E0AAE" w:rsidRPr="008A132B">
        <w:rPr>
          <w:szCs w:val="24"/>
        </w:rPr>
        <w:t xml:space="preserve"> </w:t>
      </w:r>
      <w:r w:rsidR="004456D5" w:rsidRPr="008A132B">
        <w:rPr>
          <w:szCs w:val="24"/>
        </w:rPr>
        <w:t>require</w:t>
      </w:r>
      <w:r w:rsidR="00970899" w:rsidRPr="008A132B">
        <w:rPr>
          <w:szCs w:val="24"/>
        </w:rPr>
        <w:t>s</w:t>
      </w:r>
      <w:r w:rsidR="004456D5" w:rsidRPr="008A132B">
        <w:rPr>
          <w:szCs w:val="24"/>
        </w:rPr>
        <w:t xml:space="preserve"> inter alia </w:t>
      </w:r>
      <w:r w:rsidR="00AB64C2" w:rsidRPr="008A132B">
        <w:rPr>
          <w:szCs w:val="24"/>
        </w:rPr>
        <w:t xml:space="preserve">an application in the prescribed manner, accompanied by an </w:t>
      </w:r>
      <w:r w:rsidR="00D6098A" w:rsidRPr="008A132B">
        <w:rPr>
          <w:szCs w:val="24"/>
        </w:rPr>
        <w:t>environmental impact assessment (</w:t>
      </w:r>
      <w:r w:rsidR="00AB64C2" w:rsidRPr="008A132B">
        <w:rPr>
          <w:szCs w:val="24"/>
        </w:rPr>
        <w:t>EIA</w:t>
      </w:r>
      <w:r w:rsidR="00D6098A" w:rsidRPr="008A132B">
        <w:rPr>
          <w:szCs w:val="24"/>
        </w:rPr>
        <w:t>)</w:t>
      </w:r>
      <w:r w:rsidR="00AB64C2" w:rsidRPr="008A132B">
        <w:rPr>
          <w:szCs w:val="24"/>
        </w:rPr>
        <w:t xml:space="preserve"> and an EMPr. If the </w:t>
      </w:r>
      <w:r w:rsidR="00AD0ED5" w:rsidRPr="008A132B">
        <w:rPr>
          <w:szCs w:val="24"/>
        </w:rPr>
        <w:t xml:space="preserve">regional manager </w:t>
      </w:r>
      <w:r w:rsidR="00AB64C2" w:rsidRPr="008A132B">
        <w:rPr>
          <w:szCs w:val="24"/>
        </w:rPr>
        <w:t>accepts the application</w:t>
      </w:r>
      <w:r w:rsidR="005B4ACD">
        <w:rPr>
          <w:szCs w:val="24"/>
        </w:rPr>
        <w:t>,</w:t>
      </w:r>
      <w:r w:rsidR="00AB64C2" w:rsidRPr="008A132B">
        <w:rPr>
          <w:szCs w:val="24"/>
        </w:rPr>
        <w:t xml:space="preserve"> he must within 14 days notify the applicant for the mining right to conduct an EIA</w:t>
      </w:r>
      <w:r w:rsidR="001E0AAE" w:rsidRPr="008A132B">
        <w:rPr>
          <w:szCs w:val="24"/>
        </w:rPr>
        <w:t xml:space="preserve">, </w:t>
      </w:r>
      <w:r w:rsidR="00AB64C2" w:rsidRPr="008A132B">
        <w:rPr>
          <w:szCs w:val="24"/>
        </w:rPr>
        <w:t xml:space="preserve">submit </w:t>
      </w:r>
      <w:r w:rsidR="001E0AAE" w:rsidRPr="008A132B">
        <w:rPr>
          <w:szCs w:val="24"/>
        </w:rPr>
        <w:t xml:space="preserve">an </w:t>
      </w:r>
      <w:r w:rsidR="00AB64C2" w:rsidRPr="008A132B">
        <w:rPr>
          <w:szCs w:val="24"/>
        </w:rPr>
        <w:t>EMPr for approval under s 39</w:t>
      </w:r>
      <w:r w:rsidR="001E0AAE" w:rsidRPr="008A132B">
        <w:rPr>
          <w:szCs w:val="24"/>
        </w:rPr>
        <w:t>,</w:t>
      </w:r>
      <w:r w:rsidR="00AB64C2" w:rsidRPr="008A132B">
        <w:rPr>
          <w:szCs w:val="24"/>
        </w:rPr>
        <w:t xml:space="preserve"> notify and consult interested and affected persons (I&amp;</w:t>
      </w:r>
      <w:r w:rsidR="00AD0ED5" w:rsidRPr="008A132B">
        <w:rPr>
          <w:szCs w:val="24"/>
        </w:rPr>
        <w:t>APS</w:t>
      </w:r>
      <w:r w:rsidR="00AB64C2" w:rsidRPr="008A132B">
        <w:rPr>
          <w:szCs w:val="24"/>
        </w:rPr>
        <w:t>) within 180 days</w:t>
      </w:r>
      <w:r w:rsidR="00A0731B" w:rsidRPr="008A132B">
        <w:rPr>
          <w:szCs w:val="24"/>
        </w:rPr>
        <w:t xml:space="preserve">, and make it known that an application for a mining right had been accepted in respect of the land in question. He must also call on I&amp;APs to submit their comments </w:t>
      </w:r>
      <w:r w:rsidR="001E0AAE" w:rsidRPr="008A132B">
        <w:rPr>
          <w:szCs w:val="24"/>
        </w:rPr>
        <w:t xml:space="preserve">for consideration </w:t>
      </w:r>
      <w:r w:rsidR="00A0731B" w:rsidRPr="008A132B">
        <w:rPr>
          <w:szCs w:val="24"/>
        </w:rPr>
        <w:t>within 30 days of notice. In terms of the M</w:t>
      </w:r>
      <w:r w:rsidR="0063539E" w:rsidRPr="008A132B">
        <w:rPr>
          <w:szCs w:val="24"/>
        </w:rPr>
        <w:t>PR</w:t>
      </w:r>
      <w:r w:rsidR="00A0731B" w:rsidRPr="008A132B">
        <w:rPr>
          <w:szCs w:val="24"/>
        </w:rPr>
        <w:t>DA regulations</w:t>
      </w:r>
      <w:r w:rsidR="001E0AAE" w:rsidRPr="008A132B">
        <w:rPr>
          <w:szCs w:val="24"/>
        </w:rPr>
        <w:t xml:space="preserve"> </w:t>
      </w:r>
      <w:r w:rsidR="00A0731B" w:rsidRPr="008A132B">
        <w:rPr>
          <w:szCs w:val="24"/>
        </w:rPr>
        <w:t>an EIA requires the compilation of a scoping report a</w:t>
      </w:r>
      <w:r w:rsidR="001E0AAE" w:rsidRPr="008A132B">
        <w:rPr>
          <w:szCs w:val="24"/>
        </w:rPr>
        <w:t xml:space="preserve">nd </w:t>
      </w:r>
      <w:r w:rsidR="00A0731B" w:rsidRPr="008A132B">
        <w:rPr>
          <w:szCs w:val="24"/>
        </w:rPr>
        <w:t>an EIA report, and finally a scoping report must be finalised in regard to the proposed mining operation dealing with a number of prescribed issues.</w:t>
      </w:r>
      <w:r w:rsidR="00A0731B" w:rsidRPr="008A132B">
        <w:rPr>
          <w:rStyle w:val="FootnoteReference"/>
          <w:szCs w:val="24"/>
        </w:rPr>
        <w:footnoteReference w:id="14"/>
      </w:r>
    </w:p>
    <w:p w14:paraId="205B1A77" w14:textId="24A26634" w:rsidR="001E0AAE" w:rsidRPr="008A132B" w:rsidRDefault="001E0AAE" w:rsidP="00CC12CF">
      <w:pPr>
        <w:spacing w:line="360" w:lineRule="auto"/>
        <w:jc w:val="both"/>
        <w:rPr>
          <w:szCs w:val="24"/>
        </w:rPr>
      </w:pPr>
    </w:p>
    <w:p w14:paraId="581E67D6" w14:textId="63480680" w:rsidR="0001538F" w:rsidRPr="008A132B" w:rsidRDefault="006D79CC" w:rsidP="006D79CC">
      <w:pPr>
        <w:spacing w:line="360" w:lineRule="auto"/>
        <w:jc w:val="both"/>
        <w:rPr>
          <w:szCs w:val="24"/>
        </w:rPr>
      </w:pPr>
      <w:r w:rsidRPr="008A132B">
        <w:rPr>
          <w:szCs w:val="24"/>
        </w:rPr>
        <w:t>[10]</w:t>
      </w:r>
      <w:r w:rsidRPr="008A132B">
        <w:rPr>
          <w:szCs w:val="24"/>
        </w:rPr>
        <w:tab/>
      </w:r>
      <w:r w:rsidR="004456D5" w:rsidRPr="008A132B">
        <w:rPr>
          <w:szCs w:val="24"/>
        </w:rPr>
        <w:t xml:space="preserve"> </w:t>
      </w:r>
      <w:r w:rsidR="00697505" w:rsidRPr="008A132B">
        <w:rPr>
          <w:szCs w:val="24"/>
          <w:lang w:eastAsia="en-GB"/>
        </w:rPr>
        <w:t>Tendele applied for</w:t>
      </w:r>
      <w:r w:rsidR="00D6098A" w:rsidRPr="008A132B">
        <w:rPr>
          <w:szCs w:val="24"/>
          <w:lang w:eastAsia="en-GB"/>
        </w:rPr>
        <w:t>,</w:t>
      </w:r>
      <w:r w:rsidR="00697505" w:rsidRPr="008A132B">
        <w:rPr>
          <w:szCs w:val="24"/>
          <w:lang w:eastAsia="en-GB"/>
        </w:rPr>
        <w:t xml:space="preserve"> and </w:t>
      </w:r>
      <w:r w:rsidR="000D7572" w:rsidRPr="008A132B">
        <w:rPr>
          <w:szCs w:val="24"/>
          <w:lang w:eastAsia="en-GB"/>
        </w:rPr>
        <w:t>on</w:t>
      </w:r>
      <w:r w:rsidR="00697505" w:rsidRPr="008A132B">
        <w:t xml:space="preserve"> 31 May 2016</w:t>
      </w:r>
      <w:r w:rsidR="00AD0ED5" w:rsidRPr="008A132B">
        <w:t>,</w:t>
      </w:r>
      <w:r w:rsidR="00697505" w:rsidRPr="008A132B">
        <w:t xml:space="preserve"> was awarded </w:t>
      </w:r>
      <w:r w:rsidR="000D7572" w:rsidRPr="008A132B">
        <w:t xml:space="preserve">the </w:t>
      </w:r>
      <w:r w:rsidR="00697505" w:rsidRPr="008A132B">
        <w:t xml:space="preserve">mining right in respect of </w:t>
      </w:r>
      <w:r w:rsidR="009D72CC" w:rsidRPr="008A132B">
        <w:t>Part of Remainder of R</w:t>
      </w:r>
      <w:r w:rsidR="00697505" w:rsidRPr="008A132B">
        <w:t>eserve 3 (Somkhele No 15822)</w:t>
      </w:r>
      <w:r w:rsidR="009D72CC" w:rsidRPr="008A132B">
        <w:t>, which include</w:t>
      </w:r>
      <w:r w:rsidR="00AD0ED5" w:rsidRPr="008A132B">
        <w:t>s</w:t>
      </w:r>
      <w:r w:rsidR="009D72CC" w:rsidRPr="008A132B">
        <w:t xml:space="preserve"> areas 4 and 5,</w:t>
      </w:r>
      <w:r w:rsidR="00697505" w:rsidRPr="008A132B">
        <w:t xml:space="preserve"> by the </w:t>
      </w:r>
      <w:r w:rsidR="00AD0ED5" w:rsidRPr="008A132B">
        <w:t xml:space="preserve">director general </w:t>
      </w:r>
      <w:r w:rsidR="00697505" w:rsidRPr="008A132B">
        <w:t>of the department. In addition, the EMP</w:t>
      </w:r>
      <w:r w:rsidR="009D72CC" w:rsidRPr="008A132B">
        <w:t>r</w:t>
      </w:r>
      <w:r w:rsidR="00697505" w:rsidRPr="008A132B">
        <w:t xml:space="preserve"> applicable to this mining area was approved by the regional manager of the department for the KZN region on 26 October 2016. </w:t>
      </w:r>
      <w:r w:rsidR="0001538F" w:rsidRPr="008A132B">
        <w:rPr>
          <w:szCs w:val="24"/>
        </w:rPr>
        <w:t xml:space="preserve">The decision of the director general to award the mining right and the decision of the regional manager of the department to approve the EMPr shall hereinafter </w:t>
      </w:r>
      <w:r w:rsidR="00775877" w:rsidRPr="008A132B">
        <w:rPr>
          <w:szCs w:val="24"/>
        </w:rPr>
        <w:t xml:space="preserve">be referred to </w:t>
      </w:r>
      <w:r w:rsidR="0001538F" w:rsidRPr="008A132B">
        <w:rPr>
          <w:szCs w:val="24"/>
        </w:rPr>
        <w:t xml:space="preserve">individually </w:t>
      </w:r>
      <w:r w:rsidR="00775877" w:rsidRPr="008A132B">
        <w:rPr>
          <w:szCs w:val="24"/>
        </w:rPr>
        <w:t xml:space="preserve">by name, </w:t>
      </w:r>
      <w:r w:rsidR="0001538F" w:rsidRPr="008A132B">
        <w:rPr>
          <w:szCs w:val="24"/>
        </w:rPr>
        <w:t xml:space="preserve">and collectively </w:t>
      </w:r>
      <w:r w:rsidR="00775877" w:rsidRPr="008A132B">
        <w:rPr>
          <w:szCs w:val="24"/>
        </w:rPr>
        <w:t xml:space="preserve">as </w:t>
      </w:r>
      <w:r w:rsidR="00AD0ED5" w:rsidRPr="008A132B">
        <w:rPr>
          <w:szCs w:val="24"/>
        </w:rPr>
        <w:t>‘the decisions</w:t>
      </w:r>
      <w:r w:rsidR="0001538F" w:rsidRPr="008A132B">
        <w:rPr>
          <w:szCs w:val="24"/>
        </w:rPr>
        <w:t>’</w:t>
      </w:r>
      <w:r w:rsidR="00AD0ED5" w:rsidRPr="008A132B">
        <w:rPr>
          <w:szCs w:val="24"/>
        </w:rPr>
        <w:t>.</w:t>
      </w:r>
    </w:p>
    <w:p w14:paraId="4763BB8A" w14:textId="77777777" w:rsidR="0001538F" w:rsidRPr="008A132B" w:rsidRDefault="0001538F" w:rsidP="00CC12CF">
      <w:pPr>
        <w:spacing w:line="360" w:lineRule="auto"/>
        <w:jc w:val="both"/>
      </w:pPr>
    </w:p>
    <w:p w14:paraId="7901F578" w14:textId="6BC0ECC4" w:rsidR="00C14D54" w:rsidRPr="008A132B" w:rsidRDefault="006D79CC" w:rsidP="006D79CC">
      <w:pPr>
        <w:spacing w:line="360" w:lineRule="auto"/>
        <w:jc w:val="both"/>
      </w:pPr>
      <w:r w:rsidRPr="008A132B">
        <w:rPr>
          <w:szCs w:val="24"/>
        </w:rPr>
        <w:t>[11]</w:t>
      </w:r>
      <w:r w:rsidRPr="008A132B">
        <w:rPr>
          <w:szCs w:val="24"/>
        </w:rPr>
        <w:tab/>
      </w:r>
      <w:r w:rsidR="00697505" w:rsidRPr="008A132B">
        <w:t>It is not disputed that members of the first applicant</w:t>
      </w:r>
      <w:r w:rsidR="00970899" w:rsidRPr="008A132B">
        <w:t xml:space="preserve"> who </w:t>
      </w:r>
      <w:r w:rsidR="00697505" w:rsidRPr="008A132B">
        <w:t>reside in the area, would be affected by such mining</w:t>
      </w:r>
      <w:r w:rsidR="00C14D54" w:rsidRPr="008A132B">
        <w:t xml:space="preserve">, and have </w:t>
      </w:r>
      <w:r w:rsidR="00697505" w:rsidRPr="008A132B">
        <w:rPr>
          <w:i/>
          <w:iCs/>
        </w:rPr>
        <w:t>locus standi in iudicio</w:t>
      </w:r>
      <w:r w:rsidR="009D72CC" w:rsidRPr="008A132B">
        <w:rPr>
          <w:rStyle w:val="FootnoteReference"/>
        </w:rPr>
        <w:footnoteReference w:id="15"/>
      </w:r>
      <w:r w:rsidR="00A96979" w:rsidRPr="008A132B">
        <w:t xml:space="preserve"> to object to the mining operations. </w:t>
      </w:r>
      <w:r w:rsidR="00C14D54" w:rsidRPr="008A132B">
        <w:t xml:space="preserve">Similarly, that </w:t>
      </w:r>
      <w:r w:rsidR="00697505" w:rsidRPr="008A132B">
        <w:t>the second applicant, the third applicant, the fourth applicant,</w:t>
      </w:r>
      <w:r w:rsidR="00C14D54" w:rsidRPr="008A132B">
        <w:t xml:space="preserve"> and fifth applicant would have the rig</w:t>
      </w:r>
      <w:r w:rsidR="00697505" w:rsidRPr="008A132B">
        <w:t>ht to approach a competent court alleging that a right in the Bill of Rights has been infringed or threatened</w:t>
      </w:r>
      <w:r w:rsidR="00CD4996" w:rsidRPr="008A132B">
        <w:t>, has not been placed in dispute.</w:t>
      </w:r>
      <w:r w:rsidR="00697505" w:rsidRPr="008A132B">
        <w:rPr>
          <w:rStyle w:val="FootnoteReference"/>
        </w:rPr>
        <w:footnoteReference w:id="16"/>
      </w:r>
    </w:p>
    <w:p w14:paraId="5B32E917" w14:textId="77777777" w:rsidR="00C14D54" w:rsidRPr="008A132B" w:rsidRDefault="00C14D54" w:rsidP="00311661">
      <w:pPr>
        <w:pStyle w:val="ListParagraph"/>
        <w:spacing w:line="360" w:lineRule="auto"/>
        <w:ind w:left="0"/>
        <w:jc w:val="both"/>
      </w:pPr>
    </w:p>
    <w:p w14:paraId="38207C8B" w14:textId="24019514" w:rsidR="00697505"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[12]</w:t>
      </w:r>
      <w:r w:rsidRPr="008A132B">
        <w:rPr>
          <w:rFonts w:cs="Arial"/>
          <w:iCs w:val="0"/>
          <w:szCs w:val="24"/>
          <w:lang w:val="en-ZA"/>
        </w:rPr>
        <w:tab/>
      </w:r>
      <w:r w:rsidR="00970899" w:rsidRPr="008A132B">
        <w:rPr>
          <w:lang w:val="en-ZA"/>
        </w:rPr>
        <w:t>T</w:t>
      </w:r>
      <w:r w:rsidR="00C14D54" w:rsidRPr="008A132B">
        <w:rPr>
          <w:lang w:val="en-ZA"/>
        </w:rPr>
        <w:t>he applicants, having become aware of the extent of the mining right, on 31 August 2017 lodged an appeal, as they were entitled to do, with the Minister</w:t>
      </w:r>
      <w:r w:rsidR="00970899" w:rsidRPr="008A132B">
        <w:rPr>
          <w:lang w:val="en-ZA"/>
        </w:rPr>
        <w:t xml:space="preserve">, in terms of </w:t>
      </w:r>
      <w:r w:rsidR="00C14D54" w:rsidRPr="008A132B">
        <w:rPr>
          <w:lang w:val="en-ZA"/>
        </w:rPr>
        <w:t>s 96(1)</w:t>
      </w:r>
      <w:r w:rsidR="00C14D54" w:rsidRPr="008A132B">
        <w:rPr>
          <w:i/>
          <w:lang w:val="en-ZA"/>
        </w:rPr>
        <w:t>(b)</w:t>
      </w:r>
      <w:r w:rsidR="00C14D54" w:rsidRPr="008A132B">
        <w:rPr>
          <w:lang w:val="en-ZA"/>
        </w:rPr>
        <w:t xml:space="preserve"> of the MPRDA</w:t>
      </w:r>
      <w:r w:rsidR="00775877" w:rsidRPr="008A132B">
        <w:rPr>
          <w:lang w:val="en-ZA"/>
        </w:rPr>
        <w:t xml:space="preserve">, </w:t>
      </w:r>
      <w:r w:rsidR="00C14D54" w:rsidRPr="008A132B">
        <w:rPr>
          <w:rFonts w:cs="Arial"/>
          <w:szCs w:val="24"/>
          <w:lang w:val="en-ZA"/>
        </w:rPr>
        <w:t xml:space="preserve">read with regulation 74 of the </w:t>
      </w:r>
      <w:bookmarkStart w:id="1" w:name="_Hlk137457717"/>
      <w:r w:rsidR="00C14D54" w:rsidRPr="008A132B">
        <w:rPr>
          <w:rFonts w:cs="Arial"/>
          <w:szCs w:val="24"/>
          <w:lang w:val="en-ZA"/>
        </w:rPr>
        <w:t>Mineral and Petroleum Resources Development Regulations.</w:t>
      </w:r>
      <w:r w:rsidR="00C14D54" w:rsidRPr="008A132B">
        <w:rPr>
          <w:rStyle w:val="FootnoteReference"/>
          <w:rFonts w:cs="Arial"/>
          <w:szCs w:val="24"/>
          <w:lang w:val="en-ZA"/>
        </w:rPr>
        <w:footnoteReference w:id="17"/>
      </w:r>
      <w:r w:rsidR="00C14D54" w:rsidRPr="008A132B">
        <w:rPr>
          <w:rFonts w:cs="Arial"/>
          <w:szCs w:val="24"/>
          <w:lang w:val="en-ZA"/>
        </w:rPr>
        <w:t xml:space="preserve"> </w:t>
      </w:r>
      <w:bookmarkEnd w:id="1"/>
    </w:p>
    <w:p w14:paraId="5961CB32" w14:textId="77777777" w:rsidR="000D7572" w:rsidRPr="008A132B" w:rsidRDefault="000D7572" w:rsidP="00311661">
      <w:pPr>
        <w:pStyle w:val="ListParagraph"/>
        <w:spacing w:line="360" w:lineRule="auto"/>
        <w:ind w:left="0"/>
        <w:jc w:val="both"/>
      </w:pPr>
    </w:p>
    <w:p w14:paraId="5F60AFCD" w14:textId="3529E9F8" w:rsidR="00673633" w:rsidRPr="008A132B" w:rsidRDefault="006D79CC" w:rsidP="006D79CC">
      <w:pPr>
        <w:spacing w:line="360" w:lineRule="auto"/>
        <w:jc w:val="both"/>
      </w:pPr>
      <w:r w:rsidRPr="008A132B">
        <w:rPr>
          <w:szCs w:val="24"/>
        </w:rPr>
        <w:t>[13]</w:t>
      </w:r>
      <w:r w:rsidRPr="008A132B">
        <w:rPr>
          <w:szCs w:val="24"/>
        </w:rPr>
        <w:tab/>
      </w:r>
      <w:r w:rsidR="00673633" w:rsidRPr="008A132B">
        <w:t xml:space="preserve">Section 96 </w:t>
      </w:r>
      <w:r w:rsidR="00C11D96" w:rsidRPr="008A132B">
        <w:t xml:space="preserve">of the MPRDA </w:t>
      </w:r>
      <w:r w:rsidR="00673633" w:rsidRPr="008A132B">
        <w:t>provides:</w:t>
      </w:r>
    </w:p>
    <w:p w14:paraId="4DDE6EE4" w14:textId="0AAFFDFE" w:rsidR="00326EB6" w:rsidRPr="008A132B" w:rsidRDefault="00326EB6" w:rsidP="00326EB6">
      <w:pPr>
        <w:spacing w:line="360" w:lineRule="auto"/>
        <w:jc w:val="both"/>
        <w:rPr>
          <w:sz w:val="22"/>
        </w:rPr>
      </w:pPr>
      <w:r w:rsidRPr="008A132B">
        <w:rPr>
          <w:sz w:val="22"/>
        </w:rPr>
        <w:t>‘(1) Any person whose rights or legitimate expectations have been materially and adversely affected or who is aggrieved by any administrative decision in terms of this Act may appeal within 30 days becoming [sic] aware of such administrative decision in the prescribed manner to-</w:t>
      </w:r>
    </w:p>
    <w:p w14:paraId="646ACFBF" w14:textId="3B03569F" w:rsidR="00326EB6" w:rsidRPr="008A132B" w:rsidRDefault="00326EB6" w:rsidP="00326EB6">
      <w:pPr>
        <w:spacing w:line="360" w:lineRule="auto"/>
        <w:jc w:val="both"/>
        <w:rPr>
          <w:sz w:val="22"/>
        </w:rPr>
      </w:pPr>
      <w:r w:rsidRPr="008A132B">
        <w:rPr>
          <w:i/>
          <w:sz w:val="22"/>
        </w:rPr>
        <w:t>(a)</w:t>
      </w:r>
      <w:r w:rsidRPr="008A132B">
        <w:rPr>
          <w:sz w:val="22"/>
        </w:rPr>
        <w:t xml:space="preserve"> </w:t>
      </w:r>
      <w:r w:rsidRPr="008A132B">
        <w:rPr>
          <w:sz w:val="22"/>
        </w:rPr>
        <w:tab/>
        <w:t>the Director-General, if it is an administrative decision by a Regional Manager or any officer to whom the power has been delegated or a duty has been assigned by or under this Act;</w:t>
      </w:r>
    </w:p>
    <w:p w14:paraId="46BD485E" w14:textId="740D40F6" w:rsidR="00326EB6" w:rsidRPr="008A132B" w:rsidRDefault="00326EB6" w:rsidP="00326EB6">
      <w:pPr>
        <w:spacing w:line="360" w:lineRule="auto"/>
        <w:jc w:val="both"/>
        <w:rPr>
          <w:sz w:val="22"/>
        </w:rPr>
      </w:pPr>
      <w:r w:rsidRPr="008A132B">
        <w:rPr>
          <w:i/>
          <w:sz w:val="22"/>
        </w:rPr>
        <w:t>(b)</w:t>
      </w:r>
      <w:r w:rsidRPr="008A132B">
        <w:rPr>
          <w:sz w:val="22"/>
        </w:rPr>
        <w:t xml:space="preserve"> </w:t>
      </w:r>
      <w:r w:rsidRPr="008A132B">
        <w:rPr>
          <w:sz w:val="22"/>
        </w:rPr>
        <w:tab/>
        <w:t>the Minister, if it is an administrative decision that was taken by the Director-General or the designated agency.</w:t>
      </w:r>
    </w:p>
    <w:p w14:paraId="331434C7" w14:textId="24E429E6" w:rsidR="00326EB6" w:rsidRPr="008A132B" w:rsidRDefault="00326EB6" w:rsidP="00326EB6">
      <w:pPr>
        <w:spacing w:line="360" w:lineRule="auto"/>
        <w:jc w:val="both"/>
        <w:rPr>
          <w:sz w:val="22"/>
        </w:rPr>
      </w:pPr>
      <w:r w:rsidRPr="008A132B">
        <w:rPr>
          <w:sz w:val="22"/>
        </w:rPr>
        <w:t xml:space="preserve">(2) </w:t>
      </w:r>
      <w:r w:rsidRPr="008A132B">
        <w:rPr>
          <w:i/>
          <w:sz w:val="22"/>
        </w:rPr>
        <w:t>(a)</w:t>
      </w:r>
      <w:r w:rsidRPr="008A132B">
        <w:rPr>
          <w:sz w:val="22"/>
        </w:rPr>
        <w:tab/>
        <w:t>An appeal in terms of subsection (1) does not suspend the administrative decision, unless it is suspended by the Director-General or the Minister, as the case may be.</w:t>
      </w:r>
    </w:p>
    <w:p w14:paraId="39CA6048" w14:textId="47938ADD" w:rsidR="00326EB6" w:rsidRPr="008A132B" w:rsidRDefault="00326EB6" w:rsidP="00326EB6">
      <w:pPr>
        <w:spacing w:line="360" w:lineRule="auto"/>
        <w:jc w:val="both"/>
        <w:rPr>
          <w:sz w:val="22"/>
        </w:rPr>
      </w:pPr>
      <w:r w:rsidRPr="008A132B">
        <w:rPr>
          <w:i/>
          <w:sz w:val="22"/>
        </w:rPr>
        <w:t>(b)</w:t>
      </w:r>
      <w:r w:rsidRPr="008A132B">
        <w:rPr>
          <w:sz w:val="22"/>
        </w:rPr>
        <w:t xml:space="preserve"> </w:t>
      </w:r>
      <w:r w:rsidRPr="008A132B">
        <w:rPr>
          <w:sz w:val="22"/>
        </w:rPr>
        <w:tab/>
        <w:t xml:space="preserve">Any subsequent application in terms of this Act must be suspended pending the finalisation of the appeal referred to in paragraph </w:t>
      </w:r>
      <w:r w:rsidRPr="008A132B">
        <w:rPr>
          <w:i/>
          <w:sz w:val="22"/>
        </w:rPr>
        <w:t>(a)</w:t>
      </w:r>
      <w:r w:rsidRPr="008A132B">
        <w:rPr>
          <w:sz w:val="22"/>
        </w:rPr>
        <w:t>.</w:t>
      </w:r>
    </w:p>
    <w:p w14:paraId="5F810B22" w14:textId="3F9F4EEB" w:rsidR="00326EB6" w:rsidRPr="008A132B" w:rsidRDefault="00326EB6" w:rsidP="00326EB6">
      <w:pPr>
        <w:spacing w:line="360" w:lineRule="auto"/>
        <w:jc w:val="both"/>
        <w:rPr>
          <w:sz w:val="22"/>
        </w:rPr>
      </w:pPr>
      <w:r w:rsidRPr="008A132B">
        <w:rPr>
          <w:sz w:val="22"/>
        </w:rPr>
        <w:t>(3) No person may apply to the court for the review of an administrative decision contemplated in subsection (1) until that person has exhausted his or her remedies in terms of that subsection.</w:t>
      </w:r>
    </w:p>
    <w:p w14:paraId="0F451AF9" w14:textId="6282AC09" w:rsidR="00326EB6" w:rsidRPr="008A132B" w:rsidRDefault="00326EB6" w:rsidP="00326EB6">
      <w:pPr>
        <w:spacing w:line="360" w:lineRule="auto"/>
        <w:jc w:val="both"/>
      </w:pPr>
      <w:r w:rsidRPr="008A132B">
        <w:rPr>
          <w:sz w:val="22"/>
        </w:rPr>
        <w:t>(4) Sections 6, 7 (1) and 8 of the Promotion of Administrative Justice Act, 2000 (Act 3 of 2000), apply to any court proceedings contemplated in this section</w:t>
      </w:r>
      <w:r w:rsidR="00005A6E" w:rsidRPr="008A132B">
        <w:rPr>
          <w:sz w:val="22"/>
        </w:rPr>
        <w:t>.</w:t>
      </w:r>
      <w:r w:rsidRPr="008A132B">
        <w:rPr>
          <w:sz w:val="22"/>
        </w:rPr>
        <w:t>’</w:t>
      </w:r>
    </w:p>
    <w:p w14:paraId="0F0FA464" w14:textId="77777777" w:rsidR="00C0142F" w:rsidRPr="008A132B" w:rsidRDefault="00C0142F" w:rsidP="00CC12CF">
      <w:pPr>
        <w:spacing w:line="360" w:lineRule="auto"/>
        <w:jc w:val="both"/>
      </w:pPr>
    </w:p>
    <w:p w14:paraId="05B33860" w14:textId="072F1AF5" w:rsidR="00697505" w:rsidRPr="008A132B" w:rsidRDefault="006D79CC" w:rsidP="006D79CC">
      <w:pPr>
        <w:spacing w:line="360" w:lineRule="auto"/>
        <w:jc w:val="both"/>
      </w:pPr>
      <w:r w:rsidRPr="008A132B">
        <w:rPr>
          <w:szCs w:val="24"/>
        </w:rPr>
        <w:t>[14]</w:t>
      </w:r>
      <w:r w:rsidRPr="008A132B">
        <w:rPr>
          <w:szCs w:val="24"/>
        </w:rPr>
        <w:tab/>
      </w:r>
      <w:r w:rsidR="00697505" w:rsidRPr="008A132B">
        <w:t>The Minister dismissed the appeal on 15 June 2018.</w:t>
      </w:r>
    </w:p>
    <w:p w14:paraId="502D82DA" w14:textId="5B55219F" w:rsidR="00C11D96" w:rsidRPr="008A132B" w:rsidRDefault="00C11D96" w:rsidP="00CC12CF">
      <w:pPr>
        <w:spacing w:line="360" w:lineRule="auto"/>
        <w:jc w:val="both"/>
      </w:pPr>
    </w:p>
    <w:p w14:paraId="16549F28" w14:textId="62D45789" w:rsidR="00916A41" w:rsidRPr="008A132B" w:rsidRDefault="006D79CC" w:rsidP="006D79CC">
      <w:pPr>
        <w:pStyle w:val="2"/>
        <w:numPr>
          <w:ilvl w:val="0"/>
          <w:numId w:val="0"/>
        </w:numPr>
        <w:spacing w:before="0" w:line="360" w:lineRule="auto"/>
        <w:rPr>
          <w:lang w:val="en-ZA"/>
        </w:rPr>
      </w:pPr>
      <w:r w:rsidRPr="008A132B">
        <w:rPr>
          <w:rFonts w:cs="Arial"/>
          <w:iCs w:val="0"/>
          <w:szCs w:val="24"/>
          <w:lang w:val="en-ZA"/>
        </w:rPr>
        <w:t>[15]</w:t>
      </w:r>
      <w:r w:rsidRPr="008A132B">
        <w:rPr>
          <w:rFonts w:cs="Arial"/>
          <w:iCs w:val="0"/>
          <w:szCs w:val="24"/>
          <w:lang w:val="en-ZA"/>
        </w:rPr>
        <w:tab/>
      </w:r>
      <w:r w:rsidR="00C11D96" w:rsidRPr="008A132B">
        <w:rPr>
          <w:lang w:val="en-ZA"/>
        </w:rPr>
        <w:t xml:space="preserve">The applicants thereafter </w:t>
      </w:r>
      <w:r w:rsidR="00CD4996" w:rsidRPr="008A132B">
        <w:rPr>
          <w:lang w:val="en-ZA"/>
        </w:rPr>
        <w:t xml:space="preserve">launched </w:t>
      </w:r>
      <w:r w:rsidR="00C11D96" w:rsidRPr="008A132B">
        <w:rPr>
          <w:lang w:val="en-ZA"/>
        </w:rPr>
        <w:t xml:space="preserve">a review in the Gauteng </w:t>
      </w:r>
      <w:r w:rsidR="003961BC" w:rsidRPr="008A132B">
        <w:rPr>
          <w:lang w:val="en-ZA"/>
        </w:rPr>
        <w:t>D</w:t>
      </w:r>
      <w:r w:rsidR="00C11D96" w:rsidRPr="008A132B">
        <w:rPr>
          <w:lang w:val="en-ZA"/>
        </w:rPr>
        <w:t>ivision of the High Court, Pretoria, under case number 82865/18</w:t>
      </w:r>
      <w:r w:rsidR="00775877" w:rsidRPr="008A132B">
        <w:rPr>
          <w:lang w:val="en-ZA"/>
        </w:rPr>
        <w:t>,</w:t>
      </w:r>
      <w:r w:rsidR="00311661" w:rsidRPr="008A132B">
        <w:rPr>
          <w:lang w:val="en-ZA"/>
        </w:rPr>
        <w:t xml:space="preserve"> reported as </w:t>
      </w:r>
      <w:r w:rsidR="00311661" w:rsidRPr="008A132B">
        <w:rPr>
          <w:i/>
          <w:lang w:val="en-ZA"/>
        </w:rPr>
        <w:t xml:space="preserve">Mfolozi Community </w:t>
      </w:r>
      <w:r w:rsidR="00311661" w:rsidRPr="008A132B">
        <w:rPr>
          <w:i/>
          <w:lang w:val="en-ZA"/>
        </w:rPr>
        <w:lastRenderedPageBreak/>
        <w:t>Environmental Justice Organisation v Minister of Minerals and Energy</w:t>
      </w:r>
      <w:r w:rsidR="00131EE8" w:rsidRPr="008A132B">
        <w:rPr>
          <w:lang w:val="en-ZA"/>
        </w:rPr>
        <w:t xml:space="preserve"> (the review)</w:t>
      </w:r>
      <w:r w:rsidR="003A4EC0">
        <w:rPr>
          <w:lang w:val="en-ZA"/>
        </w:rPr>
        <w:t>,</w:t>
      </w:r>
      <w:r w:rsidR="00311661" w:rsidRPr="008A132B">
        <w:rPr>
          <w:rStyle w:val="FootnoteReference"/>
          <w:lang w:val="en-ZA"/>
        </w:rPr>
        <w:footnoteReference w:id="18"/>
      </w:r>
      <w:r w:rsidR="00C11D96" w:rsidRPr="008A132B">
        <w:rPr>
          <w:lang w:val="en-ZA"/>
        </w:rPr>
        <w:t xml:space="preserve"> </w:t>
      </w:r>
      <w:r w:rsidR="003A4EC0" w:rsidRPr="008A132B">
        <w:rPr>
          <w:lang w:val="en-ZA"/>
        </w:rPr>
        <w:t>before the Honourable Madam Justice Bam</w:t>
      </w:r>
      <w:r w:rsidR="003A4EC0">
        <w:rPr>
          <w:lang w:val="en-ZA"/>
        </w:rPr>
        <w:t>,</w:t>
      </w:r>
      <w:r w:rsidR="003A4EC0" w:rsidRPr="008A132B">
        <w:rPr>
          <w:szCs w:val="24"/>
          <w:lang w:val="en-ZA"/>
        </w:rPr>
        <w:t xml:space="preserve"> </w:t>
      </w:r>
      <w:r w:rsidR="00C11D96" w:rsidRPr="008A132B">
        <w:rPr>
          <w:szCs w:val="24"/>
          <w:lang w:val="en-ZA"/>
        </w:rPr>
        <w:t xml:space="preserve">to set aside </w:t>
      </w:r>
      <w:r w:rsidR="00C11D96" w:rsidRPr="008A132B">
        <w:rPr>
          <w:rFonts w:cs="Arial"/>
          <w:szCs w:val="24"/>
          <w:lang w:val="en-ZA"/>
        </w:rPr>
        <w:t xml:space="preserve">the </w:t>
      </w:r>
      <w:r w:rsidR="00BE0055" w:rsidRPr="008A132B">
        <w:rPr>
          <w:rFonts w:cs="Arial"/>
          <w:szCs w:val="24"/>
          <w:lang w:val="en-ZA"/>
        </w:rPr>
        <w:t>director</w:t>
      </w:r>
      <w:r w:rsidR="00580F5E" w:rsidRPr="008A132B">
        <w:rPr>
          <w:rFonts w:cs="Arial"/>
          <w:szCs w:val="24"/>
          <w:lang w:val="en-ZA"/>
        </w:rPr>
        <w:t xml:space="preserve"> </w:t>
      </w:r>
      <w:r w:rsidR="00BE0055" w:rsidRPr="008A132B">
        <w:rPr>
          <w:rFonts w:cs="Arial"/>
          <w:szCs w:val="24"/>
          <w:lang w:val="en-ZA"/>
        </w:rPr>
        <w:t>g</w:t>
      </w:r>
      <w:r w:rsidR="00C11D96" w:rsidRPr="008A132B">
        <w:rPr>
          <w:rFonts w:cs="Arial"/>
          <w:szCs w:val="24"/>
          <w:lang w:val="en-ZA"/>
        </w:rPr>
        <w:t xml:space="preserve">eneral’s decision to grant the mining right to Tendele; the </w:t>
      </w:r>
      <w:r w:rsidR="00BE0055" w:rsidRPr="008A132B">
        <w:rPr>
          <w:rFonts w:cs="Arial"/>
          <w:szCs w:val="24"/>
          <w:lang w:val="en-ZA"/>
        </w:rPr>
        <w:t xml:space="preserve">regional manager’s </w:t>
      </w:r>
      <w:r w:rsidR="00C11D96" w:rsidRPr="008A132B">
        <w:rPr>
          <w:rFonts w:cs="Arial"/>
          <w:szCs w:val="24"/>
          <w:lang w:val="en-ZA"/>
        </w:rPr>
        <w:t xml:space="preserve">decision to approve the EMPr in respect of the new areas; and the decision of the Minister to dismiss </w:t>
      </w:r>
      <w:r w:rsidR="00CD4996" w:rsidRPr="008A132B">
        <w:rPr>
          <w:rFonts w:cs="Arial"/>
          <w:szCs w:val="24"/>
          <w:lang w:val="en-ZA"/>
        </w:rPr>
        <w:t xml:space="preserve">their </w:t>
      </w:r>
      <w:r w:rsidR="00C11D96" w:rsidRPr="008A132B">
        <w:rPr>
          <w:rFonts w:cs="Arial"/>
          <w:szCs w:val="24"/>
          <w:lang w:val="en-ZA"/>
        </w:rPr>
        <w:t>appeal against the two aforesaid decisions.</w:t>
      </w:r>
      <w:r w:rsidR="00CD4996" w:rsidRPr="008A132B">
        <w:rPr>
          <w:rFonts w:cs="Arial"/>
          <w:szCs w:val="24"/>
          <w:lang w:val="en-ZA"/>
        </w:rPr>
        <w:t xml:space="preserve"> </w:t>
      </w:r>
      <w:r w:rsidR="00697505" w:rsidRPr="008A132B">
        <w:rPr>
          <w:lang w:val="en-ZA"/>
        </w:rPr>
        <w:t>The review was opposed by Tendele,</w:t>
      </w:r>
      <w:r w:rsidR="00697505" w:rsidRPr="008A132B">
        <w:rPr>
          <w:rStyle w:val="FootnoteReference"/>
          <w:lang w:val="en-ZA"/>
        </w:rPr>
        <w:footnoteReference w:id="19"/>
      </w:r>
      <w:r w:rsidR="00697505" w:rsidRPr="008A132B">
        <w:rPr>
          <w:lang w:val="en-ZA"/>
        </w:rPr>
        <w:t xml:space="preserve"> </w:t>
      </w:r>
      <w:r w:rsidR="00970899" w:rsidRPr="008A132B">
        <w:rPr>
          <w:lang w:val="en-ZA"/>
        </w:rPr>
        <w:t xml:space="preserve">and the respondents opposing this application, </w:t>
      </w:r>
      <w:r w:rsidR="00697505" w:rsidRPr="008A132B">
        <w:rPr>
          <w:lang w:val="en-ZA"/>
        </w:rPr>
        <w:t>but not by the Minister,</w:t>
      </w:r>
      <w:r w:rsidR="00580F5E" w:rsidRPr="008A132B">
        <w:rPr>
          <w:rStyle w:val="FootnoteReference"/>
          <w:lang w:val="en-ZA"/>
        </w:rPr>
        <w:footnoteReference w:id="20"/>
      </w:r>
      <w:r w:rsidR="00697505" w:rsidRPr="008A132B">
        <w:rPr>
          <w:lang w:val="en-ZA"/>
        </w:rPr>
        <w:t xml:space="preserve"> the Minister of Environmental Affairs,</w:t>
      </w:r>
      <w:r w:rsidR="00697505" w:rsidRPr="008A132B">
        <w:rPr>
          <w:rStyle w:val="FootnoteReference"/>
          <w:lang w:val="en-ZA"/>
        </w:rPr>
        <w:footnoteReference w:id="21"/>
      </w:r>
      <w:r w:rsidR="00697505" w:rsidRPr="008A132B">
        <w:rPr>
          <w:lang w:val="en-ZA"/>
        </w:rPr>
        <w:t xml:space="preserve"> or the MEC for Transport, Community Safety and Liaison, KwaZulu-Natal.</w:t>
      </w:r>
      <w:r w:rsidR="00697505" w:rsidRPr="008A132B">
        <w:rPr>
          <w:rStyle w:val="FootnoteReference"/>
          <w:lang w:val="en-ZA"/>
        </w:rPr>
        <w:footnoteReference w:id="22"/>
      </w:r>
      <w:r w:rsidR="00697505" w:rsidRPr="008A132B">
        <w:rPr>
          <w:lang w:val="en-ZA"/>
        </w:rPr>
        <w:t xml:space="preserve"> </w:t>
      </w:r>
    </w:p>
    <w:p w14:paraId="3AAF8A2C" w14:textId="77777777" w:rsidR="009E6A7F" w:rsidRPr="008A132B" w:rsidRDefault="009E6A7F" w:rsidP="00CC12CF">
      <w:pPr>
        <w:spacing w:line="360" w:lineRule="auto"/>
        <w:jc w:val="both"/>
      </w:pPr>
    </w:p>
    <w:p w14:paraId="13630073" w14:textId="3315B52D" w:rsidR="00697505" w:rsidRPr="003A4EC0" w:rsidRDefault="006D79CC" w:rsidP="006D79CC">
      <w:pPr>
        <w:pStyle w:val="2"/>
        <w:numPr>
          <w:ilvl w:val="0"/>
          <w:numId w:val="0"/>
        </w:numPr>
        <w:spacing w:before="0" w:line="360" w:lineRule="auto"/>
        <w:rPr>
          <w:rFonts w:cs="Arial"/>
          <w:szCs w:val="24"/>
          <w:lang w:val="en-ZA"/>
        </w:rPr>
      </w:pPr>
      <w:r w:rsidRPr="003A4EC0">
        <w:rPr>
          <w:rFonts w:cs="Arial"/>
          <w:iCs w:val="0"/>
          <w:szCs w:val="24"/>
          <w:lang w:val="en-ZA"/>
        </w:rPr>
        <w:t>[16]</w:t>
      </w:r>
      <w:r w:rsidRPr="003A4EC0">
        <w:rPr>
          <w:rFonts w:cs="Arial"/>
          <w:iCs w:val="0"/>
          <w:szCs w:val="24"/>
          <w:lang w:val="en-ZA"/>
        </w:rPr>
        <w:tab/>
      </w:r>
      <w:r w:rsidR="00916A41" w:rsidRPr="008A132B">
        <w:rPr>
          <w:lang w:val="en-ZA"/>
        </w:rPr>
        <w:t xml:space="preserve">The review was heard on 10 to 12 November 2021. During the argument </w:t>
      </w:r>
      <w:r w:rsidR="00916A41" w:rsidRPr="008A132B">
        <w:rPr>
          <w:rFonts w:cs="Arial"/>
          <w:szCs w:val="24"/>
          <w:lang w:val="en-ZA"/>
        </w:rPr>
        <w:t xml:space="preserve">Tendele conceded that there were certain grounds of review that it </w:t>
      </w:r>
      <w:r w:rsidR="00C0142F" w:rsidRPr="008A132B">
        <w:rPr>
          <w:rFonts w:cs="Arial"/>
          <w:szCs w:val="24"/>
          <w:lang w:val="en-ZA"/>
        </w:rPr>
        <w:t xml:space="preserve">could not </w:t>
      </w:r>
      <w:r w:rsidR="00916A41" w:rsidRPr="008A132B">
        <w:rPr>
          <w:rFonts w:cs="Arial"/>
          <w:szCs w:val="24"/>
          <w:lang w:val="en-ZA"/>
        </w:rPr>
        <w:t>defend</w:t>
      </w:r>
      <w:r w:rsidR="00916A41" w:rsidRPr="008A132B">
        <w:rPr>
          <w:rStyle w:val="FootnoteReference"/>
          <w:rFonts w:cs="Arial"/>
          <w:szCs w:val="24"/>
          <w:lang w:val="en-ZA"/>
        </w:rPr>
        <w:footnoteReference w:id="23"/>
      </w:r>
      <w:r w:rsidR="00916A41" w:rsidRPr="008A132B">
        <w:rPr>
          <w:rFonts w:cs="Arial"/>
          <w:szCs w:val="24"/>
          <w:lang w:val="en-ZA"/>
        </w:rPr>
        <w:t xml:space="preserve"> and </w:t>
      </w:r>
      <w:r w:rsidR="00970899" w:rsidRPr="008A132B">
        <w:rPr>
          <w:rFonts w:cs="Arial"/>
          <w:szCs w:val="24"/>
          <w:lang w:val="en-ZA"/>
        </w:rPr>
        <w:t xml:space="preserve">it </w:t>
      </w:r>
      <w:r w:rsidR="00916A41" w:rsidRPr="008A132B">
        <w:rPr>
          <w:rFonts w:cs="Arial"/>
          <w:szCs w:val="24"/>
          <w:lang w:val="en-ZA" w:eastAsia="en-GB"/>
        </w:rPr>
        <w:t xml:space="preserve">abandoned what it </w:t>
      </w:r>
      <w:r w:rsidR="00C11D96" w:rsidRPr="008A132B">
        <w:rPr>
          <w:rFonts w:cs="Arial"/>
          <w:szCs w:val="24"/>
          <w:lang w:val="en-ZA" w:eastAsia="en-GB"/>
        </w:rPr>
        <w:t>describe</w:t>
      </w:r>
      <w:r w:rsidR="00C0142F" w:rsidRPr="008A132B">
        <w:rPr>
          <w:rFonts w:cs="Arial"/>
          <w:szCs w:val="24"/>
          <w:lang w:val="en-ZA" w:eastAsia="en-GB"/>
        </w:rPr>
        <w:t>s</w:t>
      </w:r>
      <w:r w:rsidR="00C11D96" w:rsidRPr="008A132B">
        <w:rPr>
          <w:rFonts w:cs="Arial"/>
          <w:szCs w:val="24"/>
          <w:lang w:val="en-ZA" w:eastAsia="en-GB"/>
        </w:rPr>
        <w:t xml:space="preserve"> as </w:t>
      </w:r>
      <w:r w:rsidR="00916A41" w:rsidRPr="008A132B">
        <w:rPr>
          <w:rFonts w:cs="Arial"/>
          <w:szCs w:val="24"/>
          <w:lang w:val="en-ZA" w:eastAsia="en-GB"/>
        </w:rPr>
        <w:t>92</w:t>
      </w:r>
      <w:r w:rsidR="00580F5E" w:rsidRPr="008A132B">
        <w:rPr>
          <w:rFonts w:cs="Arial"/>
          <w:szCs w:val="24"/>
          <w:lang w:val="en-ZA" w:eastAsia="en-GB"/>
        </w:rPr>
        <w:t xml:space="preserve">% </w:t>
      </w:r>
      <w:r w:rsidR="00916A41" w:rsidRPr="008A132B">
        <w:rPr>
          <w:rFonts w:cs="Arial"/>
          <w:szCs w:val="24"/>
          <w:lang w:val="en-ZA" w:eastAsia="en-GB"/>
        </w:rPr>
        <w:t xml:space="preserve">of </w:t>
      </w:r>
      <w:r w:rsidR="00775877" w:rsidRPr="008A132B">
        <w:rPr>
          <w:rFonts w:cs="Arial"/>
          <w:szCs w:val="24"/>
          <w:lang w:val="en-ZA" w:eastAsia="en-GB"/>
        </w:rPr>
        <w:t xml:space="preserve">the </w:t>
      </w:r>
      <w:r w:rsidR="00916A41" w:rsidRPr="008A132B">
        <w:rPr>
          <w:rFonts w:cs="Arial"/>
          <w:szCs w:val="24"/>
          <w:lang w:val="en-ZA" w:eastAsia="en-GB"/>
        </w:rPr>
        <w:t xml:space="preserve">mining right, persisting only with </w:t>
      </w:r>
      <w:r w:rsidR="00775877" w:rsidRPr="008A132B">
        <w:rPr>
          <w:rFonts w:cs="Arial"/>
          <w:szCs w:val="24"/>
          <w:lang w:val="en-ZA" w:eastAsia="en-GB"/>
        </w:rPr>
        <w:t>a mining right</w:t>
      </w:r>
      <w:r w:rsidR="00916A41" w:rsidRPr="008A132B">
        <w:rPr>
          <w:rFonts w:cs="Arial"/>
          <w:szCs w:val="24"/>
          <w:lang w:val="en-ZA" w:eastAsia="en-GB"/>
        </w:rPr>
        <w:t xml:space="preserve"> to conduct mining activities in </w:t>
      </w:r>
      <w:r w:rsidR="00775877" w:rsidRPr="008A132B">
        <w:rPr>
          <w:rFonts w:cs="Arial"/>
          <w:szCs w:val="24"/>
          <w:lang w:val="en-ZA" w:eastAsia="en-GB"/>
        </w:rPr>
        <w:t xml:space="preserve">the </w:t>
      </w:r>
      <w:r w:rsidR="00916A41" w:rsidRPr="008A132B">
        <w:rPr>
          <w:rFonts w:cs="Arial"/>
          <w:szCs w:val="24"/>
          <w:lang w:val="en-ZA" w:eastAsia="en-GB"/>
        </w:rPr>
        <w:t>Emalahleni, Ophondweni, and Mahujini</w:t>
      </w:r>
      <w:r w:rsidR="00775877" w:rsidRPr="008A132B">
        <w:rPr>
          <w:rFonts w:cs="Arial"/>
          <w:szCs w:val="24"/>
          <w:lang w:val="en-ZA" w:eastAsia="en-GB"/>
        </w:rPr>
        <w:t xml:space="preserve"> areas</w:t>
      </w:r>
      <w:r w:rsidR="004848E6" w:rsidRPr="008A132B">
        <w:rPr>
          <w:rFonts w:cs="Arial"/>
          <w:szCs w:val="24"/>
          <w:lang w:val="en-ZA" w:eastAsia="en-GB"/>
        </w:rPr>
        <w:t xml:space="preserve">. </w:t>
      </w:r>
      <w:r w:rsidR="003A4EC0">
        <w:rPr>
          <w:rFonts w:cs="Arial"/>
          <w:szCs w:val="24"/>
          <w:lang w:val="en-ZA" w:eastAsia="en-GB"/>
        </w:rPr>
        <w:t xml:space="preserve">It </w:t>
      </w:r>
      <w:r w:rsidR="00E514B5" w:rsidRPr="008A132B">
        <w:t xml:space="preserve">accordingly came to be accepted </w:t>
      </w:r>
      <w:r w:rsidR="00697505" w:rsidRPr="008A132B">
        <w:t xml:space="preserve">that the decision of the </w:t>
      </w:r>
      <w:r w:rsidR="003E7C4E" w:rsidRPr="008A132B">
        <w:t xml:space="preserve">director general </w:t>
      </w:r>
      <w:r w:rsidR="00697505" w:rsidRPr="008A132B">
        <w:t>of 31 May 2016 granting the mining right to Tendele, the decision of the regional manager of 26 October 2016 approving the environmental management program in terms of s 39 of the MPRDA, and the decision of the Minister of 15 June 2018 dismissing the internal appeal lodged by the applicants, were unlawful and fell to be declared invalid.</w:t>
      </w:r>
      <w:r w:rsidR="00697505" w:rsidRPr="008A132B">
        <w:rPr>
          <w:rStyle w:val="FootnoteReference"/>
        </w:rPr>
        <w:footnoteReference w:id="24"/>
      </w:r>
      <w:r w:rsidR="00697505" w:rsidRPr="008A132B">
        <w:t xml:space="preserve"> </w:t>
      </w:r>
    </w:p>
    <w:p w14:paraId="2A6CE8AB" w14:textId="77777777" w:rsidR="00CC12CF" w:rsidRPr="008A132B" w:rsidRDefault="00CC12CF" w:rsidP="00CC12CF">
      <w:pPr>
        <w:spacing w:line="360" w:lineRule="auto"/>
        <w:jc w:val="both"/>
      </w:pPr>
    </w:p>
    <w:p w14:paraId="5814FBEA" w14:textId="41AA0885" w:rsidR="00697505" w:rsidRPr="003A4EC0" w:rsidRDefault="006D79CC" w:rsidP="006D79CC">
      <w:pPr>
        <w:pStyle w:val="1"/>
        <w:numPr>
          <w:ilvl w:val="0"/>
          <w:numId w:val="0"/>
        </w:numPr>
        <w:spacing w:before="0" w:line="360" w:lineRule="auto"/>
        <w:rPr>
          <w:rFonts w:cs="Arial"/>
          <w:szCs w:val="24"/>
          <w:lang w:val="en-ZA"/>
        </w:rPr>
      </w:pPr>
      <w:r w:rsidRPr="003A4EC0">
        <w:rPr>
          <w:rFonts w:cs="Arial"/>
          <w:iCs w:val="0"/>
          <w:szCs w:val="24"/>
          <w:lang w:val="en-ZA"/>
        </w:rPr>
        <w:t>[17]</w:t>
      </w:r>
      <w:r w:rsidRPr="003A4EC0">
        <w:rPr>
          <w:rFonts w:cs="Arial"/>
          <w:iCs w:val="0"/>
          <w:szCs w:val="24"/>
          <w:lang w:val="en-ZA"/>
        </w:rPr>
        <w:tab/>
      </w:r>
      <w:r w:rsidR="00697505" w:rsidRPr="008A132B">
        <w:rPr>
          <w:rFonts w:cs="Arial"/>
          <w:szCs w:val="24"/>
          <w:lang w:val="en-ZA"/>
        </w:rPr>
        <w:t xml:space="preserve">On 4 May 2022, Bam J, handed down </w:t>
      </w:r>
      <w:r w:rsidR="003A4EC0">
        <w:rPr>
          <w:rFonts w:cs="Arial"/>
          <w:szCs w:val="24"/>
          <w:lang w:val="en-ZA"/>
        </w:rPr>
        <w:t xml:space="preserve">her </w:t>
      </w:r>
      <w:r w:rsidR="00697505" w:rsidRPr="008A132B">
        <w:rPr>
          <w:rFonts w:cs="Arial"/>
          <w:szCs w:val="24"/>
          <w:lang w:val="en-ZA"/>
        </w:rPr>
        <w:t xml:space="preserve">judgment in the review. </w:t>
      </w:r>
      <w:r w:rsidR="003A4EC0">
        <w:rPr>
          <w:rFonts w:cs="Arial"/>
          <w:szCs w:val="24"/>
          <w:lang w:val="en-ZA"/>
        </w:rPr>
        <w:t xml:space="preserve">She </w:t>
      </w:r>
      <w:r w:rsidR="00697505" w:rsidRPr="003A4EC0">
        <w:rPr>
          <w:lang w:val="en-ZA"/>
        </w:rPr>
        <w:t>recorded</w:t>
      </w:r>
      <w:r w:rsidR="003A4EC0">
        <w:rPr>
          <w:lang w:val="en-ZA"/>
        </w:rPr>
        <w:t xml:space="preserve"> </w:t>
      </w:r>
      <w:r w:rsidR="00697505" w:rsidRPr="003A4EC0">
        <w:rPr>
          <w:lang w:val="en-ZA"/>
        </w:rPr>
        <w:t>that it was:</w:t>
      </w:r>
    </w:p>
    <w:p w14:paraId="38112C6E" w14:textId="5A6220AE" w:rsidR="00697505" w:rsidRPr="008A132B" w:rsidRDefault="00697505" w:rsidP="00CC12CF">
      <w:pPr>
        <w:spacing w:line="360" w:lineRule="auto"/>
        <w:jc w:val="both"/>
      </w:pPr>
      <w:r w:rsidRPr="008A132B">
        <w:rPr>
          <w:sz w:val="22"/>
          <w:szCs w:val="22"/>
        </w:rPr>
        <w:t>‘</w:t>
      </w:r>
      <w:r w:rsidR="003E7C4E" w:rsidRPr="008A132B">
        <w:rPr>
          <w:sz w:val="22"/>
          <w:szCs w:val="22"/>
        </w:rPr>
        <w:t>necessary to affirm here and now that the central question of legality of the Minister’s, the DG’s and the RM’s decisions is no longer the focal point of this judgement. That part of the case has been conceded already. What remains is the determination of the extent to which the remainder of the grounds not conceded by Tendele need to be determined as well as the just and equitable remedy</w:t>
      </w:r>
      <w:r w:rsidRPr="008A132B">
        <w:rPr>
          <w:sz w:val="22"/>
          <w:szCs w:val="22"/>
        </w:rPr>
        <w:t>.’</w:t>
      </w:r>
      <w:r w:rsidRPr="008A132B">
        <w:rPr>
          <w:rStyle w:val="FootnoteReference"/>
          <w:sz w:val="22"/>
          <w:szCs w:val="22"/>
        </w:rPr>
        <w:footnoteReference w:id="25"/>
      </w:r>
      <w:r w:rsidRPr="008A132B">
        <w:t xml:space="preserve"> </w:t>
      </w:r>
    </w:p>
    <w:p w14:paraId="05E24B6F" w14:textId="77777777" w:rsidR="00697505" w:rsidRPr="008A132B" w:rsidRDefault="00697505" w:rsidP="00CC12CF">
      <w:pPr>
        <w:spacing w:line="360" w:lineRule="auto"/>
        <w:jc w:val="both"/>
      </w:pPr>
    </w:p>
    <w:p w14:paraId="5574A223" w14:textId="437D86D2" w:rsidR="00697505" w:rsidRPr="008A132B" w:rsidRDefault="006D79CC" w:rsidP="006D79CC">
      <w:pPr>
        <w:spacing w:line="360" w:lineRule="auto"/>
        <w:jc w:val="both"/>
      </w:pPr>
      <w:r w:rsidRPr="008A132B">
        <w:rPr>
          <w:szCs w:val="24"/>
        </w:rPr>
        <w:lastRenderedPageBreak/>
        <w:t>[18]</w:t>
      </w:r>
      <w:r w:rsidRPr="008A132B">
        <w:rPr>
          <w:szCs w:val="24"/>
        </w:rPr>
        <w:tab/>
      </w:r>
      <w:r w:rsidR="00697505" w:rsidRPr="008A132B">
        <w:t>The judgment recorded some of the concessions made by Tendele</w:t>
      </w:r>
      <w:r w:rsidR="00EF1613" w:rsidRPr="008A132B">
        <w:t>. These related</w:t>
      </w:r>
      <w:r w:rsidR="005B4ACD">
        <w:t>,</w:t>
      </w:r>
      <w:r w:rsidR="00EF1613" w:rsidRPr="008A132B">
        <w:t xml:space="preserve"> </w:t>
      </w:r>
      <w:r w:rsidR="00A65AC7" w:rsidRPr="008A132B">
        <w:t>inter alia</w:t>
      </w:r>
      <w:r w:rsidR="005B4ACD">
        <w:t>,</w:t>
      </w:r>
      <w:r w:rsidR="00A65AC7" w:rsidRPr="008A132B">
        <w:t xml:space="preserve"> </w:t>
      </w:r>
      <w:r w:rsidR="00EF1613" w:rsidRPr="008A132B">
        <w:t>to there being no evidence that the Minister consulted with the Department of Environmental Affairs</w:t>
      </w:r>
      <w:r w:rsidR="003A4EC0">
        <w:t>,</w:t>
      </w:r>
      <w:r w:rsidR="00EF1613" w:rsidRPr="008A132B">
        <w:t xml:space="preserve"> as was required by the now repealed s 40 read with s</w:t>
      </w:r>
      <w:r w:rsidR="008E402C" w:rsidRPr="008A132B">
        <w:t xml:space="preserve"> </w:t>
      </w:r>
      <w:r w:rsidR="00EF1613" w:rsidRPr="008A132B">
        <w:t>39 of the MPRDA, i</w:t>
      </w:r>
      <w:r w:rsidR="00697505" w:rsidRPr="008A132B">
        <w:t>mperfections in the public participation process, and deficiencies in the</w:t>
      </w:r>
      <w:r w:rsidR="000A4413" w:rsidRPr="008A132B">
        <w:t xml:space="preserve"> </w:t>
      </w:r>
      <w:r w:rsidR="008E402C" w:rsidRPr="008A132B">
        <w:t xml:space="preserve">scoping </w:t>
      </w:r>
      <w:r w:rsidR="000A4413" w:rsidRPr="008A132B">
        <w:t>and the</w:t>
      </w:r>
      <w:r w:rsidR="00697505" w:rsidRPr="008A132B">
        <w:t xml:space="preserve"> </w:t>
      </w:r>
      <w:r w:rsidR="000A4413" w:rsidRPr="008A132B">
        <w:t>EIA</w:t>
      </w:r>
      <w:r w:rsidR="00FE0EBD" w:rsidRPr="008A132B">
        <w:t xml:space="preserve"> </w:t>
      </w:r>
      <w:r w:rsidR="00697505" w:rsidRPr="008A132B">
        <w:t xml:space="preserve">process. </w:t>
      </w:r>
    </w:p>
    <w:p w14:paraId="767CF71F" w14:textId="77777777" w:rsidR="00697505" w:rsidRPr="008A132B" w:rsidRDefault="00697505" w:rsidP="00CC12CF">
      <w:pPr>
        <w:spacing w:line="360" w:lineRule="auto"/>
        <w:jc w:val="both"/>
      </w:pPr>
    </w:p>
    <w:p w14:paraId="33215B5F" w14:textId="77A657A7" w:rsidR="00697505" w:rsidRPr="008A132B" w:rsidRDefault="006D79CC" w:rsidP="006D79CC">
      <w:pPr>
        <w:spacing w:line="360" w:lineRule="auto"/>
        <w:jc w:val="both"/>
      </w:pPr>
      <w:r w:rsidRPr="008A132B">
        <w:rPr>
          <w:szCs w:val="24"/>
        </w:rPr>
        <w:t>[19]</w:t>
      </w:r>
      <w:r w:rsidRPr="008A132B">
        <w:rPr>
          <w:szCs w:val="24"/>
        </w:rPr>
        <w:tab/>
      </w:r>
      <w:r w:rsidR="00697505" w:rsidRPr="008A132B">
        <w:t>The judgment proceeded:</w:t>
      </w:r>
    </w:p>
    <w:p w14:paraId="66ECF421" w14:textId="5EB162C5" w:rsidR="00CC12CF" w:rsidRPr="008A132B" w:rsidRDefault="008E402C" w:rsidP="00CC12CF">
      <w:pPr>
        <w:spacing w:line="360" w:lineRule="auto"/>
        <w:jc w:val="both"/>
        <w:rPr>
          <w:sz w:val="22"/>
          <w:szCs w:val="22"/>
        </w:rPr>
      </w:pPr>
      <w:r w:rsidRPr="008A132B">
        <w:rPr>
          <w:sz w:val="22"/>
          <w:szCs w:val="22"/>
        </w:rPr>
        <w:t>‘Against the concessions, as I shall show, Tendele implores the court to set aside the decision of the Minister and remit the appeal back to the Minister for reconsideration together with any directives the court may consider necessary. As to the numerous irregularities in the process leading up to the grant of the Mining Right, Tendele contends that all those can be addressed in the course of the wide appeal before the Minister. Tendele submits that all the new material, expert reports, as well as comments, inputs, and submissions by MCEJO [the first applicant] and other I&amp;APs can be taken into account in the appeal process. With regard to the failure to make adequate financial provision for each of the retained areas, as the law requires, Tendele submits that, in any event, the mining right holder is required by law to assess annually, whether the financial provision is adequate and top up where necessary. Tendele suggests that this deficiency too can be addressed be cured in the course of the wide appeal.’</w:t>
      </w:r>
      <w:r w:rsidR="00697505" w:rsidRPr="008A132B">
        <w:rPr>
          <w:rStyle w:val="FootnoteReference"/>
          <w:sz w:val="22"/>
          <w:szCs w:val="22"/>
        </w:rPr>
        <w:footnoteReference w:id="26"/>
      </w:r>
    </w:p>
    <w:p w14:paraId="5B1DDBB5" w14:textId="77777777" w:rsidR="00CC12CF" w:rsidRPr="008A132B" w:rsidRDefault="00CC12CF" w:rsidP="00CC12CF">
      <w:pPr>
        <w:spacing w:line="360" w:lineRule="auto"/>
        <w:jc w:val="both"/>
        <w:rPr>
          <w:szCs w:val="22"/>
        </w:rPr>
      </w:pPr>
    </w:p>
    <w:p w14:paraId="75AD9120" w14:textId="5AEAAAC6" w:rsidR="00250A15" w:rsidRPr="008A132B" w:rsidRDefault="006D79CC" w:rsidP="006D79CC">
      <w:pPr>
        <w:pStyle w:val="2"/>
        <w:numPr>
          <w:ilvl w:val="0"/>
          <w:numId w:val="0"/>
        </w:numPr>
        <w:spacing w:before="0" w:line="360" w:lineRule="auto"/>
        <w:rPr>
          <w:sz w:val="22"/>
          <w:lang w:val="en-ZA"/>
        </w:rPr>
      </w:pPr>
      <w:r w:rsidRPr="008A132B">
        <w:rPr>
          <w:rFonts w:cs="Arial"/>
          <w:iCs w:val="0"/>
          <w:szCs w:val="24"/>
          <w:lang w:val="en-ZA"/>
        </w:rPr>
        <w:t>[20]</w:t>
      </w:r>
      <w:r w:rsidRPr="008A132B">
        <w:rPr>
          <w:rFonts w:cs="Arial"/>
          <w:iCs w:val="0"/>
          <w:szCs w:val="24"/>
          <w:lang w:val="en-ZA"/>
        </w:rPr>
        <w:tab/>
      </w:r>
      <w:r w:rsidR="00250A15" w:rsidRPr="008A132B">
        <w:rPr>
          <w:lang w:val="en-ZA"/>
        </w:rPr>
        <w:t xml:space="preserve">The </w:t>
      </w:r>
      <w:r w:rsidR="005B4ACD">
        <w:rPr>
          <w:lang w:val="en-ZA"/>
        </w:rPr>
        <w:t xml:space="preserve">learned judge </w:t>
      </w:r>
      <w:r w:rsidR="00250A15" w:rsidRPr="008A132B">
        <w:rPr>
          <w:lang w:val="en-ZA"/>
        </w:rPr>
        <w:t>continued:</w:t>
      </w:r>
      <w:r w:rsidR="00250A15" w:rsidRPr="008A132B">
        <w:rPr>
          <w:sz w:val="22"/>
          <w:lang w:val="en-ZA"/>
        </w:rPr>
        <w:t xml:space="preserve"> </w:t>
      </w:r>
    </w:p>
    <w:p w14:paraId="7D74200E" w14:textId="02D0B12D" w:rsidR="008E402C" w:rsidRPr="008A132B" w:rsidRDefault="008E402C" w:rsidP="00CC12CF">
      <w:pPr>
        <w:spacing w:line="360" w:lineRule="auto"/>
        <w:jc w:val="both"/>
        <w:rPr>
          <w:sz w:val="22"/>
          <w:szCs w:val="22"/>
        </w:rPr>
      </w:pPr>
      <w:r w:rsidRPr="008A132B">
        <w:rPr>
          <w:sz w:val="22"/>
          <w:szCs w:val="22"/>
        </w:rPr>
        <w:t>‘I am of the view that it is critical for this court to determine three grounds, namely: (i) the defective Scoping and EIA; (ii) the ground based on IPILRA; and (iii) defects in public participation. The ground dealing with defective scoping and EIA is, in my view, integrally intertwined with the ground dealing with defects in public participation. As such I dispose of the two grounds immediately here below.’</w:t>
      </w:r>
      <w:r w:rsidRPr="008A132B">
        <w:rPr>
          <w:rStyle w:val="FootnoteReference"/>
          <w:sz w:val="22"/>
          <w:szCs w:val="22"/>
        </w:rPr>
        <w:footnoteReference w:id="27"/>
      </w:r>
    </w:p>
    <w:p w14:paraId="1F96151B" w14:textId="77777777" w:rsidR="00250A15" w:rsidRPr="008A132B" w:rsidRDefault="00250A15" w:rsidP="00CC12CF">
      <w:pPr>
        <w:spacing w:line="360" w:lineRule="auto"/>
        <w:jc w:val="both"/>
      </w:pPr>
    </w:p>
    <w:p w14:paraId="1203A110" w14:textId="534D6363" w:rsidR="00DE4629" w:rsidRPr="008A132B" w:rsidRDefault="006D79CC" w:rsidP="006D79CC">
      <w:pPr>
        <w:spacing w:line="360" w:lineRule="auto"/>
        <w:jc w:val="both"/>
      </w:pPr>
      <w:r w:rsidRPr="008A132B">
        <w:rPr>
          <w:szCs w:val="24"/>
        </w:rPr>
        <w:t>[21]</w:t>
      </w:r>
      <w:r w:rsidRPr="008A132B">
        <w:rPr>
          <w:szCs w:val="24"/>
        </w:rPr>
        <w:tab/>
      </w:r>
      <w:r w:rsidR="00C11D96" w:rsidRPr="008A132B">
        <w:t xml:space="preserve">The learned judge </w:t>
      </w:r>
      <w:r w:rsidR="00250A15" w:rsidRPr="008A132B">
        <w:t xml:space="preserve">then </w:t>
      </w:r>
      <w:r w:rsidR="00C11D96" w:rsidRPr="008A132B">
        <w:t xml:space="preserve">found that </w:t>
      </w:r>
      <w:r w:rsidR="00697505" w:rsidRPr="008A132B">
        <w:t>the scoping report</w:t>
      </w:r>
      <w:r w:rsidR="00C11D96" w:rsidRPr="008A132B">
        <w:t xml:space="preserve">, the </w:t>
      </w:r>
      <w:r w:rsidR="00697505" w:rsidRPr="008A132B">
        <w:t>environmental impact assessment</w:t>
      </w:r>
      <w:r w:rsidR="00C11D96" w:rsidRPr="008A132B">
        <w:t>,</w:t>
      </w:r>
      <w:r w:rsidR="00697505" w:rsidRPr="008A132B">
        <w:t xml:space="preserve"> and the public participation processes </w:t>
      </w:r>
      <w:r w:rsidR="00C11D96" w:rsidRPr="008A132B">
        <w:t xml:space="preserve">were </w:t>
      </w:r>
      <w:r w:rsidR="00697505" w:rsidRPr="008A132B">
        <w:t>defective, and that the necessary consent as required by s</w:t>
      </w:r>
      <w:r w:rsidR="00894CE1" w:rsidRPr="008A132B">
        <w:t xml:space="preserve"> </w:t>
      </w:r>
      <w:r w:rsidR="00697505" w:rsidRPr="008A132B">
        <w:t xml:space="preserve">2 of IPILRA had not been obtained. </w:t>
      </w:r>
    </w:p>
    <w:p w14:paraId="21F7446A" w14:textId="77777777" w:rsidR="00DE4629" w:rsidRPr="008A132B" w:rsidRDefault="00DE4629" w:rsidP="00CC12CF">
      <w:pPr>
        <w:spacing w:line="360" w:lineRule="auto"/>
        <w:jc w:val="both"/>
      </w:pPr>
    </w:p>
    <w:p w14:paraId="2AA8B094" w14:textId="1517F637" w:rsidR="00DE4629" w:rsidRPr="008A132B" w:rsidRDefault="006D79CC" w:rsidP="006D79CC">
      <w:pPr>
        <w:spacing w:line="360" w:lineRule="auto"/>
        <w:jc w:val="both"/>
      </w:pPr>
      <w:r w:rsidRPr="008A132B">
        <w:rPr>
          <w:szCs w:val="24"/>
        </w:rPr>
        <w:t>[22]</w:t>
      </w:r>
      <w:r w:rsidRPr="008A132B">
        <w:rPr>
          <w:szCs w:val="24"/>
        </w:rPr>
        <w:tab/>
      </w:r>
      <w:r w:rsidR="00250A15" w:rsidRPr="008A132B">
        <w:t xml:space="preserve">She </w:t>
      </w:r>
      <w:r w:rsidR="00697505" w:rsidRPr="008A132B">
        <w:t xml:space="preserve">was </w:t>
      </w:r>
      <w:r w:rsidR="00E873C8" w:rsidRPr="008A132B">
        <w:t xml:space="preserve">very critical of Tendele’s </w:t>
      </w:r>
      <w:r w:rsidR="00C74ECB" w:rsidRPr="008A132B">
        <w:t>shortcomings</w:t>
      </w:r>
      <w:r w:rsidR="001B1B6C" w:rsidRPr="008A132B">
        <w:t>,</w:t>
      </w:r>
      <w:r w:rsidR="00C74ECB" w:rsidRPr="008A132B">
        <w:t xml:space="preserve"> describing </w:t>
      </w:r>
      <w:r w:rsidR="00775877" w:rsidRPr="008A132B">
        <w:t xml:space="preserve">Tendele </w:t>
      </w:r>
      <w:r w:rsidR="00C74ECB" w:rsidRPr="008A132B">
        <w:t xml:space="preserve">as ‘misguided </w:t>
      </w:r>
      <w:r w:rsidR="00D526A9" w:rsidRPr="008A132B">
        <w:t>in</w:t>
      </w:r>
      <w:r w:rsidR="003A4EC0">
        <w:t xml:space="preserve"> </w:t>
      </w:r>
      <w:r w:rsidR="00C74ECB" w:rsidRPr="008A132B">
        <w:t>its view’</w:t>
      </w:r>
      <w:r w:rsidR="003A4EC0">
        <w:t>;</w:t>
      </w:r>
      <w:r w:rsidR="00D526A9" w:rsidRPr="008A132B">
        <w:rPr>
          <w:rStyle w:val="FootnoteReference"/>
        </w:rPr>
        <w:footnoteReference w:id="28"/>
      </w:r>
      <w:r w:rsidR="00C74ECB" w:rsidRPr="008A132B">
        <w:t xml:space="preserve"> that its </w:t>
      </w:r>
      <w:r w:rsidR="00E873C8" w:rsidRPr="008A132B">
        <w:t xml:space="preserve">attempt to justify the exclusion of groups </w:t>
      </w:r>
      <w:r w:rsidR="00DE4629" w:rsidRPr="008A132B">
        <w:t xml:space="preserve">required to be consulted </w:t>
      </w:r>
      <w:r w:rsidR="00E873C8" w:rsidRPr="008A132B">
        <w:t xml:space="preserve">by the regulations </w:t>
      </w:r>
      <w:r w:rsidR="00DE4629" w:rsidRPr="008A132B">
        <w:t xml:space="preserve">as part of the </w:t>
      </w:r>
      <w:r w:rsidR="00E873C8" w:rsidRPr="008A132B">
        <w:t xml:space="preserve">public participation </w:t>
      </w:r>
      <w:r w:rsidR="00D526A9" w:rsidRPr="008A132B">
        <w:t>w</w:t>
      </w:r>
      <w:r w:rsidR="00697505" w:rsidRPr="008A132B">
        <w:t xml:space="preserve">as ‘nothing short of </w:t>
      </w:r>
      <w:r w:rsidR="00697505" w:rsidRPr="008A132B">
        <w:lastRenderedPageBreak/>
        <w:t>egregious’</w:t>
      </w:r>
      <w:r w:rsidR="007D69B0">
        <w:t>;</w:t>
      </w:r>
      <w:r w:rsidR="00D526A9" w:rsidRPr="008A132B">
        <w:rPr>
          <w:rStyle w:val="FootnoteReference"/>
        </w:rPr>
        <w:footnoteReference w:id="29"/>
      </w:r>
      <w:r w:rsidR="00697505" w:rsidRPr="008A132B">
        <w:t xml:space="preserve"> that </w:t>
      </w:r>
      <w:r w:rsidR="00DE4629" w:rsidRPr="008A132B">
        <w:t xml:space="preserve">its defective notices </w:t>
      </w:r>
      <w:r w:rsidR="00E873C8" w:rsidRPr="008A132B">
        <w:t>had unduly limited the public’s participation</w:t>
      </w:r>
      <w:r w:rsidR="00D526A9" w:rsidRPr="008A132B">
        <w:t>; that Tendele ‘flouted the law with regard to public participation’,</w:t>
      </w:r>
      <w:r w:rsidR="00D526A9" w:rsidRPr="008A132B">
        <w:rPr>
          <w:rStyle w:val="FootnoteReference"/>
        </w:rPr>
        <w:footnoteReference w:id="30"/>
      </w:r>
      <w:r w:rsidR="00D526A9" w:rsidRPr="008A132B">
        <w:t xml:space="preserve"> </w:t>
      </w:r>
      <w:r w:rsidR="001B1B6C" w:rsidRPr="008A132B">
        <w:t xml:space="preserve">and </w:t>
      </w:r>
      <w:r w:rsidR="00D526A9" w:rsidRPr="008A132B">
        <w:t xml:space="preserve">that its </w:t>
      </w:r>
      <w:r w:rsidR="00E873C8" w:rsidRPr="008A132B">
        <w:t xml:space="preserve">attitude during the scoping phase </w:t>
      </w:r>
      <w:r w:rsidR="00D526A9" w:rsidRPr="008A132B">
        <w:t xml:space="preserve">was </w:t>
      </w:r>
      <w:r w:rsidR="00697505" w:rsidRPr="008A132B">
        <w:t xml:space="preserve">‘offensive’ and portrayed </w:t>
      </w:r>
      <w:r w:rsidR="00E873C8" w:rsidRPr="008A132B">
        <w:t xml:space="preserve">Tendele </w:t>
      </w:r>
      <w:r w:rsidR="00697505" w:rsidRPr="008A132B">
        <w:t xml:space="preserve">as ‘an </w:t>
      </w:r>
      <w:r w:rsidR="00D526A9" w:rsidRPr="008A132B">
        <w:t>“</w:t>
      </w:r>
      <w:r w:rsidR="00697505" w:rsidRPr="008A132B">
        <w:t>unbridled horse” that showed little or no regard for the law</w:t>
      </w:r>
      <w:r w:rsidR="00D526A9" w:rsidRPr="008A132B">
        <w:t>.</w:t>
      </w:r>
      <w:r w:rsidR="00697505" w:rsidRPr="008A132B">
        <w:t>’</w:t>
      </w:r>
      <w:r w:rsidR="00D526A9" w:rsidRPr="008A132B">
        <w:rPr>
          <w:rStyle w:val="FootnoteReference"/>
        </w:rPr>
        <w:footnoteReference w:id="31"/>
      </w:r>
      <w:r w:rsidR="00E873C8" w:rsidRPr="008A132B">
        <w:t xml:space="preserve"> </w:t>
      </w:r>
      <w:r w:rsidR="00D526A9" w:rsidRPr="008A132B">
        <w:t xml:space="preserve"> </w:t>
      </w:r>
    </w:p>
    <w:p w14:paraId="248AE087" w14:textId="77777777" w:rsidR="00DE4629" w:rsidRPr="008A132B" w:rsidRDefault="00DE4629" w:rsidP="00CC12CF">
      <w:pPr>
        <w:pStyle w:val="ListParagraph"/>
        <w:spacing w:line="360" w:lineRule="auto"/>
        <w:jc w:val="both"/>
      </w:pPr>
    </w:p>
    <w:p w14:paraId="0E59B9DD" w14:textId="7FE5270C" w:rsidR="00DE4629" w:rsidRPr="008A132B" w:rsidRDefault="006D79CC" w:rsidP="006D79CC">
      <w:pPr>
        <w:spacing w:line="360" w:lineRule="auto"/>
        <w:jc w:val="both"/>
      </w:pPr>
      <w:r w:rsidRPr="008A132B">
        <w:rPr>
          <w:szCs w:val="24"/>
        </w:rPr>
        <w:t>[23]</w:t>
      </w:r>
      <w:r w:rsidRPr="008A132B">
        <w:rPr>
          <w:szCs w:val="24"/>
        </w:rPr>
        <w:tab/>
      </w:r>
      <w:r w:rsidR="00E873C8" w:rsidRPr="008A132B">
        <w:t>As regards non-compliance with IPILRA, the judgment found that it was a matt</w:t>
      </w:r>
      <w:r w:rsidR="00894CE1" w:rsidRPr="008A132B">
        <w:t xml:space="preserve">er of interpretation, but that </w:t>
      </w:r>
      <w:r w:rsidR="00E873C8" w:rsidRPr="008A132B">
        <w:t>Tendele’s interpretation epitomises</w:t>
      </w:r>
      <w:r w:rsidR="00DE4629" w:rsidRPr="008A132B">
        <w:t>:</w:t>
      </w:r>
      <w:r w:rsidR="00E873C8" w:rsidRPr="008A132B">
        <w:t xml:space="preserve"> </w:t>
      </w:r>
    </w:p>
    <w:p w14:paraId="583C3B9B" w14:textId="7CBF5B76" w:rsidR="00916A41" w:rsidRPr="008A132B" w:rsidRDefault="00DE4629" w:rsidP="00CC12CF">
      <w:pPr>
        <w:spacing w:line="360" w:lineRule="auto"/>
        <w:jc w:val="both"/>
        <w:rPr>
          <w:sz w:val="22"/>
          <w:szCs w:val="22"/>
        </w:rPr>
      </w:pPr>
      <w:r w:rsidRPr="008A132B">
        <w:rPr>
          <w:sz w:val="22"/>
          <w:szCs w:val="22"/>
        </w:rPr>
        <w:t>‘</w:t>
      </w:r>
      <w:r w:rsidR="00E873C8" w:rsidRPr="008A132B">
        <w:rPr>
          <w:sz w:val="22"/>
          <w:szCs w:val="22"/>
        </w:rPr>
        <w:t>the</w:t>
      </w:r>
      <w:r w:rsidR="001B1B6C" w:rsidRPr="008A132B">
        <w:rPr>
          <w:sz w:val="22"/>
          <w:szCs w:val="22"/>
        </w:rPr>
        <w:t xml:space="preserve"> “</w:t>
      </w:r>
      <w:r w:rsidR="00E873C8" w:rsidRPr="008A132B">
        <w:rPr>
          <w:sz w:val="22"/>
          <w:szCs w:val="22"/>
        </w:rPr>
        <w:t xml:space="preserve">blinkered peering at an isolated provision in a statute” that the court warns against in </w:t>
      </w:r>
      <w:r w:rsidR="00E873C8" w:rsidRPr="008A132B">
        <w:rPr>
          <w:i/>
          <w:iCs/>
          <w:sz w:val="22"/>
          <w:szCs w:val="22"/>
        </w:rPr>
        <w:t>Scribante</w:t>
      </w:r>
      <w:r w:rsidR="00E873C8" w:rsidRPr="008A132B">
        <w:rPr>
          <w:sz w:val="22"/>
          <w:szCs w:val="22"/>
        </w:rPr>
        <w:t xml:space="preserve"> as opposed to reading the sta</w:t>
      </w:r>
      <w:r w:rsidR="00391428" w:rsidRPr="008A132B">
        <w:rPr>
          <w:sz w:val="22"/>
          <w:szCs w:val="22"/>
        </w:rPr>
        <w:t>t</w:t>
      </w:r>
      <w:r w:rsidR="00E873C8" w:rsidRPr="008A132B">
        <w:rPr>
          <w:sz w:val="22"/>
          <w:szCs w:val="22"/>
        </w:rPr>
        <w:t>ute</w:t>
      </w:r>
      <w:r w:rsidR="00391428" w:rsidRPr="008A132B">
        <w:rPr>
          <w:sz w:val="22"/>
          <w:szCs w:val="22"/>
        </w:rPr>
        <w:t xml:space="preserve"> purposively, even where a word has a readily discernible meaning</w:t>
      </w:r>
      <w:r w:rsidR="001B1B6C" w:rsidRPr="008A132B">
        <w:rPr>
          <w:sz w:val="22"/>
          <w:szCs w:val="22"/>
        </w:rPr>
        <w:t>;</w:t>
      </w:r>
      <w:r w:rsidRPr="008A132B">
        <w:rPr>
          <w:sz w:val="22"/>
          <w:szCs w:val="22"/>
        </w:rPr>
        <w:t>’</w:t>
      </w:r>
      <w:r w:rsidR="00A06434" w:rsidRPr="008A132B">
        <w:rPr>
          <w:sz w:val="22"/>
          <w:szCs w:val="22"/>
        </w:rPr>
        <w:t xml:space="preserve"> (footnote omitted)</w:t>
      </w:r>
      <w:r w:rsidR="00740275" w:rsidRPr="008A132B">
        <w:rPr>
          <w:rStyle w:val="FootnoteReference"/>
          <w:sz w:val="22"/>
          <w:szCs w:val="22"/>
        </w:rPr>
        <w:footnoteReference w:id="32"/>
      </w:r>
      <w:r w:rsidR="00D526A9" w:rsidRPr="008A132B">
        <w:rPr>
          <w:sz w:val="22"/>
          <w:szCs w:val="22"/>
        </w:rPr>
        <w:t xml:space="preserve"> </w:t>
      </w:r>
    </w:p>
    <w:p w14:paraId="28C1BCF4" w14:textId="086EC598" w:rsidR="00B768BC" w:rsidRPr="008A132B" w:rsidRDefault="00B768BC" w:rsidP="00CC12CF">
      <w:pPr>
        <w:spacing w:line="360" w:lineRule="auto"/>
        <w:jc w:val="both"/>
        <w:rPr>
          <w:szCs w:val="24"/>
        </w:rPr>
      </w:pPr>
      <w:r w:rsidRPr="008A132B">
        <w:rPr>
          <w:szCs w:val="24"/>
        </w:rPr>
        <w:t>That</w:t>
      </w:r>
    </w:p>
    <w:p w14:paraId="235F6206" w14:textId="0D9AEB85" w:rsidR="00775877" w:rsidRPr="008A132B" w:rsidRDefault="00D526A9" w:rsidP="00CC12CF">
      <w:pPr>
        <w:spacing w:line="360" w:lineRule="auto"/>
        <w:jc w:val="both"/>
        <w:rPr>
          <w:sz w:val="22"/>
          <w:szCs w:val="22"/>
        </w:rPr>
      </w:pPr>
      <w:r w:rsidRPr="008A132B">
        <w:rPr>
          <w:sz w:val="22"/>
          <w:szCs w:val="22"/>
        </w:rPr>
        <w:t>‘Tendele’s interpretation waters down, if not renders nugatory, the protection offered by IPILRA to shield the informal rights holders</w:t>
      </w:r>
      <w:r w:rsidR="00A06434" w:rsidRPr="008A132B">
        <w:rPr>
          <w:sz w:val="22"/>
          <w:szCs w:val="22"/>
        </w:rPr>
        <w:t>. S</w:t>
      </w:r>
      <w:r w:rsidRPr="008A132B">
        <w:rPr>
          <w:sz w:val="22"/>
          <w:szCs w:val="22"/>
        </w:rPr>
        <w:t>uch interpretation cannot and should not be allowed</w:t>
      </w:r>
      <w:r w:rsidR="001B1B6C" w:rsidRPr="008A132B">
        <w:rPr>
          <w:sz w:val="22"/>
          <w:szCs w:val="22"/>
        </w:rPr>
        <w:t>;</w:t>
      </w:r>
      <w:r w:rsidRPr="008A132B">
        <w:rPr>
          <w:sz w:val="22"/>
          <w:szCs w:val="22"/>
        </w:rPr>
        <w:t>’</w:t>
      </w:r>
      <w:r w:rsidRPr="008A132B">
        <w:rPr>
          <w:rStyle w:val="FootnoteReference"/>
          <w:sz w:val="22"/>
          <w:szCs w:val="22"/>
        </w:rPr>
        <w:footnoteReference w:id="33"/>
      </w:r>
    </w:p>
    <w:p w14:paraId="1E09C54E" w14:textId="2E96BD94" w:rsidR="00B768BC" w:rsidRPr="008A132B" w:rsidRDefault="00775877" w:rsidP="00CC12CF">
      <w:pPr>
        <w:spacing w:line="360" w:lineRule="auto"/>
        <w:jc w:val="both"/>
        <w:rPr>
          <w:sz w:val="22"/>
          <w:szCs w:val="22"/>
        </w:rPr>
      </w:pPr>
      <w:r w:rsidRPr="008A132B">
        <w:rPr>
          <w:sz w:val="22"/>
          <w:szCs w:val="22"/>
        </w:rPr>
        <w:t>Concluding</w:t>
      </w:r>
      <w:r w:rsidR="00B768BC" w:rsidRPr="008A132B">
        <w:rPr>
          <w:szCs w:val="24"/>
        </w:rPr>
        <w:t xml:space="preserve"> that</w:t>
      </w:r>
    </w:p>
    <w:p w14:paraId="7688A639" w14:textId="2480E332" w:rsidR="00B768BC" w:rsidRPr="008A132B" w:rsidRDefault="00B768BC" w:rsidP="00CC12CF">
      <w:pPr>
        <w:spacing w:line="360" w:lineRule="auto"/>
        <w:jc w:val="both"/>
        <w:rPr>
          <w:sz w:val="22"/>
          <w:szCs w:val="22"/>
        </w:rPr>
      </w:pPr>
      <w:r w:rsidRPr="008A132B">
        <w:rPr>
          <w:sz w:val="22"/>
          <w:szCs w:val="22"/>
        </w:rPr>
        <w:t>‘Tendele did not obtain consent as envisaged in section 2 of IPILRA.’</w:t>
      </w:r>
      <w:r w:rsidRPr="008A132B">
        <w:rPr>
          <w:rStyle w:val="FootnoteReference"/>
          <w:sz w:val="22"/>
          <w:szCs w:val="22"/>
        </w:rPr>
        <w:footnoteReference w:id="34"/>
      </w:r>
    </w:p>
    <w:p w14:paraId="10FF9707" w14:textId="77777777" w:rsidR="00916A41" w:rsidRPr="008A132B" w:rsidRDefault="00916A41" w:rsidP="00CC12CF">
      <w:pPr>
        <w:spacing w:line="360" w:lineRule="auto"/>
        <w:jc w:val="both"/>
      </w:pPr>
    </w:p>
    <w:p w14:paraId="06712553" w14:textId="1C0827A2" w:rsidR="00391428" w:rsidRPr="008A132B" w:rsidRDefault="006D79CC" w:rsidP="006D79CC">
      <w:pPr>
        <w:spacing w:line="360" w:lineRule="auto"/>
        <w:jc w:val="both"/>
        <w:rPr>
          <w:sz w:val="22"/>
          <w:szCs w:val="22"/>
        </w:rPr>
      </w:pPr>
      <w:r w:rsidRPr="008A132B">
        <w:rPr>
          <w:szCs w:val="24"/>
        </w:rPr>
        <w:t>[24]</w:t>
      </w:r>
      <w:r w:rsidRPr="008A132B">
        <w:rPr>
          <w:szCs w:val="24"/>
        </w:rPr>
        <w:tab/>
      </w:r>
      <w:r w:rsidR="0099370B" w:rsidRPr="008A132B">
        <w:rPr>
          <w:color w:val="242121"/>
          <w:szCs w:val="24"/>
        </w:rPr>
        <w:t>Section 172</w:t>
      </w:r>
      <w:r w:rsidR="00391428" w:rsidRPr="008A132B">
        <w:rPr>
          <w:color w:val="242121"/>
          <w:szCs w:val="24"/>
        </w:rPr>
        <w:t>(1) of the Constitution provides</w:t>
      </w:r>
      <w:r w:rsidR="00391428" w:rsidRPr="008A132B">
        <w:rPr>
          <w:b/>
          <w:bCs/>
          <w:color w:val="242121"/>
          <w:szCs w:val="24"/>
        </w:rPr>
        <w:t>:</w:t>
      </w:r>
    </w:p>
    <w:p w14:paraId="5995648F" w14:textId="01F6547E" w:rsidR="00A06434" w:rsidRPr="008A132B" w:rsidRDefault="00A06434" w:rsidP="00A06434">
      <w:pPr>
        <w:spacing w:line="360" w:lineRule="auto"/>
        <w:jc w:val="both"/>
        <w:rPr>
          <w:sz w:val="22"/>
          <w:szCs w:val="22"/>
        </w:rPr>
      </w:pPr>
      <w:r w:rsidRPr="008A132B">
        <w:rPr>
          <w:sz w:val="22"/>
          <w:szCs w:val="22"/>
        </w:rPr>
        <w:t>‘(1) When deciding a constitutional matter within its power, a court-</w:t>
      </w:r>
    </w:p>
    <w:p w14:paraId="4B50DA28" w14:textId="515BFAEE" w:rsidR="00A06434" w:rsidRPr="008A132B" w:rsidRDefault="00A06434" w:rsidP="00A06434">
      <w:pPr>
        <w:spacing w:line="360" w:lineRule="auto"/>
        <w:ind w:left="709" w:hanging="709"/>
        <w:jc w:val="both"/>
        <w:rPr>
          <w:sz w:val="22"/>
          <w:szCs w:val="22"/>
        </w:rPr>
      </w:pPr>
      <w:r w:rsidRPr="008A132B">
        <w:rPr>
          <w:i/>
          <w:sz w:val="22"/>
          <w:szCs w:val="22"/>
        </w:rPr>
        <w:t>(a)</w:t>
      </w:r>
      <w:r w:rsidRPr="008A132B">
        <w:rPr>
          <w:sz w:val="22"/>
          <w:szCs w:val="22"/>
        </w:rPr>
        <w:t xml:space="preserve"> </w:t>
      </w:r>
      <w:r w:rsidRPr="008A132B">
        <w:rPr>
          <w:sz w:val="22"/>
          <w:szCs w:val="22"/>
        </w:rPr>
        <w:tab/>
        <w:t>must declare that any law or conduct that is inconsistent with the Constitution is invalid to the extent of its inconsistency; and</w:t>
      </w:r>
    </w:p>
    <w:p w14:paraId="370BE933" w14:textId="71AD75F6" w:rsidR="00A06434" w:rsidRPr="008A132B" w:rsidRDefault="00A06434" w:rsidP="00A06434">
      <w:pPr>
        <w:spacing w:line="360" w:lineRule="auto"/>
        <w:jc w:val="both"/>
        <w:rPr>
          <w:sz w:val="22"/>
          <w:szCs w:val="22"/>
        </w:rPr>
      </w:pPr>
      <w:r w:rsidRPr="008A132B">
        <w:rPr>
          <w:i/>
          <w:sz w:val="22"/>
          <w:szCs w:val="22"/>
        </w:rPr>
        <w:t>(b)</w:t>
      </w:r>
      <w:r w:rsidRPr="008A132B">
        <w:rPr>
          <w:sz w:val="22"/>
          <w:szCs w:val="22"/>
        </w:rPr>
        <w:t xml:space="preserve"> </w:t>
      </w:r>
      <w:r w:rsidRPr="008A132B">
        <w:rPr>
          <w:sz w:val="22"/>
          <w:szCs w:val="22"/>
        </w:rPr>
        <w:tab/>
        <w:t>may make any order that is just and equitable, including-</w:t>
      </w:r>
    </w:p>
    <w:p w14:paraId="57B39267" w14:textId="3CC93E29" w:rsidR="00A06434" w:rsidRPr="008A132B" w:rsidRDefault="00A06434" w:rsidP="00A06434">
      <w:pPr>
        <w:spacing w:line="360" w:lineRule="auto"/>
        <w:ind w:left="1418" w:hanging="698"/>
        <w:jc w:val="both"/>
        <w:rPr>
          <w:sz w:val="22"/>
          <w:szCs w:val="22"/>
        </w:rPr>
      </w:pPr>
      <w:r w:rsidRPr="008A132B">
        <w:rPr>
          <w:sz w:val="22"/>
          <w:szCs w:val="22"/>
        </w:rPr>
        <w:t xml:space="preserve">(i) </w:t>
      </w:r>
      <w:r w:rsidRPr="008A132B">
        <w:rPr>
          <w:sz w:val="22"/>
          <w:szCs w:val="22"/>
        </w:rPr>
        <w:tab/>
        <w:t>an order limiting the retrospective effect of the declaration of invalidity; and</w:t>
      </w:r>
    </w:p>
    <w:p w14:paraId="43CA593D" w14:textId="6D7D741F" w:rsidR="00A06434" w:rsidRPr="008A132B" w:rsidRDefault="00A06434" w:rsidP="00A06434">
      <w:pPr>
        <w:spacing w:line="360" w:lineRule="auto"/>
        <w:ind w:left="1418" w:hanging="698"/>
        <w:jc w:val="both"/>
        <w:rPr>
          <w:sz w:val="22"/>
          <w:szCs w:val="22"/>
        </w:rPr>
      </w:pPr>
      <w:r w:rsidRPr="008A132B">
        <w:rPr>
          <w:sz w:val="22"/>
          <w:szCs w:val="22"/>
        </w:rPr>
        <w:t xml:space="preserve">(ii) </w:t>
      </w:r>
      <w:r w:rsidRPr="008A132B">
        <w:rPr>
          <w:sz w:val="22"/>
          <w:szCs w:val="22"/>
        </w:rPr>
        <w:tab/>
        <w:t>an order suspending the declaration of invalidity for any period and on any conditions, to allow the competent authority to correct the defect.’</w:t>
      </w:r>
    </w:p>
    <w:p w14:paraId="3DB18A4A" w14:textId="77777777" w:rsidR="00391428" w:rsidRPr="008A132B" w:rsidRDefault="00391428" w:rsidP="00CC12CF">
      <w:pPr>
        <w:spacing w:line="360" w:lineRule="auto"/>
        <w:jc w:val="both"/>
        <w:rPr>
          <w:sz w:val="22"/>
          <w:szCs w:val="22"/>
        </w:rPr>
      </w:pPr>
    </w:p>
    <w:p w14:paraId="363332F6" w14:textId="60D30F8B" w:rsidR="00B768BC" w:rsidRPr="008A132B" w:rsidRDefault="006D79CC" w:rsidP="006D79CC">
      <w:pPr>
        <w:spacing w:line="360" w:lineRule="auto"/>
        <w:jc w:val="both"/>
      </w:pPr>
      <w:r w:rsidRPr="008A132B">
        <w:rPr>
          <w:szCs w:val="24"/>
        </w:rPr>
        <w:t>[25]</w:t>
      </w:r>
      <w:r w:rsidRPr="008A132B">
        <w:rPr>
          <w:szCs w:val="24"/>
        </w:rPr>
        <w:tab/>
      </w:r>
      <w:r w:rsidR="00916A41" w:rsidRPr="008A132B">
        <w:t>Faced with the inevitable consequence that the decisions and the Minister’s dismissal of the appeal fell to be declared invalid as required by s 172(1)</w:t>
      </w:r>
      <w:r w:rsidR="00916A41" w:rsidRPr="008A132B">
        <w:rPr>
          <w:i/>
        </w:rPr>
        <w:t>(a)</w:t>
      </w:r>
      <w:r w:rsidR="00916A41" w:rsidRPr="008A132B">
        <w:t xml:space="preserve"> of the Constitution, </w:t>
      </w:r>
      <w:r w:rsidR="00DE4629" w:rsidRPr="008A132B">
        <w:rPr>
          <w:szCs w:val="24"/>
        </w:rPr>
        <w:t>i</w:t>
      </w:r>
      <w:r w:rsidR="00391428" w:rsidRPr="008A132B">
        <w:t xml:space="preserve">t remained for </w:t>
      </w:r>
      <w:r w:rsidR="00CE6E69" w:rsidRPr="008A132B">
        <w:t xml:space="preserve">Bam J </w:t>
      </w:r>
      <w:r w:rsidR="00391428" w:rsidRPr="008A132B">
        <w:t>to model a just and equitable remedy to the extent that one might be called for.</w:t>
      </w:r>
      <w:r w:rsidR="00CE6E69" w:rsidRPr="008A132B">
        <w:t xml:space="preserve"> She </w:t>
      </w:r>
      <w:r w:rsidR="00B768BC" w:rsidRPr="008A132B">
        <w:t xml:space="preserve">stressed the </w:t>
      </w:r>
      <w:r w:rsidR="0077039F" w:rsidRPr="008A132B">
        <w:t xml:space="preserve">constitutional </w:t>
      </w:r>
      <w:r w:rsidR="00B768BC" w:rsidRPr="008A132B">
        <w:t>principle of separation of powers and judicial deference,</w:t>
      </w:r>
      <w:r w:rsidR="00B768BC" w:rsidRPr="008A132B">
        <w:rPr>
          <w:rStyle w:val="FootnoteReference"/>
        </w:rPr>
        <w:footnoteReference w:id="35"/>
      </w:r>
      <w:r w:rsidR="00B768BC" w:rsidRPr="008A132B">
        <w:t xml:space="preserve"> and then </w:t>
      </w:r>
      <w:r w:rsidR="00A65AC7" w:rsidRPr="008A132B">
        <w:t xml:space="preserve">referred to </w:t>
      </w:r>
      <w:r w:rsidR="00B768BC" w:rsidRPr="008A132B">
        <w:t xml:space="preserve">the following quotation from </w:t>
      </w:r>
      <w:r w:rsidR="00EB3695" w:rsidRPr="008A132B">
        <w:rPr>
          <w:i/>
        </w:rPr>
        <w:lastRenderedPageBreak/>
        <w:t>Khumalo and Another v Member of the Executive Council for Education KwaZulu-Natal</w:t>
      </w:r>
      <w:r w:rsidR="00EB3695" w:rsidRPr="008A132B">
        <w:t>:</w:t>
      </w:r>
      <w:r w:rsidR="00EB3695" w:rsidRPr="008A132B">
        <w:rPr>
          <w:rStyle w:val="FootnoteReference"/>
        </w:rPr>
        <w:footnoteReference w:id="36"/>
      </w:r>
      <w:r w:rsidR="00EB3695" w:rsidRPr="008A132B">
        <w:t xml:space="preserve"> </w:t>
      </w:r>
    </w:p>
    <w:p w14:paraId="30E57445" w14:textId="32DED4D1" w:rsidR="00481B3A" w:rsidRPr="008A132B" w:rsidRDefault="00481B3A" w:rsidP="00CC12CF">
      <w:pPr>
        <w:pStyle w:val="2"/>
        <w:numPr>
          <w:ilvl w:val="0"/>
          <w:numId w:val="0"/>
        </w:numPr>
        <w:spacing w:before="0" w:line="360" w:lineRule="auto"/>
        <w:rPr>
          <w:sz w:val="22"/>
          <w:lang w:val="en-ZA"/>
        </w:rPr>
      </w:pPr>
      <w:r w:rsidRPr="008A132B">
        <w:rPr>
          <w:sz w:val="22"/>
          <w:lang w:val="en-ZA"/>
        </w:rPr>
        <w:t>‘Under the Constitution, however, the requirement to consider the consequences of declaring the decision unlawful is mediated by a court’s remedial powers to grant a “just and equitable” order in terms of section 172(1)</w:t>
      </w:r>
      <w:r w:rsidRPr="008A132B">
        <w:rPr>
          <w:i/>
          <w:sz w:val="22"/>
          <w:lang w:val="en-ZA"/>
        </w:rPr>
        <w:t>(b)</w:t>
      </w:r>
      <w:r w:rsidRPr="008A132B">
        <w:rPr>
          <w:sz w:val="22"/>
          <w:lang w:val="en-ZA"/>
        </w:rPr>
        <w:t xml:space="preserve"> of the Constitution. A court has greater powers under the Constitution to regulate any possible unjust consequences by granting an appropriate order. While a court must declare conduct that it finds to be unconstitutional invalid, </w:t>
      </w:r>
      <w:r w:rsidRPr="008A132B">
        <w:rPr>
          <w:i/>
          <w:sz w:val="22"/>
          <w:lang w:val="en-ZA"/>
        </w:rPr>
        <w:t>it need not set the conduct aside</w:t>
      </w:r>
      <w:r w:rsidRPr="008A132B">
        <w:rPr>
          <w:sz w:val="22"/>
          <w:lang w:val="en-ZA"/>
        </w:rPr>
        <w:t xml:space="preserve">.’ </w:t>
      </w:r>
      <w:r w:rsidRPr="008A132B">
        <w:rPr>
          <w:lang w:val="en-ZA"/>
        </w:rPr>
        <w:t xml:space="preserve">(emphasis added, footnote omitted) </w:t>
      </w:r>
    </w:p>
    <w:p w14:paraId="317A7560" w14:textId="77777777" w:rsidR="00CE6E69" w:rsidRPr="008A132B" w:rsidRDefault="00CE6E69" w:rsidP="00CC12CF">
      <w:pPr>
        <w:pStyle w:val="2"/>
        <w:numPr>
          <w:ilvl w:val="0"/>
          <w:numId w:val="0"/>
        </w:numPr>
        <w:spacing w:before="0" w:line="360" w:lineRule="auto"/>
        <w:rPr>
          <w:lang w:val="en-ZA"/>
        </w:rPr>
      </w:pPr>
    </w:p>
    <w:p w14:paraId="076D2C3C" w14:textId="74E06D6E" w:rsidR="00391428"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[26]</w:t>
      </w:r>
      <w:r w:rsidRPr="008A132B">
        <w:rPr>
          <w:rFonts w:cs="Arial"/>
          <w:iCs w:val="0"/>
          <w:szCs w:val="24"/>
          <w:lang w:val="en-ZA"/>
        </w:rPr>
        <w:tab/>
      </w:r>
      <w:r w:rsidR="00B768BC" w:rsidRPr="008A132B">
        <w:rPr>
          <w:lang w:val="en-ZA"/>
        </w:rPr>
        <w:t xml:space="preserve">The </w:t>
      </w:r>
      <w:r w:rsidR="00391428" w:rsidRPr="008A132B">
        <w:rPr>
          <w:lang w:val="en-ZA"/>
        </w:rPr>
        <w:t xml:space="preserve">judgment </w:t>
      </w:r>
      <w:r w:rsidR="00B768BC" w:rsidRPr="008A132B">
        <w:rPr>
          <w:lang w:val="en-ZA"/>
        </w:rPr>
        <w:t xml:space="preserve">thereafter </w:t>
      </w:r>
      <w:r w:rsidR="00391428" w:rsidRPr="008A132B">
        <w:rPr>
          <w:lang w:val="en-ZA"/>
        </w:rPr>
        <w:t>consist</w:t>
      </w:r>
      <w:r w:rsidR="007D69B0">
        <w:rPr>
          <w:lang w:val="en-ZA"/>
        </w:rPr>
        <w:t>s</w:t>
      </w:r>
      <w:r w:rsidR="00391428" w:rsidRPr="008A132B">
        <w:rPr>
          <w:lang w:val="en-ZA"/>
        </w:rPr>
        <w:t xml:space="preserve"> of </w:t>
      </w:r>
      <w:r w:rsidR="00CE6E69" w:rsidRPr="008A132B">
        <w:rPr>
          <w:lang w:val="en-ZA"/>
        </w:rPr>
        <w:t xml:space="preserve">a summary of the </w:t>
      </w:r>
      <w:r w:rsidR="00391428" w:rsidRPr="008A132B">
        <w:rPr>
          <w:lang w:val="en-ZA"/>
        </w:rPr>
        <w:t xml:space="preserve">respective </w:t>
      </w:r>
      <w:r w:rsidR="00CE6E69" w:rsidRPr="008A132B">
        <w:rPr>
          <w:lang w:val="en-ZA"/>
        </w:rPr>
        <w:t xml:space="preserve">submissions </w:t>
      </w:r>
      <w:r w:rsidR="00391428" w:rsidRPr="008A132B">
        <w:rPr>
          <w:lang w:val="en-ZA"/>
        </w:rPr>
        <w:t>of the parties</w:t>
      </w:r>
      <w:r w:rsidR="00E97D66" w:rsidRPr="008A132B">
        <w:rPr>
          <w:lang w:val="en-ZA"/>
        </w:rPr>
        <w:t>,</w:t>
      </w:r>
      <w:r w:rsidR="00391428" w:rsidRPr="008A132B">
        <w:rPr>
          <w:rStyle w:val="FootnoteReference"/>
          <w:lang w:val="en-ZA"/>
        </w:rPr>
        <w:footnoteReference w:id="37"/>
      </w:r>
      <w:r w:rsidR="00E97D66" w:rsidRPr="008A132B">
        <w:rPr>
          <w:lang w:val="en-ZA"/>
        </w:rPr>
        <w:t xml:space="preserve"> on what would constitute a just and equitable remedy.</w:t>
      </w:r>
      <w:r w:rsidR="00391428" w:rsidRPr="008A132B">
        <w:rPr>
          <w:lang w:val="en-ZA"/>
        </w:rPr>
        <w:t xml:space="preserve"> </w:t>
      </w:r>
    </w:p>
    <w:p w14:paraId="1F51BCB9" w14:textId="77777777" w:rsidR="009E6A7F" w:rsidRPr="008A132B" w:rsidRDefault="009E6A7F" w:rsidP="00CC12CF">
      <w:pPr>
        <w:pStyle w:val="2"/>
        <w:numPr>
          <w:ilvl w:val="0"/>
          <w:numId w:val="0"/>
        </w:numPr>
        <w:spacing w:before="0" w:line="360" w:lineRule="auto"/>
        <w:rPr>
          <w:rFonts w:cs="Arial"/>
          <w:szCs w:val="24"/>
          <w:lang w:val="en-ZA"/>
        </w:rPr>
      </w:pPr>
    </w:p>
    <w:p w14:paraId="651E9750" w14:textId="4A107835" w:rsidR="008561B0"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[27]</w:t>
      </w:r>
      <w:r w:rsidRPr="008A132B">
        <w:rPr>
          <w:rFonts w:cs="Arial"/>
          <w:iCs w:val="0"/>
          <w:szCs w:val="24"/>
          <w:lang w:val="en-ZA"/>
        </w:rPr>
        <w:tab/>
      </w:r>
      <w:r w:rsidR="00391428" w:rsidRPr="008A132B">
        <w:rPr>
          <w:lang w:val="en-ZA"/>
        </w:rPr>
        <w:t>The applicants</w:t>
      </w:r>
      <w:r w:rsidR="008B680D" w:rsidRPr="008A132B">
        <w:rPr>
          <w:lang w:val="en-ZA"/>
        </w:rPr>
        <w:t xml:space="preserve">’ </w:t>
      </w:r>
      <w:r w:rsidR="00A65AC7" w:rsidRPr="008A132B">
        <w:rPr>
          <w:lang w:val="en-ZA"/>
        </w:rPr>
        <w:t>submissions were</w:t>
      </w:r>
      <w:r w:rsidR="008B680D" w:rsidRPr="008A132B">
        <w:rPr>
          <w:lang w:val="en-ZA"/>
        </w:rPr>
        <w:t xml:space="preserve"> paraphrased as follows</w:t>
      </w:r>
      <w:r w:rsidR="008561B0" w:rsidRPr="008A132B">
        <w:rPr>
          <w:lang w:val="en-ZA"/>
        </w:rPr>
        <w:t xml:space="preserve"> in the review</w:t>
      </w:r>
      <w:r w:rsidR="008B680D" w:rsidRPr="008A132B">
        <w:rPr>
          <w:lang w:val="en-ZA"/>
        </w:rPr>
        <w:t>:</w:t>
      </w:r>
    </w:p>
    <w:p w14:paraId="605967A1" w14:textId="7A2DD402" w:rsidR="008561B0" w:rsidRPr="008A132B" w:rsidRDefault="008B680D" w:rsidP="008561B0">
      <w:pPr>
        <w:pStyle w:val="2"/>
        <w:numPr>
          <w:ilvl w:val="0"/>
          <w:numId w:val="0"/>
        </w:numPr>
        <w:spacing w:before="0" w:line="360" w:lineRule="auto"/>
        <w:rPr>
          <w:rFonts w:cs="Arial"/>
          <w:szCs w:val="24"/>
          <w:lang w:val="en-ZA"/>
        </w:rPr>
      </w:pPr>
      <w:r w:rsidRPr="008A132B">
        <w:rPr>
          <w:rFonts w:cs="Arial"/>
          <w:sz w:val="22"/>
          <w:lang w:val="en-ZA"/>
        </w:rPr>
        <w:t>‘</w:t>
      </w:r>
      <w:r w:rsidR="008561B0" w:rsidRPr="008A132B">
        <w:rPr>
          <w:rFonts w:cs="Arial"/>
          <w:sz w:val="22"/>
          <w:lang w:val="en-ZA"/>
        </w:rPr>
        <w:t>75. The applicants submit that an appropriate remedy is one that will see the matter being referred to the Regional Manager (RM) so that Tendele commences afresh its application for a mining right. The applicants advanced a number of reasons why a referral to the RM is the only remedy that will suit the circumstances of this case, as opposed to a referral to the Minister, as sought by Tendele. In the first place, the applicants say that in terms of section 96(2)(a) of MPRDA, an appeal does not suspend the administrative decision, unless it is suspended by the Director-General or the Minister. The applicants complain that this means the mine can go ahead and mine in the new areas (Emalahleni, Mahujini and Ophondweni) without resolving the critical issues challenged in this application. They say that public participation requires what I may loosely refer to as “boots on the ground”; it is not a matter that can be handled during an appeal before the Minister, in top down fashion. They point to the 27 extra (or rather the floating studies), and submit that these studies were procured, not in compliance with some requirement because they are not connected to the EMPr, but to influence the decision that will ultimately be granted by this court. On the issue of IPILRA the applicants contended from the start that their consent had not be obtained; that Tendele’s application went ahead and was ultimately granted, unlawfully. On this score, the applicants contend that the Minister cannot fix something that is unlawful. On this basis alone, it is simply not competent to refer the decision to the Minister.</w:t>
      </w:r>
    </w:p>
    <w:p w14:paraId="453FAE20" w14:textId="13783205" w:rsidR="008B680D" w:rsidRPr="008A132B" w:rsidRDefault="008561B0" w:rsidP="008561B0">
      <w:pPr>
        <w:pStyle w:val="2"/>
        <w:numPr>
          <w:ilvl w:val="0"/>
          <w:numId w:val="0"/>
        </w:numPr>
        <w:spacing w:before="0" w:line="360" w:lineRule="auto"/>
        <w:rPr>
          <w:sz w:val="22"/>
          <w:lang w:val="en-ZA"/>
        </w:rPr>
      </w:pPr>
      <w:r w:rsidRPr="008A132B">
        <w:rPr>
          <w:rFonts w:cs="Arial"/>
          <w:sz w:val="22"/>
          <w:lang w:val="en-ZA"/>
        </w:rPr>
        <w:t xml:space="preserve">76. A further reason why it is not competent to refer the matter to the Minister according to the applicants is that Tendele says it needs to commence mining by June 2022 and it requires five months to prepare. The applicants submit that the mine is simply not going to meet this </w:t>
      </w:r>
      <w:r w:rsidRPr="008A132B">
        <w:rPr>
          <w:rFonts w:cs="Arial"/>
          <w:sz w:val="22"/>
          <w:lang w:val="en-ZA"/>
        </w:rPr>
        <w:lastRenderedPageBreak/>
        <w:t>timeline as the amendment of the EMPr, in consequence of the amendment of the Mining Right, which on its own triggers a listed activity, make take considerably more than 180 days. The final reason deals with Tendele’s failure to make financial provision for each of the areas it seeks to retain, instead of one</w:t>
      </w:r>
      <w:r w:rsidR="008B680D" w:rsidRPr="008A132B">
        <w:rPr>
          <w:sz w:val="22"/>
          <w:lang w:val="en-ZA"/>
        </w:rPr>
        <w:t>.</w:t>
      </w:r>
      <w:r w:rsidRPr="008A132B">
        <w:rPr>
          <w:sz w:val="22"/>
          <w:lang w:val="en-ZA"/>
        </w:rPr>
        <w:t>’</w:t>
      </w:r>
    </w:p>
    <w:p w14:paraId="6FE462B0" w14:textId="77777777" w:rsidR="003D370A" w:rsidRPr="008A132B" w:rsidRDefault="003D370A" w:rsidP="00CC12CF">
      <w:pPr>
        <w:spacing w:line="360" w:lineRule="auto"/>
        <w:jc w:val="both"/>
        <w:rPr>
          <w:sz w:val="22"/>
          <w:szCs w:val="22"/>
        </w:rPr>
      </w:pPr>
    </w:p>
    <w:p w14:paraId="402286B5" w14:textId="36432C8A" w:rsidR="003D370A"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[28]</w:t>
      </w:r>
      <w:r w:rsidRPr="008A132B">
        <w:rPr>
          <w:rFonts w:cs="Arial"/>
          <w:iCs w:val="0"/>
          <w:szCs w:val="24"/>
          <w:lang w:val="en-ZA"/>
        </w:rPr>
        <w:tab/>
      </w:r>
      <w:r w:rsidR="003D370A" w:rsidRPr="008A132B">
        <w:rPr>
          <w:lang w:val="en-ZA"/>
        </w:rPr>
        <w:t xml:space="preserve">Tendele’s </w:t>
      </w:r>
      <w:r w:rsidR="00A65AC7" w:rsidRPr="008A132B">
        <w:rPr>
          <w:lang w:val="en-ZA"/>
        </w:rPr>
        <w:t xml:space="preserve">submissions were summarized </w:t>
      </w:r>
      <w:r w:rsidR="005B4ACD">
        <w:rPr>
          <w:lang w:val="en-ZA"/>
        </w:rPr>
        <w:t xml:space="preserve">in the review judgment </w:t>
      </w:r>
      <w:r w:rsidR="003D370A" w:rsidRPr="008A132B">
        <w:rPr>
          <w:lang w:val="en-ZA"/>
        </w:rPr>
        <w:t>as follows:</w:t>
      </w:r>
    </w:p>
    <w:p w14:paraId="7E862F12" w14:textId="59CB8F4A" w:rsidR="008561B0" w:rsidRPr="008A132B" w:rsidRDefault="008561B0" w:rsidP="008561B0">
      <w:pPr>
        <w:pStyle w:val="2"/>
        <w:numPr>
          <w:ilvl w:val="0"/>
          <w:numId w:val="0"/>
        </w:numPr>
        <w:spacing w:before="0" w:line="360" w:lineRule="auto"/>
        <w:rPr>
          <w:sz w:val="22"/>
          <w:lang w:val="en-ZA"/>
        </w:rPr>
      </w:pPr>
      <w:r w:rsidRPr="008A132B">
        <w:rPr>
          <w:sz w:val="22"/>
          <w:lang w:val="en-ZA"/>
        </w:rPr>
        <w:t>‘77. Tendele submits that the Minister is the legitimate and statutorily empowered decision-maker on appeals against the grant of mining rights. Tendele submits that the administration of this act affects a wide range of interests and the decisions are complex and polycentric, involving the conflicting views of highly qualified experts in a technical domain. Tendele says the Minister has wide powers on appeal and there would be no limitation in his ability to call for public participation or even ordering Tendele to carry out specific remedial action. In the words of counsel for Tendele, its client is intent on doing everything reasonably possible to guard against the process on appeal before the Minister being assailed.</w:t>
      </w:r>
    </w:p>
    <w:p w14:paraId="25693EF2" w14:textId="00BB7AFE" w:rsidR="008561B0" w:rsidRPr="008A132B" w:rsidRDefault="008561B0" w:rsidP="008561B0">
      <w:pPr>
        <w:pStyle w:val="2"/>
        <w:numPr>
          <w:ilvl w:val="0"/>
          <w:numId w:val="0"/>
        </w:numPr>
        <w:spacing w:before="0" w:line="360" w:lineRule="auto"/>
        <w:rPr>
          <w:sz w:val="22"/>
          <w:lang w:val="en-ZA"/>
        </w:rPr>
      </w:pPr>
      <w:r w:rsidRPr="008A132B">
        <w:rPr>
          <w:sz w:val="22"/>
          <w:lang w:val="en-ZA"/>
        </w:rPr>
        <w:t>78. Regarding Tendele’s contribution to South Africa’s economy, Tendele, the mine has one of the largest resources of open-pit mineable anthracite reserves in South Africa. Tendele currently sells the higher quality anthracite to local ferrochrome producers and is the principal supplier of anthracide to the ferrochrome producers in South Africa. The higher quality anthracide is a critical component of reductant mix used in smelters by ferrochrome producers. At present, Tendele sells 600 000 tonnes of anthracite per annum to local ferrochrome producers. Tendele accordingly pleaded that an order that fails to take into account its commitment to its suppliers may bring about devastating results not only to its financial resources but to various entities that also play a major role in South Africa’s economy.</w:t>
      </w:r>
    </w:p>
    <w:p w14:paraId="7A567F40" w14:textId="18C60454" w:rsidR="008561B0" w:rsidRPr="008A132B" w:rsidRDefault="008561B0" w:rsidP="008561B0">
      <w:pPr>
        <w:pStyle w:val="2"/>
        <w:numPr>
          <w:ilvl w:val="0"/>
          <w:numId w:val="0"/>
        </w:numPr>
        <w:spacing w:before="0" w:line="360" w:lineRule="auto"/>
        <w:rPr>
          <w:sz w:val="22"/>
          <w:lang w:val="en-ZA"/>
        </w:rPr>
      </w:pPr>
      <w:r w:rsidRPr="008A132B">
        <w:rPr>
          <w:sz w:val="22"/>
          <w:lang w:val="en-ZA"/>
        </w:rPr>
        <w:t>79. The Somkhele mine is the only major employer in the Mtubatuba area. At present Tendele employs about 1200 people, 87% of whom reside in the impoverished Mpukunyoni area surrounding Somkhele. As a result 120 households benefit from employment and or procurement agreements at Somkhele. Assuming that each household supports 10 people, some 12 000 people directly depend on the mine.</w:t>
      </w:r>
    </w:p>
    <w:p w14:paraId="2FEA5C80" w14:textId="50265923" w:rsidR="003D370A" w:rsidRPr="008A132B" w:rsidRDefault="008561B0" w:rsidP="008561B0">
      <w:pPr>
        <w:pStyle w:val="2"/>
        <w:numPr>
          <w:ilvl w:val="0"/>
          <w:numId w:val="0"/>
        </w:numPr>
        <w:spacing w:before="0" w:line="360" w:lineRule="auto"/>
        <w:rPr>
          <w:sz w:val="22"/>
          <w:lang w:val="en-ZA"/>
        </w:rPr>
      </w:pPr>
      <w:r w:rsidRPr="008A132B">
        <w:rPr>
          <w:sz w:val="22"/>
          <w:lang w:val="en-ZA"/>
        </w:rPr>
        <w:t>80. According to the Mtubatuba Local Municipality’s Integrated Development Plan, the Somkhele mine is one of the major employers in the Mtubatuba Municipality which has extremely high unemployment rates. Since Tendele began mining it has contributed R2.2 billion in direct benefits to local community members. This includes R1.2 billion in salaries; R61 million in community projects; over R607 million on procurement services; R9 million for the benefit for the youth in the community as well as various training and educational initiatives. Tendele further pays hundreds of millions of rand in taxes to the South African Government</w:t>
      </w:r>
      <w:r w:rsidR="00C34DCA" w:rsidRPr="008A132B">
        <w:rPr>
          <w:sz w:val="22"/>
          <w:lang w:val="en-ZA"/>
        </w:rPr>
        <w:t xml:space="preserve">.’         </w:t>
      </w:r>
      <w:r w:rsidR="003D370A" w:rsidRPr="008A132B">
        <w:rPr>
          <w:sz w:val="22"/>
          <w:lang w:val="en-ZA"/>
        </w:rPr>
        <w:t xml:space="preserve">   </w:t>
      </w:r>
    </w:p>
    <w:p w14:paraId="002CEB99" w14:textId="77777777" w:rsidR="003D370A" w:rsidRPr="008A132B" w:rsidRDefault="003D370A" w:rsidP="00CC12CF">
      <w:pPr>
        <w:pStyle w:val="2"/>
        <w:numPr>
          <w:ilvl w:val="0"/>
          <w:numId w:val="0"/>
        </w:numPr>
        <w:spacing w:before="0" w:line="360" w:lineRule="auto"/>
        <w:rPr>
          <w:lang w:val="en-ZA"/>
        </w:rPr>
      </w:pPr>
    </w:p>
    <w:p w14:paraId="0954FC75" w14:textId="10D77F81" w:rsidR="00697505"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lastRenderedPageBreak/>
        <w:t>[29]</w:t>
      </w:r>
      <w:r w:rsidRPr="008A132B">
        <w:rPr>
          <w:rFonts w:cs="Arial"/>
          <w:iCs w:val="0"/>
          <w:szCs w:val="24"/>
          <w:lang w:val="en-ZA"/>
        </w:rPr>
        <w:tab/>
      </w:r>
      <w:r w:rsidR="00391428" w:rsidRPr="008A132B">
        <w:rPr>
          <w:lang w:val="en-ZA"/>
        </w:rPr>
        <w:t xml:space="preserve">Tendele </w:t>
      </w:r>
      <w:r w:rsidR="00C34DCA" w:rsidRPr="008A132B">
        <w:rPr>
          <w:lang w:val="en-ZA"/>
        </w:rPr>
        <w:t>thus</w:t>
      </w:r>
      <w:r w:rsidR="00391428" w:rsidRPr="008A132B">
        <w:rPr>
          <w:lang w:val="en-ZA"/>
        </w:rPr>
        <w:t xml:space="preserve"> stressed the financial impact </w:t>
      </w:r>
      <w:r w:rsidR="0077039F" w:rsidRPr="008A132B">
        <w:rPr>
          <w:lang w:val="en-ZA"/>
        </w:rPr>
        <w:t xml:space="preserve">of </w:t>
      </w:r>
      <w:r w:rsidR="00391428" w:rsidRPr="008A132B">
        <w:rPr>
          <w:lang w:val="en-ZA"/>
        </w:rPr>
        <w:t xml:space="preserve">a decision that the mining could not continue would have on it and the community. It </w:t>
      </w:r>
      <w:r w:rsidR="00391428" w:rsidRPr="008A132B">
        <w:rPr>
          <w:rFonts w:cs="Arial"/>
          <w:szCs w:val="24"/>
          <w:lang w:val="en-ZA"/>
        </w:rPr>
        <w:t xml:space="preserve">contended that the irregularities in the process leading up to the grant of the </w:t>
      </w:r>
      <w:r w:rsidR="00A85E06" w:rsidRPr="008A132B">
        <w:rPr>
          <w:rFonts w:cs="Arial"/>
          <w:szCs w:val="24"/>
          <w:lang w:val="en-ZA"/>
        </w:rPr>
        <w:t xml:space="preserve">mining right </w:t>
      </w:r>
      <w:r w:rsidR="00A65AC7" w:rsidRPr="008A132B">
        <w:rPr>
          <w:rFonts w:cs="Arial"/>
          <w:szCs w:val="24"/>
          <w:lang w:val="en-ZA"/>
        </w:rPr>
        <w:t xml:space="preserve">by the </w:t>
      </w:r>
      <w:r w:rsidR="00A85E06" w:rsidRPr="008A132B">
        <w:rPr>
          <w:rFonts w:cs="Arial"/>
          <w:szCs w:val="24"/>
          <w:lang w:val="en-ZA"/>
        </w:rPr>
        <w:t>director general</w:t>
      </w:r>
      <w:r w:rsidR="00A65AC7" w:rsidRPr="008A132B">
        <w:rPr>
          <w:rFonts w:cs="Arial"/>
          <w:szCs w:val="24"/>
          <w:lang w:val="en-ZA"/>
        </w:rPr>
        <w:t xml:space="preserve"> and the approval of the EMPr by the </w:t>
      </w:r>
      <w:r w:rsidR="00A85E06" w:rsidRPr="008A132B">
        <w:rPr>
          <w:rFonts w:cs="Arial"/>
          <w:szCs w:val="24"/>
          <w:lang w:val="en-ZA"/>
        </w:rPr>
        <w:t xml:space="preserve">regional manager </w:t>
      </w:r>
      <w:r w:rsidR="00391428" w:rsidRPr="008A132B">
        <w:rPr>
          <w:rFonts w:cs="Arial"/>
          <w:szCs w:val="24"/>
          <w:lang w:val="en-ZA"/>
        </w:rPr>
        <w:t>could be addressed during a wide appeal before the Minister.</w:t>
      </w:r>
      <w:r w:rsidR="00391428" w:rsidRPr="008A132B">
        <w:rPr>
          <w:rStyle w:val="FootnoteReference"/>
          <w:rFonts w:cs="Arial"/>
          <w:szCs w:val="24"/>
          <w:lang w:val="en-ZA"/>
        </w:rPr>
        <w:footnoteReference w:id="38"/>
      </w:r>
      <w:r w:rsidR="00391428" w:rsidRPr="008A132B">
        <w:rPr>
          <w:rFonts w:cs="Arial"/>
          <w:szCs w:val="24"/>
          <w:lang w:val="en-ZA"/>
        </w:rPr>
        <w:t xml:space="preserve"> </w:t>
      </w:r>
    </w:p>
    <w:p w14:paraId="64791166" w14:textId="77777777" w:rsidR="00697505" w:rsidRPr="008A132B" w:rsidRDefault="00697505" w:rsidP="00CC12CF">
      <w:pPr>
        <w:pStyle w:val="ListParagraph"/>
        <w:spacing w:line="360" w:lineRule="auto"/>
        <w:jc w:val="both"/>
        <w:rPr>
          <w:color w:val="242121"/>
          <w:szCs w:val="24"/>
        </w:rPr>
      </w:pPr>
    </w:p>
    <w:p w14:paraId="204B985B" w14:textId="75A3328F" w:rsidR="00697505" w:rsidRPr="008A132B" w:rsidRDefault="006D79CC" w:rsidP="006D79CC">
      <w:pPr>
        <w:spacing w:line="360" w:lineRule="auto"/>
        <w:jc w:val="both"/>
        <w:rPr>
          <w:sz w:val="22"/>
          <w:szCs w:val="22"/>
        </w:rPr>
      </w:pPr>
      <w:r w:rsidRPr="008A132B">
        <w:rPr>
          <w:szCs w:val="24"/>
        </w:rPr>
        <w:t>[30]</w:t>
      </w:r>
      <w:r w:rsidRPr="008A132B">
        <w:rPr>
          <w:szCs w:val="24"/>
        </w:rPr>
        <w:tab/>
      </w:r>
      <w:r w:rsidR="00697505" w:rsidRPr="008A132B">
        <w:t xml:space="preserve">The </w:t>
      </w:r>
      <w:r w:rsidR="00E97D66" w:rsidRPr="008A132B">
        <w:t xml:space="preserve">learned judge’s </w:t>
      </w:r>
      <w:r w:rsidR="00C0319E" w:rsidRPr="008A132B">
        <w:t xml:space="preserve">reasoning </w:t>
      </w:r>
      <w:r w:rsidR="00DE4629" w:rsidRPr="008A132B">
        <w:t>on th</w:t>
      </w:r>
      <w:r w:rsidR="009B72F6" w:rsidRPr="008A132B">
        <w:t>e</w:t>
      </w:r>
      <w:r w:rsidR="00DE4629" w:rsidRPr="008A132B">
        <w:t xml:space="preserve"> issue </w:t>
      </w:r>
      <w:r w:rsidR="009B72F6" w:rsidRPr="008A132B">
        <w:t xml:space="preserve">of just and equitable relief </w:t>
      </w:r>
      <w:r w:rsidR="003D370A" w:rsidRPr="008A132B">
        <w:t>wa</w:t>
      </w:r>
      <w:r w:rsidR="009B72F6" w:rsidRPr="008A132B">
        <w:t xml:space="preserve">s </w:t>
      </w:r>
      <w:r w:rsidR="00A65AC7" w:rsidRPr="008A132B">
        <w:t xml:space="preserve">couched </w:t>
      </w:r>
      <w:r w:rsidR="009B72F6" w:rsidRPr="008A132B">
        <w:t>as follows:</w:t>
      </w:r>
      <w:r w:rsidR="00697505" w:rsidRPr="008A132B">
        <w:rPr>
          <w:rStyle w:val="FootnoteReference"/>
        </w:rPr>
        <w:footnoteReference w:id="39"/>
      </w:r>
      <w:r w:rsidR="00697505" w:rsidRPr="008A132B">
        <w:t xml:space="preserve"> </w:t>
      </w:r>
    </w:p>
    <w:p w14:paraId="7358BDC7" w14:textId="748F9D8C" w:rsidR="00697505" w:rsidRPr="008A132B" w:rsidRDefault="00ED7CAF" w:rsidP="00CC12CF">
      <w:pPr>
        <w:spacing w:line="360" w:lineRule="auto"/>
        <w:jc w:val="both"/>
        <w:rPr>
          <w:sz w:val="22"/>
          <w:szCs w:val="22"/>
        </w:rPr>
      </w:pPr>
      <w:r w:rsidRPr="008A132B">
        <w:rPr>
          <w:sz w:val="22"/>
          <w:szCs w:val="22"/>
        </w:rPr>
        <w:t xml:space="preserve">I have reflected on the parties’ cases </w:t>
      </w:r>
      <w:r w:rsidRPr="008A132B">
        <w:rPr>
          <w:i/>
          <w:sz w:val="22"/>
          <w:szCs w:val="22"/>
        </w:rPr>
        <w:t>including the reasons placed by the applicants</w:t>
      </w:r>
      <w:r w:rsidRPr="008A132B">
        <w:rPr>
          <w:sz w:val="22"/>
          <w:szCs w:val="22"/>
        </w:rPr>
        <w:t>.</w:t>
      </w:r>
      <w:r w:rsidR="007D69B0">
        <w:rPr>
          <w:rStyle w:val="FootnoteReference"/>
          <w:sz w:val="22"/>
          <w:szCs w:val="22"/>
        </w:rPr>
        <w:footnoteReference w:id="40"/>
      </w:r>
      <w:r w:rsidRPr="008A132B">
        <w:rPr>
          <w:sz w:val="22"/>
          <w:szCs w:val="22"/>
        </w:rPr>
        <w:t xml:space="preserve"> But this is a case that calls for pragmatism to guide the court. It seems to me that an order that will see the matter referred back to the Minister for reconsideration of the appeal, </w:t>
      </w:r>
      <w:r w:rsidRPr="008A132B">
        <w:rPr>
          <w:i/>
          <w:sz w:val="22"/>
          <w:szCs w:val="22"/>
        </w:rPr>
        <w:t>in line with the findings of this judgement</w:t>
      </w:r>
      <w:r w:rsidRPr="008A132B">
        <w:rPr>
          <w:sz w:val="22"/>
          <w:szCs w:val="22"/>
        </w:rPr>
        <w:t xml:space="preserve">, will strike the correct balance of the various competing interests. Such an order will “uphold, enhance and vindicate the underlying values and rights entrenched in the Constitution”.’ </w:t>
      </w:r>
      <w:r w:rsidR="00697505" w:rsidRPr="008A132B">
        <w:rPr>
          <w:szCs w:val="22"/>
        </w:rPr>
        <w:t>(</w:t>
      </w:r>
      <w:r w:rsidRPr="008A132B">
        <w:rPr>
          <w:szCs w:val="22"/>
        </w:rPr>
        <w:t xml:space="preserve">emphasis added, </w:t>
      </w:r>
      <w:r w:rsidR="00697505" w:rsidRPr="008A132B">
        <w:rPr>
          <w:szCs w:val="22"/>
        </w:rPr>
        <w:t>footnote omitted</w:t>
      </w:r>
      <w:r w:rsidR="007D69B0">
        <w:rPr>
          <w:szCs w:val="22"/>
        </w:rPr>
        <w:t>, new footnote added</w:t>
      </w:r>
      <w:r w:rsidR="00697505" w:rsidRPr="008A132B">
        <w:rPr>
          <w:szCs w:val="22"/>
        </w:rPr>
        <w:t xml:space="preserve">) </w:t>
      </w:r>
    </w:p>
    <w:p w14:paraId="2E757175" w14:textId="77777777" w:rsidR="00697505" w:rsidRPr="008A132B" w:rsidRDefault="00697505" w:rsidP="00ED7CAF">
      <w:pPr>
        <w:pStyle w:val="ListParagraph"/>
        <w:spacing w:line="360" w:lineRule="auto"/>
        <w:ind w:left="0"/>
        <w:jc w:val="both"/>
      </w:pPr>
    </w:p>
    <w:p w14:paraId="6A8E5A36" w14:textId="3A0890AE" w:rsidR="00697505" w:rsidRPr="008A132B" w:rsidRDefault="006D79CC" w:rsidP="006D79CC">
      <w:pPr>
        <w:spacing w:line="360" w:lineRule="auto"/>
        <w:jc w:val="both"/>
      </w:pPr>
      <w:r w:rsidRPr="008A132B">
        <w:rPr>
          <w:szCs w:val="24"/>
        </w:rPr>
        <w:t>[31]</w:t>
      </w:r>
      <w:r w:rsidRPr="008A132B">
        <w:rPr>
          <w:szCs w:val="24"/>
        </w:rPr>
        <w:tab/>
      </w:r>
      <w:r w:rsidR="00697505" w:rsidRPr="008A132B">
        <w:t xml:space="preserve">The order granted on 4 May 2022 reads as follows: </w:t>
      </w:r>
    </w:p>
    <w:p w14:paraId="69B21DC4" w14:textId="0F3A22CC" w:rsidR="00ED7CAF" w:rsidRPr="008A132B" w:rsidRDefault="00B22C5D" w:rsidP="00ED7CAF">
      <w:pPr>
        <w:spacing w:line="360" w:lineRule="auto"/>
        <w:jc w:val="both"/>
        <w:rPr>
          <w:sz w:val="22"/>
          <w:szCs w:val="22"/>
        </w:rPr>
      </w:pPr>
      <w:r w:rsidRPr="008A132B">
        <w:rPr>
          <w:sz w:val="22"/>
          <w:szCs w:val="22"/>
        </w:rPr>
        <w:t>‘</w:t>
      </w:r>
      <w:r w:rsidR="00ED7CAF" w:rsidRPr="008A132B">
        <w:rPr>
          <w:sz w:val="22"/>
          <w:szCs w:val="22"/>
        </w:rPr>
        <w:t>1. The Director General’s decision of 31 May 2016, in awarding the Mining Right to Tendele, and the Regional Manager’s decision of 26 October 2016, in approving Tendele’s EMPr, are hereby declared invalid. The decisions are not set aside.</w:t>
      </w:r>
    </w:p>
    <w:p w14:paraId="5F4A9894" w14:textId="2A8F3086" w:rsidR="00ED7CAF" w:rsidRPr="008A132B" w:rsidRDefault="00ED7CAF" w:rsidP="00ED7CAF">
      <w:pPr>
        <w:spacing w:line="360" w:lineRule="auto"/>
        <w:jc w:val="both"/>
        <w:rPr>
          <w:sz w:val="22"/>
          <w:szCs w:val="22"/>
        </w:rPr>
      </w:pPr>
      <w:r w:rsidRPr="008A132B">
        <w:rPr>
          <w:sz w:val="22"/>
          <w:szCs w:val="22"/>
        </w:rPr>
        <w:t>2. The Minister’s decision of 15 June 2018 in dismissing the appeal against the grant of the Mining Right to Tendele and the Approval of Tendele’s EMPr is hereby declared invalid and is set aside.</w:t>
      </w:r>
    </w:p>
    <w:p w14:paraId="768B6526" w14:textId="3DA21CA3" w:rsidR="00ED7CAF" w:rsidRPr="008A132B" w:rsidRDefault="00ED7CAF" w:rsidP="00ED7CAF">
      <w:pPr>
        <w:spacing w:line="360" w:lineRule="auto"/>
        <w:jc w:val="both"/>
        <w:rPr>
          <w:sz w:val="22"/>
          <w:szCs w:val="22"/>
        </w:rPr>
      </w:pPr>
      <w:r w:rsidRPr="008A132B">
        <w:rPr>
          <w:sz w:val="22"/>
          <w:szCs w:val="22"/>
        </w:rPr>
        <w:t>3. The appeal is remitted back to the Minister for reconsideration in accordance with the findings of this judgement.</w:t>
      </w:r>
    </w:p>
    <w:p w14:paraId="0E44611E" w14:textId="6B155418" w:rsidR="00ED7CAF" w:rsidRPr="008A132B" w:rsidRDefault="00ED7CAF" w:rsidP="00ED7CAF">
      <w:pPr>
        <w:spacing w:line="360" w:lineRule="auto"/>
        <w:jc w:val="both"/>
        <w:rPr>
          <w:sz w:val="22"/>
          <w:szCs w:val="22"/>
        </w:rPr>
      </w:pPr>
      <w:r w:rsidRPr="008A132B">
        <w:rPr>
          <w:sz w:val="22"/>
          <w:szCs w:val="22"/>
        </w:rPr>
        <w:t>4. In reconsidering the appeal, and in addition to the findings of this judgement, the Minister is directed to consider:</w:t>
      </w:r>
    </w:p>
    <w:p w14:paraId="0B24F249" w14:textId="54840B33" w:rsidR="00ED7CAF" w:rsidRPr="008A132B" w:rsidRDefault="00ED7CAF" w:rsidP="00ED7CAF">
      <w:pPr>
        <w:spacing w:line="360" w:lineRule="auto"/>
        <w:jc w:val="both"/>
        <w:rPr>
          <w:sz w:val="22"/>
          <w:szCs w:val="22"/>
        </w:rPr>
      </w:pPr>
      <w:r w:rsidRPr="008A132B">
        <w:rPr>
          <w:sz w:val="22"/>
          <w:szCs w:val="22"/>
        </w:rPr>
        <w:t>(a)  any information that the Applicants and Tendele wish to place before him for that purpose.</w:t>
      </w:r>
    </w:p>
    <w:p w14:paraId="091D4785" w14:textId="2421C686" w:rsidR="00ED7CAF" w:rsidRPr="008A132B" w:rsidRDefault="00ED7CAF" w:rsidP="00ED7CAF">
      <w:pPr>
        <w:spacing w:line="360" w:lineRule="auto"/>
        <w:jc w:val="both"/>
        <w:rPr>
          <w:sz w:val="22"/>
          <w:szCs w:val="22"/>
        </w:rPr>
      </w:pPr>
      <w:r w:rsidRPr="008A132B">
        <w:rPr>
          <w:sz w:val="22"/>
          <w:szCs w:val="22"/>
        </w:rPr>
        <w:t>(b) any information, comments, and submissions from I&amp;APs.</w:t>
      </w:r>
    </w:p>
    <w:p w14:paraId="0D282FDA" w14:textId="26DF8C83" w:rsidR="00ED7CAF" w:rsidRPr="008A132B" w:rsidRDefault="00ED7CAF" w:rsidP="00ED7CAF">
      <w:pPr>
        <w:spacing w:line="360" w:lineRule="auto"/>
        <w:jc w:val="both"/>
        <w:rPr>
          <w:sz w:val="22"/>
          <w:szCs w:val="22"/>
        </w:rPr>
      </w:pPr>
      <w:r w:rsidRPr="008A132B">
        <w:rPr>
          <w:sz w:val="22"/>
          <w:szCs w:val="22"/>
        </w:rPr>
        <w:t>5. Tendele is directed to notify interested and affected parties of their entitlement to participate in the appeal process by publicising the contents of this widely.</w:t>
      </w:r>
    </w:p>
    <w:p w14:paraId="470F2292" w14:textId="234C80CA" w:rsidR="00ED7CAF" w:rsidRPr="008A132B" w:rsidRDefault="00ED7CAF" w:rsidP="00ED7CAF">
      <w:pPr>
        <w:spacing w:line="360" w:lineRule="auto"/>
        <w:jc w:val="both"/>
        <w:rPr>
          <w:sz w:val="22"/>
          <w:szCs w:val="22"/>
        </w:rPr>
      </w:pPr>
      <w:r w:rsidRPr="008A132B">
        <w:rPr>
          <w:sz w:val="22"/>
          <w:szCs w:val="22"/>
        </w:rPr>
        <w:t xml:space="preserve">6. Tendele is to ensure that public participation process to be conducted pursuant to the Minister’s determination of the appeal process, complies with the requirements of (a) Public </w:t>
      </w:r>
      <w:r w:rsidRPr="008A132B">
        <w:rPr>
          <w:sz w:val="22"/>
          <w:szCs w:val="22"/>
        </w:rPr>
        <w:lastRenderedPageBreak/>
        <w:t xml:space="preserve">Participation Guidelines in terms of the National Environmental Act, 1998 and (b) Chapter 6 of the Environmental Impact Assessment Regulations, 2014 as Published in </w:t>
      </w:r>
      <w:r w:rsidRPr="008A132B">
        <w:rPr>
          <w:i/>
          <w:sz w:val="22"/>
          <w:szCs w:val="22"/>
        </w:rPr>
        <w:t>Government Gazette</w:t>
      </w:r>
      <w:r w:rsidRPr="008A132B">
        <w:rPr>
          <w:sz w:val="22"/>
          <w:szCs w:val="22"/>
        </w:rPr>
        <w:t xml:space="preserve"> No</w:t>
      </w:r>
      <w:r w:rsidR="007D2D3B" w:rsidRPr="008A132B">
        <w:rPr>
          <w:sz w:val="22"/>
          <w:szCs w:val="22"/>
        </w:rPr>
        <w:t xml:space="preserve"> </w:t>
      </w:r>
      <w:r w:rsidRPr="008A132B">
        <w:rPr>
          <w:sz w:val="22"/>
          <w:szCs w:val="22"/>
        </w:rPr>
        <w:t>38282 GNR 982 of 4 December 2014.</w:t>
      </w:r>
    </w:p>
    <w:p w14:paraId="72781803" w14:textId="2A6DB7C9" w:rsidR="00ED7CAF" w:rsidRPr="008A132B" w:rsidRDefault="00ED7CAF" w:rsidP="00ED7CAF">
      <w:pPr>
        <w:spacing w:line="360" w:lineRule="auto"/>
        <w:jc w:val="both"/>
        <w:rPr>
          <w:sz w:val="22"/>
          <w:szCs w:val="22"/>
        </w:rPr>
      </w:pPr>
      <w:r w:rsidRPr="008A132B">
        <w:rPr>
          <w:sz w:val="22"/>
          <w:szCs w:val="22"/>
        </w:rPr>
        <w:t>7. The First, Second, Third and Fourth respondents are hereby ordered, jointly and severally, the one paying the other absolved, to pay the costs of the applicants, including the costs occasioned by the employment of two counsel, one Senior and one Junior.</w:t>
      </w:r>
    </w:p>
    <w:p w14:paraId="2F9AF98D" w14:textId="043E2381" w:rsidR="00697505" w:rsidRPr="008A132B" w:rsidRDefault="00ED7CAF" w:rsidP="00ED7CAF">
      <w:pPr>
        <w:spacing w:line="360" w:lineRule="auto"/>
        <w:jc w:val="both"/>
        <w:rPr>
          <w:sz w:val="22"/>
          <w:szCs w:val="22"/>
        </w:rPr>
      </w:pPr>
      <w:r w:rsidRPr="008A132B">
        <w:rPr>
          <w:sz w:val="22"/>
          <w:szCs w:val="22"/>
        </w:rPr>
        <w:t>7.1 The costs mentioned in paragraph 7 include the costs of the Rule 7 application plus the costs of two counsel, one Senior and one Junior</w:t>
      </w:r>
      <w:r w:rsidR="00697505" w:rsidRPr="008A132B">
        <w:rPr>
          <w:sz w:val="22"/>
          <w:szCs w:val="22"/>
        </w:rPr>
        <w:t>’</w:t>
      </w:r>
    </w:p>
    <w:p w14:paraId="2CC142F6" w14:textId="77777777" w:rsidR="00C0319E" w:rsidRPr="008A132B" w:rsidRDefault="00C0319E" w:rsidP="00CC12CF">
      <w:pPr>
        <w:spacing w:line="360" w:lineRule="auto"/>
        <w:jc w:val="both"/>
      </w:pPr>
    </w:p>
    <w:p w14:paraId="3B77FF5E" w14:textId="767678E3" w:rsidR="00AE1F93" w:rsidRPr="008A132B" w:rsidRDefault="006D79CC" w:rsidP="006D79CC">
      <w:pPr>
        <w:spacing w:line="360" w:lineRule="auto"/>
        <w:jc w:val="both"/>
      </w:pPr>
      <w:r w:rsidRPr="008A132B">
        <w:rPr>
          <w:szCs w:val="24"/>
        </w:rPr>
        <w:t>[32]</w:t>
      </w:r>
      <w:r w:rsidRPr="008A132B">
        <w:rPr>
          <w:szCs w:val="24"/>
        </w:rPr>
        <w:tab/>
      </w:r>
      <w:r w:rsidR="00697505" w:rsidRPr="008A132B">
        <w:t>The judgment has not been taken on appeal. The findings are accordingly binding on the parties.</w:t>
      </w:r>
    </w:p>
    <w:p w14:paraId="510E4172" w14:textId="77777777" w:rsidR="00CE6E69" w:rsidRPr="008A132B" w:rsidRDefault="00CE6E69" w:rsidP="00CC12CF">
      <w:pPr>
        <w:spacing w:line="360" w:lineRule="auto"/>
        <w:jc w:val="both"/>
      </w:pPr>
    </w:p>
    <w:p w14:paraId="52CB6748" w14:textId="2A7570D6" w:rsidR="00AB611F" w:rsidRPr="008A132B" w:rsidRDefault="006D79CC" w:rsidP="006D79CC">
      <w:pPr>
        <w:spacing w:line="360" w:lineRule="auto"/>
        <w:jc w:val="both"/>
      </w:pPr>
      <w:r w:rsidRPr="008A132B">
        <w:rPr>
          <w:szCs w:val="24"/>
        </w:rPr>
        <w:t>[33]</w:t>
      </w:r>
      <w:r w:rsidRPr="008A132B">
        <w:rPr>
          <w:szCs w:val="24"/>
        </w:rPr>
        <w:tab/>
      </w:r>
      <w:r w:rsidR="00697505" w:rsidRPr="008A132B">
        <w:t>Since the judgment was delivered,</w:t>
      </w:r>
      <w:r w:rsidR="007D69B0">
        <w:t xml:space="preserve"> </w:t>
      </w:r>
      <w:r w:rsidR="00697505" w:rsidRPr="008A132B">
        <w:t xml:space="preserve">Tendele alleges that it has made strident progress in addressing </w:t>
      </w:r>
      <w:r w:rsidR="00A65AC7" w:rsidRPr="008A132B">
        <w:t xml:space="preserve">some of </w:t>
      </w:r>
      <w:r w:rsidR="00CE6E69" w:rsidRPr="008A132B">
        <w:t xml:space="preserve">the </w:t>
      </w:r>
      <w:r w:rsidR="00A65AC7" w:rsidRPr="008A132B">
        <w:t xml:space="preserve">deficiencies </w:t>
      </w:r>
      <w:r w:rsidR="00697505" w:rsidRPr="008A132B">
        <w:t xml:space="preserve">raised in the judgement. The mine is </w:t>
      </w:r>
      <w:r w:rsidR="007D69B0">
        <w:t xml:space="preserve">presently </w:t>
      </w:r>
      <w:r w:rsidR="00697505" w:rsidRPr="008A132B">
        <w:t>not operational, but is on what is termed ‘care and maintenance</w:t>
      </w:r>
      <w:r w:rsidR="00AB611F" w:rsidRPr="008A132B">
        <w:t>,</w:t>
      </w:r>
      <w:r w:rsidR="00697505" w:rsidRPr="008A132B">
        <w:t xml:space="preserve">’ </w:t>
      </w:r>
      <w:r w:rsidR="00AB611F" w:rsidRPr="008A132B">
        <w:t xml:space="preserve">which is said to leave it in </w:t>
      </w:r>
      <w:r w:rsidR="00697505" w:rsidRPr="008A132B">
        <w:t>a precarious financial position. It is washing discard to produce low quality anthracite, which is providing it with sufficient revenue to continue employing a few employees (mainly on a temporary basis) to partially service the interest on its debt. The processing of the discard will continue for a maximum of seven months from 1 April 2023, where after the mine will have no revenue and all 22 full</w:t>
      </w:r>
      <w:r w:rsidR="00235ADC" w:rsidRPr="008A132B">
        <w:t xml:space="preserve"> </w:t>
      </w:r>
      <w:r w:rsidR="00697505" w:rsidRPr="008A132B">
        <w:t>time employees and all 58 temporary employees and all 192 contractors will have lost their jobs. It is also alleged that funders require confirmation that Tendele is able to gain access to the new mining areas.</w:t>
      </w:r>
      <w:r w:rsidR="00AB611F" w:rsidRPr="008A132B">
        <w:t xml:space="preserve"> </w:t>
      </w:r>
    </w:p>
    <w:p w14:paraId="7A979FDB" w14:textId="77777777" w:rsidR="00AB611F" w:rsidRPr="008A132B" w:rsidRDefault="00AB611F" w:rsidP="00CC12CF">
      <w:pPr>
        <w:spacing w:line="360" w:lineRule="auto"/>
        <w:jc w:val="both"/>
      </w:pPr>
    </w:p>
    <w:p w14:paraId="75D504ED" w14:textId="4C927A94" w:rsidR="00697505" w:rsidRPr="008A132B" w:rsidRDefault="006D79CC" w:rsidP="006D79CC">
      <w:pPr>
        <w:spacing w:line="360" w:lineRule="auto"/>
        <w:jc w:val="both"/>
      </w:pPr>
      <w:r w:rsidRPr="008A132B">
        <w:rPr>
          <w:szCs w:val="24"/>
        </w:rPr>
        <w:t>[34]</w:t>
      </w:r>
      <w:r w:rsidRPr="008A132B">
        <w:rPr>
          <w:szCs w:val="24"/>
        </w:rPr>
        <w:tab/>
      </w:r>
      <w:r w:rsidR="009B72F6" w:rsidRPr="008A132B">
        <w:t xml:space="preserve">Additional specialist studies </w:t>
      </w:r>
      <w:r w:rsidR="007D69B0">
        <w:t xml:space="preserve">were foreshadowed and </w:t>
      </w:r>
      <w:r w:rsidR="009B72F6" w:rsidRPr="008A132B">
        <w:t xml:space="preserve">have also been undertaken. </w:t>
      </w:r>
      <w:r w:rsidR="00697505" w:rsidRPr="008A132B">
        <w:t>Tendele acknowledges that the</w:t>
      </w:r>
      <w:r w:rsidR="009B72F6" w:rsidRPr="008A132B">
        <w:t>se</w:t>
      </w:r>
      <w:r w:rsidR="00697505" w:rsidRPr="008A132B">
        <w:t xml:space="preserve"> studies have not yet been subjected to a public participation process. It undertakes that it will provide all interested and affected persons with an opportunity to comment on the studies during the </w:t>
      </w:r>
      <w:r w:rsidR="006B335E" w:rsidRPr="008A132B">
        <w:t>EIA phase of the appeal process in s</w:t>
      </w:r>
      <w:r w:rsidR="00697505" w:rsidRPr="008A132B">
        <w:t xml:space="preserve"> 96</w:t>
      </w:r>
      <w:r w:rsidR="006B335E" w:rsidRPr="008A132B">
        <w:t xml:space="preserve"> of the MPRDA</w:t>
      </w:r>
      <w:r w:rsidR="00AA0BDB">
        <w:t xml:space="preserve">, and </w:t>
      </w:r>
      <w:r w:rsidR="00FE3688">
        <w:t xml:space="preserve">maintain </w:t>
      </w:r>
      <w:r w:rsidR="00AA0BDB">
        <w:t>that this is what the review judgment contemplates</w:t>
      </w:r>
      <w:r w:rsidR="00697505" w:rsidRPr="008A132B">
        <w:t xml:space="preserve">. </w:t>
      </w:r>
    </w:p>
    <w:p w14:paraId="082AF143" w14:textId="77777777" w:rsidR="00697505" w:rsidRPr="008A132B" w:rsidRDefault="00697505" w:rsidP="00CC12CF">
      <w:pPr>
        <w:pStyle w:val="ListParagraph"/>
        <w:spacing w:line="360" w:lineRule="auto"/>
        <w:jc w:val="both"/>
      </w:pPr>
    </w:p>
    <w:p w14:paraId="72763FE0" w14:textId="5B685505" w:rsidR="00697505" w:rsidRPr="008A132B" w:rsidRDefault="006D79CC" w:rsidP="006D79CC">
      <w:pPr>
        <w:spacing w:line="360" w:lineRule="auto"/>
        <w:jc w:val="both"/>
      </w:pPr>
      <w:r w:rsidRPr="008A132B">
        <w:rPr>
          <w:szCs w:val="24"/>
        </w:rPr>
        <w:t>[35]</w:t>
      </w:r>
      <w:r w:rsidRPr="008A132B">
        <w:rPr>
          <w:szCs w:val="24"/>
        </w:rPr>
        <w:tab/>
      </w:r>
      <w:r w:rsidR="00AA0BDB">
        <w:t>Tendele h</w:t>
      </w:r>
      <w:r w:rsidR="00AB611F" w:rsidRPr="008A132B">
        <w:t xml:space="preserve">as </w:t>
      </w:r>
      <w:r w:rsidR="00697505" w:rsidRPr="008A132B">
        <w:t xml:space="preserve">also </w:t>
      </w:r>
      <w:r w:rsidR="00AB611F" w:rsidRPr="008A132B">
        <w:t>given instructions f</w:t>
      </w:r>
      <w:r w:rsidR="00697505" w:rsidRPr="008A132B">
        <w:t>or a scoping report</w:t>
      </w:r>
      <w:r w:rsidR="00AB611F" w:rsidRPr="008A132B">
        <w:t xml:space="preserve">. </w:t>
      </w:r>
      <w:r w:rsidR="00697505" w:rsidRPr="008A132B">
        <w:t xml:space="preserve">The draft scoping report must be subjected to a public participation process of at least 30 days, as required by regulation 40 of the Environmental Impact </w:t>
      </w:r>
      <w:r w:rsidR="006B335E" w:rsidRPr="008A132B">
        <w:t>Assessment Regulations</w:t>
      </w:r>
      <w:r w:rsidR="00697505" w:rsidRPr="008A132B">
        <w:t>.</w:t>
      </w:r>
      <w:r w:rsidR="006B335E" w:rsidRPr="008A132B">
        <w:rPr>
          <w:rStyle w:val="FootnoteReference"/>
        </w:rPr>
        <w:footnoteReference w:id="41"/>
      </w:r>
      <w:r w:rsidR="00697505" w:rsidRPr="008A132B">
        <w:t xml:space="preserve"> This </w:t>
      </w:r>
      <w:r w:rsidR="00697505" w:rsidRPr="008A132B">
        <w:lastRenderedPageBreak/>
        <w:t>publication participation process must follow the requirements of the P</w:t>
      </w:r>
      <w:r w:rsidR="00AB611F" w:rsidRPr="008A132B">
        <w:t xml:space="preserve">ublic </w:t>
      </w:r>
      <w:r w:rsidR="00697505" w:rsidRPr="008A132B">
        <w:t>P</w:t>
      </w:r>
      <w:r w:rsidR="00AB611F" w:rsidRPr="008A132B">
        <w:t>articipation</w:t>
      </w:r>
      <w:r w:rsidR="00697505" w:rsidRPr="008A132B">
        <w:t xml:space="preserve"> Guideline</w:t>
      </w:r>
      <w:r w:rsidR="009B72F6" w:rsidRPr="008A132B">
        <w:t>s</w:t>
      </w:r>
      <w:r w:rsidR="00697505" w:rsidRPr="008A132B">
        <w:t xml:space="preserve">. This process is </w:t>
      </w:r>
      <w:r w:rsidR="00A65AC7" w:rsidRPr="008A132B">
        <w:t xml:space="preserve">apparently </w:t>
      </w:r>
      <w:r w:rsidR="00697505" w:rsidRPr="008A132B">
        <w:t>currently underway. A revised draft scoping report is to be circulated to interested and affected persons in May 2023 for the</w:t>
      </w:r>
      <w:r w:rsidR="00A65AC7" w:rsidRPr="008A132B">
        <w:t>ir</w:t>
      </w:r>
      <w:r w:rsidR="00697505" w:rsidRPr="008A132B">
        <w:t xml:space="preserve"> comment. All comments received from interested and affected persons in respect of the draft scoping report and the revised scoping report will have to be incorporated into a final scoping report. It is anticipated that such report will be submitted to the Minister for consideration and approval in July 2023. If approved then Tendele will proceed with the preparation of an </w:t>
      </w:r>
      <w:r w:rsidR="009D4CF8" w:rsidRPr="008A132B">
        <w:t>EIA</w:t>
      </w:r>
      <w:r w:rsidR="00697505" w:rsidRPr="008A132B">
        <w:t xml:space="preserve"> report, </w:t>
      </w:r>
      <w:r w:rsidR="009D4CF8" w:rsidRPr="008A132B">
        <w:t xml:space="preserve">as </w:t>
      </w:r>
      <w:r w:rsidR="00697505" w:rsidRPr="008A132B">
        <w:t xml:space="preserve">part of the EIA </w:t>
      </w:r>
      <w:r w:rsidR="00CE6E69" w:rsidRPr="008A132B">
        <w:t>p</w:t>
      </w:r>
      <w:r w:rsidR="00697505" w:rsidRPr="008A132B">
        <w:t xml:space="preserve">hase of the </w:t>
      </w:r>
      <w:r w:rsidR="009D4CF8" w:rsidRPr="008A132B">
        <w:t>appeal process in s 96 of the MPRDA</w:t>
      </w:r>
      <w:r w:rsidR="00CE6E69" w:rsidRPr="008A132B">
        <w:t>,</w:t>
      </w:r>
      <w:r w:rsidR="00697505" w:rsidRPr="008A132B">
        <w:t xml:space="preserve"> and a revised EMPr. The draft EIA report, the revised EMPr</w:t>
      </w:r>
      <w:r w:rsidR="00AB611F" w:rsidRPr="008A132B">
        <w:t>,</w:t>
      </w:r>
      <w:r w:rsidR="00697505" w:rsidRPr="008A132B">
        <w:t xml:space="preserve"> and the specialist studies will be provided to interested and affected persons for their comment in October/November 2023. </w:t>
      </w:r>
      <w:r w:rsidR="00CE6E69" w:rsidRPr="008A132B">
        <w:t xml:space="preserve">It </w:t>
      </w:r>
      <w:r w:rsidR="00E9455F" w:rsidRPr="008A132B">
        <w:t>is anticipated that</w:t>
      </w:r>
      <w:r w:rsidR="00697505" w:rsidRPr="008A132B">
        <w:t xml:space="preserve"> </w:t>
      </w:r>
      <w:r w:rsidR="00AB611F" w:rsidRPr="008A132B">
        <w:t xml:space="preserve">an </w:t>
      </w:r>
      <w:r w:rsidR="00697505" w:rsidRPr="008A132B">
        <w:t>EMP</w:t>
      </w:r>
      <w:r w:rsidR="00AB611F" w:rsidRPr="008A132B">
        <w:t>r</w:t>
      </w:r>
      <w:r w:rsidR="00697505" w:rsidRPr="008A132B">
        <w:t xml:space="preserve"> will be submitted to the Minister for purposes of deciding the </w:t>
      </w:r>
      <w:r w:rsidR="009D4CF8" w:rsidRPr="008A132B">
        <w:t>appeal process in s 96 of the MPRDA</w:t>
      </w:r>
      <w:r w:rsidR="00697505" w:rsidRPr="008A132B">
        <w:t xml:space="preserve">, in December 2023. The </w:t>
      </w:r>
      <w:r w:rsidR="00E9455F" w:rsidRPr="008A132B">
        <w:t xml:space="preserve">appeal </w:t>
      </w:r>
      <w:r w:rsidR="00697505" w:rsidRPr="008A132B">
        <w:t>is therefore, on Tendele’s own version</w:t>
      </w:r>
      <w:r w:rsidR="00E9455F" w:rsidRPr="008A132B">
        <w:t>, not yet r</w:t>
      </w:r>
      <w:r w:rsidR="00CE6E69" w:rsidRPr="008A132B">
        <w:t xml:space="preserve">eady </w:t>
      </w:r>
      <w:r w:rsidR="00E9455F" w:rsidRPr="008A132B">
        <w:t xml:space="preserve">for hearing. </w:t>
      </w:r>
    </w:p>
    <w:p w14:paraId="0CB833F0" w14:textId="77777777" w:rsidR="00697505" w:rsidRPr="008A132B" w:rsidRDefault="00697505" w:rsidP="00CC12CF">
      <w:pPr>
        <w:spacing w:line="360" w:lineRule="auto"/>
        <w:jc w:val="both"/>
      </w:pPr>
    </w:p>
    <w:p w14:paraId="47411519" w14:textId="14033DD8" w:rsidR="00C0319E" w:rsidRPr="008A132B" w:rsidRDefault="006D79CC" w:rsidP="006D79CC">
      <w:pPr>
        <w:spacing w:line="360" w:lineRule="auto"/>
        <w:jc w:val="both"/>
        <w:rPr>
          <w:szCs w:val="24"/>
        </w:rPr>
      </w:pPr>
      <w:r w:rsidRPr="008A132B">
        <w:rPr>
          <w:szCs w:val="24"/>
        </w:rPr>
        <w:t>[36]</w:t>
      </w:r>
      <w:r w:rsidRPr="008A132B">
        <w:rPr>
          <w:szCs w:val="24"/>
        </w:rPr>
        <w:tab/>
      </w:r>
      <w:r w:rsidR="00B001C6" w:rsidRPr="008A132B">
        <w:rPr>
          <w:szCs w:val="24"/>
        </w:rPr>
        <w:t>As ordered in paragraph 6 of the order of Bam J, t</w:t>
      </w:r>
      <w:r w:rsidR="002971B2" w:rsidRPr="008A132B">
        <w:rPr>
          <w:szCs w:val="24"/>
        </w:rPr>
        <w:t xml:space="preserve">he Public Participation Guidelines in terms of </w:t>
      </w:r>
      <w:r w:rsidR="009D4CF8" w:rsidRPr="008A132B">
        <w:rPr>
          <w:szCs w:val="24"/>
        </w:rPr>
        <w:t>NEMA</w:t>
      </w:r>
      <w:r w:rsidR="002971B2" w:rsidRPr="008A132B">
        <w:rPr>
          <w:szCs w:val="24"/>
        </w:rPr>
        <w:t xml:space="preserve"> </w:t>
      </w:r>
      <w:r w:rsidR="00B001C6" w:rsidRPr="008A132B">
        <w:rPr>
          <w:szCs w:val="24"/>
        </w:rPr>
        <w:t>and c</w:t>
      </w:r>
      <w:r w:rsidR="002971B2" w:rsidRPr="008A132B">
        <w:rPr>
          <w:szCs w:val="24"/>
        </w:rPr>
        <w:t>hapter 6 of the Environmental Impact Assessment Regulations</w:t>
      </w:r>
      <w:r w:rsidR="00B001C6" w:rsidRPr="008A132B">
        <w:rPr>
          <w:szCs w:val="24"/>
        </w:rPr>
        <w:t xml:space="preserve"> will need to be complied with</w:t>
      </w:r>
      <w:r w:rsidR="009D4CF8" w:rsidRPr="008A132B">
        <w:rPr>
          <w:szCs w:val="24"/>
        </w:rPr>
        <w:t xml:space="preserve"> </w:t>
      </w:r>
      <w:r w:rsidR="00697505" w:rsidRPr="008A132B">
        <w:t>in preparation for a hearing of the appeal.</w:t>
      </w:r>
    </w:p>
    <w:p w14:paraId="4ABFE398" w14:textId="0861A8D2" w:rsidR="000D7572" w:rsidRPr="008A132B" w:rsidRDefault="000D7572" w:rsidP="009D4CF8">
      <w:pPr>
        <w:pStyle w:val="ListParagraph"/>
        <w:spacing w:line="360" w:lineRule="auto"/>
        <w:ind w:left="0"/>
        <w:jc w:val="both"/>
      </w:pPr>
    </w:p>
    <w:p w14:paraId="697AE3DE" w14:textId="7ED6DDAD" w:rsidR="00E9455F" w:rsidRPr="008A132B" w:rsidRDefault="006D79CC" w:rsidP="006D79CC">
      <w:pPr>
        <w:spacing w:line="360" w:lineRule="auto"/>
        <w:jc w:val="both"/>
      </w:pPr>
      <w:r w:rsidRPr="008A132B">
        <w:rPr>
          <w:szCs w:val="24"/>
        </w:rPr>
        <w:t>[37]</w:t>
      </w:r>
      <w:r w:rsidRPr="008A132B">
        <w:rPr>
          <w:szCs w:val="24"/>
        </w:rPr>
        <w:tab/>
      </w:r>
      <w:r w:rsidR="00697505" w:rsidRPr="008A132B">
        <w:t>During February 2023 Tendele issued three letters, dated 14, 15 and 24 February 2023 (the letters), pursu</w:t>
      </w:r>
      <w:r w:rsidR="00E9455F" w:rsidRPr="008A132B">
        <w:t xml:space="preserve">ant </w:t>
      </w:r>
      <w:r w:rsidR="00697505" w:rsidRPr="008A132B">
        <w:t xml:space="preserve">to which it </w:t>
      </w:r>
      <w:r w:rsidR="00E9455F" w:rsidRPr="008A132B">
        <w:t>intend</w:t>
      </w:r>
      <w:r w:rsidR="00FE3688">
        <w:t>s</w:t>
      </w:r>
      <w:r w:rsidR="00E9455F" w:rsidRPr="008A132B">
        <w:t xml:space="preserve"> </w:t>
      </w:r>
      <w:r w:rsidR="00697505" w:rsidRPr="008A132B">
        <w:t>resum</w:t>
      </w:r>
      <w:r w:rsidR="00E9455F" w:rsidRPr="008A132B">
        <w:t>ing</w:t>
      </w:r>
      <w:r w:rsidR="00697505" w:rsidRPr="008A132B">
        <w:t xml:space="preserve"> </w:t>
      </w:r>
      <w:r w:rsidR="00CE6E69" w:rsidRPr="008A132B">
        <w:t xml:space="preserve">certain </w:t>
      </w:r>
      <w:r w:rsidR="00697505" w:rsidRPr="008A132B">
        <w:t xml:space="preserve">activities relating </w:t>
      </w:r>
      <w:r w:rsidR="00CE6E69" w:rsidRPr="008A132B">
        <w:t xml:space="preserve">or ancillary </w:t>
      </w:r>
      <w:r w:rsidR="00697505" w:rsidRPr="008A132B">
        <w:t>to the mining</w:t>
      </w:r>
      <w:r w:rsidR="00CE6E69" w:rsidRPr="008A132B">
        <w:t xml:space="preserve">. </w:t>
      </w:r>
      <w:r w:rsidR="00E9455F" w:rsidRPr="008A132B">
        <w:t>On the argument now adopted by Tendele, it could have issued these letters immediately after the judgment by Bam J was delivered, although it did not</w:t>
      </w:r>
      <w:r w:rsidR="00FE3688">
        <w:t xml:space="preserve"> do so</w:t>
      </w:r>
      <w:r w:rsidR="00E9455F" w:rsidRPr="008A132B">
        <w:t xml:space="preserve">. </w:t>
      </w:r>
      <w:r w:rsidR="00CE6E69" w:rsidRPr="008A132B">
        <w:t xml:space="preserve">Indeed, the applicants have referred to a document </w:t>
      </w:r>
      <w:r w:rsidR="00AA0BDB">
        <w:t xml:space="preserve">prepared for Tendele </w:t>
      </w:r>
      <w:r w:rsidR="00B001C6" w:rsidRPr="008A132B">
        <w:t>headed ‘Steps to be taken in terms of Judge Bam’s order before we can start to mine’</w:t>
      </w:r>
      <w:r w:rsidR="00AA0BDB">
        <w:t>,</w:t>
      </w:r>
      <w:r w:rsidR="00B001C6" w:rsidRPr="008A132B">
        <w:t xml:space="preserve"> </w:t>
      </w:r>
      <w:r w:rsidR="00CE6E69" w:rsidRPr="008A132B">
        <w:t>which</w:t>
      </w:r>
      <w:r w:rsidR="00FE3688">
        <w:t>,</w:t>
      </w:r>
      <w:r w:rsidR="00CE6E69" w:rsidRPr="008A132B">
        <w:t xml:space="preserve"> </w:t>
      </w:r>
      <w:r w:rsidR="00FE3688">
        <w:t xml:space="preserve">they say, </w:t>
      </w:r>
      <w:r w:rsidR="00CE6E69" w:rsidRPr="008A132B">
        <w:t>shows that Tendele had also held the view that it could not proceed with mining until the appeal was f</w:t>
      </w:r>
      <w:r w:rsidR="00B001C6" w:rsidRPr="008A132B">
        <w:t>i</w:t>
      </w:r>
      <w:r w:rsidR="00CE6E69" w:rsidRPr="008A132B">
        <w:t>nalised.</w:t>
      </w:r>
      <w:r w:rsidR="00B001C6" w:rsidRPr="008A132B">
        <w:t xml:space="preserve"> Whether the order of Bam J allowed mining to continue is however a matter of law, and is not determined by the parties’ respective (</w:t>
      </w:r>
      <w:r w:rsidR="00E97D66" w:rsidRPr="008A132B">
        <w:t xml:space="preserve">and </w:t>
      </w:r>
      <w:r w:rsidR="00B001C6" w:rsidRPr="008A132B">
        <w:t>possibly erroneous) interpretation of</w:t>
      </w:r>
      <w:r w:rsidR="00AA0BDB">
        <w:t xml:space="preserve"> the judgment</w:t>
      </w:r>
      <w:r w:rsidR="00B001C6" w:rsidRPr="008A132B">
        <w:t>.</w:t>
      </w:r>
      <w:r w:rsidR="00AA0BDB">
        <w:t xml:space="preserve"> It is the question of law that needs to be addressed.</w:t>
      </w:r>
    </w:p>
    <w:p w14:paraId="3C70222F" w14:textId="77777777" w:rsidR="00E9455F" w:rsidRPr="008A132B" w:rsidRDefault="00E9455F" w:rsidP="00CC12CF">
      <w:pPr>
        <w:spacing w:line="360" w:lineRule="auto"/>
        <w:jc w:val="both"/>
      </w:pPr>
    </w:p>
    <w:p w14:paraId="514A30C7" w14:textId="3C82BE9A" w:rsidR="00697505" w:rsidRPr="008A132B" w:rsidRDefault="006D79CC" w:rsidP="006D79CC">
      <w:pPr>
        <w:spacing w:line="360" w:lineRule="auto"/>
        <w:jc w:val="both"/>
      </w:pPr>
      <w:r w:rsidRPr="008A132B">
        <w:rPr>
          <w:szCs w:val="24"/>
        </w:rPr>
        <w:t>[38]</w:t>
      </w:r>
      <w:r w:rsidRPr="008A132B">
        <w:rPr>
          <w:szCs w:val="24"/>
        </w:rPr>
        <w:tab/>
      </w:r>
      <w:r w:rsidR="00697505" w:rsidRPr="008A132B">
        <w:t xml:space="preserve">In the letter of 15 February 2023 </w:t>
      </w:r>
      <w:r w:rsidR="00DB29DE" w:rsidRPr="008A132B">
        <w:t>Tendele</w:t>
      </w:r>
      <w:r w:rsidR="00FE3688">
        <w:t>,</w:t>
      </w:r>
      <w:r w:rsidR="00697505" w:rsidRPr="008A132B">
        <w:t xml:space="preserve"> inter alia </w:t>
      </w:r>
      <w:r w:rsidR="00DB29DE" w:rsidRPr="008A132B">
        <w:t>gave notice of its intention to commence ‘other activities, fencing, the building of a new access road, and the widening of existing roads.’</w:t>
      </w:r>
      <w:r w:rsidR="00B001C6" w:rsidRPr="008A132B">
        <w:t xml:space="preserve"> </w:t>
      </w:r>
      <w:r w:rsidR="00697505" w:rsidRPr="008A132B">
        <w:t xml:space="preserve">In the letter of 24 February 2023 </w:t>
      </w:r>
      <w:r w:rsidR="00DB29DE" w:rsidRPr="008A132B">
        <w:t xml:space="preserve">Tendele gave notice </w:t>
      </w:r>
      <w:r w:rsidR="00697505" w:rsidRPr="008A132B">
        <w:t xml:space="preserve">inter </w:t>
      </w:r>
      <w:r w:rsidR="00697505" w:rsidRPr="008A132B">
        <w:lastRenderedPageBreak/>
        <w:t xml:space="preserve">alia </w:t>
      </w:r>
      <w:r w:rsidR="00DB29DE" w:rsidRPr="008A132B">
        <w:t>of a</w:t>
      </w:r>
      <w:r w:rsidR="00B001C6" w:rsidRPr="008A132B">
        <w:t xml:space="preserve">n </w:t>
      </w:r>
      <w:r w:rsidR="00DB29DE" w:rsidRPr="008A132B">
        <w:t xml:space="preserve">increase in the scope of activities it intended to commence, including the relocation of people, clearance of vegetation, building of temporary access roads, relocation of the Ophondweni </w:t>
      </w:r>
      <w:r w:rsidR="00156041" w:rsidRPr="008A132B">
        <w:t>Community Hall</w:t>
      </w:r>
      <w:r w:rsidR="00DB29DE" w:rsidRPr="008A132B">
        <w:t xml:space="preserve">, relocation of the Emalahleni </w:t>
      </w:r>
      <w:r w:rsidR="00156041" w:rsidRPr="008A132B">
        <w:t>Community Dam</w:t>
      </w:r>
      <w:r w:rsidR="00DB29DE" w:rsidRPr="008A132B">
        <w:t>, open cast mining and stockpiling of anthracite and waste material</w:t>
      </w:r>
      <w:r w:rsidR="00B001C6" w:rsidRPr="008A132B">
        <w:t>.</w:t>
      </w:r>
    </w:p>
    <w:p w14:paraId="263E1B62" w14:textId="7FDB9DCF" w:rsidR="00697505" w:rsidRPr="008A132B" w:rsidRDefault="00697505" w:rsidP="00CC12CF">
      <w:pPr>
        <w:spacing w:line="360" w:lineRule="auto"/>
        <w:jc w:val="both"/>
      </w:pPr>
    </w:p>
    <w:p w14:paraId="447F7505" w14:textId="083A37FE" w:rsidR="00D80D3E" w:rsidRPr="008A132B" w:rsidRDefault="006D79CC" w:rsidP="006D79CC">
      <w:pPr>
        <w:spacing w:line="360" w:lineRule="auto"/>
        <w:jc w:val="both"/>
      </w:pPr>
      <w:r w:rsidRPr="008A132B">
        <w:rPr>
          <w:szCs w:val="24"/>
        </w:rPr>
        <w:t>[39]</w:t>
      </w:r>
      <w:r w:rsidRPr="008A132B">
        <w:rPr>
          <w:szCs w:val="24"/>
        </w:rPr>
        <w:tab/>
      </w:r>
      <w:r w:rsidR="002F782A" w:rsidRPr="008A132B">
        <w:t xml:space="preserve">Although the mining right </w:t>
      </w:r>
      <w:r w:rsidR="00BD12BA" w:rsidRPr="008A132B">
        <w:t xml:space="preserve">granted was </w:t>
      </w:r>
      <w:r w:rsidR="002F782A" w:rsidRPr="008A132B">
        <w:t xml:space="preserve">in respect of </w:t>
      </w:r>
      <w:r w:rsidR="001F52A7" w:rsidRPr="008A132B">
        <w:t xml:space="preserve">the three areas, </w:t>
      </w:r>
      <w:r w:rsidR="002F782A" w:rsidRPr="008A132B">
        <w:t xml:space="preserve">Tendele </w:t>
      </w:r>
      <w:r w:rsidR="001F52A7" w:rsidRPr="008A132B">
        <w:t>has</w:t>
      </w:r>
      <w:r w:rsidR="00FE3688">
        <w:t>,</w:t>
      </w:r>
      <w:r w:rsidR="001F52A7" w:rsidRPr="008A132B">
        <w:t xml:space="preserve"> in its answering affidavit</w:t>
      </w:r>
      <w:r w:rsidR="00FE3688">
        <w:t>,</w:t>
      </w:r>
      <w:r w:rsidR="001F52A7" w:rsidRPr="008A132B">
        <w:t xml:space="preserve"> </w:t>
      </w:r>
      <w:r w:rsidR="002F782A" w:rsidRPr="008A132B">
        <w:t>confine</w:t>
      </w:r>
      <w:r w:rsidR="001F52A7" w:rsidRPr="008A132B">
        <w:t>d</w:t>
      </w:r>
      <w:r w:rsidR="002F782A" w:rsidRPr="008A132B">
        <w:t xml:space="preserve"> the work</w:t>
      </w:r>
      <w:r w:rsidR="00FE3688">
        <w:t xml:space="preserve"> it wishes to undertake</w:t>
      </w:r>
      <w:r w:rsidR="00E9455F" w:rsidRPr="008A132B">
        <w:t xml:space="preserve">, contemplated in the letters, </w:t>
      </w:r>
      <w:r w:rsidR="002F782A" w:rsidRPr="008A132B">
        <w:t xml:space="preserve">to the Emalahleni and Ophondweni areas. </w:t>
      </w:r>
      <w:r w:rsidR="00AA0ED4" w:rsidRPr="008A132B">
        <w:t xml:space="preserve">It has undertaken not to </w:t>
      </w:r>
      <w:r w:rsidR="00336777" w:rsidRPr="008A132B">
        <w:t xml:space="preserve">commence </w:t>
      </w:r>
      <w:r w:rsidR="00AA0ED4" w:rsidRPr="008A132B">
        <w:t xml:space="preserve">any </w:t>
      </w:r>
      <w:r w:rsidR="00E9455F" w:rsidRPr="008A132B">
        <w:t xml:space="preserve">work </w:t>
      </w:r>
      <w:r w:rsidR="00D80D3E" w:rsidRPr="008A132B">
        <w:rPr>
          <w:szCs w:val="24"/>
        </w:rPr>
        <w:t>in the Mahujini area u</w:t>
      </w:r>
      <w:r w:rsidR="00D80D3E" w:rsidRPr="008A132B">
        <w:rPr>
          <w:rFonts w:eastAsia="Arial"/>
          <w:szCs w:val="24"/>
        </w:rPr>
        <w:t>ntil the appeal before the Minister</w:t>
      </w:r>
      <w:r w:rsidR="00336777" w:rsidRPr="008A132B">
        <w:rPr>
          <w:rFonts w:eastAsia="Arial"/>
          <w:szCs w:val="24"/>
        </w:rPr>
        <w:t>,</w:t>
      </w:r>
      <w:r w:rsidR="00F520CA" w:rsidRPr="008A132B">
        <w:rPr>
          <w:rFonts w:eastAsia="Arial"/>
          <w:szCs w:val="24"/>
        </w:rPr>
        <w:t xml:space="preserve"> provided for in the order of the North Gauteng High Court, referred to in paragraph 5.1 of </w:t>
      </w:r>
      <w:r w:rsidR="00A23FCD" w:rsidRPr="008A132B">
        <w:rPr>
          <w:rFonts w:eastAsia="Arial"/>
          <w:szCs w:val="24"/>
        </w:rPr>
        <w:t xml:space="preserve">part B of </w:t>
      </w:r>
      <w:r w:rsidR="00F520CA" w:rsidRPr="008A132B">
        <w:rPr>
          <w:rFonts w:eastAsia="Arial"/>
          <w:szCs w:val="24"/>
        </w:rPr>
        <w:t>the notice of motion,</w:t>
      </w:r>
      <w:r w:rsidR="00D80D3E" w:rsidRPr="008A132B">
        <w:rPr>
          <w:rFonts w:eastAsia="Arial"/>
          <w:szCs w:val="24"/>
        </w:rPr>
        <w:t xml:space="preserve"> has been determined.</w:t>
      </w:r>
    </w:p>
    <w:p w14:paraId="061269D8" w14:textId="6B62BC4C" w:rsidR="00377991" w:rsidRPr="008A132B" w:rsidRDefault="00377991" w:rsidP="00CC12CF">
      <w:pPr>
        <w:spacing w:line="360" w:lineRule="auto"/>
        <w:jc w:val="both"/>
      </w:pPr>
    </w:p>
    <w:p w14:paraId="38175905" w14:textId="6A9F9C40" w:rsidR="00B001C6" w:rsidRPr="008A132B" w:rsidRDefault="006D79CC" w:rsidP="006D79CC">
      <w:pPr>
        <w:spacing w:line="360" w:lineRule="auto"/>
        <w:jc w:val="both"/>
      </w:pPr>
      <w:r w:rsidRPr="008A132B">
        <w:rPr>
          <w:szCs w:val="24"/>
        </w:rPr>
        <w:t>[40]</w:t>
      </w:r>
      <w:r w:rsidRPr="008A132B">
        <w:rPr>
          <w:szCs w:val="24"/>
        </w:rPr>
        <w:tab/>
      </w:r>
      <w:r w:rsidR="00B001C6" w:rsidRPr="008A132B">
        <w:rPr>
          <w:szCs w:val="24"/>
        </w:rPr>
        <w:t xml:space="preserve">The applicants seek to stop the activities </w:t>
      </w:r>
      <w:r w:rsidR="00FE3688">
        <w:rPr>
          <w:szCs w:val="24"/>
        </w:rPr>
        <w:t xml:space="preserve">threatened to be proceeded with, not limited in accordance with the undertakings. They seek to do so, </w:t>
      </w:r>
      <w:r w:rsidR="00B001C6" w:rsidRPr="008A132B">
        <w:rPr>
          <w:szCs w:val="24"/>
        </w:rPr>
        <w:t>based on the judgment of Bam J and the alleged non-compliance with certain further statutory requirements, notably relating to non-compliance with the provisions of I</w:t>
      </w:r>
      <w:r w:rsidR="00E97D66" w:rsidRPr="008A132B">
        <w:rPr>
          <w:szCs w:val="24"/>
        </w:rPr>
        <w:t>PILRA</w:t>
      </w:r>
      <w:r w:rsidR="002C634F" w:rsidRPr="008A132B">
        <w:rPr>
          <w:szCs w:val="24"/>
        </w:rPr>
        <w:t xml:space="preserve"> and the lack of consultation with interested parties</w:t>
      </w:r>
      <w:r w:rsidR="00B001C6" w:rsidRPr="008A132B">
        <w:rPr>
          <w:szCs w:val="24"/>
        </w:rPr>
        <w:t>.</w:t>
      </w:r>
      <w:r w:rsidR="00AA0BDB">
        <w:rPr>
          <w:szCs w:val="24"/>
        </w:rPr>
        <w:t xml:space="preserve"> Tendele denies these contentions and argue</w:t>
      </w:r>
      <w:r w:rsidR="00FE3688">
        <w:rPr>
          <w:szCs w:val="24"/>
        </w:rPr>
        <w:t>s</w:t>
      </w:r>
      <w:r w:rsidR="00AA0BDB">
        <w:rPr>
          <w:szCs w:val="24"/>
        </w:rPr>
        <w:t xml:space="preserve"> that the order of Bam J did not preclude mining</w:t>
      </w:r>
      <w:r w:rsidR="00FE3688">
        <w:rPr>
          <w:szCs w:val="24"/>
        </w:rPr>
        <w:t xml:space="preserve"> from continuing</w:t>
      </w:r>
      <w:r w:rsidR="00AA0BDB">
        <w:rPr>
          <w:szCs w:val="24"/>
        </w:rPr>
        <w:t>.</w:t>
      </w:r>
    </w:p>
    <w:p w14:paraId="72BEED9B" w14:textId="77777777" w:rsidR="00B001C6" w:rsidRPr="008A132B" w:rsidRDefault="00B001C6" w:rsidP="00336777">
      <w:pPr>
        <w:pStyle w:val="ListParagraph"/>
        <w:spacing w:line="360" w:lineRule="auto"/>
        <w:ind w:left="0"/>
        <w:jc w:val="both"/>
        <w:rPr>
          <w:szCs w:val="24"/>
        </w:rPr>
      </w:pPr>
    </w:p>
    <w:p w14:paraId="3EE71903" w14:textId="0B3E2860" w:rsidR="001F52A7" w:rsidRPr="008A132B" w:rsidRDefault="006D79CC" w:rsidP="006D79CC">
      <w:pPr>
        <w:spacing w:line="360" w:lineRule="auto"/>
        <w:jc w:val="both"/>
      </w:pPr>
      <w:r w:rsidRPr="008A132B">
        <w:rPr>
          <w:szCs w:val="24"/>
        </w:rPr>
        <w:t>[41]</w:t>
      </w:r>
      <w:r w:rsidRPr="008A132B">
        <w:rPr>
          <w:szCs w:val="24"/>
        </w:rPr>
        <w:tab/>
      </w:r>
      <w:r w:rsidR="00377991" w:rsidRPr="008A132B">
        <w:rPr>
          <w:szCs w:val="24"/>
        </w:rPr>
        <w:t>T</w:t>
      </w:r>
      <w:r w:rsidR="0037234E" w:rsidRPr="008A132B">
        <w:rPr>
          <w:szCs w:val="24"/>
        </w:rPr>
        <w:t xml:space="preserve">endele and the </w:t>
      </w:r>
      <w:r w:rsidR="00E97D66" w:rsidRPr="008A132B">
        <w:rPr>
          <w:szCs w:val="24"/>
        </w:rPr>
        <w:t xml:space="preserve">opposing </w:t>
      </w:r>
      <w:r w:rsidR="00377991" w:rsidRPr="008A132B">
        <w:rPr>
          <w:szCs w:val="24"/>
        </w:rPr>
        <w:t>respondent</w:t>
      </w:r>
      <w:r w:rsidR="00C978F9" w:rsidRPr="008A132B">
        <w:rPr>
          <w:szCs w:val="24"/>
        </w:rPr>
        <w:t xml:space="preserve">s </w:t>
      </w:r>
      <w:r w:rsidR="00AA0BDB">
        <w:rPr>
          <w:szCs w:val="24"/>
        </w:rPr>
        <w:t xml:space="preserve">further </w:t>
      </w:r>
      <w:r w:rsidR="002971B2" w:rsidRPr="008A132B">
        <w:rPr>
          <w:szCs w:val="24"/>
        </w:rPr>
        <w:t xml:space="preserve">contend </w:t>
      </w:r>
      <w:r w:rsidR="001F52A7" w:rsidRPr="008A132B">
        <w:rPr>
          <w:szCs w:val="24"/>
        </w:rPr>
        <w:t xml:space="preserve">that </w:t>
      </w:r>
      <w:r w:rsidR="00B048BB" w:rsidRPr="008A132B">
        <w:rPr>
          <w:szCs w:val="24"/>
        </w:rPr>
        <w:t xml:space="preserve">although clothed as an interim interdict, </w:t>
      </w:r>
      <w:r w:rsidR="001F52A7" w:rsidRPr="008A132B">
        <w:rPr>
          <w:szCs w:val="24"/>
        </w:rPr>
        <w:t xml:space="preserve">the interdict </w:t>
      </w:r>
      <w:r w:rsidR="00AA0BDB">
        <w:rPr>
          <w:szCs w:val="24"/>
        </w:rPr>
        <w:t xml:space="preserve">sought </w:t>
      </w:r>
      <w:r w:rsidR="001F52A7" w:rsidRPr="008A132B">
        <w:rPr>
          <w:szCs w:val="24"/>
        </w:rPr>
        <w:t xml:space="preserve">would have </w:t>
      </w:r>
      <w:r w:rsidR="00B048BB" w:rsidRPr="008A132B">
        <w:rPr>
          <w:szCs w:val="24"/>
        </w:rPr>
        <w:t xml:space="preserve">final effect and would result in </w:t>
      </w:r>
      <w:r w:rsidR="001F52A7" w:rsidRPr="008A132B">
        <w:rPr>
          <w:szCs w:val="24"/>
        </w:rPr>
        <w:t xml:space="preserve">the closing </w:t>
      </w:r>
      <w:r w:rsidR="00801B20" w:rsidRPr="008A132B">
        <w:rPr>
          <w:szCs w:val="24"/>
        </w:rPr>
        <w:t xml:space="preserve">of </w:t>
      </w:r>
      <w:r w:rsidR="00C978F9" w:rsidRPr="008A132B">
        <w:rPr>
          <w:szCs w:val="24"/>
        </w:rPr>
        <w:t xml:space="preserve">the mine which </w:t>
      </w:r>
      <w:r w:rsidR="001F52A7" w:rsidRPr="008A132B">
        <w:rPr>
          <w:szCs w:val="24"/>
        </w:rPr>
        <w:t>has significant employment and revenue-generating capacity</w:t>
      </w:r>
      <w:r w:rsidR="00C978F9" w:rsidRPr="008A132B">
        <w:rPr>
          <w:szCs w:val="24"/>
        </w:rPr>
        <w:t>.</w:t>
      </w:r>
      <w:r w:rsidR="00A23FCD" w:rsidRPr="008A132B">
        <w:rPr>
          <w:szCs w:val="24"/>
        </w:rPr>
        <w:t xml:space="preserve"> </w:t>
      </w:r>
      <w:r w:rsidR="00E97D66" w:rsidRPr="008A132B">
        <w:rPr>
          <w:szCs w:val="24"/>
        </w:rPr>
        <w:t xml:space="preserve">They accordingly contend that the application should be adjudicated as such, and that the applicants would have to establish a clear right. </w:t>
      </w:r>
      <w:r w:rsidR="00A23FCD" w:rsidRPr="008A132B">
        <w:rPr>
          <w:szCs w:val="24"/>
        </w:rPr>
        <w:t>The</w:t>
      </w:r>
      <w:r w:rsidR="002C634F" w:rsidRPr="008A132B">
        <w:rPr>
          <w:szCs w:val="24"/>
        </w:rPr>
        <w:t xml:space="preserve"> applicants </w:t>
      </w:r>
      <w:r w:rsidR="00A23FCD" w:rsidRPr="008A132B">
        <w:rPr>
          <w:szCs w:val="24"/>
        </w:rPr>
        <w:t xml:space="preserve">do not deny that the interdict they seek </w:t>
      </w:r>
      <w:r w:rsidR="0037234E" w:rsidRPr="008A132B">
        <w:rPr>
          <w:szCs w:val="24"/>
        </w:rPr>
        <w:t xml:space="preserve">could </w:t>
      </w:r>
      <w:r w:rsidR="00A23FCD" w:rsidRPr="008A132B">
        <w:rPr>
          <w:szCs w:val="24"/>
        </w:rPr>
        <w:t>result in the closure of the mine.</w:t>
      </w:r>
      <w:r w:rsidR="00A23FCD" w:rsidRPr="008A132B">
        <w:rPr>
          <w:rStyle w:val="FootnoteReference"/>
          <w:szCs w:val="24"/>
        </w:rPr>
        <w:footnoteReference w:id="42"/>
      </w:r>
      <w:r w:rsidR="00E97D66" w:rsidRPr="008A132B">
        <w:rPr>
          <w:szCs w:val="24"/>
        </w:rPr>
        <w:t xml:space="preserve"> As the applicants claim an interim interdict the matter will be adjudicated as such.</w:t>
      </w:r>
    </w:p>
    <w:p w14:paraId="79C2BC01" w14:textId="77777777" w:rsidR="00AA0BDB" w:rsidRPr="008A132B" w:rsidRDefault="00AA0BDB" w:rsidP="00CC12CF">
      <w:pPr>
        <w:spacing w:line="360" w:lineRule="auto"/>
        <w:jc w:val="both"/>
      </w:pPr>
    </w:p>
    <w:p w14:paraId="51CEB301" w14:textId="4F7CE30F" w:rsidR="00A77149" w:rsidRPr="008A132B" w:rsidRDefault="00A77149" w:rsidP="00CC12CF">
      <w:pPr>
        <w:spacing w:line="360" w:lineRule="auto"/>
        <w:jc w:val="both"/>
        <w:rPr>
          <w:b/>
          <w:bCs/>
        </w:rPr>
      </w:pPr>
      <w:r w:rsidRPr="008A132B">
        <w:rPr>
          <w:b/>
          <w:bCs/>
        </w:rPr>
        <w:t>The requirements for an interim interdict</w:t>
      </w:r>
    </w:p>
    <w:p w14:paraId="7D13B452" w14:textId="2DC8CBC6" w:rsidR="00A77149"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[42]</w:t>
      </w:r>
      <w:r w:rsidRPr="008A132B">
        <w:rPr>
          <w:rFonts w:cs="Arial"/>
          <w:iCs w:val="0"/>
          <w:szCs w:val="24"/>
          <w:lang w:val="en-ZA"/>
        </w:rPr>
        <w:tab/>
      </w:r>
      <w:r w:rsidR="00B12FC0" w:rsidRPr="008A132B">
        <w:rPr>
          <w:rFonts w:cs="Arial"/>
          <w:szCs w:val="24"/>
          <w:lang w:val="en-ZA"/>
        </w:rPr>
        <w:t xml:space="preserve">It is trite law that the </w:t>
      </w:r>
      <w:r w:rsidR="00A77149" w:rsidRPr="008A132B">
        <w:rPr>
          <w:rFonts w:cs="Arial"/>
          <w:szCs w:val="24"/>
          <w:lang w:val="en-ZA"/>
        </w:rPr>
        <w:t>requirements for an interim interdict are:</w:t>
      </w:r>
    </w:p>
    <w:p w14:paraId="77F9A96B" w14:textId="378CC0AF" w:rsidR="00A77149" w:rsidRPr="008A132B" w:rsidRDefault="006D79CC" w:rsidP="006D79CC">
      <w:pPr>
        <w:pStyle w:val="2"/>
        <w:numPr>
          <w:ilvl w:val="0"/>
          <w:numId w:val="0"/>
        </w:numPr>
        <w:spacing w:before="0" w:line="360" w:lineRule="auto"/>
        <w:ind w:left="709" w:hanging="709"/>
        <w:rPr>
          <w:rFonts w:cs="Arial"/>
          <w:szCs w:val="24"/>
          <w:lang w:val="en-ZA"/>
        </w:rPr>
      </w:pPr>
      <w:r w:rsidRPr="008A132B">
        <w:rPr>
          <w:rFonts w:cs="Arial"/>
          <w:szCs w:val="24"/>
          <w:lang w:val="en-ZA"/>
        </w:rPr>
        <w:t>(a)</w:t>
      </w:r>
      <w:r w:rsidRPr="008A132B">
        <w:rPr>
          <w:rFonts w:cs="Arial"/>
          <w:szCs w:val="24"/>
          <w:lang w:val="en-ZA"/>
        </w:rPr>
        <w:tab/>
      </w:r>
      <w:r w:rsidR="00B12FC0" w:rsidRPr="008A132B">
        <w:rPr>
          <w:rFonts w:cs="Arial"/>
          <w:szCs w:val="24"/>
          <w:lang w:val="en-ZA"/>
        </w:rPr>
        <w:t>A</w:t>
      </w:r>
      <w:r w:rsidR="00A77149" w:rsidRPr="008A132B">
        <w:rPr>
          <w:rFonts w:cs="Arial"/>
          <w:szCs w:val="24"/>
          <w:lang w:val="en-ZA"/>
        </w:rPr>
        <w:t xml:space="preserve"> </w:t>
      </w:r>
      <w:r w:rsidR="00A77149" w:rsidRPr="008A132B">
        <w:rPr>
          <w:rFonts w:cs="Arial"/>
          <w:i/>
          <w:szCs w:val="24"/>
          <w:lang w:val="en-ZA"/>
        </w:rPr>
        <w:t>prima facie</w:t>
      </w:r>
      <w:r w:rsidR="00A77149" w:rsidRPr="008A132B">
        <w:rPr>
          <w:rFonts w:cs="Arial"/>
          <w:szCs w:val="24"/>
          <w:lang w:val="en-ZA"/>
        </w:rPr>
        <w:t xml:space="preserve"> right on the part of the applicant.</w:t>
      </w:r>
      <w:r w:rsidR="00A77149" w:rsidRPr="008A132B">
        <w:rPr>
          <w:rStyle w:val="FootnoteReference"/>
          <w:rFonts w:cs="Arial"/>
          <w:szCs w:val="24"/>
          <w:lang w:val="en-ZA"/>
        </w:rPr>
        <w:footnoteReference w:id="43"/>
      </w:r>
      <w:r w:rsidR="00A77149" w:rsidRPr="008A132B">
        <w:rPr>
          <w:rFonts w:cs="Arial"/>
          <w:szCs w:val="24"/>
          <w:lang w:val="en-ZA"/>
        </w:rPr>
        <w:t xml:space="preserve"> </w:t>
      </w:r>
    </w:p>
    <w:p w14:paraId="726C7E9D" w14:textId="6F840A51" w:rsidR="00B12FC0" w:rsidRPr="008A132B" w:rsidRDefault="006D79CC" w:rsidP="006D79CC">
      <w:pPr>
        <w:pStyle w:val="2"/>
        <w:numPr>
          <w:ilvl w:val="0"/>
          <w:numId w:val="0"/>
        </w:numPr>
        <w:spacing w:before="0" w:line="360" w:lineRule="auto"/>
        <w:ind w:left="709" w:hanging="709"/>
        <w:rPr>
          <w:rFonts w:cs="Arial"/>
          <w:szCs w:val="24"/>
          <w:lang w:val="en-ZA"/>
        </w:rPr>
      </w:pPr>
      <w:r w:rsidRPr="008A132B">
        <w:rPr>
          <w:rFonts w:cs="Arial"/>
          <w:szCs w:val="24"/>
          <w:lang w:val="en-ZA"/>
        </w:rPr>
        <w:lastRenderedPageBreak/>
        <w:t>(b)</w:t>
      </w:r>
      <w:r w:rsidRPr="008A132B">
        <w:rPr>
          <w:rFonts w:cs="Arial"/>
          <w:szCs w:val="24"/>
          <w:lang w:val="en-ZA"/>
        </w:rPr>
        <w:tab/>
      </w:r>
      <w:r w:rsidR="00A23FCD" w:rsidRPr="008A132B">
        <w:rPr>
          <w:rFonts w:cs="Arial"/>
          <w:szCs w:val="24"/>
          <w:lang w:val="en-ZA"/>
        </w:rPr>
        <w:t>A</w:t>
      </w:r>
      <w:r w:rsidR="00B12FC0" w:rsidRPr="008A132B">
        <w:rPr>
          <w:rFonts w:cs="Arial"/>
          <w:szCs w:val="24"/>
          <w:lang w:val="en-ZA"/>
        </w:rPr>
        <w:t xml:space="preserve"> well-grounded apprehension of irreparable harm if interim relief is not granted, and final relief is ultimately granted.</w:t>
      </w:r>
      <w:r w:rsidR="00B12FC0" w:rsidRPr="008A132B">
        <w:rPr>
          <w:rStyle w:val="FootnoteReference"/>
          <w:rFonts w:cs="Arial"/>
          <w:szCs w:val="24"/>
          <w:lang w:val="en-ZA"/>
        </w:rPr>
        <w:footnoteReference w:id="44"/>
      </w:r>
    </w:p>
    <w:p w14:paraId="3FE562FC" w14:textId="7CE81BEB" w:rsidR="00A77149" w:rsidRPr="008A132B" w:rsidRDefault="006D79CC" w:rsidP="006D79CC">
      <w:pPr>
        <w:pStyle w:val="2"/>
        <w:numPr>
          <w:ilvl w:val="0"/>
          <w:numId w:val="0"/>
        </w:numPr>
        <w:spacing w:before="0" w:line="360" w:lineRule="auto"/>
        <w:ind w:left="709" w:hanging="709"/>
        <w:rPr>
          <w:rFonts w:cs="Arial"/>
          <w:szCs w:val="24"/>
          <w:lang w:val="en-ZA"/>
        </w:rPr>
      </w:pPr>
      <w:r w:rsidRPr="008A132B">
        <w:rPr>
          <w:rFonts w:cs="Arial"/>
          <w:szCs w:val="24"/>
          <w:lang w:val="en-ZA"/>
        </w:rPr>
        <w:t>(c)</w:t>
      </w:r>
      <w:r w:rsidRPr="008A132B">
        <w:rPr>
          <w:rFonts w:cs="Arial"/>
          <w:szCs w:val="24"/>
          <w:lang w:val="en-ZA"/>
        </w:rPr>
        <w:tab/>
      </w:r>
      <w:r w:rsidR="00B12FC0" w:rsidRPr="008A132B">
        <w:rPr>
          <w:rFonts w:cs="Arial"/>
          <w:szCs w:val="24"/>
          <w:lang w:val="en-ZA"/>
        </w:rPr>
        <w:t>T</w:t>
      </w:r>
      <w:r w:rsidR="00A77149" w:rsidRPr="008A132B">
        <w:rPr>
          <w:rFonts w:cs="Arial"/>
          <w:szCs w:val="24"/>
          <w:lang w:val="en-ZA"/>
        </w:rPr>
        <w:t>he</w:t>
      </w:r>
      <w:r w:rsidR="00B12FC0" w:rsidRPr="008A132B">
        <w:rPr>
          <w:rFonts w:cs="Arial"/>
          <w:szCs w:val="24"/>
          <w:lang w:val="en-ZA"/>
        </w:rPr>
        <w:t xml:space="preserve"> applicant must have </w:t>
      </w:r>
      <w:r w:rsidR="00A77149" w:rsidRPr="008A132B">
        <w:rPr>
          <w:rFonts w:cs="Arial"/>
          <w:szCs w:val="24"/>
          <w:lang w:val="en-ZA"/>
        </w:rPr>
        <w:t xml:space="preserve">no other </w:t>
      </w:r>
      <w:r w:rsidR="00B12FC0" w:rsidRPr="008A132B">
        <w:rPr>
          <w:rFonts w:cs="Arial"/>
          <w:szCs w:val="24"/>
          <w:lang w:val="en-ZA"/>
        </w:rPr>
        <w:t xml:space="preserve">satisfactory remedy </w:t>
      </w:r>
      <w:r w:rsidR="00A77149" w:rsidRPr="008A132B">
        <w:rPr>
          <w:rFonts w:cs="Arial"/>
          <w:szCs w:val="24"/>
          <w:lang w:val="en-ZA"/>
        </w:rPr>
        <w:t>available.</w:t>
      </w:r>
      <w:r w:rsidR="00A77149" w:rsidRPr="008A132B">
        <w:rPr>
          <w:rStyle w:val="FootnoteReference"/>
          <w:rFonts w:cs="Arial"/>
          <w:szCs w:val="24"/>
          <w:lang w:val="en-ZA"/>
        </w:rPr>
        <w:footnoteReference w:id="45"/>
      </w:r>
    </w:p>
    <w:p w14:paraId="5C1C9ECD" w14:textId="29640387" w:rsidR="00A77149" w:rsidRPr="008A132B" w:rsidRDefault="006D79CC" w:rsidP="006D79CC">
      <w:pPr>
        <w:pStyle w:val="2"/>
        <w:numPr>
          <w:ilvl w:val="0"/>
          <w:numId w:val="0"/>
        </w:numPr>
        <w:spacing w:before="0" w:line="360" w:lineRule="auto"/>
        <w:ind w:left="709" w:hanging="709"/>
        <w:rPr>
          <w:rFonts w:cs="Arial"/>
          <w:szCs w:val="24"/>
          <w:lang w:val="en-ZA"/>
        </w:rPr>
      </w:pPr>
      <w:r w:rsidRPr="008A132B">
        <w:rPr>
          <w:rFonts w:cs="Arial"/>
          <w:szCs w:val="24"/>
          <w:lang w:val="en-ZA"/>
        </w:rPr>
        <w:t>(d)</w:t>
      </w:r>
      <w:r w:rsidRPr="008A132B">
        <w:rPr>
          <w:rFonts w:cs="Arial"/>
          <w:szCs w:val="24"/>
          <w:lang w:val="en-ZA"/>
        </w:rPr>
        <w:tab/>
      </w:r>
      <w:r w:rsidR="00B12FC0" w:rsidRPr="008A132B">
        <w:rPr>
          <w:rFonts w:cs="Arial"/>
          <w:iCs w:val="0"/>
          <w:szCs w:val="24"/>
          <w:lang w:val="en-ZA"/>
        </w:rPr>
        <w:t>The</w:t>
      </w:r>
      <w:r w:rsidR="00A77149" w:rsidRPr="008A132B">
        <w:rPr>
          <w:rFonts w:cs="Arial"/>
          <w:szCs w:val="24"/>
          <w:lang w:val="en-ZA"/>
        </w:rPr>
        <w:t xml:space="preserve"> balance of convenience must favour the granting of interim relief.</w:t>
      </w:r>
      <w:r w:rsidR="00A77149" w:rsidRPr="008A132B">
        <w:rPr>
          <w:rStyle w:val="FootnoteReference"/>
          <w:rFonts w:cs="Arial"/>
          <w:szCs w:val="24"/>
          <w:lang w:val="en-ZA"/>
        </w:rPr>
        <w:footnoteReference w:id="46"/>
      </w:r>
    </w:p>
    <w:p w14:paraId="57332D67" w14:textId="3716E5D8" w:rsidR="00B03357" w:rsidRPr="008A132B" w:rsidRDefault="00A931B4" w:rsidP="00CC12CF">
      <w:pPr>
        <w:pStyle w:val="2"/>
        <w:numPr>
          <w:ilvl w:val="0"/>
          <w:numId w:val="0"/>
        </w:numPr>
        <w:spacing w:before="0" w:line="360" w:lineRule="auto"/>
        <w:rPr>
          <w:rFonts w:cs="Arial"/>
          <w:szCs w:val="24"/>
          <w:lang w:val="en-ZA"/>
        </w:rPr>
      </w:pPr>
      <w:r w:rsidRPr="008A132B">
        <w:rPr>
          <w:rFonts w:cs="Arial"/>
          <w:szCs w:val="24"/>
          <w:lang w:val="en-ZA"/>
        </w:rPr>
        <w:t xml:space="preserve">The four requirements are inter-related in the sense that the weaker the applicants’ </w:t>
      </w:r>
      <w:r w:rsidRPr="008A132B">
        <w:rPr>
          <w:rFonts w:cs="Arial"/>
          <w:i/>
          <w:szCs w:val="24"/>
          <w:lang w:val="en-ZA"/>
        </w:rPr>
        <w:t>prima facie</w:t>
      </w:r>
      <w:r w:rsidRPr="008A132B">
        <w:rPr>
          <w:rFonts w:cs="Arial"/>
          <w:szCs w:val="24"/>
          <w:lang w:val="en-ZA"/>
        </w:rPr>
        <w:t xml:space="preserve"> right, the greater the need for the applicant to demonstrate prejudice, and the stronger the </w:t>
      </w:r>
      <w:r w:rsidRPr="008A132B">
        <w:rPr>
          <w:rFonts w:cs="Arial"/>
          <w:i/>
          <w:szCs w:val="24"/>
          <w:lang w:val="en-ZA"/>
        </w:rPr>
        <w:t>prima facie</w:t>
      </w:r>
      <w:r w:rsidRPr="008A132B">
        <w:rPr>
          <w:rFonts w:cs="Arial"/>
          <w:szCs w:val="24"/>
          <w:lang w:val="en-ZA"/>
        </w:rPr>
        <w:t xml:space="preserve"> right, the less the need to demonstrate prejudice. Further, the weaker the applicants’ prospects of succeeding with the final relief sought, the greater the need for the other requirements to favour the applicants.</w:t>
      </w:r>
      <w:r w:rsidRPr="008A132B">
        <w:rPr>
          <w:rStyle w:val="FootnoteReference"/>
          <w:rFonts w:cs="Arial"/>
          <w:szCs w:val="24"/>
          <w:lang w:val="en-ZA"/>
        </w:rPr>
        <w:footnoteReference w:id="47"/>
      </w:r>
      <w:r w:rsidRPr="008A132B">
        <w:rPr>
          <w:rFonts w:cs="Arial"/>
          <w:szCs w:val="24"/>
          <w:lang w:val="en-ZA"/>
        </w:rPr>
        <w:t xml:space="preserve"> </w:t>
      </w:r>
      <w:r w:rsidR="00A77149" w:rsidRPr="008A132B">
        <w:rPr>
          <w:rFonts w:cs="Arial"/>
          <w:szCs w:val="24"/>
          <w:lang w:val="en-ZA"/>
        </w:rPr>
        <w:t xml:space="preserve">Even if all the requirements for an interim interdict are satisfied, </w:t>
      </w:r>
      <w:r w:rsidRPr="008A132B">
        <w:rPr>
          <w:rFonts w:cs="Arial"/>
          <w:szCs w:val="24"/>
          <w:lang w:val="en-ZA"/>
        </w:rPr>
        <w:t xml:space="preserve">a </w:t>
      </w:r>
      <w:r w:rsidR="00E77017" w:rsidRPr="008A132B">
        <w:rPr>
          <w:rFonts w:cs="Arial"/>
          <w:szCs w:val="24"/>
          <w:lang w:val="en-ZA"/>
        </w:rPr>
        <w:t xml:space="preserve">court </w:t>
      </w:r>
      <w:r w:rsidRPr="008A132B">
        <w:rPr>
          <w:rFonts w:cs="Arial"/>
          <w:szCs w:val="24"/>
          <w:lang w:val="en-ZA"/>
        </w:rPr>
        <w:t xml:space="preserve">retains </w:t>
      </w:r>
      <w:r w:rsidR="00A77149" w:rsidRPr="008A132B">
        <w:rPr>
          <w:rFonts w:cs="Arial"/>
          <w:szCs w:val="24"/>
          <w:lang w:val="en-ZA"/>
        </w:rPr>
        <w:t>an overriding wide discretion to refuse to grant an interim interdict.</w:t>
      </w:r>
      <w:r w:rsidR="00A77149" w:rsidRPr="008A132B">
        <w:rPr>
          <w:rStyle w:val="FootnoteReference"/>
          <w:rFonts w:cs="Arial"/>
          <w:szCs w:val="24"/>
          <w:lang w:val="en-ZA"/>
        </w:rPr>
        <w:footnoteReference w:id="48"/>
      </w:r>
      <w:r w:rsidR="00A77149" w:rsidRPr="008A132B">
        <w:rPr>
          <w:rFonts w:cs="Arial"/>
          <w:szCs w:val="24"/>
          <w:lang w:val="en-ZA"/>
        </w:rPr>
        <w:t xml:space="preserve"> Public-interest</w:t>
      </w:r>
      <w:r w:rsidR="002C634F" w:rsidRPr="008A132B">
        <w:rPr>
          <w:rFonts w:cs="Arial"/>
          <w:szCs w:val="24"/>
          <w:lang w:val="en-ZA"/>
        </w:rPr>
        <w:t xml:space="preserve"> </w:t>
      </w:r>
      <w:r w:rsidR="00A77149" w:rsidRPr="008A132B">
        <w:rPr>
          <w:rFonts w:cs="Arial"/>
          <w:szCs w:val="24"/>
          <w:lang w:val="en-ZA"/>
        </w:rPr>
        <w:t>factors can be taken into account in the exercise of the court’s discretion</w:t>
      </w:r>
      <w:r w:rsidRPr="008A132B">
        <w:rPr>
          <w:rFonts w:cs="Arial"/>
          <w:szCs w:val="24"/>
          <w:lang w:val="en-ZA"/>
        </w:rPr>
        <w:t xml:space="preserve">. In </w:t>
      </w:r>
      <w:r w:rsidR="00A77149" w:rsidRPr="008A132B">
        <w:rPr>
          <w:rFonts w:cs="Arial"/>
          <w:szCs w:val="24"/>
          <w:lang w:val="en-ZA"/>
        </w:rPr>
        <w:t xml:space="preserve">cases like </w:t>
      </w:r>
      <w:r w:rsidRPr="008A132B">
        <w:rPr>
          <w:rFonts w:cs="Arial"/>
          <w:szCs w:val="24"/>
          <w:lang w:val="en-ZA"/>
        </w:rPr>
        <w:t>the present</w:t>
      </w:r>
      <w:r w:rsidR="0037234E" w:rsidRPr="008A132B">
        <w:rPr>
          <w:rFonts w:cs="Arial"/>
          <w:szCs w:val="24"/>
          <w:lang w:val="en-ZA"/>
        </w:rPr>
        <w:t>,</w:t>
      </w:r>
      <w:r w:rsidRPr="008A132B">
        <w:rPr>
          <w:rFonts w:cs="Arial"/>
          <w:szCs w:val="24"/>
          <w:lang w:val="en-ZA"/>
        </w:rPr>
        <w:t xml:space="preserve"> Tendele argued</w:t>
      </w:r>
      <w:r w:rsidR="0037234E" w:rsidRPr="008A132B">
        <w:rPr>
          <w:rFonts w:cs="Arial"/>
          <w:szCs w:val="24"/>
          <w:lang w:val="en-ZA"/>
        </w:rPr>
        <w:t>,</w:t>
      </w:r>
      <w:r w:rsidRPr="008A132B">
        <w:rPr>
          <w:rFonts w:cs="Arial"/>
          <w:szCs w:val="24"/>
          <w:lang w:val="en-ZA"/>
        </w:rPr>
        <w:t xml:space="preserve"> that the discretion </w:t>
      </w:r>
      <w:r w:rsidR="00A23FCD" w:rsidRPr="008A132B">
        <w:rPr>
          <w:rFonts w:cs="Arial"/>
          <w:szCs w:val="24"/>
          <w:lang w:val="en-ZA"/>
        </w:rPr>
        <w:t>sh</w:t>
      </w:r>
      <w:r w:rsidRPr="008A132B">
        <w:rPr>
          <w:rFonts w:cs="Arial"/>
          <w:szCs w:val="24"/>
          <w:lang w:val="en-ZA"/>
        </w:rPr>
        <w:t xml:space="preserve">ould be influenced by </w:t>
      </w:r>
      <w:r w:rsidR="00A77149" w:rsidRPr="008A132B">
        <w:rPr>
          <w:rFonts w:cs="Arial"/>
          <w:szCs w:val="24"/>
          <w:lang w:val="en-ZA"/>
        </w:rPr>
        <w:t xml:space="preserve">the public interest in the survival of the </w:t>
      </w:r>
      <w:r w:rsidRPr="008A132B">
        <w:rPr>
          <w:rFonts w:cs="Arial"/>
          <w:szCs w:val="24"/>
          <w:lang w:val="en-ZA"/>
        </w:rPr>
        <w:t>m</w:t>
      </w:r>
      <w:r w:rsidR="00A77149" w:rsidRPr="008A132B">
        <w:rPr>
          <w:rFonts w:cs="Arial"/>
          <w:szCs w:val="24"/>
          <w:lang w:val="en-ZA"/>
        </w:rPr>
        <w:t>ine and economic upliftment of the local community</w:t>
      </w:r>
      <w:r w:rsidR="004E273A" w:rsidRPr="008A132B">
        <w:rPr>
          <w:rFonts w:cs="Arial"/>
          <w:szCs w:val="24"/>
          <w:lang w:val="en-ZA"/>
        </w:rPr>
        <w:t>,</w:t>
      </w:r>
      <w:r w:rsidR="00A77149" w:rsidRPr="008A132B">
        <w:rPr>
          <w:rFonts w:cs="Arial"/>
          <w:szCs w:val="24"/>
          <w:lang w:val="en-ZA"/>
        </w:rPr>
        <w:t xml:space="preserve"> </w:t>
      </w:r>
      <w:r w:rsidRPr="008A132B">
        <w:rPr>
          <w:rFonts w:cs="Arial"/>
          <w:szCs w:val="24"/>
          <w:lang w:val="en-ZA"/>
        </w:rPr>
        <w:t xml:space="preserve">which </w:t>
      </w:r>
      <w:r w:rsidR="00A77149" w:rsidRPr="008A132B">
        <w:rPr>
          <w:rFonts w:cs="Arial"/>
          <w:szCs w:val="24"/>
          <w:lang w:val="en-ZA"/>
        </w:rPr>
        <w:t xml:space="preserve">would be harmed </w:t>
      </w:r>
      <w:r w:rsidR="00C978F9" w:rsidRPr="008A132B">
        <w:rPr>
          <w:rFonts w:cs="Arial"/>
          <w:szCs w:val="24"/>
          <w:lang w:val="en-ZA"/>
        </w:rPr>
        <w:t xml:space="preserve">if </w:t>
      </w:r>
      <w:r w:rsidR="00A77149" w:rsidRPr="008A132B">
        <w:rPr>
          <w:rFonts w:cs="Arial"/>
          <w:szCs w:val="24"/>
          <w:lang w:val="en-ZA"/>
        </w:rPr>
        <w:t xml:space="preserve">the </w:t>
      </w:r>
      <w:r w:rsidR="00C978F9" w:rsidRPr="008A132B">
        <w:rPr>
          <w:rFonts w:cs="Arial"/>
          <w:szCs w:val="24"/>
          <w:lang w:val="en-ZA"/>
        </w:rPr>
        <w:t xml:space="preserve">relief </w:t>
      </w:r>
      <w:r w:rsidR="00A77149" w:rsidRPr="008A132B">
        <w:rPr>
          <w:rFonts w:cs="Arial"/>
          <w:szCs w:val="24"/>
          <w:lang w:val="en-ZA"/>
        </w:rPr>
        <w:t>sought by the applicants</w:t>
      </w:r>
      <w:r w:rsidR="00C978F9" w:rsidRPr="008A132B">
        <w:rPr>
          <w:rFonts w:cs="Arial"/>
          <w:szCs w:val="24"/>
          <w:lang w:val="en-ZA"/>
        </w:rPr>
        <w:t xml:space="preserve"> was granted</w:t>
      </w:r>
      <w:r w:rsidR="00A77149" w:rsidRPr="008A132B">
        <w:rPr>
          <w:rFonts w:cs="Arial"/>
          <w:szCs w:val="24"/>
          <w:lang w:val="en-ZA"/>
        </w:rPr>
        <w:t>.</w:t>
      </w:r>
      <w:r w:rsidR="00A77149" w:rsidRPr="008A132B">
        <w:rPr>
          <w:rStyle w:val="FootnoteReference"/>
          <w:rFonts w:cs="Arial"/>
          <w:szCs w:val="24"/>
          <w:lang w:val="en-ZA"/>
        </w:rPr>
        <w:footnoteReference w:id="49"/>
      </w:r>
    </w:p>
    <w:p w14:paraId="4240E1E5" w14:textId="77777777" w:rsidR="00A77149" w:rsidRPr="008A132B" w:rsidRDefault="00A77149" w:rsidP="00CC12CF">
      <w:pPr>
        <w:spacing w:line="360" w:lineRule="auto"/>
        <w:jc w:val="both"/>
      </w:pPr>
    </w:p>
    <w:p w14:paraId="7895006E" w14:textId="55AD27FE" w:rsidR="00E36CB9" w:rsidRPr="00FA7729" w:rsidRDefault="00B03357" w:rsidP="00CC12CF">
      <w:pPr>
        <w:spacing w:line="360" w:lineRule="auto"/>
        <w:jc w:val="both"/>
        <w:rPr>
          <w:b/>
          <w:bCs/>
          <w:iCs/>
        </w:rPr>
      </w:pPr>
      <w:r w:rsidRPr="00FA7729">
        <w:rPr>
          <w:b/>
          <w:bCs/>
          <w:iCs/>
        </w:rPr>
        <w:t>A prima facie right</w:t>
      </w:r>
    </w:p>
    <w:p w14:paraId="2151C625" w14:textId="630DF45A" w:rsidR="00905F8E" w:rsidRPr="008A132B" w:rsidRDefault="006D79CC" w:rsidP="006D79CC">
      <w:pPr>
        <w:spacing w:line="360" w:lineRule="auto"/>
        <w:jc w:val="both"/>
      </w:pPr>
      <w:r w:rsidRPr="008A132B">
        <w:rPr>
          <w:szCs w:val="24"/>
        </w:rPr>
        <w:t>[43]</w:t>
      </w:r>
      <w:r w:rsidRPr="008A132B">
        <w:rPr>
          <w:szCs w:val="24"/>
        </w:rPr>
        <w:tab/>
      </w:r>
      <w:r w:rsidR="00E36CB9" w:rsidRPr="008A132B">
        <w:rPr>
          <w:szCs w:val="24"/>
        </w:rPr>
        <w:t xml:space="preserve">A court will grant an interim interdict upon a degree of proof less exacting than that required for a final interdict. </w:t>
      </w:r>
      <w:r w:rsidR="004E273A" w:rsidRPr="008A132B">
        <w:rPr>
          <w:szCs w:val="24"/>
        </w:rPr>
        <w:t>A</w:t>
      </w:r>
      <w:r w:rsidR="00A931B4" w:rsidRPr="008A132B">
        <w:rPr>
          <w:szCs w:val="24"/>
        </w:rPr>
        <w:t xml:space="preserve">n </w:t>
      </w:r>
      <w:r w:rsidR="00E36CB9" w:rsidRPr="008A132B">
        <w:rPr>
          <w:szCs w:val="24"/>
        </w:rPr>
        <w:t xml:space="preserve">applicant </w:t>
      </w:r>
      <w:r w:rsidR="00E97D66" w:rsidRPr="008A132B">
        <w:rPr>
          <w:szCs w:val="24"/>
        </w:rPr>
        <w:t xml:space="preserve">for an interim interdict </w:t>
      </w:r>
      <w:r w:rsidR="004E273A" w:rsidRPr="008A132B">
        <w:rPr>
          <w:szCs w:val="24"/>
        </w:rPr>
        <w:t xml:space="preserve">must </w:t>
      </w:r>
      <w:r w:rsidR="00E36CB9" w:rsidRPr="008A132B">
        <w:rPr>
          <w:szCs w:val="24"/>
        </w:rPr>
        <w:t xml:space="preserve">prove a right which, though </w:t>
      </w:r>
      <w:r w:rsidR="00E36CB9" w:rsidRPr="008A132B">
        <w:rPr>
          <w:i/>
          <w:szCs w:val="24"/>
        </w:rPr>
        <w:t>prima facie</w:t>
      </w:r>
      <w:r w:rsidR="00E36CB9" w:rsidRPr="008A132B">
        <w:rPr>
          <w:szCs w:val="24"/>
        </w:rPr>
        <w:t xml:space="preserve"> established, is open to some doubt. According to </w:t>
      </w:r>
      <w:r w:rsidR="00E36CB9" w:rsidRPr="008A132B">
        <w:rPr>
          <w:i/>
          <w:szCs w:val="24"/>
        </w:rPr>
        <w:t>Webster v Mitchell</w:t>
      </w:r>
      <w:r w:rsidR="00E36CB9" w:rsidRPr="008A132B">
        <w:rPr>
          <w:szCs w:val="24"/>
        </w:rPr>
        <w:t>,</w:t>
      </w:r>
      <w:r w:rsidR="00E36CB9" w:rsidRPr="008A132B">
        <w:rPr>
          <w:rStyle w:val="FootnoteReference"/>
          <w:szCs w:val="24"/>
        </w:rPr>
        <w:footnoteReference w:id="50"/>
      </w:r>
      <w:r w:rsidR="00E36CB9" w:rsidRPr="008A132B">
        <w:rPr>
          <w:szCs w:val="24"/>
        </w:rPr>
        <w:t xml:space="preserve"> as qualified in </w:t>
      </w:r>
      <w:r w:rsidR="00E36CB9" w:rsidRPr="008A132B">
        <w:rPr>
          <w:i/>
          <w:szCs w:val="24"/>
        </w:rPr>
        <w:t>Gool</w:t>
      </w:r>
      <w:r w:rsidR="00A931B4" w:rsidRPr="008A132B">
        <w:rPr>
          <w:i/>
          <w:szCs w:val="24"/>
        </w:rPr>
        <w:t xml:space="preserve"> v Minister of Justice</w:t>
      </w:r>
      <w:r w:rsidR="00E36CB9" w:rsidRPr="008A132B">
        <w:rPr>
          <w:szCs w:val="24"/>
        </w:rPr>
        <w:t>,</w:t>
      </w:r>
      <w:r w:rsidR="00E36CB9" w:rsidRPr="008A132B">
        <w:rPr>
          <w:rStyle w:val="FootnoteReference"/>
          <w:szCs w:val="24"/>
        </w:rPr>
        <w:footnoteReference w:id="51"/>
      </w:r>
      <w:r w:rsidR="00E36CB9" w:rsidRPr="008A132B">
        <w:rPr>
          <w:szCs w:val="24"/>
        </w:rPr>
        <w:t xml:space="preserve"> the test is whether the applicant has furnished proof which, if uncontradicted at </w:t>
      </w:r>
      <w:r w:rsidR="00CC2401" w:rsidRPr="008A132B">
        <w:rPr>
          <w:szCs w:val="24"/>
        </w:rPr>
        <w:t xml:space="preserve">the </w:t>
      </w:r>
      <w:r w:rsidR="00E36CB9" w:rsidRPr="008A132B">
        <w:rPr>
          <w:szCs w:val="24"/>
        </w:rPr>
        <w:t>trial (</w:t>
      </w:r>
      <w:r w:rsidR="00CC2401" w:rsidRPr="008A132B">
        <w:rPr>
          <w:szCs w:val="24"/>
        </w:rPr>
        <w:t xml:space="preserve">or </w:t>
      </w:r>
      <w:r w:rsidR="00E36CB9" w:rsidRPr="008A132B">
        <w:rPr>
          <w:szCs w:val="24"/>
        </w:rPr>
        <w:t xml:space="preserve">the final interdict </w:t>
      </w:r>
      <w:r w:rsidR="00A931B4" w:rsidRPr="008A132B">
        <w:rPr>
          <w:szCs w:val="24"/>
        </w:rPr>
        <w:t>in part B of the notice of motion</w:t>
      </w:r>
      <w:r w:rsidR="00E36CB9" w:rsidRPr="008A132B">
        <w:rPr>
          <w:szCs w:val="24"/>
        </w:rPr>
        <w:t xml:space="preserve">), would entitle the applicants to final relief. </w:t>
      </w:r>
      <w:r w:rsidR="00A931B4" w:rsidRPr="008A132B">
        <w:rPr>
          <w:szCs w:val="24"/>
        </w:rPr>
        <w:t>T</w:t>
      </w:r>
      <w:r w:rsidR="00E36CB9" w:rsidRPr="008A132B">
        <w:rPr>
          <w:szCs w:val="24"/>
        </w:rPr>
        <w:t>he proper approach is:</w:t>
      </w:r>
    </w:p>
    <w:p w14:paraId="2F57421A" w14:textId="70A9132E" w:rsidR="00E36CB9" w:rsidRPr="008A132B" w:rsidRDefault="00E36CB9" w:rsidP="00905F8E">
      <w:pPr>
        <w:pStyle w:val="2"/>
        <w:numPr>
          <w:ilvl w:val="0"/>
          <w:numId w:val="0"/>
        </w:numPr>
        <w:spacing w:before="0" w:line="360" w:lineRule="auto"/>
        <w:rPr>
          <w:rFonts w:cs="Arial"/>
          <w:sz w:val="22"/>
          <w:lang w:val="en-ZA"/>
        </w:rPr>
      </w:pPr>
      <w:r w:rsidRPr="008A132B">
        <w:rPr>
          <w:rFonts w:cs="Arial"/>
          <w:sz w:val="22"/>
          <w:lang w:val="en-ZA"/>
        </w:rPr>
        <w:t xml:space="preserve">‘to take the facts as set out by the applicant, together with any facts set out by the respondent which the applicant cannot dispute, and to consider whether, having regard to the inherent </w:t>
      </w:r>
      <w:r w:rsidRPr="008A132B">
        <w:rPr>
          <w:rFonts w:cs="Arial"/>
          <w:sz w:val="22"/>
          <w:lang w:val="en-ZA"/>
        </w:rPr>
        <w:lastRenderedPageBreak/>
        <w:t>probabilities, the applicant [should] on those facts obtain final relief at the trial.  The facts set up in contradiction by the respondent should then be considered.  If serious doubt is thrown upon the case of the applicant he could not succeed in obtaining temporary relief, for his right, prima facie established, may only be open to “some doubt”. But if there is mere contradiction, or unconvincing explanation, the matter should be left to trial and the right be protected in the meanwhile, subject of course to the respective prejudice in the grant or refusal of interim relief.’</w:t>
      </w:r>
      <w:r w:rsidRPr="008A132B">
        <w:rPr>
          <w:rStyle w:val="FootnoteReference"/>
          <w:rFonts w:cs="Arial"/>
          <w:sz w:val="22"/>
          <w:lang w:val="en-ZA"/>
        </w:rPr>
        <w:footnoteReference w:id="52"/>
      </w:r>
    </w:p>
    <w:p w14:paraId="304CEA42" w14:textId="53451F66" w:rsidR="00E36CB9" w:rsidRPr="008A132B" w:rsidRDefault="00E36CB9" w:rsidP="00CC12CF">
      <w:pPr>
        <w:spacing w:line="360" w:lineRule="auto"/>
        <w:jc w:val="both"/>
      </w:pPr>
    </w:p>
    <w:p w14:paraId="32DA5FEA" w14:textId="746F0B35" w:rsidR="00A23FCD" w:rsidRPr="008A132B" w:rsidRDefault="006D79CC" w:rsidP="006D79CC">
      <w:pPr>
        <w:spacing w:line="360" w:lineRule="auto"/>
        <w:jc w:val="both"/>
      </w:pPr>
      <w:r w:rsidRPr="008A132B">
        <w:rPr>
          <w:szCs w:val="24"/>
        </w:rPr>
        <w:t>[44]</w:t>
      </w:r>
      <w:r w:rsidRPr="008A132B">
        <w:rPr>
          <w:szCs w:val="24"/>
        </w:rPr>
        <w:tab/>
      </w:r>
      <w:r w:rsidR="00C0319E" w:rsidRPr="008A132B">
        <w:rPr>
          <w:szCs w:val="24"/>
        </w:rPr>
        <w:t xml:space="preserve">The applicants say </w:t>
      </w:r>
      <w:r w:rsidR="00856856">
        <w:rPr>
          <w:szCs w:val="24"/>
        </w:rPr>
        <w:t xml:space="preserve">that </w:t>
      </w:r>
      <w:r w:rsidR="00A23FCD" w:rsidRPr="008A132B">
        <w:rPr>
          <w:szCs w:val="24"/>
        </w:rPr>
        <w:t>on the facts it is not so much a question of proof</w:t>
      </w:r>
      <w:r w:rsidR="004E273A" w:rsidRPr="008A132B">
        <w:rPr>
          <w:szCs w:val="24"/>
        </w:rPr>
        <w:t>,</w:t>
      </w:r>
      <w:r w:rsidR="00A23FCD" w:rsidRPr="008A132B">
        <w:rPr>
          <w:szCs w:val="24"/>
        </w:rPr>
        <w:t xml:space="preserve"> </w:t>
      </w:r>
      <w:r w:rsidR="004E273A" w:rsidRPr="008A132B">
        <w:rPr>
          <w:szCs w:val="24"/>
        </w:rPr>
        <w:t xml:space="preserve">as the </w:t>
      </w:r>
      <w:r w:rsidR="00A23FCD" w:rsidRPr="008A132B">
        <w:rPr>
          <w:szCs w:val="24"/>
        </w:rPr>
        <w:t xml:space="preserve">right </w:t>
      </w:r>
      <w:r w:rsidR="0037234E" w:rsidRPr="008A132B">
        <w:rPr>
          <w:szCs w:val="24"/>
        </w:rPr>
        <w:t xml:space="preserve">on which they rely primarily </w:t>
      </w:r>
      <w:r w:rsidR="00A23FCD" w:rsidRPr="008A132B">
        <w:rPr>
          <w:szCs w:val="24"/>
        </w:rPr>
        <w:t xml:space="preserve">is </w:t>
      </w:r>
      <w:r w:rsidR="004E273A" w:rsidRPr="008A132B">
        <w:rPr>
          <w:szCs w:val="24"/>
        </w:rPr>
        <w:t xml:space="preserve">a question of </w:t>
      </w:r>
      <w:r w:rsidR="0037234E" w:rsidRPr="008A132B">
        <w:rPr>
          <w:szCs w:val="24"/>
        </w:rPr>
        <w:t>law</w:t>
      </w:r>
      <w:r w:rsidR="001F5BDA">
        <w:rPr>
          <w:szCs w:val="24"/>
        </w:rPr>
        <w:t xml:space="preserve"> involving legality</w:t>
      </w:r>
      <w:r w:rsidR="004E273A" w:rsidRPr="008A132B">
        <w:rPr>
          <w:szCs w:val="24"/>
        </w:rPr>
        <w:t xml:space="preserve">; </w:t>
      </w:r>
      <w:r w:rsidR="00CC2401" w:rsidRPr="008A132B">
        <w:rPr>
          <w:szCs w:val="24"/>
        </w:rPr>
        <w:t xml:space="preserve">and </w:t>
      </w:r>
      <w:r w:rsidR="00C0319E" w:rsidRPr="008A132B">
        <w:rPr>
          <w:szCs w:val="24"/>
        </w:rPr>
        <w:t xml:space="preserve">that they have established a </w:t>
      </w:r>
      <w:r w:rsidR="00C0319E" w:rsidRPr="008A132B">
        <w:rPr>
          <w:i/>
          <w:szCs w:val="24"/>
        </w:rPr>
        <w:t>prima facie</w:t>
      </w:r>
      <w:r w:rsidR="00C0319E" w:rsidRPr="008A132B">
        <w:rPr>
          <w:szCs w:val="24"/>
        </w:rPr>
        <w:t xml:space="preserve"> right</w:t>
      </w:r>
      <w:r w:rsidR="00A23FCD" w:rsidRPr="008A132B">
        <w:rPr>
          <w:szCs w:val="24"/>
        </w:rPr>
        <w:t>, if not a clear right,</w:t>
      </w:r>
      <w:r w:rsidR="00C0319E" w:rsidRPr="008A132B">
        <w:rPr>
          <w:szCs w:val="24"/>
        </w:rPr>
        <w:t xml:space="preserve"> as </w:t>
      </w:r>
      <w:r w:rsidR="007C17E8" w:rsidRPr="008A132B">
        <w:rPr>
          <w:szCs w:val="24"/>
        </w:rPr>
        <w:t xml:space="preserve">the activities </w:t>
      </w:r>
      <w:r w:rsidR="00C0319E" w:rsidRPr="008A132B">
        <w:rPr>
          <w:szCs w:val="24"/>
        </w:rPr>
        <w:t xml:space="preserve">Tendele </w:t>
      </w:r>
      <w:r w:rsidR="007C17E8" w:rsidRPr="008A132B">
        <w:rPr>
          <w:szCs w:val="24"/>
        </w:rPr>
        <w:t>intends to commence with are unlawful</w:t>
      </w:r>
      <w:r w:rsidR="00C978F9" w:rsidRPr="008A132B">
        <w:rPr>
          <w:szCs w:val="24"/>
        </w:rPr>
        <w:t>:</w:t>
      </w:r>
    </w:p>
    <w:p w14:paraId="6B448261" w14:textId="7B4DD847" w:rsidR="00AA0BDB" w:rsidRPr="00AA0BDB" w:rsidRDefault="006D79CC" w:rsidP="006D79CC">
      <w:pPr>
        <w:spacing w:line="360" w:lineRule="auto"/>
        <w:ind w:left="720" w:hanging="720"/>
        <w:jc w:val="both"/>
      </w:pPr>
      <w:r w:rsidRPr="00AA0BDB">
        <w:t>(a)</w:t>
      </w:r>
      <w:r w:rsidRPr="00AA0BDB">
        <w:tab/>
      </w:r>
      <w:r w:rsidR="004E273A" w:rsidRPr="006D79CC">
        <w:rPr>
          <w:szCs w:val="24"/>
        </w:rPr>
        <w:t xml:space="preserve">Because </w:t>
      </w:r>
      <w:r w:rsidR="00882FDC" w:rsidRPr="006D79CC">
        <w:rPr>
          <w:szCs w:val="24"/>
        </w:rPr>
        <w:t>Bam J declared the decisions resulting in the grant of Tendele’s Mining Right and EMPr to be invalid, the Mining Right and EMPr have ceased to exist;</w:t>
      </w:r>
    </w:p>
    <w:p w14:paraId="528A9F13" w14:textId="0A6FBF8D" w:rsidR="00C978F9" w:rsidRPr="008A132B" w:rsidRDefault="006D79CC" w:rsidP="006D79CC">
      <w:pPr>
        <w:spacing w:line="360" w:lineRule="auto"/>
        <w:ind w:left="720" w:hanging="720"/>
        <w:jc w:val="both"/>
      </w:pPr>
      <w:r w:rsidRPr="008A132B">
        <w:t>(b)</w:t>
      </w:r>
      <w:r w:rsidRPr="008A132B">
        <w:tab/>
      </w:r>
      <w:r w:rsidR="00882FDC" w:rsidRPr="006D79CC">
        <w:rPr>
          <w:szCs w:val="24"/>
        </w:rPr>
        <w:t xml:space="preserve">that, in any event, </w:t>
      </w:r>
      <w:r w:rsidR="00A23FCD" w:rsidRPr="006D79CC">
        <w:rPr>
          <w:szCs w:val="24"/>
        </w:rPr>
        <w:t xml:space="preserve">Bam J </w:t>
      </w:r>
      <w:r w:rsidR="00244F2A" w:rsidRPr="006D79CC">
        <w:rPr>
          <w:szCs w:val="24"/>
        </w:rPr>
        <w:t xml:space="preserve">inter alia required Tendele to complete </w:t>
      </w:r>
      <w:r w:rsidR="004E273A" w:rsidRPr="006D79CC">
        <w:rPr>
          <w:szCs w:val="24"/>
        </w:rPr>
        <w:t xml:space="preserve">an </w:t>
      </w:r>
      <w:r w:rsidR="00244F2A" w:rsidRPr="006D79CC">
        <w:rPr>
          <w:szCs w:val="24"/>
        </w:rPr>
        <w:t xml:space="preserve">EIA and </w:t>
      </w:r>
      <w:r w:rsidR="006B5370" w:rsidRPr="006D79CC">
        <w:rPr>
          <w:szCs w:val="24"/>
        </w:rPr>
        <w:t xml:space="preserve">a </w:t>
      </w:r>
      <w:r w:rsidR="00244F2A" w:rsidRPr="006D79CC">
        <w:rPr>
          <w:szCs w:val="24"/>
        </w:rPr>
        <w:t xml:space="preserve">scoping report, </w:t>
      </w:r>
      <w:r w:rsidR="006B5370" w:rsidRPr="006D79CC">
        <w:rPr>
          <w:szCs w:val="24"/>
        </w:rPr>
        <w:t xml:space="preserve">neither of which has </w:t>
      </w:r>
      <w:r w:rsidR="00244F2A" w:rsidRPr="006D79CC">
        <w:rPr>
          <w:szCs w:val="24"/>
        </w:rPr>
        <w:t>occurred</w:t>
      </w:r>
      <w:r w:rsidR="006B5370" w:rsidRPr="006D79CC">
        <w:rPr>
          <w:szCs w:val="24"/>
        </w:rPr>
        <w:t xml:space="preserve"> as yet</w:t>
      </w:r>
      <w:r w:rsidR="00C978F9" w:rsidRPr="006D79CC">
        <w:rPr>
          <w:szCs w:val="24"/>
        </w:rPr>
        <w:t>;</w:t>
      </w:r>
      <w:r w:rsidR="00BB12D5" w:rsidRPr="008A132B">
        <w:rPr>
          <w:rStyle w:val="FootnoteReference"/>
          <w:szCs w:val="24"/>
        </w:rPr>
        <w:footnoteReference w:id="53"/>
      </w:r>
    </w:p>
    <w:p w14:paraId="1A36EB98" w14:textId="338CA70F" w:rsidR="00C978F9" w:rsidRPr="008A132B" w:rsidRDefault="006D79CC" w:rsidP="006D79CC">
      <w:pPr>
        <w:spacing w:line="360" w:lineRule="auto"/>
        <w:ind w:left="720" w:hanging="720"/>
        <w:jc w:val="both"/>
      </w:pPr>
      <w:r w:rsidRPr="008A132B">
        <w:t>(c)</w:t>
      </w:r>
      <w:r w:rsidRPr="008A132B">
        <w:tab/>
      </w:r>
      <w:r w:rsidR="00882FDC" w:rsidRPr="006D79CC">
        <w:rPr>
          <w:szCs w:val="24"/>
        </w:rPr>
        <w:t>t</w:t>
      </w:r>
      <w:r w:rsidR="00C978F9" w:rsidRPr="006D79CC">
        <w:rPr>
          <w:szCs w:val="24"/>
        </w:rPr>
        <w:t xml:space="preserve">hat until the order </w:t>
      </w:r>
      <w:r w:rsidR="004E273A" w:rsidRPr="006D79CC">
        <w:rPr>
          <w:szCs w:val="24"/>
        </w:rPr>
        <w:t xml:space="preserve">of Bam J </w:t>
      </w:r>
      <w:r w:rsidR="00C978F9" w:rsidRPr="006D79CC">
        <w:rPr>
          <w:szCs w:val="24"/>
        </w:rPr>
        <w:t xml:space="preserve">has been complied with, </w:t>
      </w:r>
      <w:r w:rsidR="005574E2" w:rsidRPr="006D79CC">
        <w:rPr>
          <w:szCs w:val="24"/>
        </w:rPr>
        <w:t xml:space="preserve">no mining may continue and </w:t>
      </w:r>
      <w:r w:rsidR="005574E2" w:rsidRPr="008A132B">
        <w:t xml:space="preserve">the activities threatened in the letters </w:t>
      </w:r>
      <w:r w:rsidR="00244F2A" w:rsidRPr="008A132B">
        <w:t xml:space="preserve">would be in </w:t>
      </w:r>
      <w:r w:rsidR="00882FDC" w:rsidRPr="008A132B">
        <w:t>c</w:t>
      </w:r>
      <w:r w:rsidR="005574E2" w:rsidRPr="008A132B">
        <w:t>ontravention of the judgment</w:t>
      </w:r>
      <w:r w:rsidR="00244F2A" w:rsidRPr="008A132B">
        <w:t xml:space="preserve">; and </w:t>
      </w:r>
    </w:p>
    <w:p w14:paraId="7BE78647" w14:textId="4575B105" w:rsidR="00407A62" w:rsidRPr="008A132B" w:rsidRDefault="006D79CC" w:rsidP="006D79CC">
      <w:pPr>
        <w:spacing w:line="360" w:lineRule="auto"/>
        <w:ind w:left="720" w:hanging="720"/>
        <w:jc w:val="both"/>
      </w:pPr>
      <w:r w:rsidRPr="008A132B">
        <w:t>(d)</w:t>
      </w:r>
      <w:r w:rsidRPr="008A132B">
        <w:tab/>
      </w:r>
      <w:r w:rsidR="00244F2A" w:rsidRPr="008A132B">
        <w:t xml:space="preserve">Tendele has failed to comply with </w:t>
      </w:r>
      <w:r w:rsidR="00A23FCD" w:rsidRPr="008A132B">
        <w:t xml:space="preserve">certain </w:t>
      </w:r>
      <w:r w:rsidR="00244F2A" w:rsidRPr="008A132B">
        <w:t>statutory requirements before it can start the proposed activities.</w:t>
      </w:r>
      <w:r w:rsidR="00BB12D5" w:rsidRPr="008A132B">
        <w:rPr>
          <w:rStyle w:val="FootnoteReference"/>
        </w:rPr>
        <w:footnoteReference w:id="54"/>
      </w:r>
      <w:r w:rsidR="00244F2A" w:rsidRPr="008A132B">
        <w:t xml:space="preserve"> </w:t>
      </w:r>
    </w:p>
    <w:p w14:paraId="7C174AE0" w14:textId="77777777" w:rsidR="00407A62" w:rsidRPr="008A132B" w:rsidRDefault="00407A62" w:rsidP="00CC12CF">
      <w:pPr>
        <w:spacing w:line="360" w:lineRule="auto"/>
        <w:jc w:val="both"/>
      </w:pPr>
    </w:p>
    <w:p w14:paraId="6067A969" w14:textId="0F914FC1" w:rsidR="00882FDC" w:rsidRPr="008A132B" w:rsidRDefault="006D79CC" w:rsidP="006D79CC">
      <w:pPr>
        <w:spacing w:line="360" w:lineRule="auto"/>
        <w:jc w:val="both"/>
      </w:pPr>
      <w:r w:rsidRPr="008A132B">
        <w:rPr>
          <w:szCs w:val="24"/>
        </w:rPr>
        <w:t>[45]</w:t>
      </w:r>
      <w:r w:rsidRPr="008A132B">
        <w:rPr>
          <w:szCs w:val="24"/>
        </w:rPr>
        <w:tab/>
      </w:r>
      <w:r w:rsidR="005574E2" w:rsidRPr="008A132B">
        <w:t>Tendele in turn maintain</w:t>
      </w:r>
      <w:r w:rsidR="00244F2A" w:rsidRPr="008A132B">
        <w:t>s</w:t>
      </w:r>
      <w:r w:rsidR="005574E2" w:rsidRPr="008A132B">
        <w:t xml:space="preserve"> that the original decision</w:t>
      </w:r>
      <w:r w:rsidR="00882FDC" w:rsidRPr="008A132B">
        <w:t>s</w:t>
      </w:r>
      <w:r w:rsidR="005574E2" w:rsidRPr="008A132B">
        <w:t xml:space="preserve"> granting the mining </w:t>
      </w:r>
      <w:r w:rsidR="008959B2" w:rsidRPr="008A132B">
        <w:t>licence and</w:t>
      </w:r>
      <w:r w:rsidR="00882FDC" w:rsidRPr="008A132B">
        <w:t xml:space="preserve"> approving the EMPr, although declared invalid, </w:t>
      </w:r>
      <w:r w:rsidR="00A23FCD" w:rsidRPr="008A132B">
        <w:t>were ‘</w:t>
      </w:r>
      <w:r w:rsidR="005574E2" w:rsidRPr="008A132B">
        <w:t>not set aside</w:t>
      </w:r>
      <w:r w:rsidR="00882FDC" w:rsidRPr="008A132B">
        <w:t>.</w:t>
      </w:r>
      <w:r w:rsidR="00A23FCD" w:rsidRPr="008A132B">
        <w:t>’</w:t>
      </w:r>
      <w:r w:rsidR="00882FDC" w:rsidRPr="008A132B">
        <w:t xml:space="preserve"> Accordingly, that:</w:t>
      </w:r>
    </w:p>
    <w:p w14:paraId="313456CD" w14:textId="570372A6" w:rsidR="00882FDC" w:rsidRPr="008A132B" w:rsidRDefault="00882FDC" w:rsidP="00CC12CF">
      <w:pPr>
        <w:pStyle w:val="ListParagraph"/>
        <w:spacing w:line="360" w:lineRule="auto"/>
        <w:ind w:left="0"/>
        <w:jc w:val="both"/>
        <w:rPr>
          <w:sz w:val="22"/>
          <w:szCs w:val="22"/>
        </w:rPr>
      </w:pPr>
      <w:r w:rsidRPr="008A132B">
        <w:rPr>
          <w:szCs w:val="24"/>
        </w:rPr>
        <w:t>‘</w:t>
      </w:r>
      <w:r w:rsidRPr="008A132B">
        <w:rPr>
          <w:sz w:val="22"/>
          <w:szCs w:val="22"/>
        </w:rPr>
        <w:t>The effect of Bam’s decision is that the Mining Right and EMPr continue to exist in fact and in law.’</w:t>
      </w:r>
      <w:r w:rsidR="006B5370">
        <w:rPr>
          <w:rStyle w:val="FootnoteReference"/>
          <w:sz w:val="22"/>
          <w:szCs w:val="22"/>
        </w:rPr>
        <w:footnoteReference w:id="55"/>
      </w:r>
    </w:p>
    <w:p w14:paraId="61E21C4B" w14:textId="77777777" w:rsidR="00A23FCD" w:rsidRPr="008A132B" w:rsidRDefault="00A23FCD" w:rsidP="00CC12CF">
      <w:pPr>
        <w:pStyle w:val="ListParagraph"/>
        <w:spacing w:line="360" w:lineRule="auto"/>
        <w:ind w:left="0"/>
        <w:jc w:val="both"/>
        <w:rPr>
          <w:sz w:val="22"/>
          <w:szCs w:val="22"/>
        </w:rPr>
      </w:pPr>
    </w:p>
    <w:p w14:paraId="4478FDA9" w14:textId="214C84D9" w:rsidR="002C634F"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[46]</w:t>
      </w:r>
      <w:r w:rsidRPr="008A132B">
        <w:rPr>
          <w:rFonts w:cs="Arial"/>
          <w:iCs w:val="0"/>
          <w:szCs w:val="24"/>
          <w:lang w:val="en-ZA"/>
        </w:rPr>
        <w:tab/>
      </w:r>
      <w:r w:rsidR="00BF0C17" w:rsidRPr="008A132B">
        <w:rPr>
          <w:lang w:val="en-ZA"/>
        </w:rPr>
        <w:t>The proper interpretation of the judgment and order, specifically what was sought to be conveyed by the order that the decisions ‘are not set aside</w:t>
      </w:r>
      <w:r w:rsidR="002F4534" w:rsidRPr="008A132B">
        <w:rPr>
          <w:lang w:val="en-ZA"/>
        </w:rPr>
        <w:t>’</w:t>
      </w:r>
      <w:r w:rsidR="00407A62" w:rsidRPr="008A132B">
        <w:rPr>
          <w:lang w:val="en-ZA"/>
        </w:rPr>
        <w:t>,</w:t>
      </w:r>
      <w:r w:rsidR="002C634F" w:rsidRPr="008A132B">
        <w:rPr>
          <w:lang w:val="en-ZA"/>
        </w:rPr>
        <w:t xml:space="preserve"> and what issues the judgment covered,</w:t>
      </w:r>
      <w:r w:rsidR="00BF0C17" w:rsidRPr="008A132B">
        <w:rPr>
          <w:lang w:val="en-ZA"/>
        </w:rPr>
        <w:t xml:space="preserve"> </w:t>
      </w:r>
      <w:r w:rsidR="006B5370">
        <w:rPr>
          <w:lang w:val="en-ZA"/>
        </w:rPr>
        <w:t xml:space="preserve">accordingly </w:t>
      </w:r>
      <w:r w:rsidR="00CC2401" w:rsidRPr="008A132B">
        <w:rPr>
          <w:lang w:val="en-ZA"/>
        </w:rPr>
        <w:t>are</w:t>
      </w:r>
      <w:r w:rsidR="00BF0C17" w:rsidRPr="008A132B">
        <w:rPr>
          <w:lang w:val="en-ZA"/>
        </w:rPr>
        <w:t xml:space="preserve"> the primary issue</w:t>
      </w:r>
      <w:r w:rsidR="00CC2401" w:rsidRPr="008A132B">
        <w:rPr>
          <w:lang w:val="en-ZA"/>
        </w:rPr>
        <w:t>s</w:t>
      </w:r>
      <w:r w:rsidR="00BF0C17" w:rsidRPr="008A132B">
        <w:rPr>
          <w:lang w:val="en-ZA"/>
        </w:rPr>
        <w:t xml:space="preserve"> in this application. </w:t>
      </w:r>
    </w:p>
    <w:p w14:paraId="7D63B6B4" w14:textId="77777777" w:rsidR="002C634F" w:rsidRPr="008A132B" w:rsidRDefault="002C634F" w:rsidP="00CC12CF">
      <w:pPr>
        <w:pStyle w:val="2"/>
        <w:numPr>
          <w:ilvl w:val="0"/>
          <w:numId w:val="0"/>
        </w:numPr>
        <w:spacing w:before="0" w:line="360" w:lineRule="auto"/>
        <w:rPr>
          <w:rFonts w:cs="Arial"/>
          <w:szCs w:val="24"/>
          <w:lang w:val="en-ZA"/>
        </w:rPr>
      </w:pPr>
    </w:p>
    <w:p w14:paraId="54D2246A" w14:textId="01C94444" w:rsidR="00CA6AF9"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[47]</w:t>
      </w:r>
      <w:r w:rsidRPr="008A132B">
        <w:rPr>
          <w:rFonts w:cs="Arial"/>
          <w:iCs w:val="0"/>
          <w:szCs w:val="24"/>
          <w:lang w:val="en-ZA"/>
        </w:rPr>
        <w:tab/>
      </w:r>
      <w:r w:rsidR="00BF0C17" w:rsidRPr="008A132B">
        <w:rPr>
          <w:lang w:val="en-ZA"/>
        </w:rPr>
        <w:t>In the event of any ambiguity</w:t>
      </w:r>
      <w:r w:rsidR="004E273A" w:rsidRPr="008A132B">
        <w:rPr>
          <w:lang w:val="en-ZA"/>
        </w:rPr>
        <w:t xml:space="preserve"> in her judgment</w:t>
      </w:r>
      <w:r w:rsidR="00BF0C17" w:rsidRPr="008A132B">
        <w:rPr>
          <w:lang w:val="en-ZA"/>
        </w:rPr>
        <w:t xml:space="preserve"> </w:t>
      </w:r>
      <w:r w:rsidR="0037234E" w:rsidRPr="008A132B">
        <w:rPr>
          <w:lang w:val="en-ZA"/>
        </w:rPr>
        <w:t xml:space="preserve">Bam J </w:t>
      </w:r>
      <w:r w:rsidR="00BF0C17" w:rsidRPr="008A132B">
        <w:rPr>
          <w:lang w:val="en-ZA"/>
        </w:rPr>
        <w:t>would</w:t>
      </w:r>
      <w:r w:rsidR="0037234E" w:rsidRPr="008A132B">
        <w:rPr>
          <w:lang w:val="en-ZA"/>
        </w:rPr>
        <w:t xml:space="preserve"> be best suited</w:t>
      </w:r>
      <w:r w:rsidR="00BF0C17" w:rsidRPr="008A132B">
        <w:rPr>
          <w:lang w:val="en-ZA"/>
        </w:rPr>
        <w:t>, pursuant to the provisions of rule 42(1)</w:t>
      </w:r>
      <w:r w:rsidR="00BF0C17" w:rsidRPr="008A132B">
        <w:rPr>
          <w:i/>
          <w:lang w:val="en-ZA"/>
        </w:rPr>
        <w:t>(b)</w:t>
      </w:r>
      <w:r w:rsidR="00BF0C17" w:rsidRPr="008A132B">
        <w:rPr>
          <w:lang w:val="en-ZA"/>
        </w:rPr>
        <w:t xml:space="preserve"> of the </w:t>
      </w:r>
      <w:r w:rsidR="002F4534" w:rsidRPr="008A132B">
        <w:rPr>
          <w:lang w:val="en-ZA"/>
        </w:rPr>
        <w:t>U</w:t>
      </w:r>
      <w:r w:rsidR="00BF0C17" w:rsidRPr="008A132B">
        <w:rPr>
          <w:lang w:val="en-ZA"/>
        </w:rPr>
        <w:t xml:space="preserve">niform </w:t>
      </w:r>
      <w:r w:rsidR="002F4534" w:rsidRPr="008A132B">
        <w:rPr>
          <w:lang w:val="en-ZA"/>
        </w:rPr>
        <w:t>R</w:t>
      </w:r>
      <w:r w:rsidR="00BF0C17" w:rsidRPr="008A132B">
        <w:rPr>
          <w:lang w:val="en-ZA"/>
        </w:rPr>
        <w:t xml:space="preserve">ules of </w:t>
      </w:r>
      <w:r w:rsidR="002F4534" w:rsidRPr="008A132B">
        <w:rPr>
          <w:lang w:val="en-ZA"/>
        </w:rPr>
        <w:t>C</w:t>
      </w:r>
      <w:r w:rsidR="00BF0C17" w:rsidRPr="008A132B">
        <w:rPr>
          <w:lang w:val="en-ZA"/>
        </w:rPr>
        <w:t xml:space="preserve">ourt, </w:t>
      </w:r>
      <w:r w:rsidR="0037234E" w:rsidRPr="008A132B">
        <w:rPr>
          <w:lang w:val="en-ZA"/>
        </w:rPr>
        <w:t>to clarify whether she intended that mining operations could continue in the interim</w:t>
      </w:r>
      <w:r w:rsidR="002C634F" w:rsidRPr="008A132B">
        <w:rPr>
          <w:lang w:val="en-ZA"/>
        </w:rPr>
        <w:t xml:space="preserve"> pending the appeal being remitted to the Minister</w:t>
      </w:r>
      <w:r w:rsidR="0037234E" w:rsidRPr="008A132B">
        <w:rPr>
          <w:lang w:val="en-ZA"/>
        </w:rPr>
        <w:t xml:space="preserve">. </w:t>
      </w:r>
      <w:r w:rsidR="004E273A" w:rsidRPr="008A132B">
        <w:rPr>
          <w:lang w:val="en-ZA"/>
        </w:rPr>
        <w:t xml:space="preserve">An approach to Bam J would seem </w:t>
      </w:r>
      <w:r w:rsidR="002C634F" w:rsidRPr="008A132B">
        <w:rPr>
          <w:lang w:val="en-ZA"/>
        </w:rPr>
        <w:t xml:space="preserve">to be the best course of action, in the interest of justice, to </w:t>
      </w:r>
      <w:r w:rsidR="004E273A" w:rsidRPr="008A132B">
        <w:rPr>
          <w:lang w:val="en-ZA"/>
        </w:rPr>
        <w:t xml:space="preserve">remove any ambiguity and </w:t>
      </w:r>
      <w:r w:rsidR="002C634F" w:rsidRPr="008A132B">
        <w:rPr>
          <w:lang w:val="en-ZA"/>
        </w:rPr>
        <w:t>resolve the primary issue in th</w:t>
      </w:r>
      <w:r w:rsidR="004E273A" w:rsidRPr="008A132B">
        <w:rPr>
          <w:lang w:val="en-ZA"/>
        </w:rPr>
        <w:t>is</w:t>
      </w:r>
      <w:r w:rsidR="005A087F" w:rsidRPr="008A132B">
        <w:rPr>
          <w:lang w:val="en-ZA"/>
        </w:rPr>
        <w:t xml:space="preserve"> application</w:t>
      </w:r>
      <w:r w:rsidR="002C634F" w:rsidRPr="008A132B">
        <w:rPr>
          <w:lang w:val="en-ZA"/>
        </w:rPr>
        <w:t xml:space="preserve">. </w:t>
      </w:r>
      <w:r w:rsidR="004E273A" w:rsidRPr="008A132B">
        <w:rPr>
          <w:lang w:val="en-ZA"/>
        </w:rPr>
        <w:t xml:space="preserve">It would </w:t>
      </w:r>
      <w:r w:rsidR="001F5BDA">
        <w:rPr>
          <w:lang w:val="en-ZA"/>
        </w:rPr>
        <w:t xml:space="preserve">simply </w:t>
      </w:r>
      <w:r w:rsidR="004E273A" w:rsidRPr="008A132B">
        <w:rPr>
          <w:lang w:val="en-ZA"/>
        </w:rPr>
        <w:t xml:space="preserve">require a </w:t>
      </w:r>
      <w:r w:rsidR="005A087F" w:rsidRPr="008A132B">
        <w:rPr>
          <w:lang w:val="en-ZA"/>
        </w:rPr>
        <w:t xml:space="preserve">short application before Bam J. </w:t>
      </w:r>
      <w:r w:rsidR="0037234E" w:rsidRPr="008A132B">
        <w:rPr>
          <w:lang w:val="en-ZA"/>
        </w:rPr>
        <w:t xml:space="preserve">I </w:t>
      </w:r>
      <w:r w:rsidR="004E273A" w:rsidRPr="008A132B">
        <w:rPr>
          <w:lang w:val="en-ZA"/>
        </w:rPr>
        <w:t xml:space="preserve">accordingly </w:t>
      </w:r>
      <w:r w:rsidR="0037234E" w:rsidRPr="008A132B">
        <w:rPr>
          <w:lang w:val="en-ZA"/>
        </w:rPr>
        <w:t xml:space="preserve">invited the parties to consider that </w:t>
      </w:r>
      <w:r w:rsidR="005A087F" w:rsidRPr="008A132B">
        <w:rPr>
          <w:lang w:val="en-ZA"/>
        </w:rPr>
        <w:t>remedy. Regrettably, but p</w:t>
      </w:r>
      <w:r w:rsidR="0037234E" w:rsidRPr="008A132B">
        <w:rPr>
          <w:lang w:val="en-ZA"/>
        </w:rPr>
        <w:t>erhaps u</w:t>
      </w:r>
      <w:r w:rsidR="00CA6AF9" w:rsidRPr="008A132B">
        <w:rPr>
          <w:lang w:val="en-ZA"/>
        </w:rPr>
        <w:t xml:space="preserve">nsurprisingly, the applicants and Tendele </w:t>
      </w:r>
      <w:r w:rsidR="005A087F" w:rsidRPr="008A132B">
        <w:rPr>
          <w:lang w:val="en-ZA"/>
        </w:rPr>
        <w:t xml:space="preserve">each </w:t>
      </w:r>
      <w:r w:rsidR="00CA6AF9" w:rsidRPr="008A132B">
        <w:rPr>
          <w:lang w:val="en-ZA"/>
        </w:rPr>
        <w:t>advanc</w:t>
      </w:r>
      <w:r w:rsidR="005A087F" w:rsidRPr="008A132B">
        <w:rPr>
          <w:lang w:val="en-ZA"/>
        </w:rPr>
        <w:t xml:space="preserve">ed </w:t>
      </w:r>
      <w:r w:rsidR="00CA6AF9" w:rsidRPr="008A132B">
        <w:rPr>
          <w:lang w:val="en-ZA"/>
        </w:rPr>
        <w:t xml:space="preserve">their </w:t>
      </w:r>
      <w:r w:rsidR="005A087F" w:rsidRPr="008A132B">
        <w:rPr>
          <w:lang w:val="en-ZA"/>
        </w:rPr>
        <w:t xml:space="preserve">favoured </w:t>
      </w:r>
      <w:r w:rsidR="00CA6AF9" w:rsidRPr="008A132B">
        <w:rPr>
          <w:lang w:val="en-ZA"/>
        </w:rPr>
        <w:t xml:space="preserve">interpretation of </w:t>
      </w:r>
      <w:r w:rsidR="005A087F" w:rsidRPr="008A132B">
        <w:rPr>
          <w:lang w:val="en-ZA"/>
        </w:rPr>
        <w:t xml:space="preserve">what </w:t>
      </w:r>
      <w:r w:rsidR="00CA6AF9" w:rsidRPr="008A132B">
        <w:rPr>
          <w:lang w:val="en-ZA"/>
        </w:rPr>
        <w:t xml:space="preserve">the </w:t>
      </w:r>
      <w:r w:rsidR="00210EA1" w:rsidRPr="008A132B">
        <w:rPr>
          <w:lang w:val="en-ZA"/>
        </w:rPr>
        <w:t xml:space="preserve">judgment </w:t>
      </w:r>
      <w:r w:rsidR="00CA6AF9" w:rsidRPr="008A132B">
        <w:rPr>
          <w:lang w:val="en-ZA"/>
        </w:rPr>
        <w:t>meant</w:t>
      </w:r>
      <w:r w:rsidR="005A087F" w:rsidRPr="008A132B">
        <w:rPr>
          <w:lang w:val="en-ZA"/>
        </w:rPr>
        <w:t xml:space="preserve"> and </w:t>
      </w:r>
      <w:r w:rsidR="0037234E" w:rsidRPr="008A132B">
        <w:rPr>
          <w:lang w:val="en-ZA"/>
        </w:rPr>
        <w:t>denied that there was an ambiguity in the judgment</w:t>
      </w:r>
      <w:r w:rsidR="00CA6AF9" w:rsidRPr="008A132B">
        <w:rPr>
          <w:lang w:val="en-ZA"/>
        </w:rPr>
        <w:t>.</w:t>
      </w:r>
      <w:r w:rsidR="00210EA1" w:rsidRPr="008A132B">
        <w:rPr>
          <w:lang w:val="en-ZA"/>
        </w:rPr>
        <w:t xml:space="preserve"> That </w:t>
      </w:r>
      <w:r w:rsidR="005A087F" w:rsidRPr="008A132B">
        <w:rPr>
          <w:lang w:val="en-ZA"/>
        </w:rPr>
        <w:t>wa</w:t>
      </w:r>
      <w:r w:rsidR="002C634F" w:rsidRPr="008A132B">
        <w:rPr>
          <w:lang w:val="en-ZA"/>
        </w:rPr>
        <w:t xml:space="preserve">s </w:t>
      </w:r>
      <w:r w:rsidR="00210EA1" w:rsidRPr="008A132B">
        <w:rPr>
          <w:lang w:val="en-ZA"/>
        </w:rPr>
        <w:t>unfortunate.</w:t>
      </w:r>
      <w:r w:rsidR="00CA6AF9" w:rsidRPr="008A132B">
        <w:rPr>
          <w:lang w:val="en-ZA"/>
        </w:rPr>
        <w:t xml:space="preserve"> </w:t>
      </w:r>
    </w:p>
    <w:p w14:paraId="5FD4FF02" w14:textId="77777777" w:rsidR="00210EA1" w:rsidRPr="008A132B" w:rsidRDefault="00210EA1" w:rsidP="00CC12CF">
      <w:pPr>
        <w:pStyle w:val="2"/>
        <w:numPr>
          <w:ilvl w:val="0"/>
          <w:numId w:val="0"/>
        </w:numPr>
        <w:spacing w:before="0" w:line="360" w:lineRule="auto"/>
        <w:rPr>
          <w:rFonts w:cs="Arial"/>
          <w:szCs w:val="24"/>
          <w:lang w:val="en-ZA"/>
        </w:rPr>
      </w:pPr>
    </w:p>
    <w:p w14:paraId="5094C88F" w14:textId="45C01B80" w:rsidR="00CA6AF9" w:rsidRPr="008A132B" w:rsidRDefault="00210EA1" w:rsidP="00CC12CF">
      <w:pPr>
        <w:pStyle w:val="2"/>
        <w:numPr>
          <w:ilvl w:val="0"/>
          <w:numId w:val="0"/>
        </w:numPr>
        <w:spacing w:before="0" w:line="360" w:lineRule="auto"/>
        <w:rPr>
          <w:rFonts w:cs="Arial"/>
          <w:b/>
          <w:bCs/>
          <w:i/>
          <w:iCs w:val="0"/>
          <w:szCs w:val="24"/>
          <w:lang w:val="en-ZA"/>
        </w:rPr>
      </w:pPr>
      <w:r w:rsidRPr="008A132B">
        <w:rPr>
          <w:rFonts w:cs="Arial"/>
          <w:b/>
          <w:bCs/>
          <w:i/>
          <w:iCs w:val="0"/>
          <w:szCs w:val="24"/>
          <w:lang w:val="en-ZA"/>
        </w:rPr>
        <w:t xml:space="preserve">Interpreting </w:t>
      </w:r>
      <w:r w:rsidR="00AA0BDB">
        <w:rPr>
          <w:rFonts w:cs="Arial"/>
          <w:b/>
          <w:bCs/>
          <w:i/>
          <w:iCs w:val="0"/>
          <w:szCs w:val="24"/>
          <w:lang w:val="en-ZA"/>
        </w:rPr>
        <w:t>the</w:t>
      </w:r>
      <w:r w:rsidRPr="008A132B">
        <w:rPr>
          <w:rFonts w:cs="Arial"/>
          <w:b/>
          <w:bCs/>
          <w:i/>
          <w:iCs w:val="0"/>
          <w:szCs w:val="24"/>
          <w:lang w:val="en-ZA"/>
        </w:rPr>
        <w:t xml:space="preserve"> judgment</w:t>
      </w:r>
    </w:p>
    <w:p w14:paraId="029CF20F" w14:textId="6C89E955" w:rsidR="00BF0C17"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[48]</w:t>
      </w:r>
      <w:r w:rsidRPr="008A132B">
        <w:rPr>
          <w:rFonts w:cs="Arial"/>
          <w:iCs w:val="0"/>
          <w:szCs w:val="24"/>
          <w:lang w:val="en-ZA"/>
        </w:rPr>
        <w:tab/>
      </w:r>
      <w:r w:rsidR="00BF0C17" w:rsidRPr="008A132B">
        <w:rPr>
          <w:lang w:val="en-ZA"/>
        </w:rPr>
        <w:t xml:space="preserve">Courts are called upon from time to time to interpret the meaning and effect of judgments, other than </w:t>
      </w:r>
      <w:r w:rsidR="00210EA1" w:rsidRPr="008A132B">
        <w:rPr>
          <w:lang w:val="en-ZA"/>
        </w:rPr>
        <w:t xml:space="preserve">their </w:t>
      </w:r>
      <w:r w:rsidR="00BF0C17" w:rsidRPr="008A132B">
        <w:rPr>
          <w:lang w:val="en-ZA"/>
        </w:rPr>
        <w:t>own</w:t>
      </w:r>
      <w:r w:rsidR="00CA6AF9" w:rsidRPr="008A132B">
        <w:rPr>
          <w:lang w:val="en-ZA"/>
        </w:rPr>
        <w:t>, as I am now required to do</w:t>
      </w:r>
      <w:r w:rsidR="002C634F" w:rsidRPr="008A132B">
        <w:rPr>
          <w:lang w:val="en-ZA"/>
        </w:rPr>
        <w:t xml:space="preserve"> with the judgment of Bam J</w:t>
      </w:r>
      <w:r w:rsidR="00BF0C17" w:rsidRPr="008A132B">
        <w:rPr>
          <w:lang w:val="en-ZA"/>
        </w:rPr>
        <w:t xml:space="preserve">. </w:t>
      </w:r>
      <w:r w:rsidR="00407A62" w:rsidRPr="008A132B">
        <w:rPr>
          <w:lang w:val="en-ZA"/>
        </w:rPr>
        <w:t>In doing so</w:t>
      </w:r>
      <w:r w:rsidR="005A087F" w:rsidRPr="008A132B">
        <w:rPr>
          <w:lang w:val="en-ZA"/>
        </w:rPr>
        <w:t>,</w:t>
      </w:r>
      <w:r w:rsidR="00407A62" w:rsidRPr="008A132B">
        <w:rPr>
          <w:lang w:val="en-ZA"/>
        </w:rPr>
        <w:t xml:space="preserve"> it is important to keep in mind that this court is not sitting as a court of appeal on the judgment to be interpreted, </w:t>
      </w:r>
      <w:r w:rsidR="005A087F" w:rsidRPr="008A132B">
        <w:rPr>
          <w:lang w:val="en-ZA"/>
        </w:rPr>
        <w:t xml:space="preserve">determining </w:t>
      </w:r>
      <w:r w:rsidR="00407A62" w:rsidRPr="008A132B">
        <w:rPr>
          <w:lang w:val="en-ZA"/>
        </w:rPr>
        <w:t xml:space="preserve">whether it is right or wrong, </w:t>
      </w:r>
      <w:r w:rsidR="00210EA1" w:rsidRPr="008A132B">
        <w:rPr>
          <w:lang w:val="en-ZA"/>
        </w:rPr>
        <w:t>or whether this court would have granted a similar or different order</w:t>
      </w:r>
      <w:r w:rsidR="005A087F" w:rsidRPr="008A132B">
        <w:rPr>
          <w:lang w:val="en-ZA"/>
        </w:rPr>
        <w:t xml:space="preserve">. </w:t>
      </w:r>
      <w:r w:rsidR="00884328">
        <w:rPr>
          <w:lang w:val="en-ZA"/>
        </w:rPr>
        <w:t xml:space="preserve">Whether I might have granted a different order, is irrelevant. </w:t>
      </w:r>
      <w:r w:rsidR="005A087F" w:rsidRPr="008A132B">
        <w:rPr>
          <w:lang w:val="en-ZA"/>
        </w:rPr>
        <w:t xml:space="preserve">I may not </w:t>
      </w:r>
      <w:r w:rsidR="00210EA1" w:rsidRPr="008A132B">
        <w:rPr>
          <w:lang w:val="en-ZA"/>
        </w:rPr>
        <w:t>add to the judgment of Bam J</w:t>
      </w:r>
      <w:r w:rsidR="00CC2401" w:rsidRPr="008A132B">
        <w:rPr>
          <w:lang w:val="en-ZA"/>
        </w:rPr>
        <w:t xml:space="preserve">. </w:t>
      </w:r>
      <w:r w:rsidR="005A087F" w:rsidRPr="008A132B">
        <w:rPr>
          <w:lang w:val="en-ZA"/>
        </w:rPr>
        <w:t>I s</w:t>
      </w:r>
      <w:r w:rsidR="00210EA1" w:rsidRPr="008A132B">
        <w:rPr>
          <w:lang w:val="en-ZA"/>
        </w:rPr>
        <w:t xml:space="preserve">imply have </w:t>
      </w:r>
      <w:r w:rsidR="00407A62" w:rsidRPr="008A132B">
        <w:rPr>
          <w:lang w:val="en-ZA"/>
        </w:rPr>
        <w:t xml:space="preserve">to </w:t>
      </w:r>
      <w:r w:rsidR="00210EA1" w:rsidRPr="008A132B">
        <w:rPr>
          <w:lang w:val="en-ZA"/>
        </w:rPr>
        <w:t xml:space="preserve">determine </w:t>
      </w:r>
      <w:r w:rsidR="00407A62" w:rsidRPr="008A132B">
        <w:rPr>
          <w:lang w:val="en-ZA"/>
        </w:rPr>
        <w:t xml:space="preserve">what </w:t>
      </w:r>
      <w:r w:rsidR="00210EA1" w:rsidRPr="008A132B">
        <w:rPr>
          <w:lang w:val="en-ZA"/>
        </w:rPr>
        <w:t xml:space="preserve">the judgment </w:t>
      </w:r>
      <w:r w:rsidR="005A087F" w:rsidRPr="008A132B">
        <w:rPr>
          <w:lang w:val="en-ZA"/>
        </w:rPr>
        <w:t>intended to convey as the decision of the review court</w:t>
      </w:r>
      <w:r w:rsidR="00210EA1" w:rsidRPr="008A132B">
        <w:rPr>
          <w:lang w:val="en-ZA"/>
        </w:rPr>
        <w:t>.</w:t>
      </w:r>
      <w:r w:rsidR="00407A62" w:rsidRPr="008A132B">
        <w:rPr>
          <w:lang w:val="en-ZA"/>
        </w:rPr>
        <w:t xml:space="preserve"> </w:t>
      </w:r>
    </w:p>
    <w:p w14:paraId="1BE68377" w14:textId="77777777" w:rsidR="008959B2" w:rsidRPr="008A132B" w:rsidRDefault="008959B2" w:rsidP="00CC12CF">
      <w:pPr>
        <w:pStyle w:val="2"/>
        <w:numPr>
          <w:ilvl w:val="0"/>
          <w:numId w:val="0"/>
        </w:numPr>
        <w:spacing w:before="0" w:line="360" w:lineRule="auto"/>
        <w:rPr>
          <w:rFonts w:cs="Arial"/>
          <w:szCs w:val="24"/>
          <w:lang w:val="en-ZA"/>
        </w:rPr>
      </w:pPr>
    </w:p>
    <w:p w14:paraId="304BF8F4" w14:textId="0C5679C3" w:rsidR="005A087F"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[49]</w:t>
      </w:r>
      <w:r w:rsidRPr="008A132B">
        <w:rPr>
          <w:rFonts w:cs="Arial"/>
          <w:iCs w:val="0"/>
          <w:szCs w:val="24"/>
          <w:lang w:val="en-ZA"/>
        </w:rPr>
        <w:tab/>
      </w:r>
      <w:r w:rsidR="006F62BC" w:rsidRPr="008A132B">
        <w:rPr>
          <w:lang w:val="en-ZA"/>
        </w:rPr>
        <w:t xml:space="preserve">The proper approach to interpreting a judgment </w:t>
      </w:r>
      <w:r w:rsidR="00CC2401" w:rsidRPr="008A132B">
        <w:rPr>
          <w:lang w:val="en-ZA"/>
        </w:rPr>
        <w:t xml:space="preserve">requires that </w:t>
      </w:r>
      <w:r w:rsidR="005A087F" w:rsidRPr="008A132B">
        <w:rPr>
          <w:lang w:val="en-ZA"/>
        </w:rPr>
        <w:t xml:space="preserve">cognisance </w:t>
      </w:r>
      <w:r w:rsidR="00CC2401" w:rsidRPr="008A132B">
        <w:rPr>
          <w:lang w:val="en-ZA"/>
        </w:rPr>
        <w:t xml:space="preserve">be taken </w:t>
      </w:r>
      <w:r w:rsidR="005A087F" w:rsidRPr="008A132B">
        <w:rPr>
          <w:lang w:val="en-ZA"/>
        </w:rPr>
        <w:t xml:space="preserve">of inter alia </w:t>
      </w:r>
      <w:r w:rsidR="006F62BC" w:rsidRPr="008A132B">
        <w:rPr>
          <w:lang w:val="en-ZA"/>
        </w:rPr>
        <w:t>the following</w:t>
      </w:r>
      <w:r w:rsidR="005A087F" w:rsidRPr="008A132B">
        <w:rPr>
          <w:lang w:val="en-ZA"/>
        </w:rPr>
        <w:t>:</w:t>
      </w:r>
    </w:p>
    <w:p w14:paraId="784B322E" w14:textId="6472348A" w:rsidR="006F62BC" w:rsidRPr="008A132B" w:rsidRDefault="006D79CC" w:rsidP="006D79CC">
      <w:pPr>
        <w:pStyle w:val="2"/>
        <w:numPr>
          <w:ilvl w:val="0"/>
          <w:numId w:val="0"/>
        </w:numPr>
        <w:spacing w:before="0" w:line="360" w:lineRule="auto"/>
        <w:rPr>
          <w:rFonts w:cs="Arial"/>
          <w:szCs w:val="24"/>
          <w:lang w:val="en-ZA"/>
        </w:rPr>
      </w:pPr>
      <w:r w:rsidRPr="008A132B">
        <w:rPr>
          <w:szCs w:val="24"/>
          <w:lang w:val="en-ZA"/>
        </w:rPr>
        <w:t>(a)</w:t>
      </w:r>
      <w:r w:rsidRPr="008A132B">
        <w:rPr>
          <w:szCs w:val="24"/>
          <w:lang w:val="en-ZA"/>
        </w:rPr>
        <w:tab/>
      </w:r>
      <w:r w:rsidR="005A087F" w:rsidRPr="008A132B">
        <w:rPr>
          <w:lang w:val="en-ZA"/>
        </w:rPr>
        <w:t xml:space="preserve"> </w:t>
      </w:r>
      <w:r w:rsidR="006F62BC" w:rsidRPr="008A132B">
        <w:rPr>
          <w:lang w:val="en-ZA"/>
        </w:rPr>
        <w:t>C</w:t>
      </w:r>
      <w:r w:rsidR="006F62BC" w:rsidRPr="008A132B">
        <w:rPr>
          <w:rFonts w:eastAsiaTheme="minorHAnsi" w:cs="Arial"/>
          <w:szCs w:val="24"/>
          <w:lang w:val="en-ZA"/>
        </w:rPr>
        <w:t>ourt orders ‘are intended to provide effective relief and must be capable of achieving their intended purpose’</w:t>
      </w:r>
      <w:r w:rsidR="005A087F" w:rsidRPr="008A132B">
        <w:rPr>
          <w:rFonts w:eastAsiaTheme="minorHAnsi" w:cs="Arial"/>
          <w:szCs w:val="24"/>
          <w:lang w:val="en-ZA"/>
        </w:rPr>
        <w:t>:</w:t>
      </w:r>
      <w:r w:rsidR="006F62BC" w:rsidRPr="008A132B">
        <w:rPr>
          <w:rStyle w:val="FootnoteReference"/>
          <w:rFonts w:eastAsiaTheme="minorHAnsi" w:cs="Arial"/>
          <w:szCs w:val="24"/>
          <w:lang w:val="en-ZA"/>
        </w:rPr>
        <w:footnoteReference w:id="56"/>
      </w:r>
      <w:r w:rsidR="002C634F" w:rsidRPr="008A132B">
        <w:rPr>
          <w:rFonts w:cs="Arial"/>
          <w:szCs w:val="24"/>
          <w:lang w:val="en-ZA"/>
        </w:rPr>
        <w:t xml:space="preserve"> </w:t>
      </w:r>
    </w:p>
    <w:p w14:paraId="7E648719" w14:textId="18A4FF03" w:rsidR="005A087F" w:rsidRPr="008A132B" w:rsidRDefault="006F62BC" w:rsidP="002F4534">
      <w:pPr>
        <w:pStyle w:val="2"/>
        <w:numPr>
          <w:ilvl w:val="0"/>
          <w:numId w:val="0"/>
        </w:numPr>
        <w:spacing w:before="0" w:line="360" w:lineRule="auto"/>
        <w:rPr>
          <w:rFonts w:cs="Arial"/>
          <w:sz w:val="22"/>
          <w:shd w:val="clear" w:color="auto" w:fill="FFFFFF"/>
          <w:lang w:val="en-ZA" w:eastAsia="en-GB"/>
        </w:rPr>
      </w:pPr>
      <w:r w:rsidRPr="008A132B">
        <w:rPr>
          <w:rFonts w:cs="Arial"/>
          <w:i/>
          <w:iCs w:val="0"/>
          <w:szCs w:val="24"/>
          <w:lang w:val="en-ZA"/>
        </w:rPr>
        <w:t>‘</w:t>
      </w:r>
      <w:r w:rsidR="000A18C1" w:rsidRPr="008A132B">
        <w:rPr>
          <w:rFonts w:cs="Arial"/>
          <w:sz w:val="22"/>
          <w:lang w:val="en-ZA"/>
        </w:rPr>
        <w:t xml:space="preserve">The starting point is to determine the manifest purpose of the order. In interpreting a judgment or order, the court's intention is to be ascertained primarily from the language of the judgment or order in accordance with the usual, well-known rules relating to the interpretation of </w:t>
      </w:r>
      <w:r w:rsidR="000A18C1" w:rsidRPr="008A132B">
        <w:rPr>
          <w:rFonts w:cs="Arial"/>
          <w:sz w:val="22"/>
          <w:lang w:val="en-ZA"/>
        </w:rPr>
        <w:lastRenderedPageBreak/>
        <w:t>documents. As in the case of a document, the judgment or order and the court's reasons for giving it must be read as a whole in order to ascertain its intention</w:t>
      </w:r>
      <w:r w:rsidRPr="008A132B">
        <w:rPr>
          <w:rFonts w:cs="Arial"/>
          <w:sz w:val="22"/>
          <w:lang w:val="en-ZA"/>
        </w:rPr>
        <w:t>.’</w:t>
      </w:r>
      <w:r w:rsidRPr="008A132B">
        <w:rPr>
          <w:rStyle w:val="FootnoteReference"/>
          <w:rFonts w:cs="Arial"/>
          <w:sz w:val="22"/>
          <w:shd w:val="clear" w:color="auto" w:fill="FFFFFF"/>
          <w:lang w:val="en-ZA" w:eastAsia="en-GB"/>
        </w:rPr>
        <w:footnoteReference w:id="57"/>
      </w:r>
      <w:r w:rsidRPr="008A132B">
        <w:rPr>
          <w:rFonts w:cs="Arial"/>
          <w:sz w:val="22"/>
          <w:shd w:val="clear" w:color="auto" w:fill="FFFFFF"/>
          <w:lang w:val="en-ZA" w:eastAsia="en-GB"/>
        </w:rPr>
        <w:t xml:space="preserve"> </w:t>
      </w:r>
    </w:p>
    <w:p w14:paraId="3D37F49E" w14:textId="69CFD02D" w:rsidR="005A087F" w:rsidRPr="008A132B" w:rsidRDefault="006D79CC" w:rsidP="006D79CC">
      <w:pPr>
        <w:pStyle w:val="2"/>
        <w:numPr>
          <w:ilvl w:val="0"/>
          <w:numId w:val="0"/>
        </w:numPr>
        <w:spacing w:before="0" w:line="360" w:lineRule="auto"/>
        <w:rPr>
          <w:rFonts w:cs="Arial"/>
          <w:sz w:val="22"/>
          <w:shd w:val="clear" w:color="auto" w:fill="FFFFFF"/>
          <w:lang w:val="en-ZA" w:eastAsia="en-GB"/>
        </w:rPr>
      </w:pPr>
      <w:r w:rsidRPr="008A132B">
        <w:rPr>
          <w:sz w:val="22"/>
          <w:lang w:val="en-ZA" w:eastAsia="en-GB"/>
        </w:rPr>
        <w:t>(b)</w:t>
      </w:r>
      <w:r w:rsidRPr="008A132B">
        <w:rPr>
          <w:sz w:val="22"/>
          <w:lang w:val="en-ZA" w:eastAsia="en-GB"/>
        </w:rPr>
        <w:tab/>
      </w:r>
      <w:r w:rsidR="00C71C6D" w:rsidRPr="008A132B">
        <w:rPr>
          <w:lang w:val="en-ZA"/>
        </w:rPr>
        <w:t>Findings in a judgment, even if not expressly repeated or recorded in the order granted</w:t>
      </w:r>
      <w:r w:rsidR="00CA6AF9" w:rsidRPr="008A132B">
        <w:rPr>
          <w:lang w:val="en-ZA"/>
        </w:rPr>
        <w:t>,</w:t>
      </w:r>
      <w:r w:rsidR="00C71C6D" w:rsidRPr="008A132B">
        <w:rPr>
          <w:lang w:val="en-ZA"/>
        </w:rPr>
        <w:t xml:space="preserve"> must be given effect to. Bam J indeed expressly directed that the appeal was remitted back to the Minister for reconsideration ‘in accordance with </w:t>
      </w:r>
      <w:r w:rsidR="00C71C6D" w:rsidRPr="008A132B">
        <w:rPr>
          <w:i/>
          <w:lang w:val="en-ZA"/>
        </w:rPr>
        <w:t>the findings</w:t>
      </w:r>
      <w:r w:rsidR="00C71C6D" w:rsidRPr="008A132B">
        <w:rPr>
          <w:lang w:val="en-ZA"/>
        </w:rPr>
        <w:t xml:space="preserve"> of this judgment</w:t>
      </w:r>
      <w:r w:rsidR="00A57B60" w:rsidRPr="008A132B">
        <w:rPr>
          <w:lang w:val="en-ZA"/>
        </w:rPr>
        <w:t>.</w:t>
      </w:r>
      <w:r w:rsidR="00C71C6D" w:rsidRPr="008A132B">
        <w:rPr>
          <w:lang w:val="en-ZA"/>
        </w:rPr>
        <w:t>’</w:t>
      </w:r>
      <w:r w:rsidR="000A18C1" w:rsidRPr="008A132B">
        <w:rPr>
          <w:rStyle w:val="FootnoteReference"/>
          <w:lang w:val="en-ZA"/>
        </w:rPr>
        <w:footnoteReference w:id="58"/>
      </w:r>
      <w:r w:rsidR="00CA6AF9" w:rsidRPr="008A132B">
        <w:rPr>
          <w:lang w:val="en-ZA"/>
        </w:rPr>
        <w:t xml:space="preserve"> Further, </w:t>
      </w:r>
      <w:r w:rsidR="00E40C18">
        <w:rPr>
          <w:lang w:val="en-ZA"/>
        </w:rPr>
        <w:t xml:space="preserve">she directed </w:t>
      </w:r>
      <w:r w:rsidR="00C71C6D" w:rsidRPr="008A132B">
        <w:rPr>
          <w:lang w:val="en-ZA"/>
        </w:rPr>
        <w:t xml:space="preserve">that in reconsidering the appeal, the Minister had to consider the issues in paragraphs 4(a) and (b), ‘in addition to </w:t>
      </w:r>
      <w:r w:rsidR="00C71C6D" w:rsidRPr="008A132B">
        <w:rPr>
          <w:i/>
          <w:lang w:val="en-ZA"/>
        </w:rPr>
        <w:t>the findings</w:t>
      </w:r>
      <w:r w:rsidR="00C71C6D" w:rsidRPr="008A132B">
        <w:rPr>
          <w:lang w:val="en-ZA"/>
        </w:rPr>
        <w:t xml:space="preserve"> of this judgment’ (emphasis added)</w:t>
      </w:r>
      <w:r w:rsidR="00CA6AF9" w:rsidRPr="008A132B">
        <w:rPr>
          <w:lang w:val="en-ZA"/>
        </w:rPr>
        <w:t xml:space="preserve">, and </w:t>
      </w:r>
      <w:r w:rsidR="00A57B60" w:rsidRPr="008A132B">
        <w:rPr>
          <w:lang w:val="en-ZA"/>
        </w:rPr>
        <w:t xml:space="preserve">that </w:t>
      </w:r>
      <w:r w:rsidR="00CA6AF9" w:rsidRPr="008A132B">
        <w:rPr>
          <w:lang w:val="en-ZA"/>
        </w:rPr>
        <w:t>Tendele had to comply with the obligations in paragraphs 5 and 6 of her order</w:t>
      </w:r>
      <w:r w:rsidR="00C71C6D" w:rsidRPr="008A132B">
        <w:rPr>
          <w:lang w:val="en-ZA"/>
        </w:rPr>
        <w:t xml:space="preserve">. </w:t>
      </w:r>
    </w:p>
    <w:p w14:paraId="16D792AE" w14:textId="0A6BEF81" w:rsidR="00890F87" w:rsidRPr="008A132B" w:rsidRDefault="006D79CC" w:rsidP="006D79CC">
      <w:pPr>
        <w:pStyle w:val="2"/>
        <w:numPr>
          <w:ilvl w:val="0"/>
          <w:numId w:val="0"/>
        </w:numPr>
        <w:spacing w:before="0" w:line="360" w:lineRule="auto"/>
        <w:rPr>
          <w:rFonts w:cs="Arial"/>
          <w:sz w:val="22"/>
          <w:shd w:val="clear" w:color="auto" w:fill="FFFFFF"/>
          <w:lang w:val="en-ZA" w:eastAsia="en-GB"/>
        </w:rPr>
      </w:pPr>
      <w:r w:rsidRPr="008A132B">
        <w:rPr>
          <w:sz w:val="22"/>
          <w:lang w:val="en-ZA" w:eastAsia="en-GB"/>
        </w:rPr>
        <w:t>(c)</w:t>
      </w:r>
      <w:r w:rsidRPr="008A132B">
        <w:rPr>
          <w:sz w:val="22"/>
          <w:lang w:val="en-ZA" w:eastAsia="en-GB"/>
        </w:rPr>
        <w:tab/>
      </w:r>
      <w:r w:rsidR="006F62BC" w:rsidRPr="008A132B">
        <w:rPr>
          <w:lang w:val="en-ZA"/>
        </w:rPr>
        <w:t xml:space="preserve">A judgment must be interpreted in its entirety and in the context in which it was given </w:t>
      </w:r>
      <w:r w:rsidR="006F62BC" w:rsidRPr="008A132B">
        <w:rPr>
          <w:rFonts w:eastAsia="Arial"/>
          <w:lang w:val="en-ZA"/>
        </w:rPr>
        <w:t xml:space="preserve">with reference to the </w:t>
      </w:r>
      <w:r w:rsidR="000030DC" w:rsidRPr="008A132B">
        <w:rPr>
          <w:rFonts w:eastAsia="Arial"/>
          <w:lang w:val="en-ZA"/>
        </w:rPr>
        <w:t>‘</w:t>
      </w:r>
      <w:r w:rsidR="006F62BC" w:rsidRPr="008A132B">
        <w:rPr>
          <w:rFonts w:eastAsia="Arial"/>
          <w:lang w:val="en-ZA"/>
        </w:rPr>
        <w:t>relevant background facts which culminated in it being made</w:t>
      </w:r>
      <w:r w:rsidR="000030DC" w:rsidRPr="008A132B">
        <w:rPr>
          <w:rFonts w:eastAsia="Arial"/>
          <w:lang w:val="en-ZA"/>
        </w:rPr>
        <w:t>’</w:t>
      </w:r>
      <w:r w:rsidR="006F62BC" w:rsidRPr="008A132B">
        <w:rPr>
          <w:rFonts w:eastAsia="Arial"/>
          <w:lang w:val="en-ZA"/>
        </w:rPr>
        <w:t>.</w:t>
      </w:r>
      <w:r w:rsidR="006F62BC" w:rsidRPr="008A132B">
        <w:rPr>
          <w:rFonts w:eastAsia="Arial"/>
          <w:vertAlign w:val="superscript"/>
          <w:lang w:val="en-ZA"/>
        </w:rPr>
        <w:footnoteReference w:id="59"/>
      </w:r>
      <w:r w:rsidR="006F62BC" w:rsidRPr="008A132B">
        <w:rPr>
          <w:rFonts w:eastAsia="Arial"/>
          <w:vertAlign w:val="superscript"/>
          <w:lang w:val="en-ZA"/>
        </w:rPr>
        <w:t xml:space="preserve"> </w:t>
      </w:r>
      <w:bookmarkStart w:id="2" w:name="_heading=h.35nkun2" w:colFirst="0" w:colLast="0"/>
      <w:bookmarkEnd w:id="2"/>
      <w:r w:rsidR="006F62BC" w:rsidRPr="008A132B">
        <w:rPr>
          <w:rFonts w:eastAsia="Arial"/>
          <w:lang w:val="en-ZA"/>
        </w:rPr>
        <w:t>The order granted is merely the executive part of the judgment</w:t>
      </w:r>
      <w:r w:rsidR="00890F87" w:rsidRPr="008A132B">
        <w:rPr>
          <w:rFonts w:eastAsia="Arial"/>
          <w:lang w:val="en-ZA"/>
        </w:rPr>
        <w:t xml:space="preserve"> and </w:t>
      </w:r>
      <w:r w:rsidR="00CA6AF9" w:rsidRPr="008A132B">
        <w:rPr>
          <w:rFonts w:eastAsia="Arial"/>
          <w:lang w:val="en-ZA"/>
        </w:rPr>
        <w:t>should not be interpreted in isolation</w:t>
      </w:r>
      <w:r w:rsidR="00E40C18">
        <w:rPr>
          <w:rFonts w:eastAsia="Arial"/>
          <w:lang w:val="en-ZA"/>
        </w:rPr>
        <w:t>,</w:t>
      </w:r>
      <w:r w:rsidR="00CA6AF9" w:rsidRPr="008A132B">
        <w:rPr>
          <w:rFonts w:eastAsia="Arial"/>
          <w:lang w:val="en-ZA"/>
        </w:rPr>
        <w:t xml:space="preserve"> but </w:t>
      </w:r>
      <w:r w:rsidR="006F62BC" w:rsidRPr="008A132B">
        <w:rPr>
          <w:rFonts w:eastAsia="Arial"/>
          <w:lang w:val="en-ZA"/>
        </w:rPr>
        <w:t>in the context of the judgment as a whole.</w:t>
      </w:r>
      <w:r w:rsidR="006F62BC" w:rsidRPr="008A132B">
        <w:rPr>
          <w:rFonts w:eastAsia="Arial"/>
          <w:vertAlign w:val="superscript"/>
          <w:lang w:val="en-ZA"/>
        </w:rPr>
        <w:footnoteReference w:id="60"/>
      </w:r>
      <w:bookmarkStart w:id="3" w:name="_heading=h.2et92p0" w:colFirst="0" w:colLast="0"/>
      <w:bookmarkEnd w:id="3"/>
    </w:p>
    <w:p w14:paraId="67C8A9C0" w14:textId="01ADFA67" w:rsidR="006F62BC" w:rsidRPr="008A132B" w:rsidRDefault="006D79CC" w:rsidP="006D79CC">
      <w:pPr>
        <w:pStyle w:val="2"/>
        <w:numPr>
          <w:ilvl w:val="0"/>
          <w:numId w:val="0"/>
        </w:numPr>
        <w:spacing w:before="0" w:line="360" w:lineRule="auto"/>
        <w:rPr>
          <w:rFonts w:cs="Arial"/>
          <w:sz w:val="22"/>
          <w:shd w:val="clear" w:color="auto" w:fill="FFFFFF"/>
          <w:lang w:val="en-ZA" w:eastAsia="en-GB"/>
        </w:rPr>
      </w:pPr>
      <w:r w:rsidRPr="008A132B">
        <w:rPr>
          <w:sz w:val="22"/>
          <w:lang w:val="en-ZA" w:eastAsia="en-GB"/>
        </w:rPr>
        <w:t>(d)</w:t>
      </w:r>
      <w:r w:rsidRPr="008A132B">
        <w:rPr>
          <w:sz w:val="22"/>
          <w:lang w:val="en-ZA" w:eastAsia="en-GB"/>
        </w:rPr>
        <w:tab/>
      </w:r>
      <w:r w:rsidR="006F62BC" w:rsidRPr="008A132B">
        <w:rPr>
          <w:rFonts w:eastAsia="Arial"/>
          <w:lang w:val="en-ZA"/>
        </w:rPr>
        <w:t>Accordingly, ‘one should not stare blindly at the black-on-white words but try to establish the meaning and implication of what is being said. It is in this process that the context and surrounding circumstances are relevant.’</w:t>
      </w:r>
      <w:r w:rsidR="006F62BC" w:rsidRPr="008A132B">
        <w:rPr>
          <w:rFonts w:eastAsia="Arial"/>
          <w:vertAlign w:val="superscript"/>
          <w:lang w:val="en-ZA"/>
        </w:rPr>
        <w:footnoteReference w:id="61"/>
      </w:r>
      <w:r w:rsidR="006F62BC" w:rsidRPr="008A132B">
        <w:rPr>
          <w:rFonts w:eastAsia="Arial"/>
          <w:lang w:val="en-ZA"/>
        </w:rPr>
        <w:t xml:space="preserve">  </w:t>
      </w:r>
    </w:p>
    <w:p w14:paraId="7A49498A" w14:textId="77777777" w:rsidR="005A087F" w:rsidRPr="008A132B" w:rsidRDefault="005A087F" w:rsidP="00CC12CF">
      <w:pPr>
        <w:spacing w:line="360" w:lineRule="auto"/>
        <w:jc w:val="both"/>
      </w:pPr>
    </w:p>
    <w:p w14:paraId="29059F1C" w14:textId="610E6E65" w:rsidR="006F62BC" w:rsidRPr="008A132B" w:rsidRDefault="006D79CC" w:rsidP="006D79CC">
      <w:pPr>
        <w:spacing w:line="360" w:lineRule="auto"/>
        <w:jc w:val="both"/>
      </w:pPr>
      <w:r w:rsidRPr="008A132B">
        <w:rPr>
          <w:szCs w:val="24"/>
        </w:rPr>
        <w:lastRenderedPageBreak/>
        <w:t>[50]</w:t>
      </w:r>
      <w:r w:rsidRPr="008A132B">
        <w:rPr>
          <w:szCs w:val="24"/>
        </w:rPr>
        <w:tab/>
      </w:r>
      <w:r w:rsidR="006F62BC" w:rsidRPr="008A132B">
        <w:t xml:space="preserve">Bam J made various findings </w:t>
      </w:r>
      <w:r w:rsidR="007C1F83">
        <w:t>in</w:t>
      </w:r>
      <w:r w:rsidR="006F62BC" w:rsidRPr="008A132B">
        <w:t xml:space="preserve"> her judgment. Some of these have </w:t>
      </w:r>
      <w:r w:rsidR="0057782A" w:rsidRPr="008A132B">
        <w:t xml:space="preserve">already </w:t>
      </w:r>
      <w:r w:rsidR="006F62BC" w:rsidRPr="008A132B">
        <w:t xml:space="preserve">been alluded </w:t>
      </w:r>
      <w:r w:rsidR="00890F87" w:rsidRPr="008A132B">
        <w:t xml:space="preserve">to </w:t>
      </w:r>
      <w:r w:rsidR="0057782A" w:rsidRPr="008A132B">
        <w:t>earlier in this judgment.</w:t>
      </w:r>
      <w:r w:rsidR="006F62BC" w:rsidRPr="008A132B">
        <w:rPr>
          <w:rStyle w:val="FootnoteReference"/>
        </w:rPr>
        <w:footnoteReference w:id="62"/>
      </w:r>
      <w:r w:rsidR="006F62BC" w:rsidRPr="008A132B">
        <w:t xml:space="preserve"> Briefly restated: </w:t>
      </w:r>
    </w:p>
    <w:p w14:paraId="57B5AF77" w14:textId="5C9F29AB" w:rsidR="006F62BC" w:rsidRPr="008A132B" w:rsidRDefault="006D79CC" w:rsidP="006D79CC">
      <w:pPr>
        <w:pBdr>
          <w:top w:val="nil"/>
          <w:left w:val="nil"/>
          <w:bottom w:val="nil"/>
          <w:right w:val="nil"/>
          <w:between w:val="nil"/>
        </w:pBdr>
        <w:spacing w:line="360" w:lineRule="auto"/>
        <w:jc w:val="both"/>
      </w:pPr>
      <w:r w:rsidRPr="008A132B">
        <w:rPr>
          <w:rFonts w:eastAsia="Arial"/>
          <w:color w:val="000000"/>
        </w:rPr>
        <w:t>(a)</w:t>
      </w:r>
      <w:r w:rsidRPr="008A132B">
        <w:rPr>
          <w:rFonts w:eastAsia="Arial"/>
          <w:color w:val="000000"/>
        </w:rPr>
        <w:tab/>
      </w:r>
      <w:r w:rsidR="006F62BC" w:rsidRPr="006D79CC">
        <w:rPr>
          <w:rFonts w:eastAsia="Arial"/>
          <w:color w:val="000000"/>
        </w:rPr>
        <w:t>She found that ‘the wheels came off’ during the scoping phase ‘when the regional manager of DMR, KwaZulu-Natal (RM), allowed Tendele’s consultants, GCS, to dictate to him how Tendele intended to carry out the exercise that would lead to the Scoping Report instead of insisting on compliance with the law’</w:t>
      </w:r>
      <w:r w:rsidR="006F62BC" w:rsidRPr="008A132B">
        <w:rPr>
          <w:vertAlign w:val="superscript"/>
        </w:rPr>
        <w:footnoteReference w:id="63"/>
      </w:r>
      <w:r w:rsidR="006F62BC" w:rsidRPr="006D79CC">
        <w:rPr>
          <w:rFonts w:eastAsia="Arial"/>
          <w:color w:val="000000"/>
        </w:rPr>
        <w:t xml:space="preserve"> </w:t>
      </w:r>
      <w:bookmarkStart w:id="4" w:name="_heading=h.44sinio" w:colFirst="0" w:colLast="0"/>
      <w:bookmarkEnd w:id="4"/>
      <w:r w:rsidR="006F62BC" w:rsidRPr="006D79CC">
        <w:rPr>
          <w:rFonts w:eastAsia="Arial"/>
          <w:color w:val="000000"/>
        </w:rPr>
        <w:t xml:space="preserve">describing ‘Tendele’s attempts to justify their exclusion of groups </w:t>
      </w:r>
      <w:r w:rsidR="00F34786" w:rsidRPr="006D79CC">
        <w:rPr>
          <w:rFonts w:eastAsia="Arial"/>
          <w:color w:val="000000"/>
        </w:rPr>
        <w:t xml:space="preserve">[as] </w:t>
      </w:r>
      <w:r w:rsidR="006F62BC" w:rsidRPr="006D79CC">
        <w:rPr>
          <w:rFonts w:eastAsia="Arial"/>
          <w:color w:val="000000"/>
        </w:rPr>
        <w:t>nothing short of egregious.’</w:t>
      </w:r>
      <w:r w:rsidR="006F62BC" w:rsidRPr="008A132B">
        <w:rPr>
          <w:vertAlign w:val="superscript"/>
        </w:rPr>
        <w:footnoteReference w:id="64"/>
      </w:r>
      <w:r w:rsidR="006F62BC" w:rsidRPr="006D79CC">
        <w:rPr>
          <w:rFonts w:eastAsia="Arial"/>
          <w:color w:val="000000"/>
        </w:rPr>
        <w:t xml:space="preserve"> </w:t>
      </w:r>
    </w:p>
    <w:p w14:paraId="70194E35" w14:textId="67171D3A" w:rsidR="006F62BC" w:rsidRPr="008A132B" w:rsidRDefault="006D79CC" w:rsidP="006D79CC">
      <w:pPr>
        <w:pBdr>
          <w:top w:val="nil"/>
          <w:left w:val="nil"/>
          <w:bottom w:val="nil"/>
          <w:right w:val="nil"/>
          <w:between w:val="nil"/>
        </w:pBdr>
        <w:spacing w:line="360" w:lineRule="auto"/>
        <w:jc w:val="both"/>
      </w:pPr>
      <w:r w:rsidRPr="008A132B">
        <w:rPr>
          <w:rFonts w:eastAsia="Arial"/>
          <w:color w:val="000000"/>
        </w:rPr>
        <w:t>(b)</w:t>
      </w:r>
      <w:r w:rsidRPr="008A132B">
        <w:rPr>
          <w:rFonts w:eastAsia="Arial"/>
          <w:color w:val="000000"/>
        </w:rPr>
        <w:tab/>
      </w:r>
      <w:r w:rsidR="006F62BC" w:rsidRPr="006D79CC">
        <w:rPr>
          <w:rFonts w:eastAsia="Arial"/>
          <w:color w:val="000000"/>
        </w:rPr>
        <w:t xml:space="preserve">In respect of the </w:t>
      </w:r>
      <w:r w:rsidR="00130407" w:rsidRPr="006D79CC">
        <w:rPr>
          <w:rFonts w:eastAsia="Arial"/>
          <w:color w:val="000000"/>
        </w:rPr>
        <w:t>scoping</w:t>
      </w:r>
      <w:r w:rsidR="006F62BC" w:rsidRPr="006D79CC">
        <w:rPr>
          <w:rFonts w:eastAsia="Arial"/>
          <w:color w:val="000000"/>
        </w:rPr>
        <w:t xml:space="preserve">/EIA requirements she concluded that these failed to meet the demands of legislation, describing the ‘[t]he attitude displayed by Tendele during the scoping phase of its application process </w:t>
      </w:r>
      <w:r w:rsidR="00130407" w:rsidRPr="006D79CC">
        <w:rPr>
          <w:rFonts w:eastAsia="Arial"/>
          <w:color w:val="000000"/>
        </w:rPr>
        <w:t>[</w:t>
      </w:r>
      <w:r w:rsidR="006F62BC" w:rsidRPr="006D79CC">
        <w:rPr>
          <w:rFonts w:eastAsia="Arial"/>
          <w:color w:val="000000"/>
        </w:rPr>
        <w:t>as</w:t>
      </w:r>
      <w:r w:rsidR="00130407" w:rsidRPr="006D79CC">
        <w:rPr>
          <w:rFonts w:eastAsia="Arial"/>
          <w:color w:val="000000"/>
        </w:rPr>
        <w:t>]</w:t>
      </w:r>
      <w:r w:rsidR="006F62BC" w:rsidRPr="006D79CC">
        <w:rPr>
          <w:rFonts w:eastAsia="Arial"/>
          <w:color w:val="000000"/>
        </w:rPr>
        <w:t xml:space="preserve"> offensive. It portrays Tendele as an “unbridled horse” that showed little or no regard for the law.’</w:t>
      </w:r>
      <w:r w:rsidR="006F62BC" w:rsidRPr="008A132B">
        <w:rPr>
          <w:vertAlign w:val="superscript"/>
        </w:rPr>
        <w:footnoteReference w:id="65"/>
      </w:r>
      <w:r w:rsidR="006F62BC" w:rsidRPr="006D79CC">
        <w:rPr>
          <w:rFonts w:eastAsia="Arial"/>
          <w:color w:val="000000"/>
          <w:vertAlign w:val="superscript"/>
        </w:rPr>
        <w:t xml:space="preserve"> </w:t>
      </w:r>
    </w:p>
    <w:p w14:paraId="71605F20" w14:textId="37B43AB4" w:rsidR="00884328" w:rsidRPr="00884328" w:rsidRDefault="006D79CC" w:rsidP="006D79CC">
      <w:pPr>
        <w:pBdr>
          <w:top w:val="nil"/>
          <w:left w:val="nil"/>
          <w:bottom w:val="nil"/>
          <w:right w:val="nil"/>
          <w:between w:val="nil"/>
        </w:pBdr>
        <w:spacing w:line="360" w:lineRule="auto"/>
        <w:jc w:val="both"/>
      </w:pPr>
      <w:r w:rsidRPr="00884328">
        <w:rPr>
          <w:rFonts w:eastAsia="Arial"/>
          <w:color w:val="000000"/>
        </w:rPr>
        <w:t>(c)</w:t>
      </w:r>
      <w:r w:rsidRPr="00884328">
        <w:rPr>
          <w:rFonts w:eastAsia="Arial"/>
          <w:color w:val="000000"/>
        </w:rPr>
        <w:tab/>
      </w:r>
      <w:r w:rsidR="006F62BC" w:rsidRPr="008A132B">
        <w:t xml:space="preserve">Regarding the lack of compliance with the provisions of IPILRA she </w:t>
      </w:r>
      <w:r w:rsidR="006F62BC" w:rsidRPr="006D79CC">
        <w:rPr>
          <w:rFonts w:eastAsia="Arial"/>
          <w:color w:val="000000"/>
        </w:rPr>
        <w:t xml:space="preserve">found that: Tendele’s interpretation epitomises the ‘blinkered peering at an isolated provision in a statute’ which the court warned </w:t>
      </w:r>
      <w:r w:rsidR="00130407" w:rsidRPr="006D79CC">
        <w:rPr>
          <w:rFonts w:eastAsia="Arial"/>
          <w:color w:val="000000"/>
        </w:rPr>
        <w:t>‘</w:t>
      </w:r>
      <w:r w:rsidR="006F62BC" w:rsidRPr="006D79CC">
        <w:rPr>
          <w:rFonts w:eastAsia="Arial"/>
          <w:color w:val="000000"/>
        </w:rPr>
        <w:t xml:space="preserve">against in </w:t>
      </w:r>
      <w:r w:rsidR="006F62BC" w:rsidRPr="006D79CC">
        <w:rPr>
          <w:rFonts w:eastAsia="Arial"/>
          <w:i/>
          <w:color w:val="000000"/>
        </w:rPr>
        <w:t>Scribante</w:t>
      </w:r>
      <w:r w:rsidR="006F62BC" w:rsidRPr="006D79CC">
        <w:rPr>
          <w:rFonts w:eastAsia="Arial"/>
          <w:color w:val="000000"/>
        </w:rPr>
        <w:t>, as opposed to reading the statute purposively</w:t>
      </w:r>
      <w:r w:rsidR="00130407" w:rsidRPr="006D79CC">
        <w:rPr>
          <w:rFonts w:eastAsia="Arial"/>
          <w:color w:val="000000"/>
        </w:rPr>
        <w:t>’</w:t>
      </w:r>
      <w:r w:rsidR="006F62BC" w:rsidRPr="006D79CC">
        <w:rPr>
          <w:rFonts w:eastAsia="Arial"/>
          <w:color w:val="000000"/>
        </w:rPr>
        <w:t xml:space="preserve">; and that ‘Tendele’s ‘interpretation waters down, if not renders nugatory, the protection offered by IPILRA to shield the informal rights holders.’ Such interpretation she said, </w:t>
      </w:r>
      <w:r w:rsidR="00130407" w:rsidRPr="006D79CC">
        <w:rPr>
          <w:rFonts w:eastAsia="Arial"/>
          <w:color w:val="000000"/>
        </w:rPr>
        <w:t>‘</w:t>
      </w:r>
      <w:r w:rsidR="006F62BC" w:rsidRPr="006D79CC">
        <w:rPr>
          <w:rFonts w:eastAsia="Arial"/>
          <w:color w:val="000000"/>
        </w:rPr>
        <w:t>cannot be allowed</w:t>
      </w:r>
      <w:r w:rsidR="00130407" w:rsidRPr="006D79CC">
        <w:rPr>
          <w:rFonts w:eastAsia="Arial"/>
          <w:color w:val="000000"/>
        </w:rPr>
        <w:t>’</w:t>
      </w:r>
      <w:r w:rsidR="00C71C6D" w:rsidRPr="006D79CC">
        <w:rPr>
          <w:rFonts w:eastAsia="Arial"/>
          <w:color w:val="000000"/>
        </w:rPr>
        <w:t>:</w:t>
      </w:r>
      <w:r w:rsidR="00130407" w:rsidRPr="008A132B">
        <w:rPr>
          <w:vertAlign w:val="superscript"/>
        </w:rPr>
        <w:footnoteReference w:id="66"/>
      </w:r>
      <w:r w:rsidR="00C71C6D" w:rsidRPr="006D79CC">
        <w:rPr>
          <w:rFonts w:eastAsia="Arial"/>
          <w:color w:val="000000"/>
        </w:rPr>
        <w:t xml:space="preserve"> that</w:t>
      </w:r>
      <w:r w:rsidR="006F62BC" w:rsidRPr="006D79CC">
        <w:rPr>
          <w:rFonts w:eastAsia="Arial"/>
          <w:color w:val="000000"/>
        </w:rPr>
        <w:t xml:space="preserve"> there was </w:t>
      </w:r>
      <w:r w:rsidR="0023160A" w:rsidRPr="006D79CC">
        <w:rPr>
          <w:rFonts w:eastAsia="Arial"/>
          <w:color w:val="000000"/>
        </w:rPr>
        <w:t>‘</w:t>
      </w:r>
      <w:r w:rsidR="006F62BC" w:rsidRPr="006D79CC">
        <w:rPr>
          <w:rFonts w:eastAsia="Arial"/>
          <w:color w:val="000000"/>
        </w:rPr>
        <w:t>no evidenc</w:t>
      </w:r>
      <w:r w:rsidR="00C71C6D" w:rsidRPr="006D79CC">
        <w:rPr>
          <w:rFonts w:eastAsia="Arial"/>
          <w:color w:val="000000"/>
        </w:rPr>
        <w:t>e</w:t>
      </w:r>
      <w:r w:rsidR="006F62BC" w:rsidRPr="006D79CC">
        <w:rPr>
          <w:rFonts w:eastAsia="Arial"/>
          <w:color w:val="000000"/>
        </w:rPr>
        <w:t xml:space="preserve"> </w:t>
      </w:r>
      <w:r w:rsidR="0023160A" w:rsidRPr="006D79CC">
        <w:rPr>
          <w:rFonts w:eastAsia="Arial"/>
          <w:color w:val="000000"/>
        </w:rPr>
        <w:t xml:space="preserve">to support </w:t>
      </w:r>
      <w:r w:rsidR="006F62BC" w:rsidRPr="006D79CC">
        <w:rPr>
          <w:rFonts w:eastAsia="Arial"/>
          <w:color w:val="000000"/>
        </w:rPr>
        <w:t xml:space="preserve">that the </w:t>
      </w:r>
      <w:r w:rsidR="0023160A" w:rsidRPr="006D79CC">
        <w:rPr>
          <w:rFonts w:eastAsia="Arial"/>
          <w:color w:val="000000"/>
        </w:rPr>
        <w:t>a</w:t>
      </w:r>
      <w:r w:rsidR="006F62BC" w:rsidRPr="006D79CC">
        <w:rPr>
          <w:rFonts w:eastAsia="Arial"/>
          <w:color w:val="000000"/>
        </w:rPr>
        <w:t>pplicants were lawfully deprived of their informal rights in terms of IPILRA’;</w:t>
      </w:r>
      <w:r w:rsidR="0023160A" w:rsidRPr="008A132B">
        <w:rPr>
          <w:rStyle w:val="FootnoteReference"/>
          <w:rFonts w:eastAsia="Arial"/>
          <w:color w:val="000000"/>
        </w:rPr>
        <w:footnoteReference w:id="67"/>
      </w:r>
      <w:r w:rsidR="006F62BC" w:rsidRPr="006D79CC">
        <w:rPr>
          <w:rFonts w:eastAsia="Arial"/>
          <w:color w:val="000000"/>
        </w:rPr>
        <w:t xml:space="preserve"> and ‘[i]n all, Tendele did not obtain consent as envisaged in section 2 of IPILRA</w:t>
      </w:r>
      <w:r w:rsidR="0023160A" w:rsidRPr="006D79CC">
        <w:rPr>
          <w:rFonts w:eastAsia="Arial"/>
          <w:color w:val="000000"/>
        </w:rPr>
        <w:t>’</w:t>
      </w:r>
      <w:r w:rsidR="006F62BC" w:rsidRPr="006D79CC">
        <w:rPr>
          <w:rFonts w:eastAsia="Arial"/>
          <w:color w:val="000000"/>
        </w:rPr>
        <w:t xml:space="preserve"> and the </w:t>
      </w:r>
      <w:r w:rsidR="0023160A" w:rsidRPr="006D79CC">
        <w:rPr>
          <w:rFonts w:eastAsia="Arial"/>
          <w:color w:val="000000"/>
        </w:rPr>
        <w:t>applicants ‘</w:t>
      </w:r>
      <w:r w:rsidR="006F62BC" w:rsidRPr="006D79CC">
        <w:rPr>
          <w:rFonts w:eastAsia="Arial"/>
          <w:color w:val="000000"/>
        </w:rPr>
        <w:t>ground therefore succeeds.’</w:t>
      </w:r>
      <w:r w:rsidR="0023160A" w:rsidRPr="008A132B">
        <w:rPr>
          <w:rStyle w:val="FootnoteReference"/>
          <w:rFonts w:eastAsia="Arial"/>
          <w:color w:val="000000"/>
        </w:rPr>
        <w:footnoteReference w:id="68"/>
      </w:r>
      <w:r w:rsidR="006F62BC" w:rsidRPr="006D79CC">
        <w:rPr>
          <w:rFonts w:eastAsia="Arial"/>
          <w:color w:val="000000"/>
        </w:rPr>
        <w:t xml:space="preserve"> </w:t>
      </w:r>
    </w:p>
    <w:p w14:paraId="0C9DAE48" w14:textId="77777777" w:rsidR="00884328" w:rsidRPr="008A132B" w:rsidRDefault="00884328" w:rsidP="00884328">
      <w:pPr>
        <w:pStyle w:val="ListParagraph"/>
        <w:pBdr>
          <w:top w:val="nil"/>
          <w:left w:val="nil"/>
          <w:bottom w:val="nil"/>
          <w:right w:val="nil"/>
          <w:between w:val="nil"/>
        </w:pBdr>
        <w:spacing w:line="360" w:lineRule="auto"/>
        <w:ind w:left="0"/>
        <w:jc w:val="both"/>
      </w:pPr>
    </w:p>
    <w:p w14:paraId="364FAC05" w14:textId="59E4F1AB" w:rsidR="00BF0C17" w:rsidRPr="00FA7729" w:rsidRDefault="00BF0C17" w:rsidP="00CC12CF">
      <w:pPr>
        <w:pStyle w:val="2"/>
        <w:numPr>
          <w:ilvl w:val="0"/>
          <w:numId w:val="0"/>
        </w:numPr>
        <w:spacing w:before="0" w:line="360" w:lineRule="auto"/>
        <w:rPr>
          <w:rFonts w:cs="Arial"/>
          <w:b/>
          <w:bCs/>
          <w:i/>
          <w:szCs w:val="24"/>
          <w:lang w:val="en-ZA"/>
        </w:rPr>
      </w:pPr>
      <w:r w:rsidRPr="00FA7729">
        <w:rPr>
          <w:rFonts w:cs="Arial"/>
          <w:b/>
          <w:bCs/>
          <w:i/>
          <w:szCs w:val="24"/>
          <w:lang w:val="en-ZA"/>
        </w:rPr>
        <w:t>D</w:t>
      </w:r>
      <w:r w:rsidR="005E3D79" w:rsidRPr="00FA7729">
        <w:rPr>
          <w:rFonts w:cs="Arial"/>
          <w:b/>
          <w:bCs/>
          <w:i/>
          <w:szCs w:val="24"/>
          <w:lang w:val="en-ZA"/>
        </w:rPr>
        <w:t>i</w:t>
      </w:r>
      <w:r w:rsidRPr="00FA7729">
        <w:rPr>
          <w:rFonts w:cs="Arial"/>
          <w:b/>
          <w:bCs/>
          <w:i/>
          <w:szCs w:val="24"/>
          <w:lang w:val="en-ZA"/>
        </w:rPr>
        <w:t>scussion</w:t>
      </w:r>
    </w:p>
    <w:p w14:paraId="516DC9A1" w14:textId="166DF51C" w:rsidR="003E14A9" w:rsidRPr="008A132B" w:rsidRDefault="006D79CC" w:rsidP="006D79CC">
      <w:pPr>
        <w:spacing w:line="360" w:lineRule="auto"/>
        <w:jc w:val="both"/>
      </w:pPr>
      <w:r w:rsidRPr="008A132B">
        <w:rPr>
          <w:szCs w:val="24"/>
        </w:rPr>
        <w:t>[51]</w:t>
      </w:r>
      <w:r w:rsidRPr="008A132B">
        <w:rPr>
          <w:szCs w:val="24"/>
        </w:rPr>
        <w:tab/>
      </w:r>
      <w:r w:rsidR="00890F87" w:rsidRPr="008A132B">
        <w:t>The judgment remitted the appeal to the Minister for reconsideration</w:t>
      </w:r>
      <w:r w:rsidR="00CC6968">
        <w:t>.</w:t>
      </w:r>
      <w:r w:rsidR="0023160A" w:rsidRPr="008A132B">
        <w:rPr>
          <w:rStyle w:val="FootnoteReference"/>
        </w:rPr>
        <w:footnoteReference w:id="69"/>
      </w:r>
      <w:r w:rsidR="00890F87" w:rsidRPr="008A132B">
        <w:t xml:space="preserve"> </w:t>
      </w:r>
      <w:r w:rsidR="00CC6968">
        <w:t xml:space="preserve">It </w:t>
      </w:r>
      <w:r w:rsidR="00890F87" w:rsidRPr="008A132B">
        <w:t xml:space="preserve">required Tendele to </w:t>
      </w:r>
      <w:r w:rsidR="003E14A9" w:rsidRPr="008A132B">
        <w:t>‘</w:t>
      </w:r>
      <w:r w:rsidR="00890F87" w:rsidRPr="008A132B">
        <w:t>notify interested and affected parties of their entitlement to participate in the appeal process</w:t>
      </w:r>
      <w:r w:rsidR="003E14A9" w:rsidRPr="008A132B">
        <w:t>’</w:t>
      </w:r>
      <w:r w:rsidR="00890F87" w:rsidRPr="008A132B">
        <w:t>,</w:t>
      </w:r>
      <w:r w:rsidR="003E14A9" w:rsidRPr="008A132B">
        <w:rPr>
          <w:rStyle w:val="FootnoteReference"/>
        </w:rPr>
        <w:footnoteReference w:id="70"/>
      </w:r>
      <w:r w:rsidR="00890F87" w:rsidRPr="008A132B">
        <w:t xml:space="preserve"> and required </w:t>
      </w:r>
      <w:r w:rsidR="00884328">
        <w:t xml:space="preserve">that </w:t>
      </w:r>
      <w:r w:rsidR="00890F87" w:rsidRPr="008A132B">
        <w:t>Tendele</w:t>
      </w:r>
      <w:r w:rsidR="00CC6968">
        <w:t>:</w:t>
      </w:r>
      <w:r w:rsidR="00890F87" w:rsidRPr="008A132B">
        <w:t xml:space="preserve"> </w:t>
      </w:r>
    </w:p>
    <w:p w14:paraId="58E3F55A" w14:textId="74C8CDFC" w:rsidR="003E14A9" w:rsidRPr="008A132B" w:rsidRDefault="003E14A9" w:rsidP="003E14A9">
      <w:pPr>
        <w:spacing w:line="360" w:lineRule="auto"/>
        <w:jc w:val="both"/>
      </w:pPr>
      <w:r w:rsidRPr="008A132B">
        <w:rPr>
          <w:sz w:val="22"/>
        </w:rPr>
        <w:t xml:space="preserve">‘ensure that public participation process to be conducted pursuant to the Minister’s determination of the appeal process, complies with the requirements of (a) Public Participation </w:t>
      </w:r>
      <w:r w:rsidRPr="008A132B">
        <w:rPr>
          <w:sz w:val="22"/>
        </w:rPr>
        <w:lastRenderedPageBreak/>
        <w:t>Guidelines in terms of the National Environmental Act, 1998 and (b) Chapter 6 of the Environmental Impact Assessment Regulations, 2014’</w:t>
      </w:r>
      <w:r w:rsidR="00890F87" w:rsidRPr="008A132B">
        <w:rPr>
          <w:sz w:val="22"/>
        </w:rPr>
        <w:t>.</w:t>
      </w:r>
      <w:r w:rsidRPr="008A132B">
        <w:rPr>
          <w:rStyle w:val="FootnoteReference"/>
          <w:sz w:val="22"/>
        </w:rPr>
        <w:footnoteReference w:id="71"/>
      </w:r>
      <w:r w:rsidR="00890F87" w:rsidRPr="008A132B">
        <w:t xml:space="preserve"> </w:t>
      </w:r>
    </w:p>
    <w:p w14:paraId="5E7A4DAD" w14:textId="6DF54835" w:rsidR="00890F87" w:rsidRPr="008A132B" w:rsidRDefault="00890F87" w:rsidP="003E14A9">
      <w:pPr>
        <w:spacing w:line="360" w:lineRule="auto"/>
        <w:jc w:val="both"/>
      </w:pPr>
      <w:r w:rsidRPr="008A132B">
        <w:t xml:space="preserve">No time limit was </w:t>
      </w:r>
      <w:r w:rsidR="003E14A9" w:rsidRPr="008A132B">
        <w:t>given</w:t>
      </w:r>
      <w:r w:rsidRPr="008A132B">
        <w:t xml:space="preserve"> by when all that was to occur. If the interpretation of the order contended for by Tendele is correct, then, </w:t>
      </w:r>
      <w:r w:rsidR="00884328">
        <w:t xml:space="preserve">taken to its ultimate conclusion, </w:t>
      </w:r>
      <w:r w:rsidRPr="008A132B">
        <w:t xml:space="preserve">if any of the processes </w:t>
      </w:r>
      <w:r w:rsidR="00CC2401" w:rsidRPr="008A132B">
        <w:t xml:space="preserve">required for the appeal </w:t>
      </w:r>
      <w:r w:rsidRPr="008A132B">
        <w:t>bec</w:t>
      </w:r>
      <w:r w:rsidR="00CC2401" w:rsidRPr="008A132B">
        <w:t>a</w:t>
      </w:r>
      <w:r w:rsidRPr="008A132B">
        <w:t>me extended and were</w:t>
      </w:r>
      <w:r w:rsidR="00CC2401" w:rsidRPr="008A132B">
        <w:t xml:space="preserve"> </w:t>
      </w:r>
      <w:r w:rsidRPr="008A132B">
        <w:t xml:space="preserve">delayed, whether bona fide or </w:t>
      </w:r>
      <w:r w:rsidR="00E40C18">
        <w:t>otherwise</w:t>
      </w:r>
      <w:r w:rsidRPr="008A132B">
        <w:t>, the mining could</w:t>
      </w:r>
      <w:r w:rsidR="00CC2401" w:rsidRPr="008A132B">
        <w:t xml:space="preserve"> </w:t>
      </w:r>
      <w:r w:rsidRPr="008A132B">
        <w:t>continue</w:t>
      </w:r>
      <w:r w:rsidR="00E30446">
        <w:t xml:space="preserve">, potentially indefinitely, </w:t>
      </w:r>
      <w:r w:rsidR="007C1F83">
        <w:t>t</w:t>
      </w:r>
      <w:r w:rsidRPr="008A132B">
        <w:t>o a stage where the new mining areas could be</w:t>
      </w:r>
      <w:r w:rsidR="001F5BDA">
        <w:t>come</w:t>
      </w:r>
      <w:r w:rsidRPr="008A132B">
        <w:t xml:space="preserve"> extensively depleted</w:t>
      </w:r>
      <w:r w:rsidR="00E30446">
        <w:t xml:space="preserve">. The </w:t>
      </w:r>
      <w:r w:rsidRPr="008A132B">
        <w:t xml:space="preserve">appeal process </w:t>
      </w:r>
      <w:r w:rsidR="00E30446">
        <w:t xml:space="preserve">would </w:t>
      </w:r>
      <w:r w:rsidRPr="008A132B">
        <w:t>then becom</w:t>
      </w:r>
      <w:r w:rsidR="00E30446">
        <w:t xml:space="preserve">e </w:t>
      </w:r>
      <w:r w:rsidRPr="008A132B">
        <w:t xml:space="preserve">largely an academic exercise, with </w:t>
      </w:r>
      <w:r w:rsidR="00E30446">
        <w:t xml:space="preserve">mining having continued with </w:t>
      </w:r>
      <w:r w:rsidRPr="008A132B">
        <w:t xml:space="preserve">no </w:t>
      </w:r>
      <w:r w:rsidR="001F5BDA">
        <w:t xml:space="preserve">valid </w:t>
      </w:r>
      <w:r w:rsidRPr="008A132B">
        <w:t xml:space="preserve">mining right and EMPr </w:t>
      </w:r>
      <w:r w:rsidR="00CC2401" w:rsidRPr="008A132B">
        <w:t xml:space="preserve">ever </w:t>
      </w:r>
      <w:r w:rsidRPr="008A132B">
        <w:t xml:space="preserve">having been properly authorised.   </w:t>
      </w:r>
    </w:p>
    <w:p w14:paraId="45DD0EDA" w14:textId="77777777" w:rsidR="00890F87" w:rsidRPr="008A132B" w:rsidRDefault="00890F87" w:rsidP="00CC12CF">
      <w:pPr>
        <w:spacing w:line="360" w:lineRule="auto"/>
        <w:jc w:val="both"/>
      </w:pPr>
    </w:p>
    <w:p w14:paraId="45FBB147" w14:textId="0190432E" w:rsidR="00027208" w:rsidRDefault="006D79CC" w:rsidP="006D79CC">
      <w:pPr>
        <w:spacing w:line="360" w:lineRule="auto"/>
        <w:jc w:val="both"/>
      </w:pPr>
      <w:r>
        <w:rPr>
          <w:szCs w:val="24"/>
        </w:rPr>
        <w:t>[52]</w:t>
      </w:r>
      <w:r>
        <w:rPr>
          <w:szCs w:val="24"/>
        </w:rPr>
        <w:tab/>
      </w:r>
      <w:r w:rsidR="005E3D79" w:rsidRPr="008A132B">
        <w:t>According to a timeline attached to the applicants’ head</w:t>
      </w:r>
      <w:r w:rsidR="00210EA1" w:rsidRPr="008A132B">
        <w:t>s of argument</w:t>
      </w:r>
      <w:r w:rsidR="005E3D79" w:rsidRPr="008A132B">
        <w:t xml:space="preserve"> marked ‘B’, </w:t>
      </w:r>
      <w:r w:rsidR="00E31207" w:rsidRPr="008A132B">
        <w:t xml:space="preserve">using </w:t>
      </w:r>
      <w:r w:rsidR="005E3D79" w:rsidRPr="008A132B">
        <w:t>allegations in Tendele’s answering affidavit to demonstrate that ‘Tendele is absolutely to blame for any predicament it may find itself in</w:t>
      </w:r>
      <w:r w:rsidR="0057782A" w:rsidRPr="008A132B">
        <w:t>,</w:t>
      </w:r>
      <w:r w:rsidR="005E3D79" w:rsidRPr="008A132B">
        <w:t>’ the applicants maintain</w:t>
      </w:r>
      <w:r w:rsidR="0057782A" w:rsidRPr="008A132B">
        <w:t xml:space="preserve">, </w:t>
      </w:r>
      <w:r w:rsidR="005E3D79" w:rsidRPr="008A132B">
        <w:t xml:space="preserve">having regard to what was required for </w:t>
      </w:r>
      <w:r w:rsidR="000E55AE" w:rsidRPr="008A132B">
        <w:t xml:space="preserve">notification </w:t>
      </w:r>
      <w:r w:rsidR="005E3D79" w:rsidRPr="008A132B">
        <w:t xml:space="preserve">and </w:t>
      </w:r>
      <w:r w:rsidR="000E55AE" w:rsidRPr="008A132B">
        <w:t xml:space="preserve">scoping </w:t>
      </w:r>
      <w:r w:rsidR="005E3D79" w:rsidRPr="008A132B">
        <w:t>(55 days), the EIA phase (54 days) and the Min</w:t>
      </w:r>
      <w:r w:rsidR="002F56CF" w:rsidRPr="008A132B">
        <w:t>i</w:t>
      </w:r>
      <w:r w:rsidR="005E3D79" w:rsidRPr="008A132B">
        <w:t xml:space="preserve">ster’s appeal decision (60 days), </w:t>
      </w:r>
      <w:r w:rsidR="0057782A" w:rsidRPr="008A132B">
        <w:t xml:space="preserve">that </w:t>
      </w:r>
      <w:r w:rsidR="005E3D79" w:rsidRPr="008A132B">
        <w:t>Tendele could have started with basic mining activities in January 2023</w:t>
      </w:r>
      <w:r w:rsidR="0057782A" w:rsidRPr="008A132B">
        <w:t xml:space="preserve">, and that this is the </w:t>
      </w:r>
      <w:r w:rsidR="00E40C18">
        <w:t xml:space="preserve">context in which </w:t>
      </w:r>
      <w:r w:rsidR="00CC2401" w:rsidRPr="008A132B">
        <w:t>Bam J</w:t>
      </w:r>
      <w:r w:rsidR="00E40C18">
        <w:t>’s order was granted.</w:t>
      </w:r>
      <w:r w:rsidR="005E3D79" w:rsidRPr="008A132B">
        <w:t xml:space="preserve"> Instead, </w:t>
      </w:r>
      <w:r w:rsidR="00CC2401" w:rsidRPr="008A132B">
        <w:t xml:space="preserve">the timeline </w:t>
      </w:r>
      <w:r w:rsidR="00884328">
        <w:t xml:space="preserve">now </w:t>
      </w:r>
      <w:r w:rsidR="00CC2401" w:rsidRPr="008A132B">
        <w:t xml:space="preserve">is </w:t>
      </w:r>
      <w:r w:rsidR="005E3D79" w:rsidRPr="008A132B">
        <w:t xml:space="preserve">that the </w:t>
      </w:r>
      <w:r w:rsidR="000E55AE" w:rsidRPr="008A132B">
        <w:t xml:space="preserve">notification </w:t>
      </w:r>
      <w:r w:rsidR="005E3D79" w:rsidRPr="008A132B">
        <w:t xml:space="preserve">and </w:t>
      </w:r>
      <w:r w:rsidR="000E55AE" w:rsidRPr="008A132B">
        <w:t xml:space="preserve">scoping, </w:t>
      </w:r>
      <w:r w:rsidR="005E3D79" w:rsidRPr="008A132B">
        <w:t>which was started on 1 July 2022</w:t>
      </w:r>
      <w:r w:rsidR="000E55AE" w:rsidRPr="008A132B">
        <w:t>,</w:t>
      </w:r>
      <w:r w:rsidR="005E3D79" w:rsidRPr="008A132B">
        <w:t xml:space="preserve"> </w:t>
      </w:r>
      <w:r w:rsidR="0057782A" w:rsidRPr="008A132B">
        <w:t xml:space="preserve">has </w:t>
      </w:r>
      <w:r w:rsidR="005E3D79" w:rsidRPr="008A132B">
        <w:t>tak</w:t>
      </w:r>
      <w:r w:rsidR="0057782A" w:rsidRPr="008A132B">
        <w:t xml:space="preserve">en </w:t>
      </w:r>
      <w:r w:rsidR="005E3D79" w:rsidRPr="008A132B">
        <w:t xml:space="preserve">374 days, </w:t>
      </w:r>
      <w:r w:rsidR="0057782A" w:rsidRPr="008A132B">
        <w:t xml:space="preserve">with </w:t>
      </w:r>
      <w:r w:rsidR="005E3D79" w:rsidRPr="008A132B">
        <w:t xml:space="preserve">an EIA phase of 137 days, and the Minister’s decision on the remitted appeal taking 60 days, the process will not be completed until </w:t>
      </w:r>
      <w:r w:rsidR="00E40C18">
        <w:t xml:space="preserve">the first quarter of </w:t>
      </w:r>
      <w:r w:rsidR="005E3D79" w:rsidRPr="008A132B">
        <w:t>2024.</w:t>
      </w:r>
    </w:p>
    <w:p w14:paraId="51FBF5A0" w14:textId="71561C94" w:rsidR="00027208" w:rsidRDefault="00027208" w:rsidP="00027208">
      <w:pPr>
        <w:spacing w:line="360" w:lineRule="auto"/>
        <w:jc w:val="both"/>
      </w:pPr>
    </w:p>
    <w:p w14:paraId="5B7993D7" w14:textId="5715FCCE" w:rsidR="005E3D79" w:rsidRDefault="006D79CC" w:rsidP="006D79CC">
      <w:pPr>
        <w:spacing w:line="360" w:lineRule="auto"/>
        <w:jc w:val="both"/>
      </w:pPr>
      <w:r>
        <w:rPr>
          <w:szCs w:val="24"/>
        </w:rPr>
        <w:t>[53]</w:t>
      </w:r>
      <w:r>
        <w:rPr>
          <w:szCs w:val="24"/>
        </w:rPr>
        <w:tab/>
      </w:r>
      <w:r w:rsidR="00F46DC4" w:rsidRPr="008A132B">
        <w:t xml:space="preserve"> </w:t>
      </w:r>
      <w:r w:rsidR="005E3D79" w:rsidRPr="008A132B">
        <w:t xml:space="preserve">  </w:t>
      </w:r>
      <w:r w:rsidR="00CC2401" w:rsidRPr="008A132B">
        <w:t xml:space="preserve">As indicated earlier, it </w:t>
      </w:r>
      <w:r w:rsidR="00F46DC4" w:rsidRPr="008A132B">
        <w:t xml:space="preserve">seems that Tendele itself </w:t>
      </w:r>
      <w:r w:rsidR="00E40C18">
        <w:t xml:space="preserve">initially </w:t>
      </w:r>
      <w:r w:rsidR="00F46DC4" w:rsidRPr="008A132B">
        <w:t>contemplated that the various requirements directed by the court order would have to be complied with before it could proceed with mining.</w:t>
      </w:r>
      <w:r w:rsidR="00027208">
        <w:rPr>
          <w:rStyle w:val="FootnoteReference"/>
        </w:rPr>
        <w:footnoteReference w:id="72"/>
      </w:r>
      <w:r w:rsidR="001F5BDA">
        <w:t xml:space="preserve"> But as also pointed out the issue involves a question of law, not conduct.</w:t>
      </w:r>
      <w:r w:rsidR="00F46DC4" w:rsidRPr="008A132B">
        <w:t xml:space="preserve"> </w:t>
      </w:r>
    </w:p>
    <w:p w14:paraId="2A426989" w14:textId="77777777" w:rsidR="00027208" w:rsidRPr="00027208" w:rsidRDefault="00027208" w:rsidP="00CC12CF">
      <w:pPr>
        <w:spacing w:line="360" w:lineRule="auto"/>
        <w:jc w:val="both"/>
        <w:rPr>
          <w:b/>
          <w:bCs/>
          <w:i/>
          <w:szCs w:val="24"/>
        </w:rPr>
      </w:pPr>
    </w:p>
    <w:p w14:paraId="2045B267" w14:textId="61997478" w:rsidR="00947909"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[54]</w:t>
      </w:r>
      <w:r w:rsidRPr="008A132B">
        <w:rPr>
          <w:rFonts w:cs="Arial"/>
          <w:iCs w:val="0"/>
          <w:szCs w:val="24"/>
          <w:lang w:val="en-ZA"/>
        </w:rPr>
        <w:tab/>
      </w:r>
      <w:r w:rsidR="00884328">
        <w:rPr>
          <w:rFonts w:cs="Arial"/>
          <w:szCs w:val="24"/>
          <w:lang w:val="en-ZA"/>
        </w:rPr>
        <w:t xml:space="preserve">The decisions by the director general and the regional manager </w:t>
      </w:r>
      <w:r w:rsidR="00646522">
        <w:rPr>
          <w:rFonts w:cs="Arial"/>
          <w:szCs w:val="24"/>
          <w:lang w:val="en-ZA"/>
        </w:rPr>
        <w:t xml:space="preserve">that were declared invalid </w:t>
      </w:r>
      <w:r w:rsidR="00884328">
        <w:rPr>
          <w:rFonts w:cs="Arial"/>
          <w:szCs w:val="24"/>
          <w:lang w:val="en-ZA"/>
        </w:rPr>
        <w:t xml:space="preserve">are administrative decisions. </w:t>
      </w:r>
      <w:r w:rsidR="00947909" w:rsidRPr="008A132B">
        <w:rPr>
          <w:rFonts w:cs="Arial"/>
          <w:szCs w:val="24"/>
          <w:lang w:val="en-ZA"/>
        </w:rPr>
        <w:t xml:space="preserve">The law regarding </w:t>
      </w:r>
      <w:r w:rsidR="00027208">
        <w:rPr>
          <w:rFonts w:cs="Arial"/>
          <w:szCs w:val="24"/>
          <w:lang w:val="en-ZA"/>
        </w:rPr>
        <w:t xml:space="preserve">potentially </w:t>
      </w:r>
      <w:r w:rsidR="00947909" w:rsidRPr="008A132B">
        <w:rPr>
          <w:rFonts w:cs="Arial"/>
          <w:szCs w:val="24"/>
          <w:lang w:val="en-ZA"/>
        </w:rPr>
        <w:t>invalid administrative conduct can briefly be summarized as follows.</w:t>
      </w:r>
    </w:p>
    <w:p w14:paraId="2CD9ED1D" w14:textId="77777777" w:rsidR="00947909" w:rsidRPr="008A132B" w:rsidRDefault="00947909" w:rsidP="00CC12CF">
      <w:pPr>
        <w:pStyle w:val="ListParagraph"/>
        <w:spacing w:line="360" w:lineRule="auto"/>
        <w:jc w:val="both"/>
        <w:rPr>
          <w:szCs w:val="24"/>
        </w:rPr>
      </w:pPr>
    </w:p>
    <w:p w14:paraId="51C89373" w14:textId="27C8E8D8" w:rsidR="006A0F06"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lastRenderedPageBreak/>
        <w:t>[55]</w:t>
      </w:r>
      <w:r w:rsidRPr="008A132B">
        <w:rPr>
          <w:rFonts w:cs="Arial"/>
          <w:iCs w:val="0"/>
          <w:szCs w:val="24"/>
          <w:lang w:val="en-ZA"/>
        </w:rPr>
        <w:tab/>
      </w:r>
      <w:r w:rsidR="006A0F06" w:rsidRPr="008A132B">
        <w:rPr>
          <w:szCs w:val="24"/>
          <w:lang w:val="en-ZA"/>
        </w:rPr>
        <w:t xml:space="preserve">Under the </w:t>
      </w:r>
      <w:r w:rsidR="006A0F06" w:rsidRPr="008A132B">
        <w:rPr>
          <w:i/>
          <w:szCs w:val="24"/>
          <w:lang w:val="en-ZA"/>
        </w:rPr>
        <w:t>Oudekraal</w:t>
      </w:r>
      <w:r w:rsidR="00BD40AF" w:rsidRPr="008A132B">
        <w:rPr>
          <w:i/>
          <w:szCs w:val="24"/>
          <w:lang w:val="en-ZA"/>
        </w:rPr>
        <w:t xml:space="preserve"> Estates v City of Cape Town</w:t>
      </w:r>
      <w:r w:rsidR="0057782A" w:rsidRPr="008A132B">
        <w:rPr>
          <w:rStyle w:val="FootnoteReference"/>
          <w:i/>
          <w:szCs w:val="24"/>
          <w:lang w:val="en-ZA"/>
        </w:rPr>
        <w:footnoteReference w:id="73"/>
      </w:r>
      <w:r w:rsidR="006A0F06" w:rsidRPr="008A132B">
        <w:rPr>
          <w:szCs w:val="24"/>
          <w:lang w:val="en-ZA"/>
        </w:rPr>
        <w:t xml:space="preserve"> rule, Tendele’s mining right and EMPr must be treated as valid and binding unless and until they are reviewed and set aside by a competent court. </w:t>
      </w:r>
      <w:r w:rsidR="00947909" w:rsidRPr="008A132B">
        <w:rPr>
          <w:szCs w:val="24"/>
          <w:lang w:val="en-ZA"/>
        </w:rPr>
        <w:t>T</w:t>
      </w:r>
      <w:r w:rsidR="006A0F06" w:rsidRPr="008A132B">
        <w:rPr>
          <w:szCs w:val="24"/>
          <w:lang w:val="en-ZA"/>
        </w:rPr>
        <w:t xml:space="preserve">he SCA in </w:t>
      </w:r>
      <w:r w:rsidR="006A0F06" w:rsidRPr="008A132B">
        <w:rPr>
          <w:i/>
          <w:szCs w:val="24"/>
          <w:lang w:val="en-ZA"/>
        </w:rPr>
        <w:t>Oudekraal</w:t>
      </w:r>
      <w:r w:rsidR="00947909" w:rsidRPr="008A132B">
        <w:rPr>
          <w:i/>
          <w:szCs w:val="24"/>
          <w:lang w:val="en-ZA"/>
        </w:rPr>
        <w:t xml:space="preserve"> </w:t>
      </w:r>
      <w:r w:rsidR="00947909" w:rsidRPr="008A132B">
        <w:rPr>
          <w:iCs w:val="0"/>
          <w:szCs w:val="24"/>
          <w:lang w:val="en-ZA"/>
        </w:rPr>
        <w:t>held</w:t>
      </w:r>
      <w:r w:rsidR="006A0F06" w:rsidRPr="008A132B">
        <w:rPr>
          <w:szCs w:val="24"/>
          <w:lang w:val="en-ZA"/>
        </w:rPr>
        <w:t xml:space="preserve">: </w:t>
      </w:r>
    </w:p>
    <w:p w14:paraId="16CD81CA" w14:textId="292F6A49" w:rsidR="006A0F06" w:rsidRPr="008A132B" w:rsidRDefault="006A0F06" w:rsidP="00CC12CF">
      <w:pPr>
        <w:pStyle w:val="2"/>
        <w:numPr>
          <w:ilvl w:val="0"/>
          <w:numId w:val="0"/>
        </w:numPr>
        <w:spacing w:before="0" w:line="360" w:lineRule="auto"/>
        <w:ind w:left="567"/>
        <w:rPr>
          <w:rFonts w:cs="Arial"/>
          <w:sz w:val="22"/>
          <w:lang w:val="en-ZA"/>
        </w:rPr>
      </w:pPr>
      <w:r w:rsidRPr="008A132B">
        <w:rPr>
          <w:rFonts w:cs="Arial"/>
          <w:szCs w:val="24"/>
          <w:lang w:val="en-ZA"/>
        </w:rPr>
        <w:t>‘</w:t>
      </w:r>
      <w:r w:rsidR="00705165" w:rsidRPr="008A132B">
        <w:rPr>
          <w:rFonts w:cs="Arial"/>
          <w:sz w:val="22"/>
          <w:lang w:val="en-ZA"/>
        </w:rPr>
        <w:t>our law has always recognised that even an unlawful administrative act is capable of producing legally valid consequences for so long as the unlawful act is not set aside</w:t>
      </w:r>
      <w:r w:rsidRPr="008A132B">
        <w:rPr>
          <w:rFonts w:cs="Arial"/>
          <w:sz w:val="22"/>
          <w:lang w:val="en-ZA"/>
        </w:rPr>
        <w:t>.’</w:t>
      </w:r>
      <w:r w:rsidRPr="008A132B">
        <w:rPr>
          <w:rStyle w:val="FootnoteReference"/>
          <w:rFonts w:cs="Arial"/>
          <w:color w:val="000000" w:themeColor="text1"/>
          <w:sz w:val="22"/>
          <w:lang w:val="en-ZA"/>
        </w:rPr>
        <w:footnoteReference w:id="74"/>
      </w:r>
    </w:p>
    <w:p w14:paraId="3B089563" w14:textId="27422F28" w:rsidR="006A0F06" w:rsidRPr="008A132B" w:rsidRDefault="006A0F06" w:rsidP="00CC12CF">
      <w:pPr>
        <w:pStyle w:val="1"/>
        <w:numPr>
          <w:ilvl w:val="0"/>
          <w:numId w:val="0"/>
        </w:numPr>
        <w:spacing w:before="0" w:line="360" w:lineRule="auto"/>
        <w:ind w:left="567" w:hanging="567"/>
        <w:rPr>
          <w:rFonts w:cs="Arial"/>
          <w:szCs w:val="24"/>
          <w:lang w:val="en-ZA"/>
        </w:rPr>
      </w:pPr>
      <w:r w:rsidRPr="008A132B">
        <w:rPr>
          <w:rFonts w:cs="Arial"/>
          <w:szCs w:val="24"/>
          <w:lang w:val="en-ZA"/>
        </w:rPr>
        <w:t xml:space="preserve">The </w:t>
      </w:r>
      <w:r w:rsidRPr="008A132B">
        <w:rPr>
          <w:rFonts w:cs="Arial"/>
          <w:i/>
          <w:szCs w:val="24"/>
          <w:lang w:val="en-ZA"/>
        </w:rPr>
        <w:t>Oudekraal</w:t>
      </w:r>
      <w:r w:rsidRPr="008A132B">
        <w:rPr>
          <w:rFonts w:cs="Arial"/>
          <w:szCs w:val="24"/>
          <w:lang w:val="en-ZA"/>
        </w:rPr>
        <w:t xml:space="preserve"> rule has since been repeatedly confirmed by the Constitutional Court.</w:t>
      </w:r>
      <w:r w:rsidRPr="008A132B">
        <w:rPr>
          <w:rStyle w:val="FootnoteReference"/>
          <w:rFonts w:cs="Arial"/>
          <w:color w:val="000000" w:themeColor="text1"/>
          <w:szCs w:val="24"/>
          <w:lang w:val="en-ZA"/>
        </w:rPr>
        <w:footnoteReference w:id="75"/>
      </w:r>
    </w:p>
    <w:p w14:paraId="100B7E14" w14:textId="6DE5FDE0" w:rsidR="00947909" w:rsidRPr="008A132B" w:rsidRDefault="00947909" w:rsidP="00CC12CF">
      <w:pPr>
        <w:pStyle w:val="2"/>
        <w:numPr>
          <w:ilvl w:val="0"/>
          <w:numId w:val="0"/>
        </w:numPr>
        <w:spacing w:before="0" w:line="360" w:lineRule="auto"/>
        <w:rPr>
          <w:rFonts w:cs="Arial"/>
          <w:szCs w:val="24"/>
          <w:lang w:val="en-ZA"/>
        </w:rPr>
      </w:pPr>
      <w:r w:rsidRPr="008A132B">
        <w:rPr>
          <w:rFonts w:cs="Arial"/>
          <w:szCs w:val="24"/>
          <w:lang w:val="en-ZA"/>
        </w:rPr>
        <w:t xml:space="preserve">In </w:t>
      </w:r>
      <w:r w:rsidR="00BD40AF" w:rsidRPr="008A132B">
        <w:rPr>
          <w:rFonts w:cs="Arial"/>
          <w:i/>
          <w:szCs w:val="24"/>
          <w:lang w:val="en-ZA"/>
        </w:rPr>
        <w:t>Department of Transport v</w:t>
      </w:r>
      <w:r w:rsidR="00BD40AF" w:rsidRPr="008A132B">
        <w:rPr>
          <w:rFonts w:cs="Arial"/>
          <w:szCs w:val="24"/>
          <w:lang w:val="en-ZA"/>
        </w:rPr>
        <w:t xml:space="preserve"> </w:t>
      </w:r>
      <w:r w:rsidRPr="008A132B">
        <w:rPr>
          <w:rFonts w:cs="Arial"/>
          <w:i/>
          <w:iCs w:val="0"/>
          <w:szCs w:val="24"/>
          <w:lang w:val="en-ZA"/>
        </w:rPr>
        <w:t>Tasima</w:t>
      </w:r>
      <w:r w:rsidRPr="008A132B">
        <w:rPr>
          <w:rFonts w:cs="Arial"/>
          <w:szCs w:val="24"/>
          <w:lang w:val="en-ZA"/>
        </w:rPr>
        <w:t>, the Constitutional Court recognised that ‘</w:t>
      </w:r>
      <w:r w:rsidR="002C2FB7" w:rsidRPr="008A132B">
        <w:rPr>
          <w:rFonts w:cs="Arial"/>
          <w:szCs w:val="24"/>
          <w:lang w:val="en-ZA"/>
        </w:rPr>
        <w:t>until a court is appropriately approached and an allegedly unlawful exercise of public power is adjudicated upon, it has binding effect merely because of its factual existence</w:t>
      </w:r>
      <w:r w:rsidRPr="008A132B">
        <w:rPr>
          <w:rFonts w:cs="Arial"/>
          <w:szCs w:val="24"/>
          <w:lang w:val="en-ZA"/>
        </w:rPr>
        <w:t>.’</w:t>
      </w:r>
      <w:r w:rsidRPr="008A132B">
        <w:rPr>
          <w:rStyle w:val="FootnoteReference"/>
          <w:rFonts w:cs="Arial"/>
          <w:color w:val="000000" w:themeColor="text1"/>
          <w:szCs w:val="24"/>
          <w:lang w:val="en-ZA"/>
        </w:rPr>
        <w:footnoteReference w:id="76"/>
      </w:r>
    </w:p>
    <w:p w14:paraId="20B23272" w14:textId="77777777" w:rsidR="000F52BB" w:rsidRPr="008A132B" w:rsidRDefault="000F52BB" w:rsidP="00CC12CF">
      <w:pPr>
        <w:spacing w:line="360" w:lineRule="auto"/>
        <w:jc w:val="both"/>
        <w:rPr>
          <w:color w:val="242121"/>
          <w:szCs w:val="24"/>
        </w:rPr>
      </w:pPr>
    </w:p>
    <w:p w14:paraId="393A7568" w14:textId="50C81B37" w:rsidR="000D503D"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[56]</w:t>
      </w:r>
      <w:r w:rsidRPr="008A132B">
        <w:rPr>
          <w:rFonts w:cs="Arial"/>
          <w:iCs w:val="0"/>
          <w:szCs w:val="24"/>
          <w:lang w:val="en-ZA"/>
        </w:rPr>
        <w:tab/>
      </w:r>
      <w:r w:rsidR="000D503D" w:rsidRPr="008A132B">
        <w:rPr>
          <w:rFonts w:cs="Arial"/>
          <w:szCs w:val="24"/>
          <w:lang w:val="en-ZA"/>
        </w:rPr>
        <w:t xml:space="preserve">In </w:t>
      </w:r>
      <w:r w:rsidR="00BD40AF" w:rsidRPr="008A132B">
        <w:rPr>
          <w:i/>
          <w:iCs w:val="0"/>
          <w:lang w:val="en-ZA"/>
        </w:rPr>
        <w:t xml:space="preserve">MEC for Health, Eastern Cape v </w:t>
      </w:r>
      <w:r w:rsidR="000D503D" w:rsidRPr="008A132B">
        <w:rPr>
          <w:rFonts w:cs="Arial"/>
          <w:i/>
          <w:iCs w:val="0"/>
          <w:szCs w:val="24"/>
          <w:lang w:val="en-ZA"/>
        </w:rPr>
        <w:t>Kirland</w:t>
      </w:r>
      <w:r w:rsidR="00BD40AF" w:rsidRPr="008A132B">
        <w:rPr>
          <w:rFonts w:cs="Arial"/>
          <w:i/>
          <w:iCs w:val="0"/>
          <w:szCs w:val="24"/>
          <w:lang w:val="en-ZA"/>
        </w:rPr>
        <w:t xml:space="preserve"> Investments</w:t>
      </w:r>
      <w:r w:rsidR="000D503D" w:rsidRPr="008A132B">
        <w:rPr>
          <w:rFonts w:cs="Arial"/>
          <w:szCs w:val="24"/>
          <w:lang w:val="en-ZA"/>
        </w:rPr>
        <w:t xml:space="preserve">, the Constitutional Court held, with reference to the </w:t>
      </w:r>
      <w:r w:rsidR="000D503D" w:rsidRPr="008A132B">
        <w:rPr>
          <w:rFonts w:cs="Arial"/>
          <w:i/>
          <w:iCs w:val="0"/>
          <w:szCs w:val="24"/>
          <w:lang w:val="en-ZA"/>
        </w:rPr>
        <w:t xml:space="preserve">Oudekraal </w:t>
      </w:r>
      <w:r w:rsidR="000D503D" w:rsidRPr="008A132B">
        <w:rPr>
          <w:rFonts w:cs="Arial"/>
          <w:szCs w:val="24"/>
          <w:lang w:val="en-ZA"/>
        </w:rPr>
        <w:t xml:space="preserve">rule, that </w:t>
      </w:r>
      <w:r w:rsidR="006E214B" w:rsidRPr="008A132B">
        <w:rPr>
          <w:rFonts w:cs="Arial"/>
          <w:szCs w:val="24"/>
          <w:lang w:val="en-ZA"/>
        </w:rPr>
        <w:t>an ‘</w:t>
      </w:r>
      <w:r w:rsidR="006E214B" w:rsidRPr="008A132B">
        <w:rPr>
          <w:rFonts w:cs="Arial"/>
          <w:szCs w:val="24"/>
          <w:shd w:val="clear" w:color="auto" w:fill="FFFFFF"/>
          <w:lang w:val="en-ZA"/>
        </w:rPr>
        <w:t>invalid administrative action may not simply be ignored, but may be valid and effectual, and may continue to have legal consequences, until set aside by proper process</w:t>
      </w:r>
      <w:r w:rsidR="000D503D" w:rsidRPr="008A132B">
        <w:rPr>
          <w:rFonts w:cs="Arial"/>
          <w:szCs w:val="24"/>
          <w:shd w:val="clear" w:color="auto" w:fill="FFFFFF"/>
          <w:lang w:val="en-ZA"/>
        </w:rPr>
        <w:t>’</w:t>
      </w:r>
      <w:r w:rsidR="000D503D" w:rsidRPr="008A132B">
        <w:rPr>
          <w:rStyle w:val="FootnoteReference"/>
          <w:rFonts w:cs="Arial"/>
          <w:color w:val="000000" w:themeColor="text1"/>
          <w:szCs w:val="24"/>
          <w:shd w:val="clear" w:color="auto" w:fill="FFFFFF"/>
          <w:lang w:val="en-ZA"/>
        </w:rPr>
        <w:footnoteReference w:id="77"/>
      </w:r>
      <w:r w:rsidR="000D503D" w:rsidRPr="008A132B">
        <w:rPr>
          <w:rFonts w:cs="Arial"/>
          <w:szCs w:val="24"/>
          <w:shd w:val="clear" w:color="auto" w:fill="FFFFFF"/>
          <w:lang w:val="en-ZA"/>
        </w:rPr>
        <w:t xml:space="preserve"> </w:t>
      </w:r>
      <w:r w:rsidR="006E214B" w:rsidRPr="008A132B">
        <w:rPr>
          <w:rFonts w:cs="Arial"/>
          <w:szCs w:val="24"/>
          <w:shd w:val="clear" w:color="auto" w:fill="FFFFFF"/>
          <w:lang w:val="en-ZA"/>
        </w:rPr>
        <w:t xml:space="preserve">and further, </w:t>
      </w:r>
      <w:r w:rsidR="000D503D" w:rsidRPr="008A132B">
        <w:rPr>
          <w:rFonts w:cs="Arial"/>
          <w:szCs w:val="24"/>
          <w:shd w:val="clear" w:color="auto" w:fill="FFFFFF"/>
          <w:lang w:val="en-ZA"/>
        </w:rPr>
        <w:t>‘</w:t>
      </w:r>
      <w:r w:rsidR="006E214B" w:rsidRPr="008A132B">
        <w:rPr>
          <w:rFonts w:cs="Arial"/>
          <w:szCs w:val="24"/>
          <w:shd w:val="clear" w:color="auto" w:fill="FFFFFF"/>
          <w:lang w:val="en-ZA"/>
        </w:rPr>
        <w:t xml:space="preserve">that official conduct that is vulnerable to challenge may have legal consequences and may not be ignored </w:t>
      </w:r>
      <w:r w:rsidR="006E214B" w:rsidRPr="008A132B">
        <w:rPr>
          <w:rFonts w:cs="Arial"/>
          <w:i/>
          <w:szCs w:val="24"/>
          <w:shd w:val="clear" w:color="auto" w:fill="FFFFFF"/>
          <w:lang w:val="en-ZA"/>
        </w:rPr>
        <w:t>until properly set aside</w:t>
      </w:r>
      <w:r w:rsidR="000D503D" w:rsidRPr="008A132B">
        <w:rPr>
          <w:rFonts w:cs="Arial"/>
          <w:szCs w:val="24"/>
          <w:shd w:val="clear" w:color="auto" w:fill="FFFFFF"/>
          <w:lang w:val="en-ZA"/>
        </w:rPr>
        <w:t>.’</w:t>
      </w:r>
      <w:r w:rsidR="000D503D" w:rsidRPr="008A132B">
        <w:rPr>
          <w:rStyle w:val="FootnoteReference"/>
          <w:rFonts w:cs="Arial"/>
          <w:color w:val="000000" w:themeColor="text1"/>
          <w:szCs w:val="24"/>
          <w:shd w:val="clear" w:color="auto" w:fill="FFFFFF"/>
          <w:lang w:val="en-ZA"/>
        </w:rPr>
        <w:footnoteReference w:id="78"/>
      </w:r>
      <w:r w:rsidR="000D503D" w:rsidRPr="008A132B">
        <w:rPr>
          <w:rFonts w:cs="Arial"/>
          <w:szCs w:val="24"/>
          <w:shd w:val="clear" w:color="auto" w:fill="FFFFFF"/>
          <w:lang w:val="en-ZA"/>
        </w:rPr>
        <w:t xml:space="preserve"> (</w:t>
      </w:r>
      <w:r w:rsidR="006E214B" w:rsidRPr="008A132B">
        <w:rPr>
          <w:rFonts w:cs="Arial"/>
          <w:szCs w:val="24"/>
          <w:shd w:val="clear" w:color="auto" w:fill="FFFFFF"/>
          <w:lang w:val="en-ZA"/>
        </w:rPr>
        <w:t>emphasis</w:t>
      </w:r>
      <w:r w:rsidR="000D503D" w:rsidRPr="008A132B">
        <w:rPr>
          <w:rFonts w:cs="Arial"/>
          <w:szCs w:val="24"/>
          <w:shd w:val="clear" w:color="auto" w:fill="FFFFFF"/>
          <w:lang w:val="en-ZA"/>
        </w:rPr>
        <w:t xml:space="preserve"> added)</w:t>
      </w:r>
    </w:p>
    <w:p w14:paraId="28DDDFC4" w14:textId="77777777" w:rsidR="000D503D" w:rsidRPr="008A132B" w:rsidRDefault="000D503D" w:rsidP="00CC12CF">
      <w:pPr>
        <w:spacing w:line="360" w:lineRule="auto"/>
        <w:jc w:val="both"/>
      </w:pPr>
    </w:p>
    <w:p w14:paraId="0B3FD62D" w14:textId="574D6FD5" w:rsidR="000D503D"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[57]</w:t>
      </w:r>
      <w:r w:rsidRPr="008A132B">
        <w:rPr>
          <w:rFonts w:cs="Arial"/>
          <w:iCs w:val="0"/>
          <w:szCs w:val="24"/>
          <w:lang w:val="en-ZA"/>
        </w:rPr>
        <w:tab/>
      </w:r>
      <w:r w:rsidR="000D503D" w:rsidRPr="008A132B">
        <w:rPr>
          <w:rFonts w:cs="Arial"/>
          <w:szCs w:val="24"/>
          <w:lang w:val="en-ZA"/>
        </w:rPr>
        <w:t xml:space="preserve">In </w:t>
      </w:r>
      <w:r w:rsidR="000D503D" w:rsidRPr="008A132B">
        <w:rPr>
          <w:rFonts w:cs="Arial"/>
          <w:i/>
          <w:szCs w:val="24"/>
          <w:lang w:val="en-ZA"/>
        </w:rPr>
        <w:t>Merafong</w:t>
      </w:r>
      <w:r w:rsidR="00137328" w:rsidRPr="008A132B">
        <w:rPr>
          <w:rFonts w:cs="Arial"/>
          <w:i/>
          <w:szCs w:val="24"/>
          <w:lang w:val="en-ZA"/>
        </w:rPr>
        <w:t xml:space="preserve"> v AshantiGold</w:t>
      </w:r>
      <w:r w:rsidR="000D503D" w:rsidRPr="008A132B">
        <w:rPr>
          <w:rFonts w:cs="Arial"/>
          <w:szCs w:val="24"/>
          <w:lang w:val="en-ZA"/>
        </w:rPr>
        <w:t>, the Constitutional Court recognised that:</w:t>
      </w:r>
    </w:p>
    <w:p w14:paraId="6B861CE9" w14:textId="067B484F" w:rsidR="000D503D" w:rsidRPr="008A132B" w:rsidRDefault="000D503D" w:rsidP="00CC12CF">
      <w:pPr>
        <w:pStyle w:val="Quote"/>
        <w:spacing w:before="0"/>
        <w:ind w:left="0"/>
        <w:rPr>
          <w:rFonts w:cs="Arial"/>
          <w:szCs w:val="24"/>
          <w:shd w:val="clear" w:color="auto" w:fill="FFFFFF"/>
          <w:lang w:val="en-ZA"/>
        </w:rPr>
      </w:pPr>
      <w:r w:rsidRPr="008A132B">
        <w:rPr>
          <w:rFonts w:cs="Arial"/>
          <w:szCs w:val="24"/>
          <w:shd w:val="clear" w:color="auto" w:fill="FFFFFF"/>
          <w:lang w:val="en-ZA"/>
        </w:rPr>
        <w:t>‘</w:t>
      </w:r>
      <w:r w:rsidR="000925F7" w:rsidRPr="008A132B">
        <w:rPr>
          <w:rFonts w:cs="Arial"/>
          <w:szCs w:val="24"/>
          <w:shd w:val="clear" w:color="auto" w:fill="FFFFFF"/>
          <w:lang w:val="en-ZA"/>
        </w:rPr>
        <w:t xml:space="preserve">The import of </w:t>
      </w:r>
      <w:r w:rsidR="000925F7" w:rsidRPr="008A132B">
        <w:rPr>
          <w:rFonts w:cs="Arial"/>
          <w:i/>
          <w:szCs w:val="24"/>
          <w:shd w:val="clear" w:color="auto" w:fill="FFFFFF"/>
          <w:lang w:val="en-ZA"/>
        </w:rPr>
        <w:t>Oudekraal</w:t>
      </w:r>
      <w:r w:rsidR="000925F7" w:rsidRPr="008A132B">
        <w:rPr>
          <w:rFonts w:cs="Arial"/>
          <w:szCs w:val="24"/>
          <w:shd w:val="clear" w:color="auto" w:fill="FFFFFF"/>
          <w:lang w:val="en-ZA"/>
        </w:rPr>
        <w:t xml:space="preserve"> and </w:t>
      </w:r>
      <w:r w:rsidR="000925F7" w:rsidRPr="008A132B">
        <w:rPr>
          <w:rFonts w:cs="Arial"/>
          <w:i/>
          <w:szCs w:val="24"/>
          <w:shd w:val="clear" w:color="auto" w:fill="FFFFFF"/>
          <w:lang w:val="en-ZA"/>
        </w:rPr>
        <w:t>Kirland</w:t>
      </w:r>
      <w:r w:rsidR="000925F7" w:rsidRPr="008A132B">
        <w:rPr>
          <w:rFonts w:cs="Arial"/>
          <w:szCs w:val="24"/>
          <w:shd w:val="clear" w:color="auto" w:fill="FFFFFF"/>
          <w:lang w:val="en-ZA"/>
        </w:rPr>
        <w:t xml:space="preserve"> was that government cannot simply ignore an apparently binding ruling or decision on the basis that it is invalid</w:t>
      </w:r>
      <w:r w:rsidR="000925F7" w:rsidRPr="00646522">
        <w:rPr>
          <w:rFonts w:cs="Arial"/>
          <w:szCs w:val="24"/>
          <w:shd w:val="clear" w:color="auto" w:fill="FFFFFF"/>
          <w:lang w:val="en-ZA"/>
        </w:rPr>
        <w:t>. The validity of the decision has to be tested in appropriate proceedings. And the sole power</w:t>
      </w:r>
      <w:r w:rsidR="000925F7" w:rsidRPr="008A132B">
        <w:rPr>
          <w:rFonts w:cs="Arial"/>
          <w:szCs w:val="24"/>
          <w:shd w:val="clear" w:color="auto" w:fill="FFFFFF"/>
          <w:lang w:val="en-ZA"/>
        </w:rPr>
        <w:t xml:space="preserve"> to pronounce that the decision is defective, and therefore</w:t>
      </w:r>
      <w:r w:rsidR="00A014D2" w:rsidRPr="008A132B">
        <w:rPr>
          <w:rFonts w:cs="Arial"/>
          <w:szCs w:val="24"/>
          <w:shd w:val="clear" w:color="auto" w:fill="FFFFFF"/>
          <w:lang w:val="en-ZA"/>
        </w:rPr>
        <w:t xml:space="preserve"> invalid, lies with the courts.</w:t>
      </w:r>
      <w:r w:rsidR="000925F7" w:rsidRPr="008A132B">
        <w:rPr>
          <w:rFonts w:cs="Arial"/>
          <w:szCs w:val="24"/>
          <w:shd w:val="clear" w:color="auto" w:fill="FFFFFF"/>
          <w:lang w:val="en-ZA"/>
        </w:rPr>
        <w:t xml:space="preserve"> Government itself has no authority to </w:t>
      </w:r>
      <w:r w:rsidR="000925F7" w:rsidRPr="008A132B">
        <w:rPr>
          <w:rFonts w:cs="Arial"/>
          <w:szCs w:val="24"/>
          <w:shd w:val="clear" w:color="auto" w:fill="FFFFFF"/>
          <w:lang w:val="en-ZA"/>
        </w:rPr>
        <w:lastRenderedPageBreak/>
        <w:t>inv</w:t>
      </w:r>
      <w:r w:rsidR="00A014D2" w:rsidRPr="008A132B">
        <w:rPr>
          <w:rFonts w:cs="Arial"/>
          <w:szCs w:val="24"/>
          <w:shd w:val="clear" w:color="auto" w:fill="FFFFFF"/>
          <w:lang w:val="en-ZA"/>
        </w:rPr>
        <w:t>alidate or ignore the decision.</w:t>
      </w:r>
      <w:r w:rsidR="000925F7" w:rsidRPr="008A132B">
        <w:rPr>
          <w:rFonts w:cs="Arial"/>
          <w:szCs w:val="24"/>
          <w:shd w:val="clear" w:color="auto" w:fill="FFFFFF"/>
          <w:lang w:val="en-ZA"/>
        </w:rPr>
        <w:t xml:space="preserve"> It remains legally effective </w:t>
      </w:r>
      <w:r w:rsidR="000925F7" w:rsidRPr="008A132B">
        <w:rPr>
          <w:rFonts w:cs="Arial"/>
          <w:i/>
          <w:szCs w:val="24"/>
          <w:shd w:val="clear" w:color="auto" w:fill="FFFFFF"/>
          <w:lang w:val="en-ZA"/>
        </w:rPr>
        <w:t>until properly set aside</w:t>
      </w:r>
      <w:r w:rsidR="000925F7" w:rsidRPr="008A132B">
        <w:rPr>
          <w:rFonts w:cs="Arial"/>
          <w:szCs w:val="24"/>
          <w:shd w:val="clear" w:color="auto" w:fill="FFFFFF"/>
          <w:lang w:val="en-ZA"/>
        </w:rPr>
        <w:t>.’</w:t>
      </w:r>
      <w:r w:rsidRPr="008A132B">
        <w:rPr>
          <w:rStyle w:val="FootnoteReference"/>
          <w:rFonts w:cs="Arial"/>
          <w:color w:val="000000" w:themeColor="text1"/>
          <w:sz w:val="24"/>
          <w:szCs w:val="24"/>
          <w:lang w:val="en-ZA"/>
        </w:rPr>
        <w:footnoteReference w:id="79"/>
      </w:r>
      <w:r w:rsidR="00A014D2" w:rsidRPr="008A132B">
        <w:rPr>
          <w:rFonts w:cs="Arial"/>
          <w:szCs w:val="24"/>
          <w:shd w:val="clear" w:color="auto" w:fill="FFFFFF"/>
          <w:lang w:val="en-ZA"/>
        </w:rPr>
        <w:t xml:space="preserve"> (emphasis added, footnote omitted)</w:t>
      </w:r>
    </w:p>
    <w:p w14:paraId="13100192" w14:textId="77777777" w:rsidR="000D503D" w:rsidRPr="008A132B" w:rsidRDefault="000D503D" w:rsidP="00CC12CF">
      <w:pPr>
        <w:pStyle w:val="ListParagraph"/>
        <w:spacing w:line="360" w:lineRule="auto"/>
        <w:jc w:val="both"/>
      </w:pPr>
    </w:p>
    <w:p w14:paraId="0AC18675" w14:textId="6DC91C3E" w:rsidR="000D503D"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[58]</w:t>
      </w:r>
      <w:r w:rsidRPr="008A132B">
        <w:rPr>
          <w:rFonts w:cs="Arial"/>
          <w:iCs w:val="0"/>
          <w:szCs w:val="24"/>
          <w:lang w:val="en-ZA"/>
        </w:rPr>
        <w:tab/>
      </w:r>
      <w:r w:rsidR="000D503D" w:rsidRPr="008A132B">
        <w:rPr>
          <w:rFonts w:cs="Arial"/>
          <w:szCs w:val="24"/>
          <w:shd w:val="clear" w:color="auto" w:fill="FFFFFF"/>
          <w:lang w:val="en-ZA"/>
        </w:rPr>
        <w:t xml:space="preserve">More recently the Constitutional Court in </w:t>
      </w:r>
      <w:r w:rsidR="000D503D" w:rsidRPr="008A132B">
        <w:rPr>
          <w:rFonts w:cs="Arial"/>
          <w:i/>
          <w:iCs w:val="0"/>
          <w:szCs w:val="24"/>
          <w:shd w:val="clear" w:color="auto" w:fill="FFFFFF"/>
          <w:lang w:val="en-ZA"/>
        </w:rPr>
        <w:t>Magnificent Mile</w:t>
      </w:r>
      <w:r w:rsidR="00137328" w:rsidRPr="008A132B">
        <w:rPr>
          <w:rFonts w:cs="Arial"/>
          <w:i/>
          <w:iCs w:val="0"/>
          <w:szCs w:val="24"/>
          <w:shd w:val="clear" w:color="auto" w:fill="FFFFFF"/>
          <w:lang w:val="en-ZA"/>
        </w:rPr>
        <w:t xml:space="preserve"> v Celliers NO</w:t>
      </w:r>
      <w:r w:rsidR="000D503D" w:rsidRPr="008A132B">
        <w:rPr>
          <w:rFonts w:cs="Arial"/>
          <w:szCs w:val="24"/>
          <w:shd w:val="clear" w:color="auto" w:fill="FFFFFF"/>
          <w:lang w:val="en-ZA"/>
        </w:rPr>
        <w:t xml:space="preserve"> held:</w:t>
      </w:r>
    </w:p>
    <w:p w14:paraId="3B319445" w14:textId="064134C1" w:rsidR="00A014D2" w:rsidRPr="008A132B" w:rsidRDefault="000D503D" w:rsidP="00CC12CF">
      <w:pPr>
        <w:pStyle w:val="2"/>
        <w:numPr>
          <w:ilvl w:val="0"/>
          <w:numId w:val="0"/>
        </w:numPr>
        <w:spacing w:before="0" w:line="360" w:lineRule="auto"/>
        <w:rPr>
          <w:rFonts w:cs="Arial"/>
          <w:szCs w:val="24"/>
          <w:lang w:val="en-ZA"/>
        </w:rPr>
      </w:pPr>
      <w:r w:rsidRPr="008A132B">
        <w:rPr>
          <w:rFonts w:cs="Arial"/>
          <w:sz w:val="22"/>
          <w:lang w:val="en-ZA"/>
        </w:rPr>
        <w:t>‘</w:t>
      </w:r>
      <w:r w:rsidR="00A014D2" w:rsidRPr="008A132B">
        <w:rPr>
          <w:rFonts w:cs="Arial"/>
          <w:sz w:val="22"/>
          <w:lang w:val="en-ZA"/>
        </w:rPr>
        <w:t xml:space="preserve">The </w:t>
      </w:r>
      <w:r w:rsidR="00A014D2" w:rsidRPr="008A132B">
        <w:rPr>
          <w:rFonts w:cs="Arial"/>
          <w:i/>
          <w:sz w:val="22"/>
          <w:lang w:val="en-ZA"/>
        </w:rPr>
        <w:t xml:space="preserve">Oudekraal </w:t>
      </w:r>
      <w:r w:rsidR="00A014D2" w:rsidRPr="008A132B">
        <w:rPr>
          <w:rFonts w:cs="Arial"/>
          <w:sz w:val="22"/>
          <w:lang w:val="en-ZA"/>
        </w:rPr>
        <w:t xml:space="preserve">rule averts the chaos by saying an unlawful administrative act exists in fact and may give rise to legal consequences </w:t>
      </w:r>
      <w:r w:rsidR="00A014D2" w:rsidRPr="008A132B">
        <w:rPr>
          <w:rFonts w:cs="Arial"/>
          <w:i/>
          <w:sz w:val="22"/>
          <w:lang w:val="en-ZA"/>
        </w:rPr>
        <w:t>for as long as it has not been set aside</w:t>
      </w:r>
      <w:r w:rsidR="00A014D2" w:rsidRPr="008A132B">
        <w:rPr>
          <w:rFonts w:cs="Arial"/>
          <w:sz w:val="22"/>
          <w:lang w:val="en-ZA"/>
        </w:rPr>
        <w:t>. The operative words are that it exists “in fact”.  This does not seek to confer legal validity to the unlawful administrative act. Rather, it prevents self-help and guarantees orderly governance and administration.’</w:t>
      </w:r>
      <w:r w:rsidR="00A014D2" w:rsidRPr="008A132B">
        <w:rPr>
          <w:rStyle w:val="FootnoteReference"/>
          <w:rFonts w:cs="Arial"/>
          <w:sz w:val="22"/>
          <w:lang w:val="en-ZA"/>
        </w:rPr>
        <w:footnoteReference w:id="80"/>
      </w:r>
      <w:r w:rsidR="00A014D2" w:rsidRPr="008A132B">
        <w:rPr>
          <w:rFonts w:cs="Arial"/>
          <w:szCs w:val="24"/>
          <w:lang w:val="en-ZA"/>
        </w:rPr>
        <w:t xml:space="preserve"> (emphasis added, footnote omitted)</w:t>
      </w:r>
    </w:p>
    <w:p w14:paraId="1B32E680" w14:textId="77777777" w:rsidR="000D503D" w:rsidRPr="008A132B" w:rsidRDefault="000D503D" w:rsidP="00CC12CF">
      <w:pPr>
        <w:spacing w:line="360" w:lineRule="auto"/>
        <w:jc w:val="both"/>
      </w:pPr>
    </w:p>
    <w:p w14:paraId="703A131C" w14:textId="1EB05567" w:rsidR="00182061" w:rsidRPr="008A132B" w:rsidRDefault="006D79CC" w:rsidP="006D79CC">
      <w:pPr>
        <w:spacing w:line="360" w:lineRule="auto"/>
        <w:jc w:val="both"/>
      </w:pPr>
      <w:r w:rsidRPr="008A132B">
        <w:rPr>
          <w:szCs w:val="24"/>
        </w:rPr>
        <w:t>[59]</w:t>
      </w:r>
      <w:r w:rsidRPr="008A132B">
        <w:rPr>
          <w:szCs w:val="24"/>
        </w:rPr>
        <w:tab/>
      </w:r>
      <w:r w:rsidR="00884328">
        <w:t>Thus,</w:t>
      </w:r>
      <w:r w:rsidR="00CC6968">
        <w:t xml:space="preserve"> </w:t>
      </w:r>
      <w:r w:rsidR="000D503D" w:rsidRPr="008A132B">
        <w:t>a</w:t>
      </w:r>
      <w:r w:rsidR="00947909" w:rsidRPr="008A132B">
        <w:t>dministrative conduct that has been found to be invalid</w:t>
      </w:r>
      <w:r w:rsidR="000D503D" w:rsidRPr="008A132B">
        <w:t>,</w:t>
      </w:r>
      <w:r w:rsidR="00947909" w:rsidRPr="008A132B">
        <w:t xml:space="preserve"> </w:t>
      </w:r>
      <w:r w:rsidR="00027208">
        <w:t xml:space="preserve">as Bam J found in respect of the decisions, </w:t>
      </w:r>
      <w:r w:rsidR="00947909" w:rsidRPr="008A132B">
        <w:t>may nevertheless</w:t>
      </w:r>
      <w:r w:rsidR="000D503D" w:rsidRPr="008A132B">
        <w:t xml:space="preserve"> be ordered to</w:t>
      </w:r>
      <w:r w:rsidR="00947909" w:rsidRPr="008A132B">
        <w:t xml:space="preserve"> continue to apply</w:t>
      </w:r>
      <w:r w:rsidR="00F332F5">
        <w:t xml:space="preserve">. </w:t>
      </w:r>
      <w:r w:rsidR="000D503D" w:rsidRPr="008A132B">
        <w:t>G</w:t>
      </w:r>
      <w:r w:rsidR="00182061" w:rsidRPr="008A132B">
        <w:t xml:space="preserve">iving effect to administrative conduct that has been declared invalid produces what </w:t>
      </w:r>
      <w:r w:rsidR="007C1F83">
        <w:t xml:space="preserve">has been described </w:t>
      </w:r>
      <w:r w:rsidR="00182061" w:rsidRPr="008A132B">
        <w:t xml:space="preserve">as an anomalous result. </w:t>
      </w:r>
      <w:r w:rsidR="00182061" w:rsidRPr="008A132B">
        <w:rPr>
          <w:szCs w:val="24"/>
        </w:rPr>
        <w:t>The Constitutional Court has observed that:</w:t>
      </w:r>
    </w:p>
    <w:p w14:paraId="7EFC0A63" w14:textId="369F1631" w:rsidR="00182061" w:rsidRPr="008A132B" w:rsidRDefault="00182061" w:rsidP="00CC12CF">
      <w:pPr>
        <w:pStyle w:val="Quote"/>
        <w:spacing w:before="0"/>
        <w:ind w:left="0"/>
        <w:rPr>
          <w:rFonts w:cs="Arial"/>
          <w:sz w:val="24"/>
          <w:lang w:val="en-ZA"/>
        </w:rPr>
      </w:pPr>
      <w:r w:rsidRPr="008A132B">
        <w:rPr>
          <w:rFonts w:cs="Arial"/>
          <w:lang w:val="en-ZA"/>
        </w:rPr>
        <w:t>‘</w:t>
      </w:r>
      <w:r w:rsidR="00CC4894" w:rsidRPr="008A132B">
        <w:rPr>
          <w:rFonts w:cs="Arial"/>
          <w:lang w:val="en-ZA"/>
        </w:rPr>
        <w:t>The apparent anomaly that an unlawful act can produce legally effective consequences is not one that admits easy and consistently logical solutions. But then the law often is a pragmatic blend of logic and experience. The apparent rigour of declaring conduct in conflict with the Constitution and PAJA unlawful is ameliorated in both the Constitution and PAJA by providing for a just and equitable remedy in its wake</w:t>
      </w:r>
      <w:r w:rsidRPr="008A132B">
        <w:rPr>
          <w:rFonts w:cs="Arial"/>
          <w:lang w:val="en-ZA"/>
        </w:rPr>
        <w:t>.’</w:t>
      </w:r>
      <w:r w:rsidRPr="008A132B">
        <w:rPr>
          <w:rStyle w:val="FootnoteReference"/>
          <w:rFonts w:cs="Arial"/>
          <w:lang w:val="en-ZA"/>
        </w:rPr>
        <w:footnoteReference w:id="81"/>
      </w:r>
      <w:r w:rsidR="00CC4894" w:rsidRPr="008A132B">
        <w:rPr>
          <w:rFonts w:cs="Arial"/>
          <w:lang w:val="en-ZA"/>
        </w:rPr>
        <w:t xml:space="preserve"> </w:t>
      </w:r>
      <w:r w:rsidR="00CC4894" w:rsidRPr="008A132B">
        <w:rPr>
          <w:rFonts w:cs="Arial"/>
          <w:sz w:val="24"/>
          <w:lang w:val="en-ZA"/>
        </w:rPr>
        <w:t>(footnote omitted)</w:t>
      </w:r>
    </w:p>
    <w:p w14:paraId="11E8B9E8" w14:textId="77777777" w:rsidR="00947909" w:rsidRPr="008A132B" w:rsidRDefault="00947909" w:rsidP="00CC12CF">
      <w:pPr>
        <w:pStyle w:val="2"/>
        <w:numPr>
          <w:ilvl w:val="0"/>
          <w:numId w:val="0"/>
        </w:numPr>
        <w:spacing w:before="0" w:line="360" w:lineRule="auto"/>
        <w:rPr>
          <w:rFonts w:cs="Arial"/>
          <w:szCs w:val="24"/>
          <w:lang w:val="en-ZA"/>
        </w:rPr>
      </w:pPr>
    </w:p>
    <w:p w14:paraId="507BB00E" w14:textId="2FE92800" w:rsidR="0001291F"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[60]</w:t>
      </w:r>
      <w:r w:rsidRPr="008A132B">
        <w:rPr>
          <w:rFonts w:cs="Arial"/>
          <w:iCs w:val="0"/>
          <w:szCs w:val="24"/>
          <w:lang w:val="en-ZA"/>
        </w:rPr>
        <w:tab/>
      </w:r>
      <w:r w:rsidR="00320D21" w:rsidRPr="008A132B">
        <w:rPr>
          <w:rFonts w:cs="Arial"/>
          <w:szCs w:val="24"/>
          <w:lang w:val="en-ZA"/>
        </w:rPr>
        <w:t xml:space="preserve">The </w:t>
      </w:r>
      <w:r w:rsidR="000D503D" w:rsidRPr="008A132B">
        <w:rPr>
          <w:rFonts w:cs="Arial"/>
          <w:szCs w:val="24"/>
          <w:lang w:val="en-ZA"/>
        </w:rPr>
        <w:t xml:space="preserve">question then more specifically becomes whether a court </w:t>
      </w:r>
      <w:r w:rsidR="00E40C18">
        <w:rPr>
          <w:rFonts w:cs="Arial"/>
          <w:szCs w:val="24"/>
          <w:lang w:val="en-ZA"/>
        </w:rPr>
        <w:t xml:space="preserve">which has found </w:t>
      </w:r>
      <w:r w:rsidR="000D503D" w:rsidRPr="008A132B">
        <w:rPr>
          <w:rFonts w:cs="Arial"/>
          <w:szCs w:val="24"/>
          <w:lang w:val="en-ZA"/>
        </w:rPr>
        <w:t xml:space="preserve">administrative conduct invalid, </w:t>
      </w:r>
      <w:r w:rsidR="00E40C18">
        <w:rPr>
          <w:rFonts w:cs="Arial"/>
          <w:szCs w:val="24"/>
          <w:lang w:val="en-ZA"/>
        </w:rPr>
        <w:t xml:space="preserve">nevertheless </w:t>
      </w:r>
      <w:r w:rsidR="000D503D" w:rsidRPr="008A132B">
        <w:rPr>
          <w:rFonts w:cs="Arial"/>
          <w:szCs w:val="24"/>
          <w:lang w:val="en-ZA"/>
        </w:rPr>
        <w:t xml:space="preserve">intended, as a just and equitable remedy, that the administrative conduct </w:t>
      </w:r>
      <w:r w:rsidR="00E40C18">
        <w:rPr>
          <w:rFonts w:cs="Arial"/>
          <w:szCs w:val="24"/>
          <w:lang w:val="en-ZA"/>
        </w:rPr>
        <w:t xml:space="preserve">should continue to exist </w:t>
      </w:r>
      <w:r w:rsidR="000D503D" w:rsidRPr="008A132B">
        <w:rPr>
          <w:rFonts w:cs="Arial"/>
          <w:szCs w:val="24"/>
          <w:lang w:val="en-ZA"/>
        </w:rPr>
        <w:t xml:space="preserve">and </w:t>
      </w:r>
      <w:r w:rsidR="00F332F5">
        <w:rPr>
          <w:rFonts w:cs="Arial"/>
          <w:szCs w:val="24"/>
          <w:lang w:val="en-ZA"/>
        </w:rPr>
        <w:t xml:space="preserve">that </w:t>
      </w:r>
      <w:r w:rsidR="000D503D" w:rsidRPr="008A132B">
        <w:rPr>
          <w:rFonts w:cs="Arial"/>
          <w:szCs w:val="24"/>
          <w:lang w:val="en-ZA"/>
        </w:rPr>
        <w:t>effect be given thereto. Whether that is the intended result depends on the terms of the judgment.</w:t>
      </w:r>
    </w:p>
    <w:p w14:paraId="47760DF6" w14:textId="23D8D54D" w:rsidR="000D503D" w:rsidRPr="008A132B" w:rsidRDefault="000D503D" w:rsidP="00CC12CF">
      <w:pPr>
        <w:pStyle w:val="2"/>
        <w:numPr>
          <w:ilvl w:val="0"/>
          <w:numId w:val="0"/>
        </w:numPr>
        <w:spacing w:before="0" w:line="360" w:lineRule="auto"/>
        <w:rPr>
          <w:rFonts w:cs="Arial"/>
          <w:szCs w:val="24"/>
          <w:lang w:val="en-ZA"/>
        </w:rPr>
      </w:pPr>
      <w:r w:rsidRPr="008A132B">
        <w:rPr>
          <w:rFonts w:cs="Arial"/>
          <w:szCs w:val="24"/>
          <w:lang w:val="en-ZA"/>
        </w:rPr>
        <w:t xml:space="preserve">  </w:t>
      </w:r>
    </w:p>
    <w:p w14:paraId="091C4537" w14:textId="4F028D07" w:rsidR="006A0F06"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[61]</w:t>
      </w:r>
      <w:r w:rsidRPr="008A132B">
        <w:rPr>
          <w:rFonts w:cs="Arial"/>
          <w:iCs w:val="0"/>
          <w:szCs w:val="24"/>
          <w:lang w:val="en-ZA"/>
        </w:rPr>
        <w:tab/>
      </w:r>
      <w:r w:rsidR="0001291F" w:rsidRPr="008A132B">
        <w:rPr>
          <w:rFonts w:cs="Arial"/>
          <w:szCs w:val="24"/>
          <w:lang w:val="en-ZA"/>
        </w:rPr>
        <w:t xml:space="preserve">The </w:t>
      </w:r>
      <w:r w:rsidR="00320D21" w:rsidRPr="008A132B">
        <w:rPr>
          <w:rFonts w:cs="Arial"/>
          <w:szCs w:val="24"/>
          <w:lang w:val="en-ZA"/>
        </w:rPr>
        <w:t xml:space="preserve">general principle is that </w:t>
      </w:r>
      <w:r w:rsidR="0001291F" w:rsidRPr="008A132B">
        <w:rPr>
          <w:rFonts w:cs="Arial"/>
          <w:szCs w:val="24"/>
          <w:lang w:val="en-ZA"/>
        </w:rPr>
        <w:t xml:space="preserve">when </w:t>
      </w:r>
      <w:r w:rsidR="006A0F06" w:rsidRPr="008A132B">
        <w:rPr>
          <w:rFonts w:cs="Arial"/>
          <w:szCs w:val="24"/>
          <w:lang w:val="en-ZA"/>
        </w:rPr>
        <w:t xml:space="preserve">a court declares an administrative decision invalid, </w:t>
      </w:r>
      <w:r w:rsidR="007C1F83">
        <w:rPr>
          <w:rFonts w:cs="Arial"/>
          <w:szCs w:val="24"/>
          <w:lang w:val="en-ZA"/>
        </w:rPr>
        <w:t>the decision</w:t>
      </w:r>
      <w:r w:rsidR="006A0F06" w:rsidRPr="008A132B">
        <w:rPr>
          <w:rFonts w:cs="Arial"/>
          <w:szCs w:val="24"/>
          <w:lang w:val="en-ZA"/>
        </w:rPr>
        <w:t xml:space="preserve"> is a nullity, </w:t>
      </w:r>
      <w:r w:rsidR="00CD47E6" w:rsidRPr="008A132B">
        <w:rPr>
          <w:rFonts w:cs="Arial"/>
          <w:szCs w:val="24"/>
          <w:lang w:val="en-ZA"/>
        </w:rPr>
        <w:t xml:space="preserve">and </w:t>
      </w:r>
      <w:r w:rsidR="006A0F06" w:rsidRPr="008A132B">
        <w:rPr>
          <w:rFonts w:cs="Arial"/>
          <w:szCs w:val="24"/>
          <w:lang w:val="en-ZA"/>
        </w:rPr>
        <w:t>has no effect in law</w:t>
      </w:r>
      <w:r w:rsidR="007C1F83">
        <w:rPr>
          <w:rFonts w:cs="Arial"/>
          <w:szCs w:val="24"/>
          <w:lang w:val="en-ZA"/>
        </w:rPr>
        <w:t>;</w:t>
      </w:r>
      <w:r w:rsidR="006A0F06" w:rsidRPr="008A132B">
        <w:rPr>
          <w:rStyle w:val="FootnoteReference"/>
          <w:rFonts w:cs="Arial"/>
          <w:szCs w:val="24"/>
          <w:lang w:val="en-ZA"/>
        </w:rPr>
        <w:footnoteReference w:id="82"/>
      </w:r>
      <w:r w:rsidR="00CC4894" w:rsidRPr="008A132B">
        <w:rPr>
          <w:rFonts w:cs="Arial"/>
          <w:szCs w:val="24"/>
          <w:lang w:val="en-ZA"/>
        </w:rPr>
        <w:t xml:space="preserve"> </w:t>
      </w:r>
      <w:r w:rsidR="006A0F06" w:rsidRPr="008A132B">
        <w:rPr>
          <w:rFonts w:cs="Arial"/>
          <w:szCs w:val="24"/>
          <w:lang w:val="en-ZA"/>
        </w:rPr>
        <w:t xml:space="preserve">it is as though that administrative decision never existed. </w:t>
      </w:r>
    </w:p>
    <w:p w14:paraId="35C86B68" w14:textId="77777777" w:rsidR="008959B2" w:rsidRPr="008A132B" w:rsidRDefault="008959B2" w:rsidP="00CC12CF">
      <w:pPr>
        <w:pStyle w:val="2"/>
        <w:numPr>
          <w:ilvl w:val="0"/>
          <w:numId w:val="0"/>
        </w:numPr>
        <w:spacing w:before="0" w:line="360" w:lineRule="auto"/>
        <w:rPr>
          <w:rFonts w:cs="Arial"/>
          <w:szCs w:val="24"/>
          <w:lang w:val="en-ZA"/>
        </w:rPr>
      </w:pPr>
    </w:p>
    <w:p w14:paraId="058487EA" w14:textId="27B7BE0C" w:rsidR="00CD47E6" w:rsidRPr="00646522" w:rsidRDefault="006D79CC" w:rsidP="006D79CC">
      <w:pPr>
        <w:spacing w:line="360" w:lineRule="auto"/>
        <w:jc w:val="both"/>
        <w:rPr>
          <w:szCs w:val="24"/>
        </w:rPr>
      </w:pPr>
      <w:r w:rsidRPr="00646522">
        <w:rPr>
          <w:szCs w:val="24"/>
        </w:rPr>
        <w:lastRenderedPageBreak/>
        <w:t>[62]</w:t>
      </w:r>
      <w:r w:rsidRPr="00646522">
        <w:rPr>
          <w:szCs w:val="24"/>
        </w:rPr>
        <w:tab/>
      </w:r>
      <w:r w:rsidR="00750EEB" w:rsidRPr="008A132B">
        <w:t xml:space="preserve">Bam J </w:t>
      </w:r>
      <w:r w:rsidR="00750EEB" w:rsidRPr="008A132B">
        <w:rPr>
          <w:szCs w:val="24"/>
        </w:rPr>
        <w:t xml:space="preserve">issued a declarator that the </w:t>
      </w:r>
      <w:r w:rsidR="00CC4894" w:rsidRPr="008A132B">
        <w:rPr>
          <w:szCs w:val="24"/>
        </w:rPr>
        <w:t>director general</w:t>
      </w:r>
      <w:r w:rsidR="00750EEB" w:rsidRPr="008A132B">
        <w:rPr>
          <w:szCs w:val="24"/>
        </w:rPr>
        <w:t xml:space="preserve">’s decision of 31 May 2016, in awarding the </w:t>
      </w:r>
      <w:r w:rsidR="00CC4894" w:rsidRPr="008A132B">
        <w:rPr>
          <w:szCs w:val="24"/>
        </w:rPr>
        <w:t xml:space="preserve">mining right </w:t>
      </w:r>
      <w:r w:rsidR="00750EEB" w:rsidRPr="008A132B">
        <w:rPr>
          <w:szCs w:val="24"/>
        </w:rPr>
        <w:t xml:space="preserve">to Tendele, and the </w:t>
      </w:r>
      <w:r w:rsidR="00CC4894" w:rsidRPr="008A132B">
        <w:rPr>
          <w:szCs w:val="24"/>
        </w:rPr>
        <w:t xml:space="preserve">regional managers </w:t>
      </w:r>
      <w:r w:rsidR="00750EEB" w:rsidRPr="008A132B">
        <w:rPr>
          <w:szCs w:val="24"/>
        </w:rPr>
        <w:t xml:space="preserve">decision of 26 October 2016, in approving Tendele’s EMPr, were invalid. </w:t>
      </w:r>
      <w:r w:rsidR="006A0F06" w:rsidRPr="00646522">
        <w:rPr>
          <w:szCs w:val="24"/>
        </w:rPr>
        <w:t>If th</w:t>
      </w:r>
      <w:r w:rsidR="00320D21" w:rsidRPr="00646522">
        <w:rPr>
          <w:szCs w:val="24"/>
        </w:rPr>
        <w:t xml:space="preserve">e order of Bam J </w:t>
      </w:r>
      <w:r w:rsidR="009F68DC" w:rsidRPr="00646522">
        <w:rPr>
          <w:szCs w:val="24"/>
        </w:rPr>
        <w:t xml:space="preserve">ended </w:t>
      </w:r>
      <w:r w:rsidR="00027208" w:rsidRPr="00646522">
        <w:rPr>
          <w:szCs w:val="24"/>
        </w:rPr>
        <w:t xml:space="preserve">simply </w:t>
      </w:r>
      <w:r w:rsidR="009F68DC" w:rsidRPr="00646522">
        <w:rPr>
          <w:szCs w:val="24"/>
        </w:rPr>
        <w:t>with the declaration of invalidity</w:t>
      </w:r>
      <w:r w:rsidR="00320D21" w:rsidRPr="00646522">
        <w:rPr>
          <w:szCs w:val="24"/>
        </w:rPr>
        <w:t xml:space="preserve">, </w:t>
      </w:r>
      <w:r w:rsidR="006A0F06" w:rsidRPr="00646522">
        <w:rPr>
          <w:szCs w:val="24"/>
        </w:rPr>
        <w:t xml:space="preserve">without any </w:t>
      </w:r>
      <w:r w:rsidR="00750EEB" w:rsidRPr="00646522">
        <w:rPr>
          <w:szCs w:val="24"/>
        </w:rPr>
        <w:t xml:space="preserve">further </w:t>
      </w:r>
      <w:r w:rsidR="006A0F06" w:rsidRPr="00646522">
        <w:rPr>
          <w:szCs w:val="24"/>
        </w:rPr>
        <w:t xml:space="preserve">qualification, then the </w:t>
      </w:r>
      <w:r w:rsidR="006A0F06" w:rsidRPr="008A132B">
        <w:t xml:space="preserve">finding of invalidity of </w:t>
      </w:r>
      <w:r w:rsidR="006A0F06" w:rsidRPr="00646522">
        <w:rPr>
          <w:szCs w:val="24"/>
        </w:rPr>
        <w:t>the decisions would have the legal consequence that the</w:t>
      </w:r>
      <w:r w:rsidR="005665BF" w:rsidRPr="00646522">
        <w:rPr>
          <w:szCs w:val="24"/>
        </w:rPr>
        <w:t xml:space="preserve">y </w:t>
      </w:r>
      <w:r w:rsidR="006A0F06" w:rsidRPr="00646522">
        <w:rPr>
          <w:szCs w:val="24"/>
        </w:rPr>
        <w:t>would be regarded as a nullity from the outset, no mining activities could commence, and there would also be no decisions in respect of which a</w:t>
      </w:r>
      <w:r w:rsidR="00750EEB" w:rsidRPr="00646522">
        <w:rPr>
          <w:szCs w:val="24"/>
        </w:rPr>
        <w:t xml:space="preserve"> further</w:t>
      </w:r>
      <w:r w:rsidR="006A0F06" w:rsidRPr="00646522">
        <w:rPr>
          <w:szCs w:val="24"/>
        </w:rPr>
        <w:t xml:space="preserve"> appeal could lie</w:t>
      </w:r>
      <w:r w:rsidR="009F68DC" w:rsidRPr="00646522">
        <w:rPr>
          <w:szCs w:val="24"/>
        </w:rPr>
        <w:t xml:space="preserve"> to the Minister</w:t>
      </w:r>
      <w:r w:rsidR="006A0F06" w:rsidRPr="00646522">
        <w:rPr>
          <w:szCs w:val="24"/>
        </w:rPr>
        <w:t xml:space="preserve">. </w:t>
      </w:r>
    </w:p>
    <w:p w14:paraId="485ED148" w14:textId="77777777" w:rsidR="00CD47E6" w:rsidRPr="008A132B" w:rsidRDefault="00CD47E6" w:rsidP="00CC12CF">
      <w:pPr>
        <w:spacing w:line="360" w:lineRule="auto"/>
        <w:jc w:val="both"/>
      </w:pPr>
    </w:p>
    <w:p w14:paraId="43869A70" w14:textId="76835744" w:rsidR="008959B2" w:rsidRPr="008A132B" w:rsidRDefault="006D79CC" w:rsidP="006D79CC">
      <w:pPr>
        <w:spacing w:line="360" w:lineRule="auto"/>
        <w:jc w:val="both"/>
        <w:rPr>
          <w:b/>
          <w:bCs/>
        </w:rPr>
      </w:pPr>
      <w:r w:rsidRPr="008A132B">
        <w:rPr>
          <w:szCs w:val="24"/>
        </w:rPr>
        <w:t>[63]</w:t>
      </w:r>
      <w:r w:rsidRPr="008A132B">
        <w:rPr>
          <w:szCs w:val="24"/>
        </w:rPr>
        <w:tab/>
      </w:r>
      <w:r w:rsidR="007655E9" w:rsidRPr="008A132B">
        <w:t>Although the words ‘set aside’ are often used in conjunction with a declaration of invalidity, they need not necessarily follow a declaration of invalidity. If following the declaration of invalidity the decisions were expressly said to be set aside, the result, in the absence of any other indications, would be the same as if there was simply a declaration of invalidity unqualified.</w:t>
      </w:r>
      <w:r w:rsidR="00446F76">
        <w:t xml:space="preserve"> It </w:t>
      </w:r>
      <w:r w:rsidR="00646522">
        <w:t xml:space="preserve">would be </w:t>
      </w:r>
      <w:r w:rsidR="00446F76">
        <w:t>as if the decisions have expressly been declared to be set aside.</w:t>
      </w:r>
    </w:p>
    <w:p w14:paraId="2F53170F" w14:textId="77777777" w:rsidR="00CC12CF" w:rsidRPr="008A132B" w:rsidRDefault="00CC12CF" w:rsidP="00CC12CF">
      <w:pPr>
        <w:spacing w:line="360" w:lineRule="auto"/>
        <w:jc w:val="both"/>
        <w:rPr>
          <w:b/>
          <w:bCs/>
        </w:rPr>
      </w:pPr>
    </w:p>
    <w:p w14:paraId="529FE08F" w14:textId="6A73C617" w:rsidR="006A0F06"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[64]</w:t>
      </w:r>
      <w:r w:rsidRPr="008A132B">
        <w:rPr>
          <w:rFonts w:cs="Arial"/>
          <w:iCs w:val="0"/>
          <w:szCs w:val="24"/>
          <w:lang w:val="en-ZA"/>
        </w:rPr>
        <w:tab/>
      </w:r>
      <w:r w:rsidR="006A0F06" w:rsidRPr="008A132B">
        <w:rPr>
          <w:lang w:val="en-ZA"/>
        </w:rPr>
        <w:t xml:space="preserve">Having issued the order of invalidity Bam J would have been aware of the legal effect of </w:t>
      </w:r>
      <w:r w:rsidR="005665BF">
        <w:rPr>
          <w:lang w:val="en-ZA"/>
        </w:rPr>
        <w:t xml:space="preserve">her </w:t>
      </w:r>
      <w:r w:rsidR="006A0F06" w:rsidRPr="008A132B">
        <w:rPr>
          <w:lang w:val="en-ZA"/>
        </w:rPr>
        <w:t xml:space="preserve">order of invalidity, and that she </w:t>
      </w:r>
      <w:r w:rsidR="006A0F06" w:rsidRPr="008A132B">
        <w:rPr>
          <w:rFonts w:cs="Arial"/>
          <w:szCs w:val="24"/>
          <w:lang w:val="en-ZA"/>
        </w:rPr>
        <w:t>has the power, if appropriate and to the extent required</w:t>
      </w:r>
      <w:r w:rsidR="00AB4F35" w:rsidRPr="008A132B">
        <w:rPr>
          <w:rFonts w:cs="Arial"/>
          <w:szCs w:val="24"/>
          <w:lang w:val="en-ZA"/>
        </w:rPr>
        <w:t>,</w:t>
      </w:r>
      <w:r w:rsidR="006A0F06" w:rsidRPr="008A132B">
        <w:rPr>
          <w:rFonts w:cs="Arial"/>
          <w:szCs w:val="24"/>
          <w:lang w:val="en-ZA"/>
        </w:rPr>
        <w:t xml:space="preserve"> to prevent the consequences of nullity being visited on th</w:t>
      </w:r>
      <w:r w:rsidR="00AB4F35" w:rsidRPr="008A132B">
        <w:rPr>
          <w:rFonts w:cs="Arial"/>
          <w:szCs w:val="24"/>
          <w:lang w:val="en-ZA"/>
        </w:rPr>
        <w:t>e</w:t>
      </w:r>
      <w:r w:rsidR="006A0F06" w:rsidRPr="008A132B">
        <w:rPr>
          <w:rFonts w:cs="Arial"/>
          <w:szCs w:val="24"/>
          <w:lang w:val="en-ZA"/>
        </w:rPr>
        <w:t xml:space="preserve"> decision</w:t>
      </w:r>
      <w:r w:rsidR="00AB4F35" w:rsidRPr="008A132B">
        <w:rPr>
          <w:rFonts w:cs="Arial"/>
          <w:szCs w:val="24"/>
          <w:lang w:val="en-ZA"/>
        </w:rPr>
        <w:t>s</w:t>
      </w:r>
      <w:r w:rsidR="006A0F06" w:rsidRPr="008A132B">
        <w:rPr>
          <w:rFonts w:cs="Arial"/>
          <w:szCs w:val="24"/>
          <w:lang w:val="en-ZA"/>
        </w:rPr>
        <w:t>, by making any order that is just and equitable</w:t>
      </w:r>
      <w:r w:rsidR="002F4534" w:rsidRPr="008A132B">
        <w:rPr>
          <w:rFonts w:cs="Arial"/>
          <w:szCs w:val="24"/>
          <w:lang w:val="en-ZA"/>
        </w:rPr>
        <w:t xml:space="preserve"> in terms of s 172(1)</w:t>
      </w:r>
      <w:r w:rsidR="002F4534" w:rsidRPr="008A132B">
        <w:rPr>
          <w:rFonts w:cs="Arial"/>
          <w:i/>
          <w:szCs w:val="24"/>
          <w:lang w:val="en-ZA"/>
        </w:rPr>
        <w:t>(b)</w:t>
      </w:r>
      <w:r w:rsidR="00884781" w:rsidRPr="008A132B">
        <w:rPr>
          <w:rFonts w:cs="Arial"/>
          <w:szCs w:val="24"/>
          <w:lang w:val="en-ZA"/>
        </w:rPr>
        <w:t xml:space="preserve"> of the Constitution</w:t>
      </w:r>
      <w:r w:rsidR="002F4534" w:rsidRPr="008A132B">
        <w:rPr>
          <w:rFonts w:cs="Arial"/>
          <w:szCs w:val="24"/>
          <w:lang w:val="en-ZA"/>
        </w:rPr>
        <w:t>.</w:t>
      </w:r>
      <w:r w:rsidR="006A0F06" w:rsidRPr="008A132B">
        <w:rPr>
          <w:rFonts w:cs="Arial"/>
          <w:szCs w:val="24"/>
          <w:lang w:val="en-ZA"/>
        </w:rPr>
        <w:t xml:space="preserve"> </w:t>
      </w:r>
      <w:r w:rsidR="006A0F06" w:rsidRPr="008A132B">
        <w:rPr>
          <w:lang w:val="en-ZA"/>
        </w:rPr>
        <w:t>S</w:t>
      </w:r>
      <w:r w:rsidR="00884781" w:rsidRPr="008A132B">
        <w:rPr>
          <w:lang w:val="en-ZA"/>
        </w:rPr>
        <w:t>ection</w:t>
      </w:r>
      <w:r w:rsidR="006A0F06" w:rsidRPr="008A132B">
        <w:rPr>
          <w:lang w:val="en-ZA"/>
        </w:rPr>
        <w:t xml:space="preserve"> 172(1)</w:t>
      </w:r>
      <w:r w:rsidR="006A0F06" w:rsidRPr="008A132B">
        <w:rPr>
          <w:i/>
          <w:lang w:val="en-ZA"/>
        </w:rPr>
        <w:t>(b)</w:t>
      </w:r>
      <w:r w:rsidR="006A0F06" w:rsidRPr="008A132B">
        <w:rPr>
          <w:lang w:val="en-ZA"/>
        </w:rPr>
        <w:t xml:space="preserve"> </w:t>
      </w:r>
      <w:r w:rsidR="00565678" w:rsidRPr="008A132B">
        <w:rPr>
          <w:rFonts w:cs="Arial"/>
          <w:szCs w:val="24"/>
          <w:lang w:val="en-ZA"/>
        </w:rPr>
        <w:t>is a provision</w:t>
      </w:r>
      <w:r w:rsidR="00027208">
        <w:rPr>
          <w:rFonts w:cs="Arial"/>
          <w:szCs w:val="24"/>
          <w:lang w:val="en-ZA"/>
        </w:rPr>
        <w:t>, it has been held,</w:t>
      </w:r>
      <w:r w:rsidR="00565678" w:rsidRPr="008A132B">
        <w:rPr>
          <w:rFonts w:cs="Arial"/>
          <w:szCs w:val="24"/>
          <w:lang w:val="en-ZA"/>
        </w:rPr>
        <w:t xml:space="preserve"> which:</w:t>
      </w:r>
      <w:r w:rsidR="006A0F06" w:rsidRPr="008A132B">
        <w:rPr>
          <w:rFonts w:cs="Arial"/>
          <w:szCs w:val="24"/>
          <w:lang w:val="en-ZA"/>
        </w:rPr>
        <w:t xml:space="preserve"> </w:t>
      </w:r>
    </w:p>
    <w:p w14:paraId="5A76A038" w14:textId="14BD2AB6" w:rsidR="006A0F06" w:rsidRPr="008A132B" w:rsidRDefault="006A0F06" w:rsidP="00CC12CF">
      <w:pPr>
        <w:pStyle w:val="2"/>
        <w:numPr>
          <w:ilvl w:val="0"/>
          <w:numId w:val="0"/>
        </w:numPr>
        <w:spacing w:before="0" w:line="360" w:lineRule="auto"/>
        <w:rPr>
          <w:rFonts w:cs="Arial"/>
          <w:iCs w:val="0"/>
          <w:sz w:val="22"/>
          <w:lang w:val="en-ZA"/>
        </w:rPr>
      </w:pPr>
      <w:r w:rsidRPr="008A132B">
        <w:rPr>
          <w:rFonts w:cs="Arial"/>
          <w:sz w:val="22"/>
          <w:lang w:val="en-ZA"/>
        </w:rPr>
        <w:t>‘</w:t>
      </w:r>
      <w:r w:rsidR="00565678" w:rsidRPr="008A132B">
        <w:rPr>
          <w:rFonts w:cs="Arial"/>
          <w:iCs w:val="0"/>
          <w:sz w:val="22"/>
          <w:lang w:val="en-ZA"/>
        </w:rPr>
        <w:t>clothes our courts with remedial powers so extensive that they ought to be able to craft an appropriate or just remedy even for exceptional, complex or apparently irresoluble situations.  And the operative words in this section are “an order that is just and equitable”.  This means that whatever considerations of justice and equity point to as the appropriate solution for a particular problem, may justifiably be used to remedy that problem.  If justice and equity would best be served or advanced by that remedy, then it ought to prevail as a constitutionally sanctioned order contemplated in section 172(1)</w:t>
      </w:r>
      <w:r w:rsidR="00565678" w:rsidRPr="008A132B">
        <w:rPr>
          <w:rFonts w:cs="Arial"/>
          <w:i/>
          <w:iCs w:val="0"/>
          <w:sz w:val="22"/>
          <w:lang w:val="en-ZA"/>
        </w:rPr>
        <w:t>(b)</w:t>
      </w:r>
      <w:r w:rsidRPr="008A132B">
        <w:rPr>
          <w:rFonts w:cs="Arial"/>
          <w:iCs w:val="0"/>
          <w:sz w:val="22"/>
          <w:lang w:val="en-ZA"/>
        </w:rPr>
        <w:t>.’</w:t>
      </w:r>
      <w:r w:rsidRPr="008A132B">
        <w:rPr>
          <w:rStyle w:val="FootnoteReference"/>
          <w:rFonts w:cs="Arial"/>
          <w:iCs w:val="0"/>
          <w:sz w:val="22"/>
          <w:lang w:val="en-ZA"/>
        </w:rPr>
        <w:footnoteReference w:id="83"/>
      </w:r>
    </w:p>
    <w:p w14:paraId="21C1DA25" w14:textId="77777777" w:rsidR="008959B2" w:rsidRPr="008A132B" w:rsidRDefault="008959B2" w:rsidP="00CC12CF">
      <w:pPr>
        <w:pStyle w:val="2"/>
        <w:numPr>
          <w:ilvl w:val="0"/>
          <w:numId w:val="0"/>
        </w:numPr>
        <w:spacing w:before="0" w:line="360" w:lineRule="auto"/>
        <w:rPr>
          <w:rFonts w:cs="Arial"/>
          <w:iCs w:val="0"/>
          <w:sz w:val="22"/>
          <w:lang w:val="en-ZA"/>
        </w:rPr>
      </w:pPr>
    </w:p>
    <w:p w14:paraId="4B37CB43" w14:textId="00201935" w:rsidR="0001291F" w:rsidRPr="008A132B" w:rsidRDefault="006D79CC" w:rsidP="006D79CC">
      <w:pPr>
        <w:spacing w:line="360" w:lineRule="auto"/>
        <w:jc w:val="both"/>
      </w:pPr>
      <w:r w:rsidRPr="008A132B">
        <w:rPr>
          <w:szCs w:val="24"/>
        </w:rPr>
        <w:t>[65]</w:t>
      </w:r>
      <w:r w:rsidRPr="008A132B">
        <w:rPr>
          <w:szCs w:val="24"/>
        </w:rPr>
        <w:tab/>
      </w:r>
      <w:r w:rsidR="009F68DC" w:rsidRPr="008A132B">
        <w:rPr>
          <w:szCs w:val="24"/>
        </w:rPr>
        <w:t xml:space="preserve">That is what </w:t>
      </w:r>
      <w:r w:rsidR="00027208">
        <w:rPr>
          <w:szCs w:val="24"/>
        </w:rPr>
        <w:t xml:space="preserve">Bam J </w:t>
      </w:r>
      <w:r w:rsidR="009F68DC" w:rsidRPr="008A132B">
        <w:rPr>
          <w:szCs w:val="24"/>
        </w:rPr>
        <w:t xml:space="preserve">did. Her </w:t>
      </w:r>
      <w:r w:rsidR="0001291F" w:rsidRPr="008A132B">
        <w:rPr>
          <w:szCs w:val="24"/>
        </w:rPr>
        <w:t xml:space="preserve">order did not end </w:t>
      </w:r>
      <w:r w:rsidR="00027208">
        <w:rPr>
          <w:szCs w:val="24"/>
        </w:rPr>
        <w:t xml:space="preserve">simply </w:t>
      </w:r>
      <w:r w:rsidR="0001291F" w:rsidRPr="008A132B">
        <w:rPr>
          <w:szCs w:val="24"/>
        </w:rPr>
        <w:t xml:space="preserve">with a declaration of invalidity. She was asked to and </w:t>
      </w:r>
      <w:r w:rsidR="00446F76">
        <w:rPr>
          <w:szCs w:val="24"/>
        </w:rPr>
        <w:t xml:space="preserve">did </w:t>
      </w:r>
      <w:r w:rsidR="0001291F" w:rsidRPr="008A132B">
        <w:rPr>
          <w:szCs w:val="24"/>
        </w:rPr>
        <w:t>consider</w:t>
      </w:r>
      <w:r w:rsidR="00446F76">
        <w:rPr>
          <w:szCs w:val="24"/>
        </w:rPr>
        <w:t xml:space="preserve"> what would be</w:t>
      </w:r>
      <w:r w:rsidR="0001291F" w:rsidRPr="008A132B">
        <w:rPr>
          <w:szCs w:val="24"/>
        </w:rPr>
        <w:t xml:space="preserve"> a just and equitable remedy. She did not set </w:t>
      </w:r>
      <w:r w:rsidR="00027208">
        <w:rPr>
          <w:szCs w:val="24"/>
        </w:rPr>
        <w:t xml:space="preserve">aside </w:t>
      </w:r>
      <w:r w:rsidR="0001291F" w:rsidRPr="008A132B">
        <w:rPr>
          <w:szCs w:val="24"/>
        </w:rPr>
        <w:t xml:space="preserve">the decisions she had found to be invalid; on the contrary, she expressly declared that the decisions were </w:t>
      </w:r>
      <w:r w:rsidR="00027208">
        <w:rPr>
          <w:szCs w:val="24"/>
        </w:rPr>
        <w:t>‘</w:t>
      </w:r>
      <w:r w:rsidR="0001291F" w:rsidRPr="008A132B">
        <w:rPr>
          <w:szCs w:val="24"/>
        </w:rPr>
        <w:t>not set aside.</w:t>
      </w:r>
      <w:r w:rsidR="00027208">
        <w:rPr>
          <w:szCs w:val="24"/>
        </w:rPr>
        <w:t>’</w:t>
      </w:r>
      <w:r w:rsidR="0001291F" w:rsidRPr="008A132B">
        <w:rPr>
          <w:szCs w:val="24"/>
        </w:rPr>
        <w:t xml:space="preserve">  </w:t>
      </w:r>
    </w:p>
    <w:p w14:paraId="7B5D73FE" w14:textId="77777777" w:rsidR="0001291F" w:rsidRPr="008A132B" w:rsidRDefault="0001291F" w:rsidP="00CC12CF">
      <w:pPr>
        <w:spacing w:line="360" w:lineRule="auto"/>
        <w:jc w:val="both"/>
      </w:pPr>
    </w:p>
    <w:p w14:paraId="163B0C69" w14:textId="53BFCCC9" w:rsidR="00836018" w:rsidRPr="008A132B" w:rsidRDefault="006D79CC" w:rsidP="006D79CC">
      <w:pPr>
        <w:spacing w:line="360" w:lineRule="auto"/>
        <w:jc w:val="both"/>
      </w:pPr>
      <w:r w:rsidRPr="008A132B">
        <w:rPr>
          <w:szCs w:val="24"/>
        </w:rPr>
        <w:t>[66]</w:t>
      </w:r>
      <w:r w:rsidRPr="008A132B">
        <w:rPr>
          <w:szCs w:val="24"/>
        </w:rPr>
        <w:tab/>
      </w:r>
      <w:r w:rsidR="0001291F" w:rsidRPr="008A132B">
        <w:t>In the portion of her judgment dealing with a just and equitable remedy</w:t>
      </w:r>
      <w:r w:rsidR="00312785" w:rsidRPr="008A132B">
        <w:rPr>
          <w:rStyle w:val="FootnoteReference"/>
        </w:rPr>
        <w:footnoteReference w:id="84"/>
      </w:r>
      <w:r w:rsidR="00312785" w:rsidRPr="008A132B">
        <w:t xml:space="preserve"> </w:t>
      </w:r>
      <w:r w:rsidR="004603A4" w:rsidRPr="008A132B">
        <w:t>Bam </w:t>
      </w:r>
      <w:r w:rsidR="0001291F" w:rsidRPr="008A132B">
        <w:t xml:space="preserve">J recorded that the applicants had argued </w:t>
      </w:r>
      <w:r w:rsidR="00312785" w:rsidRPr="008A132B">
        <w:t xml:space="preserve">that the appropriate remedy was one that Tendele commence its application for a mining licence afresh. The applicants </w:t>
      </w:r>
      <w:r w:rsidR="0001291F" w:rsidRPr="008A132B">
        <w:t xml:space="preserve">had </w:t>
      </w:r>
      <w:r w:rsidR="00312785" w:rsidRPr="008A132B">
        <w:t xml:space="preserve">argued that this would be the only remedy that would suit the circumstances of the case, as opposed to </w:t>
      </w:r>
      <w:r w:rsidR="0001291F" w:rsidRPr="008A132B">
        <w:t xml:space="preserve">a </w:t>
      </w:r>
      <w:r w:rsidR="00312785" w:rsidRPr="008A132B">
        <w:t xml:space="preserve">remittal </w:t>
      </w:r>
      <w:r w:rsidR="0001291F" w:rsidRPr="008A132B">
        <w:t xml:space="preserve">of the appeal </w:t>
      </w:r>
      <w:r w:rsidR="00312785" w:rsidRPr="008A132B">
        <w:t xml:space="preserve">to the Minister, as </w:t>
      </w:r>
      <w:r w:rsidR="0001291F" w:rsidRPr="008A132B">
        <w:t xml:space="preserve">was </w:t>
      </w:r>
      <w:r w:rsidR="00312785" w:rsidRPr="008A132B">
        <w:t xml:space="preserve">sought by Tendele, and </w:t>
      </w:r>
      <w:r w:rsidR="0001291F" w:rsidRPr="008A132B">
        <w:t xml:space="preserve">that as such an </w:t>
      </w:r>
      <w:r w:rsidR="00312785" w:rsidRPr="008A132B">
        <w:t xml:space="preserve">appeal would not suspend </w:t>
      </w:r>
      <w:r w:rsidR="00AD094A" w:rsidRPr="008A132B">
        <w:t>the administrative decision resulting in the grant of the mining licence</w:t>
      </w:r>
      <w:r w:rsidR="0001291F" w:rsidRPr="008A132B">
        <w:t>,</w:t>
      </w:r>
      <w:r w:rsidR="00AD094A" w:rsidRPr="008A132B">
        <w:t xml:space="preserve"> unless </w:t>
      </w:r>
      <w:r w:rsidR="0001291F" w:rsidRPr="008A132B">
        <w:t xml:space="preserve">the mining right </w:t>
      </w:r>
      <w:r w:rsidR="00AD094A" w:rsidRPr="008A132B">
        <w:t>was suspended by the Director General or Minister</w:t>
      </w:r>
      <w:r w:rsidR="0001291F" w:rsidRPr="008A132B">
        <w:t>,</w:t>
      </w:r>
      <w:r w:rsidR="005665BF">
        <w:t xml:space="preserve"> it</w:t>
      </w:r>
      <w:r w:rsidR="00AD094A" w:rsidRPr="008A132B">
        <w:t xml:space="preserve"> would mean that the mine could go ahead and mine in the new areas.</w:t>
      </w:r>
      <w:r w:rsidR="000B05C4" w:rsidRPr="008A132B">
        <w:t xml:space="preserve"> </w:t>
      </w:r>
    </w:p>
    <w:p w14:paraId="7257DE80" w14:textId="77777777" w:rsidR="00836018" w:rsidRPr="008A132B" w:rsidRDefault="00836018" w:rsidP="00CC12CF">
      <w:pPr>
        <w:pStyle w:val="ListParagraph"/>
        <w:spacing w:line="360" w:lineRule="auto"/>
        <w:jc w:val="both"/>
      </w:pPr>
    </w:p>
    <w:p w14:paraId="75B02A1F" w14:textId="2C0B9780" w:rsidR="000B05C4" w:rsidRPr="008A132B" w:rsidRDefault="006D79CC" w:rsidP="006D79CC">
      <w:pPr>
        <w:spacing w:line="360" w:lineRule="auto"/>
        <w:jc w:val="both"/>
      </w:pPr>
      <w:r w:rsidRPr="008A132B">
        <w:rPr>
          <w:szCs w:val="24"/>
        </w:rPr>
        <w:t>[67]</w:t>
      </w:r>
      <w:r w:rsidRPr="008A132B">
        <w:rPr>
          <w:szCs w:val="24"/>
        </w:rPr>
        <w:tab/>
      </w:r>
      <w:r w:rsidR="000B05C4" w:rsidRPr="008A132B">
        <w:t>If Bam J wished her order to have the effect that mining could not continue, she simply could have set the decisions aside</w:t>
      </w:r>
      <w:r w:rsidR="00446F76">
        <w:t xml:space="preserve">. </w:t>
      </w:r>
      <w:r w:rsidR="000B05C4" w:rsidRPr="008A132B">
        <w:t xml:space="preserve">She chose not to do so. </w:t>
      </w:r>
      <w:r w:rsidR="00AD094A" w:rsidRPr="008A132B">
        <w:t xml:space="preserve"> </w:t>
      </w:r>
    </w:p>
    <w:p w14:paraId="5A1C6034" w14:textId="77777777" w:rsidR="000B05C4" w:rsidRPr="008A132B" w:rsidRDefault="000B05C4" w:rsidP="00CC12CF">
      <w:pPr>
        <w:spacing w:line="360" w:lineRule="auto"/>
        <w:jc w:val="both"/>
      </w:pPr>
    </w:p>
    <w:p w14:paraId="281EBE96" w14:textId="4A9AB481" w:rsidR="00312785" w:rsidRPr="008A132B" w:rsidRDefault="006D79CC" w:rsidP="006D79CC">
      <w:pPr>
        <w:spacing w:line="360" w:lineRule="auto"/>
        <w:jc w:val="both"/>
      </w:pPr>
      <w:r w:rsidRPr="008A132B">
        <w:rPr>
          <w:szCs w:val="24"/>
        </w:rPr>
        <w:t>[68]</w:t>
      </w:r>
      <w:r w:rsidRPr="008A132B">
        <w:rPr>
          <w:szCs w:val="24"/>
        </w:rPr>
        <w:tab/>
      </w:r>
      <w:r w:rsidR="00AD094A" w:rsidRPr="008A132B">
        <w:t>Bam J specifically set her mind against an order which would result in Tendele having to commence its application for the mining right afresh</w:t>
      </w:r>
      <w:r w:rsidR="00446F76">
        <w:t xml:space="preserve">, </w:t>
      </w:r>
      <w:r w:rsidR="00027208">
        <w:t xml:space="preserve">by </w:t>
      </w:r>
      <w:r w:rsidR="00446F76">
        <w:t xml:space="preserve">providing that the process </w:t>
      </w:r>
      <w:r w:rsidR="00646522">
        <w:t xml:space="preserve">effectively </w:t>
      </w:r>
      <w:r w:rsidR="00446F76">
        <w:t>would continue from the appeal stage</w:t>
      </w:r>
      <w:r w:rsidR="00AD094A" w:rsidRPr="008A132B">
        <w:t>. By doing so</w:t>
      </w:r>
      <w:r w:rsidR="000B05C4" w:rsidRPr="008A132B">
        <w:t xml:space="preserve"> she reflected on ‘</w:t>
      </w:r>
      <w:r w:rsidR="00AD094A" w:rsidRPr="008A132B">
        <w:t>the reason</w:t>
      </w:r>
      <w:r w:rsidR="000B05C4" w:rsidRPr="008A132B">
        <w:t>s placed by the applicants’</w:t>
      </w:r>
      <w:r w:rsidR="004E5F90" w:rsidRPr="008A132B">
        <w:rPr>
          <w:rStyle w:val="FootnoteReference"/>
        </w:rPr>
        <w:footnoteReference w:id="85"/>
      </w:r>
      <w:r w:rsidR="00836018" w:rsidRPr="008A132B">
        <w:t xml:space="preserve"> </w:t>
      </w:r>
      <w:r w:rsidR="00646522">
        <w:t xml:space="preserve">which would include the submission advanced before her alluded to in paragraph 66 above. </w:t>
      </w:r>
      <w:r w:rsidR="00836018" w:rsidRPr="008A132B">
        <w:t xml:space="preserve">The order she granted carries a </w:t>
      </w:r>
      <w:r w:rsidR="000B05C4" w:rsidRPr="008A132B">
        <w:t xml:space="preserve">strong </w:t>
      </w:r>
      <w:r w:rsidR="00AD094A" w:rsidRPr="008A132B">
        <w:t xml:space="preserve">inference that she was not </w:t>
      </w:r>
      <w:r w:rsidR="00AB64C2" w:rsidRPr="008A132B">
        <w:t>wanting the mining to stop, all the more so also, by expressly directing that the decisions ‘are not set aside.’</w:t>
      </w:r>
      <w:r w:rsidR="004E5F90" w:rsidRPr="008A132B">
        <w:rPr>
          <w:rStyle w:val="FootnoteReference"/>
        </w:rPr>
        <w:footnoteReference w:id="86"/>
      </w:r>
      <w:r w:rsidR="00AD094A" w:rsidRPr="008A132B">
        <w:t xml:space="preserve"> </w:t>
      </w:r>
      <w:r w:rsidR="00312785" w:rsidRPr="008A132B">
        <w:t xml:space="preserve">  </w:t>
      </w:r>
    </w:p>
    <w:p w14:paraId="28D90BAD" w14:textId="77777777" w:rsidR="00312785" w:rsidRPr="008A132B" w:rsidRDefault="00312785" w:rsidP="00CC12CF">
      <w:pPr>
        <w:spacing w:line="360" w:lineRule="auto"/>
        <w:jc w:val="both"/>
      </w:pPr>
    </w:p>
    <w:p w14:paraId="6381AE32" w14:textId="0948D832" w:rsidR="009C0820" w:rsidRPr="008A132B" w:rsidRDefault="006D79CC" w:rsidP="006D79CC">
      <w:pPr>
        <w:spacing w:line="360" w:lineRule="auto"/>
        <w:jc w:val="both"/>
      </w:pPr>
      <w:r w:rsidRPr="008A132B">
        <w:rPr>
          <w:szCs w:val="24"/>
        </w:rPr>
        <w:t>[69]</w:t>
      </w:r>
      <w:r w:rsidRPr="008A132B">
        <w:rPr>
          <w:szCs w:val="24"/>
        </w:rPr>
        <w:tab/>
      </w:r>
      <w:r w:rsidR="00E02604" w:rsidRPr="008A132B">
        <w:t xml:space="preserve">The applicants have argued that the normal consequences of nullity </w:t>
      </w:r>
      <w:r w:rsidR="009C0820" w:rsidRPr="008A132B">
        <w:rPr>
          <w:i/>
          <w:iCs/>
        </w:rPr>
        <w:t>ab initio</w:t>
      </w:r>
      <w:r w:rsidR="009C0820" w:rsidRPr="008A132B">
        <w:t xml:space="preserve"> </w:t>
      </w:r>
      <w:r w:rsidR="00E02604" w:rsidRPr="008A132B">
        <w:t xml:space="preserve">would follow on </w:t>
      </w:r>
      <w:r w:rsidR="00F332F5">
        <w:t>the</w:t>
      </w:r>
      <w:r w:rsidR="00E02604" w:rsidRPr="008A132B">
        <w:t xml:space="preserve"> declaration of invalidit</w:t>
      </w:r>
      <w:r w:rsidR="004E5F90" w:rsidRPr="008A132B">
        <w:t>y, unless, as provided in s 172</w:t>
      </w:r>
      <w:r w:rsidR="00E02604" w:rsidRPr="008A132B">
        <w:t>(1)</w:t>
      </w:r>
      <w:r w:rsidR="00E02604" w:rsidRPr="008A132B">
        <w:rPr>
          <w:i/>
        </w:rPr>
        <w:t>(b)</w:t>
      </w:r>
      <w:r w:rsidR="007655E9" w:rsidRPr="008A132B">
        <w:t>(i)</w:t>
      </w:r>
      <w:r w:rsidR="00E02604" w:rsidRPr="008A132B">
        <w:t>, the order of invalidity was suspended</w:t>
      </w:r>
      <w:r w:rsidR="00AB4F35" w:rsidRPr="008A132B">
        <w:t xml:space="preserve">, and that </w:t>
      </w:r>
      <w:r w:rsidR="00836018" w:rsidRPr="008A132B">
        <w:t xml:space="preserve">as </w:t>
      </w:r>
      <w:r w:rsidR="00AB4F35" w:rsidRPr="008A132B">
        <w:t>Bam J had not suspended the operation of her order of invalidity</w:t>
      </w:r>
      <w:r w:rsidR="00836018" w:rsidRPr="008A132B">
        <w:t>, the mining right and EMPr were therefore in any event a nullity</w:t>
      </w:r>
      <w:r w:rsidR="00E02604" w:rsidRPr="008A132B">
        <w:t>.</w:t>
      </w:r>
      <w:r w:rsidR="009C0820" w:rsidRPr="008A132B">
        <w:t xml:space="preserve"> Such a strict interpretation</w:t>
      </w:r>
      <w:r w:rsidR="00646522">
        <w:t>,</w:t>
      </w:r>
      <w:r w:rsidR="009C0820" w:rsidRPr="008A132B">
        <w:t xml:space="preserve"> </w:t>
      </w:r>
      <w:r w:rsidR="00836018" w:rsidRPr="008A132B">
        <w:t xml:space="preserve">requiring that an order suspending the invalidity was required, </w:t>
      </w:r>
      <w:r w:rsidR="009C0820" w:rsidRPr="008A132B">
        <w:t>would in my v</w:t>
      </w:r>
      <w:r w:rsidR="004E5F90" w:rsidRPr="008A132B">
        <w:t>iew ignore the wording of s 172</w:t>
      </w:r>
      <w:r w:rsidR="009C0820" w:rsidRPr="008A132B">
        <w:t>(1)</w:t>
      </w:r>
      <w:r w:rsidR="009C0820" w:rsidRPr="008A132B">
        <w:rPr>
          <w:i/>
        </w:rPr>
        <w:t>(b)</w:t>
      </w:r>
      <w:r w:rsidR="009C0820" w:rsidRPr="008A132B">
        <w:t xml:space="preserve"> </w:t>
      </w:r>
      <w:r w:rsidR="000B05C4" w:rsidRPr="008A132B">
        <w:t>which</w:t>
      </w:r>
      <w:r w:rsidR="00836018" w:rsidRPr="008A132B">
        <w:t xml:space="preserve"> empowers a court granting a just and equitable remedy to do so in the form of </w:t>
      </w:r>
      <w:r w:rsidR="009C0820" w:rsidRPr="008A132B">
        <w:t>‘any order</w:t>
      </w:r>
      <w:r w:rsidR="00646522">
        <w:t>.</w:t>
      </w:r>
      <w:r w:rsidR="009C0820" w:rsidRPr="008A132B">
        <w:t>’</w:t>
      </w:r>
      <w:r w:rsidR="00646522">
        <w:t xml:space="preserve"> Any such order </w:t>
      </w:r>
      <w:r w:rsidR="007655E9" w:rsidRPr="008A132B">
        <w:t>c</w:t>
      </w:r>
      <w:r w:rsidR="009C0820" w:rsidRPr="008A132B">
        <w:t xml:space="preserve">ould ‘include’ </w:t>
      </w:r>
      <w:r w:rsidR="00646522">
        <w:t xml:space="preserve">an order providing for </w:t>
      </w:r>
      <w:r w:rsidR="009C0820" w:rsidRPr="008A132B">
        <w:t xml:space="preserve">the suspension </w:t>
      </w:r>
      <w:r w:rsidR="008A19F5">
        <w:t xml:space="preserve">a </w:t>
      </w:r>
      <w:r w:rsidR="009C0820" w:rsidRPr="008A132B">
        <w:t>declaration of invalidity</w:t>
      </w:r>
      <w:r w:rsidR="008A19F5">
        <w:t>, but a</w:t>
      </w:r>
      <w:r w:rsidR="005665BF">
        <w:t xml:space="preserve"> court is </w:t>
      </w:r>
      <w:r w:rsidR="00446F76">
        <w:t xml:space="preserve">not confined </w:t>
      </w:r>
      <w:r w:rsidR="00836018" w:rsidRPr="008A132B">
        <w:t xml:space="preserve">to the </w:t>
      </w:r>
      <w:r w:rsidR="008A19F5">
        <w:t xml:space="preserve">specific </w:t>
      </w:r>
      <w:r w:rsidR="00836018" w:rsidRPr="008A132B">
        <w:t>order</w:t>
      </w:r>
      <w:r w:rsidR="009F68DC" w:rsidRPr="008A132B">
        <w:t>s</w:t>
      </w:r>
      <w:r w:rsidR="004E5F90" w:rsidRPr="008A132B">
        <w:t xml:space="preserve"> provided in s 172(1)</w:t>
      </w:r>
      <w:r w:rsidR="004E5F90" w:rsidRPr="008A132B">
        <w:rPr>
          <w:i/>
        </w:rPr>
        <w:t>(b)</w:t>
      </w:r>
      <w:r w:rsidR="00836018" w:rsidRPr="008A132B">
        <w:t>(i) and (ii)</w:t>
      </w:r>
      <w:r w:rsidR="00027208">
        <w:t xml:space="preserve"> in modelling a just and equitable remedy</w:t>
      </w:r>
      <w:r w:rsidR="00836018" w:rsidRPr="008A132B">
        <w:t xml:space="preserve">. </w:t>
      </w:r>
      <w:r w:rsidR="009C0820" w:rsidRPr="008A132B">
        <w:t>A court has a wi</w:t>
      </w:r>
      <w:r w:rsidR="004E5F90" w:rsidRPr="008A132B">
        <w:t xml:space="preserve">de discretion in terms of s </w:t>
      </w:r>
      <w:r w:rsidR="004E5F90" w:rsidRPr="008A132B">
        <w:lastRenderedPageBreak/>
        <w:t>172</w:t>
      </w:r>
      <w:r w:rsidR="009C0820" w:rsidRPr="008A132B">
        <w:t>(1)</w:t>
      </w:r>
      <w:r w:rsidR="009C0820" w:rsidRPr="008A132B">
        <w:rPr>
          <w:i/>
        </w:rPr>
        <w:t>(b)</w:t>
      </w:r>
      <w:r w:rsidR="00F901D3" w:rsidRPr="008A132B">
        <w:t xml:space="preserve"> </w:t>
      </w:r>
      <w:r w:rsidR="009C0820" w:rsidRPr="008A132B">
        <w:t>to make ‘any order’</w:t>
      </w:r>
      <w:r w:rsidR="00836018" w:rsidRPr="008A132B">
        <w:t xml:space="preserve"> </w:t>
      </w:r>
      <w:r w:rsidR="009F68DC" w:rsidRPr="008A132B">
        <w:t>to ensure a just and equitable remedy if</w:t>
      </w:r>
      <w:r w:rsidR="00836018" w:rsidRPr="008A132B">
        <w:t xml:space="preserve"> it does not wish administrative conduct which has been declared invalid to be a nullity</w:t>
      </w:r>
      <w:r w:rsidR="009C0820" w:rsidRPr="008A132B">
        <w:t>.</w:t>
      </w:r>
      <w:r w:rsidR="00836018" w:rsidRPr="008A132B">
        <w:t xml:space="preserve"> </w:t>
      </w:r>
      <w:r w:rsidR="009C0820" w:rsidRPr="008A132B">
        <w:t xml:space="preserve">Froneman J in </w:t>
      </w:r>
      <w:r w:rsidR="00A56E53" w:rsidRPr="008A132B">
        <w:rPr>
          <w:i/>
          <w:iCs/>
        </w:rPr>
        <w:t>Bengwenyane Minerals v Genorah Resources</w:t>
      </w:r>
      <w:r w:rsidR="00A56E53" w:rsidRPr="008A132B">
        <w:rPr>
          <w:rStyle w:val="FootnoteReference"/>
          <w:iCs/>
        </w:rPr>
        <w:footnoteReference w:id="87"/>
      </w:r>
      <w:r w:rsidR="00A56E53" w:rsidRPr="008A132B">
        <w:t xml:space="preserve"> </w:t>
      </w:r>
      <w:r w:rsidR="009C0820" w:rsidRPr="008A132B">
        <w:t>held that the manner of conveying such an intention should not be ‘straight-jacketed.’</w:t>
      </w:r>
      <w:r w:rsidR="004D51DF" w:rsidRPr="008A132B">
        <w:t xml:space="preserve"> The issue is whether in providing that the decisions were not set aside, </w:t>
      </w:r>
      <w:r w:rsidR="00446F76">
        <w:t xml:space="preserve">but also not suspending the declarations of invalidity (which she could have done), </w:t>
      </w:r>
      <w:r w:rsidR="004D51DF" w:rsidRPr="008A132B">
        <w:t xml:space="preserve">Bam J intended that the mining right and EMPr </w:t>
      </w:r>
      <w:r w:rsidR="00027208">
        <w:t xml:space="preserve">would </w:t>
      </w:r>
      <w:r w:rsidR="004D51DF" w:rsidRPr="008A132B">
        <w:t>continue to exist.</w:t>
      </w:r>
      <w:r w:rsidR="009C0820" w:rsidRPr="008A132B">
        <w:t xml:space="preserve"> </w:t>
      </w:r>
    </w:p>
    <w:p w14:paraId="3ED87F0F" w14:textId="77777777" w:rsidR="00836018" w:rsidRPr="008A132B" w:rsidRDefault="00836018" w:rsidP="00CC12CF">
      <w:pPr>
        <w:spacing w:line="360" w:lineRule="auto"/>
        <w:jc w:val="both"/>
      </w:pPr>
    </w:p>
    <w:p w14:paraId="76A2E118" w14:textId="68B52B3E" w:rsidR="004D51DF" w:rsidRPr="008A132B" w:rsidRDefault="006D79CC" w:rsidP="006D79CC">
      <w:pPr>
        <w:spacing w:line="360" w:lineRule="auto"/>
        <w:jc w:val="both"/>
      </w:pPr>
      <w:r w:rsidRPr="008A132B">
        <w:rPr>
          <w:szCs w:val="24"/>
        </w:rPr>
        <w:t>[70]</w:t>
      </w:r>
      <w:r w:rsidRPr="008A132B">
        <w:rPr>
          <w:szCs w:val="24"/>
        </w:rPr>
        <w:tab/>
      </w:r>
      <w:r w:rsidR="00320D21" w:rsidRPr="008A132B">
        <w:t xml:space="preserve">The </w:t>
      </w:r>
      <w:r w:rsidR="007655E9" w:rsidRPr="008A132B">
        <w:t xml:space="preserve">applicants </w:t>
      </w:r>
      <w:r w:rsidR="00320D21" w:rsidRPr="008A132B">
        <w:t>a</w:t>
      </w:r>
      <w:r w:rsidR="007655E9" w:rsidRPr="008A132B">
        <w:t>rgued</w:t>
      </w:r>
      <w:r w:rsidR="00027208">
        <w:t xml:space="preserve">, as </w:t>
      </w:r>
      <w:r w:rsidR="004D51DF" w:rsidRPr="008A132B">
        <w:t>a further alternative</w:t>
      </w:r>
      <w:r w:rsidR="00027208">
        <w:t>,</w:t>
      </w:r>
      <w:r w:rsidR="004D51DF" w:rsidRPr="008A132B">
        <w:t xml:space="preserve"> </w:t>
      </w:r>
      <w:r w:rsidR="009C0820" w:rsidRPr="008A132B">
        <w:t xml:space="preserve">that </w:t>
      </w:r>
      <w:r w:rsidR="00F901D3" w:rsidRPr="008A132B">
        <w:t xml:space="preserve">although </w:t>
      </w:r>
      <w:r w:rsidR="009C0820" w:rsidRPr="008A132B">
        <w:t xml:space="preserve">Bam J had not expressly said </w:t>
      </w:r>
      <w:r w:rsidR="007655E9" w:rsidRPr="008A132B">
        <w:t xml:space="preserve">so, </w:t>
      </w:r>
      <w:r w:rsidR="004D51DF" w:rsidRPr="008A132B">
        <w:t xml:space="preserve">by stating that ‘[t]he decisions are not set aside’ </w:t>
      </w:r>
      <w:r w:rsidR="009C0820" w:rsidRPr="008A132B">
        <w:t xml:space="preserve">she </w:t>
      </w:r>
      <w:r w:rsidR="00F901D3" w:rsidRPr="008A132B">
        <w:t xml:space="preserve">intended </w:t>
      </w:r>
      <w:r w:rsidR="009C0820" w:rsidRPr="008A132B">
        <w:t>an order limiting the retroactive effect of her order</w:t>
      </w:r>
      <w:r w:rsidR="004D51DF" w:rsidRPr="008A132B">
        <w:t xml:space="preserve"> of invalidity of the decisions</w:t>
      </w:r>
      <w:r w:rsidR="00F901D3" w:rsidRPr="008A132B">
        <w:t xml:space="preserve">, as the decisions </w:t>
      </w:r>
      <w:r w:rsidR="009C0820" w:rsidRPr="008A132B">
        <w:t>would otherwise be a nullity following on the declaration of invalidity</w:t>
      </w:r>
      <w:r w:rsidR="00207717" w:rsidRPr="008A132B">
        <w:t>.</w:t>
      </w:r>
      <w:r w:rsidR="009C0820" w:rsidRPr="008A132B">
        <w:t xml:space="preserve"> </w:t>
      </w:r>
      <w:r w:rsidR="00F901D3" w:rsidRPr="008A132B">
        <w:t xml:space="preserve">This it was argued, was </w:t>
      </w:r>
      <w:r w:rsidR="009C0820" w:rsidRPr="008A132B">
        <w:t xml:space="preserve">to preserve the invalid decisions for the </w:t>
      </w:r>
      <w:r w:rsidR="007655E9" w:rsidRPr="008A132B">
        <w:t>purposes o</w:t>
      </w:r>
      <w:r w:rsidR="00F901D3" w:rsidRPr="008A132B">
        <w:t>f</w:t>
      </w:r>
      <w:r w:rsidR="007655E9" w:rsidRPr="008A132B">
        <w:t xml:space="preserve"> the </w:t>
      </w:r>
      <w:r w:rsidR="009C0820" w:rsidRPr="008A132B">
        <w:t xml:space="preserve">appeal </w:t>
      </w:r>
      <w:r w:rsidR="007655E9" w:rsidRPr="008A132B">
        <w:t xml:space="preserve">she was remitting </w:t>
      </w:r>
      <w:r w:rsidR="009C0820" w:rsidRPr="008A132B">
        <w:t xml:space="preserve">to the Minister, </w:t>
      </w:r>
      <w:r w:rsidR="00CC05D1">
        <w:t xml:space="preserve">and only for that purpose, as the remittal of the appeal </w:t>
      </w:r>
      <w:r w:rsidR="009C0820" w:rsidRPr="008A132B">
        <w:t xml:space="preserve">would otherwise </w:t>
      </w:r>
      <w:r w:rsidR="007655E9" w:rsidRPr="008A132B">
        <w:t xml:space="preserve">not </w:t>
      </w:r>
      <w:r w:rsidR="009C0820" w:rsidRPr="008A132B">
        <w:t xml:space="preserve">be </w:t>
      </w:r>
      <w:r w:rsidR="00CC05D1">
        <w:t xml:space="preserve">logically </w:t>
      </w:r>
      <w:r w:rsidR="009C0820" w:rsidRPr="008A132B">
        <w:t>competent</w:t>
      </w:r>
      <w:r w:rsidR="00CC05D1">
        <w:t xml:space="preserve"> - </w:t>
      </w:r>
      <w:r w:rsidR="009C0820" w:rsidRPr="008A132B">
        <w:t>there cannot be an appeal in respect of decisions by the director</w:t>
      </w:r>
      <w:r w:rsidR="00207717" w:rsidRPr="008A132B">
        <w:t xml:space="preserve"> </w:t>
      </w:r>
      <w:r w:rsidR="009C0820" w:rsidRPr="008A132B">
        <w:t>general and regional manager</w:t>
      </w:r>
      <w:r w:rsidR="00F901D3" w:rsidRPr="008A132B">
        <w:t xml:space="preserve"> if th</w:t>
      </w:r>
      <w:r w:rsidR="00F332F5">
        <w:t xml:space="preserve">ose decisions </w:t>
      </w:r>
      <w:r w:rsidR="00F901D3" w:rsidRPr="008A132B">
        <w:t>did not</w:t>
      </w:r>
      <w:r w:rsidR="00F332F5">
        <w:t>,</w:t>
      </w:r>
      <w:r w:rsidR="00F901D3" w:rsidRPr="008A132B">
        <w:t xml:space="preserve"> at least</w:t>
      </w:r>
      <w:r w:rsidR="00F332F5">
        <w:t>, continue to</w:t>
      </w:r>
      <w:r w:rsidR="00F901D3" w:rsidRPr="008A132B">
        <w:t xml:space="preserve"> exist in fact</w:t>
      </w:r>
      <w:r w:rsidR="009C0820" w:rsidRPr="008A132B">
        <w:t xml:space="preserve">.  </w:t>
      </w:r>
    </w:p>
    <w:p w14:paraId="61A2479C" w14:textId="77777777" w:rsidR="004D51DF" w:rsidRPr="008A132B" w:rsidRDefault="004D51DF" w:rsidP="00207717">
      <w:pPr>
        <w:pStyle w:val="ListParagraph"/>
        <w:spacing w:line="360" w:lineRule="auto"/>
        <w:ind w:left="0"/>
        <w:jc w:val="both"/>
      </w:pPr>
    </w:p>
    <w:p w14:paraId="7D2EC969" w14:textId="394A0BD8" w:rsidR="007655E9" w:rsidRPr="008A132B" w:rsidRDefault="006D79CC" w:rsidP="006D79CC">
      <w:pPr>
        <w:spacing w:line="360" w:lineRule="auto"/>
        <w:jc w:val="both"/>
      </w:pPr>
      <w:r w:rsidRPr="008A132B">
        <w:rPr>
          <w:szCs w:val="24"/>
        </w:rPr>
        <w:t>[71]</w:t>
      </w:r>
      <w:r w:rsidRPr="008A132B">
        <w:rPr>
          <w:szCs w:val="24"/>
        </w:rPr>
        <w:tab/>
      </w:r>
      <w:r w:rsidR="00F332F5">
        <w:t>T</w:t>
      </w:r>
      <w:r w:rsidR="007655E9" w:rsidRPr="008A132B">
        <w:t>hat argument was not dealt with in the judgment of Bam J</w:t>
      </w:r>
      <w:r w:rsidR="00F332F5">
        <w:t xml:space="preserve">. It </w:t>
      </w:r>
      <w:r w:rsidR="004D51DF" w:rsidRPr="008A132B">
        <w:t xml:space="preserve">might </w:t>
      </w:r>
      <w:r w:rsidR="007655E9" w:rsidRPr="008A132B">
        <w:t xml:space="preserve">fit </w:t>
      </w:r>
      <w:r w:rsidR="00F332F5">
        <w:t xml:space="preserve">in </w:t>
      </w:r>
      <w:r w:rsidR="007655E9" w:rsidRPr="008A132B">
        <w:t xml:space="preserve">with the scheme of the judgment, </w:t>
      </w:r>
      <w:r w:rsidR="00F332F5">
        <w:t xml:space="preserve">but </w:t>
      </w:r>
      <w:r w:rsidR="007655E9" w:rsidRPr="008A132B">
        <w:t xml:space="preserve">the question then becomes, if the decisions were preserved prospectively </w:t>
      </w:r>
      <w:r w:rsidR="00CC05D1">
        <w:t xml:space="preserve">as a </w:t>
      </w:r>
      <w:r w:rsidR="00F332F5">
        <w:t xml:space="preserve">jurisdictional </w:t>
      </w:r>
      <w:r w:rsidR="00CC05D1">
        <w:t xml:space="preserve">fact </w:t>
      </w:r>
      <w:r w:rsidR="007655E9" w:rsidRPr="008A132B">
        <w:t>for the purposes of the appeal, why should the prospectivity be preserved for that limited procedural purpose</w:t>
      </w:r>
      <w:r w:rsidR="00F901D3" w:rsidRPr="008A132B">
        <w:t xml:space="preserve"> only</w:t>
      </w:r>
      <w:r w:rsidR="007655E9" w:rsidRPr="008A132B">
        <w:t>, and the words</w:t>
      </w:r>
      <w:r w:rsidR="00446F76">
        <w:t>,</w:t>
      </w:r>
      <w:r w:rsidR="007655E9" w:rsidRPr="008A132B">
        <w:t xml:space="preserve"> ‘not set aside’</w:t>
      </w:r>
      <w:r w:rsidR="00446F76">
        <w:t>,</w:t>
      </w:r>
      <w:r w:rsidR="007655E9" w:rsidRPr="008A132B">
        <w:t xml:space="preserve"> </w:t>
      </w:r>
      <w:r w:rsidR="00F332F5">
        <w:t>according to their general meaning</w:t>
      </w:r>
      <w:r w:rsidR="005665BF">
        <w:t>,</w:t>
      </w:r>
      <w:r w:rsidR="00F332F5">
        <w:t xml:space="preserve"> </w:t>
      </w:r>
      <w:r w:rsidR="007655E9" w:rsidRPr="008A132B">
        <w:t xml:space="preserve">not be construed as permitting </w:t>
      </w:r>
      <w:r w:rsidR="00F901D3" w:rsidRPr="008A132B">
        <w:t xml:space="preserve">the administrative decisions to continue </w:t>
      </w:r>
      <w:r w:rsidR="007655E9" w:rsidRPr="008A132B">
        <w:t>as a fact</w:t>
      </w:r>
      <w:r w:rsidR="00F901D3" w:rsidRPr="008A132B">
        <w:t xml:space="preserve">, </w:t>
      </w:r>
      <w:r w:rsidR="005665BF">
        <w:t xml:space="preserve">hence </w:t>
      </w:r>
      <w:r w:rsidR="00F332F5">
        <w:t xml:space="preserve">also </w:t>
      </w:r>
      <w:r w:rsidR="00F901D3" w:rsidRPr="008A132B">
        <w:t>preserv</w:t>
      </w:r>
      <w:r w:rsidR="005665BF">
        <w:t>ing</w:t>
      </w:r>
      <w:r w:rsidR="00F901D3" w:rsidRPr="008A132B">
        <w:t xml:space="preserve"> the mining right</w:t>
      </w:r>
      <w:r w:rsidR="00F332F5">
        <w:t xml:space="preserve">. That would </w:t>
      </w:r>
      <w:r w:rsidR="00F901D3" w:rsidRPr="008A132B">
        <w:t>permit mining to continue</w:t>
      </w:r>
      <w:r w:rsidR="00446F76">
        <w:t>,</w:t>
      </w:r>
      <w:r w:rsidR="004D51DF" w:rsidRPr="008A132B">
        <w:t xml:space="preserve"> and not preclude the work Tendele wishes to undertake as foreshadowed in the letters</w:t>
      </w:r>
      <w:r w:rsidR="00F901D3" w:rsidRPr="008A132B">
        <w:t xml:space="preserve">. </w:t>
      </w:r>
    </w:p>
    <w:p w14:paraId="41C2EF47" w14:textId="5BD3FFA8" w:rsidR="00AB4F35" w:rsidRPr="008A132B" w:rsidRDefault="00AB4F35" w:rsidP="00CC12CF">
      <w:pPr>
        <w:spacing w:line="360" w:lineRule="auto"/>
        <w:jc w:val="both"/>
        <w:rPr>
          <w:b/>
          <w:bCs/>
        </w:rPr>
      </w:pPr>
    </w:p>
    <w:p w14:paraId="5015AB44" w14:textId="6617C76A" w:rsidR="00857077" w:rsidRPr="008A132B" w:rsidRDefault="006D79CC" w:rsidP="006D79CC">
      <w:pPr>
        <w:spacing w:line="360" w:lineRule="auto"/>
        <w:jc w:val="both"/>
      </w:pPr>
      <w:r w:rsidRPr="008A132B">
        <w:rPr>
          <w:szCs w:val="24"/>
        </w:rPr>
        <w:t>[72]</w:t>
      </w:r>
      <w:r w:rsidRPr="008A132B">
        <w:rPr>
          <w:szCs w:val="24"/>
        </w:rPr>
        <w:tab/>
      </w:r>
      <w:r w:rsidR="00D65C92">
        <w:t>On the other hand, a</w:t>
      </w:r>
      <w:r w:rsidR="00AB4F35" w:rsidRPr="008A132B">
        <w:t xml:space="preserve">lthough </w:t>
      </w:r>
      <w:r w:rsidR="00784EEB" w:rsidRPr="008A132B">
        <w:t xml:space="preserve">Bam J </w:t>
      </w:r>
      <w:r w:rsidR="00A56E53" w:rsidRPr="008A132B">
        <w:t xml:space="preserve">ordered </w:t>
      </w:r>
      <w:r w:rsidR="00AB4F35" w:rsidRPr="008A132B">
        <w:t>that ‘</w:t>
      </w:r>
      <w:r w:rsidR="005665BF">
        <w:t>[t]</w:t>
      </w:r>
      <w:r w:rsidR="00AB4F35" w:rsidRPr="008A132B">
        <w:t xml:space="preserve">he decisions are not set aside’, the </w:t>
      </w:r>
      <w:r w:rsidR="007655E9" w:rsidRPr="008A132B">
        <w:t>brief</w:t>
      </w:r>
      <w:r w:rsidR="00AB4F35" w:rsidRPr="008A132B">
        <w:t xml:space="preserve"> reasoning in the judgment does not include a</w:t>
      </w:r>
      <w:r w:rsidR="00F901D3" w:rsidRPr="008A132B">
        <w:t>ny further</w:t>
      </w:r>
      <w:r w:rsidR="00AB4F35" w:rsidRPr="008A132B">
        <w:t xml:space="preserve"> </w:t>
      </w:r>
      <w:r w:rsidR="00CC1091">
        <w:t xml:space="preserve">unequivocal </w:t>
      </w:r>
      <w:r w:rsidR="00AB4F35" w:rsidRPr="008A132B">
        <w:t>statement that her intention</w:t>
      </w:r>
      <w:r w:rsidR="00D65C92">
        <w:t xml:space="preserve"> </w:t>
      </w:r>
      <w:r w:rsidR="00F901D3" w:rsidRPr="008A132B">
        <w:t>was</w:t>
      </w:r>
      <w:r w:rsidR="004D51DF" w:rsidRPr="008A132B">
        <w:t xml:space="preserve">, </w:t>
      </w:r>
      <w:r w:rsidR="00AB4F35" w:rsidRPr="008A132B">
        <w:t xml:space="preserve">notwithstanding the various </w:t>
      </w:r>
      <w:r w:rsidR="00784EEB" w:rsidRPr="008A132B">
        <w:t xml:space="preserve">glaring </w:t>
      </w:r>
      <w:r w:rsidR="00AB4F35" w:rsidRPr="008A132B">
        <w:t xml:space="preserve">deficiencies she had found in the </w:t>
      </w:r>
      <w:r w:rsidR="00267A32" w:rsidRPr="008A132B">
        <w:t xml:space="preserve">grant of the </w:t>
      </w:r>
      <w:r w:rsidR="00AB4F35" w:rsidRPr="008A132B">
        <w:t xml:space="preserve">mining right and </w:t>
      </w:r>
      <w:r w:rsidR="00267A32" w:rsidRPr="008A132B">
        <w:t xml:space="preserve">the approval of the </w:t>
      </w:r>
      <w:r w:rsidR="00AB4F35" w:rsidRPr="008A132B">
        <w:t>EMPr processes,</w:t>
      </w:r>
      <w:r w:rsidR="007655E9" w:rsidRPr="008A132B">
        <w:t xml:space="preserve"> </w:t>
      </w:r>
      <w:r w:rsidR="00AB4F35" w:rsidRPr="008A132B">
        <w:t>th</w:t>
      </w:r>
      <w:r w:rsidR="00F901D3" w:rsidRPr="008A132B">
        <w:t>at</w:t>
      </w:r>
      <w:r w:rsidR="00AB4F35" w:rsidRPr="008A132B">
        <w:t xml:space="preserve"> mining </w:t>
      </w:r>
      <w:r w:rsidR="00F332F5">
        <w:t xml:space="preserve">should </w:t>
      </w:r>
      <w:r w:rsidR="00AB4F35" w:rsidRPr="008A132B">
        <w:t>continue</w:t>
      </w:r>
      <w:r w:rsidR="00802799" w:rsidRPr="008A132B">
        <w:t xml:space="preserve">. </w:t>
      </w:r>
      <w:r w:rsidR="00D65C92">
        <w:t>She could easily have said that much</w:t>
      </w:r>
      <w:r w:rsidR="00F332F5">
        <w:t>,</w:t>
      </w:r>
      <w:r w:rsidR="00D65C92">
        <w:t xml:space="preserve"> which </w:t>
      </w:r>
      <w:r w:rsidR="00AB4F35" w:rsidRPr="008A132B">
        <w:t xml:space="preserve">would have </w:t>
      </w:r>
      <w:r w:rsidR="00D65C92">
        <w:lastRenderedPageBreak/>
        <w:t xml:space="preserve">clarified the position </w:t>
      </w:r>
      <w:r w:rsidR="00802799" w:rsidRPr="008A132B">
        <w:t>without any doubt</w:t>
      </w:r>
      <w:r w:rsidR="00F332F5">
        <w:t xml:space="preserve">. Alternatively, </w:t>
      </w:r>
      <w:r w:rsidR="00267A32" w:rsidRPr="008A132B">
        <w:t xml:space="preserve">the </w:t>
      </w:r>
      <w:r w:rsidR="00784EEB" w:rsidRPr="008A132B">
        <w:t xml:space="preserve">order </w:t>
      </w:r>
      <w:r w:rsidR="00267A32" w:rsidRPr="008A132B">
        <w:t xml:space="preserve">of invalidity </w:t>
      </w:r>
      <w:r w:rsidR="00D65C92">
        <w:t xml:space="preserve">could </w:t>
      </w:r>
      <w:r w:rsidR="00AB4F35" w:rsidRPr="008A132B">
        <w:t xml:space="preserve">simply </w:t>
      </w:r>
      <w:r w:rsidR="00D65C92">
        <w:t xml:space="preserve">have been </w:t>
      </w:r>
      <w:r w:rsidR="00AB4F35" w:rsidRPr="008A132B">
        <w:t>suspend</w:t>
      </w:r>
      <w:r w:rsidR="00267A32" w:rsidRPr="008A132B">
        <w:t>ed</w:t>
      </w:r>
      <w:r w:rsidR="00AB4F35" w:rsidRPr="008A132B">
        <w:t>, on appropriate terms and until an appropriate time</w:t>
      </w:r>
      <w:r w:rsidR="00784EEB" w:rsidRPr="008A132B">
        <w:t xml:space="preserve">, </w:t>
      </w:r>
      <w:r w:rsidR="00182061" w:rsidRPr="008A132B">
        <w:t xml:space="preserve">particularly </w:t>
      </w:r>
      <w:r w:rsidR="00784EEB" w:rsidRPr="008A132B">
        <w:t xml:space="preserve">as that </w:t>
      </w:r>
      <w:r w:rsidR="00802799" w:rsidRPr="008A132B">
        <w:t xml:space="preserve">is a </w:t>
      </w:r>
      <w:r w:rsidR="00267A32" w:rsidRPr="008A132B">
        <w:t xml:space="preserve">just and equitable remedy expressly </w:t>
      </w:r>
      <w:r w:rsidR="00784EEB" w:rsidRPr="008A132B">
        <w:t xml:space="preserve">provided </w:t>
      </w:r>
      <w:r w:rsidR="00DA015B" w:rsidRPr="008A132B">
        <w:t>in s 172</w:t>
      </w:r>
      <w:r w:rsidR="00802799" w:rsidRPr="008A132B">
        <w:t>(1)</w:t>
      </w:r>
      <w:r w:rsidR="00802799" w:rsidRPr="008A132B">
        <w:rPr>
          <w:i/>
        </w:rPr>
        <w:t>(b)</w:t>
      </w:r>
      <w:r w:rsidR="00802799" w:rsidRPr="008A132B">
        <w:t xml:space="preserve"> of the Constitution </w:t>
      </w:r>
      <w:r w:rsidR="00784EEB" w:rsidRPr="008A132B">
        <w:t>to ameliorate the effects of a declaration of invalidity.</w:t>
      </w:r>
      <w:r w:rsidR="00D65C92">
        <w:t xml:space="preserve"> The fact that she had not done so, is however also not conclusive.</w:t>
      </w:r>
      <w:r w:rsidR="00784EEB" w:rsidRPr="008A132B">
        <w:t xml:space="preserve"> </w:t>
      </w:r>
    </w:p>
    <w:p w14:paraId="337A0A9F" w14:textId="77777777" w:rsidR="00182061" w:rsidRPr="008A132B" w:rsidRDefault="00182061" w:rsidP="00CC12CF">
      <w:pPr>
        <w:spacing w:line="360" w:lineRule="auto"/>
        <w:jc w:val="both"/>
      </w:pPr>
    </w:p>
    <w:p w14:paraId="7CF78B38" w14:textId="6E705272" w:rsidR="00857077"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[73]</w:t>
      </w:r>
      <w:r w:rsidRPr="008A132B">
        <w:rPr>
          <w:rFonts w:cs="Arial"/>
          <w:iCs w:val="0"/>
          <w:szCs w:val="24"/>
          <w:lang w:val="en-ZA"/>
        </w:rPr>
        <w:tab/>
      </w:r>
      <w:r w:rsidR="008A19F5">
        <w:rPr>
          <w:rFonts w:cs="Arial"/>
          <w:szCs w:val="24"/>
          <w:lang w:val="en-ZA"/>
        </w:rPr>
        <w:t xml:space="preserve">In the final analysis, the </w:t>
      </w:r>
      <w:r w:rsidR="00182061" w:rsidRPr="008A132B">
        <w:rPr>
          <w:rFonts w:cs="Arial"/>
          <w:szCs w:val="24"/>
          <w:lang w:val="en-ZA"/>
        </w:rPr>
        <w:t xml:space="preserve">words ‘The decisions are not set aside’ cannot be ignored. </w:t>
      </w:r>
      <w:r w:rsidR="00802799" w:rsidRPr="008A132B">
        <w:rPr>
          <w:rFonts w:cs="Arial"/>
          <w:szCs w:val="24"/>
          <w:lang w:val="en-ZA"/>
        </w:rPr>
        <w:t>S</w:t>
      </w:r>
      <w:r w:rsidR="00DA015B" w:rsidRPr="008A132B">
        <w:rPr>
          <w:rFonts w:cs="Arial"/>
          <w:szCs w:val="24"/>
          <w:lang w:val="en-ZA"/>
        </w:rPr>
        <w:t>ection</w:t>
      </w:r>
      <w:r w:rsidR="00857077" w:rsidRPr="008A132B">
        <w:rPr>
          <w:rFonts w:cs="Arial"/>
          <w:szCs w:val="24"/>
          <w:lang w:val="en-ZA"/>
        </w:rPr>
        <w:t xml:space="preserve"> 172(1)</w:t>
      </w:r>
      <w:r w:rsidR="00857077" w:rsidRPr="008A132B">
        <w:rPr>
          <w:rFonts w:cs="Arial"/>
          <w:i/>
          <w:szCs w:val="24"/>
          <w:lang w:val="en-ZA"/>
        </w:rPr>
        <w:t>(b)</w:t>
      </w:r>
      <w:r w:rsidR="00857077" w:rsidRPr="008A132B">
        <w:rPr>
          <w:rFonts w:cs="Arial"/>
          <w:szCs w:val="24"/>
          <w:lang w:val="en-ZA"/>
        </w:rPr>
        <w:t xml:space="preserve"> </w:t>
      </w:r>
      <w:r w:rsidR="00182061" w:rsidRPr="008A132B">
        <w:rPr>
          <w:rFonts w:cs="Arial"/>
          <w:szCs w:val="24"/>
          <w:lang w:val="en-ZA"/>
        </w:rPr>
        <w:t>of the Constitution</w:t>
      </w:r>
      <w:r w:rsidR="00857077" w:rsidRPr="008A132B">
        <w:rPr>
          <w:rFonts w:cs="Arial"/>
          <w:szCs w:val="24"/>
          <w:lang w:val="en-ZA"/>
        </w:rPr>
        <w:t xml:space="preserve"> does not require a setting aside</w:t>
      </w:r>
      <w:r w:rsidR="00802799" w:rsidRPr="008A132B">
        <w:rPr>
          <w:rFonts w:cs="Arial"/>
          <w:szCs w:val="24"/>
          <w:lang w:val="en-ZA"/>
        </w:rPr>
        <w:t xml:space="preserve"> of an administrative act following a declaration of invalidity</w:t>
      </w:r>
      <w:r w:rsidR="00857077" w:rsidRPr="008A132B">
        <w:rPr>
          <w:rFonts w:cs="Arial"/>
          <w:szCs w:val="24"/>
          <w:lang w:val="en-ZA"/>
        </w:rPr>
        <w:t xml:space="preserve">. </w:t>
      </w:r>
      <w:r w:rsidR="00802799" w:rsidRPr="008A132B">
        <w:rPr>
          <w:rFonts w:cs="Arial"/>
          <w:szCs w:val="24"/>
          <w:lang w:val="en-ZA"/>
        </w:rPr>
        <w:t xml:space="preserve">Nullity of the administrative act </w:t>
      </w:r>
      <w:r w:rsidR="00857077" w:rsidRPr="008A132B">
        <w:rPr>
          <w:rFonts w:cs="Arial"/>
          <w:szCs w:val="24"/>
          <w:lang w:val="en-ZA"/>
        </w:rPr>
        <w:t xml:space="preserve">would normally follow </w:t>
      </w:r>
      <w:r w:rsidR="00857077" w:rsidRPr="008A132B">
        <w:rPr>
          <w:rFonts w:cs="Arial"/>
          <w:i/>
          <w:iCs w:val="0"/>
          <w:szCs w:val="24"/>
          <w:lang w:val="en-ZA"/>
        </w:rPr>
        <w:t>ex lege</w:t>
      </w:r>
      <w:r w:rsidR="00857077" w:rsidRPr="008A132B">
        <w:rPr>
          <w:rFonts w:cs="Arial"/>
          <w:szCs w:val="24"/>
          <w:lang w:val="en-ZA"/>
        </w:rPr>
        <w:t xml:space="preserve"> from a declaration of invalidity</w:t>
      </w:r>
      <w:r w:rsidR="00182061" w:rsidRPr="008A132B">
        <w:rPr>
          <w:rFonts w:cs="Arial"/>
          <w:szCs w:val="24"/>
          <w:lang w:val="en-ZA"/>
        </w:rPr>
        <w:t>. To then</w:t>
      </w:r>
      <w:r w:rsidR="00CC1091">
        <w:rPr>
          <w:rFonts w:cs="Arial"/>
          <w:szCs w:val="24"/>
          <w:lang w:val="en-ZA"/>
        </w:rPr>
        <w:t>,</w:t>
      </w:r>
      <w:r w:rsidR="00182061" w:rsidRPr="008A132B">
        <w:rPr>
          <w:rFonts w:cs="Arial"/>
          <w:szCs w:val="24"/>
          <w:lang w:val="en-ZA"/>
        </w:rPr>
        <w:t xml:space="preserve"> in </w:t>
      </w:r>
      <w:r w:rsidR="00802799" w:rsidRPr="008A132B">
        <w:rPr>
          <w:rFonts w:cs="Arial"/>
          <w:szCs w:val="24"/>
          <w:lang w:val="en-ZA"/>
        </w:rPr>
        <w:t>addition</w:t>
      </w:r>
      <w:r w:rsidR="00CC1091">
        <w:rPr>
          <w:rFonts w:cs="Arial"/>
          <w:szCs w:val="24"/>
          <w:lang w:val="en-ZA"/>
        </w:rPr>
        <w:t>,</w:t>
      </w:r>
      <w:r w:rsidR="00802799" w:rsidRPr="008A132B">
        <w:rPr>
          <w:rFonts w:cs="Arial"/>
          <w:szCs w:val="24"/>
          <w:lang w:val="en-ZA"/>
        </w:rPr>
        <w:t xml:space="preserve"> </w:t>
      </w:r>
      <w:r w:rsidR="00643181">
        <w:rPr>
          <w:rFonts w:cs="Arial"/>
          <w:szCs w:val="24"/>
          <w:lang w:val="en-ZA"/>
        </w:rPr>
        <w:t xml:space="preserve">expressly </w:t>
      </w:r>
      <w:r w:rsidR="00802799" w:rsidRPr="008A132B">
        <w:rPr>
          <w:rFonts w:cs="Arial"/>
          <w:szCs w:val="24"/>
          <w:lang w:val="en-ZA"/>
        </w:rPr>
        <w:t xml:space="preserve">set aside the administrative act </w:t>
      </w:r>
      <w:r w:rsidR="00643181">
        <w:rPr>
          <w:rFonts w:cs="Arial"/>
          <w:szCs w:val="24"/>
          <w:lang w:val="en-ZA"/>
        </w:rPr>
        <w:t xml:space="preserve">might </w:t>
      </w:r>
      <w:r w:rsidR="00802799" w:rsidRPr="008A132B">
        <w:rPr>
          <w:rFonts w:cs="Arial"/>
          <w:szCs w:val="24"/>
          <w:lang w:val="en-ZA"/>
        </w:rPr>
        <w:t>be unnecessary, or superfluous</w:t>
      </w:r>
      <w:r w:rsidR="00857077" w:rsidRPr="008A132B">
        <w:rPr>
          <w:rFonts w:cs="Arial"/>
          <w:szCs w:val="24"/>
          <w:lang w:val="en-ZA"/>
        </w:rPr>
        <w:t xml:space="preserve">. But </w:t>
      </w:r>
      <w:r w:rsidR="00802799" w:rsidRPr="008A132B">
        <w:rPr>
          <w:rFonts w:cs="Arial"/>
          <w:szCs w:val="24"/>
          <w:lang w:val="en-ZA"/>
        </w:rPr>
        <w:t>it has come to be recogni</w:t>
      </w:r>
      <w:r w:rsidR="006B3AF0" w:rsidRPr="008A132B">
        <w:rPr>
          <w:rFonts w:cs="Arial"/>
          <w:szCs w:val="24"/>
          <w:lang w:val="en-ZA"/>
        </w:rPr>
        <w:t>s</w:t>
      </w:r>
      <w:r w:rsidR="00802799" w:rsidRPr="008A132B">
        <w:rPr>
          <w:rFonts w:cs="Arial"/>
          <w:szCs w:val="24"/>
          <w:lang w:val="en-ZA"/>
        </w:rPr>
        <w:t xml:space="preserve">ed that </w:t>
      </w:r>
      <w:r w:rsidR="00857077" w:rsidRPr="008A132B">
        <w:rPr>
          <w:rFonts w:cs="Arial"/>
          <w:szCs w:val="24"/>
          <w:lang w:val="en-ZA"/>
        </w:rPr>
        <w:t>the nullity of the administrative decision need not follow in every instance where there has been a declaration of invalidity. As the learned authors, Professors Hoexter and Penfold explain:</w:t>
      </w:r>
    </w:p>
    <w:p w14:paraId="3FA4D77C" w14:textId="77777777" w:rsidR="00857077" w:rsidRPr="008A132B" w:rsidRDefault="00857077" w:rsidP="00CC12CF">
      <w:pPr>
        <w:pStyle w:val="Quote"/>
        <w:spacing w:before="0"/>
        <w:ind w:left="0"/>
        <w:rPr>
          <w:rFonts w:cs="Arial"/>
          <w:lang w:val="en-ZA"/>
        </w:rPr>
      </w:pPr>
      <w:r w:rsidRPr="008A132B">
        <w:rPr>
          <w:rFonts w:cs="Arial"/>
          <w:lang w:val="en-ZA"/>
        </w:rPr>
        <w:t xml:space="preserve">‘Though </w:t>
      </w:r>
      <w:r w:rsidRPr="008A132B">
        <w:rPr>
          <w:rFonts w:cs="Arial"/>
          <w:i/>
          <w:lang w:val="en-ZA"/>
        </w:rPr>
        <w:t>setting aside</w:t>
      </w:r>
      <w:r w:rsidRPr="008A132B">
        <w:rPr>
          <w:rFonts w:cs="Arial"/>
          <w:lang w:val="en-ZA"/>
        </w:rPr>
        <w:t xml:space="preserve"> with retrospective effect is the default remedy on review and thus the logical starting point, it is nevertheless a discretionary remedy that may be withheld in certain circumstances. As explained in </w:t>
      </w:r>
      <w:r w:rsidRPr="008A132B">
        <w:rPr>
          <w:rFonts w:cs="Arial"/>
          <w:i/>
          <w:iCs w:val="0"/>
          <w:lang w:val="en-ZA"/>
        </w:rPr>
        <w:t>Oudekraal</w:t>
      </w:r>
      <w:r w:rsidRPr="008A132B">
        <w:rPr>
          <w:rFonts w:cs="Arial"/>
          <w:lang w:val="en-ZA"/>
        </w:rPr>
        <w:t>, legality may on occasion be overridden by competing considerations such as certainty, finality and practicality. This proposition has been illustrated most vividly in cases concerning public procurement, some of which are discussed in what follows.</w:t>
      </w:r>
    </w:p>
    <w:p w14:paraId="31EB7881" w14:textId="002005D5" w:rsidR="00857077" w:rsidRPr="008A132B" w:rsidRDefault="00857077" w:rsidP="00CC12CF">
      <w:pPr>
        <w:pStyle w:val="Quote"/>
        <w:spacing w:before="0"/>
        <w:ind w:left="0"/>
        <w:rPr>
          <w:rFonts w:cs="Arial"/>
          <w:sz w:val="24"/>
          <w:lang w:val="en-ZA"/>
        </w:rPr>
      </w:pPr>
      <w:r w:rsidRPr="008A132B">
        <w:rPr>
          <w:rFonts w:cs="Arial"/>
          <w:lang w:val="en-ZA"/>
        </w:rPr>
        <w:t xml:space="preserve">While </w:t>
      </w:r>
      <w:r w:rsidRPr="008A132B">
        <w:rPr>
          <w:rFonts w:cs="Arial"/>
          <w:i/>
          <w:lang w:val="en-ZA"/>
        </w:rPr>
        <w:t xml:space="preserve">the Constitutional Court has declined to </w:t>
      </w:r>
      <w:r w:rsidR="00497B20" w:rsidRPr="008A132B">
        <w:rPr>
          <w:rFonts w:cs="Arial"/>
          <w:i/>
          <w:lang w:val="en-ZA"/>
        </w:rPr>
        <w:t>“</w:t>
      </w:r>
      <w:r w:rsidRPr="008A132B">
        <w:rPr>
          <w:rFonts w:cs="Arial"/>
          <w:i/>
          <w:lang w:val="en-ZA"/>
        </w:rPr>
        <w:t>articulate a general formulation</w:t>
      </w:r>
      <w:r w:rsidR="00497B20" w:rsidRPr="008A132B">
        <w:rPr>
          <w:rFonts w:cs="Arial"/>
          <w:i/>
          <w:lang w:val="en-ZA"/>
        </w:rPr>
        <w:t xml:space="preserve">” </w:t>
      </w:r>
      <w:r w:rsidRPr="008A132B">
        <w:rPr>
          <w:rFonts w:cs="Arial"/>
          <w:i/>
          <w:lang w:val="en-ZA"/>
        </w:rPr>
        <w:t>for the exercise of its discretion</w:t>
      </w:r>
      <w:r w:rsidRPr="008A132B">
        <w:rPr>
          <w:rFonts w:cs="Arial"/>
          <w:lang w:val="en-ZA"/>
        </w:rPr>
        <w:t xml:space="preserve">, factors that the courts have taken into account in deciding not to set aside an award (or other decision) include the undesirability of disrupting an important public service; the effect of setting aside would have on the public purse; questions of fault and fairness; and considerations of </w:t>
      </w:r>
      <w:r w:rsidRPr="00643181">
        <w:rPr>
          <w:rFonts w:cs="Arial"/>
          <w:i/>
          <w:iCs w:val="0"/>
          <w:lang w:val="en-ZA"/>
        </w:rPr>
        <w:t>practicality and pragmatism</w:t>
      </w:r>
      <w:r w:rsidRPr="008A132B">
        <w:rPr>
          <w:rFonts w:cs="Arial"/>
          <w:lang w:val="en-ZA"/>
        </w:rPr>
        <w:t>, such as the nature and extent of the work remaining to be completed. Further relevant factors mentioned by the courts and highlighted by Freund and Price include the seriousness of the illegality, delay, and the failure to pursue alternative remedies.’</w:t>
      </w:r>
      <w:r w:rsidRPr="008A132B">
        <w:rPr>
          <w:rStyle w:val="FootnoteReference"/>
          <w:rFonts w:cs="Arial"/>
          <w:lang w:val="en-ZA"/>
        </w:rPr>
        <w:footnoteReference w:id="88"/>
      </w:r>
      <w:r w:rsidR="00AA6B1E" w:rsidRPr="008A132B">
        <w:rPr>
          <w:rFonts w:cs="Arial"/>
          <w:lang w:val="en-ZA"/>
        </w:rPr>
        <w:t xml:space="preserve"> </w:t>
      </w:r>
      <w:r w:rsidR="00AA6B1E" w:rsidRPr="008A132B">
        <w:rPr>
          <w:rFonts w:cs="Arial"/>
          <w:sz w:val="24"/>
          <w:lang w:val="en-ZA"/>
        </w:rPr>
        <w:t>(</w:t>
      </w:r>
      <w:r w:rsidR="00497B20" w:rsidRPr="008A132B">
        <w:rPr>
          <w:rFonts w:cs="Arial"/>
          <w:sz w:val="24"/>
          <w:lang w:val="en-ZA"/>
        </w:rPr>
        <w:t>emphasis</w:t>
      </w:r>
      <w:r w:rsidR="00AA6B1E" w:rsidRPr="008A132B">
        <w:rPr>
          <w:rFonts w:cs="Arial"/>
          <w:sz w:val="24"/>
          <w:lang w:val="en-ZA"/>
        </w:rPr>
        <w:t xml:space="preserve"> added)</w:t>
      </w:r>
    </w:p>
    <w:p w14:paraId="598EEAB8" w14:textId="77777777" w:rsidR="00BE7EE3" w:rsidRPr="008A132B" w:rsidRDefault="00BE7EE3" w:rsidP="00CC12CF">
      <w:pPr>
        <w:spacing w:line="360" w:lineRule="auto"/>
        <w:jc w:val="both"/>
      </w:pPr>
    </w:p>
    <w:p w14:paraId="55F62A65" w14:textId="5D5DB186" w:rsidR="00BE7EE3"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[74]</w:t>
      </w:r>
      <w:r w:rsidRPr="008A132B">
        <w:rPr>
          <w:rFonts w:cs="Arial"/>
          <w:iCs w:val="0"/>
          <w:szCs w:val="24"/>
          <w:lang w:val="en-ZA"/>
        </w:rPr>
        <w:tab/>
      </w:r>
      <w:r w:rsidR="00BE7EE3" w:rsidRPr="008A132B">
        <w:rPr>
          <w:lang w:val="en-ZA"/>
        </w:rPr>
        <w:t>Tendele</w:t>
      </w:r>
      <w:r w:rsidR="00BE7EE3" w:rsidRPr="008A132B">
        <w:rPr>
          <w:rFonts w:cs="Arial"/>
          <w:szCs w:val="24"/>
          <w:lang w:val="en-ZA"/>
        </w:rPr>
        <w:t xml:space="preserve"> argues that it </w:t>
      </w:r>
      <w:r w:rsidR="006A3410" w:rsidRPr="008A132B">
        <w:rPr>
          <w:rFonts w:cs="Arial"/>
          <w:szCs w:val="24"/>
          <w:lang w:val="en-ZA"/>
        </w:rPr>
        <w:t>wa</w:t>
      </w:r>
      <w:r w:rsidR="00BE7EE3" w:rsidRPr="008A132B">
        <w:rPr>
          <w:rFonts w:cs="Arial"/>
          <w:szCs w:val="24"/>
          <w:lang w:val="en-ZA"/>
        </w:rPr>
        <w:t xml:space="preserve">s not necessary for Bam J to have suspended the declaration of invalidity in order to avoid the consequences of nullity being visited upon the </w:t>
      </w:r>
      <w:r w:rsidR="006A3410" w:rsidRPr="008A132B">
        <w:rPr>
          <w:rFonts w:cs="Arial"/>
          <w:szCs w:val="24"/>
          <w:lang w:val="en-ZA"/>
        </w:rPr>
        <w:t xml:space="preserve">decisions </w:t>
      </w:r>
      <w:r w:rsidR="00BE7EE3" w:rsidRPr="008A132B">
        <w:rPr>
          <w:rFonts w:cs="Arial"/>
          <w:szCs w:val="24"/>
          <w:lang w:val="en-ZA"/>
        </w:rPr>
        <w:t>she had declared to be unlawful</w:t>
      </w:r>
      <w:r w:rsidR="006A3410" w:rsidRPr="008A132B">
        <w:rPr>
          <w:rFonts w:cs="Arial"/>
          <w:szCs w:val="24"/>
          <w:lang w:val="en-ZA"/>
        </w:rPr>
        <w:t>, but that she could</w:t>
      </w:r>
      <w:r w:rsidR="00643181">
        <w:rPr>
          <w:rFonts w:cs="Arial"/>
          <w:szCs w:val="24"/>
          <w:lang w:val="en-ZA"/>
        </w:rPr>
        <w:t>, and did,</w:t>
      </w:r>
      <w:r w:rsidR="006A3410" w:rsidRPr="008A132B">
        <w:rPr>
          <w:rFonts w:cs="Arial"/>
          <w:szCs w:val="24"/>
          <w:lang w:val="en-ZA"/>
        </w:rPr>
        <w:t xml:space="preserve"> achieve the same result by simply </w:t>
      </w:r>
      <w:r w:rsidR="00FF72AC">
        <w:rPr>
          <w:rFonts w:cs="Arial"/>
          <w:szCs w:val="24"/>
          <w:lang w:val="en-ZA"/>
        </w:rPr>
        <w:t xml:space="preserve">directing that </w:t>
      </w:r>
      <w:r w:rsidR="006A3410" w:rsidRPr="008A132B">
        <w:rPr>
          <w:rFonts w:cs="Arial"/>
          <w:szCs w:val="24"/>
          <w:lang w:val="en-ZA"/>
        </w:rPr>
        <w:t xml:space="preserve">the decisions </w:t>
      </w:r>
      <w:r w:rsidR="00FF72AC">
        <w:rPr>
          <w:rFonts w:cs="Arial"/>
          <w:szCs w:val="24"/>
          <w:lang w:val="en-ZA"/>
        </w:rPr>
        <w:t xml:space="preserve">were not set </w:t>
      </w:r>
      <w:r w:rsidR="006A3410" w:rsidRPr="008A132B">
        <w:rPr>
          <w:rFonts w:cs="Arial"/>
          <w:szCs w:val="24"/>
          <w:lang w:val="en-ZA"/>
        </w:rPr>
        <w:t>aside</w:t>
      </w:r>
      <w:r w:rsidR="00BE7EE3" w:rsidRPr="008A132B">
        <w:rPr>
          <w:rFonts w:cs="Arial"/>
          <w:szCs w:val="24"/>
          <w:lang w:val="en-ZA"/>
        </w:rPr>
        <w:t>. It relie</w:t>
      </w:r>
      <w:r w:rsidR="00D65C92">
        <w:rPr>
          <w:rFonts w:cs="Arial"/>
          <w:szCs w:val="24"/>
          <w:lang w:val="en-ZA"/>
        </w:rPr>
        <w:t>d</w:t>
      </w:r>
      <w:r w:rsidR="00BE7EE3" w:rsidRPr="008A132B">
        <w:rPr>
          <w:rFonts w:cs="Arial"/>
          <w:szCs w:val="24"/>
          <w:lang w:val="en-ZA"/>
        </w:rPr>
        <w:t xml:space="preserve"> in this regard on the decision of the Constitutional Court in </w:t>
      </w:r>
      <w:r w:rsidR="00BE7EE3" w:rsidRPr="008A132B">
        <w:rPr>
          <w:rFonts w:cs="Arial"/>
          <w:i/>
          <w:szCs w:val="24"/>
          <w:lang w:val="en-ZA"/>
        </w:rPr>
        <w:t>Bengwenyama</w:t>
      </w:r>
      <w:r w:rsidR="007F4B8E" w:rsidRPr="008A132B">
        <w:rPr>
          <w:rFonts w:cs="Arial"/>
          <w:i/>
          <w:szCs w:val="24"/>
          <w:lang w:val="en-ZA"/>
        </w:rPr>
        <w:t xml:space="preserve"> Minerals v </w:t>
      </w:r>
      <w:r w:rsidR="007F4B8E" w:rsidRPr="008A132B">
        <w:rPr>
          <w:rFonts w:cs="Arial"/>
          <w:i/>
          <w:szCs w:val="24"/>
          <w:lang w:val="en-ZA"/>
        </w:rPr>
        <w:lastRenderedPageBreak/>
        <w:t>Genorah Resources</w:t>
      </w:r>
      <w:r w:rsidR="00BE7EE3" w:rsidRPr="008A132B">
        <w:rPr>
          <w:rFonts w:cs="Arial"/>
          <w:szCs w:val="24"/>
          <w:lang w:val="en-ZA"/>
        </w:rPr>
        <w:t xml:space="preserve"> where th</w:t>
      </w:r>
      <w:r w:rsidR="006A3410" w:rsidRPr="008A132B">
        <w:rPr>
          <w:rFonts w:cs="Arial"/>
          <w:szCs w:val="24"/>
          <w:lang w:val="en-ZA"/>
        </w:rPr>
        <w:t>e</w:t>
      </w:r>
      <w:r w:rsidR="00BE7EE3" w:rsidRPr="008A132B">
        <w:rPr>
          <w:rFonts w:cs="Arial"/>
          <w:szCs w:val="24"/>
          <w:lang w:val="en-ZA"/>
        </w:rPr>
        <w:t xml:space="preserve"> court held</w:t>
      </w:r>
      <w:r w:rsidR="007F4B8E" w:rsidRPr="008A132B">
        <w:rPr>
          <w:rFonts w:cs="Arial"/>
          <w:szCs w:val="24"/>
          <w:lang w:val="en-ZA"/>
        </w:rPr>
        <w:t xml:space="preserve"> </w:t>
      </w:r>
      <w:r w:rsidR="00BE7EE3" w:rsidRPr="008A132B">
        <w:rPr>
          <w:rFonts w:cs="Arial"/>
          <w:szCs w:val="24"/>
          <w:lang w:val="en-ZA"/>
        </w:rPr>
        <w:t xml:space="preserve">that where a decision is declared unlawful but the court declines to set it aside, the practical effect is final, and not merely </w:t>
      </w:r>
      <w:r w:rsidR="007F4B8E" w:rsidRPr="008A132B">
        <w:rPr>
          <w:rFonts w:cs="Arial"/>
          <w:szCs w:val="24"/>
          <w:lang w:val="en-ZA"/>
        </w:rPr>
        <w:t xml:space="preserve">a </w:t>
      </w:r>
      <w:r w:rsidR="00BE7EE3" w:rsidRPr="008A132B">
        <w:rPr>
          <w:rFonts w:cs="Arial"/>
          <w:szCs w:val="24"/>
          <w:lang w:val="en-ZA"/>
        </w:rPr>
        <w:t>temporary suspension of invalidity.  Froneman J held</w:t>
      </w:r>
      <w:r w:rsidR="006A3410" w:rsidRPr="008A132B">
        <w:rPr>
          <w:rFonts w:cs="Arial"/>
          <w:szCs w:val="24"/>
          <w:lang w:val="en-ZA"/>
        </w:rPr>
        <w:t xml:space="preserve"> </w:t>
      </w:r>
      <w:r w:rsidR="00BE7EE3" w:rsidRPr="008A132B">
        <w:rPr>
          <w:rFonts w:cs="Arial"/>
          <w:szCs w:val="24"/>
          <w:lang w:val="en-ZA"/>
        </w:rPr>
        <w:t>that:</w:t>
      </w:r>
    </w:p>
    <w:p w14:paraId="0FCF80D0" w14:textId="2C180ED3" w:rsidR="00D02339" w:rsidRPr="008A132B" w:rsidRDefault="00DD14F3" w:rsidP="00CC12CF">
      <w:pPr>
        <w:pStyle w:val="Quote"/>
        <w:spacing w:before="0"/>
        <w:ind w:left="0"/>
        <w:rPr>
          <w:rFonts w:cs="Arial"/>
          <w:lang w:val="en-ZA"/>
        </w:rPr>
      </w:pPr>
      <w:r w:rsidRPr="008A132B">
        <w:rPr>
          <w:rFonts w:cs="Arial"/>
          <w:lang w:val="en-ZA"/>
        </w:rPr>
        <w:t>‘</w:t>
      </w:r>
      <w:r w:rsidR="00D02339" w:rsidRPr="008A132B">
        <w:rPr>
          <w:rFonts w:cs="Arial"/>
          <w:lang w:val="en-ZA"/>
        </w:rPr>
        <w:t xml:space="preserve">There is much merit in counsel‘s reminder that invalid administrative conduct must be declared unlawful, but it seems to me that it would be unnecessarily inflexible and difficult to explain further discretionary relief as a form of suspension of the invalidity of administrative action, in all cases. </w:t>
      </w:r>
      <w:r w:rsidR="00D02339" w:rsidRPr="008A132B">
        <w:rPr>
          <w:rFonts w:cs="Arial"/>
          <w:i/>
          <w:lang w:val="en-ZA"/>
        </w:rPr>
        <w:t>If the administrative action is declared unlawful, but all its consequences are not set aside, the practical effect of the order will be final, not merely a temporary suspension of invalidity</w:t>
      </w:r>
      <w:r w:rsidR="00D02339" w:rsidRPr="008A132B">
        <w:rPr>
          <w:rFonts w:cs="Arial"/>
          <w:lang w:val="en-ZA"/>
        </w:rPr>
        <w:t xml:space="preserve">. In my view </w:t>
      </w:r>
      <w:r w:rsidR="00D02339" w:rsidRPr="008A132B">
        <w:rPr>
          <w:rFonts w:cs="Arial"/>
          <w:i/>
          <w:lang w:val="en-ZA"/>
        </w:rPr>
        <w:t>it is not necessary to place the just and equitable relief that may be granted under PAJA into this kind of conceptual straitjacket</w:t>
      </w:r>
      <w:r w:rsidR="00D02339" w:rsidRPr="008A132B">
        <w:rPr>
          <w:rFonts w:cs="Arial"/>
          <w:lang w:val="en-ZA"/>
        </w:rPr>
        <w:t xml:space="preserve"> in order for that relief to be constitutionally acceptable</w:t>
      </w:r>
      <w:r w:rsidRPr="008A132B">
        <w:rPr>
          <w:rFonts w:cs="Arial"/>
          <w:lang w:val="en-ZA"/>
        </w:rPr>
        <w:t>.’</w:t>
      </w:r>
      <w:r w:rsidRPr="008A132B">
        <w:rPr>
          <w:rStyle w:val="FootnoteReference"/>
          <w:rFonts w:cs="Arial"/>
          <w:lang w:val="en-ZA"/>
        </w:rPr>
        <w:t xml:space="preserve"> </w:t>
      </w:r>
      <w:r w:rsidRPr="008A132B">
        <w:rPr>
          <w:rStyle w:val="FootnoteReference"/>
          <w:rFonts w:cs="Arial"/>
          <w:lang w:val="en-ZA"/>
        </w:rPr>
        <w:footnoteReference w:id="89"/>
      </w:r>
      <w:r w:rsidRPr="008A132B">
        <w:rPr>
          <w:rFonts w:cs="Arial"/>
          <w:lang w:val="en-ZA"/>
        </w:rPr>
        <w:t xml:space="preserve"> </w:t>
      </w:r>
      <w:r w:rsidRPr="008A132B">
        <w:rPr>
          <w:rFonts w:cs="Arial"/>
          <w:sz w:val="24"/>
          <w:lang w:val="en-ZA"/>
        </w:rPr>
        <w:t>(emphasis added)</w:t>
      </w:r>
    </w:p>
    <w:p w14:paraId="618AA8DB" w14:textId="77777777" w:rsidR="005817BF" w:rsidRPr="008A132B" w:rsidRDefault="005817BF" w:rsidP="00CC12CF">
      <w:pPr>
        <w:spacing w:line="360" w:lineRule="auto"/>
        <w:jc w:val="both"/>
      </w:pPr>
    </w:p>
    <w:p w14:paraId="0EB5677D" w14:textId="105D10E4" w:rsidR="005817BF" w:rsidRPr="008A132B" w:rsidRDefault="006D79CC" w:rsidP="006D79CC">
      <w:pPr>
        <w:spacing w:line="360" w:lineRule="auto"/>
        <w:jc w:val="both"/>
      </w:pPr>
      <w:r w:rsidRPr="008A132B">
        <w:rPr>
          <w:szCs w:val="24"/>
        </w:rPr>
        <w:t>[75]</w:t>
      </w:r>
      <w:r w:rsidRPr="008A132B">
        <w:rPr>
          <w:szCs w:val="24"/>
        </w:rPr>
        <w:tab/>
      </w:r>
      <w:r w:rsidR="007607F9" w:rsidRPr="008A132B">
        <w:rPr>
          <w:szCs w:val="24"/>
        </w:rPr>
        <w:t>Tendele</w:t>
      </w:r>
      <w:r w:rsidR="005817BF" w:rsidRPr="008A132B">
        <w:rPr>
          <w:szCs w:val="24"/>
        </w:rPr>
        <w:t xml:space="preserve"> </w:t>
      </w:r>
      <w:r w:rsidR="00FF72AC">
        <w:rPr>
          <w:szCs w:val="24"/>
        </w:rPr>
        <w:t xml:space="preserve">accordingly </w:t>
      </w:r>
      <w:r w:rsidR="005817BF" w:rsidRPr="008A132B">
        <w:rPr>
          <w:szCs w:val="24"/>
        </w:rPr>
        <w:t xml:space="preserve">argues that </w:t>
      </w:r>
      <w:r w:rsidR="00643181">
        <w:rPr>
          <w:szCs w:val="24"/>
        </w:rPr>
        <w:t>t</w:t>
      </w:r>
      <w:r w:rsidR="005817BF" w:rsidRPr="008A132B">
        <w:rPr>
          <w:szCs w:val="24"/>
        </w:rPr>
        <w:t xml:space="preserve">here is nothing mysterious or unusual about an order </w:t>
      </w:r>
      <w:r w:rsidR="00693204" w:rsidRPr="008A132B">
        <w:rPr>
          <w:szCs w:val="24"/>
        </w:rPr>
        <w:t xml:space="preserve">simply providing that the administrative act is </w:t>
      </w:r>
      <w:r w:rsidR="00776346">
        <w:rPr>
          <w:szCs w:val="24"/>
        </w:rPr>
        <w:t>‘</w:t>
      </w:r>
      <w:r w:rsidR="00693204" w:rsidRPr="008A132B">
        <w:rPr>
          <w:szCs w:val="24"/>
        </w:rPr>
        <w:t>not set aside</w:t>
      </w:r>
      <w:r w:rsidR="00776346">
        <w:rPr>
          <w:szCs w:val="24"/>
        </w:rPr>
        <w:t>’</w:t>
      </w:r>
      <w:r w:rsidR="00693204" w:rsidRPr="008A132B">
        <w:rPr>
          <w:szCs w:val="24"/>
        </w:rPr>
        <w:t>, without any further qualification</w:t>
      </w:r>
      <w:r w:rsidR="00776346">
        <w:rPr>
          <w:szCs w:val="24"/>
        </w:rPr>
        <w:t>,</w:t>
      </w:r>
      <w:r w:rsidR="00693204" w:rsidRPr="008A132B">
        <w:rPr>
          <w:szCs w:val="24"/>
        </w:rPr>
        <w:t xml:space="preserve"> such as suspending the invalidity</w:t>
      </w:r>
      <w:r w:rsidR="00D65C92">
        <w:rPr>
          <w:szCs w:val="24"/>
        </w:rPr>
        <w:t xml:space="preserve"> thereof</w:t>
      </w:r>
      <w:r w:rsidR="00693204" w:rsidRPr="008A132B">
        <w:rPr>
          <w:szCs w:val="24"/>
        </w:rPr>
        <w:t xml:space="preserve">. </w:t>
      </w:r>
      <w:r w:rsidR="00776346">
        <w:rPr>
          <w:szCs w:val="24"/>
        </w:rPr>
        <w:t xml:space="preserve">It contends that not </w:t>
      </w:r>
      <w:r w:rsidR="00693204" w:rsidRPr="008A132B">
        <w:rPr>
          <w:szCs w:val="24"/>
        </w:rPr>
        <w:t xml:space="preserve">setting </w:t>
      </w:r>
      <w:r w:rsidR="00776346">
        <w:rPr>
          <w:szCs w:val="24"/>
        </w:rPr>
        <w:t xml:space="preserve">a decision aside </w:t>
      </w:r>
      <w:r w:rsidR="00693204" w:rsidRPr="008A132B">
        <w:rPr>
          <w:szCs w:val="24"/>
        </w:rPr>
        <w:t>has the effect of permanently suspending the declaration of invalidity. It referred to the Constitutional Court having granted r</w:t>
      </w:r>
      <w:r w:rsidR="005817BF" w:rsidRPr="008A132B">
        <w:rPr>
          <w:szCs w:val="24"/>
        </w:rPr>
        <w:t xml:space="preserve">elief in </w:t>
      </w:r>
      <w:r w:rsidR="00FF72AC">
        <w:rPr>
          <w:szCs w:val="24"/>
        </w:rPr>
        <w:t xml:space="preserve">similar </w:t>
      </w:r>
      <w:r w:rsidR="005817BF" w:rsidRPr="008A132B">
        <w:rPr>
          <w:szCs w:val="24"/>
        </w:rPr>
        <w:t xml:space="preserve">terms in </w:t>
      </w:r>
      <w:r w:rsidR="005817BF" w:rsidRPr="008A132B">
        <w:rPr>
          <w:i/>
          <w:szCs w:val="24"/>
        </w:rPr>
        <w:t>M</w:t>
      </w:r>
      <w:r w:rsidR="007607F9" w:rsidRPr="008A132B">
        <w:rPr>
          <w:i/>
          <w:szCs w:val="24"/>
        </w:rPr>
        <w:t>inister of Defence and Military Veterans v M</w:t>
      </w:r>
      <w:r w:rsidR="005817BF" w:rsidRPr="008A132B">
        <w:rPr>
          <w:i/>
          <w:szCs w:val="24"/>
        </w:rPr>
        <w:t>otau</w:t>
      </w:r>
      <w:r w:rsidR="005817BF" w:rsidRPr="008A132B">
        <w:rPr>
          <w:rStyle w:val="FootnoteReference"/>
          <w:szCs w:val="24"/>
        </w:rPr>
        <w:footnoteReference w:id="90"/>
      </w:r>
      <w:r w:rsidR="005817BF" w:rsidRPr="008A132B">
        <w:rPr>
          <w:szCs w:val="24"/>
        </w:rPr>
        <w:t xml:space="preserve"> where</w:t>
      </w:r>
      <w:r w:rsidR="007607F9" w:rsidRPr="008A132B">
        <w:rPr>
          <w:szCs w:val="24"/>
        </w:rPr>
        <w:t>,</w:t>
      </w:r>
      <w:r w:rsidR="005817BF" w:rsidRPr="008A132B">
        <w:rPr>
          <w:szCs w:val="24"/>
        </w:rPr>
        <w:t xml:space="preserve"> having found that the termination of services </w:t>
      </w:r>
      <w:r w:rsidR="007607F9" w:rsidRPr="008A132B">
        <w:rPr>
          <w:szCs w:val="24"/>
        </w:rPr>
        <w:t xml:space="preserve">of board members of Armscor </w:t>
      </w:r>
      <w:r w:rsidR="005817BF" w:rsidRPr="008A132B">
        <w:rPr>
          <w:szCs w:val="24"/>
        </w:rPr>
        <w:t xml:space="preserve">was unlawful due to </w:t>
      </w:r>
      <w:r w:rsidR="007607F9" w:rsidRPr="008A132B">
        <w:rPr>
          <w:szCs w:val="24"/>
        </w:rPr>
        <w:t xml:space="preserve">the </w:t>
      </w:r>
      <w:r w:rsidR="005817BF" w:rsidRPr="008A132B">
        <w:rPr>
          <w:szCs w:val="24"/>
        </w:rPr>
        <w:t xml:space="preserve">failure to follow </w:t>
      </w:r>
      <w:r w:rsidR="00693204" w:rsidRPr="008A132B">
        <w:rPr>
          <w:szCs w:val="24"/>
        </w:rPr>
        <w:t>the procedure set out in s 71(1) and (2) of the Companies Act</w:t>
      </w:r>
      <w:r w:rsidR="00181CB6" w:rsidRPr="008A132B">
        <w:rPr>
          <w:szCs w:val="24"/>
        </w:rPr>
        <w:t xml:space="preserve"> 71 of 2008</w:t>
      </w:r>
      <w:r w:rsidR="005817BF" w:rsidRPr="008A132B">
        <w:rPr>
          <w:szCs w:val="24"/>
        </w:rPr>
        <w:t xml:space="preserve">, and that as a result, the Minister </w:t>
      </w:r>
      <w:r w:rsidR="00693204" w:rsidRPr="008A132B">
        <w:rPr>
          <w:szCs w:val="24"/>
        </w:rPr>
        <w:t xml:space="preserve">to that extent had </w:t>
      </w:r>
      <w:r w:rsidR="005817BF" w:rsidRPr="008A132B">
        <w:rPr>
          <w:szCs w:val="24"/>
        </w:rPr>
        <w:t>acted unlawfully</w:t>
      </w:r>
      <w:r w:rsidR="00693204" w:rsidRPr="008A132B">
        <w:rPr>
          <w:szCs w:val="24"/>
        </w:rPr>
        <w:t xml:space="preserve"> and</w:t>
      </w:r>
      <w:r w:rsidR="00DD14F3" w:rsidRPr="008A132B">
        <w:rPr>
          <w:szCs w:val="24"/>
        </w:rPr>
        <w:t xml:space="preserve"> </w:t>
      </w:r>
      <w:r w:rsidR="00D65C92">
        <w:rPr>
          <w:szCs w:val="24"/>
        </w:rPr>
        <w:t xml:space="preserve">that </w:t>
      </w:r>
      <w:r w:rsidR="00DD14F3" w:rsidRPr="008A132B">
        <w:rPr>
          <w:szCs w:val="24"/>
        </w:rPr>
        <w:t>this</w:t>
      </w:r>
      <w:r w:rsidR="00693204" w:rsidRPr="008A132B">
        <w:rPr>
          <w:szCs w:val="24"/>
        </w:rPr>
        <w:t xml:space="preserve"> had to be pointed out to the Minister</w:t>
      </w:r>
      <w:r w:rsidR="005817BF" w:rsidRPr="008A132B">
        <w:rPr>
          <w:szCs w:val="24"/>
        </w:rPr>
        <w:t>,</w:t>
      </w:r>
      <w:r w:rsidR="005817BF" w:rsidRPr="008A132B">
        <w:rPr>
          <w:rStyle w:val="FootnoteReference"/>
          <w:szCs w:val="24"/>
        </w:rPr>
        <w:footnoteReference w:id="91"/>
      </w:r>
      <w:r w:rsidR="005817BF" w:rsidRPr="008A132B">
        <w:rPr>
          <w:szCs w:val="24"/>
        </w:rPr>
        <w:t xml:space="preserve"> </w:t>
      </w:r>
      <w:r w:rsidR="00693204" w:rsidRPr="008A132B">
        <w:rPr>
          <w:szCs w:val="24"/>
        </w:rPr>
        <w:t xml:space="preserve">the exceptional circumstances of the case before it, which included that the term of the board members had </w:t>
      </w:r>
      <w:r w:rsidR="00CF7B91" w:rsidRPr="008A132B">
        <w:rPr>
          <w:szCs w:val="24"/>
        </w:rPr>
        <w:t xml:space="preserve">in any event </w:t>
      </w:r>
      <w:r w:rsidR="00693204" w:rsidRPr="008A132B">
        <w:rPr>
          <w:szCs w:val="24"/>
        </w:rPr>
        <w:t>expired and that</w:t>
      </w:r>
      <w:r w:rsidR="00CF7B91" w:rsidRPr="008A132B">
        <w:rPr>
          <w:szCs w:val="24"/>
        </w:rPr>
        <w:t xml:space="preserve"> the Minister had been prompted to terminate their services due to their continuous failings, that she had good cause to terminate their services</w:t>
      </w:r>
      <w:r w:rsidR="00FF72AC">
        <w:rPr>
          <w:szCs w:val="24"/>
        </w:rPr>
        <w:t xml:space="preserve">. For </w:t>
      </w:r>
      <w:r w:rsidR="00CF7B91" w:rsidRPr="008A132B">
        <w:rPr>
          <w:szCs w:val="24"/>
        </w:rPr>
        <w:t xml:space="preserve">those reasons </w:t>
      </w:r>
      <w:r w:rsidR="005817BF" w:rsidRPr="008A132B">
        <w:rPr>
          <w:szCs w:val="24"/>
        </w:rPr>
        <w:t xml:space="preserve">it </w:t>
      </w:r>
      <w:r w:rsidR="00FF72AC">
        <w:rPr>
          <w:szCs w:val="24"/>
        </w:rPr>
        <w:t xml:space="preserve">was held that it </w:t>
      </w:r>
      <w:r w:rsidR="005817BF" w:rsidRPr="008A132B">
        <w:rPr>
          <w:szCs w:val="24"/>
        </w:rPr>
        <w:t>would not be just and equitable to confirm th</w:t>
      </w:r>
      <w:r w:rsidR="00CF7B91" w:rsidRPr="008A132B">
        <w:rPr>
          <w:szCs w:val="24"/>
        </w:rPr>
        <w:t xml:space="preserve">e relief granted by the </w:t>
      </w:r>
      <w:r w:rsidR="00DD14F3" w:rsidRPr="008A132B">
        <w:rPr>
          <w:szCs w:val="24"/>
        </w:rPr>
        <w:t xml:space="preserve">high court </w:t>
      </w:r>
      <w:r w:rsidR="00CF7B91" w:rsidRPr="008A132B">
        <w:rPr>
          <w:szCs w:val="24"/>
        </w:rPr>
        <w:t xml:space="preserve">which set aside the termination of their services because of the unlawful </w:t>
      </w:r>
      <w:r w:rsidR="00D65C92">
        <w:rPr>
          <w:szCs w:val="24"/>
        </w:rPr>
        <w:t xml:space="preserve">manner in which </w:t>
      </w:r>
      <w:r w:rsidR="00CF7B91" w:rsidRPr="008A132B">
        <w:rPr>
          <w:szCs w:val="24"/>
        </w:rPr>
        <w:t>their services</w:t>
      </w:r>
      <w:r w:rsidR="00D65C92">
        <w:rPr>
          <w:szCs w:val="24"/>
        </w:rPr>
        <w:t xml:space="preserve"> were terminated</w:t>
      </w:r>
      <w:r w:rsidR="005817BF" w:rsidRPr="008A132B">
        <w:rPr>
          <w:szCs w:val="24"/>
        </w:rPr>
        <w:t>.</w:t>
      </w:r>
      <w:r w:rsidR="005817BF" w:rsidRPr="008A132B">
        <w:rPr>
          <w:rStyle w:val="FootnoteReference"/>
          <w:szCs w:val="24"/>
        </w:rPr>
        <w:footnoteReference w:id="92"/>
      </w:r>
      <w:r w:rsidR="005817BF" w:rsidRPr="008A132B">
        <w:rPr>
          <w:szCs w:val="24"/>
        </w:rPr>
        <w:t xml:space="preserve"> The Constitutional Court </w:t>
      </w:r>
      <w:r w:rsidR="00D65C92">
        <w:rPr>
          <w:szCs w:val="24"/>
        </w:rPr>
        <w:t>acc</w:t>
      </w:r>
      <w:r w:rsidR="005817BF" w:rsidRPr="008A132B">
        <w:rPr>
          <w:szCs w:val="24"/>
        </w:rPr>
        <w:t xml:space="preserve">ordingly set aside the decision of the </w:t>
      </w:r>
      <w:r w:rsidR="00DD14F3" w:rsidRPr="008A132B">
        <w:rPr>
          <w:szCs w:val="24"/>
        </w:rPr>
        <w:t xml:space="preserve">high court </w:t>
      </w:r>
      <w:r w:rsidR="005817BF" w:rsidRPr="008A132B">
        <w:rPr>
          <w:szCs w:val="24"/>
        </w:rPr>
        <w:t>and replaced it with the following order</w:t>
      </w:r>
      <w:r w:rsidR="00CF7B91" w:rsidRPr="008A132B">
        <w:rPr>
          <w:szCs w:val="24"/>
        </w:rPr>
        <w:t>s:</w:t>
      </w:r>
    </w:p>
    <w:p w14:paraId="6423B6AC" w14:textId="1C1FAEFA" w:rsidR="00394A50" w:rsidRPr="008A132B" w:rsidRDefault="00394A50" w:rsidP="00394A50">
      <w:pPr>
        <w:pStyle w:val="Quote"/>
        <w:spacing w:before="0"/>
        <w:ind w:left="0"/>
        <w:rPr>
          <w:rFonts w:cs="Arial"/>
          <w:lang w:val="en-ZA"/>
        </w:rPr>
      </w:pPr>
      <w:r w:rsidRPr="008A132B">
        <w:rPr>
          <w:rFonts w:cs="Arial"/>
          <w:lang w:val="en-ZA"/>
        </w:rPr>
        <w:lastRenderedPageBreak/>
        <w:t>‘(a) It is declared that the Minister acted unlawfully insofar as she terminated the services of General Motau and Ms Mokoena on the Armscor Board without following the procedure set out in section 71(1) and (2) of the Companies Act.</w:t>
      </w:r>
    </w:p>
    <w:p w14:paraId="2FC7F244" w14:textId="54CD2511" w:rsidR="00BE7EE3" w:rsidRPr="00776346" w:rsidRDefault="00394A50" w:rsidP="00394A50">
      <w:pPr>
        <w:pStyle w:val="Quote"/>
        <w:spacing w:before="0"/>
        <w:ind w:left="0"/>
        <w:rPr>
          <w:rFonts w:cs="Arial"/>
          <w:sz w:val="24"/>
          <w:szCs w:val="24"/>
          <w:lang w:val="en-ZA"/>
        </w:rPr>
      </w:pPr>
      <w:r w:rsidRPr="008A132B">
        <w:rPr>
          <w:rFonts w:cs="Arial"/>
          <w:lang w:val="en-ZA"/>
        </w:rPr>
        <w:t xml:space="preserve">(b) The Minister’s decision to terminate the services of General Motau and Ms Mokoena on the Armscor Board </w:t>
      </w:r>
      <w:r w:rsidRPr="00D65C92">
        <w:rPr>
          <w:rFonts w:cs="Arial"/>
          <w:i/>
          <w:iCs w:val="0"/>
          <w:lang w:val="en-ZA"/>
        </w:rPr>
        <w:t>is not set aside</w:t>
      </w:r>
      <w:r w:rsidRPr="008A132B">
        <w:rPr>
          <w:rFonts w:cs="Arial"/>
          <w:lang w:val="en-ZA"/>
        </w:rPr>
        <w:t>.</w:t>
      </w:r>
      <w:r w:rsidR="00DD14F3" w:rsidRPr="008A132B">
        <w:rPr>
          <w:rFonts w:cs="Arial"/>
          <w:lang w:val="en-ZA"/>
        </w:rPr>
        <w:t>’</w:t>
      </w:r>
      <w:r w:rsidR="005817BF" w:rsidRPr="008A132B">
        <w:rPr>
          <w:rStyle w:val="FootnoteReference"/>
          <w:rFonts w:cs="Arial"/>
          <w:lang w:val="en-ZA"/>
        </w:rPr>
        <w:footnoteReference w:id="93"/>
      </w:r>
      <w:r w:rsidR="00776346">
        <w:rPr>
          <w:rFonts w:cs="Arial"/>
          <w:lang w:val="en-ZA"/>
        </w:rPr>
        <w:t xml:space="preserve"> </w:t>
      </w:r>
      <w:r w:rsidR="00776346">
        <w:rPr>
          <w:rFonts w:cs="Arial"/>
          <w:sz w:val="24"/>
          <w:szCs w:val="24"/>
          <w:lang w:val="en-ZA"/>
        </w:rPr>
        <w:t>(emphasis added)</w:t>
      </w:r>
    </w:p>
    <w:p w14:paraId="29E9649F" w14:textId="77777777" w:rsidR="008959B2" w:rsidRPr="008A132B" w:rsidRDefault="008959B2" w:rsidP="00394A50">
      <w:pPr>
        <w:pStyle w:val="Quote"/>
        <w:spacing w:before="0"/>
        <w:ind w:left="0"/>
        <w:rPr>
          <w:rFonts w:cs="Arial"/>
          <w:sz w:val="24"/>
          <w:szCs w:val="24"/>
          <w:lang w:val="en-ZA"/>
        </w:rPr>
      </w:pPr>
    </w:p>
    <w:p w14:paraId="5395F065" w14:textId="2BBD1861" w:rsidR="00BE7EE3"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[76]</w:t>
      </w:r>
      <w:r w:rsidRPr="008A132B">
        <w:rPr>
          <w:rFonts w:cs="Arial"/>
          <w:iCs w:val="0"/>
          <w:szCs w:val="24"/>
          <w:lang w:val="en-ZA"/>
        </w:rPr>
        <w:tab/>
      </w:r>
      <w:r w:rsidR="00BE7EE3" w:rsidRPr="008A132B">
        <w:rPr>
          <w:rFonts w:cs="Arial"/>
          <w:szCs w:val="24"/>
          <w:lang w:val="en-ZA"/>
        </w:rPr>
        <w:t>Tendele argue</w:t>
      </w:r>
      <w:r w:rsidR="007607F9" w:rsidRPr="008A132B">
        <w:rPr>
          <w:rFonts w:cs="Arial"/>
          <w:szCs w:val="24"/>
          <w:lang w:val="en-ZA"/>
        </w:rPr>
        <w:t>d</w:t>
      </w:r>
      <w:r w:rsidR="00BE7EE3" w:rsidRPr="008A132B">
        <w:rPr>
          <w:rFonts w:cs="Arial"/>
          <w:szCs w:val="24"/>
          <w:lang w:val="en-ZA"/>
        </w:rPr>
        <w:t xml:space="preserve"> that the </w:t>
      </w:r>
      <w:r w:rsidR="00FF74F2" w:rsidRPr="008A132B">
        <w:rPr>
          <w:rFonts w:cs="Arial"/>
          <w:szCs w:val="24"/>
          <w:lang w:val="en-ZA"/>
        </w:rPr>
        <w:t xml:space="preserve">high court </w:t>
      </w:r>
      <w:r w:rsidR="00BE7EE3" w:rsidRPr="008A132B">
        <w:rPr>
          <w:rFonts w:cs="Arial"/>
          <w:szCs w:val="24"/>
          <w:lang w:val="en-ZA"/>
        </w:rPr>
        <w:t xml:space="preserve">did the same thing in </w:t>
      </w:r>
      <w:r w:rsidR="00D90574" w:rsidRPr="008A132B">
        <w:rPr>
          <w:i/>
          <w:iCs w:val="0"/>
          <w:lang w:val="en-ZA"/>
        </w:rPr>
        <w:t>Allpay Consolidated Investment v CEO of the South African Social Security Agency</w:t>
      </w:r>
      <w:r w:rsidR="00BE7EE3" w:rsidRPr="008A132B">
        <w:rPr>
          <w:rFonts w:cs="Arial"/>
          <w:i/>
          <w:szCs w:val="24"/>
          <w:lang w:val="en-ZA"/>
        </w:rPr>
        <w:t xml:space="preserve"> </w:t>
      </w:r>
      <w:r w:rsidR="00BE7EE3" w:rsidRPr="008A132B">
        <w:rPr>
          <w:rFonts w:cs="Arial"/>
          <w:iCs w:val="0"/>
          <w:szCs w:val="24"/>
          <w:lang w:val="en-ZA"/>
        </w:rPr>
        <w:t>when i</w:t>
      </w:r>
      <w:r w:rsidR="00BE7EE3" w:rsidRPr="008A132B">
        <w:rPr>
          <w:rFonts w:cs="Arial"/>
          <w:szCs w:val="24"/>
          <w:lang w:val="en-ZA"/>
        </w:rPr>
        <w:t>t granted an order that:</w:t>
      </w:r>
    </w:p>
    <w:p w14:paraId="5B84C0AD" w14:textId="1698DEA5" w:rsidR="00FF74F2" w:rsidRPr="008A132B" w:rsidRDefault="00BE7EE3" w:rsidP="00FF74F2">
      <w:pPr>
        <w:pStyle w:val="Quote"/>
        <w:ind w:left="0"/>
        <w:rPr>
          <w:rFonts w:cs="Arial"/>
          <w:lang w:val="en-ZA"/>
        </w:rPr>
      </w:pPr>
      <w:r w:rsidRPr="008A132B">
        <w:rPr>
          <w:rFonts w:cs="Arial"/>
          <w:lang w:val="en-ZA"/>
        </w:rPr>
        <w:t>‘</w:t>
      </w:r>
      <w:r w:rsidR="00FF74F2" w:rsidRPr="008A132B">
        <w:rPr>
          <w:rFonts w:cs="Arial"/>
          <w:lang w:val="en-ZA"/>
        </w:rPr>
        <w:t>80.1 The tender process is declared illegal and invalid.</w:t>
      </w:r>
    </w:p>
    <w:p w14:paraId="674A212F" w14:textId="0CA5A314" w:rsidR="00BE7EE3" w:rsidRPr="008A132B" w:rsidRDefault="00FF74F2" w:rsidP="00FF74F2">
      <w:pPr>
        <w:pStyle w:val="Quote"/>
        <w:spacing w:before="0"/>
        <w:ind w:left="0"/>
        <w:rPr>
          <w:rFonts w:cs="Arial"/>
          <w:lang w:val="en-ZA"/>
        </w:rPr>
      </w:pPr>
      <w:r w:rsidRPr="008A132B">
        <w:rPr>
          <w:rFonts w:cs="Arial"/>
          <w:lang w:val="en-ZA"/>
        </w:rPr>
        <w:t>80.2 The award of the tender to the third respondent is not set aside</w:t>
      </w:r>
      <w:r w:rsidR="00BE7EE3" w:rsidRPr="008A132B">
        <w:rPr>
          <w:rFonts w:cs="Arial"/>
          <w:lang w:val="en-ZA"/>
        </w:rPr>
        <w:t>.’</w:t>
      </w:r>
      <w:r w:rsidR="00BE7EE3" w:rsidRPr="008A132B">
        <w:rPr>
          <w:rStyle w:val="FootnoteReference"/>
          <w:rFonts w:cs="Arial"/>
          <w:lang w:val="en-ZA"/>
        </w:rPr>
        <w:footnoteReference w:id="94"/>
      </w:r>
    </w:p>
    <w:p w14:paraId="2BFB46AB" w14:textId="5B52E043" w:rsidR="007607F9" w:rsidRPr="008A132B" w:rsidRDefault="006005C9" w:rsidP="00CC12CF">
      <w:pPr>
        <w:spacing w:line="360" w:lineRule="auto"/>
        <w:jc w:val="both"/>
      </w:pPr>
      <w:r w:rsidRPr="008A132B">
        <w:t xml:space="preserve">As much as that was the order granted in the </w:t>
      </w:r>
      <w:r w:rsidR="00413A45" w:rsidRPr="008A132B">
        <w:t>high court</w:t>
      </w:r>
      <w:r w:rsidRPr="008A132B">
        <w:t xml:space="preserve">, the Constitutional Court granted an order in different terms, expressly providing for the suspension of the order of invalidity. </w:t>
      </w:r>
    </w:p>
    <w:p w14:paraId="61D2DA2C" w14:textId="77777777" w:rsidR="007607F9" w:rsidRPr="008A132B" w:rsidRDefault="007607F9" w:rsidP="00CC12CF">
      <w:pPr>
        <w:spacing w:line="360" w:lineRule="auto"/>
        <w:jc w:val="both"/>
      </w:pPr>
    </w:p>
    <w:p w14:paraId="09EBAF92" w14:textId="1E8692DE" w:rsidR="00BE7EE3"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[77]</w:t>
      </w:r>
      <w:r w:rsidRPr="008A132B">
        <w:rPr>
          <w:rFonts w:cs="Arial"/>
          <w:iCs w:val="0"/>
          <w:szCs w:val="24"/>
          <w:lang w:val="en-ZA"/>
        </w:rPr>
        <w:tab/>
      </w:r>
      <w:r w:rsidR="007B57B4" w:rsidRPr="008A132B">
        <w:rPr>
          <w:szCs w:val="24"/>
          <w:lang w:val="en-ZA"/>
        </w:rPr>
        <w:t xml:space="preserve">By analogy </w:t>
      </w:r>
      <w:r w:rsidR="0018306A">
        <w:rPr>
          <w:szCs w:val="24"/>
          <w:lang w:val="en-ZA"/>
        </w:rPr>
        <w:t xml:space="preserve">with these two decisions </w:t>
      </w:r>
      <w:r w:rsidR="007B57B4" w:rsidRPr="008A132B">
        <w:rPr>
          <w:szCs w:val="24"/>
          <w:lang w:val="en-ZA"/>
        </w:rPr>
        <w:t>Tendele argues that this is what Bam J did: the administrative decisions were declared invalid (in terms of s 172(1)</w:t>
      </w:r>
      <w:r w:rsidR="007B57B4" w:rsidRPr="008A132B">
        <w:rPr>
          <w:i/>
          <w:szCs w:val="24"/>
          <w:lang w:val="en-ZA"/>
        </w:rPr>
        <w:t>(a)</w:t>
      </w:r>
      <w:r w:rsidR="007B57B4" w:rsidRPr="008A132B">
        <w:rPr>
          <w:szCs w:val="24"/>
          <w:lang w:val="en-ZA"/>
        </w:rPr>
        <w:t xml:space="preserve">); but it was then expressly provided that despite their invalidity, they would not be set aside. </w:t>
      </w:r>
      <w:r w:rsidR="006005C9" w:rsidRPr="008A132B">
        <w:rPr>
          <w:rFonts w:cs="Arial"/>
          <w:szCs w:val="24"/>
          <w:lang w:val="en-ZA"/>
        </w:rPr>
        <w:t>Tendele submits that a</w:t>
      </w:r>
      <w:r w:rsidR="007607F9" w:rsidRPr="008A132B">
        <w:rPr>
          <w:rFonts w:cs="Arial"/>
          <w:szCs w:val="24"/>
          <w:lang w:val="en-ZA"/>
        </w:rPr>
        <w:t>pplying the principles to be disce</w:t>
      </w:r>
      <w:r w:rsidR="00181CB6" w:rsidRPr="008A132B">
        <w:rPr>
          <w:rFonts w:cs="Arial"/>
          <w:szCs w:val="24"/>
          <w:lang w:val="en-ZA"/>
        </w:rPr>
        <w:t>rned from the</w:t>
      </w:r>
      <w:r w:rsidR="00643181">
        <w:rPr>
          <w:rFonts w:cs="Arial"/>
          <w:szCs w:val="24"/>
          <w:lang w:val="en-ZA"/>
        </w:rPr>
        <w:t xml:space="preserve"> aforesaid</w:t>
      </w:r>
      <w:r w:rsidR="00181CB6" w:rsidRPr="008A132B">
        <w:rPr>
          <w:rFonts w:cs="Arial"/>
          <w:szCs w:val="24"/>
          <w:lang w:val="en-ZA"/>
        </w:rPr>
        <w:t xml:space="preserve"> cases, Bam </w:t>
      </w:r>
      <w:r w:rsidR="007607F9" w:rsidRPr="008A132B">
        <w:rPr>
          <w:rFonts w:cs="Arial"/>
          <w:szCs w:val="24"/>
          <w:lang w:val="en-ZA"/>
        </w:rPr>
        <w:t>J</w:t>
      </w:r>
      <w:r w:rsidR="008A19F5">
        <w:rPr>
          <w:rFonts w:cs="Arial"/>
          <w:szCs w:val="24"/>
          <w:lang w:val="en-ZA"/>
        </w:rPr>
        <w:t xml:space="preserve"> declared </w:t>
      </w:r>
      <w:r w:rsidR="007607F9" w:rsidRPr="008A132B">
        <w:rPr>
          <w:rFonts w:cs="Arial"/>
          <w:szCs w:val="24"/>
          <w:lang w:val="en-ZA"/>
        </w:rPr>
        <w:t>the administrative decisions unlawful and invalid</w:t>
      </w:r>
      <w:r w:rsidR="00AA6B1E" w:rsidRPr="008A132B">
        <w:rPr>
          <w:rFonts w:cs="Arial"/>
          <w:szCs w:val="24"/>
          <w:lang w:val="en-ZA"/>
        </w:rPr>
        <w:t xml:space="preserve"> (</w:t>
      </w:r>
      <w:r w:rsidR="007607F9" w:rsidRPr="008A132B">
        <w:rPr>
          <w:rFonts w:cs="Arial"/>
          <w:szCs w:val="24"/>
          <w:lang w:val="en-ZA"/>
        </w:rPr>
        <w:t>as she was bound to do in terms of s 172(1)</w:t>
      </w:r>
      <w:r w:rsidR="007607F9" w:rsidRPr="008A132B">
        <w:rPr>
          <w:rFonts w:cs="Arial"/>
          <w:i/>
          <w:szCs w:val="24"/>
          <w:lang w:val="en-ZA"/>
        </w:rPr>
        <w:t>(a)</w:t>
      </w:r>
      <w:r w:rsidR="007607F9" w:rsidRPr="008A132B">
        <w:rPr>
          <w:rFonts w:cs="Arial"/>
          <w:szCs w:val="24"/>
          <w:lang w:val="en-ZA"/>
        </w:rPr>
        <w:t xml:space="preserve"> of the Constitution</w:t>
      </w:r>
      <w:r w:rsidR="00AA6B1E" w:rsidRPr="008A132B">
        <w:rPr>
          <w:rFonts w:cs="Arial"/>
          <w:szCs w:val="24"/>
          <w:lang w:val="en-ZA"/>
        </w:rPr>
        <w:t>)</w:t>
      </w:r>
      <w:r w:rsidR="007607F9" w:rsidRPr="008A132B">
        <w:rPr>
          <w:rFonts w:cs="Arial"/>
          <w:szCs w:val="24"/>
          <w:lang w:val="en-ZA"/>
        </w:rPr>
        <w:t>, but that she then exercised her just and equitable remedial discretion in terms of s 172(1)</w:t>
      </w:r>
      <w:r w:rsidR="007607F9" w:rsidRPr="008A132B">
        <w:rPr>
          <w:rFonts w:cs="Arial"/>
          <w:i/>
          <w:szCs w:val="24"/>
          <w:lang w:val="en-ZA"/>
        </w:rPr>
        <w:t>(b)</w:t>
      </w:r>
      <w:r w:rsidR="007607F9" w:rsidRPr="008A132B">
        <w:rPr>
          <w:rFonts w:cs="Arial"/>
          <w:szCs w:val="24"/>
          <w:lang w:val="en-ZA"/>
        </w:rPr>
        <w:t xml:space="preserve"> of the Constitution and expressly ordered that notwithstanding the invalidity, ‘the decisions are not set aside,’ thereby keeping the </w:t>
      </w:r>
      <w:r w:rsidR="00AA6B1E" w:rsidRPr="008A132B">
        <w:rPr>
          <w:rFonts w:cs="Arial"/>
          <w:szCs w:val="24"/>
          <w:lang w:val="en-ZA"/>
        </w:rPr>
        <w:t>m</w:t>
      </w:r>
      <w:r w:rsidR="007607F9" w:rsidRPr="008A132B">
        <w:rPr>
          <w:rFonts w:cs="Arial"/>
          <w:szCs w:val="24"/>
          <w:lang w:val="en-ZA"/>
        </w:rPr>
        <w:t xml:space="preserve">ining </w:t>
      </w:r>
      <w:r w:rsidR="00AA6B1E" w:rsidRPr="008A132B">
        <w:rPr>
          <w:rFonts w:cs="Arial"/>
          <w:szCs w:val="24"/>
          <w:lang w:val="en-ZA"/>
        </w:rPr>
        <w:t>r</w:t>
      </w:r>
      <w:r w:rsidR="007607F9" w:rsidRPr="008A132B">
        <w:rPr>
          <w:rFonts w:cs="Arial"/>
          <w:szCs w:val="24"/>
          <w:lang w:val="en-ZA"/>
        </w:rPr>
        <w:t xml:space="preserve">ight and EMPr which would otherwise have been void </w:t>
      </w:r>
      <w:r w:rsidR="007607F9" w:rsidRPr="008A132B">
        <w:rPr>
          <w:rFonts w:cs="Arial"/>
          <w:i/>
          <w:szCs w:val="24"/>
          <w:lang w:val="en-ZA"/>
        </w:rPr>
        <w:t>ab initio</w:t>
      </w:r>
      <w:r w:rsidR="007607F9" w:rsidRPr="008A132B">
        <w:rPr>
          <w:rFonts w:cs="Arial"/>
          <w:szCs w:val="24"/>
          <w:lang w:val="en-ZA"/>
        </w:rPr>
        <w:t xml:space="preserve"> alive</w:t>
      </w:r>
      <w:r w:rsidR="009F68DC" w:rsidRPr="008A132B">
        <w:rPr>
          <w:rFonts w:cs="Arial"/>
          <w:szCs w:val="24"/>
          <w:lang w:val="en-ZA"/>
        </w:rPr>
        <w:t>,</w:t>
      </w:r>
      <w:r w:rsidR="007607F9" w:rsidRPr="008A132B">
        <w:rPr>
          <w:rFonts w:cs="Arial"/>
          <w:szCs w:val="24"/>
          <w:lang w:val="en-ZA"/>
        </w:rPr>
        <w:t xml:space="preserve"> notwithstanding their illegality. </w:t>
      </w:r>
      <w:r w:rsidR="006005C9" w:rsidRPr="008A132B">
        <w:rPr>
          <w:rFonts w:cs="Arial"/>
          <w:szCs w:val="24"/>
          <w:lang w:val="en-ZA"/>
        </w:rPr>
        <w:t xml:space="preserve">It </w:t>
      </w:r>
      <w:r w:rsidR="007607F9" w:rsidRPr="008A132B">
        <w:rPr>
          <w:rFonts w:cs="Arial"/>
          <w:szCs w:val="24"/>
          <w:lang w:val="en-ZA"/>
        </w:rPr>
        <w:t xml:space="preserve">submits that Bam </w:t>
      </w:r>
      <w:r w:rsidR="006005C9" w:rsidRPr="008A132B">
        <w:rPr>
          <w:rFonts w:cs="Arial"/>
          <w:szCs w:val="24"/>
          <w:lang w:val="en-ZA"/>
        </w:rPr>
        <w:t xml:space="preserve">J </w:t>
      </w:r>
      <w:r w:rsidR="007607F9" w:rsidRPr="008A132B">
        <w:rPr>
          <w:rFonts w:cs="Arial"/>
          <w:szCs w:val="24"/>
          <w:lang w:val="en-ZA"/>
        </w:rPr>
        <w:t xml:space="preserve">considered and rejected the applicants’ argument that the just and equitable remedy of declining to set-aside the </w:t>
      </w:r>
      <w:r w:rsidR="00AA6B1E" w:rsidRPr="008A132B">
        <w:rPr>
          <w:rFonts w:cs="Arial"/>
          <w:szCs w:val="24"/>
          <w:lang w:val="en-ZA"/>
        </w:rPr>
        <w:t>m</w:t>
      </w:r>
      <w:r w:rsidR="007607F9" w:rsidRPr="008A132B">
        <w:rPr>
          <w:rFonts w:cs="Arial"/>
          <w:szCs w:val="24"/>
          <w:lang w:val="en-ZA"/>
        </w:rPr>
        <w:t xml:space="preserve">ining </w:t>
      </w:r>
      <w:r w:rsidR="00AA6B1E" w:rsidRPr="008A132B">
        <w:rPr>
          <w:rFonts w:cs="Arial"/>
          <w:szCs w:val="24"/>
          <w:lang w:val="en-ZA"/>
        </w:rPr>
        <w:t>r</w:t>
      </w:r>
      <w:r w:rsidR="007607F9" w:rsidRPr="008A132B">
        <w:rPr>
          <w:rFonts w:cs="Arial"/>
          <w:szCs w:val="24"/>
          <w:lang w:val="en-ZA"/>
        </w:rPr>
        <w:t>ight and EMPr would impermissibly allow Tendele to continue to mine in terms of the unlawful right</w:t>
      </w:r>
      <w:r w:rsidR="006005C9" w:rsidRPr="008A132B">
        <w:rPr>
          <w:rFonts w:cs="Arial"/>
          <w:szCs w:val="24"/>
          <w:lang w:val="en-ZA"/>
        </w:rPr>
        <w:t xml:space="preserve">, and that </w:t>
      </w:r>
      <w:r w:rsidR="00AA6B1E" w:rsidRPr="008A132B">
        <w:rPr>
          <w:rFonts w:cs="Arial"/>
          <w:szCs w:val="24"/>
          <w:lang w:val="en-ZA"/>
        </w:rPr>
        <w:t xml:space="preserve">the learned judge </w:t>
      </w:r>
      <w:r w:rsidR="007607F9" w:rsidRPr="008A132B">
        <w:rPr>
          <w:rFonts w:cs="Arial"/>
          <w:szCs w:val="24"/>
          <w:lang w:val="en-ZA"/>
        </w:rPr>
        <w:t xml:space="preserve">granted a </w:t>
      </w:r>
      <w:r w:rsidR="007607F9" w:rsidRPr="00643181">
        <w:rPr>
          <w:rFonts w:cs="Arial"/>
          <w:i/>
          <w:iCs w:val="0"/>
          <w:szCs w:val="24"/>
          <w:lang w:val="en-ZA"/>
        </w:rPr>
        <w:t>pragmatic</w:t>
      </w:r>
      <w:r w:rsidR="007607F9" w:rsidRPr="008A132B">
        <w:rPr>
          <w:rFonts w:cs="Arial"/>
          <w:szCs w:val="24"/>
          <w:lang w:val="en-ZA"/>
        </w:rPr>
        <w:t xml:space="preserve"> order</w:t>
      </w:r>
      <w:r w:rsidR="00AA6B1E" w:rsidRPr="008A132B">
        <w:rPr>
          <w:rFonts w:cs="Arial"/>
          <w:szCs w:val="24"/>
          <w:lang w:val="en-ZA"/>
        </w:rPr>
        <w:t>,</w:t>
      </w:r>
      <w:r w:rsidR="007607F9" w:rsidRPr="008A132B">
        <w:rPr>
          <w:rFonts w:cs="Arial"/>
          <w:szCs w:val="24"/>
          <w:lang w:val="en-ZA"/>
        </w:rPr>
        <w:t xml:space="preserve"> declaring invalid</w:t>
      </w:r>
      <w:r w:rsidR="00AA6B1E" w:rsidRPr="008A132B">
        <w:rPr>
          <w:rFonts w:cs="Arial"/>
          <w:szCs w:val="24"/>
          <w:lang w:val="en-ZA"/>
        </w:rPr>
        <w:t>,</w:t>
      </w:r>
      <w:r w:rsidR="007607F9" w:rsidRPr="008A132B">
        <w:rPr>
          <w:rFonts w:cs="Arial"/>
          <w:szCs w:val="24"/>
          <w:lang w:val="en-ZA"/>
        </w:rPr>
        <w:t xml:space="preserve"> but not setting aside the </w:t>
      </w:r>
      <w:r w:rsidR="00AA6B1E" w:rsidRPr="008A132B">
        <w:rPr>
          <w:rFonts w:cs="Arial"/>
          <w:szCs w:val="24"/>
          <w:lang w:val="en-ZA"/>
        </w:rPr>
        <w:t>m</w:t>
      </w:r>
      <w:r w:rsidR="007607F9" w:rsidRPr="008A132B">
        <w:rPr>
          <w:rFonts w:cs="Arial"/>
          <w:szCs w:val="24"/>
          <w:lang w:val="en-ZA"/>
        </w:rPr>
        <w:t xml:space="preserve">ining </w:t>
      </w:r>
      <w:r w:rsidR="00AA6B1E" w:rsidRPr="008A132B">
        <w:rPr>
          <w:rFonts w:cs="Arial"/>
          <w:szCs w:val="24"/>
          <w:lang w:val="en-ZA"/>
        </w:rPr>
        <w:t>r</w:t>
      </w:r>
      <w:r w:rsidR="007607F9" w:rsidRPr="008A132B">
        <w:rPr>
          <w:rFonts w:cs="Arial"/>
          <w:szCs w:val="24"/>
          <w:lang w:val="en-ZA"/>
        </w:rPr>
        <w:t xml:space="preserve">ight and the EMPr precisely </w:t>
      </w:r>
      <w:r w:rsidR="007607F9" w:rsidRPr="008A132B">
        <w:rPr>
          <w:rFonts w:cs="Arial"/>
          <w:szCs w:val="24"/>
          <w:lang w:val="en-ZA"/>
        </w:rPr>
        <w:lastRenderedPageBreak/>
        <w:t xml:space="preserve">because she upheld Tendele’s submissions </w:t>
      </w:r>
      <w:r w:rsidR="006005C9" w:rsidRPr="008A132B">
        <w:rPr>
          <w:rFonts w:cs="Arial"/>
          <w:szCs w:val="24"/>
          <w:lang w:val="en-ZA"/>
        </w:rPr>
        <w:t xml:space="preserve">for a </w:t>
      </w:r>
      <w:r w:rsidR="007607F9" w:rsidRPr="008A132B">
        <w:rPr>
          <w:rFonts w:cs="Arial"/>
          <w:szCs w:val="24"/>
          <w:lang w:val="en-ZA"/>
        </w:rPr>
        <w:t xml:space="preserve">just and equitable remedy </w:t>
      </w:r>
      <w:r w:rsidR="006005C9" w:rsidRPr="008A132B">
        <w:rPr>
          <w:rFonts w:cs="Arial"/>
          <w:szCs w:val="24"/>
          <w:lang w:val="en-ZA"/>
        </w:rPr>
        <w:t>which r</w:t>
      </w:r>
      <w:r w:rsidR="007607F9" w:rsidRPr="008A132B">
        <w:rPr>
          <w:rFonts w:cs="Arial"/>
          <w:szCs w:val="24"/>
          <w:lang w:val="en-ZA"/>
        </w:rPr>
        <w:t xml:space="preserve">ecognised that notwithstanding the unlawfulness, there were overwhelming practical considerations in favour of keeping the </w:t>
      </w:r>
      <w:r w:rsidR="00AA6B1E" w:rsidRPr="008A132B">
        <w:rPr>
          <w:rFonts w:cs="Arial"/>
          <w:szCs w:val="24"/>
          <w:lang w:val="en-ZA"/>
        </w:rPr>
        <w:t>m</w:t>
      </w:r>
      <w:r w:rsidR="007607F9" w:rsidRPr="008A132B">
        <w:rPr>
          <w:rFonts w:cs="Arial"/>
          <w:szCs w:val="24"/>
          <w:lang w:val="en-ZA"/>
        </w:rPr>
        <w:t xml:space="preserve">ining </w:t>
      </w:r>
      <w:r w:rsidR="00AA6B1E" w:rsidRPr="008A132B">
        <w:rPr>
          <w:rFonts w:cs="Arial"/>
          <w:szCs w:val="24"/>
          <w:lang w:val="en-ZA"/>
        </w:rPr>
        <w:t>r</w:t>
      </w:r>
      <w:r w:rsidR="007607F9" w:rsidRPr="008A132B">
        <w:rPr>
          <w:rFonts w:cs="Arial"/>
          <w:szCs w:val="24"/>
          <w:lang w:val="en-ZA"/>
        </w:rPr>
        <w:t>ight and EMPr</w:t>
      </w:r>
      <w:r w:rsidR="00AA6B1E" w:rsidRPr="008A132B">
        <w:rPr>
          <w:rFonts w:cs="Arial"/>
          <w:szCs w:val="24"/>
          <w:lang w:val="en-ZA"/>
        </w:rPr>
        <w:t xml:space="preserve"> alive. </w:t>
      </w:r>
      <w:r w:rsidR="007607F9" w:rsidRPr="008A132B">
        <w:rPr>
          <w:rFonts w:cs="Arial"/>
          <w:szCs w:val="24"/>
          <w:lang w:val="en-ZA"/>
        </w:rPr>
        <w:t xml:space="preserve">It argues that the </w:t>
      </w:r>
      <w:r w:rsidR="00BE7EE3" w:rsidRPr="008A132B">
        <w:rPr>
          <w:szCs w:val="24"/>
          <w:lang w:val="en-ZA"/>
        </w:rPr>
        <w:t>interdicts that the applicants seek are therefore premised on a misreading of the review judgment</w:t>
      </w:r>
      <w:r w:rsidR="006005C9" w:rsidRPr="008A132B">
        <w:rPr>
          <w:szCs w:val="24"/>
          <w:lang w:val="en-ZA"/>
        </w:rPr>
        <w:t>; that</w:t>
      </w:r>
      <w:r w:rsidR="00BE7EE3" w:rsidRPr="008A132B">
        <w:rPr>
          <w:szCs w:val="24"/>
          <w:lang w:val="en-ZA"/>
        </w:rPr>
        <w:t xml:space="preserve"> Bam J was persuaded that it would not be just and equitable to extinguish Tendele’s entitlements under the mining right and EMPr, as this would lead to the closure of an operational mine</w:t>
      </w:r>
      <w:r w:rsidR="006005C9" w:rsidRPr="008A132B">
        <w:rPr>
          <w:szCs w:val="24"/>
          <w:lang w:val="en-ZA"/>
        </w:rPr>
        <w:t xml:space="preserve">; and that this </w:t>
      </w:r>
      <w:r w:rsidR="00181CB6" w:rsidRPr="008A132B">
        <w:rPr>
          <w:szCs w:val="24"/>
          <w:lang w:val="en-ZA"/>
        </w:rPr>
        <w:t>is the basis upon which Bam </w:t>
      </w:r>
      <w:r w:rsidR="00BE7EE3" w:rsidRPr="008A132B">
        <w:rPr>
          <w:szCs w:val="24"/>
          <w:lang w:val="en-ZA"/>
        </w:rPr>
        <w:t>J declined to set aside Tendele’s mining right and the EMPr</w:t>
      </w:r>
      <w:r w:rsidR="00FF72AC">
        <w:rPr>
          <w:szCs w:val="24"/>
          <w:lang w:val="en-ZA"/>
        </w:rPr>
        <w:t xml:space="preserve">. They </w:t>
      </w:r>
      <w:r w:rsidR="006005C9" w:rsidRPr="008A132B">
        <w:rPr>
          <w:szCs w:val="24"/>
          <w:lang w:val="en-ZA"/>
        </w:rPr>
        <w:t xml:space="preserve">accordingly </w:t>
      </w:r>
      <w:r w:rsidR="00BE7EE3" w:rsidRPr="008A132B">
        <w:rPr>
          <w:szCs w:val="24"/>
          <w:lang w:val="en-ZA"/>
        </w:rPr>
        <w:t>remain</w:t>
      </w:r>
      <w:r w:rsidR="006005C9" w:rsidRPr="008A132B">
        <w:rPr>
          <w:szCs w:val="24"/>
          <w:lang w:val="en-ZA"/>
        </w:rPr>
        <w:t>ed</w:t>
      </w:r>
      <w:r w:rsidR="00BE7EE3" w:rsidRPr="008A132B">
        <w:rPr>
          <w:szCs w:val="24"/>
          <w:lang w:val="en-ZA"/>
        </w:rPr>
        <w:t xml:space="preserve"> extant and give rise to legal consequences.</w:t>
      </w:r>
    </w:p>
    <w:p w14:paraId="03A9D6EF" w14:textId="77777777" w:rsidR="008959B2" w:rsidRPr="008A132B" w:rsidRDefault="008959B2" w:rsidP="00CC12CF">
      <w:pPr>
        <w:pStyle w:val="2"/>
        <w:numPr>
          <w:ilvl w:val="0"/>
          <w:numId w:val="0"/>
        </w:numPr>
        <w:spacing w:before="0" w:line="360" w:lineRule="auto"/>
        <w:rPr>
          <w:rFonts w:cs="Arial"/>
          <w:szCs w:val="24"/>
          <w:lang w:val="en-ZA"/>
        </w:rPr>
      </w:pPr>
    </w:p>
    <w:p w14:paraId="4FB7401C" w14:textId="3D025BBF" w:rsidR="00FA5613" w:rsidRPr="00FA5613" w:rsidRDefault="006D79CC" w:rsidP="006D79CC">
      <w:pPr>
        <w:pStyle w:val="1"/>
        <w:numPr>
          <w:ilvl w:val="0"/>
          <w:numId w:val="0"/>
        </w:numPr>
        <w:spacing w:before="0" w:line="360" w:lineRule="auto"/>
        <w:rPr>
          <w:rFonts w:cs="Arial"/>
          <w:szCs w:val="24"/>
          <w:lang w:val="en-ZA"/>
        </w:rPr>
      </w:pPr>
      <w:r w:rsidRPr="00FA5613">
        <w:rPr>
          <w:rFonts w:cs="Arial"/>
          <w:iCs w:val="0"/>
          <w:szCs w:val="24"/>
          <w:lang w:val="en-ZA"/>
        </w:rPr>
        <w:t>[78]</w:t>
      </w:r>
      <w:r w:rsidRPr="00FA5613">
        <w:rPr>
          <w:rFonts w:cs="Arial"/>
          <w:iCs w:val="0"/>
          <w:szCs w:val="24"/>
          <w:lang w:val="en-ZA"/>
        </w:rPr>
        <w:tab/>
      </w:r>
      <w:r w:rsidR="006005C9" w:rsidRPr="008A132B">
        <w:rPr>
          <w:rFonts w:cs="Arial"/>
          <w:szCs w:val="24"/>
          <w:lang w:val="en-ZA"/>
        </w:rPr>
        <w:t xml:space="preserve">The words ‘not set aside,’ </w:t>
      </w:r>
      <w:r w:rsidR="009F68DC" w:rsidRPr="008A132B">
        <w:rPr>
          <w:rFonts w:cs="Arial"/>
          <w:szCs w:val="24"/>
          <w:lang w:val="en-ZA"/>
        </w:rPr>
        <w:t xml:space="preserve">in </w:t>
      </w:r>
      <w:r w:rsidR="006005C9" w:rsidRPr="008A132B">
        <w:rPr>
          <w:rFonts w:cs="Arial"/>
          <w:szCs w:val="24"/>
          <w:lang w:val="en-ZA"/>
        </w:rPr>
        <w:t>their ordinary sense would convey that the effect of nullity of administrative conduct following a declaration of invalidity</w:t>
      </w:r>
      <w:r w:rsidR="00BD587E" w:rsidRPr="008A132B">
        <w:rPr>
          <w:rFonts w:cs="Arial"/>
          <w:szCs w:val="24"/>
          <w:lang w:val="en-ZA"/>
        </w:rPr>
        <w:t>, is permanently suspended</w:t>
      </w:r>
      <w:r w:rsidR="00776346">
        <w:rPr>
          <w:rFonts w:cs="Arial"/>
          <w:szCs w:val="24"/>
          <w:lang w:val="en-ZA"/>
        </w:rPr>
        <w:t xml:space="preserve">. But </w:t>
      </w:r>
      <w:r w:rsidR="00FF72AC">
        <w:rPr>
          <w:rFonts w:cs="Arial"/>
          <w:szCs w:val="24"/>
          <w:lang w:val="en-ZA"/>
        </w:rPr>
        <w:t xml:space="preserve">the </w:t>
      </w:r>
      <w:r w:rsidR="00BD587E" w:rsidRPr="008A132B">
        <w:rPr>
          <w:rFonts w:cs="Arial"/>
          <w:szCs w:val="24"/>
          <w:lang w:val="en-ZA"/>
        </w:rPr>
        <w:t>words</w:t>
      </w:r>
      <w:r w:rsidR="00FF72AC">
        <w:rPr>
          <w:rFonts w:cs="Arial"/>
          <w:szCs w:val="24"/>
          <w:lang w:val="en-ZA"/>
        </w:rPr>
        <w:t>,</w:t>
      </w:r>
      <w:r w:rsidR="00BD587E" w:rsidRPr="008A132B">
        <w:rPr>
          <w:rFonts w:cs="Arial"/>
          <w:szCs w:val="24"/>
          <w:lang w:val="en-ZA"/>
        </w:rPr>
        <w:t xml:space="preserve"> ‘The decisions are not set aside’</w:t>
      </w:r>
      <w:r w:rsidR="00FF72AC">
        <w:rPr>
          <w:rFonts w:cs="Arial"/>
          <w:szCs w:val="24"/>
          <w:lang w:val="en-ZA"/>
        </w:rPr>
        <w:t>,</w:t>
      </w:r>
      <w:r w:rsidR="00BD587E" w:rsidRPr="008A132B">
        <w:rPr>
          <w:rFonts w:cs="Arial"/>
          <w:szCs w:val="24"/>
          <w:lang w:val="en-ZA"/>
        </w:rPr>
        <w:t xml:space="preserve"> must </w:t>
      </w:r>
      <w:r w:rsidR="00FF72AC">
        <w:rPr>
          <w:rFonts w:cs="Arial"/>
          <w:szCs w:val="24"/>
          <w:lang w:val="en-ZA"/>
        </w:rPr>
        <w:t xml:space="preserve">always </w:t>
      </w:r>
      <w:r w:rsidR="00BD587E" w:rsidRPr="008A132B">
        <w:rPr>
          <w:rFonts w:cs="Arial"/>
          <w:szCs w:val="24"/>
          <w:lang w:val="en-ZA"/>
        </w:rPr>
        <w:t xml:space="preserve">be assessed in the context in which they are used. </w:t>
      </w:r>
      <w:r w:rsidR="00FA5613" w:rsidRPr="00FA5613">
        <w:rPr>
          <w:rFonts w:cs="Arial"/>
          <w:szCs w:val="24"/>
          <w:lang w:val="en-ZA"/>
        </w:rPr>
        <w:t xml:space="preserve">Each case must decided on its own facts. </w:t>
      </w:r>
    </w:p>
    <w:p w14:paraId="3596DE94" w14:textId="77777777" w:rsidR="00776346" w:rsidRDefault="00776346" w:rsidP="00776346">
      <w:pPr>
        <w:pStyle w:val="ListParagraph"/>
        <w:rPr>
          <w:szCs w:val="24"/>
        </w:rPr>
      </w:pPr>
    </w:p>
    <w:p w14:paraId="7DD9FE08" w14:textId="5021D557" w:rsidR="00357BAB"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[79]</w:t>
      </w:r>
      <w:r w:rsidRPr="008A132B">
        <w:rPr>
          <w:rFonts w:cs="Arial"/>
          <w:iCs w:val="0"/>
          <w:szCs w:val="24"/>
          <w:lang w:val="en-ZA"/>
        </w:rPr>
        <w:tab/>
      </w:r>
      <w:r w:rsidR="00BD587E" w:rsidRPr="008A132B">
        <w:rPr>
          <w:rFonts w:cs="Arial"/>
          <w:szCs w:val="24"/>
          <w:lang w:val="en-ZA"/>
        </w:rPr>
        <w:t xml:space="preserve">In </w:t>
      </w:r>
      <w:r w:rsidR="00BD587E" w:rsidRPr="008A132B">
        <w:rPr>
          <w:rFonts w:cs="Arial"/>
          <w:i/>
          <w:iCs w:val="0"/>
          <w:szCs w:val="24"/>
          <w:lang w:val="en-ZA"/>
        </w:rPr>
        <w:t xml:space="preserve">Motau </w:t>
      </w:r>
      <w:r w:rsidR="00BD587E" w:rsidRPr="008A132B">
        <w:rPr>
          <w:rFonts w:cs="Arial"/>
          <w:szCs w:val="24"/>
          <w:lang w:val="en-ZA"/>
        </w:rPr>
        <w:t>the declaration of unlawfulness due to non</w:t>
      </w:r>
      <w:r w:rsidR="007B57B4" w:rsidRPr="008A132B">
        <w:rPr>
          <w:rFonts w:cs="Arial"/>
          <w:szCs w:val="24"/>
          <w:lang w:val="en-ZA"/>
        </w:rPr>
        <w:t>-</w:t>
      </w:r>
      <w:r w:rsidR="00BD587E" w:rsidRPr="008A132B">
        <w:rPr>
          <w:rFonts w:cs="Arial"/>
          <w:szCs w:val="24"/>
          <w:lang w:val="en-ZA"/>
        </w:rPr>
        <w:t xml:space="preserve">compliance with the provisions of the provisions of the Companies Act, was not visited with any suspensive effect or nullity. On the contrary. </w:t>
      </w:r>
      <w:r w:rsidR="00FF72AC">
        <w:rPr>
          <w:rFonts w:cs="Arial"/>
          <w:szCs w:val="24"/>
          <w:lang w:val="en-ZA"/>
        </w:rPr>
        <w:t>T</w:t>
      </w:r>
      <w:r w:rsidR="00BD587E" w:rsidRPr="008A132B">
        <w:rPr>
          <w:rFonts w:cs="Arial"/>
          <w:szCs w:val="24"/>
          <w:lang w:val="en-ZA"/>
        </w:rPr>
        <w:t xml:space="preserve">he decision to dismiss the two board members was considered to be justified on other grounds and their dismissal was declared not to be set aside based on those reasons, rather than their dismissal being set aside </w:t>
      </w:r>
      <w:r w:rsidR="00BD587E" w:rsidRPr="008A132B">
        <w:rPr>
          <w:rFonts w:cs="Arial"/>
          <w:i/>
          <w:szCs w:val="24"/>
          <w:lang w:val="en-ZA"/>
        </w:rPr>
        <w:t>in toto</w:t>
      </w:r>
      <w:r w:rsidR="00BD587E" w:rsidRPr="008A132B">
        <w:rPr>
          <w:rFonts w:cs="Arial"/>
          <w:szCs w:val="24"/>
          <w:lang w:val="en-ZA"/>
        </w:rPr>
        <w:t xml:space="preserve">, as the </w:t>
      </w:r>
      <w:r w:rsidR="00DA24C9" w:rsidRPr="008A132B">
        <w:rPr>
          <w:rFonts w:cs="Arial"/>
          <w:szCs w:val="24"/>
          <w:lang w:val="en-ZA"/>
        </w:rPr>
        <w:t xml:space="preserve">high court </w:t>
      </w:r>
      <w:r w:rsidR="00BD587E" w:rsidRPr="008A132B">
        <w:rPr>
          <w:rFonts w:cs="Arial"/>
          <w:szCs w:val="24"/>
          <w:lang w:val="en-ZA"/>
        </w:rPr>
        <w:t xml:space="preserve">did, </w:t>
      </w:r>
      <w:r w:rsidR="00FA5613">
        <w:rPr>
          <w:rFonts w:cs="Arial"/>
          <w:szCs w:val="24"/>
          <w:lang w:val="en-ZA"/>
        </w:rPr>
        <w:t xml:space="preserve">due to invalidity </w:t>
      </w:r>
      <w:r w:rsidR="00BD587E" w:rsidRPr="008A132B">
        <w:rPr>
          <w:rFonts w:cs="Arial"/>
          <w:szCs w:val="24"/>
          <w:lang w:val="en-ZA"/>
        </w:rPr>
        <w:t xml:space="preserve">for not following the relevant provisions of the Companies Act. The declaration of unlawfulness due to the relevant provisions of the Companies Act not having been </w:t>
      </w:r>
      <w:r w:rsidR="00FA5613">
        <w:rPr>
          <w:rFonts w:cs="Arial"/>
          <w:szCs w:val="24"/>
          <w:lang w:val="en-ZA"/>
        </w:rPr>
        <w:t>followed</w:t>
      </w:r>
      <w:r w:rsidR="00BD587E" w:rsidRPr="008A132B">
        <w:rPr>
          <w:rFonts w:cs="Arial"/>
          <w:szCs w:val="24"/>
          <w:lang w:val="en-ZA"/>
        </w:rPr>
        <w:t xml:space="preserve">, was not affected by the order not to set aside the termination of the board members’ services, and </w:t>
      </w:r>
      <w:r w:rsidR="00357BAB" w:rsidRPr="008A132B">
        <w:rPr>
          <w:rFonts w:cs="Arial"/>
          <w:szCs w:val="24"/>
          <w:lang w:val="en-ZA"/>
        </w:rPr>
        <w:t xml:space="preserve">the declaration of unlawfulness remained. </w:t>
      </w:r>
    </w:p>
    <w:p w14:paraId="4D4EDAC8" w14:textId="77777777" w:rsidR="00357BAB" w:rsidRPr="008A132B" w:rsidRDefault="00357BAB" w:rsidP="00CC12CF">
      <w:pPr>
        <w:pStyle w:val="1"/>
        <w:numPr>
          <w:ilvl w:val="0"/>
          <w:numId w:val="0"/>
        </w:numPr>
        <w:spacing w:before="0" w:line="360" w:lineRule="auto"/>
        <w:rPr>
          <w:rFonts w:cs="Arial"/>
          <w:szCs w:val="24"/>
          <w:lang w:val="en-ZA"/>
        </w:rPr>
      </w:pPr>
    </w:p>
    <w:p w14:paraId="6827C61A" w14:textId="26817993" w:rsidR="00357BAB" w:rsidRPr="008A132B" w:rsidRDefault="006D79CC" w:rsidP="006D79CC">
      <w:pPr>
        <w:pStyle w:val="1"/>
        <w:numPr>
          <w:ilvl w:val="0"/>
          <w:numId w:val="0"/>
        </w:numPr>
        <w:spacing w:before="0" w:line="360" w:lineRule="auto"/>
        <w:rPr>
          <w:rFonts w:cs="Arial"/>
          <w:szCs w:val="24"/>
          <w:lang w:val="en-ZA"/>
        </w:rPr>
      </w:pPr>
      <w:r w:rsidRPr="008A132B">
        <w:rPr>
          <w:rFonts w:cs="Arial"/>
          <w:iCs w:val="0"/>
          <w:szCs w:val="24"/>
          <w:lang w:val="en-ZA"/>
        </w:rPr>
        <w:t>[80]</w:t>
      </w:r>
      <w:r w:rsidRPr="008A132B">
        <w:rPr>
          <w:rFonts w:cs="Arial"/>
          <w:iCs w:val="0"/>
          <w:szCs w:val="24"/>
          <w:lang w:val="en-ZA"/>
        </w:rPr>
        <w:tab/>
      </w:r>
      <w:r w:rsidR="00357BAB" w:rsidRPr="008A132B">
        <w:rPr>
          <w:rFonts w:cs="Arial"/>
          <w:szCs w:val="24"/>
          <w:lang w:val="en-ZA"/>
        </w:rPr>
        <w:t xml:space="preserve">Similarly, in </w:t>
      </w:r>
      <w:r w:rsidR="00357BAB" w:rsidRPr="008A132B">
        <w:rPr>
          <w:rFonts w:cs="Arial"/>
          <w:i/>
          <w:iCs w:val="0"/>
          <w:szCs w:val="24"/>
          <w:lang w:val="en-ZA"/>
        </w:rPr>
        <w:t xml:space="preserve">All Pay </w:t>
      </w:r>
      <w:r w:rsidR="00357BAB" w:rsidRPr="008A132B">
        <w:rPr>
          <w:rFonts w:cs="Arial"/>
          <w:szCs w:val="24"/>
          <w:lang w:val="en-ZA"/>
        </w:rPr>
        <w:t xml:space="preserve">it is significant that the Constitutional Court was not, like the </w:t>
      </w:r>
      <w:r w:rsidR="00DA24C9" w:rsidRPr="008A132B">
        <w:rPr>
          <w:rFonts w:cs="Arial"/>
          <w:szCs w:val="24"/>
          <w:lang w:val="en-ZA"/>
        </w:rPr>
        <w:t>high court</w:t>
      </w:r>
      <w:r w:rsidR="00357BAB" w:rsidRPr="008A132B">
        <w:rPr>
          <w:rFonts w:cs="Arial"/>
          <w:szCs w:val="24"/>
          <w:lang w:val="en-ZA"/>
        </w:rPr>
        <w:t xml:space="preserve">, </w:t>
      </w:r>
      <w:r w:rsidR="00F10BCC" w:rsidRPr="008A132B">
        <w:rPr>
          <w:rFonts w:cs="Arial"/>
          <w:szCs w:val="24"/>
          <w:lang w:val="en-ZA"/>
        </w:rPr>
        <w:t>in the factual context of that case</w:t>
      </w:r>
      <w:r w:rsidR="00AA6B1E" w:rsidRPr="008A132B">
        <w:rPr>
          <w:rFonts w:cs="Arial"/>
          <w:szCs w:val="24"/>
          <w:lang w:val="en-ZA"/>
        </w:rPr>
        <w:t>,</w:t>
      </w:r>
      <w:r w:rsidR="00F10BCC" w:rsidRPr="008A132B">
        <w:rPr>
          <w:rFonts w:cs="Arial"/>
          <w:szCs w:val="24"/>
          <w:lang w:val="en-ZA"/>
        </w:rPr>
        <w:t xml:space="preserve"> </w:t>
      </w:r>
      <w:r w:rsidR="00357BAB" w:rsidRPr="008A132B">
        <w:rPr>
          <w:rFonts w:cs="Arial"/>
          <w:szCs w:val="24"/>
          <w:lang w:val="en-ZA"/>
        </w:rPr>
        <w:t xml:space="preserve">content with </w:t>
      </w:r>
      <w:r w:rsidR="00FA5613">
        <w:rPr>
          <w:rFonts w:cs="Arial"/>
          <w:szCs w:val="24"/>
          <w:lang w:val="en-ZA"/>
        </w:rPr>
        <w:t xml:space="preserve">simply </w:t>
      </w:r>
      <w:r w:rsidR="00357BAB" w:rsidRPr="008A132B">
        <w:rPr>
          <w:rFonts w:cs="Arial"/>
          <w:szCs w:val="24"/>
          <w:lang w:val="en-ZA"/>
        </w:rPr>
        <w:t>not setting aside the relevant decisions</w:t>
      </w:r>
      <w:r w:rsidR="00FA5613">
        <w:rPr>
          <w:rFonts w:cs="Arial"/>
          <w:szCs w:val="24"/>
          <w:lang w:val="en-ZA"/>
        </w:rPr>
        <w:t xml:space="preserve">. It provided expressly </w:t>
      </w:r>
      <w:r w:rsidR="00357BAB" w:rsidRPr="008A132B">
        <w:rPr>
          <w:rFonts w:cs="Arial"/>
          <w:szCs w:val="24"/>
          <w:lang w:val="en-ZA"/>
        </w:rPr>
        <w:t>for the suspension</w:t>
      </w:r>
      <w:r w:rsidR="00FA5613">
        <w:rPr>
          <w:rFonts w:cs="Arial"/>
          <w:szCs w:val="24"/>
          <w:lang w:val="en-ZA"/>
        </w:rPr>
        <w:t xml:space="preserve"> of the decisions</w:t>
      </w:r>
      <w:r w:rsidR="00357BAB" w:rsidRPr="008A132B">
        <w:rPr>
          <w:rFonts w:cs="Arial"/>
          <w:szCs w:val="24"/>
          <w:lang w:val="en-ZA"/>
        </w:rPr>
        <w:t>.</w:t>
      </w:r>
    </w:p>
    <w:p w14:paraId="47DFE697" w14:textId="77777777" w:rsidR="007B57B4" w:rsidRPr="00FA5613" w:rsidRDefault="007B57B4" w:rsidP="00FA5613">
      <w:pPr>
        <w:spacing w:line="360" w:lineRule="auto"/>
        <w:jc w:val="both"/>
        <w:rPr>
          <w:szCs w:val="24"/>
        </w:rPr>
      </w:pPr>
    </w:p>
    <w:p w14:paraId="4A529F0C" w14:textId="4FA27579" w:rsidR="007B57B4" w:rsidRPr="008A132B" w:rsidRDefault="006D79CC" w:rsidP="006D79CC">
      <w:pPr>
        <w:spacing w:line="360" w:lineRule="auto"/>
        <w:jc w:val="both"/>
      </w:pPr>
      <w:r w:rsidRPr="008A132B">
        <w:rPr>
          <w:szCs w:val="24"/>
        </w:rPr>
        <w:t>[81]</w:t>
      </w:r>
      <w:r w:rsidRPr="008A132B">
        <w:rPr>
          <w:szCs w:val="24"/>
        </w:rPr>
        <w:tab/>
      </w:r>
      <w:r w:rsidR="007B57B4" w:rsidRPr="008A132B">
        <w:t xml:space="preserve">As much as the Constitutional </w:t>
      </w:r>
      <w:r w:rsidR="00AA6B1E" w:rsidRPr="008A132B">
        <w:t>C</w:t>
      </w:r>
      <w:r w:rsidR="007B57B4" w:rsidRPr="008A132B">
        <w:t>ourt has held that the just and equitable relief need not be placed in a ‘conceptual straightjacket’, for example necessarily employing the language of s 172(1)</w:t>
      </w:r>
      <w:r w:rsidR="007B57B4" w:rsidRPr="008A132B">
        <w:rPr>
          <w:i/>
        </w:rPr>
        <w:t>(b)</w:t>
      </w:r>
      <w:r w:rsidR="007B57B4" w:rsidRPr="008A132B">
        <w:t xml:space="preserve">(i) or (ii), it is equally significant that the Constitutional </w:t>
      </w:r>
      <w:r w:rsidR="00DA24C9" w:rsidRPr="008A132B">
        <w:t xml:space="preserve">Court </w:t>
      </w:r>
      <w:r w:rsidR="007B57B4" w:rsidRPr="008A132B">
        <w:t xml:space="preserve">concluded that where an administrative act is declared unlawful, but ‘all its consequences are not set aside,’ then ‘the effect is that the order will be final, not </w:t>
      </w:r>
      <w:r w:rsidR="007B57B4" w:rsidRPr="008A132B">
        <w:lastRenderedPageBreak/>
        <w:t>merely a temporary suspension of invalidity.’ Therefore, where an invalid administrative act is</w:t>
      </w:r>
      <w:r w:rsidR="00776346">
        <w:t>,</w:t>
      </w:r>
      <w:r w:rsidR="007B57B4" w:rsidRPr="008A132B">
        <w:t xml:space="preserve"> in totality</w:t>
      </w:r>
      <w:r w:rsidR="00776346">
        <w:t>,</w:t>
      </w:r>
      <w:r w:rsidR="007B57B4" w:rsidRPr="008A132B">
        <w:t xml:space="preserve"> not set aside, all the consequences of the invalid administrative act are not set aside, and the effect of that order would be that it is final,</w:t>
      </w:r>
      <w:r w:rsidR="00FA5613">
        <w:t xml:space="preserve"> </w:t>
      </w:r>
      <w:r w:rsidR="007B57B4" w:rsidRPr="008A132B">
        <w:t xml:space="preserve">and would not </w:t>
      </w:r>
      <w:r w:rsidR="00FA5613">
        <w:t xml:space="preserve">amount to </w:t>
      </w:r>
      <w:r w:rsidR="007B57B4" w:rsidRPr="008A132B">
        <w:t>a temporary suspension of those consequences.</w:t>
      </w:r>
    </w:p>
    <w:p w14:paraId="6503BCB7" w14:textId="48FA6DC9" w:rsidR="007B57B4" w:rsidRPr="008A132B" w:rsidRDefault="007B57B4" w:rsidP="00CC12CF">
      <w:pPr>
        <w:spacing w:line="360" w:lineRule="auto"/>
        <w:jc w:val="both"/>
      </w:pPr>
      <w:r w:rsidRPr="008A132B">
        <w:t xml:space="preserve">   </w:t>
      </w:r>
    </w:p>
    <w:p w14:paraId="0940739E" w14:textId="5ABAE9A6" w:rsidR="00B760E5" w:rsidRPr="00B760E5" w:rsidRDefault="006D79CC" w:rsidP="006D79CC">
      <w:pPr>
        <w:spacing w:line="360" w:lineRule="auto"/>
        <w:jc w:val="both"/>
      </w:pPr>
      <w:r w:rsidRPr="00B760E5">
        <w:rPr>
          <w:szCs w:val="24"/>
        </w:rPr>
        <w:t>[82]</w:t>
      </w:r>
      <w:r w:rsidRPr="00B760E5">
        <w:rPr>
          <w:szCs w:val="24"/>
        </w:rPr>
        <w:tab/>
      </w:r>
      <w:r w:rsidR="007B57B4" w:rsidRPr="008A132B">
        <w:rPr>
          <w:szCs w:val="24"/>
        </w:rPr>
        <w:t xml:space="preserve">But </w:t>
      </w:r>
      <w:r w:rsidR="00B760E5">
        <w:rPr>
          <w:szCs w:val="24"/>
        </w:rPr>
        <w:t xml:space="preserve">might that </w:t>
      </w:r>
      <w:r w:rsidR="007B57B4" w:rsidRPr="008A132B">
        <w:rPr>
          <w:szCs w:val="24"/>
        </w:rPr>
        <w:t xml:space="preserve">mean that Tendele could continue mining indefinitely notwithstanding the declaration of invalidity of the decisions, and the omissions </w:t>
      </w:r>
      <w:r w:rsidR="00B760E5">
        <w:rPr>
          <w:szCs w:val="24"/>
        </w:rPr>
        <w:t xml:space="preserve">which should </w:t>
      </w:r>
      <w:r w:rsidR="007B57B4" w:rsidRPr="008A132B">
        <w:rPr>
          <w:szCs w:val="24"/>
        </w:rPr>
        <w:t xml:space="preserve">have </w:t>
      </w:r>
      <w:r w:rsidR="00B760E5">
        <w:rPr>
          <w:szCs w:val="24"/>
        </w:rPr>
        <w:t xml:space="preserve">been </w:t>
      </w:r>
      <w:r w:rsidR="007B57B4" w:rsidRPr="008A132B">
        <w:rPr>
          <w:szCs w:val="24"/>
        </w:rPr>
        <w:t>complied with for a valid mining right to be granted</w:t>
      </w:r>
      <w:r w:rsidR="00B760E5">
        <w:rPr>
          <w:szCs w:val="24"/>
        </w:rPr>
        <w:t xml:space="preserve">? </w:t>
      </w:r>
      <w:r w:rsidR="00F10BCC" w:rsidRPr="00B760E5">
        <w:rPr>
          <w:szCs w:val="24"/>
        </w:rPr>
        <w:t>Th</w:t>
      </w:r>
      <w:r w:rsidR="00B760E5" w:rsidRPr="00B760E5">
        <w:rPr>
          <w:szCs w:val="24"/>
        </w:rPr>
        <w:t>is raises the</w:t>
      </w:r>
      <w:r w:rsidR="00F10BCC" w:rsidRPr="00B760E5">
        <w:rPr>
          <w:szCs w:val="24"/>
        </w:rPr>
        <w:t xml:space="preserve"> question whether there are any peculiar facts or indications in the judgment of Bam J which should lead me to conclude that a result, other than the ‘permanent suspension’ of the declarations of invalidity of the decisions, was intended by Bam J.</w:t>
      </w:r>
      <w:r w:rsidR="00062F80" w:rsidRPr="00B760E5">
        <w:rPr>
          <w:szCs w:val="24"/>
        </w:rPr>
        <w:t xml:space="preserve"> </w:t>
      </w:r>
    </w:p>
    <w:p w14:paraId="08A02EFF" w14:textId="77777777" w:rsidR="00B760E5" w:rsidRDefault="00B760E5" w:rsidP="00B760E5">
      <w:pPr>
        <w:pStyle w:val="ListParagraph"/>
        <w:rPr>
          <w:szCs w:val="24"/>
        </w:rPr>
      </w:pPr>
    </w:p>
    <w:p w14:paraId="147DDC27" w14:textId="7BADEF1B" w:rsidR="002D0044" w:rsidRPr="00B760E5" w:rsidRDefault="006D79CC" w:rsidP="006D79CC">
      <w:pPr>
        <w:spacing w:line="360" w:lineRule="auto"/>
        <w:jc w:val="both"/>
      </w:pPr>
      <w:r w:rsidRPr="00B760E5">
        <w:rPr>
          <w:szCs w:val="24"/>
        </w:rPr>
        <w:t>[83]</w:t>
      </w:r>
      <w:r w:rsidRPr="00B760E5">
        <w:rPr>
          <w:szCs w:val="24"/>
        </w:rPr>
        <w:tab/>
      </w:r>
      <w:r w:rsidR="00F10BCC" w:rsidRPr="00B760E5">
        <w:rPr>
          <w:szCs w:val="24"/>
        </w:rPr>
        <w:t xml:space="preserve">It had been submitted before Bam J </w:t>
      </w:r>
      <w:r w:rsidR="00062F80" w:rsidRPr="00B760E5">
        <w:rPr>
          <w:szCs w:val="24"/>
        </w:rPr>
        <w:t xml:space="preserve">by the applicants </w:t>
      </w:r>
      <w:r w:rsidR="00F10BCC" w:rsidRPr="00B760E5">
        <w:rPr>
          <w:szCs w:val="24"/>
        </w:rPr>
        <w:t>that if the decisions were not set aside</w:t>
      </w:r>
      <w:r w:rsidR="00062F80" w:rsidRPr="00B760E5">
        <w:rPr>
          <w:szCs w:val="24"/>
        </w:rPr>
        <w:t>,</w:t>
      </w:r>
      <w:r w:rsidR="00F10BCC" w:rsidRPr="00B760E5">
        <w:rPr>
          <w:szCs w:val="24"/>
        </w:rPr>
        <w:t xml:space="preserve"> Tendele would be able to continue mining. She </w:t>
      </w:r>
      <w:r w:rsidR="00062F80" w:rsidRPr="00B760E5">
        <w:rPr>
          <w:szCs w:val="24"/>
        </w:rPr>
        <w:t>was therefore</w:t>
      </w:r>
      <w:r w:rsidR="00AA6B1E" w:rsidRPr="00B760E5">
        <w:rPr>
          <w:szCs w:val="24"/>
        </w:rPr>
        <w:t xml:space="preserve"> </w:t>
      </w:r>
      <w:r w:rsidR="00062F80" w:rsidRPr="00B760E5">
        <w:rPr>
          <w:szCs w:val="24"/>
        </w:rPr>
        <w:t xml:space="preserve">alive </w:t>
      </w:r>
      <w:r w:rsidR="00AA6B1E" w:rsidRPr="00B760E5">
        <w:rPr>
          <w:szCs w:val="24"/>
        </w:rPr>
        <w:t xml:space="preserve">to that </w:t>
      </w:r>
      <w:r w:rsidR="00062F80" w:rsidRPr="00B760E5">
        <w:rPr>
          <w:szCs w:val="24"/>
        </w:rPr>
        <w:t>consequence</w:t>
      </w:r>
      <w:r w:rsidR="00776346" w:rsidRPr="00B760E5">
        <w:rPr>
          <w:szCs w:val="24"/>
        </w:rPr>
        <w:t xml:space="preserve">. That notwithstanding, </w:t>
      </w:r>
      <w:r w:rsidR="006761C7" w:rsidRPr="00B760E5">
        <w:rPr>
          <w:szCs w:val="24"/>
        </w:rPr>
        <w:t xml:space="preserve">she </w:t>
      </w:r>
      <w:r w:rsidR="00776346" w:rsidRPr="00B760E5">
        <w:rPr>
          <w:szCs w:val="24"/>
        </w:rPr>
        <w:t>n</w:t>
      </w:r>
      <w:r w:rsidR="00062F80" w:rsidRPr="00B760E5">
        <w:rPr>
          <w:szCs w:val="24"/>
        </w:rPr>
        <w:t xml:space="preserve">evertheless </w:t>
      </w:r>
      <w:r w:rsidR="00F10BCC" w:rsidRPr="00B760E5">
        <w:rPr>
          <w:szCs w:val="24"/>
        </w:rPr>
        <w:t xml:space="preserve">declined to set </w:t>
      </w:r>
      <w:r w:rsidR="00062F80" w:rsidRPr="00B760E5">
        <w:rPr>
          <w:szCs w:val="24"/>
        </w:rPr>
        <w:t xml:space="preserve">the invalid decisions aside, </w:t>
      </w:r>
      <w:r w:rsidR="00F10BCC" w:rsidRPr="00B760E5">
        <w:rPr>
          <w:szCs w:val="24"/>
        </w:rPr>
        <w:t xml:space="preserve">thus strongly </w:t>
      </w:r>
      <w:r w:rsidR="00776346" w:rsidRPr="00B760E5">
        <w:rPr>
          <w:szCs w:val="24"/>
        </w:rPr>
        <w:t xml:space="preserve">pointing to an intention </w:t>
      </w:r>
      <w:r w:rsidR="00F10BCC" w:rsidRPr="00B760E5">
        <w:rPr>
          <w:szCs w:val="24"/>
        </w:rPr>
        <w:t>that the normal result that would follow where administrative conduct is not set aside</w:t>
      </w:r>
      <w:r w:rsidR="0018306A" w:rsidRPr="00B760E5">
        <w:rPr>
          <w:szCs w:val="24"/>
        </w:rPr>
        <w:t>,</w:t>
      </w:r>
      <w:r w:rsidR="00776346" w:rsidRPr="00B760E5">
        <w:rPr>
          <w:szCs w:val="24"/>
        </w:rPr>
        <w:t xml:space="preserve"> would apply</w:t>
      </w:r>
      <w:r w:rsidR="00062F80" w:rsidRPr="00B760E5">
        <w:rPr>
          <w:szCs w:val="24"/>
        </w:rPr>
        <w:t>, namely that the decisions would continue in fact</w:t>
      </w:r>
      <w:r w:rsidR="00F10BCC" w:rsidRPr="00B760E5">
        <w:rPr>
          <w:szCs w:val="24"/>
        </w:rPr>
        <w:t xml:space="preserve">. </w:t>
      </w:r>
      <w:r w:rsidR="00062F80" w:rsidRPr="00B760E5">
        <w:rPr>
          <w:szCs w:val="24"/>
        </w:rPr>
        <w:t xml:space="preserve">Tendele has pointed out </w:t>
      </w:r>
      <w:r w:rsidR="0018306A" w:rsidRPr="00B760E5">
        <w:rPr>
          <w:szCs w:val="24"/>
        </w:rPr>
        <w:t xml:space="preserve">correctly </w:t>
      </w:r>
      <w:r w:rsidR="00062F80" w:rsidRPr="00B760E5">
        <w:rPr>
          <w:szCs w:val="24"/>
        </w:rPr>
        <w:t xml:space="preserve">that </w:t>
      </w:r>
      <w:r w:rsidR="007607F9" w:rsidRPr="00B760E5">
        <w:rPr>
          <w:szCs w:val="24"/>
        </w:rPr>
        <w:t>i</w:t>
      </w:r>
      <w:r w:rsidR="00BE7EE3" w:rsidRPr="00B760E5">
        <w:rPr>
          <w:szCs w:val="24"/>
        </w:rPr>
        <w:t>f the applicants</w:t>
      </w:r>
      <w:r w:rsidR="00062F80" w:rsidRPr="00B760E5">
        <w:rPr>
          <w:szCs w:val="24"/>
        </w:rPr>
        <w:t>’</w:t>
      </w:r>
      <w:r w:rsidR="009207B5" w:rsidRPr="00B760E5">
        <w:rPr>
          <w:szCs w:val="24"/>
        </w:rPr>
        <w:t xml:space="preserve"> interpretation of Bam </w:t>
      </w:r>
      <w:r w:rsidR="00BE7EE3" w:rsidRPr="00B760E5">
        <w:rPr>
          <w:szCs w:val="24"/>
        </w:rPr>
        <w:t>J’s judgment was correct, there would have been no</w:t>
      </w:r>
      <w:r w:rsidR="0018306A" w:rsidRPr="00B760E5">
        <w:rPr>
          <w:szCs w:val="24"/>
        </w:rPr>
        <w:t>, or little</w:t>
      </w:r>
      <w:r w:rsidR="00BE7EE3" w:rsidRPr="00B760E5">
        <w:rPr>
          <w:szCs w:val="24"/>
        </w:rPr>
        <w:t xml:space="preserve"> purpose in declining to set aside the mining right</w:t>
      </w:r>
      <w:r w:rsidR="00062F80" w:rsidRPr="00B760E5">
        <w:rPr>
          <w:szCs w:val="24"/>
        </w:rPr>
        <w:t xml:space="preserve"> and EMPr</w:t>
      </w:r>
      <w:r w:rsidR="0018306A" w:rsidRPr="00B760E5">
        <w:rPr>
          <w:szCs w:val="24"/>
        </w:rPr>
        <w:t xml:space="preserve"> - </w:t>
      </w:r>
      <w:r w:rsidR="00BE7EE3" w:rsidRPr="00B760E5">
        <w:rPr>
          <w:szCs w:val="24"/>
        </w:rPr>
        <w:t xml:space="preserve">Bam J </w:t>
      </w:r>
      <w:r w:rsidR="0018306A" w:rsidRPr="00B760E5">
        <w:rPr>
          <w:szCs w:val="24"/>
        </w:rPr>
        <w:t>c</w:t>
      </w:r>
      <w:r w:rsidR="00BE7EE3" w:rsidRPr="00B760E5">
        <w:rPr>
          <w:szCs w:val="24"/>
        </w:rPr>
        <w:t xml:space="preserve">ould instead simply have declared </w:t>
      </w:r>
      <w:r w:rsidR="00062F80" w:rsidRPr="00B760E5">
        <w:rPr>
          <w:szCs w:val="24"/>
        </w:rPr>
        <w:t>the</w:t>
      </w:r>
      <w:r w:rsidR="00BD3A56" w:rsidRPr="00B760E5">
        <w:rPr>
          <w:szCs w:val="24"/>
        </w:rPr>
        <w:t xml:space="preserve"> decisions</w:t>
      </w:r>
      <w:r w:rsidR="00062F80" w:rsidRPr="00B760E5">
        <w:rPr>
          <w:szCs w:val="24"/>
        </w:rPr>
        <w:t xml:space="preserve"> </w:t>
      </w:r>
      <w:r w:rsidR="00BE7EE3" w:rsidRPr="00B760E5">
        <w:rPr>
          <w:szCs w:val="24"/>
        </w:rPr>
        <w:t xml:space="preserve">invalid and set </w:t>
      </w:r>
      <w:r w:rsidR="00062F80" w:rsidRPr="00B760E5">
        <w:rPr>
          <w:szCs w:val="24"/>
        </w:rPr>
        <w:t xml:space="preserve">them </w:t>
      </w:r>
      <w:r w:rsidR="00BE7EE3" w:rsidRPr="00B760E5">
        <w:rPr>
          <w:szCs w:val="24"/>
        </w:rPr>
        <w:t>aside</w:t>
      </w:r>
      <w:r w:rsidR="00062F80" w:rsidRPr="00B760E5">
        <w:rPr>
          <w:szCs w:val="24"/>
        </w:rPr>
        <w:t xml:space="preserve">. </w:t>
      </w:r>
      <w:r w:rsidR="002D0044" w:rsidRPr="00B760E5">
        <w:rPr>
          <w:szCs w:val="24"/>
        </w:rPr>
        <w:t>That would have produced the result that the applicants now pursue by way of interdict: that no mining could take place until a new mining right had been applied for and granted.</w:t>
      </w:r>
    </w:p>
    <w:p w14:paraId="34E7165D" w14:textId="39D4958A" w:rsidR="00BE7EE3" w:rsidRPr="008A132B" w:rsidRDefault="002D0044" w:rsidP="00CC12CF">
      <w:pPr>
        <w:pStyle w:val="1"/>
        <w:numPr>
          <w:ilvl w:val="0"/>
          <w:numId w:val="0"/>
        </w:numPr>
        <w:spacing w:before="0" w:line="360" w:lineRule="auto"/>
        <w:rPr>
          <w:rFonts w:cs="Arial"/>
          <w:szCs w:val="24"/>
          <w:lang w:val="en-ZA"/>
        </w:rPr>
      </w:pPr>
      <w:r w:rsidRPr="008A132B">
        <w:rPr>
          <w:rFonts w:cs="Arial"/>
          <w:szCs w:val="24"/>
          <w:lang w:val="en-ZA"/>
        </w:rPr>
        <w:t xml:space="preserve"> </w:t>
      </w:r>
    </w:p>
    <w:p w14:paraId="210DBA7B" w14:textId="144A2659" w:rsidR="007B57B4" w:rsidRPr="008A132B" w:rsidRDefault="006D79CC" w:rsidP="006D79CC">
      <w:pPr>
        <w:spacing w:line="360" w:lineRule="auto"/>
        <w:jc w:val="both"/>
      </w:pPr>
      <w:r w:rsidRPr="008A132B">
        <w:rPr>
          <w:szCs w:val="24"/>
        </w:rPr>
        <w:t>[84]</w:t>
      </w:r>
      <w:r w:rsidRPr="008A132B">
        <w:rPr>
          <w:szCs w:val="24"/>
        </w:rPr>
        <w:tab/>
      </w:r>
      <w:r w:rsidR="002D0044" w:rsidRPr="008A132B">
        <w:t>The process which had resulted in the grant of the mining right and the approval of the EMPr was found by Bam J</w:t>
      </w:r>
      <w:r w:rsidR="00577FF1" w:rsidRPr="008A132B">
        <w:t>,</w:t>
      </w:r>
      <w:r w:rsidR="002D0044" w:rsidRPr="008A132B">
        <w:t xml:space="preserve"> to be deficient. Indeed, the relevant legal principles were in ma</w:t>
      </w:r>
      <w:r w:rsidR="007B57B4" w:rsidRPr="008A132B">
        <w:t>n</w:t>
      </w:r>
      <w:r w:rsidR="002D0044" w:rsidRPr="008A132B">
        <w:t xml:space="preserve">y instances seemingly flouted. Tendele’s conduct was criticized in strong language: </w:t>
      </w:r>
      <w:r w:rsidR="00577FF1" w:rsidRPr="008A132B">
        <w:t>‘</w:t>
      </w:r>
      <w:r w:rsidR="002D0044" w:rsidRPr="008A132B">
        <w:t>egregious</w:t>
      </w:r>
      <w:r w:rsidR="00577FF1" w:rsidRPr="008A132B">
        <w:t>’</w:t>
      </w:r>
      <w:r w:rsidR="009207B5" w:rsidRPr="008A132B">
        <w:t>,</w:t>
      </w:r>
      <w:r w:rsidR="002D0044" w:rsidRPr="008A132B">
        <w:t xml:space="preserve"> etc. The public participation process was also defici</w:t>
      </w:r>
      <w:r w:rsidR="006761C7">
        <w:t>ent</w:t>
      </w:r>
      <w:r w:rsidR="002D0044" w:rsidRPr="008A132B">
        <w:t xml:space="preserve">. </w:t>
      </w:r>
      <w:r w:rsidR="009207B5" w:rsidRPr="008A132B">
        <w:t>Plainly Bam </w:t>
      </w:r>
      <w:r w:rsidR="002F7C82" w:rsidRPr="008A132B">
        <w:t>J, because of the public interest in the continuation of the mining operation</w:t>
      </w:r>
      <w:r w:rsidR="00BD3A56" w:rsidRPr="008A132B">
        <w:t>,</w:t>
      </w:r>
      <w:r w:rsidR="002F7C82" w:rsidRPr="008A132B">
        <w:t xml:space="preserve"> wanted the entire process to be regularised</w:t>
      </w:r>
      <w:r w:rsidR="00BD3A56" w:rsidRPr="008A132B">
        <w:t xml:space="preserve">, if possible, </w:t>
      </w:r>
      <w:r w:rsidR="00577FF1" w:rsidRPr="008A132B">
        <w:t xml:space="preserve">by an </w:t>
      </w:r>
      <w:r w:rsidR="002F7C82" w:rsidRPr="008A132B">
        <w:t>abbreviated</w:t>
      </w:r>
      <w:r w:rsidR="00577FF1" w:rsidRPr="008A132B">
        <w:t xml:space="preserve"> process</w:t>
      </w:r>
      <w:r w:rsidR="002F7C82" w:rsidRPr="008A132B">
        <w:t>, by providing for the rights</w:t>
      </w:r>
      <w:r w:rsidR="00BD3A56" w:rsidRPr="008A132B">
        <w:t xml:space="preserve"> </w:t>
      </w:r>
      <w:r w:rsidR="002F7C82" w:rsidRPr="008A132B">
        <w:t xml:space="preserve">transgressed in many instances when the decisions were obtained, being </w:t>
      </w:r>
      <w:r w:rsidR="006761C7">
        <w:t xml:space="preserve">revisited </w:t>
      </w:r>
      <w:r w:rsidR="002F7C82" w:rsidRPr="008A132B">
        <w:t>properly during the appeal process</w:t>
      </w:r>
      <w:r w:rsidR="00454CB2" w:rsidRPr="008A132B">
        <w:t>,</w:t>
      </w:r>
      <w:r w:rsidR="002F7C82" w:rsidRPr="008A132B">
        <w:t xml:space="preserve"> which she </w:t>
      </w:r>
      <w:r w:rsidR="00BD3A56" w:rsidRPr="008A132B">
        <w:t xml:space="preserve">was </w:t>
      </w:r>
      <w:r w:rsidR="002F7C82" w:rsidRPr="008A132B">
        <w:t>remitt</w:t>
      </w:r>
      <w:r w:rsidR="00BD3A56" w:rsidRPr="008A132B">
        <w:t>ing</w:t>
      </w:r>
      <w:r w:rsidR="002F7C82" w:rsidRPr="008A132B">
        <w:t xml:space="preserve"> to the Minister. </w:t>
      </w:r>
      <w:r w:rsidR="00F0560D">
        <w:t xml:space="preserve">But in the interim she </w:t>
      </w:r>
      <w:r w:rsidR="007B57B4" w:rsidRPr="008A132B">
        <w:t>was seeking</w:t>
      </w:r>
      <w:r w:rsidR="0018306A">
        <w:t>, in her words,</w:t>
      </w:r>
      <w:r w:rsidR="007B57B4" w:rsidRPr="008A132B">
        <w:t xml:space="preserve"> to strike ‘the correct balance of the various competing interests.’ </w:t>
      </w:r>
    </w:p>
    <w:p w14:paraId="26B7D2A8" w14:textId="77777777" w:rsidR="007B57B4" w:rsidRPr="008A132B" w:rsidRDefault="007B57B4" w:rsidP="00CC12CF">
      <w:pPr>
        <w:pStyle w:val="ListParagraph"/>
        <w:spacing w:line="360" w:lineRule="auto"/>
        <w:jc w:val="both"/>
      </w:pPr>
    </w:p>
    <w:p w14:paraId="646A7EE2" w14:textId="33E5DC88" w:rsidR="007E7057"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lastRenderedPageBreak/>
        <w:t>[85]</w:t>
      </w:r>
      <w:r w:rsidRPr="008A132B">
        <w:rPr>
          <w:rFonts w:cs="Arial"/>
          <w:iCs w:val="0"/>
          <w:szCs w:val="24"/>
          <w:lang w:val="en-ZA"/>
        </w:rPr>
        <w:tab/>
      </w:r>
      <w:r w:rsidR="007E7057" w:rsidRPr="008A132B">
        <w:rPr>
          <w:rFonts w:cs="Arial"/>
          <w:szCs w:val="24"/>
          <w:lang w:val="en-ZA"/>
        </w:rPr>
        <w:t xml:space="preserve">The applicants </w:t>
      </w:r>
      <w:r w:rsidR="0018306A">
        <w:rPr>
          <w:rFonts w:cs="Arial"/>
          <w:szCs w:val="24"/>
          <w:lang w:val="en-ZA"/>
        </w:rPr>
        <w:t xml:space="preserve">further </w:t>
      </w:r>
      <w:r w:rsidR="007E7057" w:rsidRPr="008A132B">
        <w:rPr>
          <w:rFonts w:cs="Arial"/>
          <w:szCs w:val="24"/>
          <w:lang w:val="en-ZA"/>
        </w:rPr>
        <w:t>also argued that the judgment of Bam J precludes the commencement of mining activities unless and until Bam J’s directives in paragraphs 5 and 6 of her order had been fully complied with and completed. These paragraphs of the order require Tendele to notify interested and affected parties of their entitlement to participate in the appeal process and to ensure that the public participation processes complied with guidelines and regulations</w:t>
      </w:r>
      <w:r w:rsidR="007E7057" w:rsidRPr="008A132B">
        <w:rPr>
          <w:szCs w:val="24"/>
          <w:lang w:val="en-ZA"/>
        </w:rPr>
        <w:t xml:space="preserve">. </w:t>
      </w:r>
      <w:r w:rsidR="007E7057" w:rsidRPr="008A132B">
        <w:rPr>
          <w:rFonts w:cs="Arial"/>
          <w:szCs w:val="24"/>
          <w:lang w:val="en-ZA"/>
        </w:rPr>
        <w:t xml:space="preserve">They govern the conduct of the appeal process. It was however not provided expressly in the order that these requirements had to be completed before any activities could commence in terms of the </w:t>
      </w:r>
      <w:r w:rsidR="00C80370" w:rsidRPr="008A132B">
        <w:rPr>
          <w:rFonts w:cs="Arial"/>
          <w:szCs w:val="24"/>
          <w:lang w:val="en-ZA"/>
        </w:rPr>
        <w:t xml:space="preserve">mining right </w:t>
      </w:r>
      <w:r w:rsidR="007E7057" w:rsidRPr="008A132B">
        <w:rPr>
          <w:rFonts w:cs="Arial"/>
          <w:szCs w:val="24"/>
          <w:lang w:val="en-ZA"/>
        </w:rPr>
        <w:t xml:space="preserve">and EMPr. </w:t>
      </w:r>
      <w:r w:rsidR="00BD3A56" w:rsidRPr="008A132B">
        <w:rPr>
          <w:rFonts w:cs="Arial"/>
          <w:szCs w:val="24"/>
          <w:lang w:val="en-ZA"/>
        </w:rPr>
        <w:t xml:space="preserve">Whether any mining activities </w:t>
      </w:r>
      <w:r w:rsidR="00C80370" w:rsidRPr="008A132B">
        <w:rPr>
          <w:rFonts w:cs="Arial"/>
          <w:szCs w:val="24"/>
          <w:lang w:val="en-ZA"/>
        </w:rPr>
        <w:t>could</w:t>
      </w:r>
      <w:r w:rsidR="00BD3A56" w:rsidRPr="008A132B">
        <w:rPr>
          <w:rFonts w:cs="Arial"/>
          <w:szCs w:val="24"/>
          <w:lang w:val="en-ZA"/>
        </w:rPr>
        <w:t xml:space="preserve"> be continued in the interim pending the determination of the appeal, is a question of law – the </w:t>
      </w:r>
      <w:r w:rsidR="00FA7BD4">
        <w:rPr>
          <w:rFonts w:cs="Arial"/>
          <w:szCs w:val="24"/>
          <w:lang w:val="en-ZA"/>
        </w:rPr>
        <w:t xml:space="preserve">proper </w:t>
      </w:r>
      <w:r w:rsidR="00BD3A56" w:rsidRPr="008A132B">
        <w:rPr>
          <w:rFonts w:cs="Arial"/>
          <w:szCs w:val="24"/>
          <w:lang w:val="en-ZA"/>
        </w:rPr>
        <w:t>interpretation of the judgment – and it is not dependent on whether the processes resulting in the decisions were flawed</w:t>
      </w:r>
      <w:r w:rsidR="005B7366">
        <w:rPr>
          <w:rFonts w:cs="Arial"/>
          <w:szCs w:val="24"/>
          <w:lang w:val="en-ZA"/>
        </w:rPr>
        <w:t xml:space="preserve">. </w:t>
      </w:r>
      <w:r w:rsidR="00BD3A56" w:rsidRPr="008A132B">
        <w:rPr>
          <w:rFonts w:cs="Arial"/>
          <w:szCs w:val="24"/>
          <w:lang w:val="en-ZA"/>
        </w:rPr>
        <w:t xml:space="preserve">Bam J had found that they were but issued what she considered to be a just and equitable order, notwithstanding the shortcomings </w:t>
      </w:r>
      <w:r w:rsidR="00F0560D">
        <w:rPr>
          <w:rFonts w:cs="Arial"/>
          <w:szCs w:val="24"/>
          <w:lang w:val="en-ZA"/>
        </w:rPr>
        <w:t xml:space="preserve">having </w:t>
      </w:r>
      <w:r w:rsidR="00BD3A56" w:rsidRPr="008A132B">
        <w:rPr>
          <w:rFonts w:cs="Arial"/>
          <w:szCs w:val="24"/>
          <w:lang w:val="en-ZA"/>
        </w:rPr>
        <w:t>result</w:t>
      </w:r>
      <w:r w:rsidR="00F0560D">
        <w:rPr>
          <w:rFonts w:cs="Arial"/>
          <w:szCs w:val="24"/>
          <w:lang w:val="en-ZA"/>
        </w:rPr>
        <w:t>ed</w:t>
      </w:r>
      <w:r w:rsidR="00BD3A56" w:rsidRPr="008A132B">
        <w:rPr>
          <w:rFonts w:cs="Arial"/>
          <w:szCs w:val="24"/>
          <w:lang w:val="en-ZA"/>
        </w:rPr>
        <w:t xml:space="preserve"> in a finding of invalidity.</w:t>
      </w:r>
      <w:r w:rsidR="00F0560D">
        <w:rPr>
          <w:rFonts w:cs="Arial"/>
          <w:szCs w:val="24"/>
          <w:lang w:val="en-ZA"/>
        </w:rPr>
        <w:t xml:space="preserve"> That is what causes the anomaly.</w:t>
      </w:r>
      <w:r w:rsidR="00BD3A56" w:rsidRPr="008A132B">
        <w:rPr>
          <w:rFonts w:cs="Arial"/>
          <w:szCs w:val="24"/>
          <w:lang w:val="en-ZA"/>
        </w:rPr>
        <w:t xml:space="preserve">   </w:t>
      </w:r>
    </w:p>
    <w:p w14:paraId="6492922B" w14:textId="77777777" w:rsidR="007E7057" w:rsidRPr="008A132B" w:rsidRDefault="007E7057" w:rsidP="00CC12CF">
      <w:pPr>
        <w:pStyle w:val="ListParagraph"/>
        <w:spacing w:line="360" w:lineRule="auto"/>
        <w:jc w:val="both"/>
      </w:pPr>
    </w:p>
    <w:p w14:paraId="7EB16288" w14:textId="3277AAF2" w:rsidR="00BE7EE3" w:rsidRPr="008A132B" w:rsidRDefault="006D79CC" w:rsidP="006D79CC">
      <w:pPr>
        <w:spacing w:line="360" w:lineRule="auto"/>
        <w:jc w:val="both"/>
      </w:pPr>
      <w:r w:rsidRPr="008A132B">
        <w:rPr>
          <w:szCs w:val="24"/>
        </w:rPr>
        <w:t>[86]</w:t>
      </w:r>
      <w:r w:rsidRPr="008A132B">
        <w:rPr>
          <w:szCs w:val="24"/>
        </w:rPr>
        <w:tab/>
      </w:r>
      <w:r w:rsidR="002C5DEC">
        <w:t>S</w:t>
      </w:r>
      <w:r w:rsidR="002F7C82" w:rsidRPr="008A132B">
        <w:t xml:space="preserve">eemingly on what was placed before </w:t>
      </w:r>
      <w:r w:rsidR="00577FF1" w:rsidRPr="008A132B">
        <w:t>Bam J</w:t>
      </w:r>
      <w:r w:rsidR="00BD3A56" w:rsidRPr="008A132B">
        <w:t>,</w:t>
      </w:r>
      <w:r w:rsidR="00577FF1" w:rsidRPr="008A132B">
        <w:t xml:space="preserve"> </w:t>
      </w:r>
      <w:r w:rsidR="006761C7">
        <w:t>it w</w:t>
      </w:r>
      <w:r w:rsidR="005B7366">
        <w:t xml:space="preserve">as </w:t>
      </w:r>
      <w:r w:rsidR="006761C7">
        <w:t xml:space="preserve">contemplated that </w:t>
      </w:r>
      <w:r w:rsidR="00577FF1" w:rsidRPr="008A132B">
        <w:t>the</w:t>
      </w:r>
      <w:r w:rsidR="002F7C82" w:rsidRPr="008A132B">
        <w:t xml:space="preserve"> </w:t>
      </w:r>
      <w:r w:rsidR="00BD3A56" w:rsidRPr="008A132B">
        <w:t xml:space="preserve">remitted </w:t>
      </w:r>
      <w:r w:rsidR="00577FF1" w:rsidRPr="008A132B">
        <w:t xml:space="preserve">appeal </w:t>
      </w:r>
      <w:r w:rsidR="002F7C82" w:rsidRPr="008A132B">
        <w:t xml:space="preserve">process </w:t>
      </w:r>
      <w:r w:rsidR="006761C7">
        <w:t xml:space="preserve">could be </w:t>
      </w:r>
      <w:r w:rsidR="002F7C82" w:rsidRPr="008A132B">
        <w:t xml:space="preserve">completed by January 2023. The reality however is that it </w:t>
      </w:r>
      <w:r w:rsidR="007B57B4" w:rsidRPr="008A132B">
        <w:t xml:space="preserve">still </w:t>
      </w:r>
      <w:r w:rsidR="002F7C82" w:rsidRPr="008A132B">
        <w:t>is not</w:t>
      </w:r>
      <w:r w:rsidR="007B57B4" w:rsidRPr="008A132B">
        <w:t xml:space="preserve"> completed</w:t>
      </w:r>
      <w:r w:rsidR="002F7C82" w:rsidRPr="008A132B">
        <w:t xml:space="preserve">. If mining could have been continued from May 2022 to January 2023 while the </w:t>
      </w:r>
      <w:r w:rsidR="006761C7">
        <w:t xml:space="preserve">directions </w:t>
      </w:r>
      <w:r w:rsidR="002F7C82" w:rsidRPr="008A132B">
        <w:t xml:space="preserve">in </w:t>
      </w:r>
      <w:r w:rsidR="002C5DEC">
        <w:t xml:space="preserve">the </w:t>
      </w:r>
      <w:r w:rsidR="002F7C82" w:rsidRPr="008A132B">
        <w:t xml:space="preserve">judgment would be implemented, then the position would probably be not much different to mining activities, as contemplated in the letters, proceeding from now until </w:t>
      </w:r>
      <w:r w:rsidR="006761C7">
        <w:t>a corresponding future date</w:t>
      </w:r>
      <w:r w:rsidR="005B7366">
        <w:t xml:space="preserve"> early in 2024, after the elapse of a similar period</w:t>
      </w:r>
      <w:r w:rsidR="00B760E5">
        <w:t xml:space="preserve"> of time</w:t>
      </w:r>
      <w:r w:rsidR="005B7366">
        <w:t xml:space="preserve">. </w:t>
      </w:r>
      <w:r w:rsidR="006761C7">
        <w:t xml:space="preserve"> </w:t>
      </w:r>
      <w:r w:rsidR="002D0044" w:rsidRPr="008A132B">
        <w:t xml:space="preserve"> </w:t>
      </w:r>
    </w:p>
    <w:p w14:paraId="38FF4E3A" w14:textId="1579F416" w:rsidR="00BE7EE3" w:rsidRPr="008A132B" w:rsidRDefault="00BE7EE3" w:rsidP="00CC12CF">
      <w:pPr>
        <w:spacing w:line="360" w:lineRule="auto"/>
        <w:jc w:val="both"/>
      </w:pPr>
    </w:p>
    <w:p w14:paraId="2438C10B" w14:textId="104257B7" w:rsidR="008177F7" w:rsidRPr="008A132B" w:rsidRDefault="006D79CC" w:rsidP="006D79CC">
      <w:pPr>
        <w:pStyle w:val="2"/>
        <w:numPr>
          <w:ilvl w:val="0"/>
          <w:numId w:val="0"/>
        </w:numPr>
        <w:spacing w:before="0" w:line="360" w:lineRule="auto"/>
        <w:rPr>
          <w:rFonts w:cs="Arial"/>
          <w:szCs w:val="24"/>
          <w:lang w:val="en-ZA"/>
        </w:rPr>
      </w:pPr>
      <w:bookmarkStart w:id="5" w:name="_Hlk138335104"/>
      <w:r w:rsidRPr="008A132B">
        <w:rPr>
          <w:rFonts w:cs="Arial"/>
          <w:iCs w:val="0"/>
          <w:szCs w:val="24"/>
          <w:lang w:val="en-ZA"/>
        </w:rPr>
        <w:t>[87]</w:t>
      </w:r>
      <w:r w:rsidRPr="008A132B">
        <w:rPr>
          <w:rFonts w:cs="Arial"/>
          <w:iCs w:val="0"/>
          <w:szCs w:val="24"/>
          <w:lang w:val="en-ZA"/>
        </w:rPr>
        <w:tab/>
      </w:r>
      <w:r w:rsidR="008177F7" w:rsidRPr="008A132B">
        <w:rPr>
          <w:rFonts w:cs="Arial"/>
          <w:szCs w:val="24"/>
          <w:lang w:val="en-ZA"/>
        </w:rPr>
        <w:t>As this issue arose mainly from the attachment to the applicants’ heads of argument, I extended an invitation to the parties after argument had been heard, to file additional argument on the following questions:</w:t>
      </w:r>
    </w:p>
    <w:p w14:paraId="1A8A942C" w14:textId="0FEBBE81" w:rsidR="002A54BE" w:rsidRPr="008A132B" w:rsidRDefault="00D64E67" w:rsidP="00CC12CF">
      <w:pPr>
        <w:spacing w:line="360" w:lineRule="auto"/>
        <w:jc w:val="both"/>
        <w:rPr>
          <w:sz w:val="22"/>
          <w:szCs w:val="22"/>
        </w:rPr>
      </w:pPr>
      <w:r w:rsidRPr="008A132B">
        <w:rPr>
          <w:sz w:val="22"/>
          <w:szCs w:val="22"/>
        </w:rPr>
        <w:t xml:space="preserve">‘If the judgment of Bam J contemplated that the time-line for the remitted appeal process (paragraph 3 of the court order) would be that in annexure B to the applicants’ heads of argument, commencing from 4 May 2022 and being completed by January 2023: </w:t>
      </w:r>
    </w:p>
    <w:p w14:paraId="51630EA3" w14:textId="22E041A0" w:rsidR="002A54BE" w:rsidRPr="006D79CC" w:rsidRDefault="006D79CC" w:rsidP="006D79CC">
      <w:pPr>
        <w:spacing w:line="360" w:lineRule="auto"/>
        <w:jc w:val="both"/>
        <w:rPr>
          <w:sz w:val="22"/>
          <w:szCs w:val="22"/>
        </w:rPr>
      </w:pPr>
      <w:r w:rsidRPr="008A132B">
        <w:rPr>
          <w:sz w:val="22"/>
          <w:szCs w:val="22"/>
        </w:rPr>
        <w:t>(a)</w:t>
      </w:r>
      <w:r w:rsidRPr="008A132B">
        <w:rPr>
          <w:sz w:val="22"/>
          <w:szCs w:val="22"/>
        </w:rPr>
        <w:tab/>
      </w:r>
      <w:r w:rsidR="002A54BE" w:rsidRPr="006D79CC">
        <w:rPr>
          <w:sz w:val="22"/>
          <w:szCs w:val="22"/>
        </w:rPr>
        <w:t xml:space="preserve">Do the respondents agree that the appeal process could have been completed by January 2023, alternatively by the time when the present application was launched? </w:t>
      </w:r>
    </w:p>
    <w:p w14:paraId="60356BF7" w14:textId="6F2A0EC8" w:rsidR="002A54BE" w:rsidRPr="006D79CC" w:rsidRDefault="006D79CC" w:rsidP="006D79CC">
      <w:pPr>
        <w:spacing w:line="360" w:lineRule="auto"/>
        <w:jc w:val="both"/>
        <w:rPr>
          <w:sz w:val="22"/>
          <w:szCs w:val="22"/>
        </w:rPr>
      </w:pPr>
      <w:r w:rsidRPr="008A132B">
        <w:rPr>
          <w:sz w:val="22"/>
          <w:szCs w:val="22"/>
        </w:rPr>
        <w:t>(b)</w:t>
      </w:r>
      <w:r w:rsidRPr="008A132B">
        <w:rPr>
          <w:sz w:val="22"/>
          <w:szCs w:val="22"/>
        </w:rPr>
        <w:tab/>
      </w:r>
      <w:r w:rsidR="002A54BE" w:rsidRPr="006D79CC">
        <w:rPr>
          <w:sz w:val="22"/>
          <w:szCs w:val="22"/>
        </w:rPr>
        <w:t>If not, by what date, according to the respondents could the appeal process have been completed?</w:t>
      </w:r>
    </w:p>
    <w:p w14:paraId="668F388B" w14:textId="0B83D603" w:rsidR="007E7057" w:rsidRPr="006D79CC" w:rsidRDefault="006D79CC" w:rsidP="006D79CC">
      <w:pPr>
        <w:spacing w:line="360" w:lineRule="auto"/>
        <w:jc w:val="both"/>
        <w:rPr>
          <w:sz w:val="22"/>
          <w:szCs w:val="22"/>
        </w:rPr>
      </w:pPr>
      <w:r w:rsidRPr="008A132B">
        <w:rPr>
          <w:sz w:val="22"/>
          <w:szCs w:val="22"/>
        </w:rPr>
        <w:lastRenderedPageBreak/>
        <w:t>(c)</w:t>
      </w:r>
      <w:r w:rsidRPr="008A132B">
        <w:rPr>
          <w:sz w:val="22"/>
          <w:szCs w:val="22"/>
        </w:rPr>
        <w:tab/>
      </w:r>
      <w:r w:rsidR="002A54BE" w:rsidRPr="006D79CC">
        <w:rPr>
          <w:sz w:val="22"/>
          <w:szCs w:val="22"/>
        </w:rPr>
        <w:t>What is the effect, if any, on the order of Bam J if the appeal process was not completed by the dates in sub paragraphs (a) and (b) above?</w:t>
      </w:r>
      <w:r w:rsidR="004064D0" w:rsidRPr="006D79CC">
        <w:rPr>
          <w:sz w:val="22"/>
          <w:szCs w:val="22"/>
        </w:rPr>
        <w:t>’</w:t>
      </w:r>
      <w:r w:rsidR="007E7057" w:rsidRPr="006D79CC">
        <w:rPr>
          <w:sz w:val="22"/>
          <w:szCs w:val="22"/>
        </w:rPr>
        <w:t xml:space="preserve"> </w:t>
      </w:r>
    </w:p>
    <w:p w14:paraId="03F46063" w14:textId="66525A96" w:rsidR="007E7057" w:rsidRPr="008A132B" w:rsidRDefault="007E7057" w:rsidP="00CC12CF">
      <w:pPr>
        <w:pStyle w:val="2"/>
        <w:numPr>
          <w:ilvl w:val="0"/>
          <w:numId w:val="0"/>
        </w:numPr>
        <w:spacing w:before="0" w:line="360" w:lineRule="auto"/>
        <w:rPr>
          <w:rFonts w:cs="Arial"/>
          <w:szCs w:val="24"/>
          <w:lang w:val="en-ZA"/>
        </w:rPr>
      </w:pPr>
      <w:r w:rsidRPr="008A132B">
        <w:rPr>
          <w:rFonts w:cs="Arial"/>
          <w:szCs w:val="24"/>
          <w:lang w:val="en-ZA"/>
        </w:rPr>
        <w:t>I am grateful to counsel for the</w:t>
      </w:r>
      <w:r w:rsidR="006761C7">
        <w:rPr>
          <w:rFonts w:cs="Arial"/>
          <w:szCs w:val="24"/>
          <w:lang w:val="en-ZA"/>
        </w:rPr>
        <w:t xml:space="preserve"> supplementary heads of argument that were filed. </w:t>
      </w:r>
    </w:p>
    <w:bookmarkEnd w:id="5"/>
    <w:p w14:paraId="29A0D240" w14:textId="77777777" w:rsidR="00A44ADA" w:rsidRPr="008A132B" w:rsidRDefault="00A44ADA" w:rsidP="00CC12CF">
      <w:pPr>
        <w:spacing w:line="360" w:lineRule="auto"/>
        <w:jc w:val="both"/>
        <w:rPr>
          <w:szCs w:val="24"/>
        </w:rPr>
      </w:pPr>
    </w:p>
    <w:p w14:paraId="73953E8B" w14:textId="60CFE346" w:rsidR="00AE0EDB" w:rsidRPr="00BB6863" w:rsidRDefault="006D79CC" w:rsidP="006D79CC">
      <w:pPr>
        <w:pStyle w:val="2"/>
        <w:numPr>
          <w:ilvl w:val="0"/>
          <w:numId w:val="0"/>
        </w:numPr>
        <w:spacing w:before="0" w:line="360" w:lineRule="auto"/>
        <w:rPr>
          <w:rFonts w:cs="Arial"/>
          <w:szCs w:val="24"/>
          <w:lang w:val="en-ZA"/>
        </w:rPr>
      </w:pPr>
      <w:r w:rsidRPr="00BB6863">
        <w:rPr>
          <w:rFonts w:cs="Arial"/>
          <w:iCs w:val="0"/>
          <w:szCs w:val="24"/>
          <w:lang w:val="en-ZA"/>
        </w:rPr>
        <w:t>[88]</w:t>
      </w:r>
      <w:r w:rsidRPr="00BB6863">
        <w:rPr>
          <w:rFonts w:cs="Arial"/>
          <w:iCs w:val="0"/>
          <w:szCs w:val="24"/>
          <w:lang w:val="en-ZA"/>
        </w:rPr>
        <w:tab/>
      </w:r>
      <w:r w:rsidR="006761C7">
        <w:rPr>
          <w:rFonts w:cs="Arial"/>
          <w:szCs w:val="24"/>
          <w:lang w:val="en-ZA"/>
        </w:rPr>
        <w:t xml:space="preserve">Briefly, in </w:t>
      </w:r>
      <w:r w:rsidR="00AE0EDB">
        <w:rPr>
          <w:rFonts w:cs="Arial"/>
          <w:szCs w:val="24"/>
          <w:lang w:val="en-ZA"/>
        </w:rPr>
        <w:t xml:space="preserve">the supplementary heads of argument, </w:t>
      </w:r>
      <w:r w:rsidR="002E05EC">
        <w:rPr>
          <w:rFonts w:cs="Arial"/>
          <w:szCs w:val="24"/>
          <w:lang w:val="en-ZA"/>
        </w:rPr>
        <w:t>Tendele</w:t>
      </w:r>
      <w:r w:rsidR="00AE0EDB">
        <w:rPr>
          <w:rFonts w:cs="Arial"/>
          <w:szCs w:val="24"/>
          <w:lang w:val="en-ZA"/>
        </w:rPr>
        <w:t xml:space="preserve"> contends that the order granted by Bam J purposefully did not specify a time frame in paragraphs 4, 5 and 6 of her order for the completion of the appeal process, because </w:t>
      </w:r>
      <w:r w:rsidR="006761C7">
        <w:rPr>
          <w:rFonts w:cs="Arial"/>
          <w:szCs w:val="24"/>
          <w:lang w:val="en-ZA"/>
        </w:rPr>
        <w:t xml:space="preserve">the direction to </w:t>
      </w:r>
      <w:r w:rsidR="00AE0EDB">
        <w:rPr>
          <w:rFonts w:cs="Arial"/>
          <w:szCs w:val="24"/>
          <w:lang w:val="en-ZA"/>
        </w:rPr>
        <w:t>the Minister was to reconsider the appeal ‘in accordance with the findings of this judgment’</w:t>
      </w:r>
      <w:r w:rsidR="002E05EC">
        <w:rPr>
          <w:rFonts w:cs="Arial"/>
          <w:szCs w:val="24"/>
          <w:lang w:val="en-ZA"/>
        </w:rPr>
        <w:t xml:space="preserve">, which included </w:t>
      </w:r>
      <w:r w:rsidR="00BB6863">
        <w:rPr>
          <w:rFonts w:cs="Arial"/>
          <w:szCs w:val="24"/>
          <w:lang w:val="en-ZA"/>
        </w:rPr>
        <w:t xml:space="preserve">also </w:t>
      </w:r>
      <w:r w:rsidR="002E05EC">
        <w:rPr>
          <w:rFonts w:cs="Arial"/>
          <w:szCs w:val="24"/>
          <w:lang w:val="en-ZA"/>
        </w:rPr>
        <w:t>a consideration as to whether the consent required in terms of IPILRA had been obtained</w:t>
      </w:r>
      <w:r w:rsidR="00B760E5">
        <w:rPr>
          <w:rFonts w:cs="Arial"/>
          <w:szCs w:val="24"/>
          <w:lang w:val="en-ZA"/>
        </w:rPr>
        <w:t xml:space="preserve">. It points out that </w:t>
      </w:r>
      <w:r w:rsidR="002E05EC">
        <w:rPr>
          <w:rFonts w:cs="Arial"/>
          <w:szCs w:val="24"/>
          <w:lang w:val="en-ZA"/>
        </w:rPr>
        <w:t>IPILRA does not prescribe a</w:t>
      </w:r>
      <w:r w:rsidR="005B7366">
        <w:rPr>
          <w:rFonts w:cs="Arial"/>
          <w:szCs w:val="24"/>
          <w:lang w:val="en-ZA"/>
        </w:rPr>
        <w:t>ny</w:t>
      </w:r>
      <w:r w:rsidR="002E05EC">
        <w:rPr>
          <w:rFonts w:cs="Arial"/>
          <w:szCs w:val="24"/>
          <w:lang w:val="en-ZA"/>
        </w:rPr>
        <w:t xml:space="preserve"> time frame. Tendele accordingly disputes that the appeal process could have been completed by January 2023</w:t>
      </w:r>
      <w:r w:rsidR="00B760E5">
        <w:rPr>
          <w:rFonts w:cs="Arial"/>
          <w:szCs w:val="24"/>
          <w:lang w:val="en-ZA"/>
        </w:rPr>
        <w:t>,</w:t>
      </w:r>
      <w:r w:rsidR="002E05EC">
        <w:rPr>
          <w:rFonts w:cs="Arial"/>
          <w:szCs w:val="24"/>
          <w:lang w:val="en-ZA"/>
        </w:rPr>
        <w:t xml:space="preserve"> alternatively by the time the present application was launched</w:t>
      </w:r>
      <w:r w:rsidR="001D76A3">
        <w:rPr>
          <w:rFonts w:cs="Arial"/>
          <w:szCs w:val="24"/>
          <w:lang w:val="en-ZA"/>
        </w:rPr>
        <w:t xml:space="preserve"> on 6 March 2023</w:t>
      </w:r>
      <w:r w:rsidR="002E05EC">
        <w:rPr>
          <w:rFonts w:cs="Arial"/>
          <w:szCs w:val="24"/>
          <w:lang w:val="en-ZA"/>
        </w:rPr>
        <w:t xml:space="preserve">. </w:t>
      </w:r>
      <w:r w:rsidR="00AE0EDB">
        <w:rPr>
          <w:rFonts w:cs="Arial"/>
          <w:szCs w:val="24"/>
          <w:lang w:val="en-ZA"/>
        </w:rPr>
        <w:t xml:space="preserve"> The fifth to eighth respondents </w:t>
      </w:r>
      <w:r w:rsidR="005B7366">
        <w:rPr>
          <w:rFonts w:cs="Arial"/>
          <w:szCs w:val="24"/>
          <w:lang w:val="en-ZA"/>
        </w:rPr>
        <w:t xml:space="preserve">similarly </w:t>
      </w:r>
      <w:r w:rsidR="00AE0EDB">
        <w:rPr>
          <w:rFonts w:cs="Arial"/>
          <w:szCs w:val="24"/>
          <w:lang w:val="en-ZA"/>
        </w:rPr>
        <w:t>dispute that there was an agreed time frame to complete the appeal by January 2023, or that Bam J’s order contemplated a time frame within which to complete the appeal process.</w:t>
      </w:r>
      <w:r w:rsidR="00CD301A">
        <w:rPr>
          <w:rFonts w:cs="Arial"/>
          <w:szCs w:val="24"/>
          <w:lang w:val="en-ZA"/>
        </w:rPr>
        <w:t xml:space="preserve"> Otherwise</w:t>
      </w:r>
      <w:r w:rsidR="005B7366">
        <w:rPr>
          <w:rFonts w:cs="Arial"/>
          <w:szCs w:val="24"/>
          <w:lang w:val="en-ZA"/>
        </w:rPr>
        <w:t>,</w:t>
      </w:r>
      <w:r w:rsidR="00CD301A">
        <w:rPr>
          <w:rFonts w:cs="Arial"/>
          <w:szCs w:val="24"/>
          <w:lang w:val="en-ZA"/>
        </w:rPr>
        <w:t xml:space="preserve"> they associate</w:t>
      </w:r>
      <w:r w:rsidR="005B7366">
        <w:rPr>
          <w:rFonts w:cs="Arial"/>
          <w:szCs w:val="24"/>
          <w:lang w:val="en-ZA"/>
        </w:rPr>
        <w:t>d</w:t>
      </w:r>
      <w:r w:rsidR="00CD301A">
        <w:rPr>
          <w:rFonts w:cs="Arial"/>
          <w:szCs w:val="24"/>
          <w:lang w:val="en-ZA"/>
        </w:rPr>
        <w:t xml:space="preserve"> themselves with the submissions by Tendele. The applicants submit that they do not contend that the appeal process should have been completed by January 2023, but that it ‘could have been completed by the first quarter of 2023 if not earlier as initially anticipated by Tendele . . .’ but in any event before mining activities commenced</w:t>
      </w:r>
      <w:r w:rsidR="00BB6863">
        <w:rPr>
          <w:rFonts w:cs="Arial"/>
          <w:szCs w:val="24"/>
          <w:lang w:val="en-ZA"/>
        </w:rPr>
        <w:t>. The</w:t>
      </w:r>
      <w:r w:rsidR="005B7366">
        <w:rPr>
          <w:rFonts w:cs="Arial"/>
          <w:szCs w:val="24"/>
          <w:lang w:val="en-ZA"/>
        </w:rPr>
        <w:t>y state the</w:t>
      </w:r>
      <w:r w:rsidR="00BB6863">
        <w:rPr>
          <w:rFonts w:cs="Arial"/>
          <w:szCs w:val="24"/>
          <w:lang w:val="en-ZA"/>
        </w:rPr>
        <w:t xml:space="preserve"> </w:t>
      </w:r>
      <w:r w:rsidR="00CD301A">
        <w:rPr>
          <w:rFonts w:cs="Arial"/>
          <w:szCs w:val="24"/>
          <w:lang w:val="en-ZA"/>
        </w:rPr>
        <w:t xml:space="preserve">purpose of annexure B </w:t>
      </w:r>
      <w:r w:rsidR="005B7366">
        <w:rPr>
          <w:rFonts w:cs="Arial"/>
          <w:szCs w:val="24"/>
          <w:lang w:val="en-ZA"/>
        </w:rPr>
        <w:t xml:space="preserve">as illustrating </w:t>
      </w:r>
      <w:r w:rsidR="00CD301A">
        <w:rPr>
          <w:rFonts w:cs="Arial"/>
          <w:szCs w:val="24"/>
          <w:lang w:val="en-ZA"/>
        </w:rPr>
        <w:t xml:space="preserve">that Tendele is absolutely to blame for any predicament it may find itself in. They point out that Tendele is still in Scoping, the first phase of the EIA process, now 14 months </w:t>
      </w:r>
      <w:r w:rsidR="00BB6863">
        <w:rPr>
          <w:rFonts w:cs="Arial"/>
          <w:szCs w:val="24"/>
          <w:lang w:val="en-ZA"/>
        </w:rPr>
        <w:t xml:space="preserve">after </w:t>
      </w:r>
      <w:r w:rsidR="00CD301A">
        <w:rPr>
          <w:rFonts w:cs="Arial"/>
          <w:szCs w:val="24"/>
          <w:lang w:val="en-ZA"/>
        </w:rPr>
        <w:t xml:space="preserve">Bam J’s judgment, and that the EIA report will be pushed out to February 2024 </w:t>
      </w:r>
      <w:r w:rsidR="00B760E5">
        <w:rPr>
          <w:rFonts w:cs="Arial"/>
          <w:szCs w:val="24"/>
          <w:lang w:val="en-ZA"/>
        </w:rPr>
        <w:t xml:space="preserve">with </w:t>
      </w:r>
      <w:r w:rsidR="00CD301A">
        <w:rPr>
          <w:rFonts w:cs="Arial"/>
          <w:szCs w:val="24"/>
          <w:lang w:val="en-ZA"/>
        </w:rPr>
        <w:t>a decision by the Minister anticipated only at the end of April or beginning of May 2024.</w:t>
      </w:r>
      <w:r w:rsidR="00CF2C9C">
        <w:rPr>
          <w:rFonts w:cs="Arial"/>
          <w:szCs w:val="24"/>
          <w:lang w:val="en-ZA"/>
        </w:rPr>
        <w:t xml:space="preserve"> That they contend, is as opposed to the time frame had the mining right been set aside and the process had to start from scratch, which would have resulted in the final EIA report in December 2022 and a decision being received from the DMRE in April 2023</w:t>
      </w:r>
      <w:r w:rsidR="00BB6863">
        <w:rPr>
          <w:rFonts w:cs="Arial"/>
          <w:szCs w:val="24"/>
          <w:lang w:val="en-ZA"/>
        </w:rPr>
        <w:t>. They point out that</w:t>
      </w:r>
      <w:r w:rsidR="00CF2C9C">
        <w:rPr>
          <w:rFonts w:cs="Arial"/>
          <w:szCs w:val="24"/>
          <w:lang w:val="en-ZA"/>
        </w:rPr>
        <w:t xml:space="preserve"> Tendele’s current EIA schedule will take </w:t>
      </w:r>
      <w:r w:rsidR="00BB6863">
        <w:rPr>
          <w:rFonts w:cs="Arial"/>
          <w:szCs w:val="24"/>
          <w:lang w:val="en-ZA"/>
        </w:rPr>
        <w:t xml:space="preserve">some </w:t>
      </w:r>
      <w:r w:rsidR="00CF2C9C">
        <w:rPr>
          <w:rFonts w:cs="Arial"/>
          <w:szCs w:val="24"/>
          <w:lang w:val="en-ZA"/>
        </w:rPr>
        <w:t xml:space="preserve">571 days to complete. They </w:t>
      </w:r>
      <w:r w:rsidR="00BB6863">
        <w:rPr>
          <w:rFonts w:cs="Arial"/>
          <w:szCs w:val="24"/>
          <w:lang w:val="en-ZA"/>
        </w:rPr>
        <w:t xml:space="preserve">further </w:t>
      </w:r>
      <w:r w:rsidR="00CF2C9C">
        <w:rPr>
          <w:rFonts w:cs="Arial"/>
          <w:szCs w:val="24"/>
          <w:lang w:val="en-ZA"/>
        </w:rPr>
        <w:t xml:space="preserve">accuse Tendele of continuing to rely on a schedule that it knows to be unattainable, that </w:t>
      </w:r>
      <w:r w:rsidR="00BB6863">
        <w:rPr>
          <w:rFonts w:cs="Arial"/>
          <w:szCs w:val="24"/>
          <w:lang w:val="en-ZA"/>
        </w:rPr>
        <w:t xml:space="preserve">its </w:t>
      </w:r>
      <w:r w:rsidR="00CF2C9C">
        <w:rPr>
          <w:rFonts w:cs="Arial"/>
          <w:szCs w:val="24"/>
          <w:lang w:val="en-ZA"/>
        </w:rPr>
        <w:t>conduct is inconsistent with the assurances given to Bam J that Tendele was ‘intent on doing everything reasonably possible to guard against the process on appeal before the Min</w:t>
      </w:r>
      <w:r w:rsidR="001D76A3">
        <w:rPr>
          <w:rFonts w:cs="Arial"/>
          <w:szCs w:val="24"/>
          <w:lang w:val="en-ZA"/>
        </w:rPr>
        <w:t>i</w:t>
      </w:r>
      <w:r w:rsidR="00CF2C9C">
        <w:rPr>
          <w:rFonts w:cs="Arial"/>
          <w:szCs w:val="24"/>
          <w:lang w:val="en-ZA"/>
        </w:rPr>
        <w:t>ster being assailed’, that Tendele ‘has bungled its EIA process again’</w:t>
      </w:r>
      <w:r w:rsidR="001D76A3">
        <w:rPr>
          <w:rFonts w:cs="Arial"/>
          <w:szCs w:val="24"/>
          <w:lang w:val="en-ZA"/>
        </w:rPr>
        <w:t xml:space="preserve">, and </w:t>
      </w:r>
      <w:r w:rsidR="00BB6863">
        <w:rPr>
          <w:rFonts w:cs="Arial"/>
          <w:szCs w:val="24"/>
          <w:lang w:val="en-ZA"/>
        </w:rPr>
        <w:t xml:space="preserve">that it </w:t>
      </w:r>
      <w:r w:rsidR="001D76A3">
        <w:rPr>
          <w:rFonts w:cs="Arial"/>
          <w:szCs w:val="24"/>
          <w:lang w:val="en-ZA"/>
        </w:rPr>
        <w:t>has not explained the delays.</w:t>
      </w:r>
      <w:r w:rsidR="006F795B">
        <w:rPr>
          <w:rFonts w:cs="Arial"/>
          <w:szCs w:val="24"/>
          <w:lang w:val="en-ZA"/>
        </w:rPr>
        <w:t xml:space="preserve"> The applicants conclude that there can be no just and equitable remedy if Tendele is permitted to start mining without having first complied with Bam J’s judgment and order</w:t>
      </w:r>
      <w:r w:rsidR="00BB6863">
        <w:rPr>
          <w:rFonts w:cs="Arial"/>
          <w:szCs w:val="24"/>
          <w:lang w:val="en-ZA"/>
        </w:rPr>
        <w:t>.</w:t>
      </w:r>
    </w:p>
    <w:p w14:paraId="681D479D" w14:textId="77777777" w:rsidR="001D76A3" w:rsidRDefault="001D76A3" w:rsidP="001D76A3">
      <w:pPr>
        <w:pStyle w:val="2"/>
        <w:numPr>
          <w:ilvl w:val="0"/>
          <w:numId w:val="0"/>
        </w:numPr>
        <w:spacing w:before="0" w:line="360" w:lineRule="auto"/>
        <w:rPr>
          <w:rFonts w:cs="Arial"/>
          <w:szCs w:val="24"/>
          <w:lang w:val="en-ZA"/>
        </w:rPr>
      </w:pPr>
    </w:p>
    <w:p w14:paraId="72378C2A" w14:textId="3748040B" w:rsidR="00AA19D0" w:rsidRPr="00972174" w:rsidRDefault="006D79CC" w:rsidP="006D79CC">
      <w:pPr>
        <w:pStyle w:val="2"/>
        <w:numPr>
          <w:ilvl w:val="0"/>
          <w:numId w:val="0"/>
        </w:numPr>
        <w:spacing w:before="0" w:line="360" w:lineRule="auto"/>
        <w:rPr>
          <w:rFonts w:cs="Arial"/>
          <w:szCs w:val="24"/>
          <w:lang w:val="en-ZA"/>
        </w:rPr>
      </w:pPr>
      <w:r w:rsidRPr="00972174">
        <w:rPr>
          <w:rFonts w:cs="Arial"/>
          <w:iCs w:val="0"/>
          <w:szCs w:val="24"/>
          <w:lang w:val="en-ZA"/>
        </w:rPr>
        <w:t>[89]</w:t>
      </w:r>
      <w:r w:rsidRPr="00972174">
        <w:rPr>
          <w:rFonts w:cs="Arial"/>
          <w:iCs w:val="0"/>
          <w:szCs w:val="24"/>
          <w:lang w:val="en-ZA"/>
        </w:rPr>
        <w:tab/>
      </w:r>
      <w:r w:rsidR="001D76A3">
        <w:rPr>
          <w:rFonts w:cs="Arial"/>
          <w:szCs w:val="24"/>
          <w:lang w:val="en-ZA"/>
        </w:rPr>
        <w:t xml:space="preserve">The question </w:t>
      </w:r>
      <w:r w:rsidR="006F795B">
        <w:rPr>
          <w:rFonts w:cs="Arial"/>
          <w:szCs w:val="24"/>
          <w:lang w:val="en-ZA"/>
        </w:rPr>
        <w:t xml:space="preserve">arising from the </w:t>
      </w:r>
      <w:r w:rsidR="00AD6A37">
        <w:rPr>
          <w:rFonts w:cs="Arial"/>
          <w:szCs w:val="24"/>
          <w:lang w:val="en-ZA"/>
        </w:rPr>
        <w:t>aforesaid</w:t>
      </w:r>
      <w:r w:rsidR="000836A6">
        <w:rPr>
          <w:rFonts w:cs="Arial"/>
          <w:szCs w:val="24"/>
          <w:lang w:val="en-ZA"/>
        </w:rPr>
        <w:t xml:space="preserve"> competing</w:t>
      </w:r>
      <w:r w:rsidR="00AD6A37">
        <w:rPr>
          <w:rFonts w:cs="Arial"/>
          <w:szCs w:val="24"/>
          <w:lang w:val="en-ZA"/>
        </w:rPr>
        <w:t xml:space="preserve"> </w:t>
      </w:r>
      <w:r w:rsidR="006F795B">
        <w:rPr>
          <w:rFonts w:cs="Arial"/>
          <w:szCs w:val="24"/>
          <w:lang w:val="en-ZA"/>
        </w:rPr>
        <w:t>timeline</w:t>
      </w:r>
      <w:r w:rsidR="00AD6A37">
        <w:rPr>
          <w:rFonts w:cs="Arial"/>
          <w:szCs w:val="24"/>
          <w:lang w:val="en-ZA"/>
        </w:rPr>
        <w:t>s</w:t>
      </w:r>
      <w:r w:rsidR="006F795B">
        <w:rPr>
          <w:rFonts w:cs="Arial"/>
          <w:szCs w:val="24"/>
          <w:lang w:val="en-ZA"/>
        </w:rPr>
        <w:t xml:space="preserve">, </w:t>
      </w:r>
      <w:r w:rsidR="001D76A3">
        <w:rPr>
          <w:rFonts w:cs="Arial"/>
          <w:szCs w:val="24"/>
          <w:lang w:val="en-ZA"/>
        </w:rPr>
        <w:t>assuming</w:t>
      </w:r>
      <w:r w:rsidR="00AA19D0">
        <w:rPr>
          <w:rFonts w:cs="Arial"/>
          <w:szCs w:val="24"/>
          <w:lang w:val="en-ZA"/>
        </w:rPr>
        <w:t xml:space="preserve"> in favour of the applicants</w:t>
      </w:r>
      <w:r w:rsidR="001D76A3">
        <w:rPr>
          <w:rFonts w:cs="Arial"/>
          <w:szCs w:val="24"/>
          <w:lang w:val="en-ZA"/>
        </w:rPr>
        <w:t xml:space="preserve"> as it is disputed</w:t>
      </w:r>
      <w:r w:rsidR="00A35739">
        <w:rPr>
          <w:rFonts w:cs="Arial"/>
          <w:szCs w:val="24"/>
          <w:lang w:val="en-ZA"/>
        </w:rPr>
        <w:t>,</w:t>
      </w:r>
      <w:r w:rsidR="001D76A3">
        <w:rPr>
          <w:rFonts w:cs="Arial"/>
          <w:szCs w:val="24"/>
          <w:lang w:val="en-ZA"/>
        </w:rPr>
        <w:t xml:space="preserve"> that the process had become drawn out and/or </w:t>
      </w:r>
      <w:r w:rsidR="00B760E5">
        <w:rPr>
          <w:rFonts w:cs="Arial"/>
          <w:szCs w:val="24"/>
          <w:lang w:val="en-ZA"/>
        </w:rPr>
        <w:t xml:space="preserve">unduly </w:t>
      </w:r>
      <w:r w:rsidR="001D76A3">
        <w:rPr>
          <w:rFonts w:cs="Arial"/>
          <w:szCs w:val="24"/>
          <w:lang w:val="en-ZA"/>
        </w:rPr>
        <w:t xml:space="preserve">delayed, </w:t>
      </w:r>
      <w:r w:rsidR="00972174">
        <w:rPr>
          <w:rFonts w:cs="Arial"/>
          <w:szCs w:val="24"/>
          <w:lang w:val="en-ZA"/>
        </w:rPr>
        <w:t xml:space="preserve">is </w:t>
      </w:r>
      <w:r w:rsidR="001D76A3">
        <w:rPr>
          <w:rFonts w:cs="Arial"/>
          <w:szCs w:val="24"/>
          <w:lang w:val="en-ZA"/>
        </w:rPr>
        <w:t>what effect, if any, that would have on the order of Bam J. Bam J</w:t>
      </w:r>
      <w:r w:rsidR="00AA19D0">
        <w:rPr>
          <w:rFonts w:cs="Arial"/>
          <w:szCs w:val="24"/>
          <w:lang w:val="en-ZA"/>
        </w:rPr>
        <w:t>’s order</w:t>
      </w:r>
      <w:r w:rsidR="001D76A3">
        <w:rPr>
          <w:rFonts w:cs="Arial"/>
          <w:szCs w:val="24"/>
          <w:lang w:val="en-ZA"/>
        </w:rPr>
        <w:t xml:space="preserve"> did not specify a deadline for the completion of the appeal process</w:t>
      </w:r>
      <w:r w:rsidR="00AA19D0">
        <w:rPr>
          <w:rFonts w:cs="Arial"/>
          <w:szCs w:val="24"/>
          <w:lang w:val="en-ZA"/>
        </w:rPr>
        <w:t>. She presumably</w:t>
      </w:r>
      <w:r w:rsidR="00AD6A37">
        <w:rPr>
          <w:rFonts w:cs="Arial"/>
          <w:szCs w:val="24"/>
          <w:lang w:val="en-ZA"/>
        </w:rPr>
        <w:t>, in the context of her judgment</w:t>
      </w:r>
      <w:r w:rsidR="002C5DEC">
        <w:rPr>
          <w:rFonts w:cs="Arial"/>
          <w:szCs w:val="24"/>
          <w:lang w:val="en-ZA"/>
        </w:rPr>
        <w:t>,</w:t>
      </w:r>
      <w:r w:rsidR="00AA19D0">
        <w:rPr>
          <w:rFonts w:cs="Arial"/>
          <w:szCs w:val="24"/>
          <w:lang w:val="en-ZA"/>
        </w:rPr>
        <w:t xml:space="preserve"> as </w:t>
      </w:r>
      <w:r w:rsidR="00AD6A37">
        <w:rPr>
          <w:rFonts w:cs="Arial"/>
          <w:szCs w:val="24"/>
          <w:lang w:val="en-ZA"/>
        </w:rPr>
        <w:t xml:space="preserve">no judgment </w:t>
      </w:r>
      <w:r w:rsidR="00AA19D0">
        <w:rPr>
          <w:rFonts w:cs="Arial"/>
          <w:szCs w:val="24"/>
          <w:lang w:val="en-ZA"/>
        </w:rPr>
        <w:t xml:space="preserve">is granted </w:t>
      </w:r>
      <w:r w:rsidR="00AD6A37">
        <w:rPr>
          <w:rFonts w:cs="Arial"/>
          <w:szCs w:val="24"/>
          <w:lang w:val="en-ZA"/>
        </w:rPr>
        <w:t xml:space="preserve">in vacua, </w:t>
      </w:r>
      <w:r w:rsidR="00972174">
        <w:rPr>
          <w:rFonts w:cs="Arial"/>
          <w:szCs w:val="24"/>
          <w:lang w:val="en-ZA"/>
        </w:rPr>
        <w:t xml:space="preserve">would </w:t>
      </w:r>
      <w:r w:rsidR="00AD6A37">
        <w:rPr>
          <w:rFonts w:cs="Arial"/>
          <w:szCs w:val="24"/>
          <w:lang w:val="en-ZA"/>
        </w:rPr>
        <w:t xml:space="preserve">have contemplated that the remitted appeal would </w:t>
      </w:r>
      <w:r w:rsidR="00972174">
        <w:rPr>
          <w:rFonts w:cs="Arial"/>
          <w:szCs w:val="24"/>
          <w:lang w:val="en-ZA"/>
        </w:rPr>
        <w:t xml:space="preserve">be finalised </w:t>
      </w:r>
      <w:r w:rsidR="00AD6A37">
        <w:rPr>
          <w:rFonts w:cs="Arial"/>
          <w:szCs w:val="24"/>
          <w:lang w:val="en-ZA"/>
        </w:rPr>
        <w:t xml:space="preserve">within some </w:t>
      </w:r>
      <w:r w:rsidR="00AA19D0">
        <w:rPr>
          <w:rFonts w:cs="Arial"/>
          <w:szCs w:val="24"/>
          <w:lang w:val="en-ZA"/>
        </w:rPr>
        <w:t xml:space="preserve">reasonable </w:t>
      </w:r>
      <w:r w:rsidR="00AD6A37">
        <w:rPr>
          <w:rFonts w:cs="Arial"/>
          <w:szCs w:val="24"/>
          <w:lang w:val="en-ZA"/>
        </w:rPr>
        <w:t>time frame</w:t>
      </w:r>
      <w:r w:rsidR="000836A6">
        <w:rPr>
          <w:rFonts w:cs="Arial"/>
          <w:szCs w:val="24"/>
          <w:lang w:val="en-ZA"/>
        </w:rPr>
        <w:t xml:space="preserve">. </w:t>
      </w:r>
      <w:r w:rsidR="002C5DEC">
        <w:rPr>
          <w:rFonts w:cs="Arial"/>
          <w:szCs w:val="24"/>
          <w:lang w:val="en-ZA"/>
        </w:rPr>
        <w:t>Carrying on m</w:t>
      </w:r>
      <w:r w:rsidR="00AD6A37">
        <w:rPr>
          <w:rFonts w:cs="Arial"/>
          <w:szCs w:val="24"/>
          <w:lang w:val="en-ZA"/>
        </w:rPr>
        <w:t>ining</w:t>
      </w:r>
      <w:r w:rsidR="000836A6">
        <w:rPr>
          <w:rFonts w:cs="Arial"/>
          <w:szCs w:val="24"/>
          <w:lang w:val="en-ZA"/>
        </w:rPr>
        <w:t xml:space="preserve"> operations</w:t>
      </w:r>
      <w:r w:rsidR="00AD6A37">
        <w:rPr>
          <w:rFonts w:cs="Arial"/>
          <w:szCs w:val="24"/>
          <w:lang w:val="en-ZA"/>
        </w:rPr>
        <w:t xml:space="preserve">, as a just and equitable remedy, could not </w:t>
      </w:r>
      <w:r w:rsidR="002C5DEC">
        <w:rPr>
          <w:rFonts w:cs="Arial"/>
          <w:szCs w:val="24"/>
          <w:lang w:val="en-ZA"/>
        </w:rPr>
        <w:t xml:space="preserve">commence and </w:t>
      </w:r>
      <w:r w:rsidR="00AD6A37">
        <w:rPr>
          <w:rFonts w:cs="Arial"/>
          <w:szCs w:val="24"/>
          <w:lang w:val="en-ZA"/>
        </w:rPr>
        <w:t xml:space="preserve">continue in perpetuity with no appeal </w:t>
      </w:r>
      <w:r w:rsidR="00972174">
        <w:rPr>
          <w:rFonts w:cs="Arial"/>
          <w:szCs w:val="24"/>
          <w:lang w:val="en-ZA"/>
        </w:rPr>
        <w:t>being prosecuted</w:t>
      </w:r>
      <w:r w:rsidR="00AD6A37">
        <w:rPr>
          <w:rFonts w:cs="Arial"/>
          <w:szCs w:val="24"/>
          <w:lang w:val="en-ZA"/>
        </w:rPr>
        <w:t>.</w:t>
      </w:r>
      <w:r w:rsidR="00567804" w:rsidRPr="00972174">
        <w:rPr>
          <w:rFonts w:cs="Arial"/>
          <w:szCs w:val="24"/>
          <w:lang w:val="en-ZA"/>
        </w:rPr>
        <w:t xml:space="preserve"> </w:t>
      </w:r>
    </w:p>
    <w:p w14:paraId="580922AA" w14:textId="77777777" w:rsidR="00AA19D0" w:rsidRDefault="00AA19D0" w:rsidP="00AA19D0">
      <w:pPr>
        <w:pStyle w:val="ListParagraph"/>
        <w:rPr>
          <w:szCs w:val="24"/>
        </w:rPr>
      </w:pPr>
    </w:p>
    <w:p w14:paraId="0144D8F1" w14:textId="2968DF37" w:rsidR="002F7856" w:rsidRPr="00C51363" w:rsidRDefault="006D79CC" w:rsidP="006D79CC">
      <w:pPr>
        <w:pStyle w:val="2"/>
        <w:numPr>
          <w:ilvl w:val="0"/>
          <w:numId w:val="0"/>
        </w:numPr>
        <w:spacing w:before="0" w:line="360" w:lineRule="auto"/>
        <w:rPr>
          <w:rFonts w:cs="Arial"/>
          <w:szCs w:val="24"/>
          <w:lang w:val="en-ZA"/>
        </w:rPr>
      </w:pPr>
      <w:r w:rsidRPr="00C51363">
        <w:rPr>
          <w:rFonts w:cs="Arial"/>
          <w:iCs w:val="0"/>
          <w:szCs w:val="24"/>
          <w:lang w:val="en-ZA"/>
        </w:rPr>
        <w:t>[90]</w:t>
      </w:r>
      <w:r w:rsidRPr="00C51363">
        <w:rPr>
          <w:rFonts w:cs="Arial"/>
          <w:iCs w:val="0"/>
          <w:szCs w:val="24"/>
          <w:lang w:val="en-ZA"/>
        </w:rPr>
        <w:tab/>
      </w:r>
      <w:r w:rsidR="00AA19D0">
        <w:rPr>
          <w:rFonts w:cs="Arial"/>
          <w:szCs w:val="24"/>
          <w:lang w:val="en-ZA"/>
        </w:rPr>
        <w:t xml:space="preserve">On </w:t>
      </w:r>
      <w:r w:rsidR="00A35739">
        <w:rPr>
          <w:rFonts w:cs="Arial"/>
          <w:szCs w:val="24"/>
          <w:lang w:val="en-ZA"/>
        </w:rPr>
        <w:t xml:space="preserve">what </w:t>
      </w:r>
      <w:r w:rsidR="00972174">
        <w:rPr>
          <w:rFonts w:cs="Arial"/>
          <w:szCs w:val="24"/>
          <w:lang w:val="en-ZA"/>
        </w:rPr>
        <w:t xml:space="preserve">has been </w:t>
      </w:r>
      <w:r w:rsidR="00A35739">
        <w:rPr>
          <w:rFonts w:cs="Arial"/>
          <w:szCs w:val="24"/>
          <w:lang w:val="en-ZA"/>
        </w:rPr>
        <w:t xml:space="preserve">placed before me </w:t>
      </w:r>
      <w:r w:rsidR="00AA19D0">
        <w:rPr>
          <w:rFonts w:cs="Arial"/>
          <w:szCs w:val="24"/>
          <w:lang w:val="en-ZA"/>
        </w:rPr>
        <w:t xml:space="preserve">I </w:t>
      </w:r>
      <w:r w:rsidR="00972174">
        <w:rPr>
          <w:rFonts w:cs="Arial"/>
          <w:szCs w:val="24"/>
          <w:lang w:val="en-ZA"/>
        </w:rPr>
        <w:t xml:space="preserve">am unable to </w:t>
      </w:r>
      <w:r w:rsidR="00AA19D0">
        <w:rPr>
          <w:rFonts w:cs="Arial"/>
          <w:szCs w:val="24"/>
          <w:lang w:val="en-ZA"/>
        </w:rPr>
        <w:t xml:space="preserve">conclude that the delays have necessarily been unreasonable. </w:t>
      </w:r>
      <w:r w:rsidR="00A35739">
        <w:rPr>
          <w:rFonts w:cs="Arial"/>
          <w:szCs w:val="24"/>
          <w:lang w:val="en-ZA"/>
        </w:rPr>
        <w:t xml:space="preserve">But it also does not seem necessary to make that finding. The </w:t>
      </w:r>
      <w:r w:rsidR="00AA19D0">
        <w:rPr>
          <w:rFonts w:cs="Arial"/>
          <w:szCs w:val="24"/>
          <w:lang w:val="en-ZA"/>
        </w:rPr>
        <w:t xml:space="preserve">work contemplated in the letters </w:t>
      </w:r>
      <w:r w:rsidR="00A35739">
        <w:rPr>
          <w:rFonts w:cs="Arial"/>
          <w:szCs w:val="24"/>
          <w:lang w:val="en-ZA"/>
        </w:rPr>
        <w:t xml:space="preserve">has </w:t>
      </w:r>
      <w:r w:rsidR="00AA19D0">
        <w:rPr>
          <w:rFonts w:cs="Arial"/>
          <w:szCs w:val="24"/>
          <w:lang w:val="en-ZA"/>
        </w:rPr>
        <w:t>not commenced</w:t>
      </w:r>
      <w:r w:rsidR="002C5DEC">
        <w:rPr>
          <w:rFonts w:cs="Arial"/>
          <w:szCs w:val="24"/>
          <w:lang w:val="en-ZA"/>
        </w:rPr>
        <w:t xml:space="preserve">. It will </w:t>
      </w:r>
      <w:r w:rsidR="00A35739">
        <w:rPr>
          <w:rFonts w:cs="Arial"/>
          <w:szCs w:val="24"/>
          <w:lang w:val="en-ZA"/>
        </w:rPr>
        <w:t xml:space="preserve">be </w:t>
      </w:r>
      <w:r w:rsidR="00AA19D0">
        <w:rPr>
          <w:rFonts w:cs="Arial"/>
          <w:szCs w:val="24"/>
          <w:lang w:val="en-ZA"/>
        </w:rPr>
        <w:t>the first mining work to commence in respect of the areas</w:t>
      </w:r>
      <w:r w:rsidR="00A35739">
        <w:rPr>
          <w:rFonts w:cs="Arial"/>
          <w:szCs w:val="24"/>
          <w:lang w:val="en-ZA"/>
        </w:rPr>
        <w:t xml:space="preserve"> to which the mining right relates. If Bam J intended to allow mining to continue in the interim pending a reasonable period being allowed for the appeal</w:t>
      </w:r>
      <w:r w:rsidR="00C51363">
        <w:rPr>
          <w:rFonts w:cs="Arial"/>
          <w:szCs w:val="24"/>
          <w:lang w:val="en-ZA"/>
        </w:rPr>
        <w:t xml:space="preserve"> to be finalised</w:t>
      </w:r>
      <w:r w:rsidR="00A35739">
        <w:rPr>
          <w:rFonts w:cs="Arial"/>
          <w:szCs w:val="24"/>
          <w:lang w:val="en-ZA"/>
        </w:rPr>
        <w:t>, then such</w:t>
      </w:r>
      <w:r w:rsidR="00AA19D0" w:rsidRPr="00A35739">
        <w:rPr>
          <w:rFonts w:cs="Arial"/>
          <w:szCs w:val="24"/>
          <w:lang w:val="en-ZA"/>
        </w:rPr>
        <w:t xml:space="preserve"> work as </w:t>
      </w:r>
      <w:r w:rsidR="00A35739">
        <w:rPr>
          <w:rFonts w:cs="Arial"/>
          <w:szCs w:val="24"/>
          <w:lang w:val="en-ZA"/>
        </w:rPr>
        <w:t>contemplated in the letters</w:t>
      </w:r>
      <w:r w:rsidR="00AD6A37" w:rsidRPr="00A35739">
        <w:rPr>
          <w:rFonts w:cs="Arial"/>
          <w:szCs w:val="24"/>
          <w:lang w:val="en-ZA"/>
        </w:rPr>
        <w:t xml:space="preserve">, </w:t>
      </w:r>
      <w:r w:rsidR="00972174">
        <w:rPr>
          <w:rFonts w:cs="Arial"/>
          <w:szCs w:val="24"/>
          <w:lang w:val="en-ZA"/>
        </w:rPr>
        <w:t xml:space="preserve">and </w:t>
      </w:r>
      <w:r w:rsidR="00A35739">
        <w:rPr>
          <w:rFonts w:cs="Arial"/>
          <w:szCs w:val="24"/>
          <w:lang w:val="en-ZA"/>
        </w:rPr>
        <w:t>b</w:t>
      </w:r>
      <w:r w:rsidR="00557E58" w:rsidRPr="00A35739">
        <w:rPr>
          <w:rFonts w:cs="Arial"/>
          <w:szCs w:val="24"/>
          <w:lang w:val="en-ZA"/>
        </w:rPr>
        <w:t xml:space="preserve">eing of a limited nature and confined to the </w:t>
      </w:r>
      <w:r w:rsidR="00972174">
        <w:rPr>
          <w:rFonts w:cs="Arial"/>
          <w:szCs w:val="24"/>
          <w:lang w:val="en-ZA"/>
        </w:rPr>
        <w:t xml:space="preserve">mining </w:t>
      </w:r>
      <w:r w:rsidR="00557E58" w:rsidRPr="00A35739">
        <w:rPr>
          <w:rFonts w:cs="Arial"/>
          <w:szCs w:val="24"/>
          <w:lang w:val="en-ZA"/>
        </w:rPr>
        <w:t xml:space="preserve">areas </w:t>
      </w:r>
      <w:r w:rsidR="005C1398" w:rsidRPr="00A35739">
        <w:rPr>
          <w:rFonts w:cs="Arial"/>
          <w:szCs w:val="24"/>
          <w:lang w:val="en-ZA"/>
        </w:rPr>
        <w:t>in accordance with undertakings provided by Tendele</w:t>
      </w:r>
      <w:r w:rsidR="00557E58" w:rsidRPr="00A35739">
        <w:rPr>
          <w:rFonts w:cs="Arial"/>
          <w:szCs w:val="24"/>
          <w:lang w:val="en-ZA"/>
        </w:rPr>
        <w:t xml:space="preserve"> in the various proceedings</w:t>
      </w:r>
      <w:r w:rsidR="005C1398" w:rsidRPr="00A35739">
        <w:rPr>
          <w:rFonts w:cs="Arial"/>
          <w:szCs w:val="24"/>
          <w:lang w:val="en-ZA"/>
        </w:rPr>
        <w:t xml:space="preserve">, </w:t>
      </w:r>
      <w:r w:rsidR="00A35739">
        <w:rPr>
          <w:rFonts w:cs="Arial"/>
          <w:szCs w:val="24"/>
          <w:lang w:val="en-ZA"/>
        </w:rPr>
        <w:t xml:space="preserve">which </w:t>
      </w:r>
      <w:r w:rsidR="00C51363">
        <w:rPr>
          <w:rFonts w:cs="Arial"/>
          <w:szCs w:val="24"/>
          <w:lang w:val="en-ZA"/>
        </w:rPr>
        <w:t xml:space="preserve">might </w:t>
      </w:r>
      <w:r w:rsidR="00A35739">
        <w:rPr>
          <w:rFonts w:cs="Arial"/>
          <w:szCs w:val="24"/>
          <w:lang w:val="en-ZA"/>
        </w:rPr>
        <w:t>now occur, w</w:t>
      </w:r>
      <w:r w:rsidR="00C51363">
        <w:rPr>
          <w:rFonts w:cs="Arial"/>
          <w:szCs w:val="24"/>
          <w:lang w:val="en-ZA"/>
        </w:rPr>
        <w:t xml:space="preserve">ill </w:t>
      </w:r>
      <w:r w:rsidR="00A35739">
        <w:rPr>
          <w:rFonts w:cs="Arial"/>
          <w:szCs w:val="24"/>
          <w:lang w:val="en-ZA"/>
        </w:rPr>
        <w:t xml:space="preserve">be little dissimilar to </w:t>
      </w:r>
      <w:r w:rsidR="00972174">
        <w:rPr>
          <w:rFonts w:cs="Arial"/>
          <w:szCs w:val="24"/>
          <w:lang w:val="en-ZA"/>
        </w:rPr>
        <w:t xml:space="preserve">any </w:t>
      </w:r>
      <w:r w:rsidR="00A35739">
        <w:rPr>
          <w:rFonts w:cs="Arial"/>
          <w:szCs w:val="24"/>
          <w:lang w:val="en-ZA"/>
        </w:rPr>
        <w:t xml:space="preserve">work </w:t>
      </w:r>
      <w:r w:rsidR="00972174">
        <w:rPr>
          <w:rFonts w:cs="Arial"/>
          <w:szCs w:val="24"/>
          <w:lang w:val="en-ZA"/>
        </w:rPr>
        <w:t xml:space="preserve">that </w:t>
      </w:r>
      <w:r w:rsidR="00A35739">
        <w:rPr>
          <w:rFonts w:cs="Arial"/>
          <w:szCs w:val="24"/>
          <w:lang w:val="en-ZA"/>
        </w:rPr>
        <w:t xml:space="preserve">could have commenced immediately after the judgment was delivered </w:t>
      </w:r>
      <w:r w:rsidR="00C51363">
        <w:rPr>
          <w:rFonts w:cs="Arial"/>
          <w:szCs w:val="24"/>
          <w:lang w:val="en-ZA"/>
        </w:rPr>
        <w:t xml:space="preserve">and pending the </w:t>
      </w:r>
      <w:r w:rsidR="00A35739">
        <w:rPr>
          <w:rFonts w:cs="Arial"/>
          <w:szCs w:val="24"/>
          <w:lang w:val="en-ZA"/>
        </w:rPr>
        <w:t xml:space="preserve">appeal </w:t>
      </w:r>
      <w:r w:rsidR="00C51363">
        <w:rPr>
          <w:rFonts w:cs="Arial"/>
          <w:szCs w:val="24"/>
          <w:lang w:val="en-ZA"/>
        </w:rPr>
        <w:t xml:space="preserve">being </w:t>
      </w:r>
      <w:r w:rsidR="002F7856">
        <w:rPr>
          <w:rFonts w:cs="Arial"/>
          <w:szCs w:val="24"/>
          <w:lang w:val="en-ZA"/>
        </w:rPr>
        <w:t xml:space="preserve">prosecuted </w:t>
      </w:r>
      <w:r w:rsidR="00C51363">
        <w:rPr>
          <w:rFonts w:cs="Arial"/>
          <w:szCs w:val="24"/>
          <w:lang w:val="en-ZA"/>
        </w:rPr>
        <w:t xml:space="preserve">forthwith </w:t>
      </w:r>
      <w:r w:rsidR="002F7856">
        <w:rPr>
          <w:rFonts w:cs="Arial"/>
          <w:szCs w:val="24"/>
          <w:lang w:val="en-ZA"/>
        </w:rPr>
        <w:t xml:space="preserve">without delay. I am </w:t>
      </w:r>
      <w:r w:rsidR="00972174">
        <w:rPr>
          <w:rFonts w:cs="Arial"/>
          <w:szCs w:val="24"/>
          <w:lang w:val="en-ZA"/>
        </w:rPr>
        <w:t xml:space="preserve">accordingly also </w:t>
      </w:r>
      <w:r w:rsidR="002F7856">
        <w:rPr>
          <w:rFonts w:cs="Arial"/>
          <w:szCs w:val="24"/>
          <w:lang w:val="en-ZA"/>
        </w:rPr>
        <w:t xml:space="preserve">not persuaded that </w:t>
      </w:r>
      <w:r w:rsidR="002C5DEC">
        <w:rPr>
          <w:rFonts w:cs="Arial"/>
          <w:szCs w:val="24"/>
          <w:lang w:val="en-ZA"/>
        </w:rPr>
        <w:t xml:space="preserve">it has been established that possible </w:t>
      </w:r>
      <w:r w:rsidR="00C51363">
        <w:rPr>
          <w:rFonts w:cs="Arial"/>
          <w:szCs w:val="24"/>
          <w:lang w:val="en-ZA"/>
        </w:rPr>
        <w:t xml:space="preserve">harm which could </w:t>
      </w:r>
      <w:r w:rsidR="002C5DEC">
        <w:rPr>
          <w:rFonts w:cs="Arial"/>
          <w:szCs w:val="24"/>
          <w:lang w:val="en-ZA"/>
        </w:rPr>
        <w:t xml:space="preserve">be occasioned </w:t>
      </w:r>
      <w:r w:rsidR="00C51363">
        <w:rPr>
          <w:rFonts w:cs="Arial"/>
          <w:szCs w:val="24"/>
          <w:lang w:val="en-ZA"/>
        </w:rPr>
        <w:t xml:space="preserve">now would fall outside </w:t>
      </w:r>
      <w:r w:rsidR="002F7856" w:rsidRPr="00C51363">
        <w:rPr>
          <w:rFonts w:cs="Arial"/>
          <w:szCs w:val="24"/>
          <w:lang w:val="en-ZA"/>
        </w:rPr>
        <w:t xml:space="preserve">the parameters which Bam J would have taken into account in fashioning her just and equitable remedy. If it does, then this is something which should be determined by any such ambiguity </w:t>
      </w:r>
      <w:r w:rsidR="00C84EC7">
        <w:rPr>
          <w:rFonts w:cs="Arial"/>
          <w:szCs w:val="24"/>
          <w:lang w:val="en-ZA"/>
        </w:rPr>
        <w:t xml:space="preserve">in the judgment </w:t>
      </w:r>
      <w:r w:rsidR="002F7856" w:rsidRPr="00C51363">
        <w:rPr>
          <w:rFonts w:cs="Arial"/>
          <w:szCs w:val="24"/>
          <w:lang w:val="en-ZA"/>
        </w:rPr>
        <w:t xml:space="preserve">being clarified by Bam J. </w:t>
      </w:r>
      <w:r w:rsidR="00C84EC7">
        <w:rPr>
          <w:rFonts w:cs="Arial"/>
          <w:szCs w:val="24"/>
          <w:lang w:val="en-ZA"/>
        </w:rPr>
        <w:t>Going beyond what I have concluded above would go beyond simply interpret</w:t>
      </w:r>
      <w:r w:rsidR="00B760E5">
        <w:rPr>
          <w:rFonts w:cs="Arial"/>
          <w:szCs w:val="24"/>
          <w:lang w:val="en-ZA"/>
        </w:rPr>
        <w:t>ing</w:t>
      </w:r>
      <w:r w:rsidR="00C84EC7">
        <w:rPr>
          <w:rFonts w:cs="Arial"/>
          <w:szCs w:val="24"/>
          <w:lang w:val="en-ZA"/>
        </w:rPr>
        <w:t xml:space="preserve"> the judgment of Bam J.</w:t>
      </w:r>
      <w:r w:rsidR="002F7856" w:rsidRPr="00C51363">
        <w:rPr>
          <w:rFonts w:cs="Arial"/>
          <w:szCs w:val="24"/>
          <w:lang w:val="en-ZA"/>
        </w:rPr>
        <w:t xml:space="preserve">     </w:t>
      </w:r>
    </w:p>
    <w:p w14:paraId="5D7585D5" w14:textId="5666112F" w:rsidR="00AE0EDB" w:rsidRPr="002F7856" w:rsidRDefault="00AE0EDB" w:rsidP="002F7856">
      <w:pPr>
        <w:pStyle w:val="2"/>
        <w:numPr>
          <w:ilvl w:val="0"/>
          <w:numId w:val="0"/>
        </w:numPr>
        <w:spacing w:before="0" w:line="360" w:lineRule="auto"/>
        <w:rPr>
          <w:rFonts w:cs="Arial"/>
          <w:szCs w:val="24"/>
          <w:lang w:val="en-ZA"/>
        </w:rPr>
      </w:pPr>
    </w:p>
    <w:p w14:paraId="7B977220" w14:textId="78CE9CF8" w:rsidR="002F7C82" w:rsidRPr="00A14EB0" w:rsidRDefault="006D79CC" w:rsidP="006D79CC">
      <w:pPr>
        <w:pStyle w:val="2"/>
        <w:numPr>
          <w:ilvl w:val="0"/>
          <w:numId w:val="0"/>
        </w:numPr>
        <w:spacing w:before="0" w:line="360" w:lineRule="auto"/>
        <w:rPr>
          <w:rFonts w:cs="Arial"/>
          <w:szCs w:val="24"/>
          <w:lang w:val="en-ZA"/>
        </w:rPr>
      </w:pPr>
      <w:r w:rsidRPr="00A14EB0">
        <w:rPr>
          <w:rFonts w:cs="Arial"/>
          <w:iCs w:val="0"/>
          <w:szCs w:val="24"/>
          <w:lang w:val="en-ZA"/>
        </w:rPr>
        <w:t>[91]</w:t>
      </w:r>
      <w:r w:rsidRPr="00A14EB0">
        <w:rPr>
          <w:rFonts w:cs="Arial"/>
          <w:iCs w:val="0"/>
          <w:szCs w:val="24"/>
          <w:lang w:val="en-ZA"/>
        </w:rPr>
        <w:tab/>
      </w:r>
      <w:r w:rsidR="002F7C82" w:rsidRPr="008A132B">
        <w:rPr>
          <w:rFonts w:cs="Arial"/>
          <w:szCs w:val="24"/>
          <w:lang w:val="en-ZA"/>
        </w:rPr>
        <w:t>Bam J would also have been aware that although the mining rights extend to new area</w:t>
      </w:r>
      <w:r w:rsidR="002F7856">
        <w:rPr>
          <w:rFonts w:cs="Arial"/>
          <w:szCs w:val="24"/>
          <w:lang w:val="en-ZA"/>
        </w:rPr>
        <w:t>s</w:t>
      </w:r>
      <w:r w:rsidR="0068747F" w:rsidRPr="008A132B">
        <w:rPr>
          <w:rFonts w:cs="Arial"/>
          <w:szCs w:val="24"/>
          <w:lang w:val="en-ZA"/>
        </w:rPr>
        <w:t xml:space="preserve"> of the mine</w:t>
      </w:r>
      <w:r w:rsidR="002F7C82" w:rsidRPr="008A132B">
        <w:rPr>
          <w:rFonts w:cs="Arial"/>
          <w:szCs w:val="24"/>
          <w:lang w:val="en-ZA"/>
        </w:rPr>
        <w:t xml:space="preserve">, the same </w:t>
      </w:r>
      <w:r w:rsidR="002F7856">
        <w:rPr>
          <w:rFonts w:cs="Arial"/>
          <w:szCs w:val="24"/>
          <w:lang w:val="en-ZA"/>
        </w:rPr>
        <w:t xml:space="preserve">type of </w:t>
      </w:r>
      <w:r w:rsidR="002F7C82" w:rsidRPr="008A132B">
        <w:rPr>
          <w:rFonts w:cs="Arial"/>
          <w:szCs w:val="24"/>
          <w:lang w:val="en-ZA"/>
        </w:rPr>
        <w:t xml:space="preserve">operation as conducted by the mine since 2006 would </w:t>
      </w:r>
      <w:r w:rsidR="0068747F" w:rsidRPr="008A132B">
        <w:rPr>
          <w:rFonts w:cs="Arial"/>
          <w:szCs w:val="24"/>
          <w:lang w:val="en-ZA"/>
        </w:rPr>
        <w:t>occur</w:t>
      </w:r>
      <w:r w:rsidR="002F7C82" w:rsidRPr="008A132B">
        <w:rPr>
          <w:rFonts w:cs="Arial"/>
          <w:szCs w:val="24"/>
          <w:lang w:val="en-ZA"/>
        </w:rPr>
        <w:t>.</w:t>
      </w:r>
      <w:r w:rsidR="00BD3A56" w:rsidRPr="008A132B">
        <w:rPr>
          <w:rFonts w:cs="Arial"/>
          <w:szCs w:val="24"/>
          <w:lang w:val="en-ZA"/>
        </w:rPr>
        <w:t xml:space="preserve"> The mining modus w</w:t>
      </w:r>
      <w:r w:rsidR="002F7856">
        <w:rPr>
          <w:rFonts w:cs="Arial"/>
          <w:szCs w:val="24"/>
          <w:lang w:val="en-ZA"/>
        </w:rPr>
        <w:t>ould t</w:t>
      </w:r>
      <w:r w:rsidR="00BD3A56" w:rsidRPr="008A132B">
        <w:rPr>
          <w:rFonts w:cs="Arial"/>
          <w:szCs w:val="24"/>
          <w:lang w:val="en-ZA"/>
        </w:rPr>
        <w:t xml:space="preserve">herefore </w:t>
      </w:r>
      <w:r w:rsidR="002F7856">
        <w:rPr>
          <w:rFonts w:cs="Arial"/>
          <w:szCs w:val="24"/>
          <w:lang w:val="en-ZA"/>
        </w:rPr>
        <w:t xml:space="preserve">not be </w:t>
      </w:r>
      <w:r w:rsidR="00BD3A56" w:rsidRPr="008A132B">
        <w:rPr>
          <w:rFonts w:cs="Arial"/>
          <w:szCs w:val="24"/>
          <w:lang w:val="en-ZA"/>
        </w:rPr>
        <w:t>dissimilar</w:t>
      </w:r>
      <w:r w:rsidR="002F7856">
        <w:rPr>
          <w:rFonts w:cs="Arial"/>
          <w:szCs w:val="24"/>
          <w:lang w:val="en-ZA"/>
        </w:rPr>
        <w:t xml:space="preserve"> to what has occurred before</w:t>
      </w:r>
      <w:r w:rsidR="00BD3A56" w:rsidRPr="008A132B">
        <w:rPr>
          <w:rFonts w:cs="Arial"/>
          <w:szCs w:val="24"/>
          <w:lang w:val="en-ZA"/>
        </w:rPr>
        <w:t>.</w:t>
      </w:r>
    </w:p>
    <w:p w14:paraId="5BE19EFA" w14:textId="77777777" w:rsidR="002F7856" w:rsidRDefault="002F7856" w:rsidP="002F7856">
      <w:pPr>
        <w:pStyle w:val="ListParagraph"/>
      </w:pPr>
    </w:p>
    <w:p w14:paraId="7CA6E7AF" w14:textId="5820AE61" w:rsidR="00A14EB0" w:rsidRPr="008A132B" w:rsidRDefault="006D79CC" w:rsidP="006D79CC">
      <w:pPr>
        <w:pStyle w:val="2"/>
        <w:numPr>
          <w:ilvl w:val="0"/>
          <w:numId w:val="0"/>
        </w:numPr>
        <w:spacing w:before="0" w:line="360" w:lineRule="auto"/>
      </w:pPr>
      <w:r w:rsidRPr="008A132B">
        <w:rPr>
          <w:rFonts w:cs="Arial"/>
          <w:iCs w:val="0"/>
          <w:szCs w:val="24"/>
        </w:rPr>
        <w:t>[92]</w:t>
      </w:r>
      <w:r w:rsidRPr="008A132B">
        <w:rPr>
          <w:rFonts w:cs="Arial"/>
          <w:iCs w:val="0"/>
          <w:szCs w:val="24"/>
        </w:rPr>
        <w:tab/>
      </w:r>
      <w:r w:rsidR="00A14EB0" w:rsidRPr="0018306A">
        <w:rPr>
          <w:lang w:val="en-ZA"/>
        </w:rPr>
        <w:t>I am not persuaded</w:t>
      </w:r>
      <w:r w:rsidR="00C84744">
        <w:rPr>
          <w:lang w:val="en-ZA"/>
        </w:rPr>
        <w:t xml:space="preserve"> </w:t>
      </w:r>
      <w:r w:rsidR="00A14EB0" w:rsidRPr="0018306A">
        <w:rPr>
          <w:lang w:val="en-ZA"/>
        </w:rPr>
        <w:t>that the applicants ha</w:t>
      </w:r>
      <w:r w:rsidR="00A14EB0">
        <w:rPr>
          <w:lang w:val="en-ZA"/>
        </w:rPr>
        <w:t>ve</w:t>
      </w:r>
      <w:r w:rsidR="00A14EB0" w:rsidRPr="0018306A">
        <w:rPr>
          <w:lang w:val="en-ZA"/>
        </w:rPr>
        <w:t xml:space="preserve"> as a matter of law established a </w:t>
      </w:r>
      <w:r w:rsidR="00A14EB0" w:rsidRPr="00A14EB0">
        <w:rPr>
          <w:i/>
          <w:iCs w:val="0"/>
          <w:lang w:val="en-ZA"/>
        </w:rPr>
        <w:t>prima facie</w:t>
      </w:r>
      <w:r w:rsidR="00A14EB0" w:rsidRPr="0018306A">
        <w:rPr>
          <w:lang w:val="en-ZA"/>
        </w:rPr>
        <w:t xml:space="preserve"> right that Tendele was </w:t>
      </w:r>
      <w:r w:rsidR="00A14EB0" w:rsidRPr="00A14EB0">
        <w:rPr>
          <w:szCs w:val="24"/>
          <w:lang w:val="en-ZA"/>
        </w:rPr>
        <w:t xml:space="preserve">prohibited by the judgment from undertaking the </w:t>
      </w:r>
      <w:r w:rsidR="00A14EB0" w:rsidRPr="00A14EB0">
        <w:rPr>
          <w:szCs w:val="24"/>
          <w:lang w:val="en-ZA"/>
        </w:rPr>
        <w:lastRenderedPageBreak/>
        <w:t xml:space="preserve">work foreshadowed in the three letters, before the Minister would reconsider the appeal. </w:t>
      </w:r>
    </w:p>
    <w:p w14:paraId="47F4671D" w14:textId="77777777" w:rsidR="00D54836" w:rsidRPr="008A132B" w:rsidRDefault="00D54836" w:rsidP="00CC12CF">
      <w:pPr>
        <w:spacing w:line="360" w:lineRule="auto"/>
        <w:jc w:val="both"/>
      </w:pPr>
    </w:p>
    <w:p w14:paraId="44492DF9" w14:textId="1142E7CD" w:rsidR="00D54836" w:rsidRPr="004505F3" w:rsidRDefault="009A5773" w:rsidP="00CC12CF">
      <w:pPr>
        <w:spacing w:line="360" w:lineRule="auto"/>
        <w:jc w:val="both"/>
        <w:rPr>
          <w:b/>
          <w:bCs/>
          <w:i/>
        </w:rPr>
      </w:pPr>
      <w:r w:rsidRPr="004505F3">
        <w:rPr>
          <w:b/>
          <w:bCs/>
          <w:i/>
        </w:rPr>
        <w:t>Alleged n</w:t>
      </w:r>
      <w:r w:rsidR="00D54836" w:rsidRPr="004505F3">
        <w:rPr>
          <w:b/>
          <w:bCs/>
          <w:i/>
        </w:rPr>
        <w:t>on-compliance with other statutory requirements.</w:t>
      </w:r>
    </w:p>
    <w:p w14:paraId="7E488AA8" w14:textId="3B20105E" w:rsidR="001A1CB9" w:rsidRPr="008A132B" w:rsidRDefault="006D79CC" w:rsidP="006D79CC">
      <w:pPr>
        <w:spacing w:line="360" w:lineRule="auto"/>
        <w:jc w:val="both"/>
      </w:pPr>
      <w:r w:rsidRPr="008A132B">
        <w:rPr>
          <w:szCs w:val="24"/>
        </w:rPr>
        <w:t>[93]</w:t>
      </w:r>
      <w:r w:rsidRPr="008A132B">
        <w:rPr>
          <w:szCs w:val="24"/>
        </w:rPr>
        <w:tab/>
      </w:r>
      <w:r w:rsidR="00A3469B" w:rsidRPr="008A132B">
        <w:rPr>
          <w:szCs w:val="24"/>
        </w:rPr>
        <w:t>T</w:t>
      </w:r>
      <w:r w:rsidR="00DA0A7D" w:rsidRPr="008A132B">
        <w:rPr>
          <w:szCs w:val="24"/>
        </w:rPr>
        <w:t>he applicants</w:t>
      </w:r>
      <w:r w:rsidR="00D54836" w:rsidRPr="008A132B">
        <w:rPr>
          <w:szCs w:val="24"/>
        </w:rPr>
        <w:t xml:space="preserve"> also</w:t>
      </w:r>
      <w:r w:rsidR="00DA0A7D" w:rsidRPr="008A132B">
        <w:rPr>
          <w:szCs w:val="24"/>
        </w:rPr>
        <w:t xml:space="preserve"> </w:t>
      </w:r>
      <w:r w:rsidR="00A3469B" w:rsidRPr="008A132B">
        <w:rPr>
          <w:szCs w:val="24"/>
        </w:rPr>
        <w:t>argued that separate and independent from the judgment of Bam J</w:t>
      </w:r>
      <w:r w:rsidR="009A5773" w:rsidRPr="008A132B">
        <w:rPr>
          <w:szCs w:val="24"/>
        </w:rPr>
        <w:t>,</w:t>
      </w:r>
      <w:r w:rsidR="00A3469B" w:rsidRPr="008A132B">
        <w:rPr>
          <w:szCs w:val="24"/>
        </w:rPr>
        <w:t xml:space="preserve"> they </w:t>
      </w:r>
      <w:r w:rsidR="00575DA9" w:rsidRPr="008A132B">
        <w:rPr>
          <w:szCs w:val="24"/>
        </w:rPr>
        <w:t xml:space="preserve">have </w:t>
      </w:r>
      <w:r w:rsidR="00DA0A7D" w:rsidRPr="008A132B">
        <w:rPr>
          <w:szCs w:val="24"/>
        </w:rPr>
        <w:t xml:space="preserve">a </w:t>
      </w:r>
      <w:r w:rsidR="00DA0A7D" w:rsidRPr="008A132B">
        <w:rPr>
          <w:i/>
          <w:szCs w:val="24"/>
        </w:rPr>
        <w:t>prima facie</w:t>
      </w:r>
      <w:r w:rsidR="00DA0A7D" w:rsidRPr="008A132B">
        <w:rPr>
          <w:szCs w:val="24"/>
        </w:rPr>
        <w:t xml:space="preserve"> right </w:t>
      </w:r>
      <w:r w:rsidR="00575DA9" w:rsidRPr="008A132B">
        <w:rPr>
          <w:szCs w:val="24"/>
        </w:rPr>
        <w:t xml:space="preserve">to interdict the continuation of mining in the affected areas, as </w:t>
      </w:r>
      <w:r w:rsidR="00A3469B" w:rsidRPr="008A132B">
        <w:rPr>
          <w:szCs w:val="24"/>
        </w:rPr>
        <w:t>Tendele</w:t>
      </w:r>
      <w:r w:rsidR="00575DA9" w:rsidRPr="008A132B">
        <w:rPr>
          <w:szCs w:val="24"/>
        </w:rPr>
        <w:t xml:space="preserve"> has failed </w:t>
      </w:r>
      <w:r w:rsidR="00DA0A7D" w:rsidRPr="008A132B">
        <w:rPr>
          <w:szCs w:val="24"/>
        </w:rPr>
        <w:t xml:space="preserve">to satisfy a number of statutory requirements </w:t>
      </w:r>
      <w:r w:rsidR="00575DA9" w:rsidRPr="008A132B">
        <w:rPr>
          <w:szCs w:val="24"/>
        </w:rPr>
        <w:t xml:space="preserve">which </w:t>
      </w:r>
      <w:r w:rsidR="009A5773" w:rsidRPr="008A132B">
        <w:rPr>
          <w:szCs w:val="24"/>
        </w:rPr>
        <w:t xml:space="preserve">are </w:t>
      </w:r>
      <w:r w:rsidR="00575DA9" w:rsidRPr="008A132B">
        <w:rPr>
          <w:szCs w:val="24"/>
        </w:rPr>
        <w:t xml:space="preserve">required to </w:t>
      </w:r>
      <w:r w:rsidR="009A5773" w:rsidRPr="008A132B">
        <w:rPr>
          <w:szCs w:val="24"/>
        </w:rPr>
        <w:t xml:space="preserve">be complied with </w:t>
      </w:r>
      <w:r w:rsidR="00DA0A7D" w:rsidRPr="008A132B">
        <w:rPr>
          <w:szCs w:val="24"/>
        </w:rPr>
        <w:t>before commencing any mining or related activity</w:t>
      </w:r>
      <w:r w:rsidR="00575DA9" w:rsidRPr="008A132B">
        <w:rPr>
          <w:szCs w:val="24"/>
        </w:rPr>
        <w:t>.</w:t>
      </w:r>
      <w:r w:rsidR="00DA0A7D" w:rsidRPr="008A132B">
        <w:rPr>
          <w:szCs w:val="24"/>
        </w:rPr>
        <w:t xml:space="preserve"> </w:t>
      </w:r>
      <w:r w:rsidR="009A5773" w:rsidRPr="008A132B">
        <w:rPr>
          <w:szCs w:val="24"/>
        </w:rPr>
        <w:t xml:space="preserve">In the main these </w:t>
      </w:r>
      <w:r w:rsidR="00C81310" w:rsidRPr="008A132B">
        <w:rPr>
          <w:szCs w:val="24"/>
        </w:rPr>
        <w:t xml:space="preserve">complaints </w:t>
      </w:r>
      <w:r w:rsidR="009A5773" w:rsidRPr="008A132B">
        <w:rPr>
          <w:szCs w:val="24"/>
        </w:rPr>
        <w:t xml:space="preserve">relate to the requirements of IPILRA and the requirement to consult with interested parties.    </w:t>
      </w:r>
    </w:p>
    <w:p w14:paraId="5A3FCFB4" w14:textId="77777777" w:rsidR="00C81310" w:rsidRPr="008A132B" w:rsidRDefault="00C81310" w:rsidP="00CC12CF">
      <w:pPr>
        <w:spacing w:line="360" w:lineRule="auto"/>
        <w:jc w:val="both"/>
      </w:pPr>
    </w:p>
    <w:p w14:paraId="4C369107" w14:textId="2B782494" w:rsidR="001A1CB9" w:rsidRPr="008A132B" w:rsidRDefault="006D79CC" w:rsidP="006D79CC">
      <w:pPr>
        <w:spacing w:line="360" w:lineRule="auto"/>
        <w:jc w:val="both"/>
      </w:pPr>
      <w:r w:rsidRPr="008A132B">
        <w:rPr>
          <w:szCs w:val="24"/>
        </w:rPr>
        <w:t>[94]</w:t>
      </w:r>
      <w:r w:rsidRPr="008A132B">
        <w:rPr>
          <w:szCs w:val="24"/>
        </w:rPr>
        <w:tab/>
      </w:r>
      <w:r w:rsidR="009A5773" w:rsidRPr="008A132B">
        <w:t xml:space="preserve">The </w:t>
      </w:r>
      <w:r w:rsidR="00D868F3" w:rsidRPr="008A132B">
        <w:t xml:space="preserve">applicants submit that on Tendele’s own version it had not complied with IPILRA, referring also to </w:t>
      </w:r>
      <w:r w:rsidR="00A754A8" w:rsidRPr="008A132B">
        <w:t xml:space="preserve">the </w:t>
      </w:r>
      <w:r w:rsidR="00D868F3" w:rsidRPr="008A132B">
        <w:t>findings made by Bam J</w:t>
      </w:r>
      <w:r w:rsidR="00C81310" w:rsidRPr="008A132B">
        <w:t>,</w:t>
      </w:r>
      <w:r w:rsidR="00D868F3" w:rsidRPr="008A132B">
        <w:t xml:space="preserve"> specifically that she found that there was no evidence to support that the applicants were lawfully deprived of their informal rights in terms of IPILRA</w:t>
      </w:r>
      <w:r w:rsidR="00A754A8" w:rsidRPr="008A132B">
        <w:t>,</w:t>
      </w:r>
      <w:r w:rsidR="00D868F3" w:rsidRPr="008A132B">
        <w:t xml:space="preserve"> as ‘[i</w:t>
      </w:r>
      <w:r w:rsidR="009D28F7" w:rsidRPr="008A132B">
        <w:t>]</w:t>
      </w:r>
      <w:r w:rsidR="00D868F3" w:rsidRPr="008A132B">
        <w:t>n all, Tendele did not obtain consent as e</w:t>
      </w:r>
      <w:r w:rsidR="00015A16" w:rsidRPr="008A132B">
        <w:t>nvisaged in section 2 of IPILRA’.</w:t>
      </w:r>
      <w:r w:rsidR="00015A16" w:rsidRPr="008A132B">
        <w:rPr>
          <w:rStyle w:val="FootnoteReference"/>
        </w:rPr>
        <w:footnoteReference w:id="95"/>
      </w:r>
      <w:r w:rsidR="00D868F3" w:rsidRPr="008A132B">
        <w:t xml:space="preserve">  They also stressed that invitations to participate in IPILRA meetings were only delivered to homesteads identified to be within the ZOI, that is within a 1000 meter radius of the mining pits, and that this excluded a large part of the affected </w:t>
      </w:r>
      <w:r w:rsidR="00FA2A73" w:rsidRPr="008A132B">
        <w:t>local community as defined in</w:t>
      </w:r>
      <w:r w:rsidR="00C81310" w:rsidRPr="008A132B">
        <w:t>,</w:t>
      </w:r>
      <w:r w:rsidR="00FA2A73" w:rsidRPr="008A132B">
        <w:t xml:space="preserve"> amongst others</w:t>
      </w:r>
      <w:r w:rsidR="00C81310" w:rsidRPr="008A132B">
        <w:t>,</w:t>
      </w:r>
      <w:r w:rsidR="00FA2A73" w:rsidRPr="008A132B">
        <w:t xml:space="preserve"> </w:t>
      </w:r>
      <w:r w:rsidR="00FA2A73" w:rsidRPr="008A132B">
        <w:rPr>
          <w:i/>
          <w:iCs/>
        </w:rPr>
        <w:t>Sustaining the Wild Coast NPC v Minister of Mineral Resources and Energy</w:t>
      </w:r>
      <w:r w:rsidR="00FA2A73" w:rsidRPr="008A132B">
        <w:rPr>
          <w:iCs/>
        </w:rPr>
        <w:t>,</w:t>
      </w:r>
      <w:r w:rsidR="00FA2A73" w:rsidRPr="008A132B">
        <w:rPr>
          <w:rStyle w:val="FootnoteReference"/>
          <w:iCs/>
        </w:rPr>
        <w:footnoteReference w:id="96"/>
      </w:r>
      <w:r w:rsidR="00FA2A73" w:rsidRPr="008A132B">
        <w:t xml:space="preserve"> and thus fell foul of the MPRDA definition. The applicants were also critical, in respect of those </w:t>
      </w:r>
      <w:r w:rsidR="00A754A8" w:rsidRPr="008A132B">
        <w:t xml:space="preserve">members of the community </w:t>
      </w:r>
      <w:r w:rsidR="00FA2A73" w:rsidRPr="008A132B">
        <w:t xml:space="preserve">who might have consented, whether </w:t>
      </w:r>
      <w:r w:rsidR="00A754A8" w:rsidRPr="008A132B">
        <w:t xml:space="preserve">their consent </w:t>
      </w:r>
      <w:r w:rsidR="00FA2A73" w:rsidRPr="008A132B">
        <w:t>could be informed consent</w:t>
      </w:r>
      <w:r w:rsidR="00C81310" w:rsidRPr="008A132B">
        <w:t>,</w:t>
      </w:r>
      <w:r w:rsidR="00FA2A73" w:rsidRPr="008A132B">
        <w:t xml:space="preserve"> unless the studies were all available, and details had been made available</w:t>
      </w:r>
      <w:r w:rsidR="00A754A8" w:rsidRPr="008A132B">
        <w:t>,</w:t>
      </w:r>
      <w:r w:rsidR="00FA2A73" w:rsidRPr="008A132B">
        <w:t xml:space="preserve"> so the affected members of the community would know what they </w:t>
      </w:r>
      <w:r w:rsidR="00C81310" w:rsidRPr="008A132B">
        <w:t xml:space="preserve">were </w:t>
      </w:r>
      <w:r w:rsidR="00FA2A73" w:rsidRPr="008A132B">
        <w:t xml:space="preserve">consenting to. There were also criticisms </w:t>
      </w:r>
      <w:r w:rsidR="00E14110" w:rsidRPr="008A132B">
        <w:t>that the meetings for compensation did not mention compensation for the loss of water use and some other benefits.</w:t>
      </w:r>
      <w:r w:rsidR="00FA2A73" w:rsidRPr="008A132B">
        <w:t xml:space="preserve">  </w:t>
      </w:r>
    </w:p>
    <w:p w14:paraId="04DD6CB8" w14:textId="33ADEF1D" w:rsidR="00FA2A73" w:rsidRPr="005B78A1" w:rsidRDefault="00FA2A73" w:rsidP="005B78A1">
      <w:pPr>
        <w:spacing w:line="360" w:lineRule="auto"/>
        <w:jc w:val="both"/>
        <w:rPr>
          <w:highlight w:val="yellow"/>
        </w:rPr>
      </w:pPr>
    </w:p>
    <w:p w14:paraId="0D519236" w14:textId="2B99199B" w:rsidR="00A754A8" w:rsidRPr="008A132B" w:rsidRDefault="006D79CC" w:rsidP="006D79CC">
      <w:pPr>
        <w:spacing w:line="360" w:lineRule="auto"/>
        <w:jc w:val="both"/>
      </w:pPr>
      <w:r w:rsidRPr="008A132B">
        <w:rPr>
          <w:szCs w:val="24"/>
        </w:rPr>
        <w:t>[95]</w:t>
      </w:r>
      <w:r w:rsidRPr="008A132B">
        <w:rPr>
          <w:szCs w:val="24"/>
        </w:rPr>
        <w:tab/>
      </w:r>
      <w:r w:rsidR="00E14110" w:rsidRPr="008A132B">
        <w:t>In my view these requirements do not stand se</w:t>
      </w:r>
      <w:r w:rsidR="009D28F7" w:rsidRPr="008A132B">
        <w:t>parate from the judgment of Bam </w:t>
      </w:r>
      <w:r w:rsidR="00E14110" w:rsidRPr="008A132B">
        <w:t>J. The issue of compliance with the provisions of IPILRA, important as they are, and the deficien</w:t>
      </w:r>
      <w:r w:rsidR="00C81310" w:rsidRPr="008A132B">
        <w:t xml:space="preserve">cies in the </w:t>
      </w:r>
      <w:r w:rsidR="00E14110" w:rsidRPr="008A132B">
        <w:t>consultation process</w:t>
      </w:r>
      <w:r w:rsidR="00C81310" w:rsidRPr="008A132B">
        <w:t>, formed part of and</w:t>
      </w:r>
      <w:r w:rsidR="00E14110" w:rsidRPr="008A132B">
        <w:t xml:space="preserve"> were </w:t>
      </w:r>
      <w:r w:rsidR="00C81310" w:rsidRPr="008A132B">
        <w:t xml:space="preserve">encompassed in the judgment of </w:t>
      </w:r>
      <w:r w:rsidR="00E14110" w:rsidRPr="008A132B">
        <w:t>Bam J</w:t>
      </w:r>
      <w:r w:rsidR="00FE07C4" w:rsidRPr="008A132B">
        <w:t xml:space="preserve">. These were decided separately </w:t>
      </w:r>
      <w:r w:rsidR="00E14110" w:rsidRPr="008A132B">
        <w:t xml:space="preserve">from the </w:t>
      </w:r>
      <w:r w:rsidR="00E14110" w:rsidRPr="008A132B">
        <w:lastRenderedPageBreak/>
        <w:t xml:space="preserve">other deficiencies in the mining right process which </w:t>
      </w:r>
      <w:r w:rsidR="00FE07C4" w:rsidRPr="008A132B">
        <w:t xml:space="preserve">were </w:t>
      </w:r>
      <w:r w:rsidR="00E14110" w:rsidRPr="008A132B">
        <w:t xml:space="preserve">conceded </w:t>
      </w:r>
      <w:r w:rsidR="00FE07C4" w:rsidRPr="008A132B">
        <w:t xml:space="preserve">to have </w:t>
      </w:r>
      <w:r w:rsidR="00E14110" w:rsidRPr="008A132B">
        <w:t xml:space="preserve">rendered the decisions invalid. Bam J </w:t>
      </w:r>
      <w:r w:rsidR="00FE07C4" w:rsidRPr="008A132B">
        <w:t xml:space="preserve">held </w:t>
      </w:r>
      <w:r w:rsidR="00E14110" w:rsidRPr="008A132B">
        <w:t>that</w:t>
      </w:r>
      <w:r w:rsidR="00A754A8" w:rsidRPr="008A132B">
        <w:t>:</w:t>
      </w:r>
    </w:p>
    <w:p w14:paraId="4B0B40AC" w14:textId="508826E5" w:rsidR="00FE07C4" w:rsidRPr="008A132B" w:rsidRDefault="00E14110" w:rsidP="00CC12CF">
      <w:pPr>
        <w:spacing w:line="360" w:lineRule="auto"/>
        <w:jc w:val="both"/>
        <w:rPr>
          <w:sz w:val="22"/>
          <w:szCs w:val="22"/>
        </w:rPr>
      </w:pPr>
      <w:r w:rsidRPr="008A132B">
        <w:rPr>
          <w:sz w:val="22"/>
          <w:szCs w:val="22"/>
        </w:rPr>
        <w:t>‘Tendele did not obtain the consent as envisaged in section 2 of IPILRA. This ground therefore succeeds.’</w:t>
      </w:r>
      <w:r w:rsidR="00D84CAC" w:rsidRPr="008A132B">
        <w:rPr>
          <w:rStyle w:val="FootnoteReference"/>
          <w:sz w:val="22"/>
          <w:szCs w:val="22"/>
        </w:rPr>
        <w:footnoteReference w:id="97"/>
      </w:r>
      <w:r w:rsidRPr="008A132B">
        <w:rPr>
          <w:sz w:val="22"/>
          <w:szCs w:val="22"/>
        </w:rPr>
        <w:t xml:space="preserve"> </w:t>
      </w:r>
    </w:p>
    <w:p w14:paraId="09BCF096" w14:textId="77777777" w:rsidR="00FE07C4" w:rsidRPr="008A132B" w:rsidRDefault="00FE07C4" w:rsidP="00CC12CF">
      <w:pPr>
        <w:pStyle w:val="ListParagraph"/>
        <w:spacing w:line="360" w:lineRule="auto"/>
        <w:jc w:val="both"/>
      </w:pPr>
    </w:p>
    <w:p w14:paraId="0DD08F55" w14:textId="18666764" w:rsidR="002D46ED" w:rsidRPr="008A132B" w:rsidRDefault="006D79CC" w:rsidP="006D79CC">
      <w:pPr>
        <w:spacing w:line="360" w:lineRule="auto"/>
        <w:jc w:val="both"/>
      </w:pPr>
      <w:r w:rsidRPr="008A132B">
        <w:rPr>
          <w:szCs w:val="24"/>
        </w:rPr>
        <w:t>[96]</w:t>
      </w:r>
      <w:r w:rsidRPr="008A132B">
        <w:rPr>
          <w:szCs w:val="24"/>
        </w:rPr>
        <w:tab/>
      </w:r>
      <w:r w:rsidR="00E14110" w:rsidRPr="008A132B">
        <w:t>In regard to the public participation process and scoping Bam J concluded ‘that Tendele had flouted the law with regard to public participation . . .’</w:t>
      </w:r>
      <w:r w:rsidR="00D84CAC" w:rsidRPr="008A132B">
        <w:rPr>
          <w:rStyle w:val="FootnoteReference"/>
        </w:rPr>
        <w:footnoteReference w:id="98"/>
      </w:r>
      <w:r w:rsidR="00E14110" w:rsidRPr="008A132B">
        <w:t xml:space="preserve"> Her order specifically contain</w:t>
      </w:r>
      <w:r w:rsidR="005B78A1">
        <w:t xml:space="preserve">s </w:t>
      </w:r>
      <w:r w:rsidR="00E14110" w:rsidRPr="008A132B">
        <w:t xml:space="preserve">directions, to apply to the remitted appeal, </w:t>
      </w:r>
      <w:r w:rsidR="002D46ED" w:rsidRPr="008A132B">
        <w:t>‘</w:t>
      </w:r>
      <w:r w:rsidR="00E14110" w:rsidRPr="008A132B">
        <w:t xml:space="preserve">to ensure that the public participation process </w:t>
      </w:r>
      <w:r w:rsidR="002D46ED" w:rsidRPr="008A132B">
        <w:t xml:space="preserve">to be conducted pursuant to the Minister’s determination of the appeal process’ would comply with the requirements of the Public Participation Guidelines in terms of the </w:t>
      </w:r>
      <w:r w:rsidR="00D84CAC" w:rsidRPr="008A132B">
        <w:t>NEMA</w:t>
      </w:r>
      <w:r w:rsidR="002D46ED" w:rsidRPr="008A132B">
        <w:t xml:space="preserve"> and chapter 6 of the Environmental Impact Assessment Regulations. </w:t>
      </w:r>
    </w:p>
    <w:p w14:paraId="15175F76" w14:textId="77777777" w:rsidR="002D46ED" w:rsidRPr="008A132B" w:rsidRDefault="002D46ED" w:rsidP="00CC12CF">
      <w:pPr>
        <w:pStyle w:val="ListParagraph"/>
        <w:spacing w:line="360" w:lineRule="auto"/>
        <w:jc w:val="both"/>
      </w:pPr>
    </w:p>
    <w:p w14:paraId="5052C55E" w14:textId="582ED9CD" w:rsidR="00FA2A73" w:rsidRPr="008A132B" w:rsidRDefault="006D79CC" w:rsidP="006D79CC">
      <w:pPr>
        <w:spacing w:line="360" w:lineRule="auto"/>
        <w:jc w:val="both"/>
      </w:pPr>
      <w:r w:rsidRPr="008A132B">
        <w:rPr>
          <w:szCs w:val="24"/>
        </w:rPr>
        <w:t>[97]</w:t>
      </w:r>
      <w:r w:rsidRPr="008A132B">
        <w:rPr>
          <w:szCs w:val="24"/>
        </w:rPr>
        <w:tab/>
      </w:r>
      <w:r w:rsidR="002D46ED" w:rsidRPr="008A132B">
        <w:t xml:space="preserve">As regards IPILRA and compensation, no </w:t>
      </w:r>
      <w:r w:rsidR="00A754A8" w:rsidRPr="008A132B">
        <w:t xml:space="preserve">individual </w:t>
      </w:r>
      <w:r w:rsidR="002D46ED" w:rsidRPr="008A132B">
        <w:t xml:space="preserve">community member can be compelled to relocate, without </w:t>
      </w:r>
      <w:r w:rsidR="00A754A8" w:rsidRPr="008A132B">
        <w:t xml:space="preserve">such member having </w:t>
      </w:r>
      <w:r w:rsidR="002D46ED" w:rsidRPr="008A132B">
        <w:t>consent</w:t>
      </w:r>
      <w:r w:rsidR="00A754A8" w:rsidRPr="008A132B">
        <w:t>ed</w:t>
      </w:r>
      <w:r w:rsidR="002D46ED" w:rsidRPr="008A132B">
        <w:t xml:space="preserve">, and such consent will undoubtedly be informed by the compensation offered. Tendele </w:t>
      </w:r>
      <w:r w:rsidR="004648CF">
        <w:t xml:space="preserve">alleges </w:t>
      </w:r>
      <w:r w:rsidR="002D46ED" w:rsidRPr="008A132B">
        <w:t>that the majority of possibly affected families have consented.</w:t>
      </w:r>
      <w:r w:rsidR="00EA336C" w:rsidRPr="008A132B">
        <w:t xml:space="preserve"> If </w:t>
      </w:r>
      <w:r w:rsidR="00FE07C4" w:rsidRPr="008A132B">
        <w:t xml:space="preserve">a particular </w:t>
      </w:r>
      <w:r w:rsidR="00EA336C" w:rsidRPr="008A132B">
        <w:t>individual occupier</w:t>
      </w:r>
      <w:r w:rsidR="00FE07C4" w:rsidRPr="008A132B">
        <w:t xml:space="preserve"> has </w:t>
      </w:r>
      <w:r w:rsidR="00EA336C" w:rsidRPr="008A132B">
        <w:t xml:space="preserve">not consented, then </w:t>
      </w:r>
      <w:r w:rsidR="00FE07C4" w:rsidRPr="008A132B">
        <w:t xml:space="preserve">he/she </w:t>
      </w:r>
      <w:r w:rsidR="00EA336C" w:rsidRPr="008A132B">
        <w:t>cannot be removed. The position of each much be decided on their own preferences</w:t>
      </w:r>
      <w:r w:rsidR="00FE07C4" w:rsidRPr="008A132B">
        <w:t xml:space="preserve">, </w:t>
      </w:r>
      <w:r w:rsidR="00EA336C" w:rsidRPr="008A132B">
        <w:t>choices</w:t>
      </w:r>
      <w:r w:rsidR="00FE07C4" w:rsidRPr="008A132B">
        <w:t xml:space="preserve"> and the merits</w:t>
      </w:r>
      <w:r w:rsidR="00EA336C" w:rsidRPr="008A132B">
        <w:t>. As I understand the judgment of Bam J, this requirement was also to be resolved during the appeal process</w:t>
      </w:r>
      <w:r w:rsidR="005B78A1">
        <w:t xml:space="preserve">. </w:t>
      </w:r>
    </w:p>
    <w:p w14:paraId="1C0B4E44" w14:textId="77777777" w:rsidR="00FA2A73" w:rsidRPr="008A132B" w:rsidRDefault="00FA2A73" w:rsidP="00CC12CF">
      <w:pPr>
        <w:spacing w:line="360" w:lineRule="auto"/>
        <w:jc w:val="both"/>
      </w:pPr>
    </w:p>
    <w:p w14:paraId="3A898628" w14:textId="30BCDB1E" w:rsidR="00D54836" w:rsidRPr="008A132B" w:rsidRDefault="006D79CC" w:rsidP="006D79CC">
      <w:pPr>
        <w:spacing w:line="360" w:lineRule="auto"/>
        <w:jc w:val="both"/>
      </w:pPr>
      <w:r w:rsidRPr="008A132B">
        <w:rPr>
          <w:szCs w:val="24"/>
        </w:rPr>
        <w:t>[98]</w:t>
      </w:r>
      <w:r w:rsidRPr="008A132B">
        <w:rPr>
          <w:szCs w:val="24"/>
        </w:rPr>
        <w:tab/>
      </w:r>
      <w:r w:rsidR="00EA336C" w:rsidRPr="008A132B">
        <w:t xml:space="preserve">I am unable to conclude, even at a </w:t>
      </w:r>
      <w:r w:rsidR="00EA336C" w:rsidRPr="008A132B">
        <w:rPr>
          <w:i/>
        </w:rPr>
        <w:t>prima facie</w:t>
      </w:r>
      <w:r w:rsidR="00EA336C" w:rsidRPr="008A132B">
        <w:t xml:space="preserve"> level</w:t>
      </w:r>
      <w:r w:rsidR="004648CF">
        <w:t xml:space="preserve">, </w:t>
      </w:r>
      <w:r w:rsidR="00EA336C" w:rsidRPr="008A132B">
        <w:t xml:space="preserve">that these requirements stand separate and distinct from the </w:t>
      </w:r>
      <w:r w:rsidR="002C5DEC">
        <w:t xml:space="preserve">subject matter of </w:t>
      </w:r>
      <w:r w:rsidR="00EA336C" w:rsidRPr="008A132B">
        <w:t>Bam J</w:t>
      </w:r>
      <w:r w:rsidR="002C5DEC">
        <w:t>’s judgment</w:t>
      </w:r>
      <w:r w:rsidR="00EA336C" w:rsidRPr="008A132B">
        <w:t xml:space="preserve">. They must fall </w:t>
      </w:r>
      <w:r w:rsidR="0074290B" w:rsidRPr="008A132B">
        <w:t xml:space="preserve">together </w:t>
      </w:r>
      <w:r w:rsidR="00EA336C" w:rsidRPr="008A132B">
        <w:t>with the conclusion I have reached</w:t>
      </w:r>
      <w:r w:rsidR="0074290B" w:rsidRPr="008A132B">
        <w:t xml:space="preserve"> </w:t>
      </w:r>
      <w:r w:rsidR="002C5DEC">
        <w:t xml:space="preserve">earlier </w:t>
      </w:r>
      <w:r w:rsidR="004648CF">
        <w:t>regarding the interpretation of the judgment</w:t>
      </w:r>
      <w:r w:rsidR="002C5DEC">
        <w:t xml:space="preserve">. </w:t>
      </w:r>
    </w:p>
    <w:p w14:paraId="318D62FC" w14:textId="77777777" w:rsidR="00D54836" w:rsidRPr="008A132B" w:rsidRDefault="00D54836" w:rsidP="00CC12CF">
      <w:pPr>
        <w:spacing w:line="360" w:lineRule="auto"/>
        <w:jc w:val="both"/>
      </w:pPr>
    </w:p>
    <w:p w14:paraId="4779DD38" w14:textId="6E5F3523" w:rsidR="000C51A8" w:rsidRPr="008A132B" w:rsidRDefault="00D54836" w:rsidP="00CC12CF">
      <w:pPr>
        <w:spacing w:line="360" w:lineRule="auto"/>
        <w:jc w:val="both"/>
        <w:rPr>
          <w:b/>
          <w:bCs/>
          <w:szCs w:val="24"/>
        </w:rPr>
      </w:pPr>
      <w:r w:rsidRPr="008A132B">
        <w:rPr>
          <w:b/>
          <w:bCs/>
          <w:szCs w:val="24"/>
        </w:rPr>
        <w:t xml:space="preserve">An alternative satisfactory remedy </w:t>
      </w:r>
      <w:r w:rsidR="00CC12CF" w:rsidRPr="008A132B">
        <w:rPr>
          <w:b/>
          <w:bCs/>
          <w:szCs w:val="24"/>
        </w:rPr>
        <w:t>–</w:t>
      </w:r>
      <w:r w:rsidR="00FE07C4" w:rsidRPr="008A132B">
        <w:rPr>
          <w:b/>
          <w:bCs/>
          <w:szCs w:val="24"/>
        </w:rPr>
        <w:t xml:space="preserve"> </w:t>
      </w:r>
      <w:r w:rsidRPr="008A132B">
        <w:rPr>
          <w:b/>
          <w:bCs/>
          <w:szCs w:val="24"/>
        </w:rPr>
        <w:t>applying</w:t>
      </w:r>
      <w:r w:rsidR="00CC12CF" w:rsidRPr="008A132B">
        <w:rPr>
          <w:b/>
          <w:bCs/>
          <w:szCs w:val="24"/>
        </w:rPr>
        <w:t xml:space="preserve"> </w:t>
      </w:r>
      <w:r w:rsidRPr="008A132B">
        <w:rPr>
          <w:b/>
          <w:bCs/>
          <w:szCs w:val="24"/>
        </w:rPr>
        <w:t>for the decisions to be suspended</w:t>
      </w:r>
    </w:p>
    <w:p w14:paraId="2DCD9804" w14:textId="43550C12" w:rsidR="000C51A8" w:rsidRPr="008A132B" w:rsidRDefault="006D79CC" w:rsidP="006D79CC">
      <w:pPr>
        <w:spacing w:line="360" w:lineRule="auto"/>
        <w:jc w:val="both"/>
      </w:pPr>
      <w:r w:rsidRPr="008A132B">
        <w:rPr>
          <w:szCs w:val="24"/>
        </w:rPr>
        <w:t>[99]</w:t>
      </w:r>
      <w:r w:rsidRPr="008A132B">
        <w:rPr>
          <w:szCs w:val="24"/>
        </w:rPr>
        <w:tab/>
      </w:r>
      <w:r w:rsidR="005B78A1" w:rsidRPr="005B78A1">
        <w:t>In the light of the conclusion to which I have come that a prima facie right was not established, the other requirements for an interdict assume subsidiary importance.</w:t>
      </w:r>
      <w:r w:rsidR="005B78A1">
        <w:t xml:space="preserve"> </w:t>
      </w:r>
      <w:r w:rsidR="00F31BA6" w:rsidRPr="008A132B">
        <w:t>I however de</w:t>
      </w:r>
      <w:r w:rsidR="006E772F" w:rsidRPr="008A132B">
        <w:t>al</w:t>
      </w:r>
      <w:r w:rsidR="00F31BA6" w:rsidRPr="008A132B">
        <w:t xml:space="preserve"> briefly with the issue whether the applicants have an alternative satisfactory remedy.</w:t>
      </w:r>
    </w:p>
    <w:p w14:paraId="529C5E81" w14:textId="77777777" w:rsidR="00F31BA6" w:rsidRPr="008A132B" w:rsidRDefault="00F31BA6" w:rsidP="00CC12CF">
      <w:pPr>
        <w:spacing w:line="360" w:lineRule="auto"/>
        <w:jc w:val="both"/>
      </w:pPr>
    </w:p>
    <w:p w14:paraId="05C3C7D0" w14:textId="502C01FC" w:rsidR="00D54836" w:rsidRPr="008A132B" w:rsidRDefault="006D79CC" w:rsidP="006D79CC">
      <w:pPr>
        <w:spacing w:line="360" w:lineRule="auto"/>
        <w:jc w:val="both"/>
      </w:pPr>
      <w:r w:rsidRPr="008A132B">
        <w:rPr>
          <w:szCs w:val="24"/>
        </w:rPr>
        <w:t>[100]</w:t>
      </w:r>
      <w:r w:rsidRPr="008A132B">
        <w:rPr>
          <w:szCs w:val="24"/>
        </w:rPr>
        <w:tab/>
      </w:r>
      <w:r w:rsidR="00D54836" w:rsidRPr="008A132B">
        <w:rPr>
          <w:szCs w:val="24"/>
        </w:rPr>
        <w:t xml:space="preserve">An applicant for an interim interdict must demonstrate that </w:t>
      </w:r>
      <w:r w:rsidR="004648CF">
        <w:rPr>
          <w:szCs w:val="24"/>
        </w:rPr>
        <w:t xml:space="preserve">it has </w:t>
      </w:r>
      <w:r w:rsidR="00D54836" w:rsidRPr="008A132B">
        <w:rPr>
          <w:szCs w:val="24"/>
        </w:rPr>
        <w:t>no other satisfactory remedy.</w:t>
      </w:r>
      <w:r w:rsidR="00D54836" w:rsidRPr="008A132B">
        <w:rPr>
          <w:rStyle w:val="FootnoteReference"/>
          <w:szCs w:val="24"/>
        </w:rPr>
        <w:footnoteReference w:id="99"/>
      </w:r>
      <w:r w:rsidR="00C129F3" w:rsidRPr="008A132B">
        <w:rPr>
          <w:szCs w:val="24"/>
        </w:rPr>
        <w:t xml:space="preserve"> </w:t>
      </w:r>
      <w:r w:rsidR="001E4C92" w:rsidRPr="008A132B">
        <w:rPr>
          <w:szCs w:val="24"/>
        </w:rPr>
        <w:t xml:space="preserve">The </w:t>
      </w:r>
      <w:r w:rsidR="00D54836" w:rsidRPr="008A132B">
        <w:rPr>
          <w:szCs w:val="24"/>
        </w:rPr>
        <w:t xml:space="preserve">Constitutional Court </w:t>
      </w:r>
      <w:r w:rsidR="001E4C92" w:rsidRPr="008A132B">
        <w:rPr>
          <w:szCs w:val="24"/>
        </w:rPr>
        <w:t xml:space="preserve">held </w:t>
      </w:r>
      <w:r w:rsidR="00D54836" w:rsidRPr="008A132B">
        <w:rPr>
          <w:szCs w:val="24"/>
        </w:rPr>
        <w:t xml:space="preserve">in </w:t>
      </w:r>
      <w:r w:rsidR="00F83993" w:rsidRPr="008A132B">
        <w:rPr>
          <w:i/>
          <w:szCs w:val="24"/>
        </w:rPr>
        <w:t>Eskom v</w:t>
      </w:r>
      <w:r w:rsidR="00F83993" w:rsidRPr="008A132B">
        <w:rPr>
          <w:szCs w:val="24"/>
        </w:rPr>
        <w:t xml:space="preserve"> </w:t>
      </w:r>
      <w:r w:rsidR="00D54836" w:rsidRPr="008A132B">
        <w:rPr>
          <w:i/>
          <w:szCs w:val="24"/>
        </w:rPr>
        <w:t>Vaal River Development Association</w:t>
      </w:r>
      <w:r w:rsidR="001E4C92" w:rsidRPr="008A132B">
        <w:rPr>
          <w:iCs/>
          <w:szCs w:val="24"/>
        </w:rPr>
        <w:t xml:space="preserve"> that</w:t>
      </w:r>
      <w:r w:rsidR="00D54836" w:rsidRPr="008A132B">
        <w:rPr>
          <w:szCs w:val="24"/>
        </w:rPr>
        <w:t xml:space="preserve">: </w:t>
      </w:r>
    </w:p>
    <w:p w14:paraId="47EFE266" w14:textId="01B67147" w:rsidR="000C51A8" w:rsidRPr="008A132B" w:rsidRDefault="00D54836" w:rsidP="00F83993">
      <w:pPr>
        <w:pStyle w:val="2"/>
        <w:numPr>
          <w:ilvl w:val="0"/>
          <w:numId w:val="0"/>
        </w:numPr>
        <w:spacing w:before="0" w:line="360" w:lineRule="auto"/>
        <w:rPr>
          <w:rFonts w:cs="Arial"/>
          <w:szCs w:val="24"/>
          <w:lang w:val="en-ZA"/>
        </w:rPr>
      </w:pPr>
      <w:r w:rsidRPr="008A132B">
        <w:rPr>
          <w:rFonts w:cs="Arial"/>
          <w:sz w:val="22"/>
          <w:lang w:val="en-ZA"/>
        </w:rPr>
        <w:t>‘an applicant for an interim interdict must show that there is no other satisfactory</w:t>
      </w:r>
      <w:r w:rsidRPr="008A132B">
        <w:rPr>
          <w:rFonts w:cs="Arial"/>
          <w:i/>
          <w:iCs w:val="0"/>
          <w:szCs w:val="24"/>
          <w:lang w:val="en-ZA"/>
        </w:rPr>
        <w:t xml:space="preserve"> </w:t>
      </w:r>
      <w:r w:rsidRPr="008A132B">
        <w:rPr>
          <w:rFonts w:cs="Arial"/>
          <w:sz w:val="22"/>
          <w:lang w:val="en-ZA"/>
        </w:rPr>
        <w:t xml:space="preserve">remedy . . . </w:t>
      </w:r>
      <w:r w:rsidR="002813AB" w:rsidRPr="008A132B">
        <w:rPr>
          <w:rFonts w:cs="Arial"/>
          <w:sz w:val="22"/>
          <w:lang w:val="en-ZA"/>
        </w:rPr>
        <w:t xml:space="preserve">the common law requirement is expansive in its reach in the sense that it brings within its sweep any other </w:t>
      </w:r>
      <w:r w:rsidR="002813AB" w:rsidRPr="008A132B">
        <w:rPr>
          <w:rFonts w:cs="Arial"/>
          <w:i/>
          <w:sz w:val="22"/>
          <w:lang w:val="en-ZA"/>
        </w:rPr>
        <w:t>satisfactory</w:t>
      </w:r>
      <w:r w:rsidR="002813AB" w:rsidRPr="008A132B">
        <w:rPr>
          <w:rFonts w:cs="Arial"/>
          <w:sz w:val="22"/>
          <w:lang w:val="en-ZA"/>
        </w:rPr>
        <w:t xml:space="preserve"> remedy. The limit is whether the remedy is satisfactory; a question the answer to which depends on the circumstances of each case</w:t>
      </w:r>
      <w:r w:rsidRPr="008A132B">
        <w:rPr>
          <w:rFonts w:cs="Arial"/>
          <w:sz w:val="22"/>
          <w:lang w:val="en-ZA"/>
        </w:rPr>
        <w:t>.”</w:t>
      </w:r>
      <w:r w:rsidRPr="008A132B">
        <w:rPr>
          <w:rStyle w:val="FootnoteReference"/>
          <w:rFonts w:cs="Arial"/>
          <w:sz w:val="22"/>
          <w:lang w:val="en-ZA"/>
        </w:rPr>
        <w:footnoteReference w:id="100"/>
      </w:r>
      <w:r w:rsidR="002813AB" w:rsidRPr="008A132B">
        <w:rPr>
          <w:rFonts w:cs="Arial"/>
          <w:sz w:val="22"/>
          <w:lang w:val="en-ZA"/>
        </w:rPr>
        <w:t xml:space="preserve"> </w:t>
      </w:r>
      <w:r w:rsidR="002813AB" w:rsidRPr="008A132B">
        <w:rPr>
          <w:rFonts w:cs="Arial"/>
          <w:lang w:val="en-ZA"/>
        </w:rPr>
        <w:t>(emphasis in the original)</w:t>
      </w:r>
    </w:p>
    <w:p w14:paraId="02A57319" w14:textId="77777777" w:rsidR="00F31BA6" w:rsidRPr="008A132B" w:rsidRDefault="00F31BA6" w:rsidP="00CC12CF">
      <w:pPr>
        <w:spacing w:line="360" w:lineRule="auto"/>
        <w:jc w:val="both"/>
      </w:pPr>
    </w:p>
    <w:p w14:paraId="203D281A" w14:textId="67840E78" w:rsidR="00F31BA6" w:rsidRPr="008A132B" w:rsidRDefault="006D79CC" w:rsidP="006D79CC">
      <w:pPr>
        <w:spacing w:line="360" w:lineRule="auto"/>
        <w:jc w:val="both"/>
      </w:pPr>
      <w:r w:rsidRPr="008A132B">
        <w:rPr>
          <w:szCs w:val="24"/>
        </w:rPr>
        <w:t>[101]</w:t>
      </w:r>
      <w:r w:rsidRPr="008A132B">
        <w:rPr>
          <w:szCs w:val="24"/>
        </w:rPr>
        <w:tab/>
      </w:r>
      <w:r w:rsidR="001E4C92" w:rsidRPr="006D79CC">
        <w:rPr>
          <w:szCs w:val="24"/>
        </w:rPr>
        <w:t>Tendele argues that a party who wishes to suspend mining under a mining right and EMPr which are subject to an appeal before the Minister, has a remedy under s</w:t>
      </w:r>
      <w:r w:rsidR="002813AB" w:rsidRPr="006D79CC">
        <w:rPr>
          <w:szCs w:val="24"/>
        </w:rPr>
        <w:t> </w:t>
      </w:r>
      <w:r w:rsidR="001E4C92" w:rsidRPr="006D79CC">
        <w:rPr>
          <w:szCs w:val="24"/>
        </w:rPr>
        <w:t>96(2)</w:t>
      </w:r>
      <w:r w:rsidR="001E4C92" w:rsidRPr="006D79CC">
        <w:rPr>
          <w:i/>
          <w:szCs w:val="24"/>
        </w:rPr>
        <w:t>(a)</w:t>
      </w:r>
      <w:r w:rsidR="001E4C92" w:rsidRPr="006D79CC">
        <w:rPr>
          <w:szCs w:val="24"/>
        </w:rPr>
        <w:t xml:space="preserve"> of the MPRD</w:t>
      </w:r>
      <w:r w:rsidR="00E867D3" w:rsidRPr="006D79CC">
        <w:rPr>
          <w:szCs w:val="24"/>
        </w:rPr>
        <w:t>A</w:t>
      </w:r>
      <w:r w:rsidR="001E4C92" w:rsidRPr="006D79CC">
        <w:rPr>
          <w:szCs w:val="24"/>
        </w:rPr>
        <w:t xml:space="preserve">. </w:t>
      </w:r>
      <w:r w:rsidR="00FE07C4" w:rsidRPr="006D79CC">
        <w:rPr>
          <w:szCs w:val="24"/>
        </w:rPr>
        <w:t xml:space="preserve">That subsection </w:t>
      </w:r>
      <w:r w:rsidR="001E4C92" w:rsidRPr="006D79CC">
        <w:rPr>
          <w:szCs w:val="24"/>
        </w:rPr>
        <w:t>provides</w:t>
      </w:r>
      <w:r w:rsidR="00F31BA6" w:rsidRPr="006D79CC">
        <w:rPr>
          <w:szCs w:val="24"/>
        </w:rPr>
        <w:t xml:space="preserve"> that an appeal to the Minister against the granting of a mining right or approval of an EMPr:</w:t>
      </w:r>
    </w:p>
    <w:p w14:paraId="653832C1" w14:textId="091E2941" w:rsidR="00F31BA6" w:rsidRPr="008A132B" w:rsidRDefault="00F31BA6" w:rsidP="00CC12CF">
      <w:pPr>
        <w:pStyle w:val="2"/>
        <w:numPr>
          <w:ilvl w:val="0"/>
          <w:numId w:val="0"/>
        </w:numPr>
        <w:spacing w:before="0" w:line="360" w:lineRule="auto"/>
        <w:ind w:left="567"/>
        <w:rPr>
          <w:rFonts w:cs="Arial"/>
          <w:sz w:val="22"/>
          <w:lang w:val="en-ZA"/>
        </w:rPr>
      </w:pPr>
      <w:r w:rsidRPr="008A132B">
        <w:rPr>
          <w:rFonts w:cs="Arial"/>
          <w:sz w:val="22"/>
          <w:lang w:val="en-ZA"/>
        </w:rPr>
        <w:t xml:space="preserve">‘does not suspend the administrative decision, </w:t>
      </w:r>
      <w:r w:rsidRPr="005B78A1">
        <w:rPr>
          <w:rFonts w:cs="Arial"/>
          <w:i/>
          <w:iCs w:val="0"/>
          <w:sz w:val="22"/>
          <w:lang w:val="en-ZA"/>
        </w:rPr>
        <w:t>unless it is suspended by</w:t>
      </w:r>
      <w:r w:rsidRPr="008A132B">
        <w:rPr>
          <w:rFonts w:cs="Arial"/>
          <w:sz w:val="22"/>
          <w:lang w:val="en-ZA"/>
        </w:rPr>
        <w:t xml:space="preserve"> the Director-General or </w:t>
      </w:r>
      <w:r w:rsidRPr="005B78A1">
        <w:rPr>
          <w:rFonts w:cs="Arial"/>
          <w:i/>
          <w:iCs w:val="0"/>
          <w:sz w:val="22"/>
          <w:lang w:val="en-ZA"/>
        </w:rPr>
        <w:t>the Minister</w:t>
      </w:r>
      <w:r w:rsidRPr="008A132B">
        <w:rPr>
          <w:rFonts w:cs="Arial"/>
          <w:sz w:val="22"/>
          <w:lang w:val="en-ZA"/>
        </w:rPr>
        <w:t xml:space="preserve">, as the case may be.’ </w:t>
      </w:r>
      <w:r w:rsidR="005B78A1">
        <w:rPr>
          <w:rFonts w:cs="Arial"/>
          <w:sz w:val="22"/>
          <w:lang w:val="en-ZA"/>
        </w:rPr>
        <w:t>(</w:t>
      </w:r>
      <w:r w:rsidR="005B78A1" w:rsidRPr="005B78A1">
        <w:rPr>
          <w:rFonts w:cs="Arial"/>
          <w:szCs w:val="24"/>
          <w:lang w:val="en-ZA"/>
        </w:rPr>
        <w:t>emphasis added</w:t>
      </w:r>
      <w:r w:rsidR="005B78A1">
        <w:rPr>
          <w:rFonts w:cs="Arial"/>
          <w:sz w:val="22"/>
          <w:lang w:val="en-ZA"/>
        </w:rPr>
        <w:t>)</w:t>
      </w:r>
    </w:p>
    <w:p w14:paraId="74318C71" w14:textId="77777777" w:rsidR="00F31BA6" w:rsidRPr="008A132B" w:rsidRDefault="00F31BA6" w:rsidP="00CC12CF">
      <w:pPr>
        <w:spacing w:line="360" w:lineRule="auto"/>
        <w:jc w:val="both"/>
      </w:pPr>
    </w:p>
    <w:p w14:paraId="3390EB86" w14:textId="045438F8" w:rsidR="006E772F" w:rsidRPr="008A132B" w:rsidRDefault="006D79CC" w:rsidP="006D79CC">
      <w:pPr>
        <w:spacing w:line="360" w:lineRule="auto"/>
        <w:jc w:val="both"/>
      </w:pPr>
      <w:r w:rsidRPr="008A132B">
        <w:rPr>
          <w:szCs w:val="24"/>
        </w:rPr>
        <w:t>[102]</w:t>
      </w:r>
      <w:r w:rsidRPr="008A132B">
        <w:rPr>
          <w:szCs w:val="24"/>
        </w:rPr>
        <w:tab/>
      </w:r>
      <w:r w:rsidR="006E772F" w:rsidRPr="008A132B">
        <w:t xml:space="preserve">The applicants have however submitted that there </w:t>
      </w:r>
      <w:r w:rsidR="006E772F" w:rsidRPr="008A132B">
        <w:rPr>
          <w:szCs w:val="24"/>
        </w:rPr>
        <w:t>are a number of difficulties with that proposition: firstly, that there is no procedure expressly provided for in the MPRDA that an interested party in the position of any of the applicants may apply to the Minister for a suspension of the decisions; secondly, that the right to suspend appears to be one which only the Minister himself may invoke; thirdly, that even if such a right to apply for a suspension on the part of an aggrieved party can be read in</w:t>
      </w:r>
      <w:r w:rsidR="00FE07C4" w:rsidRPr="008A132B">
        <w:rPr>
          <w:szCs w:val="24"/>
        </w:rPr>
        <w:t>to</w:t>
      </w:r>
      <w:r w:rsidR="002813AB" w:rsidRPr="008A132B">
        <w:rPr>
          <w:szCs w:val="24"/>
        </w:rPr>
        <w:t xml:space="preserve"> or inferred in s 96</w:t>
      </w:r>
      <w:r w:rsidR="006E772F" w:rsidRPr="008A132B">
        <w:rPr>
          <w:szCs w:val="24"/>
        </w:rPr>
        <w:t>(2)</w:t>
      </w:r>
      <w:r w:rsidR="006E772F" w:rsidRPr="008A132B">
        <w:rPr>
          <w:i/>
          <w:szCs w:val="24"/>
        </w:rPr>
        <w:t>(a)</w:t>
      </w:r>
      <w:r w:rsidR="006E772F" w:rsidRPr="008A132B">
        <w:rPr>
          <w:szCs w:val="24"/>
        </w:rPr>
        <w:t>, the obligation to exhaust remedies before applying to court is confined to ‘review of an administrative decision’, as occurred before Bam J</w:t>
      </w:r>
      <w:r w:rsidR="00FE07C4" w:rsidRPr="008A132B">
        <w:rPr>
          <w:szCs w:val="24"/>
        </w:rPr>
        <w:t>,</w:t>
      </w:r>
      <w:r w:rsidR="006E772F" w:rsidRPr="008A132B">
        <w:rPr>
          <w:szCs w:val="24"/>
        </w:rPr>
        <w:t xml:space="preserve"> and not to an application for an interdict, as is before this court. </w:t>
      </w:r>
    </w:p>
    <w:p w14:paraId="795108EC" w14:textId="59A8450D" w:rsidR="006E772F" w:rsidRPr="008A132B" w:rsidRDefault="006E772F" w:rsidP="00CC12CF">
      <w:pPr>
        <w:spacing w:line="360" w:lineRule="auto"/>
        <w:jc w:val="both"/>
      </w:pPr>
    </w:p>
    <w:p w14:paraId="6320D1C2" w14:textId="03DB04CF" w:rsidR="00C62CA5" w:rsidRPr="008A132B" w:rsidRDefault="006D79CC" w:rsidP="006D79CC">
      <w:pPr>
        <w:spacing w:line="360" w:lineRule="auto"/>
        <w:jc w:val="both"/>
      </w:pPr>
      <w:r w:rsidRPr="008A132B">
        <w:rPr>
          <w:szCs w:val="24"/>
        </w:rPr>
        <w:t>[103]</w:t>
      </w:r>
      <w:r w:rsidRPr="008A132B">
        <w:rPr>
          <w:szCs w:val="24"/>
        </w:rPr>
        <w:tab/>
      </w:r>
      <w:r w:rsidR="002813AB" w:rsidRPr="008A132B">
        <w:t>Regardless of s 96</w:t>
      </w:r>
      <w:r w:rsidR="00FB4E6A" w:rsidRPr="008A132B">
        <w:t>(2)</w:t>
      </w:r>
      <w:r w:rsidR="00FB4E6A" w:rsidRPr="008A132B">
        <w:rPr>
          <w:i/>
        </w:rPr>
        <w:t>(a)</w:t>
      </w:r>
      <w:r w:rsidR="00FB4E6A" w:rsidRPr="008A132B">
        <w:t xml:space="preserve"> not expressly referring to an application for suspension, </w:t>
      </w:r>
      <w:r w:rsidR="00F31BA6" w:rsidRPr="008A132B">
        <w:t xml:space="preserve">Tendele </w:t>
      </w:r>
      <w:r w:rsidR="003613F2" w:rsidRPr="008A132B">
        <w:t xml:space="preserve">states </w:t>
      </w:r>
      <w:r w:rsidR="00F31BA6" w:rsidRPr="008A132B">
        <w:t>in its answering affidavit that a</w:t>
      </w:r>
      <w:r w:rsidR="00F31BA6" w:rsidRPr="008A132B">
        <w:rPr>
          <w:szCs w:val="24"/>
        </w:rPr>
        <w:t>pplications to suspend mining right</w:t>
      </w:r>
      <w:r w:rsidR="00FE07C4" w:rsidRPr="008A132B">
        <w:rPr>
          <w:szCs w:val="24"/>
        </w:rPr>
        <w:t>s</w:t>
      </w:r>
      <w:r w:rsidR="00F31BA6" w:rsidRPr="008A132B">
        <w:rPr>
          <w:szCs w:val="24"/>
        </w:rPr>
        <w:t xml:space="preserve"> are frequently brought</w:t>
      </w:r>
      <w:r w:rsidR="00FE07C4" w:rsidRPr="008A132B">
        <w:rPr>
          <w:szCs w:val="24"/>
        </w:rPr>
        <w:t xml:space="preserve"> within the powers conferred by the subsection</w:t>
      </w:r>
      <w:r w:rsidR="001E4C92" w:rsidRPr="008A132B">
        <w:rPr>
          <w:szCs w:val="24"/>
        </w:rPr>
        <w:t>,</w:t>
      </w:r>
      <w:r w:rsidR="00F31BA6" w:rsidRPr="008A132B">
        <w:rPr>
          <w:szCs w:val="24"/>
        </w:rPr>
        <w:t xml:space="preserve"> and </w:t>
      </w:r>
      <w:r w:rsidR="001E4C92" w:rsidRPr="008A132B">
        <w:rPr>
          <w:szCs w:val="24"/>
        </w:rPr>
        <w:t xml:space="preserve">are </w:t>
      </w:r>
      <w:r w:rsidR="00F31BA6" w:rsidRPr="008A132B">
        <w:rPr>
          <w:szCs w:val="24"/>
        </w:rPr>
        <w:t>determined by the Minister, while an appeal is pending before him.</w:t>
      </w:r>
      <w:r w:rsidR="00F31BA6" w:rsidRPr="008A132B">
        <w:rPr>
          <w:rStyle w:val="FootnoteReference"/>
          <w:szCs w:val="24"/>
        </w:rPr>
        <w:footnoteReference w:id="101"/>
      </w:r>
      <w:r w:rsidR="00F31BA6" w:rsidRPr="008A132B">
        <w:rPr>
          <w:szCs w:val="24"/>
        </w:rPr>
        <w:t xml:space="preserve"> </w:t>
      </w:r>
      <w:r w:rsidR="00FE07C4" w:rsidRPr="008A132B">
        <w:rPr>
          <w:szCs w:val="24"/>
        </w:rPr>
        <w:t xml:space="preserve">The </w:t>
      </w:r>
      <w:r w:rsidR="00FE07C4" w:rsidRPr="008A132B">
        <w:rPr>
          <w:szCs w:val="24"/>
        </w:rPr>
        <w:lastRenderedPageBreak/>
        <w:t xml:space="preserve">correctness of this allegation was not disputed by the applicants in reply. In </w:t>
      </w:r>
      <w:r w:rsidR="001E4C92" w:rsidRPr="008A132B">
        <w:rPr>
          <w:szCs w:val="24"/>
        </w:rPr>
        <w:t xml:space="preserve">practice </w:t>
      </w:r>
      <w:r w:rsidR="00FE07C4" w:rsidRPr="008A132B">
        <w:rPr>
          <w:szCs w:val="24"/>
        </w:rPr>
        <w:t xml:space="preserve">this </w:t>
      </w:r>
      <w:r w:rsidR="003613F2" w:rsidRPr="008A132B">
        <w:rPr>
          <w:szCs w:val="24"/>
        </w:rPr>
        <w:t xml:space="preserve">is not </w:t>
      </w:r>
      <w:r w:rsidR="00FB4E6A" w:rsidRPr="008A132B">
        <w:rPr>
          <w:szCs w:val="24"/>
        </w:rPr>
        <w:t xml:space="preserve">a remedy </w:t>
      </w:r>
      <w:r w:rsidR="003613F2" w:rsidRPr="008A132B">
        <w:rPr>
          <w:szCs w:val="24"/>
        </w:rPr>
        <w:t xml:space="preserve">which is dependent only </w:t>
      </w:r>
      <w:r w:rsidR="00FB4E6A" w:rsidRPr="008A132B">
        <w:rPr>
          <w:szCs w:val="24"/>
        </w:rPr>
        <w:t xml:space="preserve">on </w:t>
      </w:r>
      <w:r w:rsidR="003613F2" w:rsidRPr="008A132B">
        <w:rPr>
          <w:szCs w:val="24"/>
        </w:rPr>
        <w:t>the Minister</w:t>
      </w:r>
      <w:r w:rsidR="00FE07C4" w:rsidRPr="008A132B">
        <w:rPr>
          <w:szCs w:val="24"/>
        </w:rPr>
        <w:t>,</w:t>
      </w:r>
      <w:r w:rsidR="003613F2" w:rsidRPr="008A132B">
        <w:rPr>
          <w:szCs w:val="24"/>
        </w:rPr>
        <w:t xml:space="preserve"> of his own volition </w:t>
      </w:r>
      <w:r w:rsidR="00FB4E6A" w:rsidRPr="008A132B">
        <w:rPr>
          <w:szCs w:val="24"/>
        </w:rPr>
        <w:t>and unilaterally</w:t>
      </w:r>
      <w:r w:rsidR="00FE07C4" w:rsidRPr="008A132B">
        <w:rPr>
          <w:szCs w:val="24"/>
        </w:rPr>
        <w:t>,</w:t>
      </w:r>
      <w:r w:rsidR="00FB4E6A" w:rsidRPr="008A132B">
        <w:rPr>
          <w:szCs w:val="24"/>
        </w:rPr>
        <w:t xml:space="preserve"> </w:t>
      </w:r>
      <w:r w:rsidR="003613F2" w:rsidRPr="008A132B">
        <w:rPr>
          <w:szCs w:val="24"/>
        </w:rPr>
        <w:t xml:space="preserve">deciding whether to </w:t>
      </w:r>
      <w:r w:rsidR="00FB4E6A" w:rsidRPr="008A132B">
        <w:rPr>
          <w:szCs w:val="24"/>
        </w:rPr>
        <w:t xml:space="preserve">suspend a mining right or not. </w:t>
      </w:r>
      <w:r w:rsidR="00FE07C4" w:rsidRPr="008A132B">
        <w:rPr>
          <w:szCs w:val="24"/>
        </w:rPr>
        <w:t xml:space="preserve">In </w:t>
      </w:r>
      <w:r w:rsidR="00C62CA5" w:rsidRPr="008A132B">
        <w:rPr>
          <w:szCs w:val="24"/>
        </w:rPr>
        <w:t>practice applications are brought to the Minister</w:t>
      </w:r>
      <w:r w:rsidR="006A5F01">
        <w:rPr>
          <w:szCs w:val="24"/>
        </w:rPr>
        <w:t xml:space="preserve"> by persons affected by the grant of mining right, </w:t>
      </w:r>
      <w:r w:rsidR="00C62CA5" w:rsidRPr="008A132B">
        <w:rPr>
          <w:szCs w:val="24"/>
        </w:rPr>
        <w:t xml:space="preserve">and </w:t>
      </w:r>
      <w:r w:rsidR="006A5F01">
        <w:rPr>
          <w:szCs w:val="24"/>
        </w:rPr>
        <w:t xml:space="preserve">these </w:t>
      </w:r>
      <w:r w:rsidR="00C62CA5" w:rsidRPr="008A132B">
        <w:rPr>
          <w:szCs w:val="24"/>
        </w:rPr>
        <w:t>are dealt with</w:t>
      </w:r>
      <w:r w:rsidR="006A5F01">
        <w:rPr>
          <w:szCs w:val="24"/>
        </w:rPr>
        <w:t xml:space="preserve"> by the Miniister</w:t>
      </w:r>
      <w:r w:rsidR="00C62CA5" w:rsidRPr="008A132B">
        <w:rPr>
          <w:szCs w:val="24"/>
        </w:rPr>
        <w:t xml:space="preserve">. Applying to the Minister to suspend a mining right is accordingly </w:t>
      </w:r>
      <w:r w:rsidR="003613F2" w:rsidRPr="008A132B">
        <w:rPr>
          <w:szCs w:val="24"/>
        </w:rPr>
        <w:t>a</w:t>
      </w:r>
      <w:r w:rsidR="00C62CA5" w:rsidRPr="008A132B">
        <w:rPr>
          <w:szCs w:val="24"/>
        </w:rPr>
        <w:t xml:space="preserve">n alternative remedy </w:t>
      </w:r>
      <w:r w:rsidR="00FB4E6A" w:rsidRPr="008A132B">
        <w:rPr>
          <w:szCs w:val="24"/>
        </w:rPr>
        <w:t>available to an aggrieved party.</w:t>
      </w:r>
      <w:r w:rsidR="003613F2" w:rsidRPr="008A132B">
        <w:rPr>
          <w:szCs w:val="24"/>
        </w:rPr>
        <w:t xml:space="preserve"> </w:t>
      </w:r>
    </w:p>
    <w:p w14:paraId="7D1BFE07" w14:textId="77777777" w:rsidR="00C62CA5" w:rsidRPr="008A132B" w:rsidRDefault="00C62CA5" w:rsidP="00CC12CF">
      <w:pPr>
        <w:pStyle w:val="ListParagraph"/>
        <w:spacing w:line="360" w:lineRule="auto"/>
        <w:jc w:val="both"/>
        <w:rPr>
          <w:szCs w:val="24"/>
        </w:rPr>
      </w:pPr>
    </w:p>
    <w:p w14:paraId="57404234" w14:textId="7D0D574C" w:rsidR="00C62CA5" w:rsidRPr="008A132B" w:rsidRDefault="006D79CC" w:rsidP="006D79CC">
      <w:pPr>
        <w:spacing w:line="360" w:lineRule="auto"/>
        <w:jc w:val="both"/>
      </w:pPr>
      <w:r w:rsidRPr="008A132B">
        <w:rPr>
          <w:szCs w:val="24"/>
        </w:rPr>
        <w:t>[104]</w:t>
      </w:r>
      <w:r w:rsidRPr="008A132B">
        <w:rPr>
          <w:szCs w:val="24"/>
        </w:rPr>
        <w:tab/>
      </w:r>
      <w:r w:rsidR="00FB4E6A" w:rsidRPr="008A132B">
        <w:rPr>
          <w:szCs w:val="24"/>
        </w:rPr>
        <w:t xml:space="preserve">Further, it is </w:t>
      </w:r>
      <w:r w:rsidR="003E19C9" w:rsidRPr="008A132B">
        <w:rPr>
          <w:szCs w:val="24"/>
        </w:rPr>
        <w:t>an appropriate remedy as any decision relating to the continuation of mining is in principle policy-laden and involves a polycentric evaluation</w:t>
      </w:r>
      <w:r w:rsidR="005B78A1">
        <w:rPr>
          <w:szCs w:val="24"/>
        </w:rPr>
        <w:t xml:space="preserve"> requiring </w:t>
      </w:r>
      <w:r w:rsidR="00F31BA6" w:rsidRPr="008A132B">
        <w:rPr>
          <w:szCs w:val="24"/>
        </w:rPr>
        <w:t>a consideration and weighing up of many considerations which the Minister</w:t>
      </w:r>
      <w:r w:rsidR="00FE07C4" w:rsidRPr="008A132B">
        <w:rPr>
          <w:szCs w:val="24"/>
        </w:rPr>
        <w:t>, advised by technocrats in his department,</w:t>
      </w:r>
      <w:r w:rsidR="00F31BA6" w:rsidRPr="008A132B">
        <w:rPr>
          <w:szCs w:val="24"/>
        </w:rPr>
        <w:t xml:space="preserve"> is </w:t>
      </w:r>
      <w:r w:rsidR="00C62CA5" w:rsidRPr="008A132B">
        <w:rPr>
          <w:szCs w:val="24"/>
        </w:rPr>
        <w:t xml:space="preserve">probably best </w:t>
      </w:r>
      <w:r w:rsidR="00F31BA6" w:rsidRPr="008A132B">
        <w:rPr>
          <w:szCs w:val="24"/>
        </w:rPr>
        <w:t>equipped to answer</w:t>
      </w:r>
      <w:r w:rsidR="00C62CA5" w:rsidRPr="008A132B">
        <w:rPr>
          <w:szCs w:val="24"/>
        </w:rPr>
        <w:t xml:space="preserve">. </w:t>
      </w:r>
    </w:p>
    <w:p w14:paraId="5738A5B2" w14:textId="77777777" w:rsidR="00C62CA5" w:rsidRPr="008A132B" w:rsidRDefault="00C62CA5" w:rsidP="00CC12CF">
      <w:pPr>
        <w:pStyle w:val="ListParagraph"/>
        <w:spacing w:line="360" w:lineRule="auto"/>
        <w:jc w:val="both"/>
        <w:rPr>
          <w:szCs w:val="24"/>
        </w:rPr>
      </w:pPr>
    </w:p>
    <w:p w14:paraId="58DF1960" w14:textId="3373D05D" w:rsidR="00F31BA6" w:rsidRPr="008A132B" w:rsidRDefault="006D79CC" w:rsidP="006D79CC">
      <w:pPr>
        <w:spacing w:line="360" w:lineRule="auto"/>
        <w:jc w:val="both"/>
      </w:pPr>
      <w:r w:rsidRPr="008A132B">
        <w:rPr>
          <w:szCs w:val="24"/>
        </w:rPr>
        <w:t>[105]</w:t>
      </w:r>
      <w:r w:rsidRPr="008A132B">
        <w:rPr>
          <w:szCs w:val="24"/>
        </w:rPr>
        <w:tab/>
      </w:r>
      <w:r w:rsidR="00FB4E6A" w:rsidRPr="008A132B">
        <w:rPr>
          <w:szCs w:val="24"/>
        </w:rPr>
        <w:t xml:space="preserve">And finally, whether </w:t>
      </w:r>
      <w:r w:rsidR="00870D1F" w:rsidRPr="008A132B">
        <w:rPr>
          <w:szCs w:val="24"/>
        </w:rPr>
        <w:t xml:space="preserve">an alternative </w:t>
      </w:r>
      <w:r w:rsidR="00FB4E6A" w:rsidRPr="008A132B">
        <w:rPr>
          <w:szCs w:val="24"/>
        </w:rPr>
        <w:t xml:space="preserve">remedy </w:t>
      </w:r>
      <w:r w:rsidR="00FE07C4" w:rsidRPr="008A132B">
        <w:rPr>
          <w:szCs w:val="24"/>
        </w:rPr>
        <w:t xml:space="preserve">should first be pursued </w:t>
      </w:r>
      <w:r w:rsidR="00FB4E6A" w:rsidRPr="008A132B">
        <w:rPr>
          <w:szCs w:val="24"/>
        </w:rPr>
        <w:t xml:space="preserve">is not simply </w:t>
      </w:r>
      <w:r w:rsidR="00FE07C4" w:rsidRPr="008A132B">
        <w:rPr>
          <w:szCs w:val="24"/>
        </w:rPr>
        <w:t xml:space="preserve">dependent on </w:t>
      </w:r>
      <w:r w:rsidR="00FB4E6A" w:rsidRPr="008A132B">
        <w:rPr>
          <w:szCs w:val="24"/>
        </w:rPr>
        <w:t>whether that is required by s 96</w:t>
      </w:r>
      <w:r w:rsidR="00FE07C4" w:rsidRPr="008A132B">
        <w:rPr>
          <w:szCs w:val="24"/>
        </w:rPr>
        <w:t>?</w:t>
      </w:r>
      <w:r w:rsidR="00FB4E6A" w:rsidRPr="008A132B">
        <w:rPr>
          <w:szCs w:val="24"/>
        </w:rPr>
        <w:t xml:space="preserve"> S</w:t>
      </w:r>
      <w:r w:rsidR="00870D1F" w:rsidRPr="008A132B">
        <w:rPr>
          <w:szCs w:val="24"/>
        </w:rPr>
        <w:t>ection 96</w:t>
      </w:r>
      <w:r w:rsidR="00FB4E6A" w:rsidRPr="008A132B">
        <w:rPr>
          <w:szCs w:val="24"/>
        </w:rPr>
        <w:t xml:space="preserve">(3) does require an internal appeal in terms of s 96(1) to be pursued as a remedy before a court may be approached on review, but the requirement that there must be no alternative satisfactory remedy </w:t>
      </w:r>
      <w:r w:rsidR="00FE07C4" w:rsidRPr="008A132B">
        <w:rPr>
          <w:szCs w:val="24"/>
        </w:rPr>
        <w:t xml:space="preserve">available to an applicant for an interdict, </w:t>
      </w:r>
      <w:r w:rsidR="005B78A1">
        <w:rPr>
          <w:szCs w:val="24"/>
        </w:rPr>
        <w:t xml:space="preserve">applies to a different remedy, and in any event </w:t>
      </w:r>
      <w:r w:rsidR="00FB4E6A" w:rsidRPr="008A132B">
        <w:rPr>
          <w:szCs w:val="24"/>
        </w:rPr>
        <w:t xml:space="preserve">is a common law requirement for </w:t>
      </w:r>
      <w:r w:rsidR="00EA2F0E" w:rsidRPr="008A132B">
        <w:rPr>
          <w:szCs w:val="24"/>
        </w:rPr>
        <w:t xml:space="preserve">an </w:t>
      </w:r>
      <w:r w:rsidR="00FB4E6A" w:rsidRPr="008A132B">
        <w:rPr>
          <w:szCs w:val="24"/>
        </w:rPr>
        <w:t>interdict</w:t>
      </w:r>
      <w:r w:rsidR="00FE07C4" w:rsidRPr="008A132B">
        <w:rPr>
          <w:szCs w:val="24"/>
        </w:rPr>
        <w:t>, which stands free of the provisions of s 96</w:t>
      </w:r>
      <w:r w:rsidR="00EA2F0E" w:rsidRPr="008A132B">
        <w:rPr>
          <w:szCs w:val="24"/>
        </w:rPr>
        <w:t xml:space="preserve">. </w:t>
      </w:r>
      <w:r w:rsidR="00FB4E6A" w:rsidRPr="008A132B">
        <w:rPr>
          <w:szCs w:val="24"/>
        </w:rPr>
        <w:t xml:space="preserve"> </w:t>
      </w:r>
    </w:p>
    <w:p w14:paraId="77FF7493" w14:textId="77777777" w:rsidR="00F31BA6" w:rsidRPr="008A132B" w:rsidRDefault="00F31BA6" w:rsidP="00CC12CF">
      <w:pPr>
        <w:spacing w:line="360" w:lineRule="auto"/>
        <w:jc w:val="both"/>
      </w:pPr>
    </w:p>
    <w:p w14:paraId="4E9F5D87" w14:textId="11E9050F" w:rsidR="00F06AF1" w:rsidRPr="008A132B" w:rsidRDefault="006D79CC" w:rsidP="006D79CC">
      <w:pPr>
        <w:spacing w:line="360" w:lineRule="auto"/>
        <w:jc w:val="both"/>
      </w:pPr>
      <w:r w:rsidRPr="008A132B">
        <w:rPr>
          <w:szCs w:val="24"/>
        </w:rPr>
        <w:t>[106]</w:t>
      </w:r>
      <w:r w:rsidRPr="008A132B">
        <w:rPr>
          <w:szCs w:val="24"/>
        </w:rPr>
        <w:tab/>
      </w:r>
      <w:r w:rsidR="00C62CA5" w:rsidRPr="008A132B">
        <w:t xml:space="preserve">That the </w:t>
      </w:r>
      <w:r w:rsidR="00EA2F0E" w:rsidRPr="008A132B">
        <w:t>applicants</w:t>
      </w:r>
      <w:r w:rsidR="00C62CA5" w:rsidRPr="008A132B">
        <w:t xml:space="preserve"> have this alternative remedy was raised by </w:t>
      </w:r>
      <w:r w:rsidR="00D54836" w:rsidRPr="008A132B">
        <w:t xml:space="preserve">Tendele </w:t>
      </w:r>
      <w:r w:rsidR="00817CA0" w:rsidRPr="008A132B">
        <w:rPr>
          <w:szCs w:val="24"/>
        </w:rPr>
        <w:t xml:space="preserve">squarely </w:t>
      </w:r>
      <w:r w:rsidR="00EA2F0E" w:rsidRPr="008A132B">
        <w:rPr>
          <w:szCs w:val="24"/>
        </w:rPr>
        <w:t>in its answering affidavit.</w:t>
      </w:r>
      <w:r w:rsidR="00817CA0" w:rsidRPr="008A132B">
        <w:rPr>
          <w:szCs w:val="24"/>
        </w:rPr>
        <w:t xml:space="preserve"> The applicants </w:t>
      </w:r>
      <w:r w:rsidR="00C62CA5" w:rsidRPr="008A132B">
        <w:rPr>
          <w:szCs w:val="24"/>
        </w:rPr>
        <w:t xml:space="preserve">did not </w:t>
      </w:r>
      <w:r w:rsidR="00817CA0" w:rsidRPr="008A132B">
        <w:rPr>
          <w:szCs w:val="24"/>
        </w:rPr>
        <w:t>offer an</w:t>
      </w:r>
      <w:r w:rsidR="00C62CA5" w:rsidRPr="008A132B">
        <w:rPr>
          <w:szCs w:val="24"/>
        </w:rPr>
        <w:t>y</w:t>
      </w:r>
      <w:r w:rsidR="00817CA0" w:rsidRPr="008A132B">
        <w:rPr>
          <w:szCs w:val="24"/>
        </w:rPr>
        <w:t xml:space="preserve"> explanation </w:t>
      </w:r>
      <w:r w:rsidR="00C62CA5" w:rsidRPr="008A132B">
        <w:rPr>
          <w:szCs w:val="24"/>
        </w:rPr>
        <w:t>in reply</w:t>
      </w:r>
      <w:r w:rsidR="00FE07C4" w:rsidRPr="008A132B">
        <w:rPr>
          <w:szCs w:val="24"/>
        </w:rPr>
        <w:t xml:space="preserve"> why they have not done so</w:t>
      </w:r>
      <w:r w:rsidR="00C62CA5" w:rsidRPr="008A132B">
        <w:rPr>
          <w:szCs w:val="24"/>
        </w:rPr>
        <w:t>.</w:t>
      </w:r>
      <w:r w:rsidR="00817CA0" w:rsidRPr="008A132B">
        <w:rPr>
          <w:szCs w:val="24"/>
        </w:rPr>
        <w:t xml:space="preserve">  </w:t>
      </w:r>
    </w:p>
    <w:p w14:paraId="52D3F2DC" w14:textId="77777777" w:rsidR="00F06AF1" w:rsidRPr="008A132B" w:rsidRDefault="00F06AF1" w:rsidP="00CC12CF">
      <w:pPr>
        <w:pStyle w:val="ListParagraph"/>
        <w:spacing w:line="360" w:lineRule="auto"/>
        <w:jc w:val="both"/>
        <w:rPr>
          <w:szCs w:val="24"/>
        </w:rPr>
      </w:pPr>
    </w:p>
    <w:p w14:paraId="0928C15C" w14:textId="6868A75A" w:rsidR="00053BCD" w:rsidRPr="008A132B" w:rsidRDefault="006D79CC" w:rsidP="006D79CC">
      <w:pPr>
        <w:spacing w:line="360" w:lineRule="auto"/>
        <w:jc w:val="both"/>
      </w:pPr>
      <w:r w:rsidRPr="008A132B">
        <w:rPr>
          <w:szCs w:val="24"/>
        </w:rPr>
        <w:t>[107]</w:t>
      </w:r>
      <w:r w:rsidRPr="008A132B">
        <w:rPr>
          <w:szCs w:val="24"/>
        </w:rPr>
        <w:tab/>
      </w:r>
      <w:r w:rsidR="00817CA0" w:rsidRPr="008A132B">
        <w:rPr>
          <w:szCs w:val="24"/>
        </w:rPr>
        <w:t xml:space="preserve">In their heads of argument, the applicants </w:t>
      </w:r>
      <w:r w:rsidR="00FE07C4" w:rsidRPr="008A132B">
        <w:rPr>
          <w:szCs w:val="24"/>
        </w:rPr>
        <w:t xml:space="preserve">however </w:t>
      </w:r>
      <w:r w:rsidR="00C62CA5" w:rsidRPr="008A132B">
        <w:rPr>
          <w:szCs w:val="24"/>
        </w:rPr>
        <w:t>argue</w:t>
      </w:r>
      <w:r w:rsidR="00FE07C4" w:rsidRPr="008A132B">
        <w:rPr>
          <w:szCs w:val="24"/>
        </w:rPr>
        <w:t>d</w:t>
      </w:r>
      <w:r w:rsidR="00C62CA5" w:rsidRPr="008A132B">
        <w:rPr>
          <w:szCs w:val="24"/>
        </w:rPr>
        <w:t xml:space="preserve"> </w:t>
      </w:r>
      <w:r w:rsidR="00817CA0" w:rsidRPr="008A132B">
        <w:rPr>
          <w:szCs w:val="24"/>
        </w:rPr>
        <w:t>that, because Tendele’s mining right and EMPr have been declared invalid, s 96(2)</w:t>
      </w:r>
      <w:r w:rsidR="00817CA0" w:rsidRPr="008A132B">
        <w:rPr>
          <w:i/>
          <w:szCs w:val="24"/>
        </w:rPr>
        <w:t>(a)</w:t>
      </w:r>
      <w:r w:rsidR="00817CA0" w:rsidRPr="008A132B">
        <w:rPr>
          <w:szCs w:val="24"/>
        </w:rPr>
        <w:t xml:space="preserve"> of the MPRDA finds no application. </w:t>
      </w:r>
      <w:r w:rsidR="003E19C9" w:rsidRPr="008A132B">
        <w:rPr>
          <w:szCs w:val="24"/>
        </w:rPr>
        <w:t>Tendele’s</w:t>
      </w:r>
      <w:r w:rsidR="000C51A8" w:rsidRPr="008A132B">
        <w:rPr>
          <w:szCs w:val="24"/>
        </w:rPr>
        <w:t xml:space="preserve"> </w:t>
      </w:r>
      <w:r w:rsidR="003E19C9" w:rsidRPr="008A132B">
        <w:rPr>
          <w:szCs w:val="24"/>
        </w:rPr>
        <w:t xml:space="preserve">argument is however predicated on the mining right and EMPr </w:t>
      </w:r>
      <w:r w:rsidR="000C51A8" w:rsidRPr="008A132B">
        <w:rPr>
          <w:szCs w:val="24"/>
        </w:rPr>
        <w:t xml:space="preserve">contention </w:t>
      </w:r>
      <w:r w:rsidR="003E19C9" w:rsidRPr="008A132B">
        <w:rPr>
          <w:szCs w:val="24"/>
        </w:rPr>
        <w:t xml:space="preserve">remaining in existence in fact. If the </w:t>
      </w:r>
      <w:r w:rsidR="00817CA0" w:rsidRPr="008A132B">
        <w:rPr>
          <w:szCs w:val="24"/>
        </w:rPr>
        <w:t>effect of Bam J’s judgment is</w:t>
      </w:r>
      <w:r w:rsidR="003E19C9" w:rsidRPr="008A132B">
        <w:rPr>
          <w:szCs w:val="24"/>
        </w:rPr>
        <w:t>, as I have found,</w:t>
      </w:r>
      <w:r w:rsidR="00817CA0" w:rsidRPr="008A132B">
        <w:rPr>
          <w:szCs w:val="24"/>
        </w:rPr>
        <w:t xml:space="preserve"> that Tendele </w:t>
      </w:r>
      <w:r w:rsidR="00EA2F0E" w:rsidRPr="008A132B">
        <w:rPr>
          <w:szCs w:val="24"/>
        </w:rPr>
        <w:t>remained possessed</w:t>
      </w:r>
      <w:r w:rsidR="00C62CA5" w:rsidRPr="008A132B">
        <w:rPr>
          <w:szCs w:val="24"/>
        </w:rPr>
        <w:t>,</w:t>
      </w:r>
      <w:r w:rsidR="00EA2F0E" w:rsidRPr="008A132B">
        <w:rPr>
          <w:szCs w:val="24"/>
        </w:rPr>
        <w:t xml:space="preserve"> as a fact</w:t>
      </w:r>
      <w:r w:rsidR="00C62CA5" w:rsidRPr="008A132B">
        <w:rPr>
          <w:szCs w:val="24"/>
        </w:rPr>
        <w:t>,</w:t>
      </w:r>
      <w:r w:rsidR="00EA2F0E" w:rsidRPr="008A132B">
        <w:rPr>
          <w:szCs w:val="24"/>
        </w:rPr>
        <w:t xml:space="preserve"> </w:t>
      </w:r>
      <w:r w:rsidR="00817CA0" w:rsidRPr="008A132B">
        <w:rPr>
          <w:szCs w:val="24"/>
        </w:rPr>
        <w:t>of an extant Mining Right and EMPr</w:t>
      </w:r>
      <w:r w:rsidR="00EA2F0E" w:rsidRPr="008A132B">
        <w:rPr>
          <w:szCs w:val="24"/>
        </w:rPr>
        <w:t>,</w:t>
      </w:r>
      <w:r w:rsidR="00817CA0" w:rsidRPr="008A132B">
        <w:rPr>
          <w:szCs w:val="24"/>
        </w:rPr>
        <w:t xml:space="preserve"> which is the subject of an appea</w:t>
      </w:r>
      <w:r w:rsidR="008A132B" w:rsidRPr="008A132B">
        <w:rPr>
          <w:szCs w:val="24"/>
        </w:rPr>
        <w:t>l to the Minister in terms of s </w:t>
      </w:r>
      <w:r w:rsidR="00817CA0" w:rsidRPr="008A132B">
        <w:rPr>
          <w:szCs w:val="24"/>
        </w:rPr>
        <w:t>96</w:t>
      </w:r>
      <w:r w:rsidR="00B058EE" w:rsidRPr="008A132B">
        <w:rPr>
          <w:szCs w:val="24"/>
        </w:rPr>
        <w:t>, then s</w:t>
      </w:r>
      <w:r w:rsidR="008A132B" w:rsidRPr="008A132B">
        <w:rPr>
          <w:szCs w:val="24"/>
        </w:rPr>
        <w:t> </w:t>
      </w:r>
      <w:r w:rsidR="00817CA0" w:rsidRPr="008A132B">
        <w:rPr>
          <w:szCs w:val="24"/>
        </w:rPr>
        <w:t>96(2)</w:t>
      </w:r>
      <w:r w:rsidR="00817CA0" w:rsidRPr="008A132B">
        <w:rPr>
          <w:i/>
          <w:szCs w:val="24"/>
        </w:rPr>
        <w:t>(a)</w:t>
      </w:r>
      <w:r w:rsidR="00817CA0" w:rsidRPr="008A132B">
        <w:rPr>
          <w:szCs w:val="24"/>
        </w:rPr>
        <w:t xml:space="preserve"> applies and </w:t>
      </w:r>
      <w:r w:rsidR="003E19C9" w:rsidRPr="008A132B">
        <w:rPr>
          <w:szCs w:val="24"/>
        </w:rPr>
        <w:t>afford</w:t>
      </w:r>
      <w:r w:rsidR="00FE07C4" w:rsidRPr="008A132B">
        <w:rPr>
          <w:szCs w:val="24"/>
        </w:rPr>
        <w:t>s</w:t>
      </w:r>
      <w:r w:rsidR="003E19C9" w:rsidRPr="008A132B">
        <w:rPr>
          <w:szCs w:val="24"/>
        </w:rPr>
        <w:t xml:space="preserve"> </w:t>
      </w:r>
      <w:r w:rsidR="00817CA0" w:rsidRPr="008A132B">
        <w:rPr>
          <w:szCs w:val="24"/>
        </w:rPr>
        <w:t>an alternative remedy.</w:t>
      </w:r>
    </w:p>
    <w:p w14:paraId="1EBEEC54" w14:textId="729A13D5" w:rsidR="003E19C9" w:rsidRPr="008A132B" w:rsidRDefault="003E19C9" w:rsidP="00CC12CF">
      <w:pPr>
        <w:spacing w:line="360" w:lineRule="auto"/>
        <w:jc w:val="both"/>
      </w:pPr>
    </w:p>
    <w:p w14:paraId="2A1DDFC7" w14:textId="4FF796FF" w:rsidR="009B6C59" w:rsidRPr="009B6C59" w:rsidRDefault="006D79CC" w:rsidP="006D79CC">
      <w:pPr>
        <w:pStyle w:val="2"/>
        <w:numPr>
          <w:ilvl w:val="0"/>
          <w:numId w:val="0"/>
        </w:numPr>
        <w:spacing w:before="0" w:line="360" w:lineRule="auto"/>
        <w:rPr>
          <w:rFonts w:cs="Arial"/>
          <w:szCs w:val="24"/>
          <w:lang w:val="en-ZA"/>
        </w:rPr>
      </w:pPr>
      <w:r w:rsidRPr="009B6C59">
        <w:rPr>
          <w:rFonts w:cs="Arial"/>
          <w:iCs w:val="0"/>
          <w:szCs w:val="24"/>
          <w:lang w:val="en-ZA"/>
        </w:rPr>
        <w:t>[108]</w:t>
      </w:r>
      <w:r w:rsidRPr="009B6C59">
        <w:rPr>
          <w:rFonts w:cs="Arial"/>
          <w:iCs w:val="0"/>
          <w:szCs w:val="24"/>
          <w:lang w:val="en-ZA"/>
        </w:rPr>
        <w:tab/>
      </w:r>
      <w:r w:rsidR="00053BCD" w:rsidRPr="008A132B">
        <w:rPr>
          <w:szCs w:val="24"/>
          <w:lang w:val="en-ZA"/>
        </w:rPr>
        <w:t xml:space="preserve">In their heads of argument, the applicants further suggested that </w:t>
      </w:r>
      <w:r w:rsidR="009B6C59">
        <w:rPr>
          <w:szCs w:val="24"/>
          <w:lang w:val="en-ZA"/>
        </w:rPr>
        <w:t xml:space="preserve">any appeal to the Minister, even if it may be an alternative remedy, is not a satisfactory alternative </w:t>
      </w:r>
      <w:r w:rsidR="009B6C59">
        <w:rPr>
          <w:szCs w:val="24"/>
          <w:lang w:val="en-ZA"/>
        </w:rPr>
        <w:lastRenderedPageBreak/>
        <w:t xml:space="preserve">remedy. They had </w:t>
      </w:r>
      <w:r w:rsidR="00053BCD" w:rsidRPr="008A132B">
        <w:rPr>
          <w:szCs w:val="24"/>
          <w:lang w:val="en-ZA"/>
        </w:rPr>
        <w:t xml:space="preserve">attempted to exhaust their remedies to the Minister by writing a letter asking him to cancel or suspend Tendele’s </w:t>
      </w:r>
      <w:r w:rsidR="00B058EE" w:rsidRPr="008A132B">
        <w:rPr>
          <w:szCs w:val="24"/>
          <w:lang w:val="en-ZA"/>
        </w:rPr>
        <w:t>mining right</w:t>
      </w:r>
      <w:r w:rsidR="00053BCD" w:rsidRPr="008A132B">
        <w:rPr>
          <w:szCs w:val="24"/>
          <w:lang w:val="en-ZA"/>
        </w:rPr>
        <w:t xml:space="preserve">. </w:t>
      </w:r>
    </w:p>
    <w:p w14:paraId="571E9AFA" w14:textId="77777777" w:rsidR="009B6C59" w:rsidRDefault="009B6C59" w:rsidP="009B6C59">
      <w:pPr>
        <w:pStyle w:val="ListParagraph"/>
        <w:rPr>
          <w:szCs w:val="24"/>
        </w:rPr>
      </w:pPr>
    </w:p>
    <w:p w14:paraId="2ADD86C3" w14:textId="155A9AF6" w:rsidR="003E19C9"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[109]</w:t>
      </w:r>
      <w:r w:rsidRPr="008A132B">
        <w:rPr>
          <w:rFonts w:cs="Arial"/>
          <w:iCs w:val="0"/>
          <w:szCs w:val="24"/>
          <w:lang w:val="en-ZA"/>
        </w:rPr>
        <w:tab/>
      </w:r>
      <w:r w:rsidR="009B6C59">
        <w:rPr>
          <w:szCs w:val="24"/>
          <w:lang w:val="en-ZA"/>
        </w:rPr>
        <w:t>The letter to which the applicants refer h</w:t>
      </w:r>
      <w:r w:rsidR="00053BCD" w:rsidRPr="008A132B">
        <w:rPr>
          <w:szCs w:val="24"/>
          <w:lang w:val="en-ZA"/>
        </w:rPr>
        <w:t>owever</w:t>
      </w:r>
      <w:r w:rsidR="009B6C59">
        <w:rPr>
          <w:szCs w:val="24"/>
          <w:lang w:val="en-ZA"/>
        </w:rPr>
        <w:t>,</w:t>
      </w:r>
      <w:r w:rsidR="00053BCD" w:rsidRPr="008A132B">
        <w:rPr>
          <w:szCs w:val="24"/>
          <w:lang w:val="en-ZA"/>
        </w:rPr>
        <w:t xml:space="preserve"> </w:t>
      </w:r>
      <w:r w:rsidR="006B07CE" w:rsidRPr="008A132B">
        <w:rPr>
          <w:lang w:val="en-ZA"/>
        </w:rPr>
        <w:t xml:space="preserve">did </w:t>
      </w:r>
      <w:r w:rsidR="00053BCD" w:rsidRPr="008A132B">
        <w:rPr>
          <w:lang w:val="en-ZA"/>
        </w:rPr>
        <w:t>not constitute an application for suspension in terms of s 96(2)</w:t>
      </w:r>
      <w:r w:rsidR="00053BCD" w:rsidRPr="008A132B">
        <w:rPr>
          <w:i/>
          <w:lang w:val="en-ZA"/>
        </w:rPr>
        <w:t>(a)</w:t>
      </w:r>
      <w:r w:rsidR="006B07CE" w:rsidRPr="008A132B">
        <w:rPr>
          <w:lang w:val="en-ZA"/>
        </w:rPr>
        <w:t>,</w:t>
      </w:r>
      <w:r w:rsidR="00053BCD" w:rsidRPr="008A132B">
        <w:rPr>
          <w:lang w:val="en-ZA"/>
        </w:rPr>
        <w:t xml:space="preserve"> but was a request to the Minister on 1 June 2022, shortly after Bam J’s judgment was handed down, in terms of s</w:t>
      </w:r>
      <w:r w:rsidR="008A132B" w:rsidRPr="008A132B">
        <w:rPr>
          <w:lang w:val="en-ZA"/>
        </w:rPr>
        <w:t> </w:t>
      </w:r>
      <w:r w:rsidR="00053BCD" w:rsidRPr="008A132B">
        <w:rPr>
          <w:lang w:val="en-ZA"/>
        </w:rPr>
        <w:t>47(1)</w:t>
      </w:r>
      <w:r w:rsidR="00053BCD" w:rsidRPr="008A132B">
        <w:rPr>
          <w:i/>
          <w:lang w:val="en-ZA"/>
        </w:rPr>
        <w:t>(d)</w:t>
      </w:r>
      <w:r w:rsidR="00053BCD" w:rsidRPr="008A132B">
        <w:rPr>
          <w:lang w:val="en-ZA"/>
        </w:rPr>
        <w:t xml:space="preserve"> of the MPRDA based on </w:t>
      </w:r>
      <w:r w:rsidR="00053BCD" w:rsidRPr="008A132B">
        <w:rPr>
          <w:rFonts w:cs="Arial"/>
          <w:szCs w:val="24"/>
          <w:lang w:val="en-ZA"/>
        </w:rPr>
        <w:t xml:space="preserve">Tendele having allegedly </w:t>
      </w:r>
      <w:r w:rsidR="00053BCD" w:rsidRPr="008A132B">
        <w:rPr>
          <w:szCs w:val="24"/>
          <w:lang w:val="en-ZA"/>
        </w:rPr>
        <w:t>advanced ina</w:t>
      </w:r>
      <w:r w:rsidR="00053BCD" w:rsidRPr="008A132B">
        <w:rPr>
          <w:rFonts w:cs="Arial"/>
          <w:szCs w:val="24"/>
          <w:lang w:val="en-ZA"/>
        </w:rPr>
        <w:t xml:space="preserve">ccurate and misleading information in support of </w:t>
      </w:r>
      <w:r w:rsidR="00053BCD" w:rsidRPr="008A132B">
        <w:rPr>
          <w:szCs w:val="24"/>
          <w:lang w:val="en-ZA"/>
        </w:rPr>
        <w:t>its m</w:t>
      </w:r>
      <w:r w:rsidR="00053BCD" w:rsidRPr="008A132B">
        <w:rPr>
          <w:rFonts w:cs="Arial"/>
          <w:szCs w:val="24"/>
          <w:lang w:val="en-ZA"/>
        </w:rPr>
        <w:t xml:space="preserve">ining </w:t>
      </w:r>
      <w:r w:rsidR="00053BCD" w:rsidRPr="008A132B">
        <w:rPr>
          <w:szCs w:val="24"/>
          <w:lang w:val="en-ZA"/>
        </w:rPr>
        <w:t>r</w:t>
      </w:r>
      <w:r w:rsidR="00053BCD" w:rsidRPr="008A132B">
        <w:rPr>
          <w:rFonts w:cs="Arial"/>
          <w:szCs w:val="24"/>
          <w:lang w:val="en-ZA"/>
        </w:rPr>
        <w:t>ight application</w:t>
      </w:r>
      <w:r w:rsidR="006B07CE" w:rsidRPr="008A132B">
        <w:rPr>
          <w:rFonts w:cs="Arial"/>
          <w:szCs w:val="24"/>
          <w:lang w:val="en-ZA"/>
        </w:rPr>
        <w:t>.</w:t>
      </w:r>
      <w:r w:rsidR="00053BCD" w:rsidRPr="008A132B">
        <w:rPr>
          <w:szCs w:val="24"/>
          <w:lang w:val="en-ZA"/>
        </w:rPr>
        <w:t xml:space="preserve"> </w:t>
      </w:r>
      <w:r w:rsidR="006B07CE" w:rsidRPr="008A132B">
        <w:rPr>
          <w:szCs w:val="24"/>
          <w:lang w:val="en-ZA"/>
        </w:rPr>
        <w:t xml:space="preserve">Because it had allegedly done so, it was said that it acted </w:t>
      </w:r>
      <w:r w:rsidR="00053BCD" w:rsidRPr="008A132B">
        <w:rPr>
          <w:szCs w:val="24"/>
          <w:lang w:val="en-ZA"/>
        </w:rPr>
        <w:t xml:space="preserve">unlawfully, and </w:t>
      </w:r>
      <w:r w:rsidR="006B07CE" w:rsidRPr="008A132B">
        <w:rPr>
          <w:szCs w:val="24"/>
          <w:lang w:val="en-ZA"/>
        </w:rPr>
        <w:t>th</w:t>
      </w:r>
      <w:r w:rsidR="00053BCD" w:rsidRPr="008A132B">
        <w:rPr>
          <w:szCs w:val="24"/>
          <w:lang w:val="en-ZA"/>
        </w:rPr>
        <w:t xml:space="preserve">e </w:t>
      </w:r>
      <w:r w:rsidR="00053BCD" w:rsidRPr="008A132B">
        <w:rPr>
          <w:rFonts w:cs="Arial"/>
          <w:szCs w:val="24"/>
          <w:lang w:val="en-ZA"/>
        </w:rPr>
        <w:t xml:space="preserve">Minister </w:t>
      </w:r>
      <w:r w:rsidR="006B07CE" w:rsidRPr="008A132B">
        <w:rPr>
          <w:rFonts w:cs="Arial"/>
          <w:szCs w:val="24"/>
          <w:lang w:val="en-ZA"/>
        </w:rPr>
        <w:t xml:space="preserve">was requested </w:t>
      </w:r>
      <w:r w:rsidR="00053BCD" w:rsidRPr="008A132B">
        <w:rPr>
          <w:rFonts w:cs="Arial"/>
          <w:szCs w:val="24"/>
          <w:lang w:val="en-ZA"/>
        </w:rPr>
        <w:t xml:space="preserve">to suspend </w:t>
      </w:r>
      <w:r w:rsidR="00053BCD" w:rsidRPr="008A132B">
        <w:rPr>
          <w:szCs w:val="24"/>
          <w:lang w:val="en-ZA"/>
        </w:rPr>
        <w:t xml:space="preserve">the </w:t>
      </w:r>
      <w:r w:rsidR="006B07CE" w:rsidRPr="008A132B">
        <w:rPr>
          <w:szCs w:val="24"/>
          <w:lang w:val="en-ZA"/>
        </w:rPr>
        <w:t xml:space="preserve">mining </w:t>
      </w:r>
      <w:r w:rsidR="00053BCD" w:rsidRPr="008A132B">
        <w:rPr>
          <w:szCs w:val="24"/>
          <w:lang w:val="en-ZA"/>
        </w:rPr>
        <w:t>right</w:t>
      </w:r>
      <w:r w:rsidR="00053BCD" w:rsidRPr="008A132B">
        <w:rPr>
          <w:rFonts w:cs="Arial"/>
          <w:szCs w:val="24"/>
          <w:lang w:val="en-ZA"/>
        </w:rPr>
        <w:t xml:space="preserve"> in terms of s 47(1)</w:t>
      </w:r>
      <w:r w:rsidR="00053BCD" w:rsidRPr="008A132B">
        <w:rPr>
          <w:rFonts w:cs="Arial"/>
          <w:i/>
          <w:szCs w:val="24"/>
          <w:lang w:val="en-ZA"/>
        </w:rPr>
        <w:t>(d)</w:t>
      </w:r>
      <w:r w:rsidR="00053BCD" w:rsidRPr="008A132B">
        <w:rPr>
          <w:rFonts w:cs="Arial"/>
          <w:szCs w:val="24"/>
          <w:lang w:val="en-ZA"/>
        </w:rPr>
        <w:t xml:space="preserve"> of the MPRDA.</w:t>
      </w:r>
    </w:p>
    <w:p w14:paraId="6EEEDA1E" w14:textId="77777777" w:rsidR="000C51A8" w:rsidRPr="008A132B" w:rsidRDefault="000C51A8" w:rsidP="00CC12CF">
      <w:pPr>
        <w:spacing w:line="360" w:lineRule="auto"/>
        <w:jc w:val="both"/>
      </w:pPr>
    </w:p>
    <w:p w14:paraId="58F0A95D" w14:textId="0D6C7895" w:rsidR="00053BCD"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[110]</w:t>
      </w:r>
      <w:r w:rsidRPr="008A132B">
        <w:rPr>
          <w:rFonts w:cs="Arial"/>
          <w:iCs w:val="0"/>
          <w:szCs w:val="24"/>
          <w:lang w:val="en-ZA"/>
        </w:rPr>
        <w:tab/>
      </w:r>
      <w:r w:rsidR="00053BCD" w:rsidRPr="008A132B">
        <w:rPr>
          <w:rFonts w:cs="Arial"/>
          <w:szCs w:val="24"/>
          <w:lang w:val="en-ZA"/>
        </w:rPr>
        <w:t>Section 47(1)</w:t>
      </w:r>
      <w:r w:rsidR="00053BCD" w:rsidRPr="008A132B">
        <w:rPr>
          <w:rFonts w:cs="Arial"/>
          <w:i/>
          <w:szCs w:val="24"/>
          <w:lang w:val="en-ZA"/>
        </w:rPr>
        <w:t>(d)</w:t>
      </w:r>
      <w:r w:rsidR="00053BCD" w:rsidRPr="008A132B">
        <w:rPr>
          <w:rFonts w:cs="Arial"/>
          <w:szCs w:val="24"/>
          <w:lang w:val="en-ZA"/>
        </w:rPr>
        <w:t xml:space="preserve"> of the MPRDA provides for a suspension, but it caters for an entirely different situation to that provided for in terms of s 96(2)</w:t>
      </w:r>
      <w:r w:rsidR="00053BCD" w:rsidRPr="008A132B">
        <w:rPr>
          <w:rFonts w:cs="Arial"/>
          <w:i/>
          <w:szCs w:val="24"/>
          <w:lang w:val="en-ZA"/>
        </w:rPr>
        <w:t>(a)</w:t>
      </w:r>
      <w:r w:rsidR="00053BCD" w:rsidRPr="008A132B">
        <w:rPr>
          <w:rFonts w:cs="Arial"/>
          <w:szCs w:val="24"/>
          <w:lang w:val="en-ZA"/>
        </w:rPr>
        <w:t>. S</w:t>
      </w:r>
      <w:r w:rsidR="002F4534" w:rsidRPr="008A132B">
        <w:rPr>
          <w:rFonts w:cs="Arial"/>
          <w:szCs w:val="24"/>
          <w:lang w:val="en-ZA"/>
        </w:rPr>
        <w:t>ection</w:t>
      </w:r>
      <w:r w:rsidR="008A132B" w:rsidRPr="008A132B">
        <w:rPr>
          <w:rFonts w:cs="Arial"/>
          <w:szCs w:val="24"/>
          <w:lang w:val="en-ZA"/>
        </w:rPr>
        <w:t> </w:t>
      </w:r>
      <w:r w:rsidR="00053BCD" w:rsidRPr="008A132B">
        <w:rPr>
          <w:rFonts w:cs="Arial"/>
          <w:szCs w:val="24"/>
          <w:lang w:val="en-ZA"/>
        </w:rPr>
        <w:t>47(1)</w:t>
      </w:r>
      <w:r w:rsidR="00053BCD" w:rsidRPr="008A132B">
        <w:rPr>
          <w:rFonts w:cs="Arial"/>
          <w:i/>
          <w:szCs w:val="24"/>
          <w:lang w:val="en-ZA"/>
        </w:rPr>
        <w:t>(d)</w:t>
      </w:r>
      <w:r w:rsidR="00053BCD" w:rsidRPr="008A132B">
        <w:rPr>
          <w:rFonts w:cs="Arial"/>
          <w:szCs w:val="24"/>
          <w:lang w:val="en-ZA"/>
        </w:rPr>
        <w:t xml:space="preserve"> </w:t>
      </w:r>
      <w:r w:rsidR="006B07CE" w:rsidRPr="008A132B">
        <w:rPr>
          <w:rFonts w:cs="Arial"/>
          <w:szCs w:val="24"/>
          <w:lang w:val="en-ZA"/>
        </w:rPr>
        <w:t xml:space="preserve">relates to </w:t>
      </w:r>
      <w:r w:rsidR="00053BCD" w:rsidRPr="008A132B">
        <w:rPr>
          <w:rFonts w:cs="Arial"/>
          <w:szCs w:val="24"/>
          <w:lang w:val="en-ZA"/>
        </w:rPr>
        <w:t>the Minister suspend</w:t>
      </w:r>
      <w:r w:rsidR="006B07CE" w:rsidRPr="008A132B">
        <w:rPr>
          <w:rFonts w:cs="Arial"/>
          <w:szCs w:val="24"/>
          <w:lang w:val="en-ZA"/>
        </w:rPr>
        <w:t>ing</w:t>
      </w:r>
      <w:r w:rsidR="00053BCD" w:rsidRPr="008A132B">
        <w:rPr>
          <w:rFonts w:cs="Arial"/>
          <w:szCs w:val="24"/>
          <w:lang w:val="en-ZA"/>
        </w:rPr>
        <w:t xml:space="preserve"> a mining right on the basis of past misconduct by a mining right applicant. S</w:t>
      </w:r>
      <w:r w:rsidR="002F4534" w:rsidRPr="008A132B">
        <w:rPr>
          <w:rFonts w:cs="Arial"/>
          <w:szCs w:val="24"/>
          <w:lang w:val="en-ZA"/>
        </w:rPr>
        <w:t xml:space="preserve">ection </w:t>
      </w:r>
      <w:r w:rsidR="00053BCD" w:rsidRPr="008A132B">
        <w:rPr>
          <w:rFonts w:cs="Arial"/>
          <w:szCs w:val="24"/>
          <w:lang w:val="en-ZA"/>
        </w:rPr>
        <w:t>96(2)</w:t>
      </w:r>
      <w:r w:rsidR="00053BCD" w:rsidRPr="008A132B">
        <w:rPr>
          <w:rFonts w:cs="Arial"/>
          <w:i/>
          <w:szCs w:val="24"/>
          <w:lang w:val="en-ZA"/>
        </w:rPr>
        <w:t>(a)</w:t>
      </w:r>
      <w:r w:rsidR="00053BCD" w:rsidRPr="008A132B">
        <w:rPr>
          <w:rFonts w:cs="Arial"/>
          <w:szCs w:val="24"/>
          <w:lang w:val="en-ZA"/>
        </w:rPr>
        <w:t xml:space="preserve"> provides for prospective consequences of allowing a </w:t>
      </w:r>
      <w:r w:rsidR="006B07CE" w:rsidRPr="008A132B">
        <w:rPr>
          <w:rFonts w:cs="Arial"/>
          <w:szCs w:val="24"/>
          <w:lang w:val="en-ZA"/>
        </w:rPr>
        <w:t>m</w:t>
      </w:r>
      <w:r w:rsidR="00053BCD" w:rsidRPr="008A132B">
        <w:rPr>
          <w:rFonts w:cs="Arial"/>
          <w:szCs w:val="24"/>
          <w:lang w:val="en-ZA"/>
        </w:rPr>
        <w:t xml:space="preserve">ining </w:t>
      </w:r>
      <w:r w:rsidR="006B07CE" w:rsidRPr="008A132B">
        <w:rPr>
          <w:rFonts w:cs="Arial"/>
          <w:szCs w:val="24"/>
          <w:lang w:val="en-ZA"/>
        </w:rPr>
        <w:t>r</w:t>
      </w:r>
      <w:r w:rsidR="00053BCD" w:rsidRPr="008A132B">
        <w:rPr>
          <w:rFonts w:cs="Arial"/>
          <w:szCs w:val="24"/>
          <w:lang w:val="en-ZA"/>
        </w:rPr>
        <w:t xml:space="preserve">ight which is subject to appeal, to be suspended pending the determination of the appeal. </w:t>
      </w:r>
    </w:p>
    <w:p w14:paraId="24C7252D" w14:textId="77777777" w:rsidR="00053BCD" w:rsidRPr="008A132B" w:rsidRDefault="00053BCD" w:rsidP="00CC12CF">
      <w:pPr>
        <w:pStyle w:val="2"/>
        <w:numPr>
          <w:ilvl w:val="0"/>
          <w:numId w:val="0"/>
        </w:numPr>
        <w:spacing w:before="0" w:line="360" w:lineRule="auto"/>
        <w:rPr>
          <w:rFonts w:cs="Arial"/>
          <w:szCs w:val="24"/>
          <w:lang w:val="en-ZA"/>
        </w:rPr>
      </w:pPr>
    </w:p>
    <w:p w14:paraId="239E3B37" w14:textId="415C4FC1" w:rsidR="00053BCD"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[111]</w:t>
      </w:r>
      <w:r w:rsidRPr="008A132B">
        <w:rPr>
          <w:rFonts w:cs="Arial"/>
          <w:iCs w:val="0"/>
          <w:szCs w:val="24"/>
          <w:lang w:val="en-ZA"/>
        </w:rPr>
        <w:tab/>
      </w:r>
      <w:r w:rsidR="00053BCD" w:rsidRPr="008A132B">
        <w:rPr>
          <w:rFonts w:cs="Arial"/>
          <w:szCs w:val="24"/>
          <w:lang w:val="en-ZA"/>
        </w:rPr>
        <w:t xml:space="preserve">The basis upon which the Minister was asked to exercise his s 47 powers were the findings </w:t>
      </w:r>
      <w:r w:rsidR="0041441D" w:rsidRPr="008A132B">
        <w:rPr>
          <w:rFonts w:cs="Arial"/>
          <w:szCs w:val="24"/>
          <w:lang w:val="en-ZA"/>
        </w:rPr>
        <w:t xml:space="preserve">by </w:t>
      </w:r>
      <w:r w:rsidR="00053BCD" w:rsidRPr="008A132B">
        <w:rPr>
          <w:rFonts w:cs="Arial"/>
          <w:szCs w:val="24"/>
          <w:lang w:val="en-ZA"/>
        </w:rPr>
        <w:t xml:space="preserve">Bam J, rather than any prospective conduct or harm that would be suffered by any person if Tendele was permitted to commence mining in terms of its </w:t>
      </w:r>
      <w:r w:rsidR="00B058EE" w:rsidRPr="008A132B">
        <w:rPr>
          <w:rFonts w:cs="Arial"/>
          <w:szCs w:val="24"/>
          <w:lang w:val="en-ZA"/>
        </w:rPr>
        <w:t xml:space="preserve">mining right </w:t>
      </w:r>
      <w:r w:rsidR="006B07CE" w:rsidRPr="008A132B">
        <w:rPr>
          <w:rFonts w:cs="Arial"/>
          <w:szCs w:val="24"/>
          <w:lang w:val="en-ZA"/>
        </w:rPr>
        <w:t xml:space="preserve">in the respects foreshadowed in the letters, </w:t>
      </w:r>
      <w:r w:rsidR="00053BCD" w:rsidRPr="008A132B">
        <w:rPr>
          <w:rFonts w:cs="Arial"/>
          <w:szCs w:val="24"/>
          <w:lang w:val="en-ZA"/>
        </w:rPr>
        <w:t xml:space="preserve">pending the determination of the appeal. </w:t>
      </w:r>
      <w:r w:rsidR="0041441D" w:rsidRPr="008A132B">
        <w:rPr>
          <w:rFonts w:cs="Arial"/>
          <w:szCs w:val="24"/>
          <w:lang w:val="en-ZA"/>
        </w:rPr>
        <w:t xml:space="preserve">The considerations </w:t>
      </w:r>
      <w:r w:rsidR="006B07CE" w:rsidRPr="008A132B">
        <w:rPr>
          <w:rFonts w:cs="Arial"/>
          <w:szCs w:val="24"/>
          <w:lang w:val="en-ZA"/>
        </w:rPr>
        <w:t xml:space="preserve">are </w:t>
      </w:r>
      <w:r w:rsidR="0041441D" w:rsidRPr="008A132B">
        <w:rPr>
          <w:rFonts w:cs="Arial"/>
          <w:szCs w:val="24"/>
          <w:lang w:val="en-ZA"/>
        </w:rPr>
        <w:t>entirely different.</w:t>
      </w:r>
    </w:p>
    <w:p w14:paraId="3C5FE448" w14:textId="77777777" w:rsidR="0041441D" w:rsidRPr="008A132B" w:rsidRDefault="0041441D" w:rsidP="00CC12CF">
      <w:pPr>
        <w:pStyle w:val="2"/>
        <w:numPr>
          <w:ilvl w:val="0"/>
          <w:numId w:val="0"/>
        </w:numPr>
        <w:spacing w:before="0" w:line="360" w:lineRule="auto"/>
        <w:rPr>
          <w:rFonts w:cs="Arial"/>
          <w:szCs w:val="24"/>
          <w:lang w:val="en-ZA"/>
        </w:rPr>
      </w:pPr>
    </w:p>
    <w:p w14:paraId="146B570F" w14:textId="0C8ABC09" w:rsidR="00817CA0" w:rsidRPr="008A132B" w:rsidRDefault="006D79CC" w:rsidP="006D79CC">
      <w:pPr>
        <w:pStyle w:val="2"/>
        <w:numPr>
          <w:ilvl w:val="0"/>
          <w:numId w:val="0"/>
        </w:numPr>
        <w:spacing w:before="0" w:line="360" w:lineRule="auto"/>
        <w:rPr>
          <w:rFonts w:cs="Arial"/>
          <w:szCs w:val="24"/>
          <w:lang w:val="en-ZA"/>
        </w:rPr>
      </w:pPr>
      <w:r w:rsidRPr="008A132B">
        <w:rPr>
          <w:rFonts w:cs="Arial"/>
          <w:iCs w:val="0"/>
          <w:szCs w:val="24"/>
          <w:lang w:val="en-ZA"/>
        </w:rPr>
        <w:t>[112]</w:t>
      </w:r>
      <w:r w:rsidRPr="008A132B">
        <w:rPr>
          <w:rFonts w:cs="Arial"/>
          <w:iCs w:val="0"/>
          <w:szCs w:val="24"/>
          <w:lang w:val="en-ZA"/>
        </w:rPr>
        <w:tab/>
      </w:r>
      <w:r w:rsidR="00053BCD" w:rsidRPr="008A132B">
        <w:rPr>
          <w:rFonts w:cs="Arial"/>
          <w:szCs w:val="24"/>
          <w:lang w:val="en-ZA"/>
        </w:rPr>
        <w:t>The letter sent in June 2022 in terms of s 47 of the MPRDA therefore cannot be cons</w:t>
      </w:r>
      <w:r w:rsidR="0041441D" w:rsidRPr="008A132B">
        <w:rPr>
          <w:rFonts w:cs="Arial"/>
          <w:szCs w:val="24"/>
          <w:lang w:val="en-ZA"/>
        </w:rPr>
        <w:t xml:space="preserve">idered as </w:t>
      </w:r>
      <w:r w:rsidR="006B07CE" w:rsidRPr="008A132B">
        <w:rPr>
          <w:rFonts w:cs="Arial"/>
          <w:szCs w:val="24"/>
          <w:lang w:val="en-ZA"/>
        </w:rPr>
        <w:t xml:space="preserve">invoking, and less so, </w:t>
      </w:r>
      <w:r w:rsidR="00053BCD" w:rsidRPr="008A132B">
        <w:rPr>
          <w:rFonts w:cs="Arial"/>
          <w:szCs w:val="24"/>
          <w:lang w:val="en-ZA"/>
        </w:rPr>
        <w:t>exhausti</w:t>
      </w:r>
      <w:r w:rsidR="0041441D" w:rsidRPr="008A132B">
        <w:rPr>
          <w:rFonts w:cs="Arial"/>
          <w:szCs w:val="24"/>
          <w:lang w:val="en-ZA"/>
        </w:rPr>
        <w:t xml:space="preserve">ng </w:t>
      </w:r>
      <w:r w:rsidR="00053BCD" w:rsidRPr="008A132B">
        <w:rPr>
          <w:rFonts w:cs="Arial"/>
          <w:szCs w:val="24"/>
          <w:lang w:val="en-ZA"/>
        </w:rPr>
        <w:t xml:space="preserve">the </w:t>
      </w:r>
      <w:r w:rsidR="0041441D" w:rsidRPr="008A132B">
        <w:rPr>
          <w:rFonts w:cs="Arial"/>
          <w:szCs w:val="24"/>
          <w:lang w:val="en-ZA"/>
        </w:rPr>
        <w:t>re</w:t>
      </w:r>
      <w:r w:rsidR="00053BCD" w:rsidRPr="008A132B">
        <w:rPr>
          <w:rFonts w:cs="Arial"/>
          <w:szCs w:val="24"/>
          <w:lang w:val="en-ZA"/>
        </w:rPr>
        <w:t>medy in s 96(2)</w:t>
      </w:r>
      <w:r w:rsidR="00053BCD" w:rsidRPr="008A132B">
        <w:rPr>
          <w:rFonts w:cs="Arial"/>
          <w:i/>
          <w:szCs w:val="24"/>
          <w:lang w:val="en-ZA"/>
        </w:rPr>
        <w:t>(a)</w:t>
      </w:r>
      <w:r w:rsidR="0041441D" w:rsidRPr="008A132B">
        <w:rPr>
          <w:rFonts w:cs="Arial"/>
          <w:szCs w:val="24"/>
          <w:lang w:val="en-ZA"/>
        </w:rPr>
        <w:t xml:space="preserve">. The latter </w:t>
      </w:r>
      <w:r w:rsidR="00053BCD" w:rsidRPr="008A132B">
        <w:rPr>
          <w:rFonts w:cs="Arial"/>
          <w:szCs w:val="24"/>
          <w:lang w:val="en-ZA"/>
        </w:rPr>
        <w:t>would require a</w:t>
      </w:r>
      <w:r w:rsidR="0041441D" w:rsidRPr="008A132B">
        <w:rPr>
          <w:rFonts w:cs="Arial"/>
          <w:szCs w:val="24"/>
          <w:lang w:val="en-ZA"/>
        </w:rPr>
        <w:t xml:space="preserve"> </w:t>
      </w:r>
      <w:r w:rsidR="00053BCD" w:rsidRPr="008A132B">
        <w:rPr>
          <w:rFonts w:cs="Arial"/>
          <w:szCs w:val="24"/>
          <w:lang w:val="en-ZA"/>
        </w:rPr>
        <w:t>different application</w:t>
      </w:r>
      <w:r w:rsidR="006B07CE" w:rsidRPr="008A132B">
        <w:rPr>
          <w:rFonts w:cs="Arial"/>
          <w:szCs w:val="24"/>
          <w:lang w:val="en-ZA"/>
        </w:rPr>
        <w:t xml:space="preserve">, in which the </w:t>
      </w:r>
      <w:r w:rsidR="00053BCD" w:rsidRPr="008A132B">
        <w:rPr>
          <w:rFonts w:cs="Arial"/>
          <w:szCs w:val="24"/>
          <w:lang w:val="en-ZA"/>
        </w:rPr>
        <w:t xml:space="preserve">Minister </w:t>
      </w:r>
      <w:r w:rsidR="006B07CE" w:rsidRPr="008A132B">
        <w:rPr>
          <w:rFonts w:cs="Arial"/>
          <w:szCs w:val="24"/>
          <w:lang w:val="en-ZA"/>
        </w:rPr>
        <w:t xml:space="preserve">would be sought to be persuaded </w:t>
      </w:r>
      <w:r w:rsidR="00053BCD" w:rsidRPr="008A132B">
        <w:rPr>
          <w:rFonts w:cs="Arial"/>
          <w:szCs w:val="24"/>
          <w:lang w:val="en-ZA"/>
        </w:rPr>
        <w:t>that mining should not take place pending his determination of the appeal</w:t>
      </w:r>
      <w:r w:rsidR="0041441D" w:rsidRPr="008A132B">
        <w:rPr>
          <w:rFonts w:cs="Arial"/>
          <w:szCs w:val="24"/>
          <w:lang w:val="en-ZA"/>
        </w:rPr>
        <w:t xml:space="preserve">. </w:t>
      </w:r>
    </w:p>
    <w:p w14:paraId="1D4DE71F" w14:textId="1FDE5444" w:rsidR="00817CA0" w:rsidRPr="008A132B" w:rsidRDefault="00817CA0" w:rsidP="00CC12CF">
      <w:pPr>
        <w:pStyle w:val="1"/>
        <w:numPr>
          <w:ilvl w:val="0"/>
          <w:numId w:val="0"/>
        </w:numPr>
        <w:spacing w:before="0" w:line="360" w:lineRule="auto"/>
        <w:ind w:left="567" w:hanging="567"/>
        <w:rPr>
          <w:lang w:val="en-ZA"/>
        </w:rPr>
      </w:pPr>
    </w:p>
    <w:p w14:paraId="1D588913" w14:textId="77016B9F" w:rsidR="006B07CE" w:rsidRPr="008A132B" w:rsidRDefault="006D79CC" w:rsidP="006D79CC">
      <w:pPr>
        <w:spacing w:line="360" w:lineRule="auto"/>
        <w:jc w:val="both"/>
      </w:pPr>
      <w:r w:rsidRPr="008A132B">
        <w:rPr>
          <w:szCs w:val="24"/>
        </w:rPr>
        <w:t>[113]</w:t>
      </w:r>
      <w:r w:rsidRPr="008A132B">
        <w:rPr>
          <w:szCs w:val="24"/>
        </w:rPr>
        <w:tab/>
      </w:r>
      <w:r w:rsidR="002618D8" w:rsidRPr="008A132B">
        <w:t xml:space="preserve">In argument, the applicants also submitted that the Minister had not reacted to the letter that was sent in terms of s 47, accordingly, that the response would have been no different in respect of an application in terms of s 96, hence that even if </w:t>
      </w:r>
      <w:r w:rsidR="006B07CE" w:rsidRPr="008A132B">
        <w:t xml:space="preserve">the remedy of </w:t>
      </w:r>
      <w:r w:rsidR="002618D8" w:rsidRPr="008A132B">
        <w:t xml:space="preserve">a suspension </w:t>
      </w:r>
      <w:r w:rsidR="006B07CE" w:rsidRPr="008A132B">
        <w:t xml:space="preserve">of the mining right </w:t>
      </w:r>
      <w:r w:rsidR="002618D8" w:rsidRPr="008A132B">
        <w:t>might be available in terms of s 96, the fact that the Minister did not respond to the application in terms of s 47</w:t>
      </w:r>
      <w:r w:rsidR="0041441D" w:rsidRPr="008A132B">
        <w:t xml:space="preserve">, would </w:t>
      </w:r>
      <w:r w:rsidR="002618D8" w:rsidRPr="008A132B">
        <w:t xml:space="preserve">hardly render </w:t>
      </w:r>
      <w:r w:rsidR="002618D8" w:rsidRPr="008A132B">
        <w:lastRenderedPageBreak/>
        <w:t>the availability of an application in terms of s 96</w:t>
      </w:r>
      <w:r w:rsidR="0041441D" w:rsidRPr="008A132B">
        <w:t>,</w:t>
      </w:r>
      <w:r w:rsidR="002618D8" w:rsidRPr="008A132B">
        <w:t xml:space="preserve"> a satisfactory remedy.</w:t>
      </w:r>
      <w:r w:rsidR="0041441D" w:rsidRPr="008A132B">
        <w:t xml:space="preserve"> S</w:t>
      </w:r>
      <w:r w:rsidR="00602BD2" w:rsidRPr="008A132B">
        <w:t>ection </w:t>
      </w:r>
      <w:r w:rsidR="0041441D" w:rsidRPr="008A132B">
        <w:t>96 might afford a remedy, but, according to the applicants, not a satisfactory remedy.</w:t>
      </w:r>
    </w:p>
    <w:p w14:paraId="5105D116" w14:textId="77777777" w:rsidR="00CC12CF" w:rsidRPr="008A132B" w:rsidRDefault="00CC12CF" w:rsidP="00CC12CF">
      <w:pPr>
        <w:spacing w:line="360" w:lineRule="auto"/>
        <w:jc w:val="both"/>
      </w:pPr>
    </w:p>
    <w:p w14:paraId="4D9FAFF7" w14:textId="07418113" w:rsidR="002618D8" w:rsidRPr="008A132B" w:rsidRDefault="006D79CC" w:rsidP="006D79CC">
      <w:pPr>
        <w:spacing w:line="360" w:lineRule="auto"/>
        <w:jc w:val="both"/>
      </w:pPr>
      <w:r w:rsidRPr="008A132B">
        <w:rPr>
          <w:szCs w:val="24"/>
        </w:rPr>
        <w:t>[114]</w:t>
      </w:r>
      <w:r w:rsidRPr="008A132B">
        <w:rPr>
          <w:szCs w:val="24"/>
        </w:rPr>
        <w:tab/>
      </w:r>
      <w:r w:rsidR="00817CA0" w:rsidRPr="008A132B">
        <w:rPr>
          <w:szCs w:val="24"/>
        </w:rPr>
        <w:t xml:space="preserve">The </w:t>
      </w:r>
      <w:r w:rsidR="002618D8" w:rsidRPr="008A132B">
        <w:rPr>
          <w:szCs w:val="24"/>
        </w:rPr>
        <w:t>fact that the application in terms of s 47 might have met with no response</w:t>
      </w:r>
      <w:r w:rsidR="0041441D" w:rsidRPr="008A132B">
        <w:rPr>
          <w:szCs w:val="24"/>
        </w:rPr>
        <w:t xml:space="preserve"> from the Minister</w:t>
      </w:r>
      <w:r w:rsidR="002618D8" w:rsidRPr="008A132B">
        <w:rPr>
          <w:szCs w:val="24"/>
        </w:rPr>
        <w:t xml:space="preserve"> does not mean that an appropriate application in terms of s 96 would</w:t>
      </w:r>
      <w:r w:rsidR="0041441D" w:rsidRPr="008A132B">
        <w:rPr>
          <w:szCs w:val="24"/>
        </w:rPr>
        <w:t xml:space="preserve"> have met with a similar response, and </w:t>
      </w:r>
      <w:r w:rsidR="009B6C59">
        <w:rPr>
          <w:szCs w:val="24"/>
        </w:rPr>
        <w:t xml:space="preserve">would </w:t>
      </w:r>
      <w:r w:rsidR="0041441D" w:rsidRPr="008A132B">
        <w:rPr>
          <w:szCs w:val="24"/>
        </w:rPr>
        <w:t>hence</w:t>
      </w:r>
      <w:r w:rsidR="002618D8" w:rsidRPr="008A132B">
        <w:rPr>
          <w:szCs w:val="24"/>
        </w:rPr>
        <w:t xml:space="preserve"> not constitute a satisfactory alternative remedy which should have been exhausted</w:t>
      </w:r>
      <w:r w:rsidR="009B6C59">
        <w:rPr>
          <w:szCs w:val="24"/>
        </w:rPr>
        <w:t xml:space="preserve">. </w:t>
      </w:r>
      <w:r w:rsidR="002618D8" w:rsidRPr="008A132B">
        <w:rPr>
          <w:szCs w:val="24"/>
        </w:rPr>
        <w:t>If the Minister was dilatory in considering the application for suspension of the mining right and EMPr</w:t>
      </w:r>
      <w:r w:rsidR="009B6C59">
        <w:rPr>
          <w:szCs w:val="24"/>
        </w:rPr>
        <w:t xml:space="preserve"> pursuant to s 96</w:t>
      </w:r>
      <w:r w:rsidR="006B07CE" w:rsidRPr="008A132B">
        <w:rPr>
          <w:szCs w:val="24"/>
        </w:rPr>
        <w:t>,</w:t>
      </w:r>
      <w:r w:rsidR="002618D8" w:rsidRPr="008A132B">
        <w:rPr>
          <w:szCs w:val="24"/>
        </w:rPr>
        <w:t xml:space="preserve"> then he should be compelled to do so. </w:t>
      </w:r>
    </w:p>
    <w:p w14:paraId="1D80FCAF" w14:textId="77777777" w:rsidR="00EA2F0E" w:rsidRPr="008A132B" w:rsidRDefault="00EA2F0E" w:rsidP="00CC12CF">
      <w:pPr>
        <w:spacing w:line="360" w:lineRule="auto"/>
        <w:jc w:val="both"/>
      </w:pPr>
    </w:p>
    <w:p w14:paraId="2F09EE1E" w14:textId="3662CC39" w:rsidR="00947F79" w:rsidRPr="008A132B" w:rsidRDefault="006D79CC" w:rsidP="006D79CC">
      <w:pPr>
        <w:spacing w:line="360" w:lineRule="auto"/>
        <w:jc w:val="both"/>
      </w:pPr>
      <w:r w:rsidRPr="008A132B">
        <w:rPr>
          <w:szCs w:val="24"/>
        </w:rPr>
        <w:t>[115]</w:t>
      </w:r>
      <w:r w:rsidRPr="008A132B">
        <w:rPr>
          <w:szCs w:val="24"/>
        </w:rPr>
        <w:tab/>
      </w:r>
      <w:r w:rsidR="002618D8" w:rsidRPr="008A132B">
        <w:rPr>
          <w:szCs w:val="24"/>
        </w:rPr>
        <w:t xml:space="preserve">I agree with the submission by Tendele that the </w:t>
      </w:r>
      <w:r w:rsidR="00817CA0" w:rsidRPr="008A132B">
        <w:rPr>
          <w:szCs w:val="24"/>
        </w:rPr>
        <w:t xml:space="preserve">omission </w:t>
      </w:r>
      <w:r w:rsidR="002618D8" w:rsidRPr="008A132B">
        <w:rPr>
          <w:szCs w:val="24"/>
        </w:rPr>
        <w:t xml:space="preserve">to pursue the alternative internal remedy </w:t>
      </w:r>
      <w:r w:rsidR="00817CA0" w:rsidRPr="008A132B">
        <w:rPr>
          <w:szCs w:val="24"/>
        </w:rPr>
        <w:t xml:space="preserve">is </w:t>
      </w:r>
      <w:r w:rsidR="0006170C" w:rsidRPr="008A132B">
        <w:rPr>
          <w:szCs w:val="24"/>
        </w:rPr>
        <w:t xml:space="preserve">an obstacle to the grant of interdictory relief. This is particularly so as the decision </w:t>
      </w:r>
      <w:r w:rsidR="00947F79" w:rsidRPr="008A132B">
        <w:rPr>
          <w:szCs w:val="24"/>
        </w:rPr>
        <w:t xml:space="preserve">whether to suspend the mining right is a </w:t>
      </w:r>
      <w:r w:rsidR="0006170C" w:rsidRPr="008A132B">
        <w:rPr>
          <w:szCs w:val="24"/>
        </w:rPr>
        <w:t>polycentric one</w:t>
      </w:r>
      <w:r w:rsidR="00947F79" w:rsidRPr="008A132B">
        <w:rPr>
          <w:szCs w:val="24"/>
        </w:rPr>
        <w:t>,</w:t>
      </w:r>
      <w:r w:rsidR="0006170C" w:rsidRPr="008A132B">
        <w:rPr>
          <w:szCs w:val="24"/>
        </w:rPr>
        <w:t xml:space="preserve"> best determined </w:t>
      </w:r>
      <w:r w:rsidR="00947F79" w:rsidRPr="008A132B">
        <w:rPr>
          <w:szCs w:val="24"/>
        </w:rPr>
        <w:t>by a statutorily ordained administrator, who can benefit from the advice and input of experts in the relevant department, who deal with the considerations involved on a policy basis.</w:t>
      </w:r>
    </w:p>
    <w:p w14:paraId="2E0833E3" w14:textId="0167CD0B" w:rsidR="00EA2F0E" w:rsidRPr="008A132B" w:rsidRDefault="00947F79" w:rsidP="00CC12CF">
      <w:pPr>
        <w:spacing w:line="360" w:lineRule="auto"/>
        <w:jc w:val="both"/>
      </w:pPr>
      <w:r w:rsidRPr="008A132B">
        <w:rPr>
          <w:szCs w:val="24"/>
        </w:rPr>
        <w:t xml:space="preserve"> </w:t>
      </w:r>
    </w:p>
    <w:p w14:paraId="02A637FC" w14:textId="18A2BE14" w:rsidR="00817CA0" w:rsidRPr="008A132B" w:rsidRDefault="006D79CC" w:rsidP="006D79CC">
      <w:pPr>
        <w:spacing w:line="360" w:lineRule="auto"/>
        <w:jc w:val="both"/>
      </w:pPr>
      <w:r w:rsidRPr="008A132B">
        <w:rPr>
          <w:szCs w:val="24"/>
        </w:rPr>
        <w:t>[116]</w:t>
      </w:r>
      <w:r w:rsidRPr="008A132B">
        <w:rPr>
          <w:szCs w:val="24"/>
        </w:rPr>
        <w:tab/>
      </w:r>
      <w:r w:rsidR="00817CA0" w:rsidRPr="008A132B">
        <w:rPr>
          <w:szCs w:val="24"/>
        </w:rPr>
        <w:t>The Minister</w:t>
      </w:r>
      <w:r w:rsidR="00B34BA8" w:rsidRPr="008A132B">
        <w:rPr>
          <w:szCs w:val="24"/>
        </w:rPr>
        <w:t xml:space="preserve">, supported by the departmental officials advising him, </w:t>
      </w:r>
      <w:r w:rsidR="00817CA0" w:rsidRPr="008A132B">
        <w:rPr>
          <w:szCs w:val="24"/>
        </w:rPr>
        <w:t>ha</w:t>
      </w:r>
      <w:r w:rsidR="00B34BA8" w:rsidRPr="008A132B">
        <w:rPr>
          <w:szCs w:val="24"/>
        </w:rPr>
        <w:t>ve</w:t>
      </w:r>
      <w:r w:rsidR="00817CA0" w:rsidRPr="008A132B">
        <w:rPr>
          <w:szCs w:val="24"/>
        </w:rPr>
        <w:t xml:space="preserve"> the necessary technical expertise and information to make the polycentric policy decisions that are implicated in such applications. </w:t>
      </w:r>
      <w:r w:rsidR="006B07CE" w:rsidRPr="008A132B">
        <w:rPr>
          <w:szCs w:val="24"/>
        </w:rPr>
        <w:t xml:space="preserve">The </w:t>
      </w:r>
      <w:r w:rsidR="00817CA0" w:rsidRPr="008A132B">
        <w:rPr>
          <w:szCs w:val="24"/>
        </w:rPr>
        <w:t xml:space="preserve">Constitutional Court in </w:t>
      </w:r>
      <w:r w:rsidR="00817CA0" w:rsidRPr="008A132B">
        <w:rPr>
          <w:i/>
          <w:szCs w:val="24"/>
        </w:rPr>
        <w:t>Koyabe</w:t>
      </w:r>
      <w:r w:rsidR="00EB0057" w:rsidRPr="008A132B">
        <w:rPr>
          <w:i/>
          <w:szCs w:val="24"/>
        </w:rPr>
        <w:t xml:space="preserve"> v Minister of Home Affairs</w:t>
      </w:r>
      <w:r w:rsidR="006B07CE" w:rsidRPr="008A132B">
        <w:rPr>
          <w:szCs w:val="24"/>
        </w:rPr>
        <w:t xml:space="preserve"> remarked:</w:t>
      </w:r>
      <w:r w:rsidR="00817CA0" w:rsidRPr="008A132B">
        <w:rPr>
          <w:szCs w:val="24"/>
        </w:rPr>
        <w:t xml:space="preserve"> </w:t>
      </w:r>
    </w:p>
    <w:p w14:paraId="464DDCF4" w14:textId="08EC8F1D" w:rsidR="001D34C4" w:rsidRPr="008A132B" w:rsidRDefault="001D34C4" w:rsidP="001D34C4">
      <w:pPr>
        <w:pStyle w:val="2"/>
        <w:numPr>
          <w:ilvl w:val="0"/>
          <w:numId w:val="0"/>
        </w:numPr>
        <w:spacing w:before="0" w:line="360" w:lineRule="auto"/>
        <w:rPr>
          <w:rFonts w:cs="Arial"/>
          <w:sz w:val="22"/>
          <w:lang w:val="en-ZA" w:eastAsia="en-GB"/>
        </w:rPr>
      </w:pPr>
      <w:r w:rsidRPr="008A132B">
        <w:rPr>
          <w:rFonts w:cs="Arial"/>
          <w:sz w:val="22"/>
          <w:lang w:val="en-ZA" w:eastAsia="en-GB"/>
        </w:rPr>
        <w:t>’[35] Internal remedies are designed to provide immediate and cost-effective relief, giving the executive the opportunity to utilise its own mechanisms, rectifying irregularities first, before aggrieved parties resort to litigation. Although courts play a vital role in providing litigants with access to justice, the importance of more readily available and cost-effective internal remedies cannot be gainsaid.</w:t>
      </w:r>
    </w:p>
    <w:p w14:paraId="50507806" w14:textId="6296CD27" w:rsidR="00817CA0" w:rsidRPr="008A132B" w:rsidRDefault="001D34C4" w:rsidP="00604676">
      <w:pPr>
        <w:pStyle w:val="2"/>
        <w:numPr>
          <w:ilvl w:val="0"/>
          <w:numId w:val="0"/>
        </w:numPr>
        <w:spacing w:before="0" w:line="360" w:lineRule="auto"/>
        <w:rPr>
          <w:rFonts w:cs="Arial"/>
          <w:sz w:val="22"/>
          <w:lang w:val="en-ZA" w:eastAsia="en-GB"/>
        </w:rPr>
      </w:pPr>
      <w:r w:rsidRPr="008A132B">
        <w:rPr>
          <w:rFonts w:cs="Arial"/>
          <w:sz w:val="22"/>
          <w:lang w:val="en-ZA" w:eastAsia="en-GB"/>
        </w:rPr>
        <w:t xml:space="preserve">[36] First, approaching a court before the higher administrative body is given the opportunity to exhaust its own existing mechanisms undermines the autonomy of the administrative process. It renders the judicial process premature, effectively usurping the executive role and function. The scope of administrative action extends over a wide range of circumstances, and the crafting of specialist administrative procedures suited to the particular administrative action in question enhances procedural fairness as enshrined in our Constitution. Courts have often emphasised that what constitutes a “fair” procedure will depend on the nature of the administrative action and circumstances of the particular case. Thus, the need to allow executive agencies to utilise their own fair procedures is </w:t>
      </w:r>
      <w:r w:rsidR="00604676" w:rsidRPr="008A132B">
        <w:rPr>
          <w:rFonts w:cs="Arial"/>
          <w:sz w:val="22"/>
          <w:lang w:val="en-ZA" w:eastAsia="en-GB"/>
        </w:rPr>
        <w:t>crucial in administrative action.</w:t>
      </w:r>
    </w:p>
    <w:p w14:paraId="4E49374B" w14:textId="155EF5AB" w:rsidR="00604676" w:rsidRPr="008A132B" w:rsidRDefault="00604676" w:rsidP="00604676">
      <w:pPr>
        <w:pStyle w:val="2"/>
        <w:numPr>
          <w:ilvl w:val="0"/>
          <w:numId w:val="0"/>
        </w:numPr>
        <w:spacing w:before="0" w:line="360" w:lineRule="auto"/>
        <w:rPr>
          <w:rFonts w:cs="Arial"/>
          <w:sz w:val="22"/>
          <w:lang w:val="en-ZA" w:eastAsia="en-GB"/>
        </w:rPr>
      </w:pPr>
      <w:r w:rsidRPr="008A132B">
        <w:rPr>
          <w:rFonts w:cs="Arial"/>
          <w:sz w:val="22"/>
          <w:lang w:val="en-ZA" w:eastAsia="en-GB"/>
        </w:rPr>
        <w:t xml:space="preserve">. . . </w:t>
      </w:r>
    </w:p>
    <w:p w14:paraId="3A19503A" w14:textId="6262A292" w:rsidR="00817CA0" w:rsidRPr="008A132B" w:rsidRDefault="00604676" w:rsidP="00604676">
      <w:pPr>
        <w:pStyle w:val="2"/>
        <w:numPr>
          <w:ilvl w:val="0"/>
          <w:numId w:val="0"/>
        </w:numPr>
        <w:spacing w:before="0" w:line="360" w:lineRule="auto"/>
        <w:rPr>
          <w:rFonts w:cs="Arial"/>
          <w:lang w:val="en-ZA" w:eastAsia="en-GB"/>
        </w:rPr>
      </w:pPr>
      <w:r w:rsidRPr="008A132B">
        <w:rPr>
          <w:rFonts w:cs="Arial"/>
          <w:sz w:val="22"/>
          <w:lang w:val="en-ZA" w:eastAsia="en-GB"/>
        </w:rPr>
        <w:lastRenderedPageBreak/>
        <w:t>[37] Internal administrative remedies may require specialised knowledge which may be of a technical and/or practical nature. The same holds true for fact-intensive cases where administrators have easier access to the relevant facts and information.’</w:t>
      </w:r>
      <w:r w:rsidR="00817CA0" w:rsidRPr="008A132B">
        <w:rPr>
          <w:rStyle w:val="FootnoteReference"/>
          <w:rFonts w:cs="Arial"/>
          <w:sz w:val="22"/>
          <w:lang w:val="en-ZA" w:eastAsia="en-GB"/>
        </w:rPr>
        <w:footnoteReference w:id="102"/>
      </w:r>
      <w:r w:rsidRPr="008A132B">
        <w:rPr>
          <w:rFonts w:cs="Arial"/>
          <w:sz w:val="22"/>
          <w:lang w:val="en-ZA" w:eastAsia="en-GB"/>
        </w:rPr>
        <w:t xml:space="preserve"> </w:t>
      </w:r>
      <w:r w:rsidRPr="008A132B">
        <w:rPr>
          <w:rFonts w:cs="Arial"/>
          <w:lang w:val="en-ZA" w:eastAsia="en-GB"/>
        </w:rPr>
        <w:t>(footnotes omitted)</w:t>
      </w:r>
    </w:p>
    <w:p w14:paraId="4BAF672C" w14:textId="77777777" w:rsidR="00EA2F0E" w:rsidRPr="008A132B" w:rsidRDefault="00EA2F0E" w:rsidP="001D34C4">
      <w:pPr>
        <w:spacing w:line="360" w:lineRule="auto"/>
        <w:jc w:val="both"/>
      </w:pPr>
    </w:p>
    <w:p w14:paraId="368E46B0" w14:textId="52AB81E3" w:rsidR="00817CA0" w:rsidRPr="008A132B" w:rsidRDefault="006D79CC" w:rsidP="006D79CC">
      <w:pPr>
        <w:spacing w:line="360" w:lineRule="auto"/>
        <w:jc w:val="both"/>
      </w:pPr>
      <w:r w:rsidRPr="008A132B">
        <w:rPr>
          <w:szCs w:val="24"/>
        </w:rPr>
        <w:t>[117]</w:t>
      </w:r>
      <w:r w:rsidRPr="008A132B">
        <w:rPr>
          <w:szCs w:val="24"/>
        </w:rPr>
        <w:tab/>
      </w:r>
      <w:r w:rsidR="00817CA0" w:rsidRPr="008A132B">
        <w:rPr>
          <w:szCs w:val="24"/>
        </w:rPr>
        <w:t xml:space="preserve">In </w:t>
      </w:r>
      <w:r w:rsidR="00817CA0" w:rsidRPr="008A132B">
        <w:rPr>
          <w:i/>
          <w:szCs w:val="24"/>
        </w:rPr>
        <w:t>Dengetenge</w:t>
      </w:r>
      <w:r w:rsidR="00EB0057" w:rsidRPr="008A132B">
        <w:rPr>
          <w:i/>
          <w:szCs w:val="24"/>
        </w:rPr>
        <w:t xml:space="preserve"> v Southern Sphere Mining</w:t>
      </w:r>
      <w:r w:rsidR="00817CA0" w:rsidRPr="008A132B">
        <w:rPr>
          <w:szCs w:val="24"/>
        </w:rPr>
        <w:t>, the Constitutional Court</w:t>
      </w:r>
      <w:r w:rsidR="00112D12" w:rsidRPr="008A132B">
        <w:rPr>
          <w:szCs w:val="24"/>
        </w:rPr>
        <w:t>, in the context of the duty to exhaust the s 96(3) right of appeal before bringing a review,</w:t>
      </w:r>
      <w:r w:rsidR="00817CA0" w:rsidRPr="008A132B">
        <w:rPr>
          <w:szCs w:val="24"/>
        </w:rPr>
        <w:t xml:space="preserve"> emphasised the importance of exhausting the intern</w:t>
      </w:r>
      <w:r w:rsidR="008A132B" w:rsidRPr="008A132B">
        <w:rPr>
          <w:szCs w:val="24"/>
        </w:rPr>
        <w:t>al remedies provided by s </w:t>
      </w:r>
      <w:r w:rsidR="00817CA0" w:rsidRPr="008A132B">
        <w:rPr>
          <w:szCs w:val="24"/>
        </w:rPr>
        <w:t xml:space="preserve">96 of the MPRDA before approaching </w:t>
      </w:r>
      <w:r w:rsidR="00112D12" w:rsidRPr="008A132B">
        <w:rPr>
          <w:szCs w:val="24"/>
        </w:rPr>
        <w:t xml:space="preserve">a </w:t>
      </w:r>
      <w:r w:rsidR="00817CA0" w:rsidRPr="008A132B">
        <w:rPr>
          <w:szCs w:val="24"/>
        </w:rPr>
        <w:t>court.</w:t>
      </w:r>
      <w:r w:rsidR="00817CA0" w:rsidRPr="008A132B">
        <w:rPr>
          <w:rStyle w:val="FootnoteReference"/>
          <w:szCs w:val="24"/>
        </w:rPr>
        <w:footnoteReference w:id="103"/>
      </w:r>
      <w:r w:rsidR="00817CA0" w:rsidRPr="008A132B">
        <w:rPr>
          <w:szCs w:val="24"/>
        </w:rPr>
        <w:t xml:space="preserve"> As further held by the Constitutional Court in </w:t>
      </w:r>
      <w:r w:rsidR="00817CA0" w:rsidRPr="008A132B">
        <w:rPr>
          <w:i/>
          <w:szCs w:val="24"/>
        </w:rPr>
        <w:t>Gavric</w:t>
      </w:r>
      <w:r w:rsidR="00A36F79" w:rsidRPr="008A132B">
        <w:rPr>
          <w:i/>
          <w:iCs/>
          <w:szCs w:val="18"/>
        </w:rPr>
        <w:t xml:space="preserve"> v Refugee Status Determination Officer, Cape Town</w:t>
      </w:r>
      <w:r w:rsidR="00817CA0" w:rsidRPr="008A132B">
        <w:rPr>
          <w:szCs w:val="24"/>
        </w:rPr>
        <w:t>, the importance of internal remedies in resolving complex factual issues is pronounced when these issues are such that they often arise and would benefit from the structured involvement of a decision-maker with expertise in the field</w:t>
      </w:r>
      <w:r w:rsidR="00247303" w:rsidRPr="008A132B">
        <w:rPr>
          <w:szCs w:val="24"/>
        </w:rPr>
        <w:t>, it held</w:t>
      </w:r>
      <w:r w:rsidR="00817CA0" w:rsidRPr="008A132B">
        <w:rPr>
          <w:szCs w:val="24"/>
        </w:rPr>
        <w:t>.</w:t>
      </w:r>
      <w:r w:rsidR="00817CA0" w:rsidRPr="008A132B">
        <w:rPr>
          <w:rStyle w:val="FootnoteReference"/>
          <w:szCs w:val="24"/>
        </w:rPr>
        <w:footnoteReference w:id="104"/>
      </w:r>
      <w:r w:rsidR="00817CA0" w:rsidRPr="008A132B">
        <w:rPr>
          <w:szCs w:val="24"/>
        </w:rPr>
        <w:t xml:space="preserve"> </w:t>
      </w:r>
    </w:p>
    <w:p w14:paraId="0B3A8F47" w14:textId="38EAF915" w:rsidR="00817CA0" w:rsidRPr="008A132B" w:rsidRDefault="0094343A" w:rsidP="00A36F79">
      <w:pPr>
        <w:pStyle w:val="2"/>
        <w:numPr>
          <w:ilvl w:val="0"/>
          <w:numId w:val="0"/>
        </w:numPr>
        <w:spacing w:before="0" w:line="360" w:lineRule="auto"/>
        <w:rPr>
          <w:rFonts w:cs="Arial"/>
          <w:sz w:val="22"/>
          <w:lang w:val="en-ZA"/>
        </w:rPr>
      </w:pPr>
      <w:r w:rsidRPr="008A132B">
        <w:rPr>
          <w:rFonts w:cs="Arial"/>
          <w:sz w:val="22"/>
          <w:lang w:val="en-ZA"/>
        </w:rPr>
        <w:t>‘</w:t>
      </w:r>
      <w:r w:rsidR="00A36F79" w:rsidRPr="008A132B">
        <w:rPr>
          <w:rFonts w:cs="Arial"/>
          <w:sz w:val="22"/>
          <w:lang w:val="en-ZA"/>
        </w:rPr>
        <w:t>Providing for internal remedies is eminently sensible given the complex and specialised legal and factual issues that may arise; the number of cases concerned; the need to ensure that applicants for asylum are given a proper hearing and ventilation of their case; and the drastic and catastrophic consequences that may result if an applicant is wrongly refused asylum</w:t>
      </w:r>
      <w:r w:rsidR="00817CA0" w:rsidRPr="008A132B">
        <w:rPr>
          <w:rFonts w:cs="Arial"/>
          <w:sz w:val="22"/>
          <w:lang w:val="en-ZA"/>
        </w:rPr>
        <w:t>.</w:t>
      </w:r>
      <w:r w:rsidR="00247303" w:rsidRPr="008A132B">
        <w:rPr>
          <w:rFonts w:cs="Arial"/>
          <w:sz w:val="22"/>
          <w:lang w:val="en-ZA"/>
        </w:rPr>
        <w:t>’</w:t>
      </w:r>
    </w:p>
    <w:p w14:paraId="33C2038B" w14:textId="77777777" w:rsidR="002A04CC" w:rsidRPr="008A132B" w:rsidRDefault="002A04CC" w:rsidP="00CC12CF">
      <w:pPr>
        <w:spacing w:line="360" w:lineRule="auto"/>
        <w:jc w:val="both"/>
      </w:pPr>
    </w:p>
    <w:p w14:paraId="60975941" w14:textId="566097C7" w:rsidR="00817CA0" w:rsidRPr="008A132B" w:rsidRDefault="006D79CC" w:rsidP="006D79CC">
      <w:pPr>
        <w:spacing w:line="360" w:lineRule="auto"/>
        <w:jc w:val="both"/>
      </w:pPr>
      <w:r w:rsidRPr="008A132B">
        <w:rPr>
          <w:szCs w:val="24"/>
        </w:rPr>
        <w:t>[118]</w:t>
      </w:r>
      <w:r w:rsidRPr="008A132B">
        <w:rPr>
          <w:szCs w:val="24"/>
        </w:rPr>
        <w:tab/>
      </w:r>
      <w:r w:rsidR="00817CA0" w:rsidRPr="008A132B">
        <w:rPr>
          <w:szCs w:val="24"/>
        </w:rPr>
        <w:t xml:space="preserve">In </w:t>
      </w:r>
      <w:r w:rsidR="00F83993" w:rsidRPr="008A132B">
        <w:rPr>
          <w:i/>
          <w:szCs w:val="24"/>
        </w:rPr>
        <w:t>Eskom v</w:t>
      </w:r>
      <w:r w:rsidR="00F83993" w:rsidRPr="008A132B">
        <w:rPr>
          <w:szCs w:val="24"/>
        </w:rPr>
        <w:t xml:space="preserve"> </w:t>
      </w:r>
      <w:r w:rsidR="00817CA0" w:rsidRPr="008A132B">
        <w:rPr>
          <w:i/>
          <w:szCs w:val="24"/>
        </w:rPr>
        <w:t>Vaal River Development Association</w:t>
      </w:r>
      <w:r w:rsidR="00817CA0" w:rsidRPr="008A132B">
        <w:rPr>
          <w:szCs w:val="24"/>
        </w:rPr>
        <w:t xml:space="preserve">, the Constitutional Court </w:t>
      </w:r>
      <w:r w:rsidR="008A132B" w:rsidRPr="008A132B">
        <w:rPr>
          <w:szCs w:val="24"/>
        </w:rPr>
        <w:t>recogni</w:t>
      </w:r>
      <w:r w:rsidR="008A132B">
        <w:rPr>
          <w:szCs w:val="24"/>
        </w:rPr>
        <w:t>s</w:t>
      </w:r>
      <w:r w:rsidR="008A132B" w:rsidRPr="008A132B">
        <w:rPr>
          <w:szCs w:val="24"/>
        </w:rPr>
        <w:t>ed</w:t>
      </w:r>
      <w:r w:rsidR="00817CA0" w:rsidRPr="008A132B">
        <w:rPr>
          <w:szCs w:val="24"/>
        </w:rPr>
        <w:t xml:space="preserve"> that there are circumstances where: </w:t>
      </w:r>
    </w:p>
    <w:p w14:paraId="2947F0E0" w14:textId="4958969F" w:rsidR="00817CA0" w:rsidRPr="008A132B" w:rsidRDefault="0094343A" w:rsidP="00F83993">
      <w:pPr>
        <w:pStyle w:val="2"/>
        <w:numPr>
          <w:ilvl w:val="1"/>
          <w:numId w:val="0"/>
        </w:numPr>
        <w:spacing w:before="0" w:line="360" w:lineRule="auto"/>
        <w:rPr>
          <w:rFonts w:cs="Arial"/>
          <w:sz w:val="22"/>
          <w:lang w:val="en-ZA"/>
        </w:rPr>
      </w:pPr>
      <w:r w:rsidRPr="008A132B">
        <w:rPr>
          <w:rFonts w:cs="Arial"/>
          <w:sz w:val="22"/>
          <w:lang w:val="en-ZA"/>
        </w:rPr>
        <w:t>‘</w:t>
      </w:r>
      <w:r w:rsidR="00F83993" w:rsidRPr="008A132B">
        <w:rPr>
          <w:rFonts w:cs="Arial"/>
          <w:sz w:val="22"/>
          <w:lang w:val="en-ZA"/>
        </w:rPr>
        <w:t>either because of a combination of factors that include the complexity of the legal question, its novelty, little or no assistance from the litigants’ argument, the speed with which the outcome is required and lack of sufficient time for the judge to consider the matter as best they can – the judge may not be in a position to reach a definitive decision on a legal question</w:t>
      </w:r>
      <w:r w:rsidR="00817CA0" w:rsidRPr="008A132B">
        <w:rPr>
          <w:rFonts w:cs="Arial"/>
          <w:sz w:val="22"/>
          <w:lang w:val="en-ZA"/>
        </w:rPr>
        <w:t>.</w:t>
      </w:r>
      <w:r w:rsidR="002A04CC" w:rsidRPr="008A132B">
        <w:rPr>
          <w:rFonts w:cs="Arial"/>
          <w:sz w:val="22"/>
          <w:lang w:val="en-ZA"/>
        </w:rPr>
        <w:t>’</w:t>
      </w:r>
      <w:r w:rsidR="00817CA0" w:rsidRPr="008A132B">
        <w:rPr>
          <w:rStyle w:val="FootnoteReference"/>
          <w:rFonts w:cs="Arial"/>
          <w:sz w:val="22"/>
          <w:lang w:val="en-ZA"/>
        </w:rPr>
        <w:footnoteReference w:id="105"/>
      </w:r>
    </w:p>
    <w:p w14:paraId="328D52D5" w14:textId="77777777" w:rsidR="002A04CC" w:rsidRPr="008A132B" w:rsidRDefault="002A04CC" w:rsidP="00CC12CF">
      <w:pPr>
        <w:spacing w:line="360" w:lineRule="auto"/>
        <w:jc w:val="both"/>
      </w:pPr>
    </w:p>
    <w:p w14:paraId="47F0882F" w14:textId="2D70AB19" w:rsidR="00817CA0" w:rsidRPr="008A132B" w:rsidRDefault="006D79CC" w:rsidP="006D79CC">
      <w:pPr>
        <w:spacing w:line="360" w:lineRule="auto"/>
        <w:jc w:val="both"/>
      </w:pPr>
      <w:r w:rsidRPr="008A132B">
        <w:rPr>
          <w:szCs w:val="24"/>
        </w:rPr>
        <w:t>[119]</w:t>
      </w:r>
      <w:r w:rsidRPr="008A132B">
        <w:rPr>
          <w:szCs w:val="24"/>
        </w:rPr>
        <w:tab/>
      </w:r>
      <w:r w:rsidR="00817CA0" w:rsidRPr="008A132B">
        <w:rPr>
          <w:szCs w:val="24"/>
        </w:rPr>
        <w:t xml:space="preserve">In </w:t>
      </w:r>
      <w:r w:rsidR="00817CA0" w:rsidRPr="008A132B">
        <w:rPr>
          <w:i/>
          <w:szCs w:val="24"/>
        </w:rPr>
        <w:t>Johannesburg Municipal Pension Fund</w:t>
      </w:r>
      <w:r w:rsidR="001E6574" w:rsidRPr="008A132B">
        <w:rPr>
          <w:i/>
          <w:szCs w:val="24"/>
        </w:rPr>
        <w:t xml:space="preserve"> v City of Johannesburg</w:t>
      </w:r>
      <w:r w:rsidR="00817CA0" w:rsidRPr="008A132B">
        <w:rPr>
          <w:szCs w:val="24"/>
        </w:rPr>
        <w:t xml:space="preserve">, the </w:t>
      </w:r>
      <w:r w:rsidR="001E6574" w:rsidRPr="008A132B">
        <w:rPr>
          <w:szCs w:val="24"/>
        </w:rPr>
        <w:t xml:space="preserve">court </w:t>
      </w:r>
      <w:r w:rsidR="00817CA0" w:rsidRPr="008A132B">
        <w:rPr>
          <w:szCs w:val="24"/>
        </w:rPr>
        <w:t>held that:</w:t>
      </w:r>
    </w:p>
    <w:p w14:paraId="567040C9" w14:textId="272FD3D5" w:rsidR="0094343A" w:rsidRPr="008A132B" w:rsidRDefault="0094343A" w:rsidP="00F83993">
      <w:pPr>
        <w:pStyle w:val="2"/>
        <w:numPr>
          <w:ilvl w:val="1"/>
          <w:numId w:val="0"/>
        </w:numPr>
        <w:spacing w:before="0" w:line="360" w:lineRule="auto"/>
        <w:rPr>
          <w:rFonts w:cs="Arial"/>
          <w:sz w:val="22"/>
          <w:lang w:val="en-ZA"/>
        </w:rPr>
      </w:pPr>
      <w:r w:rsidRPr="008A132B">
        <w:rPr>
          <w:rFonts w:cs="Arial"/>
          <w:sz w:val="22"/>
          <w:lang w:val="en-ZA"/>
        </w:rPr>
        <w:t>‘</w:t>
      </w:r>
      <w:r w:rsidR="00F83993" w:rsidRPr="008A132B">
        <w:rPr>
          <w:rFonts w:cs="Arial"/>
          <w:sz w:val="22"/>
          <w:lang w:val="en-ZA"/>
        </w:rPr>
        <w:t xml:space="preserve">Impressive and erudite arguments were addressed to me on all these grounds. I cannot do justice to all the considerations referred to. All the issues referred to involve </w:t>
      </w:r>
      <w:r w:rsidR="001E6574" w:rsidRPr="008A132B">
        <w:rPr>
          <w:rFonts w:cs="Arial"/>
          <w:sz w:val="22"/>
          <w:lang w:val="en-ZA"/>
        </w:rPr>
        <w:t>“</w:t>
      </w:r>
      <w:r w:rsidR="00F83993" w:rsidRPr="008A132B">
        <w:rPr>
          <w:rFonts w:cs="Arial"/>
          <w:sz w:val="22"/>
          <w:lang w:val="en-ZA"/>
        </w:rPr>
        <w:t>difficult questions of law</w:t>
      </w:r>
      <w:r w:rsidR="001E6574" w:rsidRPr="008A132B">
        <w:rPr>
          <w:rFonts w:cs="Arial"/>
          <w:sz w:val="22"/>
          <w:lang w:val="en-ZA"/>
        </w:rPr>
        <w:t>”</w:t>
      </w:r>
      <w:r w:rsidR="00F83993" w:rsidRPr="008A132B">
        <w:rPr>
          <w:rFonts w:cs="Arial"/>
          <w:sz w:val="22"/>
          <w:lang w:val="en-ZA"/>
        </w:rPr>
        <w:t xml:space="preserve"> and no</w:t>
      </w:r>
      <w:r w:rsidR="001E6574" w:rsidRPr="008A132B">
        <w:rPr>
          <w:rFonts w:cs="Arial"/>
          <w:sz w:val="22"/>
          <w:lang w:val="en-ZA"/>
        </w:rPr>
        <w:t>ne of them can be described as “</w:t>
      </w:r>
      <w:r w:rsidR="00F83993" w:rsidRPr="008A132B">
        <w:rPr>
          <w:rFonts w:cs="Arial"/>
          <w:sz w:val="22"/>
          <w:lang w:val="en-ZA"/>
        </w:rPr>
        <w:t>ordinary</w:t>
      </w:r>
      <w:r w:rsidR="001E6574" w:rsidRPr="008A132B">
        <w:rPr>
          <w:rFonts w:cs="Arial"/>
          <w:sz w:val="22"/>
          <w:lang w:val="en-ZA"/>
        </w:rPr>
        <w:t>”</w:t>
      </w:r>
      <w:r w:rsidR="00F83993" w:rsidRPr="008A132B">
        <w:rPr>
          <w:rFonts w:cs="Arial"/>
          <w:sz w:val="22"/>
          <w:lang w:val="en-ZA"/>
        </w:rPr>
        <w:t xml:space="preserve">. Nor is it desirable to rule at this </w:t>
      </w:r>
      <w:r w:rsidR="00F83993" w:rsidRPr="008A132B">
        <w:rPr>
          <w:rFonts w:cs="Arial"/>
          <w:sz w:val="22"/>
          <w:lang w:val="en-ZA"/>
        </w:rPr>
        <w:lastRenderedPageBreak/>
        <w:t>interim</w:t>
      </w:r>
      <w:r w:rsidR="001E6574" w:rsidRPr="008A132B">
        <w:rPr>
          <w:lang w:val="en-ZA"/>
        </w:rPr>
        <w:t xml:space="preserve"> </w:t>
      </w:r>
      <w:r w:rsidR="001E6574" w:rsidRPr="008A132B">
        <w:rPr>
          <w:rFonts w:cs="Arial"/>
          <w:sz w:val="22"/>
          <w:lang w:val="en-ZA"/>
        </w:rPr>
        <w:t>stage that there is no prospect of success on any of these bases of review. The issues are simply too involved (“a serious question to be tried”) and of such gravity that they cannot be, and should not be, disposed of in these interim proceedings.</w:t>
      </w:r>
      <w:r w:rsidR="002A04CC" w:rsidRPr="008A132B">
        <w:rPr>
          <w:rFonts w:cs="Arial"/>
          <w:sz w:val="22"/>
          <w:lang w:val="en-ZA"/>
        </w:rPr>
        <w:t>’</w:t>
      </w:r>
      <w:r w:rsidR="00817CA0" w:rsidRPr="008A132B">
        <w:rPr>
          <w:rStyle w:val="FootnoteReference"/>
          <w:rFonts w:cs="Arial"/>
          <w:sz w:val="22"/>
          <w:lang w:val="en-ZA"/>
        </w:rPr>
        <w:footnoteReference w:id="106"/>
      </w:r>
    </w:p>
    <w:p w14:paraId="5E7958BF" w14:textId="77777777" w:rsidR="00112D12" w:rsidRPr="008A132B" w:rsidRDefault="00112D12" w:rsidP="00CC12CF">
      <w:pPr>
        <w:spacing w:line="360" w:lineRule="auto"/>
        <w:jc w:val="both"/>
      </w:pPr>
    </w:p>
    <w:p w14:paraId="1A611BBF" w14:textId="21C21371" w:rsidR="001E6574" w:rsidRPr="008A132B" w:rsidRDefault="006D79CC" w:rsidP="006D79CC">
      <w:pPr>
        <w:spacing w:line="360" w:lineRule="auto"/>
        <w:jc w:val="both"/>
      </w:pPr>
      <w:r w:rsidRPr="008A132B">
        <w:rPr>
          <w:szCs w:val="24"/>
        </w:rPr>
        <w:t>[120]</w:t>
      </w:r>
      <w:r w:rsidRPr="008A132B">
        <w:rPr>
          <w:szCs w:val="24"/>
        </w:rPr>
        <w:tab/>
      </w:r>
      <w:r w:rsidR="006B07CE" w:rsidRPr="008A132B">
        <w:rPr>
          <w:szCs w:val="24"/>
        </w:rPr>
        <w:t xml:space="preserve">Tendele rightly points out that if </w:t>
      </w:r>
      <w:r w:rsidR="00B34BA8" w:rsidRPr="008A132B">
        <w:rPr>
          <w:szCs w:val="24"/>
        </w:rPr>
        <w:t>the applicants had applied to the Minister for a suspension in terms of s 96(2)</w:t>
      </w:r>
      <w:r w:rsidR="00B34BA8" w:rsidRPr="008A132B">
        <w:rPr>
          <w:i/>
          <w:szCs w:val="24"/>
        </w:rPr>
        <w:t>(a)</w:t>
      </w:r>
      <w:r w:rsidR="00B34BA8" w:rsidRPr="008A132B">
        <w:rPr>
          <w:szCs w:val="24"/>
        </w:rPr>
        <w:t xml:space="preserve"> of the MPRDA, the position would be fundamentally different: </w:t>
      </w:r>
    </w:p>
    <w:p w14:paraId="15CCD46B" w14:textId="2FF9A64B" w:rsidR="001E6574" w:rsidRPr="008A132B" w:rsidRDefault="001E6574" w:rsidP="001E6574">
      <w:pPr>
        <w:spacing w:line="360" w:lineRule="auto"/>
        <w:jc w:val="both"/>
        <w:rPr>
          <w:szCs w:val="24"/>
        </w:rPr>
      </w:pPr>
      <w:r w:rsidRPr="008A132B">
        <w:rPr>
          <w:szCs w:val="24"/>
        </w:rPr>
        <w:t>(a)</w:t>
      </w:r>
      <w:r w:rsidRPr="008A132B">
        <w:rPr>
          <w:szCs w:val="24"/>
        </w:rPr>
        <w:tab/>
      </w:r>
      <w:r w:rsidR="008A132B">
        <w:rPr>
          <w:szCs w:val="24"/>
        </w:rPr>
        <w:t>T</w:t>
      </w:r>
      <w:r w:rsidR="008A132B" w:rsidRPr="008A132B">
        <w:rPr>
          <w:szCs w:val="24"/>
        </w:rPr>
        <w:t xml:space="preserve">he </w:t>
      </w:r>
      <w:r w:rsidR="00B34BA8" w:rsidRPr="008A132B">
        <w:rPr>
          <w:szCs w:val="24"/>
        </w:rPr>
        <w:t xml:space="preserve">applicants would have provided the Minister with all the relevant facts in support of their contention that Tendele’s </w:t>
      </w:r>
      <w:r w:rsidRPr="008A132B">
        <w:rPr>
          <w:szCs w:val="24"/>
        </w:rPr>
        <w:t xml:space="preserve">mining right </w:t>
      </w:r>
      <w:r w:rsidR="00B34BA8" w:rsidRPr="008A132B">
        <w:rPr>
          <w:szCs w:val="24"/>
        </w:rPr>
        <w:t>should be suspended pending the Minister’s determination of the appeal</w:t>
      </w:r>
      <w:r w:rsidR="006B07CE" w:rsidRPr="008A132B">
        <w:rPr>
          <w:szCs w:val="24"/>
        </w:rPr>
        <w:t>;</w:t>
      </w:r>
      <w:r w:rsidR="00B34BA8" w:rsidRPr="008A132B">
        <w:rPr>
          <w:szCs w:val="24"/>
        </w:rPr>
        <w:t xml:space="preserve"> Tendele would have had the opportunity of responding</w:t>
      </w:r>
      <w:r w:rsidR="006B07CE" w:rsidRPr="008A132B">
        <w:rPr>
          <w:szCs w:val="24"/>
        </w:rPr>
        <w:t>;</w:t>
      </w:r>
      <w:r w:rsidR="00B34BA8" w:rsidRPr="008A132B">
        <w:rPr>
          <w:szCs w:val="24"/>
        </w:rPr>
        <w:t xml:space="preserve"> </w:t>
      </w:r>
      <w:r w:rsidR="006B07CE" w:rsidRPr="008A132B">
        <w:rPr>
          <w:szCs w:val="24"/>
        </w:rPr>
        <w:t>t</w:t>
      </w:r>
      <w:r w:rsidR="00B34BA8" w:rsidRPr="008A132B">
        <w:rPr>
          <w:szCs w:val="24"/>
        </w:rPr>
        <w:t>he Minister would then have considered the competing contentions</w:t>
      </w:r>
      <w:r w:rsidR="006B07CE" w:rsidRPr="008A132B">
        <w:rPr>
          <w:szCs w:val="24"/>
        </w:rPr>
        <w:t xml:space="preserve">; and he </w:t>
      </w:r>
      <w:r w:rsidR="00B34BA8" w:rsidRPr="008A132B">
        <w:rPr>
          <w:szCs w:val="24"/>
        </w:rPr>
        <w:t xml:space="preserve">would have decided whether, on balance, the </w:t>
      </w:r>
      <w:r w:rsidR="006B07CE" w:rsidRPr="008A132B">
        <w:rPr>
          <w:szCs w:val="24"/>
        </w:rPr>
        <w:t>m</w:t>
      </w:r>
      <w:r w:rsidR="00B34BA8" w:rsidRPr="008A132B">
        <w:rPr>
          <w:szCs w:val="24"/>
        </w:rPr>
        <w:t xml:space="preserve">ining </w:t>
      </w:r>
      <w:r w:rsidR="006B07CE" w:rsidRPr="008A132B">
        <w:rPr>
          <w:szCs w:val="24"/>
        </w:rPr>
        <w:t>r</w:t>
      </w:r>
      <w:r w:rsidR="00B34BA8" w:rsidRPr="008A132B">
        <w:rPr>
          <w:szCs w:val="24"/>
        </w:rPr>
        <w:t>ight and EMPr should be suspended pending his determination of the applicant’s appeal</w:t>
      </w:r>
      <w:r w:rsidR="009E6CF3" w:rsidRPr="008A132B">
        <w:rPr>
          <w:szCs w:val="24"/>
        </w:rPr>
        <w:t>;</w:t>
      </w:r>
    </w:p>
    <w:p w14:paraId="3BBE550C" w14:textId="5086D99A" w:rsidR="001E6574" w:rsidRPr="008A132B" w:rsidRDefault="001E6574" w:rsidP="001E6574">
      <w:pPr>
        <w:spacing w:line="360" w:lineRule="auto"/>
        <w:jc w:val="both"/>
        <w:rPr>
          <w:szCs w:val="24"/>
        </w:rPr>
      </w:pPr>
      <w:r w:rsidRPr="008A132B">
        <w:rPr>
          <w:szCs w:val="24"/>
        </w:rPr>
        <w:t>(b)</w:t>
      </w:r>
      <w:r w:rsidRPr="008A132B">
        <w:rPr>
          <w:szCs w:val="24"/>
        </w:rPr>
        <w:tab/>
        <w:t xml:space="preserve">If </w:t>
      </w:r>
      <w:r w:rsidR="00B34BA8" w:rsidRPr="008A132B">
        <w:rPr>
          <w:szCs w:val="24"/>
        </w:rPr>
        <w:t xml:space="preserve">the Minister decided to suspend the </w:t>
      </w:r>
      <w:r w:rsidRPr="008A132B">
        <w:rPr>
          <w:szCs w:val="24"/>
        </w:rPr>
        <w:t>mining right</w:t>
      </w:r>
      <w:r w:rsidR="00B34BA8" w:rsidRPr="008A132B">
        <w:rPr>
          <w:szCs w:val="24"/>
        </w:rPr>
        <w:t>, there would have been no need for this application and the matter, being of a polycentric nature</w:t>
      </w:r>
      <w:r w:rsidR="009E6CF3" w:rsidRPr="008A132B">
        <w:rPr>
          <w:szCs w:val="24"/>
        </w:rPr>
        <w:t>,</w:t>
      </w:r>
      <w:r w:rsidR="00B34BA8" w:rsidRPr="008A132B">
        <w:rPr>
          <w:szCs w:val="24"/>
        </w:rPr>
        <w:t xml:space="preserve"> would more appropriately have been decided by the Minister</w:t>
      </w:r>
      <w:r w:rsidR="009E6CF3" w:rsidRPr="008A132B">
        <w:rPr>
          <w:szCs w:val="24"/>
        </w:rPr>
        <w:t xml:space="preserve">; and if </w:t>
      </w:r>
      <w:r w:rsidR="00B34BA8" w:rsidRPr="008A132B">
        <w:rPr>
          <w:szCs w:val="24"/>
        </w:rPr>
        <w:t xml:space="preserve">the Minister dismissed the application, the applicants would have the remedy of approaching </w:t>
      </w:r>
      <w:r w:rsidR="009E6CF3" w:rsidRPr="008A132B">
        <w:rPr>
          <w:szCs w:val="24"/>
        </w:rPr>
        <w:t>a</w:t>
      </w:r>
      <w:r w:rsidR="00B34BA8" w:rsidRPr="008A132B">
        <w:rPr>
          <w:szCs w:val="24"/>
        </w:rPr>
        <w:t xml:space="preserve"> court for appropriate relief, probably in the form of a review coupled with interim relief.</w:t>
      </w:r>
    </w:p>
    <w:p w14:paraId="340BC1CD" w14:textId="57F5DAC0" w:rsidR="009E6CF3" w:rsidRPr="008A132B" w:rsidRDefault="001E6574" w:rsidP="001E6574">
      <w:pPr>
        <w:spacing w:line="360" w:lineRule="auto"/>
        <w:jc w:val="both"/>
        <w:rPr>
          <w:szCs w:val="24"/>
        </w:rPr>
      </w:pPr>
      <w:r w:rsidRPr="008A132B">
        <w:rPr>
          <w:szCs w:val="24"/>
        </w:rPr>
        <w:t>(c)</w:t>
      </w:r>
      <w:r w:rsidRPr="008A132B">
        <w:rPr>
          <w:szCs w:val="24"/>
        </w:rPr>
        <w:tab/>
      </w:r>
      <w:r w:rsidR="00B34BA8" w:rsidRPr="008A132B">
        <w:rPr>
          <w:szCs w:val="24"/>
        </w:rPr>
        <w:t>In a review the Minister would have been cited as a respondent, and he would be required to place his reasons for declining a suspension before the court meaning that th</w:t>
      </w:r>
      <w:r w:rsidR="009E6CF3" w:rsidRPr="008A132B">
        <w:rPr>
          <w:szCs w:val="24"/>
        </w:rPr>
        <w:t>e</w:t>
      </w:r>
      <w:r w:rsidR="00B34BA8" w:rsidRPr="008A132B">
        <w:rPr>
          <w:szCs w:val="24"/>
        </w:rPr>
        <w:t xml:space="preserve"> court would have the benefit of the Minister’s reasons for his decision as well as his answering affidavit explaining why, in his judgment, the suspension should not have been granted. Instead, the applicants simply ask this court to take a first instance decision as to whether an extant </w:t>
      </w:r>
      <w:r w:rsidR="009E6CF3" w:rsidRPr="008A132B">
        <w:rPr>
          <w:szCs w:val="24"/>
        </w:rPr>
        <w:t>m</w:t>
      </w:r>
      <w:r w:rsidR="00B34BA8" w:rsidRPr="008A132B">
        <w:rPr>
          <w:szCs w:val="24"/>
        </w:rPr>
        <w:t xml:space="preserve">ining </w:t>
      </w:r>
      <w:r w:rsidR="009E6CF3" w:rsidRPr="008A132B">
        <w:rPr>
          <w:szCs w:val="24"/>
        </w:rPr>
        <w:t>r</w:t>
      </w:r>
      <w:r w:rsidR="00B34BA8" w:rsidRPr="008A132B">
        <w:rPr>
          <w:szCs w:val="24"/>
        </w:rPr>
        <w:t xml:space="preserve">ight should be suspended pending the determination of an appeal </w:t>
      </w:r>
      <w:r w:rsidR="009E6CF3" w:rsidRPr="008A132B">
        <w:rPr>
          <w:szCs w:val="24"/>
        </w:rPr>
        <w:t xml:space="preserve">to </w:t>
      </w:r>
      <w:r w:rsidR="00B34BA8" w:rsidRPr="008A132B">
        <w:rPr>
          <w:szCs w:val="24"/>
        </w:rPr>
        <w:t>the Minister. In doing so they have</w:t>
      </w:r>
      <w:r w:rsidRPr="008A132B">
        <w:rPr>
          <w:szCs w:val="24"/>
        </w:rPr>
        <w:t xml:space="preserve"> </w:t>
      </w:r>
      <w:r w:rsidR="00B34BA8" w:rsidRPr="008A132B">
        <w:rPr>
          <w:szCs w:val="24"/>
        </w:rPr>
        <w:t xml:space="preserve">removed the dispute from the statutory process, in terms of which Parliament has entrusted the Minister to make this decision at first instance; and deprived this court of the benefit of the Minister’s first instance decision, reasons, and answering affidavit. </w:t>
      </w:r>
    </w:p>
    <w:p w14:paraId="35A562A6" w14:textId="77777777" w:rsidR="009E6CF3" w:rsidRPr="008A132B" w:rsidRDefault="009E6CF3" w:rsidP="00CC12CF">
      <w:pPr>
        <w:spacing w:line="360" w:lineRule="auto"/>
        <w:jc w:val="both"/>
      </w:pPr>
    </w:p>
    <w:p w14:paraId="47DF3C15" w14:textId="1AE36C65" w:rsidR="00B34BA8" w:rsidRPr="008A132B" w:rsidRDefault="006D79CC" w:rsidP="006D79CC">
      <w:pPr>
        <w:spacing w:line="360" w:lineRule="auto"/>
        <w:jc w:val="both"/>
      </w:pPr>
      <w:r w:rsidRPr="008A132B">
        <w:rPr>
          <w:szCs w:val="24"/>
        </w:rPr>
        <w:t>[121]</w:t>
      </w:r>
      <w:r w:rsidRPr="008A132B">
        <w:rPr>
          <w:szCs w:val="24"/>
        </w:rPr>
        <w:tab/>
      </w:r>
      <w:r w:rsidR="00B34BA8" w:rsidRPr="008A132B">
        <w:rPr>
          <w:szCs w:val="24"/>
        </w:rPr>
        <w:t>Decisions of the kind that s 96(2)</w:t>
      </w:r>
      <w:r w:rsidR="00B34BA8" w:rsidRPr="008A132B">
        <w:rPr>
          <w:i/>
          <w:szCs w:val="24"/>
        </w:rPr>
        <w:t>(a)</w:t>
      </w:r>
      <w:r w:rsidR="00B34BA8" w:rsidRPr="008A132B">
        <w:rPr>
          <w:szCs w:val="24"/>
        </w:rPr>
        <w:t xml:space="preserve"> of the MPRDA allocates to the Minister must be treated with appropriate judicial deference. Deference </w:t>
      </w:r>
    </w:p>
    <w:p w14:paraId="1ED2088F" w14:textId="1299B266" w:rsidR="004E33BD" w:rsidRPr="008A132B" w:rsidRDefault="004E33BD" w:rsidP="004E33BD">
      <w:pPr>
        <w:spacing w:line="360" w:lineRule="auto"/>
        <w:jc w:val="both"/>
        <w:rPr>
          <w:sz w:val="22"/>
          <w:szCs w:val="22"/>
        </w:rPr>
      </w:pPr>
      <w:r w:rsidRPr="008A132B">
        <w:rPr>
          <w:sz w:val="22"/>
          <w:szCs w:val="22"/>
        </w:rPr>
        <w:t>‘in these circumstances has been recommended as:</w:t>
      </w:r>
    </w:p>
    <w:p w14:paraId="5D2A508C" w14:textId="46BA3D47" w:rsidR="001E6574" w:rsidRPr="008A132B" w:rsidRDefault="007D715B" w:rsidP="007D715B">
      <w:pPr>
        <w:spacing w:line="360" w:lineRule="auto"/>
        <w:ind w:left="720"/>
        <w:jc w:val="both"/>
      </w:pPr>
      <w:r w:rsidRPr="008A132B">
        <w:rPr>
          <w:sz w:val="22"/>
          <w:szCs w:val="22"/>
        </w:rPr>
        <w:lastRenderedPageBreak/>
        <w:t>“</w:t>
      </w:r>
      <w:r w:rsidR="004E33BD" w:rsidRPr="008A132B">
        <w:rPr>
          <w:sz w:val="22"/>
          <w:szCs w:val="22"/>
        </w:rPr>
        <w:t xml:space="preserve"> … a judicial willingness to appreciate the legitimate and constitutionally-ordained province of administrative agencies; to admit the expertise of those agencies in policy-laden or polycentric issues; to accord their interpretation of fact and law due respect; and to be sensitive in general to the interests legitimately pursued by administrative bodies and the practical and financial constraints under which they operate. This type of deference is perfectly consistent with a concern for individual rights and a refusal to tolerate corruption and maladministration. It ought to be shaped not by an unwillingness to scrutinize administrative action, but by a careful weighing up of the need for – and the consequences of – judicial intervention. Above all, it ought to be shaped by a conscious determination not to usurp the functions of administrative agencies; not to cross over from review to appeal.</w:t>
      </w:r>
      <w:r w:rsidRPr="008A132B">
        <w:rPr>
          <w:sz w:val="22"/>
          <w:szCs w:val="22"/>
          <w:lang w:eastAsia="en-GB"/>
        </w:rPr>
        <w:t>”’</w:t>
      </w:r>
      <w:r w:rsidR="00B34BA8" w:rsidRPr="008A132B">
        <w:rPr>
          <w:rStyle w:val="FootnoteReference"/>
          <w:sz w:val="22"/>
          <w:lang w:eastAsia="en-GB"/>
        </w:rPr>
        <w:footnoteReference w:id="107"/>
      </w:r>
    </w:p>
    <w:p w14:paraId="6E84D321" w14:textId="77777777" w:rsidR="001E6574" w:rsidRPr="008A132B" w:rsidRDefault="001E6574" w:rsidP="001E6574">
      <w:pPr>
        <w:pStyle w:val="2"/>
        <w:numPr>
          <w:ilvl w:val="0"/>
          <w:numId w:val="0"/>
        </w:numPr>
        <w:spacing w:before="0" w:line="360" w:lineRule="auto"/>
        <w:rPr>
          <w:rFonts w:cs="Arial"/>
          <w:sz w:val="22"/>
          <w:lang w:val="en-ZA" w:eastAsia="en-GB"/>
        </w:rPr>
      </w:pPr>
    </w:p>
    <w:p w14:paraId="52D5FB32" w14:textId="686F8F90" w:rsidR="00B34BA8" w:rsidRPr="008A132B" w:rsidRDefault="006D79CC" w:rsidP="006D79CC">
      <w:pPr>
        <w:pStyle w:val="2"/>
        <w:numPr>
          <w:ilvl w:val="0"/>
          <w:numId w:val="0"/>
        </w:numPr>
        <w:spacing w:before="0" w:line="360" w:lineRule="auto"/>
        <w:rPr>
          <w:rFonts w:cs="Arial"/>
          <w:sz w:val="22"/>
          <w:lang w:val="en-ZA" w:eastAsia="en-GB"/>
        </w:rPr>
      </w:pPr>
      <w:r w:rsidRPr="008A132B">
        <w:rPr>
          <w:rFonts w:cs="Arial"/>
          <w:iCs w:val="0"/>
          <w:szCs w:val="24"/>
          <w:lang w:val="en-ZA" w:eastAsia="en-GB"/>
        </w:rPr>
        <w:t>[122]</w:t>
      </w:r>
      <w:r w:rsidRPr="008A132B">
        <w:rPr>
          <w:rFonts w:cs="Arial"/>
          <w:iCs w:val="0"/>
          <w:szCs w:val="24"/>
          <w:lang w:val="en-ZA" w:eastAsia="en-GB"/>
        </w:rPr>
        <w:tab/>
      </w:r>
      <w:r w:rsidR="00B34BA8" w:rsidRPr="008A132B">
        <w:rPr>
          <w:rFonts w:cs="Arial"/>
          <w:szCs w:val="24"/>
          <w:lang w:val="en-ZA"/>
        </w:rPr>
        <w:t xml:space="preserve">In </w:t>
      </w:r>
      <w:r w:rsidR="00651A45" w:rsidRPr="007D715B">
        <w:rPr>
          <w:i/>
        </w:rPr>
        <w:t xml:space="preserve">Minister of Environmental Affairs and Tourism v </w:t>
      </w:r>
      <w:r w:rsidR="00B34BA8" w:rsidRPr="008A132B">
        <w:rPr>
          <w:rFonts w:cs="Arial"/>
          <w:i/>
          <w:szCs w:val="24"/>
          <w:lang w:val="en-ZA"/>
        </w:rPr>
        <w:t>Phambili Fisheries</w:t>
      </w:r>
      <w:r w:rsidR="00B34BA8" w:rsidRPr="008A132B">
        <w:rPr>
          <w:rFonts w:cs="Arial"/>
          <w:szCs w:val="24"/>
          <w:lang w:val="en-ZA"/>
        </w:rPr>
        <w:t>, the SCA said the following:</w:t>
      </w:r>
    </w:p>
    <w:p w14:paraId="3A30B616" w14:textId="160E9FD9" w:rsidR="009E6CF3" w:rsidRPr="008A132B" w:rsidRDefault="00B34BA8" w:rsidP="001E6574">
      <w:pPr>
        <w:pStyle w:val="2"/>
        <w:numPr>
          <w:ilvl w:val="0"/>
          <w:numId w:val="0"/>
        </w:numPr>
        <w:spacing w:before="0" w:line="360" w:lineRule="auto"/>
        <w:rPr>
          <w:rFonts w:cs="Arial"/>
          <w:i/>
          <w:iCs w:val="0"/>
          <w:szCs w:val="24"/>
          <w:lang w:val="en-ZA" w:eastAsia="en-GB"/>
        </w:rPr>
      </w:pPr>
      <w:r w:rsidRPr="008A132B">
        <w:rPr>
          <w:rFonts w:cs="Arial"/>
          <w:sz w:val="22"/>
          <w:lang w:val="en-ZA" w:eastAsia="en-GB"/>
        </w:rPr>
        <w:t>‘</w:t>
      </w:r>
      <w:r w:rsidR="007D715B" w:rsidRPr="008A132B">
        <w:rPr>
          <w:rFonts w:cs="Arial"/>
          <w:sz w:val="22"/>
          <w:lang w:val="en-ZA" w:eastAsia="en-GB"/>
        </w:rPr>
        <w:t>Judicial deference is particularly appropriate where the subject matter of an administrative action is very technical or of a kind in which a court has no particular proficiency. We cannot even pretend to have the skills and access to knowledge that is available to the Chief Director. It is not our task to better his allocations, unless we should conclude that his decision cannot be sustained on rational grounds</w:t>
      </w:r>
      <w:r w:rsidRPr="008A132B">
        <w:rPr>
          <w:rFonts w:cs="Arial"/>
          <w:sz w:val="22"/>
          <w:lang w:val="en-ZA" w:eastAsia="en-GB"/>
        </w:rPr>
        <w:t>.’</w:t>
      </w:r>
      <w:r w:rsidRPr="008A132B">
        <w:rPr>
          <w:rStyle w:val="FootnoteReference"/>
          <w:rFonts w:cs="Arial"/>
          <w:iCs w:val="0"/>
          <w:szCs w:val="24"/>
          <w:lang w:val="en-ZA" w:eastAsia="en-GB"/>
        </w:rPr>
        <w:footnoteReference w:id="108"/>
      </w:r>
    </w:p>
    <w:p w14:paraId="5783EFCC" w14:textId="77777777" w:rsidR="001E6574" w:rsidRPr="008A132B" w:rsidRDefault="001E6574" w:rsidP="001E6574">
      <w:pPr>
        <w:pStyle w:val="2"/>
        <w:numPr>
          <w:ilvl w:val="0"/>
          <w:numId w:val="0"/>
        </w:numPr>
        <w:spacing w:before="0" w:line="360" w:lineRule="auto"/>
        <w:rPr>
          <w:rFonts w:cs="Arial"/>
          <w:szCs w:val="24"/>
          <w:lang w:val="en-ZA"/>
        </w:rPr>
      </w:pPr>
    </w:p>
    <w:p w14:paraId="3EB84FB6" w14:textId="0C6060D5" w:rsidR="00B34BA8" w:rsidRPr="008A132B" w:rsidRDefault="006D79CC" w:rsidP="006D79CC">
      <w:pPr>
        <w:pStyle w:val="2"/>
        <w:numPr>
          <w:ilvl w:val="0"/>
          <w:numId w:val="0"/>
        </w:numPr>
        <w:spacing w:before="0" w:line="360" w:lineRule="auto"/>
        <w:rPr>
          <w:rFonts w:cs="Arial"/>
          <w:i/>
          <w:iCs w:val="0"/>
          <w:szCs w:val="24"/>
          <w:lang w:val="en-ZA" w:eastAsia="en-GB"/>
        </w:rPr>
      </w:pPr>
      <w:r w:rsidRPr="008A132B">
        <w:rPr>
          <w:rFonts w:cs="Arial"/>
          <w:iCs w:val="0"/>
          <w:szCs w:val="24"/>
          <w:lang w:val="en-ZA" w:eastAsia="en-GB"/>
        </w:rPr>
        <w:t>[123]</w:t>
      </w:r>
      <w:r w:rsidRPr="008A132B">
        <w:rPr>
          <w:rFonts w:cs="Arial"/>
          <w:iCs w:val="0"/>
          <w:szCs w:val="24"/>
          <w:lang w:val="en-ZA" w:eastAsia="en-GB"/>
        </w:rPr>
        <w:tab/>
      </w:r>
      <w:r w:rsidR="00B34BA8" w:rsidRPr="008A132B">
        <w:rPr>
          <w:rFonts w:cs="Arial"/>
          <w:szCs w:val="24"/>
          <w:lang w:val="en-ZA"/>
        </w:rPr>
        <w:t>The Constitutional Court confirmed this principle on appeal:</w:t>
      </w:r>
      <w:r w:rsidR="00B34BA8" w:rsidRPr="008A132B">
        <w:rPr>
          <w:rStyle w:val="FootnoteReference"/>
          <w:rFonts w:cs="Arial"/>
          <w:szCs w:val="24"/>
          <w:lang w:val="en-ZA"/>
        </w:rPr>
        <w:footnoteReference w:id="109"/>
      </w:r>
    </w:p>
    <w:p w14:paraId="348CFA85" w14:textId="794AD19A" w:rsidR="007D715B" w:rsidRPr="008A132B" w:rsidRDefault="007D715B" w:rsidP="001E6574">
      <w:pPr>
        <w:pStyle w:val="2"/>
        <w:numPr>
          <w:ilvl w:val="0"/>
          <w:numId w:val="0"/>
        </w:numPr>
        <w:spacing w:before="0" w:line="360" w:lineRule="auto"/>
        <w:rPr>
          <w:rFonts w:cs="Arial"/>
          <w:sz w:val="22"/>
          <w:lang w:val="en-ZA" w:eastAsia="en-GB"/>
        </w:rPr>
      </w:pPr>
      <w:r w:rsidRPr="008A132B">
        <w:rPr>
          <w:rFonts w:cs="Arial"/>
          <w:sz w:val="22"/>
          <w:lang w:val="en-ZA" w:eastAsia="en-GB"/>
        </w:rPr>
        <w:t>‘In treating the decisions of administrative agencies with the appropriate respect, a court is recognising the proper role of the executive within the Constitution.  In doing so a court should be careful not to attribute to itself superior wisdom in relation to matters entrusted t</w:t>
      </w:r>
      <w:r w:rsidR="00651A45">
        <w:rPr>
          <w:rFonts w:cs="Arial"/>
          <w:sz w:val="22"/>
          <w:lang w:val="en-ZA" w:eastAsia="en-GB"/>
        </w:rPr>
        <w:t>o other branches of government.</w:t>
      </w:r>
      <w:r w:rsidRPr="008A132B">
        <w:rPr>
          <w:rFonts w:cs="Arial"/>
          <w:sz w:val="22"/>
          <w:lang w:val="en-ZA" w:eastAsia="en-GB"/>
        </w:rPr>
        <w:t xml:space="preserve"> A court should thus give due weight to findings of fact and policy decisions made by those with special experti</w:t>
      </w:r>
      <w:r w:rsidR="00651A45">
        <w:rPr>
          <w:rFonts w:cs="Arial"/>
          <w:sz w:val="22"/>
          <w:lang w:val="en-ZA" w:eastAsia="en-GB"/>
        </w:rPr>
        <w:t>se and experience in the field.</w:t>
      </w:r>
      <w:r w:rsidRPr="008A132B">
        <w:rPr>
          <w:rFonts w:cs="Arial"/>
          <w:sz w:val="22"/>
          <w:lang w:val="en-ZA" w:eastAsia="en-GB"/>
        </w:rPr>
        <w:t xml:space="preserve"> The extent to which a court should give weight to these considerations will depend upon the character of the decision itself, as well as on the </w:t>
      </w:r>
      <w:r w:rsidR="00651A45">
        <w:rPr>
          <w:rFonts w:cs="Arial"/>
          <w:sz w:val="22"/>
          <w:lang w:val="en-ZA" w:eastAsia="en-GB"/>
        </w:rPr>
        <w:t>identity of the decision-maker.</w:t>
      </w:r>
      <w:r w:rsidRPr="008A132B">
        <w:rPr>
          <w:rFonts w:cs="Arial"/>
          <w:sz w:val="22"/>
          <w:lang w:val="en-ZA" w:eastAsia="en-GB"/>
        </w:rPr>
        <w:t xml:space="preserve"> A decision that requires an equilibrium to be struck between a range of competing interests or considerations and which is to be taken by a person or institution with specific expertise in that area must b</w:t>
      </w:r>
      <w:r w:rsidR="00651A45">
        <w:rPr>
          <w:rFonts w:cs="Arial"/>
          <w:sz w:val="22"/>
          <w:lang w:val="en-ZA" w:eastAsia="en-GB"/>
        </w:rPr>
        <w:t xml:space="preserve">e shown respect by the courts. </w:t>
      </w:r>
      <w:r w:rsidRPr="008A132B">
        <w:rPr>
          <w:rFonts w:cs="Arial"/>
          <w:sz w:val="22"/>
          <w:lang w:val="en-ZA" w:eastAsia="en-GB"/>
        </w:rPr>
        <w:t xml:space="preserve">Often a power will identify a goal to be achieved, but will not dictate </w:t>
      </w:r>
      <w:r w:rsidRPr="008A132B">
        <w:rPr>
          <w:rFonts w:cs="Arial"/>
          <w:sz w:val="22"/>
          <w:lang w:val="en-ZA" w:eastAsia="en-GB"/>
        </w:rPr>
        <w:lastRenderedPageBreak/>
        <w:t>which route should be followed to achieve that goal.  In such circumstances a court should pay due respect to the route selected by the decision-maker.’</w:t>
      </w:r>
    </w:p>
    <w:p w14:paraId="61F99192" w14:textId="77777777" w:rsidR="00B34BA8" w:rsidRPr="008A132B" w:rsidRDefault="00B34BA8" w:rsidP="00CC12CF">
      <w:pPr>
        <w:spacing w:line="360" w:lineRule="auto"/>
        <w:jc w:val="both"/>
      </w:pPr>
    </w:p>
    <w:p w14:paraId="102EC3A5" w14:textId="563A0F0E" w:rsidR="00112D12" w:rsidRPr="008A132B" w:rsidRDefault="006D79CC" w:rsidP="006D79CC">
      <w:pPr>
        <w:spacing w:line="360" w:lineRule="auto"/>
        <w:jc w:val="both"/>
      </w:pPr>
      <w:r w:rsidRPr="008A132B">
        <w:rPr>
          <w:szCs w:val="24"/>
        </w:rPr>
        <w:t>[124]</w:t>
      </w:r>
      <w:r w:rsidRPr="008A132B">
        <w:rPr>
          <w:szCs w:val="24"/>
        </w:rPr>
        <w:tab/>
      </w:r>
      <w:r w:rsidR="00B34BA8" w:rsidRPr="008A132B">
        <w:rPr>
          <w:szCs w:val="24"/>
        </w:rPr>
        <w:t>Section 96 of the MPRDA affords the applicants a satisfactory alternative internal remedy that is better suited to resolving the complex factual issues and polycentric considerations that arise in this matter.</w:t>
      </w:r>
    </w:p>
    <w:p w14:paraId="545B00A7" w14:textId="77777777" w:rsidR="006E772F" w:rsidRPr="008A132B" w:rsidRDefault="006E772F" w:rsidP="00CC12CF">
      <w:pPr>
        <w:spacing w:line="360" w:lineRule="auto"/>
        <w:jc w:val="both"/>
        <w:rPr>
          <w:b/>
          <w:bCs/>
        </w:rPr>
      </w:pPr>
    </w:p>
    <w:p w14:paraId="3BF65D7F" w14:textId="57DD0022" w:rsidR="00AE1F93" w:rsidRPr="008A132B" w:rsidRDefault="00AE1F93" w:rsidP="00CC12CF">
      <w:pPr>
        <w:spacing w:line="360" w:lineRule="auto"/>
        <w:jc w:val="both"/>
        <w:rPr>
          <w:b/>
          <w:bCs/>
        </w:rPr>
      </w:pPr>
      <w:r w:rsidRPr="008A132B">
        <w:rPr>
          <w:b/>
          <w:bCs/>
        </w:rPr>
        <w:t xml:space="preserve">Irreparable harm </w:t>
      </w:r>
    </w:p>
    <w:p w14:paraId="15BCED25" w14:textId="6542FEE9" w:rsidR="00B34BA8" w:rsidRPr="008A132B" w:rsidRDefault="006D79CC" w:rsidP="006D79CC">
      <w:pPr>
        <w:spacing w:line="360" w:lineRule="auto"/>
        <w:jc w:val="both"/>
      </w:pPr>
      <w:r w:rsidRPr="008A132B">
        <w:rPr>
          <w:szCs w:val="24"/>
        </w:rPr>
        <w:t>[125]</w:t>
      </w:r>
      <w:r w:rsidRPr="008A132B">
        <w:rPr>
          <w:szCs w:val="24"/>
        </w:rPr>
        <w:tab/>
      </w:r>
      <w:r w:rsidR="00B34BA8" w:rsidRPr="008A132B">
        <w:rPr>
          <w:szCs w:val="24"/>
        </w:rPr>
        <w:t xml:space="preserve">Very little needs to be said under this heading. </w:t>
      </w:r>
    </w:p>
    <w:p w14:paraId="050EA727" w14:textId="77777777" w:rsidR="00B34BA8" w:rsidRPr="008A132B" w:rsidRDefault="00B34BA8" w:rsidP="00CC12CF">
      <w:pPr>
        <w:spacing w:line="360" w:lineRule="auto"/>
        <w:jc w:val="both"/>
      </w:pPr>
    </w:p>
    <w:p w14:paraId="6CD9A9B3" w14:textId="087E02ED" w:rsidR="00B34BA8" w:rsidRPr="008A132B" w:rsidRDefault="006D79CC" w:rsidP="006D79CC">
      <w:pPr>
        <w:spacing w:line="360" w:lineRule="auto"/>
        <w:jc w:val="both"/>
      </w:pPr>
      <w:r w:rsidRPr="008A132B">
        <w:rPr>
          <w:szCs w:val="24"/>
        </w:rPr>
        <w:t>[126]</w:t>
      </w:r>
      <w:r w:rsidRPr="008A132B">
        <w:rPr>
          <w:szCs w:val="24"/>
        </w:rPr>
        <w:tab/>
      </w:r>
      <w:r w:rsidR="00AE1F93" w:rsidRPr="008A132B">
        <w:rPr>
          <w:szCs w:val="24"/>
        </w:rPr>
        <w:t xml:space="preserve">The Constitutional Court in </w:t>
      </w:r>
      <w:r w:rsidR="0089659E" w:rsidRPr="008A132B">
        <w:rPr>
          <w:i/>
          <w:szCs w:val="24"/>
        </w:rPr>
        <w:t>National Treasury v Opposition to Urban Tolling Alliance</w:t>
      </w:r>
      <w:r w:rsidR="00AE1F93" w:rsidRPr="008A132B">
        <w:rPr>
          <w:szCs w:val="24"/>
        </w:rPr>
        <w:t xml:space="preserve"> held that the </w:t>
      </w:r>
      <w:r w:rsidR="00AE1F93" w:rsidRPr="008A132B">
        <w:rPr>
          <w:i/>
          <w:szCs w:val="24"/>
        </w:rPr>
        <w:t>prima facie</w:t>
      </w:r>
      <w:r w:rsidR="00AE1F93" w:rsidRPr="008A132B">
        <w:rPr>
          <w:szCs w:val="24"/>
        </w:rPr>
        <w:t xml:space="preserve"> right an applicant must establish is a right to which, if not protected by an interdict, irreparable harm would ensue.</w:t>
      </w:r>
      <w:r w:rsidR="00AE1F93" w:rsidRPr="008A132B">
        <w:rPr>
          <w:rStyle w:val="FootnoteReference"/>
          <w:szCs w:val="24"/>
        </w:rPr>
        <w:footnoteReference w:id="110"/>
      </w:r>
      <w:r w:rsidR="00AE1F93" w:rsidRPr="008A132B">
        <w:rPr>
          <w:szCs w:val="24"/>
        </w:rPr>
        <w:t xml:space="preserve"> An interim interdict may accordingly only seek to guard against the prospective, as opposed to retrospective, violation of rights.</w:t>
      </w:r>
      <w:r w:rsidR="00AE1F93" w:rsidRPr="008A132B">
        <w:rPr>
          <w:rStyle w:val="FootnoteReference"/>
          <w:szCs w:val="24"/>
        </w:rPr>
        <w:footnoteReference w:id="111"/>
      </w:r>
      <w:r w:rsidR="00AE1F93" w:rsidRPr="008A132B">
        <w:rPr>
          <w:szCs w:val="24"/>
        </w:rPr>
        <w:t xml:space="preserve"> </w:t>
      </w:r>
    </w:p>
    <w:p w14:paraId="75502425" w14:textId="77777777" w:rsidR="00B34BA8" w:rsidRPr="008A132B" w:rsidRDefault="00B34BA8" w:rsidP="00CC12CF">
      <w:pPr>
        <w:pStyle w:val="ListParagraph"/>
        <w:spacing w:line="360" w:lineRule="auto"/>
        <w:jc w:val="both"/>
        <w:rPr>
          <w:szCs w:val="24"/>
        </w:rPr>
      </w:pPr>
    </w:p>
    <w:p w14:paraId="7E95FFB0" w14:textId="28C37FDE" w:rsidR="00AE1F93" w:rsidRPr="008A132B" w:rsidRDefault="006D79CC" w:rsidP="006D79CC">
      <w:pPr>
        <w:spacing w:line="360" w:lineRule="auto"/>
        <w:jc w:val="both"/>
      </w:pPr>
      <w:r w:rsidRPr="008A132B">
        <w:rPr>
          <w:szCs w:val="24"/>
        </w:rPr>
        <w:t>[127]</w:t>
      </w:r>
      <w:r w:rsidRPr="008A132B">
        <w:rPr>
          <w:szCs w:val="24"/>
        </w:rPr>
        <w:tab/>
      </w:r>
      <w:r w:rsidR="00B34BA8" w:rsidRPr="008A132B">
        <w:rPr>
          <w:szCs w:val="24"/>
        </w:rPr>
        <w:t>There is no doubt that if the wor</w:t>
      </w:r>
      <w:r w:rsidR="009B6C59">
        <w:rPr>
          <w:szCs w:val="24"/>
        </w:rPr>
        <w:t>k</w:t>
      </w:r>
      <w:r w:rsidR="00B34BA8" w:rsidRPr="008A132B">
        <w:rPr>
          <w:szCs w:val="24"/>
        </w:rPr>
        <w:t xml:space="preserve"> foreshadowed in the letters proceeded and this was not allowed in the judgment of Bam J that the </w:t>
      </w:r>
      <w:r w:rsidR="00567811" w:rsidRPr="008A132B">
        <w:rPr>
          <w:szCs w:val="24"/>
        </w:rPr>
        <w:t>affected owners could suffer harm</w:t>
      </w:r>
      <w:r w:rsidR="009B6C59">
        <w:rPr>
          <w:szCs w:val="24"/>
        </w:rPr>
        <w:t>, and p</w:t>
      </w:r>
      <w:r w:rsidR="00BC4A20">
        <w:rPr>
          <w:szCs w:val="24"/>
        </w:rPr>
        <w:t xml:space="preserve">robably </w:t>
      </w:r>
      <w:r w:rsidR="009B6C59">
        <w:rPr>
          <w:szCs w:val="24"/>
        </w:rPr>
        <w:t>irreparable harm</w:t>
      </w:r>
      <w:r w:rsidR="00567811" w:rsidRPr="008A132B">
        <w:rPr>
          <w:szCs w:val="24"/>
        </w:rPr>
        <w:t xml:space="preserve">. </w:t>
      </w:r>
      <w:r w:rsidR="00AE1F93" w:rsidRPr="008A132B">
        <w:rPr>
          <w:szCs w:val="24"/>
        </w:rPr>
        <w:t xml:space="preserve">   </w:t>
      </w:r>
    </w:p>
    <w:p w14:paraId="68BD3C67" w14:textId="77777777" w:rsidR="00ED5CE9" w:rsidRPr="008A132B" w:rsidRDefault="00ED5CE9" w:rsidP="00CC12CF">
      <w:pPr>
        <w:spacing w:line="360" w:lineRule="auto"/>
        <w:jc w:val="both"/>
        <w:rPr>
          <w:szCs w:val="24"/>
        </w:rPr>
      </w:pPr>
    </w:p>
    <w:p w14:paraId="23C6A96C" w14:textId="5654BE83" w:rsidR="002A04CC" w:rsidRPr="008A132B" w:rsidRDefault="00222AA7" w:rsidP="00CC12CF">
      <w:pPr>
        <w:spacing w:line="360" w:lineRule="auto"/>
        <w:jc w:val="both"/>
        <w:rPr>
          <w:b/>
          <w:bCs/>
          <w:szCs w:val="24"/>
        </w:rPr>
      </w:pPr>
      <w:r w:rsidRPr="008A132B">
        <w:rPr>
          <w:b/>
          <w:bCs/>
          <w:szCs w:val="24"/>
        </w:rPr>
        <w:t>Balance of convenience</w:t>
      </w:r>
    </w:p>
    <w:p w14:paraId="198A299C" w14:textId="749C3C55" w:rsidR="00567811" w:rsidRPr="008A132B" w:rsidRDefault="006D79CC" w:rsidP="006D79CC">
      <w:pPr>
        <w:spacing w:line="360" w:lineRule="auto"/>
        <w:jc w:val="both"/>
      </w:pPr>
      <w:r w:rsidRPr="008A132B">
        <w:rPr>
          <w:szCs w:val="24"/>
        </w:rPr>
        <w:t>[128]</w:t>
      </w:r>
      <w:r w:rsidRPr="008A132B">
        <w:rPr>
          <w:szCs w:val="24"/>
        </w:rPr>
        <w:tab/>
      </w:r>
      <w:r w:rsidR="00ED5CE9" w:rsidRPr="008A132B">
        <w:rPr>
          <w:szCs w:val="24"/>
        </w:rPr>
        <w:t xml:space="preserve">As regards the balance of convenience, the issue </w:t>
      </w:r>
      <w:r w:rsidR="00355762" w:rsidRPr="008A132B">
        <w:rPr>
          <w:szCs w:val="24"/>
        </w:rPr>
        <w:t xml:space="preserve">in this application </w:t>
      </w:r>
      <w:r w:rsidR="00ED5CE9" w:rsidRPr="008A132B">
        <w:rPr>
          <w:szCs w:val="24"/>
        </w:rPr>
        <w:t>is one of legality</w:t>
      </w:r>
      <w:r w:rsidR="00567811" w:rsidRPr="008A132B">
        <w:rPr>
          <w:szCs w:val="24"/>
        </w:rPr>
        <w:t>. The balance of convenience would have little, if any</w:t>
      </w:r>
      <w:r w:rsidR="009B6C59">
        <w:rPr>
          <w:szCs w:val="24"/>
        </w:rPr>
        <w:t>,</w:t>
      </w:r>
      <w:r w:rsidR="00567811" w:rsidRPr="008A132B">
        <w:rPr>
          <w:szCs w:val="24"/>
        </w:rPr>
        <w:t xml:space="preserve"> significance.</w:t>
      </w:r>
      <w:r w:rsidR="009B6C59">
        <w:rPr>
          <w:szCs w:val="24"/>
        </w:rPr>
        <w:t xml:space="preserve"> To the extent that this requirement might have relevance, the impact of mining not continue will also affect Tendele. It would probably be fair to say, that on the disputed facts on the balance of convenience, the scales are probably held equally. Other considerations are however decisive of the application for the interdict.</w:t>
      </w:r>
    </w:p>
    <w:p w14:paraId="5E854713" w14:textId="40F38021" w:rsidR="002A04CC" w:rsidRDefault="002A04CC" w:rsidP="00CC12CF">
      <w:pPr>
        <w:spacing w:line="360" w:lineRule="auto"/>
        <w:jc w:val="both"/>
        <w:rPr>
          <w:szCs w:val="24"/>
        </w:rPr>
      </w:pPr>
    </w:p>
    <w:p w14:paraId="625DBB9E" w14:textId="313A4F2A" w:rsidR="009B6C59" w:rsidRPr="009B6C59" w:rsidRDefault="009B6C59" w:rsidP="00CC12CF">
      <w:pPr>
        <w:spacing w:line="360" w:lineRule="auto"/>
        <w:jc w:val="both"/>
        <w:rPr>
          <w:b/>
          <w:bCs/>
        </w:rPr>
      </w:pPr>
      <w:r w:rsidRPr="009B6C59">
        <w:rPr>
          <w:b/>
          <w:bCs/>
          <w:szCs w:val="24"/>
        </w:rPr>
        <w:t>Conclusion</w:t>
      </w:r>
    </w:p>
    <w:p w14:paraId="3358AFB5" w14:textId="5094B979" w:rsidR="002A04CC" w:rsidRPr="008A132B" w:rsidRDefault="006D79CC" w:rsidP="006D79CC">
      <w:pPr>
        <w:spacing w:line="360" w:lineRule="auto"/>
        <w:jc w:val="both"/>
      </w:pPr>
      <w:r w:rsidRPr="008A132B">
        <w:rPr>
          <w:szCs w:val="24"/>
        </w:rPr>
        <w:t>[129]</w:t>
      </w:r>
      <w:r w:rsidRPr="008A132B">
        <w:rPr>
          <w:szCs w:val="24"/>
        </w:rPr>
        <w:tab/>
      </w:r>
      <w:r w:rsidR="00ED5CE9" w:rsidRPr="008A132B">
        <w:t xml:space="preserve">The </w:t>
      </w:r>
      <w:r w:rsidR="00DC578B" w:rsidRPr="008A132B">
        <w:t xml:space="preserve">applicants have </w:t>
      </w:r>
      <w:r w:rsidR="00567811" w:rsidRPr="008A132B">
        <w:t xml:space="preserve">not </w:t>
      </w:r>
      <w:r w:rsidR="00DC578B" w:rsidRPr="008A132B">
        <w:t>satisfied</w:t>
      </w:r>
      <w:r w:rsidR="00ED5CE9" w:rsidRPr="008A132B">
        <w:t xml:space="preserve"> </w:t>
      </w:r>
      <w:r w:rsidR="00DC578B" w:rsidRPr="008A132B">
        <w:t>the requirement</w:t>
      </w:r>
      <w:r w:rsidR="00567811" w:rsidRPr="008A132B">
        <w:t xml:space="preserve">s of a </w:t>
      </w:r>
      <w:r w:rsidR="00567811" w:rsidRPr="008A132B">
        <w:rPr>
          <w:i/>
        </w:rPr>
        <w:t>prima facie</w:t>
      </w:r>
      <w:r w:rsidR="00567811" w:rsidRPr="008A132B">
        <w:t xml:space="preserve"> right and no satisfactory alternative remedy.</w:t>
      </w:r>
    </w:p>
    <w:p w14:paraId="29535DFB" w14:textId="5A3ED278" w:rsidR="00355762" w:rsidRPr="008A132B" w:rsidRDefault="00355762" w:rsidP="00CC12CF">
      <w:pPr>
        <w:spacing w:line="360" w:lineRule="auto"/>
        <w:jc w:val="both"/>
      </w:pPr>
    </w:p>
    <w:p w14:paraId="70C8E727" w14:textId="7EEBC249" w:rsidR="002A04CC" w:rsidRPr="008A132B" w:rsidRDefault="00355762" w:rsidP="00CC12CF">
      <w:pPr>
        <w:spacing w:line="360" w:lineRule="auto"/>
        <w:jc w:val="both"/>
        <w:rPr>
          <w:b/>
          <w:bCs/>
          <w:szCs w:val="24"/>
        </w:rPr>
      </w:pPr>
      <w:r w:rsidRPr="008A132B">
        <w:rPr>
          <w:b/>
          <w:bCs/>
          <w:szCs w:val="24"/>
        </w:rPr>
        <w:t>Costs</w:t>
      </w:r>
    </w:p>
    <w:p w14:paraId="094E71FD" w14:textId="367F66BA" w:rsidR="002A04CC" w:rsidRPr="008A132B" w:rsidRDefault="006D79CC" w:rsidP="006D79CC">
      <w:pPr>
        <w:spacing w:line="360" w:lineRule="auto"/>
        <w:jc w:val="both"/>
      </w:pPr>
      <w:r w:rsidRPr="008A132B">
        <w:rPr>
          <w:szCs w:val="24"/>
        </w:rPr>
        <w:t>[130]</w:t>
      </w:r>
      <w:r w:rsidRPr="008A132B">
        <w:rPr>
          <w:szCs w:val="24"/>
        </w:rPr>
        <w:tab/>
      </w:r>
      <w:r w:rsidR="00534C61" w:rsidRPr="008A132B">
        <w:t>The respondents have been successful.</w:t>
      </w:r>
      <w:r w:rsidR="00534C61">
        <w:t xml:space="preserve"> </w:t>
      </w:r>
      <w:r w:rsidR="002A04CC" w:rsidRPr="008A132B">
        <w:t>Tendele does not seek costs against the applicants. Nor does the fifth to eighth respondents seek costs against the applicants</w:t>
      </w:r>
      <w:r w:rsidR="00EA2F0E" w:rsidRPr="008A132B">
        <w:t>.</w:t>
      </w:r>
    </w:p>
    <w:p w14:paraId="52F3BFFA" w14:textId="77777777" w:rsidR="009E6CF3" w:rsidRPr="008A132B" w:rsidRDefault="009E6CF3" w:rsidP="00CC12CF">
      <w:pPr>
        <w:spacing w:line="360" w:lineRule="auto"/>
        <w:jc w:val="both"/>
      </w:pPr>
    </w:p>
    <w:p w14:paraId="2177B507" w14:textId="0126545F" w:rsidR="002A04CC" w:rsidRPr="008A132B" w:rsidRDefault="006D79CC" w:rsidP="006D79CC">
      <w:pPr>
        <w:spacing w:line="360" w:lineRule="auto"/>
        <w:jc w:val="both"/>
      </w:pPr>
      <w:r w:rsidRPr="008A132B">
        <w:rPr>
          <w:szCs w:val="24"/>
        </w:rPr>
        <w:t>[131]</w:t>
      </w:r>
      <w:r w:rsidRPr="008A132B">
        <w:rPr>
          <w:szCs w:val="24"/>
        </w:rPr>
        <w:tab/>
      </w:r>
      <w:r w:rsidR="002A04CC" w:rsidRPr="008A132B">
        <w:t xml:space="preserve">No costs orders are </w:t>
      </w:r>
      <w:r w:rsidR="009E6CF3" w:rsidRPr="008A132B">
        <w:t xml:space="preserve">accordingly </w:t>
      </w:r>
      <w:r w:rsidR="002A04CC" w:rsidRPr="008A132B">
        <w:t>made.</w:t>
      </w:r>
    </w:p>
    <w:p w14:paraId="4FCCF2DE" w14:textId="0D570F43" w:rsidR="000F271B" w:rsidRPr="008A132B" w:rsidRDefault="000F271B" w:rsidP="00CC12CF">
      <w:pPr>
        <w:spacing w:line="360" w:lineRule="auto"/>
        <w:jc w:val="both"/>
        <w:rPr>
          <w:szCs w:val="24"/>
        </w:rPr>
      </w:pPr>
    </w:p>
    <w:p w14:paraId="559D0BA6" w14:textId="3FD82644" w:rsidR="002A04CC" w:rsidRPr="008A132B" w:rsidRDefault="00355762" w:rsidP="00CC12CF">
      <w:pPr>
        <w:spacing w:line="360" w:lineRule="auto"/>
        <w:jc w:val="both"/>
        <w:rPr>
          <w:b/>
          <w:bCs/>
          <w:szCs w:val="24"/>
        </w:rPr>
      </w:pPr>
      <w:r w:rsidRPr="008A132B">
        <w:rPr>
          <w:b/>
          <w:bCs/>
        </w:rPr>
        <w:t>Order</w:t>
      </w:r>
    </w:p>
    <w:p w14:paraId="474A692E" w14:textId="53ABCEB8" w:rsidR="00DC578B" w:rsidRPr="008A132B" w:rsidRDefault="006D79CC" w:rsidP="006D79CC">
      <w:pPr>
        <w:spacing w:line="360" w:lineRule="auto"/>
        <w:jc w:val="both"/>
      </w:pPr>
      <w:r w:rsidRPr="008A132B">
        <w:rPr>
          <w:szCs w:val="24"/>
        </w:rPr>
        <w:t>[132]</w:t>
      </w:r>
      <w:r w:rsidRPr="008A132B">
        <w:rPr>
          <w:szCs w:val="24"/>
        </w:rPr>
        <w:tab/>
      </w:r>
      <w:r w:rsidR="00DC578B" w:rsidRPr="008A132B">
        <w:t>The following order is granted:</w:t>
      </w:r>
    </w:p>
    <w:p w14:paraId="67C3FCD8" w14:textId="53A18B27" w:rsidR="00FE0812" w:rsidRPr="008A132B" w:rsidRDefault="00FE0812" w:rsidP="008B3569">
      <w:pPr>
        <w:spacing w:line="360" w:lineRule="auto"/>
        <w:jc w:val="both"/>
      </w:pPr>
      <w:r w:rsidRPr="008A132B">
        <w:t>The application for the relief claimed in part A of the Notice of Motion is dismissed.</w:t>
      </w:r>
    </w:p>
    <w:p w14:paraId="0ECCF559" w14:textId="77777777" w:rsidR="00FE0812" w:rsidRPr="008A132B" w:rsidRDefault="00FE0812" w:rsidP="008B3569">
      <w:pPr>
        <w:spacing w:line="360" w:lineRule="auto"/>
        <w:jc w:val="both"/>
      </w:pPr>
    </w:p>
    <w:p w14:paraId="7E970A0F" w14:textId="77777777" w:rsidR="005C06DB" w:rsidRPr="008A132B" w:rsidRDefault="005C06DB" w:rsidP="00CC12CF">
      <w:pPr>
        <w:spacing w:line="360" w:lineRule="auto"/>
        <w:jc w:val="both"/>
      </w:pPr>
    </w:p>
    <w:p w14:paraId="10E8FCBA" w14:textId="5F8B3796" w:rsidR="005C06DB" w:rsidRPr="008A132B" w:rsidRDefault="005C06DB" w:rsidP="00CC12CF">
      <w:pPr>
        <w:spacing w:line="360" w:lineRule="auto"/>
        <w:jc w:val="both"/>
      </w:pPr>
    </w:p>
    <w:p w14:paraId="7AE04E21" w14:textId="77777777" w:rsidR="00CC12CF" w:rsidRPr="008A132B" w:rsidRDefault="00CC12CF" w:rsidP="00CC12CF">
      <w:pPr>
        <w:spacing w:line="360" w:lineRule="auto"/>
        <w:jc w:val="both"/>
      </w:pPr>
    </w:p>
    <w:p w14:paraId="7A3922DA" w14:textId="77777777" w:rsidR="00093030" w:rsidRPr="008A132B" w:rsidRDefault="00093030" w:rsidP="00CC12CF">
      <w:pPr>
        <w:spacing w:line="360" w:lineRule="auto"/>
        <w:jc w:val="right"/>
      </w:pPr>
      <w:r w:rsidRPr="008A132B">
        <w:t>________________________</w:t>
      </w:r>
    </w:p>
    <w:p w14:paraId="7CFB0BB0" w14:textId="2A2B86FA" w:rsidR="00093030" w:rsidRPr="008A132B" w:rsidRDefault="00B20A11" w:rsidP="00CC12CF">
      <w:pPr>
        <w:spacing w:line="360" w:lineRule="auto"/>
        <w:jc w:val="right"/>
      </w:pPr>
      <w:r w:rsidRPr="008A132B">
        <w:t>KOEN J</w:t>
      </w:r>
    </w:p>
    <w:p w14:paraId="21B1A163" w14:textId="77777777" w:rsidR="00093030" w:rsidRPr="008A132B" w:rsidRDefault="00093030" w:rsidP="00CC12CF">
      <w:pPr>
        <w:spacing w:line="360" w:lineRule="auto"/>
        <w:jc w:val="both"/>
      </w:pPr>
    </w:p>
    <w:p w14:paraId="4B697873" w14:textId="77777777" w:rsidR="00180F8A" w:rsidRDefault="00180F8A" w:rsidP="00CC12CF">
      <w:pPr>
        <w:spacing w:line="360" w:lineRule="auto"/>
        <w:jc w:val="both"/>
      </w:pPr>
    </w:p>
    <w:p w14:paraId="682CE0AD" w14:textId="77777777" w:rsidR="00180F8A" w:rsidRDefault="00180F8A" w:rsidP="00CC12CF">
      <w:pPr>
        <w:spacing w:line="360" w:lineRule="auto"/>
        <w:jc w:val="both"/>
      </w:pPr>
    </w:p>
    <w:p w14:paraId="5686CEA2" w14:textId="77777777" w:rsidR="00180F8A" w:rsidRDefault="00180F8A" w:rsidP="00CC12CF">
      <w:pPr>
        <w:spacing w:line="360" w:lineRule="auto"/>
        <w:jc w:val="both"/>
      </w:pPr>
    </w:p>
    <w:p w14:paraId="7778FB90" w14:textId="77777777" w:rsidR="00180F8A" w:rsidRDefault="00180F8A" w:rsidP="00CC12CF">
      <w:pPr>
        <w:spacing w:line="360" w:lineRule="auto"/>
        <w:jc w:val="both"/>
      </w:pPr>
    </w:p>
    <w:p w14:paraId="0290FD10" w14:textId="77777777" w:rsidR="00180F8A" w:rsidRDefault="00180F8A" w:rsidP="00CC12CF">
      <w:pPr>
        <w:spacing w:line="360" w:lineRule="auto"/>
        <w:jc w:val="both"/>
      </w:pPr>
    </w:p>
    <w:p w14:paraId="3567A329" w14:textId="77777777" w:rsidR="00180F8A" w:rsidRDefault="00180F8A" w:rsidP="00CC12CF">
      <w:pPr>
        <w:spacing w:line="360" w:lineRule="auto"/>
        <w:jc w:val="both"/>
      </w:pPr>
    </w:p>
    <w:p w14:paraId="3762F374" w14:textId="77777777" w:rsidR="00180F8A" w:rsidRDefault="00180F8A" w:rsidP="00CC12CF">
      <w:pPr>
        <w:spacing w:line="360" w:lineRule="auto"/>
        <w:jc w:val="both"/>
      </w:pPr>
    </w:p>
    <w:p w14:paraId="1F596E71" w14:textId="77777777" w:rsidR="00180F8A" w:rsidRDefault="00180F8A" w:rsidP="00CC12CF">
      <w:pPr>
        <w:spacing w:line="360" w:lineRule="auto"/>
        <w:jc w:val="both"/>
      </w:pPr>
    </w:p>
    <w:p w14:paraId="67ED4DC8" w14:textId="77777777" w:rsidR="00180F8A" w:rsidRDefault="00180F8A" w:rsidP="00CC12CF">
      <w:pPr>
        <w:spacing w:line="360" w:lineRule="auto"/>
        <w:jc w:val="both"/>
      </w:pPr>
    </w:p>
    <w:p w14:paraId="792F8BB0" w14:textId="77777777" w:rsidR="00180F8A" w:rsidRDefault="00180F8A" w:rsidP="00CC12CF">
      <w:pPr>
        <w:spacing w:line="360" w:lineRule="auto"/>
        <w:jc w:val="both"/>
      </w:pPr>
    </w:p>
    <w:p w14:paraId="35CA5BC5" w14:textId="77777777" w:rsidR="00180F8A" w:rsidRDefault="00180F8A" w:rsidP="00CC12CF">
      <w:pPr>
        <w:spacing w:line="360" w:lineRule="auto"/>
        <w:jc w:val="both"/>
      </w:pPr>
    </w:p>
    <w:p w14:paraId="093CA8FE" w14:textId="77777777" w:rsidR="00180F8A" w:rsidRDefault="00180F8A" w:rsidP="00CC12CF">
      <w:pPr>
        <w:spacing w:line="360" w:lineRule="auto"/>
        <w:jc w:val="both"/>
      </w:pPr>
    </w:p>
    <w:p w14:paraId="044E388B" w14:textId="77777777" w:rsidR="00180F8A" w:rsidRDefault="00180F8A" w:rsidP="00CC12CF">
      <w:pPr>
        <w:spacing w:line="360" w:lineRule="auto"/>
        <w:jc w:val="both"/>
      </w:pPr>
    </w:p>
    <w:p w14:paraId="697C3D78" w14:textId="77777777" w:rsidR="00180F8A" w:rsidRDefault="00180F8A" w:rsidP="00CC12CF">
      <w:pPr>
        <w:spacing w:line="360" w:lineRule="auto"/>
        <w:jc w:val="both"/>
      </w:pPr>
    </w:p>
    <w:p w14:paraId="5A4CFEF5" w14:textId="77777777" w:rsidR="00180F8A" w:rsidRDefault="00180F8A" w:rsidP="00CC12CF">
      <w:pPr>
        <w:spacing w:line="360" w:lineRule="auto"/>
        <w:jc w:val="both"/>
      </w:pPr>
    </w:p>
    <w:p w14:paraId="604E1D3D" w14:textId="77777777" w:rsidR="00180F8A" w:rsidRDefault="00180F8A" w:rsidP="00CC12CF">
      <w:pPr>
        <w:spacing w:line="360" w:lineRule="auto"/>
        <w:jc w:val="both"/>
      </w:pPr>
    </w:p>
    <w:p w14:paraId="74DE3D36" w14:textId="77777777" w:rsidR="00180F8A" w:rsidRDefault="00180F8A" w:rsidP="00CC12CF">
      <w:pPr>
        <w:spacing w:line="360" w:lineRule="auto"/>
        <w:jc w:val="both"/>
      </w:pPr>
    </w:p>
    <w:p w14:paraId="36892636" w14:textId="059D0BE6" w:rsidR="00093030" w:rsidRPr="008A132B" w:rsidRDefault="00336B3B" w:rsidP="00CC12CF">
      <w:pPr>
        <w:spacing w:line="360" w:lineRule="auto"/>
        <w:jc w:val="both"/>
      </w:pPr>
      <w:r w:rsidRPr="008A132B">
        <w:t>APPEARANCES</w:t>
      </w:r>
      <w:r w:rsidR="00093030" w:rsidRPr="008A132B">
        <w:t xml:space="preserve"> </w:t>
      </w:r>
    </w:p>
    <w:p w14:paraId="468BB7E3" w14:textId="77777777" w:rsidR="00093030" w:rsidRPr="008A132B" w:rsidRDefault="00093030" w:rsidP="00CC12CF">
      <w:pPr>
        <w:spacing w:line="360" w:lineRule="auto"/>
        <w:jc w:val="both"/>
      </w:pPr>
    </w:p>
    <w:p w14:paraId="218F647C" w14:textId="63E0A113" w:rsidR="003A775C" w:rsidRPr="00180F8A" w:rsidRDefault="00093030" w:rsidP="00180F8A">
      <w:pPr>
        <w:spacing w:line="360" w:lineRule="auto"/>
        <w:jc w:val="both"/>
      </w:pPr>
      <w:r w:rsidRPr="008A132B">
        <w:t xml:space="preserve">For </w:t>
      </w:r>
      <w:r w:rsidR="00AC0095" w:rsidRPr="008A132B">
        <w:t>the applicant</w:t>
      </w:r>
      <w:r w:rsidR="003A775C" w:rsidRPr="008A132B">
        <w:t>s:</w:t>
      </w:r>
      <w:r w:rsidR="005147B9">
        <w:tab/>
      </w:r>
      <w:r w:rsidR="005147B9">
        <w:tab/>
      </w:r>
      <w:r w:rsidR="005147B9">
        <w:tab/>
      </w:r>
      <w:r w:rsidR="005147B9">
        <w:tab/>
      </w:r>
      <w:r w:rsidR="005147B9">
        <w:tab/>
      </w:r>
      <w:r w:rsidR="00D1618F" w:rsidRPr="00FA7729">
        <w:rPr>
          <w:lang w:val="de-DE"/>
        </w:rPr>
        <w:t>A</w:t>
      </w:r>
      <w:r w:rsidR="003A775C" w:rsidRPr="00FA7729">
        <w:rPr>
          <w:lang w:val="de-DE"/>
        </w:rPr>
        <w:t xml:space="preserve"> de Vos SC</w:t>
      </w:r>
    </w:p>
    <w:p w14:paraId="3E7813D1" w14:textId="399E170A" w:rsidR="003A775C" w:rsidRPr="00FA7729" w:rsidRDefault="003A775C" w:rsidP="005147B9">
      <w:pPr>
        <w:spacing w:line="360" w:lineRule="auto"/>
        <w:ind w:left="4320" w:firstLine="720"/>
        <w:jc w:val="both"/>
        <w:rPr>
          <w:lang w:val="de-DE"/>
        </w:rPr>
      </w:pPr>
      <w:r w:rsidRPr="00FA7729">
        <w:rPr>
          <w:lang w:val="de-DE"/>
        </w:rPr>
        <w:t>M Mazibuko</w:t>
      </w:r>
    </w:p>
    <w:p w14:paraId="48290A4A" w14:textId="77777777" w:rsidR="005147B9" w:rsidRDefault="003A775C" w:rsidP="005147B9">
      <w:pPr>
        <w:spacing w:line="360" w:lineRule="auto"/>
        <w:ind w:left="4320" w:firstLine="720"/>
        <w:jc w:val="both"/>
        <w:rPr>
          <w:lang w:val="de-DE"/>
        </w:rPr>
      </w:pPr>
      <w:r w:rsidRPr="00FA7729">
        <w:rPr>
          <w:lang w:val="de-DE"/>
        </w:rPr>
        <w:t>E Broster</w:t>
      </w:r>
    </w:p>
    <w:p w14:paraId="791A6A3C" w14:textId="74C1C17F" w:rsidR="00093030" w:rsidRPr="00FA7729" w:rsidRDefault="00AC0095" w:rsidP="00180F8A">
      <w:pPr>
        <w:spacing w:line="360" w:lineRule="auto"/>
        <w:ind w:left="5040" w:firstLine="720"/>
        <w:jc w:val="both"/>
        <w:rPr>
          <w:lang w:val="de-DE"/>
        </w:rPr>
      </w:pPr>
      <w:r w:rsidRPr="00FA7729">
        <w:rPr>
          <w:lang w:val="de-DE"/>
        </w:rPr>
        <w:tab/>
      </w:r>
    </w:p>
    <w:p w14:paraId="10147451" w14:textId="5ABDD541" w:rsidR="003A775C" w:rsidRPr="008A132B" w:rsidRDefault="005147B9" w:rsidP="005147B9">
      <w:pPr>
        <w:spacing w:line="360" w:lineRule="auto"/>
        <w:jc w:val="both"/>
        <w:rPr>
          <w:bCs/>
        </w:rPr>
      </w:pPr>
      <w:bookmarkStart w:id="6" w:name="_Hlk138335822"/>
      <w:r w:rsidRPr="008A132B">
        <w:rPr>
          <w:bCs/>
        </w:rPr>
        <w:t xml:space="preserve">Instructed by: </w:t>
      </w:r>
      <w:r>
        <w:rPr>
          <w:bCs/>
        </w:rPr>
        <w:tab/>
      </w:r>
      <w:r>
        <w:rPr>
          <w:bCs/>
        </w:rPr>
        <w:tab/>
      </w:r>
      <w:r>
        <w:rPr>
          <w:bCs/>
        </w:rPr>
        <w:tab/>
      </w:r>
      <w:r>
        <w:rPr>
          <w:bCs/>
        </w:rPr>
        <w:tab/>
      </w:r>
      <w:r>
        <w:rPr>
          <w:bCs/>
        </w:rPr>
        <w:tab/>
      </w:r>
      <w:r w:rsidR="003A775C" w:rsidRPr="008A132B">
        <w:rPr>
          <w:bCs/>
        </w:rPr>
        <w:t>All Rise Attorneys (K Youens)</w:t>
      </w:r>
    </w:p>
    <w:p w14:paraId="23C0EEF0" w14:textId="77777777" w:rsidR="003A775C" w:rsidRPr="008A132B" w:rsidRDefault="003A775C" w:rsidP="005147B9">
      <w:pPr>
        <w:spacing w:line="360" w:lineRule="auto"/>
        <w:ind w:left="4320" w:firstLine="720"/>
        <w:jc w:val="both"/>
        <w:rPr>
          <w:bCs/>
        </w:rPr>
      </w:pPr>
      <w:r w:rsidRPr="008A132B">
        <w:rPr>
          <w:bCs/>
        </w:rPr>
        <w:t>c/o Hay and Scott Attorneys</w:t>
      </w:r>
    </w:p>
    <w:p w14:paraId="38EA9A4F" w14:textId="651EB0D3" w:rsidR="00D1618F" w:rsidRPr="008A132B" w:rsidRDefault="00D1618F" w:rsidP="005147B9">
      <w:pPr>
        <w:spacing w:line="360" w:lineRule="auto"/>
        <w:ind w:left="4320" w:firstLine="720"/>
        <w:jc w:val="both"/>
        <w:rPr>
          <w:bCs/>
        </w:rPr>
      </w:pPr>
      <w:r w:rsidRPr="008A132B">
        <w:rPr>
          <w:bCs/>
        </w:rPr>
        <w:t>Pietermaritzburg</w:t>
      </w:r>
    </w:p>
    <w:p w14:paraId="7518F096" w14:textId="1208357A" w:rsidR="00AC0095" w:rsidRPr="008A132B" w:rsidRDefault="003A775C" w:rsidP="005147B9">
      <w:pPr>
        <w:spacing w:line="360" w:lineRule="auto"/>
        <w:ind w:left="4320" w:firstLine="720"/>
        <w:jc w:val="both"/>
        <w:rPr>
          <w:bCs/>
        </w:rPr>
      </w:pPr>
      <w:r w:rsidRPr="008A132B">
        <w:rPr>
          <w:bCs/>
        </w:rPr>
        <w:t>(Ref</w:t>
      </w:r>
      <w:r w:rsidR="00365BAD">
        <w:rPr>
          <w:bCs/>
        </w:rPr>
        <w:t>:</w:t>
      </w:r>
      <w:r w:rsidRPr="008A132B">
        <w:rPr>
          <w:bCs/>
        </w:rPr>
        <w:t xml:space="preserve"> R Brent)</w:t>
      </w:r>
    </w:p>
    <w:p w14:paraId="7C78A130" w14:textId="77777777" w:rsidR="003A775C" w:rsidRPr="008A132B" w:rsidRDefault="003A775C" w:rsidP="00CC12CF">
      <w:pPr>
        <w:spacing w:line="360" w:lineRule="auto"/>
        <w:jc w:val="both"/>
        <w:rPr>
          <w:bCs/>
        </w:rPr>
      </w:pPr>
    </w:p>
    <w:p w14:paraId="7A00317C" w14:textId="5A18514E" w:rsidR="007B3282" w:rsidRPr="005147B9" w:rsidRDefault="00093030" w:rsidP="005147B9">
      <w:pPr>
        <w:spacing w:line="360" w:lineRule="auto"/>
        <w:jc w:val="both"/>
      </w:pPr>
      <w:r w:rsidRPr="008A132B">
        <w:t xml:space="preserve">For </w:t>
      </w:r>
      <w:r w:rsidR="00AC0095" w:rsidRPr="008A132B">
        <w:t xml:space="preserve">the </w:t>
      </w:r>
      <w:r w:rsidR="00957CDA" w:rsidRPr="008A132B">
        <w:t>first</w:t>
      </w:r>
      <w:r w:rsidR="005147B9">
        <w:t xml:space="preserve"> respondent:</w:t>
      </w:r>
      <w:r w:rsidR="005147B9">
        <w:tab/>
      </w:r>
      <w:r w:rsidR="005147B9">
        <w:tab/>
      </w:r>
      <w:r w:rsidR="005147B9">
        <w:tab/>
      </w:r>
      <w:r w:rsidR="005147B9">
        <w:tab/>
      </w:r>
      <w:r w:rsidR="007B3282" w:rsidRPr="008A132B">
        <w:rPr>
          <w:bCs/>
        </w:rPr>
        <w:t>P Lazarus S.C.</w:t>
      </w:r>
    </w:p>
    <w:p w14:paraId="220431A4" w14:textId="07FD7EBE" w:rsidR="007B3282" w:rsidRPr="008A132B" w:rsidRDefault="007B3282" w:rsidP="005147B9">
      <w:pPr>
        <w:spacing w:line="360" w:lineRule="auto"/>
        <w:ind w:left="4320" w:firstLine="720"/>
        <w:jc w:val="both"/>
        <w:rPr>
          <w:bCs/>
        </w:rPr>
      </w:pPr>
      <w:r w:rsidRPr="008A132B">
        <w:rPr>
          <w:bCs/>
        </w:rPr>
        <w:t>N Ferreira</w:t>
      </w:r>
    </w:p>
    <w:p w14:paraId="02D271FF" w14:textId="22F400BD" w:rsidR="007B3282" w:rsidRPr="008A132B" w:rsidRDefault="007B3282" w:rsidP="005147B9">
      <w:pPr>
        <w:spacing w:line="360" w:lineRule="auto"/>
        <w:ind w:left="4320" w:firstLine="720"/>
        <w:jc w:val="both"/>
        <w:rPr>
          <w:bCs/>
        </w:rPr>
      </w:pPr>
      <w:r w:rsidRPr="008A132B">
        <w:rPr>
          <w:bCs/>
        </w:rPr>
        <w:t>M Salukazana</w:t>
      </w:r>
    </w:p>
    <w:p w14:paraId="5A577B13" w14:textId="4A087FAB" w:rsidR="003A775C" w:rsidRPr="008A132B" w:rsidRDefault="007B3282" w:rsidP="005147B9">
      <w:pPr>
        <w:spacing w:line="360" w:lineRule="auto"/>
        <w:ind w:left="4320" w:firstLine="720"/>
        <w:jc w:val="both"/>
        <w:rPr>
          <w:bCs/>
        </w:rPr>
      </w:pPr>
      <w:r w:rsidRPr="008A132B">
        <w:rPr>
          <w:bCs/>
        </w:rPr>
        <w:t>D Sive</w:t>
      </w:r>
    </w:p>
    <w:p w14:paraId="6CFFE46A" w14:textId="77777777" w:rsidR="005147B9" w:rsidRDefault="005147B9" w:rsidP="00CC12CF">
      <w:pPr>
        <w:spacing w:line="360" w:lineRule="auto"/>
        <w:jc w:val="both"/>
        <w:rPr>
          <w:bCs/>
        </w:rPr>
      </w:pPr>
    </w:p>
    <w:p w14:paraId="383548BF" w14:textId="06614AB0" w:rsidR="003A775C" w:rsidRPr="005147B9" w:rsidRDefault="005147B9" w:rsidP="00CC12CF">
      <w:pPr>
        <w:spacing w:line="360" w:lineRule="auto"/>
        <w:jc w:val="both"/>
        <w:rPr>
          <w:bCs/>
        </w:rPr>
      </w:pPr>
      <w:r>
        <w:rPr>
          <w:bCs/>
        </w:rPr>
        <w:t>Instructed by:</w:t>
      </w:r>
      <w:r>
        <w:rPr>
          <w:bCs/>
        </w:rPr>
        <w:tab/>
      </w:r>
      <w:r>
        <w:rPr>
          <w:bCs/>
        </w:rPr>
        <w:tab/>
      </w:r>
      <w:r>
        <w:rPr>
          <w:bCs/>
        </w:rPr>
        <w:tab/>
      </w:r>
      <w:r>
        <w:rPr>
          <w:bCs/>
        </w:rPr>
        <w:tab/>
      </w:r>
      <w:r>
        <w:rPr>
          <w:bCs/>
        </w:rPr>
        <w:tab/>
      </w:r>
      <w:r w:rsidR="003A775C" w:rsidRPr="008A132B">
        <w:rPr>
          <w:bCs/>
        </w:rPr>
        <w:t>Malan Scholes Attorneys</w:t>
      </w:r>
      <w:r w:rsidR="003A775C" w:rsidRPr="008A132B">
        <w:t xml:space="preserve"> (L Bolz)</w:t>
      </w:r>
    </w:p>
    <w:p w14:paraId="7688A25A" w14:textId="2341202D" w:rsidR="003A775C" w:rsidRPr="008A132B" w:rsidRDefault="003A775C" w:rsidP="005147B9">
      <w:pPr>
        <w:spacing w:line="360" w:lineRule="auto"/>
        <w:ind w:left="4320" w:firstLine="720"/>
        <w:jc w:val="both"/>
      </w:pPr>
      <w:r w:rsidRPr="008A132B">
        <w:t xml:space="preserve">c/o </w:t>
      </w:r>
      <w:r w:rsidR="00365BAD">
        <w:t>Shepstone &amp; Wylie Attorneys</w:t>
      </w:r>
    </w:p>
    <w:p w14:paraId="28F3768E" w14:textId="5E6C8F69" w:rsidR="003A775C" w:rsidRPr="008A132B" w:rsidRDefault="003A775C" w:rsidP="005147B9">
      <w:pPr>
        <w:spacing w:line="360" w:lineRule="auto"/>
        <w:ind w:left="4320" w:firstLine="720"/>
        <w:jc w:val="both"/>
      </w:pPr>
      <w:r w:rsidRPr="008A132B">
        <w:t>Pietermaritzburg</w:t>
      </w:r>
    </w:p>
    <w:p w14:paraId="3141E684" w14:textId="0AB2631B" w:rsidR="003A775C" w:rsidRPr="008A132B" w:rsidRDefault="00365BAD" w:rsidP="005147B9">
      <w:pPr>
        <w:spacing w:line="360" w:lineRule="auto"/>
        <w:ind w:left="4320" w:firstLine="720"/>
        <w:jc w:val="both"/>
      </w:pPr>
      <w:r>
        <w:t>(Ref: JTM/mm</w:t>
      </w:r>
      <w:r w:rsidR="003A775C" w:rsidRPr="008A132B">
        <w:t>)</w:t>
      </w:r>
    </w:p>
    <w:p w14:paraId="5566FE34" w14:textId="77777777" w:rsidR="003A775C" w:rsidRPr="008A132B" w:rsidRDefault="003A775C" w:rsidP="00CC12CF">
      <w:pPr>
        <w:spacing w:line="360" w:lineRule="auto"/>
        <w:jc w:val="both"/>
      </w:pPr>
    </w:p>
    <w:p w14:paraId="1383BAC6" w14:textId="54967C4E" w:rsidR="00093030" w:rsidRPr="008A132B" w:rsidRDefault="003A775C" w:rsidP="005147B9">
      <w:pPr>
        <w:spacing w:line="360" w:lineRule="auto"/>
        <w:jc w:val="both"/>
      </w:pPr>
      <w:r w:rsidRPr="008A132B">
        <w:t xml:space="preserve">For the fifth to eighth </w:t>
      </w:r>
      <w:r w:rsidR="00093030" w:rsidRPr="008A132B">
        <w:t>respondent</w:t>
      </w:r>
      <w:r w:rsidR="00AC0095" w:rsidRPr="008A132B">
        <w:t>s</w:t>
      </w:r>
      <w:r w:rsidRPr="008A132B">
        <w:t>:</w:t>
      </w:r>
      <w:r w:rsidR="005147B9">
        <w:tab/>
      </w:r>
      <w:r w:rsidR="005147B9">
        <w:tab/>
      </w:r>
    </w:p>
    <w:p w14:paraId="62C0C741" w14:textId="6AF2CDCC" w:rsidR="00E24A8B" w:rsidRPr="008A132B" w:rsidRDefault="00093030" w:rsidP="00CC12CF">
      <w:pPr>
        <w:spacing w:line="360" w:lineRule="auto"/>
        <w:jc w:val="both"/>
        <w:rPr>
          <w:szCs w:val="24"/>
        </w:rPr>
      </w:pPr>
      <w:r w:rsidRPr="008A132B">
        <w:rPr>
          <w:bCs/>
        </w:rPr>
        <w:t>Instructed by:</w:t>
      </w:r>
      <w:r w:rsidR="00187D56" w:rsidRPr="008A132B">
        <w:rPr>
          <w:bCs/>
        </w:rPr>
        <w:tab/>
      </w:r>
      <w:r w:rsidR="00B20A11" w:rsidRPr="008A132B">
        <w:rPr>
          <w:bCs/>
        </w:rPr>
        <w:tab/>
      </w:r>
      <w:r w:rsidR="00AC0095" w:rsidRPr="008A132B">
        <w:rPr>
          <w:bCs/>
        </w:rPr>
        <w:tab/>
      </w:r>
      <w:r w:rsidR="005147B9">
        <w:rPr>
          <w:szCs w:val="24"/>
        </w:rPr>
        <w:tab/>
      </w:r>
      <w:r w:rsidR="005147B9">
        <w:rPr>
          <w:szCs w:val="24"/>
        </w:rPr>
        <w:tab/>
      </w:r>
      <w:r w:rsidR="003A775C" w:rsidRPr="008A132B">
        <w:rPr>
          <w:szCs w:val="24"/>
        </w:rPr>
        <w:t>DMS Attorneys</w:t>
      </w:r>
    </w:p>
    <w:p w14:paraId="5BF4414D" w14:textId="25105DF7" w:rsidR="00B03EDB" w:rsidRDefault="00D1618F" w:rsidP="005147B9">
      <w:pPr>
        <w:spacing w:line="360" w:lineRule="auto"/>
        <w:ind w:left="4320" w:firstLine="720"/>
        <w:jc w:val="both"/>
        <w:rPr>
          <w:szCs w:val="24"/>
        </w:rPr>
      </w:pPr>
      <w:r w:rsidRPr="008A132B">
        <w:rPr>
          <w:szCs w:val="24"/>
        </w:rPr>
        <w:t xml:space="preserve">c/o </w:t>
      </w:r>
      <w:r w:rsidR="00B03EDB">
        <w:t>Shepstone &amp; Wylie Attorneys</w:t>
      </w:r>
    </w:p>
    <w:p w14:paraId="12C31BFD" w14:textId="139E4631" w:rsidR="00D1618F" w:rsidRPr="008A132B" w:rsidRDefault="00D1618F" w:rsidP="00B03EDB">
      <w:pPr>
        <w:spacing w:line="360" w:lineRule="auto"/>
        <w:ind w:left="4320" w:firstLine="720"/>
        <w:jc w:val="both"/>
        <w:rPr>
          <w:szCs w:val="24"/>
        </w:rPr>
      </w:pPr>
      <w:r w:rsidRPr="008A132B">
        <w:rPr>
          <w:szCs w:val="24"/>
        </w:rPr>
        <w:t>Pietermaritzburg</w:t>
      </w:r>
    </w:p>
    <w:p w14:paraId="2A0BB0F7" w14:textId="6F8315DD" w:rsidR="00187D56" w:rsidRPr="008A132B" w:rsidRDefault="00D1618F" w:rsidP="005147B9">
      <w:pPr>
        <w:spacing w:line="360" w:lineRule="auto"/>
        <w:ind w:left="4320" w:firstLine="720"/>
        <w:jc w:val="both"/>
        <w:rPr>
          <w:szCs w:val="24"/>
        </w:rPr>
      </w:pPr>
      <w:r w:rsidRPr="008A132B">
        <w:rPr>
          <w:szCs w:val="24"/>
        </w:rPr>
        <w:t>(Ref</w:t>
      </w:r>
      <w:r w:rsidR="00957CDA" w:rsidRPr="008A132B">
        <w:rPr>
          <w:szCs w:val="24"/>
        </w:rPr>
        <w:t>:</w:t>
      </w:r>
      <w:r w:rsidRPr="008A132B">
        <w:rPr>
          <w:szCs w:val="24"/>
        </w:rPr>
        <w:t xml:space="preserve"> </w:t>
      </w:r>
      <w:r w:rsidR="00B03EDB">
        <w:rPr>
          <w:szCs w:val="24"/>
        </w:rPr>
        <w:t>M Mthembu</w:t>
      </w:r>
      <w:r w:rsidRPr="008A132B">
        <w:rPr>
          <w:szCs w:val="24"/>
        </w:rPr>
        <w:t>)</w:t>
      </w:r>
    </w:p>
    <w:p w14:paraId="65AD6E0C" w14:textId="77777777" w:rsidR="007B3282" w:rsidRPr="008A132B" w:rsidRDefault="007B3282" w:rsidP="00CC12CF">
      <w:pPr>
        <w:spacing w:line="360" w:lineRule="auto"/>
        <w:jc w:val="both"/>
        <w:rPr>
          <w:szCs w:val="24"/>
        </w:rPr>
      </w:pPr>
    </w:p>
    <w:bookmarkEnd w:id="6"/>
    <w:p w14:paraId="111DD7A7" w14:textId="77777777" w:rsidR="007B3282" w:rsidRPr="008A132B" w:rsidRDefault="007B3282" w:rsidP="00CC12CF">
      <w:pPr>
        <w:spacing w:line="360" w:lineRule="auto"/>
        <w:jc w:val="both"/>
        <w:rPr>
          <w:szCs w:val="24"/>
        </w:rPr>
      </w:pPr>
    </w:p>
    <w:p w14:paraId="2F2C633F" w14:textId="2A7FF09E" w:rsidR="007B3282" w:rsidRPr="008A132B" w:rsidRDefault="007B3282" w:rsidP="00CC12CF">
      <w:pPr>
        <w:spacing w:line="360" w:lineRule="auto"/>
        <w:jc w:val="both"/>
        <w:rPr>
          <w:szCs w:val="24"/>
        </w:rPr>
      </w:pPr>
    </w:p>
    <w:sectPr w:rsidR="007B3282" w:rsidRPr="008A132B" w:rsidSect="00E12C0C">
      <w:headerReference w:type="even" r:id="rId9"/>
      <w:headerReference w:type="default" r:id="rId10"/>
      <w:pgSz w:w="11906" w:h="16838"/>
      <w:pgMar w:top="990" w:right="1440" w:bottom="12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1E64" w14:textId="77777777" w:rsidR="00DC134A" w:rsidRDefault="00DC134A">
      <w:r>
        <w:separator/>
      </w:r>
    </w:p>
  </w:endnote>
  <w:endnote w:type="continuationSeparator" w:id="0">
    <w:p w14:paraId="09B45E8F" w14:textId="77777777" w:rsidR="00DC134A" w:rsidRDefault="00D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B101" w14:textId="77777777" w:rsidR="00DC134A" w:rsidRDefault="00DC134A">
      <w:r>
        <w:separator/>
      </w:r>
    </w:p>
  </w:footnote>
  <w:footnote w:type="continuationSeparator" w:id="0">
    <w:p w14:paraId="1D7EE97B" w14:textId="77777777" w:rsidR="00DC134A" w:rsidRDefault="00DC134A">
      <w:r>
        <w:continuationSeparator/>
      </w:r>
    </w:p>
  </w:footnote>
  <w:footnote w:id="1">
    <w:p w14:paraId="023BDDEE" w14:textId="5D138A01" w:rsidR="00180F8A" w:rsidRPr="007D715B" w:rsidRDefault="00180F8A" w:rsidP="007D715B">
      <w:pPr>
        <w:pStyle w:val="FootnoteText"/>
        <w:jc w:val="both"/>
      </w:pPr>
      <w:r w:rsidRPr="007D715B">
        <w:rPr>
          <w:rStyle w:val="FootnoteReference"/>
        </w:rPr>
        <w:footnoteRef/>
      </w:r>
      <w:r w:rsidRPr="007D715B">
        <w:t xml:space="preserve"> The first applicant is the Mfolozi Community Environmental Justice Organisation. The second applicant is the trustees for the time of the Global Environmental Trust. The third applicant is the Mining Affected Communities United in Action. The fourth applicant is the Southern Africa Human Rights Defenders Network. The fifth applicant is Actionaid South Africa,</w:t>
      </w:r>
    </w:p>
  </w:footnote>
  <w:footnote w:id="2">
    <w:p w14:paraId="12F6FF5C" w14:textId="11EAB4B4" w:rsidR="00180F8A" w:rsidRPr="007D715B" w:rsidRDefault="00180F8A" w:rsidP="007D715B">
      <w:pPr>
        <w:pStyle w:val="FootnoteText"/>
        <w:jc w:val="both"/>
      </w:pPr>
      <w:r w:rsidRPr="007D715B">
        <w:rPr>
          <w:rStyle w:val="FootnoteReference"/>
        </w:rPr>
        <w:footnoteRef/>
      </w:r>
      <w:r w:rsidRPr="007D715B">
        <w:t xml:space="preserve"> The correctness of this factual allegation is not denied by the applicants. Tendele currently holds three mining rights, the first in connection with an area known as Area 1 which was granted in May 2007 and the applicable Environmental Management Plan approved in June 2007, the second in connection with Areas 2 and 3 originally granted in February 2011 and amended to include additional regions in March 2013, and then the present mining right featuring in this application covering Areas 4 and 5. Although Tendele holds different licences for the various areas, the mine is conducted as one operation by one management.  </w:t>
      </w:r>
    </w:p>
  </w:footnote>
  <w:footnote w:id="3">
    <w:p w14:paraId="7B5B5201" w14:textId="2A6381A6" w:rsidR="00180F8A" w:rsidRPr="007D715B" w:rsidRDefault="00180F8A" w:rsidP="007D715B">
      <w:pPr>
        <w:pStyle w:val="2"/>
        <w:numPr>
          <w:ilvl w:val="0"/>
          <w:numId w:val="0"/>
        </w:numPr>
        <w:spacing w:before="0" w:line="240" w:lineRule="auto"/>
        <w:rPr>
          <w:rFonts w:cs="Arial"/>
          <w:sz w:val="20"/>
          <w:szCs w:val="20"/>
          <w:lang w:val="en-ZA"/>
        </w:rPr>
      </w:pPr>
      <w:r w:rsidRPr="007D715B">
        <w:rPr>
          <w:rStyle w:val="FootnoteReference"/>
          <w:rFonts w:cs="Arial"/>
          <w:sz w:val="20"/>
          <w:szCs w:val="20"/>
          <w:lang w:val="en-ZA"/>
        </w:rPr>
        <w:footnoteRef/>
      </w:r>
      <w:r w:rsidRPr="007D715B">
        <w:rPr>
          <w:rFonts w:cs="Arial"/>
          <w:sz w:val="20"/>
          <w:szCs w:val="20"/>
          <w:lang w:val="en-ZA"/>
        </w:rPr>
        <w:t xml:space="preserve"> The mine was the principal supplier of anthracite to ferrochrome producers in South Africa. Ferrochrome is a critical component in the production of stainless steel and the inability of the Mine to supply anthracite has consequences for the South African construction, transportation, energy, and manufacturing industries where stainless steel is used. </w:t>
      </w:r>
    </w:p>
  </w:footnote>
  <w:footnote w:id="4">
    <w:p w14:paraId="14C09105" w14:textId="4E6F20AB" w:rsidR="00180F8A" w:rsidRPr="007D715B" w:rsidRDefault="00180F8A" w:rsidP="007D715B">
      <w:pPr>
        <w:pStyle w:val="FootnoteText"/>
        <w:jc w:val="both"/>
      </w:pPr>
      <w:r w:rsidRPr="007D715B">
        <w:rPr>
          <w:rStyle w:val="FootnoteReference"/>
        </w:rPr>
        <w:footnoteRef/>
      </w:r>
      <w:r w:rsidRPr="007D715B">
        <w:t xml:space="preserve"> The correctness of this factual allegation is not denied by the applicants.</w:t>
      </w:r>
    </w:p>
  </w:footnote>
  <w:footnote w:id="5">
    <w:p w14:paraId="28AF237F" w14:textId="610913C2" w:rsidR="00180F8A" w:rsidRPr="007D715B" w:rsidRDefault="00180F8A" w:rsidP="007D715B">
      <w:pPr>
        <w:pStyle w:val="FootnoteText"/>
        <w:jc w:val="both"/>
      </w:pPr>
      <w:r w:rsidRPr="007D715B">
        <w:rPr>
          <w:rStyle w:val="FootnoteReference"/>
        </w:rPr>
        <w:footnoteRef/>
      </w:r>
      <w:r w:rsidRPr="007D715B">
        <w:t xml:space="preserve"> The applicants </w:t>
      </w:r>
      <w:r>
        <w:t xml:space="preserve">do however </w:t>
      </w:r>
      <w:r w:rsidRPr="007D715B">
        <w:t>claim</w:t>
      </w:r>
      <w:r>
        <w:t>, but</w:t>
      </w:r>
      <w:r w:rsidRPr="007D715B">
        <w:t xml:space="preserve"> without substantiation</w:t>
      </w:r>
      <w:r>
        <w:t>,</w:t>
      </w:r>
      <w:r w:rsidRPr="007D715B">
        <w:t xml:space="preserve"> that the employment figures are inflated.</w:t>
      </w:r>
      <w:r>
        <w:t xml:space="preserve"> It stands to reason however that a reduction in production will increase unemployment.  </w:t>
      </w:r>
    </w:p>
  </w:footnote>
  <w:footnote w:id="6">
    <w:p w14:paraId="7AFAE0CF" w14:textId="08C2CA31" w:rsidR="00180F8A" w:rsidRPr="007D715B" w:rsidRDefault="00180F8A" w:rsidP="007D715B">
      <w:pPr>
        <w:pStyle w:val="FootnoteText"/>
        <w:jc w:val="both"/>
      </w:pPr>
      <w:r w:rsidRPr="007D715B">
        <w:rPr>
          <w:rStyle w:val="FootnoteReference"/>
        </w:rPr>
        <w:footnoteRef/>
      </w:r>
      <w:r w:rsidRPr="007D715B">
        <w:t xml:space="preserve"> The correctness of these factual allegations is not denied by the applicants.</w:t>
      </w:r>
    </w:p>
  </w:footnote>
  <w:footnote w:id="7">
    <w:p w14:paraId="35C5B9BD" w14:textId="09DAAABD" w:rsidR="00180F8A" w:rsidRPr="007D715B" w:rsidRDefault="00180F8A" w:rsidP="007D715B">
      <w:pPr>
        <w:pStyle w:val="FootnoteText"/>
        <w:jc w:val="both"/>
      </w:pPr>
      <w:r w:rsidRPr="007D715B">
        <w:rPr>
          <w:rStyle w:val="FootnoteReference"/>
        </w:rPr>
        <w:footnoteRef/>
      </w:r>
      <w:r w:rsidRPr="007D715B">
        <w:t xml:space="preserve"> Section 1</w:t>
      </w:r>
      <w:r w:rsidRPr="007D715B">
        <w:rPr>
          <w:i/>
        </w:rPr>
        <w:t>(c)</w:t>
      </w:r>
      <w:r w:rsidRPr="007D715B">
        <w:t xml:space="preserve"> of the Constitution provides:</w:t>
      </w:r>
    </w:p>
    <w:p w14:paraId="7C14F15B" w14:textId="77777777" w:rsidR="00180F8A" w:rsidRPr="007D715B" w:rsidRDefault="00180F8A" w:rsidP="007D715B">
      <w:pPr>
        <w:pStyle w:val="FootnoteText"/>
        <w:jc w:val="both"/>
      </w:pPr>
      <w:r w:rsidRPr="007D715B">
        <w:t>‘The Republic of South Africa is one, sovereign, democratic state founded on the following values:</w:t>
      </w:r>
    </w:p>
    <w:p w14:paraId="30F5FA13" w14:textId="77777777" w:rsidR="00180F8A" w:rsidRPr="007D715B" w:rsidRDefault="00180F8A" w:rsidP="007D715B">
      <w:pPr>
        <w:pStyle w:val="FootnoteText"/>
        <w:jc w:val="both"/>
      </w:pPr>
      <w:r w:rsidRPr="007D715B">
        <w:t xml:space="preserve">. . . </w:t>
      </w:r>
    </w:p>
    <w:p w14:paraId="5316374C" w14:textId="79A897D0" w:rsidR="00180F8A" w:rsidRPr="007D715B" w:rsidRDefault="00180F8A" w:rsidP="007D715B">
      <w:pPr>
        <w:pStyle w:val="FootnoteText"/>
        <w:jc w:val="both"/>
      </w:pPr>
      <w:r w:rsidRPr="007D715B">
        <w:rPr>
          <w:i/>
        </w:rPr>
        <w:t>(c)</w:t>
      </w:r>
      <w:r w:rsidRPr="007D715B">
        <w:tab/>
        <w:t>Supremacy of the Constitution and the rule of law . . . ’</w:t>
      </w:r>
    </w:p>
    <w:p w14:paraId="36939622" w14:textId="6BDF81F8" w:rsidR="00180F8A" w:rsidRPr="007D715B" w:rsidRDefault="00180F8A" w:rsidP="007D715B">
      <w:pPr>
        <w:pStyle w:val="FootnoteText"/>
        <w:jc w:val="both"/>
      </w:pPr>
      <w:r w:rsidRPr="007D715B">
        <w:t>Section 2 of the Constitution provides: ‘This Constitution is the supreme law of the Republic; law or conduct inconsistent with it is invalid, and the obligations imposed by it must be fulfilled.’</w:t>
      </w:r>
    </w:p>
  </w:footnote>
  <w:footnote w:id="8">
    <w:p w14:paraId="56F36A45" w14:textId="77777777" w:rsidR="00180F8A" w:rsidRPr="007D715B" w:rsidRDefault="00180F8A" w:rsidP="007D715B">
      <w:pPr>
        <w:pStyle w:val="FootnoteText"/>
        <w:jc w:val="both"/>
      </w:pPr>
      <w:r w:rsidRPr="007D715B">
        <w:rPr>
          <w:rStyle w:val="FootnoteReference"/>
        </w:rPr>
        <w:footnoteRef/>
      </w:r>
      <w:r w:rsidRPr="007D715B">
        <w:t xml:space="preserve"> Section 24 of the Constitution provides:</w:t>
      </w:r>
    </w:p>
    <w:p w14:paraId="385F1328" w14:textId="77777777" w:rsidR="00180F8A" w:rsidRPr="007D715B" w:rsidRDefault="00180F8A" w:rsidP="007D715B">
      <w:pPr>
        <w:pStyle w:val="FootnoteText"/>
        <w:jc w:val="both"/>
      </w:pPr>
      <w:r w:rsidRPr="007D715B">
        <w:t>‘Everyone has the right-</w:t>
      </w:r>
    </w:p>
    <w:p w14:paraId="5A9CD49E" w14:textId="3D892CA3" w:rsidR="00180F8A" w:rsidRPr="007D715B" w:rsidRDefault="00180F8A" w:rsidP="007D715B">
      <w:pPr>
        <w:pStyle w:val="FootnoteText"/>
        <w:jc w:val="both"/>
      </w:pPr>
      <w:r w:rsidRPr="007D715B">
        <w:rPr>
          <w:i/>
        </w:rPr>
        <w:t>(a)</w:t>
      </w:r>
      <w:r w:rsidRPr="007D715B">
        <w:tab/>
        <w:t>to an environment that is not harmful to their health or well-being; and</w:t>
      </w:r>
    </w:p>
    <w:p w14:paraId="7F7858E5" w14:textId="0472C7A1" w:rsidR="00180F8A" w:rsidRPr="007D715B" w:rsidRDefault="00180F8A" w:rsidP="007D715B">
      <w:pPr>
        <w:pStyle w:val="FootnoteText"/>
        <w:jc w:val="both"/>
      </w:pPr>
      <w:r w:rsidRPr="007D715B">
        <w:rPr>
          <w:i/>
        </w:rPr>
        <w:t>(b)</w:t>
      </w:r>
      <w:r w:rsidRPr="007D715B">
        <w:tab/>
        <w:t>to have the environment protected, for the benefit of present and future generations, through reasonable legislative and other measures that-</w:t>
      </w:r>
    </w:p>
    <w:p w14:paraId="46F74127" w14:textId="501DD541" w:rsidR="00180F8A" w:rsidRPr="007D715B" w:rsidRDefault="00180F8A" w:rsidP="007D715B">
      <w:pPr>
        <w:pStyle w:val="FootnoteText"/>
        <w:jc w:val="both"/>
      </w:pPr>
      <w:r w:rsidRPr="007D715B">
        <w:t xml:space="preserve">(i) </w:t>
      </w:r>
      <w:r w:rsidRPr="007D715B">
        <w:tab/>
        <w:t>prevent pollution and ecological degradation;</w:t>
      </w:r>
    </w:p>
    <w:p w14:paraId="168B47AB" w14:textId="68725AEB" w:rsidR="00180F8A" w:rsidRPr="007D715B" w:rsidRDefault="00180F8A" w:rsidP="007D715B">
      <w:pPr>
        <w:pStyle w:val="FootnoteText"/>
        <w:jc w:val="both"/>
      </w:pPr>
      <w:r w:rsidRPr="007D715B">
        <w:t xml:space="preserve">(ii) </w:t>
      </w:r>
      <w:r w:rsidRPr="007D715B">
        <w:tab/>
        <w:t>promote conservation; and</w:t>
      </w:r>
    </w:p>
    <w:p w14:paraId="3D17CA97" w14:textId="4DD07610" w:rsidR="00180F8A" w:rsidRPr="007D715B" w:rsidRDefault="00180F8A" w:rsidP="007D715B">
      <w:pPr>
        <w:pStyle w:val="FootnoteText"/>
        <w:jc w:val="both"/>
      </w:pPr>
      <w:r w:rsidRPr="007D715B">
        <w:t xml:space="preserve">(iii) </w:t>
      </w:r>
      <w:r w:rsidRPr="007D715B">
        <w:tab/>
        <w:t>secure ecologically sustainable development and use of natural resources while promoting justifiable economic and social development.’</w:t>
      </w:r>
    </w:p>
  </w:footnote>
  <w:footnote w:id="9">
    <w:p w14:paraId="7F6DE22A" w14:textId="77777777" w:rsidR="00180F8A" w:rsidRPr="007D715B" w:rsidRDefault="00180F8A" w:rsidP="007D715B">
      <w:pPr>
        <w:pStyle w:val="FootnoteText"/>
        <w:jc w:val="both"/>
      </w:pPr>
      <w:r w:rsidRPr="007D715B">
        <w:rPr>
          <w:rStyle w:val="FootnoteReference"/>
        </w:rPr>
        <w:footnoteRef/>
      </w:r>
      <w:r w:rsidRPr="007D715B">
        <w:t xml:space="preserve"> Section 22 of the Constitution provides: ‘Every citizen has the right to choose their trade, occupation or profession freely. The practice of a trade, occupation or profession may be regulated by law.’</w:t>
      </w:r>
    </w:p>
  </w:footnote>
  <w:footnote w:id="10">
    <w:p w14:paraId="4BA73552" w14:textId="77777777" w:rsidR="00180F8A" w:rsidRPr="007D715B" w:rsidRDefault="00180F8A" w:rsidP="007D715B">
      <w:pPr>
        <w:pStyle w:val="FootnoteText"/>
        <w:jc w:val="both"/>
      </w:pPr>
      <w:r w:rsidRPr="007D715B">
        <w:rPr>
          <w:rStyle w:val="FootnoteReference"/>
        </w:rPr>
        <w:footnoteRef/>
      </w:r>
      <w:r w:rsidRPr="007D715B">
        <w:t xml:space="preserve"> Section 33 of the Constitution provides:</w:t>
      </w:r>
    </w:p>
    <w:p w14:paraId="78F25985" w14:textId="711E6C6C" w:rsidR="00180F8A" w:rsidRPr="007D715B" w:rsidRDefault="00180F8A" w:rsidP="007D715B">
      <w:pPr>
        <w:pStyle w:val="FootnoteText"/>
        <w:jc w:val="both"/>
      </w:pPr>
      <w:r w:rsidRPr="007D715B">
        <w:t>‘(1) Everyone has the right to administrative action that is lawful, reasonable and procedurally fair.</w:t>
      </w:r>
    </w:p>
    <w:p w14:paraId="23E665CA" w14:textId="35534840" w:rsidR="00180F8A" w:rsidRPr="007D715B" w:rsidRDefault="00180F8A" w:rsidP="007D715B">
      <w:pPr>
        <w:pStyle w:val="FootnoteText"/>
        <w:jc w:val="both"/>
      </w:pPr>
      <w:r w:rsidRPr="007D715B">
        <w:t>(2) Everyone whose rights have been adversely affected by administrative action has the right to be given written reasons.</w:t>
      </w:r>
    </w:p>
    <w:p w14:paraId="58DBC4C2" w14:textId="77777777" w:rsidR="00180F8A" w:rsidRPr="007D715B" w:rsidRDefault="00180F8A" w:rsidP="007D715B">
      <w:pPr>
        <w:pStyle w:val="FootnoteText"/>
        <w:jc w:val="both"/>
      </w:pPr>
      <w:r w:rsidRPr="007D715B">
        <w:t>(3) National legislation must be enacted to give effect to these rights, and must-</w:t>
      </w:r>
    </w:p>
    <w:p w14:paraId="7296D55A" w14:textId="0488C85C" w:rsidR="00180F8A" w:rsidRPr="007D715B" w:rsidRDefault="00180F8A" w:rsidP="007D715B">
      <w:pPr>
        <w:pStyle w:val="FootnoteText"/>
        <w:jc w:val="both"/>
      </w:pPr>
      <w:r w:rsidRPr="007D715B">
        <w:rPr>
          <w:i/>
        </w:rPr>
        <w:t>(a)</w:t>
      </w:r>
      <w:r w:rsidRPr="007D715B">
        <w:t xml:space="preserve"> </w:t>
      </w:r>
      <w:r w:rsidRPr="007D715B">
        <w:tab/>
        <w:t>provide for the review of administrative action by a court or, where appropriate, an independent and impartial tribunal;</w:t>
      </w:r>
    </w:p>
    <w:p w14:paraId="220F9BC8" w14:textId="03D70AF2" w:rsidR="00180F8A" w:rsidRPr="007D715B" w:rsidRDefault="00180F8A" w:rsidP="007D715B">
      <w:pPr>
        <w:pStyle w:val="FootnoteText"/>
        <w:jc w:val="both"/>
      </w:pPr>
      <w:r w:rsidRPr="007D715B">
        <w:rPr>
          <w:i/>
        </w:rPr>
        <w:t>(b)</w:t>
      </w:r>
      <w:r w:rsidRPr="007D715B">
        <w:t xml:space="preserve"> </w:t>
      </w:r>
      <w:r w:rsidRPr="007D715B">
        <w:tab/>
        <w:t>impose a duty on the state to give effect to the rights in subsections (1) and (2); and</w:t>
      </w:r>
    </w:p>
    <w:p w14:paraId="3411C8DA" w14:textId="741A5088" w:rsidR="00180F8A" w:rsidRPr="007D715B" w:rsidRDefault="00180F8A" w:rsidP="007D715B">
      <w:pPr>
        <w:pStyle w:val="FootnoteText"/>
        <w:jc w:val="both"/>
      </w:pPr>
      <w:r w:rsidRPr="007D715B">
        <w:rPr>
          <w:i/>
        </w:rPr>
        <w:t>(c)</w:t>
      </w:r>
      <w:r w:rsidRPr="007D715B">
        <w:t xml:space="preserve"> </w:t>
      </w:r>
      <w:r w:rsidRPr="007D715B">
        <w:tab/>
        <w:t>promote an efficient administration.'</w:t>
      </w:r>
    </w:p>
  </w:footnote>
  <w:footnote w:id="11">
    <w:p w14:paraId="749D9ED7" w14:textId="0B60A0D1" w:rsidR="00180F8A" w:rsidRPr="007D715B" w:rsidRDefault="00180F8A" w:rsidP="007D715B">
      <w:pPr>
        <w:pStyle w:val="FootnoteText"/>
        <w:jc w:val="both"/>
      </w:pPr>
      <w:r w:rsidRPr="007D715B">
        <w:rPr>
          <w:rStyle w:val="FootnoteReference"/>
        </w:rPr>
        <w:footnoteRef/>
      </w:r>
      <w:r w:rsidRPr="007D715B">
        <w:t xml:space="preserve"> Section 34 of the Constitution provides: ‘Everyone has the right to have any dispute that can be resolved by the application of law decided in a fair public hearing before a court or, where appropriate, another independent and impartial tribunal or forum.’</w:t>
      </w:r>
    </w:p>
  </w:footnote>
  <w:footnote w:id="12">
    <w:p w14:paraId="5DE384AE" w14:textId="62DE4D7B" w:rsidR="00180F8A" w:rsidRPr="007D715B" w:rsidRDefault="00180F8A" w:rsidP="007D715B">
      <w:pPr>
        <w:pStyle w:val="FootnoteText"/>
        <w:jc w:val="both"/>
      </w:pPr>
      <w:r w:rsidRPr="007D715B">
        <w:rPr>
          <w:rStyle w:val="FootnoteReference"/>
        </w:rPr>
        <w:footnoteRef/>
      </w:r>
      <w:r w:rsidRPr="007D715B">
        <w:t xml:space="preserve"> The details of the procedures to be complied with and whether they were complied with arose in Bam J’s </w:t>
      </w:r>
      <w:r>
        <w:t xml:space="preserve">review </w:t>
      </w:r>
      <w:r w:rsidRPr="007D715B">
        <w:t xml:space="preserve">judgment in the Gauteng Division of the High Court under case no. 82865/18 dated 4 May 2022, and reported as </w:t>
      </w:r>
      <w:r w:rsidRPr="007D715B">
        <w:rPr>
          <w:i/>
        </w:rPr>
        <w:t>Mfolozi Community Environmental Justice Organisation and others v Minister of Minerals and Energy and others</w:t>
      </w:r>
      <w:r w:rsidRPr="007D715B">
        <w:t xml:space="preserve"> [2022] ZAGPPHC 305 (the review). Although the applicants allege that some of these requirements have still not been complied with, as a ground for granting the interdict requested, in the view I take of the matter, they need not be dealt with in this judgment. </w:t>
      </w:r>
    </w:p>
  </w:footnote>
  <w:footnote w:id="13">
    <w:p w14:paraId="7C65FAAC" w14:textId="77777777" w:rsidR="00180F8A" w:rsidRPr="007D715B" w:rsidRDefault="00180F8A" w:rsidP="007D715B">
      <w:pPr>
        <w:pStyle w:val="FootnoteText"/>
        <w:jc w:val="both"/>
      </w:pPr>
      <w:r w:rsidRPr="007D715B">
        <w:rPr>
          <w:rStyle w:val="FootnoteReference"/>
        </w:rPr>
        <w:footnoteRef/>
      </w:r>
      <w:r w:rsidRPr="007D715B">
        <w:t xml:space="preserve"> The Minister of Mineral Resources and Energy, representing the Department of Mineral Resources and Energy, was cited as the second respondent.</w:t>
      </w:r>
    </w:p>
  </w:footnote>
  <w:footnote w:id="14">
    <w:p w14:paraId="36386056" w14:textId="73E10974" w:rsidR="00180F8A" w:rsidRPr="007D715B" w:rsidRDefault="00180F8A" w:rsidP="007D715B">
      <w:pPr>
        <w:pStyle w:val="FootnoteText"/>
        <w:jc w:val="both"/>
      </w:pPr>
      <w:r w:rsidRPr="007D715B">
        <w:rPr>
          <w:rStyle w:val="FootnoteReference"/>
        </w:rPr>
        <w:footnoteRef/>
      </w:r>
      <w:r w:rsidRPr="007D715B">
        <w:t xml:space="preserve"> See generally the review reported as </w:t>
      </w:r>
      <w:r w:rsidRPr="007D715B">
        <w:rPr>
          <w:i/>
        </w:rPr>
        <w:t>Mfolozi Community Environmental Justice Organisation and others v Minister of Minerals and Energy and others</w:t>
      </w:r>
      <w:r w:rsidRPr="007D715B">
        <w:t xml:space="preserve"> [2022] ZAGPPHC 305 para 8.</w:t>
      </w:r>
    </w:p>
  </w:footnote>
  <w:footnote w:id="15">
    <w:p w14:paraId="24733183" w14:textId="55418352" w:rsidR="00180F8A" w:rsidRPr="007D715B" w:rsidRDefault="00180F8A" w:rsidP="007D715B">
      <w:pPr>
        <w:pStyle w:val="FootnoteText"/>
        <w:jc w:val="both"/>
      </w:pPr>
      <w:r w:rsidRPr="007D715B">
        <w:rPr>
          <w:rStyle w:val="FootnoteReference"/>
        </w:rPr>
        <w:footnoteRef/>
      </w:r>
      <w:r w:rsidRPr="007D715B">
        <w:t xml:space="preserve"> The extent of its representation was however disputed.</w:t>
      </w:r>
      <w:r>
        <w:t xml:space="preserve"> But nothing turns on this.</w:t>
      </w:r>
    </w:p>
  </w:footnote>
  <w:footnote w:id="16">
    <w:p w14:paraId="59528AC4" w14:textId="77777777" w:rsidR="00180F8A" w:rsidRPr="007D715B" w:rsidRDefault="00180F8A" w:rsidP="007D715B">
      <w:pPr>
        <w:pStyle w:val="FootnoteText"/>
        <w:jc w:val="both"/>
      </w:pPr>
      <w:r w:rsidRPr="007D715B">
        <w:rPr>
          <w:rStyle w:val="FootnoteReference"/>
        </w:rPr>
        <w:footnoteRef/>
      </w:r>
      <w:r w:rsidRPr="007D715B">
        <w:t xml:space="preserve"> Section 38 of the Constitution provides:</w:t>
      </w:r>
    </w:p>
    <w:p w14:paraId="0B3E7C01" w14:textId="11F50E91" w:rsidR="00180F8A" w:rsidRPr="007D715B" w:rsidRDefault="00180F8A" w:rsidP="007D715B">
      <w:pPr>
        <w:pStyle w:val="FootnoteText"/>
        <w:jc w:val="both"/>
      </w:pPr>
      <w:r w:rsidRPr="007D715B">
        <w:t>‘Anyone listed in this section has the right to approach a competent court, alleging that a right in the Bill of Rights has been infringed or threatened, and the court may grant appropriate relief, including a declaration of rights. The persons who may approach a court are-</w:t>
      </w:r>
    </w:p>
    <w:p w14:paraId="518C508F" w14:textId="3E9EFAC0" w:rsidR="00180F8A" w:rsidRPr="007D715B" w:rsidRDefault="00180F8A" w:rsidP="007D715B">
      <w:pPr>
        <w:pStyle w:val="FootnoteText"/>
        <w:jc w:val="both"/>
      </w:pPr>
      <w:r w:rsidRPr="007D715B">
        <w:rPr>
          <w:i/>
        </w:rPr>
        <w:t>(a)</w:t>
      </w:r>
      <w:r w:rsidRPr="007D715B">
        <w:t xml:space="preserve"> </w:t>
      </w:r>
      <w:r w:rsidRPr="007D715B">
        <w:tab/>
        <w:t>anyone acting in their own interest;</w:t>
      </w:r>
    </w:p>
    <w:p w14:paraId="5E4950B0" w14:textId="23728C21" w:rsidR="00180F8A" w:rsidRPr="007D715B" w:rsidRDefault="00180F8A" w:rsidP="007D715B">
      <w:pPr>
        <w:pStyle w:val="FootnoteText"/>
        <w:jc w:val="both"/>
      </w:pPr>
      <w:r w:rsidRPr="007D715B">
        <w:rPr>
          <w:i/>
        </w:rPr>
        <w:t>(b)</w:t>
      </w:r>
      <w:r w:rsidRPr="007D715B">
        <w:t xml:space="preserve"> </w:t>
      </w:r>
      <w:r w:rsidRPr="007D715B">
        <w:tab/>
        <w:t>anyone acting on behalf of another person who cannot act in their own name;</w:t>
      </w:r>
    </w:p>
    <w:p w14:paraId="389A0A02" w14:textId="77777777" w:rsidR="00180F8A" w:rsidRPr="007D715B" w:rsidRDefault="00180F8A" w:rsidP="007D715B">
      <w:pPr>
        <w:pStyle w:val="FootnoteText"/>
        <w:jc w:val="both"/>
      </w:pPr>
      <w:r w:rsidRPr="007D715B">
        <w:rPr>
          <w:i/>
        </w:rPr>
        <w:t>(c)</w:t>
      </w:r>
      <w:r w:rsidRPr="007D715B">
        <w:t xml:space="preserve"> </w:t>
      </w:r>
      <w:r w:rsidRPr="007D715B">
        <w:tab/>
        <w:t>anyone acting as a member of, or in the interest of, a group or class of persons;</w:t>
      </w:r>
    </w:p>
    <w:p w14:paraId="464BCB3F" w14:textId="1AF7664E" w:rsidR="00180F8A" w:rsidRPr="007D715B" w:rsidRDefault="00180F8A" w:rsidP="007D715B">
      <w:pPr>
        <w:pStyle w:val="FootnoteText"/>
        <w:jc w:val="both"/>
      </w:pPr>
      <w:r w:rsidRPr="007D715B">
        <w:rPr>
          <w:i/>
        </w:rPr>
        <w:t>(d)</w:t>
      </w:r>
      <w:r w:rsidRPr="007D715B">
        <w:t xml:space="preserve"> </w:t>
      </w:r>
      <w:r w:rsidRPr="007D715B">
        <w:tab/>
        <w:t>anyone acting in the public interest; and</w:t>
      </w:r>
    </w:p>
    <w:p w14:paraId="7AFFA0B8" w14:textId="6A3EC6F9" w:rsidR="00180F8A" w:rsidRPr="007D715B" w:rsidRDefault="00180F8A" w:rsidP="007D715B">
      <w:pPr>
        <w:pStyle w:val="FootnoteText"/>
        <w:jc w:val="both"/>
      </w:pPr>
      <w:r w:rsidRPr="007D715B">
        <w:rPr>
          <w:i/>
        </w:rPr>
        <w:t>(e)</w:t>
      </w:r>
      <w:r w:rsidRPr="007D715B">
        <w:t xml:space="preserve"> </w:t>
      </w:r>
      <w:r w:rsidRPr="007D715B">
        <w:tab/>
        <w:t>an association acting in the interest of its members.’</w:t>
      </w:r>
    </w:p>
  </w:footnote>
  <w:footnote w:id="17">
    <w:p w14:paraId="7356467C" w14:textId="4A0ACA45" w:rsidR="00180F8A" w:rsidRPr="007D715B" w:rsidRDefault="00180F8A" w:rsidP="007D715B">
      <w:pPr>
        <w:pStyle w:val="FootnoteText"/>
        <w:jc w:val="both"/>
      </w:pPr>
      <w:r w:rsidRPr="007D715B">
        <w:rPr>
          <w:rStyle w:val="FootnoteReference"/>
        </w:rPr>
        <w:footnoteRef/>
      </w:r>
      <w:r w:rsidRPr="007D715B">
        <w:t xml:space="preserve"> Mineral and Petroleum Resources Development Regulations GN R527 in </w:t>
      </w:r>
      <w:r w:rsidRPr="007D715B">
        <w:rPr>
          <w:i/>
        </w:rPr>
        <w:t>GG</w:t>
      </w:r>
      <w:r w:rsidRPr="007D715B">
        <w:t xml:space="preserve"> 26275 of 23 April 2004.</w:t>
      </w:r>
    </w:p>
  </w:footnote>
  <w:footnote w:id="18">
    <w:p w14:paraId="44FDAC5B" w14:textId="279C379F" w:rsidR="00180F8A" w:rsidRPr="00616AA5" w:rsidRDefault="00180F8A" w:rsidP="00616AA5">
      <w:pPr>
        <w:pStyle w:val="FootnoteText"/>
        <w:jc w:val="both"/>
        <w:rPr>
          <w:lang w:val="en-GB"/>
        </w:rPr>
      </w:pPr>
      <w:r>
        <w:rPr>
          <w:rStyle w:val="FootnoteReference"/>
        </w:rPr>
        <w:footnoteRef/>
      </w:r>
      <w:r>
        <w:t xml:space="preserve"> </w:t>
      </w:r>
      <w:r w:rsidRPr="007D715B">
        <w:rPr>
          <w:i/>
        </w:rPr>
        <w:t>Mfolozi Community Environmental Justice Organisation and others v Minister of Minerals and Energy and others</w:t>
      </w:r>
      <w:r w:rsidRPr="007D715B">
        <w:t xml:space="preserve"> [2022] ZAGPPHC 305</w:t>
      </w:r>
      <w:r>
        <w:t>.</w:t>
      </w:r>
    </w:p>
  </w:footnote>
  <w:footnote w:id="19">
    <w:p w14:paraId="27286B13" w14:textId="77777777" w:rsidR="00180F8A" w:rsidRPr="007D715B" w:rsidRDefault="00180F8A" w:rsidP="007D715B">
      <w:pPr>
        <w:pStyle w:val="FootnoteText"/>
        <w:jc w:val="both"/>
      </w:pPr>
      <w:r w:rsidRPr="007D715B">
        <w:rPr>
          <w:rStyle w:val="FootnoteReference"/>
        </w:rPr>
        <w:footnoteRef/>
      </w:r>
      <w:r w:rsidRPr="007D715B">
        <w:t xml:space="preserve"> Cited as the fourth respondent in the review.</w:t>
      </w:r>
    </w:p>
  </w:footnote>
  <w:footnote w:id="20">
    <w:p w14:paraId="3D35BBCF" w14:textId="3B998F02" w:rsidR="00180F8A" w:rsidRPr="007D715B" w:rsidRDefault="00180F8A" w:rsidP="007D715B">
      <w:pPr>
        <w:pStyle w:val="FootnoteText"/>
        <w:jc w:val="both"/>
      </w:pPr>
      <w:r w:rsidRPr="007D715B">
        <w:rPr>
          <w:rStyle w:val="FootnoteReference"/>
        </w:rPr>
        <w:footnoteRef/>
      </w:r>
      <w:r w:rsidRPr="007D715B">
        <w:t xml:space="preserve"> The first respondent in the review.</w:t>
      </w:r>
    </w:p>
  </w:footnote>
  <w:footnote w:id="21">
    <w:p w14:paraId="54A08B12" w14:textId="783560CB" w:rsidR="00180F8A" w:rsidRPr="007D715B" w:rsidRDefault="00180F8A" w:rsidP="007D715B">
      <w:pPr>
        <w:pStyle w:val="FootnoteText"/>
        <w:jc w:val="both"/>
      </w:pPr>
      <w:r w:rsidRPr="007D715B">
        <w:rPr>
          <w:rStyle w:val="FootnoteReference"/>
        </w:rPr>
        <w:footnoteRef/>
      </w:r>
      <w:r w:rsidRPr="007D715B">
        <w:t xml:space="preserve"> The third respondent in this application, and cited as the fifth respondent in the review.</w:t>
      </w:r>
    </w:p>
  </w:footnote>
  <w:footnote w:id="22">
    <w:p w14:paraId="2E042335" w14:textId="679D5620" w:rsidR="00180F8A" w:rsidRPr="007D715B" w:rsidRDefault="00180F8A" w:rsidP="007D715B">
      <w:pPr>
        <w:pStyle w:val="FootnoteText"/>
        <w:jc w:val="both"/>
      </w:pPr>
      <w:r w:rsidRPr="007D715B">
        <w:rPr>
          <w:rStyle w:val="FootnoteReference"/>
        </w:rPr>
        <w:footnoteRef/>
      </w:r>
      <w:r w:rsidRPr="007D715B">
        <w:t xml:space="preserve"> Being the fourth respondents in this application and they were not a party in the review.</w:t>
      </w:r>
    </w:p>
  </w:footnote>
  <w:footnote w:id="23">
    <w:p w14:paraId="53B89E15" w14:textId="3A670240" w:rsidR="00180F8A" w:rsidRPr="007D715B" w:rsidRDefault="00180F8A" w:rsidP="007D715B">
      <w:pPr>
        <w:pStyle w:val="FootnoteText"/>
        <w:jc w:val="both"/>
      </w:pPr>
      <w:r w:rsidRPr="007D715B">
        <w:rPr>
          <w:rStyle w:val="FootnoteReference"/>
        </w:rPr>
        <w:footnoteRef/>
      </w:r>
      <w:r w:rsidRPr="007D715B">
        <w:t xml:space="preserve"> The review </w:t>
      </w:r>
      <w:r>
        <w:t xml:space="preserve">fn 18 </w:t>
      </w:r>
      <w:r w:rsidRPr="007D715B">
        <w:t>paras 15 and 16.</w:t>
      </w:r>
    </w:p>
  </w:footnote>
  <w:footnote w:id="24">
    <w:p w14:paraId="6AE3DD0C" w14:textId="0021BB51"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16.</w:t>
      </w:r>
    </w:p>
  </w:footnote>
  <w:footnote w:id="25">
    <w:p w14:paraId="42A4071A" w14:textId="291BCD52"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17.</w:t>
      </w:r>
    </w:p>
  </w:footnote>
  <w:footnote w:id="26">
    <w:p w14:paraId="29B14019" w14:textId="7A0385E6"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21.</w:t>
      </w:r>
    </w:p>
  </w:footnote>
  <w:footnote w:id="27">
    <w:p w14:paraId="1B29B8E8" w14:textId="1C79A95E"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24.</w:t>
      </w:r>
    </w:p>
  </w:footnote>
  <w:footnote w:id="28">
    <w:p w14:paraId="77D2FD3E" w14:textId="07C7DF62"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32.</w:t>
      </w:r>
    </w:p>
  </w:footnote>
  <w:footnote w:id="29">
    <w:p w14:paraId="324745AF" w14:textId="5172CF6D"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33.</w:t>
      </w:r>
    </w:p>
  </w:footnote>
  <w:footnote w:id="30">
    <w:p w14:paraId="6AFC2FDD" w14:textId="6B983C44"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36.</w:t>
      </w:r>
    </w:p>
  </w:footnote>
  <w:footnote w:id="31">
    <w:p w14:paraId="17BA8334" w14:textId="0545F634" w:rsidR="00180F8A" w:rsidRPr="007D715B" w:rsidRDefault="00180F8A" w:rsidP="007D715B">
      <w:pPr>
        <w:pStyle w:val="FootnoteText"/>
        <w:jc w:val="both"/>
      </w:pPr>
      <w:r w:rsidRPr="007D715B">
        <w:rPr>
          <w:rStyle w:val="FootnoteReference"/>
        </w:rPr>
        <w:footnoteRef/>
      </w:r>
      <w:r w:rsidRPr="007D715B">
        <w:t xml:space="preserve"> </w:t>
      </w:r>
      <w:r>
        <w:t>The review fn 18</w:t>
      </w:r>
      <w:r w:rsidRPr="007D715B">
        <w:t xml:space="preserve"> para 37.</w:t>
      </w:r>
    </w:p>
  </w:footnote>
  <w:footnote w:id="32">
    <w:p w14:paraId="31FAC5A3" w14:textId="5D5BF55C"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56.</w:t>
      </w:r>
    </w:p>
  </w:footnote>
  <w:footnote w:id="33">
    <w:p w14:paraId="4A8D6317" w14:textId="7A1D63BA"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56.</w:t>
      </w:r>
    </w:p>
  </w:footnote>
  <w:footnote w:id="34">
    <w:p w14:paraId="7F98AC9C" w14:textId="45B94E9F"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70.</w:t>
      </w:r>
    </w:p>
  </w:footnote>
  <w:footnote w:id="35">
    <w:p w14:paraId="7B8945F8" w14:textId="02FB1D0F"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71.</w:t>
      </w:r>
    </w:p>
  </w:footnote>
  <w:footnote w:id="36">
    <w:p w14:paraId="17DAA146" w14:textId="4F95A57E" w:rsidR="00180F8A" w:rsidRPr="007D715B" w:rsidRDefault="00180F8A" w:rsidP="007D715B">
      <w:pPr>
        <w:pStyle w:val="FootnoteText"/>
        <w:jc w:val="both"/>
      </w:pPr>
      <w:r w:rsidRPr="007D715B">
        <w:rPr>
          <w:rStyle w:val="FootnoteReference"/>
        </w:rPr>
        <w:footnoteRef/>
      </w:r>
      <w:r w:rsidRPr="007D715B">
        <w:t xml:space="preserve"> </w:t>
      </w:r>
      <w:r w:rsidRPr="007D715B">
        <w:rPr>
          <w:i/>
        </w:rPr>
        <w:t>Khumalo and another v Member of the Executive Council for Education: KwaZulu-Natal</w:t>
      </w:r>
      <w:r w:rsidRPr="007D715B">
        <w:t xml:space="preserve"> [2013] ZACC 49; 2014 (5) SA 579 (CC); 2014 (3) BCLR 333 (CC) para 53 onward.</w:t>
      </w:r>
    </w:p>
  </w:footnote>
  <w:footnote w:id="37">
    <w:p w14:paraId="14CC3B2D" w14:textId="39C4E358"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75ff, particularly para 81.</w:t>
      </w:r>
    </w:p>
  </w:footnote>
  <w:footnote w:id="38">
    <w:p w14:paraId="763C2131" w14:textId="2DD57792"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21.</w:t>
      </w:r>
    </w:p>
  </w:footnote>
  <w:footnote w:id="39">
    <w:p w14:paraId="3F22E91D" w14:textId="62A0EB80" w:rsidR="00180F8A" w:rsidRPr="007D715B" w:rsidRDefault="00180F8A" w:rsidP="007D715B">
      <w:pPr>
        <w:pStyle w:val="FootnoteText"/>
        <w:jc w:val="both"/>
      </w:pPr>
      <w:r w:rsidRPr="007D715B">
        <w:rPr>
          <w:rStyle w:val="FootnoteReference"/>
        </w:rPr>
        <w:footnoteRef/>
      </w:r>
      <w:r w:rsidRPr="007D715B">
        <w:t xml:space="preserve"> The review fn </w:t>
      </w:r>
      <w:r>
        <w:t>18</w:t>
      </w:r>
      <w:r w:rsidRPr="007D715B">
        <w:t xml:space="preserve"> para 81.</w:t>
      </w:r>
    </w:p>
  </w:footnote>
  <w:footnote w:id="40">
    <w:p w14:paraId="449C09FB" w14:textId="62A950D3" w:rsidR="00180F8A" w:rsidRDefault="00180F8A">
      <w:pPr>
        <w:pStyle w:val="FootnoteText"/>
      </w:pPr>
      <w:r>
        <w:rPr>
          <w:rStyle w:val="FootnoteReference"/>
        </w:rPr>
        <w:footnoteRef/>
      </w:r>
      <w:r>
        <w:t xml:space="preserve"> That presumably refers to the argument of the applicants quoted in paragraph 75 of the judgment, referred to in paragraph 27 above, that a referral to the Minister rather than the mining right being set aside and the process starting afresh, would result in the mining continuing.  </w:t>
      </w:r>
    </w:p>
  </w:footnote>
  <w:footnote w:id="41">
    <w:p w14:paraId="33BE1F59" w14:textId="1950A608" w:rsidR="00180F8A" w:rsidRPr="007D715B" w:rsidRDefault="00180F8A" w:rsidP="007D715B">
      <w:pPr>
        <w:pStyle w:val="FootnoteText"/>
        <w:jc w:val="both"/>
      </w:pPr>
      <w:r w:rsidRPr="007D715B">
        <w:rPr>
          <w:rStyle w:val="FootnoteReference"/>
        </w:rPr>
        <w:footnoteRef/>
      </w:r>
      <w:r w:rsidRPr="007D715B">
        <w:t xml:space="preserve"> Environmental Impact Assessment Regulations, 2014 GNR 982 in </w:t>
      </w:r>
      <w:r w:rsidRPr="007D715B">
        <w:rPr>
          <w:i/>
        </w:rPr>
        <w:t>GG</w:t>
      </w:r>
      <w:r w:rsidRPr="007D715B">
        <w:t xml:space="preserve"> 38282 of 4 December 2014.</w:t>
      </w:r>
    </w:p>
  </w:footnote>
  <w:footnote w:id="42">
    <w:p w14:paraId="0E1B7989" w14:textId="36AA2BF0" w:rsidR="00180F8A" w:rsidRPr="007D715B" w:rsidRDefault="00180F8A" w:rsidP="007D715B">
      <w:pPr>
        <w:pStyle w:val="FootnoteText"/>
        <w:jc w:val="both"/>
      </w:pPr>
      <w:r w:rsidRPr="007D715B">
        <w:rPr>
          <w:rStyle w:val="FootnoteReference"/>
        </w:rPr>
        <w:footnoteRef/>
      </w:r>
      <w:r w:rsidRPr="007D715B">
        <w:t xml:space="preserve"> The applicants</w:t>
      </w:r>
      <w:r>
        <w:t xml:space="preserve"> suggest </w:t>
      </w:r>
      <w:r w:rsidRPr="007D715B">
        <w:t>that another mining company might be able to do “</w:t>
      </w:r>
      <w:r w:rsidRPr="007D715B">
        <w:rPr>
          <w:i/>
          <w:iCs/>
        </w:rPr>
        <w:t>a better job</w:t>
      </w:r>
      <w:r w:rsidRPr="007D715B">
        <w:t>” than Tendele at mining the coal.</w:t>
      </w:r>
    </w:p>
  </w:footnote>
  <w:footnote w:id="43">
    <w:p w14:paraId="0F3ED981" w14:textId="7721B529" w:rsidR="00180F8A" w:rsidRPr="007D715B" w:rsidRDefault="00180F8A" w:rsidP="007D715B">
      <w:pPr>
        <w:jc w:val="both"/>
        <w:rPr>
          <w:sz w:val="20"/>
          <w:szCs w:val="20"/>
        </w:rPr>
      </w:pPr>
      <w:r w:rsidRPr="007D715B">
        <w:rPr>
          <w:rStyle w:val="FootnoteReference"/>
          <w:sz w:val="20"/>
          <w:szCs w:val="20"/>
        </w:rPr>
        <w:footnoteRef/>
      </w:r>
      <w:r w:rsidRPr="007D715B">
        <w:rPr>
          <w:sz w:val="20"/>
          <w:szCs w:val="20"/>
        </w:rPr>
        <w:t xml:space="preserve"> </w:t>
      </w:r>
      <w:r w:rsidRPr="007D715B">
        <w:rPr>
          <w:i/>
          <w:iCs/>
          <w:sz w:val="20"/>
          <w:szCs w:val="20"/>
        </w:rPr>
        <w:t xml:space="preserve">Eskom Holdings SOC Ltd v Vaal River Development Association (Pty) Ltd and others </w:t>
      </w:r>
      <w:r w:rsidRPr="007D715B">
        <w:rPr>
          <w:iCs/>
          <w:sz w:val="20"/>
          <w:szCs w:val="20"/>
        </w:rPr>
        <w:t xml:space="preserve">[2022] ZACC 44; 2023 (5) BCLR 527 (CC) </w:t>
      </w:r>
      <w:r w:rsidRPr="007D715B">
        <w:rPr>
          <w:sz w:val="20"/>
          <w:szCs w:val="20"/>
        </w:rPr>
        <w:t xml:space="preserve">para 253. As Tendele contends that the relief claimed in the interim interdict will be final in effect, it submitted that the applicants must satisfy the test for final relief by establishing a clear right on the basis of </w:t>
      </w:r>
      <w:r w:rsidRPr="007D715B">
        <w:rPr>
          <w:i/>
          <w:sz w:val="20"/>
          <w:szCs w:val="20"/>
        </w:rPr>
        <w:t xml:space="preserve">Plascon-Evans Paints Ltd v Van Riebeeck Paints (Pty) Ltd </w:t>
      </w:r>
      <w:r w:rsidRPr="007D715B">
        <w:rPr>
          <w:sz w:val="20"/>
          <w:szCs w:val="20"/>
        </w:rPr>
        <w:t xml:space="preserve">1984 (3) SA 623 (A). However, for the purpose of argument, it addressed the less stringent requirements for an interim interdict. </w:t>
      </w:r>
    </w:p>
  </w:footnote>
  <w:footnote w:id="44">
    <w:p w14:paraId="550195D6" w14:textId="3F4619AE"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Eskom Holdings SOC Ltd v Vaal River Development Association </w:t>
      </w:r>
      <w:r w:rsidRPr="007D715B">
        <w:t>para 291.</w:t>
      </w:r>
    </w:p>
  </w:footnote>
  <w:footnote w:id="45">
    <w:p w14:paraId="792AD937" w14:textId="0E094B98"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Eskom Holdings SOC Ltd v Vaal River Development Association </w:t>
      </w:r>
      <w:r w:rsidRPr="007D715B">
        <w:t>para 218.</w:t>
      </w:r>
    </w:p>
  </w:footnote>
  <w:footnote w:id="46">
    <w:p w14:paraId="7BDC0B63" w14:textId="31B0F472"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Economic Freedom Fighters v Gordhan and others; Public Protector and another v Gordhan and others</w:t>
      </w:r>
      <w:r w:rsidRPr="007D715B">
        <w:rPr>
          <w:iCs/>
        </w:rPr>
        <w:t xml:space="preserve"> [2020] ZACC 10; 2020 (6) SA 325 (CC); 2020 (8) BCLR 916 (CC)</w:t>
      </w:r>
      <w:r w:rsidRPr="007D715B">
        <w:t xml:space="preserve"> para 48.</w:t>
      </w:r>
    </w:p>
  </w:footnote>
  <w:footnote w:id="47">
    <w:p w14:paraId="2005E371" w14:textId="44D155EA"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Eriksen Motors (Welkom) Ltd v Protea Motors, Warrenton and another </w:t>
      </w:r>
      <w:r w:rsidRPr="007D715B">
        <w:rPr>
          <w:iCs/>
        </w:rPr>
        <w:t>1973 (3) SA 685 (A)</w:t>
      </w:r>
      <w:r w:rsidRPr="007D715B">
        <w:t xml:space="preserve"> at 691F; </w:t>
      </w:r>
      <w:r w:rsidRPr="007D715B">
        <w:rPr>
          <w:i/>
          <w:iCs/>
        </w:rPr>
        <w:t xml:space="preserve">Radio Islam v Chairperson, Council of the Independent Broadcasting Authority, and another </w:t>
      </w:r>
      <w:r w:rsidRPr="007D715B">
        <w:rPr>
          <w:iCs/>
        </w:rPr>
        <w:t>1999 (3) SA 897 (W)</w:t>
      </w:r>
      <w:r w:rsidRPr="007D715B">
        <w:t xml:space="preserve"> at 903G.</w:t>
      </w:r>
    </w:p>
  </w:footnote>
  <w:footnote w:id="48">
    <w:p w14:paraId="70531CEF" w14:textId="2367C6D9" w:rsidR="00180F8A" w:rsidRPr="007D715B" w:rsidRDefault="00180F8A" w:rsidP="007D715B">
      <w:pPr>
        <w:pStyle w:val="FootnoteText"/>
        <w:jc w:val="both"/>
      </w:pPr>
      <w:r w:rsidRPr="007D715B">
        <w:rPr>
          <w:vertAlign w:val="superscript"/>
        </w:rPr>
        <w:footnoteRef/>
      </w:r>
      <w:r w:rsidRPr="007D715B">
        <w:rPr>
          <w:vertAlign w:val="superscript"/>
        </w:rPr>
        <w:t xml:space="preserve"> </w:t>
      </w:r>
      <w:r w:rsidRPr="007D715B">
        <w:rPr>
          <w:i/>
          <w:iCs/>
        </w:rPr>
        <w:t xml:space="preserve">Hix Networking Technologies v System Publishers (Pty) Ltd and another </w:t>
      </w:r>
      <w:r w:rsidRPr="007D715B">
        <w:rPr>
          <w:iCs/>
        </w:rPr>
        <w:t>1997 (1) SA 391 (A)</w:t>
      </w:r>
      <w:r w:rsidRPr="007D715B">
        <w:t xml:space="preserve"> at 399A.</w:t>
      </w:r>
    </w:p>
  </w:footnote>
  <w:footnote w:id="49">
    <w:p w14:paraId="3F89F48F" w14:textId="7CCA4933"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Cipla Medpro (Pty) Ltd v Aventis Pharma SA and related appeal </w:t>
      </w:r>
      <w:r w:rsidRPr="007D715B">
        <w:t>[2012] ZASCA 108; 2013 (4) SA 579 (SCA) para 52.</w:t>
      </w:r>
    </w:p>
  </w:footnote>
  <w:footnote w:id="50">
    <w:p w14:paraId="79405344" w14:textId="6814D874"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Webster v Mitchell</w:t>
      </w:r>
      <w:r w:rsidRPr="007D715B">
        <w:t xml:space="preserve"> 1948 (1) SA 1186 (W) at 1189.</w:t>
      </w:r>
    </w:p>
  </w:footnote>
  <w:footnote w:id="51">
    <w:p w14:paraId="33C73FC8" w14:textId="65F5F87C"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Gool v Minister of Justice and another</w:t>
      </w:r>
      <w:r w:rsidRPr="007D715B">
        <w:t xml:space="preserve"> 1955 (2) SA 682 (C) at 688.</w:t>
      </w:r>
    </w:p>
  </w:footnote>
  <w:footnote w:id="52">
    <w:p w14:paraId="7DE69AAB" w14:textId="791BAE44"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Webster v Mitchell</w:t>
      </w:r>
      <w:r w:rsidRPr="007D715B">
        <w:t xml:space="preserve">, words in square brackets inserted by </w:t>
      </w:r>
      <w:r w:rsidRPr="007D715B">
        <w:rPr>
          <w:i/>
          <w:iCs/>
        </w:rPr>
        <w:t>Gool v Minister of Justice</w:t>
      </w:r>
      <w:r w:rsidRPr="007D715B">
        <w:rPr>
          <w:iCs/>
        </w:rPr>
        <w:t xml:space="preserve"> (note that </w:t>
      </w:r>
      <w:r w:rsidRPr="007D715B">
        <w:rPr>
          <w:i/>
          <w:iCs/>
        </w:rPr>
        <w:t>Gool v Minister of Justice</w:t>
      </w:r>
      <w:r w:rsidRPr="007D715B">
        <w:rPr>
          <w:iCs/>
        </w:rPr>
        <w:t xml:space="preserve"> merely quoted the headnote of </w:t>
      </w:r>
      <w:r w:rsidRPr="007D715B">
        <w:rPr>
          <w:i/>
          <w:iCs/>
        </w:rPr>
        <w:t>Webster v Mitchell</w:t>
      </w:r>
      <w:r w:rsidRPr="007D715B">
        <w:rPr>
          <w:iCs/>
        </w:rPr>
        <w:t>)</w:t>
      </w:r>
      <w:r w:rsidRPr="007D715B">
        <w:t>.</w:t>
      </w:r>
    </w:p>
  </w:footnote>
  <w:footnote w:id="53">
    <w:p w14:paraId="23931C01" w14:textId="6764EC06" w:rsidR="00180F8A" w:rsidRPr="007D715B" w:rsidRDefault="00180F8A" w:rsidP="007D715B">
      <w:pPr>
        <w:pStyle w:val="FootnoteText"/>
        <w:jc w:val="both"/>
      </w:pPr>
      <w:r w:rsidRPr="007D715B">
        <w:rPr>
          <w:rStyle w:val="FootnoteReference"/>
        </w:rPr>
        <w:footnoteRef/>
      </w:r>
      <w:r w:rsidRPr="007D715B">
        <w:t xml:space="preserve"> The scoping report and EIA would need to be circulated to interested and affected parties, which would only occur during May/June 2023 with the EIA process to be finalised in December 2023.</w:t>
      </w:r>
    </w:p>
  </w:footnote>
  <w:footnote w:id="54">
    <w:p w14:paraId="2E5795D2" w14:textId="3C7F9A6B" w:rsidR="00180F8A" w:rsidRPr="007D715B" w:rsidRDefault="00180F8A" w:rsidP="007D715B">
      <w:pPr>
        <w:pStyle w:val="FootnoteText"/>
        <w:jc w:val="both"/>
      </w:pPr>
      <w:r w:rsidRPr="007D715B">
        <w:rPr>
          <w:rStyle w:val="FootnoteReference"/>
        </w:rPr>
        <w:footnoteRef/>
      </w:r>
      <w:r w:rsidRPr="007D715B">
        <w:t xml:space="preserve"> The applicants also complain that no consent has been sought in the Mahujini community as required in terms of s 2 of IPILRA, that the biodiversity off-set plan remains in draft and has not been finalized, and that Tendele has not developed a resettlement plan. Tendele has undertaken not to undertake any work in the Mahujini area until the appeal remitted to the Minister has been determined.</w:t>
      </w:r>
    </w:p>
  </w:footnote>
  <w:footnote w:id="55">
    <w:p w14:paraId="3A52353A" w14:textId="29314779" w:rsidR="00180F8A" w:rsidRPr="004364BB" w:rsidRDefault="00180F8A" w:rsidP="004364BB">
      <w:pPr>
        <w:pStyle w:val="ListParagraph"/>
        <w:ind w:left="0"/>
        <w:jc w:val="both"/>
        <w:rPr>
          <w:sz w:val="20"/>
          <w:szCs w:val="20"/>
        </w:rPr>
      </w:pPr>
      <w:r>
        <w:rPr>
          <w:rStyle w:val="FootnoteReference"/>
        </w:rPr>
        <w:footnoteRef/>
      </w:r>
      <w:r>
        <w:t xml:space="preserve"> </w:t>
      </w:r>
      <w:r w:rsidRPr="006B5370">
        <w:rPr>
          <w:sz w:val="20"/>
          <w:szCs w:val="20"/>
        </w:rPr>
        <w:t>The appeal process</w:t>
      </w:r>
      <w:r>
        <w:rPr>
          <w:sz w:val="20"/>
          <w:szCs w:val="20"/>
        </w:rPr>
        <w:t>,</w:t>
      </w:r>
      <w:r w:rsidRPr="006B5370">
        <w:rPr>
          <w:sz w:val="20"/>
          <w:szCs w:val="20"/>
        </w:rPr>
        <w:t xml:space="preserve"> which was preserved by the </w:t>
      </w:r>
      <w:r>
        <w:rPr>
          <w:sz w:val="20"/>
          <w:szCs w:val="20"/>
        </w:rPr>
        <w:t xml:space="preserve">review judgment remitting it </w:t>
      </w:r>
      <w:r w:rsidRPr="006B5370">
        <w:rPr>
          <w:sz w:val="20"/>
          <w:szCs w:val="20"/>
        </w:rPr>
        <w:t>to the Minister, would not, in terms of the provisions of s 96(2)</w:t>
      </w:r>
      <w:r w:rsidRPr="006B5370">
        <w:rPr>
          <w:i/>
          <w:sz w:val="20"/>
          <w:szCs w:val="20"/>
        </w:rPr>
        <w:t>(a)</w:t>
      </w:r>
      <w:r w:rsidRPr="006B5370">
        <w:rPr>
          <w:sz w:val="20"/>
          <w:szCs w:val="20"/>
        </w:rPr>
        <w:t xml:space="preserve"> of the MPRDA, suspend the operation of the original decisions, if as a fact, they continued to exist.</w:t>
      </w:r>
    </w:p>
  </w:footnote>
  <w:footnote w:id="56">
    <w:p w14:paraId="0F0188F6" w14:textId="2CC26E3D" w:rsidR="00180F8A" w:rsidRPr="007D715B" w:rsidRDefault="00180F8A" w:rsidP="007D715B">
      <w:pPr>
        <w:pStyle w:val="FootnoteText"/>
        <w:jc w:val="both"/>
      </w:pPr>
      <w:r w:rsidRPr="007D715B">
        <w:rPr>
          <w:rStyle w:val="FootnoteReference"/>
        </w:rPr>
        <w:footnoteRef/>
      </w:r>
      <w:r w:rsidRPr="007D715B">
        <w:rPr>
          <w:i/>
        </w:rPr>
        <w:t xml:space="preserve"> S.O.S Support Public Broadcasting Coalition and others v South African Broadcasting Corporation (SOC) Limited and others </w:t>
      </w:r>
      <w:r w:rsidRPr="007D715B">
        <w:t>[2018] ZACC 37; 2019 (1) SA 370 (CC); 2018 (12) BCLR 1553 (CC) para 52.</w:t>
      </w:r>
    </w:p>
  </w:footnote>
  <w:footnote w:id="57">
    <w:p w14:paraId="48EFF4A6" w14:textId="0412BBC0" w:rsidR="00180F8A" w:rsidRPr="007D715B" w:rsidRDefault="00180F8A" w:rsidP="007D715B">
      <w:pPr>
        <w:pStyle w:val="FootnoteText"/>
        <w:jc w:val="both"/>
        <w:rPr>
          <w:iCs/>
        </w:rPr>
      </w:pPr>
      <w:r w:rsidRPr="007D715B">
        <w:rPr>
          <w:rStyle w:val="FootnoteReference"/>
        </w:rPr>
        <w:footnoteRef/>
      </w:r>
      <w:r w:rsidRPr="007D715B">
        <w:t xml:space="preserve"> </w:t>
      </w:r>
      <w:r w:rsidRPr="007D715B">
        <w:rPr>
          <w:i/>
          <w:lang w:eastAsia="en-GB"/>
        </w:rPr>
        <w:t>Finishing Touch 163 (Pty) Ltd v BHP Billiton Energy Coal South Africa Ltd and others</w:t>
      </w:r>
      <w:r w:rsidRPr="007D715B">
        <w:rPr>
          <w:lang w:eastAsia="en-GB"/>
        </w:rPr>
        <w:t xml:space="preserve"> [2012] ZASCA 49; </w:t>
      </w:r>
      <w:r w:rsidRPr="007D715B">
        <w:rPr>
          <w:iCs/>
          <w:lang w:eastAsia="en-GB"/>
        </w:rPr>
        <w:t xml:space="preserve">2013 (2) SA 204 (SCA) para 13, as subsequently confirmed by the Constitutional Court in </w:t>
      </w:r>
      <w:r w:rsidRPr="007D715B">
        <w:rPr>
          <w:i/>
          <w:lang w:eastAsia="en-GB"/>
        </w:rPr>
        <w:t xml:space="preserve">Eke v Parsons </w:t>
      </w:r>
      <w:r w:rsidRPr="007D715B">
        <w:rPr>
          <w:iCs/>
          <w:lang w:eastAsia="en-GB"/>
        </w:rPr>
        <w:t>[2015] ZACC 30; 2016 (3) SA 37 (CC); 2015 (11) BCLR 1319 (CC) para 29.</w:t>
      </w:r>
    </w:p>
  </w:footnote>
  <w:footnote w:id="58">
    <w:p w14:paraId="58F6A321" w14:textId="37C5DB32" w:rsidR="00180F8A" w:rsidRPr="007D715B" w:rsidRDefault="00180F8A" w:rsidP="007D715B">
      <w:pPr>
        <w:pStyle w:val="FootnoteText"/>
        <w:jc w:val="both"/>
        <w:rPr>
          <w:lang w:val="en-GB"/>
        </w:rPr>
      </w:pPr>
      <w:r w:rsidRPr="007D715B">
        <w:rPr>
          <w:rStyle w:val="FootnoteReference"/>
        </w:rPr>
        <w:footnoteRef/>
      </w:r>
      <w:r w:rsidRPr="007D715B">
        <w:t xml:space="preserve"> The review fn </w:t>
      </w:r>
      <w:r>
        <w:t>18</w:t>
      </w:r>
      <w:r w:rsidRPr="007D715B">
        <w:t xml:space="preserve"> para 3 of the order.</w:t>
      </w:r>
    </w:p>
  </w:footnote>
  <w:footnote w:id="59">
    <w:p w14:paraId="38894F62" w14:textId="1C408A60"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i/>
          <w:color w:val="000000"/>
          <w:sz w:val="20"/>
          <w:szCs w:val="20"/>
        </w:rPr>
        <w:t>HLB International (South Africa) (Pty) Ltd v MWRK Accountants and Consultants (Pty) Ltd</w:t>
      </w:r>
      <w:r w:rsidRPr="007D715B">
        <w:rPr>
          <w:rFonts w:eastAsia="Arial"/>
          <w:color w:val="000000"/>
          <w:sz w:val="20"/>
          <w:szCs w:val="20"/>
        </w:rPr>
        <w:t xml:space="preserve"> [2022] ZASCA 52; 2022 (5) SA 373 (SCA) para 27, citing </w:t>
      </w:r>
      <w:r w:rsidRPr="007D715B">
        <w:rPr>
          <w:rFonts w:eastAsia="Arial"/>
          <w:i/>
          <w:color w:val="000000"/>
          <w:sz w:val="20"/>
          <w:szCs w:val="20"/>
        </w:rPr>
        <w:t>KPMG Chartered Accountants (SA) v Securefin Ltd and another</w:t>
      </w:r>
      <w:r w:rsidRPr="007D715B">
        <w:rPr>
          <w:rFonts w:eastAsia="Arial"/>
          <w:color w:val="000000"/>
          <w:sz w:val="20"/>
          <w:szCs w:val="20"/>
        </w:rPr>
        <w:t xml:space="preserve"> [2009] ZASCA 7; 2009 (4) SA 399 (SCA); [2009] 2 All SA 523 (SCA) para 39 (stating that ‘context is everything’). In </w:t>
      </w:r>
      <w:r w:rsidRPr="007D715B">
        <w:rPr>
          <w:rFonts w:eastAsia="Arial"/>
          <w:i/>
          <w:color w:val="000000"/>
          <w:sz w:val="20"/>
          <w:szCs w:val="20"/>
        </w:rPr>
        <w:t>Bothma-Batho Transport (Edms) Bpk v S Bothma &amp; Seun Transport (Edms) Bpk</w:t>
      </w:r>
      <w:r w:rsidRPr="007D715B">
        <w:rPr>
          <w:rFonts w:eastAsia="Arial"/>
          <w:color w:val="000000"/>
          <w:sz w:val="20"/>
          <w:szCs w:val="20"/>
        </w:rPr>
        <w:t xml:space="preserve"> [2013] ZASCA 176; 2014 (2) SA 494 (SCA); [2014] 1 All SA 517 (SCA) para 12 where it was said that the ‘former distinction between permissible background and surrounding circumstances, never very clear has fallen away [interpretation of a document is now] “essentially one unitary exercise”. Accordingly, it is no longer helpful to refer to the earlier approach.’</w:t>
      </w:r>
    </w:p>
  </w:footnote>
  <w:footnote w:id="60">
    <w:p w14:paraId="06B73C98" w14:textId="15944983"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i/>
          <w:color w:val="000000"/>
          <w:sz w:val="20"/>
          <w:szCs w:val="20"/>
        </w:rPr>
        <w:t>HLB International v MWRK Accountants and Consultants</w:t>
      </w:r>
      <w:r w:rsidRPr="007D715B">
        <w:rPr>
          <w:rFonts w:eastAsia="Arial"/>
          <w:color w:val="000000"/>
          <w:sz w:val="20"/>
          <w:szCs w:val="20"/>
        </w:rPr>
        <w:t xml:space="preserve"> fn 67 para 28, citing </w:t>
      </w:r>
      <w:r w:rsidRPr="007D715B">
        <w:rPr>
          <w:rFonts w:eastAsia="Arial"/>
          <w:i/>
          <w:color w:val="000000"/>
          <w:sz w:val="20"/>
          <w:szCs w:val="20"/>
        </w:rPr>
        <w:t>Elan Boulevard (Pty) Ltd v Fnyn Investments (Pty) Ltd and others</w:t>
      </w:r>
      <w:r w:rsidRPr="007D715B">
        <w:rPr>
          <w:rFonts w:eastAsia="Arial"/>
          <w:color w:val="000000"/>
          <w:sz w:val="20"/>
          <w:szCs w:val="20"/>
        </w:rPr>
        <w:t xml:space="preserve"> [2018] ZASCA 165; 2019 (3) SA 441 (SCA) para 16, and </w:t>
      </w:r>
      <w:r w:rsidRPr="007D715B">
        <w:rPr>
          <w:rFonts w:eastAsia="Arial"/>
          <w:i/>
          <w:color w:val="000000"/>
          <w:sz w:val="20"/>
          <w:szCs w:val="20"/>
        </w:rPr>
        <w:t>Firestone South Africa (Pty) Ltd v Genticuro AG</w:t>
      </w:r>
      <w:r w:rsidRPr="007D715B">
        <w:rPr>
          <w:rFonts w:eastAsia="Arial"/>
          <w:color w:val="000000"/>
          <w:sz w:val="20"/>
          <w:szCs w:val="20"/>
        </w:rPr>
        <w:t xml:space="preserve"> 1977 (4) SA 298 (A) at 409D-H (per Trollip JA) ‘The basic principles applicable to construing documents also apply to the construction of a court's judgment or order: the court's intention is to be ascertained primarily from the language of the judgment or order as construed according to the usual, well-known rules. Thus, as in the case of a document, the judgment or order and the court's reasons for giving it must be read as a whole in order to ascertain its intention. If, on such a reading, the meaning of the judgment or order is clear and unambiguous, no extrinsic fact or evidence is admissible to contradict, vary, qualify, or supplement it. Indeed, it was common cause that in such a case not even the court that gave the judgment or order can be asked to state what is subjective intention was in giving it. Of course, different considerations apply when, not the construction, but the correction of a judgment or order is sought by way of an appeal against it or otherwise - see infra. But if any uncertainty in meaning does emerge, the extrinsic circumstances surrounding or leading up to the court's granting the judgment or order may be investigated and regarded in order to clarify it’ (references omitted). </w:t>
      </w:r>
    </w:p>
  </w:footnote>
  <w:footnote w:id="61">
    <w:p w14:paraId="3E9C4C77" w14:textId="2D55D68C"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i/>
          <w:color w:val="000000"/>
          <w:sz w:val="20"/>
          <w:szCs w:val="20"/>
        </w:rPr>
        <w:t>HLB International v MWRK Accountants and Consultants</w:t>
      </w:r>
      <w:r w:rsidRPr="007D715B">
        <w:rPr>
          <w:rFonts w:eastAsia="Arial"/>
          <w:color w:val="000000"/>
          <w:sz w:val="20"/>
          <w:szCs w:val="20"/>
        </w:rPr>
        <w:t xml:space="preserve"> fn 67 para 28, citing a loose translation of the </w:t>
      </w:r>
      <w:r w:rsidRPr="007D715B">
        <w:rPr>
          <w:rFonts w:eastAsia="Arial"/>
          <w:i/>
          <w:color w:val="000000"/>
          <w:sz w:val="20"/>
          <w:szCs w:val="20"/>
        </w:rPr>
        <w:t>dictum</w:t>
      </w:r>
      <w:r w:rsidRPr="007D715B">
        <w:rPr>
          <w:rFonts w:eastAsia="Arial"/>
          <w:color w:val="000000"/>
          <w:sz w:val="20"/>
          <w:szCs w:val="20"/>
        </w:rPr>
        <w:t xml:space="preserve"> of Olivier JA in </w:t>
      </w:r>
      <w:r w:rsidRPr="007D715B">
        <w:rPr>
          <w:rFonts w:eastAsia="Arial"/>
          <w:i/>
          <w:color w:val="000000"/>
          <w:sz w:val="20"/>
          <w:szCs w:val="20"/>
        </w:rPr>
        <w:t>Plaaslike Oorgangsraad, Bronkhorstspruit v Senekal</w:t>
      </w:r>
      <w:r w:rsidRPr="007D715B">
        <w:rPr>
          <w:rFonts w:eastAsia="Arial"/>
          <w:color w:val="000000"/>
          <w:sz w:val="20"/>
          <w:szCs w:val="20"/>
        </w:rPr>
        <w:t xml:space="preserve"> 2001 (3) SA 9 (SCA) para 11 at 18J-19A, by Ponnan AJ in </w:t>
      </w:r>
      <w:r w:rsidRPr="007D715B">
        <w:rPr>
          <w:rFonts w:eastAsia="Arial"/>
          <w:i/>
          <w:color w:val="000000"/>
          <w:sz w:val="20"/>
          <w:szCs w:val="20"/>
        </w:rPr>
        <w:t xml:space="preserve">Elan Boulevard v Fnyn Investments </w:t>
      </w:r>
      <w:r w:rsidRPr="007D715B">
        <w:rPr>
          <w:rFonts w:eastAsia="Arial"/>
          <w:color w:val="000000"/>
          <w:sz w:val="20"/>
          <w:szCs w:val="20"/>
        </w:rPr>
        <w:t>fn 68 para 16, see also fn 6.</w:t>
      </w:r>
    </w:p>
  </w:footnote>
  <w:footnote w:id="62">
    <w:p w14:paraId="79BD90D1" w14:textId="7A83FADD" w:rsidR="00180F8A" w:rsidRPr="007D715B" w:rsidRDefault="00180F8A" w:rsidP="007D715B">
      <w:pPr>
        <w:pStyle w:val="FootnoteText"/>
        <w:jc w:val="both"/>
      </w:pPr>
      <w:r w:rsidRPr="00840E01">
        <w:rPr>
          <w:rStyle w:val="FootnoteReference"/>
        </w:rPr>
        <w:footnoteRef/>
      </w:r>
      <w:r w:rsidRPr="00840E01">
        <w:t xml:space="preserve"> See </w:t>
      </w:r>
      <w:r>
        <w:t>paras 21 – 25, 29 – 30 and 32 of this judgment.</w:t>
      </w:r>
    </w:p>
  </w:footnote>
  <w:footnote w:id="63">
    <w:p w14:paraId="0D2E4262" w14:textId="297E0C3E"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sz w:val="20"/>
          <w:szCs w:val="20"/>
        </w:rPr>
        <w:t xml:space="preserve">The review fn </w:t>
      </w:r>
      <w:r>
        <w:rPr>
          <w:rFonts w:eastAsia="Arial"/>
          <w:sz w:val="20"/>
          <w:szCs w:val="20"/>
        </w:rPr>
        <w:t>18</w:t>
      </w:r>
      <w:r w:rsidRPr="007D715B">
        <w:rPr>
          <w:rFonts w:eastAsia="Arial"/>
          <w:sz w:val="20"/>
          <w:szCs w:val="20"/>
        </w:rPr>
        <w:t xml:space="preserve"> para 14.</w:t>
      </w:r>
    </w:p>
  </w:footnote>
  <w:footnote w:id="64">
    <w:p w14:paraId="42B55236" w14:textId="65FA92C3"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sz w:val="20"/>
          <w:szCs w:val="20"/>
        </w:rPr>
        <w:t xml:space="preserve">The review fn </w:t>
      </w:r>
      <w:r>
        <w:rPr>
          <w:rFonts w:eastAsia="Arial"/>
          <w:sz w:val="20"/>
          <w:szCs w:val="20"/>
        </w:rPr>
        <w:t>18</w:t>
      </w:r>
      <w:r w:rsidRPr="007D715B">
        <w:rPr>
          <w:rFonts w:eastAsia="Arial"/>
          <w:sz w:val="20"/>
          <w:szCs w:val="20"/>
        </w:rPr>
        <w:t xml:space="preserve"> para 33.</w:t>
      </w:r>
    </w:p>
  </w:footnote>
  <w:footnote w:id="65">
    <w:p w14:paraId="411FCCB1" w14:textId="203D431D"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sz w:val="20"/>
          <w:szCs w:val="20"/>
        </w:rPr>
        <w:t xml:space="preserve">The review fn </w:t>
      </w:r>
      <w:r>
        <w:rPr>
          <w:rFonts w:eastAsia="Arial"/>
          <w:sz w:val="20"/>
          <w:szCs w:val="20"/>
        </w:rPr>
        <w:t>18</w:t>
      </w:r>
      <w:r w:rsidRPr="007D715B">
        <w:rPr>
          <w:rFonts w:eastAsia="Arial"/>
          <w:sz w:val="20"/>
          <w:szCs w:val="20"/>
        </w:rPr>
        <w:t xml:space="preserve"> para 37.</w:t>
      </w:r>
    </w:p>
  </w:footnote>
  <w:footnote w:id="66">
    <w:p w14:paraId="02BC25AC" w14:textId="4F603EAD" w:rsidR="00180F8A" w:rsidRPr="007D715B" w:rsidRDefault="00180F8A" w:rsidP="007D715B">
      <w:pPr>
        <w:pBdr>
          <w:top w:val="nil"/>
          <w:left w:val="nil"/>
          <w:bottom w:val="nil"/>
          <w:right w:val="nil"/>
          <w:between w:val="nil"/>
        </w:pBdr>
        <w:jc w:val="both"/>
        <w:rPr>
          <w:rFonts w:eastAsia="Arial"/>
          <w:color w:val="000000"/>
          <w:sz w:val="20"/>
          <w:szCs w:val="20"/>
        </w:rPr>
      </w:pPr>
      <w:r w:rsidRPr="007D715B">
        <w:rPr>
          <w:rStyle w:val="FootnoteReference"/>
          <w:sz w:val="20"/>
          <w:szCs w:val="20"/>
        </w:rPr>
        <w:footnoteRef/>
      </w:r>
      <w:r w:rsidRPr="007D715B">
        <w:rPr>
          <w:rFonts w:eastAsia="Arial"/>
          <w:color w:val="000000"/>
          <w:sz w:val="20"/>
          <w:szCs w:val="20"/>
        </w:rPr>
        <w:t xml:space="preserve"> </w:t>
      </w:r>
      <w:r w:rsidRPr="007D715B">
        <w:rPr>
          <w:rFonts w:eastAsia="Arial"/>
          <w:sz w:val="20"/>
          <w:szCs w:val="20"/>
        </w:rPr>
        <w:t xml:space="preserve">The review fn </w:t>
      </w:r>
      <w:r>
        <w:rPr>
          <w:rFonts w:eastAsia="Arial"/>
          <w:sz w:val="20"/>
          <w:szCs w:val="20"/>
        </w:rPr>
        <w:t>18</w:t>
      </w:r>
      <w:r w:rsidRPr="007D715B">
        <w:rPr>
          <w:rFonts w:eastAsia="Arial"/>
          <w:sz w:val="20"/>
          <w:szCs w:val="20"/>
        </w:rPr>
        <w:t xml:space="preserve"> para 56 (paraphrased)</w:t>
      </w:r>
      <w:r w:rsidRPr="007D715B">
        <w:rPr>
          <w:rFonts w:eastAsia="Arial"/>
          <w:color w:val="000000"/>
          <w:sz w:val="20"/>
          <w:szCs w:val="20"/>
        </w:rPr>
        <w:t>.</w:t>
      </w:r>
    </w:p>
  </w:footnote>
  <w:footnote w:id="67">
    <w:p w14:paraId="3B85CF66" w14:textId="3D018E8F" w:rsidR="00180F8A" w:rsidRPr="007D715B" w:rsidRDefault="00180F8A" w:rsidP="007D715B">
      <w:pPr>
        <w:pStyle w:val="FootnoteText"/>
        <w:jc w:val="both"/>
        <w:rPr>
          <w:lang w:val="en-GB"/>
        </w:rPr>
      </w:pPr>
      <w:r w:rsidRPr="007D715B">
        <w:rPr>
          <w:rStyle w:val="FootnoteReference"/>
        </w:rPr>
        <w:footnoteRef/>
      </w:r>
      <w:r w:rsidRPr="007D715B">
        <w:t xml:space="preserve"> </w:t>
      </w:r>
      <w:r>
        <w:rPr>
          <w:rFonts w:eastAsia="Arial"/>
        </w:rPr>
        <w:t>The review fn 18</w:t>
      </w:r>
      <w:r w:rsidRPr="007D715B">
        <w:rPr>
          <w:rFonts w:eastAsia="Arial"/>
        </w:rPr>
        <w:t xml:space="preserve"> para 66.</w:t>
      </w:r>
    </w:p>
  </w:footnote>
  <w:footnote w:id="68">
    <w:p w14:paraId="096CFBA9" w14:textId="64AC971B"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70 (paraphrased).</w:t>
      </w:r>
    </w:p>
  </w:footnote>
  <w:footnote w:id="69">
    <w:p w14:paraId="17D66246" w14:textId="681D4258"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3 of the order.</w:t>
      </w:r>
    </w:p>
  </w:footnote>
  <w:footnote w:id="70">
    <w:p w14:paraId="56B3E880" w14:textId="1AB1C77E"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5 of the order.</w:t>
      </w:r>
    </w:p>
  </w:footnote>
  <w:footnote w:id="71">
    <w:p w14:paraId="506F57DA" w14:textId="469BCBEE"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w:t>
      </w:r>
      <w:r>
        <w:rPr>
          <w:rFonts w:eastAsia="Arial"/>
        </w:rPr>
        <w:t>6</w:t>
      </w:r>
      <w:r w:rsidRPr="007D715B">
        <w:rPr>
          <w:rFonts w:eastAsia="Arial"/>
        </w:rPr>
        <w:t xml:space="preserve"> of the order</w:t>
      </w:r>
    </w:p>
  </w:footnote>
  <w:footnote w:id="72">
    <w:p w14:paraId="1A9130A6" w14:textId="77777777" w:rsidR="00180F8A" w:rsidRPr="00027208" w:rsidRDefault="00180F8A" w:rsidP="00027208">
      <w:pPr>
        <w:jc w:val="both"/>
        <w:rPr>
          <w:sz w:val="20"/>
          <w:szCs w:val="20"/>
        </w:rPr>
      </w:pPr>
      <w:r>
        <w:rPr>
          <w:rStyle w:val="FootnoteReference"/>
        </w:rPr>
        <w:footnoteRef/>
      </w:r>
      <w:r>
        <w:t xml:space="preserve"> </w:t>
      </w:r>
      <w:r w:rsidRPr="00027208">
        <w:rPr>
          <w:sz w:val="20"/>
          <w:szCs w:val="20"/>
        </w:rPr>
        <w:t>The issue being one of legality, not much turns on this aspect: if the review court order permitted mining to continue pending the decision on the remitted appeal, then the work contemplated in the letters may continue, even if Tendele might originally have held a different view. The primary enquiry is what the legal effect of the court order was.</w:t>
      </w:r>
    </w:p>
    <w:p w14:paraId="76768A4C" w14:textId="4F0403A1" w:rsidR="00180F8A" w:rsidRDefault="00180F8A">
      <w:pPr>
        <w:pStyle w:val="FootnoteText"/>
      </w:pPr>
    </w:p>
  </w:footnote>
  <w:footnote w:id="73">
    <w:p w14:paraId="19112E4D" w14:textId="5FA03CBB" w:rsidR="00180F8A" w:rsidRPr="007D715B" w:rsidRDefault="00180F8A" w:rsidP="007D715B">
      <w:pPr>
        <w:pStyle w:val="FootnoteText"/>
        <w:jc w:val="both"/>
      </w:pPr>
      <w:r w:rsidRPr="007D715B">
        <w:rPr>
          <w:rStyle w:val="FootnoteReference"/>
        </w:rPr>
        <w:footnoteRef/>
      </w:r>
      <w:r w:rsidRPr="007D715B">
        <w:t xml:space="preserve"> </w:t>
      </w:r>
      <w:r w:rsidRPr="007D715B">
        <w:rPr>
          <w:i/>
        </w:rPr>
        <w:t>Oudekraal Estates (Pty) Ltd v City of Cape Town and others</w:t>
      </w:r>
      <w:r w:rsidRPr="007D715B">
        <w:t xml:space="preserve"> [2004] ZASCA 48; 2004 (6) SA 222 (SCA); [2004] 3 All SA 1 (SCA) para 26.</w:t>
      </w:r>
    </w:p>
  </w:footnote>
  <w:footnote w:id="74">
    <w:p w14:paraId="4E45BF2A" w14:textId="7AB0847C" w:rsidR="00180F8A" w:rsidRPr="007D715B" w:rsidRDefault="00180F8A" w:rsidP="007D715B">
      <w:pPr>
        <w:jc w:val="both"/>
        <w:rPr>
          <w:sz w:val="20"/>
          <w:szCs w:val="20"/>
        </w:rPr>
      </w:pPr>
      <w:r w:rsidRPr="007D715B">
        <w:rPr>
          <w:rStyle w:val="FootnoteReference"/>
          <w:sz w:val="20"/>
          <w:szCs w:val="20"/>
        </w:rPr>
        <w:footnoteRef/>
      </w:r>
      <w:r w:rsidRPr="007D715B">
        <w:rPr>
          <w:sz w:val="20"/>
          <w:szCs w:val="20"/>
        </w:rPr>
        <w:t xml:space="preserve"> </w:t>
      </w:r>
      <w:r w:rsidRPr="007D715B">
        <w:rPr>
          <w:i/>
          <w:iCs/>
          <w:sz w:val="20"/>
          <w:szCs w:val="20"/>
        </w:rPr>
        <w:t xml:space="preserve">Oudekraal Estates v City of Cape Town </w:t>
      </w:r>
      <w:r w:rsidRPr="007D715B">
        <w:rPr>
          <w:iCs/>
          <w:sz w:val="20"/>
          <w:szCs w:val="20"/>
        </w:rPr>
        <w:t>fn 80</w:t>
      </w:r>
      <w:r w:rsidRPr="007D715B">
        <w:rPr>
          <w:i/>
          <w:iCs/>
          <w:sz w:val="20"/>
          <w:szCs w:val="20"/>
        </w:rPr>
        <w:t xml:space="preserve"> </w:t>
      </w:r>
      <w:r w:rsidRPr="007D715B">
        <w:rPr>
          <w:sz w:val="20"/>
          <w:szCs w:val="20"/>
        </w:rPr>
        <w:t xml:space="preserve">para 26. </w:t>
      </w:r>
      <w:r w:rsidRPr="007D715B">
        <w:rPr>
          <w:color w:val="000000"/>
          <w:sz w:val="20"/>
          <w:szCs w:val="20"/>
        </w:rPr>
        <w:t xml:space="preserve">The minority judgment of Jafta J in </w:t>
      </w:r>
      <w:r w:rsidRPr="007D715B">
        <w:rPr>
          <w:i/>
          <w:color w:val="000000"/>
          <w:sz w:val="20"/>
          <w:szCs w:val="20"/>
        </w:rPr>
        <w:t>Department of Transport and others v Tasima (Pty) Ltd</w:t>
      </w:r>
      <w:r w:rsidRPr="007D715B">
        <w:rPr>
          <w:color w:val="000000"/>
          <w:sz w:val="20"/>
          <w:szCs w:val="20"/>
        </w:rPr>
        <w:t xml:space="preserve"> [2016] ZACC 39; 2017 (1) BCLR 1 (CC); 2017 (2) SA 622 (CC) para 89 in the Constitutional Court referred to the following statement in </w:t>
      </w:r>
      <w:r w:rsidRPr="007D715B">
        <w:rPr>
          <w:i/>
          <w:iCs/>
          <w:sz w:val="20"/>
          <w:szCs w:val="20"/>
        </w:rPr>
        <w:t xml:space="preserve">Oudekraal Estates v City of Cape Town </w:t>
      </w:r>
      <w:r w:rsidRPr="007D715B">
        <w:rPr>
          <w:iCs/>
          <w:sz w:val="20"/>
          <w:szCs w:val="20"/>
        </w:rPr>
        <w:t>fn 80</w:t>
      </w:r>
      <w:r w:rsidRPr="007D715B">
        <w:rPr>
          <w:i/>
          <w:iCs/>
          <w:sz w:val="20"/>
          <w:szCs w:val="20"/>
        </w:rPr>
        <w:t xml:space="preserve"> </w:t>
      </w:r>
      <w:r w:rsidRPr="007D715B">
        <w:rPr>
          <w:sz w:val="20"/>
          <w:szCs w:val="20"/>
        </w:rPr>
        <w:t>para</w:t>
      </w:r>
      <w:r w:rsidRPr="007D715B">
        <w:rPr>
          <w:color w:val="242121"/>
          <w:sz w:val="20"/>
          <w:szCs w:val="20"/>
        </w:rPr>
        <w:t xml:space="preserve"> 29 by Howie P and Nugent JA:</w:t>
      </w:r>
    </w:p>
    <w:p w14:paraId="5357B8AD" w14:textId="47CC9035" w:rsidR="00180F8A" w:rsidRPr="007D715B" w:rsidRDefault="00180F8A" w:rsidP="007D715B">
      <w:pPr>
        <w:pStyle w:val="NormalWeb"/>
        <w:shd w:val="clear" w:color="auto" w:fill="FFFFFF"/>
        <w:spacing w:before="0" w:beforeAutospacing="0" w:after="0" w:afterAutospacing="0"/>
        <w:jc w:val="both"/>
        <w:rPr>
          <w:rFonts w:ascii="Arial" w:hAnsi="Arial" w:cs="Arial"/>
          <w:color w:val="242121"/>
          <w:sz w:val="20"/>
          <w:szCs w:val="20"/>
          <w:lang w:val="en-ZA"/>
        </w:rPr>
      </w:pPr>
      <w:r w:rsidRPr="007D715B">
        <w:rPr>
          <w:rFonts w:ascii="Arial" w:hAnsi="Arial" w:cs="Arial"/>
          <w:color w:val="242121"/>
          <w:sz w:val="20"/>
          <w:szCs w:val="20"/>
          <w:lang w:val="en-ZA"/>
        </w:rPr>
        <w:t>‘In our view the apparent anomaly – which has been described as giving rise to ‘terminological and conceptual problems of excruciating complexity’ – is convincingly explained in a recent illuminating analysis of the problem by Christopher Forsyth.  Central to that analysis is the distinction between what exists in law and what exists in fact.  Forsyth points out that while a void administrative act is not an act in law, it is, and remains, an act in fact, and its mere factual existence may provide the foundation for the legal validity of later decisions or acts.  In other words “...an invalid administrative act may, notwithstanding its non-existence [in law], serve as the basis for another perfectly valid decision.  Its factual existence, rather than its invalidity, is the cause of the subsequent act, but that act is valid since the legal existence of the first act is not a precondition for the second.’</w:t>
      </w:r>
    </w:p>
  </w:footnote>
  <w:footnote w:id="75">
    <w:p w14:paraId="6754AA26" w14:textId="1D403467" w:rsidR="00180F8A" w:rsidRPr="007D715B" w:rsidRDefault="00180F8A" w:rsidP="007D715B">
      <w:pPr>
        <w:pStyle w:val="FootnoteText"/>
        <w:jc w:val="both"/>
      </w:pPr>
      <w:r w:rsidRPr="007D715B">
        <w:rPr>
          <w:rStyle w:val="FootnoteReference"/>
        </w:rPr>
        <w:footnoteRef/>
      </w:r>
      <w:r w:rsidRPr="007D715B">
        <w:t xml:space="preserve"> See for example </w:t>
      </w:r>
      <w:r w:rsidRPr="007D715B">
        <w:rPr>
          <w:i/>
          <w:iCs/>
        </w:rPr>
        <w:t>Magnificent Mile Trading 30 (Pty) Litd v Celliers NO and others</w:t>
      </w:r>
      <w:r w:rsidRPr="007D715B">
        <w:rPr>
          <w:iCs/>
        </w:rPr>
        <w:t xml:space="preserve"> [2019] ZACC 36; 2020 (4) SA 375 (CC); 2020 (1) BCLR 41 (CC)</w:t>
      </w:r>
      <w:r w:rsidRPr="007D715B">
        <w:t xml:space="preserve"> para 45.</w:t>
      </w:r>
    </w:p>
  </w:footnote>
  <w:footnote w:id="76">
    <w:p w14:paraId="23F07406" w14:textId="33481C01" w:rsidR="00180F8A" w:rsidRPr="007D715B" w:rsidRDefault="00180F8A" w:rsidP="007D715B">
      <w:pPr>
        <w:pStyle w:val="FootnoteText"/>
        <w:jc w:val="both"/>
      </w:pPr>
      <w:r w:rsidRPr="007D715B">
        <w:rPr>
          <w:rStyle w:val="FootnoteReference"/>
        </w:rPr>
        <w:footnoteRef/>
      </w:r>
      <w:r w:rsidRPr="007D715B">
        <w:t xml:space="preserve"> </w:t>
      </w:r>
      <w:r w:rsidRPr="007D715B">
        <w:rPr>
          <w:color w:val="000000"/>
        </w:rPr>
        <w:t xml:space="preserve">in </w:t>
      </w:r>
      <w:r w:rsidRPr="007D715B">
        <w:rPr>
          <w:i/>
          <w:color w:val="000000"/>
        </w:rPr>
        <w:t xml:space="preserve">Department of Transport and others v Tasima (Pty) Ltd </w:t>
      </w:r>
      <w:r w:rsidRPr="007D715B">
        <w:rPr>
          <w:i/>
          <w:iCs/>
        </w:rPr>
        <w:t xml:space="preserve"> </w:t>
      </w:r>
      <w:r w:rsidRPr="007D715B">
        <w:t>fn 81 para 147 (in the majority scribed by Khampepe J).</w:t>
      </w:r>
    </w:p>
  </w:footnote>
  <w:footnote w:id="77">
    <w:p w14:paraId="12B6F592" w14:textId="3E9EDE21"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MEC for Health, Eastern Cape and another v Kirland Investments (Pty) Ltd t/a Eye &amp; Lazer Institute</w:t>
      </w:r>
      <w:r w:rsidRPr="007D715B">
        <w:rPr>
          <w:iCs/>
        </w:rPr>
        <w:t xml:space="preserve"> [2014] ZACC 6; 2014 (3) SA 481 (CC); 2014 (5) BCLR 547 (CC)</w:t>
      </w:r>
      <w:r w:rsidRPr="007D715B" w:rsidDel="002C2FB7">
        <w:rPr>
          <w:iCs/>
        </w:rPr>
        <w:t xml:space="preserve"> </w:t>
      </w:r>
      <w:r w:rsidRPr="007D715B">
        <w:t>para 101.</w:t>
      </w:r>
    </w:p>
  </w:footnote>
  <w:footnote w:id="78">
    <w:p w14:paraId="0FF78CE7" w14:textId="15B8CB3F"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MEC for Health, Eastern Cape v Kirland Investments </w:t>
      </w:r>
      <w:r w:rsidRPr="007D715B">
        <w:rPr>
          <w:iCs/>
        </w:rPr>
        <w:t xml:space="preserve">n 84 </w:t>
      </w:r>
      <w:r w:rsidRPr="007D715B">
        <w:t>para 103.</w:t>
      </w:r>
    </w:p>
  </w:footnote>
  <w:footnote w:id="79">
    <w:p w14:paraId="76334B65" w14:textId="483CADB1"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Merafong City Local Municipality v AngloGold Ashanti Ltd</w:t>
      </w:r>
      <w:r w:rsidRPr="007D715B">
        <w:rPr>
          <w:iCs/>
        </w:rPr>
        <w:t xml:space="preserve"> [2016] ZACC 35; 2017 (2) SA 211 (CC); 2017 (2) BCLR 182 (CC)</w:t>
      </w:r>
      <w:r w:rsidRPr="007D715B">
        <w:t xml:space="preserve"> para 41.</w:t>
      </w:r>
    </w:p>
  </w:footnote>
  <w:footnote w:id="80">
    <w:p w14:paraId="1A20D078" w14:textId="5A9852CD"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Magnificent Mile Trading 30 (Pty) Litd v Celliers NO and others</w:t>
      </w:r>
      <w:r w:rsidRPr="007D715B">
        <w:rPr>
          <w:iCs/>
        </w:rPr>
        <w:t xml:space="preserve"> [2019] ZACC 36; 2020 (4) SA 375 (CC); 2020 (1) BCLR 41 (CC)</w:t>
      </w:r>
      <w:r w:rsidRPr="007D715B">
        <w:t xml:space="preserve"> </w:t>
      </w:r>
      <w:r w:rsidRPr="007D715B">
        <w:rPr>
          <w:shd w:val="clear" w:color="auto" w:fill="FFFFFF"/>
        </w:rPr>
        <w:t>para 51.</w:t>
      </w:r>
    </w:p>
  </w:footnote>
  <w:footnote w:id="81">
    <w:p w14:paraId="2627637D" w14:textId="1A4321E1" w:rsidR="00180F8A" w:rsidRPr="007D715B" w:rsidRDefault="00180F8A" w:rsidP="007D715B">
      <w:pPr>
        <w:pStyle w:val="FootnoteText"/>
        <w:jc w:val="both"/>
      </w:pPr>
      <w:r w:rsidRPr="007D715B">
        <w:rPr>
          <w:rStyle w:val="FootnoteReference"/>
        </w:rPr>
        <w:footnoteRef/>
      </w:r>
      <w:r w:rsidRPr="007D715B">
        <w:t xml:space="preserve"> </w:t>
      </w:r>
      <w:r w:rsidRPr="007D715B">
        <w:rPr>
          <w:i/>
        </w:rPr>
        <w:t>Bengwenyama Minerals (Pty) Ltd and others v Genorah Resources (Pty) Ltd and others</w:t>
      </w:r>
      <w:r w:rsidRPr="007D715B">
        <w:t xml:space="preserve"> [2010] ZACC 26; 2011 (4) SA 113 (CC); 2011 (3) BCLR 229 (CC) para 85.</w:t>
      </w:r>
    </w:p>
  </w:footnote>
  <w:footnote w:id="82">
    <w:p w14:paraId="711010C1" w14:textId="4D5A3616" w:rsidR="00180F8A" w:rsidRPr="007D715B" w:rsidRDefault="00180F8A" w:rsidP="007D715B">
      <w:pPr>
        <w:pStyle w:val="FootnoteText"/>
        <w:jc w:val="both"/>
        <w:rPr>
          <w:b/>
          <w:bCs/>
        </w:rPr>
      </w:pPr>
      <w:r w:rsidRPr="007D715B">
        <w:rPr>
          <w:rStyle w:val="FootnoteReference"/>
        </w:rPr>
        <w:footnoteRef/>
      </w:r>
      <w:r w:rsidRPr="007D715B">
        <w:t xml:space="preserve"> </w:t>
      </w:r>
      <w:r w:rsidRPr="007D715B">
        <w:rPr>
          <w:i/>
        </w:rPr>
        <w:t>Kruger v President of the Republic of South Africa</w:t>
      </w:r>
      <w:r w:rsidRPr="007D715B">
        <w:t xml:space="preserve"> [2008] ZACC 17; 2009 (1) SA 417 (CC); 2009 (3) BCLR 268 (CC) para 52.</w:t>
      </w:r>
    </w:p>
  </w:footnote>
  <w:footnote w:id="83">
    <w:p w14:paraId="13ED6F1F" w14:textId="0F8ED390" w:rsidR="00180F8A" w:rsidRPr="007D715B" w:rsidRDefault="00180F8A" w:rsidP="007D715B">
      <w:pPr>
        <w:pStyle w:val="FootnoteText"/>
        <w:jc w:val="both"/>
      </w:pPr>
      <w:r w:rsidRPr="007D715B">
        <w:rPr>
          <w:rStyle w:val="FootnoteReference"/>
        </w:rPr>
        <w:footnoteRef/>
      </w:r>
      <w:r w:rsidRPr="007D715B">
        <w:t xml:space="preserve"> </w:t>
      </w:r>
      <w:r w:rsidRPr="007D715B">
        <w:rPr>
          <w:i/>
        </w:rPr>
        <w:t>Electoral Commission v Mhlope and others</w:t>
      </w:r>
      <w:r w:rsidRPr="007D715B">
        <w:t xml:space="preserve"> [2016] ZACC 15; 2016 (5) SA 1 (CC); 2016 (8) BCLR 987 (CC) para 132.</w:t>
      </w:r>
    </w:p>
  </w:footnote>
  <w:footnote w:id="84">
    <w:p w14:paraId="5BE7DCEA" w14:textId="54D39091" w:rsidR="00180F8A" w:rsidRPr="007D715B" w:rsidRDefault="00180F8A" w:rsidP="007D715B">
      <w:pPr>
        <w:pStyle w:val="FootnoteText"/>
        <w:jc w:val="both"/>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75</w:t>
      </w:r>
      <w:r w:rsidRPr="007D715B">
        <w:t>.</w:t>
      </w:r>
    </w:p>
  </w:footnote>
  <w:footnote w:id="85">
    <w:p w14:paraId="62965778" w14:textId="3E12A8D5" w:rsidR="00180F8A" w:rsidRPr="007D715B" w:rsidRDefault="00180F8A" w:rsidP="007D715B">
      <w:pPr>
        <w:pStyle w:val="FootnoteText"/>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81.</w:t>
      </w:r>
    </w:p>
  </w:footnote>
  <w:footnote w:id="86">
    <w:p w14:paraId="47BC5D06" w14:textId="3E5E7696" w:rsidR="00180F8A" w:rsidRPr="007D715B" w:rsidRDefault="00180F8A" w:rsidP="007D715B">
      <w:pPr>
        <w:pStyle w:val="FootnoteText"/>
        <w:rPr>
          <w:lang w:val="en-GB"/>
        </w:rPr>
      </w:pPr>
      <w:r w:rsidRPr="007D715B">
        <w:rPr>
          <w:rStyle w:val="FootnoteReference"/>
        </w:rPr>
        <w:footnoteRef/>
      </w:r>
      <w:r w:rsidRPr="007D715B">
        <w:t xml:space="preserve"> </w:t>
      </w:r>
      <w:r w:rsidRPr="007D715B">
        <w:rPr>
          <w:rFonts w:eastAsia="Arial"/>
        </w:rPr>
        <w:t xml:space="preserve">The review fn </w:t>
      </w:r>
      <w:r>
        <w:rPr>
          <w:rFonts w:eastAsia="Arial"/>
        </w:rPr>
        <w:t>18</w:t>
      </w:r>
      <w:r w:rsidRPr="007D715B">
        <w:rPr>
          <w:rFonts w:eastAsia="Arial"/>
        </w:rPr>
        <w:t xml:space="preserve"> para 1 of the order.</w:t>
      </w:r>
    </w:p>
  </w:footnote>
  <w:footnote w:id="87">
    <w:p w14:paraId="24FBB3D7" w14:textId="70A8BB72" w:rsidR="00180F8A" w:rsidRPr="007D715B" w:rsidRDefault="00180F8A" w:rsidP="007D715B">
      <w:pPr>
        <w:pStyle w:val="FootnoteText"/>
        <w:jc w:val="both"/>
      </w:pPr>
      <w:r w:rsidRPr="007D715B">
        <w:rPr>
          <w:rStyle w:val="FootnoteReference"/>
        </w:rPr>
        <w:footnoteRef/>
      </w:r>
      <w:r w:rsidRPr="007D715B">
        <w:t xml:space="preserve"> </w:t>
      </w:r>
      <w:r w:rsidRPr="007D715B">
        <w:rPr>
          <w:i/>
        </w:rPr>
        <w:t>Bengwenyama Minerals (Pty) Ltd and others v Genorah Resources (Pty) Ltd and others</w:t>
      </w:r>
      <w:r w:rsidRPr="007D715B">
        <w:t xml:space="preserve"> [2010] ZACC 26; 2011 (4) SA 113 (CC); 2011 (3) BCLR 229 (CC) para 82.</w:t>
      </w:r>
    </w:p>
  </w:footnote>
  <w:footnote w:id="88">
    <w:p w14:paraId="317AB924" w14:textId="3C10089E" w:rsidR="00180F8A" w:rsidRPr="007D715B" w:rsidRDefault="00180F8A" w:rsidP="007D715B">
      <w:pPr>
        <w:pStyle w:val="FootnoteText"/>
        <w:jc w:val="both"/>
      </w:pPr>
      <w:r w:rsidRPr="007D715B">
        <w:rPr>
          <w:rStyle w:val="FootnoteReference"/>
        </w:rPr>
        <w:footnoteRef/>
      </w:r>
      <w:r w:rsidRPr="007D715B">
        <w:t xml:space="preserve"> C Hoexter and G Penfold </w:t>
      </w:r>
      <w:r w:rsidRPr="007D715B">
        <w:rPr>
          <w:i/>
          <w:iCs/>
        </w:rPr>
        <w:t xml:space="preserve">Administrative Law in South Africa </w:t>
      </w:r>
      <w:r w:rsidRPr="007D715B">
        <w:t>3 ed (2021) at 773 – 774.</w:t>
      </w:r>
    </w:p>
  </w:footnote>
  <w:footnote w:id="89">
    <w:p w14:paraId="3714FE83" w14:textId="6C65E3B0" w:rsidR="00180F8A" w:rsidRPr="007D715B" w:rsidRDefault="00180F8A" w:rsidP="007D715B">
      <w:pPr>
        <w:pStyle w:val="FootnoteText"/>
        <w:jc w:val="both"/>
      </w:pPr>
      <w:r w:rsidRPr="007D715B">
        <w:rPr>
          <w:rStyle w:val="FootnoteReference"/>
        </w:rPr>
        <w:footnoteRef/>
      </w:r>
      <w:r w:rsidRPr="007D715B">
        <w:t xml:space="preserve"> </w:t>
      </w:r>
      <w:r w:rsidRPr="007D715B">
        <w:rPr>
          <w:i/>
        </w:rPr>
        <w:t>Bengwenyama Minerals (Pty) Ltd and others v Genorah Resources (Pty) Ltd and others</w:t>
      </w:r>
      <w:r w:rsidRPr="007D715B">
        <w:t xml:space="preserve"> [2010] ZACC 26; 2011 (4) SA 113 (CC); 2011 (3) BCLR 229 (CC)</w:t>
      </w:r>
      <w:r>
        <w:t xml:space="preserve"> p</w:t>
      </w:r>
      <w:r w:rsidRPr="007D715B">
        <w:t>ara 82.</w:t>
      </w:r>
    </w:p>
  </w:footnote>
  <w:footnote w:id="90">
    <w:p w14:paraId="38CFFA67" w14:textId="00BE3C41"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Minister of Defence and Military Veterans v Motau and others</w:t>
      </w:r>
      <w:r w:rsidRPr="007D715B">
        <w:rPr>
          <w:iCs/>
        </w:rPr>
        <w:t xml:space="preserve"> [2014] ZACC 18; 2014 (5) SA 69 (CC); 2014 (8) BCLR 930 (CC)</w:t>
      </w:r>
      <w:r w:rsidRPr="007D715B">
        <w:t>.</w:t>
      </w:r>
    </w:p>
  </w:footnote>
  <w:footnote w:id="91">
    <w:p w14:paraId="1DC61FD4" w14:textId="6281BE6D"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Minister of Defence and Military Veterans v Motau</w:t>
      </w:r>
      <w:r w:rsidRPr="007D715B">
        <w:t xml:space="preserve"> para 84.</w:t>
      </w:r>
    </w:p>
  </w:footnote>
  <w:footnote w:id="92">
    <w:p w14:paraId="5F84E906" w14:textId="2810E3E5"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Minister of Defence and Military Veterans v Motau</w:t>
      </w:r>
      <w:r w:rsidRPr="007D715B">
        <w:t xml:space="preserve"> para 86.</w:t>
      </w:r>
    </w:p>
  </w:footnote>
  <w:footnote w:id="93">
    <w:p w14:paraId="6F5BC75B" w14:textId="2EA4A8B0"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Minister of Defence and Military Veterans v Motau</w:t>
      </w:r>
      <w:r w:rsidRPr="007D715B">
        <w:t xml:space="preserve"> para 94. </w:t>
      </w:r>
    </w:p>
  </w:footnote>
  <w:footnote w:id="94">
    <w:p w14:paraId="23AFC4DF" w14:textId="25000703"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Allpay Consolidated Investment Holdings (Pty) Ltd and others v Chief Executive Officer of the South African Social Security Agency and others</w:t>
      </w:r>
      <w:r w:rsidRPr="007D715B">
        <w:t xml:space="preserve"> [2012] ZAGPPHC 185 para 80. The Constitutional Court ultimately upheld Matojane J's approach, though it added additional just and equitable relief to deal with subsequent developments in </w:t>
      </w:r>
      <w:r w:rsidRPr="007D715B">
        <w:rPr>
          <w:i/>
          <w:iCs/>
        </w:rPr>
        <w:t>Allpay Consolidated Investment Holdings (Pty) Ltd and others v Chief Executive Officer of the South African Social Security Agency and others</w:t>
      </w:r>
      <w:r w:rsidRPr="007D715B">
        <w:rPr>
          <w:iCs/>
        </w:rPr>
        <w:t xml:space="preserve"> [2013] ZACC 42; 2014 (1) SA 604 (CC); 2014 (1) BCLR 1 (CC)</w:t>
      </w:r>
      <w:r w:rsidRPr="007D715B">
        <w:t xml:space="preserve"> and </w:t>
      </w:r>
      <w:r w:rsidRPr="007D715B">
        <w:rPr>
          <w:i/>
          <w:iCs/>
        </w:rPr>
        <w:t>Allpay Consolidated Investment Holdings (Pty) Ltd and others v Chief Executive Officer of the South African Social Security Agency and others (No 2)</w:t>
      </w:r>
      <w:r w:rsidRPr="007D715B">
        <w:rPr>
          <w:iCs/>
        </w:rPr>
        <w:t xml:space="preserve"> [2014] ZACC 12; 2014 (4) SA 179 (CC); 2014 (6) BCLR 641 (CC).</w:t>
      </w:r>
    </w:p>
  </w:footnote>
  <w:footnote w:id="95">
    <w:p w14:paraId="7E715FBE" w14:textId="69CAB6AE"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lang w:val="en-GB"/>
        </w:rPr>
        <w:t xml:space="preserve">The review fn </w:t>
      </w:r>
      <w:r>
        <w:rPr>
          <w:lang w:val="en-GB"/>
        </w:rPr>
        <w:t>18</w:t>
      </w:r>
      <w:r w:rsidRPr="007D715B">
        <w:rPr>
          <w:lang w:val="en-GB"/>
        </w:rPr>
        <w:t xml:space="preserve"> para 70.</w:t>
      </w:r>
    </w:p>
  </w:footnote>
  <w:footnote w:id="96">
    <w:p w14:paraId="56BFA460" w14:textId="5960EC92" w:rsidR="00180F8A" w:rsidRPr="007D715B" w:rsidRDefault="00180F8A" w:rsidP="007D715B">
      <w:pPr>
        <w:pStyle w:val="FootnoteText"/>
        <w:jc w:val="both"/>
      </w:pPr>
      <w:r w:rsidRPr="007D715B">
        <w:rPr>
          <w:rStyle w:val="FootnoteReference"/>
        </w:rPr>
        <w:footnoteRef/>
      </w:r>
      <w:r w:rsidRPr="007D715B">
        <w:t xml:space="preserve"> </w:t>
      </w:r>
      <w:r w:rsidRPr="007D715B">
        <w:rPr>
          <w:i/>
        </w:rPr>
        <w:t>Sustaining the Wild Coast NPC and others v Minister of Mineral Resources and Energy and others</w:t>
      </w:r>
      <w:r w:rsidRPr="007D715B">
        <w:t xml:space="preserve"> [2022] ZAECMKHC 55; 2022 (6) SA 589 (ECMk) para 93. </w:t>
      </w:r>
    </w:p>
  </w:footnote>
  <w:footnote w:id="97">
    <w:p w14:paraId="1248FA88" w14:textId="45A5A7D5"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lang w:val="en-GB"/>
        </w:rPr>
        <w:t xml:space="preserve">The review fn </w:t>
      </w:r>
      <w:r>
        <w:rPr>
          <w:lang w:val="en-GB"/>
        </w:rPr>
        <w:t>18</w:t>
      </w:r>
      <w:r w:rsidRPr="007D715B">
        <w:rPr>
          <w:lang w:val="en-GB"/>
        </w:rPr>
        <w:t xml:space="preserve"> para 70.</w:t>
      </w:r>
    </w:p>
  </w:footnote>
  <w:footnote w:id="98">
    <w:p w14:paraId="5C505BB7" w14:textId="4EC6134B" w:rsidR="00180F8A" w:rsidRPr="007D715B" w:rsidRDefault="00180F8A" w:rsidP="007D715B">
      <w:pPr>
        <w:pStyle w:val="FootnoteText"/>
        <w:jc w:val="both"/>
        <w:rPr>
          <w:lang w:val="en-GB"/>
        </w:rPr>
      </w:pPr>
      <w:r w:rsidRPr="007D715B">
        <w:rPr>
          <w:rStyle w:val="FootnoteReference"/>
        </w:rPr>
        <w:footnoteRef/>
      </w:r>
      <w:r w:rsidRPr="007D715B">
        <w:t xml:space="preserve"> </w:t>
      </w:r>
      <w:r w:rsidRPr="007D715B">
        <w:rPr>
          <w:lang w:val="en-GB"/>
        </w:rPr>
        <w:t xml:space="preserve">The review fn </w:t>
      </w:r>
      <w:r>
        <w:rPr>
          <w:lang w:val="en-GB"/>
        </w:rPr>
        <w:t>18</w:t>
      </w:r>
      <w:r w:rsidRPr="007D715B">
        <w:rPr>
          <w:lang w:val="en-GB"/>
        </w:rPr>
        <w:t xml:space="preserve"> para 36.</w:t>
      </w:r>
    </w:p>
  </w:footnote>
  <w:footnote w:id="99">
    <w:p w14:paraId="2971F599" w14:textId="65C5987D" w:rsidR="00180F8A" w:rsidRPr="007D715B" w:rsidRDefault="00180F8A" w:rsidP="007D715B">
      <w:pPr>
        <w:pStyle w:val="FootnoteText"/>
        <w:jc w:val="both"/>
      </w:pPr>
      <w:r w:rsidRPr="007D715B">
        <w:rPr>
          <w:rStyle w:val="FootnoteReference"/>
        </w:rPr>
        <w:footnoteRef/>
      </w:r>
      <w:r w:rsidRPr="007D715B">
        <w:t xml:space="preserve"> </w:t>
      </w:r>
      <w:r w:rsidRPr="007D715B">
        <w:rPr>
          <w:i/>
        </w:rPr>
        <w:t xml:space="preserve">Maledu and others v Itereleng Bakgatla Mineral Resources (Pty) Ltd and another </w:t>
      </w:r>
      <w:r w:rsidRPr="007D715B">
        <w:t xml:space="preserve">[2018] ZACC 41; 2019 (2) SA 1 (CC); 2019 (1) BCLR 53 (CC) para 8. </w:t>
      </w:r>
    </w:p>
  </w:footnote>
  <w:footnote w:id="100">
    <w:p w14:paraId="13E7C906" w14:textId="2A2D3A88"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Eskom Holdings SOC Ltd v Vaal River Development Association (Pty) Ltd and others </w:t>
      </w:r>
      <w:r w:rsidRPr="007D715B">
        <w:rPr>
          <w:iCs/>
        </w:rPr>
        <w:t xml:space="preserve">[2022] ZACC 44; 2023 (5) BCLR 527 (CC) para </w:t>
      </w:r>
      <w:r w:rsidRPr="007D715B">
        <w:t>218.</w:t>
      </w:r>
    </w:p>
  </w:footnote>
  <w:footnote w:id="101">
    <w:p w14:paraId="01DD4A3A" w14:textId="003D6D84" w:rsidR="00180F8A" w:rsidRPr="007D715B" w:rsidRDefault="00180F8A" w:rsidP="007D715B">
      <w:pPr>
        <w:pStyle w:val="FootnoteText"/>
        <w:jc w:val="both"/>
      </w:pPr>
      <w:r w:rsidRPr="007D715B">
        <w:rPr>
          <w:rStyle w:val="FootnoteReference"/>
        </w:rPr>
        <w:footnoteRef/>
      </w:r>
      <w:r w:rsidRPr="007D715B">
        <w:t xml:space="preserve"> The correctness of this factual allegation was not denied by the applicants.</w:t>
      </w:r>
    </w:p>
  </w:footnote>
  <w:footnote w:id="102">
    <w:p w14:paraId="470040C3" w14:textId="4F8E8798"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Koyabe and others v Minister for Home Affairs and others (Lawyers for Human Rights as Amicus Curiae) </w:t>
      </w:r>
      <w:r w:rsidRPr="007D715B">
        <w:t>[2009] ZACC 23; 2010 (4) SA 327 (CC); 2009 (12) BCLR 1192 (CC) paras 35 – 38.</w:t>
      </w:r>
    </w:p>
  </w:footnote>
  <w:footnote w:id="103">
    <w:p w14:paraId="6FC14F28" w14:textId="6A78DFB7"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Dengetenge Holdings (Pty) Ltd v Southern Sphere Mining and Development Company Ltd and others </w:t>
      </w:r>
      <w:r w:rsidRPr="007D715B">
        <w:rPr>
          <w:iCs/>
        </w:rPr>
        <w:t>[2013] ZACC 48; 2014 (5) SA 138 (CC); 2014 (3) BCLR 265 (CC)</w:t>
      </w:r>
      <w:r w:rsidRPr="007D715B">
        <w:t xml:space="preserve"> para 115 to 136. </w:t>
      </w:r>
    </w:p>
  </w:footnote>
  <w:footnote w:id="104">
    <w:p w14:paraId="660694F6" w14:textId="02D17036"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Gavric v Refugee Status Determination Officer, Cape Town and others (People against Suppression, Suffering, Oppression and Poverty as amicus curiae)</w:t>
      </w:r>
      <w:r w:rsidRPr="007D715B">
        <w:rPr>
          <w:iCs/>
        </w:rPr>
        <w:t xml:space="preserve"> [2018] ZACC 38; 2019 (1) SA 21 (CC); 2019 (1) BCLR 1 (CC) </w:t>
      </w:r>
      <w:r w:rsidRPr="007D715B">
        <w:t>para 49.</w:t>
      </w:r>
    </w:p>
  </w:footnote>
  <w:footnote w:id="105">
    <w:p w14:paraId="3FF5EF57" w14:textId="0820D7F3" w:rsidR="00180F8A" w:rsidRPr="007D715B" w:rsidRDefault="00180F8A" w:rsidP="007D715B">
      <w:pPr>
        <w:pStyle w:val="FootnoteText"/>
        <w:jc w:val="both"/>
        <w:rPr>
          <w:i/>
          <w:iCs/>
        </w:rPr>
      </w:pPr>
      <w:r w:rsidRPr="007D715B">
        <w:rPr>
          <w:rStyle w:val="FootnoteReference"/>
        </w:rPr>
        <w:footnoteRef/>
      </w:r>
      <w:r w:rsidRPr="007D715B">
        <w:t xml:space="preserve"> </w:t>
      </w:r>
      <w:r w:rsidRPr="007D715B">
        <w:rPr>
          <w:i/>
          <w:iCs/>
        </w:rPr>
        <w:t xml:space="preserve">Eskom Holdings SOC Ltd v Vaal River Development Association (Pty) Ltd and others </w:t>
      </w:r>
      <w:r w:rsidRPr="007D715B">
        <w:rPr>
          <w:iCs/>
        </w:rPr>
        <w:t xml:space="preserve">[2022] ZACC 44; 2023 (5) BCLR 527 (CC) para 251. </w:t>
      </w:r>
    </w:p>
  </w:footnote>
  <w:footnote w:id="106">
    <w:p w14:paraId="58EBB04D" w14:textId="012D3B61"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Johannesburg Municipal Pension Fund v City of Johannesburg</w:t>
      </w:r>
      <w:r w:rsidRPr="007D715B">
        <w:t xml:space="preserve"> 2005 (6) SA 273 (W) para 9.</w:t>
      </w:r>
    </w:p>
  </w:footnote>
  <w:footnote w:id="107">
    <w:p w14:paraId="68D37B5A" w14:textId="36959127" w:rsidR="00180F8A" w:rsidRPr="007D715B" w:rsidRDefault="00180F8A" w:rsidP="007D715B">
      <w:pPr>
        <w:pStyle w:val="FootnoteText"/>
        <w:jc w:val="both"/>
      </w:pPr>
      <w:r w:rsidRPr="007D715B">
        <w:rPr>
          <w:rStyle w:val="FootnoteReference"/>
        </w:rPr>
        <w:footnoteRef/>
      </w:r>
      <w:r w:rsidRPr="007D715B">
        <w:t xml:space="preserve"> </w:t>
      </w:r>
      <w:r w:rsidRPr="007D715B">
        <w:rPr>
          <w:i/>
          <w:iCs/>
        </w:rPr>
        <w:t xml:space="preserve">Logbro Properties CC v Bedderson NO and others </w:t>
      </w:r>
      <w:r w:rsidRPr="007D715B">
        <w:t xml:space="preserve">[2002] ZASCA 135; 2003 (2) SA 460 (SCA); [2003] 1 All SA 424 (SCA) para 21, where the SCA cited C Hoexter ‘The future of judicial review in South African Administrative Law’ (2000) 117(3) </w:t>
      </w:r>
      <w:r w:rsidRPr="007D715B">
        <w:rPr>
          <w:i/>
        </w:rPr>
        <w:t>SALJ</w:t>
      </w:r>
      <w:r w:rsidRPr="007D715B">
        <w:t xml:space="preserve"> 484 at 501 – 502.</w:t>
      </w:r>
    </w:p>
  </w:footnote>
  <w:footnote w:id="108">
    <w:p w14:paraId="1430101A" w14:textId="6024A78A" w:rsidR="00180F8A" w:rsidRPr="007D715B" w:rsidRDefault="00180F8A" w:rsidP="007D715B">
      <w:pPr>
        <w:pStyle w:val="FootnoteText"/>
        <w:jc w:val="both"/>
      </w:pPr>
      <w:r w:rsidRPr="007D715B">
        <w:rPr>
          <w:rStyle w:val="FootnoteReference"/>
        </w:rPr>
        <w:footnoteRef/>
      </w:r>
      <w:r w:rsidRPr="007D715B">
        <w:t xml:space="preserve"> </w:t>
      </w:r>
      <w:r w:rsidRPr="007D715B">
        <w:rPr>
          <w:i/>
        </w:rPr>
        <w:t>Minister of Environmental Affairs and Tourism and others v Phambili Fisheries (Pty) Ltd; Minister of Environmental Affairs and Tourism and others v Bato Star Fishing (Pty) Ltd</w:t>
      </w:r>
      <w:r w:rsidRPr="007D715B">
        <w:t xml:space="preserve"> [2003] ZASCA 46; 2003 (6) SA 407 (SCA); [2003] 2 All SA 616 (SCA) para 53.</w:t>
      </w:r>
    </w:p>
  </w:footnote>
  <w:footnote w:id="109">
    <w:p w14:paraId="12E67836" w14:textId="46165D16" w:rsidR="00180F8A" w:rsidRPr="007D715B" w:rsidRDefault="00180F8A" w:rsidP="007D715B">
      <w:pPr>
        <w:pStyle w:val="Body3"/>
        <w:spacing w:before="0" w:after="120"/>
        <w:ind w:left="0"/>
        <w:rPr>
          <w:rFonts w:ascii="Arial" w:hAnsi="Arial" w:cs="Arial"/>
          <w:sz w:val="20"/>
          <w:szCs w:val="20"/>
          <w:lang w:val="en-ZA"/>
        </w:rPr>
      </w:pPr>
      <w:r w:rsidRPr="007D715B">
        <w:rPr>
          <w:rStyle w:val="FootnoteReference"/>
          <w:rFonts w:ascii="Arial" w:hAnsi="Arial" w:cs="Arial"/>
          <w:sz w:val="20"/>
          <w:szCs w:val="20"/>
          <w:lang w:val="en-ZA"/>
        </w:rPr>
        <w:footnoteRef/>
      </w:r>
      <w:r w:rsidRPr="007D715B">
        <w:rPr>
          <w:rFonts w:ascii="Arial" w:hAnsi="Arial" w:cs="Arial"/>
          <w:sz w:val="20"/>
          <w:szCs w:val="20"/>
          <w:lang w:val="en-ZA"/>
        </w:rPr>
        <w:t xml:space="preserve"> </w:t>
      </w:r>
      <w:r w:rsidRPr="007D715B">
        <w:rPr>
          <w:rFonts w:ascii="Arial" w:hAnsi="Arial" w:cs="Arial"/>
          <w:i/>
          <w:sz w:val="20"/>
          <w:szCs w:val="20"/>
          <w:lang w:val="en-ZA"/>
        </w:rPr>
        <w:t>Bato Star Fishing (Pty) Ltd v Minister of Environmental Affairs and Tourism and others</w:t>
      </w:r>
      <w:r w:rsidRPr="007D715B">
        <w:rPr>
          <w:rFonts w:ascii="Arial" w:hAnsi="Arial" w:cs="Arial"/>
          <w:sz w:val="20"/>
          <w:szCs w:val="20"/>
          <w:lang w:val="en-ZA"/>
        </w:rPr>
        <w:t xml:space="preserve"> [2004] ZACC 15; 2004 (4) SA 490 (CC); 2004 (7) BCLR 687 (CC) para 48.</w:t>
      </w:r>
    </w:p>
  </w:footnote>
  <w:footnote w:id="110">
    <w:p w14:paraId="72914021" w14:textId="3200FBB3" w:rsidR="00180F8A" w:rsidRPr="007D715B" w:rsidRDefault="00180F8A" w:rsidP="007D715B">
      <w:pPr>
        <w:pStyle w:val="FootnoteText"/>
        <w:jc w:val="both"/>
      </w:pPr>
      <w:r w:rsidRPr="007D715B">
        <w:rPr>
          <w:rStyle w:val="FootnoteReference"/>
        </w:rPr>
        <w:footnoteRef/>
      </w:r>
      <w:r w:rsidRPr="007D715B">
        <w:t xml:space="preserve"> </w:t>
      </w:r>
      <w:r w:rsidRPr="004A4131">
        <w:rPr>
          <w:i/>
          <w:iCs/>
        </w:rPr>
        <w:t>National Treasury and others v Opposition to Urban Tolling Alliance and others</w:t>
      </w:r>
      <w:r w:rsidRPr="004A4131">
        <w:t xml:space="preserve"> </w:t>
      </w:r>
      <w:r w:rsidRPr="004A4131">
        <w:rPr>
          <w:i/>
          <w:iCs/>
        </w:rPr>
        <w:t>(Road Freight Association as applicant for leave to intervene)</w:t>
      </w:r>
      <w:r w:rsidRPr="007D715B">
        <w:t xml:space="preserve"> </w:t>
      </w:r>
      <w:r w:rsidRPr="004A4131">
        <w:t>[2012] ZACC 18; 2012 (6) SA 223 (CC); 2012 (11) BCLR 1148 (CC)</w:t>
      </w:r>
      <w:r w:rsidRPr="007D715B">
        <w:t xml:space="preserve"> para 50.</w:t>
      </w:r>
    </w:p>
  </w:footnote>
  <w:footnote w:id="111">
    <w:p w14:paraId="49561F89" w14:textId="505B399F" w:rsidR="00180F8A" w:rsidRPr="0037775A" w:rsidRDefault="00180F8A" w:rsidP="007D715B">
      <w:pPr>
        <w:pStyle w:val="FootnoteText"/>
        <w:jc w:val="both"/>
      </w:pPr>
      <w:r w:rsidRPr="007D715B">
        <w:rPr>
          <w:rStyle w:val="FootnoteReference"/>
        </w:rPr>
        <w:footnoteRef/>
      </w:r>
      <w:r w:rsidRPr="007D715B">
        <w:t xml:space="preserve"> </w:t>
      </w:r>
      <w:r w:rsidRPr="0037775A">
        <w:rPr>
          <w:i/>
          <w:iCs/>
        </w:rPr>
        <w:t xml:space="preserve">National Council of Societies for the Prevention of Cruelty to Animals v Openshaw </w:t>
      </w:r>
      <w:r w:rsidRPr="0037775A">
        <w:rPr>
          <w:iCs/>
        </w:rPr>
        <w:t>[2008] ZASCA 78; 2008 (5) SA 339 (SCA); [2008] 4 All SA 225 (SCA)</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5B8451E9" w:rsidR="00180F8A" w:rsidRDefault="00180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xlvi</w:t>
    </w:r>
    <w:r>
      <w:rPr>
        <w:rStyle w:val="PageNumber"/>
      </w:rPr>
      <w:fldChar w:fldCharType="end"/>
    </w:r>
  </w:p>
  <w:p w14:paraId="5099912A" w14:textId="77777777" w:rsidR="00180F8A" w:rsidRDefault="00180F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89619"/>
      <w:docPartObj>
        <w:docPartGallery w:val="Page Numbers (Top of Page)"/>
        <w:docPartUnique/>
      </w:docPartObj>
    </w:sdtPr>
    <w:sdtEndPr>
      <w:rPr>
        <w:noProof/>
      </w:rPr>
    </w:sdtEndPr>
    <w:sdtContent>
      <w:p w14:paraId="7CF828E1" w14:textId="5B10D570" w:rsidR="00180F8A" w:rsidRDefault="00180F8A">
        <w:pPr>
          <w:pStyle w:val="Header"/>
          <w:jc w:val="right"/>
        </w:pPr>
        <w:r>
          <w:fldChar w:fldCharType="begin"/>
        </w:r>
        <w:r>
          <w:instrText xml:space="preserve"> PAGE   \* MERGEFORMAT </w:instrText>
        </w:r>
        <w:r>
          <w:fldChar w:fldCharType="separate"/>
        </w:r>
        <w:r w:rsidR="006D79CC">
          <w:rPr>
            <w:noProof/>
          </w:rPr>
          <w:t>3</w:t>
        </w:r>
        <w:r>
          <w:rPr>
            <w:noProof/>
          </w:rPr>
          <w:fldChar w:fldCharType="end"/>
        </w:r>
      </w:p>
    </w:sdtContent>
  </w:sdt>
  <w:p w14:paraId="0B7E1CB3" w14:textId="77777777" w:rsidR="00180F8A" w:rsidRDefault="00180F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1A2421"/>
    <w:multiLevelType w:val="hybridMultilevel"/>
    <w:tmpl w:val="DEF27968"/>
    <w:lvl w:ilvl="0" w:tplc="2E6409EC">
      <w:start w:val="1"/>
      <w:numFmt w:val="lowerLetter"/>
      <w:lvlText w:val="(%1)"/>
      <w:lvlJc w:val="left"/>
      <w:pPr>
        <w:ind w:left="720" w:hanging="360"/>
      </w:pPr>
      <w:rPr>
        <w:rFonts w:ascii="Arial" w:eastAsia="Arial" w:hAnsi="Arial" w:cs="Arial"/>
        <w:color w:val="0000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F2057"/>
    <w:multiLevelType w:val="hybridMultilevel"/>
    <w:tmpl w:val="EF5A0EF6"/>
    <w:lvl w:ilvl="0" w:tplc="FFFFFFFF">
      <w:start w:val="1"/>
      <w:numFmt w:val="lowerLetter"/>
      <w:lvlText w:val="(%1)"/>
      <w:lvlJc w:val="left"/>
      <w:pPr>
        <w:ind w:left="360" w:hanging="360"/>
      </w:pPr>
      <w:rPr>
        <w:rFonts w:eastAsia="Arial"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72D05DA"/>
    <w:multiLevelType w:val="hybridMultilevel"/>
    <w:tmpl w:val="A5705518"/>
    <w:lvl w:ilvl="0" w:tplc="9872E0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621BEB"/>
    <w:multiLevelType w:val="hybridMultilevel"/>
    <w:tmpl w:val="9EF0EB38"/>
    <w:lvl w:ilvl="0" w:tplc="F7368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8C5EE0"/>
    <w:multiLevelType w:val="hybridMultilevel"/>
    <w:tmpl w:val="81143B2A"/>
    <w:lvl w:ilvl="0" w:tplc="D3DC57B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FE7929"/>
    <w:multiLevelType w:val="hybridMultilevel"/>
    <w:tmpl w:val="54D84750"/>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7812"/>
    <w:multiLevelType w:val="hybridMultilevel"/>
    <w:tmpl w:val="4E126648"/>
    <w:lvl w:ilvl="0" w:tplc="DF66C7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5231AD8"/>
    <w:multiLevelType w:val="hybridMultilevel"/>
    <w:tmpl w:val="1BC49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55405"/>
    <w:multiLevelType w:val="hybridMultilevel"/>
    <w:tmpl w:val="324C0EAC"/>
    <w:lvl w:ilvl="0" w:tplc="9536E61A">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B31DE7"/>
    <w:multiLevelType w:val="hybridMultilevel"/>
    <w:tmpl w:val="903CC2D0"/>
    <w:lvl w:ilvl="0" w:tplc="5CA24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C0096D"/>
    <w:multiLevelType w:val="hybridMultilevel"/>
    <w:tmpl w:val="5D9A7148"/>
    <w:lvl w:ilvl="0" w:tplc="73BA47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F94428"/>
    <w:multiLevelType w:val="multilevel"/>
    <w:tmpl w:val="F86A9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WW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EC32EAB"/>
    <w:multiLevelType w:val="multilevel"/>
    <w:tmpl w:val="8B245260"/>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tabs>
          <w:tab w:val="num" w:pos="1588"/>
        </w:tabs>
        <w:ind w:left="1588" w:hanging="1021"/>
      </w:pPr>
      <w:rPr>
        <w:rFonts w:ascii="Arial" w:eastAsia="Times New Roman" w:hAnsi="Arial" w:cs="Arial"/>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nsid w:val="339471E8"/>
    <w:multiLevelType w:val="hybridMultilevel"/>
    <w:tmpl w:val="0D62DD0A"/>
    <w:lvl w:ilvl="0" w:tplc="8D6E30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F55696"/>
    <w:multiLevelType w:val="multilevel"/>
    <w:tmpl w:val="18721E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8E3557"/>
    <w:multiLevelType w:val="hybridMultilevel"/>
    <w:tmpl w:val="E3EED3E6"/>
    <w:lvl w:ilvl="0" w:tplc="767003C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44AE0155"/>
    <w:multiLevelType w:val="hybridMultilevel"/>
    <w:tmpl w:val="BAD4CF32"/>
    <w:lvl w:ilvl="0" w:tplc="87EC04A0">
      <w:start w:val="1"/>
      <w:numFmt w:val="lowerLetter"/>
      <w:lvlText w:val="(%1)"/>
      <w:lvlJc w:val="left"/>
      <w:pPr>
        <w:ind w:left="987" w:hanging="36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8">
    <w:nsid w:val="4C6E64DC"/>
    <w:multiLevelType w:val="hybridMultilevel"/>
    <w:tmpl w:val="752EF208"/>
    <w:lvl w:ilvl="0" w:tplc="B150C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00D45FA"/>
    <w:multiLevelType w:val="hybridMultilevel"/>
    <w:tmpl w:val="3DA8AC7A"/>
    <w:lvl w:ilvl="0" w:tplc="66008BA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8A75599"/>
    <w:multiLevelType w:val="multilevel"/>
    <w:tmpl w:val="CDA6DF8A"/>
    <w:lvl w:ilvl="0">
      <w:start w:val="1"/>
      <w:numFmt w:val="decimal"/>
      <w:pStyle w:val="ListLevel1"/>
      <w:lvlText w:val="%1."/>
      <w:lvlJc w:val="left"/>
      <w:pPr>
        <w:tabs>
          <w:tab w:val="num" w:pos="851"/>
        </w:tabs>
        <w:ind w:left="851" w:hanging="851"/>
      </w:pPr>
      <w:rPr>
        <w:b w:val="0"/>
        <w:bCs/>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4A61304"/>
    <w:multiLevelType w:val="multilevel"/>
    <w:tmpl w:val="BC30FA54"/>
    <w:lvl w:ilvl="0">
      <w:start w:val="1"/>
      <w:numFmt w:val="decimal"/>
      <w:pStyle w:val="WLGLevel1"/>
      <w:lvlText w:val="%1"/>
      <w:lvlJc w:val="left"/>
      <w:pPr>
        <w:tabs>
          <w:tab w:val="num" w:pos="567"/>
        </w:tabs>
        <w:ind w:left="567" w:hanging="567"/>
      </w:pPr>
      <w:rPr>
        <w:rFonts w:ascii="Arial" w:hAnsi="Arial" w:cs="Arial"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2">
    <w:nsid w:val="692F6D7D"/>
    <w:multiLevelType w:val="hybridMultilevel"/>
    <w:tmpl w:val="445E24CA"/>
    <w:lvl w:ilvl="0" w:tplc="F0D837E2">
      <w:start w:val="1"/>
      <w:numFmt w:val="lowerLetter"/>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4955852"/>
    <w:multiLevelType w:val="hybridMultilevel"/>
    <w:tmpl w:val="55CE47A8"/>
    <w:lvl w:ilvl="0" w:tplc="EF264E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6457FE4"/>
    <w:multiLevelType w:val="hybridMultilevel"/>
    <w:tmpl w:val="7C80A148"/>
    <w:lvl w:ilvl="0" w:tplc="FFFFFFFF">
      <w:start w:val="1"/>
      <w:numFmt w:val="decimal"/>
      <w:lvlText w:val="[%1]"/>
      <w:lvlJc w:val="left"/>
      <w:pPr>
        <w:ind w:left="0" w:firstLine="0"/>
      </w:pPr>
      <w:rPr>
        <w:rFonts w:ascii="Arial" w:hAnsi="Arial" w:cs="Arial" w:hint="default"/>
        <w:b w:val="0"/>
        <w:bCs w:val="0"/>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1"/>
  </w:num>
  <w:num w:numId="3">
    <w:abstractNumId w:val="24"/>
  </w:num>
  <w:num w:numId="4">
    <w:abstractNumId w:val="7"/>
  </w:num>
  <w:num w:numId="5">
    <w:abstractNumId w:val="16"/>
  </w:num>
  <w:num w:numId="6">
    <w:abstractNumId w:val="14"/>
  </w:num>
  <w:num w:numId="7">
    <w:abstractNumId w:val="19"/>
  </w:num>
  <w:num w:numId="8">
    <w:abstractNumId w:val="23"/>
  </w:num>
  <w:num w:numId="9">
    <w:abstractNumId w:val="3"/>
  </w:num>
  <w:num w:numId="10">
    <w:abstractNumId w:val="13"/>
  </w:num>
  <w:num w:numId="11">
    <w:abstractNumId w:val="0"/>
  </w:num>
  <w:num w:numId="12">
    <w:abstractNumId w:val="21"/>
  </w:num>
  <w:num w:numId="13">
    <w:abstractNumId w:val="12"/>
  </w:num>
  <w:num w:numId="14">
    <w:abstractNumId w:val="20"/>
  </w:num>
  <w:num w:numId="15">
    <w:abstractNumId w:val="18"/>
  </w:num>
  <w:num w:numId="16">
    <w:abstractNumId w:val="15"/>
  </w:num>
  <w:num w:numId="17">
    <w:abstractNumId w:val="1"/>
  </w:num>
  <w:num w:numId="18">
    <w:abstractNumId w:val="2"/>
  </w:num>
  <w:num w:numId="19">
    <w:abstractNumId w:val="4"/>
  </w:num>
  <w:num w:numId="20">
    <w:abstractNumId w:val="17"/>
  </w:num>
  <w:num w:numId="21">
    <w:abstractNumId w:val="5"/>
  </w:num>
  <w:num w:numId="22">
    <w:abstractNumId w:val="9"/>
  </w:num>
  <w:num w:numId="23">
    <w:abstractNumId w:val="10"/>
  </w:num>
  <w:num w:numId="24">
    <w:abstractNumId w:val="2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05BA"/>
    <w:rsid w:val="000018AE"/>
    <w:rsid w:val="00002824"/>
    <w:rsid w:val="000030DC"/>
    <w:rsid w:val="00005A6E"/>
    <w:rsid w:val="00007CE3"/>
    <w:rsid w:val="0001291F"/>
    <w:rsid w:val="00013458"/>
    <w:rsid w:val="0001538F"/>
    <w:rsid w:val="00015A16"/>
    <w:rsid w:val="00016245"/>
    <w:rsid w:val="00022B7D"/>
    <w:rsid w:val="00027208"/>
    <w:rsid w:val="00027A8B"/>
    <w:rsid w:val="00032E7D"/>
    <w:rsid w:val="00052E11"/>
    <w:rsid w:val="00053BCD"/>
    <w:rsid w:val="0005526D"/>
    <w:rsid w:val="00055AB6"/>
    <w:rsid w:val="00057DEC"/>
    <w:rsid w:val="0006170C"/>
    <w:rsid w:val="00062F80"/>
    <w:rsid w:val="00064293"/>
    <w:rsid w:val="0006537F"/>
    <w:rsid w:val="00071C02"/>
    <w:rsid w:val="000730D6"/>
    <w:rsid w:val="00074074"/>
    <w:rsid w:val="00076F33"/>
    <w:rsid w:val="00081125"/>
    <w:rsid w:val="00082C3F"/>
    <w:rsid w:val="00083528"/>
    <w:rsid w:val="000836A6"/>
    <w:rsid w:val="00084FF1"/>
    <w:rsid w:val="000850DE"/>
    <w:rsid w:val="00085922"/>
    <w:rsid w:val="000875AA"/>
    <w:rsid w:val="00091C5F"/>
    <w:rsid w:val="00091C85"/>
    <w:rsid w:val="000925F7"/>
    <w:rsid w:val="00093030"/>
    <w:rsid w:val="00096B06"/>
    <w:rsid w:val="000A098C"/>
    <w:rsid w:val="000A1180"/>
    <w:rsid w:val="000A1483"/>
    <w:rsid w:val="000A18C1"/>
    <w:rsid w:val="000A1F50"/>
    <w:rsid w:val="000A2D44"/>
    <w:rsid w:val="000A38F8"/>
    <w:rsid w:val="000A4413"/>
    <w:rsid w:val="000A7F49"/>
    <w:rsid w:val="000B05C4"/>
    <w:rsid w:val="000B422C"/>
    <w:rsid w:val="000C51A8"/>
    <w:rsid w:val="000D1290"/>
    <w:rsid w:val="000D38AD"/>
    <w:rsid w:val="000D503D"/>
    <w:rsid w:val="000D7572"/>
    <w:rsid w:val="000D7DB1"/>
    <w:rsid w:val="000E16FA"/>
    <w:rsid w:val="000E39FC"/>
    <w:rsid w:val="000E3C2C"/>
    <w:rsid w:val="000E55AE"/>
    <w:rsid w:val="000E5726"/>
    <w:rsid w:val="000E7C0A"/>
    <w:rsid w:val="000F13C5"/>
    <w:rsid w:val="000F1DEA"/>
    <w:rsid w:val="000F271B"/>
    <w:rsid w:val="000F2ED1"/>
    <w:rsid w:val="000F52BB"/>
    <w:rsid w:val="000F68CB"/>
    <w:rsid w:val="000F6E51"/>
    <w:rsid w:val="0010612B"/>
    <w:rsid w:val="001067E6"/>
    <w:rsid w:val="0010699F"/>
    <w:rsid w:val="001077DF"/>
    <w:rsid w:val="00107B4C"/>
    <w:rsid w:val="00111722"/>
    <w:rsid w:val="00111C25"/>
    <w:rsid w:val="00112230"/>
    <w:rsid w:val="00112D12"/>
    <w:rsid w:val="001135C3"/>
    <w:rsid w:val="00117E6E"/>
    <w:rsid w:val="00120DBB"/>
    <w:rsid w:val="00122128"/>
    <w:rsid w:val="0012460A"/>
    <w:rsid w:val="00130407"/>
    <w:rsid w:val="00131C11"/>
    <w:rsid w:val="00131DB9"/>
    <w:rsid w:val="00131EE8"/>
    <w:rsid w:val="00134089"/>
    <w:rsid w:val="00134266"/>
    <w:rsid w:val="0013527F"/>
    <w:rsid w:val="00137328"/>
    <w:rsid w:val="00137588"/>
    <w:rsid w:val="00140E10"/>
    <w:rsid w:val="00142BD9"/>
    <w:rsid w:val="001441F0"/>
    <w:rsid w:val="0015193B"/>
    <w:rsid w:val="00154E15"/>
    <w:rsid w:val="00156041"/>
    <w:rsid w:val="001576ED"/>
    <w:rsid w:val="0016475E"/>
    <w:rsid w:val="00165215"/>
    <w:rsid w:val="00165478"/>
    <w:rsid w:val="00165F55"/>
    <w:rsid w:val="00166FFB"/>
    <w:rsid w:val="00170F0E"/>
    <w:rsid w:val="00174D50"/>
    <w:rsid w:val="001775CE"/>
    <w:rsid w:val="00180F8A"/>
    <w:rsid w:val="00181158"/>
    <w:rsid w:val="00181CB6"/>
    <w:rsid w:val="00182054"/>
    <w:rsid w:val="00182061"/>
    <w:rsid w:val="0018306A"/>
    <w:rsid w:val="00184716"/>
    <w:rsid w:val="0018492F"/>
    <w:rsid w:val="0018534A"/>
    <w:rsid w:val="00187D56"/>
    <w:rsid w:val="001919CF"/>
    <w:rsid w:val="00193056"/>
    <w:rsid w:val="00196C0D"/>
    <w:rsid w:val="001A1CB9"/>
    <w:rsid w:val="001A35CC"/>
    <w:rsid w:val="001A5199"/>
    <w:rsid w:val="001A56AA"/>
    <w:rsid w:val="001B1B6C"/>
    <w:rsid w:val="001B2832"/>
    <w:rsid w:val="001B2B86"/>
    <w:rsid w:val="001B60CB"/>
    <w:rsid w:val="001B744C"/>
    <w:rsid w:val="001B7972"/>
    <w:rsid w:val="001C075A"/>
    <w:rsid w:val="001C163C"/>
    <w:rsid w:val="001C1E57"/>
    <w:rsid w:val="001C260A"/>
    <w:rsid w:val="001C346E"/>
    <w:rsid w:val="001C5C9A"/>
    <w:rsid w:val="001C734D"/>
    <w:rsid w:val="001D34C4"/>
    <w:rsid w:val="001D3970"/>
    <w:rsid w:val="001D44A8"/>
    <w:rsid w:val="001D6016"/>
    <w:rsid w:val="001D6EEA"/>
    <w:rsid w:val="001D76A3"/>
    <w:rsid w:val="001E0AAE"/>
    <w:rsid w:val="001E3C03"/>
    <w:rsid w:val="001E3E16"/>
    <w:rsid w:val="001E49B5"/>
    <w:rsid w:val="001E4C92"/>
    <w:rsid w:val="001E5B50"/>
    <w:rsid w:val="001E6034"/>
    <w:rsid w:val="001E6574"/>
    <w:rsid w:val="001F52A7"/>
    <w:rsid w:val="001F5BDA"/>
    <w:rsid w:val="002029DC"/>
    <w:rsid w:val="00207717"/>
    <w:rsid w:val="00207A3D"/>
    <w:rsid w:val="00207BA1"/>
    <w:rsid w:val="00207C8D"/>
    <w:rsid w:val="00210EA1"/>
    <w:rsid w:val="00212580"/>
    <w:rsid w:val="0021401E"/>
    <w:rsid w:val="00217B18"/>
    <w:rsid w:val="00217C64"/>
    <w:rsid w:val="0022044B"/>
    <w:rsid w:val="002206A8"/>
    <w:rsid w:val="00221386"/>
    <w:rsid w:val="00222AA7"/>
    <w:rsid w:val="002265FE"/>
    <w:rsid w:val="00230BE3"/>
    <w:rsid w:val="0023160A"/>
    <w:rsid w:val="0023479D"/>
    <w:rsid w:val="00235ADC"/>
    <w:rsid w:val="00236091"/>
    <w:rsid w:val="002363F2"/>
    <w:rsid w:val="0023687E"/>
    <w:rsid w:val="002403B6"/>
    <w:rsid w:val="00240526"/>
    <w:rsid w:val="002406CA"/>
    <w:rsid w:val="002449F2"/>
    <w:rsid w:val="00244ADF"/>
    <w:rsid w:val="00244F2A"/>
    <w:rsid w:val="00246019"/>
    <w:rsid w:val="00247303"/>
    <w:rsid w:val="00250A15"/>
    <w:rsid w:val="00255DBD"/>
    <w:rsid w:val="002618D8"/>
    <w:rsid w:val="00262EA3"/>
    <w:rsid w:val="00266AEC"/>
    <w:rsid w:val="00267A32"/>
    <w:rsid w:val="002765E9"/>
    <w:rsid w:val="00280329"/>
    <w:rsid w:val="002813AB"/>
    <w:rsid w:val="00284EB8"/>
    <w:rsid w:val="00285099"/>
    <w:rsid w:val="002866DB"/>
    <w:rsid w:val="0029029A"/>
    <w:rsid w:val="00291FCF"/>
    <w:rsid w:val="002932D5"/>
    <w:rsid w:val="002971B2"/>
    <w:rsid w:val="002A02F4"/>
    <w:rsid w:val="002A04CC"/>
    <w:rsid w:val="002A084B"/>
    <w:rsid w:val="002A54BE"/>
    <w:rsid w:val="002A6BFB"/>
    <w:rsid w:val="002A706E"/>
    <w:rsid w:val="002A7BA7"/>
    <w:rsid w:val="002A7FCD"/>
    <w:rsid w:val="002B7D52"/>
    <w:rsid w:val="002C2FB7"/>
    <w:rsid w:val="002C4DFE"/>
    <w:rsid w:val="002C5DEC"/>
    <w:rsid w:val="002C634F"/>
    <w:rsid w:val="002C6FDB"/>
    <w:rsid w:val="002C7FF4"/>
    <w:rsid w:val="002D0044"/>
    <w:rsid w:val="002D0950"/>
    <w:rsid w:val="002D16B9"/>
    <w:rsid w:val="002D2883"/>
    <w:rsid w:val="002D31F7"/>
    <w:rsid w:val="002D3E60"/>
    <w:rsid w:val="002D46ED"/>
    <w:rsid w:val="002D4ECE"/>
    <w:rsid w:val="002D52CE"/>
    <w:rsid w:val="002D7B47"/>
    <w:rsid w:val="002E0339"/>
    <w:rsid w:val="002E05EC"/>
    <w:rsid w:val="002E09F6"/>
    <w:rsid w:val="002E291E"/>
    <w:rsid w:val="002E6E72"/>
    <w:rsid w:val="002E757C"/>
    <w:rsid w:val="002F39BE"/>
    <w:rsid w:val="002F4534"/>
    <w:rsid w:val="002F56CF"/>
    <w:rsid w:val="002F6C90"/>
    <w:rsid w:val="002F782A"/>
    <w:rsid w:val="002F7856"/>
    <w:rsid w:val="002F7C82"/>
    <w:rsid w:val="00300829"/>
    <w:rsid w:val="0030219C"/>
    <w:rsid w:val="003051ED"/>
    <w:rsid w:val="0030622C"/>
    <w:rsid w:val="00310732"/>
    <w:rsid w:val="00311661"/>
    <w:rsid w:val="00312785"/>
    <w:rsid w:val="00313410"/>
    <w:rsid w:val="0031434B"/>
    <w:rsid w:val="003201BA"/>
    <w:rsid w:val="00320D21"/>
    <w:rsid w:val="00322B00"/>
    <w:rsid w:val="00324B8C"/>
    <w:rsid w:val="00325CE9"/>
    <w:rsid w:val="00326EB6"/>
    <w:rsid w:val="00331780"/>
    <w:rsid w:val="00332FED"/>
    <w:rsid w:val="00333FC9"/>
    <w:rsid w:val="00336777"/>
    <w:rsid w:val="00336B3B"/>
    <w:rsid w:val="0034122B"/>
    <w:rsid w:val="00347D9D"/>
    <w:rsid w:val="00347F62"/>
    <w:rsid w:val="0035011B"/>
    <w:rsid w:val="003511D7"/>
    <w:rsid w:val="0035325C"/>
    <w:rsid w:val="0035562E"/>
    <w:rsid w:val="00355762"/>
    <w:rsid w:val="00355CA0"/>
    <w:rsid w:val="00357B47"/>
    <w:rsid w:val="00357BAB"/>
    <w:rsid w:val="003613F2"/>
    <w:rsid w:val="00362236"/>
    <w:rsid w:val="00364923"/>
    <w:rsid w:val="00365BAD"/>
    <w:rsid w:val="00367442"/>
    <w:rsid w:val="003709B1"/>
    <w:rsid w:val="0037234E"/>
    <w:rsid w:val="0037313E"/>
    <w:rsid w:val="0037450D"/>
    <w:rsid w:val="00376430"/>
    <w:rsid w:val="00376B59"/>
    <w:rsid w:val="0037775A"/>
    <w:rsid w:val="00377991"/>
    <w:rsid w:val="00383615"/>
    <w:rsid w:val="00383BC1"/>
    <w:rsid w:val="00391428"/>
    <w:rsid w:val="00391441"/>
    <w:rsid w:val="00393917"/>
    <w:rsid w:val="00394A50"/>
    <w:rsid w:val="00394DF3"/>
    <w:rsid w:val="003955D8"/>
    <w:rsid w:val="003961BC"/>
    <w:rsid w:val="003961F0"/>
    <w:rsid w:val="0039716D"/>
    <w:rsid w:val="00397931"/>
    <w:rsid w:val="003A3CED"/>
    <w:rsid w:val="003A4EC0"/>
    <w:rsid w:val="003A5E13"/>
    <w:rsid w:val="003A5F1E"/>
    <w:rsid w:val="003A775C"/>
    <w:rsid w:val="003B0EEF"/>
    <w:rsid w:val="003B46E9"/>
    <w:rsid w:val="003B530C"/>
    <w:rsid w:val="003B577D"/>
    <w:rsid w:val="003C4235"/>
    <w:rsid w:val="003C4B49"/>
    <w:rsid w:val="003C6877"/>
    <w:rsid w:val="003C6C30"/>
    <w:rsid w:val="003C72D8"/>
    <w:rsid w:val="003D0903"/>
    <w:rsid w:val="003D093F"/>
    <w:rsid w:val="003D1916"/>
    <w:rsid w:val="003D1CEF"/>
    <w:rsid w:val="003D2562"/>
    <w:rsid w:val="003D27CE"/>
    <w:rsid w:val="003D316E"/>
    <w:rsid w:val="003D370A"/>
    <w:rsid w:val="003D6F92"/>
    <w:rsid w:val="003E117A"/>
    <w:rsid w:val="003E14A9"/>
    <w:rsid w:val="003E19C9"/>
    <w:rsid w:val="003E2524"/>
    <w:rsid w:val="003E2B39"/>
    <w:rsid w:val="003E2CA0"/>
    <w:rsid w:val="003E3019"/>
    <w:rsid w:val="003E4381"/>
    <w:rsid w:val="003E54D7"/>
    <w:rsid w:val="003E7496"/>
    <w:rsid w:val="003E761E"/>
    <w:rsid w:val="003E7C4E"/>
    <w:rsid w:val="003F15D4"/>
    <w:rsid w:val="003F1885"/>
    <w:rsid w:val="003F4B7C"/>
    <w:rsid w:val="003F747F"/>
    <w:rsid w:val="00400887"/>
    <w:rsid w:val="00403500"/>
    <w:rsid w:val="0040435F"/>
    <w:rsid w:val="00404453"/>
    <w:rsid w:val="00405094"/>
    <w:rsid w:val="004064D0"/>
    <w:rsid w:val="00407A62"/>
    <w:rsid w:val="00411BBD"/>
    <w:rsid w:val="00413A45"/>
    <w:rsid w:val="0041441D"/>
    <w:rsid w:val="004150FA"/>
    <w:rsid w:val="00416DF2"/>
    <w:rsid w:val="004200D9"/>
    <w:rsid w:val="00421D33"/>
    <w:rsid w:val="0042536C"/>
    <w:rsid w:val="00425E3B"/>
    <w:rsid w:val="004344B6"/>
    <w:rsid w:val="00434C13"/>
    <w:rsid w:val="004364BB"/>
    <w:rsid w:val="00437780"/>
    <w:rsid w:val="00440F46"/>
    <w:rsid w:val="00442E3C"/>
    <w:rsid w:val="00443458"/>
    <w:rsid w:val="00444D02"/>
    <w:rsid w:val="00444F21"/>
    <w:rsid w:val="004456D5"/>
    <w:rsid w:val="00446F76"/>
    <w:rsid w:val="0044794A"/>
    <w:rsid w:val="00447F20"/>
    <w:rsid w:val="004505F3"/>
    <w:rsid w:val="00454CB2"/>
    <w:rsid w:val="00455B56"/>
    <w:rsid w:val="00456032"/>
    <w:rsid w:val="004603A4"/>
    <w:rsid w:val="0046168C"/>
    <w:rsid w:val="004648CF"/>
    <w:rsid w:val="004667E3"/>
    <w:rsid w:val="00467AD1"/>
    <w:rsid w:val="00471B47"/>
    <w:rsid w:val="004729CA"/>
    <w:rsid w:val="0047444A"/>
    <w:rsid w:val="00474C25"/>
    <w:rsid w:val="00481B3A"/>
    <w:rsid w:val="004848E6"/>
    <w:rsid w:val="00486C50"/>
    <w:rsid w:val="00487C0C"/>
    <w:rsid w:val="004948BB"/>
    <w:rsid w:val="00495E70"/>
    <w:rsid w:val="00496957"/>
    <w:rsid w:val="00497B20"/>
    <w:rsid w:val="004A053C"/>
    <w:rsid w:val="004A1073"/>
    <w:rsid w:val="004A4131"/>
    <w:rsid w:val="004A4692"/>
    <w:rsid w:val="004A6B07"/>
    <w:rsid w:val="004B1DC9"/>
    <w:rsid w:val="004B38E8"/>
    <w:rsid w:val="004B3A04"/>
    <w:rsid w:val="004B6FAA"/>
    <w:rsid w:val="004B7F95"/>
    <w:rsid w:val="004C6264"/>
    <w:rsid w:val="004D364A"/>
    <w:rsid w:val="004D3AE3"/>
    <w:rsid w:val="004D40E1"/>
    <w:rsid w:val="004D51DF"/>
    <w:rsid w:val="004D7CA0"/>
    <w:rsid w:val="004E149A"/>
    <w:rsid w:val="004E273A"/>
    <w:rsid w:val="004E31B2"/>
    <w:rsid w:val="004E33BD"/>
    <w:rsid w:val="004E5F90"/>
    <w:rsid w:val="004E7336"/>
    <w:rsid w:val="0050000C"/>
    <w:rsid w:val="0050184C"/>
    <w:rsid w:val="00504FB0"/>
    <w:rsid w:val="0050777D"/>
    <w:rsid w:val="00510A3B"/>
    <w:rsid w:val="005147B9"/>
    <w:rsid w:val="005153D4"/>
    <w:rsid w:val="00516473"/>
    <w:rsid w:val="0051658A"/>
    <w:rsid w:val="00523019"/>
    <w:rsid w:val="0052349D"/>
    <w:rsid w:val="005239F8"/>
    <w:rsid w:val="00523C22"/>
    <w:rsid w:val="0052750D"/>
    <w:rsid w:val="00527A95"/>
    <w:rsid w:val="00532F48"/>
    <w:rsid w:val="00534C61"/>
    <w:rsid w:val="005357D2"/>
    <w:rsid w:val="0053728C"/>
    <w:rsid w:val="00537482"/>
    <w:rsid w:val="00537B32"/>
    <w:rsid w:val="005414C3"/>
    <w:rsid w:val="005446E5"/>
    <w:rsid w:val="005472B3"/>
    <w:rsid w:val="005479D3"/>
    <w:rsid w:val="00553F83"/>
    <w:rsid w:val="0055420D"/>
    <w:rsid w:val="005574E2"/>
    <w:rsid w:val="00557E58"/>
    <w:rsid w:val="00560A86"/>
    <w:rsid w:val="0056334B"/>
    <w:rsid w:val="00564844"/>
    <w:rsid w:val="00564D29"/>
    <w:rsid w:val="00565678"/>
    <w:rsid w:val="005665BF"/>
    <w:rsid w:val="00567804"/>
    <w:rsid w:val="00567811"/>
    <w:rsid w:val="00567A8B"/>
    <w:rsid w:val="005713FD"/>
    <w:rsid w:val="0057332C"/>
    <w:rsid w:val="005749ED"/>
    <w:rsid w:val="00575C90"/>
    <w:rsid w:val="00575DA9"/>
    <w:rsid w:val="005761C8"/>
    <w:rsid w:val="00576C4B"/>
    <w:rsid w:val="0057782A"/>
    <w:rsid w:val="00577FF1"/>
    <w:rsid w:val="00580F5E"/>
    <w:rsid w:val="005817BF"/>
    <w:rsid w:val="005851F0"/>
    <w:rsid w:val="00586823"/>
    <w:rsid w:val="00587B78"/>
    <w:rsid w:val="00590810"/>
    <w:rsid w:val="00591415"/>
    <w:rsid w:val="005915A3"/>
    <w:rsid w:val="00593915"/>
    <w:rsid w:val="00594408"/>
    <w:rsid w:val="00596B0E"/>
    <w:rsid w:val="005A05E0"/>
    <w:rsid w:val="005A087F"/>
    <w:rsid w:val="005A3280"/>
    <w:rsid w:val="005A560C"/>
    <w:rsid w:val="005A6BA6"/>
    <w:rsid w:val="005B0F27"/>
    <w:rsid w:val="005B2BC3"/>
    <w:rsid w:val="005B4ACD"/>
    <w:rsid w:val="005B7366"/>
    <w:rsid w:val="005B78A1"/>
    <w:rsid w:val="005C06DB"/>
    <w:rsid w:val="005C1398"/>
    <w:rsid w:val="005C37FF"/>
    <w:rsid w:val="005C58CE"/>
    <w:rsid w:val="005D30E8"/>
    <w:rsid w:val="005D5A13"/>
    <w:rsid w:val="005D6CCB"/>
    <w:rsid w:val="005D7108"/>
    <w:rsid w:val="005E17A1"/>
    <w:rsid w:val="005E19CA"/>
    <w:rsid w:val="005E3D79"/>
    <w:rsid w:val="005E582A"/>
    <w:rsid w:val="005E58F3"/>
    <w:rsid w:val="005E71A7"/>
    <w:rsid w:val="005E7450"/>
    <w:rsid w:val="005E7A75"/>
    <w:rsid w:val="005E7E19"/>
    <w:rsid w:val="005F299F"/>
    <w:rsid w:val="005F2C8B"/>
    <w:rsid w:val="005F4371"/>
    <w:rsid w:val="005F74E6"/>
    <w:rsid w:val="006005C9"/>
    <w:rsid w:val="00601120"/>
    <w:rsid w:val="006011A0"/>
    <w:rsid w:val="006027F2"/>
    <w:rsid w:val="00602BD2"/>
    <w:rsid w:val="00604676"/>
    <w:rsid w:val="00604732"/>
    <w:rsid w:val="00606F1F"/>
    <w:rsid w:val="006079D6"/>
    <w:rsid w:val="00613ACE"/>
    <w:rsid w:val="00616AA5"/>
    <w:rsid w:val="00617608"/>
    <w:rsid w:val="006227B1"/>
    <w:rsid w:val="00623F07"/>
    <w:rsid w:val="00631451"/>
    <w:rsid w:val="00633FBD"/>
    <w:rsid w:val="006350FC"/>
    <w:rsid w:val="0063539E"/>
    <w:rsid w:val="00636633"/>
    <w:rsid w:val="00637FE7"/>
    <w:rsid w:val="00643181"/>
    <w:rsid w:val="006450EF"/>
    <w:rsid w:val="00646522"/>
    <w:rsid w:val="00646935"/>
    <w:rsid w:val="00651A45"/>
    <w:rsid w:val="00653D93"/>
    <w:rsid w:val="00656228"/>
    <w:rsid w:val="00662F2B"/>
    <w:rsid w:val="00663E55"/>
    <w:rsid w:val="00665DB6"/>
    <w:rsid w:val="00666D7C"/>
    <w:rsid w:val="00667A2F"/>
    <w:rsid w:val="00670467"/>
    <w:rsid w:val="00671C95"/>
    <w:rsid w:val="00672202"/>
    <w:rsid w:val="00673633"/>
    <w:rsid w:val="00673F6A"/>
    <w:rsid w:val="006746EA"/>
    <w:rsid w:val="006754B1"/>
    <w:rsid w:val="006761C7"/>
    <w:rsid w:val="00676AFB"/>
    <w:rsid w:val="00681D29"/>
    <w:rsid w:val="0068230D"/>
    <w:rsid w:val="00684F1F"/>
    <w:rsid w:val="0068747F"/>
    <w:rsid w:val="00693204"/>
    <w:rsid w:val="006940E6"/>
    <w:rsid w:val="00697505"/>
    <w:rsid w:val="006976A0"/>
    <w:rsid w:val="006A0F06"/>
    <w:rsid w:val="006A302A"/>
    <w:rsid w:val="006A3410"/>
    <w:rsid w:val="006A3768"/>
    <w:rsid w:val="006A468A"/>
    <w:rsid w:val="006A567B"/>
    <w:rsid w:val="006A5F01"/>
    <w:rsid w:val="006A645B"/>
    <w:rsid w:val="006A6599"/>
    <w:rsid w:val="006A71FB"/>
    <w:rsid w:val="006B0238"/>
    <w:rsid w:val="006B07CE"/>
    <w:rsid w:val="006B2A00"/>
    <w:rsid w:val="006B335E"/>
    <w:rsid w:val="006B3AF0"/>
    <w:rsid w:val="006B4637"/>
    <w:rsid w:val="006B4C2C"/>
    <w:rsid w:val="006B500A"/>
    <w:rsid w:val="006B5370"/>
    <w:rsid w:val="006C1A8D"/>
    <w:rsid w:val="006C5352"/>
    <w:rsid w:val="006C6C6F"/>
    <w:rsid w:val="006D056D"/>
    <w:rsid w:val="006D15EA"/>
    <w:rsid w:val="006D407D"/>
    <w:rsid w:val="006D7669"/>
    <w:rsid w:val="006D79CC"/>
    <w:rsid w:val="006E214B"/>
    <w:rsid w:val="006E2AD1"/>
    <w:rsid w:val="006E4693"/>
    <w:rsid w:val="006E4DC0"/>
    <w:rsid w:val="006E772F"/>
    <w:rsid w:val="006F104B"/>
    <w:rsid w:val="006F62BC"/>
    <w:rsid w:val="006F6DDE"/>
    <w:rsid w:val="006F795B"/>
    <w:rsid w:val="00705165"/>
    <w:rsid w:val="00707267"/>
    <w:rsid w:val="007107EB"/>
    <w:rsid w:val="007117F6"/>
    <w:rsid w:val="007136F4"/>
    <w:rsid w:val="0071371D"/>
    <w:rsid w:val="00720774"/>
    <w:rsid w:val="00722729"/>
    <w:rsid w:val="007267FA"/>
    <w:rsid w:val="00730D37"/>
    <w:rsid w:val="00732236"/>
    <w:rsid w:val="00733F81"/>
    <w:rsid w:val="007365A6"/>
    <w:rsid w:val="00740275"/>
    <w:rsid w:val="00741905"/>
    <w:rsid w:val="0074290B"/>
    <w:rsid w:val="00743C83"/>
    <w:rsid w:val="0075096F"/>
    <w:rsid w:val="00750EEB"/>
    <w:rsid w:val="00751BE0"/>
    <w:rsid w:val="00752443"/>
    <w:rsid w:val="00755DC7"/>
    <w:rsid w:val="00756AB3"/>
    <w:rsid w:val="00757CC7"/>
    <w:rsid w:val="0076008B"/>
    <w:rsid w:val="007607F9"/>
    <w:rsid w:val="0076192C"/>
    <w:rsid w:val="00762D44"/>
    <w:rsid w:val="007655E9"/>
    <w:rsid w:val="00765720"/>
    <w:rsid w:val="00767812"/>
    <w:rsid w:val="0077039F"/>
    <w:rsid w:val="00772756"/>
    <w:rsid w:val="00772CAF"/>
    <w:rsid w:val="00774809"/>
    <w:rsid w:val="00775877"/>
    <w:rsid w:val="00776346"/>
    <w:rsid w:val="00783757"/>
    <w:rsid w:val="00784EEB"/>
    <w:rsid w:val="00790A1D"/>
    <w:rsid w:val="00796FF4"/>
    <w:rsid w:val="007A1453"/>
    <w:rsid w:val="007A532F"/>
    <w:rsid w:val="007A6E50"/>
    <w:rsid w:val="007A6F3F"/>
    <w:rsid w:val="007B3282"/>
    <w:rsid w:val="007B431A"/>
    <w:rsid w:val="007B57B4"/>
    <w:rsid w:val="007B5B40"/>
    <w:rsid w:val="007B6EFC"/>
    <w:rsid w:val="007C00E2"/>
    <w:rsid w:val="007C01CC"/>
    <w:rsid w:val="007C17E8"/>
    <w:rsid w:val="007C1F83"/>
    <w:rsid w:val="007C4221"/>
    <w:rsid w:val="007C46B7"/>
    <w:rsid w:val="007D2D3B"/>
    <w:rsid w:val="007D4A5B"/>
    <w:rsid w:val="007D60F4"/>
    <w:rsid w:val="007D69B0"/>
    <w:rsid w:val="007D715B"/>
    <w:rsid w:val="007E139A"/>
    <w:rsid w:val="007E222D"/>
    <w:rsid w:val="007E3691"/>
    <w:rsid w:val="007E431D"/>
    <w:rsid w:val="007E7057"/>
    <w:rsid w:val="007F1B4F"/>
    <w:rsid w:val="007F2961"/>
    <w:rsid w:val="007F3857"/>
    <w:rsid w:val="007F4783"/>
    <w:rsid w:val="007F4B8E"/>
    <w:rsid w:val="007F5205"/>
    <w:rsid w:val="007F7C0A"/>
    <w:rsid w:val="00801B20"/>
    <w:rsid w:val="00802799"/>
    <w:rsid w:val="00803AC4"/>
    <w:rsid w:val="0081063E"/>
    <w:rsid w:val="00811364"/>
    <w:rsid w:val="00812F32"/>
    <w:rsid w:val="00813BE0"/>
    <w:rsid w:val="008145B8"/>
    <w:rsid w:val="008160EF"/>
    <w:rsid w:val="008177F7"/>
    <w:rsid w:val="00817CA0"/>
    <w:rsid w:val="00821C2B"/>
    <w:rsid w:val="00821C8E"/>
    <w:rsid w:val="008260B0"/>
    <w:rsid w:val="00830D5D"/>
    <w:rsid w:val="008355B1"/>
    <w:rsid w:val="00836018"/>
    <w:rsid w:val="00840E01"/>
    <w:rsid w:val="00840F9E"/>
    <w:rsid w:val="00841DF3"/>
    <w:rsid w:val="0084351C"/>
    <w:rsid w:val="00844EC6"/>
    <w:rsid w:val="008458A5"/>
    <w:rsid w:val="00846AE9"/>
    <w:rsid w:val="008513DE"/>
    <w:rsid w:val="00853357"/>
    <w:rsid w:val="008544D1"/>
    <w:rsid w:val="008561B0"/>
    <w:rsid w:val="00856856"/>
    <w:rsid w:val="00857077"/>
    <w:rsid w:val="00860556"/>
    <w:rsid w:val="00861C49"/>
    <w:rsid w:val="00863516"/>
    <w:rsid w:val="00864DEA"/>
    <w:rsid w:val="00866C23"/>
    <w:rsid w:val="00870D1F"/>
    <w:rsid w:val="0087442A"/>
    <w:rsid w:val="00880317"/>
    <w:rsid w:val="00882FDC"/>
    <w:rsid w:val="00884328"/>
    <w:rsid w:val="00884781"/>
    <w:rsid w:val="0088489B"/>
    <w:rsid w:val="00885476"/>
    <w:rsid w:val="00890F87"/>
    <w:rsid w:val="00892135"/>
    <w:rsid w:val="00894CE1"/>
    <w:rsid w:val="008951B8"/>
    <w:rsid w:val="008959B2"/>
    <w:rsid w:val="0089659E"/>
    <w:rsid w:val="00896617"/>
    <w:rsid w:val="00897DF9"/>
    <w:rsid w:val="008A0E2C"/>
    <w:rsid w:val="008A11DA"/>
    <w:rsid w:val="008A132B"/>
    <w:rsid w:val="008A19F5"/>
    <w:rsid w:val="008A3A6F"/>
    <w:rsid w:val="008A3AC8"/>
    <w:rsid w:val="008A41A0"/>
    <w:rsid w:val="008B3569"/>
    <w:rsid w:val="008B3E57"/>
    <w:rsid w:val="008B4290"/>
    <w:rsid w:val="008B50C8"/>
    <w:rsid w:val="008B5360"/>
    <w:rsid w:val="008B6094"/>
    <w:rsid w:val="008B680D"/>
    <w:rsid w:val="008B6CDB"/>
    <w:rsid w:val="008C10E8"/>
    <w:rsid w:val="008C1FC6"/>
    <w:rsid w:val="008C51ED"/>
    <w:rsid w:val="008C5F61"/>
    <w:rsid w:val="008C6109"/>
    <w:rsid w:val="008C6D5A"/>
    <w:rsid w:val="008C7022"/>
    <w:rsid w:val="008D43FD"/>
    <w:rsid w:val="008E01B6"/>
    <w:rsid w:val="008E402C"/>
    <w:rsid w:val="008E5ABD"/>
    <w:rsid w:val="008E7613"/>
    <w:rsid w:val="008F43A1"/>
    <w:rsid w:val="008F46D1"/>
    <w:rsid w:val="008F5728"/>
    <w:rsid w:val="008F5F95"/>
    <w:rsid w:val="008F6790"/>
    <w:rsid w:val="0090041A"/>
    <w:rsid w:val="009004DD"/>
    <w:rsid w:val="00900C59"/>
    <w:rsid w:val="0090577D"/>
    <w:rsid w:val="00905F8E"/>
    <w:rsid w:val="00907E84"/>
    <w:rsid w:val="00911895"/>
    <w:rsid w:val="00911E3E"/>
    <w:rsid w:val="0091589E"/>
    <w:rsid w:val="00916A41"/>
    <w:rsid w:val="0091756D"/>
    <w:rsid w:val="00920646"/>
    <w:rsid w:val="009207B5"/>
    <w:rsid w:val="00923DB0"/>
    <w:rsid w:val="009251F5"/>
    <w:rsid w:val="00927198"/>
    <w:rsid w:val="009304B8"/>
    <w:rsid w:val="00932A95"/>
    <w:rsid w:val="00942027"/>
    <w:rsid w:val="009433EF"/>
    <w:rsid w:val="0094343A"/>
    <w:rsid w:val="009453D3"/>
    <w:rsid w:val="00947909"/>
    <w:rsid w:val="00947F79"/>
    <w:rsid w:val="00950AA8"/>
    <w:rsid w:val="00955F58"/>
    <w:rsid w:val="0095694C"/>
    <w:rsid w:val="00957CDA"/>
    <w:rsid w:val="009605A2"/>
    <w:rsid w:val="00961A40"/>
    <w:rsid w:val="00965EA6"/>
    <w:rsid w:val="00970899"/>
    <w:rsid w:val="00971979"/>
    <w:rsid w:val="00972174"/>
    <w:rsid w:val="00972959"/>
    <w:rsid w:val="00973D14"/>
    <w:rsid w:val="00975751"/>
    <w:rsid w:val="00976315"/>
    <w:rsid w:val="00981275"/>
    <w:rsid w:val="00981AD3"/>
    <w:rsid w:val="0098488F"/>
    <w:rsid w:val="0099370B"/>
    <w:rsid w:val="00993E69"/>
    <w:rsid w:val="009A4F1F"/>
    <w:rsid w:val="009A5773"/>
    <w:rsid w:val="009B1264"/>
    <w:rsid w:val="009B14DA"/>
    <w:rsid w:val="009B4DAA"/>
    <w:rsid w:val="009B5AEA"/>
    <w:rsid w:val="009B6C59"/>
    <w:rsid w:val="009B72F6"/>
    <w:rsid w:val="009C0820"/>
    <w:rsid w:val="009C163C"/>
    <w:rsid w:val="009C1F79"/>
    <w:rsid w:val="009C5501"/>
    <w:rsid w:val="009D1E16"/>
    <w:rsid w:val="009D28F7"/>
    <w:rsid w:val="009D3787"/>
    <w:rsid w:val="009D3AF2"/>
    <w:rsid w:val="009D4671"/>
    <w:rsid w:val="009D4CF8"/>
    <w:rsid w:val="009D620C"/>
    <w:rsid w:val="009D72CC"/>
    <w:rsid w:val="009D73D8"/>
    <w:rsid w:val="009D7AC5"/>
    <w:rsid w:val="009E0903"/>
    <w:rsid w:val="009E1C6A"/>
    <w:rsid w:val="009E1EDB"/>
    <w:rsid w:val="009E4078"/>
    <w:rsid w:val="009E51BE"/>
    <w:rsid w:val="009E6A7F"/>
    <w:rsid w:val="009E6CF3"/>
    <w:rsid w:val="009F3A9E"/>
    <w:rsid w:val="009F55D6"/>
    <w:rsid w:val="009F68DC"/>
    <w:rsid w:val="00A014D2"/>
    <w:rsid w:val="00A04E56"/>
    <w:rsid w:val="00A04FA9"/>
    <w:rsid w:val="00A06211"/>
    <w:rsid w:val="00A06434"/>
    <w:rsid w:val="00A06A11"/>
    <w:rsid w:val="00A072F2"/>
    <w:rsid w:val="00A0731B"/>
    <w:rsid w:val="00A12307"/>
    <w:rsid w:val="00A13283"/>
    <w:rsid w:val="00A14217"/>
    <w:rsid w:val="00A14EB0"/>
    <w:rsid w:val="00A159B6"/>
    <w:rsid w:val="00A15D90"/>
    <w:rsid w:val="00A218FC"/>
    <w:rsid w:val="00A23FCD"/>
    <w:rsid w:val="00A24FB8"/>
    <w:rsid w:val="00A32163"/>
    <w:rsid w:val="00A3469B"/>
    <w:rsid w:val="00A35739"/>
    <w:rsid w:val="00A36F79"/>
    <w:rsid w:val="00A379CE"/>
    <w:rsid w:val="00A41232"/>
    <w:rsid w:val="00A4483E"/>
    <w:rsid w:val="00A44ADA"/>
    <w:rsid w:val="00A462D4"/>
    <w:rsid w:val="00A5053C"/>
    <w:rsid w:val="00A521F6"/>
    <w:rsid w:val="00A52204"/>
    <w:rsid w:val="00A52578"/>
    <w:rsid w:val="00A56E53"/>
    <w:rsid w:val="00A57B60"/>
    <w:rsid w:val="00A60B38"/>
    <w:rsid w:val="00A62783"/>
    <w:rsid w:val="00A63ADA"/>
    <w:rsid w:val="00A65AC7"/>
    <w:rsid w:val="00A67679"/>
    <w:rsid w:val="00A71D37"/>
    <w:rsid w:val="00A72CA1"/>
    <w:rsid w:val="00A72CE8"/>
    <w:rsid w:val="00A7510C"/>
    <w:rsid w:val="00A754A8"/>
    <w:rsid w:val="00A77149"/>
    <w:rsid w:val="00A77719"/>
    <w:rsid w:val="00A801EC"/>
    <w:rsid w:val="00A82002"/>
    <w:rsid w:val="00A833F0"/>
    <w:rsid w:val="00A85E06"/>
    <w:rsid w:val="00A90200"/>
    <w:rsid w:val="00A902FD"/>
    <w:rsid w:val="00A931B4"/>
    <w:rsid w:val="00A96490"/>
    <w:rsid w:val="00A96979"/>
    <w:rsid w:val="00AA033A"/>
    <w:rsid w:val="00AA0BDB"/>
    <w:rsid w:val="00AA0ED4"/>
    <w:rsid w:val="00AA19D0"/>
    <w:rsid w:val="00AA2A65"/>
    <w:rsid w:val="00AA2C95"/>
    <w:rsid w:val="00AA5394"/>
    <w:rsid w:val="00AA6B1E"/>
    <w:rsid w:val="00AB413D"/>
    <w:rsid w:val="00AB4496"/>
    <w:rsid w:val="00AB4F35"/>
    <w:rsid w:val="00AB4FD9"/>
    <w:rsid w:val="00AB5C49"/>
    <w:rsid w:val="00AB611F"/>
    <w:rsid w:val="00AB64C2"/>
    <w:rsid w:val="00AB70E6"/>
    <w:rsid w:val="00AB7D2B"/>
    <w:rsid w:val="00AB7FC7"/>
    <w:rsid w:val="00AC0095"/>
    <w:rsid w:val="00AC675D"/>
    <w:rsid w:val="00AC7DA3"/>
    <w:rsid w:val="00AD094A"/>
    <w:rsid w:val="00AD0ED5"/>
    <w:rsid w:val="00AD6A37"/>
    <w:rsid w:val="00AE0EDB"/>
    <w:rsid w:val="00AE1374"/>
    <w:rsid w:val="00AE1B0B"/>
    <w:rsid w:val="00AE1F77"/>
    <w:rsid w:val="00AE1F93"/>
    <w:rsid w:val="00AE4C9E"/>
    <w:rsid w:val="00AE54E2"/>
    <w:rsid w:val="00AE6320"/>
    <w:rsid w:val="00AF02CC"/>
    <w:rsid w:val="00AF18AD"/>
    <w:rsid w:val="00AF1DDA"/>
    <w:rsid w:val="00AF2181"/>
    <w:rsid w:val="00AF26BF"/>
    <w:rsid w:val="00AF70D8"/>
    <w:rsid w:val="00AF7D07"/>
    <w:rsid w:val="00AF7F9A"/>
    <w:rsid w:val="00B001C6"/>
    <w:rsid w:val="00B03357"/>
    <w:rsid w:val="00B03598"/>
    <w:rsid w:val="00B03EDB"/>
    <w:rsid w:val="00B0456C"/>
    <w:rsid w:val="00B048BB"/>
    <w:rsid w:val="00B05251"/>
    <w:rsid w:val="00B058EE"/>
    <w:rsid w:val="00B06DC9"/>
    <w:rsid w:val="00B0744D"/>
    <w:rsid w:val="00B112D2"/>
    <w:rsid w:val="00B11A4B"/>
    <w:rsid w:val="00B122BB"/>
    <w:rsid w:val="00B12FC0"/>
    <w:rsid w:val="00B151C2"/>
    <w:rsid w:val="00B16A67"/>
    <w:rsid w:val="00B177BA"/>
    <w:rsid w:val="00B20852"/>
    <w:rsid w:val="00B20A11"/>
    <w:rsid w:val="00B20CDB"/>
    <w:rsid w:val="00B22C5D"/>
    <w:rsid w:val="00B26F22"/>
    <w:rsid w:val="00B306E6"/>
    <w:rsid w:val="00B32C2E"/>
    <w:rsid w:val="00B34BA8"/>
    <w:rsid w:val="00B35B0F"/>
    <w:rsid w:val="00B4648E"/>
    <w:rsid w:val="00B47276"/>
    <w:rsid w:val="00B563E0"/>
    <w:rsid w:val="00B56726"/>
    <w:rsid w:val="00B60406"/>
    <w:rsid w:val="00B62747"/>
    <w:rsid w:val="00B645DA"/>
    <w:rsid w:val="00B708DC"/>
    <w:rsid w:val="00B73D76"/>
    <w:rsid w:val="00B74F86"/>
    <w:rsid w:val="00B760E5"/>
    <w:rsid w:val="00B768BC"/>
    <w:rsid w:val="00B818CB"/>
    <w:rsid w:val="00B83B29"/>
    <w:rsid w:val="00B873FF"/>
    <w:rsid w:val="00B94DC5"/>
    <w:rsid w:val="00B95B9C"/>
    <w:rsid w:val="00BA10D8"/>
    <w:rsid w:val="00BA2AEB"/>
    <w:rsid w:val="00BA7944"/>
    <w:rsid w:val="00BA7E7A"/>
    <w:rsid w:val="00BB12D5"/>
    <w:rsid w:val="00BB1D9B"/>
    <w:rsid w:val="00BB602E"/>
    <w:rsid w:val="00BB6863"/>
    <w:rsid w:val="00BC064F"/>
    <w:rsid w:val="00BC18FA"/>
    <w:rsid w:val="00BC461C"/>
    <w:rsid w:val="00BC4A20"/>
    <w:rsid w:val="00BD12BA"/>
    <w:rsid w:val="00BD2A4B"/>
    <w:rsid w:val="00BD3331"/>
    <w:rsid w:val="00BD3A56"/>
    <w:rsid w:val="00BD40AF"/>
    <w:rsid w:val="00BD587E"/>
    <w:rsid w:val="00BD7061"/>
    <w:rsid w:val="00BE0055"/>
    <w:rsid w:val="00BE1C3B"/>
    <w:rsid w:val="00BE31E3"/>
    <w:rsid w:val="00BE34D3"/>
    <w:rsid w:val="00BE7EE3"/>
    <w:rsid w:val="00BF0817"/>
    <w:rsid w:val="00BF0C17"/>
    <w:rsid w:val="00BF12D5"/>
    <w:rsid w:val="00BF3215"/>
    <w:rsid w:val="00BF477D"/>
    <w:rsid w:val="00BF49E2"/>
    <w:rsid w:val="00BF610D"/>
    <w:rsid w:val="00BF6EFE"/>
    <w:rsid w:val="00C0142F"/>
    <w:rsid w:val="00C015BE"/>
    <w:rsid w:val="00C0319E"/>
    <w:rsid w:val="00C04934"/>
    <w:rsid w:val="00C07C8B"/>
    <w:rsid w:val="00C10099"/>
    <w:rsid w:val="00C107BE"/>
    <w:rsid w:val="00C11D96"/>
    <w:rsid w:val="00C129F3"/>
    <w:rsid w:val="00C14D54"/>
    <w:rsid w:val="00C163A4"/>
    <w:rsid w:val="00C178AC"/>
    <w:rsid w:val="00C2774D"/>
    <w:rsid w:val="00C302E5"/>
    <w:rsid w:val="00C3268E"/>
    <w:rsid w:val="00C34DCA"/>
    <w:rsid w:val="00C3501C"/>
    <w:rsid w:val="00C37D96"/>
    <w:rsid w:val="00C41D52"/>
    <w:rsid w:val="00C44DA7"/>
    <w:rsid w:val="00C44F5A"/>
    <w:rsid w:val="00C47317"/>
    <w:rsid w:val="00C509CB"/>
    <w:rsid w:val="00C51363"/>
    <w:rsid w:val="00C54FBB"/>
    <w:rsid w:val="00C55175"/>
    <w:rsid w:val="00C56B00"/>
    <w:rsid w:val="00C57276"/>
    <w:rsid w:val="00C5749B"/>
    <w:rsid w:val="00C5749C"/>
    <w:rsid w:val="00C62C8F"/>
    <w:rsid w:val="00C62CA5"/>
    <w:rsid w:val="00C66485"/>
    <w:rsid w:val="00C66804"/>
    <w:rsid w:val="00C7061F"/>
    <w:rsid w:val="00C70C28"/>
    <w:rsid w:val="00C71C6D"/>
    <w:rsid w:val="00C73AAF"/>
    <w:rsid w:val="00C743EE"/>
    <w:rsid w:val="00C74ECB"/>
    <w:rsid w:val="00C76E0D"/>
    <w:rsid w:val="00C80370"/>
    <w:rsid w:val="00C81310"/>
    <w:rsid w:val="00C84744"/>
    <w:rsid w:val="00C84EC7"/>
    <w:rsid w:val="00C91489"/>
    <w:rsid w:val="00C931F4"/>
    <w:rsid w:val="00C936A4"/>
    <w:rsid w:val="00C9641F"/>
    <w:rsid w:val="00C96C89"/>
    <w:rsid w:val="00C97513"/>
    <w:rsid w:val="00C978F9"/>
    <w:rsid w:val="00C97A1F"/>
    <w:rsid w:val="00C97B81"/>
    <w:rsid w:val="00CA14DB"/>
    <w:rsid w:val="00CA2B79"/>
    <w:rsid w:val="00CA2EE2"/>
    <w:rsid w:val="00CA37FF"/>
    <w:rsid w:val="00CA6AF9"/>
    <w:rsid w:val="00CB09C0"/>
    <w:rsid w:val="00CB1335"/>
    <w:rsid w:val="00CB2145"/>
    <w:rsid w:val="00CB5F17"/>
    <w:rsid w:val="00CB6325"/>
    <w:rsid w:val="00CC05D1"/>
    <w:rsid w:val="00CC1091"/>
    <w:rsid w:val="00CC12CF"/>
    <w:rsid w:val="00CC2401"/>
    <w:rsid w:val="00CC45ED"/>
    <w:rsid w:val="00CC4894"/>
    <w:rsid w:val="00CC6968"/>
    <w:rsid w:val="00CC7681"/>
    <w:rsid w:val="00CD301A"/>
    <w:rsid w:val="00CD3320"/>
    <w:rsid w:val="00CD468D"/>
    <w:rsid w:val="00CD47E6"/>
    <w:rsid w:val="00CD4996"/>
    <w:rsid w:val="00CD52F6"/>
    <w:rsid w:val="00CD7620"/>
    <w:rsid w:val="00CE1FCF"/>
    <w:rsid w:val="00CE33FF"/>
    <w:rsid w:val="00CE55AD"/>
    <w:rsid w:val="00CE6E69"/>
    <w:rsid w:val="00CF0CE7"/>
    <w:rsid w:val="00CF1965"/>
    <w:rsid w:val="00CF2C9C"/>
    <w:rsid w:val="00CF35BC"/>
    <w:rsid w:val="00CF6D01"/>
    <w:rsid w:val="00CF7B91"/>
    <w:rsid w:val="00D02339"/>
    <w:rsid w:val="00D02AF3"/>
    <w:rsid w:val="00D06C27"/>
    <w:rsid w:val="00D12200"/>
    <w:rsid w:val="00D1474F"/>
    <w:rsid w:val="00D15C35"/>
    <w:rsid w:val="00D1618F"/>
    <w:rsid w:val="00D20C60"/>
    <w:rsid w:val="00D229B1"/>
    <w:rsid w:val="00D25521"/>
    <w:rsid w:val="00D27EFA"/>
    <w:rsid w:val="00D303ED"/>
    <w:rsid w:val="00D319D7"/>
    <w:rsid w:val="00D327E6"/>
    <w:rsid w:val="00D40202"/>
    <w:rsid w:val="00D40C4E"/>
    <w:rsid w:val="00D40D4F"/>
    <w:rsid w:val="00D441CA"/>
    <w:rsid w:val="00D44C3C"/>
    <w:rsid w:val="00D452DD"/>
    <w:rsid w:val="00D475C1"/>
    <w:rsid w:val="00D51BE1"/>
    <w:rsid w:val="00D51E6F"/>
    <w:rsid w:val="00D526A9"/>
    <w:rsid w:val="00D54836"/>
    <w:rsid w:val="00D6098A"/>
    <w:rsid w:val="00D617EA"/>
    <w:rsid w:val="00D62E2B"/>
    <w:rsid w:val="00D64E67"/>
    <w:rsid w:val="00D65397"/>
    <w:rsid w:val="00D65C92"/>
    <w:rsid w:val="00D74694"/>
    <w:rsid w:val="00D80D3E"/>
    <w:rsid w:val="00D84CAC"/>
    <w:rsid w:val="00D85D9A"/>
    <w:rsid w:val="00D863A5"/>
    <w:rsid w:val="00D868F3"/>
    <w:rsid w:val="00D87208"/>
    <w:rsid w:val="00D90574"/>
    <w:rsid w:val="00D93E5F"/>
    <w:rsid w:val="00D95485"/>
    <w:rsid w:val="00D96336"/>
    <w:rsid w:val="00D97450"/>
    <w:rsid w:val="00D97D4E"/>
    <w:rsid w:val="00DA000E"/>
    <w:rsid w:val="00DA015B"/>
    <w:rsid w:val="00DA0A7D"/>
    <w:rsid w:val="00DA0CAC"/>
    <w:rsid w:val="00DA24C9"/>
    <w:rsid w:val="00DA3069"/>
    <w:rsid w:val="00DA439C"/>
    <w:rsid w:val="00DA4C28"/>
    <w:rsid w:val="00DA55D1"/>
    <w:rsid w:val="00DB29DE"/>
    <w:rsid w:val="00DB3774"/>
    <w:rsid w:val="00DB5BCD"/>
    <w:rsid w:val="00DC02F6"/>
    <w:rsid w:val="00DC134A"/>
    <w:rsid w:val="00DC13FF"/>
    <w:rsid w:val="00DC15B6"/>
    <w:rsid w:val="00DC578B"/>
    <w:rsid w:val="00DC5F35"/>
    <w:rsid w:val="00DD14CA"/>
    <w:rsid w:val="00DD14F3"/>
    <w:rsid w:val="00DD58F6"/>
    <w:rsid w:val="00DD7215"/>
    <w:rsid w:val="00DE16D5"/>
    <w:rsid w:val="00DE1C70"/>
    <w:rsid w:val="00DE1F44"/>
    <w:rsid w:val="00DE3B81"/>
    <w:rsid w:val="00DE4629"/>
    <w:rsid w:val="00DF419C"/>
    <w:rsid w:val="00DF4493"/>
    <w:rsid w:val="00DF4D2E"/>
    <w:rsid w:val="00DF4EC9"/>
    <w:rsid w:val="00DF53B2"/>
    <w:rsid w:val="00DF7184"/>
    <w:rsid w:val="00DF71BA"/>
    <w:rsid w:val="00E02604"/>
    <w:rsid w:val="00E12C0C"/>
    <w:rsid w:val="00E12C2C"/>
    <w:rsid w:val="00E13397"/>
    <w:rsid w:val="00E14110"/>
    <w:rsid w:val="00E1591B"/>
    <w:rsid w:val="00E17576"/>
    <w:rsid w:val="00E2482A"/>
    <w:rsid w:val="00E24A8B"/>
    <w:rsid w:val="00E24D90"/>
    <w:rsid w:val="00E272ED"/>
    <w:rsid w:val="00E2796D"/>
    <w:rsid w:val="00E27C5B"/>
    <w:rsid w:val="00E30446"/>
    <w:rsid w:val="00E30FC2"/>
    <w:rsid w:val="00E31207"/>
    <w:rsid w:val="00E31DD1"/>
    <w:rsid w:val="00E32696"/>
    <w:rsid w:val="00E32D62"/>
    <w:rsid w:val="00E32F5A"/>
    <w:rsid w:val="00E3627F"/>
    <w:rsid w:val="00E36CB9"/>
    <w:rsid w:val="00E40C18"/>
    <w:rsid w:val="00E41682"/>
    <w:rsid w:val="00E42D6B"/>
    <w:rsid w:val="00E430E6"/>
    <w:rsid w:val="00E4363E"/>
    <w:rsid w:val="00E43B21"/>
    <w:rsid w:val="00E44459"/>
    <w:rsid w:val="00E470D1"/>
    <w:rsid w:val="00E514B5"/>
    <w:rsid w:val="00E518B9"/>
    <w:rsid w:val="00E54771"/>
    <w:rsid w:val="00E568D1"/>
    <w:rsid w:val="00E57881"/>
    <w:rsid w:val="00E57C33"/>
    <w:rsid w:val="00E62F9F"/>
    <w:rsid w:val="00E704F1"/>
    <w:rsid w:val="00E70AAD"/>
    <w:rsid w:val="00E7128A"/>
    <w:rsid w:val="00E71D43"/>
    <w:rsid w:val="00E73C7E"/>
    <w:rsid w:val="00E77017"/>
    <w:rsid w:val="00E80E53"/>
    <w:rsid w:val="00E82E37"/>
    <w:rsid w:val="00E83180"/>
    <w:rsid w:val="00E867D3"/>
    <w:rsid w:val="00E873C8"/>
    <w:rsid w:val="00E9455F"/>
    <w:rsid w:val="00E967E4"/>
    <w:rsid w:val="00E97CAB"/>
    <w:rsid w:val="00E97D66"/>
    <w:rsid w:val="00EA1F60"/>
    <w:rsid w:val="00EA2F0E"/>
    <w:rsid w:val="00EA336C"/>
    <w:rsid w:val="00EA4FCB"/>
    <w:rsid w:val="00EA659D"/>
    <w:rsid w:val="00EA69C9"/>
    <w:rsid w:val="00EA78CB"/>
    <w:rsid w:val="00EB0057"/>
    <w:rsid w:val="00EB119E"/>
    <w:rsid w:val="00EB1E23"/>
    <w:rsid w:val="00EB3695"/>
    <w:rsid w:val="00EB4FAB"/>
    <w:rsid w:val="00EB518F"/>
    <w:rsid w:val="00EB6CAF"/>
    <w:rsid w:val="00EC0B92"/>
    <w:rsid w:val="00EC1AB9"/>
    <w:rsid w:val="00EC1FC5"/>
    <w:rsid w:val="00EC3997"/>
    <w:rsid w:val="00EC4DE7"/>
    <w:rsid w:val="00ED0B94"/>
    <w:rsid w:val="00ED0E05"/>
    <w:rsid w:val="00ED5CE9"/>
    <w:rsid w:val="00ED7CAF"/>
    <w:rsid w:val="00EE24D1"/>
    <w:rsid w:val="00EE2BDF"/>
    <w:rsid w:val="00EE3569"/>
    <w:rsid w:val="00EE37C3"/>
    <w:rsid w:val="00EE62A9"/>
    <w:rsid w:val="00EF1613"/>
    <w:rsid w:val="00EF3562"/>
    <w:rsid w:val="00EF3AB2"/>
    <w:rsid w:val="00EF5C6A"/>
    <w:rsid w:val="00EF6D3D"/>
    <w:rsid w:val="00F0560D"/>
    <w:rsid w:val="00F05731"/>
    <w:rsid w:val="00F06AF1"/>
    <w:rsid w:val="00F10BCC"/>
    <w:rsid w:val="00F13EE7"/>
    <w:rsid w:val="00F14614"/>
    <w:rsid w:val="00F27CC8"/>
    <w:rsid w:val="00F30BA4"/>
    <w:rsid w:val="00F30E9E"/>
    <w:rsid w:val="00F31313"/>
    <w:rsid w:val="00F31BA6"/>
    <w:rsid w:val="00F32E87"/>
    <w:rsid w:val="00F332F5"/>
    <w:rsid w:val="00F34786"/>
    <w:rsid w:val="00F34E2A"/>
    <w:rsid w:val="00F35BAD"/>
    <w:rsid w:val="00F366F9"/>
    <w:rsid w:val="00F40DCD"/>
    <w:rsid w:val="00F420D4"/>
    <w:rsid w:val="00F421E8"/>
    <w:rsid w:val="00F42DC2"/>
    <w:rsid w:val="00F43B11"/>
    <w:rsid w:val="00F46DC4"/>
    <w:rsid w:val="00F478BF"/>
    <w:rsid w:val="00F47F12"/>
    <w:rsid w:val="00F47FE8"/>
    <w:rsid w:val="00F5076A"/>
    <w:rsid w:val="00F520CA"/>
    <w:rsid w:val="00F55EA8"/>
    <w:rsid w:val="00F57D56"/>
    <w:rsid w:val="00F666CC"/>
    <w:rsid w:val="00F671E9"/>
    <w:rsid w:val="00F67E2A"/>
    <w:rsid w:val="00F70473"/>
    <w:rsid w:val="00F732A4"/>
    <w:rsid w:val="00F74F71"/>
    <w:rsid w:val="00F800DD"/>
    <w:rsid w:val="00F82963"/>
    <w:rsid w:val="00F83993"/>
    <w:rsid w:val="00F868EC"/>
    <w:rsid w:val="00F901D3"/>
    <w:rsid w:val="00F90613"/>
    <w:rsid w:val="00F91CF5"/>
    <w:rsid w:val="00F93654"/>
    <w:rsid w:val="00F96CFF"/>
    <w:rsid w:val="00FA10FE"/>
    <w:rsid w:val="00FA2A73"/>
    <w:rsid w:val="00FA4CA9"/>
    <w:rsid w:val="00FA5613"/>
    <w:rsid w:val="00FA57E7"/>
    <w:rsid w:val="00FA7729"/>
    <w:rsid w:val="00FA7B11"/>
    <w:rsid w:val="00FA7BD4"/>
    <w:rsid w:val="00FB1570"/>
    <w:rsid w:val="00FB246C"/>
    <w:rsid w:val="00FB450F"/>
    <w:rsid w:val="00FB4E6A"/>
    <w:rsid w:val="00FC1675"/>
    <w:rsid w:val="00FD38B7"/>
    <w:rsid w:val="00FD4982"/>
    <w:rsid w:val="00FD6A58"/>
    <w:rsid w:val="00FE07C4"/>
    <w:rsid w:val="00FE0812"/>
    <w:rsid w:val="00FE0E2D"/>
    <w:rsid w:val="00FE0EBD"/>
    <w:rsid w:val="00FE1C10"/>
    <w:rsid w:val="00FE1F7C"/>
    <w:rsid w:val="00FE310F"/>
    <w:rsid w:val="00FE3433"/>
    <w:rsid w:val="00FE3688"/>
    <w:rsid w:val="00FE3BF3"/>
    <w:rsid w:val="00FE55D7"/>
    <w:rsid w:val="00FE6018"/>
    <w:rsid w:val="00FE65A6"/>
    <w:rsid w:val="00FE74D5"/>
    <w:rsid w:val="00FF1DE6"/>
    <w:rsid w:val="00FF407C"/>
    <w:rsid w:val="00FF5820"/>
    <w:rsid w:val="00FF72AC"/>
    <w:rsid w:val="00FF74F2"/>
    <w:rsid w:val="00FF7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2">
    <w:name w:val="heading 2"/>
    <w:basedOn w:val="Normal"/>
    <w:next w:val="Normal"/>
    <w:link w:val="Heading2Char"/>
    <w:unhideWhenUsed/>
    <w:qFormat/>
    <w:rsid w:val="007B32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paragraph" w:styleId="Heading4">
    <w:name w:val="heading 4"/>
    <w:basedOn w:val="Heading2"/>
    <w:next w:val="Normal"/>
    <w:link w:val="Heading4Char"/>
    <w:uiPriority w:val="9"/>
    <w:unhideWhenUsed/>
    <w:qFormat/>
    <w:rsid w:val="007B3282"/>
    <w:pPr>
      <w:spacing w:before="480" w:line="480" w:lineRule="auto"/>
      <w:jc w:val="both"/>
      <w:outlineLvl w:val="3"/>
    </w:pPr>
    <w:rPr>
      <w:rFonts w:ascii="Arial" w:hAnsi="Arial"/>
      <w:iCs/>
      <w:color w:val="auto"/>
      <w:sz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f"/>
    <w:basedOn w:val="Normal"/>
    <w:link w:val="FootnoteTextChar"/>
    <w:uiPriority w:val="99"/>
    <w:qFormat/>
    <w:rsid w:val="00093030"/>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qFormat/>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link w:val="ListParagraphChar"/>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aliases w:val="Ref,de nota al pie,註腳內容,Footnotes refss,(NECG) Footnote Reference,Heading 6 Char1,do not use4 Char1,Footnote symbol,Style 12,Footnote,Footnote Reference1,Ref1,de nota al pie1,de nota al pie + (Asian) MS Mincho,11 pt,註?腳內—e,Nota,fr,o"/>
    <w:basedOn w:val="DefaultParagraphFont"/>
    <w:uiPriority w:val="99"/>
    <w:unhideWhenUsed/>
    <w:qFormat/>
    <w:rsid w:val="00AC7DA3"/>
    <w:rPr>
      <w:vertAlign w:val="superscript"/>
    </w:rPr>
  </w:style>
  <w:style w:type="character" w:styleId="CommentReference">
    <w:name w:val="annotation reference"/>
    <w:basedOn w:val="DefaultParagraphFont"/>
    <w:uiPriority w:val="99"/>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 w:type="paragraph" w:styleId="NormalWeb">
    <w:name w:val="Normal (Web)"/>
    <w:basedOn w:val="Normal"/>
    <w:uiPriority w:val="99"/>
    <w:unhideWhenUsed/>
    <w:rsid w:val="00280329"/>
    <w:pPr>
      <w:spacing w:before="100" w:beforeAutospacing="1" w:after="100" w:afterAutospacing="1"/>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80329"/>
    <w:rPr>
      <w:color w:val="0000FF"/>
      <w:u w:val="single"/>
    </w:rPr>
  </w:style>
  <w:style w:type="character" w:customStyle="1" w:styleId="Heading2Char">
    <w:name w:val="Heading 2 Char"/>
    <w:basedOn w:val="DefaultParagraphFont"/>
    <w:link w:val="Heading2"/>
    <w:rsid w:val="007B328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B3282"/>
    <w:rPr>
      <w:rFonts w:eastAsiaTheme="majorEastAsia" w:cstheme="majorBidi"/>
      <w:iCs/>
      <w:sz w:val="22"/>
      <w:szCs w:val="26"/>
      <w:u w:val="single"/>
      <w:lang w:val="en-GB" w:eastAsia="en-GB"/>
    </w:rPr>
  </w:style>
  <w:style w:type="paragraph" w:customStyle="1" w:styleId="1">
    <w:name w:val="1"/>
    <w:basedOn w:val="BodyText"/>
    <w:link w:val="1Char"/>
    <w:qFormat/>
    <w:rsid w:val="007B3282"/>
    <w:pPr>
      <w:numPr>
        <w:numId w:val="10"/>
      </w:numPr>
      <w:spacing w:before="360" w:after="0" w:line="480" w:lineRule="auto"/>
    </w:pPr>
    <w:rPr>
      <w:rFonts w:cstheme="minorBidi"/>
      <w:iCs/>
      <w:color w:val="000000"/>
      <w:szCs w:val="22"/>
    </w:rPr>
  </w:style>
  <w:style w:type="character" w:customStyle="1" w:styleId="1Char">
    <w:name w:val="1 Char"/>
    <w:basedOn w:val="DefaultParagraphFont"/>
    <w:link w:val="1"/>
    <w:qFormat/>
    <w:rsid w:val="007B3282"/>
    <w:rPr>
      <w:rFonts w:eastAsia="Times New Roman" w:cstheme="minorBidi"/>
      <w:iCs/>
      <w:color w:val="000000"/>
      <w:szCs w:val="22"/>
      <w:lang w:val="en-GB"/>
    </w:rPr>
  </w:style>
  <w:style w:type="paragraph" w:customStyle="1" w:styleId="2">
    <w:name w:val="2"/>
    <w:basedOn w:val="1"/>
    <w:link w:val="2Char"/>
    <w:qFormat/>
    <w:rsid w:val="007B3282"/>
    <w:pPr>
      <w:numPr>
        <w:ilvl w:val="1"/>
      </w:numPr>
      <w:spacing w:before="240"/>
    </w:pPr>
  </w:style>
  <w:style w:type="character" w:customStyle="1" w:styleId="2Char">
    <w:name w:val="2 Char"/>
    <w:basedOn w:val="1Char"/>
    <w:link w:val="2"/>
    <w:rsid w:val="007B3282"/>
    <w:rPr>
      <w:rFonts w:eastAsia="Times New Roman" w:cstheme="minorBidi"/>
      <w:iCs/>
      <w:color w:val="000000"/>
      <w:szCs w:val="22"/>
      <w:lang w:val="en-GB"/>
    </w:rPr>
  </w:style>
  <w:style w:type="paragraph" w:customStyle="1" w:styleId="3">
    <w:name w:val="3"/>
    <w:basedOn w:val="2"/>
    <w:qFormat/>
    <w:rsid w:val="007B3282"/>
    <w:pPr>
      <w:numPr>
        <w:ilvl w:val="2"/>
      </w:numPr>
      <w:tabs>
        <w:tab w:val="clear" w:pos="2552"/>
      </w:tabs>
      <w:ind w:left="2160" w:hanging="180"/>
    </w:pPr>
  </w:style>
  <w:style w:type="paragraph" w:customStyle="1" w:styleId="4">
    <w:name w:val="4"/>
    <w:basedOn w:val="2"/>
    <w:qFormat/>
    <w:rsid w:val="007B3282"/>
    <w:pPr>
      <w:numPr>
        <w:ilvl w:val="3"/>
      </w:numPr>
      <w:tabs>
        <w:tab w:val="clear" w:pos="3062"/>
      </w:tabs>
      <w:ind w:left="2880" w:hanging="360"/>
    </w:pPr>
    <w:rPr>
      <w:iCs w:val="0"/>
    </w:rPr>
  </w:style>
  <w:style w:type="paragraph" w:customStyle="1" w:styleId="5">
    <w:name w:val="5"/>
    <w:basedOn w:val="4"/>
    <w:qFormat/>
    <w:rsid w:val="007B3282"/>
    <w:pPr>
      <w:numPr>
        <w:ilvl w:val="4"/>
      </w:numPr>
      <w:tabs>
        <w:tab w:val="clear" w:pos="3515"/>
      </w:tabs>
      <w:ind w:left="3600" w:hanging="360"/>
    </w:pPr>
    <w:rPr>
      <w:iCs/>
      <w:szCs w:val="16"/>
      <w:lang w:eastAsia="en-ZA"/>
    </w:rPr>
  </w:style>
  <w:style w:type="paragraph" w:styleId="ListNumber">
    <w:name w:val="List Number"/>
    <w:basedOn w:val="Normal"/>
    <w:uiPriority w:val="99"/>
    <w:unhideWhenUsed/>
    <w:rsid w:val="007B3282"/>
    <w:pPr>
      <w:numPr>
        <w:numId w:val="11"/>
      </w:numPr>
      <w:spacing w:before="9738"/>
      <w:jc w:val="both"/>
    </w:pPr>
    <w:rPr>
      <w:rFonts w:eastAsia="Times New Roman" w:cs="Times New Roman"/>
      <w:szCs w:val="24"/>
      <w:lang w:val="en-GB"/>
    </w:rPr>
  </w:style>
  <w:style w:type="paragraph" w:styleId="ListNumber2">
    <w:name w:val="List Number 2"/>
    <w:basedOn w:val="ListNumber"/>
    <w:uiPriority w:val="99"/>
    <w:semiHidden/>
    <w:unhideWhenUsed/>
    <w:rsid w:val="007B3282"/>
  </w:style>
  <w:style w:type="paragraph" w:customStyle="1" w:styleId="Parties">
    <w:name w:val="Parties"/>
    <w:basedOn w:val="Normal"/>
    <w:qFormat/>
    <w:rsid w:val="007B3282"/>
    <w:pPr>
      <w:tabs>
        <w:tab w:val="right" w:pos="8732"/>
      </w:tabs>
      <w:suppressAutoHyphens/>
      <w:jc w:val="both"/>
    </w:pPr>
    <w:rPr>
      <w:rFonts w:eastAsia="Times New Roman" w:cs="Times New Roman"/>
      <w:szCs w:val="20"/>
      <w:lang w:val="en-GB"/>
    </w:rPr>
  </w:style>
  <w:style w:type="paragraph" w:styleId="Quote">
    <w:name w:val="Quote"/>
    <w:aliases w:val="quote"/>
    <w:basedOn w:val="Normal"/>
    <w:link w:val="QuoteChar"/>
    <w:uiPriority w:val="29"/>
    <w:qFormat/>
    <w:rsid w:val="007B3282"/>
    <w:pPr>
      <w:spacing w:before="120" w:line="360" w:lineRule="auto"/>
      <w:ind w:left="1701"/>
      <w:jc w:val="both"/>
    </w:pPr>
    <w:rPr>
      <w:rFonts w:cstheme="minorBidi"/>
      <w:iCs/>
      <w:color w:val="000000"/>
      <w:sz w:val="22"/>
      <w:szCs w:val="22"/>
      <w:lang w:val="en-GB"/>
    </w:rPr>
  </w:style>
  <w:style w:type="character" w:customStyle="1" w:styleId="QuoteChar">
    <w:name w:val="Quote Char"/>
    <w:aliases w:val="quote Char"/>
    <w:basedOn w:val="DefaultParagraphFont"/>
    <w:link w:val="Quote"/>
    <w:uiPriority w:val="29"/>
    <w:rsid w:val="007B3282"/>
    <w:rPr>
      <w:rFonts w:cstheme="minorBidi"/>
      <w:iCs/>
      <w:color w:val="000000"/>
      <w:sz w:val="22"/>
      <w:szCs w:val="22"/>
      <w:lang w:val="en-GB"/>
    </w:rPr>
  </w:style>
  <w:style w:type="paragraph" w:customStyle="1" w:styleId="Style1">
    <w:name w:val="Style1"/>
    <w:basedOn w:val="Normal"/>
    <w:next w:val="1"/>
    <w:link w:val="Style1Char"/>
    <w:qFormat/>
    <w:rsid w:val="007B3282"/>
    <w:pPr>
      <w:keepNext/>
      <w:spacing w:before="240" w:line="480" w:lineRule="auto"/>
      <w:jc w:val="both"/>
    </w:pPr>
    <w:rPr>
      <w:rFonts w:eastAsia="Times New Roman" w:cs="Times New Roman"/>
      <w:b/>
      <w:szCs w:val="24"/>
      <w:lang w:val="en-GB"/>
    </w:rPr>
  </w:style>
  <w:style w:type="character" w:customStyle="1" w:styleId="Style1Char">
    <w:name w:val="Style1 Char"/>
    <w:basedOn w:val="DefaultParagraphFont"/>
    <w:link w:val="Style1"/>
    <w:rsid w:val="007B3282"/>
    <w:rPr>
      <w:rFonts w:eastAsia="Times New Roman" w:cs="Times New Roman"/>
      <w:b/>
      <w:szCs w:val="24"/>
      <w:lang w:val="en-GB"/>
    </w:rPr>
  </w:style>
  <w:style w:type="paragraph" w:styleId="Subtitle">
    <w:name w:val="Subtitle"/>
    <w:basedOn w:val="Normal"/>
    <w:next w:val="Normal"/>
    <w:link w:val="SubtitleChar"/>
    <w:uiPriority w:val="11"/>
    <w:rsid w:val="007B3282"/>
    <w:pPr>
      <w:numPr>
        <w:ilvl w:val="1"/>
      </w:numPr>
      <w:spacing w:after="160"/>
      <w:jc w:val="both"/>
    </w:pPr>
    <w:rPr>
      <w:rFonts w:asciiTheme="minorHAnsi" w:eastAsiaTheme="minorEastAsia" w:hAnsiTheme="minorHAnsi" w:cs="Times New Roman"/>
      <w:color w:val="5A5A5A" w:themeColor="text1" w:themeTint="A5"/>
      <w:spacing w:val="15"/>
      <w:szCs w:val="24"/>
      <w:lang w:val="en-GB"/>
    </w:rPr>
  </w:style>
  <w:style w:type="character" w:customStyle="1" w:styleId="SubtitleChar">
    <w:name w:val="Subtitle Char"/>
    <w:basedOn w:val="DefaultParagraphFont"/>
    <w:link w:val="Subtitle"/>
    <w:uiPriority w:val="11"/>
    <w:rsid w:val="007B3282"/>
    <w:rPr>
      <w:rFonts w:asciiTheme="minorHAnsi" w:eastAsiaTheme="minorEastAsia" w:hAnsiTheme="minorHAnsi" w:cs="Times New Roman"/>
      <w:color w:val="5A5A5A" w:themeColor="text1" w:themeTint="A5"/>
      <w:spacing w:val="15"/>
      <w:szCs w:val="24"/>
      <w:lang w:val="en-GB"/>
    </w:rPr>
  </w:style>
  <w:style w:type="table" w:styleId="TableGrid">
    <w:name w:val="Table Grid"/>
    <w:basedOn w:val="TableNormal"/>
    <w:uiPriority w:val="39"/>
    <w:rsid w:val="007B3282"/>
    <w:pPr>
      <w:jc w:val="both"/>
    </w:pPr>
    <w:rPr>
      <w:rFonts w:asciiTheme="minorHAnsi" w:eastAsia="Times New Roman"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3282"/>
    <w:pPr>
      <w:tabs>
        <w:tab w:val="right" w:leader="dot" w:pos="9016"/>
      </w:tabs>
      <w:suppressAutoHyphens/>
      <w:spacing w:before="200"/>
    </w:pPr>
    <w:rPr>
      <w:rFonts w:eastAsia="Times New Roman"/>
      <w:b/>
      <w:bCs/>
      <w:caps/>
      <w:noProof/>
      <w:snapToGrid w:val="0"/>
      <w:sz w:val="22"/>
      <w:szCs w:val="20"/>
      <w:lang w:val="en-GB"/>
    </w:rPr>
  </w:style>
  <w:style w:type="paragraph" w:styleId="TOC2">
    <w:name w:val="toc 2"/>
    <w:basedOn w:val="Normal"/>
    <w:next w:val="Normal"/>
    <w:autoRedefine/>
    <w:uiPriority w:val="39"/>
    <w:unhideWhenUsed/>
    <w:rsid w:val="007B3282"/>
    <w:pPr>
      <w:tabs>
        <w:tab w:val="right" w:leader="dot" w:pos="9016"/>
      </w:tabs>
      <w:suppressAutoHyphens/>
      <w:spacing w:before="100"/>
      <w:ind w:left="238"/>
    </w:pPr>
    <w:rPr>
      <w:rFonts w:eastAsia="Times New Roman" w:cs="Times New Roman"/>
      <w:snapToGrid w:val="0"/>
      <w:sz w:val="22"/>
      <w:szCs w:val="20"/>
      <w:lang w:val="en-GB"/>
    </w:rPr>
  </w:style>
  <w:style w:type="paragraph" w:styleId="TOC3">
    <w:name w:val="toc 3"/>
    <w:basedOn w:val="Normal"/>
    <w:next w:val="Normal"/>
    <w:autoRedefine/>
    <w:uiPriority w:val="39"/>
    <w:unhideWhenUsed/>
    <w:rsid w:val="007B3282"/>
    <w:pPr>
      <w:tabs>
        <w:tab w:val="right" w:leader="dot" w:pos="8755"/>
      </w:tabs>
      <w:spacing w:before="120" w:after="100"/>
      <w:ind w:left="480"/>
      <w:jc w:val="both"/>
    </w:pPr>
    <w:rPr>
      <w:rFonts w:eastAsia="Times New Roman" w:cs="Times New Roman"/>
      <w:noProof/>
      <w:sz w:val="22"/>
      <w:szCs w:val="24"/>
      <w:lang w:val="en-GB"/>
    </w:rPr>
  </w:style>
  <w:style w:type="paragraph" w:styleId="TOCHeading">
    <w:name w:val="TOC Heading"/>
    <w:basedOn w:val="Heading1"/>
    <w:next w:val="Normal"/>
    <w:uiPriority w:val="39"/>
    <w:unhideWhenUsed/>
    <w:qFormat/>
    <w:rsid w:val="007B3282"/>
    <w:pPr>
      <w:keepLines/>
      <w:spacing w:before="480" w:line="480" w:lineRule="auto"/>
      <w:jc w:val="center"/>
      <w:outlineLvl w:val="9"/>
    </w:pPr>
    <w:rPr>
      <w:rFonts w:eastAsiaTheme="majorEastAsia" w:cstheme="majorBidi"/>
      <w:b w:val="0"/>
      <w:bCs w:val="0"/>
      <w:sz w:val="24"/>
      <w:szCs w:val="32"/>
      <w:lang w:val="en-US"/>
    </w:rPr>
  </w:style>
  <w:style w:type="paragraph" w:customStyle="1" w:styleId="TramLines">
    <w:name w:val="TramLines"/>
    <w:basedOn w:val="Normal"/>
    <w:next w:val="1"/>
    <w:qFormat/>
    <w:rsid w:val="007B3282"/>
    <w:pPr>
      <w:pBdr>
        <w:top w:val="single" w:sz="8" w:space="12" w:color="auto"/>
        <w:bottom w:val="single" w:sz="8" w:space="12" w:color="auto"/>
      </w:pBdr>
      <w:suppressAutoHyphens/>
      <w:spacing w:after="320"/>
      <w:jc w:val="center"/>
    </w:pPr>
    <w:rPr>
      <w:rFonts w:eastAsia="Times New Roman" w:cs="Times New Roman"/>
      <w:b/>
      <w:szCs w:val="20"/>
      <w:lang w:val="en-GB"/>
    </w:rPr>
  </w:style>
  <w:style w:type="paragraph" w:customStyle="1" w:styleId="Style2">
    <w:name w:val="Style2"/>
    <w:basedOn w:val="Normal"/>
    <w:link w:val="Style2Char"/>
    <w:qFormat/>
    <w:rsid w:val="007B3282"/>
    <w:pPr>
      <w:spacing w:before="360" w:line="480" w:lineRule="auto"/>
      <w:jc w:val="both"/>
    </w:pPr>
    <w:rPr>
      <w:rFonts w:ascii="Times New Roman" w:eastAsia="Times New Roman" w:hAnsi="Times New Roman" w:cs="Times New Roman"/>
      <w:szCs w:val="24"/>
      <w:lang w:val="en-GB"/>
    </w:rPr>
  </w:style>
  <w:style w:type="character" w:customStyle="1" w:styleId="Style2Char">
    <w:name w:val="Style2 Char"/>
    <w:basedOn w:val="DefaultParagraphFont"/>
    <w:link w:val="Style2"/>
    <w:rsid w:val="007B3282"/>
    <w:rPr>
      <w:rFonts w:ascii="Times New Roman" w:eastAsia="Times New Roman" w:hAnsi="Times New Roman" w:cs="Times New Roman"/>
      <w:szCs w:val="24"/>
      <w:lang w:val="en-GB"/>
    </w:rPr>
  </w:style>
  <w:style w:type="paragraph" w:styleId="BodyText">
    <w:name w:val="Body Text"/>
    <w:basedOn w:val="Normal"/>
    <w:link w:val="BodyTextChar"/>
    <w:uiPriority w:val="99"/>
    <w:semiHidden/>
    <w:unhideWhenUsed/>
    <w:rsid w:val="007B3282"/>
    <w:pPr>
      <w:spacing w:after="120"/>
      <w:jc w:val="both"/>
    </w:pPr>
    <w:rPr>
      <w:rFonts w:eastAsia="Times New Roman" w:cs="Times New Roman"/>
      <w:szCs w:val="24"/>
      <w:lang w:val="en-GB"/>
    </w:rPr>
  </w:style>
  <w:style w:type="character" w:customStyle="1" w:styleId="BodyTextChar">
    <w:name w:val="Body Text Char"/>
    <w:basedOn w:val="DefaultParagraphFont"/>
    <w:link w:val="BodyText"/>
    <w:uiPriority w:val="99"/>
    <w:semiHidden/>
    <w:rsid w:val="007B3282"/>
    <w:rPr>
      <w:rFonts w:eastAsia="Times New Roman" w:cs="Times New Roman"/>
      <w:szCs w:val="24"/>
      <w:lang w:val="en-GB"/>
    </w:rPr>
  </w:style>
  <w:style w:type="paragraph" w:styleId="Title">
    <w:name w:val="Title"/>
    <w:basedOn w:val="Normal"/>
    <w:next w:val="Normal"/>
    <w:link w:val="TitleChar"/>
    <w:uiPriority w:val="10"/>
    <w:qFormat/>
    <w:rsid w:val="007B3282"/>
    <w:pPr>
      <w:jc w:val="center"/>
    </w:pPr>
    <w:rPr>
      <w:rFonts w:eastAsia="Times New Roman" w:cs="Times New Roman"/>
      <w:b/>
      <w:bCs/>
      <w:szCs w:val="24"/>
      <w:lang w:val="en-GB"/>
    </w:rPr>
  </w:style>
  <w:style w:type="character" w:customStyle="1" w:styleId="TitleChar">
    <w:name w:val="Title Char"/>
    <w:basedOn w:val="DefaultParagraphFont"/>
    <w:link w:val="Title"/>
    <w:uiPriority w:val="10"/>
    <w:rsid w:val="007B3282"/>
    <w:rPr>
      <w:rFonts w:eastAsia="Times New Roman" w:cs="Times New Roman"/>
      <w:b/>
      <w:bCs/>
      <w:szCs w:val="24"/>
      <w:lang w:val="en-GB"/>
    </w:rPr>
  </w:style>
  <w:style w:type="paragraph" w:styleId="TOC4">
    <w:name w:val="toc 4"/>
    <w:basedOn w:val="Normal"/>
    <w:next w:val="Normal"/>
    <w:autoRedefine/>
    <w:uiPriority w:val="39"/>
    <w:semiHidden/>
    <w:unhideWhenUsed/>
    <w:rsid w:val="007B3282"/>
    <w:pPr>
      <w:ind w:left="720"/>
    </w:pPr>
    <w:rPr>
      <w:rFonts w:asciiTheme="minorHAnsi" w:hAnsiTheme="minorHAnsi" w:cstheme="minorHAnsi"/>
      <w:sz w:val="20"/>
      <w:szCs w:val="20"/>
      <w:lang w:val="en-GB"/>
    </w:rPr>
  </w:style>
  <w:style w:type="paragraph" w:styleId="TOC5">
    <w:name w:val="toc 5"/>
    <w:basedOn w:val="Normal"/>
    <w:next w:val="Normal"/>
    <w:autoRedefine/>
    <w:uiPriority w:val="39"/>
    <w:semiHidden/>
    <w:unhideWhenUsed/>
    <w:rsid w:val="007B3282"/>
    <w:pPr>
      <w:ind w:left="960"/>
    </w:pPr>
    <w:rPr>
      <w:rFonts w:asciiTheme="minorHAnsi" w:hAnsiTheme="minorHAnsi" w:cstheme="minorHAnsi"/>
      <w:sz w:val="20"/>
      <w:szCs w:val="20"/>
      <w:lang w:val="en-GB"/>
    </w:rPr>
  </w:style>
  <w:style w:type="paragraph" w:styleId="TOC6">
    <w:name w:val="toc 6"/>
    <w:basedOn w:val="Normal"/>
    <w:next w:val="Normal"/>
    <w:autoRedefine/>
    <w:uiPriority w:val="39"/>
    <w:semiHidden/>
    <w:unhideWhenUsed/>
    <w:rsid w:val="007B3282"/>
    <w:pPr>
      <w:ind w:left="1200"/>
    </w:pPr>
    <w:rPr>
      <w:rFonts w:asciiTheme="minorHAnsi" w:hAnsiTheme="minorHAnsi" w:cstheme="minorHAnsi"/>
      <w:sz w:val="20"/>
      <w:szCs w:val="20"/>
      <w:lang w:val="en-GB"/>
    </w:rPr>
  </w:style>
  <w:style w:type="paragraph" w:styleId="TOC7">
    <w:name w:val="toc 7"/>
    <w:basedOn w:val="Normal"/>
    <w:next w:val="Normal"/>
    <w:autoRedefine/>
    <w:uiPriority w:val="39"/>
    <w:semiHidden/>
    <w:unhideWhenUsed/>
    <w:rsid w:val="007B3282"/>
    <w:pPr>
      <w:ind w:left="1440"/>
    </w:pPr>
    <w:rPr>
      <w:rFonts w:asciiTheme="minorHAnsi" w:hAnsiTheme="minorHAnsi" w:cstheme="minorHAnsi"/>
      <w:sz w:val="20"/>
      <w:szCs w:val="20"/>
      <w:lang w:val="en-GB"/>
    </w:rPr>
  </w:style>
  <w:style w:type="paragraph" w:styleId="TOC8">
    <w:name w:val="toc 8"/>
    <w:basedOn w:val="Normal"/>
    <w:next w:val="Normal"/>
    <w:autoRedefine/>
    <w:uiPriority w:val="39"/>
    <w:semiHidden/>
    <w:unhideWhenUsed/>
    <w:rsid w:val="007B3282"/>
    <w:pPr>
      <w:ind w:left="1680"/>
    </w:pPr>
    <w:rPr>
      <w:rFonts w:asciiTheme="minorHAnsi" w:hAnsiTheme="minorHAnsi" w:cstheme="minorHAnsi"/>
      <w:sz w:val="20"/>
      <w:szCs w:val="20"/>
      <w:lang w:val="en-GB"/>
    </w:rPr>
  </w:style>
  <w:style w:type="paragraph" w:styleId="TOC9">
    <w:name w:val="toc 9"/>
    <w:basedOn w:val="Normal"/>
    <w:next w:val="Normal"/>
    <w:autoRedefine/>
    <w:uiPriority w:val="39"/>
    <w:semiHidden/>
    <w:unhideWhenUsed/>
    <w:rsid w:val="007B3282"/>
    <w:pPr>
      <w:ind w:left="1920"/>
    </w:pPr>
    <w:rPr>
      <w:rFonts w:asciiTheme="minorHAnsi" w:hAnsiTheme="minorHAnsi" w:cstheme="minorHAnsi"/>
      <w:sz w:val="20"/>
      <w:szCs w:val="20"/>
      <w:lang w:val="en-GB"/>
    </w:rPr>
  </w:style>
  <w:style w:type="paragraph" w:styleId="BodyTextIndent">
    <w:name w:val="Body Text Indent"/>
    <w:basedOn w:val="Normal"/>
    <w:link w:val="BodyTextIndentChar"/>
    <w:qFormat/>
    <w:rsid w:val="007B3282"/>
    <w:pPr>
      <w:suppressAutoHyphens/>
      <w:spacing w:after="320" w:line="480" w:lineRule="auto"/>
      <w:ind w:left="567"/>
      <w:jc w:val="both"/>
    </w:pPr>
    <w:rPr>
      <w:rFonts w:eastAsia="Times New Roman" w:cs="Times New Roman"/>
      <w:szCs w:val="20"/>
    </w:rPr>
  </w:style>
  <w:style w:type="character" w:customStyle="1" w:styleId="BodyTextIndentChar">
    <w:name w:val="Body Text Indent Char"/>
    <w:basedOn w:val="DefaultParagraphFont"/>
    <w:link w:val="BodyTextIndent"/>
    <w:rsid w:val="007B3282"/>
    <w:rPr>
      <w:rFonts w:eastAsia="Times New Roman" w:cs="Times New Roman"/>
      <w:szCs w:val="20"/>
    </w:rPr>
  </w:style>
  <w:style w:type="paragraph" w:customStyle="1" w:styleId="WLGLevel1">
    <w:name w:val="WLGLevel1"/>
    <w:basedOn w:val="Normal"/>
    <w:qFormat/>
    <w:rsid w:val="007B3282"/>
    <w:pPr>
      <w:numPr>
        <w:numId w:val="12"/>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7B3282"/>
    <w:pPr>
      <w:numPr>
        <w:ilvl w:val="1"/>
        <w:numId w:val="12"/>
      </w:numPr>
      <w:suppressAutoHyphens/>
      <w:spacing w:after="320" w:line="480" w:lineRule="auto"/>
      <w:jc w:val="both"/>
      <w:outlineLvl w:val="1"/>
    </w:pPr>
    <w:rPr>
      <w:rFonts w:eastAsia="Times New Roman" w:cs="Times New Roman"/>
      <w:szCs w:val="20"/>
    </w:rPr>
  </w:style>
  <w:style w:type="paragraph" w:customStyle="1" w:styleId="WLGLevel3">
    <w:name w:val="WLGLevel3"/>
    <w:basedOn w:val="Normal"/>
    <w:qFormat/>
    <w:rsid w:val="007B3282"/>
    <w:pPr>
      <w:numPr>
        <w:ilvl w:val="2"/>
        <w:numId w:val="12"/>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7B3282"/>
    <w:pPr>
      <w:numPr>
        <w:ilvl w:val="3"/>
        <w:numId w:val="12"/>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7B3282"/>
    <w:pPr>
      <w:numPr>
        <w:ilvl w:val="4"/>
        <w:numId w:val="12"/>
      </w:numPr>
      <w:suppressAutoHyphens/>
      <w:spacing w:after="320" w:line="480" w:lineRule="auto"/>
      <w:jc w:val="both"/>
      <w:outlineLvl w:val="4"/>
    </w:pPr>
    <w:rPr>
      <w:rFonts w:eastAsia="Times New Roman" w:cs="Times New Roman"/>
      <w:szCs w:val="20"/>
    </w:rPr>
  </w:style>
  <w:style w:type="character" w:customStyle="1" w:styleId="s2">
    <w:name w:val="s2"/>
    <w:basedOn w:val="DefaultParagraphFont"/>
    <w:rsid w:val="007B3282"/>
    <w:rPr>
      <w:color w:val="6D6D6D"/>
    </w:rPr>
  </w:style>
  <w:style w:type="paragraph" w:styleId="BodyTextIndent2">
    <w:name w:val="Body Text Indent 2"/>
    <w:basedOn w:val="Normal"/>
    <w:link w:val="BodyTextIndent2Char"/>
    <w:uiPriority w:val="99"/>
    <w:semiHidden/>
    <w:unhideWhenUsed/>
    <w:rsid w:val="007B3282"/>
    <w:pPr>
      <w:spacing w:after="120" w:line="480" w:lineRule="auto"/>
      <w:ind w:left="360"/>
      <w:jc w:val="both"/>
    </w:pPr>
    <w:rPr>
      <w:rFonts w:cstheme="minorBidi"/>
      <w:szCs w:val="22"/>
      <w:lang w:val="en-GB"/>
    </w:rPr>
  </w:style>
  <w:style w:type="character" w:customStyle="1" w:styleId="BodyTextIndent2Char">
    <w:name w:val="Body Text Indent 2 Char"/>
    <w:basedOn w:val="DefaultParagraphFont"/>
    <w:link w:val="BodyTextIndent2"/>
    <w:uiPriority w:val="99"/>
    <w:semiHidden/>
    <w:rsid w:val="007B3282"/>
    <w:rPr>
      <w:rFonts w:cstheme="minorBidi"/>
      <w:szCs w:val="22"/>
      <w:lang w:val="en-GB"/>
    </w:rPr>
  </w:style>
  <w:style w:type="paragraph" w:styleId="Revision">
    <w:name w:val="Revision"/>
    <w:hidden/>
    <w:uiPriority w:val="99"/>
    <w:semiHidden/>
    <w:rsid w:val="007B3282"/>
    <w:rPr>
      <w:rFonts w:cstheme="minorBidi"/>
      <w:szCs w:val="22"/>
      <w:lang w:val="en-GB"/>
    </w:rPr>
  </w:style>
  <w:style w:type="paragraph" w:customStyle="1" w:styleId="PartyLine">
    <w:name w:val="PartyLine"/>
    <w:basedOn w:val="Normal"/>
    <w:rsid w:val="007B3282"/>
    <w:pPr>
      <w:tabs>
        <w:tab w:val="right" w:pos="8789"/>
      </w:tabs>
      <w:spacing w:after="360"/>
      <w:jc w:val="both"/>
    </w:pPr>
    <w:rPr>
      <w:rFonts w:eastAsia="Times New Roman" w:cs="Times New Roman"/>
      <w:szCs w:val="20"/>
      <w:lang w:val="en-GB"/>
    </w:rPr>
  </w:style>
  <w:style w:type="paragraph" w:customStyle="1" w:styleId="QuotationEnd3">
    <w:name w:val="QuotationEnd 3"/>
    <w:basedOn w:val="Normal"/>
    <w:next w:val="Normal"/>
    <w:qFormat/>
    <w:rsid w:val="007B3282"/>
    <w:pPr>
      <w:spacing w:after="560" w:line="360" w:lineRule="auto"/>
      <w:ind w:left="1701"/>
      <w:jc w:val="both"/>
    </w:pPr>
    <w:rPr>
      <w:rFonts w:eastAsia="Times New Roman" w:cs="Times New Roman"/>
      <w:i/>
      <w:szCs w:val="20"/>
      <w:lang w:val="en-GB"/>
    </w:rPr>
  </w:style>
  <w:style w:type="paragraph" w:customStyle="1" w:styleId="Pleadingslevel1para">
    <w:name w:val="Pleadings level 1 para"/>
    <w:basedOn w:val="1"/>
    <w:link w:val="Pleadingslevel1paraChar"/>
    <w:qFormat/>
    <w:rsid w:val="007B3282"/>
    <w:pPr>
      <w:numPr>
        <w:numId w:val="0"/>
      </w:numPr>
      <w:suppressAutoHyphens/>
      <w:autoSpaceDN w:val="0"/>
      <w:spacing w:before="480"/>
      <w:ind w:left="709" w:hanging="709"/>
      <w:textAlignment w:val="baseline"/>
    </w:pPr>
    <w:rPr>
      <w:rFonts w:eastAsia="WenQuanYi Micro Hei" w:cs="Lohit Hindi"/>
      <w:color w:val="auto"/>
      <w:lang w:val="en-ZA" w:eastAsia="zh-CN" w:bidi="hi-IN"/>
    </w:rPr>
  </w:style>
  <w:style w:type="character" w:customStyle="1" w:styleId="Pleadingslevel1paraChar">
    <w:name w:val="Pleadings level 1 para Char"/>
    <w:link w:val="Pleadingslevel1para"/>
    <w:rsid w:val="007B3282"/>
    <w:rPr>
      <w:rFonts w:eastAsia="WenQuanYi Micro Hei" w:cs="Lohit Hindi"/>
      <w:iCs/>
      <w:szCs w:val="22"/>
      <w:lang w:eastAsia="zh-CN" w:bidi="hi-IN"/>
    </w:rPr>
  </w:style>
  <w:style w:type="paragraph" w:customStyle="1" w:styleId="Pleadingslevel2paragraph">
    <w:name w:val="Pleadings level 2 paragraph"/>
    <w:basedOn w:val="Normal"/>
    <w:link w:val="Pleadingslevel2paragraphChar"/>
    <w:qFormat/>
    <w:rsid w:val="007B3282"/>
    <w:pPr>
      <w:tabs>
        <w:tab w:val="num" w:pos="1985"/>
        <w:tab w:val="left" w:pos="2410"/>
        <w:tab w:val="left" w:pos="3119"/>
      </w:tabs>
      <w:spacing w:before="240" w:line="480" w:lineRule="auto"/>
      <w:ind w:left="1985" w:hanging="1276"/>
      <w:jc w:val="both"/>
    </w:pPr>
    <w:rPr>
      <w:rFonts w:eastAsia="Tahoma" w:cs="Times New Roman"/>
      <w:szCs w:val="16"/>
      <w:lang w:val="en-US" w:eastAsia="en-ZA"/>
    </w:rPr>
  </w:style>
  <w:style w:type="character" w:customStyle="1" w:styleId="Pleadingslevel2paragraphChar">
    <w:name w:val="Pleadings level 2 paragraph Char"/>
    <w:link w:val="Pleadingslevel2paragraph"/>
    <w:rsid w:val="007B3282"/>
    <w:rPr>
      <w:rFonts w:eastAsia="Tahoma" w:cs="Times New Roman"/>
      <w:szCs w:val="16"/>
      <w:lang w:val="en-US" w:eastAsia="en-ZA"/>
    </w:rPr>
  </w:style>
  <w:style w:type="paragraph" w:customStyle="1" w:styleId="Pleadingslevel2">
    <w:name w:val="Pleadings level 2"/>
    <w:basedOn w:val="Pleadingslevel1para"/>
    <w:qFormat/>
    <w:rsid w:val="007B3282"/>
    <w:pPr>
      <w:tabs>
        <w:tab w:val="num" w:pos="1588"/>
        <w:tab w:val="num" w:pos="1701"/>
      </w:tabs>
      <w:ind w:left="1701" w:hanging="992"/>
    </w:pPr>
  </w:style>
  <w:style w:type="paragraph" w:customStyle="1" w:styleId="Quotelevel1">
    <w:name w:val="Quote level 1"/>
    <w:basedOn w:val="Normal"/>
    <w:link w:val="Quotelevel1Char"/>
    <w:qFormat/>
    <w:rsid w:val="007B3282"/>
    <w:pPr>
      <w:tabs>
        <w:tab w:val="left" w:pos="2155"/>
      </w:tabs>
      <w:spacing w:before="120"/>
      <w:ind w:left="1701"/>
      <w:jc w:val="both"/>
    </w:pPr>
    <w:rPr>
      <w:rFonts w:eastAsia="Calibri" w:cs="Times New Roman"/>
      <w:i/>
      <w:iCs/>
      <w:color w:val="000000"/>
      <w:szCs w:val="16"/>
      <w:lang w:val="en-GB" w:eastAsia="en-ZA"/>
    </w:rPr>
  </w:style>
  <w:style w:type="character" w:customStyle="1" w:styleId="Quotelevel1Char">
    <w:name w:val="Quote level 1 Char"/>
    <w:link w:val="Quotelevel1"/>
    <w:rsid w:val="007B3282"/>
    <w:rPr>
      <w:rFonts w:eastAsia="Calibri" w:cs="Times New Roman"/>
      <w:i/>
      <w:iCs/>
      <w:color w:val="000000"/>
      <w:szCs w:val="16"/>
      <w:lang w:val="en-GB" w:eastAsia="en-ZA"/>
    </w:rPr>
  </w:style>
  <w:style w:type="paragraph" w:customStyle="1" w:styleId="PublicInterestLawinSAlevel1">
    <w:name w:val="Public Interest Law in SA level 1"/>
    <w:basedOn w:val="Normal"/>
    <w:qFormat/>
    <w:rsid w:val="007B3282"/>
    <w:pPr>
      <w:suppressAutoHyphens/>
      <w:autoSpaceDN w:val="0"/>
      <w:spacing w:line="480" w:lineRule="auto"/>
      <w:ind w:firstLine="720"/>
      <w:jc w:val="both"/>
      <w:textAlignment w:val="baseline"/>
    </w:pPr>
    <w:rPr>
      <w:rFonts w:eastAsia="WenQuanYi Micro Hei"/>
      <w:iCs/>
      <w:szCs w:val="16"/>
      <w:lang w:val="en-GB" w:eastAsia="zh-CN" w:bidi="hi-IN"/>
    </w:rPr>
  </w:style>
  <w:style w:type="paragraph" w:customStyle="1" w:styleId="HEADINGlevel1">
    <w:name w:val="HEADING level 1"/>
    <w:basedOn w:val="Normal"/>
    <w:qFormat/>
    <w:rsid w:val="007B3282"/>
    <w:pPr>
      <w:suppressAutoHyphens/>
      <w:autoSpaceDN w:val="0"/>
      <w:spacing w:before="480" w:line="480" w:lineRule="auto"/>
      <w:jc w:val="both"/>
      <w:textAlignment w:val="baseline"/>
    </w:pPr>
    <w:rPr>
      <w:rFonts w:eastAsia="WenQuanYi Micro Hei" w:cs="Lohit Hindi"/>
      <w:b/>
      <w:iCs/>
      <w:szCs w:val="22"/>
      <w:lang w:val="en-GB" w:eastAsia="zh-CN" w:bidi="hi-IN"/>
    </w:rPr>
  </w:style>
  <w:style w:type="paragraph" w:customStyle="1" w:styleId="Body2">
    <w:name w:val="Body 2"/>
    <w:basedOn w:val="Normal"/>
    <w:link w:val="Body2Char"/>
    <w:rsid w:val="007B3282"/>
    <w:pPr>
      <w:spacing w:before="240" w:after="480"/>
      <w:ind w:left="1440"/>
      <w:jc w:val="both"/>
    </w:pPr>
    <w:rPr>
      <w:rFonts w:ascii="Times New Roman" w:eastAsia="Times New Roman" w:hAnsi="Times New Roman" w:cs="Times New Roman"/>
      <w:szCs w:val="24"/>
      <w:lang w:val="en-GB"/>
    </w:rPr>
  </w:style>
  <w:style w:type="character" w:customStyle="1" w:styleId="Body2Char">
    <w:name w:val="Body 2 Char"/>
    <w:link w:val="Body2"/>
    <w:rsid w:val="007B3282"/>
    <w:rPr>
      <w:rFonts w:ascii="Times New Roman" w:eastAsia="Times New Roman" w:hAnsi="Times New Roman" w:cs="Times New Roman"/>
      <w:szCs w:val="24"/>
      <w:lang w:val="en-GB"/>
    </w:rPr>
  </w:style>
  <w:style w:type="paragraph" w:customStyle="1" w:styleId="Body4">
    <w:name w:val="Body 4"/>
    <w:basedOn w:val="Normal"/>
    <w:rsid w:val="007B3282"/>
    <w:pPr>
      <w:spacing w:before="240" w:after="240"/>
      <w:ind w:left="2880"/>
      <w:jc w:val="both"/>
    </w:pPr>
    <w:rPr>
      <w:rFonts w:ascii="Times New Roman" w:eastAsia="Times New Roman" w:hAnsi="Times New Roman" w:cs="Times New Roman"/>
      <w:szCs w:val="20"/>
      <w:lang w:val="en-GB"/>
    </w:rPr>
  </w:style>
  <w:style w:type="paragraph" w:customStyle="1" w:styleId="WWList3">
    <w:name w:val="WW_List3"/>
    <w:basedOn w:val="Normal"/>
    <w:rsid w:val="007B3282"/>
    <w:pPr>
      <w:numPr>
        <w:ilvl w:val="2"/>
        <w:numId w:val="13"/>
      </w:numPr>
      <w:tabs>
        <w:tab w:val="left" w:pos="3969"/>
        <w:tab w:val="left" w:pos="4536"/>
      </w:tabs>
      <w:suppressAutoHyphens/>
      <w:spacing w:after="240" w:line="360" w:lineRule="auto"/>
      <w:jc w:val="both"/>
      <w:outlineLvl w:val="2"/>
    </w:pPr>
    <w:rPr>
      <w:rFonts w:eastAsia="Times New Roman" w:cs="Times New Roman"/>
      <w:sz w:val="22"/>
      <w:szCs w:val="24"/>
      <w:lang w:val="en-GB" w:eastAsia="en-GB"/>
    </w:rPr>
  </w:style>
  <w:style w:type="paragraph" w:customStyle="1" w:styleId="Default">
    <w:name w:val="Default"/>
    <w:rsid w:val="007B3282"/>
    <w:pPr>
      <w:autoSpaceDE w:val="0"/>
      <w:autoSpaceDN w:val="0"/>
      <w:adjustRightInd w:val="0"/>
    </w:pPr>
    <w:rPr>
      <w:rFonts w:eastAsia="Times New Roman"/>
      <w:color w:val="000000"/>
      <w:szCs w:val="24"/>
      <w:lang w:val="en-GB"/>
    </w:rPr>
  </w:style>
  <w:style w:type="paragraph" w:customStyle="1" w:styleId="BodyText0">
    <w:name w:val="BodyText"/>
    <w:basedOn w:val="Normal"/>
    <w:rsid w:val="007B3282"/>
    <w:pPr>
      <w:spacing w:after="560" w:line="480" w:lineRule="auto"/>
      <w:jc w:val="both"/>
    </w:pPr>
    <w:rPr>
      <w:rFonts w:eastAsia="Times New Roman" w:cs="Times New Roman"/>
      <w:szCs w:val="20"/>
      <w:lang w:val="en-GB"/>
    </w:rPr>
  </w:style>
  <w:style w:type="paragraph" w:customStyle="1" w:styleId="ListLevel1">
    <w:name w:val="ListLevel1"/>
    <w:basedOn w:val="BodyText0"/>
    <w:link w:val="ListLevel1Char"/>
    <w:rsid w:val="007B3282"/>
    <w:pPr>
      <w:numPr>
        <w:numId w:val="14"/>
      </w:numPr>
    </w:pPr>
  </w:style>
  <w:style w:type="paragraph" w:customStyle="1" w:styleId="ListLevel2">
    <w:name w:val="ListLevel2"/>
    <w:basedOn w:val="ListLevel1"/>
    <w:link w:val="ListLevel2Char"/>
    <w:rsid w:val="007B3282"/>
    <w:pPr>
      <w:numPr>
        <w:ilvl w:val="1"/>
      </w:numPr>
      <w:tabs>
        <w:tab w:val="clear" w:pos="1701"/>
        <w:tab w:val="num" w:pos="1588"/>
      </w:tabs>
      <w:ind w:left="1588" w:hanging="1021"/>
    </w:pPr>
  </w:style>
  <w:style w:type="paragraph" w:customStyle="1" w:styleId="ListLevel3">
    <w:name w:val="ListLevel3"/>
    <w:basedOn w:val="ListLevel1"/>
    <w:rsid w:val="007B3282"/>
    <w:pPr>
      <w:numPr>
        <w:ilvl w:val="2"/>
      </w:numPr>
      <w:tabs>
        <w:tab w:val="clear" w:pos="2552"/>
      </w:tabs>
      <w:ind w:left="2160" w:hanging="964"/>
    </w:pPr>
  </w:style>
  <w:style w:type="paragraph" w:customStyle="1" w:styleId="ListLevel4">
    <w:name w:val="ListLevel4"/>
    <w:basedOn w:val="ListLevel1"/>
    <w:rsid w:val="007B3282"/>
    <w:pPr>
      <w:numPr>
        <w:ilvl w:val="3"/>
      </w:numPr>
      <w:tabs>
        <w:tab w:val="clear" w:pos="3119"/>
        <w:tab w:val="num" w:pos="3062"/>
      </w:tabs>
      <w:ind w:left="3062" w:hanging="510"/>
    </w:pPr>
  </w:style>
  <w:style w:type="paragraph" w:customStyle="1" w:styleId="Quotation3">
    <w:name w:val="Quotation 3"/>
    <w:basedOn w:val="Normal"/>
    <w:qFormat/>
    <w:rsid w:val="007B3282"/>
    <w:pPr>
      <w:spacing w:after="240" w:line="360" w:lineRule="auto"/>
      <w:ind w:left="1701"/>
      <w:jc w:val="both"/>
    </w:pPr>
    <w:rPr>
      <w:rFonts w:eastAsia="Times New Roman" w:cs="Times New Roman"/>
      <w:i/>
      <w:szCs w:val="20"/>
      <w:lang w:val="en-GB"/>
    </w:rPr>
  </w:style>
  <w:style w:type="character" w:customStyle="1" w:styleId="ListLevel2Char">
    <w:name w:val="ListLevel2 Char"/>
    <w:basedOn w:val="DefaultParagraphFont"/>
    <w:link w:val="ListLevel2"/>
    <w:locked/>
    <w:rsid w:val="007B3282"/>
    <w:rPr>
      <w:rFonts w:eastAsia="Times New Roman" w:cs="Times New Roman"/>
      <w:szCs w:val="20"/>
      <w:lang w:val="en-GB"/>
    </w:rPr>
  </w:style>
  <w:style w:type="character" w:customStyle="1" w:styleId="ListLevel1Char">
    <w:name w:val="ListLevel1 Char"/>
    <w:basedOn w:val="DefaultParagraphFont"/>
    <w:link w:val="ListLevel1"/>
    <w:locked/>
    <w:rsid w:val="007B3282"/>
    <w:rPr>
      <w:rFonts w:eastAsia="Times New Roman" w:cs="Times New Roman"/>
      <w:szCs w:val="20"/>
      <w:lang w:val="en-GB"/>
    </w:rPr>
  </w:style>
  <w:style w:type="character" w:customStyle="1" w:styleId="apple-converted-space">
    <w:name w:val="apple-converted-space"/>
    <w:basedOn w:val="DefaultParagraphFont"/>
    <w:rsid w:val="007B3282"/>
  </w:style>
  <w:style w:type="paragraph" w:customStyle="1" w:styleId="wlglevel10">
    <w:name w:val="wlglevel1"/>
    <w:basedOn w:val="Normal"/>
    <w:rsid w:val="007B3282"/>
    <w:pPr>
      <w:spacing w:before="100" w:beforeAutospacing="1" w:after="100" w:afterAutospacing="1"/>
    </w:pPr>
    <w:rPr>
      <w:rFonts w:ascii="Times New Roman" w:eastAsia="Times New Roman" w:hAnsi="Times New Roman" w:cs="Times New Roman"/>
      <w:szCs w:val="24"/>
      <w:lang w:eastAsia="en-GB"/>
    </w:rPr>
  </w:style>
  <w:style w:type="character" w:customStyle="1" w:styleId="mc">
    <w:name w:val="mc"/>
    <w:basedOn w:val="DefaultParagraphFont"/>
    <w:rsid w:val="007B3282"/>
  </w:style>
  <w:style w:type="paragraph" w:customStyle="1" w:styleId="lrquote">
    <w:name w:val="lrquote"/>
    <w:basedOn w:val="Normal"/>
    <w:rsid w:val="007B3282"/>
    <w:pPr>
      <w:spacing w:before="100" w:beforeAutospacing="1" w:after="100" w:afterAutospacing="1"/>
    </w:pPr>
    <w:rPr>
      <w:rFonts w:ascii="Times New Roman" w:eastAsia="Times New Roman" w:hAnsi="Times New Roman" w:cs="Times New Roman"/>
      <w:szCs w:val="24"/>
      <w:lang w:eastAsia="en-GB"/>
    </w:rPr>
  </w:style>
  <w:style w:type="paragraph" w:styleId="BodyTextIndent3">
    <w:name w:val="Body Text Indent 3"/>
    <w:basedOn w:val="Normal"/>
    <w:link w:val="BodyTextIndent3Char"/>
    <w:uiPriority w:val="99"/>
    <w:semiHidden/>
    <w:unhideWhenUsed/>
    <w:rsid w:val="007B3282"/>
    <w:pPr>
      <w:spacing w:after="120"/>
      <w:ind w:left="283"/>
      <w:jc w:val="both"/>
    </w:pPr>
    <w:rPr>
      <w:rFonts w:eastAsia="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7B3282"/>
    <w:rPr>
      <w:rFonts w:eastAsia="Times New Roman" w:cs="Times New Roman"/>
      <w:sz w:val="16"/>
      <w:szCs w:val="16"/>
      <w:lang w:val="en-GB"/>
    </w:rPr>
  </w:style>
  <w:style w:type="paragraph" w:customStyle="1" w:styleId="Body3">
    <w:name w:val="Body 3"/>
    <w:basedOn w:val="Body2"/>
    <w:link w:val="Body3Char"/>
    <w:rsid w:val="007B3282"/>
    <w:pPr>
      <w:spacing w:after="240"/>
      <w:ind w:left="2160"/>
    </w:pPr>
    <w:rPr>
      <w:sz w:val="26"/>
      <w:szCs w:val="26"/>
    </w:rPr>
  </w:style>
  <w:style w:type="character" w:customStyle="1" w:styleId="Body3Char">
    <w:name w:val="Body 3 Char"/>
    <w:basedOn w:val="Body2Char"/>
    <w:link w:val="Body3"/>
    <w:rsid w:val="007B3282"/>
    <w:rPr>
      <w:rFonts w:ascii="Times New Roman" w:eastAsia="Times New Roman" w:hAnsi="Times New Roman" w:cs="Times New Roman"/>
      <w:sz w:val="26"/>
      <w:szCs w:val="26"/>
      <w:lang w:val="en-GB"/>
    </w:rPr>
  </w:style>
  <w:style w:type="character" w:customStyle="1" w:styleId="normaltextrun">
    <w:name w:val="normaltextrun"/>
    <w:basedOn w:val="DefaultParagraphFont"/>
    <w:rsid w:val="007B3282"/>
  </w:style>
  <w:style w:type="character" w:customStyle="1" w:styleId="eop">
    <w:name w:val="eop"/>
    <w:basedOn w:val="DefaultParagraphFont"/>
    <w:rsid w:val="007B3282"/>
  </w:style>
  <w:style w:type="character" w:customStyle="1" w:styleId="UnresolvedMention1">
    <w:name w:val="Unresolved Mention1"/>
    <w:basedOn w:val="DefaultParagraphFont"/>
    <w:uiPriority w:val="99"/>
    <w:semiHidden/>
    <w:unhideWhenUsed/>
    <w:rsid w:val="007B3282"/>
    <w:rPr>
      <w:color w:val="605E5C"/>
      <w:shd w:val="clear" w:color="auto" w:fill="E1DFDD"/>
    </w:rPr>
  </w:style>
  <w:style w:type="character" w:customStyle="1" w:styleId="ListParagraphChar">
    <w:name w:val="List Paragraph Char"/>
    <w:link w:val="ListParagraph"/>
    <w:locked/>
    <w:rsid w:val="0053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BE27-04D8-43A0-978A-80E06F55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14865</Words>
  <Characters>84736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Mokone</cp:lastModifiedBy>
  <cp:revision>3</cp:revision>
  <cp:lastPrinted>2023-06-28T10:05:00Z</cp:lastPrinted>
  <dcterms:created xsi:type="dcterms:W3CDTF">2023-07-13T07:59:00Z</dcterms:created>
  <dcterms:modified xsi:type="dcterms:W3CDTF">2023-07-13T08:00:00Z</dcterms:modified>
</cp:coreProperties>
</file>