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6C37" w14:textId="77777777" w:rsidR="00E30E8A" w:rsidRPr="00D90BC2" w:rsidRDefault="00E30E8A" w:rsidP="00D07734">
      <w:pPr>
        <w:spacing w:line="360" w:lineRule="auto"/>
        <w:contextualSpacing/>
        <w:jc w:val="center"/>
        <w:rPr>
          <w:rFonts w:ascii="Arial" w:hAnsi="Arial" w:cs="Arial"/>
          <w:b/>
        </w:rPr>
      </w:pPr>
      <w:bookmarkStart w:id="0" w:name="_GoBack"/>
      <w:bookmarkEnd w:id="0"/>
      <w:r w:rsidRPr="00D90BC2">
        <w:rPr>
          <w:rFonts w:ascii="Arial" w:eastAsia="Calibri" w:hAnsi="Arial" w:cs="Arial"/>
          <w:noProof/>
          <w:sz w:val="28"/>
          <w:szCs w:val="28"/>
          <w:lang w:eastAsia="en-ZA" w:bidi="ar-SA"/>
        </w:rPr>
        <w:drawing>
          <wp:inline distT="0" distB="0" distL="0" distR="0" wp14:anchorId="3E987940" wp14:editId="7A706EDA">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71043F9" w14:textId="77777777" w:rsidR="00E30E8A" w:rsidRPr="00D90BC2" w:rsidRDefault="00E30E8A" w:rsidP="00D07734">
      <w:pPr>
        <w:spacing w:line="360" w:lineRule="auto"/>
        <w:contextualSpacing/>
        <w:jc w:val="center"/>
        <w:rPr>
          <w:rFonts w:ascii="Arial" w:hAnsi="Arial" w:cs="Arial"/>
          <w:b/>
          <w:sz w:val="16"/>
          <w:szCs w:val="16"/>
        </w:rPr>
      </w:pPr>
    </w:p>
    <w:p w14:paraId="360C7C50" w14:textId="77777777" w:rsidR="00E30E8A" w:rsidRPr="00D90BC2" w:rsidRDefault="00E30E8A" w:rsidP="00D07734">
      <w:pPr>
        <w:spacing w:line="360" w:lineRule="auto"/>
        <w:contextualSpacing/>
        <w:jc w:val="center"/>
        <w:rPr>
          <w:rFonts w:ascii="Arial" w:hAnsi="Arial" w:cs="Arial"/>
          <w:b/>
        </w:rPr>
      </w:pPr>
      <w:r w:rsidRPr="00D90BC2">
        <w:rPr>
          <w:rFonts w:ascii="Arial" w:hAnsi="Arial" w:cs="Arial"/>
          <w:b/>
        </w:rPr>
        <w:t>IN THE HIGH COURT OF SOUTH AFRICA</w:t>
      </w:r>
    </w:p>
    <w:p w14:paraId="1809EAE2" w14:textId="77777777" w:rsidR="00E30E8A" w:rsidRPr="00D90BC2" w:rsidRDefault="00E30E8A" w:rsidP="00D07734">
      <w:pPr>
        <w:spacing w:line="360" w:lineRule="auto"/>
        <w:contextualSpacing/>
        <w:jc w:val="center"/>
        <w:rPr>
          <w:rFonts w:ascii="Arial" w:hAnsi="Arial" w:cs="Arial"/>
          <w:b/>
        </w:rPr>
      </w:pPr>
      <w:r w:rsidRPr="00D90BC2">
        <w:rPr>
          <w:rFonts w:ascii="Arial" w:hAnsi="Arial" w:cs="Arial"/>
          <w:b/>
        </w:rPr>
        <w:t>KWAZULU-NATAL DIVISION, PIETERMARITZBURG</w:t>
      </w:r>
    </w:p>
    <w:p w14:paraId="4F84ABC7" w14:textId="77777777" w:rsidR="009F77EE" w:rsidRPr="00D90BC2" w:rsidRDefault="009F77EE" w:rsidP="00D07734">
      <w:pPr>
        <w:spacing w:line="360" w:lineRule="auto"/>
        <w:contextualSpacing/>
        <w:jc w:val="right"/>
        <w:rPr>
          <w:rFonts w:ascii="Arial" w:hAnsi="Arial" w:cs="Arial"/>
        </w:rPr>
      </w:pPr>
    </w:p>
    <w:p w14:paraId="2FBEDCAB" w14:textId="77777777" w:rsidR="00E30E8A" w:rsidRPr="00D90BC2" w:rsidRDefault="00E30E8A" w:rsidP="00D07734">
      <w:pPr>
        <w:spacing w:line="360" w:lineRule="auto"/>
        <w:contextualSpacing/>
        <w:jc w:val="right"/>
        <w:rPr>
          <w:rFonts w:ascii="Arial" w:hAnsi="Arial" w:cs="Arial"/>
        </w:rPr>
      </w:pPr>
      <w:r w:rsidRPr="00D90BC2">
        <w:rPr>
          <w:rFonts w:ascii="Arial" w:hAnsi="Arial" w:cs="Arial"/>
        </w:rPr>
        <w:t xml:space="preserve">Case No: </w:t>
      </w:r>
      <w:r w:rsidR="00D37A99">
        <w:rPr>
          <w:rFonts w:ascii="Arial" w:hAnsi="Arial" w:cs="Arial"/>
        </w:rPr>
        <w:t>5034</w:t>
      </w:r>
      <w:r w:rsidRPr="00D90BC2">
        <w:rPr>
          <w:rFonts w:ascii="Arial" w:hAnsi="Arial" w:cs="Arial"/>
        </w:rPr>
        <w:t>/20</w:t>
      </w:r>
      <w:r w:rsidR="00965280" w:rsidRPr="00D90BC2">
        <w:rPr>
          <w:rFonts w:ascii="Arial" w:hAnsi="Arial" w:cs="Arial"/>
        </w:rPr>
        <w:t>2</w:t>
      </w:r>
      <w:r w:rsidR="00D37A99">
        <w:rPr>
          <w:rFonts w:ascii="Arial" w:hAnsi="Arial" w:cs="Arial"/>
        </w:rPr>
        <w:t>0</w:t>
      </w:r>
      <w:r w:rsidRPr="00D90BC2">
        <w:rPr>
          <w:rFonts w:ascii="Arial" w:hAnsi="Arial" w:cs="Arial"/>
        </w:rPr>
        <w:t>P</w:t>
      </w:r>
    </w:p>
    <w:p w14:paraId="48244AC3" w14:textId="77777777" w:rsidR="00E30E8A" w:rsidRPr="00D90BC2" w:rsidRDefault="00E30E8A" w:rsidP="00D07734">
      <w:pPr>
        <w:spacing w:line="360" w:lineRule="auto"/>
        <w:contextualSpacing/>
        <w:jc w:val="both"/>
        <w:rPr>
          <w:rFonts w:ascii="Arial" w:hAnsi="Arial" w:cs="Arial"/>
        </w:rPr>
      </w:pPr>
    </w:p>
    <w:p w14:paraId="3354EEFC" w14:textId="47D18C76" w:rsidR="00E30E8A" w:rsidRDefault="00E30E8A" w:rsidP="00D07734">
      <w:pPr>
        <w:spacing w:line="360" w:lineRule="auto"/>
        <w:contextualSpacing/>
        <w:jc w:val="both"/>
        <w:rPr>
          <w:rFonts w:ascii="Arial" w:hAnsi="Arial" w:cs="Arial"/>
        </w:rPr>
      </w:pPr>
      <w:r w:rsidRPr="00D90BC2">
        <w:rPr>
          <w:rFonts w:ascii="Arial" w:hAnsi="Arial" w:cs="Arial"/>
        </w:rPr>
        <w:t>In the matter between:</w:t>
      </w:r>
    </w:p>
    <w:p w14:paraId="4D0669F3" w14:textId="77777777" w:rsidR="00EE4784" w:rsidRPr="00D90BC2" w:rsidRDefault="00EE4784" w:rsidP="00D07734">
      <w:pPr>
        <w:spacing w:line="360" w:lineRule="auto"/>
        <w:contextualSpacing/>
        <w:jc w:val="both"/>
        <w:rPr>
          <w:rFonts w:ascii="Arial" w:hAnsi="Arial" w:cs="Arial"/>
        </w:rPr>
      </w:pPr>
    </w:p>
    <w:p w14:paraId="3F0CA0A6" w14:textId="30C8A313" w:rsidR="00441882" w:rsidRPr="00D90BC2" w:rsidRDefault="00441882" w:rsidP="00441882">
      <w:pPr>
        <w:tabs>
          <w:tab w:val="right" w:pos="9026"/>
        </w:tabs>
        <w:spacing w:line="360" w:lineRule="auto"/>
        <w:contextualSpacing/>
        <w:jc w:val="both"/>
        <w:rPr>
          <w:rFonts w:ascii="Arial" w:hAnsi="Arial" w:cs="Arial"/>
          <w:b/>
          <w:bCs/>
        </w:rPr>
      </w:pPr>
      <w:r>
        <w:rPr>
          <w:rFonts w:ascii="Arial" w:hAnsi="Arial" w:cs="Arial"/>
          <w:b/>
          <w:bCs/>
        </w:rPr>
        <w:t>HEMANTH RAJKUMAR SINGH N.O.</w:t>
      </w:r>
      <w:r w:rsidRPr="00D90BC2">
        <w:rPr>
          <w:rFonts w:ascii="Arial" w:hAnsi="Arial" w:cs="Arial"/>
          <w:b/>
          <w:bCs/>
        </w:rPr>
        <w:tab/>
      </w:r>
      <w:r>
        <w:rPr>
          <w:rFonts w:ascii="Arial" w:hAnsi="Arial" w:cs="Arial"/>
          <w:b/>
          <w:bCs/>
        </w:rPr>
        <w:t>FIRST APPLICANT</w:t>
      </w:r>
    </w:p>
    <w:p w14:paraId="5C6112B6" w14:textId="745F15FF" w:rsidR="00DB0AC0" w:rsidRPr="00D90BC2" w:rsidRDefault="00441882" w:rsidP="00441882">
      <w:pPr>
        <w:tabs>
          <w:tab w:val="right" w:pos="9026"/>
        </w:tabs>
        <w:spacing w:line="360" w:lineRule="auto"/>
        <w:contextualSpacing/>
        <w:jc w:val="both"/>
        <w:rPr>
          <w:rFonts w:ascii="Arial" w:hAnsi="Arial" w:cs="Arial"/>
          <w:b/>
          <w:bCs/>
        </w:rPr>
      </w:pPr>
      <w:r>
        <w:rPr>
          <w:rFonts w:asciiTheme="minorBidi" w:hAnsiTheme="minorBidi"/>
          <w:b/>
          <w:bCs/>
        </w:rPr>
        <w:t>BALAN NAIDOO N.O.</w:t>
      </w:r>
      <w:r>
        <w:rPr>
          <w:rFonts w:asciiTheme="minorBidi" w:hAnsiTheme="minorBidi"/>
          <w:b/>
          <w:bCs/>
        </w:rPr>
        <w:tab/>
        <w:t xml:space="preserve">        SECOND APPLICANT</w:t>
      </w:r>
    </w:p>
    <w:p w14:paraId="0EC02397" w14:textId="4B85BD81" w:rsidR="003E1994" w:rsidRDefault="00441882" w:rsidP="00441882">
      <w:pPr>
        <w:tabs>
          <w:tab w:val="right" w:pos="9026"/>
        </w:tabs>
        <w:spacing w:line="360" w:lineRule="auto"/>
        <w:contextualSpacing/>
        <w:jc w:val="both"/>
        <w:rPr>
          <w:rFonts w:ascii="Arial" w:hAnsi="Arial" w:cs="Arial"/>
          <w:b/>
        </w:rPr>
      </w:pPr>
      <w:r w:rsidRPr="00441882">
        <w:rPr>
          <w:rFonts w:ascii="Arial" w:hAnsi="Arial" w:cs="Arial"/>
          <w:b/>
        </w:rPr>
        <w:t>PR</w:t>
      </w:r>
      <w:r>
        <w:rPr>
          <w:rFonts w:ascii="Arial" w:hAnsi="Arial" w:cs="Arial"/>
          <w:b/>
        </w:rPr>
        <w:t>AVESH RAJKUMAR SINGH N.O.</w:t>
      </w:r>
      <w:r>
        <w:rPr>
          <w:rFonts w:ascii="Arial" w:hAnsi="Arial" w:cs="Arial"/>
          <w:b/>
        </w:rPr>
        <w:tab/>
        <w:t>THIRD APPLICANT</w:t>
      </w:r>
    </w:p>
    <w:p w14:paraId="64C3DFF1" w14:textId="6F1F4A53" w:rsidR="00441882" w:rsidRPr="00441882" w:rsidRDefault="00441882" w:rsidP="00441882">
      <w:pPr>
        <w:tabs>
          <w:tab w:val="right" w:pos="9026"/>
        </w:tabs>
        <w:spacing w:line="360" w:lineRule="auto"/>
        <w:contextualSpacing/>
        <w:jc w:val="both"/>
        <w:rPr>
          <w:rFonts w:ascii="Arial" w:hAnsi="Arial" w:cs="Arial"/>
          <w:b/>
        </w:rPr>
      </w:pPr>
      <w:r>
        <w:rPr>
          <w:rFonts w:ascii="Arial" w:hAnsi="Arial" w:cs="Arial"/>
          <w:b/>
        </w:rPr>
        <w:t>HEMNATH RAJKUMAR SINGH</w:t>
      </w:r>
      <w:r>
        <w:rPr>
          <w:rFonts w:ascii="Arial" w:hAnsi="Arial" w:cs="Arial"/>
          <w:b/>
        </w:rPr>
        <w:tab/>
        <w:t>FOURTH APPLICANT</w:t>
      </w:r>
    </w:p>
    <w:p w14:paraId="24824D9E" w14:textId="77777777" w:rsidR="00441882" w:rsidRDefault="00441882" w:rsidP="00D07734">
      <w:pPr>
        <w:tabs>
          <w:tab w:val="right" w:pos="8647"/>
        </w:tabs>
        <w:spacing w:line="360" w:lineRule="auto"/>
        <w:contextualSpacing/>
        <w:jc w:val="both"/>
        <w:rPr>
          <w:rFonts w:ascii="Arial" w:hAnsi="Arial" w:cs="Arial"/>
        </w:rPr>
      </w:pPr>
    </w:p>
    <w:p w14:paraId="7C2222B5" w14:textId="64EAF33D" w:rsidR="00E30E8A" w:rsidRPr="00D90BC2" w:rsidRDefault="00E30E8A" w:rsidP="00D07734">
      <w:pPr>
        <w:tabs>
          <w:tab w:val="right" w:pos="8647"/>
        </w:tabs>
        <w:spacing w:line="360" w:lineRule="auto"/>
        <w:contextualSpacing/>
        <w:jc w:val="both"/>
        <w:rPr>
          <w:rFonts w:ascii="Arial" w:hAnsi="Arial" w:cs="Arial"/>
        </w:rPr>
      </w:pPr>
      <w:r w:rsidRPr="00D90BC2">
        <w:rPr>
          <w:rFonts w:ascii="Arial" w:hAnsi="Arial" w:cs="Arial"/>
        </w:rPr>
        <w:t>and</w:t>
      </w:r>
    </w:p>
    <w:p w14:paraId="449A6533" w14:textId="77777777" w:rsidR="003E1994" w:rsidRPr="00D90BC2" w:rsidRDefault="003E1994" w:rsidP="00D07734">
      <w:pPr>
        <w:tabs>
          <w:tab w:val="right" w:pos="8647"/>
        </w:tabs>
        <w:spacing w:line="360" w:lineRule="auto"/>
        <w:contextualSpacing/>
        <w:jc w:val="both"/>
        <w:rPr>
          <w:rFonts w:ascii="Arial" w:hAnsi="Arial" w:cs="Arial"/>
          <w:b/>
          <w:bCs/>
        </w:rPr>
      </w:pPr>
    </w:p>
    <w:p w14:paraId="2B827AE0" w14:textId="035E4CAE" w:rsidR="00441882" w:rsidRPr="00D90BC2" w:rsidRDefault="00441882" w:rsidP="00441882">
      <w:pPr>
        <w:tabs>
          <w:tab w:val="right" w:pos="9026"/>
        </w:tabs>
        <w:spacing w:line="360" w:lineRule="auto"/>
        <w:contextualSpacing/>
        <w:jc w:val="both"/>
        <w:rPr>
          <w:rFonts w:ascii="Arial" w:hAnsi="Arial" w:cs="Arial"/>
          <w:b/>
          <w:bCs/>
        </w:rPr>
      </w:pPr>
      <w:r>
        <w:rPr>
          <w:rFonts w:ascii="Arial" w:hAnsi="Arial" w:cs="Arial"/>
          <w:b/>
          <w:bCs/>
        </w:rPr>
        <w:t>ABSA BANK LIMITED</w:t>
      </w:r>
      <w:r w:rsidRPr="00D90BC2">
        <w:rPr>
          <w:rFonts w:ascii="Arial" w:hAnsi="Arial" w:cs="Arial"/>
          <w:b/>
          <w:bCs/>
        </w:rPr>
        <w:tab/>
      </w:r>
      <w:r>
        <w:rPr>
          <w:rFonts w:ascii="Arial" w:hAnsi="Arial" w:cs="Arial"/>
          <w:b/>
          <w:bCs/>
        </w:rPr>
        <w:t>RESPONDENT</w:t>
      </w:r>
    </w:p>
    <w:p w14:paraId="7E9CE641" w14:textId="77777777" w:rsidR="007B5A39" w:rsidRPr="00BC645C" w:rsidRDefault="007B5A39" w:rsidP="00DD7934">
      <w:pPr>
        <w:pBdr>
          <w:bottom w:val="single" w:sz="12" w:space="1" w:color="auto"/>
        </w:pBdr>
        <w:tabs>
          <w:tab w:val="right" w:pos="9026"/>
        </w:tabs>
        <w:spacing w:line="360" w:lineRule="auto"/>
        <w:jc w:val="both"/>
        <w:rPr>
          <w:rFonts w:ascii="Arial" w:hAnsi="Arial" w:cs="Arial"/>
          <w:b/>
          <w:bCs/>
        </w:rPr>
      </w:pPr>
    </w:p>
    <w:p w14:paraId="643A3C9A" w14:textId="77777777" w:rsidR="00BC645C" w:rsidRPr="00BC645C" w:rsidRDefault="00BC645C" w:rsidP="00BC645C">
      <w:pPr>
        <w:rPr>
          <w:rFonts w:asciiTheme="minorBidi" w:hAnsiTheme="minorBidi"/>
          <w:bCs/>
        </w:rPr>
      </w:pPr>
    </w:p>
    <w:p w14:paraId="2933DCDA" w14:textId="77777777" w:rsidR="00BC645C" w:rsidRDefault="00BC645C" w:rsidP="00DA32C4">
      <w:pPr>
        <w:rPr>
          <w:rFonts w:asciiTheme="minorBidi" w:hAnsiTheme="minorBidi"/>
          <w:bCs/>
        </w:rPr>
      </w:pPr>
    </w:p>
    <w:p w14:paraId="45AC692B" w14:textId="77777777" w:rsidR="00DA32C4" w:rsidRPr="00DA32C4" w:rsidRDefault="00DA32C4" w:rsidP="00DA32C4">
      <w:pPr>
        <w:rPr>
          <w:rFonts w:asciiTheme="minorBidi" w:hAnsiTheme="minorBidi"/>
          <w:bCs/>
        </w:rPr>
      </w:pPr>
      <w:r w:rsidRPr="00DA32C4">
        <w:rPr>
          <w:rFonts w:asciiTheme="minorBidi" w:hAnsiTheme="minorBidi"/>
          <w:bCs/>
        </w:rPr>
        <w:t>Coram:</w:t>
      </w:r>
      <w:r w:rsidRPr="00DA32C4">
        <w:rPr>
          <w:rFonts w:asciiTheme="minorBidi" w:hAnsiTheme="minorBidi"/>
          <w:bCs/>
        </w:rPr>
        <w:tab/>
        <w:t xml:space="preserve">Mossop J </w:t>
      </w:r>
    </w:p>
    <w:p w14:paraId="024B6586" w14:textId="77777777" w:rsidR="00DA32C4" w:rsidRPr="00DA32C4" w:rsidRDefault="00DA32C4" w:rsidP="00DA32C4">
      <w:pPr>
        <w:rPr>
          <w:rFonts w:asciiTheme="minorBidi" w:hAnsiTheme="minorBidi"/>
          <w:bCs/>
        </w:rPr>
      </w:pPr>
    </w:p>
    <w:p w14:paraId="2182836C" w14:textId="640C91B0" w:rsidR="00DA32C4" w:rsidRPr="00DA32C4" w:rsidRDefault="00DA32C4" w:rsidP="00DA32C4">
      <w:pPr>
        <w:rPr>
          <w:rFonts w:asciiTheme="minorBidi" w:hAnsiTheme="minorBidi"/>
          <w:bCs/>
        </w:rPr>
      </w:pPr>
      <w:r w:rsidRPr="00DA32C4">
        <w:rPr>
          <w:rFonts w:asciiTheme="minorBidi" w:hAnsiTheme="minorBidi"/>
          <w:bCs/>
        </w:rPr>
        <w:t>Heard:</w:t>
      </w:r>
      <w:r w:rsidRPr="00DA32C4">
        <w:rPr>
          <w:rFonts w:asciiTheme="minorBidi" w:hAnsiTheme="minorBidi"/>
          <w:bCs/>
        </w:rPr>
        <w:tab/>
      </w:r>
      <w:r w:rsidR="003138FF">
        <w:rPr>
          <w:rFonts w:asciiTheme="minorBidi" w:hAnsiTheme="minorBidi"/>
          <w:bCs/>
        </w:rPr>
        <w:t>28 July</w:t>
      </w:r>
      <w:r w:rsidRPr="00DA32C4">
        <w:rPr>
          <w:rFonts w:asciiTheme="minorBidi" w:hAnsiTheme="minorBidi"/>
          <w:bCs/>
        </w:rPr>
        <w:t xml:space="preserve"> 2023</w:t>
      </w:r>
    </w:p>
    <w:p w14:paraId="26F8937D" w14:textId="77777777" w:rsidR="00DA32C4" w:rsidRPr="00DA32C4" w:rsidRDefault="00DA32C4" w:rsidP="00DA32C4">
      <w:pPr>
        <w:rPr>
          <w:rFonts w:asciiTheme="minorBidi" w:hAnsiTheme="minorBidi"/>
          <w:bCs/>
        </w:rPr>
      </w:pPr>
    </w:p>
    <w:p w14:paraId="293EF74E" w14:textId="3E7E5801" w:rsidR="00DA32C4" w:rsidRPr="00DA32C4" w:rsidRDefault="00DA32C4" w:rsidP="00DA32C4">
      <w:pPr>
        <w:rPr>
          <w:rFonts w:asciiTheme="minorBidi" w:hAnsiTheme="minorBidi"/>
          <w:bCs/>
        </w:rPr>
      </w:pPr>
      <w:r w:rsidRPr="00DA32C4">
        <w:rPr>
          <w:rFonts w:asciiTheme="minorBidi" w:hAnsiTheme="minorBidi"/>
          <w:bCs/>
        </w:rPr>
        <w:t>Delivered:</w:t>
      </w:r>
      <w:r w:rsidRPr="00DA32C4">
        <w:rPr>
          <w:rFonts w:asciiTheme="minorBidi" w:hAnsiTheme="minorBidi"/>
          <w:bCs/>
        </w:rPr>
        <w:tab/>
      </w:r>
      <w:r w:rsidR="003138FF">
        <w:rPr>
          <w:rFonts w:asciiTheme="minorBidi" w:hAnsiTheme="minorBidi"/>
          <w:bCs/>
        </w:rPr>
        <w:t>28 July</w:t>
      </w:r>
      <w:r w:rsidRPr="00DA32C4">
        <w:rPr>
          <w:rFonts w:asciiTheme="minorBidi" w:hAnsiTheme="minorBidi"/>
          <w:bCs/>
        </w:rPr>
        <w:t xml:space="preserve"> 2023</w:t>
      </w:r>
    </w:p>
    <w:p w14:paraId="6FA23D74" w14:textId="77777777" w:rsidR="00DA32C4" w:rsidRPr="00DA32C4" w:rsidRDefault="00DA32C4" w:rsidP="00DA32C4">
      <w:pPr>
        <w:rPr>
          <w:rFonts w:asciiTheme="minorBidi" w:hAnsiTheme="minorBidi"/>
          <w:b/>
          <w:bCs/>
        </w:rPr>
      </w:pPr>
    </w:p>
    <w:p w14:paraId="3E1C8E57" w14:textId="77777777" w:rsidR="00E30E8A" w:rsidRPr="00D90BC2" w:rsidRDefault="00E30E8A" w:rsidP="00E30E8A">
      <w:pPr>
        <w:pBdr>
          <w:bottom w:val="single" w:sz="12" w:space="1" w:color="auto"/>
        </w:pBdr>
        <w:jc w:val="both"/>
        <w:rPr>
          <w:rFonts w:ascii="Arial" w:hAnsi="Arial" w:cs="Arial"/>
          <w:b/>
          <w:bCs/>
        </w:rPr>
      </w:pPr>
    </w:p>
    <w:p w14:paraId="688D7B8A" w14:textId="77777777" w:rsidR="00E30E8A" w:rsidRPr="00D90BC2" w:rsidRDefault="00E30E8A" w:rsidP="00E30E8A">
      <w:pPr>
        <w:jc w:val="both"/>
        <w:rPr>
          <w:rFonts w:ascii="Arial" w:hAnsi="Arial" w:cs="Arial"/>
          <w:b/>
          <w:bCs/>
        </w:rPr>
      </w:pPr>
    </w:p>
    <w:p w14:paraId="16C95878" w14:textId="77777777" w:rsidR="00E30E8A" w:rsidRPr="00D90BC2" w:rsidRDefault="00E30E8A" w:rsidP="00E30E8A">
      <w:pPr>
        <w:pBdr>
          <w:bottom w:val="single" w:sz="12" w:space="1" w:color="auto"/>
        </w:pBdr>
        <w:jc w:val="center"/>
        <w:rPr>
          <w:rFonts w:ascii="Arial" w:hAnsi="Arial" w:cs="Arial"/>
          <w:b/>
          <w:bCs/>
        </w:rPr>
      </w:pPr>
      <w:r w:rsidRPr="00D90BC2">
        <w:rPr>
          <w:rFonts w:ascii="Arial" w:hAnsi="Arial" w:cs="Arial"/>
          <w:b/>
          <w:bCs/>
        </w:rPr>
        <w:t>ORDER</w:t>
      </w:r>
    </w:p>
    <w:p w14:paraId="4553A652" w14:textId="77777777" w:rsidR="00E30E8A" w:rsidRPr="00D90BC2" w:rsidRDefault="00E30E8A" w:rsidP="00E30E8A">
      <w:pPr>
        <w:pBdr>
          <w:bottom w:val="single" w:sz="12" w:space="1" w:color="auto"/>
        </w:pBdr>
        <w:jc w:val="center"/>
        <w:rPr>
          <w:rFonts w:ascii="Arial" w:hAnsi="Arial" w:cs="Arial"/>
          <w:b/>
          <w:bCs/>
        </w:rPr>
      </w:pPr>
    </w:p>
    <w:p w14:paraId="35207081" w14:textId="77777777" w:rsidR="00196C09" w:rsidRDefault="00196C09"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3888E11A" w14:textId="33D7D9EE" w:rsidR="00BC645C" w:rsidRDefault="00012BA6"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r>
        <w:rPr>
          <w:rFonts w:ascii="Arial" w:eastAsia="Times New Roman" w:hAnsi="Arial" w:cs="Arial"/>
          <w:bCs/>
          <w:sz w:val="24"/>
          <w:szCs w:val="24"/>
          <w:lang w:val="en-ZA" w:eastAsia="en-GB" w:bidi="yi-Hebr"/>
        </w:rPr>
        <w:t>The following order is granted:</w:t>
      </w:r>
    </w:p>
    <w:p w14:paraId="7AD0412B" w14:textId="77777777" w:rsidR="00441882" w:rsidRDefault="00441882"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76306CEC" w14:textId="46C30A0F" w:rsidR="000A0C69" w:rsidRPr="00317A8B" w:rsidRDefault="00317A8B" w:rsidP="00317A8B">
      <w:pPr>
        <w:tabs>
          <w:tab w:val="left" w:pos="709"/>
          <w:tab w:val="left" w:pos="1418"/>
        </w:tabs>
        <w:spacing w:line="360" w:lineRule="auto"/>
        <w:jc w:val="both"/>
        <w:rPr>
          <w:rFonts w:ascii="Arial" w:hAnsi="Arial" w:cs="Arial"/>
          <w:bCs/>
        </w:rPr>
      </w:pPr>
      <w:r>
        <w:rPr>
          <w:rFonts w:ascii="Arial" w:hAnsi="Arial" w:cs="Arial"/>
          <w:bCs/>
        </w:rPr>
        <w:t>1.</w:t>
      </w:r>
      <w:r>
        <w:rPr>
          <w:rFonts w:ascii="Arial" w:hAnsi="Arial" w:cs="Arial"/>
          <w:bCs/>
        </w:rPr>
        <w:tab/>
      </w:r>
      <w:r w:rsidR="000A0C69" w:rsidRPr="00317A8B">
        <w:rPr>
          <w:rFonts w:ascii="Arial" w:hAnsi="Arial" w:cs="Arial"/>
          <w:bCs/>
        </w:rPr>
        <w:t xml:space="preserve">The </w:t>
      </w:r>
      <w:r w:rsidR="003138FF" w:rsidRPr="00317A8B">
        <w:rPr>
          <w:rFonts w:ascii="Arial" w:hAnsi="Arial" w:cs="Arial"/>
          <w:bCs/>
        </w:rPr>
        <w:t>application for leave to appeal is refused with costs.</w:t>
      </w:r>
    </w:p>
    <w:p w14:paraId="6F8B5CF7" w14:textId="77777777" w:rsidR="005C36C8" w:rsidRPr="00D90BC2" w:rsidRDefault="005C36C8" w:rsidP="00070440">
      <w:pPr>
        <w:pBdr>
          <w:bottom w:val="single" w:sz="12" w:space="1" w:color="auto"/>
        </w:pBdr>
        <w:spacing w:line="360" w:lineRule="auto"/>
        <w:jc w:val="both"/>
        <w:rPr>
          <w:rFonts w:ascii="Arial" w:hAnsi="Arial" w:cs="Arial"/>
          <w:b/>
          <w:bCs/>
        </w:rPr>
      </w:pPr>
    </w:p>
    <w:p w14:paraId="507A7314" w14:textId="77777777" w:rsidR="00E30E8A" w:rsidRPr="00D90BC2" w:rsidRDefault="00E30E8A" w:rsidP="00E30E8A">
      <w:pPr>
        <w:jc w:val="both"/>
        <w:rPr>
          <w:rFonts w:ascii="Arial" w:hAnsi="Arial" w:cs="Arial"/>
          <w:b/>
          <w:bCs/>
        </w:rPr>
      </w:pPr>
    </w:p>
    <w:p w14:paraId="049DB025" w14:textId="77777777" w:rsidR="00E30E8A" w:rsidRPr="00D90BC2" w:rsidRDefault="00E30E8A" w:rsidP="00E30E8A">
      <w:pPr>
        <w:pBdr>
          <w:bottom w:val="single" w:sz="12" w:space="1" w:color="auto"/>
        </w:pBdr>
        <w:jc w:val="center"/>
        <w:rPr>
          <w:rFonts w:ascii="Arial" w:hAnsi="Arial" w:cs="Arial"/>
          <w:b/>
          <w:bCs/>
        </w:rPr>
      </w:pPr>
      <w:r w:rsidRPr="00D90BC2">
        <w:rPr>
          <w:rFonts w:ascii="Arial" w:hAnsi="Arial" w:cs="Arial"/>
          <w:b/>
          <w:bCs/>
        </w:rPr>
        <w:t>JUDGMENT</w:t>
      </w:r>
    </w:p>
    <w:p w14:paraId="307B21CE" w14:textId="77777777" w:rsidR="00E30E8A" w:rsidRPr="00D90BC2" w:rsidRDefault="00E30E8A" w:rsidP="00E30E8A">
      <w:pPr>
        <w:pBdr>
          <w:bottom w:val="single" w:sz="12" w:space="1" w:color="auto"/>
        </w:pBdr>
        <w:jc w:val="center"/>
        <w:rPr>
          <w:rFonts w:ascii="Arial" w:hAnsi="Arial" w:cs="Arial"/>
          <w:b/>
          <w:bCs/>
        </w:rPr>
      </w:pPr>
    </w:p>
    <w:p w14:paraId="7ECCB5AC" w14:textId="77777777" w:rsidR="00E30E8A" w:rsidRPr="00D90BC2" w:rsidRDefault="00E30E8A" w:rsidP="00233DFA">
      <w:pPr>
        <w:spacing w:line="360" w:lineRule="auto"/>
        <w:jc w:val="both"/>
        <w:rPr>
          <w:rFonts w:ascii="Arial" w:hAnsi="Arial" w:cs="Arial"/>
          <w:b/>
          <w:bCs/>
        </w:rPr>
      </w:pPr>
    </w:p>
    <w:p w14:paraId="0E627F86" w14:textId="77777777" w:rsidR="00E30E8A" w:rsidRPr="00D90BC2" w:rsidRDefault="000D24DB" w:rsidP="00233DFA">
      <w:pPr>
        <w:spacing w:line="360" w:lineRule="auto"/>
        <w:jc w:val="both"/>
        <w:rPr>
          <w:rFonts w:ascii="Arial" w:hAnsi="Arial" w:cs="Arial"/>
          <w:b/>
          <w:bCs/>
        </w:rPr>
      </w:pPr>
      <w:r w:rsidRPr="00D90BC2">
        <w:rPr>
          <w:rFonts w:ascii="Arial" w:hAnsi="Arial" w:cs="Arial"/>
          <w:b/>
        </w:rPr>
        <w:t>M</w:t>
      </w:r>
      <w:r w:rsidR="00E721D2" w:rsidRPr="00D90BC2">
        <w:rPr>
          <w:rFonts w:ascii="Arial" w:hAnsi="Arial" w:cs="Arial"/>
          <w:b/>
        </w:rPr>
        <w:t>OSSOP</w:t>
      </w:r>
      <w:r w:rsidRPr="00D90BC2">
        <w:rPr>
          <w:rFonts w:ascii="Arial" w:hAnsi="Arial" w:cs="Arial"/>
          <w:b/>
        </w:rPr>
        <w:t xml:space="preserve"> </w:t>
      </w:r>
      <w:r w:rsidR="00A716F4" w:rsidRPr="00D90BC2">
        <w:rPr>
          <w:rFonts w:ascii="Arial" w:hAnsi="Arial" w:cs="Arial"/>
          <w:b/>
        </w:rPr>
        <w:t>J</w:t>
      </w:r>
      <w:r w:rsidRPr="00D90BC2">
        <w:rPr>
          <w:rFonts w:ascii="Arial" w:hAnsi="Arial" w:cs="Arial"/>
          <w:b/>
          <w:bCs/>
        </w:rPr>
        <w:t>:</w:t>
      </w:r>
    </w:p>
    <w:p w14:paraId="73C2EADA" w14:textId="77777777" w:rsidR="00C86E89" w:rsidRPr="00D90BC2" w:rsidRDefault="00C86E89" w:rsidP="00233DFA">
      <w:pPr>
        <w:spacing w:line="360" w:lineRule="auto"/>
        <w:jc w:val="both"/>
        <w:rPr>
          <w:rFonts w:ascii="Arial" w:hAnsi="Arial" w:cs="Arial"/>
          <w:b/>
          <w:bCs/>
        </w:rPr>
      </w:pPr>
    </w:p>
    <w:p w14:paraId="6600660B" w14:textId="74E7B324" w:rsidR="00F875DC" w:rsidRPr="00317A8B" w:rsidRDefault="00317A8B" w:rsidP="00317A8B">
      <w:pPr>
        <w:tabs>
          <w:tab w:val="left" w:pos="709"/>
          <w:tab w:val="left" w:pos="1418"/>
        </w:tabs>
        <w:spacing w:line="360" w:lineRule="auto"/>
        <w:jc w:val="both"/>
        <w:rPr>
          <w:rFonts w:ascii="Arial" w:hAnsi="Arial" w:cs="Arial"/>
          <w:bCs/>
        </w:rPr>
      </w:pPr>
      <w:r w:rsidRPr="003138FF">
        <w:rPr>
          <w:rFonts w:ascii="Arial" w:hAnsi="Arial" w:cs="Arial"/>
          <w:bCs/>
        </w:rPr>
        <w:t>[1]</w:t>
      </w:r>
      <w:r w:rsidRPr="003138FF">
        <w:rPr>
          <w:rFonts w:ascii="Arial" w:hAnsi="Arial" w:cs="Arial"/>
          <w:bCs/>
        </w:rPr>
        <w:tab/>
      </w:r>
      <w:r w:rsidR="00F875DC" w:rsidRPr="00317A8B">
        <w:rPr>
          <w:rFonts w:ascii="Arial" w:hAnsi="Arial" w:cs="Arial"/>
        </w:rPr>
        <w:t xml:space="preserve">On 12 April 2023 I </w:t>
      </w:r>
      <w:r w:rsidR="003138FF" w:rsidRPr="00317A8B">
        <w:rPr>
          <w:rFonts w:ascii="Arial" w:hAnsi="Arial" w:cs="Arial"/>
        </w:rPr>
        <w:t>handed down</w:t>
      </w:r>
      <w:r w:rsidR="00F875DC" w:rsidRPr="00317A8B">
        <w:rPr>
          <w:rFonts w:ascii="Arial" w:hAnsi="Arial" w:cs="Arial"/>
        </w:rPr>
        <w:t xml:space="preserve"> judgment in this matter. In that judgment, I confirmed my earlier decision to refuse the respondents leave to deliver a </w:t>
      </w:r>
      <w:r w:rsidR="00F875DC" w:rsidRPr="00317A8B">
        <w:rPr>
          <w:rFonts w:ascii="Arial" w:hAnsi="Arial" w:cs="Arial"/>
          <w:bCs/>
        </w:rPr>
        <w:t>further answering affidavit and I granted judgment against the respondents, jointly and severally, the one paying the other to be absolved, for payment of the sum of R18 039 598.59, interest thereon at the rate of 8,25% (prime plus 1.00%) per annum capitalised monthly from 2 June 2020 to date of payment, both days included and costs of suit on the scale as between attorney and client.</w:t>
      </w:r>
    </w:p>
    <w:p w14:paraId="791CA061" w14:textId="77777777" w:rsidR="00F875DC" w:rsidRPr="003138FF" w:rsidRDefault="00F875DC" w:rsidP="00F875DC">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625472AD" w14:textId="3D6B8C8E" w:rsidR="00153263" w:rsidRPr="00317A8B" w:rsidRDefault="00317A8B" w:rsidP="00317A8B">
      <w:pPr>
        <w:tabs>
          <w:tab w:val="left" w:pos="709"/>
          <w:tab w:val="left" w:pos="1418"/>
        </w:tabs>
        <w:spacing w:line="360" w:lineRule="auto"/>
        <w:jc w:val="both"/>
        <w:rPr>
          <w:rFonts w:ascii="Arial" w:hAnsi="Arial" w:cs="Arial"/>
          <w:bCs/>
        </w:rPr>
      </w:pPr>
      <w:r w:rsidRPr="003138FF">
        <w:rPr>
          <w:rFonts w:ascii="Arial" w:hAnsi="Arial" w:cs="Arial"/>
          <w:bCs/>
        </w:rPr>
        <w:t>[2]</w:t>
      </w:r>
      <w:r w:rsidRPr="003138FF">
        <w:rPr>
          <w:rFonts w:ascii="Arial" w:hAnsi="Arial" w:cs="Arial"/>
          <w:bCs/>
        </w:rPr>
        <w:tab/>
      </w:r>
      <w:r w:rsidR="00F875DC" w:rsidRPr="00317A8B">
        <w:rPr>
          <w:rFonts w:ascii="Arial" w:hAnsi="Arial" w:cs="Arial"/>
          <w:bCs/>
        </w:rPr>
        <w:t xml:space="preserve">The </w:t>
      </w:r>
      <w:r w:rsidR="00441882" w:rsidRPr="00317A8B">
        <w:rPr>
          <w:rFonts w:ascii="Arial" w:hAnsi="Arial" w:cs="Arial"/>
          <w:bCs/>
        </w:rPr>
        <w:t>applicant</w:t>
      </w:r>
      <w:r w:rsidR="00F875DC" w:rsidRPr="00317A8B">
        <w:rPr>
          <w:rFonts w:ascii="Arial" w:hAnsi="Arial" w:cs="Arial"/>
          <w:bCs/>
        </w:rPr>
        <w:t>s now seek leave to appeal each of the orders that I granted. This morning, the</w:t>
      </w:r>
      <w:r w:rsidR="00441882" w:rsidRPr="00317A8B">
        <w:rPr>
          <w:rFonts w:ascii="Arial" w:hAnsi="Arial" w:cs="Arial"/>
          <w:bCs/>
        </w:rPr>
        <w:t xml:space="preserve">y </w:t>
      </w:r>
      <w:r w:rsidR="00F875DC" w:rsidRPr="00317A8B">
        <w:rPr>
          <w:rFonts w:ascii="Arial" w:hAnsi="Arial" w:cs="Arial"/>
          <w:bCs/>
        </w:rPr>
        <w:t>were</w:t>
      </w:r>
      <w:r w:rsidR="00441882" w:rsidRPr="00317A8B">
        <w:rPr>
          <w:rFonts w:ascii="Arial" w:hAnsi="Arial" w:cs="Arial"/>
          <w:bCs/>
        </w:rPr>
        <w:t xml:space="preserve"> now represented by Mr Kissoon Singh SC and the respondent</w:t>
      </w:r>
      <w:r w:rsidR="00F875DC" w:rsidRPr="00317A8B">
        <w:rPr>
          <w:rFonts w:ascii="Arial" w:hAnsi="Arial" w:cs="Arial"/>
          <w:bCs/>
        </w:rPr>
        <w:t xml:space="preserve"> was, as before, represented by Mr van Rooyen. </w:t>
      </w:r>
      <w:r w:rsidR="00441882" w:rsidRPr="00317A8B">
        <w:rPr>
          <w:rFonts w:ascii="Arial" w:hAnsi="Arial" w:cs="Arial"/>
          <w:bCs/>
        </w:rPr>
        <w:t xml:space="preserve">Counsel are thanked for their </w:t>
      </w:r>
      <w:r w:rsidR="00F875DC" w:rsidRPr="00317A8B">
        <w:rPr>
          <w:rFonts w:ascii="Arial" w:hAnsi="Arial" w:cs="Arial"/>
          <w:bCs/>
        </w:rPr>
        <w:t>or their assistance.</w:t>
      </w:r>
    </w:p>
    <w:p w14:paraId="67A93393" w14:textId="77777777" w:rsidR="00153263" w:rsidRPr="003138FF" w:rsidRDefault="00153263" w:rsidP="00153263">
      <w:pPr>
        <w:pStyle w:val="ListParagraph"/>
        <w:spacing w:line="360" w:lineRule="auto"/>
        <w:rPr>
          <w:rFonts w:ascii="Arial" w:hAnsi="Arial" w:cs="Arial"/>
          <w:sz w:val="24"/>
          <w:szCs w:val="24"/>
        </w:rPr>
      </w:pPr>
    </w:p>
    <w:p w14:paraId="75C92C03" w14:textId="1B7A66F1" w:rsidR="00153263" w:rsidRPr="00317A8B" w:rsidRDefault="00317A8B" w:rsidP="00317A8B">
      <w:pPr>
        <w:tabs>
          <w:tab w:val="left" w:pos="709"/>
          <w:tab w:val="left" w:pos="1418"/>
        </w:tabs>
        <w:spacing w:line="360" w:lineRule="auto"/>
        <w:jc w:val="both"/>
        <w:rPr>
          <w:rFonts w:ascii="Arial" w:hAnsi="Arial" w:cs="Arial"/>
          <w:bCs/>
        </w:rPr>
      </w:pPr>
      <w:r w:rsidRPr="00153263">
        <w:rPr>
          <w:rFonts w:ascii="Arial" w:hAnsi="Arial" w:cs="Arial"/>
          <w:bCs/>
        </w:rPr>
        <w:t>[3]</w:t>
      </w:r>
      <w:r w:rsidRPr="00153263">
        <w:rPr>
          <w:rFonts w:ascii="Arial" w:hAnsi="Arial" w:cs="Arial"/>
          <w:bCs/>
        </w:rPr>
        <w:tab/>
      </w:r>
      <w:r w:rsidR="00153263" w:rsidRPr="00317A8B">
        <w:rPr>
          <w:rFonts w:ascii="Arial" w:hAnsi="Arial" w:cs="Arial"/>
        </w:rPr>
        <w:t xml:space="preserve">Section 17 of the </w:t>
      </w:r>
      <w:hyperlink r:id="rId9" w:history="1">
        <w:r w:rsidR="00153263" w:rsidRPr="00317A8B">
          <w:rPr>
            <w:rFonts w:ascii="Arial" w:hAnsi="Arial" w:cs="Arial"/>
            <w:bCs/>
          </w:rPr>
          <w:t>Superior Courts Act, 10 of 2013</w:t>
        </w:r>
      </w:hyperlink>
      <w:r w:rsidR="00153263" w:rsidRPr="00317A8B">
        <w:rPr>
          <w:rFonts w:ascii="Arial" w:hAnsi="Arial" w:cs="Arial"/>
          <w:bCs/>
        </w:rPr>
        <w:t xml:space="preserve"> (the Act) </w:t>
      </w:r>
      <w:r w:rsidR="00153263" w:rsidRPr="00317A8B">
        <w:rPr>
          <w:rFonts w:ascii="Arial" w:hAnsi="Arial" w:cs="Arial"/>
        </w:rPr>
        <w:t>regulates applications for leave to appeal from a decision of a High Court. It provides as follows:</w:t>
      </w:r>
      <w:r w:rsidR="00153263" w:rsidRPr="00317A8B">
        <w:t xml:space="preserve"> </w:t>
      </w:r>
    </w:p>
    <w:p w14:paraId="41AA7656" w14:textId="77777777" w:rsidR="00153263" w:rsidRPr="00153263" w:rsidRDefault="00153263" w:rsidP="00153263">
      <w:pPr>
        <w:tabs>
          <w:tab w:val="left" w:pos="709"/>
        </w:tabs>
        <w:spacing w:line="360" w:lineRule="auto"/>
        <w:contextualSpacing/>
        <w:jc w:val="both"/>
        <w:rPr>
          <w:rFonts w:ascii="Arial" w:hAnsi="Arial" w:cs="Arial"/>
          <w:sz w:val="22"/>
          <w:szCs w:val="22"/>
        </w:rPr>
      </w:pPr>
      <w:r w:rsidRPr="00153263">
        <w:rPr>
          <w:rFonts w:ascii="Arial" w:hAnsi="Arial" w:cs="Arial"/>
          <w:sz w:val="22"/>
          <w:szCs w:val="22"/>
        </w:rPr>
        <w:t xml:space="preserve">‘(1) Leave to appeal may only be given where the judge or judges concerned are of the opinion that - </w:t>
      </w:r>
    </w:p>
    <w:p w14:paraId="438A95D6" w14:textId="7501F2EB" w:rsidR="00153263" w:rsidRPr="00153263" w:rsidRDefault="00317A8B" w:rsidP="00317A8B">
      <w:pPr>
        <w:shd w:val="clear" w:color="auto" w:fill="FFFFFF"/>
        <w:tabs>
          <w:tab w:val="left" w:pos="709"/>
        </w:tabs>
        <w:spacing w:line="360" w:lineRule="auto"/>
        <w:ind w:left="720" w:hanging="720"/>
        <w:jc w:val="both"/>
        <w:rPr>
          <w:rFonts w:ascii="Arial" w:hAnsi="Arial" w:cs="Arial"/>
          <w:sz w:val="22"/>
          <w:szCs w:val="22"/>
        </w:rPr>
      </w:pPr>
      <w:r w:rsidRPr="00153263">
        <w:rPr>
          <w:rFonts w:ascii="Arial" w:hAnsi="Arial" w:cs="Arial"/>
          <w:i/>
          <w:sz w:val="22"/>
          <w:szCs w:val="22"/>
        </w:rPr>
        <w:t>(a)</w:t>
      </w:r>
      <w:r w:rsidRPr="00153263">
        <w:rPr>
          <w:rFonts w:ascii="Arial" w:hAnsi="Arial" w:cs="Arial"/>
          <w:i/>
          <w:sz w:val="22"/>
          <w:szCs w:val="22"/>
        </w:rPr>
        <w:tab/>
      </w:r>
      <w:r w:rsidR="00153263" w:rsidRPr="00153263">
        <w:rPr>
          <w:rFonts w:ascii="Arial" w:hAnsi="Arial" w:cs="Arial"/>
          <w:sz w:val="22"/>
          <w:szCs w:val="22"/>
        </w:rPr>
        <w:t>(i)</w:t>
      </w:r>
      <w:r w:rsidR="00153263" w:rsidRPr="00153263">
        <w:rPr>
          <w:rFonts w:ascii="Arial" w:hAnsi="Arial" w:cs="Arial"/>
          <w:sz w:val="22"/>
          <w:szCs w:val="22"/>
        </w:rPr>
        <w:tab/>
        <w:t xml:space="preserve">the appeal would have a reasonable prospect of success; or </w:t>
      </w:r>
    </w:p>
    <w:p w14:paraId="36A30F5B" w14:textId="77777777" w:rsidR="00153263" w:rsidRPr="00153263" w:rsidRDefault="00153263" w:rsidP="00153263">
      <w:pPr>
        <w:shd w:val="clear" w:color="auto" w:fill="FFFFFF"/>
        <w:tabs>
          <w:tab w:val="left" w:pos="709"/>
        </w:tabs>
        <w:spacing w:line="360" w:lineRule="auto"/>
        <w:ind w:left="1440" w:hanging="1440"/>
        <w:jc w:val="both"/>
        <w:rPr>
          <w:rFonts w:ascii="Arial" w:hAnsi="Arial" w:cs="Arial"/>
          <w:sz w:val="22"/>
          <w:szCs w:val="22"/>
        </w:rPr>
      </w:pPr>
      <w:r w:rsidRPr="00153263">
        <w:rPr>
          <w:rFonts w:ascii="Arial" w:hAnsi="Arial" w:cs="Arial"/>
          <w:sz w:val="22"/>
          <w:szCs w:val="22"/>
        </w:rPr>
        <w:t xml:space="preserve">   </w:t>
      </w:r>
      <w:r w:rsidRPr="00153263">
        <w:rPr>
          <w:rFonts w:ascii="Arial" w:hAnsi="Arial" w:cs="Arial"/>
          <w:sz w:val="22"/>
          <w:szCs w:val="22"/>
        </w:rPr>
        <w:tab/>
        <w:t xml:space="preserve">(ii) </w:t>
      </w:r>
      <w:r w:rsidRPr="00153263">
        <w:rPr>
          <w:rFonts w:ascii="Arial" w:hAnsi="Arial" w:cs="Arial"/>
          <w:sz w:val="22"/>
          <w:szCs w:val="22"/>
        </w:rPr>
        <w:tab/>
        <w:t xml:space="preserve">there is some other compelling reason why the appeal should be heard, including conflicting judgments on the matter under consideration; </w:t>
      </w:r>
    </w:p>
    <w:p w14:paraId="2890DD04" w14:textId="77777777" w:rsidR="00153263" w:rsidRPr="00153263" w:rsidRDefault="00153263" w:rsidP="00153263">
      <w:pPr>
        <w:shd w:val="clear" w:color="auto" w:fill="FFFFFF"/>
        <w:tabs>
          <w:tab w:val="left" w:pos="709"/>
        </w:tabs>
        <w:spacing w:line="360" w:lineRule="auto"/>
        <w:jc w:val="both"/>
        <w:rPr>
          <w:rFonts w:ascii="Arial" w:hAnsi="Arial" w:cs="Arial"/>
          <w:sz w:val="22"/>
          <w:szCs w:val="22"/>
        </w:rPr>
      </w:pPr>
      <w:r w:rsidRPr="00153263">
        <w:rPr>
          <w:rFonts w:ascii="Arial" w:hAnsi="Arial" w:cs="Arial"/>
          <w:i/>
          <w:sz w:val="22"/>
          <w:szCs w:val="22"/>
        </w:rPr>
        <w:t>(b)</w:t>
      </w:r>
      <w:r w:rsidRPr="00153263">
        <w:rPr>
          <w:rFonts w:ascii="Arial" w:hAnsi="Arial" w:cs="Arial"/>
          <w:sz w:val="22"/>
          <w:szCs w:val="22"/>
        </w:rPr>
        <w:t xml:space="preserve"> the decision sought on appeal does not fall within the ambit of section 16(2)(a); and </w:t>
      </w:r>
    </w:p>
    <w:p w14:paraId="587BBCD1" w14:textId="77777777" w:rsidR="00153263" w:rsidRPr="00153263" w:rsidRDefault="00153263" w:rsidP="00153263">
      <w:pPr>
        <w:shd w:val="clear" w:color="auto" w:fill="FFFFFF"/>
        <w:tabs>
          <w:tab w:val="left" w:pos="709"/>
        </w:tabs>
        <w:spacing w:line="360" w:lineRule="auto"/>
        <w:jc w:val="both"/>
        <w:rPr>
          <w:sz w:val="22"/>
          <w:szCs w:val="22"/>
        </w:rPr>
      </w:pPr>
      <w:r w:rsidRPr="00153263">
        <w:rPr>
          <w:rFonts w:ascii="Arial" w:hAnsi="Arial" w:cs="Arial"/>
          <w:i/>
          <w:sz w:val="22"/>
          <w:szCs w:val="22"/>
        </w:rPr>
        <w:t>(c)</w:t>
      </w:r>
      <w:r w:rsidRPr="00153263">
        <w:rPr>
          <w:rFonts w:ascii="Arial" w:hAnsi="Arial" w:cs="Arial"/>
          <w:sz w:val="22"/>
          <w:szCs w:val="22"/>
        </w:rPr>
        <w:t xml:space="preserve"> Where the decision sought to be appealed does not dispose of all the issues in the case, the appeal would lead to a just and prompt resolution of the real issues between the parties.'</w:t>
      </w:r>
      <w:r w:rsidRPr="00153263">
        <w:rPr>
          <w:sz w:val="22"/>
          <w:szCs w:val="22"/>
        </w:rPr>
        <w:t xml:space="preserve"> </w:t>
      </w:r>
    </w:p>
    <w:p w14:paraId="1E077A04" w14:textId="77777777" w:rsidR="00153263" w:rsidRPr="003138FF" w:rsidRDefault="00153263" w:rsidP="00153263">
      <w:pPr>
        <w:pStyle w:val="ListParagraph"/>
        <w:tabs>
          <w:tab w:val="left" w:pos="709"/>
          <w:tab w:val="left" w:pos="1418"/>
        </w:tabs>
        <w:spacing w:after="0" w:line="360" w:lineRule="auto"/>
        <w:ind w:left="0"/>
        <w:jc w:val="both"/>
        <w:rPr>
          <w:rFonts w:ascii="Arial" w:hAnsi="Arial" w:cs="Arial"/>
          <w:sz w:val="24"/>
          <w:szCs w:val="24"/>
          <w:lang w:val="en-ZA"/>
        </w:rPr>
      </w:pPr>
    </w:p>
    <w:p w14:paraId="0899B27D" w14:textId="75270544" w:rsidR="00153263" w:rsidRPr="00317A8B" w:rsidRDefault="00317A8B" w:rsidP="00317A8B">
      <w:pPr>
        <w:tabs>
          <w:tab w:val="left" w:pos="709"/>
          <w:tab w:val="left" w:pos="1418"/>
        </w:tabs>
        <w:spacing w:line="360" w:lineRule="auto"/>
        <w:jc w:val="both"/>
        <w:rPr>
          <w:rFonts w:ascii="Arial" w:hAnsi="Arial" w:cs="Arial"/>
          <w:bCs/>
        </w:rPr>
      </w:pPr>
      <w:r w:rsidRPr="003138FF">
        <w:rPr>
          <w:rFonts w:ascii="Arial" w:hAnsi="Arial" w:cs="Arial"/>
          <w:bCs/>
        </w:rPr>
        <w:t>[4]</w:t>
      </w:r>
      <w:r w:rsidRPr="003138FF">
        <w:rPr>
          <w:rFonts w:ascii="Arial" w:hAnsi="Arial" w:cs="Arial"/>
          <w:bCs/>
        </w:rPr>
        <w:tab/>
      </w:r>
      <w:r w:rsidR="00153263" w:rsidRPr="00317A8B">
        <w:rPr>
          <w:rFonts w:ascii="Arial" w:hAnsi="Arial" w:cs="Arial"/>
        </w:rPr>
        <w:t xml:space="preserve">Prior to the enactment of the Act, the applicable test in an application for leave to appeal was whether there were reasonable prospects that an appeal court may come to a different conclusion than that arrived at by the lower court. The enactment of the Act has changed that test and has significantly raised the threshold for the </w:t>
      </w:r>
      <w:r w:rsidR="00153263" w:rsidRPr="00317A8B">
        <w:rPr>
          <w:rFonts w:ascii="Arial" w:hAnsi="Arial" w:cs="Arial"/>
        </w:rPr>
        <w:lastRenderedPageBreak/>
        <w:t>granting of leave to appeal.</w:t>
      </w:r>
      <w:r w:rsidR="00153263" w:rsidRPr="003138FF">
        <w:rPr>
          <w:vertAlign w:val="superscript"/>
        </w:rPr>
        <w:footnoteReference w:id="1"/>
      </w:r>
      <w:r w:rsidR="00153263" w:rsidRPr="00317A8B">
        <w:rPr>
          <w:rFonts w:ascii="Arial" w:hAnsi="Arial" w:cs="Arial"/>
        </w:rPr>
        <w:t xml:space="preserve"> The use of the word ‘would’ in the Act indicates that there must be a measure of certainty that another court will differ from the court whose judgment is sought to be appealed against. </w:t>
      </w:r>
    </w:p>
    <w:p w14:paraId="395AA86C" w14:textId="77777777" w:rsidR="003138FF" w:rsidRPr="003138FF" w:rsidRDefault="003138FF" w:rsidP="003138FF">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0B611884" w14:textId="1E7FE59E" w:rsidR="00153263" w:rsidRPr="00317A8B" w:rsidRDefault="00317A8B" w:rsidP="00317A8B">
      <w:pPr>
        <w:tabs>
          <w:tab w:val="left" w:pos="709"/>
          <w:tab w:val="left" w:pos="1418"/>
        </w:tabs>
        <w:spacing w:line="360" w:lineRule="auto"/>
        <w:jc w:val="both"/>
        <w:rPr>
          <w:rFonts w:ascii="Arial" w:hAnsi="Arial" w:cs="Arial"/>
          <w:bCs/>
        </w:rPr>
      </w:pPr>
      <w:r w:rsidRPr="003138FF">
        <w:rPr>
          <w:rFonts w:ascii="Arial" w:hAnsi="Arial" w:cs="Arial"/>
          <w:bCs/>
        </w:rPr>
        <w:t>[5]</w:t>
      </w:r>
      <w:r w:rsidRPr="003138FF">
        <w:rPr>
          <w:rFonts w:ascii="Arial" w:hAnsi="Arial" w:cs="Arial"/>
          <w:bCs/>
        </w:rPr>
        <w:tab/>
      </w:r>
      <w:r w:rsidR="00153263" w:rsidRPr="00317A8B">
        <w:rPr>
          <w:rFonts w:ascii="Arial" w:hAnsi="Arial" w:cs="Arial"/>
          <w:color w:val="242121"/>
          <w:lang w:val="en-US"/>
        </w:rPr>
        <w:t>Leave to appeal may thus only be granted where a court is of the opinion that the appeal would have a reasonable prospect of success, and which prospects are not too remote.</w:t>
      </w:r>
      <w:r w:rsidR="00153263" w:rsidRPr="003138FF">
        <w:rPr>
          <w:vertAlign w:val="superscript"/>
          <w:lang w:val="en-US"/>
        </w:rPr>
        <w:footnoteReference w:id="2"/>
      </w:r>
      <w:r w:rsidR="00153263" w:rsidRPr="00317A8B">
        <w:rPr>
          <w:rFonts w:ascii="Arial" w:hAnsi="Arial" w:cs="Arial"/>
          <w:color w:val="242121"/>
          <w:lang w:val="en-US"/>
        </w:rPr>
        <w:t xml:space="preserve"> </w:t>
      </w:r>
      <w:r w:rsidR="00153263" w:rsidRPr="00317A8B">
        <w:rPr>
          <w:rFonts w:ascii="Arial" w:hAnsi="Arial" w:cs="Arial"/>
          <w:shd w:val="clear" w:color="auto" w:fill="FFFFFF"/>
        </w:rPr>
        <w:t xml:space="preserve">As was stated by Schippers JA in </w:t>
      </w:r>
      <w:r w:rsidR="00153263" w:rsidRPr="00317A8B">
        <w:rPr>
          <w:rFonts w:ascii="Arial" w:hAnsi="Arial" w:cs="Arial"/>
          <w:i/>
        </w:rPr>
        <w:t>MEC for Health, Eastern Cape v Mkhitha and Another</w:t>
      </w:r>
      <w:r w:rsidR="00153263" w:rsidRPr="003138FF">
        <w:rPr>
          <w:vertAlign w:val="superscript"/>
        </w:rPr>
        <w:footnoteReference w:id="3"/>
      </w:r>
      <w:r w:rsidR="00153263" w:rsidRPr="00317A8B">
        <w:rPr>
          <w:rFonts w:ascii="Arial" w:hAnsi="Arial" w:cs="Arial"/>
        </w:rPr>
        <w:t>:</w:t>
      </w:r>
    </w:p>
    <w:p w14:paraId="26F62EC9" w14:textId="77777777" w:rsidR="00153263" w:rsidRPr="003138FF" w:rsidRDefault="00153263" w:rsidP="00153263">
      <w:pPr>
        <w:tabs>
          <w:tab w:val="left" w:pos="709"/>
        </w:tabs>
        <w:spacing w:line="360" w:lineRule="auto"/>
        <w:contextualSpacing/>
        <w:jc w:val="both"/>
        <w:rPr>
          <w:rFonts w:ascii="Arial" w:hAnsi="Arial" w:cs="Arial"/>
          <w:sz w:val="22"/>
          <w:szCs w:val="22"/>
          <w:shd w:val="clear" w:color="auto" w:fill="FFFFFF"/>
        </w:rPr>
      </w:pPr>
      <w:r w:rsidRPr="003138FF">
        <w:rPr>
          <w:rFonts w:ascii="Arial" w:hAnsi="Arial" w:cs="Arial"/>
          <w:sz w:val="22"/>
          <w:szCs w:val="22"/>
          <w:shd w:val="clear" w:color="auto" w:fill="FFFFFF"/>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14:paraId="4D6D9CA7" w14:textId="77777777" w:rsidR="00153263" w:rsidRPr="003138FF" w:rsidRDefault="00153263" w:rsidP="00153263">
      <w:pPr>
        <w:pStyle w:val="ListParagraph"/>
        <w:tabs>
          <w:tab w:val="left" w:pos="709"/>
          <w:tab w:val="left" w:pos="1418"/>
        </w:tabs>
        <w:spacing w:after="0" w:line="360" w:lineRule="auto"/>
        <w:ind w:left="0"/>
        <w:jc w:val="both"/>
        <w:rPr>
          <w:rFonts w:ascii="Arial" w:hAnsi="Arial" w:cs="Arial"/>
          <w:sz w:val="24"/>
          <w:szCs w:val="24"/>
          <w:lang w:val="en-ZA"/>
        </w:rPr>
      </w:pPr>
    </w:p>
    <w:p w14:paraId="0778482D" w14:textId="2AB96B31" w:rsidR="00F875DC" w:rsidRPr="00317A8B" w:rsidRDefault="00317A8B" w:rsidP="00317A8B">
      <w:pPr>
        <w:tabs>
          <w:tab w:val="left" w:pos="709"/>
          <w:tab w:val="left" w:pos="1418"/>
        </w:tabs>
        <w:spacing w:line="360" w:lineRule="auto"/>
        <w:jc w:val="both"/>
        <w:rPr>
          <w:rFonts w:ascii="Arial" w:hAnsi="Arial" w:cs="Arial"/>
          <w:bCs/>
        </w:rPr>
      </w:pPr>
      <w:r w:rsidRPr="00D835DF">
        <w:rPr>
          <w:rFonts w:ascii="Arial" w:hAnsi="Arial" w:cs="Arial"/>
          <w:bCs/>
        </w:rPr>
        <w:t>[6]</w:t>
      </w:r>
      <w:r w:rsidRPr="00D835DF">
        <w:rPr>
          <w:rFonts w:ascii="Arial" w:hAnsi="Arial" w:cs="Arial"/>
          <w:bCs/>
        </w:rPr>
        <w:tab/>
      </w:r>
      <w:r w:rsidR="00153263" w:rsidRPr="00317A8B">
        <w:rPr>
          <w:rFonts w:ascii="Arial" w:hAnsi="Arial" w:cs="Arial"/>
          <w:color w:val="242121"/>
          <w:lang w:val="en-US"/>
        </w:rPr>
        <w:t xml:space="preserve">My judgment against which leave to appeal is sought is comprehensive and I stand by the reasons set out therein. </w:t>
      </w:r>
      <w:r w:rsidR="00153263" w:rsidRPr="00317A8B">
        <w:rPr>
          <w:rFonts w:ascii="Arial" w:hAnsi="Arial" w:cs="Arial"/>
          <w:color w:val="242121"/>
        </w:rPr>
        <w:t xml:space="preserve">I have, however, considered the respective arguments, authorities and submissions of both counsel in proposing and resisting </w:t>
      </w:r>
      <w:r w:rsidR="008113FA" w:rsidRPr="00317A8B">
        <w:rPr>
          <w:rFonts w:ascii="Arial" w:hAnsi="Arial" w:cs="Arial"/>
          <w:color w:val="242121"/>
        </w:rPr>
        <w:t xml:space="preserve">the applicant’s application for </w:t>
      </w:r>
      <w:r w:rsidR="00153263" w:rsidRPr="00317A8B">
        <w:rPr>
          <w:rFonts w:ascii="Arial" w:hAnsi="Arial" w:cs="Arial"/>
          <w:color w:val="242121"/>
        </w:rPr>
        <w:t>leave to appeal.</w:t>
      </w:r>
    </w:p>
    <w:p w14:paraId="2B219F2C" w14:textId="77777777" w:rsidR="00D835DF" w:rsidRPr="00D835DF" w:rsidRDefault="00D835DF" w:rsidP="00D835DF">
      <w:pPr>
        <w:pStyle w:val="ListParagraph"/>
        <w:tabs>
          <w:tab w:val="left" w:pos="1418"/>
        </w:tabs>
        <w:spacing w:after="0" w:line="360" w:lineRule="auto"/>
        <w:ind w:left="0"/>
        <w:jc w:val="both"/>
        <w:rPr>
          <w:rFonts w:ascii="Arial" w:eastAsia="Times New Roman" w:hAnsi="Arial" w:cs="Arial"/>
          <w:bCs/>
          <w:sz w:val="24"/>
          <w:szCs w:val="24"/>
          <w:lang w:val="en-ZA" w:eastAsia="en-GB" w:bidi="yi-Hebr"/>
        </w:rPr>
      </w:pPr>
    </w:p>
    <w:p w14:paraId="3C2BE15F" w14:textId="66BF31EB" w:rsidR="00D835DF" w:rsidRPr="00317A8B" w:rsidRDefault="00317A8B" w:rsidP="00317A8B">
      <w:pPr>
        <w:tabs>
          <w:tab w:val="left" w:pos="709"/>
          <w:tab w:val="left" w:pos="1418"/>
        </w:tabs>
        <w:spacing w:line="360" w:lineRule="auto"/>
        <w:jc w:val="both"/>
        <w:rPr>
          <w:rFonts w:ascii="Arial" w:hAnsi="Arial" w:cs="Arial"/>
          <w:bCs/>
        </w:rPr>
      </w:pPr>
      <w:r>
        <w:rPr>
          <w:rFonts w:ascii="Arial" w:hAnsi="Arial" w:cs="Arial"/>
          <w:bCs/>
        </w:rPr>
        <w:t>[7]</w:t>
      </w:r>
      <w:r>
        <w:rPr>
          <w:rFonts w:ascii="Arial" w:hAnsi="Arial" w:cs="Arial"/>
          <w:bCs/>
        </w:rPr>
        <w:tab/>
      </w:r>
      <w:r w:rsidR="00D835DF" w:rsidRPr="00317A8B">
        <w:rPr>
          <w:rFonts w:ascii="Arial" w:hAnsi="Arial" w:cs="Arial"/>
          <w:bCs/>
        </w:rPr>
        <w:t>Dealing briefly with the grounds advanced as allegedly constituting the basis for the submission that another court may come to a different decision than the decision that I came to, I commence with my refusal to allow the applicants to deliver a further answering affidavit. The delivery of further affidavits beyond those prescribed by Uniform Rule 6 is a discretionary power held by the court. Naturally, that discretion must be judicially exercised. As I stated in the judgment, a</w:t>
      </w:r>
      <w:r w:rsidR="00D835DF" w:rsidRPr="00317A8B">
        <w:rPr>
          <w:rFonts w:asciiTheme="minorBidi" w:hAnsiTheme="minorBidi"/>
        </w:rPr>
        <w:t>n application to deliver a further affidavit should only be granted if good reasons are provided for the granting of this indulgence by the party seeking it.</w:t>
      </w:r>
      <w:r w:rsidR="00D835DF" w:rsidRPr="00D66D0B">
        <w:rPr>
          <w:rStyle w:val="FootnoteReference"/>
          <w:rFonts w:asciiTheme="minorBidi" w:hAnsiTheme="minorBidi"/>
        </w:rPr>
        <w:footnoteReference w:id="4"/>
      </w:r>
      <w:r w:rsidR="00D835DF" w:rsidRPr="00317A8B">
        <w:rPr>
          <w:rFonts w:asciiTheme="minorBidi" w:hAnsiTheme="minorBidi"/>
        </w:rPr>
        <w:t xml:space="preserve"> The question is not whether the handing up of a further affidavit will be prejudicial to the other side. Rather the issue is whether the party seeking to deliver the further affidavit has established exceptional circumstances which render it fair to permit its acceptance.</w:t>
      </w:r>
      <w:r w:rsidR="00D835DF">
        <w:rPr>
          <w:rStyle w:val="FootnoteReference"/>
          <w:rFonts w:asciiTheme="minorBidi" w:hAnsiTheme="minorBidi"/>
        </w:rPr>
        <w:footnoteReference w:id="5"/>
      </w:r>
      <w:r w:rsidR="00D835DF" w:rsidRPr="00317A8B">
        <w:rPr>
          <w:rFonts w:asciiTheme="minorBidi" w:hAnsiTheme="minorBidi"/>
        </w:rPr>
        <w:t xml:space="preserve"> </w:t>
      </w:r>
      <w:r w:rsidR="00D835DF" w:rsidRPr="00317A8B">
        <w:rPr>
          <w:rFonts w:ascii="Arial" w:hAnsi="Arial" w:cs="Arial"/>
          <w:bCs/>
        </w:rPr>
        <w:t xml:space="preserve">The reason advanced for the grant of this indulgence was that the respondents changed attorneys. I considered this reason, </w:t>
      </w:r>
      <w:r w:rsidR="00D835DF" w:rsidRPr="00317A8B">
        <w:rPr>
          <w:rFonts w:ascii="Arial" w:hAnsi="Arial" w:cs="Arial"/>
          <w:bCs/>
        </w:rPr>
        <w:lastRenderedPageBreak/>
        <w:t>which I found to be less than compelling, and in the exercise of my discretion refused the application. I am unpersuaded that another court will conclude that I did not properly exercise my discretion.</w:t>
      </w:r>
    </w:p>
    <w:p w14:paraId="1CE2CCBB" w14:textId="77777777" w:rsidR="00441882" w:rsidRDefault="00441882" w:rsidP="00441882">
      <w:pPr>
        <w:pStyle w:val="ListParagraph"/>
        <w:tabs>
          <w:tab w:val="left" w:pos="1418"/>
        </w:tabs>
        <w:spacing w:after="0" w:line="360" w:lineRule="auto"/>
        <w:ind w:left="0"/>
        <w:jc w:val="both"/>
        <w:rPr>
          <w:rFonts w:ascii="Arial" w:eastAsia="Times New Roman" w:hAnsi="Arial" w:cs="Arial"/>
          <w:bCs/>
          <w:sz w:val="24"/>
          <w:szCs w:val="24"/>
          <w:lang w:val="en-ZA" w:eastAsia="en-GB" w:bidi="yi-Hebr"/>
        </w:rPr>
      </w:pPr>
    </w:p>
    <w:p w14:paraId="48D96CB9" w14:textId="6679FD84" w:rsidR="008B7A4B" w:rsidRPr="00317A8B" w:rsidRDefault="00317A8B" w:rsidP="00317A8B">
      <w:pPr>
        <w:tabs>
          <w:tab w:val="left" w:pos="709"/>
          <w:tab w:val="left" w:pos="1418"/>
        </w:tabs>
        <w:spacing w:line="360" w:lineRule="auto"/>
        <w:jc w:val="both"/>
        <w:rPr>
          <w:rFonts w:ascii="Arial" w:hAnsi="Arial" w:cs="Arial"/>
          <w:bCs/>
        </w:rPr>
      </w:pPr>
      <w:r w:rsidRPr="00441882">
        <w:rPr>
          <w:rFonts w:ascii="Arial" w:hAnsi="Arial" w:cs="Arial"/>
          <w:bCs/>
        </w:rPr>
        <w:t>[8]</w:t>
      </w:r>
      <w:r w:rsidRPr="00441882">
        <w:rPr>
          <w:rFonts w:ascii="Arial" w:hAnsi="Arial" w:cs="Arial"/>
          <w:bCs/>
        </w:rPr>
        <w:tab/>
      </w:r>
      <w:r w:rsidR="00D835DF" w:rsidRPr="00317A8B">
        <w:rPr>
          <w:rFonts w:ascii="Arial" w:hAnsi="Arial" w:cs="Arial"/>
          <w:bCs/>
        </w:rPr>
        <w:t xml:space="preserve">The general defence raised by the applicants to the respondent’s claim was that they had been prejudiced in their positions as sureties because the respondent had advanced a loan to the principal debtor without </w:t>
      </w:r>
      <w:r w:rsidR="008B7A4B" w:rsidRPr="00317A8B">
        <w:rPr>
          <w:rFonts w:ascii="Arial" w:hAnsi="Arial" w:cs="Arial"/>
          <w:bCs/>
        </w:rPr>
        <w:t xml:space="preserve">insisting on the passing of a general notarial bond to the value of R8 million over the moveable assets of the principal debtor. In </w:t>
      </w:r>
      <w:r w:rsidR="008B7A4B" w:rsidRPr="00317A8B">
        <w:rPr>
          <w:rFonts w:asciiTheme="minorBidi" w:hAnsiTheme="minorBidi"/>
          <w:i/>
          <w:iCs/>
          <w:color w:val="242121"/>
        </w:rPr>
        <w:t>Absa Bank Ltd v Davidson</w:t>
      </w:r>
      <w:r w:rsidR="008B7A4B" w:rsidRPr="00317A8B">
        <w:rPr>
          <w:rFonts w:asciiTheme="minorBidi" w:hAnsiTheme="minorBidi"/>
          <w:color w:val="242121"/>
        </w:rPr>
        <w:t>,</w:t>
      </w:r>
      <w:r w:rsidR="008B7A4B" w:rsidRPr="00441882">
        <w:rPr>
          <w:rStyle w:val="FootnoteReference"/>
          <w:rFonts w:asciiTheme="minorBidi" w:hAnsiTheme="minorBidi"/>
          <w:iCs/>
          <w:color w:val="242121"/>
        </w:rPr>
        <w:footnoteReference w:id="6"/>
      </w:r>
      <w:r w:rsidR="008B7A4B" w:rsidRPr="00317A8B">
        <w:rPr>
          <w:rFonts w:asciiTheme="minorBidi" w:hAnsiTheme="minorBidi"/>
          <w:color w:val="242121"/>
        </w:rPr>
        <w:t xml:space="preserve"> the Supreme Court of Appeal considered the proposition that there is a general principle in our law that dictates that if a creditor does anything in its dealings with a principal debtor that has the effect of prejudicing a surety, the surety is entitled to claim his full release from his obligations. Olivier JA stated in this regard that:</w:t>
      </w:r>
    </w:p>
    <w:p w14:paraId="582CD9E9" w14:textId="77777777" w:rsidR="008B7A4B" w:rsidRDefault="008B7A4B" w:rsidP="008B7A4B">
      <w:pPr>
        <w:pStyle w:val="western"/>
        <w:spacing w:before="0" w:beforeAutospacing="0" w:after="0" w:afterAutospacing="0" w:line="360" w:lineRule="auto"/>
        <w:contextualSpacing/>
        <w:jc w:val="both"/>
        <w:rPr>
          <w:rFonts w:asciiTheme="minorBidi" w:hAnsiTheme="minorBidi" w:cstheme="minorBidi"/>
          <w:color w:val="242121"/>
          <w:sz w:val="22"/>
          <w:szCs w:val="22"/>
        </w:rPr>
      </w:pPr>
      <w:r w:rsidRPr="002840EE">
        <w:rPr>
          <w:rFonts w:asciiTheme="minorBidi" w:hAnsiTheme="minorBidi" w:cstheme="minorBidi"/>
          <w:color w:val="242121"/>
          <w:sz w:val="22"/>
          <w:szCs w:val="22"/>
        </w:rPr>
        <w:t>‘</w:t>
      </w:r>
      <w:r w:rsidRPr="00006A92">
        <w:rPr>
          <w:rFonts w:asciiTheme="minorBidi" w:hAnsiTheme="minorBidi" w:cstheme="minorBidi"/>
          <w:color w:val="242121"/>
          <w:sz w:val="22"/>
          <w:szCs w:val="22"/>
          <w:lang w:val="en-US"/>
        </w:rPr>
        <w:t>As a general proposition prejudice caused to the surety can only release the surety (whether totally or partially) if the prejudice is the result of a breach of some or other legal duty or obligation. The prime sources of a creditor's rights, duties and obligations are the principal agreement and the deed of suretyship. If, as is the case here, the alleged prejudice was caused by conduct falling within the terms of the principal agreement or the deed of suretyship, the prejudice suffered was one which the surety undertook to suffer.</w:t>
      </w:r>
      <w:r w:rsidRPr="002840EE">
        <w:rPr>
          <w:rFonts w:asciiTheme="minorBidi" w:hAnsiTheme="minorBidi" w:cstheme="minorBidi"/>
          <w:color w:val="242121"/>
          <w:sz w:val="22"/>
          <w:szCs w:val="22"/>
        </w:rPr>
        <w:t>’</w:t>
      </w:r>
      <w:r w:rsidRPr="002840EE">
        <w:rPr>
          <w:rStyle w:val="FootnoteReference"/>
          <w:rFonts w:asciiTheme="minorBidi" w:hAnsiTheme="minorBidi" w:cstheme="minorBidi"/>
          <w:color w:val="242121"/>
          <w:sz w:val="22"/>
          <w:szCs w:val="22"/>
        </w:rPr>
        <w:footnoteReference w:id="7"/>
      </w:r>
    </w:p>
    <w:p w14:paraId="56298393" w14:textId="77777777" w:rsidR="008B7A4B" w:rsidRPr="008B7A4B" w:rsidRDefault="008B7A4B" w:rsidP="008B7A4B">
      <w:pPr>
        <w:pStyle w:val="ListParagraph"/>
        <w:spacing w:line="360" w:lineRule="auto"/>
        <w:rPr>
          <w:rFonts w:ascii="Arial" w:eastAsia="Times New Roman" w:hAnsi="Arial" w:cs="Arial"/>
          <w:bCs/>
          <w:sz w:val="24"/>
          <w:szCs w:val="24"/>
          <w:lang w:val="en-ZA" w:eastAsia="en-GB" w:bidi="yi-Hebr"/>
        </w:rPr>
      </w:pPr>
    </w:p>
    <w:p w14:paraId="6D71CD50" w14:textId="1FF8CC2D" w:rsidR="008B7A4B" w:rsidRPr="00317A8B" w:rsidRDefault="00317A8B" w:rsidP="00317A8B">
      <w:pPr>
        <w:tabs>
          <w:tab w:val="left" w:pos="709"/>
        </w:tabs>
        <w:spacing w:line="360" w:lineRule="auto"/>
        <w:jc w:val="both"/>
        <w:rPr>
          <w:rFonts w:ascii="Arial" w:hAnsi="Arial" w:cs="Arial"/>
          <w:bCs/>
        </w:rPr>
      </w:pPr>
      <w:r w:rsidRPr="00441882">
        <w:rPr>
          <w:rFonts w:ascii="Arial" w:hAnsi="Arial" w:cs="Arial"/>
          <w:bCs/>
        </w:rPr>
        <w:t>[9]</w:t>
      </w:r>
      <w:r w:rsidRPr="00441882">
        <w:rPr>
          <w:rFonts w:ascii="Arial" w:hAnsi="Arial" w:cs="Arial"/>
          <w:bCs/>
        </w:rPr>
        <w:tab/>
      </w:r>
      <w:r w:rsidR="008B7A4B" w:rsidRPr="00317A8B">
        <w:rPr>
          <w:rFonts w:ascii="Arial" w:hAnsi="Arial" w:cs="Arial"/>
        </w:rPr>
        <w:t>Both deeds of suretyship of application in the matter contained an acknowledgement by the surety that the applicant may:</w:t>
      </w:r>
    </w:p>
    <w:p w14:paraId="41DE5CF0" w14:textId="77777777" w:rsidR="008B7A4B" w:rsidRDefault="008B7A4B" w:rsidP="008B7A4B">
      <w:pPr>
        <w:pStyle w:val="ListParagraph"/>
        <w:tabs>
          <w:tab w:val="left" w:pos="709"/>
          <w:tab w:val="left" w:pos="1418"/>
        </w:tabs>
        <w:spacing w:after="0" w:line="360" w:lineRule="auto"/>
        <w:ind w:left="0"/>
        <w:jc w:val="both"/>
        <w:rPr>
          <w:rFonts w:ascii="Arial" w:hAnsi="Arial" w:cs="Arial"/>
          <w:lang w:val="en-ZA"/>
        </w:rPr>
      </w:pPr>
      <w:r>
        <w:rPr>
          <w:rFonts w:ascii="Arial" w:hAnsi="Arial" w:cs="Arial"/>
          <w:lang w:val="en-ZA"/>
        </w:rPr>
        <w:t>‘</w:t>
      </w:r>
      <w:r w:rsidRPr="00545467">
        <w:rPr>
          <w:rFonts w:ascii="Arial" w:hAnsi="Arial" w:cs="Arial"/>
          <w:lang w:val="en-ZA"/>
        </w:rPr>
        <w:t>release in whole or in part present or future security, including this suretyship or the suretyship of co-sureties, in respect of the debtor’s obligations to the bank;’</w:t>
      </w:r>
      <w:r>
        <w:rPr>
          <w:rFonts w:ascii="Arial" w:hAnsi="Arial" w:cs="Arial"/>
          <w:lang w:val="en-ZA"/>
        </w:rPr>
        <w:t>.</w:t>
      </w:r>
    </w:p>
    <w:p w14:paraId="3A39E6A1" w14:textId="77777777" w:rsidR="008B7A4B" w:rsidRPr="008B7A4B" w:rsidRDefault="008B7A4B" w:rsidP="008B7A4B">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16E2529E" w14:textId="5C924800" w:rsidR="008B7A4B" w:rsidRPr="00317A8B" w:rsidRDefault="00317A8B" w:rsidP="00317A8B">
      <w:pPr>
        <w:tabs>
          <w:tab w:val="left" w:pos="709"/>
          <w:tab w:val="left" w:pos="1418"/>
        </w:tabs>
        <w:spacing w:line="360" w:lineRule="auto"/>
        <w:jc w:val="both"/>
        <w:rPr>
          <w:rFonts w:ascii="Arial" w:hAnsi="Arial" w:cs="Arial"/>
          <w:bCs/>
        </w:rPr>
      </w:pPr>
      <w:r w:rsidRPr="008B7A4B">
        <w:rPr>
          <w:rFonts w:ascii="Arial" w:hAnsi="Arial" w:cs="Arial"/>
          <w:bCs/>
        </w:rPr>
        <w:t>[10]</w:t>
      </w:r>
      <w:r w:rsidRPr="008B7A4B">
        <w:rPr>
          <w:rFonts w:ascii="Arial" w:hAnsi="Arial" w:cs="Arial"/>
          <w:bCs/>
        </w:rPr>
        <w:tab/>
      </w:r>
      <w:r w:rsidR="008B7A4B" w:rsidRPr="00317A8B">
        <w:rPr>
          <w:rFonts w:ascii="Arial" w:hAnsi="Arial" w:cs="Arial"/>
        </w:rPr>
        <w:t xml:space="preserve">I therefore found that there was no breach by the respondent of any legal duty or obligation. </w:t>
      </w:r>
      <w:r w:rsidR="00381C25" w:rsidRPr="00317A8B">
        <w:rPr>
          <w:rFonts w:ascii="Arial" w:hAnsi="Arial" w:cs="Arial"/>
        </w:rPr>
        <w:t>I do not intend going through the other secondary defences raised by the applicants. I dealt with each one of them in my judgment.</w:t>
      </w:r>
    </w:p>
    <w:p w14:paraId="15DDB135" w14:textId="77777777" w:rsidR="008B7A4B" w:rsidRPr="00381C25" w:rsidRDefault="008B7A4B" w:rsidP="008B7A4B">
      <w:pPr>
        <w:pStyle w:val="ListParagraph"/>
        <w:tabs>
          <w:tab w:val="left" w:pos="1418"/>
        </w:tabs>
        <w:spacing w:after="0" w:line="360" w:lineRule="auto"/>
        <w:ind w:left="0"/>
        <w:jc w:val="both"/>
        <w:rPr>
          <w:rFonts w:ascii="Arial" w:eastAsia="Times New Roman" w:hAnsi="Arial" w:cs="Arial"/>
          <w:bCs/>
          <w:sz w:val="24"/>
          <w:szCs w:val="24"/>
          <w:lang w:val="en-US" w:eastAsia="en-GB" w:bidi="yi-Hebr"/>
        </w:rPr>
      </w:pPr>
    </w:p>
    <w:p w14:paraId="2D47903D" w14:textId="17D88007" w:rsidR="00381C25" w:rsidRPr="00317A8B" w:rsidRDefault="00317A8B" w:rsidP="00317A8B">
      <w:pPr>
        <w:tabs>
          <w:tab w:val="left" w:pos="709"/>
          <w:tab w:val="left" w:pos="1418"/>
        </w:tabs>
        <w:spacing w:line="360" w:lineRule="auto"/>
        <w:jc w:val="both"/>
        <w:rPr>
          <w:rFonts w:ascii="Arial" w:hAnsi="Arial" w:cs="Arial"/>
          <w:bCs/>
        </w:rPr>
      </w:pPr>
      <w:r w:rsidRPr="00441882">
        <w:rPr>
          <w:rFonts w:ascii="Arial" w:hAnsi="Arial" w:cs="Arial"/>
          <w:bCs/>
        </w:rPr>
        <w:t>[11]</w:t>
      </w:r>
      <w:r w:rsidRPr="00441882">
        <w:rPr>
          <w:rFonts w:ascii="Arial" w:hAnsi="Arial" w:cs="Arial"/>
          <w:bCs/>
        </w:rPr>
        <w:tab/>
      </w:r>
      <w:r w:rsidR="003138FF" w:rsidRPr="00317A8B">
        <w:rPr>
          <w:rFonts w:ascii="Arial" w:hAnsi="Arial" w:cs="Arial"/>
        </w:rPr>
        <w:t>After a thorough consideration of the grounds upon which leave to appeal is sought, I remain unpersuaded that there are reasonable prospects that another court would come to a different conclusion than the one to which I came</w:t>
      </w:r>
      <w:r w:rsidR="00381C25" w:rsidRPr="00317A8B">
        <w:rPr>
          <w:rFonts w:ascii="Arial" w:hAnsi="Arial" w:cs="Arial"/>
        </w:rPr>
        <w:t>.</w:t>
      </w:r>
    </w:p>
    <w:p w14:paraId="711CF00D" w14:textId="7C6482DE" w:rsidR="003138FF" w:rsidRPr="00317A8B" w:rsidRDefault="00317A8B" w:rsidP="00317A8B">
      <w:pPr>
        <w:tabs>
          <w:tab w:val="left" w:pos="709"/>
          <w:tab w:val="left" w:pos="1418"/>
        </w:tabs>
        <w:spacing w:line="360" w:lineRule="auto"/>
        <w:jc w:val="both"/>
        <w:rPr>
          <w:rFonts w:ascii="Arial" w:hAnsi="Arial" w:cs="Arial"/>
          <w:bCs/>
        </w:rPr>
      </w:pPr>
      <w:r w:rsidRPr="00441882">
        <w:rPr>
          <w:rFonts w:ascii="Arial" w:hAnsi="Arial" w:cs="Arial"/>
          <w:bCs/>
        </w:rPr>
        <w:lastRenderedPageBreak/>
        <w:t>[12]</w:t>
      </w:r>
      <w:r w:rsidRPr="00441882">
        <w:rPr>
          <w:rFonts w:ascii="Arial" w:hAnsi="Arial" w:cs="Arial"/>
          <w:bCs/>
        </w:rPr>
        <w:tab/>
      </w:r>
      <w:r w:rsidR="003138FF" w:rsidRPr="00317A8B">
        <w:rPr>
          <w:rFonts w:ascii="Arial" w:hAnsi="Arial" w:cs="Arial"/>
        </w:rPr>
        <w:t xml:space="preserve">The purpose behind requiring litigants to obtain leave to appeal and not simply allowing an automatic right of appeal to exist in every matter was </w:t>
      </w:r>
      <w:r w:rsidR="00381C25" w:rsidRPr="00317A8B">
        <w:rPr>
          <w:rFonts w:ascii="Arial" w:hAnsi="Arial" w:cs="Arial"/>
        </w:rPr>
        <w:t>considered</w:t>
      </w:r>
      <w:r w:rsidR="003138FF" w:rsidRPr="00317A8B">
        <w:rPr>
          <w:rFonts w:ascii="Arial" w:hAnsi="Arial" w:cs="Arial"/>
        </w:rPr>
        <w:t xml:space="preserve"> in </w:t>
      </w:r>
      <w:r w:rsidR="003138FF" w:rsidRPr="00317A8B">
        <w:rPr>
          <w:rFonts w:ascii="Arial" w:hAnsi="Arial" w:cs="Arial"/>
          <w:i/>
          <w:iCs/>
          <w:color w:val="000000"/>
          <w:shd w:val="clear" w:color="auto" w:fill="FFFFFF"/>
        </w:rPr>
        <w:t>Dexgroup (Pty) Ltd v Trustco Group International (Pty) Ltd,</w:t>
      </w:r>
      <w:r w:rsidR="003138FF" w:rsidRPr="00526742">
        <w:rPr>
          <w:rStyle w:val="FootnoteReference"/>
          <w:rFonts w:ascii="Arial" w:hAnsi="Arial" w:cs="Arial"/>
          <w:iCs/>
          <w:color w:val="000000"/>
          <w:shd w:val="clear" w:color="auto" w:fill="FFFFFF"/>
        </w:rPr>
        <w:footnoteReference w:id="8"/>
      </w:r>
      <w:r w:rsidR="003138FF" w:rsidRPr="00317A8B">
        <w:rPr>
          <w:rFonts w:ascii="Arial" w:hAnsi="Arial" w:cs="Arial"/>
          <w:color w:val="242121"/>
        </w:rPr>
        <w:t xml:space="preserve"> where Wallis JA said that:</w:t>
      </w:r>
    </w:p>
    <w:p w14:paraId="7E320686" w14:textId="77777777" w:rsidR="003138FF" w:rsidRDefault="003138FF" w:rsidP="003138FF">
      <w:pPr>
        <w:pStyle w:val="NormalWeb"/>
        <w:shd w:val="clear" w:color="auto" w:fill="FFFFFF"/>
        <w:tabs>
          <w:tab w:val="left" w:pos="709"/>
        </w:tabs>
        <w:spacing w:before="0" w:beforeAutospacing="0" w:after="0" w:afterAutospacing="0" w:line="360" w:lineRule="auto"/>
        <w:jc w:val="both"/>
        <w:rPr>
          <w:rFonts w:ascii="Arial" w:hAnsi="Arial" w:cs="Arial"/>
          <w:iCs/>
          <w:color w:val="000000"/>
          <w:sz w:val="22"/>
          <w:szCs w:val="22"/>
          <w:shd w:val="clear" w:color="auto" w:fill="FFFFFF"/>
        </w:rPr>
      </w:pPr>
      <w:r>
        <w:rPr>
          <w:rFonts w:ascii="Arial" w:hAnsi="Arial" w:cs="Arial"/>
          <w:iCs/>
          <w:color w:val="000000"/>
          <w:sz w:val="22"/>
          <w:szCs w:val="22"/>
        </w:rPr>
        <w:t>‘</w:t>
      </w:r>
      <w:r w:rsidRPr="00876F9C">
        <w:rPr>
          <w:rFonts w:ascii="Arial" w:hAnsi="Arial" w:cs="Arial"/>
          <w:iCs/>
          <w:color w:val="000000"/>
          <w:sz w:val="22"/>
          <w:szCs w:val="22"/>
        </w:rPr>
        <w:t>T</w:t>
      </w:r>
      <w:r w:rsidRPr="00876F9C">
        <w:rPr>
          <w:rFonts w:ascii="Arial" w:hAnsi="Arial" w:cs="Arial"/>
          <w:iCs/>
          <w:color w:val="000000"/>
          <w:sz w:val="22"/>
          <w:szCs w:val="22"/>
          <w:shd w:val="clear" w:color="auto" w:fill="FFFFFF"/>
        </w:rPr>
        <w:t>he need to obtain leave to appeal is a valuable tool in ensuring that scarce judicial resources are not sp</w:t>
      </w:r>
      <w:r>
        <w:rPr>
          <w:rFonts w:ascii="Arial" w:hAnsi="Arial" w:cs="Arial"/>
          <w:iCs/>
          <w:color w:val="000000"/>
          <w:sz w:val="22"/>
          <w:szCs w:val="22"/>
          <w:shd w:val="clear" w:color="auto" w:fill="FFFFFF"/>
        </w:rPr>
        <w:t>ent on appeals that lack merit.’</w:t>
      </w:r>
    </w:p>
    <w:p w14:paraId="603140C8" w14:textId="77777777" w:rsidR="003138FF" w:rsidRDefault="003138FF" w:rsidP="003138FF">
      <w:pPr>
        <w:pStyle w:val="NormalWeb"/>
        <w:shd w:val="clear" w:color="auto" w:fill="FFFFFF"/>
        <w:tabs>
          <w:tab w:val="left" w:pos="709"/>
        </w:tabs>
        <w:spacing w:before="0" w:beforeAutospacing="0" w:after="0" w:afterAutospacing="0" w:line="360" w:lineRule="auto"/>
        <w:jc w:val="both"/>
        <w:rPr>
          <w:rFonts w:ascii="Arial" w:hAnsi="Arial" w:cs="Arial"/>
          <w:iCs/>
          <w:color w:val="000000"/>
          <w:sz w:val="22"/>
          <w:szCs w:val="22"/>
          <w:shd w:val="clear" w:color="auto" w:fill="FFFFFF"/>
        </w:rPr>
      </w:pPr>
    </w:p>
    <w:p w14:paraId="5C8F2D78" w14:textId="5B574105" w:rsidR="003138FF" w:rsidRPr="00317A8B" w:rsidRDefault="00317A8B" w:rsidP="00317A8B">
      <w:pPr>
        <w:tabs>
          <w:tab w:val="left" w:pos="709"/>
          <w:tab w:val="left" w:pos="1418"/>
        </w:tabs>
        <w:spacing w:line="360" w:lineRule="auto"/>
        <w:jc w:val="both"/>
        <w:rPr>
          <w:rFonts w:ascii="Arial" w:hAnsi="Arial" w:cs="Arial"/>
          <w:bCs/>
        </w:rPr>
      </w:pPr>
      <w:r w:rsidRPr="003138FF">
        <w:rPr>
          <w:rFonts w:ascii="Arial" w:hAnsi="Arial" w:cs="Arial"/>
          <w:bCs/>
        </w:rPr>
        <w:t>[13]</w:t>
      </w:r>
      <w:r w:rsidRPr="003138FF">
        <w:rPr>
          <w:rFonts w:ascii="Arial" w:hAnsi="Arial" w:cs="Arial"/>
          <w:bCs/>
        </w:rPr>
        <w:tab/>
      </w:r>
      <w:r w:rsidR="003138FF" w:rsidRPr="00317A8B">
        <w:rPr>
          <w:rFonts w:ascii="Arial" w:hAnsi="Arial" w:cs="Arial"/>
        </w:rPr>
        <w:t xml:space="preserve">In my view, </w:t>
      </w:r>
      <w:r w:rsidR="000A2DC5" w:rsidRPr="00317A8B">
        <w:rPr>
          <w:rFonts w:ascii="Arial" w:hAnsi="Arial" w:cs="Arial"/>
        </w:rPr>
        <w:t>this application for leave to appeal lacks merit.</w:t>
      </w:r>
    </w:p>
    <w:p w14:paraId="7BD0353F" w14:textId="77777777" w:rsidR="003138FF" w:rsidRDefault="003138FF" w:rsidP="003138FF">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 </w:t>
      </w:r>
    </w:p>
    <w:p w14:paraId="7D97BE39" w14:textId="33FEA42D" w:rsidR="003138FF" w:rsidRPr="00317A8B" w:rsidRDefault="00317A8B" w:rsidP="00317A8B">
      <w:pPr>
        <w:tabs>
          <w:tab w:val="left" w:pos="709"/>
          <w:tab w:val="left" w:pos="1418"/>
        </w:tabs>
        <w:spacing w:line="360" w:lineRule="auto"/>
        <w:jc w:val="both"/>
        <w:rPr>
          <w:rFonts w:ascii="Arial" w:hAnsi="Arial" w:cs="Arial"/>
          <w:bCs/>
        </w:rPr>
      </w:pPr>
      <w:r w:rsidRPr="003138FF">
        <w:rPr>
          <w:rFonts w:ascii="Arial" w:hAnsi="Arial" w:cs="Arial"/>
          <w:bCs/>
        </w:rPr>
        <w:t>[14]</w:t>
      </w:r>
      <w:r w:rsidRPr="003138FF">
        <w:rPr>
          <w:rFonts w:ascii="Arial" w:hAnsi="Arial" w:cs="Arial"/>
          <w:bCs/>
        </w:rPr>
        <w:tab/>
      </w:r>
      <w:r w:rsidR="003138FF" w:rsidRPr="00317A8B">
        <w:rPr>
          <w:rFonts w:ascii="Arial" w:hAnsi="Arial" w:cs="Arial"/>
        </w:rPr>
        <w:t>I accordingly grant the following order:</w:t>
      </w:r>
    </w:p>
    <w:p w14:paraId="41699927" w14:textId="77777777" w:rsidR="003138FF" w:rsidRPr="00171C8A" w:rsidRDefault="003138FF" w:rsidP="003138FF">
      <w:pPr>
        <w:pStyle w:val="ListParagraph"/>
        <w:spacing w:after="0" w:line="360" w:lineRule="auto"/>
        <w:rPr>
          <w:rFonts w:ascii="Arial" w:hAnsi="Arial" w:cs="Arial"/>
          <w:sz w:val="24"/>
          <w:szCs w:val="24"/>
          <w:lang w:val="en-ZA"/>
        </w:rPr>
      </w:pPr>
    </w:p>
    <w:p w14:paraId="0B253E2B" w14:textId="77777777" w:rsidR="003138FF" w:rsidRPr="00D90BC2" w:rsidRDefault="003138FF" w:rsidP="003138FF">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The application for leave to appeal is dismissed with costs.</w:t>
      </w:r>
    </w:p>
    <w:p w14:paraId="2ECEB8A9" w14:textId="77777777" w:rsidR="003138FF" w:rsidRDefault="003138FF" w:rsidP="003138FF">
      <w:pPr>
        <w:tabs>
          <w:tab w:val="left" w:pos="1418"/>
        </w:tabs>
        <w:spacing w:line="360" w:lineRule="auto"/>
        <w:jc w:val="both"/>
        <w:rPr>
          <w:rFonts w:ascii="Arial" w:hAnsi="Arial" w:cs="Arial"/>
        </w:rPr>
      </w:pPr>
    </w:p>
    <w:p w14:paraId="719065F4" w14:textId="77777777" w:rsidR="003138FF" w:rsidRPr="003138FF" w:rsidRDefault="003138FF" w:rsidP="003138FF">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42890876" w14:textId="01C018F7" w:rsidR="00D84BE9" w:rsidRPr="003138FF" w:rsidRDefault="00D84BE9" w:rsidP="00F875DC">
      <w:pPr>
        <w:pStyle w:val="ListParagraph"/>
        <w:tabs>
          <w:tab w:val="left" w:pos="709"/>
          <w:tab w:val="left" w:pos="1418"/>
        </w:tabs>
        <w:spacing w:after="0" w:line="360" w:lineRule="auto"/>
        <w:ind w:left="0"/>
        <w:jc w:val="both"/>
        <w:rPr>
          <w:rFonts w:ascii="Arial" w:hAnsi="Arial" w:cs="Arial"/>
        </w:rPr>
      </w:pPr>
    </w:p>
    <w:p w14:paraId="3D973580" w14:textId="77777777" w:rsidR="00B13387" w:rsidRDefault="00B9752B" w:rsidP="00BE1287">
      <w:pPr>
        <w:tabs>
          <w:tab w:val="left" w:pos="1418"/>
        </w:tabs>
        <w:spacing w:line="360" w:lineRule="auto"/>
        <w:jc w:val="both"/>
        <w:rPr>
          <w:rFonts w:ascii="Arial" w:hAnsi="Arial" w:cs="Arial"/>
        </w:rPr>
      </w:pPr>
      <w:r>
        <w:rPr>
          <w:rFonts w:ascii="Arial" w:hAnsi="Arial" w:cs="Arial"/>
          <w:noProof/>
          <w:lang w:eastAsia="en-ZA" w:bidi="ar-SA"/>
        </w:rPr>
        <w:drawing>
          <wp:anchor distT="0" distB="0" distL="114300" distR="114300" simplePos="0" relativeHeight="251658240" behindDoc="1" locked="0" layoutInCell="1" allowOverlap="1" wp14:anchorId="4659A2E5" wp14:editId="77CB1536">
            <wp:simplePos x="0" y="0"/>
            <wp:positionH relativeFrom="column">
              <wp:posOffset>3596510</wp:posOffset>
            </wp:positionH>
            <wp:positionV relativeFrom="paragraph">
              <wp:posOffset>263767</wp:posOffset>
            </wp:positionV>
            <wp:extent cx="2110740" cy="582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C4FC8" w14:textId="77777777" w:rsidR="00D84BE9" w:rsidRPr="00D90BC2" w:rsidRDefault="00B9752B" w:rsidP="00BE1287">
      <w:pPr>
        <w:tabs>
          <w:tab w:val="left" w:pos="1418"/>
        </w:tabs>
        <w:spacing w:line="360" w:lineRule="auto"/>
        <w:jc w:val="both"/>
        <w:rPr>
          <w:rFonts w:ascii="Arial" w:hAnsi="Arial" w:cs="Arial"/>
        </w:rPr>
      </w:pPr>
      <w:r>
        <w:rPr>
          <w:rFonts w:ascii="Arial" w:hAnsi="Arial" w:cs="Arial"/>
        </w:rPr>
        <w:tab/>
      </w:r>
    </w:p>
    <w:p w14:paraId="40BD9528" w14:textId="77777777" w:rsidR="0003659C" w:rsidRPr="00D90BC2" w:rsidRDefault="0003659C" w:rsidP="0003659C">
      <w:pPr>
        <w:tabs>
          <w:tab w:val="left" w:pos="1418"/>
        </w:tabs>
        <w:spacing w:line="360" w:lineRule="auto"/>
        <w:jc w:val="right"/>
        <w:rPr>
          <w:rFonts w:ascii="Arial" w:hAnsi="Arial" w:cs="Arial"/>
        </w:rPr>
      </w:pPr>
      <w:r w:rsidRPr="00D90BC2">
        <w:rPr>
          <w:rFonts w:ascii="Arial" w:hAnsi="Arial" w:cs="Arial"/>
        </w:rPr>
        <w:t>__________________________</w:t>
      </w:r>
    </w:p>
    <w:p w14:paraId="440FEFC8" w14:textId="77777777" w:rsidR="0003659C" w:rsidRPr="00D90BC2" w:rsidRDefault="0003659C" w:rsidP="0003659C">
      <w:pPr>
        <w:tabs>
          <w:tab w:val="left" w:pos="1418"/>
        </w:tabs>
        <w:spacing w:line="360" w:lineRule="auto"/>
        <w:jc w:val="right"/>
        <w:rPr>
          <w:rFonts w:ascii="Arial" w:hAnsi="Arial" w:cs="Arial"/>
        </w:rPr>
      </w:pPr>
    </w:p>
    <w:p w14:paraId="326E93BD" w14:textId="77777777" w:rsidR="0003659C" w:rsidRPr="00D90BC2" w:rsidRDefault="0003659C" w:rsidP="0003659C">
      <w:pPr>
        <w:tabs>
          <w:tab w:val="left" w:pos="1418"/>
        </w:tabs>
        <w:spacing w:line="360" w:lineRule="auto"/>
        <w:jc w:val="right"/>
        <w:rPr>
          <w:rFonts w:ascii="Arial" w:hAnsi="Arial" w:cs="Arial"/>
          <w:b/>
          <w:bCs/>
        </w:rPr>
      </w:pPr>
      <w:r w:rsidRPr="00D90BC2">
        <w:rPr>
          <w:rFonts w:ascii="Arial" w:hAnsi="Arial" w:cs="Arial"/>
          <w:b/>
          <w:bCs/>
        </w:rPr>
        <w:t>MOSSOP J</w:t>
      </w:r>
    </w:p>
    <w:p w14:paraId="57268975" w14:textId="77777777" w:rsidR="00F62514" w:rsidRDefault="00F62514" w:rsidP="00D53F40">
      <w:pPr>
        <w:spacing w:line="360" w:lineRule="auto"/>
        <w:jc w:val="center"/>
        <w:rPr>
          <w:rFonts w:ascii="Arial" w:eastAsia="Calibri" w:hAnsi="Arial" w:cs="Arial"/>
          <w:b/>
          <w:u w:val="single"/>
        </w:rPr>
      </w:pPr>
    </w:p>
    <w:p w14:paraId="7C743880" w14:textId="77777777" w:rsidR="008B30F8" w:rsidRDefault="008B30F8" w:rsidP="00D53F40">
      <w:pPr>
        <w:spacing w:line="360" w:lineRule="auto"/>
        <w:jc w:val="center"/>
        <w:rPr>
          <w:rFonts w:ascii="Arial" w:eastAsia="Calibri" w:hAnsi="Arial" w:cs="Arial"/>
          <w:b/>
          <w:u w:val="single"/>
        </w:rPr>
      </w:pPr>
    </w:p>
    <w:p w14:paraId="11A86F07" w14:textId="77777777" w:rsidR="008B30F8" w:rsidRDefault="008B30F8" w:rsidP="00D53F40">
      <w:pPr>
        <w:spacing w:line="360" w:lineRule="auto"/>
        <w:jc w:val="center"/>
        <w:rPr>
          <w:rFonts w:ascii="Arial" w:eastAsia="Calibri" w:hAnsi="Arial" w:cs="Arial"/>
          <w:b/>
          <w:u w:val="single"/>
        </w:rPr>
      </w:pPr>
    </w:p>
    <w:p w14:paraId="05B82202" w14:textId="77777777" w:rsidR="008B30F8" w:rsidRDefault="008B30F8" w:rsidP="00D53F40">
      <w:pPr>
        <w:spacing w:line="360" w:lineRule="auto"/>
        <w:jc w:val="center"/>
        <w:rPr>
          <w:rFonts w:ascii="Arial" w:eastAsia="Calibri" w:hAnsi="Arial" w:cs="Arial"/>
          <w:b/>
          <w:u w:val="single"/>
        </w:rPr>
      </w:pPr>
    </w:p>
    <w:p w14:paraId="03FD5EA1" w14:textId="77777777" w:rsidR="008B30F8" w:rsidRDefault="008B30F8" w:rsidP="00D53F40">
      <w:pPr>
        <w:spacing w:line="360" w:lineRule="auto"/>
        <w:jc w:val="center"/>
        <w:rPr>
          <w:rFonts w:ascii="Arial" w:eastAsia="Calibri" w:hAnsi="Arial" w:cs="Arial"/>
          <w:b/>
          <w:u w:val="single"/>
        </w:rPr>
      </w:pPr>
    </w:p>
    <w:p w14:paraId="2A23E6EF" w14:textId="77777777" w:rsidR="00CA6B42" w:rsidRDefault="00CA6B42" w:rsidP="00D53F40">
      <w:pPr>
        <w:spacing w:line="360" w:lineRule="auto"/>
        <w:jc w:val="center"/>
        <w:rPr>
          <w:rFonts w:ascii="Arial" w:eastAsia="Calibri" w:hAnsi="Arial" w:cs="Arial"/>
          <w:b/>
          <w:u w:val="single"/>
        </w:rPr>
      </w:pPr>
    </w:p>
    <w:p w14:paraId="3E5F2B40" w14:textId="5B18C4D2" w:rsidR="00CA6B42" w:rsidRDefault="00CA6B42" w:rsidP="00D53F40">
      <w:pPr>
        <w:spacing w:line="360" w:lineRule="auto"/>
        <w:jc w:val="center"/>
        <w:rPr>
          <w:rFonts w:ascii="Arial" w:eastAsia="Calibri" w:hAnsi="Arial" w:cs="Arial"/>
          <w:b/>
          <w:u w:val="single"/>
        </w:rPr>
      </w:pPr>
    </w:p>
    <w:p w14:paraId="60439231" w14:textId="7300D2A4" w:rsidR="003138FF" w:rsidRDefault="003138FF" w:rsidP="00D53F40">
      <w:pPr>
        <w:spacing w:line="360" w:lineRule="auto"/>
        <w:jc w:val="center"/>
        <w:rPr>
          <w:rFonts w:ascii="Arial" w:eastAsia="Calibri" w:hAnsi="Arial" w:cs="Arial"/>
          <w:b/>
          <w:u w:val="single"/>
        </w:rPr>
      </w:pPr>
    </w:p>
    <w:p w14:paraId="019DC313" w14:textId="0E3596C3" w:rsidR="00441882" w:rsidRDefault="00441882" w:rsidP="00D53F40">
      <w:pPr>
        <w:spacing w:line="360" w:lineRule="auto"/>
        <w:jc w:val="center"/>
        <w:rPr>
          <w:rFonts w:ascii="Arial" w:eastAsia="Calibri" w:hAnsi="Arial" w:cs="Arial"/>
          <w:b/>
          <w:u w:val="single"/>
        </w:rPr>
      </w:pPr>
    </w:p>
    <w:p w14:paraId="38E5654C" w14:textId="75635A5C" w:rsidR="00441882" w:rsidRDefault="00441882" w:rsidP="00D53F40">
      <w:pPr>
        <w:spacing w:line="360" w:lineRule="auto"/>
        <w:jc w:val="center"/>
        <w:rPr>
          <w:rFonts w:ascii="Arial" w:eastAsia="Calibri" w:hAnsi="Arial" w:cs="Arial"/>
          <w:b/>
          <w:u w:val="single"/>
        </w:rPr>
      </w:pPr>
    </w:p>
    <w:p w14:paraId="7F8E7600" w14:textId="74C64B60" w:rsidR="00441882" w:rsidRDefault="00441882" w:rsidP="00D53F40">
      <w:pPr>
        <w:spacing w:line="360" w:lineRule="auto"/>
        <w:jc w:val="center"/>
        <w:rPr>
          <w:rFonts w:ascii="Arial" w:eastAsia="Calibri" w:hAnsi="Arial" w:cs="Arial"/>
          <w:b/>
          <w:u w:val="single"/>
        </w:rPr>
      </w:pPr>
    </w:p>
    <w:p w14:paraId="76469869" w14:textId="77777777" w:rsidR="00441882" w:rsidRDefault="00441882" w:rsidP="00D53F40">
      <w:pPr>
        <w:spacing w:line="360" w:lineRule="auto"/>
        <w:jc w:val="center"/>
        <w:rPr>
          <w:rFonts w:ascii="Arial" w:eastAsia="Calibri" w:hAnsi="Arial" w:cs="Arial"/>
          <w:b/>
          <w:u w:val="single"/>
        </w:rPr>
      </w:pPr>
    </w:p>
    <w:p w14:paraId="592A72BA" w14:textId="2BEB959A" w:rsidR="003138FF" w:rsidRDefault="003138FF" w:rsidP="00D53F40">
      <w:pPr>
        <w:spacing w:line="360" w:lineRule="auto"/>
        <w:jc w:val="center"/>
        <w:rPr>
          <w:rFonts w:ascii="Arial" w:eastAsia="Calibri" w:hAnsi="Arial" w:cs="Arial"/>
          <w:b/>
          <w:u w:val="single"/>
        </w:rPr>
      </w:pPr>
    </w:p>
    <w:p w14:paraId="2FE4DEA3" w14:textId="77777777" w:rsidR="00D53F40" w:rsidRPr="00D90BC2" w:rsidRDefault="00070440" w:rsidP="00D53F40">
      <w:pPr>
        <w:spacing w:line="360" w:lineRule="auto"/>
        <w:jc w:val="center"/>
        <w:rPr>
          <w:rFonts w:ascii="Arial" w:eastAsia="Calibri" w:hAnsi="Arial" w:cs="Arial"/>
          <w:b/>
          <w:u w:val="single"/>
        </w:rPr>
      </w:pPr>
      <w:r>
        <w:rPr>
          <w:rFonts w:ascii="Arial" w:eastAsia="Calibri" w:hAnsi="Arial" w:cs="Arial"/>
          <w:b/>
          <w:u w:val="single"/>
        </w:rPr>
        <w:lastRenderedPageBreak/>
        <w:t>A</w:t>
      </w:r>
      <w:r w:rsidR="00D53F40" w:rsidRPr="00D90BC2">
        <w:rPr>
          <w:rFonts w:ascii="Arial" w:eastAsia="Calibri" w:hAnsi="Arial" w:cs="Arial"/>
          <w:b/>
          <w:u w:val="single"/>
        </w:rPr>
        <w:t>PPEARANCES</w:t>
      </w:r>
    </w:p>
    <w:p w14:paraId="7A3DD11A" w14:textId="77777777" w:rsidR="00D53F40" w:rsidRDefault="00D53F40" w:rsidP="00D53F40">
      <w:pPr>
        <w:spacing w:line="360" w:lineRule="auto"/>
        <w:jc w:val="center"/>
        <w:rPr>
          <w:rFonts w:ascii="Arial" w:eastAsia="Calibri" w:hAnsi="Arial" w:cs="Arial"/>
          <w:b/>
          <w:u w:val="single"/>
        </w:rPr>
      </w:pPr>
    </w:p>
    <w:p w14:paraId="308BD3FF" w14:textId="77777777" w:rsidR="008B30F8" w:rsidRPr="00D90BC2" w:rsidRDefault="008B30F8" w:rsidP="00D53F40">
      <w:pPr>
        <w:spacing w:line="360" w:lineRule="auto"/>
        <w:jc w:val="center"/>
        <w:rPr>
          <w:rFonts w:ascii="Arial" w:eastAsia="Calibri" w:hAnsi="Arial" w:cs="Arial"/>
          <w:b/>
          <w:u w:val="single"/>
        </w:rPr>
      </w:pPr>
    </w:p>
    <w:p w14:paraId="7F50B9B8" w14:textId="2892FD48" w:rsidR="00D53F40" w:rsidRPr="00D90BC2" w:rsidRDefault="00D53F40" w:rsidP="00D53F40">
      <w:pPr>
        <w:spacing w:line="360" w:lineRule="auto"/>
        <w:ind w:right="-82"/>
        <w:jc w:val="both"/>
        <w:rPr>
          <w:rFonts w:ascii="Arial" w:hAnsi="Arial" w:cs="Arial"/>
        </w:rPr>
      </w:pPr>
      <w:r w:rsidRPr="00D90BC2">
        <w:rPr>
          <w:rFonts w:ascii="Arial" w:hAnsi="Arial" w:cs="Arial"/>
        </w:rPr>
        <w:t>Counsel for the app</w:t>
      </w:r>
      <w:r w:rsidR="00C86E89" w:rsidRPr="00D90BC2">
        <w:rPr>
          <w:rFonts w:ascii="Arial" w:hAnsi="Arial" w:cs="Arial"/>
        </w:rPr>
        <w:t>licant</w:t>
      </w:r>
      <w:r w:rsidR="003138FF">
        <w:rPr>
          <w:rFonts w:ascii="Arial" w:hAnsi="Arial" w:cs="Arial"/>
        </w:rPr>
        <w:t>s</w:t>
      </w:r>
      <w:r w:rsidRPr="00D90BC2">
        <w:rPr>
          <w:rFonts w:ascii="Arial" w:hAnsi="Arial" w:cs="Arial"/>
        </w:rPr>
        <w:tab/>
      </w:r>
      <w:r w:rsidRPr="00D90BC2">
        <w:rPr>
          <w:rFonts w:ascii="Arial" w:hAnsi="Arial" w:cs="Arial"/>
        </w:rPr>
        <w:tab/>
        <w:t xml:space="preserve">:  </w:t>
      </w:r>
      <w:r w:rsidRPr="00D90BC2">
        <w:rPr>
          <w:rFonts w:ascii="Arial" w:hAnsi="Arial" w:cs="Arial"/>
        </w:rPr>
        <w:tab/>
        <w:t>Mr</w:t>
      </w:r>
      <w:r w:rsidR="003138FF">
        <w:rPr>
          <w:rFonts w:ascii="Arial" w:hAnsi="Arial" w:cs="Arial"/>
        </w:rPr>
        <w:t xml:space="preserve"> </w:t>
      </w:r>
      <w:r w:rsidR="00441882">
        <w:rPr>
          <w:rFonts w:ascii="Arial" w:hAnsi="Arial" w:cs="Arial"/>
        </w:rPr>
        <w:t>A K Kissoon Singh SC</w:t>
      </w:r>
    </w:p>
    <w:p w14:paraId="1D131FDD" w14:textId="3D5DFCF2" w:rsidR="00D835DF" w:rsidRDefault="00D835DF" w:rsidP="00D835DF">
      <w:pPr>
        <w:spacing w:line="360" w:lineRule="auto"/>
        <w:ind w:right="-82"/>
        <w:jc w:val="both"/>
        <w:rPr>
          <w:rFonts w:ascii="Arial" w:hAnsi="Arial" w:cs="Arial"/>
        </w:rPr>
      </w:pPr>
      <w:r>
        <w:rPr>
          <w:rFonts w:ascii="Arial" w:hAnsi="Arial" w:cs="Arial"/>
        </w:rPr>
        <w:t>Instructed by</w:t>
      </w:r>
      <w:r>
        <w:rPr>
          <w:rFonts w:ascii="Arial" w:hAnsi="Arial" w:cs="Arial"/>
        </w:rPr>
        <w:tab/>
      </w:r>
      <w:r w:rsidR="008B30F8">
        <w:rPr>
          <w:rFonts w:ascii="Arial" w:hAnsi="Arial" w:cs="Arial"/>
        </w:rPr>
        <w:tab/>
      </w:r>
      <w:r w:rsidR="008B30F8">
        <w:rPr>
          <w:rFonts w:ascii="Arial" w:hAnsi="Arial" w:cs="Arial"/>
        </w:rPr>
        <w:tab/>
      </w:r>
      <w:r w:rsidR="008B30F8">
        <w:rPr>
          <w:rFonts w:ascii="Arial" w:hAnsi="Arial" w:cs="Arial"/>
        </w:rPr>
        <w:tab/>
      </w:r>
      <w:r w:rsidR="00D53F40" w:rsidRPr="00D90BC2">
        <w:rPr>
          <w:rFonts w:ascii="Arial" w:hAnsi="Arial" w:cs="Arial"/>
        </w:rPr>
        <w:t>:</w:t>
      </w:r>
      <w:r w:rsidR="00D53F40" w:rsidRPr="00D90BC2">
        <w:rPr>
          <w:rFonts w:ascii="Arial" w:hAnsi="Arial" w:cs="Arial"/>
        </w:rPr>
        <w:tab/>
      </w:r>
      <w:r>
        <w:rPr>
          <w:rFonts w:ascii="Arial" w:hAnsi="Arial" w:cs="Arial"/>
        </w:rPr>
        <w:t>Rakesh Maharaj and Company</w:t>
      </w:r>
    </w:p>
    <w:p w14:paraId="01BA258D" w14:textId="77777777" w:rsidR="00D835DF" w:rsidRDefault="00D835DF" w:rsidP="00D835DF">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87 Mahatma Ghandi Street</w:t>
      </w:r>
    </w:p>
    <w:p w14:paraId="5D3F318B" w14:textId="77777777" w:rsidR="00D835DF" w:rsidRPr="00D90BC2" w:rsidRDefault="00D835DF" w:rsidP="00D835DF">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KwaDukuza</w:t>
      </w:r>
    </w:p>
    <w:p w14:paraId="2CBB4025" w14:textId="61672935" w:rsidR="00D53F40" w:rsidRPr="00D90BC2" w:rsidRDefault="00D53F40" w:rsidP="00D53F40">
      <w:pPr>
        <w:spacing w:line="360" w:lineRule="auto"/>
        <w:ind w:right="-82"/>
        <w:jc w:val="both"/>
        <w:rPr>
          <w:rFonts w:ascii="Arial" w:hAnsi="Arial" w:cs="Arial"/>
        </w:rPr>
      </w:pPr>
    </w:p>
    <w:p w14:paraId="269897CC" w14:textId="33F73213" w:rsidR="00D53F40" w:rsidRPr="00D90BC2" w:rsidRDefault="00D53F40" w:rsidP="00F67EE5">
      <w:pPr>
        <w:spacing w:line="360" w:lineRule="auto"/>
        <w:jc w:val="both"/>
        <w:rPr>
          <w:rFonts w:ascii="Arial" w:hAnsi="Arial" w:cs="Arial"/>
        </w:rPr>
      </w:pPr>
      <w:r w:rsidRPr="00D90BC2">
        <w:rPr>
          <w:rFonts w:ascii="Arial" w:hAnsi="Arial" w:cs="Arial"/>
        </w:rPr>
        <w:t xml:space="preserve">Counsel for the </w:t>
      </w:r>
      <w:r w:rsidR="004D5D74">
        <w:rPr>
          <w:rFonts w:ascii="Arial" w:hAnsi="Arial" w:cs="Arial"/>
        </w:rPr>
        <w:t>respondent</w:t>
      </w:r>
      <w:r w:rsidR="00965280" w:rsidRPr="00D90BC2">
        <w:rPr>
          <w:rFonts w:ascii="Arial" w:hAnsi="Arial" w:cs="Arial"/>
        </w:rPr>
        <w:tab/>
        <w:t>:</w:t>
      </w:r>
      <w:r w:rsidR="00965280" w:rsidRPr="00D90BC2">
        <w:rPr>
          <w:rFonts w:ascii="Arial" w:hAnsi="Arial" w:cs="Arial"/>
        </w:rPr>
        <w:tab/>
      </w:r>
      <w:r w:rsidR="00C86E89" w:rsidRPr="00D90BC2">
        <w:rPr>
          <w:rFonts w:ascii="Arial" w:hAnsi="Arial" w:cs="Arial"/>
        </w:rPr>
        <w:t>M</w:t>
      </w:r>
      <w:r w:rsidR="007B5A39">
        <w:rPr>
          <w:rFonts w:ascii="Arial" w:hAnsi="Arial" w:cs="Arial"/>
        </w:rPr>
        <w:t xml:space="preserve">r </w:t>
      </w:r>
      <w:r w:rsidR="003138FF">
        <w:rPr>
          <w:rFonts w:ascii="Arial" w:hAnsi="Arial" w:cs="Arial"/>
        </w:rPr>
        <w:t>R M van Rooyen</w:t>
      </w:r>
      <w:r w:rsidRPr="00D90BC2">
        <w:rPr>
          <w:rFonts w:ascii="Arial" w:hAnsi="Arial" w:cs="Arial"/>
        </w:rPr>
        <w:tab/>
      </w:r>
    </w:p>
    <w:p w14:paraId="4E71569A" w14:textId="77777777" w:rsidR="003138FF" w:rsidRDefault="00D53F40" w:rsidP="003138FF">
      <w:pPr>
        <w:spacing w:line="360" w:lineRule="auto"/>
        <w:ind w:right="-82"/>
        <w:jc w:val="both"/>
        <w:rPr>
          <w:rFonts w:ascii="Arial" w:hAnsi="Arial" w:cs="Arial"/>
        </w:rPr>
      </w:pPr>
      <w:r w:rsidRPr="00D90BC2">
        <w:rPr>
          <w:rFonts w:ascii="Arial" w:hAnsi="Arial" w:cs="Arial"/>
        </w:rPr>
        <w:t>Instructed by</w:t>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t>:</w:t>
      </w:r>
      <w:r w:rsidRPr="00D90BC2">
        <w:rPr>
          <w:rFonts w:ascii="Arial" w:hAnsi="Arial" w:cs="Arial"/>
        </w:rPr>
        <w:tab/>
      </w:r>
      <w:r w:rsidR="003138FF">
        <w:rPr>
          <w:rFonts w:ascii="Arial" w:hAnsi="Arial" w:cs="Arial"/>
        </w:rPr>
        <w:t>MCH Attorneys Inc</w:t>
      </w:r>
    </w:p>
    <w:p w14:paraId="6D14269D" w14:textId="77777777" w:rsidR="003138FF" w:rsidRDefault="003138FF" w:rsidP="003138FF">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Rydall Vale Park</w:t>
      </w:r>
    </w:p>
    <w:p w14:paraId="391A389E" w14:textId="77777777" w:rsidR="003138FF" w:rsidRDefault="003138FF" w:rsidP="003138FF">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Rydall Vale Crescent</w:t>
      </w:r>
    </w:p>
    <w:p w14:paraId="3DFAC84F" w14:textId="77777777" w:rsidR="003138FF" w:rsidRPr="00D90BC2" w:rsidRDefault="003138FF" w:rsidP="003138FF">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 Lucia Ridge</w:t>
      </w:r>
    </w:p>
    <w:p w14:paraId="715BC80F" w14:textId="77777777" w:rsidR="00D53F40" w:rsidRPr="00D90BC2" w:rsidRDefault="00C86E89" w:rsidP="007B5A39">
      <w:pPr>
        <w:spacing w:line="360" w:lineRule="auto"/>
        <w:ind w:right="-82"/>
        <w:jc w:val="both"/>
        <w:rPr>
          <w:rFonts w:ascii="Arial" w:hAnsi="Arial" w:cs="Arial"/>
        </w:rPr>
      </w:pP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p>
    <w:p w14:paraId="6916CD80" w14:textId="476131D3" w:rsidR="00D53F40" w:rsidRPr="00D90BC2" w:rsidRDefault="00D53F40" w:rsidP="00D53F40">
      <w:pPr>
        <w:spacing w:line="360" w:lineRule="auto"/>
        <w:jc w:val="both"/>
        <w:rPr>
          <w:rFonts w:ascii="Arial" w:eastAsia="Calibri" w:hAnsi="Arial" w:cs="Arial"/>
        </w:rPr>
      </w:pPr>
      <w:r w:rsidRPr="00D90BC2">
        <w:rPr>
          <w:rFonts w:ascii="Arial" w:eastAsia="Calibri" w:hAnsi="Arial" w:cs="Arial"/>
        </w:rPr>
        <w:t xml:space="preserve">Date of Hearing </w:t>
      </w:r>
      <w:r w:rsidRPr="00D90BC2">
        <w:rPr>
          <w:rFonts w:ascii="Arial" w:eastAsia="Calibri" w:hAnsi="Arial" w:cs="Arial"/>
        </w:rPr>
        <w:tab/>
      </w:r>
      <w:r w:rsidRPr="00D90BC2">
        <w:rPr>
          <w:rFonts w:ascii="Arial" w:eastAsia="Calibri" w:hAnsi="Arial" w:cs="Arial"/>
        </w:rPr>
        <w:tab/>
      </w:r>
      <w:r w:rsidRPr="00D90BC2">
        <w:rPr>
          <w:rFonts w:ascii="Arial" w:eastAsia="Calibri" w:hAnsi="Arial" w:cs="Arial"/>
        </w:rPr>
        <w:tab/>
        <w:t>:</w:t>
      </w:r>
      <w:r w:rsidRPr="00D90BC2">
        <w:rPr>
          <w:rFonts w:ascii="Arial" w:eastAsia="Calibri" w:hAnsi="Arial" w:cs="Arial"/>
        </w:rPr>
        <w:tab/>
      </w:r>
      <w:r w:rsidR="00D835DF">
        <w:rPr>
          <w:rFonts w:ascii="Arial" w:eastAsia="Calibri" w:hAnsi="Arial" w:cs="Arial"/>
        </w:rPr>
        <w:t>28 July</w:t>
      </w:r>
      <w:r w:rsidR="004D5D74">
        <w:rPr>
          <w:rFonts w:ascii="Arial" w:eastAsia="Calibri" w:hAnsi="Arial" w:cs="Arial"/>
        </w:rPr>
        <w:t xml:space="preserve"> 2023</w:t>
      </w:r>
    </w:p>
    <w:p w14:paraId="2AD690A0" w14:textId="77777777" w:rsidR="00D53F40" w:rsidRPr="00D90BC2" w:rsidRDefault="00D53F40" w:rsidP="00D53F40">
      <w:pPr>
        <w:spacing w:line="360" w:lineRule="auto"/>
        <w:jc w:val="both"/>
        <w:rPr>
          <w:rFonts w:ascii="Arial" w:eastAsia="Calibri" w:hAnsi="Arial" w:cs="Arial"/>
        </w:rPr>
      </w:pPr>
    </w:p>
    <w:p w14:paraId="04771DE6" w14:textId="72344BF3" w:rsidR="00D53F40" w:rsidRPr="00D90BC2" w:rsidRDefault="00D53F40" w:rsidP="00D53F40">
      <w:pPr>
        <w:spacing w:line="360" w:lineRule="auto"/>
        <w:jc w:val="both"/>
        <w:rPr>
          <w:rFonts w:ascii="Arial" w:eastAsia="Calibri" w:hAnsi="Arial" w:cs="Arial"/>
        </w:rPr>
      </w:pPr>
      <w:r w:rsidRPr="00D90BC2">
        <w:rPr>
          <w:rFonts w:ascii="Arial" w:eastAsia="Calibri" w:hAnsi="Arial" w:cs="Arial"/>
        </w:rPr>
        <w:t xml:space="preserve">Date of Judgment </w:t>
      </w:r>
      <w:r w:rsidRPr="00D90BC2">
        <w:rPr>
          <w:rFonts w:ascii="Arial" w:eastAsia="Calibri" w:hAnsi="Arial" w:cs="Arial"/>
        </w:rPr>
        <w:tab/>
      </w:r>
      <w:r w:rsidRPr="00D90BC2">
        <w:rPr>
          <w:rFonts w:ascii="Arial" w:eastAsia="Calibri" w:hAnsi="Arial" w:cs="Arial"/>
        </w:rPr>
        <w:tab/>
      </w:r>
      <w:r w:rsidRPr="00D90BC2">
        <w:rPr>
          <w:rFonts w:ascii="Arial" w:eastAsia="Calibri" w:hAnsi="Arial" w:cs="Arial"/>
        </w:rPr>
        <w:tab/>
        <w:t>:</w:t>
      </w:r>
      <w:r w:rsidRPr="00D90BC2">
        <w:rPr>
          <w:rFonts w:ascii="Arial" w:eastAsia="Calibri" w:hAnsi="Arial" w:cs="Arial"/>
        </w:rPr>
        <w:tab/>
      </w:r>
      <w:r w:rsidR="00D835DF">
        <w:rPr>
          <w:rFonts w:ascii="Arial" w:eastAsia="Calibri" w:hAnsi="Arial" w:cs="Arial"/>
        </w:rPr>
        <w:t>28 July</w:t>
      </w:r>
      <w:r w:rsidR="004D5D74">
        <w:rPr>
          <w:rFonts w:ascii="Arial" w:eastAsia="Calibri" w:hAnsi="Arial" w:cs="Arial"/>
        </w:rPr>
        <w:t xml:space="preserve"> 2023</w:t>
      </w:r>
    </w:p>
    <w:p w14:paraId="68C2B6E0" w14:textId="77777777" w:rsidR="00D53F40" w:rsidRPr="00D90BC2" w:rsidRDefault="00D53F40" w:rsidP="00D53F40">
      <w:pPr>
        <w:spacing w:line="360" w:lineRule="auto"/>
        <w:jc w:val="both"/>
        <w:rPr>
          <w:rFonts w:ascii="Arial" w:hAnsi="Arial" w:cs="Arial"/>
          <w:b/>
          <w:bCs/>
        </w:rPr>
      </w:pPr>
    </w:p>
    <w:p w14:paraId="10EEA3AB" w14:textId="77777777" w:rsidR="00D53F40" w:rsidRPr="00D90BC2" w:rsidRDefault="00D53F40" w:rsidP="00D53F40">
      <w:pPr>
        <w:pStyle w:val="ListParagraph"/>
        <w:tabs>
          <w:tab w:val="left" w:pos="900"/>
        </w:tabs>
        <w:spacing w:after="0" w:line="360" w:lineRule="auto"/>
        <w:ind w:left="0"/>
        <w:jc w:val="both"/>
        <w:rPr>
          <w:rFonts w:ascii="Arial" w:hAnsi="Arial" w:cs="Arial"/>
          <w:b/>
          <w:color w:val="000000" w:themeColor="text1"/>
          <w:sz w:val="24"/>
          <w:szCs w:val="24"/>
          <w:lang w:val="en-ZA"/>
        </w:rPr>
      </w:pPr>
    </w:p>
    <w:p w14:paraId="2E098700" w14:textId="77777777" w:rsidR="00BD7A9B" w:rsidRDefault="00BD7A9B" w:rsidP="00BD7A9B"/>
    <w:p w14:paraId="3E8CE776" w14:textId="77777777" w:rsidR="00D53F40" w:rsidRPr="00D90BC2" w:rsidRDefault="00D53F40" w:rsidP="00D53F40">
      <w:pPr>
        <w:tabs>
          <w:tab w:val="left" w:pos="1418"/>
        </w:tabs>
        <w:spacing w:line="360" w:lineRule="auto"/>
        <w:jc w:val="both"/>
        <w:rPr>
          <w:rFonts w:ascii="Arial" w:hAnsi="Arial" w:cs="Arial"/>
          <w:b/>
          <w:bCs/>
        </w:rPr>
      </w:pPr>
    </w:p>
    <w:sectPr w:rsidR="00D53F40" w:rsidRPr="00D90BC2" w:rsidSect="004E3E73">
      <w:headerReference w:type="default" r:id="rId11"/>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36C9" w14:textId="77777777" w:rsidR="00820C90" w:rsidRDefault="00820C90" w:rsidP="007C243E">
      <w:r>
        <w:separator/>
      </w:r>
    </w:p>
  </w:endnote>
  <w:endnote w:type="continuationSeparator" w:id="0">
    <w:p w14:paraId="3E6E68A5" w14:textId="77777777" w:rsidR="00820C90" w:rsidRDefault="00820C90" w:rsidP="007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939D" w14:textId="77777777" w:rsidR="00820C90" w:rsidRDefault="00820C90" w:rsidP="007C243E">
      <w:r>
        <w:separator/>
      </w:r>
    </w:p>
  </w:footnote>
  <w:footnote w:type="continuationSeparator" w:id="0">
    <w:p w14:paraId="239F9522" w14:textId="77777777" w:rsidR="00820C90" w:rsidRDefault="00820C90" w:rsidP="007C243E">
      <w:r>
        <w:continuationSeparator/>
      </w:r>
    </w:p>
  </w:footnote>
  <w:footnote w:id="1">
    <w:p w14:paraId="3058C02E" w14:textId="77777777" w:rsidR="00153263" w:rsidRPr="003138FF" w:rsidRDefault="00153263" w:rsidP="00153263">
      <w:pPr>
        <w:pStyle w:val="Heading2"/>
        <w:shd w:val="clear" w:color="auto" w:fill="FFFFFF"/>
        <w:spacing w:before="0" w:line="240" w:lineRule="auto"/>
        <w:jc w:val="both"/>
        <w:rPr>
          <w:rFonts w:ascii="Arial" w:hAnsi="Arial" w:cs="Arial"/>
          <w:color w:val="auto"/>
          <w:sz w:val="20"/>
          <w:szCs w:val="20"/>
          <w:lang w:val="en-US"/>
        </w:rPr>
      </w:pPr>
      <w:r w:rsidRPr="003138FF">
        <w:rPr>
          <w:rStyle w:val="FootnoteReference"/>
          <w:rFonts w:ascii="Arial" w:hAnsi="Arial" w:cs="Arial"/>
          <w:color w:val="auto"/>
          <w:sz w:val="20"/>
          <w:szCs w:val="20"/>
        </w:rPr>
        <w:footnoteRef/>
      </w:r>
      <w:r w:rsidRPr="003138FF">
        <w:rPr>
          <w:rFonts w:ascii="Arial" w:hAnsi="Arial" w:cs="Arial"/>
          <w:color w:val="auto"/>
          <w:sz w:val="20"/>
          <w:szCs w:val="20"/>
        </w:rPr>
        <w:t xml:space="preserve"> </w:t>
      </w:r>
      <w:r w:rsidRPr="003138FF">
        <w:rPr>
          <w:rFonts w:ascii="Arial" w:eastAsia="Times New Roman" w:hAnsi="Arial" w:cs="Arial"/>
          <w:i/>
          <w:color w:val="auto"/>
          <w:sz w:val="20"/>
          <w:szCs w:val="20"/>
          <w:lang w:eastAsia="en-GB"/>
        </w:rPr>
        <w:t>Public Protector of South Africa v Speaker of the National Assembly and Others</w:t>
      </w:r>
      <w:r w:rsidRPr="003138FF">
        <w:rPr>
          <w:rFonts w:ascii="Arial" w:eastAsia="Times New Roman" w:hAnsi="Arial" w:cs="Arial"/>
          <w:color w:val="auto"/>
          <w:sz w:val="20"/>
          <w:szCs w:val="20"/>
          <w:lang w:eastAsia="en-GB"/>
        </w:rPr>
        <w:t xml:space="preserve"> (8500/2022) [2022] ZAWCHC 222 (3 November 2022) para 14.</w:t>
      </w:r>
    </w:p>
  </w:footnote>
  <w:footnote w:id="2">
    <w:p w14:paraId="57D164A0" w14:textId="77777777" w:rsidR="00153263" w:rsidRPr="003138FF" w:rsidRDefault="00153263" w:rsidP="00153263">
      <w:pPr>
        <w:pStyle w:val="FootnoteText"/>
        <w:jc w:val="both"/>
        <w:rPr>
          <w:rFonts w:ascii="Arial" w:hAnsi="Arial" w:cs="Arial"/>
          <w:lang w:val="en-US"/>
        </w:rPr>
      </w:pPr>
      <w:r w:rsidRPr="003138FF">
        <w:rPr>
          <w:rStyle w:val="FootnoteReference"/>
          <w:rFonts w:ascii="Arial" w:hAnsi="Arial" w:cs="Arial"/>
        </w:rPr>
        <w:footnoteRef/>
      </w:r>
      <w:r w:rsidRPr="003138FF">
        <w:rPr>
          <w:rFonts w:ascii="Arial" w:hAnsi="Arial" w:cs="Arial"/>
        </w:rPr>
        <w:t xml:space="preserve"> </w:t>
      </w:r>
      <w:r w:rsidRPr="003138FF">
        <w:rPr>
          <w:rFonts w:ascii="Arial" w:eastAsia="Times New Roman" w:hAnsi="Arial" w:cs="Arial"/>
          <w:i/>
          <w:shd w:val="clear" w:color="auto" w:fill="FFFFFF"/>
          <w:lang w:val="en-ZA" w:eastAsia="en-GB" w:bidi="yi-Hebr"/>
        </w:rPr>
        <w:t>Ramakatsa and Others v African National Congress and Another</w:t>
      </w:r>
      <w:r w:rsidRPr="003138FF">
        <w:rPr>
          <w:rFonts w:ascii="Arial" w:eastAsia="Times New Roman" w:hAnsi="Arial" w:cs="Arial"/>
          <w:shd w:val="clear" w:color="auto" w:fill="FFFFFF"/>
          <w:lang w:val="en-ZA" w:eastAsia="en-GB" w:bidi="yi-Hebr"/>
        </w:rPr>
        <w:t> </w:t>
      </w:r>
      <w:hyperlink r:id="rId1" w:tooltip="View LawCiteRecord" w:history="1">
        <w:r w:rsidRPr="003138FF">
          <w:rPr>
            <w:rFonts w:ascii="Arial" w:eastAsia="Times New Roman" w:hAnsi="Arial" w:cs="Arial"/>
            <w:bCs/>
            <w:shd w:val="clear" w:color="auto" w:fill="FFFFFF"/>
            <w:lang w:val="en-ZA" w:eastAsia="en-GB" w:bidi="yi-Hebr"/>
          </w:rPr>
          <w:t>[2021] JOL 49993</w:t>
        </w:r>
      </w:hyperlink>
      <w:r w:rsidRPr="003138FF">
        <w:rPr>
          <w:rFonts w:ascii="Arial" w:eastAsia="Times New Roman" w:hAnsi="Arial" w:cs="Arial"/>
          <w:shd w:val="clear" w:color="auto" w:fill="FFFFFF"/>
          <w:lang w:val="en-ZA" w:eastAsia="en-GB" w:bidi="yi-Hebr"/>
        </w:rPr>
        <w:t> (SCA) para [10]</w:t>
      </w:r>
    </w:p>
  </w:footnote>
  <w:footnote w:id="3">
    <w:p w14:paraId="170E3125" w14:textId="77777777" w:rsidR="00153263" w:rsidRPr="003138FF" w:rsidRDefault="00153263" w:rsidP="00153263">
      <w:pPr>
        <w:pStyle w:val="Heading2"/>
        <w:shd w:val="clear" w:color="auto" w:fill="FFFFFF"/>
        <w:spacing w:before="0" w:line="240" w:lineRule="auto"/>
        <w:jc w:val="both"/>
        <w:rPr>
          <w:rFonts w:ascii="Arial" w:hAnsi="Arial" w:cs="Arial"/>
          <w:color w:val="auto"/>
          <w:sz w:val="20"/>
          <w:szCs w:val="20"/>
          <w:lang w:val="en-US"/>
        </w:rPr>
      </w:pPr>
      <w:r w:rsidRPr="003138FF">
        <w:rPr>
          <w:rStyle w:val="FootnoteReference"/>
          <w:rFonts w:ascii="Arial" w:hAnsi="Arial" w:cs="Arial"/>
          <w:color w:val="auto"/>
          <w:sz w:val="20"/>
          <w:szCs w:val="20"/>
        </w:rPr>
        <w:footnoteRef/>
      </w:r>
      <w:r w:rsidRPr="003138FF">
        <w:rPr>
          <w:rFonts w:ascii="Arial" w:hAnsi="Arial" w:cs="Arial"/>
          <w:color w:val="auto"/>
          <w:sz w:val="20"/>
          <w:szCs w:val="20"/>
        </w:rPr>
        <w:t xml:space="preserve"> </w:t>
      </w:r>
      <w:r w:rsidRPr="003138FF">
        <w:rPr>
          <w:rFonts w:ascii="Arial" w:eastAsia="Times New Roman" w:hAnsi="Arial" w:cs="Arial"/>
          <w:i/>
          <w:color w:val="auto"/>
          <w:sz w:val="20"/>
          <w:szCs w:val="20"/>
          <w:lang w:eastAsia="en-GB"/>
        </w:rPr>
        <w:t>MEC for Health, Eastern Cape v Mkhitha and Another</w:t>
      </w:r>
      <w:r w:rsidRPr="003138FF">
        <w:rPr>
          <w:rFonts w:ascii="Arial" w:eastAsia="Times New Roman" w:hAnsi="Arial" w:cs="Arial"/>
          <w:color w:val="auto"/>
          <w:sz w:val="20"/>
          <w:szCs w:val="20"/>
          <w:lang w:eastAsia="en-GB"/>
        </w:rPr>
        <w:t xml:space="preserve"> [2016] ZASCA 176 para 17.</w:t>
      </w:r>
    </w:p>
  </w:footnote>
  <w:footnote w:id="4">
    <w:p w14:paraId="2F7DF464" w14:textId="77777777" w:rsidR="00D835DF" w:rsidRPr="0005695F" w:rsidRDefault="00D835DF" w:rsidP="00D835DF">
      <w:pPr>
        <w:pStyle w:val="FootnoteText"/>
        <w:ind w:right="-46"/>
        <w:jc w:val="both"/>
        <w:rPr>
          <w:rFonts w:asciiTheme="minorBidi" w:hAnsiTheme="minorBidi"/>
        </w:rPr>
      </w:pPr>
      <w:r w:rsidRPr="0005695F">
        <w:rPr>
          <w:rStyle w:val="FootnoteReference"/>
          <w:rFonts w:asciiTheme="minorBidi" w:hAnsiTheme="minorBidi"/>
        </w:rPr>
        <w:footnoteRef/>
      </w:r>
      <w:r w:rsidRPr="0005695F">
        <w:rPr>
          <w:rFonts w:asciiTheme="minorBidi" w:hAnsiTheme="minorBidi"/>
        </w:rPr>
        <w:t xml:space="preserve"> </w:t>
      </w:r>
      <w:r w:rsidRPr="0005695F">
        <w:rPr>
          <w:rFonts w:asciiTheme="minorBidi" w:hAnsiTheme="minorBidi"/>
          <w:i/>
          <w:lang w:val="en-US"/>
        </w:rPr>
        <w:t>Amedee v Fidele and others</w:t>
      </w:r>
      <w:r w:rsidRPr="0005695F">
        <w:rPr>
          <w:rFonts w:asciiTheme="minorBidi" w:hAnsiTheme="minorBidi"/>
          <w:lang w:val="en-US"/>
        </w:rPr>
        <w:t xml:space="preserve"> [2021] ZAGPJHC 837 para 79.</w:t>
      </w:r>
    </w:p>
  </w:footnote>
  <w:footnote w:id="5">
    <w:p w14:paraId="0E155F45" w14:textId="77777777" w:rsidR="00D835DF" w:rsidRPr="0005695F" w:rsidRDefault="00D835DF" w:rsidP="00D835DF">
      <w:pPr>
        <w:pStyle w:val="NormalWeb"/>
        <w:spacing w:before="0" w:beforeAutospacing="0" w:after="0" w:afterAutospacing="0"/>
        <w:ind w:right="-46"/>
        <w:jc w:val="both"/>
        <w:rPr>
          <w:lang w:val="en-US"/>
        </w:rPr>
      </w:pPr>
      <w:r w:rsidRPr="0005695F">
        <w:rPr>
          <w:rStyle w:val="FootnoteReference"/>
          <w:rFonts w:asciiTheme="minorBidi" w:hAnsiTheme="minorBidi" w:cstheme="minorBidi"/>
          <w:sz w:val="20"/>
          <w:szCs w:val="20"/>
        </w:rPr>
        <w:footnoteRef/>
      </w:r>
      <w:r w:rsidRPr="0005695F">
        <w:rPr>
          <w:rFonts w:asciiTheme="minorBidi" w:hAnsiTheme="minorBidi" w:cstheme="minorBidi"/>
          <w:sz w:val="20"/>
          <w:szCs w:val="20"/>
        </w:rPr>
        <w:t xml:space="preserve"> </w:t>
      </w:r>
      <w:r w:rsidRPr="0005695F">
        <w:rPr>
          <w:rFonts w:asciiTheme="minorBidi" w:hAnsiTheme="minorBidi" w:cstheme="minorBidi"/>
          <w:i/>
          <w:iCs/>
          <w:sz w:val="20"/>
          <w:szCs w:val="20"/>
        </w:rPr>
        <w:t>I</w:t>
      </w:r>
      <w:r w:rsidRPr="0005695F">
        <w:rPr>
          <w:rFonts w:asciiTheme="minorBidi" w:hAnsiTheme="minorBidi" w:cstheme="minorBidi"/>
          <w:i/>
          <w:iCs/>
          <w:color w:val="231E1E"/>
          <w:sz w:val="20"/>
          <w:szCs w:val="20"/>
          <w:lang w:val="en-ZA" w:bidi="yi-Hebr"/>
        </w:rPr>
        <w:t>mpala Platinum Ltd v Monageng Mothiba N.O. and Oth</w:t>
      </w:r>
      <w:r w:rsidRPr="0005695F">
        <w:rPr>
          <w:rFonts w:asciiTheme="minorBidi" w:hAnsiTheme="minorBidi" w:cstheme="minorBidi"/>
          <w:color w:val="231E1E"/>
          <w:sz w:val="20"/>
          <w:szCs w:val="20"/>
          <w:lang w:val="en-ZA" w:bidi="yi-Hebr"/>
        </w:rPr>
        <w:t>ers [2016] ZALCJHB 475</w:t>
      </w:r>
      <w:r w:rsidRPr="0005695F">
        <w:rPr>
          <w:rFonts w:asciiTheme="minorBidi" w:hAnsiTheme="minorBidi" w:cstheme="minorBidi"/>
          <w:color w:val="231E1E"/>
          <w:sz w:val="20"/>
          <w:szCs w:val="20"/>
        </w:rPr>
        <w:t xml:space="preserve">. </w:t>
      </w:r>
    </w:p>
  </w:footnote>
  <w:footnote w:id="6">
    <w:p w14:paraId="4BB09E47" w14:textId="77777777" w:rsidR="008B7A4B" w:rsidRPr="001D575A" w:rsidRDefault="008B7A4B" w:rsidP="008B7A4B">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iCs/>
        </w:rPr>
        <w:t>Absa Bank Ltd v Davidson</w:t>
      </w:r>
      <w:r w:rsidRPr="001D575A">
        <w:rPr>
          <w:rFonts w:ascii="Arial" w:hAnsi="Arial" w:cs="Arial"/>
        </w:rPr>
        <w:t xml:space="preserve"> 2000 (1) SA 1117 (SCA).</w:t>
      </w:r>
    </w:p>
  </w:footnote>
  <w:footnote w:id="7">
    <w:p w14:paraId="51B4F371" w14:textId="77777777" w:rsidR="008B7A4B" w:rsidRPr="001D575A" w:rsidRDefault="008B7A4B" w:rsidP="008B7A4B">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Cs/>
        </w:rPr>
        <w:t>Ibid</w:t>
      </w:r>
      <w:r w:rsidRPr="001D575A">
        <w:rPr>
          <w:rFonts w:ascii="Arial" w:hAnsi="Arial" w:cs="Arial"/>
        </w:rPr>
        <w:t xml:space="preserve"> p</w:t>
      </w:r>
      <w:r w:rsidRPr="001D575A">
        <w:rPr>
          <w:rFonts w:ascii="Arial" w:hAnsi="Arial" w:cs="Arial"/>
          <w:lang w:val="en-US"/>
        </w:rPr>
        <w:t>ara 19.</w:t>
      </w:r>
    </w:p>
  </w:footnote>
  <w:footnote w:id="8">
    <w:p w14:paraId="4B8EF858" w14:textId="77777777" w:rsidR="003138FF" w:rsidRPr="003138FF" w:rsidRDefault="003138FF" w:rsidP="003138FF">
      <w:pPr>
        <w:pStyle w:val="FootnoteText"/>
        <w:jc w:val="both"/>
        <w:rPr>
          <w:rFonts w:ascii="Arial" w:hAnsi="Arial" w:cs="Arial"/>
          <w:lang w:val="en-US"/>
        </w:rPr>
      </w:pPr>
      <w:r w:rsidRPr="003138FF">
        <w:rPr>
          <w:rStyle w:val="FootnoteReference"/>
          <w:rFonts w:ascii="Arial" w:hAnsi="Arial" w:cs="Arial"/>
        </w:rPr>
        <w:footnoteRef/>
      </w:r>
      <w:r w:rsidRPr="003138FF">
        <w:rPr>
          <w:rFonts w:ascii="Arial" w:hAnsi="Arial" w:cs="Arial"/>
        </w:rPr>
        <w:t xml:space="preserve"> </w:t>
      </w:r>
      <w:r w:rsidRPr="003138FF">
        <w:rPr>
          <w:rFonts w:ascii="Arial" w:hAnsi="Arial" w:cs="Arial"/>
          <w:i/>
          <w:iCs/>
          <w:color w:val="000000"/>
          <w:shd w:val="clear" w:color="auto" w:fill="FFFFFF"/>
        </w:rPr>
        <w:t>Dexgroup (Pty) Ltd v Trustco Group International (Pty) Ltd</w:t>
      </w:r>
      <w:r w:rsidRPr="003138FF">
        <w:rPr>
          <w:rFonts w:ascii="Arial" w:hAnsi="Arial" w:cs="Arial"/>
          <w:color w:val="000000"/>
          <w:shd w:val="clear" w:color="auto" w:fill="FFFFFF"/>
        </w:rPr>
        <w:t xml:space="preserve"> 2013 (6) SA 520 (SCA) para 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Arial" w:hAnsi="Arial" w:cs="Arial"/>
        <w:noProof/>
        <w:sz w:val="24"/>
        <w:szCs w:val="24"/>
      </w:rPr>
    </w:sdtEndPr>
    <w:sdtContent>
      <w:p w14:paraId="426ED402" w14:textId="1D45D89A" w:rsidR="00C507EB" w:rsidRPr="00747D92" w:rsidRDefault="00C507EB" w:rsidP="00AA4AAD">
        <w:pPr>
          <w:pStyle w:val="Header"/>
          <w:jc w:val="right"/>
          <w:rPr>
            <w:rFonts w:ascii="Arial" w:hAnsi="Arial" w:cs="Arial"/>
            <w:sz w:val="24"/>
            <w:szCs w:val="24"/>
          </w:rPr>
        </w:pPr>
        <w:r w:rsidRPr="00747D92">
          <w:rPr>
            <w:rFonts w:ascii="Arial" w:hAnsi="Arial" w:cs="Arial"/>
            <w:sz w:val="24"/>
            <w:szCs w:val="24"/>
          </w:rPr>
          <w:fldChar w:fldCharType="begin"/>
        </w:r>
        <w:r w:rsidRPr="00747D92">
          <w:rPr>
            <w:rFonts w:ascii="Arial" w:hAnsi="Arial" w:cs="Arial"/>
            <w:sz w:val="24"/>
            <w:szCs w:val="24"/>
          </w:rPr>
          <w:instrText xml:space="preserve"> PAGE   \* MERGEFORMAT </w:instrText>
        </w:r>
        <w:r w:rsidRPr="00747D92">
          <w:rPr>
            <w:rFonts w:ascii="Arial" w:hAnsi="Arial" w:cs="Arial"/>
            <w:sz w:val="24"/>
            <w:szCs w:val="24"/>
          </w:rPr>
          <w:fldChar w:fldCharType="separate"/>
        </w:r>
        <w:r w:rsidR="00317A8B">
          <w:rPr>
            <w:rFonts w:ascii="Arial" w:hAnsi="Arial" w:cs="Arial"/>
            <w:noProof/>
            <w:sz w:val="24"/>
            <w:szCs w:val="24"/>
          </w:rPr>
          <w:t>5</w:t>
        </w:r>
        <w:r w:rsidRPr="00747D92">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B38"/>
    <w:multiLevelType w:val="hybridMultilevel"/>
    <w:tmpl w:val="66B6EAEA"/>
    <w:lvl w:ilvl="0" w:tplc="C220D1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51A7E"/>
    <w:multiLevelType w:val="hybridMultilevel"/>
    <w:tmpl w:val="15F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428F"/>
    <w:multiLevelType w:val="hybridMultilevel"/>
    <w:tmpl w:val="3524F214"/>
    <w:lvl w:ilvl="0" w:tplc="8B8E46A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A3466"/>
    <w:multiLevelType w:val="hybridMultilevel"/>
    <w:tmpl w:val="06681AE4"/>
    <w:lvl w:ilvl="0" w:tplc="E2A8CC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D578A3"/>
    <w:multiLevelType w:val="hybridMultilevel"/>
    <w:tmpl w:val="14C2B6B0"/>
    <w:lvl w:ilvl="0" w:tplc="7F820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97203"/>
    <w:multiLevelType w:val="hybridMultilevel"/>
    <w:tmpl w:val="4C62CC0A"/>
    <w:lvl w:ilvl="0" w:tplc="57CED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D4BA1"/>
    <w:multiLevelType w:val="hybridMultilevel"/>
    <w:tmpl w:val="C04A917C"/>
    <w:lvl w:ilvl="0" w:tplc="E1123540">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60846"/>
    <w:multiLevelType w:val="hybridMultilevel"/>
    <w:tmpl w:val="570E2D9E"/>
    <w:lvl w:ilvl="0" w:tplc="4EC6859A">
      <w:start w:val="1"/>
      <w:numFmt w:val="decimal"/>
      <w:lvlText w:val="[%1]"/>
      <w:lvlJc w:val="left"/>
      <w:pPr>
        <w:ind w:left="928" w:hanging="360"/>
      </w:pPr>
      <w:rPr>
        <w:rFonts w:ascii="Arial" w:hAnsi="Arial"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020C1F"/>
    <w:multiLevelType w:val="hybridMultilevel"/>
    <w:tmpl w:val="A112B230"/>
    <w:lvl w:ilvl="0" w:tplc="52562D1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215E9"/>
    <w:multiLevelType w:val="hybridMultilevel"/>
    <w:tmpl w:val="E242B808"/>
    <w:lvl w:ilvl="0" w:tplc="7354EAD8">
      <w:start w:val="1"/>
      <w:numFmt w:val="lowerLetter"/>
      <w:lvlText w:val="(%1)"/>
      <w:lvlJc w:val="left"/>
      <w:pPr>
        <w:ind w:left="1140" w:hanging="78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80C20"/>
    <w:multiLevelType w:val="hybridMultilevel"/>
    <w:tmpl w:val="B37ACBFE"/>
    <w:lvl w:ilvl="0" w:tplc="5014769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76746"/>
    <w:multiLevelType w:val="hybridMultilevel"/>
    <w:tmpl w:val="45A4083C"/>
    <w:lvl w:ilvl="0" w:tplc="527007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651B5"/>
    <w:multiLevelType w:val="hybridMultilevel"/>
    <w:tmpl w:val="FEB041F4"/>
    <w:lvl w:ilvl="0" w:tplc="8EEC9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87782"/>
    <w:multiLevelType w:val="hybridMultilevel"/>
    <w:tmpl w:val="F9FAA5D2"/>
    <w:lvl w:ilvl="0" w:tplc="E9D4E9BC">
      <w:start w:val="1"/>
      <w:numFmt w:val="lowerLetter"/>
      <w:lvlText w:val="(%1)"/>
      <w:lvlJc w:val="left"/>
      <w:pPr>
        <w:ind w:left="1140" w:hanging="78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B402A"/>
    <w:multiLevelType w:val="hybridMultilevel"/>
    <w:tmpl w:val="90F20602"/>
    <w:lvl w:ilvl="0" w:tplc="5C463C68">
      <w:start w:val="1"/>
      <w:numFmt w:val="decimal"/>
      <w:lvlText w:val="[%1]"/>
      <w:lvlJc w:val="left"/>
      <w:pPr>
        <w:ind w:left="786" w:hanging="360"/>
      </w:pPr>
      <w:rPr>
        <w:rFonts w:ascii="Arial" w:hAnsi="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EB94B9F"/>
    <w:multiLevelType w:val="hybridMultilevel"/>
    <w:tmpl w:val="3D462540"/>
    <w:lvl w:ilvl="0" w:tplc="9A704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37CA5"/>
    <w:multiLevelType w:val="hybridMultilevel"/>
    <w:tmpl w:val="F9806CF6"/>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494010"/>
    <w:multiLevelType w:val="hybridMultilevel"/>
    <w:tmpl w:val="7D186524"/>
    <w:lvl w:ilvl="0" w:tplc="11F2D8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A907D2"/>
    <w:multiLevelType w:val="hybridMultilevel"/>
    <w:tmpl w:val="65DE56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574CF"/>
    <w:multiLevelType w:val="hybridMultilevel"/>
    <w:tmpl w:val="5052E016"/>
    <w:lvl w:ilvl="0" w:tplc="79F4E4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57CBB"/>
    <w:multiLevelType w:val="hybridMultilevel"/>
    <w:tmpl w:val="BCFEF0BC"/>
    <w:lvl w:ilvl="0" w:tplc="54C6B0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B25D8"/>
    <w:multiLevelType w:val="hybridMultilevel"/>
    <w:tmpl w:val="F858D9D2"/>
    <w:lvl w:ilvl="0" w:tplc="07E8CBCA">
      <w:start w:val="1"/>
      <w:numFmt w:val="lowerLetter"/>
      <w:lvlText w:val="(%1)"/>
      <w:lvlJc w:val="left"/>
      <w:pPr>
        <w:ind w:left="3196" w:hanging="360"/>
      </w:pPr>
      <w:rPr>
        <w:rFonts w:hint="default"/>
        <w:i/>
        <w:iCs/>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1" w15:restartNumberingAfterBreak="0">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A00EF4"/>
    <w:multiLevelType w:val="hybridMultilevel"/>
    <w:tmpl w:val="70E69C3A"/>
    <w:lvl w:ilvl="0" w:tplc="F88A891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20926"/>
    <w:multiLevelType w:val="hybridMultilevel"/>
    <w:tmpl w:val="B2BEAEE6"/>
    <w:lvl w:ilvl="0" w:tplc="4BFEE08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6E05AE"/>
    <w:multiLevelType w:val="hybridMultilevel"/>
    <w:tmpl w:val="9CC26AC2"/>
    <w:lvl w:ilvl="0" w:tplc="D70A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28"/>
  </w:num>
  <w:num w:numId="5">
    <w:abstractNumId w:val="10"/>
  </w:num>
  <w:num w:numId="6">
    <w:abstractNumId w:val="5"/>
  </w:num>
  <w:num w:numId="7">
    <w:abstractNumId w:val="33"/>
  </w:num>
  <w:num w:numId="8">
    <w:abstractNumId w:val="7"/>
  </w:num>
  <w:num w:numId="9">
    <w:abstractNumId w:val="31"/>
  </w:num>
  <w:num w:numId="10">
    <w:abstractNumId w:val="1"/>
  </w:num>
  <w:num w:numId="11">
    <w:abstractNumId w:val="35"/>
  </w:num>
  <w:num w:numId="12">
    <w:abstractNumId w:val="21"/>
  </w:num>
  <w:num w:numId="13">
    <w:abstractNumId w:val="22"/>
  </w:num>
  <w:num w:numId="14">
    <w:abstractNumId w:val="0"/>
  </w:num>
  <w:num w:numId="15">
    <w:abstractNumId w:val="34"/>
  </w:num>
  <w:num w:numId="16">
    <w:abstractNumId w:val="23"/>
  </w:num>
  <w:num w:numId="17">
    <w:abstractNumId w:val="36"/>
  </w:num>
  <w:num w:numId="18">
    <w:abstractNumId w:val="25"/>
  </w:num>
  <w:num w:numId="19">
    <w:abstractNumId w:val="26"/>
  </w:num>
  <w:num w:numId="20">
    <w:abstractNumId w:val="16"/>
  </w:num>
  <w:num w:numId="21">
    <w:abstractNumId w:val="6"/>
  </w:num>
  <w:num w:numId="22">
    <w:abstractNumId w:val="29"/>
  </w:num>
  <w:num w:numId="23">
    <w:abstractNumId w:val="2"/>
  </w:num>
  <w:num w:numId="24">
    <w:abstractNumId w:val="12"/>
  </w:num>
  <w:num w:numId="25">
    <w:abstractNumId w:val="9"/>
  </w:num>
  <w:num w:numId="26">
    <w:abstractNumId w:val="14"/>
  </w:num>
  <w:num w:numId="27">
    <w:abstractNumId w:val="18"/>
  </w:num>
  <w:num w:numId="28">
    <w:abstractNumId w:val="15"/>
  </w:num>
  <w:num w:numId="29">
    <w:abstractNumId w:val="17"/>
  </w:num>
  <w:num w:numId="30">
    <w:abstractNumId w:val="32"/>
  </w:num>
  <w:num w:numId="31">
    <w:abstractNumId w:val="20"/>
  </w:num>
  <w:num w:numId="32">
    <w:abstractNumId w:val="3"/>
  </w:num>
  <w:num w:numId="33">
    <w:abstractNumId w:val="13"/>
  </w:num>
  <w:num w:numId="34">
    <w:abstractNumId w:val="8"/>
  </w:num>
  <w:num w:numId="35">
    <w:abstractNumId w:val="30"/>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E9"/>
    <w:rsid w:val="00001D5C"/>
    <w:rsid w:val="00006A92"/>
    <w:rsid w:val="00006C26"/>
    <w:rsid w:val="00012005"/>
    <w:rsid w:val="00012BA6"/>
    <w:rsid w:val="00012DE8"/>
    <w:rsid w:val="000153C8"/>
    <w:rsid w:val="00017C3D"/>
    <w:rsid w:val="00032C36"/>
    <w:rsid w:val="0003659C"/>
    <w:rsid w:val="00036A1E"/>
    <w:rsid w:val="000403DE"/>
    <w:rsid w:val="00042BB7"/>
    <w:rsid w:val="00043114"/>
    <w:rsid w:val="00047642"/>
    <w:rsid w:val="0005156D"/>
    <w:rsid w:val="00055372"/>
    <w:rsid w:val="0005695F"/>
    <w:rsid w:val="00060496"/>
    <w:rsid w:val="00061439"/>
    <w:rsid w:val="00064562"/>
    <w:rsid w:val="000645DA"/>
    <w:rsid w:val="00070440"/>
    <w:rsid w:val="00071419"/>
    <w:rsid w:val="00072031"/>
    <w:rsid w:val="00074EE9"/>
    <w:rsid w:val="0007651F"/>
    <w:rsid w:val="000767C6"/>
    <w:rsid w:val="00077E87"/>
    <w:rsid w:val="00081619"/>
    <w:rsid w:val="00086455"/>
    <w:rsid w:val="000906C8"/>
    <w:rsid w:val="000919DF"/>
    <w:rsid w:val="0009369C"/>
    <w:rsid w:val="00095066"/>
    <w:rsid w:val="00097D0C"/>
    <w:rsid w:val="000A0C69"/>
    <w:rsid w:val="000A251C"/>
    <w:rsid w:val="000A2DC5"/>
    <w:rsid w:val="000A5554"/>
    <w:rsid w:val="000A7C59"/>
    <w:rsid w:val="000B617C"/>
    <w:rsid w:val="000C0576"/>
    <w:rsid w:val="000C3C4D"/>
    <w:rsid w:val="000D0FF5"/>
    <w:rsid w:val="000D24DB"/>
    <w:rsid w:val="000E0AF1"/>
    <w:rsid w:val="000F25F4"/>
    <w:rsid w:val="001004DC"/>
    <w:rsid w:val="00112D39"/>
    <w:rsid w:val="001175ED"/>
    <w:rsid w:val="0012013C"/>
    <w:rsid w:val="0012175C"/>
    <w:rsid w:val="00123AFF"/>
    <w:rsid w:val="00126190"/>
    <w:rsid w:val="001357C5"/>
    <w:rsid w:val="00136996"/>
    <w:rsid w:val="001369E5"/>
    <w:rsid w:val="001433D3"/>
    <w:rsid w:val="00144E31"/>
    <w:rsid w:val="00147D09"/>
    <w:rsid w:val="00152A58"/>
    <w:rsid w:val="00153263"/>
    <w:rsid w:val="00153A16"/>
    <w:rsid w:val="001540BB"/>
    <w:rsid w:val="00154BEC"/>
    <w:rsid w:val="00155500"/>
    <w:rsid w:val="00157397"/>
    <w:rsid w:val="0015787E"/>
    <w:rsid w:val="00161100"/>
    <w:rsid w:val="00163240"/>
    <w:rsid w:val="00171567"/>
    <w:rsid w:val="001771A9"/>
    <w:rsid w:val="00192E44"/>
    <w:rsid w:val="001948AD"/>
    <w:rsid w:val="00196C09"/>
    <w:rsid w:val="001A2A0B"/>
    <w:rsid w:val="001A2AA0"/>
    <w:rsid w:val="001A3518"/>
    <w:rsid w:val="001A4348"/>
    <w:rsid w:val="001A4DBA"/>
    <w:rsid w:val="001A5697"/>
    <w:rsid w:val="001B3A32"/>
    <w:rsid w:val="001C0F0B"/>
    <w:rsid w:val="001C5BF9"/>
    <w:rsid w:val="001D2183"/>
    <w:rsid w:val="001D26CC"/>
    <w:rsid w:val="001D2982"/>
    <w:rsid w:val="001D575A"/>
    <w:rsid w:val="001D61CA"/>
    <w:rsid w:val="001E10F4"/>
    <w:rsid w:val="001E48C3"/>
    <w:rsid w:val="001E6E79"/>
    <w:rsid w:val="001F17D7"/>
    <w:rsid w:val="001F4E58"/>
    <w:rsid w:val="00210FC6"/>
    <w:rsid w:val="00222467"/>
    <w:rsid w:val="00222D04"/>
    <w:rsid w:val="00223E6E"/>
    <w:rsid w:val="002257E3"/>
    <w:rsid w:val="00230817"/>
    <w:rsid w:val="002312C8"/>
    <w:rsid w:val="00231404"/>
    <w:rsid w:val="0023287C"/>
    <w:rsid w:val="00233CD5"/>
    <w:rsid w:val="00233DFA"/>
    <w:rsid w:val="00234640"/>
    <w:rsid w:val="00250CF5"/>
    <w:rsid w:val="00255D13"/>
    <w:rsid w:val="00260AED"/>
    <w:rsid w:val="00264A82"/>
    <w:rsid w:val="0026719C"/>
    <w:rsid w:val="002743FE"/>
    <w:rsid w:val="00274770"/>
    <w:rsid w:val="00281252"/>
    <w:rsid w:val="002822F8"/>
    <w:rsid w:val="002840EE"/>
    <w:rsid w:val="00285773"/>
    <w:rsid w:val="0028594C"/>
    <w:rsid w:val="00285F3D"/>
    <w:rsid w:val="00286F86"/>
    <w:rsid w:val="00290D23"/>
    <w:rsid w:val="002924E7"/>
    <w:rsid w:val="0029331C"/>
    <w:rsid w:val="00293ACD"/>
    <w:rsid w:val="00295784"/>
    <w:rsid w:val="002A1688"/>
    <w:rsid w:val="002A2BDD"/>
    <w:rsid w:val="002A4AD2"/>
    <w:rsid w:val="002A7E50"/>
    <w:rsid w:val="002A7FC8"/>
    <w:rsid w:val="002C2501"/>
    <w:rsid w:val="002C29CA"/>
    <w:rsid w:val="002C435E"/>
    <w:rsid w:val="002C7A90"/>
    <w:rsid w:val="002D02F8"/>
    <w:rsid w:val="002D09F4"/>
    <w:rsid w:val="002D1858"/>
    <w:rsid w:val="002D35B2"/>
    <w:rsid w:val="002D4CE4"/>
    <w:rsid w:val="002D4E07"/>
    <w:rsid w:val="002D553B"/>
    <w:rsid w:val="002E7119"/>
    <w:rsid w:val="0030359A"/>
    <w:rsid w:val="003064D6"/>
    <w:rsid w:val="00306893"/>
    <w:rsid w:val="003138FF"/>
    <w:rsid w:val="00313E55"/>
    <w:rsid w:val="00316769"/>
    <w:rsid w:val="00317A8B"/>
    <w:rsid w:val="00325729"/>
    <w:rsid w:val="00325A48"/>
    <w:rsid w:val="00327307"/>
    <w:rsid w:val="00334180"/>
    <w:rsid w:val="00337644"/>
    <w:rsid w:val="00344ED9"/>
    <w:rsid w:val="003452EF"/>
    <w:rsid w:val="00345588"/>
    <w:rsid w:val="00351B6F"/>
    <w:rsid w:val="0035491B"/>
    <w:rsid w:val="0035555E"/>
    <w:rsid w:val="003579C4"/>
    <w:rsid w:val="0036205A"/>
    <w:rsid w:val="003643B9"/>
    <w:rsid w:val="00366F1E"/>
    <w:rsid w:val="00370776"/>
    <w:rsid w:val="00371D56"/>
    <w:rsid w:val="003729C1"/>
    <w:rsid w:val="00374C46"/>
    <w:rsid w:val="00381C25"/>
    <w:rsid w:val="00382F76"/>
    <w:rsid w:val="003872EC"/>
    <w:rsid w:val="0039020A"/>
    <w:rsid w:val="0039457E"/>
    <w:rsid w:val="00394C44"/>
    <w:rsid w:val="00395D17"/>
    <w:rsid w:val="003A0457"/>
    <w:rsid w:val="003A3F20"/>
    <w:rsid w:val="003A46C4"/>
    <w:rsid w:val="003A540F"/>
    <w:rsid w:val="003A5A00"/>
    <w:rsid w:val="003B0D9D"/>
    <w:rsid w:val="003B36B2"/>
    <w:rsid w:val="003B3BA0"/>
    <w:rsid w:val="003B41CC"/>
    <w:rsid w:val="003C12E4"/>
    <w:rsid w:val="003C4C9D"/>
    <w:rsid w:val="003C5865"/>
    <w:rsid w:val="003C76A3"/>
    <w:rsid w:val="003D3B34"/>
    <w:rsid w:val="003D5447"/>
    <w:rsid w:val="003D7239"/>
    <w:rsid w:val="003E1994"/>
    <w:rsid w:val="003E3939"/>
    <w:rsid w:val="003E5AE3"/>
    <w:rsid w:val="003E7A62"/>
    <w:rsid w:val="003F0542"/>
    <w:rsid w:val="003F507B"/>
    <w:rsid w:val="003F6575"/>
    <w:rsid w:val="003F7D96"/>
    <w:rsid w:val="00403228"/>
    <w:rsid w:val="00405E57"/>
    <w:rsid w:val="0040746F"/>
    <w:rsid w:val="004153DB"/>
    <w:rsid w:val="00417113"/>
    <w:rsid w:val="00417119"/>
    <w:rsid w:val="00417E8F"/>
    <w:rsid w:val="004262B0"/>
    <w:rsid w:val="00427099"/>
    <w:rsid w:val="004333DF"/>
    <w:rsid w:val="00433ECB"/>
    <w:rsid w:val="0043445D"/>
    <w:rsid w:val="00434C05"/>
    <w:rsid w:val="00441882"/>
    <w:rsid w:val="00444A9E"/>
    <w:rsid w:val="00446BEF"/>
    <w:rsid w:val="00446D56"/>
    <w:rsid w:val="00447C22"/>
    <w:rsid w:val="00452FDD"/>
    <w:rsid w:val="0047102C"/>
    <w:rsid w:val="004750EF"/>
    <w:rsid w:val="0047551F"/>
    <w:rsid w:val="00475C8A"/>
    <w:rsid w:val="00476B2D"/>
    <w:rsid w:val="00477633"/>
    <w:rsid w:val="00483652"/>
    <w:rsid w:val="00493C7F"/>
    <w:rsid w:val="0049413C"/>
    <w:rsid w:val="0049587E"/>
    <w:rsid w:val="004971A5"/>
    <w:rsid w:val="004976BC"/>
    <w:rsid w:val="004A0431"/>
    <w:rsid w:val="004A3FA7"/>
    <w:rsid w:val="004B0DD4"/>
    <w:rsid w:val="004B0F2B"/>
    <w:rsid w:val="004C292D"/>
    <w:rsid w:val="004C5BE2"/>
    <w:rsid w:val="004D0C08"/>
    <w:rsid w:val="004D2753"/>
    <w:rsid w:val="004D391C"/>
    <w:rsid w:val="004D4192"/>
    <w:rsid w:val="004D562D"/>
    <w:rsid w:val="004D5D74"/>
    <w:rsid w:val="004D612D"/>
    <w:rsid w:val="004E221A"/>
    <w:rsid w:val="004E327F"/>
    <w:rsid w:val="004E3E73"/>
    <w:rsid w:val="004E3F0A"/>
    <w:rsid w:val="004E41DC"/>
    <w:rsid w:val="004E7F76"/>
    <w:rsid w:val="004F4B45"/>
    <w:rsid w:val="004F4BD5"/>
    <w:rsid w:val="004F50C2"/>
    <w:rsid w:val="004F570E"/>
    <w:rsid w:val="00502AB3"/>
    <w:rsid w:val="0051000C"/>
    <w:rsid w:val="0051045F"/>
    <w:rsid w:val="00520030"/>
    <w:rsid w:val="00521C3C"/>
    <w:rsid w:val="00526555"/>
    <w:rsid w:val="00530045"/>
    <w:rsid w:val="005302AD"/>
    <w:rsid w:val="005355A7"/>
    <w:rsid w:val="0053570E"/>
    <w:rsid w:val="00536ACF"/>
    <w:rsid w:val="005370C4"/>
    <w:rsid w:val="005407B7"/>
    <w:rsid w:val="005423C8"/>
    <w:rsid w:val="00545467"/>
    <w:rsid w:val="0054551D"/>
    <w:rsid w:val="005459BB"/>
    <w:rsid w:val="00546B02"/>
    <w:rsid w:val="0055192F"/>
    <w:rsid w:val="00552002"/>
    <w:rsid w:val="005532A1"/>
    <w:rsid w:val="005564FB"/>
    <w:rsid w:val="005566E8"/>
    <w:rsid w:val="005613B8"/>
    <w:rsid w:val="005614D5"/>
    <w:rsid w:val="005712D7"/>
    <w:rsid w:val="00571708"/>
    <w:rsid w:val="00571CB6"/>
    <w:rsid w:val="00577E74"/>
    <w:rsid w:val="00580FC7"/>
    <w:rsid w:val="005854FB"/>
    <w:rsid w:val="00587284"/>
    <w:rsid w:val="00590339"/>
    <w:rsid w:val="0059306E"/>
    <w:rsid w:val="005A36B6"/>
    <w:rsid w:val="005B0DBD"/>
    <w:rsid w:val="005B1BE4"/>
    <w:rsid w:val="005B41C8"/>
    <w:rsid w:val="005B6140"/>
    <w:rsid w:val="005B69E1"/>
    <w:rsid w:val="005B78C8"/>
    <w:rsid w:val="005C2906"/>
    <w:rsid w:val="005C36C8"/>
    <w:rsid w:val="005C3EDD"/>
    <w:rsid w:val="005C481D"/>
    <w:rsid w:val="005C6323"/>
    <w:rsid w:val="005C78FD"/>
    <w:rsid w:val="005C7AE4"/>
    <w:rsid w:val="005D145F"/>
    <w:rsid w:val="005D1E2D"/>
    <w:rsid w:val="005D4314"/>
    <w:rsid w:val="005D4883"/>
    <w:rsid w:val="005E00D0"/>
    <w:rsid w:val="005E15F7"/>
    <w:rsid w:val="005E36A6"/>
    <w:rsid w:val="005E5900"/>
    <w:rsid w:val="005F02A5"/>
    <w:rsid w:val="005F2482"/>
    <w:rsid w:val="005F4F69"/>
    <w:rsid w:val="005F5A95"/>
    <w:rsid w:val="006007D3"/>
    <w:rsid w:val="00604E31"/>
    <w:rsid w:val="00605BD5"/>
    <w:rsid w:val="00607E4B"/>
    <w:rsid w:val="006119F1"/>
    <w:rsid w:val="0061268A"/>
    <w:rsid w:val="006179EB"/>
    <w:rsid w:val="00622D4E"/>
    <w:rsid w:val="00624413"/>
    <w:rsid w:val="0062508A"/>
    <w:rsid w:val="00630F45"/>
    <w:rsid w:val="006321EA"/>
    <w:rsid w:val="00634FD3"/>
    <w:rsid w:val="006354B3"/>
    <w:rsid w:val="0064111D"/>
    <w:rsid w:val="00642F94"/>
    <w:rsid w:val="00643084"/>
    <w:rsid w:val="00643D59"/>
    <w:rsid w:val="00644CBD"/>
    <w:rsid w:val="00645E20"/>
    <w:rsid w:val="00646EF6"/>
    <w:rsid w:val="0066089B"/>
    <w:rsid w:val="00663781"/>
    <w:rsid w:val="006725DD"/>
    <w:rsid w:val="0067373E"/>
    <w:rsid w:val="00673DD7"/>
    <w:rsid w:val="00675FDD"/>
    <w:rsid w:val="00676673"/>
    <w:rsid w:val="00680B3E"/>
    <w:rsid w:val="00680CFE"/>
    <w:rsid w:val="00682442"/>
    <w:rsid w:val="0069016B"/>
    <w:rsid w:val="00691BA0"/>
    <w:rsid w:val="0069281C"/>
    <w:rsid w:val="0069578D"/>
    <w:rsid w:val="006A1168"/>
    <w:rsid w:val="006A36A7"/>
    <w:rsid w:val="006A5325"/>
    <w:rsid w:val="006A5957"/>
    <w:rsid w:val="006A61FE"/>
    <w:rsid w:val="006A7708"/>
    <w:rsid w:val="006B0F44"/>
    <w:rsid w:val="006B1FB6"/>
    <w:rsid w:val="006B49E2"/>
    <w:rsid w:val="006B588F"/>
    <w:rsid w:val="006B680F"/>
    <w:rsid w:val="006B70A5"/>
    <w:rsid w:val="006B71FA"/>
    <w:rsid w:val="006C3EE5"/>
    <w:rsid w:val="006D1821"/>
    <w:rsid w:val="006D48B9"/>
    <w:rsid w:val="006D4ABD"/>
    <w:rsid w:val="006D4B72"/>
    <w:rsid w:val="006D5EB3"/>
    <w:rsid w:val="006D669E"/>
    <w:rsid w:val="006D6F6F"/>
    <w:rsid w:val="006E01FC"/>
    <w:rsid w:val="006E0B42"/>
    <w:rsid w:val="006E0BC5"/>
    <w:rsid w:val="006F0F5D"/>
    <w:rsid w:val="006F54AF"/>
    <w:rsid w:val="00701787"/>
    <w:rsid w:val="007036E6"/>
    <w:rsid w:val="00705821"/>
    <w:rsid w:val="0070617B"/>
    <w:rsid w:val="00706D3A"/>
    <w:rsid w:val="007107DC"/>
    <w:rsid w:val="007161B7"/>
    <w:rsid w:val="00722B5D"/>
    <w:rsid w:val="00731ADD"/>
    <w:rsid w:val="00742FD9"/>
    <w:rsid w:val="00747D92"/>
    <w:rsid w:val="007507BF"/>
    <w:rsid w:val="007512D1"/>
    <w:rsid w:val="00751305"/>
    <w:rsid w:val="00752B8B"/>
    <w:rsid w:val="007542CF"/>
    <w:rsid w:val="007563A6"/>
    <w:rsid w:val="00756B2B"/>
    <w:rsid w:val="00763012"/>
    <w:rsid w:val="0076331D"/>
    <w:rsid w:val="007655B3"/>
    <w:rsid w:val="0077375D"/>
    <w:rsid w:val="00774887"/>
    <w:rsid w:val="00777E3D"/>
    <w:rsid w:val="00780961"/>
    <w:rsid w:val="00787C4B"/>
    <w:rsid w:val="00791FC4"/>
    <w:rsid w:val="00795885"/>
    <w:rsid w:val="00796656"/>
    <w:rsid w:val="007A0157"/>
    <w:rsid w:val="007A2FB8"/>
    <w:rsid w:val="007A3515"/>
    <w:rsid w:val="007B1800"/>
    <w:rsid w:val="007B53DC"/>
    <w:rsid w:val="007B5A39"/>
    <w:rsid w:val="007B75D9"/>
    <w:rsid w:val="007C243E"/>
    <w:rsid w:val="007C318E"/>
    <w:rsid w:val="007C6514"/>
    <w:rsid w:val="007C6797"/>
    <w:rsid w:val="007D470C"/>
    <w:rsid w:val="007D719D"/>
    <w:rsid w:val="007E07E3"/>
    <w:rsid w:val="007F349C"/>
    <w:rsid w:val="007F6B23"/>
    <w:rsid w:val="008001F6"/>
    <w:rsid w:val="00802543"/>
    <w:rsid w:val="00804277"/>
    <w:rsid w:val="00804936"/>
    <w:rsid w:val="0080745B"/>
    <w:rsid w:val="008113FA"/>
    <w:rsid w:val="00814C39"/>
    <w:rsid w:val="00815232"/>
    <w:rsid w:val="00820C90"/>
    <w:rsid w:val="008213B2"/>
    <w:rsid w:val="00826A4D"/>
    <w:rsid w:val="00834548"/>
    <w:rsid w:val="00835531"/>
    <w:rsid w:val="008379C8"/>
    <w:rsid w:val="00837BCE"/>
    <w:rsid w:val="00841BF8"/>
    <w:rsid w:val="008442A4"/>
    <w:rsid w:val="00846E97"/>
    <w:rsid w:val="008514C7"/>
    <w:rsid w:val="0085248C"/>
    <w:rsid w:val="00855A77"/>
    <w:rsid w:val="0086074E"/>
    <w:rsid w:val="0087775F"/>
    <w:rsid w:val="008816AC"/>
    <w:rsid w:val="00882A65"/>
    <w:rsid w:val="008833B8"/>
    <w:rsid w:val="008836E1"/>
    <w:rsid w:val="00885745"/>
    <w:rsid w:val="00885AA6"/>
    <w:rsid w:val="0089041D"/>
    <w:rsid w:val="00894C17"/>
    <w:rsid w:val="00896D34"/>
    <w:rsid w:val="008A14D4"/>
    <w:rsid w:val="008A42C0"/>
    <w:rsid w:val="008A5262"/>
    <w:rsid w:val="008A683D"/>
    <w:rsid w:val="008A76FB"/>
    <w:rsid w:val="008B1EE1"/>
    <w:rsid w:val="008B30F8"/>
    <w:rsid w:val="008B3DED"/>
    <w:rsid w:val="008B4DAA"/>
    <w:rsid w:val="008B60E6"/>
    <w:rsid w:val="008B624D"/>
    <w:rsid w:val="008B6817"/>
    <w:rsid w:val="008B6B31"/>
    <w:rsid w:val="008B7591"/>
    <w:rsid w:val="008B7A4B"/>
    <w:rsid w:val="008C0B6E"/>
    <w:rsid w:val="008C3431"/>
    <w:rsid w:val="008C3498"/>
    <w:rsid w:val="008C563B"/>
    <w:rsid w:val="008C7B66"/>
    <w:rsid w:val="008C7CAF"/>
    <w:rsid w:val="008D179F"/>
    <w:rsid w:val="008D2D1A"/>
    <w:rsid w:val="008D3474"/>
    <w:rsid w:val="008D3EF4"/>
    <w:rsid w:val="008D4639"/>
    <w:rsid w:val="008E06B6"/>
    <w:rsid w:val="008E2985"/>
    <w:rsid w:val="008E45FE"/>
    <w:rsid w:val="008F030C"/>
    <w:rsid w:val="00907C61"/>
    <w:rsid w:val="00912A50"/>
    <w:rsid w:val="00917F60"/>
    <w:rsid w:val="00930277"/>
    <w:rsid w:val="00944090"/>
    <w:rsid w:val="00945A12"/>
    <w:rsid w:val="00952BC1"/>
    <w:rsid w:val="00953F28"/>
    <w:rsid w:val="009556D8"/>
    <w:rsid w:val="00965280"/>
    <w:rsid w:val="009654A6"/>
    <w:rsid w:val="00966B83"/>
    <w:rsid w:val="00967ABA"/>
    <w:rsid w:val="00970A28"/>
    <w:rsid w:val="009710C1"/>
    <w:rsid w:val="00971F3D"/>
    <w:rsid w:val="00972F87"/>
    <w:rsid w:val="009807AD"/>
    <w:rsid w:val="00980E44"/>
    <w:rsid w:val="00981E96"/>
    <w:rsid w:val="009864A3"/>
    <w:rsid w:val="0099099F"/>
    <w:rsid w:val="00990D23"/>
    <w:rsid w:val="00992412"/>
    <w:rsid w:val="00993302"/>
    <w:rsid w:val="00993435"/>
    <w:rsid w:val="00993BCD"/>
    <w:rsid w:val="00994E72"/>
    <w:rsid w:val="00997E94"/>
    <w:rsid w:val="009A5CDC"/>
    <w:rsid w:val="009A70C3"/>
    <w:rsid w:val="009B36B8"/>
    <w:rsid w:val="009B3844"/>
    <w:rsid w:val="009B5D99"/>
    <w:rsid w:val="009B728D"/>
    <w:rsid w:val="009B7AA5"/>
    <w:rsid w:val="009C3046"/>
    <w:rsid w:val="009C6315"/>
    <w:rsid w:val="009D395B"/>
    <w:rsid w:val="009E395E"/>
    <w:rsid w:val="009E4CEA"/>
    <w:rsid w:val="009F01E2"/>
    <w:rsid w:val="009F398A"/>
    <w:rsid w:val="009F4A33"/>
    <w:rsid w:val="009F5555"/>
    <w:rsid w:val="009F5AF3"/>
    <w:rsid w:val="009F61B2"/>
    <w:rsid w:val="009F77EE"/>
    <w:rsid w:val="00A007E5"/>
    <w:rsid w:val="00A0149F"/>
    <w:rsid w:val="00A059AC"/>
    <w:rsid w:val="00A05C59"/>
    <w:rsid w:val="00A14970"/>
    <w:rsid w:val="00A20C0F"/>
    <w:rsid w:val="00A243DC"/>
    <w:rsid w:val="00A25EF8"/>
    <w:rsid w:val="00A2601F"/>
    <w:rsid w:val="00A305C4"/>
    <w:rsid w:val="00A43521"/>
    <w:rsid w:val="00A44AA4"/>
    <w:rsid w:val="00A45121"/>
    <w:rsid w:val="00A45AE8"/>
    <w:rsid w:val="00A46D37"/>
    <w:rsid w:val="00A52159"/>
    <w:rsid w:val="00A55F0B"/>
    <w:rsid w:val="00A60948"/>
    <w:rsid w:val="00A61461"/>
    <w:rsid w:val="00A6440C"/>
    <w:rsid w:val="00A66FD8"/>
    <w:rsid w:val="00A7044A"/>
    <w:rsid w:val="00A70683"/>
    <w:rsid w:val="00A716F4"/>
    <w:rsid w:val="00A747C8"/>
    <w:rsid w:val="00A75816"/>
    <w:rsid w:val="00A8194B"/>
    <w:rsid w:val="00A821A3"/>
    <w:rsid w:val="00A8241B"/>
    <w:rsid w:val="00A86ED7"/>
    <w:rsid w:val="00A91E54"/>
    <w:rsid w:val="00A96278"/>
    <w:rsid w:val="00AA2636"/>
    <w:rsid w:val="00AA4233"/>
    <w:rsid w:val="00AA4AAD"/>
    <w:rsid w:val="00AA65A5"/>
    <w:rsid w:val="00AB1254"/>
    <w:rsid w:val="00AC1D9A"/>
    <w:rsid w:val="00AC397E"/>
    <w:rsid w:val="00AC3F06"/>
    <w:rsid w:val="00AC43C4"/>
    <w:rsid w:val="00AE2AD4"/>
    <w:rsid w:val="00AE32E0"/>
    <w:rsid w:val="00AE50EE"/>
    <w:rsid w:val="00AE7739"/>
    <w:rsid w:val="00AF1A25"/>
    <w:rsid w:val="00AF3833"/>
    <w:rsid w:val="00AF5EB6"/>
    <w:rsid w:val="00AF6FB0"/>
    <w:rsid w:val="00AF7E2F"/>
    <w:rsid w:val="00B04153"/>
    <w:rsid w:val="00B10E2E"/>
    <w:rsid w:val="00B13387"/>
    <w:rsid w:val="00B201DE"/>
    <w:rsid w:val="00B220CB"/>
    <w:rsid w:val="00B22388"/>
    <w:rsid w:val="00B266DC"/>
    <w:rsid w:val="00B26EF9"/>
    <w:rsid w:val="00B343CD"/>
    <w:rsid w:val="00B35028"/>
    <w:rsid w:val="00B355CC"/>
    <w:rsid w:val="00B43665"/>
    <w:rsid w:val="00B4396B"/>
    <w:rsid w:val="00B44888"/>
    <w:rsid w:val="00B462F7"/>
    <w:rsid w:val="00B46B90"/>
    <w:rsid w:val="00B47FE3"/>
    <w:rsid w:val="00B508C3"/>
    <w:rsid w:val="00B620CA"/>
    <w:rsid w:val="00B65B45"/>
    <w:rsid w:val="00B70029"/>
    <w:rsid w:val="00B713D0"/>
    <w:rsid w:val="00B72D9A"/>
    <w:rsid w:val="00B731DC"/>
    <w:rsid w:val="00B73C4B"/>
    <w:rsid w:val="00B75918"/>
    <w:rsid w:val="00B85AC3"/>
    <w:rsid w:val="00B86984"/>
    <w:rsid w:val="00B92DED"/>
    <w:rsid w:val="00B930AB"/>
    <w:rsid w:val="00B96F04"/>
    <w:rsid w:val="00B9752B"/>
    <w:rsid w:val="00BB00EE"/>
    <w:rsid w:val="00BB09D6"/>
    <w:rsid w:val="00BB25A5"/>
    <w:rsid w:val="00BB3BCE"/>
    <w:rsid w:val="00BB434B"/>
    <w:rsid w:val="00BB4B7B"/>
    <w:rsid w:val="00BB5579"/>
    <w:rsid w:val="00BB71B8"/>
    <w:rsid w:val="00BC0438"/>
    <w:rsid w:val="00BC09D2"/>
    <w:rsid w:val="00BC2E35"/>
    <w:rsid w:val="00BC49C0"/>
    <w:rsid w:val="00BC4FF4"/>
    <w:rsid w:val="00BC645C"/>
    <w:rsid w:val="00BD0326"/>
    <w:rsid w:val="00BD0695"/>
    <w:rsid w:val="00BD0D39"/>
    <w:rsid w:val="00BD3948"/>
    <w:rsid w:val="00BD411C"/>
    <w:rsid w:val="00BD576E"/>
    <w:rsid w:val="00BD7A9B"/>
    <w:rsid w:val="00BE006C"/>
    <w:rsid w:val="00BE1287"/>
    <w:rsid w:val="00BE2FDA"/>
    <w:rsid w:val="00BF11B6"/>
    <w:rsid w:val="00BF3A4E"/>
    <w:rsid w:val="00BF5745"/>
    <w:rsid w:val="00BF6AEB"/>
    <w:rsid w:val="00C03A39"/>
    <w:rsid w:val="00C057BE"/>
    <w:rsid w:val="00C07949"/>
    <w:rsid w:val="00C07B54"/>
    <w:rsid w:val="00C116B2"/>
    <w:rsid w:val="00C12176"/>
    <w:rsid w:val="00C13E42"/>
    <w:rsid w:val="00C164B2"/>
    <w:rsid w:val="00C21230"/>
    <w:rsid w:val="00C21729"/>
    <w:rsid w:val="00C24A7F"/>
    <w:rsid w:val="00C251E0"/>
    <w:rsid w:val="00C25B3E"/>
    <w:rsid w:val="00C31E71"/>
    <w:rsid w:val="00C32C32"/>
    <w:rsid w:val="00C32D1C"/>
    <w:rsid w:val="00C3313E"/>
    <w:rsid w:val="00C33FAF"/>
    <w:rsid w:val="00C3511A"/>
    <w:rsid w:val="00C35592"/>
    <w:rsid w:val="00C402C4"/>
    <w:rsid w:val="00C42C8A"/>
    <w:rsid w:val="00C42E26"/>
    <w:rsid w:val="00C47119"/>
    <w:rsid w:val="00C507EB"/>
    <w:rsid w:val="00C53053"/>
    <w:rsid w:val="00C53A1A"/>
    <w:rsid w:val="00C55E36"/>
    <w:rsid w:val="00C62752"/>
    <w:rsid w:val="00C669ED"/>
    <w:rsid w:val="00C67D91"/>
    <w:rsid w:val="00C7210F"/>
    <w:rsid w:val="00C838E4"/>
    <w:rsid w:val="00C84402"/>
    <w:rsid w:val="00C84B1D"/>
    <w:rsid w:val="00C85118"/>
    <w:rsid w:val="00C85E26"/>
    <w:rsid w:val="00C867DF"/>
    <w:rsid w:val="00C86E89"/>
    <w:rsid w:val="00C91580"/>
    <w:rsid w:val="00C9373A"/>
    <w:rsid w:val="00C965AF"/>
    <w:rsid w:val="00CA0431"/>
    <w:rsid w:val="00CA0A9A"/>
    <w:rsid w:val="00CA4525"/>
    <w:rsid w:val="00CA5E6D"/>
    <w:rsid w:val="00CA610A"/>
    <w:rsid w:val="00CA6B42"/>
    <w:rsid w:val="00CA7547"/>
    <w:rsid w:val="00CA76D5"/>
    <w:rsid w:val="00CB6F59"/>
    <w:rsid w:val="00CB7430"/>
    <w:rsid w:val="00CC25B9"/>
    <w:rsid w:val="00CC26DE"/>
    <w:rsid w:val="00CC46A8"/>
    <w:rsid w:val="00CC6419"/>
    <w:rsid w:val="00CC714F"/>
    <w:rsid w:val="00CC7E13"/>
    <w:rsid w:val="00CD1DF7"/>
    <w:rsid w:val="00CD2028"/>
    <w:rsid w:val="00CD2724"/>
    <w:rsid w:val="00CD3B48"/>
    <w:rsid w:val="00CD7A12"/>
    <w:rsid w:val="00CE00B1"/>
    <w:rsid w:val="00CE21DB"/>
    <w:rsid w:val="00CF11CA"/>
    <w:rsid w:val="00CF1F37"/>
    <w:rsid w:val="00CF2989"/>
    <w:rsid w:val="00CF651B"/>
    <w:rsid w:val="00CF6F2E"/>
    <w:rsid w:val="00D0246D"/>
    <w:rsid w:val="00D05C83"/>
    <w:rsid w:val="00D07734"/>
    <w:rsid w:val="00D10122"/>
    <w:rsid w:val="00D150AF"/>
    <w:rsid w:val="00D15D6F"/>
    <w:rsid w:val="00D22447"/>
    <w:rsid w:val="00D22CC9"/>
    <w:rsid w:val="00D23DD2"/>
    <w:rsid w:val="00D30A8C"/>
    <w:rsid w:val="00D31D6F"/>
    <w:rsid w:val="00D33CF4"/>
    <w:rsid w:val="00D35374"/>
    <w:rsid w:val="00D360B9"/>
    <w:rsid w:val="00D36C5E"/>
    <w:rsid w:val="00D37A99"/>
    <w:rsid w:val="00D37AD8"/>
    <w:rsid w:val="00D40F44"/>
    <w:rsid w:val="00D4157F"/>
    <w:rsid w:val="00D41793"/>
    <w:rsid w:val="00D4318A"/>
    <w:rsid w:val="00D527BD"/>
    <w:rsid w:val="00D53F40"/>
    <w:rsid w:val="00D546B6"/>
    <w:rsid w:val="00D5530B"/>
    <w:rsid w:val="00D614C4"/>
    <w:rsid w:val="00D61B77"/>
    <w:rsid w:val="00D660C4"/>
    <w:rsid w:val="00D66D0B"/>
    <w:rsid w:val="00D7023D"/>
    <w:rsid w:val="00D75ACB"/>
    <w:rsid w:val="00D8069E"/>
    <w:rsid w:val="00D82BB0"/>
    <w:rsid w:val="00D835DF"/>
    <w:rsid w:val="00D84BE9"/>
    <w:rsid w:val="00D8687E"/>
    <w:rsid w:val="00D90BC2"/>
    <w:rsid w:val="00D90EDC"/>
    <w:rsid w:val="00D95A69"/>
    <w:rsid w:val="00DA3081"/>
    <w:rsid w:val="00DA32C4"/>
    <w:rsid w:val="00DA59A4"/>
    <w:rsid w:val="00DA793F"/>
    <w:rsid w:val="00DB0AAE"/>
    <w:rsid w:val="00DB0AC0"/>
    <w:rsid w:val="00DB3C01"/>
    <w:rsid w:val="00DB454D"/>
    <w:rsid w:val="00DB45B7"/>
    <w:rsid w:val="00DB6D2E"/>
    <w:rsid w:val="00DC01F3"/>
    <w:rsid w:val="00DC289C"/>
    <w:rsid w:val="00DC6B5D"/>
    <w:rsid w:val="00DC6F42"/>
    <w:rsid w:val="00DD0046"/>
    <w:rsid w:val="00DD7934"/>
    <w:rsid w:val="00DE2457"/>
    <w:rsid w:val="00DF2F5E"/>
    <w:rsid w:val="00DF7D92"/>
    <w:rsid w:val="00E02E20"/>
    <w:rsid w:val="00E0357A"/>
    <w:rsid w:val="00E03B42"/>
    <w:rsid w:val="00E1123D"/>
    <w:rsid w:val="00E15B5E"/>
    <w:rsid w:val="00E17239"/>
    <w:rsid w:val="00E17574"/>
    <w:rsid w:val="00E21A16"/>
    <w:rsid w:val="00E23325"/>
    <w:rsid w:val="00E278C5"/>
    <w:rsid w:val="00E30424"/>
    <w:rsid w:val="00E30E8A"/>
    <w:rsid w:val="00E35A8B"/>
    <w:rsid w:val="00E40536"/>
    <w:rsid w:val="00E4069F"/>
    <w:rsid w:val="00E4086F"/>
    <w:rsid w:val="00E413D7"/>
    <w:rsid w:val="00E43B3D"/>
    <w:rsid w:val="00E44060"/>
    <w:rsid w:val="00E45FE0"/>
    <w:rsid w:val="00E470F4"/>
    <w:rsid w:val="00E5068B"/>
    <w:rsid w:val="00E5213A"/>
    <w:rsid w:val="00E61E59"/>
    <w:rsid w:val="00E624EF"/>
    <w:rsid w:val="00E6426F"/>
    <w:rsid w:val="00E7105D"/>
    <w:rsid w:val="00E721D2"/>
    <w:rsid w:val="00E73D74"/>
    <w:rsid w:val="00E74EDC"/>
    <w:rsid w:val="00E75979"/>
    <w:rsid w:val="00E770B2"/>
    <w:rsid w:val="00E86FE3"/>
    <w:rsid w:val="00E877FA"/>
    <w:rsid w:val="00E9065F"/>
    <w:rsid w:val="00E97667"/>
    <w:rsid w:val="00EA01EE"/>
    <w:rsid w:val="00EA2261"/>
    <w:rsid w:val="00EB31B0"/>
    <w:rsid w:val="00EB5EFD"/>
    <w:rsid w:val="00EB66D1"/>
    <w:rsid w:val="00EB7357"/>
    <w:rsid w:val="00EC54E5"/>
    <w:rsid w:val="00EC590F"/>
    <w:rsid w:val="00ED2911"/>
    <w:rsid w:val="00EE4784"/>
    <w:rsid w:val="00EE75C4"/>
    <w:rsid w:val="00EF07BE"/>
    <w:rsid w:val="00EF133C"/>
    <w:rsid w:val="00EF3698"/>
    <w:rsid w:val="00F009A8"/>
    <w:rsid w:val="00F035C3"/>
    <w:rsid w:val="00F0600F"/>
    <w:rsid w:val="00F07851"/>
    <w:rsid w:val="00F10329"/>
    <w:rsid w:val="00F11872"/>
    <w:rsid w:val="00F12546"/>
    <w:rsid w:val="00F135C6"/>
    <w:rsid w:val="00F22190"/>
    <w:rsid w:val="00F22C18"/>
    <w:rsid w:val="00F2623E"/>
    <w:rsid w:val="00F311A1"/>
    <w:rsid w:val="00F34218"/>
    <w:rsid w:val="00F36247"/>
    <w:rsid w:val="00F412CC"/>
    <w:rsid w:val="00F429ED"/>
    <w:rsid w:val="00F5375D"/>
    <w:rsid w:val="00F54536"/>
    <w:rsid w:val="00F547AD"/>
    <w:rsid w:val="00F54C73"/>
    <w:rsid w:val="00F54E9F"/>
    <w:rsid w:val="00F55A9F"/>
    <w:rsid w:val="00F56F6A"/>
    <w:rsid w:val="00F5719A"/>
    <w:rsid w:val="00F57720"/>
    <w:rsid w:val="00F62514"/>
    <w:rsid w:val="00F62E8B"/>
    <w:rsid w:val="00F6644A"/>
    <w:rsid w:val="00F66B69"/>
    <w:rsid w:val="00F67EE5"/>
    <w:rsid w:val="00F7161D"/>
    <w:rsid w:val="00F71622"/>
    <w:rsid w:val="00F7281B"/>
    <w:rsid w:val="00F751A5"/>
    <w:rsid w:val="00F759B0"/>
    <w:rsid w:val="00F77527"/>
    <w:rsid w:val="00F8003A"/>
    <w:rsid w:val="00F81D5E"/>
    <w:rsid w:val="00F875DC"/>
    <w:rsid w:val="00F901A6"/>
    <w:rsid w:val="00F965F1"/>
    <w:rsid w:val="00FA0241"/>
    <w:rsid w:val="00FA04A2"/>
    <w:rsid w:val="00FA0D3A"/>
    <w:rsid w:val="00FA279F"/>
    <w:rsid w:val="00FA2FCC"/>
    <w:rsid w:val="00FA3AAF"/>
    <w:rsid w:val="00FA4E4D"/>
    <w:rsid w:val="00FB0B8B"/>
    <w:rsid w:val="00FB0BD7"/>
    <w:rsid w:val="00FB247E"/>
    <w:rsid w:val="00FB4510"/>
    <w:rsid w:val="00FB52A6"/>
    <w:rsid w:val="00FB6CC6"/>
    <w:rsid w:val="00FB70DC"/>
    <w:rsid w:val="00FB75EE"/>
    <w:rsid w:val="00FC19F7"/>
    <w:rsid w:val="00FC5007"/>
    <w:rsid w:val="00FC56F6"/>
    <w:rsid w:val="00FC5C5B"/>
    <w:rsid w:val="00FD1861"/>
    <w:rsid w:val="00FD222C"/>
    <w:rsid w:val="00FD4086"/>
    <w:rsid w:val="00FD4B5B"/>
    <w:rsid w:val="00FD6C6C"/>
    <w:rsid w:val="00FE10FA"/>
    <w:rsid w:val="00FE433C"/>
    <w:rsid w:val="00FE5623"/>
    <w:rsid w:val="00FE6A37"/>
    <w:rsid w:val="00FE754F"/>
    <w:rsid w:val="00FE7CF3"/>
    <w:rsid w:val="00FF1BE7"/>
    <w:rsid w:val="00FF3E05"/>
    <w:rsid w:val="00FF44A3"/>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B5577"/>
  <w15:chartTrackingRefBased/>
  <w15:docId w15:val="{CF397A07-3ED3-4AA4-B8AB-D26B541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18"/>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next w:val="Normal"/>
    <w:link w:val="Heading2Char"/>
    <w:uiPriority w:val="9"/>
    <w:unhideWhenUsed/>
    <w:qFormat/>
    <w:rsid w:val="001004D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BalloonText">
    <w:name w:val="Balloon Text"/>
    <w:basedOn w:val="Normal"/>
    <w:link w:val="BalloonTextChar"/>
    <w:uiPriority w:val="99"/>
    <w:semiHidden/>
    <w:unhideWhenUsed/>
    <w:rsid w:val="00F36247"/>
    <w:rPr>
      <w:rFonts w:ascii="Segoe UI" w:eastAsiaTheme="minorHAnsi" w:hAnsi="Segoe UI" w:cs="Segoe UI"/>
      <w:sz w:val="18"/>
      <w:szCs w:val="18"/>
      <w:lang w:val="en-GB" w:eastAsia="en-US" w:bidi="ar-SA"/>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pPr>
    <w:rPr>
      <w:lang w:val="en-GB" w:bidi="ar-SA"/>
    </w:r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pPr>
    <w:rPr>
      <w:lang w:val="en-GB" w:bidi="ar-SA"/>
    </w:rPr>
  </w:style>
  <w:style w:type="paragraph" w:styleId="Header">
    <w:name w:val="header"/>
    <w:basedOn w:val="Normal"/>
    <w:link w:val="HeaderChar"/>
    <w:uiPriority w:val="99"/>
    <w:unhideWhenUsed/>
    <w:rsid w:val="00747D92"/>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paragraph" w:customStyle="1" w:styleId="Default">
    <w:name w:val="Default"/>
    <w:rsid w:val="00BE006C"/>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FB4510"/>
  </w:style>
  <w:style w:type="paragraph" w:styleId="Revision">
    <w:name w:val="Revision"/>
    <w:hidden/>
    <w:uiPriority w:val="99"/>
    <w:semiHidden/>
    <w:rsid w:val="00A007E5"/>
    <w:pPr>
      <w:spacing w:after="0"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4058">
      <w:bodyDiv w:val="1"/>
      <w:marLeft w:val="0"/>
      <w:marRight w:val="0"/>
      <w:marTop w:val="0"/>
      <w:marBottom w:val="0"/>
      <w:divBdr>
        <w:top w:val="none" w:sz="0" w:space="0" w:color="auto"/>
        <w:left w:val="none" w:sz="0" w:space="0" w:color="auto"/>
        <w:bottom w:val="none" w:sz="0" w:space="0" w:color="auto"/>
        <w:right w:val="none" w:sz="0" w:space="0" w:color="auto"/>
      </w:divBdr>
    </w:div>
    <w:div w:id="84033468">
      <w:bodyDiv w:val="1"/>
      <w:marLeft w:val="0"/>
      <w:marRight w:val="0"/>
      <w:marTop w:val="0"/>
      <w:marBottom w:val="0"/>
      <w:divBdr>
        <w:top w:val="none" w:sz="0" w:space="0" w:color="auto"/>
        <w:left w:val="none" w:sz="0" w:space="0" w:color="auto"/>
        <w:bottom w:val="none" w:sz="0" w:space="0" w:color="auto"/>
        <w:right w:val="none" w:sz="0" w:space="0" w:color="auto"/>
      </w:divBdr>
      <w:divsChild>
        <w:div w:id="1333482949">
          <w:marLeft w:val="0"/>
          <w:marRight w:val="0"/>
          <w:marTop w:val="0"/>
          <w:marBottom w:val="0"/>
          <w:divBdr>
            <w:top w:val="none" w:sz="0" w:space="0" w:color="auto"/>
            <w:left w:val="none" w:sz="0" w:space="0" w:color="auto"/>
            <w:bottom w:val="none" w:sz="0" w:space="0" w:color="auto"/>
            <w:right w:val="none" w:sz="0" w:space="0" w:color="auto"/>
          </w:divBdr>
          <w:divsChild>
            <w:div w:id="898320725">
              <w:marLeft w:val="0"/>
              <w:marRight w:val="0"/>
              <w:marTop w:val="0"/>
              <w:marBottom w:val="0"/>
              <w:divBdr>
                <w:top w:val="none" w:sz="0" w:space="0" w:color="auto"/>
                <w:left w:val="none" w:sz="0" w:space="0" w:color="auto"/>
                <w:bottom w:val="none" w:sz="0" w:space="0" w:color="auto"/>
                <w:right w:val="none" w:sz="0" w:space="0" w:color="auto"/>
              </w:divBdr>
              <w:divsChild>
                <w:div w:id="3205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528569189">
      <w:bodyDiv w:val="1"/>
      <w:marLeft w:val="0"/>
      <w:marRight w:val="0"/>
      <w:marTop w:val="0"/>
      <w:marBottom w:val="0"/>
      <w:divBdr>
        <w:top w:val="none" w:sz="0" w:space="0" w:color="auto"/>
        <w:left w:val="none" w:sz="0" w:space="0" w:color="auto"/>
        <w:bottom w:val="none" w:sz="0" w:space="0" w:color="auto"/>
        <w:right w:val="none" w:sz="0" w:space="0" w:color="auto"/>
      </w:divBdr>
    </w:div>
    <w:div w:id="694960311">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825130768">
      <w:bodyDiv w:val="1"/>
      <w:marLeft w:val="0"/>
      <w:marRight w:val="0"/>
      <w:marTop w:val="0"/>
      <w:marBottom w:val="0"/>
      <w:divBdr>
        <w:top w:val="none" w:sz="0" w:space="0" w:color="auto"/>
        <w:left w:val="none" w:sz="0" w:space="0" w:color="auto"/>
        <w:bottom w:val="none" w:sz="0" w:space="0" w:color="auto"/>
        <w:right w:val="none" w:sz="0" w:space="0" w:color="auto"/>
      </w:divBdr>
    </w:div>
    <w:div w:id="847867059">
      <w:bodyDiv w:val="1"/>
      <w:marLeft w:val="0"/>
      <w:marRight w:val="0"/>
      <w:marTop w:val="0"/>
      <w:marBottom w:val="0"/>
      <w:divBdr>
        <w:top w:val="none" w:sz="0" w:space="0" w:color="auto"/>
        <w:left w:val="none" w:sz="0" w:space="0" w:color="auto"/>
        <w:bottom w:val="none" w:sz="0" w:space="0" w:color="auto"/>
        <w:right w:val="none" w:sz="0" w:space="0" w:color="auto"/>
      </w:divBdr>
    </w:div>
    <w:div w:id="848565434">
      <w:bodyDiv w:val="1"/>
      <w:marLeft w:val="0"/>
      <w:marRight w:val="0"/>
      <w:marTop w:val="0"/>
      <w:marBottom w:val="0"/>
      <w:divBdr>
        <w:top w:val="none" w:sz="0" w:space="0" w:color="auto"/>
        <w:left w:val="none" w:sz="0" w:space="0" w:color="auto"/>
        <w:bottom w:val="none" w:sz="0" w:space="0" w:color="auto"/>
        <w:right w:val="none" w:sz="0" w:space="0" w:color="auto"/>
      </w:divBdr>
    </w:div>
    <w:div w:id="1051883598">
      <w:bodyDiv w:val="1"/>
      <w:marLeft w:val="0"/>
      <w:marRight w:val="0"/>
      <w:marTop w:val="0"/>
      <w:marBottom w:val="0"/>
      <w:divBdr>
        <w:top w:val="none" w:sz="0" w:space="0" w:color="auto"/>
        <w:left w:val="none" w:sz="0" w:space="0" w:color="auto"/>
        <w:bottom w:val="none" w:sz="0" w:space="0" w:color="auto"/>
        <w:right w:val="none" w:sz="0" w:space="0" w:color="auto"/>
      </w:divBdr>
    </w:div>
    <w:div w:id="1155411627">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219897368">
      <w:bodyDiv w:val="1"/>
      <w:marLeft w:val="0"/>
      <w:marRight w:val="0"/>
      <w:marTop w:val="0"/>
      <w:marBottom w:val="0"/>
      <w:divBdr>
        <w:top w:val="none" w:sz="0" w:space="0" w:color="auto"/>
        <w:left w:val="none" w:sz="0" w:space="0" w:color="auto"/>
        <w:bottom w:val="none" w:sz="0" w:space="0" w:color="auto"/>
        <w:right w:val="none" w:sz="0" w:space="0" w:color="auto"/>
      </w:divBdr>
    </w:div>
    <w:div w:id="1249846217">
      <w:bodyDiv w:val="1"/>
      <w:marLeft w:val="0"/>
      <w:marRight w:val="0"/>
      <w:marTop w:val="0"/>
      <w:marBottom w:val="0"/>
      <w:divBdr>
        <w:top w:val="none" w:sz="0" w:space="0" w:color="auto"/>
        <w:left w:val="none" w:sz="0" w:space="0" w:color="auto"/>
        <w:bottom w:val="none" w:sz="0" w:space="0" w:color="auto"/>
        <w:right w:val="none" w:sz="0" w:space="0" w:color="auto"/>
      </w:divBdr>
    </w:div>
    <w:div w:id="1286043143">
      <w:bodyDiv w:val="1"/>
      <w:marLeft w:val="0"/>
      <w:marRight w:val="0"/>
      <w:marTop w:val="0"/>
      <w:marBottom w:val="0"/>
      <w:divBdr>
        <w:top w:val="none" w:sz="0" w:space="0" w:color="auto"/>
        <w:left w:val="none" w:sz="0" w:space="0" w:color="auto"/>
        <w:bottom w:val="none" w:sz="0" w:space="0" w:color="auto"/>
        <w:right w:val="none" w:sz="0" w:space="0" w:color="auto"/>
      </w:divBdr>
    </w:div>
    <w:div w:id="1360624666">
      <w:bodyDiv w:val="1"/>
      <w:marLeft w:val="0"/>
      <w:marRight w:val="0"/>
      <w:marTop w:val="0"/>
      <w:marBottom w:val="0"/>
      <w:divBdr>
        <w:top w:val="none" w:sz="0" w:space="0" w:color="auto"/>
        <w:left w:val="none" w:sz="0" w:space="0" w:color="auto"/>
        <w:bottom w:val="none" w:sz="0" w:space="0" w:color="auto"/>
        <w:right w:val="none" w:sz="0" w:space="0" w:color="auto"/>
      </w:divBdr>
    </w:div>
    <w:div w:id="1394812956">
      <w:bodyDiv w:val="1"/>
      <w:marLeft w:val="0"/>
      <w:marRight w:val="0"/>
      <w:marTop w:val="0"/>
      <w:marBottom w:val="0"/>
      <w:divBdr>
        <w:top w:val="none" w:sz="0" w:space="0" w:color="auto"/>
        <w:left w:val="none" w:sz="0" w:space="0" w:color="auto"/>
        <w:bottom w:val="none" w:sz="0" w:space="0" w:color="auto"/>
        <w:right w:val="none" w:sz="0" w:space="0" w:color="auto"/>
      </w:divBdr>
    </w:div>
    <w:div w:id="1495954507">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668513603">
      <w:bodyDiv w:val="1"/>
      <w:marLeft w:val="0"/>
      <w:marRight w:val="0"/>
      <w:marTop w:val="0"/>
      <w:marBottom w:val="0"/>
      <w:divBdr>
        <w:top w:val="none" w:sz="0" w:space="0" w:color="auto"/>
        <w:left w:val="none" w:sz="0" w:space="0" w:color="auto"/>
        <w:bottom w:val="none" w:sz="0" w:space="0" w:color="auto"/>
        <w:right w:val="none" w:sz="0" w:space="0" w:color="auto"/>
      </w:divBdr>
      <w:divsChild>
        <w:div w:id="268970276">
          <w:marLeft w:val="0"/>
          <w:marRight w:val="0"/>
          <w:marTop w:val="0"/>
          <w:marBottom w:val="0"/>
          <w:divBdr>
            <w:top w:val="none" w:sz="0" w:space="0" w:color="auto"/>
            <w:left w:val="none" w:sz="0" w:space="0" w:color="auto"/>
            <w:bottom w:val="none" w:sz="0" w:space="0" w:color="auto"/>
            <w:right w:val="none" w:sz="0" w:space="0" w:color="auto"/>
          </w:divBdr>
          <w:divsChild>
            <w:div w:id="1835796474">
              <w:marLeft w:val="0"/>
              <w:marRight w:val="0"/>
              <w:marTop w:val="0"/>
              <w:marBottom w:val="0"/>
              <w:divBdr>
                <w:top w:val="none" w:sz="0" w:space="0" w:color="auto"/>
                <w:left w:val="none" w:sz="0" w:space="0" w:color="auto"/>
                <w:bottom w:val="none" w:sz="0" w:space="0" w:color="auto"/>
                <w:right w:val="none" w:sz="0" w:space="0" w:color="auto"/>
              </w:divBdr>
              <w:divsChild>
                <w:div w:id="922105536">
                  <w:marLeft w:val="0"/>
                  <w:marRight w:val="0"/>
                  <w:marTop w:val="0"/>
                  <w:marBottom w:val="0"/>
                  <w:divBdr>
                    <w:top w:val="none" w:sz="0" w:space="0" w:color="auto"/>
                    <w:left w:val="none" w:sz="0" w:space="0" w:color="auto"/>
                    <w:bottom w:val="none" w:sz="0" w:space="0" w:color="auto"/>
                    <w:right w:val="none" w:sz="0" w:space="0" w:color="auto"/>
                  </w:divBdr>
                  <w:divsChild>
                    <w:div w:id="153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34761927">
      <w:bodyDiv w:val="1"/>
      <w:marLeft w:val="0"/>
      <w:marRight w:val="0"/>
      <w:marTop w:val="0"/>
      <w:marBottom w:val="0"/>
      <w:divBdr>
        <w:top w:val="none" w:sz="0" w:space="0" w:color="auto"/>
        <w:left w:val="none" w:sz="0" w:space="0" w:color="auto"/>
        <w:bottom w:val="none" w:sz="0" w:space="0" w:color="auto"/>
        <w:right w:val="none" w:sz="0" w:space="0" w:color="auto"/>
      </w:divBdr>
      <w:divsChild>
        <w:div w:id="1634092370">
          <w:marLeft w:val="0"/>
          <w:marRight w:val="0"/>
          <w:marTop w:val="0"/>
          <w:marBottom w:val="0"/>
          <w:divBdr>
            <w:top w:val="none" w:sz="0" w:space="0" w:color="auto"/>
            <w:left w:val="none" w:sz="0" w:space="0" w:color="auto"/>
            <w:bottom w:val="none" w:sz="0" w:space="0" w:color="auto"/>
            <w:right w:val="none" w:sz="0" w:space="0" w:color="auto"/>
          </w:divBdr>
          <w:divsChild>
            <w:div w:id="845171466">
              <w:marLeft w:val="0"/>
              <w:marRight w:val="0"/>
              <w:marTop w:val="0"/>
              <w:marBottom w:val="0"/>
              <w:divBdr>
                <w:top w:val="none" w:sz="0" w:space="0" w:color="auto"/>
                <w:left w:val="none" w:sz="0" w:space="0" w:color="auto"/>
                <w:bottom w:val="none" w:sz="0" w:space="0" w:color="auto"/>
                <w:right w:val="none" w:sz="0" w:space="0" w:color="auto"/>
              </w:divBdr>
              <w:divsChild>
                <w:div w:id="796290814">
                  <w:marLeft w:val="0"/>
                  <w:marRight w:val="0"/>
                  <w:marTop w:val="0"/>
                  <w:marBottom w:val="0"/>
                  <w:divBdr>
                    <w:top w:val="none" w:sz="0" w:space="0" w:color="auto"/>
                    <w:left w:val="none" w:sz="0" w:space="0" w:color="auto"/>
                    <w:bottom w:val="none" w:sz="0" w:space="0" w:color="auto"/>
                    <w:right w:val="none" w:sz="0" w:space="0" w:color="auto"/>
                  </w:divBdr>
                </w:div>
              </w:divsChild>
            </w:div>
            <w:div w:id="507061770">
              <w:marLeft w:val="0"/>
              <w:marRight w:val="0"/>
              <w:marTop w:val="0"/>
              <w:marBottom w:val="0"/>
              <w:divBdr>
                <w:top w:val="none" w:sz="0" w:space="0" w:color="auto"/>
                <w:left w:val="none" w:sz="0" w:space="0" w:color="auto"/>
                <w:bottom w:val="none" w:sz="0" w:space="0" w:color="auto"/>
                <w:right w:val="none" w:sz="0" w:space="0" w:color="auto"/>
              </w:divBdr>
              <w:divsChild>
                <w:div w:id="146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lii.org/za/legis/consol_act/sca20132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1%5d%20JOL%2049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95AB-EEA0-4E08-8F8F-5AFFC711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8</cp:revision>
  <cp:lastPrinted>2022-11-14T07:35:00Z</cp:lastPrinted>
  <dcterms:created xsi:type="dcterms:W3CDTF">2023-07-28T05:02:00Z</dcterms:created>
  <dcterms:modified xsi:type="dcterms:W3CDTF">2023-07-28T08:58:00Z</dcterms:modified>
</cp:coreProperties>
</file>