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1D3DA" w14:textId="77777777" w:rsidR="00C23D10" w:rsidRPr="00650AD3" w:rsidRDefault="00C23D10" w:rsidP="00650AD3">
      <w:pPr>
        <w:spacing w:line="360" w:lineRule="auto"/>
        <w:jc w:val="center"/>
      </w:pPr>
      <w:r w:rsidRPr="00650AD3">
        <w:rPr>
          <w:noProof/>
          <w:lang w:val="en-US"/>
        </w:rPr>
        <w:drawing>
          <wp:inline distT="0" distB="0" distL="0" distR="0" wp14:anchorId="705EE842" wp14:editId="04010D9D">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21F90586" w14:textId="77777777" w:rsidR="00C23D10" w:rsidRPr="00650AD3" w:rsidRDefault="00C23D10" w:rsidP="00650AD3">
      <w:pPr>
        <w:spacing w:line="360" w:lineRule="auto"/>
        <w:rPr>
          <w:b/>
          <w:bCs/>
        </w:rPr>
      </w:pPr>
    </w:p>
    <w:p w14:paraId="6955A96A" w14:textId="77777777" w:rsidR="00C23D10" w:rsidRPr="00650AD3" w:rsidRDefault="00C23D10" w:rsidP="00650AD3">
      <w:pPr>
        <w:spacing w:line="360" w:lineRule="auto"/>
        <w:jc w:val="center"/>
        <w:rPr>
          <w:b/>
          <w:bCs/>
        </w:rPr>
      </w:pPr>
      <w:r w:rsidRPr="00650AD3">
        <w:rPr>
          <w:b/>
          <w:bCs/>
        </w:rPr>
        <w:t>IN THE HIGH COURT OF SOUTH AFRICA</w:t>
      </w:r>
    </w:p>
    <w:p w14:paraId="16512924" w14:textId="77777777" w:rsidR="00C23D10" w:rsidRPr="00650AD3" w:rsidRDefault="00C23D10" w:rsidP="00650AD3">
      <w:pPr>
        <w:spacing w:line="360" w:lineRule="auto"/>
        <w:jc w:val="center"/>
        <w:rPr>
          <w:b/>
          <w:bCs/>
        </w:rPr>
      </w:pPr>
      <w:r w:rsidRPr="00650AD3">
        <w:rPr>
          <w:b/>
          <w:bCs/>
        </w:rPr>
        <w:t>KWAZULU-NATAL DIVISION, PIETERMARITZBURG</w:t>
      </w:r>
    </w:p>
    <w:p w14:paraId="42A4178E" w14:textId="77777777" w:rsidR="00C23D10" w:rsidRPr="00650AD3" w:rsidRDefault="00C23D10" w:rsidP="00650AD3">
      <w:pPr>
        <w:spacing w:line="360" w:lineRule="auto"/>
        <w:rPr>
          <w:b/>
          <w:bCs/>
        </w:rPr>
      </w:pPr>
    </w:p>
    <w:p w14:paraId="2C287562" w14:textId="31EB33C3" w:rsidR="00C23D10" w:rsidRPr="00650AD3" w:rsidRDefault="003E5044" w:rsidP="00650AD3">
      <w:pPr>
        <w:spacing w:line="360" w:lineRule="auto"/>
        <w:jc w:val="right"/>
      </w:pPr>
      <w:r>
        <w:t>Case no: 17544/2022</w:t>
      </w:r>
      <w:r w:rsidR="00C23D10" w:rsidRPr="00650AD3">
        <w:t>P</w:t>
      </w:r>
    </w:p>
    <w:p w14:paraId="272BFF6E" w14:textId="77777777" w:rsidR="00C23D10" w:rsidRPr="00650AD3" w:rsidRDefault="00C23D10" w:rsidP="00650AD3">
      <w:pPr>
        <w:spacing w:line="360" w:lineRule="auto"/>
      </w:pPr>
    </w:p>
    <w:p w14:paraId="5DF2D5BB" w14:textId="77777777" w:rsidR="00C23D10" w:rsidRPr="00650AD3" w:rsidRDefault="00C23D10" w:rsidP="00650AD3">
      <w:pPr>
        <w:spacing w:line="360" w:lineRule="auto"/>
      </w:pPr>
      <w:r w:rsidRPr="00650AD3">
        <w:t>In the matter between:</w:t>
      </w:r>
    </w:p>
    <w:p w14:paraId="47FE5EAB" w14:textId="77777777" w:rsidR="00C23D10" w:rsidRPr="00650AD3" w:rsidRDefault="00C23D10" w:rsidP="00650AD3">
      <w:pPr>
        <w:spacing w:line="360" w:lineRule="auto"/>
      </w:pPr>
    </w:p>
    <w:p w14:paraId="0482AA01" w14:textId="774CB094" w:rsidR="00C23D10" w:rsidRPr="00650AD3" w:rsidRDefault="00C23D10" w:rsidP="00650AD3">
      <w:pPr>
        <w:spacing w:line="360" w:lineRule="auto"/>
        <w:rPr>
          <w:b/>
        </w:rPr>
      </w:pPr>
      <w:r w:rsidRPr="00650AD3">
        <w:rPr>
          <w:b/>
          <w:bCs/>
        </w:rPr>
        <w:t>THE B</w:t>
      </w:r>
      <w:r w:rsidR="00964764">
        <w:rPr>
          <w:b/>
          <w:bCs/>
        </w:rPr>
        <w:t>USINESS ZONE 747 (PTY) LTD</w:t>
      </w:r>
      <w:r w:rsidR="00964764">
        <w:rPr>
          <w:b/>
          <w:bCs/>
        </w:rPr>
        <w:tab/>
      </w:r>
      <w:r w:rsidR="00964764">
        <w:rPr>
          <w:b/>
          <w:bCs/>
        </w:rPr>
        <w:tab/>
      </w:r>
      <w:r w:rsidR="00964764">
        <w:rPr>
          <w:b/>
          <w:bCs/>
        </w:rPr>
        <w:tab/>
      </w:r>
      <w:r w:rsidR="00964764">
        <w:rPr>
          <w:b/>
          <w:bCs/>
        </w:rPr>
        <w:tab/>
      </w:r>
      <w:r w:rsidR="00964764">
        <w:rPr>
          <w:b/>
          <w:bCs/>
        </w:rPr>
        <w:tab/>
      </w:r>
      <w:r w:rsidRPr="00650AD3">
        <w:rPr>
          <w:b/>
          <w:bCs/>
        </w:rPr>
        <w:t>APPLICANT</w:t>
      </w:r>
      <w:r w:rsidRPr="00650AD3">
        <w:rPr>
          <w:b/>
        </w:rPr>
        <w:t xml:space="preserve"> </w:t>
      </w:r>
    </w:p>
    <w:p w14:paraId="23C0A0B6" w14:textId="77777777" w:rsidR="00C23D10" w:rsidRPr="00650AD3" w:rsidRDefault="00C23D10" w:rsidP="00650AD3">
      <w:pPr>
        <w:spacing w:line="360" w:lineRule="auto"/>
      </w:pPr>
    </w:p>
    <w:p w14:paraId="2FE2305F" w14:textId="77777777" w:rsidR="00C23D10" w:rsidRPr="00650AD3" w:rsidRDefault="00C23D10" w:rsidP="00650AD3">
      <w:pPr>
        <w:spacing w:line="360" w:lineRule="auto"/>
      </w:pPr>
      <w:r w:rsidRPr="00650AD3">
        <w:t>and</w:t>
      </w:r>
    </w:p>
    <w:p w14:paraId="13668694" w14:textId="77777777" w:rsidR="00C23D10" w:rsidRPr="00650AD3" w:rsidRDefault="00C23D10" w:rsidP="00650AD3">
      <w:pPr>
        <w:spacing w:line="360" w:lineRule="auto"/>
        <w:rPr>
          <w:b/>
          <w:bCs/>
        </w:rPr>
      </w:pPr>
    </w:p>
    <w:p w14:paraId="0C7DB937" w14:textId="1796640A" w:rsidR="00C23D10" w:rsidRPr="00650AD3" w:rsidRDefault="00C23D10" w:rsidP="00650AD3">
      <w:pPr>
        <w:spacing w:line="360" w:lineRule="auto"/>
        <w:rPr>
          <w:b/>
          <w:bCs/>
        </w:rPr>
      </w:pPr>
      <w:r w:rsidRPr="00650AD3">
        <w:rPr>
          <w:b/>
          <w:bCs/>
        </w:rPr>
        <w:t>MEHDY ZARREBINI</w:t>
      </w:r>
      <w:r w:rsidR="000E318D" w:rsidRPr="00650AD3">
        <w:rPr>
          <w:b/>
          <w:bCs/>
        </w:rPr>
        <w:tab/>
      </w:r>
      <w:r w:rsidR="000E318D" w:rsidRPr="00650AD3">
        <w:rPr>
          <w:b/>
          <w:bCs/>
        </w:rPr>
        <w:tab/>
      </w:r>
      <w:r w:rsidRPr="00650AD3">
        <w:rPr>
          <w:b/>
          <w:bCs/>
        </w:rPr>
        <w:tab/>
      </w:r>
      <w:r w:rsidRPr="00650AD3">
        <w:rPr>
          <w:b/>
          <w:bCs/>
        </w:rPr>
        <w:tab/>
      </w:r>
      <w:r w:rsidRPr="00650AD3">
        <w:rPr>
          <w:b/>
          <w:bCs/>
        </w:rPr>
        <w:tab/>
      </w:r>
      <w:r w:rsidRPr="00650AD3">
        <w:rPr>
          <w:b/>
          <w:bCs/>
        </w:rPr>
        <w:tab/>
      </w:r>
      <w:r w:rsidRPr="00650AD3">
        <w:rPr>
          <w:b/>
          <w:bCs/>
        </w:rPr>
        <w:tab/>
        <w:t xml:space="preserve">RESPONDENT </w:t>
      </w:r>
    </w:p>
    <w:p w14:paraId="4E371BF7" w14:textId="77777777" w:rsidR="00C23D10" w:rsidRPr="00650AD3" w:rsidRDefault="00C23D10" w:rsidP="00650AD3">
      <w:pPr>
        <w:spacing w:line="360" w:lineRule="auto"/>
        <w:rPr>
          <w:b/>
          <w:bCs/>
        </w:rPr>
      </w:pPr>
    </w:p>
    <w:p w14:paraId="3338BA48" w14:textId="77777777" w:rsidR="00C23D10" w:rsidRPr="00650AD3" w:rsidRDefault="00C23D10" w:rsidP="00650AD3">
      <w:pPr>
        <w:spacing w:line="360" w:lineRule="auto"/>
        <w:rPr>
          <w:b/>
          <w:bCs/>
        </w:rPr>
      </w:pPr>
      <w:r w:rsidRPr="00650AD3">
        <w:rPr>
          <w:b/>
          <w:bCs/>
        </w:rPr>
        <w:t>_____________________________________________________________________</w:t>
      </w:r>
    </w:p>
    <w:p w14:paraId="224F370C" w14:textId="77777777" w:rsidR="00C23D10" w:rsidRPr="00650AD3" w:rsidRDefault="00C23D10" w:rsidP="00650AD3">
      <w:pPr>
        <w:spacing w:line="360" w:lineRule="auto"/>
        <w:ind w:left="1418" w:hanging="1418"/>
        <w:rPr>
          <w:b/>
          <w:bCs/>
        </w:rPr>
      </w:pPr>
      <w:r w:rsidRPr="00650AD3">
        <w:rPr>
          <w:b/>
          <w:bCs/>
        </w:rPr>
        <w:t>Coram:</w:t>
      </w:r>
      <w:r w:rsidRPr="00650AD3">
        <w:rPr>
          <w:b/>
          <w:bCs/>
        </w:rPr>
        <w:tab/>
        <w:t>Koen J</w:t>
      </w:r>
    </w:p>
    <w:p w14:paraId="53FF877F" w14:textId="77777777" w:rsidR="00C23D10" w:rsidRPr="00650AD3" w:rsidRDefault="00C23D10" w:rsidP="00650AD3">
      <w:pPr>
        <w:spacing w:line="360" w:lineRule="auto"/>
        <w:rPr>
          <w:b/>
        </w:rPr>
      </w:pPr>
      <w:r w:rsidRPr="00650AD3">
        <w:rPr>
          <w:b/>
        </w:rPr>
        <w:t>Heard:</w:t>
      </w:r>
      <w:r w:rsidRPr="00650AD3">
        <w:rPr>
          <w:b/>
        </w:rPr>
        <w:tab/>
        <w:t>5 September 2023</w:t>
      </w:r>
    </w:p>
    <w:p w14:paraId="0CFDFF90" w14:textId="6B73F94E" w:rsidR="00C23D10" w:rsidRPr="00650AD3" w:rsidRDefault="00C23D10" w:rsidP="00650AD3">
      <w:pPr>
        <w:spacing w:line="360" w:lineRule="auto"/>
        <w:rPr>
          <w:b/>
          <w:bCs/>
        </w:rPr>
      </w:pPr>
      <w:r w:rsidRPr="00650AD3">
        <w:rPr>
          <w:b/>
          <w:bCs/>
        </w:rPr>
        <w:t>Delivered</w:t>
      </w:r>
      <w:r w:rsidRPr="00650AD3">
        <w:rPr>
          <w:b/>
        </w:rPr>
        <w:t>:</w:t>
      </w:r>
      <w:r w:rsidR="00223DFD">
        <w:rPr>
          <w:b/>
        </w:rPr>
        <w:tab/>
        <w:t>11 September 2023</w:t>
      </w:r>
    </w:p>
    <w:p w14:paraId="0741E46C" w14:textId="77777777" w:rsidR="00C23D10" w:rsidRPr="00650AD3" w:rsidRDefault="00C23D10" w:rsidP="00650AD3">
      <w:pPr>
        <w:spacing w:line="360" w:lineRule="auto"/>
        <w:rPr>
          <w:b/>
          <w:bCs/>
          <w:sz w:val="22"/>
        </w:rPr>
      </w:pPr>
    </w:p>
    <w:p w14:paraId="05E4C40D" w14:textId="77777777" w:rsidR="00C23D10" w:rsidRPr="00650AD3" w:rsidRDefault="00C23D10" w:rsidP="00650AD3">
      <w:pPr>
        <w:spacing w:line="360" w:lineRule="auto"/>
        <w:rPr>
          <w:b/>
          <w:sz w:val="22"/>
        </w:rPr>
      </w:pPr>
      <w:r w:rsidRPr="00650AD3">
        <w:rPr>
          <w:b/>
          <w:noProof/>
          <w:sz w:val="20"/>
          <w:lang w:val="en-US"/>
        </w:rPr>
        <mc:AlternateContent>
          <mc:Choice Requires="wps">
            <w:drawing>
              <wp:anchor distT="0" distB="0" distL="114300" distR="114300" simplePos="0" relativeHeight="251662336" behindDoc="0" locked="0" layoutInCell="1" allowOverlap="1" wp14:anchorId="3773E739" wp14:editId="747A4F78">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A80E73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650AD3">
        <w:rPr>
          <w:b/>
          <w:noProof/>
          <w:sz w:val="20"/>
          <w:lang w:val="en-US"/>
        </w:rPr>
        <mc:AlternateContent>
          <mc:Choice Requires="wps">
            <w:drawing>
              <wp:anchor distT="0" distB="0" distL="114300" distR="114300" simplePos="0" relativeHeight="251661312" behindDoc="0" locked="0" layoutInCell="1" allowOverlap="1" wp14:anchorId="13479FAA" wp14:editId="3DC4F3FB">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69E51FCF"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3441DEC5" w14:textId="77777777" w:rsidR="00C23D10" w:rsidRPr="00650AD3" w:rsidRDefault="00C23D10" w:rsidP="00650AD3">
      <w:pPr>
        <w:pStyle w:val="Heading3"/>
        <w:jc w:val="center"/>
        <w:rPr>
          <w:b/>
          <w:i w:val="0"/>
          <w:sz w:val="24"/>
        </w:rPr>
      </w:pPr>
      <w:r w:rsidRPr="00650AD3">
        <w:rPr>
          <w:b/>
          <w:i w:val="0"/>
          <w:sz w:val="24"/>
        </w:rPr>
        <w:t>ORDER</w:t>
      </w:r>
    </w:p>
    <w:p w14:paraId="5E0C004F" w14:textId="77777777" w:rsidR="00C23D10" w:rsidRPr="00650AD3" w:rsidRDefault="00C23D10" w:rsidP="00650AD3">
      <w:pPr>
        <w:spacing w:line="360" w:lineRule="auto"/>
        <w:rPr>
          <w:b/>
          <w:bCs/>
          <w:sz w:val="22"/>
        </w:rPr>
      </w:pPr>
    </w:p>
    <w:p w14:paraId="0D74C140" w14:textId="77777777" w:rsidR="00C23D10" w:rsidRPr="00650AD3" w:rsidRDefault="00C23D10" w:rsidP="00650AD3">
      <w:pPr>
        <w:spacing w:line="360" w:lineRule="auto"/>
        <w:rPr>
          <w:b/>
          <w:sz w:val="22"/>
        </w:rPr>
      </w:pPr>
      <w:r w:rsidRPr="00650AD3">
        <w:rPr>
          <w:b/>
          <w:noProof/>
          <w:sz w:val="20"/>
          <w:lang w:val="en-US"/>
        </w:rPr>
        <mc:AlternateContent>
          <mc:Choice Requires="wps">
            <w:drawing>
              <wp:anchor distT="0" distB="0" distL="114300" distR="114300" simplePos="0" relativeHeight="251664384" behindDoc="0" locked="0" layoutInCell="1" allowOverlap="1" wp14:anchorId="47D0B901" wp14:editId="2D562685">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6BCB66E9"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650AD3">
        <w:rPr>
          <w:b/>
          <w:noProof/>
          <w:sz w:val="20"/>
          <w:lang w:val="en-US"/>
        </w:rPr>
        <mc:AlternateContent>
          <mc:Choice Requires="wps">
            <w:drawing>
              <wp:anchor distT="0" distB="0" distL="114300" distR="114300" simplePos="0" relativeHeight="251663360" behindDoc="0" locked="0" layoutInCell="1" allowOverlap="1" wp14:anchorId="5D1076E9" wp14:editId="5BAEA421">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68073C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532672F7" w14:textId="77777777" w:rsidR="00C23D10" w:rsidRPr="00650AD3" w:rsidRDefault="00C23D10" w:rsidP="00650AD3">
      <w:pPr>
        <w:spacing w:line="360" w:lineRule="auto"/>
        <w:jc w:val="both"/>
        <w:rPr>
          <w:bCs/>
        </w:rPr>
      </w:pPr>
      <w:r w:rsidRPr="00650AD3">
        <w:rPr>
          <w:bCs/>
        </w:rPr>
        <w:t>Judgment is granted in the following terms:</w:t>
      </w:r>
    </w:p>
    <w:p w14:paraId="051548D9" w14:textId="1868DB76" w:rsidR="00C23D10" w:rsidRPr="00C946B5" w:rsidRDefault="00C946B5" w:rsidP="00C946B5">
      <w:pPr>
        <w:spacing w:line="360" w:lineRule="auto"/>
        <w:ind w:left="1080" w:hanging="720"/>
        <w:jc w:val="both"/>
        <w:rPr>
          <w:szCs w:val="24"/>
        </w:rPr>
      </w:pPr>
      <w:r w:rsidRPr="00650AD3">
        <w:rPr>
          <w:szCs w:val="24"/>
        </w:rPr>
        <w:t>1.</w:t>
      </w:r>
      <w:r w:rsidRPr="00650AD3">
        <w:rPr>
          <w:szCs w:val="24"/>
        </w:rPr>
        <w:tab/>
      </w:r>
      <w:r w:rsidR="00C23D10" w:rsidRPr="00C946B5">
        <w:rPr>
          <w:szCs w:val="24"/>
        </w:rPr>
        <w:t>The respondent is ordered to pay to the applicant the amount of R3 496 214</w:t>
      </w:r>
      <w:r w:rsidR="006E2142" w:rsidRPr="00C946B5">
        <w:rPr>
          <w:szCs w:val="24"/>
        </w:rPr>
        <w:t>.</w:t>
      </w:r>
      <w:r w:rsidR="00C23D10" w:rsidRPr="00C946B5">
        <w:rPr>
          <w:szCs w:val="24"/>
        </w:rPr>
        <w:t>25.</w:t>
      </w:r>
    </w:p>
    <w:p w14:paraId="1C985B84" w14:textId="37765A4F" w:rsidR="00C23D10" w:rsidRPr="00C946B5" w:rsidRDefault="00C946B5" w:rsidP="00C946B5">
      <w:pPr>
        <w:spacing w:line="360" w:lineRule="auto"/>
        <w:ind w:left="1080" w:hanging="720"/>
        <w:jc w:val="both"/>
        <w:rPr>
          <w:sz w:val="22"/>
        </w:rPr>
      </w:pPr>
      <w:r w:rsidRPr="00650AD3">
        <w:rPr>
          <w:sz w:val="22"/>
        </w:rPr>
        <w:t>2</w:t>
      </w:r>
      <w:bookmarkStart w:id="0" w:name="_GoBack"/>
      <w:bookmarkEnd w:id="0"/>
      <w:r w:rsidRPr="00650AD3">
        <w:rPr>
          <w:sz w:val="22"/>
        </w:rPr>
        <w:t>.</w:t>
      </w:r>
      <w:r w:rsidRPr="00650AD3">
        <w:rPr>
          <w:sz w:val="22"/>
        </w:rPr>
        <w:tab/>
      </w:r>
      <w:r w:rsidR="00C23D10" w:rsidRPr="00C946B5">
        <w:rPr>
          <w:szCs w:val="24"/>
        </w:rPr>
        <w:t>The respondent is ordered to pay interest on the amount of R3 496 214</w:t>
      </w:r>
      <w:r w:rsidR="006E2142" w:rsidRPr="00C946B5">
        <w:rPr>
          <w:szCs w:val="24"/>
        </w:rPr>
        <w:t>.</w:t>
      </w:r>
      <w:r w:rsidR="00C23D10" w:rsidRPr="00C946B5">
        <w:rPr>
          <w:szCs w:val="24"/>
        </w:rPr>
        <w:t>25 at</w:t>
      </w:r>
      <w:r w:rsidR="003421C4" w:rsidRPr="00C946B5">
        <w:rPr>
          <w:szCs w:val="24"/>
        </w:rPr>
        <w:t xml:space="preserve"> the rate of</w:t>
      </w:r>
      <w:r w:rsidR="00C23D10" w:rsidRPr="00C946B5">
        <w:rPr>
          <w:szCs w:val="24"/>
        </w:rPr>
        <w:t xml:space="preserve"> 4.5% per annum</w:t>
      </w:r>
      <w:r w:rsidR="003421C4" w:rsidRPr="00C946B5">
        <w:rPr>
          <w:szCs w:val="24"/>
        </w:rPr>
        <w:t>,</w:t>
      </w:r>
      <w:r w:rsidR="00C23D10" w:rsidRPr="00C946B5">
        <w:rPr>
          <w:szCs w:val="24"/>
        </w:rPr>
        <w:t xml:space="preserve"> </w:t>
      </w:r>
      <w:r w:rsidR="003421C4" w:rsidRPr="00C946B5">
        <w:rPr>
          <w:szCs w:val="24"/>
        </w:rPr>
        <w:t xml:space="preserve">calculated </w:t>
      </w:r>
      <w:r w:rsidR="00C23D10" w:rsidRPr="00C946B5">
        <w:rPr>
          <w:szCs w:val="24"/>
        </w:rPr>
        <w:t>as provided in the loan agreements</w:t>
      </w:r>
      <w:r w:rsidR="000E318D" w:rsidRPr="00C946B5">
        <w:rPr>
          <w:szCs w:val="24"/>
        </w:rPr>
        <w:t>.</w:t>
      </w:r>
    </w:p>
    <w:p w14:paraId="1CE904E7" w14:textId="63B949C7" w:rsidR="00C23D10" w:rsidRPr="00C946B5" w:rsidRDefault="00C946B5" w:rsidP="00C946B5">
      <w:pPr>
        <w:spacing w:line="360" w:lineRule="auto"/>
        <w:ind w:left="1080" w:hanging="720"/>
        <w:jc w:val="both"/>
        <w:rPr>
          <w:b/>
          <w:bCs/>
          <w:sz w:val="22"/>
        </w:rPr>
      </w:pPr>
      <w:r w:rsidRPr="00650AD3">
        <w:rPr>
          <w:b/>
          <w:bCs/>
          <w:sz w:val="22"/>
        </w:rPr>
        <w:t>3.</w:t>
      </w:r>
      <w:r w:rsidRPr="00650AD3">
        <w:rPr>
          <w:b/>
          <w:bCs/>
          <w:sz w:val="22"/>
        </w:rPr>
        <w:tab/>
      </w:r>
      <w:r w:rsidR="00C23D10" w:rsidRPr="00C946B5">
        <w:rPr>
          <w:szCs w:val="24"/>
        </w:rPr>
        <w:t>The respondent is ordered to pay the costs of the application.</w:t>
      </w:r>
    </w:p>
    <w:p w14:paraId="326DC82B" w14:textId="77777777" w:rsidR="00C23D10" w:rsidRPr="00650AD3" w:rsidRDefault="00C23D10" w:rsidP="00650AD3">
      <w:pPr>
        <w:spacing w:line="360" w:lineRule="auto"/>
        <w:jc w:val="both"/>
        <w:rPr>
          <w:szCs w:val="24"/>
        </w:rPr>
      </w:pPr>
      <w:r w:rsidRPr="00650AD3">
        <w:rPr>
          <w:szCs w:val="24"/>
        </w:rPr>
        <w:lastRenderedPageBreak/>
        <w:t>_____________________________________________________________________</w:t>
      </w:r>
    </w:p>
    <w:p w14:paraId="38A4E094" w14:textId="77777777" w:rsidR="00C23D10" w:rsidRPr="00650AD3" w:rsidRDefault="00C23D10" w:rsidP="00650AD3">
      <w:pPr>
        <w:pStyle w:val="ListParagraph"/>
        <w:spacing w:line="360" w:lineRule="auto"/>
        <w:ind w:left="1080"/>
        <w:jc w:val="both"/>
        <w:rPr>
          <w:b/>
          <w:bCs/>
          <w:sz w:val="22"/>
        </w:rPr>
      </w:pPr>
    </w:p>
    <w:p w14:paraId="28486822" w14:textId="77777777" w:rsidR="00C23D10" w:rsidRPr="00650AD3" w:rsidRDefault="00C23D10" w:rsidP="00650AD3">
      <w:pPr>
        <w:pStyle w:val="ListParagraph"/>
        <w:spacing w:line="360" w:lineRule="auto"/>
        <w:ind w:left="1080"/>
        <w:jc w:val="center"/>
        <w:rPr>
          <w:b/>
          <w:bCs/>
          <w:sz w:val="22"/>
        </w:rPr>
      </w:pPr>
      <w:r w:rsidRPr="00650AD3">
        <w:rPr>
          <w:b/>
          <w:bCs/>
          <w:sz w:val="22"/>
        </w:rPr>
        <w:t>JUDGMENT</w:t>
      </w:r>
    </w:p>
    <w:p w14:paraId="7CCF9612" w14:textId="77777777" w:rsidR="00C23D10" w:rsidRPr="00650AD3" w:rsidRDefault="00C23D10" w:rsidP="00650AD3">
      <w:pPr>
        <w:spacing w:line="360" w:lineRule="auto"/>
        <w:rPr>
          <w:b/>
          <w:bCs/>
          <w:sz w:val="22"/>
        </w:rPr>
      </w:pPr>
    </w:p>
    <w:p w14:paraId="42BD39CF" w14:textId="77777777" w:rsidR="00C23D10" w:rsidRPr="00650AD3" w:rsidRDefault="00C23D10" w:rsidP="00650AD3">
      <w:pPr>
        <w:spacing w:line="360" w:lineRule="auto"/>
        <w:rPr>
          <w:b/>
          <w:sz w:val="22"/>
        </w:rPr>
      </w:pPr>
      <w:r w:rsidRPr="00650AD3">
        <w:rPr>
          <w:b/>
          <w:noProof/>
          <w:sz w:val="20"/>
          <w:lang w:val="en-US"/>
        </w:rPr>
        <mc:AlternateContent>
          <mc:Choice Requires="wps">
            <w:drawing>
              <wp:anchor distT="0" distB="0" distL="114300" distR="114300" simplePos="0" relativeHeight="251660288" behindDoc="0" locked="0" layoutInCell="1" allowOverlap="1" wp14:anchorId="55DB7DDF" wp14:editId="6078C5D3">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1900EB0B"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">
                <o:lock v:ext="edit" shapetype="f"/>
                <w10:wrap anchorx="margin"/>
              </v:line>
            </w:pict>
          </mc:Fallback>
        </mc:AlternateContent>
      </w:r>
      <w:r w:rsidRPr="00650AD3">
        <w:rPr>
          <w:b/>
          <w:noProof/>
          <w:sz w:val="20"/>
          <w:lang w:val="en-US"/>
        </w:rPr>
        <mc:AlternateContent>
          <mc:Choice Requires="wps">
            <w:drawing>
              <wp:anchor distT="0" distB="0" distL="114300" distR="114300" simplePos="0" relativeHeight="251659264" behindDoc="0" locked="0" layoutInCell="1" allowOverlap="1" wp14:anchorId="144A2C7C" wp14:editId="7C995C0C">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1D1CC7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">
                <o:lock v:ext="edit" shapetype="f"/>
              </v:line>
            </w:pict>
          </mc:Fallback>
        </mc:AlternateContent>
      </w:r>
    </w:p>
    <w:p w14:paraId="705F8B0B" w14:textId="77777777" w:rsidR="00C23D10" w:rsidRPr="00650AD3" w:rsidRDefault="00C23D10" w:rsidP="00650AD3">
      <w:pPr>
        <w:spacing w:line="360" w:lineRule="auto"/>
        <w:rPr>
          <w:b/>
          <w:bCs/>
        </w:rPr>
      </w:pPr>
      <w:r w:rsidRPr="00650AD3">
        <w:rPr>
          <w:b/>
        </w:rPr>
        <w:t>Koen J</w:t>
      </w:r>
    </w:p>
    <w:p w14:paraId="1C6624D4" w14:textId="77777777" w:rsidR="00C23D10" w:rsidRPr="00650AD3" w:rsidRDefault="00C23D10" w:rsidP="00650AD3">
      <w:pPr>
        <w:spacing w:line="360" w:lineRule="auto"/>
        <w:rPr>
          <w:b/>
        </w:rPr>
      </w:pPr>
    </w:p>
    <w:p w14:paraId="159F8800" w14:textId="77777777" w:rsidR="00C23D10" w:rsidRPr="00650AD3" w:rsidRDefault="00C23D10" w:rsidP="00650AD3">
      <w:pPr>
        <w:spacing w:line="360" w:lineRule="auto"/>
        <w:rPr>
          <w:b/>
        </w:rPr>
      </w:pPr>
      <w:r w:rsidRPr="00650AD3">
        <w:rPr>
          <w:b/>
        </w:rPr>
        <w:t>Introduction</w:t>
      </w:r>
    </w:p>
    <w:p w14:paraId="24311735" w14:textId="05395B19" w:rsidR="00C23D10" w:rsidRPr="00650AD3" w:rsidRDefault="00C946B5" w:rsidP="00C946B5">
      <w:pPr>
        <w:spacing w:line="360" w:lineRule="auto"/>
        <w:jc w:val="both"/>
      </w:pPr>
      <w:r w:rsidRPr="00650AD3">
        <w:rPr>
          <w:szCs w:val="24"/>
        </w:rPr>
        <w:t>[1]</w:t>
      </w:r>
      <w:r w:rsidRPr="00650AD3">
        <w:rPr>
          <w:szCs w:val="24"/>
        </w:rPr>
        <w:tab/>
      </w:r>
      <w:r w:rsidR="00C23D10" w:rsidRPr="00650AD3">
        <w:t>The applicant (Business Zone</w:t>
      </w:r>
      <w:r w:rsidR="00C23D10" w:rsidRPr="00650AD3">
        <w:rPr>
          <w:rStyle w:val="FootnoteReference"/>
        </w:rPr>
        <w:footnoteReference w:id="1"/>
      </w:r>
      <w:r w:rsidR="00C23D10" w:rsidRPr="00650AD3">
        <w:t xml:space="preserve">) claims payment of the </w:t>
      </w:r>
      <w:r w:rsidR="000E318D" w:rsidRPr="00650AD3">
        <w:t xml:space="preserve">sum of </w:t>
      </w:r>
      <w:r w:rsidR="00C23D10" w:rsidRPr="00650AD3">
        <w:t xml:space="preserve">R3 496 214.25 from the respondent, Dr Mehdy Zarrebini, as surety for the indebtedness of Van Dyck Carpets (Pty) Ltd (the debtor) to the applicant, together with interest and costs. </w:t>
      </w:r>
    </w:p>
    <w:p w14:paraId="0A54105E" w14:textId="77777777" w:rsidR="00C23D10" w:rsidRPr="00650AD3" w:rsidRDefault="00C23D10" w:rsidP="00650AD3">
      <w:pPr>
        <w:spacing w:line="360" w:lineRule="auto"/>
        <w:jc w:val="both"/>
        <w:rPr>
          <w:b/>
          <w:bCs/>
        </w:rPr>
      </w:pPr>
    </w:p>
    <w:p w14:paraId="56049DE5" w14:textId="77777777" w:rsidR="00C23D10" w:rsidRPr="00650AD3" w:rsidRDefault="00C23D10" w:rsidP="00650AD3">
      <w:pPr>
        <w:spacing w:line="360" w:lineRule="auto"/>
        <w:jc w:val="both"/>
        <w:rPr>
          <w:b/>
          <w:bCs/>
        </w:rPr>
      </w:pPr>
      <w:r w:rsidRPr="00650AD3">
        <w:rPr>
          <w:b/>
          <w:bCs/>
        </w:rPr>
        <w:t>Factual Background</w:t>
      </w:r>
    </w:p>
    <w:p w14:paraId="0A2A396E" w14:textId="6901CD99" w:rsidR="00C23D10" w:rsidRPr="00650AD3" w:rsidRDefault="00C946B5" w:rsidP="00C946B5">
      <w:pPr>
        <w:spacing w:line="360" w:lineRule="auto"/>
        <w:jc w:val="both"/>
      </w:pPr>
      <w:r w:rsidRPr="00650AD3">
        <w:rPr>
          <w:szCs w:val="24"/>
        </w:rPr>
        <w:t>[2]</w:t>
      </w:r>
      <w:r w:rsidRPr="00650AD3">
        <w:rPr>
          <w:szCs w:val="24"/>
        </w:rPr>
        <w:tab/>
      </w:r>
      <w:r w:rsidR="00C23D10" w:rsidRPr="00650AD3">
        <w:t>Business Zone seeks final relief</w:t>
      </w:r>
      <w:r w:rsidR="00450BB6">
        <w:t xml:space="preserve"> in the application</w:t>
      </w:r>
      <w:r w:rsidR="00C23D10" w:rsidRPr="00650AD3">
        <w:t>. It is trite that it can only succeed if the facts as alleged by the respondent</w:t>
      </w:r>
      <w:r w:rsidR="000E318D" w:rsidRPr="00650AD3">
        <w:t>,</w:t>
      </w:r>
      <w:r w:rsidR="00C23D10" w:rsidRPr="00650AD3">
        <w:t xml:space="preserve"> </w:t>
      </w:r>
      <w:r w:rsidR="003421C4" w:rsidRPr="00650AD3">
        <w:t xml:space="preserve">together with facts in the applicant’s affidavits </w:t>
      </w:r>
      <w:r w:rsidR="000E318D" w:rsidRPr="00650AD3">
        <w:t xml:space="preserve">which are admitted, or if </w:t>
      </w:r>
      <w:r w:rsidR="003421C4" w:rsidRPr="00650AD3">
        <w:t>not formally admitted cannot be denied and are therefore regarded to be admitted, justify the relief claimed.</w:t>
      </w:r>
      <w:r w:rsidR="00C23D10" w:rsidRPr="00650AD3">
        <w:rPr>
          <w:rStyle w:val="FootnoteReference"/>
        </w:rPr>
        <w:footnoteReference w:id="2"/>
      </w:r>
    </w:p>
    <w:p w14:paraId="70DE47A6" w14:textId="77777777" w:rsidR="003421C4" w:rsidRPr="00650AD3" w:rsidRDefault="003421C4" w:rsidP="00650AD3">
      <w:pPr>
        <w:spacing w:line="360" w:lineRule="auto"/>
        <w:jc w:val="both"/>
      </w:pPr>
    </w:p>
    <w:p w14:paraId="77271748" w14:textId="716273CF" w:rsidR="00C23D10" w:rsidRPr="00650AD3" w:rsidRDefault="00C946B5" w:rsidP="00C946B5">
      <w:pPr>
        <w:spacing w:line="360" w:lineRule="auto"/>
        <w:jc w:val="both"/>
      </w:pPr>
      <w:r w:rsidRPr="00650AD3">
        <w:rPr>
          <w:szCs w:val="24"/>
        </w:rPr>
        <w:t>[3]</w:t>
      </w:r>
      <w:r w:rsidRPr="00650AD3">
        <w:rPr>
          <w:szCs w:val="24"/>
        </w:rPr>
        <w:tab/>
      </w:r>
      <w:r w:rsidR="00070623" w:rsidRPr="00650AD3">
        <w:t xml:space="preserve">The relevant </w:t>
      </w:r>
      <w:r w:rsidR="00223DFD">
        <w:t xml:space="preserve">material </w:t>
      </w:r>
      <w:r w:rsidR="00070623" w:rsidRPr="00650AD3">
        <w:t>facts in the founding affidavit are as follows:</w:t>
      </w:r>
    </w:p>
    <w:p w14:paraId="31B50E5B" w14:textId="402BF4FD" w:rsidR="00C23D10" w:rsidRPr="00650AD3" w:rsidRDefault="00C946B5" w:rsidP="00C946B5">
      <w:pPr>
        <w:spacing w:line="360" w:lineRule="auto"/>
        <w:ind w:left="720" w:hanging="720"/>
        <w:jc w:val="both"/>
      </w:pPr>
      <w:r w:rsidRPr="00650AD3">
        <w:t>(a)</w:t>
      </w:r>
      <w:r w:rsidRPr="00650AD3">
        <w:tab/>
      </w:r>
      <w:r w:rsidR="00C23D10" w:rsidRPr="00650AD3">
        <w:t>The deponent, Mr Michael Craig Buck, describe</w:t>
      </w:r>
      <w:r w:rsidR="003421C4" w:rsidRPr="00650AD3">
        <w:t>s</w:t>
      </w:r>
      <w:r w:rsidR="00C23D10" w:rsidRPr="00650AD3">
        <w:t xml:space="preserve"> himself as the managing director of ‘the applicant</w:t>
      </w:r>
      <w:r w:rsidR="003421C4" w:rsidRPr="00650AD3">
        <w:t>.</w:t>
      </w:r>
      <w:r w:rsidR="00C23D10" w:rsidRPr="00650AD3">
        <w:t>’</w:t>
      </w:r>
      <w:r w:rsidR="003421C4" w:rsidRPr="00650AD3">
        <w:t xml:space="preserve"> He refers to ‘the applicant’, in abbreviated style, as </w:t>
      </w:r>
      <w:r w:rsidR="00C23D10" w:rsidRPr="00650AD3">
        <w:t xml:space="preserve">‘Business Zone.’ The </w:t>
      </w:r>
      <w:r w:rsidR="00070623" w:rsidRPr="00650AD3">
        <w:t>‘</w:t>
      </w:r>
      <w:r w:rsidR="00C23D10" w:rsidRPr="00650AD3">
        <w:t>applicant</w:t>
      </w:r>
      <w:r w:rsidR="00070623" w:rsidRPr="00650AD3">
        <w:t>’</w:t>
      </w:r>
      <w:r w:rsidR="00C23D10" w:rsidRPr="00650AD3">
        <w:t>, as per the heading to the affidavit, which is part of</w:t>
      </w:r>
      <w:r w:rsidR="003421C4" w:rsidRPr="00650AD3">
        <w:t xml:space="preserve"> and incorporated </w:t>
      </w:r>
      <w:r w:rsidR="00C23D10" w:rsidRPr="00650AD3">
        <w:t xml:space="preserve">into the body of the affidavit by reference, is </w:t>
      </w:r>
      <w:r w:rsidR="00B72755" w:rsidRPr="00650AD3">
        <w:t xml:space="preserve">reflected as </w:t>
      </w:r>
      <w:r w:rsidR="00C23D10" w:rsidRPr="00650AD3">
        <w:t>‘The Business Zone 747 (Pty) Ltd (Registration No 2004/037286/23)’. Mr Buck is the sole director of Business Zone;</w:t>
      </w:r>
    </w:p>
    <w:p w14:paraId="09F493CD" w14:textId="7039A9F9" w:rsidR="00C23D10" w:rsidRPr="00650AD3" w:rsidRDefault="00C946B5" w:rsidP="00C946B5">
      <w:pPr>
        <w:spacing w:line="360" w:lineRule="auto"/>
        <w:ind w:left="720" w:hanging="720"/>
        <w:jc w:val="both"/>
      </w:pPr>
      <w:r w:rsidRPr="00650AD3">
        <w:t>(b)</w:t>
      </w:r>
      <w:r w:rsidRPr="00650AD3">
        <w:tab/>
      </w:r>
      <w:r w:rsidR="00C23D10" w:rsidRPr="00650AD3">
        <w:t xml:space="preserve">Mr Buck states that he is duly authorised to institute the proceedings pursuant to a board resolution </w:t>
      </w:r>
      <w:r w:rsidR="00B72755" w:rsidRPr="00650AD3">
        <w:t xml:space="preserve">of the applicant </w:t>
      </w:r>
      <w:r w:rsidR="00C23D10" w:rsidRPr="00650AD3">
        <w:t>dated 12 August 2022, which provides:</w:t>
      </w:r>
    </w:p>
    <w:p w14:paraId="06D6D1AE" w14:textId="77777777" w:rsidR="00C23D10" w:rsidRPr="00650AD3" w:rsidRDefault="00C23D10" w:rsidP="00650AD3">
      <w:pPr>
        <w:pStyle w:val="ListParagraph"/>
        <w:spacing w:line="360" w:lineRule="auto"/>
        <w:jc w:val="both"/>
        <w:rPr>
          <w:b/>
          <w:bCs/>
          <w:sz w:val="22"/>
          <w:szCs w:val="22"/>
        </w:rPr>
      </w:pPr>
      <w:r w:rsidRPr="00650AD3">
        <w:rPr>
          <w:sz w:val="22"/>
          <w:szCs w:val="22"/>
        </w:rPr>
        <w:t>‘</w:t>
      </w:r>
      <w:r w:rsidRPr="00650AD3">
        <w:rPr>
          <w:b/>
          <w:bCs/>
          <w:sz w:val="22"/>
          <w:szCs w:val="22"/>
        </w:rPr>
        <w:t>Resolution of a Meeting of the Directors of the Business Zone 747 (Pty) Ltd (Reg No 213/094017/07) held at Durban North on 12</w:t>
      </w:r>
      <w:r w:rsidRPr="00650AD3">
        <w:rPr>
          <w:b/>
          <w:bCs/>
          <w:sz w:val="22"/>
          <w:szCs w:val="22"/>
          <w:vertAlign w:val="superscript"/>
        </w:rPr>
        <w:t>th</w:t>
      </w:r>
      <w:r w:rsidRPr="00650AD3">
        <w:rPr>
          <w:b/>
          <w:bCs/>
          <w:sz w:val="22"/>
          <w:szCs w:val="22"/>
        </w:rPr>
        <w:t xml:space="preserve"> day of August 2022</w:t>
      </w:r>
    </w:p>
    <w:p w14:paraId="7A36A825" w14:textId="77777777" w:rsidR="00C23D10" w:rsidRPr="00650AD3" w:rsidRDefault="00C23D10" w:rsidP="00650AD3">
      <w:pPr>
        <w:pStyle w:val="ListParagraph"/>
        <w:spacing w:line="360" w:lineRule="auto"/>
        <w:jc w:val="both"/>
        <w:rPr>
          <w:b/>
          <w:bCs/>
          <w:sz w:val="22"/>
          <w:szCs w:val="22"/>
          <w:u w:val="single"/>
        </w:rPr>
      </w:pPr>
      <w:r w:rsidRPr="00650AD3">
        <w:rPr>
          <w:b/>
          <w:bCs/>
          <w:sz w:val="22"/>
          <w:szCs w:val="22"/>
          <w:u w:val="single"/>
        </w:rPr>
        <w:lastRenderedPageBreak/>
        <w:t>Resolved that:</w:t>
      </w:r>
    </w:p>
    <w:p w14:paraId="1DDD8C87" w14:textId="1C3FEF44" w:rsidR="00C23D10" w:rsidRPr="00C946B5" w:rsidRDefault="00C946B5" w:rsidP="00C946B5">
      <w:pPr>
        <w:spacing w:line="360" w:lineRule="auto"/>
        <w:ind w:left="1080" w:hanging="360"/>
        <w:jc w:val="both"/>
        <w:rPr>
          <w:sz w:val="22"/>
          <w:szCs w:val="22"/>
        </w:rPr>
      </w:pPr>
      <w:r w:rsidRPr="00650AD3">
        <w:rPr>
          <w:sz w:val="22"/>
          <w:szCs w:val="22"/>
        </w:rPr>
        <w:t>1.</w:t>
      </w:r>
      <w:r w:rsidRPr="00650AD3">
        <w:rPr>
          <w:sz w:val="22"/>
          <w:szCs w:val="22"/>
        </w:rPr>
        <w:tab/>
      </w:r>
      <w:r w:rsidR="00C23D10" w:rsidRPr="00C946B5">
        <w:rPr>
          <w:sz w:val="22"/>
          <w:szCs w:val="22"/>
        </w:rPr>
        <w:t>The Company institute action through its attorneys Cliffe Dekker Hofmeyr against the Sureties involved in respect of the Van Dyck liability, including but not limited to Dr Zarrebini;</w:t>
      </w:r>
    </w:p>
    <w:p w14:paraId="5764DEE6" w14:textId="47B5E13E" w:rsidR="00C23D10" w:rsidRPr="00C946B5" w:rsidRDefault="00C946B5" w:rsidP="00C946B5">
      <w:pPr>
        <w:spacing w:line="360" w:lineRule="auto"/>
        <w:ind w:left="1080" w:hanging="360"/>
        <w:jc w:val="both"/>
        <w:rPr>
          <w:sz w:val="22"/>
          <w:szCs w:val="22"/>
        </w:rPr>
      </w:pPr>
      <w:r w:rsidRPr="00650AD3">
        <w:rPr>
          <w:sz w:val="22"/>
          <w:szCs w:val="22"/>
        </w:rPr>
        <w:t>2.</w:t>
      </w:r>
      <w:r w:rsidRPr="00650AD3">
        <w:rPr>
          <w:sz w:val="22"/>
          <w:szCs w:val="22"/>
        </w:rPr>
        <w:tab/>
      </w:r>
      <w:r w:rsidR="00C23D10" w:rsidRPr="00C946B5">
        <w:rPr>
          <w:sz w:val="22"/>
          <w:szCs w:val="22"/>
        </w:rPr>
        <w:t>Michael Craig Buck be authorised to represent the company in such proceedings and to sign and all do to prosecute the claim/s to the end result.’</w:t>
      </w:r>
    </w:p>
    <w:p w14:paraId="53C7FED0" w14:textId="77777777" w:rsidR="00C23D10" w:rsidRPr="00650AD3" w:rsidRDefault="00C23D10" w:rsidP="00650AD3">
      <w:pPr>
        <w:spacing w:line="360" w:lineRule="auto"/>
        <w:ind w:left="720"/>
        <w:jc w:val="both"/>
        <w:rPr>
          <w:b/>
          <w:bCs/>
          <w:szCs w:val="24"/>
        </w:rPr>
      </w:pPr>
      <w:r w:rsidRPr="00650AD3">
        <w:rPr>
          <w:szCs w:val="24"/>
        </w:rPr>
        <w:t>(The resolution was signed by and certified as a true copy by Mr Buck)</w:t>
      </w:r>
      <w:r w:rsidRPr="00650AD3">
        <w:rPr>
          <w:b/>
          <w:bCs/>
          <w:szCs w:val="24"/>
        </w:rPr>
        <w:t>.</w:t>
      </w:r>
    </w:p>
    <w:p w14:paraId="3A874290" w14:textId="76FA765F" w:rsidR="00C23D10" w:rsidRPr="00650AD3" w:rsidRDefault="00C946B5" w:rsidP="00C946B5">
      <w:pPr>
        <w:spacing w:line="360" w:lineRule="auto"/>
        <w:ind w:left="720" w:hanging="720"/>
        <w:jc w:val="both"/>
      </w:pPr>
      <w:r w:rsidRPr="00650AD3">
        <w:t>(c)</w:t>
      </w:r>
      <w:r w:rsidRPr="00650AD3">
        <w:tab/>
      </w:r>
      <w:r w:rsidR="00C23D10" w:rsidRPr="00650AD3">
        <w:t>Business</w:t>
      </w:r>
      <w:r w:rsidR="00450BB6">
        <w:t xml:space="preserve"> </w:t>
      </w:r>
      <w:r w:rsidR="00C23D10" w:rsidRPr="00650AD3">
        <w:t>Zone, is described in the body of the founding affidavit</w:t>
      </w:r>
      <w:r w:rsidR="00BD10B3" w:rsidRPr="00650AD3">
        <w:t>,</w:t>
      </w:r>
      <w:r w:rsidR="00C23D10" w:rsidRPr="00650AD3">
        <w:t xml:space="preserve"> as a private company duly registered and incorporated in accordance with the laws of the Republic of South Africa, with registration number 2004/037286/23</w:t>
      </w:r>
      <w:r w:rsidR="00B72755" w:rsidRPr="00650AD3">
        <w:t xml:space="preserve">. </w:t>
      </w:r>
    </w:p>
    <w:p w14:paraId="72114F59" w14:textId="26DEF2B2" w:rsidR="00C23D10" w:rsidRPr="00650AD3" w:rsidRDefault="00C946B5" w:rsidP="00C946B5">
      <w:pPr>
        <w:spacing w:line="360" w:lineRule="auto"/>
        <w:ind w:left="720" w:hanging="720"/>
        <w:jc w:val="both"/>
      </w:pPr>
      <w:r w:rsidRPr="00650AD3">
        <w:t>(d)</w:t>
      </w:r>
      <w:r w:rsidRPr="00650AD3">
        <w:tab/>
      </w:r>
      <w:r w:rsidR="00070623" w:rsidRPr="00650AD3">
        <w:t xml:space="preserve">During the period from June 2018 to December 2019 </w:t>
      </w:r>
      <w:r w:rsidR="00C23D10" w:rsidRPr="00650AD3">
        <w:t>Business Zone, in each instance described as ‘The Business Zone 747 (Pty) Ltd (</w:t>
      </w:r>
      <w:r w:rsidR="00B72755" w:rsidRPr="00650AD3">
        <w:t>R</w:t>
      </w:r>
      <w:r w:rsidR="00C23D10" w:rsidRPr="00650AD3">
        <w:t>eg No: 2004/037286/23)’</w:t>
      </w:r>
      <w:r w:rsidR="00BD10B3" w:rsidRPr="00650AD3">
        <w:t>,</w:t>
      </w:r>
      <w:r w:rsidR="00C23D10" w:rsidRPr="00650AD3">
        <w:t xml:space="preserve"> and the debtor concluded three written loan agreements</w:t>
      </w:r>
      <w:r w:rsidR="00282F3F" w:rsidRPr="00650AD3">
        <w:t xml:space="preserve"> and various addenda</w:t>
      </w:r>
      <w:r w:rsidR="00070623" w:rsidRPr="00650AD3">
        <w:t xml:space="preserve"> thereto</w:t>
      </w:r>
      <w:r w:rsidR="00C23D10" w:rsidRPr="00650AD3">
        <w:t xml:space="preserve">, </w:t>
      </w:r>
      <w:r w:rsidR="00070623" w:rsidRPr="00650AD3">
        <w:t>‘</w:t>
      </w:r>
      <w:r w:rsidR="00C23D10" w:rsidRPr="00650AD3">
        <w:t xml:space="preserve">in terms of which Business Zone lent </w:t>
      </w:r>
      <w:r w:rsidR="00C23D10" w:rsidRPr="00C946B5">
        <w:rPr>
          <w:bCs/>
          <w:i/>
        </w:rPr>
        <w:t>and advanced</w:t>
      </w:r>
      <w:r w:rsidR="00070623" w:rsidRPr="00650AD3">
        <w:rPr>
          <w:rStyle w:val="FootnoteReference"/>
        </w:rPr>
        <w:footnoteReference w:id="3"/>
      </w:r>
      <w:r w:rsidR="00070623" w:rsidRPr="00650AD3">
        <w:t xml:space="preserve"> </w:t>
      </w:r>
      <w:r w:rsidR="00C23D10" w:rsidRPr="00650AD3">
        <w:t>sums of money</w:t>
      </w:r>
      <w:r w:rsidR="00282F3F" w:rsidRPr="00650AD3">
        <w:t>’</w:t>
      </w:r>
      <w:r w:rsidR="00070623" w:rsidRPr="00650AD3">
        <w:t xml:space="preserve"> </w:t>
      </w:r>
      <w:r w:rsidR="00C23D10" w:rsidRPr="00650AD3">
        <w:t xml:space="preserve">to the debtor, </w:t>
      </w:r>
      <w:r w:rsidR="00282F3F" w:rsidRPr="00650AD3">
        <w:t xml:space="preserve">in a total amount of R4 950 000 </w:t>
      </w:r>
      <w:r w:rsidR="00C23D10" w:rsidRPr="00650AD3">
        <w:t>as follows:</w:t>
      </w:r>
    </w:p>
    <w:p w14:paraId="1D1DFCA6" w14:textId="65F28B49" w:rsidR="00C23D10" w:rsidRPr="00650AD3" w:rsidRDefault="00C946B5" w:rsidP="00C946B5">
      <w:pPr>
        <w:spacing w:line="360" w:lineRule="auto"/>
        <w:ind w:left="1440" w:hanging="720"/>
        <w:jc w:val="both"/>
      </w:pPr>
      <w:r w:rsidRPr="00650AD3">
        <w:t>(i)</w:t>
      </w:r>
      <w:r w:rsidRPr="00650AD3">
        <w:tab/>
      </w:r>
      <w:r w:rsidR="00C23D10" w:rsidRPr="00650AD3">
        <w:t>R</w:t>
      </w:r>
      <w:r w:rsidR="00282F3F" w:rsidRPr="00650AD3">
        <w:t>1 200 000</w:t>
      </w:r>
      <w:r w:rsidR="00C23D10" w:rsidRPr="00650AD3">
        <w:t xml:space="preserve"> in terms of the first loan agreement </w:t>
      </w:r>
      <w:r w:rsidR="00282F3F" w:rsidRPr="00650AD3">
        <w:t>and first addendum thereto;</w:t>
      </w:r>
    </w:p>
    <w:p w14:paraId="227234C3" w14:textId="40846E92" w:rsidR="00C23D10" w:rsidRPr="00650AD3" w:rsidRDefault="00C946B5" w:rsidP="00C946B5">
      <w:pPr>
        <w:spacing w:line="360" w:lineRule="auto"/>
        <w:ind w:left="1440" w:hanging="720"/>
        <w:jc w:val="both"/>
      </w:pPr>
      <w:r w:rsidRPr="00650AD3">
        <w:t>(ii)</w:t>
      </w:r>
      <w:r w:rsidRPr="00650AD3">
        <w:tab/>
      </w:r>
      <w:r w:rsidR="00C23D10" w:rsidRPr="00650AD3">
        <w:t>R2 750 000 in terms of the second loan agreement</w:t>
      </w:r>
      <w:r w:rsidR="00282F3F" w:rsidRPr="00650AD3">
        <w:t>;</w:t>
      </w:r>
    </w:p>
    <w:p w14:paraId="125EE91F" w14:textId="547E7342" w:rsidR="00C23D10" w:rsidRPr="00650AD3" w:rsidRDefault="00C946B5" w:rsidP="00C946B5">
      <w:pPr>
        <w:spacing w:line="360" w:lineRule="auto"/>
        <w:ind w:left="1440" w:hanging="720"/>
        <w:jc w:val="both"/>
      </w:pPr>
      <w:r w:rsidRPr="00650AD3">
        <w:t>(iii)</w:t>
      </w:r>
      <w:r w:rsidRPr="00650AD3">
        <w:tab/>
      </w:r>
      <w:r w:rsidR="00C23D10" w:rsidRPr="00650AD3">
        <w:t>R1 000 000 in terms of the third loan agreement</w:t>
      </w:r>
      <w:r w:rsidR="00282F3F" w:rsidRPr="00650AD3">
        <w:t>.</w:t>
      </w:r>
    </w:p>
    <w:p w14:paraId="588BD348" w14:textId="5005D5FC" w:rsidR="00C23D10" w:rsidRPr="00650AD3" w:rsidRDefault="00C946B5" w:rsidP="00C946B5">
      <w:pPr>
        <w:spacing w:line="360" w:lineRule="auto"/>
        <w:ind w:left="720" w:hanging="720"/>
        <w:jc w:val="both"/>
      </w:pPr>
      <w:r w:rsidRPr="00650AD3">
        <w:t>(e)</w:t>
      </w:r>
      <w:r w:rsidRPr="00650AD3">
        <w:tab/>
      </w:r>
      <w:r w:rsidR="00C23D10" w:rsidRPr="00650AD3">
        <w:t>The loan amounts would bear interest at the rate of 4.5% from the commencement date</w:t>
      </w:r>
      <w:r w:rsidR="001F5659" w:rsidRPr="00650AD3">
        <w:t>, being the date upon which the loan amount</w:t>
      </w:r>
      <w:r w:rsidR="00070623" w:rsidRPr="00650AD3">
        <w:t>s were</w:t>
      </w:r>
      <w:r w:rsidR="001F5659" w:rsidRPr="00650AD3">
        <w:t xml:space="preserve"> paid to the debtor, </w:t>
      </w:r>
      <w:r w:rsidR="00C23D10" w:rsidRPr="00650AD3">
        <w:t>until the capital sum had been paid in full</w:t>
      </w:r>
      <w:r w:rsidR="001F5659" w:rsidRPr="00650AD3">
        <w:t>.</w:t>
      </w:r>
    </w:p>
    <w:p w14:paraId="6D6C2ED9" w14:textId="7E43920E" w:rsidR="001F5659" w:rsidRPr="00650AD3" w:rsidRDefault="00C946B5" w:rsidP="00C946B5">
      <w:pPr>
        <w:spacing w:line="360" w:lineRule="auto"/>
        <w:ind w:left="720" w:hanging="720"/>
        <w:jc w:val="both"/>
      </w:pPr>
      <w:r w:rsidRPr="00650AD3">
        <w:t>(f)</w:t>
      </w:r>
      <w:r w:rsidRPr="00650AD3">
        <w:tab/>
      </w:r>
      <w:r w:rsidR="001F5659" w:rsidRPr="00650AD3">
        <w:t xml:space="preserve">The debtor failed to make payment to Business Zone and </w:t>
      </w:r>
      <w:r w:rsidR="00070623" w:rsidRPr="00650AD3">
        <w:t xml:space="preserve">accordingly </w:t>
      </w:r>
      <w:r w:rsidR="001F5659" w:rsidRPr="00650AD3">
        <w:t>‘the amounts loaned in terms of the Loan agreements and the addenda remained due and outstanding.’</w:t>
      </w:r>
    </w:p>
    <w:p w14:paraId="0735484D" w14:textId="36087035" w:rsidR="00C23D10" w:rsidRPr="00650AD3" w:rsidRDefault="00C946B5" w:rsidP="00C946B5">
      <w:pPr>
        <w:spacing w:line="360" w:lineRule="auto"/>
        <w:ind w:left="720" w:hanging="720"/>
        <w:jc w:val="both"/>
      </w:pPr>
      <w:r w:rsidRPr="00650AD3">
        <w:t>(g)</w:t>
      </w:r>
      <w:r w:rsidRPr="00650AD3">
        <w:tab/>
      </w:r>
      <w:r w:rsidR="00C23D10" w:rsidRPr="00650AD3">
        <w:t>In terms of a written deed of suretyship dated 16 April 2018 the respondent bound himself as surety and co-principal debtor for the repayment on demand of all or any such sum or sums of money which the debtor may from time</w:t>
      </w:r>
      <w:r w:rsidR="00876425" w:rsidRPr="00650AD3">
        <w:t xml:space="preserve"> to time</w:t>
      </w:r>
      <w:r w:rsidR="00C23D10" w:rsidRPr="00650AD3">
        <w:t xml:space="preserve"> owe</w:t>
      </w:r>
      <w:r w:rsidR="00070623" w:rsidRPr="00650AD3">
        <w:t>,</w:t>
      </w:r>
      <w:r w:rsidR="00C23D10" w:rsidRPr="00650AD3">
        <w:t xml:space="preserve"> or be indebted to the creditor, its successors or assigns in existence</w:t>
      </w:r>
      <w:r w:rsidR="001F5659" w:rsidRPr="00650AD3">
        <w:t>,</w:t>
      </w:r>
      <w:r w:rsidR="00C23D10" w:rsidRPr="00650AD3">
        <w:t xml:space="preserve"> or which may come into being in the future.</w:t>
      </w:r>
      <w:r w:rsidR="001F5659" w:rsidRPr="00650AD3">
        <w:rPr>
          <w:rStyle w:val="FootnoteReference"/>
        </w:rPr>
        <w:footnoteReference w:id="4"/>
      </w:r>
      <w:r w:rsidR="00C23D10" w:rsidRPr="00650AD3">
        <w:t xml:space="preserve"> The creditor is reflected in the suretyship as ‘The Business Zone 747 (Pty) Ltd (reg No: 2004/037286/23);</w:t>
      </w:r>
    </w:p>
    <w:p w14:paraId="22236EF7" w14:textId="0E240C8A" w:rsidR="00C23D10" w:rsidRPr="00650AD3" w:rsidRDefault="00C946B5" w:rsidP="00C946B5">
      <w:pPr>
        <w:spacing w:line="360" w:lineRule="auto"/>
        <w:ind w:left="720" w:hanging="720"/>
        <w:jc w:val="both"/>
      </w:pPr>
      <w:r w:rsidRPr="00650AD3">
        <w:lastRenderedPageBreak/>
        <w:t>(h)</w:t>
      </w:r>
      <w:r w:rsidRPr="00650AD3">
        <w:tab/>
      </w:r>
      <w:r w:rsidR="00C23D10" w:rsidRPr="00650AD3">
        <w:t>The following payments</w:t>
      </w:r>
      <w:r w:rsidR="001F5659" w:rsidRPr="00650AD3">
        <w:t>, totalling R1 453 785.75</w:t>
      </w:r>
      <w:r w:rsidR="00C23D10" w:rsidRPr="00650AD3">
        <w:t xml:space="preserve"> were </w:t>
      </w:r>
      <w:r w:rsidR="001F5659" w:rsidRPr="00650AD3">
        <w:t xml:space="preserve">received </w:t>
      </w:r>
      <w:r w:rsidR="00C23D10" w:rsidRPr="00650AD3">
        <w:t>in respect of the debtor’s indebtedness:</w:t>
      </w:r>
    </w:p>
    <w:p w14:paraId="4464CE06" w14:textId="653916F1" w:rsidR="00C23D10" w:rsidRPr="00650AD3" w:rsidRDefault="00C946B5" w:rsidP="00C946B5">
      <w:pPr>
        <w:spacing w:line="360" w:lineRule="auto"/>
        <w:ind w:left="1440" w:hanging="720"/>
        <w:jc w:val="both"/>
      </w:pPr>
      <w:r w:rsidRPr="00650AD3">
        <w:t>(i)</w:t>
      </w:r>
      <w:r w:rsidRPr="00650AD3">
        <w:tab/>
      </w:r>
      <w:r w:rsidR="00C23D10" w:rsidRPr="00650AD3">
        <w:t>R</w:t>
      </w:r>
      <w:r w:rsidR="001F5659" w:rsidRPr="00650AD3">
        <w:t>770 785</w:t>
      </w:r>
      <w:r w:rsidR="00980736" w:rsidRPr="00650AD3">
        <w:t>.</w:t>
      </w:r>
      <w:r w:rsidR="001F5659" w:rsidRPr="00650AD3">
        <w:t>75 on 24 November 2021;</w:t>
      </w:r>
      <w:r w:rsidR="00C23D10" w:rsidRPr="00650AD3">
        <w:t xml:space="preserve"> </w:t>
      </w:r>
    </w:p>
    <w:p w14:paraId="2C56C3CF" w14:textId="3AFA5536" w:rsidR="00AA28DC" w:rsidRPr="00650AD3" w:rsidRDefault="00C946B5" w:rsidP="00C946B5">
      <w:pPr>
        <w:spacing w:line="360" w:lineRule="auto"/>
        <w:ind w:left="1440" w:hanging="720"/>
        <w:jc w:val="both"/>
      </w:pPr>
      <w:r w:rsidRPr="00650AD3">
        <w:t>(ii)</w:t>
      </w:r>
      <w:r w:rsidRPr="00650AD3">
        <w:tab/>
      </w:r>
      <w:r w:rsidR="00AA28DC" w:rsidRPr="00650AD3">
        <w:t>R294 000 on 22 February 2022;</w:t>
      </w:r>
    </w:p>
    <w:p w14:paraId="321C4C6D" w14:textId="540D9BF4" w:rsidR="00AA28DC" w:rsidRPr="00650AD3" w:rsidRDefault="00C946B5" w:rsidP="00C946B5">
      <w:pPr>
        <w:spacing w:line="360" w:lineRule="auto"/>
        <w:ind w:left="1440" w:hanging="720"/>
        <w:jc w:val="both"/>
      </w:pPr>
      <w:r w:rsidRPr="00650AD3">
        <w:t>(iii)</w:t>
      </w:r>
      <w:r w:rsidRPr="00650AD3">
        <w:tab/>
      </w:r>
      <w:r w:rsidR="00AA28DC" w:rsidRPr="00650AD3">
        <w:t>R32 000 on 15 December 2021;</w:t>
      </w:r>
    </w:p>
    <w:p w14:paraId="36B63E73" w14:textId="2480023B" w:rsidR="00C23D10" w:rsidRPr="00650AD3" w:rsidRDefault="00C946B5" w:rsidP="00C946B5">
      <w:pPr>
        <w:spacing w:line="360" w:lineRule="auto"/>
        <w:ind w:left="1440" w:hanging="720"/>
        <w:jc w:val="both"/>
      </w:pPr>
      <w:r w:rsidRPr="00650AD3">
        <w:t>(iv)</w:t>
      </w:r>
      <w:r w:rsidRPr="00650AD3">
        <w:tab/>
      </w:r>
      <w:r w:rsidR="00C23D10" w:rsidRPr="00650AD3">
        <w:t>R</w:t>
      </w:r>
      <w:r w:rsidR="001F5659" w:rsidRPr="00650AD3">
        <w:t xml:space="preserve">357 000 on </w:t>
      </w:r>
      <w:r w:rsidR="00AA28DC" w:rsidRPr="00650AD3">
        <w:t>27 September 2022.</w:t>
      </w:r>
    </w:p>
    <w:p w14:paraId="56CB3700" w14:textId="61B7E59C" w:rsidR="00AA28DC" w:rsidRPr="00650AD3" w:rsidRDefault="00C946B5" w:rsidP="00C946B5">
      <w:pPr>
        <w:spacing w:line="360" w:lineRule="auto"/>
        <w:ind w:left="720" w:hanging="720"/>
        <w:jc w:val="both"/>
      </w:pPr>
      <w:r w:rsidRPr="00650AD3">
        <w:t>(i)</w:t>
      </w:r>
      <w:r w:rsidRPr="00650AD3">
        <w:tab/>
      </w:r>
      <w:r w:rsidR="00AA28DC" w:rsidRPr="00650AD3">
        <w:t xml:space="preserve">The difference between the amounts loaned and advanced </w:t>
      </w:r>
      <w:r w:rsidR="00070623" w:rsidRPr="00650AD3">
        <w:t>(</w:t>
      </w:r>
      <w:r w:rsidR="00AA28DC" w:rsidRPr="00650AD3">
        <w:t xml:space="preserve">R4 950 000) and the payments made (R1 453 785.75) </w:t>
      </w:r>
      <w:r w:rsidR="00070623" w:rsidRPr="00650AD3">
        <w:t>accordingly amounts to R</w:t>
      </w:r>
      <w:r w:rsidR="00AA28DC" w:rsidRPr="00650AD3">
        <w:t>3 496 214</w:t>
      </w:r>
      <w:r w:rsidR="00980736" w:rsidRPr="00650AD3">
        <w:t>.</w:t>
      </w:r>
      <w:r w:rsidR="00AA28DC" w:rsidRPr="00650AD3">
        <w:t>25</w:t>
      </w:r>
      <w:r w:rsidR="00450BB6">
        <w:t>, that being the amount claimed from the respondent</w:t>
      </w:r>
      <w:r w:rsidR="00AA28DC" w:rsidRPr="00650AD3">
        <w:t xml:space="preserve">. </w:t>
      </w:r>
    </w:p>
    <w:p w14:paraId="39122D05" w14:textId="7A1CBA3E" w:rsidR="00B65FC9" w:rsidRPr="00650AD3" w:rsidRDefault="00C946B5" w:rsidP="00C946B5">
      <w:pPr>
        <w:spacing w:line="360" w:lineRule="auto"/>
        <w:ind w:left="720" w:hanging="720"/>
        <w:jc w:val="both"/>
      </w:pPr>
      <w:r w:rsidRPr="00650AD3">
        <w:t>(j)</w:t>
      </w:r>
      <w:r w:rsidRPr="00650AD3">
        <w:tab/>
      </w:r>
      <w:r w:rsidR="00C23D10" w:rsidRPr="00650AD3">
        <w:t>The purpose of the application is alleged to be to seek ‘a money judgment order’ against the respondent in the amount of R3 496 214</w:t>
      </w:r>
      <w:r w:rsidR="00980736" w:rsidRPr="00650AD3">
        <w:t>.</w:t>
      </w:r>
      <w:r w:rsidR="00C23D10" w:rsidRPr="00650AD3">
        <w:t>25 ‘as per the certificate of balance . . . in accordance with the provisions of Clause 2 of the Suretyship and Guarantee signed in favour of the creditor by Dr Mehdy Zarrebini dated 16</w:t>
      </w:r>
      <w:r w:rsidR="00C23D10" w:rsidRPr="00C946B5">
        <w:rPr>
          <w:vertAlign w:val="superscript"/>
        </w:rPr>
        <w:t>th</w:t>
      </w:r>
      <w:r w:rsidR="00C23D10" w:rsidRPr="00650AD3">
        <w:t xml:space="preserve"> April 2018</w:t>
      </w:r>
      <w:r w:rsidR="00B65FC9" w:rsidRPr="00650AD3">
        <w:t>.</w:t>
      </w:r>
      <w:r w:rsidR="00C23D10" w:rsidRPr="00650AD3">
        <w:t xml:space="preserve">’  </w:t>
      </w:r>
    </w:p>
    <w:p w14:paraId="08868597" w14:textId="00A43B79" w:rsidR="00C23D10" w:rsidRPr="00650AD3" w:rsidRDefault="00C946B5" w:rsidP="00C946B5">
      <w:pPr>
        <w:spacing w:line="360" w:lineRule="auto"/>
        <w:ind w:left="720" w:hanging="720"/>
        <w:jc w:val="both"/>
      </w:pPr>
      <w:r w:rsidRPr="00650AD3">
        <w:t>(k)</w:t>
      </w:r>
      <w:r w:rsidRPr="00650AD3">
        <w:tab/>
      </w:r>
      <w:r w:rsidR="00C23D10" w:rsidRPr="00650AD3">
        <w:t>Th</w:t>
      </w:r>
      <w:r w:rsidR="00B65FC9" w:rsidRPr="00650AD3">
        <w:t>e certificate of balance comple</w:t>
      </w:r>
      <w:r w:rsidR="00C23D10" w:rsidRPr="00650AD3">
        <w:t>ted by Mr Buck and is dated 28 November 2022. It refers to clause 2 of the Suretyship and records:</w:t>
      </w:r>
    </w:p>
    <w:p w14:paraId="2BBFB418" w14:textId="12B407BC" w:rsidR="00C23D10" w:rsidRPr="00650AD3" w:rsidRDefault="00BD10B3" w:rsidP="00650AD3">
      <w:pPr>
        <w:pStyle w:val="ListParagraph"/>
        <w:spacing w:line="360" w:lineRule="auto"/>
        <w:ind w:hanging="720"/>
        <w:jc w:val="both"/>
        <w:rPr>
          <w:sz w:val="22"/>
          <w:szCs w:val="22"/>
        </w:rPr>
      </w:pPr>
      <w:r w:rsidRPr="00650AD3">
        <w:rPr>
          <w:sz w:val="22"/>
          <w:szCs w:val="22"/>
        </w:rPr>
        <w:tab/>
      </w:r>
      <w:r w:rsidR="00C23D10" w:rsidRPr="00650AD3">
        <w:rPr>
          <w:sz w:val="22"/>
          <w:szCs w:val="22"/>
        </w:rPr>
        <w:t xml:space="preserve">‘I hereby certify </w:t>
      </w:r>
      <w:r w:rsidR="001E4EBA" w:rsidRPr="00650AD3">
        <w:rPr>
          <w:sz w:val="22"/>
          <w:szCs w:val="22"/>
        </w:rPr>
        <w:t xml:space="preserve">as provided therein that the indebtedness of Van Dyck Carpets (Pty) Limited, the </w:t>
      </w:r>
      <w:r w:rsidR="00C23D10" w:rsidRPr="00650AD3">
        <w:rPr>
          <w:sz w:val="22"/>
          <w:szCs w:val="22"/>
        </w:rPr>
        <w:t xml:space="preserve">Debtor, as at the date hereof and in respect of </w:t>
      </w:r>
      <w:r w:rsidR="001E4EBA" w:rsidRPr="00650AD3">
        <w:rPr>
          <w:sz w:val="22"/>
          <w:szCs w:val="22"/>
        </w:rPr>
        <w:t>Capital only, is the sum of Three Million</w:t>
      </w:r>
      <w:r w:rsidR="00C23D10" w:rsidRPr="00650AD3">
        <w:rPr>
          <w:sz w:val="22"/>
          <w:szCs w:val="22"/>
        </w:rPr>
        <w:t xml:space="preserve">, Four Hundred and </w:t>
      </w:r>
      <w:r w:rsidR="001E4EBA" w:rsidRPr="00650AD3">
        <w:rPr>
          <w:sz w:val="22"/>
          <w:szCs w:val="22"/>
        </w:rPr>
        <w:t>Ninety-Six Thousand Rand</w:t>
      </w:r>
      <w:r w:rsidR="00AA28DC" w:rsidRPr="00650AD3">
        <w:rPr>
          <w:sz w:val="22"/>
          <w:szCs w:val="22"/>
        </w:rPr>
        <w:t>, Two Hundred and Fourteen Rand</w:t>
      </w:r>
      <w:r w:rsidR="001E4EBA" w:rsidRPr="00650AD3">
        <w:rPr>
          <w:sz w:val="22"/>
          <w:szCs w:val="22"/>
        </w:rPr>
        <w:t xml:space="preserve"> and Twenty-Five Cents (R3 496 214</w:t>
      </w:r>
      <w:r w:rsidR="00980736" w:rsidRPr="00650AD3">
        <w:rPr>
          <w:sz w:val="22"/>
          <w:szCs w:val="22"/>
        </w:rPr>
        <w:t>.</w:t>
      </w:r>
      <w:r w:rsidR="001E4EBA" w:rsidRPr="00650AD3">
        <w:rPr>
          <w:sz w:val="22"/>
          <w:szCs w:val="22"/>
        </w:rPr>
        <w:t xml:space="preserve">25) excluding interest and any other costs or fees to which the Creditor is entitled in terms of the Loan Agreements and the Suretyships.’ </w:t>
      </w:r>
    </w:p>
    <w:p w14:paraId="746CC612" w14:textId="19936FAD" w:rsidR="00C23D10" w:rsidRPr="00650AD3" w:rsidRDefault="00C946B5" w:rsidP="00C946B5">
      <w:pPr>
        <w:spacing w:line="360" w:lineRule="auto"/>
        <w:ind w:left="720" w:hanging="720"/>
        <w:jc w:val="both"/>
      </w:pPr>
      <w:r w:rsidRPr="00650AD3">
        <w:t>(l)</w:t>
      </w:r>
      <w:r w:rsidRPr="00650AD3">
        <w:tab/>
      </w:r>
      <w:r w:rsidR="00C23D10" w:rsidRPr="00650AD3">
        <w:t>Clause 2 of the Suretyship provides:</w:t>
      </w:r>
    </w:p>
    <w:p w14:paraId="5A3AF786" w14:textId="41B2DEAB" w:rsidR="00C23D10" w:rsidRPr="00650AD3" w:rsidRDefault="00C23D10" w:rsidP="00650AD3">
      <w:pPr>
        <w:pStyle w:val="ListParagraph"/>
        <w:spacing w:line="360" w:lineRule="auto"/>
        <w:jc w:val="both"/>
        <w:rPr>
          <w:sz w:val="22"/>
          <w:szCs w:val="22"/>
        </w:rPr>
      </w:pPr>
      <w:r w:rsidRPr="00650AD3">
        <w:t>‘</w:t>
      </w:r>
      <w:r w:rsidRPr="00650AD3">
        <w:rPr>
          <w:sz w:val="22"/>
        </w:rPr>
        <w:t>the indebtedness of the said DEBTOR to the said CREDITOR(S) shall at any time be determined and proved by written certificate of the said CREDITOR, and such certificate shall be binding on us and be conclusive proof of the amount of our indebtedness and will be valid as a liquid document against us in any competent Court</w:t>
      </w:r>
      <w:r w:rsidR="00B65FC9" w:rsidRPr="00650AD3">
        <w:rPr>
          <w:sz w:val="22"/>
        </w:rPr>
        <w:t>.’</w:t>
      </w:r>
    </w:p>
    <w:p w14:paraId="2336C10C" w14:textId="77777777" w:rsidR="00C23D10" w:rsidRPr="00650AD3" w:rsidRDefault="00C23D10" w:rsidP="00650AD3">
      <w:pPr>
        <w:spacing w:line="360" w:lineRule="auto"/>
        <w:jc w:val="both"/>
      </w:pPr>
    </w:p>
    <w:p w14:paraId="0698BC62" w14:textId="03B66B4A" w:rsidR="00C23D10" w:rsidRPr="00650AD3" w:rsidRDefault="00C946B5" w:rsidP="00C946B5">
      <w:pPr>
        <w:spacing w:line="360" w:lineRule="auto"/>
        <w:jc w:val="both"/>
      </w:pPr>
      <w:r w:rsidRPr="00650AD3">
        <w:rPr>
          <w:szCs w:val="24"/>
        </w:rPr>
        <w:t>[4]</w:t>
      </w:r>
      <w:r w:rsidRPr="00650AD3">
        <w:rPr>
          <w:szCs w:val="24"/>
        </w:rPr>
        <w:tab/>
      </w:r>
      <w:r w:rsidR="00B65FC9" w:rsidRPr="00650AD3">
        <w:t xml:space="preserve">Attached to the </w:t>
      </w:r>
      <w:r w:rsidR="00C23D10" w:rsidRPr="00650AD3">
        <w:t>answering affidavit of the respondent,</w:t>
      </w:r>
      <w:r w:rsidR="00B65FC9" w:rsidRPr="00650AD3">
        <w:t xml:space="preserve"> are two </w:t>
      </w:r>
      <w:r w:rsidR="00C23D10" w:rsidRPr="00650AD3">
        <w:t xml:space="preserve">extracts </w:t>
      </w:r>
      <w:r w:rsidR="00B65FC9" w:rsidRPr="00650AD3">
        <w:t xml:space="preserve">of records in </w:t>
      </w:r>
      <w:r w:rsidR="00C23D10" w:rsidRPr="00650AD3">
        <w:t xml:space="preserve">the offices of </w:t>
      </w:r>
      <w:r w:rsidR="00B65FC9" w:rsidRPr="00650AD3">
        <w:t xml:space="preserve">the </w:t>
      </w:r>
      <w:r w:rsidR="00F953C7" w:rsidRPr="00650AD3">
        <w:t>Companies and Intellectual Property Commission (</w:t>
      </w:r>
      <w:r w:rsidR="00C23D10" w:rsidRPr="00650AD3">
        <w:t>C</w:t>
      </w:r>
      <w:r w:rsidR="007C021C" w:rsidRPr="00650AD3">
        <w:t>IP</w:t>
      </w:r>
      <w:r w:rsidR="00C23D10" w:rsidRPr="00650AD3">
        <w:t>C</w:t>
      </w:r>
      <w:r w:rsidR="00F953C7" w:rsidRPr="00650AD3">
        <w:t>)</w:t>
      </w:r>
      <w:r w:rsidR="004E44D3" w:rsidRPr="00650AD3">
        <w:t>, marked Annexures ‘AA1’ and ‘AA2’</w:t>
      </w:r>
      <w:r w:rsidR="00B65FC9" w:rsidRPr="00650AD3">
        <w:t>, revealing the following</w:t>
      </w:r>
      <w:r w:rsidR="00C23D10" w:rsidRPr="00650AD3">
        <w:t>:</w:t>
      </w:r>
    </w:p>
    <w:p w14:paraId="2C7FB8F8" w14:textId="2142334A" w:rsidR="00C23D10" w:rsidRPr="00650AD3" w:rsidRDefault="00C946B5" w:rsidP="00C946B5">
      <w:pPr>
        <w:spacing w:line="360" w:lineRule="auto"/>
        <w:ind w:left="720" w:hanging="720"/>
        <w:jc w:val="both"/>
      </w:pPr>
      <w:r w:rsidRPr="00650AD3">
        <w:t>(a)</w:t>
      </w:r>
      <w:r w:rsidRPr="00650AD3">
        <w:tab/>
      </w:r>
      <w:r w:rsidR="00C23D10" w:rsidRPr="00650AD3">
        <w:t xml:space="preserve">The Business Zone 747 CC, </w:t>
      </w:r>
      <w:r w:rsidR="00B65FC9" w:rsidRPr="00650AD3">
        <w:t xml:space="preserve">a close corporation </w:t>
      </w:r>
      <w:r w:rsidR="00C23D10" w:rsidRPr="00650AD3">
        <w:t>regist</w:t>
      </w:r>
      <w:r w:rsidR="004E44D3" w:rsidRPr="00650AD3">
        <w:t xml:space="preserve">ered on </w:t>
      </w:r>
      <w:r w:rsidR="00C23D10" w:rsidRPr="00650AD3">
        <w:t xml:space="preserve">26 April 2004, was assigned registration number 2004/037286/23. It was converted to </w:t>
      </w:r>
      <w:r w:rsidR="009318D8" w:rsidRPr="00650AD3">
        <w:t xml:space="preserve">a </w:t>
      </w:r>
      <w:r w:rsidR="00C23D10" w:rsidRPr="00650AD3">
        <w:t xml:space="preserve">company </w:t>
      </w:r>
      <w:r w:rsidR="009318D8" w:rsidRPr="00650AD3">
        <w:t xml:space="preserve">with </w:t>
      </w:r>
      <w:r w:rsidR="00C23D10" w:rsidRPr="00650AD3">
        <w:lastRenderedPageBreak/>
        <w:t>number K2013094017. Its only active member was Leon Selwyn Centner</w:t>
      </w:r>
      <w:r w:rsidR="004E44D3" w:rsidRPr="00650AD3">
        <w:t>. Its status is reflected as ‘CONVERSION CO/CC OR CC</w:t>
      </w:r>
      <w:r w:rsidR="00B65FC9" w:rsidRPr="00650AD3">
        <w:t>/</w:t>
      </w:r>
      <w:r w:rsidR="004E44D3" w:rsidRPr="00650AD3">
        <w:t>CO’</w:t>
      </w:r>
      <w:r w:rsidR="00C23D10" w:rsidRPr="00650AD3">
        <w:t>;</w:t>
      </w:r>
      <w:r w:rsidR="004E44D3" w:rsidRPr="00650AD3">
        <w:rPr>
          <w:rStyle w:val="FootnoteReference"/>
        </w:rPr>
        <w:footnoteReference w:id="5"/>
      </w:r>
    </w:p>
    <w:p w14:paraId="6A916124" w14:textId="7CA29AB1" w:rsidR="00C23D10" w:rsidRPr="00650AD3" w:rsidRDefault="00C946B5" w:rsidP="00C946B5">
      <w:pPr>
        <w:spacing w:line="360" w:lineRule="auto"/>
        <w:ind w:left="720" w:hanging="720"/>
        <w:jc w:val="both"/>
      </w:pPr>
      <w:r w:rsidRPr="00650AD3">
        <w:t>(b)</w:t>
      </w:r>
      <w:r w:rsidRPr="00650AD3">
        <w:tab/>
      </w:r>
      <w:r w:rsidR="00C23D10" w:rsidRPr="00650AD3">
        <w:t>The Business Zone 747 (Pty) Ltd</w:t>
      </w:r>
      <w:r w:rsidR="004E44D3" w:rsidRPr="00650AD3">
        <w:t xml:space="preserve">, </w:t>
      </w:r>
      <w:r w:rsidR="00B65FC9" w:rsidRPr="00650AD3">
        <w:t xml:space="preserve">a private company </w:t>
      </w:r>
      <w:r w:rsidR="004E44D3" w:rsidRPr="00650AD3">
        <w:t xml:space="preserve">registered on </w:t>
      </w:r>
      <w:r w:rsidR="00C23D10" w:rsidRPr="00650AD3">
        <w:t>7 June 2013</w:t>
      </w:r>
      <w:r w:rsidR="00B65FC9" w:rsidRPr="00650AD3">
        <w:t>,</w:t>
      </w:r>
      <w:r w:rsidR="00C23D10" w:rsidRPr="00650AD3">
        <w:t xml:space="preserve"> was assigned registration number 2013/094017/07. Its status is reflected as being ‘IN BUSINESS’ and </w:t>
      </w:r>
      <w:r w:rsidR="004E44D3" w:rsidRPr="00650AD3">
        <w:t xml:space="preserve">that it was </w:t>
      </w:r>
      <w:r w:rsidR="00C23D10" w:rsidRPr="00650AD3">
        <w:t>converted from B2004037286</w:t>
      </w:r>
      <w:r w:rsidR="004E44D3" w:rsidRPr="00650AD3">
        <w:t xml:space="preserve">. Its only </w:t>
      </w:r>
      <w:r w:rsidR="00C23D10" w:rsidRPr="00650AD3">
        <w:t>director is Mr Buck.</w:t>
      </w:r>
      <w:r w:rsidR="004E44D3" w:rsidRPr="00650AD3">
        <w:rPr>
          <w:rStyle w:val="FootnoteReference"/>
        </w:rPr>
        <w:footnoteReference w:id="6"/>
      </w:r>
    </w:p>
    <w:p w14:paraId="6648A1C1" w14:textId="77777777" w:rsidR="00C23D10" w:rsidRPr="00650AD3" w:rsidRDefault="00C23D10" w:rsidP="00650AD3">
      <w:pPr>
        <w:pStyle w:val="ListParagraph"/>
        <w:spacing w:line="360" w:lineRule="auto"/>
        <w:jc w:val="both"/>
      </w:pPr>
    </w:p>
    <w:p w14:paraId="0B7256BD" w14:textId="56116BC5" w:rsidR="00C23D10" w:rsidRPr="00650AD3" w:rsidRDefault="00C946B5" w:rsidP="00C946B5">
      <w:pPr>
        <w:spacing w:line="360" w:lineRule="auto"/>
        <w:jc w:val="both"/>
      </w:pPr>
      <w:r w:rsidRPr="00650AD3">
        <w:rPr>
          <w:szCs w:val="24"/>
        </w:rPr>
        <w:t>[5]</w:t>
      </w:r>
      <w:r w:rsidRPr="00650AD3">
        <w:rPr>
          <w:szCs w:val="24"/>
        </w:rPr>
        <w:tab/>
      </w:r>
      <w:r w:rsidR="00C5554D" w:rsidRPr="00650AD3">
        <w:t>I</w:t>
      </w:r>
      <w:r w:rsidR="00C23D10" w:rsidRPr="00650AD3">
        <w:t>n the answering affidavit the respondent</w:t>
      </w:r>
      <w:r w:rsidR="00C5554D" w:rsidRPr="00650AD3">
        <w:t xml:space="preserve"> alleges that</w:t>
      </w:r>
      <w:r w:rsidR="00C23D10" w:rsidRPr="00650AD3">
        <w:t>:</w:t>
      </w:r>
    </w:p>
    <w:p w14:paraId="3C763A2C" w14:textId="755EEF5B" w:rsidR="00C23D10" w:rsidRPr="00650AD3" w:rsidRDefault="00C946B5" w:rsidP="00C946B5">
      <w:pPr>
        <w:spacing w:line="360" w:lineRule="auto"/>
        <w:ind w:left="720" w:hanging="720"/>
        <w:jc w:val="both"/>
      </w:pPr>
      <w:r w:rsidRPr="00650AD3">
        <w:t>(a)</w:t>
      </w:r>
      <w:r w:rsidRPr="00650AD3">
        <w:tab/>
      </w:r>
      <w:r w:rsidR="00C23D10" w:rsidRPr="00650AD3">
        <w:t xml:space="preserve">It is common knowledge that the reference number ‘23’ at the end of a registration number is only applicable to close corporations, whilst private companies bear </w:t>
      </w:r>
      <w:r w:rsidR="00B65FC9" w:rsidRPr="00650AD3">
        <w:t xml:space="preserve">the </w:t>
      </w:r>
      <w:r w:rsidR="00C23D10" w:rsidRPr="00650AD3">
        <w:t>reference number ‘7’;</w:t>
      </w:r>
    </w:p>
    <w:p w14:paraId="36543B97" w14:textId="60695592" w:rsidR="00C5554D" w:rsidRPr="00650AD3" w:rsidRDefault="00C946B5" w:rsidP="00C946B5">
      <w:pPr>
        <w:spacing w:line="360" w:lineRule="auto"/>
        <w:ind w:left="720" w:hanging="720"/>
        <w:jc w:val="both"/>
      </w:pPr>
      <w:r w:rsidRPr="00650AD3">
        <w:t>(b)</w:t>
      </w:r>
      <w:r w:rsidRPr="00650AD3">
        <w:tab/>
      </w:r>
      <w:r w:rsidR="00C5554D" w:rsidRPr="00650AD3">
        <w:t>A</w:t>
      </w:r>
      <w:r w:rsidR="00C23D10" w:rsidRPr="00650AD3">
        <w:t>t the time of entering into the loan and suretyship agreements an entity termed The Business Zone 747 (Pty) Ltd with registration number 2004/037286/23 could not have existed, nor could it have entered into any agreements as it had no legal standing whatsoever</w:t>
      </w:r>
      <w:r w:rsidR="004E44D3" w:rsidRPr="00650AD3">
        <w:t xml:space="preserve"> – that is a conclusion of law the respondent seeks to draw</w:t>
      </w:r>
      <w:r w:rsidR="00C23D10" w:rsidRPr="00650AD3">
        <w:t>;</w:t>
      </w:r>
      <w:r w:rsidR="00D60070" w:rsidRPr="00650AD3">
        <w:rPr>
          <w:rStyle w:val="FootnoteReference"/>
        </w:rPr>
        <w:footnoteReference w:id="7"/>
      </w:r>
    </w:p>
    <w:p w14:paraId="7D4DBB32" w14:textId="799F3034" w:rsidR="00C5554D" w:rsidRPr="00650AD3" w:rsidRDefault="00C946B5" w:rsidP="00C946B5">
      <w:pPr>
        <w:spacing w:line="360" w:lineRule="auto"/>
        <w:ind w:left="720" w:hanging="720"/>
        <w:jc w:val="both"/>
      </w:pPr>
      <w:r w:rsidRPr="00650AD3">
        <w:t>(c)</w:t>
      </w:r>
      <w:r w:rsidRPr="00650AD3">
        <w:tab/>
      </w:r>
      <w:r w:rsidR="00C5554D" w:rsidRPr="00650AD3">
        <w:t>Further that:</w:t>
      </w:r>
    </w:p>
    <w:p w14:paraId="7FEB3D50" w14:textId="24860473" w:rsidR="00C23D10" w:rsidRPr="00650AD3" w:rsidRDefault="00C23D10" w:rsidP="00650AD3">
      <w:pPr>
        <w:pStyle w:val="ListParagraph"/>
        <w:spacing w:line="360" w:lineRule="auto"/>
        <w:jc w:val="both"/>
      </w:pPr>
      <w:r w:rsidRPr="00650AD3">
        <w:rPr>
          <w:sz w:val="22"/>
          <w:szCs w:val="22"/>
        </w:rPr>
        <w:t>’24.7</w:t>
      </w:r>
      <w:r w:rsidRPr="00650AD3">
        <w:rPr>
          <w:sz w:val="22"/>
          <w:szCs w:val="22"/>
        </w:rPr>
        <w:tab/>
        <w:t xml:space="preserve">At all material times a conversion of a close corporation to a private company The Business Zone 747 with registration number 2013/09401/07 occurred </w:t>
      </w:r>
      <w:r w:rsidR="004E44D3" w:rsidRPr="00650AD3">
        <w:rPr>
          <w:sz w:val="22"/>
          <w:szCs w:val="22"/>
        </w:rPr>
        <w:t>as marked ‘AA2.’</w:t>
      </w:r>
      <w:r w:rsidRPr="00650AD3">
        <w:rPr>
          <w:sz w:val="22"/>
          <w:szCs w:val="22"/>
        </w:rPr>
        <w:t xml:space="preserve"> Such conversion could only have occurred as envisaged in item 2 of schedule 2 of the Companies Act No 71 of 2008. Respondent is advised that the provisions </w:t>
      </w:r>
      <w:r w:rsidR="004E44D3" w:rsidRPr="00650AD3">
        <w:rPr>
          <w:sz w:val="22"/>
          <w:szCs w:val="22"/>
        </w:rPr>
        <w:t>on</w:t>
      </w:r>
      <w:r w:rsidRPr="00650AD3">
        <w:rPr>
          <w:sz w:val="22"/>
          <w:szCs w:val="22"/>
        </w:rPr>
        <w:t xml:space="preserve"> conversion of a close corporation to a company are:</w:t>
      </w:r>
    </w:p>
    <w:p w14:paraId="7E9C2031" w14:textId="567F9961" w:rsidR="00C23D10" w:rsidRPr="00650AD3" w:rsidRDefault="00C23D10" w:rsidP="00650AD3">
      <w:pPr>
        <w:pStyle w:val="ListParagraph"/>
        <w:spacing w:line="360" w:lineRule="auto"/>
        <w:jc w:val="both"/>
        <w:rPr>
          <w:sz w:val="22"/>
          <w:szCs w:val="22"/>
        </w:rPr>
      </w:pPr>
      <w:r w:rsidRPr="00650AD3">
        <w:rPr>
          <w:sz w:val="22"/>
          <w:szCs w:val="22"/>
        </w:rPr>
        <w:t>24.7.1</w:t>
      </w:r>
      <w:r w:rsidRPr="00650AD3">
        <w:rPr>
          <w:sz w:val="22"/>
          <w:szCs w:val="22"/>
        </w:rPr>
        <w:tab/>
        <w:t>Every member of the close corporation must become a shareholder of the company</w:t>
      </w:r>
      <w:r w:rsidR="001A48AD" w:rsidRPr="00650AD3">
        <w:rPr>
          <w:rStyle w:val="FootnoteReference"/>
          <w:sz w:val="22"/>
          <w:szCs w:val="22"/>
        </w:rPr>
        <w:footnoteReference w:id="8"/>
      </w:r>
      <w:r w:rsidRPr="00650AD3">
        <w:rPr>
          <w:sz w:val="22"/>
          <w:szCs w:val="22"/>
        </w:rPr>
        <w:t xml:space="preserve"> – this has clearly not occurred;</w:t>
      </w:r>
    </w:p>
    <w:p w14:paraId="468BFB00" w14:textId="4FB28189" w:rsidR="00C23D10" w:rsidRPr="00650AD3" w:rsidRDefault="00C23D10" w:rsidP="00650AD3">
      <w:pPr>
        <w:pStyle w:val="ListParagraph"/>
        <w:spacing w:line="360" w:lineRule="auto"/>
        <w:jc w:val="both"/>
        <w:rPr>
          <w:sz w:val="22"/>
          <w:szCs w:val="22"/>
        </w:rPr>
      </w:pPr>
      <w:r w:rsidRPr="00650AD3">
        <w:rPr>
          <w:sz w:val="22"/>
          <w:szCs w:val="22"/>
        </w:rPr>
        <w:lastRenderedPageBreak/>
        <w:t>24.7.2 As per schedule 2, item 2 of the Companies Act, the shares to be held by the shareholders also need to be a proportion to the members interest held in the close corporation;</w:t>
      </w:r>
      <w:r w:rsidR="001A48AD" w:rsidRPr="00650AD3">
        <w:rPr>
          <w:rStyle w:val="FootnoteReference"/>
          <w:sz w:val="22"/>
          <w:szCs w:val="22"/>
        </w:rPr>
        <w:footnoteReference w:id="9"/>
      </w:r>
      <w:r w:rsidRPr="00650AD3">
        <w:rPr>
          <w:sz w:val="22"/>
          <w:szCs w:val="22"/>
        </w:rPr>
        <w:t xml:space="preserve"> – this clearly did not occur.</w:t>
      </w:r>
    </w:p>
    <w:p w14:paraId="03290AF1" w14:textId="1FE6907E" w:rsidR="00C23D10" w:rsidRPr="00650AD3" w:rsidRDefault="00C23D10" w:rsidP="00650AD3">
      <w:pPr>
        <w:pStyle w:val="ListParagraph"/>
        <w:spacing w:line="360" w:lineRule="auto"/>
        <w:jc w:val="both"/>
        <w:rPr>
          <w:sz w:val="22"/>
          <w:szCs w:val="22"/>
        </w:rPr>
      </w:pPr>
      <w:r w:rsidRPr="00650AD3">
        <w:rPr>
          <w:sz w:val="22"/>
          <w:szCs w:val="22"/>
        </w:rPr>
        <w:t>24.7.3 The juristic person that existed prior to conversion will exist in the form of a company;</w:t>
      </w:r>
      <w:r w:rsidR="001A48AD" w:rsidRPr="00650AD3">
        <w:rPr>
          <w:rStyle w:val="FootnoteReference"/>
          <w:sz w:val="22"/>
          <w:szCs w:val="22"/>
        </w:rPr>
        <w:footnoteReference w:id="10"/>
      </w:r>
    </w:p>
    <w:p w14:paraId="58956E28" w14:textId="74A55D31" w:rsidR="00C23D10" w:rsidRPr="00650AD3" w:rsidRDefault="00C23D10" w:rsidP="00650AD3">
      <w:pPr>
        <w:pStyle w:val="ListParagraph"/>
        <w:spacing w:line="360" w:lineRule="auto"/>
        <w:jc w:val="both"/>
        <w:rPr>
          <w:sz w:val="22"/>
          <w:szCs w:val="22"/>
        </w:rPr>
      </w:pPr>
      <w:r w:rsidRPr="00650AD3">
        <w:rPr>
          <w:sz w:val="22"/>
          <w:szCs w:val="22"/>
        </w:rPr>
        <w:t>24.7.4 All assets, liabilities, rights and obligations that vested in the close corporation or between the close corporation and its members, creditors or any third parties continue to exist.</w:t>
      </w:r>
      <w:r w:rsidR="001A48AD" w:rsidRPr="00650AD3">
        <w:rPr>
          <w:rStyle w:val="FootnoteReference"/>
          <w:sz w:val="22"/>
          <w:szCs w:val="22"/>
        </w:rPr>
        <w:footnoteReference w:id="11"/>
      </w:r>
    </w:p>
    <w:p w14:paraId="77AFCD9F" w14:textId="4F08CE7E" w:rsidR="00C23D10" w:rsidRPr="00650AD3" w:rsidRDefault="00C23D10" w:rsidP="00650AD3">
      <w:pPr>
        <w:pStyle w:val="ListParagraph"/>
        <w:spacing w:line="360" w:lineRule="auto"/>
        <w:jc w:val="both"/>
        <w:rPr>
          <w:sz w:val="22"/>
          <w:szCs w:val="22"/>
        </w:rPr>
      </w:pPr>
      <w:r w:rsidRPr="00650AD3">
        <w:rPr>
          <w:sz w:val="22"/>
          <w:szCs w:val="22"/>
        </w:rPr>
        <w:t>24.7.5  Subsequent to the conversion from a close corporation to a</w:t>
      </w:r>
      <w:r w:rsidR="001A48AD" w:rsidRPr="00650AD3">
        <w:rPr>
          <w:sz w:val="22"/>
          <w:szCs w:val="22"/>
        </w:rPr>
        <w:t xml:space="preserve"> </w:t>
      </w:r>
      <w:r w:rsidRPr="00650AD3">
        <w:rPr>
          <w:sz w:val="22"/>
          <w:szCs w:val="22"/>
        </w:rPr>
        <w:t>company the name of the company must be used after conversion on all the forms and dealings and as such the company needs to be sited and not the close corporation.</w:t>
      </w:r>
    </w:p>
    <w:p w14:paraId="2E703C7B" w14:textId="77777777" w:rsidR="00C23D10" w:rsidRPr="00650AD3" w:rsidRDefault="00C23D10" w:rsidP="00650AD3">
      <w:pPr>
        <w:pStyle w:val="ListParagraph"/>
        <w:spacing w:line="360" w:lineRule="auto"/>
        <w:jc w:val="both"/>
        <w:rPr>
          <w:sz w:val="22"/>
          <w:szCs w:val="22"/>
        </w:rPr>
      </w:pPr>
      <w:r w:rsidRPr="00650AD3">
        <w:rPr>
          <w:sz w:val="22"/>
          <w:szCs w:val="22"/>
        </w:rPr>
        <w:t xml:space="preserve">24.8 None of these facts were disclosed to Respondent at the time of signature of the suretyship. </w:t>
      </w:r>
    </w:p>
    <w:p w14:paraId="22CD0DEE" w14:textId="28C0CED4" w:rsidR="00C23D10" w:rsidRPr="00650AD3" w:rsidRDefault="00C23D10" w:rsidP="00650AD3">
      <w:pPr>
        <w:pStyle w:val="ListParagraph"/>
        <w:spacing w:line="360" w:lineRule="auto"/>
        <w:jc w:val="both"/>
        <w:rPr>
          <w:sz w:val="22"/>
          <w:szCs w:val="22"/>
        </w:rPr>
      </w:pPr>
      <w:r w:rsidRPr="00650AD3">
        <w:rPr>
          <w:sz w:val="22"/>
          <w:szCs w:val="22"/>
        </w:rPr>
        <w:t xml:space="preserve">24.9 It </w:t>
      </w:r>
      <w:r w:rsidR="00C5554D" w:rsidRPr="00650AD3">
        <w:rPr>
          <w:sz w:val="22"/>
          <w:szCs w:val="22"/>
        </w:rPr>
        <w:t>is</w:t>
      </w:r>
      <w:r w:rsidRPr="00650AD3">
        <w:rPr>
          <w:sz w:val="22"/>
          <w:szCs w:val="22"/>
        </w:rPr>
        <w:t xml:space="preserve"> contended that at the time of signing the suretyship, the entity recorded as the creditor did not exist resulting that the suretyship document did not comply with section 6 of the General Law Amendment Act, Act 50 of 1956 and as such the said agreement is void </w:t>
      </w:r>
      <w:r w:rsidRPr="00650AD3">
        <w:rPr>
          <w:i/>
          <w:iCs/>
          <w:sz w:val="22"/>
          <w:szCs w:val="22"/>
        </w:rPr>
        <w:t>ab initio</w:t>
      </w:r>
      <w:r w:rsidRPr="00650AD3">
        <w:rPr>
          <w:sz w:val="22"/>
          <w:szCs w:val="22"/>
        </w:rPr>
        <w:t xml:space="preserve"> as per the relief claimed in the counter application.</w:t>
      </w:r>
    </w:p>
    <w:p w14:paraId="2979F1A0" w14:textId="3AB93A12" w:rsidR="00C23D10" w:rsidRPr="00650AD3" w:rsidRDefault="00C23D10" w:rsidP="00650AD3">
      <w:pPr>
        <w:pStyle w:val="ListParagraph"/>
        <w:spacing w:line="360" w:lineRule="auto"/>
        <w:jc w:val="both"/>
        <w:rPr>
          <w:sz w:val="22"/>
          <w:szCs w:val="22"/>
        </w:rPr>
      </w:pPr>
      <w:r w:rsidRPr="00650AD3">
        <w:rPr>
          <w:sz w:val="22"/>
          <w:szCs w:val="22"/>
        </w:rPr>
        <w:t>24.10</w:t>
      </w:r>
      <w:r w:rsidRPr="00650AD3">
        <w:rPr>
          <w:sz w:val="22"/>
          <w:szCs w:val="22"/>
        </w:rPr>
        <w:tab/>
        <w:t xml:space="preserve">Respondent will thus seek relief that the suretyship agreement relied upon by the Applicant in respect of the Respondent be declared to be void </w:t>
      </w:r>
      <w:r w:rsidRPr="00650AD3">
        <w:rPr>
          <w:i/>
          <w:iCs/>
          <w:sz w:val="22"/>
          <w:szCs w:val="22"/>
        </w:rPr>
        <w:t>ab initio</w:t>
      </w:r>
      <w:r w:rsidRPr="00650AD3">
        <w:rPr>
          <w:sz w:val="22"/>
          <w:szCs w:val="22"/>
        </w:rPr>
        <w:t>.’</w:t>
      </w:r>
    </w:p>
    <w:p w14:paraId="2E80665B" w14:textId="77777777" w:rsidR="00DE062D" w:rsidRPr="00650AD3" w:rsidRDefault="00DE062D" w:rsidP="00650AD3">
      <w:pPr>
        <w:spacing w:line="360" w:lineRule="auto"/>
        <w:jc w:val="both"/>
      </w:pPr>
    </w:p>
    <w:p w14:paraId="7CB3CD85" w14:textId="29BE7587" w:rsidR="002975A9" w:rsidRPr="00650AD3" w:rsidRDefault="00C5554D" w:rsidP="00650AD3">
      <w:pPr>
        <w:spacing w:line="360" w:lineRule="auto"/>
        <w:jc w:val="both"/>
        <w:rPr>
          <w:b/>
          <w:bCs/>
        </w:rPr>
      </w:pPr>
      <w:r w:rsidRPr="00650AD3">
        <w:rPr>
          <w:b/>
          <w:bCs/>
        </w:rPr>
        <w:t>Discussion</w:t>
      </w:r>
    </w:p>
    <w:p w14:paraId="3924A045" w14:textId="6107D1A9" w:rsidR="00C23D10" w:rsidRPr="00650AD3" w:rsidRDefault="00C946B5" w:rsidP="00C946B5">
      <w:pPr>
        <w:spacing w:line="360" w:lineRule="auto"/>
        <w:jc w:val="both"/>
      </w:pPr>
      <w:r w:rsidRPr="00650AD3">
        <w:rPr>
          <w:szCs w:val="24"/>
        </w:rPr>
        <w:t>[6]</w:t>
      </w:r>
      <w:r w:rsidRPr="00650AD3">
        <w:rPr>
          <w:szCs w:val="24"/>
        </w:rPr>
        <w:tab/>
      </w:r>
      <w:r w:rsidR="00C5554D" w:rsidRPr="00650AD3">
        <w:t>A number of preliminary points were raised by the respondent</w:t>
      </w:r>
      <w:r w:rsidR="002975A9" w:rsidRPr="00650AD3">
        <w:t xml:space="preserve"> in opposition to the claim of Business Zone</w:t>
      </w:r>
      <w:r w:rsidR="00660126" w:rsidRPr="00650AD3">
        <w:t>. These relate to</w:t>
      </w:r>
      <w:r w:rsidR="00C5554D" w:rsidRPr="00650AD3">
        <w:t>:</w:t>
      </w:r>
    </w:p>
    <w:p w14:paraId="390AA65F" w14:textId="780B3547" w:rsidR="00C5554D" w:rsidRPr="00650AD3" w:rsidRDefault="00C946B5" w:rsidP="00C946B5">
      <w:pPr>
        <w:spacing w:line="360" w:lineRule="auto"/>
        <w:ind w:left="720" w:hanging="720"/>
        <w:jc w:val="both"/>
      </w:pPr>
      <w:r w:rsidRPr="00650AD3">
        <w:t>(a)</w:t>
      </w:r>
      <w:r w:rsidRPr="00650AD3">
        <w:tab/>
      </w:r>
      <w:r w:rsidR="002975A9" w:rsidRPr="00650AD3">
        <w:t xml:space="preserve">The identity of the applicant. This issue </w:t>
      </w:r>
      <w:r w:rsidR="007A7A22" w:rsidRPr="00650AD3">
        <w:t xml:space="preserve">raised a plethora of </w:t>
      </w:r>
      <w:r w:rsidR="002975A9" w:rsidRPr="00650AD3">
        <w:t xml:space="preserve">subsidiary issues including </w:t>
      </w:r>
      <w:r w:rsidR="005B65EE" w:rsidRPr="00650AD3">
        <w:t>inter alia</w:t>
      </w:r>
      <w:r w:rsidR="000E26E8">
        <w:t>:</w:t>
      </w:r>
      <w:r w:rsidR="005B65EE" w:rsidRPr="00650AD3">
        <w:t xml:space="preserve"> </w:t>
      </w:r>
      <w:r w:rsidR="002975A9" w:rsidRPr="00650AD3">
        <w:t>whether an entity ‘The Business Zone 747 (Pty) Ltd (registration number 2004</w:t>
      </w:r>
      <w:r w:rsidR="00D06048" w:rsidRPr="00650AD3">
        <w:t>/037286/23)</w:t>
      </w:r>
      <w:r w:rsidR="00E53B6A" w:rsidRPr="00650AD3">
        <w:t>’</w:t>
      </w:r>
      <w:r w:rsidR="00D06048" w:rsidRPr="00650AD3">
        <w:t xml:space="preserve"> </w:t>
      </w:r>
      <w:r w:rsidR="002975A9" w:rsidRPr="00650AD3">
        <w:t xml:space="preserve">exists </w:t>
      </w:r>
      <w:r w:rsidR="00D06048" w:rsidRPr="00650AD3">
        <w:t>and can</w:t>
      </w:r>
      <w:r w:rsidR="000E26E8">
        <w:t>, in law,</w:t>
      </w:r>
      <w:r w:rsidR="00D06048" w:rsidRPr="00650AD3">
        <w:t xml:space="preserve"> exist as the applicant</w:t>
      </w:r>
      <w:r w:rsidR="000E26E8">
        <w:t>;</w:t>
      </w:r>
      <w:r w:rsidR="00D06048" w:rsidRPr="00650AD3">
        <w:t xml:space="preserve"> </w:t>
      </w:r>
      <w:r w:rsidR="007A7A22" w:rsidRPr="00650AD3">
        <w:t>whether the applicant should have claimed rectification</w:t>
      </w:r>
      <w:r w:rsidR="00B65FC9" w:rsidRPr="00650AD3">
        <w:t xml:space="preserve"> of the </w:t>
      </w:r>
      <w:r w:rsidR="00B65FC9" w:rsidRPr="00650AD3">
        <w:lastRenderedPageBreak/>
        <w:t>registration number of Business Zone reflected in the various agreements and suretyship</w:t>
      </w:r>
      <w:r w:rsidR="000E26E8">
        <w:t>;</w:t>
      </w:r>
      <w:r w:rsidR="007A7A22" w:rsidRPr="00650AD3">
        <w:t xml:space="preserve"> </w:t>
      </w:r>
      <w:r w:rsidR="00D06048" w:rsidRPr="00650AD3">
        <w:t>whether the resolution by The Business Zone 747 (Pty) Ltd (registration number 2013/094017/07) could and has authorised the application by The Business Zone 747 (Pty) Ltd (registration number 2004/037286/23)</w:t>
      </w:r>
      <w:r w:rsidR="000E26E8">
        <w:t>;</w:t>
      </w:r>
      <w:r w:rsidR="00D06048" w:rsidRPr="00650AD3">
        <w:t xml:space="preserve"> and whether a valid and enforceable suretyship could come into existence if the creditor in the suretyship does not exist.</w:t>
      </w:r>
      <w:r w:rsidR="00D06048" w:rsidRPr="00650AD3">
        <w:rPr>
          <w:rStyle w:val="FootnoteReference"/>
        </w:rPr>
        <w:footnoteReference w:id="12"/>
      </w:r>
    </w:p>
    <w:p w14:paraId="6C1ADD73" w14:textId="08D49638" w:rsidR="00C5554D" w:rsidRPr="00650AD3" w:rsidRDefault="00C946B5" w:rsidP="00C946B5">
      <w:pPr>
        <w:spacing w:line="360" w:lineRule="auto"/>
        <w:ind w:left="720" w:hanging="720"/>
        <w:jc w:val="both"/>
      </w:pPr>
      <w:r w:rsidRPr="00650AD3">
        <w:t>(b)</w:t>
      </w:r>
      <w:r w:rsidRPr="00650AD3">
        <w:tab/>
      </w:r>
      <w:r w:rsidR="00D06048" w:rsidRPr="00650AD3">
        <w:t xml:space="preserve">The </w:t>
      </w:r>
      <w:r w:rsidR="000E26E8">
        <w:t xml:space="preserve">validity of the </w:t>
      </w:r>
      <w:r w:rsidR="00A22386" w:rsidRPr="00650AD3">
        <w:t>resolution</w:t>
      </w:r>
      <w:r w:rsidR="000E26E8">
        <w:t>,</w:t>
      </w:r>
      <w:r w:rsidR="00A22386" w:rsidRPr="00650AD3">
        <w:t xml:space="preserve"> and </w:t>
      </w:r>
      <w:r w:rsidR="00D06048" w:rsidRPr="00650AD3">
        <w:t>applicant’s choice of procedure in pursuing an application as opposed to an action</w:t>
      </w:r>
      <w:r w:rsidR="00A22386" w:rsidRPr="00650AD3">
        <w:t>. The respondent</w:t>
      </w:r>
      <w:r w:rsidR="00660126" w:rsidRPr="00650AD3">
        <w:t>’</w:t>
      </w:r>
      <w:r w:rsidR="00A22386" w:rsidRPr="00650AD3">
        <w:t xml:space="preserve">s contention is </w:t>
      </w:r>
      <w:r w:rsidR="00D06048" w:rsidRPr="00650AD3">
        <w:t>that the resolution authorised</w:t>
      </w:r>
      <w:r w:rsidR="00A22386" w:rsidRPr="00650AD3">
        <w:t xml:space="preserve"> Mr Buck to commence</w:t>
      </w:r>
      <w:r w:rsidR="00D06048" w:rsidRPr="00650AD3">
        <w:t xml:space="preserve"> an action and not application</w:t>
      </w:r>
      <w:r w:rsidR="00A22386" w:rsidRPr="00650AD3">
        <w:t xml:space="preserve">. Further, </w:t>
      </w:r>
      <w:r w:rsidR="00660126" w:rsidRPr="00650AD3">
        <w:t xml:space="preserve">he contends </w:t>
      </w:r>
      <w:r w:rsidR="00D06048" w:rsidRPr="00650AD3">
        <w:t xml:space="preserve">that there </w:t>
      </w:r>
      <w:r w:rsidR="00A22386" w:rsidRPr="00650AD3">
        <w:t xml:space="preserve">are </w:t>
      </w:r>
      <w:r w:rsidR="00D06048" w:rsidRPr="00650AD3">
        <w:t>material dispute</w:t>
      </w:r>
      <w:r w:rsidR="00A22386" w:rsidRPr="00650AD3">
        <w:t>s</w:t>
      </w:r>
      <w:r w:rsidR="00D06048" w:rsidRPr="00650AD3">
        <w:t xml:space="preserve"> of fact</w:t>
      </w:r>
      <w:r w:rsidR="00A22386" w:rsidRPr="00650AD3">
        <w:t>,</w:t>
      </w:r>
      <w:r w:rsidR="00D06048" w:rsidRPr="00650AD3">
        <w:t xml:space="preserve"> </w:t>
      </w:r>
      <w:r w:rsidR="00660126" w:rsidRPr="00650AD3">
        <w:t xml:space="preserve">the most significant being </w:t>
      </w:r>
      <w:r w:rsidR="00D06048" w:rsidRPr="00650AD3">
        <w:t xml:space="preserve">the discrepancy in the registration numbers 2004/037286/23 and 2013/094017/07 insofar as they </w:t>
      </w:r>
      <w:r w:rsidR="00A22386" w:rsidRPr="00650AD3">
        <w:t xml:space="preserve">are used in relation to </w:t>
      </w:r>
      <w:r w:rsidR="00D06048" w:rsidRPr="00650AD3">
        <w:t xml:space="preserve">the company, The Business Zone 747 (Pty) Ltd. </w:t>
      </w:r>
    </w:p>
    <w:p w14:paraId="2CFC8CA2" w14:textId="7DCDBDE9" w:rsidR="00C5554D" w:rsidRPr="00650AD3" w:rsidRDefault="00C946B5" w:rsidP="00C946B5">
      <w:pPr>
        <w:spacing w:line="360" w:lineRule="auto"/>
        <w:ind w:left="720" w:hanging="720"/>
        <w:jc w:val="both"/>
      </w:pPr>
      <w:r w:rsidRPr="00650AD3">
        <w:t>(c)</w:t>
      </w:r>
      <w:r w:rsidRPr="00650AD3">
        <w:tab/>
      </w:r>
      <w:r w:rsidR="007A7A22" w:rsidRPr="00650AD3">
        <w:t>The amount of the claim.</w:t>
      </w:r>
    </w:p>
    <w:p w14:paraId="2DA8A27B" w14:textId="5FBDAB8F" w:rsidR="00C5554D" w:rsidRPr="00650AD3" w:rsidRDefault="00C946B5" w:rsidP="00C946B5">
      <w:pPr>
        <w:spacing w:line="360" w:lineRule="auto"/>
        <w:ind w:left="720" w:hanging="720"/>
        <w:jc w:val="both"/>
      </w:pPr>
      <w:r w:rsidRPr="00650AD3">
        <w:t>(d)</w:t>
      </w:r>
      <w:r w:rsidRPr="00650AD3">
        <w:tab/>
      </w:r>
      <w:r w:rsidR="00660126" w:rsidRPr="00650AD3">
        <w:t>Alleged i</w:t>
      </w:r>
      <w:r w:rsidR="007A7A22" w:rsidRPr="00650AD3">
        <w:t>rregular interest calculations</w:t>
      </w:r>
      <w:r w:rsidR="00660126" w:rsidRPr="00650AD3">
        <w:t xml:space="preserve"> used in calculating the amount claimed</w:t>
      </w:r>
      <w:r w:rsidR="007A7A22" w:rsidRPr="00650AD3">
        <w:t>.</w:t>
      </w:r>
    </w:p>
    <w:p w14:paraId="560B09A2" w14:textId="40BD8272" w:rsidR="00C5554D" w:rsidRPr="00650AD3" w:rsidRDefault="00C5554D" w:rsidP="00650AD3">
      <w:pPr>
        <w:spacing w:line="360" w:lineRule="auto"/>
        <w:jc w:val="both"/>
      </w:pPr>
      <w:r w:rsidRPr="00650AD3">
        <w:t xml:space="preserve">These are considered </w:t>
      </w:r>
      <w:r w:rsidRPr="000E26E8">
        <w:rPr>
          <w:i/>
          <w:iCs/>
        </w:rPr>
        <w:t>seriatim</w:t>
      </w:r>
      <w:r w:rsidRPr="00650AD3">
        <w:t>.</w:t>
      </w:r>
    </w:p>
    <w:p w14:paraId="4D254F42" w14:textId="77777777" w:rsidR="00C23D10" w:rsidRPr="00650AD3" w:rsidRDefault="00C23D10" w:rsidP="00650AD3">
      <w:pPr>
        <w:spacing w:line="360" w:lineRule="auto"/>
        <w:jc w:val="both"/>
      </w:pPr>
    </w:p>
    <w:p w14:paraId="30543C2C" w14:textId="7236F676" w:rsidR="00B31127" w:rsidRPr="00650AD3" w:rsidRDefault="00B31127" w:rsidP="00650AD3">
      <w:pPr>
        <w:spacing w:line="360" w:lineRule="auto"/>
        <w:jc w:val="both"/>
        <w:rPr>
          <w:b/>
          <w:bCs/>
          <w:i/>
          <w:iCs/>
        </w:rPr>
      </w:pPr>
      <w:r w:rsidRPr="00650AD3">
        <w:rPr>
          <w:b/>
          <w:bCs/>
          <w:i/>
          <w:iCs/>
        </w:rPr>
        <w:t xml:space="preserve">The </w:t>
      </w:r>
      <w:r w:rsidR="002975A9" w:rsidRPr="00650AD3">
        <w:rPr>
          <w:b/>
          <w:bCs/>
          <w:i/>
          <w:iCs/>
        </w:rPr>
        <w:t xml:space="preserve">identity of the </w:t>
      </w:r>
      <w:r w:rsidRPr="00650AD3">
        <w:rPr>
          <w:b/>
          <w:bCs/>
          <w:i/>
          <w:iCs/>
        </w:rPr>
        <w:t>applicant</w:t>
      </w:r>
    </w:p>
    <w:p w14:paraId="2AB80F04" w14:textId="60CFEC62" w:rsidR="00BB64EF" w:rsidRPr="00650AD3" w:rsidRDefault="00C946B5" w:rsidP="00C946B5">
      <w:pPr>
        <w:spacing w:line="360" w:lineRule="auto"/>
        <w:jc w:val="both"/>
      </w:pPr>
      <w:r w:rsidRPr="00650AD3">
        <w:rPr>
          <w:szCs w:val="24"/>
        </w:rPr>
        <w:t>[7]</w:t>
      </w:r>
      <w:r w:rsidRPr="00650AD3">
        <w:rPr>
          <w:szCs w:val="24"/>
        </w:rPr>
        <w:tab/>
      </w:r>
      <w:r w:rsidR="00BB64EF" w:rsidRPr="00650AD3">
        <w:t>Section 6 of the General Law Amendment Act</w:t>
      </w:r>
      <w:r w:rsidR="005743EF" w:rsidRPr="00650AD3">
        <w:t xml:space="preserve"> 50 of 1956</w:t>
      </w:r>
      <w:r w:rsidR="00BB64EF" w:rsidRPr="00650AD3">
        <w:t xml:space="preserve"> stipulates that:</w:t>
      </w:r>
    </w:p>
    <w:p w14:paraId="72E6F59D" w14:textId="7B369E4E" w:rsidR="00BB64EF" w:rsidRPr="00650AD3" w:rsidRDefault="00BB64EF" w:rsidP="00650AD3">
      <w:pPr>
        <w:spacing w:line="360" w:lineRule="auto"/>
        <w:jc w:val="both"/>
        <w:rPr>
          <w:sz w:val="20"/>
          <w:szCs w:val="22"/>
        </w:rPr>
      </w:pPr>
      <w:r w:rsidRPr="00650AD3">
        <w:rPr>
          <w:sz w:val="22"/>
        </w:rPr>
        <w:t>‘</w:t>
      </w:r>
      <w:r w:rsidR="008F685F" w:rsidRPr="00650AD3">
        <w:rPr>
          <w:sz w:val="22"/>
        </w:rPr>
        <w:t>No contract of suretyship entered into after the commencement</w:t>
      </w:r>
      <w:r w:rsidR="008F685F" w:rsidRPr="00650AD3">
        <w:rPr>
          <w:rStyle w:val="FootnoteReference"/>
          <w:sz w:val="20"/>
          <w:szCs w:val="22"/>
        </w:rPr>
        <w:footnoteReference w:id="13"/>
      </w:r>
      <w:r w:rsidR="008F685F" w:rsidRPr="00650AD3">
        <w:rPr>
          <w:sz w:val="22"/>
        </w:rPr>
        <w:t xml:space="preserve"> of this Act, shall be valid, unless the terms thereof are embodied in a written document signed by or on behalf of the surety</w:t>
      </w:r>
      <w:r w:rsidR="008F685F" w:rsidRPr="00650AD3">
        <w:rPr>
          <w:sz w:val="20"/>
          <w:szCs w:val="22"/>
        </w:rPr>
        <w:t>.’</w:t>
      </w:r>
    </w:p>
    <w:p w14:paraId="645F3C74" w14:textId="0FD0B9F5" w:rsidR="00BB64EF" w:rsidRPr="000E26E8" w:rsidRDefault="000E26E8" w:rsidP="00650AD3">
      <w:pPr>
        <w:spacing w:line="360" w:lineRule="auto"/>
        <w:jc w:val="both"/>
        <w:rPr>
          <w:szCs w:val="24"/>
        </w:rPr>
      </w:pPr>
      <w:r w:rsidRPr="000E26E8">
        <w:rPr>
          <w:szCs w:val="24"/>
        </w:rPr>
        <w:t xml:space="preserve">The contract of suretyship is required to identify the creditor, </w:t>
      </w:r>
      <w:r>
        <w:rPr>
          <w:szCs w:val="24"/>
        </w:rPr>
        <w:t>debtor and surety.</w:t>
      </w:r>
    </w:p>
    <w:p w14:paraId="3E2E4107" w14:textId="77777777" w:rsidR="000E26E8" w:rsidRPr="00650AD3" w:rsidRDefault="000E26E8" w:rsidP="00650AD3">
      <w:pPr>
        <w:spacing w:line="360" w:lineRule="auto"/>
        <w:jc w:val="both"/>
        <w:rPr>
          <w:sz w:val="22"/>
          <w:szCs w:val="22"/>
        </w:rPr>
      </w:pPr>
    </w:p>
    <w:p w14:paraId="3D320C45" w14:textId="0357F7F4" w:rsidR="00DF3EE7" w:rsidRPr="00650AD3" w:rsidRDefault="00C946B5" w:rsidP="00C946B5">
      <w:pPr>
        <w:spacing w:line="360" w:lineRule="auto"/>
        <w:jc w:val="both"/>
      </w:pPr>
      <w:r w:rsidRPr="00650AD3">
        <w:rPr>
          <w:szCs w:val="24"/>
        </w:rPr>
        <w:t>[8]</w:t>
      </w:r>
      <w:r w:rsidRPr="00650AD3">
        <w:rPr>
          <w:szCs w:val="24"/>
        </w:rPr>
        <w:tab/>
      </w:r>
      <w:r w:rsidR="00B31127" w:rsidRPr="00650AD3">
        <w:t xml:space="preserve">The respondent contends that there are two corporate entities: The Business Zone 747 CC (registration no 2004/037286/23) and The Business Zone 747 (Pty) Ltd (registration number 2013/094017/07). He </w:t>
      </w:r>
      <w:r w:rsidR="00DF3EE7" w:rsidRPr="00650AD3">
        <w:t xml:space="preserve">further </w:t>
      </w:r>
      <w:r w:rsidR="00B31127" w:rsidRPr="00650AD3">
        <w:t xml:space="preserve">also alleges that when the loan agreements were concluded, and the suretyship was signed, there was no such entity as </w:t>
      </w:r>
      <w:r w:rsidR="00DF3EE7" w:rsidRPr="00650AD3">
        <w:t>‘</w:t>
      </w:r>
      <w:r w:rsidR="00B31127" w:rsidRPr="00650AD3">
        <w:t>The Business Zone 747 (Pty) Ltd (Registration No 2004/037286/23)</w:t>
      </w:r>
      <w:r w:rsidR="005B65EE" w:rsidRPr="00650AD3">
        <w:t xml:space="preserve">’, hence that </w:t>
      </w:r>
      <w:r w:rsidR="00660126" w:rsidRPr="00650AD3">
        <w:t xml:space="preserve">there </w:t>
      </w:r>
      <w:r w:rsidR="00660126" w:rsidRPr="00650AD3">
        <w:lastRenderedPageBreak/>
        <w:t xml:space="preserve">was no creditor in existence, and consequently that </w:t>
      </w:r>
      <w:r w:rsidR="005B65EE" w:rsidRPr="00650AD3">
        <w:t>the provisions of the General Law Amendment Act have not been complied with.</w:t>
      </w:r>
      <w:r w:rsidR="00B31127" w:rsidRPr="00650AD3">
        <w:t xml:space="preserve"> </w:t>
      </w:r>
    </w:p>
    <w:p w14:paraId="561FFABF" w14:textId="2EDBDAD2" w:rsidR="00DF3EE7" w:rsidRPr="00650AD3" w:rsidRDefault="00DF3EE7" w:rsidP="00650AD3">
      <w:pPr>
        <w:spacing w:line="360" w:lineRule="auto"/>
        <w:jc w:val="both"/>
      </w:pPr>
    </w:p>
    <w:p w14:paraId="3C2A9350" w14:textId="5564492C" w:rsidR="00A52869" w:rsidRPr="00650AD3" w:rsidRDefault="00C946B5" w:rsidP="00C946B5">
      <w:pPr>
        <w:spacing w:line="360" w:lineRule="auto"/>
        <w:jc w:val="both"/>
      </w:pPr>
      <w:r w:rsidRPr="00650AD3">
        <w:rPr>
          <w:szCs w:val="24"/>
        </w:rPr>
        <w:t>[9]</w:t>
      </w:r>
      <w:r w:rsidRPr="00650AD3">
        <w:rPr>
          <w:szCs w:val="24"/>
        </w:rPr>
        <w:tab/>
      </w:r>
      <w:r w:rsidR="00B31127" w:rsidRPr="00650AD3">
        <w:t xml:space="preserve">It is </w:t>
      </w:r>
      <w:r w:rsidR="00660126" w:rsidRPr="00650AD3">
        <w:t xml:space="preserve">clear </w:t>
      </w:r>
      <w:r w:rsidR="00B31127" w:rsidRPr="00650AD3">
        <w:t xml:space="preserve">from the </w:t>
      </w:r>
      <w:r w:rsidR="001E06B7" w:rsidRPr="00650AD3">
        <w:t xml:space="preserve">CIPC </w:t>
      </w:r>
      <w:r w:rsidR="00B31127" w:rsidRPr="00650AD3">
        <w:t>documents that the creditor to the suretyship is</w:t>
      </w:r>
      <w:r w:rsidR="005B65EE" w:rsidRPr="00650AD3">
        <w:t>,</w:t>
      </w:r>
      <w:r w:rsidR="00B31127" w:rsidRPr="00650AD3">
        <w:t xml:space="preserve"> and always has been one corporate entity only. It is </w:t>
      </w:r>
      <w:r w:rsidR="00DF3EE7" w:rsidRPr="00650AD3">
        <w:t xml:space="preserve">the corporate </w:t>
      </w:r>
      <w:r w:rsidR="000E26E8">
        <w:t xml:space="preserve">shell </w:t>
      </w:r>
      <w:r w:rsidR="00DF3EE7" w:rsidRPr="00650AD3">
        <w:t>currently registered under the name ‘</w:t>
      </w:r>
      <w:r w:rsidR="00B31127" w:rsidRPr="00650AD3">
        <w:t>The Business Zone 747 (Pty) Ltd</w:t>
      </w:r>
      <w:r w:rsidR="00DF3EE7" w:rsidRPr="00650AD3">
        <w:t>’</w:t>
      </w:r>
      <w:r w:rsidR="00B31127" w:rsidRPr="00650AD3">
        <w:t xml:space="preserve">, a private company, </w:t>
      </w:r>
      <w:r w:rsidR="00DF3EE7" w:rsidRPr="00650AD3">
        <w:t xml:space="preserve">which has been assigned </w:t>
      </w:r>
      <w:r w:rsidR="00B31127" w:rsidRPr="00650AD3">
        <w:t>registration number 2013/094017/07.</w:t>
      </w:r>
      <w:r w:rsidR="00DF3EE7" w:rsidRPr="00650AD3">
        <w:t xml:space="preserve"> Previously, and until </w:t>
      </w:r>
      <w:r w:rsidR="00660126" w:rsidRPr="00650AD3">
        <w:t xml:space="preserve">its </w:t>
      </w:r>
      <w:r w:rsidR="005B65EE" w:rsidRPr="00650AD3">
        <w:t xml:space="preserve">conversion registered on 7 June 2013, which was prior to the various loan agreements, addenda and the suretyship coming into existence, </w:t>
      </w:r>
      <w:r w:rsidR="00DF3EE7" w:rsidRPr="00650AD3">
        <w:t>it was a close corporation by the name of ‘The Business Zone 747 CC’, which ha</w:t>
      </w:r>
      <w:r w:rsidR="005B65EE" w:rsidRPr="00650AD3">
        <w:t>d</w:t>
      </w:r>
      <w:r w:rsidR="00DF3EE7" w:rsidRPr="00650AD3">
        <w:t xml:space="preserve"> been assigned registration number 2004/037286/23. The registration number 2004/037286/23 reflected under the name ‘The Business Zone 747 (Pty) Ltd’ is on the respondent’s own version clearly incorrect and simply a transposition of registration numbers. The corporate entity which the debtor and respondent bound and intended to bound themselves</w:t>
      </w:r>
      <w:r w:rsidR="009A0B6C" w:rsidRPr="00650AD3">
        <w:rPr>
          <w:rStyle w:val="FootnoteReference"/>
        </w:rPr>
        <w:footnoteReference w:id="14"/>
      </w:r>
      <w:r w:rsidR="00DF3EE7" w:rsidRPr="00650AD3">
        <w:t xml:space="preserve"> </w:t>
      </w:r>
      <w:r w:rsidR="00660126" w:rsidRPr="00650AD3">
        <w:t xml:space="preserve">to </w:t>
      </w:r>
      <w:r w:rsidR="00DF3EE7" w:rsidRPr="00650AD3">
        <w:t>is</w:t>
      </w:r>
      <w:r w:rsidR="000E26E8">
        <w:t>,</w:t>
      </w:r>
      <w:r w:rsidR="00DF3EE7" w:rsidRPr="00650AD3">
        <w:t xml:space="preserve"> </w:t>
      </w:r>
      <w:r w:rsidR="005B65EE" w:rsidRPr="00650AD3">
        <w:t>since 7 June 2013</w:t>
      </w:r>
      <w:r w:rsidR="00DF3EE7" w:rsidRPr="00650AD3">
        <w:t xml:space="preserve"> known as ‘The Business Zone 747 (Pty) Ltd’, and its correct registration number is 2013/094017/07. </w:t>
      </w:r>
      <w:r w:rsidR="00DA7C66" w:rsidRPr="00650AD3">
        <w:t xml:space="preserve">The legal position is therefore as </w:t>
      </w:r>
      <w:r w:rsidR="00660126" w:rsidRPr="00650AD3">
        <w:t xml:space="preserve">the respondent correctly states </w:t>
      </w:r>
      <w:r w:rsidR="00DA7C66" w:rsidRPr="00650AD3">
        <w:t xml:space="preserve">in </w:t>
      </w:r>
      <w:r w:rsidR="005B65EE" w:rsidRPr="00650AD3">
        <w:t xml:space="preserve">the </w:t>
      </w:r>
      <w:r w:rsidR="00660126" w:rsidRPr="00650AD3">
        <w:t xml:space="preserve">first two sentences </w:t>
      </w:r>
      <w:r w:rsidR="005B65EE" w:rsidRPr="00650AD3">
        <w:t xml:space="preserve">of </w:t>
      </w:r>
      <w:r w:rsidR="00DA7C66" w:rsidRPr="00650AD3">
        <w:t xml:space="preserve">paragraph </w:t>
      </w:r>
      <w:r w:rsidR="00AA3D0B" w:rsidRPr="00650AD3">
        <w:t xml:space="preserve">24.7 of the answering affidavit. </w:t>
      </w:r>
    </w:p>
    <w:p w14:paraId="07933E09" w14:textId="48D367D3" w:rsidR="00A52869" w:rsidRPr="00650AD3" w:rsidRDefault="00A52869" w:rsidP="00650AD3">
      <w:pPr>
        <w:spacing w:line="360" w:lineRule="auto"/>
        <w:jc w:val="both"/>
      </w:pPr>
    </w:p>
    <w:p w14:paraId="595246A4" w14:textId="41CFA11A" w:rsidR="00A52869" w:rsidRPr="00650AD3" w:rsidRDefault="00C946B5" w:rsidP="00C946B5">
      <w:pPr>
        <w:spacing w:line="360" w:lineRule="auto"/>
        <w:jc w:val="both"/>
      </w:pPr>
      <w:r w:rsidRPr="00650AD3">
        <w:rPr>
          <w:szCs w:val="24"/>
        </w:rPr>
        <w:t>[10]</w:t>
      </w:r>
      <w:r w:rsidRPr="00650AD3">
        <w:rPr>
          <w:szCs w:val="24"/>
        </w:rPr>
        <w:tab/>
      </w:r>
      <w:r w:rsidR="00A52869" w:rsidRPr="00650AD3">
        <w:t>N</w:t>
      </w:r>
      <w:r w:rsidR="00660126" w:rsidRPr="00650AD3">
        <w:t xml:space="preserve">o </w:t>
      </w:r>
      <w:r w:rsidR="00A52869" w:rsidRPr="00650AD3">
        <w:t>real dispute of fact arise</w:t>
      </w:r>
      <w:r w:rsidR="00660126" w:rsidRPr="00650AD3">
        <w:t>s</w:t>
      </w:r>
      <w:r w:rsidR="00A52869" w:rsidRPr="00650AD3">
        <w:t xml:space="preserve"> in regard </w:t>
      </w:r>
      <w:r w:rsidR="00660126" w:rsidRPr="00650AD3">
        <w:t xml:space="preserve">to what should be the correct registration number of The Business Zone 747 (Pty) Ltd, </w:t>
      </w:r>
      <w:r w:rsidR="00A52869" w:rsidRPr="00650AD3">
        <w:t>which cannot be resolved on the affidavits</w:t>
      </w:r>
      <w:r w:rsidR="00660126" w:rsidRPr="00650AD3">
        <w:t>.</w:t>
      </w:r>
      <w:r w:rsidR="00A52869" w:rsidRPr="00650AD3">
        <w:rPr>
          <w:rStyle w:val="FootnoteReference"/>
        </w:rPr>
        <w:footnoteReference w:id="15"/>
      </w:r>
      <w:r w:rsidR="00A52869" w:rsidRPr="00650AD3">
        <w:t xml:space="preserve"> </w:t>
      </w:r>
    </w:p>
    <w:p w14:paraId="2546AC38" w14:textId="77777777" w:rsidR="005B65EE" w:rsidRPr="00650AD3" w:rsidRDefault="005B65EE" w:rsidP="00650AD3">
      <w:pPr>
        <w:spacing w:line="360" w:lineRule="auto"/>
        <w:jc w:val="both"/>
      </w:pPr>
    </w:p>
    <w:p w14:paraId="2B9FA800" w14:textId="325A0070" w:rsidR="005B65EE" w:rsidRPr="00650AD3" w:rsidRDefault="00C946B5" w:rsidP="00C946B5">
      <w:pPr>
        <w:spacing w:line="360" w:lineRule="auto"/>
        <w:jc w:val="both"/>
      </w:pPr>
      <w:r w:rsidRPr="00650AD3">
        <w:rPr>
          <w:szCs w:val="24"/>
        </w:rPr>
        <w:t>[11]</w:t>
      </w:r>
      <w:r w:rsidRPr="00650AD3">
        <w:rPr>
          <w:szCs w:val="24"/>
        </w:rPr>
        <w:tab/>
      </w:r>
      <w:r w:rsidR="00AA3D0B" w:rsidRPr="00650AD3">
        <w:t xml:space="preserve">The respondent’s </w:t>
      </w:r>
      <w:r w:rsidR="00A52869" w:rsidRPr="00650AD3">
        <w:t>argu</w:t>
      </w:r>
      <w:r w:rsidR="00CD789A" w:rsidRPr="00650AD3">
        <w:t>ment</w:t>
      </w:r>
      <w:r w:rsidR="00A52869" w:rsidRPr="00650AD3">
        <w:t xml:space="preserve"> </w:t>
      </w:r>
      <w:r w:rsidR="00AA3D0B" w:rsidRPr="00650AD3">
        <w:t xml:space="preserve">that </w:t>
      </w:r>
      <w:r w:rsidR="00A52869" w:rsidRPr="00650AD3">
        <w:t xml:space="preserve">‘The Business Zone 747 (Pty) Ltd’, registration number 2013/094017/07 somehow did not come into existence </w:t>
      </w:r>
      <w:r w:rsidR="00AA3D0B" w:rsidRPr="00650AD3">
        <w:t xml:space="preserve">because Mr Centner, the sole member of </w:t>
      </w:r>
      <w:r w:rsidR="00A52869" w:rsidRPr="00650AD3">
        <w:t xml:space="preserve">‘The Business Zone 747 CC’ </w:t>
      </w:r>
      <w:r w:rsidR="00AA3D0B" w:rsidRPr="00650AD3">
        <w:t xml:space="preserve">had not become a shareholder of the company, is </w:t>
      </w:r>
      <w:r w:rsidR="000E26E8">
        <w:t xml:space="preserve">also </w:t>
      </w:r>
      <w:r w:rsidR="00AA3D0B" w:rsidRPr="00650AD3">
        <w:t>without merit. There is nothing to explain what happened to Mr Centner’s membership</w:t>
      </w:r>
      <w:r w:rsidR="00CD789A" w:rsidRPr="00650AD3">
        <w:t xml:space="preserve"> in the close corporation</w:t>
      </w:r>
      <w:r w:rsidR="00AA3D0B" w:rsidRPr="00650AD3">
        <w:t xml:space="preserve">. Shareholding in the private company is not reflected in the </w:t>
      </w:r>
      <w:r w:rsidR="00650AD3">
        <w:t>CIPC</w:t>
      </w:r>
      <w:r w:rsidR="00650AD3" w:rsidRPr="00650AD3">
        <w:t xml:space="preserve"> </w:t>
      </w:r>
      <w:r w:rsidR="00AA3D0B" w:rsidRPr="00650AD3">
        <w:t>records</w:t>
      </w:r>
      <w:r w:rsidR="00CD789A" w:rsidRPr="00650AD3">
        <w:t>. As to what happened to Mr Centner’s membership i</w:t>
      </w:r>
      <w:r w:rsidR="000E26E8">
        <w:t>s, in</w:t>
      </w:r>
      <w:r w:rsidR="00CD789A" w:rsidRPr="00650AD3">
        <w:t xml:space="preserve"> any event</w:t>
      </w:r>
      <w:r w:rsidR="000E26E8">
        <w:t xml:space="preserve">, </w:t>
      </w:r>
      <w:r w:rsidR="00CD789A" w:rsidRPr="00650AD3">
        <w:t xml:space="preserve">irrelevant. </w:t>
      </w:r>
      <w:r w:rsidR="005B65EE" w:rsidRPr="00650AD3">
        <w:t xml:space="preserve">Membership in </w:t>
      </w:r>
      <w:r w:rsidR="00CD789A" w:rsidRPr="00650AD3">
        <w:t>a</w:t>
      </w:r>
      <w:r w:rsidR="005B65EE" w:rsidRPr="00650AD3">
        <w:t xml:space="preserve"> close corporation </w:t>
      </w:r>
      <w:r w:rsidR="00CD789A" w:rsidRPr="00650AD3">
        <w:t xml:space="preserve">that is converted to a company </w:t>
      </w:r>
      <w:r w:rsidR="005B65EE" w:rsidRPr="00650AD3">
        <w:t xml:space="preserve">merely </w:t>
      </w:r>
      <w:r w:rsidR="005B65EE" w:rsidRPr="00650AD3">
        <w:lastRenderedPageBreak/>
        <w:t>creates an entitlement to become a shareholder</w:t>
      </w:r>
      <w:r w:rsidR="00CD789A" w:rsidRPr="00650AD3">
        <w:t xml:space="preserve"> on conversion</w:t>
      </w:r>
      <w:r w:rsidR="005B65EE" w:rsidRPr="00650AD3">
        <w:t xml:space="preserve">, but it does not mean that </w:t>
      </w:r>
      <w:r w:rsidR="00CD789A" w:rsidRPr="00650AD3">
        <w:t>Mr Centner</w:t>
      </w:r>
      <w:r w:rsidR="005B65EE" w:rsidRPr="00650AD3">
        <w:t xml:space="preserve"> had to become a shareholder. </w:t>
      </w:r>
      <w:r w:rsidR="00AA3D0B" w:rsidRPr="00650AD3">
        <w:t xml:space="preserve">The provision </w:t>
      </w:r>
      <w:r w:rsidR="005B65EE" w:rsidRPr="00650AD3">
        <w:t xml:space="preserve">in Schedule 2 to the Companies Act </w:t>
      </w:r>
      <w:r w:rsidR="00AA3D0B" w:rsidRPr="00650AD3">
        <w:t xml:space="preserve">on which the respondent relies is a regulatory provision and not a precondition to the conversion of a close corporation to a private company. </w:t>
      </w:r>
    </w:p>
    <w:p w14:paraId="26FCCFA2" w14:textId="77777777" w:rsidR="005B65EE" w:rsidRPr="00650AD3" w:rsidRDefault="005B65EE" w:rsidP="00650AD3">
      <w:pPr>
        <w:pStyle w:val="ListParagraph"/>
        <w:spacing w:line="360" w:lineRule="auto"/>
      </w:pPr>
    </w:p>
    <w:p w14:paraId="4FCA6AA6" w14:textId="4B5FB971" w:rsidR="00A52869" w:rsidRPr="00650AD3" w:rsidRDefault="00C946B5" w:rsidP="00C946B5">
      <w:pPr>
        <w:spacing w:line="360" w:lineRule="auto"/>
        <w:jc w:val="both"/>
      </w:pPr>
      <w:r w:rsidRPr="00650AD3">
        <w:rPr>
          <w:szCs w:val="24"/>
        </w:rPr>
        <w:t>[12]</w:t>
      </w:r>
      <w:r w:rsidRPr="00650AD3">
        <w:rPr>
          <w:szCs w:val="24"/>
        </w:rPr>
        <w:tab/>
      </w:r>
      <w:r w:rsidR="00A52869" w:rsidRPr="00650AD3">
        <w:t>The respondent knew that he was dealing with ‘The Business Zone 747 (Pty) Ltd’ when signing the suretyship</w:t>
      </w:r>
      <w:r w:rsidR="00CD789A" w:rsidRPr="00650AD3">
        <w:t xml:space="preserve">. He appended his signature to the suretyship intending to and </w:t>
      </w:r>
      <w:r w:rsidR="00A52869" w:rsidRPr="00650AD3">
        <w:t xml:space="preserve">granting the suretyship in favour of an existing corporate entity, not a non-existent </w:t>
      </w:r>
      <w:r w:rsidR="000E26E8">
        <w:t xml:space="preserve">juristic </w:t>
      </w:r>
      <w:r w:rsidR="00A52869" w:rsidRPr="00650AD3">
        <w:t>person</w:t>
      </w:r>
      <w:r w:rsidR="000E26E8">
        <w:t>a</w:t>
      </w:r>
      <w:r w:rsidR="00A52869" w:rsidRPr="00650AD3">
        <w:t xml:space="preserve">. Seizing on the </w:t>
      </w:r>
      <w:r w:rsidR="00CD789A" w:rsidRPr="00650AD3">
        <w:t xml:space="preserve">patent </w:t>
      </w:r>
      <w:r w:rsidR="00A52869" w:rsidRPr="00650AD3">
        <w:t>error regard</w:t>
      </w:r>
      <w:r w:rsidR="00CD789A" w:rsidRPr="00650AD3">
        <w:t xml:space="preserve">ing the incorrect </w:t>
      </w:r>
      <w:r w:rsidR="00A52869" w:rsidRPr="00650AD3">
        <w:t xml:space="preserve">registration number </w:t>
      </w:r>
      <w:r w:rsidR="000E26E8">
        <w:t xml:space="preserve">as a defence </w:t>
      </w:r>
      <w:r w:rsidR="00A52869" w:rsidRPr="00650AD3">
        <w:t xml:space="preserve">is opportunistic. The error in the registration number of ‘The Business Zone 747 (Pty) Ltd’ is </w:t>
      </w:r>
      <w:r w:rsidR="000E26E8">
        <w:t xml:space="preserve">furthermore </w:t>
      </w:r>
      <w:r w:rsidR="00A52869" w:rsidRPr="00650AD3">
        <w:t>not a mistake that induced the conclusion of the suretyship</w:t>
      </w:r>
      <w:r w:rsidR="00724B3B" w:rsidRPr="00650AD3">
        <w:t>.</w:t>
      </w:r>
      <w:r w:rsidR="00724B3B" w:rsidRPr="00650AD3">
        <w:rPr>
          <w:rStyle w:val="FootnoteReference"/>
        </w:rPr>
        <w:footnoteReference w:id="16"/>
      </w:r>
      <w:r w:rsidR="006B6DEE" w:rsidRPr="00650AD3">
        <w:t xml:space="preserve"> The respondent </w:t>
      </w:r>
      <w:r w:rsidR="00011AA1">
        <w:t xml:space="preserve">has been well able </w:t>
      </w:r>
      <w:r w:rsidR="006B6DEE" w:rsidRPr="00650AD3">
        <w:t>to recognize the connection of ‘The Business Zone 747 (Pty) Ltd’ with the claim</w:t>
      </w:r>
      <w:r w:rsidR="00D60070" w:rsidRPr="00650AD3">
        <w:rPr>
          <w:rStyle w:val="FootnoteReference"/>
        </w:rPr>
        <w:footnoteReference w:id="17"/>
      </w:r>
      <w:r w:rsidR="006B6DEE" w:rsidRPr="00650AD3">
        <w:t xml:space="preserve"> notwithstanding </w:t>
      </w:r>
      <w:r w:rsidR="00D60070" w:rsidRPr="00650AD3">
        <w:t xml:space="preserve">the incorrect registration number having been used in conjunction with its name. </w:t>
      </w:r>
    </w:p>
    <w:p w14:paraId="0E1A459A" w14:textId="127285F8" w:rsidR="00DF3EE7" w:rsidRPr="00650AD3" w:rsidRDefault="00DF3EE7" w:rsidP="00650AD3">
      <w:pPr>
        <w:spacing w:line="360" w:lineRule="auto"/>
        <w:jc w:val="both"/>
      </w:pPr>
    </w:p>
    <w:p w14:paraId="445E2DC0" w14:textId="631F85DF" w:rsidR="00094A58" w:rsidRPr="00650AD3" w:rsidRDefault="00C946B5" w:rsidP="00C946B5">
      <w:pPr>
        <w:spacing w:line="360" w:lineRule="auto"/>
        <w:jc w:val="both"/>
      </w:pPr>
      <w:r w:rsidRPr="00650AD3">
        <w:rPr>
          <w:szCs w:val="24"/>
        </w:rPr>
        <w:t>[13]</w:t>
      </w:r>
      <w:r w:rsidRPr="00650AD3">
        <w:rPr>
          <w:szCs w:val="24"/>
        </w:rPr>
        <w:tab/>
      </w:r>
      <w:r w:rsidR="00DF3EE7" w:rsidRPr="00650AD3">
        <w:t>There is further</w:t>
      </w:r>
      <w:r w:rsidR="00011AA1">
        <w:t>more</w:t>
      </w:r>
      <w:r w:rsidR="00DF3EE7" w:rsidRPr="00650AD3">
        <w:t xml:space="preserve"> no need for rectification. The registration number of ‘The Business Zone 747 (Pty) Ltd’, is not a material term of the loan agreements</w:t>
      </w:r>
      <w:r w:rsidR="00AA3D0B" w:rsidRPr="00650AD3">
        <w:t xml:space="preserve">. It is not a </w:t>
      </w:r>
      <w:r w:rsidR="00910241" w:rsidRPr="00650AD3">
        <w:t xml:space="preserve">legal </w:t>
      </w:r>
      <w:r w:rsidR="00AA3D0B" w:rsidRPr="00650AD3">
        <w:t>prerequisite for a company to reflect its registration number in all agreements it concludes.</w:t>
      </w:r>
      <w:r w:rsidR="00910241" w:rsidRPr="00650AD3">
        <w:rPr>
          <w:rStyle w:val="FootnoteReference"/>
        </w:rPr>
        <w:footnoteReference w:id="18"/>
      </w:r>
      <w:r w:rsidR="00AA3D0B" w:rsidRPr="00650AD3">
        <w:t xml:space="preserve"> </w:t>
      </w:r>
      <w:r w:rsidR="00CD789A" w:rsidRPr="00650AD3">
        <w:t xml:space="preserve">The identity of the creditor to which the respondent bound himself </w:t>
      </w:r>
      <w:r w:rsidR="00011AA1">
        <w:t xml:space="preserve">as surety </w:t>
      </w:r>
      <w:r w:rsidR="00CD789A" w:rsidRPr="00650AD3">
        <w:t>is clear.</w:t>
      </w:r>
    </w:p>
    <w:p w14:paraId="63733122" w14:textId="77777777" w:rsidR="00910241" w:rsidRPr="00650AD3" w:rsidRDefault="00910241" w:rsidP="00650AD3">
      <w:pPr>
        <w:spacing w:line="360" w:lineRule="auto"/>
        <w:jc w:val="both"/>
      </w:pPr>
    </w:p>
    <w:p w14:paraId="6F510DDE" w14:textId="1B172CD4" w:rsidR="00DF3EE7" w:rsidRDefault="00C946B5" w:rsidP="00C946B5">
      <w:pPr>
        <w:spacing w:line="360" w:lineRule="auto"/>
        <w:jc w:val="both"/>
      </w:pPr>
      <w:r>
        <w:rPr>
          <w:szCs w:val="24"/>
        </w:rPr>
        <w:t>[14]</w:t>
      </w:r>
      <w:r>
        <w:rPr>
          <w:szCs w:val="24"/>
        </w:rPr>
        <w:tab/>
      </w:r>
      <w:r w:rsidR="00CD789A" w:rsidRPr="00650AD3">
        <w:t xml:space="preserve">I conclude that the </w:t>
      </w:r>
      <w:r w:rsidR="00AA3D0B" w:rsidRPr="00650AD3">
        <w:t xml:space="preserve">issue of the incorrect registration number being reflected with the name ‘The Business Zone 747 (Pty) Ltd’, </w:t>
      </w:r>
      <w:r w:rsidR="002704FF" w:rsidRPr="00650AD3">
        <w:t xml:space="preserve">does not require any further attention: </w:t>
      </w:r>
      <w:r w:rsidR="00AA3D0B" w:rsidRPr="00650AD3">
        <w:t xml:space="preserve">it </w:t>
      </w:r>
      <w:r w:rsidR="002704FF" w:rsidRPr="00650AD3">
        <w:t xml:space="preserve">has </w:t>
      </w:r>
      <w:r w:rsidR="002704FF" w:rsidRPr="00650AD3">
        <w:lastRenderedPageBreak/>
        <w:t>become an undisputed fact on the test pr</w:t>
      </w:r>
      <w:r w:rsidR="006B6DEE" w:rsidRPr="00650AD3">
        <w:t>escribed</w:t>
      </w:r>
      <w:r w:rsidR="002704FF" w:rsidRPr="00650AD3">
        <w:t xml:space="preserve"> in </w:t>
      </w:r>
      <w:r w:rsidR="00DF3EE7" w:rsidRPr="00011AA1">
        <w:rPr>
          <w:i/>
          <w:iCs/>
        </w:rPr>
        <w:t>Plascon Evans</w:t>
      </w:r>
      <w:r w:rsidR="006B6DEE" w:rsidRPr="00650AD3">
        <w:t>,</w:t>
      </w:r>
      <w:r w:rsidR="00AA3D0B" w:rsidRPr="00650AD3">
        <w:t xml:space="preserve"> that the correct name and registration number of the </w:t>
      </w:r>
      <w:r w:rsidR="006B6DEE" w:rsidRPr="00650AD3">
        <w:t>applicant/</w:t>
      </w:r>
      <w:r w:rsidR="00AA3D0B" w:rsidRPr="00650AD3">
        <w:t>creditor in the loan agreements and suretyship are ‘The Business Zone 747 (Pty) Ltd’, registration number 2013/094017/07</w:t>
      </w:r>
      <w:r w:rsidR="006B6DEE" w:rsidRPr="00650AD3">
        <w:t xml:space="preserve">. Further, </w:t>
      </w:r>
      <w:r w:rsidR="00AA3D0B" w:rsidRPr="00650AD3">
        <w:t xml:space="preserve">the </w:t>
      </w:r>
      <w:r w:rsidR="00094A58" w:rsidRPr="00650AD3">
        <w:t xml:space="preserve">incorrect </w:t>
      </w:r>
      <w:r w:rsidR="00AA3D0B" w:rsidRPr="00650AD3">
        <w:t xml:space="preserve">reference to the registration number </w:t>
      </w:r>
      <w:r w:rsidR="00094A58" w:rsidRPr="00650AD3">
        <w:t xml:space="preserve">of ‘The Business Zone 747 (Pty) Ltd’, being 2004/037286/23, whereas it should be 2013/094017/07, </w:t>
      </w:r>
      <w:r w:rsidR="002704FF" w:rsidRPr="00650AD3">
        <w:t xml:space="preserve">does </w:t>
      </w:r>
      <w:r w:rsidR="00094A58" w:rsidRPr="00650AD3">
        <w:t xml:space="preserve">not </w:t>
      </w:r>
      <w:r w:rsidR="002704FF" w:rsidRPr="00650AD3">
        <w:t>give rise to a real factual dispute on a material issue.</w:t>
      </w:r>
      <w:r w:rsidR="002704FF" w:rsidRPr="00650AD3">
        <w:rPr>
          <w:rStyle w:val="FootnoteReference"/>
        </w:rPr>
        <w:footnoteReference w:id="19"/>
      </w:r>
      <w:r w:rsidR="00094A58" w:rsidRPr="00650AD3">
        <w:t xml:space="preserve"> </w:t>
      </w:r>
    </w:p>
    <w:p w14:paraId="7712A731" w14:textId="77777777" w:rsidR="00011AA1" w:rsidRPr="00650AD3" w:rsidRDefault="00011AA1" w:rsidP="00011AA1">
      <w:pPr>
        <w:spacing w:line="360" w:lineRule="auto"/>
        <w:jc w:val="both"/>
      </w:pPr>
    </w:p>
    <w:p w14:paraId="36D5690A" w14:textId="6DDEE57F" w:rsidR="00724B3B" w:rsidRPr="00650AD3" w:rsidRDefault="00C946B5" w:rsidP="00C946B5">
      <w:pPr>
        <w:spacing w:line="360" w:lineRule="auto"/>
        <w:jc w:val="both"/>
      </w:pPr>
      <w:r w:rsidRPr="00650AD3">
        <w:rPr>
          <w:szCs w:val="24"/>
        </w:rPr>
        <w:t>[15]</w:t>
      </w:r>
      <w:r w:rsidRPr="00650AD3">
        <w:rPr>
          <w:szCs w:val="24"/>
        </w:rPr>
        <w:tab/>
      </w:r>
      <w:r w:rsidR="00724B3B" w:rsidRPr="00650AD3">
        <w:t xml:space="preserve">The respondent’s ‘defence’ regarding the existence of the applicant and its citation is </w:t>
      </w:r>
      <w:r w:rsidR="00065A57" w:rsidRPr="00650AD3">
        <w:t xml:space="preserve">accordingly without </w:t>
      </w:r>
      <w:r w:rsidR="00724B3B" w:rsidRPr="00650AD3">
        <w:t xml:space="preserve">merit. </w:t>
      </w:r>
    </w:p>
    <w:p w14:paraId="2F06E6EA" w14:textId="77777777" w:rsidR="00724B3B" w:rsidRPr="00650AD3" w:rsidRDefault="00724B3B" w:rsidP="00650AD3">
      <w:pPr>
        <w:spacing w:line="360" w:lineRule="auto"/>
        <w:jc w:val="both"/>
      </w:pPr>
    </w:p>
    <w:p w14:paraId="0B8F42CB" w14:textId="2A1E7799" w:rsidR="002704FF" w:rsidRPr="00650AD3" w:rsidRDefault="00C946B5" w:rsidP="00C946B5">
      <w:pPr>
        <w:spacing w:line="360" w:lineRule="auto"/>
        <w:jc w:val="both"/>
      </w:pPr>
      <w:r w:rsidRPr="00650AD3">
        <w:rPr>
          <w:szCs w:val="24"/>
        </w:rPr>
        <w:t>[16]</w:t>
      </w:r>
      <w:r w:rsidRPr="00650AD3">
        <w:rPr>
          <w:szCs w:val="24"/>
        </w:rPr>
        <w:tab/>
      </w:r>
      <w:r w:rsidR="002704FF" w:rsidRPr="00650AD3">
        <w:t xml:space="preserve">That finding disposes of a number of </w:t>
      </w:r>
      <w:r w:rsidR="00094A58" w:rsidRPr="00650AD3">
        <w:t xml:space="preserve">further defences </w:t>
      </w:r>
      <w:r w:rsidR="002704FF" w:rsidRPr="00650AD3">
        <w:t xml:space="preserve">raised. The resolution on which Mr Buck relies, is correctly a resolution of ‘The Business Zone 747 (Pty) Ltd registration number 2013/094017/07,’ which is the proper applicant, creditor and lender. </w:t>
      </w:r>
    </w:p>
    <w:p w14:paraId="44296952" w14:textId="60067867" w:rsidR="002975A9" w:rsidRPr="00650AD3" w:rsidRDefault="002975A9" w:rsidP="00650AD3">
      <w:pPr>
        <w:spacing w:line="360" w:lineRule="auto"/>
        <w:jc w:val="both"/>
      </w:pPr>
    </w:p>
    <w:p w14:paraId="19853290" w14:textId="7669A7E9" w:rsidR="002975A9" w:rsidRPr="00650AD3" w:rsidRDefault="002975A9" w:rsidP="00650AD3">
      <w:pPr>
        <w:spacing w:line="360" w:lineRule="auto"/>
        <w:jc w:val="both"/>
        <w:rPr>
          <w:b/>
          <w:bCs/>
          <w:i/>
          <w:iCs/>
        </w:rPr>
      </w:pPr>
      <w:r w:rsidRPr="00650AD3">
        <w:rPr>
          <w:b/>
          <w:bCs/>
          <w:i/>
          <w:iCs/>
        </w:rPr>
        <w:t xml:space="preserve">The </w:t>
      </w:r>
      <w:r w:rsidR="00A22386" w:rsidRPr="00650AD3">
        <w:rPr>
          <w:b/>
          <w:bCs/>
          <w:i/>
          <w:iCs/>
        </w:rPr>
        <w:t xml:space="preserve">resolution and the </w:t>
      </w:r>
      <w:r w:rsidRPr="00650AD3">
        <w:rPr>
          <w:b/>
          <w:bCs/>
          <w:i/>
          <w:iCs/>
        </w:rPr>
        <w:t>applicant’s choice of procedure</w:t>
      </w:r>
    </w:p>
    <w:p w14:paraId="05605D27" w14:textId="7F02D125" w:rsidR="00065A57" w:rsidRPr="00650AD3" w:rsidRDefault="00C946B5" w:rsidP="00C946B5">
      <w:pPr>
        <w:spacing w:line="360" w:lineRule="auto"/>
        <w:jc w:val="both"/>
      </w:pPr>
      <w:r w:rsidRPr="00650AD3">
        <w:rPr>
          <w:szCs w:val="24"/>
        </w:rPr>
        <w:t>[17]</w:t>
      </w:r>
      <w:r w:rsidRPr="00650AD3">
        <w:rPr>
          <w:szCs w:val="24"/>
        </w:rPr>
        <w:tab/>
      </w:r>
      <w:r w:rsidR="002704FF" w:rsidRPr="00650AD3">
        <w:t xml:space="preserve">The respondent had also contended that the resolution authorised Mr Buck and the applicant’s attorney to </w:t>
      </w:r>
      <w:r w:rsidR="00011AA1">
        <w:t xml:space="preserve">only </w:t>
      </w:r>
      <w:r w:rsidR="002704FF" w:rsidRPr="00650AD3">
        <w:t xml:space="preserve">launch an action, as opposed to an application. </w:t>
      </w:r>
    </w:p>
    <w:p w14:paraId="741D955B" w14:textId="77777777" w:rsidR="00065A57" w:rsidRPr="00650AD3" w:rsidRDefault="00065A57" w:rsidP="00650AD3">
      <w:pPr>
        <w:spacing w:line="360" w:lineRule="auto"/>
        <w:jc w:val="both"/>
      </w:pPr>
    </w:p>
    <w:p w14:paraId="54165DC5" w14:textId="06E44A4B" w:rsidR="00D42BD6" w:rsidRPr="00650AD3" w:rsidRDefault="00C946B5" w:rsidP="00C946B5">
      <w:pPr>
        <w:spacing w:line="360" w:lineRule="auto"/>
        <w:jc w:val="both"/>
      </w:pPr>
      <w:r w:rsidRPr="00650AD3">
        <w:rPr>
          <w:szCs w:val="24"/>
        </w:rPr>
        <w:t>[18]</w:t>
      </w:r>
      <w:r w:rsidRPr="00650AD3">
        <w:rPr>
          <w:szCs w:val="24"/>
        </w:rPr>
        <w:tab/>
      </w:r>
      <w:r w:rsidR="002704FF" w:rsidRPr="00650AD3">
        <w:t xml:space="preserve">Even if the wording of the resolution on a strict interpretation might be confined to an ‘action’, Mr Buck is the sole director </w:t>
      </w:r>
      <w:r w:rsidR="00065A57" w:rsidRPr="00650AD3">
        <w:t xml:space="preserve">of The Business Zone 747 (Pty) Ltd registration number 2013/094017/07 </w:t>
      </w:r>
      <w:r w:rsidR="002704FF" w:rsidRPr="00650AD3">
        <w:t xml:space="preserve">and </w:t>
      </w:r>
      <w:r w:rsidR="00065A57" w:rsidRPr="00650AD3">
        <w:t xml:space="preserve">he </w:t>
      </w:r>
      <w:r w:rsidR="002704FF" w:rsidRPr="00650AD3">
        <w:t>signed the founding affidavit launching the application.</w:t>
      </w:r>
      <w:r w:rsidR="009E240A">
        <w:t xml:space="preserve"> </w:t>
      </w:r>
      <w:r w:rsidR="002704FF" w:rsidRPr="00650AD3">
        <w:t xml:space="preserve">It is difficult to think of a more appropriate mandate being exercised </w:t>
      </w:r>
      <w:r w:rsidR="00D42BD6" w:rsidRPr="00650AD3">
        <w:t xml:space="preserve">by a company </w:t>
      </w:r>
      <w:r w:rsidR="002704FF" w:rsidRPr="00650AD3">
        <w:t xml:space="preserve">than </w:t>
      </w:r>
      <w:r w:rsidR="00D42BD6" w:rsidRPr="00650AD3">
        <w:t xml:space="preserve">its </w:t>
      </w:r>
      <w:r w:rsidR="002704FF" w:rsidRPr="00650AD3">
        <w:t>managing and sole director</w:t>
      </w:r>
      <w:r w:rsidR="00D42BD6" w:rsidRPr="00650AD3">
        <w:t xml:space="preserve"> signing the founding affidavit prepared by the applicant’s attorneys launching a high court application. Wisely, the respondent’s counsel did not persist with this point.</w:t>
      </w:r>
    </w:p>
    <w:p w14:paraId="569FBBB9" w14:textId="55AB5E8C" w:rsidR="00BB64EF" w:rsidRPr="00650AD3" w:rsidRDefault="00BB64EF" w:rsidP="00650AD3">
      <w:pPr>
        <w:spacing w:line="360" w:lineRule="auto"/>
        <w:jc w:val="both"/>
      </w:pPr>
    </w:p>
    <w:p w14:paraId="791822DC" w14:textId="7618F1AD" w:rsidR="00D42BD6" w:rsidRPr="00650AD3" w:rsidRDefault="00BB64EF" w:rsidP="00650AD3">
      <w:pPr>
        <w:spacing w:line="360" w:lineRule="auto"/>
        <w:jc w:val="both"/>
        <w:rPr>
          <w:b/>
          <w:bCs/>
          <w:i/>
          <w:iCs/>
        </w:rPr>
      </w:pPr>
      <w:r w:rsidRPr="00650AD3">
        <w:rPr>
          <w:b/>
          <w:bCs/>
          <w:i/>
          <w:iCs/>
        </w:rPr>
        <w:t>The indebtedness of the respondent</w:t>
      </w:r>
    </w:p>
    <w:p w14:paraId="501969A1" w14:textId="65BFB735" w:rsidR="00065A57" w:rsidRPr="00650AD3" w:rsidRDefault="00C946B5" w:rsidP="00C946B5">
      <w:pPr>
        <w:spacing w:line="360" w:lineRule="auto"/>
        <w:jc w:val="both"/>
      </w:pPr>
      <w:r w:rsidRPr="00650AD3">
        <w:rPr>
          <w:szCs w:val="24"/>
        </w:rPr>
        <w:t>[19]</w:t>
      </w:r>
      <w:r w:rsidRPr="00650AD3">
        <w:rPr>
          <w:szCs w:val="24"/>
        </w:rPr>
        <w:tab/>
      </w:r>
      <w:r w:rsidR="00D42BD6" w:rsidRPr="00650AD3">
        <w:t xml:space="preserve">Essentially what </w:t>
      </w:r>
      <w:r w:rsidR="00065A57" w:rsidRPr="00650AD3">
        <w:t xml:space="preserve">remains to be considered is </w:t>
      </w:r>
      <w:r w:rsidR="00D42BD6" w:rsidRPr="00650AD3">
        <w:t xml:space="preserve">the respondent’s </w:t>
      </w:r>
      <w:r w:rsidR="00BB64EF" w:rsidRPr="00650AD3">
        <w:t xml:space="preserve">alleged indebtedness to the applicant. </w:t>
      </w:r>
    </w:p>
    <w:p w14:paraId="754D0675" w14:textId="77777777" w:rsidR="00065A57" w:rsidRPr="00650AD3" w:rsidRDefault="00065A57" w:rsidP="00650AD3">
      <w:pPr>
        <w:spacing w:line="360" w:lineRule="auto"/>
        <w:jc w:val="both"/>
      </w:pPr>
    </w:p>
    <w:p w14:paraId="37F064CE" w14:textId="3A7997C2" w:rsidR="00BB64EF" w:rsidRPr="00650AD3" w:rsidRDefault="00C946B5" w:rsidP="00C946B5">
      <w:pPr>
        <w:spacing w:line="360" w:lineRule="auto"/>
        <w:jc w:val="both"/>
      </w:pPr>
      <w:r w:rsidRPr="00650AD3">
        <w:rPr>
          <w:szCs w:val="24"/>
        </w:rPr>
        <w:lastRenderedPageBreak/>
        <w:t>[20]</w:t>
      </w:r>
      <w:r w:rsidRPr="00650AD3">
        <w:rPr>
          <w:szCs w:val="24"/>
        </w:rPr>
        <w:tab/>
      </w:r>
      <w:r w:rsidR="00BB64EF" w:rsidRPr="00650AD3">
        <w:t>The respondent contend</w:t>
      </w:r>
      <w:r w:rsidR="009A0B6C" w:rsidRPr="00650AD3">
        <w:t>s</w:t>
      </w:r>
      <w:r w:rsidR="00BB64EF" w:rsidRPr="00650AD3">
        <w:t xml:space="preserve"> that the </w:t>
      </w:r>
      <w:r w:rsidR="00D42BD6" w:rsidRPr="00650AD3">
        <w:t>applicant</w:t>
      </w:r>
      <w:r w:rsidR="00BB64EF" w:rsidRPr="00650AD3">
        <w:t xml:space="preserve"> could not rely on the </w:t>
      </w:r>
      <w:r w:rsidR="00D42BD6" w:rsidRPr="00650AD3">
        <w:t xml:space="preserve">certificate of balance as constituting conclusive proof. That point </w:t>
      </w:r>
      <w:r w:rsidR="00011AA1">
        <w:t xml:space="preserve">is </w:t>
      </w:r>
      <w:r w:rsidR="00D42BD6" w:rsidRPr="00650AD3">
        <w:t>well taken</w:t>
      </w:r>
      <w:r w:rsidR="00BB64EF" w:rsidRPr="00650AD3">
        <w:t xml:space="preserve">. The </w:t>
      </w:r>
      <w:r w:rsidR="00D42BD6" w:rsidRPr="00650AD3">
        <w:t xml:space="preserve">decision in </w:t>
      </w:r>
      <w:r w:rsidR="0042745E" w:rsidRPr="0042745E">
        <w:rPr>
          <w:i/>
          <w:iCs/>
        </w:rPr>
        <w:t>Ex Parte Minister of Justice: In re Nedbank Ltd v Abstein Distributors (Pty) Ltd</w:t>
      </w:r>
      <w:r w:rsidR="00BB64EF" w:rsidRPr="0042745E">
        <w:rPr>
          <w:rStyle w:val="FootnoteReference"/>
          <w:iCs/>
        </w:rPr>
        <w:footnoteReference w:id="20"/>
      </w:r>
      <w:r w:rsidR="00D42BD6" w:rsidRPr="0042745E">
        <w:t xml:space="preserve"> </w:t>
      </w:r>
      <w:r w:rsidR="00BB64EF" w:rsidRPr="00650AD3">
        <w:t>established that a</w:t>
      </w:r>
      <w:r w:rsidR="00D42BD6" w:rsidRPr="00650AD3">
        <w:t xml:space="preserve"> </w:t>
      </w:r>
      <w:r w:rsidR="00BB64EF" w:rsidRPr="00650AD3">
        <w:t xml:space="preserve">contractual </w:t>
      </w:r>
      <w:r w:rsidR="00D42BD6" w:rsidRPr="00650AD3">
        <w:t xml:space="preserve">provision that a certificate </w:t>
      </w:r>
      <w:r w:rsidR="009A0B6C" w:rsidRPr="00650AD3">
        <w:t xml:space="preserve">of balance </w:t>
      </w:r>
      <w:r w:rsidR="00D42BD6" w:rsidRPr="00650AD3">
        <w:t>emanating f</w:t>
      </w:r>
      <w:r w:rsidR="00BB64EF" w:rsidRPr="00650AD3">
        <w:t xml:space="preserve">rom </w:t>
      </w:r>
      <w:r w:rsidR="009A0B6C" w:rsidRPr="00650AD3">
        <w:t xml:space="preserve">a </w:t>
      </w:r>
      <w:r w:rsidR="00D42BD6" w:rsidRPr="00650AD3">
        <w:t xml:space="preserve">creditor </w:t>
      </w:r>
      <w:r w:rsidR="009A0B6C" w:rsidRPr="00650AD3">
        <w:t xml:space="preserve">unilaterally specifying the amount of an alleged debt due and providing that such certificate </w:t>
      </w:r>
      <w:r w:rsidR="00D42BD6" w:rsidRPr="00650AD3">
        <w:t xml:space="preserve">will constitute conclusive proof, is </w:t>
      </w:r>
      <w:r w:rsidR="00D42BD6" w:rsidRPr="00650AD3">
        <w:rPr>
          <w:i/>
          <w:iCs/>
        </w:rPr>
        <w:t>contra bonos mores</w:t>
      </w:r>
      <w:r w:rsidR="00D42BD6" w:rsidRPr="00650AD3">
        <w:t xml:space="preserve">. </w:t>
      </w:r>
      <w:r w:rsidR="00BB64EF" w:rsidRPr="00650AD3">
        <w:t xml:space="preserve">That is however not the end of the enquiry as regards the applicant’s claim. </w:t>
      </w:r>
    </w:p>
    <w:p w14:paraId="76B1F41F" w14:textId="77777777" w:rsidR="00BB64EF" w:rsidRPr="00650AD3" w:rsidRDefault="00BB64EF" w:rsidP="00650AD3">
      <w:pPr>
        <w:spacing w:line="360" w:lineRule="auto"/>
        <w:jc w:val="both"/>
      </w:pPr>
    </w:p>
    <w:p w14:paraId="4B024F1B" w14:textId="0032DDF4" w:rsidR="00065A57" w:rsidRPr="00650AD3" w:rsidRDefault="00C946B5" w:rsidP="00C946B5">
      <w:pPr>
        <w:spacing w:line="360" w:lineRule="auto"/>
        <w:jc w:val="both"/>
      </w:pPr>
      <w:r w:rsidRPr="00650AD3">
        <w:rPr>
          <w:szCs w:val="24"/>
        </w:rPr>
        <w:t>[21]</w:t>
      </w:r>
      <w:r w:rsidRPr="00650AD3">
        <w:rPr>
          <w:szCs w:val="24"/>
        </w:rPr>
        <w:tab/>
      </w:r>
      <w:r w:rsidR="00BB64EF" w:rsidRPr="00650AD3">
        <w:t>W</w:t>
      </w:r>
      <w:r w:rsidR="00D42BD6" w:rsidRPr="00650AD3">
        <w:t>hat the applicant s</w:t>
      </w:r>
      <w:r w:rsidR="00BB64EF" w:rsidRPr="00650AD3">
        <w:t xml:space="preserve">eeks is </w:t>
      </w:r>
      <w:r w:rsidR="00D42BD6" w:rsidRPr="00650AD3">
        <w:t>a judgment sounding in money in the sum of R3 496 214</w:t>
      </w:r>
      <w:r w:rsidR="005A7F62">
        <w:t>.</w:t>
      </w:r>
      <w:r w:rsidR="00D42BD6" w:rsidRPr="00650AD3">
        <w:t xml:space="preserve">25 </w:t>
      </w:r>
      <w:r w:rsidR="00011AA1">
        <w:t xml:space="preserve">as being </w:t>
      </w:r>
      <w:r w:rsidR="00D42BD6" w:rsidRPr="00650AD3">
        <w:t xml:space="preserve">the capital </w:t>
      </w:r>
      <w:r w:rsidR="00011AA1">
        <w:t xml:space="preserve">amount </w:t>
      </w:r>
      <w:r w:rsidR="00D42BD6" w:rsidRPr="00650AD3">
        <w:t xml:space="preserve">outstanding </w:t>
      </w:r>
      <w:r w:rsidR="00011AA1">
        <w:t xml:space="preserve">in respect of </w:t>
      </w:r>
      <w:r w:rsidR="00D42BD6" w:rsidRPr="00650AD3">
        <w:t>the written loan agreements</w:t>
      </w:r>
      <w:r w:rsidR="00BB64EF" w:rsidRPr="00650AD3">
        <w:t xml:space="preserve">. That is the primary </w:t>
      </w:r>
      <w:r w:rsidR="00D42BD6" w:rsidRPr="00650AD3">
        <w:t>obligation</w:t>
      </w:r>
      <w:r w:rsidR="00BB64EF" w:rsidRPr="00650AD3">
        <w:t xml:space="preserve"> it seeks to enforce. This judgement h</w:t>
      </w:r>
      <w:r w:rsidR="00D42BD6" w:rsidRPr="00650AD3">
        <w:t xml:space="preserve">as found that the </w:t>
      </w:r>
      <w:r w:rsidR="007A7A22" w:rsidRPr="00650AD3">
        <w:t xml:space="preserve">various </w:t>
      </w:r>
      <w:r w:rsidR="00D42BD6" w:rsidRPr="00650AD3">
        <w:t xml:space="preserve">agreements </w:t>
      </w:r>
      <w:r w:rsidR="00065A57" w:rsidRPr="00650AD3">
        <w:t xml:space="preserve">concluded with the applicant, </w:t>
      </w:r>
      <w:r w:rsidR="00D42BD6" w:rsidRPr="00650AD3">
        <w:t>were concluded validly</w:t>
      </w:r>
      <w:r w:rsidR="00065A57" w:rsidRPr="00650AD3">
        <w:t>.</w:t>
      </w:r>
      <w:r w:rsidR="007A7A22" w:rsidRPr="00650AD3">
        <w:t xml:space="preserve"> They are accordingly</w:t>
      </w:r>
      <w:r w:rsidR="00DA7C66" w:rsidRPr="00650AD3">
        <w:t xml:space="preserve">, </w:t>
      </w:r>
      <w:r w:rsidR="007A7A22" w:rsidRPr="00650AD3">
        <w:t>in the language employed by the respondent</w:t>
      </w:r>
      <w:r w:rsidR="00065A57" w:rsidRPr="00650AD3">
        <w:t xml:space="preserve"> in paragraph 24.1 of the answering affidavit</w:t>
      </w:r>
      <w:r w:rsidR="007A7A22" w:rsidRPr="00650AD3">
        <w:t xml:space="preserve">, </w:t>
      </w:r>
      <w:r w:rsidR="00DA7C66" w:rsidRPr="00650AD3">
        <w:t>‘deemed to be valid’. Accordingly, ‘the terms and conditions of each of the agreements or addendums . . .</w:t>
      </w:r>
      <w:r w:rsidR="007A7A22" w:rsidRPr="00650AD3">
        <w:t xml:space="preserve">[are] </w:t>
      </w:r>
      <w:r w:rsidR="00DA7C66" w:rsidRPr="00650AD3">
        <w:t>admitted</w:t>
      </w:r>
      <w:r w:rsidR="007A7A22" w:rsidRPr="00650AD3">
        <w:t xml:space="preserve">’ by the respondent. That </w:t>
      </w:r>
      <w:r w:rsidR="00065A57" w:rsidRPr="00650AD3">
        <w:t xml:space="preserve">admission </w:t>
      </w:r>
      <w:r w:rsidR="007A7A22" w:rsidRPr="00650AD3">
        <w:t xml:space="preserve">includes the </w:t>
      </w:r>
      <w:r w:rsidR="00DA7C66" w:rsidRPr="00650AD3">
        <w:t>amounts of the loans</w:t>
      </w:r>
      <w:r w:rsidR="00065A57" w:rsidRPr="00650AD3">
        <w:t>.</w:t>
      </w:r>
      <w:r w:rsidR="00DA7C66" w:rsidRPr="00650AD3">
        <w:t xml:space="preserve"> </w:t>
      </w:r>
    </w:p>
    <w:p w14:paraId="32A1A6BC" w14:textId="77777777" w:rsidR="00065A57" w:rsidRPr="00650AD3" w:rsidRDefault="00065A57" w:rsidP="00650AD3">
      <w:pPr>
        <w:pStyle w:val="ListParagraph"/>
        <w:spacing w:line="360" w:lineRule="auto"/>
      </w:pPr>
    </w:p>
    <w:p w14:paraId="195AC1EF" w14:textId="7F447469" w:rsidR="007A7A22" w:rsidRPr="00650AD3" w:rsidRDefault="00C946B5" w:rsidP="00C946B5">
      <w:pPr>
        <w:spacing w:line="360" w:lineRule="auto"/>
        <w:jc w:val="both"/>
      </w:pPr>
      <w:r w:rsidRPr="00650AD3">
        <w:rPr>
          <w:szCs w:val="24"/>
        </w:rPr>
        <w:t>[22]</w:t>
      </w:r>
      <w:r w:rsidRPr="00650AD3">
        <w:rPr>
          <w:szCs w:val="24"/>
        </w:rPr>
        <w:tab/>
      </w:r>
      <w:r w:rsidR="00DA7C66" w:rsidRPr="00650AD3">
        <w:t>The loans total R</w:t>
      </w:r>
      <w:r w:rsidR="007A7A22" w:rsidRPr="00650AD3">
        <w:t xml:space="preserve">4 950 000. </w:t>
      </w:r>
      <w:r w:rsidR="00DA7C66" w:rsidRPr="00650AD3">
        <w:t xml:space="preserve">The payments conceded by the applicant </w:t>
      </w:r>
      <w:r w:rsidR="007A7A22" w:rsidRPr="00650AD3">
        <w:t xml:space="preserve">to have been made </w:t>
      </w:r>
      <w:r w:rsidR="00DA7C66" w:rsidRPr="00650AD3">
        <w:t>in reduction of the total capital amount of the loans is R</w:t>
      </w:r>
      <w:r w:rsidR="007A7A22" w:rsidRPr="00650AD3">
        <w:t>1 453 785</w:t>
      </w:r>
      <w:r w:rsidR="00CC65BF">
        <w:t>.</w:t>
      </w:r>
      <w:r w:rsidR="007A7A22" w:rsidRPr="00650AD3">
        <w:t>75</w:t>
      </w:r>
      <w:r w:rsidR="00A22386" w:rsidRPr="00650AD3">
        <w:t>. The concessions favour the respondent. The balance remaining</w:t>
      </w:r>
      <w:r w:rsidR="00CC65BF">
        <w:t>,</w:t>
      </w:r>
      <w:r w:rsidR="00A22386" w:rsidRPr="00650AD3">
        <w:t xml:space="preserve"> due and owing </w:t>
      </w:r>
      <w:r w:rsidR="00065A57" w:rsidRPr="00650AD3">
        <w:t xml:space="preserve">after taking the payments into account, </w:t>
      </w:r>
      <w:r w:rsidR="00A22386" w:rsidRPr="00650AD3">
        <w:t xml:space="preserve">is </w:t>
      </w:r>
      <w:r w:rsidR="00DA7C66" w:rsidRPr="00650AD3">
        <w:t>R3 496 214</w:t>
      </w:r>
      <w:r w:rsidR="00CC65BF">
        <w:t>.</w:t>
      </w:r>
      <w:r w:rsidR="00DA7C66" w:rsidRPr="00650AD3">
        <w:t xml:space="preserve">25. The calculation of the judgment </w:t>
      </w:r>
      <w:r w:rsidR="007A7A22" w:rsidRPr="00650AD3">
        <w:t xml:space="preserve">debt </w:t>
      </w:r>
      <w:r w:rsidR="00DA7C66" w:rsidRPr="00650AD3">
        <w:t xml:space="preserve">is thus </w:t>
      </w:r>
      <w:r w:rsidR="007A7A22" w:rsidRPr="00650AD3">
        <w:t xml:space="preserve">established </w:t>
      </w:r>
      <w:r w:rsidR="00DA7C66" w:rsidRPr="00650AD3">
        <w:t xml:space="preserve">in the founding affidavit, albeit that it is not presented in a </w:t>
      </w:r>
      <w:r w:rsidR="007A7A22" w:rsidRPr="00650AD3">
        <w:t xml:space="preserve">separate </w:t>
      </w:r>
      <w:r w:rsidR="00DA7C66" w:rsidRPr="00650AD3">
        <w:t>schedule</w:t>
      </w:r>
      <w:r w:rsidR="007A7A22" w:rsidRPr="00650AD3">
        <w:t xml:space="preserve">. </w:t>
      </w:r>
      <w:r w:rsidR="00DA7C66" w:rsidRPr="00650AD3">
        <w:t>Th</w:t>
      </w:r>
      <w:r w:rsidR="009A0B6C" w:rsidRPr="00650AD3">
        <w:t xml:space="preserve">e facts emerging from the founding affidavit provide a basis, in no uncertain terms, as to how the </w:t>
      </w:r>
      <w:r w:rsidR="00DA7C66" w:rsidRPr="00650AD3">
        <w:t>amount claimed in the notice of motion</w:t>
      </w:r>
      <w:r w:rsidR="009A0B6C" w:rsidRPr="00650AD3">
        <w:t xml:space="preserve"> is calculated</w:t>
      </w:r>
      <w:r w:rsidR="00DA7C66" w:rsidRPr="00650AD3">
        <w:t xml:space="preserve">. </w:t>
      </w:r>
      <w:r w:rsidR="009A0B6C" w:rsidRPr="00650AD3">
        <w:t>The calculation of the claim can be established independent</w:t>
      </w:r>
      <w:r w:rsidR="00065A57" w:rsidRPr="00650AD3">
        <w:t>ly</w:t>
      </w:r>
      <w:r w:rsidR="009A0B6C" w:rsidRPr="00650AD3">
        <w:t xml:space="preserve"> of the certificate of balance. </w:t>
      </w:r>
      <w:r w:rsidR="00A22386" w:rsidRPr="00650AD3">
        <w:t>I am not persuaded that the respondent did not know what case he ha</w:t>
      </w:r>
      <w:r w:rsidR="00065A57" w:rsidRPr="00650AD3">
        <w:t>d</w:t>
      </w:r>
      <w:r w:rsidR="00A22386" w:rsidRPr="00650AD3">
        <w:t xml:space="preserve"> to meet, based on a holistic reading of the founding affidavit in its full context.</w:t>
      </w:r>
      <w:r w:rsidR="009A0B6C" w:rsidRPr="00650AD3">
        <w:t xml:space="preserve"> </w:t>
      </w:r>
    </w:p>
    <w:p w14:paraId="49CE9D67" w14:textId="77777777" w:rsidR="007A7A22" w:rsidRPr="00650AD3" w:rsidRDefault="007A7A22" w:rsidP="00650AD3">
      <w:pPr>
        <w:pStyle w:val="ListParagraph"/>
        <w:spacing w:line="360" w:lineRule="auto"/>
      </w:pPr>
    </w:p>
    <w:p w14:paraId="547B80D1" w14:textId="01784D91" w:rsidR="00DA7C66" w:rsidRPr="00650AD3" w:rsidRDefault="00C946B5" w:rsidP="00C946B5">
      <w:pPr>
        <w:spacing w:line="360" w:lineRule="auto"/>
        <w:jc w:val="both"/>
      </w:pPr>
      <w:r w:rsidRPr="00650AD3">
        <w:rPr>
          <w:szCs w:val="24"/>
        </w:rPr>
        <w:lastRenderedPageBreak/>
        <w:t>[23]</w:t>
      </w:r>
      <w:r w:rsidRPr="00650AD3">
        <w:rPr>
          <w:szCs w:val="24"/>
        </w:rPr>
        <w:tab/>
      </w:r>
      <w:r w:rsidR="00DA7C66" w:rsidRPr="00650AD3">
        <w:t>If the respondent contended that the amount should be less than the R3 496 214</w:t>
      </w:r>
      <w:r w:rsidR="00CC65BF">
        <w:t>.</w:t>
      </w:r>
      <w:r w:rsidR="00DA7C66" w:rsidRPr="00650AD3">
        <w:t xml:space="preserve">25, then the onus was on </w:t>
      </w:r>
      <w:r w:rsidR="00065A57" w:rsidRPr="00650AD3">
        <w:t>him</w:t>
      </w:r>
      <w:r w:rsidR="00DA7C66" w:rsidRPr="00650AD3">
        <w:t xml:space="preserve"> to prove any </w:t>
      </w:r>
      <w:r w:rsidR="00065A57" w:rsidRPr="00650AD3">
        <w:t xml:space="preserve">further </w:t>
      </w:r>
      <w:r w:rsidR="00DA7C66" w:rsidRPr="00650AD3">
        <w:t xml:space="preserve">payments </w:t>
      </w:r>
      <w:r w:rsidR="00065A57" w:rsidRPr="00650AD3">
        <w:t xml:space="preserve">that </w:t>
      </w:r>
      <w:r w:rsidR="00DA7C66" w:rsidRPr="00650AD3">
        <w:t>had been made in reduction of the capital amount.</w:t>
      </w:r>
      <w:r w:rsidR="00DA7C66" w:rsidRPr="00650AD3">
        <w:rPr>
          <w:rStyle w:val="FootnoteReference"/>
        </w:rPr>
        <w:footnoteReference w:id="21"/>
      </w:r>
      <w:r w:rsidR="00DA7C66" w:rsidRPr="00650AD3">
        <w:t xml:space="preserve">  </w:t>
      </w:r>
      <w:r w:rsidR="00011AA1">
        <w:t>He</w:t>
      </w:r>
      <w:r w:rsidR="00DA7C66" w:rsidRPr="00650AD3">
        <w:t xml:space="preserve"> has not done so. The fact that </w:t>
      </w:r>
      <w:r w:rsidR="00011AA1">
        <w:t>he</w:t>
      </w:r>
      <w:r w:rsidR="00DA7C66" w:rsidRPr="00650AD3">
        <w:t xml:space="preserve"> is a surety, as opposed to being the principal debtor,</w:t>
      </w:r>
      <w:r w:rsidR="00DA7C66" w:rsidRPr="00650AD3">
        <w:rPr>
          <w:rStyle w:val="FootnoteReference"/>
        </w:rPr>
        <w:footnoteReference w:id="22"/>
      </w:r>
      <w:r w:rsidR="00DA7C66" w:rsidRPr="00650AD3">
        <w:t xml:space="preserve"> does not change that </w:t>
      </w:r>
      <w:r w:rsidR="00011AA1">
        <w:t xml:space="preserve">legal </w:t>
      </w:r>
      <w:r w:rsidR="00DA7C66" w:rsidRPr="00650AD3">
        <w:t>position.</w:t>
      </w:r>
    </w:p>
    <w:p w14:paraId="7CAA8965" w14:textId="0F78BCA9" w:rsidR="00094A58" w:rsidRPr="00650AD3" w:rsidRDefault="00094A58" w:rsidP="00650AD3">
      <w:pPr>
        <w:spacing w:line="360" w:lineRule="auto"/>
        <w:jc w:val="both"/>
      </w:pPr>
    </w:p>
    <w:p w14:paraId="2999A543" w14:textId="09DF417F" w:rsidR="00094A58" w:rsidRPr="00650AD3" w:rsidRDefault="00094A58" w:rsidP="00650AD3">
      <w:pPr>
        <w:spacing w:line="360" w:lineRule="auto"/>
        <w:jc w:val="both"/>
        <w:rPr>
          <w:b/>
          <w:bCs/>
          <w:i/>
          <w:iCs/>
        </w:rPr>
      </w:pPr>
      <w:r w:rsidRPr="00650AD3">
        <w:rPr>
          <w:b/>
          <w:bCs/>
          <w:i/>
          <w:iCs/>
        </w:rPr>
        <w:t>Interest calculations</w:t>
      </w:r>
    </w:p>
    <w:p w14:paraId="1D72670F" w14:textId="4130A009" w:rsidR="007A7A22" w:rsidRPr="00650AD3" w:rsidRDefault="00C946B5" w:rsidP="00C946B5">
      <w:pPr>
        <w:spacing w:line="360" w:lineRule="auto"/>
        <w:jc w:val="both"/>
      </w:pPr>
      <w:r w:rsidRPr="00650AD3">
        <w:rPr>
          <w:szCs w:val="24"/>
        </w:rPr>
        <w:t>[24]</w:t>
      </w:r>
      <w:r w:rsidRPr="00650AD3">
        <w:rPr>
          <w:szCs w:val="24"/>
        </w:rPr>
        <w:tab/>
      </w:r>
      <w:r w:rsidR="00094A58" w:rsidRPr="00650AD3">
        <w:t xml:space="preserve">The respondent also contended that the interest </w:t>
      </w:r>
      <w:r w:rsidR="00011AA1">
        <w:t xml:space="preserve">was calculated </w:t>
      </w:r>
      <w:r w:rsidR="007A7A22" w:rsidRPr="00650AD3">
        <w:t>incorrect</w:t>
      </w:r>
      <w:r w:rsidR="00011AA1">
        <w:t>ly,</w:t>
      </w:r>
      <w:r w:rsidR="007A7A22" w:rsidRPr="00650AD3">
        <w:t xml:space="preserve"> or otherwise irregular</w:t>
      </w:r>
      <w:r w:rsidR="00011AA1">
        <w:t>ly</w:t>
      </w:r>
      <w:r w:rsidR="007A7A22" w:rsidRPr="00650AD3">
        <w:t xml:space="preserve">. </w:t>
      </w:r>
      <w:r w:rsidR="00094A58" w:rsidRPr="00650AD3">
        <w:t>This argument can be dismissed on two grounds. First, the respondent has failed to adduce any particularity of the alleged irregularity in the calculations. It was incumbent on the respondent, as the party alleging such irregularities</w:t>
      </w:r>
      <w:r w:rsidR="00011AA1">
        <w:t>,</w:t>
      </w:r>
      <w:r w:rsidR="00094A58" w:rsidRPr="00650AD3">
        <w:t xml:space="preserve"> to provide details thereof.</w:t>
      </w:r>
      <w:r w:rsidR="0062119A" w:rsidRPr="00650AD3">
        <w:rPr>
          <w:rStyle w:val="FootnoteReference"/>
        </w:rPr>
        <w:footnoteReference w:id="23"/>
      </w:r>
      <w:r w:rsidR="00094A58" w:rsidRPr="00650AD3">
        <w:t xml:space="preserve"> It failed to do so. Secondly, the amount claimed</w:t>
      </w:r>
      <w:r w:rsidR="007A7A22" w:rsidRPr="00650AD3">
        <w:t>, as shown above,</w:t>
      </w:r>
      <w:r w:rsidR="00094A58" w:rsidRPr="00650AD3">
        <w:t xml:space="preserve"> is in respect of the outstanding capital, and does not include </w:t>
      </w:r>
      <w:r w:rsidR="007A7A22" w:rsidRPr="00650AD3">
        <w:t xml:space="preserve">any </w:t>
      </w:r>
      <w:r w:rsidR="00094A58" w:rsidRPr="00650AD3">
        <w:t xml:space="preserve">interest. The amount claimed </w:t>
      </w:r>
      <w:r w:rsidR="007A7A22" w:rsidRPr="00650AD3">
        <w:t xml:space="preserve">therefore </w:t>
      </w:r>
      <w:r w:rsidR="00094A58" w:rsidRPr="00650AD3">
        <w:t>cannot possibly be contaminated by any alleged irregular interest calculations</w:t>
      </w:r>
      <w:r w:rsidR="007A7A22" w:rsidRPr="00650AD3">
        <w:t>, whatever these may be</w:t>
      </w:r>
      <w:r w:rsidR="00094A58" w:rsidRPr="00650AD3">
        <w:t>.</w:t>
      </w:r>
    </w:p>
    <w:p w14:paraId="165C73C8" w14:textId="53432967" w:rsidR="007A7A22" w:rsidRPr="00650AD3" w:rsidRDefault="007A7A22" w:rsidP="00650AD3">
      <w:pPr>
        <w:spacing w:line="360" w:lineRule="auto"/>
        <w:jc w:val="both"/>
      </w:pPr>
    </w:p>
    <w:p w14:paraId="3649E816" w14:textId="18E6733D" w:rsidR="007A7A22" w:rsidRPr="00650AD3" w:rsidRDefault="007A7A22" w:rsidP="00650AD3">
      <w:pPr>
        <w:spacing w:line="360" w:lineRule="auto"/>
        <w:jc w:val="both"/>
        <w:rPr>
          <w:b/>
          <w:bCs/>
        </w:rPr>
      </w:pPr>
      <w:r w:rsidRPr="00650AD3">
        <w:rPr>
          <w:b/>
          <w:bCs/>
        </w:rPr>
        <w:t>Conclusion</w:t>
      </w:r>
    </w:p>
    <w:p w14:paraId="5B793504" w14:textId="1903C887" w:rsidR="00DA7C66" w:rsidRPr="00650AD3" w:rsidRDefault="00C946B5" w:rsidP="00C946B5">
      <w:pPr>
        <w:spacing w:line="360" w:lineRule="auto"/>
        <w:jc w:val="both"/>
      </w:pPr>
      <w:r w:rsidRPr="00650AD3">
        <w:rPr>
          <w:szCs w:val="24"/>
        </w:rPr>
        <w:t>[25]</w:t>
      </w:r>
      <w:r w:rsidRPr="00650AD3">
        <w:rPr>
          <w:szCs w:val="24"/>
        </w:rPr>
        <w:tab/>
      </w:r>
      <w:r w:rsidR="007A7A22" w:rsidRPr="00650AD3">
        <w:t>I</w:t>
      </w:r>
      <w:r w:rsidR="005B65EE" w:rsidRPr="00650AD3">
        <w:t xml:space="preserve"> am satisfied on a perusal of the papers </w:t>
      </w:r>
      <w:r w:rsidR="00D60070" w:rsidRPr="00650AD3">
        <w:t>after weighing up all the evidence presented</w:t>
      </w:r>
      <w:r w:rsidR="00D60070" w:rsidRPr="00650AD3">
        <w:rPr>
          <w:rStyle w:val="FootnoteReference"/>
        </w:rPr>
        <w:footnoteReference w:id="24"/>
      </w:r>
      <w:r w:rsidR="00D60070" w:rsidRPr="00650AD3">
        <w:t xml:space="preserve"> </w:t>
      </w:r>
      <w:r w:rsidR="005B65EE" w:rsidRPr="00650AD3">
        <w:t xml:space="preserve">that the </w:t>
      </w:r>
      <w:r w:rsidR="007A7A22" w:rsidRPr="00650AD3">
        <w:t>applicant has proved its claim</w:t>
      </w:r>
      <w:r w:rsidR="005B65EE" w:rsidRPr="00650AD3">
        <w:t xml:space="preserve"> and that the respondent has not raised a valid defence to the relief prayed being granted</w:t>
      </w:r>
      <w:r w:rsidR="007A7A22" w:rsidRPr="00650AD3">
        <w:t>.</w:t>
      </w:r>
      <w:r w:rsidR="004056E7" w:rsidRPr="00650AD3">
        <w:t xml:space="preserve"> </w:t>
      </w:r>
    </w:p>
    <w:p w14:paraId="22D3167A" w14:textId="77777777" w:rsidR="00C54D10" w:rsidRPr="00650AD3" w:rsidRDefault="00C54D10" w:rsidP="00650AD3">
      <w:pPr>
        <w:spacing w:line="360" w:lineRule="auto"/>
        <w:jc w:val="both"/>
      </w:pPr>
    </w:p>
    <w:p w14:paraId="6AB8FB43" w14:textId="18111E23" w:rsidR="00DA7C66" w:rsidRPr="00650AD3" w:rsidRDefault="00DA7C66" w:rsidP="00650AD3">
      <w:pPr>
        <w:spacing w:line="360" w:lineRule="auto"/>
        <w:jc w:val="both"/>
        <w:rPr>
          <w:b/>
          <w:bCs/>
        </w:rPr>
      </w:pPr>
      <w:r w:rsidRPr="00650AD3">
        <w:rPr>
          <w:b/>
          <w:bCs/>
        </w:rPr>
        <w:t>Costs</w:t>
      </w:r>
    </w:p>
    <w:p w14:paraId="46A2CA55" w14:textId="337F6F40" w:rsidR="00DA7C66" w:rsidRPr="00650AD3" w:rsidRDefault="00C946B5" w:rsidP="00C946B5">
      <w:pPr>
        <w:spacing w:line="360" w:lineRule="auto"/>
        <w:jc w:val="both"/>
      </w:pPr>
      <w:r w:rsidRPr="00650AD3">
        <w:rPr>
          <w:szCs w:val="24"/>
        </w:rPr>
        <w:t>[26]</w:t>
      </w:r>
      <w:r w:rsidRPr="00650AD3">
        <w:rPr>
          <w:szCs w:val="24"/>
        </w:rPr>
        <w:tab/>
      </w:r>
      <w:r w:rsidR="00DA7C66" w:rsidRPr="00650AD3">
        <w:t>The applicant has been successful and is entitled to its costs.</w:t>
      </w:r>
    </w:p>
    <w:p w14:paraId="378A69B4" w14:textId="4E57D73D" w:rsidR="00DA7C66" w:rsidRPr="00650AD3" w:rsidRDefault="00DA7C66" w:rsidP="00650AD3">
      <w:pPr>
        <w:spacing w:line="360" w:lineRule="auto"/>
        <w:jc w:val="both"/>
      </w:pPr>
    </w:p>
    <w:p w14:paraId="7E2E471D" w14:textId="00F9EF24" w:rsidR="00DA7C66" w:rsidRPr="00650AD3" w:rsidRDefault="00DA7C66" w:rsidP="00650AD3">
      <w:pPr>
        <w:spacing w:line="360" w:lineRule="auto"/>
        <w:jc w:val="both"/>
        <w:rPr>
          <w:b/>
          <w:bCs/>
        </w:rPr>
      </w:pPr>
      <w:r w:rsidRPr="00650AD3">
        <w:rPr>
          <w:b/>
          <w:bCs/>
        </w:rPr>
        <w:t>Order</w:t>
      </w:r>
    </w:p>
    <w:p w14:paraId="58F06ECC" w14:textId="7EBCFE94" w:rsidR="00C54D10" w:rsidRPr="00650AD3" w:rsidRDefault="00C946B5" w:rsidP="00C946B5">
      <w:pPr>
        <w:spacing w:line="360" w:lineRule="auto"/>
        <w:jc w:val="both"/>
      </w:pPr>
      <w:r w:rsidRPr="00650AD3">
        <w:rPr>
          <w:szCs w:val="24"/>
        </w:rPr>
        <w:t>[27]</w:t>
      </w:r>
      <w:r w:rsidRPr="00650AD3">
        <w:rPr>
          <w:szCs w:val="24"/>
        </w:rPr>
        <w:tab/>
      </w:r>
      <w:r w:rsidR="00DA7C66" w:rsidRPr="00650AD3">
        <w:t>The following order is granted:</w:t>
      </w:r>
    </w:p>
    <w:p w14:paraId="1AD75B82" w14:textId="2DD27AC7" w:rsidR="00C54D10" w:rsidRPr="00C946B5" w:rsidRDefault="00C946B5" w:rsidP="00C946B5">
      <w:pPr>
        <w:spacing w:line="360" w:lineRule="auto"/>
        <w:ind w:left="1080" w:hanging="720"/>
        <w:jc w:val="both"/>
        <w:rPr>
          <w:szCs w:val="24"/>
        </w:rPr>
      </w:pPr>
      <w:r w:rsidRPr="00B90881">
        <w:rPr>
          <w:szCs w:val="24"/>
        </w:rPr>
        <w:t>1.</w:t>
      </w:r>
      <w:r w:rsidRPr="00B90881">
        <w:rPr>
          <w:szCs w:val="24"/>
        </w:rPr>
        <w:tab/>
      </w:r>
      <w:r w:rsidR="00C54D10" w:rsidRPr="00C946B5">
        <w:rPr>
          <w:szCs w:val="24"/>
        </w:rPr>
        <w:t>The respondent is ordered to pay to the applicant the amount of R3 496 214</w:t>
      </w:r>
      <w:r w:rsidR="00B90881" w:rsidRPr="00C946B5">
        <w:rPr>
          <w:szCs w:val="24"/>
        </w:rPr>
        <w:t>.</w:t>
      </w:r>
      <w:r w:rsidR="00C54D10" w:rsidRPr="00C946B5">
        <w:rPr>
          <w:szCs w:val="24"/>
        </w:rPr>
        <w:t>25.</w:t>
      </w:r>
    </w:p>
    <w:p w14:paraId="52DE4412" w14:textId="0CD4A497" w:rsidR="00C54D10" w:rsidRPr="00C946B5" w:rsidRDefault="00C946B5" w:rsidP="00C946B5">
      <w:pPr>
        <w:spacing w:line="360" w:lineRule="auto"/>
        <w:ind w:left="1080" w:hanging="720"/>
        <w:jc w:val="both"/>
        <w:rPr>
          <w:szCs w:val="24"/>
        </w:rPr>
      </w:pPr>
      <w:r w:rsidRPr="00B90881">
        <w:rPr>
          <w:szCs w:val="24"/>
        </w:rPr>
        <w:lastRenderedPageBreak/>
        <w:t>2.</w:t>
      </w:r>
      <w:r w:rsidRPr="00B90881">
        <w:rPr>
          <w:szCs w:val="24"/>
        </w:rPr>
        <w:tab/>
      </w:r>
      <w:r w:rsidR="00C54D10" w:rsidRPr="00C946B5">
        <w:rPr>
          <w:szCs w:val="24"/>
        </w:rPr>
        <w:t>The respondent is ordered to pay interest on the amount of R3 496 214</w:t>
      </w:r>
      <w:r w:rsidR="00B90881" w:rsidRPr="00C946B5">
        <w:rPr>
          <w:szCs w:val="24"/>
        </w:rPr>
        <w:t>.</w:t>
      </w:r>
      <w:r w:rsidR="00C54D10" w:rsidRPr="00C946B5">
        <w:rPr>
          <w:szCs w:val="24"/>
        </w:rPr>
        <w:t>25 at the rate of 4.5% per annum, calculated as provided in the loan agreements.</w:t>
      </w:r>
    </w:p>
    <w:p w14:paraId="33E64912" w14:textId="77E02C4B" w:rsidR="00C54D10" w:rsidRPr="00C946B5" w:rsidRDefault="00C946B5" w:rsidP="00C946B5">
      <w:pPr>
        <w:spacing w:line="360" w:lineRule="auto"/>
        <w:ind w:left="1080" w:hanging="720"/>
        <w:jc w:val="both"/>
        <w:rPr>
          <w:b/>
          <w:bCs/>
          <w:szCs w:val="24"/>
        </w:rPr>
      </w:pPr>
      <w:r w:rsidRPr="00B90881">
        <w:rPr>
          <w:bCs/>
          <w:szCs w:val="24"/>
        </w:rPr>
        <w:t>3.</w:t>
      </w:r>
      <w:r w:rsidRPr="00B90881">
        <w:rPr>
          <w:bCs/>
          <w:szCs w:val="24"/>
        </w:rPr>
        <w:tab/>
      </w:r>
      <w:r w:rsidR="00C54D10" w:rsidRPr="00C946B5">
        <w:rPr>
          <w:szCs w:val="24"/>
        </w:rPr>
        <w:t>The respondent is ordered to pay the costs of the application.</w:t>
      </w:r>
    </w:p>
    <w:p w14:paraId="1976B959" w14:textId="77777777" w:rsidR="00B0648D" w:rsidRPr="00650AD3" w:rsidRDefault="00B0648D" w:rsidP="00650AD3">
      <w:pPr>
        <w:spacing w:line="360" w:lineRule="auto"/>
        <w:jc w:val="both"/>
      </w:pPr>
    </w:p>
    <w:p w14:paraId="7EFC8343" w14:textId="77777777" w:rsidR="00B0648D" w:rsidRPr="00650AD3" w:rsidRDefault="00B0648D" w:rsidP="00650AD3">
      <w:pPr>
        <w:spacing w:line="360" w:lineRule="auto"/>
        <w:ind w:left="6480"/>
        <w:jc w:val="both"/>
      </w:pPr>
    </w:p>
    <w:p w14:paraId="3A5835DE" w14:textId="77777777" w:rsidR="00B0648D" w:rsidRPr="00650AD3" w:rsidRDefault="00B0648D" w:rsidP="00650AD3">
      <w:pPr>
        <w:spacing w:line="360" w:lineRule="auto"/>
        <w:ind w:left="6480"/>
        <w:jc w:val="both"/>
      </w:pPr>
    </w:p>
    <w:p w14:paraId="4AA34802" w14:textId="77777777" w:rsidR="00B0648D" w:rsidRPr="00650AD3" w:rsidRDefault="00B0648D" w:rsidP="00650AD3">
      <w:pPr>
        <w:spacing w:line="360" w:lineRule="auto"/>
        <w:ind w:left="6480"/>
        <w:jc w:val="both"/>
      </w:pPr>
    </w:p>
    <w:p w14:paraId="401CCB88" w14:textId="31A5995F" w:rsidR="00B0648D" w:rsidRPr="00650AD3" w:rsidRDefault="00B0648D" w:rsidP="00650AD3">
      <w:pPr>
        <w:spacing w:line="360" w:lineRule="auto"/>
        <w:ind w:left="6480"/>
        <w:jc w:val="both"/>
      </w:pPr>
      <w:r w:rsidRPr="00650AD3">
        <w:t>__________________</w:t>
      </w:r>
    </w:p>
    <w:p w14:paraId="21BBC403" w14:textId="563565EC" w:rsidR="00DA7C66" w:rsidRPr="00650AD3" w:rsidRDefault="00B0648D" w:rsidP="00650AD3">
      <w:pPr>
        <w:spacing w:line="360" w:lineRule="auto"/>
        <w:jc w:val="both"/>
      </w:pPr>
      <w:r w:rsidRPr="00650AD3">
        <w:tab/>
      </w:r>
      <w:r w:rsidRPr="00650AD3">
        <w:tab/>
      </w:r>
      <w:r w:rsidRPr="00650AD3">
        <w:tab/>
      </w:r>
      <w:r w:rsidRPr="00650AD3">
        <w:tab/>
      </w:r>
      <w:r w:rsidRPr="00650AD3">
        <w:tab/>
      </w:r>
      <w:r w:rsidRPr="00650AD3">
        <w:tab/>
      </w:r>
      <w:r w:rsidRPr="00650AD3">
        <w:tab/>
      </w:r>
      <w:r w:rsidRPr="00650AD3">
        <w:tab/>
      </w:r>
      <w:r w:rsidRPr="00650AD3">
        <w:tab/>
        <w:t>KOEN J</w:t>
      </w:r>
    </w:p>
    <w:p w14:paraId="6467CE1F" w14:textId="1E13F5A0" w:rsidR="00DA7C66" w:rsidRPr="00650AD3" w:rsidRDefault="00DA7C66" w:rsidP="00650AD3">
      <w:pPr>
        <w:spacing w:line="360" w:lineRule="auto"/>
        <w:jc w:val="both"/>
      </w:pPr>
    </w:p>
    <w:p w14:paraId="0D15E29B" w14:textId="21575911" w:rsidR="00B0648D" w:rsidRPr="00650AD3" w:rsidRDefault="00B0648D" w:rsidP="00650AD3">
      <w:pPr>
        <w:spacing w:line="360" w:lineRule="auto"/>
        <w:jc w:val="both"/>
      </w:pPr>
      <w:r w:rsidRPr="00650AD3">
        <w:t>APPEARANCES</w:t>
      </w:r>
    </w:p>
    <w:p w14:paraId="1401A797" w14:textId="77777777" w:rsidR="00B0648D" w:rsidRPr="00650AD3" w:rsidRDefault="00B0648D" w:rsidP="00650AD3">
      <w:pPr>
        <w:spacing w:line="360" w:lineRule="auto"/>
        <w:jc w:val="both"/>
      </w:pPr>
      <w:r w:rsidRPr="00650AD3">
        <w:t>For the applicant:</w:t>
      </w:r>
    </w:p>
    <w:p w14:paraId="037028C1" w14:textId="77777777" w:rsidR="00B0648D" w:rsidRPr="00650AD3" w:rsidRDefault="00B0648D" w:rsidP="00B3415B">
      <w:pPr>
        <w:spacing w:line="360" w:lineRule="auto"/>
        <w:jc w:val="both"/>
      </w:pPr>
      <w:r w:rsidRPr="00650AD3">
        <w:t>Mr P Ngcongo</w:t>
      </w:r>
    </w:p>
    <w:p w14:paraId="167A82CE" w14:textId="77777777" w:rsidR="00B0648D" w:rsidRPr="00650AD3" w:rsidRDefault="00B0648D" w:rsidP="00650AD3">
      <w:pPr>
        <w:spacing w:line="360" w:lineRule="auto"/>
        <w:jc w:val="both"/>
      </w:pPr>
      <w:r w:rsidRPr="00650AD3">
        <w:t>Instructed by:</w:t>
      </w:r>
    </w:p>
    <w:p w14:paraId="79309621" w14:textId="77777777" w:rsidR="00B0648D" w:rsidRPr="00650AD3" w:rsidRDefault="00B0648D" w:rsidP="00650AD3">
      <w:pPr>
        <w:spacing w:line="360" w:lineRule="auto"/>
        <w:jc w:val="both"/>
      </w:pPr>
      <w:r w:rsidRPr="00650AD3">
        <w:t>Cliffe Dekker Hofmeyr</w:t>
      </w:r>
    </w:p>
    <w:p w14:paraId="5C5D88D9" w14:textId="77777777" w:rsidR="00B0648D" w:rsidRPr="00650AD3" w:rsidRDefault="00B0648D" w:rsidP="00650AD3">
      <w:pPr>
        <w:spacing w:line="360" w:lineRule="auto"/>
        <w:jc w:val="both"/>
      </w:pPr>
      <w:r w:rsidRPr="00650AD3">
        <w:t xml:space="preserve">c/o Stowell and Co </w:t>
      </w:r>
    </w:p>
    <w:p w14:paraId="6168E99B" w14:textId="0C68D801" w:rsidR="00B0648D" w:rsidRPr="00650AD3" w:rsidRDefault="00B0648D" w:rsidP="00650AD3">
      <w:pPr>
        <w:spacing w:line="360" w:lineRule="auto"/>
        <w:jc w:val="both"/>
      </w:pPr>
      <w:r w:rsidRPr="00650AD3">
        <w:t>Pietermaritzburg</w:t>
      </w:r>
    </w:p>
    <w:p w14:paraId="2A7E1FEE" w14:textId="4316EC02" w:rsidR="00B0648D" w:rsidRPr="00650AD3" w:rsidRDefault="00B0648D" w:rsidP="00650AD3">
      <w:pPr>
        <w:spacing w:line="360" w:lineRule="auto"/>
        <w:jc w:val="both"/>
      </w:pPr>
      <w:r w:rsidRPr="00650AD3">
        <w:t>(Ref: P L Firman)</w:t>
      </w:r>
    </w:p>
    <w:p w14:paraId="595FC1B1" w14:textId="77777777" w:rsidR="00B0648D" w:rsidRPr="00650AD3" w:rsidRDefault="00B0648D" w:rsidP="00650AD3">
      <w:pPr>
        <w:spacing w:line="360" w:lineRule="auto"/>
        <w:jc w:val="both"/>
      </w:pPr>
    </w:p>
    <w:p w14:paraId="00500889" w14:textId="12C225D6" w:rsidR="00B0648D" w:rsidRPr="00650AD3" w:rsidRDefault="00B0648D" w:rsidP="00650AD3">
      <w:pPr>
        <w:spacing w:line="360" w:lineRule="auto"/>
        <w:jc w:val="both"/>
      </w:pPr>
      <w:r w:rsidRPr="00650AD3">
        <w:t>For the respondent:</w:t>
      </w:r>
    </w:p>
    <w:p w14:paraId="196423FF" w14:textId="275A0C0B" w:rsidR="00B0648D" w:rsidRPr="00650AD3" w:rsidRDefault="00B0648D" w:rsidP="00650AD3">
      <w:pPr>
        <w:spacing w:line="360" w:lineRule="auto"/>
        <w:jc w:val="both"/>
      </w:pPr>
      <w:r w:rsidRPr="00650AD3">
        <w:t>Mr A Potgieter SC</w:t>
      </w:r>
    </w:p>
    <w:p w14:paraId="31C5B845" w14:textId="77777777" w:rsidR="00B0648D" w:rsidRPr="00650AD3" w:rsidRDefault="00B0648D" w:rsidP="00650AD3">
      <w:pPr>
        <w:spacing w:line="360" w:lineRule="auto"/>
        <w:jc w:val="both"/>
      </w:pPr>
      <w:r w:rsidRPr="00650AD3">
        <w:t>Instructed by:</w:t>
      </w:r>
    </w:p>
    <w:p w14:paraId="093AED9E" w14:textId="4E5F8FA8" w:rsidR="00B0648D" w:rsidRPr="00650AD3" w:rsidRDefault="00B0648D" w:rsidP="00650AD3">
      <w:pPr>
        <w:spacing w:line="360" w:lineRule="auto"/>
        <w:jc w:val="both"/>
      </w:pPr>
      <w:r w:rsidRPr="00650AD3">
        <w:t>Schoerie &amp; Sewgoolam Inc</w:t>
      </w:r>
    </w:p>
    <w:p w14:paraId="781FC7C1" w14:textId="77777777" w:rsidR="00B0648D" w:rsidRPr="00650AD3" w:rsidRDefault="00B0648D" w:rsidP="00650AD3">
      <w:pPr>
        <w:spacing w:line="360" w:lineRule="auto"/>
        <w:jc w:val="both"/>
      </w:pPr>
      <w:r w:rsidRPr="00650AD3">
        <w:t>Pietermaritzburg</w:t>
      </w:r>
    </w:p>
    <w:p w14:paraId="50926268" w14:textId="70508704" w:rsidR="00DF3EE7" w:rsidRPr="004E566D" w:rsidRDefault="00B0648D" w:rsidP="004E566D">
      <w:pPr>
        <w:spacing w:line="360" w:lineRule="auto"/>
        <w:jc w:val="both"/>
      </w:pPr>
      <w:r w:rsidRPr="00650AD3">
        <w:t>(Ref: Mr Sewgoolam)</w:t>
      </w:r>
      <w:r w:rsidR="00D42BD6" w:rsidRPr="00650AD3">
        <w:t xml:space="preserve">   </w:t>
      </w:r>
      <w:r w:rsidR="002704FF" w:rsidRPr="00650AD3">
        <w:t xml:space="preserve">   </w:t>
      </w:r>
    </w:p>
    <w:sectPr w:rsidR="00DF3EE7" w:rsidRPr="004E566D"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46B08" w14:textId="77777777" w:rsidR="0062489F" w:rsidRDefault="0062489F">
      <w:r>
        <w:separator/>
      </w:r>
    </w:p>
  </w:endnote>
  <w:endnote w:type="continuationSeparator" w:id="0">
    <w:p w14:paraId="16E7823D" w14:textId="77777777" w:rsidR="0062489F" w:rsidRDefault="0062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8094" w14:textId="77777777" w:rsidR="0062489F" w:rsidRDefault="0062489F">
      <w:r>
        <w:separator/>
      </w:r>
    </w:p>
  </w:footnote>
  <w:footnote w:type="continuationSeparator" w:id="0">
    <w:p w14:paraId="45A1204B" w14:textId="77777777" w:rsidR="0062489F" w:rsidRDefault="0062489F">
      <w:r>
        <w:continuationSeparator/>
      </w:r>
    </w:p>
  </w:footnote>
  <w:footnote w:id="1">
    <w:p w14:paraId="226D31BF" w14:textId="5A7BC839" w:rsidR="00C23D10" w:rsidRPr="006846D4" w:rsidRDefault="00C23D10" w:rsidP="000060A7">
      <w:pPr>
        <w:pStyle w:val="FootnoteText"/>
        <w:jc w:val="both"/>
        <w:rPr>
          <w:lang w:val="en-GB"/>
        </w:rPr>
      </w:pPr>
      <w:r>
        <w:rPr>
          <w:rStyle w:val="FootnoteReference"/>
        </w:rPr>
        <w:footnoteRef/>
      </w:r>
      <w:r>
        <w:t xml:space="preserve"> </w:t>
      </w:r>
      <w:r>
        <w:rPr>
          <w:lang w:val="en-GB"/>
        </w:rPr>
        <w:t xml:space="preserve">The </w:t>
      </w:r>
      <w:r w:rsidR="000E318D">
        <w:rPr>
          <w:lang w:val="en-GB"/>
        </w:rPr>
        <w:t>founding affidavit</w:t>
      </w:r>
      <w:r>
        <w:rPr>
          <w:lang w:val="en-GB"/>
        </w:rPr>
        <w:t xml:space="preserve"> refer</w:t>
      </w:r>
      <w:r w:rsidR="000E318D">
        <w:rPr>
          <w:lang w:val="en-GB"/>
        </w:rPr>
        <w:t>s</w:t>
      </w:r>
      <w:r>
        <w:rPr>
          <w:lang w:val="en-GB"/>
        </w:rPr>
        <w:t xml:space="preserve"> to the applicant as ‘Business Zone,’ that being short for ‘The Business Zone 747 (Pty) Ltd’.</w:t>
      </w:r>
    </w:p>
  </w:footnote>
  <w:footnote w:id="2">
    <w:p w14:paraId="521A29C1" w14:textId="494154E2" w:rsidR="00C23D10" w:rsidRPr="008517F4" w:rsidRDefault="00C23D10" w:rsidP="000060A7">
      <w:pPr>
        <w:pStyle w:val="FootnoteText"/>
        <w:jc w:val="both"/>
        <w:rPr>
          <w:lang w:val="en-GB"/>
        </w:rPr>
      </w:pPr>
      <w:r>
        <w:rPr>
          <w:rStyle w:val="FootnoteReference"/>
        </w:rPr>
        <w:footnoteRef/>
      </w:r>
      <w:r>
        <w:t xml:space="preserve"> </w:t>
      </w:r>
      <w:r w:rsidRPr="000E318D">
        <w:rPr>
          <w:i/>
          <w:iCs/>
          <w:lang w:val="en-GB"/>
        </w:rPr>
        <w:t xml:space="preserve">Plascon Evan Paints Ltd v </w:t>
      </w:r>
      <w:r w:rsidR="003421C4" w:rsidRPr="000E318D">
        <w:rPr>
          <w:i/>
          <w:iCs/>
          <w:lang w:val="en-GB"/>
        </w:rPr>
        <w:t>Van Riebeeck Paints (Pty) Ltd</w:t>
      </w:r>
      <w:r w:rsidR="003421C4">
        <w:rPr>
          <w:lang w:val="en-GB"/>
        </w:rPr>
        <w:t xml:space="preserve"> 1984 (3) SA 620 (A) at 634.</w:t>
      </w:r>
    </w:p>
  </w:footnote>
  <w:footnote w:id="3">
    <w:p w14:paraId="709FF5EA" w14:textId="3E0A656B" w:rsidR="00070623" w:rsidRDefault="00070623" w:rsidP="000060A7">
      <w:pPr>
        <w:pStyle w:val="FootnoteText"/>
        <w:jc w:val="both"/>
      </w:pPr>
      <w:r>
        <w:rPr>
          <w:rStyle w:val="FootnoteReference"/>
        </w:rPr>
        <w:footnoteRef/>
      </w:r>
      <w:r>
        <w:t xml:space="preserve"> </w:t>
      </w:r>
      <w:r w:rsidR="00450BB6">
        <w:t>E</w:t>
      </w:r>
      <w:r>
        <w:t xml:space="preserve">mphasis </w:t>
      </w:r>
      <w:r w:rsidR="00450BB6">
        <w:t>added</w:t>
      </w:r>
      <w:r>
        <w:t>.</w:t>
      </w:r>
    </w:p>
  </w:footnote>
  <w:footnote w:id="4">
    <w:p w14:paraId="1B553FC4" w14:textId="26F9D669" w:rsidR="001F5659" w:rsidRDefault="001F5659" w:rsidP="000060A7">
      <w:pPr>
        <w:pStyle w:val="FootnoteText"/>
        <w:jc w:val="both"/>
      </w:pPr>
      <w:r>
        <w:rPr>
          <w:rStyle w:val="FootnoteReference"/>
        </w:rPr>
        <w:footnoteRef/>
      </w:r>
      <w:r>
        <w:t xml:space="preserve"> There was also another surety</w:t>
      </w:r>
      <w:r w:rsidR="00876425">
        <w:t>:</w:t>
      </w:r>
      <w:r>
        <w:t xml:space="preserve"> Idada Trading 81 (Pty) Ltd.</w:t>
      </w:r>
    </w:p>
  </w:footnote>
  <w:footnote w:id="5">
    <w:p w14:paraId="025C2E50" w14:textId="6AA49752" w:rsidR="004E44D3" w:rsidRDefault="004E44D3" w:rsidP="000060A7">
      <w:pPr>
        <w:pStyle w:val="FootnoteText"/>
        <w:jc w:val="both"/>
      </w:pPr>
      <w:r>
        <w:rPr>
          <w:rStyle w:val="FootnoteReference"/>
        </w:rPr>
        <w:footnoteRef/>
      </w:r>
      <w:r>
        <w:t xml:space="preserve"> Per annexure ‘AA1’.</w:t>
      </w:r>
    </w:p>
  </w:footnote>
  <w:footnote w:id="6">
    <w:p w14:paraId="795EFF86" w14:textId="63B2E668" w:rsidR="004E44D3" w:rsidRDefault="004E44D3" w:rsidP="000060A7">
      <w:pPr>
        <w:pStyle w:val="FootnoteText"/>
        <w:jc w:val="both"/>
      </w:pPr>
      <w:r>
        <w:rPr>
          <w:rStyle w:val="FootnoteReference"/>
        </w:rPr>
        <w:footnoteRef/>
      </w:r>
      <w:r>
        <w:t xml:space="preserve"> Per annexure ‘AA2’.</w:t>
      </w:r>
    </w:p>
  </w:footnote>
  <w:footnote w:id="7">
    <w:p w14:paraId="14F62173" w14:textId="40A33915" w:rsidR="00D60070" w:rsidRDefault="00D60070" w:rsidP="000060A7">
      <w:pPr>
        <w:pStyle w:val="FootnoteText"/>
        <w:jc w:val="both"/>
      </w:pPr>
      <w:r>
        <w:rPr>
          <w:rStyle w:val="FootnoteReference"/>
        </w:rPr>
        <w:footnoteRef/>
      </w:r>
      <w:r>
        <w:t xml:space="preserve"> </w:t>
      </w:r>
      <w:r w:rsidR="0008291A">
        <w:t>‘</w:t>
      </w:r>
      <w:r w:rsidR="006D15A8" w:rsidRPr="006D15A8">
        <w:t xml:space="preserve">The </w:t>
      </w:r>
      <w:r w:rsidR="006D15A8" w:rsidRPr="006D15A8">
        <w:rPr>
          <w:i/>
        </w:rPr>
        <w:t>Plascon Evans</w:t>
      </w:r>
      <w:r w:rsidR="006D15A8" w:rsidRPr="006D15A8">
        <w:t xml:space="preserve"> principle does not, however, apply to disputes of a legal character, or disputes about legal conclusions or inferences to be drawn from common cause facts</w:t>
      </w:r>
      <w:r w:rsidR="0008291A">
        <w:t>’</w:t>
      </w:r>
      <w:r>
        <w:t xml:space="preserve"> </w:t>
      </w:r>
      <w:r w:rsidR="0008291A">
        <w:t>(</w:t>
      </w:r>
      <w:r w:rsidR="006D15A8" w:rsidRPr="006D15A8">
        <w:rPr>
          <w:i/>
        </w:rPr>
        <w:t>VLP Property CC v Martjohn Trading CC</w:t>
      </w:r>
      <w:r w:rsidR="006D15A8" w:rsidRPr="006D15A8">
        <w:t xml:space="preserve"> [2022] ZAGPJHC 242</w:t>
      </w:r>
      <w:r w:rsidR="0008291A">
        <w:t xml:space="preserve"> para 4).</w:t>
      </w:r>
    </w:p>
  </w:footnote>
  <w:footnote w:id="8">
    <w:p w14:paraId="782C0410" w14:textId="63E42947" w:rsidR="001A48AD" w:rsidRDefault="001A48AD" w:rsidP="000060A7">
      <w:pPr>
        <w:pStyle w:val="FootnoteText"/>
        <w:jc w:val="both"/>
      </w:pPr>
      <w:r>
        <w:rPr>
          <w:rStyle w:val="FootnoteReference"/>
        </w:rPr>
        <w:footnoteRef/>
      </w:r>
      <w:r>
        <w:t xml:space="preserve"> This is not a correct</w:t>
      </w:r>
      <w:r w:rsidR="002975A9">
        <w:t xml:space="preserve"> statement. </w:t>
      </w:r>
      <w:r w:rsidR="00E53B6A">
        <w:t xml:space="preserve">Item 2(1) of Schedule 2 of the </w:t>
      </w:r>
      <w:r>
        <w:t>Companies Act 71 of 2008</w:t>
      </w:r>
      <w:r w:rsidR="00E53B6A">
        <w:t xml:space="preserve"> </w:t>
      </w:r>
      <w:r w:rsidR="002975A9">
        <w:t xml:space="preserve">provides that </w:t>
      </w:r>
      <w:r w:rsidR="00E53B6A">
        <w:t>‘</w:t>
      </w:r>
      <w:r w:rsidR="00E53B6A" w:rsidRPr="00E53B6A">
        <w:t>Every member of a close corporation converted under this Schedule is entitled to become a shareholder of the company</w:t>
      </w:r>
      <w:r w:rsidR="00E53B6A">
        <w:t xml:space="preserve"> resulting from that conversion</w:t>
      </w:r>
      <w:r w:rsidR="002975A9">
        <w:t>. . .’ but the fact that they are entitled to become shareholders does not necessarily mean that they ‘must beco</w:t>
      </w:r>
      <w:r w:rsidR="00E53B6A">
        <w:t>me a shareholder of the company</w:t>
      </w:r>
      <w:r w:rsidR="002975A9">
        <w:t>’</w:t>
      </w:r>
      <w:r>
        <w:t xml:space="preserve">. </w:t>
      </w:r>
    </w:p>
  </w:footnote>
  <w:footnote w:id="9">
    <w:p w14:paraId="0E2054A4" w14:textId="657E83AF" w:rsidR="001A48AD" w:rsidRDefault="001A48AD" w:rsidP="000060A7">
      <w:pPr>
        <w:pStyle w:val="FootnoteText"/>
        <w:jc w:val="both"/>
      </w:pPr>
      <w:r>
        <w:rPr>
          <w:rStyle w:val="FootnoteReference"/>
        </w:rPr>
        <w:footnoteRef/>
      </w:r>
      <w:r>
        <w:t xml:space="preserve"> This is not so.</w:t>
      </w:r>
      <w:r w:rsidRPr="001A48AD">
        <w:t xml:space="preserve"> </w:t>
      </w:r>
      <w:r w:rsidR="00E53B6A">
        <w:t>Item 2(1) of Schedule 2 of the Companies Act states: ‘</w:t>
      </w:r>
      <w:r w:rsidR="00E53B6A" w:rsidRPr="00E53B6A">
        <w:t xml:space="preserve">Every member of a close corporation converted under this Schedule is entitled to become a shareholder of the company resulting from that conversion, but the shares to be held in the company by the shareholders individually </w:t>
      </w:r>
      <w:r w:rsidR="00E53B6A" w:rsidRPr="00E53B6A">
        <w:rPr>
          <w:i/>
        </w:rPr>
        <w:t>need not</w:t>
      </w:r>
      <w:r w:rsidR="00E53B6A" w:rsidRPr="00E53B6A">
        <w:t xml:space="preserve"> necessarily be in proportion to the members' interests as stated in the founding statement of the close corporation concerned.</w:t>
      </w:r>
      <w:r w:rsidR="00E53B6A">
        <w:t>’ (my emphasis)</w:t>
      </w:r>
    </w:p>
  </w:footnote>
  <w:footnote w:id="10">
    <w:p w14:paraId="6B41E7A5" w14:textId="55019549" w:rsidR="001A48AD" w:rsidRDefault="001A48AD" w:rsidP="000060A7">
      <w:pPr>
        <w:pStyle w:val="FootnoteText"/>
        <w:jc w:val="both"/>
      </w:pPr>
      <w:r>
        <w:rPr>
          <w:rStyle w:val="FootnoteReference"/>
        </w:rPr>
        <w:footnoteRef/>
      </w:r>
      <w:r>
        <w:t xml:space="preserve"> This is consis</w:t>
      </w:r>
      <w:r w:rsidR="00E53B6A">
        <w:t>tent with what is provided in</w:t>
      </w:r>
      <w:r>
        <w:t xml:space="preserve"> </w:t>
      </w:r>
      <w:r w:rsidR="00E53B6A">
        <w:t>Item 2(2)</w:t>
      </w:r>
      <w:r w:rsidR="00E53B6A" w:rsidRPr="00E53B6A">
        <w:rPr>
          <w:i/>
        </w:rPr>
        <w:t>(a)</w:t>
      </w:r>
      <w:r w:rsidR="00E53B6A">
        <w:t xml:space="preserve"> of Schedule 2 of the </w:t>
      </w:r>
      <w:r>
        <w:t xml:space="preserve">Companies Act. </w:t>
      </w:r>
    </w:p>
  </w:footnote>
  <w:footnote w:id="11">
    <w:p w14:paraId="06F51132" w14:textId="75E693DD" w:rsidR="001A48AD" w:rsidRDefault="001A48AD" w:rsidP="000060A7">
      <w:pPr>
        <w:pStyle w:val="FootnoteText"/>
        <w:jc w:val="both"/>
      </w:pPr>
      <w:r>
        <w:rPr>
          <w:rStyle w:val="FootnoteReference"/>
        </w:rPr>
        <w:footnoteRef/>
      </w:r>
      <w:r>
        <w:t xml:space="preserve"> This is consistent with what is provided in </w:t>
      </w:r>
      <w:r w:rsidR="00E53B6A">
        <w:t>Item 2(2)</w:t>
      </w:r>
      <w:r w:rsidR="00E53B6A" w:rsidRPr="00E53B6A">
        <w:rPr>
          <w:i/>
        </w:rPr>
        <w:t>(</w:t>
      </w:r>
      <w:r w:rsidR="00E53B6A">
        <w:rPr>
          <w:i/>
        </w:rPr>
        <w:t>b</w:t>
      </w:r>
      <w:r w:rsidR="00E53B6A" w:rsidRPr="00E53B6A">
        <w:rPr>
          <w:i/>
        </w:rPr>
        <w:t>)</w:t>
      </w:r>
      <w:r w:rsidR="00E53B6A">
        <w:t xml:space="preserve"> of Schedule 2 of the Companies Act</w:t>
      </w:r>
      <w:r>
        <w:t xml:space="preserve">. These vest in the company. </w:t>
      </w:r>
    </w:p>
  </w:footnote>
  <w:footnote w:id="12">
    <w:p w14:paraId="7C60BB3A" w14:textId="7F50CF12" w:rsidR="00D06048" w:rsidRDefault="00D06048" w:rsidP="000060A7">
      <w:pPr>
        <w:pStyle w:val="FootnoteText"/>
        <w:jc w:val="both"/>
      </w:pPr>
      <w:r>
        <w:rPr>
          <w:rStyle w:val="FootnoteReference"/>
        </w:rPr>
        <w:footnoteRef/>
      </w:r>
      <w:r>
        <w:t xml:space="preserve"> </w:t>
      </w:r>
      <w:r w:rsidR="00B65FC9">
        <w:t xml:space="preserve">A valid suretyship requires an identifiable creditor, debtor and surety - </w:t>
      </w:r>
      <w:r w:rsidRPr="00E53B6A">
        <w:rPr>
          <w:i/>
        </w:rPr>
        <w:t>Fourlamel (Pty) Ltd v Maddison</w:t>
      </w:r>
      <w:r>
        <w:t xml:space="preserve"> 1977 (1) SA 333 (A) </w:t>
      </w:r>
      <w:r w:rsidR="00E53B6A">
        <w:t xml:space="preserve">at </w:t>
      </w:r>
      <w:r>
        <w:t>344G.</w:t>
      </w:r>
    </w:p>
  </w:footnote>
  <w:footnote w:id="13">
    <w:p w14:paraId="471DB829" w14:textId="77777777" w:rsidR="008F685F" w:rsidRDefault="008F685F" w:rsidP="008F685F">
      <w:pPr>
        <w:pStyle w:val="FootnoteText"/>
        <w:jc w:val="both"/>
      </w:pPr>
      <w:r>
        <w:rPr>
          <w:rStyle w:val="FootnoteReference"/>
        </w:rPr>
        <w:footnoteRef/>
      </w:r>
      <w:r>
        <w:t xml:space="preserve"> The </w:t>
      </w:r>
      <w:r w:rsidRPr="005743EF">
        <w:t>General Law Amendment Act 50 of 1956</w:t>
      </w:r>
      <w:r>
        <w:t xml:space="preserve"> commenced on 22 June 1956. </w:t>
      </w:r>
    </w:p>
  </w:footnote>
  <w:footnote w:id="14">
    <w:p w14:paraId="1DFF7C77" w14:textId="294E2BFA" w:rsidR="009A0B6C" w:rsidRDefault="009A0B6C" w:rsidP="000060A7">
      <w:pPr>
        <w:pStyle w:val="FootnoteText"/>
        <w:jc w:val="both"/>
      </w:pPr>
      <w:r>
        <w:rPr>
          <w:rStyle w:val="FootnoteReference"/>
        </w:rPr>
        <w:footnoteRef/>
      </w:r>
      <w:r>
        <w:t xml:space="preserve"> The factual position is </w:t>
      </w:r>
      <w:r w:rsidR="00C235EA">
        <w:t xml:space="preserve">analogous to that in </w:t>
      </w:r>
      <w:r w:rsidR="00C235EA" w:rsidRPr="00C235EA">
        <w:rPr>
          <w:i/>
          <w:iCs/>
        </w:rPr>
        <w:t>Four Tower Investments (Pty) Ltd v Andre’s Motors</w:t>
      </w:r>
      <w:r w:rsidR="00C235EA">
        <w:t xml:space="preserve"> 2005 (3) SA 39 (N).</w:t>
      </w:r>
    </w:p>
  </w:footnote>
  <w:footnote w:id="15">
    <w:p w14:paraId="2FF038C8" w14:textId="2AB4A23B" w:rsidR="00A52869" w:rsidRDefault="00A52869" w:rsidP="000060A7">
      <w:pPr>
        <w:pStyle w:val="FootnoteText"/>
        <w:jc w:val="both"/>
      </w:pPr>
      <w:r>
        <w:rPr>
          <w:rStyle w:val="FootnoteReference"/>
        </w:rPr>
        <w:footnoteRef/>
      </w:r>
      <w:r>
        <w:t xml:space="preserve"> </w:t>
      </w:r>
      <w:r w:rsidRPr="00A52869">
        <w:rPr>
          <w:i/>
          <w:iCs/>
        </w:rPr>
        <w:t>Rail Commuters Action Group v Transnet Ltd t/a Metrorail</w:t>
      </w:r>
      <w:r>
        <w:t xml:space="preserve"> 2005 (2) SA 359 (CC</w:t>
      </w:r>
      <w:r w:rsidR="00660126">
        <w:t>)</w:t>
      </w:r>
      <w:r>
        <w:t xml:space="preserve"> para 53. </w:t>
      </w:r>
    </w:p>
  </w:footnote>
  <w:footnote w:id="16">
    <w:p w14:paraId="293D9747" w14:textId="5D27A3C9" w:rsidR="00724B3B" w:rsidRDefault="00724B3B" w:rsidP="000060A7">
      <w:pPr>
        <w:pStyle w:val="FootnoteText"/>
        <w:jc w:val="both"/>
      </w:pPr>
      <w:r>
        <w:rPr>
          <w:rStyle w:val="FootnoteReference"/>
        </w:rPr>
        <w:footnoteRef/>
      </w:r>
      <w:r>
        <w:t xml:space="preserve"> </w:t>
      </w:r>
      <w:r w:rsidRPr="00724B3B">
        <w:rPr>
          <w:i/>
          <w:iCs/>
        </w:rPr>
        <w:t>Khan v Naidoo</w:t>
      </w:r>
      <w:r>
        <w:t xml:space="preserve"> 1989 (3) SA 724 (N).</w:t>
      </w:r>
    </w:p>
  </w:footnote>
  <w:footnote w:id="17">
    <w:p w14:paraId="3082DB9E" w14:textId="326975CB" w:rsidR="00D60070" w:rsidRDefault="00D60070" w:rsidP="000060A7">
      <w:pPr>
        <w:pStyle w:val="FootnoteText"/>
        <w:jc w:val="both"/>
      </w:pPr>
      <w:r>
        <w:rPr>
          <w:rStyle w:val="FootnoteReference"/>
        </w:rPr>
        <w:footnoteRef/>
      </w:r>
      <w:r>
        <w:t xml:space="preserve"> </w:t>
      </w:r>
      <w:r w:rsidR="00BB1157" w:rsidRPr="00BB1157">
        <w:rPr>
          <w:i/>
        </w:rPr>
        <w:t>Macsteel Tube and Pipe, a division of Macsteel Service Centres SA (Pty) Ltd v Vowles Properties (Pty) Ltd</w:t>
      </w:r>
      <w:r w:rsidR="00BB1157" w:rsidRPr="00BB1157">
        <w:t xml:space="preserve"> [2021] ZASCA 178</w:t>
      </w:r>
      <w:r>
        <w:t xml:space="preserve"> para 20.</w:t>
      </w:r>
    </w:p>
  </w:footnote>
  <w:footnote w:id="18">
    <w:p w14:paraId="4B208117" w14:textId="51600252" w:rsidR="00910241" w:rsidRPr="000060A7" w:rsidRDefault="00910241" w:rsidP="000060A7">
      <w:pPr>
        <w:jc w:val="both"/>
        <w:rPr>
          <w:sz w:val="20"/>
          <w:szCs w:val="20"/>
        </w:rPr>
      </w:pPr>
      <w:r w:rsidRPr="00910241">
        <w:rPr>
          <w:rStyle w:val="FootnoteReference"/>
          <w:sz w:val="20"/>
          <w:szCs w:val="20"/>
        </w:rPr>
        <w:footnoteRef/>
      </w:r>
      <w:r w:rsidRPr="00910241">
        <w:rPr>
          <w:sz w:val="20"/>
          <w:szCs w:val="20"/>
        </w:rPr>
        <w:t xml:space="preserve"> Section 32(1)</w:t>
      </w:r>
      <w:r w:rsidRPr="00B70EAB">
        <w:rPr>
          <w:i/>
          <w:sz w:val="20"/>
          <w:szCs w:val="20"/>
        </w:rPr>
        <w:t>(</w:t>
      </w:r>
      <w:r w:rsidR="00B70EAB" w:rsidRPr="00B70EAB">
        <w:rPr>
          <w:i/>
          <w:sz w:val="20"/>
          <w:szCs w:val="20"/>
        </w:rPr>
        <w:t>b</w:t>
      </w:r>
      <w:r w:rsidRPr="00B70EAB">
        <w:rPr>
          <w:i/>
          <w:sz w:val="20"/>
          <w:szCs w:val="20"/>
        </w:rPr>
        <w:t>)</w:t>
      </w:r>
      <w:r w:rsidRPr="00910241">
        <w:rPr>
          <w:sz w:val="20"/>
          <w:szCs w:val="20"/>
        </w:rPr>
        <w:t xml:space="preserve"> of the Companies Act provides that a company may not misstate its name or registration number ‘in a manner likely to mislead or deceive any person.’ That has not been the respondent’s complaint. Section 32(3)</w:t>
      </w:r>
      <w:r w:rsidR="00B70EAB" w:rsidRPr="00B70EAB">
        <w:rPr>
          <w:i/>
          <w:sz w:val="20"/>
          <w:szCs w:val="20"/>
        </w:rPr>
        <w:t>(a)</w:t>
      </w:r>
      <w:r w:rsidRPr="00910241">
        <w:rPr>
          <w:sz w:val="20"/>
          <w:szCs w:val="20"/>
        </w:rPr>
        <w:t xml:space="preserve"> provides that a person ‘</w:t>
      </w:r>
      <w:r w:rsidR="00B70EAB" w:rsidRPr="00B70EAB">
        <w:rPr>
          <w:sz w:val="20"/>
          <w:szCs w:val="20"/>
        </w:rPr>
        <w:t>use the name or registration number of a company in a manner likely to convey an impression that the person is acting or communicating on behalf of that company, unless</w:t>
      </w:r>
      <w:r w:rsidR="00B70EAB">
        <w:rPr>
          <w:sz w:val="20"/>
          <w:szCs w:val="20"/>
        </w:rPr>
        <w:t xml:space="preserve"> </w:t>
      </w:r>
      <w:r w:rsidR="00B70EAB" w:rsidRPr="00B70EAB">
        <w:rPr>
          <w:sz w:val="20"/>
          <w:szCs w:val="20"/>
        </w:rPr>
        <w:t>the company has authorised that person to do so</w:t>
      </w:r>
      <w:r w:rsidRPr="00910241">
        <w:rPr>
          <w:sz w:val="20"/>
          <w:szCs w:val="20"/>
        </w:rPr>
        <w:t xml:space="preserve">.’ That complaint has also not arisen. Section 32(4) provides that every company must have its name and registration number in all notices and other official publications of the company and in all bills of exchange, promissory notes, cheques and orders for money or goods and in all letters, delivery notes, invoices, receipts and letters of credit of the company. This requirement does not seem to extend to loan agreements and suretyships. </w:t>
      </w:r>
    </w:p>
  </w:footnote>
  <w:footnote w:id="19">
    <w:p w14:paraId="0639DA9C" w14:textId="4CF05E67" w:rsidR="002704FF" w:rsidRDefault="002704FF" w:rsidP="000060A7">
      <w:pPr>
        <w:pStyle w:val="FootnoteText"/>
        <w:jc w:val="both"/>
      </w:pPr>
      <w:r>
        <w:rPr>
          <w:rStyle w:val="FootnoteReference"/>
        </w:rPr>
        <w:footnoteRef/>
      </w:r>
      <w:r>
        <w:t xml:space="preserve"> </w:t>
      </w:r>
      <w:r w:rsidRPr="00724B3B">
        <w:rPr>
          <w:i/>
          <w:iCs/>
        </w:rPr>
        <w:t>Room</w:t>
      </w:r>
      <w:r w:rsidR="00724B3B" w:rsidRPr="00724B3B">
        <w:rPr>
          <w:i/>
          <w:iCs/>
        </w:rPr>
        <w:t xml:space="preserve"> </w:t>
      </w:r>
      <w:r w:rsidRPr="00724B3B">
        <w:rPr>
          <w:i/>
          <w:iCs/>
        </w:rPr>
        <w:t xml:space="preserve">Hire Company </w:t>
      </w:r>
      <w:r w:rsidR="00724B3B">
        <w:rPr>
          <w:i/>
          <w:iCs/>
        </w:rPr>
        <w:t xml:space="preserve">(Pty) Ltd </w:t>
      </w:r>
      <w:r w:rsidRPr="00724B3B">
        <w:rPr>
          <w:i/>
          <w:iCs/>
        </w:rPr>
        <w:t>v Jeppe Street Mansions</w:t>
      </w:r>
      <w:r w:rsidR="00724B3B">
        <w:rPr>
          <w:i/>
          <w:iCs/>
        </w:rPr>
        <w:t xml:space="preserve"> (Pty) Ltd </w:t>
      </w:r>
      <w:r w:rsidR="00724B3B" w:rsidRPr="00724B3B">
        <w:t>1949 (3) SA 1155 (T).</w:t>
      </w:r>
    </w:p>
  </w:footnote>
  <w:footnote w:id="20">
    <w:p w14:paraId="353DB3D7" w14:textId="3E643DA6" w:rsidR="00BB64EF" w:rsidRDefault="00BB64EF" w:rsidP="000060A7">
      <w:pPr>
        <w:pStyle w:val="FootnoteText"/>
        <w:jc w:val="both"/>
      </w:pPr>
      <w:r>
        <w:rPr>
          <w:rStyle w:val="FootnoteReference"/>
        </w:rPr>
        <w:footnoteRef/>
      </w:r>
      <w:r>
        <w:t xml:space="preserve"> </w:t>
      </w:r>
      <w:r w:rsidR="00BC5EC7" w:rsidRPr="00BC5EC7">
        <w:rPr>
          <w:i/>
        </w:rPr>
        <w:t>Ex Parte Minister of Justice: In re Nedbank Ltd v Abstein Distributors (Pty) Ltd and others and Donelly v Barclays National Bank Ltd</w:t>
      </w:r>
      <w:r w:rsidR="00BC5EC7" w:rsidRPr="00BC5EC7">
        <w:t xml:space="preserve"> 1995 (3) SA 1 (A)</w:t>
      </w:r>
      <w:r w:rsidR="00BC5EC7">
        <w:t>.</w:t>
      </w:r>
    </w:p>
  </w:footnote>
  <w:footnote w:id="21">
    <w:p w14:paraId="7C29F32C" w14:textId="53CA661B" w:rsidR="00DA7C66" w:rsidRPr="00CC65BF" w:rsidRDefault="00DA7C66" w:rsidP="00CC65BF">
      <w:pPr>
        <w:pStyle w:val="FootnoteText"/>
        <w:jc w:val="both"/>
      </w:pPr>
      <w:r>
        <w:rPr>
          <w:rStyle w:val="FootnoteReference"/>
        </w:rPr>
        <w:footnoteRef/>
      </w:r>
      <w:r>
        <w:t xml:space="preserve"> </w:t>
      </w:r>
      <w:r w:rsidR="00CC65BF" w:rsidRPr="00CC65BF">
        <w:rPr>
          <w:i/>
          <w:iCs/>
        </w:rPr>
        <w:t>Pillay</w:t>
      </w:r>
      <w:r w:rsidR="00CC65BF">
        <w:rPr>
          <w:i/>
          <w:iCs/>
        </w:rPr>
        <w:t xml:space="preserve"> </w:t>
      </w:r>
      <w:r w:rsidR="00CC65BF" w:rsidRPr="00CC65BF">
        <w:rPr>
          <w:i/>
          <w:iCs/>
        </w:rPr>
        <w:t>v Krishna and another</w:t>
      </w:r>
      <w:r w:rsidR="00CC65BF">
        <w:rPr>
          <w:i/>
          <w:iCs/>
        </w:rPr>
        <w:t xml:space="preserve"> </w:t>
      </w:r>
      <w:r w:rsidR="00CC65BF" w:rsidRPr="00CC65BF">
        <w:rPr>
          <w:iCs/>
        </w:rPr>
        <w:t>1946 AD 946</w:t>
      </w:r>
      <w:r w:rsidR="00CC65BF">
        <w:rPr>
          <w:iCs/>
        </w:rPr>
        <w:t>.</w:t>
      </w:r>
    </w:p>
  </w:footnote>
  <w:footnote w:id="22">
    <w:p w14:paraId="07C8C80C" w14:textId="58A66742" w:rsidR="00DA7C66" w:rsidRDefault="00DA7C66" w:rsidP="000060A7">
      <w:pPr>
        <w:pStyle w:val="FootnoteText"/>
        <w:jc w:val="both"/>
      </w:pPr>
      <w:r>
        <w:rPr>
          <w:rStyle w:val="FootnoteReference"/>
        </w:rPr>
        <w:footnoteRef/>
      </w:r>
      <w:r>
        <w:t xml:space="preserve"> The position is also not quite that. It seems that the respondent was involved with the management of the debtor. It is however not necessary to make any further findings in that regard.</w:t>
      </w:r>
    </w:p>
  </w:footnote>
  <w:footnote w:id="23">
    <w:p w14:paraId="715E299F" w14:textId="2024AAC1" w:rsidR="0062119A" w:rsidRDefault="0062119A" w:rsidP="000060A7">
      <w:pPr>
        <w:pStyle w:val="FootnoteText"/>
        <w:jc w:val="both"/>
      </w:pPr>
      <w:r>
        <w:rPr>
          <w:rStyle w:val="FootnoteReference"/>
        </w:rPr>
        <w:footnoteRef/>
      </w:r>
      <w:r>
        <w:t xml:space="preserve"> In </w:t>
      </w:r>
      <w:r w:rsidR="00394507" w:rsidRPr="00394507">
        <w:rPr>
          <w:i/>
          <w:iCs/>
        </w:rPr>
        <w:t xml:space="preserve">AllPay Consolidated Investment Holdings (Pty) Ltd and </w:t>
      </w:r>
      <w:r w:rsidR="00394507">
        <w:rPr>
          <w:i/>
          <w:iCs/>
        </w:rPr>
        <w:t>o</w:t>
      </w:r>
      <w:r w:rsidR="00394507" w:rsidRPr="00394507">
        <w:rPr>
          <w:i/>
          <w:iCs/>
        </w:rPr>
        <w:t>thers v C</w:t>
      </w:r>
      <w:r w:rsidR="00394507">
        <w:rPr>
          <w:i/>
          <w:iCs/>
        </w:rPr>
        <w:t xml:space="preserve">hief </w:t>
      </w:r>
      <w:r w:rsidR="00394507" w:rsidRPr="00394507">
        <w:rPr>
          <w:i/>
          <w:iCs/>
        </w:rPr>
        <w:t>E</w:t>
      </w:r>
      <w:r w:rsidR="00394507">
        <w:rPr>
          <w:i/>
          <w:iCs/>
        </w:rPr>
        <w:t xml:space="preserve">xecutive </w:t>
      </w:r>
      <w:r w:rsidR="00394507" w:rsidRPr="00394507">
        <w:rPr>
          <w:i/>
          <w:iCs/>
        </w:rPr>
        <w:t>O</w:t>
      </w:r>
      <w:r w:rsidR="00394507">
        <w:rPr>
          <w:i/>
          <w:iCs/>
        </w:rPr>
        <w:t>fficer</w:t>
      </w:r>
      <w:r w:rsidR="00394507" w:rsidRPr="00394507">
        <w:rPr>
          <w:i/>
          <w:iCs/>
        </w:rPr>
        <w:t xml:space="preserve"> of the South African Social Security Agency and </w:t>
      </w:r>
      <w:r w:rsidR="00394507">
        <w:rPr>
          <w:i/>
          <w:iCs/>
        </w:rPr>
        <w:t>o</w:t>
      </w:r>
      <w:r w:rsidR="00394507" w:rsidRPr="00394507">
        <w:rPr>
          <w:i/>
          <w:iCs/>
        </w:rPr>
        <w:t xml:space="preserve">thers </w:t>
      </w:r>
      <w:r w:rsidR="00394507" w:rsidRPr="00394507">
        <w:rPr>
          <w:iCs/>
        </w:rPr>
        <w:t>[2013] ZASCA 29; 2013 (4) SA 557 (SCA); [2013] 2 All SA 501 (SCA)</w:t>
      </w:r>
      <w:r w:rsidR="004056E7">
        <w:t xml:space="preserve"> para 4 it was held that</w:t>
      </w:r>
      <w:r w:rsidRPr="004056E7">
        <w:rPr>
          <w:i/>
          <w:iCs/>
        </w:rPr>
        <w:t xml:space="preserve"> </w:t>
      </w:r>
      <w:r>
        <w:t>‘</w:t>
      </w:r>
      <w:r w:rsidR="00394507" w:rsidRPr="00394507">
        <w:t>A litigant who alleges such conduct must do so openly and forthrightly so as to allow the person accused a fair opportunity to respond</w:t>
      </w:r>
      <w:r>
        <w:t xml:space="preserve">.’ </w:t>
      </w:r>
    </w:p>
  </w:footnote>
  <w:footnote w:id="24">
    <w:p w14:paraId="1665B4A8" w14:textId="32A10B76" w:rsidR="00D60070" w:rsidRPr="00D60070" w:rsidRDefault="00D60070" w:rsidP="000060A7">
      <w:pPr>
        <w:pStyle w:val="FootnoteText"/>
        <w:jc w:val="both"/>
      </w:pPr>
      <w:r>
        <w:rPr>
          <w:rStyle w:val="FootnoteReference"/>
        </w:rPr>
        <w:footnoteRef/>
      </w:r>
      <w:r>
        <w:t xml:space="preserve"> </w:t>
      </w:r>
      <w:r w:rsidR="00B90881" w:rsidRPr="00B90881">
        <w:rPr>
          <w:i/>
          <w:iCs/>
        </w:rPr>
        <w:t xml:space="preserve">Soffiantini v Mould </w:t>
      </w:r>
      <w:r w:rsidR="00B90881" w:rsidRPr="00B90881">
        <w:rPr>
          <w:iCs/>
        </w:rPr>
        <w:t>1956 (4) SA 150 (E)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FC0" w14:textId="77777777" w:rsidR="00B62747" w:rsidRDefault="00B627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B62747" w:rsidRDefault="00B627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4483" w14:textId="1A7EA9F7" w:rsidR="00B62747" w:rsidRPr="00AC7DA3" w:rsidRDefault="00B62747">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C946B5">
      <w:rPr>
        <w:rStyle w:val="PageNumber"/>
        <w:rFonts w:cs="Arial"/>
        <w:noProof/>
        <w:sz w:val="22"/>
      </w:rPr>
      <w:t>2</w:t>
    </w:r>
    <w:r w:rsidRPr="00AC7DA3">
      <w:rPr>
        <w:rStyle w:val="PageNumber"/>
        <w:rFonts w:cs="Arial"/>
        <w:sz w:val="22"/>
      </w:rPr>
      <w:fldChar w:fldCharType="end"/>
    </w:r>
  </w:p>
  <w:p w14:paraId="0B7E1CB3" w14:textId="77777777" w:rsidR="00B62747" w:rsidRDefault="00B627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90061"/>
    <w:multiLevelType w:val="hybridMultilevel"/>
    <w:tmpl w:val="57BC2392"/>
    <w:lvl w:ilvl="0" w:tplc="413C0F0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E54F27"/>
    <w:multiLevelType w:val="hybridMultilevel"/>
    <w:tmpl w:val="71B80AE6"/>
    <w:lvl w:ilvl="0" w:tplc="83DADA7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A446F"/>
    <w:multiLevelType w:val="hybridMultilevel"/>
    <w:tmpl w:val="E86CFBBC"/>
    <w:lvl w:ilvl="0" w:tplc="04DA6AA4">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F70BF4"/>
    <w:multiLevelType w:val="hybridMultilevel"/>
    <w:tmpl w:val="2C8E98D4"/>
    <w:lvl w:ilvl="0" w:tplc="225A639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E00DE6"/>
    <w:multiLevelType w:val="hybridMultilevel"/>
    <w:tmpl w:val="2CA04364"/>
    <w:lvl w:ilvl="0" w:tplc="ECDE9FA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9311E"/>
    <w:multiLevelType w:val="hybridMultilevel"/>
    <w:tmpl w:val="345E577A"/>
    <w:lvl w:ilvl="0" w:tplc="18DE5B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6C24BE"/>
    <w:multiLevelType w:val="hybridMultilevel"/>
    <w:tmpl w:val="7F649DDC"/>
    <w:lvl w:ilvl="0" w:tplc="4E128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0A046C"/>
    <w:multiLevelType w:val="hybridMultilevel"/>
    <w:tmpl w:val="478AFB58"/>
    <w:lvl w:ilvl="0" w:tplc="A300AD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9C07CF"/>
    <w:multiLevelType w:val="hybridMultilevel"/>
    <w:tmpl w:val="6EDEAD02"/>
    <w:lvl w:ilvl="0" w:tplc="DA50C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5062EBA"/>
    <w:multiLevelType w:val="hybridMultilevel"/>
    <w:tmpl w:val="6CD48A68"/>
    <w:lvl w:ilvl="0" w:tplc="1A7C787A">
      <w:start w:val="1"/>
      <w:numFmt w:val="decimal"/>
      <w:lvlText w:val="%1."/>
      <w:lvlJc w:val="left"/>
      <w:pPr>
        <w:ind w:left="1080" w:hanging="720"/>
      </w:pPr>
      <w:rPr>
        <w:rFonts w:ascii="Arial" w:hAnsi="Arial"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9"/>
  </w:num>
  <w:num w:numId="3">
    <w:abstractNumId w:val="11"/>
  </w:num>
  <w:num w:numId="4">
    <w:abstractNumId w:val="24"/>
  </w:num>
  <w:num w:numId="5">
    <w:abstractNumId w:val="34"/>
  </w:num>
  <w:num w:numId="6">
    <w:abstractNumId w:val="19"/>
  </w:num>
  <w:num w:numId="7">
    <w:abstractNumId w:val="13"/>
  </w:num>
  <w:num w:numId="8">
    <w:abstractNumId w:val="25"/>
  </w:num>
  <w:num w:numId="9">
    <w:abstractNumId w:val="10"/>
  </w:num>
  <w:num w:numId="10">
    <w:abstractNumId w:val="32"/>
  </w:num>
  <w:num w:numId="11">
    <w:abstractNumId w:val="2"/>
  </w:num>
  <w:num w:numId="12">
    <w:abstractNumId w:val="9"/>
  </w:num>
  <w:num w:numId="13">
    <w:abstractNumId w:val="6"/>
  </w:num>
  <w:num w:numId="14">
    <w:abstractNumId w:val="22"/>
  </w:num>
  <w:num w:numId="15">
    <w:abstractNumId w:val="45"/>
  </w:num>
  <w:num w:numId="16">
    <w:abstractNumId w:val="43"/>
  </w:num>
  <w:num w:numId="17">
    <w:abstractNumId w:val="37"/>
  </w:num>
  <w:num w:numId="18">
    <w:abstractNumId w:val="27"/>
  </w:num>
  <w:num w:numId="19">
    <w:abstractNumId w:val="33"/>
  </w:num>
  <w:num w:numId="20">
    <w:abstractNumId w:val="31"/>
  </w:num>
  <w:num w:numId="21">
    <w:abstractNumId w:val="28"/>
  </w:num>
  <w:num w:numId="22">
    <w:abstractNumId w:val="29"/>
  </w:num>
  <w:num w:numId="23">
    <w:abstractNumId w:val="46"/>
  </w:num>
  <w:num w:numId="24">
    <w:abstractNumId w:val="16"/>
  </w:num>
  <w:num w:numId="25">
    <w:abstractNumId w:val="20"/>
  </w:num>
  <w:num w:numId="26">
    <w:abstractNumId w:val="5"/>
  </w:num>
  <w:num w:numId="27">
    <w:abstractNumId w:val="3"/>
  </w:num>
  <w:num w:numId="28">
    <w:abstractNumId w:val="1"/>
  </w:num>
  <w:num w:numId="29">
    <w:abstractNumId w:val="36"/>
  </w:num>
  <w:num w:numId="30">
    <w:abstractNumId w:val="15"/>
  </w:num>
  <w:num w:numId="31">
    <w:abstractNumId w:val="39"/>
  </w:num>
  <w:num w:numId="32">
    <w:abstractNumId w:val="26"/>
  </w:num>
  <w:num w:numId="33">
    <w:abstractNumId w:val="23"/>
  </w:num>
  <w:num w:numId="34">
    <w:abstractNumId w:val="30"/>
  </w:num>
  <w:num w:numId="35">
    <w:abstractNumId w:val="41"/>
  </w:num>
  <w:num w:numId="36">
    <w:abstractNumId w:val="14"/>
  </w:num>
  <w:num w:numId="37">
    <w:abstractNumId w:val="18"/>
  </w:num>
  <w:num w:numId="38">
    <w:abstractNumId w:val="0"/>
  </w:num>
  <w:num w:numId="39">
    <w:abstractNumId w:val="48"/>
  </w:num>
  <w:num w:numId="40">
    <w:abstractNumId w:val="17"/>
  </w:num>
  <w:num w:numId="41">
    <w:abstractNumId w:val="21"/>
  </w:num>
  <w:num w:numId="42">
    <w:abstractNumId w:val="12"/>
  </w:num>
  <w:num w:numId="43">
    <w:abstractNumId w:val="35"/>
  </w:num>
  <w:num w:numId="44">
    <w:abstractNumId w:val="4"/>
  </w:num>
  <w:num w:numId="45">
    <w:abstractNumId w:val="42"/>
  </w:num>
  <w:num w:numId="46">
    <w:abstractNumId w:val="7"/>
  </w:num>
  <w:num w:numId="47">
    <w:abstractNumId w:val="38"/>
  </w:num>
  <w:num w:numId="48">
    <w:abstractNumId w:val="44"/>
  </w:num>
  <w:num w:numId="49">
    <w:abstractNumId w:val="4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B9CBD4-B66B-494A-B4AD-D1C721EEF729}"/>
    <w:docVar w:name="dgnword-eventsink" w:val="2533699811424"/>
  </w:docVars>
  <w:rsids>
    <w:rsidRoot w:val="00093030"/>
    <w:rsid w:val="000018AE"/>
    <w:rsid w:val="000060A7"/>
    <w:rsid w:val="00007CE3"/>
    <w:rsid w:val="00011AA1"/>
    <w:rsid w:val="00013458"/>
    <w:rsid w:val="00016245"/>
    <w:rsid w:val="00022B7D"/>
    <w:rsid w:val="00027A8B"/>
    <w:rsid w:val="00032E7D"/>
    <w:rsid w:val="00052E11"/>
    <w:rsid w:val="00055AB6"/>
    <w:rsid w:val="0006537F"/>
    <w:rsid w:val="00065A57"/>
    <w:rsid w:val="00070623"/>
    <w:rsid w:val="00071C02"/>
    <w:rsid w:val="000730D6"/>
    <w:rsid w:val="00076F33"/>
    <w:rsid w:val="00081125"/>
    <w:rsid w:val="0008291A"/>
    <w:rsid w:val="00082C3F"/>
    <w:rsid w:val="00083528"/>
    <w:rsid w:val="00084FF1"/>
    <w:rsid w:val="00091C5F"/>
    <w:rsid w:val="00091C85"/>
    <w:rsid w:val="00093030"/>
    <w:rsid w:val="00094A58"/>
    <w:rsid w:val="000A1483"/>
    <w:rsid w:val="000A1F50"/>
    <w:rsid w:val="000A2D44"/>
    <w:rsid w:val="000A7F49"/>
    <w:rsid w:val="000B422C"/>
    <w:rsid w:val="000D1290"/>
    <w:rsid w:val="000D7DB1"/>
    <w:rsid w:val="000E16FA"/>
    <w:rsid w:val="000E26E8"/>
    <w:rsid w:val="000E318D"/>
    <w:rsid w:val="000E39FC"/>
    <w:rsid w:val="000E5726"/>
    <w:rsid w:val="000F13C5"/>
    <w:rsid w:val="000F2ED1"/>
    <w:rsid w:val="001067E6"/>
    <w:rsid w:val="001077DF"/>
    <w:rsid w:val="00107B4C"/>
    <w:rsid w:val="00112230"/>
    <w:rsid w:val="00117E6E"/>
    <w:rsid w:val="00122128"/>
    <w:rsid w:val="0012460A"/>
    <w:rsid w:val="00127C53"/>
    <w:rsid w:val="00131C11"/>
    <w:rsid w:val="00134089"/>
    <w:rsid w:val="00134266"/>
    <w:rsid w:val="00134DFD"/>
    <w:rsid w:val="0013527F"/>
    <w:rsid w:val="00140E10"/>
    <w:rsid w:val="00142BD9"/>
    <w:rsid w:val="001441F0"/>
    <w:rsid w:val="0015193B"/>
    <w:rsid w:val="0016475E"/>
    <w:rsid w:val="00165F55"/>
    <w:rsid w:val="00166FFB"/>
    <w:rsid w:val="00170F0E"/>
    <w:rsid w:val="00174D50"/>
    <w:rsid w:val="001775CE"/>
    <w:rsid w:val="00182054"/>
    <w:rsid w:val="00184716"/>
    <w:rsid w:val="0018534A"/>
    <w:rsid w:val="00187D56"/>
    <w:rsid w:val="001919CF"/>
    <w:rsid w:val="00193056"/>
    <w:rsid w:val="00196C0D"/>
    <w:rsid w:val="001A35CC"/>
    <w:rsid w:val="001A48AD"/>
    <w:rsid w:val="001A5199"/>
    <w:rsid w:val="001B744C"/>
    <w:rsid w:val="001B7972"/>
    <w:rsid w:val="001C075A"/>
    <w:rsid w:val="001C1E57"/>
    <w:rsid w:val="001C260A"/>
    <w:rsid w:val="001C5C9A"/>
    <w:rsid w:val="001C734D"/>
    <w:rsid w:val="001D4654"/>
    <w:rsid w:val="001D6016"/>
    <w:rsid w:val="001E06B7"/>
    <w:rsid w:val="001E3E16"/>
    <w:rsid w:val="001E49B5"/>
    <w:rsid w:val="001E4EBA"/>
    <w:rsid w:val="001E5B50"/>
    <w:rsid w:val="001E6034"/>
    <w:rsid w:val="001F5659"/>
    <w:rsid w:val="00201946"/>
    <w:rsid w:val="002029DC"/>
    <w:rsid w:val="00203BD0"/>
    <w:rsid w:val="00207A3D"/>
    <w:rsid w:val="0021401E"/>
    <w:rsid w:val="00217C64"/>
    <w:rsid w:val="002206A8"/>
    <w:rsid w:val="00221386"/>
    <w:rsid w:val="00223DFD"/>
    <w:rsid w:val="002265FE"/>
    <w:rsid w:val="00230BE3"/>
    <w:rsid w:val="0023479D"/>
    <w:rsid w:val="00235261"/>
    <w:rsid w:val="002363F2"/>
    <w:rsid w:val="0023687E"/>
    <w:rsid w:val="00240526"/>
    <w:rsid w:val="00244ADF"/>
    <w:rsid w:val="00255DBD"/>
    <w:rsid w:val="00266001"/>
    <w:rsid w:val="002704FF"/>
    <w:rsid w:val="002765E9"/>
    <w:rsid w:val="0028231E"/>
    <w:rsid w:val="00282F3F"/>
    <w:rsid w:val="00284EB8"/>
    <w:rsid w:val="00285099"/>
    <w:rsid w:val="002866DB"/>
    <w:rsid w:val="002932D5"/>
    <w:rsid w:val="002975A9"/>
    <w:rsid w:val="002A02F4"/>
    <w:rsid w:val="002A084B"/>
    <w:rsid w:val="002A706E"/>
    <w:rsid w:val="002A7BA7"/>
    <w:rsid w:val="002B7D52"/>
    <w:rsid w:val="002C6FDB"/>
    <w:rsid w:val="002C7FF4"/>
    <w:rsid w:val="002D31F7"/>
    <w:rsid w:val="002D3E60"/>
    <w:rsid w:val="002D4ECE"/>
    <w:rsid w:val="002D52CE"/>
    <w:rsid w:val="002D7B47"/>
    <w:rsid w:val="002E0339"/>
    <w:rsid w:val="002E09F6"/>
    <w:rsid w:val="002E291E"/>
    <w:rsid w:val="002E6E72"/>
    <w:rsid w:val="002E757C"/>
    <w:rsid w:val="00300829"/>
    <w:rsid w:val="003051ED"/>
    <w:rsid w:val="00310732"/>
    <w:rsid w:val="00313410"/>
    <w:rsid w:val="0031434B"/>
    <w:rsid w:val="003201BA"/>
    <w:rsid w:val="00324B8C"/>
    <w:rsid w:val="00331780"/>
    <w:rsid w:val="00333FC9"/>
    <w:rsid w:val="00336B3B"/>
    <w:rsid w:val="0034122B"/>
    <w:rsid w:val="003421C4"/>
    <w:rsid w:val="00347D9D"/>
    <w:rsid w:val="00347F62"/>
    <w:rsid w:val="0035325C"/>
    <w:rsid w:val="00357B47"/>
    <w:rsid w:val="00362236"/>
    <w:rsid w:val="00367442"/>
    <w:rsid w:val="0037313E"/>
    <w:rsid w:val="0037450D"/>
    <w:rsid w:val="00376B59"/>
    <w:rsid w:val="00383BC1"/>
    <w:rsid w:val="00391441"/>
    <w:rsid w:val="00393917"/>
    <w:rsid w:val="00394507"/>
    <w:rsid w:val="00394DF3"/>
    <w:rsid w:val="003955D8"/>
    <w:rsid w:val="003A3CED"/>
    <w:rsid w:val="003B0EEF"/>
    <w:rsid w:val="003B46E9"/>
    <w:rsid w:val="003B530C"/>
    <w:rsid w:val="003C6877"/>
    <w:rsid w:val="003C72D8"/>
    <w:rsid w:val="003D0903"/>
    <w:rsid w:val="003D1916"/>
    <w:rsid w:val="003D1CEF"/>
    <w:rsid w:val="003D27CE"/>
    <w:rsid w:val="003D316E"/>
    <w:rsid w:val="003D6F92"/>
    <w:rsid w:val="003E2CA0"/>
    <w:rsid w:val="003E3019"/>
    <w:rsid w:val="003E4381"/>
    <w:rsid w:val="003E5044"/>
    <w:rsid w:val="003E7496"/>
    <w:rsid w:val="003F15D4"/>
    <w:rsid w:val="003F1885"/>
    <w:rsid w:val="003F4B7C"/>
    <w:rsid w:val="003F747F"/>
    <w:rsid w:val="00400887"/>
    <w:rsid w:val="0040435F"/>
    <w:rsid w:val="00404453"/>
    <w:rsid w:val="00405094"/>
    <w:rsid w:val="004056E7"/>
    <w:rsid w:val="004150FA"/>
    <w:rsid w:val="00416DF2"/>
    <w:rsid w:val="004200D9"/>
    <w:rsid w:val="00421D33"/>
    <w:rsid w:val="0042536C"/>
    <w:rsid w:val="00425E3B"/>
    <w:rsid w:val="0042745E"/>
    <w:rsid w:val="00434C13"/>
    <w:rsid w:val="00437780"/>
    <w:rsid w:val="00440F46"/>
    <w:rsid w:val="00442E3C"/>
    <w:rsid w:val="00443458"/>
    <w:rsid w:val="00444D02"/>
    <w:rsid w:val="0044794A"/>
    <w:rsid w:val="00447F20"/>
    <w:rsid w:val="00450BB6"/>
    <w:rsid w:val="00455B56"/>
    <w:rsid w:val="0046168C"/>
    <w:rsid w:val="004667E3"/>
    <w:rsid w:val="00467AD1"/>
    <w:rsid w:val="00471B47"/>
    <w:rsid w:val="004729CA"/>
    <w:rsid w:val="0047444A"/>
    <w:rsid w:val="00495E70"/>
    <w:rsid w:val="004A053C"/>
    <w:rsid w:val="004A1073"/>
    <w:rsid w:val="004A4692"/>
    <w:rsid w:val="004B1DC9"/>
    <w:rsid w:val="004B3A04"/>
    <w:rsid w:val="004B6FAA"/>
    <w:rsid w:val="004B7F95"/>
    <w:rsid w:val="004D3AE3"/>
    <w:rsid w:val="004D40E1"/>
    <w:rsid w:val="004E149A"/>
    <w:rsid w:val="004E44D3"/>
    <w:rsid w:val="004E566D"/>
    <w:rsid w:val="004E7336"/>
    <w:rsid w:val="0050000C"/>
    <w:rsid w:val="0050184C"/>
    <w:rsid w:val="00504FB0"/>
    <w:rsid w:val="0050777D"/>
    <w:rsid w:val="00510A3B"/>
    <w:rsid w:val="0051658A"/>
    <w:rsid w:val="00522FF8"/>
    <w:rsid w:val="0052349D"/>
    <w:rsid w:val="005239F8"/>
    <w:rsid w:val="00523C22"/>
    <w:rsid w:val="0052750D"/>
    <w:rsid w:val="0053728C"/>
    <w:rsid w:val="005414C3"/>
    <w:rsid w:val="005446E5"/>
    <w:rsid w:val="00553F83"/>
    <w:rsid w:val="00560A86"/>
    <w:rsid w:val="00564844"/>
    <w:rsid w:val="00564D29"/>
    <w:rsid w:val="00567A8B"/>
    <w:rsid w:val="0057332C"/>
    <w:rsid w:val="005743EF"/>
    <w:rsid w:val="005749ED"/>
    <w:rsid w:val="00575C90"/>
    <w:rsid w:val="005761C8"/>
    <w:rsid w:val="00590810"/>
    <w:rsid w:val="00591415"/>
    <w:rsid w:val="005915A3"/>
    <w:rsid w:val="00593915"/>
    <w:rsid w:val="00594408"/>
    <w:rsid w:val="00596B0E"/>
    <w:rsid w:val="005A05E0"/>
    <w:rsid w:val="005A1883"/>
    <w:rsid w:val="005A560C"/>
    <w:rsid w:val="005A7F62"/>
    <w:rsid w:val="005B65EE"/>
    <w:rsid w:val="005C06DB"/>
    <w:rsid w:val="005C37FF"/>
    <w:rsid w:val="005D5A13"/>
    <w:rsid w:val="005D7108"/>
    <w:rsid w:val="005E19CA"/>
    <w:rsid w:val="005E582A"/>
    <w:rsid w:val="005E58F3"/>
    <w:rsid w:val="005E71A7"/>
    <w:rsid w:val="005E7450"/>
    <w:rsid w:val="005E7A75"/>
    <w:rsid w:val="005E7E19"/>
    <w:rsid w:val="005F299F"/>
    <w:rsid w:val="005F4371"/>
    <w:rsid w:val="006027F2"/>
    <w:rsid w:val="00604732"/>
    <w:rsid w:val="006079D6"/>
    <w:rsid w:val="00613ACE"/>
    <w:rsid w:val="00617608"/>
    <w:rsid w:val="0062119A"/>
    <w:rsid w:val="00623F07"/>
    <w:rsid w:val="0062489F"/>
    <w:rsid w:val="00631451"/>
    <w:rsid w:val="00633FBD"/>
    <w:rsid w:val="006350FC"/>
    <w:rsid w:val="00636633"/>
    <w:rsid w:val="006450EF"/>
    <w:rsid w:val="00646935"/>
    <w:rsid w:val="00650AD3"/>
    <w:rsid w:val="00653D93"/>
    <w:rsid w:val="00660126"/>
    <w:rsid w:val="00663E55"/>
    <w:rsid w:val="00670467"/>
    <w:rsid w:val="00671C95"/>
    <w:rsid w:val="00672202"/>
    <w:rsid w:val="00673F6A"/>
    <w:rsid w:val="006746EA"/>
    <w:rsid w:val="006754B1"/>
    <w:rsid w:val="0068230D"/>
    <w:rsid w:val="006846D4"/>
    <w:rsid w:val="00684F1F"/>
    <w:rsid w:val="006940E6"/>
    <w:rsid w:val="006A3768"/>
    <w:rsid w:val="006A567B"/>
    <w:rsid w:val="006A645B"/>
    <w:rsid w:val="006A6599"/>
    <w:rsid w:val="006A71FB"/>
    <w:rsid w:val="006B2A00"/>
    <w:rsid w:val="006B4C2C"/>
    <w:rsid w:val="006B6DEE"/>
    <w:rsid w:val="006C5352"/>
    <w:rsid w:val="006D056D"/>
    <w:rsid w:val="006D15A8"/>
    <w:rsid w:val="006D7669"/>
    <w:rsid w:val="006E2142"/>
    <w:rsid w:val="006E4DC0"/>
    <w:rsid w:val="006F104B"/>
    <w:rsid w:val="006F6DDE"/>
    <w:rsid w:val="00700210"/>
    <w:rsid w:val="007107EB"/>
    <w:rsid w:val="00711110"/>
    <w:rsid w:val="007117F6"/>
    <w:rsid w:val="007136F4"/>
    <w:rsid w:val="0071371D"/>
    <w:rsid w:val="00722729"/>
    <w:rsid w:val="00724B3B"/>
    <w:rsid w:val="00730D37"/>
    <w:rsid w:val="00732236"/>
    <w:rsid w:val="00733F81"/>
    <w:rsid w:val="007365A6"/>
    <w:rsid w:val="00741905"/>
    <w:rsid w:val="0075096F"/>
    <w:rsid w:val="00752443"/>
    <w:rsid w:val="00756AB3"/>
    <w:rsid w:val="00757CC7"/>
    <w:rsid w:val="00762D44"/>
    <w:rsid w:val="00767812"/>
    <w:rsid w:val="00772756"/>
    <w:rsid w:val="00783757"/>
    <w:rsid w:val="00790A1D"/>
    <w:rsid w:val="007A1453"/>
    <w:rsid w:val="007A532F"/>
    <w:rsid w:val="007A6E50"/>
    <w:rsid w:val="007A6F3F"/>
    <w:rsid w:val="007A7A22"/>
    <w:rsid w:val="007B431A"/>
    <w:rsid w:val="007B6EFC"/>
    <w:rsid w:val="007C00E2"/>
    <w:rsid w:val="007C021C"/>
    <w:rsid w:val="007C4221"/>
    <w:rsid w:val="007C46B7"/>
    <w:rsid w:val="007D4A5B"/>
    <w:rsid w:val="007E3691"/>
    <w:rsid w:val="007E431D"/>
    <w:rsid w:val="007E638D"/>
    <w:rsid w:val="007F1E4F"/>
    <w:rsid w:val="007F2961"/>
    <w:rsid w:val="007F2999"/>
    <w:rsid w:val="007F5205"/>
    <w:rsid w:val="007F68D7"/>
    <w:rsid w:val="0081063E"/>
    <w:rsid w:val="00812F32"/>
    <w:rsid w:val="00813BE0"/>
    <w:rsid w:val="008160EF"/>
    <w:rsid w:val="00821C8E"/>
    <w:rsid w:val="008260B0"/>
    <w:rsid w:val="008355B1"/>
    <w:rsid w:val="00841DF3"/>
    <w:rsid w:val="00844EC6"/>
    <w:rsid w:val="00846AE9"/>
    <w:rsid w:val="008517F4"/>
    <w:rsid w:val="00853357"/>
    <w:rsid w:val="008544D1"/>
    <w:rsid w:val="00860556"/>
    <w:rsid w:val="00861C49"/>
    <w:rsid w:val="00864DEA"/>
    <w:rsid w:val="00866C23"/>
    <w:rsid w:val="008746E8"/>
    <w:rsid w:val="00876425"/>
    <w:rsid w:val="00880317"/>
    <w:rsid w:val="0088489B"/>
    <w:rsid w:val="00892135"/>
    <w:rsid w:val="008951B8"/>
    <w:rsid w:val="00897DF9"/>
    <w:rsid w:val="008A3AC8"/>
    <w:rsid w:val="008A41A0"/>
    <w:rsid w:val="008B5360"/>
    <w:rsid w:val="008B6094"/>
    <w:rsid w:val="008B6CDB"/>
    <w:rsid w:val="008C1640"/>
    <w:rsid w:val="008C1FC6"/>
    <w:rsid w:val="008C51ED"/>
    <w:rsid w:val="008C5F61"/>
    <w:rsid w:val="008C6109"/>
    <w:rsid w:val="008C6D5A"/>
    <w:rsid w:val="008C7022"/>
    <w:rsid w:val="008D43FD"/>
    <w:rsid w:val="008D659B"/>
    <w:rsid w:val="008E5ABD"/>
    <w:rsid w:val="008E7613"/>
    <w:rsid w:val="008F43A1"/>
    <w:rsid w:val="008F46D1"/>
    <w:rsid w:val="008F5F95"/>
    <w:rsid w:val="008F685F"/>
    <w:rsid w:val="0090041A"/>
    <w:rsid w:val="009004DD"/>
    <w:rsid w:val="00900C59"/>
    <w:rsid w:val="00907E84"/>
    <w:rsid w:val="00910241"/>
    <w:rsid w:val="00911895"/>
    <w:rsid w:val="0091589E"/>
    <w:rsid w:val="00920646"/>
    <w:rsid w:val="00923DB0"/>
    <w:rsid w:val="009251F5"/>
    <w:rsid w:val="009304B8"/>
    <w:rsid w:val="009318D8"/>
    <w:rsid w:val="00932A95"/>
    <w:rsid w:val="00942027"/>
    <w:rsid w:val="009433EF"/>
    <w:rsid w:val="009453D3"/>
    <w:rsid w:val="00950AA8"/>
    <w:rsid w:val="0095694C"/>
    <w:rsid w:val="00957CDA"/>
    <w:rsid w:val="00961A40"/>
    <w:rsid w:val="00962D58"/>
    <w:rsid w:val="00964764"/>
    <w:rsid w:val="00973471"/>
    <w:rsid w:val="00980736"/>
    <w:rsid w:val="00981275"/>
    <w:rsid w:val="00981AD3"/>
    <w:rsid w:val="009A0B6C"/>
    <w:rsid w:val="009A67B1"/>
    <w:rsid w:val="009B1264"/>
    <w:rsid w:val="009B14DA"/>
    <w:rsid w:val="009C163C"/>
    <w:rsid w:val="009C1F79"/>
    <w:rsid w:val="009C5501"/>
    <w:rsid w:val="009D1E16"/>
    <w:rsid w:val="009D3787"/>
    <w:rsid w:val="009D3AF2"/>
    <w:rsid w:val="009D4671"/>
    <w:rsid w:val="009D620C"/>
    <w:rsid w:val="009D73D8"/>
    <w:rsid w:val="009D7AC5"/>
    <w:rsid w:val="009E0903"/>
    <w:rsid w:val="009E1C6A"/>
    <w:rsid w:val="009E1EDB"/>
    <w:rsid w:val="009E240A"/>
    <w:rsid w:val="009E4078"/>
    <w:rsid w:val="009F55D6"/>
    <w:rsid w:val="00A04E56"/>
    <w:rsid w:val="00A04FA9"/>
    <w:rsid w:val="00A06A11"/>
    <w:rsid w:val="00A113B9"/>
    <w:rsid w:val="00A13A3E"/>
    <w:rsid w:val="00A14217"/>
    <w:rsid w:val="00A218FC"/>
    <w:rsid w:val="00A22386"/>
    <w:rsid w:val="00A32163"/>
    <w:rsid w:val="00A379CE"/>
    <w:rsid w:val="00A41232"/>
    <w:rsid w:val="00A4483E"/>
    <w:rsid w:val="00A462D4"/>
    <w:rsid w:val="00A5053C"/>
    <w:rsid w:val="00A521F6"/>
    <w:rsid w:val="00A52578"/>
    <w:rsid w:val="00A52869"/>
    <w:rsid w:val="00A60B38"/>
    <w:rsid w:val="00A67679"/>
    <w:rsid w:val="00A71D37"/>
    <w:rsid w:val="00A72CA1"/>
    <w:rsid w:val="00A72CE8"/>
    <w:rsid w:val="00A77719"/>
    <w:rsid w:val="00A801EC"/>
    <w:rsid w:val="00A833F0"/>
    <w:rsid w:val="00A90200"/>
    <w:rsid w:val="00A902FD"/>
    <w:rsid w:val="00AA033A"/>
    <w:rsid w:val="00AA28DC"/>
    <w:rsid w:val="00AA2A65"/>
    <w:rsid w:val="00AA2C95"/>
    <w:rsid w:val="00AA3D0B"/>
    <w:rsid w:val="00AA5394"/>
    <w:rsid w:val="00AB413D"/>
    <w:rsid w:val="00AB4FD9"/>
    <w:rsid w:val="00AB5C49"/>
    <w:rsid w:val="00AB7FC7"/>
    <w:rsid w:val="00AC0095"/>
    <w:rsid w:val="00AC7DA3"/>
    <w:rsid w:val="00AD1138"/>
    <w:rsid w:val="00AE1B0B"/>
    <w:rsid w:val="00AE54E2"/>
    <w:rsid w:val="00AF02CC"/>
    <w:rsid w:val="00AF18AD"/>
    <w:rsid w:val="00AF2181"/>
    <w:rsid w:val="00AF70D8"/>
    <w:rsid w:val="00AF7D07"/>
    <w:rsid w:val="00AF7F9A"/>
    <w:rsid w:val="00B0456C"/>
    <w:rsid w:val="00B0648D"/>
    <w:rsid w:val="00B06DC9"/>
    <w:rsid w:val="00B0744D"/>
    <w:rsid w:val="00B112D2"/>
    <w:rsid w:val="00B11A4B"/>
    <w:rsid w:val="00B151C2"/>
    <w:rsid w:val="00B16A67"/>
    <w:rsid w:val="00B20852"/>
    <w:rsid w:val="00B20A11"/>
    <w:rsid w:val="00B26F22"/>
    <w:rsid w:val="00B306E6"/>
    <w:rsid w:val="00B31127"/>
    <w:rsid w:val="00B3415B"/>
    <w:rsid w:val="00B35B0F"/>
    <w:rsid w:val="00B37EB1"/>
    <w:rsid w:val="00B47276"/>
    <w:rsid w:val="00B563E0"/>
    <w:rsid w:val="00B56726"/>
    <w:rsid w:val="00B60406"/>
    <w:rsid w:val="00B62747"/>
    <w:rsid w:val="00B65FC9"/>
    <w:rsid w:val="00B708DC"/>
    <w:rsid w:val="00B70EAB"/>
    <w:rsid w:val="00B72755"/>
    <w:rsid w:val="00B74F86"/>
    <w:rsid w:val="00B90881"/>
    <w:rsid w:val="00B9116D"/>
    <w:rsid w:val="00B9430E"/>
    <w:rsid w:val="00B95B9C"/>
    <w:rsid w:val="00BA7944"/>
    <w:rsid w:val="00BA7E7A"/>
    <w:rsid w:val="00BB1157"/>
    <w:rsid w:val="00BB1D9B"/>
    <w:rsid w:val="00BB64EF"/>
    <w:rsid w:val="00BC064F"/>
    <w:rsid w:val="00BC461C"/>
    <w:rsid w:val="00BC5EC7"/>
    <w:rsid w:val="00BD10B3"/>
    <w:rsid w:val="00BD3331"/>
    <w:rsid w:val="00BE31E3"/>
    <w:rsid w:val="00BE34D3"/>
    <w:rsid w:val="00BF1177"/>
    <w:rsid w:val="00BF12D5"/>
    <w:rsid w:val="00BF3215"/>
    <w:rsid w:val="00BF477D"/>
    <w:rsid w:val="00BF49E2"/>
    <w:rsid w:val="00BF49FB"/>
    <w:rsid w:val="00BF5039"/>
    <w:rsid w:val="00C015BE"/>
    <w:rsid w:val="00C04934"/>
    <w:rsid w:val="00C07C8B"/>
    <w:rsid w:val="00C10099"/>
    <w:rsid w:val="00C107BE"/>
    <w:rsid w:val="00C235EA"/>
    <w:rsid w:val="00C23D10"/>
    <w:rsid w:val="00C2774D"/>
    <w:rsid w:val="00C302E5"/>
    <w:rsid w:val="00C3268E"/>
    <w:rsid w:val="00C3501C"/>
    <w:rsid w:val="00C37D96"/>
    <w:rsid w:val="00C41D52"/>
    <w:rsid w:val="00C44DA7"/>
    <w:rsid w:val="00C44F5A"/>
    <w:rsid w:val="00C47317"/>
    <w:rsid w:val="00C509CB"/>
    <w:rsid w:val="00C54D10"/>
    <w:rsid w:val="00C54FBB"/>
    <w:rsid w:val="00C5554D"/>
    <w:rsid w:val="00C57276"/>
    <w:rsid w:val="00C5749B"/>
    <w:rsid w:val="00C5749C"/>
    <w:rsid w:val="00C62C8F"/>
    <w:rsid w:val="00C66485"/>
    <w:rsid w:val="00C66804"/>
    <w:rsid w:val="00C7061F"/>
    <w:rsid w:val="00C70C28"/>
    <w:rsid w:val="00C76E0D"/>
    <w:rsid w:val="00C90CD3"/>
    <w:rsid w:val="00C931F4"/>
    <w:rsid w:val="00C946B5"/>
    <w:rsid w:val="00C9641F"/>
    <w:rsid w:val="00C96C89"/>
    <w:rsid w:val="00C97A1F"/>
    <w:rsid w:val="00CA2EE2"/>
    <w:rsid w:val="00CA37FF"/>
    <w:rsid w:val="00CB09C0"/>
    <w:rsid w:val="00CB1335"/>
    <w:rsid w:val="00CB5F17"/>
    <w:rsid w:val="00CC45ED"/>
    <w:rsid w:val="00CC65BF"/>
    <w:rsid w:val="00CC7681"/>
    <w:rsid w:val="00CD468D"/>
    <w:rsid w:val="00CD52F6"/>
    <w:rsid w:val="00CD789A"/>
    <w:rsid w:val="00CE55AD"/>
    <w:rsid w:val="00CF0CE7"/>
    <w:rsid w:val="00CF35BC"/>
    <w:rsid w:val="00CF6D01"/>
    <w:rsid w:val="00D02AF3"/>
    <w:rsid w:val="00D03E68"/>
    <w:rsid w:val="00D06048"/>
    <w:rsid w:val="00D12200"/>
    <w:rsid w:val="00D12D00"/>
    <w:rsid w:val="00D15C35"/>
    <w:rsid w:val="00D1618F"/>
    <w:rsid w:val="00D20C60"/>
    <w:rsid w:val="00D27EFA"/>
    <w:rsid w:val="00D319D7"/>
    <w:rsid w:val="00D327E6"/>
    <w:rsid w:val="00D40202"/>
    <w:rsid w:val="00D40C4E"/>
    <w:rsid w:val="00D42BD6"/>
    <w:rsid w:val="00D441CA"/>
    <w:rsid w:val="00D452DD"/>
    <w:rsid w:val="00D475C1"/>
    <w:rsid w:val="00D51BE1"/>
    <w:rsid w:val="00D51E6F"/>
    <w:rsid w:val="00D575C5"/>
    <w:rsid w:val="00D60070"/>
    <w:rsid w:val="00D60C39"/>
    <w:rsid w:val="00D617EA"/>
    <w:rsid w:val="00D65397"/>
    <w:rsid w:val="00D74694"/>
    <w:rsid w:val="00D85D9A"/>
    <w:rsid w:val="00D863A5"/>
    <w:rsid w:val="00D93E5F"/>
    <w:rsid w:val="00D97450"/>
    <w:rsid w:val="00D97D4E"/>
    <w:rsid w:val="00DA000E"/>
    <w:rsid w:val="00DA3069"/>
    <w:rsid w:val="00DA439C"/>
    <w:rsid w:val="00DA4C28"/>
    <w:rsid w:val="00DA55D1"/>
    <w:rsid w:val="00DA7C66"/>
    <w:rsid w:val="00DB3774"/>
    <w:rsid w:val="00DB5BCD"/>
    <w:rsid w:val="00DC02F6"/>
    <w:rsid w:val="00DC13FF"/>
    <w:rsid w:val="00DC15B6"/>
    <w:rsid w:val="00DC33EE"/>
    <w:rsid w:val="00DD14CA"/>
    <w:rsid w:val="00DD58F6"/>
    <w:rsid w:val="00DD7215"/>
    <w:rsid w:val="00DE062D"/>
    <w:rsid w:val="00DE16D5"/>
    <w:rsid w:val="00DE3B81"/>
    <w:rsid w:val="00DF3EE7"/>
    <w:rsid w:val="00DF4EC9"/>
    <w:rsid w:val="00DF7184"/>
    <w:rsid w:val="00DF71BA"/>
    <w:rsid w:val="00E12C2C"/>
    <w:rsid w:val="00E13397"/>
    <w:rsid w:val="00E1591B"/>
    <w:rsid w:val="00E17576"/>
    <w:rsid w:val="00E2482A"/>
    <w:rsid w:val="00E24A8B"/>
    <w:rsid w:val="00E24D90"/>
    <w:rsid w:val="00E272ED"/>
    <w:rsid w:val="00E2796D"/>
    <w:rsid w:val="00E30FC2"/>
    <w:rsid w:val="00E31DD1"/>
    <w:rsid w:val="00E32D62"/>
    <w:rsid w:val="00E42D6B"/>
    <w:rsid w:val="00E4363E"/>
    <w:rsid w:val="00E518B9"/>
    <w:rsid w:val="00E53B6A"/>
    <w:rsid w:val="00E54771"/>
    <w:rsid w:val="00E57881"/>
    <w:rsid w:val="00E57C33"/>
    <w:rsid w:val="00E62F9F"/>
    <w:rsid w:val="00E704F1"/>
    <w:rsid w:val="00E70AAD"/>
    <w:rsid w:val="00E7128A"/>
    <w:rsid w:val="00E80E53"/>
    <w:rsid w:val="00E82E37"/>
    <w:rsid w:val="00E83180"/>
    <w:rsid w:val="00E97CAB"/>
    <w:rsid w:val="00EA4FCB"/>
    <w:rsid w:val="00EA659D"/>
    <w:rsid w:val="00EA69C9"/>
    <w:rsid w:val="00EA78CB"/>
    <w:rsid w:val="00EB119E"/>
    <w:rsid w:val="00EB4FAB"/>
    <w:rsid w:val="00EB6CAF"/>
    <w:rsid w:val="00EC0B92"/>
    <w:rsid w:val="00EC3997"/>
    <w:rsid w:val="00EE24D1"/>
    <w:rsid w:val="00EE2BDF"/>
    <w:rsid w:val="00EE62A9"/>
    <w:rsid w:val="00EF3562"/>
    <w:rsid w:val="00EF3AB2"/>
    <w:rsid w:val="00F05731"/>
    <w:rsid w:val="00F14614"/>
    <w:rsid w:val="00F27CC8"/>
    <w:rsid w:val="00F30BA4"/>
    <w:rsid w:val="00F32E87"/>
    <w:rsid w:val="00F420D4"/>
    <w:rsid w:val="00F421E8"/>
    <w:rsid w:val="00F42DC2"/>
    <w:rsid w:val="00F478BF"/>
    <w:rsid w:val="00F47F12"/>
    <w:rsid w:val="00F47FE8"/>
    <w:rsid w:val="00F5076A"/>
    <w:rsid w:val="00F55EA8"/>
    <w:rsid w:val="00F57D56"/>
    <w:rsid w:val="00F666CC"/>
    <w:rsid w:val="00F671E9"/>
    <w:rsid w:val="00F67E2A"/>
    <w:rsid w:val="00F732A4"/>
    <w:rsid w:val="00F74F71"/>
    <w:rsid w:val="00F82963"/>
    <w:rsid w:val="00F868EC"/>
    <w:rsid w:val="00F91CF5"/>
    <w:rsid w:val="00F93654"/>
    <w:rsid w:val="00F953C7"/>
    <w:rsid w:val="00F96CFF"/>
    <w:rsid w:val="00FA4CA9"/>
    <w:rsid w:val="00FA57E7"/>
    <w:rsid w:val="00FB450F"/>
    <w:rsid w:val="00FC1675"/>
    <w:rsid w:val="00FD38B7"/>
    <w:rsid w:val="00FD6A58"/>
    <w:rsid w:val="00FE0E2D"/>
    <w:rsid w:val="00FE1C10"/>
    <w:rsid w:val="00FE3433"/>
    <w:rsid w:val="00FE3BF3"/>
    <w:rsid w:val="00FE55D7"/>
    <w:rsid w:val="00FE7906"/>
    <w:rsid w:val="00FF2FE6"/>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CB54-0763-483D-8331-BDB3873B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3129</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Mokone</cp:lastModifiedBy>
  <cp:revision>3</cp:revision>
  <cp:lastPrinted>2023-09-08T10:18:00Z</cp:lastPrinted>
  <dcterms:created xsi:type="dcterms:W3CDTF">2023-09-13T12:58:00Z</dcterms:created>
  <dcterms:modified xsi:type="dcterms:W3CDTF">2023-09-13T13:01:00Z</dcterms:modified>
</cp:coreProperties>
</file>