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F4A" w:rsidRPr="006E7C0B" w:rsidRDefault="00C40F4A" w:rsidP="00BD3B29">
      <w:pPr>
        <w:spacing w:after="0" w:line="360" w:lineRule="auto"/>
        <w:contextualSpacing/>
        <w:jc w:val="center"/>
        <w:rPr>
          <w:rFonts w:ascii="Arial" w:hAnsi="Arial" w:cs="Arial"/>
          <w:b/>
          <w:bCs/>
          <w:sz w:val="24"/>
          <w:szCs w:val="24"/>
          <w:u w:val="single"/>
        </w:rPr>
      </w:pPr>
      <w:r w:rsidRPr="006E7C0B">
        <w:rPr>
          <w:rFonts w:ascii="Arial" w:hAnsi="Arial" w:cs="Arial"/>
          <w:noProof/>
          <w:color w:val="1F497D"/>
          <w:sz w:val="24"/>
          <w:szCs w:val="24"/>
          <w:lang w:val="en-US"/>
        </w:rPr>
        <w:drawing>
          <wp:anchor distT="0" distB="0" distL="114300" distR="114300" simplePos="0" relativeHeight="251658240" behindDoc="0" locked="0" layoutInCell="1" allowOverlap="1" wp14:anchorId="5B7F600D" wp14:editId="4094ABF6">
            <wp:simplePos x="3278038" y="914400"/>
            <wp:positionH relativeFrom="margin">
              <wp:align>center</wp:align>
            </wp:positionH>
            <wp:positionV relativeFrom="margin">
              <wp:align>top</wp:align>
            </wp:positionV>
            <wp:extent cx="1212850" cy="1162050"/>
            <wp:effectExtent l="0" t="0" r="6350" b="0"/>
            <wp:wrapSquare wrapText="bothSides"/>
            <wp:docPr id="1" name="Picture 1" descr="cid:image002.png@01D051A5.AB6D1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51A5.AB6D11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12850" cy="1162050"/>
                    </a:xfrm>
                    <a:prstGeom prst="rect">
                      <a:avLst/>
                    </a:prstGeom>
                    <a:noFill/>
                    <a:ln>
                      <a:noFill/>
                    </a:ln>
                  </pic:spPr>
                </pic:pic>
              </a:graphicData>
            </a:graphic>
          </wp:anchor>
        </w:drawing>
      </w:r>
    </w:p>
    <w:p w:rsidR="00BD3B29" w:rsidRPr="006E7C0B" w:rsidRDefault="00BD3B29" w:rsidP="00BD3B29">
      <w:pPr>
        <w:spacing w:after="0" w:line="360" w:lineRule="auto"/>
        <w:contextualSpacing/>
        <w:jc w:val="center"/>
        <w:rPr>
          <w:rFonts w:ascii="Arial" w:hAnsi="Arial" w:cs="Arial"/>
          <w:b/>
          <w:bCs/>
          <w:sz w:val="24"/>
          <w:szCs w:val="24"/>
          <w:u w:val="single"/>
        </w:rPr>
      </w:pPr>
    </w:p>
    <w:p w:rsidR="00BD3B29" w:rsidRPr="006E7C0B" w:rsidRDefault="00BD3B29" w:rsidP="00BD3B29">
      <w:pPr>
        <w:spacing w:after="0" w:line="360" w:lineRule="auto"/>
        <w:contextualSpacing/>
        <w:jc w:val="center"/>
        <w:rPr>
          <w:rFonts w:ascii="Arial" w:hAnsi="Arial" w:cs="Arial"/>
          <w:b/>
          <w:bCs/>
          <w:sz w:val="24"/>
          <w:szCs w:val="24"/>
          <w:u w:val="single"/>
        </w:rPr>
      </w:pPr>
    </w:p>
    <w:p w:rsidR="00BD3B29" w:rsidRPr="006E7C0B" w:rsidRDefault="00BD3B29" w:rsidP="00BD3B29">
      <w:pPr>
        <w:spacing w:after="0" w:line="360" w:lineRule="auto"/>
        <w:contextualSpacing/>
        <w:jc w:val="center"/>
        <w:rPr>
          <w:rFonts w:ascii="Arial" w:hAnsi="Arial" w:cs="Arial"/>
          <w:b/>
          <w:bCs/>
          <w:sz w:val="24"/>
          <w:szCs w:val="24"/>
          <w:u w:val="single"/>
        </w:rPr>
      </w:pPr>
    </w:p>
    <w:p w:rsidR="00BD3B29" w:rsidRPr="006E7C0B" w:rsidRDefault="00BD3B29" w:rsidP="00BD3B29">
      <w:pPr>
        <w:spacing w:after="0" w:line="360" w:lineRule="auto"/>
        <w:contextualSpacing/>
        <w:jc w:val="center"/>
        <w:rPr>
          <w:rFonts w:ascii="Arial" w:hAnsi="Arial" w:cs="Arial"/>
          <w:b/>
          <w:bCs/>
          <w:sz w:val="24"/>
          <w:szCs w:val="24"/>
          <w:u w:val="single"/>
        </w:rPr>
      </w:pPr>
    </w:p>
    <w:p w:rsidR="00C40F4A" w:rsidRPr="006E7C0B" w:rsidRDefault="00C40F4A" w:rsidP="00BD3B29">
      <w:pPr>
        <w:spacing w:after="0" w:line="360" w:lineRule="auto"/>
        <w:contextualSpacing/>
        <w:jc w:val="center"/>
        <w:rPr>
          <w:rFonts w:ascii="Arial" w:hAnsi="Arial" w:cs="Arial"/>
          <w:b/>
          <w:sz w:val="24"/>
          <w:szCs w:val="24"/>
        </w:rPr>
      </w:pPr>
      <w:r w:rsidRPr="006E7C0B">
        <w:rPr>
          <w:rFonts w:ascii="Arial" w:hAnsi="Arial" w:cs="Arial"/>
          <w:b/>
          <w:sz w:val="24"/>
          <w:szCs w:val="24"/>
        </w:rPr>
        <w:t>IN THE HIGH COURT OF SOUTH AFRICA</w:t>
      </w:r>
    </w:p>
    <w:p w:rsidR="00C40F4A" w:rsidRPr="006E7C0B" w:rsidRDefault="00C40F4A" w:rsidP="00BD3B29">
      <w:pPr>
        <w:spacing w:after="0" w:line="360" w:lineRule="auto"/>
        <w:contextualSpacing/>
        <w:jc w:val="center"/>
        <w:rPr>
          <w:rFonts w:ascii="Arial" w:hAnsi="Arial" w:cs="Arial"/>
          <w:b/>
          <w:sz w:val="24"/>
          <w:szCs w:val="24"/>
        </w:rPr>
      </w:pPr>
      <w:r w:rsidRPr="006E7C0B">
        <w:rPr>
          <w:rFonts w:ascii="Arial" w:hAnsi="Arial" w:cs="Arial"/>
          <w:b/>
          <w:sz w:val="24"/>
          <w:szCs w:val="24"/>
        </w:rPr>
        <w:t>KWAZULU–NATAL DIVISION, PIETERMARITZBURG</w:t>
      </w:r>
    </w:p>
    <w:p w:rsidR="00C40F4A" w:rsidRPr="006E7C0B" w:rsidRDefault="00C40F4A" w:rsidP="00BD3B29">
      <w:pPr>
        <w:spacing w:after="0" w:line="360" w:lineRule="auto"/>
        <w:contextualSpacing/>
        <w:jc w:val="both"/>
        <w:rPr>
          <w:rFonts w:ascii="Arial" w:hAnsi="Arial" w:cs="Arial"/>
          <w:b/>
          <w:sz w:val="24"/>
          <w:szCs w:val="24"/>
        </w:rPr>
      </w:pPr>
    </w:p>
    <w:p w:rsidR="00C40F4A" w:rsidRPr="00536BEB" w:rsidRDefault="00C40F4A" w:rsidP="00BD3B29">
      <w:pPr>
        <w:spacing w:after="0" w:line="360" w:lineRule="auto"/>
        <w:contextualSpacing/>
        <w:jc w:val="right"/>
        <w:rPr>
          <w:rFonts w:ascii="Arial" w:hAnsi="Arial" w:cs="Arial"/>
          <w:b/>
          <w:sz w:val="24"/>
          <w:szCs w:val="24"/>
        </w:rPr>
      </w:pPr>
      <w:r w:rsidRPr="00536BEB">
        <w:rPr>
          <w:rFonts w:ascii="Arial" w:hAnsi="Arial" w:cs="Arial"/>
          <w:b/>
          <w:sz w:val="24"/>
          <w:szCs w:val="24"/>
        </w:rPr>
        <w:t>Case No: 11530/</w:t>
      </w:r>
      <w:r w:rsidR="00621327" w:rsidRPr="00536BEB">
        <w:rPr>
          <w:rFonts w:ascii="Arial" w:hAnsi="Arial" w:cs="Arial"/>
          <w:b/>
          <w:sz w:val="24"/>
          <w:szCs w:val="24"/>
        </w:rPr>
        <w:t>20</w:t>
      </w:r>
      <w:r w:rsidRPr="00536BEB">
        <w:rPr>
          <w:rFonts w:ascii="Arial" w:hAnsi="Arial" w:cs="Arial"/>
          <w:b/>
          <w:sz w:val="24"/>
          <w:szCs w:val="24"/>
        </w:rPr>
        <w:t>21</w:t>
      </w:r>
      <w:r w:rsidR="00BD3B29" w:rsidRPr="00536BEB">
        <w:rPr>
          <w:rFonts w:ascii="Arial" w:hAnsi="Arial" w:cs="Arial"/>
          <w:b/>
          <w:sz w:val="24"/>
          <w:szCs w:val="24"/>
        </w:rPr>
        <w:t>P</w:t>
      </w:r>
    </w:p>
    <w:p w:rsidR="00C40F4A" w:rsidRPr="006E7C0B" w:rsidRDefault="00C40F4A" w:rsidP="00BD3B29">
      <w:pPr>
        <w:spacing w:after="0" w:line="360" w:lineRule="auto"/>
        <w:contextualSpacing/>
        <w:jc w:val="both"/>
        <w:rPr>
          <w:rFonts w:ascii="Arial" w:hAnsi="Arial" w:cs="Arial"/>
          <w:sz w:val="24"/>
          <w:szCs w:val="24"/>
        </w:rPr>
      </w:pPr>
    </w:p>
    <w:p w:rsidR="00C40F4A" w:rsidRPr="006E7C0B" w:rsidRDefault="00C40F4A" w:rsidP="00BD3B29">
      <w:pPr>
        <w:spacing w:after="0" w:line="360" w:lineRule="auto"/>
        <w:contextualSpacing/>
        <w:jc w:val="both"/>
        <w:rPr>
          <w:rFonts w:ascii="Arial" w:hAnsi="Arial" w:cs="Arial"/>
          <w:sz w:val="24"/>
          <w:szCs w:val="24"/>
        </w:rPr>
      </w:pPr>
      <w:r w:rsidRPr="006E7C0B">
        <w:rPr>
          <w:rFonts w:ascii="Arial" w:hAnsi="Arial" w:cs="Arial"/>
          <w:sz w:val="24"/>
          <w:szCs w:val="24"/>
        </w:rPr>
        <w:t>In the matter between:</w:t>
      </w:r>
    </w:p>
    <w:p w:rsidR="00C40F4A" w:rsidRPr="006E7C0B" w:rsidRDefault="00C40F4A" w:rsidP="00BD3B29">
      <w:pPr>
        <w:tabs>
          <w:tab w:val="right" w:pos="9072"/>
        </w:tabs>
        <w:spacing w:after="0" w:line="360" w:lineRule="auto"/>
        <w:contextualSpacing/>
        <w:jc w:val="both"/>
        <w:rPr>
          <w:rFonts w:ascii="Arial" w:hAnsi="Arial" w:cs="Arial"/>
          <w:b/>
          <w:sz w:val="24"/>
          <w:szCs w:val="24"/>
        </w:rPr>
      </w:pPr>
      <w:r w:rsidRPr="006E7C0B">
        <w:rPr>
          <w:rFonts w:ascii="Arial" w:hAnsi="Arial" w:cs="Arial"/>
          <w:b/>
          <w:sz w:val="24"/>
          <w:szCs w:val="24"/>
        </w:rPr>
        <w:t>NILE DUTCH AFRICA LINE B.V.</w:t>
      </w:r>
      <w:r w:rsidR="00BD3B29" w:rsidRPr="006E7C0B">
        <w:rPr>
          <w:rFonts w:ascii="Arial" w:hAnsi="Arial" w:cs="Arial"/>
          <w:b/>
          <w:sz w:val="24"/>
          <w:szCs w:val="24"/>
        </w:rPr>
        <w:tab/>
      </w:r>
      <w:r w:rsidRPr="006E7C0B">
        <w:rPr>
          <w:rFonts w:ascii="Arial" w:hAnsi="Arial" w:cs="Arial"/>
          <w:b/>
          <w:sz w:val="24"/>
          <w:szCs w:val="24"/>
        </w:rPr>
        <w:t>THE APPLICANT</w:t>
      </w:r>
    </w:p>
    <w:p w:rsidR="00BD3B29" w:rsidRPr="006E7C0B" w:rsidRDefault="00BD3B29" w:rsidP="00BD3B29">
      <w:pPr>
        <w:tabs>
          <w:tab w:val="right" w:pos="9072"/>
        </w:tabs>
        <w:spacing w:after="0" w:line="360" w:lineRule="auto"/>
        <w:contextualSpacing/>
        <w:jc w:val="both"/>
        <w:rPr>
          <w:rFonts w:ascii="Arial" w:hAnsi="Arial" w:cs="Arial"/>
          <w:sz w:val="24"/>
          <w:szCs w:val="24"/>
        </w:rPr>
      </w:pPr>
    </w:p>
    <w:p w:rsidR="00C40F4A" w:rsidRPr="006E7C0B" w:rsidRDefault="00C40F4A" w:rsidP="00BD3B29">
      <w:pPr>
        <w:tabs>
          <w:tab w:val="right" w:pos="9072"/>
        </w:tabs>
        <w:spacing w:after="0" w:line="360" w:lineRule="auto"/>
        <w:contextualSpacing/>
        <w:jc w:val="both"/>
        <w:rPr>
          <w:rFonts w:ascii="Arial" w:hAnsi="Arial" w:cs="Arial"/>
          <w:sz w:val="24"/>
          <w:szCs w:val="24"/>
        </w:rPr>
      </w:pPr>
      <w:r w:rsidRPr="006E7C0B">
        <w:rPr>
          <w:rFonts w:ascii="Arial" w:hAnsi="Arial" w:cs="Arial"/>
          <w:sz w:val="24"/>
          <w:szCs w:val="24"/>
        </w:rPr>
        <w:t>and</w:t>
      </w:r>
    </w:p>
    <w:p w:rsidR="00C40F4A" w:rsidRPr="006E7C0B" w:rsidRDefault="00C40F4A" w:rsidP="00BD3B29">
      <w:pPr>
        <w:tabs>
          <w:tab w:val="right" w:pos="9072"/>
        </w:tabs>
        <w:spacing w:after="0" w:line="360" w:lineRule="auto"/>
        <w:contextualSpacing/>
        <w:jc w:val="both"/>
        <w:rPr>
          <w:rFonts w:ascii="Arial" w:hAnsi="Arial" w:cs="Arial"/>
          <w:b/>
          <w:sz w:val="24"/>
          <w:szCs w:val="24"/>
        </w:rPr>
      </w:pPr>
    </w:p>
    <w:p w:rsidR="00C40F4A" w:rsidRPr="006E7C0B" w:rsidRDefault="00C40F4A" w:rsidP="00BD3B29">
      <w:pPr>
        <w:tabs>
          <w:tab w:val="right" w:pos="9072"/>
        </w:tabs>
        <w:spacing w:after="0" w:line="360" w:lineRule="auto"/>
        <w:contextualSpacing/>
        <w:jc w:val="both"/>
        <w:rPr>
          <w:rFonts w:ascii="Arial" w:hAnsi="Arial" w:cs="Arial"/>
          <w:b/>
          <w:sz w:val="24"/>
          <w:szCs w:val="24"/>
        </w:rPr>
      </w:pPr>
      <w:r w:rsidRPr="006E7C0B">
        <w:rPr>
          <w:rFonts w:ascii="Arial" w:hAnsi="Arial" w:cs="Arial"/>
          <w:b/>
          <w:sz w:val="24"/>
          <w:szCs w:val="24"/>
        </w:rPr>
        <w:t>CRYSTAL PIER SHIPPING PROPRIETARY LIMITED</w:t>
      </w:r>
      <w:r w:rsidR="00BD3B29" w:rsidRPr="006E7C0B">
        <w:rPr>
          <w:rFonts w:ascii="Arial" w:hAnsi="Arial" w:cs="Arial"/>
          <w:b/>
          <w:sz w:val="24"/>
          <w:szCs w:val="24"/>
        </w:rPr>
        <w:tab/>
      </w:r>
      <w:r w:rsidR="00FE438F" w:rsidRPr="006E7C0B">
        <w:rPr>
          <w:rFonts w:ascii="Arial" w:hAnsi="Arial" w:cs="Arial"/>
          <w:b/>
          <w:sz w:val="24"/>
          <w:szCs w:val="24"/>
        </w:rPr>
        <w:t>FI</w:t>
      </w:r>
      <w:r w:rsidRPr="006E7C0B">
        <w:rPr>
          <w:rFonts w:ascii="Arial" w:hAnsi="Arial" w:cs="Arial"/>
          <w:b/>
          <w:sz w:val="24"/>
          <w:szCs w:val="24"/>
        </w:rPr>
        <w:t>RST RESPONDENT</w:t>
      </w:r>
    </w:p>
    <w:p w:rsidR="00C40F4A" w:rsidRPr="006E7C0B" w:rsidRDefault="00C40F4A" w:rsidP="00BD3B29">
      <w:pPr>
        <w:tabs>
          <w:tab w:val="right" w:pos="9072"/>
        </w:tabs>
        <w:spacing w:after="0" w:line="360" w:lineRule="auto"/>
        <w:contextualSpacing/>
        <w:jc w:val="both"/>
        <w:rPr>
          <w:rFonts w:ascii="Arial" w:hAnsi="Arial" w:cs="Arial"/>
          <w:b/>
          <w:sz w:val="24"/>
          <w:szCs w:val="24"/>
        </w:rPr>
      </w:pPr>
      <w:r w:rsidRPr="006E7C0B">
        <w:rPr>
          <w:rFonts w:ascii="Arial" w:hAnsi="Arial" w:cs="Arial"/>
          <w:b/>
          <w:sz w:val="24"/>
          <w:szCs w:val="24"/>
        </w:rPr>
        <w:t>JO</w:t>
      </w:r>
      <w:r w:rsidR="00D03413">
        <w:rPr>
          <w:rFonts w:ascii="Arial" w:hAnsi="Arial" w:cs="Arial"/>
          <w:b/>
          <w:sz w:val="24"/>
          <w:szCs w:val="24"/>
        </w:rPr>
        <w:t>H</w:t>
      </w:r>
      <w:r w:rsidRPr="006E7C0B">
        <w:rPr>
          <w:rFonts w:ascii="Arial" w:hAnsi="Arial" w:cs="Arial"/>
          <w:b/>
          <w:sz w:val="24"/>
          <w:szCs w:val="24"/>
        </w:rPr>
        <w:t>NINE WINSOME ELSIE MADDOCKS N.O</w:t>
      </w:r>
      <w:r w:rsidR="00BD3B29" w:rsidRPr="006E7C0B">
        <w:rPr>
          <w:rFonts w:ascii="Arial" w:hAnsi="Arial" w:cs="Arial"/>
          <w:b/>
          <w:sz w:val="24"/>
          <w:szCs w:val="24"/>
        </w:rPr>
        <w:tab/>
      </w:r>
      <w:r w:rsidRPr="006E7C0B">
        <w:rPr>
          <w:rFonts w:ascii="Arial" w:hAnsi="Arial" w:cs="Arial"/>
          <w:b/>
          <w:sz w:val="24"/>
          <w:szCs w:val="24"/>
        </w:rPr>
        <w:t>SECOND RESPONDENT</w:t>
      </w:r>
    </w:p>
    <w:p w:rsidR="00BD3B29" w:rsidRPr="006E7C0B" w:rsidRDefault="00C40F4A" w:rsidP="00BD3B29">
      <w:pPr>
        <w:tabs>
          <w:tab w:val="right" w:pos="9072"/>
        </w:tabs>
        <w:spacing w:after="0" w:line="360" w:lineRule="auto"/>
        <w:contextualSpacing/>
        <w:jc w:val="both"/>
        <w:rPr>
          <w:rFonts w:ascii="Arial" w:hAnsi="Arial" w:cs="Arial"/>
          <w:b/>
          <w:sz w:val="24"/>
          <w:szCs w:val="24"/>
        </w:rPr>
      </w:pPr>
      <w:r w:rsidRPr="006E7C0B">
        <w:rPr>
          <w:rFonts w:ascii="Arial" w:hAnsi="Arial" w:cs="Arial"/>
          <w:b/>
          <w:sz w:val="24"/>
          <w:szCs w:val="24"/>
        </w:rPr>
        <w:t>THE COMPANIES AND INTELLECTUAL PROPERTY</w:t>
      </w:r>
    </w:p>
    <w:p w:rsidR="00BD3B29" w:rsidRPr="006E7C0B" w:rsidRDefault="00C40F4A" w:rsidP="00BD3B29">
      <w:pPr>
        <w:pBdr>
          <w:bottom w:val="single" w:sz="12" w:space="1" w:color="auto"/>
        </w:pBdr>
        <w:tabs>
          <w:tab w:val="right" w:pos="9072"/>
        </w:tabs>
        <w:spacing w:after="0" w:line="360" w:lineRule="auto"/>
        <w:contextualSpacing/>
        <w:jc w:val="both"/>
        <w:rPr>
          <w:rFonts w:ascii="Arial" w:hAnsi="Arial" w:cs="Arial"/>
          <w:b/>
          <w:sz w:val="24"/>
          <w:szCs w:val="24"/>
        </w:rPr>
      </w:pPr>
      <w:r w:rsidRPr="006E7C0B">
        <w:rPr>
          <w:rFonts w:ascii="Arial" w:hAnsi="Arial" w:cs="Arial"/>
          <w:b/>
          <w:sz w:val="24"/>
          <w:szCs w:val="24"/>
        </w:rPr>
        <w:t>COMMISSION</w:t>
      </w:r>
      <w:r w:rsidR="00BD3B29" w:rsidRPr="006E7C0B">
        <w:rPr>
          <w:rFonts w:ascii="Arial" w:hAnsi="Arial" w:cs="Arial"/>
          <w:b/>
          <w:sz w:val="24"/>
          <w:szCs w:val="24"/>
        </w:rPr>
        <w:tab/>
        <w:t>THIRD RESPONDENT</w:t>
      </w:r>
    </w:p>
    <w:p w:rsidR="00BD3B29" w:rsidRPr="006E7C0B" w:rsidRDefault="00BD3B29" w:rsidP="00BD3B29">
      <w:pPr>
        <w:pBdr>
          <w:bottom w:val="single" w:sz="12" w:space="1" w:color="auto"/>
        </w:pBdr>
        <w:tabs>
          <w:tab w:val="right" w:pos="9072"/>
        </w:tabs>
        <w:spacing w:after="0" w:line="360" w:lineRule="auto"/>
        <w:contextualSpacing/>
        <w:jc w:val="both"/>
        <w:rPr>
          <w:rFonts w:ascii="Arial" w:hAnsi="Arial" w:cs="Arial"/>
          <w:b/>
          <w:sz w:val="24"/>
          <w:szCs w:val="24"/>
        </w:rPr>
      </w:pPr>
    </w:p>
    <w:p w:rsidR="00BD3B29" w:rsidRPr="006E7C0B" w:rsidRDefault="00BD3B29" w:rsidP="00BD3B29">
      <w:pPr>
        <w:rPr>
          <w:rFonts w:ascii="Arial" w:hAnsi="Arial" w:cs="Arial"/>
          <w:sz w:val="24"/>
          <w:szCs w:val="24"/>
        </w:rPr>
      </w:pPr>
    </w:p>
    <w:p w:rsidR="00FE438F" w:rsidRPr="006E7C0B" w:rsidRDefault="00FE438F" w:rsidP="00BD3B29">
      <w:pPr>
        <w:pBdr>
          <w:bottom w:val="single" w:sz="12" w:space="1" w:color="auto"/>
        </w:pBdr>
        <w:jc w:val="center"/>
        <w:rPr>
          <w:rFonts w:ascii="Arial" w:hAnsi="Arial" w:cs="Arial"/>
          <w:b/>
          <w:sz w:val="24"/>
          <w:szCs w:val="24"/>
        </w:rPr>
      </w:pPr>
      <w:r w:rsidRPr="006E7C0B">
        <w:rPr>
          <w:rFonts w:ascii="Arial" w:hAnsi="Arial" w:cs="Arial"/>
          <w:b/>
          <w:sz w:val="24"/>
          <w:szCs w:val="24"/>
        </w:rPr>
        <w:t>JUDGMENT</w:t>
      </w:r>
    </w:p>
    <w:p w:rsidR="00BD3B29" w:rsidRPr="006E7C0B" w:rsidRDefault="00BD3B29" w:rsidP="00BD3B29">
      <w:pPr>
        <w:pBdr>
          <w:bottom w:val="single" w:sz="12" w:space="1" w:color="auto"/>
        </w:pBdr>
        <w:rPr>
          <w:rFonts w:ascii="Arial" w:hAnsi="Arial" w:cs="Arial"/>
          <w:sz w:val="24"/>
          <w:szCs w:val="24"/>
        </w:rPr>
      </w:pPr>
    </w:p>
    <w:p w:rsidR="00BD3B29" w:rsidRPr="001F66F7" w:rsidRDefault="002C2C5A" w:rsidP="001F66F7">
      <w:pPr>
        <w:spacing w:after="0" w:line="360" w:lineRule="auto"/>
        <w:jc w:val="both"/>
        <w:rPr>
          <w:rFonts w:ascii="Arial" w:hAnsi="Arial" w:cs="Arial"/>
          <w:b/>
          <w:sz w:val="24"/>
          <w:szCs w:val="24"/>
        </w:rPr>
      </w:pPr>
      <w:r w:rsidRPr="001F66F7">
        <w:rPr>
          <w:rFonts w:ascii="Arial" w:hAnsi="Arial" w:cs="Arial"/>
          <w:b/>
          <w:sz w:val="24"/>
          <w:szCs w:val="24"/>
        </w:rPr>
        <w:t>Shoba AJ</w:t>
      </w:r>
    </w:p>
    <w:p w:rsidR="00FE438F"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1</w:t>
      </w:r>
      <w:r w:rsidRPr="001F66F7">
        <w:rPr>
          <w:rFonts w:ascii="Arial" w:hAnsi="Arial" w:cs="Arial"/>
          <w:sz w:val="24"/>
          <w:szCs w:val="24"/>
        </w:rPr>
        <w:t>]</w:t>
      </w:r>
      <w:r w:rsidRPr="001F66F7">
        <w:rPr>
          <w:rFonts w:ascii="Arial" w:hAnsi="Arial" w:cs="Arial"/>
          <w:sz w:val="24"/>
          <w:szCs w:val="24"/>
        </w:rPr>
        <w:tab/>
      </w:r>
      <w:r w:rsidR="00FE438F" w:rsidRPr="001F66F7">
        <w:rPr>
          <w:rFonts w:ascii="Arial" w:hAnsi="Arial" w:cs="Arial"/>
          <w:sz w:val="24"/>
          <w:szCs w:val="24"/>
        </w:rPr>
        <w:t xml:space="preserve">This is an application </w:t>
      </w:r>
      <w:r w:rsidR="001760CA" w:rsidRPr="001F66F7">
        <w:rPr>
          <w:rFonts w:ascii="Arial" w:hAnsi="Arial" w:cs="Arial"/>
          <w:sz w:val="24"/>
          <w:szCs w:val="24"/>
        </w:rPr>
        <w:t xml:space="preserve">for </w:t>
      </w:r>
      <w:r w:rsidR="007D75B2" w:rsidRPr="001F66F7">
        <w:rPr>
          <w:rFonts w:ascii="Arial" w:hAnsi="Arial" w:cs="Arial"/>
          <w:sz w:val="24"/>
          <w:szCs w:val="24"/>
        </w:rPr>
        <w:t xml:space="preserve">the </w:t>
      </w:r>
      <w:r w:rsidR="00FE438F" w:rsidRPr="001F66F7">
        <w:rPr>
          <w:rFonts w:ascii="Arial" w:hAnsi="Arial" w:cs="Arial"/>
          <w:sz w:val="24"/>
          <w:szCs w:val="24"/>
        </w:rPr>
        <w:t>final winding</w:t>
      </w:r>
      <w:r w:rsidR="007D75B2" w:rsidRPr="001F66F7">
        <w:rPr>
          <w:rFonts w:ascii="Arial" w:hAnsi="Arial" w:cs="Arial"/>
          <w:sz w:val="24"/>
          <w:szCs w:val="24"/>
        </w:rPr>
        <w:t>-</w:t>
      </w:r>
      <w:r w:rsidR="001760CA" w:rsidRPr="001F66F7">
        <w:rPr>
          <w:rFonts w:ascii="Arial" w:hAnsi="Arial" w:cs="Arial"/>
          <w:sz w:val="24"/>
          <w:szCs w:val="24"/>
        </w:rPr>
        <w:t>up of</w:t>
      </w:r>
      <w:r w:rsidR="00FE438F" w:rsidRPr="001F66F7">
        <w:rPr>
          <w:rFonts w:ascii="Arial" w:hAnsi="Arial" w:cs="Arial"/>
          <w:sz w:val="24"/>
          <w:szCs w:val="24"/>
        </w:rPr>
        <w:t xml:space="preserve"> the first respondent</w:t>
      </w:r>
      <w:r w:rsidRPr="001F66F7">
        <w:rPr>
          <w:rFonts w:ascii="Arial" w:hAnsi="Arial" w:cs="Arial"/>
          <w:sz w:val="24"/>
          <w:szCs w:val="24"/>
        </w:rPr>
        <w:t>.</w:t>
      </w:r>
    </w:p>
    <w:p w:rsidR="0036761D" w:rsidRPr="001F66F7" w:rsidRDefault="0036761D" w:rsidP="001F66F7">
      <w:pPr>
        <w:spacing w:after="0" w:line="360" w:lineRule="auto"/>
        <w:contextualSpacing/>
        <w:jc w:val="both"/>
        <w:rPr>
          <w:rFonts w:ascii="Arial" w:hAnsi="Arial" w:cs="Arial"/>
          <w:b/>
          <w:sz w:val="24"/>
          <w:szCs w:val="24"/>
        </w:rPr>
      </w:pPr>
    </w:p>
    <w:p w:rsidR="00FE438F" w:rsidRPr="001F66F7" w:rsidRDefault="001760CA" w:rsidP="001F66F7">
      <w:pPr>
        <w:spacing w:after="0" w:line="360" w:lineRule="auto"/>
        <w:contextualSpacing/>
        <w:jc w:val="both"/>
        <w:rPr>
          <w:rFonts w:ascii="Arial" w:hAnsi="Arial" w:cs="Arial"/>
          <w:b/>
          <w:sz w:val="24"/>
          <w:szCs w:val="24"/>
        </w:rPr>
      </w:pPr>
      <w:r w:rsidRPr="001F66F7">
        <w:rPr>
          <w:rFonts w:ascii="Arial" w:hAnsi="Arial" w:cs="Arial"/>
          <w:b/>
          <w:sz w:val="24"/>
          <w:szCs w:val="24"/>
        </w:rPr>
        <w:t>Parties</w:t>
      </w:r>
    </w:p>
    <w:p w:rsidR="001760CA"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2</w:t>
      </w:r>
      <w:r w:rsidRPr="001F66F7">
        <w:rPr>
          <w:rFonts w:ascii="Arial" w:hAnsi="Arial" w:cs="Arial"/>
          <w:sz w:val="24"/>
          <w:szCs w:val="24"/>
        </w:rPr>
        <w:t>]</w:t>
      </w:r>
      <w:r w:rsidRPr="001F66F7">
        <w:rPr>
          <w:rFonts w:ascii="Arial" w:hAnsi="Arial" w:cs="Arial"/>
          <w:sz w:val="24"/>
          <w:szCs w:val="24"/>
        </w:rPr>
        <w:tab/>
      </w:r>
      <w:r w:rsidR="001760CA" w:rsidRPr="001F66F7">
        <w:rPr>
          <w:rFonts w:ascii="Arial" w:hAnsi="Arial" w:cs="Arial"/>
          <w:sz w:val="24"/>
          <w:szCs w:val="24"/>
        </w:rPr>
        <w:t>The applicant is Nile Dutch Africa Line BV</w:t>
      </w:r>
      <w:r w:rsidR="00D14E4C" w:rsidRPr="001F66F7">
        <w:rPr>
          <w:rFonts w:ascii="Arial" w:hAnsi="Arial" w:cs="Arial"/>
          <w:sz w:val="24"/>
          <w:szCs w:val="24"/>
        </w:rPr>
        <w:t xml:space="preserve"> (Nile Dutch)</w:t>
      </w:r>
      <w:r w:rsidR="001760CA" w:rsidRPr="001F66F7">
        <w:rPr>
          <w:rFonts w:ascii="Arial" w:hAnsi="Arial" w:cs="Arial"/>
          <w:sz w:val="24"/>
          <w:szCs w:val="24"/>
        </w:rPr>
        <w:t xml:space="preserve">, a company incorporated in </w:t>
      </w:r>
      <w:r w:rsidR="00331B70" w:rsidRPr="001F66F7">
        <w:rPr>
          <w:rFonts w:ascii="Arial" w:hAnsi="Arial" w:cs="Arial"/>
          <w:sz w:val="24"/>
          <w:szCs w:val="24"/>
        </w:rPr>
        <w:t xml:space="preserve">the </w:t>
      </w:r>
      <w:r w:rsidR="001760CA" w:rsidRPr="001F66F7">
        <w:rPr>
          <w:rFonts w:ascii="Arial" w:hAnsi="Arial" w:cs="Arial"/>
          <w:sz w:val="24"/>
          <w:szCs w:val="24"/>
        </w:rPr>
        <w:t>Netherlands, with its registered address in Rotterdam.</w:t>
      </w:r>
    </w:p>
    <w:p w:rsidR="00F10444" w:rsidRPr="001F66F7" w:rsidRDefault="00F10444" w:rsidP="001F66F7">
      <w:pPr>
        <w:spacing w:after="0" w:line="360" w:lineRule="auto"/>
        <w:contextualSpacing/>
        <w:jc w:val="both"/>
        <w:rPr>
          <w:rFonts w:ascii="Arial" w:hAnsi="Arial" w:cs="Arial"/>
          <w:sz w:val="24"/>
          <w:szCs w:val="24"/>
        </w:rPr>
      </w:pPr>
    </w:p>
    <w:p w:rsidR="001760CA"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3</w:t>
      </w:r>
      <w:r w:rsidRPr="001F66F7">
        <w:rPr>
          <w:rFonts w:ascii="Arial" w:hAnsi="Arial" w:cs="Arial"/>
          <w:sz w:val="24"/>
          <w:szCs w:val="24"/>
        </w:rPr>
        <w:t>]</w:t>
      </w:r>
      <w:r w:rsidRPr="001F66F7">
        <w:rPr>
          <w:rFonts w:ascii="Arial" w:hAnsi="Arial" w:cs="Arial"/>
          <w:sz w:val="24"/>
          <w:szCs w:val="24"/>
        </w:rPr>
        <w:tab/>
      </w:r>
      <w:r w:rsidR="001760CA" w:rsidRPr="001F66F7">
        <w:rPr>
          <w:rFonts w:ascii="Arial" w:hAnsi="Arial" w:cs="Arial"/>
          <w:sz w:val="24"/>
          <w:szCs w:val="24"/>
        </w:rPr>
        <w:t xml:space="preserve">The </w:t>
      </w:r>
      <w:r w:rsidR="005A461F" w:rsidRPr="001F66F7">
        <w:rPr>
          <w:rFonts w:ascii="Arial" w:hAnsi="Arial" w:cs="Arial"/>
          <w:sz w:val="24"/>
          <w:szCs w:val="24"/>
        </w:rPr>
        <w:t>f</w:t>
      </w:r>
      <w:r w:rsidR="001760CA" w:rsidRPr="001F66F7">
        <w:rPr>
          <w:rFonts w:ascii="Arial" w:hAnsi="Arial" w:cs="Arial"/>
          <w:sz w:val="24"/>
          <w:szCs w:val="24"/>
        </w:rPr>
        <w:t xml:space="preserve">irst </w:t>
      </w:r>
      <w:r w:rsidR="005A461F" w:rsidRPr="001F66F7">
        <w:rPr>
          <w:rFonts w:ascii="Arial" w:hAnsi="Arial" w:cs="Arial"/>
          <w:sz w:val="24"/>
          <w:szCs w:val="24"/>
        </w:rPr>
        <w:t>r</w:t>
      </w:r>
      <w:r w:rsidR="001760CA" w:rsidRPr="001F66F7">
        <w:rPr>
          <w:rFonts w:ascii="Arial" w:hAnsi="Arial" w:cs="Arial"/>
          <w:sz w:val="24"/>
          <w:szCs w:val="24"/>
        </w:rPr>
        <w:t xml:space="preserve">espondent is Crystal Pier Shipping </w:t>
      </w:r>
      <w:r w:rsidR="00B111E0" w:rsidRPr="001F66F7">
        <w:rPr>
          <w:rFonts w:ascii="Arial" w:hAnsi="Arial" w:cs="Arial"/>
          <w:sz w:val="24"/>
          <w:szCs w:val="24"/>
        </w:rPr>
        <w:t>(Pty) Ltd</w:t>
      </w:r>
      <w:r w:rsidR="001760CA" w:rsidRPr="001F66F7">
        <w:rPr>
          <w:rFonts w:ascii="Arial" w:hAnsi="Arial" w:cs="Arial"/>
          <w:sz w:val="24"/>
          <w:szCs w:val="24"/>
        </w:rPr>
        <w:t xml:space="preserve"> (Crystal Pier)</w:t>
      </w:r>
      <w:r w:rsidRPr="001F66F7">
        <w:rPr>
          <w:rFonts w:ascii="Arial" w:hAnsi="Arial" w:cs="Arial"/>
          <w:sz w:val="24"/>
          <w:szCs w:val="24"/>
        </w:rPr>
        <w:t xml:space="preserve">. </w:t>
      </w:r>
      <w:r w:rsidR="001760CA" w:rsidRPr="001F66F7">
        <w:rPr>
          <w:rFonts w:ascii="Arial" w:hAnsi="Arial" w:cs="Arial"/>
          <w:sz w:val="24"/>
          <w:szCs w:val="24"/>
        </w:rPr>
        <w:t xml:space="preserve">Crystal Pier is a company duly registered and incorporated in accordance with </w:t>
      </w:r>
      <w:r w:rsidR="005A461F" w:rsidRPr="001F66F7">
        <w:rPr>
          <w:rFonts w:ascii="Arial" w:hAnsi="Arial" w:cs="Arial"/>
          <w:sz w:val="24"/>
          <w:szCs w:val="24"/>
        </w:rPr>
        <w:t>the l</w:t>
      </w:r>
      <w:r w:rsidR="001760CA" w:rsidRPr="001F66F7">
        <w:rPr>
          <w:rFonts w:ascii="Arial" w:hAnsi="Arial" w:cs="Arial"/>
          <w:sz w:val="24"/>
          <w:szCs w:val="24"/>
        </w:rPr>
        <w:t>aws of South Africa. Its registered office is situated in Pietermaritzburg, KwaZulu</w:t>
      </w:r>
      <w:r w:rsidR="005A461F" w:rsidRPr="001F66F7">
        <w:rPr>
          <w:rFonts w:ascii="Arial" w:hAnsi="Arial" w:cs="Arial"/>
          <w:sz w:val="24"/>
          <w:szCs w:val="24"/>
        </w:rPr>
        <w:t>-</w:t>
      </w:r>
      <w:r w:rsidR="001760CA" w:rsidRPr="001F66F7">
        <w:rPr>
          <w:rFonts w:ascii="Arial" w:hAnsi="Arial" w:cs="Arial"/>
          <w:sz w:val="24"/>
          <w:szCs w:val="24"/>
        </w:rPr>
        <w:t>Natal.</w:t>
      </w:r>
      <w:r w:rsidR="00040447" w:rsidRPr="001F66F7">
        <w:rPr>
          <w:rFonts w:ascii="Arial" w:hAnsi="Arial" w:cs="Arial"/>
          <w:sz w:val="24"/>
          <w:szCs w:val="24"/>
        </w:rPr>
        <w:t xml:space="preserve"> </w:t>
      </w:r>
      <w:r w:rsidR="001760CA" w:rsidRPr="001F66F7">
        <w:rPr>
          <w:rFonts w:ascii="Arial" w:hAnsi="Arial" w:cs="Arial"/>
          <w:sz w:val="24"/>
          <w:szCs w:val="24"/>
        </w:rPr>
        <w:t xml:space="preserve">The directors of Crystal Pier are </w:t>
      </w:r>
      <w:r w:rsidR="00040447" w:rsidRPr="001F66F7">
        <w:rPr>
          <w:rFonts w:ascii="Arial" w:hAnsi="Arial" w:cs="Arial"/>
          <w:sz w:val="24"/>
          <w:szCs w:val="24"/>
        </w:rPr>
        <w:t xml:space="preserve">Messrs </w:t>
      </w:r>
      <w:r w:rsidR="001760CA" w:rsidRPr="001F66F7">
        <w:rPr>
          <w:rFonts w:ascii="Arial" w:hAnsi="Arial" w:cs="Arial"/>
          <w:sz w:val="24"/>
          <w:szCs w:val="24"/>
        </w:rPr>
        <w:t>Pravin Bechan Parsad and Rishaal Parsad</w:t>
      </w:r>
      <w:r w:rsidR="00040447" w:rsidRPr="001F66F7">
        <w:rPr>
          <w:rFonts w:ascii="Arial" w:hAnsi="Arial" w:cs="Arial"/>
          <w:sz w:val="24"/>
          <w:szCs w:val="24"/>
        </w:rPr>
        <w:t xml:space="preserve"> </w:t>
      </w:r>
      <w:r w:rsidR="001760CA" w:rsidRPr="001F66F7">
        <w:rPr>
          <w:rFonts w:ascii="Arial" w:hAnsi="Arial" w:cs="Arial"/>
          <w:sz w:val="24"/>
          <w:szCs w:val="24"/>
        </w:rPr>
        <w:t>(the directors).</w:t>
      </w:r>
    </w:p>
    <w:p w:rsidR="001760CA" w:rsidRPr="001F66F7" w:rsidRDefault="001760CA" w:rsidP="001F66F7">
      <w:pPr>
        <w:spacing w:after="0" w:line="360" w:lineRule="auto"/>
        <w:contextualSpacing/>
        <w:jc w:val="both"/>
        <w:rPr>
          <w:rFonts w:ascii="Arial" w:hAnsi="Arial" w:cs="Arial"/>
          <w:sz w:val="24"/>
          <w:szCs w:val="24"/>
        </w:rPr>
      </w:pPr>
    </w:p>
    <w:p w:rsidR="001760CA"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4</w:t>
      </w:r>
      <w:r w:rsidRPr="001F66F7">
        <w:rPr>
          <w:rFonts w:ascii="Arial" w:hAnsi="Arial" w:cs="Arial"/>
          <w:sz w:val="24"/>
          <w:szCs w:val="24"/>
        </w:rPr>
        <w:t>]</w:t>
      </w:r>
      <w:r w:rsidRPr="001F66F7">
        <w:rPr>
          <w:rFonts w:ascii="Arial" w:hAnsi="Arial" w:cs="Arial"/>
          <w:sz w:val="24"/>
          <w:szCs w:val="24"/>
        </w:rPr>
        <w:tab/>
      </w:r>
      <w:r w:rsidR="00040447" w:rsidRPr="001F66F7">
        <w:rPr>
          <w:rFonts w:ascii="Arial" w:hAnsi="Arial" w:cs="Arial"/>
          <w:sz w:val="24"/>
          <w:szCs w:val="24"/>
        </w:rPr>
        <w:t>The s</w:t>
      </w:r>
      <w:r w:rsidR="001760CA" w:rsidRPr="001F66F7">
        <w:rPr>
          <w:rFonts w:ascii="Arial" w:hAnsi="Arial" w:cs="Arial"/>
          <w:sz w:val="24"/>
          <w:szCs w:val="24"/>
        </w:rPr>
        <w:t>econd respondent is John</w:t>
      </w:r>
      <w:r w:rsidR="00D03413" w:rsidRPr="001F66F7">
        <w:rPr>
          <w:rFonts w:ascii="Arial" w:hAnsi="Arial" w:cs="Arial"/>
          <w:sz w:val="24"/>
          <w:szCs w:val="24"/>
        </w:rPr>
        <w:t>i</w:t>
      </w:r>
      <w:r w:rsidR="001760CA" w:rsidRPr="001F66F7">
        <w:rPr>
          <w:rFonts w:ascii="Arial" w:hAnsi="Arial" w:cs="Arial"/>
          <w:sz w:val="24"/>
          <w:szCs w:val="24"/>
        </w:rPr>
        <w:t>ne Winsome Elsie Maddocks N.O (Ms Maddocks</w:t>
      </w:r>
      <w:r w:rsidR="00D14E4C" w:rsidRPr="001F66F7">
        <w:rPr>
          <w:rFonts w:ascii="Arial" w:hAnsi="Arial" w:cs="Arial"/>
          <w:sz w:val="24"/>
          <w:szCs w:val="24"/>
        </w:rPr>
        <w:t>)</w:t>
      </w:r>
      <w:r w:rsidR="001760CA" w:rsidRPr="001F66F7">
        <w:rPr>
          <w:rFonts w:ascii="Arial" w:hAnsi="Arial" w:cs="Arial"/>
          <w:sz w:val="24"/>
          <w:szCs w:val="24"/>
        </w:rPr>
        <w:t xml:space="preserve"> with her residential address in Pietermaritzburg. </w:t>
      </w:r>
      <w:r w:rsidR="00D14E4C" w:rsidRPr="001F66F7">
        <w:rPr>
          <w:rFonts w:ascii="Arial" w:hAnsi="Arial" w:cs="Arial"/>
          <w:sz w:val="24"/>
          <w:szCs w:val="24"/>
        </w:rPr>
        <w:t xml:space="preserve">She is </w:t>
      </w:r>
      <w:r w:rsidR="001760CA" w:rsidRPr="001F66F7">
        <w:rPr>
          <w:rFonts w:ascii="Arial" w:hAnsi="Arial" w:cs="Arial"/>
          <w:sz w:val="24"/>
          <w:szCs w:val="24"/>
        </w:rPr>
        <w:t xml:space="preserve">cited in her capacity as </w:t>
      </w:r>
      <w:r w:rsidR="00D14E4C" w:rsidRPr="001F66F7">
        <w:rPr>
          <w:rFonts w:ascii="Arial" w:hAnsi="Arial" w:cs="Arial"/>
          <w:sz w:val="24"/>
          <w:szCs w:val="24"/>
        </w:rPr>
        <w:t xml:space="preserve">the </w:t>
      </w:r>
      <w:r w:rsidR="001760CA" w:rsidRPr="001F66F7">
        <w:rPr>
          <w:rFonts w:ascii="Arial" w:hAnsi="Arial" w:cs="Arial"/>
          <w:sz w:val="24"/>
          <w:szCs w:val="24"/>
        </w:rPr>
        <w:t>business rescue practitioner of Crystal Pier</w:t>
      </w:r>
      <w:r w:rsidR="00D47A2E">
        <w:rPr>
          <w:rFonts w:ascii="Arial" w:hAnsi="Arial" w:cs="Arial"/>
          <w:sz w:val="24"/>
          <w:szCs w:val="24"/>
        </w:rPr>
        <w:t>.</w:t>
      </w:r>
    </w:p>
    <w:p w:rsidR="001760CA" w:rsidRPr="001F66F7" w:rsidRDefault="001760CA" w:rsidP="001F66F7">
      <w:pPr>
        <w:spacing w:after="0" w:line="360" w:lineRule="auto"/>
        <w:contextualSpacing/>
        <w:jc w:val="both"/>
        <w:rPr>
          <w:rFonts w:ascii="Arial" w:hAnsi="Arial" w:cs="Arial"/>
          <w:sz w:val="24"/>
          <w:szCs w:val="24"/>
        </w:rPr>
      </w:pPr>
    </w:p>
    <w:p w:rsidR="001760CA"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5</w:t>
      </w:r>
      <w:r w:rsidRPr="001F66F7">
        <w:rPr>
          <w:rFonts w:ascii="Arial" w:hAnsi="Arial" w:cs="Arial"/>
          <w:sz w:val="24"/>
          <w:szCs w:val="24"/>
        </w:rPr>
        <w:t>]</w:t>
      </w:r>
      <w:r w:rsidRPr="001F66F7">
        <w:rPr>
          <w:rFonts w:ascii="Arial" w:hAnsi="Arial" w:cs="Arial"/>
          <w:sz w:val="24"/>
          <w:szCs w:val="24"/>
        </w:rPr>
        <w:tab/>
      </w:r>
      <w:r w:rsidR="001760CA" w:rsidRPr="001F66F7">
        <w:rPr>
          <w:rFonts w:ascii="Arial" w:hAnsi="Arial" w:cs="Arial"/>
          <w:sz w:val="24"/>
          <w:szCs w:val="24"/>
        </w:rPr>
        <w:t xml:space="preserve">The third </w:t>
      </w:r>
      <w:r w:rsidR="00D14E4C" w:rsidRPr="001F66F7">
        <w:rPr>
          <w:rFonts w:ascii="Arial" w:hAnsi="Arial" w:cs="Arial"/>
          <w:sz w:val="24"/>
          <w:szCs w:val="24"/>
        </w:rPr>
        <w:t>r</w:t>
      </w:r>
      <w:r w:rsidR="001760CA" w:rsidRPr="001F66F7">
        <w:rPr>
          <w:rFonts w:ascii="Arial" w:hAnsi="Arial" w:cs="Arial"/>
          <w:sz w:val="24"/>
          <w:szCs w:val="24"/>
        </w:rPr>
        <w:t xml:space="preserve">espondent is </w:t>
      </w:r>
      <w:r w:rsidR="00D14E4C" w:rsidRPr="001F66F7">
        <w:rPr>
          <w:rFonts w:ascii="Arial" w:hAnsi="Arial" w:cs="Arial"/>
          <w:sz w:val="24"/>
          <w:szCs w:val="24"/>
        </w:rPr>
        <w:t xml:space="preserve">the </w:t>
      </w:r>
      <w:r w:rsidR="001760CA" w:rsidRPr="001F66F7">
        <w:rPr>
          <w:rFonts w:ascii="Arial" w:hAnsi="Arial" w:cs="Arial"/>
          <w:sz w:val="24"/>
          <w:szCs w:val="24"/>
        </w:rPr>
        <w:t xml:space="preserve">Companies and </w:t>
      </w:r>
      <w:r w:rsidR="00BA6A9A" w:rsidRPr="001F66F7">
        <w:rPr>
          <w:rFonts w:ascii="Arial" w:hAnsi="Arial" w:cs="Arial"/>
          <w:sz w:val="24"/>
          <w:szCs w:val="24"/>
        </w:rPr>
        <w:t>I</w:t>
      </w:r>
      <w:r w:rsidR="001760CA" w:rsidRPr="001F66F7">
        <w:rPr>
          <w:rFonts w:ascii="Arial" w:hAnsi="Arial" w:cs="Arial"/>
          <w:sz w:val="24"/>
          <w:szCs w:val="24"/>
        </w:rPr>
        <w:t>ntellectual Property Commission, with its offices in Sunnyside</w:t>
      </w:r>
      <w:r w:rsidR="00D14E4C" w:rsidRPr="001F66F7">
        <w:rPr>
          <w:rFonts w:ascii="Arial" w:hAnsi="Arial" w:cs="Arial"/>
          <w:sz w:val="24"/>
          <w:szCs w:val="24"/>
        </w:rPr>
        <w:t>,</w:t>
      </w:r>
      <w:r w:rsidR="001760CA" w:rsidRPr="001F66F7">
        <w:rPr>
          <w:rFonts w:ascii="Arial" w:hAnsi="Arial" w:cs="Arial"/>
          <w:sz w:val="24"/>
          <w:szCs w:val="24"/>
        </w:rPr>
        <w:t xml:space="preserve"> Pretoria.</w:t>
      </w:r>
    </w:p>
    <w:p w:rsidR="002C2C5A" w:rsidRPr="001F66F7" w:rsidRDefault="002C2C5A" w:rsidP="001F66F7">
      <w:pPr>
        <w:spacing w:after="0" w:line="360" w:lineRule="auto"/>
        <w:contextualSpacing/>
        <w:jc w:val="both"/>
        <w:rPr>
          <w:rFonts w:ascii="Arial" w:hAnsi="Arial" w:cs="Arial"/>
          <w:sz w:val="24"/>
          <w:szCs w:val="24"/>
        </w:rPr>
      </w:pPr>
    </w:p>
    <w:p w:rsidR="001760CA" w:rsidRPr="001F66F7" w:rsidRDefault="001760CA" w:rsidP="001F66F7">
      <w:pPr>
        <w:spacing w:after="0" w:line="360" w:lineRule="auto"/>
        <w:contextualSpacing/>
        <w:jc w:val="both"/>
        <w:rPr>
          <w:rFonts w:ascii="Arial" w:hAnsi="Arial" w:cs="Arial"/>
          <w:b/>
          <w:sz w:val="24"/>
          <w:szCs w:val="24"/>
        </w:rPr>
      </w:pPr>
      <w:r w:rsidRPr="001F66F7">
        <w:rPr>
          <w:rFonts w:ascii="Arial" w:hAnsi="Arial" w:cs="Arial"/>
          <w:b/>
          <w:sz w:val="24"/>
          <w:szCs w:val="24"/>
        </w:rPr>
        <w:t xml:space="preserve">Background </w:t>
      </w:r>
    </w:p>
    <w:p w:rsidR="001760CA"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6</w:t>
      </w:r>
      <w:r w:rsidRPr="001F66F7">
        <w:rPr>
          <w:rFonts w:ascii="Arial" w:hAnsi="Arial" w:cs="Arial"/>
          <w:sz w:val="24"/>
          <w:szCs w:val="24"/>
        </w:rPr>
        <w:t>]</w:t>
      </w:r>
      <w:r w:rsidRPr="001F66F7">
        <w:rPr>
          <w:rFonts w:ascii="Arial" w:hAnsi="Arial" w:cs="Arial"/>
          <w:sz w:val="24"/>
          <w:szCs w:val="24"/>
        </w:rPr>
        <w:tab/>
      </w:r>
      <w:r w:rsidR="0040564B" w:rsidRPr="001F66F7">
        <w:rPr>
          <w:rFonts w:ascii="Arial" w:hAnsi="Arial" w:cs="Arial"/>
          <w:sz w:val="24"/>
          <w:szCs w:val="24"/>
        </w:rPr>
        <w:t>Nile</w:t>
      </w:r>
      <w:r w:rsidR="001760CA" w:rsidRPr="001F66F7">
        <w:rPr>
          <w:rFonts w:ascii="Arial" w:hAnsi="Arial" w:cs="Arial"/>
          <w:sz w:val="24"/>
          <w:szCs w:val="24"/>
        </w:rPr>
        <w:t xml:space="preserve"> Dut</w:t>
      </w:r>
      <w:r w:rsidR="001D649E" w:rsidRPr="001F66F7">
        <w:rPr>
          <w:rFonts w:ascii="Arial" w:hAnsi="Arial" w:cs="Arial"/>
          <w:sz w:val="24"/>
          <w:szCs w:val="24"/>
        </w:rPr>
        <w:t>ch is</w:t>
      </w:r>
      <w:r w:rsidR="000C0F4C" w:rsidRPr="001F66F7">
        <w:rPr>
          <w:rFonts w:ascii="Arial" w:hAnsi="Arial" w:cs="Arial"/>
          <w:sz w:val="24"/>
          <w:szCs w:val="24"/>
        </w:rPr>
        <w:t xml:space="preserve"> </w:t>
      </w:r>
      <w:r w:rsidR="0040564B" w:rsidRPr="001F66F7">
        <w:rPr>
          <w:rFonts w:ascii="Arial" w:hAnsi="Arial" w:cs="Arial"/>
          <w:sz w:val="24"/>
          <w:szCs w:val="24"/>
        </w:rPr>
        <w:t xml:space="preserve">a </w:t>
      </w:r>
      <w:r w:rsidR="001760CA" w:rsidRPr="001F66F7">
        <w:rPr>
          <w:rFonts w:ascii="Arial" w:hAnsi="Arial" w:cs="Arial"/>
          <w:sz w:val="24"/>
          <w:szCs w:val="24"/>
        </w:rPr>
        <w:t xml:space="preserve">container shipping </w:t>
      </w:r>
      <w:r w:rsidR="0040564B" w:rsidRPr="001F66F7">
        <w:rPr>
          <w:rFonts w:ascii="Arial" w:hAnsi="Arial" w:cs="Arial"/>
          <w:sz w:val="24"/>
          <w:szCs w:val="24"/>
        </w:rPr>
        <w:t>company</w:t>
      </w:r>
      <w:r w:rsidR="001760CA" w:rsidRPr="001F66F7">
        <w:rPr>
          <w:rFonts w:ascii="Arial" w:hAnsi="Arial" w:cs="Arial"/>
          <w:sz w:val="24"/>
          <w:szCs w:val="24"/>
        </w:rPr>
        <w:t>. It specialises in container shipping from most parts of the world to Africa, and vice versa</w:t>
      </w:r>
      <w:r w:rsidRPr="001F66F7">
        <w:rPr>
          <w:rFonts w:ascii="Arial" w:hAnsi="Arial" w:cs="Arial"/>
          <w:sz w:val="24"/>
          <w:szCs w:val="24"/>
        </w:rPr>
        <w:t xml:space="preserve">. </w:t>
      </w:r>
      <w:r w:rsidR="0040564B" w:rsidRPr="001F66F7">
        <w:rPr>
          <w:rFonts w:ascii="Arial" w:hAnsi="Arial" w:cs="Arial"/>
          <w:sz w:val="24"/>
          <w:szCs w:val="24"/>
        </w:rPr>
        <w:t xml:space="preserve">Nile </w:t>
      </w:r>
      <w:r w:rsidR="001760CA" w:rsidRPr="001F66F7">
        <w:rPr>
          <w:rFonts w:ascii="Arial" w:hAnsi="Arial" w:cs="Arial"/>
          <w:sz w:val="24"/>
          <w:szCs w:val="24"/>
        </w:rPr>
        <w:t xml:space="preserve">Dutch entered into an agency agreement </w:t>
      </w:r>
      <w:r w:rsidR="001A2F5F" w:rsidRPr="001F66F7">
        <w:rPr>
          <w:rFonts w:ascii="Arial" w:hAnsi="Arial" w:cs="Arial"/>
          <w:sz w:val="24"/>
          <w:szCs w:val="24"/>
        </w:rPr>
        <w:t xml:space="preserve">with Crystal Pier </w:t>
      </w:r>
      <w:r w:rsidR="001760CA" w:rsidRPr="001F66F7">
        <w:rPr>
          <w:rFonts w:ascii="Arial" w:hAnsi="Arial" w:cs="Arial"/>
          <w:sz w:val="24"/>
          <w:szCs w:val="24"/>
        </w:rPr>
        <w:t xml:space="preserve">on 1 June 2009 </w:t>
      </w:r>
      <w:r w:rsidR="000B349B" w:rsidRPr="001F66F7">
        <w:rPr>
          <w:rFonts w:ascii="Arial" w:hAnsi="Arial" w:cs="Arial"/>
          <w:sz w:val="24"/>
          <w:szCs w:val="24"/>
        </w:rPr>
        <w:t>(the</w:t>
      </w:r>
      <w:r w:rsidR="001760CA" w:rsidRPr="001F66F7">
        <w:rPr>
          <w:rFonts w:ascii="Arial" w:hAnsi="Arial" w:cs="Arial"/>
          <w:sz w:val="24"/>
          <w:szCs w:val="24"/>
        </w:rPr>
        <w:t xml:space="preserve"> agency agreement)</w:t>
      </w:r>
      <w:r w:rsidR="0040564B" w:rsidRPr="001F66F7">
        <w:rPr>
          <w:rFonts w:ascii="Arial" w:hAnsi="Arial" w:cs="Arial"/>
          <w:sz w:val="24"/>
          <w:szCs w:val="24"/>
        </w:rPr>
        <w:t>.</w:t>
      </w:r>
      <w:r w:rsidR="001760CA" w:rsidRPr="001F66F7">
        <w:rPr>
          <w:rFonts w:ascii="Arial" w:hAnsi="Arial" w:cs="Arial"/>
          <w:sz w:val="24"/>
          <w:szCs w:val="24"/>
        </w:rPr>
        <w:t xml:space="preserve"> </w:t>
      </w:r>
    </w:p>
    <w:p w:rsidR="002C2C5A" w:rsidRPr="001F66F7" w:rsidRDefault="002C2C5A" w:rsidP="001F66F7">
      <w:pPr>
        <w:spacing w:after="0" w:line="360" w:lineRule="auto"/>
        <w:contextualSpacing/>
        <w:jc w:val="both"/>
        <w:rPr>
          <w:rFonts w:ascii="Arial" w:hAnsi="Arial" w:cs="Arial"/>
          <w:sz w:val="24"/>
          <w:szCs w:val="24"/>
        </w:rPr>
      </w:pPr>
    </w:p>
    <w:p w:rsidR="001760CA"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7</w:t>
      </w:r>
      <w:r w:rsidRPr="001F66F7">
        <w:rPr>
          <w:rFonts w:ascii="Arial" w:hAnsi="Arial" w:cs="Arial"/>
          <w:sz w:val="24"/>
          <w:szCs w:val="24"/>
        </w:rPr>
        <w:t>]</w:t>
      </w:r>
      <w:r w:rsidRPr="001F66F7">
        <w:rPr>
          <w:rFonts w:ascii="Arial" w:hAnsi="Arial" w:cs="Arial"/>
          <w:sz w:val="24"/>
          <w:szCs w:val="24"/>
        </w:rPr>
        <w:tab/>
      </w:r>
      <w:r w:rsidR="001760CA" w:rsidRPr="001F66F7">
        <w:rPr>
          <w:rFonts w:ascii="Arial" w:hAnsi="Arial" w:cs="Arial"/>
          <w:sz w:val="24"/>
          <w:szCs w:val="24"/>
        </w:rPr>
        <w:t xml:space="preserve">In terms of clause 1 of the </w:t>
      </w:r>
      <w:r w:rsidR="0040564B" w:rsidRPr="001F66F7">
        <w:rPr>
          <w:rFonts w:ascii="Arial" w:hAnsi="Arial" w:cs="Arial"/>
          <w:sz w:val="24"/>
          <w:szCs w:val="24"/>
        </w:rPr>
        <w:t>a</w:t>
      </w:r>
      <w:r w:rsidR="001760CA" w:rsidRPr="001F66F7">
        <w:rPr>
          <w:rFonts w:ascii="Arial" w:hAnsi="Arial" w:cs="Arial"/>
          <w:sz w:val="24"/>
          <w:szCs w:val="24"/>
        </w:rPr>
        <w:t>gency agreement</w:t>
      </w:r>
      <w:r w:rsidR="0040564B" w:rsidRPr="001F66F7">
        <w:rPr>
          <w:rFonts w:ascii="Arial" w:hAnsi="Arial" w:cs="Arial"/>
          <w:sz w:val="24"/>
          <w:szCs w:val="24"/>
        </w:rPr>
        <w:t>,</w:t>
      </w:r>
      <w:r w:rsidR="001760CA" w:rsidRPr="001F66F7">
        <w:rPr>
          <w:rFonts w:ascii="Arial" w:hAnsi="Arial" w:cs="Arial"/>
          <w:sz w:val="24"/>
          <w:szCs w:val="24"/>
        </w:rPr>
        <w:t xml:space="preserve"> Crystal Pier was appointed by </w:t>
      </w:r>
      <w:r w:rsidR="0040564B" w:rsidRPr="001F66F7">
        <w:rPr>
          <w:rFonts w:ascii="Arial" w:hAnsi="Arial" w:cs="Arial"/>
          <w:sz w:val="24"/>
          <w:szCs w:val="24"/>
        </w:rPr>
        <w:t xml:space="preserve">Nile </w:t>
      </w:r>
      <w:r w:rsidR="000B349B" w:rsidRPr="001F66F7">
        <w:rPr>
          <w:rFonts w:ascii="Arial" w:hAnsi="Arial" w:cs="Arial"/>
          <w:sz w:val="24"/>
          <w:szCs w:val="24"/>
        </w:rPr>
        <w:t>Dutch to</w:t>
      </w:r>
      <w:r w:rsidR="001760CA" w:rsidRPr="001F66F7">
        <w:rPr>
          <w:rFonts w:ascii="Arial" w:hAnsi="Arial" w:cs="Arial"/>
          <w:sz w:val="24"/>
          <w:szCs w:val="24"/>
        </w:rPr>
        <w:t xml:space="preserve"> act as its exclusive agent for all its owned and/or chartered </w:t>
      </w:r>
      <w:r w:rsidR="000B349B" w:rsidRPr="001F66F7">
        <w:rPr>
          <w:rFonts w:ascii="Arial" w:hAnsi="Arial" w:cs="Arial"/>
          <w:sz w:val="24"/>
          <w:szCs w:val="24"/>
        </w:rPr>
        <w:t>vessels serving</w:t>
      </w:r>
      <w:r w:rsidR="001760CA" w:rsidRPr="001F66F7">
        <w:rPr>
          <w:rFonts w:ascii="Arial" w:hAnsi="Arial" w:cs="Arial"/>
          <w:sz w:val="24"/>
          <w:szCs w:val="24"/>
        </w:rPr>
        <w:t xml:space="preserve"> the trade to South Africa.</w:t>
      </w:r>
      <w:r w:rsidR="0040564B" w:rsidRPr="001F66F7">
        <w:rPr>
          <w:rFonts w:ascii="Arial" w:hAnsi="Arial" w:cs="Arial"/>
          <w:sz w:val="24"/>
          <w:szCs w:val="24"/>
        </w:rPr>
        <w:t xml:space="preserve"> </w:t>
      </w:r>
      <w:r w:rsidR="001760CA" w:rsidRPr="001F66F7">
        <w:rPr>
          <w:rFonts w:ascii="Arial" w:hAnsi="Arial" w:cs="Arial"/>
          <w:sz w:val="24"/>
          <w:szCs w:val="24"/>
        </w:rPr>
        <w:t xml:space="preserve">Whilst the </w:t>
      </w:r>
      <w:r w:rsidR="0040564B" w:rsidRPr="001F66F7">
        <w:rPr>
          <w:rFonts w:ascii="Arial" w:hAnsi="Arial" w:cs="Arial"/>
          <w:sz w:val="24"/>
          <w:szCs w:val="24"/>
        </w:rPr>
        <w:t>a</w:t>
      </w:r>
      <w:r w:rsidR="001760CA" w:rsidRPr="001F66F7">
        <w:rPr>
          <w:rFonts w:ascii="Arial" w:hAnsi="Arial" w:cs="Arial"/>
          <w:sz w:val="24"/>
          <w:szCs w:val="24"/>
        </w:rPr>
        <w:t xml:space="preserve">gency </w:t>
      </w:r>
      <w:r w:rsidR="0040564B" w:rsidRPr="001F66F7">
        <w:rPr>
          <w:rFonts w:ascii="Arial" w:hAnsi="Arial" w:cs="Arial"/>
          <w:sz w:val="24"/>
          <w:szCs w:val="24"/>
        </w:rPr>
        <w:t>a</w:t>
      </w:r>
      <w:r w:rsidR="000B349B" w:rsidRPr="001F66F7">
        <w:rPr>
          <w:rFonts w:ascii="Arial" w:hAnsi="Arial" w:cs="Arial"/>
          <w:sz w:val="24"/>
          <w:szCs w:val="24"/>
        </w:rPr>
        <w:t>greement had</w:t>
      </w:r>
      <w:r w:rsidR="001760CA" w:rsidRPr="001F66F7">
        <w:rPr>
          <w:rFonts w:ascii="Arial" w:hAnsi="Arial" w:cs="Arial"/>
          <w:sz w:val="24"/>
          <w:szCs w:val="24"/>
        </w:rPr>
        <w:t xml:space="preserve"> an </w:t>
      </w:r>
      <w:r w:rsidR="000B349B" w:rsidRPr="001F66F7">
        <w:rPr>
          <w:rFonts w:ascii="Arial" w:hAnsi="Arial" w:cs="Arial"/>
          <w:sz w:val="24"/>
          <w:szCs w:val="24"/>
        </w:rPr>
        <w:t>initial duration of</w:t>
      </w:r>
      <w:r w:rsidR="001760CA" w:rsidRPr="001F66F7">
        <w:rPr>
          <w:rFonts w:ascii="Arial" w:hAnsi="Arial" w:cs="Arial"/>
          <w:sz w:val="24"/>
          <w:szCs w:val="24"/>
        </w:rPr>
        <w:t xml:space="preserve"> three </w:t>
      </w:r>
      <w:r w:rsidR="000B349B" w:rsidRPr="001F66F7">
        <w:rPr>
          <w:rFonts w:ascii="Arial" w:hAnsi="Arial" w:cs="Arial"/>
          <w:sz w:val="24"/>
          <w:szCs w:val="24"/>
        </w:rPr>
        <w:t>years,</w:t>
      </w:r>
      <w:r w:rsidR="001760CA" w:rsidRPr="001F66F7">
        <w:rPr>
          <w:rFonts w:ascii="Arial" w:hAnsi="Arial" w:cs="Arial"/>
          <w:sz w:val="24"/>
          <w:szCs w:val="24"/>
        </w:rPr>
        <w:t xml:space="preserve"> it was </w:t>
      </w:r>
      <w:r w:rsidR="000B349B" w:rsidRPr="001F66F7">
        <w:rPr>
          <w:rFonts w:ascii="Arial" w:hAnsi="Arial" w:cs="Arial"/>
          <w:sz w:val="24"/>
          <w:szCs w:val="24"/>
        </w:rPr>
        <w:t>extended on</w:t>
      </w:r>
      <w:r w:rsidR="001760CA" w:rsidRPr="001F66F7">
        <w:rPr>
          <w:rFonts w:ascii="Arial" w:hAnsi="Arial" w:cs="Arial"/>
          <w:sz w:val="24"/>
          <w:szCs w:val="24"/>
        </w:rPr>
        <w:t xml:space="preserve"> various </w:t>
      </w:r>
      <w:r w:rsidR="000B349B" w:rsidRPr="001F66F7">
        <w:rPr>
          <w:rFonts w:ascii="Arial" w:hAnsi="Arial" w:cs="Arial"/>
          <w:sz w:val="24"/>
          <w:szCs w:val="24"/>
        </w:rPr>
        <w:t xml:space="preserve">occasions. </w:t>
      </w:r>
      <w:r w:rsidR="001760CA" w:rsidRPr="001F66F7">
        <w:rPr>
          <w:rFonts w:ascii="Arial" w:hAnsi="Arial" w:cs="Arial"/>
          <w:sz w:val="24"/>
          <w:szCs w:val="24"/>
        </w:rPr>
        <w:t>The 10</w:t>
      </w:r>
      <w:r w:rsidR="001760CA" w:rsidRPr="001F66F7">
        <w:rPr>
          <w:rFonts w:ascii="Arial" w:hAnsi="Arial" w:cs="Arial"/>
          <w:sz w:val="24"/>
          <w:szCs w:val="24"/>
          <w:vertAlign w:val="superscript"/>
        </w:rPr>
        <w:t>th</w:t>
      </w:r>
      <w:r w:rsidR="001760CA" w:rsidRPr="001F66F7">
        <w:rPr>
          <w:rFonts w:ascii="Arial" w:hAnsi="Arial" w:cs="Arial"/>
          <w:sz w:val="24"/>
          <w:szCs w:val="24"/>
        </w:rPr>
        <w:t xml:space="preserve"> (and </w:t>
      </w:r>
      <w:r w:rsidR="000B349B" w:rsidRPr="001F66F7">
        <w:rPr>
          <w:rFonts w:ascii="Arial" w:hAnsi="Arial" w:cs="Arial"/>
          <w:sz w:val="24"/>
          <w:szCs w:val="24"/>
        </w:rPr>
        <w:t>final)</w:t>
      </w:r>
      <w:r w:rsidR="001760CA" w:rsidRPr="001F66F7">
        <w:rPr>
          <w:rFonts w:ascii="Arial" w:hAnsi="Arial" w:cs="Arial"/>
          <w:sz w:val="24"/>
          <w:szCs w:val="24"/>
        </w:rPr>
        <w:t xml:space="preserve"> addendum to the </w:t>
      </w:r>
      <w:r w:rsidR="0040564B" w:rsidRPr="001F66F7">
        <w:rPr>
          <w:rFonts w:ascii="Arial" w:hAnsi="Arial" w:cs="Arial"/>
          <w:sz w:val="24"/>
          <w:szCs w:val="24"/>
        </w:rPr>
        <w:t>a</w:t>
      </w:r>
      <w:r w:rsidR="001760CA" w:rsidRPr="001F66F7">
        <w:rPr>
          <w:rFonts w:ascii="Arial" w:hAnsi="Arial" w:cs="Arial"/>
          <w:sz w:val="24"/>
          <w:szCs w:val="24"/>
        </w:rPr>
        <w:t xml:space="preserve">gency </w:t>
      </w:r>
      <w:r w:rsidR="0040564B" w:rsidRPr="001F66F7">
        <w:rPr>
          <w:rFonts w:ascii="Arial" w:hAnsi="Arial" w:cs="Arial"/>
          <w:sz w:val="24"/>
          <w:szCs w:val="24"/>
        </w:rPr>
        <w:t>a</w:t>
      </w:r>
      <w:r w:rsidR="001760CA" w:rsidRPr="001F66F7">
        <w:rPr>
          <w:rFonts w:ascii="Arial" w:hAnsi="Arial" w:cs="Arial"/>
          <w:sz w:val="24"/>
          <w:szCs w:val="24"/>
        </w:rPr>
        <w:t xml:space="preserve">greement </w:t>
      </w:r>
      <w:r w:rsidR="0040564B" w:rsidRPr="001F66F7">
        <w:rPr>
          <w:rFonts w:ascii="Arial" w:hAnsi="Arial" w:cs="Arial"/>
          <w:sz w:val="24"/>
          <w:szCs w:val="24"/>
        </w:rPr>
        <w:t>extended</w:t>
      </w:r>
      <w:r w:rsidR="001760CA" w:rsidRPr="001F66F7">
        <w:rPr>
          <w:rFonts w:ascii="Arial" w:hAnsi="Arial" w:cs="Arial"/>
          <w:sz w:val="24"/>
          <w:szCs w:val="24"/>
        </w:rPr>
        <w:t xml:space="preserve"> the duration</w:t>
      </w:r>
      <w:r w:rsidR="000C0F4C" w:rsidRPr="001F66F7">
        <w:rPr>
          <w:rFonts w:ascii="Arial" w:hAnsi="Arial" w:cs="Arial"/>
          <w:sz w:val="24"/>
          <w:szCs w:val="24"/>
        </w:rPr>
        <w:t xml:space="preserve"> </w:t>
      </w:r>
      <w:r w:rsidR="001760CA" w:rsidRPr="001F66F7">
        <w:rPr>
          <w:rFonts w:ascii="Arial" w:hAnsi="Arial" w:cs="Arial"/>
          <w:sz w:val="24"/>
          <w:szCs w:val="24"/>
        </w:rPr>
        <w:t xml:space="preserve">of the </w:t>
      </w:r>
      <w:r w:rsidR="0040564B" w:rsidRPr="001F66F7">
        <w:rPr>
          <w:rFonts w:ascii="Arial" w:hAnsi="Arial" w:cs="Arial"/>
          <w:sz w:val="24"/>
          <w:szCs w:val="24"/>
        </w:rPr>
        <w:t>a</w:t>
      </w:r>
      <w:r w:rsidR="001760CA" w:rsidRPr="001F66F7">
        <w:rPr>
          <w:rFonts w:ascii="Arial" w:hAnsi="Arial" w:cs="Arial"/>
          <w:sz w:val="24"/>
          <w:szCs w:val="24"/>
        </w:rPr>
        <w:t xml:space="preserve">gency </w:t>
      </w:r>
      <w:r w:rsidR="0040564B" w:rsidRPr="001F66F7">
        <w:rPr>
          <w:rFonts w:ascii="Arial" w:hAnsi="Arial" w:cs="Arial"/>
          <w:sz w:val="24"/>
          <w:szCs w:val="24"/>
        </w:rPr>
        <w:t>a</w:t>
      </w:r>
      <w:r w:rsidR="001760CA" w:rsidRPr="001F66F7">
        <w:rPr>
          <w:rFonts w:ascii="Arial" w:hAnsi="Arial" w:cs="Arial"/>
          <w:sz w:val="24"/>
          <w:szCs w:val="24"/>
        </w:rPr>
        <w:t>greement until 31 January</w:t>
      </w:r>
      <w:r w:rsidR="0040564B" w:rsidRPr="001F66F7">
        <w:rPr>
          <w:rFonts w:ascii="Arial" w:hAnsi="Arial" w:cs="Arial"/>
          <w:sz w:val="24"/>
          <w:szCs w:val="24"/>
        </w:rPr>
        <w:t xml:space="preserve"> 2021</w:t>
      </w:r>
      <w:r w:rsidR="001760CA" w:rsidRPr="001F66F7">
        <w:rPr>
          <w:rFonts w:ascii="Arial" w:hAnsi="Arial" w:cs="Arial"/>
          <w:sz w:val="24"/>
          <w:szCs w:val="24"/>
        </w:rPr>
        <w:t>.</w:t>
      </w:r>
    </w:p>
    <w:p w:rsidR="002C2C5A" w:rsidRPr="001F66F7" w:rsidRDefault="002C2C5A" w:rsidP="001F66F7">
      <w:pPr>
        <w:spacing w:after="0" w:line="360" w:lineRule="auto"/>
        <w:contextualSpacing/>
        <w:jc w:val="both"/>
        <w:rPr>
          <w:rFonts w:ascii="Arial" w:hAnsi="Arial" w:cs="Arial"/>
          <w:sz w:val="24"/>
          <w:szCs w:val="24"/>
        </w:rPr>
      </w:pPr>
    </w:p>
    <w:p w:rsidR="001760CA"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8</w:t>
      </w:r>
      <w:r w:rsidRPr="001F66F7">
        <w:rPr>
          <w:rFonts w:ascii="Arial" w:hAnsi="Arial" w:cs="Arial"/>
          <w:sz w:val="24"/>
          <w:szCs w:val="24"/>
        </w:rPr>
        <w:t>]</w:t>
      </w:r>
      <w:r w:rsidRPr="001F66F7">
        <w:rPr>
          <w:rFonts w:ascii="Arial" w:hAnsi="Arial" w:cs="Arial"/>
          <w:sz w:val="24"/>
          <w:szCs w:val="24"/>
        </w:rPr>
        <w:tab/>
      </w:r>
      <w:r w:rsidR="001760CA" w:rsidRPr="001F66F7">
        <w:rPr>
          <w:rFonts w:ascii="Arial" w:hAnsi="Arial" w:cs="Arial"/>
          <w:sz w:val="24"/>
          <w:szCs w:val="24"/>
        </w:rPr>
        <w:t xml:space="preserve">Due to the fact that Nile Dutch was not </w:t>
      </w:r>
      <w:r w:rsidR="000B349B" w:rsidRPr="001F66F7">
        <w:rPr>
          <w:rFonts w:ascii="Arial" w:hAnsi="Arial" w:cs="Arial"/>
          <w:sz w:val="24"/>
          <w:szCs w:val="24"/>
        </w:rPr>
        <w:t>satisfied with</w:t>
      </w:r>
      <w:r w:rsidR="001760CA" w:rsidRPr="001F66F7">
        <w:rPr>
          <w:rFonts w:ascii="Arial" w:hAnsi="Arial" w:cs="Arial"/>
          <w:sz w:val="24"/>
          <w:szCs w:val="24"/>
        </w:rPr>
        <w:t xml:space="preserve"> the manner in which Crystal Pier was conducting</w:t>
      </w:r>
      <w:r w:rsidR="000C0F4C" w:rsidRPr="001F66F7">
        <w:rPr>
          <w:rFonts w:ascii="Arial" w:hAnsi="Arial" w:cs="Arial"/>
          <w:sz w:val="24"/>
          <w:szCs w:val="24"/>
        </w:rPr>
        <w:t xml:space="preserve"> </w:t>
      </w:r>
      <w:r w:rsidR="001760CA" w:rsidRPr="001F66F7">
        <w:rPr>
          <w:rFonts w:ascii="Arial" w:hAnsi="Arial" w:cs="Arial"/>
          <w:sz w:val="24"/>
          <w:szCs w:val="24"/>
        </w:rPr>
        <w:t xml:space="preserve">its responsibility as </w:t>
      </w:r>
      <w:r w:rsidR="00D30DB1" w:rsidRPr="001F66F7">
        <w:rPr>
          <w:rFonts w:ascii="Arial" w:hAnsi="Arial" w:cs="Arial"/>
          <w:sz w:val="24"/>
          <w:szCs w:val="24"/>
        </w:rPr>
        <w:t xml:space="preserve">an </w:t>
      </w:r>
      <w:r w:rsidR="001760CA" w:rsidRPr="001F66F7">
        <w:rPr>
          <w:rFonts w:ascii="Arial" w:hAnsi="Arial" w:cs="Arial"/>
          <w:sz w:val="24"/>
          <w:szCs w:val="24"/>
        </w:rPr>
        <w:t>agen</w:t>
      </w:r>
      <w:r w:rsidR="0040564B" w:rsidRPr="001F66F7">
        <w:rPr>
          <w:rFonts w:ascii="Arial" w:hAnsi="Arial" w:cs="Arial"/>
          <w:sz w:val="24"/>
          <w:szCs w:val="24"/>
        </w:rPr>
        <w:t>t</w:t>
      </w:r>
      <w:r w:rsidR="001760CA" w:rsidRPr="001F66F7">
        <w:rPr>
          <w:rFonts w:ascii="Arial" w:hAnsi="Arial" w:cs="Arial"/>
          <w:sz w:val="24"/>
          <w:szCs w:val="24"/>
        </w:rPr>
        <w:t xml:space="preserve">, the </w:t>
      </w:r>
      <w:r w:rsidR="0040564B" w:rsidRPr="001F66F7">
        <w:rPr>
          <w:rFonts w:ascii="Arial" w:hAnsi="Arial" w:cs="Arial"/>
          <w:sz w:val="24"/>
          <w:szCs w:val="24"/>
        </w:rPr>
        <w:t>a</w:t>
      </w:r>
      <w:r w:rsidR="001760CA" w:rsidRPr="001F66F7">
        <w:rPr>
          <w:rFonts w:ascii="Arial" w:hAnsi="Arial" w:cs="Arial"/>
          <w:sz w:val="24"/>
          <w:szCs w:val="24"/>
        </w:rPr>
        <w:t xml:space="preserve">gency </w:t>
      </w:r>
      <w:r w:rsidR="0040564B" w:rsidRPr="001F66F7">
        <w:rPr>
          <w:rFonts w:ascii="Arial" w:hAnsi="Arial" w:cs="Arial"/>
          <w:sz w:val="24"/>
          <w:szCs w:val="24"/>
        </w:rPr>
        <w:t>a</w:t>
      </w:r>
      <w:r w:rsidR="001760CA" w:rsidRPr="001F66F7">
        <w:rPr>
          <w:rFonts w:ascii="Arial" w:hAnsi="Arial" w:cs="Arial"/>
          <w:sz w:val="24"/>
          <w:szCs w:val="24"/>
        </w:rPr>
        <w:t xml:space="preserve">greement was not extended beyond 31 January 2021. The </w:t>
      </w:r>
      <w:r w:rsidR="0040564B" w:rsidRPr="001F66F7">
        <w:rPr>
          <w:rFonts w:ascii="Arial" w:hAnsi="Arial" w:cs="Arial"/>
          <w:sz w:val="24"/>
          <w:szCs w:val="24"/>
        </w:rPr>
        <w:t>a</w:t>
      </w:r>
      <w:r w:rsidR="001760CA" w:rsidRPr="001F66F7">
        <w:rPr>
          <w:rFonts w:ascii="Arial" w:hAnsi="Arial" w:cs="Arial"/>
          <w:sz w:val="24"/>
          <w:szCs w:val="24"/>
        </w:rPr>
        <w:t xml:space="preserve">gency </w:t>
      </w:r>
      <w:r w:rsidR="0040564B" w:rsidRPr="001F66F7">
        <w:rPr>
          <w:rFonts w:ascii="Arial" w:hAnsi="Arial" w:cs="Arial"/>
          <w:sz w:val="24"/>
          <w:szCs w:val="24"/>
        </w:rPr>
        <w:t>a</w:t>
      </w:r>
      <w:r w:rsidR="000B349B" w:rsidRPr="001F66F7">
        <w:rPr>
          <w:rFonts w:ascii="Arial" w:hAnsi="Arial" w:cs="Arial"/>
          <w:sz w:val="24"/>
          <w:szCs w:val="24"/>
        </w:rPr>
        <w:t>greement therefore</w:t>
      </w:r>
      <w:r w:rsidR="001760CA" w:rsidRPr="001F66F7">
        <w:rPr>
          <w:rFonts w:ascii="Arial" w:hAnsi="Arial" w:cs="Arial"/>
          <w:sz w:val="24"/>
          <w:szCs w:val="24"/>
        </w:rPr>
        <w:t xml:space="preserve"> terminated on 31 January </w:t>
      </w:r>
      <w:r w:rsidR="007D34C0" w:rsidRPr="001F66F7">
        <w:rPr>
          <w:rFonts w:ascii="Arial" w:hAnsi="Arial" w:cs="Arial"/>
          <w:sz w:val="24"/>
          <w:szCs w:val="24"/>
        </w:rPr>
        <w:t xml:space="preserve">2021. </w:t>
      </w:r>
      <w:r w:rsidR="001760CA" w:rsidRPr="001F66F7">
        <w:rPr>
          <w:rFonts w:ascii="Arial" w:hAnsi="Arial" w:cs="Arial"/>
          <w:sz w:val="24"/>
          <w:szCs w:val="24"/>
        </w:rPr>
        <w:t xml:space="preserve">Nile Dutch </w:t>
      </w:r>
      <w:r w:rsidR="007D34C0" w:rsidRPr="001F66F7">
        <w:rPr>
          <w:rFonts w:ascii="Arial" w:hAnsi="Arial" w:cs="Arial"/>
          <w:sz w:val="24"/>
          <w:szCs w:val="24"/>
        </w:rPr>
        <w:t>appointed a</w:t>
      </w:r>
      <w:r w:rsidR="001760CA" w:rsidRPr="001F66F7">
        <w:rPr>
          <w:rFonts w:ascii="Arial" w:hAnsi="Arial" w:cs="Arial"/>
          <w:sz w:val="24"/>
          <w:szCs w:val="24"/>
        </w:rPr>
        <w:t xml:space="preserve"> new agent for all its owned and/or chartered vessels serving the trade to and from South Africa.</w:t>
      </w:r>
    </w:p>
    <w:p w:rsidR="001760CA" w:rsidRPr="001F66F7" w:rsidRDefault="001760CA" w:rsidP="001F66F7">
      <w:pPr>
        <w:spacing w:after="0" w:line="360" w:lineRule="auto"/>
        <w:contextualSpacing/>
        <w:jc w:val="both"/>
        <w:rPr>
          <w:rFonts w:ascii="Arial" w:hAnsi="Arial" w:cs="Arial"/>
          <w:sz w:val="24"/>
          <w:szCs w:val="24"/>
        </w:rPr>
      </w:pPr>
    </w:p>
    <w:p w:rsidR="001760CA"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9</w:t>
      </w:r>
      <w:r w:rsidRPr="001F66F7">
        <w:rPr>
          <w:rFonts w:ascii="Arial" w:hAnsi="Arial" w:cs="Arial"/>
          <w:sz w:val="24"/>
          <w:szCs w:val="24"/>
        </w:rPr>
        <w:t>]</w:t>
      </w:r>
      <w:r w:rsidRPr="001F66F7">
        <w:rPr>
          <w:rFonts w:ascii="Arial" w:hAnsi="Arial" w:cs="Arial"/>
          <w:sz w:val="24"/>
          <w:szCs w:val="24"/>
        </w:rPr>
        <w:tab/>
      </w:r>
      <w:r w:rsidR="001760CA" w:rsidRPr="001F66F7">
        <w:rPr>
          <w:rFonts w:ascii="Arial" w:hAnsi="Arial" w:cs="Arial"/>
          <w:sz w:val="24"/>
          <w:szCs w:val="24"/>
        </w:rPr>
        <w:t xml:space="preserve">In terms of the </w:t>
      </w:r>
      <w:r w:rsidR="0040564B" w:rsidRPr="001F66F7">
        <w:rPr>
          <w:rFonts w:ascii="Arial" w:hAnsi="Arial" w:cs="Arial"/>
          <w:sz w:val="24"/>
          <w:szCs w:val="24"/>
        </w:rPr>
        <w:t>a</w:t>
      </w:r>
      <w:r w:rsidR="001760CA" w:rsidRPr="001F66F7">
        <w:rPr>
          <w:rFonts w:ascii="Arial" w:hAnsi="Arial" w:cs="Arial"/>
          <w:sz w:val="24"/>
          <w:szCs w:val="24"/>
        </w:rPr>
        <w:t xml:space="preserve">gency </w:t>
      </w:r>
      <w:r w:rsidR="0040564B" w:rsidRPr="001F66F7">
        <w:rPr>
          <w:rFonts w:ascii="Arial" w:hAnsi="Arial" w:cs="Arial"/>
          <w:sz w:val="24"/>
          <w:szCs w:val="24"/>
        </w:rPr>
        <w:t>a</w:t>
      </w:r>
      <w:r w:rsidR="007D34C0" w:rsidRPr="001F66F7">
        <w:rPr>
          <w:rFonts w:ascii="Arial" w:hAnsi="Arial" w:cs="Arial"/>
          <w:sz w:val="24"/>
          <w:szCs w:val="24"/>
        </w:rPr>
        <w:t>greement</w:t>
      </w:r>
      <w:r w:rsidR="0040564B" w:rsidRPr="001F66F7">
        <w:rPr>
          <w:rFonts w:ascii="Arial" w:hAnsi="Arial" w:cs="Arial"/>
          <w:sz w:val="24"/>
          <w:szCs w:val="24"/>
        </w:rPr>
        <w:t>,</w:t>
      </w:r>
      <w:r w:rsidR="007D34C0" w:rsidRPr="001F66F7">
        <w:rPr>
          <w:rFonts w:ascii="Arial" w:hAnsi="Arial" w:cs="Arial"/>
          <w:sz w:val="24"/>
          <w:szCs w:val="24"/>
        </w:rPr>
        <w:t xml:space="preserve"> the</w:t>
      </w:r>
      <w:r w:rsidR="001760CA" w:rsidRPr="001F66F7">
        <w:rPr>
          <w:rFonts w:ascii="Arial" w:hAnsi="Arial" w:cs="Arial"/>
          <w:sz w:val="24"/>
          <w:szCs w:val="24"/>
        </w:rPr>
        <w:t xml:space="preserve"> termination ther</w:t>
      </w:r>
      <w:r w:rsidR="0040564B" w:rsidRPr="001F66F7">
        <w:rPr>
          <w:rFonts w:ascii="Arial" w:hAnsi="Arial" w:cs="Arial"/>
          <w:sz w:val="24"/>
          <w:szCs w:val="24"/>
        </w:rPr>
        <w:t>e</w:t>
      </w:r>
      <w:r w:rsidR="001760CA" w:rsidRPr="001F66F7">
        <w:rPr>
          <w:rFonts w:ascii="Arial" w:hAnsi="Arial" w:cs="Arial"/>
          <w:sz w:val="24"/>
          <w:szCs w:val="24"/>
        </w:rPr>
        <w:t xml:space="preserve">of obligated Crystal </w:t>
      </w:r>
      <w:r w:rsidR="007D34C0" w:rsidRPr="001F66F7">
        <w:rPr>
          <w:rFonts w:ascii="Arial" w:hAnsi="Arial" w:cs="Arial"/>
          <w:sz w:val="24"/>
          <w:szCs w:val="24"/>
        </w:rPr>
        <w:t>Pier to</w:t>
      </w:r>
      <w:r w:rsidR="001760CA" w:rsidRPr="001F66F7">
        <w:rPr>
          <w:rFonts w:ascii="Arial" w:hAnsi="Arial" w:cs="Arial"/>
          <w:sz w:val="24"/>
          <w:szCs w:val="24"/>
        </w:rPr>
        <w:t xml:space="preserve"> provide </w:t>
      </w:r>
      <w:r w:rsidR="0040564B" w:rsidRPr="001F66F7">
        <w:rPr>
          <w:rFonts w:ascii="Arial" w:hAnsi="Arial" w:cs="Arial"/>
          <w:sz w:val="24"/>
          <w:szCs w:val="24"/>
        </w:rPr>
        <w:t xml:space="preserve">a </w:t>
      </w:r>
      <w:r w:rsidR="001760CA" w:rsidRPr="001F66F7">
        <w:rPr>
          <w:rFonts w:ascii="Arial" w:hAnsi="Arial" w:cs="Arial"/>
          <w:sz w:val="24"/>
          <w:szCs w:val="24"/>
        </w:rPr>
        <w:t xml:space="preserve">full </w:t>
      </w:r>
      <w:r w:rsidR="007D34C0" w:rsidRPr="001F66F7">
        <w:rPr>
          <w:rFonts w:ascii="Arial" w:hAnsi="Arial" w:cs="Arial"/>
          <w:sz w:val="24"/>
          <w:szCs w:val="24"/>
        </w:rPr>
        <w:t>statement of</w:t>
      </w:r>
      <w:r w:rsidR="001760CA" w:rsidRPr="001F66F7">
        <w:rPr>
          <w:rFonts w:ascii="Arial" w:hAnsi="Arial" w:cs="Arial"/>
          <w:sz w:val="24"/>
          <w:szCs w:val="24"/>
        </w:rPr>
        <w:t xml:space="preserve"> account to Nile </w:t>
      </w:r>
      <w:r w:rsidR="007D34C0" w:rsidRPr="001F66F7">
        <w:rPr>
          <w:rFonts w:ascii="Arial" w:hAnsi="Arial" w:cs="Arial"/>
          <w:sz w:val="24"/>
          <w:szCs w:val="24"/>
        </w:rPr>
        <w:t>Dutch,</w:t>
      </w:r>
      <w:r w:rsidR="001760CA" w:rsidRPr="001F66F7">
        <w:rPr>
          <w:rFonts w:ascii="Arial" w:hAnsi="Arial" w:cs="Arial"/>
          <w:sz w:val="24"/>
          <w:szCs w:val="24"/>
        </w:rPr>
        <w:t xml:space="preserve"> accompanied by payment of </w:t>
      </w:r>
      <w:r w:rsidR="006D1F2A" w:rsidRPr="001F66F7">
        <w:rPr>
          <w:rFonts w:ascii="Arial" w:hAnsi="Arial" w:cs="Arial"/>
          <w:sz w:val="24"/>
          <w:szCs w:val="24"/>
        </w:rPr>
        <w:t xml:space="preserve">all </w:t>
      </w:r>
      <w:r w:rsidR="001760CA" w:rsidRPr="001F66F7">
        <w:rPr>
          <w:rFonts w:ascii="Arial" w:hAnsi="Arial" w:cs="Arial"/>
          <w:sz w:val="24"/>
          <w:szCs w:val="24"/>
        </w:rPr>
        <w:t>amounts due to Nile</w:t>
      </w:r>
      <w:r w:rsidR="0040564B" w:rsidRPr="001F66F7">
        <w:rPr>
          <w:rFonts w:ascii="Arial" w:hAnsi="Arial" w:cs="Arial"/>
          <w:sz w:val="24"/>
          <w:szCs w:val="24"/>
        </w:rPr>
        <w:t xml:space="preserve"> </w:t>
      </w:r>
      <w:r w:rsidR="001760CA" w:rsidRPr="001F66F7">
        <w:rPr>
          <w:rFonts w:ascii="Arial" w:hAnsi="Arial" w:cs="Arial"/>
          <w:sz w:val="24"/>
          <w:szCs w:val="24"/>
        </w:rPr>
        <w:t xml:space="preserve">Dutch. The </w:t>
      </w:r>
      <w:r w:rsidR="007D34C0" w:rsidRPr="001F66F7">
        <w:rPr>
          <w:rFonts w:ascii="Arial" w:hAnsi="Arial" w:cs="Arial"/>
          <w:sz w:val="24"/>
          <w:szCs w:val="24"/>
        </w:rPr>
        <w:t>purpose of</w:t>
      </w:r>
      <w:r w:rsidR="001760CA" w:rsidRPr="001F66F7">
        <w:rPr>
          <w:rFonts w:ascii="Arial" w:hAnsi="Arial" w:cs="Arial"/>
          <w:sz w:val="24"/>
          <w:szCs w:val="24"/>
        </w:rPr>
        <w:t xml:space="preserve"> this exercise </w:t>
      </w:r>
      <w:r w:rsidR="006D1F2A" w:rsidRPr="001F66F7">
        <w:rPr>
          <w:rFonts w:ascii="Arial" w:hAnsi="Arial" w:cs="Arial"/>
          <w:sz w:val="24"/>
          <w:szCs w:val="24"/>
        </w:rPr>
        <w:t xml:space="preserve">was </w:t>
      </w:r>
      <w:r w:rsidR="001760CA" w:rsidRPr="001F66F7">
        <w:rPr>
          <w:rFonts w:ascii="Arial" w:hAnsi="Arial" w:cs="Arial"/>
          <w:sz w:val="24"/>
          <w:szCs w:val="24"/>
        </w:rPr>
        <w:t xml:space="preserve">to determine and pay over all amounts due by </w:t>
      </w:r>
      <w:r w:rsidR="007D34C0" w:rsidRPr="001F66F7">
        <w:rPr>
          <w:rFonts w:ascii="Arial" w:hAnsi="Arial" w:cs="Arial"/>
          <w:sz w:val="24"/>
          <w:szCs w:val="24"/>
        </w:rPr>
        <w:t>Crystal Pier</w:t>
      </w:r>
      <w:r w:rsidR="001760CA" w:rsidRPr="001F66F7">
        <w:rPr>
          <w:rFonts w:ascii="Arial" w:hAnsi="Arial" w:cs="Arial"/>
          <w:sz w:val="24"/>
          <w:szCs w:val="24"/>
        </w:rPr>
        <w:t xml:space="preserve"> to Nile</w:t>
      </w:r>
      <w:r w:rsidR="0040564B" w:rsidRPr="001F66F7">
        <w:rPr>
          <w:rFonts w:ascii="Arial" w:hAnsi="Arial" w:cs="Arial"/>
          <w:sz w:val="24"/>
          <w:szCs w:val="24"/>
        </w:rPr>
        <w:t xml:space="preserve"> </w:t>
      </w:r>
      <w:r w:rsidR="001760CA" w:rsidRPr="001F66F7">
        <w:rPr>
          <w:rFonts w:ascii="Arial" w:hAnsi="Arial" w:cs="Arial"/>
          <w:sz w:val="24"/>
          <w:szCs w:val="24"/>
        </w:rPr>
        <w:t xml:space="preserve">Dutch on termination of </w:t>
      </w:r>
      <w:r w:rsidR="0040564B" w:rsidRPr="001F66F7">
        <w:rPr>
          <w:rFonts w:ascii="Arial" w:hAnsi="Arial" w:cs="Arial"/>
          <w:sz w:val="24"/>
          <w:szCs w:val="24"/>
        </w:rPr>
        <w:t>the a</w:t>
      </w:r>
      <w:r w:rsidR="001760CA" w:rsidRPr="001F66F7">
        <w:rPr>
          <w:rFonts w:ascii="Arial" w:hAnsi="Arial" w:cs="Arial"/>
          <w:sz w:val="24"/>
          <w:szCs w:val="24"/>
        </w:rPr>
        <w:t xml:space="preserve">gency </w:t>
      </w:r>
      <w:r w:rsidR="0040564B" w:rsidRPr="001F66F7">
        <w:rPr>
          <w:rFonts w:ascii="Arial" w:hAnsi="Arial" w:cs="Arial"/>
          <w:sz w:val="24"/>
          <w:szCs w:val="24"/>
        </w:rPr>
        <w:t>a</w:t>
      </w:r>
      <w:r w:rsidR="001760CA" w:rsidRPr="001F66F7">
        <w:rPr>
          <w:rFonts w:ascii="Arial" w:hAnsi="Arial" w:cs="Arial"/>
          <w:sz w:val="24"/>
          <w:szCs w:val="24"/>
        </w:rPr>
        <w:t>greement.</w:t>
      </w:r>
    </w:p>
    <w:p w:rsidR="002C2C5A" w:rsidRPr="001F66F7" w:rsidRDefault="002C2C5A" w:rsidP="001F66F7">
      <w:pPr>
        <w:spacing w:after="0" w:line="360" w:lineRule="auto"/>
        <w:contextualSpacing/>
        <w:jc w:val="both"/>
        <w:rPr>
          <w:rFonts w:ascii="Arial" w:hAnsi="Arial" w:cs="Arial"/>
          <w:sz w:val="24"/>
          <w:szCs w:val="24"/>
        </w:rPr>
      </w:pPr>
    </w:p>
    <w:p w:rsidR="001760CA"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10</w:t>
      </w:r>
      <w:r w:rsidRPr="001F66F7">
        <w:rPr>
          <w:rFonts w:ascii="Arial" w:hAnsi="Arial" w:cs="Arial"/>
          <w:sz w:val="24"/>
          <w:szCs w:val="24"/>
        </w:rPr>
        <w:t>]</w:t>
      </w:r>
      <w:r w:rsidRPr="001F66F7">
        <w:rPr>
          <w:rFonts w:ascii="Arial" w:hAnsi="Arial" w:cs="Arial"/>
          <w:sz w:val="24"/>
          <w:szCs w:val="24"/>
        </w:rPr>
        <w:tab/>
      </w:r>
      <w:r w:rsidR="001760CA" w:rsidRPr="001F66F7">
        <w:rPr>
          <w:rFonts w:ascii="Arial" w:hAnsi="Arial" w:cs="Arial"/>
          <w:sz w:val="24"/>
          <w:szCs w:val="24"/>
        </w:rPr>
        <w:t>Crystal P</w:t>
      </w:r>
      <w:r w:rsidR="0040564B" w:rsidRPr="001F66F7">
        <w:rPr>
          <w:rFonts w:ascii="Arial" w:hAnsi="Arial" w:cs="Arial"/>
          <w:sz w:val="24"/>
          <w:szCs w:val="24"/>
        </w:rPr>
        <w:t>i</w:t>
      </w:r>
      <w:r w:rsidR="001760CA" w:rsidRPr="001F66F7">
        <w:rPr>
          <w:rFonts w:ascii="Arial" w:hAnsi="Arial" w:cs="Arial"/>
          <w:sz w:val="24"/>
          <w:szCs w:val="24"/>
        </w:rPr>
        <w:t>er failed</w:t>
      </w:r>
      <w:r w:rsidR="000C0F4C" w:rsidRPr="001F66F7">
        <w:rPr>
          <w:rFonts w:ascii="Arial" w:hAnsi="Arial" w:cs="Arial"/>
          <w:sz w:val="24"/>
          <w:szCs w:val="24"/>
        </w:rPr>
        <w:t xml:space="preserve"> </w:t>
      </w:r>
      <w:r w:rsidR="001760CA" w:rsidRPr="001F66F7">
        <w:rPr>
          <w:rFonts w:ascii="Arial" w:hAnsi="Arial" w:cs="Arial"/>
          <w:sz w:val="24"/>
          <w:szCs w:val="24"/>
        </w:rPr>
        <w:t xml:space="preserve">to provide </w:t>
      </w:r>
      <w:r w:rsidR="0040564B" w:rsidRPr="001F66F7">
        <w:rPr>
          <w:rFonts w:ascii="Arial" w:hAnsi="Arial" w:cs="Arial"/>
          <w:sz w:val="24"/>
          <w:szCs w:val="24"/>
        </w:rPr>
        <w:t xml:space="preserve">a </w:t>
      </w:r>
      <w:r w:rsidR="001760CA" w:rsidRPr="001F66F7">
        <w:rPr>
          <w:rFonts w:ascii="Arial" w:hAnsi="Arial" w:cs="Arial"/>
          <w:sz w:val="24"/>
          <w:szCs w:val="24"/>
        </w:rPr>
        <w:t xml:space="preserve">final </w:t>
      </w:r>
      <w:r w:rsidR="0040564B" w:rsidRPr="001F66F7">
        <w:rPr>
          <w:rFonts w:ascii="Arial" w:hAnsi="Arial" w:cs="Arial"/>
          <w:sz w:val="24"/>
          <w:szCs w:val="24"/>
        </w:rPr>
        <w:t>s</w:t>
      </w:r>
      <w:r w:rsidR="001760CA" w:rsidRPr="001F66F7">
        <w:rPr>
          <w:rFonts w:ascii="Arial" w:hAnsi="Arial" w:cs="Arial"/>
          <w:sz w:val="24"/>
          <w:szCs w:val="24"/>
        </w:rPr>
        <w:t xml:space="preserve">tatement of account or </w:t>
      </w:r>
      <w:r w:rsidR="0040564B" w:rsidRPr="001F66F7">
        <w:rPr>
          <w:rFonts w:ascii="Arial" w:hAnsi="Arial" w:cs="Arial"/>
          <w:sz w:val="24"/>
          <w:szCs w:val="24"/>
        </w:rPr>
        <w:t xml:space="preserve">to </w:t>
      </w:r>
      <w:r w:rsidR="001760CA" w:rsidRPr="001F66F7">
        <w:rPr>
          <w:rFonts w:ascii="Arial" w:hAnsi="Arial" w:cs="Arial"/>
          <w:sz w:val="24"/>
          <w:szCs w:val="24"/>
        </w:rPr>
        <w:t>pay over the closing balance to Nile Dutch</w:t>
      </w:r>
      <w:r w:rsidR="0040564B" w:rsidRPr="001F66F7">
        <w:rPr>
          <w:rFonts w:ascii="Arial" w:hAnsi="Arial" w:cs="Arial"/>
          <w:sz w:val="24"/>
          <w:szCs w:val="24"/>
        </w:rPr>
        <w:t>,</w:t>
      </w:r>
      <w:r w:rsidR="001760CA" w:rsidRPr="001F66F7">
        <w:rPr>
          <w:rFonts w:ascii="Arial" w:hAnsi="Arial" w:cs="Arial"/>
          <w:sz w:val="24"/>
          <w:szCs w:val="24"/>
        </w:rPr>
        <w:t xml:space="preserve"> despite </w:t>
      </w:r>
      <w:r w:rsidR="007D34C0" w:rsidRPr="001F66F7">
        <w:rPr>
          <w:rFonts w:ascii="Arial" w:hAnsi="Arial" w:cs="Arial"/>
          <w:sz w:val="24"/>
          <w:szCs w:val="24"/>
        </w:rPr>
        <w:t>numerous request</w:t>
      </w:r>
      <w:r w:rsidR="00874DDA" w:rsidRPr="001F66F7">
        <w:rPr>
          <w:rFonts w:ascii="Arial" w:hAnsi="Arial" w:cs="Arial"/>
          <w:sz w:val="24"/>
          <w:szCs w:val="24"/>
        </w:rPr>
        <w:t>s</w:t>
      </w:r>
      <w:r w:rsidR="001760CA" w:rsidRPr="001F66F7">
        <w:rPr>
          <w:rFonts w:ascii="Arial" w:hAnsi="Arial" w:cs="Arial"/>
          <w:sz w:val="24"/>
          <w:szCs w:val="24"/>
        </w:rPr>
        <w:t xml:space="preserve"> from Nile Dutch</w:t>
      </w:r>
      <w:r w:rsidR="0040564B" w:rsidRPr="001F66F7">
        <w:rPr>
          <w:rFonts w:ascii="Arial" w:hAnsi="Arial" w:cs="Arial"/>
          <w:sz w:val="24"/>
          <w:szCs w:val="24"/>
        </w:rPr>
        <w:t>.</w:t>
      </w:r>
    </w:p>
    <w:p w:rsidR="0040564B" w:rsidRPr="001F66F7" w:rsidRDefault="0040564B" w:rsidP="001F66F7">
      <w:pPr>
        <w:spacing w:after="0" w:line="360" w:lineRule="auto"/>
        <w:contextualSpacing/>
        <w:jc w:val="both"/>
        <w:rPr>
          <w:rFonts w:ascii="Arial" w:hAnsi="Arial" w:cs="Arial"/>
          <w:sz w:val="24"/>
          <w:szCs w:val="24"/>
        </w:rPr>
      </w:pPr>
    </w:p>
    <w:p w:rsidR="001760CA"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11</w:t>
      </w:r>
      <w:r w:rsidRPr="001F66F7">
        <w:rPr>
          <w:rFonts w:ascii="Arial" w:hAnsi="Arial" w:cs="Arial"/>
          <w:sz w:val="24"/>
          <w:szCs w:val="24"/>
        </w:rPr>
        <w:t>]</w:t>
      </w:r>
      <w:r w:rsidRPr="001F66F7">
        <w:rPr>
          <w:rFonts w:ascii="Arial" w:hAnsi="Arial" w:cs="Arial"/>
          <w:sz w:val="24"/>
          <w:szCs w:val="24"/>
        </w:rPr>
        <w:tab/>
      </w:r>
      <w:r w:rsidR="00026176" w:rsidRPr="001F66F7">
        <w:rPr>
          <w:rFonts w:ascii="Arial" w:hAnsi="Arial" w:cs="Arial"/>
          <w:sz w:val="24"/>
          <w:szCs w:val="24"/>
        </w:rPr>
        <w:t xml:space="preserve">Nile </w:t>
      </w:r>
      <w:r w:rsidR="007D34C0" w:rsidRPr="001F66F7">
        <w:rPr>
          <w:rFonts w:ascii="Arial" w:hAnsi="Arial" w:cs="Arial"/>
          <w:sz w:val="24"/>
          <w:szCs w:val="24"/>
        </w:rPr>
        <w:t>Dutch prepared</w:t>
      </w:r>
      <w:r w:rsidR="001760CA" w:rsidRPr="001F66F7">
        <w:rPr>
          <w:rFonts w:ascii="Arial" w:hAnsi="Arial" w:cs="Arial"/>
          <w:sz w:val="24"/>
          <w:szCs w:val="24"/>
        </w:rPr>
        <w:t xml:space="preserve"> </w:t>
      </w:r>
      <w:r w:rsidR="0040564B" w:rsidRPr="001F66F7">
        <w:rPr>
          <w:rFonts w:ascii="Arial" w:hAnsi="Arial" w:cs="Arial"/>
          <w:sz w:val="24"/>
          <w:szCs w:val="24"/>
        </w:rPr>
        <w:t xml:space="preserve">the </w:t>
      </w:r>
      <w:r w:rsidR="001760CA" w:rsidRPr="001F66F7">
        <w:rPr>
          <w:rFonts w:ascii="Arial" w:hAnsi="Arial" w:cs="Arial"/>
          <w:sz w:val="24"/>
          <w:szCs w:val="24"/>
        </w:rPr>
        <w:t xml:space="preserve">relevant calculation itself, to the extent that this </w:t>
      </w:r>
      <w:r w:rsidR="0040564B" w:rsidRPr="001F66F7">
        <w:rPr>
          <w:rFonts w:ascii="Arial" w:hAnsi="Arial" w:cs="Arial"/>
          <w:sz w:val="24"/>
          <w:szCs w:val="24"/>
        </w:rPr>
        <w:t xml:space="preserve">was </w:t>
      </w:r>
      <w:r w:rsidR="001760CA" w:rsidRPr="001F66F7">
        <w:rPr>
          <w:rFonts w:ascii="Arial" w:hAnsi="Arial" w:cs="Arial"/>
          <w:sz w:val="24"/>
          <w:szCs w:val="24"/>
        </w:rPr>
        <w:t xml:space="preserve">possible without comprehensive information being made </w:t>
      </w:r>
      <w:r w:rsidR="000B349B" w:rsidRPr="001F66F7">
        <w:rPr>
          <w:rFonts w:ascii="Arial" w:hAnsi="Arial" w:cs="Arial"/>
          <w:sz w:val="24"/>
          <w:szCs w:val="24"/>
        </w:rPr>
        <w:t>available by</w:t>
      </w:r>
      <w:r w:rsidR="001760CA" w:rsidRPr="001F66F7">
        <w:rPr>
          <w:rFonts w:ascii="Arial" w:hAnsi="Arial" w:cs="Arial"/>
          <w:sz w:val="24"/>
          <w:szCs w:val="24"/>
        </w:rPr>
        <w:t xml:space="preserve"> Crystal </w:t>
      </w:r>
      <w:r w:rsidR="0040564B" w:rsidRPr="001F66F7">
        <w:rPr>
          <w:rFonts w:ascii="Arial" w:hAnsi="Arial" w:cs="Arial"/>
          <w:sz w:val="24"/>
          <w:szCs w:val="24"/>
        </w:rPr>
        <w:t>P</w:t>
      </w:r>
      <w:r w:rsidR="000B349B" w:rsidRPr="001F66F7">
        <w:rPr>
          <w:rFonts w:ascii="Arial" w:hAnsi="Arial" w:cs="Arial"/>
          <w:sz w:val="24"/>
          <w:szCs w:val="24"/>
        </w:rPr>
        <w:t xml:space="preserve">ier. </w:t>
      </w:r>
      <w:r w:rsidR="001760CA" w:rsidRPr="001F66F7">
        <w:rPr>
          <w:rFonts w:ascii="Arial" w:hAnsi="Arial" w:cs="Arial"/>
          <w:sz w:val="24"/>
          <w:szCs w:val="24"/>
        </w:rPr>
        <w:t>In terms of this calculation</w:t>
      </w:r>
      <w:r w:rsidR="0040564B" w:rsidRPr="001F66F7">
        <w:rPr>
          <w:rFonts w:ascii="Arial" w:hAnsi="Arial" w:cs="Arial"/>
          <w:sz w:val="24"/>
          <w:szCs w:val="24"/>
        </w:rPr>
        <w:t>,</w:t>
      </w:r>
      <w:r w:rsidR="001760CA" w:rsidRPr="001F66F7">
        <w:rPr>
          <w:rFonts w:ascii="Arial" w:hAnsi="Arial" w:cs="Arial"/>
          <w:sz w:val="24"/>
          <w:szCs w:val="24"/>
        </w:rPr>
        <w:t xml:space="preserve"> an amount of USD1 261 355 is presently </w:t>
      </w:r>
      <w:r w:rsidR="000B349B" w:rsidRPr="001F66F7">
        <w:rPr>
          <w:rFonts w:ascii="Arial" w:hAnsi="Arial" w:cs="Arial"/>
          <w:sz w:val="24"/>
          <w:szCs w:val="24"/>
        </w:rPr>
        <w:t>due,</w:t>
      </w:r>
      <w:r w:rsidR="001760CA" w:rsidRPr="001F66F7">
        <w:rPr>
          <w:rFonts w:ascii="Arial" w:hAnsi="Arial" w:cs="Arial"/>
          <w:sz w:val="24"/>
          <w:szCs w:val="24"/>
        </w:rPr>
        <w:t xml:space="preserve"> owing and payable by Crystal </w:t>
      </w:r>
      <w:r w:rsidR="0040564B" w:rsidRPr="001F66F7">
        <w:rPr>
          <w:rFonts w:ascii="Arial" w:hAnsi="Arial" w:cs="Arial"/>
          <w:sz w:val="24"/>
          <w:szCs w:val="24"/>
        </w:rPr>
        <w:t xml:space="preserve">Pier </w:t>
      </w:r>
      <w:r w:rsidR="001760CA" w:rsidRPr="001F66F7">
        <w:rPr>
          <w:rFonts w:ascii="Arial" w:hAnsi="Arial" w:cs="Arial"/>
          <w:sz w:val="24"/>
          <w:szCs w:val="24"/>
        </w:rPr>
        <w:t>to Nile Dutch.</w:t>
      </w:r>
    </w:p>
    <w:p w:rsidR="002C2C5A" w:rsidRPr="001F66F7" w:rsidRDefault="002C2C5A" w:rsidP="001F66F7">
      <w:pPr>
        <w:spacing w:after="0" w:line="360" w:lineRule="auto"/>
        <w:contextualSpacing/>
        <w:jc w:val="both"/>
        <w:rPr>
          <w:rFonts w:ascii="Arial" w:hAnsi="Arial" w:cs="Arial"/>
          <w:sz w:val="24"/>
          <w:szCs w:val="24"/>
        </w:rPr>
      </w:pPr>
    </w:p>
    <w:p w:rsidR="001760CA"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12</w:t>
      </w:r>
      <w:r w:rsidRPr="001F66F7">
        <w:rPr>
          <w:rFonts w:ascii="Arial" w:hAnsi="Arial" w:cs="Arial"/>
          <w:sz w:val="24"/>
          <w:szCs w:val="24"/>
        </w:rPr>
        <w:t>]</w:t>
      </w:r>
      <w:r w:rsidRPr="001F66F7">
        <w:rPr>
          <w:rFonts w:ascii="Arial" w:hAnsi="Arial" w:cs="Arial"/>
          <w:sz w:val="24"/>
          <w:szCs w:val="24"/>
        </w:rPr>
        <w:tab/>
      </w:r>
      <w:r w:rsidR="001760CA" w:rsidRPr="001F66F7">
        <w:rPr>
          <w:rFonts w:ascii="Arial" w:hAnsi="Arial" w:cs="Arial"/>
          <w:sz w:val="24"/>
          <w:szCs w:val="24"/>
        </w:rPr>
        <w:t>In May 2021</w:t>
      </w:r>
      <w:r w:rsidR="00750DDB" w:rsidRPr="001F66F7">
        <w:rPr>
          <w:rFonts w:ascii="Arial" w:hAnsi="Arial" w:cs="Arial"/>
          <w:sz w:val="24"/>
          <w:szCs w:val="24"/>
        </w:rPr>
        <w:t>,</w:t>
      </w:r>
      <w:r w:rsidR="001760CA" w:rsidRPr="001F66F7">
        <w:rPr>
          <w:rFonts w:ascii="Arial" w:hAnsi="Arial" w:cs="Arial"/>
          <w:sz w:val="24"/>
          <w:szCs w:val="24"/>
        </w:rPr>
        <w:t xml:space="preserve"> Nile Dutch submitted its claim to </w:t>
      </w:r>
      <w:r w:rsidR="0040564B" w:rsidRPr="001F66F7">
        <w:rPr>
          <w:rFonts w:ascii="Arial" w:hAnsi="Arial" w:cs="Arial"/>
          <w:sz w:val="24"/>
          <w:szCs w:val="24"/>
        </w:rPr>
        <w:t xml:space="preserve">Ms </w:t>
      </w:r>
      <w:r w:rsidR="001760CA" w:rsidRPr="001F66F7">
        <w:rPr>
          <w:rFonts w:ascii="Arial" w:hAnsi="Arial" w:cs="Arial"/>
          <w:sz w:val="24"/>
          <w:szCs w:val="24"/>
        </w:rPr>
        <w:t xml:space="preserve">Maddocks </w:t>
      </w:r>
      <w:r w:rsidR="000B349B" w:rsidRPr="001F66F7">
        <w:rPr>
          <w:rFonts w:ascii="Arial" w:hAnsi="Arial" w:cs="Arial"/>
          <w:sz w:val="24"/>
          <w:szCs w:val="24"/>
        </w:rPr>
        <w:t>(</w:t>
      </w:r>
      <w:r w:rsidR="0040564B" w:rsidRPr="001F66F7">
        <w:rPr>
          <w:rFonts w:ascii="Arial" w:hAnsi="Arial" w:cs="Arial"/>
          <w:sz w:val="24"/>
          <w:szCs w:val="24"/>
        </w:rPr>
        <w:t xml:space="preserve">the </w:t>
      </w:r>
      <w:r w:rsidR="000B349B" w:rsidRPr="001F66F7">
        <w:rPr>
          <w:rFonts w:ascii="Arial" w:hAnsi="Arial" w:cs="Arial"/>
          <w:sz w:val="24"/>
          <w:szCs w:val="24"/>
        </w:rPr>
        <w:t>Nile</w:t>
      </w:r>
      <w:r w:rsidR="001760CA" w:rsidRPr="001F66F7">
        <w:rPr>
          <w:rFonts w:ascii="Arial" w:hAnsi="Arial" w:cs="Arial"/>
          <w:sz w:val="24"/>
          <w:szCs w:val="24"/>
        </w:rPr>
        <w:t xml:space="preserve"> Dutch </w:t>
      </w:r>
      <w:r w:rsidR="00750DDB" w:rsidRPr="001F66F7">
        <w:rPr>
          <w:rFonts w:ascii="Arial" w:hAnsi="Arial" w:cs="Arial"/>
          <w:sz w:val="24"/>
          <w:szCs w:val="24"/>
        </w:rPr>
        <w:t>c</w:t>
      </w:r>
      <w:r w:rsidR="001760CA" w:rsidRPr="001F66F7">
        <w:rPr>
          <w:rFonts w:ascii="Arial" w:hAnsi="Arial" w:cs="Arial"/>
          <w:sz w:val="24"/>
          <w:szCs w:val="24"/>
        </w:rPr>
        <w:t>laim)</w:t>
      </w:r>
      <w:r w:rsidR="0040564B" w:rsidRPr="001F66F7">
        <w:rPr>
          <w:rFonts w:ascii="Arial" w:hAnsi="Arial" w:cs="Arial"/>
          <w:sz w:val="24"/>
          <w:szCs w:val="24"/>
        </w:rPr>
        <w:t xml:space="preserve">. Ms </w:t>
      </w:r>
      <w:r w:rsidR="001760CA" w:rsidRPr="001F66F7">
        <w:rPr>
          <w:rFonts w:ascii="Arial" w:hAnsi="Arial" w:cs="Arial"/>
          <w:sz w:val="24"/>
          <w:szCs w:val="24"/>
        </w:rPr>
        <w:t xml:space="preserve">Maddock </w:t>
      </w:r>
      <w:r w:rsidR="000B349B" w:rsidRPr="001F66F7">
        <w:rPr>
          <w:rFonts w:ascii="Arial" w:hAnsi="Arial" w:cs="Arial"/>
          <w:sz w:val="24"/>
          <w:szCs w:val="24"/>
        </w:rPr>
        <w:t>confirmed that</w:t>
      </w:r>
      <w:r w:rsidR="001760CA" w:rsidRPr="001F66F7">
        <w:rPr>
          <w:rFonts w:ascii="Arial" w:hAnsi="Arial" w:cs="Arial"/>
          <w:sz w:val="24"/>
          <w:szCs w:val="24"/>
        </w:rPr>
        <w:t xml:space="preserve"> Crystal Pier accept</w:t>
      </w:r>
      <w:r w:rsidR="0040564B" w:rsidRPr="001F66F7">
        <w:rPr>
          <w:rFonts w:ascii="Arial" w:hAnsi="Arial" w:cs="Arial"/>
          <w:sz w:val="24"/>
          <w:szCs w:val="24"/>
        </w:rPr>
        <w:t>ed</w:t>
      </w:r>
      <w:r w:rsidR="001760CA" w:rsidRPr="001F66F7">
        <w:rPr>
          <w:rFonts w:ascii="Arial" w:hAnsi="Arial" w:cs="Arial"/>
          <w:sz w:val="24"/>
          <w:szCs w:val="24"/>
        </w:rPr>
        <w:t xml:space="preserve"> that </w:t>
      </w:r>
      <w:r w:rsidR="0040564B" w:rsidRPr="001F66F7">
        <w:rPr>
          <w:rFonts w:ascii="Arial" w:hAnsi="Arial" w:cs="Arial"/>
          <w:sz w:val="24"/>
          <w:szCs w:val="24"/>
        </w:rPr>
        <w:t xml:space="preserve">the </w:t>
      </w:r>
      <w:r w:rsidR="001760CA" w:rsidRPr="001F66F7">
        <w:rPr>
          <w:rFonts w:ascii="Arial" w:hAnsi="Arial" w:cs="Arial"/>
          <w:sz w:val="24"/>
          <w:szCs w:val="24"/>
        </w:rPr>
        <w:t xml:space="preserve">Nile </w:t>
      </w:r>
      <w:r w:rsidR="0040564B" w:rsidRPr="001F66F7">
        <w:rPr>
          <w:rFonts w:ascii="Arial" w:hAnsi="Arial" w:cs="Arial"/>
          <w:sz w:val="24"/>
          <w:szCs w:val="24"/>
        </w:rPr>
        <w:t xml:space="preserve">Dutch </w:t>
      </w:r>
      <w:r w:rsidR="001760CA" w:rsidRPr="001F66F7">
        <w:rPr>
          <w:rFonts w:ascii="Arial" w:hAnsi="Arial" w:cs="Arial"/>
          <w:sz w:val="24"/>
          <w:szCs w:val="24"/>
        </w:rPr>
        <w:t xml:space="preserve">claim </w:t>
      </w:r>
      <w:r w:rsidR="0040564B" w:rsidRPr="001F66F7">
        <w:rPr>
          <w:rFonts w:ascii="Arial" w:hAnsi="Arial" w:cs="Arial"/>
          <w:sz w:val="24"/>
          <w:szCs w:val="24"/>
        </w:rPr>
        <w:t xml:space="preserve">was </w:t>
      </w:r>
      <w:r w:rsidR="001760CA" w:rsidRPr="001F66F7">
        <w:rPr>
          <w:rFonts w:ascii="Arial" w:hAnsi="Arial" w:cs="Arial"/>
          <w:sz w:val="24"/>
          <w:szCs w:val="24"/>
        </w:rPr>
        <w:t xml:space="preserve">correct and </w:t>
      </w:r>
      <w:r w:rsidR="0040564B" w:rsidRPr="001F66F7">
        <w:rPr>
          <w:rFonts w:ascii="Arial" w:hAnsi="Arial" w:cs="Arial"/>
          <w:sz w:val="24"/>
          <w:szCs w:val="24"/>
        </w:rPr>
        <w:t xml:space="preserve">did </w:t>
      </w:r>
      <w:r w:rsidR="001760CA" w:rsidRPr="001F66F7">
        <w:rPr>
          <w:rFonts w:ascii="Arial" w:hAnsi="Arial" w:cs="Arial"/>
          <w:sz w:val="24"/>
          <w:szCs w:val="24"/>
        </w:rPr>
        <w:t xml:space="preserve">not dispute these </w:t>
      </w:r>
      <w:r w:rsidR="0040564B" w:rsidRPr="001F66F7">
        <w:rPr>
          <w:rFonts w:ascii="Arial" w:hAnsi="Arial" w:cs="Arial"/>
          <w:sz w:val="24"/>
          <w:szCs w:val="24"/>
        </w:rPr>
        <w:t>‘</w:t>
      </w:r>
      <w:r w:rsidR="000B349B" w:rsidRPr="001F66F7">
        <w:rPr>
          <w:rFonts w:ascii="Arial" w:hAnsi="Arial" w:cs="Arial"/>
          <w:sz w:val="24"/>
          <w:szCs w:val="24"/>
        </w:rPr>
        <w:t>close</w:t>
      </w:r>
      <w:r w:rsidR="001760CA" w:rsidRPr="001F66F7">
        <w:rPr>
          <w:rFonts w:ascii="Arial" w:hAnsi="Arial" w:cs="Arial"/>
          <w:sz w:val="24"/>
          <w:szCs w:val="24"/>
        </w:rPr>
        <w:t xml:space="preserve"> out balances</w:t>
      </w:r>
      <w:r w:rsidR="0040564B" w:rsidRPr="001F66F7">
        <w:rPr>
          <w:rFonts w:ascii="Arial" w:hAnsi="Arial" w:cs="Arial"/>
          <w:sz w:val="24"/>
          <w:szCs w:val="24"/>
        </w:rPr>
        <w:t>’.</w:t>
      </w:r>
    </w:p>
    <w:p w:rsidR="002C2C5A" w:rsidRPr="001F66F7" w:rsidRDefault="002C2C5A" w:rsidP="001F66F7">
      <w:pPr>
        <w:spacing w:after="0" w:line="360" w:lineRule="auto"/>
        <w:contextualSpacing/>
        <w:jc w:val="both"/>
        <w:rPr>
          <w:rFonts w:ascii="Arial" w:hAnsi="Arial" w:cs="Arial"/>
          <w:sz w:val="24"/>
          <w:szCs w:val="24"/>
        </w:rPr>
      </w:pPr>
    </w:p>
    <w:p w:rsidR="001760CA"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13</w:t>
      </w:r>
      <w:r w:rsidRPr="001F66F7">
        <w:rPr>
          <w:rFonts w:ascii="Arial" w:hAnsi="Arial" w:cs="Arial"/>
          <w:sz w:val="24"/>
          <w:szCs w:val="24"/>
        </w:rPr>
        <w:t>]</w:t>
      </w:r>
      <w:r w:rsidRPr="001F66F7">
        <w:rPr>
          <w:rFonts w:ascii="Arial" w:hAnsi="Arial" w:cs="Arial"/>
          <w:sz w:val="24"/>
          <w:szCs w:val="24"/>
        </w:rPr>
        <w:tab/>
      </w:r>
      <w:r w:rsidR="001760CA" w:rsidRPr="001F66F7">
        <w:rPr>
          <w:rFonts w:ascii="Arial" w:hAnsi="Arial" w:cs="Arial"/>
          <w:sz w:val="24"/>
          <w:szCs w:val="24"/>
        </w:rPr>
        <w:t>On</w:t>
      </w:r>
      <w:r w:rsidR="000C0F4C" w:rsidRPr="001F66F7">
        <w:rPr>
          <w:rFonts w:ascii="Arial" w:hAnsi="Arial" w:cs="Arial"/>
          <w:sz w:val="24"/>
          <w:szCs w:val="24"/>
        </w:rPr>
        <w:t xml:space="preserve"> </w:t>
      </w:r>
      <w:r w:rsidR="001760CA" w:rsidRPr="001F66F7">
        <w:rPr>
          <w:rFonts w:ascii="Arial" w:hAnsi="Arial" w:cs="Arial"/>
          <w:sz w:val="24"/>
          <w:szCs w:val="24"/>
        </w:rPr>
        <w:t>29 January</w:t>
      </w:r>
      <w:r w:rsidR="000C0F4C" w:rsidRPr="001F66F7">
        <w:rPr>
          <w:rFonts w:ascii="Arial" w:hAnsi="Arial" w:cs="Arial"/>
          <w:sz w:val="24"/>
          <w:szCs w:val="24"/>
        </w:rPr>
        <w:t xml:space="preserve"> </w:t>
      </w:r>
      <w:r w:rsidR="001760CA" w:rsidRPr="001F66F7">
        <w:rPr>
          <w:rFonts w:ascii="Arial" w:hAnsi="Arial" w:cs="Arial"/>
          <w:sz w:val="24"/>
          <w:szCs w:val="24"/>
        </w:rPr>
        <w:t>2021, two days befor</w:t>
      </w:r>
      <w:r w:rsidR="00026176" w:rsidRPr="001F66F7">
        <w:rPr>
          <w:rFonts w:ascii="Arial" w:hAnsi="Arial" w:cs="Arial"/>
          <w:sz w:val="24"/>
          <w:szCs w:val="24"/>
        </w:rPr>
        <w:t>e</w:t>
      </w:r>
      <w:r w:rsidR="001760CA" w:rsidRPr="001F66F7">
        <w:rPr>
          <w:rFonts w:ascii="Arial" w:hAnsi="Arial" w:cs="Arial"/>
          <w:sz w:val="24"/>
          <w:szCs w:val="24"/>
        </w:rPr>
        <w:t xml:space="preserve"> the termination of the </w:t>
      </w:r>
      <w:r w:rsidR="0040564B" w:rsidRPr="001F66F7">
        <w:rPr>
          <w:rFonts w:ascii="Arial" w:hAnsi="Arial" w:cs="Arial"/>
          <w:sz w:val="24"/>
          <w:szCs w:val="24"/>
        </w:rPr>
        <w:t>a</w:t>
      </w:r>
      <w:r w:rsidR="001760CA" w:rsidRPr="001F66F7">
        <w:rPr>
          <w:rFonts w:ascii="Arial" w:hAnsi="Arial" w:cs="Arial"/>
          <w:sz w:val="24"/>
          <w:szCs w:val="24"/>
        </w:rPr>
        <w:t>gency agreement</w:t>
      </w:r>
      <w:r w:rsidR="004C6D16" w:rsidRPr="001F66F7">
        <w:rPr>
          <w:rFonts w:ascii="Arial" w:hAnsi="Arial" w:cs="Arial"/>
          <w:sz w:val="24"/>
          <w:szCs w:val="24"/>
        </w:rPr>
        <w:t xml:space="preserve">, </w:t>
      </w:r>
      <w:r w:rsidR="001760CA" w:rsidRPr="001F66F7">
        <w:rPr>
          <w:rFonts w:ascii="Arial" w:hAnsi="Arial" w:cs="Arial"/>
          <w:sz w:val="24"/>
          <w:szCs w:val="24"/>
        </w:rPr>
        <w:t>attorneys acting for Crystal Pier</w:t>
      </w:r>
      <w:r w:rsidR="00490255" w:rsidRPr="001F66F7">
        <w:rPr>
          <w:rFonts w:ascii="Arial" w:hAnsi="Arial" w:cs="Arial"/>
          <w:sz w:val="24"/>
          <w:szCs w:val="24"/>
        </w:rPr>
        <w:t xml:space="preserve"> </w:t>
      </w:r>
      <w:r w:rsidR="001760CA" w:rsidRPr="001F66F7">
        <w:rPr>
          <w:rFonts w:ascii="Arial" w:hAnsi="Arial" w:cs="Arial"/>
          <w:sz w:val="24"/>
          <w:szCs w:val="24"/>
        </w:rPr>
        <w:t>address</w:t>
      </w:r>
      <w:r w:rsidR="00750DDB" w:rsidRPr="001F66F7">
        <w:rPr>
          <w:rFonts w:ascii="Arial" w:hAnsi="Arial" w:cs="Arial"/>
          <w:sz w:val="24"/>
          <w:szCs w:val="24"/>
        </w:rPr>
        <w:t>ed</w:t>
      </w:r>
      <w:r w:rsidR="001760CA" w:rsidRPr="001F66F7">
        <w:rPr>
          <w:rFonts w:ascii="Arial" w:hAnsi="Arial" w:cs="Arial"/>
          <w:sz w:val="24"/>
          <w:szCs w:val="24"/>
        </w:rPr>
        <w:t xml:space="preserve"> </w:t>
      </w:r>
      <w:r w:rsidR="00206476" w:rsidRPr="001F66F7">
        <w:rPr>
          <w:rFonts w:ascii="Arial" w:hAnsi="Arial" w:cs="Arial"/>
          <w:sz w:val="24"/>
          <w:szCs w:val="24"/>
        </w:rPr>
        <w:t>a</w:t>
      </w:r>
      <w:r w:rsidR="001760CA" w:rsidRPr="001F66F7">
        <w:rPr>
          <w:rFonts w:ascii="Arial" w:hAnsi="Arial" w:cs="Arial"/>
          <w:sz w:val="24"/>
          <w:szCs w:val="24"/>
        </w:rPr>
        <w:t xml:space="preserve"> letter</w:t>
      </w:r>
      <w:r w:rsidR="000C0F4C" w:rsidRPr="001F66F7">
        <w:rPr>
          <w:rFonts w:ascii="Arial" w:hAnsi="Arial" w:cs="Arial"/>
          <w:sz w:val="24"/>
          <w:szCs w:val="24"/>
        </w:rPr>
        <w:t xml:space="preserve"> </w:t>
      </w:r>
      <w:r w:rsidR="001760CA" w:rsidRPr="001F66F7">
        <w:rPr>
          <w:rFonts w:ascii="Arial" w:hAnsi="Arial" w:cs="Arial"/>
          <w:sz w:val="24"/>
          <w:szCs w:val="24"/>
        </w:rPr>
        <w:t>to Nile Dutch</w:t>
      </w:r>
      <w:r w:rsidR="00206476" w:rsidRPr="001F66F7">
        <w:rPr>
          <w:rFonts w:ascii="Arial" w:hAnsi="Arial" w:cs="Arial"/>
          <w:sz w:val="24"/>
          <w:szCs w:val="24"/>
        </w:rPr>
        <w:t>,</w:t>
      </w:r>
      <w:r w:rsidR="000C0F4C" w:rsidRPr="001F66F7">
        <w:rPr>
          <w:rFonts w:ascii="Arial" w:hAnsi="Arial" w:cs="Arial"/>
          <w:sz w:val="24"/>
          <w:szCs w:val="24"/>
        </w:rPr>
        <w:t xml:space="preserve"> </w:t>
      </w:r>
      <w:r w:rsidR="001760CA" w:rsidRPr="001F66F7">
        <w:rPr>
          <w:rFonts w:ascii="Arial" w:hAnsi="Arial" w:cs="Arial"/>
          <w:sz w:val="24"/>
          <w:szCs w:val="24"/>
        </w:rPr>
        <w:t>alleging that Crystal Pier</w:t>
      </w:r>
      <w:r w:rsidR="000C0F4C" w:rsidRPr="001F66F7">
        <w:rPr>
          <w:rFonts w:ascii="Arial" w:hAnsi="Arial" w:cs="Arial"/>
          <w:sz w:val="24"/>
          <w:szCs w:val="24"/>
        </w:rPr>
        <w:t xml:space="preserve"> </w:t>
      </w:r>
      <w:r w:rsidR="001760CA" w:rsidRPr="001F66F7">
        <w:rPr>
          <w:rFonts w:ascii="Arial" w:hAnsi="Arial" w:cs="Arial"/>
          <w:sz w:val="24"/>
          <w:szCs w:val="24"/>
        </w:rPr>
        <w:t xml:space="preserve">has </w:t>
      </w:r>
      <w:r w:rsidR="00206476" w:rsidRPr="001F66F7">
        <w:rPr>
          <w:rFonts w:ascii="Arial" w:hAnsi="Arial" w:cs="Arial"/>
          <w:sz w:val="24"/>
          <w:szCs w:val="24"/>
        </w:rPr>
        <w:t xml:space="preserve">an </w:t>
      </w:r>
      <w:r w:rsidR="001760CA" w:rsidRPr="001F66F7">
        <w:rPr>
          <w:rFonts w:ascii="Arial" w:hAnsi="Arial" w:cs="Arial"/>
          <w:sz w:val="24"/>
          <w:szCs w:val="24"/>
        </w:rPr>
        <w:t>indemnity claim of</w:t>
      </w:r>
      <w:r w:rsidR="000C0F4C" w:rsidRPr="001F66F7">
        <w:rPr>
          <w:rFonts w:ascii="Arial" w:hAnsi="Arial" w:cs="Arial"/>
          <w:sz w:val="24"/>
          <w:szCs w:val="24"/>
        </w:rPr>
        <w:t xml:space="preserve"> </w:t>
      </w:r>
      <w:r w:rsidR="001760CA" w:rsidRPr="001F66F7">
        <w:rPr>
          <w:rFonts w:ascii="Arial" w:hAnsi="Arial" w:cs="Arial"/>
          <w:sz w:val="24"/>
          <w:szCs w:val="24"/>
        </w:rPr>
        <w:t xml:space="preserve">USD1.1 </w:t>
      </w:r>
      <w:r w:rsidR="00206476" w:rsidRPr="001F66F7">
        <w:rPr>
          <w:rFonts w:ascii="Arial" w:hAnsi="Arial" w:cs="Arial"/>
          <w:sz w:val="24"/>
          <w:szCs w:val="24"/>
        </w:rPr>
        <w:t>m</w:t>
      </w:r>
      <w:r w:rsidR="001760CA" w:rsidRPr="001F66F7">
        <w:rPr>
          <w:rFonts w:ascii="Arial" w:hAnsi="Arial" w:cs="Arial"/>
          <w:sz w:val="24"/>
          <w:szCs w:val="24"/>
        </w:rPr>
        <w:t>illion (</w:t>
      </w:r>
      <w:r w:rsidR="00206476" w:rsidRPr="001F66F7">
        <w:rPr>
          <w:rFonts w:ascii="Arial" w:hAnsi="Arial" w:cs="Arial"/>
          <w:sz w:val="24"/>
          <w:szCs w:val="24"/>
        </w:rPr>
        <w:t>the</w:t>
      </w:r>
      <w:r w:rsidR="001760CA" w:rsidRPr="001F66F7">
        <w:rPr>
          <w:rFonts w:ascii="Arial" w:hAnsi="Arial" w:cs="Arial"/>
          <w:sz w:val="24"/>
          <w:szCs w:val="24"/>
        </w:rPr>
        <w:t xml:space="preserve"> indemnity </w:t>
      </w:r>
      <w:r w:rsidR="00206476" w:rsidRPr="001F66F7">
        <w:rPr>
          <w:rFonts w:ascii="Arial" w:hAnsi="Arial" w:cs="Arial"/>
          <w:sz w:val="24"/>
          <w:szCs w:val="24"/>
        </w:rPr>
        <w:t>c</w:t>
      </w:r>
      <w:r w:rsidR="001760CA" w:rsidRPr="001F66F7">
        <w:rPr>
          <w:rFonts w:ascii="Arial" w:hAnsi="Arial" w:cs="Arial"/>
          <w:sz w:val="24"/>
          <w:szCs w:val="24"/>
        </w:rPr>
        <w:t>laim)</w:t>
      </w:r>
      <w:r w:rsidR="00206476" w:rsidRPr="001F66F7">
        <w:rPr>
          <w:rFonts w:ascii="Arial" w:hAnsi="Arial" w:cs="Arial"/>
          <w:sz w:val="24"/>
          <w:szCs w:val="24"/>
        </w:rPr>
        <w:t xml:space="preserve"> </w:t>
      </w:r>
      <w:r w:rsidR="001760CA" w:rsidRPr="001F66F7">
        <w:rPr>
          <w:rFonts w:ascii="Arial" w:hAnsi="Arial" w:cs="Arial"/>
          <w:sz w:val="24"/>
          <w:szCs w:val="24"/>
        </w:rPr>
        <w:t>arising from a dispute with SARS. Prinsloo argued that Crystal Pier</w:t>
      </w:r>
      <w:r w:rsidR="000C0F4C" w:rsidRPr="001F66F7">
        <w:rPr>
          <w:rFonts w:ascii="Arial" w:hAnsi="Arial" w:cs="Arial"/>
          <w:sz w:val="24"/>
          <w:szCs w:val="24"/>
        </w:rPr>
        <w:t xml:space="preserve"> </w:t>
      </w:r>
      <w:r w:rsidR="001760CA" w:rsidRPr="001F66F7">
        <w:rPr>
          <w:rFonts w:ascii="Arial" w:hAnsi="Arial" w:cs="Arial"/>
          <w:sz w:val="24"/>
          <w:szCs w:val="24"/>
        </w:rPr>
        <w:t>could set the indemnity</w:t>
      </w:r>
      <w:r w:rsidR="000C0F4C" w:rsidRPr="001F66F7">
        <w:rPr>
          <w:rFonts w:ascii="Arial" w:hAnsi="Arial" w:cs="Arial"/>
          <w:sz w:val="24"/>
          <w:szCs w:val="24"/>
        </w:rPr>
        <w:t xml:space="preserve"> </w:t>
      </w:r>
      <w:r w:rsidR="001760CA" w:rsidRPr="001F66F7">
        <w:rPr>
          <w:rFonts w:ascii="Arial" w:hAnsi="Arial" w:cs="Arial"/>
          <w:sz w:val="24"/>
          <w:szCs w:val="24"/>
        </w:rPr>
        <w:t>claim off</w:t>
      </w:r>
      <w:r w:rsidR="000C0F4C" w:rsidRPr="001F66F7">
        <w:rPr>
          <w:rFonts w:ascii="Arial" w:hAnsi="Arial" w:cs="Arial"/>
          <w:sz w:val="24"/>
          <w:szCs w:val="24"/>
        </w:rPr>
        <w:t xml:space="preserve"> </w:t>
      </w:r>
      <w:r w:rsidR="001760CA" w:rsidRPr="001F66F7">
        <w:rPr>
          <w:rFonts w:ascii="Arial" w:hAnsi="Arial" w:cs="Arial"/>
          <w:sz w:val="24"/>
          <w:szCs w:val="24"/>
        </w:rPr>
        <w:t xml:space="preserve">against </w:t>
      </w:r>
      <w:r w:rsidR="00206476" w:rsidRPr="001F66F7">
        <w:rPr>
          <w:rFonts w:ascii="Arial" w:hAnsi="Arial" w:cs="Arial"/>
          <w:sz w:val="24"/>
          <w:szCs w:val="24"/>
        </w:rPr>
        <w:t xml:space="preserve">the </w:t>
      </w:r>
      <w:r w:rsidR="001760CA" w:rsidRPr="001F66F7">
        <w:rPr>
          <w:rFonts w:ascii="Arial" w:hAnsi="Arial" w:cs="Arial"/>
          <w:sz w:val="24"/>
          <w:szCs w:val="24"/>
        </w:rPr>
        <w:t xml:space="preserve">amounts payable to Nile Dutch, which </w:t>
      </w:r>
      <w:r w:rsidR="00206476" w:rsidRPr="001F66F7">
        <w:rPr>
          <w:rFonts w:ascii="Arial" w:hAnsi="Arial" w:cs="Arial"/>
          <w:sz w:val="24"/>
          <w:szCs w:val="24"/>
        </w:rPr>
        <w:t xml:space="preserve">had </w:t>
      </w:r>
      <w:r w:rsidR="001760CA" w:rsidRPr="001F66F7">
        <w:rPr>
          <w:rFonts w:ascii="Arial" w:hAnsi="Arial" w:cs="Arial"/>
          <w:sz w:val="24"/>
          <w:szCs w:val="24"/>
        </w:rPr>
        <w:t>at that stage already been calculated to be at least USD870 236. This amount</w:t>
      </w:r>
      <w:r w:rsidR="00661206" w:rsidRPr="001F66F7">
        <w:rPr>
          <w:rFonts w:ascii="Arial" w:hAnsi="Arial" w:cs="Arial"/>
          <w:sz w:val="24"/>
          <w:szCs w:val="24"/>
        </w:rPr>
        <w:t>, as stated above,</w:t>
      </w:r>
      <w:r w:rsidR="001760CA" w:rsidRPr="001F66F7">
        <w:rPr>
          <w:rFonts w:ascii="Arial" w:hAnsi="Arial" w:cs="Arial"/>
          <w:sz w:val="24"/>
          <w:szCs w:val="24"/>
        </w:rPr>
        <w:t xml:space="preserve"> </w:t>
      </w:r>
      <w:r w:rsidR="000B349B" w:rsidRPr="001F66F7">
        <w:rPr>
          <w:rFonts w:ascii="Arial" w:hAnsi="Arial" w:cs="Arial"/>
          <w:sz w:val="24"/>
          <w:szCs w:val="24"/>
        </w:rPr>
        <w:t>has</w:t>
      </w:r>
      <w:r w:rsidR="00661206" w:rsidRPr="001F66F7">
        <w:rPr>
          <w:rFonts w:ascii="Arial" w:hAnsi="Arial" w:cs="Arial"/>
          <w:sz w:val="24"/>
          <w:szCs w:val="24"/>
        </w:rPr>
        <w:t xml:space="preserve"> however</w:t>
      </w:r>
      <w:r w:rsidR="000B349B" w:rsidRPr="001F66F7">
        <w:rPr>
          <w:rFonts w:ascii="Arial" w:hAnsi="Arial" w:cs="Arial"/>
          <w:sz w:val="24"/>
          <w:szCs w:val="24"/>
        </w:rPr>
        <w:t xml:space="preserve"> since</w:t>
      </w:r>
      <w:r w:rsidR="001760CA" w:rsidRPr="001F66F7">
        <w:rPr>
          <w:rFonts w:ascii="Arial" w:hAnsi="Arial" w:cs="Arial"/>
          <w:sz w:val="24"/>
          <w:szCs w:val="24"/>
        </w:rPr>
        <w:t xml:space="preserve"> increased to USD</w:t>
      </w:r>
      <w:r w:rsidR="00F603AC" w:rsidRPr="001F66F7">
        <w:rPr>
          <w:rFonts w:ascii="Arial" w:hAnsi="Arial" w:cs="Arial"/>
          <w:sz w:val="24"/>
          <w:szCs w:val="24"/>
        </w:rPr>
        <w:t>1 </w:t>
      </w:r>
      <w:r w:rsidR="001760CA" w:rsidRPr="001F66F7">
        <w:rPr>
          <w:rFonts w:ascii="Arial" w:hAnsi="Arial" w:cs="Arial"/>
          <w:sz w:val="24"/>
          <w:szCs w:val="24"/>
        </w:rPr>
        <w:t>261</w:t>
      </w:r>
      <w:r w:rsidR="00F603AC" w:rsidRPr="001F66F7">
        <w:rPr>
          <w:rFonts w:ascii="Arial" w:hAnsi="Arial" w:cs="Arial"/>
          <w:sz w:val="24"/>
          <w:szCs w:val="24"/>
        </w:rPr>
        <w:t> </w:t>
      </w:r>
      <w:r w:rsidR="001760CA" w:rsidRPr="001F66F7">
        <w:rPr>
          <w:rFonts w:ascii="Arial" w:hAnsi="Arial" w:cs="Arial"/>
          <w:sz w:val="24"/>
          <w:szCs w:val="24"/>
        </w:rPr>
        <w:t>355</w:t>
      </w:r>
      <w:r w:rsidR="00206476" w:rsidRPr="001F66F7">
        <w:rPr>
          <w:rFonts w:ascii="Arial" w:hAnsi="Arial" w:cs="Arial"/>
          <w:sz w:val="24"/>
          <w:szCs w:val="24"/>
        </w:rPr>
        <w:t>.</w:t>
      </w:r>
    </w:p>
    <w:p w:rsidR="002C2C5A" w:rsidRPr="001F66F7" w:rsidRDefault="002C2C5A" w:rsidP="001F66F7">
      <w:pPr>
        <w:spacing w:after="0" w:line="360" w:lineRule="auto"/>
        <w:contextualSpacing/>
        <w:jc w:val="both"/>
        <w:rPr>
          <w:rFonts w:ascii="Arial" w:hAnsi="Arial" w:cs="Arial"/>
          <w:sz w:val="24"/>
          <w:szCs w:val="24"/>
        </w:rPr>
      </w:pPr>
    </w:p>
    <w:p w:rsidR="001760CA"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14</w:t>
      </w:r>
      <w:r w:rsidRPr="001F66F7">
        <w:rPr>
          <w:rFonts w:ascii="Arial" w:hAnsi="Arial" w:cs="Arial"/>
          <w:sz w:val="24"/>
          <w:szCs w:val="24"/>
        </w:rPr>
        <w:t>]</w:t>
      </w:r>
      <w:r w:rsidRPr="001F66F7">
        <w:rPr>
          <w:rFonts w:ascii="Arial" w:hAnsi="Arial" w:cs="Arial"/>
          <w:sz w:val="24"/>
          <w:szCs w:val="24"/>
        </w:rPr>
        <w:tab/>
      </w:r>
      <w:r w:rsidR="001760CA" w:rsidRPr="001F66F7">
        <w:rPr>
          <w:rFonts w:ascii="Arial" w:hAnsi="Arial" w:cs="Arial"/>
          <w:sz w:val="24"/>
          <w:szCs w:val="24"/>
        </w:rPr>
        <w:t xml:space="preserve">In response to Prinsloo’s letter </w:t>
      </w:r>
      <w:r w:rsidR="00206476" w:rsidRPr="001F66F7">
        <w:rPr>
          <w:rFonts w:ascii="Arial" w:hAnsi="Arial" w:cs="Arial"/>
          <w:sz w:val="24"/>
          <w:szCs w:val="24"/>
        </w:rPr>
        <w:t xml:space="preserve">of </w:t>
      </w:r>
      <w:r w:rsidR="001760CA" w:rsidRPr="001F66F7">
        <w:rPr>
          <w:rFonts w:ascii="Arial" w:hAnsi="Arial" w:cs="Arial"/>
          <w:sz w:val="24"/>
          <w:szCs w:val="24"/>
        </w:rPr>
        <w:t xml:space="preserve">29 January 2021, representatives of Nile </w:t>
      </w:r>
      <w:r w:rsidR="000B349B" w:rsidRPr="001F66F7">
        <w:rPr>
          <w:rFonts w:ascii="Arial" w:hAnsi="Arial" w:cs="Arial"/>
          <w:sz w:val="24"/>
          <w:szCs w:val="24"/>
        </w:rPr>
        <w:t>Dutch,</w:t>
      </w:r>
      <w:r w:rsidR="001760CA" w:rsidRPr="001F66F7">
        <w:rPr>
          <w:rFonts w:ascii="Arial" w:hAnsi="Arial" w:cs="Arial"/>
          <w:sz w:val="24"/>
          <w:szCs w:val="24"/>
        </w:rPr>
        <w:t xml:space="preserve"> Sure Maritime, directed a letter to Prinsloo setting out the </w:t>
      </w:r>
      <w:r w:rsidR="00A03DE8" w:rsidRPr="001F66F7">
        <w:rPr>
          <w:rFonts w:ascii="Arial" w:hAnsi="Arial" w:cs="Arial"/>
          <w:sz w:val="24"/>
          <w:szCs w:val="24"/>
        </w:rPr>
        <w:t>reasons</w:t>
      </w:r>
      <w:r w:rsidR="001760CA" w:rsidRPr="001F66F7">
        <w:rPr>
          <w:rFonts w:ascii="Arial" w:hAnsi="Arial" w:cs="Arial"/>
          <w:sz w:val="24"/>
          <w:szCs w:val="24"/>
        </w:rPr>
        <w:t xml:space="preserve"> why </w:t>
      </w:r>
      <w:r w:rsidR="00A03DE8" w:rsidRPr="001F66F7">
        <w:rPr>
          <w:rFonts w:ascii="Arial" w:hAnsi="Arial" w:cs="Arial"/>
          <w:sz w:val="24"/>
          <w:szCs w:val="24"/>
        </w:rPr>
        <w:t xml:space="preserve">the </w:t>
      </w:r>
      <w:r w:rsidR="001760CA" w:rsidRPr="001F66F7">
        <w:rPr>
          <w:rFonts w:ascii="Arial" w:hAnsi="Arial" w:cs="Arial"/>
          <w:sz w:val="24"/>
          <w:szCs w:val="24"/>
        </w:rPr>
        <w:t>indemnity claim had no merit.</w:t>
      </w:r>
      <w:r w:rsidR="000C0F4C" w:rsidRPr="001F66F7">
        <w:rPr>
          <w:rFonts w:ascii="Arial" w:hAnsi="Arial" w:cs="Arial"/>
          <w:sz w:val="24"/>
          <w:szCs w:val="24"/>
        </w:rPr>
        <w:t xml:space="preserve"> </w:t>
      </w:r>
      <w:r w:rsidR="001760CA" w:rsidRPr="001F66F7">
        <w:rPr>
          <w:rFonts w:ascii="Arial" w:hAnsi="Arial" w:cs="Arial"/>
          <w:sz w:val="24"/>
          <w:szCs w:val="24"/>
        </w:rPr>
        <w:t xml:space="preserve">These </w:t>
      </w:r>
      <w:r w:rsidR="000B349B" w:rsidRPr="001F66F7">
        <w:rPr>
          <w:rFonts w:ascii="Arial" w:hAnsi="Arial" w:cs="Arial"/>
          <w:sz w:val="24"/>
          <w:szCs w:val="24"/>
        </w:rPr>
        <w:t>included the</w:t>
      </w:r>
      <w:r w:rsidR="001760CA" w:rsidRPr="001F66F7">
        <w:rPr>
          <w:rFonts w:ascii="Arial" w:hAnsi="Arial" w:cs="Arial"/>
          <w:sz w:val="24"/>
          <w:szCs w:val="24"/>
        </w:rPr>
        <w:t xml:space="preserve"> fact </w:t>
      </w:r>
      <w:r w:rsidR="00540DFC" w:rsidRPr="001F66F7">
        <w:rPr>
          <w:rFonts w:ascii="Arial" w:hAnsi="Arial" w:cs="Arial"/>
          <w:sz w:val="24"/>
          <w:szCs w:val="24"/>
        </w:rPr>
        <w:t xml:space="preserve">that prior to the letter </w:t>
      </w:r>
      <w:r w:rsidR="00A03DE8" w:rsidRPr="001F66F7">
        <w:rPr>
          <w:rFonts w:ascii="Arial" w:hAnsi="Arial" w:cs="Arial"/>
          <w:sz w:val="24"/>
          <w:szCs w:val="24"/>
        </w:rPr>
        <w:t xml:space="preserve">of </w:t>
      </w:r>
      <w:r w:rsidR="001760CA" w:rsidRPr="001F66F7">
        <w:rPr>
          <w:rFonts w:ascii="Arial" w:hAnsi="Arial" w:cs="Arial"/>
          <w:sz w:val="24"/>
          <w:szCs w:val="24"/>
        </w:rPr>
        <w:t>29 January 2019</w:t>
      </w:r>
      <w:r w:rsidR="00A03DE8" w:rsidRPr="001F66F7">
        <w:rPr>
          <w:rFonts w:ascii="Arial" w:hAnsi="Arial" w:cs="Arial"/>
          <w:sz w:val="24"/>
          <w:szCs w:val="24"/>
        </w:rPr>
        <w:t>,</w:t>
      </w:r>
      <w:r w:rsidR="000C0F4C" w:rsidRPr="001F66F7">
        <w:rPr>
          <w:rFonts w:ascii="Arial" w:hAnsi="Arial" w:cs="Arial"/>
          <w:sz w:val="24"/>
          <w:szCs w:val="24"/>
        </w:rPr>
        <w:t xml:space="preserve"> </w:t>
      </w:r>
      <w:r w:rsidR="001760CA" w:rsidRPr="001F66F7">
        <w:rPr>
          <w:rFonts w:ascii="Arial" w:hAnsi="Arial" w:cs="Arial"/>
          <w:sz w:val="24"/>
          <w:szCs w:val="24"/>
        </w:rPr>
        <w:t xml:space="preserve">Crystal Pier had never asserted any claim against Nile Dutch, this despite the fact that the dispute with SARS had been </w:t>
      </w:r>
      <w:r w:rsidR="000B349B" w:rsidRPr="001F66F7">
        <w:rPr>
          <w:rFonts w:ascii="Arial" w:hAnsi="Arial" w:cs="Arial"/>
          <w:sz w:val="24"/>
          <w:szCs w:val="24"/>
        </w:rPr>
        <w:t>ongoing</w:t>
      </w:r>
      <w:r w:rsidR="001760CA" w:rsidRPr="001F66F7">
        <w:rPr>
          <w:rFonts w:ascii="Arial" w:hAnsi="Arial" w:cs="Arial"/>
          <w:sz w:val="24"/>
          <w:szCs w:val="24"/>
        </w:rPr>
        <w:t xml:space="preserve"> since 2015. Sure Maritime accordingly demanded immediate payment by Crystal Pier</w:t>
      </w:r>
      <w:r w:rsidR="000C0F4C" w:rsidRPr="001F66F7">
        <w:rPr>
          <w:rFonts w:ascii="Arial" w:hAnsi="Arial" w:cs="Arial"/>
          <w:sz w:val="24"/>
          <w:szCs w:val="24"/>
        </w:rPr>
        <w:t xml:space="preserve"> </w:t>
      </w:r>
      <w:r w:rsidR="001760CA" w:rsidRPr="001F66F7">
        <w:rPr>
          <w:rFonts w:ascii="Arial" w:hAnsi="Arial" w:cs="Arial"/>
          <w:sz w:val="24"/>
          <w:szCs w:val="24"/>
        </w:rPr>
        <w:t xml:space="preserve">of </w:t>
      </w:r>
      <w:r w:rsidR="003824FC" w:rsidRPr="001F66F7">
        <w:rPr>
          <w:rFonts w:ascii="Arial" w:hAnsi="Arial" w:cs="Arial"/>
          <w:sz w:val="24"/>
          <w:szCs w:val="24"/>
        </w:rPr>
        <w:t xml:space="preserve">an </w:t>
      </w:r>
      <w:r w:rsidR="001760CA" w:rsidRPr="001F66F7">
        <w:rPr>
          <w:rFonts w:ascii="Arial" w:hAnsi="Arial" w:cs="Arial"/>
          <w:sz w:val="24"/>
          <w:szCs w:val="24"/>
        </w:rPr>
        <w:t>advance payment</w:t>
      </w:r>
      <w:r w:rsidR="000C0F4C" w:rsidRPr="001F66F7">
        <w:rPr>
          <w:rFonts w:ascii="Arial" w:hAnsi="Arial" w:cs="Arial"/>
          <w:sz w:val="24"/>
          <w:szCs w:val="24"/>
        </w:rPr>
        <w:t xml:space="preserve"> </w:t>
      </w:r>
      <w:r w:rsidR="003824FC" w:rsidRPr="001F66F7">
        <w:rPr>
          <w:rFonts w:ascii="Arial" w:hAnsi="Arial" w:cs="Arial"/>
          <w:sz w:val="24"/>
          <w:szCs w:val="24"/>
        </w:rPr>
        <w:t xml:space="preserve">of </w:t>
      </w:r>
      <w:r w:rsidR="001760CA" w:rsidRPr="001F66F7">
        <w:rPr>
          <w:rFonts w:ascii="Arial" w:hAnsi="Arial" w:cs="Arial"/>
          <w:sz w:val="24"/>
          <w:szCs w:val="24"/>
        </w:rPr>
        <w:t>USD1</w:t>
      </w:r>
      <w:r w:rsidR="00280579" w:rsidRPr="001F66F7">
        <w:rPr>
          <w:rFonts w:ascii="Arial" w:hAnsi="Arial" w:cs="Arial"/>
          <w:sz w:val="24"/>
          <w:szCs w:val="24"/>
        </w:rPr>
        <w:t> </w:t>
      </w:r>
      <w:r w:rsidR="001760CA" w:rsidRPr="001F66F7">
        <w:rPr>
          <w:rFonts w:ascii="Arial" w:hAnsi="Arial" w:cs="Arial"/>
          <w:sz w:val="24"/>
          <w:szCs w:val="24"/>
        </w:rPr>
        <w:t>178</w:t>
      </w:r>
      <w:r w:rsidR="00280579" w:rsidRPr="001F66F7">
        <w:rPr>
          <w:rFonts w:ascii="Arial" w:hAnsi="Arial" w:cs="Arial"/>
          <w:sz w:val="24"/>
          <w:szCs w:val="24"/>
        </w:rPr>
        <w:t> </w:t>
      </w:r>
      <w:r w:rsidR="001760CA" w:rsidRPr="001F66F7">
        <w:rPr>
          <w:rFonts w:ascii="Arial" w:hAnsi="Arial" w:cs="Arial"/>
          <w:sz w:val="24"/>
          <w:szCs w:val="24"/>
        </w:rPr>
        <w:t>401.93</w:t>
      </w:r>
      <w:r w:rsidR="000C0F4C" w:rsidRPr="001F66F7">
        <w:rPr>
          <w:rFonts w:ascii="Arial" w:hAnsi="Arial" w:cs="Arial"/>
          <w:sz w:val="24"/>
          <w:szCs w:val="24"/>
        </w:rPr>
        <w:t xml:space="preserve"> </w:t>
      </w:r>
      <w:r w:rsidR="001760CA" w:rsidRPr="001F66F7">
        <w:rPr>
          <w:rFonts w:ascii="Arial" w:hAnsi="Arial" w:cs="Arial"/>
          <w:sz w:val="24"/>
          <w:szCs w:val="24"/>
        </w:rPr>
        <w:t>on the total claim</w:t>
      </w:r>
      <w:r w:rsidR="000C0F4C" w:rsidRPr="001F66F7">
        <w:rPr>
          <w:rFonts w:ascii="Arial" w:hAnsi="Arial" w:cs="Arial"/>
          <w:sz w:val="24"/>
          <w:szCs w:val="24"/>
        </w:rPr>
        <w:t xml:space="preserve"> </w:t>
      </w:r>
      <w:r w:rsidR="001760CA" w:rsidRPr="001F66F7">
        <w:rPr>
          <w:rFonts w:ascii="Arial" w:hAnsi="Arial" w:cs="Arial"/>
          <w:sz w:val="24"/>
          <w:szCs w:val="24"/>
        </w:rPr>
        <w:t>established by</w:t>
      </w:r>
      <w:r w:rsidR="000C0F4C" w:rsidRPr="001F66F7">
        <w:rPr>
          <w:rFonts w:ascii="Arial" w:hAnsi="Arial" w:cs="Arial"/>
          <w:sz w:val="24"/>
          <w:szCs w:val="24"/>
        </w:rPr>
        <w:t xml:space="preserve"> </w:t>
      </w:r>
      <w:r w:rsidR="001760CA" w:rsidRPr="001F66F7">
        <w:rPr>
          <w:rFonts w:ascii="Arial" w:hAnsi="Arial" w:cs="Arial"/>
          <w:sz w:val="24"/>
          <w:szCs w:val="24"/>
        </w:rPr>
        <w:t>Nile Dutch</w:t>
      </w:r>
      <w:r w:rsidR="00280579" w:rsidRPr="001F66F7">
        <w:rPr>
          <w:rFonts w:ascii="Arial" w:hAnsi="Arial" w:cs="Arial"/>
          <w:sz w:val="24"/>
          <w:szCs w:val="24"/>
        </w:rPr>
        <w:t>.</w:t>
      </w:r>
      <w:r w:rsidR="001760CA" w:rsidRPr="001F66F7">
        <w:rPr>
          <w:rFonts w:ascii="Arial" w:hAnsi="Arial" w:cs="Arial"/>
          <w:sz w:val="24"/>
          <w:szCs w:val="24"/>
        </w:rPr>
        <w:t xml:space="preserve"> In the </w:t>
      </w:r>
      <w:r w:rsidR="00280579" w:rsidRPr="001F66F7">
        <w:rPr>
          <w:rFonts w:ascii="Arial" w:hAnsi="Arial" w:cs="Arial"/>
          <w:sz w:val="24"/>
          <w:szCs w:val="24"/>
        </w:rPr>
        <w:t xml:space="preserve">letter from </w:t>
      </w:r>
      <w:r w:rsidR="001760CA" w:rsidRPr="001F66F7">
        <w:rPr>
          <w:rFonts w:ascii="Arial" w:hAnsi="Arial" w:cs="Arial"/>
          <w:sz w:val="24"/>
          <w:szCs w:val="24"/>
        </w:rPr>
        <w:t xml:space="preserve">Sure </w:t>
      </w:r>
      <w:r w:rsidR="00525BFF" w:rsidRPr="001F66F7">
        <w:rPr>
          <w:rFonts w:ascii="Arial" w:hAnsi="Arial" w:cs="Arial"/>
          <w:sz w:val="24"/>
          <w:szCs w:val="24"/>
        </w:rPr>
        <w:t>Maritime</w:t>
      </w:r>
      <w:r w:rsidR="005C7D42" w:rsidRPr="001F66F7">
        <w:rPr>
          <w:rFonts w:ascii="Arial" w:hAnsi="Arial" w:cs="Arial"/>
          <w:sz w:val="24"/>
          <w:szCs w:val="24"/>
        </w:rPr>
        <w:t>, Crystal</w:t>
      </w:r>
      <w:r w:rsidR="001760CA" w:rsidRPr="001F66F7">
        <w:rPr>
          <w:rFonts w:ascii="Arial" w:hAnsi="Arial" w:cs="Arial"/>
          <w:sz w:val="24"/>
          <w:szCs w:val="24"/>
        </w:rPr>
        <w:t xml:space="preserve"> Pier</w:t>
      </w:r>
      <w:r w:rsidR="000C0F4C" w:rsidRPr="001F66F7">
        <w:rPr>
          <w:rFonts w:ascii="Arial" w:hAnsi="Arial" w:cs="Arial"/>
          <w:sz w:val="24"/>
          <w:szCs w:val="24"/>
        </w:rPr>
        <w:t xml:space="preserve"> </w:t>
      </w:r>
      <w:r w:rsidR="001760CA" w:rsidRPr="001F66F7">
        <w:rPr>
          <w:rFonts w:ascii="Arial" w:hAnsi="Arial" w:cs="Arial"/>
          <w:sz w:val="24"/>
          <w:szCs w:val="24"/>
        </w:rPr>
        <w:t>was further requested to provide</w:t>
      </w:r>
      <w:r w:rsidR="000C0F4C" w:rsidRPr="001F66F7">
        <w:rPr>
          <w:rFonts w:ascii="Arial" w:hAnsi="Arial" w:cs="Arial"/>
          <w:sz w:val="24"/>
          <w:szCs w:val="24"/>
        </w:rPr>
        <w:t xml:space="preserve"> </w:t>
      </w:r>
      <w:r w:rsidR="001760CA" w:rsidRPr="001F66F7">
        <w:rPr>
          <w:rFonts w:ascii="Arial" w:hAnsi="Arial" w:cs="Arial"/>
          <w:sz w:val="24"/>
          <w:szCs w:val="24"/>
        </w:rPr>
        <w:t>Nile</w:t>
      </w:r>
      <w:r w:rsidR="00280579" w:rsidRPr="001F66F7">
        <w:rPr>
          <w:rFonts w:ascii="Arial" w:hAnsi="Arial" w:cs="Arial"/>
          <w:sz w:val="24"/>
          <w:szCs w:val="24"/>
        </w:rPr>
        <w:t xml:space="preserve"> </w:t>
      </w:r>
      <w:r w:rsidR="001760CA" w:rsidRPr="001F66F7">
        <w:rPr>
          <w:rFonts w:ascii="Arial" w:hAnsi="Arial" w:cs="Arial"/>
          <w:sz w:val="24"/>
          <w:szCs w:val="24"/>
        </w:rPr>
        <w:t>Dutch</w:t>
      </w:r>
      <w:r w:rsidR="000C0F4C" w:rsidRPr="001F66F7">
        <w:rPr>
          <w:rFonts w:ascii="Arial" w:hAnsi="Arial" w:cs="Arial"/>
          <w:sz w:val="24"/>
          <w:szCs w:val="24"/>
        </w:rPr>
        <w:t xml:space="preserve"> </w:t>
      </w:r>
      <w:r w:rsidR="001760CA" w:rsidRPr="001F66F7">
        <w:rPr>
          <w:rFonts w:ascii="Arial" w:hAnsi="Arial" w:cs="Arial"/>
          <w:sz w:val="24"/>
          <w:szCs w:val="24"/>
        </w:rPr>
        <w:t xml:space="preserve">with </w:t>
      </w:r>
      <w:r w:rsidR="005263D6">
        <w:rPr>
          <w:rFonts w:ascii="Arial" w:hAnsi="Arial" w:cs="Arial"/>
          <w:sz w:val="24"/>
          <w:szCs w:val="24"/>
        </w:rPr>
        <w:t>the following</w:t>
      </w:r>
      <w:r w:rsidR="005263D6" w:rsidRPr="001F66F7">
        <w:rPr>
          <w:rFonts w:ascii="Arial" w:hAnsi="Arial" w:cs="Arial"/>
          <w:sz w:val="24"/>
          <w:szCs w:val="24"/>
        </w:rPr>
        <w:t xml:space="preserve"> </w:t>
      </w:r>
      <w:r w:rsidR="001760CA" w:rsidRPr="001F66F7">
        <w:rPr>
          <w:rFonts w:ascii="Arial" w:hAnsi="Arial" w:cs="Arial"/>
          <w:sz w:val="24"/>
          <w:szCs w:val="24"/>
        </w:rPr>
        <w:t>specified documents</w:t>
      </w:r>
      <w:r w:rsidR="008048EB">
        <w:rPr>
          <w:rFonts w:ascii="Arial" w:hAnsi="Arial" w:cs="Arial"/>
          <w:sz w:val="24"/>
          <w:szCs w:val="24"/>
        </w:rPr>
        <w:t>,</w:t>
      </w:r>
      <w:r w:rsidR="001760CA" w:rsidRPr="001F66F7">
        <w:rPr>
          <w:rFonts w:ascii="Arial" w:hAnsi="Arial" w:cs="Arial"/>
          <w:sz w:val="24"/>
          <w:szCs w:val="24"/>
        </w:rPr>
        <w:t xml:space="preserve"> in relation to its obligation</w:t>
      </w:r>
      <w:r w:rsidR="007A0F33" w:rsidRPr="001F66F7">
        <w:rPr>
          <w:rFonts w:ascii="Arial" w:hAnsi="Arial" w:cs="Arial"/>
          <w:sz w:val="24"/>
          <w:szCs w:val="24"/>
        </w:rPr>
        <w:t>s</w:t>
      </w:r>
      <w:r w:rsidR="008048EB">
        <w:rPr>
          <w:rFonts w:ascii="Arial" w:hAnsi="Arial" w:cs="Arial"/>
          <w:sz w:val="24"/>
          <w:szCs w:val="24"/>
        </w:rPr>
        <w:t>:</w:t>
      </w:r>
      <w:r w:rsidR="001760CA" w:rsidRPr="001F66F7">
        <w:rPr>
          <w:rFonts w:ascii="Arial" w:hAnsi="Arial" w:cs="Arial"/>
          <w:sz w:val="24"/>
          <w:szCs w:val="24"/>
        </w:rPr>
        <w:t xml:space="preserve"> (</w:t>
      </w:r>
      <w:r w:rsidR="00280579" w:rsidRPr="001F66F7">
        <w:rPr>
          <w:rFonts w:ascii="Arial" w:hAnsi="Arial" w:cs="Arial"/>
          <w:sz w:val="24"/>
          <w:szCs w:val="24"/>
        </w:rPr>
        <w:t>a</w:t>
      </w:r>
      <w:r w:rsidR="001760CA" w:rsidRPr="001F66F7">
        <w:rPr>
          <w:rFonts w:ascii="Arial" w:hAnsi="Arial" w:cs="Arial"/>
          <w:sz w:val="24"/>
          <w:szCs w:val="24"/>
        </w:rPr>
        <w:t>) to submit a full statement of account with supporting documents</w:t>
      </w:r>
      <w:r w:rsidR="007A0F33" w:rsidRPr="001F66F7">
        <w:rPr>
          <w:rFonts w:ascii="Arial" w:hAnsi="Arial" w:cs="Arial"/>
          <w:sz w:val="24"/>
          <w:szCs w:val="24"/>
        </w:rPr>
        <w:t>;</w:t>
      </w:r>
      <w:r w:rsidR="001760CA" w:rsidRPr="001F66F7">
        <w:rPr>
          <w:rFonts w:ascii="Arial" w:hAnsi="Arial" w:cs="Arial"/>
          <w:sz w:val="24"/>
          <w:szCs w:val="24"/>
        </w:rPr>
        <w:t xml:space="preserve"> (</w:t>
      </w:r>
      <w:r w:rsidR="00280579" w:rsidRPr="001F66F7">
        <w:rPr>
          <w:rFonts w:ascii="Arial" w:hAnsi="Arial" w:cs="Arial"/>
          <w:sz w:val="24"/>
          <w:szCs w:val="24"/>
        </w:rPr>
        <w:t>b</w:t>
      </w:r>
      <w:r w:rsidR="001760CA" w:rsidRPr="001F66F7">
        <w:rPr>
          <w:rFonts w:ascii="Arial" w:hAnsi="Arial" w:cs="Arial"/>
          <w:sz w:val="24"/>
          <w:szCs w:val="24"/>
        </w:rPr>
        <w:t>) to submit a full statement of account</w:t>
      </w:r>
      <w:r w:rsidR="000C0F4C" w:rsidRPr="001F66F7">
        <w:rPr>
          <w:rFonts w:ascii="Arial" w:hAnsi="Arial" w:cs="Arial"/>
          <w:sz w:val="24"/>
          <w:szCs w:val="24"/>
        </w:rPr>
        <w:t xml:space="preserve"> </w:t>
      </w:r>
      <w:r w:rsidR="001760CA" w:rsidRPr="001F66F7">
        <w:rPr>
          <w:rFonts w:ascii="Arial" w:hAnsi="Arial" w:cs="Arial"/>
          <w:sz w:val="24"/>
          <w:szCs w:val="24"/>
        </w:rPr>
        <w:t>with supporting documents</w:t>
      </w:r>
      <w:r w:rsidR="007A0F33" w:rsidRPr="001F66F7">
        <w:rPr>
          <w:rFonts w:ascii="Arial" w:hAnsi="Arial" w:cs="Arial"/>
          <w:sz w:val="24"/>
          <w:szCs w:val="24"/>
        </w:rPr>
        <w:t>;</w:t>
      </w:r>
      <w:r w:rsidR="001760CA" w:rsidRPr="001F66F7">
        <w:rPr>
          <w:rFonts w:ascii="Arial" w:hAnsi="Arial" w:cs="Arial"/>
          <w:sz w:val="24"/>
          <w:szCs w:val="24"/>
        </w:rPr>
        <w:t xml:space="preserve"> (</w:t>
      </w:r>
      <w:r w:rsidR="00280579" w:rsidRPr="001F66F7">
        <w:rPr>
          <w:rFonts w:ascii="Arial" w:hAnsi="Arial" w:cs="Arial"/>
          <w:sz w:val="24"/>
          <w:szCs w:val="24"/>
        </w:rPr>
        <w:t>c</w:t>
      </w:r>
      <w:r w:rsidR="001760CA" w:rsidRPr="001F66F7">
        <w:rPr>
          <w:rFonts w:ascii="Arial" w:hAnsi="Arial" w:cs="Arial"/>
          <w:sz w:val="24"/>
          <w:szCs w:val="24"/>
        </w:rPr>
        <w:t>)</w:t>
      </w:r>
      <w:r w:rsidR="007A0F33" w:rsidRPr="001F66F7">
        <w:rPr>
          <w:rFonts w:ascii="Arial" w:hAnsi="Arial" w:cs="Arial"/>
          <w:sz w:val="24"/>
          <w:szCs w:val="24"/>
        </w:rPr>
        <w:t xml:space="preserve"> </w:t>
      </w:r>
      <w:r w:rsidR="001760CA" w:rsidRPr="001F66F7">
        <w:rPr>
          <w:rFonts w:ascii="Arial" w:hAnsi="Arial" w:cs="Arial"/>
          <w:sz w:val="24"/>
          <w:szCs w:val="24"/>
        </w:rPr>
        <w:t>to provide</w:t>
      </w:r>
      <w:r w:rsidR="000C0F4C" w:rsidRPr="001F66F7">
        <w:rPr>
          <w:rFonts w:ascii="Arial" w:hAnsi="Arial" w:cs="Arial"/>
          <w:sz w:val="24"/>
          <w:szCs w:val="24"/>
        </w:rPr>
        <w:t xml:space="preserve"> </w:t>
      </w:r>
      <w:r w:rsidR="001760CA" w:rsidRPr="001F66F7">
        <w:rPr>
          <w:rFonts w:ascii="Arial" w:hAnsi="Arial" w:cs="Arial"/>
          <w:sz w:val="24"/>
          <w:szCs w:val="24"/>
        </w:rPr>
        <w:t>a complete overview</w:t>
      </w:r>
      <w:r w:rsidR="000C0F4C" w:rsidRPr="001F66F7">
        <w:rPr>
          <w:rFonts w:ascii="Arial" w:hAnsi="Arial" w:cs="Arial"/>
          <w:sz w:val="24"/>
          <w:szCs w:val="24"/>
        </w:rPr>
        <w:t xml:space="preserve"> </w:t>
      </w:r>
      <w:r w:rsidR="001760CA" w:rsidRPr="001F66F7">
        <w:rPr>
          <w:rFonts w:ascii="Arial" w:hAnsi="Arial" w:cs="Arial"/>
          <w:sz w:val="24"/>
          <w:szCs w:val="24"/>
        </w:rPr>
        <w:t>of all</w:t>
      </w:r>
      <w:r w:rsidR="000C0F4C" w:rsidRPr="001F66F7">
        <w:rPr>
          <w:rFonts w:ascii="Arial" w:hAnsi="Arial" w:cs="Arial"/>
          <w:sz w:val="24"/>
          <w:szCs w:val="24"/>
        </w:rPr>
        <w:t xml:space="preserve"> </w:t>
      </w:r>
      <w:r w:rsidR="001760CA" w:rsidRPr="001F66F7">
        <w:rPr>
          <w:rFonts w:ascii="Arial" w:hAnsi="Arial" w:cs="Arial"/>
          <w:sz w:val="24"/>
          <w:szCs w:val="24"/>
        </w:rPr>
        <w:t>invoices related to local costs</w:t>
      </w:r>
      <w:r w:rsidR="007A0F33" w:rsidRPr="001F66F7">
        <w:rPr>
          <w:rFonts w:ascii="Arial" w:hAnsi="Arial" w:cs="Arial"/>
          <w:sz w:val="24"/>
          <w:szCs w:val="24"/>
        </w:rPr>
        <w:t>;</w:t>
      </w:r>
      <w:r w:rsidR="000C0F4C" w:rsidRPr="001F66F7">
        <w:rPr>
          <w:rFonts w:ascii="Arial" w:hAnsi="Arial" w:cs="Arial"/>
          <w:sz w:val="24"/>
          <w:szCs w:val="24"/>
        </w:rPr>
        <w:t xml:space="preserve"> </w:t>
      </w:r>
      <w:r w:rsidR="001760CA" w:rsidRPr="001F66F7">
        <w:rPr>
          <w:rFonts w:ascii="Arial" w:hAnsi="Arial" w:cs="Arial"/>
          <w:sz w:val="24"/>
          <w:szCs w:val="24"/>
        </w:rPr>
        <w:t>and (</w:t>
      </w:r>
      <w:r w:rsidR="00280579" w:rsidRPr="001F66F7">
        <w:rPr>
          <w:rFonts w:ascii="Arial" w:hAnsi="Arial" w:cs="Arial"/>
          <w:sz w:val="24"/>
          <w:szCs w:val="24"/>
        </w:rPr>
        <w:t>d</w:t>
      </w:r>
      <w:r w:rsidR="001760CA" w:rsidRPr="001F66F7">
        <w:rPr>
          <w:rFonts w:ascii="Arial" w:hAnsi="Arial" w:cs="Arial"/>
          <w:sz w:val="24"/>
          <w:szCs w:val="24"/>
        </w:rPr>
        <w:t>) to provide an overview of all amounts currently</w:t>
      </w:r>
      <w:r w:rsidR="000C0F4C" w:rsidRPr="001F66F7">
        <w:rPr>
          <w:rFonts w:ascii="Arial" w:hAnsi="Arial" w:cs="Arial"/>
          <w:sz w:val="24"/>
          <w:szCs w:val="24"/>
        </w:rPr>
        <w:t xml:space="preserve"> </w:t>
      </w:r>
      <w:r w:rsidR="001760CA" w:rsidRPr="001F66F7">
        <w:rPr>
          <w:rFonts w:ascii="Arial" w:hAnsi="Arial" w:cs="Arial"/>
          <w:sz w:val="24"/>
          <w:szCs w:val="24"/>
        </w:rPr>
        <w:t>outstanding</w:t>
      </w:r>
      <w:r w:rsidR="000C0F4C" w:rsidRPr="001F66F7">
        <w:rPr>
          <w:rFonts w:ascii="Arial" w:hAnsi="Arial" w:cs="Arial"/>
          <w:sz w:val="24"/>
          <w:szCs w:val="24"/>
        </w:rPr>
        <w:t xml:space="preserve"> </w:t>
      </w:r>
      <w:r w:rsidR="001760CA" w:rsidRPr="001F66F7">
        <w:rPr>
          <w:rFonts w:ascii="Arial" w:hAnsi="Arial" w:cs="Arial"/>
          <w:sz w:val="24"/>
          <w:szCs w:val="24"/>
        </w:rPr>
        <w:t xml:space="preserve">to Transnet and </w:t>
      </w:r>
      <w:r w:rsidR="007A0F33" w:rsidRPr="001F66F7">
        <w:rPr>
          <w:rFonts w:ascii="Arial" w:hAnsi="Arial" w:cs="Arial"/>
          <w:sz w:val="24"/>
          <w:szCs w:val="24"/>
        </w:rPr>
        <w:t>N</w:t>
      </w:r>
      <w:r w:rsidR="001760CA" w:rsidRPr="001F66F7">
        <w:rPr>
          <w:rFonts w:ascii="Arial" w:hAnsi="Arial" w:cs="Arial"/>
          <w:sz w:val="24"/>
          <w:szCs w:val="24"/>
        </w:rPr>
        <w:t>ational Port Authorities.</w:t>
      </w:r>
    </w:p>
    <w:p w:rsidR="002C2C5A" w:rsidRPr="001F66F7" w:rsidRDefault="002C2C5A" w:rsidP="001F66F7">
      <w:pPr>
        <w:spacing w:after="0" w:line="360" w:lineRule="auto"/>
        <w:contextualSpacing/>
        <w:jc w:val="both"/>
        <w:rPr>
          <w:rFonts w:ascii="Arial" w:hAnsi="Arial" w:cs="Arial"/>
          <w:sz w:val="24"/>
          <w:szCs w:val="24"/>
        </w:rPr>
      </w:pPr>
    </w:p>
    <w:p w:rsidR="001760CA"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15</w:t>
      </w:r>
      <w:r w:rsidRPr="001F66F7">
        <w:rPr>
          <w:rFonts w:ascii="Arial" w:hAnsi="Arial" w:cs="Arial"/>
          <w:sz w:val="24"/>
          <w:szCs w:val="24"/>
        </w:rPr>
        <w:t>]</w:t>
      </w:r>
      <w:r w:rsidRPr="001F66F7">
        <w:rPr>
          <w:rFonts w:ascii="Arial" w:hAnsi="Arial" w:cs="Arial"/>
          <w:sz w:val="24"/>
          <w:szCs w:val="24"/>
        </w:rPr>
        <w:tab/>
      </w:r>
      <w:r w:rsidR="001760CA" w:rsidRPr="001F66F7">
        <w:rPr>
          <w:rFonts w:ascii="Arial" w:hAnsi="Arial" w:cs="Arial"/>
          <w:sz w:val="24"/>
          <w:szCs w:val="24"/>
        </w:rPr>
        <w:t xml:space="preserve">No response was </w:t>
      </w:r>
      <w:r w:rsidR="00F75010" w:rsidRPr="001F66F7">
        <w:rPr>
          <w:rFonts w:ascii="Arial" w:hAnsi="Arial" w:cs="Arial"/>
          <w:sz w:val="24"/>
          <w:szCs w:val="24"/>
        </w:rPr>
        <w:t xml:space="preserve">received </w:t>
      </w:r>
      <w:r w:rsidR="007A0F33" w:rsidRPr="001F66F7">
        <w:rPr>
          <w:rFonts w:ascii="Arial" w:hAnsi="Arial" w:cs="Arial"/>
          <w:sz w:val="24"/>
          <w:szCs w:val="24"/>
        </w:rPr>
        <w:t xml:space="preserve">from Crystal Pier </w:t>
      </w:r>
      <w:r w:rsidR="001760CA" w:rsidRPr="001F66F7">
        <w:rPr>
          <w:rFonts w:ascii="Arial" w:hAnsi="Arial" w:cs="Arial"/>
          <w:sz w:val="24"/>
          <w:szCs w:val="24"/>
        </w:rPr>
        <w:t xml:space="preserve">and </w:t>
      </w:r>
      <w:r w:rsidR="007A0F33" w:rsidRPr="001F66F7">
        <w:rPr>
          <w:rFonts w:ascii="Arial" w:hAnsi="Arial" w:cs="Arial"/>
          <w:sz w:val="24"/>
          <w:szCs w:val="24"/>
        </w:rPr>
        <w:t xml:space="preserve">Nile </w:t>
      </w:r>
      <w:r w:rsidR="001760CA" w:rsidRPr="001F66F7">
        <w:rPr>
          <w:rFonts w:ascii="Arial" w:hAnsi="Arial" w:cs="Arial"/>
          <w:sz w:val="24"/>
          <w:szCs w:val="24"/>
        </w:rPr>
        <w:t xml:space="preserve">Dutch </w:t>
      </w:r>
      <w:r w:rsidR="00F75010" w:rsidRPr="001F66F7">
        <w:rPr>
          <w:rFonts w:ascii="Arial" w:hAnsi="Arial" w:cs="Arial"/>
          <w:sz w:val="24"/>
          <w:szCs w:val="24"/>
        </w:rPr>
        <w:t>instructed its</w:t>
      </w:r>
      <w:r w:rsidR="001760CA" w:rsidRPr="001F66F7">
        <w:rPr>
          <w:rFonts w:ascii="Arial" w:hAnsi="Arial" w:cs="Arial"/>
          <w:sz w:val="24"/>
          <w:szCs w:val="24"/>
        </w:rPr>
        <w:t xml:space="preserve"> Dutch </w:t>
      </w:r>
      <w:r w:rsidR="007A0F33" w:rsidRPr="001F66F7">
        <w:rPr>
          <w:rFonts w:ascii="Arial" w:hAnsi="Arial" w:cs="Arial"/>
          <w:sz w:val="24"/>
          <w:szCs w:val="24"/>
        </w:rPr>
        <w:t>l</w:t>
      </w:r>
      <w:r w:rsidR="001760CA" w:rsidRPr="001F66F7">
        <w:rPr>
          <w:rFonts w:ascii="Arial" w:hAnsi="Arial" w:cs="Arial"/>
          <w:sz w:val="24"/>
          <w:szCs w:val="24"/>
        </w:rPr>
        <w:t>awyers</w:t>
      </w:r>
      <w:r w:rsidR="007A0F33" w:rsidRPr="001F66F7">
        <w:rPr>
          <w:rFonts w:ascii="Arial" w:hAnsi="Arial" w:cs="Arial"/>
          <w:sz w:val="24"/>
          <w:szCs w:val="24"/>
        </w:rPr>
        <w:t>,</w:t>
      </w:r>
      <w:r w:rsidR="001760CA" w:rsidRPr="001F66F7">
        <w:rPr>
          <w:rFonts w:ascii="Arial" w:hAnsi="Arial" w:cs="Arial"/>
          <w:sz w:val="24"/>
          <w:szCs w:val="24"/>
        </w:rPr>
        <w:t xml:space="preserve"> AKD Benelux </w:t>
      </w:r>
      <w:r w:rsidR="007A0F33" w:rsidRPr="001F66F7">
        <w:rPr>
          <w:rFonts w:ascii="Arial" w:hAnsi="Arial" w:cs="Arial"/>
          <w:sz w:val="24"/>
          <w:szCs w:val="24"/>
        </w:rPr>
        <w:t>L</w:t>
      </w:r>
      <w:r w:rsidR="001760CA" w:rsidRPr="001F66F7">
        <w:rPr>
          <w:rFonts w:ascii="Arial" w:hAnsi="Arial" w:cs="Arial"/>
          <w:sz w:val="24"/>
          <w:szCs w:val="24"/>
        </w:rPr>
        <w:t xml:space="preserve">awyers </w:t>
      </w:r>
      <w:r w:rsidR="00F75010" w:rsidRPr="001F66F7">
        <w:rPr>
          <w:rFonts w:ascii="Arial" w:hAnsi="Arial" w:cs="Arial"/>
          <w:sz w:val="24"/>
          <w:szCs w:val="24"/>
        </w:rPr>
        <w:t>(AKD)</w:t>
      </w:r>
      <w:r w:rsidR="001760CA" w:rsidRPr="001F66F7">
        <w:rPr>
          <w:rFonts w:ascii="Arial" w:hAnsi="Arial" w:cs="Arial"/>
          <w:sz w:val="24"/>
          <w:szCs w:val="24"/>
        </w:rPr>
        <w:t>, to take formal steps to recover the amount due by Crystal Pier.</w:t>
      </w:r>
      <w:r w:rsidR="000C0F4C" w:rsidRPr="001F66F7">
        <w:rPr>
          <w:rFonts w:ascii="Arial" w:hAnsi="Arial" w:cs="Arial"/>
          <w:sz w:val="24"/>
          <w:szCs w:val="24"/>
        </w:rPr>
        <w:t xml:space="preserve"> </w:t>
      </w:r>
    </w:p>
    <w:p w:rsidR="001760CA" w:rsidRPr="001F66F7" w:rsidRDefault="001760CA" w:rsidP="001F66F7">
      <w:pPr>
        <w:spacing w:after="0" w:line="360" w:lineRule="auto"/>
        <w:contextualSpacing/>
        <w:jc w:val="both"/>
        <w:rPr>
          <w:rFonts w:ascii="Arial" w:hAnsi="Arial" w:cs="Arial"/>
          <w:sz w:val="24"/>
          <w:szCs w:val="24"/>
        </w:rPr>
      </w:pPr>
    </w:p>
    <w:p w:rsidR="001760CA"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16</w:t>
      </w:r>
      <w:r w:rsidRPr="001F66F7">
        <w:rPr>
          <w:rFonts w:ascii="Arial" w:hAnsi="Arial" w:cs="Arial"/>
          <w:sz w:val="24"/>
          <w:szCs w:val="24"/>
        </w:rPr>
        <w:t>]</w:t>
      </w:r>
      <w:r w:rsidRPr="001F66F7">
        <w:rPr>
          <w:rFonts w:ascii="Arial" w:hAnsi="Arial" w:cs="Arial"/>
          <w:sz w:val="24"/>
          <w:szCs w:val="24"/>
        </w:rPr>
        <w:tab/>
      </w:r>
      <w:r w:rsidR="001760CA" w:rsidRPr="001F66F7">
        <w:rPr>
          <w:rFonts w:ascii="Arial" w:hAnsi="Arial" w:cs="Arial"/>
          <w:sz w:val="24"/>
          <w:szCs w:val="24"/>
        </w:rPr>
        <w:t xml:space="preserve">The </w:t>
      </w:r>
      <w:r w:rsidR="007A0F33" w:rsidRPr="001F66F7">
        <w:rPr>
          <w:rFonts w:ascii="Arial" w:hAnsi="Arial" w:cs="Arial"/>
          <w:sz w:val="24"/>
          <w:szCs w:val="24"/>
        </w:rPr>
        <w:t>a</w:t>
      </w:r>
      <w:r w:rsidR="001760CA" w:rsidRPr="001F66F7">
        <w:rPr>
          <w:rFonts w:ascii="Arial" w:hAnsi="Arial" w:cs="Arial"/>
          <w:sz w:val="24"/>
          <w:szCs w:val="24"/>
        </w:rPr>
        <w:t xml:space="preserve">gency agreement includes a clause stating that where a dispute arises between the parties, a meeting should be held in an effort to resolve the dispute, whareafter any such dispute would be settled by </w:t>
      </w:r>
      <w:r w:rsidR="007A0F33" w:rsidRPr="001F66F7">
        <w:rPr>
          <w:rFonts w:ascii="Arial" w:hAnsi="Arial" w:cs="Arial"/>
          <w:sz w:val="24"/>
          <w:szCs w:val="24"/>
        </w:rPr>
        <w:t>a</w:t>
      </w:r>
      <w:r w:rsidR="001760CA" w:rsidRPr="001F66F7">
        <w:rPr>
          <w:rFonts w:ascii="Arial" w:hAnsi="Arial" w:cs="Arial"/>
          <w:sz w:val="24"/>
          <w:szCs w:val="24"/>
        </w:rPr>
        <w:t>rbitration.</w:t>
      </w:r>
      <w:r w:rsidR="000C0F4C" w:rsidRPr="001F66F7">
        <w:rPr>
          <w:rFonts w:ascii="Arial" w:hAnsi="Arial" w:cs="Arial"/>
          <w:sz w:val="24"/>
          <w:szCs w:val="24"/>
        </w:rPr>
        <w:t xml:space="preserve"> </w:t>
      </w:r>
      <w:r w:rsidR="001760CA" w:rsidRPr="001F66F7">
        <w:rPr>
          <w:rFonts w:ascii="Arial" w:hAnsi="Arial" w:cs="Arial"/>
          <w:sz w:val="24"/>
          <w:szCs w:val="24"/>
        </w:rPr>
        <w:t>In its letter dated 12 February 2021</w:t>
      </w:r>
      <w:r w:rsidR="007A0F33" w:rsidRPr="001F66F7">
        <w:rPr>
          <w:rFonts w:ascii="Arial" w:hAnsi="Arial" w:cs="Arial"/>
          <w:sz w:val="24"/>
          <w:szCs w:val="24"/>
        </w:rPr>
        <w:t>,</w:t>
      </w:r>
      <w:r w:rsidR="000C0F4C" w:rsidRPr="001F66F7">
        <w:rPr>
          <w:rFonts w:ascii="Arial" w:hAnsi="Arial" w:cs="Arial"/>
          <w:sz w:val="24"/>
          <w:szCs w:val="24"/>
        </w:rPr>
        <w:t xml:space="preserve"> </w:t>
      </w:r>
      <w:r w:rsidR="001760CA" w:rsidRPr="001F66F7">
        <w:rPr>
          <w:rFonts w:ascii="Arial" w:hAnsi="Arial" w:cs="Arial"/>
          <w:sz w:val="24"/>
          <w:szCs w:val="24"/>
        </w:rPr>
        <w:t>AKD therefor</w:t>
      </w:r>
      <w:r w:rsidR="007A0F33" w:rsidRPr="001F66F7">
        <w:rPr>
          <w:rFonts w:ascii="Arial" w:hAnsi="Arial" w:cs="Arial"/>
          <w:sz w:val="24"/>
          <w:szCs w:val="24"/>
        </w:rPr>
        <w:t>e</w:t>
      </w:r>
      <w:r w:rsidR="001760CA" w:rsidRPr="001F66F7">
        <w:rPr>
          <w:rFonts w:ascii="Arial" w:hAnsi="Arial" w:cs="Arial"/>
          <w:sz w:val="24"/>
          <w:szCs w:val="24"/>
        </w:rPr>
        <w:t xml:space="preserve"> invited Crystal Pier to attend a meeting</w:t>
      </w:r>
      <w:r w:rsidR="007A0F33" w:rsidRPr="001F66F7">
        <w:rPr>
          <w:rFonts w:ascii="Arial" w:hAnsi="Arial" w:cs="Arial"/>
          <w:sz w:val="24"/>
          <w:szCs w:val="24"/>
        </w:rPr>
        <w:t>,</w:t>
      </w:r>
      <w:r w:rsidR="001760CA" w:rsidRPr="001F66F7">
        <w:rPr>
          <w:rFonts w:ascii="Arial" w:hAnsi="Arial" w:cs="Arial"/>
          <w:sz w:val="24"/>
          <w:szCs w:val="24"/>
        </w:rPr>
        <w:t xml:space="preserve"> as required by the </w:t>
      </w:r>
      <w:r w:rsidR="007A0F33" w:rsidRPr="001F66F7">
        <w:rPr>
          <w:rFonts w:ascii="Arial" w:hAnsi="Arial" w:cs="Arial"/>
          <w:sz w:val="24"/>
          <w:szCs w:val="24"/>
        </w:rPr>
        <w:t>a</w:t>
      </w:r>
      <w:r w:rsidR="001760CA" w:rsidRPr="001F66F7">
        <w:rPr>
          <w:rFonts w:ascii="Arial" w:hAnsi="Arial" w:cs="Arial"/>
          <w:sz w:val="24"/>
          <w:szCs w:val="24"/>
        </w:rPr>
        <w:t>genc</w:t>
      </w:r>
      <w:r w:rsidR="007A0F33" w:rsidRPr="001F66F7">
        <w:rPr>
          <w:rFonts w:ascii="Arial" w:hAnsi="Arial" w:cs="Arial"/>
          <w:sz w:val="24"/>
          <w:szCs w:val="24"/>
        </w:rPr>
        <w:t>y</w:t>
      </w:r>
      <w:r w:rsidR="001760CA" w:rsidRPr="001F66F7">
        <w:rPr>
          <w:rFonts w:ascii="Arial" w:hAnsi="Arial" w:cs="Arial"/>
          <w:sz w:val="24"/>
          <w:szCs w:val="24"/>
        </w:rPr>
        <w:t xml:space="preserve"> </w:t>
      </w:r>
      <w:r w:rsidR="007A0F33" w:rsidRPr="001F66F7">
        <w:rPr>
          <w:rFonts w:ascii="Arial" w:hAnsi="Arial" w:cs="Arial"/>
          <w:sz w:val="24"/>
          <w:szCs w:val="24"/>
        </w:rPr>
        <w:t>a</w:t>
      </w:r>
      <w:r w:rsidR="001760CA" w:rsidRPr="001F66F7">
        <w:rPr>
          <w:rFonts w:ascii="Arial" w:hAnsi="Arial" w:cs="Arial"/>
          <w:sz w:val="24"/>
          <w:szCs w:val="24"/>
        </w:rPr>
        <w:t>greement</w:t>
      </w:r>
      <w:r w:rsidR="007A0F33" w:rsidRPr="001F66F7">
        <w:rPr>
          <w:rFonts w:ascii="Arial" w:hAnsi="Arial" w:cs="Arial"/>
          <w:sz w:val="24"/>
          <w:szCs w:val="24"/>
        </w:rPr>
        <w:t>.</w:t>
      </w:r>
      <w:r w:rsidR="001760CA" w:rsidRPr="001F66F7">
        <w:rPr>
          <w:rFonts w:ascii="Arial" w:hAnsi="Arial" w:cs="Arial"/>
          <w:sz w:val="24"/>
          <w:szCs w:val="24"/>
        </w:rPr>
        <w:t xml:space="preserve"> </w:t>
      </w:r>
    </w:p>
    <w:p w:rsidR="002C2C5A" w:rsidRPr="001F66F7" w:rsidRDefault="002C2C5A" w:rsidP="001F66F7">
      <w:pPr>
        <w:spacing w:after="0" w:line="360" w:lineRule="auto"/>
        <w:contextualSpacing/>
        <w:jc w:val="both"/>
        <w:rPr>
          <w:rFonts w:ascii="Arial" w:hAnsi="Arial" w:cs="Arial"/>
          <w:sz w:val="24"/>
          <w:szCs w:val="24"/>
        </w:rPr>
      </w:pPr>
    </w:p>
    <w:p w:rsidR="001760CA"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17</w:t>
      </w:r>
      <w:r w:rsidRPr="001F66F7">
        <w:rPr>
          <w:rFonts w:ascii="Arial" w:hAnsi="Arial" w:cs="Arial"/>
          <w:sz w:val="24"/>
          <w:szCs w:val="24"/>
        </w:rPr>
        <w:t>]</w:t>
      </w:r>
      <w:r w:rsidRPr="001F66F7">
        <w:rPr>
          <w:rFonts w:ascii="Arial" w:hAnsi="Arial" w:cs="Arial"/>
          <w:sz w:val="24"/>
          <w:szCs w:val="24"/>
        </w:rPr>
        <w:tab/>
      </w:r>
      <w:r w:rsidR="00220360" w:rsidRPr="001F66F7">
        <w:rPr>
          <w:rFonts w:ascii="Arial" w:hAnsi="Arial" w:cs="Arial"/>
          <w:sz w:val="24"/>
          <w:szCs w:val="24"/>
        </w:rPr>
        <w:t xml:space="preserve">In </w:t>
      </w:r>
      <w:r w:rsidR="007A0F33" w:rsidRPr="001F66F7">
        <w:rPr>
          <w:rFonts w:ascii="Arial" w:hAnsi="Arial" w:cs="Arial"/>
          <w:sz w:val="24"/>
          <w:szCs w:val="24"/>
        </w:rPr>
        <w:t xml:space="preserve">a </w:t>
      </w:r>
      <w:r w:rsidR="00220360" w:rsidRPr="001F66F7">
        <w:rPr>
          <w:rFonts w:ascii="Arial" w:hAnsi="Arial" w:cs="Arial"/>
          <w:sz w:val="24"/>
          <w:szCs w:val="24"/>
        </w:rPr>
        <w:t>response dated</w:t>
      </w:r>
      <w:r w:rsidR="001760CA" w:rsidRPr="001F66F7">
        <w:rPr>
          <w:rFonts w:ascii="Arial" w:hAnsi="Arial" w:cs="Arial"/>
          <w:sz w:val="24"/>
          <w:szCs w:val="24"/>
        </w:rPr>
        <w:t xml:space="preserve"> 15 February 2021</w:t>
      </w:r>
      <w:r w:rsidR="007A0F33" w:rsidRPr="001F66F7">
        <w:rPr>
          <w:rFonts w:ascii="Arial" w:hAnsi="Arial" w:cs="Arial"/>
          <w:sz w:val="24"/>
          <w:szCs w:val="24"/>
        </w:rPr>
        <w:t>,</w:t>
      </w:r>
      <w:r w:rsidR="001760CA" w:rsidRPr="001F66F7">
        <w:rPr>
          <w:rFonts w:ascii="Arial" w:hAnsi="Arial" w:cs="Arial"/>
          <w:sz w:val="24"/>
          <w:szCs w:val="24"/>
        </w:rPr>
        <w:t xml:space="preserve"> Prinsloo indicated that they were preparing a substantive reaction to the</w:t>
      </w:r>
      <w:r w:rsidR="007A0F33" w:rsidRPr="001F66F7">
        <w:rPr>
          <w:rFonts w:ascii="Arial" w:hAnsi="Arial" w:cs="Arial"/>
          <w:sz w:val="24"/>
          <w:szCs w:val="24"/>
        </w:rPr>
        <w:t xml:space="preserve"> letter from</w:t>
      </w:r>
      <w:r w:rsidR="001760CA" w:rsidRPr="001F66F7">
        <w:rPr>
          <w:rFonts w:ascii="Arial" w:hAnsi="Arial" w:cs="Arial"/>
          <w:sz w:val="24"/>
          <w:szCs w:val="24"/>
        </w:rPr>
        <w:t xml:space="preserve"> Sure Ma</w:t>
      </w:r>
      <w:r w:rsidR="007A0F33" w:rsidRPr="001F66F7">
        <w:rPr>
          <w:rFonts w:ascii="Arial" w:hAnsi="Arial" w:cs="Arial"/>
          <w:sz w:val="24"/>
          <w:szCs w:val="24"/>
        </w:rPr>
        <w:t>r</w:t>
      </w:r>
      <w:r w:rsidR="001760CA" w:rsidRPr="001F66F7">
        <w:rPr>
          <w:rFonts w:ascii="Arial" w:hAnsi="Arial" w:cs="Arial"/>
          <w:sz w:val="24"/>
          <w:szCs w:val="24"/>
        </w:rPr>
        <w:t>itime, and that in those circum</w:t>
      </w:r>
      <w:r w:rsidR="00220360" w:rsidRPr="001F66F7">
        <w:rPr>
          <w:rFonts w:ascii="Arial" w:hAnsi="Arial" w:cs="Arial"/>
          <w:sz w:val="24"/>
          <w:szCs w:val="24"/>
        </w:rPr>
        <w:t>stances</w:t>
      </w:r>
      <w:r w:rsidR="007A0F33" w:rsidRPr="001F66F7">
        <w:rPr>
          <w:rFonts w:ascii="Arial" w:hAnsi="Arial" w:cs="Arial"/>
          <w:sz w:val="24"/>
          <w:szCs w:val="24"/>
        </w:rPr>
        <w:t xml:space="preserve">, it </w:t>
      </w:r>
      <w:r w:rsidR="00220360" w:rsidRPr="001F66F7">
        <w:rPr>
          <w:rFonts w:ascii="Arial" w:hAnsi="Arial" w:cs="Arial"/>
          <w:sz w:val="24"/>
          <w:szCs w:val="24"/>
        </w:rPr>
        <w:t>would be premature</w:t>
      </w:r>
      <w:r w:rsidR="001760CA" w:rsidRPr="001F66F7">
        <w:rPr>
          <w:rFonts w:ascii="Arial" w:hAnsi="Arial" w:cs="Arial"/>
          <w:sz w:val="24"/>
          <w:szCs w:val="24"/>
        </w:rPr>
        <w:t xml:space="preserve"> to convene a meeting</w:t>
      </w:r>
      <w:r w:rsidR="007A0F33" w:rsidRPr="001F66F7">
        <w:rPr>
          <w:rFonts w:ascii="Arial" w:hAnsi="Arial" w:cs="Arial"/>
          <w:sz w:val="24"/>
          <w:szCs w:val="24"/>
        </w:rPr>
        <w:t>.</w:t>
      </w:r>
    </w:p>
    <w:p w:rsidR="002C2C5A" w:rsidRPr="001F66F7" w:rsidRDefault="002C2C5A" w:rsidP="001F66F7">
      <w:pPr>
        <w:spacing w:after="0" w:line="360" w:lineRule="auto"/>
        <w:contextualSpacing/>
        <w:jc w:val="both"/>
        <w:rPr>
          <w:rFonts w:ascii="Arial" w:hAnsi="Arial" w:cs="Arial"/>
          <w:sz w:val="24"/>
          <w:szCs w:val="24"/>
        </w:rPr>
      </w:pPr>
    </w:p>
    <w:p w:rsidR="001760CA"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18</w:t>
      </w:r>
      <w:r w:rsidRPr="001F66F7">
        <w:rPr>
          <w:rFonts w:ascii="Arial" w:hAnsi="Arial" w:cs="Arial"/>
          <w:sz w:val="24"/>
          <w:szCs w:val="24"/>
        </w:rPr>
        <w:t>]</w:t>
      </w:r>
      <w:r w:rsidRPr="001F66F7">
        <w:rPr>
          <w:rFonts w:ascii="Arial" w:hAnsi="Arial" w:cs="Arial"/>
          <w:sz w:val="24"/>
          <w:szCs w:val="24"/>
        </w:rPr>
        <w:tab/>
      </w:r>
      <w:r w:rsidR="00220360" w:rsidRPr="001F66F7">
        <w:rPr>
          <w:rFonts w:ascii="Arial" w:hAnsi="Arial" w:cs="Arial"/>
          <w:sz w:val="24"/>
          <w:szCs w:val="24"/>
        </w:rPr>
        <w:t>On 25 February 2021</w:t>
      </w:r>
      <w:r w:rsidR="001760CA" w:rsidRPr="001F66F7">
        <w:rPr>
          <w:rFonts w:ascii="Arial" w:hAnsi="Arial" w:cs="Arial"/>
          <w:sz w:val="24"/>
          <w:szCs w:val="24"/>
        </w:rPr>
        <w:t>, Pri</w:t>
      </w:r>
      <w:r w:rsidR="00220360" w:rsidRPr="001F66F7">
        <w:rPr>
          <w:rFonts w:ascii="Arial" w:hAnsi="Arial" w:cs="Arial"/>
          <w:sz w:val="24"/>
          <w:szCs w:val="24"/>
        </w:rPr>
        <w:t>nsloo advised that Crystal Pier</w:t>
      </w:r>
      <w:r w:rsidR="001760CA" w:rsidRPr="001F66F7">
        <w:rPr>
          <w:rFonts w:ascii="Arial" w:hAnsi="Arial" w:cs="Arial"/>
          <w:sz w:val="24"/>
          <w:szCs w:val="24"/>
        </w:rPr>
        <w:t xml:space="preserve"> had been placed </w:t>
      </w:r>
      <w:r w:rsidR="00FE7D5C" w:rsidRPr="001F66F7">
        <w:rPr>
          <w:rFonts w:ascii="Arial" w:hAnsi="Arial" w:cs="Arial"/>
          <w:sz w:val="24"/>
          <w:szCs w:val="24"/>
        </w:rPr>
        <w:t xml:space="preserve">under </w:t>
      </w:r>
      <w:r w:rsidR="001760CA" w:rsidRPr="001F66F7">
        <w:rPr>
          <w:rFonts w:ascii="Arial" w:hAnsi="Arial" w:cs="Arial"/>
          <w:sz w:val="24"/>
          <w:szCs w:val="24"/>
        </w:rPr>
        <w:t>business rescue. The director</w:t>
      </w:r>
      <w:r w:rsidR="00220360" w:rsidRPr="001F66F7">
        <w:rPr>
          <w:rFonts w:ascii="Arial" w:hAnsi="Arial" w:cs="Arial"/>
          <w:sz w:val="24"/>
          <w:szCs w:val="24"/>
        </w:rPr>
        <w:t>s</w:t>
      </w:r>
      <w:r w:rsidR="001760CA" w:rsidRPr="001F66F7">
        <w:rPr>
          <w:rFonts w:ascii="Arial" w:hAnsi="Arial" w:cs="Arial"/>
          <w:sz w:val="24"/>
          <w:szCs w:val="24"/>
        </w:rPr>
        <w:t xml:space="preserve"> nominated </w:t>
      </w:r>
      <w:r w:rsidR="00344864" w:rsidRPr="001F66F7">
        <w:rPr>
          <w:rFonts w:ascii="Arial" w:hAnsi="Arial" w:cs="Arial"/>
          <w:sz w:val="24"/>
          <w:szCs w:val="24"/>
        </w:rPr>
        <w:t xml:space="preserve">Ms </w:t>
      </w:r>
      <w:r w:rsidR="001760CA" w:rsidRPr="001F66F7">
        <w:rPr>
          <w:rFonts w:ascii="Arial" w:hAnsi="Arial" w:cs="Arial"/>
          <w:sz w:val="24"/>
          <w:szCs w:val="24"/>
        </w:rPr>
        <w:t>Maddock</w:t>
      </w:r>
      <w:r w:rsidR="00344864" w:rsidRPr="001F66F7">
        <w:rPr>
          <w:rFonts w:ascii="Arial" w:hAnsi="Arial" w:cs="Arial"/>
          <w:sz w:val="24"/>
          <w:szCs w:val="24"/>
        </w:rPr>
        <w:t>s</w:t>
      </w:r>
      <w:r w:rsidR="001760CA" w:rsidRPr="001F66F7">
        <w:rPr>
          <w:rFonts w:ascii="Arial" w:hAnsi="Arial" w:cs="Arial"/>
          <w:sz w:val="24"/>
          <w:szCs w:val="24"/>
        </w:rPr>
        <w:t xml:space="preserve"> as Crystal Pier’s </w:t>
      </w:r>
      <w:r w:rsidR="00344864" w:rsidRPr="001F66F7">
        <w:rPr>
          <w:rFonts w:ascii="Arial" w:hAnsi="Arial" w:cs="Arial"/>
          <w:sz w:val="24"/>
          <w:szCs w:val="24"/>
        </w:rPr>
        <w:t>b</w:t>
      </w:r>
      <w:r w:rsidR="001760CA" w:rsidRPr="001F66F7">
        <w:rPr>
          <w:rFonts w:ascii="Arial" w:hAnsi="Arial" w:cs="Arial"/>
          <w:sz w:val="24"/>
          <w:szCs w:val="24"/>
        </w:rPr>
        <w:t>usiness rescue practitioner.</w:t>
      </w:r>
      <w:r w:rsidR="00B20A49" w:rsidRPr="001F66F7">
        <w:rPr>
          <w:rFonts w:ascii="Arial" w:hAnsi="Arial" w:cs="Arial"/>
          <w:sz w:val="24"/>
          <w:szCs w:val="24"/>
        </w:rPr>
        <w:t xml:space="preserve"> </w:t>
      </w:r>
    </w:p>
    <w:p w:rsidR="002C2C5A" w:rsidRPr="001F66F7" w:rsidRDefault="002C2C5A" w:rsidP="001F66F7">
      <w:pPr>
        <w:spacing w:after="0" w:line="360" w:lineRule="auto"/>
        <w:contextualSpacing/>
        <w:jc w:val="both"/>
        <w:rPr>
          <w:rFonts w:ascii="Arial" w:hAnsi="Arial" w:cs="Arial"/>
          <w:sz w:val="24"/>
          <w:szCs w:val="24"/>
        </w:rPr>
      </w:pPr>
    </w:p>
    <w:p w:rsidR="002C2C5A"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19</w:t>
      </w:r>
      <w:r w:rsidRPr="001F66F7">
        <w:rPr>
          <w:rFonts w:ascii="Arial" w:hAnsi="Arial" w:cs="Arial"/>
          <w:sz w:val="24"/>
          <w:szCs w:val="24"/>
        </w:rPr>
        <w:t>]</w:t>
      </w:r>
      <w:r w:rsidRPr="001F66F7">
        <w:rPr>
          <w:rFonts w:ascii="Arial" w:hAnsi="Arial" w:cs="Arial"/>
          <w:sz w:val="24"/>
          <w:szCs w:val="24"/>
        </w:rPr>
        <w:tab/>
      </w:r>
      <w:r w:rsidR="00344864" w:rsidRPr="001F66F7">
        <w:rPr>
          <w:rFonts w:ascii="Arial" w:hAnsi="Arial" w:cs="Arial"/>
          <w:sz w:val="24"/>
          <w:szCs w:val="24"/>
        </w:rPr>
        <w:t xml:space="preserve">Nile </w:t>
      </w:r>
      <w:r w:rsidR="00B20A49" w:rsidRPr="001F66F7">
        <w:rPr>
          <w:rFonts w:ascii="Arial" w:hAnsi="Arial" w:cs="Arial"/>
          <w:sz w:val="24"/>
          <w:szCs w:val="24"/>
        </w:rPr>
        <w:t>Dutch brought an application</w:t>
      </w:r>
      <w:r w:rsidR="006B5E1A" w:rsidRPr="001F66F7">
        <w:rPr>
          <w:rFonts w:ascii="Arial" w:hAnsi="Arial" w:cs="Arial"/>
          <w:sz w:val="24"/>
          <w:szCs w:val="24"/>
        </w:rPr>
        <w:t xml:space="preserve"> to set aside the resolution which placed Crystal Pier under business rescue, and that Crystal </w:t>
      </w:r>
      <w:r w:rsidR="005C7D42" w:rsidRPr="001F66F7">
        <w:rPr>
          <w:rFonts w:ascii="Arial" w:hAnsi="Arial" w:cs="Arial"/>
          <w:sz w:val="24"/>
          <w:szCs w:val="24"/>
        </w:rPr>
        <w:t>Pier be</w:t>
      </w:r>
      <w:r w:rsidR="006B5E1A" w:rsidRPr="001F66F7">
        <w:rPr>
          <w:rFonts w:ascii="Arial" w:hAnsi="Arial" w:cs="Arial"/>
          <w:sz w:val="24"/>
          <w:szCs w:val="24"/>
        </w:rPr>
        <w:t xml:space="preserve"> placed into liquidation. </w:t>
      </w:r>
    </w:p>
    <w:p w:rsidR="00F10444" w:rsidRPr="001F66F7" w:rsidRDefault="00F10444" w:rsidP="001F66F7">
      <w:pPr>
        <w:spacing w:after="0" w:line="360" w:lineRule="auto"/>
        <w:contextualSpacing/>
        <w:jc w:val="both"/>
        <w:rPr>
          <w:rFonts w:ascii="Arial" w:hAnsi="Arial" w:cs="Arial"/>
          <w:sz w:val="24"/>
          <w:szCs w:val="24"/>
        </w:rPr>
      </w:pPr>
    </w:p>
    <w:p w:rsidR="00A30279"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20</w:t>
      </w:r>
      <w:r w:rsidRPr="001F66F7">
        <w:rPr>
          <w:rFonts w:ascii="Arial" w:hAnsi="Arial" w:cs="Arial"/>
          <w:sz w:val="24"/>
          <w:szCs w:val="24"/>
        </w:rPr>
        <w:t>]</w:t>
      </w:r>
      <w:r w:rsidR="00584AD1" w:rsidRPr="001F66F7">
        <w:rPr>
          <w:rFonts w:ascii="Arial" w:hAnsi="Arial" w:cs="Arial"/>
          <w:sz w:val="24"/>
          <w:szCs w:val="24"/>
        </w:rPr>
        <w:tab/>
      </w:r>
      <w:r w:rsidR="006A2792" w:rsidRPr="001F66F7">
        <w:rPr>
          <w:rFonts w:ascii="Arial" w:hAnsi="Arial" w:cs="Arial"/>
          <w:sz w:val="24"/>
          <w:szCs w:val="24"/>
        </w:rPr>
        <w:t>On 14 September 2022, Mlaba AJ</w:t>
      </w:r>
      <w:r w:rsidR="00A30279" w:rsidRPr="001F66F7">
        <w:rPr>
          <w:rFonts w:ascii="Arial" w:hAnsi="Arial" w:cs="Arial"/>
          <w:sz w:val="24"/>
          <w:szCs w:val="24"/>
        </w:rPr>
        <w:t xml:space="preserve"> granted an order</w:t>
      </w:r>
      <w:r w:rsidR="0072688B" w:rsidRPr="001F66F7">
        <w:rPr>
          <w:rFonts w:ascii="Arial" w:hAnsi="Arial" w:cs="Arial"/>
          <w:sz w:val="24"/>
          <w:szCs w:val="24"/>
        </w:rPr>
        <w:t xml:space="preserve"> </w:t>
      </w:r>
      <w:r w:rsidR="00540DFC" w:rsidRPr="001F66F7">
        <w:rPr>
          <w:rFonts w:ascii="Arial" w:hAnsi="Arial" w:cs="Arial"/>
          <w:sz w:val="24"/>
          <w:szCs w:val="24"/>
        </w:rPr>
        <w:t xml:space="preserve">setting aside the resolution </w:t>
      </w:r>
      <w:r w:rsidR="00A30279" w:rsidRPr="001F66F7">
        <w:rPr>
          <w:rFonts w:ascii="Arial" w:hAnsi="Arial" w:cs="Arial"/>
          <w:sz w:val="24"/>
          <w:szCs w:val="24"/>
        </w:rPr>
        <w:t xml:space="preserve">to place </w:t>
      </w:r>
      <w:r w:rsidR="006A2792" w:rsidRPr="001F66F7">
        <w:rPr>
          <w:rFonts w:ascii="Arial" w:hAnsi="Arial" w:cs="Arial"/>
          <w:sz w:val="24"/>
          <w:szCs w:val="24"/>
        </w:rPr>
        <w:t>Crystal Pier</w:t>
      </w:r>
      <w:r w:rsidR="00A30279" w:rsidRPr="001F66F7">
        <w:rPr>
          <w:rFonts w:ascii="Arial" w:hAnsi="Arial" w:cs="Arial"/>
          <w:sz w:val="24"/>
          <w:szCs w:val="24"/>
        </w:rPr>
        <w:t xml:space="preserve"> under business rescue</w:t>
      </w:r>
      <w:r w:rsidR="006A2792" w:rsidRPr="001F66F7">
        <w:rPr>
          <w:rFonts w:ascii="Arial" w:hAnsi="Arial" w:cs="Arial"/>
          <w:sz w:val="24"/>
          <w:szCs w:val="24"/>
        </w:rPr>
        <w:t>,</w:t>
      </w:r>
      <w:r w:rsidR="000C0F4C" w:rsidRPr="001F66F7">
        <w:rPr>
          <w:rFonts w:ascii="Arial" w:hAnsi="Arial" w:cs="Arial"/>
          <w:sz w:val="24"/>
          <w:szCs w:val="24"/>
        </w:rPr>
        <w:t xml:space="preserve"> </w:t>
      </w:r>
      <w:r w:rsidR="00A30279" w:rsidRPr="001F66F7">
        <w:rPr>
          <w:rFonts w:ascii="Arial" w:hAnsi="Arial" w:cs="Arial"/>
          <w:sz w:val="24"/>
          <w:szCs w:val="24"/>
        </w:rPr>
        <w:t xml:space="preserve">and placed </w:t>
      </w:r>
      <w:r w:rsidR="006A2792" w:rsidRPr="001F66F7">
        <w:rPr>
          <w:rFonts w:ascii="Arial" w:hAnsi="Arial" w:cs="Arial"/>
          <w:sz w:val="24"/>
          <w:szCs w:val="24"/>
        </w:rPr>
        <w:t>Crystal Pier</w:t>
      </w:r>
      <w:r w:rsidR="00A30279" w:rsidRPr="001F66F7">
        <w:rPr>
          <w:rFonts w:ascii="Arial" w:hAnsi="Arial" w:cs="Arial"/>
          <w:sz w:val="24"/>
          <w:szCs w:val="24"/>
        </w:rPr>
        <w:t xml:space="preserve"> under provisional liquidation in the hands of the Master of the High Court, Pietermaritzburg</w:t>
      </w:r>
      <w:r w:rsidR="00184DB4" w:rsidRPr="001F66F7">
        <w:rPr>
          <w:rFonts w:ascii="Arial" w:hAnsi="Arial" w:cs="Arial"/>
          <w:sz w:val="24"/>
          <w:szCs w:val="24"/>
        </w:rPr>
        <w:t>.</w:t>
      </w:r>
    </w:p>
    <w:p w:rsidR="002C2C5A" w:rsidRPr="001F66F7" w:rsidRDefault="002C2C5A" w:rsidP="001F66F7">
      <w:pPr>
        <w:spacing w:after="0" w:line="360" w:lineRule="auto"/>
        <w:contextualSpacing/>
        <w:jc w:val="both"/>
        <w:rPr>
          <w:rFonts w:ascii="Arial" w:hAnsi="Arial" w:cs="Arial"/>
          <w:sz w:val="24"/>
          <w:szCs w:val="24"/>
        </w:rPr>
      </w:pPr>
    </w:p>
    <w:p w:rsidR="00A30279"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21</w:t>
      </w:r>
      <w:r w:rsidRPr="001F66F7">
        <w:rPr>
          <w:rFonts w:ascii="Arial" w:hAnsi="Arial" w:cs="Arial"/>
          <w:sz w:val="24"/>
          <w:szCs w:val="24"/>
        </w:rPr>
        <w:t>]</w:t>
      </w:r>
      <w:r w:rsidRPr="001F66F7">
        <w:rPr>
          <w:rFonts w:ascii="Arial" w:hAnsi="Arial" w:cs="Arial"/>
          <w:sz w:val="24"/>
          <w:szCs w:val="24"/>
        </w:rPr>
        <w:tab/>
      </w:r>
      <w:r w:rsidR="006A2792" w:rsidRPr="001F66F7">
        <w:rPr>
          <w:rFonts w:ascii="Arial" w:hAnsi="Arial" w:cs="Arial"/>
          <w:sz w:val="24"/>
          <w:szCs w:val="24"/>
        </w:rPr>
        <w:t>A r</w:t>
      </w:r>
      <w:r w:rsidR="00540DFC" w:rsidRPr="001F66F7">
        <w:rPr>
          <w:rFonts w:ascii="Arial" w:hAnsi="Arial" w:cs="Arial"/>
          <w:sz w:val="24"/>
          <w:szCs w:val="24"/>
        </w:rPr>
        <w:t xml:space="preserve">ule </w:t>
      </w:r>
      <w:r w:rsidR="006A2792" w:rsidRPr="001F66F7">
        <w:rPr>
          <w:rFonts w:ascii="Arial" w:hAnsi="Arial" w:cs="Arial"/>
          <w:sz w:val="24"/>
          <w:szCs w:val="24"/>
        </w:rPr>
        <w:t>n</w:t>
      </w:r>
      <w:r w:rsidR="00540DFC" w:rsidRPr="001F66F7">
        <w:rPr>
          <w:rFonts w:ascii="Arial" w:hAnsi="Arial" w:cs="Arial"/>
          <w:sz w:val="24"/>
          <w:szCs w:val="24"/>
        </w:rPr>
        <w:t xml:space="preserve">isi </w:t>
      </w:r>
      <w:r w:rsidR="00A30279" w:rsidRPr="001F66F7">
        <w:rPr>
          <w:rFonts w:ascii="Arial" w:hAnsi="Arial" w:cs="Arial"/>
          <w:sz w:val="24"/>
          <w:szCs w:val="24"/>
        </w:rPr>
        <w:t>was issued</w:t>
      </w:r>
      <w:r w:rsidR="006A2792" w:rsidRPr="001F66F7">
        <w:rPr>
          <w:rFonts w:ascii="Arial" w:hAnsi="Arial" w:cs="Arial"/>
          <w:sz w:val="24"/>
          <w:szCs w:val="24"/>
        </w:rPr>
        <w:t>,</w:t>
      </w:r>
      <w:r w:rsidR="00A30279" w:rsidRPr="001F66F7">
        <w:rPr>
          <w:rFonts w:ascii="Arial" w:hAnsi="Arial" w:cs="Arial"/>
          <w:sz w:val="24"/>
          <w:szCs w:val="24"/>
        </w:rPr>
        <w:t xml:space="preserve"> calling upon</w:t>
      </w:r>
      <w:r w:rsidR="000C0F4C" w:rsidRPr="001F66F7">
        <w:rPr>
          <w:rFonts w:ascii="Arial" w:hAnsi="Arial" w:cs="Arial"/>
          <w:sz w:val="24"/>
          <w:szCs w:val="24"/>
        </w:rPr>
        <w:t xml:space="preserve"> </w:t>
      </w:r>
      <w:r w:rsidR="006A2792" w:rsidRPr="001F66F7">
        <w:rPr>
          <w:rFonts w:ascii="Arial" w:hAnsi="Arial" w:cs="Arial"/>
          <w:sz w:val="24"/>
          <w:szCs w:val="24"/>
        </w:rPr>
        <w:t>Crystal Pier</w:t>
      </w:r>
      <w:r w:rsidR="00A30279" w:rsidRPr="001F66F7">
        <w:rPr>
          <w:rFonts w:ascii="Arial" w:hAnsi="Arial" w:cs="Arial"/>
          <w:sz w:val="24"/>
          <w:szCs w:val="24"/>
        </w:rPr>
        <w:t xml:space="preserve"> and all other interested</w:t>
      </w:r>
      <w:r w:rsidR="000C0F4C" w:rsidRPr="001F66F7">
        <w:rPr>
          <w:rFonts w:ascii="Arial" w:hAnsi="Arial" w:cs="Arial"/>
          <w:sz w:val="24"/>
          <w:szCs w:val="24"/>
        </w:rPr>
        <w:t xml:space="preserve"> </w:t>
      </w:r>
      <w:r w:rsidR="00A30279" w:rsidRPr="001F66F7">
        <w:rPr>
          <w:rFonts w:ascii="Arial" w:hAnsi="Arial" w:cs="Arial"/>
          <w:sz w:val="24"/>
          <w:szCs w:val="24"/>
        </w:rPr>
        <w:t>per</w:t>
      </w:r>
      <w:r w:rsidR="006F630C" w:rsidRPr="001F66F7">
        <w:rPr>
          <w:rFonts w:ascii="Arial" w:hAnsi="Arial" w:cs="Arial"/>
          <w:sz w:val="24"/>
          <w:szCs w:val="24"/>
        </w:rPr>
        <w:t>sons to show cause, if any</w:t>
      </w:r>
      <w:r w:rsidR="00F7512D" w:rsidRPr="001F66F7">
        <w:rPr>
          <w:rFonts w:ascii="Arial" w:hAnsi="Arial" w:cs="Arial"/>
          <w:sz w:val="24"/>
          <w:szCs w:val="24"/>
        </w:rPr>
        <w:t>,</w:t>
      </w:r>
      <w:r w:rsidR="000C0F4C" w:rsidRPr="001F66F7">
        <w:rPr>
          <w:rFonts w:ascii="Arial" w:hAnsi="Arial" w:cs="Arial"/>
          <w:sz w:val="24"/>
          <w:szCs w:val="24"/>
        </w:rPr>
        <w:t xml:space="preserve"> </w:t>
      </w:r>
      <w:r w:rsidR="006F630C" w:rsidRPr="001F66F7">
        <w:rPr>
          <w:rFonts w:ascii="Arial" w:hAnsi="Arial" w:cs="Arial"/>
          <w:sz w:val="24"/>
          <w:szCs w:val="24"/>
        </w:rPr>
        <w:t>as to</w:t>
      </w:r>
      <w:r w:rsidR="00540DFC" w:rsidRPr="001F66F7">
        <w:rPr>
          <w:rFonts w:ascii="Arial" w:hAnsi="Arial" w:cs="Arial"/>
          <w:sz w:val="24"/>
          <w:szCs w:val="24"/>
        </w:rPr>
        <w:t xml:space="preserve"> </w:t>
      </w:r>
      <w:r w:rsidR="00A30279" w:rsidRPr="001F66F7">
        <w:rPr>
          <w:rFonts w:ascii="Arial" w:hAnsi="Arial" w:cs="Arial"/>
          <w:sz w:val="24"/>
          <w:szCs w:val="24"/>
        </w:rPr>
        <w:t xml:space="preserve">why </w:t>
      </w:r>
      <w:r w:rsidR="006A2792" w:rsidRPr="001F66F7">
        <w:rPr>
          <w:rFonts w:ascii="Arial" w:hAnsi="Arial" w:cs="Arial"/>
          <w:sz w:val="24"/>
          <w:szCs w:val="24"/>
        </w:rPr>
        <w:t>Crystal Pier</w:t>
      </w:r>
      <w:r w:rsidR="000C0F4C" w:rsidRPr="001F66F7">
        <w:rPr>
          <w:rFonts w:ascii="Arial" w:hAnsi="Arial" w:cs="Arial"/>
          <w:sz w:val="24"/>
          <w:szCs w:val="24"/>
        </w:rPr>
        <w:t xml:space="preserve"> </w:t>
      </w:r>
      <w:r w:rsidR="00A30279" w:rsidRPr="001F66F7">
        <w:rPr>
          <w:rFonts w:ascii="Arial" w:hAnsi="Arial" w:cs="Arial"/>
          <w:sz w:val="24"/>
          <w:szCs w:val="24"/>
        </w:rPr>
        <w:t>should not be placed under final liquidation</w:t>
      </w:r>
      <w:r w:rsidR="006A2792" w:rsidRPr="001F66F7">
        <w:rPr>
          <w:rFonts w:ascii="Arial" w:hAnsi="Arial" w:cs="Arial"/>
          <w:sz w:val="24"/>
          <w:szCs w:val="24"/>
        </w:rPr>
        <w:t>.</w:t>
      </w:r>
      <w:r w:rsidR="000C0F4C" w:rsidRPr="001F66F7">
        <w:rPr>
          <w:rFonts w:ascii="Arial" w:hAnsi="Arial" w:cs="Arial"/>
          <w:sz w:val="24"/>
          <w:szCs w:val="24"/>
        </w:rPr>
        <w:t xml:space="preserve"> </w:t>
      </w:r>
    </w:p>
    <w:p w:rsidR="002C2C5A" w:rsidRPr="001F66F7" w:rsidRDefault="002C2C5A" w:rsidP="001F66F7">
      <w:pPr>
        <w:spacing w:after="0" w:line="360" w:lineRule="auto"/>
        <w:contextualSpacing/>
        <w:jc w:val="both"/>
        <w:rPr>
          <w:rFonts w:ascii="Arial" w:hAnsi="Arial" w:cs="Arial"/>
          <w:sz w:val="24"/>
          <w:szCs w:val="24"/>
        </w:rPr>
      </w:pPr>
    </w:p>
    <w:p w:rsidR="00540DFC"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22</w:t>
      </w:r>
      <w:r w:rsidRPr="001F66F7">
        <w:rPr>
          <w:rFonts w:ascii="Arial" w:hAnsi="Arial" w:cs="Arial"/>
          <w:sz w:val="24"/>
          <w:szCs w:val="24"/>
        </w:rPr>
        <w:t>]</w:t>
      </w:r>
      <w:r w:rsidRPr="001F66F7">
        <w:rPr>
          <w:rFonts w:ascii="Arial" w:hAnsi="Arial" w:cs="Arial"/>
          <w:sz w:val="24"/>
          <w:szCs w:val="24"/>
        </w:rPr>
        <w:tab/>
      </w:r>
      <w:r w:rsidR="00F93288">
        <w:rPr>
          <w:rFonts w:ascii="Arial" w:hAnsi="Arial" w:cs="Arial"/>
          <w:sz w:val="24"/>
          <w:szCs w:val="24"/>
        </w:rPr>
        <w:t>Crystal Pier</w:t>
      </w:r>
      <w:r w:rsidR="00736A08" w:rsidRPr="001F66F7">
        <w:rPr>
          <w:rFonts w:ascii="Arial" w:hAnsi="Arial" w:cs="Arial"/>
          <w:sz w:val="24"/>
          <w:szCs w:val="24"/>
        </w:rPr>
        <w:t xml:space="preserve"> is opposed </w:t>
      </w:r>
      <w:r w:rsidR="00F75010" w:rsidRPr="001F66F7">
        <w:rPr>
          <w:rFonts w:ascii="Arial" w:hAnsi="Arial" w:cs="Arial"/>
          <w:sz w:val="24"/>
          <w:szCs w:val="24"/>
        </w:rPr>
        <w:t>to the</w:t>
      </w:r>
      <w:r w:rsidR="00736A08" w:rsidRPr="001F66F7">
        <w:rPr>
          <w:rFonts w:ascii="Arial" w:hAnsi="Arial" w:cs="Arial"/>
          <w:sz w:val="24"/>
          <w:szCs w:val="24"/>
        </w:rPr>
        <w:t xml:space="preserve"> fina</w:t>
      </w:r>
      <w:r w:rsidR="00540DFC" w:rsidRPr="001F66F7">
        <w:rPr>
          <w:rFonts w:ascii="Arial" w:hAnsi="Arial" w:cs="Arial"/>
          <w:sz w:val="24"/>
          <w:szCs w:val="24"/>
        </w:rPr>
        <w:t>l winding</w:t>
      </w:r>
      <w:r w:rsidR="006A2792" w:rsidRPr="001F66F7">
        <w:rPr>
          <w:rFonts w:ascii="Arial" w:hAnsi="Arial" w:cs="Arial"/>
          <w:sz w:val="24"/>
          <w:szCs w:val="24"/>
        </w:rPr>
        <w:t>-</w:t>
      </w:r>
      <w:r w:rsidR="00540DFC" w:rsidRPr="001F66F7">
        <w:rPr>
          <w:rFonts w:ascii="Arial" w:hAnsi="Arial" w:cs="Arial"/>
          <w:sz w:val="24"/>
          <w:szCs w:val="24"/>
        </w:rPr>
        <w:t>up order</w:t>
      </w:r>
      <w:r w:rsidR="006A2792" w:rsidRPr="001F66F7">
        <w:rPr>
          <w:rFonts w:ascii="Arial" w:hAnsi="Arial" w:cs="Arial"/>
          <w:sz w:val="24"/>
          <w:szCs w:val="24"/>
        </w:rPr>
        <w:t>.</w:t>
      </w:r>
      <w:r w:rsidR="00540DFC" w:rsidRPr="001F66F7">
        <w:rPr>
          <w:rFonts w:ascii="Arial" w:hAnsi="Arial" w:cs="Arial"/>
          <w:sz w:val="24"/>
          <w:szCs w:val="24"/>
        </w:rPr>
        <w:t xml:space="preserve"> </w:t>
      </w:r>
      <w:r w:rsidR="006A2792" w:rsidRPr="001F66F7">
        <w:rPr>
          <w:rFonts w:ascii="Arial" w:hAnsi="Arial" w:cs="Arial"/>
          <w:sz w:val="24"/>
          <w:szCs w:val="24"/>
        </w:rPr>
        <w:t>It contended</w:t>
      </w:r>
      <w:r w:rsidR="00736A08" w:rsidRPr="001F66F7">
        <w:rPr>
          <w:rFonts w:ascii="Arial" w:hAnsi="Arial" w:cs="Arial"/>
          <w:sz w:val="24"/>
          <w:szCs w:val="24"/>
        </w:rPr>
        <w:t xml:space="preserve"> that </w:t>
      </w:r>
      <w:r w:rsidR="000129FB" w:rsidRPr="001F66F7">
        <w:rPr>
          <w:rFonts w:ascii="Arial" w:hAnsi="Arial" w:cs="Arial"/>
          <w:sz w:val="24"/>
          <w:szCs w:val="24"/>
        </w:rPr>
        <w:t>Nile Dutch</w:t>
      </w:r>
      <w:r w:rsidR="00736A08" w:rsidRPr="001F66F7">
        <w:rPr>
          <w:rFonts w:ascii="Arial" w:hAnsi="Arial" w:cs="Arial"/>
          <w:sz w:val="24"/>
          <w:szCs w:val="24"/>
        </w:rPr>
        <w:t xml:space="preserve"> </w:t>
      </w:r>
      <w:r w:rsidR="006F630C" w:rsidRPr="001F66F7">
        <w:rPr>
          <w:rFonts w:ascii="Arial" w:hAnsi="Arial" w:cs="Arial"/>
          <w:sz w:val="24"/>
          <w:szCs w:val="24"/>
        </w:rPr>
        <w:t xml:space="preserve">does not have </w:t>
      </w:r>
      <w:r w:rsidR="006F630C" w:rsidRPr="001F66F7">
        <w:rPr>
          <w:rFonts w:ascii="Arial" w:hAnsi="Arial" w:cs="Arial"/>
          <w:i/>
          <w:sz w:val="24"/>
          <w:szCs w:val="24"/>
        </w:rPr>
        <w:t>locus standi</w:t>
      </w:r>
      <w:r w:rsidR="00C8496F" w:rsidRPr="001F66F7">
        <w:rPr>
          <w:rFonts w:ascii="Arial" w:hAnsi="Arial" w:cs="Arial"/>
          <w:i/>
          <w:sz w:val="24"/>
          <w:szCs w:val="24"/>
        </w:rPr>
        <w:t>,</w:t>
      </w:r>
      <w:r w:rsidR="006F630C" w:rsidRPr="001F66F7">
        <w:rPr>
          <w:rFonts w:ascii="Arial" w:hAnsi="Arial" w:cs="Arial"/>
          <w:sz w:val="24"/>
          <w:szCs w:val="24"/>
        </w:rPr>
        <w:t xml:space="preserve"> as it has</w:t>
      </w:r>
      <w:r w:rsidR="000C0F4C" w:rsidRPr="001F66F7">
        <w:rPr>
          <w:rFonts w:ascii="Arial" w:hAnsi="Arial" w:cs="Arial"/>
          <w:sz w:val="24"/>
          <w:szCs w:val="24"/>
        </w:rPr>
        <w:t xml:space="preserve"> </w:t>
      </w:r>
      <w:r w:rsidR="006F630C" w:rsidRPr="001F66F7">
        <w:rPr>
          <w:rFonts w:ascii="Arial" w:hAnsi="Arial" w:cs="Arial"/>
          <w:sz w:val="24"/>
          <w:szCs w:val="24"/>
        </w:rPr>
        <w:t>no debt owing to it or</w:t>
      </w:r>
      <w:r w:rsidR="0090561F" w:rsidRPr="001F66F7">
        <w:rPr>
          <w:rFonts w:ascii="Arial" w:hAnsi="Arial" w:cs="Arial"/>
          <w:sz w:val="24"/>
          <w:szCs w:val="24"/>
        </w:rPr>
        <w:t xml:space="preserve"> </w:t>
      </w:r>
      <w:r w:rsidR="006F630C" w:rsidRPr="001F66F7">
        <w:rPr>
          <w:rFonts w:ascii="Arial" w:hAnsi="Arial" w:cs="Arial"/>
          <w:sz w:val="24"/>
          <w:szCs w:val="24"/>
        </w:rPr>
        <w:t>claim against</w:t>
      </w:r>
      <w:r w:rsidR="000129FB" w:rsidRPr="001F66F7">
        <w:rPr>
          <w:rFonts w:ascii="Arial" w:hAnsi="Arial" w:cs="Arial"/>
          <w:sz w:val="24"/>
          <w:szCs w:val="24"/>
        </w:rPr>
        <w:t xml:space="preserve"> Crystal Pier</w:t>
      </w:r>
      <w:r w:rsidR="00026176" w:rsidRPr="001F66F7">
        <w:rPr>
          <w:rFonts w:ascii="Arial" w:hAnsi="Arial" w:cs="Arial"/>
          <w:sz w:val="24"/>
          <w:szCs w:val="24"/>
        </w:rPr>
        <w:t xml:space="preserve"> and that the arbitration</w:t>
      </w:r>
      <w:r w:rsidR="000C0F4C" w:rsidRPr="001F66F7">
        <w:rPr>
          <w:rFonts w:ascii="Arial" w:hAnsi="Arial" w:cs="Arial"/>
          <w:sz w:val="24"/>
          <w:szCs w:val="24"/>
        </w:rPr>
        <w:t xml:space="preserve"> </w:t>
      </w:r>
      <w:r w:rsidR="00026176" w:rsidRPr="001F66F7">
        <w:rPr>
          <w:rFonts w:ascii="Arial" w:hAnsi="Arial" w:cs="Arial"/>
          <w:sz w:val="24"/>
          <w:szCs w:val="24"/>
        </w:rPr>
        <w:t>aw</w:t>
      </w:r>
      <w:r w:rsidR="00DB176B" w:rsidRPr="001F66F7">
        <w:rPr>
          <w:rFonts w:ascii="Arial" w:hAnsi="Arial" w:cs="Arial"/>
          <w:sz w:val="24"/>
          <w:szCs w:val="24"/>
        </w:rPr>
        <w:t>a</w:t>
      </w:r>
      <w:r w:rsidR="00026176" w:rsidRPr="001F66F7">
        <w:rPr>
          <w:rFonts w:ascii="Arial" w:hAnsi="Arial" w:cs="Arial"/>
          <w:sz w:val="24"/>
          <w:szCs w:val="24"/>
        </w:rPr>
        <w:t>rd in favour</w:t>
      </w:r>
      <w:r w:rsidR="000C0F4C" w:rsidRPr="001F66F7">
        <w:rPr>
          <w:rFonts w:ascii="Arial" w:hAnsi="Arial" w:cs="Arial"/>
          <w:sz w:val="24"/>
          <w:szCs w:val="24"/>
        </w:rPr>
        <w:t xml:space="preserve"> </w:t>
      </w:r>
      <w:r w:rsidR="00026176" w:rsidRPr="001F66F7">
        <w:rPr>
          <w:rFonts w:ascii="Arial" w:hAnsi="Arial" w:cs="Arial"/>
          <w:sz w:val="24"/>
          <w:szCs w:val="24"/>
        </w:rPr>
        <w:t xml:space="preserve">of </w:t>
      </w:r>
      <w:r w:rsidR="00406A11" w:rsidRPr="001F66F7">
        <w:rPr>
          <w:rFonts w:ascii="Arial" w:hAnsi="Arial" w:cs="Arial"/>
          <w:sz w:val="24"/>
          <w:szCs w:val="24"/>
        </w:rPr>
        <w:t xml:space="preserve">Nile Dutch </w:t>
      </w:r>
      <w:r w:rsidR="00026176" w:rsidRPr="001F66F7">
        <w:rPr>
          <w:rFonts w:ascii="Arial" w:hAnsi="Arial" w:cs="Arial"/>
          <w:sz w:val="24"/>
          <w:szCs w:val="24"/>
        </w:rPr>
        <w:t xml:space="preserve">was invalidly granted. </w:t>
      </w:r>
      <w:r w:rsidR="0072688B" w:rsidRPr="001F66F7">
        <w:rPr>
          <w:rFonts w:ascii="Arial" w:hAnsi="Arial" w:cs="Arial"/>
          <w:sz w:val="24"/>
          <w:szCs w:val="24"/>
        </w:rPr>
        <w:t>In support of such opposition</w:t>
      </w:r>
      <w:r w:rsidR="00ED3D96" w:rsidRPr="001F66F7">
        <w:rPr>
          <w:rFonts w:ascii="Arial" w:hAnsi="Arial" w:cs="Arial"/>
          <w:sz w:val="24"/>
          <w:szCs w:val="24"/>
        </w:rPr>
        <w:t>,</w:t>
      </w:r>
      <w:r w:rsidR="0072688B" w:rsidRPr="001F66F7">
        <w:rPr>
          <w:rFonts w:ascii="Arial" w:hAnsi="Arial" w:cs="Arial"/>
          <w:sz w:val="24"/>
          <w:szCs w:val="24"/>
        </w:rPr>
        <w:t xml:space="preserve"> a </w:t>
      </w:r>
      <w:r w:rsidR="00ED3D96" w:rsidRPr="001F66F7">
        <w:rPr>
          <w:rFonts w:ascii="Arial" w:hAnsi="Arial" w:cs="Arial"/>
          <w:sz w:val="24"/>
          <w:szCs w:val="24"/>
        </w:rPr>
        <w:t>d</w:t>
      </w:r>
      <w:r w:rsidR="0072688B" w:rsidRPr="001F66F7">
        <w:rPr>
          <w:rFonts w:ascii="Arial" w:hAnsi="Arial" w:cs="Arial"/>
          <w:sz w:val="24"/>
          <w:szCs w:val="24"/>
        </w:rPr>
        <w:t xml:space="preserve">irector </w:t>
      </w:r>
      <w:r w:rsidR="00F75010" w:rsidRPr="001F66F7">
        <w:rPr>
          <w:rFonts w:ascii="Arial" w:hAnsi="Arial" w:cs="Arial"/>
          <w:sz w:val="24"/>
          <w:szCs w:val="24"/>
        </w:rPr>
        <w:t>of Crystal</w:t>
      </w:r>
      <w:r w:rsidR="00540DFC" w:rsidRPr="001F66F7">
        <w:rPr>
          <w:rFonts w:ascii="Arial" w:hAnsi="Arial" w:cs="Arial"/>
          <w:sz w:val="24"/>
          <w:szCs w:val="24"/>
        </w:rPr>
        <w:t xml:space="preserve"> Pier</w:t>
      </w:r>
      <w:r w:rsidR="00ED3D96" w:rsidRPr="001F66F7">
        <w:rPr>
          <w:rFonts w:ascii="Arial" w:hAnsi="Arial" w:cs="Arial"/>
          <w:sz w:val="24"/>
          <w:szCs w:val="24"/>
        </w:rPr>
        <w:t>,</w:t>
      </w:r>
      <w:r w:rsidR="0072688B" w:rsidRPr="001F66F7">
        <w:rPr>
          <w:rFonts w:ascii="Arial" w:hAnsi="Arial" w:cs="Arial"/>
          <w:sz w:val="24"/>
          <w:szCs w:val="24"/>
        </w:rPr>
        <w:t xml:space="preserve"> </w:t>
      </w:r>
      <w:r w:rsidR="00ED3D96" w:rsidRPr="001F66F7">
        <w:rPr>
          <w:rFonts w:ascii="Arial" w:hAnsi="Arial" w:cs="Arial"/>
          <w:sz w:val="24"/>
          <w:szCs w:val="24"/>
        </w:rPr>
        <w:t xml:space="preserve">Mr </w:t>
      </w:r>
      <w:r w:rsidR="0072688B" w:rsidRPr="001F66F7">
        <w:rPr>
          <w:rFonts w:ascii="Arial" w:hAnsi="Arial" w:cs="Arial"/>
          <w:sz w:val="24"/>
          <w:szCs w:val="24"/>
        </w:rPr>
        <w:t>Pravin Parsard</w:t>
      </w:r>
      <w:r w:rsidR="00ED3D96" w:rsidRPr="001F66F7">
        <w:rPr>
          <w:rFonts w:ascii="Arial" w:hAnsi="Arial" w:cs="Arial"/>
          <w:sz w:val="24"/>
          <w:szCs w:val="24"/>
        </w:rPr>
        <w:t>,</w:t>
      </w:r>
      <w:r w:rsidR="0072688B" w:rsidRPr="001F66F7">
        <w:rPr>
          <w:rFonts w:ascii="Arial" w:hAnsi="Arial" w:cs="Arial"/>
          <w:sz w:val="24"/>
          <w:szCs w:val="24"/>
        </w:rPr>
        <w:t xml:space="preserve"> depos</w:t>
      </w:r>
      <w:r w:rsidR="00540DFC" w:rsidRPr="001F66F7">
        <w:rPr>
          <w:rFonts w:ascii="Arial" w:hAnsi="Arial" w:cs="Arial"/>
          <w:sz w:val="24"/>
          <w:szCs w:val="24"/>
        </w:rPr>
        <w:t>ed to a supplementary affidavit</w:t>
      </w:r>
      <w:r w:rsidR="0072688B" w:rsidRPr="001F66F7">
        <w:rPr>
          <w:rFonts w:ascii="Arial" w:hAnsi="Arial" w:cs="Arial"/>
          <w:sz w:val="24"/>
          <w:szCs w:val="24"/>
        </w:rPr>
        <w:t xml:space="preserve">. </w:t>
      </w:r>
    </w:p>
    <w:p w:rsidR="002C2C5A" w:rsidRPr="001F66F7" w:rsidRDefault="002C2C5A" w:rsidP="001F66F7">
      <w:pPr>
        <w:spacing w:after="0" w:line="360" w:lineRule="auto"/>
        <w:contextualSpacing/>
        <w:jc w:val="both"/>
        <w:rPr>
          <w:rFonts w:ascii="Arial" w:hAnsi="Arial" w:cs="Arial"/>
          <w:sz w:val="24"/>
          <w:szCs w:val="24"/>
        </w:rPr>
      </w:pPr>
    </w:p>
    <w:p w:rsidR="001C7583" w:rsidRPr="001F66F7" w:rsidRDefault="002C2C5A"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591C86" w:rsidRPr="001F66F7">
        <w:rPr>
          <w:rFonts w:ascii="Arial" w:hAnsi="Arial" w:cs="Arial"/>
          <w:sz w:val="24"/>
          <w:szCs w:val="24"/>
        </w:rPr>
        <w:t>23</w:t>
      </w:r>
      <w:r w:rsidRPr="001F66F7">
        <w:rPr>
          <w:rFonts w:ascii="Arial" w:hAnsi="Arial" w:cs="Arial"/>
          <w:sz w:val="24"/>
          <w:szCs w:val="24"/>
        </w:rPr>
        <w:t>]</w:t>
      </w:r>
      <w:r w:rsidRPr="001F66F7">
        <w:rPr>
          <w:rFonts w:ascii="Arial" w:hAnsi="Arial" w:cs="Arial"/>
          <w:sz w:val="24"/>
          <w:szCs w:val="24"/>
        </w:rPr>
        <w:tab/>
      </w:r>
      <w:r w:rsidR="00076A11" w:rsidRPr="001F66F7">
        <w:rPr>
          <w:rFonts w:ascii="Arial" w:hAnsi="Arial" w:cs="Arial"/>
          <w:sz w:val="24"/>
          <w:szCs w:val="24"/>
        </w:rPr>
        <w:t xml:space="preserve"> </w:t>
      </w:r>
      <w:r w:rsidR="008048EB">
        <w:rPr>
          <w:rFonts w:ascii="Arial" w:hAnsi="Arial" w:cs="Arial"/>
          <w:sz w:val="24"/>
          <w:szCs w:val="24"/>
        </w:rPr>
        <w:t>Nile Dutch</w:t>
      </w:r>
      <w:r w:rsidR="00076A11" w:rsidRPr="001F66F7">
        <w:rPr>
          <w:rFonts w:ascii="Arial" w:hAnsi="Arial" w:cs="Arial"/>
          <w:sz w:val="24"/>
          <w:szCs w:val="24"/>
        </w:rPr>
        <w:t xml:space="preserve"> </w:t>
      </w:r>
      <w:r w:rsidR="00F75010" w:rsidRPr="001F66F7">
        <w:rPr>
          <w:rFonts w:ascii="Arial" w:hAnsi="Arial" w:cs="Arial"/>
          <w:sz w:val="24"/>
          <w:szCs w:val="24"/>
        </w:rPr>
        <w:t xml:space="preserve">filed </w:t>
      </w:r>
      <w:r w:rsidR="00622095" w:rsidRPr="001F66F7">
        <w:rPr>
          <w:rFonts w:ascii="Arial" w:hAnsi="Arial" w:cs="Arial"/>
          <w:sz w:val="24"/>
          <w:szCs w:val="24"/>
        </w:rPr>
        <w:t xml:space="preserve">a </w:t>
      </w:r>
      <w:r w:rsidR="00F75010" w:rsidRPr="001F66F7">
        <w:rPr>
          <w:rFonts w:ascii="Arial" w:hAnsi="Arial" w:cs="Arial"/>
          <w:sz w:val="24"/>
          <w:szCs w:val="24"/>
        </w:rPr>
        <w:t>r</w:t>
      </w:r>
      <w:r w:rsidR="00540DFC" w:rsidRPr="001F66F7">
        <w:rPr>
          <w:rFonts w:ascii="Arial" w:hAnsi="Arial" w:cs="Arial"/>
          <w:sz w:val="24"/>
          <w:szCs w:val="24"/>
        </w:rPr>
        <w:t>e</w:t>
      </w:r>
      <w:r w:rsidR="00F75010" w:rsidRPr="001F66F7">
        <w:rPr>
          <w:rFonts w:ascii="Arial" w:hAnsi="Arial" w:cs="Arial"/>
          <w:sz w:val="24"/>
          <w:szCs w:val="24"/>
        </w:rPr>
        <w:t>plying</w:t>
      </w:r>
      <w:r w:rsidR="0072688B" w:rsidRPr="001F66F7">
        <w:rPr>
          <w:rFonts w:ascii="Arial" w:hAnsi="Arial" w:cs="Arial"/>
          <w:sz w:val="24"/>
          <w:szCs w:val="24"/>
        </w:rPr>
        <w:t xml:space="preserve"> </w:t>
      </w:r>
      <w:r w:rsidR="00F75010" w:rsidRPr="001F66F7">
        <w:rPr>
          <w:rFonts w:ascii="Arial" w:hAnsi="Arial" w:cs="Arial"/>
          <w:sz w:val="24"/>
          <w:szCs w:val="24"/>
        </w:rPr>
        <w:t>affidavit,</w:t>
      </w:r>
      <w:r w:rsidR="0072688B" w:rsidRPr="001F66F7">
        <w:rPr>
          <w:rFonts w:ascii="Arial" w:hAnsi="Arial" w:cs="Arial"/>
          <w:sz w:val="24"/>
          <w:szCs w:val="24"/>
        </w:rPr>
        <w:t xml:space="preserve"> </w:t>
      </w:r>
      <w:r w:rsidR="00622095" w:rsidRPr="001F66F7">
        <w:rPr>
          <w:rFonts w:ascii="Arial" w:hAnsi="Arial" w:cs="Arial"/>
          <w:sz w:val="24"/>
          <w:szCs w:val="24"/>
        </w:rPr>
        <w:t xml:space="preserve">which had been </w:t>
      </w:r>
      <w:r w:rsidR="0072688B" w:rsidRPr="001F66F7">
        <w:rPr>
          <w:rFonts w:ascii="Arial" w:hAnsi="Arial" w:cs="Arial"/>
          <w:sz w:val="24"/>
          <w:szCs w:val="24"/>
        </w:rPr>
        <w:t xml:space="preserve">deposed </w:t>
      </w:r>
      <w:r w:rsidR="00622095" w:rsidRPr="001F66F7">
        <w:rPr>
          <w:rFonts w:ascii="Arial" w:hAnsi="Arial" w:cs="Arial"/>
          <w:sz w:val="24"/>
          <w:szCs w:val="24"/>
        </w:rPr>
        <w:t xml:space="preserve">to </w:t>
      </w:r>
      <w:r w:rsidR="0072688B" w:rsidRPr="001F66F7">
        <w:rPr>
          <w:rFonts w:ascii="Arial" w:hAnsi="Arial" w:cs="Arial"/>
          <w:sz w:val="24"/>
          <w:szCs w:val="24"/>
        </w:rPr>
        <w:t xml:space="preserve">by </w:t>
      </w:r>
      <w:r w:rsidR="00622095" w:rsidRPr="001F66F7">
        <w:rPr>
          <w:rFonts w:ascii="Arial" w:hAnsi="Arial" w:cs="Arial"/>
          <w:sz w:val="24"/>
          <w:szCs w:val="24"/>
        </w:rPr>
        <w:t xml:space="preserve">Mr </w:t>
      </w:r>
      <w:r w:rsidR="0072688B" w:rsidRPr="001F66F7">
        <w:rPr>
          <w:rFonts w:ascii="Arial" w:hAnsi="Arial" w:cs="Arial"/>
          <w:sz w:val="24"/>
          <w:szCs w:val="24"/>
        </w:rPr>
        <w:t>Jakobus Braal</w:t>
      </w:r>
      <w:r w:rsidR="00622095" w:rsidRPr="001F66F7">
        <w:rPr>
          <w:rFonts w:ascii="Arial" w:hAnsi="Arial" w:cs="Arial"/>
          <w:sz w:val="24"/>
          <w:szCs w:val="24"/>
        </w:rPr>
        <w:t>,</w:t>
      </w:r>
      <w:r w:rsidR="0072688B" w:rsidRPr="001F66F7">
        <w:rPr>
          <w:rFonts w:ascii="Arial" w:hAnsi="Arial" w:cs="Arial"/>
          <w:sz w:val="24"/>
          <w:szCs w:val="24"/>
        </w:rPr>
        <w:t xml:space="preserve"> and</w:t>
      </w:r>
      <w:r w:rsidR="00622095" w:rsidRPr="001F66F7">
        <w:rPr>
          <w:rFonts w:ascii="Arial" w:hAnsi="Arial" w:cs="Arial"/>
          <w:sz w:val="24"/>
          <w:szCs w:val="24"/>
        </w:rPr>
        <w:t xml:space="preserve"> also filed</w:t>
      </w:r>
      <w:r w:rsidR="0072688B" w:rsidRPr="001F66F7">
        <w:rPr>
          <w:rFonts w:ascii="Arial" w:hAnsi="Arial" w:cs="Arial"/>
          <w:sz w:val="24"/>
          <w:szCs w:val="24"/>
        </w:rPr>
        <w:t xml:space="preserve"> a confirmatory affidavit</w:t>
      </w:r>
      <w:r w:rsidR="00622095" w:rsidRPr="001F66F7">
        <w:rPr>
          <w:rFonts w:ascii="Arial" w:hAnsi="Arial" w:cs="Arial"/>
          <w:sz w:val="24"/>
          <w:szCs w:val="24"/>
        </w:rPr>
        <w:t>,</w:t>
      </w:r>
      <w:r w:rsidR="0072688B" w:rsidRPr="001F66F7">
        <w:rPr>
          <w:rFonts w:ascii="Arial" w:hAnsi="Arial" w:cs="Arial"/>
          <w:sz w:val="24"/>
          <w:szCs w:val="24"/>
        </w:rPr>
        <w:t xml:space="preserve"> deposed to by </w:t>
      </w:r>
      <w:r w:rsidR="00622095" w:rsidRPr="001F66F7">
        <w:rPr>
          <w:rFonts w:ascii="Arial" w:hAnsi="Arial" w:cs="Arial"/>
          <w:sz w:val="24"/>
          <w:szCs w:val="24"/>
        </w:rPr>
        <w:t xml:space="preserve">Mr </w:t>
      </w:r>
      <w:r w:rsidR="0072688B" w:rsidRPr="001F66F7">
        <w:rPr>
          <w:rFonts w:ascii="Arial" w:hAnsi="Arial" w:cs="Arial"/>
          <w:sz w:val="24"/>
          <w:szCs w:val="24"/>
        </w:rPr>
        <w:t>Richard Dobbe</w:t>
      </w:r>
      <w:r w:rsidR="00026176" w:rsidRPr="001F66F7">
        <w:rPr>
          <w:rFonts w:ascii="Arial" w:hAnsi="Arial" w:cs="Arial"/>
          <w:sz w:val="24"/>
          <w:szCs w:val="24"/>
        </w:rPr>
        <w:t xml:space="preserve">. </w:t>
      </w:r>
      <w:r w:rsidR="00622095" w:rsidRPr="001F66F7">
        <w:rPr>
          <w:rFonts w:ascii="Arial" w:hAnsi="Arial" w:cs="Arial"/>
          <w:sz w:val="24"/>
          <w:szCs w:val="24"/>
        </w:rPr>
        <w:t>Nile Dutch</w:t>
      </w:r>
      <w:r w:rsidR="00026176" w:rsidRPr="001F66F7">
        <w:rPr>
          <w:rFonts w:ascii="Arial" w:hAnsi="Arial" w:cs="Arial"/>
          <w:sz w:val="24"/>
          <w:szCs w:val="24"/>
        </w:rPr>
        <w:t xml:space="preserve"> argu</w:t>
      </w:r>
      <w:r w:rsidR="00D50E5A" w:rsidRPr="001F66F7">
        <w:rPr>
          <w:rFonts w:ascii="Arial" w:hAnsi="Arial" w:cs="Arial"/>
          <w:sz w:val="24"/>
          <w:szCs w:val="24"/>
        </w:rPr>
        <w:t xml:space="preserve">es that the latest </w:t>
      </w:r>
      <w:r w:rsidR="00F75010" w:rsidRPr="001F66F7">
        <w:rPr>
          <w:rFonts w:ascii="Arial" w:hAnsi="Arial" w:cs="Arial"/>
          <w:sz w:val="24"/>
          <w:szCs w:val="24"/>
        </w:rPr>
        <w:t>version is</w:t>
      </w:r>
      <w:r w:rsidR="00540DFC" w:rsidRPr="001F66F7">
        <w:rPr>
          <w:rFonts w:ascii="Arial" w:hAnsi="Arial" w:cs="Arial"/>
          <w:sz w:val="24"/>
          <w:szCs w:val="24"/>
        </w:rPr>
        <w:t xml:space="preserve"> not only opportunistic </w:t>
      </w:r>
      <w:r w:rsidR="00D50E5A" w:rsidRPr="001F66F7">
        <w:rPr>
          <w:rFonts w:ascii="Arial" w:hAnsi="Arial" w:cs="Arial"/>
          <w:sz w:val="24"/>
          <w:szCs w:val="24"/>
        </w:rPr>
        <w:t>and disingenuous</w:t>
      </w:r>
      <w:r w:rsidR="000C0F4C" w:rsidRPr="001F66F7">
        <w:rPr>
          <w:rFonts w:ascii="Arial" w:hAnsi="Arial" w:cs="Arial"/>
          <w:sz w:val="24"/>
          <w:szCs w:val="24"/>
        </w:rPr>
        <w:t xml:space="preserve"> </w:t>
      </w:r>
      <w:r w:rsidR="00D50E5A" w:rsidRPr="001F66F7">
        <w:rPr>
          <w:rFonts w:ascii="Arial" w:hAnsi="Arial" w:cs="Arial"/>
          <w:sz w:val="24"/>
          <w:szCs w:val="24"/>
        </w:rPr>
        <w:t>but patently false</w:t>
      </w:r>
      <w:r w:rsidR="0081204C" w:rsidRPr="001F66F7">
        <w:rPr>
          <w:rFonts w:ascii="Arial" w:hAnsi="Arial" w:cs="Arial"/>
          <w:sz w:val="24"/>
          <w:szCs w:val="24"/>
        </w:rPr>
        <w:t>,</w:t>
      </w:r>
      <w:r w:rsidR="00D50E5A" w:rsidRPr="001F66F7">
        <w:rPr>
          <w:rFonts w:ascii="Arial" w:hAnsi="Arial" w:cs="Arial"/>
          <w:sz w:val="24"/>
          <w:szCs w:val="24"/>
        </w:rPr>
        <w:t xml:space="preserve"> as the fact that Nile Du</w:t>
      </w:r>
      <w:r w:rsidR="00540DFC" w:rsidRPr="001F66F7">
        <w:rPr>
          <w:rFonts w:ascii="Arial" w:hAnsi="Arial" w:cs="Arial"/>
          <w:sz w:val="24"/>
          <w:szCs w:val="24"/>
        </w:rPr>
        <w:t>tch had a claim</w:t>
      </w:r>
      <w:r w:rsidR="000C0F4C" w:rsidRPr="001F66F7">
        <w:rPr>
          <w:rFonts w:ascii="Arial" w:hAnsi="Arial" w:cs="Arial"/>
          <w:sz w:val="24"/>
          <w:szCs w:val="24"/>
        </w:rPr>
        <w:t xml:space="preserve"> </w:t>
      </w:r>
      <w:r w:rsidR="00540DFC" w:rsidRPr="001F66F7">
        <w:rPr>
          <w:rFonts w:ascii="Arial" w:hAnsi="Arial" w:cs="Arial"/>
          <w:sz w:val="24"/>
          <w:szCs w:val="24"/>
        </w:rPr>
        <w:t>had been</w:t>
      </w:r>
      <w:r w:rsidR="000C0F4C" w:rsidRPr="001F66F7">
        <w:rPr>
          <w:rFonts w:ascii="Arial" w:hAnsi="Arial" w:cs="Arial"/>
          <w:sz w:val="24"/>
          <w:szCs w:val="24"/>
        </w:rPr>
        <w:t xml:space="preserve"> </w:t>
      </w:r>
      <w:r w:rsidR="00540DFC" w:rsidRPr="001F66F7">
        <w:rPr>
          <w:rFonts w:ascii="Arial" w:hAnsi="Arial" w:cs="Arial"/>
          <w:sz w:val="24"/>
          <w:szCs w:val="24"/>
        </w:rPr>
        <w:t>admit</w:t>
      </w:r>
      <w:r w:rsidR="00D50E5A" w:rsidRPr="001F66F7">
        <w:rPr>
          <w:rFonts w:ascii="Arial" w:hAnsi="Arial" w:cs="Arial"/>
          <w:sz w:val="24"/>
          <w:szCs w:val="24"/>
        </w:rPr>
        <w:t xml:space="preserve">ted by </w:t>
      </w:r>
      <w:r w:rsidR="00622095" w:rsidRPr="001F66F7">
        <w:rPr>
          <w:rFonts w:ascii="Arial" w:hAnsi="Arial" w:cs="Arial"/>
          <w:sz w:val="24"/>
          <w:szCs w:val="24"/>
        </w:rPr>
        <w:t xml:space="preserve">Ms </w:t>
      </w:r>
      <w:r w:rsidR="00D50E5A" w:rsidRPr="001F66F7">
        <w:rPr>
          <w:rFonts w:ascii="Arial" w:hAnsi="Arial" w:cs="Arial"/>
          <w:sz w:val="24"/>
          <w:szCs w:val="24"/>
        </w:rPr>
        <w:t>Maddock</w:t>
      </w:r>
      <w:r w:rsidR="00622095" w:rsidRPr="001F66F7">
        <w:rPr>
          <w:rFonts w:ascii="Arial" w:hAnsi="Arial" w:cs="Arial"/>
          <w:sz w:val="24"/>
          <w:szCs w:val="24"/>
        </w:rPr>
        <w:t>s</w:t>
      </w:r>
      <w:r w:rsidR="00D50E5A" w:rsidRPr="001F66F7">
        <w:rPr>
          <w:rFonts w:ascii="Arial" w:hAnsi="Arial" w:cs="Arial"/>
          <w:sz w:val="24"/>
          <w:szCs w:val="24"/>
        </w:rPr>
        <w:t xml:space="preserve"> and </w:t>
      </w:r>
      <w:r w:rsidR="00622095" w:rsidRPr="001F66F7">
        <w:rPr>
          <w:rFonts w:ascii="Arial" w:hAnsi="Arial" w:cs="Arial"/>
          <w:sz w:val="24"/>
          <w:szCs w:val="24"/>
        </w:rPr>
        <w:t xml:space="preserve">Mr </w:t>
      </w:r>
      <w:r w:rsidR="00D50E5A" w:rsidRPr="001F66F7">
        <w:rPr>
          <w:rFonts w:ascii="Arial" w:hAnsi="Arial" w:cs="Arial"/>
          <w:sz w:val="24"/>
          <w:szCs w:val="24"/>
        </w:rPr>
        <w:t xml:space="preserve">Parsad deposed </w:t>
      </w:r>
      <w:r w:rsidR="008048EB">
        <w:rPr>
          <w:rFonts w:ascii="Arial" w:hAnsi="Arial" w:cs="Arial"/>
          <w:sz w:val="24"/>
          <w:szCs w:val="24"/>
        </w:rPr>
        <w:t xml:space="preserve">to </w:t>
      </w:r>
      <w:r w:rsidR="00D50E5A" w:rsidRPr="001F66F7">
        <w:rPr>
          <w:rFonts w:ascii="Arial" w:hAnsi="Arial" w:cs="Arial"/>
          <w:sz w:val="24"/>
          <w:szCs w:val="24"/>
        </w:rPr>
        <w:t>a</w:t>
      </w:r>
      <w:r w:rsidR="005C7D42" w:rsidRPr="001F66F7">
        <w:rPr>
          <w:rFonts w:ascii="Arial" w:hAnsi="Arial" w:cs="Arial"/>
          <w:sz w:val="24"/>
          <w:szCs w:val="24"/>
        </w:rPr>
        <w:t xml:space="preserve"> </w:t>
      </w:r>
      <w:r w:rsidR="00D50E5A" w:rsidRPr="001F66F7">
        <w:rPr>
          <w:rFonts w:ascii="Arial" w:hAnsi="Arial" w:cs="Arial"/>
          <w:sz w:val="24"/>
          <w:szCs w:val="24"/>
        </w:rPr>
        <w:t>confi</w:t>
      </w:r>
      <w:r w:rsidR="0081204C" w:rsidRPr="001F66F7">
        <w:rPr>
          <w:rFonts w:ascii="Arial" w:hAnsi="Arial" w:cs="Arial"/>
          <w:sz w:val="24"/>
          <w:szCs w:val="24"/>
        </w:rPr>
        <w:t>r</w:t>
      </w:r>
      <w:r w:rsidR="00D50E5A" w:rsidRPr="001F66F7">
        <w:rPr>
          <w:rFonts w:ascii="Arial" w:hAnsi="Arial" w:cs="Arial"/>
          <w:sz w:val="24"/>
          <w:szCs w:val="24"/>
        </w:rPr>
        <w:t>matory affidavit</w:t>
      </w:r>
      <w:r w:rsidR="000C0F4C" w:rsidRPr="001F66F7">
        <w:rPr>
          <w:rFonts w:ascii="Arial" w:hAnsi="Arial" w:cs="Arial"/>
          <w:sz w:val="24"/>
          <w:szCs w:val="24"/>
        </w:rPr>
        <w:t xml:space="preserve"> </w:t>
      </w:r>
      <w:r w:rsidR="00D50E5A" w:rsidRPr="001F66F7">
        <w:rPr>
          <w:rFonts w:ascii="Arial" w:hAnsi="Arial" w:cs="Arial"/>
          <w:sz w:val="24"/>
          <w:szCs w:val="24"/>
        </w:rPr>
        <w:t>to that effect.</w:t>
      </w:r>
    </w:p>
    <w:p w:rsidR="002C2C5A" w:rsidRPr="001F66F7" w:rsidRDefault="002C2C5A" w:rsidP="001F66F7">
      <w:pPr>
        <w:spacing w:after="0" w:line="360" w:lineRule="auto"/>
        <w:contextualSpacing/>
        <w:jc w:val="both"/>
        <w:rPr>
          <w:rFonts w:ascii="Arial" w:hAnsi="Arial" w:cs="Arial"/>
          <w:sz w:val="24"/>
          <w:szCs w:val="24"/>
        </w:rPr>
      </w:pPr>
    </w:p>
    <w:p w:rsidR="0090561F" w:rsidRPr="001F66F7" w:rsidRDefault="001C0FFF"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F10444" w:rsidRPr="001F66F7">
        <w:rPr>
          <w:rFonts w:ascii="Arial" w:hAnsi="Arial" w:cs="Arial"/>
          <w:sz w:val="24"/>
          <w:szCs w:val="24"/>
        </w:rPr>
        <w:t>24</w:t>
      </w:r>
      <w:r w:rsidRPr="001F66F7">
        <w:rPr>
          <w:rFonts w:ascii="Arial" w:hAnsi="Arial" w:cs="Arial"/>
          <w:sz w:val="24"/>
          <w:szCs w:val="24"/>
        </w:rPr>
        <w:t>]</w:t>
      </w:r>
      <w:r w:rsidRPr="001F66F7">
        <w:rPr>
          <w:rFonts w:ascii="Arial" w:hAnsi="Arial" w:cs="Arial"/>
          <w:sz w:val="24"/>
          <w:szCs w:val="24"/>
        </w:rPr>
        <w:tab/>
      </w:r>
      <w:r w:rsidR="00886880" w:rsidRPr="001F66F7">
        <w:rPr>
          <w:rFonts w:ascii="Arial" w:hAnsi="Arial" w:cs="Arial"/>
          <w:sz w:val="24"/>
          <w:szCs w:val="24"/>
        </w:rPr>
        <w:t>The fact that</w:t>
      </w:r>
      <w:r w:rsidR="00076A11" w:rsidRPr="001F66F7">
        <w:rPr>
          <w:rFonts w:ascii="Arial" w:hAnsi="Arial" w:cs="Arial"/>
          <w:sz w:val="24"/>
          <w:szCs w:val="24"/>
        </w:rPr>
        <w:t xml:space="preserve"> </w:t>
      </w:r>
      <w:r w:rsidR="00B14AEE">
        <w:rPr>
          <w:rFonts w:ascii="Arial" w:hAnsi="Arial" w:cs="Arial"/>
          <w:sz w:val="24"/>
          <w:szCs w:val="24"/>
        </w:rPr>
        <w:t>Crys</w:t>
      </w:r>
      <w:r w:rsidR="00E166C1">
        <w:rPr>
          <w:rFonts w:ascii="Arial" w:hAnsi="Arial" w:cs="Arial"/>
          <w:sz w:val="24"/>
          <w:szCs w:val="24"/>
        </w:rPr>
        <w:t>t</w:t>
      </w:r>
      <w:r w:rsidR="00B14AEE">
        <w:rPr>
          <w:rFonts w:ascii="Arial" w:hAnsi="Arial" w:cs="Arial"/>
          <w:sz w:val="24"/>
          <w:szCs w:val="24"/>
        </w:rPr>
        <w:t>al Pier</w:t>
      </w:r>
      <w:r w:rsidR="00076A11" w:rsidRPr="001F66F7">
        <w:rPr>
          <w:rFonts w:ascii="Arial" w:hAnsi="Arial" w:cs="Arial"/>
          <w:sz w:val="24"/>
          <w:szCs w:val="24"/>
        </w:rPr>
        <w:t xml:space="preserve"> </w:t>
      </w:r>
      <w:r w:rsidR="00886880" w:rsidRPr="001F66F7">
        <w:rPr>
          <w:rFonts w:ascii="Arial" w:hAnsi="Arial" w:cs="Arial"/>
          <w:sz w:val="24"/>
          <w:szCs w:val="24"/>
        </w:rPr>
        <w:t>is unable to pay its debts is undisputed</w:t>
      </w:r>
      <w:r w:rsidR="00E166C1">
        <w:rPr>
          <w:rFonts w:ascii="Arial" w:hAnsi="Arial" w:cs="Arial"/>
          <w:sz w:val="24"/>
          <w:szCs w:val="24"/>
        </w:rPr>
        <w:t>.</w:t>
      </w:r>
      <w:r w:rsidR="00886880" w:rsidRPr="001F66F7">
        <w:rPr>
          <w:rFonts w:ascii="Arial" w:hAnsi="Arial" w:cs="Arial"/>
          <w:sz w:val="24"/>
          <w:szCs w:val="24"/>
        </w:rPr>
        <w:t xml:space="preserve"> </w:t>
      </w:r>
      <w:r w:rsidR="00E166C1">
        <w:rPr>
          <w:rFonts w:ascii="Arial" w:hAnsi="Arial" w:cs="Arial"/>
          <w:sz w:val="24"/>
          <w:szCs w:val="24"/>
        </w:rPr>
        <w:t>W</w:t>
      </w:r>
      <w:r w:rsidR="00886880" w:rsidRPr="001F66F7">
        <w:rPr>
          <w:rFonts w:ascii="Arial" w:hAnsi="Arial" w:cs="Arial"/>
          <w:sz w:val="24"/>
          <w:szCs w:val="24"/>
        </w:rPr>
        <w:t xml:space="preserve">hat has to be determined is whether </w:t>
      </w:r>
      <w:r w:rsidR="00EC407B">
        <w:rPr>
          <w:rFonts w:ascii="Arial" w:hAnsi="Arial" w:cs="Arial"/>
          <w:sz w:val="24"/>
          <w:szCs w:val="24"/>
        </w:rPr>
        <w:t xml:space="preserve">Nile </w:t>
      </w:r>
      <w:r w:rsidR="00B5090E">
        <w:rPr>
          <w:rFonts w:ascii="Arial" w:hAnsi="Arial" w:cs="Arial"/>
          <w:sz w:val="24"/>
          <w:szCs w:val="24"/>
        </w:rPr>
        <w:t>Dutch</w:t>
      </w:r>
      <w:r w:rsidR="00B5090E" w:rsidRPr="001F66F7">
        <w:rPr>
          <w:rFonts w:ascii="Arial" w:hAnsi="Arial" w:cs="Arial"/>
          <w:sz w:val="24"/>
          <w:szCs w:val="24"/>
        </w:rPr>
        <w:t xml:space="preserve"> has</w:t>
      </w:r>
      <w:r w:rsidR="00886880" w:rsidRPr="001F66F7">
        <w:rPr>
          <w:rFonts w:ascii="Arial" w:hAnsi="Arial" w:cs="Arial"/>
          <w:sz w:val="24"/>
          <w:szCs w:val="24"/>
        </w:rPr>
        <w:t xml:space="preserve"> a claim</w:t>
      </w:r>
      <w:r w:rsidR="000C0F4C" w:rsidRPr="001F66F7">
        <w:rPr>
          <w:rFonts w:ascii="Arial" w:hAnsi="Arial" w:cs="Arial"/>
          <w:sz w:val="24"/>
          <w:szCs w:val="24"/>
        </w:rPr>
        <w:t xml:space="preserve"> </w:t>
      </w:r>
      <w:r w:rsidR="00886880" w:rsidRPr="001F66F7">
        <w:rPr>
          <w:rFonts w:ascii="Arial" w:hAnsi="Arial" w:cs="Arial"/>
          <w:sz w:val="24"/>
          <w:szCs w:val="24"/>
        </w:rPr>
        <w:t xml:space="preserve">against </w:t>
      </w:r>
      <w:r w:rsidR="008048EB">
        <w:rPr>
          <w:rFonts w:ascii="Arial" w:hAnsi="Arial" w:cs="Arial"/>
          <w:sz w:val="24"/>
          <w:szCs w:val="24"/>
        </w:rPr>
        <w:t>Crystal Pier</w:t>
      </w:r>
      <w:r w:rsidR="00EB5D9D" w:rsidRPr="001F66F7">
        <w:rPr>
          <w:rFonts w:ascii="Arial" w:hAnsi="Arial" w:cs="Arial"/>
          <w:sz w:val="24"/>
          <w:szCs w:val="24"/>
        </w:rPr>
        <w:t xml:space="preserve"> and </w:t>
      </w:r>
      <w:r w:rsidR="0036761D" w:rsidRPr="001F66F7">
        <w:rPr>
          <w:rFonts w:ascii="Arial" w:hAnsi="Arial" w:cs="Arial"/>
          <w:sz w:val="24"/>
          <w:szCs w:val="24"/>
        </w:rPr>
        <w:t>whether the</w:t>
      </w:r>
      <w:r w:rsidR="009B154A" w:rsidRPr="001F66F7">
        <w:rPr>
          <w:rFonts w:ascii="Arial" w:hAnsi="Arial" w:cs="Arial"/>
          <w:sz w:val="24"/>
          <w:szCs w:val="24"/>
        </w:rPr>
        <w:t xml:space="preserve"> dispute of such claim </w:t>
      </w:r>
      <w:r w:rsidR="000018E1" w:rsidRPr="001F66F7">
        <w:rPr>
          <w:rFonts w:ascii="Arial" w:hAnsi="Arial" w:cs="Arial"/>
          <w:sz w:val="24"/>
          <w:szCs w:val="24"/>
        </w:rPr>
        <w:t>is reasonable</w:t>
      </w:r>
      <w:r w:rsidR="009B154A" w:rsidRPr="001F66F7">
        <w:rPr>
          <w:rFonts w:ascii="Arial" w:hAnsi="Arial" w:cs="Arial"/>
          <w:sz w:val="24"/>
          <w:szCs w:val="24"/>
        </w:rPr>
        <w:t xml:space="preserve"> and bona fide</w:t>
      </w:r>
      <w:r w:rsidR="00EB5D9D" w:rsidRPr="001F66F7">
        <w:rPr>
          <w:rFonts w:ascii="Arial" w:hAnsi="Arial" w:cs="Arial"/>
          <w:sz w:val="24"/>
          <w:szCs w:val="24"/>
        </w:rPr>
        <w:t>.</w:t>
      </w:r>
      <w:r w:rsidR="00886880" w:rsidRPr="001F66F7">
        <w:rPr>
          <w:rFonts w:ascii="Arial" w:hAnsi="Arial" w:cs="Arial"/>
          <w:sz w:val="24"/>
          <w:szCs w:val="24"/>
        </w:rPr>
        <w:t xml:space="preserve"> </w:t>
      </w:r>
      <w:r w:rsidR="0076092F">
        <w:rPr>
          <w:rFonts w:ascii="Arial" w:hAnsi="Arial" w:cs="Arial"/>
          <w:sz w:val="24"/>
          <w:szCs w:val="24"/>
        </w:rPr>
        <w:t>Nile Dutch</w:t>
      </w:r>
      <w:r w:rsidR="0076092F" w:rsidRPr="001F66F7">
        <w:rPr>
          <w:rFonts w:ascii="Arial" w:hAnsi="Arial" w:cs="Arial"/>
          <w:sz w:val="24"/>
          <w:szCs w:val="24"/>
        </w:rPr>
        <w:t xml:space="preserve"> </w:t>
      </w:r>
      <w:r w:rsidR="00B864A7" w:rsidRPr="001F66F7">
        <w:rPr>
          <w:rFonts w:ascii="Arial" w:hAnsi="Arial" w:cs="Arial"/>
          <w:sz w:val="24"/>
          <w:szCs w:val="24"/>
        </w:rPr>
        <w:t xml:space="preserve">argued that from </w:t>
      </w:r>
      <w:r w:rsidR="00A0250B" w:rsidRPr="001F66F7">
        <w:rPr>
          <w:rFonts w:ascii="Arial" w:hAnsi="Arial" w:cs="Arial"/>
          <w:sz w:val="24"/>
          <w:szCs w:val="24"/>
        </w:rPr>
        <w:t xml:space="preserve">the </w:t>
      </w:r>
      <w:r w:rsidR="00B864A7" w:rsidRPr="001F66F7">
        <w:rPr>
          <w:rFonts w:ascii="Arial" w:hAnsi="Arial" w:cs="Arial"/>
          <w:sz w:val="24"/>
          <w:szCs w:val="24"/>
        </w:rPr>
        <w:t>first phase of the application</w:t>
      </w:r>
      <w:r w:rsidR="00B24F53" w:rsidRPr="001F66F7">
        <w:rPr>
          <w:rFonts w:ascii="Arial" w:hAnsi="Arial" w:cs="Arial"/>
          <w:sz w:val="24"/>
          <w:szCs w:val="24"/>
        </w:rPr>
        <w:t>,</w:t>
      </w:r>
      <w:r w:rsidR="00B864A7" w:rsidRPr="001F66F7">
        <w:rPr>
          <w:rFonts w:ascii="Arial" w:hAnsi="Arial" w:cs="Arial"/>
          <w:sz w:val="24"/>
          <w:szCs w:val="24"/>
        </w:rPr>
        <w:t xml:space="preserve"> </w:t>
      </w:r>
      <w:r w:rsidR="00CE5E81">
        <w:rPr>
          <w:rFonts w:ascii="Arial" w:hAnsi="Arial" w:cs="Arial"/>
          <w:sz w:val="24"/>
          <w:szCs w:val="24"/>
        </w:rPr>
        <w:t>Crystal Pier</w:t>
      </w:r>
      <w:r w:rsidR="00886880" w:rsidRPr="001F66F7">
        <w:rPr>
          <w:rFonts w:ascii="Arial" w:hAnsi="Arial" w:cs="Arial"/>
          <w:sz w:val="24"/>
          <w:szCs w:val="24"/>
        </w:rPr>
        <w:t xml:space="preserve"> did not dispute that </w:t>
      </w:r>
      <w:r w:rsidR="00C02EF3">
        <w:rPr>
          <w:rFonts w:ascii="Arial" w:hAnsi="Arial" w:cs="Arial"/>
          <w:sz w:val="24"/>
          <w:szCs w:val="24"/>
        </w:rPr>
        <w:t>Nile Dutch</w:t>
      </w:r>
      <w:r w:rsidR="00C02EF3" w:rsidRPr="001F66F7">
        <w:rPr>
          <w:rFonts w:ascii="Arial" w:hAnsi="Arial" w:cs="Arial"/>
          <w:sz w:val="24"/>
          <w:szCs w:val="24"/>
        </w:rPr>
        <w:t xml:space="preserve"> </w:t>
      </w:r>
      <w:r w:rsidR="00886880" w:rsidRPr="001F66F7">
        <w:rPr>
          <w:rFonts w:ascii="Arial" w:hAnsi="Arial" w:cs="Arial"/>
          <w:sz w:val="24"/>
          <w:szCs w:val="24"/>
        </w:rPr>
        <w:t>had a claim</w:t>
      </w:r>
      <w:r w:rsidR="00B24F53" w:rsidRPr="001F66F7">
        <w:rPr>
          <w:rFonts w:ascii="Arial" w:hAnsi="Arial" w:cs="Arial"/>
          <w:sz w:val="24"/>
          <w:szCs w:val="24"/>
        </w:rPr>
        <w:t>,</w:t>
      </w:r>
      <w:r w:rsidR="000C0F4C" w:rsidRPr="001F66F7">
        <w:rPr>
          <w:rFonts w:ascii="Arial" w:hAnsi="Arial" w:cs="Arial"/>
          <w:sz w:val="24"/>
          <w:szCs w:val="24"/>
        </w:rPr>
        <w:t xml:space="preserve"> </w:t>
      </w:r>
      <w:r w:rsidR="005E10F6" w:rsidRPr="001F66F7">
        <w:rPr>
          <w:rFonts w:ascii="Arial" w:hAnsi="Arial" w:cs="Arial"/>
          <w:sz w:val="24"/>
          <w:szCs w:val="24"/>
        </w:rPr>
        <w:t xml:space="preserve">and the provisional </w:t>
      </w:r>
      <w:r w:rsidR="00E65EFC" w:rsidRPr="001F66F7">
        <w:rPr>
          <w:rFonts w:ascii="Arial" w:hAnsi="Arial" w:cs="Arial"/>
          <w:sz w:val="24"/>
          <w:szCs w:val="24"/>
        </w:rPr>
        <w:t xml:space="preserve">winding up </w:t>
      </w:r>
      <w:r w:rsidR="005E10F6" w:rsidRPr="001F66F7">
        <w:rPr>
          <w:rFonts w:ascii="Arial" w:hAnsi="Arial" w:cs="Arial"/>
          <w:sz w:val="24"/>
          <w:szCs w:val="24"/>
        </w:rPr>
        <w:t>order was granted</w:t>
      </w:r>
      <w:r w:rsidR="00B24F53" w:rsidRPr="001F66F7">
        <w:rPr>
          <w:rFonts w:ascii="Arial" w:hAnsi="Arial" w:cs="Arial"/>
          <w:sz w:val="24"/>
          <w:szCs w:val="24"/>
        </w:rPr>
        <w:t>.</w:t>
      </w:r>
      <w:r w:rsidR="00886880" w:rsidRPr="001F66F7">
        <w:rPr>
          <w:rFonts w:ascii="Arial" w:hAnsi="Arial" w:cs="Arial"/>
          <w:sz w:val="24"/>
          <w:szCs w:val="24"/>
        </w:rPr>
        <w:t xml:space="preserve"> </w:t>
      </w:r>
      <w:r w:rsidR="00B24F53" w:rsidRPr="001F66F7">
        <w:rPr>
          <w:rFonts w:ascii="Arial" w:hAnsi="Arial" w:cs="Arial"/>
          <w:sz w:val="24"/>
          <w:szCs w:val="24"/>
        </w:rPr>
        <w:t xml:space="preserve">It was </w:t>
      </w:r>
      <w:r w:rsidR="00886880" w:rsidRPr="001F66F7">
        <w:rPr>
          <w:rFonts w:ascii="Arial" w:hAnsi="Arial" w:cs="Arial"/>
          <w:sz w:val="24"/>
          <w:szCs w:val="24"/>
        </w:rPr>
        <w:t>on</w:t>
      </w:r>
      <w:r w:rsidR="005E10F6" w:rsidRPr="001F66F7">
        <w:rPr>
          <w:rFonts w:ascii="Arial" w:hAnsi="Arial" w:cs="Arial"/>
          <w:sz w:val="24"/>
          <w:szCs w:val="24"/>
        </w:rPr>
        <w:t>ly</w:t>
      </w:r>
      <w:r w:rsidR="000C0F4C" w:rsidRPr="001F66F7">
        <w:rPr>
          <w:rFonts w:ascii="Arial" w:hAnsi="Arial" w:cs="Arial"/>
          <w:sz w:val="24"/>
          <w:szCs w:val="24"/>
        </w:rPr>
        <w:t xml:space="preserve"> </w:t>
      </w:r>
      <w:r w:rsidR="005E10F6" w:rsidRPr="001F66F7">
        <w:rPr>
          <w:rFonts w:ascii="Arial" w:hAnsi="Arial" w:cs="Arial"/>
          <w:sz w:val="24"/>
          <w:szCs w:val="24"/>
        </w:rPr>
        <w:t>when the rul</w:t>
      </w:r>
      <w:r w:rsidR="008556D3" w:rsidRPr="001F66F7">
        <w:rPr>
          <w:rFonts w:ascii="Arial" w:hAnsi="Arial" w:cs="Arial"/>
          <w:sz w:val="24"/>
          <w:szCs w:val="24"/>
        </w:rPr>
        <w:t>e</w:t>
      </w:r>
      <w:r w:rsidR="005E10F6" w:rsidRPr="001F66F7">
        <w:rPr>
          <w:rFonts w:ascii="Arial" w:hAnsi="Arial" w:cs="Arial"/>
          <w:sz w:val="24"/>
          <w:szCs w:val="24"/>
        </w:rPr>
        <w:t xml:space="preserve"> nisi was issued</w:t>
      </w:r>
      <w:r w:rsidR="00B24F53" w:rsidRPr="001F66F7">
        <w:rPr>
          <w:rFonts w:ascii="Arial" w:hAnsi="Arial" w:cs="Arial"/>
          <w:sz w:val="24"/>
          <w:szCs w:val="24"/>
        </w:rPr>
        <w:t>, that</w:t>
      </w:r>
      <w:r w:rsidR="005E10F6" w:rsidRPr="001F66F7">
        <w:rPr>
          <w:rFonts w:ascii="Arial" w:hAnsi="Arial" w:cs="Arial"/>
          <w:sz w:val="24"/>
          <w:szCs w:val="24"/>
        </w:rPr>
        <w:t xml:space="preserve"> </w:t>
      </w:r>
      <w:r w:rsidR="00886880" w:rsidRPr="001F66F7">
        <w:rPr>
          <w:rFonts w:ascii="Arial" w:hAnsi="Arial" w:cs="Arial"/>
          <w:sz w:val="24"/>
          <w:szCs w:val="24"/>
        </w:rPr>
        <w:t xml:space="preserve">the lack of </w:t>
      </w:r>
      <w:r w:rsidR="001E7E8F" w:rsidRPr="001F66F7">
        <w:rPr>
          <w:rFonts w:ascii="Arial" w:hAnsi="Arial" w:cs="Arial"/>
          <w:sz w:val="24"/>
          <w:szCs w:val="24"/>
        </w:rPr>
        <w:t xml:space="preserve">a </w:t>
      </w:r>
      <w:r w:rsidR="00886880" w:rsidRPr="001F66F7">
        <w:rPr>
          <w:rFonts w:ascii="Arial" w:hAnsi="Arial" w:cs="Arial"/>
          <w:sz w:val="24"/>
          <w:szCs w:val="24"/>
        </w:rPr>
        <w:t>claim was rai</w:t>
      </w:r>
      <w:r w:rsidR="00D308AC" w:rsidRPr="001F66F7">
        <w:rPr>
          <w:rFonts w:ascii="Arial" w:hAnsi="Arial" w:cs="Arial"/>
          <w:sz w:val="24"/>
          <w:szCs w:val="24"/>
        </w:rPr>
        <w:t>sed as a ground for opposition.</w:t>
      </w:r>
      <w:r w:rsidR="000C0F4C" w:rsidRPr="001F66F7">
        <w:rPr>
          <w:rFonts w:ascii="Arial" w:hAnsi="Arial" w:cs="Arial"/>
          <w:sz w:val="24"/>
          <w:szCs w:val="24"/>
        </w:rPr>
        <w:t xml:space="preserve"> </w:t>
      </w:r>
    </w:p>
    <w:p w:rsidR="001C0FFF" w:rsidRPr="001F66F7" w:rsidRDefault="001C0FFF" w:rsidP="001F66F7">
      <w:pPr>
        <w:spacing w:after="0" w:line="360" w:lineRule="auto"/>
        <w:contextualSpacing/>
        <w:jc w:val="both"/>
        <w:rPr>
          <w:rFonts w:ascii="Arial" w:hAnsi="Arial" w:cs="Arial"/>
          <w:sz w:val="24"/>
          <w:szCs w:val="24"/>
        </w:rPr>
      </w:pPr>
    </w:p>
    <w:p w:rsidR="009F6D1F" w:rsidRPr="001F66F7" w:rsidRDefault="001C0FFF"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F10444" w:rsidRPr="001F66F7">
        <w:rPr>
          <w:rFonts w:ascii="Arial" w:hAnsi="Arial" w:cs="Arial"/>
          <w:sz w:val="24"/>
          <w:szCs w:val="24"/>
        </w:rPr>
        <w:t>25</w:t>
      </w:r>
      <w:r w:rsidRPr="001F66F7">
        <w:rPr>
          <w:rFonts w:ascii="Arial" w:hAnsi="Arial" w:cs="Arial"/>
          <w:sz w:val="24"/>
          <w:szCs w:val="24"/>
        </w:rPr>
        <w:t>]</w:t>
      </w:r>
      <w:r w:rsidRPr="001F66F7">
        <w:rPr>
          <w:rFonts w:ascii="Arial" w:hAnsi="Arial" w:cs="Arial"/>
          <w:sz w:val="24"/>
          <w:szCs w:val="24"/>
        </w:rPr>
        <w:tab/>
      </w:r>
      <w:r w:rsidR="00F5372F">
        <w:rPr>
          <w:rFonts w:ascii="Arial" w:hAnsi="Arial" w:cs="Arial"/>
          <w:sz w:val="24"/>
          <w:szCs w:val="24"/>
        </w:rPr>
        <w:t>Crystal Pier’s</w:t>
      </w:r>
      <w:r w:rsidR="00D11BE1" w:rsidRPr="001F66F7">
        <w:rPr>
          <w:rFonts w:ascii="Arial" w:hAnsi="Arial" w:cs="Arial"/>
          <w:sz w:val="24"/>
          <w:szCs w:val="24"/>
        </w:rPr>
        <w:t xml:space="preserve"> le</w:t>
      </w:r>
      <w:r w:rsidR="00C15EDA" w:rsidRPr="001F66F7">
        <w:rPr>
          <w:rFonts w:ascii="Arial" w:hAnsi="Arial" w:cs="Arial"/>
          <w:sz w:val="24"/>
          <w:szCs w:val="24"/>
        </w:rPr>
        <w:t>gal representative</w:t>
      </w:r>
      <w:r w:rsidR="00971E48">
        <w:rPr>
          <w:rFonts w:ascii="Arial" w:hAnsi="Arial" w:cs="Arial"/>
          <w:sz w:val="24"/>
          <w:szCs w:val="24"/>
        </w:rPr>
        <w:t>,</w:t>
      </w:r>
      <w:r w:rsidR="00C15EDA" w:rsidRPr="001F66F7">
        <w:rPr>
          <w:rFonts w:ascii="Arial" w:hAnsi="Arial" w:cs="Arial"/>
          <w:sz w:val="24"/>
          <w:szCs w:val="24"/>
        </w:rPr>
        <w:t xml:space="preserve"> </w:t>
      </w:r>
      <w:r w:rsidR="00D308AC" w:rsidRPr="001F66F7">
        <w:rPr>
          <w:rFonts w:ascii="Arial" w:hAnsi="Arial" w:cs="Arial"/>
          <w:sz w:val="24"/>
          <w:szCs w:val="24"/>
        </w:rPr>
        <w:t>during argument</w:t>
      </w:r>
      <w:r w:rsidR="00971E48">
        <w:rPr>
          <w:rFonts w:ascii="Arial" w:hAnsi="Arial" w:cs="Arial"/>
          <w:sz w:val="24"/>
          <w:szCs w:val="24"/>
        </w:rPr>
        <w:t>,</w:t>
      </w:r>
      <w:r w:rsidR="00D308AC" w:rsidRPr="001F66F7">
        <w:rPr>
          <w:rFonts w:ascii="Arial" w:hAnsi="Arial" w:cs="Arial"/>
          <w:sz w:val="24"/>
          <w:szCs w:val="24"/>
        </w:rPr>
        <w:t xml:space="preserve"> did not dispute that</w:t>
      </w:r>
      <w:r w:rsidR="000C0F4C" w:rsidRPr="001F66F7">
        <w:rPr>
          <w:rFonts w:ascii="Arial" w:hAnsi="Arial" w:cs="Arial"/>
          <w:sz w:val="24"/>
          <w:szCs w:val="24"/>
        </w:rPr>
        <w:t xml:space="preserve"> </w:t>
      </w:r>
      <w:r w:rsidR="00D308AC" w:rsidRPr="001F66F7">
        <w:rPr>
          <w:rFonts w:ascii="Arial" w:hAnsi="Arial" w:cs="Arial"/>
          <w:sz w:val="24"/>
          <w:szCs w:val="24"/>
        </w:rPr>
        <w:t>there were a numbe</w:t>
      </w:r>
      <w:r w:rsidR="00C15EDA" w:rsidRPr="001F66F7">
        <w:rPr>
          <w:rFonts w:ascii="Arial" w:hAnsi="Arial" w:cs="Arial"/>
          <w:sz w:val="24"/>
          <w:szCs w:val="24"/>
        </w:rPr>
        <w:t xml:space="preserve">r of opportunities in which </w:t>
      </w:r>
      <w:r w:rsidR="00971E48">
        <w:rPr>
          <w:rFonts w:ascii="Arial" w:hAnsi="Arial" w:cs="Arial"/>
          <w:sz w:val="24"/>
          <w:szCs w:val="24"/>
        </w:rPr>
        <w:t>Crystal Pier</w:t>
      </w:r>
      <w:r w:rsidR="00EB5D9D" w:rsidRPr="001F66F7">
        <w:rPr>
          <w:rFonts w:ascii="Arial" w:hAnsi="Arial" w:cs="Arial"/>
          <w:sz w:val="24"/>
          <w:szCs w:val="24"/>
        </w:rPr>
        <w:t xml:space="preserve"> </w:t>
      </w:r>
      <w:r w:rsidR="00C15EDA" w:rsidRPr="001F66F7">
        <w:rPr>
          <w:rFonts w:ascii="Arial" w:hAnsi="Arial" w:cs="Arial"/>
          <w:sz w:val="24"/>
          <w:szCs w:val="24"/>
        </w:rPr>
        <w:t xml:space="preserve">could have averred that </w:t>
      </w:r>
      <w:r w:rsidR="00BF208A">
        <w:rPr>
          <w:rFonts w:ascii="Arial" w:hAnsi="Arial" w:cs="Arial"/>
          <w:sz w:val="24"/>
          <w:szCs w:val="24"/>
        </w:rPr>
        <w:t>Nile Dutch</w:t>
      </w:r>
      <w:r w:rsidR="00BF208A" w:rsidRPr="001F66F7">
        <w:rPr>
          <w:rFonts w:ascii="Arial" w:hAnsi="Arial" w:cs="Arial"/>
          <w:sz w:val="24"/>
          <w:szCs w:val="24"/>
        </w:rPr>
        <w:t xml:space="preserve"> </w:t>
      </w:r>
      <w:r w:rsidR="00C15EDA" w:rsidRPr="001F66F7">
        <w:rPr>
          <w:rFonts w:ascii="Arial" w:hAnsi="Arial" w:cs="Arial"/>
          <w:sz w:val="24"/>
          <w:szCs w:val="24"/>
        </w:rPr>
        <w:t>has no claim</w:t>
      </w:r>
      <w:r w:rsidR="000C0F4C" w:rsidRPr="001F66F7">
        <w:rPr>
          <w:rFonts w:ascii="Arial" w:hAnsi="Arial" w:cs="Arial"/>
          <w:sz w:val="24"/>
          <w:szCs w:val="24"/>
        </w:rPr>
        <w:t xml:space="preserve"> </w:t>
      </w:r>
      <w:r w:rsidR="00C15EDA" w:rsidRPr="001F66F7">
        <w:rPr>
          <w:rFonts w:ascii="Arial" w:hAnsi="Arial" w:cs="Arial"/>
          <w:sz w:val="24"/>
          <w:szCs w:val="24"/>
        </w:rPr>
        <w:t>but chose not to</w:t>
      </w:r>
      <w:r w:rsidR="001E7E8F" w:rsidRPr="001F66F7">
        <w:rPr>
          <w:rFonts w:ascii="Arial" w:hAnsi="Arial" w:cs="Arial"/>
          <w:sz w:val="24"/>
          <w:szCs w:val="24"/>
        </w:rPr>
        <w:t>;</w:t>
      </w:r>
      <w:r w:rsidR="00C15EDA" w:rsidRPr="001F66F7">
        <w:rPr>
          <w:rFonts w:ascii="Arial" w:hAnsi="Arial" w:cs="Arial"/>
          <w:sz w:val="24"/>
          <w:szCs w:val="24"/>
        </w:rPr>
        <w:t xml:space="preserve"> instead </w:t>
      </w:r>
      <w:r w:rsidR="00F40504">
        <w:rPr>
          <w:rFonts w:ascii="Arial" w:hAnsi="Arial" w:cs="Arial"/>
          <w:sz w:val="24"/>
          <w:szCs w:val="24"/>
        </w:rPr>
        <w:t>Crystal Pier</w:t>
      </w:r>
      <w:r w:rsidR="00F40504" w:rsidRPr="001F66F7">
        <w:rPr>
          <w:rFonts w:ascii="Arial" w:hAnsi="Arial" w:cs="Arial"/>
          <w:sz w:val="24"/>
          <w:szCs w:val="24"/>
        </w:rPr>
        <w:t xml:space="preserve"> </w:t>
      </w:r>
      <w:r w:rsidR="00C15EDA" w:rsidRPr="001F66F7">
        <w:rPr>
          <w:rFonts w:ascii="Arial" w:hAnsi="Arial" w:cs="Arial"/>
          <w:sz w:val="24"/>
          <w:szCs w:val="24"/>
        </w:rPr>
        <w:t>opposed the application</w:t>
      </w:r>
      <w:r w:rsidR="00465460" w:rsidRPr="001F66F7">
        <w:rPr>
          <w:rFonts w:ascii="Arial" w:hAnsi="Arial" w:cs="Arial"/>
          <w:sz w:val="24"/>
          <w:szCs w:val="24"/>
        </w:rPr>
        <w:t>,</w:t>
      </w:r>
      <w:r w:rsidR="00C15EDA" w:rsidRPr="001F66F7">
        <w:rPr>
          <w:rFonts w:ascii="Arial" w:hAnsi="Arial" w:cs="Arial"/>
          <w:sz w:val="24"/>
          <w:szCs w:val="24"/>
        </w:rPr>
        <w:t xml:space="preserve"> mainly on the ground that it had a counterclaim</w:t>
      </w:r>
      <w:r w:rsidR="006740BF" w:rsidRPr="001F66F7">
        <w:rPr>
          <w:rFonts w:ascii="Arial" w:hAnsi="Arial" w:cs="Arial"/>
          <w:sz w:val="24"/>
          <w:szCs w:val="24"/>
        </w:rPr>
        <w:t>.</w:t>
      </w:r>
      <w:r w:rsidR="00C15EDA" w:rsidRPr="001F66F7">
        <w:rPr>
          <w:rFonts w:ascii="Arial" w:hAnsi="Arial" w:cs="Arial"/>
          <w:sz w:val="24"/>
          <w:szCs w:val="24"/>
        </w:rPr>
        <w:t xml:space="preserve"> </w:t>
      </w:r>
      <w:r w:rsidR="00C71D39" w:rsidRPr="001F66F7">
        <w:rPr>
          <w:rFonts w:ascii="Arial" w:hAnsi="Arial" w:cs="Arial"/>
          <w:sz w:val="24"/>
          <w:szCs w:val="24"/>
        </w:rPr>
        <w:t xml:space="preserve">The  counterclaim which </w:t>
      </w:r>
      <w:r w:rsidR="00490255" w:rsidRPr="001F66F7">
        <w:rPr>
          <w:rFonts w:ascii="Arial" w:hAnsi="Arial" w:cs="Arial"/>
          <w:sz w:val="24"/>
          <w:szCs w:val="24"/>
        </w:rPr>
        <w:t>is now</w:t>
      </w:r>
      <w:r w:rsidR="00C71D39" w:rsidRPr="001F66F7">
        <w:rPr>
          <w:rFonts w:ascii="Arial" w:hAnsi="Arial" w:cs="Arial"/>
          <w:sz w:val="24"/>
          <w:szCs w:val="24"/>
        </w:rPr>
        <w:t xml:space="preserve"> said to have been mischaracterised by </w:t>
      </w:r>
      <w:r w:rsidR="002773D0">
        <w:rPr>
          <w:rFonts w:ascii="Arial" w:hAnsi="Arial" w:cs="Arial"/>
          <w:sz w:val="24"/>
          <w:szCs w:val="24"/>
        </w:rPr>
        <w:t>Ms Maddocks</w:t>
      </w:r>
      <w:r w:rsidR="00C71D39" w:rsidRPr="001F66F7">
        <w:rPr>
          <w:rFonts w:ascii="Arial" w:hAnsi="Arial" w:cs="Arial"/>
          <w:sz w:val="24"/>
          <w:szCs w:val="24"/>
        </w:rPr>
        <w:t xml:space="preserve"> to reflect an after –fact offset rather than a contemporaneous set off which would have occurred by operation of the </w:t>
      </w:r>
      <w:r w:rsidR="00332EE8" w:rsidRPr="001F66F7">
        <w:rPr>
          <w:rFonts w:ascii="Arial" w:hAnsi="Arial" w:cs="Arial"/>
          <w:sz w:val="24"/>
          <w:szCs w:val="24"/>
        </w:rPr>
        <w:t>billing</w:t>
      </w:r>
      <w:r w:rsidR="00C71D39" w:rsidRPr="001F66F7">
        <w:rPr>
          <w:rFonts w:ascii="Arial" w:hAnsi="Arial" w:cs="Arial"/>
          <w:sz w:val="24"/>
          <w:szCs w:val="24"/>
        </w:rPr>
        <w:t xml:space="preserve"> process employed by</w:t>
      </w:r>
      <w:r w:rsidR="00AB76E2">
        <w:rPr>
          <w:rFonts w:ascii="Arial" w:hAnsi="Arial" w:cs="Arial"/>
          <w:sz w:val="24"/>
          <w:szCs w:val="24"/>
        </w:rPr>
        <w:t xml:space="preserve"> the</w:t>
      </w:r>
      <w:r w:rsidR="00C71D39" w:rsidRPr="001F66F7">
        <w:rPr>
          <w:rFonts w:ascii="Arial" w:hAnsi="Arial" w:cs="Arial"/>
          <w:sz w:val="24"/>
          <w:szCs w:val="24"/>
        </w:rPr>
        <w:t xml:space="preserve"> parties when </w:t>
      </w:r>
      <w:r w:rsidR="00AB76E2">
        <w:rPr>
          <w:rFonts w:ascii="Arial" w:hAnsi="Arial" w:cs="Arial"/>
          <w:sz w:val="24"/>
          <w:szCs w:val="24"/>
        </w:rPr>
        <w:t>Crystal Pier</w:t>
      </w:r>
      <w:r w:rsidR="00EB5D9D" w:rsidRPr="001F66F7">
        <w:rPr>
          <w:rFonts w:ascii="Arial" w:hAnsi="Arial" w:cs="Arial"/>
          <w:sz w:val="24"/>
          <w:szCs w:val="24"/>
        </w:rPr>
        <w:t xml:space="preserve"> was </w:t>
      </w:r>
      <w:r w:rsidR="00AB76E2">
        <w:rPr>
          <w:rFonts w:ascii="Arial" w:hAnsi="Arial" w:cs="Arial"/>
          <w:sz w:val="24"/>
          <w:szCs w:val="24"/>
        </w:rPr>
        <w:t>Nile Dutch’s</w:t>
      </w:r>
      <w:r w:rsidR="00C71D39" w:rsidRPr="001F66F7">
        <w:rPr>
          <w:rFonts w:ascii="Arial" w:hAnsi="Arial" w:cs="Arial"/>
          <w:sz w:val="24"/>
          <w:szCs w:val="24"/>
        </w:rPr>
        <w:t xml:space="preserve"> agen</w:t>
      </w:r>
      <w:r w:rsidR="00813A0F" w:rsidRPr="001F66F7">
        <w:rPr>
          <w:rFonts w:ascii="Arial" w:hAnsi="Arial" w:cs="Arial"/>
          <w:sz w:val="24"/>
          <w:szCs w:val="24"/>
        </w:rPr>
        <w:t>t</w:t>
      </w:r>
      <w:r w:rsidR="00C43FA1" w:rsidRPr="001F66F7">
        <w:rPr>
          <w:rFonts w:ascii="Arial" w:hAnsi="Arial" w:cs="Arial"/>
          <w:sz w:val="24"/>
          <w:szCs w:val="24"/>
        </w:rPr>
        <w:t>. In essence</w:t>
      </w:r>
      <w:r w:rsidR="002773D0">
        <w:rPr>
          <w:rFonts w:ascii="Arial" w:hAnsi="Arial" w:cs="Arial"/>
          <w:sz w:val="24"/>
          <w:szCs w:val="24"/>
        </w:rPr>
        <w:t>,</w:t>
      </w:r>
      <w:r w:rsidR="00C43FA1" w:rsidRPr="001F66F7">
        <w:rPr>
          <w:rFonts w:ascii="Arial" w:hAnsi="Arial" w:cs="Arial"/>
          <w:sz w:val="24"/>
          <w:szCs w:val="24"/>
        </w:rPr>
        <w:t xml:space="preserve"> what</w:t>
      </w:r>
      <w:r w:rsidR="000018E1" w:rsidRPr="001F66F7">
        <w:rPr>
          <w:rFonts w:ascii="Arial" w:hAnsi="Arial" w:cs="Arial"/>
          <w:sz w:val="24"/>
          <w:szCs w:val="24"/>
        </w:rPr>
        <w:t xml:space="preserve"> </w:t>
      </w:r>
      <w:r w:rsidR="002773D0">
        <w:rPr>
          <w:rFonts w:ascii="Arial" w:hAnsi="Arial" w:cs="Arial"/>
          <w:sz w:val="24"/>
          <w:szCs w:val="24"/>
        </w:rPr>
        <w:t>Crys</w:t>
      </w:r>
      <w:r w:rsidR="00AB76E2">
        <w:rPr>
          <w:rFonts w:ascii="Arial" w:hAnsi="Arial" w:cs="Arial"/>
          <w:sz w:val="24"/>
          <w:szCs w:val="24"/>
        </w:rPr>
        <w:t>t</w:t>
      </w:r>
      <w:r w:rsidR="002773D0">
        <w:rPr>
          <w:rFonts w:ascii="Arial" w:hAnsi="Arial" w:cs="Arial"/>
          <w:sz w:val="24"/>
          <w:szCs w:val="24"/>
        </w:rPr>
        <w:t>al Pier</w:t>
      </w:r>
      <w:r w:rsidR="00C43FA1" w:rsidRPr="001F66F7">
        <w:rPr>
          <w:rFonts w:ascii="Arial" w:hAnsi="Arial" w:cs="Arial"/>
          <w:sz w:val="24"/>
          <w:szCs w:val="24"/>
        </w:rPr>
        <w:t xml:space="preserve"> is </w:t>
      </w:r>
      <w:r w:rsidR="000018E1" w:rsidRPr="001F66F7">
        <w:rPr>
          <w:rFonts w:ascii="Arial" w:hAnsi="Arial" w:cs="Arial"/>
          <w:sz w:val="24"/>
          <w:szCs w:val="24"/>
        </w:rPr>
        <w:t>arguing</w:t>
      </w:r>
      <w:r w:rsidR="00C43FA1" w:rsidRPr="001F66F7">
        <w:rPr>
          <w:rFonts w:ascii="Arial" w:hAnsi="Arial" w:cs="Arial"/>
          <w:sz w:val="24"/>
          <w:szCs w:val="24"/>
        </w:rPr>
        <w:t xml:space="preserve"> is that </w:t>
      </w:r>
      <w:r w:rsidR="002773D0">
        <w:rPr>
          <w:rFonts w:ascii="Arial" w:hAnsi="Arial" w:cs="Arial"/>
          <w:sz w:val="24"/>
          <w:szCs w:val="24"/>
        </w:rPr>
        <w:t>Nile Dutch</w:t>
      </w:r>
      <w:r w:rsidR="00C43FA1" w:rsidRPr="001F66F7">
        <w:rPr>
          <w:rFonts w:ascii="Arial" w:hAnsi="Arial" w:cs="Arial"/>
          <w:sz w:val="24"/>
          <w:szCs w:val="24"/>
        </w:rPr>
        <w:t xml:space="preserve"> is the one that </w:t>
      </w:r>
      <w:r w:rsidR="002773D0">
        <w:rPr>
          <w:rFonts w:ascii="Arial" w:hAnsi="Arial" w:cs="Arial"/>
          <w:sz w:val="24"/>
          <w:szCs w:val="24"/>
        </w:rPr>
        <w:t xml:space="preserve">is </w:t>
      </w:r>
      <w:r w:rsidR="00C43FA1" w:rsidRPr="001F66F7">
        <w:rPr>
          <w:rFonts w:ascii="Arial" w:hAnsi="Arial" w:cs="Arial"/>
          <w:sz w:val="24"/>
          <w:szCs w:val="24"/>
        </w:rPr>
        <w:t>indebted to it.</w:t>
      </w:r>
    </w:p>
    <w:p w:rsidR="001C0FFF" w:rsidRPr="001F66F7" w:rsidRDefault="001C0FFF" w:rsidP="001F66F7">
      <w:pPr>
        <w:spacing w:after="0" w:line="360" w:lineRule="auto"/>
        <w:contextualSpacing/>
        <w:jc w:val="both"/>
        <w:rPr>
          <w:rFonts w:ascii="Arial" w:hAnsi="Arial" w:cs="Arial"/>
          <w:sz w:val="24"/>
          <w:szCs w:val="24"/>
        </w:rPr>
      </w:pPr>
    </w:p>
    <w:p w:rsidR="00E65EFC" w:rsidRPr="001F66F7" w:rsidRDefault="001C0FFF" w:rsidP="001F66F7">
      <w:pPr>
        <w:pStyle w:val="western"/>
        <w:shd w:val="clear" w:color="auto" w:fill="FFFFFF"/>
        <w:spacing w:before="0" w:beforeAutospacing="0" w:after="0" w:afterAutospacing="0" w:line="360" w:lineRule="auto"/>
        <w:contextualSpacing/>
        <w:jc w:val="both"/>
        <w:rPr>
          <w:rFonts w:ascii="Arial" w:hAnsi="Arial" w:cs="Arial"/>
          <w:color w:val="242121"/>
          <w:lang w:val="en-ZA"/>
        </w:rPr>
      </w:pPr>
      <w:r w:rsidRPr="001F66F7">
        <w:rPr>
          <w:rFonts w:ascii="Arial" w:hAnsi="Arial" w:cs="Arial"/>
        </w:rPr>
        <w:t>[</w:t>
      </w:r>
      <w:r w:rsidR="00F10444" w:rsidRPr="001F66F7">
        <w:rPr>
          <w:rFonts w:ascii="Arial" w:hAnsi="Arial" w:cs="Arial"/>
        </w:rPr>
        <w:t>26</w:t>
      </w:r>
      <w:r w:rsidRPr="001F66F7">
        <w:rPr>
          <w:rFonts w:ascii="Arial" w:hAnsi="Arial" w:cs="Arial"/>
        </w:rPr>
        <w:t>]</w:t>
      </w:r>
      <w:r w:rsidRPr="001F66F7">
        <w:rPr>
          <w:rFonts w:ascii="Arial" w:hAnsi="Arial" w:cs="Arial"/>
        </w:rPr>
        <w:tab/>
      </w:r>
      <w:r w:rsidR="007D0718">
        <w:rPr>
          <w:rFonts w:ascii="Arial" w:hAnsi="Arial" w:cs="Arial"/>
          <w:color w:val="242121"/>
          <w:lang w:val="en-ZA"/>
        </w:rPr>
        <w:t>Crystal Pier’s</w:t>
      </w:r>
      <w:r w:rsidR="00E65EFC" w:rsidRPr="001F66F7">
        <w:rPr>
          <w:rFonts w:ascii="Arial" w:hAnsi="Arial" w:cs="Arial"/>
          <w:color w:val="242121"/>
          <w:lang w:val="en-ZA"/>
        </w:rPr>
        <w:t xml:space="preserve"> counsel argued that Mr Parsad was ill-advised into accepting </w:t>
      </w:r>
      <w:r w:rsidR="001B27EE" w:rsidRPr="001F66F7">
        <w:rPr>
          <w:rFonts w:ascii="Arial" w:hAnsi="Arial" w:cs="Arial"/>
          <w:color w:val="242121"/>
          <w:lang w:val="en-ZA"/>
        </w:rPr>
        <w:t xml:space="preserve">that </w:t>
      </w:r>
      <w:r w:rsidR="00F83501">
        <w:rPr>
          <w:rFonts w:ascii="Arial" w:hAnsi="Arial" w:cs="Arial"/>
          <w:color w:val="242121"/>
          <w:lang w:val="en-ZA"/>
        </w:rPr>
        <w:t>Nile Dutch</w:t>
      </w:r>
      <w:r w:rsidR="001B27EE" w:rsidRPr="001F66F7">
        <w:rPr>
          <w:rFonts w:ascii="Arial" w:hAnsi="Arial" w:cs="Arial"/>
          <w:color w:val="242121"/>
          <w:lang w:val="en-ZA"/>
        </w:rPr>
        <w:t xml:space="preserve"> has</w:t>
      </w:r>
      <w:r w:rsidR="00E65EFC" w:rsidRPr="001F66F7">
        <w:rPr>
          <w:rFonts w:ascii="Arial" w:hAnsi="Arial" w:cs="Arial"/>
          <w:color w:val="242121"/>
          <w:lang w:val="en-ZA"/>
        </w:rPr>
        <w:t xml:space="preserve"> a claim against Crystal Pier and that the court will have to hear oral evidence to make a determination as to whether such assertion is true. Referring the matter to oral evidence was vehemently opposed </w:t>
      </w:r>
      <w:r w:rsidR="000018E1" w:rsidRPr="001F66F7">
        <w:rPr>
          <w:rFonts w:ascii="Arial" w:hAnsi="Arial" w:cs="Arial"/>
          <w:color w:val="242121"/>
          <w:lang w:val="en-ZA"/>
        </w:rPr>
        <w:t xml:space="preserve">by </w:t>
      </w:r>
      <w:r w:rsidR="00F83501">
        <w:rPr>
          <w:rFonts w:ascii="Arial" w:hAnsi="Arial" w:cs="Arial"/>
          <w:color w:val="242121"/>
          <w:lang w:val="en-ZA"/>
        </w:rPr>
        <w:t>Nile Dutch</w:t>
      </w:r>
      <w:r w:rsidR="005C7D42" w:rsidRPr="001F66F7">
        <w:rPr>
          <w:rFonts w:ascii="Arial" w:hAnsi="Arial" w:cs="Arial"/>
          <w:color w:val="242121"/>
          <w:lang w:val="en-ZA"/>
        </w:rPr>
        <w:t xml:space="preserve">, </w:t>
      </w:r>
      <w:r w:rsidR="00F83501">
        <w:rPr>
          <w:rFonts w:ascii="Arial" w:hAnsi="Arial" w:cs="Arial"/>
          <w:color w:val="242121"/>
          <w:lang w:val="en-ZA"/>
        </w:rPr>
        <w:t xml:space="preserve">as </w:t>
      </w:r>
      <w:r w:rsidR="005C7D42" w:rsidRPr="001F66F7">
        <w:rPr>
          <w:rFonts w:ascii="Arial" w:hAnsi="Arial" w:cs="Arial"/>
          <w:color w:val="242121"/>
          <w:lang w:val="en-ZA"/>
        </w:rPr>
        <w:t>it</w:t>
      </w:r>
      <w:r w:rsidR="000018E1" w:rsidRPr="001F66F7">
        <w:rPr>
          <w:rFonts w:ascii="Arial" w:hAnsi="Arial" w:cs="Arial"/>
          <w:color w:val="242121"/>
          <w:lang w:val="en-ZA"/>
        </w:rPr>
        <w:t xml:space="preserve"> </w:t>
      </w:r>
      <w:r w:rsidR="00E65EFC" w:rsidRPr="001F66F7">
        <w:rPr>
          <w:rFonts w:ascii="Arial" w:hAnsi="Arial" w:cs="Arial"/>
          <w:color w:val="242121"/>
          <w:lang w:val="en-ZA"/>
        </w:rPr>
        <w:t>was of the view that such determination can be made on the consideration of the papers.</w:t>
      </w:r>
    </w:p>
    <w:p w:rsidR="001C0FFF" w:rsidRPr="001F66F7" w:rsidRDefault="001C0FFF" w:rsidP="001F66F7">
      <w:pPr>
        <w:spacing w:after="0" w:line="360" w:lineRule="auto"/>
        <w:contextualSpacing/>
        <w:jc w:val="both"/>
        <w:rPr>
          <w:rFonts w:ascii="Arial" w:hAnsi="Arial" w:cs="Arial"/>
          <w:sz w:val="24"/>
          <w:szCs w:val="24"/>
        </w:rPr>
      </w:pPr>
    </w:p>
    <w:p w:rsidR="00397E31" w:rsidRPr="001F66F7" w:rsidRDefault="001C0FFF"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F10444" w:rsidRPr="001F66F7">
        <w:rPr>
          <w:rFonts w:ascii="Arial" w:hAnsi="Arial" w:cs="Arial"/>
          <w:sz w:val="24"/>
          <w:szCs w:val="24"/>
        </w:rPr>
        <w:t>27</w:t>
      </w:r>
      <w:r w:rsidRPr="001F66F7">
        <w:rPr>
          <w:rFonts w:ascii="Arial" w:hAnsi="Arial" w:cs="Arial"/>
          <w:sz w:val="24"/>
          <w:szCs w:val="24"/>
        </w:rPr>
        <w:t>]</w:t>
      </w:r>
      <w:r w:rsidRPr="001F66F7">
        <w:rPr>
          <w:rFonts w:ascii="Arial" w:hAnsi="Arial" w:cs="Arial"/>
          <w:sz w:val="24"/>
          <w:szCs w:val="24"/>
        </w:rPr>
        <w:tab/>
      </w:r>
      <w:r w:rsidR="00F83501">
        <w:rPr>
          <w:rFonts w:ascii="Arial" w:hAnsi="Arial" w:cs="Arial"/>
          <w:sz w:val="24"/>
          <w:szCs w:val="24"/>
        </w:rPr>
        <w:t>Nile Dutch’s</w:t>
      </w:r>
      <w:r w:rsidR="006B23F8" w:rsidRPr="001F66F7">
        <w:rPr>
          <w:rFonts w:ascii="Arial" w:hAnsi="Arial" w:cs="Arial"/>
          <w:sz w:val="24"/>
          <w:szCs w:val="24"/>
        </w:rPr>
        <w:t xml:space="preserve"> legal representative argued</w:t>
      </w:r>
      <w:r w:rsidR="00C15EDA" w:rsidRPr="001F66F7">
        <w:rPr>
          <w:rFonts w:ascii="Arial" w:hAnsi="Arial" w:cs="Arial"/>
          <w:sz w:val="24"/>
          <w:szCs w:val="24"/>
        </w:rPr>
        <w:t xml:space="preserve"> that it was not possible for </w:t>
      </w:r>
      <w:r w:rsidR="0045321E">
        <w:rPr>
          <w:rFonts w:ascii="Arial" w:hAnsi="Arial" w:cs="Arial"/>
          <w:sz w:val="24"/>
          <w:szCs w:val="24"/>
        </w:rPr>
        <w:t>Crystal Pier’s</w:t>
      </w:r>
      <w:r w:rsidR="00EB5D9D" w:rsidRPr="001F66F7">
        <w:rPr>
          <w:rFonts w:ascii="Arial" w:hAnsi="Arial" w:cs="Arial"/>
          <w:sz w:val="24"/>
          <w:szCs w:val="24"/>
        </w:rPr>
        <w:t xml:space="preserve"> director</w:t>
      </w:r>
      <w:r w:rsidR="00C15EDA" w:rsidRPr="001F66F7">
        <w:rPr>
          <w:rFonts w:ascii="Arial" w:hAnsi="Arial" w:cs="Arial"/>
          <w:sz w:val="24"/>
          <w:szCs w:val="24"/>
        </w:rPr>
        <w:t xml:space="preserve"> not to have realised </w:t>
      </w:r>
      <w:r w:rsidR="005E10F6" w:rsidRPr="001F66F7">
        <w:rPr>
          <w:rFonts w:ascii="Arial" w:hAnsi="Arial" w:cs="Arial"/>
          <w:sz w:val="24"/>
          <w:szCs w:val="24"/>
        </w:rPr>
        <w:t xml:space="preserve">that </w:t>
      </w:r>
      <w:r w:rsidR="00EB5D9D" w:rsidRPr="001F66F7">
        <w:rPr>
          <w:rFonts w:ascii="Arial" w:hAnsi="Arial" w:cs="Arial"/>
          <w:sz w:val="24"/>
          <w:szCs w:val="24"/>
        </w:rPr>
        <w:t>the claim</w:t>
      </w:r>
      <w:r w:rsidR="00C15EDA" w:rsidRPr="001F66F7">
        <w:rPr>
          <w:rFonts w:ascii="Arial" w:hAnsi="Arial" w:cs="Arial"/>
          <w:sz w:val="24"/>
          <w:szCs w:val="24"/>
        </w:rPr>
        <w:t xml:space="preserve"> is not disputed</w:t>
      </w:r>
      <w:r w:rsidR="0044685B" w:rsidRPr="001F66F7">
        <w:rPr>
          <w:rFonts w:ascii="Arial" w:hAnsi="Arial" w:cs="Arial"/>
          <w:sz w:val="24"/>
          <w:szCs w:val="24"/>
        </w:rPr>
        <w:t>, despite</w:t>
      </w:r>
      <w:r w:rsidR="00CD207C" w:rsidRPr="001F66F7">
        <w:rPr>
          <w:rFonts w:ascii="Arial" w:hAnsi="Arial" w:cs="Arial"/>
          <w:sz w:val="24"/>
          <w:szCs w:val="24"/>
        </w:rPr>
        <w:t xml:space="preserve"> whatever </w:t>
      </w:r>
      <w:r w:rsidR="005C7A7B" w:rsidRPr="001F66F7">
        <w:rPr>
          <w:rFonts w:ascii="Arial" w:hAnsi="Arial" w:cs="Arial"/>
          <w:sz w:val="24"/>
          <w:szCs w:val="24"/>
        </w:rPr>
        <w:t>advice</w:t>
      </w:r>
      <w:r w:rsidR="00CD207C" w:rsidRPr="001F66F7">
        <w:rPr>
          <w:rFonts w:ascii="Arial" w:hAnsi="Arial" w:cs="Arial"/>
          <w:sz w:val="24"/>
          <w:szCs w:val="24"/>
        </w:rPr>
        <w:t xml:space="preserve"> he might have received from any person. </w:t>
      </w:r>
      <w:r w:rsidR="0044685B" w:rsidRPr="001F66F7">
        <w:rPr>
          <w:rFonts w:ascii="Arial" w:hAnsi="Arial" w:cs="Arial"/>
          <w:sz w:val="24"/>
          <w:szCs w:val="24"/>
        </w:rPr>
        <w:t>I</w:t>
      </w:r>
      <w:r w:rsidR="00CD207C" w:rsidRPr="001F66F7">
        <w:rPr>
          <w:rFonts w:ascii="Arial" w:hAnsi="Arial" w:cs="Arial"/>
          <w:sz w:val="24"/>
          <w:szCs w:val="24"/>
        </w:rPr>
        <w:t>n the</w:t>
      </w:r>
      <w:r w:rsidR="00B864A7" w:rsidRPr="001F66F7">
        <w:rPr>
          <w:rFonts w:ascii="Arial" w:hAnsi="Arial" w:cs="Arial"/>
          <w:sz w:val="24"/>
          <w:szCs w:val="24"/>
        </w:rPr>
        <w:t xml:space="preserve"> confirmatory</w:t>
      </w:r>
      <w:r w:rsidR="000C0F4C" w:rsidRPr="001F66F7">
        <w:rPr>
          <w:rFonts w:ascii="Arial" w:hAnsi="Arial" w:cs="Arial"/>
          <w:sz w:val="24"/>
          <w:szCs w:val="24"/>
        </w:rPr>
        <w:t xml:space="preserve"> </w:t>
      </w:r>
      <w:r w:rsidR="00CD207C" w:rsidRPr="001F66F7">
        <w:rPr>
          <w:rFonts w:ascii="Arial" w:hAnsi="Arial" w:cs="Arial"/>
          <w:sz w:val="24"/>
          <w:szCs w:val="24"/>
        </w:rPr>
        <w:t>affidavit</w:t>
      </w:r>
      <w:r w:rsidR="006740BF" w:rsidRPr="001F66F7">
        <w:rPr>
          <w:rFonts w:ascii="Arial" w:hAnsi="Arial" w:cs="Arial"/>
          <w:sz w:val="24"/>
          <w:szCs w:val="24"/>
        </w:rPr>
        <w:t xml:space="preserve"> </w:t>
      </w:r>
      <w:r w:rsidR="005C7D42" w:rsidRPr="001F66F7">
        <w:rPr>
          <w:rFonts w:ascii="Arial" w:hAnsi="Arial" w:cs="Arial"/>
          <w:sz w:val="24"/>
          <w:szCs w:val="24"/>
        </w:rPr>
        <w:t>that was</w:t>
      </w:r>
      <w:r w:rsidR="00CD207C" w:rsidRPr="001F66F7">
        <w:rPr>
          <w:rFonts w:ascii="Arial" w:hAnsi="Arial" w:cs="Arial"/>
          <w:sz w:val="24"/>
          <w:szCs w:val="24"/>
        </w:rPr>
        <w:t xml:space="preserve"> deposed </w:t>
      </w:r>
      <w:r w:rsidR="0044685B" w:rsidRPr="001F66F7">
        <w:rPr>
          <w:rFonts w:ascii="Arial" w:hAnsi="Arial" w:cs="Arial"/>
          <w:sz w:val="24"/>
          <w:szCs w:val="24"/>
        </w:rPr>
        <w:t xml:space="preserve">to </w:t>
      </w:r>
      <w:r w:rsidR="00CD207C" w:rsidRPr="001F66F7">
        <w:rPr>
          <w:rFonts w:ascii="Arial" w:hAnsi="Arial" w:cs="Arial"/>
          <w:sz w:val="24"/>
          <w:szCs w:val="24"/>
        </w:rPr>
        <w:t>by him in support of</w:t>
      </w:r>
      <w:r w:rsidR="00957253" w:rsidRPr="001F66F7">
        <w:rPr>
          <w:rFonts w:ascii="Arial" w:hAnsi="Arial" w:cs="Arial"/>
          <w:sz w:val="24"/>
          <w:szCs w:val="24"/>
        </w:rPr>
        <w:t xml:space="preserve"> the opposition of the </w:t>
      </w:r>
      <w:r w:rsidR="006740BF" w:rsidRPr="001F66F7">
        <w:rPr>
          <w:rFonts w:ascii="Arial" w:hAnsi="Arial" w:cs="Arial"/>
          <w:sz w:val="24"/>
          <w:szCs w:val="24"/>
        </w:rPr>
        <w:t xml:space="preserve">initial </w:t>
      </w:r>
      <w:r w:rsidR="00813A0F" w:rsidRPr="001F66F7">
        <w:rPr>
          <w:rFonts w:ascii="Arial" w:hAnsi="Arial" w:cs="Arial"/>
          <w:sz w:val="24"/>
          <w:szCs w:val="24"/>
        </w:rPr>
        <w:t xml:space="preserve">phase of the </w:t>
      </w:r>
      <w:r w:rsidR="00957253" w:rsidRPr="001F66F7">
        <w:rPr>
          <w:rFonts w:ascii="Arial" w:hAnsi="Arial" w:cs="Arial"/>
          <w:sz w:val="24"/>
          <w:szCs w:val="24"/>
        </w:rPr>
        <w:t>application</w:t>
      </w:r>
      <w:r w:rsidR="001E67B3" w:rsidRPr="001F66F7">
        <w:rPr>
          <w:rFonts w:ascii="Arial" w:hAnsi="Arial" w:cs="Arial"/>
          <w:sz w:val="24"/>
          <w:szCs w:val="24"/>
        </w:rPr>
        <w:t>,</w:t>
      </w:r>
      <w:r w:rsidR="000C0F4C" w:rsidRPr="001F66F7">
        <w:rPr>
          <w:rFonts w:ascii="Arial" w:hAnsi="Arial" w:cs="Arial"/>
          <w:sz w:val="24"/>
          <w:szCs w:val="24"/>
        </w:rPr>
        <w:t xml:space="preserve"> </w:t>
      </w:r>
      <w:r w:rsidR="005C7D42" w:rsidRPr="001F66F7">
        <w:rPr>
          <w:rFonts w:ascii="Arial" w:hAnsi="Arial" w:cs="Arial"/>
          <w:sz w:val="24"/>
          <w:szCs w:val="24"/>
        </w:rPr>
        <w:t>he did</w:t>
      </w:r>
      <w:r w:rsidR="006740BF" w:rsidRPr="001F66F7">
        <w:rPr>
          <w:rFonts w:ascii="Arial" w:hAnsi="Arial" w:cs="Arial"/>
          <w:sz w:val="24"/>
          <w:szCs w:val="24"/>
        </w:rPr>
        <w:t xml:space="preserve"> not</w:t>
      </w:r>
      <w:r w:rsidR="00CD207C" w:rsidRPr="001F66F7">
        <w:rPr>
          <w:rFonts w:ascii="Arial" w:hAnsi="Arial" w:cs="Arial"/>
          <w:sz w:val="24"/>
          <w:szCs w:val="24"/>
        </w:rPr>
        <w:t xml:space="preserve"> dispu</w:t>
      </w:r>
      <w:r w:rsidR="00957253" w:rsidRPr="001F66F7">
        <w:rPr>
          <w:rFonts w:ascii="Arial" w:hAnsi="Arial" w:cs="Arial"/>
          <w:sz w:val="24"/>
          <w:szCs w:val="24"/>
        </w:rPr>
        <w:t xml:space="preserve">ted the claim </w:t>
      </w:r>
      <w:r w:rsidR="001B27EE" w:rsidRPr="001F66F7">
        <w:rPr>
          <w:rFonts w:ascii="Arial" w:hAnsi="Arial" w:cs="Arial"/>
          <w:sz w:val="24"/>
          <w:szCs w:val="24"/>
        </w:rPr>
        <w:t xml:space="preserve">by </w:t>
      </w:r>
      <w:r w:rsidR="001B6DB2">
        <w:rPr>
          <w:rFonts w:ascii="Arial" w:hAnsi="Arial" w:cs="Arial"/>
          <w:sz w:val="24"/>
          <w:szCs w:val="24"/>
        </w:rPr>
        <w:t>Nile Dutch</w:t>
      </w:r>
      <w:r w:rsidR="00957253" w:rsidRPr="001F66F7">
        <w:rPr>
          <w:rFonts w:ascii="Arial" w:hAnsi="Arial" w:cs="Arial"/>
          <w:sz w:val="24"/>
          <w:szCs w:val="24"/>
        </w:rPr>
        <w:t xml:space="preserve">. </w:t>
      </w:r>
      <w:r w:rsidR="008B530E" w:rsidRPr="001F66F7">
        <w:rPr>
          <w:rFonts w:ascii="Arial" w:hAnsi="Arial" w:cs="Arial"/>
          <w:sz w:val="24"/>
          <w:szCs w:val="24"/>
        </w:rPr>
        <w:t>It was further argued that t</w:t>
      </w:r>
      <w:r w:rsidR="00CD207C" w:rsidRPr="001F66F7">
        <w:rPr>
          <w:rFonts w:ascii="Arial" w:hAnsi="Arial" w:cs="Arial"/>
          <w:sz w:val="24"/>
          <w:szCs w:val="24"/>
        </w:rPr>
        <w:t>he defen</w:t>
      </w:r>
      <w:r w:rsidR="003544C0" w:rsidRPr="001F66F7">
        <w:rPr>
          <w:rFonts w:ascii="Arial" w:hAnsi="Arial" w:cs="Arial"/>
          <w:sz w:val="24"/>
          <w:szCs w:val="24"/>
        </w:rPr>
        <w:t>c</w:t>
      </w:r>
      <w:r w:rsidR="00CD207C" w:rsidRPr="001F66F7">
        <w:rPr>
          <w:rFonts w:ascii="Arial" w:hAnsi="Arial" w:cs="Arial"/>
          <w:sz w:val="24"/>
          <w:szCs w:val="24"/>
        </w:rPr>
        <w:t xml:space="preserve">e of </w:t>
      </w:r>
      <w:r w:rsidR="003544C0" w:rsidRPr="001F66F7">
        <w:rPr>
          <w:rFonts w:ascii="Arial" w:hAnsi="Arial" w:cs="Arial"/>
          <w:sz w:val="24"/>
          <w:szCs w:val="24"/>
        </w:rPr>
        <w:t xml:space="preserve">a </w:t>
      </w:r>
      <w:r w:rsidR="00CD207C" w:rsidRPr="001F66F7">
        <w:rPr>
          <w:rFonts w:ascii="Arial" w:hAnsi="Arial" w:cs="Arial"/>
          <w:sz w:val="24"/>
          <w:szCs w:val="24"/>
        </w:rPr>
        <w:t xml:space="preserve">lack of </w:t>
      </w:r>
      <w:r w:rsidR="003A7A19" w:rsidRPr="001F66F7">
        <w:rPr>
          <w:rFonts w:ascii="Arial" w:hAnsi="Arial" w:cs="Arial"/>
          <w:sz w:val="24"/>
          <w:szCs w:val="24"/>
        </w:rPr>
        <w:t xml:space="preserve">a </w:t>
      </w:r>
      <w:r w:rsidR="001B27EE" w:rsidRPr="001F66F7">
        <w:rPr>
          <w:rFonts w:ascii="Arial" w:hAnsi="Arial" w:cs="Arial"/>
          <w:sz w:val="24"/>
          <w:szCs w:val="24"/>
        </w:rPr>
        <w:t xml:space="preserve">claim </w:t>
      </w:r>
      <w:r w:rsidR="00CD207C" w:rsidRPr="001F66F7">
        <w:rPr>
          <w:rFonts w:ascii="Arial" w:hAnsi="Arial" w:cs="Arial"/>
          <w:sz w:val="24"/>
          <w:szCs w:val="24"/>
        </w:rPr>
        <w:t>is</w:t>
      </w:r>
      <w:r w:rsidR="000C0F4C" w:rsidRPr="001F66F7">
        <w:rPr>
          <w:rFonts w:ascii="Arial" w:hAnsi="Arial" w:cs="Arial"/>
          <w:sz w:val="24"/>
          <w:szCs w:val="24"/>
        </w:rPr>
        <w:t xml:space="preserve"> </w:t>
      </w:r>
      <w:r w:rsidR="00B864A7" w:rsidRPr="001F66F7">
        <w:rPr>
          <w:rFonts w:ascii="Arial" w:hAnsi="Arial" w:cs="Arial"/>
          <w:sz w:val="24"/>
          <w:szCs w:val="24"/>
        </w:rPr>
        <w:t xml:space="preserve">a </w:t>
      </w:r>
      <w:r w:rsidR="00CD207C" w:rsidRPr="001F66F7">
        <w:rPr>
          <w:rFonts w:ascii="Arial" w:hAnsi="Arial" w:cs="Arial"/>
          <w:sz w:val="24"/>
          <w:szCs w:val="24"/>
        </w:rPr>
        <w:t>delaying tactic</w:t>
      </w:r>
      <w:r w:rsidR="003A7A19" w:rsidRPr="001F66F7">
        <w:rPr>
          <w:rFonts w:ascii="Arial" w:hAnsi="Arial" w:cs="Arial"/>
          <w:sz w:val="24"/>
          <w:szCs w:val="24"/>
        </w:rPr>
        <w:t>,</w:t>
      </w:r>
      <w:r w:rsidR="00CD207C" w:rsidRPr="001F66F7">
        <w:rPr>
          <w:rFonts w:ascii="Arial" w:hAnsi="Arial" w:cs="Arial"/>
          <w:sz w:val="24"/>
          <w:szCs w:val="24"/>
        </w:rPr>
        <w:t xml:space="preserve"> which is not reasonable and bona fide.</w:t>
      </w:r>
    </w:p>
    <w:p w:rsidR="001C0FFF" w:rsidRPr="001F66F7" w:rsidRDefault="001C0FFF" w:rsidP="001F66F7">
      <w:pPr>
        <w:spacing w:after="0" w:line="360" w:lineRule="auto"/>
        <w:contextualSpacing/>
        <w:jc w:val="both"/>
        <w:rPr>
          <w:rFonts w:ascii="Arial" w:hAnsi="Arial" w:cs="Arial"/>
          <w:sz w:val="24"/>
          <w:szCs w:val="24"/>
        </w:rPr>
      </w:pPr>
    </w:p>
    <w:p w:rsidR="00886880" w:rsidRPr="001F66F7" w:rsidRDefault="001C0FFF" w:rsidP="001F66F7">
      <w:pPr>
        <w:spacing w:after="0" w:line="360" w:lineRule="auto"/>
        <w:contextualSpacing/>
        <w:jc w:val="both"/>
        <w:rPr>
          <w:rFonts w:ascii="Arial" w:hAnsi="Arial" w:cs="Arial"/>
          <w:sz w:val="24"/>
          <w:szCs w:val="24"/>
        </w:rPr>
      </w:pPr>
      <w:r w:rsidRPr="001F66F7">
        <w:rPr>
          <w:rFonts w:ascii="Arial" w:hAnsi="Arial" w:cs="Arial"/>
          <w:sz w:val="24"/>
          <w:szCs w:val="24"/>
        </w:rPr>
        <w:t>[</w:t>
      </w:r>
      <w:r w:rsidR="00F10444" w:rsidRPr="001F66F7">
        <w:rPr>
          <w:rFonts w:ascii="Arial" w:hAnsi="Arial" w:cs="Arial"/>
          <w:sz w:val="24"/>
          <w:szCs w:val="24"/>
        </w:rPr>
        <w:t>28</w:t>
      </w:r>
      <w:r w:rsidRPr="001F66F7">
        <w:rPr>
          <w:rFonts w:ascii="Arial" w:hAnsi="Arial" w:cs="Arial"/>
          <w:sz w:val="24"/>
          <w:szCs w:val="24"/>
        </w:rPr>
        <w:t>]</w:t>
      </w:r>
      <w:r w:rsidRPr="001F66F7">
        <w:rPr>
          <w:rFonts w:ascii="Arial" w:hAnsi="Arial" w:cs="Arial"/>
          <w:sz w:val="24"/>
          <w:szCs w:val="24"/>
        </w:rPr>
        <w:tab/>
      </w:r>
      <w:r w:rsidR="00CD207C" w:rsidRPr="001F66F7">
        <w:rPr>
          <w:rFonts w:ascii="Arial" w:hAnsi="Arial" w:cs="Arial"/>
          <w:sz w:val="24"/>
          <w:szCs w:val="24"/>
        </w:rPr>
        <w:t xml:space="preserve">It is for these reasons that I </w:t>
      </w:r>
      <w:r w:rsidR="00F6201F" w:rsidRPr="001F66F7">
        <w:rPr>
          <w:rFonts w:ascii="Arial" w:hAnsi="Arial" w:cs="Arial"/>
          <w:sz w:val="24"/>
          <w:szCs w:val="24"/>
        </w:rPr>
        <w:t xml:space="preserve">deemed </w:t>
      </w:r>
      <w:r w:rsidR="00CD207C" w:rsidRPr="001F66F7">
        <w:rPr>
          <w:rFonts w:ascii="Arial" w:hAnsi="Arial" w:cs="Arial"/>
          <w:sz w:val="24"/>
          <w:szCs w:val="24"/>
        </w:rPr>
        <w:t>it appropriate to give a substantial background of the matter</w:t>
      </w:r>
      <w:r w:rsidR="00A3073D" w:rsidRPr="001F66F7">
        <w:rPr>
          <w:rFonts w:ascii="Arial" w:hAnsi="Arial" w:cs="Arial"/>
          <w:sz w:val="24"/>
          <w:szCs w:val="24"/>
        </w:rPr>
        <w:t>,</w:t>
      </w:r>
      <w:r w:rsidR="00CD207C" w:rsidRPr="001F66F7">
        <w:rPr>
          <w:rFonts w:ascii="Arial" w:hAnsi="Arial" w:cs="Arial"/>
          <w:sz w:val="24"/>
          <w:szCs w:val="24"/>
        </w:rPr>
        <w:t xml:space="preserve"> as it will be crucial in makin</w:t>
      </w:r>
      <w:r w:rsidR="00626E49" w:rsidRPr="001F66F7">
        <w:rPr>
          <w:rFonts w:ascii="Arial" w:hAnsi="Arial" w:cs="Arial"/>
          <w:sz w:val="24"/>
          <w:szCs w:val="24"/>
        </w:rPr>
        <w:t>g a determination</w:t>
      </w:r>
      <w:r w:rsidR="000C0F4C" w:rsidRPr="001F66F7">
        <w:rPr>
          <w:rFonts w:ascii="Arial" w:hAnsi="Arial" w:cs="Arial"/>
          <w:sz w:val="24"/>
          <w:szCs w:val="24"/>
        </w:rPr>
        <w:t xml:space="preserve"> </w:t>
      </w:r>
      <w:r w:rsidR="001B6DB2">
        <w:rPr>
          <w:rFonts w:ascii="Arial" w:hAnsi="Arial" w:cs="Arial"/>
          <w:sz w:val="24"/>
          <w:szCs w:val="24"/>
        </w:rPr>
        <w:t xml:space="preserve">on </w:t>
      </w:r>
      <w:r w:rsidR="00964F5C" w:rsidRPr="001F66F7">
        <w:rPr>
          <w:rFonts w:ascii="Arial" w:hAnsi="Arial" w:cs="Arial"/>
          <w:sz w:val="24"/>
          <w:szCs w:val="24"/>
        </w:rPr>
        <w:t xml:space="preserve">whether </w:t>
      </w:r>
      <w:r w:rsidR="00CC2D73" w:rsidRPr="001F66F7">
        <w:rPr>
          <w:rFonts w:ascii="Arial" w:hAnsi="Arial" w:cs="Arial"/>
          <w:sz w:val="24"/>
          <w:szCs w:val="24"/>
        </w:rPr>
        <w:t>Mr Persad</w:t>
      </w:r>
      <w:r w:rsidR="00F51D8E">
        <w:rPr>
          <w:rFonts w:ascii="Arial" w:hAnsi="Arial" w:cs="Arial"/>
          <w:sz w:val="24"/>
          <w:szCs w:val="24"/>
        </w:rPr>
        <w:t>’</w:t>
      </w:r>
      <w:r w:rsidR="00CC2D73" w:rsidRPr="001F66F7">
        <w:rPr>
          <w:rFonts w:ascii="Arial" w:hAnsi="Arial" w:cs="Arial"/>
          <w:sz w:val="24"/>
          <w:szCs w:val="24"/>
        </w:rPr>
        <w:t xml:space="preserve">s claim that </w:t>
      </w:r>
      <w:r w:rsidR="005C7D42" w:rsidRPr="001F66F7">
        <w:rPr>
          <w:rFonts w:ascii="Arial" w:hAnsi="Arial" w:cs="Arial"/>
          <w:sz w:val="24"/>
          <w:szCs w:val="24"/>
        </w:rPr>
        <w:t>he de</w:t>
      </w:r>
      <w:r w:rsidR="00CC2D73" w:rsidRPr="001F66F7">
        <w:rPr>
          <w:rFonts w:ascii="Arial" w:hAnsi="Arial" w:cs="Arial"/>
          <w:sz w:val="24"/>
          <w:szCs w:val="24"/>
        </w:rPr>
        <w:t>p</w:t>
      </w:r>
      <w:r w:rsidR="005C7D42" w:rsidRPr="001F66F7">
        <w:rPr>
          <w:rFonts w:ascii="Arial" w:hAnsi="Arial" w:cs="Arial"/>
          <w:sz w:val="24"/>
          <w:szCs w:val="24"/>
        </w:rPr>
        <w:t>o</w:t>
      </w:r>
      <w:r w:rsidR="00CC2D73" w:rsidRPr="001F66F7">
        <w:rPr>
          <w:rFonts w:ascii="Arial" w:hAnsi="Arial" w:cs="Arial"/>
          <w:sz w:val="24"/>
          <w:szCs w:val="24"/>
        </w:rPr>
        <w:t>se</w:t>
      </w:r>
      <w:r w:rsidR="00F51D8E">
        <w:rPr>
          <w:rFonts w:ascii="Arial" w:hAnsi="Arial" w:cs="Arial"/>
          <w:sz w:val="24"/>
          <w:szCs w:val="24"/>
        </w:rPr>
        <w:t>d</w:t>
      </w:r>
      <w:r w:rsidR="00CC2D73" w:rsidRPr="001F66F7">
        <w:rPr>
          <w:rFonts w:ascii="Arial" w:hAnsi="Arial" w:cs="Arial"/>
          <w:sz w:val="24"/>
          <w:szCs w:val="24"/>
        </w:rPr>
        <w:t xml:space="preserve"> </w:t>
      </w:r>
      <w:r w:rsidR="00F51D8E">
        <w:rPr>
          <w:rFonts w:ascii="Arial" w:hAnsi="Arial" w:cs="Arial"/>
          <w:sz w:val="24"/>
          <w:szCs w:val="24"/>
        </w:rPr>
        <w:t>to</w:t>
      </w:r>
      <w:r w:rsidR="00F51D8E" w:rsidRPr="001F66F7">
        <w:rPr>
          <w:rFonts w:ascii="Arial" w:hAnsi="Arial" w:cs="Arial"/>
          <w:sz w:val="24"/>
          <w:szCs w:val="24"/>
        </w:rPr>
        <w:t xml:space="preserve"> </w:t>
      </w:r>
      <w:r w:rsidR="00CC2D73" w:rsidRPr="001F66F7">
        <w:rPr>
          <w:rFonts w:ascii="Arial" w:hAnsi="Arial" w:cs="Arial"/>
          <w:sz w:val="24"/>
          <w:szCs w:val="24"/>
        </w:rPr>
        <w:t xml:space="preserve">the confirmatory </w:t>
      </w:r>
      <w:r w:rsidR="005C7D42" w:rsidRPr="001F66F7">
        <w:rPr>
          <w:rFonts w:ascii="Arial" w:hAnsi="Arial" w:cs="Arial"/>
          <w:sz w:val="24"/>
          <w:szCs w:val="24"/>
        </w:rPr>
        <w:t>affidavit without realising</w:t>
      </w:r>
      <w:r w:rsidR="00CC2D73" w:rsidRPr="001F66F7">
        <w:rPr>
          <w:rFonts w:ascii="Arial" w:hAnsi="Arial" w:cs="Arial"/>
          <w:sz w:val="24"/>
          <w:szCs w:val="24"/>
        </w:rPr>
        <w:t xml:space="preserve"> that the claim by Neil Dutch </w:t>
      </w:r>
      <w:r w:rsidR="00F51D8E">
        <w:rPr>
          <w:rFonts w:ascii="Arial" w:hAnsi="Arial" w:cs="Arial"/>
          <w:sz w:val="24"/>
          <w:szCs w:val="24"/>
        </w:rPr>
        <w:t>was</w:t>
      </w:r>
      <w:r w:rsidR="00CC2D73" w:rsidRPr="001F66F7">
        <w:rPr>
          <w:rFonts w:ascii="Arial" w:hAnsi="Arial" w:cs="Arial"/>
          <w:sz w:val="24"/>
          <w:szCs w:val="24"/>
        </w:rPr>
        <w:t xml:space="preserve"> admitted and </w:t>
      </w:r>
      <w:r w:rsidR="005C7D42" w:rsidRPr="001F66F7">
        <w:rPr>
          <w:rFonts w:ascii="Arial" w:hAnsi="Arial" w:cs="Arial"/>
          <w:sz w:val="24"/>
          <w:szCs w:val="24"/>
        </w:rPr>
        <w:t>that the</w:t>
      </w:r>
      <w:r w:rsidR="00CC2D73" w:rsidRPr="001F66F7">
        <w:rPr>
          <w:rFonts w:ascii="Arial" w:hAnsi="Arial" w:cs="Arial"/>
          <w:sz w:val="24"/>
          <w:szCs w:val="24"/>
        </w:rPr>
        <w:t xml:space="preserve"> counterclaim</w:t>
      </w:r>
      <w:r w:rsidR="009A603C" w:rsidRPr="001F66F7">
        <w:rPr>
          <w:rFonts w:ascii="Arial" w:hAnsi="Arial" w:cs="Arial"/>
          <w:sz w:val="24"/>
          <w:szCs w:val="24"/>
        </w:rPr>
        <w:t xml:space="preserve"> he initial</w:t>
      </w:r>
      <w:r w:rsidR="00F51D8E">
        <w:rPr>
          <w:rFonts w:ascii="Arial" w:hAnsi="Arial" w:cs="Arial"/>
          <w:sz w:val="24"/>
          <w:szCs w:val="24"/>
        </w:rPr>
        <w:t>ly</w:t>
      </w:r>
      <w:r w:rsidR="009A603C" w:rsidRPr="001F66F7">
        <w:rPr>
          <w:rFonts w:ascii="Arial" w:hAnsi="Arial" w:cs="Arial"/>
          <w:sz w:val="24"/>
          <w:szCs w:val="24"/>
        </w:rPr>
        <w:t xml:space="preserve"> raised as a </w:t>
      </w:r>
      <w:r w:rsidR="001B27EE" w:rsidRPr="001F66F7">
        <w:rPr>
          <w:rFonts w:ascii="Arial" w:hAnsi="Arial" w:cs="Arial"/>
          <w:sz w:val="24"/>
          <w:szCs w:val="24"/>
        </w:rPr>
        <w:t>defence</w:t>
      </w:r>
      <w:r w:rsidR="009A603C" w:rsidRPr="001F66F7">
        <w:rPr>
          <w:rFonts w:ascii="Arial" w:hAnsi="Arial" w:cs="Arial"/>
          <w:sz w:val="24"/>
          <w:szCs w:val="24"/>
        </w:rPr>
        <w:t xml:space="preserve"> was misconstrued</w:t>
      </w:r>
      <w:r w:rsidR="00F51D8E">
        <w:rPr>
          <w:rFonts w:ascii="Arial" w:hAnsi="Arial" w:cs="Arial"/>
          <w:sz w:val="24"/>
          <w:szCs w:val="24"/>
        </w:rPr>
        <w:t>,</w:t>
      </w:r>
      <w:r w:rsidR="009A603C" w:rsidRPr="001F66F7">
        <w:rPr>
          <w:rFonts w:ascii="Arial" w:hAnsi="Arial" w:cs="Arial"/>
          <w:sz w:val="24"/>
          <w:szCs w:val="24"/>
        </w:rPr>
        <w:t xml:space="preserve"> </w:t>
      </w:r>
      <w:r w:rsidR="0092665F" w:rsidRPr="001F66F7">
        <w:rPr>
          <w:rFonts w:ascii="Arial" w:hAnsi="Arial" w:cs="Arial"/>
          <w:sz w:val="24"/>
          <w:szCs w:val="24"/>
        </w:rPr>
        <w:t>is credible</w:t>
      </w:r>
      <w:r w:rsidR="00F51D8E">
        <w:rPr>
          <w:rFonts w:ascii="Arial" w:hAnsi="Arial" w:cs="Arial"/>
          <w:sz w:val="24"/>
          <w:szCs w:val="24"/>
        </w:rPr>
        <w:t>.</w:t>
      </w:r>
    </w:p>
    <w:p w:rsidR="008A4558" w:rsidRPr="001F66F7" w:rsidRDefault="008A4558" w:rsidP="001F66F7">
      <w:pPr>
        <w:spacing w:after="0" w:line="360" w:lineRule="auto"/>
        <w:contextualSpacing/>
        <w:jc w:val="both"/>
        <w:rPr>
          <w:rFonts w:ascii="Arial" w:hAnsi="Arial" w:cs="Arial"/>
          <w:sz w:val="24"/>
          <w:szCs w:val="24"/>
        </w:rPr>
      </w:pPr>
    </w:p>
    <w:p w:rsidR="0092665F" w:rsidRPr="00DB00B2" w:rsidRDefault="008A4558" w:rsidP="001F66F7">
      <w:pPr>
        <w:spacing w:after="0" w:line="360" w:lineRule="auto"/>
        <w:contextualSpacing/>
        <w:jc w:val="both"/>
        <w:rPr>
          <w:rFonts w:ascii="Arial" w:hAnsi="Arial" w:cs="Arial"/>
          <w:b/>
          <w:sz w:val="24"/>
          <w:szCs w:val="24"/>
        </w:rPr>
      </w:pPr>
      <w:r w:rsidRPr="00DB00B2">
        <w:rPr>
          <w:rFonts w:ascii="Arial" w:hAnsi="Arial" w:cs="Arial"/>
          <w:b/>
          <w:sz w:val="24"/>
          <w:szCs w:val="24"/>
        </w:rPr>
        <w:t>Referral to oral evidence</w:t>
      </w:r>
    </w:p>
    <w:p w:rsidR="0092665F" w:rsidRPr="001F66F7" w:rsidRDefault="00F51D8E" w:rsidP="001F66F7">
      <w:pPr>
        <w:spacing w:after="0" w:line="360" w:lineRule="auto"/>
        <w:contextualSpacing/>
        <w:jc w:val="both"/>
        <w:rPr>
          <w:rFonts w:ascii="Arial" w:hAnsi="Arial" w:cs="Arial"/>
          <w:sz w:val="24"/>
          <w:szCs w:val="24"/>
        </w:rPr>
      </w:pPr>
      <w:r>
        <w:rPr>
          <w:rFonts w:ascii="Arial" w:hAnsi="Arial" w:cs="Arial"/>
          <w:sz w:val="24"/>
          <w:szCs w:val="24"/>
        </w:rPr>
        <w:t>[</w:t>
      </w:r>
      <w:r w:rsidR="00DB00B2">
        <w:rPr>
          <w:rFonts w:ascii="Arial" w:hAnsi="Arial" w:cs="Arial"/>
          <w:sz w:val="24"/>
          <w:szCs w:val="24"/>
        </w:rPr>
        <w:t>29</w:t>
      </w:r>
      <w:r>
        <w:rPr>
          <w:rFonts w:ascii="Arial" w:hAnsi="Arial" w:cs="Arial"/>
          <w:sz w:val="24"/>
          <w:szCs w:val="24"/>
        </w:rPr>
        <w:t>]</w:t>
      </w:r>
      <w:r>
        <w:rPr>
          <w:rFonts w:ascii="Arial" w:hAnsi="Arial" w:cs="Arial"/>
          <w:sz w:val="24"/>
          <w:szCs w:val="24"/>
        </w:rPr>
        <w:tab/>
      </w:r>
      <w:r w:rsidR="0092665F" w:rsidRPr="001F66F7">
        <w:rPr>
          <w:rFonts w:ascii="Arial" w:hAnsi="Arial" w:cs="Arial"/>
          <w:sz w:val="24"/>
          <w:szCs w:val="24"/>
        </w:rPr>
        <w:t xml:space="preserve">Before I engage on the determining </w:t>
      </w:r>
      <w:r w:rsidR="00964F5C" w:rsidRPr="001F66F7">
        <w:rPr>
          <w:rFonts w:ascii="Arial" w:hAnsi="Arial" w:cs="Arial"/>
          <w:sz w:val="24"/>
          <w:szCs w:val="24"/>
        </w:rPr>
        <w:t>whether Mr</w:t>
      </w:r>
      <w:r w:rsidR="0092665F" w:rsidRPr="001F66F7">
        <w:rPr>
          <w:rFonts w:ascii="Arial" w:hAnsi="Arial" w:cs="Arial"/>
          <w:sz w:val="24"/>
          <w:szCs w:val="24"/>
        </w:rPr>
        <w:t xml:space="preserve"> Persad assertion is </w:t>
      </w:r>
      <w:r w:rsidR="00964F5C" w:rsidRPr="001F66F7">
        <w:rPr>
          <w:rFonts w:ascii="Arial" w:hAnsi="Arial" w:cs="Arial"/>
          <w:sz w:val="24"/>
          <w:szCs w:val="24"/>
        </w:rPr>
        <w:t>credible,</w:t>
      </w:r>
      <w:r w:rsidR="0092665F" w:rsidRPr="001F66F7">
        <w:rPr>
          <w:rFonts w:ascii="Arial" w:hAnsi="Arial" w:cs="Arial"/>
          <w:sz w:val="24"/>
          <w:szCs w:val="24"/>
        </w:rPr>
        <w:t xml:space="preserve"> I have to decide whether such determination can be made on </w:t>
      </w:r>
      <w:r w:rsidR="00375B61">
        <w:rPr>
          <w:rFonts w:ascii="Arial" w:hAnsi="Arial" w:cs="Arial"/>
          <w:sz w:val="24"/>
          <w:szCs w:val="24"/>
        </w:rPr>
        <w:t xml:space="preserve">the </w:t>
      </w:r>
      <w:r w:rsidR="0092665F" w:rsidRPr="001F66F7">
        <w:rPr>
          <w:rFonts w:ascii="Arial" w:hAnsi="Arial" w:cs="Arial"/>
          <w:sz w:val="24"/>
          <w:szCs w:val="24"/>
        </w:rPr>
        <w:t xml:space="preserve">papers or </w:t>
      </w:r>
      <w:r>
        <w:rPr>
          <w:rFonts w:ascii="Arial" w:hAnsi="Arial" w:cs="Arial"/>
          <w:sz w:val="24"/>
          <w:szCs w:val="24"/>
        </w:rPr>
        <w:t xml:space="preserve">whether </w:t>
      </w:r>
      <w:r w:rsidR="0092665F" w:rsidRPr="001F66F7">
        <w:rPr>
          <w:rFonts w:ascii="Arial" w:hAnsi="Arial" w:cs="Arial"/>
          <w:sz w:val="24"/>
          <w:szCs w:val="24"/>
        </w:rPr>
        <w:t>the matter has to be referred for oral evidence</w:t>
      </w:r>
    </w:p>
    <w:p w:rsidR="0092665F" w:rsidRPr="001F66F7" w:rsidRDefault="0092665F" w:rsidP="001F66F7">
      <w:pPr>
        <w:pStyle w:val="western"/>
        <w:shd w:val="clear" w:color="auto" w:fill="FFFFFF"/>
        <w:spacing w:before="0" w:beforeAutospacing="0" w:after="0" w:afterAutospacing="0" w:line="360" w:lineRule="auto"/>
        <w:contextualSpacing/>
        <w:jc w:val="both"/>
        <w:rPr>
          <w:rFonts w:ascii="Arial" w:hAnsi="Arial" w:cs="Arial"/>
          <w:color w:val="242121"/>
          <w:lang w:val="en-ZA"/>
        </w:rPr>
      </w:pPr>
      <w:r w:rsidRPr="001F66F7" w:rsidDel="0092665F">
        <w:rPr>
          <w:rFonts w:ascii="Arial" w:hAnsi="Arial" w:cs="Arial"/>
          <w:b/>
        </w:rPr>
        <w:t xml:space="preserve"> </w:t>
      </w:r>
    </w:p>
    <w:p w:rsidR="0092665F" w:rsidRPr="001F66F7" w:rsidRDefault="0092665F" w:rsidP="001F66F7">
      <w:pPr>
        <w:pStyle w:val="western"/>
        <w:shd w:val="clear" w:color="auto" w:fill="FFFFFF"/>
        <w:spacing w:before="0" w:beforeAutospacing="0" w:after="0" w:afterAutospacing="0" w:line="360" w:lineRule="auto"/>
        <w:contextualSpacing/>
        <w:jc w:val="both"/>
        <w:rPr>
          <w:rFonts w:ascii="Arial" w:hAnsi="Arial" w:cs="Arial"/>
          <w:color w:val="242121"/>
          <w:lang w:val="en-ZA"/>
        </w:rPr>
      </w:pPr>
      <w:r w:rsidRPr="001F66F7">
        <w:rPr>
          <w:rFonts w:ascii="Arial" w:hAnsi="Arial" w:cs="Arial"/>
          <w:color w:val="242121"/>
          <w:lang w:val="en-ZA"/>
        </w:rPr>
        <w:t>[</w:t>
      </w:r>
      <w:r w:rsidR="00DB00B2">
        <w:rPr>
          <w:rFonts w:ascii="Arial" w:hAnsi="Arial" w:cs="Arial"/>
          <w:color w:val="242121"/>
          <w:lang w:val="en-ZA"/>
        </w:rPr>
        <w:t>30</w:t>
      </w:r>
      <w:r w:rsidRPr="001F66F7">
        <w:rPr>
          <w:rFonts w:ascii="Arial" w:hAnsi="Arial" w:cs="Arial"/>
          <w:color w:val="242121"/>
          <w:lang w:val="en-ZA"/>
        </w:rPr>
        <w:t>]</w:t>
      </w:r>
      <w:r w:rsidRPr="001F66F7">
        <w:rPr>
          <w:rFonts w:ascii="Arial" w:hAnsi="Arial" w:cs="Arial"/>
          <w:color w:val="242121"/>
          <w:lang w:val="en-ZA"/>
        </w:rPr>
        <w:tab/>
        <w:t xml:space="preserve"> The principles applicable in making a determination </w:t>
      </w:r>
      <w:r w:rsidR="00964F5C" w:rsidRPr="001F66F7">
        <w:rPr>
          <w:rFonts w:ascii="Arial" w:hAnsi="Arial" w:cs="Arial"/>
          <w:color w:val="242121"/>
          <w:lang w:val="en-ZA"/>
        </w:rPr>
        <w:t>whether proceedings</w:t>
      </w:r>
      <w:r w:rsidRPr="001F66F7">
        <w:rPr>
          <w:rFonts w:ascii="Arial" w:hAnsi="Arial" w:cs="Arial"/>
          <w:color w:val="242121"/>
          <w:lang w:val="en-ZA"/>
        </w:rPr>
        <w:t xml:space="preserve"> brought on notice of motion can be adjudicated upon on papers without referring </w:t>
      </w:r>
      <w:r w:rsidR="00F51D8E">
        <w:rPr>
          <w:rFonts w:ascii="Arial" w:hAnsi="Arial" w:cs="Arial"/>
          <w:color w:val="242121"/>
          <w:lang w:val="en-ZA"/>
        </w:rPr>
        <w:t xml:space="preserve">it </w:t>
      </w:r>
      <w:r w:rsidRPr="001F66F7">
        <w:rPr>
          <w:rFonts w:ascii="Arial" w:hAnsi="Arial" w:cs="Arial"/>
          <w:color w:val="242121"/>
          <w:lang w:val="en-ZA"/>
        </w:rPr>
        <w:t xml:space="preserve">to oral </w:t>
      </w:r>
      <w:r w:rsidR="005C7D42" w:rsidRPr="001F66F7">
        <w:rPr>
          <w:rFonts w:ascii="Arial" w:hAnsi="Arial" w:cs="Arial"/>
          <w:color w:val="242121"/>
          <w:lang w:val="en-ZA"/>
        </w:rPr>
        <w:t>evidence were</w:t>
      </w:r>
      <w:r w:rsidRPr="001F66F7">
        <w:rPr>
          <w:rFonts w:ascii="Arial" w:hAnsi="Arial" w:cs="Arial"/>
          <w:color w:val="242121"/>
          <w:lang w:val="en-ZA"/>
        </w:rPr>
        <w:t xml:space="preserve"> dealt with </w:t>
      </w:r>
      <w:r w:rsidR="00375B61">
        <w:rPr>
          <w:rFonts w:ascii="Arial" w:hAnsi="Arial" w:cs="Arial"/>
          <w:color w:val="242121"/>
          <w:lang w:val="en-ZA"/>
        </w:rPr>
        <w:t>i</w:t>
      </w:r>
      <w:r w:rsidRPr="001F66F7">
        <w:rPr>
          <w:rFonts w:ascii="Arial" w:hAnsi="Arial" w:cs="Arial"/>
          <w:color w:val="242121"/>
          <w:lang w:val="en-ZA"/>
        </w:rPr>
        <w:t xml:space="preserve">n </w:t>
      </w:r>
      <w:r w:rsidRPr="001F66F7">
        <w:rPr>
          <w:rFonts w:ascii="Arial" w:hAnsi="Arial" w:cs="Arial"/>
          <w:i/>
          <w:color w:val="242121"/>
          <w:lang w:val="en-ZA"/>
        </w:rPr>
        <w:t>Plascon-Evans Paints Ltd v Van Riebeeck Paints (Pty) Ltd,</w:t>
      </w:r>
      <w:r w:rsidRPr="001F66F7">
        <w:rPr>
          <w:rStyle w:val="FootnoteReference"/>
          <w:rFonts w:ascii="Arial" w:hAnsi="Arial" w:cs="Arial"/>
          <w:color w:val="242121"/>
          <w:lang w:val="en-ZA"/>
        </w:rPr>
        <w:footnoteReference w:id="1"/>
      </w:r>
      <w:r w:rsidRPr="001F66F7">
        <w:rPr>
          <w:rFonts w:ascii="Arial" w:hAnsi="Arial" w:cs="Arial"/>
          <w:color w:val="242121"/>
          <w:lang w:val="en-ZA"/>
        </w:rPr>
        <w:t xml:space="preserve"> where the court</w:t>
      </w:r>
      <w:r w:rsidR="00375B61">
        <w:rPr>
          <w:rFonts w:ascii="Arial" w:hAnsi="Arial" w:cs="Arial"/>
          <w:color w:val="242121"/>
          <w:lang w:val="en-ZA"/>
        </w:rPr>
        <w:t>,</w:t>
      </w:r>
      <w:r w:rsidRPr="001F66F7">
        <w:rPr>
          <w:rFonts w:ascii="Arial" w:hAnsi="Arial" w:cs="Arial"/>
          <w:color w:val="242121"/>
          <w:lang w:val="en-ZA"/>
        </w:rPr>
        <w:t xml:space="preserve"> citing the general rule which was stated in </w:t>
      </w:r>
      <w:r w:rsidRPr="001F66F7">
        <w:rPr>
          <w:rFonts w:ascii="Arial" w:hAnsi="Arial" w:cs="Arial"/>
          <w:i/>
          <w:color w:val="242121"/>
          <w:lang w:val="en-ZA"/>
        </w:rPr>
        <w:t>Stellenbosch Farmers’ Winery Ltd v Stellenvale Winery (Pty) Ltd,</w:t>
      </w:r>
      <w:r w:rsidRPr="001F66F7">
        <w:rPr>
          <w:rStyle w:val="FootnoteReference"/>
          <w:rFonts w:ascii="Arial" w:hAnsi="Arial" w:cs="Arial"/>
          <w:color w:val="242121"/>
          <w:lang w:val="en-ZA"/>
        </w:rPr>
        <w:footnoteReference w:id="2"/>
      </w:r>
      <w:r w:rsidRPr="001F66F7">
        <w:rPr>
          <w:rFonts w:ascii="Arial" w:hAnsi="Arial" w:cs="Arial"/>
          <w:color w:val="242121"/>
          <w:lang w:val="en-ZA"/>
        </w:rPr>
        <w:t xml:space="preserve"> held that</w:t>
      </w:r>
    </w:p>
    <w:p w:rsidR="0092665F" w:rsidRPr="0048528C" w:rsidRDefault="0092665F" w:rsidP="001F66F7">
      <w:pPr>
        <w:pStyle w:val="NormalWeb"/>
        <w:shd w:val="clear" w:color="auto" w:fill="FFFFFF"/>
        <w:spacing w:before="0" w:beforeAutospacing="0" w:after="0" w:afterAutospacing="0" w:line="360" w:lineRule="auto"/>
        <w:contextualSpacing/>
        <w:jc w:val="both"/>
        <w:rPr>
          <w:rFonts w:ascii="Arial" w:hAnsi="Arial" w:cs="Arial"/>
          <w:color w:val="242121"/>
          <w:sz w:val="22"/>
          <w:lang w:val="en-ZA"/>
        </w:rPr>
      </w:pPr>
      <w:r w:rsidRPr="0048528C">
        <w:rPr>
          <w:rFonts w:ascii="Arial" w:hAnsi="Arial" w:cs="Arial"/>
          <w:color w:val="242121"/>
          <w:sz w:val="22"/>
          <w:lang w:val="en-ZA"/>
        </w:rPr>
        <w:t>‘. . . where there is a dispute as to the facts a final interdict should only be granted in notice of motion proceedings if the facts as stated by the respondents together with the admitted facts in the applicant's affidavits justify such an order . . . Where it is clear that facts, though not formally admitted, cannot be denied, they must be regarded as admitted.’</w:t>
      </w:r>
    </w:p>
    <w:p w:rsidR="0092665F" w:rsidRPr="001F66F7" w:rsidRDefault="0092665F" w:rsidP="001F66F7">
      <w:pPr>
        <w:pStyle w:val="NormalWeb"/>
        <w:shd w:val="clear" w:color="auto" w:fill="FFFFFF"/>
        <w:spacing w:before="0" w:beforeAutospacing="0" w:after="0" w:afterAutospacing="0" w:line="360" w:lineRule="auto"/>
        <w:contextualSpacing/>
        <w:jc w:val="both"/>
        <w:rPr>
          <w:rFonts w:ascii="Arial" w:hAnsi="Arial" w:cs="Arial"/>
          <w:color w:val="242121"/>
          <w:lang w:val="en-ZA"/>
        </w:rPr>
      </w:pPr>
    </w:p>
    <w:p w:rsidR="0092665F" w:rsidRPr="001F66F7" w:rsidRDefault="0092665F" w:rsidP="001F66F7">
      <w:pPr>
        <w:pStyle w:val="NormalWeb"/>
        <w:shd w:val="clear" w:color="auto" w:fill="FFFFFF"/>
        <w:spacing w:before="0" w:beforeAutospacing="0" w:after="0" w:afterAutospacing="0" w:line="360" w:lineRule="auto"/>
        <w:contextualSpacing/>
        <w:jc w:val="both"/>
        <w:rPr>
          <w:rFonts w:ascii="Arial" w:hAnsi="Arial" w:cs="Arial"/>
          <w:color w:val="242121"/>
          <w:lang w:val="en-ZA"/>
        </w:rPr>
      </w:pPr>
      <w:r w:rsidRPr="001F66F7">
        <w:rPr>
          <w:rFonts w:ascii="Arial" w:hAnsi="Arial" w:cs="Arial"/>
          <w:color w:val="242121"/>
          <w:lang w:val="en-ZA"/>
        </w:rPr>
        <w:t>[</w:t>
      </w:r>
      <w:r w:rsidR="00F10444" w:rsidRPr="001F66F7">
        <w:rPr>
          <w:rFonts w:ascii="Arial" w:hAnsi="Arial" w:cs="Arial"/>
          <w:color w:val="242121"/>
          <w:lang w:val="en-ZA"/>
        </w:rPr>
        <w:t>3</w:t>
      </w:r>
      <w:r w:rsidR="00DB00B2">
        <w:rPr>
          <w:rFonts w:ascii="Arial" w:hAnsi="Arial" w:cs="Arial"/>
          <w:color w:val="242121"/>
          <w:lang w:val="en-ZA"/>
        </w:rPr>
        <w:t>1</w:t>
      </w:r>
      <w:r w:rsidRPr="001F66F7">
        <w:rPr>
          <w:rFonts w:ascii="Arial" w:hAnsi="Arial" w:cs="Arial"/>
          <w:color w:val="242121"/>
          <w:lang w:val="en-ZA"/>
        </w:rPr>
        <w:t>]</w:t>
      </w:r>
      <w:r w:rsidRPr="001F66F7">
        <w:rPr>
          <w:rFonts w:ascii="Arial" w:hAnsi="Arial" w:cs="Arial"/>
          <w:color w:val="242121"/>
          <w:lang w:val="en-ZA"/>
        </w:rPr>
        <w:tab/>
        <w:t xml:space="preserve">The court further held that </w:t>
      </w:r>
    </w:p>
    <w:p w:rsidR="00247158" w:rsidRPr="00861BFA" w:rsidRDefault="0092665F" w:rsidP="001F66F7">
      <w:pPr>
        <w:spacing w:after="0" w:line="360" w:lineRule="auto"/>
        <w:contextualSpacing/>
        <w:jc w:val="both"/>
        <w:rPr>
          <w:rFonts w:ascii="Arial" w:hAnsi="Arial" w:cs="Arial"/>
          <w:i/>
          <w:iCs/>
          <w:color w:val="242121"/>
          <w:szCs w:val="24"/>
        </w:rPr>
      </w:pPr>
      <w:r w:rsidRPr="00861BFA">
        <w:rPr>
          <w:rFonts w:ascii="Arial" w:hAnsi="Arial" w:cs="Arial"/>
          <w:color w:val="242121"/>
          <w:szCs w:val="24"/>
        </w:rPr>
        <w:t>‘…where in proceedings on notice of motion disputes of fact have arisen on the affidavits, a final order, whether it be an interdict or some other form of relief, may be granted if those facts averred in the applicant's affidavits which have been admitted by the respondent, together with the facts alleged by the respondent, justify such an order. The power of the Court to give such final relief on the papers before it is, however, not confined to such a situation. In certain instances the denial by respondent of a fact alleged by the applicant may not be such as to raise a real, genuine or </w:t>
      </w:r>
      <w:r w:rsidRPr="00861BFA">
        <w:rPr>
          <w:rFonts w:ascii="Arial" w:hAnsi="Arial" w:cs="Arial"/>
          <w:i/>
          <w:iCs/>
          <w:color w:val="242121"/>
          <w:szCs w:val="24"/>
        </w:rPr>
        <w:t>bona fide</w:t>
      </w:r>
      <w:r w:rsidRPr="00861BFA">
        <w:rPr>
          <w:rFonts w:ascii="Arial" w:hAnsi="Arial" w:cs="Arial"/>
          <w:color w:val="242121"/>
          <w:szCs w:val="24"/>
        </w:rPr>
        <w:t> dispute of fact (see in this regard </w:t>
      </w:r>
      <w:r w:rsidRPr="00861BFA">
        <w:rPr>
          <w:rFonts w:ascii="Arial" w:hAnsi="Arial" w:cs="Arial"/>
          <w:i/>
          <w:iCs/>
          <w:color w:val="242121"/>
          <w:szCs w:val="24"/>
        </w:rPr>
        <w:t>Room Hire Co (Pty) Ltd v Jeppe Street Mansions (Pty) Ltd</w:t>
      </w:r>
      <w:r w:rsidRPr="00861BFA">
        <w:rPr>
          <w:rFonts w:ascii="Arial" w:hAnsi="Arial" w:cs="Arial"/>
          <w:color w:val="242121"/>
          <w:szCs w:val="24"/>
        </w:rPr>
        <w:t> 1949 (3) SA 1155 (T) at 1163 - 5; </w:t>
      </w:r>
      <w:r w:rsidRPr="00861BFA">
        <w:rPr>
          <w:rFonts w:ascii="Arial" w:hAnsi="Arial" w:cs="Arial"/>
          <w:i/>
          <w:iCs/>
          <w:color w:val="242121"/>
          <w:szCs w:val="24"/>
        </w:rPr>
        <w:t>Da Mata v Otto NO</w:t>
      </w:r>
      <w:r w:rsidRPr="00861BFA">
        <w:rPr>
          <w:rFonts w:ascii="Arial" w:hAnsi="Arial" w:cs="Arial"/>
          <w:color w:val="242121"/>
          <w:szCs w:val="24"/>
        </w:rPr>
        <w:t> 1972 (3) SA 858 (A) at 882D - H). If in such a case the respondent has not availed himself of his right to apply for the deponents concerned to be called for cross-examination under Rule 6 (5) </w:t>
      </w:r>
      <w:r w:rsidRPr="00861BFA">
        <w:rPr>
          <w:rFonts w:ascii="Arial" w:hAnsi="Arial" w:cs="Arial"/>
          <w:i/>
          <w:iCs/>
          <w:color w:val="242121"/>
          <w:szCs w:val="24"/>
        </w:rPr>
        <w:t>(g)</w:t>
      </w:r>
      <w:r w:rsidRPr="00861BFA">
        <w:rPr>
          <w:rFonts w:ascii="Arial" w:hAnsi="Arial" w:cs="Arial"/>
          <w:color w:val="242121"/>
          <w:szCs w:val="24"/>
        </w:rPr>
        <w:t> of the Uniform Rules of Court (</w:t>
      </w:r>
      <w:r w:rsidRPr="00861BFA">
        <w:rPr>
          <w:rFonts w:ascii="Arial" w:hAnsi="Arial" w:cs="Arial"/>
          <w:i/>
          <w:iCs/>
          <w:color w:val="242121"/>
          <w:szCs w:val="24"/>
        </w:rPr>
        <w:t>cf Petersen v Cuthbert &amp; Co Ltd</w:t>
      </w:r>
      <w:r w:rsidRPr="00861BFA">
        <w:rPr>
          <w:rFonts w:ascii="Arial" w:hAnsi="Arial" w:cs="Arial"/>
          <w:color w:val="242121"/>
          <w:szCs w:val="24"/>
        </w:rPr>
        <w:t> 1945 AD 420 at 428; </w:t>
      </w:r>
      <w:r w:rsidRPr="00861BFA">
        <w:rPr>
          <w:rFonts w:ascii="Arial" w:hAnsi="Arial" w:cs="Arial"/>
          <w:i/>
          <w:iCs/>
          <w:color w:val="242121"/>
          <w:szCs w:val="24"/>
        </w:rPr>
        <w:t>Room Hire</w:t>
      </w:r>
      <w:r w:rsidRPr="00861BFA">
        <w:rPr>
          <w:rFonts w:ascii="Arial" w:hAnsi="Arial" w:cs="Arial"/>
          <w:color w:val="242121"/>
          <w:szCs w:val="24"/>
        </w:rPr>
        <w:t> case </w:t>
      </w:r>
      <w:r w:rsidRPr="00861BFA">
        <w:rPr>
          <w:rFonts w:ascii="Arial" w:hAnsi="Arial" w:cs="Arial"/>
          <w:i/>
          <w:iCs/>
          <w:color w:val="242121"/>
          <w:szCs w:val="24"/>
        </w:rPr>
        <w:t>supra</w:t>
      </w:r>
      <w:r w:rsidRPr="00861BFA">
        <w:rPr>
          <w:rFonts w:ascii="Arial" w:hAnsi="Arial" w:cs="Arial"/>
          <w:color w:val="242121"/>
          <w:szCs w:val="24"/>
        </w:rPr>
        <w:t> at 1164) and the Court is satisfied as to the inherent credibility of the applicant's factual averment, it may proceed on the basis of the correctness thereof and include this fact among those upon which it determines whether the applicant is entitled to the final relief which he seeks (see eg </w:t>
      </w:r>
      <w:r w:rsidRPr="00861BFA">
        <w:rPr>
          <w:rFonts w:ascii="Arial" w:hAnsi="Arial" w:cs="Arial"/>
          <w:i/>
          <w:iCs/>
          <w:color w:val="242121"/>
          <w:szCs w:val="24"/>
        </w:rPr>
        <w:t>Rikhoto v East Rand Administration Board and Another</w:t>
      </w:r>
      <w:r w:rsidRPr="00861BFA">
        <w:rPr>
          <w:rFonts w:ascii="Arial" w:hAnsi="Arial" w:cs="Arial"/>
          <w:color w:val="242121"/>
          <w:szCs w:val="24"/>
        </w:rPr>
        <w:t> 1983 (4) SA 278 (W) at 283E - H). Moreover, there may be exceptions to this general rule, as, for example, where the allegations or denials of the respondent are so far-fetched or clearly untenable that the Court is justified in rejecting them merely on the papers (see the remarks of BOTHA AJA in the </w:t>
      </w:r>
      <w:r w:rsidRPr="00861BFA">
        <w:rPr>
          <w:rFonts w:ascii="Arial" w:hAnsi="Arial" w:cs="Arial"/>
          <w:i/>
          <w:iCs/>
          <w:color w:val="242121"/>
          <w:szCs w:val="24"/>
        </w:rPr>
        <w:t>Associated South African</w:t>
      </w:r>
      <w:r w:rsidR="00861BFA" w:rsidRPr="00861BFA">
        <w:rPr>
          <w:rFonts w:ascii="Arial" w:hAnsi="Arial" w:cs="Arial"/>
          <w:i/>
          <w:iCs/>
          <w:color w:val="242121"/>
          <w:szCs w:val="24"/>
        </w:rPr>
        <w:t xml:space="preserve"> Bakeries case, supra at 924A)</w:t>
      </w:r>
      <w:r w:rsidR="00861BFA" w:rsidRPr="00861BFA">
        <w:rPr>
          <w:rFonts w:ascii="Arial" w:hAnsi="Arial" w:cs="Arial"/>
          <w:iCs/>
          <w:color w:val="242121"/>
          <w:szCs w:val="24"/>
        </w:rPr>
        <w:t>.’</w:t>
      </w:r>
    </w:p>
    <w:p w:rsidR="000B1791" w:rsidRPr="001F66F7" w:rsidRDefault="000B1791" w:rsidP="001F66F7">
      <w:pPr>
        <w:spacing w:after="0" w:line="360" w:lineRule="auto"/>
        <w:contextualSpacing/>
        <w:jc w:val="both"/>
        <w:rPr>
          <w:rFonts w:ascii="Arial" w:hAnsi="Arial" w:cs="Arial"/>
          <w:iCs/>
          <w:color w:val="242121"/>
          <w:sz w:val="24"/>
          <w:szCs w:val="24"/>
        </w:rPr>
      </w:pPr>
    </w:p>
    <w:p w:rsidR="003535C4" w:rsidRDefault="003535C4" w:rsidP="003535C4">
      <w:pPr>
        <w:pStyle w:val="BodyA"/>
        <w:pBdr>
          <w:top w:val="none" w:sz="0" w:space="0" w:color="auto"/>
          <w:left w:val="none" w:sz="0" w:space="0" w:color="auto"/>
          <w:bottom w:val="none" w:sz="0" w:space="0" w:color="auto"/>
          <w:right w:val="none" w:sz="0" w:space="0" w:color="auto"/>
        </w:pBdr>
        <w:suppressAutoHyphens/>
        <w:spacing w:line="360" w:lineRule="auto"/>
        <w:contextualSpacing/>
        <w:jc w:val="both"/>
        <w:outlineLvl w:val="0"/>
        <w:rPr>
          <w:rFonts w:cs="Arial"/>
        </w:rPr>
      </w:pPr>
      <w:r>
        <w:rPr>
          <w:rFonts w:cs="Arial"/>
        </w:rPr>
        <w:t>[</w:t>
      </w:r>
      <w:r w:rsidR="00DB00B2">
        <w:rPr>
          <w:rFonts w:cs="Arial"/>
        </w:rPr>
        <w:t>32</w:t>
      </w:r>
      <w:r>
        <w:rPr>
          <w:rFonts w:cs="Arial"/>
        </w:rPr>
        <w:t>]</w:t>
      </w:r>
      <w:r>
        <w:rPr>
          <w:rFonts w:cs="Arial"/>
        </w:rPr>
        <w:tab/>
      </w:r>
      <w:r w:rsidR="000B1791" w:rsidRPr="001F66F7">
        <w:rPr>
          <w:rFonts w:cs="Arial"/>
        </w:rPr>
        <w:t xml:space="preserve">The discretion vested in the court when dealing with the question of hearing oral evidence is set out in </w:t>
      </w:r>
      <w:r w:rsidR="000B1791" w:rsidRPr="001F66F7">
        <w:rPr>
          <w:rFonts w:cs="Arial"/>
          <w:i/>
          <w:iCs/>
        </w:rPr>
        <w:t>Pahad Shipping CC</w:t>
      </w:r>
      <w:r w:rsidR="000B1791" w:rsidRPr="001F66F7">
        <w:rPr>
          <w:rFonts w:cs="Arial"/>
        </w:rPr>
        <w:t xml:space="preserve"> v </w:t>
      </w:r>
      <w:r w:rsidR="000B1791" w:rsidRPr="001F66F7">
        <w:rPr>
          <w:rFonts w:cs="Arial"/>
          <w:i/>
          <w:iCs/>
        </w:rPr>
        <w:t>Commissioner</w:t>
      </w:r>
      <w:r>
        <w:rPr>
          <w:rFonts w:cs="Arial"/>
          <w:i/>
          <w:iCs/>
        </w:rPr>
        <w:t>,</w:t>
      </w:r>
      <w:r w:rsidR="000B1791" w:rsidRPr="001F66F7">
        <w:rPr>
          <w:rFonts w:cs="Arial"/>
          <w:i/>
          <w:iCs/>
        </w:rPr>
        <w:t xml:space="preserve"> </w:t>
      </w:r>
      <w:r>
        <w:rPr>
          <w:rFonts w:cs="Arial"/>
          <w:i/>
          <w:iCs/>
        </w:rPr>
        <w:t>SARS</w:t>
      </w:r>
      <w:r w:rsidR="000B1791" w:rsidRPr="001F66F7">
        <w:rPr>
          <w:rFonts w:cs="Arial"/>
          <w:i/>
          <w:iCs/>
        </w:rPr>
        <w:t>,</w:t>
      </w:r>
      <w:r w:rsidRPr="001F66F7">
        <w:rPr>
          <w:rFonts w:cs="Arial"/>
          <w:vertAlign w:val="superscript"/>
        </w:rPr>
        <w:footnoteReference w:id="3"/>
      </w:r>
      <w:r w:rsidR="000B1791" w:rsidRPr="001F66F7">
        <w:rPr>
          <w:rFonts w:cs="Arial"/>
        </w:rPr>
        <w:t xml:space="preserve"> and was expressed by the </w:t>
      </w:r>
      <w:r w:rsidR="00537A23">
        <w:rPr>
          <w:rFonts w:cs="Arial"/>
        </w:rPr>
        <w:t>c</w:t>
      </w:r>
      <w:r w:rsidR="000B1791" w:rsidRPr="001F66F7">
        <w:rPr>
          <w:rFonts w:cs="Arial"/>
        </w:rPr>
        <w:t xml:space="preserve">ourt as follows: </w:t>
      </w:r>
    </w:p>
    <w:p w:rsidR="003535C4" w:rsidRDefault="000B1791" w:rsidP="003535C4">
      <w:pPr>
        <w:pStyle w:val="BodyA"/>
        <w:pBdr>
          <w:top w:val="none" w:sz="0" w:space="0" w:color="auto"/>
          <w:left w:val="none" w:sz="0" w:space="0" w:color="auto"/>
          <w:bottom w:val="none" w:sz="0" w:space="0" w:color="auto"/>
          <w:right w:val="none" w:sz="0" w:space="0" w:color="auto"/>
        </w:pBdr>
        <w:suppressAutoHyphens/>
        <w:spacing w:line="360" w:lineRule="auto"/>
        <w:contextualSpacing/>
        <w:jc w:val="both"/>
        <w:outlineLvl w:val="0"/>
        <w:rPr>
          <w:rFonts w:cs="Arial"/>
          <w:sz w:val="22"/>
          <w:szCs w:val="22"/>
          <w:lang w:val="en-GB"/>
        </w:rPr>
      </w:pPr>
      <w:r w:rsidRPr="003535C4">
        <w:rPr>
          <w:rFonts w:cs="Arial"/>
          <w:sz w:val="22"/>
          <w:szCs w:val="22"/>
        </w:rPr>
        <w:t>‘</w:t>
      </w:r>
      <w:r w:rsidR="003535C4" w:rsidRPr="003535C4">
        <w:rPr>
          <w:rFonts w:cs="Arial"/>
          <w:sz w:val="22"/>
          <w:szCs w:val="22"/>
          <w:lang w:val="en-GB"/>
        </w:rPr>
        <w:t>[19] In terms of rule 6(5)(g) a court has a wide discretion in regard to the hearing of oral evidence where an application cannot properly be decided on affidavit…</w:t>
      </w:r>
    </w:p>
    <w:p w:rsidR="000B1791" w:rsidRPr="001F66F7" w:rsidRDefault="003535C4" w:rsidP="003535C4">
      <w:pPr>
        <w:pStyle w:val="BodyA"/>
        <w:pBdr>
          <w:top w:val="none" w:sz="0" w:space="0" w:color="auto"/>
          <w:left w:val="none" w:sz="0" w:space="0" w:color="auto"/>
          <w:bottom w:val="none" w:sz="0" w:space="0" w:color="auto"/>
          <w:right w:val="none" w:sz="0" w:space="0" w:color="auto"/>
        </w:pBdr>
        <w:suppressAutoHyphens/>
        <w:spacing w:line="360" w:lineRule="auto"/>
        <w:contextualSpacing/>
        <w:jc w:val="both"/>
        <w:outlineLvl w:val="0"/>
        <w:rPr>
          <w:rFonts w:cs="Arial"/>
        </w:rPr>
      </w:pPr>
      <w:r>
        <w:rPr>
          <w:rFonts w:cs="Arial"/>
          <w:sz w:val="22"/>
          <w:szCs w:val="22"/>
          <w:lang w:val="en-GB"/>
        </w:rPr>
        <w:t>[</w:t>
      </w:r>
      <w:r w:rsidRPr="003535C4">
        <w:rPr>
          <w:rFonts w:cs="Arial"/>
          <w:bCs/>
          <w:sz w:val="22"/>
          <w:szCs w:val="22"/>
          <w:lang w:val="en-GB"/>
        </w:rPr>
        <w:t>20]</w:t>
      </w:r>
      <w:r w:rsidRPr="003535C4">
        <w:rPr>
          <w:rFonts w:cs="Arial"/>
          <w:sz w:val="22"/>
          <w:szCs w:val="22"/>
          <w:lang w:val="en-GB"/>
        </w:rPr>
        <w:t> However, it has been held in a number of cases that an application to refer a matter to evidence should be made at the outset and not after argument on the merits… As was stated by Corbett JA in </w:t>
      </w:r>
      <w:r w:rsidRPr="003535C4">
        <w:rPr>
          <w:rFonts w:cs="Arial"/>
          <w:i/>
          <w:iCs/>
          <w:sz w:val="22"/>
          <w:szCs w:val="22"/>
          <w:lang w:val="en-GB"/>
        </w:rPr>
        <w:t>Kalil</w:t>
      </w:r>
      <w:r w:rsidRPr="003535C4">
        <w:rPr>
          <w:rFonts w:cs="Arial"/>
          <w:sz w:val="22"/>
          <w:szCs w:val="22"/>
          <w:lang w:val="en-GB"/>
        </w:rPr>
        <w:t> at 981E-F the rule is a salutary general rule. Unnecessary costs and delay can be avoided by following the general rule. But Corbett JA also stated that the rule is not inflexible. In </w:t>
      </w:r>
      <w:r w:rsidRPr="003535C4">
        <w:rPr>
          <w:rFonts w:cs="Arial"/>
          <w:i/>
          <w:iCs/>
          <w:sz w:val="22"/>
          <w:szCs w:val="22"/>
          <w:lang w:val="en-GB"/>
        </w:rPr>
        <w:t>Du Plessis and another NNO v Rolfes Ltd</w:t>
      </w:r>
      <w:r w:rsidRPr="003535C4">
        <w:rPr>
          <w:rFonts w:cs="Arial"/>
          <w:sz w:val="22"/>
          <w:szCs w:val="22"/>
          <w:lang w:val="en-GB"/>
        </w:rPr>
        <w:t> </w:t>
      </w:r>
      <w:r w:rsidRPr="003535C4">
        <w:rPr>
          <w:rFonts w:cs="Arial"/>
          <w:bCs/>
          <w:sz w:val="22"/>
          <w:szCs w:val="22"/>
          <w:lang w:val="en-GB"/>
        </w:rPr>
        <w:t>[1996] ZASCA 45</w:t>
      </w:r>
      <w:r w:rsidRPr="003535C4">
        <w:rPr>
          <w:rFonts w:cs="Arial"/>
          <w:sz w:val="22"/>
          <w:szCs w:val="22"/>
          <w:lang w:val="en-GB"/>
        </w:rPr>
        <w:t>; </w:t>
      </w:r>
      <w:r w:rsidRPr="003535C4">
        <w:rPr>
          <w:rFonts w:cs="Arial"/>
          <w:bCs/>
          <w:sz w:val="22"/>
          <w:szCs w:val="22"/>
          <w:lang w:val="en-GB"/>
        </w:rPr>
        <w:t>1997 (2) SA 354</w:t>
      </w:r>
      <w:r w:rsidRPr="003535C4">
        <w:rPr>
          <w:rFonts w:cs="Arial"/>
          <w:sz w:val="22"/>
          <w:szCs w:val="22"/>
          <w:lang w:val="en-GB"/>
        </w:rPr>
        <w:t> (A) at 366G-367A this court dealt with an application which was made for the first time during argument in this court. The application was dismissed but it is implicit in the judgment that, in appropriate circumstances, this court may decide that a matter should be referred to evidence even where no application for such referral had been made in the court below…</w:t>
      </w:r>
      <w:r w:rsidR="000B1791" w:rsidRPr="001F66F7">
        <w:rPr>
          <w:rFonts w:cs="Arial"/>
        </w:rPr>
        <w:t xml:space="preserve">’ </w:t>
      </w:r>
    </w:p>
    <w:p w:rsidR="000B1791" w:rsidRPr="001F66F7" w:rsidRDefault="000B1791" w:rsidP="003535C4">
      <w:pPr>
        <w:spacing w:after="0" w:line="360" w:lineRule="auto"/>
        <w:contextualSpacing/>
        <w:jc w:val="both"/>
        <w:rPr>
          <w:rFonts w:ascii="Arial" w:hAnsi="Arial" w:cs="Arial"/>
          <w:iCs/>
          <w:color w:val="242121"/>
          <w:sz w:val="24"/>
          <w:szCs w:val="24"/>
        </w:rPr>
      </w:pPr>
    </w:p>
    <w:p w:rsidR="00537A23" w:rsidRDefault="00537A23" w:rsidP="001F66F7">
      <w:pPr>
        <w:spacing w:after="0" w:line="360" w:lineRule="auto"/>
        <w:contextualSpacing/>
        <w:jc w:val="both"/>
        <w:rPr>
          <w:rFonts w:ascii="Arial" w:hAnsi="Arial" w:cs="Arial"/>
          <w:color w:val="000000" w:themeColor="text1"/>
          <w:w w:val="105"/>
          <w:sz w:val="24"/>
          <w:szCs w:val="24"/>
        </w:rPr>
      </w:pPr>
      <w:r>
        <w:rPr>
          <w:rFonts w:ascii="Arial" w:hAnsi="Arial" w:cs="Arial"/>
          <w:iCs/>
          <w:color w:val="242121"/>
          <w:sz w:val="24"/>
          <w:szCs w:val="24"/>
        </w:rPr>
        <w:t>[</w:t>
      </w:r>
      <w:r w:rsidR="00DB00B2">
        <w:rPr>
          <w:rFonts w:ascii="Arial" w:hAnsi="Arial" w:cs="Arial"/>
          <w:iCs/>
          <w:color w:val="242121"/>
          <w:sz w:val="24"/>
          <w:szCs w:val="24"/>
        </w:rPr>
        <w:t>33</w:t>
      </w:r>
      <w:r>
        <w:rPr>
          <w:rFonts w:ascii="Arial" w:hAnsi="Arial" w:cs="Arial"/>
          <w:iCs/>
          <w:color w:val="242121"/>
          <w:sz w:val="24"/>
          <w:szCs w:val="24"/>
        </w:rPr>
        <w:t>]</w:t>
      </w:r>
      <w:r>
        <w:rPr>
          <w:rFonts w:ascii="Arial" w:hAnsi="Arial" w:cs="Arial"/>
          <w:iCs/>
          <w:color w:val="242121"/>
          <w:sz w:val="24"/>
          <w:szCs w:val="24"/>
        </w:rPr>
        <w:tab/>
      </w:r>
      <w:r w:rsidR="0081321A" w:rsidRPr="001F66F7">
        <w:rPr>
          <w:rFonts w:ascii="Arial" w:hAnsi="Arial" w:cs="Arial"/>
          <w:iCs/>
          <w:color w:val="242121"/>
          <w:sz w:val="24"/>
          <w:szCs w:val="24"/>
        </w:rPr>
        <w:t xml:space="preserve">In </w:t>
      </w:r>
      <w:r w:rsidR="0081321A" w:rsidRPr="001F66F7">
        <w:rPr>
          <w:rFonts w:ascii="Arial" w:hAnsi="Arial" w:cs="Arial"/>
          <w:i/>
          <w:sz w:val="24"/>
          <w:szCs w:val="24"/>
        </w:rPr>
        <w:t>Iclear Payment (Pty) Ltd v Honeywell,</w:t>
      </w:r>
      <w:r w:rsidR="0081321A" w:rsidRPr="001F66F7">
        <w:rPr>
          <w:rStyle w:val="FootnoteReference"/>
          <w:rFonts w:ascii="Arial" w:hAnsi="Arial" w:cs="Arial"/>
          <w:sz w:val="24"/>
          <w:szCs w:val="24"/>
        </w:rPr>
        <w:footnoteReference w:id="4"/>
      </w:r>
      <w:r w:rsidR="0081321A" w:rsidRPr="001F66F7">
        <w:rPr>
          <w:rFonts w:ascii="Arial" w:hAnsi="Arial" w:cs="Arial"/>
          <w:sz w:val="24"/>
          <w:szCs w:val="24"/>
        </w:rPr>
        <w:t xml:space="preserve">  </w:t>
      </w:r>
      <w:r w:rsidR="000B1791" w:rsidRPr="001F66F7">
        <w:rPr>
          <w:rFonts w:ascii="Arial" w:hAnsi="Arial" w:cs="Arial"/>
          <w:sz w:val="24"/>
          <w:szCs w:val="24"/>
        </w:rPr>
        <w:t>the court remarked as follows:</w:t>
      </w:r>
      <w:r w:rsidR="000B1791" w:rsidRPr="001F66F7">
        <w:rPr>
          <w:rFonts w:ascii="Arial" w:hAnsi="Arial" w:cs="Arial"/>
          <w:color w:val="000000" w:themeColor="text1"/>
          <w:w w:val="105"/>
          <w:sz w:val="24"/>
          <w:szCs w:val="24"/>
        </w:rPr>
        <w:t xml:space="preserve"> </w:t>
      </w:r>
    </w:p>
    <w:p w:rsidR="00F879B8" w:rsidRPr="00832C46" w:rsidRDefault="00537A23" w:rsidP="00832C46">
      <w:pPr>
        <w:spacing w:after="0" w:line="360" w:lineRule="auto"/>
        <w:contextualSpacing/>
        <w:jc w:val="both"/>
        <w:rPr>
          <w:rFonts w:ascii="Arial" w:hAnsi="Arial" w:cs="Arial"/>
        </w:rPr>
      </w:pPr>
      <w:r w:rsidRPr="00832C46">
        <w:rPr>
          <w:rFonts w:ascii="Arial" w:hAnsi="Arial" w:cs="Arial"/>
        </w:rPr>
        <w:t>‘</w:t>
      </w:r>
      <w:r w:rsidR="000B1791" w:rsidRPr="00832C46">
        <w:rPr>
          <w:rFonts w:ascii="Arial" w:hAnsi="Arial" w:cs="Arial"/>
        </w:rPr>
        <w:t>In my view, to simply allow a litigant to resort to a referral to oral evidence when the shoe pinches in motion proceedings, would be to condone irregular procedure.</w:t>
      </w:r>
      <w:r w:rsidRPr="00832C46">
        <w:rPr>
          <w:rFonts w:ascii="Arial" w:hAnsi="Arial" w:cs="Arial"/>
        </w:rPr>
        <w:t>’</w:t>
      </w:r>
      <w:r w:rsidR="000B1791" w:rsidRPr="00832C46">
        <w:rPr>
          <w:rFonts w:ascii="Arial" w:hAnsi="Arial" w:cs="Arial"/>
        </w:rPr>
        <w:t xml:space="preserve"> </w:t>
      </w:r>
    </w:p>
    <w:p w:rsidR="00F879B8" w:rsidRPr="001F66F7" w:rsidRDefault="00F879B8" w:rsidP="001F66F7">
      <w:pPr>
        <w:pStyle w:val="ListParagraph"/>
        <w:tabs>
          <w:tab w:val="left" w:pos="965"/>
        </w:tabs>
        <w:spacing w:after="0" w:line="360" w:lineRule="auto"/>
        <w:ind w:left="0"/>
        <w:jc w:val="both"/>
        <w:rPr>
          <w:rFonts w:ascii="Arial" w:hAnsi="Arial" w:cs="Arial"/>
          <w:color w:val="000000" w:themeColor="text1"/>
          <w:sz w:val="24"/>
          <w:szCs w:val="24"/>
        </w:rPr>
      </w:pPr>
    </w:p>
    <w:p w:rsidR="009A6125" w:rsidRPr="00BE2DA2" w:rsidRDefault="00F10444" w:rsidP="00696B3A">
      <w:pPr>
        <w:widowControl w:val="0"/>
        <w:autoSpaceDE w:val="0"/>
        <w:autoSpaceDN w:val="0"/>
        <w:spacing w:after="0" w:line="360" w:lineRule="auto"/>
        <w:jc w:val="both"/>
        <w:rPr>
          <w:rFonts w:ascii="Arial" w:hAnsi="Arial" w:cs="Arial"/>
          <w:sz w:val="24"/>
        </w:rPr>
      </w:pPr>
      <w:r w:rsidRPr="001F66F7">
        <w:rPr>
          <w:rFonts w:ascii="Arial" w:hAnsi="Arial" w:cs="Arial"/>
          <w:color w:val="000000" w:themeColor="text1"/>
          <w:w w:val="105"/>
          <w:sz w:val="24"/>
          <w:szCs w:val="24"/>
        </w:rPr>
        <w:t>[3</w:t>
      </w:r>
      <w:r w:rsidR="00DB00B2">
        <w:rPr>
          <w:rFonts w:ascii="Arial" w:hAnsi="Arial" w:cs="Arial"/>
          <w:color w:val="000000" w:themeColor="text1"/>
          <w:w w:val="105"/>
          <w:sz w:val="24"/>
          <w:szCs w:val="24"/>
        </w:rPr>
        <w:t>4</w:t>
      </w:r>
      <w:r w:rsidRPr="001F66F7">
        <w:rPr>
          <w:rFonts w:ascii="Arial" w:hAnsi="Arial" w:cs="Arial"/>
          <w:color w:val="000000" w:themeColor="text1"/>
          <w:w w:val="105"/>
          <w:sz w:val="24"/>
          <w:szCs w:val="24"/>
        </w:rPr>
        <w:t>]</w:t>
      </w:r>
      <w:r w:rsidRPr="001F66F7">
        <w:rPr>
          <w:rFonts w:ascii="Arial" w:hAnsi="Arial" w:cs="Arial"/>
          <w:color w:val="000000" w:themeColor="text1"/>
          <w:w w:val="105"/>
          <w:sz w:val="24"/>
          <w:szCs w:val="24"/>
        </w:rPr>
        <w:tab/>
      </w:r>
      <w:r w:rsidR="00696B3A" w:rsidRPr="00BE2DA2">
        <w:rPr>
          <w:rFonts w:ascii="Arial" w:hAnsi="Arial" w:cs="Arial"/>
          <w:sz w:val="24"/>
        </w:rPr>
        <w:t>Crystal Pier should have anticipated that that the matter may have to be referred to oral evidence when</w:t>
      </w:r>
      <w:r w:rsidR="00375B61">
        <w:rPr>
          <w:rFonts w:ascii="Arial" w:hAnsi="Arial" w:cs="Arial"/>
          <w:sz w:val="24"/>
        </w:rPr>
        <w:t xml:space="preserve"> </w:t>
      </w:r>
      <w:r w:rsidR="00BA23AA" w:rsidRPr="00BE2DA2">
        <w:rPr>
          <w:rFonts w:ascii="Arial" w:hAnsi="Arial" w:cs="Arial"/>
          <w:sz w:val="24"/>
        </w:rPr>
        <w:t xml:space="preserve">Mr </w:t>
      </w:r>
      <w:r w:rsidR="00696B3A" w:rsidRPr="00BE2DA2">
        <w:rPr>
          <w:rFonts w:ascii="Arial" w:hAnsi="Arial" w:cs="Arial"/>
          <w:sz w:val="24"/>
        </w:rPr>
        <w:t>P</w:t>
      </w:r>
      <w:r w:rsidR="00BA23AA" w:rsidRPr="00BE2DA2">
        <w:rPr>
          <w:rFonts w:ascii="Arial" w:hAnsi="Arial" w:cs="Arial"/>
          <w:sz w:val="24"/>
        </w:rPr>
        <w:t xml:space="preserve">ersad </w:t>
      </w:r>
      <w:r w:rsidR="00696B3A" w:rsidRPr="00BE2DA2">
        <w:rPr>
          <w:rFonts w:ascii="Arial" w:hAnsi="Arial" w:cs="Arial"/>
          <w:sz w:val="24"/>
        </w:rPr>
        <w:t xml:space="preserve">signed </w:t>
      </w:r>
      <w:r w:rsidR="00BA23AA" w:rsidRPr="00BE2DA2">
        <w:rPr>
          <w:rFonts w:ascii="Arial" w:hAnsi="Arial" w:cs="Arial"/>
          <w:sz w:val="24"/>
        </w:rPr>
        <w:t>a supplementary affidavit which was substantial</w:t>
      </w:r>
      <w:r w:rsidR="00375B61">
        <w:rPr>
          <w:rFonts w:ascii="Arial" w:hAnsi="Arial" w:cs="Arial"/>
          <w:sz w:val="24"/>
        </w:rPr>
        <w:t>ly</w:t>
      </w:r>
      <w:r w:rsidR="00BA23AA" w:rsidRPr="00BE2DA2">
        <w:rPr>
          <w:rFonts w:ascii="Arial" w:hAnsi="Arial" w:cs="Arial"/>
          <w:sz w:val="24"/>
        </w:rPr>
        <w:t xml:space="preserve"> different from the </w:t>
      </w:r>
      <w:r w:rsidR="00964F5C" w:rsidRPr="00BE2DA2">
        <w:rPr>
          <w:rFonts w:ascii="Arial" w:hAnsi="Arial" w:cs="Arial"/>
          <w:sz w:val="24"/>
        </w:rPr>
        <w:t>previous</w:t>
      </w:r>
      <w:r w:rsidR="00BA23AA" w:rsidRPr="00BE2DA2">
        <w:rPr>
          <w:rFonts w:ascii="Arial" w:hAnsi="Arial" w:cs="Arial"/>
          <w:sz w:val="24"/>
        </w:rPr>
        <w:t xml:space="preserve"> </w:t>
      </w:r>
      <w:r w:rsidR="00964F5C" w:rsidRPr="00BE2DA2">
        <w:rPr>
          <w:rFonts w:ascii="Arial" w:hAnsi="Arial" w:cs="Arial"/>
          <w:sz w:val="24"/>
        </w:rPr>
        <w:t>affidavit</w:t>
      </w:r>
      <w:r w:rsidR="00BA23AA" w:rsidRPr="00BE2DA2">
        <w:rPr>
          <w:rFonts w:ascii="Arial" w:hAnsi="Arial" w:cs="Arial"/>
          <w:sz w:val="24"/>
        </w:rPr>
        <w:t xml:space="preserve"> </w:t>
      </w:r>
      <w:r w:rsidR="00696B3A" w:rsidRPr="00BE2DA2">
        <w:rPr>
          <w:rFonts w:ascii="Arial" w:hAnsi="Arial" w:cs="Arial"/>
          <w:sz w:val="24"/>
        </w:rPr>
        <w:t xml:space="preserve">which </w:t>
      </w:r>
      <w:r w:rsidR="00BA23AA" w:rsidRPr="00BE2DA2">
        <w:rPr>
          <w:rFonts w:ascii="Arial" w:hAnsi="Arial" w:cs="Arial"/>
          <w:sz w:val="24"/>
        </w:rPr>
        <w:t xml:space="preserve">he had </w:t>
      </w:r>
      <w:r w:rsidR="00964F5C" w:rsidRPr="00BE2DA2">
        <w:rPr>
          <w:rFonts w:ascii="Arial" w:hAnsi="Arial" w:cs="Arial"/>
          <w:sz w:val="24"/>
        </w:rPr>
        <w:t>confirmed</w:t>
      </w:r>
      <w:r w:rsidR="00E46341" w:rsidRPr="00BE2DA2">
        <w:rPr>
          <w:rFonts w:ascii="Arial" w:hAnsi="Arial" w:cs="Arial"/>
          <w:sz w:val="24"/>
        </w:rPr>
        <w:t>.</w:t>
      </w:r>
      <w:r w:rsidR="00BA23AA" w:rsidRPr="00BE2DA2">
        <w:rPr>
          <w:rFonts w:ascii="Arial" w:hAnsi="Arial" w:cs="Arial"/>
          <w:sz w:val="24"/>
        </w:rPr>
        <w:t xml:space="preserve"> </w:t>
      </w:r>
      <w:r w:rsidRPr="00BE2DA2">
        <w:rPr>
          <w:rFonts w:ascii="Arial" w:hAnsi="Arial" w:cs="Arial"/>
          <w:sz w:val="24"/>
        </w:rPr>
        <w:t>No notice</w:t>
      </w:r>
      <w:r w:rsidR="00E46341" w:rsidRPr="00BE2DA2">
        <w:rPr>
          <w:rFonts w:ascii="Arial" w:hAnsi="Arial" w:cs="Arial"/>
          <w:sz w:val="24"/>
        </w:rPr>
        <w:t xml:space="preserve"> was given to </w:t>
      </w:r>
      <w:r w:rsidR="00696B3A" w:rsidRPr="00BE2DA2">
        <w:rPr>
          <w:rFonts w:ascii="Arial" w:hAnsi="Arial" w:cs="Arial"/>
          <w:sz w:val="24"/>
        </w:rPr>
        <w:t>Nile Dutch</w:t>
      </w:r>
      <w:r w:rsidR="00E46341" w:rsidRPr="00BE2DA2">
        <w:rPr>
          <w:rFonts w:ascii="Arial" w:hAnsi="Arial" w:cs="Arial"/>
          <w:sz w:val="24"/>
        </w:rPr>
        <w:t xml:space="preserve">, </w:t>
      </w:r>
      <w:r w:rsidR="00696B3A" w:rsidRPr="00BE2DA2">
        <w:rPr>
          <w:rFonts w:ascii="Arial" w:hAnsi="Arial" w:cs="Arial"/>
          <w:sz w:val="24"/>
        </w:rPr>
        <w:t xml:space="preserve">and </w:t>
      </w:r>
      <w:r w:rsidR="001B27EE" w:rsidRPr="00BE2DA2">
        <w:rPr>
          <w:rFonts w:ascii="Arial" w:hAnsi="Arial" w:cs="Arial"/>
          <w:sz w:val="24"/>
        </w:rPr>
        <w:t>the</w:t>
      </w:r>
      <w:r w:rsidR="004B1B69" w:rsidRPr="00BE2DA2">
        <w:rPr>
          <w:rFonts w:ascii="Arial" w:hAnsi="Arial" w:cs="Arial"/>
          <w:sz w:val="24"/>
        </w:rPr>
        <w:t xml:space="preserve"> application </w:t>
      </w:r>
      <w:r w:rsidR="001B27EE" w:rsidRPr="00BE2DA2">
        <w:rPr>
          <w:rFonts w:ascii="Arial" w:hAnsi="Arial" w:cs="Arial"/>
          <w:sz w:val="24"/>
        </w:rPr>
        <w:t xml:space="preserve">was brought for </w:t>
      </w:r>
      <w:r w:rsidR="004B1B69" w:rsidRPr="00BE2DA2">
        <w:rPr>
          <w:rFonts w:ascii="Arial" w:hAnsi="Arial" w:cs="Arial"/>
          <w:sz w:val="24"/>
        </w:rPr>
        <w:t xml:space="preserve">the first time during </w:t>
      </w:r>
      <w:r w:rsidRPr="00BE2DA2">
        <w:rPr>
          <w:rFonts w:ascii="Arial" w:hAnsi="Arial" w:cs="Arial"/>
          <w:sz w:val="24"/>
        </w:rPr>
        <w:t>oral</w:t>
      </w:r>
      <w:r w:rsidR="007F7C93" w:rsidRPr="00BE2DA2">
        <w:rPr>
          <w:rFonts w:ascii="Arial" w:hAnsi="Arial" w:cs="Arial"/>
          <w:sz w:val="24"/>
        </w:rPr>
        <w:t xml:space="preserve"> </w:t>
      </w:r>
      <w:r w:rsidR="004B1B69" w:rsidRPr="00BE2DA2">
        <w:rPr>
          <w:rFonts w:ascii="Arial" w:hAnsi="Arial" w:cs="Arial"/>
          <w:sz w:val="24"/>
        </w:rPr>
        <w:t>argument</w:t>
      </w:r>
      <w:r w:rsidR="00696B3A" w:rsidRPr="00BE2DA2">
        <w:rPr>
          <w:rFonts w:ascii="Arial" w:hAnsi="Arial" w:cs="Arial"/>
          <w:sz w:val="24"/>
        </w:rPr>
        <w:t>.</w:t>
      </w:r>
      <w:r w:rsidRPr="00BE2DA2">
        <w:rPr>
          <w:rFonts w:ascii="Arial" w:hAnsi="Arial" w:cs="Arial"/>
          <w:sz w:val="24"/>
        </w:rPr>
        <w:t xml:space="preserve"> I</w:t>
      </w:r>
      <w:r w:rsidR="00E46341" w:rsidRPr="00BE2DA2">
        <w:rPr>
          <w:rFonts w:ascii="Arial" w:hAnsi="Arial" w:cs="Arial"/>
          <w:sz w:val="24"/>
        </w:rPr>
        <w:t xml:space="preserve"> a</w:t>
      </w:r>
      <w:r w:rsidR="004B1B69" w:rsidRPr="00BE2DA2">
        <w:rPr>
          <w:rFonts w:ascii="Arial" w:hAnsi="Arial" w:cs="Arial"/>
          <w:sz w:val="24"/>
        </w:rPr>
        <w:t>m in agreeme</w:t>
      </w:r>
      <w:r w:rsidR="007F7C93" w:rsidRPr="00BE2DA2">
        <w:rPr>
          <w:rFonts w:ascii="Arial" w:hAnsi="Arial" w:cs="Arial"/>
          <w:sz w:val="24"/>
        </w:rPr>
        <w:t xml:space="preserve">nt with </w:t>
      </w:r>
      <w:r w:rsidR="00696B3A" w:rsidRPr="00BE2DA2">
        <w:rPr>
          <w:rFonts w:ascii="Arial" w:hAnsi="Arial" w:cs="Arial"/>
          <w:sz w:val="24"/>
        </w:rPr>
        <w:t>Nile Dutch</w:t>
      </w:r>
      <w:r w:rsidR="007F7C93" w:rsidRPr="00BE2DA2">
        <w:rPr>
          <w:rFonts w:ascii="Arial" w:hAnsi="Arial" w:cs="Arial"/>
          <w:sz w:val="24"/>
        </w:rPr>
        <w:t xml:space="preserve"> that it is extremely </w:t>
      </w:r>
      <w:r w:rsidRPr="00BE2DA2">
        <w:rPr>
          <w:rFonts w:ascii="Arial" w:hAnsi="Arial" w:cs="Arial"/>
          <w:sz w:val="24"/>
        </w:rPr>
        <w:t>late and</w:t>
      </w:r>
      <w:r w:rsidR="007F7C93" w:rsidRPr="00BE2DA2">
        <w:rPr>
          <w:rFonts w:ascii="Arial" w:hAnsi="Arial" w:cs="Arial"/>
          <w:sz w:val="24"/>
        </w:rPr>
        <w:t xml:space="preserve"> prejudicial to </w:t>
      </w:r>
      <w:r w:rsidR="00696B3A" w:rsidRPr="00BE2DA2">
        <w:rPr>
          <w:rFonts w:ascii="Arial" w:hAnsi="Arial" w:cs="Arial"/>
          <w:sz w:val="24"/>
        </w:rPr>
        <w:t>it</w:t>
      </w:r>
      <w:r w:rsidRPr="00BE2DA2">
        <w:rPr>
          <w:rFonts w:ascii="Arial" w:hAnsi="Arial" w:cs="Arial"/>
          <w:sz w:val="24"/>
        </w:rPr>
        <w:t xml:space="preserve"> and</w:t>
      </w:r>
      <w:r w:rsidR="00964F5C" w:rsidRPr="00BE2DA2">
        <w:rPr>
          <w:rFonts w:ascii="Arial" w:hAnsi="Arial" w:cs="Arial"/>
          <w:sz w:val="24"/>
        </w:rPr>
        <w:t xml:space="preserve"> is intended to relieve the pinch of a </w:t>
      </w:r>
      <w:r w:rsidRPr="00BE2DA2">
        <w:rPr>
          <w:rFonts w:ascii="Arial" w:hAnsi="Arial" w:cs="Arial"/>
          <w:sz w:val="24"/>
        </w:rPr>
        <w:t>shoe. The</w:t>
      </w:r>
      <w:r w:rsidR="00507DBC" w:rsidRPr="00BE2DA2">
        <w:rPr>
          <w:rFonts w:ascii="Arial" w:hAnsi="Arial" w:cs="Arial"/>
          <w:sz w:val="24"/>
        </w:rPr>
        <w:t xml:space="preserve"> </w:t>
      </w:r>
      <w:r w:rsidRPr="00BE2DA2">
        <w:rPr>
          <w:rFonts w:ascii="Arial" w:hAnsi="Arial" w:cs="Arial"/>
          <w:sz w:val="24"/>
        </w:rPr>
        <w:t>matter, therefore</w:t>
      </w:r>
      <w:r w:rsidR="00696B3A" w:rsidRPr="00BE2DA2">
        <w:rPr>
          <w:rFonts w:ascii="Arial" w:hAnsi="Arial" w:cs="Arial"/>
          <w:sz w:val="24"/>
        </w:rPr>
        <w:t>,</w:t>
      </w:r>
      <w:r w:rsidR="00507DBC" w:rsidRPr="00BE2DA2">
        <w:rPr>
          <w:rFonts w:ascii="Arial" w:hAnsi="Arial" w:cs="Arial"/>
          <w:sz w:val="24"/>
        </w:rPr>
        <w:t xml:space="preserve"> will </w:t>
      </w:r>
      <w:r w:rsidR="00375B61">
        <w:rPr>
          <w:rFonts w:ascii="Arial" w:hAnsi="Arial" w:cs="Arial"/>
          <w:sz w:val="24"/>
        </w:rPr>
        <w:t>not be referred to oral evidence</w:t>
      </w:r>
      <w:r w:rsidR="00696B3A" w:rsidRPr="00BE2DA2">
        <w:rPr>
          <w:rFonts w:ascii="Arial" w:hAnsi="Arial" w:cs="Arial"/>
          <w:sz w:val="24"/>
        </w:rPr>
        <w:t>.</w:t>
      </w:r>
    </w:p>
    <w:p w:rsidR="00F879B8" w:rsidRPr="001F66F7" w:rsidRDefault="00F879B8" w:rsidP="001F66F7">
      <w:pPr>
        <w:spacing w:after="0" w:line="360" w:lineRule="auto"/>
        <w:contextualSpacing/>
        <w:jc w:val="both"/>
        <w:rPr>
          <w:rFonts w:ascii="Arial" w:hAnsi="Arial" w:cs="Arial"/>
          <w:iCs/>
          <w:color w:val="242121"/>
          <w:sz w:val="24"/>
          <w:szCs w:val="24"/>
        </w:rPr>
      </w:pPr>
    </w:p>
    <w:p w:rsidR="00F879B8" w:rsidRPr="00DB00B2" w:rsidRDefault="000B1791" w:rsidP="001F66F7">
      <w:pPr>
        <w:spacing w:after="0" w:line="360" w:lineRule="auto"/>
        <w:contextualSpacing/>
        <w:jc w:val="both"/>
        <w:rPr>
          <w:rFonts w:ascii="Arial" w:hAnsi="Arial" w:cs="Arial"/>
          <w:b/>
          <w:iCs/>
          <w:color w:val="242121"/>
          <w:sz w:val="24"/>
          <w:szCs w:val="24"/>
        </w:rPr>
      </w:pPr>
      <w:r w:rsidRPr="00DB00B2">
        <w:rPr>
          <w:rFonts w:ascii="Arial" w:hAnsi="Arial" w:cs="Arial"/>
          <w:b/>
          <w:iCs/>
          <w:color w:val="242121"/>
          <w:sz w:val="24"/>
          <w:szCs w:val="24"/>
        </w:rPr>
        <w:t>Mr Persad</w:t>
      </w:r>
      <w:r w:rsidR="00ED584C">
        <w:rPr>
          <w:rFonts w:ascii="Arial" w:hAnsi="Arial" w:cs="Arial"/>
          <w:b/>
          <w:iCs/>
          <w:color w:val="242121"/>
          <w:sz w:val="24"/>
          <w:szCs w:val="24"/>
        </w:rPr>
        <w:t>’s</w:t>
      </w:r>
      <w:r w:rsidRPr="00DB00B2">
        <w:rPr>
          <w:rFonts w:ascii="Arial" w:hAnsi="Arial" w:cs="Arial"/>
          <w:b/>
          <w:iCs/>
          <w:color w:val="242121"/>
          <w:sz w:val="24"/>
          <w:szCs w:val="24"/>
        </w:rPr>
        <w:t xml:space="preserve"> credibil</w:t>
      </w:r>
      <w:r w:rsidR="00ED584C">
        <w:rPr>
          <w:rFonts w:ascii="Arial" w:hAnsi="Arial" w:cs="Arial"/>
          <w:b/>
          <w:iCs/>
          <w:color w:val="242121"/>
          <w:sz w:val="24"/>
          <w:szCs w:val="24"/>
        </w:rPr>
        <w:t>i</w:t>
      </w:r>
      <w:r w:rsidRPr="00DB00B2">
        <w:rPr>
          <w:rFonts w:ascii="Arial" w:hAnsi="Arial" w:cs="Arial"/>
          <w:b/>
          <w:iCs/>
          <w:color w:val="242121"/>
          <w:sz w:val="24"/>
          <w:szCs w:val="24"/>
        </w:rPr>
        <w:t>ty</w:t>
      </w:r>
    </w:p>
    <w:p w:rsidR="001C0FFF" w:rsidRPr="001F66F7" w:rsidRDefault="00537A23" w:rsidP="001F66F7">
      <w:pPr>
        <w:pStyle w:val="western"/>
        <w:shd w:val="clear" w:color="auto" w:fill="FFFFFF"/>
        <w:spacing w:before="0" w:beforeAutospacing="0" w:after="0" w:afterAutospacing="0" w:line="360" w:lineRule="auto"/>
        <w:contextualSpacing/>
        <w:jc w:val="both"/>
        <w:rPr>
          <w:rFonts w:ascii="Arial" w:hAnsi="Arial" w:cs="Arial"/>
          <w:lang w:val="en-ZA"/>
        </w:rPr>
      </w:pPr>
      <w:r>
        <w:rPr>
          <w:rFonts w:ascii="Arial" w:hAnsi="Arial" w:cs="Arial"/>
          <w:lang w:val="en-ZA"/>
        </w:rPr>
        <w:t>[</w:t>
      </w:r>
      <w:r w:rsidR="00DB00B2">
        <w:rPr>
          <w:rFonts w:ascii="Arial" w:hAnsi="Arial" w:cs="Arial"/>
          <w:lang w:val="en-ZA"/>
        </w:rPr>
        <w:t>35</w:t>
      </w:r>
      <w:r>
        <w:rPr>
          <w:rFonts w:ascii="Arial" w:hAnsi="Arial" w:cs="Arial"/>
          <w:lang w:val="en-ZA"/>
        </w:rPr>
        <w:t>]</w:t>
      </w:r>
      <w:r>
        <w:rPr>
          <w:rFonts w:ascii="Arial" w:hAnsi="Arial" w:cs="Arial"/>
          <w:lang w:val="en-ZA"/>
        </w:rPr>
        <w:tab/>
      </w:r>
      <w:r w:rsidR="00F06496" w:rsidRPr="001F66F7">
        <w:rPr>
          <w:rFonts w:ascii="Arial" w:hAnsi="Arial" w:cs="Arial"/>
          <w:lang w:val="en-ZA"/>
        </w:rPr>
        <w:t xml:space="preserve">Mr Persard deposed </w:t>
      </w:r>
      <w:r w:rsidR="00ED584C">
        <w:rPr>
          <w:rFonts w:ascii="Arial" w:hAnsi="Arial" w:cs="Arial"/>
          <w:lang w:val="en-ZA"/>
        </w:rPr>
        <w:t>to</w:t>
      </w:r>
      <w:r w:rsidR="00ED584C" w:rsidRPr="001F66F7">
        <w:rPr>
          <w:rFonts w:ascii="Arial" w:hAnsi="Arial" w:cs="Arial"/>
          <w:lang w:val="en-ZA"/>
        </w:rPr>
        <w:t xml:space="preserve"> </w:t>
      </w:r>
      <w:r w:rsidR="00F06496" w:rsidRPr="001F66F7">
        <w:rPr>
          <w:rFonts w:ascii="Arial" w:hAnsi="Arial" w:cs="Arial"/>
          <w:lang w:val="en-ZA"/>
        </w:rPr>
        <w:t xml:space="preserve">an affidavit confirming </w:t>
      </w:r>
      <w:r w:rsidR="00176211">
        <w:rPr>
          <w:rFonts w:ascii="Arial" w:hAnsi="Arial" w:cs="Arial"/>
          <w:lang w:val="en-ZA"/>
        </w:rPr>
        <w:t xml:space="preserve">an </w:t>
      </w:r>
      <w:r w:rsidR="00F06496" w:rsidRPr="001F66F7">
        <w:rPr>
          <w:rFonts w:ascii="Arial" w:hAnsi="Arial" w:cs="Arial"/>
          <w:lang w:val="en-ZA"/>
        </w:rPr>
        <w:t xml:space="preserve">admission by </w:t>
      </w:r>
      <w:r w:rsidR="00176211">
        <w:rPr>
          <w:rFonts w:ascii="Arial" w:hAnsi="Arial" w:cs="Arial"/>
          <w:lang w:val="en-ZA"/>
        </w:rPr>
        <w:t>Ms Maddocks</w:t>
      </w:r>
      <w:r w:rsidR="00F06496" w:rsidRPr="001F66F7">
        <w:rPr>
          <w:rFonts w:ascii="Arial" w:hAnsi="Arial" w:cs="Arial"/>
          <w:lang w:val="en-ZA"/>
        </w:rPr>
        <w:t xml:space="preserve"> th</w:t>
      </w:r>
      <w:r w:rsidR="00E46341" w:rsidRPr="001F66F7">
        <w:rPr>
          <w:rFonts w:ascii="Arial" w:hAnsi="Arial" w:cs="Arial"/>
          <w:lang w:val="en-ZA"/>
        </w:rPr>
        <w:t xml:space="preserve">at </w:t>
      </w:r>
      <w:r w:rsidR="00176211">
        <w:rPr>
          <w:rFonts w:ascii="Arial" w:hAnsi="Arial" w:cs="Arial"/>
          <w:lang w:val="en-ZA"/>
        </w:rPr>
        <w:t>Crystal Pier</w:t>
      </w:r>
      <w:r w:rsidR="00E46341" w:rsidRPr="001F66F7">
        <w:rPr>
          <w:rFonts w:ascii="Arial" w:hAnsi="Arial" w:cs="Arial"/>
          <w:lang w:val="en-ZA"/>
        </w:rPr>
        <w:t xml:space="preserve"> was indebted to </w:t>
      </w:r>
      <w:r w:rsidR="00176211">
        <w:rPr>
          <w:rFonts w:ascii="Arial" w:hAnsi="Arial" w:cs="Arial"/>
          <w:lang w:val="en-ZA"/>
        </w:rPr>
        <w:t>Nile Dutch</w:t>
      </w:r>
      <w:r w:rsidR="005C7D42" w:rsidRPr="001F66F7">
        <w:rPr>
          <w:rFonts w:ascii="Arial" w:hAnsi="Arial" w:cs="Arial"/>
          <w:lang w:val="en-ZA"/>
        </w:rPr>
        <w:t>.</w:t>
      </w:r>
    </w:p>
    <w:p w:rsidR="00F10444" w:rsidRPr="001F66F7" w:rsidRDefault="00F10444" w:rsidP="001F66F7">
      <w:pPr>
        <w:pStyle w:val="western"/>
        <w:shd w:val="clear" w:color="auto" w:fill="FFFFFF"/>
        <w:spacing w:before="0" w:beforeAutospacing="0" w:after="0" w:afterAutospacing="0" w:line="360" w:lineRule="auto"/>
        <w:contextualSpacing/>
        <w:jc w:val="both"/>
        <w:rPr>
          <w:rFonts w:ascii="Arial" w:hAnsi="Arial" w:cs="Arial"/>
          <w:lang w:val="en-ZA"/>
        </w:rPr>
      </w:pPr>
    </w:p>
    <w:p w:rsidR="00FB3DE8" w:rsidRPr="001F66F7" w:rsidRDefault="001C0FFF" w:rsidP="001F66F7">
      <w:pPr>
        <w:pStyle w:val="western"/>
        <w:shd w:val="clear" w:color="auto" w:fill="FFFFFF"/>
        <w:spacing w:before="0" w:beforeAutospacing="0" w:after="0" w:afterAutospacing="0" w:line="360" w:lineRule="auto"/>
        <w:contextualSpacing/>
        <w:jc w:val="both"/>
        <w:rPr>
          <w:rFonts w:ascii="Arial" w:hAnsi="Arial" w:cs="Arial"/>
          <w:lang w:val="en-ZA"/>
        </w:rPr>
      </w:pPr>
      <w:r w:rsidRPr="001F66F7">
        <w:rPr>
          <w:rFonts w:ascii="Arial" w:hAnsi="Arial" w:cs="Arial"/>
          <w:lang w:val="en-ZA"/>
        </w:rPr>
        <w:t>[</w:t>
      </w:r>
      <w:r w:rsidR="00F10444" w:rsidRPr="001F66F7">
        <w:rPr>
          <w:rFonts w:ascii="Arial" w:hAnsi="Arial" w:cs="Arial"/>
          <w:lang w:val="en-ZA"/>
        </w:rPr>
        <w:t>3</w:t>
      </w:r>
      <w:r w:rsidR="00DB00B2">
        <w:rPr>
          <w:rFonts w:ascii="Arial" w:hAnsi="Arial" w:cs="Arial"/>
          <w:lang w:val="en-ZA"/>
        </w:rPr>
        <w:t>6</w:t>
      </w:r>
      <w:r w:rsidRPr="001F66F7">
        <w:rPr>
          <w:rFonts w:ascii="Arial" w:hAnsi="Arial" w:cs="Arial"/>
          <w:lang w:val="en-ZA"/>
        </w:rPr>
        <w:t>]</w:t>
      </w:r>
      <w:r w:rsidRPr="001F66F7">
        <w:rPr>
          <w:rFonts w:ascii="Arial" w:hAnsi="Arial" w:cs="Arial"/>
          <w:lang w:val="en-ZA"/>
        </w:rPr>
        <w:tab/>
      </w:r>
      <w:r w:rsidR="008D2D82" w:rsidRPr="001F66F7">
        <w:rPr>
          <w:rFonts w:ascii="Arial" w:hAnsi="Arial" w:cs="Arial"/>
          <w:lang w:val="en-ZA"/>
        </w:rPr>
        <w:t>A c</w:t>
      </w:r>
      <w:r w:rsidR="00FB3DE8" w:rsidRPr="001F66F7">
        <w:rPr>
          <w:rFonts w:ascii="Arial" w:hAnsi="Arial" w:cs="Arial"/>
          <w:lang w:val="en-ZA"/>
        </w:rPr>
        <w:t xml:space="preserve">onfirmatory affidavit is </w:t>
      </w:r>
      <w:r w:rsidR="00430941" w:rsidRPr="001F66F7">
        <w:rPr>
          <w:rFonts w:ascii="Arial" w:hAnsi="Arial" w:cs="Arial"/>
          <w:lang w:val="en-ZA"/>
        </w:rPr>
        <w:t>required</w:t>
      </w:r>
      <w:r w:rsidR="00FB3DE8" w:rsidRPr="001F66F7">
        <w:rPr>
          <w:rFonts w:ascii="Arial" w:hAnsi="Arial" w:cs="Arial"/>
          <w:lang w:val="en-ZA"/>
        </w:rPr>
        <w:t xml:space="preserve"> when a person is mentioned in the primary affidavit</w:t>
      </w:r>
      <w:r w:rsidR="00430941" w:rsidRPr="001F66F7">
        <w:rPr>
          <w:rFonts w:ascii="Arial" w:hAnsi="Arial" w:cs="Arial"/>
          <w:lang w:val="en-ZA"/>
        </w:rPr>
        <w:t>,</w:t>
      </w:r>
      <w:r w:rsidR="00FB3DE8" w:rsidRPr="001F66F7">
        <w:rPr>
          <w:rFonts w:ascii="Arial" w:hAnsi="Arial" w:cs="Arial"/>
          <w:lang w:val="en-ZA"/>
        </w:rPr>
        <w:t xml:space="preserve"> as without </w:t>
      </w:r>
      <w:r w:rsidR="00430941" w:rsidRPr="001F66F7">
        <w:rPr>
          <w:rFonts w:ascii="Arial" w:hAnsi="Arial" w:cs="Arial"/>
          <w:lang w:val="en-ZA"/>
        </w:rPr>
        <w:t xml:space="preserve">such </w:t>
      </w:r>
      <w:r w:rsidR="00FB3DE8" w:rsidRPr="001F66F7">
        <w:rPr>
          <w:rFonts w:ascii="Arial" w:hAnsi="Arial" w:cs="Arial"/>
          <w:lang w:val="en-ZA"/>
        </w:rPr>
        <w:t xml:space="preserve">affidavit confirming the correctness of what was averred in the primary </w:t>
      </w:r>
      <w:r w:rsidR="00430941" w:rsidRPr="001F66F7">
        <w:rPr>
          <w:rFonts w:ascii="Arial" w:hAnsi="Arial" w:cs="Arial"/>
          <w:lang w:val="en-ZA"/>
        </w:rPr>
        <w:t xml:space="preserve">affidavit, </w:t>
      </w:r>
      <w:r w:rsidR="00FB3DE8" w:rsidRPr="001F66F7">
        <w:rPr>
          <w:rFonts w:ascii="Arial" w:hAnsi="Arial" w:cs="Arial"/>
          <w:lang w:val="en-ZA"/>
        </w:rPr>
        <w:t xml:space="preserve">the evidence </w:t>
      </w:r>
      <w:r w:rsidR="00430941" w:rsidRPr="001F66F7">
        <w:rPr>
          <w:rFonts w:ascii="Arial" w:hAnsi="Arial" w:cs="Arial"/>
          <w:lang w:val="en-ZA"/>
        </w:rPr>
        <w:t xml:space="preserve">constitutes </w:t>
      </w:r>
      <w:r w:rsidR="00FB3DE8" w:rsidRPr="001F66F7">
        <w:rPr>
          <w:rFonts w:ascii="Arial" w:hAnsi="Arial" w:cs="Arial"/>
          <w:lang w:val="en-ZA"/>
        </w:rPr>
        <w:t xml:space="preserve">hearsay and </w:t>
      </w:r>
      <w:r w:rsidR="00430941" w:rsidRPr="001F66F7">
        <w:rPr>
          <w:rFonts w:ascii="Arial" w:hAnsi="Arial" w:cs="Arial"/>
          <w:lang w:val="en-ZA"/>
        </w:rPr>
        <w:t xml:space="preserve">is </w:t>
      </w:r>
      <w:r w:rsidR="00FB3DE8" w:rsidRPr="001F66F7">
        <w:rPr>
          <w:rFonts w:ascii="Arial" w:hAnsi="Arial" w:cs="Arial"/>
          <w:lang w:val="en-ZA"/>
        </w:rPr>
        <w:t>inadmissible. A confirmatory affidavit only serves to confirm the details in so far as they relate to that person.</w:t>
      </w:r>
    </w:p>
    <w:p w:rsidR="001C0FFF" w:rsidRPr="001F66F7" w:rsidRDefault="001C0FFF" w:rsidP="001F66F7">
      <w:pPr>
        <w:pStyle w:val="western"/>
        <w:shd w:val="clear" w:color="auto" w:fill="FFFFFF"/>
        <w:spacing w:before="0" w:beforeAutospacing="0" w:after="0" w:afterAutospacing="0" w:line="360" w:lineRule="auto"/>
        <w:contextualSpacing/>
        <w:jc w:val="both"/>
        <w:rPr>
          <w:rFonts w:ascii="Arial" w:hAnsi="Arial" w:cs="Arial"/>
          <w:lang w:val="en-ZA"/>
        </w:rPr>
      </w:pPr>
    </w:p>
    <w:p w:rsidR="00A20B88" w:rsidRPr="001F66F7" w:rsidRDefault="001C0FFF" w:rsidP="001F66F7">
      <w:pPr>
        <w:pStyle w:val="western"/>
        <w:shd w:val="clear" w:color="auto" w:fill="FFFFFF"/>
        <w:spacing w:before="0" w:beforeAutospacing="0" w:after="0" w:afterAutospacing="0" w:line="360" w:lineRule="auto"/>
        <w:contextualSpacing/>
        <w:jc w:val="both"/>
        <w:rPr>
          <w:rFonts w:ascii="Arial" w:hAnsi="Arial" w:cs="Arial"/>
          <w:lang w:val="en-ZA"/>
        </w:rPr>
      </w:pPr>
      <w:r w:rsidRPr="001F66F7">
        <w:rPr>
          <w:rFonts w:ascii="Arial" w:hAnsi="Arial" w:cs="Arial"/>
          <w:lang w:val="en-ZA"/>
        </w:rPr>
        <w:t>[</w:t>
      </w:r>
      <w:r w:rsidR="00F10444" w:rsidRPr="001F66F7">
        <w:rPr>
          <w:rFonts w:ascii="Arial" w:hAnsi="Arial" w:cs="Arial"/>
          <w:lang w:val="en-ZA"/>
        </w:rPr>
        <w:t>3</w:t>
      </w:r>
      <w:r w:rsidR="00DB00B2">
        <w:rPr>
          <w:rFonts w:ascii="Arial" w:hAnsi="Arial" w:cs="Arial"/>
          <w:lang w:val="en-ZA"/>
        </w:rPr>
        <w:t>7</w:t>
      </w:r>
      <w:r w:rsidRPr="001F66F7">
        <w:rPr>
          <w:rFonts w:ascii="Arial" w:hAnsi="Arial" w:cs="Arial"/>
          <w:lang w:val="en-ZA"/>
        </w:rPr>
        <w:t>]</w:t>
      </w:r>
      <w:r w:rsidRPr="001F66F7">
        <w:rPr>
          <w:rFonts w:ascii="Arial" w:hAnsi="Arial" w:cs="Arial"/>
          <w:lang w:val="en-ZA"/>
        </w:rPr>
        <w:tab/>
      </w:r>
      <w:r w:rsidR="003D43B2" w:rsidRPr="001F66F7">
        <w:rPr>
          <w:rFonts w:ascii="Arial" w:hAnsi="Arial" w:cs="Arial"/>
          <w:lang w:val="en-ZA"/>
        </w:rPr>
        <w:t xml:space="preserve">In </w:t>
      </w:r>
      <w:r w:rsidR="00E04335" w:rsidRPr="001F66F7">
        <w:rPr>
          <w:rFonts w:ascii="Arial" w:hAnsi="Arial" w:cs="Arial"/>
          <w:i/>
          <w:lang w:val="en-ZA"/>
        </w:rPr>
        <w:t>P</w:t>
      </w:r>
      <w:r w:rsidR="003D43B2" w:rsidRPr="001F66F7">
        <w:rPr>
          <w:rFonts w:ascii="Arial" w:hAnsi="Arial" w:cs="Arial"/>
          <w:i/>
          <w:lang w:val="en-ZA"/>
        </w:rPr>
        <w:t xml:space="preserve">resident of the </w:t>
      </w:r>
      <w:r w:rsidR="00E04335" w:rsidRPr="001F66F7">
        <w:rPr>
          <w:rFonts w:ascii="Arial" w:hAnsi="Arial" w:cs="Arial"/>
          <w:i/>
          <w:lang w:val="en-ZA"/>
        </w:rPr>
        <w:t>R</w:t>
      </w:r>
      <w:r w:rsidR="003D43B2" w:rsidRPr="001F66F7">
        <w:rPr>
          <w:rFonts w:ascii="Arial" w:hAnsi="Arial" w:cs="Arial"/>
          <w:i/>
          <w:lang w:val="en-ZA"/>
        </w:rPr>
        <w:t xml:space="preserve">epublic of South Africa and others v M </w:t>
      </w:r>
      <w:r w:rsidR="00A20B88" w:rsidRPr="001F66F7">
        <w:rPr>
          <w:rFonts w:ascii="Arial" w:hAnsi="Arial" w:cs="Arial"/>
          <w:i/>
          <w:lang w:val="en-ZA"/>
        </w:rPr>
        <w:t>&amp;</w:t>
      </w:r>
      <w:r w:rsidR="003D43B2" w:rsidRPr="001F66F7">
        <w:rPr>
          <w:rFonts w:ascii="Arial" w:hAnsi="Arial" w:cs="Arial"/>
          <w:i/>
          <w:lang w:val="en-ZA"/>
        </w:rPr>
        <w:t xml:space="preserve"> G Media </w:t>
      </w:r>
      <w:r w:rsidR="00A20B88" w:rsidRPr="001F66F7">
        <w:rPr>
          <w:rFonts w:ascii="Arial" w:hAnsi="Arial" w:cs="Arial"/>
          <w:i/>
          <w:lang w:val="en-ZA"/>
        </w:rPr>
        <w:t>Ltd</w:t>
      </w:r>
      <w:r w:rsidR="00A20B88" w:rsidRPr="001F66F7">
        <w:rPr>
          <w:rFonts w:ascii="Arial" w:hAnsi="Arial" w:cs="Arial"/>
          <w:lang w:val="en-ZA"/>
        </w:rPr>
        <w:t>,</w:t>
      </w:r>
      <w:r w:rsidR="00CD73E9">
        <w:rPr>
          <w:rStyle w:val="FootnoteReference"/>
          <w:rFonts w:ascii="Arial" w:hAnsi="Arial" w:cs="Arial"/>
          <w:lang w:val="en-ZA"/>
        </w:rPr>
        <w:footnoteReference w:id="5"/>
      </w:r>
      <w:r w:rsidR="000C0F4C" w:rsidRPr="001F66F7">
        <w:rPr>
          <w:rFonts w:ascii="Arial" w:hAnsi="Arial" w:cs="Arial"/>
          <w:lang w:val="en-ZA"/>
        </w:rPr>
        <w:t xml:space="preserve"> </w:t>
      </w:r>
      <w:r w:rsidR="00A20B88" w:rsidRPr="001F66F7">
        <w:rPr>
          <w:rFonts w:ascii="Arial" w:hAnsi="Arial" w:cs="Arial"/>
          <w:lang w:val="en-ZA"/>
        </w:rPr>
        <w:t xml:space="preserve">the SCA </w:t>
      </w:r>
      <w:r w:rsidR="003D43B2" w:rsidRPr="001F66F7">
        <w:rPr>
          <w:rFonts w:ascii="Arial" w:hAnsi="Arial" w:cs="Arial"/>
          <w:lang w:val="en-ZA"/>
        </w:rPr>
        <w:t>remarked as follows</w:t>
      </w:r>
      <w:r w:rsidR="000C0F4C" w:rsidRPr="001F66F7">
        <w:rPr>
          <w:rFonts w:ascii="Arial" w:hAnsi="Arial" w:cs="Arial"/>
          <w:lang w:val="en-ZA"/>
        </w:rPr>
        <w:t xml:space="preserve"> </w:t>
      </w:r>
      <w:r w:rsidR="003D43B2" w:rsidRPr="001F66F7">
        <w:rPr>
          <w:rFonts w:ascii="Arial" w:hAnsi="Arial" w:cs="Arial"/>
          <w:lang w:val="en-ZA"/>
        </w:rPr>
        <w:t xml:space="preserve">on the meaning of personal knowledge. </w:t>
      </w:r>
    </w:p>
    <w:p w:rsidR="003D43B2" w:rsidRPr="005A09BD" w:rsidRDefault="00A20B88" w:rsidP="001F66F7">
      <w:pPr>
        <w:pStyle w:val="western"/>
        <w:shd w:val="clear" w:color="auto" w:fill="FFFFFF"/>
        <w:spacing w:before="0" w:beforeAutospacing="0" w:after="0" w:afterAutospacing="0" w:line="360" w:lineRule="auto"/>
        <w:contextualSpacing/>
        <w:jc w:val="both"/>
        <w:rPr>
          <w:rFonts w:ascii="Arial" w:hAnsi="Arial" w:cs="Arial"/>
          <w:sz w:val="22"/>
          <w:lang w:val="en-ZA"/>
        </w:rPr>
      </w:pPr>
      <w:r w:rsidRPr="005A09BD">
        <w:rPr>
          <w:rFonts w:ascii="Arial" w:hAnsi="Arial" w:cs="Arial"/>
          <w:sz w:val="22"/>
          <w:lang w:val="en-ZA"/>
        </w:rPr>
        <w:t>‘A court is not bound to accept the </w:t>
      </w:r>
      <w:r w:rsidRPr="005A09BD">
        <w:rPr>
          <w:rFonts w:ascii="Arial" w:hAnsi="Arial" w:cs="Arial"/>
          <w:i/>
          <w:iCs/>
          <w:sz w:val="22"/>
          <w:lang w:val="en-ZA"/>
        </w:rPr>
        <w:t>ipse dixit</w:t>
      </w:r>
      <w:r w:rsidR="004E2877" w:rsidRPr="005A09BD">
        <w:rPr>
          <w:rFonts w:ascii="Arial" w:hAnsi="Arial" w:cs="Arial"/>
          <w:sz w:val="22"/>
          <w:lang w:val="en-ZA"/>
        </w:rPr>
        <w:t> of a witness that his or</w:t>
      </w:r>
      <w:r w:rsidRPr="005A09BD">
        <w:rPr>
          <w:rFonts w:ascii="Arial" w:hAnsi="Arial" w:cs="Arial"/>
          <w:sz w:val="22"/>
          <w:lang w:val="en-ZA"/>
        </w:rPr>
        <w:t xml:space="preserve"> her evidence is </w:t>
      </w:r>
      <w:r w:rsidR="005C7D42" w:rsidRPr="005A09BD">
        <w:rPr>
          <w:rFonts w:ascii="Arial" w:hAnsi="Arial" w:cs="Arial"/>
          <w:sz w:val="22"/>
          <w:lang w:val="en-ZA"/>
        </w:rPr>
        <w:t>admissible.</w:t>
      </w:r>
      <w:r w:rsidR="004E2877" w:rsidRPr="005A09BD">
        <w:rPr>
          <w:rFonts w:ascii="Arial" w:hAnsi="Arial" w:cs="Arial"/>
          <w:sz w:val="22"/>
          <w:lang w:val="en-ZA"/>
        </w:rPr>
        <w:t> . . </w:t>
      </w:r>
      <w:r w:rsidRPr="005A09BD">
        <w:rPr>
          <w:rFonts w:ascii="Arial" w:hAnsi="Arial" w:cs="Arial"/>
          <w:sz w:val="22"/>
          <w:lang w:val="en-ZA"/>
        </w:rPr>
        <w:t>Merely to allege that that information is within the “personal knowledge” of a deponent is of little value without some indication, at least from the context, of how that knowledge was acquired, so as to establish that the information is admissible, and if it is hearsay, to enable its weight to be evaluated</w:t>
      </w:r>
      <w:r w:rsidR="003E6879" w:rsidRPr="005A09BD">
        <w:rPr>
          <w:rFonts w:ascii="Arial" w:hAnsi="Arial" w:cs="Arial"/>
          <w:sz w:val="22"/>
          <w:lang w:val="en-ZA"/>
        </w:rPr>
        <w:t>.</w:t>
      </w:r>
      <w:r w:rsidRPr="005A09BD">
        <w:rPr>
          <w:rFonts w:ascii="Arial" w:hAnsi="Arial" w:cs="Arial"/>
          <w:sz w:val="22"/>
          <w:lang w:val="en-ZA"/>
        </w:rPr>
        <w:t>’</w:t>
      </w:r>
    </w:p>
    <w:p w:rsidR="001C0FFF" w:rsidRPr="001F66F7" w:rsidRDefault="001C0FFF" w:rsidP="001F66F7">
      <w:pPr>
        <w:pStyle w:val="western"/>
        <w:shd w:val="clear" w:color="auto" w:fill="FFFFFF"/>
        <w:spacing w:before="0" w:beforeAutospacing="0" w:after="0" w:afterAutospacing="0" w:line="360" w:lineRule="auto"/>
        <w:contextualSpacing/>
        <w:jc w:val="both"/>
        <w:rPr>
          <w:rFonts w:ascii="Arial" w:hAnsi="Arial" w:cs="Arial"/>
          <w:lang w:val="en-ZA"/>
        </w:rPr>
      </w:pPr>
    </w:p>
    <w:p w:rsidR="00A20B88" w:rsidRPr="001F66F7" w:rsidRDefault="001C0FFF" w:rsidP="001F66F7">
      <w:pPr>
        <w:pStyle w:val="western"/>
        <w:shd w:val="clear" w:color="auto" w:fill="FFFFFF"/>
        <w:spacing w:before="0" w:beforeAutospacing="0" w:after="0" w:afterAutospacing="0" w:line="360" w:lineRule="auto"/>
        <w:contextualSpacing/>
        <w:jc w:val="both"/>
        <w:rPr>
          <w:rFonts w:ascii="Arial" w:hAnsi="Arial" w:cs="Arial"/>
          <w:lang w:val="en-ZA"/>
        </w:rPr>
      </w:pPr>
      <w:r w:rsidRPr="001F66F7">
        <w:rPr>
          <w:rFonts w:ascii="Arial" w:hAnsi="Arial" w:cs="Arial"/>
          <w:lang w:val="en-ZA"/>
        </w:rPr>
        <w:t>[</w:t>
      </w:r>
      <w:r w:rsidR="00F10444" w:rsidRPr="001F66F7">
        <w:rPr>
          <w:rFonts w:ascii="Arial" w:hAnsi="Arial" w:cs="Arial"/>
          <w:lang w:val="en-ZA"/>
        </w:rPr>
        <w:t>3</w:t>
      </w:r>
      <w:r w:rsidR="00DB00B2">
        <w:rPr>
          <w:rFonts w:ascii="Arial" w:hAnsi="Arial" w:cs="Arial"/>
          <w:lang w:val="en-ZA"/>
        </w:rPr>
        <w:t>8</w:t>
      </w:r>
      <w:r w:rsidRPr="001F66F7">
        <w:rPr>
          <w:rFonts w:ascii="Arial" w:hAnsi="Arial" w:cs="Arial"/>
          <w:lang w:val="en-ZA"/>
        </w:rPr>
        <w:t>]</w:t>
      </w:r>
      <w:r w:rsidRPr="001F66F7">
        <w:rPr>
          <w:rFonts w:ascii="Arial" w:hAnsi="Arial" w:cs="Arial"/>
          <w:lang w:val="en-ZA"/>
        </w:rPr>
        <w:tab/>
      </w:r>
      <w:r w:rsidR="00A20B88" w:rsidRPr="001F66F7">
        <w:rPr>
          <w:rFonts w:ascii="Arial" w:hAnsi="Arial" w:cs="Arial"/>
          <w:lang w:val="en-ZA"/>
        </w:rPr>
        <w:t>Ms Maddocks,</w:t>
      </w:r>
      <w:r w:rsidR="000C0F4C" w:rsidRPr="001F66F7">
        <w:rPr>
          <w:rFonts w:ascii="Arial" w:hAnsi="Arial" w:cs="Arial"/>
          <w:lang w:val="en-ZA"/>
        </w:rPr>
        <w:t xml:space="preserve"> </w:t>
      </w:r>
      <w:r w:rsidR="00632D7D" w:rsidRPr="001F66F7">
        <w:rPr>
          <w:rFonts w:ascii="Arial" w:hAnsi="Arial" w:cs="Arial"/>
          <w:lang w:val="en-ZA"/>
        </w:rPr>
        <w:t xml:space="preserve">in deposing </w:t>
      </w:r>
      <w:r w:rsidR="00A20B88" w:rsidRPr="001F66F7">
        <w:rPr>
          <w:rFonts w:ascii="Arial" w:hAnsi="Arial" w:cs="Arial"/>
          <w:lang w:val="en-ZA"/>
        </w:rPr>
        <w:t>to</w:t>
      </w:r>
      <w:r w:rsidR="00632D7D" w:rsidRPr="001F66F7">
        <w:rPr>
          <w:rFonts w:ascii="Arial" w:hAnsi="Arial" w:cs="Arial"/>
          <w:lang w:val="en-ZA"/>
        </w:rPr>
        <w:t xml:space="preserve"> the answering affidavit</w:t>
      </w:r>
      <w:r w:rsidR="00A20B88" w:rsidRPr="001F66F7">
        <w:rPr>
          <w:rFonts w:ascii="Arial" w:hAnsi="Arial" w:cs="Arial"/>
          <w:lang w:val="en-ZA"/>
        </w:rPr>
        <w:t>,</w:t>
      </w:r>
      <w:r w:rsidR="000C0F4C" w:rsidRPr="001F66F7">
        <w:rPr>
          <w:rFonts w:ascii="Arial" w:hAnsi="Arial" w:cs="Arial"/>
          <w:lang w:val="en-ZA"/>
        </w:rPr>
        <w:t xml:space="preserve"> </w:t>
      </w:r>
      <w:r w:rsidR="00154194" w:rsidRPr="001F66F7">
        <w:rPr>
          <w:rFonts w:ascii="Arial" w:hAnsi="Arial" w:cs="Arial"/>
          <w:lang w:val="en-ZA"/>
        </w:rPr>
        <w:t>in paragraph 4</w:t>
      </w:r>
      <w:r w:rsidR="00AD3F48" w:rsidRPr="001F66F7">
        <w:rPr>
          <w:rFonts w:ascii="Arial" w:hAnsi="Arial" w:cs="Arial"/>
          <w:lang w:val="en-ZA"/>
        </w:rPr>
        <w:t>,</w:t>
      </w:r>
      <w:r w:rsidR="000C0F4C" w:rsidRPr="001F66F7">
        <w:rPr>
          <w:rFonts w:ascii="Arial" w:hAnsi="Arial" w:cs="Arial"/>
          <w:lang w:val="en-ZA"/>
        </w:rPr>
        <w:t xml:space="preserve"> </w:t>
      </w:r>
      <w:r w:rsidR="00154194" w:rsidRPr="001F66F7">
        <w:rPr>
          <w:rFonts w:ascii="Arial" w:hAnsi="Arial" w:cs="Arial"/>
          <w:lang w:val="en-ZA"/>
        </w:rPr>
        <w:t>indicates</w:t>
      </w:r>
      <w:r w:rsidR="000C0F4C" w:rsidRPr="001F66F7">
        <w:rPr>
          <w:rFonts w:ascii="Arial" w:hAnsi="Arial" w:cs="Arial"/>
          <w:lang w:val="en-ZA"/>
        </w:rPr>
        <w:t xml:space="preserve"> </w:t>
      </w:r>
      <w:r w:rsidR="00154194" w:rsidRPr="001F66F7">
        <w:rPr>
          <w:rFonts w:ascii="Arial" w:hAnsi="Arial" w:cs="Arial"/>
          <w:lang w:val="en-ZA"/>
        </w:rPr>
        <w:t xml:space="preserve">as follows: </w:t>
      </w:r>
    </w:p>
    <w:p w:rsidR="00A20B88" w:rsidRPr="00B903A6" w:rsidRDefault="00A20B88" w:rsidP="001F66F7">
      <w:pPr>
        <w:pStyle w:val="western"/>
        <w:shd w:val="clear" w:color="auto" w:fill="FFFFFF"/>
        <w:spacing w:before="0" w:beforeAutospacing="0" w:after="0" w:afterAutospacing="0" w:line="360" w:lineRule="auto"/>
        <w:contextualSpacing/>
        <w:jc w:val="both"/>
        <w:rPr>
          <w:rFonts w:ascii="Arial" w:hAnsi="Arial" w:cs="Arial"/>
          <w:sz w:val="22"/>
          <w:lang w:val="en-ZA"/>
        </w:rPr>
      </w:pPr>
      <w:r w:rsidRPr="00B903A6">
        <w:rPr>
          <w:rFonts w:ascii="Arial" w:hAnsi="Arial" w:cs="Arial"/>
          <w:sz w:val="22"/>
          <w:lang w:val="en-ZA"/>
        </w:rPr>
        <w:t>‘</w:t>
      </w:r>
      <w:r w:rsidR="00154194" w:rsidRPr="00B903A6">
        <w:rPr>
          <w:rFonts w:ascii="Arial" w:hAnsi="Arial" w:cs="Arial"/>
          <w:sz w:val="22"/>
          <w:lang w:val="en-ZA"/>
        </w:rPr>
        <w:t>The information relating to the first respondent and its affairs</w:t>
      </w:r>
      <w:r w:rsidR="000C0F4C" w:rsidRPr="00B903A6">
        <w:rPr>
          <w:rFonts w:ascii="Arial" w:hAnsi="Arial" w:cs="Arial"/>
          <w:sz w:val="22"/>
          <w:lang w:val="en-ZA"/>
        </w:rPr>
        <w:t xml:space="preserve"> </w:t>
      </w:r>
      <w:r w:rsidR="00154194" w:rsidRPr="00B903A6">
        <w:rPr>
          <w:rFonts w:ascii="Arial" w:hAnsi="Arial" w:cs="Arial"/>
          <w:sz w:val="22"/>
          <w:lang w:val="en-ZA"/>
        </w:rPr>
        <w:t>has been provided</w:t>
      </w:r>
      <w:r w:rsidR="000C0F4C" w:rsidRPr="00B903A6">
        <w:rPr>
          <w:rFonts w:ascii="Arial" w:hAnsi="Arial" w:cs="Arial"/>
          <w:sz w:val="22"/>
          <w:lang w:val="en-ZA"/>
        </w:rPr>
        <w:t xml:space="preserve"> </w:t>
      </w:r>
      <w:r w:rsidR="00154194" w:rsidRPr="00B903A6">
        <w:rPr>
          <w:rFonts w:ascii="Arial" w:hAnsi="Arial" w:cs="Arial"/>
          <w:sz w:val="22"/>
          <w:lang w:val="en-ZA"/>
        </w:rPr>
        <w:t>to me by its director, Pravin Parsad.</w:t>
      </w:r>
      <w:r w:rsidR="00F10444" w:rsidRPr="00B903A6">
        <w:rPr>
          <w:rFonts w:ascii="Arial" w:hAnsi="Arial" w:cs="Arial"/>
          <w:sz w:val="22"/>
          <w:lang w:val="en-ZA"/>
        </w:rPr>
        <w:t xml:space="preserve">  </w:t>
      </w:r>
      <w:r w:rsidR="00154194" w:rsidRPr="00B903A6">
        <w:rPr>
          <w:rFonts w:ascii="Arial" w:hAnsi="Arial" w:cs="Arial"/>
          <w:sz w:val="22"/>
          <w:lang w:val="en-ZA"/>
        </w:rPr>
        <w:t xml:space="preserve"> A confirmatory affidavit will be filed evenly herewith.</w:t>
      </w:r>
      <w:r w:rsidRPr="00B903A6">
        <w:rPr>
          <w:rFonts w:ascii="Arial" w:hAnsi="Arial" w:cs="Arial"/>
          <w:sz w:val="22"/>
          <w:lang w:val="en-ZA"/>
        </w:rPr>
        <w:t>’</w:t>
      </w:r>
    </w:p>
    <w:p w:rsidR="004462E8" w:rsidRPr="001F66F7" w:rsidRDefault="00A20B88" w:rsidP="001F66F7">
      <w:pPr>
        <w:pStyle w:val="western"/>
        <w:shd w:val="clear" w:color="auto" w:fill="FFFFFF"/>
        <w:spacing w:before="0" w:beforeAutospacing="0" w:after="0" w:afterAutospacing="0" w:line="360" w:lineRule="auto"/>
        <w:contextualSpacing/>
        <w:jc w:val="both"/>
        <w:rPr>
          <w:rFonts w:ascii="Arial" w:hAnsi="Arial" w:cs="Arial"/>
          <w:lang w:val="en-ZA"/>
        </w:rPr>
      </w:pPr>
      <w:r w:rsidRPr="001F66F7">
        <w:rPr>
          <w:rFonts w:ascii="Arial" w:hAnsi="Arial" w:cs="Arial"/>
          <w:lang w:val="en-ZA"/>
        </w:rPr>
        <w:t xml:space="preserve">Mr </w:t>
      </w:r>
      <w:r w:rsidR="00154194" w:rsidRPr="001F66F7">
        <w:rPr>
          <w:rFonts w:ascii="Arial" w:hAnsi="Arial" w:cs="Arial"/>
          <w:lang w:val="en-ZA"/>
        </w:rPr>
        <w:t xml:space="preserve">Parsard indeed </w:t>
      </w:r>
      <w:r w:rsidRPr="001F66F7">
        <w:rPr>
          <w:rFonts w:ascii="Arial" w:hAnsi="Arial" w:cs="Arial"/>
          <w:lang w:val="en-ZA"/>
        </w:rPr>
        <w:t xml:space="preserve">deposed to </w:t>
      </w:r>
      <w:r w:rsidR="00154194" w:rsidRPr="001F66F7">
        <w:rPr>
          <w:rFonts w:ascii="Arial" w:hAnsi="Arial" w:cs="Arial"/>
          <w:lang w:val="en-ZA"/>
        </w:rPr>
        <w:t>a confirmatory affidavit</w:t>
      </w:r>
      <w:r w:rsidR="004462E8" w:rsidRPr="001F66F7">
        <w:rPr>
          <w:rFonts w:ascii="Arial" w:hAnsi="Arial" w:cs="Arial"/>
          <w:lang w:val="en-ZA"/>
        </w:rPr>
        <w:t>, w</w:t>
      </w:r>
      <w:r w:rsidR="00154194" w:rsidRPr="001F66F7">
        <w:rPr>
          <w:rFonts w:ascii="Arial" w:hAnsi="Arial" w:cs="Arial"/>
          <w:lang w:val="en-ZA"/>
        </w:rPr>
        <w:t>hich reads as follows in paragraph</w:t>
      </w:r>
      <w:r w:rsidR="004462E8" w:rsidRPr="001F66F7">
        <w:rPr>
          <w:rFonts w:ascii="Arial" w:hAnsi="Arial" w:cs="Arial"/>
          <w:lang w:val="en-ZA"/>
        </w:rPr>
        <w:t>s</w:t>
      </w:r>
      <w:r w:rsidR="00154194" w:rsidRPr="001F66F7">
        <w:rPr>
          <w:rFonts w:ascii="Arial" w:hAnsi="Arial" w:cs="Arial"/>
          <w:lang w:val="en-ZA"/>
        </w:rPr>
        <w:t xml:space="preserve"> </w:t>
      </w:r>
      <w:r w:rsidR="000910B6" w:rsidRPr="001F66F7">
        <w:rPr>
          <w:rFonts w:ascii="Arial" w:hAnsi="Arial" w:cs="Arial"/>
          <w:lang w:val="en-ZA"/>
        </w:rPr>
        <w:t>2 and 3</w:t>
      </w:r>
      <w:r w:rsidR="004462E8" w:rsidRPr="001F66F7">
        <w:rPr>
          <w:rFonts w:ascii="Arial" w:hAnsi="Arial" w:cs="Arial"/>
          <w:lang w:val="en-ZA"/>
        </w:rPr>
        <w:t>:</w:t>
      </w:r>
      <w:r w:rsidR="000910B6" w:rsidRPr="001F66F7">
        <w:rPr>
          <w:rFonts w:ascii="Arial" w:hAnsi="Arial" w:cs="Arial"/>
          <w:lang w:val="en-ZA"/>
        </w:rPr>
        <w:t xml:space="preserve"> </w:t>
      </w:r>
    </w:p>
    <w:p w:rsidR="00154194" w:rsidRPr="00B903A6" w:rsidRDefault="004462E8" w:rsidP="001F66F7">
      <w:pPr>
        <w:pStyle w:val="western"/>
        <w:shd w:val="clear" w:color="auto" w:fill="FFFFFF"/>
        <w:spacing w:before="0" w:beforeAutospacing="0" w:after="0" w:afterAutospacing="0" w:line="360" w:lineRule="auto"/>
        <w:contextualSpacing/>
        <w:jc w:val="both"/>
        <w:rPr>
          <w:rFonts w:ascii="Arial" w:hAnsi="Arial" w:cs="Arial"/>
          <w:sz w:val="22"/>
          <w:lang w:val="en-ZA"/>
        </w:rPr>
      </w:pPr>
      <w:r w:rsidRPr="00B903A6">
        <w:rPr>
          <w:rFonts w:ascii="Arial" w:hAnsi="Arial" w:cs="Arial"/>
          <w:sz w:val="22"/>
          <w:lang w:val="en-ZA"/>
        </w:rPr>
        <w:t>‘</w:t>
      </w:r>
      <w:r w:rsidR="000910B6" w:rsidRPr="00B903A6">
        <w:rPr>
          <w:rFonts w:ascii="Arial" w:hAnsi="Arial" w:cs="Arial"/>
          <w:sz w:val="22"/>
          <w:lang w:val="en-ZA"/>
        </w:rPr>
        <w:t>The facts to which I depose in this affidavit</w:t>
      </w:r>
      <w:r w:rsidR="000C0F4C" w:rsidRPr="00B903A6">
        <w:rPr>
          <w:rFonts w:ascii="Arial" w:hAnsi="Arial" w:cs="Arial"/>
          <w:sz w:val="22"/>
          <w:lang w:val="en-ZA"/>
        </w:rPr>
        <w:t xml:space="preserve"> </w:t>
      </w:r>
      <w:r w:rsidR="000910B6" w:rsidRPr="00B903A6">
        <w:rPr>
          <w:rFonts w:ascii="Arial" w:hAnsi="Arial" w:cs="Arial"/>
          <w:sz w:val="22"/>
          <w:lang w:val="en-ZA"/>
        </w:rPr>
        <w:t xml:space="preserve">are within my personal knowledge and are true and correct </w:t>
      </w:r>
    </w:p>
    <w:p w:rsidR="000910B6" w:rsidRPr="00B903A6" w:rsidRDefault="000910B6" w:rsidP="001F66F7">
      <w:pPr>
        <w:pStyle w:val="western"/>
        <w:shd w:val="clear" w:color="auto" w:fill="FFFFFF"/>
        <w:spacing w:before="0" w:beforeAutospacing="0" w:after="0" w:afterAutospacing="0" w:line="360" w:lineRule="auto"/>
        <w:contextualSpacing/>
        <w:jc w:val="both"/>
        <w:rPr>
          <w:rFonts w:ascii="Arial" w:hAnsi="Arial" w:cs="Arial"/>
          <w:sz w:val="22"/>
          <w:lang w:val="en-ZA"/>
        </w:rPr>
      </w:pPr>
      <w:r w:rsidRPr="00B903A6">
        <w:rPr>
          <w:rFonts w:ascii="Arial" w:hAnsi="Arial" w:cs="Arial"/>
          <w:sz w:val="22"/>
          <w:lang w:val="en-ZA"/>
        </w:rPr>
        <w:t>I have read the answering affidavit deposed to in the proceedings by Johnine Maddocks and confirm that the facts depose to therein, in so far as they refer to me, the first respondent, or its directors</w:t>
      </w:r>
      <w:r w:rsidR="000C0F4C" w:rsidRPr="00B903A6">
        <w:rPr>
          <w:rFonts w:ascii="Arial" w:hAnsi="Arial" w:cs="Arial"/>
          <w:sz w:val="22"/>
          <w:lang w:val="en-ZA"/>
        </w:rPr>
        <w:t xml:space="preserve"> </w:t>
      </w:r>
      <w:r w:rsidRPr="00B903A6">
        <w:rPr>
          <w:rFonts w:ascii="Arial" w:hAnsi="Arial" w:cs="Arial"/>
          <w:sz w:val="22"/>
          <w:lang w:val="en-ZA"/>
        </w:rPr>
        <w:t>are true and correct.</w:t>
      </w:r>
      <w:r w:rsidR="004462E8" w:rsidRPr="00B903A6">
        <w:rPr>
          <w:rFonts w:ascii="Arial" w:hAnsi="Arial" w:cs="Arial"/>
          <w:sz w:val="22"/>
          <w:lang w:val="en-ZA"/>
        </w:rPr>
        <w:t>’</w:t>
      </w:r>
    </w:p>
    <w:p w:rsidR="001C0FFF" w:rsidRPr="001F66F7" w:rsidRDefault="001C0FFF" w:rsidP="001F66F7">
      <w:pPr>
        <w:pStyle w:val="western"/>
        <w:shd w:val="clear" w:color="auto" w:fill="FFFFFF"/>
        <w:spacing w:before="0" w:beforeAutospacing="0" w:after="0" w:afterAutospacing="0" w:line="360" w:lineRule="auto"/>
        <w:contextualSpacing/>
        <w:jc w:val="both"/>
        <w:rPr>
          <w:rFonts w:ascii="Arial" w:hAnsi="Arial" w:cs="Arial"/>
          <w:lang w:val="en-ZA"/>
        </w:rPr>
      </w:pPr>
    </w:p>
    <w:p w:rsidR="00276F6B" w:rsidRPr="001F66F7" w:rsidRDefault="001C0FFF" w:rsidP="001F66F7">
      <w:pPr>
        <w:pStyle w:val="western"/>
        <w:shd w:val="clear" w:color="auto" w:fill="FFFFFF"/>
        <w:spacing w:before="0" w:beforeAutospacing="0" w:after="0" w:afterAutospacing="0" w:line="360" w:lineRule="auto"/>
        <w:contextualSpacing/>
        <w:jc w:val="both"/>
        <w:rPr>
          <w:rFonts w:ascii="Arial" w:hAnsi="Arial" w:cs="Arial"/>
          <w:lang w:val="en-ZA"/>
        </w:rPr>
      </w:pPr>
      <w:r w:rsidRPr="001F66F7">
        <w:rPr>
          <w:rFonts w:ascii="Arial" w:hAnsi="Arial" w:cs="Arial"/>
          <w:lang w:val="en-ZA"/>
        </w:rPr>
        <w:t>[</w:t>
      </w:r>
      <w:r w:rsidR="00F10444" w:rsidRPr="001F66F7">
        <w:rPr>
          <w:rFonts w:ascii="Arial" w:hAnsi="Arial" w:cs="Arial"/>
          <w:lang w:val="en-ZA"/>
        </w:rPr>
        <w:t>3</w:t>
      </w:r>
      <w:r w:rsidR="00DB00B2">
        <w:rPr>
          <w:rFonts w:ascii="Arial" w:hAnsi="Arial" w:cs="Arial"/>
          <w:lang w:val="en-ZA"/>
        </w:rPr>
        <w:t>9</w:t>
      </w:r>
      <w:r w:rsidRPr="001F66F7">
        <w:rPr>
          <w:rFonts w:ascii="Arial" w:hAnsi="Arial" w:cs="Arial"/>
          <w:lang w:val="en-ZA"/>
        </w:rPr>
        <w:t>]</w:t>
      </w:r>
      <w:r w:rsidRPr="001F66F7">
        <w:rPr>
          <w:rFonts w:ascii="Arial" w:hAnsi="Arial" w:cs="Arial"/>
          <w:lang w:val="en-ZA"/>
        </w:rPr>
        <w:tab/>
      </w:r>
      <w:r w:rsidR="00C93451" w:rsidRPr="001F66F7">
        <w:rPr>
          <w:rFonts w:ascii="Arial" w:hAnsi="Arial" w:cs="Arial"/>
          <w:lang w:val="en-ZA"/>
        </w:rPr>
        <w:t xml:space="preserve">Mr </w:t>
      </w:r>
      <w:r w:rsidR="00220360" w:rsidRPr="001F66F7">
        <w:rPr>
          <w:rFonts w:ascii="Arial" w:hAnsi="Arial" w:cs="Arial"/>
          <w:lang w:val="en-ZA"/>
        </w:rPr>
        <w:t>Pe</w:t>
      </w:r>
      <w:r w:rsidR="000B1882" w:rsidRPr="001F66F7">
        <w:rPr>
          <w:rFonts w:ascii="Arial" w:hAnsi="Arial" w:cs="Arial"/>
          <w:lang w:val="en-ZA"/>
        </w:rPr>
        <w:t>r</w:t>
      </w:r>
      <w:r w:rsidR="00220360" w:rsidRPr="001F66F7">
        <w:rPr>
          <w:rFonts w:ascii="Arial" w:hAnsi="Arial" w:cs="Arial"/>
          <w:lang w:val="en-ZA"/>
        </w:rPr>
        <w:t>sad</w:t>
      </w:r>
      <w:r w:rsidR="000C0F4C" w:rsidRPr="001F66F7">
        <w:rPr>
          <w:rFonts w:ascii="Arial" w:hAnsi="Arial" w:cs="Arial"/>
          <w:lang w:val="en-ZA"/>
        </w:rPr>
        <w:t xml:space="preserve"> </w:t>
      </w:r>
      <w:r w:rsidR="00B864A7" w:rsidRPr="001F66F7">
        <w:rPr>
          <w:rFonts w:ascii="Arial" w:hAnsi="Arial" w:cs="Arial"/>
          <w:lang w:val="en-ZA"/>
        </w:rPr>
        <w:t>may not be a lawyer</w:t>
      </w:r>
      <w:r w:rsidR="00C93451" w:rsidRPr="001F66F7">
        <w:rPr>
          <w:rFonts w:ascii="Arial" w:hAnsi="Arial" w:cs="Arial"/>
          <w:lang w:val="en-ZA"/>
        </w:rPr>
        <w:t>,</w:t>
      </w:r>
      <w:r w:rsidR="00273EF5" w:rsidRPr="001F66F7">
        <w:rPr>
          <w:rFonts w:ascii="Arial" w:hAnsi="Arial" w:cs="Arial"/>
          <w:lang w:val="en-ZA"/>
        </w:rPr>
        <w:t xml:space="preserve"> as argued </w:t>
      </w:r>
      <w:r w:rsidR="0036761D" w:rsidRPr="001F66F7">
        <w:rPr>
          <w:rFonts w:ascii="Arial" w:hAnsi="Arial" w:cs="Arial"/>
          <w:lang w:val="en-ZA"/>
        </w:rPr>
        <w:t xml:space="preserve">by </w:t>
      </w:r>
      <w:r w:rsidR="00B903A6">
        <w:rPr>
          <w:rFonts w:ascii="Arial" w:hAnsi="Arial" w:cs="Arial"/>
          <w:lang w:val="en-ZA"/>
        </w:rPr>
        <w:t>Crystal Pier’s</w:t>
      </w:r>
      <w:r w:rsidR="00ED00B1" w:rsidRPr="001F66F7">
        <w:rPr>
          <w:rFonts w:ascii="Arial" w:hAnsi="Arial" w:cs="Arial"/>
          <w:lang w:val="en-ZA"/>
        </w:rPr>
        <w:t xml:space="preserve"> </w:t>
      </w:r>
      <w:r w:rsidR="00273EF5" w:rsidRPr="001F66F7">
        <w:rPr>
          <w:rFonts w:ascii="Arial" w:hAnsi="Arial" w:cs="Arial"/>
          <w:lang w:val="en-ZA"/>
        </w:rPr>
        <w:t>legal representative</w:t>
      </w:r>
      <w:r w:rsidR="00C93451" w:rsidRPr="001F66F7">
        <w:rPr>
          <w:rFonts w:ascii="Arial" w:hAnsi="Arial" w:cs="Arial"/>
          <w:lang w:val="en-ZA"/>
        </w:rPr>
        <w:t>,</w:t>
      </w:r>
      <w:r w:rsidR="000C0F4C" w:rsidRPr="001F66F7">
        <w:rPr>
          <w:rFonts w:ascii="Arial" w:hAnsi="Arial" w:cs="Arial"/>
          <w:lang w:val="en-ZA"/>
        </w:rPr>
        <w:t xml:space="preserve"> </w:t>
      </w:r>
      <w:r w:rsidR="00B864A7" w:rsidRPr="001F66F7">
        <w:rPr>
          <w:rFonts w:ascii="Arial" w:hAnsi="Arial" w:cs="Arial"/>
          <w:lang w:val="en-ZA"/>
        </w:rPr>
        <w:t xml:space="preserve">but he </w:t>
      </w:r>
      <w:r w:rsidR="000018E1" w:rsidRPr="001F66F7">
        <w:rPr>
          <w:rFonts w:ascii="Arial" w:hAnsi="Arial" w:cs="Arial"/>
          <w:lang w:val="en-ZA"/>
        </w:rPr>
        <w:t>is and was</w:t>
      </w:r>
      <w:r w:rsidR="00ED00B1" w:rsidRPr="001F66F7">
        <w:rPr>
          <w:rFonts w:ascii="Arial" w:hAnsi="Arial" w:cs="Arial"/>
          <w:lang w:val="en-ZA"/>
        </w:rPr>
        <w:t xml:space="preserve"> the </w:t>
      </w:r>
      <w:r w:rsidR="002A79B5" w:rsidRPr="001F66F7">
        <w:rPr>
          <w:rFonts w:ascii="Arial" w:hAnsi="Arial" w:cs="Arial"/>
          <w:lang w:val="en-ZA"/>
        </w:rPr>
        <w:t>director</w:t>
      </w:r>
      <w:r w:rsidR="00A06E56" w:rsidRPr="001F66F7">
        <w:rPr>
          <w:rFonts w:ascii="Arial" w:hAnsi="Arial" w:cs="Arial"/>
          <w:lang w:val="en-ZA"/>
        </w:rPr>
        <w:t xml:space="preserve"> of</w:t>
      </w:r>
      <w:r w:rsidR="00E46341" w:rsidRPr="001F66F7">
        <w:rPr>
          <w:rFonts w:ascii="Arial" w:hAnsi="Arial" w:cs="Arial"/>
          <w:lang w:val="en-ZA"/>
        </w:rPr>
        <w:t xml:space="preserve"> </w:t>
      </w:r>
      <w:r w:rsidR="00B903A6">
        <w:rPr>
          <w:rFonts w:ascii="Arial" w:hAnsi="Arial" w:cs="Arial"/>
          <w:lang w:val="en-ZA"/>
        </w:rPr>
        <w:t>Crystal Pier</w:t>
      </w:r>
      <w:r w:rsidR="005C7D42" w:rsidRPr="001F66F7">
        <w:rPr>
          <w:rFonts w:ascii="Arial" w:hAnsi="Arial" w:cs="Arial"/>
          <w:lang w:val="en-ZA"/>
        </w:rPr>
        <w:t xml:space="preserve"> from</w:t>
      </w:r>
      <w:r w:rsidR="002A79B5" w:rsidRPr="001F66F7">
        <w:rPr>
          <w:rFonts w:ascii="Arial" w:hAnsi="Arial" w:cs="Arial"/>
          <w:lang w:val="en-ZA"/>
        </w:rPr>
        <w:t xml:space="preserve"> t</w:t>
      </w:r>
      <w:r w:rsidR="00507DBC" w:rsidRPr="001F66F7">
        <w:rPr>
          <w:rFonts w:ascii="Arial" w:hAnsi="Arial" w:cs="Arial"/>
          <w:lang w:val="en-ZA"/>
        </w:rPr>
        <w:t xml:space="preserve">he time it was communicated </w:t>
      </w:r>
      <w:r w:rsidR="002A79B5" w:rsidRPr="001F66F7">
        <w:rPr>
          <w:rFonts w:ascii="Arial" w:hAnsi="Arial" w:cs="Arial"/>
          <w:lang w:val="en-ZA"/>
        </w:rPr>
        <w:t xml:space="preserve">by </w:t>
      </w:r>
      <w:r w:rsidR="00244A1D">
        <w:rPr>
          <w:rFonts w:ascii="Arial" w:hAnsi="Arial" w:cs="Arial"/>
          <w:lang w:val="en-ZA"/>
        </w:rPr>
        <w:t xml:space="preserve">the </w:t>
      </w:r>
      <w:r w:rsidR="002A79B5" w:rsidRPr="001F66F7">
        <w:rPr>
          <w:rFonts w:ascii="Arial" w:hAnsi="Arial" w:cs="Arial"/>
          <w:lang w:val="en-ZA"/>
        </w:rPr>
        <w:t xml:space="preserve">legal representatives of </w:t>
      </w:r>
      <w:r w:rsidR="00CD73E9">
        <w:rPr>
          <w:rFonts w:ascii="Arial" w:hAnsi="Arial" w:cs="Arial"/>
          <w:lang w:val="en-ZA"/>
        </w:rPr>
        <w:t>Nile Dutch</w:t>
      </w:r>
      <w:r w:rsidR="005C7D42" w:rsidRPr="001F66F7">
        <w:rPr>
          <w:rFonts w:ascii="Arial" w:hAnsi="Arial" w:cs="Arial"/>
          <w:lang w:val="en-ZA"/>
        </w:rPr>
        <w:t xml:space="preserve"> that</w:t>
      </w:r>
      <w:r w:rsidR="002A79B5" w:rsidRPr="001F66F7">
        <w:rPr>
          <w:rFonts w:ascii="Arial" w:hAnsi="Arial" w:cs="Arial"/>
          <w:lang w:val="en-ZA"/>
        </w:rPr>
        <w:t xml:space="preserve"> they intend to terminate the agency agreement up to a stage where the court granted a provisional winding</w:t>
      </w:r>
      <w:r w:rsidR="00C15539">
        <w:rPr>
          <w:rFonts w:ascii="Arial" w:hAnsi="Arial" w:cs="Arial"/>
          <w:lang w:val="en-ZA"/>
        </w:rPr>
        <w:t>-</w:t>
      </w:r>
      <w:r w:rsidR="002A79B5" w:rsidRPr="001F66F7">
        <w:rPr>
          <w:rFonts w:ascii="Arial" w:hAnsi="Arial" w:cs="Arial"/>
          <w:lang w:val="en-ZA"/>
        </w:rPr>
        <w:t>up order.</w:t>
      </w:r>
      <w:r w:rsidR="00CD73E9">
        <w:rPr>
          <w:rFonts w:ascii="Arial" w:hAnsi="Arial" w:cs="Arial"/>
          <w:lang w:val="en-ZA"/>
        </w:rPr>
        <w:t xml:space="preserve"> </w:t>
      </w:r>
      <w:r w:rsidR="00C701F4" w:rsidRPr="001F66F7">
        <w:rPr>
          <w:rFonts w:ascii="Arial" w:hAnsi="Arial" w:cs="Arial"/>
          <w:lang w:val="en-ZA"/>
        </w:rPr>
        <w:t>All the processes that were engaged in</w:t>
      </w:r>
      <w:r w:rsidR="00C15539">
        <w:rPr>
          <w:rFonts w:ascii="Arial" w:hAnsi="Arial" w:cs="Arial"/>
          <w:lang w:val="en-ZA"/>
        </w:rPr>
        <w:t>,</w:t>
      </w:r>
      <w:r w:rsidR="00C701F4" w:rsidRPr="001F66F7">
        <w:rPr>
          <w:rFonts w:ascii="Arial" w:hAnsi="Arial" w:cs="Arial"/>
          <w:lang w:val="en-ZA"/>
        </w:rPr>
        <w:t xml:space="preserve"> as describe in the history of the matter</w:t>
      </w:r>
      <w:r w:rsidR="000B1882" w:rsidRPr="001F66F7">
        <w:rPr>
          <w:rFonts w:ascii="Arial" w:hAnsi="Arial" w:cs="Arial"/>
          <w:lang w:val="en-ZA"/>
        </w:rPr>
        <w:t>,</w:t>
      </w:r>
      <w:r w:rsidR="00C701F4" w:rsidRPr="001F66F7">
        <w:rPr>
          <w:rFonts w:ascii="Arial" w:hAnsi="Arial" w:cs="Arial"/>
          <w:lang w:val="en-ZA"/>
        </w:rPr>
        <w:t xml:space="preserve"> were engage in whilst he was at the helm as </w:t>
      </w:r>
      <w:r w:rsidR="005A09BD">
        <w:rPr>
          <w:rFonts w:ascii="Arial" w:hAnsi="Arial" w:cs="Arial"/>
          <w:lang w:val="en-ZA"/>
        </w:rPr>
        <w:t>a</w:t>
      </w:r>
      <w:r w:rsidR="005A09BD" w:rsidRPr="001F66F7">
        <w:rPr>
          <w:rFonts w:ascii="Arial" w:hAnsi="Arial" w:cs="Arial"/>
          <w:lang w:val="en-ZA"/>
        </w:rPr>
        <w:t xml:space="preserve"> </w:t>
      </w:r>
      <w:r w:rsidR="0036761D" w:rsidRPr="001F66F7">
        <w:rPr>
          <w:rFonts w:ascii="Arial" w:hAnsi="Arial" w:cs="Arial"/>
          <w:lang w:val="en-ZA"/>
        </w:rPr>
        <w:t>director</w:t>
      </w:r>
      <w:r w:rsidR="00A06E56" w:rsidRPr="001F66F7">
        <w:rPr>
          <w:rFonts w:ascii="Arial" w:hAnsi="Arial" w:cs="Arial"/>
          <w:lang w:val="en-ZA"/>
        </w:rPr>
        <w:t>.</w:t>
      </w:r>
      <w:r w:rsidR="001B27EE" w:rsidRPr="001F66F7">
        <w:rPr>
          <w:rFonts w:ascii="Arial" w:hAnsi="Arial" w:cs="Arial"/>
          <w:lang w:val="en-ZA"/>
        </w:rPr>
        <w:t xml:space="preserve"> </w:t>
      </w:r>
      <w:r w:rsidR="00A06E56" w:rsidRPr="001F66F7">
        <w:rPr>
          <w:rFonts w:ascii="Arial" w:hAnsi="Arial" w:cs="Arial"/>
          <w:lang w:val="en-ZA"/>
        </w:rPr>
        <w:t>D</w:t>
      </w:r>
      <w:r w:rsidR="00F10444" w:rsidRPr="001F66F7">
        <w:rPr>
          <w:rFonts w:ascii="Arial" w:hAnsi="Arial" w:cs="Arial"/>
          <w:lang w:val="en-ZA"/>
        </w:rPr>
        <w:t>uring</w:t>
      </w:r>
      <w:r w:rsidR="002A79B5" w:rsidRPr="001F66F7">
        <w:rPr>
          <w:rFonts w:ascii="Arial" w:hAnsi="Arial" w:cs="Arial"/>
          <w:lang w:val="en-ZA"/>
        </w:rPr>
        <w:t xml:space="preserve"> this period</w:t>
      </w:r>
      <w:r w:rsidR="005A09BD">
        <w:rPr>
          <w:rFonts w:ascii="Arial" w:hAnsi="Arial" w:cs="Arial"/>
          <w:lang w:val="en-ZA"/>
        </w:rPr>
        <w:t>,</w:t>
      </w:r>
      <w:r w:rsidR="002A79B5" w:rsidRPr="001F66F7">
        <w:rPr>
          <w:rFonts w:ascii="Arial" w:hAnsi="Arial" w:cs="Arial"/>
          <w:lang w:val="en-ZA"/>
        </w:rPr>
        <w:t xml:space="preserve"> </w:t>
      </w:r>
      <w:r w:rsidR="005A09BD">
        <w:rPr>
          <w:rFonts w:ascii="Arial" w:hAnsi="Arial" w:cs="Arial"/>
          <w:lang w:val="en-ZA"/>
        </w:rPr>
        <w:t>Nile Dutch</w:t>
      </w:r>
      <w:r w:rsidR="00A05ED4" w:rsidRPr="001F66F7">
        <w:rPr>
          <w:rFonts w:ascii="Arial" w:hAnsi="Arial" w:cs="Arial"/>
          <w:lang w:val="en-ZA"/>
        </w:rPr>
        <w:t xml:space="preserve"> did</w:t>
      </w:r>
      <w:r w:rsidR="00C701F4" w:rsidRPr="001F66F7">
        <w:rPr>
          <w:rFonts w:ascii="Arial" w:hAnsi="Arial" w:cs="Arial"/>
          <w:lang w:val="en-ZA"/>
        </w:rPr>
        <w:t xml:space="preserve"> assert its claim or debt </w:t>
      </w:r>
      <w:r w:rsidR="005C7D42" w:rsidRPr="001F66F7">
        <w:rPr>
          <w:rFonts w:ascii="Arial" w:hAnsi="Arial" w:cs="Arial"/>
          <w:lang w:val="en-ZA"/>
        </w:rPr>
        <w:t>and it was</w:t>
      </w:r>
      <w:r w:rsidR="00A05ED4" w:rsidRPr="001F66F7">
        <w:rPr>
          <w:rFonts w:ascii="Arial" w:hAnsi="Arial" w:cs="Arial"/>
          <w:lang w:val="en-ZA"/>
        </w:rPr>
        <w:t xml:space="preserve"> not </w:t>
      </w:r>
      <w:r w:rsidR="005C7D42" w:rsidRPr="001F66F7">
        <w:rPr>
          <w:rFonts w:ascii="Arial" w:hAnsi="Arial" w:cs="Arial"/>
          <w:lang w:val="en-ZA"/>
        </w:rPr>
        <w:t>disputed</w:t>
      </w:r>
      <w:r w:rsidR="00C701F4" w:rsidRPr="001F66F7">
        <w:rPr>
          <w:rFonts w:ascii="Arial" w:hAnsi="Arial" w:cs="Arial"/>
          <w:lang w:val="en-ZA"/>
        </w:rPr>
        <w:t>.</w:t>
      </w:r>
      <w:r w:rsidR="00A05ED4" w:rsidRPr="001F66F7">
        <w:rPr>
          <w:rFonts w:ascii="Arial" w:hAnsi="Arial" w:cs="Arial"/>
          <w:lang w:val="en-ZA"/>
        </w:rPr>
        <w:t xml:space="preserve"> </w:t>
      </w:r>
    </w:p>
    <w:p w:rsidR="00F22D12" w:rsidRPr="001F66F7" w:rsidRDefault="00F22D12" w:rsidP="001F66F7">
      <w:pPr>
        <w:pStyle w:val="western"/>
        <w:shd w:val="clear" w:color="auto" w:fill="FFFFFF"/>
        <w:spacing w:before="0" w:beforeAutospacing="0" w:after="0" w:afterAutospacing="0" w:line="360" w:lineRule="auto"/>
        <w:contextualSpacing/>
        <w:jc w:val="both"/>
        <w:rPr>
          <w:rFonts w:ascii="Arial" w:hAnsi="Arial" w:cs="Arial"/>
          <w:lang w:val="en-ZA"/>
        </w:rPr>
      </w:pPr>
    </w:p>
    <w:p w:rsidR="00A06E56" w:rsidRPr="001F66F7" w:rsidRDefault="005A09BD" w:rsidP="001F66F7">
      <w:pPr>
        <w:pStyle w:val="western"/>
        <w:shd w:val="clear" w:color="auto" w:fill="FFFFFF"/>
        <w:spacing w:before="0" w:beforeAutospacing="0" w:after="0" w:afterAutospacing="0" w:line="360" w:lineRule="auto"/>
        <w:contextualSpacing/>
        <w:jc w:val="both"/>
        <w:rPr>
          <w:rFonts w:ascii="Arial" w:hAnsi="Arial" w:cs="Arial"/>
          <w:lang w:val="en-ZA"/>
        </w:rPr>
      </w:pPr>
      <w:r>
        <w:rPr>
          <w:rFonts w:ascii="Arial" w:hAnsi="Arial" w:cs="Arial"/>
          <w:lang w:val="en-ZA"/>
        </w:rPr>
        <w:t>[</w:t>
      </w:r>
      <w:r w:rsidR="00DB00B2">
        <w:rPr>
          <w:rFonts w:ascii="Arial" w:hAnsi="Arial" w:cs="Arial"/>
          <w:lang w:val="en-ZA"/>
        </w:rPr>
        <w:t>40</w:t>
      </w:r>
      <w:r>
        <w:rPr>
          <w:rFonts w:ascii="Arial" w:hAnsi="Arial" w:cs="Arial"/>
          <w:lang w:val="en-ZA"/>
        </w:rPr>
        <w:t>]</w:t>
      </w:r>
      <w:r>
        <w:rPr>
          <w:rFonts w:ascii="Arial" w:hAnsi="Arial" w:cs="Arial"/>
          <w:lang w:val="en-ZA"/>
        </w:rPr>
        <w:tab/>
        <w:t>Crystal Pier</w:t>
      </w:r>
      <w:r w:rsidR="00A05ED4" w:rsidRPr="001F66F7">
        <w:rPr>
          <w:rFonts w:ascii="Arial" w:hAnsi="Arial" w:cs="Arial"/>
          <w:lang w:val="en-ZA"/>
        </w:rPr>
        <w:t xml:space="preserve"> was placed </w:t>
      </w:r>
      <w:r w:rsidR="00AA25DA" w:rsidRPr="001F66F7">
        <w:rPr>
          <w:rFonts w:ascii="Arial" w:hAnsi="Arial" w:cs="Arial"/>
          <w:lang w:val="en-ZA"/>
        </w:rPr>
        <w:t>under business</w:t>
      </w:r>
      <w:r w:rsidR="00A05ED4" w:rsidRPr="001F66F7">
        <w:rPr>
          <w:rFonts w:ascii="Arial" w:hAnsi="Arial" w:cs="Arial"/>
          <w:lang w:val="en-ZA"/>
        </w:rPr>
        <w:t xml:space="preserve"> rescue, and in response to the application to set aside the resolution placing </w:t>
      </w:r>
      <w:r w:rsidR="00FE5070">
        <w:rPr>
          <w:rFonts w:ascii="Arial" w:hAnsi="Arial" w:cs="Arial"/>
          <w:lang w:val="en-ZA"/>
        </w:rPr>
        <w:t>it</w:t>
      </w:r>
      <w:r w:rsidR="00C701F4" w:rsidRPr="001F66F7">
        <w:rPr>
          <w:rFonts w:ascii="Arial" w:hAnsi="Arial" w:cs="Arial"/>
          <w:lang w:val="en-ZA"/>
        </w:rPr>
        <w:t xml:space="preserve"> under business rescue, </w:t>
      </w:r>
      <w:r w:rsidR="00FE5070">
        <w:rPr>
          <w:rFonts w:ascii="Arial" w:hAnsi="Arial" w:cs="Arial"/>
          <w:lang w:val="en-ZA"/>
        </w:rPr>
        <w:t>Ms Maddocks</w:t>
      </w:r>
      <w:r w:rsidR="00C701F4" w:rsidRPr="001F66F7">
        <w:rPr>
          <w:rFonts w:ascii="Arial" w:hAnsi="Arial" w:cs="Arial"/>
          <w:lang w:val="en-ZA"/>
        </w:rPr>
        <w:t xml:space="preserve"> </w:t>
      </w:r>
      <w:r w:rsidR="00507DBC" w:rsidRPr="001F66F7">
        <w:rPr>
          <w:rFonts w:ascii="Arial" w:hAnsi="Arial" w:cs="Arial"/>
          <w:lang w:val="en-ZA"/>
        </w:rPr>
        <w:t xml:space="preserve">submitted the affidavit </w:t>
      </w:r>
      <w:r w:rsidR="00AA25DA" w:rsidRPr="001F66F7">
        <w:rPr>
          <w:rFonts w:ascii="Arial" w:hAnsi="Arial" w:cs="Arial"/>
          <w:lang w:val="en-ZA"/>
        </w:rPr>
        <w:t>in which</w:t>
      </w:r>
      <w:r w:rsidR="00507DBC" w:rsidRPr="001F66F7">
        <w:rPr>
          <w:rFonts w:ascii="Arial" w:hAnsi="Arial" w:cs="Arial"/>
          <w:lang w:val="en-ZA"/>
        </w:rPr>
        <w:t xml:space="preserve"> </w:t>
      </w:r>
      <w:r w:rsidR="00FE5070">
        <w:rPr>
          <w:rFonts w:ascii="Arial" w:hAnsi="Arial" w:cs="Arial"/>
          <w:lang w:val="en-ZA"/>
        </w:rPr>
        <w:t>the</w:t>
      </w:r>
      <w:r w:rsidR="00FE5070" w:rsidRPr="001F66F7">
        <w:rPr>
          <w:rFonts w:ascii="Arial" w:hAnsi="Arial" w:cs="Arial"/>
          <w:lang w:val="en-ZA"/>
        </w:rPr>
        <w:t xml:space="preserve"> </w:t>
      </w:r>
      <w:r w:rsidR="00CF18E5" w:rsidRPr="001F66F7">
        <w:rPr>
          <w:rFonts w:ascii="Arial" w:hAnsi="Arial" w:cs="Arial"/>
          <w:lang w:val="en-ZA"/>
        </w:rPr>
        <w:t xml:space="preserve">debt was not disputed and </w:t>
      </w:r>
      <w:r w:rsidR="00FE5070">
        <w:rPr>
          <w:rFonts w:ascii="Arial" w:hAnsi="Arial" w:cs="Arial"/>
          <w:lang w:val="en-ZA"/>
        </w:rPr>
        <w:t xml:space="preserve">Mr </w:t>
      </w:r>
      <w:r w:rsidR="00CF18E5" w:rsidRPr="001F66F7">
        <w:rPr>
          <w:rFonts w:ascii="Arial" w:hAnsi="Arial" w:cs="Arial"/>
          <w:lang w:val="en-ZA"/>
        </w:rPr>
        <w:t xml:space="preserve">Persad confirmed </w:t>
      </w:r>
      <w:r w:rsidR="005C7D42" w:rsidRPr="001F66F7">
        <w:rPr>
          <w:rFonts w:ascii="Arial" w:hAnsi="Arial" w:cs="Arial"/>
          <w:lang w:val="en-ZA"/>
        </w:rPr>
        <w:t>it.</w:t>
      </w:r>
      <w:r w:rsidR="00CF18E5" w:rsidRPr="001F66F7">
        <w:rPr>
          <w:rFonts w:ascii="Arial" w:hAnsi="Arial" w:cs="Arial"/>
          <w:lang w:val="en-ZA"/>
        </w:rPr>
        <w:t xml:space="preserve"> Mr Persad is</w:t>
      </w:r>
      <w:r w:rsidR="005C7D42" w:rsidRPr="001F66F7">
        <w:rPr>
          <w:rFonts w:ascii="Arial" w:hAnsi="Arial" w:cs="Arial"/>
          <w:lang w:val="en-ZA"/>
        </w:rPr>
        <w:t xml:space="preserve"> </w:t>
      </w:r>
      <w:r w:rsidR="00220360" w:rsidRPr="001F66F7">
        <w:rPr>
          <w:rFonts w:ascii="Arial" w:hAnsi="Arial" w:cs="Arial"/>
          <w:lang w:val="en-ZA"/>
        </w:rPr>
        <w:t>not some random, illiterate</w:t>
      </w:r>
      <w:r w:rsidR="00C93451" w:rsidRPr="001F66F7">
        <w:rPr>
          <w:rFonts w:ascii="Arial" w:hAnsi="Arial" w:cs="Arial"/>
          <w:lang w:val="en-ZA"/>
        </w:rPr>
        <w:t>,</w:t>
      </w:r>
      <w:r w:rsidR="00220360" w:rsidRPr="001F66F7">
        <w:rPr>
          <w:rFonts w:ascii="Arial" w:hAnsi="Arial" w:cs="Arial"/>
          <w:lang w:val="en-ZA"/>
        </w:rPr>
        <w:t xml:space="preserve"> </w:t>
      </w:r>
      <w:r w:rsidR="00C93451" w:rsidRPr="001F66F7">
        <w:rPr>
          <w:rFonts w:ascii="Arial" w:hAnsi="Arial" w:cs="Arial"/>
          <w:lang w:val="en-ZA"/>
        </w:rPr>
        <w:t>unsophisticated person</w:t>
      </w:r>
      <w:r w:rsidR="006C5002" w:rsidRPr="001F66F7">
        <w:rPr>
          <w:rFonts w:ascii="Arial" w:hAnsi="Arial" w:cs="Arial"/>
          <w:lang w:val="en-ZA"/>
        </w:rPr>
        <w:t xml:space="preserve"> who</w:t>
      </w:r>
      <w:r w:rsidR="00CF18E5" w:rsidRPr="001F66F7">
        <w:rPr>
          <w:rFonts w:ascii="Arial" w:hAnsi="Arial" w:cs="Arial"/>
          <w:lang w:val="en-ZA"/>
        </w:rPr>
        <w:t xml:space="preserve"> was asked to </w:t>
      </w:r>
      <w:r w:rsidR="005C7D42" w:rsidRPr="001F66F7">
        <w:rPr>
          <w:rFonts w:ascii="Arial" w:hAnsi="Arial" w:cs="Arial"/>
          <w:lang w:val="en-ZA"/>
        </w:rPr>
        <w:t>confirm</w:t>
      </w:r>
      <w:r w:rsidR="00CF18E5" w:rsidRPr="001F66F7">
        <w:rPr>
          <w:rFonts w:ascii="Arial" w:hAnsi="Arial" w:cs="Arial"/>
          <w:lang w:val="en-ZA"/>
        </w:rPr>
        <w:t xml:space="preserve"> a complex </w:t>
      </w:r>
      <w:r w:rsidR="000018E1" w:rsidRPr="001F66F7">
        <w:rPr>
          <w:rFonts w:ascii="Arial" w:hAnsi="Arial" w:cs="Arial"/>
          <w:lang w:val="en-ZA"/>
        </w:rPr>
        <w:t>argument</w:t>
      </w:r>
      <w:r w:rsidR="00FE5070">
        <w:rPr>
          <w:rFonts w:ascii="Arial" w:hAnsi="Arial" w:cs="Arial"/>
          <w:lang w:val="en-ZA"/>
        </w:rPr>
        <w:t>;</w:t>
      </w:r>
      <w:r w:rsidR="00CF18E5" w:rsidRPr="001F66F7">
        <w:rPr>
          <w:rFonts w:ascii="Arial" w:hAnsi="Arial" w:cs="Arial"/>
          <w:lang w:val="en-ZA"/>
        </w:rPr>
        <w:t xml:space="preserve"> he had to confirm company</w:t>
      </w:r>
      <w:r w:rsidR="00A06E56" w:rsidRPr="001F66F7">
        <w:rPr>
          <w:rFonts w:ascii="Arial" w:hAnsi="Arial" w:cs="Arial"/>
          <w:lang w:val="en-ZA"/>
        </w:rPr>
        <w:t xml:space="preserve"> debt owed to</w:t>
      </w:r>
      <w:r w:rsidR="00CF18E5" w:rsidRPr="001F66F7">
        <w:rPr>
          <w:rFonts w:ascii="Arial" w:hAnsi="Arial" w:cs="Arial"/>
          <w:lang w:val="en-ZA"/>
        </w:rPr>
        <w:t xml:space="preserve"> </w:t>
      </w:r>
      <w:r w:rsidR="00FE5070">
        <w:rPr>
          <w:rFonts w:ascii="Arial" w:hAnsi="Arial" w:cs="Arial"/>
          <w:lang w:val="en-ZA"/>
        </w:rPr>
        <w:t>Nile Dutch</w:t>
      </w:r>
      <w:r w:rsidR="005C7D42" w:rsidRPr="001F66F7">
        <w:rPr>
          <w:rFonts w:ascii="Arial" w:hAnsi="Arial" w:cs="Arial"/>
          <w:lang w:val="en-ZA"/>
        </w:rPr>
        <w:t>.</w:t>
      </w:r>
      <w:r w:rsidR="00FE5070">
        <w:rPr>
          <w:rFonts w:ascii="Arial" w:hAnsi="Arial" w:cs="Arial"/>
          <w:lang w:val="en-ZA"/>
        </w:rPr>
        <w:t xml:space="preserve"> </w:t>
      </w:r>
      <w:r w:rsidR="00B864A7" w:rsidRPr="001F66F7">
        <w:rPr>
          <w:rFonts w:ascii="Arial" w:hAnsi="Arial" w:cs="Arial"/>
          <w:lang w:val="en-ZA"/>
        </w:rPr>
        <w:t>It is highly improbable that he would have depose</w:t>
      </w:r>
      <w:r w:rsidR="0052589D" w:rsidRPr="001F66F7">
        <w:rPr>
          <w:rFonts w:ascii="Arial" w:hAnsi="Arial" w:cs="Arial"/>
          <w:lang w:val="en-ZA"/>
        </w:rPr>
        <w:t>d</w:t>
      </w:r>
      <w:r w:rsidR="00B864A7" w:rsidRPr="001F66F7">
        <w:rPr>
          <w:rFonts w:ascii="Arial" w:hAnsi="Arial" w:cs="Arial"/>
          <w:lang w:val="en-ZA"/>
        </w:rPr>
        <w:t xml:space="preserve"> </w:t>
      </w:r>
      <w:r w:rsidR="0052589D" w:rsidRPr="001F66F7">
        <w:rPr>
          <w:rFonts w:ascii="Arial" w:hAnsi="Arial" w:cs="Arial"/>
          <w:lang w:val="en-ZA"/>
        </w:rPr>
        <w:t xml:space="preserve">to </w:t>
      </w:r>
      <w:r w:rsidR="00B864A7" w:rsidRPr="001F66F7">
        <w:rPr>
          <w:rFonts w:ascii="Arial" w:hAnsi="Arial" w:cs="Arial"/>
          <w:lang w:val="en-ZA"/>
        </w:rPr>
        <w:t>the confirmatory affidavit without having</w:t>
      </w:r>
      <w:r w:rsidR="000C0F4C" w:rsidRPr="001F66F7">
        <w:rPr>
          <w:rFonts w:ascii="Arial" w:hAnsi="Arial" w:cs="Arial"/>
          <w:lang w:val="en-ZA"/>
        </w:rPr>
        <w:t xml:space="preserve"> </w:t>
      </w:r>
      <w:r w:rsidR="00AD3F48" w:rsidRPr="001F66F7">
        <w:rPr>
          <w:rFonts w:ascii="Arial" w:hAnsi="Arial" w:cs="Arial"/>
          <w:lang w:val="en-ZA"/>
        </w:rPr>
        <w:t xml:space="preserve">had </w:t>
      </w:r>
      <w:r w:rsidR="00C15539">
        <w:rPr>
          <w:rFonts w:ascii="Arial" w:hAnsi="Arial" w:cs="Arial"/>
          <w:lang w:val="en-ZA"/>
        </w:rPr>
        <w:t xml:space="preserve">the </w:t>
      </w:r>
      <w:r w:rsidR="003B3F1F" w:rsidRPr="001F66F7">
        <w:rPr>
          <w:rFonts w:ascii="Arial" w:hAnsi="Arial" w:cs="Arial"/>
          <w:lang w:val="en-ZA"/>
        </w:rPr>
        <w:t xml:space="preserve">knowledge </w:t>
      </w:r>
      <w:r w:rsidR="00AA25DA" w:rsidRPr="001F66F7">
        <w:rPr>
          <w:rFonts w:ascii="Arial" w:hAnsi="Arial" w:cs="Arial"/>
          <w:lang w:val="en-ZA"/>
        </w:rPr>
        <w:t xml:space="preserve">and </w:t>
      </w:r>
      <w:r w:rsidR="00C15539">
        <w:rPr>
          <w:rFonts w:ascii="Arial" w:hAnsi="Arial" w:cs="Arial"/>
          <w:lang w:val="en-ZA"/>
        </w:rPr>
        <w:t xml:space="preserve">an </w:t>
      </w:r>
      <w:r w:rsidR="00AA25DA" w:rsidRPr="001F66F7">
        <w:rPr>
          <w:rFonts w:ascii="Arial" w:hAnsi="Arial" w:cs="Arial"/>
          <w:lang w:val="en-ZA"/>
        </w:rPr>
        <w:t>understanding</w:t>
      </w:r>
      <w:r w:rsidR="003B3F1F" w:rsidRPr="001F66F7">
        <w:rPr>
          <w:rFonts w:ascii="Arial" w:hAnsi="Arial" w:cs="Arial"/>
          <w:lang w:val="en-ZA"/>
        </w:rPr>
        <w:t xml:space="preserve"> of </w:t>
      </w:r>
      <w:r w:rsidR="000910B6" w:rsidRPr="001F66F7">
        <w:rPr>
          <w:rFonts w:ascii="Arial" w:hAnsi="Arial" w:cs="Arial"/>
          <w:lang w:val="en-ZA"/>
        </w:rPr>
        <w:t>what was being admitted</w:t>
      </w:r>
      <w:r w:rsidR="00E67B61" w:rsidRPr="001F66F7">
        <w:rPr>
          <w:rFonts w:ascii="Arial" w:hAnsi="Arial" w:cs="Arial"/>
          <w:lang w:val="en-ZA"/>
        </w:rPr>
        <w:t>.</w:t>
      </w:r>
      <w:r w:rsidR="000910B6" w:rsidRPr="001F66F7">
        <w:rPr>
          <w:rFonts w:ascii="Arial" w:hAnsi="Arial" w:cs="Arial"/>
          <w:lang w:val="en-ZA"/>
        </w:rPr>
        <w:t xml:space="preserve"> </w:t>
      </w:r>
    </w:p>
    <w:p w:rsidR="00FE5070" w:rsidRDefault="00FE5070" w:rsidP="001F66F7">
      <w:pPr>
        <w:pStyle w:val="western"/>
        <w:shd w:val="clear" w:color="auto" w:fill="FFFFFF"/>
        <w:spacing w:before="0" w:beforeAutospacing="0" w:after="0" w:afterAutospacing="0" w:line="360" w:lineRule="auto"/>
        <w:contextualSpacing/>
        <w:jc w:val="both"/>
        <w:rPr>
          <w:rFonts w:ascii="Arial" w:hAnsi="Arial" w:cs="Arial"/>
          <w:lang w:val="en-ZA"/>
        </w:rPr>
      </w:pPr>
    </w:p>
    <w:p w:rsidR="00FE5070" w:rsidRDefault="00FE5070" w:rsidP="001F66F7">
      <w:pPr>
        <w:pStyle w:val="western"/>
        <w:shd w:val="clear" w:color="auto" w:fill="FFFFFF"/>
        <w:spacing w:before="0" w:beforeAutospacing="0" w:after="0" w:afterAutospacing="0" w:line="360" w:lineRule="auto"/>
        <w:contextualSpacing/>
        <w:jc w:val="both"/>
        <w:rPr>
          <w:rFonts w:ascii="Arial" w:hAnsi="Arial" w:cs="Arial"/>
          <w:lang w:val="en-ZA"/>
        </w:rPr>
      </w:pPr>
      <w:r>
        <w:rPr>
          <w:rFonts w:ascii="Arial" w:hAnsi="Arial" w:cs="Arial"/>
          <w:lang w:val="en-ZA"/>
        </w:rPr>
        <w:t>[</w:t>
      </w:r>
      <w:r w:rsidR="00DB00B2">
        <w:rPr>
          <w:rFonts w:ascii="Arial" w:hAnsi="Arial" w:cs="Arial"/>
          <w:lang w:val="en-ZA"/>
        </w:rPr>
        <w:t>41</w:t>
      </w:r>
      <w:r>
        <w:rPr>
          <w:rFonts w:ascii="Arial" w:hAnsi="Arial" w:cs="Arial"/>
          <w:lang w:val="en-ZA"/>
        </w:rPr>
        <w:t>]</w:t>
      </w:r>
      <w:r>
        <w:rPr>
          <w:rFonts w:ascii="Arial" w:hAnsi="Arial" w:cs="Arial"/>
          <w:lang w:val="en-ZA"/>
        </w:rPr>
        <w:tab/>
      </w:r>
      <w:r w:rsidR="00E67B61" w:rsidRPr="001F66F7">
        <w:rPr>
          <w:rFonts w:ascii="Arial" w:hAnsi="Arial" w:cs="Arial"/>
          <w:lang w:val="en-ZA"/>
        </w:rPr>
        <w:t>I</w:t>
      </w:r>
      <w:r w:rsidR="000910B6" w:rsidRPr="001F66F7">
        <w:rPr>
          <w:rFonts w:ascii="Arial" w:hAnsi="Arial" w:cs="Arial"/>
          <w:lang w:val="en-ZA"/>
        </w:rPr>
        <w:t>n fact</w:t>
      </w:r>
      <w:r w:rsidR="00E67B61" w:rsidRPr="001F66F7">
        <w:rPr>
          <w:rFonts w:ascii="Arial" w:hAnsi="Arial" w:cs="Arial"/>
          <w:lang w:val="en-ZA"/>
        </w:rPr>
        <w:t>,</w:t>
      </w:r>
      <w:r w:rsidR="000910B6" w:rsidRPr="001F66F7">
        <w:rPr>
          <w:rFonts w:ascii="Arial" w:hAnsi="Arial" w:cs="Arial"/>
          <w:lang w:val="en-ZA"/>
        </w:rPr>
        <w:t xml:space="preserve"> the affidavit by </w:t>
      </w:r>
      <w:r w:rsidR="00E67B61" w:rsidRPr="001F66F7">
        <w:rPr>
          <w:rFonts w:ascii="Arial" w:hAnsi="Arial" w:cs="Arial"/>
          <w:lang w:val="en-ZA"/>
        </w:rPr>
        <w:t xml:space="preserve">Ms </w:t>
      </w:r>
      <w:r w:rsidR="000910B6" w:rsidRPr="001F66F7">
        <w:rPr>
          <w:rFonts w:ascii="Arial" w:hAnsi="Arial" w:cs="Arial"/>
          <w:lang w:val="en-ZA"/>
        </w:rPr>
        <w:t>Maddock</w:t>
      </w:r>
      <w:r w:rsidR="002D3DD8" w:rsidRPr="001F66F7">
        <w:rPr>
          <w:rFonts w:ascii="Arial" w:hAnsi="Arial" w:cs="Arial"/>
          <w:lang w:val="en-ZA"/>
        </w:rPr>
        <w:t>s</w:t>
      </w:r>
      <w:r w:rsidR="000910B6" w:rsidRPr="001F66F7">
        <w:rPr>
          <w:rFonts w:ascii="Arial" w:hAnsi="Arial" w:cs="Arial"/>
          <w:lang w:val="en-ZA"/>
        </w:rPr>
        <w:t xml:space="preserve"> would not have been possible without information from </w:t>
      </w:r>
      <w:r w:rsidR="00E67B61" w:rsidRPr="001F66F7">
        <w:rPr>
          <w:rFonts w:ascii="Arial" w:hAnsi="Arial" w:cs="Arial"/>
          <w:lang w:val="en-ZA"/>
        </w:rPr>
        <w:t xml:space="preserve">Mr </w:t>
      </w:r>
      <w:r w:rsidR="000910B6" w:rsidRPr="001F66F7">
        <w:rPr>
          <w:rFonts w:ascii="Arial" w:hAnsi="Arial" w:cs="Arial"/>
          <w:lang w:val="en-ZA"/>
        </w:rPr>
        <w:t>Persad</w:t>
      </w:r>
      <w:r w:rsidR="00E67B61" w:rsidRPr="001F66F7">
        <w:rPr>
          <w:rFonts w:ascii="Arial" w:hAnsi="Arial" w:cs="Arial"/>
          <w:lang w:val="en-ZA"/>
        </w:rPr>
        <w:t>,</w:t>
      </w:r>
      <w:r w:rsidR="000910B6" w:rsidRPr="001F66F7">
        <w:rPr>
          <w:rFonts w:ascii="Arial" w:hAnsi="Arial" w:cs="Arial"/>
          <w:lang w:val="en-ZA"/>
        </w:rPr>
        <w:t xml:space="preserve"> as he</w:t>
      </w:r>
      <w:r w:rsidR="00273EF5" w:rsidRPr="001F66F7">
        <w:rPr>
          <w:rFonts w:ascii="Arial" w:hAnsi="Arial" w:cs="Arial"/>
          <w:lang w:val="en-ZA"/>
        </w:rPr>
        <w:t xml:space="preserve"> is</w:t>
      </w:r>
      <w:r w:rsidR="000C0F4C" w:rsidRPr="001F66F7">
        <w:rPr>
          <w:rFonts w:ascii="Arial" w:hAnsi="Arial" w:cs="Arial"/>
          <w:lang w:val="en-ZA"/>
        </w:rPr>
        <w:t xml:space="preserve"> </w:t>
      </w:r>
      <w:r w:rsidR="000910B6" w:rsidRPr="001F66F7">
        <w:rPr>
          <w:rFonts w:ascii="Arial" w:hAnsi="Arial" w:cs="Arial"/>
          <w:lang w:val="en-ZA"/>
        </w:rPr>
        <w:t>the</w:t>
      </w:r>
      <w:r w:rsidR="000C0F4C" w:rsidRPr="001F66F7">
        <w:rPr>
          <w:rFonts w:ascii="Arial" w:hAnsi="Arial" w:cs="Arial"/>
          <w:lang w:val="en-ZA"/>
        </w:rPr>
        <w:t xml:space="preserve"> </w:t>
      </w:r>
      <w:r w:rsidR="000910B6" w:rsidRPr="001F66F7">
        <w:rPr>
          <w:rFonts w:ascii="Arial" w:hAnsi="Arial" w:cs="Arial"/>
          <w:lang w:val="en-ZA"/>
        </w:rPr>
        <w:t xml:space="preserve">one who knew the affairs of </w:t>
      </w:r>
      <w:r w:rsidR="00BE2DA2">
        <w:rPr>
          <w:rFonts w:ascii="Arial" w:hAnsi="Arial" w:cs="Arial"/>
          <w:lang w:val="en-ZA"/>
        </w:rPr>
        <w:t>Crystal Pier</w:t>
      </w:r>
      <w:r w:rsidR="00E67B61" w:rsidRPr="001F66F7">
        <w:rPr>
          <w:rFonts w:ascii="Arial" w:hAnsi="Arial" w:cs="Arial"/>
          <w:lang w:val="en-ZA"/>
        </w:rPr>
        <w:t>,</w:t>
      </w:r>
      <w:r w:rsidR="000910B6" w:rsidRPr="001F66F7">
        <w:rPr>
          <w:rFonts w:ascii="Arial" w:hAnsi="Arial" w:cs="Arial"/>
          <w:lang w:val="en-ZA"/>
        </w:rPr>
        <w:t xml:space="preserve"> including </w:t>
      </w:r>
      <w:r w:rsidR="00AC2068" w:rsidRPr="001F66F7">
        <w:rPr>
          <w:rFonts w:ascii="Arial" w:hAnsi="Arial" w:cs="Arial"/>
          <w:lang w:val="en-ZA"/>
        </w:rPr>
        <w:t xml:space="preserve">its creditors and </w:t>
      </w:r>
      <w:r w:rsidR="000910B6" w:rsidRPr="001F66F7">
        <w:rPr>
          <w:rFonts w:ascii="Arial" w:hAnsi="Arial" w:cs="Arial"/>
          <w:lang w:val="en-ZA"/>
        </w:rPr>
        <w:t>those who have claims against it</w:t>
      </w:r>
      <w:r w:rsidR="00E67B61" w:rsidRPr="001F66F7">
        <w:rPr>
          <w:rFonts w:ascii="Arial" w:hAnsi="Arial" w:cs="Arial"/>
          <w:lang w:val="en-ZA"/>
        </w:rPr>
        <w:t>.</w:t>
      </w:r>
      <w:r w:rsidR="000C0F4C" w:rsidRPr="001F66F7">
        <w:rPr>
          <w:rFonts w:ascii="Arial" w:hAnsi="Arial" w:cs="Arial"/>
          <w:lang w:val="en-ZA"/>
        </w:rPr>
        <w:t xml:space="preserve"> </w:t>
      </w:r>
      <w:r w:rsidR="00263F34" w:rsidRPr="001F66F7">
        <w:rPr>
          <w:rFonts w:ascii="Arial" w:hAnsi="Arial" w:cs="Arial"/>
          <w:lang w:val="en-ZA"/>
        </w:rPr>
        <w:t xml:space="preserve"> </w:t>
      </w:r>
    </w:p>
    <w:p w:rsidR="00FE5070" w:rsidRDefault="00FE5070" w:rsidP="001F66F7">
      <w:pPr>
        <w:pStyle w:val="western"/>
        <w:shd w:val="clear" w:color="auto" w:fill="FFFFFF"/>
        <w:spacing w:before="0" w:beforeAutospacing="0" w:after="0" w:afterAutospacing="0" w:line="360" w:lineRule="auto"/>
        <w:contextualSpacing/>
        <w:jc w:val="both"/>
        <w:rPr>
          <w:rFonts w:ascii="Arial" w:hAnsi="Arial" w:cs="Arial"/>
          <w:lang w:val="en-ZA"/>
        </w:rPr>
      </w:pPr>
    </w:p>
    <w:p w:rsidR="00332EE8" w:rsidRPr="001F66F7" w:rsidRDefault="00FE5070" w:rsidP="001F66F7">
      <w:pPr>
        <w:pStyle w:val="western"/>
        <w:shd w:val="clear" w:color="auto" w:fill="FFFFFF"/>
        <w:spacing w:before="0" w:beforeAutospacing="0" w:after="0" w:afterAutospacing="0" w:line="360" w:lineRule="auto"/>
        <w:contextualSpacing/>
        <w:jc w:val="both"/>
        <w:rPr>
          <w:rFonts w:ascii="Arial" w:hAnsi="Arial" w:cs="Arial"/>
          <w:lang w:val="en-ZA"/>
        </w:rPr>
      </w:pPr>
      <w:r>
        <w:rPr>
          <w:rFonts w:ascii="Arial" w:hAnsi="Arial" w:cs="Arial"/>
          <w:lang w:val="en-ZA"/>
        </w:rPr>
        <w:t>[</w:t>
      </w:r>
      <w:r w:rsidR="00DB00B2">
        <w:rPr>
          <w:rFonts w:ascii="Arial" w:hAnsi="Arial" w:cs="Arial"/>
          <w:lang w:val="en-ZA"/>
        </w:rPr>
        <w:t>42</w:t>
      </w:r>
      <w:r>
        <w:rPr>
          <w:rFonts w:ascii="Arial" w:hAnsi="Arial" w:cs="Arial"/>
          <w:lang w:val="en-ZA"/>
        </w:rPr>
        <w:t>]</w:t>
      </w:r>
      <w:r>
        <w:rPr>
          <w:rFonts w:ascii="Arial" w:hAnsi="Arial" w:cs="Arial"/>
          <w:lang w:val="en-ZA"/>
        </w:rPr>
        <w:tab/>
      </w:r>
      <w:r w:rsidR="00263F34" w:rsidRPr="001F66F7">
        <w:rPr>
          <w:rFonts w:ascii="Arial" w:hAnsi="Arial" w:cs="Arial"/>
          <w:lang w:val="en-ZA"/>
        </w:rPr>
        <w:t xml:space="preserve">I therefore find that </w:t>
      </w:r>
      <w:r w:rsidR="00BE2DA2">
        <w:rPr>
          <w:rFonts w:ascii="Arial" w:hAnsi="Arial" w:cs="Arial"/>
          <w:lang w:val="en-ZA"/>
        </w:rPr>
        <w:t>Nile Dutch</w:t>
      </w:r>
      <w:r w:rsidR="0036761D" w:rsidRPr="001F66F7">
        <w:rPr>
          <w:rFonts w:ascii="Arial" w:hAnsi="Arial" w:cs="Arial"/>
          <w:lang w:val="en-ZA"/>
        </w:rPr>
        <w:t xml:space="preserve"> has a claim or debt against </w:t>
      </w:r>
      <w:r w:rsidR="00BE2DA2">
        <w:rPr>
          <w:rFonts w:ascii="Arial" w:hAnsi="Arial" w:cs="Arial"/>
          <w:lang w:val="en-ZA"/>
        </w:rPr>
        <w:t>Crystal Pier</w:t>
      </w:r>
      <w:r w:rsidR="005C7D42" w:rsidRPr="001F66F7">
        <w:rPr>
          <w:rFonts w:ascii="Arial" w:hAnsi="Arial" w:cs="Arial"/>
          <w:lang w:val="en-ZA"/>
        </w:rPr>
        <w:t xml:space="preserve">, </w:t>
      </w:r>
      <w:r w:rsidR="00AA25DA" w:rsidRPr="001F66F7">
        <w:rPr>
          <w:rFonts w:ascii="Arial" w:hAnsi="Arial" w:cs="Arial"/>
          <w:lang w:val="en-ZA"/>
        </w:rPr>
        <w:t xml:space="preserve">and </w:t>
      </w:r>
      <w:r w:rsidR="00BE2DA2">
        <w:rPr>
          <w:rFonts w:ascii="Arial" w:hAnsi="Arial" w:cs="Arial"/>
          <w:lang w:val="en-ZA"/>
        </w:rPr>
        <w:t>Crystal Pier</w:t>
      </w:r>
      <w:r w:rsidR="00AA25DA" w:rsidRPr="001F66F7">
        <w:rPr>
          <w:rFonts w:ascii="Arial" w:hAnsi="Arial" w:cs="Arial"/>
          <w:lang w:val="en-ZA"/>
        </w:rPr>
        <w:t xml:space="preserve"> has failed to </w:t>
      </w:r>
      <w:r w:rsidR="005C7D42" w:rsidRPr="001F66F7">
        <w:rPr>
          <w:rFonts w:ascii="Arial" w:hAnsi="Arial" w:cs="Arial"/>
          <w:lang w:val="en-ZA"/>
        </w:rPr>
        <w:t>discharge its</w:t>
      </w:r>
      <w:r w:rsidR="00AA25DA" w:rsidRPr="001F66F7">
        <w:rPr>
          <w:rFonts w:ascii="Arial" w:hAnsi="Arial" w:cs="Arial"/>
          <w:lang w:val="en-ZA"/>
        </w:rPr>
        <w:t xml:space="preserve"> onus</w:t>
      </w:r>
      <w:r w:rsidR="000018E1" w:rsidRPr="001F66F7">
        <w:rPr>
          <w:rFonts w:ascii="Arial" w:hAnsi="Arial" w:cs="Arial"/>
          <w:lang w:val="en-ZA"/>
        </w:rPr>
        <w:t xml:space="preserve"> to show that it is disputed on bona fide and reasonable grounds.</w:t>
      </w:r>
      <w:r w:rsidR="00BE2DA2">
        <w:rPr>
          <w:rStyle w:val="FootnoteReference"/>
          <w:rFonts w:ascii="Arial" w:hAnsi="Arial" w:cs="Arial"/>
          <w:lang w:val="en-ZA"/>
        </w:rPr>
        <w:footnoteReference w:id="6"/>
      </w:r>
      <w:r w:rsidR="000018E1" w:rsidRPr="001F66F7">
        <w:rPr>
          <w:rFonts w:ascii="Arial" w:hAnsi="Arial" w:cs="Arial"/>
          <w:lang w:val="en-ZA"/>
        </w:rPr>
        <w:t xml:space="preserve"> </w:t>
      </w:r>
    </w:p>
    <w:p w:rsidR="00F22D12" w:rsidRPr="001F66F7" w:rsidRDefault="00F22D12" w:rsidP="001F66F7">
      <w:pPr>
        <w:pStyle w:val="western"/>
        <w:shd w:val="clear" w:color="auto" w:fill="FFFFFF"/>
        <w:spacing w:before="0" w:beforeAutospacing="0" w:after="0" w:afterAutospacing="0" w:line="360" w:lineRule="auto"/>
        <w:contextualSpacing/>
        <w:jc w:val="both"/>
        <w:rPr>
          <w:rFonts w:ascii="Arial" w:hAnsi="Arial" w:cs="Arial"/>
          <w:lang w:val="en-ZA"/>
        </w:rPr>
      </w:pPr>
    </w:p>
    <w:p w:rsidR="00E46341" w:rsidRPr="00EC487E" w:rsidRDefault="005C7D42" w:rsidP="001F66F7">
      <w:pPr>
        <w:pStyle w:val="western"/>
        <w:shd w:val="clear" w:color="auto" w:fill="FFFFFF"/>
        <w:spacing w:before="0" w:beforeAutospacing="0" w:after="0" w:afterAutospacing="0" w:line="360" w:lineRule="auto"/>
        <w:contextualSpacing/>
        <w:jc w:val="both"/>
        <w:rPr>
          <w:rFonts w:ascii="Arial" w:hAnsi="Arial" w:cs="Arial"/>
          <w:b/>
          <w:lang w:val="en-ZA"/>
        </w:rPr>
      </w:pPr>
      <w:r w:rsidRPr="00EC487E">
        <w:rPr>
          <w:rFonts w:ascii="Arial" w:hAnsi="Arial" w:cs="Arial"/>
          <w:b/>
          <w:lang w:val="en-ZA"/>
        </w:rPr>
        <w:t>Arbitration</w:t>
      </w:r>
    </w:p>
    <w:p w:rsidR="00E46341" w:rsidRPr="001F66F7" w:rsidRDefault="00EC487E" w:rsidP="001F66F7">
      <w:pPr>
        <w:pStyle w:val="western"/>
        <w:shd w:val="clear" w:color="auto" w:fill="FFFFFF"/>
        <w:spacing w:before="0" w:beforeAutospacing="0" w:after="0" w:afterAutospacing="0" w:line="360" w:lineRule="auto"/>
        <w:contextualSpacing/>
        <w:jc w:val="both"/>
        <w:rPr>
          <w:rFonts w:ascii="Arial" w:hAnsi="Arial" w:cs="Arial"/>
          <w:lang w:val="en-ZA"/>
        </w:rPr>
      </w:pPr>
      <w:r>
        <w:rPr>
          <w:rFonts w:ascii="Arial" w:hAnsi="Arial" w:cs="Arial"/>
          <w:lang w:val="en-ZA"/>
        </w:rPr>
        <w:t>[</w:t>
      </w:r>
      <w:r w:rsidR="00DB00B2">
        <w:rPr>
          <w:rFonts w:ascii="Arial" w:hAnsi="Arial" w:cs="Arial"/>
          <w:lang w:val="en-ZA"/>
        </w:rPr>
        <w:t>43</w:t>
      </w:r>
      <w:r>
        <w:rPr>
          <w:rFonts w:ascii="Arial" w:hAnsi="Arial" w:cs="Arial"/>
          <w:lang w:val="en-ZA"/>
        </w:rPr>
        <w:t>]</w:t>
      </w:r>
      <w:r>
        <w:rPr>
          <w:rFonts w:ascii="Arial" w:hAnsi="Arial" w:cs="Arial"/>
          <w:lang w:val="en-ZA"/>
        </w:rPr>
        <w:tab/>
        <w:t>The a</w:t>
      </w:r>
      <w:r w:rsidR="00E46341" w:rsidRPr="001F66F7">
        <w:rPr>
          <w:rFonts w:ascii="Arial" w:hAnsi="Arial" w:cs="Arial"/>
          <w:lang w:val="en-ZA"/>
        </w:rPr>
        <w:t xml:space="preserve">rbitration process formed </w:t>
      </w:r>
      <w:r w:rsidR="005C7D42" w:rsidRPr="001F66F7">
        <w:rPr>
          <w:rFonts w:ascii="Arial" w:hAnsi="Arial" w:cs="Arial"/>
          <w:lang w:val="en-ZA"/>
        </w:rPr>
        <w:t>part of</w:t>
      </w:r>
      <w:r w:rsidR="00E46341" w:rsidRPr="001F66F7">
        <w:rPr>
          <w:rFonts w:ascii="Arial" w:hAnsi="Arial" w:cs="Arial"/>
          <w:lang w:val="en-ZA"/>
        </w:rPr>
        <w:t xml:space="preserve"> the agency agreement as one of the method</w:t>
      </w:r>
      <w:r>
        <w:rPr>
          <w:rFonts w:ascii="Arial" w:hAnsi="Arial" w:cs="Arial"/>
          <w:lang w:val="en-ZA"/>
        </w:rPr>
        <w:t>s</w:t>
      </w:r>
      <w:r w:rsidR="00E46341" w:rsidRPr="001F66F7">
        <w:rPr>
          <w:rFonts w:ascii="Arial" w:hAnsi="Arial" w:cs="Arial"/>
          <w:lang w:val="en-ZA"/>
        </w:rPr>
        <w:t xml:space="preserve"> that can be </w:t>
      </w:r>
      <w:r w:rsidR="005C7D42" w:rsidRPr="001F66F7">
        <w:rPr>
          <w:rFonts w:ascii="Arial" w:hAnsi="Arial" w:cs="Arial"/>
          <w:lang w:val="en-ZA"/>
        </w:rPr>
        <w:t>used</w:t>
      </w:r>
      <w:r w:rsidR="00E46341" w:rsidRPr="001F66F7">
        <w:rPr>
          <w:rFonts w:ascii="Arial" w:hAnsi="Arial" w:cs="Arial"/>
          <w:lang w:val="en-ZA"/>
        </w:rPr>
        <w:t xml:space="preserve"> to </w:t>
      </w:r>
      <w:r w:rsidR="005C7D42" w:rsidRPr="001F66F7">
        <w:rPr>
          <w:rFonts w:ascii="Arial" w:hAnsi="Arial" w:cs="Arial"/>
          <w:lang w:val="en-ZA"/>
        </w:rPr>
        <w:t>resolve</w:t>
      </w:r>
      <w:r w:rsidR="00E46341" w:rsidRPr="001F66F7">
        <w:rPr>
          <w:rFonts w:ascii="Arial" w:hAnsi="Arial" w:cs="Arial"/>
          <w:lang w:val="en-ZA"/>
        </w:rPr>
        <w:t xml:space="preserve"> </w:t>
      </w:r>
      <w:r w:rsidR="005C7D42" w:rsidRPr="001F66F7">
        <w:rPr>
          <w:rFonts w:ascii="Arial" w:hAnsi="Arial" w:cs="Arial"/>
          <w:lang w:val="en-ZA"/>
        </w:rPr>
        <w:t>disputes</w:t>
      </w:r>
      <w:r>
        <w:rPr>
          <w:rFonts w:ascii="Arial" w:hAnsi="Arial" w:cs="Arial"/>
          <w:lang w:val="en-ZA"/>
        </w:rPr>
        <w:t>.</w:t>
      </w:r>
      <w:r w:rsidR="00E46341" w:rsidRPr="001F66F7">
        <w:rPr>
          <w:rFonts w:ascii="Arial" w:hAnsi="Arial" w:cs="Arial"/>
          <w:lang w:val="en-ZA"/>
        </w:rPr>
        <w:t xml:space="preserve"> </w:t>
      </w:r>
      <w:r>
        <w:rPr>
          <w:rFonts w:ascii="Arial" w:hAnsi="Arial" w:cs="Arial"/>
          <w:lang w:val="en-ZA"/>
        </w:rPr>
        <w:t>A</w:t>
      </w:r>
      <w:r w:rsidR="005C7D42" w:rsidRPr="001F66F7">
        <w:rPr>
          <w:rFonts w:ascii="Arial" w:hAnsi="Arial" w:cs="Arial"/>
          <w:lang w:val="en-ZA"/>
        </w:rPr>
        <w:t>fter</w:t>
      </w:r>
      <w:r w:rsidR="00E46341" w:rsidRPr="001F66F7">
        <w:rPr>
          <w:rFonts w:ascii="Arial" w:hAnsi="Arial" w:cs="Arial"/>
          <w:lang w:val="en-ZA"/>
        </w:rPr>
        <w:t xml:space="preserve"> </w:t>
      </w:r>
      <w:r>
        <w:rPr>
          <w:rFonts w:ascii="Arial" w:hAnsi="Arial" w:cs="Arial"/>
          <w:lang w:val="en-ZA"/>
        </w:rPr>
        <w:t>Nile Dutch</w:t>
      </w:r>
      <w:r w:rsidR="00E46341" w:rsidRPr="001F66F7">
        <w:rPr>
          <w:rFonts w:ascii="Arial" w:hAnsi="Arial" w:cs="Arial"/>
          <w:lang w:val="en-ZA"/>
        </w:rPr>
        <w:t xml:space="preserve"> had calculated and communicated its claim to </w:t>
      </w:r>
      <w:r>
        <w:rPr>
          <w:rFonts w:ascii="Arial" w:hAnsi="Arial" w:cs="Arial"/>
          <w:lang w:val="en-ZA"/>
        </w:rPr>
        <w:t>Crystal Pier</w:t>
      </w:r>
      <w:r w:rsidR="005C7D42" w:rsidRPr="001F66F7">
        <w:rPr>
          <w:rFonts w:ascii="Arial" w:hAnsi="Arial" w:cs="Arial"/>
          <w:lang w:val="en-ZA"/>
        </w:rPr>
        <w:t>,</w:t>
      </w:r>
      <w:r w:rsidR="00054508" w:rsidRPr="001F66F7">
        <w:rPr>
          <w:rFonts w:ascii="Arial" w:hAnsi="Arial" w:cs="Arial"/>
          <w:lang w:val="en-ZA"/>
        </w:rPr>
        <w:t xml:space="preserve"> it invited </w:t>
      </w:r>
      <w:r>
        <w:rPr>
          <w:rFonts w:ascii="Arial" w:hAnsi="Arial" w:cs="Arial"/>
          <w:lang w:val="en-ZA"/>
        </w:rPr>
        <w:t>Crystal Pier</w:t>
      </w:r>
      <w:r w:rsidR="00054508" w:rsidRPr="001F66F7">
        <w:rPr>
          <w:rFonts w:ascii="Arial" w:hAnsi="Arial" w:cs="Arial"/>
          <w:lang w:val="en-ZA"/>
        </w:rPr>
        <w:t xml:space="preserve"> to </w:t>
      </w:r>
      <w:r w:rsidR="005C7D42" w:rsidRPr="001F66F7">
        <w:rPr>
          <w:rFonts w:ascii="Arial" w:hAnsi="Arial" w:cs="Arial"/>
          <w:lang w:val="en-ZA"/>
        </w:rPr>
        <w:t xml:space="preserve">arbitration. </w:t>
      </w:r>
      <w:r>
        <w:rPr>
          <w:rFonts w:ascii="Arial" w:hAnsi="Arial" w:cs="Arial"/>
          <w:lang w:val="en-ZA"/>
        </w:rPr>
        <w:t>Crystal Pier</w:t>
      </w:r>
      <w:r w:rsidR="00054508" w:rsidRPr="001F66F7">
        <w:rPr>
          <w:rFonts w:ascii="Arial" w:hAnsi="Arial" w:cs="Arial"/>
          <w:lang w:val="en-ZA"/>
        </w:rPr>
        <w:t xml:space="preserve"> did not attend nor consent to the arbitration. Arbitration was conducted and </w:t>
      </w:r>
      <w:r>
        <w:rPr>
          <w:rFonts w:ascii="Arial" w:hAnsi="Arial" w:cs="Arial"/>
          <w:lang w:val="en-ZA"/>
        </w:rPr>
        <w:t>Nile Dutch’s</w:t>
      </w:r>
      <w:r w:rsidR="009D0D3A">
        <w:rPr>
          <w:rFonts w:ascii="Arial" w:hAnsi="Arial" w:cs="Arial"/>
          <w:lang w:val="en-ZA"/>
        </w:rPr>
        <w:t xml:space="preserve"> </w:t>
      </w:r>
      <w:r w:rsidR="00054508" w:rsidRPr="001F66F7">
        <w:rPr>
          <w:rFonts w:ascii="Arial" w:hAnsi="Arial" w:cs="Arial"/>
          <w:lang w:val="en-ZA"/>
        </w:rPr>
        <w:t xml:space="preserve">claim was confirmed. </w:t>
      </w:r>
      <w:r w:rsidR="00770CFF">
        <w:rPr>
          <w:rFonts w:ascii="Arial" w:hAnsi="Arial" w:cs="Arial"/>
          <w:lang w:val="en-ZA"/>
        </w:rPr>
        <w:t>The a</w:t>
      </w:r>
      <w:r w:rsidR="00054508" w:rsidRPr="001F66F7">
        <w:rPr>
          <w:rFonts w:ascii="Arial" w:hAnsi="Arial" w:cs="Arial"/>
          <w:lang w:val="en-ZA"/>
        </w:rPr>
        <w:t xml:space="preserve">rbitration did not create the debt or </w:t>
      </w:r>
      <w:r w:rsidR="005C7D42" w:rsidRPr="001F66F7">
        <w:rPr>
          <w:rFonts w:ascii="Arial" w:hAnsi="Arial" w:cs="Arial"/>
          <w:lang w:val="en-ZA"/>
        </w:rPr>
        <w:t>claim</w:t>
      </w:r>
      <w:r w:rsidR="009D0D3A">
        <w:rPr>
          <w:rFonts w:ascii="Arial" w:hAnsi="Arial" w:cs="Arial"/>
          <w:lang w:val="en-ZA"/>
        </w:rPr>
        <w:t>;</w:t>
      </w:r>
      <w:r w:rsidR="00054508" w:rsidRPr="001F66F7">
        <w:rPr>
          <w:rFonts w:ascii="Arial" w:hAnsi="Arial" w:cs="Arial"/>
          <w:lang w:val="en-ZA"/>
        </w:rPr>
        <w:t xml:space="preserve"> it simply confirmed</w:t>
      </w:r>
      <w:r w:rsidR="00770CFF">
        <w:rPr>
          <w:rFonts w:ascii="Arial" w:hAnsi="Arial" w:cs="Arial"/>
          <w:lang w:val="en-ZA"/>
        </w:rPr>
        <w:t xml:space="preserve"> it</w:t>
      </w:r>
      <w:r w:rsidR="00054508" w:rsidRPr="001F66F7">
        <w:rPr>
          <w:rFonts w:ascii="Arial" w:hAnsi="Arial" w:cs="Arial"/>
          <w:lang w:val="en-ZA"/>
        </w:rPr>
        <w:t>. A claim</w:t>
      </w:r>
      <w:r w:rsidR="00770CFF">
        <w:rPr>
          <w:rFonts w:ascii="Arial" w:hAnsi="Arial" w:cs="Arial"/>
          <w:lang w:val="en-ZA"/>
        </w:rPr>
        <w:t>,</w:t>
      </w:r>
      <w:r w:rsidR="00054508" w:rsidRPr="001F66F7">
        <w:rPr>
          <w:rFonts w:ascii="Arial" w:hAnsi="Arial" w:cs="Arial"/>
          <w:lang w:val="en-ZA"/>
        </w:rPr>
        <w:t xml:space="preserve"> which I have found</w:t>
      </w:r>
      <w:r w:rsidR="00770CFF">
        <w:rPr>
          <w:rFonts w:ascii="Arial" w:hAnsi="Arial" w:cs="Arial"/>
          <w:lang w:val="en-ZA"/>
        </w:rPr>
        <w:t>,</w:t>
      </w:r>
      <w:r w:rsidR="00054508" w:rsidRPr="001F66F7">
        <w:rPr>
          <w:rFonts w:ascii="Arial" w:hAnsi="Arial" w:cs="Arial"/>
          <w:lang w:val="en-ZA"/>
        </w:rPr>
        <w:t xml:space="preserve"> that was not disputed</w:t>
      </w:r>
      <w:r w:rsidR="00770CFF">
        <w:rPr>
          <w:rFonts w:ascii="Arial" w:hAnsi="Arial" w:cs="Arial"/>
          <w:lang w:val="en-ZA"/>
        </w:rPr>
        <w:t>.</w:t>
      </w:r>
      <w:r w:rsidR="00054508" w:rsidRPr="001F66F7">
        <w:rPr>
          <w:rFonts w:ascii="Arial" w:hAnsi="Arial" w:cs="Arial"/>
          <w:lang w:val="en-ZA"/>
        </w:rPr>
        <w:t xml:space="preserve"> </w:t>
      </w:r>
    </w:p>
    <w:p w:rsidR="001C0FFF" w:rsidRPr="001F66F7" w:rsidRDefault="001C0FFF" w:rsidP="001F66F7">
      <w:pPr>
        <w:pStyle w:val="western"/>
        <w:shd w:val="clear" w:color="auto" w:fill="FFFFFF"/>
        <w:spacing w:before="0" w:beforeAutospacing="0" w:after="0" w:afterAutospacing="0" w:line="360" w:lineRule="auto"/>
        <w:contextualSpacing/>
        <w:jc w:val="both"/>
        <w:rPr>
          <w:rFonts w:ascii="Arial" w:hAnsi="Arial" w:cs="Arial"/>
          <w:lang w:val="en-ZA"/>
        </w:rPr>
      </w:pPr>
    </w:p>
    <w:p w:rsidR="00540DFC" w:rsidRPr="001F66F7" w:rsidRDefault="001C0FFF" w:rsidP="001F66F7">
      <w:pPr>
        <w:pStyle w:val="western"/>
        <w:shd w:val="clear" w:color="auto" w:fill="FFFFFF"/>
        <w:spacing w:before="0" w:beforeAutospacing="0" w:after="0" w:afterAutospacing="0" w:line="360" w:lineRule="auto"/>
        <w:contextualSpacing/>
        <w:jc w:val="both"/>
        <w:rPr>
          <w:rFonts w:ascii="Arial" w:hAnsi="Arial" w:cs="Arial"/>
          <w:lang w:val="en-ZA"/>
        </w:rPr>
      </w:pPr>
      <w:r w:rsidRPr="001F66F7">
        <w:rPr>
          <w:rFonts w:ascii="Arial" w:hAnsi="Arial" w:cs="Arial"/>
          <w:lang w:val="en-ZA"/>
        </w:rPr>
        <w:t>[</w:t>
      </w:r>
      <w:r w:rsidR="00DB00B2">
        <w:rPr>
          <w:rFonts w:ascii="Arial" w:hAnsi="Arial" w:cs="Arial"/>
          <w:lang w:val="en-ZA"/>
        </w:rPr>
        <w:t>44</w:t>
      </w:r>
      <w:r w:rsidRPr="001F66F7">
        <w:rPr>
          <w:rFonts w:ascii="Arial" w:hAnsi="Arial" w:cs="Arial"/>
          <w:lang w:val="en-ZA"/>
        </w:rPr>
        <w:t>]</w:t>
      </w:r>
      <w:r w:rsidRPr="001F66F7">
        <w:rPr>
          <w:rFonts w:ascii="Arial" w:hAnsi="Arial" w:cs="Arial"/>
          <w:lang w:val="en-ZA"/>
        </w:rPr>
        <w:tab/>
      </w:r>
      <w:r w:rsidR="00054508" w:rsidRPr="001F66F7">
        <w:rPr>
          <w:rFonts w:ascii="Arial" w:hAnsi="Arial" w:cs="Arial"/>
          <w:lang w:val="en-ZA"/>
        </w:rPr>
        <w:t xml:space="preserve"> </w:t>
      </w:r>
      <w:r w:rsidR="0036761D" w:rsidRPr="001F66F7">
        <w:rPr>
          <w:rFonts w:ascii="Arial" w:hAnsi="Arial" w:cs="Arial"/>
          <w:lang w:val="en-ZA"/>
        </w:rPr>
        <w:t>In</w:t>
      </w:r>
      <w:r w:rsidR="00054508" w:rsidRPr="001F66F7">
        <w:rPr>
          <w:rFonts w:ascii="Arial" w:hAnsi="Arial" w:cs="Arial"/>
          <w:lang w:val="en-ZA"/>
        </w:rPr>
        <w:t xml:space="preserve"> the circumstances</w:t>
      </w:r>
      <w:r w:rsidR="00770CFF">
        <w:rPr>
          <w:rFonts w:ascii="Arial" w:hAnsi="Arial" w:cs="Arial"/>
          <w:lang w:val="en-ZA"/>
        </w:rPr>
        <w:t>,</w:t>
      </w:r>
      <w:r w:rsidR="00054508" w:rsidRPr="001F66F7">
        <w:rPr>
          <w:rFonts w:ascii="Arial" w:hAnsi="Arial" w:cs="Arial"/>
          <w:lang w:val="en-ZA"/>
        </w:rPr>
        <w:t xml:space="preserve"> </w:t>
      </w:r>
      <w:r w:rsidR="00957253" w:rsidRPr="001F66F7">
        <w:rPr>
          <w:rFonts w:ascii="Arial" w:hAnsi="Arial" w:cs="Arial"/>
          <w:lang w:val="en-ZA"/>
        </w:rPr>
        <w:t>I</w:t>
      </w:r>
      <w:r w:rsidR="000018E1" w:rsidRPr="001F66F7">
        <w:rPr>
          <w:rFonts w:ascii="Arial" w:hAnsi="Arial" w:cs="Arial"/>
          <w:lang w:val="en-ZA"/>
        </w:rPr>
        <w:t xml:space="preserve"> </w:t>
      </w:r>
      <w:r w:rsidR="00ED362A" w:rsidRPr="001F66F7">
        <w:rPr>
          <w:rFonts w:ascii="Arial" w:hAnsi="Arial" w:cs="Arial"/>
          <w:lang w:val="en-ZA"/>
        </w:rPr>
        <w:t>am in</w:t>
      </w:r>
      <w:r w:rsidR="00B864A7" w:rsidRPr="001F66F7">
        <w:rPr>
          <w:rFonts w:ascii="Arial" w:hAnsi="Arial" w:cs="Arial"/>
          <w:lang w:val="en-ZA"/>
        </w:rPr>
        <w:t xml:space="preserve"> in agreement with</w:t>
      </w:r>
      <w:r w:rsidR="00054508" w:rsidRPr="001F66F7">
        <w:rPr>
          <w:rFonts w:ascii="Arial" w:hAnsi="Arial" w:cs="Arial"/>
          <w:lang w:val="en-ZA"/>
        </w:rPr>
        <w:t xml:space="preserve"> </w:t>
      </w:r>
      <w:r w:rsidR="00770CFF">
        <w:rPr>
          <w:rFonts w:ascii="Arial" w:hAnsi="Arial" w:cs="Arial"/>
          <w:lang w:val="en-ZA"/>
        </w:rPr>
        <w:t>Nile Dutch’s</w:t>
      </w:r>
      <w:r w:rsidR="009F6D1F" w:rsidRPr="001F66F7">
        <w:rPr>
          <w:rFonts w:ascii="Arial" w:hAnsi="Arial" w:cs="Arial"/>
          <w:lang w:val="en-ZA"/>
        </w:rPr>
        <w:t xml:space="preserve"> assertion </w:t>
      </w:r>
      <w:r w:rsidR="000018E1" w:rsidRPr="001F66F7">
        <w:rPr>
          <w:rFonts w:ascii="Arial" w:hAnsi="Arial" w:cs="Arial"/>
          <w:lang w:val="en-ZA"/>
        </w:rPr>
        <w:t xml:space="preserve">that </w:t>
      </w:r>
      <w:r w:rsidR="00770CFF">
        <w:rPr>
          <w:rFonts w:ascii="Arial" w:hAnsi="Arial" w:cs="Arial"/>
          <w:lang w:val="en-ZA"/>
        </w:rPr>
        <w:t>Crystal Pier</w:t>
      </w:r>
      <w:r w:rsidR="005C7D42" w:rsidRPr="001F66F7">
        <w:rPr>
          <w:rFonts w:ascii="Arial" w:hAnsi="Arial" w:cs="Arial"/>
          <w:lang w:val="en-ZA"/>
        </w:rPr>
        <w:t xml:space="preserve"> is</w:t>
      </w:r>
      <w:r w:rsidR="009F6D1F" w:rsidRPr="001F66F7">
        <w:rPr>
          <w:rFonts w:ascii="Arial" w:hAnsi="Arial" w:cs="Arial"/>
          <w:lang w:val="en-ZA"/>
        </w:rPr>
        <w:t xml:space="preserve"> </w:t>
      </w:r>
      <w:r w:rsidR="001C2E15" w:rsidRPr="001F66F7">
        <w:rPr>
          <w:rFonts w:ascii="Arial" w:hAnsi="Arial" w:cs="Arial"/>
          <w:lang w:val="en-ZA"/>
        </w:rPr>
        <w:t xml:space="preserve">unreasonably </w:t>
      </w:r>
      <w:r w:rsidR="009F6D1F" w:rsidRPr="001F66F7">
        <w:rPr>
          <w:rFonts w:ascii="Arial" w:hAnsi="Arial" w:cs="Arial"/>
          <w:lang w:val="en-ZA"/>
        </w:rPr>
        <w:t xml:space="preserve">delaying the </w:t>
      </w:r>
      <w:r w:rsidR="001C2E15" w:rsidRPr="001F66F7">
        <w:rPr>
          <w:rFonts w:ascii="Arial" w:hAnsi="Arial" w:cs="Arial"/>
          <w:lang w:val="en-ZA"/>
        </w:rPr>
        <w:t xml:space="preserve">finalisation </w:t>
      </w:r>
      <w:r w:rsidR="009F6D1F" w:rsidRPr="001F66F7">
        <w:rPr>
          <w:rFonts w:ascii="Arial" w:hAnsi="Arial" w:cs="Arial"/>
          <w:lang w:val="en-ZA"/>
        </w:rPr>
        <w:t>of the winding</w:t>
      </w:r>
      <w:r w:rsidR="001C2E15" w:rsidRPr="001F66F7">
        <w:rPr>
          <w:rFonts w:ascii="Arial" w:hAnsi="Arial" w:cs="Arial"/>
          <w:lang w:val="en-ZA"/>
        </w:rPr>
        <w:t>-</w:t>
      </w:r>
      <w:r w:rsidR="009F6D1F" w:rsidRPr="001F66F7">
        <w:rPr>
          <w:rFonts w:ascii="Arial" w:hAnsi="Arial" w:cs="Arial"/>
          <w:lang w:val="en-ZA"/>
        </w:rPr>
        <w:t>up</w:t>
      </w:r>
      <w:r w:rsidR="001C2E15" w:rsidRPr="001F66F7">
        <w:rPr>
          <w:rFonts w:ascii="Arial" w:hAnsi="Arial" w:cs="Arial"/>
          <w:lang w:val="en-ZA"/>
        </w:rPr>
        <w:t>,</w:t>
      </w:r>
      <w:r w:rsidR="009F6D1F" w:rsidRPr="001F66F7">
        <w:rPr>
          <w:rFonts w:ascii="Arial" w:hAnsi="Arial" w:cs="Arial"/>
          <w:lang w:val="en-ZA"/>
        </w:rPr>
        <w:t xml:space="preserve"> and </w:t>
      </w:r>
      <w:r w:rsidR="0050317D" w:rsidRPr="001F66F7">
        <w:rPr>
          <w:rFonts w:ascii="Arial" w:hAnsi="Arial" w:cs="Arial"/>
          <w:lang w:val="en-ZA"/>
        </w:rPr>
        <w:t xml:space="preserve">that it </w:t>
      </w:r>
      <w:r w:rsidR="009F6D1F" w:rsidRPr="001F66F7">
        <w:rPr>
          <w:rFonts w:ascii="Arial" w:hAnsi="Arial" w:cs="Arial"/>
          <w:lang w:val="en-ZA"/>
        </w:rPr>
        <w:t>has no bona fide defen</w:t>
      </w:r>
      <w:r w:rsidR="006E7C0B" w:rsidRPr="001F66F7">
        <w:rPr>
          <w:rFonts w:ascii="Arial" w:hAnsi="Arial" w:cs="Arial"/>
          <w:lang w:val="en-ZA"/>
        </w:rPr>
        <w:t>c</w:t>
      </w:r>
      <w:r w:rsidR="009F6D1F" w:rsidRPr="001F66F7">
        <w:rPr>
          <w:rFonts w:ascii="Arial" w:hAnsi="Arial" w:cs="Arial"/>
          <w:lang w:val="en-ZA"/>
        </w:rPr>
        <w:t>e.</w:t>
      </w:r>
      <w:r w:rsidR="000C0F4C" w:rsidRPr="001F66F7">
        <w:rPr>
          <w:rFonts w:ascii="Arial" w:hAnsi="Arial" w:cs="Arial"/>
          <w:lang w:val="en-ZA"/>
        </w:rPr>
        <w:t xml:space="preserve"> </w:t>
      </w:r>
    </w:p>
    <w:p w:rsidR="00770CFF" w:rsidRDefault="00770CFF" w:rsidP="001F66F7">
      <w:pPr>
        <w:pStyle w:val="western"/>
        <w:shd w:val="clear" w:color="auto" w:fill="FFFFFF"/>
        <w:spacing w:before="0" w:beforeAutospacing="0" w:after="0" w:afterAutospacing="0" w:line="360" w:lineRule="auto"/>
        <w:contextualSpacing/>
        <w:jc w:val="both"/>
        <w:rPr>
          <w:rFonts w:ascii="Arial" w:hAnsi="Arial" w:cs="Arial"/>
          <w:lang w:val="en-ZA"/>
        </w:rPr>
      </w:pPr>
    </w:p>
    <w:p w:rsidR="00332EE8" w:rsidRPr="001F66F7" w:rsidRDefault="00770CFF" w:rsidP="001F66F7">
      <w:pPr>
        <w:pStyle w:val="western"/>
        <w:shd w:val="clear" w:color="auto" w:fill="FFFFFF"/>
        <w:spacing w:before="0" w:beforeAutospacing="0" w:after="0" w:afterAutospacing="0" w:line="360" w:lineRule="auto"/>
        <w:contextualSpacing/>
        <w:jc w:val="both"/>
        <w:rPr>
          <w:rFonts w:ascii="Arial" w:hAnsi="Arial" w:cs="Arial"/>
          <w:lang w:val="en-ZA"/>
        </w:rPr>
      </w:pPr>
      <w:r>
        <w:rPr>
          <w:rFonts w:ascii="Arial" w:hAnsi="Arial" w:cs="Arial"/>
          <w:lang w:val="en-ZA"/>
        </w:rPr>
        <w:t>[</w:t>
      </w:r>
      <w:r w:rsidR="00DB00B2">
        <w:rPr>
          <w:rFonts w:ascii="Arial" w:hAnsi="Arial" w:cs="Arial"/>
          <w:lang w:val="en-ZA"/>
        </w:rPr>
        <w:t>45</w:t>
      </w:r>
      <w:r>
        <w:rPr>
          <w:rFonts w:ascii="Arial" w:hAnsi="Arial" w:cs="Arial"/>
          <w:lang w:val="en-ZA"/>
        </w:rPr>
        <w:t>]</w:t>
      </w:r>
      <w:r>
        <w:rPr>
          <w:rFonts w:ascii="Arial" w:hAnsi="Arial" w:cs="Arial"/>
          <w:lang w:val="en-ZA"/>
        </w:rPr>
        <w:tab/>
      </w:r>
      <w:r w:rsidR="00332EE8" w:rsidRPr="001F66F7">
        <w:rPr>
          <w:rFonts w:ascii="Arial" w:hAnsi="Arial" w:cs="Arial"/>
          <w:lang w:val="en-ZA"/>
        </w:rPr>
        <w:t>I therefore find that it is just and equitable to order the final winding</w:t>
      </w:r>
      <w:r>
        <w:rPr>
          <w:rFonts w:ascii="Arial" w:hAnsi="Arial" w:cs="Arial"/>
          <w:lang w:val="en-ZA"/>
        </w:rPr>
        <w:t>-</w:t>
      </w:r>
      <w:r w:rsidR="00332EE8" w:rsidRPr="001F66F7">
        <w:rPr>
          <w:rFonts w:ascii="Arial" w:hAnsi="Arial" w:cs="Arial"/>
          <w:lang w:val="en-ZA"/>
        </w:rPr>
        <w:t xml:space="preserve">up of </w:t>
      </w:r>
      <w:r w:rsidR="00363408">
        <w:rPr>
          <w:rFonts w:ascii="Arial" w:hAnsi="Arial" w:cs="Arial"/>
          <w:lang w:val="en-ZA"/>
        </w:rPr>
        <w:t>Crystal Pier</w:t>
      </w:r>
      <w:r w:rsidR="00332EE8" w:rsidRPr="001F66F7">
        <w:rPr>
          <w:rFonts w:ascii="Arial" w:hAnsi="Arial" w:cs="Arial"/>
          <w:lang w:val="en-ZA"/>
        </w:rPr>
        <w:t>. There is no re</w:t>
      </w:r>
      <w:r w:rsidR="000018E1" w:rsidRPr="001F66F7">
        <w:rPr>
          <w:rFonts w:ascii="Arial" w:hAnsi="Arial" w:cs="Arial"/>
          <w:lang w:val="en-ZA"/>
        </w:rPr>
        <w:t>a</w:t>
      </w:r>
      <w:r w:rsidR="00332EE8" w:rsidRPr="001F66F7">
        <w:rPr>
          <w:rFonts w:ascii="Arial" w:hAnsi="Arial" w:cs="Arial"/>
          <w:lang w:val="en-ZA"/>
        </w:rPr>
        <w:t>son to devi</w:t>
      </w:r>
      <w:r w:rsidR="000018E1" w:rsidRPr="001F66F7">
        <w:rPr>
          <w:rFonts w:ascii="Arial" w:hAnsi="Arial" w:cs="Arial"/>
          <w:lang w:val="en-ZA"/>
        </w:rPr>
        <w:t>a</w:t>
      </w:r>
      <w:r w:rsidR="00332EE8" w:rsidRPr="001F66F7">
        <w:rPr>
          <w:rFonts w:ascii="Arial" w:hAnsi="Arial" w:cs="Arial"/>
          <w:lang w:val="en-ZA"/>
        </w:rPr>
        <w:t>te from the usual cost</w:t>
      </w:r>
      <w:r>
        <w:rPr>
          <w:rFonts w:ascii="Arial" w:hAnsi="Arial" w:cs="Arial"/>
          <w:lang w:val="en-ZA"/>
        </w:rPr>
        <w:t>s</w:t>
      </w:r>
      <w:r w:rsidR="00332EE8" w:rsidRPr="001F66F7">
        <w:rPr>
          <w:rFonts w:ascii="Arial" w:hAnsi="Arial" w:cs="Arial"/>
          <w:lang w:val="en-ZA"/>
        </w:rPr>
        <w:t xml:space="preserve"> order.</w:t>
      </w:r>
    </w:p>
    <w:p w:rsidR="001C0FFF" w:rsidRPr="001F66F7" w:rsidRDefault="001C0FFF" w:rsidP="001F66F7">
      <w:pPr>
        <w:pStyle w:val="western"/>
        <w:shd w:val="clear" w:color="auto" w:fill="FFFFFF"/>
        <w:spacing w:before="0" w:beforeAutospacing="0" w:after="0" w:afterAutospacing="0" w:line="360" w:lineRule="auto"/>
        <w:contextualSpacing/>
        <w:jc w:val="both"/>
        <w:rPr>
          <w:rFonts w:ascii="Arial" w:hAnsi="Arial" w:cs="Arial"/>
          <w:lang w:val="en-ZA"/>
        </w:rPr>
      </w:pPr>
    </w:p>
    <w:p w:rsidR="000129FB" w:rsidRPr="001F66F7" w:rsidRDefault="000129FB" w:rsidP="001F66F7">
      <w:pPr>
        <w:pStyle w:val="western"/>
        <w:shd w:val="clear" w:color="auto" w:fill="FFFFFF"/>
        <w:spacing w:before="0" w:beforeAutospacing="0" w:after="0" w:afterAutospacing="0" w:line="360" w:lineRule="auto"/>
        <w:contextualSpacing/>
        <w:jc w:val="both"/>
        <w:rPr>
          <w:rFonts w:ascii="Arial" w:hAnsi="Arial" w:cs="Arial"/>
          <w:b/>
          <w:lang w:val="en-ZA"/>
        </w:rPr>
      </w:pPr>
      <w:r w:rsidRPr="001F66F7">
        <w:rPr>
          <w:rFonts w:ascii="Arial" w:hAnsi="Arial" w:cs="Arial"/>
          <w:b/>
          <w:lang w:val="en-ZA"/>
        </w:rPr>
        <w:t>Order</w:t>
      </w:r>
    </w:p>
    <w:p w:rsidR="000129FB" w:rsidRPr="001F66F7" w:rsidRDefault="001C0FFF" w:rsidP="001F66F7">
      <w:pPr>
        <w:pStyle w:val="western"/>
        <w:shd w:val="clear" w:color="auto" w:fill="FFFFFF"/>
        <w:spacing w:before="0" w:beforeAutospacing="0" w:after="0" w:afterAutospacing="0" w:line="360" w:lineRule="auto"/>
        <w:contextualSpacing/>
        <w:jc w:val="both"/>
        <w:rPr>
          <w:rFonts w:ascii="Arial" w:hAnsi="Arial" w:cs="Arial"/>
          <w:lang w:val="en-ZA"/>
        </w:rPr>
      </w:pPr>
      <w:r w:rsidRPr="001F66F7">
        <w:rPr>
          <w:rFonts w:ascii="Arial" w:hAnsi="Arial" w:cs="Arial"/>
          <w:lang w:val="en-ZA"/>
        </w:rPr>
        <w:t>[</w:t>
      </w:r>
      <w:r w:rsidR="00DB00B2">
        <w:rPr>
          <w:rFonts w:ascii="Arial" w:hAnsi="Arial" w:cs="Arial"/>
          <w:lang w:val="en-ZA"/>
        </w:rPr>
        <w:t>46</w:t>
      </w:r>
      <w:r w:rsidRPr="001F66F7">
        <w:rPr>
          <w:rFonts w:ascii="Arial" w:hAnsi="Arial" w:cs="Arial"/>
          <w:lang w:val="en-ZA"/>
        </w:rPr>
        <w:t>]</w:t>
      </w:r>
      <w:r w:rsidRPr="001F66F7">
        <w:rPr>
          <w:rFonts w:ascii="Arial" w:hAnsi="Arial" w:cs="Arial"/>
          <w:lang w:val="en-ZA"/>
        </w:rPr>
        <w:tab/>
      </w:r>
      <w:r w:rsidR="000129FB" w:rsidRPr="001F66F7">
        <w:rPr>
          <w:rFonts w:ascii="Arial" w:hAnsi="Arial" w:cs="Arial"/>
          <w:lang w:val="en-ZA"/>
        </w:rPr>
        <w:t>The following order is granted:</w:t>
      </w:r>
      <w:r w:rsidR="003C3C63" w:rsidRPr="001F66F7">
        <w:rPr>
          <w:rFonts w:ascii="Arial" w:hAnsi="Arial" w:cs="Arial"/>
          <w:lang w:val="en-ZA"/>
        </w:rPr>
        <w:t xml:space="preserve"> </w:t>
      </w:r>
    </w:p>
    <w:p w:rsidR="00332EE8" w:rsidRPr="001F66F7" w:rsidRDefault="00770CFF" w:rsidP="001F66F7">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0129FB" w:rsidRPr="001F66F7">
        <w:rPr>
          <w:rFonts w:ascii="Arial" w:hAnsi="Arial" w:cs="Arial"/>
          <w:sz w:val="24"/>
          <w:szCs w:val="24"/>
        </w:rPr>
        <w:t>T</w:t>
      </w:r>
      <w:r w:rsidR="003C3C63" w:rsidRPr="001F66F7">
        <w:rPr>
          <w:rFonts w:ascii="Arial" w:hAnsi="Arial" w:cs="Arial"/>
          <w:sz w:val="24"/>
          <w:szCs w:val="24"/>
        </w:rPr>
        <w:t>he first respondent is plac</w:t>
      </w:r>
      <w:r w:rsidR="0092514F" w:rsidRPr="001F66F7">
        <w:rPr>
          <w:rFonts w:ascii="Arial" w:hAnsi="Arial" w:cs="Arial"/>
          <w:sz w:val="24"/>
          <w:szCs w:val="24"/>
        </w:rPr>
        <w:t>ed under final winding</w:t>
      </w:r>
      <w:r w:rsidR="00830635" w:rsidRPr="001F66F7">
        <w:rPr>
          <w:rFonts w:ascii="Arial" w:hAnsi="Arial" w:cs="Arial"/>
          <w:sz w:val="24"/>
          <w:szCs w:val="24"/>
        </w:rPr>
        <w:t>-</w:t>
      </w:r>
      <w:r w:rsidR="0092514F" w:rsidRPr="001F66F7">
        <w:rPr>
          <w:rFonts w:ascii="Arial" w:hAnsi="Arial" w:cs="Arial"/>
          <w:sz w:val="24"/>
          <w:szCs w:val="24"/>
        </w:rPr>
        <w:t>up</w:t>
      </w:r>
      <w:r w:rsidR="000129FB" w:rsidRPr="001F66F7">
        <w:rPr>
          <w:rFonts w:ascii="Arial" w:hAnsi="Arial" w:cs="Arial"/>
          <w:sz w:val="24"/>
          <w:szCs w:val="24"/>
        </w:rPr>
        <w:t xml:space="preserve"> in the hands of the Mast</w:t>
      </w:r>
      <w:r w:rsidR="00332EE8" w:rsidRPr="001F66F7">
        <w:rPr>
          <w:rFonts w:ascii="Arial" w:hAnsi="Arial" w:cs="Arial"/>
          <w:sz w:val="24"/>
          <w:szCs w:val="24"/>
        </w:rPr>
        <w:t>er of the High Court</w:t>
      </w:r>
      <w:r>
        <w:rPr>
          <w:rFonts w:ascii="Arial" w:hAnsi="Arial" w:cs="Arial"/>
          <w:sz w:val="24"/>
          <w:szCs w:val="24"/>
        </w:rPr>
        <w:t>.</w:t>
      </w:r>
      <w:r w:rsidR="00332EE8" w:rsidRPr="001F66F7">
        <w:rPr>
          <w:rFonts w:ascii="Arial" w:hAnsi="Arial" w:cs="Arial"/>
          <w:sz w:val="24"/>
          <w:szCs w:val="24"/>
        </w:rPr>
        <w:t xml:space="preserve"> </w:t>
      </w:r>
    </w:p>
    <w:p w:rsidR="00332EE8" w:rsidRPr="001F66F7" w:rsidRDefault="00770CFF" w:rsidP="001F66F7">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w:t>
      </w:r>
      <w:r w:rsidR="00332EE8" w:rsidRPr="001F66F7">
        <w:rPr>
          <w:rFonts w:ascii="Arial" w:hAnsi="Arial" w:cs="Arial"/>
          <w:sz w:val="24"/>
          <w:szCs w:val="24"/>
        </w:rPr>
        <w:t>he costs of this application shall be costs in the liquidation.</w:t>
      </w:r>
    </w:p>
    <w:p w:rsidR="00332EE8" w:rsidRPr="00332EE8" w:rsidRDefault="00332EE8" w:rsidP="00332EE8">
      <w:pPr>
        <w:spacing w:after="0" w:line="360" w:lineRule="auto"/>
        <w:jc w:val="both"/>
        <w:rPr>
          <w:rFonts w:asciiTheme="majorHAnsi" w:hAnsiTheme="majorHAnsi" w:cstheme="majorHAnsi"/>
          <w:sz w:val="24"/>
          <w:szCs w:val="24"/>
        </w:rPr>
      </w:pPr>
    </w:p>
    <w:p w:rsidR="0076321E" w:rsidRPr="00332EE8" w:rsidRDefault="0076321E" w:rsidP="000B1882">
      <w:pPr>
        <w:pStyle w:val="western"/>
        <w:shd w:val="clear" w:color="auto" w:fill="FFFFFF"/>
        <w:spacing w:before="0" w:beforeAutospacing="0" w:after="0" w:afterAutospacing="0" w:line="360" w:lineRule="auto"/>
        <w:contextualSpacing/>
        <w:jc w:val="both"/>
        <w:rPr>
          <w:rFonts w:asciiTheme="minorHAnsi" w:hAnsiTheme="minorHAnsi" w:cstheme="minorHAnsi"/>
          <w:lang w:val="en-ZA"/>
        </w:rPr>
      </w:pPr>
    </w:p>
    <w:p w:rsidR="0076321E" w:rsidRPr="001F66F7" w:rsidRDefault="0076321E" w:rsidP="001F66F7">
      <w:pPr>
        <w:pStyle w:val="western"/>
        <w:shd w:val="clear" w:color="auto" w:fill="FFFFFF"/>
        <w:spacing w:before="0" w:beforeAutospacing="0" w:after="0" w:afterAutospacing="0" w:line="360" w:lineRule="auto"/>
        <w:contextualSpacing/>
        <w:jc w:val="right"/>
        <w:rPr>
          <w:rFonts w:ascii="Arial" w:hAnsi="Arial" w:cs="Arial"/>
          <w:lang w:val="en-ZA"/>
        </w:rPr>
      </w:pPr>
    </w:p>
    <w:p w:rsidR="0076321E" w:rsidRPr="001F66F7" w:rsidRDefault="0076321E" w:rsidP="001F66F7">
      <w:pPr>
        <w:pStyle w:val="western"/>
        <w:shd w:val="clear" w:color="auto" w:fill="FFFFFF"/>
        <w:spacing w:before="0" w:beforeAutospacing="0" w:after="0" w:afterAutospacing="0" w:line="360" w:lineRule="auto"/>
        <w:contextualSpacing/>
        <w:jc w:val="right"/>
        <w:rPr>
          <w:rFonts w:ascii="Arial" w:hAnsi="Arial" w:cs="Arial"/>
          <w:lang w:val="en-ZA"/>
        </w:rPr>
      </w:pPr>
      <w:r w:rsidRPr="001F66F7">
        <w:rPr>
          <w:rFonts w:ascii="Arial" w:hAnsi="Arial" w:cs="Arial"/>
          <w:lang w:val="en-ZA"/>
        </w:rPr>
        <w:t>___________________</w:t>
      </w:r>
    </w:p>
    <w:p w:rsidR="0076321E" w:rsidRPr="001F66F7" w:rsidRDefault="0076321E" w:rsidP="001F66F7">
      <w:pPr>
        <w:pStyle w:val="western"/>
        <w:shd w:val="clear" w:color="auto" w:fill="FFFFFF"/>
        <w:spacing w:before="0" w:beforeAutospacing="0" w:after="0" w:afterAutospacing="0" w:line="360" w:lineRule="auto"/>
        <w:contextualSpacing/>
        <w:jc w:val="right"/>
        <w:rPr>
          <w:rFonts w:ascii="Arial" w:hAnsi="Arial" w:cs="Arial"/>
          <w:b/>
          <w:lang w:val="en-ZA"/>
        </w:rPr>
      </w:pPr>
      <w:r w:rsidRPr="001F66F7">
        <w:rPr>
          <w:rFonts w:ascii="Arial" w:hAnsi="Arial" w:cs="Arial"/>
          <w:b/>
          <w:lang w:val="en-ZA"/>
        </w:rPr>
        <w:t>SHOBA AJ</w:t>
      </w:r>
    </w:p>
    <w:p w:rsidR="009F6D1F" w:rsidRDefault="009F6D1F" w:rsidP="00BD3B29">
      <w:pPr>
        <w:pStyle w:val="western"/>
        <w:shd w:val="clear" w:color="auto" w:fill="FFFFFF"/>
        <w:spacing w:before="144" w:beforeAutospacing="0" w:after="0" w:afterAutospacing="0" w:line="360" w:lineRule="atLeast"/>
        <w:jc w:val="both"/>
        <w:rPr>
          <w:rFonts w:asciiTheme="minorHAnsi" w:hAnsiTheme="minorHAnsi" w:cstheme="minorHAnsi"/>
          <w:lang w:val="en-ZA"/>
        </w:rPr>
      </w:pPr>
    </w:p>
    <w:p w:rsidR="00104867" w:rsidRDefault="00104867" w:rsidP="00BD3B29">
      <w:pPr>
        <w:pStyle w:val="western"/>
        <w:shd w:val="clear" w:color="auto" w:fill="FFFFFF"/>
        <w:spacing w:before="144" w:beforeAutospacing="0" w:after="0" w:afterAutospacing="0" w:line="360" w:lineRule="atLeast"/>
        <w:jc w:val="both"/>
        <w:rPr>
          <w:rFonts w:asciiTheme="minorHAnsi" w:hAnsiTheme="minorHAnsi" w:cstheme="minorHAnsi"/>
          <w:lang w:val="en-ZA"/>
        </w:rPr>
      </w:pPr>
    </w:p>
    <w:p w:rsidR="00104867" w:rsidRDefault="00104867" w:rsidP="00BD3B29">
      <w:pPr>
        <w:pStyle w:val="western"/>
        <w:shd w:val="clear" w:color="auto" w:fill="FFFFFF"/>
        <w:spacing w:before="144" w:beforeAutospacing="0" w:after="0" w:afterAutospacing="0" w:line="360" w:lineRule="atLeast"/>
        <w:jc w:val="both"/>
        <w:rPr>
          <w:rFonts w:asciiTheme="minorHAnsi" w:hAnsiTheme="minorHAnsi" w:cstheme="minorHAnsi"/>
          <w:lang w:val="en-ZA"/>
        </w:rPr>
      </w:pPr>
    </w:p>
    <w:p w:rsidR="00104867" w:rsidRDefault="00104867" w:rsidP="00BD3B29">
      <w:pPr>
        <w:pStyle w:val="western"/>
        <w:shd w:val="clear" w:color="auto" w:fill="FFFFFF"/>
        <w:spacing w:before="144" w:beforeAutospacing="0" w:after="0" w:afterAutospacing="0" w:line="360" w:lineRule="atLeast"/>
        <w:jc w:val="both"/>
        <w:rPr>
          <w:rFonts w:asciiTheme="minorHAnsi" w:hAnsiTheme="minorHAnsi" w:cstheme="minorHAnsi"/>
          <w:lang w:val="en-ZA"/>
        </w:rPr>
      </w:pPr>
    </w:p>
    <w:p w:rsidR="00104867" w:rsidRDefault="00104867" w:rsidP="00BD3B29">
      <w:pPr>
        <w:pStyle w:val="western"/>
        <w:shd w:val="clear" w:color="auto" w:fill="FFFFFF"/>
        <w:spacing w:before="144" w:beforeAutospacing="0" w:after="0" w:afterAutospacing="0" w:line="360" w:lineRule="atLeast"/>
        <w:jc w:val="both"/>
        <w:rPr>
          <w:rFonts w:asciiTheme="minorHAnsi" w:hAnsiTheme="minorHAnsi" w:cstheme="minorHAnsi"/>
          <w:lang w:val="en-ZA"/>
        </w:rPr>
      </w:pPr>
    </w:p>
    <w:p w:rsidR="00104867" w:rsidRDefault="00104867" w:rsidP="00BD3B29">
      <w:pPr>
        <w:pStyle w:val="western"/>
        <w:shd w:val="clear" w:color="auto" w:fill="FFFFFF"/>
        <w:spacing w:before="144" w:beforeAutospacing="0" w:after="0" w:afterAutospacing="0" w:line="360" w:lineRule="atLeast"/>
        <w:jc w:val="both"/>
        <w:rPr>
          <w:rFonts w:asciiTheme="minorHAnsi" w:hAnsiTheme="minorHAnsi" w:cstheme="minorHAnsi"/>
          <w:lang w:val="en-ZA"/>
        </w:rPr>
      </w:pPr>
    </w:p>
    <w:p w:rsidR="00104867" w:rsidRDefault="00104867" w:rsidP="00BD3B29">
      <w:pPr>
        <w:pStyle w:val="western"/>
        <w:shd w:val="clear" w:color="auto" w:fill="FFFFFF"/>
        <w:spacing w:before="144" w:beforeAutospacing="0" w:after="0" w:afterAutospacing="0" w:line="360" w:lineRule="atLeast"/>
        <w:jc w:val="both"/>
        <w:rPr>
          <w:rFonts w:asciiTheme="minorHAnsi" w:hAnsiTheme="minorHAnsi" w:cstheme="minorHAnsi"/>
          <w:lang w:val="en-ZA"/>
        </w:rPr>
      </w:pPr>
    </w:p>
    <w:p w:rsidR="00104867" w:rsidRDefault="00104867" w:rsidP="00BD3B29">
      <w:pPr>
        <w:pStyle w:val="western"/>
        <w:shd w:val="clear" w:color="auto" w:fill="FFFFFF"/>
        <w:spacing w:before="144" w:beforeAutospacing="0" w:after="0" w:afterAutospacing="0" w:line="360" w:lineRule="atLeast"/>
        <w:jc w:val="both"/>
        <w:rPr>
          <w:rFonts w:asciiTheme="minorHAnsi" w:hAnsiTheme="minorHAnsi" w:cstheme="minorHAnsi"/>
          <w:lang w:val="en-ZA"/>
        </w:rPr>
      </w:pPr>
    </w:p>
    <w:p w:rsidR="00104867" w:rsidRDefault="00104867" w:rsidP="00BD3B29">
      <w:pPr>
        <w:pStyle w:val="western"/>
        <w:shd w:val="clear" w:color="auto" w:fill="FFFFFF"/>
        <w:spacing w:before="144" w:beforeAutospacing="0" w:after="0" w:afterAutospacing="0" w:line="360" w:lineRule="atLeast"/>
        <w:jc w:val="both"/>
        <w:rPr>
          <w:rFonts w:asciiTheme="minorHAnsi" w:hAnsiTheme="minorHAnsi" w:cstheme="minorHAnsi"/>
          <w:lang w:val="en-ZA"/>
        </w:rPr>
      </w:pPr>
    </w:p>
    <w:p w:rsidR="00104867" w:rsidRDefault="00104867" w:rsidP="00BD3B29">
      <w:pPr>
        <w:pStyle w:val="western"/>
        <w:shd w:val="clear" w:color="auto" w:fill="FFFFFF"/>
        <w:spacing w:before="144" w:beforeAutospacing="0" w:after="0" w:afterAutospacing="0" w:line="360" w:lineRule="atLeast"/>
        <w:jc w:val="both"/>
        <w:rPr>
          <w:rFonts w:asciiTheme="minorHAnsi" w:hAnsiTheme="minorHAnsi" w:cstheme="minorHAnsi"/>
          <w:lang w:val="en-ZA"/>
        </w:rPr>
      </w:pPr>
    </w:p>
    <w:p w:rsidR="00104867" w:rsidRDefault="00104867" w:rsidP="00BD3B29">
      <w:pPr>
        <w:pStyle w:val="western"/>
        <w:shd w:val="clear" w:color="auto" w:fill="FFFFFF"/>
        <w:spacing w:before="144" w:beforeAutospacing="0" w:after="0" w:afterAutospacing="0" w:line="360" w:lineRule="atLeast"/>
        <w:jc w:val="both"/>
        <w:rPr>
          <w:rFonts w:asciiTheme="minorHAnsi" w:hAnsiTheme="minorHAnsi" w:cstheme="minorHAnsi"/>
          <w:lang w:val="en-ZA"/>
        </w:rPr>
      </w:pPr>
    </w:p>
    <w:p w:rsidR="00104867" w:rsidRDefault="00104867" w:rsidP="00BD3B29">
      <w:pPr>
        <w:pStyle w:val="western"/>
        <w:shd w:val="clear" w:color="auto" w:fill="FFFFFF"/>
        <w:spacing w:before="144" w:beforeAutospacing="0" w:after="0" w:afterAutospacing="0" w:line="360" w:lineRule="atLeast"/>
        <w:jc w:val="both"/>
        <w:rPr>
          <w:rFonts w:asciiTheme="minorHAnsi" w:hAnsiTheme="minorHAnsi" w:cstheme="minorHAnsi"/>
          <w:lang w:val="en-ZA"/>
        </w:rPr>
      </w:pPr>
    </w:p>
    <w:p w:rsidR="00104867" w:rsidRDefault="00104867" w:rsidP="00BD3B29">
      <w:pPr>
        <w:pStyle w:val="western"/>
        <w:shd w:val="clear" w:color="auto" w:fill="FFFFFF"/>
        <w:spacing w:before="144" w:beforeAutospacing="0" w:after="0" w:afterAutospacing="0" w:line="360" w:lineRule="atLeast"/>
        <w:jc w:val="both"/>
        <w:rPr>
          <w:rFonts w:asciiTheme="minorHAnsi" w:hAnsiTheme="minorHAnsi" w:cstheme="minorHAnsi"/>
          <w:lang w:val="en-ZA"/>
        </w:rPr>
      </w:pPr>
    </w:p>
    <w:p w:rsidR="00104867" w:rsidRDefault="00104867" w:rsidP="00BD3B29">
      <w:pPr>
        <w:pStyle w:val="western"/>
        <w:shd w:val="clear" w:color="auto" w:fill="FFFFFF"/>
        <w:spacing w:before="144" w:beforeAutospacing="0" w:after="0" w:afterAutospacing="0" w:line="360" w:lineRule="atLeast"/>
        <w:jc w:val="both"/>
        <w:rPr>
          <w:rFonts w:asciiTheme="minorHAnsi" w:hAnsiTheme="minorHAnsi" w:cstheme="minorHAnsi"/>
          <w:lang w:val="en-ZA"/>
        </w:rPr>
      </w:pPr>
    </w:p>
    <w:p w:rsidR="00104867" w:rsidRDefault="00104867" w:rsidP="00BD3B29">
      <w:pPr>
        <w:pStyle w:val="western"/>
        <w:shd w:val="clear" w:color="auto" w:fill="FFFFFF"/>
        <w:spacing w:before="144" w:beforeAutospacing="0" w:after="0" w:afterAutospacing="0" w:line="360" w:lineRule="atLeast"/>
        <w:jc w:val="both"/>
        <w:rPr>
          <w:rFonts w:asciiTheme="minorHAnsi" w:hAnsiTheme="minorHAnsi" w:cstheme="minorHAnsi"/>
          <w:lang w:val="en-ZA"/>
        </w:rPr>
      </w:pPr>
    </w:p>
    <w:p w:rsidR="00104867" w:rsidRDefault="00104867" w:rsidP="00BD3B29">
      <w:pPr>
        <w:pStyle w:val="western"/>
        <w:shd w:val="clear" w:color="auto" w:fill="FFFFFF"/>
        <w:spacing w:before="144" w:beforeAutospacing="0" w:after="0" w:afterAutospacing="0" w:line="360" w:lineRule="atLeast"/>
        <w:jc w:val="both"/>
        <w:rPr>
          <w:rFonts w:asciiTheme="minorHAnsi" w:hAnsiTheme="minorHAnsi" w:cstheme="minorHAnsi"/>
          <w:lang w:val="en-ZA"/>
        </w:rPr>
      </w:pPr>
    </w:p>
    <w:p w:rsidR="00104867" w:rsidRDefault="00104867" w:rsidP="00104867">
      <w:pPr>
        <w:spacing w:after="0" w:line="360" w:lineRule="auto"/>
        <w:jc w:val="both"/>
        <w:rPr>
          <w:rFonts w:ascii="Arial" w:eastAsia="Arial" w:hAnsi="Arial" w:cs="Arial"/>
          <w:b/>
          <w:sz w:val="24"/>
          <w:szCs w:val="24"/>
        </w:rPr>
      </w:pPr>
    </w:p>
    <w:p w:rsidR="00104867" w:rsidRPr="00574C8D" w:rsidRDefault="00104867" w:rsidP="00104867">
      <w:pPr>
        <w:spacing w:after="0" w:line="360" w:lineRule="auto"/>
        <w:jc w:val="both"/>
        <w:rPr>
          <w:rFonts w:ascii="Arial" w:eastAsia="Arial" w:hAnsi="Arial" w:cs="Arial"/>
          <w:b/>
          <w:sz w:val="24"/>
          <w:szCs w:val="24"/>
        </w:rPr>
      </w:pPr>
      <w:r w:rsidRPr="00574C8D">
        <w:rPr>
          <w:rFonts w:ascii="Arial" w:eastAsia="Arial" w:hAnsi="Arial" w:cs="Arial"/>
          <w:b/>
          <w:sz w:val="24"/>
          <w:szCs w:val="24"/>
        </w:rPr>
        <w:t>APPEARANCES</w:t>
      </w:r>
    </w:p>
    <w:p w:rsidR="00104867" w:rsidRPr="00574C8D" w:rsidRDefault="00104867" w:rsidP="00104867">
      <w:pPr>
        <w:spacing w:after="0" w:line="360" w:lineRule="auto"/>
        <w:jc w:val="both"/>
        <w:rPr>
          <w:rFonts w:ascii="Arial" w:eastAsia="Arial" w:hAnsi="Arial" w:cs="Arial"/>
          <w:sz w:val="24"/>
          <w:szCs w:val="24"/>
        </w:rPr>
      </w:pPr>
    </w:p>
    <w:p w:rsidR="00104867" w:rsidRPr="00BF3B84" w:rsidRDefault="00104867" w:rsidP="00104867">
      <w:pPr>
        <w:spacing w:after="0" w:line="360" w:lineRule="auto"/>
        <w:jc w:val="both"/>
        <w:rPr>
          <w:rFonts w:ascii="Arial" w:eastAsia="Arial" w:hAnsi="Arial" w:cs="Arial"/>
        </w:rPr>
      </w:pPr>
      <w:r w:rsidRPr="00BF3B84">
        <w:rPr>
          <w:rFonts w:ascii="Arial" w:eastAsia="Arial" w:hAnsi="Arial" w:cs="Arial"/>
        </w:rPr>
        <w:t xml:space="preserve">Case Number: </w:t>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009A6500" w:rsidRPr="00BF3B84">
        <w:rPr>
          <w:rFonts w:ascii="Arial" w:eastAsia="Arial" w:hAnsi="Arial" w:cs="Arial"/>
        </w:rPr>
        <w:t>11530/2021P</w:t>
      </w:r>
    </w:p>
    <w:p w:rsidR="00104867" w:rsidRPr="00BF3B84" w:rsidRDefault="00104867" w:rsidP="00104867">
      <w:pPr>
        <w:spacing w:after="0" w:line="360" w:lineRule="auto"/>
        <w:jc w:val="both"/>
        <w:rPr>
          <w:rFonts w:ascii="Arial" w:eastAsia="Arial" w:hAnsi="Arial" w:cs="Arial"/>
        </w:rPr>
      </w:pPr>
    </w:p>
    <w:p w:rsidR="00104867" w:rsidRPr="00BF3B84" w:rsidRDefault="00104867" w:rsidP="00104867">
      <w:pPr>
        <w:spacing w:after="0" w:line="360" w:lineRule="auto"/>
        <w:jc w:val="both"/>
        <w:rPr>
          <w:rFonts w:ascii="Arial" w:eastAsia="Arial" w:hAnsi="Arial" w:cs="Arial"/>
        </w:rPr>
      </w:pPr>
      <w:r w:rsidRPr="00BF3B84">
        <w:rPr>
          <w:rFonts w:ascii="Arial" w:eastAsia="Arial" w:hAnsi="Arial" w:cs="Arial"/>
        </w:rPr>
        <w:t xml:space="preserve">For the Applicant: </w:t>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009A6500" w:rsidRPr="00BF3B84">
        <w:rPr>
          <w:rFonts w:ascii="Arial" w:eastAsia="Arial" w:hAnsi="Arial" w:cs="Arial"/>
        </w:rPr>
        <w:t xml:space="preserve">GME Lotz </w:t>
      </w:r>
    </w:p>
    <w:p w:rsidR="00104867" w:rsidRPr="00BF3B84" w:rsidRDefault="00104867" w:rsidP="00104867">
      <w:pPr>
        <w:spacing w:after="0" w:line="360" w:lineRule="auto"/>
        <w:jc w:val="both"/>
        <w:rPr>
          <w:rFonts w:ascii="Arial" w:eastAsia="Arial" w:hAnsi="Arial" w:cs="Arial"/>
        </w:rPr>
      </w:pPr>
      <w:r w:rsidRPr="00BF3B84">
        <w:rPr>
          <w:rFonts w:ascii="Arial" w:eastAsia="Arial" w:hAnsi="Arial" w:cs="Arial"/>
        </w:rPr>
        <w:t xml:space="preserve">Instructed by: </w:t>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009A6500" w:rsidRPr="00BF3B84">
        <w:rPr>
          <w:rFonts w:ascii="Arial" w:eastAsia="Arial" w:hAnsi="Arial" w:cs="Arial"/>
        </w:rPr>
        <w:t>Bowman Gilfillan Inc</w:t>
      </w:r>
    </w:p>
    <w:p w:rsidR="00104867" w:rsidRPr="00BF3B84" w:rsidRDefault="00104867" w:rsidP="00104867">
      <w:pPr>
        <w:spacing w:after="0" w:line="360" w:lineRule="auto"/>
        <w:jc w:val="both"/>
        <w:rPr>
          <w:rFonts w:ascii="Arial" w:eastAsia="Arial" w:hAnsi="Arial" w:cs="Arial"/>
        </w:rPr>
      </w:pP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t xml:space="preserve"> </w:t>
      </w:r>
      <w:r w:rsidR="009A6500" w:rsidRPr="00BF3B84">
        <w:rPr>
          <w:rFonts w:ascii="Arial" w:eastAsia="Arial" w:hAnsi="Arial" w:cs="Arial"/>
        </w:rPr>
        <w:t xml:space="preserve">22 Bree Street </w:t>
      </w:r>
    </w:p>
    <w:p w:rsidR="00104867" w:rsidRPr="00BF3B84" w:rsidRDefault="00104867" w:rsidP="00104867">
      <w:pPr>
        <w:spacing w:after="0" w:line="360" w:lineRule="auto"/>
        <w:jc w:val="both"/>
        <w:rPr>
          <w:rFonts w:ascii="Arial" w:eastAsia="Arial" w:hAnsi="Arial" w:cs="Arial"/>
        </w:rPr>
      </w:pP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t xml:space="preserve"> </w:t>
      </w:r>
      <w:r w:rsidR="009A6500" w:rsidRPr="00BF3B84">
        <w:rPr>
          <w:rFonts w:ascii="Arial" w:eastAsia="Arial" w:hAnsi="Arial" w:cs="Arial"/>
        </w:rPr>
        <w:t>Capetown, 8001</w:t>
      </w:r>
      <w:r w:rsidRPr="00BF3B84">
        <w:rPr>
          <w:rFonts w:ascii="Arial" w:eastAsia="Arial" w:hAnsi="Arial" w:cs="Arial"/>
        </w:rPr>
        <w:t xml:space="preserve"> </w:t>
      </w:r>
      <w:r w:rsidRPr="00BF3B84">
        <w:rPr>
          <w:rFonts w:ascii="Arial" w:eastAsia="Arial" w:hAnsi="Arial" w:cs="Arial"/>
        </w:rPr>
        <w:tab/>
      </w:r>
    </w:p>
    <w:p w:rsidR="00104867" w:rsidRPr="00BF3B84" w:rsidRDefault="00104867" w:rsidP="00104867">
      <w:pPr>
        <w:spacing w:after="0" w:line="360" w:lineRule="auto"/>
        <w:jc w:val="both"/>
        <w:rPr>
          <w:rFonts w:ascii="Arial" w:eastAsia="Arial" w:hAnsi="Arial" w:cs="Arial"/>
        </w:rPr>
      </w:pP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009A6500" w:rsidRPr="00BF3B84">
        <w:rPr>
          <w:rFonts w:ascii="Arial" w:eastAsia="Arial" w:hAnsi="Arial" w:cs="Arial"/>
        </w:rPr>
        <w:t xml:space="preserve">Email. </w:t>
      </w:r>
      <w:hyperlink r:id="rId10" w:history="1">
        <w:r w:rsidR="00054792" w:rsidRPr="00BF3B84">
          <w:rPr>
            <w:rStyle w:val="Hyperlink"/>
            <w:rFonts w:ascii="Arial" w:eastAsia="Arial" w:hAnsi="Arial" w:cs="Arial"/>
          </w:rPr>
          <w:t>Juliette.dehutton@Bowmanslaw.com</w:t>
        </w:r>
      </w:hyperlink>
    </w:p>
    <w:p w:rsidR="00054792" w:rsidRPr="00BF3B84" w:rsidRDefault="00054792" w:rsidP="00104867">
      <w:pPr>
        <w:spacing w:after="0" w:line="360" w:lineRule="auto"/>
        <w:jc w:val="both"/>
        <w:rPr>
          <w:rFonts w:ascii="Arial" w:eastAsia="Arial" w:hAnsi="Arial" w:cs="Arial"/>
        </w:rPr>
      </w:pP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t>Ref de Hutton/6205824</w:t>
      </w:r>
    </w:p>
    <w:p w:rsidR="00054792" w:rsidRPr="00BF3B84" w:rsidRDefault="00054792" w:rsidP="00104867">
      <w:pPr>
        <w:spacing w:after="0" w:line="360" w:lineRule="auto"/>
        <w:jc w:val="both"/>
        <w:rPr>
          <w:rFonts w:ascii="Arial" w:eastAsia="Arial" w:hAnsi="Arial" w:cs="Arial"/>
          <w:b/>
        </w:rPr>
      </w:pP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b/>
        </w:rPr>
        <w:t>C/O HAY&amp; SCOTT ATTORNEYS</w:t>
      </w:r>
    </w:p>
    <w:p w:rsidR="00054792" w:rsidRPr="00BF3B84" w:rsidRDefault="00054792" w:rsidP="00104867">
      <w:pPr>
        <w:spacing w:after="0" w:line="360" w:lineRule="auto"/>
        <w:jc w:val="both"/>
        <w:rPr>
          <w:rFonts w:ascii="Arial" w:eastAsia="Arial" w:hAnsi="Arial" w:cs="Arial"/>
        </w:rPr>
      </w:pP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t xml:space="preserve">Top Floor, 3 Highgate Drive </w:t>
      </w:r>
    </w:p>
    <w:p w:rsidR="00054792" w:rsidRPr="00BF3B84" w:rsidRDefault="00054792" w:rsidP="00104867">
      <w:pPr>
        <w:spacing w:after="0" w:line="360" w:lineRule="auto"/>
        <w:jc w:val="both"/>
        <w:rPr>
          <w:rFonts w:ascii="Arial" w:eastAsia="Arial" w:hAnsi="Arial" w:cs="Arial"/>
        </w:rPr>
      </w:pP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t>Redlands Estate</w:t>
      </w:r>
    </w:p>
    <w:p w:rsidR="00054792" w:rsidRPr="00BF3B84" w:rsidRDefault="00054792" w:rsidP="00104867">
      <w:pPr>
        <w:spacing w:after="0" w:line="360" w:lineRule="auto"/>
        <w:jc w:val="both"/>
        <w:rPr>
          <w:rFonts w:ascii="Arial" w:eastAsia="Arial" w:hAnsi="Arial" w:cs="Arial"/>
        </w:rPr>
      </w:pP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t xml:space="preserve">1 George MacFarlane Lane </w:t>
      </w:r>
    </w:p>
    <w:p w:rsidR="00104867" w:rsidRDefault="00054792" w:rsidP="00104867">
      <w:pPr>
        <w:spacing w:after="0" w:line="360" w:lineRule="auto"/>
        <w:jc w:val="both"/>
        <w:rPr>
          <w:rFonts w:ascii="Arial" w:eastAsia="Arial" w:hAnsi="Arial" w:cs="Arial"/>
        </w:rPr>
      </w:pP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t xml:space="preserve">Pietermaritzburg </w:t>
      </w:r>
    </w:p>
    <w:p w:rsidR="00BF3B84" w:rsidRPr="00BF3B84" w:rsidRDefault="00BF3B84" w:rsidP="00104867">
      <w:pPr>
        <w:spacing w:after="0"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Email. roderick@hayandscott.co.za</w:t>
      </w:r>
    </w:p>
    <w:p w:rsidR="00104867" w:rsidRPr="00BF3B84" w:rsidRDefault="00104867" w:rsidP="00104867">
      <w:pPr>
        <w:spacing w:after="0" w:line="360" w:lineRule="auto"/>
        <w:jc w:val="both"/>
        <w:rPr>
          <w:rFonts w:ascii="Arial" w:eastAsia="Arial" w:hAnsi="Arial" w:cs="Arial"/>
        </w:rPr>
      </w:pPr>
    </w:p>
    <w:p w:rsidR="00104867" w:rsidRPr="00BF3B84" w:rsidRDefault="00104867" w:rsidP="00104867">
      <w:pPr>
        <w:spacing w:after="0" w:line="360" w:lineRule="auto"/>
        <w:jc w:val="both"/>
        <w:rPr>
          <w:rFonts w:ascii="Arial" w:eastAsia="Arial" w:hAnsi="Arial" w:cs="Arial"/>
        </w:rPr>
      </w:pPr>
      <w:r w:rsidRPr="00BF3B84">
        <w:rPr>
          <w:rFonts w:ascii="Arial" w:eastAsia="Arial" w:hAnsi="Arial" w:cs="Arial"/>
        </w:rPr>
        <w:t xml:space="preserve">For the Defendant: </w:t>
      </w:r>
      <w:r w:rsidRPr="00BF3B84">
        <w:rPr>
          <w:rFonts w:ascii="Arial" w:eastAsia="Arial" w:hAnsi="Arial" w:cs="Arial"/>
        </w:rPr>
        <w:tab/>
        <w:t xml:space="preserve"> </w:t>
      </w:r>
      <w:r w:rsidRPr="00BF3B84">
        <w:rPr>
          <w:rFonts w:ascii="Arial" w:eastAsia="Arial" w:hAnsi="Arial" w:cs="Arial"/>
        </w:rPr>
        <w:tab/>
      </w:r>
      <w:r w:rsidRPr="00BF3B84">
        <w:rPr>
          <w:rFonts w:ascii="Arial" w:eastAsia="Arial" w:hAnsi="Arial" w:cs="Arial"/>
        </w:rPr>
        <w:tab/>
      </w:r>
      <w:r w:rsidR="009A6500" w:rsidRPr="00BF3B84">
        <w:rPr>
          <w:rFonts w:ascii="Arial" w:eastAsia="Arial" w:hAnsi="Arial" w:cs="Arial"/>
        </w:rPr>
        <w:t xml:space="preserve">VI Gajoo SC and VI Veerasamy </w:t>
      </w:r>
    </w:p>
    <w:p w:rsidR="00104867" w:rsidRPr="00BF3B84" w:rsidRDefault="00104867" w:rsidP="00104867">
      <w:pPr>
        <w:spacing w:after="0" w:line="360" w:lineRule="auto"/>
        <w:jc w:val="both"/>
        <w:rPr>
          <w:rFonts w:ascii="Arial" w:eastAsia="Arial" w:hAnsi="Arial" w:cs="Arial"/>
        </w:rPr>
      </w:pPr>
      <w:r w:rsidRPr="00BF3B84">
        <w:rPr>
          <w:rFonts w:ascii="Arial" w:eastAsia="Arial" w:hAnsi="Arial" w:cs="Arial"/>
        </w:rPr>
        <w:t xml:space="preserve">Instructed by: </w:t>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00BF3B84">
        <w:rPr>
          <w:rFonts w:ascii="Arial" w:eastAsia="Arial" w:hAnsi="Arial" w:cs="Arial"/>
        </w:rPr>
        <w:tab/>
      </w:r>
      <w:r w:rsidR="009A6500" w:rsidRPr="00BF3B84">
        <w:rPr>
          <w:rFonts w:ascii="Arial" w:eastAsia="Arial" w:hAnsi="Arial" w:cs="Arial"/>
        </w:rPr>
        <w:t xml:space="preserve">Garlicke &amp; Bousfield Inc </w:t>
      </w:r>
    </w:p>
    <w:p w:rsidR="00104867" w:rsidRPr="00BF3B84" w:rsidRDefault="00104867" w:rsidP="00104867">
      <w:pPr>
        <w:spacing w:after="0" w:line="360" w:lineRule="auto"/>
        <w:jc w:val="both"/>
        <w:rPr>
          <w:rFonts w:ascii="Arial" w:eastAsia="Arial" w:hAnsi="Arial" w:cs="Arial"/>
        </w:rPr>
      </w:pP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009A6500" w:rsidRPr="00BF3B84">
        <w:rPr>
          <w:rFonts w:ascii="Arial" w:eastAsia="Arial" w:hAnsi="Arial" w:cs="Arial"/>
        </w:rPr>
        <w:t xml:space="preserve">7 Torsvale Crescent </w:t>
      </w:r>
    </w:p>
    <w:p w:rsidR="00104867" w:rsidRPr="00BF3B84" w:rsidRDefault="00104867" w:rsidP="00104867">
      <w:pPr>
        <w:spacing w:after="0" w:line="360" w:lineRule="auto"/>
        <w:jc w:val="both"/>
        <w:rPr>
          <w:rFonts w:ascii="Arial" w:eastAsia="Arial" w:hAnsi="Arial" w:cs="Arial"/>
        </w:rPr>
      </w:pP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009A6500" w:rsidRPr="00BF3B84">
        <w:rPr>
          <w:rFonts w:ascii="Arial" w:eastAsia="Arial" w:hAnsi="Arial" w:cs="Arial"/>
        </w:rPr>
        <w:t xml:space="preserve">La Lucia Ridge Office Estate </w:t>
      </w:r>
    </w:p>
    <w:p w:rsidR="00104867" w:rsidRDefault="00104867" w:rsidP="00104867">
      <w:pPr>
        <w:spacing w:after="0" w:line="360" w:lineRule="auto"/>
        <w:jc w:val="both"/>
        <w:rPr>
          <w:rFonts w:ascii="Arial" w:eastAsia="Arial" w:hAnsi="Arial" w:cs="Arial"/>
        </w:rPr>
      </w:pPr>
      <w:r w:rsidRPr="00BF3B84">
        <w:rPr>
          <w:rFonts w:ascii="Arial" w:eastAsia="Arial" w:hAnsi="Arial" w:cs="Arial"/>
        </w:rPr>
        <w:t xml:space="preserve"> </w:t>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009A6500" w:rsidRPr="00BF3B84">
        <w:rPr>
          <w:rFonts w:ascii="Arial" w:eastAsia="Arial" w:hAnsi="Arial" w:cs="Arial"/>
        </w:rPr>
        <w:t>La Lucia</w:t>
      </w:r>
    </w:p>
    <w:p w:rsidR="00BF3B84" w:rsidRPr="00BF3B84" w:rsidRDefault="00BF3B84" w:rsidP="00BF3B84">
      <w:pPr>
        <w:spacing w:after="0" w:line="360" w:lineRule="auto"/>
        <w:ind w:left="2880" w:firstLine="720"/>
        <w:jc w:val="both"/>
        <w:rPr>
          <w:rFonts w:ascii="Arial" w:eastAsia="Arial" w:hAnsi="Arial" w:cs="Arial"/>
        </w:rPr>
      </w:pPr>
      <w:r>
        <w:rPr>
          <w:rFonts w:ascii="Arial" w:eastAsia="Arial" w:hAnsi="Arial" w:cs="Arial"/>
        </w:rPr>
        <w:t xml:space="preserve">Durban, Umhlanga </w:t>
      </w:r>
    </w:p>
    <w:p w:rsidR="009A6500" w:rsidRDefault="009A6500" w:rsidP="00104867">
      <w:pPr>
        <w:spacing w:after="0" w:line="360" w:lineRule="auto"/>
        <w:jc w:val="both"/>
        <w:rPr>
          <w:rFonts w:ascii="Arial" w:eastAsia="Arial" w:hAnsi="Arial" w:cs="Arial"/>
        </w:rPr>
      </w:pP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t>Ref: Bruce R</w:t>
      </w:r>
      <w:r w:rsidR="00054792" w:rsidRPr="00BF3B84">
        <w:rPr>
          <w:rFonts w:ascii="Arial" w:eastAsia="Arial" w:hAnsi="Arial" w:cs="Arial"/>
        </w:rPr>
        <w:t>ist</w:t>
      </w:r>
      <w:r w:rsidRPr="00BF3B84">
        <w:rPr>
          <w:rFonts w:ascii="Arial" w:eastAsia="Arial" w:hAnsi="Arial" w:cs="Arial"/>
        </w:rPr>
        <w:t>/pg/L</w:t>
      </w:r>
    </w:p>
    <w:p w:rsidR="00BF3B84" w:rsidRPr="00BF3B84" w:rsidRDefault="00BF3B84" w:rsidP="00BF3B84">
      <w:pPr>
        <w:spacing w:after="0" w:line="360" w:lineRule="auto"/>
        <w:ind w:left="2880"/>
        <w:jc w:val="both"/>
        <w:rPr>
          <w:rFonts w:ascii="Arial" w:eastAsia="Arial" w:hAnsi="Arial" w:cs="Arial"/>
        </w:rPr>
      </w:pPr>
      <w:r>
        <w:rPr>
          <w:rFonts w:ascii="Arial" w:eastAsia="Arial" w:hAnsi="Arial" w:cs="Arial"/>
        </w:rPr>
        <w:t xml:space="preserve">Email: </w:t>
      </w:r>
      <w:hyperlink r:id="rId11" w:history="1">
        <w:r w:rsidRPr="00C920C9">
          <w:rPr>
            <w:rStyle w:val="Hyperlink"/>
            <w:rFonts w:ascii="Arial" w:eastAsia="Arial" w:hAnsi="Arial" w:cs="Arial"/>
          </w:rPr>
          <w:t>bruce.rist.rist@gb.co.za</w:t>
        </w:r>
      </w:hyperlink>
      <w:r>
        <w:rPr>
          <w:rFonts w:ascii="Arial" w:eastAsia="Arial" w:hAnsi="Arial" w:cs="Arial"/>
        </w:rPr>
        <w:t xml:space="preserve"> &amp; Premie.govender@gb.co.za</w:t>
      </w:r>
    </w:p>
    <w:p w:rsidR="009A6500" w:rsidRPr="00BF3B84" w:rsidRDefault="009A6500" w:rsidP="00104867">
      <w:pPr>
        <w:spacing w:after="0" w:line="360" w:lineRule="auto"/>
        <w:jc w:val="both"/>
        <w:rPr>
          <w:rFonts w:ascii="Arial" w:eastAsia="Arial" w:hAnsi="Arial" w:cs="Arial"/>
          <w:b/>
        </w:rPr>
      </w:pP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b/>
        </w:rPr>
        <w:t>C</w:t>
      </w:r>
      <w:r w:rsidR="00BC7A7B" w:rsidRPr="00BF3B84">
        <w:rPr>
          <w:rFonts w:ascii="Arial" w:eastAsia="Arial" w:hAnsi="Arial" w:cs="Arial"/>
          <w:b/>
        </w:rPr>
        <w:t xml:space="preserve">/O BOTHA &amp; OLIVIEW ATTORNEY </w:t>
      </w:r>
    </w:p>
    <w:p w:rsidR="00BC7A7B" w:rsidRPr="00BF3B84" w:rsidRDefault="00BC7A7B" w:rsidP="00104867">
      <w:pPr>
        <w:spacing w:after="0" w:line="360" w:lineRule="auto"/>
        <w:jc w:val="both"/>
        <w:rPr>
          <w:rFonts w:ascii="Arial" w:eastAsia="Arial" w:hAnsi="Arial" w:cs="Arial"/>
        </w:rPr>
      </w:pP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t xml:space="preserve">239 Peter Kerchhofff Street </w:t>
      </w:r>
    </w:p>
    <w:p w:rsidR="00BC7A7B" w:rsidRDefault="00BC7A7B" w:rsidP="00104867">
      <w:pPr>
        <w:spacing w:after="0" w:line="360" w:lineRule="auto"/>
        <w:jc w:val="both"/>
        <w:rPr>
          <w:rFonts w:ascii="Arial" w:eastAsia="Arial" w:hAnsi="Arial" w:cs="Arial"/>
        </w:rPr>
      </w:pP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Pr="00BF3B84">
        <w:rPr>
          <w:rFonts w:ascii="Arial" w:eastAsia="Arial" w:hAnsi="Arial" w:cs="Arial"/>
        </w:rPr>
        <w:tab/>
      </w:r>
      <w:r w:rsidR="00054792" w:rsidRPr="00BF3B84">
        <w:rPr>
          <w:rFonts w:ascii="Arial" w:eastAsia="Arial" w:hAnsi="Arial" w:cs="Arial"/>
        </w:rPr>
        <w:t>Pietermaritzburg</w:t>
      </w:r>
      <w:r w:rsidRPr="00BF3B84">
        <w:rPr>
          <w:rFonts w:ascii="Arial" w:eastAsia="Arial" w:hAnsi="Arial" w:cs="Arial"/>
        </w:rPr>
        <w:t xml:space="preserve"> </w:t>
      </w:r>
    </w:p>
    <w:p w:rsidR="00491D53" w:rsidRPr="00BF3B84" w:rsidRDefault="00491D53" w:rsidP="00104867">
      <w:pPr>
        <w:spacing w:after="0" w:line="360" w:lineRule="auto"/>
        <w:jc w:val="both"/>
        <w:rPr>
          <w:rFonts w:ascii="Arial" w:eastAsia="Arial" w:hAnsi="Arial" w:cs="Arial"/>
        </w:rPr>
      </w:pPr>
      <w:r>
        <w:rPr>
          <w:rFonts w:ascii="Arial" w:eastAsia="Arial" w:hAnsi="Arial" w:cs="Arial"/>
        </w:rPr>
        <w:t>Date of hearing:</w:t>
      </w:r>
      <w:r>
        <w:rPr>
          <w:rFonts w:ascii="Arial" w:eastAsia="Arial" w:hAnsi="Arial" w:cs="Arial"/>
        </w:rPr>
        <w:tab/>
      </w:r>
      <w:r>
        <w:rPr>
          <w:rFonts w:ascii="Arial" w:eastAsia="Arial" w:hAnsi="Arial" w:cs="Arial"/>
        </w:rPr>
        <w:tab/>
      </w:r>
      <w:r>
        <w:rPr>
          <w:rFonts w:ascii="Arial" w:eastAsia="Arial" w:hAnsi="Arial" w:cs="Arial"/>
        </w:rPr>
        <w:tab/>
        <w:t>04 August 202</w:t>
      </w:r>
      <w:r w:rsidR="000A1827">
        <w:rPr>
          <w:rFonts w:ascii="Arial" w:eastAsia="Arial" w:hAnsi="Arial" w:cs="Arial"/>
        </w:rPr>
        <w:t>3</w:t>
      </w:r>
    </w:p>
    <w:p w:rsidR="00104867" w:rsidRPr="00BF3B84" w:rsidRDefault="00104867" w:rsidP="00104867">
      <w:pPr>
        <w:spacing w:after="0" w:line="360" w:lineRule="auto"/>
        <w:jc w:val="both"/>
        <w:rPr>
          <w:rFonts w:ascii="Arial" w:eastAsia="Arial" w:hAnsi="Arial" w:cs="Arial"/>
        </w:rPr>
      </w:pPr>
      <w:r w:rsidRPr="00BF3B84">
        <w:rPr>
          <w:rFonts w:ascii="Arial" w:eastAsia="Arial" w:hAnsi="Arial" w:cs="Arial"/>
        </w:rPr>
        <w:t xml:space="preserve"> </w:t>
      </w:r>
    </w:p>
    <w:p w:rsidR="00104867" w:rsidRPr="00BF3B84" w:rsidRDefault="00BF3B84" w:rsidP="00104867">
      <w:pPr>
        <w:spacing w:after="0" w:line="360" w:lineRule="auto"/>
        <w:jc w:val="both"/>
        <w:rPr>
          <w:rFonts w:ascii="Arial" w:eastAsia="Arial" w:hAnsi="Arial" w:cs="Arial"/>
        </w:rPr>
      </w:pPr>
      <w:r>
        <w:rPr>
          <w:rFonts w:ascii="Arial" w:eastAsia="Arial" w:hAnsi="Arial" w:cs="Arial"/>
        </w:rPr>
        <w:t>Date delivered</w:t>
      </w:r>
      <w:r w:rsidR="00104867" w:rsidRPr="00BF3B84">
        <w:rPr>
          <w:rFonts w:ascii="Arial" w:eastAsia="Arial" w:hAnsi="Arial" w:cs="Arial"/>
        </w:rPr>
        <w:t>:</w:t>
      </w:r>
      <w:r w:rsidR="00104867" w:rsidRPr="00BF3B84">
        <w:rPr>
          <w:rFonts w:ascii="Arial" w:eastAsia="Arial" w:hAnsi="Arial" w:cs="Arial"/>
        </w:rPr>
        <w:tab/>
        <w:t xml:space="preserve"> </w:t>
      </w:r>
      <w:r w:rsidR="00104867" w:rsidRPr="00BF3B84">
        <w:rPr>
          <w:rFonts w:ascii="Arial" w:eastAsia="Arial" w:hAnsi="Arial" w:cs="Arial"/>
        </w:rPr>
        <w:tab/>
      </w:r>
      <w:r w:rsidR="00104867" w:rsidRPr="00BF3B84">
        <w:rPr>
          <w:rFonts w:ascii="Arial" w:eastAsia="Arial" w:hAnsi="Arial" w:cs="Arial"/>
        </w:rPr>
        <w:tab/>
      </w:r>
      <w:r w:rsidR="00491D53">
        <w:rPr>
          <w:rFonts w:ascii="Arial" w:eastAsia="Arial" w:hAnsi="Arial" w:cs="Arial"/>
        </w:rPr>
        <w:t>14 February 2024</w:t>
      </w:r>
    </w:p>
    <w:p w:rsidR="00104867" w:rsidRPr="00BF3B84" w:rsidRDefault="00104867" w:rsidP="00104867">
      <w:pPr>
        <w:spacing w:after="0" w:line="360" w:lineRule="auto"/>
        <w:jc w:val="both"/>
        <w:rPr>
          <w:rFonts w:ascii="Arial" w:eastAsia="Arial" w:hAnsi="Arial" w:cs="Arial"/>
        </w:rPr>
      </w:pPr>
    </w:p>
    <w:p w:rsidR="009F6D1F" w:rsidRPr="00332EE8" w:rsidRDefault="009F6D1F" w:rsidP="00BD3B29">
      <w:pPr>
        <w:pStyle w:val="western"/>
        <w:shd w:val="clear" w:color="auto" w:fill="FFFFFF"/>
        <w:spacing w:before="144" w:beforeAutospacing="0" w:after="0" w:afterAutospacing="0" w:line="360" w:lineRule="atLeast"/>
        <w:jc w:val="both"/>
        <w:rPr>
          <w:rFonts w:asciiTheme="minorHAnsi" w:hAnsiTheme="minorHAnsi" w:cstheme="minorHAnsi"/>
          <w:lang w:val="en-ZA"/>
        </w:rPr>
      </w:pPr>
    </w:p>
    <w:sectPr w:rsidR="009F6D1F" w:rsidRPr="00332EE8" w:rsidSect="00DB00B2">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BF" w:rsidRDefault="004309BF" w:rsidP="001C0FFF">
      <w:pPr>
        <w:spacing w:after="0" w:line="240" w:lineRule="auto"/>
      </w:pPr>
      <w:r>
        <w:separator/>
      </w:r>
    </w:p>
  </w:endnote>
  <w:endnote w:type="continuationSeparator" w:id="0">
    <w:p w:rsidR="004309BF" w:rsidRDefault="004309BF" w:rsidP="001C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EB" w:rsidRDefault="008048EB">
    <w:pPr>
      <w:pStyle w:val="Footer"/>
      <w:jc w:val="right"/>
    </w:pPr>
  </w:p>
  <w:p w:rsidR="008048EB" w:rsidRDefault="00804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BF" w:rsidRDefault="004309BF" w:rsidP="001C0FFF">
      <w:pPr>
        <w:spacing w:after="0" w:line="240" w:lineRule="auto"/>
      </w:pPr>
      <w:r>
        <w:separator/>
      </w:r>
    </w:p>
  </w:footnote>
  <w:footnote w:type="continuationSeparator" w:id="0">
    <w:p w:rsidR="004309BF" w:rsidRDefault="004309BF" w:rsidP="001C0FFF">
      <w:pPr>
        <w:spacing w:after="0" w:line="240" w:lineRule="auto"/>
      </w:pPr>
      <w:r>
        <w:continuationSeparator/>
      </w:r>
    </w:p>
  </w:footnote>
  <w:footnote w:id="1">
    <w:p w:rsidR="008048EB" w:rsidRPr="00EC487E" w:rsidRDefault="008048EB" w:rsidP="00CD73E9">
      <w:pPr>
        <w:pStyle w:val="FootnoteText"/>
        <w:contextualSpacing/>
        <w:jc w:val="both"/>
        <w:rPr>
          <w:rFonts w:ascii="Arial" w:hAnsi="Arial" w:cs="Arial"/>
          <w:lang w:val="en-GB"/>
        </w:rPr>
      </w:pPr>
      <w:r w:rsidRPr="00EC487E">
        <w:rPr>
          <w:rStyle w:val="FootnoteReference"/>
          <w:rFonts w:ascii="Arial" w:hAnsi="Arial" w:cs="Arial"/>
        </w:rPr>
        <w:footnoteRef/>
      </w:r>
      <w:r w:rsidRPr="00EC487E">
        <w:rPr>
          <w:rFonts w:ascii="Arial" w:hAnsi="Arial" w:cs="Arial"/>
        </w:rPr>
        <w:t xml:space="preserve"> </w:t>
      </w:r>
      <w:r w:rsidRPr="00EC487E">
        <w:rPr>
          <w:rFonts w:ascii="Arial" w:hAnsi="Arial" w:cs="Arial"/>
          <w:i/>
        </w:rPr>
        <w:t>Plascon-Evans Paints Ltd v Van Riebeeck Paints (Pty) Ltd</w:t>
      </w:r>
      <w:r w:rsidRPr="00EC487E">
        <w:rPr>
          <w:rFonts w:ascii="Arial" w:hAnsi="Arial" w:cs="Arial"/>
        </w:rPr>
        <w:t xml:space="preserve"> 1984 (3) SA 623 (A) at 634F-G.</w:t>
      </w:r>
    </w:p>
  </w:footnote>
  <w:footnote w:id="2">
    <w:p w:rsidR="008048EB" w:rsidRPr="00EC487E" w:rsidRDefault="008048EB" w:rsidP="00CD73E9">
      <w:pPr>
        <w:pStyle w:val="FootnoteText"/>
        <w:contextualSpacing/>
        <w:jc w:val="both"/>
        <w:rPr>
          <w:rFonts w:ascii="Arial" w:hAnsi="Arial" w:cs="Arial"/>
          <w:lang w:val="en-GB"/>
        </w:rPr>
      </w:pPr>
      <w:r w:rsidRPr="00EC487E">
        <w:rPr>
          <w:rStyle w:val="FootnoteReference"/>
          <w:rFonts w:ascii="Arial" w:hAnsi="Arial" w:cs="Arial"/>
        </w:rPr>
        <w:footnoteRef/>
      </w:r>
      <w:r w:rsidRPr="00EC487E">
        <w:rPr>
          <w:rFonts w:ascii="Arial" w:hAnsi="Arial" w:cs="Arial"/>
        </w:rPr>
        <w:t xml:space="preserve"> </w:t>
      </w:r>
      <w:r w:rsidRPr="00EC487E">
        <w:rPr>
          <w:rFonts w:ascii="Arial" w:hAnsi="Arial" w:cs="Arial"/>
          <w:i/>
        </w:rPr>
        <w:t>Stellenbosch Farmers’ Winery Ltd v Stellenvale Winery (Pty) Ltd</w:t>
      </w:r>
      <w:r w:rsidRPr="00EC487E">
        <w:rPr>
          <w:rFonts w:ascii="Arial" w:hAnsi="Arial" w:cs="Arial"/>
        </w:rPr>
        <w:t xml:space="preserve"> 1957 (4) SA 234 (C).</w:t>
      </w:r>
    </w:p>
  </w:footnote>
  <w:footnote w:id="3">
    <w:p w:rsidR="008048EB" w:rsidRPr="00DB00B2" w:rsidRDefault="008048EB" w:rsidP="00CD73E9">
      <w:pPr>
        <w:pStyle w:val="Footnote"/>
        <w:pBdr>
          <w:top w:val="none" w:sz="0" w:space="0" w:color="auto"/>
          <w:left w:val="none" w:sz="0" w:space="0" w:color="auto"/>
          <w:bottom w:val="none" w:sz="0" w:space="0" w:color="auto"/>
          <w:right w:val="none" w:sz="0" w:space="0" w:color="auto"/>
        </w:pBdr>
        <w:jc w:val="both"/>
        <w:rPr>
          <w:rFonts w:ascii="Arial" w:hAnsi="Arial" w:cs="Arial"/>
          <w:sz w:val="20"/>
          <w:szCs w:val="20"/>
        </w:rPr>
      </w:pPr>
      <w:r w:rsidRPr="00EC487E">
        <w:rPr>
          <w:rFonts w:ascii="Arial" w:hAnsi="Arial" w:cs="Arial"/>
          <w:sz w:val="20"/>
          <w:szCs w:val="20"/>
          <w:vertAlign w:val="superscript"/>
        </w:rPr>
        <w:footnoteRef/>
      </w:r>
      <w:r w:rsidRPr="00EC487E">
        <w:rPr>
          <w:rFonts w:ascii="Arial" w:eastAsia="Arial Unicode MS" w:hAnsi="Arial" w:cs="Arial"/>
          <w:sz w:val="20"/>
          <w:szCs w:val="20"/>
        </w:rPr>
        <w:t xml:space="preserve"> </w:t>
      </w:r>
      <w:r w:rsidRPr="00EC487E">
        <w:rPr>
          <w:rFonts w:ascii="Arial" w:eastAsia="Arial Unicode MS" w:hAnsi="Arial" w:cs="Arial"/>
          <w:i/>
          <w:iCs/>
          <w:sz w:val="20"/>
          <w:szCs w:val="20"/>
          <w:lang w:val="en-ZA"/>
        </w:rPr>
        <w:t>Pahad Shipping CC</w:t>
      </w:r>
      <w:r w:rsidRPr="00EC487E">
        <w:rPr>
          <w:rFonts w:ascii="Arial" w:eastAsia="Arial Unicode MS" w:hAnsi="Arial" w:cs="Arial"/>
          <w:sz w:val="20"/>
          <w:szCs w:val="20"/>
          <w:lang w:val="en-ZA"/>
        </w:rPr>
        <w:t xml:space="preserve"> v </w:t>
      </w:r>
      <w:r w:rsidRPr="00DB00B2">
        <w:rPr>
          <w:rFonts w:ascii="Arial" w:eastAsia="Arial Unicode MS" w:hAnsi="Arial" w:cs="Arial"/>
          <w:i/>
          <w:iCs/>
          <w:sz w:val="20"/>
          <w:szCs w:val="20"/>
          <w:lang w:val="en-ZA"/>
        </w:rPr>
        <w:t>Commissioner, SARS</w:t>
      </w:r>
      <w:r w:rsidRPr="00DB00B2">
        <w:rPr>
          <w:rFonts w:ascii="Arial" w:eastAsia="Arial Unicode MS" w:hAnsi="Arial" w:cs="Arial"/>
          <w:sz w:val="20"/>
          <w:szCs w:val="20"/>
          <w:lang w:val="en-ZA"/>
        </w:rPr>
        <w:t xml:space="preserve"> </w:t>
      </w:r>
      <w:r w:rsidRPr="00DB00B2">
        <w:rPr>
          <w:rFonts w:ascii="Arial" w:eastAsia="Arial Unicode MS" w:hAnsi="Arial" w:cs="Arial"/>
          <w:sz w:val="20"/>
          <w:szCs w:val="20"/>
        </w:rPr>
        <w:t>[2009] ZASCA 172; [2010] 2 All SA 246 (SCA) paras 19-20.</w:t>
      </w:r>
    </w:p>
  </w:footnote>
  <w:footnote w:id="4">
    <w:p w:rsidR="008048EB" w:rsidRPr="00DB00B2" w:rsidRDefault="008048EB" w:rsidP="00CD73E9">
      <w:pPr>
        <w:pStyle w:val="FootnoteText"/>
        <w:contextualSpacing/>
        <w:jc w:val="both"/>
        <w:rPr>
          <w:rFonts w:ascii="Arial" w:hAnsi="Arial" w:cs="Arial"/>
          <w:lang w:val="en-GB"/>
        </w:rPr>
      </w:pPr>
      <w:r w:rsidRPr="00EC487E">
        <w:rPr>
          <w:rStyle w:val="FootnoteReference"/>
          <w:rFonts w:ascii="Arial" w:hAnsi="Arial" w:cs="Arial"/>
        </w:rPr>
        <w:footnoteRef/>
      </w:r>
      <w:r w:rsidRPr="00EC487E">
        <w:rPr>
          <w:rFonts w:ascii="Arial" w:hAnsi="Arial" w:cs="Arial"/>
        </w:rPr>
        <w:t xml:space="preserve"> </w:t>
      </w:r>
      <w:r w:rsidRPr="00EC487E">
        <w:rPr>
          <w:rFonts w:ascii="Arial" w:hAnsi="Arial" w:cs="Arial"/>
          <w:i/>
        </w:rPr>
        <w:t xml:space="preserve">Iclear Payments (Pty) Ltd v Honeywell </w:t>
      </w:r>
      <w:r w:rsidRPr="00DB00B2">
        <w:rPr>
          <w:rFonts w:ascii="Arial" w:hAnsi="Arial" w:cs="Arial"/>
        </w:rPr>
        <w:t>[2023] ZAKZDHC 5 para 17.</w:t>
      </w:r>
    </w:p>
  </w:footnote>
  <w:footnote w:id="5">
    <w:p w:rsidR="008048EB" w:rsidRPr="00C02EF3" w:rsidRDefault="008048EB" w:rsidP="00CD73E9">
      <w:pPr>
        <w:pStyle w:val="FootnoteText"/>
        <w:jc w:val="both"/>
        <w:rPr>
          <w:rFonts w:ascii="Arial" w:hAnsi="Arial" w:cs="Arial"/>
          <w:lang w:val="en-GB"/>
        </w:rPr>
      </w:pPr>
      <w:r w:rsidRPr="00EC487E">
        <w:rPr>
          <w:rStyle w:val="FootnoteReference"/>
          <w:rFonts w:ascii="Arial" w:hAnsi="Arial" w:cs="Arial"/>
        </w:rPr>
        <w:footnoteRef/>
      </w:r>
      <w:r w:rsidRPr="00EC487E">
        <w:rPr>
          <w:rFonts w:ascii="Arial" w:hAnsi="Arial" w:cs="Arial"/>
        </w:rPr>
        <w:t xml:space="preserve"> </w:t>
      </w:r>
      <w:r w:rsidRPr="00EC487E">
        <w:rPr>
          <w:rFonts w:ascii="Arial" w:hAnsi="Arial" w:cs="Arial"/>
          <w:i/>
        </w:rPr>
        <w:t xml:space="preserve">President of the Republic of South Africa and others v M &amp; G Media </w:t>
      </w:r>
      <w:r w:rsidRPr="00DB00B2">
        <w:rPr>
          <w:rFonts w:ascii="Arial" w:hAnsi="Arial" w:cs="Arial"/>
          <w:i/>
        </w:rPr>
        <w:t>Ltd</w:t>
      </w:r>
      <w:r w:rsidRPr="00DB00B2">
        <w:rPr>
          <w:rFonts w:ascii="Arial" w:hAnsi="Arial" w:cs="Arial"/>
        </w:rPr>
        <w:t xml:space="preserve"> [2010] ZASCA 177; 2011 (2) SA 1 (SCA)</w:t>
      </w:r>
      <w:r w:rsidRPr="00C02EF3">
        <w:rPr>
          <w:rFonts w:ascii="Arial" w:hAnsi="Arial" w:cs="Arial"/>
        </w:rPr>
        <w:t xml:space="preserve"> para 38.</w:t>
      </w:r>
    </w:p>
  </w:footnote>
  <w:footnote w:id="6">
    <w:p w:rsidR="008048EB" w:rsidRPr="00EC487E" w:rsidRDefault="008048EB">
      <w:pPr>
        <w:pStyle w:val="FootnoteText"/>
        <w:rPr>
          <w:rFonts w:ascii="Arial" w:hAnsi="Arial" w:cs="Arial"/>
          <w:lang w:val="en-GB"/>
        </w:rPr>
      </w:pPr>
      <w:r w:rsidRPr="00EC487E">
        <w:rPr>
          <w:rStyle w:val="FootnoteReference"/>
          <w:rFonts w:ascii="Arial" w:hAnsi="Arial" w:cs="Arial"/>
        </w:rPr>
        <w:footnoteRef/>
      </w:r>
      <w:r w:rsidRPr="00EC487E">
        <w:rPr>
          <w:rFonts w:ascii="Arial" w:hAnsi="Arial" w:cs="Arial"/>
        </w:rPr>
        <w:t xml:space="preserve"> </w:t>
      </w:r>
      <w:r w:rsidRPr="00EC487E">
        <w:rPr>
          <w:rFonts w:ascii="Arial" w:hAnsi="Arial" w:cs="Arial"/>
          <w:i/>
        </w:rPr>
        <w:t>Afgri Operations Ltd v Hamba Fleet (Pty) Ltd</w:t>
      </w:r>
      <w:r w:rsidRPr="00EC487E">
        <w:rPr>
          <w:rFonts w:ascii="Arial" w:hAnsi="Arial" w:cs="Arial"/>
        </w:rPr>
        <w:t xml:space="preserve"> [2017] ZASCA 24; 2022 (1) SA 91 (SCA).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387562"/>
      <w:docPartObj>
        <w:docPartGallery w:val="Page Numbers (Top of Page)"/>
        <w:docPartUnique/>
      </w:docPartObj>
    </w:sdtPr>
    <w:sdtEndPr>
      <w:rPr>
        <w:rFonts w:ascii="Arial" w:hAnsi="Arial" w:cs="Arial"/>
        <w:noProof/>
        <w:sz w:val="24"/>
      </w:rPr>
    </w:sdtEndPr>
    <w:sdtContent>
      <w:p w:rsidR="008048EB" w:rsidRPr="001F66F7" w:rsidRDefault="008048EB">
        <w:pPr>
          <w:pStyle w:val="Header"/>
          <w:jc w:val="right"/>
          <w:rPr>
            <w:rFonts w:ascii="Arial" w:hAnsi="Arial" w:cs="Arial"/>
            <w:sz w:val="24"/>
          </w:rPr>
        </w:pPr>
        <w:r w:rsidRPr="001F66F7">
          <w:rPr>
            <w:rFonts w:ascii="Arial" w:hAnsi="Arial" w:cs="Arial"/>
            <w:sz w:val="24"/>
          </w:rPr>
          <w:fldChar w:fldCharType="begin"/>
        </w:r>
        <w:r w:rsidRPr="001F66F7">
          <w:rPr>
            <w:rFonts w:ascii="Arial" w:hAnsi="Arial" w:cs="Arial"/>
            <w:sz w:val="24"/>
          </w:rPr>
          <w:instrText xml:space="preserve"> PAGE   \* MERGEFORMAT </w:instrText>
        </w:r>
        <w:r w:rsidRPr="001F66F7">
          <w:rPr>
            <w:rFonts w:ascii="Arial" w:hAnsi="Arial" w:cs="Arial"/>
            <w:sz w:val="24"/>
          </w:rPr>
          <w:fldChar w:fldCharType="separate"/>
        </w:r>
        <w:r w:rsidR="00956222">
          <w:rPr>
            <w:rFonts w:ascii="Arial" w:hAnsi="Arial" w:cs="Arial"/>
            <w:noProof/>
            <w:sz w:val="24"/>
          </w:rPr>
          <w:t>2</w:t>
        </w:r>
        <w:r w:rsidRPr="001F66F7">
          <w:rPr>
            <w:rFonts w:ascii="Arial" w:hAnsi="Arial" w:cs="Arial"/>
            <w:noProof/>
            <w:sz w:val="24"/>
          </w:rPr>
          <w:fldChar w:fldCharType="end"/>
        </w:r>
      </w:p>
    </w:sdtContent>
  </w:sdt>
  <w:p w:rsidR="008048EB" w:rsidRDefault="00804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6CCE"/>
    <w:multiLevelType w:val="hybridMultilevel"/>
    <w:tmpl w:val="E07449D0"/>
    <w:lvl w:ilvl="0" w:tplc="0FF2188A">
      <w:start w:val="13"/>
      <w:numFmt w:val="decimal"/>
      <w:lvlText w:val="[%1]"/>
      <w:lvlJc w:val="left"/>
      <w:pPr>
        <w:ind w:left="989" w:hanging="719"/>
      </w:pPr>
      <w:rPr>
        <w:rFonts w:cs="Times New Roman" w:hint="default"/>
        <w:spacing w:val="-1"/>
        <w:w w:val="104"/>
      </w:rPr>
    </w:lvl>
    <w:lvl w:ilvl="1" w:tplc="E6FCFD80">
      <w:start w:val="1"/>
      <w:numFmt w:val="decimal"/>
      <w:lvlText w:val="%2."/>
      <w:lvlJc w:val="left"/>
      <w:pPr>
        <w:ind w:left="1315" w:hanging="357"/>
      </w:pPr>
      <w:rPr>
        <w:rFonts w:ascii="Arial" w:eastAsia="Times New Roman" w:hAnsi="Arial" w:cs="Arial" w:hint="default"/>
        <w:b w:val="0"/>
        <w:bCs w:val="0"/>
        <w:i w:val="0"/>
        <w:iCs w:val="0"/>
        <w:color w:val="26282A"/>
        <w:spacing w:val="-6"/>
        <w:w w:val="102"/>
        <w:sz w:val="23"/>
        <w:szCs w:val="23"/>
      </w:rPr>
    </w:lvl>
    <w:lvl w:ilvl="2" w:tplc="DE7851A4">
      <w:numFmt w:val="bullet"/>
      <w:lvlText w:val="•"/>
      <w:lvlJc w:val="left"/>
      <w:pPr>
        <w:ind w:left="2225" w:hanging="357"/>
      </w:pPr>
      <w:rPr>
        <w:rFonts w:hint="default"/>
      </w:rPr>
    </w:lvl>
    <w:lvl w:ilvl="3" w:tplc="6F5A416E">
      <w:numFmt w:val="bullet"/>
      <w:lvlText w:val="•"/>
      <w:lvlJc w:val="left"/>
      <w:pPr>
        <w:ind w:left="3125" w:hanging="357"/>
      </w:pPr>
      <w:rPr>
        <w:rFonts w:hint="default"/>
      </w:rPr>
    </w:lvl>
    <w:lvl w:ilvl="4" w:tplc="94341E00">
      <w:numFmt w:val="bullet"/>
      <w:lvlText w:val="•"/>
      <w:lvlJc w:val="left"/>
      <w:pPr>
        <w:ind w:left="4026" w:hanging="357"/>
      </w:pPr>
      <w:rPr>
        <w:rFonts w:hint="default"/>
      </w:rPr>
    </w:lvl>
    <w:lvl w:ilvl="5" w:tplc="33464A06">
      <w:numFmt w:val="bullet"/>
      <w:lvlText w:val="•"/>
      <w:lvlJc w:val="left"/>
      <w:pPr>
        <w:ind w:left="4926" w:hanging="357"/>
      </w:pPr>
      <w:rPr>
        <w:rFonts w:hint="default"/>
      </w:rPr>
    </w:lvl>
    <w:lvl w:ilvl="6" w:tplc="21BEC27A">
      <w:numFmt w:val="bullet"/>
      <w:lvlText w:val="•"/>
      <w:lvlJc w:val="left"/>
      <w:pPr>
        <w:ind w:left="5826" w:hanging="357"/>
      </w:pPr>
      <w:rPr>
        <w:rFonts w:hint="default"/>
      </w:rPr>
    </w:lvl>
    <w:lvl w:ilvl="7" w:tplc="4A4CA7B2">
      <w:numFmt w:val="bullet"/>
      <w:lvlText w:val="•"/>
      <w:lvlJc w:val="left"/>
      <w:pPr>
        <w:ind w:left="6727" w:hanging="357"/>
      </w:pPr>
      <w:rPr>
        <w:rFonts w:hint="default"/>
      </w:rPr>
    </w:lvl>
    <w:lvl w:ilvl="8" w:tplc="E93C6504">
      <w:numFmt w:val="bullet"/>
      <w:lvlText w:val="•"/>
      <w:lvlJc w:val="left"/>
      <w:pPr>
        <w:ind w:left="7627" w:hanging="357"/>
      </w:pPr>
      <w:rPr>
        <w:rFonts w:hint="default"/>
      </w:rPr>
    </w:lvl>
  </w:abstractNum>
  <w:abstractNum w:abstractNumId="1" w15:restartNumberingAfterBreak="0">
    <w:nsid w:val="1A48047A"/>
    <w:multiLevelType w:val="hybridMultilevel"/>
    <w:tmpl w:val="E3D4BD98"/>
    <w:styleLink w:val="Numbered"/>
    <w:lvl w:ilvl="0" w:tplc="F514C63A">
      <w:start w:val="1"/>
      <w:numFmt w:val="decimal"/>
      <w:lvlText w:val="%1."/>
      <w:lvlJc w:val="left"/>
      <w:pPr>
        <w:tabs>
          <w:tab w:val="left" w:pos="720"/>
        </w:tabs>
        <w:ind w:left="232" w:hanging="232"/>
      </w:pPr>
      <w:rPr>
        <w:rFonts w:hAnsi="Arial Unicode MS" w:cs="Times New Roman"/>
        <w:caps w:val="0"/>
        <w:smallCaps w:val="0"/>
        <w:strike w:val="0"/>
        <w:dstrike w:val="0"/>
        <w:outline w:val="0"/>
        <w:emboss w:val="0"/>
        <w:imprint w:val="0"/>
        <w:spacing w:val="0"/>
        <w:w w:val="100"/>
        <w:kern w:val="0"/>
        <w:position w:val="0"/>
        <w:vertAlign w:val="baseline"/>
      </w:rPr>
    </w:lvl>
    <w:lvl w:ilvl="1" w:tplc="5148B792">
      <w:start w:val="1"/>
      <w:numFmt w:val="decimal"/>
      <w:lvlText w:val="%2."/>
      <w:lvlJc w:val="left"/>
      <w:pPr>
        <w:tabs>
          <w:tab w:val="left" w:pos="720"/>
        </w:tabs>
        <w:ind w:left="1053" w:hanging="253"/>
      </w:pPr>
      <w:rPr>
        <w:rFonts w:hAnsi="Arial Unicode MS" w:cs="Times New Roman"/>
        <w:caps w:val="0"/>
        <w:smallCaps w:val="0"/>
        <w:strike w:val="0"/>
        <w:dstrike w:val="0"/>
        <w:outline w:val="0"/>
        <w:emboss w:val="0"/>
        <w:imprint w:val="0"/>
        <w:spacing w:val="0"/>
        <w:w w:val="100"/>
        <w:kern w:val="0"/>
        <w:position w:val="0"/>
        <w:vertAlign w:val="baseline"/>
      </w:rPr>
    </w:lvl>
    <w:lvl w:ilvl="2" w:tplc="F44A7FDC">
      <w:start w:val="1"/>
      <w:numFmt w:val="decimal"/>
      <w:lvlText w:val="%3."/>
      <w:lvlJc w:val="left"/>
      <w:pPr>
        <w:tabs>
          <w:tab w:val="left" w:pos="720"/>
        </w:tabs>
        <w:ind w:left="1853" w:hanging="253"/>
      </w:pPr>
      <w:rPr>
        <w:rFonts w:hAnsi="Arial Unicode MS" w:cs="Times New Roman"/>
        <w:caps w:val="0"/>
        <w:smallCaps w:val="0"/>
        <w:strike w:val="0"/>
        <w:dstrike w:val="0"/>
        <w:outline w:val="0"/>
        <w:emboss w:val="0"/>
        <w:imprint w:val="0"/>
        <w:spacing w:val="0"/>
        <w:w w:val="100"/>
        <w:kern w:val="0"/>
        <w:position w:val="0"/>
        <w:vertAlign w:val="baseline"/>
      </w:rPr>
    </w:lvl>
    <w:lvl w:ilvl="3" w:tplc="9B685930">
      <w:start w:val="1"/>
      <w:numFmt w:val="decimal"/>
      <w:lvlText w:val="%4."/>
      <w:lvlJc w:val="left"/>
      <w:pPr>
        <w:tabs>
          <w:tab w:val="left" w:pos="720"/>
        </w:tabs>
        <w:ind w:left="2653" w:hanging="253"/>
      </w:pPr>
      <w:rPr>
        <w:rFonts w:hAnsi="Arial Unicode MS" w:cs="Times New Roman"/>
        <w:caps w:val="0"/>
        <w:smallCaps w:val="0"/>
        <w:strike w:val="0"/>
        <w:dstrike w:val="0"/>
        <w:outline w:val="0"/>
        <w:emboss w:val="0"/>
        <w:imprint w:val="0"/>
        <w:spacing w:val="0"/>
        <w:w w:val="100"/>
        <w:kern w:val="0"/>
        <w:position w:val="0"/>
        <w:vertAlign w:val="baseline"/>
      </w:rPr>
    </w:lvl>
    <w:lvl w:ilvl="4" w:tplc="0A02592E">
      <w:start w:val="1"/>
      <w:numFmt w:val="decimal"/>
      <w:lvlText w:val="%5."/>
      <w:lvlJc w:val="left"/>
      <w:pPr>
        <w:tabs>
          <w:tab w:val="left" w:pos="720"/>
        </w:tabs>
        <w:ind w:left="3453" w:hanging="253"/>
      </w:pPr>
      <w:rPr>
        <w:rFonts w:hAnsi="Arial Unicode MS" w:cs="Times New Roman"/>
        <w:caps w:val="0"/>
        <w:smallCaps w:val="0"/>
        <w:strike w:val="0"/>
        <w:dstrike w:val="0"/>
        <w:outline w:val="0"/>
        <w:emboss w:val="0"/>
        <w:imprint w:val="0"/>
        <w:spacing w:val="0"/>
        <w:w w:val="100"/>
        <w:kern w:val="0"/>
        <w:position w:val="0"/>
        <w:vertAlign w:val="baseline"/>
      </w:rPr>
    </w:lvl>
    <w:lvl w:ilvl="5" w:tplc="CD106148">
      <w:start w:val="1"/>
      <w:numFmt w:val="decimal"/>
      <w:lvlText w:val="%6."/>
      <w:lvlJc w:val="left"/>
      <w:pPr>
        <w:tabs>
          <w:tab w:val="left" w:pos="720"/>
        </w:tabs>
        <w:ind w:left="4253" w:hanging="253"/>
      </w:pPr>
      <w:rPr>
        <w:rFonts w:hAnsi="Arial Unicode MS" w:cs="Times New Roman"/>
        <w:caps w:val="0"/>
        <w:smallCaps w:val="0"/>
        <w:strike w:val="0"/>
        <w:dstrike w:val="0"/>
        <w:outline w:val="0"/>
        <w:emboss w:val="0"/>
        <w:imprint w:val="0"/>
        <w:spacing w:val="0"/>
        <w:w w:val="100"/>
        <w:kern w:val="0"/>
        <w:position w:val="0"/>
        <w:vertAlign w:val="baseline"/>
      </w:rPr>
    </w:lvl>
    <w:lvl w:ilvl="6" w:tplc="8370C05A">
      <w:start w:val="1"/>
      <w:numFmt w:val="decimal"/>
      <w:lvlText w:val="%7."/>
      <w:lvlJc w:val="left"/>
      <w:pPr>
        <w:tabs>
          <w:tab w:val="left" w:pos="720"/>
        </w:tabs>
        <w:ind w:left="5053" w:hanging="253"/>
      </w:pPr>
      <w:rPr>
        <w:rFonts w:hAnsi="Arial Unicode MS" w:cs="Times New Roman"/>
        <w:caps w:val="0"/>
        <w:smallCaps w:val="0"/>
        <w:strike w:val="0"/>
        <w:dstrike w:val="0"/>
        <w:outline w:val="0"/>
        <w:emboss w:val="0"/>
        <w:imprint w:val="0"/>
        <w:spacing w:val="0"/>
        <w:w w:val="100"/>
        <w:kern w:val="0"/>
        <w:position w:val="0"/>
        <w:vertAlign w:val="baseline"/>
      </w:rPr>
    </w:lvl>
    <w:lvl w:ilvl="7" w:tplc="D5B62D04">
      <w:start w:val="1"/>
      <w:numFmt w:val="decimal"/>
      <w:lvlText w:val="%8."/>
      <w:lvlJc w:val="left"/>
      <w:pPr>
        <w:tabs>
          <w:tab w:val="left" w:pos="720"/>
        </w:tabs>
        <w:ind w:left="5853" w:hanging="253"/>
      </w:pPr>
      <w:rPr>
        <w:rFonts w:hAnsi="Arial Unicode MS" w:cs="Times New Roman"/>
        <w:caps w:val="0"/>
        <w:smallCaps w:val="0"/>
        <w:strike w:val="0"/>
        <w:dstrike w:val="0"/>
        <w:outline w:val="0"/>
        <w:emboss w:val="0"/>
        <w:imprint w:val="0"/>
        <w:spacing w:val="0"/>
        <w:w w:val="100"/>
        <w:kern w:val="0"/>
        <w:position w:val="0"/>
        <w:vertAlign w:val="baseline"/>
      </w:rPr>
    </w:lvl>
    <w:lvl w:ilvl="8" w:tplc="7494E4D8">
      <w:start w:val="1"/>
      <w:numFmt w:val="decimal"/>
      <w:lvlText w:val="%9."/>
      <w:lvlJc w:val="left"/>
      <w:pPr>
        <w:tabs>
          <w:tab w:val="left" w:pos="720"/>
        </w:tabs>
        <w:ind w:left="6653" w:hanging="253"/>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 w15:restartNumberingAfterBreak="0">
    <w:nsid w:val="71CA27A7"/>
    <w:multiLevelType w:val="hybridMultilevel"/>
    <w:tmpl w:val="E3D4BD98"/>
    <w:numStyleLink w:val="Numbered"/>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4A"/>
    <w:rsid w:val="000018E1"/>
    <w:rsid w:val="000129FB"/>
    <w:rsid w:val="00026176"/>
    <w:rsid w:val="00040447"/>
    <w:rsid w:val="00054508"/>
    <w:rsid w:val="00054792"/>
    <w:rsid w:val="00066530"/>
    <w:rsid w:val="00076A11"/>
    <w:rsid w:val="000910B6"/>
    <w:rsid w:val="00091FC3"/>
    <w:rsid w:val="000A1827"/>
    <w:rsid w:val="000A5B7D"/>
    <w:rsid w:val="000B0418"/>
    <w:rsid w:val="000B1791"/>
    <w:rsid w:val="000B1882"/>
    <w:rsid w:val="000B349B"/>
    <w:rsid w:val="000C0F4C"/>
    <w:rsid w:val="000D4BD0"/>
    <w:rsid w:val="00104867"/>
    <w:rsid w:val="0011441C"/>
    <w:rsid w:val="0012216C"/>
    <w:rsid w:val="00154194"/>
    <w:rsid w:val="00164902"/>
    <w:rsid w:val="001760CA"/>
    <w:rsid w:val="00176211"/>
    <w:rsid w:val="00184DB4"/>
    <w:rsid w:val="001A2F5F"/>
    <w:rsid w:val="001B27EE"/>
    <w:rsid w:val="001B6DB2"/>
    <w:rsid w:val="001C0FFF"/>
    <w:rsid w:val="001C2E15"/>
    <w:rsid w:val="001C7583"/>
    <w:rsid w:val="001D649E"/>
    <w:rsid w:val="001E294B"/>
    <w:rsid w:val="001E5241"/>
    <w:rsid w:val="001E67B3"/>
    <w:rsid w:val="001E7E8F"/>
    <w:rsid w:val="001F66F7"/>
    <w:rsid w:val="00206476"/>
    <w:rsid w:val="00207DD7"/>
    <w:rsid w:val="00220360"/>
    <w:rsid w:val="00232C64"/>
    <w:rsid w:val="00244A1D"/>
    <w:rsid w:val="00247158"/>
    <w:rsid w:val="00261C97"/>
    <w:rsid w:val="00263F34"/>
    <w:rsid w:val="00273EF5"/>
    <w:rsid w:val="00276F6B"/>
    <w:rsid w:val="002773D0"/>
    <w:rsid w:val="00280579"/>
    <w:rsid w:val="0028065F"/>
    <w:rsid w:val="00281AB1"/>
    <w:rsid w:val="002A79B5"/>
    <w:rsid w:val="002C0A0E"/>
    <w:rsid w:val="002C2C5A"/>
    <w:rsid w:val="002D3DD8"/>
    <w:rsid w:val="002D5518"/>
    <w:rsid w:val="002F7DF1"/>
    <w:rsid w:val="00331B70"/>
    <w:rsid w:val="00332EE8"/>
    <w:rsid w:val="003359F9"/>
    <w:rsid w:val="00337E2E"/>
    <w:rsid w:val="0034134A"/>
    <w:rsid w:val="00344864"/>
    <w:rsid w:val="003535C4"/>
    <w:rsid w:val="003539E7"/>
    <w:rsid w:val="003544C0"/>
    <w:rsid w:val="00363408"/>
    <w:rsid w:val="0036761D"/>
    <w:rsid w:val="00375B61"/>
    <w:rsid w:val="00381F86"/>
    <w:rsid w:val="003824FC"/>
    <w:rsid w:val="00397E31"/>
    <w:rsid w:val="003A2F91"/>
    <w:rsid w:val="003A7A19"/>
    <w:rsid w:val="003B3D0A"/>
    <w:rsid w:val="003B3F1F"/>
    <w:rsid w:val="003B7123"/>
    <w:rsid w:val="003C3C63"/>
    <w:rsid w:val="003D43B2"/>
    <w:rsid w:val="003D5E04"/>
    <w:rsid w:val="003E072C"/>
    <w:rsid w:val="003E6879"/>
    <w:rsid w:val="003F6154"/>
    <w:rsid w:val="0040564B"/>
    <w:rsid w:val="00406A11"/>
    <w:rsid w:val="00411523"/>
    <w:rsid w:val="00430941"/>
    <w:rsid w:val="004309BF"/>
    <w:rsid w:val="004462E8"/>
    <w:rsid w:val="0044685B"/>
    <w:rsid w:val="0045321E"/>
    <w:rsid w:val="004651EA"/>
    <w:rsid w:val="00465460"/>
    <w:rsid w:val="0048528C"/>
    <w:rsid w:val="00490255"/>
    <w:rsid w:val="00491D53"/>
    <w:rsid w:val="00494A1F"/>
    <w:rsid w:val="004B1B69"/>
    <w:rsid w:val="004C6D16"/>
    <w:rsid w:val="004C704B"/>
    <w:rsid w:val="004E0F10"/>
    <w:rsid w:val="004E2877"/>
    <w:rsid w:val="0050317D"/>
    <w:rsid w:val="0050733C"/>
    <w:rsid w:val="00507DBC"/>
    <w:rsid w:val="00516BEB"/>
    <w:rsid w:val="0052589D"/>
    <w:rsid w:val="00525BFF"/>
    <w:rsid w:val="005263D6"/>
    <w:rsid w:val="00536BEB"/>
    <w:rsid w:val="00537A23"/>
    <w:rsid w:val="00540DFC"/>
    <w:rsid w:val="005424B5"/>
    <w:rsid w:val="00566A54"/>
    <w:rsid w:val="00572CC5"/>
    <w:rsid w:val="00584AD1"/>
    <w:rsid w:val="0058685C"/>
    <w:rsid w:val="00591C86"/>
    <w:rsid w:val="005A09BD"/>
    <w:rsid w:val="005A461F"/>
    <w:rsid w:val="005B2013"/>
    <w:rsid w:val="005C3CC0"/>
    <w:rsid w:val="005C7A7B"/>
    <w:rsid w:val="005C7D42"/>
    <w:rsid w:val="005E10F6"/>
    <w:rsid w:val="00614F04"/>
    <w:rsid w:val="00621327"/>
    <w:rsid w:val="00622095"/>
    <w:rsid w:val="00626E49"/>
    <w:rsid w:val="00632D7D"/>
    <w:rsid w:val="00635053"/>
    <w:rsid w:val="00661206"/>
    <w:rsid w:val="00662601"/>
    <w:rsid w:val="006740BF"/>
    <w:rsid w:val="00692D43"/>
    <w:rsid w:val="00696B3A"/>
    <w:rsid w:val="006A2792"/>
    <w:rsid w:val="006B23F8"/>
    <w:rsid w:val="006B4591"/>
    <w:rsid w:val="006B5E1A"/>
    <w:rsid w:val="006B79AD"/>
    <w:rsid w:val="006C5002"/>
    <w:rsid w:val="006D095A"/>
    <w:rsid w:val="006D1F2A"/>
    <w:rsid w:val="006E37A1"/>
    <w:rsid w:val="006E565E"/>
    <w:rsid w:val="006E7C0B"/>
    <w:rsid w:val="006F2B0C"/>
    <w:rsid w:val="006F630C"/>
    <w:rsid w:val="00714B34"/>
    <w:rsid w:val="00720ED8"/>
    <w:rsid w:val="0072688B"/>
    <w:rsid w:val="00736A08"/>
    <w:rsid w:val="00737866"/>
    <w:rsid w:val="00747868"/>
    <w:rsid w:val="00750DDB"/>
    <w:rsid w:val="00752531"/>
    <w:rsid w:val="0075722F"/>
    <w:rsid w:val="0076092F"/>
    <w:rsid w:val="0076321E"/>
    <w:rsid w:val="00770CFF"/>
    <w:rsid w:val="007867B2"/>
    <w:rsid w:val="007A0F33"/>
    <w:rsid w:val="007A7C4E"/>
    <w:rsid w:val="007C489B"/>
    <w:rsid w:val="007D0718"/>
    <w:rsid w:val="007D34C0"/>
    <w:rsid w:val="007D75B2"/>
    <w:rsid w:val="007E0676"/>
    <w:rsid w:val="007F7C93"/>
    <w:rsid w:val="008048EB"/>
    <w:rsid w:val="0081204C"/>
    <w:rsid w:val="0081321A"/>
    <w:rsid w:val="00813A0F"/>
    <w:rsid w:val="00830635"/>
    <w:rsid w:val="00832C46"/>
    <w:rsid w:val="0085173E"/>
    <w:rsid w:val="008556D3"/>
    <w:rsid w:val="00861BFA"/>
    <w:rsid w:val="00874DDA"/>
    <w:rsid w:val="00874F62"/>
    <w:rsid w:val="00886880"/>
    <w:rsid w:val="0089052D"/>
    <w:rsid w:val="00897333"/>
    <w:rsid w:val="008A4558"/>
    <w:rsid w:val="008B530E"/>
    <w:rsid w:val="008C541C"/>
    <w:rsid w:val="008C7E05"/>
    <w:rsid w:val="008D2D82"/>
    <w:rsid w:val="0090249B"/>
    <w:rsid w:val="0090561F"/>
    <w:rsid w:val="009171AB"/>
    <w:rsid w:val="0092514F"/>
    <w:rsid w:val="0092665F"/>
    <w:rsid w:val="009437BC"/>
    <w:rsid w:val="00945021"/>
    <w:rsid w:val="009537D8"/>
    <w:rsid w:val="00956222"/>
    <w:rsid w:val="00957253"/>
    <w:rsid w:val="00963DFE"/>
    <w:rsid w:val="00964F5C"/>
    <w:rsid w:val="00971E48"/>
    <w:rsid w:val="009A603C"/>
    <w:rsid w:val="009A6125"/>
    <w:rsid w:val="009A6500"/>
    <w:rsid w:val="009B154A"/>
    <w:rsid w:val="009B6596"/>
    <w:rsid w:val="009B76D3"/>
    <w:rsid w:val="009D0D3A"/>
    <w:rsid w:val="009E44CC"/>
    <w:rsid w:val="009F6D1F"/>
    <w:rsid w:val="00A0250B"/>
    <w:rsid w:val="00A025E6"/>
    <w:rsid w:val="00A03DE8"/>
    <w:rsid w:val="00A05ED4"/>
    <w:rsid w:val="00A06E56"/>
    <w:rsid w:val="00A20B88"/>
    <w:rsid w:val="00A30279"/>
    <w:rsid w:val="00A3073D"/>
    <w:rsid w:val="00A31406"/>
    <w:rsid w:val="00A41275"/>
    <w:rsid w:val="00A77B0F"/>
    <w:rsid w:val="00A94221"/>
    <w:rsid w:val="00AA25DA"/>
    <w:rsid w:val="00AB76E2"/>
    <w:rsid w:val="00AC2068"/>
    <w:rsid w:val="00AC284D"/>
    <w:rsid w:val="00AC5232"/>
    <w:rsid w:val="00AD0730"/>
    <w:rsid w:val="00AD3F48"/>
    <w:rsid w:val="00AE6A92"/>
    <w:rsid w:val="00B111E0"/>
    <w:rsid w:val="00B14AEE"/>
    <w:rsid w:val="00B20A49"/>
    <w:rsid w:val="00B24F53"/>
    <w:rsid w:val="00B3498F"/>
    <w:rsid w:val="00B5090E"/>
    <w:rsid w:val="00B6139E"/>
    <w:rsid w:val="00B641C0"/>
    <w:rsid w:val="00B71051"/>
    <w:rsid w:val="00B864A7"/>
    <w:rsid w:val="00B903A6"/>
    <w:rsid w:val="00BA23AA"/>
    <w:rsid w:val="00BA6A9A"/>
    <w:rsid w:val="00BB1167"/>
    <w:rsid w:val="00BC7A7B"/>
    <w:rsid w:val="00BD3B29"/>
    <w:rsid w:val="00BE1137"/>
    <w:rsid w:val="00BE2DA2"/>
    <w:rsid w:val="00BF208A"/>
    <w:rsid w:val="00BF3B84"/>
    <w:rsid w:val="00BF55D6"/>
    <w:rsid w:val="00C02EF3"/>
    <w:rsid w:val="00C0560B"/>
    <w:rsid w:val="00C11646"/>
    <w:rsid w:val="00C1398C"/>
    <w:rsid w:val="00C15539"/>
    <w:rsid w:val="00C15EDA"/>
    <w:rsid w:val="00C40F4A"/>
    <w:rsid w:val="00C43FA1"/>
    <w:rsid w:val="00C47E8D"/>
    <w:rsid w:val="00C47EF0"/>
    <w:rsid w:val="00C701F4"/>
    <w:rsid w:val="00C71D39"/>
    <w:rsid w:val="00C73EDB"/>
    <w:rsid w:val="00C8496F"/>
    <w:rsid w:val="00C909B4"/>
    <w:rsid w:val="00C93451"/>
    <w:rsid w:val="00CB3025"/>
    <w:rsid w:val="00CC2D73"/>
    <w:rsid w:val="00CD207C"/>
    <w:rsid w:val="00CD3682"/>
    <w:rsid w:val="00CD73E9"/>
    <w:rsid w:val="00CE23CE"/>
    <w:rsid w:val="00CE5E81"/>
    <w:rsid w:val="00CF18E5"/>
    <w:rsid w:val="00D03413"/>
    <w:rsid w:val="00D1066F"/>
    <w:rsid w:val="00D11BE1"/>
    <w:rsid w:val="00D13435"/>
    <w:rsid w:val="00D14E4C"/>
    <w:rsid w:val="00D23CEF"/>
    <w:rsid w:val="00D308AC"/>
    <w:rsid w:val="00D30DB1"/>
    <w:rsid w:val="00D32D14"/>
    <w:rsid w:val="00D47A2E"/>
    <w:rsid w:val="00D50E5A"/>
    <w:rsid w:val="00D71C2D"/>
    <w:rsid w:val="00D752B9"/>
    <w:rsid w:val="00D91195"/>
    <w:rsid w:val="00D91437"/>
    <w:rsid w:val="00DA26B3"/>
    <w:rsid w:val="00DB00B2"/>
    <w:rsid w:val="00DB176B"/>
    <w:rsid w:val="00DB53AF"/>
    <w:rsid w:val="00DD7637"/>
    <w:rsid w:val="00DE14CC"/>
    <w:rsid w:val="00DE7562"/>
    <w:rsid w:val="00E04335"/>
    <w:rsid w:val="00E14974"/>
    <w:rsid w:val="00E166C1"/>
    <w:rsid w:val="00E231D9"/>
    <w:rsid w:val="00E46341"/>
    <w:rsid w:val="00E561F3"/>
    <w:rsid w:val="00E65EFC"/>
    <w:rsid w:val="00E67B61"/>
    <w:rsid w:val="00E74AEE"/>
    <w:rsid w:val="00EA53C9"/>
    <w:rsid w:val="00EA69BD"/>
    <w:rsid w:val="00EB3132"/>
    <w:rsid w:val="00EB5D9D"/>
    <w:rsid w:val="00EC407B"/>
    <w:rsid w:val="00EC487E"/>
    <w:rsid w:val="00ED00B1"/>
    <w:rsid w:val="00ED362A"/>
    <w:rsid w:val="00ED3D96"/>
    <w:rsid w:val="00ED584C"/>
    <w:rsid w:val="00ED6D9E"/>
    <w:rsid w:val="00EE33E1"/>
    <w:rsid w:val="00EF10B5"/>
    <w:rsid w:val="00F06496"/>
    <w:rsid w:val="00F10444"/>
    <w:rsid w:val="00F22D12"/>
    <w:rsid w:val="00F3764F"/>
    <w:rsid w:val="00F40504"/>
    <w:rsid w:val="00F51D8E"/>
    <w:rsid w:val="00F5372F"/>
    <w:rsid w:val="00F603AC"/>
    <w:rsid w:val="00F6201F"/>
    <w:rsid w:val="00F75010"/>
    <w:rsid w:val="00F7512D"/>
    <w:rsid w:val="00F76A36"/>
    <w:rsid w:val="00F81D34"/>
    <w:rsid w:val="00F83501"/>
    <w:rsid w:val="00F879B8"/>
    <w:rsid w:val="00F93288"/>
    <w:rsid w:val="00FB3DE8"/>
    <w:rsid w:val="00FC09D3"/>
    <w:rsid w:val="00FE438F"/>
    <w:rsid w:val="00FE5070"/>
    <w:rsid w:val="00FE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F4B60"/>
  <w15:chartTrackingRefBased/>
  <w15:docId w15:val="{E53AD6EB-4CFF-4362-AA73-7B26E368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F4A"/>
    <w:pPr>
      <w:spacing w:after="200" w:line="276" w:lineRule="auto"/>
    </w:pPr>
    <w:rPr>
      <w:rFonts w:ascii="Calibri" w:eastAsia="Calibri" w:hAnsi="Calibri" w:cs="Times New Roman"/>
      <w:lang w:val="en-ZA"/>
    </w:rPr>
  </w:style>
  <w:style w:type="paragraph" w:styleId="Heading2">
    <w:name w:val="heading 2"/>
    <w:basedOn w:val="Normal"/>
    <w:next w:val="Normal"/>
    <w:link w:val="Heading2Char"/>
    <w:uiPriority w:val="9"/>
    <w:semiHidden/>
    <w:unhideWhenUsed/>
    <w:qFormat/>
    <w:rsid w:val="00BF55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C73EDB"/>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unhideWhenUsed/>
    <w:rsid w:val="00C73EDB"/>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C73EDB"/>
    <w:rPr>
      <w:color w:val="0000FF"/>
      <w:u w:val="single"/>
    </w:rPr>
  </w:style>
  <w:style w:type="paragraph" w:styleId="ListParagraph">
    <w:name w:val="List Paragraph"/>
    <w:basedOn w:val="Normal"/>
    <w:uiPriority w:val="1"/>
    <w:qFormat/>
    <w:rsid w:val="009437BC"/>
    <w:pPr>
      <w:ind w:left="720"/>
      <w:contextualSpacing/>
    </w:pPr>
  </w:style>
  <w:style w:type="paragraph" w:styleId="BalloonText">
    <w:name w:val="Balloon Text"/>
    <w:basedOn w:val="Normal"/>
    <w:link w:val="BalloonTextChar"/>
    <w:uiPriority w:val="99"/>
    <w:semiHidden/>
    <w:unhideWhenUsed/>
    <w:rsid w:val="002C2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5A"/>
    <w:rPr>
      <w:rFonts w:ascii="Segoe UI" w:eastAsia="Calibri" w:hAnsi="Segoe UI" w:cs="Segoe UI"/>
      <w:sz w:val="18"/>
      <w:szCs w:val="18"/>
      <w:lang w:val="en-ZA"/>
    </w:rPr>
  </w:style>
  <w:style w:type="paragraph" w:styleId="Header">
    <w:name w:val="header"/>
    <w:basedOn w:val="Normal"/>
    <w:link w:val="HeaderChar"/>
    <w:uiPriority w:val="99"/>
    <w:unhideWhenUsed/>
    <w:rsid w:val="001C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FFF"/>
    <w:rPr>
      <w:rFonts w:ascii="Calibri" w:eastAsia="Calibri" w:hAnsi="Calibri" w:cs="Times New Roman"/>
      <w:lang w:val="en-ZA"/>
    </w:rPr>
  </w:style>
  <w:style w:type="paragraph" w:styleId="Footer">
    <w:name w:val="footer"/>
    <w:basedOn w:val="Normal"/>
    <w:link w:val="FooterChar"/>
    <w:uiPriority w:val="99"/>
    <w:unhideWhenUsed/>
    <w:rsid w:val="001C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FFF"/>
    <w:rPr>
      <w:rFonts w:ascii="Calibri" w:eastAsia="Calibri" w:hAnsi="Calibri" w:cs="Times New Roman"/>
      <w:lang w:val="en-ZA"/>
    </w:rPr>
  </w:style>
  <w:style w:type="character" w:styleId="CommentReference">
    <w:name w:val="annotation reference"/>
    <w:basedOn w:val="DefaultParagraphFont"/>
    <w:uiPriority w:val="99"/>
    <w:semiHidden/>
    <w:unhideWhenUsed/>
    <w:rsid w:val="00040447"/>
    <w:rPr>
      <w:sz w:val="16"/>
      <w:szCs w:val="16"/>
    </w:rPr>
  </w:style>
  <w:style w:type="paragraph" w:styleId="CommentText">
    <w:name w:val="annotation text"/>
    <w:basedOn w:val="Normal"/>
    <w:link w:val="CommentTextChar"/>
    <w:uiPriority w:val="99"/>
    <w:unhideWhenUsed/>
    <w:rsid w:val="00040447"/>
    <w:pPr>
      <w:spacing w:line="240" w:lineRule="auto"/>
    </w:pPr>
    <w:rPr>
      <w:sz w:val="20"/>
      <w:szCs w:val="20"/>
    </w:rPr>
  </w:style>
  <w:style w:type="character" w:customStyle="1" w:styleId="CommentTextChar">
    <w:name w:val="Comment Text Char"/>
    <w:basedOn w:val="DefaultParagraphFont"/>
    <w:link w:val="CommentText"/>
    <w:uiPriority w:val="99"/>
    <w:rsid w:val="00040447"/>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040447"/>
    <w:rPr>
      <w:b/>
      <w:bCs/>
    </w:rPr>
  </w:style>
  <w:style w:type="character" w:customStyle="1" w:styleId="CommentSubjectChar">
    <w:name w:val="Comment Subject Char"/>
    <w:basedOn w:val="CommentTextChar"/>
    <w:link w:val="CommentSubject"/>
    <w:uiPriority w:val="99"/>
    <w:semiHidden/>
    <w:rsid w:val="00040447"/>
    <w:rPr>
      <w:rFonts w:ascii="Calibri" w:eastAsia="Calibri" w:hAnsi="Calibri" w:cs="Times New Roman"/>
      <w:b/>
      <w:bCs/>
      <w:sz w:val="20"/>
      <w:szCs w:val="20"/>
      <w:lang w:val="en-ZA"/>
    </w:rPr>
  </w:style>
  <w:style w:type="paragraph" w:styleId="FootnoteText">
    <w:name w:val="footnote text"/>
    <w:basedOn w:val="Normal"/>
    <w:link w:val="FootnoteTextChar"/>
    <w:uiPriority w:val="99"/>
    <w:semiHidden/>
    <w:unhideWhenUsed/>
    <w:rsid w:val="00184D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DB4"/>
    <w:rPr>
      <w:rFonts w:ascii="Calibri" w:eastAsia="Calibri" w:hAnsi="Calibri" w:cs="Times New Roman"/>
      <w:sz w:val="20"/>
      <w:szCs w:val="20"/>
      <w:lang w:val="en-ZA"/>
    </w:rPr>
  </w:style>
  <w:style w:type="character" w:styleId="FootnoteReference">
    <w:name w:val="footnote reference"/>
    <w:basedOn w:val="DefaultParagraphFont"/>
    <w:uiPriority w:val="99"/>
    <w:semiHidden/>
    <w:unhideWhenUsed/>
    <w:rsid w:val="00184DB4"/>
    <w:rPr>
      <w:vertAlign w:val="superscript"/>
    </w:rPr>
  </w:style>
  <w:style w:type="character" w:customStyle="1" w:styleId="mc">
    <w:name w:val="mc"/>
    <w:basedOn w:val="DefaultParagraphFont"/>
    <w:rsid w:val="00662601"/>
  </w:style>
  <w:style w:type="character" w:customStyle="1" w:styleId="Heading2Char">
    <w:name w:val="Heading 2 Char"/>
    <w:basedOn w:val="DefaultParagraphFont"/>
    <w:link w:val="Heading2"/>
    <w:uiPriority w:val="9"/>
    <w:semiHidden/>
    <w:rsid w:val="00BF55D6"/>
    <w:rPr>
      <w:rFonts w:asciiTheme="majorHAnsi" w:eastAsiaTheme="majorEastAsia" w:hAnsiTheme="majorHAnsi" w:cstheme="majorBidi"/>
      <w:color w:val="2E74B5" w:themeColor="accent1" w:themeShade="BF"/>
      <w:sz w:val="26"/>
      <w:szCs w:val="26"/>
      <w:lang w:val="en-ZA"/>
    </w:rPr>
  </w:style>
  <w:style w:type="paragraph" w:styleId="Revision">
    <w:name w:val="Revision"/>
    <w:hidden/>
    <w:uiPriority w:val="99"/>
    <w:semiHidden/>
    <w:rsid w:val="00AC284D"/>
    <w:pPr>
      <w:spacing w:after="0" w:line="240" w:lineRule="auto"/>
    </w:pPr>
    <w:rPr>
      <w:rFonts w:ascii="Calibri" w:eastAsia="Calibri" w:hAnsi="Calibri" w:cs="Times New Roman"/>
      <w:lang w:val="en-ZA"/>
    </w:rPr>
  </w:style>
  <w:style w:type="paragraph" w:styleId="BodyText">
    <w:name w:val="Body Text"/>
    <w:basedOn w:val="Normal"/>
    <w:link w:val="BodyTextChar"/>
    <w:uiPriority w:val="1"/>
    <w:qFormat/>
    <w:rsid w:val="00F879B8"/>
    <w:pPr>
      <w:widowControl w:val="0"/>
      <w:autoSpaceDE w:val="0"/>
      <w:autoSpaceDN w:val="0"/>
      <w:spacing w:after="0" w:line="240" w:lineRule="auto"/>
    </w:pPr>
    <w:rPr>
      <w:rFonts w:ascii="Arial" w:eastAsia="Times New Roman" w:hAnsi="Arial" w:cs="Arial"/>
      <w:sz w:val="23"/>
      <w:szCs w:val="23"/>
      <w:lang w:val="en-US"/>
    </w:rPr>
  </w:style>
  <w:style w:type="character" w:customStyle="1" w:styleId="BodyTextChar">
    <w:name w:val="Body Text Char"/>
    <w:basedOn w:val="DefaultParagraphFont"/>
    <w:link w:val="BodyText"/>
    <w:uiPriority w:val="1"/>
    <w:rsid w:val="00F879B8"/>
    <w:rPr>
      <w:rFonts w:ascii="Arial" w:eastAsia="Times New Roman" w:hAnsi="Arial" w:cs="Arial"/>
      <w:sz w:val="23"/>
      <w:szCs w:val="23"/>
    </w:rPr>
  </w:style>
  <w:style w:type="paragraph" w:customStyle="1" w:styleId="BodyA">
    <w:name w:val="Body A"/>
    <w:rsid w:val="000B1791"/>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Arial" w:eastAsia="Arial Unicode MS" w:hAnsi="Arial" w:cs="Arial Unicode MS"/>
      <w:color w:val="000000"/>
      <w:kern w:val="28"/>
      <w:sz w:val="24"/>
      <w:szCs w:val="24"/>
      <w:u w:color="000000"/>
      <w:lang w:eastAsia="en-ZA"/>
    </w:rPr>
  </w:style>
  <w:style w:type="paragraph" w:customStyle="1" w:styleId="Footnote">
    <w:name w:val="Footnote"/>
    <w:rsid w:val="000B1791"/>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Times New Roman" w:hAnsi="Helvetica" w:cs="Helvetica"/>
      <w:color w:val="000000"/>
      <w:u w:color="000000"/>
      <w:lang w:eastAsia="en-ZA"/>
    </w:rPr>
  </w:style>
  <w:style w:type="numbering" w:customStyle="1" w:styleId="Numbered">
    <w:name w:val="Numbered"/>
    <w:rsid w:val="000B179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9680">
      <w:bodyDiv w:val="1"/>
      <w:marLeft w:val="0"/>
      <w:marRight w:val="0"/>
      <w:marTop w:val="0"/>
      <w:marBottom w:val="0"/>
      <w:divBdr>
        <w:top w:val="none" w:sz="0" w:space="0" w:color="auto"/>
        <w:left w:val="none" w:sz="0" w:space="0" w:color="auto"/>
        <w:bottom w:val="none" w:sz="0" w:space="0" w:color="auto"/>
        <w:right w:val="none" w:sz="0" w:space="0" w:color="auto"/>
      </w:divBdr>
    </w:div>
    <w:div w:id="195971126">
      <w:bodyDiv w:val="1"/>
      <w:marLeft w:val="0"/>
      <w:marRight w:val="0"/>
      <w:marTop w:val="0"/>
      <w:marBottom w:val="0"/>
      <w:divBdr>
        <w:top w:val="none" w:sz="0" w:space="0" w:color="auto"/>
        <w:left w:val="none" w:sz="0" w:space="0" w:color="auto"/>
        <w:bottom w:val="none" w:sz="0" w:space="0" w:color="auto"/>
        <w:right w:val="none" w:sz="0" w:space="0" w:color="auto"/>
      </w:divBdr>
    </w:div>
    <w:div w:id="758257667">
      <w:bodyDiv w:val="1"/>
      <w:marLeft w:val="0"/>
      <w:marRight w:val="0"/>
      <w:marTop w:val="0"/>
      <w:marBottom w:val="0"/>
      <w:divBdr>
        <w:top w:val="none" w:sz="0" w:space="0" w:color="auto"/>
        <w:left w:val="none" w:sz="0" w:space="0" w:color="auto"/>
        <w:bottom w:val="none" w:sz="0" w:space="0" w:color="auto"/>
        <w:right w:val="none" w:sz="0" w:space="0" w:color="auto"/>
      </w:divBdr>
    </w:div>
    <w:div w:id="952709842">
      <w:bodyDiv w:val="1"/>
      <w:marLeft w:val="0"/>
      <w:marRight w:val="0"/>
      <w:marTop w:val="0"/>
      <w:marBottom w:val="0"/>
      <w:divBdr>
        <w:top w:val="none" w:sz="0" w:space="0" w:color="auto"/>
        <w:left w:val="none" w:sz="0" w:space="0" w:color="auto"/>
        <w:bottom w:val="none" w:sz="0" w:space="0" w:color="auto"/>
        <w:right w:val="none" w:sz="0" w:space="0" w:color="auto"/>
      </w:divBdr>
    </w:div>
    <w:div w:id="1204248333">
      <w:bodyDiv w:val="1"/>
      <w:marLeft w:val="0"/>
      <w:marRight w:val="0"/>
      <w:marTop w:val="0"/>
      <w:marBottom w:val="0"/>
      <w:divBdr>
        <w:top w:val="none" w:sz="0" w:space="0" w:color="auto"/>
        <w:left w:val="none" w:sz="0" w:space="0" w:color="auto"/>
        <w:bottom w:val="none" w:sz="0" w:space="0" w:color="auto"/>
        <w:right w:val="none" w:sz="0" w:space="0" w:color="auto"/>
      </w:divBdr>
    </w:div>
    <w:div w:id="1579830197">
      <w:bodyDiv w:val="1"/>
      <w:marLeft w:val="0"/>
      <w:marRight w:val="0"/>
      <w:marTop w:val="0"/>
      <w:marBottom w:val="0"/>
      <w:divBdr>
        <w:top w:val="none" w:sz="0" w:space="0" w:color="auto"/>
        <w:left w:val="none" w:sz="0" w:space="0" w:color="auto"/>
        <w:bottom w:val="none" w:sz="0" w:space="0" w:color="auto"/>
        <w:right w:val="none" w:sz="0" w:space="0" w:color="auto"/>
      </w:divBdr>
    </w:div>
    <w:div w:id="1588730039">
      <w:bodyDiv w:val="1"/>
      <w:marLeft w:val="0"/>
      <w:marRight w:val="0"/>
      <w:marTop w:val="0"/>
      <w:marBottom w:val="0"/>
      <w:divBdr>
        <w:top w:val="none" w:sz="0" w:space="0" w:color="auto"/>
        <w:left w:val="none" w:sz="0" w:space="0" w:color="auto"/>
        <w:bottom w:val="none" w:sz="0" w:space="0" w:color="auto"/>
        <w:right w:val="none" w:sz="0" w:space="0" w:color="auto"/>
      </w:divBdr>
    </w:div>
    <w:div w:id="1599871750">
      <w:bodyDiv w:val="1"/>
      <w:marLeft w:val="0"/>
      <w:marRight w:val="0"/>
      <w:marTop w:val="0"/>
      <w:marBottom w:val="0"/>
      <w:divBdr>
        <w:top w:val="none" w:sz="0" w:space="0" w:color="auto"/>
        <w:left w:val="none" w:sz="0" w:space="0" w:color="auto"/>
        <w:bottom w:val="none" w:sz="0" w:space="0" w:color="auto"/>
        <w:right w:val="none" w:sz="0" w:space="0" w:color="auto"/>
      </w:divBdr>
    </w:div>
    <w:div w:id="1812751196">
      <w:bodyDiv w:val="1"/>
      <w:marLeft w:val="0"/>
      <w:marRight w:val="0"/>
      <w:marTop w:val="0"/>
      <w:marBottom w:val="0"/>
      <w:divBdr>
        <w:top w:val="none" w:sz="0" w:space="0" w:color="auto"/>
        <w:left w:val="none" w:sz="0" w:space="0" w:color="auto"/>
        <w:bottom w:val="none" w:sz="0" w:space="0" w:color="auto"/>
        <w:right w:val="none" w:sz="0" w:space="0" w:color="auto"/>
      </w:divBdr>
    </w:div>
    <w:div w:id="1826777945">
      <w:bodyDiv w:val="1"/>
      <w:marLeft w:val="0"/>
      <w:marRight w:val="0"/>
      <w:marTop w:val="0"/>
      <w:marBottom w:val="0"/>
      <w:divBdr>
        <w:top w:val="none" w:sz="0" w:space="0" w:color="auto"/>
        <w:left w:val="none" w:sz="0" w:space="0" w:color="auto"/>
        <w:bottom w:val="none" w:sz="0" w:space="0" w:color="auto"/>
        <w:right w:val="none" w:sz="0" w:space="0" w:color="auto"/>
      </w:divBdr>
    </w:div>
    <w:div w:id="20786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uce.rist.rist@gb.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liette.dehutton@Bowmanslaw.com" TargetMode="External"/><Relationship Id="rId4" Type="http://schemas.openxmlformats.org/officeDocument/2006/relationships/settings" Target="settings.xml"/><Relationship Id="rId9" Type="http://schemas.openxmlformats.org/officeDocument/2006/relationships/image" Target="cid:image002.png@01D051A5.AB6D11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DE5F3-C0A2-499B-97A7-C85FB483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Shoba Phumelele</dc:creator>
  <cp:keywords/>
  <dc:description/>
  <cp:lastModifiedBy>Nompumelelo Nzama</cp:lastModifiedBy>
  <cp:revision>4</cp:revision>
  <cp:lastPrinted>2024-02-13T08:13:00Z</cp:lastPrinted>
  <dcterms:created xsi:type="dcterms:W3CDTF">2024-02-13T07:22:00Z</dcterms:created>
  <dcterms:modified xsi:type="dcterms:W3CDTF">2024-02-13T08:14:00Z</dcterms:modified>
</cp:coreProperties>
</file>