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F0E5A" w14:textId="77777777" w:rsidR="00904C60" w:rsidRPr="0087455A" w:rsidRDefault="00904C60" w:rsidP="00065D9D">
      <w:pPr>
        <w:spacing w:after="0" w:line="360" w:lineRule="auto"/>
        <w:jc w:val="center"/>
        <w:rPr>
          <w:rFonts w:ascii="Arial" w:eastAsia="Calibri" w:hAnsi="Arial" w:cs="Arial"/>
          <w:b/>
          <w:sz w:val="24"/>
          <w:szCs w:val="24"/>
          <w:lang w:val="en-GB"/>
        </w:rPr>
      </w:pPr>
      <w:bookmarkStart w:id="0" w:name="_GoBack"/>
      <w:bookmarkEnd w:id="0"/>
      <w:r w:rsidRPr="0087455A">
        <w:rPr>
          <w:rFonts w:ascii="Arial" w:eastAsia="Calibri" w:hAnsi="Arial" w:cs="Arial"/>
          <w:noProof/>
          <w:sz w:val="28"/>
          <w:szCs w:val="28"/>
          <w:lang w:val="en-ZA" w:eastAsia="en-ZA"/>
        </w:rPr>
        <w:drawing>
          <wp:inline distT="0" distB="0" distL="0" distR="0" wp14:anchorId="1D528EFE" wp14:editId="03445FBF">
            <wp:extent cx="1038225" cy="10192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4" cy="1021170"/>
                    </a:xfrm>
                    <a:prstGeom prst="rect">
                      <a:avLst/>
                    </a:prstGeom>
                    <a:noFill/>
                    <a:ln>
                      <a:noFill/>
                    </a:ln>
                  </pic:spPr>
                </pic:pic>
              </a:graphicData>
            </a:graphic>
          </wp:inline>
        </w:drawing>
      </w:r>
    </w:p>
    <w:p w14:paraId="19D6973F" w14:textId="77777777" w:rsidR="00904C60" w:rsidRPr="0087455A" w:rsidRDefault="00904C60" w:rsidP="00904C60">
      <w:pPr>
        <w:spacing w:after="0" w:line="360" w:lineRule="auto"/>
        <w:contextualSpacing/>
        <w:jc w:val="center"/>
        <w:rPr>
          <w:rFonts w:ascii="Arial" w:eastAsia="Calibri" w:hAnsi="Arial" w:cs="Arial"/>
          <w:b/>
          <w:sz w:val="24"/>
          <w:szCs w:val="24"/>
          <w:lang w:val="en-GB"/>
        </w:rPr>
      </w:pPr>
      <w:r w:rsidRPr="0087455A">
        <w:rPr>
          <w:rFonts w:ascii="Arial" w:eastAsia="Calibri" w:hAnsi="Arial" w:cs="Arial"/>
          <w:b/>
          <w:sz w:val="24"/>
          <w:szCs w:val="24"/>
          <w:lang w:val="en-GB"/>
        </w:rPr>
        <w:t>IN THE HIGH COURT OF SOUTH AFRICA</w:t>
      </w:r>
    </w:p>
    <w:p w14:paraId="58750BCD" w14:textId="77777777" w:rsidR="00904C60" w:rsidRPr="0087455A" w:rsidRDefault="00904C60" w:rsidP="00904C60">
      <w:pPr>
        <w:spacing w:after="0" w:line="360" w:lineRule="auto"/>
        <w:contextualSpacing/>
        <w:jc w:val="center"/>
        <w:rPr>
          <w:rFonts w:ascii="Arial" w:eastAsia="Calibri" w:hAnsi="Arial" w:cs="Arial"/>
          <w:b/>
          <w:sz w:val="24"/>
          <w:szCs w:val="24"/>
          <w:lang w:val="en-GB"/>
        </w:rPr>
      </w:pPr>
      <w:r w:rsidRPr="0087455A">
        <w:rPr>
          <w:rFonts w:ascii="Arial" w:eastAsia="Calibri" w:hAnsi="Arial" w:cs="Arial"/>
          <w:b/>
          <w:sz w:val="24"/>
          <w:szCs w:val="24"/>
          <w:lang w:val="en-GB"/>
        </w:rPr>
        <w:t>KWAZULU-NATAL DIVISION, PIETERMARITZBURG</w:t>
      </w:r>
    </w:p>
    <w:p w14:paraId="4AE7A420" w14:textId="77777777" w:rsidR="00AF4B4E" w:rsidRPr="006162CE" w:rsidRDefault="00AF4B4E" w:rsidP="006162CE">
      <w:pPr>
        <w:spacing w:after="0" w:line="360" w:lineRule="auto"/>
        <w:jc w:val="both"/>
        <w:rPr>
          <w:rFonts w:ascii="Arial" w:hAnsi="Arial" w:cs="Arial"/>
          <w:b/>
          <w:sz w:val="24"/>
          <w:szCs w:val="24"/>
          <w:lang w:val="en-GB"/>
        </w:rPr>
      </w:pPr>
      <w:r w:rsidRPr="006162CE">
        <w:rPr>
          <w:rFonts w:ascii="Arial" w:hAnsi="Arial" w:cs="Arial"/>
          <w:b/>
          <w:sz w:val="24"/>
          <w:szCs w:val="24"/>
          <w:lang w:val="en-GB"/>
        </w:rPr>
        <w:tab/>
      </w:r>
    </w:p>
    <w:p w14:paraId="33903558" w14:textId="68219FFB" w:rsidR="00AF4B4E" w:rsidRPr="00904C60" w:rsidRDefault="00AF4B4E" w:rsidP="00245C72">
      <w:pPr>
        <w:spacing w:after="0" w:line="360" w:lineRule="auto"/>
        <w:jc w:val="right"/>
        <w:rPr>
          <w:rFonts w:ascii="Arial" w:hAnsi="Arial" w:cs="Arial"/>
          <w:b/>
          <w:sz w:val="24"/>
          <w:szCs w:val="24"/>
          <w:lang w:val="en-GB"/>
        </w:rPr>
      </w:pPr>
      <w:r w:rsidRPr="00904C60">
        <w:rPr>
          <w:rFonts w:ascii="Arial" w:hAnsi="Arial" w:cs="Arial"/>
          <w:b/>
          <w:sz w:val="24"/>
          <w:szCs w:val="24"/>
          <w:lang w:val="en-GB"/>
        </w:rPr>
        <w:t xml:space="preserve">Case no: </w:t>
      </w:r>
      <w:r w:rsidR="005B3426">
        <w:rPr>
          <w:rFonts w:ascii="Arial" w:hAnsi="Arial" w:cs="Arial"/>
          <w:b/>
          <w:sz w:val="24"/>
          <w:szCs w:val="24"/>
          <w:lang w:val="en-GB"/>
        </w:rPr>
        <w:t>107</w:t>
      </w:r>
      <w:r w:rsidR="00527378">
        <w:rPr>
          <w:rFonts w:ascii="Arial" w:hAnsi="Arial" w:cs="Arial"/>
          <w:b/>
          <w:sz w:val="24"/>
          <w:szCs w:val="24"/>
          <w:lang w:val="en-GB"/>
        </w:rPr>
        <w:t>5</w:t>
      </w:r>
      <w:r w:rsidR="005B3426">
        <w:rPr>
          <w:rFonts w:ascii="Arial" w:hAnsi="Arial" w:cs="Arial"/>
          <w:b/>
          <w:sz w:val="24"/>
          <w:szCs w:val="24"/>
          <w:lang w:val="en-GB"/>
        </w:rPr>
        <w:t>4/2022P</w:t>
      </w:r>
    </w:p>
    <w:p w14:paraId="4E26C652" w14:textId="72823400" w:rsidR="00AF4B4E" w:rsidRPr="006162CE" w:rsidRDefault="00AF4B4E" w:rsidP="006162CE">
      <w:pPr>
        <w:spacing w:after="0" w:line="360" w:lineRule="auto"/>
        <w:jc w:val="both"/>
        <w:rPr>
          <w:rFonts w:ascii="Arial" w:hAnsi="Arial" w:cs="Arial"/>
          <w:sz w:val="24"/>
          <w:szCs w:val="24"/>
          <w:lang w:val="en-GB"/>
        </w:rPr>
      </w:pPr>
      <w:r w:rsidRPr="006162CE">
        <w:rPr>
          <w:rFonts w:ascii="Arial" w:hAnsi="Arial" w:cs="Arial"/>
          <w:sz w:val="24"/>
          <w:szCs w:val="24"/>
          <w:lang w:val="en-GB"/>
        </w:rPr>
        <w:t>In the matter between:</w:t>
      </w:r>
    </w:p>
    <w:p w14:paraId="1E3DEFA7" w14:textId="77777777" w:rsidR="005B3426" w:rsidRPr="005B3426" w:rsidRDefault="005B3426" w:rsidP="00187EE3">
      <w:pPr>
        <w:tabs>
          <w:tab w:val="right" w:pos="9072"/>
        </w:tabs>
        <w:spacing w:after="0" w:line="360" w:lineRule="auto"/>
        <w:contextualSpacing/>
        <w:jc w:val="both"/>
        <w:rPr>
          <w:rFonts w:ascii="Arial" w:eastAsia="Calibri" w:hAnsi="Arial" w:cs="Arial"/>
          <w:b/>
          <w:sz w:val="24"/>
          <w:szCs w:val="24"/>
          <w:lang w:val="en-ZA"/>
        </w:rPr>
      </w:pPr>
      <w:r w:rsidRPr="005B3426">
        <w:rPr>
          <w:rFonts w:ascii="Arial" w:eastAsia="Calibri" w:hAnsi="Arial" w:cs="Arial"/>
          <w:b/>
          <w:sz w:val="24"/>
          <w:szCs w:val="24"/>
          <w:lang w:val="en-ZA"/>
        </w:rPr>
        <w:t>BENJAMIN JACOBUS VORSTER N.O</w:t>
      </w:r>
      <w:r w:rsidRPr="005B3426">
        <w:rPr>
          <w:rFonts w:ascii="Arial" w:eastAsia="Calibri" w:hAnsi="Arial" w:cs="Arial"/>
          <w:b/>
          <w:sz w:val="24"/>
          <w:szCs w:val="24"/>
          <w:lang w:val="en-ZA"/>
        </w:rPr>
        <w:tab/>
        <w:t xml:space="preserve"> APPLICANT</w:t>
      </w:r>
    </w:p>
    <w:p w14:paraId="491F8E6B" w14:textId="77777777" w:rsidR="005B3426" w:rsidRPr="005B3426" w:rsidRDefault="005B3426" w:rsidP="00187EE3">
      <w:pPr>
        <w:tabs>
          <w:tab w:val="right" w:pos="9072"/>
        </w:tabs>
        <w:spacing w:after="0" w:line="360" w:lineRule="auto"/>
        <w:contextualSpacing/>
        <w:jc w:val="both"/>
        <w:rPr>
          <w:rFonts w:ascii="Arial" w:eastAsia="Calibri" w:hAnsi="Arial" w:cs="Arial"/>
          <w:sz w:val="24"/>
          <w:szCs w:val="24"/>
          <w:lang w:val="en-ZA"/>
        </w:rPr>
      </w:pPr>
    </w:p>
    <w:p w14:paraId="5AA773EA" w14:textId="77777777" w:rsidR="005B3426" w:rsidRPr="005B3426" w:rsidRDefault="005B3426" w:rsidP="00187EE3">
      <w:pPr>
        <w:tabs>
          <w:tab w:val="right" w:pos="9072"/>
        </w:tabs>
        <w:spacing w:after="0" w:line="360" w:lineRule="auto"/>
        <w:contextualSpacing/>
        <w:jc w:val="both"/>
        <w:rPr>
          <w:rFonts w:ascii="Arial" w:eastAsia="Calibri" w:hAnsi="Arial" w:cs="Arial"/>
          <w:sz w:val="24"/>
          <w:szCs w:val="24"/>
          <w:lang w:val="en-ZA"/>
        </w:rPr>
      </w:pPr>
      <w:r w:rsidRPr="005B3426">
        <w:rPr>
          <w:rFonts w:ascii="Arial" w:eastAsia="Calibri" w:hAnsi="Arial" w:cs="Arial"/>
          <w:sz w:val="24"/>
          <w:szCs w:val="24"/>
          <w:lang w:val="en-ZA"/>
        </w:rPr>
        <w:t>and</w:t>
      </w:r>
    </w:p>
    <w:p w14:paraId="6516B810" w14:textId="77777777" w:rsidR="005B3426" w:rsidRPr="005B3426" w:rsidRDefault="005B3426" w:rsidP="00187EE3">
      <w:pPr>
        <w:tabs>
          <w:tab w:val="right" w:pos="9072"/>
        </w:tabs>
        <w:spacing w:after="0" w:line="360" w:lineRule="auto"/>
        <w:contextualSpacing/>
        <w:jc w:val="both"/>
        <w:rPr>
          <w:rFonts w:ascii="Arial" w:eastAsia="Calibri" w:hAnsi="Arial" w:cs="Arial"/>
          <w:sz w:val="24"/>
          <w:szCs w:val="24"/>
          <w:lang w:val="en-ZA"/>
        </w:rPr>
      </w:pPr>
    </w:p>
    <w:p w14:paraId="33A038C5" w14:textId="0D4435DF" w:rsidR="005B3426" w:rsidRPr="005B3426" w:rsidRDefault="00187EE3" w:rsidP="00187EE3">
      <w:pPr>
        <w:tabs>
          <w:tab w:val="right" w:pos="9072"/>
        </w:tabs>
        <w:suppressAutoHyphen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FELIX KHULEKANI BUTHELEZI</w:t>
      </w:r>
      <w:r>
        <w:rPr>
          <w:rFonts w:ascii="Arial" w:eastAsia="Times New Roman" w:hAnsi="Arial" w:cs="Arial"/>
          <w:b/>
          <w:sz w:val="24"/>
          <w:szCs w:val="24"/>
          <w:lang w:val="en-GB"/>
        </w:rPr>
        <w:tab/>
      </w:r>
      <w:r w:rsidR="005B3426" w:rsidRPr="005B3426">
        <w:rPr>
          <w:rFonts w:ascii="Arial" w:eastAsia="Times New Roman" w:hAnsi="Arial" w:cs="Arial"/>
          <w:b/>
          <w:color w:val="000000"/>
          <w:sz w:val="24"/>
          <w:szCs w:val="24"/>
          <w:lang w:val="en-GB"/>
        </w:rPr>
        <w:t>1</w:t>
      </w:r>
      <w:r w:rsidR="005B3426" w:rsidRPr="005B3426">
        <w:rPr>
          <w:rFonts w:ascii="Arial" w:eastAsia="Times New Roman" w:hAnsi="Arial" w:cs="Arial"/>
          <w:b/>
          <w:color w:val="000000"/>
          <w:sz w:val="24"/>
          <w:szCs w:val="24"/>
          <w:vertAlign w:val="superscript"/>
          <w:lang w:val="en-GB"/>
        </w:rPr>
        <w:t>ST</w:t>
      </w:r>
      <w:r w:rsidR="005B3426" w:rsidRPr="005B3426">
        <w:rPr>
          <w:rFonts w:ascii="Arial" w:eastAsia="Times New Roman" w:hAnsi="Arial" w:cs="Arial"/>
          <w:b/>
          <w:color w:val="000000"/>
          <w:sz w:val="24"/>
          <w:szCs w:val="24"/>
          <w:lang w:val="en-GB"/>
        </w:rPr>
        <w:t xml:space="preserve"> RESPONDENT</w:t>
      </w:r>
      <w:r w:rsidR="005B3426" w:rsidRPr="005B3426">
        <w:rPr>
          <w:rFonts w:ascii="Arial" w:eastAsia="Times New Roman" w:hAnsi="Arial" w:cs="Arial"/>
          <w:b/>
          <w:sz w:val="24"/>
          <w:szCs w:val="24"/>
          <w:lang w:val="en-GB"/>
        </w:rPr>
        <w:t xml:space="preserve"> </w:t>
      </w:r>
    </w:p>
    <w:p w14:paraId="24AEBA2E" w14:textId="77777777" w:rsidR="005B3426" w:rsidRPr="005B3426" w:rsidRDefault="005B3426" w:rsidP="00187EE3">
      <w:pPr>
        <w:tabs>
          <w:tab w:val="right" w:pos="9072"/>
        </w:tabs>
        <w:suppressAutoHyphens/>
        <w:spacing w:after="0" w:line="360" w:lineRule="auto"/>
        <w:jc w:val="both"/>
        <w:rPr>
          <w:rFonts w:ascii="Arial" w:eastAsia="Times New Roman" w:hAnsi="Arial" w:cs="Arial"/>
          <w:b/>
          <w:sz w:val="24"/>
          <w:szCs w:val="24"/>
          <w:lang w:val="en-GB"/>
        </w:rPr>
      </w:pPr>
      <w:r w:rsidRPr="005B3426">
        <w:rPr>
          <w:rFonts w:ascii="Arial" w:eastAsia="Times New Roman" w:hAnsi="Arial" w:cs="Arial"/>
          <w:b/>
          <w:sz w:val="24"/>
          <w:szCs w:val="24"/>
          <w:lang w:val="en-GB"/>
        </w:rPr>
        <w:t>IPHRAIM MFUNENI ZUNGU</w:t>
      </w:r>
      <w:r w:rsidRPr="005B3426">
        <w:rPr>
          <w:rFonts w:ascii="Arial" w:eastAsia="Times New Roman" w:hAnsi="Arial" w:cs="Arial"/>
          <w:b/>
          <w:sz w:val="24"/>
          <w:szCs w:val="24"/>
          <w:lang w:val="en-GB"/>
        </w:rPr>
        <w:tab/>
      </w:r>
      <w:r w:rsidRPr="005B3426">
        <w:rPr>
          <w:rFonts w:ascii="Arial" w:eastAsia="Times New Roman" w:hAnsi="Arial" w:cs="Arial"/>
          <w:b/>
          <w:color w:val="000000"/>
          <w:sz w:val="24"/>
          <w:szCs w:val="24"/>
          <w:lang w:val="en-GB"/>
        </w:rPr>
        <w:t xml:space="preserve"> 2</w:t>
      </w:r>
      <w:r w:rsidRPr="005B3426">
        <w:rPr>
          <w:rFonts w:ascii="Arial" w:eastAsia="Times New Roman" w:hAnsi="Arial" w:cs="Arial"/>
          <w:b/>
          <w:color w:val="000000"/>
          <w:sz w:val="24"/>
          <w:szCs w:val="24"/>
          <w:vertAlign w:val="superscript"/>
          <w:lang w:val="en-GB"/>
        </w:rPr>
        <w:t>ND</w:t>
      </w:r>
      <w:r w:rsidRPr="005B3426">
        <w:rPr>
          <w:rFonts w:ascii="Arial" w:eastAsia="Times New Roman" w:hAnsi="Arial" w:cs="Arial"/>
          <w:b/>
          <w:color w:val="000000"/>
          <w:sz w:val="24"/>
          <w:szCs w:val="24"/>
          <w:lang w:val="en-GB"/>
        </w:rPr>
        <w:t xml:space="preserve"> RESPONDENT</w:t>
      </w:r>
      <w:r w:rsidRPr="005B3426">
        <w:rPr>
          <w:rFonts w:ascii="Arial" w:eastAsia="Times New Roman" w:hAnsi="Arial" w:cs="Arial"/>
          <w:b/>
          <w:sz w:val="24"/>
          <w:szCs w:val="24"/>
          <w:lang w:val="en-GB"/>
        </w:rPr>
        <w:t xml:space="preserve"> </w:t>
      </w:r>
    </w:p>
    <w:p w14:paraId="51460F19" w14:textId="77777777" w:rsidR="00A87156" w:rsidRDefault="005B3426" w:rsidP="00187EE3">
      <w:pPr>
        <w:tabs>
          <w:tab w:val="right" w:pos="9072"/>
        </w:tabs>
        <w:suppressAutoHyphens/>
        <w:spacing w:after="0" w:line="360" w:lineRule="auto"/>
        <w:jc w:val="both"/>
        <w:rPr>
          <w:rFonts w:ascii="Arial" w:eastAsia="Times New Roman" w:hAnsi="Arial" w:cs="Arial"/>
          <w:b/>
          <w:sz w:val="24"/>
          <w:szCs w:val="24"/>
          <w:lang w:val="en-GB"/>
        </w:rPr>
      </w:pPr>
      <w:r w:rsidRPr="005B3426">
        <w:rPr>
          <w:rFonts w:ascii="Arial" w:eastAsia="Times New Roman" w:hAnsi="Arial" w:cs="Arial"/>
          <w:b/>
          <w:sz w:val="24"/>
          <w:szCs w:val="24"/>
          <w:lang w:val="en-GB"/>
        </w:rPr>
        <w:t>NONTOBEKO PRECIOUS ANGELA BUTHELEZI</w:t>
      </w:r>
      <w:r w:rsidR="00A87156">
        <w:rPr>
          <w:rFonts w:ascii="Arial" w:eastAsia="Times New Roman" w:hAnsi="Arial" w:cs="Arial"/>
          <w:b/>
          <w:sz w:val="24"/>
          <w:szCs w:val="24"/>
          <w:lang w:val="en-GB"/>
        </w:rPr>
        <w:t xml:space="preserve"> </w:t>
      </w:r>
    </w:p>
    <w:p w14:paraId="685CC5B6" w14:textId="7FFDD193" w:rsidR="00EB2ABB" w:rsidRDefault="00A87156" w:rsidP="00187EE3">
      <w:pPr>
        <w:tabs>
          <w:tab w:val="right" w:pos="9072"/>
        </w:tabs>
        <w:suppressAutoHyphen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(first applicant for leave to appeal)</w:t>
      </w:r>
      <w:r w:rsidR="005B3426" w:rsidRPr="005B3426">
        <w:rPr>
          <w:rFonts w:ascii="Arial" w:eastAsia="Times New Roman" w:hAnsi="Arial" w:cs="Arial"/>
          <w:b/>
          <w:sz w:val="24"/>
          <w:szCs w:val="24"/>
          <w:lang w:val="en-GB"/>
        </w:rPr>
        <w:tab/>
        <w:t xml:space="preserve"> 3</w:t>
      </w:r>
      <w:r w:rsidR="005B3426" w:rsidRPr="005B3426">
        <w:rPr>
          <w:rFonts w:ascii="Arial" w:eastAsia="Times New Roman" w:hAnsi="Arial" w:cs="Arial"/>
          <w:b/>
          <w:sz w:val="24"/>
          <w:szCs w:val="24"/>
          <w:vertAlign w:val="superscript"/>
          <w:lang w:val="en-GB"/>
        </w:rPr>
        <w:t>RD</w:t>
      </w:r>
      <w:r w:rsidR="005B3426" w:rsidRPr="005B3426">
        <w:rPr>
          <w:rFonts w:ascii="Arial" w:eastAsia="Times New Roman" w:hAnsi="Arial" w:cs="Arial"/>
          <w:b/>
          <w:sz w:val="24"/>
          <w:szCs w:val="24"/>
          <w:lang w:val="en-GB"/>
        </w:rPr>
        <w:t xml:space="preserve"> RESPONDENT</w:t>
      </w:r>
    </w:p>
    <w:p w14:paraId="146DD836" w14:textId="5E7ECD38" w:rsidR="00A87156" w:rsidRDefault="005B3426" w:rsidP="00187EE3">
      <w:pPr>
        <w:tabs>
          <w:tab w:val="right" w:pos="9072"/>
        </w:tabs>
        <w:suppressAutoHyphens/>
        <w:spacing w:after="0" w:line="360" w:lineRule="auto"/>
        <w:jc w:val="both"/>
        <w:rPr>
          <w:rFonts w:ascii="Arial" w:eastAsia="Times New Roman" w:hAnsi="Arial" w:cs="Arial"/>
          <w:b/>
          <w:sz w:val="24"/>
          <w:szCs w:val="24"/>
          <w:lang w:val="en-GB"/>
        </w:rPr>
      </w:pPr>
      <w:r w:rsidRPr="005B3426">
        <w:rPr>
          <w:rFonts w:ascii="Arial" w:eastAsia="Times New Roman" w:hAnsi="Arial" w:cs="Arial"/>
          <w:b/>
          <w:sz w:val="24"/>
          <w:szCs w:val="24"/>
          <w:lang w:val="en-GB"/>
        </w:rPr>
        <w:t>NOMUSA ZETHU QUNTA</w:t>
      </w:r>
      <w:r w:rsidR="00C35896">
        <w:rPr>
          <w:rFonts w:ascii="Arial" w:eastAsia="Times New Roman" w:hAnsi="Arial" w:cs="Arial"/>
          <w:b/>
          <w:sz w:val="24"/>
          <w:szCs w:val="24"/>
          <w:lang w:val="en-GB"/>
        </w:rPr>
        <w:t xml:space="preserve"> </w:t>
      </w:r>
    </w:p>
    <w:p w14:paraId="1DF310BF" w14:textId="78C02FFC" w:rsidR="00EB2ABB" w:rsidRPr="005B3426" w:rsidRDefault="00A87156" w:rsidP="00187EE3">
      <w:pPr>
        <w:tabs>
          <w:tab w:val="right" w:pos="9072"/>
        </w:tabs>
        <w:suppressAutoHyphen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(second applicant for leave to appeal)</w:t>
      </w:r>
      <w:r w:rsidR="005B3426" w:rsidRPr="005B3426">
        <w:rPr>
          <w:rFonts w:ascii="Arial" w:eastAsia="Times New Roman" w:hAnsi="Arial" w:cs="Arial"/>
          <w:b/>
          <w:sz w:val="24"/>
          <w:szCs w:val="24"/>
          <w:lang w:val="en-GB"/>
        </w:rPr>
        <w:tab/>
        <w:t xml:space="preserve"> 4</w:t>
      </w:r>
      <w:r w:rsidR="005B3426" w:rsidRPr="005B3426">
        <w:rPr>
          <w:rFonts w:ascii="Arial" w:eastAsia="Times New Roman" w:hAnsi="Arial" w:cs="Arial"/>
          <w:b/>
          <w:sz w:val="24"/>
          <w:szCs w:val="24"/>
          <w:vertAlign w:val="superscript"/>
          <w:lang w:val="en-GB"/>
        </w:rPr>
        <w:t>TH</w:t>
      </w:r>
      <w:r w:rsidR="005B3426" w:rsidRPr="005B3426">
        <w:rPr>
          <w:rFonts w:ascii="Arial" w:eastAsia="Times New Roman" w:hAnsi="Arial" w:cs="Arial"/>
          <w:b/>
          <w:sz w:val="24"/>
          <w:szCs w:val="24"/>
          <w:lang w:val="en-GB"/>
        </w:rPr>
        <w:t xml:space="preserve"> RESPONDENT</w:t>
      </w:r>
    </w:p>
    <w:p w14:paraId="119FA823" w14:textId="77777777" w:rsidR="005B3426" w:rsidRPr="005B3426" w:rsidRDefault="005B3426" w:rsidP="00187EE3">
      <w:pPr>
        <w:tabs>
          <w:tab w:val="right" w:pos="9072"/>
        </w:tabs>
        <w:suppressAutoHyphens/>
        <w:spacing w:after="0" w:line="360" w:lineRule="auto"/>
        <w:jc w:val="both"/>
        <w:rPr>
          <w:rFonts w:ascii="Arial" w:eastAsia="Times New Roman" w:hAnsi="Arial" w:cs="Arial"/>
          <w:b/>
          <w:sz w:val="24"/>
          <w:szCs w:val="24"/>
          <w:lang w:val="en-GB"/>
        </w:rPr>
      </w:pPr>
      <w:r w:rsidRPr="005B3426">
        <w:rPr>
          <w:rFonts w:ascii="Arial" w:eastAsia="Times New Roman" w:hAnsi="Arial" w:cs="Arial"/>
          <w:b/>
          <w:sz w:val="24"/>
          <w:szCs w:val="24"/>
          <w:lang w:val="en-GB"/>
        </w:rPr>
        <w:t>MABUTHO MIYA N.O</w:t>
      </w:r>
      <w:r w:rsidRPr="005B3426">
        <w:rPr>
          <w:rFonts w:ascii="Arial" w:eastAsia="Times New Roman" w:hAnsi="Arial" w:cs="Arial"/>
          <w:b/>
          <w:sz w:val="24"/>
          <w:szCs w:val="24"/>
          <w:lang w:val="en-GB"/>
        </w:rPr>
        <w:tab/>
        <w:t xml:space="preserve"> 5</w:t>
      </w:r>
      <w:r w:rsidRPr="005B3426">
        <w:rPr>
          <w:rFonts w:ascii="Arial" w:eastAsia="Times New Roman" w:hAnsi="Arial" w:cs="Arial"/>
          <w:b/>
          <w:sz w:val="24"/>
          <w:szCs w:val="24"/>
          <w:vertAlign w:val="superscript"/>
          <w:lang w:val="en-GB"/>
        </w:rPr>
        <w:t>TH</w:t>
      </w:r>
      <w:r w:rsidRPr="005B3426">
        <w:rPr>
          <w:rFonts w:ascii="Arial" w:eastAsia="Times New Roman" w:hAnsi="Arial" w:cs="Arial"/>
          <w:b/>
          <w:sz w:val="24"/>
          <w:szCs w:val="24"/>
          <w:lang w:val="en-GB"/>
        </w:rPr>
        <w:t xml:space="preserve"> RESPONDENT</w:t>
      </w:r>
    </w:p>
    <w:p w14:paraId="35020355" w14:textId="77777777" w:rsidR="005B3426" w:rsidRPr="005B3426" w:rsidRDefault="005B3426" w:rsidP="00187EE3">
      <w:pPr>
        <w:tabs>
          <w:tab w:val="right" w:pos="9072"/>
        </w:tabs>
        <w:suppressAutoHyphens/>
        <w:spacing w:after="0" w:line="360" w:lineRule="auto"/>
        <w:jc w:val="both"/>
        <w:rPr>
          <w:rFonts w:ascii="Arial" w:eastAsia="Times New Roman" w:hAnsi="Arial" w:cs="Arial"/>
          <w:b/>
          <w:sz w:val="24"/>
          <w:szCs w:val="24"/>
          <w:lang w:val="en-GB"/>
        </w:rPr>
      </w:pPr>
      <w:r w:rsidRPr="005B3426">
        <w:rPr>
          <w:rFonts w:ascii="Arial" w:eastAsia="Times New Roman" w:hAnsi="Arial" w:cs="Arial"/>
          <w:b/>
          <w:sz w:val="24"/>
          <w:szCs w:val="24"/>
          <w:lang w:val="en-GB"/>
        </w:rPr>
        <w:t>CYNTHIA THEMBA KHUMALO N.O</w:t>
      </w:r>
      <w:r w:rsidRPr="005B3426">
        <w:rPr>
          <w:rFonts w:ascii="Arial" w:eastAsia="Times New Roman" w:hAnsi="Arial" w:cs="Arial"/>
          <w:b/>
          <w:sz w:val="24"/>
          <w:szCs w:val="24"/>
          <w:lang w:val="en-GB"/>
        </w:rPr>
        <w:tab/>
        <w:t xml:space="preserve"> 6</w:t>
      </w:r>
      <w:r w:rsidRPr="005B3426">
        <w:rPr>
          <w:rFonts w:ascii="Arial" w:eastAsia="Times New Roman" w:hAnsi="Arial" w:cs="Arial"/>
          <w:b/>
          <w:sz w:val="24"/>
          <w:szCs w:val="24"/>
          <w:vertAlign w:val="superscript"/>
          <w:lang w:val="en-GB"/>
        </w:rPr>
        <w:t>TH</w:t>
      </w:r>
      <w:r w:rsidRPr="005B3426">
        <w:rPr>
          <w:rFonts w:ascii="Arial" w:eastAsia="Times New Roman" w:hAnsi="Arial" w:cs="Arial"/>
          <w:b/>
          <w:sz w:val="24"/>
          <w:szCs w:val="24"/>
          <w:lang w:val="en-GB"/>
        </w:rPr>
        <w:t xml:space="preserve"> RESPONDENT</w:t>
      </w:r>
    </w:p>
    <w:p w14:paraId="2946ABB2" w14:textId="77777777" w:rsidR="005B3426" w:rsidRPr="005B3426" w:rsidRDefault="005B3426" w:rsidP="00187EE3">
      <w:pPr>
        <w:tabs>
          <w:tab w:val="right" w:pos="9072"/>
        </w:tabs>
        <w:suppressAutoHyphens/>
        <w:spacing w:after="0" w:line="360" w:lineRule="auto"/>
        <w:jc w:val="both"/>
        <w:rPr>
          <w:rFonts w:ascii="Arial" w:eastAsia="Times New Roman" w:hAnsi="Arial" w:cs="Arial"/>
          <w:b/>
          <w:sz w:val="24"/>
          <w:szCs w:val="24"/>
          <w:lang w:val="en-GB"/>
        </w:rPr>
      </w:pPr>
      <w:r w:rsidRPr="005B3426">
        <w:rPr>
          <w:rFonts w:ascii="Arial" w:eastAsia="Times New Roman" w:hAnsi="Arial" w:cs="Arial"/>
          <w:b/>
          <w:sz w:val="24"/>
          <w:szCs w:val="24"/>
          <w:lang w:val="en-GB"/>
        </w:rPr>
        <w:t>THE MASTER OF THE KWAZULU-NATAL HIGH COURT</w:t>
      </w:r>
      <w:r w:rsidRPr="005B3426">
        <w:rPr>
          <w:rFonts w:ascii="Arial" w:eastAsia="Times New Roman" w:hAnsi="Arial" w:cs="Arial"/>
          <w:b/>
          <w:sz w:val="24"/>
          <w:szCs w:val="24"/>
          <w:lang w:val="en-GB"/>
        </w:rPr>
        <w:tab/>
        <w:t>7</w:t>
      </w:r>
      <w:r w:rsidRPr="005B3426">
        <w:rPr>
          <w:rFonts w:ascii="Arial" w:eastAsia="Times New Roman" w:hAnsi="Arial" w:cs="Arial"/>
          <w:b/>
          <w:sz w:val="24"/>
          <w:szCs w:val="24"/>
          <w:vertAlign w:val="superscript"/>
          <w:lang w:val="en-GB"/>
        </w:rPr>
        <w:t>TH</w:t>
      </w:r>
      <w:r w:rsidRPr="005B3426">
        <w:rPr>
          <w:rFonts w:ascii="Arial" w:eastAsia="Times New Roman" w:hAnsi="Arial" w:cs="Arial"/>
          <w:b/>
          <w:sz w:val="24"/>
          <w:szCs w:val="24"/>
          <w:lang w:val="en-GB"/>
        </w:rPr>
        <w:t xml:space="preserve"> RESPONDENT </w:t>
      </w:r>
    </w:p>
    <w:p w14:paraId="33A4F162" w14:textId="0D989A02" w:rsidR="00AF4B4E" w:rsidRDefault="005B3426" w:rsidP="00187EE3">
      <w:pPr>
        <w:tabs>
          <w:tab w:val="right" w:pos="9072"/>
        </w:tabs>
        <w:spacing w:after="0" w:line="360" w:lineRule="auto"/>
        <w:jc w:val="both"/>
        <w:rPr>
          <w:rFonts w:ascii="Arial" w:hAnsi="Arial" w:cs="Arial"/>
          <w:sz w:val="24"/>
          <w:szCs w:val="24"/>
          <w:lang w:val="en-GB"/>
        </w:rPr>
      </w:pPr>
      <w:r w:rsidRPr="005B3426">
        <w:rPr>
          <w:rFonts w:ascii="Arial" w:eastAsia="Times New Roman" w:hAnsi="Arial" w:cs="Arial"/>
          <w:b/>
          <w:sz w:val="24"/>
          <w:szCs w:val="24"/>
          <w:lang w:val="en-GB"/>
        </w:rPr>
        <w:t>PITERMARITZBURG</w:t>
      </w:r>
      <w:r w:rsidRPr="005B3426">
        <w:rPr>
          <w:rFonts w:ascii="Arial" w:eastAsia="Times New Roman" w:hAnsi="Arial" w:cs="Arial"/>
          <w:b/>
          <w:sz w:val="24"/>
          <w:szCs w:val="24"/>
          <w:lang w:val="en-GB"/>
        </w:rPr>
        <w:tab/>
      </w:r>
    </w:p>
    <w:p w14:paraId="548DFA3E" w14:textId="76BD134C" w:rsidR="006162CE" w:rsidRPr="006162CE" w:rsidRDefault="006162CE" w:rsidP="006162CE">
      <w:pPr>
        <w:pBdr>
          <w:bottom w:val="single" w:sz="6" w:space="1" w:color="auto"/>
        </w:pBdr>
        <w:spacing w:after="0" w:line="360" w:lineRule="auto"/>
        <w:jc w:val="both"/>
        <w:rPr>
          <w:rFonts w:ascii="Arial" w:hAnsi="Arial" w:cs="Arial"/>
          <w:sz w:val="24"/>
          <w:szCs w:val="24"/>
          <w:lang w:val="en-GB"/>
        </w:rPr>
      </w:pPr>
    </w:p>
    <w:p w14:paraId="65C5FC34" w14:textId="77777777" w:rsidR="006162CE" w:rsidRPr="006162CE" w:rsidRDefault="006162CE" w:rsidP="006162CE">
      <w:pPr>
        <w:spacing w:after="0" w:line="360" w:lineRule="auto"/>
        <w:jc w:val="both"/>
        <w:rPr>
          <w:rFonts w:ascii="Arial" w:hAnsi="Arial" w:cs="Arial"/>
          <w:sz w:val="24"/>
          <w:szCs w:val="24"/>
          <w:lang w:val="en-GB"/>
        </w:rPr>
      </w:pPr>
    </w:p>
    <w:p w14:paraId="7769555E" w14:textId="0108FAA6" w:rsidR="006162CE" w:rsidRDefault="006162CE" w:rsidP="006162CE">
      <w:pPr>
        <w:pBdr>
          <w:bottom w:val="single" w:sz="6" w:space="1" w:color="auto"/>
        </w:pBdr>
        <w:spacing w:after="0" w:line="360" w:lineRule="auto"/>
        <w:jc w:val="center"/>
        <w:rPr>
          <w:rFonts w:ascii="Arial" w:hAnsi="Arial" w:cs="Arial"/>
          <w:b/>
          <w:sz w:val="24"/>
          <w:szCs w:val="24"/>
          <w:lang w:val="en-GB"/>
        </w:rPr>
      </w:pPr>
      <w:r>
        <w:rPr>
          <w:rFonts w:ascii="Arial" w:hAnsi="Arial" w:cs="Arial"/>
          <w:b/>
          <w:sz w:val="24"/>
          <w:szCs w:val="24"/>
          <w:lang w:val="en-GB"/>
        </w:rPr>
        <w:t>ORDER</w:t>
      </w:r>
    </w:p>
    <w:p w14:paraId="1EFCE85E" w14:textId="77777777" w:rsidR="006162CE" w:rsidRPr="006162CE" w:rsidRDefault="006162CE" w:rsidP="006162CE">
      <w:pPr>
        <w:pBdr>
          <w:bottom w:val="single" w:sz="6" w:space="1" w:color="auto"/>
        </w:pBdr>
        <w:spacing w:after="0" w:line="360" w:lineRule="auto"/>
        <w:jc w:val="center"/>
        <w:rPr>
          <w:rFonts w:ascii="Arial" w:hAnsi="Arial" w:cs="Arial"/>
          <w:b/>
          <w:sz w:val="24"/>
          <w:szCs w:val="24"/>
          <w:lang w:val="en-GB"/>
        </w:rPr>
      </w:pPr>
    </w:p>
    <w:p w14:paraId="676B234E" w14:textId="77777777" w:rsidR="006162CE" w:rsidRPr="006162CE" w:rsidRDefault="006162CE" w:rsidP="006162CE">
      <w:pPr>
        <w:spacing w:after="0" w:line="360" w:lineRule="auto"/>
        <w:jc w:val="both"/>
        <w:rPr>
          <w:rFonts w:ascii="Arial" w:hAnsi="Arial" w:cs="Arial"/>
          <w:sz w:val="24"/>
          <w:szCs w:val="24"/>
          <w:lang w:val="en-GB"/>
        </w:rPr>
      </w:pPr>
    </w:p>
    <w:p w14:paraId="3D85EEBF" w14:textId="5B6531C5" w:rsidR="008D1A08" w:rsidRDefault="008D1A08" w:rsidP="006162CE">
      <w:pPr>
        <w:spacing w:after="0" w:line="360" w:lineRule="auto"/>
        <w:jc w:val="both"/>
        <w:rPr>
          <w:rFonts w:ascii="Arial" w:hAnsi="Arial" w:cs="Arial"/>
          <w:sz w:val="24"/>
          <w:szCs w:val="24"/>
          <w:lang w:val="en-GB"/>
        </w:rPr>
      </w:pPr>
      <w:r>
        <w:rPr>
          <w:rFonts w:ascii="Arial" w:hAnsi="Arial" w:cs="Arial"/>
          <w:sz w:val="24"/>
          <w:szCs w:val="24"/>
          <w:lang w:val="en-GB"/>
        </w:rPr>
        <w:t>The following order is granted:</w:t>
      </w:r>
    </w:p>
    <w:p w14:paraId="474E2FC7" w14:textId="65D4D884" w:rsidR="006162CE" w:rsidRDefault="00F44706" w:rsidP="006162CE">
      <w:pPr>
        <w:spacing w:after="0" w:line="360" w:lineRule="auto"/>
        <w:jc w:val="both"/>
        <w:rPr>
          <w:rFonts w:ascii="Arial" w:hAnsi="Arial" w:cs="Arial"/>
          <w:sz w:val="24"/>
          <w:szCs w:val="24"/>
          <w:lang w:val="en-GB"/>
        </w:rPr>
      </w:pPr>
      <w:r w:rsidRPr="006162CE">
        <w:rPr>
          <w:rFonts w:ascii="Arial" w:hAnsi="Arial" w:cs="Arial"/>
          <w:sz w:val="24"/>
          <w:szCs w:val="24"/>
          <w:lang w:val="en-GB"/>
        </w:rPr>
        <w:t>The</w:t>
      </w:r>
      <w:r w:rsidR="009A31AB">
        <w:rPr>
          <w:rFonts w:ascii="Arial" w:hAnsi="Arial" w:cs="Arial"/>
          <w:sz w:val="24"/>
          <w:szCs w:val="24"/>
          <w:lang w:val="en-GB"/>
        </w:rPr>
        <w:t xml:space="preserve"> third and fourth respondents’</w:t>
      </w:r>
      <w:r w:rsidRPr="006162CE">
        <w:rPr>
          <w:rFonts w:ascii="Arial" w:hAnsi="Arial" w:cs="Arial"/>
          <w:sz w:val="24"/>
          <w:szCs w:val="24"/>
          <w:lang w:val="en-GB"/>
        </w:rPr>
        <w:t xml:space="preserve"> application for leave to</w:t>
      </w:r>
      <w:r w:rsidR="00FE5C4C">
        <w:rPr>
          <w:rFonts w:ascii="Arial" w:hAnsi="Arial" w:cs="Arial"/>
          <w:sz w:val="24"/>
          <w:szCs w:val="24"/>
          <w:lang w:val="en-GB"/>
        </w:rPr>
        <w:t xml:space="preserve"> appeal is dismissed with costs on the attorney and client scale, such costs to be paid jointly and severally, the one paying the other to be absolved.</w:t>
      </w:r>
    </w:p>
    <w:p w14:paraId="59CD1DA2" w14:textId="77777777" w:rsidR="00AF4B4E" w:rsidRPr="006162CE" w:rsidRDefault="00AF4B4E" w:rsidP="006162CE">
      <w:pPr>
        <w:pBdr>
          <w:bottom w:val="single" w:sz="6" w:space="1" w:color="auto"/>
        </w:pBdr>
        <w:spacing w:after="0" w:line="360" w:lineRule="auto"/>
        <w:jc w:val="both"/>
        <w:rPr>
          <w:rFonts w:ascii="Arial" w:hAnsi="Arial" w:cs="Arial"/>
          <w:sz w:val="24"/>
          <w:szCs w:val="24"/>
          <w:lang w:val="en-GB"/>
        </w:rPr>
      </w:pPr>
    </w:p>
    <w:p w14:paraId="2CF6B24F" w14:textId="77777777" w:rsidR="00AF4B4E" w:rsidRPr="006162CE" w:rsidRDefault="00AF4B4E" w:rsidP="006162CE">
      <w:pPr>
        <w:spacing w:after="0" w:line="360" w:lineRule="auto"/>
        <w:jc w:val="both"/>
        <w:rPr>
          <w:rFonts w:ascii="Arial" w:hAnsi="Arial" w:cs="Arial"/>
          <w:sz w:val="24"/>
          <w:szCs w:val="24"/>
          <w:lang w:val="en-GB"/>
        </w:rPr>
      </w:pPr>
    </w:p>
    <w:p w14:paraId="0F234E1A" w14:textId="6D6AAFDD" w:rsidR="00AF4B4E" w:rsidRDefault="00AF4B4E" w:rsidP="006162CE">
      <w:pPr>
        <w:pBdr>
          <w:bottom w:val="single" w:sz="6" w:space="1" w:color="auto"/>
        </w:pBdr>
        <w:spacing w:after="0" w:line="360" w:lineRule="auto"/>
        <w:jc w:val="center"/>
        <w:rPr>
          <w:rFonts w:ascii="Arial" w:hAnsi="Arial" w:cs="Arial"/>
          <w:b/>
          <w:sz w:val="24"/>
          <w:szCs w:val="24"/>
          <w:lang w:val="en-GB"/>
        </w:rPr>
      </w:pPr>
      <w:r w:rsidRPr="006162CE">
        <w:rPr>
          <w:rFonts w:ascii="Arial" w:hAnsi="Arial" w:cs="Arial"/>
          <w:b/>
          <w:sz w:val="24"/>
          <w:szCs w:val="24"/>
          <w:lang w:val="en-GB"/>
        </w:rPr>
        <w:t>JUDGMENT</w:t>
      </w:r>
    </w:p>
    <w:p w14:paraId="30E9A38D" w14:textId="77777777" w:rsidR="006162CE" w:rsidRPr="006162CE" w:rsidRDefault="006162CE" w:rsidP="006162CE">
      <w:pPr>
        <w:pBdr>
          <w:bottom w:val="single" w:sz="6" w:space="1" w:color="auto"/>
        </w:pBdr>
        <w:spacing w:after="0" w:line="360" w:lineRule="auto"/>
        <w:jc w:val="center"/>
        <w:rPr>
          <w:rFonts w:ascii="Arial" w:hAnsi="Arial" w:cs="Arial"/>
          <w:b/>
          <w:sz w:val="24"/>
          <w:szCs w:val="24"/>
          <w:lang w:val="en-GB"/>
        </w:rPr>
      </w:pPr>
    </w:p>
    <w:p w14:paraId="58780746" w14:textId="77777777" w:rsidR="00AF4B4E" w:rsidRPr="006162CE" w:rsidRDefault="00AF4B4E" w:rsidP="006162CE">
      <w:pPr>
        <w:spacing w:after="0" w:line="360" w:lineRule="auto"/>
        <w:jc w:val="both"/>
        <w:rPr>
          <w:rFonts w:ascii="Arial" w:hAnsi="Arial" w:cs="Arial"/>
          <w:sz w:val="24"/>
          <w:szCs w:val="24"/>
          <w:lang w:val="en-GB"/>
        </w:rPr>
      </w:pPr>
    </w:p>
    <w:p w14:paraId="34DBCEA3" w14:textId="61227B02" w:rsidR="00AF4B4E" w:rsidRPr="006162CE" w:rsidRDefault="00AE724A" w:rsidP="006162CE">
      <w:pPr>
        <w:spacing w:after="0" w:line="360" w:lineRule="auto"/>
        <w:jc w:val="both"/>
        <w:rPr>
          <w:rFonts w:ascii="Arial" w:hAnsi="Arial" w:cs="Arial"/>
          <w:b/>
          <w:sz w:val="24"/>
          <w:szCs w:val="24"/>
          <w:lang w:val="en-GB"/>
        </w:rPr>
      </w:pPr>
      <w:r>
        <w:rPr>
          <w:rFonts w:ascii="Arial" w:hAnsi="Arial" w:cs="Arial"/>
          <w:b/>
          <w:sz w:val="24"/>
          <w:szCs w:val="24"/>
          <w:lang w:val="en-GB"/>
        </w:rPr>
        <w:t xml:space="preserve">E </w:t>
      </w:r>
      <w:r w:rsidR="00AF4B4E" w:rsidRPr="006162CE">
        <w:rPr>
          <w:rFonts w:ascii="Arial" w:hAnsi="Arial" w:cs="Arial"/>
          <w:b/>
          <w:sz w:val="24"/>
          <w:szCs w:val="24"/>
          <w:lang w:val="en-GB"/>
        </w:rPr>
        <w:t>B</w:t>
      </w:r>
      <w:r w:rsidR="00AC7814" w:rsidRPr="006162CE">
        <w:rPr>
          <w:rFonts w:ascii="Arial" w:hAnsi="Arial" w:cs="Arial"/>
          <w:b/>
          <w:sz w:val="24"/>
          <w:szCs w:val="24"/>
          <w:lang w:val="en-GB"/>
        </w:rPr>
        <w:t>ezuidenhout</w:t>
      </w:r>
      <w:r>
        <w:rPr>
          <w:rFonts w:ascii="Arial" w:hAnsi="Arial" w:cs="Arial"/>
          <w:b/>
          <w:sz w:val="24"/>
          <w:szCs w:val="24"/>
          <w:lang w:val="en-GB"/>
        </w:rPr>
        <w:t xml:space="preserve"> </w:t>
      </w:r>
      <w:r w:rsidR="00AF4B4E" w:rsidRPr="006162CE">
        <w:rPr>
          <w:rFonts w:ascii="Arial" w:hAnsi="Arial" w:cs="Arial"/>
          <w:b/>
          <w:sz w:val="24"/>
          <w:szCs w:val="24"/>
          <w:lang w:val="en-GB"/>
        </w:rPr>
        <w:t>J</w:t>
      </w:r>
    </w:p>
    <w:p w14:paraId="50DD7A23" w14:textId="77777777" w:rsidR="00340033" w:rsidRDefault="00340033" w:rsidP="00212A17">
      <w:pPr>
        <w:spacing w:after="0" w:line="360" w:lineRule="auto"/>
        <w:contextualSpacing/>
        <w:jc w:val="both"/>
        <w:rPr>
          <w:rFonts w:ascii="Arial" w:hAnsi="Arial" w:cs="Arial"/>
          <w:sz w:val="24"/>
          <w:szCs w:val="24"/>
          <w:lang w:val="en-GB"/>
        </w:rPr>
      </w:pPr>
    </w:p>
    <w:p w14:paraId="6F93181B" w14:textId="0B48F225" w:rsidR="00AF4B4E" w:rsidRPr="00212A17" w:rsidRDefault="00AF4B4E" w:rsidP="00212A17">
      <w:pPr>
        <w:spacing w:after="0" w:line="360" w:lineRule="auto"/>
        <w:contextualSpacing/>
        <w:jc w:val="both"/>
        <w:rPr>
          <w:rFonts w:ascii="Arial" w:hAnsi="Arial" w:cs="Arial"/>
          <w:sz w:val="24"/>
          <w:szCs w:val="24"/>
          <w:lang w:val="en-GB"/>
        </w:rPr>
      </w:pPr>
      <w:r w:rsidRPr="00212A17">
        <w:rPr>
          <w:rFonts w:ascii="Arial" w:hAnsi="Arial" w:cs="Arial"/>
          <w:sz w:val="24"/>
          <w:szCs w:val="24"/>
          <w:lang w:val="en-GB"/>
        </w:rPr>
        <w:t>[1]</w:t>
      </w:r>
      <w:r w:rsidRPr="00212A17">
        <w:rPr>
          <w:rFonts w:ascii="Arial" w:hAnsi="Arial" w:cs="Arial"/>
          <w:sz w:val="24"/>
          <w:szCs w:val="24"/>
          <w:lang w:val="en-GB"/>
        </w:rPr>
        <w:tab/>
      </w:r>
      <w:r w:rsidR="009A31AB" w:rsidRPr="00212A17">
        <w:rPr>
          <w:rFonts w:ascii="Arial" w:hAnsi="Arial" w:cs="Arial"/>
          <w:sz w:val="24"/>
          <w:szCs w:val="24"/>
          <w:lang w:val="en-GB"/>
        </w:rPr>
        <w:t>The third and fourth respondents</w:t>
      </w:r>
      <w:r w:rsidR="00DE534D" w:rsidRPr="00212A17">
        <w:rPr>
          <w:rFonts w:ascii="Arial" w:hAnsi="Arial" w:cs="Arial"/>
          <w:sz w:val="24"/>
          <w:szCs w:val="24"/>
          <w:lang w:val="en-GB"/>
        </w:rPr>
        <w:t xml:space="preserve"> (the respondents)</w:t>
      </w:r>
      <w:r w:rsidR="009A31AB" w:rsidRPr="00212A17">
        <w:rPr>
          <w:rFonts w:ascii="Arial" w:hAnsi="Arial" w:cs="Arial"/>
          <w:sz w:val="24"/>
          <w:szCs w:val="24"/>
          <w:lang w:val="en-GB"/>
        </w:rPr>
        <w:t xml:space="preserve"> </w:t>
      </w:r>
      <w:r w:rsidRPr="00212A17">
        <w:rPr>
          <w:rFonts w:ascii="Arial" w:hAnsi="Arial" w:cs="Arial"/>
          <w:sz w:val="24"/>
          <w:szCs w:val="24"/>
          <w:lang w:val="en-GB"/>
        </w:rPr>
        <w:t>applied for leave to appeal against my judg</w:t>
      </w:r>
      <w:r w:rsidR="009A31AB" w:rsidRPr="00212A17">
        <w:rPr>
          <w:rFonts w:ascii="Arial" w:hAnsi="Arial" w:cs="Arial"/>
          <w:sz w:val="24"/>
          <w:szCs w:val="24"/>
          <w:lang w:val="en-GB"/>
        </w:rPr>
        <w:t>ment delivered on 13 October 2023. The applicant, Mr B J Vorster N.O.</w:t>
      </w:r>
      <w:r w:rsidR="00DB03DF">
        <w:rPr>
          <w:rFonts w:ascii="Arial" w:hAnsi="Arial" w:cs="Arial"/>
          <w:sz w:val="24"/>
          <w:szCs w:val="24"/>
          <w:lang w:val="en-GB"/>
        </w:rPr>
        <w:t>,</w:t>
      </w:r>
      <w:r w:rsidR="009A31AB" w:rsidRPr="00212A17">
        <w:rPr>
          <w:rFonts w:ascii="Arial" w:hAnsi="Arial" w:cs="Arial"/>
          <w:sz w:val="24"/>
          <w:szCs w:val="24"/>
          <w:lang w:val="en-GB"/>
        </w:rPr>
        <w:t xml:space="preserve"> opposed the application. Due to me </w:t>
      </w:r>
      <w:r w:rsidR="001C1519">
        <w:rPr>
          <w:rFonts w:ascii="Arial" w:hAnsi="Arial" w:cs="Arial"/>
          <w:sz w:val="24"/>
          <w:szCs w:val="24"/>
          <w:lang w:val="en-GB"/>
        </w:rPr>
        <w:t>having been</w:t>
      </w:r>
      <w:r w:rsidR="009A31AB" w:rsidRPr="00212A17">
        <w:rPr>
          <w:rFonts w:ascii="Arial" w:hAnsi="Arial" w:cs="Arial"/>
          <w:sz w:val="24"/>
          <w:szCs w:val="24"/>
          <w:lang w:val="en-GB"/>
        </w:rPr>
        <w:t xml:space="preserve"> o</w:t>
      </w:r>
      <w:r w:rsidR="00AE724A" w:rsidRPr="00212A17">
        <w:rPr>
          <w:rFonts w:ascii="Arial" w:hAnsi="Arial" w:cs="Arial"/>
          <w:sz w:val="24"/>
          <w:szCs w:val="24"/>
          <w:lang w:val="en-GB"/>
        </w:rPr>
        <w:t xml:space="preserve">n circuit during November 2023 </w:t>
      </w:r>
      <w:r w:rsidR="009A31AB" w:rsidRPr="00212A17">
        <w:rPr>
          <w:rFonts w:ascii="Arial" w:hAnsi="Arial" w:cs="Arial"/>
          <w:sz w:val="24"/>
          <w:szCs w:val="24"/>
          <w:lang w:val="en-GB"/>
        </w:rPr>
        <w:t>and counsels’ unavailability during the D</w:t>
      </w:r>
      <w:r w:rsidR="00AE724A" w:rsidRPr="00212A17">
        <w:rPr>
          <w:rFonts w:ascii="Arial" w:hAnsi="Arial" w:cs="Arial"/>
          <w:sz w:val="24"/>
          <w:szCs w:val="24"/>
          <w:lang w:val="en-GB"/>
        </w:rPr>
        <w:t>ecember 2023 and</w:t>
      </w:r>
      <w:r w:rsidR="009A31AB" w:rsidRPr="00212A17">
        <w:rPr>
          <w:rFonts w:ascii="Arial" w:hAnsi="Arial" w:cs="Arial"/>
          <w:sz w:val="24"/>
          <w:szCs w:val="24"/>
          <w:lang w:val="en-GB"/>
        </w:rPr>
        <w:t xml:space="preserve"> January 2024 recess, the application was only heard on 26 January 2024.</w:t>
      </w:r>
    </w:p>
    <w:p w14:paraId="7910BC4A" w14:textId="77777777" w:rsidR="00AF4B4E" w:rsidRPr="00212A17" w:rsidRDefault="00AF4B4E" w:rsidP="00212A17">
      <w:pPr>
        <w:spacing w:after="0" w:line="360" w:lineRule="auto"/>
        <w:contextualSpacing/>
        <w:jc w:val="both"/>
        <w:rPr>
          <w:rFonts w:ascii="Arial" w:hAnsi="Arial" w:cs="Arial"/>
          <w:sz w:val="24"/>
          <w:szCs w:val="24"/>
          <w:lang w:val="en-GB"/>
        </w:rPr>
      </w:pPr>
    </w:p>
    <w:p w14:paraId="12146616" w14:textId="41905EC6" w:rsidR="00AF4B4E" w:rsidRPr="00212A17" w:rsidRDefault="00AF4B4E" w:rsidP="00212A17">
      <w:pPr>
        <w:spacing w:after="0" w:line="360" w:lineRule="auto"/>
        <w:contextualSpacing/>
        <w:jc w:val="both"/>
        <w:rPr>
          <w:rFonts w:ascii="Arial" w:hAnsi="Arial" w:cs="Arial"/>
          <w:sz w:val="24"/>
          <w:szCs w:val="24"/>
          <w:lang w:val="en-GB"/>
        </w:rPr>
      </w:pPr>
      <w:r w:rsidRPr="00212A17">
        <w:rPr>
          <w:rFonts w:ascii="Arial" w:hAnsi="Arial" w:cs="Arial"/>
          <w:sz w:val="24"/>
          <w:szCs w:val="24"/>
          <w:lang w:val="en-GB"/>
        </w:rPr>
        <w:t>[2]</w:t>
      </w:r>
      <w:r w:rsidRPr="00212A17">
        <w:rPr>
          <w:rFonts w:ascii="Arial" w:hAnsi="Arial" w:cs="Arial"/>
          <w:sz w:val="24"/>
          <w:szCs w:val="24"/>
          <w:lang w:val="en-GB"/>
        </w:rPr>
        <w:tab/>
        <w:t xml:space="preserve">The facts of </w:t>
      </w:r>
      <w:r w:rsidR="00757A98" w:rsidRPr="00212A17">
        <w:rPr>
          <w:rFonts w:ascii="Arial" w:hAnsi="Arial" w:cs="Arial"/>
          <w:sz w:val="24"/>
          <w:szCs w:val="24"/>
          <w:lang w:val="en-GB"/>
        </w:rPr>
        <w:t>the matter are set out in detail</w:t>
      </w:r>
      <w:r w:rsidRPr="00212A17">
        <w:rPr>
          <w:rFonts w:ascii="Arial" w:hAnsi="Arial" w:cs="Arial"/>
          <w:sz w:val="24"/>
          <w:szCs w:val="24"/>
          <w:lang w:val="en-GB"/>
        </w:rPr>
        <w:t xml:space="preserve"> in my judgment and will not be repeated, suffice to </w:t>
      </w:r>
      <w:r w:rsidR="004B2D88" w:rsidRPr="00212A17">
        <w:rPr>
          <w:rFonts w:ascii="Arial" w:hAnsi="Arial" w:cs="Arial"/>
          <w:sz w:val="24"/>
          <w:szCs w:val="24"/>
          <w:lang w:val="en-GB"/>
        </w:rPr>
        <w:t xml:space="preserve">say that the applicant sought </w:t>
      </w:r>
      <w:r w:rsidR="00C67F21">
        <w:rPr>
          <w:rFonts w:ascii="Arial" w:hAnsi="Arial" w:cs="Arial"/>
          <w:sz w:val="24"/>
          <w:szCs w:val="24"/>
          <w:lang w:val="en-GB"/>
        </w:rPr>
        <w:t xml:space="preserve">an </w:t>
      </w:r>
      <w:r w:rsidRPr="00212A17">
        <w:rPr>
          <w:rFonts w:ascii="Arial" w:hAnsi="Arial" w:cs="Arial"/>
          <w:sz w:val="24"/>
          <w:szCs w:val="24"/>
          <w:lang w:val="en-GB"/>
        </w:rPr>
        <w:t>order</w:t>
      </w:r>
      <w:r w:rsidR="004B2D88" w:rsidRPr="00212A17">
        <w:rPr>
          <w:rFonts w:ascii="Arial" w:hAnsi="Arial" w:cs="Arial"/>
          <w:sz w:val="24"/>
          <w:szCs w:val="24"/>
          <w:lang w:val="en-GB"/>
        </w:rPr>
        <w:t xml:space="preserve"> relating to the suspension of the first to fourth respondents as trustees of the Ubunje</w:t>
      </w:r>
      <w:r w:rsidR="00273F64" w:rsidRPr="00212A17">
        <w:rPr>
          <w:rFonts w:ascii="Arial" w:hAnsi="Arial" w:cs="Arial"/>
          <w:sz w:val="24"/>
          <w:szCs w:val="24"/>
          <w:lang w:val="en-GB"/>
        </w:rPr>
        <w:t xml:space="preserve"> Be-Afrika Development Trust (the </w:t>
      </w:r>
      <w:r w:rsidR="004B2D88" w:rsidRPr="00212A17">
        <w:rPr>
          <w:rFonts w:ascii="Arial" w:hAnsi="Arial" w:cs="Arial"/>
          <w:sz w:val="24"/>
          <w:szCs w:val="24"/>
          <w:lang w:val="en-GB"/>
        </w:rPr>
        <w:t>trust</w:t>
      </w:r>
      <w:r w:rsidR="00273F64" w:rsidRPr="00212A17">
        <w:rPr>
          <w:rFonts w:ascii="Arial" w:hAnsi="Arial" w:cs="Arial"/>
          <w:sz w:val="24"/>
          <w:szCs w:val="24"/>
          <w:lang w:val="en-GB"/>
        </w:rPr>
        <w:t>)</w:t>
      </w:r>
      <w:r w:rsidR="004B2D88" w:rsidRPr="00212A17">
        <w:rPr>
          <w:rFonts w:ascii="Arial" w:hAnsi="Arial" w:cs="Arial"/>
          <w:sz w:val="24"/>
          <w:szCs w:val="24"/>
          <w:lang w:val="en-GB"/>
        </w:rPr>
        <w:t xml:space="preserve">, which order </w:t>
      </w:r>
      <w:r w:rsidR="00C67F21">
        <w:rPr>
          <w:rFonts w:ascii="Arial" w:hAnsi="Arial" w:cs="Arial"/>
          <w:sz w:val="24"/>
          <w:szCs w:val="24"/>
          <w:lang w:val="en-GB"/>
        </w:rPr>
        <w:t>was</w:t>
      </w:r>
      <w:r w:rsidR="00C67F21" w:rsidRPr="00212A17">
        <w:rPr>
          <w:rFonts w:ascii="Arial" w:hAnsi="Arial" w:cs="Arial"/>
          <w:sz w:val="24"/>
          <w:szCs w:val="24"/>
          <w:lang w:val="en-GB"/>
        </w:rPr>
        <w:t xml:space="preserve"> </w:t>
      </w:r>
      <w:r w:rsidR="004B2D88" w:rsidRPr="00212A17">
        <w:rPr>
          <w:rFonts w:ascii="Arial" w:hAnsi="Arial" w:cs="Arial"/>
          <w:sz w:val="24"/>
          <w:szCs w:val="24"/>
          <w:lang w:val="en-GB"/>
        </w:rPr>
        <w:t>granted.</w:t>
      </w:r>
    </w:p>
    <w:p w14:paraId="2B6B02A5" w14:textId="2F41AB4F" w:rsidR="00961C4D" w:rsidRPr="00212A17" w:rsidRDefault="00961C4D" w:rsidP="00212A17">
      <w:pPr>
        <w:spacing w:after="0" w:line="360" w:lineRule="auto"/>
        <w:contextualSpacing/>
        <w:jc w:val="both"/>
        <w:rPr>
          <w:rFonts w:ascii="Arial" w:hAnsi="Arial" w:cs="Arial"/>
          <w:sz w:val="24"/>
          <w:szCs w:val="24"/>
          <w:lang w:val="en-GB"/>
        </w:rPr>
      </w:pPr>
    </w:p>
    <w:p w14:paraId="43514D08" w14:textId="3F64FCF9" w:rsidR="00961C4D" w:rsidRPr="00212A17" w:rsidRDefault="00961C4D" w:rsidP="00212A17">
      <w:pPr>
        <w:spacing w:after="0" w:line="360" w:lineRule="auto"/>
        <w:contextualSpacing/>
        <w:jc w:val="both"/>
        <w:rPr>
          <w:rFonts w:ascii="Arial" w:hAnsi="Arial" w:cs="Arial"/>
          <w:sz w:val="24"/>
          <w:szCs w:val="24"/>
          <w:lang w:val="en-GB"/>
        </w:rPr>
      </w:pPr>
      <w:r w:rsidRPr="00212A17">
        <w:rPr>
          <w:rFonts w:ascii="Arial" w:hAnsi="Arial" w:cs="Arial"/>
          <w:sz w:val="24"/>
          <w:szCs w:val="24"/>
          <w:lang w:val="en-GB"/>
        </w:rPr>
        <w:t>[3]</w:t>
      </w:r>
      <w:r w:rsidRPr="00212A17">
        <w:rPr>
          <w:rFonts w:ascii="Arial" w:hAnsi="Arial" w:cs="Arial"/>
          <w:sz w:val="24"/>
          <w:szCs w:val="24"/>
          <w:lang w:val="en-GB"/>
        </w:rPr>
        <w:tab/>
        <w:t xml:space="preserve">The grounds of </w:t>
      </w:r>
      <w:r w:rsidR="004B2D88" w:rsidRPr="00212A17">
        <w:rPr>
          <w:rFonts w:ascii="Arial" w:hAnsi="Arial" w:cs="Arial"/>
          <w:sz w:val="24"/>
          <w:szCs w:val="24"/>
          <w:lang w:val="en-GB"/>
        </w:rPr>
        <w:t xml:space="preserve">appeal </w:t>
      </w:r>
      <w:r w:rsidR="00757A98" w:rsidRPr="00212A17">
        <w:rPr>
          <w:rFonts w:ascii="Arial" w:hAnsi="Arial" w:cs="Arial"/>
          <w:sz w:val="24"/>
          <w:szCs w:val="24"/>
          <w:lang w:val="en-GB"/>
        </w:rPr>
        <w:t>are</w:t>
      </w:r>
      <w:r w:rsidRPr="00212A17">
        <w:rPr>
          <w:rFonts w:ascii="Arial" w:hAnsi="Arial" w:cs="Arial"/>
          <w:sz w:val="24"/>
          <w:szCs w:val="24"/>
          <w:lang w:val="en-GB"/>
        </w:rPr>
        <w:t xml:space="preserve"> set out in</w:t>
      </w:r>
      <w:r w:rsidR="004B2D88" w:rsidRPr="00212A17">
        <w:rPr>
          <w:rFonts w:ascii="Arial" w:hAnsi="Arial" w:cs="Arial"/>
          <w:sz w:val="24"/>
          <w:szCs w:val="24"/>
          <w:lang w:val="en-GB"/>
        </w:rPr>
        <w:t xml:space="preserve"> detail in</w:t>
      </w:r>
      <w:r w:rsidRPr="00212A17">
        <w:rPr>
          <w:rFonts w:ascii="Arial" w:hAnsi="Arial" w:cs="Arial"/>
          <w:sz w:val="24"/>
          <w:szCs w:val="24"/>
          <w:lang w:val="en-GB"/>
        </w:rPr>
        <w:t xml:space="preserve"> </w:t>
      </w:r>
      <w:r w:rsidR="004B2D88" w:rsidRPr="00212A17">
        <w:rPr>
          <w:rFonts w:ascii="Arial" w:hAnsi="Arial" w:cs="Arial"/>
          <w:sz w:val="24"/>
          <w:szCs w:val="24"/>
          <w:lang w:val="en-GB"/>
        </w:rPr>
        <w:t>the notice of appeal and can be summarised as follows</w:t>
      </w:r>
      <w:r w:rsidR="0011399D" w:rsidRPr="00212A17">
        <w:rPr>
          <w:rFonts w:ascii="Arial" w:hAnsi="Arial" w:cs="Arial"/>
          <w:sz w:val="24"/>
          <w:szCs w:val="24"/>
          <w:lang w:val="en-GB"/>
        </w:rPr>
        <w:t>:</w:t>
      </w:r>
    </w:p>
    <w:p w14:paraId="61150788" w14:textId="3DCDA162" w:rsidR="009C7438" w:rsidRPr="00212A17" w:rsidRDefault="00BD419B" w:rsidP="00BD419B">
      <w:pPr>
        <w:widowControl w:val="0"/>
        <w:tabs>
          <w:tab w:val="left" w:pos="-1440"/>
          <w:tab w:val="left" w:pos="0"/>
        </w:tabs>
        <w:autoSpaceDE w:val="0"/>
        <w:autoSpaceDN w:val="0"/>
        <w:adjustRightInd w:val="0"/>
        <w:spacing w:after="0" w:line="360" w:lineRule="auto"/>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1.</w:t>
      </w:r>
      <w:r w:rsidRPr="00212A17">
        <w:rPr>
          <w:rFonts w:ascii="Arial" w:eastAsia="Times New Roman" w:hAnsi="Arial" w:cs="Arial"/>
          <w:sz w:val="24"/>
          <w:szCs w:val="24"/>
          <w:lang w:val="en-GB" w:eastAsia="en-ZA"/>
        </w:rPr>
        <w:tab/>
      </w:r>
      <w:r w:rsidR="0011399D" w:rsidRPr="00212A17">
        <w:rPr>
          <w:rFonts w:ascii="Arial" w:eastAsia="Times New Roman" w:hAnsi="Arial" w:cs="Arial"/>
          <w:sz w:val="24"/>
          <w:szCs w:val="24"/>
          <w:lang w:val="en-GB" w:eastAsia="en-ZA"/>
        </w:rPr>
        <w:t xml:space="preserve">It was stated that the applicant </w:t>
      </w:r>
      <w:r w:rsidR="009C7438" w:rsidRPr="00212A17">
        <w:rPr>
          <w:rFonts w:ascii="Arial" w:eastAsia="Times New Roman" w:hAnsi="Arial" w:cs="Arial"/>
          <w:sz w:val="24"/>
          <w:szCs w:val="24"/>
          <w:lang w:val="en-GB" w:eastAsia="en-ZA"/>
        </w:rPr>
        <w:t>sought final relief against the first to fourth respondents on papers which contained a number of material disputes of fact.</w:t>
      </w:r>
      <w:r w:rsidR="00C35896" w:rsidRPr="00212A17">
        <w:rPr>
          <w:rFonts w:ascii="Arial" w:eastAsia="Times New Roman" w:hAnsi="Arial" w:cs="Arial"/>
          <w:sz w:val="24"/>
          <w:szCs w:val="24"/>
          <w:lang w:val="en-GB" w:eastAsia="en-ZA"/>
        </w:rPr>
        <w:t xml:space="preserve"> </w:t>
      </w:r>
      <w:r w:rsidR="009C7438" w:rsidRPr="00212A17">
        <w:rPr>
          <w:rFonts w:ascii="Arial" w:eastAsia="Times New Roman" w:hAnsi="Arial" w:cs="Arial"/>
          <w:sz w:val="24"/>
          <w:szCs w:val="24"/>
          <w:lang w:val="en-GB" w:eastAsia="en-ZA"/>
        </w:rPr>
        <w:t xml:space="preserve">Such disputes of fact included: </w:t>
      </w:r>
    </w:p>
    <w:p w14:paraId="61E51F06" w14:textId="62E9C8EA" w:rsidR="009C7438" w:rsidRPr="00212A17" w:rsidRDefault="00BD419B" w:rsidP="00BD419B">
      <w:pPr>
        <w:widowControl w:val="0"/>
        <w:tabs>
          <w:tab w:val="left" w:pos="-1440"/>
          <w:tab w:val="left" w:pos="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1.1</w:t>
      </w:r>
      <w:r w:rsidRPr="00212A17">
        <w:rPr>
          <w:rFonts w:ascii="Arial" w:eastAsia="Times New Roman" w:hAnsi="Arial" w:cs="Arial"/>
          <w:sz w:val="24"/>
          <w:szCs w:val="24"/>
          <w:lang w:val="en-GB" w:eastAsia="en-ZA"/>
        </w:rPr>
        <w:tab/>
      </w:r>
      <w:r w:rsidR="009C7438" w:rsidRPr="00212A17">
        <w:rPr>
          <w:rFonts w:ascii="Arial" w:eastAsia="Times New Roman" w:hAnsi="Arial" w:cs="Arial"/>
          <w:sz w:val="24"/>
          <w:szCs w:val="24"/>
          <w:lang w:val="en-GB" w:eastAsia="en-ZA"/>
        </w:rPr>
        <w:t xml:space="preserve">The nature of the payment of </w:t>
      </w:r>
      <w:r w:rsidR="00EA5D19">
        <w:rPr>
          <w:rFonts w:ascii="Arial" w:eastAsia="Times New Roman" w:hAnsi="Arial" w:cs="Arial"/>
          <w:sz w:val="24"/>
          <w:szCs w:val="24"/>
          <w:lang w:val="en-GB" w:eastAsia="en-ZA"/>
        </w:rPr>
        <w:t xml:space="preserve">the </w:t>
      </w:r>
      <w:r w:rsidR="009C7438" w:rsidRPr="00212A17">
        <w:rPr>
          <w:rFonts w:ascii="Arial" w:eastAsia="Times New Roman" w:hAnsi="Arial" w:cs="Arial"/>
          <w:sz w:val="24"/>
          <w:szCs w:val="24"/>
          <w:lang w:val="en-GB" w:eastAsia="en-ZA"/>
        </w:rPr>
        <w:t>R10 million made by</w:t>
      </w:r>
      <w:r w:rsidR="00273F64" w:rsidRPr="00212A17">
        <w:rPr>
          <w:rFonts w:ascii="Arial" w:eastAsia="Times New Roman" w:hAnsi="Arial" w:cs="Arial"/>
          <w:sz w:val="24"/>
          <w:szCs w:val="24"/>
          <w:lang w:val="en-GB" w:eastAsia="en-ZA"/>
        </w:rPr>
        <w:t xml:space="preserve"> the Peaker’s Trust to the trust</w:t>
      </w:r>
      <w:r w:rsidR="009C7438" w:rsidRPr="00212A17">
        <w:rPr>
          <w:rFonts w:ascii="Arial" w:eastAsia="Times New Roman" w:hAnsi="Arial" w:cs="Arial"/>
          <w:sz w:val="24"/>
          <w:szCs w:val="24"/>
          <w:lang w:val="en-GB" w:eastAsia="en-ZA"/>
        </w:rPr>
        <w:t>.</w:t>
      </w:r>
    </w:p>
    <w:p w14:paraId="2434305D" w14:textId="682B5F09" w:rsidR="009C7438" w:rsidRPr="00212A17" w:rsidRDefault="00BD419B" w:rsidP="00BD419B">
      <w:pPr>
        <w:widowControl w:val="0"/>
        <w:tabs>
          <w:tab w:val="left" w:pos="-1440"/>
          <w:tab w:val="left" w:pos="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1.2</w:t>
      </w:r>
      <w:r w:rsidRPr="00212A17">
        <w:rPr>
          <w:rFonts w:ascii="Arial" w:eastAsia="Times New Roman" w:hAnsi="Arial" w:cs="Arial"/>
          <w:sz w:val="24"/>
          <w:szCs w:val="24"/>
          <w:lang w:val="en-GB" w:eastAsia="en-ZA"/>
        </w:rPr>
        <w:tab/>
      </w:r>
      <w:r w:rsidR="009C7438" w:rsidRPr="00212A17">
        <w:rPr>
          <w:rFonts w:ascii="Arial" w:eastAsia="Times New Roman" w:hAnsi="Arial" w:cs="Arial"/>
          <w:sz w:val="24"/>
          <w:szCs w:val="24"/>
          <w:lang w:val="en-GB" w:eastAsia="en-ZA"/>
        </w:rPr>
        <w:t xml:space="preserve">Which trustees made the decision to disburse the funds received from the Peakers Trust. </w:t>
      </w:r>
    </w:p>
    <w:p w14:paraId="1C2D8CC4" w14:textId="611E72EA" w:rsidR="008D123A" w:rsidRDefault="00BD419B" w:rsidP="00BD419B">
      <w:pPr>
        <w:widowControl w:val="0"/>
        <w:tabs>
          <w:tab w:val="left" w:pos="-1440"/>
          <w:tab w:val="left" w:pos="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1.3</w:t>
      </w:r>
      <w:r>
        <w:rPr>
          <w:rFonts w:ascii="Arial" w:eastAsia="Times New Roman" w:hAnsi="Arial" w:cs="Arial"/>
          <w:sz w:val="24"/>
          <w:szCs w:val="24"/>
          <w:lang w:val="en-GB" w:eastAsia="en-ZA"/>
        </w:rPr>
        <w:tab/>
      </w:r>
      <w:r w:rsidR="009C7438" w:rsidRPr="008D123A">
        <w:rPr>
          <w:rFonts w:ascii="Arial" w:eastAsia="Times New Roman" w:hAnsi="Arial" w:cs="Arial"/>
          <w:sz w:val="24"/>
          <w:szCs w:val="24"/>
          <w:lang w:val="en-GB" w:eastAsia="en-ZA"/>
        </w:rPr>
        <w:t>When the decision was made and the written resolutions</w:t>
      </w:r>
      <w:r w:rsidR="008D123A">
        <w:rPr>
          <w:rFonts w:ascii="Arial" w:eastAsia="Times New Roman" w:hAnsi="Arial" w:cs="Arial"/>
          <w:sz w:val="24"/>
          <w:szCs w:val="24"/>
          <w:lang w:val="en-GB" w:eastAsia="en-ZA"/>
        </w:rPr>
        <w:t xml:space="preserve"> and/or minutes of the decision. </w:t>
      </w:r>
    </w:p>
    <w:p w14:paraId="5B6DE587" w14:textId="76A989F5" w:rsidR="009C7438" w:rsidRPr="008D123A" w:rsidRDefault="00BD419B" w:rsidP="00BD419B">
      <w:pPr>
        <w:widowControl w:val="0"/>
        <w:tabs>
          <w:tab w:val="left" w:pos="-1440"/>
          <w:tab w:val="left" w:pos="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8D123A">
        <w:rPr>
          <w:rFonts w:ascii="Arial" w:eastAsia="Times New Roman" w:hAnsi="Arial" w:cs="Arial"/>
          <w:sz w:val="24"/>
          <w:szCs w:val="24"/>
          <w:lang w:val="en-GB" w:eastAsia="en-ZA"/>
        </w:rPr>
        <w:t>1.4</w:t>
      </w:r>
      <w:r w:rsidRPr="008D123A">
        <w:rPr>
          <w:rFonts w:ascii="Arial" w:eastAsia="Times New Roman" w:hAnsi="Arial" w:cs="Arial"/>
          <w:sz w:val="24"/>
          <w:szCs w:val="24"/>
          <w:lang w:val="en-GB" w:eastAsia="en-ZA"/>
        </w:rPr>
        <w:tab/>
      </w:r>
      <w:r w:rsidR="009C7438" w:rsidRPr="008D123A">
        <w:rPr>
          <w:rFonts w:ascii="Arial" w:eastAsia="Times New Roman" w:hAnsi="Arial" w:cs="Arial"/>
          <w:sz w:val="24"/>
          <w:szCs w:val="24"/>
          <w:lang w:val="en-GB" w:eastAsia="en-ZA"/>
        </w:rPr>
        <w:t xml:space="preserve">How the amount of each payment to each different trustee or beneficiary was arrived at. </w:t>
      </w:r>
    </w:p>
    <w:p w14:paraId="29E00E99" w14:textId="39C932AB" w:rsidR="009C7438" w:rsidRPr="00BD419B" w:rsidRDefault="00BD419B" w:rsidP="00BD419B">
      <w:pPr>
        <w:widowControl w:val="0"/>
        <w:tabs>
          <w:tab w:val="left" w:pos="-1440"/>
          <w:tab w:val="left" w:pos="0"/>
          <w:tab w:val="left" w:pos="851"/>
          <w:tab w:val="left" w:pos="1418"/>
        </w:tabs>
        <w:autoSpaceDE w:val="0"/>
        <w:autoSpaceDN w:val="0"/>
        <w:adjustRightInd w:val="0"/>
        <w:spacing w:after="0" w:line="360" w:lineRule="auto"/>
        <w:ind w:left="720" w:hanging="720"/>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1.5</w:t>
      </w:r>
      <w:r w:rsidRPr="00212A17">
        <w:rPr>
          <w:rFonts w:ascii="Arial" w:eastAsia="Times New Roman" w:hAnsi="Arial" w:cs="Arial"/>
          <w:sz w:val="24"/>
          <w:szCs w:val="24"/>
          <w:lang w:val="en-GB" w:eastAsia="en-ZA"/>
        </w:rPr>
        <w:tab/>
      </w:r>
      <w:r w:rsidR="009C7438" w:rsidRPr="00BD419B">
        <w:rPr>
          <w:rFonts w:ascii="Arial" w:eastAsia="Times New Roman" w:hAnsi="Arial" w:cs="Arial"/>
          <w:sz w:val="24"/>
          <w:szCs w:val="24"/>
          <w:lang w:val="en-GB" w:eastAsia="en-ZA"/>
        </w:rPr>
        <w:t xml:space="preserve">The reason for the payment to each trustee. </w:t>
      </w:r>
    </w:p>
    <w:p w14:paraId="7FEDB7AF" w14:textId="2C7855C3" w:rsidR="009C7438" w:rsidRPr="00212A17" w:rsidRDefault="00033481" w:rsidP="00212A17">
      <w:pPr>
        <w:widowControl w:val="0"/>
        <w:tabs>
          <w:tab w:val="left" w:pos="-1440"/>
          <w:tab w:val="left" w:pos="0"/>
        </w:tabs>
        <w:autoSpaceDE w:val="0"/>
        <w:autoSpaceDN w:val="0"/>
        <w:adjustRightInd w:val="0"/>
        <w:spacing w:after="0" w:line="360" w:lineRule="auto"/>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lastRenderedPageBreak/>
        <w:t>It was submitted by the respondents that e</w:t>
      </w:r>
      <w:r w:rsidR="009C7438" w:rsidRPr="00212A17">
        <w:rPr>
          <w:rFonts w:ascii="Arial" w:eastAsia="Times New Roman" w:hAnsi="Arial" w:cs="Arial"/>
          <w:sz w:val="24"/>
          <w:szCs w:val="24"/>
          <w:lang w:val="en-GB" w:eastAsia="en-ZA"/>
        </w:rPr>
        <w:t>ach of the above facts are critical to a finding that the first to fourth respondents collectively made a decision to pay out monies to the de</w:t>
      </w:r>
      <w:r w:rsidRPr="00212A17">
        <w:rPr>
          <w:rFonts w:ascii="Arial" w:eastAsia="Times New Roman" w:hAnsi="Arial" w:cs="Arial"/>
          <w:sz w:val="24"/>
          <w:szCs w:val="24"/>
          <w:lang w:val="en-GB" w:eastAsia="en-ZA"/>
        </w:rPr>
        <w:t>triment of the beneficiaries.</w:t>
      </w:r>
      <w:r w:rsidR="00C35896" w:rsidRPr="00212A17">
        <w:rPr>
          <w:rFonts w:ascii="Arial" w:eastAsia="Times New Roman" w:hAnsi="Arial" w:cs="Arial"/>
          <w:sz w:val="24"/>
          <w:szCs w:val="24"/>
          <w:lang w:val="en-GB" w:eastAsia="en-ZA"/>
        </w:rPr>
        <w:t xml:space="preserve"> </w:t>
      </w:r>
      <w:r w:rsidRPr="00212A17">
        <w:rPr>
          <w:rFonts w:ascii="Arial" w:eastAsia="Times New Roman" w:hAnsi="Arial" w:cs="Arial"/>
          <w:sz w:val="24"/>
          <w:szCs w:val="24"/>
          <w:lang w:val="en-GB" w:eastAsia="en-ZA"/>
        </w:rPr>
        <w:t>It was also submitted that t</w:t>
      </w:r>
      <w:r w:rsidR="009C7438" w:rsidRPr="00212A17">
        <w:rPr>
          <w:rFonts w:ascii="Arial" w:eastAsia="Times New Roman" w:hAnsi="Arial" w:cs="Arial"/>
          <w:sz w:val="24"/>
          <w:szCs w:val="24"/>
          <w:lang w:val="en-GB" w:eastAsia="en-ZA"/>
        </w:rPr>
        <w:t xml:space="preserve">he disputes are incapable of being resolved on the papers and ought to have been referred to the hearing of oral evidence. </w:t>
      </w:r>
    </w:p>
    <w:p w14:paraId="747626FF" w14:textId="2B63A7BE" w:rsidR="009C7438" w:rsidRPr="00212A17" w:rsidRDefault="00BD419B" w:rsidP="00BD419B">
      <w:pPr>
        <w:widowControl w:val="0"/>
        <w:tabs>
          <w:tab w:val="left" w:pos="-1440"/>
          <w:tab w:val="left" w:pos="0"/>
        </w:tabs>
        <w:autoSpaceDE w:val="0"/>
        <w:autoSpaceDN w:val="0"/>
        <w:adjustRightInd w:val="0"/>
        <w:spacing w:after="0" w:line="360" w:lineRule="auto"/>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2.</w:t>
      </w:r>
      <w:r w:rsidRPr="00212A17">
        <w:rPr>
          <w:rFonts w:ascii="Arial" w:eastAsia="Times New Roman" w:hAnsi="Arial" w:cs="Arial"/>
          <w:sz w:val="24"/>
          <w:szCs w:val="24"/>
          <w:lang w:val="en-GB" w:eastAsia="en-ZA"/>
        </w:rPr>
        <w:tab/>
      </w:r>
      <w:r w:rsidR="009C7438" w:rsidRPr="00212A17">
        <w:rPr>
          <w:rFonts w:ascii="Arial" w:eastAsia="Times New Roman" w:hAnsi="Arial" w:cs="Arial"/>
          <w:sz w:val="24"/>
          <w:szCs w:val="24"/>
          <w:lang w:val="en-GB" w:eastAsia="en-ZA"/>
        </w:rPr>
        <w:t xml:space="preserve">In the alternative to the above, </w:t>
      </w:r>
      <w:r w:rsidR="00033481" w:rsidRPr="00212A17">
        <w:rPr>
          <w:rFonts w:ascii="Arial" w:eastAsia="Times New Roman" w:hAnsi="Arial" w:cs="Arial"/>
          <w:sz w:val="24"/>
          <w:szCs w:val="24"/>
          <w:lang w:val="en-GB" w:eastAsia="en-ZA"/>
        </w:rPr>
        <w:t xml:space="preserve">it was stated that </w:t>
      </w:r>
      <w:r w:rsidR="009C7438" w:rsidRPr="00212A17">
        <w:rPr>
          <w:rFonts w:ascii="Arial" w:eastAsia="Times New Roman" w:hAnsi="Arial" w:cs="Arial"/>
          <w:sz w:val="24"/>
          <w:szCs w:val="24"/>
          <w:lang w:val="en-GB" w:eastAsia="en-ZA"/>
        </w:rPr>
        <w:t xml:space="preserve">all disputes of fact should have been resolved by </w:t>
      </w:r>
      <w:r w:rsidR="002F7ED6">
        <w:rPr>
          <w:rFonts w:ascii="Arial" w:eastAsia="Times New Roman" w:hAnsi="Arial" w:cs="Arial"/>
          <w:sz w:val="24"/>
          <w:szCs w:val="24"/>
          <w:lang w:val="en-GB" w:eastAsia="en-ZA"/>
        </w:rPr>
        <w:t>applying</w:t>
      </w:r>
      <w:r w:rsidR="002F7ED6" w:rsidRPr="00212A17">
        <w:rPr>
          <w:rFonts w:ascii="Arial" w:eastAsia="Times New Roman" w:hAnsi="Arial" w:cs="Arial"/>
          <w:sz w:val="24"/>
          <w:szCs w:val="24"/>
          <w:lang w:val="en-GB" w:eastAsia="en-ZA"/>
        </w:rPr>
        <w:t xml:space="preserve"> </w:t>
      </w:r>
      <w:r w:rsidR="009C7438" w:rsidRPr="00212A17">
        <w:rPr>
          <w:rFonts w:ascii="Arial" w:eastAsia="Times New Roman" w:hAnsi="Arial" w:cs="Arial"/>
          <w:sz w:val="24"/>
          <w:szCs w:val="24"/>
          <w:lang w:val="en-GB" w:eastAsia="en-ZA"/>
        </w:rPr>
        <w:t xml:space="preserve">the test in </w:t>
      </w:r>
      <w:r w:rsidR="009C7438" w:rsidRPr="00212A17">
        <w:rPr>
          <w:rFonts w:ascii="Arial" w:eastAsia="Times New Roman" w:hAnsi="Arial" w:cs="Arial"/>
          <w:i/>
          <w:iCs/>
          <w:sz w:val="24"/>
          <w:szCs w:val="24"/>
          <w:shd w:val="clear" w:color="auto" w:fill="FFFFFF"/>
          <w:lang w:val="en-ZA" w:eastAsia="en-ZA"/>
        </w:rPr>
        <w:t>Plascon-Evans Paints Ltd v Van Riebeeck Paints (Pty) Ltd</w:t>
      </w:r>
      <w:r w:rsidR="00033481" w:rsidRPr="00212A17">
        <w:rPr>
          <w:rFonts w:ascii="Arial" w:eastAsia="Times New Roman" w:hAnsi="Arial" w:cs="Arial"/>
          <w:sz w:val="24"/>
          <w:szCs w:val="24"/>
          <w:lang w:val="en-GB" w:eastAsia="en-ZA"/>
        </w:rPr>
        <w:t>.</w:t>
      </w:r>
      <w:r w:rsidR="00692F28">
        <w:rPr>
          <w:rStyle w:val="FootnoteReference"/>
          <w:rFonts w:ascii="Arial" w:eastAsia="Times New Roman" w:hAnsi="Arial" w:cs="Arial"/>
          <w:sz w:val="24"/>
          <w:szCs w:val="24"/>
          <w:lang w:val="en-GB" w:eastAsia="en-ZA"/>
        </w:rPr>
        <w:footnoteReference w:id="1"/>
      </w:r>
      <w:r w:rsidR="00C35896" w:rsidRPr="00212A17">
        <w:rPr>
          <w:rFonts w:ascii="Arial" w:eastAsia="Times New Roman" w:hAnsi="Arial" w:cs="Arial"/>
          <w:sz w:val="24"/>
          <w:szCs w:val="24"/>
          <w:lang w:val="en-GB" w:eastAsia="en-ZA"/>
        </w:rPr>
        <w:t xml:space="preserve"> </w:t>
      </w:r>
      <w:r w:rsidR="00033481" w:rsidRPr="00212A17">
        <w:rPr>
          <w:rFonts w:ascii="Arial" w:eastAsia="Times New Roman" w:hAnsi="Arial" w:cs="Arial"/>
          <w:sz w:val="24"/>
          <w:szCs w:val="24"/>
          <w:lang w:val="en-GB" w:eastAsia="en-ZA"/>
        </w:rPr>
        <w:t>It was stated that I</w:t>
      </w:r>
      <w:r w:rsidR="00C35896" w:rsidRPr="00212A17">
        <w:rPr>
          <w:rFonts w:ascii="Arial" w:eastAsia="Times New Roman" w:hAnsi="Arial" w:cs="Arial"/>
          <w:sz w:val="24"/>
          <w:szCs w:val="24"/>
          <w:lang w:val="en-GB" w:eastAsia="en-ZA"/>
        </w:rPr>
        <w:t xml:space="preserve"> </w:t>
      </w:r>
      <w:r w:rsidR="009C7438" w:rsidRPr="00212A17">
        <w:rPr>
          <w:rFonts w:ascii="Arial" w:eastAsia="Times New Roman" w:hAnsi="Arial" w:cs="Arial"/>
          <w:sz w:val="24"/>
          <w:szCs w:val="24"/>
          <w:lang w:val="en-GB" w:eastAsia="en-ZA"/>
        </w:rPr>
        <w:t xml:space="preserve">failed to determine the legal disputes based on </w:t>
      </w:r>
      <w:r w:rsidR="009C7438" w:rsidRPr="00212A17">
        <w:rPr>
          <w:rFonts w:ascii="Arial" w:eastAsia="Times New Roman" w:hAnsi="Arial" w:cs="Arial"/>
          <w:sz w:val="24"/>
          <w:szCs w:val="24"/>
          <w:shd w:val="clear" w:color="auto" w:fill="FFFFFF"/>
          <w:lang w:val="en-ZA" w:eastAsia="en-ZA"/>
        </w:rPr>
        <w:t>those facts as stated by the respondents, together with those facts stated by the applicant that are admitted by the respondent</w:t>
      </w:r>
      <w:r w:rsidR="00692F28">
        <w:rPr>
          <w:rFonts w:ascii="Arial" w:eastAsia="Times New Roman" w:hAnsi="Arial" w:cs="Arial"/>
          <w:sz w:val="24"/>
          <w:szCs w:val="24"/>
          <w:shd w:val="clear" w:color="auto" w:fill="FFFFFF"/>
          <w:lang w:val="en-ZA" w:eastAsia="en-ZA"/>
        </w:rPr>
        <w:t>s</w:t>
      </w:r>
      <w:r w:rsidR="009C7438" w:rsidRPr="00212A17">
        <w:rPr>
          <w:rFonts w:ascii="Arial" w:eastAsia="Times New Roman" w:hAnsi="Arial" w:cs="Arial"/>
          <w:sz w:val="24"/>
          <w:szCs w:val="24"/>
          <w:lang w:val="en-GB" w:eastAsia="en-ZA"/>
        </w:rPr>
        <w:t>.</w:t>
      </w:r>
      <w:r w:rsidR="00273F64" w:rsidRPr="00212A17">
        <w:rPr>
          <w:rFonts w:ascii="Arial" w:eastAsia="Times New Roman" w:hAnsi="Arial" w:cs="Arial"/>
          <w:sz w:val="24"/>
          <w:szCs w:val="24"/>
          <w:lang w:val="en-GB" w:eastAsia="en-ZA"/>
        </w:rPr>
        <w:t xml:space="preserve"> </w:t>
      </w:r>
      <w:r w:rsidR="009C7438" w:rsidRPr="00212A17">
        <w:rPr>
          <w:rFonts w:ascii="Arial" w:eastAsia="Times New Roman" w:hAnsi="Arial" w:cs="Arial"/>
          <w:sz w:val="24"/>
          <w:szCs w:val="24"/>
          <w:lang w:val="en-GB" w:eastAsia="en-ZA"/>
        </w:rPr>
        <w:t xml:space="preserve">In particular, in finding that the sole or primary purpose of the </w:t>
      </w:r>
      <w:r w:rsidR="002F7ED6">
        <w:rPr>
          <w:rFonts w:ascii="Arial" w:eastAsia="Times New Roman" w:hAnsi="Arial" w:cs="Arial"/>
          <w:sz w:val="24"/>
          <w:szCs w:val="24"/>
          <w:lang w:val="en-GB" w:eastAsia="en-ZA"/>
        </w:rPr>
        <w:t>t</w:t>
      </w:r>
      <w:r w:rsidR="009C7438" w:rsidRPr="00212A17">
        <w:rPr>
          <w:rFonts w:ascii="Arial" w:eastAsia="Times New Roman" w:hAnsi="Arial" w:cs="Arial"/>
          <w:sz w:val="24"/>
          <w:szCs w:val="24"/>
          <w:lang w:val="en-GB" w:eastAsia="en-ZA"/>
        </w:rPr>
        <w:t>rust was to disburse funding to the farming beneficiaries</w:t>
      </w:r>
      <w:r w:rsidR="002F7ED6">
        <w:rPr>
          <w:rFonts w:ascii="Arial" w:eastAsia="Times New Roman" w:hAnsi="Arial" w:cs="Arial"/>
          <w:sz w:val="24"/>
          <w:szCs w:val="24"/>
          <w:lang w:val="en-GB" w:eastAsia="en-ZA"/>
        </w:rPr>
        <w:t>,</w:t>
      </w:r>
      <w:r w:rsidR="009C7438" w:rsidRPr="00212A17">
        <w:rPr>
          <w:rFonts w:ascii="Arial" w:eastAsia="Times New Roman" w:hAnsi="Arial" w:cs="Arial"/>
          <w:sz w:val="24"/>
          <w:szCs w:val="24"/>
          <w:lang w:val="en-GB" w:eastAsia="en-ZA"/>
        </w:rPr>
        <w:t xml:space="preserve"> when the evidence of the respondents was that:</w:t>
      </w:r>
    </w:p>
    <w:p w14:paraId="1B1663DC" w14:textId="450FBB23" w:rsidR="009C7438" w:rsidRPr="00212A17" w:rsidRDefault="00273F64" w:rsidP="00212A17">
      <w:pPr>
        <w:widowControl w:val="0"/>
        <w:tabs>
          <w:tab w:val="left" w:pos="-1440"/>
          <w:tab w:val="left" w:pos="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2.1</w:t>
      </w:r>
      <w:r w:rsidRPr="00212A17">
        <w:rPr>
          <w:rFonts w:ascii="Arial" w:eastAsia="Times New Roman" w:hAnsi="Arial" w:cs="Arial"/>
          <w:sz w:val="24"/>
          <w:szCs w:val="24"/>
          <w:lang w:val="en-GB" w:eastAsia="en-ZA"/>
        </w:rPr>
        <w:tab/>
        <w:t>When the t</w:t>
      </w:r>
      <w:r w:rsidR="009C7438" w:rsidRPr="00212A17">
        <w:rPr>
          <w:rFonts w:ascii="Arial" w:eastAsia="Times New Roman" w:hAnsi="Arial" w:cs="Arial"/>
          <w:sz w:val="24"/>
          <w:szCs w:val="24"/>
          <w:lang w:val="en-GB" w:eastAsia="en-ZA"/>
        </w:rPr>
        <w:t>rust changed from the Uphaphe Empowerment Trust to the Ubunye</w:t>
      </w:r>
      <w:r w:rsidRPr="00212A17">
        <w:rPr>
          <w:rFonts w:ascii="Arial" w:eastAsia="Times New Roman" w:hAnsi="Arial" w:cs="Arial"/>
          <w:sz w:val="24"/>
          <w:szCs w:val="24"/>
          <w:lang w:val="en-GB" w:eastAsia="en-ZA"/>
        </w:rPr>
        <w:t xml:space="preserve"> BE Afrika Development Trust, it</w:t>
      </w:r>
      <w:r w:rsidR="009C7438" w:rsidRPr="00212A17">
        <w:rPr>
          <w:rFonts w:ascii="Arial" w:eastAsia="Times New Roman" w:hAnsi="Arial" w:cs="Arial"/>
          <w:sz w:val="24"/>
          <w:szCs w:val="24"/>
          <w:lang w:val="en-GB" w:eastAsia="en-ZA"/>
        </w:rPr>
        <w:t xml:space="preserve"> changed from a trust which received grants in aid for disbursement to farmers in Northern KwaZulu-Natal, to a trading trust.</w:t>
      </w:r>
      <w:r w:rsidRPr="00212A17">
        <w:rPr>
          <w:rFonts w:ascii="Arial" w:eastAsia="Times New Roman" w:hAnsi="Arial" w:cs="Arial"/>
          <w:sz w:val="24"/>
          <w:szCs w:val="24"/>
          <w:lang w:val="en-GB" w:eastAsia="en-ZA"/>
        </w:rPr>
        <w:t xml:space="preserve"> The t</w:t>
      </w:r>
      <w:r w:rsidR="009C7438" w:rsidRPr="00212A17">
        <w:rPr>
          <w:rFonts w:ascii="Arial" w:eastAsia="Times New Roman" w:hAnsi="Arial" w:cs="Arial"/>
          <w:sz w:val="24"/>
          <w:szCs w:val="24"/>
          <w:lang w:val="en-GB" w:eastAsia="en-ZA"/>
        </w:rPr>
        <w:t xml:space="preserve">rust was </w:t>
      </w:r>
      <w:r w:rsidR="001C06FA">
        <w:rPr>
          <w:rFonts w:ascii="Arial" w:eastAsia="Times New Roman" w:hAnsi="Arial" w:cs="Arial"/>
          <w:sz w:val="24"/>
          <w:szCs w:val="24"/>
          <w:lang w:val="en-GB" w:eastAsia="en-ZA"/>
        </w:rPr>
        <w:t>no longer</w:t>
      </w:r>
      <w:r w:rsidR="001C06FA" w:rsidRPr="00212A17">
        <w:rPr>
          <w:rFonts w:ascii="Arial" w:eastAsia="Times New Roman" w:hAnsi="Arial" w:cs="Arial"/>
          <w:sz w:val="24"/>
          <w:szCs w:val="24"/>
          <w:lang w:val="en-GB" w:eastAsia="en-ZA"/>
        </w:rPr>
        <w:t xml:space="preserve"> </w:t>
      </w:r>
      <w:r w:rsidR="009C7438" w:rsidRPr="00212A17">
        <w:rPr>
          <w:rFonts w:ascii="Arial" w:eastAsia="Times New Roman" w:hAnsi="Arial" w:cs="Arial"/>
          <w:sz w:val="24"/>
          <w:szCs w:val="24"/>
          <w:lang w:val="en-GB" w:eastAsia="en-ZA"/>
        </w:rPr>
        <w:t>just a charitable trust, but also a business trust – established to promote businesses.</w:t>
      </w:r>
    </w:p>
    <w:p w14:paraId="6AF97223" w14:textId="29552CDA" w:rsidR="009C7438" w:rsidRPr="00212A17" w:rsidRDefault="00273F64" w:rsidP="00212A17">
      <w:pPr>
        <w:widowControl w:val="0"/>
        <w:tabs>
          <w:tab w:val="left" w:pos="-1440"/>
          <w:tab w:val="left" w:pos="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2.2</w:t>
      </w:r>
      <w:r w:rsidRPr="00212A17">
        <w:rPr>
          <w:rFonts w:ascii="Arial" w:eastAsia="Times New Roman" w:hAnsi="Arial" w:cs="Arial"/>
          <w:sz w:val="24"/>
          <w:szCs w:val="24"/>
          <w:lang w:val="en-GB" w:eastAsia="en-ZA"/>
        </w:rPr>
        <w:tab/>
        <w:t>The t</w:t>
      </w:r>
      <w:r w:rsidR="009C7438" w:rsidRPr="00212A17">
        <w:rPr>
          <w:rFonts w:ascii="Arial" w:eastAsia="Times New Roman" w:hAnsi="Arial" w:cs="Arial"/>
          <w:sz w:val="24"/>
          <w:szCs w:val="24"/>
          <w:lang w:val="en-GB" w:eastAsia="en-ZA"/>
        </w:rPr>
        <w:t xml:space="preserve">rust no longer operated exclusively as a distributor of grants in aid like a non-profit organisation. It also supported the non-farming beneficiaries (hereinafter referred to as </w:t>
      </w:r>
      <w:r w:rsidR="008E4814">
        <w:rPr>
          <w:rFonts w:ascii="Arial" w:eastAsia="Times New Roman" w:hAnsi="Arial" w:cs="Arial"/>
          <w:sz w:val="24"/>
          <w:szCs w:val="24"/>
          <w:lang w:val="en-GB" w:eastAsia="en-ZA"/>
        </w:rPr>
        <w:t>‘</w:t>
      </w:r>
      <w:r w:rsidR="009C7438" w:rsidRPr="00212A17">
        <w:rPr>
          <w:rFonts w:ascii="Arial" w:eastAsia="Times New Roman" w:hAnsi="Arial" w:cs="Arial"/>
          <w:sz w:val="24"/>
          <w:szCs w:val="24"/>
          <w:lang w:val="en-GB" w:eastAsia="en-ZA"/>
        </w:rPr>
        <w:t>the business beneficiaries</w:t>
      </w:r>
      <w:r w:rsidR="008E4814">
        <w:rPr>
          <w:rFonts w:ascii="Arial" w:eastAsia="Times New Roman" w:hAnsi="Arial" w:cs="Arial"/>
          <w:sz w:val="24"/>
          <w:szCs w:val="24"/>
          <w:lang w:val="en-GB" w:eastAsia="en-ZA"/>
        </w:rPr>
        <w:t>’</w:t>
      </w:r>
      <w:r w:rsidR="009C7438" w:rsidRPr="00212A17">
        <w:rPr>
          <w:rFonts w:ascii="Arial" w:eastAsia="Times New Roman" w:hAnsi="Arial" w:cs="Arial"/>
          <w:sz w:val="24"/>
          <w:szCs w:val="24"/>
          <w:lang w:val="en-GB" w:eastAsia="en-ZA"/>
        </w:rPr>
        <w:t xml:space="preserve">) to develop business activities </w:t>
      </w:r>
      <w:r w:rsidR="00FB4107">
        <w:rPr>
          <w:rFonts w:ascii="Arial" w:eastAsia="Times New Roman" w:hAnsi="Arial" w:cs="Arial"/>
          <w:sz w:val="24"/>
          <w:szCs w:val="24"/>
          <w:lang w:val="en-GB" w:eastAsia="en-ZA"/>
        </w:rPr>
        <w:t>to</w:t>
      </w:r>
      <w:r w:rsidR="009C7438" w:rsidRPr="00212A17">
        <w:rPr>
          <w:rFonts w:ascii="Arial" w:eastAsia="Times New Roman" w:hAnsi="Arial" w:cs="Arial"/>
          <w:sz w:val="24"/>
          <w:szCs w:val="24"/>
          <w:lang w:val="en-GB" w:eastAsia="en-ZA"/>
        </w:rPr>
        <w:t xml:space="preserve"> alleviate poverty by creating jobs in profitable businesses.</w:t>
      </w:r>
    </w:p>
    <w:p w14:paraId="5A1D5BB9" w14:textId="5AE120E0" w:rsidR="009C7438" w:rsidRPr="00212A17" w:rsidRDefault="00273F64" w:rsidP="00212A17">
      <w:pPr>
        <w:widowControl w:val="0"/>
        <w:tabs>
          <w:tab w:val="left" w:pos="-1440"/>
          <w:tab w:val="left" w:pos="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2.3</w:t>
      </w:r>
      <w:r w:rsidRPr="00212A17">
        <w:rPr>
          <w:rFonts w:ascii="Arial" w:eastAsia="Times New Roman" w:hAnsi="Arial" w:cs="Arial"/>
          <w:sz w:val="24"/>
          <w:szCs w:val="24"/>
          <w:lang w:val="en-GB" w:eastAsia="en-ZA"/>
        </w:rPr>
        <w:tab/>
        <w:t>Clause 13.4 of the trust d</w:t>
      </w:r>
      <w:r w:rsidR="009C7438" w:rsidRPr="00212A17">
        <w:rPr>
          <w:rFonts w:ascii="Arial" w:eastAsia="Times New Roman" w:hAnsi="Arial" w:cs="Arial"/>
          <w:sz w:val="24"/>
          <w:szCs w:val="24"/>
          <w:lang w:val="en-GB" w:eastAsia="en-ZA"/>
        </w:rPr>
        <w:t xml:space="preserve">eed provided for </w:t>
      </w:r>
      <w:r w:rsidR="00A91974">
        <w:rPr>
          <w:rFonts w:ascii="Arial" w:eastAsia="Times New Roman" w:hAnsi="Arial" w:cs="Arial"/>
          <w:sz w:val="24"/>
          <w:szCs w:val="24"/>
          <w:lang w:val="en-GB" w:eastAsia="en-ZA"/>
        </w:rPr>
        <w:t xml:space="preserve">the </w:t>
      </w:r>
      <w:r w:rsidR="009C7438" w:rsidRPr="00212A17">
        <w:rPr>
          <w:rFonts w:ascii="Arial" w:eastAsia="Times New Roman" w:hAnsi="Arial" w:cs="Arial"/>
          <w:sz w:val="24"/>
          <w:szCs w:val="24"/>
          <w:lang w:val="en-GB" w:eastAsia="en-ZA"/>
        </w:rPr>
        <w:t xml:space="preserve">payment of trust funds to the business beneficiaries. </w:t>
      </w:r>
    </w:p>
    <w:p w14:paraId="50BCB953" w14:textId="43A67A97" w:rsidR="009C7438" w:rsidRPr="00212A17" w:rsidRDefault="00273F64" w:rsidP="00212A17">
      <w:pPr>
        <w:widowControl w:val="0"/>
        <w:tabs>
          <w:tab w:val="left" w:pos="-1440"/>
          <w:tab w:val="left" w:pos="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2</w:t>
      </w:r>
      <w:r w:rsidR="009C7438" w:rsidRPr="00212A17">
        <w:rPr>
          <w:rFonts w:ascii="Arial" w:eastAsia="Times New Roman" w:hAnsi="Arial" w:cs="Arial"/>
          <w:sz w:val="24"/>
          <w:szCs w:val="24"/>
          <w:lang w:val="en-GB" w:eastAsia="en-ZA"/>
        </w:rPr>
        <w:t>.4</w:t>
      </w:r>
      <w:r w:rsidR="009C7438" w:rsidRPr="00212A17">
        <w:rPr>
          <w:rFonts w:ascii="Arial" w:eastAsia="Times New Roman" w:hAnsi="Arial" w:cs="Arial"/>
          <w:sz w:val="24"/>
          <w:szCs w:val="24"/>
          <w:lang w:val="en-GB" w:eastAsia="en-ZA"/>
        </w:rPr>
        <w:tab/>
        <w:t>The business beneficiar</w:t>
      </w:r>
      <w:r w:rsidRPr="00212A17">
        <w:rPr>
          <w:rFonts w:ascii="Arial" w:eastAsia="Times New Roman" w:hAnsi="Arial" w:cs="Arial"/>
          <w:sz w:val="24"/>
          <w:szCs w:val="24"/>
          <w:lang w:val="en-GB" w:eastAsia="en-ZA"/>
        </w:rPr>
        <w:t>ies effectively worked for the t</w:t>
      </w:r>
      <w:r w:rsidR="009C7438" w:rsidRPr="00212A17">
        <w:rPr>
          <w:rFonts w:ascii="Arial" w:eastAsia="Times New Roman" w:hAnsi="Arial" w:cs="Arial"/>
          <w:sz w:val="24"/>
          <w:szCs w:val="24"/>
          <w:lang w:val="en-GB" w:eastAsia="en-ZA"/>
        </w:rPr>
        <w:t>rust, performing an assortment of tas</w:t>
      </w:r>
      <w:r w:rsidRPr="00212A17">
        <w:rPr>
          <w:rFonts w:ascii="Arial" w:eastAsia="Times New Roman" w:hAnsi="Arial" w:cs="Arial"/>
          <w:sz w:val="24"/>
          <w:szCs w:val="24"/>
          <w:lang w:val="en-GB" w:eastAsia="en-ZA"/>
        </w:rPr>
        <w:t>ks and obligations towards the t</w:t>
      </w:r>
      <w:r w:rsidR="009C7438" w:rsidRPr="00212A17">
        <w:rPr>
          <w:rFonts w:ascii="Arial" w:eastAsia="Times New Roman" w:hAnsi="Arial" w:cs="Arial"/>
          <w:sz w:val="24"/>
          <w:szCs w:val="24"/>
          <w:lang w:val="en-GB" w:eastAsia="en-ZA"/>
        </w:rPr>
        <w:t>rust</w:t>
      </w:r>
      <w:r w:rsidR="003B7AB6">
        <w:rPr>
          <w:rFonts w:ascii="Arial" w:eastAsia="Times New Roman" w:hAnsi="Arial" w:cs="Arial"/>
          <w:sz w:val="24"/>
          <w:szCs w:val="24"/>
          <w:lang w:val="en-GB" w:eastAsia="en-ZA"/>
        </w:rPr>
        <w:t>,</w:t>
      </w:r>
      <w:r w:rsidR="009C7438" w:rsidRPr="00212A17">
        <w:rPr>
          <w:rFonts w:ascii="Arial" w:eastAsia="Times New Roman" w:hAnsi="Arial" w:cs="Arial"/>
          <w:sz w:val="24"/>
          <w:szCs w:val="24"/>
          <w:lang w:val="en-GB" w:eastAsia="en-ZA"/>
        </w:rPr>
        <w:t xml:space="preserve"> which </w:t>
      </w:r>
      <w:r w:rsidR="004038B3">
        <w:rPr>
          <w:rFonts w:ascii="Arial" w:eastAsia="Times New Roman" w:hAnsi="Arial" w:cs="Arial"/>
          <w:sz w:val="24"/>
          <w:szCs w:val="24"/>
          <w:lang w:val="en-GB" w:eastAsia="en-ZA"/>
        </w:rPr>
        <w:t>were</w:t>
      </w:r>
      <w:r w:rsidR="004038B3" w:rsidRPr="00212A17">
        <w:rPr>
          <w:rFonts w:ascii="Arial" w:eastAsia="Times New Roman" w:hAnsi="Arial" w:cs="Arial"/>
          <w:sz w:val="24"/>
          <w:szCs w:val="24"/>
          <w:lang w:val="en-GB" w:eastAsia="en-ZA"/>
        </w:rPr>
        <w:t xml:space="preserve"> </w:t>
      </w:r>
      <w:r w:rsidR="009C7438" w:rsidRPr="00212A17">
        <w:rPr>
          <w:rFonts w:ascii="Arial" w:eastAsia="Times New Roman" w:hAnsi="Arial" w:cs="Arial"/>
          <w:sz w:val="24"/>
          <w:szCs w:val="24"/>
          <w:lang w:val="en-GB" w:eastAsia="en-ZA"/>
        </w:rPr>
        <w:t>set out in the answering affidavit.</w:t>
      </w:r>
    </w:p>
    <w:p w14:paraId="7456A3CE" w14:textId="64B9D310" w:rsidR="009C7438" w:rsidRPr="00212A17" w:rsidRDefault="00273F64" w:rsidP="00212A17">
      <w:pPr>
        <w:widowControl w:val="0"/>
        <w:tabs>
          <w:tab w:val="left" w:pos="-1440"/>
          <w:tab w:val="left" w:pos="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2</w:t>
      </w:r>
      <w:r w:rsidR="009C7438" w:rsidRPr="00212A17">
        <w:rPr>
          <w:rFonts w:ascii="Arial" w:eastAsia="Times New Roman" w:hAnsi="Arial" w:cs="Arial"/>
          <w:sz w:val="24"/>
          <w:szCs w:val="24"/>
          <w:lang w:val="en-GB" w:eastAsia="en-ZA"/>
        </w:rPr>
        <w:t>.5</w:t>
      </w:r>
      <w:r w:rsidR="009C7438" w:rsidRPr="00212A17">
        <w:rPr>
          <w:rFonts w:ascii="Arial" w:eastAsia="Times New Roman" w:hAnsi="Arial" w:cs="Arial"/>
          <w:sz w:val="24"/>
          <w:szCs w:val="24"/>
          <w:lang w:val="en-GB" w:eastAsia="en-ZA"/>
        </w:rPr>
        <w:tab/>
        <w:t xml:space="preserve">The business beneficiaries and trustees worked together to provide administrative and logistical support to the secondary (farming) beneficiaries. This took the form of assisting farmers to prepare business proposals and plans, to corporatize themselves and </w:t>
      </w:r>
      <w:r w:rsidR="00FB4107">
        <w:rPr>
          <w:rFonts w:ascii="Arial" w:eastAsia="Times New Roman" w:hAnsi="Arial" w:cs="Arial"/>
          <w:sz w:val="24"/>
          <w:szCs w:val="24"/>
          <w:lang w:val="en-GB" w:eastAsia="en-ZA"/>
        </w:rPr>
        <w:t xml:space="preserve">to </w:t>
      </w:r>
      <w:r w:rsidR="009C7438" w:rsidRPr="00212A17">
        <w:rPr>
          <w:rFonts w:ascii="Arial" w:eastAsia="Times New Roman" w:hAnsi="Arial" w:cs="Arial"/>
          <w:sz w:val="24"/>
          <w:szCs w:val="24"/>
          <w:lang w:val="en-GB" w:eastAsia="en-ZA"/>
        </w:rPr>
        <w:t xml:space="preserve">apply for funding. </w:t>
      </w:r>
    </w:p>
    <w:p w14:paraId="65E5ECDD" w14:textId="70078C61" w:rsidR="009C7438" w:rsidRPr="00212A17" w:rsidRDefault="00273F64" w:rsidP="00212A17">
      <w:pPr>
        <w:widowControl w:val="0"/>
        <w:tabs>
          <w:tab w:val="left" w:pos="-1440"/>
          <w:tab w:val="left" w:pos="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lastRenderedPageBreak/>
        <w:t>2</w:t>
      </w:r>
      <w:r w:rsidR="009C7438" w:rsidRPr="00212A17">
        <w:rPr>
          <w:rFonts w:ascii="Arial" w:eastAsia="Times New Roman" w:hAnsi="Arial" w:cs="Arial"/>
          <w:sz w:val="24"/>
          <w:szCs w:val="24"/>
          <w:lang w:val="en-GB" w:eastAsia="en-ZA"/>
        </w:rPr>
        <w:t>.6</w:t>
      </w:r>
      <w:r w:rsidR="009C7438" w:rsidRPr="00212A17">
        <w:rPr>
          <w:rFonts w:ascii="Arial" w:eastAsia="Times New Roman" w:hAnsi="Arial" w:cs="Arial"/>
          <w:sz w:val="24"/>
          <w:szCs w:val="24"/>
          <w:lang w:val="en-GB" w:eastAsia="en-ZA"/>
        </w:rPr>
        <w:tab/>
        <w:t xml:space="preserve">The business beneficiaries also prepared numerous bids for tenders on behalf of the </w:t>
      </w:r>
      <w:r w:rsidR="003B7AB6">
        <w:rPr>
          <w:rFonts w:ascii="Arial" w:eastAsia="Times New Roman" w:hAnsi="Arial" w:cs="Arial"/>
          <w:sz w:val="24"/>
          <w:szCs w:val="24"/>
          <w:lang w:val="en-GB" w:eastAsia="en-ZA"/>
        </w:rPr>
        <w:t>t</w:t>
      </w:r>
      <w:r w:rsidR="009C7438" w:rsidRPr="00212A17">
        <w:rPr>
          <w:rFonts w:ascii="Arial" w:eastAsia="Times New Roman" w:hAnsi="Arial" w:cs="Arial"/>
          <w:sz w:val="24"/>
          <w:szCs w:val="24"/>
          <w:lang w:val="en-GB" w:eastAsia="en-ZA"/>
        </w:rPr>
        <w:t xml:space="preserve">rust at their cost and through their labour, details of which </w:t>
      </w:r>
      <w:r w:rsidR="004038B3">
        <w:rPr>
          <w:rFonts w:ascii="Arial" w:eastAsia="Times New Roman" w:hAnsi="Arial" w:cs="Arial"/>
          <w:sz w:val="24"/>
          <w:szCs w:val="24"/>
          <w:lang w:val="en-GB" w:eastAsia="en-ZA"/>
        </w:rPr>
        <w:t>were</w:t>
      </w:r>
      <w:r w:rsidR="004038B3" w:rsidRPr="00212A17">
        <w:rPr>
          <w:rFonts w:ascii="Arial" w:eastAsia="Times New Roman" w:hAnsi="Arial" w:cs="Arial"/>
          <w:sz w:val="24"/>
          <w:szCs w:val="24"/>
          <w:lang w:val="en-GB" w:eastAsia="en-ZA"/>
        </w:rPr>
        <w:t xml:space="preserve"> </w:t>
      </w:r>
      <w:r w:rsidR="009C7438" w:rsidRPr="00212A17">
        <w:rPr>
          <w:rFonts w:ascii="Arial" w:eastAsia="Times New Roman" w:hAnsi="Arial" w:cs="Arial"/>
          <w:sz w:val="24"/>
          <w:szCs w:val="24"/>
          <w:lang w:val="en-GB" w:eastAsia="en-ZA"/>
        </w:rPr>
        <w:t>set out in the answering affidavit.</w:t>
      </w:r>
    </w:p>
    <w:p w14:paraId="26257575" w14:textId="047E8958" w:rsidR="009C7438" w:rsidRPr="00212A17" w:rsidRDefault="00C35896" w:rsidP="00212A17">
      <w:pPr>
        <w:widowControl w:val="0"/>
        <w:tabs>
          <w:tab w:val="left" w:pos="-1440"/>
          <w:tab w:val="left" w:pos="0"/>
          <w:tab w:val="left" w:pos="851"/>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 xml:space="preserve"> </w:t>
      </w:r>
      <w:r w:rsidR="00273F64" w:rsidRPr="00212A17">
        <w:rPr>
          <w:rFonts w:ascii="Arial" w:eastAsia="Times New Roman" w:hAnsi="Arial" w:cs="Arial"/>
          <w:sz w:val="24"/>
          <w:szCs w:val="24"/>
          <w:lang w:val="en-GB" w:eastAsia="en-ZA"/>
        </w:rPr>
        <w:t>2</w:t>
      </w:r>
      <w:r w:rsidR="00EA427F" w:rsidRPr="00212A17">
        <w:rPr>
          <w:rFonts w:ascii="Arial" w:eastAsia="Times New Roman" w:hAnsi="Arial" w:cs="Arial"/>
          <w:sz w:val="24"/>
          <w:szCs w:val="24"/>
          <w:lang w:val="en-GB" w:eastAsia="en-ZA"/>
        </w:rPr>
        <w:t>.7</w:t>
      </w:r>
      <w:r w:rsidR="00EA427F" w:rsidRPr="00212A17">
        <w:rPr>
          <w:rFonts w:ascii="Arial" w:eastAsia="Times New Roman" w:hAnsi="Arial" w:cs="Arial"/>
          <w:sz w:val="24"/>
          <w:szCs w:val="24"/>
          <w:lang w:val="en-GB" w:eastAsia="en-ZA"/>
        </w:rPr>
        <w:tab/>
      </w:r>
      <w:r w:rsidR="00273F64" w:rsidRPr="00212A17">
        <w:rPr>
          <w:rFonts w:ascii="Arial" w:eastAsia="Times New Roman" w:hAnsi="Arial" w:cs="Arial"/>
          <w:sz w:val="24"/>
          <w:szCs w:val="24"/>
          <w:lang w:val="en-GB" w:eastAsia="en-ZA"/>
        </w:rPr>
        <w:t>The t</w:t>
      </w:r>
      <w:r w:rsidR="009C7438" w:rsidRPr="00212A17">
        <w:rPr>
          <w:rFonts w:ascii="Arial" w:eastAsia="Times New Roman" w:hAnsi="Arial" w:cs="Arial"/>
          <w:sz w:val="24"/>
          <w:szCs w:val="24"/>
          <w:lang w:val="en-GB" w:eastAsia="en-ZA"/>
        </w:rPr>
        <w:t>rust also provided support and assistance to the businesses of the</w:t>
      </w:r>
      <w:r w:rsidRPr="00212A17">
        <w:rPr>
          <w:rFonts w:ascii="Arial" w:eastAsia="Times New Roman" w:hAnsi="Arial" w:cs="Arial"/>
          <w:sz w:val="24"/>
          <w:szCs w:val="24"/>
          <w:lang w:val="en-GB" w:eastAsia="en-ZA"/>
        </w:rPr>
        <w:t xml:space="preserve"> </w:t>
      </w:r>
      <w:r w:rsidR="009C7438" w:rsidRPr="00212A17">
        <w:rPr>
          <w:rFonts w:ascii="Arial" w:eastAsia="Times New Roman" w:hAnsi="Arial" w:cs="Arial"/>
          <w:sz w:val="24"/>
          <w:szCs w:val="24"/>
          <w:lang w:val="en-GB" w:eastAsia="en-ZA"/>
        </w:rPr>
        <w:t>business beneficiaries in various sectors of the economy.</w:t>
      </w:r>
    </w:p>
    <w:p w14:paraId="5B03F4F6" w14:textId="296EA931" w:rsidR="009C7438" w:rsidRPr="00212A17" w:rsidRDefault="00BD419B" w:rsidP="00BD419B">
      <w:pPr>
        <w:widowControl w:val="0"/>
        <w:tabs>
          <w:tab w:val="left" w:pos="-1440"/>
        </w:tabs>
        <w:autoSpaceDE w:val="0"/>
        <w:autoSpaceDN w:val="0"/>
        <w:adjustRightInd w:val="0"/>
        <w:spacing w:after="0" w:line="360" w:lineRule="auto"/>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3.</w:t>
      </w:r>
      <w:r w:rsidRPr="00212A17">
        <w:rPr>
          <w:rFonts w:ascii="Arial" w:eastAsia="Times New Roman" w:hAnsi="Arial" w:cs="Arial"/>
          <w:sz w:val="24"/>
          <w:szCs w:val="24"/>
          <w:lang w:val="en-GB" w:eastAsia="en-ZA"/>
        </w:rPr>
        <w:tab/>
      </w:r>
      <w:r w:rsidR="00A55268" w:rsidRPr="00212A17">
        <w:rPr>
          <w:rFonts w:ascii="Arial" w:eastAsia="Times New Roman" w:hAnsi="Arial" w:cs="Arial"/>
          <w:sz w:val="24"/>
          <w:szCs w:val="24"/>
          <w:lang w:val="en-GB" w:eastAsia="en-ZA"/>
        </w:rPr>
        <w:t>It was also stated that I</w:t>
      </w:r>
      <w:r w:rsidR="009C7438" w:rsidRPr="00212A17">
        <w:rPr>
          <w:rFonts w:ascii="Arial" w:eastAsia="Times New Roman" w:hAnsi="Arial" w:cs="Arial"/>
          <w:sz w:val="24"/>
          <w:szCs w:val="24"/>
          <w:lang w:val="en-GB" w:eastAsia="en-ZA"/>
        </w:rPr>
        <w:t xml:space="preserve"> ought to have held that the trustees were permitted to disburse funds to the business be</w:t>
      </w:r>
      <w:r w:rsidR="00A55268" w:rsidRPr="00212A17">
        <w:rPr>
          <w:rFonts w:ascii="Arial" w:eastAsia="Times New Roman" w:hAnsi="Arial" w:cs="Arial"/>
          <w:sz w:val="24"/>
          <w:szCs w:val="24"/>
          <w:lang w:val="en-GB" w:eastAsia="en-ZA"/>
        </w:rPr>
        <w:t>neficiaries</w:t>
      </w:r>
      <w:r w:rsidR="00F24222">
        <w:rPr>
          <w:rFonts w:ascii="Arial" w:eastAsia="Times New Roman" w:hAnsi="Arial" w:cs="Arial"/>
          <w:sz w:val="24"/>
          <w:szCs w:val="24"/>
          <w:lang w:val="en-GB" w:eastAsia="en-ZA"/>
        </w:rPr>
        <w:t>,</w:t>
      </w:r>
      <w:r w:rsidR="00A55268" w:rsidRPr="00212A17">
        <w:rPr>
          <w:rFonts w:ascii="Arial" w:eastAsia="Times New Roman" w:hAnsi="Arial" w:cs="Arial"/>
          <w:sz w:val="24"/>
          <w:szCs w:val="24"/>
          <w:lang w:val="en-GB" w:eastAsia="en-ZA"/>
        </w:rPr>
        <w:t xml:space="preserve"> whose work for the t</w:t>
      </w:r>
      <w:r w:rsidR="009C7438" w:rsidRPr="00212A17">
        <w:rPr>
          <w:rFonts w:ascii="Arial" w:eastAsia="Times New Roman" w:hAnsi="Arial" w:cs="Arial"/>
          <w:sz w:val="24"/>
          <w:szCs w:val="24"/>
          <w:lang w:val="en-GB" w:eastAsia="en-ZA"/>
        </w:rPr>
        <w:t xml:space="preserve">rust was done to support and develop farmers in the designated area. The disbursement of trust funds to these beneficiaries falls squarely within the defined purposes of </w:t>
      </w:r>
      <w:r w:rsidR="00A55268" w:rsidRPr="00212A17">
        <w:rPr>
          <w:rFonts w:ascii="Arial" w:eastAsia="Times New Roman" w:hAnsi="Arial" w:cs="Arial"/>
          <w:sz w:val="24"/>
          <w:szCs w:val="24"/>
          <w:lang w:val="en-GB" w:eastAsia="en-ZA"/>
        </w:rPr>
        <w:t>the t</w:t>
      </w:r>
      <w:r w:rsidR="009C7438" w:rsidRPr="00212A17">
        <w:rPr>
          <w:rFonts w:ascii="Arial" w:eastAsia="Times New Roman" w:hAnsi="Arial" w:cs="Arial"/>
          <w:sz w:val="24"/>
          <w:szCs w:val="24"/>
          <w:lang w:val="en-GB" w:eastAsia="en-ZA"/>
        </w:rPr>
        <w:t xml:space="preserve">rust as set out in clauses 2.2.1; 2.2.2.1; 2.2.2.3; </w:t>
      </w:r>
      <w:r w:rsidR="00F24222">
        <w:rPr>
          <w:rFonts w:ascii="Arial" w:eastAsia="Times New Roman" w:hAnsi="Arial" w:cs="Arial"/>
          <w:sz w:val="24"/>
          <w:szCs w:val="24"/>
          <w:lang w:val="en-GB" w:eastAsia="en-ZA"/>
        </w:rPr>
        <w:t xml:space="preserve">and </w:t>
      </w:r>
      <w:r w:rsidR="009C7438" w:rsidRPr="00212A17">
        <w:rPr>
          <w:rFonts w:ascii="Arial" w:eastAsia="Times New Roman" w:hAnsi="Arial" w:cs="Arial"/>
          <w:sz w:val="24"/>
          <w:szCs w:val="24"/>
          <w:lang w:val="en-GB" w:eastAsia="en-ZA"/>
        </w:rPr>
        <w:t>2.2.2.4.</w:t>
      </w:r>
    </w:p>
    <w:p w14:paraId="4D80CFEA" w14:textId="6E5AB8C1" w:rsidR="009C7438" w:rsidRPr="00212A17" w:rsidRDefault="00BD419B" w:rsidP="00BD419B">
      <w:pPr>
        <w:widowControl w:val="0"/>
        <w:tabs>
          <w:tab w:val="left" w:pos="-1440"/>
        </w:tabs>
        <w:autoSpaceDE w:val="0"/>
        <w:autoSpaceDN w:val="0"/>
        <w:adjustRightInd w:val="0"/>
        <w:spacing w:after="0" w:line="360" w:lineRule="auto"/>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4.</w:t>
      </w:r>
      <w:r w:rsidRPr="00212A17">
        <w:rPr>
          <w:rFonts w:ascii="Arial" w:eastAsia="Times New Roman" w:hAnsi="Arial" w:cs="Arial"/>
          <w:sz w:val="24"/>
          <w:szCs w:val="24"/>
          <w:lang w:val="en-GB" w:eastAsia="en-ZA"/>
        </w:rPr>
        <w:tab/>
      </w:r>
      <w:r w:rsidR="00A55268" w:rsidRPr="00212A17">
        <w:rPr>
          <w:rFonts w:ascii="Arial" w:eastAsia="Times New Roman" w:hAnsi="Arial" w:cs="Arial"/>
          <w:sz w:val="24"/>
          <w:szCs w:val="24"/>
          <w:lang w:val="en-GB" w:eastAsia="en-ZA"/>
        </w:rPr>
        <w:t xml:space="preserve">It was further stated that I </w:t>
      </w:r>
      <w:r w:rsidR="009C7438" w:rsidRPr="00212A17">
        <w:rPr>
          <w:rFonts w:ascii="Arial" w:eastAsia="Times New Roman" w:hAnsi="Arial" w:cs="Arial"/>
          <w:sz w:val="24"/>
          <w:szCs w:val="24"/>
          <w:lang w:val="en-GB" w:eastAsia="en-ZA"/>
        </w:rPr>
        <w:t xml:space="preserve">erred in finding that </w:t>
      </w:r>
      <w:r w:rsidR="008E4814">
        <w:rPr>
          <w:rFonts w:ascii="Arial" w:eastAsia="Times New Roman" w:hAnsi="Arial" w:cs="Arial"/>
          <w:sz w:val="24"/>
          <w:szCs w:val="24"/>
          <w:lang w:val="en-GB" w:eastAsia="en-ZA"/>
        </w:rPr>
        <w:t xml:space="preserve">the </w:t>
      </w:r>
      <w:r w:rsidR="009C7438" w:rsidRPr="00212A17">
        <w:rPr>
          <w:rFonts w:ascii="Arial" w:eastAsia="Times New Roman" w:hAnsi="Arial" w:cs="Arial"/>
          <w:sz w:val="24"/>
          <w:szCs w:val="24"/>
          <w:lang w:val="en-GB" w:eastAsia="en-ZA"/>
        </w:rPr>
        <w:t>disbursement of these funds to the business beneficiaries was detrimental to all of the beneficiaries</w:t>
      </w:r>
      <w:r w:rsidR="00F24222">
        <w:rPr>
          <w:rFonts w:ascii="Arial" w:eastAsia="Times New Roman" w:hAnsi="Arial" w:cs="Arial"/>
          <w:sz w:val="24"/>
          <w:szCs w:val="24"/>
          <w:lang w:val="en-GB" w:eastAsia="en-ZA"/>
        </w:rPr>
        <w:t>,</w:t>
      </w:r>
      <w:r w:rsidR="009C7438" w:rsidRPr="00212A17">
        <w:rPr>
          <w:rFonts w:ascii="Arial" w:eastAsia="Times New Roman" w:hAnsi="Arial" w:cs="Arial"/>
          <w:sz w:val="24"/>
          <w:szCs w:val="24"/>
          <w:lang w:val="en-GB" w:eastAsia="en-ZA"/>
        </w:rPr>
        <w:t xml:space="preserve"> when the work of the busine</w:t>
      </w:r>
      <w:r w:rsidR="00A55268" w:rsidRPr="00212A17">
        <w:rPr>
          <w:rFonts w:ascii="Arial" w:eastAsia="Times New Roman" w:hAnsi="Arial" w:cs="Arial"/>
          <w:sz w:val="24"/>
          <w:szCs w:val="24"/>
          <w:lang w:val="en-GB" w:eastAsia="en-ZA"/>
        </w:rPr>
        <w:t>ss beneficiaries was in pursuance of the goals of the t</w:t>
      </w:r>
      <w:r w:rsidR="009C7438" w:rsidRPr="00212A17">
        <w:rPr>
          <w:rFonts w:ascii="Arial" w:eastAsia="Times New Roman" w:hAnsi="Arial" w:cs="Arial"/>
          <w:sz w:val="24"/>
          <w:szCs w:val="24"/>
          <w:lang w:val="en-GB" w:eastAsia="en-ZA"/>
        </w:rPr>
        <w:t>rust</w:t>
      </w:r>
      <w:r w:rsidR="00A55268" w:rsidRPr="00212A17">
        <w:rPr>
          <w:rFonts w:ascii="Arial" w:eastAsia="Times New Roman" w:hAnsi="Arial" w:cs="Arial"/>
          <w:sz w:val="24"/>
          <w:szCs w:val="24"/>
          <w:lang w:val="en-GB" w:eastAsia="en-ZA"/>
        </w:rPr>
        <w:t>,</w:t>
      </w:r>
      <w:r w:rsidR="009C7438" w:rsidRPr="00212A17">
        <w:rPr>
          <w:rFonts w:ascii="Arial" w:eastAsia="Times New Roman" w:hAnsi="Arial" w:cs="Arial"/>
          <w:sz w:val="24"/>
          <w:szCs w:val="24"/>
          <w:lang w:val="en-GB" w:eastAsia="en-ZA"/>
        </w:rPr>
        <w:t xml:space="preserve"> being the support and development of farming in the regions. </w:t>
      </w:r>
    </w:p>
    <w:p w14:paraId="7AC2D0F6" w14:textId="500F19B9" w:rsidR="009C7438" w:rsidRPr="00212A17" w:rsidRDefault="00BD419B" w:rsidP="00BD419B">
      <w:pPr>
        <w:widowControl w:val="0"/>
        <w:tabs>
          <w:tab w:val="left" w:pos="-1440"/>
        </w:tabs>
        <w:autoSpaceDE w:val="0"/>
        <w:autoSpaceDN w:val="0"/>
        <w:adjustRightInd w:val="0"/>
        <w:spacing w:after="0" w:line="360" w:lineRule="auto"/>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5.</w:t>
      </w:r>
      <w:r w:rsidRPr="00212A17">
        <w:rPr>
          <w:rFonts w:ascii="Arial" w:eastAsia="Times New Roman" w:hAnsi="Arial" w:cs="Arial"/>
          <w:sz w:val="24"/>
          <w:szCs w:val="24"/>
          <w:lang w:val="en-GB" w:eastAsia="en-ZA"/>
        </w:rPr>
        <w:tab/>
      </w:r>
      <w:r w:rsidR="00A55268" w:rsidRPr="00212A17">
        <w:rPr>
          <w:rFonts w:ascii="Arial" w:eastAsia="Times New Roman" w:hAnsi="Arial" w:cs="Arial"/>
          <w:sz w:val="24"/>
          <w:szCs w:val="24"/>
          <w:lang w:val="en-GB" w:eastAsia="en-ZA"/>
        </w:rPr>
        <w:t>It was also stated that I</w:t>
      </w:r>
      <w:r w:rsidR="009C7438" w:rsidRPr="00212A17">
        <w:rPr>
          <w:rFonts w:ascii="Arial" w:eastAsia="Times New Roman" w:hAnsi="Arial" w:cs="Arial"/>
          <w:sz w:val="24"/>
          <w:szCs w:val="24"/>
          <w:lang w:val="en-GB" w:eastAsia="en-ZA"/>
        </w:rPr>
        <w:t xml:space="preserve"> erred in finding that the payments made to the business beneficiaries did not </w:t>
      </w:r>
      <w:r w:rsidR="007E4CE8" w:rsidRPr="00212A17">
        <w:rPr>
          <w:rFonts w:ascii="Arial" w:eastAsia="Times New Roman" w:hAnsi="Arial" w:cs="Arial"/>
          <w:sz w:val="24"/>
          <w:szCs w:val="24"/>
          <w:lang w:val="en-GB" w:eastAsia="en-ZA"/>
        </w:rPr>
        <w:t>promote the objects of the t</w:t>
      </w:r>
      <w:r w:rsidR="009C7438" w:rsidRPr="00212A17">
        <w:rPr>
          <w:rFonts w:ascii="Arial" w:eastAsia="Times New Roman" w:hAnsi="Arial" w:cs="Arial"/>
          <w:sz w:val="24"/>
          <w:szCs w:val="24"/>
          <w:lang w:val="en-GB" w:eastAsia="en-ZA"/>
        </w:rPr>
        <w:t>rust</w:t>
      </w:r>
      <w:r w:rsidR="007D66EC">
        <w:rPr>
          <w:rFonts w:ascii="Arial" w:eastAsia="Times New Roman" w:hAnsi="Arial" w:cs="Arial"/>
          <w:sz w:val="24"/>
          <w:szCs w:val="24"/>
          <w:lang w:val="en-GB" w:eastAsia="en-ZA"/>
        </w:rPr>
        <w:t>,</w:t>
      </w:r>
      <w:r w:rsidR="009C7438" w:rsidRPr="00212A17">
        <w:rPr>
          <w:rFonts w:ascii="Arial" w:eastAsia="Times New Roman" w:hAnsi="Arial" w:cs="Arial"/>
          <w:sz w:val="24"/>
          <w:szCs w:val="24"/>
          <w:lang w:val="en-GB" w:eastAsia="en-ZA"/>
        </w:rPr>
        <w:t xml:space="preserve"> which included the alleviation of poverty and creation of sustainable businesses, when the evidence by the respondents was that all the work of the (non-farming) beneficiaries and for which the funds were disbursed, were directed at these objects. </w:t>
      </w:r>
    </w:p>
    <w:p w14:paraId="46A50D9D" w14:textId="3253B337" w:rsidR="009C7438" w:rsidRPr="00212A17" w:rsidRDefault="00BD419B" w:rsidP="00BD419B">
      <w:pPr>
        <w:widowControl w:val="0"/>
        <w:tabs>
          <w:tab w:val="left" w:pos="-1440"/>
        </w:tabs>
        <w:autoSpaceDE w:val="0"/>
        <w:autoSpaceDN w:val="0"/>
        <w:adjustRightInd w:val="0"/>
        <w:spacing w:after="0" w:line="360" w:lineRule="auto"/>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6.</w:t>
      </w:r>
      <w:r w:rsidRPr="00212A17">
        <w:rPr>
          <w:rFonts w:ascii="Arial" w:eastAsia="Times New Roman" w:hAnsi="Arial" w:cs="Arial"/>
          <w:sz w:val="24"/>
          <w:szCs w:val="24"/>
          <w:lang w:val="en-GB" w:eastAsia="en-ZA"/>
        </w:rPr>
        <w:tab/>
      </w:r>
      <w:r w:rsidR="009C7438" w:rsidRPr="00212A17">
        <w:rPr>
          <w:rFonts w:ascii="Arial" w:eastAsia="Times New Roman" w:hAnsi="Arial" w:cs="Arial"/>
          <w:sz w:val="24"/>
          <w:szCs w:val="24"/>
          <w:lang w:val="en-GB" w:eastAsia="en-ZA"/>
        </w:rPr>
        <w:t>In relation to the payment by the Peakers Trust of R10 million</w:t>
      </w:r>
      <w:r w:rsidR="007E4CE8" w:rsidRPr="00212A17">
        <w:rPr>
          <w:rFonts w:ascii="Arial" w:eastAsia="Times New Roman" w:hAnsi="Arial" w:cs="Arial"/>
          <w:sz w:val="24"/>
          <w:szCs w:val="24"/>
          <w:lang w:val="en-GB" w:eastAsia="en-ZA"/>
        </w:rPr>
        <w:t xml:space="preserve"> it was stated that</w:t>
      </w:r>
      <w:r w:rsidR="009C7438" w:rsidRPr="00212A17">
        <w:rPr>
          <w:rFonts w:ascii="Arial" w:eastAsia="Times New Roman" w:hAnsi="Arial" w:cs="Arial"/>
          <w:sz w:val="24"/>
          <w:szCs w:val="24"/>
          <w:lang w:val="en-GB" w:eastAsia="en-ZA"/>
        </w:rPr>
        <w:t>:</w:t>
      </w:r>
    </w:p>
    <w:p w14:paraId="65117E4F" w14:textId="7B149617" w:rsidR="009C7438" w:rsidRPr="00212A17" w:rsidRDefault="007E4CE8" w:rsidP="00212A17">
      <w:pPr>
        <w:widowControl w:val="0"/>
        <w:tabs>
          <w:tab w:val="left" w:pos="-144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 xml:space="preserve">6.1 </w:t>
      </w:r>
      <w:r w:rsidR="00212A17">
        <w:rPr>
          <w:rFonts w:ascii="Arial" w:eastAsia="Times New Roman" w:hAnsi="Arial" w:cs="Arial"/>
          <w:sz w:val="24"/>
          <w:szCs w:val="24"/>
          <w:lang w:val="en-GB" w:eastAsia="en-ZA"/>
        </w:rPr>
        <w:tab/>
      </w:r>
      <w:r w:rsidR="009C7438" w:rsidRPr="00212A17">
        <w:rPr>
          <w:rFonts w:ascii="Arial" w:eastAsia="Times New Roman" w:hAnsi="Arial" w:cs="Arial"/>
          <w:sz w:val="24"/>
          <w:szCs w:val="24"/>
          <w:lang w:val="en-GB" w:eastAsia="en-ZA"/>
        </w:rPr>
        <w:t xml:space="preserve">No affidavit was placed before the </w:t>
      </w:r>
      <w:r w:rsidR="008E4814">
        <w:rPr>
          <w:rFonts w:ascii="Arial" w:eastAsia="Times New Roman" w:hAnsi="Arial" w:cs="Arial"/>
          <w:sz w:val="24"/>
          <w:szCs w:val="24"/>
          <w:lang w:val="en-GB" w:eastAsia="en-ZA"/>
        </w:rPr>
        <w:t>c</w:t>
      </w:r>
      <w:r w:rsidR="009C7438" w:rsidRPr="00212A17">
        <w:rPr>
          <w:rFonts w:ascii="Arial" w:eastAsia="Times New Roman" w:hAnsi="Arial" w:cs="Arial"/>
          <w:sz w:val="24"/>
          <w:szCs w:val="24"/>
          <w:lang w:val="en-GB" w:eastAsia="en-ZA"/>
        </w:rPr>
        <w:t xml:space="preserve">ourt on behalf of the Peakers Trust. All of the evidence about the nature and purpose of the payment of </w:t>
      </w:r>
      <w:r w:rsidR="007D66EC">
        <w:rPr>
          <w:rFonts w:ascii="Arial" w:eastAsia="Times New Roman" w:hAnsi="Arial" w:cs="Arial"/>
          <w:sz w:val="24"/>
          <w:szCs w:val="24"/>
          <w:lang w:val="en-GB" w:eastAsia="en-ZA"/>
        </w:rPr>
        <w:t xml:space="preserve">the </w:t>
      </w:r>
      <w:r w:rsidR="009C7438" w:rsidRPr="00212A17">
        <w:rPr>
          <w:rFonts w:ascii="Arial" w:eastAsia="Times New Roman" w:hAnsi="Arial" w:cs="Arial"/>
          <w:sz w:val="24"/>
          <w:szCs w:val="24"/>
          <w:lang w:val="en-GB" w:eastAsia="en-ZA"/>
        </w:rPr>
        <w:t xml:space="preserve">R10 million was hearsay. </w:t>
      </w:r>
    </w:p>
    <w:p w14:paraId="677F1553" w14:textId="79399D47" w:rsidR="009C7438" w:rsidRPr="00BD419B" w:rsidRDefault="00BD419B" w:rsidP="00BD419B">
      <w:pPr>
        <w:widowControl w:val="0"/>
        <w:tabs>
          <w:tab w:val="left" w:pos="-1440"/>
        </w:tabs>
        <w:autoSpaceDE w:val="0"/>
        <w:autoSpaceDN w:val="0"/>
        <w:adjustRightInd w:val="0"/>
        <w:spacing w:after="0" w:line="360" w:lineRule="auto"/>
        <w:ind w:left="720" w:hanging="720"/>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6.2</w:t>
      </w:r>
      <w:r w:rsidRPr="00212A17">
        <w:rPr>
          <w:rFonts w:ascii="Arial" w:eastAsia="Times New Roman" w:hAnsi="Arial" w:cs="Arial"/>
          <w:sz w:val="24"/>
          <w:szCs w:val="24"/>
          <w:lang w:val="en-GB" w:eastAsia="en-ZA"/>
        </w:rPr>
        <w:tab/>
      </w:r>
      <w:r w:rsidR="009C7438" w:rsidRPr="00BD419B">
        <w:rPr>
          <w:rFonts w:ascii="Arial" w:eastAsia="Times New Roman" w:hAnsi="Arial" w:cs="Arial"/>
          <w:sz w:val="24"/>
          <w:szCs w:val="24"/>
          <w:lang w:val="en-GB" w:eastAsia="en-ZA"/>
        </w:rPr>
        <w:t>The impetus and the terms of the payment by the Peakers Trust was a key consideration in reviewing the decision by the trustees to disburse it in the manner in which they did.</w:t>
      </w:r>
      <w:r w:rsidR="00C35896" w:rsidRPr="00BD419B">
        <w:rPr>
          <w:rFonts w:ascii="Arial" w:eastAsia="Times New Roman" w:hAnsi="Arial" w:cs="Arial"/>
          <w:sz w:val="24"/>
          <w:szCs w:val="24"/>
          <w:lang w:val="en-GB" w:eastAsia="en-ZA"/>
        </w:rPr>
        <w:t xml:space="preserve"> </w:t>
      </w:r>
    </w:p>
    <w:p w14:paraId="769D4BA1" w14:textId="57A40899" w:rsidR="009C7438" w:rsidRPr="00BD419B" w:rsidRDefault="00BD419B" w:rsidP="00BD419B">
      <w:pPr>
        <w:widowControl w:val="0"/>
        <w:tabs>
          <w:tab w:val="left" w:pos="-1440"/>
        </w:tabs>
        <w:autoSpaceDE w:val="0"/>
        <w:autoSpaceDN w:val="0"/>
        <w:adjustRightInd w:val="0"/>
        <w:spacing w:after="0" w:line="360" w:lineRule="auto"/>
        <w:ind w:left="720" w:hanging="720"/>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6.3</w:t>
      </w:r>
      <w:r w:rsidRPr="00212A17">
        <w:rPr>
          <w:rFonts w:ascii="Arial" w:eastAsia="Times New Roman" w:hAnsi="Arial" w:cs="Arial"/>
          <w:sz w:val="24"/>
          <w:szCs w:val="24"/>
          <w:lang w:val="en-GB" w:eastAsia="en-ZA"/>
        </w:rPr>
        <w:tab/>
      </w:r>
      <w:r w:rsidR="007E4CE8" w:rsidRPr="00BD419B">
        <w:rPr>
          <w:rFonts w:ascii="Arial" w:eastAsia="Times New Roman" w:hAnsi="Arial" w:cs="Arial"/>
          <w:sz w:val="24"/>
          <w:szCs w:val="24"/>
          <w:lang w:val="en-GB" w:eastAsia="en-ZA"/>
        </w:rPr>
        <w:t>I</w:t>
      </w:r>
      <w:r w:rsidR="009C7438" w:rsidRPr="00BD419B">
        <w:rPr>
          <w:rFonts w:ascii="Arial" w:eastAsia="Times New Roman" w:hAnsi="Arial" w:cs="Arial"/>
          <w:sz w:val="24"/>
          <w:szCs w:val="24"/>
          <w:lang w:val="en-GB" w:eastAsia="en-ZA"/>
        </w:rPr>
        <w:t xml:space="preserve"> erred in </w:t>
      </w:r>
      <w:r w:rsidR="007E4CE8" w:rsidRPr="00BD419B">
        <w:rPr>
          <w:rFonts w:ascii="Arial" w:eastAsia="Times New Roman" w:hAnsi="Arial" w:cs="Arial"/>
          <w:sz w:val="24"/>
          <w:szCs w:val="24"/>
          <w:lang w:val="en-GB" w:eastAsia="en-ZA"/>
        </w:rPr>
        <w:t>failing to refer this dispute for</w:t>
      </w:r>
      <w:r w:rsidR="009C7438" w:rsidRPr="00BD419B">
        <w:rPr>
          <w:rFonts w:ascii="Arial" w:eastAsia="Times New Roman" w:hAnsi="Arial" w:cs="Arial"/>
          <w:sz w:val="24"/>
          <w:szCs w:val="24"/>
          <w:lang w:val="en-GB" w:eastAsia="en-ZA"/>
        </w:rPr>
        <w:t xml:space="preserve"> the hearing of oral evidence, alternatively in failing to accept the evidence about this payment put forward by the respondents. </w:t>
      </w:r>
    </w:p>
    <w:p w14:paraId="301228C2" w14:textId="196A328D" w:rsidR="009C7438" w:rsidRPr="00212A17" w:rsidRDefault="00BD419B" w:rsidP="00BD419B">
      <w:pPr>
        <w:widowControl w:val="0"/>
        <w:tabs>
          <w:tab w:val="left" w:pos="-144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6.4</w:t>
      </w:r>
      <w:r w:rsidRPr="00212A17">
        <w:rPr>
          <w:rFonts w:ascii="Arial" w:eastAsia="Times New Roman" w:hAnsi="Arial" w:cs="Arial"/>
          <w:sz w:val="24"/>
          <w:szCs w:val="24"/>
          <w:lang w:val="en-GB" w:eastAsia="en-ZA"/>
        </w:rPr>
        <w:tab/>
      </w:r>
      <w:r w:rsidR="009C7438" w:rsidRPr="00212A17">
        <w:rPr>
          <w:rFonts w:ascii="Arial" w:eastAsia="Times New Roman" w:hAnsi="Arial" w:cs="Arial"/>
          <w:sz w:val="24"/>
          <w:szCs w:val="24"/>
          <w:lang w:val="en-GB" w:eastAsia="en-ZA"/>
        </w:rPr>
        <w:t>The evidence by the respondents w</w:t>
      </w:r>
      <w:r w:rsidR="007E4CE8" w:rsidRPr="00212A17">
        <w:rPr>
          <w:rFonts w:ascii="Arial" w:eastAsia="Times New Roman" w:hAnsi="Arial" w:cs="Arial"/>
          <w:sz w:val="24"/>
          <w:szCs w:val="24"/>
          <w:lang w:val="en-GB" w:eastAsia="en-ZA"/>
        </w:rPr>
        <w:t>as that applications</w:t>
      </w:r>
      <w:r w:rsidR="007D66EC">
        <w:rPr>
          <w:rFonts w:ascii="Arial" w:eastAsia="Times New Roman" w:hAnsi="Arial" w:cs="Arial"/>
          <w:sz w:val="24"/>
          <w:szCs w:val="24"/>
          <w:lang w:val="en-GB" w:eastAsia="en-ZA"/>
        </w:rPr>
        <w:t xml:space="preserve"> for funding</w:t>
      </w:r>
      <w:r w:rsidR="007E4CE8" w:rsidRPr="00212A17">
        <w:rPr>
          <w:rFonts w:ascii="Arial" w:eastAsia="Times New Roman" w:hAnsi="Arial" w:cs="Arial"/>
          <w:sz w:val="24"/>
          <w:szCs w:val="24"/>
          <w:lang w:val="en-GB" w:eastAsia="en-ZA"/>
        </w:rPr>
        <w:t xml:space="preserve"> </w:t>
      </w:r>
      <w:r w:rsidR="007D66EC">
        <w:rPr>
          <w:rFonts w:ascii="Arial" w:eastAsia="Times New Roman" w:hAnsi="Arial" w:cs="Arial"/>
          <w:sz w:val="24"/>
          <w:szCs w:val="24"/>
          <w:lang w:val="en-GB" w:eastAsia="en-ZA"/>
        </w:rPr>
        <w:t xml:space="preserve">made </w:t>
      </w:r>
      <w:r w:rsidR="009C7438" w:rsidRPr="00212A17">
        <w:rPr>
          <w:rFonts w:ascii="Arial" w:eastAsia="Times New Roman" w:hAnsi="Arial" w:cs="Arial"/>
          <w:sz w:val="24"/>
          <w:szCs w:val="24"/>
          <w:lang w:val="en-GB" w:eastAsia="en-ZA"/>
        </w:rPr>
        <w:t>to the Peakers Trust</w:t>
      </w:r>
      <w:r w:rsidR="009B4DCF" w:rsidRPr="00212A17">
        <w:rPr>
          <w:rFonts w:ascii="Arial" w:eastAsia="Times New Roman" w:hAnsi="Arial" w:cs="Arial"/>
          <w:sz w:val="24"/>
          <w:szCs w:val="24"/>
          <w:lang w:val="en-GB" w:eastAsia="en-ZA"/>
        </w:rPr>
        <w:t xml:space="preserve"> were</w:t>
      </w:r>
      <w:r w:rsidR="009C7438" w:rsidRPr="00212A17">
        <w:rPr>
          <w:rFonts w:ascii="Arial" w:eastAsia="Times New Roman" w:hAnsi="Arial" w:cs="Arial"/>
          <w:sz w:val="24"/>
          <w:szCs w:val="24"/>
          <w:lang w:val="en-GB" w:eastAsia="en-ZA"/>
        </w:rPr>
        <w:t xml:space="preserve"> a comprehensive process.</w:t>
      </w:r>
      <w:r w:rsidR="00C35896" w:rsidRPr="00212A17">
        <w:rPr>
          <w:rFonts w:ascii="Arial" w:eastAsia="Times New Roman" w:hAnsi="Arial" w:cs="Arial"/>
          <w:sz w:val="24"/>
          <w:szCs w:val="24"/>
          <w:lang w:val="en-GB" w:eastAsia="en-ZA"/>
        </w:rPr>
        <w:t xml:space="preserve"> </w:t>
      </w:r>
      <w:r w:rsidR="009C7438" w:rsidRPr="00212A17">
        <w:rPr>
          <w:rFonts w:ascii="Arial" w:eastAsia="Times New Roman" w:hAnsi="Arial" w:cs="Arial"/>
          <w:sz w:val="24"/>
          <w:szCs w:val="24"/>
          <w:lang w:val="en-GB" w:eastAsia="en-ZA"/>
        </w:rPr>
        <w:t>E</w:t>
      </w:r>
      <w:r w:rsidR="007E4CE8" w:rsidRPr="00212A17">
        <w:rPr>
          <w:rFonts w:ascii="Arial" w:eastAsia="Times New Roman" w:hAnsi="Arial" w:cs="Arial"/>
          <w:sz w:val="24"/>
          <w:szCs w:val="24"/>
          <w:lang w:val="en-GB" w:eastAsia="en-ZA"/>
        </w:rPr>
        <w:t>xamples of applications by the t</w:t>
      </w:r>
      <w:r w:rsidR="009C7438" w:rsidRPr="00212A17">
        <w:rPr>
          <w:rFonts w:ascii="Arial" w:eastAsia="Times New Roman" w:hAnsi="Arial" w:cs="Arial"/>
          <w:sz w:val="24"/>
          <w:szCs w:val="24"/>
          <w:lang w:val="en-GB" w:eastAsia="en-ZA"/>
        </w:rPr>
        <w:t xml:space="preserve">rust for funding </w:t>
      </w:r>
      <w:r w:rsidR="008705F4">
        <w:rPr>
          <w:rFonts w:ascii="Arial" w:eastAsia="Times New Roman" w:hAnsi="Arial" w:cs="Arial"/>
          <w:sz w:val="24"/>
          <w:szCs w:val="24"/>
          <w:lang w:val="en-GB" w:eastAsia="en-ZA"/>
        </w:rPr>
        <w:t>for</w:t>
      </w:r>
      <w:r w:rsidR="009C7438" w:rsidRPr="00212A17">
        <w:rPr>
          <w:rFonts w:ascii="Arial" w:eastAsia="Times New Roman" w:hAnsi="Arial" w:cs="Arial"/>
          <w:sz w:val="24"/>
          <w:szCs w:val="24"/>
          <w:lang w:val="en-GB" w:eastAsia="en-ZA"/>
        </w:rPr>
        <w:t xml:space="preserve"> R17 million is referred to in the Peaker</w:t>
      </w:r>
      <w:r w:rsidR="008705F4">
        <w:rPr>
          <w:rFonts w:ascii="Arial" w:eastAsia="Times New Roman" w:hAnsi="Arial" w:cs="Arial"/>
          <w:sz w:val="24"/>
          <w:szCs w:val="24"/>
          <w:lang w:val="en-GB" w:eastAsia="en-ZA"/>
        </w:rPr>
        <w:t>s</w:t>
      </w:r>
      <w:r w:rsidR="009C7438" w:rsidRPr="00212A17">
        <w:rPr>
          <w:rFonts w:ascii="Arial" w:eastAsia="Times New Roman" w:hAnsi="Arial" w:cs="Arial"/>
          <w:sz w:val="24"/>
          <w:szCs w:val="24"/>
          <w:lang w:val="en-GB" w:eastAsia="en-ZA"/>
        </w:rPr>
        <w:t xml:space="preserve"> Board Minutes dated </w:t>
      </w:r>
      <w:r w:rsidR="009C7438" w:rsidRPr="00212A17">
        <w:rPr>
          <w:rFonts w:ascii="Arial" w:eastAsia="Times New Roman" w:hAnsi="Arial" w:cs="Arial"/>
          <w:sz w:val="24"/>
          <w:szCs w:val="24"/>
          <w:lang w:val="en-GB" w:eastAsia="en-ZA"/>
        </w:rPr>
        <w:lastRenderedPageBreak/>
        <w:t>29 April 2022.</w:t>
      </w:r>
    </w:p>
    <w:p w14:paraId="2D989675" w14:textId="46D5F6CF" w:rsidR="009C7438" w:rsidRPr="008E4814" w:rsidRDefault="00BD419B" w:rsidP="00BD419B">
      <w:pPr>
        <w:widowControl w:val="0"/>
        <w:tabs>
          <w:tab w:val="left" w:pos="-144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8E4814">
        <w:rPr>
          <w:rFonts w:ascii="Arial" w:eastAsia="Times New Roman" w:hAnsi="Arial" w:cs="Arial"/>
          <w:sz w:val="24"/>
          <w:szCs w:val="24"/>
          <w:lang w:val="en-GB" w:eastAsia="en-ZA"/>
        </w:rPr>
        <w:t>6.5</w:t>
      </w:r>
      <w:r w:rsidRPr="008E4814">
        <w:rPr>
          <w:rFonts w:ascii="Arial" w:eastAsia="Times New Roman" w:hAnsi="Arial" w:cs="Arial"/>
          <w:sz w:val="24"/>
          <w:szCs w:val="24"/>
          <w:lang w:val="en-GB" w:eastAsia="en-ZA"/>
        </w:rPr>
        <w:tab/>
      </w:r>
      <w:r w:rsidR="009C7438" w:rsidRPr="00212A17">
        <w:rPr>
          <w:rFonts w:ascii="Arial" w:eastAsia="Times New Roman" w:hAnsi="Arial" w:cs="Arial"/>
          <w:sz w:val="24"/>
          <w:szCs w:val="24"/>
          <w:lang w:val="en-GB" w:eastAsia="en-ZA"/>
        </w:rPr>
        <w:t>By contrast, the payment by the Peakers Trust of the special distribution of R10 million did not arise from any such applica</w:t>
      </w:r>
      <w:r w:rsidR="007E4CE8" w:rsidRPr="00212A17">
        <w:rPr>
          <w:rFonts w:ascii="Arial" w:eastAsia="Times New Roman" w:hAnsi="Arial" w:cs="Arial"/>
          <w:sz w:val="24"/>
          <w:szCs w:val="24"/>
          <w:lang w:val="en-GB" w:eastAsia="en-ZA"/>
        </w:rPr>
        <w:t xml:space="preserve">tion and was simply to be </w:t>
      </w:r>
      <w:r w:rsidR="007E4CE8" w:rsidRPr="008E4814">
        <w:rPr>
          <w:rFonts w:ascii="Arial" w:eastAsia="Times New Roman" w:hAnsi="Arial" w:cs="Arial"/>
          <w:sz w:val="24"/>
          <w:szCs w:val="24"/>
          <w:lang w:val="en-GB" w:eastAsia="en-ZA"/>
        </w:rPr>
        <w:t>‘</w:t>
      </w:r>
      <w:r w:rsidR="009C7438" w:rsidRPr="008E4814">
        <w:rPr>
          <w:rFonts w:ascii="Arial" w:eastAsia="Times New Roman" w:hAnsi="Arial" w:cs="Arial"/>
          <w:iCs/>
          <w:sz w:val="24"/>
          <w:szCs w:val="24"/>
          <w:lang w:val="en-GB" w:eastAsia="en-ZA"/>
        </w:rPr>
        <w:t>managed in compliance with the beneficiary trust deeds objectives</w:t>
      </w:r>
      <w:r w:rsidR="00ED7382">
        <w:rPr>
          <w:rFonts w:ascii="Arial" w:eastAsia="Times New Roman" w:hAnsi="Arial" w:cs="Arial"/>
          <w:iCs/>
          <w:sz w:val="24"/>
          <w:szCs w:val="24"/>
          <w:lang w:val="en-GB" w:eastAsia="en-ZA"/>
        </w:rPr>
        <w:t>’</w:t>
      </w:r>
      <w:r w:rsidR="007E4CE8" w:rsidRPr="008E4814">
        <w:rPr>
          <w:rFonts w:ascii="Arial" w:eastAsia="Times New Roman" w:hAnsi="Arial" w:cs="Arial"/>
          <w:sz w:val="24"/>
          <w:szCs w:val="24"/>
          <w:lang w:val="en-GB" w:eastAsia="en-ZA"/>
        </w:rPr>
        <w:t>.</w:t>
      </w:r>
      <w:r w:rsidR="009C7438" w:rsidRPr="008E4814">
        <w:rPr>
          <w:rFonts w:ascii="Arial" w:eastAsia="Times New Roman" w:hAnsi="Arial" w:cs="Arial"/>
          <w:sz w:val="24"/>
          <w:szCs w:val="24"/>
          <w:lang w:val="en-GB" w:eastAsia="en-ZA"/>
        </w:rPr>
        <w:t xml:space="preserve"> </w:t>
      </w:r>
    </w:p>
    <w:p w14:paraId="51A0AB27" w14:textId="7E34B378" w:rsidR="009C7438" w:rsidRPr="00212A17" w:rsidRDefault="00BD419B" w:rsidP="00BD419B">
      <w:pPr>
        <w:widowControl w:val="0"/>
        <w:tabs>
          <w:tab w:val="left" w:pos="-1440"/>
        </w:tabs>
        <w:autoSpaceDE w:val="0"/>
        <w:autoSpaceDN w:val="0"/>
        <w:adjustRightInd w:val="0"/>
        <w:spacing w:after="0" w:line="360" w:lineRule="auto"/>
        <w:ind w:left="720" w:hanging="720"/>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6.6</w:t>
      </w:r>
      <w:r w:rsidRPr="00212A17">
        <w:rPr>
          <w:rFonts w:ascii="Arial" w:eastAsia="Times New Roman" w:hAnsi="Arial" w:cs="Arial"/>
          <w:sz w:val="24"/>
          <w:szCs w:val="24"/>
          <w:lang w:val="en-GB" w:eastAsia="en-ZA"/>
        </w:rPr>
        <w:tab/>
      </w:r>
      <w:r w:rsidR="009C7438" w:rsidRPr="00212A17">
        <w:rPr>
          <w:rFonts w:ascii="Arial" w:eastAsia="Times New Roman" w:hAnsi="Arial" w:cs="Arial"/>
          <w:sz w:val="24"/>
          <w:szCs w:val="24"/>
          <w:lang w:val="en-GB" w:eastAsia="en-ZA"/>
        </w:rPr>
        <w:t xml:space="preserve">The Trustees were free to use this amount to </w:t>
      </w:r>
      <w:r w:rsidR="009C7438" w:rsidRPr="00212A17">
        <w:rPr>
          <w:rFonts w:ascii="Arial" w:eastAsia="Times New Roman" w:hAnsi="Arial" w:cs="Arial"/>
          <w:i/>
          <w:iCs/>
          <w:sz w:val="24"/>
          <w:szCs w:val="24"/>
          <w:lang w:val="en-GB" w:eastAsia="en-ZA"/>
        </w:rPr>
        <w:t>inter alia</w:t>
      </w:r>
      <w:r w:rsidR="009C7438" w:rsidRPr="00212A17">
        <w:rPr>
          <w:rFonts w:ascii="Arial" w:eastAsia="Times New Roman" w:hAnsi="Arial" w:cs="Arial"/>
          <w:sz w:val="24"/>
          <w:szCs w:val="24"/>
          <w:lang w:val="en-GB" w:eastAsia="en-ZA"/>
        </w:rPr>
        <w:t xml:space="preserve"> fund the work of the beneficiaries which was being undertaken on an ongoing basis</w:t>
      </w:r>
      <w:r w:rsidR="00E00FE9" w:rsidRPr="00212A17">
        <w:rPr>
          <w:rFonts w:ascii="Arial" w:eastAsia="Times New Roman" w:hAnsi="Arial" w:cs="Arial"/>
          <w:sz w:val="24"/>
          <w:szCs w:val="24"/>
          <w:lang w:val="en-GB" w:eastAsia="en-ZA"/>
        </w:rPr>
        <w:t xml:space="preserve"> </w:t>
      </w:r>
      <w:r w:rsidR="008705F4">
        <w:rPr>
          <w:rFonts w:ascii="Arial" w:eastAsia="Times New Roman" w:hAnsi="Arial" w:cs="Arial"/>
          <w:sz w:val="24"/>
          <w:szCs w:val="24"/>
          <w:lang w:val="en-GB" w:eastAsia="en-ZA"/>
        </w:rPr>
        <w:t>to further</w:t>
      </w:r>
      <w:r w:rsidR="008705F4" w:rsidRPr="00212A17">
        <w:rPr>
          <w:rFonts w:ascii="Arial" w:eastAsia="Times New Roman" w:hAnsi="Arial" w:cs="Arial"/>
          <w:sz w:val="24"/>
          <w:szCs w:val="24"/>
          <w:lang w:val="en-GB" w:eastAsia="en-ZA"/>
        </w:rPr>
        <w:t xml:space="preserve"> </w:t>
      </w:r>
      <w:r w:rsidR="00E00FE9" w:rsidRPr="00212A17">
        <w:rPr>
          <w:rFonts w:ascii="Arial" w:eastAsia="Times New Roman" w:hAnsi="Arial" w:cs="Arial"/>
          <w:sz w:val="24"/>
          <w:szCs w:val="24"/>
          <w:lang w:val="en-GB" w:eastAsia="en-ZA"/>
        </w:rPr>
        <w:t>the goals of the trust.</w:t>
      </w:r>
      <w:r w:rsidR="009C7438" w:rsidRPr="00212A17">
        <w:rPr>
          <w:rFonts w:ascii="Arial" w:eastAsia="Times New Roman" w:hAnsi="Arial" w:cs="Arial"/>
          <w:sz w:val="24"/>
          <w:szCs w:val="24"/>
          <w:lang w:val="en-GB" w:eastAsia="en-ZA"/>
        </w:rPr>
        <w:t xml:space="preserve"> </w:t>
      </w:r>
    </w:p>
    <w:p w14:paraId="60A9113A" w14:textId="180B226F" w:rsidR="009C7438" w:rsidRPr="00212A17" w:rsidRDefault="00BD419B" w:rsidP="00BD419B">
      <w:pPr>
        <w:widowControl w:val="0"/>
        <w:tabs>
          <w:tab w:val="left" w:pos="-1440"/>
        </w:tabs>
        <w:autoSpaceDE w:val="0"/>
        <w:autoSpaceDN w:val="0"/>
        <w:adjustRightInd w:val="0"/>
        <w:spacing w:after="0" w:line="360" w:lineRule="auto"/>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7.</w:t>
      </w:r>
      <w:r w:rsidRPr="00212A17">
        <w:rPr>
          <w:rFonts w:ascii="Arial" w:eastAsia="Times New Roman" w:hAnsi="Arial" w:cs="Arial"/>
          <w:sz w:val="24"/>
          <w:szCs w:val="24"/>
          <w:lang w:val="en-GB" w:eastAsia="en-ZA"/>
        </w:rPr>
        <w:tab/>
      </w:r>
      <w:r w:rsidR="00E00FE9" w:rsidRPr="00212A17">
        <w:rPr>
          <w:rFonts w:ascii="Arial" w:eastAsia="Times New Roman" w:hAnsi="Arial" w:cs="Arial"/>
          <w:sz w:val="24"/>
          <w:szCs w:val="24"/>
          <w:lang w:val="en-GB" w:eastAsia="en-ZA"/>
        </w:rPr>
        <w:t>It was further stated that I</w:t>
      </w:r>
      <w:r w:rsidR="009C7438" w:rsidRPr="00212A17">
        <w:rPr>
          <w:rFonts w:ascii="Arial" w:eastAsia="Times New Roman" w:hAnsi="Arial" w:cs="Arial"/>
          <w:sz w:val="24"/>
          <w:szCs w:val="24"/>
          <w:lang w:val="en-GB" w:eastAsia="en-ZA"/>
        </w:rPr>
        <w:t xml:space="preserve"> erred in finding that the payments made to the third </w:t>
      </w:r>
      <w:r w:rsidR="00ED7382">
        <w:rPr>
          <w:rFonts w:ascii="Arial" w:eastAsia="Times New Roman" w:hAnsi="Arial" w:cs="Arial"/>
          <w:sz w:val="24"/>
          <w:szCs w:val="24"/>
          <w:lang w:val="en-GB" w:eastAsia="en-ZA"/>
        </w:rPr>
        <w:t>and/</w:t>
      </w:r>
      <w:r w:rsidR="009C7438" w:rsidRPr="00212A17">
        <w:rPr>
          <w:rFonts w:ascii="Arial" w:eastAsia="Times New Roman" w:hAnsi="Arial" w:cs="Arial"/>
          <w:sz w:val="24"/>
          <w:szCs w:val="24"/>
          <w:lang w:val="en-GB" w:eastAsia="en-ZA"/>
        </w:rPr>
        <w:t xml:space="preserve">or fourth respondents justified their removal from office. The third respondent had worked for the </w:t>
      </w:r>
      <w:r w:rsidR="00ED7382">
        <w:rPr>
          <w:rFonts w:ascii="Arial" w:eastAsia="Times New Roman" w:hAnsi="Arial" w:cs="Arial"/>
          <w:sz w:val="24"/>
          <w:szCs w:val="24"/>
          <w:lang w:val="en-GB" w:eastAsia="en-ZA"/>
        </w:rPr>
        <w:t>t</w:t>
      </w:r>
      <w:r w:rsidR="009C7438" w:rsidRPr="00212A17">
        <w:rPr>
          <w:rFonts w:ascii="Arial" w:eastAsia="Times New Roman" w:hAnsi="Arial" w:cs="Arial"/>
          <w:sz w:val="24"/>
          <w:szCs w:val="24"/>
          <w:lang w:val="en-GB" w:eastAsia="en-ZA"/>
        </w:rPr>
        <w:t>rust as a trustee and a beneficiary since 2005.</w:t>
      </w:r>
      <w:r w:rsidR="00C35896" w:rsidRPr="00212A17">
        <w:rPr>
          <w:rFonts w:ascii="Arial" w:eastAsia="Times New Roman" w:hAnsi="Arial" w:cs="Arial"/>
          <w:sz w:val="24"/>
          <w:szCs w:val="24"/>
          <w:lang w:val="en-GB" w:eastAsia="en-ZA"/>
        </w:rPr>
        <w:t xml:space="preserve"> </w:t>
      </w:r>
      <w:r w:rsidR="00AE724A" w:rsidRPr="00212A17">
        <w:rPr>
          <w:rFonts w:ascii="Arial" w:eastAsia="Times New Roman" w:hAnsi="Arial" w:cs="Arial"/>
          <w:sz w:val="24"/>
          <w:szCs w:val="24"/>
          <w:lang w:val="en-GB" w:eastAsia="en-ZA"/>
        </w:rPr>
        <w:t xml:space="preserve">She was paid an amount of R250 </w:t>
      </w:r>
      <w:r w:rsidR="009C7438" w:rsidRPr="00212A17">
        <w:rPr>
          <w:rFonts w:ascii="Arial" w:eastAsia="Times New Roman" w:hAnsi="Arial" w:cs="Arial"/>
          <w:sz w:val="24"/>
          <w:szCs w:val="24"/>
          <w:lang w:val="en-GB" w:eastAsia="en-ZA"/>
        </w:rPr>
        <w:t xml:space="preserve">000 </w:t>
      </w:r>
      <w:r w:rsidR="00AE724A" w:rsidRPr="00212A17">
        <w:rPr>
          <w:rFonts w:ascii="Arial" w:eastAsia="Times New Roman" w:hAnsi="Arial" w:cs="Arial"/>
          <w:sz w:val="24"/>
          <w:szCs w:val="24"/>
          <w:lang w:val="en-GB" w:eastAsia="en-ZA"/>
        </w:rPr>
        <w:t xml:space="preserve">as a beneficiary and R500 </w:t>
      </w:r>
      <w:r w:rsidR="009C7438" w:rsidRPr="00212A17">
        <w:rPr>
          <w:rFonts w:ascii="Arial" w:eastAsia="Times New Roman" w:hAnsi="Arial" w:cs="Arial"/>
          <w:sz w:val="24"/>
          <w:szCs w:val="24"/>
          <w:lang w:val="en-GB" w:eastAsia="en-ZA"/>
        </w:rPr>
        <w:t>000 for her work as a trustee.</w:t>
      </w:r>
      <w:r w:rsidR="00E00FE9" w:rsidRPr="00212A17">
        <w:rPr>
          <w:rFonts w:ascii="Arial" w:eastAsia="Times New Roman" w:hAnsi="Arial" w:cs="Arial"/>
          <w:sz w:val="24"/>
          <w:szCs w:val="24"/>
          <w:lang w:val="en-GB" w:eastAsia="en-ZA"/>
        </w:rPr>
        <w:t xml:space="preserve"> The third respondent attested</w:t>
      </w:r>
      <w:r w:rsidR="009C7438" w:rsidRPr="00212A17">
        <w:rPr>
          <w:rFonts w:ascii="Arial" w:eastAsia="Times New Roman" w:hAnsi="Arial" w:cs="Arial"/>
          <w:sz w:val="24"/>
          <w:szCs w:val="24"/>
          <w:lang w:val="en-GB" w:eastAsia="en-ZA"/>
        </w:rPr>
        <w:t xml:space="preserve"> that all the monies paid to her were for w</w:t>
      </w:r>
      <w:r w:rsidR="00E00FE9" w:rsidRPr="00212A17">
        <w:rPr>
          <w:rFonts w:ascii="Arial" w:eastAsia="Times New Roman" w:hAnsi="Arial" w:cs="Arial"/>
          <w:sz w:val="24"/>
          <w:szCs w:val="24"/>
          <w:lang w:val="en-GB" w:eastAsia="en-ZA"/>
        </w:rPr>
        <w:t>ork which she dedicated to the t</w:t>
      </w:r>
      <w:r w:rsidR="009C7438" w:rsidRPr="00212A17">
        <w:rPr>
          <w:rFonts w:ascii="Arial" w:eastAsia="Times New Roman" w:hAnsi="Arial" w:cs="Arial"/>
          <w:sz w:val="24"/>
          <w:szCs w:val="24"/>
          <w:lang w:val="en-GB" w:eastAsia="en-ZA"/>
        </w:rPr>
        <w:t xml:space="preserve">rust for </w:t>
      </w:r>
      <w:r w:rsidR="00ED7382">
        <w:rPr>
          <w:rFonts w:ascii="Arial" w:eastAsia="Times New Roman" w:hAnsi="Arial" w:cs="Arial"/>
          <w:sz w:val="24"/>
          <w:szCs w:val="24"/>
          <w:lang w:val="en-GB" w:eastAsia="en-ZA"/>
        </w:rPr>
        <w:t>14</w:t>
      </w:r>
      <w:r w:rsidR="00ED7382" w:rsidRPr="00212A17">
        <w:rPr>
          <w:rFonts w:ascii="Arial" w:eastAsia="Times New Roman" w:hAnsi="Arial" w:cs="Arial"/>
          <w:sz w:val="24"/>
          <w:szCs w:val="24"/>
          <w:lang w:val="en-GB" w:eastAsia="en-ZA"/>
        </w:rPr>
        <w:t xml:space="preserve"> </w:t>
      </w:r>
      <w:r w:rsidR="00E00FE9" w:rsidRPr="00212A17">
        <w:rPr>
          <w:rFonts w:ascii="Arial" w:eastAsia="Times New Roman" w:hAnsi="Arial" w:cs="Arial"/>
          <w:sz w:val="24"/>
          <w:szCs w:val="24"/>
          <w:lang w:val="en-GB" w:eastAsia="en-ZA"/>
        </w:rPr>
        <w:t>years. Such work included</w:t>
      </w:r>
      <w:r w:rsidR="00C35896" w:rsidRPr="00212A17">
        <w:rPr>
          <w:rFonts w:ascii="Arial" w:eastAsia="Times New Roman" w:hAnsi="Arial" w:cs="Arial"/>
          <w:sz w:val="24"/>
          <w:szCs w:val="24"/>
          <w:lang w:val="en-GB" w:eastAsia="en-ZA"/>
        </w:rPr>
        <w:t xml:space="preserve"> </w:t>
      </w:r>
      <w:r w:rsidR="00E00FE9" w:rsidRPr="00212A17">
        <w:rPr>
          <w:rFonts w:ascii="Arial" w:eastAsia="Times New Roman" w:hAnsi="Arial" w:cs="Arial"/>
          <w:sz w:val="24"/>
          <w:szCs w:val="24"/>
          <w:lang w:val="en-GB" w:eastAsia="en-ZA"/>
        </w:rPr>
        <w:t>sourcing opportunities for the t</w:t>
      </w:r>
      <w:r w:rsidR="009C7438" w:rsidRPr="00212A17">
        <w:rPr>
          <w:rFonts w:ascii="Arial" w:eastAsia="Times New Roman" w:hAnsi="Arial" w:cs="Arial"/>
          <w:sz w:val="24"/>
          <w:szCs w:val="24"/>
          <w:lang w:val="en-GB" w:eastAsia="en-ZA"/>
        </w:rPr>
        <w:t xml:space="preserve">rust over the years and </w:t>
      </w:r>
      <w:r w:rsidR="00E00FE9" w:rsidRPr="00212A17">
        <w:rPr>
          <w:rFonts w:ascii="Arial" w:eastAsia="Times New Roman" w:hAnsi="Arial" w:cs="Arial"/>
          <w:sz w:val="24"/>
          <w:szCs w:val="24"/>
          <w:lang w:val="en-GB" w:eastAsia="en-ZA"/>
        </w:rPr>
        <w:t>building up the assets of the trust f</w:t>
      </w:r>
      <w:r w:rsidR="009C7438" w:rsidRPr="00212A17">
        <w:rPr>
          <w:rFonts w:ascii="Arial" w:eastAsia="Times New Roman" w:hAnsi="Arial" w:cs="Arial"/>
          <w:sz w:val="24"/>
          <w:szCs w:val="24"/>
          <w:lang w:val="en-GB" w:eastAsia="en-ZA"/>
        </w:rPr>
        <w:t>und</w:t>
      </w:r>
      <w:r w:rsidR="00ED7382">
        <w:rPr>
          <w:rFonts w:ascii="Arial" w:eastAsia="Times New Roman" w:hAnsi="Arial" w:cs="Arial"/>
          <w:sz w:val="24"/>
          <w:szCs w:val="24"/>
          <w:lang w:val="en-GB" w:eastAsia="en-ZA"/>
        </w:rPr>
        <w:t>,</w:t>
      </w:r>
      <w:r w:rsidR="009C7438" w:rsidRPr="00212A17">
        <w:rPr>
          <w:rFonts w:ascii="Arial" w:eastAsia="Times New Roman" w:hAnsi="Arial" w:cs="Arial"/>
          <w:sz w:val="24"/>
          <w:szCs w:val="24"/>
          <w:lang w:val="en-GB" w:eastAsia="en-ZA"/>
        </w:rPr>
        <w:t xml:space="preserve"> which was then available for disburse</w:t>
      </w:r>
      <w:r w:rsidR="00E00FE9" w:rsidRPr="00212A17">
        <w:rPr>
          <w:rFonts w:ascii="Arial" w:eastAsia="Times New Roman" w:hAnsi="Arial" w:cs="Arial"/>
          <w:sz w:val="24"/>
          <w:szCs w:val="24"/>
          <w:lang w:val="en-GB" w:eastAsia="en-ZA"/>
        </w:rPr>
        <w:t xml:space="preserve">ment to all the beneficiaries. </w:t>
      </w:r>
      <w:r w:rsidR="009C7438" w:rsidRPr="00212A17">
        <w:rPr>
          <w:rFonts w:ascii="Arial" w:eastAsia="Times New Roman" w:hAnsi="Arial" w:cs="Arial"/>
          <w:sz w:val="24"/>
          <w:szCs w:val="24"/>
          <w:lang w:val="en-GB" w:eastAsia="en-ZA"/>
        </w:rPr>
        <w:t>The payment</w:t>
      </w:r>
      <w:r w:rsidR="00AE724A" w:rsidRPr="00212A17">
        <w:rPr>
          <w:rFonts w:ascii="Arial" w:eastAsia="Times New Roman" w:hAnsi="Arial" w:cs="Arial"/>
          <w:sz w:val="24"/>
          <w:szCs w:val="24"/>
          <w:lang w:val="en-GB" w:eastAsia="en-ZA"/>
        </w:rPr>
        <w:t xml:space="preserve"> of R500 </w:t>
      </w:r>
      <w:r w:rsidR="009C7438" w:rsidRPr="00212A17">
        <w:rPr>
          <w:rFonts w:ascii="Arial" w:eastAsia="Times New Roman" w:hAnsi="Arial" w:cs="Arial"/>
          <w:sz w:val="24"/>
          <w:szCs w:val="24"/>
          <w:lang w:val="en-GB" w:eastAsia="en-ZA"/>
        </w:rPr>
        <w:t>000 was not restricted by clause 5.18</w:t>
      </w:r>
      <w:r w:rsidR="00ED7382">
        <w:rPr>
          <w:rFonts w:ascii="Arial" w:eastAsia="Times New Roman" w:hAnsi="Arial" w:cs="Arial"/>
          <w:sz w:val="24"/>
          <w:szCs w:val="24"/>
          <w:lang w:val="en-GB" w:eastAsia="en-ZA"/>
        </w:rPr>
        <w:t>,</w:t>
      </w:r>
      <w:r w:rsidR="009C7438" w:rsidRPr="00212A17">
        <w:rPr>
          <w:rFonts w:ascii="Arial" w:eastAsia="Times New Roman" w:hAnsi="Arial" w:cs="Arial"/>
          <w:sz w:val="24"/>
          <w:szCs w:val="24"/>
          <w:lang w:val="en-GB" w:eastAsia="en-ZA"/>
        </w:rPr>
        <w:t xml:space="preserve"> which pertained only to costs, charges and expenses reasonably incurred </w:t>
      </w:r>
      <w:r w:rsidR="00ED7382">
        <w:rPr>
          <w:rFonts w:ascii="Arial" w:eastAsia="Times New Roman" w:hAnsi="Arial" w:cs="Arial"/>
          <w:sz w:val="24"/>
          <w:szCs w:val="24"/>
          <w:lang w:val="en-GB" w:eastAsia="en-ZA"/>
        </w:rPr>
        <w:t xml:space="preserve">and </w:t>
      </w:r>
      <w:r w:rsidR="009C7438" w:rsidRPr="00212A17">
        <w:rPr>
          <w:rFonts w:ascii="Arial" w:eastAsia="Times New Roman" w:hAnsi="Arial" w:cs="Arial"/>
          <w:sz w:val="24"/>
          <w:szCs w:val="24"/>
          <w:lang w:val="en-GB" w:eastAsia="en-ZA"/>
        </w:rPr>
        <w:t xml:space="preserve">arising out of the administration of the trust. The work for which the third respondent was being paid, was </w:t>
      </w:r>
      <w:r w:rsidR="00F45365">
        <w:rPr>
          <w:rFonts w:ascii="Arial" w:eastAsia="Times New Roman" w:hAnsi="Arial" w:cs="Arial"/>
          <w:sz w:val="24"/>
          <w:szCs w:val="24"/>
          <w:lang w:val="en-GB" w:eastAsia="en-ZA"/>
        </w:rPr>
        <w:t xml:space="preserve">for </w:t>
      </w:r>
      <w:r w:rsidR="009C7438" w:rsidRPr="00212A17">
        <w:rPr>
          <w:rFonts w:ascii="Arial" w:eastAsia="Times New Roman" w:hAnsi="Arial" w:cs="Arial"/>
          <w:sz w:val="24"/>
          <w:szCs w:val="24"/>
          <w:lang w:val="en-GB" w:eastAsia="en-ZA"/>
        </w:rPr>
        <w:t xml:space="preserve">work </w:t>
      </w:r>
      <w:r w:rsidR="00E6070E">
        <w:rPr>
          <w:rFonts w:ascii="Arial" w:eastAsia="Times New Roman" w:hAnsi="Arial" w:cs="Arial"/>
          <w:sz w:val="24"/>
          <w:szCs w:val="24"/>
          <w:lang w:val="en-GB" w:eastAsia="en-ZA"/>
        </w:rPr>
        <w:t xml:space="preserve">done </w:t>
      </w:r>
      <w:r w:rsidR="009C7438" w:rsidRPr="00212A17">
        <w:rPr>
          <w:rFonts w:ascii="Arial" w:eastAsia="Times New Roman" w:hAnsi="Arial" w:cs="Arial"/>
          <w:sz w:val="24"/>
          <w:szCs w:val="24"/>
          <w:lang w:val="en-GB" w:eastAsia="en-ZA"/>
        </w:rPr>
        <w:t xml:space="preserve">for the </w:t>
      </w:r>
      <w:r w:rsidR="00ED7382">
        <w:rPr>
          <w:rFonts w:ascii="Arial" w:eastAsia="Times New Roman" w:hAnsi="Arial" w:cs="Arial"/>
          <w:sz w:val="24"/>
          <w:szCs w:val="24"/>
          <w:lang w:val="en-GB" w:eastAsia="en-ZA"/>
        </w:rPr>
        <w:t>t</w:t>
      </w:r>
      <w:r w:rsidR="009C7438" w:rsidRPr="00212A17">
        <w:rPr>
          <w:rFonts w:ascii="Arial" w:eastAsia="Times New Roman" w:hAnsi="Arial" w:cs="Arial"/>
          <w:sz w:val="24"/>
          <w:szCs w:val="24"/>
          <w:lang w:val="en-GB" w:eastAsia="en-ZA"/>
        </w:rPr>
        <w:t>rust itself</w:t>
      </w:r>
      <w:r w:rsidR="00E6070E">
        <w:rPr>
          <w:rFonts w:ascii="Arial" w:eastAsia="Times New Roman" w:hAnsi="Arial" w:cs="Arial"/>
          <w:sz w:val="24"/>
          <w:szCs w:val="24"/>
          <w:lang w:val="en-GB" w:eastAsia="en-ZA"/>
        </w:rPr>
        <w:t>,</w:t>
      </w:r>
      <w:r w:rsidR="009C7438" w:rsidRPr="00212A17">
        <w:rPr>
          <w:rFonts w:ascii="Arial" w:eastAsia="Times New Roman" w:hAnsi="Arial" w:cs="Arial"/>
          <w:sz w:val="24"/>
          <w:szCs w:val="24"/>
          <w:lang w:val="en-GB" w:eastAsia="en-ZA"/>
        </w:rPr>
        <w:t xml:space="preserve"> which developed and grew the </w:t>
      </w:r>
      <w:r w:rsidR="00E80DF4">
        <w:rPr>
          <w:rFonts w:ascii="Arial" w:eastAsia="Times New Roman" w:hAnsi="Arial" w:cs="Arial"/>
          <w:sz w:val="24"/>
          <w:szCs w:val="24"/>
          <w:lang w:val="en-GB" w:eastAsia="en-ZA"/>
        </w:rPr>
        <w:t>t</w:t>
      </w:r>
      <w:r w:rsidR="009C7438" w:rsidRPr="00212A17">
        <w:rPr>
          <w:rFonts w:ascii="Arial" w:eastAsia="Times New Roman" w:hAnsi="Arial" w:cs="Arial"/>
          <w:sz w:val="24"/>
          <w:szCs w:val="24"/>
          <w:lang w:val="en-GB" w:eastAsia="en-ZA"/>
        </w:rPr>
        <w:t>rust in pursuit of its farming goals. The fourth respondent had served as a trustee fo</w:t>
      </w:r>
      <w:r w:rsidR="00AE724A" w:rsidRPr="00212A17">
        <w:rPr>
          <w:rFonts w:ascii="Arial" w:eastAsia="Times New Roman" w:hAnsi="Arial" w:cs="Arial"/>
          <w:sz w:val="24"/>
          <w:szCs w:val="24"/>
          <w:lang w:val="en-GB" w:eastAsia="en-ZA"/>
        </w:rPr>
        <w:t xml:space="preserve">r three years and was paid R100 </w:t>
      </w:r>
      <w:r w:rsidR="009C7438" w:rsidRPr="00212A17">
        <w:rPr>
          <w:rFonts w:ascii="Arial" w:eastAsia="Times New Roman" w:hAnsi="Arial" w:cs="Arial"/>
          <w:sz w:val="24"/>
          <w:szCs w:val="24"/>
          <w:lang w:val="en-GB" w:eastAsia="en-ZA"/>
        </w:rPr>
        <w:t>000 – the equivalent of R30</w:t>
      </w:r>
      <w:r w:rsidR="008E4814">
        <w:rPr>
          <w:rFonts w:ascii="Arial" w:eastAsia="Times New Roman" w:hAnsi="Arial" w:cs="Arial"/>
          <w:sz w:val="24"/>
          <w:szCs w:val="24"/>
          <w:lang w:val="en-GB" w:eastAsia="en-ZA"/>
        </w:rPr>
        <w:t xml:space="preserve"> </w:t>
      </w:r>
      <w:r w:rsidR="009C7438" w:rsidRPr="00212A17">
        <w:rPr>
          <w:rFonts w:ascii="Arial" w:eastAsia="Times New Roman" w:hAnsi="Arial" w:cs="Arial"/>
          <w:sz w:val="24"/>
          <w:szCs w:val="24"/>
          <w:lang w:val="en-GB" w:eastAsia="en-ZA"/>
        </w:rPr>
        <w:t>000 per year.</w:t>
      </w:r>
      <w:r w:rsidR="00C35896" w:rsidRPr="00212A17">
        <w:rPr>
          <w:rFonts w:ascii="Arial" w:eastAsia="Times New Roman" w:hAnsi="Arial" w:cs="Arial"/>
          <w:sz w:val="24"/>
          <w:szCs w:val="24"/>
          <w:lang w:val="en-GB" w:eastAsia="en-ZA"/>
        </w:rPr>
        <w:t xml:space="preserve"> </w:t>
      </w:r>
      <w:r w:rsidR="009C7438" w:rsidRPr="00212A17">
        <w:rPr>
          <w:rFonts w:ascii="Arial" w:eastAsia="Times New Roman" w:hAnsi="Arial" w:cs="Arial"/>
          <w:sz w:val="24"/>
          <w:szCs w:val="24"/>
          <w:lang w:val="en-GB" w:eastAsia="en-ZA"/>
        </w:rPr>
        <w:t>This amount is more than reasonable given the extent of the meetings attended by her.</w:t>
      </w:r>
    </w:p>
    <w:p w14:paraId="320043A6" w14:textId="199F8702" w:rsidR="009C7438" w:rsidRPr="00212A17" w:rsidRDefault="00BD419B" w:rsidP="00BD419B">
      <w:pPr>
        <w:widowControl w:val="0"/>
        <w:tabs>
          <w:tab w:val="left" w:pos="-1440"/>
        </w:tabs>
        <w:autoSpaceDE w:val="0"/>
        <w:autoSpaceDN w:val="0"/>
        <w:adjustRightInd w:val="0"/>
        <w:spacing w:after="0" w:line="360" w:lineRule="auto"/>
        <w:contextualSpacing/>
        <w:jc w:val="both"/>
        <w:rPr>
          <w:rFonts w:ascii="Arial" w:eastAsia="Times New Roman" w:hAnsi="Arial" w:cs="Arial"/>
          <w:sz w:val="24"/>
          <w:szCs w:val="24"/>
          <w:lang w:val="en-GB" w:eastAsia="en-ZA"/>
        </w:rPr>
      </w:pPr>
      <w:r w:rsidRPr="00212A17">
        <w:rPr>
          <w:rFonts w:ascii="Arial" w:eastAsia="Times New Roman" w:hAnsi="Arial" w:cs="Arial"/>
          <w:sz w:val="24"/>
          <w:szCs w:val="24"/>
          <w:lang w:val="en-GB" w:eastAsia="en-ZA"/>
        </w:rPr>
        <w:t>8.</w:t>
      </w:r>
      <w:r w:rsidRPr="00212A17">
        <w:rPr>
          <w:rFonts w:ascii="Arial" w:eastAsia="Times New Roman" w:hAnsi="Arial" w:cs="Arial"/>
          <w:sz w:val="24"/>
          <w:szCs w:val="24"/>
          <w:lang w:val="en-GB" w:eastAsia="en-ZA"/>
        </w:rPr>
        <w:tab/>
      </w:r>
      <w:r w:rsidR="00E00FE9" w:rsidRPr="00212A17">
        <w:rPr>
          <w:rFonts w:ascii="Arial" w:eastAsia="Times New Roman" w:hAnsi="Arial" w:cs="Arial"/>
          <w:sz w:val="24"/>
          <w:szCs w:val="24"/>
          <w:lang w:val="en-GB" w:eastAsia="en-ZA"/>
        </w:rPr>
        <w:t>It was also stated that I</w:t>
      </w:r>
      <w:r w:rsidR="009C7438" w:rsidRPr="00212A17">
        <w:rPr>
          <w:rFonts w:ascii="Arial" w:eastAsia="Times New Roman" w:hAnsi="Arial" w:cs="Arial"/>
          <w:sz w:val="24"/>
          <w:szCs w:val="24"/>
          <w:lang w:val="en-GB" w:eastAsia="en-ZA"/>
        </w:rPr>
        <w:t xml:space="preserve"> erred in making a blanket finding against all four respondents without considering their individual circumstances.</w:t>
      </w:r>
      <w:r w:rsidR="00C35896" w:rsidRPr="00212A17">
        <w:rPr>
          <w:rFonts w:ascii="Arial" w:eastAsia="Times New Roman" w:hAnsi="Arial" w:cs="Arial"/>
          <w:sz w:val="24"/>
          <w:szCs w:val="24"/>
          <w:lang w:val="en-GB" w:eastAsia="en-ZA"/>
        </w:rPr>
        <w:t xml:space="preserve"> </w:t>
      </w:r>
      <w:r w:rsidR="009C7438" w:rsidRPr="00212A17">
        <w:rPr>
          <w:rFonts w:ascii="Arial" w:eastAsia="Times New Roman" w:hAnsi="Arial" w:cs="Arial"/>
          <w:sz w:val="24"/>
          <w:szCs w:val="24"/>
          <w:lang w:val="en-GB" w:eastAsia="en-ZA"/>
        </w:rPr>
        <w:t>This is all the more problematic</w:t>
      </w:r>
      <w:r w:rsidR="00EB2ABB" w:rsidRPr="00212A17">
        <w:rPr>
          <w:rFonts w:ascii="Arial" w:eastAsia="Times New Roman" w:hAnsi="Arial" w:cs="Arial"/>
          <w:sz w:val="24"/>
          <w:szCs w:val="24"/>
          <w:lang w:val="en-GB" w:eastAsia="en-ZA"/>
        </w:rPr>
        <w:t xml:space="preserve"> </w:t>
      </w:r>
      <w:r w:rsidR="009C7438" w:rsidRPr="00212A17">
        <w:rPr>
          <w:rFonts w:ascii="Arial" w:eastAsia="Times New Roman" w:hAnsi="Arial" w:cs="Arial"/>
          <w:sz w:val="24"/>
          <w:szCs w:val="24"/>
          <w:lang w:val="en-GB" w:eastAsia="en-ZA"/>
        </w:rPr>
        <w:t>given the failure to establish who made the decision to disburse the funds.</w:t>
      </w:r>
      <w:r w:rsidR="00C35896" w:rsidRPr="00212A17">
        <w:rPr>
          <w:rFonts w:ascii="Arial" w:eastAsia="Times New Roman" w:hAnsi="Arial" w:cs="Arial"/>
          <w:sz w:val="24"/>
          <w:szCs w:val="24"/>
          <w:lang w:val="en-GB" w:eastAsia="en-ZA"/>
        </w:rPr>
        <w:t xml:space="preserve"> </w:t>
      </w:r>
      <w:r w:rsidR="003975FE" w:rsidRPr="00212A17">
        <w:rPr>
          <w:rFonts w:ascii="Arial" w:eastAsia="Times New Roman" w:hAnsi="Arial" w:cs="Arial"/>
          <w:sz w:val="24"/>
          <w:szCs w:val="24"/>
          <w:lang w:val="en-GB" w:eastAsia="en-ZA"/>
        </w:rPr>
        <w:t xml:space="preserve">I </w:t>
      </w:r>
      <w:r w:rsidR="00E6070E">
        <w:rPr>
          <w:rFonts w:ascii="Arial" w:eastAsia="Times New Roman" w:hAnsi="Arial" w:cs="Arial"/>
          <w:sz w:val="24"/>
          <w:szCs w:val="24"/>
          <w:lang w:val="en-GB" w:eastAsia="en-ZA"/>
        </w:rPr>
        <w:t xml:space="preserve">allegedly </w:t>
      </w:r>
      <w:r w:rsidR="003975FE" w:rsidRPr="00212A17">
        <w:rPr>
          <w:rFonts w:ascii="Arial" w:eastAsia="Times New Roman" w:hAnsi="Arial" w:cs="Arial"/>
          <w:sz w:val="24"/>
          <w:szCs w:val="24"/>
          <w:lang w:val="en-GB" w:eastAsia="en-ZA"/>
        </w:rPr>
        <w:t>further</w:t>
      </w:r>
      <w:r w:rsidR="009C7438" w:rsidRPr="00212A17">
        <w:rPr>
          <w:rFonts w:ascii="Arial" w:eastAsia="Times New Roman" w:hAnsi="Arial" w:cs="Arial"/>
          <w:sz w:val="24"/>
          <w:szCs w:val="24"/>
          <w:lang w:val="en-GB" w:eastAsia="en-ZA"/>
        </w:rPr>
        <w:t xml:space="preserve"> erred in applying the same penalty to the third and fourth</w:t>
      </w:r>
      <w:r w:rsidR="00C35896" w:rsidRPr="00212A17">
        <w:rPr>
          <w:rFonts w:ascii="Arial" w:eastAsia="Times New Roman" w:hAnsi="Arial" w:cs="Arial"/>
          <w:sz w:val="24"/>
          <w:szCs w:val="24"/>
          <w:lang w:val="en-GB" w:eastAsia="en-ZA"/>
        </w:rPr>
        <w:t xml:space="preserve"> </w:t>
      </w:r>
      <w:r w:rsidR="003975FE" w:rsidRPr="00212A17">
        <w:rPr>
          <w:rFonts w:ascii="Arial" w:eastAsia="Times New Roman" w:hAnsi="Arial" w:cs="Arial"/>
          <w:sz w:val="24"/>
          <w:szCs w:val="24"/>
          <w:lang w:val="en-GB" w:eastAsia="en-ZA"/>
        </w:rPr>
        <w:t>respondents</w:t>
      </w:r>
      <w:r w:rsidR="00076BA8">
        <w:rPr>
          <w:rFonts w:ascii="Arial" w:eastAsia="Times New Roman" w:hAnsi="Arial" w:cs="Arial"/>
          <w:sz w:val="24"/>
          <w:szCs w:val="24"/>
          <w:lang w:val="en-GB" w:eastAsia="en-ZA"/>
        </w:rPr>
        <w:t>,</w:t>
      </w:r>
      <w:r w:rsidR="003975FE" w:rsidRPr="00212A17">
        <w:rPr>
          <w:rFonts w:ascii="Arial" w:eastAsia="Times New Roman" w:hAnsi="Arial" w:cs="Arial"/>
          <w:sz w:val="24"/>
          <w:szCs w:val="24"/>
          <w:lang w:val="en-GB" w:eastAsia="en-ZA"/>
        </w:rPr>
        <w:t xml:space="preserve"> as I</w:t>
      </w:r>
      <w:r w:rsidR="009C7438" w:rsidRPr="00212A17">
        <w:rPr>
          <w:rFonts w:ascii="Arial" w:eastAsia="Times New Roman" w:hAnsi="Arial" w:cs="Arial"/>
          <w:sz w:val="24"/>
          <w:szCs w:val="24"/>
          <w:lang w:val="en-GB" w:eastAsia="en-ZA"/>
        </w:rPr>
        <w:t xml:space="preserve"> did to the first and second respondent</w:t>
      </w:r>
      <w:r w:rsidR="00076BA8">
        <w:rPr>
          <w:rFonts w:ascii="Arial" w:eastAsia="Times New Roman" w:hAnsi="Arial" w:cs="Arial"/>
          <w:sz w:val="24"/>
          <w:szCs w:val="24"/>
          <w:lang w:val="en-GB" w:eastAsia="en-ZA"/>
        </w:rPr>
        <w:t>s,</w:t>
      </w:r>
      <w:r w:rsidR="009C7438" w:rsidRPr="00212A17">
        <w:rPr>
          <w:rFonts w:ascii="Arial" w:eastAsia="Times New Roman" w:hAnsi="Arial" w:cs="Arial"/>
          <w:sz w:val="24"/>
          <w:szCs w:val="24"/>
          <w:lang w:val="en-GB" w:eastAsia="en-ZA"/>
        </w:rPr>
        <w:t xml:space="preserve"> who received R1 million and R3 million respectively. </w:t>
      </w:r>
    </w:p>
    <w:p w14:paraId="0D8569FF" w14:textId="77777777" w:rsidR="003975FE" w:rsidRPr="00212A17" w:rsidRDefault="003975FE" w:rsidP="00212A17">
      <w:pPr>
        <w:spacing w:after="0" w:line="360" w:lineRule="auto"/>
        <w:contextualSpacing/>
        <w:jc w:val="both"/>
        <w:rPr>
          <w:rFonts w:ascii="Arial" w:hAnsi="Arial" w:cs="Arial"/>
          <w:sz w:val="24"/>
          <w:szCs w:val="24"/>
          <w:lang w:val="en-GB"/>
        </w:rPr>
      </w:pPr>
    </w:p>
    <w:p w14:paraId="0F519D5F" w14:textId="2652E6D2" w:rsidR="00961C4D" w:rsidRPr="00212A17" w:rsidRDefault="003975FE" w:rsidP="00212A17">
      <w:pPr>
        <w:spacing w:after="0" w:line="360" w:lineRule="auto"/>
        <w:contextualSpacing/>
        <w:jc w:val="both"/>
        <w:rPr>
          <w:rFonts w:ascii="Arial" w:hAnsi="Arial" w:cs="Arial"/>
          <w:sz w:val="24"/>
          <w:szCs w:val="24"/>
          <w:lang w:val="en-GB"/>
        </w:rPr>
      </w:pPr>
      <w:r w:rsidRPr="00212A17">
        <w:rPr>
          <w:rFonts w:ascii="Arial" w:hAnsi="Arial" w:cs="Arial"/>
          <w:sz w:val="24"/>
          <w:szCs w:val="24"/>
          <w:lang w:val="en-GB"/>
        </w:rPr>
        <w:t>[4</w:t>
      </w:r>
      <w:r w:rsidR="00961C4D" w:rsidRPr="00212A17">
        <w:rPr>
          <w:rFonts w:ascii="Arial" w:hAnsi="Arial" w:cs="Arial"/>
          <w:sz w:val="24"/>
          <w:szCs w:val="24"/>
          <w:lang w:val="en-GB"/>
        </w:rPr>
        <w:t>]</w:t>
      </w:r>
      <w:r w:rsidR="00961C4D" w:rsidRPr="00212A17">
        <w:rPr>
          <w:rFonts w:ascii="Arial" w:hAnsi="Arial" w:cs="Arial"/>
          <w:sz w:val="24"/>
          <w:szCs w:val="24"/>
          <w:lang w:val="en-GB"/>
        </w:rPr>
        <w:tab/>
      </w:r>
      <w:r w:rsidRPr="00212A17">
        <w:rPr>
          <w:rFonts w:ascii="Arial" w:hAnsi="Arial" w:cs="Arial"/>
          <w:sz w:val="24"/>
          <w:szCs w:val="24"/>
          <w:lang w:val="en-GB"/>
        </w:rPr>
        <w:t>Before I deal with the merits of the application, i</w:t>
      </w:r>
      <w:r w:rsidR="00961C4D" w:rsidRPr="00212A17">
        <w:rPr>
          <w:rFonts w:ascii="Arial" w:hAnsi="Arial" w:cs="Arial"/>
          <w:sz w:val="24"/>
          <w:szCs w:val="24"/>
          <w:lang w:val="en-GB"/>
        </w:rPr>
        <w:t>t is perhaps</w:t>
      </w:r>
      <w:r w:rsidR="00686219" w:rsidRPr="00212A17">
        <w:rPr>
          <w:rFonts w:ascii="Arial" w:hAnsi="Arial" w:cs="Arial"/>
          <w:sz w:val="24"/>
          <w:szCs w:val="24"/>
          <w:lang w:val="en-GB"/>
        </w:rPr>
        <w:t xml:space="preserve"> appropriate to say something ab</w:t>
      </w:r>
      <w:r w:rsidR="00961C4D" w:rsidRPr="00212A17">
        <w:rPr>
          <w:rFonts w:ascii="Arial" w:hAnsi="Arial" w:cs="Arial"/>
          <w:sz w:val="24"/>
          <w:szCs w:val="24"/>
          <w:lang w:val="en-GB"/>
        </w:rPr>
        <w:t>out the test to</w:t>
      </w:r>
      <w:r w:rsidR="00686219" w:rsidRPr="00212A17">
        <w:rPr>
          <w:rFonts w:ascii="Arial" w:hAnsi="Arial" w:cs="Arial"/>
          <w:sz w:val="24"/>
          <w:szCs w:val="24"/>
          <w:lang w:val="en-GB"/>
        </w:rPr>
        <w:t xml:space="preserve"> be applied in applications of this nature. In terms of section 17(1)</w:t>
      </w:r>
      <w:r w:rsidR="00686219" w:rsidRPr="00212A17">
        <w:rPr>
          <w:rFonts w:ascii="Arial" w:hAnsi="Arial" w:cs="Arial"/>
          <w:i/>
          <w:sz w:val="24"/>
          <w:szCs w:val="24"/>
          <w:lang w:val="en-GB"/>
        </w:rPr>
        <w:t>(a)</w:t>
      </w:r>
      <w:r w:rsidR="00686219" w:rsidRPr="00212A17">
        <w:rPr>
          <w:rFonts w:ascii="Arial" w:hAnsi="Arial" w:cs="Arial"/>
          <w:sz w:val="24"/>
          <w:szCs w:val="24"/>
          <w:lang w:val="en-GB"/>
        </w:rPr>
        <w:t xml:space="preserve">(i) of </w:t>
      </w:r>
      <w:r w:rsidR="001F72CF" w:rsidRPr="00212A17">
        <w:rPr>
          <w:rFonts w:ascii="Arial" w:hAnsi="Arial" w:cs="Arial"/>
          <w:sz w:val="24"/>
          <w:szCs w:val="24"/>
          <w:lang w:val="en-GB"/>
        </w:rPr>
        <w:t>t</w:t>
      </w:r>
      <w:r w:rsidR="00686219" w:rsidRPr="00212A17">
        <w:rPr>
          <w:rFonts w:ascii="Arial" w:hAnsi="Arial" w:cs="Arial"/>
          <w:sz w:val="24"/>
          <w:szCs w:val="24"/>
          <w:lang w:val="en-GB"/>
        </w:rPr>
        <w:t xml:space="preserve">he Superior Courts Act 10 of 2013, leave to appeal may only be given where the judge is of the opinion that </w:t>
      </w:r>
      <w:r w:rsidR="001F72CF" w:rsidRPr="00212A17">
        <w:rPr>
          <w:rFonts w:ascii="Arial" w:hAnsi="Arial" w:cs="Arial"/>
          <w:sz w:val="24"/>
          <w:szCs w:val="24"/>
          <w:lang w:val="en-GB"/>
        </w:rPr>
        <w:t>‘</w:t>
      </w:r>
      <w:r w:rsidR="00686219" w:rsidRPr="00212A17">
        <w:rPr>
          <w:rFonts w:ascii="Arial" w:hAnsi="Arial" w:cs="Arial"/>
          <w:sz w:val="24"/>
          <w:szCs w:val="24"/>
          <w:lang w:val="en-GB"/>
        </w:rPr>
        <w:t>the appeal would have a reasonable prospect of success</w:t>
      </w:r>
      <w:r w:rsidR="001F72CF" w:rsidRPr="00212A17">
        <w:rPr>
          <w:rFonts w:ascii="Arial" w:hAnsi="Arial" w:cs="Arial"/>
          <w:sz w:val="24"/>
          <w:szCs w:val="24"/>
          <w:lang w:val="en-GB"/>
        </w:rPr>
        <w:t>’</w:t>
      </w:r>
      <w:r w:rsidRPr="00212A17">
        <w:rPr>
          <w:rFonts w:ascii="Arial" w:hAnsi="Arial" w:cs="Arial"/>
          <w:sz w:val="24"/>
          <w:szCs w:val="24"/>
          <w:lang w:val="en-GB"/>
        </w:rPr>
        <w:t xml:space="preserve">, </w:t>
      </w:r>
      <w:r w:rsidRPr="00212A17">
        <w:rPr>
          <w:rFonts w:ascii="Arial" w:hAnsi="Arial" w:cs="Arial"/>
          <w:sz w:val="24"/>
          <w:szCs w:val="24"/>
          <w:lang w:val="en-GB"/>
        </w:rPr>
        <w:lastRenderedPageBreak/>
        <w:t>or in terms of section 17(1)(a)(ii</w:t>
      </w:r>
      <w:r w:rsidR="004E5607" w:rsidRPr="00212A17">
        <w:rPr>
          <w:rFonts w:ascii="Arial" w:hAnsi="Arial" w:cs="Arial"/>
          <w:sz w:val="24"/>
          <w:szCs w:val="24"/>
          <w:lang w:val="en-GB"/>
        </w:rPr>
        <w:t>),</w:t>
      </w:r>
      <w:r w:rsidRPr="00212A17">
        <w:rPr>
          <w:rFonts w:ascii="Arial" w:hAnsi="Arial" w:cs="Arial"/>
          <w:sz w:val="24"/>
          <w:szCs w:val="24"/>
          <w:lang w:val="en-GB"/>
        </w:rPr>
        <w:t xml:space="preserve"> if </w:t>
      </w:r>
      <w:r w:rsidR="009B4DCF" w:rsidRPr="00212A17">
        <w:rPr>
          <w:rFonts w:ascii="Arial" w:hAnsi="Arial" w:cs="Arial"/>
          <w:sz w:val="24"/>
          <w:szCs w:val="24"/>
          <w:lang w:val="en-GB"/>
        </w:rPr>
        <w:t xml:space="preserve">there is ‘some </w:t>
      </w:r>
      <w:r w:rsidRPr="00212A17">
        <w:rPr>
          <w:rFonts w:ascii="Arial" w:hAnsi="Arial" w:cs="Arial"/>
          <w:sz w:val="24"/>
          <w:szCs w:val="24"/>
          <w:lang w:val="en-GB"/>
        </w:rPr>
        <w:t>other</w:t>
      </w:r>
      <w:r w:rsidR="009B4DCF" w:rsidRPr="00212A17">
        <w:rPr>
          <w:rFonts w:ascii="Arial" w:hAnsi="Arial" w:cs="Arial"/>
          <w:sz w:val="24"/>
          <w:szCs w:val="24"/>
          <w:lang w:val="en-GB"/>
        </w:rPr>
        <w:t xml:space="preserve"> compelling reason why the appeal should be heard’. </w:t>
      </w:r>
    </w:p>
    <w:p w14:paraId="490EEFC5" w14:textId="77777777" w:rsidR="00686219" w:rsidRPr="00212A17" w:rsidRDefault="00686219" w:rsidP="00212A17">
      <w:pPr>
        <w:spacing w:after="0" w:line="360" w:lineRule="auto"/>
        <w:contextualSpacing/>
        <w:jc w:val="both"/>
        <w:rPr>
          <w:rFonts w:ascii="Arial" w:hAnsi="Arial" w:cs="Arial"/>
          <w:sz w:val="24"/>
          <w:szCs w:val="24"/>
          <w:lang w:val="en-GB"/>
        </w:rPr>
      </w:pPr>
    </w:p>
    <w:p w14:paraId="5D11437D" w14:textId="5EF3ED52" w:rsidR="00686219" w:rsidRPr="00212A17" w:rsidRDefault="003975FE" w:rsidP="00212A17">
      <w:pPr>
        <w:spacing w:after="0" w:line="360" w:lineRule="auto"/>
        <w:contextualSpacing/>
        <w:jc w:val="both"/>
        <w:rPr>
          <w:rFonts w:ascii="Arial" w:hAnsi="Arial" w:cs="Arial"/>
          <w:sz w:val="24"/>
          <w:szCs w:val="24"/>
          <w:lang w:val="en-GB"/>
        </w:rPr>
      </w:pPr>
      <w:r w:rsidRPr="00212A17">
        <w:rPr>
          <w:rFonts w:ascii="Arial" w:hAnsi="Arial" w:cs="Arial"/>
          <w:sz w:val="24"/>
          <w:szCs w:val="24"/>
          <w:lang w:val="en-GB"/>
        </w:rPr>
        <w:t>[5]</w:t>
      </w:r>
      <w:r w:rsidRPr="00212A17">
        <w:rPr>
          <w:rFonts w:ascii="Arial" w:hAnsi="Arial" w:cs="Arial"/>
          <w:sz w:val="24"/>
          <w:szCs w:val="24"/>
          <w:lang w:val="en-GB"/>
        </w:rPr>
        <w:tab/>
        <w:t xml:space="preserve">In </w:t>
      </w:r>
      <w:r w:rsidR="00757A98" w:rsidRPr="00212A17">
        <w:rPr>
          <w:rFonts w:ascii="Arial" w:hAnsi="Arial" w:cs="Arial"/>
          <w:i/>
          <w:sz w:val="24"/>
          <w:szCs w:val="24"/>
          <w:lang w:val="en-GB"/>
        </w:rPr>
        <w:t>T</w:t>
      </w:r>
      <w:r w:rsidR="00686219" w:rsidRPr="00212A17">
        <w:rPr>
          <w:rFonts w:ascii="Arial" w:hAnsi="Arial" w:cs="Arial"/>
          <w:i/>
          <w:sz w:val="24"/>
          <w:szCs w:val="24"/>
          <w:lang w:val="en-GB"/>
        </w:rPr>
        <w:t>he Mont Chevaux Trust v Goosen and others</w:t>
      </w:r>
      <w:r w:rsidR="00647D0A">
        <w:rPr>
          <w:rFonts w:ascii="Arial" w:hAnsi="Arial" w:cs="Arial"/>
          <w:i/>
          <w:sz w:val="24"/>
          <w:szCs w:val="24"/>
          <w:lang w:val="en-GB"/>
        </w:rPr>
        <w:t>,</w:t>
      </w:r>
      <w:r w:rsidR="0093770D" w:rsidRPr="00212A17">
        <w:rPr>
          <w:rStyle w:val="FootnoteReference"/>
          <w:rFonts w:ascii="Arial" w:hAnsi="Arial" w:cs="Arial"/>
          <w:sz w:val="24"/>
          <w:szCs w:val="24"/>
          <w:lang w:val="en-GB"/>
        </w:rPr>
        <w:footnoteReference w:id="2"/>
      </w:r>
      <w:r w:rsidR="00757A98" w:rsidRPr="00212A17">
        <w:rPr>
          <w:rFonts w:ascii="Arial" w:hAnsi="Arial" w:cs="Arial"/>
          <w:sz w:val="24"/>
          <w:szCs w:val="24"/>
          <w:lang w:val="en-GB"/>
        </w:rPr>
        <w:t xml:space="preserve"> </w:t>
      </w:r>
      <w:r w:rsidR="0093770D" w:rsidRPr="00212A17">
        <w:rPr>
          <w:rFonts w:ascii="Arial" w:hAnsi="Arial" w:cs="Arial"/>
          <w:sz w:val="24"/>
          <w:szCs w:val="24"/>
          <w:lang w:val="en-GB"/>
        </w:rPr>
        <w:t xml:space="preserve"> </w:t>
      </w:r>
      <w:r w:rsidR="00686219" w:rsidRPr="00212A17">
        <w:rPr>
          <w:rFonts w:ascii="Arial" w:hAnsi="Arial" w:cs="Arial"/>
          <w:sz w:val="24"/>
          <w:szCs w:val="24"/>
          <w:lang w:val="en-GB"/>
        </w:rPr>
        <w:t>Bertelsmann J</w:t>
      </w:r>
      <w:r w:rsidR="00647D0A">
        <w:rPr>
          <w:rFonts w:ascii="Arial" w:hAnsi="Arial" w:cs="Arial"/>
          <w:sz w:val="24"/>
          <w:szCs w:val="24"/>
          <w:lang w:val="en-GB"/>
        </w:rPr>
        <w:t xml:space="preserve"> </w:t>
      </w:r>
      <w:r w:rsidR="00647D0A" w:rsidRPr="00212A17">
        <w:rPr>
          <w:rFonts w:ascii="Arial" w:hAnsi="Arial" w:cs="Arial"/>
          <w:sz w:val="24"/>
          <w:szCs w:val="24"/>
          <w:lang w:val="en-GB"/>
        </w:rPr>
        <w:t>(in an obiter dictum)</w:t>
      </w:r>
      <w:r w:rsidR="00686219" w:rsidRPr="00212A17">
        <w:rPr>
          <w:rFonts w:ascii="Arial" w:hAnsi="Arial" w:cs="Arial"/>
          <w:sz w:val="24"/>
          <w:szCs w:val="24"/>
          <w:lang w:val="en-GB"/>
        </w:rPr>
        <w:t xml:space="preserve"> held that:</w:t>
      </w:r>
    </w:p>
    <w:p w14:paraId="7A56F3F7" w14:textId="3C64B7AC" w:rsidR="00686219" w:rsidRPr="00647D0A" w:rsidRDefault="00686219" w:rsidP="00212A17">
      <w:pPr>
        <w:spacing w:after="0" w:line="360" w:lineRule="auto"/>
        <w:contextualSpacing/>
        <w:jc w:val="both"/>
        <w:rPr>
          <w:rFonts w:ascii="Arial" w:hAnsi="Arial" w:cs="Arial"/>
          <w:szCs w:val="24"/>
          <w:lang w:val="en-GB"/>
        </w:rPr>
      </w:pPr>
      <w:r w:rsidRPr="00647D0A">
        <w:rPr>
          <w:rFonts w:ascii="Arial" w:hAnsi="Arial" w:cs="Arial"/>
          <w:szCs w:val="24"/>
          <w:lang w:val="en-GB"/>
        </w:rPr>
        <w:t>‘</w:t>
      </w:r>
      <w:r w:rsidR="00A262C3" w:rsidRPr="00647D0A">
        <w:rPr>
          <w:rFonts w:ascii="Arial" w:hAnsi="Arial" w:cs="Arial"/>
          <w:szCs w:val="24"/>
          <w:lang w:val="en-GB"/>
        </w:rPr>
        <w:t xml:space="preserve">It is clear that the threshold for granting leave to appeal against a judgment of a High Court has been raised in the new Act. The former test whether leave to appeal should be granted was a reasonable prospect that another court might come to a different conclusion, </w:t>
      </w:r>
      <w:r w:rsidR="00A262C3" w:rsidRPr="00647D0A">
        <w:rPr>
          <w:rFonts w:ascii="Arial" w:hAnsi="Arial" w:cs="Arial"/>
          <w:i/>
          <w:szCs w:val="24"/>
          <w:lang w:val="en-GB"/>
        </w:rPr>
        <w:t>see Van Heerden v Cronwright &amp; Others</w:t>
      </w:r>
      <w:r w:rsidR="00A262C3" w:rsidRPr="00647D0A">
        <w:rPr>
          <w:rFonts w:ascii="Arial" w:hAnsi="Arial" w:cs="Arial"/>
          <w:szCs w:val="24"/>
          <w:lang w:val="en-GB"/>
        </w:rPr>
        <w:t xml:space="preserve"> 1985 (2) SA 342 (T) at 343H. The use of the word “would” in the new statute indicates a measure of certainty that another court will differ from the court whose judgment is sought to be appealed against</w:t>
      </w:r>
      <w:r w:rsidRPr="00647D0A">
        <w:rPr>
          <w:rFonts w:ascii="Arial" w:hAnsi="Arial" w:cs="Arial"/>
          <w:szCs w:val="24"/>
          <w:lang w:val="en-GB"/>
        </w:rPr>
        <w:t>.’</w:t>
      </w:r>
    </w:p>
    <w:p w14:paraId="74DA3799" w14:textId="77777777" w:rsidR="00686219" w:rsidRPr="00212A17" w:rsidRDefault="00686219" w:rsidP="00212A17">
      <w:pPr>
        <w:spacing w:after="0" w:line="360" w:lineRule="auto"/>
        <w:contextualSpacing/>
        <w:jc w:val="both"/>
        <w:rPr>
          <w:rFonts w:ascii="Arial" w:hAnsi="Arial" w:cs="Arial"/>
          <w:sz w:val="24"/>
          <w:szCs w:val="24"/>
          <w:lang w:val="en-GB"/>
        </w:rPr>
      </w:pPr>
    </w:p>
    <w:p w14:paraId="7293E5EF" w14:textId="4BE15E31" w:rsidR="00686219" w:rsidRPr="00212A17" w:rsidRDefault="003975FE" w:rsidP="00212A17">
      <w:pPr>
        <w:spacing w:after="0" w:line="360" w:lineRule="auto"/>
        <w:contextualSpacing/>
        <w:jc w:val="both"/>
        <w:rPr>
          <w:rFonts w:ascii="Arial" w:hAnsi="Arial" w:cs="Arial"/>
          <w:sz w:val="24"/>
          <w:szCs w:val="24"/>
          <w:lang w:val="en-GB"/>
        </w:rPr>
      </w:pPr>
      <w:r w:rsidRPr="00212A17">
        <w:rPr>
          <w:rFonts w:ascii="Arial" w:hAnsi="Arial" w:cs="Arial"/>
          <w:sz w:val="24"/>
          <w:szCs w:val="24"/>
          <w:lang w:val="en-GB"/>
        </w:rPr>
        <w:t>[6</w:t>
      </w:r>
      <w:r w:rsidR="00686219" w:rsidRPr="00212A17">
        <w:rPr>
          <w:rFonts w:ascii="Arial" w:hAnsi="Arial" w:cs="Arial"/>
          <w:sz w:val="24"/>
          <w:szCs w:val="24"/>
          <w:lang w:val="en-GB"/>
        </w:rPr>
        <w:t>]</w:t>
      </w:r>
      <w:r w:rsidR="00686219" w:rsidRPr="00212A17">
        <w:rPr>
          <w:rFonts w:ascii="Arial" w:hAnsi="Arial" w:cs="Arial"/>
          <w:sz w:val="24"/>
          <w:szCs w:val="24"/>
          <w:lang w:val="en-GB"/>
        </w:rPr>
        <w:tab/>
        <w:t xml:space="preserve">The test was also considered in </w:t>
      </w:r>
      <w:r w:rsidR="00686219" w:rsidRPr="00212A17">
        <w:rPr>
          <w:rFonts w:ascii="Arial" w:hAnsi="Arial" w:cs="Arial"/>
          <w:i/>
          <w:sz w:val="24"/>
          <w:szCs w:val="24"/>
          <w:lang w:val="en-GB"/>
        </w:rPr>
        <w:t>S v Smith</w:t>
      </w:r>
      <w:r w:rsidR="005D5F88" w:rsidRPr="00212A17">
        <w:rPr>
          <w:rStyle w:val="FootnoteReference"/>
          <w:rFonts w:ascii="Arial" w:hAnsi="Arial" w:cs="Arial"/>
          <w:sz w:val="24"/>
          <w:szCs w:val="24"/>
          <w:lang w:val="en-GB"/>
        </w:rPr>
        <w:footnoteReference w:id="3"/>
      </w:r>
      <w:r w:rsidR="00757A98" w:rsidRPr="00212A17">
        <w:rPr>
          <w:rFonts w:ascii="Arial" w:hAnsi="Arial" w:cs="Arial"/>
          <w:sz w:val="24"/>
          <w:szCs w:val="24"/>
          <w:lang w:val="en-GB"/>
        </w:rPr>
        <w:t xml:space="preserve"> where</w:t>
      </w:r>
      <w:r w:rsidR="00686219" w:rsidRPr="00212A17">
        <w:rPr>
          <w:rFonts w:ascii="Arial" w:hAnsi="Arial" w:cs="Arial"/>
          <w:sz w:val="24"/>
          <w:szCs w:val="24"/>
          <w:lang w:val="en-GB"/>
        </w:rPr>
        <w:t xml:space="preserve"> the court held:</w:t>
      </w:r>
    </w:p>
    <w:p w14:paraId="2EE8FDAF" w14:textId="4A822DF1" w:rsidR="00686219" w:rsidRPr="00647D0A" w:rsidRDefault="0093770D" w:rsidP="00212A17">
      <w:pPr>
        <w:spacing w:after="0" w:line="360" w:lineRule="auto"/>
        <w:contextualSpacing/>
        <w:jc w:val="both"/>
        <w:rPr>
          <w:rFonts w:ascii="Arial" w:hAnsi="Arial" w:cs="Arial"/>
          <w:szCs w:val="24"/>
          <w:lang w:val="en-GB"/>
        </w:rPr>
      </w:pPr>
      <w:r w:rsidRPr="00647D0A">
        <w:rPr>
          <w:rFonts w:ascii="Arial" w:hAnsi="Arial" w:cs="Arial"/>
          <w:szCs w:val="24"/>
          <w:lang w:val="en-GB"/>
        </w:rPr>
        <w:t>‘</w:t>
      </w:r>
      <w:r w:rsidR="00647D0A" w:rsidRPr="00647D0A">
        <w:rPr>
          <w:rFonts w:ascii="Arial" w:hAnsi="Arial" w:cs="Arial"/>
          <w:szCs w:val="24"/>
        </w:rPr>
        <w:t>What the test of reasonable prospects of success postulates is a dispassionate decision, based on the facts and the law, that a court of appeal could reasonably arrive at a conclusion different to that of the trial court.</w:t>
      </w:r>
      <w:bookmarkStart w:id="1" w:name="0-0-0-79435"/>
      <w:bookmarkEnd w:id="1"/>
      <w:r w:rsidR="00647D0A" w:rsidRPr="00647D0A">
        <w:rPr>
          <w:rFonts w:ascii="Arial" w:hAnsi="Arial" w:cs="Arial"/>
          <w:szCs w:val="24"/>
        </w:rPr>
        <w:t xml:space="preserve">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sidR="00757A98" w:rsidRPr="00647D0A">
        <w:rPr>
          <w:rFonts w:ascii="Arial" w:hAnsi="Arial" w:cs="Arial"/>
          <w:szCs w:val="24"/>
          <w:lang w:val="en-GB"/>
        </w:rPr>
        <w:t>’ (</w:t>
      </w:r>
      <w:r w:rsidR="00647D0A" w:rsidRPr="00647D0A">
        <w:rPr>
          <w:rFonts w:ascii="Arial" w:hAnsi="Arial" w:cs="Arial"/>
          <w:szCs w:val="24"/>
          <w:lang w:val="en-GB"/>
        </w:rPr>
        <w:t xml:space="preserve">Footnotes </w:t>
      </w:r>
      <w:r w:rsidR="00757A98" w:rsidRPr="00647D0A">
        <w:rPr>
          <w:rFonts w:ascii="Arial" w:hAnsi="Arial" w:cs="Arial"/>
          <w:szCs w:val="24"/>
          <w:lang w:val="en-GB"/>
        </w:rPr>
        <w:t>omitted</w:t>
      </w:r>
      <w:r w:rsidR="00647D0A" w:rsidRPr="00647D0A">
        <w:rPr>
          <w:rFonts w:ascii="Arial" w:hAnsi="Arial" w:cs="Arial"/>
          <w:szCs w:val="24"/>
          <w:lang w:val="en-GB"/>
        </w:rPr>
        <w:t>.)</w:t>
      </w:r>
      <w:r w:rsidR="00686219" w:rsidRPr="00647D0A">
        <w:rPr>
          <w:rFonts w:ascii="Arial" w:hAnsi="Arial" w:cs="Arial"/>
          <w:szCs w:val="24"/>
          <w:lang w:val="en-GB"/>
        </w:rPr>
        <w:tab/>
      </w:r>
    </w:p>
    <w:p w14:paraId="3B58DFCB" w14:textId="77777777" w:rsidR="00CC6BA5" w:rsidRPr="00212A17" w:rsidRDefault="00CC6BA5" w:rsidP="00212A17">
      <w:pPr>
        <w:spacing w:after="0" w:line="360" w:lineRule="auto"/>
        <w:contextualSpacing/>
        <w:jc w:val="both"/>
        <w:rPr>
          <w:rFonts w:ascii="Arial" w:hAnsi="Arial" w:cs="Arial"/>
          <w:sz w:val="24"/>
          <w:szCs w:val="24"/>
          <w:lang w:val="en-GB"/>
        </w:rPr>
      </w:pPr>
    </w:p>
    <w:p w14:paraId="5B8E3195" w14:textId="1082D922" w:rsidR="00CC6BA5" w:rsidRPr="00212A17" w:rsidRDefault="003975FE" w:rsidP="00212A17">
      <w:pPr>
        <w:spacing w:after="0" w:line="360" w:lineRule="auto"/>
        <w:contextualSpacing/>
        <w:jc w:val="both"/>
        <w:rPr>
          <w:rFonts w:ascii="Arial" w:hAnsi="Arial" w:cs="Arial"/>
          <w:sz w:val="24"/>
          <w:szCs w:val="24"/>
          <w:lang w:val="en-GB"/>
        </w:rPr>
      </w:pPr>
      <w:r w:rsidRPr="00212A17">
        <w:rPr>
          <w:rFonts w:ascii="Arial" w:hAnsi="Arial" w:cs="Arial"/>
          <w:sz w:val="24"/>
          <w:szCs w:val="24"/>
          <w:lang w:val="en-GB"/>
        </w:rPr>
        <w:t>[7</w:t>
      </w:r>
      <w:r w:rsidR="00CC6BA5" w:rsidRPr="00212A17">
        <w:rPr>
          <w:rFonts w:ascii="Arial" w:hAnsi="Arial" w:cs="Arial"/>
          <w:sz w:val="24"/>
          <w:szCs w:val="24"/>
          <w:lang w:val="en-GB"/>
        </w:rPr>
        <w:t>]</w:t>
      </w:r>
      <w:r w:rsidR="00CC6BA5" w:rsidRPr="00212A17">
        <w:rPr>
          <w:rFonts w:ascii="Arial" w:hAnsi="Arial" w:cs="Arial"/>
          <w:sz w:val="24"/>
          <w:szCs w:val="24"/>
          <w:lang w:val="en-GB"/>
        </w:rPr>
        <w:tab/>
        <w:t xml:space="preserve">In </w:t>
      </w:r>
      <w:r w:rsidR="00381268" w:rsidRPr="00212A17">
        <w:rPr>
          <w:rFonts w:ascii="Arial" w:hAnsi="Arial" w:cs="Arial"/>
          <w:i/>
          <w:sz w:val="24"/>
          <w:szCs w:val="24"/>
          <w:lang w:val="en-GB"/>
        </w:rPr>
        <w:t>Four Whee</w:t>
      </w:r>
      <w:r w:rsidR="00757A98" w:rsidRPr="00212A17">
        <w:rPr>
          <w:rFonts w:ascii="Arial" w:hAnsi="Arial" w:cs="Arial"/>
          <w:i/>
          <w:sz w:val="24"/>
          <w:szCs w:val="24"/>
          <w:lang w:val="en-GB"/>
        </w:rPr>
        <w:t>l Drive v Ratt</w:t>
      </w:r>
      <w:r w:rsidR="00076BA8">
        <w:rPr>
          <w:rFonts w:ascii="Arial" w:hAnsi="Arial" w:cs="Arial"/>
          <w:i/>
          <w:sz w:val="24"/>
          <w:szCs w:val="24"/>
          <w:lang w:val="en-GB"/>
        </w:rPr>
        <w:t>a</w:t>
      </w:r>
      <w:r w:rsidR="00757A98" w:rsidRPr="00212A17">
        <w:rPr>
          <w:rFonts w:ascii="Arial" w:hAnsi="Arial" w:cs="Arial"/>
          <w:i/>
          <w:sz w:val="24"/>
          <w:szCs w:val="24"/>
          <w:lang w:val="en-GB"/>
        </w:rPr>
        <w:t>n</w:t>
      </w:r>
      <w:r w:rsidR="00076BA8">
        <w:rPr>
          <w:rFonts w:ascii="Arial" w:hAnsi="Arial" w:cs="Arial"/>
          <w:i/>
          <w:sz w:val="24"/>
          <w:szCs w:val="24"/>
          <w:lang w:val="en-GB"/>
        </w:rPr>
        <w:t xml:space="preserve"> NO</w:t>
      </w:r>
      <w:r w:rsidR="001313F9" w:rsidRPr="00212A17">
        <w:rPr>
          <w:rFonts w:ascii="Arial" w:hAnsi="Arial" w:cs="Arial"/>
          <w:sz w:val="24"/>
          <w:szCs w:val="24"/>
          <w:lang w:val="en-GB"/>
        </w:rPr>
        <w:t>,</w:t>
      </w:r>
      <w:r w:rsidR="001313F9" w:rsidRPr="00212A17">
        <w:rPr>
          <w:rStyle w:val="FootnoteReference"/>
          <w:rFonts w:ascii="Arial" w:hAnsi="Arial" w:cs="Arial"/>
          <w:sz w:val="24"/>
          <w:szCs w:val="24"/>
          <w:lang w:val="en-GB"/>
        </w:rPr>
        <w:footnoteReference w:id="4"/>
      </w:r>
      <w:r w:rsidR="00381268" w:rsidRPr="00212A17">
        <w:rPr>
          <w:rFonts w:ascii="Arial" w:hAnsi="Arial" w:cs="Arial"/>
          <w:sz w:val="24"/>
          <w:szCs w:val="24"/>
          <w:lang w:val="en-GB"/>
        </w:rPr>
        <w:t xml:space="preserve"> Schippers JA, </w:t>
      </w:r>
      <w:r w:rsidR="00CC6BA5" w:rsidRPr="00212A17">
        <w:rPr>
          <w:rFonts w:ascii="Arial" w:hAnsi="Arial" w:cs="Arial"/>
          <w:sz w:val="24"/>
          <w:szCs w:val="24"/>
          <w:lang w:val="en-GB"/>
        </w:rPr>
        <w:t xml:space="preserve">with reference to </w:t>
      </w:r>
      <w:r w:rsidR="00CC6BA5" w:rsidRPr="00212A17">
        <w:rPr>
          <w:rFonts w:ascii="Arial" w:hAnsi="Arial" w:cs="Arial"/>
          <w:i/>
          <w:sz w:val="24"/>
          <w:szCs w:val="24"/>
          <w:lang w:val="en-GB"/>
        </w:rPr>
        <w:t>S v Smith supra</w:t>
      </w:r>
      <w:r w:rsidR="00757A98" w:rsidRPr="00212A17">
        <w:rPr>
          <w:rFonts w:ascii="Arial" w:hAnsi="Arial" w:cs="Arial"/>
          <w:i/>
          <w:sz w:val="24"/>
          <w:szCs w:val="24"/>
          <w:lang w:val="en-GB"/>
        </w:rPr>
        <w:t>,</w:t>
      </w:r>
      <w:r w:rsidR="00757A98" w:rsidRPr="00212A17">
        <w:rPr>
          <w:rFonts w:ascii="Arial" w:hAnsi="Arial" w:cs="Arial"/>
          <w:sz w:val="24"/>
          <w:szCs w:val="24"/>
          <w:lang w:val="en-GB"/>
        </w:rPr>
        <w:t xml:space="preserve"> referred to the principle</w:t>
      </w:r>
      <w:r w:rsidR="00381268" w:rsidRPr="00212A17">
        <w:rPr>
          <w:rFonts w:ascii="Arial" w:hAnsi="Arial" w:cs="Arial"/>
          <w:sz w:val="24"/>
          <w:szCs w:val="24"/>
          <w:lang w:val="en-GB"/>
        </w:rPr>
        <w:t xml:space="preserve"> that leave to appeal should only be </w:t>
      </w:r>
      <w:r w:rsidR="00757A98" w:rsidRPr="00212A17">
        <w:rPr>
          <w:rFonts w:ascii="Arial" w:hAnsi="Arial" w:cs="Arial"/>
          <w:sz w:val="24"/>
          <w:szCs w:val="24"/>
          <w:lang w:val="en-GB"/>
        </w:rPr>
        <w:t xml:space="preserve">granted where </w:t>
      </w:r>
      <w:r w:rsidR="001313F9" w:rsidRPr="00212A17">
        <w:rPr>
          <w:rFonts w:ascii="Arial" w:hAnsi="Arial" w:cs="Arial"/>
          <w:sz w:val="24"/>
          <w:szCs w:val="24"/>
          <w:lang w:val="en-GB"/>
        </w:rPr>
        <w:t>‘</w:t>
      </w:r>
      <w:r w:rsidR="00757A98" w:rsidRPr="00212A17">
        <w:rPr>
          <w:rFonts w:ascii="Arial" w:hAnsi="Arial" w:cs="Arial"/>
          <w:sz w:val="24"/>
          <w:szCs w:val="24"/>
          <w:lang w:val="en-GB"/>
        </w:rPr>
        <w:t xml:space="preserve">a </w:t>
      </w:r>
      <w:r w:rsidR="001313F9" w:rsidRPr="00212A17">
        <w:rPr>
          <w:rFonts w:ascii="Arial" w:hAnsi="Arial" w:cs="Arial"/>
          <w:sz w:val="24"/>
          <w:szCs w:val="24"/>
          <w:lang w:val="en-GB"/>
        </w:rPr>
        <w:t>sound, rational</w:t>
      </w:r>
      <w:r w:rsidR="00381268" w:rsidRPr="00212A17">
        <w:rPr>
          <w:rFonts w:ascii="Arial" w:hAnsi="Arial" w:cs="Arial"/>
          <w:sz w:val="24"/>
          <w:szCs w:val="24"/>
          <w:lang w:val="en-GB"/>
        </w:rPr>
        <w:t xml:space="preserve"> basis </w:t>
      </w:r>
      <w:r w:rsidR="00E1349A">
        <w:rPr>
          <w:rFonts w:ascii="Arial" w:hAnsi="Arial" w:cs="Arial"/>
          <w:sz w:val="24"/>
          <w:szCs w:val="24"/>
          <w:lang w:val="en-GB"/>
        </w:rPr>
        <w:t>[</w:t>
      </w:r>
      <w:r w:rsidR="00381268" w:rsidRPr="00212A17">
        <w:rPr>
          <w:rFonts w:ascii="Arial" w:hAnsi="Arial" w:cs="Arial"/>
          <w:sz w:val="24"/>
          <w:szCs w:val="24"/>
          <w:lang w:val="en-GB"/>
        </w:rPr>
        <w:t>exists</w:t>
      </w:r>
      <w:r w:rsidR="004A66CA">
        <w:rPr>
          <w:rFonts w:ascii="Arial" w:hAnsi="Arial" w:cs="Arial"/>
          <w:sz w:val="24"/>
          <w:szCs w:val="24"/>
          <w:lang w:val="en-GB"/>
        </w:rPr>
        <w:t>]</w:t>
      </w:r>
      <w:r w:rsidR="00381268" w:rsidRPr="00212A17">
        <w:rPr>
          <w:rFonts w:ascii="Arial" w:hAnsi="Arial" w:cs="Arial"/>
          <w:sz w:val="24"/>
          <w:szCs w:val="24"/>
          <w:lang w:val="en-GB"/>
        </w:rPr>
        <w:t xml:space="preserve"> for the conclusion that there are prospects of success</w:t>
      </w:r>
      <w:r w:rsidR="00CC6BA5" w:rsidRPr="00212A17">
        <w:rPr>
          <w:rFonts w:ascii="Arial" w:hAnsi="Arial" w:cs="Arial"/>
          <w:sz w:val="24"/>
          <w:szCs w:val="24"/>
          <w:lang w:val="en-GB"/>
        </w:rPr>
        <w:t xml:space="preserve"> </w:t>
      </w:r>
      <w:r w:rsidR="00FB79AA" w:rsidRPr="00212A17">
        <w:rPr>
          <w:rFonts w:ascii="Arial" w:hAnsi="Arial" w:cs="Arial"/>
          <w:sz w:val="24"/>
          <w:szCs w:val="24"/>
          <w:lang w:val="en-GB"/>
        </w:rPr>
        <w:t>on appeal</w:t>
      </w:r>
      <w:r w:rsidR="001313F9" w:rsidRPr="00212A17">
        <w:rPr>
          <w:rFonts w:ascii="Arial" w:hAnsi="Arial" w:cs="Arial"/>
          <w:sz w:val="24"/>
          <w:szCs w:val="24"/>
          <w:lang w:val="en-GB"/>
        </w:rPr>
        <w:t>’</w:t>
      </w:r>
      <w:r w:rsidR="00FB79AA" w:rsidRPr="00212A17">
        <w:rPr>
          <w:rFonts w:ascii="Arial" w:hAnsi="Arial" w:cs="Arial"/>
          <w:sz w:val="24"/>
          <w:szCs w:val="24"/>
          <w:lang w:val="en-GB"/>
        </w:rPr>
        <w:t xml:space="preserve">. </w:t>
      </w:r>
      <w:r w:rsidR="009B4DCF" w:rsidRPr="00212A17">
        <w:rPr>
          <w:rFonts w:ascii="Arial" w:hAnsi="Arial" w:cs="Arial"/>
          <w:sz w:val="24"/>
          <w:szCs w:val="24"/>
          <w:lang w:val="en-GB"/>
        </w:rPr>
        <w:t>The court is required to test the grounds on which leave to</w:t>
      </w:r>
      <w:r w:rsidR="00C35896" w:rsidRPr="00212A17">
        <w:rPr>
          <w:rFonts w:ascii="Arial" w:hAnsi="Arial" w:cs="Arial"/>
          <w:sz w:val="24"/>
          <w:szCs w:val="24"/>
          <w:lang w:val="en-GB"/>
        </w:rPr>
        <w:t xml:space="preserve"> </w:t>
      </w:r>
      <w:r w:rsidR="009B4DCF" w:rsidRPr="00212A17">
        <w:rPr>
          <w:rFonts w:ascii="Arial" w:hAnsi="Arial" w:cs="Arial"/>
          <w:sz w:val="24"/>
          <w:szCs w:val="24"/>
          <w:lang w:val="en-GB"/>
        </w:rPr>
        <w:t>appeal is sought</w:t>
      </w:r>
      <w:r w:rsidR="002B0008" w:rsidRPr="00212A17">
        <w:rPr>
          <w:rFonts w:ascii="Arial" w:hAnsi="Arial" w:cs="Arial"/>
          <w:sz w:val="24"/>
          <w:szCs w:val="24"/>
          <w:lang w:val="en-GB"/>
        </w:rPr>
        <w:t xml:space="preserve"> against the facts of the case and the applicable legal principles.</w:t>
      </w:r>
      <w:r w:rsidR="00C35896" w:rsidRPr="00212A17">
        <w:rPr>
          <w:rFonts w:ascii="Arial" w:hAnsi="Arial" w:cs="Arial"/>
          <w:sz w:val="24"/>
          <w:szCs w:val="24"/>
          <w:lang w:val="en-GB"/>
        </w:rPr>
        <w:t xml:space="preserve"> </w:t>
      </w:r>
      <w:r w:rsidR="00FB79AA" w:rsidRPr="00212A17">
        <w:rPr>
          <w:rFonts w:ascii="Arial" w:hAnsi="Arial" w:cs="Arial"/>
          <w:sz w:val="24"/>
          <w:szCs w:val="24"/>
          <w:lang w:val="en-GB"/>
        </w:rPr>
        <w:t xml:space="preserve">The </w:t>
      </w:r>
      <w:r w:rsidR="001313F9" w:rsidRPr="00212A17">
        <w:rPr>
          <w:rFonts w:ascii="Arial" w:hAnsi="Arial" w:cs="Arial"/>
          <w:sz w:val="24"/>
          <w:szCs w:val="24"/>
          <w:lang w:val="en-GB"/>
        </w:rPr>
        <w:t xml:space="preserve">court </w:t>
      </w:r>
      <w:r w:rsidR="00381268" w:rsidRPr="00212A17">
        <w:rPr>
          <w:rFonts w:ascii="Arial" w:hAnsi="Arial" w:cs="Arial"/>
          <w:sz w:val="24"/>
          <w:szCs w:val="24"/>
          <w:lang w:val="en-GB"/>
        </w:rPr>
        <w:t xml:space="preserve">a quo was also </w:t>
      </w:r>
      <w:r w:rsidR="001313F9" w:rsidRPr="00212A17">
        <w:rPr>
          <w:rFonts w:ascii="Arial" w:hAnsi="Arial" w:cs="Arial"/>
          <w:sz w:val="24"/>
          <w:szCs w:val="24"/>
          <w:lang w:val="en-GB"/>
        </w:rPr>
        <w:t xml:space="preserve">criticised </w:t>
      </w:r>
      <w:r w:rsidR="00381268" w:rsidRPr="00212A17">
        <w:rPr>
          <w:rFonts w:ascii="Arial" w:hAnsi="Arial" w:cs="Arial"/>
          <w:sz w:val="24"/>
          <w:szCs w:val="24"/>
          <w:lang w:val="en-GB"/>
        </w:rPr>
        <w:t>for granting leave to appeal when there were no reasonable prospects of success, which resulted in the parties being put through</w:t>
      </w:r>
      <w:r w:rsidR="00866991" w:rsidRPr="00212A17">
        <w:rPr>
          <w:rFonts w:ascii="Arial" w:hAnsi="Arial" w:cs="Arial"/>
          <w:sz w:val="24"/>
          <w:szCs w:val="24"/>
          <w:lang w:val="en-GB"/>
        </w:rPr>
        <w:t xml:space="preserve"> </w:t>
      </w:r>
      <w:r w:rsidR="00381268" w:rsidRPr="00212A17">
        <w:rPr>
          <w:rFonts w:ascii="Arial" w:hAnsi="Arial" w:cs="Arial"/>
          <w:sz w:val="24"/>
          <w:szCs w:val="24"/>
          <w:lang w:val="en-GB"/>
        </w:rPr>
        <w:t xml:space="preserve">the </w:t>
      </w:r>
      <w:r w:rsidR="00866991" w:rsidRPr="00212A17">
        <w:rPr>
          <w:rFonts w:ascii="Arial" w:hAnsi="Arial" w:cs="Arial"/>
          <w:sz w:val="24"/>
          <w:szCs w:val="24"/>
          <w:lang w:val="en-GB"/>
        </w:rPr>
        <w:t>inconvenience</w:t>
      </w:r>
      <w:r w:rsidR="00381268" w:rsidRPr="00212A17">
        <w:rPr>
          <w:rFonts w:ascii="Arial" w:hAnsi="Arial" w:cs="Arial"/>
          <w:sz w:val="24"/>
          <w:szCs w:val="24"/>
          <w:lang w:val="en-GB"/>
        </w:rPr>
        <w:t xml:space="preserve"> and expense of an appeal without any merit. </w:t>
      </w:r>
    </w:p>
    <w:p w14:paraId="4FD1DD04" w14:textId="77777777" w:rsidR="005B3426" w:rsidRPr="00212A17" w:rsidRDefault="005B3426" w:rsidP="00212A17">
      <w:pPr>
        <w:spacing w:after="0" w:line="360" w:lineRule="auto"/>
        <w:contextualSpacing/>
        <w:jc w:val="both"/>
        <w:rPr>
          <w:rFonts w:ascii="Arial" w:hAnsi="Arial" w:cs="Arial"/>
          <w:sz w:val="24"/>
          <w:szCs w:val="24"/>
          <w:lang w:val="en-GB"/>
        </w:rPr>
      </w:pPr>
    </w:p>
    <w:p w14:paraId="53EE6C22" w14:textId="06D0967E" w:rsidR="00A74535" w:rsidRPr="00212A17" w:rsidRDefault="005B3426" w:rsidP="00212A17">
      <w:pPr>
        <w:spacing w:after="0" w:line="360" w:lineRule="auto"/>
        <w:contextualSpacing/>
        <w:jc w:val="both"/>
        <w:rPr>
          <w:rFonts w:ascii="Arial" w:hAnsi="Arial" w:cs="Arial"/>
          <w:sz w:val="24"/>
          <w:szCs w:val="24"/>
          <w:lang w:val="en-GB"/>
        </w:rPr>
      </w:pPr>
      <w:r w:rsidRPr="00212A17">
        <w:rPr>
          <w:rFonts w:ascii="Arial" w:hAnsi="Arial" w:cs="Arial"/>
          <w:sz w:val="24"/>
          <w:szCs w:val="24"/>
          <w:lang w:val="en-GB"/>
        </w:rPr>
        <w:t xml:space="preserve"> </w:t>
      </w:r>
      <w:r w:rsidR="003975FE" w:rsidRPr="00212A17">
        <w:rPr>
          <w:rFonts w:ascii="Arial" w:hAnsi="Arial" w:cs="Arial"/>
          <w:sz w:val="24"/>
          <w:szCs w:val="24"/>
          <w:lang w:val="en-GB"/>
        </w:rPr>
        <w:t>[8</w:t>
      </w:r>
      <w:r w:rsidR="00C36ADB" w:rsidRPr="00212A17">
        <w:rPr>
          <w:rFonts w:ascii="Arial" w:hAnsi="Arial" w:cs="Arial"/>
          <w:sz w:val="24"/>
          <w:szCs w:val="24"/>
          <w:lang w:val="en-GB"/>
        </w:rPr>
        <w:t>]</w:t>
      </w:r>
      <w:r w:rsidR="00C36ADB" w:rsidRPr="00212A17">
        <w:rPr>
          <w:rFonts w:ascii="Arial" w:hAnsi="Arial" w:cs="Arial"/>
          <w:sz w:val="24"/>
          <w:szCs w:val="24"/>
          <w:lang w:val="en-GB"/>
        </w:rPr>
        <w:tab/>
        <w:t>It is in my view also important to keep in mind what was held in</w:t>
      </w:r>
      <w:r w:rsidR="00C35896" w:rsidRPr="00212A17">
        <w:rPr>
          <w:rFonts w:ascii="Arial" w:hAnsi="Arial" w:cs="Arial"/>
          <w:sz w:val="24"/>
          <w:szCs w:val="24"/>
          <w:lang w:val="en-GB"/>
        </w:rPr>
        <w:t xml:space="preserve"> </w:t>
      </w:r>
      <w:r w:rsidR="00016904" w:rsidRPr="00212A17">
        <w:rPr>
          <w:rFonts w:ascii="Arial" w:hAnsi="Arial" w:cs="Arial"/>
          <w:i/>
          <w:sz w:val="24"/>
          <w:szCs w:val="24"/>
          <w:lang w:val="en-GB"/>
        </w:rPr>
        <w:t>R v Dhlumayo and another</w:t>
      </w:r>
      <w:r w:rsidR="009D38A1" w:rsidRPr="00212A17">
        <w:rPr>
          <w:rStyle w:val="FootnoteReference"/>
          <w:rFonts w:ascii="Arial" w:hAnsi="Arial" w:cs="Arial"/>
          <w:sz w:val="24"/>
          <w:szCs w:val="24"/>
          <w:lang w:val="en-GB"/>
        </w:rPr>
        <w:footnoteReference w:id="5"/>
      </w:r>
      <w:r w:rsidR="00C36ADB" w:rsidRPr="00212A17">
        <w:rPr>
          <w:rFonts w:ascii="Arial" w:hAnsi="Arial" w:cs="Arial"/>
          <w:sz w:val="24"/>
          <w:szCs w:val="24"/>
          <w:lang w:val="en-GB"/>
        </w:rPr>
        <w:t xml:space="preserve"> by</w:t>
      </w:r>
      <w:r w:rsidR="00016904" w:rsidRPr="00212A17">
        <w:rPr>
          <w:rFonts w:ascii="Arial" w:hAnsi="Arial" w:cs="Arial"/>
          <w:sz w:val="24"/>
          <w:szCs w:val="24"/>
          <w:lang w:val="en-GB"/>
        </w:rPr>
        <w:t xml:space="preserve"> Davis AJ</w:t>
      </w:r>
      <w:r w:rsidR="00A74535" w:rsidRPr="00212A17">
        <w:rPr>
          <w:rFonts w:ascii="Arial" w:hAnsi="Arial" w:cs="Arial"/>
          <w:sz w:val="24"/>
          <w:szCs w:val="24"/>
          <w:lang w:val="en-GB"/>
        </w:rPr>
        <w:t>A</w:t>
      </w:r>
      <w:r w:rsidR="00C36ADB" w:rsidRPr="00212A17">
        <w:rPr>
          <w:rFonts w:ascii="Arial" w:hAnsi="Arial" w:cs="Arial"/>
          <w:sz w:val="24"/>
          <w:szCs w:val="24"/>
          <w:lang w:val="en-GB"/>
        </w:rPr>
        <w:t xml:space="preserve"> , namely</w:t>
      </w:r>
      <w:r w:rsidR="00016904" w:rsidRPr="00212A17">
        <w:rPr>
          <w:rFonts w:ascii="Arial" w:hAnsi="Arial" w:cs="Arial"/>
          <w:sz w:val="24"/>
          <w:szCs w:val="24"/>
          <w:lang w:val="en-GB"/>
        </w:rPr>
        <w:t xml:space="preserve"> that </w:t>
      </w:r>
    </w:p>
    <w:p w14:paraId="243253CD" w14:textId="194FE7A5" w:rsidR="00016904" w:rsidRPr="00600353" w:rsidRDefault="00A74535" w:rsidP="00212A17">
      <w:pPr>
        <w:spacing w:after="0" w:line="360" w:lineRule="auto"/>
        <w:contextualSpacing/>
        <w:jc w:val="both"/>
        <w:rPr>
          <w:rFonts w:ascii="Arial" w:hAnsi="Arial" w:cs="Arial"/>
          <w:szCs w:val="24"/>
          <w:lang w:val="en-GB"/>
        </w:rPr>
      </w:pPr>
      <w:r w:rsidRPr="00600353">
        <w:rPr>
          <w:rFonts w:ascii="Arial" w:hAnsi="Arial" w:cs="Arial"/>
          <w:szCs w:val="24"/>
          <w:lang w:val="en-GB"/>
        </w:rPr>
        <w:t>‘No judgment can ever be perfect and all-embracing, and it does not necessarily follow that, because something has not been mentioned, therefore it has not been considered</w:t>
      </w:r>
      <w:r w:rsidR="00016904" w:rsidRPr="00600353">
        <w:rPr>
          <w:rFonts w:ascii="Arial" w:hAnsi="Arial" w:cs="Arial"/>
          <w:szCs w:val="24"/>
          <w:lang w:val="en-GB"/>
        </w:rPr>
        <w:t>.</w:t>
      </w:r>
      <w:r w:rsidRPr="00600353">
        <w:rPr>
          <w:rFonts w:ascii="Arial" w:hAnsi="Arial" w:cs="Arial"/>
          <w:szCs w:val="24"/>
          <w:lang w:val="en-GB"/>
        </w:rPr>
        <w:t>’</w:t>
      </w:r>
    </w:p>
    <w:p w14:paraId="3E2FDBCB" w14:textId="77777777" w:rsidR="00C36ADB" w:rsidRPr="00212A17" w:rsidRDefault="00C36ADB" w:rsidP="00212A17">
      <w:pPr>
        <w:spacing w:after="0" w:line="360" w:lineRule="auto"/>
        <w:contextualSpacing/>
        <w:jc w:val="both"/>
        <w:rPr>
          <w:rFonts w:ascii="Arial" w:hAnsi="Arial" w:cs="Arial"/>
          <w:sz w:val="24"/>
          <w:szCs w:val="24"/>
          <w:lang w:val="en-GB"/>
        </w:rPr>
      </w:pPr>
    </w:p>
    <w:p w14:paraId="4D0FCD2B" w14:textId="7328CEDA" w:rsidR="00C36ADB" w:rsidRPr="00212A17" w:rsidRDefault="007040C0" w:rsidP="00212A17">
      <w:pPr>
        <w:spacing w:after="0" w:line="360" w:lineRule="auto"/>
        <w:contextualSpacing/>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2B0008" w:rsidRPr="00212A17">
        <w:rPr>
          <w:rFonts w:ascii="Arial" w:hAnsi="Arial" w:cs="Arial"/>
          <w:sz w:val="24"/>
          <w:szCs w:val="24"/>
          <w:lang w:val="en-GB"/>
        </w:rPr>
        <w:t>I</w:t>
      </w:r>
      <w:r w:rsidR="00C36ADB" w:rsidRPr="00212A17">
        <w:rPr>
          <w:rFonts w:ascii="Arial" w:hAnsi="Arial" w:cs="Arial"/>
          <w:sz w:val="24"/>
          <w:szCs w:val="24"/>
          <w:lang w:val="en-GB"/>
        </w:rPr>
        <w:t>n returning to the present application, it is perhaps important to note that the respondents were now being represented by new</w:t>
      </w:r>
      <w:r w:rsidR="002B0008" w:rsidRPr="00212A17">
        <w:rPr>
          <w:rFonts w:ascii="Arial" w:hAnsi="Arial" w:cs="Arial"/>
          <w:sz w:val="24"/>
          <w:szCs w:val="24"/>
          <w:lang w:val="en-GB"/>
        </w:rPr>
        <w:t xml:space="preserve"> attorneys and new</w:t>
      </w:r>
      <w:r w:rsidR="00C36ADB" w:rsidRPr="00212A17">
        <w:rPr>
          <w:rFonts w:ascii="Arial" w:hAnsi="Arial" w:cs="Arial"/>
          <w:sz w:val="24"/>
          <w:szCs w:val="24"/>
          <w:lang w:val="en-GB"/>
        </w:rPr>
        <w:t xml:space="preserve"> counsel, Ms Nicholson, who drafted the application for leave to appeal, despite not having argued the matter before me initially. A new broo</w:t>
      </w:r>
      <w:r w:rsidR="002B0008" w:rsidRPr="00212A17">
        <w:rPr>
          <w:rFonts w:ascii="Arial" w:hAnsi="Arial" w:cs="Arial"/>
          <w:sz w:val="24"/>
          <w:szCs w:val="24"/>
          <w:lang w:val="en-GB"/>
        </w:rPr>
        <w:t>m always wants to sweep clean.</w:t>
      </w:r>
      <w:r w:rsidR="0008772D" w:rsidRPr="00212A17">
        <w:rPr>
          <w:rFonts w:ascii="Arial" w:hAnsi="Arial" w:cs="Arial"/>
          <w:sz w:val="24"/>
          <w:szCs w:val="24"/>
          <w:lang w:val="en-GB"/>
        </w:rPr>
        <w:t xml:space="preserve"> The issue of a referral to oral evidence of </w:t>
      </w:r>
      <w:r w:rsidR="003270DE">
        <w:rPr>
          <w:rFonts w:ascii="Arial" w:hAnsi="Arial" w:cs="Arial"/>
          <w:sz w:val="24"/>
          <w:szCs w:val="24"/>
          <w:lang w:val="en-GB"/>
        </w:rPr>
        <w:t xml:space="preserve">the </w:t>
      </w:r>
      <w:r w:rsidR="0008772D" w:rsidRPr="00212A17">
        <w:rPr>
          <w:rFonts w:ascii="Arial" w:hAnsi="Arial" w:cs="Arial"/>
          <w:sz w:val="24"/>
          <w:szCs w:val="24"/>
          <w:lang w:val="en-GB"/>
        </w:rPr>
        <w:t>alleged material disputes of fact is raised now for the first time. At the hearing of the matter before me</w:t>
      </w:r>
      <w:r w:rsidR="003A2BEC">
        <w:rPr>
          <w:rFonts w:ascii="Arial" w:hAnsi="Arial" w:cs="Arial"/>
          <w:sz w:val="24"/>
          <w:szCs w:val="24"/>
          <w:lang w:val="en-GB"/>
        </w:rPr>
        <w:t>,</w:t>
      </w:r>
      <w:r w:rsidR="0008772D" w:rsidRPr="00212A17">
        <w:rPr>
          <w:rFonts w:ascii="Arial" w:hAnsi="Arial" w:cs="Arial"/>
          <w:sz w:val="24"/>
          <w:szCs w:val="24"/>
          <w:lang w:val="en-GB"/>
        </w:rPr>
        <w:t xml:space="preserve"> none of the parties raised it, </w:t>
      </w:r>
      <w:r w:rsidR="002E60BD">
        <w:rPr>
          <w:rFonts w:ascii="Arial" w:hAnsi="Arial" w:cs="Arial"/>
          <w:sz w:val="24"/>
          <w:szCs w:val="24"/>
          <w:lang w:val="en-GB"/>
        </w:rPr>
        <w:t>neither</w:t>
      </w:r>
      <w:r w:rsidR="002E60BD" w:rsidRPr="00212A17">
        <w:rPr>
          <w:rFonts w:ascii="Arial" w:hAnsi="Arial" w:cs="Arial"/>
          <w:sz w:val="24"/>
          <w:szCs w:val="24"/>
          <w:lang w:val="en-GB"/>
        </w:rPr>
        <w:t xml:space="preserve"> </w:t>
      </w:r>
      <w:r w:rsidR="0008772D" w:rsidRPr="00212A17">
        <w:rPr>
          <w:rFonts w:ascii="Arial" w:hAnsi="Arial" w:cs="Arial"/>
          <w:sz w:val="24"/>
          <w:szCs w:val="24"/>
          <w:lang w:val="en-GB"/>
        </w:rPr>
        <w:t xml:space="preserve">in argument </w:t>
      </w:r>
      <w:r w:rsidR="002E60BD">
        <w:rPr>
          <w:rFonts w:ascii="Arial" w:hAnsi="Arial" w:cs="Arial"/>
          <w:sz w:val="24"/>
          <w:szCs w:val="24"/>
          <w:lang w:val="en-GB"/>
        </w:rPr>
        <w:t>n</w:t>
      </w:r>
      <w:r w:rsidR="0008772D" w:rsidRPr="00212A17">
        <w:rPr>
          <w:rFonts w:ascii="Arial" w:hAnsi="Arial" w:cs="Arial"/>
          <w:sz w:val="24"/>
          <w:szCs w:val="24"/>
          <w:lang w:val="en-GB"/>
        </w:rPr>
        <w:t>or in their heads of argument. One of the issues to be addressed in the practi</w:t>
      </w:r>
      <w:r w:rsidR="003270DE">
        <w:rPr>
          <w:rFonts w:ascii="Arial" w:hAnsi="Arial" w:cs="Arial"/>
          <w:sz w:val="24"/>
          <w:szCs w:val="24"/>
          <w:lang w:val="en-GB"/>
        </w:rPr>
        <w:t>c</w:t>
      </w:r>
      <w:r w:rsidR="0008772D" w:rsidRPr="00212A17">
        <w:rPr>
          <w:rFonts w:ascii="Arial" w:hAnsi="Arial" w:cs="Arial"/>
          <w:sz w:val="24"/>
          <w:szCs w:val="24"/>
          <w:lang w:val="en-GB"/>
        </w:rPr>
        <w:t>e note, which has to accompany a party’s heads of argument</w:t>
      </w:r>
      <w:r w:rsidR="003A2BEC">
        <w:rPr>
          <w:rFonts w:ascii="Arial" w:hAnsi="Arial" w:cs="Arial"/>
          <w:sz w:val="24"/>
          <w:szCs w:val="24"/>
          <w:lang w:val="en-GB"/>
        </w:rPr>
        <w:t>,</w:t>
      </w:r>
      <w:r w:rsidR="002E4E20" w:rsidRPr="00212A17">
        <w:rPr>
          <w:rStyle w:val="FootnoteReference"/>
          <w:rFonts w:ascii="Arial" w:hAnsi="Arial" w:cs="Arial"/>
          <w:sz w:val="24"/>
          <w:szCs w:val="24"/>
          <w:lang w:val="en-GB"/>
        </w:rPr>
        <w:footnoteReference w:id="6"/>
      </w:r>
      <w:r w:rsidR="0008772D" w:rsidRPr="00212A17">
        <w:rPr>
          <w:rFonts w:ascii="Arial" w:hAnsi="Arial" w:cs="Arial"/>
          <w:sz w:val="24"/>
          <w:szCs w:val="24"/>
          <w:lang w:val="en-GB"/>
        </w:rPr>
        <w:t xml:space="preserve"> is whether there are material disputes of fact. None were raised by the applicant. The respondents </w:t>
      </w:r>
      <w:r w:rsidR="003270DE">
        <w:rPr>
          <w:rFonts w:ascii="Arial" w:hAnsi="Arial" w:cs="Arial"/>
          <w:sz w:val="24"/>
          <w:szCs w:val="24"/>
          <w:lang w:val="en-GB"/>
        </w:rPr>
        <w:t xml:space="preserve">further </w:t>
      </w:r>
      <w:r w:rsidR="0008772D" w:rsidRPr="00212A17">
        <w:rPr>
          <w:rFonts w:ascii="Arial" w:hAnsi="Arial" w:cs="Arial"/>
          <w:sz w:val="24"/>
          <w:szCs w:val="24"/>
          <w:lang w:val="en-GB"/>
        </w:rPr>
        <w:t>failed to file a practi</w:t>
      </w:r>
      <w:r w:rsidR="003270DE">
        <w:rPr>
          <w:rFonts w:ascii="Arial" w:hAnsi="Arial" w:cs="Arial"/>
          <w:sz w:val="24"/>
          <w:szCs w:val="24"/>
          <w:lang w:val="en-GB"/>
        </w:rPr>
        <w:t>c</w:t>
      </w:r>
      <w:r w:rsidR="0008772D" w:rsidRPr="00212A17">
        <w:rPr>
          <w:rFonts w:ascii="Arial" w:hAnsi="Arial" w:cs="Arial"/>
          <w:sz w:val="24"/>
          <w:szCs w:val="24"/>
          <w:lang w:val="en-GB"/>
        </w:rPr>
        <w:t xml:space="preserve">e note. </w:t>
      </w:r>
    </w:p>
    <w:p w14:paraId="3E9EB597" w14:textId="77777777" w:rsidR="002E4E20" w:rsidRPr="00212A17" w:rsidRDefault="002E4E20" w:rsidP="00212A17">
      <w:pPr>
        <w:spacing w:after="0" w:line="360" w:lineRule="auto"/>
        <w:contextualSpacing/>
        <w:jc w:val="both"/>
        <w:rPr>
          <w:rFonts w:ascii="Arial" w:hAnsi="Arial" w:cs="Arial"/>
          <w:sz w:val="24"/>
          <w:szCs w:val="24"/>
          <w:lang w:val="en-GB"/>
        </w:rPr>
      </w:pPr>
    </w:p>
    <w:p w14:paraId="32DFE53D" w14:textId="3763CC59" w:rsidR="00E04A11" w:rsidRPr="00212A17" w:rsidRDefault="00B57592" w:rsidP="00212A17">
      <w:pPr>
        <w:spacing w:after="0" w:line="360" w:lineRule="auto"/>
        <w:contextualSpacing/>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E04A11" w:rsidRPr="00212A17">
        <w:rPr>
          <w:rFonts w:ascii="Arial" w:hAnsi="Arial" w:cs="Arial"/>
          <w:sz w:val="24"/>
          <w:szCs w:val="24"/>
          <w:lang w:val="en-GB"/>
        </w:rPr>
        <w:t xml:space="preserve">Counsel for the respondents conceded that it was not initially raised before me but submitted that should I grant leave to appeal, </w:t>
      </w:r>
      <w:r w:rsidR="007137C6">
        <w:rPr>
          <w:rFonts w:ascii="Arial" w:hAnsi="Arial" w:cs="Arial"/>
          <w:sz w:val="24"/>
          <w:szCs w:val="24"/>
          <w:lang w:val="en-GB"/>
        </w:rPr>
        <w:t xml:space="preserve">as </w:t>
      </w:r>
      <w:r w:rsidR="00E04A11" w:rsidRPr="00212A17">
        <w:rPr>
          <w:rFonts w:ascii="Arial" w:hAnsi="Arial" w:cs="Arial"/>
          <w:sz w:val="24"/>
          <w:szCs w:val="24"/>
          <w:lang w:val="en-GB"/>
        </w:rPr>
        <w:t>the court of appeal may well refer the matter back for the hearing of oral evidence. I was not referred to any authority</w:t>
      </w:r>
      <w:r w:rsidR="00C90946">
        <w:rPr>
          <w:rFonts w:ascii="Arial" w:hAnsi="Arial" w:cs="Arial"/>
          <w:sz w:val="24"/>
          <w:szCs w:val="24"/>
          <w:lang w:val="en-GB"/>
        </w:rPr>
        <w:t xml:space="preserve"> for this submission</w:t>
      </w:r>
      <w:r w:rsidR="00E04A11" w:rsidRPr="00212A17">
        <w:rPr>
          <w:rFonts w:ascii="Arial" w:hAnsi="Arial" w:cs="Arial"/>
          <w:sz w:val="24"/>
          <w:szCs w:val="24"/>
          <w:lang w:val="en-GB"/>
        </w:rPr>
        <w:t xml:space="preserve">. </w:t>
      </w:r>
      <w:r w:rsidR="005D3F3E" w:rsidRPr="00212A17">
        <w:rPr>
          <w:rFonts w:ascii="Arial" w:hAnsi="Arial" w:cs="Arial"/>
          <w:sz w:val="24"/>
          <w:szCs w:val="24"/>
          <w:lang w:val="en-GB"/>
        </w:rPr>
        <w:t>Th</w:t>
      </w:r>
      <w:r w:rsidR="005D3F3E">
        <w:rPr>
          <w:rFonts w:ascii="Arial" w:hAnsi="Arial" w:cs="Arial"/>
          <w:sz w:val="24"/>
          <w:szCs w:val="24"/>
          <w:lang w:val="en-GB"/>
        </w:rPr>
        <w:t>is</w:t>
      </w:r>
      <w:r w:rsidR="005D3F3E" w:rsidRPr="00212A17">
        <w:rPr>
          <w:rFonts w:ascii="Arial" w:hAnsi="Arial" w:cs="Arial"/>
          <w:sz w:val="24"/>
          <w:szCs w:val="24"/>
          <w:lang w:val="en-GB"/>
        </w:rPr>
        <w:t xml:space="preserve"> </w:t>
      </w:r>
      <w:r w:rsidR="00E04A11" w:rsidRPr="00212A17">
        <w:rPr>
          <w:rFonts w:ascii="Arial" w:hAnsi="Arial" w:cs="Arial"/>
          <w:sz w:val="24"/>
          <w:szCs w:val="24"/>
          <w:lang w:val="en-GB"/>
        </w:rPr>
        <w:t>submission of course pre</w:t>
      </w:r>
      <w:r w:rsidR="002E4E20" w:rsidRPr="00212A17">
        <w:rPr>
          <w:rFonts w:ascii="Arial" w:hAnsi="Arial" w:cs="Arial"/>
          <w:sz w:val="24"/>
          <w:szCs w:val="24"/>
          <w:lang w:val="en-GB"/>
        </w:rPr>
        <w:t>-</w:t>
      </w:r>
      <w:r w:rsidR="00E04A11" w:rsidRPr="00212A17">
        <w:rPr>
          <w:rFonts w:ascii="Arial" w:hAnsi="Arial" w:cs="Arial"/>
          <w:sz w:val="24"/>
          <w:szCs w:val="24"/>
          <w:lang w:val="en-GB"/>
        </w:rPr>
        <w:t>supposes that there are material disputes of fact, which</w:t>
      </w:r>
      <w:r w:rsidR="002E4E20" w:rsidRPr="00212A17">
        <w:rPr>
          <w:rFonts w:ascii="Arial" w:hAnsi="Arial" w:cs="Arial"/>
          <w:sz w:val="24"/>
          <w:szCs w:val="24"/>
          <w:lang w:val="en-GB"/>
        </w:rPr>
        <w:t>, counsel for the applicant</w:t>
      </w:r>
      <w:r w:rsidR="00C35896" w:rsidRPr="00212A17">
        <w:rPr>
          <w:rFonts w:ascii="Arial" w:hAnsi="Arial" w:cs="Arial"/>
          <w:sz w:val="24"/>
          <w:szCs w:val="24"/>
          <w:lang w:val="en-GB"/>
        </w:rPr>
        <w:t xml:space="preserve"> </w:t>
      </w:r>
      <w:r w:rsidR="002E4E20" w:rsidRPr="00212A17">
        <w:rPr>
          <w:rFonts w:ascii="Arial" w:hAnsi="Arial" w:cs="Arial"/>
          <w:sz w:val="24"/>
          <w:szCs w:val="24"/>
          <w:lang w:val="en-GB"/>
        </w:rPr>
        <w:t>s</w:t>
      </w:r>
      <w:r w:rsidR="00E04A11" w:rsidRPr="00212A17">
        <w:rPr>
          <w:rFonts w:ascii="Arial" w:hAnsi="Arial" w:cs="Arial"/>
          <w:sz w:val="24"/>
          <w:szCs w:val="24"/>
          <w:lang w:val="en-GB"/>
        </w:rPr>
        <w:t>ubmitted</w:t>
      </w:r>
      <w:r w:rsidR="002E4E20" w:rsidRPr="00212A17">
        <w:rPr>
          <w:rFonts w:ascii="Arial" w:hAnsi="Arial" w:cs="Arial"/>
          <w:sz w:val="24"/>
          <w:szCs w:val="24"/>
          <w:lang w:val="en-GB"/>
        </w:rPr>
        <w:t>,</w:t>
      </w:r>
      <w:r w:rsidR="00C35896" w:rsidRPr="00212A17">
        <w:rPr>
          <w:rFonts w:ascii="Arial" w:hAnsi="Arial" w:cs="Arial"/>
          <w:sz w:val="24"/>
          <w:szCs w:val="24"/>
          <w:lang w:val="en-GB"/>
        </w:rPr>
        <w:t xml:space="preserve"> </w:t>
      </w:r>
      <w:r w:rsidR="00E04A11" w:rsidRPr="00212A17">
        <w:rPr>
          <w:rFonts w:ascii="Arial" w:hAnsi="Arial" w:cs="Arial"/>
          <w:sz w:val="24"/>
          <w:szCs w:val="24"/>
          <w:lang w:val="en-GB"/>
        </w:rPr>
        <w:t>there were</w:t>
      </w:r>
      <w:r w:rsidR="0068401B">
        <w:rPr>
          <w:rFonts w:ascii="Arial" w:hAnsi="Arial" w:cs="Arial"/>
          <w:sz w:val="24"/>
          <w:szCs w:val="24"/>
          <w:lang w:val="en-GB"/>
        </w:rPr>
        <w:t xml:space="preserve"> not</w:t>
      </w:r>
      <w:r w:rsidR="00E04A11" w:rsidRPr="00212A17">
        <w:rPr>
          <w:rFonts w:ascii="Arial" w:hAnsi="Arial" w:cs="Arial"/>
          <w:sz w:val="24"/>
          <w:szCs w:val="24"/>
          <w:lang w:val="en-GB"/>
        </w:rPr>
        <w:t>.</w:t>
      </w:r>
    </w:p>
    <w:p w14:paraId="5051B1C0" w14:textId="77777777" w:rsidR="00063531" w:rsidRPr="00212A17" w:rsidRDefault="00063531" w:rsidP="00212A17">
      <w:pPr>
        <w:spacing w:after="0" w:line="360" w:lineRule="auto"/>
        <w:contextualSpacing/>
        <w:jc w:val="both"/>
        <w:rPr>
          <w:rFonts w:ascii="Arial" w:hAnsi="Arial" w:cs="Arial"/>
          <w:sz w:val="24"/>
          <w:szCs w:val="24"/>
          <w:lang w:val="en-GB"/>
        </w:rPr>
      </w:pPr>
    </w:p>
    <w:p w14:paraId="43E85A75" w14:textId="03E1423D" w:rsidR="00E04A11" w:rsidRPr="00212A17" w:rsidRDefault="00B57592" w:rsidP="00212A17">
      <w:pPr>
        <w:spacing w:after="0" w:line="360" w:lineRule="auto"/>
        <w:contextualSpacing/>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E04A11" w:rsidRPr="00212A17">
        <w:rPr>
          <w:rFonts w:ascii="Arial" w:hAnsi="Arial" w:cs="Arial"/>
          <w:sz w:val="24"/>
          <w:szCs w:val="24"/>
          <w:lang w:val="en-GB"/>
        </w:rPr>
        <w:t xml:space="preserve">In </w:t>
      </w:r>
      <w:r w:rsidR="00E04A11" w:rsidRPr="00212A17">
        <w:rPr>
          <w:rFonts w:ascii="Arial" w:hAnsi="Arial" w:cs="Arial"/>
          <w:i/>
          <w:sz w:val="24"/>
          <w:szCs w:val="24"/>
          <w:lang w:val="en-GB"/>
        </w:rPr>
        <w:t>Santino Publishers CC v Waylite Marketing CC</w:t>
      </w:r>
      <w:r w:rsidR="00C82C70">
        <w:rPr>
          <w:rStyle w:val="FootnoteReference"/>
          <w:rFonts w:ascii="Arial" w:hAnsi="Arial" w:cs="Arial"/>
          <w:sz w:val="24"/>
          <w:szCs w:val="24"/>
          <w:lang w:val="en-GB"/>
        </w:rPr>
        <w:footnoteReference w:id="7"/>
      </w:r>
      <w:r w:rsidR="00E04A11" w:rsidRPr="00212A17">
        <w:rPr>
          <w:rFonts w:ascii="Arial" w:hAnsi="Arial" w:cs="Arial"/>
          <w:sz w:val="24"/>
          <w:szCs w:val="24"/>
          <w:lang w:val="en-GB"/>
        </w:rPr>
        <w:t xml:space="preserve"> it was held that</w:t>
      </w:r>
      <w:r w:rsidR="0050572C">
        <w:rPr>
          <w:rFonts w:ascii="Arial" w:hAnsi="Arial" w:cs="Arial"/>
          <w:sz w:val="24"/>
          <w:szCs w:val="24"/>
          <w:lang w:val="en-GB"/>
        </w:rPr>
        <w:t>,</w:t>
      </w:r>
      <w:r w:rsidR="00E04A11" w:rsidRPr="00212A17">
        <w:rPr>
          <w:rFonts w:ascii="Arial" w:hAnsi="Arial" w:cs="Arial"/>
          <w:sz w:val="24"/>
          <w:szCs w:val="24"/>
          <w:lang w:val="en-GB"/>
        </w:rPr>
        <w:t xml:space="preserve"> </w:t>
      </w:r>
      <w:r w:rsidR="009C6A24" w:rsidRPr="00212A17">
        <w:rPr>
          <w:rFonts w:ascii="Arial" w:hAnsi="Arial" w:cs="Arial"/>
          <w:sz w:val="24"/>
          <w:szCs w:val="24"/>
          <w:lang w:val="en-GB"/>
        </w:rPr>
        <w:t>in principle</w:t>
      </w:r>
      <w:r w:rsidR="0050572C">
        <w:rPr>
          <w:rFonts w:ascii="Arial" w:hAnsi="Arial" w:cs="Arial"/>
          <w:sz w:val="24"/>
          <w:szCs w:val="24"/>
          <w:lang w:val="en-GB"/>
        </w:rPr>
        <w:t>,</w:t>
      </w:r>
      <w:r w:rsidR="009C6A24" w:rsidRPr="00212A17">
        <w:rPr>
          <w:rFonts w:ascii="Arial" w:hAnsi="Arial" w:cs="Arial"/>
          <w:sz w:val="24"/>
          <w:szCs w:val="24"/>
          <w:lang w:val="en-GB"/>
        </w:rPr>
        <w:t xml:space="preserve"> an application for an order referring a matter for the hearing of oral evidence can be entertained by an appeal cou</w:t>
      </w:r>
      <w:r w:rsidR="009C3095" w:rsidRPr="00212A17">
        <w:rPr>
          <w:rFonts w:ascii="Arial" w:hAnsi="Arial" w:cs="Arial"/>
          <w:sz w:val="24"/>
          <w:szCs w:val="24"/>
          <w:lang w:val="en-GB"/>
        </w:rPr>
        <w:t xml:space="preserve">rt, bearing in mind the wide powers </w:t>
      </w:r>
      <w:r w:rsidR="00B91891">
        <w:rPr>
          <w:rFonts w:ascii="Arial" w:hAnsi="Arial" w:cs="Arial"/>
          <w:sz w:val="24"/>
          <w:szCs w:val="24"/>
          <w:lang w:val="en-GB"/>
        </w:rPr>
        <w:t xml:space="preserve">given to an appeal court </w:t>
      </w:r>
      <w:r w:rsidR="009C3095" w:rsidRPr="00212A17">
        <w:rPr>
          <w:rFonts w:ascii="Arial" w:hAnsi="Arial" w:cs="Arial"/>
          <w:sz w:val="24"/>
          <w:szCs w:val="24"/>
          <w:lang w:val="en-GB"/>
        </w:rPr>
        <w:t>under section 22 of t</w:t>
      </w:r>
      <w:r w:rsidR="002E4E20" w:rsidRPr="00212A17">
        <w:rPr>
          <w:rFonts w:ascii="Arial" w:hAnsi="Arial" w:cs="Arial"/>
          <w:sz w:val="24"/>
          <w:szCs w:val="24"/>
          <w:lang w:val="en-GB"/>
        </w:rPr>
        <w:t>he</w:t>
      </w:r>
      <w:r w:rsidR="00E92559">
        <w:rPr>
          <w:rFonts w:ascii="Arial" w:hAnsi="Arial" w:cs="Arial"/>
          <w:sz w:val="24"/>
          <w:szCs w:val="24"/>
          <w:lang w:val="en-GB"/>
        </w:rPr>
        <w:t xml:space="preserve"> now repealed</w:t>
      </w:r>
      <w:r w:rsidR="002E4E20" w:rsidRPr="00212A17">
        <w:rPr>
          <w:rFonts w:ascii="Arial" w:hAnsi="Arial" w:cs="Arial"/>
          <w:sz w:val="24"/>
          <w:szCs w:val="24"/>
          <w:lang w:val="en-GB"/>
        </w:rPr>
        <w:t xml:space="preserve"> Supreme Court Act 59 of 1959.</w:t>
      </w:r>
      <w:r w:rsidR="00C47896" w:rsidRPr="00212A17">
        <w:rPr>
          <w:rFonts w:ascii="Arial" w:hAnsi="Arial" w:cs="Arial"/>
          <w:sz w:val="24"/>
          <w:szCs w:val="24"/>
          <w:lang w:val="en-GB"/>
        </w:rPr>
        <w:t xml:space="preserve"> The court had to consider whether </w:t>
      </w:r>
      <w:r w:rsidR="00D64A8E" w:rsidRPr="00212A17">
        <w:rPr>
          <w:rFonts w:ascii="Arial" w:hAnsi="Arial" w:cs="Arial"/>
          <w:sz w:val="24"/>
          <w:szCs w:val="24"/>
          <w:lang w:val="en-GB"/>
        </w:rPr>
        <w:t>it was competent for it to order</w:t>
      </w:r>
      <w:r w:rsidR="00C47896" w:rsidRPr="00212A17">
        <w:rPr>
          <w:rFonts w:ascii="Arial" w:hAnsi="Arial" w:cs="Arial"/>
          <w:sz w:val="24"/>
          <w:szCs w:val="24"/>
          <w:lang w:val="en-GB"/>
        </w:rPr>
        <w:t xml:space="preserve"> a referral where it was neither applied for nor considered in the court below.</w:t>
      </w:r>
      <w:r w:rsidR="00D64A8E" w:rsidRPr="00212A17">
        <w:rPr>
          <w:rFonts w:ascii="Arial" w:hAnsi="Arial" w:cs="Arial"/>
          <w:sz w:val="24"/>
          <w:szCs w:val="24"/>
          <w:lang w:val="en-GB"/>
        </w:rPr>
        <w:t xml:space="preserve"> The court</w:t>
      </w:r>
      <w:r w:rsidR="00CD518F">
        <w:rPr>
          <w:rFonts w:ascii="Arial" w:hAnsi="Arial" w:cs="Arial"/>
          <w:sz w:val="24"/>
          <w:szCs w:val="24"/>
          <w:lang w:val="en-GB"/>
        </w:rPr>
        <w:t>,</w:t>
      </w:r>
      <w:r w:rsidR="00D64A8E" w:rsidRPr="00212A17">
        <w:rPr>
          <w:rFonts w:ascii="Arial" w:hAnsi="Arial" w:cs="Arial"/>
          <w:sz w:val="24"/>
          <w:szCs w:val="24"/>
          <w:lang w:val="en-GB"/>
        </w:rPr>
        <w:t xml:space="preserve"> however</w:t>
      </w:r>
      <w:r w:rsidR="00CD518F">
        <w:rPr>
          <w:rFonts w:ascii="Arial" w:hAnsi="Arial" w:cs="Arial"/>
          <w:sz w:val="24"/>
          <w:szCs w:val="24"/>
          <w:lang w:val="en-GB"/>
        </w:rPr>
        <w:t>,</w:t>
      </w:r>
      <w:r w:rsidR="00D64A8E" w:rsidRPr="00212A17">
        <w:rPr>
          <w:rFonts w:ascii="Arial" w:hAnsi="Arial" w:cs="Arial"/>
          <w:sz w:val="24"/>
          <w:szCs w:val="24"/>
          <w:lang w:val="en-GB"/>
        </w:rPr>
        <w:t xml:space="preserve"> declined to make the order due </w:t>
      </w:r>
      <w:r w:rsidR="00D64A8E" w:rsidRPr="00212A17">
        <w:rPr>
          <w:rFonts w:ascii="Arial" w:hAnsi="Arial" w:cs="Arial"/>
          <w:sz w:val="24"/>
          <w:szCs w:val="24"/>
          <w:lang w:val="en-GB"/>
        </w:rPr>
        <w:lastRenderedPageBreak/>
        <w:t xml:space="preserve">to other difficulties </w:t>
      </w:r>
      <w:r w:rsidR="0050572C">
        <w:rPr>
          <w:rFonts w:ascii="Arial" w:hAnsi="Arial" w:cs="Arial"/>
          <w:sz w:val="24"/>
          <w:szCs w:val="24"/>
          <w:lang w:val="en-GB"/>
        </w:rPr>
        <w:t xml:space="preserve">that </w:t>
      </w:r>
      <w:r w:rsidR="00D64A8E" w:rsidRPr="00212A17">
        <w:rPr>
          <w:rFonts w:ascii="Arial" w:hAnsi="Arial" w:cs="Arial"/>
          <w:sz w:val="24"/>
          <w:szCs w:val="24"/>
          <w:lang w:val="en-GB"/>
        </w:rPr>
        <w:t>the appellant faced, resulting in the application becoming academic</w:t>
      </w:r>
      <w:r w:rsidR="00063531" w:rsidRPr="00212A17">
        <w:rPr>
          <w:rFonts w:ascii="Arial" w:hAnsi="Arial" w:cs="Arial"/>
          <w:sz w:val="24"/>
          <w:szCs w:val="24"/>
          <w:lang w:val="en-GB"/>
        </w:rPr>
        <w:t>.</w:t>
      </w:r>
    </w:p>
    <w:p w14:paraId="691CF25B" w14:textId="77777777" w:rsidR="00063531" w:rsidRPr="00212A17" w:rsidRDefault="00063531" w:rsidP="00212A17">
      <w:pPr>
        <w:spacing w:after="0" w:line="360" w:lineRule="auto"/>
        <w:contextualSpacing/>
        <w:jc w:val="both"/>
        <w:rPr>
          <w:rFonts w:ascii="Arial" w:hAnsi="Arial" w:cs="Arial"/>
          <w:sz w:val="24"/>
          <w:szCs w:val="24"/>
          <w:lang w:val="en-GB"/>
        </w:rPr>
      </w:pPr>
    </w:p>
    <w:p w14:paraId="06FC565F" w14:textId="44B26D20" w:rsidR="003C2D32" w:rsidRPr="00212A17" w:rsidRDefault="00B57592" w:rsidP="00212A17">
      <w:pPr>
        <w:spacing w:after="0" w:line="360" w:lineRule="auto"/>
        <w:contextualSpacing/>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063531" w:rsidRPr="00212A17">
        <w:rPr>
          <w:rFonts w:ascii="Arial" w:hAnsi="Arial" w:cs="Arial"/>
          <w:sz w:val="24"/>
          <w:szCs w:val="24"/>
          <w:lang w:val="en-GB"/>
        </w:rPr>
        <w:t xml:space="preserve">In </w:t>
      </w:r>
      <w:r w:rsidR="00063531" w:rsidRPr="00212A17">
        <w:rPr>
          <w:rFonts w:ascii="Arial" w:hAnsi="Arial" w:cs="Arial"/>
          <w:i/>
          <w:sz w:val="24"/>
          <w:szCs w:val="24"/>
          <w:lang w:val="en-GB"/>
        </w:rPr>
        <w:t>Ras</w:t>
      </w:r>
      <w:r w:rsidR="00315919">
        <w:rPr>
          <w:rFonts w:ascii="Arial" w:hAnsi="Arial" w:cs="Arial"/>
          <w:i/>
          <w:sz w:val="24"/>
          <w:szCs w:val="24"/>
          <w:lang w:val="en-GB"/>
        </w:rPr>
        <w:t xml:space="preserve"> and others</w:t>
      </w:r>
      <w:r w:rsidR="00063531" w:rsidRPr="00212A17">
        <w:rPr>
          <w:rFonts w:ascii="Arial" w:hAnsi="Arial" w:cs="Arial"/>
          <w:i/>
          <w:sz w:val="24"/>
          <w:szCs w:val="24"/>
          <w:lang w:val="en-GB"/>
        </w:rPr>
        <w:t xml:space="preserve"> NNO v Van </w:t>
      </w:r>
      <w:r w:rsidR="00315919" w:rsidRPr="00212A17">
        <w:rPr>
          <w:rFonts w:ascii="Arial" w:hAnsi="Arial" w:cs="Arial"/>
          <w:i/>
          <w:sz w:val="24"/>
          <w:szCs w:val="24"/>
          <w:lang w:val="en-GB"/>
        </w:rPr>
        <w:t xml:space="preserve">der </w:t>
      </w:r>
      <w:r w:rsidR="00063531" w:rsidRPr="00212A17">
        <w:rPr>
          <w:rFonts w:ascii="Arial" w:hAnsi="Arial" w:cs="Arial"/>
          <w:i/>
          <w:sz w:val="24"/>
          <w:szCs w:val="24"/>
          <w:lang w:val="en-GB"/>
        </w:rPr>
        <w:t>Meulen</w:t>
      </w:r>
      <w:r w:rsidR="00315919">
        <w:rPr>
          <w:rFonts w:ascii="Arial" w:hAnsi="Arial" w:cs="Arial"/>
          <w:i/>
          <w:sz w:val="24"/>
          <w:szCs w:val="24"/>
          <w:lang w:val="en-GB"/>
        </w:rPr>
        <w:t xml:space="preserve"> and another</w:t>
      </w:r>
      <w:r w:rsidR="00315919">
        <w:rPr>
          <w:rStyle w:val="FootnoteReference"/>
          <w:rFonts w:ascii="Arial" w:hAnsi="Arial" w:cs="Arial"/>
          <w:sz w:val="24"/>
          <w:szCs w:val="24"/>
          <w:lang w:val="en-GB"/>
        </w:rPr>
        <w:footnoteReference w:id="8"/>
      </w:r>
      <w:r w:rsidR="00C35896" w:rsidRPr="00212A17">
        <w:rPr>
          <w:rFonts w:ascii="Arial" w:hAnsi="Arial" w:cs="Arial"/>
          <w:sz w:val="24"/>
          <w:szCs w:val="24"/>
          <w:lang w:val="en-GB"/>
        </w:rPr>
        <w:t xml:space="preserve"> </w:t>
      </w:r>
      <w:r w:rsidR="00063531" w:rsidRPr="00212A17">
        <w:rPr>
          <w:rFonts w:ascii="Arial" w:hAnsi="Arial" w:cs="Arial"/>
          <w:sz w:val="24"/>
          <w:szCs w:val="24"/>
          <w:lang w:val="en-GB"/>
        </w:rPr>
        <w:t>the court referred the matter back for the hearing of oral evidence to deal with an issue only raised in argument in the court below which had not been dealt with in the papers. Leach JA held at para 17 that ‘this court should not now dispose of the appeal by having regard to a point not raised in the court below and in respect of which the relevant facts have not been properly explored in the papers’.</w:t>
      </w:r>
    </w:p>
    <w:p w14:paraId="6474FBB1" w14:textId="77777777" w:rsidR="003C2D32" w:rsidRPr="00212A17" w:rsidRDefault="003C2D32" w:rsidP="00212A17">
      <w:pPr>
        <w:spacing w:after="0" w:line="360" w:lineRule="auto"/>
        <w:contextualSpacing/>
        <w:jc w:val="both"/>
        <w:rPr>
          <w:rFonts w:ascii="Arial" w:hAnsi="Arial" w:cs="Arial"/>
          <w:sz w:val="24"/>
          <w:szCs w:val="24"/>
          <w:lang w:val="en-GB"/>
        </w:rPr>
      </w:pPr>
    </w:p>
    <w:p w14:paraId="1E4C1C14" w14:textId="73FCE227" w:rsidR="00F1524F" w:rsidRPr="00212A17" w:rsidRDefault="00B57592" w:rsidP="00212A17">
      <w:pPr>
        <w:spacing w:after="0" w:line="360" w:lineRule="auto"/>
        <w:contextualSpacing/>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3C2D32" w:rsidRPr="00212A17">
        <w:rPr>
          <w:rFonts w:ascii="Arial" w:hAnsi="Arial" w:cs="Arial"/>
          <w:sz w:val="24"/>
          <w:szCs w:val="24"/>
          <w:lang w:val="en-GB"/>
        </w:rPr>
        <w:t xml:space="preserve">In </w:t>
      </w:r>
      <w:r w:rsidR="00083111" w:rsidRPr="00212A17">
        <w:rPr>
          <w:rFonts w:ascii="Arial" w:hAnsi="Arial" w:cs="Arial"/>
          <w:i/>
          <w:sz w:val="24"/>
          <w:szCs w:val="24"/>
          <w:lang w:val="en-GB"/>
        </w:rPr>
        <w:t>Tshangela v Nombembe and others</w:t>
      </w:r>
      <w:r w:rsidR="007A4845">
        <w:rPr>
          <w:rStyle w:val="FootnoteReference"/>
          <w:rFonts w:ascii="Arial" w:hAnsi="Arial" w:cs="Arial"/>
          <w:sz w:val="24"/>
          <w:szCs w:val="24"/>
          <w:lang w:val="en-GB"/>
        </w:rPr>
        <w:footnoteReference w:id="9"/>
      </w:r>
      <w:r w:rsidR="00083111" w:rsidRPr="00212A17">
        <w:rPr>
          <w:rFonts w:ascii="Arial" w:hAnsi="Arial" w:cs="Arial"/>
          <w:sz w:val="24"/>
          <w:szCs w:val="24"/>
          <w:lang w:val="en-GB"/>
        </w:rPr>
        <w:t xml:space="preserve"> </w:t>
      </w:r>
      <w:r w:rsidR="002E4E20" w:rsidRPr="00212A17">
        <w:rPr>
          <w:rFonts w:ascii="Arial" w:hAnsi="Arial" w:cs="Arial"/>
          <w:sz w:val="24"/>
          <w:szCs w:val="24"/>
          <w:lang w:val="en-GB"/>
        </w:rPr>
        <w:t>the issue of a referral to oral evidence was also raised for the first time during the hearing for leave to appeal. The court held as follows</w:t>
      </w:r>
      <w:r w:rsidR="001B166A" w:rsidRPr="00212A17">
        <w:rPr>
          <w:rFonts w:ascii="Arial" w:hAnsi="Arial" w:cs="Arial"/>
          <w:sz w:val="24"/>
          <w:szCs w:val="24"/>
          <w:lang w:val="en-GB"/>
        </w:rPr>
        <w:t>:</w:t>
      </w:r>
      <w:r w:rsidR="007A4845">
        <w:rPr>
          <w:rStyle w:val="FootnoteReference"/>
          <w:rFonts w:ascii="Arial" w:hAnsi="Arial" w:cs="Arial"/>
          <w:sz w:val="24"/>
          <w:szCs w:val="24"/>
        </w:rPr>
        <w:footnoteReference w:id="10"/>
      </w:r>
    </w:p>
    <w:p w14:paraId="103F15D0" w14:textId="2819E25D" w:rsidR="00F1524F" w:rsidRPr="007A4845" w:rsidRDefault="00F1524F" w:rsidP="00212A17">
      <w:pPr>
        <w:pStyle w:val="Default"/>
        <w:spacing w:line="360" w:lineRule="auto"/>
        <w:contextualSpacing/>
        <w:jc w:val="both"/>
        <w:rPr>
          <w:sz w:val="22"/>
        </w:rPr>
      </w:pPr>
      <w:r w:rsidRPr="007A4845">
        <w:rPr>
          <w:sz w:val="22"/>
        </w:rPr>
        <w:t>‘Generally, an application for a referral to oral evidence must be made at the outset of a hearing (before argument on the merits) by an applicant faced with irresoluble disputes of fact on the papers.</w:t>
      </w:r>
      <w:r w:rsidR="007A4845" w:rsidRPr="007A4845">
        <w:rPr>
          <w:sz w:val="22"/>
        </w:rPr>
        <w:t xml:space="preserve"> </w:t>
      </w:r>
      <w:r w:rsidRPr="007A4845">
        <w:rPr>
          <w:sz w:val="22"/>
        </w:rPr>
        <w:t xml:space="preserve">Courts should be circumspect in referring matters to oral evidence </w:t>
      </w:r>
      <w:r w:rsidRPr="007A4845">
        <w:rPr>
          <w:i/>
          <w:iCs/>
          <w:sz w:val="22"/>
        </w:rPr>
        <w:t xml:space="preserve">mero motu </w:t>
      </w:r>
      <w:r w:rsidRPr="007A4845">
        <w:rPr>
          <w:sz w:val="22"/>
        </w:rPr>
        <w:t>because there may be strategic reasons why the litigants may have elected not to pursue this course.’ (</w:t>
      </w:r>
      <w:r w:rsidR="007A4845" w:rsidRPr="007A4845">
        <w:rPr>
          <w:sz w:val="22"/>
        </w:rPr>
        <w:t xml:space="preserve">Footnotes </w:t>
      </w:r>
      <w:r w:rsidRPr="007A4845">
        <w:rPr>
          <w:sz w:val="22"/>
        </w:rPr>
        <w:t>omitted</w:t>
      </w:r>
      <w:r w:rsidR="007A4845">
        <w:rPr>
          <w:sz w:val="22"/>
        </w:rPr>
        <w:t>.</w:t>
      </w:r>
      <w:r w:rsidRPr="007A4845">
        <w:rPr>
          <w:sz w:val="22"/>
        </w:rPr>
        <w:t>)</w:t>
      </w:r>
    </w:p>
    <w:p w14:paraId="6D64BEA3" w14:textId="7BCA49E5" w:rsidR="00F1524F" w:rsidRPr="00212A17" w:rsidRDefault="00BB74E7" w:rsidP="00212A17">
      <w:pPr>
        <w:pStyle w:val="Default"/>
        <w:spacing w:line="360" w:lineRule="auto"/>
        <w:contextualSpacing/>
        <w:jc w:val="both"/>
      </w:pPr>
      <w:r w:rsidRPr="00212A17">
        <w:t xml:space="preserve">The court inter alia relied on </w:t>
      </w:r>
      <w:r w:rsidRPr="00212A17">
        <w:rPr>
          <w:i/>
        </w:rPr>
        <w:t>Absa Bank Ltd v Molotsi</w:t>
      </w:r>
      <w:r w:rsidR="007A4845">
        <w:rPr>
          <w:rStyle w:val="FootnoteReference"/>
        </w:rPr>
        <w:footnoteReference w:id="11"/>
      </w:r>
      <w:r w:rsidR="00562AB7" w:rsidRPr="00212A17">
        <w:t xml:space="preserve"> and the authorities cited therein. </w:t>
      </w:r>
      <w:r w:rsidR="00F1524F" w:rsidRPr="00212A17">
        <w:t>The application for leave to appeal was dismissed.</w:t>
      </w:r>
    </w:p>
    <w:p w14:paraId="6845AF78" w14:textId="52AC7959" w:rsidR="00F1524F" w:rsidRPr="00212A17" w:rsidRDefault="00F1524F" w:rsidP="00212A17">
      <w:pPr>
        <w:pStyle w:val="Default"/>
        <w:spacing w:line="360" w:lineRule="auto"/>
        <w:contextualSpacing/>
        <w:jc w:val="both"/>
      </w:pPr>
      <w:r w:rsidRPr="00212A17">
        <w:t xml:space="preserve"> </w:t>
      </w:r>
    </w:p>
    <w:p w14:paraId="3DB8337C" w14:textId="67C8E421" w:rsidR="00F1524F" w:rsidRPr="00212A17" w:rsidRDefault="00B57592" w:rsidP="00212A17">
      <w:pPr>
        <w:pStyle w:val="Default"/>
        <w:spacing w:line="360" w:lineRule="auto"/>
        <w:contextualSpacing/>
        <w:jc w:val="both"/>
      </w:pPr>
      <w:r>
        <w:t>[14]</w:t>
      </w:r>
      <w:r>
        <w:tab/>
      </w:r>
      <w:r w:rsidR="00562AB7" w:rsidRPr="00212A17">
        <w:t>Counsel for the applicant submitted that the material disputes</w:t>
      </w:r>
      <w:r w:rsidR="00CD518F">
        <w:t xml:space="preserve"> of fact</w:t>
      </w:r>
      <w:r w:rsidR="00562AB7" w:rsidRPr="00212A17">
        <w:t xml:space="preserve"> listed by the respondents were not actually disputes and </w:t>
      </w:r>
      <w:r w:rsidR="00CD518F">
        <w:t xml:space="preserve">were </w:t>
      </w:r>
      <w:r w:rsidR="00562AB7" w:rsidRPr="00212A17">
        <w:t xml:space="preserve">certainly not material. I agree with this submission. The nature of the payment by </w:t>
      </w:r>
      <w:r w:rsidR="00CD518F">
        <w:t xml:space="preserve">the </w:t>
      </w:r>
      <w:r w:rsidR="00562AB7" w:rsidRPr="00212A17">
        <w:t xml:space="preserve">Peakers Trust was not in dispute. The letter written by </w:t>
      </w:r>
      <w:r w:rsidR="00CD518F">
        <w:t xml:space="preserve">the </w:t>
      </w:r>
      <w:r w:rsidR="00562AB7" w:rsidRPr="00212A17">
        <w:t>Peakers Trust</w:t>
      </w:r>
      <w:r w:rsidR="00CD518F">
        <w:t>,</w:t>
      </w:r>
      <w:r w:rsidR="00562AB7" w:rsidRPr="00212A17">
        <w:t xml:space="preserve"> referred to by the applicant</w:t>
      </w:r>
      <w:r w:rsidR="00CD518F">
        <w:t>,</w:t>
      </w:r>
      <w:r w:rsidR="00562AB7" w:rsidRPr="00212A17">
        <w:t xml:space="preserve"> described the payment as a ‘special distribution…intended to be used by each beneficiary trust in line with its trust objectives’.</w:t>
      </w:r>
      <w:r w:rsidR="00290FDF" w:rsidRPr="00212A17">
        <w:t xml:space="preserve"> The third respondent, in her answering affidavit, referred to the payment as a special distribution to be distribute</w:t>
      </w:r>
      <w:r w:rsidR="00CD518F">
        <w:t>d</w:t>
      </w:r>
      <w:r w:rsidR="008044EA" w:rsidRPr="00212A17">
        <w:t xml:space="preserve"> to the beneficiaries.</w:t>
      </w:r>
      <w:r w:rsidR="00290FDF" w:rsidRPr="00212A17">
        <w:t xml:space="preserve"> There is clearly no dispute about the nature of the payment. </w:t>
      </w:r>
    </w:p>
    <w:p w14:paraId="78C86B45" w14:textId="77777777" w:rsidR="00290FDF" w:rsidRPr="00212A17" w:rsidRDefault="00290FDF" w:rsidP="00212A17">
      <w:pPr>
        <w:pStyle w:val="Default"/>
        <w:spacing w:line="360" w:lineRule="auto"/>
        <w:contextualSpacing/>
        <w:jc w:val="both"/>
      </w:pPr>
    </w:p>
    <w:p w14:paraId="093BB93C" w14:textId="0E122208" w:rsidR="00290FDF" w:rsidRPr="00212A17" w:rsidRDefault="00B57592" w:rsidP="00212A17">
      <w:pPr>
        <w:pStyle w:val="Default"/>
        <w:spacing w:line="360" w:lineRule="auto"/>
        <w:contextualSpacing/>
        <w:jc w:val="both"/>
      </w:pPr>
      <w:r>
        <w:t>[15]</w:t>
      </w:r>
      <w:r>
        <w:tab/>
      </w:r>
      <w:r w:rsidR="00290FDF" w:rsidRPr="00212A17">
        <w:t xml:space="preserve">The remainder of the issues listed as material disputes of fact relate to the minutes and resolutions and how the amount of each payment was arrived at. These </w:t>
      </w:r>
      <w:r w:rsidR="00DC2433" w:rsidRPr="00212A17">
        <w:t>disputes</w:t>
      </w:r>
      <w:r w:rsidR="00C35896" w:rsidRPr="00212A17">
        <w:t xml:space="preserve"> </w:t>
      </w:r>
      <w:r w:rsidR="00290FDF" w:rsidRPr="00212A17">
        <w:t xml:space="preserve">were never raised or addressed by the third respondent. </w:t>
      </w:r>
      <w:r w:rsidR="00DC2433" w:rsidRPr="00212A17">
        <w:t>The re</w:t>
      </w:r>
      <w:r w:rsidR="004C7F80">
        <w:t>s</w:t>
      </w:r>
      <w:r w:rsidR="00DC2433" w:rsidRPr="00212A17">
        <w:t>pondents supplied the information</w:t>
      </w:r>
      <w:r w:rsidR="00CD518F">
        <w:t xml:space="preserve"> to the applicant</w:t>
      </w:r>
      <w:r w:rsidR="00DC2433" w:rsidRPr="00212A17">
        <w:t xml:space="preserve"> of how the R10 million was distributed, as contained in annexure ‘P’.</w:t>
      </w:r>
      <w:r w:rsidR="004C7F80">
        <w:t xml:space="preserve"> </w:t>
      </w:r>
      <w:r w:rsidR="00DC2433" w:rsidRPr="00212A17">
        <w:t xml:space="preserve">The reasons for the payments were set out in very basic terms by the third respondent, which it was conceded, lacked detail and particularity. </w:t>
      </w:r>
      <w:r w:rsidR="00E901D5" w:rsidRPr="00212A17">
        <w:t>There is in my view</w:t>
      </w:r>
      <w:r w:rsidR="00C35896" w:rsidRPr="00212A17">
        <w:t xml:space="preserve"> </w:t>
      </w:r>
      <w:r w:rsidR="00E901D5" w:rsidRPr="00212A17">
        <w:t>accordingly no dispute as there are no conflicting versions. The respondents’ counsel submitted that if the matter is referred for oral evidence</w:t>
      </w:r>
      <w:r w:rsidR="00D44383">
        <w:t>,</w:t>
      </w:r>
      <w:r w:rsidR="00E901D5" w:rsidRPr="00212A17">
        <w:t xml:space="preserve"> these </w:t>
      </w:r>
      <w:r w:rsidR="00D44383">
        <w:t>‘</w:t>
      </w:r>
      <w:r w:rsidR="00E901D5" w:rsidRPr="00212A17">
        <w:t xml:space="preserve">issues’ can be ventilated after proper discovery has taken place and the respondents have been placed in possession of the relevant minutes and resolutions. I was reminded by </w:t>
      </w:r>
      <w:r w:rsidR="00D44383">
        <w:t xml:space="preserve">the </w:t>
      </w:r>
      <w:r w:rsidR="00E901D5" w:rsidRPr="00212A17">
        <w:t>applicant’s counsel that the respondents filed a rule 35(3) notice</w:t>
      </w:r>
      <w:r w:rsidR="00D44383">
        <w:t>,</w:t>
      </w:r>
      <w:r w:rsidR="00E901D5" w:rsidRPr="00212A17">
        <w:t xml:space="preserve"> wherein the</w:t>
      </w:r>
      <w:r w:rsidR="00AD5B89" w:rsidRPr="00212A17">
        <w:t xml:space="preserve"> respondents</w:t>
      </w:r>
      <w:r w:rsidR="00C35896" w:rsidRPr="00212A17">
        <w:t xml:space="preserve"> </w:t>
      </w:r>
      <w:r w:rsidR="00E901D5" w:rsidRPr="00212A17">
        <w:t>requested the trust’s bank sta</w:t>
      </w:r>
      <w:r w:rsidR="00DC2433" w:rsidRPr="00212A17">
        <w:t>tements and minutes of meetings</w:t>
      </w:r>
      <w:r w:rsidR="00E901D5" w:rsidRPr="00212A17">
        <w:t>.</w:t>
      </w:r>
      <w:r w:rsidR="00AD5B89" w:rsidRPr="00212A17">
        <w:t xml:space="preserve"> It was</w:t>
      </w:r>
      <w:r w:rsidR="004C7F80">
        <w:t>,</w:t>
      </w:r>
      <w:r w:rsidR="00AD5B89" w:rsidRPr="00212A17">
        <w:t xml:space="preserve"> however</w:t>
      </w:r>
      <w:r w:rsidR="004C7F80">
        <w:t>,</w:t>
      </w:r>
      <w:r w:rsidR="00AD5B89" w:rsidRPr="00212A17">
        <w:t xml:space="preserve"> not </w:t>
      </w:r>
      <w:r w:rsidR="004C7F80" w:rsidRPr="00212A17">
        <w:t>p</w:t>
      </w:r>
      <w:r w:rsidR="004C7F80">
        <w:t>u</w:t>
      </w:r>
      <w:r w:rsidR="004C7F80" w:rsidRPr="00212A17">
        <w:t xml:space="preserve">rsued </w:t>
      </w:r>
      <w:r w:rsidR="00AD5B89" w:rsidRPr="00212A17">
        <w:t xml:space="preserve">by way of an application for </w:t>
      </w:r>
      <w:r w:rsidR="00D44383">
        <w:t>an</w:t>
      </w:r>
      <w:r w:rsidR="00AD5B89" w:rsidRPr="00212A17">
        <w:t xml:space="preserve"> appropriate court directive.</w:t>
      </w:r>
      <w:r w:rsidR="00E901D5" w:rsidRPr="00212A17">
        <w:t xml:space="preserve"> Any further documents could have been requested but </w:t>
      </w:r>
      <w:r w:rsidR="00B00005">
        <w:t>were</w:t>
      </w:r>
      <w:r w:rsidR="00B00005" w:rsidRPr="00212A17">
        <w:t xml:space="preserve"> </w:t>
      </w:r>
      <w:r w:rsidR="00E901D5" w:rsidRPr="00212A17">
        <w:t>not. The applicant attached a number of minutes of meetings to his affidavit, to which I have referred in my judgment.</w:t>
      </w:r>
    </w:p>
    <w:p w14:paraId="13DE6418" w14:textId="77777777" w:rsidR="00DC2433" w:rsidRPr="00212A17" w:rsidRDefault="00DC2433" w:rsidP="00212A17">
      <w:pPr>
        <w:pStyle w:val="Default"/>
        <w:spacing w:line="360" w:lineRule="auto"/>
        <w:contextualSpacing/>
        <w:jc w:val="both"/>
      </w:pPr>
    </w:p>
    <w:p w14:paraId="6624CC51" w14:textId="4F54A23C" w:rsidR="002C2D7A" w:rsidRPr="00212A17" w:rsidRDefault="00B57592" w:rsidP="00212A17">
      <w:pPr>
        <w:pStyle w:val="Default"/>
        <w:spacing w:line="360" w:lineRule="auto"/>
        <w:contextualSpacing/>
        <w:jc w:val="both"/>
      </w:pPr>
      <w:r>
        <w:t>[16]</w:t>
      </w:r>
      <w:r>
        <w:tab/>
      </w:r>
      <w:r w:rsidR="00DC2433" w:rsidRPr="00212A17">
        <w:t>There is in my view no merit in this ground of appeal</w:t>
      </w:r>
      <w:r w:rsidR="00BA4BFF">
        <w:t>.</w:t>
      </w:r>
      <w:r w:rsidR="00DC2433" w:rsidRPr="00212A17">
        <w:t xml:space="preserve"> </w:t>
      </w:r>
      <w:r w:rsidR="00BA4BFF">
        <w:t>In addition,</w:t>
      </w:r>
      <w:r w:rsidR="00DC2433" w:rsidRPr="00212A17">
        <w:t xml:space="preserve"> it was never raised</w:t>
      </w:r>
      <w:r w:rsidR="002C2D7A" w:rsidRPr="00212A17">
        <w:t xml:space="preserve"> by or on behalf of the respondents</w:t>
      </w:r>
      <w:r w:rsidR="00C35896" w:rsidRPr="00212A17">
        <w:t xml:space="preserve"> </w:t>
      </w:r>
      <w:r w:rsidR="00DC2433" w:rsidRPr="00212A17">
        <w:t>in the papers o</w:t>
      </w:r>
      <w:r w:rsidR="002C2D7A" w:rsidRPr="00212A17">
        <w:t>r at the hearing of the matter</w:t>
      </w:r>
      <w:r w:rsidR="004C7F80">
        <w:t>.</w:t>
      </w:r>
    </w:p>
    <w:p w14:paraId="3EDF21D6" w14:textId="77777777" w:rsidR="002C2D7A" w:rsidRPr="00212A17" w:rsidRDefault="002C2D7A" w:rsidP="00212A17">
      <w:pPr>
        <w:pStyle w:val="Default"/>
        <w:spacing w:line="360" w:lineRule="auto"/>
        <w:contextualSpacing/>
        <w:jc w:val="both"/>
      </w:pPr>
    </w:p>
    <w:p w14:paraId="41900623" w14:textId="07B716E4" w:rsidR="00DC2433" w:rsidRPr="00212A17" w:rsidRDefault="00B57592" w:rsidP="00212A17">
      <w:pPr>
        <w:pStyle w:val="Default"/>
        <w:spacing w:line="360" w:lineRule="auto"/>
        <w:contextualSpacing/>
        <w:jc w:val="both"/>
      </w:pPr>
      <w:r>
        <w:t>[17]</w:t>
      </w:r>
      <w:r>
        <w:tab/>
      </w:r>
      <w:r w:rsidR="002C2D7A" w:rsidRPr="00212A17">
        <w:t>It was stated in the alternative to the above that I failed to determine the legal issues based on the facts stated by the respondents together with the admitted facts stated by the applicant. The facts stated by the third respondent were lacking in particularity</w:t>
      </w:r>
      <w:r w:rsidR="00BC4327">
        <w:t>,</w:t>
      </w:r>
      <w:r w:rsidR="002C2D7A" w:rsidRPr="00212A17">
        <w:t xml:space="preserve"> and I arrived at the conclusions I did based on her version, which demonstrated that the payments made by the trust </w:t>
      </w:r>
      <w:r w:rsidR="00F62737">
        <w:t>were</w:t>
      </w:r>
      <w:r w:rsidR="00F62737" w:rsidRPr="00212A17">
        <w:t xml:space="preserve"> </w:t>
      </w:r>
      <w:r w:rsidR="002C2D7A" w:rsidRPr="00212A17">
        <w:t>not made in accordance with the objectives of the trust deed. It is</w:t>
      </w:r>
      <w:r w:rsidR="00BC4327">
        <w:t xml:space="preserve"> now stated that the so</w:t>
      </w:r>
      <w:r w:rsidR="009A5536">
        <w:t>-</w:t>
      </w:r>
      <w:r w:rsidR="00BC4327">
        <w:t>called ‘</w:t>
      </w:r>
      <w:r w:rsidR="002C2D7A" w:rsidRPr="00212A17">
        <w:t xml:space="preserve">business beneficiaries’ worked for the trust and provided administrative support </w:t>
      </w:r>
      <w:r w:rsidR="00BC4327">
        <w:t>to</w:t>
      </w:r>
      <w:r w:rsidR="00BC4327" w:rsidRPr="00212A17">
        <w:t xml:space="preserve"> </w:t>
      </w:r>
      <w:r w:rsidR="002C2D7A" w:rsidRPr="00212A17">
        <w:t>the trust</w:t>
      </w:r>
      <w:r w:rsidR="0060347D" w:rsidRPr="00212A17">
        <w:t>. Once again</w:t>
      </w:r>
      <w:r w:rsidR="009A5536">
        <w:t>,</w:t>
      </w:r>
      <w:r w:rsidR="0060347D" w:rsidRPr="00212A17">
        <w:t xml:space="preserve"> the third respondent is hamstrung by the limited facts set out in her affidavit. It was conceded that her affidavit was vague and unsupported by evidence</w:t>
      </w:r>
      <w:r w:rsidR="009A5536">
        <w:t>,</w:t>
      </w:r>
      <w:r w:rsidR="0060347D" w:rsidRPr="00212A17">
        <w:t xml:space="preserve"> such as time sheets, </w:t>
      </w:r>
      <w:r w:rsidR="00F62737">
        <w:t xml:space="preserve">and </w:t>
      </w:r>
      <w:r w:rsidR="0060347D" w:rsidRPr="00212A17">
        <w:t>setting out the work done. The evidence of the third respondent had to be judged in accordance with what the trust deed stipulated and whether the payments fell within the discretion of the trustees</w:t>
      </w:r>
      <w:r w:rsidR="009A5536">
        <w:t>,</w:t>
      </w:r>
      <w:r w:rsidR="0060347D" w:rsidRPr="00212A17">
        <w:t xml:space="preserve"> and ultimately whether such payments were to the benefit of the trust and </w:t>
      </w:r>
      <w:r w:rsidR="0060347D" w:rsidRPr="00212A17">
        <w:lastRenderedPageBreak/>
        <w:t xml:space="preserve">all the beneficiaries. Although I did not express my findings in terms of accepting or rejecting the respondents’ version as </w:t>
      </w:r>
      <w:r w:rsidR="007C6EC0" w:rsidRPr="00212A17">
        <w:t>referred to</w:t>
      </w:r>
      <w:r w:rsidR="0060347D" w:rsidRPr="00212A17">
        <w:t xml:space="preserve"> in </w:t>
      </w:r>
      <w:r w:rsidR="0060347D" w:rsidRPr="00212A17">
        <w:rPr>
          <w:i/>
        </w:rPr>
        <w:t>Plascon</w:t>
      </w:r>
      <w:r w:rsidR="00F62737">
        <w:rPr>
          <w:i/>
        </w:rPr>
        <w:t>-</w:t>
      </w:r>
      <w:r w:rsidR="0060347D" w:rsidRPr="00212A17">
        <w:rPr>
          <w:i/>
        </w:rPr>
        <w:t>Evans</w:t>
      </w:r>
      <w:r w:rsidR="00F62737">
        <w:rPr>
          <w:i/>
        </w:rPr>
        <w:t>,</w:t>
      </w:r>
      <w:r w:rsidR="0060347D" w:rsidRPr="00212A17">
        <w:t xml:space="preserve"> I clearly found that the trustees did not act in the interests of the trust based on their version and explanations provided.</w:t>
      </w:r>
      <w:r w:rsidR="007C6EC0" w:rsidRPr="00212A17">
        <w:t xml:space="preserve"> There were furthermore insufficient facts provided by the respondents</w:t>
      </w:r>
      <w:r w:rsidR="00C35896" w:rsidRPr="00212A17">
        <w:t xml:space="preserve"> </w:t>
      </w:r>
      <w:r w:rsidR="007C6EC0" w:rsidRPr="00212A17">
        <w:t xml:space="preserve">on which to make a finding that the trustees were permitted to disburse funds to </w:t>
      </w:r>
      <w:r w:rsidR="00333D9A">
        <w:t xml:space="preserve">the </w:t>
      </w:r>
      <w:r w:rsidR="007C6EC0" w:rsidRPr="00212A17">
        <w:t xml:space="preserve">business beneficiaries (themselves in other words) whose work for the trust was </w:t>
      </w:r>
      <w:r w:rsidR="002A1E88">
        <w:t xml:space="preserve">allegedly </w:t>
      </w:r>
      <w:r w:rsidR="007C6EC0" w:rsidRPr="00212A17">
        <w:t xml:space="preserve">done to support and develop farmers in the designated areas. </w:t>
      </w:r>
      <w:r w:rsidR="008044EA" w:rsidRPr="00212A17">
        <w:t>In my view</w:t>
      </w:r>
      <w:r w:rsidR="000E6C51">
        <w:t>,</w:t>
      </w:r>
      <w:r w:rsidR="008044EA" w:rsidRPr="00212A17">
        <w:t xml:space="preserve"> there is no merit in these</w:t>
      </w:r>
      <w:r w:rsidR="00C35896" w:rsidRPr="00212A17">
        <w:t xml:space="preserve"> </w:t>
      </w:r>
      <w:r w:rsidR="008044EA" w:rsidRPr="00212A17">
        <w:t>grounds of appeal.</w:t>
      </w:r>
    </w:p>
    <w:p w14:paraId="6BC1AC12" w14:textId="77777777" w:rsidR="007C6EC0" w:rsidRPr="00212A17" w:rsidRDefault="007C6EC0" w:rsidP="00212A17">
      <w:pPr>
        <w:pStyle w:val="Default"/>
        <w:spacing w:line="360" w:lineRule="auto"/>
        <w:contextualSpacing/>
        <w:jc w:val="both"/>
      </w:pPr>
    </w:p>
    <w:p w14:paraId="7FF32898" w14:textId="15F5D0FE" w:rsidR="007C6EC0" w:rsidRPr="00212A17" w:rsidRDefault="00B57592" w:rsidP="00212A17">
      <w:pPr>
        <w:pStyle w:val="Default"/>
        <w:spacing w:line="360" w:lineRule="auto"/>
        <w:contextualSpacing/>
        <w:jc w:val="both"/>
      </w:pPr>
      <w:r>
        <w:t>[18]</w:t>
      </w:r>
      <w:r>
        <w:tab/>
      </w:r>
      <w:r w:rsidR="007C6EC0" w:rsidRPr="00212A17">
        <w:t xml:space="preserve">As far as the letter </w:t>
      </w:r>
      <w:r w:rsidR="00D84687">
        <w:t>from the</w:t>
      </w:r>
      <w:r w:rsidR="00D84687" w:rsidRPr="00212A17">
        <w:t xml:space="preserve"> </w:t>
      </w:r>
      <w:r w:rsidR="007C6EC0" w:rsidRPr="00212A17">
        <w:t xml:space="preserve">Peakers Trust constituting hearsay is concerned, it is important to note that the third respondent never raised this issue in her answering affidavit. When she responded to the specific paragraph of the applicant’s affidavit </w:t>
      </w:r>
      <w:r w:rsidR="008044EA" w:rsidRPr="00212A17">
        <w:t xml:space="preserve">dealing with and attaching the letter, </w:t>
      </w:r>
      <w:r w:rsidR="007C6EC0" w:rsidRPr="00212A17">
        <w:t xml:space="preserve">she </w:t>
      </w:r>
      <w:r w:rsidR="008044EA" w:rsidRPr="00212A17">
        <w:t>stated that ‘The terms of the special distribution from Peaker Trust in November 2019 and the objectives of the Trust were met in its distribution’. She further stated that she was an original beneficiary and also ran a SMME and on that basis</w:t>
      </w:r>
      <w:r w:rsidR="009A5536">
        <w:t>,</w:t>
      </w:r>
      <w:r w:rsidR="008044EA" w:rsidRPr="00212A17">
        <w:t xml:space="preserve"> would be entitled to support and assistance.</w:t>
      </w:r>
      <w:r w:rsidR="00FC6209" w:rsidRPr="00212A17">
        <w:t xml:space="preserve"> She even attached the decision schedule of </w:t>
      </w:r>
      <w:r w:rsidR="009A5536">
        <w:t xml:space="preserve">the </w:t>
      </w:r>
      <w:r w:rsidR="00FC6209" w:rsidRPr="00212A17">
        <w:t>Peakers Trust to her affidavit</w:t>
      </w:r>
      <w:r w:rsidR="003817C3">
        <w:t xml:space="preserve">, </w:t>
      </w:r>
      <w:r w:rsidR="00FC6209" w:rsidRPr="00212A17">
        <w:t>which deals with the special distribution.</w:t>
      </w:r>
      <w:r w:rsidR="008044EA" w:rsidRPr="00212A17">
        <w:t xml:space="preserve"> This issue</w:t>
      </w:r>
      <w:r w:rsidR="00150D3C">
        <w:t>,</w:t>
      </w:r>
      <w:r w:rsidR="008044EA" w:rsidRPr="00212A17">
        <w:t xml:space="preserve"> and the impetus and terms of </w:t>
      </w:r>
      <w:r w:rsidR="002F016D">
        <w:t xml:space="preserve">the </w:t>
      </w:r>
      <w:r w:rsidR="008044EA" w:rsidRPr="00212A17">
        <w:t>payment by the Peakers Trust should apparently also have been referred for oral evidence. I</w:t>
      </w:r>
      <w:r w:rsidR="00E21F52" w:rsidRPr="00212A17">
        <w:t xml:space="preserve"> cannot find any merit in these </w:t>
      </w:r>
      <w:r w:rsidR="008044EA" w:rsidRPr="00212A17">
        <w:t>groun</w:t>
      </w:r>
      <w:r w:rsidR="00E21F52" w:rsidRPr="00212A17">
        <w:t>ds of appeal.</w:t>
      </w:r>
    </w:p>
    <w:p w14:paraId="5B9E687A" w14:textId="77777777" w:rsidR="00E21F52" w:rsidRPr="00212A17" w:rsidRDefault="00E21F52" w:rsidP="00212A17">
      <w:pPr>
        <w:pStyle w:val="Default"/>
        <w:spacing w:line="360" w:lineRule="auto"/>
        <w:contextualSpacing/>
        <w:jc w:val="both"/>
      </w:pPr>
    </w:p>
    <w:p w14:paraId="40633702" w14:textId="6824A29E" w:rsidR="002F016D" w:rsidRDefault="00E21F52" w:rsidP="00212A17">
      <w:pPr>
        <w:pStyle w:val="Default"/>
        <w:spacing w:line="360" w:lineRule="auto"/>
        <w:contextualSpacing/>
        <w:jc w:val="both"/>
      </w:pPr>
      <w:r w:rsidRPr="00212A17">
        <w:t>[19]</w:t>
      </w:r>
      <w:r w:rsidR="00B57592">
        <w:tab/>
      </w:r>
      <w:r w:rsidRPr="00212A17">
        <w:t>The grounds relating to the payments made to the various respondents and the reasonableness of the payments deserve some mention. It was stated that the fourth respondent had served as a trustee for three years and was paid R100 000</w:t>
      </w:r>
      <w:r w:rsidR="003817C3">
        <w:t xml:space="preserve"> </w:t>
      </w:r>
      <w:r w:rsidRPr="00212A17">
        <w:t>- the equivalent of R30 000 per year</w:t>
      </w:r>
      <w:r w:rsidR="003817C3">
        <w:t>,</w:t>
      </w:r>
      <w:r w:rsidRPr="00212A17">
        <w:t xml:space="preserve"> which is more than reasonable given the </w:t>
      </w:r>
      <w:r w:rsidR="003817C3">
        <w:t>numerous</w:t>
      </w:r>
      <w:r w:rsidRPr="00212A17">
        <w:t xml:space="preserve"> meetings attended by her. It is</w:t>
      </w:r>
      <w:r w:rsidR="003817C3">
        <w:t>,</w:t>
      </w:r>
      <w:r w:rsidRPr="00212A17">
        <w:t xml:space="preserve"> however</w:t>
      </w:r>
      <w:r w:rsidR="003817C3">
        <w:t>,</w:t>
      </w:r>
      <w:r w:rsidRPr="00212A17">
        <w:t xml:space="preserve"> clear from </w:t>
      </w:r>
      <w:r w:rsidR="00BA52A9">
        <w:t xml:space="preserve">the </w:t>
      </w:r>
      <w:r w:rsidRPr="00212A17">
        <w:t>minutes put up</w:t>
      </w:r>
      <w:r w:rsidR="00BA52A9">
        <w:t>,</w:t>
      </w:r>
      <w:r w:rsidRPr="00212A17">
        <w:t xml:space="preserve"> that </w:t>
      </w:r>
      <w:r w:rsidR="003817C3">
        <w:t xml:space="preserve">the </w:t>
      </w:r>
      <w:r w:rsidRPr="00212A17">
        <w:t xml:space="preserve">trustees were </w:t>
      </w:r>
      <w:r w:rsidR="00BA52A9">
        <w:t>being paid</w:t>
      </w:r>
      <w:r w:rsidRPr="00212A17">
        <w:t xml:space="preserve"> R3</w:t>
      </w:r>
      <w:r w:rsidR="003817C3">
        <w:t xml:space="preserve"> </w:t>
      </w:r>
      <w:r w:rsidRPr="00212A17">
        <w:t xml:space="preserve">000 </w:t>
      </w:r>
      <w:r w:rsidR="00BA52A9">
        <w:t>for each</w:t>
      </w:r>
      <w:r w:rsidR="00BA52A9" w:rsidRPr="00212A17">
        <w:t xml:space="preserve"> </w:t>
      </w:r>
      <w:r w:rsidRPr="00212A17">
        <w:t>meeting they attended.</w:t>
      </w:r>
      <w:r w:rsidR="00C35896" w:rsidRPr="00212A17">
        <w:t xml:space="preserve"> </w:t>
      </w:r>
      <w:r w:rsidRPr="00212A17">
        <w:t xml:space="preserve">The fourth </w:t>
      </w:r>
      <w:r w:rsidR="00FC6209" w:rsidRPr="00212A17">
        <w:t>respondent also received R1 million for a company owned by her</w:t>
      </w:r>
      <w:r w:rsidR="008B37C1">
        <w:t>,</w:t>
      </w:r>
      <w:r w:rsidR="00FC6209" w:rsidRPr="00212A17">
        <w:t xml:space="preserve"> despite not being an original</w:t>
      </w:r>
      <w:r w:rsidR="00C35896" w:rsidRPr="00212A17">
        <w:t xml:space="preserve"> </w:t>
      </w:r>
      <w:r w:rsidR="00FC6209" w:rsidRPr="00212A17">
        <w:t xml:space="preserve">beneficiary of the trust. As far as the work done on behalf of the trust is concerned, I have already dealt with the vague allegations in this regard. </w:t>
      </w:r>
    </w:p>
    <w:p w14:paraId="59E751C6" w14:textId="77777777" w:rsidR="002F016D" w:rsidRDefault="002F016D" w:rsidP="00212A17">
      <w:pPr>
        <w:pStyle w:val="Default"/>
        <w:spacing w:line="360" w:lineRule="auto"/>
        <w:contextualSpacing/>
        <w:jc w:val="both"/>
      </w:pPr>
    </w:p>
    <w:p w14:paraId="74C4A31F" w14:textId="094CDB1B" w:rsidR="00CC21EE" w:rsidRPr="00212A17" w:rsidRDefault="002F016D" w:rsidP="00212A17">
      <w:pPr>
        <w:pStyle w:val="Default"/>
        <w:spacing w:line="360" w:lineRule="auto"/>
        <w:contextualSpacing/>
        <w:jc w:val="both"/>
      </w:pPr>
      <w:r>
        <w:lastRenderedPageBreak/>
        <w:t>[20]</w:t>
      </w:r>
      <w:r>
        <w:tab/>
      </w:r>
      <w:r w:rsidR="00FC6209" w:rsidRPr="00212A17">
        <w:t>I was criticised for making a blanket finding against all four respondents without considering their individual circumstances and applying the same penalty to all four respondents, despite the discrepancy in the amounts received.</w:t>
      </w:r>
      <w:r w:rsidR="00C35896" w:rsidRPr="00212A17">
        <w:t xml:space="preserve"> </w:t>
      </w:r>
      <w:r w:rsidR="00FC6209" w:rsidRPr="00212A17">
        <w:t xml:space="preserve">Only the third respondent attested to a </w:t>
      </w:r>
      <w:r w:rsidR="00AE50DF">
        <w:t>substantial affidavit whilst the other respondents merely attested to confirmatory affidavits.</w:t>
      </w:r>
      <w:r w:rsidR="00FC6209" w:rsidRPr="00212A17">
        <w:t xml:space="preserve"> She certainly did not set out the respondents’ individual personal circumstances. </w:t>
      </w:r>
      <w:r w:rsidR="008B7136" w:rsidRPr="00212A17">
        <w:t>At the hearing of the application for leave to appeal</w:t>
      </w:r>
      <w:r w:rsidR="003817C3">
        <w:t>,</w:t>
      </w:r>
      <w:r w:rsidR="008B7136" w:rsidRPr="00212A17">
        <w:t xml:space="preserve"> it was submitted that I failed to consider the practical effect</w:t>
      </w:r>
      <w:r w:rsidR="00AD5B89" w:rsidRPr="00212A17">
        <w:t xml:space="preserve"> of my order on the respondent</w:t>
      </w:r>
      <w:r w:rsidR="008B37C1">
        <w:t>s</w:t>
      </w:r>
      <w:r w:rsidR="00AD5B89" w:rsidRPr="00212A17">
        <w:t>.</w:t>
      </w:r>
      <w:r w:rsidR="008B7136" w:rsidRPr="00212A17">
        <w:t xml:space="preserve"> Apparently</w:t>
      </w:r>
      <w:r w:rsidR="002F0E53">
        <w:t>,</w:t>
      </w:r>
      <w:r w:rsidR="008B7136" w:rsidRPr="00212A17">
        <w:t xml:space="preserve"> both the third and fourth respondents have subsequently been removed as directors of all the companies on whose boards they serve. They have also been removed as trustees from the other trusts they were involved in. It was further submitted that I should have considered that they were not legally trained and therefore did not understand the workings and limitations of </w:t>
      </w:r>
      <w:r w:rsidR="002F0E53">
        <w:t>a</w:t>
      </w:r>
      <w:r w:rsidR="002F0E53" w:rsidRPr="00212A17">
        <w:t xml:space="preserve"> </w:t>
      </w:r>
      <w:r w:rsidR="008B7136" w:rsidRPr="00212A17">
        <w:t>trust. It</w:t>
      </w:r>
      <w:r w:rsidR="00D16E5C">
        <w:t>,</w:t>
      </w:r>
      <w:r w:rsidR="008B7136" w:rsidRPr="00212A17">
        <w:t xml:space="preserve"> however</w:t>
      </w:r>
      <w:r w:rsidR="00D16E5C">
        <w:t>,</w:t>
      </w:r>
      <w:r w:rsidR="008B7136" w:rsidRPr="00212A17">
        <w:t xml:space="preserve"> emerged at the hearing that both </w:t>
      </w:r>
      <w:r w:rsidR="00D16E5C">
        <w:t>respondents</w:t>
      </w:r>
      <w:r w:rsidR="00D16E5C" w:rsidRPr="00212A17">
        <w:t xml:space="preserve"> </w:t>
      </w:r>
      <w:r w:rsidR="008B7136" w:rsidRPr="00212A17">
        <w:t>held doctorate degrees, albeit in philosophy and theology. In my view</w:t>
      </w:r>
      <w:r w:rsidR="00D16E5C">
        <w:t>,</w:t>
      </w:r>
      <w:r w:rsidR="008B7136" w:rsidRPr="00212A17">
        <w:t xml:space="preserve"> these submissions fortified my view that the respondents should no longer </w:t>
      </w:r>
      <w:r w:rsidR="00AD5B89" w:rsidRPr="00212A17">
        <w:t xml:space="preserve">act as trustees of the trust for the reasons set out in my judgment. </w:t>
      </w:r>
      <w:r w:rsidR="00AE50DF">
        <w:t xml:space="preserve">I was reminded by the applicant’s counsel that the respondents were provided with a legal opinion which they choose to ignore. </w:t>
      </w:r>
      <w:r w:rsidR="00AD5B89" w:rsidRPr="00212A17">
        <w:t>There is in my view likewise no merit in these last grounds of appeal</w:t>
      </w:r>
      <w:r w:rsidR="00AE50DF">
        <w:t>.</w:t>
      </w:r>
      <w:r w:rsidR="00CC21EE" w:rsidRPr="00212A17">
        <w:t xml:space="preserve"> </w:t>
      </w:r>
    </w:p>
    <w:p w14:paraId="5B061236" w14:textId="77777777" w:rsidR="00527378" w:rsidRPr="00212A17" w:rsidRDefault="00527378" w:rsidP="00212A17">
      <w:pPr>
        <w:spacing w:after="0" w:line="360" w:lineRule="auto"/>
        <w:contextualSpacing/>
        <w:jc w:val="both"/>
        <w:rPr>
          <w:rFonts w:ascii="Arial" w:hAnsi="Arial" w:cs="Arial"/>
          <w:sz w:val="24"/>
          <w:szCs w:val="24"/>
          <w:lang w:val="en-GB"/>
        </w:rPr>
      </w:pPr>
    </w:p>
    <w:p w14:paraId="36B2C0D1" w14:textId="23DE1D53" w:rsidR="00016904" w:rsidRDefault="00771C58" w:rsidP="00212A17">
      <w:pPr>
        <w:spacing w:after="0" w:line="360" w:lineRule="auto"/>
        <w:contextualSpacing/>
        <w:jc w:val="both"/>
        <w:rPr>
          <w:rFonts w:ascii="Arial" w:hAnsi="Arial" w:cs="Arial"/>
          <w:sz w:val="24"/>
          <w:szCs w:val="24"/>
          <w:lang w:val="en-GB"/>
        </w:rPr>
      </w:pPr>
      <w:r w:rsidRPr="00212A17">
        <w:rPr>
          <w:rFonts w:ascii="Arial" w:hAnsi="Arial" w:cs="Arial"/>
          <w:sz w:val="24"/>
          <w:szCs w:val="24"/>
          <w:lang w:val="en-GB"/>
        </w:rPr>
        <w:t>[2</w:t>
      </w:r>
      <w:r w:rsidR="002F016D">
        <w:rPr>
          <w:rFonts w:ascii="Arial" w:hAnsi="Arial" w:cs="Arial"/>
          <w:sz w:val="24"/>
          <w:szCs w:val="24"/>
          <w:lang w:val="en-GB"/>
        </w:rPr>
        <w:t>1</w:t>
      </w:r>
      <w:r w:rsidR="00CC21EE" w:rsidRPr="00212A17">
        <w:rPr>
          <w:rFonts w:ascii="Arial" w:hAnsi="Arial" w:cs="Arial"/>
          <w:sz w:val="24"/>
          <w:szCs w:val="24"/>
          <w:lang w:val="en-GB"/>
        </w:rPr>
        <w:t>]</w:t>
      </w:r>
      <w:r w:rsidR="00B57592">
        <w:rPr>
          <w:rFonts w:ascii="Arial" w:hAnsi="Arial" w:cs="Arial"/>
          <w:sz w:val="24"/>
          <w:szCs w:val="24"/>
          <w:lang w:val="en-GB"/>
        </w:rPr>
        <w:tab/>
      </w:r>
      <w:r w:rsidR="00CC21EE" w:rsidRPr="00212A17">
        <w:rPr>
          <w:rFonts w:ascii="Arial" w:hAnsi="Arial" w:cs="Arial"/>
          <w:sz w:val="24"/>
          <w:szCs w:val="24"/>
          <w:lang w:val="en-GB"/>
        </w:rPr>
        <w:t xml:space="preserve">I am firmly of the view, having </w:t>
      </w:r>
      <w:r w:rsidR="00016904" w:rsidRPr="00212A17">
        <w:rPr>
          <w:rFonts w:ascii="Arial" w:hAnsi="Arial" w:cs="Arial"/>
          <w:sz w:val="24"/>
          <w:szCs w:val="24"/>
          <w:lang w:val="en-GB"/>
        </w:rPr>
        <w:t>considered</w:t>
      </w:r>
      <w:r w:rsidR="00CC21EE" w:rsidRPr="00212A17">
        <w:rPr>
          <w:rFonts w:ascii="Arial" w:hAnsi="Arial" w:cs="Arial"/>
          <w:sz w:val="24"/>
          <w:szCs w:val="24"/>
          <w:lang w:val="en-GB"/>
        </w:rPr>
        <w:t xml:space="preserve"> the grounds of appeal </w:t>
      </w:r>
      <w:r w:rsidR="0018796F" w:rsidRPr="00212A17">
        <w:rPr>
          <w:rFonts w:ascii="Arial" w:hAnsi="Arial" w:cs="Arial"/>
          <w:sz w:val="24"/>
          <w:szCs w:val="24"/>
          <w:lang w:val="en-GB"/>
        </w:rPr>
        <w:t xml:space="preserve">as well as </w:t>
      </w:r>
      <w:r w:rsidR="00016904" w:rsidRPr="00212A17">
        <w:rPr>
          <w:rFonts w:ascii="Arial" w:hAnsi="Arial" w:cs="Arial"/>
          <w:sz w:val="24"/>
          <w:szCs w:val="24"/>
          <w:lang w:val="en-GB"/>
        </w:rPr>
        <w:t>the s</w:t>
      </w:r>
      <w:r w:rsidR="00CC21EE" w:rsidRPr="00212A17">
        <w:rPr>
          <w:rFonts w:ascii="Arial" w:hAnsi="Arial" w:cs="Arial"/>
          <w:sz w:val="24"/>
          <w:szCs w:val="24"/>
          <w:lang w:val="en-GB"/>
        </w:rPr>
        <w:t>ubm</w:t>
      </w:r>
      <w:r w:rsidR="0018796F" w:rsidRPr="00212A17">
        <w:rPr>
          <w:rFonts w:ascii="Arial" w:hAnsi="Arial" w:cs="Arial"/>
          <w:sz w:val="24"/>
          <w:szCs w:val="24"/>
          <w:lang w:val="en-GB"/>
        </w:rPr>
        <w:t xml:space="preserve">issions made, that there is no </w:t>
      </w:r>
      <w:r w:rsidR="00F44706" w:rsidRPr="00212A17">
        <w:rPr>
          <w:rFonts w:ascii="Arial" w:hAnsi="Arial" w:cs="Arial"/>
          <w:sz w:val="24"/>
          <w:szCs w:val="24"/>
          <w:lang w:val="en-GB"/>
        </w:rPr>
        <w:t>sound, rational</w:t>
      </w:r>
      <w:r w:rsidR="0018796F" w:rsidRPr="00212A17">
        <w:rPr>
          <w:rFonts w:ascii="Arial" w:hAnsi="Arial" w:cs="Arial"/>
          <w:sz w:val="24"/>
          <w:szCs w:val="24"/>
          <w:lang w:val="en-GB"/>
        </w:rPr>
        <w:t xml:space="preserve"> basis to conclude that there </w:t>
      </w:r>
      <w:r w:rsidR="00F44706" w:rsidRPr="00212A17">
        <w:rPr>
          <w:rFonts w:ascii="Arial" w:hAnsi="Arial" w:cs="Arial"/>
          <w:sz w:val="24"/>
          <w:szCs w:val="24"/>
          <w:lang w:val="en-GB"/>
        </w:rPr>
        <w:t>are reasonable</w:t>
      </w:r>
      <w:r w:rsidR="00016904" w:rsidRPr="00212A17">
        <w:rPr>
          <w:rFonts w:ascii="Arial" w:hAnsi="Arial" w:cs="Arial"/>
          <w:sz w:val="24"/>
          <w:szCs w:val="24"/>
          <w:lang w:val="en-GB"/>
        </w:rPr>
        <w:t xml:space="preserve"> prospects of success</w:t>
      </w:r>
      <w:r w:rsidR="0018796F" w:rsidRPr="00212A17">
        <w:rPr>
          <w:rFonts w:ascii="Arial" w:hAnsi="Arial" w:cs="Arial"/>
          <w:sz w:val="24"/>
          <w:szCs w:val="24"/>
          <w:lang w:val="en-GB"/>
        </w:rPr>
        <w:t xml:space="preserve"> on </w:t>
      </w:r>
      <w:r w:rsidRPr="00212A17">
        <w:rPr>
          <w:rFonts w:ascii="Arial" w:hAnsi="Arial" w:cs="Arial"/>
          <w:sz w:val="24"/>
          <w:szCs w:val="24"/>
          <w:lang w:val="en-GB"/>
        </w:rPr>
        <w:t>appeal</w:t>
      </w:r>
      <w:r w:rsidR="0018796F" w:rsidRPr="00212A17">
        <w:rPr>
          <w:rFonts w:ascii="Arial" w:hAnsi="Arial" w:cs="Arial"/>
          <w:sz w:val="24"/>
          <w:szCs w:val="24"/>
          <w:lang w:val="en-GB"/>
        </w:rPr>
        <w:t>. There are in my vie</w:t>
      </w:r>
      <w:r w:rsidR="00F44706" w:rsidRPr="00212A17">
        <w:rPr>
          <w:rFonts w:ascii="Arial" w:hAnsi="Arial" w:cs="Arial"/>
          <w:sz w:val="24"/>
          <w:szCs w:val="24"/>
          <w:lang w:val="en-GB"/>
        </w:rPr>
        <w:t>w</w:t>
      </w:r>
      <w:r w:rsidR="00C36ADB" w:rsidRPr="00212A17">
        <w:rPr>
          <w:rFonts w:ascii="Arial" w:hAnsi="Arial" w:cs="Arial"/>
          <w:sz w:val="24"/>
          <w:szCs w:val="24"/>
          <w:lang w:val="en-GB"/>
        </w:rPr>
        <w:t xml:space="preserve"> furthermore</w:t>
      </w:r>
      <w:r w:rsidR="00F44706" w:rsidRPr="00212A17">
        <w:rPr>
          <w:rFonts w:ascii="Arial" w:hAnsi="Arial" w:cs="Arial"/>
          <w:sz w:val="24"/>
          <w:szCs w:val="24"/>
          <w:lang w:val="en-GB"/>
        </w:rPr>
        <w:t xml:space="preserve"> clearly no compelling reasons,</w:t>
      </w:r>
      <w:r w:rsidR="00016904" w:rsidRPr="00212A17">
        <w:rPr>
          <w:rFonts w:ascii="Arial" w:hAnsi="Arial" w:cs="Arial"/>
          <w:sz w:val="24"/>
          <w:szCs w:val="24"/>
          <w:lang w:val="en-GB"/>
        </w:rPr>
        <w:t xml:space="preserve"> which would justify granting leave to </w:t>
      </w:r>
      <w:r w:rsidR="00121DF7" w:rsidRPr="00212A17">
        <w:rPr>
          <w:rFonts w:ascii="Arial" w:hAnsi="Arial" w:cs="Arial"/>
          <w:sz w:val="24"/>
          <w:szCs w:val="24"/>
          <w:lang w:val="en-GB"/>
        </w:rPr>
        <w:t>appeal in this particular mat</w:t>
      </w:r>
      <w:r w:rsidR="0018796F" w:rsidRPr="00212A17">
        <w:rPr>
          <w:rFonts w:ascii="Arial" w:hAnsi="Arial" w:cs="Arial"/>
          <w:sz w:val="24"/>
          <w:szCs w:val="24"/>
          <w:lang w:val="en-GB"/>
        </w:rPr>
        <w:t>t</w:t>
      </w:r>
      <w:r w:rsidR="00121DF7" w:rsidRPr="00212A17">
        <w:rPr>
          <w:rFonts w:ascii="Arial" w:hAnsi="Arial" w:cs="Arial"/>
          <w:sz w:val="24"/>
          <w:szCs w:val="24"/>
          <w:lang w:val="en-GB"/>
        </w:rPr>
        <w:t xml:space="preserve">er. </w:t>
      </w:r>
    </w:p>
    <w:p w14:paraId="19A8F6D0" w14:textId="77777777" w:rsidR="00FE5C4C" w:rsidRDefault="00FE5C4C" w:rsidP="00212A17">
      <w:pPr>
        <w:spacing w:after="0" w:line="360" w:lineRule="auto"/>
        <w:contextualSpacing/>
        <w:jc w:val="both"/>
        <w:rPr>
          <w:rFonts w:ascii="Arial" w:hAnsi="Arial" w:cs="Arial"/>
          <w:sz w:val="24"/>
          <w:szCs w:val="24"/>
          <w:lang w:val="en-GB"/>
        </w:rPr>
      </w:pPr>
    </w:p>
    <w:p w14:paraId="02113FD1" w14:textId="6DCBC9B0" w:rsidR="00FE5C4C" w:rsidRPr="00212A17" w:rsidRDefault="00FE5C4C" w:rsidP="00212A17">
      <w:pPr>
        <w:spacing w:after="0" w:line="360" w:lineRule="auto"/>
        <w:contextualSpacing/>
        <w:jc w:val="both"/>
        <w:rPr>
          <w:rFonts w:ascii="Arial" w:hAnsi="Arial" w:cs="Arial"/>
          <w:sz w:val="24"/>
          <w:szCs w:val="24"/>
          <w:lang w:val="en-GB"/>
        </w:rPr>
      </w:pPr>
      <w:r>
        <w:rPr>
          <w:rFonts w:ascii="Arial" w:hAnsi="Arial" w:cs="Arial"/>
          <w:sz w:val="24"/>
          <w:szCs w:val="24"/>
          <w:lang w:val="en-GB"/>
        </w:rPr>
        <w:t>[22]   As far as costs are concerned I see no reason why I should not make a cost order on the same basis as before. The applicant and by implication the trust, should not be out of pocket in respect of the respondents’ failed application.</w:t>
      </w:r>
    </w:p>
    <w:p w14:paraId="029BE2C7" w14:textId="77777777" w:rsidR="00121DF7" w:rsidRPr="00212A17" w:rsidRDefault="00121DF7" w:rsidP="00212A17">
      <w:pPr>
        <w:spacing w:after="0" w:line="360" w:lineRule="auto"/>
        <w:contextualSpacing/>
        <w:jc w:val="both"/>
        <w:rPr>
          <w:rFonts w:ascii="Arial" w:hAnsi="Arial" w:cs="Arial"/>
          <w:sz w:val="24"/>
          <w:szCs w:val="24"/>
          <w:lang w:val="en-GB"/>
        </w:rPr>
      </w:pPr>
    </w:p>
    <w:p w14:paraId="31579F65" w14:textId="1B17B03A" w:rsidR="00121DF7" w:rsidRPr="00212A17" w:rsidRDefault="00771C58" w:rsidP="00212A17">
      <w:pPr>
        <w:spacing w:after="0" w:line="360" w:lineRule="auto"/>
        <w:contextualSpacing/>
        <w:jc w:val="both"/>
        <w:rPr>
          <w:rFonts w:ascii="Arial" w:hAnsi="Arial" w:cs="Arial"/>
          <w:sz w:val="24"/>
          <w:szCs w:val="24"/>
          <w:lang w:val="en-GB"/>
        </w:rPr>
      </w:pPr>
      <w:r w:rsidRPr="00212A17">
        <w:rPr>
          <w:rFonts w:ascii="Arial" w:hAnsi="Arial" w:cs="Arial"/>
          <w:sz w:val="24"/>
          <w:szCs w:val="24"/>
          <w:lang w:val="en-GB"/>
        </w:rPr>
        <w:t>[2</w:t>
      </w:r>
      <w:r w:rsidR="002F016D">
        <w:rPr>
          <w:rFonts w:ascii="Arial" w:hAnsi="Arial" w:cs="Arial"/>
          <w:sz w:val="24"/>
          <w:szCs w:val="24"/>
          <w:lang w:val="en-GB"/>
        </w:rPr>
        <w:t>2</w:t>
      </w:r>
      <w:r w:rsidR="00B57592">
        <w:rPr>
          <w:rFonts w:ascii="Arial" w:hAnsi="Arial" w:cs="Arial"/>
          <w:sz w:val="24"/>
          <w:szCs w:val="24"/>
          <w:lang w:val="en-GB"/>
        </w:rPr>
        <w:t>]</w:t>
      </w:r>
      <w:r w:rsidR="00B57592">
        <w:rPr>
          <w:rFonts w:ascii="Arial" w:hAnsi="Arial" w:cs="Arial"/>
          <w:sz w:val="24"/>
          <w:szCs w:val="24"/>
          <w:lang w:val="en-GB"/>
        </w:rPr>
        <w:tab/>
      </w:r>
      <w:r w:rsidR="00121DF7" w:rsidRPr="00212A17">
        <w:rPr>
          <w:rFonts w:ascii="Arial" w:hAnsi="Arial" w:cs="Arial"/>
          <w:sz w:val="24"/>
          <w:szCs w:val="24"/>
          <w:lang w:val="en-GB"/>
        </w:rPr>
        <w:t>I therefore make the following order</w:t>
      </w:r>
      <w:r w:rsidR="00053718" w:rsidRPr="00212A17">
        <w:rPr>
          <w:rFonts w:ascii="Arial" w:hAnsi="Arial" w:cs="Arial"/>
          <w:sz w:val="24"/>
          <w:szCs w:val="24"/>
          <w:lang w:val="en-GB"/>
        </w:rPr>
        <w:t>:</w:t>
      </w:r>
    </w:p>
    <w:p w14:paraId="098ABAE4" w14:textId="65DCEED2" w:rsidR="00121DF7" w:rsidRDefault="00771C58" w:rsidP="00212A17">
      <w:pPr>
        <w:spacing w:after="0" w:line="360" w:lineRule="auto"/>
        <w:contextualSpacing/>
        <w:jc w:val="both"/>
        <w:rPr>
          <w:rFonts w:ascii="Arial" w:hAnsi="Arial" w:cs="Arial"/>
          <w:sz w:val="24"/>
          <w:szCs w:val="24"/>
          <w:lang w:val="en-GB"/>
        </w:rPr>
      </w:pPr>
      <w:r w:rsidRPr="00212A17">
        <w:rPr>
          <w:rFonts w:ascii="Arial" w:hAnsi="Arial" w:cs="Arial"/>
          <w:sz w:val="24"/>
          <w:szCs w:val="24"/>
          <w:lang w:val="en-GB"/>
        </w:rPr>
        <w:t>1.</w:t>
      </w:r>
      <w:r w:rsidR="00B57592">
        <w:rPr>
          <w:rFonts w:ascii="Arial" w:hAnsi="Arial" w:cs="Arial"/>
          <w:sz w:val="24"/>
          <w:szCs w:val="24"/>
          <w:lang w:val="en-GB"/>
        </w:rPr>
        <w:tab/>
      </w:r>
      <w:r w:rsidR="00121DF7" w:rsidRPr="00212A17">
        <w:rPr>
          <w:rFonts w:ascii="Arial" w:hAnsi="Arial" w:cs="Arial"/>
          <w:sz w:val="24"/>
          <w:szCs w:val="24"/>
          <w:lang w:val="en-GB"/>
        </w:rPr>
        <w:t xml:space="preserve">The </w:t>
      </w:r>
      <w:r w:rsidRPr="00212A17">
        <w:rPr>
          <w:rFonts w:ascii="Arial" w:hAnsi="Arial" w:cs="Arial"/>
          <w:sz w:val="24"/>
          <w:szCs w:val="24"/>
          <w:lang w:val="en-GB"/>
        </w:rPr>
        <w:t xml:space="preserve">third and fourth respondents’ </w:t>
      </w:r>
      <w:r w:rsidR="00121DF7" w:rsidRPr="00212A17">
        <w:rPr>
          <w:rFonts w:ascii="Arial" w:hAnsi="Arial" w:cs="Arial"/>
          <w:sz w:val="24"/>
          <w:szCs w:val="24"/>
          <w:lang w:val="en-GB"/>
        </w:rPr>
        <w:t>application for leave to</w:t>
      </w:r>
      <w:r w:rsidR="00FE5C4C">
        <w:rPr>
          <w:rFonts w:ascii="Arial" w:hAnsi="Arial" w:cs="Arial"/>
          <w:sz w:val="24"/>
          <w:szCs w:val="24"/>
          <w:lang w:val="en-GB"/>
        </w:rPr>
        <w:t xml:space="preserve"> appeal is dismissed with costs on the attorney and client scale, such costs to be paid jointly and severally, the one paying the other to be absolved.</w:t>
      </w:r>
    </w:p>
    <w:p w14:paraId="67C2D8C3" w14:textId="77777777" w:rsidR="004E5607" w:rsidRPr="00212A17" w:rsidRDefault="004E5607" w:rsidP="00212A17">
      <w:pPr>
        <w:spacing w:after="0" w:line="360" w:lineRule="auto"/>
        <w:contextualSpacing/>
        <w:jc w:val="both"/>
        <w:rPr>
          <w:rFonts w:ascii="Arial" w:hAnsi="Arial" w:cs="Arial"/>
          <w:sz w:val="24"/>
          <w:szCs w:val="24"/>
          <w:lang w:val="en-GB"/>
        </w:rPr>
      </w:pPr>
    </w:p>
    <w:p w14:paraId="79FF723E" w14:textId="27F1A96A" w:rsidR="00F44706" w:rsidRDefault="00F44706" w:rsidP="006162CE">
      <w:pPr>
        <w:spacing w:after="0" w:line="360" w:lineRule="auto"/>
        <w:jc w:val="both"/>
        <w:rPr>
          <w:rFonts w:ascii="Arial" w:hAnsi="Arial" w:cs="Arial"/>
          <w:sz w:val="24"/>
          <w:szCs w:val="24"/>
          <w:lang w:val="en-GB"/>
        </w:rPr>
      </w:pPr>
    </w:p>
    <w:p w14:paraId="2DAD0956" w14:textId="3CB75EB4" w:rsidR="00F44706" w:rsidRDefault="00F44706">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__________________________</w:t>
      </w:r>
    </w:p>
    <w:p w14:paraId="4EB96ED8" w14:textId="76D067F3" w:rsidR="00F44706" w:rsidRPr="001871FD" w:rsidRDefault="00F44706" w:rsidP="00F44706">
      <w:pPr>
        <w:spacing w:after="0" w:line="36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A90EE8" w:rsidRPr="001871FD">
        <w:rPr>
          <w:rFonts w:ascii="Arial" w:hAnsi="Arial" w:cs="Arial"/>
          <w:b/>
          <w:sz w:val="24"/>
          <w:szCs w:val="24"/>
          <w:lang w:val="en-GB"/>
        </w:rPr>
        <w:t xml:space="preserve">E </w:t>
      </w:r>
      <w:r w:rsidR="00340033" w:rsidRPr="001871FD">
        <w:rPr>
          <w:rFonts w:ascii="Arial" w:hAnsi="Arial" w:cs="Arial"/>
          <w:b/>
          <w:sz w:val="24"/>
          <w:szCs w:val="24"/>
          <w:lang w:val="en-GB"/>
        </w:rPr>
        <w:t xml:space="preserve">BEZUIDENHOUT </w:t>
      </w:r>
      <w:r w:rsidRPr="001871FD">
        <w:rPr>
          <w:rFonts w:ascii="Arial" w:hAnsi="Arial" w:cs="Arial"/>
          <w:b/>
          <w:sz w:val="24"/>
          <w:szCs w:val="24"/>
          <w:lang w:val="en-GB"/>
        </w:rPr>
        <w:t>J</w:t>
      </w:r>
    </w:p>
    <w:p w14:paraId="0C3A6A1B" w14:textId="77777777" w:rsidR="00686219" w:rsidRPr="006162CE" w:rsidRDefault="00686219" w:rsidP="006162CE">
      <w:pPr>
        <w:spacing w:after="0" w:line="360" w:lineRule="auto"/>
        <w:jc w:val="both"/>
        <w:rPr>
          <w:rFonts w:ascii="Arial" w:hAnsi="Arial" w:cs="Arial"/>
          <w:lang w:val="en-GB"/>
        </w:rPr>
      </w:pPr>
    </w:p>
    <w:p w14:paraId="4E373266" w14:textId="43B94098" w:rsidR="00A90EE8" w:rsidRPr="00A90EE8" w:rsidRDefault="00A90EE8" w:rsidP="00A90EE8">
      <w:pPr>
        <w:spacing w:after="0" w:line="360" w:lineRule="auto"/>
        <w:contextualSpacing/>
        <w:jc w:val="both"/>
        <w:rPr>
          <w:rFonts w:ascii="Arial" w:eastAsia="Times New Roman" w:hAnsi="Arial" w:cs="Arial"/>
          <w:sz w:val="24"/>
          <w:szCs w:val="24"/>
          <w:lang w:val="en-ZA" w:eastAsia="en-GB"/>
        </w:rPr>
      </w:pPr>
      <w:r w:rsidRPr="00A90EE8">
        <w:rPr>
          <w:rFonts w:ascii="Arial" w:eastAsia="Times New Roman" w:hAnsi="Arial" w:cs="Arial"/>
          <w:sz w:val="24"/>
          <w:szCs w:val="24"/>
          <w:lang w:val="en-ZA" w:eastAsia="en-GB"/>
        </w:rPr>
        <w:t>Date of hearing:</w:t>
      </w:r>
      <w:r w:rsidR="00C35896" w:rsidRPr="00A90EE8">
        <w:rPr>
          <w:rFonts w:ascii="Arial" w:eastAsia="Times New Roman" w:hAnsi="Arial" w:cs="Arial"/>
          <w:sz w:val="24"/>
          <w:szCs w:val="24"/>
          <w:lang w:val="en-ZA" w:eastAsia="en-GB"/>
        </w:rPr>
        <w:t xml:space="preserve"> </w:t>
      </w:r>
      <w:r w:rsidR="00C36ADB">
        <w:rPr>
          <w:rFonts w:ascii="Arial" w:eastAsia="Times New Roman" w:hAnsi="Arial" w:cs="Arial"/>
          <w:sz w:val="24"/>
          <w:szCs w:val="24"/>
          <w:lang w:val="en-ZA" w:eastAsia="en-GB"/>
        </w:rPr>
        <w:t xml:space="preserve">26 January </w:t>
      </w:r>
      <w:r w:rsidRPr="00A90EE8">
        <w:rPr>
          <w:rFonts w:ascii="Arial" w:eastAsia="Times New Roman" w:hAnsi="Arial" w:cs="Arial"/>
          <w:sz w:val="24"/>
          <w:szCs w:val="24"/>
          <w:lang w:val="en-ZA" w:eastAsia="en-GB"/>
        </w:rPr>
        <w:t>202</w:t>
      </w:r>
      <w:r>
        <w:rPr>
          <w:rFonts w:ascii="Arial" w:eastAsia="Times New Roman" w:hAnsi="Arial" w:cs="Arial"/>
          <w:sz w:val="24"/>
          <w:szCs w:val="24"/>
          <w:lang w:val="en-ZA" w:eastAsia="en-GB"/>
        </w:rPr>
        <w:t>4</w:t>
      </w:r>
      <w:r w:rsidRPr="00A90EE8">
        <w:rPr>
          <w:rFonts w:ascii="Arial" w:eastAsia="Times New Roman" w:hAnsi="Arial" w:cs="Arial"/>
          <w:sz w:val="24"/>
          <w:szCs w:val="24"/>
          <w:lang w:val="en-ZA" w:eastAsia="en-GB"/>
        </w:rPr>
        <w:tab/>
      </w:r>
    </w:p>
    <w:p w14:paraId="36954E78" w14:textId="01468444" w:rsidR="00A90EE8" w:rsidRPr="00A90EE8" w:rsidRDefault="00A90EE8" w:rsidP="00A90EE8">
      <w:pPr>
        <w:spacing w:after="0" w:line="360" w:lineRule="auto"/>
        <w:contextualSpacing/>
        <w:jc w:val="both"/>
        <w:rPr>
          <w:rFonts w:ascii="Arial" w:eastAsia="Times New Roman" w:hAnsi="Arial" w:cs="Arial"/>
          <w:sz w:val="24"/>
          <w:szCs w:val="24"/>
          <w:lang w:val="en-ZA" w:eastAsia="en-GB"/>
        </w:rPr>
      </w:pPr>
      <w:r w:rsidRPr="00A90EE8">
        <w:rPr>
          <w:rFonts w:ascii="Arial" w:eastAsia="Times New Roman" w:hAnsi="Arial" w:cs="Arial"/>
          <w:sz w:val="24"/>
          <w:szCs w:val="24"/>
          <w:lang w:val="en-ZA" w:eastAsia="en-GB"/>
        </w:rPr>
        <w:t xml:space="preserve">Date of </w:t>
      </w:r>
      <w:r>
        <w:rPr>
          <w:rFonts w:ascii="Arial" w:eastAsia="Times New Roman" w:hAnsi="Arial" w:cs="Arial"/>
          <w:sz w:val="24"/>
          <w:szCs w:val="24"/>
          <w:lang w:val="en-ZA" w:eastAsia="en-GB"/>
        </w:rPr>
        <w:t>judgment</w:t>
      </w:r>
      <w:r w:rsidRPr="00A90EE8">
        <w:rPr>
          <w:rFonts w:ascii="Arial" w:eastAsia="Times New Roman" w:hAnsi="Arial" w:cs="Arial"/>
          <w:sz w:val="24"/>
          <w:szCs w:val="24"/>
          <w:lang w:val="en-ZA" w:eastAsia="en-GB"/>
        </w:rPr>
        <w:t>:</w:t>
      </w:r>
      <w:r w:rsidR="00C35896" w:rsidRPr="00A90EE8">
        <w:rPr>
          <w:rFonts w:ascii="Arial" w:eastAsia="Times New Roman" w:hAnsi="Arial" w:cs="Arial"/>
          <w:sz w:val="24"/>
          <w:szCs w:val="24"/>
          <w:lang w:val="en-ZA" w:eastAsia="en-GB"/>
        </w:rPr>
        <w:t xml:space="preserve"> </w:t>
      </w:r>
      <w:r w:rsidR="00FE5C4C">
        <w:rPr>
          <w:rFonts w:ascii="Arial" w:eastAsia="Times New Roman" w:hAnsi="Arial" w:cs="Arial"/>
          <w:sz w:val="24"/>
          <w:szCs w:val="24"/>
          <w:lang w:val="en-ZA" w:eastAsia="en-GB"/>
        </w:rPr>
        <w:t>16</w:t>
      </w:r>
      <w:r w:rsidR="00C36ADB">
        <w:rPr>
          <w:rFonts w:ascii="Arial" w:eastAsia="Times New Roman" w:hAnsi="Arial" w:cs="Arial"/>
          <w:sz w:val="24"/>
          <w:szCs w:val="24"/>
          <w:lang w:val="en-ZA" w:eastAsia="en-GB"/>
        </w:rPr>
        <w:t xml:space="preserve"> February</w:t>
      </w:r>
      <w:r w:rsidR="00C35896">
        <w:rPr>
          <w:rFonts w:ascii="Arial" w:eastAsia="Times New Roman" w:hAnsi="Arial" w:cs="Arial"/>
          <w:sz w:val="24"/>
          <w:szCs w:val="24"/>
          <w:lang w:val="en-ZA" w:eastAsia="en-GB"/>
        </w:rPr>
        <w:t xml:space="preserve"> </w:t>
      </w:r>
      <w:r w:rsidRPr="00A90EE8">
        <w:rPr>
          <w:rFonts w:ascii="Arial" w:eastAsia="Times New Roman" w:hAnsi="Arial" w:cs="Arial"/>
          <w:sz w:val="24"/>
          <w:szCs w:val="24"/>
          <w:lang w:val="en-ZA" w:eastAsia="en-GB"/>
        </w:rPr>
        <w:t>202</w:t>
      </w:r>
      <w:r>
        <w:rPr>
          <w:rFonts w:ascii="Arial" w:eastAsia="Times New Roman" w:hAnsi="Arial" w:cs="Arial"/>
          <w:sz w:val="24"/>
          <w:szCs w:val="24"/>
          <w:lang w:val="en-ZA" w:eastAsia="en-GB"/>
        </w:rPr>
        <w:t>4</w:t>
      </w:r>
      <w:r w:rsidRPr="00A90EE8">
        <w:rPr>
          <w:rFonts w:ascii="Arial" w:eastAsia="Times New Roman" w:hAnsi="Arial" w:cs="Arial"/>
          <w:sz w:val="24"/>
          <w:szCs w:val="24"/>
          <w:lang w:val="en-ZA" w:eastAsia="en-GB"/>
        </w:rPr>
        <w:t xml:space="preserve"> </w:t>
      </w:r>
    </w:p>
    <w:p w14:paraId="4E74AD61" w14:textId="77777777" w:rsidR="00A90EE8" w:rsidRPr="00A90EE8" w:rsidRDefault="00A90EE8" w:rsidP="00A90EE8">
      <w:pPr>
        <w:spacing w:after="0" w:line="360" w:lineRule="auto"/>
        <w:contextualSpacing/>
        <w:jc w:val="both"/>
        <w:rPr>
          <w:rFonts w:ascii="Arial" w:eastAsia="Times New Roman" w:hAnsi="Arial" w:cs="Arial"/>
          <w:sz w:val="24"/>
          <w:szCs w:val="24"/>
          <w:lang w:val="en-ZA" w:eastAsia="en-GB"/>
        </w:rPr>
      </w:pPr>
    </w:p>
    <w:p w14:paraId="6D2C3854" w14:textId="77777777" w:rsidR="00A90EE8" w:rsidRPr="00A90EE8" w:rsidRDefault="00A90EE8" w:rsidP="00A90EE8">
      <w:pPr>
        <w:spacing w:after="0" w:line="360" w:lineRule="auto"/>
        <w:contextualSpacing/>
        <w:jc w:val="both"/>
        <w:rPr>
          <w:rFonts w:ascii="Arial" w:eastAsia="Times New Roman" w:hAnsi="Arial" w:cs="Arial"/>
          <w:sz w:val="24"/>
          <w:szCs w:val="24"/>
          <w:lang w:val="en-ZA" w:eastAsia="en-GB"/>
        </w:rPr>
      </w:pPr>
      <w:r w:rsidRPr="00A90EE8">
        <w:rPr>
          <w:rFonts w:ascii="Arial" w:eastAsia="Times New Roman" w:hAnsi="Arial" w:cs="Arial"/>
          <w:sz w:val="24"/>
          <w:szCs w:val="24"/>
          <w:lang w:val="en-ZA" w:eastAsia="en-GB"/>
        </w:rPr>
        <w:t>Appearances:</w:t>
      </w:r>
    </w:p>
    <w:p w14:paraId="568E5DDA" w14:textId="6D70369F" w:rsidR="00A90EE8" w:rsidRDefault="00A90EE8" w:rsidP="00A90EE8">
      <w:pPr>
        <w:spacing w:after="0" w:line="360" w:lineRule="auto"/>
        <w:contextualSpacing/>
        <w:jc w:val="both"/>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For </w:t>
      </w:r>
      <w:r w:rsidR="00C36ADB">
        <w:rPr>
          <w:rFonts w:ascii="Arial" w:eastAsia="Times New Roman" w:hAnsi="Arial" w:cs="Arial"/>
          <w:sz w:val="24"/>
          <w:szCs w:val="24"/>
          <w:lang w:val="en-ZA" w:eastAsia="en-GB"/>
        </w:rPr>
        <w:t>the 3</w:t>
      </w:r>
      <w:r w:rsidR="00C36ADB" w:rsidRPr="00C36ADB">
        <w:rPr>
          <w:rFonts w:ascii="Arial" w:eastAsia="Times New Roman" w:hAnsi="Arial" w:cs="Arial"/>
          <w:sz w:val="24"/>
          <w:szCs w:val="24"/>
          <w:vertAlign w:val="superscript"/>
          <w:lang w:val="en-ZA" w:eastAsia="en-GB"/>
        </w:rPr>
        <w:t>rd</w:t>
      </w:r>
      <w:r w:rsidR="00C36ADB">
        <w:rPr>
          <w:rFonts w:ascii="Arial" w:eastAsia="Times New Roman" w:hAnsi="Arial" w:cs="Arial"/>
          <w:sz w:val="24"/>
          <w:szCs w:val="24"/>
          <w:lang w:val="en-ZA" w:eastAsia="en-GB"/>
        </w:rPr>
        <w:t xml:space="preserve"> and 4</w:t>
      </w:r>
      <w:r w:rsidR="00C36ADB" w:rsidRPr="00C36ADB">
        <w:rPr>
          <w:rFonts w:ascii="Arial" w:eastAsia="Times New Roman" w:hAnsi="Arial" w:cs="Arial"/>
          <w:sz w:val="24"/>
          <w:szCs w:val="24"/>
          <w:vertAlign w:val="superscript"/>
          <w:lang w:val="en-ZA" w:eastAsia="en-GB"/>
        </w:rPr>
        <w:t>th</w:t>
      </w:r>
      <w:r w:rsidR="00C36ADB">
        <w:rPr>
          <w:rFonts w:ascii="Arial" w:eastAsia="Times New Roman" w:hAnsi="Arial" w:cs="Arial"/>
          <w:sz w:val="24"/>
          <w:szCs w:val="24"/>
          <w:lang w:val="en-ZA" w:eastAsia="en-GB"/>
        </w:rPr>
        <w:t xml:space="preserve"> </w:t>
      </w:r>
      <w:r w:rsidR="004E5607">
        <w:rPr>
          <w:rFonts w:ascii="Arial" w:eastAsia="Times New Roman" w:hAnsi="Arial" w:cs="Arial"/>
          <w:sz w:val="24"/>
          <w:szCs w:val="24"/>
          <w:lang w:val="en-ZA" w:eastAsia="en-GB"/>
        </w:rPr>
        <w:t>respondents:</w:t>
      </w:r>
      <w:r w:rsidR="00C35896" w:rsidRPr="00A90EE8">
        <w:rPr>
          <w:rFonts w:ascii="Arial" w:eastAsia="Times New Roman" w:hAnsi="Arial" w:cs="Arial"/>
          <w:sz w:val="24"/>
          <w:szCs w:val="24"/>
          <w:lang w:val="en-ZA" w:eastAsia="en-GB"/>
        </w:rPr>
        <w:t xml:space="preserve"> </w:t>
      </w:r>
    </w:p>
    <w:p w14:paraId="22A68F9A" w14:textId="4C7AA431" w:rsidR="00C36ADB" w:rsidRPr="00A90EE8" w:rsidRDefault="00C35896" w:rsidP="00A90EE8">
      <w:pPr>
        <w:spacing w:after="0" w:line="360" w:lineRule="auto"/>
        <w:contextualSpacing/>
        <w:jc w:val="both"/>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00C36ADB">
        <w:rPr>
          <w:rFonts w:ascii="Arial" w:eastAsia="Times New Roman" w:hAnsi="Arial" w:cs="Arial"/>
          <w:sz w:val="24"/>
          <w:szCs w:val="24"/>
          <w:lang w:val="en-ZA" w:eastAsia="en-GB"/>
        </w:rPr>
        <w:t>Ms J Nicholson</w:t>
      </w:r>
    </w:p>
    <w:p w14:paraId="7DE3170B" w14:textId="39CD65BB" w:rsidR="00A90EE8" w:rsidRPr="00A90EE8" w:rsidRDefault="00A90EE8" w:rsidP="00A90EE8">
      <w:pPr>
        <w:spacing w:after="0" w:line="240" w:lineRule="auto"/>
        <w:rPr>
          <w:rFonts w:ascii="Arial" w:eastAsia="Calibri" w:hAnsi="Arial" w:cs="Arial"/>
          <w:sz w:val="24"/>
          <w:szCs w:val="24"/>
        </w:rPr>
      </w:pPr>
      <w:r w:rsidRPr="00A90EE8">
        <w:rPr>
          <w:rFonts w:ascii="Arial" w:eastAsia="Times New Roman" w:hAnsi="Arial" w:cs="Arial"/>
          <w:sz w:val="24"/>
          <w:szCs w:val="24"/>
          <w:lang w:val="en-ZA" w:eastAsia="en-GB"/>
        </w:rPr>
        <w:t xml:space="preserve">Instructed by: </w:t>
      </w:r>
      <w:r>
        <w:rPr>
          <w:rFonts w:ascii="Arial" w:eastAsia="Times New Roman" w:hAnsi="Arial" w:cs="Arial"/>
          <w:sz w:val="24"/>
          <w:szCs w:val="24"/>
          <w:lang w:val="en-ZA" w:eastAsia="en-GB"/>
        </w:rPr>
        <w:tab/>
      </w:r>
      <w:r w:rsidR="0023780D">
        <w:rPr>
          <w:rFonts w:ascii="Arial" w:eastAsia="Calibri" w:hAnsi="Arial" w:cs="Arial"/>
          <w:sz w:val="24"/>
          <w:szCs w:val="24"/>
        </w:rPr>
        <w:t>Shepstone &amp; Wylie A</w:t>
      </w:r>
      <w:r w:rsidR="0023780D" w:rsidRPr="00A90EE8">
        <w:rPr>
          <w:rFonts w:ascii="Arial" w:eastAsia="Calibri" w:hAnsi="Arial" w:cs="Arial"/>
          <w:sz w:val="24"/>
          <w:szCs w:val="24"/>
        </w:rPr>
        <w:t>ttorneys</w:t>
      </w:r>
    </w:p>
    <w:p w14:paraId="44167611" w14:textId="77777777" w:rsidR="00A90EE8" w:rsidRPr="00A90EE8" w:rsidRDefault="00A90EE8" w:rsidP="00A90EE8">
      <w:pPr>
        <w:spacing w:after="0" w:line="240" w:lineRule="auto"/>
        <w:ind w:left="1440" w:firstLine="720"/>
        <w:jc w:val="both"/>
        <w:rPr>
          <w:rFonts w:ascii="Arial" w:eastAsia="Times New Roman" w:hAnsi="Arial" w:cs="Arial"/>
          <w:sz w:val="24"/>
          <w:szCs w:val="24"/>
          <w:lang w:val="en-ZA" w:eastAsia="en-ZA"/>
        </w:rPr>
      </w:pPr>
      <w:r w:rsidRPr="00A90EE8">
        <w:rPr>
          <w:rFonts w:ascii="Arial" w:eastAsia="Times New Roman" w:hAnsi="Arial" w:cs="Arial"/>
          <w:sz w:val="24"/>
          <w:szCs w:val="24"/>
          <w:lang w:val="en-ZA" w:eastAsia="en-ZA"/>
        </w:rPr>
        <w:t>15 Chatterton Road</w:t>
      </w:r>
    </w:p>
    <w:p w14:paraId="2CBC34F5" w14:textId="32BF8FC1" w:rsidR="00A90EE8" w:rsidRPr="00A90EE8" w:rsidRDefault="0023780D" w:rsidP="00A90EE8">
      <w:pPr>
        <w:spacing w:after="0" w:line="240" w:lineRule="auto"/>
        <w:ind w:left="1440" w:firstLine="72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Absa</w:t>
      </w:r>
      <w:r w:rsidR="00A90EE8" w:rsidRPr="00A90EE8">
        <w:rPr>
          <w:rFonts w:ascii="Arial" w:eastAsia="Times New Roman" w:hAnsi="Arial" w:cs="Arial"/>
          <w:sz w:val="24"/>
          <w:szCs w:val="24"/>
          <w:lang w:val="en-ZA" w:eastAsia="en-ZA"/>
        </w:rPr>
        <w:t xml:space="preserve"> House First Floor</w:t>
      </w:r>
    </w:p>
    <w:p w14:paraId="4B48591E" w14:textId="6C3397BF" w:rsidR="00A90EE8" w:rsidRPr="00A90EE8" w:rsidRDefault="00A90EE8" w:rsidP="00A90EE8">
      <w:pPr>
        <w:spacing w:after="0" w:line="240" w:lineRule="auto"/>
        <w:ind w:left="1440" w:firstLine="720"/>
        <w:jc w:val="both"/>
        <w:rPr>
          <w:rFonts w:ascii="Arial" w:eastAsia="Times New Roman" w:hAnsi="Arial" w:cs="Arial"/>
          <w:sz w:val="24"/>
          <w:szCs w:val="24"/>
          <w:lang w:val="en-ZA" w:eastAsia="en-ZA"/>
        </w:rPr>
      </w:pPr>
      <w:r w:rsidRPr="00A90EE8">
        <w:rPr>
          <w:rFonts w:ascii="Arial" w:eastAsia="Times New Roman" w:hAnsi="Arial" w:cs="Arial"/>
          <w:sz w:val="24"/>
          <w:szCs w:val="24"/>
          <w:lang w:val="en-ZA" w:eastAsia="en-ZA"/>
        </w:rPr>
        <w:t>Pietermaritzburg</w:t>
      </w:r>
    </w:p>
    <w:p w14:paraId="318FC3FE" w14:textId="77777777" w:rsidR="00A90EE8" w:rsidRPr="00A90EE8" w:rsidRDefault="00A90EE8" w:rsidP="00A90EE8">
      <w:pPr>
        <w:spacing w:after="0" w:line="240" w:lineRule="auto"/>
        <w:ind w:left="1440" w:firstLine="720"/>
        <w:jc w:val="both"/>
        <w:rPr>
          <w:rFonts w:ascii="Arial" w:eastAsia="Times New Roman" w:hAnsi="Arial" w:cs="Arial"/>
          <w:sz w:val="24"/>
          <w:szCs w:val="24"/>
          <w:lang w:val="en-ZA" w:eastAsia="en-ZA"/>
        </w:rPr>
      </w:pPr>
      <w:r w:rsidRPr="00A90EE8">
        <w:rPr>
          <w:rFonts w:ascii="Arial" w:eastAsia="Times New Roman" w:hAnsi="Arial" w:cs="Arial"/>
          <w:sz w:val="24"/>
          <w:szCs w:val="24"/>
          <w:lang w:val="en-ZA" w:eastAsia="en-ZA"/>
        </w:rPr>
        <w:t>(Ref: A Zwane/buth43081.1)</w:t>
      </w:r>
    </w:p>
    <w:p w14:paraId="735EB6EB" w14:textId="77777777" w:rsidR="00A90EE8" w:rsidRPr="00A90EE8" w:rsidRDefault="00A90EE8" w:rsidP="00A90EE8">
      <w:pPr>
        <w:spacing w:after="0" w:line="240" w:lineRule="auto"/>
        <w:ind w:left="2160"/>
        <w:jc w:val="both"/>
        <w:rPr>
          <w:rFonts w:ascii="Arial" w:eastAsia="Times New Roman" w:hAnsi="Arial" w:cs="Arial"/>
          <w:sz w:val="24"/>
          <w:szCs w:val="24"/>
          <w:lang w:val="en-ZA" w:eastAsia="en-ZA"/>
        </w:rPr>
      </w:pPr>
      <w:r w:rsidRPr="00A90EE8">
        <w:rPr>
          <w:rFonts w:ascii="Arial" w:eastAsia="Times New Roman" w:hAnsi="Arial" w:cs="Arial"/>
          <w:sz w:val="24"/>
          <w:szCs w:val="24"/>
          <w:lang w:val="en-ZA" w:eastAsia="en-ZA"/>
        </w:rPr>
        <w:t>Tel: (033) 355 1780</w:t>
      </w:r>
    </w:p>
    <w:p w14:paraId="139C58CC" w14:textId="18BF1861" w:rsidR="00A90EE8" w:rsidRPr="00A90EE8" w:rsidRDefault="00A90EE8" w:rsidP="00A90EE8">
      <w:pPr>
        <w:spacing w:after="0" w:line="240" w:lineRule="auto"/>
        <w:rPr>
          <w:rFonts w:ascii="Arial" w:eastAsia="Times New Roman" w:hAnsi="Arial" w:cs="Arial"/>
          <w:sz w:val="24"/>
          <w:szCs w:val="24"/>
          <w:lang w:val="en-GB" w:eastAsia="en-ZA"/>
        </w:rPr>
      </w:pPr>
      <w:r>
        <w:rPr>
          <w:rFonts w:ascii="Arial" w:eastAsia="Times New Roman" w:hAnsi="Arial" w:cs="Arial"/>
          <w:sz w:val="24"/>
          <w:szCs w:val="24"/>
          <w:lang w:val="en-GB" w:eastAsia="en-ZA"/>
        </w:rPr>
        <w:tab/>
      </w:r>
      <w:r>
        <w:rPr>
          <w:rFonts w:ascii="Arial" w:eastAsia="Times New Roman" w:hAnsi="Arial" w:cs="Arial"/>
          <w:sz w:val="24"/>
          <w:szCs w:val="24"/>
          <w:lang w:val="en-GB" w:eastAsia="en-ZA"/>
        </w:rPr>
        <w:tab/>
      </w:r>
      <w:r>
        <w:rPr>
          <w:rFonts w:ascii="Arial" w:eastAsia="Times New Roman" w:hAnsi="Arial" w:cs="Arial"/>
          <w:sz w:val="24"/>
          <w:szCs w:val="24"/>
          <w:lang w:val="en-GB" w:eastAsia="en-ZA"/>
        </w:rPr>
        <w:tab/>
        <w:t xml:space="preserve">Email: </w:t>
      </w:r>
      <w:r w:rsidRPr="00A90EE8">
        <w:rPr>
          <w:rFonts w:ascii="Arial" w:eastAsia="Times New Roman" w:hAnsi="Arial" w:cs="Arial"/>
          <w:sz w:val="24"/>
          <w:szCs w:val="24"/>
          <w:lang w:val="en-GB" w:eastAsia="en-ZA"/>
        </w:rPr>
        <w:t>azwane@wylie.co.za</w:t>
      </w:r>
    </w:p>
    <w:p w14:paraId="60D8E5D0" w14:textId="258E3E75" w:rsidR="00A90EE8" w:rsidRPr="00A90EE8" w:rsidRDefault="00A90EE8" w:rsidP="00A90EE8">
      <w:pPr>
        <w:tabs>
          <w:tab w:val="left" w:pos="2268"/>
        </w:tabs>
        <w:spacing w:after="0" w:line="360" w:lineRule="auto"/>
        <w:contextualSpacing/>
        <w:jc w:val="both"/>
        <w:rPr>
          <w:rFonts w:ascii="Arial" w:eastAsia="Times New Roman" w:hAnsi="Arial" w:cs="Arial"/>
          <w:sz w:val="24"/>
          <w:szCs w:val="24"/>
          <w:lang w:val="en-GB" w:eastAsia="en-ZA"/>
        </w:rPr>
      </w:pPr>
      <w:r w:rsidRPr="00A90EE8">
        <w:rPr>
          <w:rFonts w:ascii="Arial" w:eastAsia="Times New Roman" w:hAnsi="Arial" w:cs="Arial"/>
          <w:sz w:val="24"/>
          <w:szCs w:val="24"/>
          <w:lang w:val="en-ZA" w:eastAsia="en-GB"/>
        </w:rPr>
        <w:tab/>
      </w:r>
    </w:p>
    <w:p w14:paraId="2F38CAB0" w14:textId="3E0D5132" w:rsidR="0023780D" w:rsidRDefault="00A90EE8" w:rsidP="00A90EE8">
      <w:pPr>
        <w:spacing w:after="0" w:line="240" w:lineRule="auto"/>
        <w:rPr>
          <w:rFonts w:ascii="Arial" w:eastAsia="Times New Roman" w:hAnsi="Arial" w:cs="Arial"/>
          <w:sz w:val="24"/>
          <w:szCs w:val="24"/>
          <w:lang w:val="en-GB" w:eastAsia="en-ZA"/>
        </w:rPr>
      </w:pPr>
      <w:r>
        <w:rPr>
          <w:rFonts w:ascii="Arial" w:eastAsia="Times New Roman" w:hAnsi="Arial" w:cs="Arial"/>
          <w:sz w:val="24"/>
          <w:szCs w:val="24"/>
          <w:lang w:val="en-GB" w:eastAsia="en-ZA"/>
        </w:rPr>
        <w:t>For</w:t>
      </w:r>
      <w:r w:rsidR="00C35896">
        <w:rPr>
          <w:rFonts w:ascii="Arial" w:eastAsia="Times New Roman" w:hAnsi="Arial" w:cs="Arial"/>
          <w:sz w:val="24"/>
          <w:szCs w:val="24"/>
          <w:lang w:val="en-GB" w:eastAsia="en-ZA"/>
        </w:rPr>
        <w:t xml:space="preserve"> </w:t>
      </w:r>
      <w:r w:rsidR="00C36ADB">
        <w:rPr>
          <w:rFonts w:ascii="Arial" w:eastAsia="Times New Roman" w:hAnsi="Arial" w:cs="Arial"/>
          <w:sz w:val="24"/>
          <w:szCs w:val="24"/>
          <w:lang w:val="en-GB" w:eastAsia="en-ZA"/>
        </w:rPr>
        <w:t xml:space="preserve">the </w:t>
      </w:r>
      <w:r w:rsidR="004E5607">
        <w:rPr>
          <w:rFonts w:ascii="Arial" w:eastAsia="Times New Roman" w:hAnsi="Arial" w:cs="Arial"/>
          <w:sz w:val="24"/>
          <w:szCs w:val="24"/>
          <w:lang w:val="en-GB" w:eastAsia="en-ZA"/>
        </w:rPr>
        <w:t>applicant:</w:t>
      </w:r>
    </w:p>
    <w:p w14:paraId="6B813180" w14:textId="0812238E" w:rsidR="00C36ADB" w:rsidRDefault="00C35896" w:rsidP="00A90EE8">
      <w:pPr>
        <w:spacing w:after="0" w:line="240" w:lineRule="auto"/>
        <w:rPr>
          <w:rFonts w:ascii="Arial" w:eastAsia="Times New Roman" w:hAnsi="Arial" w:cs="Arial"/>
          <w:sz w:val="24"/>
          <w:szCs w:val="24"/>
          <w:lang w:val="en-GB" w:eastAsia="en-ZA"/>
        </w:rPr>
      </w:pPr>
      <w:r>
        <w:rPr>
          <w:rFonts w:ascii="Arial" w:eastAsia="Times New Roman" w:hAnsi="Arial" w:cs="Arial"/>
          <w:sz w:val="24"/>
          <w:szCs w:val="24"/>
          <w:lang w:val="en-GB" w:eastAsia="en-ZA"/>
        </w:rPr>
        <w:t xml:space="preserve"> </w:t>
      </w:r>
    </w:p>
    <w:p w14:paraId="116666E3" w14:textId="1F58EC26" w:rsidR="00C36ADB" w:rsidRDefault="00C36ADB" w:rsidP="00A90EE8">
      <w:pPr>
        <w:spacing w:after="0" w:line="240" w:lineRule="auto"/>
        <w:rPr>
          <w:rFonts w:ascii="Arial" w:eastAsia="Times New Roman" w:hAnsi="Arial" w:cs="Arial"/>
          <w:sz w:val="24"/>
          <w:szCs w:val="24"/>
          <w:lang w:val="en-GB" w:eastAsia="en-ZA"/>
        </w:rPr>
      </w:pPr>
      <w:r>
        <w:rPr>
          <w:rFonts w:ascii="Arial" w:eastAsia="Times New Roman" w:hAnsi="Arial" w:cs="Arial"/>
          <w:sz w:val="24"/>
          <w:szCs w:val="24"/>
          <w:lang w:val="en-GB" w:eastAsia="en-ZA"/>
        </w:rPr>
        <w:t>Mrs J Ploos van Amstel</w:t>
      </w:r>
    </w:p>
    <w:p w14:paraId="0D9204D8" w14:textId="18527AAC" w:rsidR="0023780D" w:rsidRDefault="00A90EE8" w:rsidP="00A90EE8">
      <w:pPr>
        <w:spacing w:after="0" w:line="240" w:lineRule="auto"/>
        <w:rPr>
          <w:rFonts w:ascii="Arial" w:eastAsia="Times New Roman" w:hAnsi="Arial" w:cs="Arial"/>
          <w:b/>
          <w:sz w:val="24"/>
          <w:szCs w:val="24"/>
          <w:lang w:val="en-GB" w:eastAsia="en-ZA"/>
        </w:rPr>
      </w:pPr>
      <w:r w:rsidRPr="00A90EE8">
        <w:rPr>
          <w:rFonts w:ascii="Arial" w:eastAsia="Times New Roman" w:hAnsi="Arial" w:cs="Arial"/>
          <w:b/>
          <w:sz w:val="24"/>
          <w:szCs w:val="24"/>
          <w:lang w:val="en-GB" w:eastAsia="en-ZA"/>
        </w:rPr>
        <w:tab/>
      </w:r>
    </w:p>
    <w:p w14:paraId="7BF54CBA" w14:textId="6C8F7787" w:rsidR="00A90EE8" w:rsidRPr="00A90EE8" w:rsidRDefault="0023780D" w:rsidP="0023780D">
      <w:pPr>
        <w:spacing w:after="0" w:line="240" w:lineRule="auto"/>
        <w:rPr>
          <w:rFonts w:ascii="Arial" w:eastAsia="Times New Roman" w:hAnsi="Arial" w:cs="Arial"/>
          <w:b/>
          <w:sz w:val="24"/>
          <w:szCs w:val="24"/>
          <w:lang w:val="en-GB" w:eastAsia="en-ZA"/>
        </w:rPr>
      </w:pPr>
      <w:r w:rsidRPr="0023780D">
        <w:rPr>
          <w:rFonts w:ascii="Arial" w:eastAsia="Times New Roman" w:hAnsi="Arial" w:cs="Arial"/>
          <w:sz w:val="24"/>
          <w:szCs w:val="24"/>
          <w:lang w:val="en-GB" w:eastAsia="en-ZA"/>
        </w:rPr>
        <w:t>Instructed by:</w:t>
      </w:r>
      <w:r>
        <w:rPr>
          <w:rFonts w:ascii="Arial" w:eastAsia="Times New Roman" w:hAnsi="Arial" w:cs="Arial"/>
          <w:b/>
          <w:sz w:val="24"/>
          <w:szCs w:val="24"/>
          <w:lang w:val="en-GB" w:eastAsia="en-ZA"/>
        </w:rPr>
        <w:tab/>
      </w:r>
      <w:r>
        <w:rPr>
          <w:rFonts w:ascii="Arial" w:eastAsia="Times New Roman" w:hAnsi="Arial" w:cs="Arial"/>
          <w:sz w:val="24"/>
          <w:szCs w:val="24"/>
          <w:lang w:val="en-GB" w:eastAsia="en-ZA"/>
        </w:rPr>
        <w:t>Jacques Roos A</w:t>
      </w:r>
      <w:r w:rsidRPr="00A90EE8">
        <w:rPr>
          <w:rFonts w:ascii="Arial" w:eastAsia="Times New Roman" w:hAnsi="Arial" w:cs="Arial"/>
          <w:sz w:val="24"/>
          <w:szCs w:val="24"/>
          <w:lang w:val="en-GB" w:eastAsia="en-ZA"/>
        </w:rPr>
        <w:t>ttorneys</w:t>
      </w:r>
    </w:p>
    <w:p w14:paraId="0C8D788E" w14:textId="194843CC" w:rsidR="00A90EE8" w:rsidRPr="00A90EE8" w:rsidRDefault="00A90EE8" w:rsidP="00A90EE8">
      <w:pPr>
        <w:spacing w:after="0" w:line="240" w:lineRule="auto"/>
        <w:rPr>
          <w:rFonts w:ascii="Arial" w:eastAsia="Times New Roman" w:hAnsi="Arial" w:cs="Arial"/>
          <w:sz w:val="24"/>
          <w:szCs w:val="24"/>
          <w:lang w:val="en-GB" w:eastAsia="en-ZA"/>
        </w:rPr>
      </w:pPr>
      <w:r w:rsidRPr="00A90EE8">
        <w:rPr>
          <w:rFonts w:ascii="Arial" w:eastAsia="Times New Roman" w:hAnsi="Arial" w:cs="Arial"/>
          <w:sz w:val="24"/>
          <w:szCs w:val="24"/>
          <w:lang w:val="en-GB" w:eastAsia="en-ZA"/>
        </w:rPr>
        <w:tab/>
      </w:r>
      <w:r w:rsidRPr="00A90EE8">
        <w:rPr>
          <w:rFonts w:ascii="Arial" w:eastAsia="Times New Roman" w:hAnsi="Arial" w:cs="Arial"/>
          <w:sz w:val="24"/>
          <w:szCs w:val="24"/>
          <w:lang w:val="en-GB" w:eastAsia="en-ZA"/>
        </w:rPr>
        <w:tab/>
      </w:r>
      <w:r w:rsidR="00C35896">
        <w:rPr>
          <w:rFonts w:ascii="Arial" w:eastAsia="Times New Roman" w:hAnsi="Arial" w:cs="Arial"/>
          <w:sz w:val="24"/>
          <w:szCs w:val="24"/>
          <w:lang w:val="en-GB" w:eastAsia="en-ZA"/>
        </w:rPr>
        <w:t xml:space="preserve"> </w:t>
      </w:r>
      <w:r>
        <w:rPr>
          <w:rFonts w:ascii="Arial" w:eastAsia="Times New Roman" w:hAnsi="Arial" w:cs="Arial"/>
          <w:sz w:val="24"/>
          <w:szCs w:val="24"/>
          <w:lang w:val="en-GB" w:eastAsia="en-ZA"/>
        </w:rPr>
        <w:tab/>
      </w:r>
      <w:r w:rsidRPr="00A90EE8">
        <w:rPr>
          <w:rFonts w:ascii="Arial" w:eastAsia="Times New Roman" w:hAnsi="Arial" w:cs="Arial"/>
          <w:sz w:val="24"/>
          <w:szCs w:val="24"/>
          <w:lang w:val="en-GB" w:eastAsia="en-ZA"/>
        </w:rPr>
        <w:t>Applicant’s Attorneys</w:t>
      </w:r>
    </w:p>
    <w:p w14:paraId="2A56922A" w14:textId="12989D45" w:rsidR="00A90EE8" w:rsidRPr="00A90EE8" w:rsidRDefault="00A90EE8" w:rsidP="00A90EE8">
      <w:pPr>
        <w:spacing w:after="0" w:line="240" w:lineRule="auto"/>
        <w:rPr>
          <w:rFonts w:ascii="Arial" w:eastAsia="Times New Roman" w:hAnsi="Arial" w:cs="Arial"/>
          <w:sz w:val="24"/>
          <w:szCs w:val="24"/>
          <w:lang w:val="en-GB" w:eastAsia="en-ZA"/>
        </w:rPr>
      </w:pPr>
      <w:r w:rsidRPr="00A90EE8">
        <w:rPr>
          <w:rFonts w:ascii="Arial" w:eastAsia="Times New Roman" w:hAnsi="Arial" w:cs="Arial"/>
          <w:sz w:val="24"/>
          <w:szCs w:val="24"/>
          <w:lang w:val="en-GB" w:eastAsia="en-ZA"/>
        </w:rPr>
        <w:tab/>
      </w:r>
      <w:r w:rsidRPr="00A90EE8">
        <w:rPr>
          <w:rFonts w:ascii="Arial" w:eastAsia="Times New Roman" w:hAnsi="Arial" w:cs="Arial"/>
          <w:sz w:val="24"/>
          <w:szCs w:val="24"/>
          <w:lang w:val="en-GB" w:eastAsia="en-ZA"/>
        </w:rPr>
        <w:tab/>
      </w:r>
      <w:r>
        <w:rPr>
          <w:rFonts w:ascii="Arial" w:eastAsia="Times New Roman" w:hAnsi="Arial" w:cs="Arial"/>
          <w:sz w:val="24"/>
          <w:szCs w:val="24"/>
          <w:lang w:val="en-GB" w:eastAsia="en-ZA"/>
        </w:rPr>
        <w:tab/>
      </w:r>
      <w:r w:rsidRPr="00A90EE8">
        <w:rPr>
          <w:rFonts w:ascii="Arial" w:eastAsia="Times New Roman" w:hAnsi="Arial" w:cs="Arial"/>
          <w:sz w:val="24"/>
          <w:szCs w:val="24"/>
          <w:lang w:val="en-GB" w:eastAsia="en-ZA"/>
        </w:rPr>
        <w:t xml:space="preserve">C/o </w:t>
      </w:r>
      <w:r w:rsidR="0023780D">
        <w:rPr>
          <w:rFonts w:ascii="Arial" w:eastAsia="Times New Roman" w:hAnsi="Arial" w:cs="Arial"/>
          <w:sz w:val="24"/>
          <w:szCs w:val="24"/>
          <w:lang w:val="en-GB" w:eastAsia="en-ZA"/>
        </w:rPr>
        <w:t>Viv Greene A</w:t>
      </w:r>
      <w:r w:rsidR="0023780D" w:rsidRPr="00A90EE8">
        <w:rPr>
          <w:rFonts w:ascii="Arial" w:eastAsia="Times New Roman" w:hAnsi="Arial" w:cs="Arial"/>
          <w:sz w:val="24"/>
          <w:szCs w:val="24"/>
          <w:lang w:val="en-GB" w:eastAsia="en-ZA"/>
        </w:rPr>
        <w:t>ttorneys</w:t>
      </w:r>
    </w:p>
    <w:p w14:paraId="56322009" w14:textId="2CA448D1" w:rsidR="00A90EE8" w:rsidRPr="00A90EE8" w:rsidRDefault="00A90EE8" w:rsidP="00A90EE8">
      <w:pPr>
        <w:spacing w:after="0" w:line="240" w:lineRule="auto"/>
        <w:rPr>
          <w:rFonts w:ascii="Arial" w:eastAsia="Times New Roman" w:hAnsi="Arial" w:cs="Arial"/>
          <w:sz w:val="24"/>
          <w:szCs w:val="24"/>
          <w:lang w:val="en-GB" w:eastAsia="en-ZA"/>
        </w:rPr>
      </w:pPr>
      <w:r w:rsidRPr="00A90EE8">
        <w:rPr>
          <w:rFonts w:ascii="Arial" w:eastAsia="Times New Roman" w:hAnsi="Arial" w:cs="Arial"/>
          <w:sz w:val="24"/>
          <w:szCs w:val="24"/>
          <w:lang w:val="en-GB" w:eastAsia="en-ZA"/>
        </w:rPr>
        <w:tab/>
      </w:r>
      <w:r w:rsidRPr="00A90EE8">
        <w:rPr>
          <w:rFonts w:ascii="Arial" w:eastAsia="Times New Roman" w:hAnsi="Arial" w:cs="Arial"/>
          <w:sz w:val="24"/>
          <w:szCs w:val="24"/>
          <w:lang w:val="en-GB" w:eastAsia="en-ZA"/>
        </w:rPr>
        <w:tab/>
      </w:r>
      <w:r>
        <w:rPr>
          <w:rFonts w:ascii="Arial" w:eastAsia="Times New Roman" w:hAnsi="Arial" w:cs="Arial"/>
          <w:sz w:val="24"/>
          <w:szCs w:val="24"/>
          <w:lang w:val="en-GB" w:eastAsia="en-ZA"/>
        </w:rPr>
        <w:tab/>
      </w:r>
      <w:r w:rsidRPr="00A90EE8">
        <w:rPr>
          <w:rFonts w:ascii="Arial" w:eastAsia="Times New Roman" w:hAnsi="Arial" w:cs="Arial"/>
          <w:sz w:val="24"/>
          <w:szCs w:val="24"/>
          <w:lang w:val="en-GB" w:eastAsia="en-ZA"/>
        </w:rPr>
        <w:t>132 Roberts Road</w:t>
      </w:r>
    </w:p>
    <w:p w14:paraId="5C03DDBF" w14:textId="5502040A" w:rsidR="00A90EE8" w:rsidRPr="00A90EE8" w:rsidRDefault="00A90EE8" w:rsidP="00A90EE8">
      <w:pPr>
        <w:spacing w:after="0" w:line="240" w:lineRule="auto"/>
        <w:rPr>
          <w:rFonts w:ascii="Arial" w:eastAsia="Times New Roman" w:hAnsi="Arial" w:cs="Arial"/>
          <w:sz w:val="24"/>
          <w:szCs w:val="24"/>
          <w:lang w:val="en-GB" w:eastAsia="en-ZA"/>
        </w:rPr>
      </w:pPr>
      <w:r w:rsidRPr="00A90EE8">
        <w:rPr>
          <w:rFonts w:ascii="Arial" w:eastAsia="Times New Roman" w:hAnsi="Arial" w:cs="Arial"/>
          <w:sz w:val="24"/>
          <w:szCs w:val="24"/>
          <w:lang w:val="en-GB" w:eastAsia="en-ZA"/>
        </w:rPr>
        <w:tab/>
      </w:r>
      <w:r w:rsidRPr="00A90EE8">
        <w:rPr>
          <w:rFonts w:ascii="Arial" w:eastAsia="Times New Roman" w:hAnsi="Arial" w:cs="Arial"/>
          <w:sz w:val="24"/>
          <w:szCs w:val="24"/>
          <w:lang w:val="en-GB" w:eastAsia="en-ZA"/>
        </w:rPr>
        <w:tab/>
      </w:r>
      <w:r>
        <w:rPr>
          <w:rFonts w:ascii="Arial" w:eastAsia="Times New Roman" w:hAnsi="Arial" w:cs="Arial"/>
          <w:sz w:val="24"/>
          <w:szCs w:val="24"/>
          <w:lang w:val="en-GB" w:eastAsia="en-ZA"/>
        </w:rPr>
        <w:tab/>
      </w:r>
      <w:r w:rsidRPr="00A90EE8">
        <w:rPr>
          <w:rFonts w:ascii="Arial" w:eastAsia="Times New Roman" w:hAnsi="Arial" w:cs="Arial"/>
          <w:sz w:val="24"/>
          <w:szCs w:val="24"/>
          <w:lang w:val="en-GB" w:eastAsia="en-ZA"/>
        </w:rPr>
        <w:t>Clarendon</w:t>
      </w:r>
    </w:p>
    <w:p w14:paraId="1B5ED87B" w14:textId="0FC955B4" w:rsidR="00A90EE8" w:rsidRPr="00A90EE8" w:rsidRDefault="00A90EE8" w:rsidP="00A90EE8">
      <w:pPr>
        <w:spacing w:after="0" w:line="240" w:lineRule="auto"/>
        <w:rPr>
          <w:rFonts w:ascii="Arial" w:eastAsia="Times New Roman" w:hAnsi="Arial" w:cs="Arial"/>
          <w:sz w:val="24"/>
          <w:szCs w:val="24"/>
          <w:lang w:val="en-GB" w:eastAsia="en-ZA"/>
        </w:rPr>
      </w:pPr>
      <w:r w:rsidRPr="00A90EE8">
        <w:rPr>
          <w:rFonts w:ascii="Arial" w:eastAsia="Times New Roman" w:hAnsi="Arial" w:cs="Arial"/>
          <w:sz w:val="24"/>
          <w:szCs w:val="24"/>
          <w:lang w:val="en-GB" w:eastAsia="en-ZA"/>
        </w:rPr>
        <w:tab/>
      </w:r>
      <w:r w:rsidRPr="00A90EE8">
        <w:rPr>
          <w:rFonts w:ascii="Arial" w:eastAsia="Times New Roman" w:hAnsi="Arial" w:cs="Arial"/>
          <w:sz w:val="24"/>
          <w:szCs w:val="24"/>
          <w:lang w:val="en-GB" w:eastAsia="en-ZA"/>
        </w:rPr>
        <w:tab/>
      </w:r>
      <w:r>
        <w:rPr>
          <w:rFonts w:ascii="Arial" w:eastAsia="Times New Roman" w:hAnsi="Arial" w:cs="Arial"/>
          <w:sz w:val="24"/>
          <w:szCs w:val="24"/>
          <w:lang w:val="en-GB" w:eastAsia="en-ZA"/>
        </w:rPr>
        <w:tab/>
        <w:t>P</w:t>
      </w:r>
      <w:r w:rsidRPr="00A90EE8">
        <w:rPr>
          <w:rFonts w:ascii="Arial" w:eastAsia="Times New Roman" w:hAnsi="Arial" w:cs="Arial"/>
          <w:sz w:val="24"/>
          <w:szCs w:val="24"/>
          <w:lang w:val="en-GB" w:eastAsia="en-ZA"/>
        </w:rPr>
        <w:t>ietermaritzburg</w:t>
      </w:r>
    </w:p>
    <w:p w14:paraId="20A3B656" w14:textId="74701109" w:rsidR="00A90EE8" w:rsidRPr="00A90EE8" w:rsidRDefault="00A90EE8" w:rsidP="00A90EE8">
      <w:pPr>
        <w:spacing w:after="0" w:line="240" w:lineRule="auto"/>
        <w:rPr>
          <w:rFonts w:ascii="Arial" w:eastAsia="Times New Roman" w:hAnsi="Arial" w:cs="Arial"/>
          <w:sz w:val="24"/>
          <w:szCs w:val="24"/>
          <w:lang w:val="en-GB" w:eastAsia="en-ZA"/>
        </w:rPr>
      </w:pPr>
      <w:r w:rsidRPr="00A90EE8">
        <w:rPr>
          <w:rFonts w:ascii="Arial" w:eastAsia="Times New Roman" w:hAnsi="Arial" w:cs="Arial"/>
          <w:sz w:val="24"/>
          <w:szCs w:val="24"/>
          <w:lang w:val="en-GB" w:eastAsia="en-ZA"/>
        </w:rPr>
        <w:tab/>
      </w:r>
      <w:r w:rsidRPr="00A90EE8">
        <w:rPr>
          <w:rFonts w:ascii="Arial" w:eastAsia="Times New Roman" w:hAnsi="Arial" w:cs="Arial"/>
          <w:sz w:val="24"/>
          <w:szCs w:val="24"/>
          <w:lang w:val="en-GB" w:eastAsia="en-ZA"/>
        </w:rPr>
        <w:tab/>
      </w:r>
      <w:r>
        <w:rPr>
          <w:rFonts w:ascii="Arial" w:eastAsia="Times New Roman" w:hAnsi="Arial" w:cs="Arial"/>
          <w:sz w:val="24"/>
          <w:szCs w:val="24"/>
          <w:lang w:val="en-GB" w:eastAsia="en-ZA"/>
        </w:rPr>
        <w:tab/>
      </w:r>
      <w:r w:rsidRPr="00A90EE8">
        <w:rPr>
          <w:rFonts w:ascii="Arial" w:eastAsia="Times New Roman" w:hAnsi="Arial" w:cs="Arial"/>
          <w:sz w:val="24"/>
          <w:szCs w:val="24"/>
          <w:lang w:val="en-GB" w:eastAsia="en-ZA"/>
        </w:rPr>
        <w:t>Tel: 033 342 2766</w:t>
      </w:r>
    </w:p>
    <w:p w14:paraId="4396B7F1" w14:textId="336C55A8" w:rsidR="00A90EE8" w:rsidRPr="00A90EE8" w:rsidRDefault="00A90EE8" w:rsidP="00A90EE8">
      <w:pPr>
        <w:spacing w:after="0" w:line="240" w:lineRule="auto"/>
        <w:rPr>
          <w:rFonts w:ascii="Arial" w:eastAsia="Times New Roman" w:hAnsi="Arial" w:cs="Arial"/>
          <w:sz w:val="24"/>
          <w:szCs w:val="24"/>
          <w:lang w:val="en-GB" w:eastAsia="en-ZA"/>
        </w:rPr>
      </w:pPr>
      <w:r w:rsidRPr="00A90EE8">
        <w:rPr>
          <w:rFonts w:ascii="Arial" w:eastAsia="Times New Roman" w:hAnsi="Arial" w:cs="Arial"/>
          <w:sz w:val="24"/>
          <w:szCs w:val="24"/>
          <w:lang w:val="en-GB" w:eastAsia="en-ZA"/>
        </w:rPr>
        <w:tab/>
      </w:r>
      <w:r w:rsidRPr="00A90EE8">
        <w:rPr>
          <w:rFonts w:ascii="Arial" w:eastAsia="Times New Roman" w:hAnsi="Arial" w:cs="Arial"/>
          <w:sz w:val="24"/>
          <w:szCs w:val="24"/>
          <w:lang w:val="en-GB" w:eastAsia="en-ZA"/>
        </w:rPr>
        <w:tab/>
      </w:r>
      <w:r>
        <w:rPr>
          <w:rFonts w:ascii="Arial" w:eastAsia="Times New Roman" w:hAnsi="Arial" w:cs="Arial"/>
          <w:sz w:val="24"/>
          <w:szCs w:val="24"/>
          <w:lang w:val="en-GB" w:eastAsia="en-ZA"/>
        </w:rPr>
        <w:tab/>
      </w:r>
      <w:r w:rsidRPr="00A90EE8">
        <w:rPr>
          <w:rFonts w:ascii="Arial" w:eastAsia="Times New Roman" w:hAnsi="Arial" w:cs="Arial"/>
          <w:sz w:val="24"/>
          <w:szCs w:val="24"/>
          <w:lang w:val="en-GB" w:eastAsia="en-ZA"/>
        </w:rPr>
        <w:t>(Ref: V Green/tvdb/MAT3700)</w:t>
      </w:r>
    </w:p>
    <w:p w14:paraId="081B62F5" w14:textId="384C409A" w:rsidR="00A90EE8" w:rsidRPr="00A90EE8" w:rsidRDefault="00A90EE8" w:rsidP="00A90EE8">
      <w:pPr>
        <w:spacing w:after="0" w:line="24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ab/>
      </w:r>
      <w:r>
        <w:rPr>
          <w:rFonts w:ascii="Arial" w:eastAsia="Times New Roman" w:hAnsi="Arial" w:cs="Arial"/>
          <w:sz w:val="24"/>
          <w:szCs w:val="24"/>
          <w:lang w:val="en-ZA" w:eastAsia="en-ZA"/>
        </w:rPr>
        <w:tab/>
      </w:r>
      <w:r>
        <w:rPr>
          <w:rFonts w:ascii="Arial" w:eastAsia="Times New Roman" w:hAnsi="Arial" w:cs="Arial"/>
          <w:sz w:val="24"/>
          <w:szCs w:val="24"/>
          <w:lang w:val="en-ZA" w:eastAsia="en-ZA"/>
        </w:rPr>
        <w:tab/>
        <w:t>Email:</w:t>
      </w:r>
      <w:r>
        <w:rPr>
          <w:rFonts w:ascii="Arial" w:eastAsia="Times New Roman" w:hAnsi="Arial" w:cs="Arial"/>
          <w:sz w:val="24"/>
          <w:szCs w:val="24"/>
          <w:lang w:val="en-ZA" w:eastAsia="en-ZA"/>
        </w:rPr>
        <w:tab/>
      </w:r>
      <w:r w:rsidRPr="00A90EE8">
        <w:rPr>
          <w:rFonts w:ascii="Arial" w:eastAsia="Times New Roman" w:hAnsi="Arial" w:cs="Arial"/>
          <w:sz w:val="24"/>
          <w:szCs w:val="24"/>
          <w:lang w:val="en-ZA" w:eastAsia="en-ZA"/>
        </w:rPr>
        <w:t>viv@vglaw.co.za</w:t>
      </w:r>
    </w:p>
    <w:p w14:paraId="380537FE" w14:textId="77777777" w:rsidR="00AF4B4E" w:rsidRPr="006162CE" w:rsidRDefault="00AF4B4E" w:rsidP="006162CE">
      <w:pPr>
        <w:spacing w:after="0" w:line="360" w:lineRule="auto"/>
        <w:jc w:val="both"/>
        <w:rPr>
          <w:rFonts w:ascii="Arial" w:hAnsi="Arial" w:cs="Arial"/>
          <w:lang w:val="en-GB"/>
        </w:rPr>
      </w:pPr>
    </w:p>
    <w:sectPr w:rsidR="00AF4B4E" w:rsidRPr="006162CE" w:rsidSect="00121DF7">
      <w:headerReference w:type="default" r:id="rId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81A9B" w14:textId="77777777" w:rsidR="00BE7B6C" w:rsidRDefault="00BE7B6C" w:rsidP="00DC77EC">
      <w:pPr>
        <w:spacing w:after="0" w:line="240" w:lineRule="auto"/>
      </w:pPr>
      <w:r>
        <w:separator/>
      </w:r>
    </w:p>
  </w:endnote>
  <w:endnote w:type="continuationSeparator" w:id="0">
    <w:p w14:paraId="2274F8A6" w14:textId="77777777" w:rsidR="00BE7B6C" w:rsidRDefault="00BE7B6C" w:rsidP="00DC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2FC05" w14:textId="77777777" w:rsidR="00BE7B6C" w:rsidRDefault="00BE7B6C" w:rsidP="00DC77EC">
      <w:pPr>
        <w:spacing w:after="0" w:line="240" w:lineRule="auto"/>
      </w:pPr>
      <w:r>
        <w:separator/>
      </w:r>
    </w:p>
  </w:footnote>
  <w:footnote w:type="continuationSeparator" w:id="0">
    <w:p w14:paraId="55362B31" w14:textId="77777777" w:rsidR="00BE7B6C" w:rsidRDefault="00BE7B6C" w:rsidP="00DC77EC">
      <w:pPr>
        <w:spacing w:after="0" w:line="240" w:lineRule="auto"/>
      </w:pPr>
      <w:r>
        <w:continuationSeparator/>
      </w:r>
    </w:p>
  </w:footnote>
  <w:footnote w:id="1">
    <w:p w14:paraId="57D057E7" w14:textId="48ABB4CC" w:rsidR="00692F28" w:rsidRPr="00AE50DF" w:rsidRDefault="00692F28" w:rsidP="000664DE">
      <w:pPr>
        <w:pStyle w:val="FootnoteText"/>
        <w:contextualSpacing/>
        <w:jc w:val="both"/>
        <w:rPr>
          <w:rFonts w:ascii="Arial" w:hAnsi="Arial" w:cs="Arial"/>
          <w:lang w:val="en-GB"/>
        </w:rPr>
      </w:pPr>
      <w:r w:rsidRPr="000664DE">
        <w:rPr>
          <w:rStyle w:val="FootnoteReference"/>
          <w:rFonts w:ascii="Arial" w:hAnsi="Arial" w:cs="Arial"/>
        </w:rPr>
        <w:footnoteRef/>
      </w:r>
      <w:r w:rsidRPr="000664DE">
        <w:rPr>
          <w:rFonts w:ascii="Arial" w:hAnsi="Arial" w:cs="Arial"/>
        </w:rPr>
        <w:t xml:space="preserve"> </w:t>
      </w:r>
      <w:r w:rsidRPr="000664DE">
        <w:rPr>
          <w:rFonts w:ascii="Arial" w:eastAsia="Times New Roman" w:hAnsi="Arial" w:cs="Arial"/>
          <w:i/>
          <w:iCs/>
          <w:shd w:val="clear" w:color="auto" w:fill="FFFFFF"/>
          <w:lang w:val="en-ZA" w:eastAsia="en-ZA"/>
        </w:rPr>
        <w:t>Plascon-Evans Paints Ltd v Van Riebeeck Paints (Pty) Ltd</w:t>
      </w:r>
      <w:r w:rsidRPr="000664DE">
        <w:rPr>
          <w:rFonts w:ascii="Arial" w:eastAsia="Times New Roman" w:hAnsi="Arial" w:cs="Arial"/>
          <w:shd w:val="clear" w:color="auto" w:fill="FFFFFF"/>
          <w:lang w:val="en-ZA" w:eastAsia="en-ZA"/>
        </w:rPr>
        <w:t xml:space="preserve"> 1984 (3) SA 623 (A).</w:t>
      </w:r>
    </w:p>
  </w:footnote>
  <w:footnote w:id="2">
    <w:p w14:paraId="6C0DBC35" w14:textId="0E417A7A" w:rsidR="0093770D" w:rsidRPr="000664DE" w:rsidRDefault="0093770D" w:rsidP="000664DE">
      <w:pPr>
        <w:pStyle w:val="FootnoteText"/>
        <w:contextualSpacing/>
        <w:jc w:val="both"/>
        <w:rPr>
          <w:rFonts w:ascii="Arial" w:hAnsi="Arial" w:cs="Arial"/>
          <w:lang w:val="en-GB"/>
        </w:rPr>
      </w:pPr>
      <w:r w:rsidRPr="000664DE">
        <w:rPr>
          <w:rStyle w:val="FootnoteReference"/>
          <w:rFonts w:ascii="Arial" w:hAnsi="Arial" w:cs="Arial"/>
        </w:rPr>
        <w:footnoteRef/>
      </w:r>
      <w:r w:rsidRPr="000664DE">
        <w:rPr>
          <w:rFonts w:ascii="Arial" w:hAnsi="Arial" w:cs="Arial"/>
        </w:rPr>
        <w:t xml:space="preserve"> </w:t>
      </w:r>
      <w:r w:rsidRPr="000664DE">
        <w:rPr>
          <w:rFonts w:ascii="Arial" w:hAnsi="Arial" w:cs="Arial"/>
          <w:i/>
        </w:rPr>
        <w:t>The Mont Chevaux Trust v Goosen and others</w:t>
      </w:r>
      <w:r w:rsidRPr="000664DE">
        <w:rPr>
          <w:rFonts w:ascii="Arial" w:hAnsi="Arial" w:cs="Arial"/>
        </w:rPr>
        <w:t xml:space="preserve"> [2014] ZALCC 20; 2014 JDR 2325 (LCC) para 6. </w:t>
      </w:r>
    </w:p>
  </w:footnote>
  <w:footnote w:id="3">
    <w:p w14:paraId="49EAF313" w14:textId="5D784BF5" w:rsidR="005D5F88" w:rsidRPr="000664DE" w:rsidRDefault="005D5F88" w:rsidP="000664DE">
      <w:pPr>
        <w:pStyle w:val="FootnoteText"/>
        <w:contextualSpacing/>
        <w:jc w:val="both"/>
        <w:rPr>
          <w:rFonts w:ascii="Arial" w:hAnsi="Arial" w:cs="Arial"/>
          <w:lang w:val="en-GB"/>
        </w:rPr>
      </w:pPr>
      <w:r w:rsidRPr="000664DE">
        <w:rPr>
          <w:rStyle w:val="FootnoteReference"/>
          <w:rFonts w:ascii="Arial" w:hAnsi="Arial" w:cs="Arial"/>
        </w:rPr>
        <w:footnoteRef/>
      </w:r>
      <w:r w:rsidRPr="000664DE">
        <w:rPr>
          <w:rFonts w:ascii="Arial" w:hAnsi="Arial" w:cs="Arial"/>
        </w:rPr>
        <w:t xml:space="preserve"> </w:t>
      </w:r>
      <w:r w:rsidRPr="000664DE">
        <w:rPr>
          <w:rFonts w:ascii="Arial" w:hAnsi="Arial" w:cs="Arial"/>
          <w:i/>
        </w:rPr>
        <w:t>S v Smith</w:t>
      </w:r>
      <w:r w:rsidRPr="000664DE">
        <w:rPr>
          <w:rFonts w:ascii="Arial" w:hAnsi="Arial" w:cs="Arial"/>
        </w:rPr>
        <w:t xml:space="preserve"> </w:t>
      </w:r>
      <w:r w:rsidR="00647D0A" w:rsidRPr="000664DE">
        <w:rPr>
          <w:rFonts w:ascii="Arial" w:hAnsi="Arial" w:cs="Arial"/>
        </w:rPr>
        <w:t xml:space="preserve">[2011] ZASCA 15; </w:t>
      </w:r>
      <w:r w:rsidRPr="000664DE">
        <w:rPr>
          <w:rFonts w:ascii="Arial" w:hAnsi="Arial" w:cs="Arial"/>
        </w:rPr>
        <w:t>2012 (1) SACR 567 (SCA) para 7.</w:t>
      </w:r>
    </w:p>
  </w:footnote>
  <w:footnote w:id="4">
    <w:p w14:paraId="7E5629AA" w14:textId="3430CF09" w:rsidR="001313F9" w:rsidRPr="000664DE" w:rsidRDefault="001313F9" w:rsidP="000664DE">
      <w:pPr>
        <w:pStyle w:val="FootnoteText"/>
        <w:contextualSpacing/>
        <w:jc w:val="both"/>
        <w:rPr>
          <w:rFonts w:ascii="Arial" w:hAnsi="Arial" w:cs="Arial"/>
          <w:lang w:val="en-GB"/>
        </w:rPr>
      </w:pPr>
      <w:r w:rsidRPr="000664DE">
        <w:rPr>
          <w:rStyle w:val="FootnoteReference"/>
          <w:rFonts w:ascii="Arial" w:hAnsi="Arial" w:cs="Arial"/>
        </w:rPr>
        <w:footnoteRef/>
      </w:r>
      <w:r w:rsidRPr="000664DE">
        <w:rPr>
          <w:rFonts w:ascii="Arial" w:hAnsi="Arial" w:cs="Arial"/>
        </w:rPr>
        <w:t xml:space="preserve"> </w:t>
      </w:r>
      <w:r w:rsidRPr="000664DE">
        <w:rPr>
          <w:rFonts w:ascii="Arial" w:hAnsi="Arial" w:cs="Arial"/>
          <w:i/>
        </w:rPr>
        <w:t>Four Wheel Drive Accessory Distributors CC v Ratt</w:t>
      </w:r>
      <w:r w:rsidR="00576392" w:rsidRPr="000664DE">
        <w:rPr>
          <w:rFonts w:ascii="Arial" w:hAnsi="Arial" w:cs="Arial"/>
          <w:i/>
        </w:rPr>
        <w:t>a</w:t>
      </w:r>
      <w:r w:rsidRPr="000664DE">
        <w:rPr>
          <w:rFonts w:ascii="Arial" w:hAnsi="Arial" w:cs="Arial"/>
          <w:i/>
        </w:rPr>
        <w:t>n NO</w:t>
      </w:r>
      <w:r w:rsidRPr="000664DE">
        <w:rPr>
          <w:rFonts w:ascii="Arial" w:hAnsi="Arial" w:cs="Arial"/>
        </w:rPr>
        <w:t xml:space="preserve"> [2018] ZASCA 124, 2019 (3) SA 451 (SCA) para 34.</w:t>
      </w:r>
    </w:p>
  </w:footnote>
  <w:footnote w:id="5">
    <w:p w14:paraId="1BC19BCE" w14:textId="36231E28" w:rsidR="009D38A1" w:rsidRPr="000664DE" w:rsidRDefault="009D38A1" w:rsidP="000664DE">
      <w:pPr>
        <w:pStyle w:val="FootnoteText"/>
        <w:contextualSpacing/>
        <w:jc w:val="both"/>
        <w:rPr>
          <w:rFonts w:ascii="Arial" w:hAnsi="Arial" w:cs="Arial"/>
          <w:lang w:val="en-GB"/>
        </w:rPr>
      </w:pPr>
      <w:r w:rsidRPr="000664DE">
        <w:rPr>
          <w:rStyle w:val="FootnoteReference"/>
          <w:rFonts w:ascii="Arial" w:hAnsi="Arial" w:cs="Arial"/>
        </w:rPr>
        <w:footnoteRef/>
      </w:r>
      <w:r w:rsidRPr="000664DE">
        <w:rPr>
          <w:rFonts w:ascii="Arial" w:hAnsi="Arial" w:cs="Arial"/>
        </w:rPr>
        <w:t xml:space="preserve"> </w:t>
      </w:r>
      <w:r w:rsidRPr="000664DE">
        <w:rPr>
          <w:rFonts w:ascii="Arial" w:hAnsi="Arial" w:cs="Arial"/>
          <w:i/>
        </w:rPr>
        <w:t>R v Dhlumayo and another</w:t>
      </w:r>
      <w:r w:rsidRPr="000664DE">
        <w:rPr>
          <w:rFonts w:ascii="Arial" w:hAnsi="Arial" w:cs="Arial"/>
        </w:rPr>
        <w:t xml:space="preserve"> 1948 (2) SA </w:t>
      </w:r>
      <w:r w:rsidR="00A74535" w:rsidRPr="000664DE">
        <w:rPr>
          <w:rFonts w:ascii="Arial" w:hAnsi="Arial" w:cs="Arial"/>
        </w:rPr>
        <w:t>6</w:t>
      </w:r>
      <w:r w:rsidRPr="000664DE">
        <w:rPr>
          <w:rFonts w:ascii="Arial" w:hAnsi="Arial" w:cs="Arial"/>
        </w:rPr>
        <w:t>77 (A) at 706 (numbered para 12).</w:t>
      </w:r>
    </w:p>
  </w:footnote>
  <w:footnote w:id="6">
    <w:p w14:paraId="728A4C51" w14:textId="4264A993" w:rsidR="002E4E20" w:rsidRPr="000664DE" w:rsidRDefault="002E4E20" w:rsidP="000664DE">
      <w:pPr>
        <w:pStyle w:val="FootnoteText"/>
        <w:contextualSpacing/>
        <w:jc w:val="both"/>
        <w:rPr>
          <w:rFonts w:ascii="Arial" w:hAnsi="Arial" w:cs="Arial"/>
          <w:lang w:val="en-GB"/>
        </w:rPr>
      </w:pPr>
      <w:r w:rsidRPr="000664DE">
        <w:rPr>
          <w:rStyle w:val="FootnoteReference"/>
          <w:rFonts w:ascii="Arial" w:hAnsi="Arial" w:cs="Arial"/>
        </w:rPr>
        <w:footnoteRef/>
      </w:r>
      <w:r w:rsidRPr="000664DE">
        <w:rPr>
          <w:rFonts w:ascii="Arial" w:hAnsi="Arial" w:cs="Arial"/>
        </w:rPr>
        <w:t xml:space="preserve"> </w:t>
      </w:r>
      <w:r w:rsidR="00B57592" w:rsidRPr="000664DE">
        <w:rPr>
          <w:rFonts w:ascii="Arial" w:hAnsi="Arial" w:cs="Arial"/>
          <w:lang w:val="en-GB"/>
        </w:rPr>
        <w:t xml:space="preserve">KZN </w:t>
      </w:r>
      <w:r w:rsidRPr="000664DE">
        <w:rPr>
          <w:rFonts w:ascii="Arial" w:hAnsi="Arial" w:cs="Arial"/>
          <w:lang w:val="en-GB"/>
        </w:rPr>
        <w:t xml:space="preserve">Practice Directive </w:t>
      </w:r>
      <w:r w:rsidR="003A2BEC" w:rsidRPr="000664DE">
        <w:rPr>
          <w:rFonts w:ascii="Arial" w:hAnsi="Arial" w:cs="Arial"/>
          <w:lang w:val="en-GB"/>
        </w:rPr>
        <w:t>9.4</w:t>
      </w:r>
      <w:r w:rsidRPr="000664DE">
        <w:rPr>
          <w:rFonts w:ascii="Arial" w:hAnsi="Arial" w:cs="Arial"/>
          <w:lang w:val="en-GB"/>
        </w:rPr>
        <w:t>.</w:t>
      </w:r>
    </w:p>
  </w:footnote>
  <w:footnote w:id="7">
    <w:p w14:paraId="67906147" w14:textId="1ED2D116" w:rsidR="00C82C70" w:rsidRPr="00AE50DF" w:rsidRDefault="00C82C70" w:rsidP="000664DE">
      <w:pPr>
        <w:pStyle w:val="FootnoteText"/>
        <w:contextualSpacing/>
        <w:jc w:val="both"/>
        <w:rPr>
          <w:rFonts w:ascii="Arial" w:hAnsi="Arial" w:cs="Arial"/>
          <w:lang w:val="en-GB"/>
        </w:rPr>
      </w:pPr>
      <w:r w:rsidRPr="000664DE">
        <w:rPr>
          <w:rStyle w:val="FootnoteReference"/>
          <w:rFonts w:ascii="Arial" w:hAnsi="Arial" w:cs="Arial"/>
        </w:rPr>
        <w:footnoteRef/>
      </w:r>
      <w:r w:rsidRPr="000664DE">
        <w:rPr>
          <w:rFonts w:ascii="Arial" w:hAnsi="Arial" w:cs="Arial"/>
        </w:rPr>
        <w:t xml:space="preserve"> </w:t>
      </w:r>
      <w:r w:rsidRPr="000664DE">
        <w:rPr>
          <w:rFonts w:ascii="Arial" w:hAnsi="Arial" w:cs="Arial"/>
          <w:i/>
          <w:lang w:val="en-GB"/>
        </w:rPr>
        <w:t xml:space="preserve">Santino Publishers CC v Waylite Marketing CC </w:t>
      </w:r>
      <w:r w:rsidRPr="000664DE">
        <w:rPr>
          <w:rFonts w:ascii="Arial" w:hAnsi="Arial" w:cs="Arial"/>
          <w:lang w:val="en-GB"/>
        </w:rPr>
        <w:t>2010 (2) SA 53 (GSJ) para</w:t>
      </w:r>
      <w:r w:rsidR="00BA4BFF">
        <w:rPr>
          <w:rFonts w:ascii="Arial" w:hAnsi="Arial" w:cs="Arial"/>
          <w:lang w:val="en-GB"/>
        </w:rPr>
        <w:t xml:space="preserve"> </w:t>
      </w:r>
      <w:r w:rsidRPr="000664DE">
        <w:rPr>
          <w:rFonts w:ascii="Arial" w:hAnsi="Arial" w:cs="Arial"/>
          <w:lang w:val="en-GB"/>
        </w:rPr>
        <w:t>7.</w:t>
      </w:r>
    </w:p>
  </w:footnote>
  <w:footnote w:id="8">
    <w:p w14:paraId="7A984429" w14:textId="7C6F6FC7" w:rsidR="00315919" w:rsidRPr="003A6262" w:rsidRDefault="00315919" w:rsidP="000664DE">
      <w:pPr>
        <w:pStyle w:val="FootnoteText"/>
        <w:contextualSpacing/>
        <w:jc w:val="both"/>
        <w:rPr>
          <w:rFonts w:ascii="Arial" w:hAnsi="Arial" w:cs="Arial"/>
          <w:lang w:val="en-GB"/>
        </w:rPr>
      </w:pPr>
      <w:r w:rsidRPr="000664DE">
        <w:rPr>
          <w:rStyle w:val="FootnoteReference"/>
          <w:rFonts w:ascii="Arial" w:hAnsi="Arial" w:cs="Arial"/>
        </w:rPr>
        <w:footnoteRef/>
      </w:r>
      <w:r w:rsidRPr="000664DE">
        <w:rPr>
          <w:rFonts w:ascii="Arial" w:hAnsi="Arial" w:cs="Arial"/>
        </w:rPr>
        <w:t xml:space="preserve"> </w:t>
      </w:r>
      <w:r w:rsidRPr="000664DE">
        <w:rPr>
          <w:rFonts w:ascii="Arial" w:hAnsi="Arial" w:cs="Arial"/>
          <w:i/>
          <w:lang w:val="en-GB"/>
        </w:rPr>
        <w:t xml:space="preserve">Ras and others NNO v Van der Meulen and another </w:t>
      </w:r>
      <w:r w:rsidRPr="000664DE">
        <w:rPr>
          <w:rFonts w:ascii="Arial" w:hAnsi="Arial" w:cs="Arial"/>
          <w:lang w:val="en-GB"/>
        </w:rPr>
        <w:t>2011 (4) SA 17 (SCA).</w:t>
      </w:r>
    </w:p>
  </w:footnote>
  <w:footnote w:id="9">
    <w:p w14:paraId="074E0D88" w14:textId="7FC3BEBE" w:rsidR="007A4845" w:rsidRPr="003A6262" w:rsidRDefault="007A4845" w:rsidP="000664DE">
      <w:pPr>
        <w:pStyle w:val="FootnoteText"/>
        <w:contextualSpacing/>
        <w:jc w:val="both"/>
        <w:rPr>
          <w:rFonts w:ascii="Arial" w:hAnsi="Arial" w:cs="Arial"/>
          <w:lang w:val="en-GB"/>
        </w:rPr>
      </w:pPr>
      <w:r w:rsidRPr="000664DE">
        <w:rPr>
          <w:rStyle w:val="FootnoteReference"/>
          <w:rFonts w:ascii="Arial" w:hAnsi="Arial" w:cs="Arial"/>
        </w:rPr>
        <w:footnoteRef/>
      </w:r>
      <w:r w:rsidRPr="000664DE">
        <w:rPr>
          <w:rFonts w:ascii="Arial" w:hAnsi="Arial" w:cs="Arial"/>
        </w:rPr>
        <w:t xml:space="preserve"> </w:t>
      </w:r>
      <w:r w:rsidRPr="000664DE">
        <w:rPr>
          <w:rFonts w:ascii="Arial" w:hAnsi="Arial" w:cs="Arial"/>
          <w:i/>
          <w:lang w:val="en-GB"/>
        </w:rPr>
        <w:t xml:space="preserve">Tshangela v Nombembe and others </w:t>
      </w:r>
      <w:r w:rsidRPr="000664DE">
        <w:rPr>
          <w:rFonts w:ascii="Arial" w:hAnsi="Arial" w:cs="Arial"/>
          <w:lang w:val="en-GB"/>
        </w:rPr>
        <w:t>[2023] ZAGPJHC 1223.</w:t>
      </w:r>
    </w:p>
  </w:footnote>
  <w:footnote w:id="10">
    <w:p w14:paraId="54DD624C" w14:textId="6CA3E059" w:rsidR="007A4845" w:rsidRPr="003A6262" w:rsidRDefault="007A4845" w:rsidP="000664DE">
      <w:pPr>
        <w:pStyle w:val="FootnoteText"/>
        <w:contextualSpacing/>
        <w:jc w:val="both"/>
        <w:rPr>
          <w:rFonts w:ascii="Arial" w:hAnsi="Arial" w:cs="Arial"/>
          <w:lang w:val="en-GB"/>
        </w:rPr>
      </w:pPr>
      <w:r w:rsidRPr="000664DE">
        <w:rPr>
          <w:rStyle w:val="FootnoteReference"/>
          <w:rFonts w:ascii="Arial" w:hAnsi="Arial" w:cs="Arial"/>
        </w:rPr>
        <w:footnoteRef/>
      </w:r>
      <w:r w:rsidRPr="000664DE">
        <w:rPr>
          <w:rFonts w:ascii="Arial" w:hAnsi="Arial" w:cs="Arial"/>
        </w:rPr>
        <w:t xml:space="preserve"> </w:t>
      </w:r>
      <w:r w:rsidRPr="000664DE">
        <w:rPr>
          <w:rFonts w:ascii="Arial" w:hAnsi="Arial" w:cs="Arial"/>
          <w:lang w:val="en-GB"/>
        </w:rPr>
        <w:t>Ibid para 18.</w:t>
      </w:r>
    </w:p>
  </w:footnote>
  <w:footnote w:id="11">
    <w:p w14:paraId="1F087AAB" w14:textId="336E340D" w:rsidR="007A4845" w:rsidRPr="003A6262" w:rsidRDefault="007A4845" w:rsidP="000664DE">
      <w:pPr>
        <w:pStyle w:val="FootnoteText"/>
        <w:contextualSpacing/>
        <w:jc w:val="both"/>
        <w:rPr>
          <w:rFonts w:ascii="Arial" w:hAnsi="Arial" w:cs="Arial"/>
          <w:lang w:val="en-GB"/>
        </w:rPr>
      </w:pPr>
      <w:r w:rsidRPr="000664DE">
        <w:rPr>
          <w:rStyle w:val="FootnoteReference"/>
          <w:rFonts w:ascii="Arial" w:hAnsi="Arial" w:cs="Arial"/>
        </w:rPr>
        <w:footnoteRef/>
      </w:r>
      <w:r w:rsidRPr="000664DE">
        <w:rPr>
          <w:rFonts w:ascii="Arial" w:hAnsi="Arial" w:cs="Arial"/>
        </w:rPr>
        <w:t xml:space="preserve"> </w:t>
      </w:r>
      <w:r w:rsidRPr="000664DE">
        <w:rPr>
          <w:rFonts w:ascii="Arial" w:hAnsi="Arial" w:cs="Arial"/>
          <w:i/>
        </w:rPr>
        <w:t xml:space="preserve">Absa Bank Ltd v Molotsi </w:t>
      </w:r>
      <w:r w:rsidRPr="000664DE">
        <w:rPr>
          <w:rFonts w:ascii="Arial" w:hAnsi="Arial" w:cs="Arial"/>
        </w:rPr>
        <w:t>[2016] ZAGPJHC 36 paras 25-27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562442"/>
      <w:docPartObj>
        <w:docPartGallery w:val="Page Numbers (Top of Page)"/>
        <w:docPartUnique/>
      </w:docPartObj>
    </w:sdtPr>
    <w:sdtEndPr>
      <w:rPr>
        <w:rFonts w:ascii="Arial" w:hAnsi="Arial" w:cs="Arial"/>
        <w:noProof/>
      </w:rPr>
    </w:sdtEndPr>
    <w:sdtContent>
      <w:p w14:paraId="3D24EC43" w14:textId="60880306" w:rsidR="00DC77EC" w:rsidRPr="009C484D" w:rsidRDefault="00DC77EC">
        <w:pPr>
          <w:pStyle w:val="Header"/>
          <w:jc w:val="right"/>
          <w:rPr>
            <w:rFonts w:ascii="Arial" w:hAnsi="Arial" w:cs="Arial"/>
          </w:rPr>
        </w:pPr>
        <w:r w:rsidRPr="009C484D">
          <w:rPr>
            <w:rFonts w:ascii="Arial" w:hAnsi="Arial" w:cs="Arial"/>
          </w:rPr>
          <w:fldChar w:fldCharType="begin"/>
        </w:r>
        <w:r w:rsidRPr="009C484D">
          <w:rPr>
            <w:rFonts w:ascii="Arial" w:hAnsi="Arial" w:cs="Arial"/>
          </w:rPr>
          <w:instrText xml:space="preserve"> PAGE   \* MERGEFORMAT </w:instrText>
        </w:r>
        <w:r w:rsidRPr="009C484D">
          <w:rPr>
            <w:rFonts w:ascii="Arial" w:hAnsi="Arial" w:cs="Arial"/>
          </w:rPr>
          <w:fldChar w:fldCharType="separate"/>
        </w:r>
        <w:r w:rsidR="00BD419B">
          <w:rPr>
            <w:rFonts w:ascii="Arial" w:hAnsi="Arial" w:cs="Arial"/>
            <w:noProof/>
          </w:rPr>
          <w:t>2</w:t>
        </w:r>
        <w:r w:rsidRPr="009C484D">
          <w:rPr>
            <w:rFonts w:ascii="Arial" w:hAnsi="Arial" w:cs="Arial"/>
            <w:noProof/>
          </w:rPr>
          <w:fldChar w:fldCharType="end"/>
        </w:r>
      </w:p>
    </w:sdtContent>
  </w:sdt>
  <w:p w14:paraId="4C889038" w14:textId="77777777" w:rsidR="00DC77EC" w:rsidRDefault="00DC7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11A8"/>
    <w:multiLevelType w:val="multilevel"/>
    <w:tmpl w:val="1F044258"/>
    <w:lvl w:ilvl="0">
      <w:start w:val="1"/>
      <w:numFmt w:val="decimal"/>
      <w:lvlText w:val="%1"/>
      <w:lvlJc w:val="left"/>
      <w:pPr>
        <w:ind w:left="360" w:hanging="360"/>
      </w:pPr>
      <w:rPr>
        <w:rFonts w:hint="default"/>
      </w:rPr>
    </w:lvl>
    <w:lvl w:ilvl="1">
      <w:start w:val="5"/>
      <w:numFmt w:val="decimal"/>
      <w:lvlText w:val="%1.%2"/>
      <w:lvlJc w:val="left"/>
      <w:pPr>
        <w:ind w:left="1801" w:hanging="360"/>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403" w:hanging="108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645" w:hanging="1440"/>
      </w:pPr>
      <w:rPr>
        <w:rFonts w:hint="default"/>
      </w:rPr>
    </w:lvl>
    <w:lvl w:ilvl="6">
      <w:start w:val="1"/>
      <w:numFmt w:val="decimal"/>
      <w:lvlText w:val="%1.%2.%3.%4.%5.%6.%7"/>
      <w:lvlJc w:val="left"/>
      <w:pPr>
        <w:ind w:left="10086" w:hanging="1440"/>
      </w:pPr>
      <w:rPr>
        <w:rFonts w:hint="default"/>
      </w:rPr>
    </w:lvl>
    <w:lvl w:ilvl="7">
      <w:start w:val="1"/>
      <w:numFmt w:val="decimal"/>
      <w:lvlText w:val="%1.%2.%3.%4.%5.%6.%7.%8"/>
      <w:lvlJc w:val="left"/>
      <w:pPr>
        <w:ind w:left="11887" w:hanging="1800"/>
      </w:pPr>
      <w:rPr>
        <w:rFonts w:hint="default"/>
      </w:rPr>
    </w:lvl>
    <w:lvl w:ilvl="8">
      <w:start w:val="1"/>
      <w:numFmt w:val="decimal"/>
      <w:lvlText w:val="%1.%2.%3.%4.%5.%6.%7.%8.%9"/>
      <w:lvlJc w:val="left"/>
      <w:pPr>
        <w:ind w:left="13328" w:hanging="1800"/>
      </w:pPr>
      <w:rPr>
        <w:rFonts w:hint="default"/>
      </w:rPr>
    </w:lvl>
  </w:abstractNum>
  <w:abstractNum w:abstractNumId="1" w15:restartNumberingAfterBreak="0">
    <w:nsid w:val="22E970D1"/>
    <w:multiLevelType w:val="multilevel"/>
    <w:tmpl w:val="9B3CE3B4"/>
    <w:lvl w:ilvl="0">
      <w:start w:val="1"/>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36F92D1A"/>
    <w:multiLevelType w:val="hybridMultilevel"/>
    <w:tmpl w:val="4428353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F1C5F91"/>
    <w:multiLevelType w:val="multilevel"/>
    <w:tmpl w:val="7954058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C6D2DFF"/>
    <w:multiLevelType w:val="multilevel"/>
    <w:tmpl w:val="5FA6D52C"/>
    <w:lvl w:ilvl="0">
      <w:start w:val="1"/>
      <w:numFmt w:val="decimal"/>
      <w:lvlRestart w:val="0"/>
      <w:lvlText w:val="%1."/>
      <w:lvlJc w:val="left"/>
      <w:pPr>
        <w:ind w:left="1134" w:hanging="1134"/>
      </w:pPr>
    </w:lvl>
    <w:lvl w:ilvl="1">
      <w:start w:val="1"/>
      <w:numFmt w:val="decimal"/>
      <w:lvlText w:val="%1.%2"/>
      <w:lvlJc w:val="left"/>
      <w:pPr>
        <w:tabs>
          <w:tab w:val="num" w:pos="1140"/>
        </w:tabs>
        <w:ind w:left="2268" w:hanging="1134"/>
      </w:pPr>
    </w:lvl>
    <w:lvl w:ilvl="2">
      <w:start w:val="1"/>
      <w:numFmt w:val="decimal"/>
      <w:lvlText w:val="%1.%2.%3"/>
      <w:lvlJc w:val="left"/>
      <w:pPr>
        <w:tabs>
          <w:tab w:val="num" w:pos="3396"/>
        </w:tabs>
        <w:ind w:left="3402" w:hanging="1134"/>
      </w:pPr>
    </w:lvl>
    <w:lvl w:ilvl="3">
      <w:start w:val="1"/>
      <w:numFmt w:val="decimal"/>
      <w:lvlText w:val="%1.%2.%3.%4."/>
      <w:lvlJc w:val="left"/>
      <w:pPr>
        <w:ind w:left="1729" w:hanging="652"/>
      </w:pPr>
    </w:lvl>
    <w:lvl w:ilvl="4">
      <w:start w:val="1"/>
      <w:numFmt w:val="decimal"/>
      <w:lvlText w:val="%1.%2.%3.%4.%5."/>
      <w:lvlJc w:val="left"/>
      <w:pPr>
        <w:ind w:left="2234" w:hanging="794"/>
      </w:pPr>
    </w:lvl>
    <w:lvl w:ilvl="5">
      <w:start w:val="1"/>
      <w:numFmt w:val="decimal"/>
      <w:lvlText w:val="%1.%2.%3.%4.%5.%6."/>
      <w:lvlJc w:val="left"/>
      <w:pPr>
        <w:ind w:left="2738" w:hanging="941"/>
      </w:pPr>
    </w:lvl>
    <w:lvl w:ilvl="6">
      <w:start w:val="1"/>
      <w:numFmt w:val="decimal"/>
      <w:lvlText w:val="%1.%2.%3.%4.%5.%6.%7."/>
      <w:lvlJc w:val="left"/>
      <w:pPr>
        <w:ind w:left="3237" w:hanging="1077"/>
      </w:pPr>
    </w:lvl>
    <w:lvl w:ilvl="7">
      <w:start w:val="1"/>
      <w:numFmt w:val="decimal"/>
      <w:lvlText w:val="%1.%2.%3.%4.%5.%6.%7.%8."/>
      <w:lvlJc w:val="left"/>
      <w:pPr>
        <w:ind w:left="3742" w:hanging="1225"/>
      </w:pPr>
    </w:lvl>
    <w:lvl w:ilvl="8">
      <w:start w:val="1"/>
      <w:numFmt w:val="decimal"/>
      <w:lvlText w:val="%1.%2.%3.%4.%5.%6.%7.%8.%9."/>
      <w:lvlJc w:val="left"/>
      <w:pPr>
        <w:ind w:left="4320" w:hanging="1440"/>
      </w:pPr>
    </w:lvl>
  </w:abstractNum>
  <w:abstractNum w:abstractNumId="5" w15:restartNumberingAfterBreak="0">
    <w:nsid w:val="5E424200"/>
    <w:multiLevelType w:val="multilevel"/>
    <w:tmpl w:val="97C0154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F83567A"/>
    <w:multiLevelType w:val="multilevel"/>
    <w:tmpl w:val="2AA2F70A"/>
    <w:lvl w:ilvl="0">
      <w:start w:val="1"/>
      <w:numFmt w:val="decimal"/>
      <w:lvlText w:val="%1."/>
      <w:lvlJc w:val="left"/>
      <w:pPr>
        <w:ind w:left="732" w:hanging="732"/>
      </w:pPr>
      <w:rPr>
        <w:rFonts w:hint="default"/>
      </w:rPr>
    </w:lvl>
    <w:lvl w:ilvl="1">
      <w:start w:val="1"/>
      <w:numFmt w:val="decimal"/>
      <w:lvlText w:val="%1.%2"/>
      <w:lvlJc w:val="left"/>
      <w:pPr>
        <w:ind w:left="1441" w:hanging="732"/>
      </w:pPr>
      <w:rPr>
        <w:rFonts w:hint="default"/>
      </w:rPr>
    </w:lvl>
    <w:lvl w:ilvl="2">
      <w:start w:val="1"/>
      <w:numFmt w:val="decimal"/>
      <w:lvlText w:val="%1.%2.%3"/>
      <w:lvlJc w:val="left"/>
      <w:pPr>
        <w:ind w:left="2150" w:hanging="732"/>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FF95425"/>
    <w:multiLevelType w:val="multilevel"/>
    <w:tmpl w:val="8D321F8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6"/>
  </w:num>
  <w:num w:numId="4">
    <w:abstractNumId w:val="5"/>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4E"/>
    <w:rsid w:val="00016904"/>
    <w:rsid w:val="00033481"/>
    <w:rsid w:val="00053718"/>
    <w:rsid w:val="00063531"/>
    <w:rsid w:val="00065D9D"/>
    <w:rsid w:val="000664DE"/>
    <w:rsid w:val="00076BA8"/>
    <w:rsid w:val="00083111"/>
    <w:rsid w:val="0008772D"/>
    <w:rsid w:val="000B4F91"/>
    <w:rsid w:val="000C43E4"/>
    <w:rsid w:val="000E6C51"/>
    <w:rsid w:val="0011399D"/>
    <w:rsid w:val="00121DF7"/>
    <w:rsid w:val="001313F9"/>
    <w:rsid w:val="00150D3C"/>
    <w:rsid w:val="001871FD"/>
    <w:rsid w:val="0018796F"/>
    <w:rsid w:val="00187EE3"/>
    <w:rsid w:val="001B166A"/>
    <w:rsid w:val="001C06FA"/>
    <w:rsid w:val="001C1519"/>
    <w:rsid w:val="001C5514"/>
    <w:rsid w:val="001E4590"/>
    <w:rsid w:val="001F72CF"/>
    <w:rsid w:val="00212A17"/>
    <w:rsid w:val="0023780D"/>
    <w:rsid w:val="00245C72"/>
    <w:rsid w:val="00271E56"/>
    <w:rsid w:val="00273F64"/>
    <w:rsid w:val="0027474D"/>
    <w:rsid w:val="00290FDF"/>
    <w:rsid w:val="002A1E88"/>
    <w:rsid w:val="002B0008"/>
    <w:rsid w:val="002C2D7A"/>
    <w:rsid w:val="002E4E20"/>
    <w:rsid w:val="002E60BD"/>
    <w:rsid w:val="002F016D"/>
    <w:rsid w:val="002F0E53"/>
    <w:rsid w:val="002F7B6E"/>
    <w:rsid w:val="002F7ED6"/>
    <w:rsid w:val="00300BB5"/>
    <w:rsid w:val="00315919"/>
    <w:rsid w:val="003270DE"/>
    <w:rsid w:val="00333D9A"/>
    <w:rsid w:val="00340033"/>
    <w:rsid w:val="00354688"/>
    <w:rsid w:val="00381268"/>
    <w:rsid w:val="003817C3"/>
    <w:rsid w:val="003975FE"/>
    <w:rsid w:val="003A18D6"/>
    <w:rsid w:val="003A2BEC"/>
    <w:rsid w:val="003A6262"/>
    <w:rsid w:val="003B7AB6"/>
    <w:rsid w:val="003C2D32"/>
    <w:rsid w:val="004038B3"/>
    <w:rsid w:val="00422A20"/>
    <w:rsid w:val="00427424"/>
    <w:rsid w:val="004304F6"/>
    <w:rsid w:val="00441597"/>
    <w:rsid w:val="004637F8"/>
    <w:rsid w:val="00464495"/>
    <w:rsid w:val="00467637"/>
    <w:rsid w:val="004A66CA"/>
    <w:rsid w:val="004B2D88"/>
    <w:rsid w:val="004C6DD4"/>
    <w:rsid w:val="004C7F80"/>
    <w:rsid w:val="004E5607"/>
    <w:rsid w:val="0050572C"/>
    <w:rsid w:val="00527378"/>
    <w:rsid w:val="0053434B"/>
    <w:rsid w:val="00540220"/>
    <w:rsid w:val="00562AB7"/>
    <w:rsid w:val="00567C3B"/>
    <w:rsid w:val="00576392"/>
    <w:rsid w:val="005B3426"/>
    <w:rsid w:val="005C0200"/>
    <w:rsid w:val="005C5646"/>
    <w:rsid w:val="005D3F3E"/>
    <w:rsid w:val="005D5F88"/>
    <w:rsid w:val="005E1BB6"/>
    <w:rsid w:val="00600353"/>
    <w:rsid w:val="0060347D"/>
    <w:rsid w:val="006162CE"/>
    <w:rsid w:val="00647D0A"/>
    <w:rsid w:val="00653D65"/>
    <w:rsid w:val="00676523"/>
    <w:rsid w:val="006825F6"/>
    <w:rsid w:val="0068401B"/>
    <w:rsid w:val="00686219"/>
    <w:rsid w:val="00692F28"/>
    <w:rsid w:val="00696555"/>
    <w:rsid w:val="006A1BC2"/>
    <w:rsid w:val="006D671C"/>
    <w:rsid w:val="006E2929"/>
    <w:rsid w:val="006E3D9E"/>
    <w:rsid w:val="007040C0"/>
    <w:rsid w:val="00711C69"/>
    <w:rsid w:val="007137C6"/>
    <w:rsid w:val="0072659C"/>
    <w:rsid w:val="00747488"/>
    <w:rsid w:val="00757A98"/>
    <w:rsid w:val="00771858"/>
    <w:rsid w:val="00771C58"/>
    <w:rsid w:val="007A06A2"/>
    <w:rsid w:val="007A4845"/>
    <w:rsid w:val="007C6EC0"/>
    <w:rsid w:val="007D66EC"/>
    <w:rsid w:val="007E4CE8"/>
    <w:rsid w:val="008044EA"/>
    <w:rsid w:val="008075DC"/>
    <w:rsid w:val="00851AD1"/>
    <w:rsid w:val="00866991"/>
    <w:rsid w:val="008705F4"/>
    <w:rsid w:val="00870BF2"/>
    <w:rsid w:val="008A5DCB"/>
    <w:rsid w:val="008B37C1"/>
    <w:rsid w:val="008B7136"/>
    <w:rsid w:val="008D123A"/>
    <w:rsid w:val="008D1A08"/>
    <w:rsid w:val="008E4814"/>
    <w:rsid w:val="00904888"/>
    <w:rsid w:val="00904C60"/>
    <w:rsid w:val="00913815"/>
    <w:rsid w:val="0093770D"/>
    <w:rsid w:val="00961C4D"/>
    <w:rsid w:val="00987EE8"/>
    <w:rsid w:val="009A31AB"/>
    <w:rsid w:val="009A5536"/>
    <w:rsid w:val="009B2246"/>
    <w:rsid w:val="009B4DCF"/>
    <w:rsid w:val="009C288B"/>
    <w:rsid w:val="009C3095"/>
    <w:rsid w:val="009C484D"/>
    <w:rsid w:val="009C6A24"/>
    <w:rsid w:val="009C7438"/>
    <w:rsid w:val="009D38A1"/>
    <w:rsid w:val="009D74AD"/>
    <w:rsid w:val="009F731A"/>
    <w:rsid w:val="00A262C3"/>
    <w:rsid w:val="00A32884"/>
    <w:rsid w:val="00A429ED"/>
    <w:rsid w:val="00A55268"/>
    <w:rsid w:val="00A64558"/>
    <w:rsid w:val="00A74535"/>
    <w:rsid w:val="00A87156"/>
    <w:rsid w:val="00A90EE8"/>
    <w:rsid w:val="00A91974"/>
    <w:rsid w:val="00AB56D9"/>
    <w:rsid w:val="00AC7814"/>
    <w:rsid w:val="00AD5B89"/>
    <w:rsid w:val="00AE50DF"/>
    <w:rsid w:val="00AE724A"/>
    <w:rsid w:val="00AF48E0"/>
    <w:rsid w:val="00AF4B4E"/>
    <w:rsid w:val="00B00005"/>
    <w:rsid w:val="00B35B37"/>
    <w:rsid w:val="00B57592"/>
    <w:rsid w:val="00B579C3"/>
    <w:rsid w:val="00B75C95"/>
    <w:rsid w:val="00B91891"/>
    <w:rsid w:val="00B94CEA"/>
    <w:rsid w:val="00BA4BFF"/>
    <w:rsid w:val="00BA52A9"/>
    <w:rsid w:val="00BB74E7"/>
    <w:rsid w:val="00BC4327"/>
    <w:rsid w:val="00BD419B"/>
    <w:rsid w:val="00BE7B6C"/>
    <w:rsid w:val="00C35896"/>
    <w:rsid w:val="00C36ADB"/>
    <w:rsid w:val="00C47896"/>
    <w:rsid w:val="00C67F21"/>
    <w:rsid w:val="00C82C70"/>
    <w:rsid w:val="00C87EBD"/>
    <w:rsid w:val="00C90946"/>
    <w:rsid w:val="00CC21EE"/>
    <w:rsid w:val="00CC6BA5"/>
    <w:rsid w:val="00CD518F"/>
    <w:rsid w:val="00D16E5C"/>
    <w:rsid w:val="00D355C5"/>
    <w:rsid w:val="00D437A5"/>
    <w:rsid w:val="00D44383"/>
    <w:rsid w:val="00D519BD"/>
    <w:rsid w:val="00D5218B"/>
    <w:rsid w:val="00D64A8E"/>
    <w:rsid w:val="00D84687"/>
    <w:rsid w:val="00D85D61"/>
    <w:rsid w:val="00DB03DF"/>
    <w:rsid w:val="00DC2433"/>
    <w:rsid w:val="00DC77EC"/>
    <w:rsid w:val="00DE534D"/>
    <w:rsid w:val="00DE6366"/>
    <w:rsid w:val="00E00FE9"/>
    <w:rsid w:val="00E04A11"/>
    <w:rsid w:val="00E1349A"/>
    <w:rsid w:val="00E21F52"/>
    <w:rsid w:val="00E4545A"/>
    <w:rsid w:val="00E6070E"/>
    <w:rsid w:val="00E77A63"/>
    <w:rsid w:val="00E80DF4"/>
    <w:rsid w:val="00E901D5"/>
    <w:rsid w:val="00E92559"/>
    <w:rsid w:val="00EA427F"/>
    <w:rsid w:val="00EA5D19"/>
    <w:rsid w:val="00EB2ABB"/>
    <w:rsid w:val="00ED7382"/>
    <w:rsid w:val="00F136A8"/>
    <w:rsid w:val="00F1524F"/>
    <w:rsid w:val="00F24222"/>
    <w:rsid w:val="00F44706"/>
    <w:rsid w:val="00F44D42"/>
    <w:rsid w:val="00F45365"/>
    <w:rsid w:val="00F62737"/>
    <w:rsid w:val="00F65BEE"/>
    <w:rsid w:val="00FA2898"/>
    <w:rsid w:val="00FB4107"/>
    <w:rsid w:val="00FB79AA"/>
    <w:rsid w:val="00FC6209"/>
    <w:rsid w:val="00FE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64BA"/>
  <w15:docId w15:val="{BA196FC8-4A2D-4C6F-96D3-BC72C3F1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7EC"/>
  </w:style>
  <w:style w:type="paragraph" w:styleId="Footer">
    <w:name w:val="footer"/>
    <w:basedOn w:val="Normal"/>
    <w:link w:val="FooterChar"/>
    <w:uiPriority w:val="99"/>
    <w:unhideWhenUsed/>
    <w:rsid w:val="00DC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7EC"/>
  </w:style>
  <w:style w:type="paragraph" w:styleId="BalloonText">
    <w:name w:val="Balloon Text"/>
    <w:basedOn w:val="Normal"/>
    <w:link w:val="BalloonTextChar"/>
    <w:uiPriority w:val="99"/>
    <w:semiHidden/>
    <w:unhideWhenUsed/>
    <w:rsid w:val="00121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DF7"/>
    <w:rPr>
      <w:rFonts w:ascii="Segoe UI" w:hAnsi="Segoe UI" w:cs="Segoe UI"/>
      <w:sz w:val="18"/>
      <w:szCs w:val="18"/>
    </w:rPr>
  </w:style>
  <w:style w:type="paragraph" w:styleId="FootnoteText">
    <w:name w:val="footnote text"/>
    <w:basedOn w:val="Normal"/>
    <w:link w:val="FootnoteTextChar"/>
    <w:uiPriority w:val="99"/>
    <w:semiHidden/>
    <w:unhideWhenUsed/>
    <w:rsid w:val="00937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70D"/>
    <w:rPr>
      <w:sz w:val="20"/>
      <w:szCs w:val="20"/>
    </w:rPr>
  </w:style>
  <w:style w:type="character" w:styleId="FootnoteReference">
    <w:name w:val="footnote reference"/>
    <w:basedOn w:val="DefaultParagraphFont"/>
    <w:uiPriority w:val="99"/>
    <w:unhideWhenUsed/>
    <w:rsid w:val="0093770D"/>
    <w:rPr>
      <w:vertAlign w:val="superscript"/>
    </w:rPr>
  </w:style>
  <w:style w:type="paragraph" w:styleId="ListParagraph">
    <w:name w:val="List Paragraph"/>
    <w:basedOn w:val="Normal"/>
    <w:uiPriority w:val="34"/>
    <w:qFormat/>
    <w:rsid w:val="00271E56"/>
    <w:pPr>
      <w:ind w:left="720"/>
      <w:contextualSpacing/>
    </w:pPr>
  </w:style>
  <w:style w:type="paragraph" w:customStyle="1" w:styleId="Default">
    <w:name w:val="Default"/>
    <w:rsid w:val="00F1524F"/>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D16E5C"/>
    <w:rPr>
      <w:sz w:val="16"/>
      <w:szCs w:val="16"/>
    </w:rPr>
  </w:style>
  <w:style w:type="paragraph" w:styleId="CommentText">
    <w:name w:val="annotation text"/>
    <w:basedOn w:val="Normal"/>
    <w:link w:val="CommentTextChar"/>
    <w:uiPriority w:val="99"/>
    <w:semiHidden/>
    <w:unhideWhenUsed/>
    <w:rsid w:val="00D16E5C"/>
    <w:pPr>
      <w:spacing w:line="240" w:lineRule="auto"/>
    </w:pPr>
    <w:rPr>
      <w:sz w:val="20"/>
      <w:szCs w:val="20"/>
    </w:rPr>
  </w:style>
  <w:style w:type="character" w:customStyle="1" w:styleId="CommentTextChar">
    <w:name w:val="Comment Text Char"/>
    <w:basedOn w:val="DefaultParagraphFont"/>
    <w:link w:val="CommentText"/>
    <w:uiPriority w:val="99"/>
    <w:semiHidden/>
    <w:rsid w:val="00D16E5C"/>
    <w:rPr>
      <w:sz w:val="20"/>
      <w:szCs w:val="20"/>
    </w:rPr>
  </w:style>
  <w:style w:type="paragraph" w:styleId="CommentSubject">
    <w:name w:val="annotation subject"/>
    <w:basedOn w:val="CommentText"/>
    <w:next w:val="CommentText"/>
    <w:link w:val="CommentSubjectChar"/>
    <w:uiPriority w:val="99"/>
    <w:semiHidden/>
    <w:unhideWhenUsed/>
    <w:rsid w:val="00D16E5C"/>
    <w:rPr>
      <w:b/>
      <w:bCs/>
    </w:rPr>
  </w:style>
  <w:style w:type="character" w:customStyle="1" w:styleId="CommentSubjectChar">
    <w:name w:val="Comment Subject Char"/>
    <w:basedOn w:val="CommentTextChar"/>
    <w:link w:val="CommentSubject"/>
    <w:uiPriority w:val="99"/>
    <w:semiHidden/>
    <w:rsid w:val="00D16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256A-6E26-4B29-B8EB-7EF83F0A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3438</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Rautenbach</dc:creator>
  <cp:lastModifiedBy>Mary Bruce</cp:lastModifiedBy>
  <cp:revision>3</cp:revision>
  <cp:lastPrinted>2024-02-15T08:23:00Z</cp:lastPrinted>
  <dcterms:created xsi:type="dcterms:W3CDTF">2024-02-19T09:18:00Z</dcterms:created>
  <dcterms:modified xsi:type="dcterms:W3CDTF">2024-02-20T09:47:00Z</dcterms:modified>
</cp:coreProperties>
</file>