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A24" w:rsidRPr="00266936" w:rsidRDefault="00595A24" w:rsidP="00DC24EE">
      <w:pPr>
        <w:jc w:val="center"/>
        <w:rPr>
          <w:rFonts w:ascii="Arial" w:hAnsi="Arial" w:cs="Arial"/>
          <w:b/>
          <w:lang w:val="en-GB"/>
        </w:rPr>
      </w:pPr>
      <w:bookmarkStart w:id="0" w:name="_GoBack"/>
      <w:bookmarkEnd w:id="0"/>
      <w:r w:rsidRPr="00266936">
        <w:rPr>
          <w:rFonts w:ascii="Arial" w:eastAsia="Calibri" w:hAnsi="Arial" w:cs="Arial"/>
          <w:noProof/>
          <w:sz w:val="28"/>
          <w:szCs w:val="28"/>
          <w:lang w:eastAsia="en-ZA" w:bidi="ar-SA"/>
        </w:rPr>
        <w:drawing>
          <wp:inline distT="0" distB="0" distL="0" distR="0" wp14:anchorId="19AE6A8B" wp14:editId="533A1CC7">
            <wp:extent cx="1027209" cy="1009650"/>
            <wp:effectExtent l="0" t="0" r="190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179" cy="1012569"/>
                    </a:xfrm>
                    <a:prstGeom prst="rect">
                      <a:avLst/>
                    </a:prstGeom>
                    <a:noFill/>
                    <a:ln>
                      <a:noFill/>
                    </a:ln>
                  </pic:spPr>
                </pic:pic>
              </a:graphicData>
            </a:graphic>
          </wp:inline>
        </w:drawing>
      </w:r>
    </w:p>
    <w:p w:rsidR="00655D4B" w:rsidRPr="00266936" w:rsidRDefault="00655D4B" w:rsidP="00DC24EE">
      <w:pPr>
        <w:spacing w:line="360" w:lineRule="auto"/>
        <w:jc w:val="center"/>
        <w:rPr>
          <w:rFonts w:ascii="Arial" w:hAnsi="Arial" w:cs="Arial"/>
          <w:b/>
          <w:lang w:val="en-GB"/>
        </w:rPr>
      </w:pPr>
    </w:p>
    <w:p w:rsidR="00595A24" w:rsidRPr="00266936" w:rsidRDefault="00595A24" w:rsidP="00DC24EE">
      <w:pPr>
        <w:spacing w:line="360" w:lineRule="auto"/>
        <w:jc w:val="center"/>
        <w:rPr>
          <w:rFonts w:ascii="Arial" w:hAnsi="Arial" w:cs="Arial"/>
          <w:b/>
          <w:lang w:val="en-GB"/>
        </w:rPr>
      </w:pPr>
      <w:r w:rsidRPr="00266936">
        <w:rPr>
          <w:rFonts w:ascii="Arial" w:hAnsi="Arial" w:cs="Arial"/>
          <w:b/>
          <w:lang w:val="en-GB"/>
        </w:rPr>
        <w:t>IN THE HIGH COURT OF SOUTH AFRICA</w:t>
      </w:r>
    </w:p>
    <w:p w:rsidR="00595A24" w:rsidRPr="00266936" w:rsidRDefault="00595A24" w:rsidP="00DC24EE">
      <w:pPr>
        <w:spacing w:line="360" w:lineRule="auto"/>
        <w:jc w:val="center"/>
        <w:rPr>
          <w:rFonts w:ascii="Arial" w:hAnsi="Arial" w:cs="Arial"/>
          <w:b/>
          <w:lang w:val="en-GB"/>
        </w:rPr>
      </w:pPr>
      <w:r w:rsidRPr="00266936">
        <w:rPr>
          <w:rFonts w:ascii="Arial" w:hAnsi="Arial" w:cs="Arial"/>
          <w:b/>
          <w:lang w:val="en-GB"/>
        </w:rPr>
        <w:t>KWAZULU-NATAL DIVISION,</w:t>
      </w:r>
      <w:r w:rsidR="0087746D" w:rsidRPr="00266936">
        <w:rPr>
          <w:rFonts w:ascii="Arial" w:hAnsi="Arial" w:cs="Arial"/>
          <w:b/>
          <w:lang w:val="en-GB"/>
        </w:rPr>
        <w:t xml:space="preserve"> </w:t>
      </w:r>
      <w:r w:rsidRPr="00266936">
        <w:rPr>
          <w:rFonts w:ascii="Arial" w:hAnsi="Arial" w:cs="Arial"/>
          <w:b/>
          <w:lang w:val="en-GB"/>
        </w:rPr>
        <w:t>PIETERMARITZBURG</w:t>
      </w:r>
    </w:p>
    <w:p w:rsidR="008C7AC0" w:rsidRPr="00266936" w:rsidRDefault="008C7AC0" w:rsidP="00DC24EE">
      <w:pPr>
        <w:jc w:val="right"/>
        <w:rPr>
          <w:rFonts w:ascii="Arial" w:hAnsi="Arial" w:cs="Arial"/>
          <w:lang w:val="en-GB"/>
        </w:rPr>
      </w:pPr>
    </w:p>
    <w:p w:rsidR="00595A24" w:rsidRPr="00A03A5F" w:rsidRDefault="00595A24" w:rsidP="00DC24EE">
      <w:pPr>
        <w:jc w:val="right"/>
        <w:rPr>
          <w:rFonts w:ascii="Arial" w:hAnsi="Arial" w:cs="Arial"/>
          <w:b/>
          <w:bCs/>
          <w:lang w:val="en-GB"/>
        </w:rPr>
      </w:pPr>
      <w:r w:rsidRPr="00266936">
        <w:rPr>
          <w:rFonts w:ascii="Arial" w:hAnsi="Arial" w:cs="Arial"/>
          <w:lang w:val="en-GB"/>
        </w:rPr>
        <w:t xml:space="preserve">Case No: </w:t>
      </w:r>
      <w:r w:rsidR="004062BD" w:rsidRPr="00A03A5F">
        <w:rPr>
          <w:rFonts w:ascii="Arial" w:hAnsi="Arial" w:cs="Arial"/>
          <w:b/>
          <w:bCs/>
          <w:lang w:val="en-GB"/>
        </w:rPr>
        <w:t>8216/2022P</w:t>
      </w:r>
    </w:p>
    <w:p w:rsidR="00595A24" w:rsidRPr="00266936" w:rsidRDefault="00595A24" w:rsidP="00DC24EE">
      <w:pPr>
        <w:jc w:val="both"/>
        <w:rPr>
          <w:rFonts w:ascii="Arial" w:hAnsi="Arial" w:cs="Arial"/>
          <w:lang w:val="en-GB"/>
        </w:rPr>
      </w:pPr>
    </w:p>
    <w:p w:rsidR="00595A24" w:rsidRDefault="00595A24" w:rsidP="00DC24EE">
      <w:pPr>
        <w:spacing w:line="360" w:lineRule="auto"/>
        <w:jc w:val="both"/>
        <w:rPr>
          <w:rFonts w:ascii="Arial" w:hAnsi="Arial" w:cs="Arial"/>
          <w:lang w:val="en-GB"/>
        </w:rPr>
      </w:pPr>
      <w:r w:rsidRPr="00266936">
        <w:rPr>
          <w:rFonts w:ascii="Arial" w:hAnsi="Arial" w:cs="Arial"/>
          <w:lang w:val="en-GB"/>
        </w:rPr>
        <w:t>In the matter between:</w:t>
      </w:r>
    </w:p>
    <w:p w:rsidR="004062BD" w:rsidRPr="00266936" w:rsidRDefault="004062BD" w:rsidP="00DC24EE">
      <w:pPr>
        <w:spacing w:line="360" w:lineRule="auto"/>
        <w:jc w:val="both"/>
        <w:rPr>
          <w:rFonts w:ascii="Arial" w:hAnsi="Arial" w:cs="Arial"/>
          <w:lang w:val="en-GB"/>
        </w:rPr>
      </w:pPr>
    </w:p>
    <w:p w:rsidR="00595A24" w:rsidRPr="00266936" w:rsidRDefault="004062BD" w:rsidP="00DC24EE">
      <w:pPr>
        <w:spacing w:line="360" w:lineRule="auto"/>
        <w:jc w:val="both"/>
        <w:rPr>
          <w:rFonts w:ascii="Arial" w:hAnsi="Arial" w:cs="Arial"/>
          <w:lang w:val="en-GB"/>
        </w:rPr>
      </w:pPr>
      <w:r>
        <w:rPr>
          <w:rFonts w:ascii="Arial" w:hAnsi="Arial" w:cs="Arial"/>
          <w:b/>
          <w:bCs/>
          <w:lang w:val="en-GB"/>
        </w:rPr>
        <w:t>MAROTHODI METSI (PTY) LTD</w:t>
      </w:r>
      <w:r w:rsidR="00595A24" w:rsidRPr="00266936">
        <w:rPr>
          <w:rFonts w:ascii="Arial" w:hAnsi="Arial" w:cs="Arial"/>
          <w:b/>
          <w:bCs/>
          <w:lang w:val="en-GB"/>
        </w:rPr>
        <w:t xml:space="preserve">     </w:t>
      </w:r>
      <w:r w:rsidR="00595A24" w:rsidRPr="00266936">
        <w:rPr>
          <w:rFonts w:ascii="Arial" w:hAnsi="Arial" w:cs="Arial"/>
          <w:b/>
          <w:bCs/>
          <w:lang w:val="en-GB"/>
        </w:rPr>
        <w:tab/>
      </w:r>
      <w:r w:rsidR="00595A24" w:rsidRPr="00266936">
        <w:rPr>
          <w:rFonts w:ascii="Arial" w:hAnsi="Arial" w:cs="Arial"/>
          <w:b/>
          <w:bCs/>
          <w:lang w:val="en-GB"/>
        </w:rPr>
        <w:tab/>
      </w:r>
      <w:r w:rsidR="00595A24" w:rsidRPr="00266936">
        <w:rPr>
          <w:rFonts w:ascii="Arial" w:hAnsi="Arial" w:cs="Arial"/>
          <w:b/>
          <w:bCs/>
          <w:lang w:val="en-GB"/>
        </w:rPr>
        <w:tab/>
      </w:r>
      <w:r w:rsidR="008C7AC0" w:rsidRPr="00266936">
        <w:rPr>
          <w:rFonts w:ascii="Arial" w:hAnsi="Arial" w:cs="Arial"/>
          <w:b/>
          <w:bCs/>
          <w:lang w:val="en-GB"/>
        </w:rPr>
        <w:t xml:space="preserve">     </w:t>
      </w:r>
      <w:r w:rsidR="00D42606">
        <w:rPr>
          <w:rFonts w:ascii="Arial" w:hAnsi="Arial" w:cs="Arial"/>
          <w:b/>
          <w:bCs/>
          <w:lang w:val="en-GB"/>
        </w:rPr>
        <w:tab/>
      </w:r>
      <w:r w:rsidR="00D42606">
        <w:rPr>
          <w:rFonts w:ascii="Arial" w:hAnsi="Arial" w:cs="Arial"/>
          <w:b/>
          <w:bCs/>
          <w:lang w:val="en-GB"/>
        </w:rPr>
        <w:tab/>
        <w:t xml:space="preserve">     </w:t>
      </w:r>
      <w:r w:rsidR="00595A24" w:rsidRPr="00266936">
        <w:rPr>
          <w:rFonts w:ascii="Arial" w:hAnsi="Arial" w:cs="Arial"/>
          <w:b/>
          <w:bCs/>
          <w:lang w:val="en-GB"/>
        </w:rPr>
        <w:t>APP</w:t>
      </w:r>
      <w:r>
        <w:rPr>
          <w:rFonts w:ascii="Arial" w:hAnsi="Arial" w:cs="Arial"/>
          <w:b/>
          <w:bCs/>
          <w:lang w:val="en-GB"/>
        </w:rPr>
        <w:t>LICANT</w:t>
      </w:r>
    </w:p>
    <w:p w:rsidR="004062BD" w:rsidRDefault="004062BD" w:rsidP="00DC24EE">
      <w:pPr>
        <w:spacing w:line="360" w:lineRule="auto"/>
        <w:jc w:val="both"/>
        <w:rPr>
          <w:rFonts w:ascii="Arial" w:hAnsi="Arial" w:cs="Arial"/>
          <w:lang w:val="en-GB"/>
        </w:rPr>
      </w:pPr>
    </w:p>
    <w:p w:rsidR="00595A24" w:rsidRPr="00266936" w:rsidRDefault="002B4B1E" w:rsidP="00DC24EE">
      <w:pPr>
        <w:spacing w:line="360" w:lineRule="auto"/>
        <w:jc w:val="both"/>
        <w:rPr>
          <w:rFonts w:ascii="Arial" w:hAnsi="Arial" w:cs="Arial"/>
          <w:lang w:val="en-GB"/>
        </w:rPr>
      </w:pPr>
      <w:r w:rsidRPr="00266936">
        <w:rPr>
          <w:rFonts w:ascii="Arial" w:hAnsi="Arial" w:cs="Arial"/>
          <w:lang w:val="en-GB"/>
        </w:rPr>
        <w:t>and</w:t>
      </w:r>
    </w:p>
    <w:p w:rsidR="004062BD" w:rsidRDefault="004062BD" w:rsidP="00DC24EE">
      <w:pPr>
        <w:spacing w:line="360" w:lineRule="auto"/>
        <w:jc w:val="both"/>
        <w:rPr>
          <w:rFonts w:ascii="Arial" w:hAnsi="Arial" w:cs="Arial"/>
          <w:b/>
          <w:bCs/>
          <w:lang w:val="en-GB"/>
        </w:rPr>
      </w:pPr>
    </w:p>
    <w:p w:rsidR="00595A24" w:rsidRDefault="004062BD" w:rsidP="004062BD">
      <w:pPr>
        <w:tabs>
          <w:tab w:val="right" w:pos="9020"/>
        </w:tabs>
        <w:spacing w:line="360" w:lineRule="auto"/>
        <w:jc w:val="both"/>
        <w:rPr>
          <w:rFonts w:ascii="Arial" w:hAnsi="Arial" w:cs="Arial"/>
          <w:b/>
          <w:bCs/>
          <w:lang w:val="en-GB"/>
        </w:rPr>
      </w:pPr>
      <w:r>
        <w:rPr>
          <w:rFonts w:ascii="Arial" w:hAnsi="Arial" w:cs="Arial"/>
          <w:b/>
          <w:bCs/>
          <w:lang w:val="en-GB"/>
        </w:rPr>
        <w:t>UTHUKELA DISTRICT MUNICIPALITY</w:t>
      </w:r>
      <w:r>
        <w:rPr>
          <w:rFonts w:ascii="Arial" w:hAnsi="Arial" w:cs="Arial"/>
          <w:b/>
          <w:bCs/>
          <w:lang w:val="en-GB"/>
        </w:rPr>
        <w:tab/>
        <w:t>FIRST RESPONDENT</w:t>
      </w:r>
    </w:p>
    <w:p w:rsidR="004062BD" w:rsidRDefault="004062BD" w:rsidP="004062BD">
      <w:pPr>
        <w:tabs>
          <w:tab w:val="right" w:pos="9020"/>
        </w:tabs>
        <w:spacing w:line="360" w:lineRule="auto"/>
        <w:jc w:val="both"/>
        <w:rPr>
          <w:rFonts w:ascii="Arial" w:hAnsi="Arial" w:cs="Arial"/>
          <w:b/>
          <w:bCs/>
          <w:lang w:val="en-GB"/>
        </w:rPr>
      </w:pPr>
      <w:r>
        <w:rPr>
          <w:rFonts w:ascii="Arial" w:hAnsi="Arial" w:cs="Arial"/>
          <w:b/>
          <w:bCs/>
          <w:lang w:val="en-GB"/>
        </w:rPr>
        <w:t>PREMIER OF KWAZULU-NATAL</w:t>
      </w:r>
      <w:r>
        <w:rPr>
          <w:rFonts w:ascii="Arial" w:hAnsi="Arial" w:cs="Arial"/>
          <w:b/>
          <w:bCs/>
          <w:lang w:val="en-GB"/>
        </w:rPr>
        <w:tab/>
        <w:t>SECOND RESPONDENT</w:t>
      </w:r>
    </w:p>
    <w:p w:rsidR="004062BD" w:rsidRDefault="004062BD" w:rsidP="004062BD">
      <w:pPr>
        <w:tabs>
          <w:tab w:val="right" w:pos="9020"/>
        </w:tabs>
        <w:spacing w:line="360" w:lineRule="auto"/>
        <w:jc w:val="both"/>
        <w:rPr>
          <w:rFonts w:ascii="Arial" w:hAnsi="Arial" w:cs="Arial"/>
          <w:b/>
          <w:bCs/>
          <w:lang w:val="en-GB"/>
        </w:rPr>
      </w:pPr>
      <w:r>
        <w:rPr>
          <w:rFonts w:ascii="Arial" w:hAnsi="Arial" w:cs="Arial"/>
          <w:b/>
          <w:bCs/>
          <w:lang w:val="en-GB"/>
        </w:rPr>
        <w:t>MEMBER OF THE EXECUTIVE COUNCIL (MEC)</w:t>
      </w:r>
      <w:r>
        <w:rPr>
          <w:rFonts w:ascii="Arial" w:hAnsi="Arial" w:cs="Arial"/>
          <w:b/>
          <w:bCs/>
          <w:lang w:val="en-GB"/>
        </w:rPr>
        <w:tab/>
        <w:t>THIRD RESPONDENT</w:t>
      </w:r>
    </w:p>
    <w:p w:rsidR="004062BD" w:rsidRDefault="004062BD" w:rsidP="004062BD">
      <w:pPr>
        <w:tabs>
          <w:tab w:val="right" w:pos="9020"/>
        </w:tabs>
        <w:spacing w:line="360" w:lineRule="auto"/>
        <w:jc w:val="both"/>
        <w:rPr>
          <w:rFonts w:ascii="Arial" w:hAnsi="Arial" w:cs="Arial"/>
          <w:b/>
          <w:bCs/>
          <w:lang w:val="en-GB"/>
        </w:rPr>
      </w:pPr>
      <w:r>
        <w:rPr>
          <w:rFonts w:ascii="Arial" w:hAnsi="Arial" w:cs="Arial"/>
          <w:b/>
          <w:bCs/>
          <w:lang w:val="en-GB"/>
        </w:rPr>
        <w:t xml:space="preserve">FOR CO-OPERATIVE GOVERNANCE AND </w:t>
      </w:r>
    </w:p>
    <w:p w:rsidR="004062BD" w:rsidRDefault="004062BD" w:rsidP="004062BD">
      <w:pPr>
        <w:tabs>
          <w:tab w:val="right" w:pos="9020"/>
        </w:tabs>
        <w:spacing w:line="360" w:lineRule="auto"/>
        <w:jc w:val="both"/>
        <w:rPr>
          <w:rFonts w:ascii="Arial" w:hAnsi="Arial" w:cs="Arial"/>
          <w:b/>
          <w:bCs/>
          <w:lang w:val="en-GB"/>
        </w:rPr>
      </w:pPr>
      <w:r>
        <w:rPr>
          <w:rFonts w:ascii="Arial" w:hAnsi="Arial" w:cs="Arial"/>
          <w:b/>
          <w:bCs/>
          <w:lang w:val="en-GB"/>
        </w:rPr>
        <w:t>TRADITIONAL AFFAIR</w:t>
      </w:r>
      <w:r w:rsidR="00B62205">
        <w:rPr>
          <w:rFonts w:ascii="Arial" w:hAnsi="Arial" w:cs="Arial"/>
          <w:b/>
          <w:bCs/>
          <w:lang w:val="en-GB"/>
        </w:rPr>
        <w:t>S</w:t>
      </w:r>
      <w:r>
        <w:rPr>
          <w:rFonts w:ascii="Arial" w:hAnsi="Arial" w:cs="Arial"/>
          <w:b/>
          <w:bCs/>
          <w:lang w:val="en-GB"/>
        </w:rPr>
        <w:t xml:space="preserve"> (KWAZULU-NATAL)</w:t>
      </w:r>
    </w:p>
    <w:p w:rsidR="004062BD" w:rsidRDefault="004062BD" w:rsidP="004062BD">
      <w:pPr>
        <w:tabs>
          <w:tab w:val="right" w:pos="9020"/>
        </w:tabs>
        <w:spacing w:line="360" w:lineRule="auto"/>
        <w:jc w:val="both"/>
        <w:rPr>
          <w:rFonts w:ascii="Arial" w:hAnsi="Arial" w:cs="Arial"/>
          <w:b/>
          <w:bCs/>
          <w:lang w:val="en-GB"/>
        </w:rPr>
      </w:pPr>
      <w:r>
        <w:rPr>
          <w:rFonts w:ascii="Arial" w:hAnsi="Arial" w:cs="Arial"/>
          <w:b/>
          <w:bCs/>
          <w:lang w:val="en-GB"/>
        </w:rPr>
        <w:t>PROVINCIAL EXECUTIVE COUNCIL</w:t>
      </w:r>
      <w:r>
        <w:rPr>
          <w:rFonts w:ascii="Arial" w:hAnsi="Arial" w:cs="Arial"/>
          <w:b/>
          <w:bCs/>
          <w:lang w:val="en-GB"/>
        </w:rPr>
        <w:tab/>
        <w:t>FOURTH RESPONDENT</w:t>
      </w:r>
    </w:p>
    <w:p w:rsidR="004062BD" w:rsidRDefault="004062BD" w:rsidP="004062BD">
      <w:pPr>
        <w:tabs>
          <w:tab w:val="right" w:pos="9020"/>
        </w:tabs>
        <w:spacing w:line="360" w:lineRule="auto"/>
        <w:jc w:val="both"/>
        <w:rPr>
          <w:rFonts w:ascii="Arial" w:hAnsi="Arial" w:cs="Arial"/>
          <w:b/>
          <w:bCs/>
          <w:lang w:val="en-GB"/>
        </w:rPr>
      </w:pPr>
      <w:r>
        <w:rPr>
          <w:rFonts w:ascii="Arial" w:hAnsi="Arial" w:cs="Arial"/>
          <w:b/>
          <w:bCs/>
          <w:lang w:val="en-GB"/>
        </w:rPr>
        <w:t>KWAZULU-NATAL</w:t>
      </w:r>
    </w:p>
    <w:p w:rsidR="004062BD" w:rsidRPr="00266936" w:rsidRDefault="004062BD" w:rsidP="004062BD">
      <w:pPr>
        <w:tabs>
          <w:tab w:val="right" w:pos="9020"/>
        </w:tabs>
        <w:spacing w:line="360" w:lineRule="auto"/>
        <w:jc w:val="both"/>
        <w:rPr>
          <w:rFonts w:asciiTheme="minorHAnsi" w:hAnsiTheme="minorHAnsi" w:cstheme="minorHAnsi"/>
          <w:b/>
          <w:bCs/>
          <w:lang w:val="en-GB"/>
        </w:rPr>
      </w:pPr>
      <w:r>
        <w:rPr>
          <w:rFonts w:ascii="Arial" w:hAnsi="Arial" w:cs="Arial"/>
          <w:b/>
          <w:bCs/>
          <w:lang w:val="en-GB"/>
        </w:rPr>
        <w:t>JAMES NKOSINATHI MADONDO N.O.</w:t>
      </w:r>
      <w:r>
        <w:rPr>
          <w:rFonts w:ascii="Arial" w:hAnsi="Arial" w:cs="Arial"/>
          <w:b/>
          <w:bCs/>
          <w:lang w:val="en-GB"/>
        </w:rPr>
        <w:tab/>
        <w:t>FIFTH RESPONDENT</w:t>
      </w:r>
    </w:p>
    <w:p w:rsidR="00EB2484" w:rsidRPr="007B0DD3" w:rsidRDefault="00EB2484" w:rsidP="00EB2484">
      <w:pPr>
        <w:pBdr>
          <w:bottom w:val="single" w:sz="12" w:space="0" w:color="auto"/>
        </w:pBdr>
        <w:tabs>
          <w:tab w:val="right" w:pos="9026"/>
        </w:tabs>
        <w:spacing w:line="360" w:lineRule="auto"/>
        <w:jc w:val="both"/>
        <w:rPr>
          <w:rFonts w:asciiTheme="minorBidi" w:hAnsiTheme="minorBidi"/>
          <w:b/>
          <w:bCs/>
        </w:rPr>
      </w:pPr>
    </w:p>
    <w:p w:rsidR="00EB2484" w:rsidRPr="007B0DD3" w:rsidRDefault="00EB2484" w:rsidP="00EB2484">
      <w:pPr>
        <w:jc w:val="both"/>
        <w:rPr>
          <w:rFonts w:asciiTheme="minorBidi" w:hAnsiTheme="minorBidi"/>
          <w:bCs/>
        </w:rPr>
      </w:pPr>
    </w:p>
    <w:p w:rsidR="00EB2484" w:rsidRDefault="00EB2484" w:rsidP="00EB2484">
      <w:pPr>
        <w:spacing w:line="360" w:lineRule="auto"/>
        <w:jc w:val="both"/>
        <w:rPr>
          <w:rFonts w:asciiTheme="minorBidi" w:hAnsiTheme="minorBidi"/>
          <w:bCs/>
        </w:rPr>
      </w:pPr>
      <w:r w:rsidRPr="00B91D13">
        <w:rPr>
          <w:rFonts w:asciiTheme="minorBidi" w:hAnsiTheme="minorBidi"/>
          <w:b/>
        </w:rPr>
        <w:t>Coram</w:t>
      </w:r>
      <w:r>
        <w:rPr>
          <w:rFonts w:asciiTheme="minorBidi" w:hAnsiTheme="minorBidi"/>
          <w:bCs/>
        </w:rPr>
        <w:t>:</w:t>
      </w:r>
      <w:r>
        <w:rPr>
          <w:rFonts w:asciiTheme="minorBidi" w:hAnsiTheme="minorBidi"/>
          <w:bCs/>
        </w:rPr>
        <w:tab/>
        <w:t xml:space="preserve">Mossop J </w:t>
      </w:r>
    </w:p>
    <w:p w:rsidR="00EB2484" w:rsidRDefault="00EB2484" w:rsidP="00EB2484">
      <w:pPr>
        <w:spacing w:line="360" w:lineRule="auto"/>
        <w:jc w:val="both"/>
        <w:rPr>
          <w:rFonts w:asciiTheme="minorBidi" w:hAnsiTheme="minorBidi"/>
          <w:bCs/>
        </w:rPr>
      </w:pPr>
      <w:r w:rsidRPr="00B91D13">
        <w:rPr>
          <w:rFonts w:asciiTheme="minorBidi" w:hAnsiTheme="minorBidi"/>
          <w:b/>
        </w:rPr>
        <w:t>Heard</w:t>
      </w:r>
      <w:r w:rsidRPr="007B0DD3">
        <w:rPr>
          <w:rFonts w:asciiTheme="minorBidi" w:hAnsiTheme="minorBidi"/>
          <w:bCs/>
        </w:rPr>
        <w:t>:</w:t>
      </w:r>
      <w:r w:rsidRPr="007B0DD3">
        <w:rPr>
          <w:rFonts w:asciiTheme="minorBidi" w:hAnsiTheme="minorBidi"/>
          <w:bCs/>
        </w:rPr>
        <w:tab/>
      </w:r>
      <w:r w:rsidR="00377FEA">
        <w:rPr>
          <w:rFonts w:asciiTheme="minorBidi" w:hAnsiTheme="minorBidi"/>
          <w:bCs/>
        </w:rPr>
        <w:t>26 January</w:t>
      </w:r>
      <w:r w:rsidR="00F45E4B">
        <w:rPr>
          <w:rFonts w:asciiTheme="minorBidi" w:hAnsiTheme="minorBidi"/>
          <w:bCs/>
        </w:rPr>
        <w:t xml:space="preserve"> 2024</w:t>
      </w:r>
    </w:p>
    <w:p w:rsidR="00EB2484" w:rsidRDefault="00EB2484" w:rsidP="00EB2484">
      <w:pPr>
        <w:spacing w:line="360" w:lineRule="auto"/>
        <w:jc w:val="both"/>
        <w:rPr>
          <w:rFonts w:asciiTheme="minorBidi" w:hAnsiTheme="minorBidi"/>
          <w:bCs/>
        </w:rPr>
      </w:pPr>
      <w:r w:rsidRPr="00B91D13">
        <w:rPr>
          <w:rFonts w:asciiTheme="minorBidi" w:hAnsiTheme="minorBidi"/>
          <w:b/>
        </w:rPr>
        <w:t>Delivered</w:t>
      </w:r>
      <w:r w:rsidRPr="007B0DD3">
        <w:rPr>
          <w:rFonts w:asciiTheme="minorBidi" w:hAnsiTheme="minorBidi"/>
          <w:bCs/>
        </w:rPr>
        <w:t>:</w:t>
      </w:r>
      <w:r w:rsidRPr="007B0DD3">
        <w:rPr>
          <w:rFonts w:asciiTheme="minorBidi" w:hAnsiTheme="minorBidi"/>
          <w:bCs/>
        </w:rPr>
        <w:tab/>
      </w:r>
      <w:r w:rsidR="00EA2268">
        <w:rPr>
          <w:rFonts w:asciiTheme="minorBidi" w:hAnsiTheme="minorBidi"/>
          <w:bCs/>
        </w:rPr>
        <w:t xml:space="preserve">20 </w:t>
      </w:r>
      <w:r w:rsidR="00377FEA">
        <w:rPr>
          <w:rFonts w:asciiTheme="minorBidi" w:hAnsiTheme="minorBidi"/>
          <w:bCs/>
        </w:rPr>
        <w:t>February</w:t>
      </w:r>
      <w:r w:rsidR="00F45E4B">
        <w:rPr>
          <w:rFonts w:asciiTheme="minorBidi" w:hAnsiTheme="minorBidi"/>
          <w:bCs/>
        </w:rPr>
        <w:t xml:space="preserve"> 2024</w:t>
      </w:r>
    </w:p>
    <w:p w:rsidR="00595A24" w:rsidRPr="00266936" w:rsidRDefault="00595A24" w:rsidP="00DC24EE">
      <w:pPr>
        <w:pBdr>
          <w:bottom w:val="single" w:sz="12" w:space="1" w:color="auto"/>
        </w:pBdr>
        <w:spacing w:after="100" w:afterAutospacing="1" w:line="360" w:lineRule="auto"/>
        <w:contextualSpacing/>
        <w:jc w:val="both"/>
        <w:rPr>
          <w:rFonts w:ascii="Arial" w:hAnsi="Arial" w:cs="Arial"/>
          <w:b/>
          <w:lang w:val="en-GB"/>
        </w:rPr>
      </w:pPr>
    </w:p>
    <w:p w:rsidR="00595A24" w:rsidRPr="00266936" w:rsidRDefault="00595A24" w:rsidP="004062BD">
      <w:pPr>
        <w:spacing w:after="100" w:afterAutospacing="1"/>
        <w:contextualSpacing/>
        <w:jc w:val="center"/>
        <w:rPr>
          <w:rFonts w:ascii="Arial" w:hAnsi="Arial" w:cs="Arial"/>
          <w:b/>
          <w:lang w:val="en-GB"/>
        </w:rPr>
      </w:pPr>
    </w:p>
    <w:p w:rsidR="00595A24" w:rsidRPr="00266936" w:rsidRDefault="00595A24" w:rsidP="004062BD">
      <w:pPr>
        <w:spacing w:after="100" w:afterAutospacing="1"/>
        <w:contextualSpacing/>
        <w:jc w:val="center"/>
        <w:rPr>
          <w:rFonts w:ascii="Arial" w:hAnsi="Arial" w:cs="Arial"/>
          <w:b/>
          <w:lang w:val="en-GB"/>
        </w:rPr>
      </w:pPr>
      <w:r w:rsidRPr="00266936">
        <w:rPr>
          <w:rFonts w:ascii="Arial" w:hAnsi="Arial" w:cs="Arial"/>
          <w:b/>
          <w:lang w:val="en-GB"/>
        </w:rPr>
        <w:t>ORDER</w:t>
      </w:r>
    </w:p>
    <w:p w:rsidR="00595A24" w:rsidRPr="00266936" w:rsidRDefault="00595A24" w:rsidP="004062BD">
      <w:pPr>
        <w:pBdr>
          <w:bottom w:val="single" w:sz="12" w:space="1" w:color="auto"/>
        </w:pBdr>
        <w:spacing w:after="100" w:afterAutospacing="1"/>
        <w:contextualSpacing/>
        <w:jc w:val="both"/>
        <w:rPr>
          <w:rFonts w:ascii="Arial" w:hAnsi="Arial" w:cs="Arial"/>
          <w:lang w:val="en-GB"/>
        </w:rPr>
      </w:pPr>
    </w:p>
    <w:p w:rsidR="00595A24" w:rsidRPr="00266936" w:rsidRDefault="00595A24" w:rsidP="004062BD">
      <w:pPr>
        <w:spacing w:after="100" w:afterAutospacing="1"/>
        <w:contextualSpacing/>
        <w:jc w:val="both"/>
        <w:rPr>
          <w:rFonts w:ascii="Arial" w:hAnsi="Arial" w:cs="Arial"/>
          <w:lang w:val="en-GB"/>
        </w:rPr>
      </w:pPr>
    </w:p>
    <w:p w:rsidR="00846913" w:rsidRDefault="004062BD" w:rsidP="004062BD">
      <w:pPr>
        <w:spacing w:line="360" w:lineRule="auto"/>
        <w:jc w:val="both"/>
        <w:rPr>
          <w:rFonts w:ascii="Arial" w:hAnsi="Arial" w:cs="Arial"/>
          <w:b/>
          <w:bCs/>
        </w:rPr>
      </w:pPr>
      <w:r>
        <w:rPr>
          <w:rFonts w:ascii="Arial" w:hAnsi="Arial" w:cs="Arial"/>
          <w:b/>
          <w:bCs/>
        </w:rPr>
        <w:t>The following order</w:t>
      </w:r>
      <w:r w:rsidR="00B950DA">
        <w:rPr>
          <w:rFonts w:ascii="Arial" w:hAnsi="Arial" w:cs="Arial"/>
          <w:b/>
          <w:bCs/>
        </w:rPr>
        <w:t xml:space="preserve"> </w:t>
      </w:r>
      <w:r w:rsidR="007830AE">
        <w:rPr>
          <w:rFonts w:ascii="Arial" w:hAnsi="Arial" w:cs="Arial"/>
          <w:b/>
          <w:bCs/>
        </w:rPr>
        <w:t xml:space="preserve">is </w:t>
      </w:r>
      <w:r>
        <w:rPr>
          <w:rFonts w:ascii="Arial" w:hAnsi="Arial" w:cs="Arial"/>
          <w:b/>
          <w:bCs/>
        </w:rPr>
        <w:t>granted</w:t>
      </w:r>
      <w:r w:rsidR="00474DCA" w:rsidRPr="004062BD">
        <w:rPr>
          <w:rFonts w:ascii="Arial" w:hAnsi="Arial" w:cs="Arial"/>
          <w:bCs/>
        </w:rPr>
        <w:t>:</w:t>
      </w:r>
      <w:r w:rsidR="00474DCA" w:rsidRPr="00AC000B">
        <w:rPr>
          <w:rFonts w:ascii="Arial" w:hAnsi="Arial" w:cs="Arial"/>
          <w:b/>
          <w:bCs/>
        </w:rPr>
        <w:t xml:space="preserve"> </w:t>
      </w:r>
    </w:p>
    <w:p w:rsidR="00F611C5" w:rsidRDefault="00F611C5" w:rsidP="00F611C5">
      <w:pPr>
        <w:spacing w:line="360" w:lineRule="auto"/>
        <w:contextualSpacing/>
        <w:jc w:val="both"/>
        <w:rPr>
          <w:rFonts w:ascii="Arial" w:hAnsi="Arial" w:cs="Arial"/>
          <w:lang w:val="en-GB"/>
        </w:rPr>
      </w:pPr>
    </w:p>
    <w:p w:rsidR="00F611C5" w:rsidRPr="00F42759" w:rsidRDefault="00F42759" w:rsidP="00F42759">
      <w:pPr>
        <w:tabs>
          <w:tab w:val="left" w:pos="709"/>
        </w:tabs>
        <w:spacing w:line="360" w:lineRule="auto"/>
        <w:jc w:val="both"/>
        <w:rPr>
          <w:rFonts w:ascii="Arial" w:hAnsi="Arial" w:cs="Arial"/>
        </w:rPr>
      </w:pPr>
      <w:r>
        <w:rPr>
          <w:rFonts w:ascii="Arial" w:eastAsiaTheme="minorHAnsi" w:hAnsi="Arial" w:cs="Arial"/>
          <w:lang w:eastAsia="en-US" w:bidi="ar-SA"/>
        </w:rPr>
        <w:lastRenderedPageBreak/>
        <w:t>1.</w:t>
      </w:r>
      <w:r>
        <w:rPr>
          <w:rFonts w:ascii="Arial" w:eastAsiaTheme="minorHAnsi" w:hAnsi="Arial" w:cs="Arial"/>
          <w:lang w:eastAsia="en-US" w:bidi="ar-SA"/>
        </w:rPr>
        <w:tab/>
      </w:r>
      <w:r w:rsidR="00F611C5" w:rsidRPr="00F42759">
        <w:rPr>
          <w:rFonts w:ascii="Arial" w:hAnsi="Arial" w:cs="Arial"/>
          <w:u w:val="single"/>
        </w:rPr>
        <w:t>The money judgment</w:t>
      </w:r>
      <w:r w:rsidR="00F611C5" w:rsidRPr="00F42759">
        <w:rPr>
          <w:rFonts w:ascii="Arial" w:hAnsi="Arial" w:cs="Arial"/>
        </w:rPr>
        <w:t>:</w:t>
      </w:r>
    </w:p>
    <w:p w:rsidR="00F611C5" w:rsidRPr="00F42759" w:rsidRDefault="00F42759" w:rsidP="00F42759">
      <w:pPr>
        <w:tabs>
          <w:tab w:val="left" w:pos="709"/>
        </w:tabs>
        <w:spacing w:line="360" w:lineRule="auto"/>
        <w:jc w:val="both"/>
        <w:rPr>
          <w:rFonts w:ascii="Arial" w:hAnsi="Arial" w:cs="Arial"/>
        </w:rPr>
      </w:pPr>
      <w:r>
        <w:rPr>
          <w:rFonts w:ascii="Arial" w:eastAsiaTheme="minorHAnsi" w:hAnsi="Arial" w:cs="Arial"/>
          <w:lang w:eastAsia="en-US" w:bidi="ar-SA"/>
        </w:rPr>
        <w:t>(a)</w:t>
      </w:r>
      <w:r>
        <w:rPr>
          <w:rFonts w:ascii="Arial" w:eastAsiaTheme="minorHAnsi" w:hAnsi="Arial" w:cs="Arial"/>
          <w:lang w:eastAsia="en-US" w:bidi="ar-SA"/>
        </w:rPr>
        <w:tab/>
      </w:r>
      <w:r w:rsidR="00F611C5" w:rsidRPr="00F42759">
        <w:rPr>
          <w:rFonts w:ascii="Arial" w:hAnsi="Arial" w:cs="Arial"/>
        </w:rPr>
        <w:t>The first respondent’s application for a money judgment against the applicant, dated 14 December 2023, is adjourned sine die;</w:t>
      </w:r>
    </w:p>
    <w:p w:rsidR="00F611C5" w:rsidRPr="00F42759" w:rsidRDefault="00F42759" w:rsidP="00F42759">
      <w:pPr>
        <w:tabs>
          <w:tab w:val="left" w:pos="709"/>
        </w:tabs>
        <w:spacing w:line="360" w:lineRule="auto"/>
        <w:jc w:val="both"/>
        <w:rPr>
          <w:rFonts w:ascii="Arial" w:hAnsi="Arial" w:cs="Arial"/>
        </w:rPr>
      </w:pPr>
      <w:r>
        <w:rPr>
          <w:rFonts w:ascii="Arial" w:eastAsiaTheme="minorHAnsi" w:hAnsi="Arial" w:cs="Arial"/>
          <w:lang w:eastAsia="en-US" w:bidi="ar-SA"/>
        </w:rPr>
        <w:t>(b)</w:t>
      </w:r>
      <w:r>
        <w:rPr>
          <w:rFonts w:ascii="Arial" w:eastAsiaTheme="minorHAnsi" w:hAnsi="Arial" w:cs="Arial"/>
          <w:lang w:eastAsia="en-US" w:bidi="ar-SA"/>
        </w:rPr>
        <w:tab/>
      </w:r>
      <w:r w:rsidR="00F611C5" w:rsidRPr="00F42759">
        <w:rPr>
          <w:rFonts w:ascii="Arial" w:hAnsi="Arial" w:cs="Arial"/>
        </w:rPr>
        <w:t>All questions of costs are reserved.</w:t>
      </w:r>
    </w:p>
    <w:p w:rsidR="00F611C5" w:rsidRPr="00F42759" w:rsidRDefault="00F42759" w:rsidP="00F42759">
      <w:pPr>
        <w:tabs>
          <w:tab w:val="left" w:pos="709"/>
        </w:tabs>
        <w:spacing w:line="360" w:lineRule="auto"/>
        <w:jc w:val="both"/>
        <w:rPr>
          <w:rFonts w:ascii="Arial" w:hAnsi="Arial" w:cs="Arial"/>
        </w:rPr>
      </w:pPr>
      <w:r>
        <w:rPr>
          <w:rFonts w:ascii="Arial" w:eastAsiaTheme="minorHAnsi" w:hAnsi="Arial" w:cs="Arial"/>
          <w:lang w:eastAsia="en-US" w:bidi="ar-SA"/>
        </w:rPr>
        <w:t>2.</w:t>
      </w:r>
      <w:r>
        <w:rPr>
          <w:rFonts w:ascii="Arial" w:eastAsiaTheme="minorHAnsi" w:hAnsi="Arial" w:cs="Arial"/>
          <w:lang w:eastAsia="en-US" w:bidi="ar-SA"/>
        </w:rPr>
        <w:tab/>
      </w:r>
      <w:r w:rsidR="00F611C5" w:rsidRPr="00F42759">
        <w:rPr>
          <w:rFonts w:ascii="Arial" w:hAnsi="Arial" w:cs="Arial"/>
          <w:u w:val="single"/>
        </w:rPr>
        <w:t>The urgent application</w:t>
      </w:r>
      <w:r w:rsidR="00F611C5" w:rsidRPr="00F42759">
        <w:rPr>
          <w:rFonts w:ascii="Arial" w:hAnsi="Arial" w:cs="Arial"/>
        </w:rPr>
        <w:t>:</w:t>
      </w:r>
    </w:p>
    <w:p w:rsidR="00F611C5" w:rsidRPr="00F42759" w:rsidRDefault="00F42759" w:rsidP="00F42759">
      <w:pPr>
        <w:tabs>
          <w:tab w:val="left" w:pos="709"/>
        </w:tabs>
        <w:spacing w:line="360" w:lineRule="auto"/>
        <w:jc w:val="both"/>
        <w:rPr>
          <w:rFonts w:ascii="Arial" w:hAnsi="Arial" w:cs="Arial"/>
        </w:rPr>
      </w:pPr>
      <w:r>
        <w:rPr>
          <w:rFonts w:ascii="Arial" w:eastAsiaTheme="minorHAnsi" w:hAnsi="Arial" w:cs="Arial"/>
          <w:lang w:eastAsia="en-US" w:bidi="ar-SA"/>
        </w:rPr>
        <w:t>(a)</w:t>
      </w:r>
      <w:r>
        <w:rPr>
          <w:rFonts w:ascii="Arial" w:eastAsiaTheme="minorHAnsi" w:hAnsi="Arial" w:cs="Arial"/>
          <w:lang w:eastAsia="en-US" w:bidi="ar-SA"/>
        </w:rPr>
        <w:tab/>
      </w:r>
      <w:r w:rsidR="00F611C5" w:rsidRPr="00F42759">
        <w:rPr>
          <w:rFonts w:ascii="Arial" w:hAnsi="Arial" w:cs="Arial"/>
        </w:rPr>
        <w:t xml:space="preserve">The applicant’s urgent application, dated </w:t>
      </w:r>
      <w:r w:rsidR="00707DE4" w:rsidRPr="00F42759">
        <w:rPr>
          <w:rFonts w:ascii="Arial" w:hAnsi="Arial" w:cs="Arial"/>
        </w:rPr>
        <w:t>27 June 2022</w:t>
      </w:r>
      <w:r w:rsidR="00F611C5" w:rsidRPr="00F42759">
        <w:rPr>
          <w:rFonts w:ascii="Arial" w:hAnsi="Arial" w:cs="Arial"/>
        </w:rPr>
        <w:t>, is dismissed;</w:t>
      </w:r>
    </w:p>
    <w:p w:rsidR="00F611C5" w:rsidRPr="00F42759" w:rsidRDefault="00F42759" w:rsidP="00F42759">
      <w:pPr>
        <w:tabs>
          <w:tab w:val="left" w:pos="709"/>
        </w:tabs>
        <w:spacing w:line="360" w:lineRule="auto"/>
        <w:jc w:val="both"/>
        <w:rPr>
          <w:rFonts w:ascii="Arial" w:hAnsi="Arial" w:cs="Arial"/>
        </w:rPr>
      </w:pPr>
      <w:r>
        <w:rPr>
          <w:rFonts w:ascii="Arial" w:eastAsiaTheme="minorHAnsi" w:hAnsi="Arial" w:cs="Arial"/>
          <w:lang w:eastAsia="en-US" w:bidi="ar-SA"/>
        </w:rPr>
        <w:t>(b)</w:t>
      </w:r>
      <w:r>
        <w:rPr>
          <w:rFonts w:ascii="Arial" w:eastAsiaTheme="minorHAnsi" w:hAnsi="Arial" w:cs="Arial"/>
          <w:lang w:eastAsia="en-US" w:bidi="ar-SA"/>
        </w:rPr>
        <w:tab/>
      </w:r>
      <w:r w:rsidR="00F611C5" w:rsidRPr="00F42759">
        <w:rPr>
          <w:rFonts w:ascii="Arial" w:hAnsi="Arial" w:cs="Arial"/>
        </w:rPr>
        <w:t>The applicant shall pay the respondents’ costs</w:t>
      </w:r>
      <w:r w:rsidR="00EA2BF2" w:rsidRPr="00F42759">
        <w:rPr>
          <w:rFonts w:ascii="Arial" w:hAnsi="Arial" w:cs="Arial"/>
        </w:rPr>
        <w:t>,</w:t>
      </w:r>
      <w:r w:rsidR="00F611C5" w:rsidRPr="00F42759">
        <w:rPr>
          <w:rFonts w:ascii="Arial" w:hAnsi="Arial" w:cs="Arial"/>
        </w:rPr>
        <w:t xml:space="preserve"> such to include the costs of </w:t>
      </w:r>
      <w:r w:rsidR="0010579F" w:rsidRPr="00F42759">
        <w:rPr>
          <w:rFonts w:ascii="Arial" w:hAnsi="Arial" w:cs="Arial"/>
        </w:rPr>
        <w:t>two</w:t>
      </w:r>
      <w:r w:rsidR="00EA2BF2" w:rsidRPr="00F42759">
        <w:rPr>
          <w:rFonts w:ascii="Arial" w:hAnsi="Arial" w:cs="Arial"/>
        </w:rPr>
        <w:t xml:space="preserve"> </w:t>
      </w:r>
      <w:r w:rsidR="00F611C5" w:rsidRPr="00F42759">
        <w:rPr>
          <w:rFonts w:ascii="Arial" w:hAnsi="Arial" w:cs="Arial"/>
        </w:rPr>
        <w:t>counsel where so employed.</w:t>
      </w:r>
    </w:p>
    <w:p w:rsidR="00F611C5" w:rsidRPr="00F42759" w:rsidRDefault="00F42759" w:rsidP="00F42759">
      <w:pPr>
        <w:tabs>
          <w:tab w:val="left" w:pos="709"/>
        </w:tabs>
        <w:spacing w:line="360" w:lineRule="auto"/>
        <w:jc w:val="both"/>
        <w:rPr>
          <w:rFonts w:ascii="Arial" w:hAnsi="Arial" w:cs="Arial"/>
        </w:rPr>
      </w:pPr>
      <w:r>
        <w:rPr>
          <w:rFonts w:ascii="Arial" w:eastAsiaTheme="minorHAnsi" w:hAnsi="Arial" w:cs="Arial"/>
          <w:lang w:eastAsia="en-US" w:bidi="ar-SA"/>
        </w:rPr>
        <w:t>3.</w:t>
      </w:r>
      <w:r>
        <w:rPr>
          <w:rFonts w:ascii="Arial" w:eastAsiaTheme="minorHAnsi" w:hAnsi="Arial" w:cs="Arial"/>
          <w:lang w:eastAsia="en-US" w:bidi="ar-SA"/>
        </w:rPr>
        <w:tab/>
      </w:r>
      <w:r w:rsidR="00F611C5" w:rsidRPr="00F42759">
        <w:rPr>
          <w:rFonts w:ascii="Arial" w:hAnsi="Arial" w:cs="Arial"/>
          <w:u w:val="single"/>
        </w:rPr>
        <w:t>The rectification application</w:t>
      </w:r>
      <w:r w:rsidR="00F611C5" w:rsidRPr="00F42759">
        <w:rPr>
          <w:rFonts w:ascii="Arial" w:hAnsi="Arial" w:cs="Arial"/>
        </w:rPr>
        <w:t>:</w:t>
      </w:r>
    </w:p>
    <w:p w:rsidR="00F611C5" w:rsidRDefault="00F611C5" w:rsidP="00F611C5">
      <w:pPr>
        <w:tabs>
          <w:tab w:val="left" w:pos="709"/>
        </w:tabs>
        <w:spacing w:line="360" w:lineRule="auto"/>
        <w:jc w:val="both"/>
        <w:rPr>
          <w:rFonts w:ascii="Arial" w:hAnsi="Arial" w:cs="Arial"/>
        </w:rPr>
      </w:pPr>
      <w:r>
        <w:rPr>
          <w:rFonts w:ascii="Arial" w:hAnsi="Arial" w:cs="Arial"/>
        </w:rPr>
        <w:t>(a)</w:t>
      </w:r>
      <w:r>
        <w:rPr>
          <w:rFonts w:ascii="Arial" w:hAnsi="Arial" w:cs="Arial"/>
        </w:rPr>
        <w:tab/>
        <w:t xml:space="preserve">The applicant’s rectification application, dated </w:t>
      </w:r>
      <w:r w:rsidR="006533B5">
        <w:rPr>
          <w:rFonts w:ascii="Arial" w:hAnsi="Arial" w:cs="Arial"/>
        </w:rPr>
        <w:t>22 February 2023</w:t>
      </w:r>
      <w:r>
        <w:rPr>
          <w:rFonts w:ascii="Arial" w:hAnsi="Arial" w:cs="Arial"/>
        </w:rPr>
        <w:t>, is dismissed;</w:t>
      </w:r>
    </w:p>
    <w:p w:rsidR="00EA2BF2" w:rsidRPr="002F1EF9" w:rsidRDefault="002F1EF9" w:rsidP="002F1EF9">
      <w:pPr>
        <w:tabs>
          <w:tab w:val="left" w:pos="709"/>
        </w:tabs>
        <w:spacing w:line="360" w:lineRule="auto"/>
        <w:jc w:val="both"/>
        <w:rPr>
          <w:rFonts w:ascii="Arial" w:hAnsi="Arial" w:cs="Arial"/>
        </w:rPr>
      </w:pPr>
      <w:r>
        <w:rPr>
          <w:rFonts w:ascii="Arial" w:hAnsi="Arial" w:cs="Arial"/>
        </w:rPr>
        <w:t>(b)</w:t>
      </w:r>
      <w:r>
        <w:rPr>
          <w:rFonts w:ascii="Arial" w:hAnsi="Arial" w:cs="Arial"/>
        </w:rPr>
        <w:tab/>
      </w:r>
      <w:r w:rsidR="00F611C5" w:rsidRPr="002F1EF9">
        <w:rPr>
          <w:rFonts w:ascii="Arial" w:hAnsi="Arial" w:cs="Arial"/>
        </w:rPr>
        <w:t>The applicant shall pay the respondents’ costs</w:t>
      </w:r>
      <w:r w:rsidR="00EA2BF2" w:rsidRPr="002F1EF9">
        <w:rPr>
          <w:rFonts w:ascii="Arial" w:hAnsi="Arial" w:cs="Arial"/>
        </w:rPr>
        <w:t>,</w:t>
      </w:r>
      <w:r w:rsidR="00F611C5" w:rsidRPr="002F1EF9">
        <w:rPr>
          <w:rFonts w:ascii="Arial" w:hAnsi="Arial" w:cs="Arial"/>
        </w:rPr>
        <w:t xml:space="preserve"> </w:t>
      </w:r>
      <w:r w:rsidR="00EA2BF2" w:rsidRPr="002F1EF9">
        <w:rPr>
          <w:rFonts w:ascii="Arial" w:hAnsi="Arial" w:cs="Arial"/>
        </w:rPr>
        <w:t>such to include the costs of</w:t>
      </w:r>
      <w:r w:rsidR="0010579F">
        <w:rPr>
          <w:rFonts w:ascii="Arial" w:hAnsi="Arial" w:cs="Arial"/>
        </w:rPr>
        <w:t xml:space="preserve"> two</w:t>
      </w:r>
      <w:r w:rsidR="00EA2BF2" w:rsidRPr="002F1EF9">
        <w:rPr>
          <w:rFonts w:ascii="Arial" w:hAnsi="Arial" w:cs="Arial"/>
        </w:rPr>
        <w:t xml:space="preserve"> counsel where so employed.</w:t>
      </w:r>
    </w:p>
    <w:p w:rsidR="008C154B" w:rsidRDefault="00C8039C" w:rsidP="00EA2BF2">
      <w:pPr>
        <w:pStyle w:val="ListParagraph"/>
        <w:tabs>
          <w:tab w:val="left" w:pos="709"/>
        </w:tabs>
        <w:spacing w:line="360" w:lineRule="auto"/>
        <w:ind w:left="0"/>
        <w:jc w:val="both"/>
        <w:rPr>
          <w:rFonts w:ascii="Arial" w:hAnsi="Arial" w:cs="Arial"/>
        </w:rPr>
      </w:pPr>
      <w:r w:rsidRPr="0045582D">
        <w:rPr>
          <w:rFonts w:ascii="Arial" w:hAnsi="Arial" w:cs="Arial"/>
        </w:rPr>
        <w:t>4.</w:t>
      </w:r>
      <w:r w:rsidRPr="0045582D">
        <w:rPr>
          <w:rFonts w:ascii="Arial" w:hAnsi="Arial" w:cs="Arial"/>
        </w:rPr>
        <w:tab/>
      </w:r>
      <w:r w:rsidR="008C154B" w:rsidRPr="00F83059">
        <w:rPr>
          <w:rFonts w:ascii="Arial" w:hAnsi="Arial" w:cs="Arial"/>
          <w:u w:val="single"/>
        </w:rPr>
        <w:t>The review application</w:t>
      </w:r>
      <w:r w:rsidR="008C154B">
        <w:rPr>
          <w:rFonts w:ascii="Arial" w:hAnsi="Arial" w:cs="Arial"/>
        </w:rPr>
        <w:t>:</w:t>
      </w:r>
    </w:p>
    <w:p w:rsidR="008C154B" w:rsidRPr="00F42759" w:rsidRDefault="00F42759" w:rsidP="00F42759">
      <w:pPr>
        <w:tabs>
          <w:tab w:val="left" w:pos="709"/>
        </w:tabs>
        <w:spacing w:line="360" w:lineRule="auto"/>
        <w:jc w:val="both"/>
        <w:rPr>
          <w:rFonts w:ascii="Arial" w:hAnsi="Arial" w:cs="Arial"/>
        </w:rPr>
      </w:pPr>
      <w:r>
        <w:rPr>
          <w:rFonts w:ascii="Arial" w:eastAsiaTheme="minorHAnsi" w:hAnsi="Arial" w:cs="Arial"/>
          <w:lang w:eastAsia="en-US" w:bidi="ar-SA"/>
        </w:rPr>
        <w:t>(a)</w:t>
      </w:r>
      <w:r>
        <w:rPr>
          <w:rFonts w:ascii="Arial" w:eastAsiaTheme="minorHAnsi" w:hAnsi="Arial" w:cs="Arial"/>
          <w:lang w:eastAsia="en-US" w:bidi="ar-SA"/>
        </w:rPr>
        <w:tab/>
      </w:r>
      <w:r w:rsidR="008C154B" w:rsidRPr="00F42759">
        <w:rPr>
          <w:rFonts w:ascii="Arial" w:hAnsi="Arial" w:cs="Arial"/>
        </w:rPr>
        <w:t xml:space="preserve">The decision of the first respondent to award tender number 01/2020-PRS to </w:t>
      </w:r>
      <w:r w:rsidR="007A3FD9" w:rsidRPr="00F42759">
        <w:rPr>
          <w:rFonts w:ascii="Arial" w:hAnsi="Arial" w:cs="Arial"/>
        </w:rPr>
        <w:t xml:space="preserve">the </w:t>
      </w:r>
      <w:r w:rsidR="008C154B" w:rsidRPr="00F42759">
        <w:rPr>
          <w:rFonts w:ascii="Arial" w:hAnsi="Arial" w:cs="Arial"/>
        </w:rPr>
        <w:t>Marothodi Metsi and Sebata Group is reviewed</w:t>
      </w:r>
      <w:r w:rsidR="0045582D" w:rsidRPr="00F42759">
        <w:rPr>
          <w:rFonts w:ascii="Arial" w:hAnsi="Arial" w:cs="Arial"/>
        </w:rPr>
        <w:t>, declared invalid</w:t>
      </w:r>
      <w:r w:rsidR="008C154B" w:rsidRPr="00F42759">
        <w:rPr>
          <w:rFonts w:ascii="Arial" w:hAnsi="Arial" w:cs="Arial"/>
        </w:rPr>
        <w:t xml:space="preserve"> and </w:t>
      </w:r>
      <w:r w:rsidR="0045582D" w:rsidRPr="00F42759">
        <w:rPr>
          <w:rFonts w:ascii="Arial" w:hAnsi="Arial" w:cs="Arial"/>
        </w:rPr>
        <w:t xml:space="preserve">is </w:t>
      </w:r>
      <w:r w:rsidR="008C154B" w:rsidRPr="00F42759">
        <w:rPr>
          <w:rFonts w:ascii="Arial" w:hAnsi="Arial" w:cs="Arial"/>
        </w:rPr>
        <w:t>set aside;</w:t>
      </w:r>
    </w:p>
    <w:p w:rsidR="008C154B" w:rsidRPr="00F42759" w:rsidRDefault="00F42759" w:rsidP="00F42759">
      <w:pPr>
        <w:tabs>
          <w:tab w:val="left" w:pos="709"/>
        </w:tabs>
        <w:spacing w:line="360" w:lineRule="auto"/>
        <w:jc w:val="both"/>
        <w:rPr>
          <w:rFonts w:ascii="Arial" w:hAnsi="Arial" w:cs="Arial"/>
        </w:rPr>
      </w:pPr>
      <w:r>
        <w:rPr>
          <w:rFonts w:ascii="Arial" w:eastAsiaTheme="minorHAnsi" w:hAnsi="Arial" w:cs="Arial"/>
          <w:lang w:eastAsia="en-US" w:bidi="ar-SA"/>
        </w:rPr>
        <w:t>(b)</w:t>
      </w:r>
      <w:r>
        <w:rPr>
          <w:rFonts w:ascii="Arial" w:eastAsiaTheme="minorHAnsi" w:hAnsi="Arial" w:cs="Arial"/>
          <w:lang w:eastAsia="en-US" w:bidi="ar-SA"/>
        </w:rPr>
        <w:tab/>
      </w:r>
      <w:r w:rsidR="008C154B" w:rsidRPr="00F42759">
        <w:rPr>
          <w:rFonts w:ascii="Arial" w:hAnsi="Arial" w:cs="Arial"/>
        </w:rPr>
        <w:t xml:space="preserve">The contract concluded between the first respondent and </w:t>
      </w:r>
      <w:r w:rsidR="007A3FD9" w:rsidRPr="00F42759">
        <w:rPr>
          <w:rFonts w:ascii="Arial" w:hAnsi="Arial" w:cs="Arial"/>
        </w:rPr>
        <w:t xml:space="preserve">the </w:t>
      </w:r>
      <w:r w:rsidR="008C154B" w:rsidRPr="00F42759">
        <w:rPr>
          <w:rFonts w:ascii="Arial" w:hAnsi="Arial" w:cs="Arial"/>
        </w:rPr>
        <w:t>Marothodi Metsi and Sebata Group</w:t>
      </w:r>
      <w:r w:rsidR="007A3FD9" w:rsidRPr="00F42759">
        <w:rPr>
          <w:rFonts w:ascii="Arial" w:hAnsi="Arial" w:cs="Arial"/>
        </w:rPr>
        <w:t>, dated 30 July 2020,</w:t>
      </w:r>
      <w:r w:rsidR="008C154B" w:rsidRPr="00F42759">
        <w:rPr>
          <w:rFonts w:ascii="Arial" w:hAnsi="Arial" w:cs="Arial"/>
        </w:rPr>
        <w:t xml:space="preserve"> pursuant to the award of tender number 01/2020-PRS to </w:t>
      </w:r>
      <w:r w:rsidR="007A3FD9" w:rsidRPr="00F42759">
        <w:rPr>
          <w:rFonts w:ascii="Arial" w:hAnsi="Arial" w:cs="Arial"/>
        </w:rPr>
        <w:t xml:space="preserve">the </w:t>
      </w:r>
      <w:r w:rsidR="008C154B" w:rsidRPr="00F42759">
        <w:rPr>
          <w:rFonts w:ascii="Arial" w:hAnsi="Arial" w:cs="Arial"/>
        </w:rPr>
        <w:t xml:space="preserve">Marothodi Metsi and Sebata Group, is </w:t>
      </w:r>
      <w:r w:rsidR="00B26A72" w:rsidRPr="00F42759">
        <w:rPr>
          <w:rFonts w:ascii="Arial" w:hAnsi="Arial" w:cs="Arial"/>
        </w:rPr>
        <w:t xml:space="preserve">reviewed, </w:t>
      </w:r>
      <w:r w:rsidR="008C154B" w:rsidRPr="00F42759">
        <w:rPr>
          <w:rFonts w:ascii="Arial" w:hAnsi="Arial" w:cs="Arial"/>
        </w:rPr>
        <w:t>declared invalid and is set aside.</w:t>
      </w:r>
    </w:p>
    <w:p w:rsidR="00EA2BF2" w:rsidRPr="00F42759" w:rsidRDefault="00F42759" w:rsidP="00F42759">
      <w:pPr>
        <w:tabs>
          <w:tab w:val="left" w:pos="709"/>
        </w:tabs>
        <w:spacing w:line="360" w:lineRule="auto"/>
        <w:jc w:val="both"/>
        <w:rPr>
          <w:rFonts w:ascii="Arial" w:hAnsi="Arial" w:cs="Arial"/>
        </w:rPr>
      </w:pPr>
      <w:r w:rsidRPr="00EA2BF2">
        <w:rPr>
          <w:rFonts w:ascii="Arial" w:eastAsiaTheme="minorHAnsi" w:hAnsi="Arial" w:cs="Arial"/>
          <w:lang w:eastAsia="en-US" w:bidi="ar-SA"/>
        </w:rPr>
        <w:t>(c)</w:t>
      </w:r>
      <w:r w:rsidRPr="00EA2BF2">
        <w:rPr>
          <w:rFonts w:ascii="Arial" w:eastAsiaTheme="minorHAnsi" w:hAnsi="Arial" w:cs="Arial"/>
          <w:lang w:eastAsia="en-US" w:bidi="ar-SA"/>
        </w:rPr>
        <w:tab/>
      </w:r>
      <w:r w:rsidR="008C154B" w:rsidRPr="00F42759">
        <w:rPr>
          <w:rFonts w:ascii="Arial" w:hAnsi="Arial" w:cs="Arial"/>
        </w:rPr>
        <w:t>The applicant shall pay the respondents’ costs</w:t>
      </w:r>
      <w:r w:rsidR="00EA2BF2" w:rsidRPr="00F42759">
        <w:rPr>
          <w:rFonts w:ascii="Arial" w:hAnsi="Arial" w:cs="Arial"/>
        </w:rPr>
        <w:t>,</w:t>
      </w:r>
      <w:r w:rsidR="008C154B" w:rsidRPr="00F42759">
        <w:rPr>
          <w:rFonts w:ascii="Arial" w:hAnsi="Arial" w:cs="Arial"/>
        </w:rPr>
        <w:t xml:space="preserve"> </w:t>
      </w:r>
      <w:r w:rsidR="00EA2BF2" w:rsidRPr="00F42759">
        <w:rPr>
          <w:rFonts w:ascii="Arial" w:hAnsi="Arial" w:cs="Arial"/>
        </w:rPr>
        <w:t xml:space="preserve">such to include the costs of </w:t>
      </w:r>
      <w:r w:rsidR="009001A0" w:rsidRPr="00F42759">
        <w:rPr>
          <w:rFonts w:ascii="Arial" w:hAnsi="Arial" w:cs="Arial"/>
        </w:rPr>
        <w:t xml:space="preserve">two </w:t>
      </w:r>
      <w:r w:rsidR="00EA2BF2" w:rsidRPr="00F42759">
        <w:rPr>
          <w:rFonts w:ascii="Arial" w:hAnsi="Arial" w:cs="Arial"/>
        </w:rPr>
        <w:t>counsel where so employed.</w:t>
      </w:r>
    </w:p>
    <w:p w:rsidR="00F67B41" w:rsidRPr="00EA2BF2" w:rsidRDefault="00F67B41" w:rsidP="00EA2BF2">
      <w:pPr>
        <w:pStyle w:val="ListParagraph"/>
        <w:pBdr>
          <w:bottom w:val="single" w:sz="12" w:space="1" w:color="auto"/>
        </w:pBdr>
        <w:tabs>
          <w:tab w:val="left" w:pos="709"/>
        </w:tabs>
        <w:spacing w:line="360" w:lineRule="auto"/>
        <w:ind w:left="0"/>
        <w:jc w:val="both"/>
        <w:rPr>
          <w:rFonts w:ascii="Arial" w:hAnsi="Arial" w:cs="Arial"/>
          <w:lang w:val="en-GB"/>
        </w:rPr>
      </w:pPr>
    </w:p>
    <w:p w:rsidR="00D93A13" w:rsidRPr="00266936" w:rsidRDefault="00D93A13" w:rsidP="004062BD">
      <w:pPr>
        <w:contextualSpacing/>
        <w:jc w:val="both"/>
        <w:rPr>
          <w:rFonts w:ascii="Arial" w:hAnsi="Arial" w:cs="Arial"/>
          <w:lang w:val="en-GB"/>
        </w:rPr>
      </w:pPr>
    </w:p>
    <w:p w:rsidR="00595A24" w:rsidRPr="00266936" w:rsidRDefault="00595A24" w:rsidP="004062BD">
      <w:pPr>
        <w:contextualSpacing/>
        <w:jc w:val="center"/>
        <w:rPr>
          <w:rFonts w:ascii="Arial" w:hAnsi="Arial" w:cs="Arial"/>
          <w:b/>
          <w:lang w:val="en-GB"/>
        </w:rPr>
      </w:pPr>
      <w:r w:rsidRPr="00266936">
        <w:rPr>
          <w:rFonts w:ascii="Arial" w:hAnsi="Arial" w:cs="Arial"/>
          <w:b/>
          <w:lang w:val="en-GB"/>
        </w:rPr>
        <w:t>JUDGMENT</w:t>
      </w:r>
    </w:p>
    <w:p w:rsidR="00595A24" w:rsidRPr="00266936" w:rsidRDefault="00595A24" w:rsidP="004062BD">
      <w:pPr>
        <w:pBdr>
          <w:bottom w:val="single" w:sz="12" w:space="1" w:color="auto"/>
        </w:pBdr>
        <w:contextualSpacing/>
        <w:jc w:val="center"/>
        <w:rPr>
          <w:rFonts w:ascii="Arial" w:hAnsi="Arial" w:cs="Arial"/>
          <w:b/>
          <w:lang w:val="en-GB"/>
        </w:rPr>
      </w:pPr>
    </w:p>
    <w:p w:rsidR="00655D4B" w:rsidRDefault="00655D4B" w:rsidP="004062BD">
      <w:pPr>
        <w:jc w:val="both"/>
        <w:rPr>
          <w:rFonts w:ascii="Arial" w:hAnsi="Arial" w:cs="Arial"/>
          <w:b/>
          <w:bCs/>
          <w:lang w:val="en-GB"/>
        </w:rPr>
      </w:pPr>
    </w:p>
    <w:p w:rsidR="00061B17" w:rsidRDefault="00AF6C4B" w:rsidP="00620D1E">
      <w:pPr>
        <w:spacing w:line="360" w:lineRule="auto"/>
        <w:contextualSpacing/>
        <w:jc w:val="both"/>
        <w:rPr>
          <w:rFonts w:ascii="Arial" w:hAnsi="Arial" w:cs="Arial"/>
          <w:b/>
          <w:bCs/>
          <w:lang w:val="en-GB"/>
        </w:rPr>
      </w:pPr>
      <w:r>
        <w:rPr>
          <w:rFonts w:ascii="Arial" w:hAnsi="Arial" w:cs="Arial"/>
          <w:b/>
          <w:bCs/>
          <w:lang w:val="en-GB"/>
        </w:rPr>
        <w:t>MOSSOP J:</w:t>
      </w:r>
      <w:r w:rsidR="009A7D91">
        <w:rPr>
          <w:rFonts w:ascii="Arial" w:hAnsi="Arial" w:cs="Arial"/>
          <w:b/>
          <w:bCs/>
          <w:lang w:val="en-GB"/>
        </w:rPr>
        <w:t xml:space="preserve"> </w:t>
      </w:r>
    </w:p>
    <w:p w:rsidR="001337FA" w:rsidRDefault="001337FA" w:rsidP="00620D1E">
      <w:pPr>
        <w:spacing w:line="360" w:lineRule="auto"/>
        <w:contextualSpacing/>
        <w:jc w:val="both"/>
        <w:rPr>
          <w:rFonts w:ascii="Arial" w:hAnsi="Arial" w:cs="Arial"/>
          <w:b/>
          <w:bCs/>
          <w:lang w:val="en-GB"/>
        </w:rPr>
      </w:pPr>
    </w:p>
    <w:p w:rsidR="00CE5E2B" w:rsidRPr="009001A0" w:rsidRDefault="00CE5E2B" w:rsidP="00620D1E">
      <w:pPr>
        <w:spacing w:line="360" w:lineRule="auto"/>
        <w:contextualSpacing/>
        <w:jc w:val="both"/>
        <w:rPr>
          <w:rFonts w:ascii="Arial" w:hAnsi="Arial" w:cs="Arial"/>
          <w:b/>
          <w:bCs/>
          <w:lang w:val="en-GB"/>
        </w:rPr>
      </w:pPr>
      <w:r w:rsidRPr="009001A0">
        <w:rPr>
          <w:rFonts w:ascii="Arial" w:hAnsi="Arial" w:cs="Arial"/>
          <w:b/>
          <w:bCs/>
          <w:lang w:val="en-GB"/>
        </w:rPr>
        <w:t>Introduction</w:t>
      </w:r>
    </w:p>
    <w:p w:rsidR="00842363" w:rsidRPr="00F42759" w:rsidRDefault="00F42759" w:rsidP="00F42759">
      <w:pPr>
        <w:tabs>
          <w:tab w:val="left" w:pos="709"/>
        </w:tabs>
        <w:spacing w:line="360" w:lineRule="auto"/>
        <w:jc w:val="both"/>
        <w:rPr>
          <w:rFonts w:ascii="Arial" w:hAnsi="Arial" w:cs="Arial"/>
          <w:bCs/>
          <w:lang w:val="en-GB"/>
        </w:rPr>
      </w:pPr>
      <w:r>
        <w:rPr>
          <w:rFonts w:ascii="Arial" w:eastAsiaTheme="minorHAnsi" w:hAnsi="Arial" w:cs="Arial"/>
          <w:bCs/>
          <w:lang w:val="en-GB" w:eastAsia="en-US" w:bidi="ar-SA"/>
        </w:rPr>
        <w:t>[1]</w:t>
      </w:r>
      <w:r>
        <w:rPr>
          <w:rFonts w:ascii="Arial" w:eastAsiaTheme="minorHAnsi" w:hAnsi="Arial" w:cs="Arial"/>
          <w:bCs/>
          <w:lang w:val="en-GB" w:eastAsia="en-US" w:bidi="ar-SA"/>
        </w:rPr>
        <w:tab/>
      </w:r>
      <w:r w:rsidR="00024AFB" w:rsidRPr="00F42759">
        <w:rPr>
          <w:rFonts w:ascii="Arial" w:hAnsi="Arial" w:cs="Arial"/>
          <w:bCs/>
          <w:lang w:val="en-GB"/>
        </w:rPr>
        <w:t>During</w:t>
      </w:r>
      <w:r w:rsidR="0073398D" w:rsidRPr="00F42759">
        <w:rPr>
          <w:rFonts w:ascii="Arial" w:hAnsi="Arial" w:cs="Arial"/>
          <w:bCs/>
          <w:lang w:val="en-GB"/>
        </w:rPr>
        <w:t xml:space="preserve"> </w:t>
      </w:r>
      <w:r w:rsidR="007E750E" w:rsidRPr="00F42759">
        <w:rPr>
          <w:rFonts w:ascii="Arial" w:hAnsi="Arial" w:cs="Arial"/>
          <w:bCs/>
          <w:lang w:val="en-GB"/>
        </w:rPr>
        <w:t>February 2020</w:t>
      </w:r>
      <w:r w:rsidR="0073398D" w:rsidRPr="00F42759">
        <w:rPr>
          <w:rFonts w:ascii="Arial" w:hAnsi="Arial" w:cs="Arial"/>
          <w:bCs/>
          <w:lang w:val="en-GB"/>
        </w:rPr>
        <w:t>, t</w:t>
      </w:r>
      <w:r w:rsidR="003B3544" w:rsidRPr="00F42759">
        <w:rPr>
          <w:rFonts w:ascii="Arial" w:hAnsi="Arial" w:cs="Arial"/>
          <w:bCs/>
          <w:lang w:val="en-GB"/>
        </w:rPr>
        <w:t>he first respondent published a tender</w:t>
      </w:r>
      <w:r w:rsidR="00620D1E" w:rsidRPr="00F42759">
        <w:rPr>
          <w:rFonts w:ascii="Arial" w:hAnsi="Arial" w:cs="Arial"/>
          <w:bCs/>
          <w:lang w:val="en-GB"/>
        </w:rPr>
        <w:t xml:space="preserve"> in a nationally distributed Sunday newspaper</w:t>
      </w:r>
      <w:r w:rsidR="00E446B4" w:rsidRPr="00F42759">
        <w:rPr>
          <w:rFonts w:ascii="Arial" w:hAnsi="Arial" w:cs="Arial"/>
          <w:bCs/>
          <w:lang w:val="en-GB"/>
        </w:rPr>
        <w:t xml:space="preserve"> and invited bids to be </w:t>
      </w:r>
      <w:r w:rsidR="00BC009C" w:rsidRPr="00F42759">
        <w:rPr>
          <w:rFonts w:ascii="Arial" w:hAnsi="Arial" w:cs="Arial"/>
          <w:bCs/>
          <w:lang w:val="en-GB"/>
        </w:rPr>
        <w:t>submitted to it</w:t>
      </w:r>
      <w:r w:rsidR="00620D1E" w:rsidRPr="00F42759">
        <w:rPr>
          <w:rFonts w:ascii="Arial" w:hAnsi="Arial" w:cs="Arial"/>
          <w:bCs/>
          <w:lang w:val="en-GB"/>
        </w:rPr>
        <w:t xml:space="preserve">. </w:t>
      </w:r>
      <w:r w:rsidR="00D76527" w:rsidRPr="00F42759">
        <w:rPr>
          <w:rFonts w:ascii="Arial" w:hAnsi="Arial" w:cs="Arial"/>
          <w:bCs/>
          <w:lang w:val="en-GB"/>
        </w:rPr>
        <w:t>Five responses</w:t>
      </w:r>
      <w:r w:rsidR="00171913" w:rsidRPr="00F42759">
        <w:rPr>
          <w:rFonts w:ascii="Arial" w:hAnsi="Arial" w:cs="Arial"/>
          <w:bCs/>
          <w:lang w:val="en-GB"/>
        </w:rPr>
        <w:t xml:space="preserve"> were received</w:t>
      </w:r>
      <w:r w:rsidR="00620D1E" w:rsidRPr="00F42759">
        <w:rPr>
          <w:rFonts w:ascii="Arial" w:hAnsi="Arial" w:cs="Arial"/>
          <w:bCs/>
          <w:lang w:val="en-GB"/>
        </w:rPr>
        <w:t xml:space="preserve"> </w:t>
      </w:r>
      <w:r w:rsidR="00426359" w:rsidRPr="00F42759">
        <w:rPr>
          <w:rFonts w:ascii="Arial" w:hAnsi="Arial" w:cs="Arial"/>
          <w:bCs/>
          <w:lang w:val="en-GB"/>
        </w:rPr>
        <w:t xml:space="preserve">from </w:t>
      </w:r>
      <w:r w:rsidR="00D76527" w:rsidRPr="00F42759">
        <w:rPr>
          <w:rFonts w:ascii="Arial" w:hAnsi="Arial" w:cs="Arial"/>
          <w:bCs/>
          <w:lang w:val="en-GB"/>
        </w:rPr>
        <w:t xml:space="preserve">competing </w:t>
      </w:r>
      <w:r w:rsidR="00426359" w:rsidRPr="00F42759">
        <w:rPr>
          <w:rFonts w:ascii="Arial" w:hAnsi="Arial" w:cs="Arial"/>
          <w:bCs/>
          <w:lang w:val="en-GB"/>
        </w:rPr>
        <w:t xml:space="preserve">bidders </w:t>
      </w:r>
      <w:r w:rsidR="00620D1E" w:rsidRPr="00F42759">
        <w:rPr>
          <w:rFonts w:ascii="Arial" w:hAnsi="Arial" w:cs="Arial"/>
          <w:bCs/>
          <w:lang w:val="en-GB"/>
        </w:rPr>
        <w:t xml:space="preserve">and ultimately the first respondent awarded </w:t>
      </w:r>
      <w:r w:rsidR="005F175E" w:rsidRPr="00F42759">
        <w:rPr>
          <w:rFonts w:ascii="Arial" w:hAnsi="Arial" w:cs="Arial"/>
          <w:bCs/>
          <w:lang w:val="en-GB"/>
        </w:rPr>
        <w:t>the tender</w:t>
      </w:r>
      <w:r w:rsidR="00620D1E" w:rsidRPr="00F42759">
        <w:rPr>
          <w:rFonts w:ascii="Arial" w:hAnsi="Arial" w:cs="Arial"/>
          <w:bCs/>
          <w:lang w:val="en-GB"/>
        </w:rPr>
        <w:t xml:space="preserve"> </w:t>
      </w:r>
      <w:r w:rsidR="00725685" w:rsidRPr="00F42759">
        <w:rPr>
          <w:rFonts w:ascii="Arial" w:hAnsi="Arial" w:cs="Arial"/>
          <w:bCs/>
          <w:lang w:val="en-GB"/>
        </w:rPr>
        <w:t>to two entities, one of which was an</w:t>
      </w:r>
      <w:r w:rsidR="00620D1E" w:rsidRPr="00F42759">
        <w:rPr>
          <w:rFonts w:ascii="Arial" w:hAnsi="Arial" w:cs="Arial"/>
          <w:bCs/>
          <w:lang w:val="en-GB"/>
        </w:rPr>
        <w:t xml:space="preserve"> entity called </w:t>
      </w:r>
      <w:r w:rsidR="0023305F" w:rsidRPr="00F42759">
        <w:rPr>
          <w:rFonts w:ascii="Arial" w:hAnsi="Arial" w:cs="Arial"/>
          <w:bCs/>
          <w:lang w:val="en-GB"/>
        </w:rPr>
        <w:t>‘</w:t>
      </w:r>
      <w:r w:rsidR="00620D1E" w:rsidRPr="00F42759">
        <w:rPr>
          <w:rFonts w:ascii="Arial" w:hAnsi="Arial" w:cs="Arial"/>
          <w:bCs/>
          <w:lang w:val="en-GB"/>
        </w:rPr>
        <w:t xml:space="preserve">the Marothodi Metsi and </w:t>
      </w:r>
      <w:r w:rsidR="00620D1E" w:rsidRPr="00F42759">
        <w:rPr>
          <w:rFonts w:ascii="Arial" w:hAnsi="Arial" w:cs="Arial"/>
          <w:bCs/>
          <w:lang w:val="en-GB"/>
        </w:rPr>
        <w:lastRenderedPageBreak/>
        <w:t>Sebata Group</w:t>
      </w:r>
      <w:r w:rsidR="0023305F" w:rsidRPr="00F42759">
        <w:rPr>
          <w:rFonts w:ascii="Arial" w:hAnsi="Arial" w:cs="Arial"/>
          <w:bCs/>
          <w:lang w:val="en-GB"/>
        </w:rPr>
        <w:t>’</w:t>
      </w:r>
      <w:r w:rsidR="00620D1E" w:rsidRPr="00F42759">
        <w:rPr>
          <w:rFonts w:ascii="Arial" w:hAnsi="Arial" w:cs="Arial"/>
          <w:bCs/>
          <w:lang w:val="en-GB"/>
        </w:rPr>
        <w:t xml:space="preserve"> (</w:t>
      </w:r>
      <w:r w:rsidR="00AC0E77" w:rsidRPr="00F42759">
        <w:rPr>
          <w:rFonts w:ascii="Arial" w:hAnsi="Arial" w:cs="Arial"/>
          <w:bCs/>
          <w:lang w:val="en-GB"/>
        </w:rPr>
        <w:t>the Marothodi Metsi and Sebata Group</w:t>
      </w:r>
      <w:r w:rsidR="00620D1E" w:rsidRPr="00F42759">
        <w:rPr>
          <w:rFonts w:ascii="Arial" w:hAnsi="Arial" w:cs="Arial"/>
          <w:bCs/>
          <w:lang w:val="en-GB"/>
        </w:rPr>
        <w:t>).</w:t>
      </w:r>
      <w:r w:rsidR="00484352">
        <w:rPr>
          <w:rStyle w:val="FootnoteReference"/>
          <w:rFonts w:ascii="Arial" w:hAnsi="Arial" w:cs="Arial"/>
          <w:bCs/>
          <w:lang w:val="en-GB"/>
        </w:rPr>
        <w:footnoteReference w:id="1"/>
      </w:r>
      <w:r w:rsidR="005F175E" w:rsidRPr="00F42759">
        <w:rPr>
          <w:rFonts w:ascii="Arial" w:hAnsi="Arial" w:cs="Arial"/>
          <w:bCs/>
          <w:lang w:val="en-GB"/>
        </w:rPr>
        <w:t xml:space="preserve"> </w:t>
      </w:r>
      <w:r w:rsidR="00725685" w:rsidRPr="00F42759">
        <w:rPr>
          <w:rFonts w:ascii="Arial" w:hAnsi="Arial" w:cs="Arial"/>
          <w:bCs/>
          <w:lang w:val="en-GB"/>
        </w:rPr>
        <w:t>As a consequence, t</w:t>
      </w:r>
      <w:r w:rsidR="0023305F" w:rsidRPr="00F42759">
        <w:rPr>
          <w:rFonts w:ascii="Arial" w:hAnsi="Arial" w:cs="Arial"/>
          <w:bCs/>
          <w:lang w:val="en-GB"/>
        </w:rPr>
        <w:t xml:space="preserve">he first respondent </w:t>
      </w:r>
      <w:r w:rsidR="00FA732B" w:rsidRPr="00F42759">
        <w:rPr>
          <w:rFonts w:ascii="Arial" w:hAnsi="Arial" w:cs="Arial"/>
          <w:bCs/>
          <w:lang w:val="en-GB"/>
        </w:rPr>
        <w:t xml:space="preserve">thereafter </w:t>
      </w:r>
      <w:r w:rsidR="00842363" w:rsidRPr="00F42759">
        <w:rPr>
          <w:rFonts w:ascii="Arial" w:hAnsi="Arial" w:cs="Arial"/>
          <w:bCs/>
          <w:lang w:val="en-GB"/>
        </w:rPr>
        <w:t>duly entered into a</w:t>
      </w:r>
      <w:r w:rsidR="00BC009C" w:rsidRPr="00F42759">
        <w:rPr>
          <w:rFonts w:ascii="Arial" w:hAnsi="Arial" w:cs="Arial"/>
          <w:bCs/>
          <w:lang w:val="en-GB"/>
        </w:rPr>
        <w:t>n agreement with the Marothodi Metsi and Sebata Group</w:t>
      </w:r>
      <w:r w:rsidR="00842363" w:rsidRPr="00F42759">
        <w:rPr>
          <w:rFonts w:ascii="Arial" w:hAnsi="Arial" w:cs="Arial"/>
          <w:bCs/>
          <w:lang w:val="en-GB"/>
        </w:rPr>
        <w:t xml:space="preserve"> </w:t>
      </w:r>
      <w:r w:rsidR="00AC0E77" w:rsidRPr="00F42759">
        <w:rPr>
          <w:rFonts w:ascii="Arial" w:hAnsi="Arial" w:cs="Arial"/>
          <w:bCs/>
          <w:lang w:val="en-GB"/>
        </w:rPr>
        <w:t>(the contract)</w:t>
      </w:r>
      <w:r w:rsidR="00842363" w:rsidRPr="00F42759">
        <w:rPr>
          <w:rFonts w:ascii="Arial" w:hAnsi="Arial" w:cs="Arial"/>
          <w:bCs/>
          <w:lang w:val="en-GB"/>
        </w:rPr>
        <w:t xml:space="preserve">. </w:t>
      </w:r>
      <w:r w:rsidR="00DF580E" w:rsidRPr="00F42759">
        <w:rPr>
          <w:rFonts w:ascii="Arial" w:hAnsi="Arial" w:cs="Arial"/>
          <w:bCs/>
          <w:lang w:val="en-GB"/>
        </w:rPr>
        <w:t xml:space="preserve">On </w:t>
      </w:r>
      <w:r w:rsidR="007E750E" w:rsidRPr="00F42759">
        <w:rPr>
          <w:rFonts w:ascii="Arial" w:hAnsi="Arial" w:cs="Arial"/>
          <w:bCs/>
          <w:lang w:val="en-GB"/>
        </w:rPr>
        <w:t>3 June 2022</w:t>
      </w:r>
      <w:r w:rsidR="00DF580E" w:rsidRPr="00F42759">
        <w:rPr>
          <w:rFonts w:ascii="Arial" w:hAnsi="Arial" w:cs="Arial"/>
          <w:bCs/>
          <w:lang w:val="en-GB"/>
        </w:rPr>
        <w:t>, the first respondent</w:t>
      </w:r>
      <w:r w:rsidR="0073398D" w:rsidRPr="00F42759">
        <w:rPr>
          <w:rFonts w:ascii="Arial" w:hAnsi="Arial" w:cs="Arial"/>
          <w:bCs/>
          <w:lang w:val="en-GB"/>
        </w:rPr>
        <w:t xml:space="preserve"> </w:t>
      </w:r>
      <w:r w:rsidR="00B550CE" w:rsidRPr="00F42759">
        <w:rPr>
          <w:rFonts w:ascii="Arial" w:hAnsi="Arial" w:cs="Arial"/>
          <w:bCs/>
          <w:lang w:val="en-GB"/>
        </w:rPr>
        <w:t xml:space="preserve">terminated </w:t>
      </w:r>
      <w:r w:rsidR="0073398D" w:rsidRPr="00F42759">
        <w:rPr>
          <w:rFonts w:ascii="Arial" w:hAnsi="Arial" w:cs="Arial"/>
          <w:bCs/>
          <w:lang w:val="en-GB"/>
        </w:rPr>
        <w:t xml:space="preserve">that contract. </w:t>
      </w:r>
      <w:r w:rsidR="00944E8E" w:rsidRPr="00F42759">
        <w:rPr>
          <w:rFonts w:ascii="Arial" w:hAnsi="Arial" w:cs="Arial"/>
          <w:bCs/>
          <w:lang w:val="en-GB"/>
        </w:rPr>
        <w:t>In reaction thereto</w:t>
      </w:r>
      <w:r w:rsidR="00442EB6" w:rsidRPr="00F42759">
        <w:rPr>
          <w:rFonts w:ascii="Arial" w:hAnsi="Arial" w:cs="Arial"/>
          <w:bCs/>
          <w:lang w:val="en-GB"/>
        </w:rPr>
        <w:t>, o</w:t>
      </w:r>
      <w:r w:rsidR="0073398D" w:rsidRPr="00F42759">
        <w:rPr>
          <w:rFonts w:ascii="Arial" w:hAnsi="Arial" w:cs="Arial"/>
          <w:bCs/>
          <w:lang w:val="en-GB"/>
        </w:rPr>
        <w:t>n 4 July 2022, the applicant</w:t>
      </w:r>
      <w:r w:rsidR="003B03E5" w:rsidRPr="00F42759">
        <w:rPr>
          <w:rFonts w:ascii="Arial" w:hAnsi="Arial" w:cs="Arial"/>
          <w:bCs/>
          <w:lang w:val="en-GB"/>
        </w:rPr>
        <w:t xml:space="preserve">, </w:t>
      </w:r>
      <w:r w:rsidR="00883441" w:rsidRPr="00F42759">
        <w:rPr>
          <w:rFonts w:ascii="Arial" w:hAnsi="Arial" w:cs="Arial"/>
          <w:bCs/>
          <w:lang w:val="en-GB"/>
        </w:rPr>
        <w:t>who</w:t>
      </w:r>
      <w:r w:rsidR="00117DC6" w:rsidRPr="00F42759">
        <w:rPr>
          <w:rFonts w:ascii="Arial" w:hAnsi="Arial" w:cs="Arial"/>
          <w:bCs/>
          <w:lang w:val="en-GB"/>
        </w:rPr>
        <w:t xml:space="preserve"> </w:t>
      </w:r>
      <w:r w:rsidR="003B03E5" w:rsidRPr="00F42759">
        <w:rPr>
          <w:rFonts w:ascii="Arial" w:hAnsi="Arial" w:cs="Arial"/>
          <w:bCs/>
          <w:lang w:val="en-GB"/>
        </w:rPr>
        <w:t xml:space="preserve">is not </w:t>
      </w:r>
      <w:r w:rsidR="00AC0E77" w:rsidRPr="00F42759">
        <w:rPr>
          <w:rFonts w:ascii="Arial" w:hAnsi="Arial" w:cs="Arial"/>
          <w:bCs/>
          <w:lang w:val="en-GB"/>
        </w:rPr>
        <w:t xml:space="preserve">the Marothodi Metsi and Sebata Group </w:t>
      </w:r>
      <w:r w:rsidR="003B03E5" w:rsidRPr="00F42759">
        <w:rPr>
          <w:rFonts w:ascii="Arial" w:hAnsi="Arial" w:cs="Arial"/>
          <w:bCs/>
          <w:lang w:val="en-GB"/>
        </w:rPr>
        <w:t xml:space="preserve">but </w:t>
      </w:r>
      <w:r w:rsidR="00FC4C09" w:rsidRPr="00F42759">
        <w:rPr>
          <w:rFonts w:ascii="Arial" w:hAnsi="Arial" w:cs="Arial"/>
          <w:bCs/>
          <w:lang w:val="en-GB"/>
        </w:rPr>
        <w:t>rather</w:t>
      </w:r>
      <w:r w:rsidR="0073398D" w:rsidRPr="00F42759">
        <w:rPr>
          <w:rFonts w:ascii="Arial" w:hAnsi="Arial" w:cs="Arial"/>
          <w:bCs/>
          <w:lang w:val="en-GB"/>
        </w:rPr>
        <w:t xml:space="preserve"> </w:t>
      </w:r>
      <w:r w:rsidR="0023305F" w:rsidRPr="00F42759">
        <w:rPr>
          <w:rFonts w:ascii="Arial" w:hAnsi="Arial" w:cs="Arial"/>
          <w:bCs/>
          <w:lang w:val="en-GB"/>
        </w:rPr>
        <w:t>a</w:t>
      </w:r>
      <w:r w:rsidR="001120BE" w:rsidRPr="00F42759">
        <w:rPr>
          <w:rFonts w:ascii="Arial" w:hAnsi="Arial" w:cs="Arial"/>
          <w:bCs/>
          <w:lang w:val="en-GB"/>
        </w:rPr>
        <w:t>n incorporated</w:t>
      </w:r>
      <w:r w:rsidR="0023305F" w:rsidRPr="00F42759">
        <w:rPr>
          <w:rFonts w:ascii="Arial" w:hAnsi="Arial" w:cs="Arial"/>
          <w:bCs/>
          <w:lang w:val="en-GB"/>
        </w:rPr>
        <w:t xml:space="preserve"> co</w:t>
      </w:r>
      <w:r w:rsidR="005F175E" w:rsidRPr="00F42759">
        <w:rPr>
          <w:rFonts w:ascii="Arial" w:hAnsi="Arial" w:cs="Arial"/>
          <w:bCs/>
          <w:lang w:val="en-GB"/>
        </w:rPr>
        <w:t>m</w:t>
      </w:r>
      <w:r w:rsidR="0023305F" w:rsidRPr="00F42759">
        <w:rPr>
          <w:rFonts w:ascii="Arial" w:hAnsi="Arial" w:cs="Arial"/>
          <w:bCs/>
          <w:lang w:val="en-GB"/>
        </w:rPr>
        <w:t>p</w:t>
      </w:r>
      <w:r w:rsidR="005F175E" w:rsidRPr="00F42759">
        <w:rPr>
          <w:rFonts w:ascii="Arial" w:hAnsi="Arial" w:cs="Arial"/>
          <w:bCs/>
          <w:lang w:val="en-GB"/>
        </w:rPr>
        <w:t>an</w:t>
      </w:r>
      <w:r w:rsidR="0023305F" w:rsidRPr="00F42759">
        <w:rPr>
          <w:rFonts w:ascii="Arial" w:hAnsi="Arial" w:cs="Arial"/>
          <w:bCs/>
          <w:lang w:val="en-GB"/>
        </w:rPr>
        <w:t>y called ‘</w:t>
      </w:r>
      <w:r w:rsidR="003B03E5" w:rsidRPr="00F42759">
        <w:rPr>
          <w:rFonts w:ascii="Arial" w:hAnsi="Arial" w:cs="Arial"/>
          <w:bCs/>
          <w:lang w:val="en-GB"/>
        </w:rPr>
        <w:t>Marothodi Metsi (Pty) Ltd</w:t>
      </w:r>
      <w:r w:rsidR="0023305F" w:rsidRPr="00F42759">
        <w:rPr>
          <w:rFonts w:ascii="Arial" w:hAnsi="Arial" w:cs="Arial"/>
          <w:bCs/>
          <w:lang w:val="en-GB"/>
        </w:rPr>
        <w:t>’</w:t>
      </w:r>
      <w:r w:rsidR="003B03E5" w:rsidRPr="00F42759">
        <w:rPr>
          <w:rFonts w:ascii="Arial" w:hAnsi="Arial" w:cs="Arial"/>
          <w:bCs/>
          <w:lang w:val="en-GB"/>
        </w:rPr>
        <w:t xml:space="preserve">, </w:t>
      </w:r>
      <w:r w:rsidR="0073398D" w:rsidRPr="00F42759">
        <w:rPr>
          <w:rFonts w:ascii="Arial" w:hAnsi="Arial" w:cs="Arial"/>
          <w:bCs/>
          <w:lang w:val="en-GB"/>
        </w:rPr>
        <w:t>brought an urgent application</w:t>
      </w:r>
      <w:r w:rsidR="00944E8E" w:rsidRPr="00F42759">
        <w:rPr>
          <w:rFonts w:ascii="Arial" w:hAnsi="Arial" w:cs="Arial"/>
          <w:bCs/>
          <w:lang w:val="en-GB"/>
        </w:rPr>
        <w:t>,</w:t>
      </w:r>
      <w:r w:rsidR="0073398D" w:rsidRPr="00F42759">
        <w:rPr>
          <w:rFonts w:ascii="Arial" w:hAnsi="Arial" w:cs="Arial"/>
          <w:bCs/>
          <w:lang w:val="en-GB"/>
        </w:rPr>
        <w:t xml:space="preserve"> </w:t>
      </w:r>
      <w:r w:rsidR="00944E8E" w:rsidRPr="00F42759">
        <w:rPr>
          <w:rFonts w:ascii="Arial" w:hAnsi="Arial" w:cs="Arial"/>
          <w:bCs/>
          <w:lang w:val="en-GB"/>
        </w:rPr>
        <w:t xml:space="preserve">inter alia, </w:t>
      </w:r>
      <w:r w:rsidR="00725685" w:rsidRPr="00F42759">
        <w:rPr>
          <w:rFonts w:ascii="Arial" w:hAnsi="Arial" w:cs="Arial"/>
          <w:bCs/>
          <w:lang w:val="en-GB"/>
        </w:rPr>
        <w:t xml:space="preserve">in which it </w:t>
      </w:r>
      <w:r w:rsidR="0073398D" w:rsidRPr="00F42759">
        <w:rPr>
          <w:rFonts w:ascii="Arial" w:hAnsi="Arial" w:cs="Arial"/>
          <w:bCs/>
          <w:lang w:val="en-GB"/>
        </w:rPr>
        <w:t xml:space="preserve">sought to </w:t>
      </w:r>
      <w:r w:rsidR="005F175E" w:rsidRPr="00F42759">
        <w:rPr>
          <w:rFonts w:ascii="Arial" w:hAnsi="Arial" w:cs="Arial"/>
          <w:bCs/>
          <w:lang w:val="en-GB"/>
        </w:rPr>
        <w:t>uplift</w:t>
      </w:r>
      <w:r w:rsidR="0073398D" w:rsidRPr="00F42759">
        <w:rPr>
          <w:rFonts w:ascii="Arial" w:hAnsi="Arial" w:cs="Arial"/>
          <w:bCs/>
          <w:lang w:val="en-GB"/>
        </w:rPr>
        <w:t xml:space="preserve"> </w:t>
      </w:r>
      <w:r w:rsidR="002F1EF9" w:rsidRPr="00F42759">
        <w:rPr>
          <w:rFonts w:ascii="Arial" w:hAnsi="Arial" w:cs="Arial"/>
          <w:bCs/>
          <w:lang w:val="en-GB"/>
        </w:rPr>
        <w:t>the</w:t>
      </w:r>
      <w:r w:rsidR="0073398D" w:rsidRPr="00F42759">
        <w:rPr>
          <w:rFonts w:ascii="Arial" w:hAnsi="Arial" w:cs="Arial"/>
          <w:bCs/>
          <w:lang w:val="en-GB"/>
        </w:rPr>
        <w:t xml:space="preserve"> suspension</w:t>
      </w:r>
      <w:r w:rsidR="002F1EF9" w:rsidRPr="00F42759">
        <w:rPr>
          <w:rFonts w:ascii="Arial" w:hAnsi="Arial" w:cs="Arial"/>
          <w:bCs/>
          <w:lang w:val="en-GB"/>
        </w:rPr>
        <w:t xml:space="preserve"> of the contract</w:t>
      </w:r>
      <w:r w:rsidR="0023305F" w:rsidRPr="00F42759">
        <w:rPr>
          <w:rFonts w:ascii="Arial" w:hAnsi="Arial" w:cs="Arial"/>
          <w:bCs/>
          <w:lang w:val="en-GB"/>
        </w:rPr>
        <w:t xml:space="preserve"> </w:t>
      </w:r>
      <w:r w:rsidR="00B550CE" w:rsidRPr="00F42759">
        <w:rPr>
          <w:rFonts w:ascii="Arial" w:hAnsi="Arial" w:cs="Arial"/>
          <w:bCs/>
          <w:lang w:val="en-GB"/>
        </w:rPr>
        <w:t xml:space="preserve">(it apparently did not regard the contract as having been terminated) </w:t>
      </w:r>
      <w:r w:rsidR="0023305F" w:rsidRPr="00F42759">
        <w:rPr>
          <w:rFonts w:ascii="Arial" w:hAnsi="Arial" w:cs="Arial"/>
          <w:bCs/>
          <w:lang w:val="en-GB"/>
        </w:rPr>
        <w:t>and sought specific performance of the contract</w:t>
      </w:r>
      <w:r w:rsidR="00DF580E" w:rsidRPr="00F42759">
        <w:rPr>
          <w:rFonts w:ascii="Arial" w:hAnsi="Arial" w:cs="Arial"/>
          <w:bCs/>
          <w:lang w:val="en-GB"/>
        </w:rPr>
        <w:t xml:space="preserve"> (the </w:t>
      </w:r>
      <w:r w:rsidR="00842363" w:rsidRPr="00F42759">
        <w:rPr>
          <w:rFonts w:ascii="Arial" w:hAnsi="Arial" w:cs="Arial"/>
          <w:bCs/>
          <w:lang w:val="en-GB"/>
        </w:rPr>
        <w:t>urgent</w:t>
      </w:r>
      <w:r w:rsidR="00DF580E" w:rsidRPr="00F42759">
        <w:rPr>
          <w:rFonts w:ascii="Arial" w:hAnsi="Arial" w:cs="Arial"/>
          <w:bCs/>
          <w:lang w:val="en-GB"/>
        </w:rPr>
        <w:t xml:space="preserve"> application)</w:t>
      </w:r>
      <w:r w:rsidR="0073398D" w:rsidRPr="00F42759">
        <w:rPr>
          <w:rFonts w:ascii="Arial" w:hAnsi="Arial" w:cs="Arial"/>
          <w:bCs/>
          <w:lang w:val="en-GB"/>
        </w:rPr>
        <w:t>.</w:t>
      </w:r>
      <w:r w:rsidR="00944E8E">
        <w:rPr>
          <w:rStyle w:val="FootnoteReference"/>
          <w:rFonts w:ascii="Arial" w:hAnsi="Arial" w:cs="Arial"/>
          <w:bCs/>
          <w:lang w:val="en-GB"/>
        </w:rPr>
        <w:footnoteReference w:id="2"/>
      </w:r>
      <w:r w:rsidR="0073398D" w:rsidRPr="00F42759">
        <w:rPr>
          <w:rFonts w:ascii="Arial" w:hAnsi="Arial" w:cs="Arial"/>
          <w:bCs/>
          <w:lang w:val="en-GB"/>
        </w:rPr>
        <w:t xml:space="preserve"> </w:t>
      </w:r>
    </w:p>
    <w:p w:rsidR="003B03E5" w:rsidRPr="003B03E5" w:rsidRDefault="003B03E5" w:rsidP="003B03E5">
      <w:pPr>
        <w:pStyle w:val="ListParagraph"/>
        <w:tabs>
          <w:tab w:val="left" w:pos="709"/>
        </w:tabs>
        <w:spacing w:line="360" w:lineRule="auto"/>
        <w:ind w:left="0"/>
        <w:jc w:val="both"/>
        <w:rPr>
          <w:rFonts w:ascii="Arial" w:hAnsi="Arial" w:cs="Arial"/>
          <w:bCs/>
          <w:lang w:val="en-GB"/>
        </w:rPr>
      </w:pPr>
    </w:p>
    <w:p w:rsidR="00F73DEC" w:rsidRPr="00F42759" w:rsidRDefault="00F42759" w:rsidP="00F42759">
      <w:pPr>
        <w:tabs>
          <w:tab w:val="left" w:pos="709"/>
        </w:tabs>
        <w:spacing w:line="360" w:lineRule="auto"/>
        <w:jc w:val="both"/>
        <w:rPr>
          <w:rFonts w:ascii="Arial" w:hAnsi="Arial" w:cs="Arial"/>
          <w:bCs/>
          <w:lang w:val="en-GB"/>
        </w:rPr>
      </w:pPr>
      <w:r>
        <w:rPr>
          <w:rFonts w:ascii="Arial" w:eastAsiaTheme="minorHAnsi" w:hAnsi="Arial" w:cs="Arial"/>
          <w:bCs/>
          <w:lang w:val="en-GB" w:eastAsia="en-US" w:bidi="ar-SA"/>
        </w:rPr>
        <w:t>[2]</w:t>
      </w:r>
      <w:r>
        <w:rPr>
          <w:rFonts w:ascii="Arial" w:eastAsiaTheme="minorHAnsi" w:hAnsi="Arial" w:cs="Arial"/>
          <w:bCs/>
          <w:lang w:val="en-GB" w:eastAsia="en-US" w:bidi="ar-SA"/>
        </w:rPr>
        <w:tab/>
      </w:r>
      <w:r w:rsidR="00842363" w:rsidRPr="00F42759">
        <w:rPr>
          <w:rFonts w:ascii="Arial" w:hAnsi="Arial" w:cs="Arial"/>
          <w:bCs/>
          <w:lang w:val="en-GB"/>
        </w:rPr>
        <w:t>The urgent application</w:t>
      </w:r>
      <w:r w:rsidR="00442EB6" w:rsidRPr="00F42759">
        <w:rPr>
          <w:rFonts w:ascii="Arial" w:hAnsi="Arial" w:cs="Arial"/>
          <w:bCs/>
          <w:lang w:val="en-GB"/>
        </w:rPr>
        <w:t xml:space="preserve"> was the opening </w:t>
      </w:r>
      <w:r w:rsidR="00377FEA" w:rsidRPr="00F42759">
        <w:rPr>
          <w:rFonts w:ascii="Arial" w:hAnsi="Arial" w:cs="Arial"/>
          <w:bCs/>
          <w:lang w:val="en-GB"/>
        </w:rPr>
        <w:t>scherzo</w:t>
      </w:r>
      <w:r w:rsidR="00442EB6" w:rsidRPr="00F42759">
        <w:rPr>
          <w:rFonts w:ascii="Arial" w:hAnsi="Arial" w:cs="Arial"/>
          <w:bCs/>
          <w:lang w:val="en-GB"/>
        </w:rPr>
        <w:t xml:space="preserve"> in a complex</w:t>
      </w:r>
      <w:r w:rsidR="00F73DEC" w:rsidRPr="00F42759">
        <w:rPr>
          <w:rFonts w:ascii="Arial" w:hAnsi="Arial" w:cs="Arial"/>
          <w:bCs/>
          <w:lang w:val="en-GB"/>
        </w:rPr>
        <w:t xml:space="preserve"> </w:t>
      </w:r>
      <w:r w:rsidR="0073398D" w:rsidRPr="00F42759">
        <w:rPr>
          <w:rFonts w:ascii="Arial" w:hAnsi="Arial" w:cs="Arial"/>
          <w:bCs/>
          <w:lang w:val="en-GB"/>
        </w:rPr>
        <w:t xml:space="preserve">segue of </w:t>
      </w:r>
      <w:r w:rsidR="00F73DEC" w:rsidRPr="00F42759">
        <w:rPr>
          <w:rFonts w:ascii="Arial" w:hAnsi="Arial" w:cs="Arial"/>
          <w:bCs/>
          <w:lang w:val="en-GB"/>
        </w:rPr>
        <w:t>related applications</w:t>
      </w:r>
      <w:r w:rsidR="00442EB6" w:rsidRPr="00F42759">
        <w:rPr>
          <w:rFonts w:ascii="Arial" w:hAnsi="Arial" w:cs="Arial"/>
          <w:bCs/>
          <w:lang w:val="en-GB"/>
        </w:rPr>
        <w:t xml:space="preserve"> that </w:t>
      </w:r>
      <w:r w:rsidR="00842363" w:rsidRPr="00F42759">
        <w:rPr>
          <w:rFonts w:ascii="Arial" w:hAnsi="Arial" w:cs="Arial"/>
          <w:bCs/>
          <w:lang w:val="en-GB"/>
        </w:rPr>
        <w:t xml:space="preserve">then </w:t>
      </w:r>
      <w:r w:rsidR="00442EB6" w:rsidRPr="00F42759">
        <w:rPr>
          <w:rFonts w:ascii="Arial" w:hAnsi="Arial" w:cs="Arial"/>
          <w:bCs/>
          <w:lang w:val="en-GB"/>
        </w:rPr>
        <w:t>followed</w:t>
      </w:r>
      <w:r w:rsidR="00F73DEC" w:rsidRPr="00F42759">
        <w:rPr>
          <w:rFonts w:ascii="Arial" w:hAnsi="Arial" w:cs="Arial"/>
          <w:bCs/>
          <w:lang w:val="en-GB"/>
        </w:rPr>
        <w:t xml:space="preserve">. </w:t>
      </w:r>
      <w:r w:rsidR="00171913" w:rsidRPr="00F42759">
        <w:rPr>
          <w:rFonts w:ascii="Arial" w:hAnsi="Arial" w:cs="Arial"/>
          <w:bCs/>
          <w:lang w:val="en-GB"/>
        </w:rPr>
        <w:t xml:space="preserve">Having launched the urgent application, the applicant </w:t>
      </w:r>
      <w:r w:rsidR="00725685" w:rsidRPr="00F42759">
        <w:rPr>
          <w:rFonts w:ascii="Arial" w:hAnsi="Arial" w:cs="Arial"/>
          <w:bCs/>
          <w:lang w:val="en-GB"/>
        </w:rPr>
        <w:t xml:space="preserve">brought an application to join the second to fifth respondents to that application (the joinder application). Later, it brought an </w:t>
      </w:r>
      <w:r w:rsidR="00F73DEC" w:rsidRPr="00F42759">
        <w:rPr>
          <w:rFonts w:ascii="Arial" w:hAnsi="Arial" w:cs="Arial"/>
          <w:bCs/>
          <w:lang w:val="en-GB"/>
        </w:rPr>
        <w:t xml:space="preserve">application for the rectification of the </w:t>
      </w:r>
      <w:r w:rsidR="001120BE" w:rsidRPr="00F42759">
        <w:rPr>
          <w:rFonts w:ascii="Arial" w:hAnsi="Arial" w:cs="Arial"/>
          <w:bCs/>
          <w:lang w:val="en-GB"/>
        </w:rPr>
        <w:t xml:space="preserve">very </w:t>
      </w:r>
      <w:r w:rsidR="00F73DEC" w:rsidRPr="00F42759">
        <w:rPr>
          <w:rFonts w:ascii="Arial" w:hAnsi="Arial" w:cs="Arial"/>
          <w:bCs/>
          <w:lang w:val="en-GB"/>
        </w:rPr>
        <w:t>contract</w:t>
      </w:r>
      <w:r w:rsidR="00171913" w:rsidRPr="00F42759">
        <w:rPr>
          <w:rFonts w:ascii="Arial" w:hAnsi="Arial" w:cs="Arial"/>
          <w:bCs/>
          <w:lang w:val="en-GB"/>
        </w:rPr>
        <w:t xml:space="preserve"> that it sought to enforce in the urgent application</w:t>
      </w:r>
      <w:r w:rsidR="00E446B4" w:rsidRPr="00F42759">
        <w:rPr>
          <w:rFonts w:ascii="Arial" w:hAnsi="Arial" w:cs="Arial"/>
          <w:bCs/>
          <w:lang w:val="en-GB"/>
        </w:rPr>
        <w:t xml:space="preserve"> (the rectification application)</w:t>
      </w:r>
      <w:r w:rsidR="00725685" w:rsidRPr="00F42759">
        <w:rPr>
          <w:rFonts w:ascii="Arial" w:hAnsi="Arial" w:cs="Arial"/>
          <w:bCs/>
          <w:lang w:val="en-GB"/>
        </w:rPr>
        <w:t xml:space="preserve">. </w:t>
      </w:r>
      <w:r w:rsidR="00F73DEC" w:rsidRPr="00F42759">
        <w:rPr>
          <w:rFonts w:ascii="Arial" w:hAnsi="Arial" w:cs="Arial"/>
          <w:bCs/>
          <w:lang w:val="en-GB"/>
        </w:rPr>
        <w:t>The first respondent</w:t>
      </w:r>
      <w:r w:rsidR="001F2B88" w:rsidRPr="00F42759">
        <w:rPr>
          <w:rFonts w:ascii="Arial" w:hAnsi="Arial" w:cs="Arial"/>
          <w:bCs/>
          <w:lang w:val="en-GB"/>
        </w:rPr>
        <w:t>,</w:t>
      </w:r>
      <w:r w:rsidR="00F73DEC" w:rsidRPr="00F42759">
        <w:rPr>
          <w:rFonts w:ascii="Arial" w:hAnsi="Arial" w:cs="Arial"/>
          <w:bCs/>
          <w:lang w:val="en-GB"/>
        </w:rPr>
        <w:t xml:space="preserve"> in turn</w:t>
      </w:r>
      <w:r w:rsidR="001F2B88" w:rsidRPr="00F42759">
        <w:rPr>
          <w:rFonts w:ascii="Arial" w:hAnsi="Arial" w:cs="Arial"/>
          <w:bCs/>
          <w:lang w:val="en-GB"/>
        </w:rPr>
        <w:t>,</w:t>
      </w:r>
      <w:r w:rsidR="00F73DEC" w:rsidRPr="00F42759">
        <w:rPr>
          <w:rFonts w:ascii="Arial" w:hAnsi="Arial" w:cs="Arial"/>
          <w:bCs/>
          <w:lang w:val="en-GB"/>
        </w:rPr>
        <w:t xml:space="preserve"> brought a counter</w:t>
      </w:r>
      <w:r w:rsidR="00A53423" w:rsidRPr="00F42759">
        <w:rPr>
          <w:rFonts w:ascii="Arial" w:hAnsi="Arial" w:cs="Arial"/>
          <w:bCs/>
          <w:lang w:val="en-GB"/>
        </w:rPr>
        <w:t>-</w:t>
      </w:r>
      <w:r w:rsidR="00F73DEC" w:rsidRPr="00F42759">
        <w:rPr>
          <w:rFonts w:ascii="Arial" w:hAnsi="Arial" w:cs="Arial"/>
          <w:bCs/>
          <w:lang w:val="en-GB"/>
        </w:rPr>
        <w:t xml:space="preserve">application in the form of a legality review which seeks to set aside the decision to award the tender to </w:t>
      </w:r>
      <w:r w:rsidR="00AC0E77" w:rsidRPr="00F42759">
        <w:rPr>
          <w:rFonts w:ascii="Arial" w:hAnsi="Arial" w:cs="Arial"/>
          <w:bCs/>
          <w:lang w:val="en-GB"/>
        </w:rPr>
        <w:t>the Marothodi Metsi and Sebata Group</w:t>
      </w:r>
      <w:r w:rsidR="00F73DEC" w:rsidRPr="00F42759">
        <w:rPr>
          <w:rFonts w:ascii="Arial" w:hAnsi="Arial" w:cs="Arial"/>
          <w:bCs/>
          <w:lang w:val="en-GB"/>
        </w:rPr>
        <w:t xml:space="preserve"> and the contract </w:t>
      </w:r>
      <w:r w:rsidR="00E446B4" w:rsidRPr="00F42759">
        <w:rPr>
          <w:rFonts w:ascii="Arial" w:hAnsi="Arial" w:cs="Arial"/>
          <w:bCs/>
          <w:lang w:val="en-GB"/>
        </w:rPr>
        <w:t>(the legality review)</w:t>
      </w:r>
      <w:r w:rsidR="00F73DEC" w:rsidRPr="00F42759">
        <w:rPr>
          <w:rFonts w:ascii="Arial" w:hAnsi="Arial" w:cs="Arial"/>
          <w:bCs/>
          <w:lang w:val="en-GB"/>
        </w:rPr>
        <w:t>.</w:t>
      </w:r>
      <w:r w:rsidR="002768DC" w:rsidRPr="00F42759">
        <w:rPr>
          <w:rFonts w:ascii="Arial" w:hAnsi="Arial" w:cs="Arial"/>
          <w:bCs/>
          <w:lang w:val="en-GB"/>
        </w:rPr>
        <w:t xml:space="preserve"> Finally, the first respondent, at the eleventh hour, launched an application for a money judgment and associated relief against the applicant (the money judgment application).</w:t>
      </w:r>
      <w:r w:rsidR="002D2B4A" w:rsidRPr="00F42759">
        <w:rPr>
          <w:rFonts w:ascii="Arial" w:hAnsi="Arial" w:cs="Arial"/>
          <w:bCs/>
          <w:lang w:val="en-GB"/>
        </w:rPr>
        <w:t xml:space="preserve"> All of these applications were brought under the same case number.</w:t>
      </w:r>
    </w:p>
    <w:p w:rsidR="002768DC" w:rsidRDefault="002768DC" w:rsidP="002768DC">
      <w:pPr>
        <w:pStyle w:val="ListParagraph"/>
        <w:tabs>
          <w:tab w:val="left" w:pos="709"/>
        </w:tabs>
        <w:spacing w:line="360" w:lineRule="auto"/>
        <w:ind w:left="0"/>
        <w:jc w:val="both"/>
        <w:rPr>
          <w:rFonts w:ascii="Arial" w:hAnsi="Arial" w:cs="Arial"/>
          <w:bCs/>
          <w:lang w:val="en-GB"/>
        </w:rPr>
      </w:pPr>
    </w:p>
    <w:p w:rsidR="0055401C" w:rsidRPr="00F42759" w:rsidRDefault="00F42759" w:rsidP="00F42759">
      <w:pPr>
        <w:tabs>
          <w:tab w:val="left" w:pos="709"/>
        </w:tabs>
        <w:spacing w:line="360" w:lineRule="auto"/>
        <w:jc w:val="both"/>
        <w:rPr>
          <w:rFonts w:ascii="Arial" w:hAnsi="Arial" w:cs="Arial"/>
          <w:bCs/>
          <w:lang w:val="en-GB"/>
        </w:rPr>
      </w:pPr>
      <w:r>
        <w:rPr>
          <w:rFonts w:ascii="Arial" w:eastAsiaTheme="minorHAnsi" w:hAnsi="Arial" w:cs="Arial"/>
          <w:bCs/>
          <w:lang w:val="en-GB" w:eastAsia="en-US" w:bidi="ar-SA"/>
        </w:rPr>
        <w:t>[3]</w:t>
      </w:r>
      <w:r>
        <w:rPr>
          <w:rFonts w:ascii="Arial" w:eastAsiaTheme="minorHAnsi" w:hAnsi="Arial" w:cs="Arial"/>
          <w:bCs/>
          <w:lang w:val="en-GB" w:eastAsia="en-US" w:bidi="ar-SA"/>
        </w:rPr>
        <w:tab/>
      </w:r>
      <w:r w:rsidR="00F73DEC" w:rsidRPr="00F42759">
        <w:rPr>
          <w:rFonts w:ascii="Arial" w:hAnsi="Arial" w:cs="Arial"/>
          <w:bCs/>
          <w:lang w:val="en-GB"/>
        </w:rPr>
        <w:t xml:space="preserve">Of these applications, only the joinder application is no longer contentious. On 15 March 2023, Smart AJ granted an order joining the second, third, fourth and fifth respondents to the </w:t>
      </w:r>
      <w:r w:rsidR="007E54AA" w:rsidRPr="00F42759">
        <w:rPr>
          <w:rFonts w:ascii="Arial" w:hAnsi="Arial" w:cs="Arial"/>
          <w:bCs/>
          <w:lang w:val="en-GB"/>
        </w:rPr>
        <w:t>urgent</w:t>
      </w:r>
      <w:r w:rsidR="00F73DEC" w:rsidRPr="00F42759">
        <w:rPr>
          <w:rFonts w:ascii="Arial" w:hAnsi="Arial" w:cs="Arial"/>
          <w:bCs/>
          <w:lang w:val="en-GB"/>
        </w:rPr>
        <w:t xml:space="preserve"> application. </w:t>
      </w:r>
    </w:p>
    <w:p w:rsidR="00171913" w:rsidRDefault="00171913" w:rsidP="001120BE">
      <w:pPr>
        <w:pStyle w:val="ListParagraph"/>
        <w:tabs>
          <w:tab w:val="left" w:pos="709"/>
        </w:tabs>
        <w:spacing w:line="360" w:lineRule="auto"/>
        <w:ind w:left="0"/>
        <w:jc w:val="both"/>
        <w:rPr>
          <w:rFonts w:ascii="Arial" w:hAnsi="Arial" w:cs="Arial"/>
          <w:bCs/>
          <w:lang w:val="en-GB"/>
        </w:rPr>
      </w:pPr>
    </w:p>
    <w:p w:rsidR="00723105" w:rsidRPr="00F42759" w:rsidRDefault="00F42759" w:rsidP="00F42759">
      <w:pPr>
        <w:tabs>
          <w:tab w:val="left" w:pos="709"/>
        </w:tabs>
        <w:spacing w:line="360" w:lineRule="auto"/>
        <w:jc w:val="both"/>
        <w:rPr>
          <w:rFonts w:ascii="Arial" w:hAnsi="Arial" w:cs="Arial"/>
          <w:b/>
          <w:lang w:val="en-GB"/>
        </w:rPr>
      </w:pPr>
      <w:r w:rsidRPr="00723105">
        <w:rPr>
          <w:rFonts w:ascii="Arial" w:eastAsiaTheme="minorHAnsi" w:hAnsi="Arial" w:cs="Arial"/>
          <w:lang w:val="en-GB" w:eastAsia="en-US" w:bidi="ar-SA"/>
        </w:rPr>
        <w:lastRenderedPageBreak/>
        <w:t>[4]</w:t>
      </w:r>
      <w:r w:rsidRPr="00723105">
        <w:rPr>
          <w:rFonts w:ascii="Arial" w:eastAsiaTheme="minorHAnsi" w:hAnsi="Arial" w:cs="Arial"/>
          <w:lang w:val="en-GB" w:eastAsia="en-US" w:bidi="ar-SA"/>
        </w:rPr>
        <w:tab/>
      </w:r>
      <w:r w:rsidR="00FA732B" w:rsidRPr="00F42759">
        <w:rPr>
          <w:rFonts w:ascii="Arial" w:hAnsi="Arial" w:cs="Arial"/>
          <w:bCs/>
          <w:lang w:val="en-GB"/>
        </w:rPr>
        <w:t>Accordingly</w:t>
      </w:r>
      <w:r w:rsidR="00171913" w:rsidRPr="00F42759">
        <w:rPr>
          <w:rFonts w:ascii="Arial" w:hAnsi="Arial" w:cs="Arial"/>
          <w:bCs/>
          <w:lang w:val="en-GB"/>
        </w:rPr>
        <w:t>, before me is the urgent application, the rectification application</w:t>
      </w:r>
      <w:r w:rsidR="002768DC" w:rsidRPr="00F42759">
        <w:rPr>
          <w:rFonts w:ascii="Arial" w:hAnsi="Arial" w:cs="Arial"/>
          <w:bCs/>
          <w:lang w:val="en-GB"/>
        </w:rPr>
        <w:t>,</w:t>
      </w:r>
      <w:r w:rsidR="00171913" w:rsidRPr="00F42759">
        <w:rPr>
          <w:rFonts w:ascii="Arial" w:hAnsi="Arial" w:cs="Arial"/>
          <w:bCs/>
          <w:lang w:val="en-GB"/>
        </w:rPr>
        <w:t xml:space="preserve"> the legality </w:t>
      </w:r>
      <w:r w:rsidR="001001A0" w:rsidRPr="00F42759">
        <w:rPr>
          <w:rFonts w:ascii="Arial" w:hAnsi="Arial" w:cs="Arial"/>
          <w:bCs/>
          <w:lang w:val="en-GB"/>
        </w:rPr>
        <w:t>review,</w:t>
      </w:r>
      <w:r w:rsidR="002768DC" w:rsidRPr="00F42759">
        <w:rPr>
          <w:rFonts w:ascii="Arial" w:hAnsi="Arial" w:cs="Arial"/>
          <w:bCs/>
          <w:lang w:val="en-GB"/>
        </w:rPr>
        <w:t xml:space="preserve"> and the money judgment application</w:t>
      </w:r>
      <w:r w:rsidR="00171913" w:rsidRPr="00F42759">
        <w:rPr>
          <w:rFonts w:ascii="Arial" w:hAnsi="Arial" w:cs="Arial"/>
          <w:bCs/>
          <w:lang w:val="en-GB"/>
        </w:rPr>
        <w:t>.</w:t>
      </w:r>
      <w:r w:rsidR="002768DC" w:rsidRPr="00F42759">
        <w:rPr>
          <w:rFonts w:ascii="Arial" w:hAnsi="Arial" w:cs="Arial"/>
          <w:bCs/>
          <w:lang w:val="en-GB"/>
        </w:rPr>
        <w:t xml:space="preserve"> </w:t>
      </w:r>
      <w:r w:rsidR="00117DC6" w:rsidRPr="00F42759">
        <w:rPr>
          <w:rFonts w:ascii="Arial" w:hAnsi="Arial" w:cs="Arial"/>
          <w:bCs/>
          <w:lang w:val="en-GB"/>
        </w:rPr>
        <w:t>The</w:t>
      </w:r>
      <w:r w:rsidR="003A3057" w:rsidRPr="00F42759">
        <w:rPr>
          <w:rFonts w:ascii="Arial" w:hAnsi="Arial" w:cs="Arial"/>
          <w:bCs/>
          <w:lang w:val="en-GB"/>
        </w:rPr>
        <w:t>se applications occupy ten volumes of documents. All the applications</w:t>
      </w:r>
      <w:r w:rsidR="00117DC6" w:rsidRPr="00F42759">
        <w:rPr>
          <w:rFonts w:ascii="Arial" w:hAnsi="Arial" w:cs="Arial"/>
          <w:bCs/>
          <w:lang w:val="en-GB"/>
        </w:rPr>
        <w:t xml:space="preserve">, excluding the money judgment application, were due to be argued </w:t>
      </w:r>
      <w:r w:rsidR="002F1EF9" w:rsidRPr="00F42759">
        <w:rPr>
          <w:rFonts w:ascii="Arial" w:hAnsi="Arial" w:cs="Arial"/>
          <w:bCs/>
          <w:lang w:val="en-GB"/>
        </w:rPr>
        <w:t xml:space="preserve">before me </w:t>
      </w:r>
      <w:r w:rsidR="00117DC6" w:rsidRPr="00F42759">
        <w:rPr>
          <w:rFonts w:ascii="Arial" w:hAnsi="Arial" w:cs="Arial"/>
          <w:bCs/>
          <w:lang w:val="en-GB"/>
        </w:rPr>
        <w:t>on</w:t>
      </w:r>
      <w:r w:rsidR="002F1EF9" w:rsidRPr="00F42759">
        <w:rPr>
          <w:rFonts w:ascii="Arial" w:hAnsi="Arial" w:cs="Arial"/>
          <w:bCs/>
          <w:lang w:val="en-GB"/>
        </w:rPr>
        <w:t xml:space="preserve"> the opposed roll on</w:t>
      </w:r>
      <w:r w:rsidR="00117DC6" w:rsidRPr="00F42759">
        <w:rPr>
          <w:rFonts w:ascii="Arial" w:hAnsi="Arial" w:cs="Arial"/>
          <w:bCs/>
          <w:lang w:val="en-GB"/>
        </w:rPr>
        <w:t xml:space="preserve"> </w:t>
      </w:r>
      <w:r w:rsidR="003A3057" w:rsidRPr="00F42759">
        <w:rPr>
          <w:rFonts w:ascii="Arial" w:hAnsi="Arial" w:cs="Arial"/>
          <w:bCs/>
          <w:lang w:val="en-GB"/>
        </w:rPr>
        <w:t>10</w:t>
      </w:r>
      <w:r w:rsidR="00117DC6" w:rsidRPr="00F42759">
        <w:rPr>
          <w:rFonts w:ascii="Arial" w:hAnsi="Arial" w:cs="Arial"/>
          <w:bCs/>
          <w:lang w:val="en-GB"/>
        </w:rPr>
        <w:t xml:space="preserve"> November </w:t>
      </w:r>
      <w:r w:rsidR="002F1EF9" w:rsidRPr="00F42759">
        <w:rPr>
          <w:rFonts w:ascii="Arial" w:hAnsi="Arial" w:cs="Arial"/>
          <w:bCs/>
          <w:lang w:val="en-GB"/>
        </w:rPr>
        <w:t>2023</w:t>
      </w:r>
      <w:r w:rsidR="00117DC6" w:rsidRPr="00F42759">
        <w:rPr>
          <w:rFonts w:ascii="Arial" w:hAnsi="Arial" w:cs="Arial"/>
          <w:bCs/>
          <w:lang w:val="en-GB"/>
        </w:rPr>
        <w:t xml:space="preserve">, </w:t>
      </w:r>
      <w:r w:rsidR="00CF4F6A" w:rsidRPr="00F42759">
        <w:rPr>
          <w:rFonts w:ascii="Arial" w:hAnsi="Arial" w:cs="Arial"/>
          <w:bCs/>
          <w:lang w:val="en-GB"/>
        </w:rPr>
        <w:t xml:space="preserve">but </w:t>
      </w:r>
      <w:r w:rsidR="002F1EF9" w:rsidRPr="00F42759">
        <w:rPr>
          <w:rFonts w:ascii="Arial" w:hAnsi="Arial" w:cs="Arial"/>
          <w:bCs/>
          <w:lang w:val="en-GB"/>
        </w:rPr>
        <w:t xml:space="preserve">were not </w:t>
      </w:r>
      <w:r w:rsidR="002D2B4A" w:rsidRPr="00F42759">
        <w:rPr>
          <w:rFonts w:ascii="Arial" w:hAnsi="Arial" w:cs="Arial"/>
          <w:bCs/>
          <w:lang w:val="en-GB"/>
        </w:rPr>
        <w:t xml:space="preserve">so argued </w:t>
      </w:r>
      <w:r w:rsidR="002F1EF9" w:rsidRPr="00F42759">
        <w:rPr>
          <w:rFonts w:ascii="Arial" w:hAnsi="Arial" w:cs="Arial"/>
          <w:bCs/>
          <w:lang w:val="en-GB"/>
        </w:rPr>
        <w:t>for reasons</w:t>
      </w:r>
      <w:r w:rsidR="009A383B" w:rsidRPr="00F42759">
        <w:rPr>
          <w:rFonts w:ascii="Arial" w:hAnsi="Arial" w:cs="Arial"/>
          <w:bCs/>
          <w:lang w:val="en-GB"/>
        </w:rPr>
        <w:t xml:space="preserve"> that</w:t>
      </w:r>
      <w:r w:rsidR="002F1EF9" w:rsidRPr="00F42759">
        <w:rPr>
          <w:rFonts w:ascii="Arial" w:hAnsi="Arial" w:cs="Arial"/>
          <w:bCs/>
          <w:lang w:val="en-GB"/>
        </w:rPr>
        <w:t xml:space="preserve"> I need not go into.</w:t>
      </w:r>
      <w:r w:rsidR="00CF4F6A" w:rsidRPr="00F42759">
        <w:rPr>
          <w:rFonts w:ascii="Arial" w:hAnsi="Arial" w:cs="Arial"/>
          <w:bCs/>
          <w:lang w:val="en-GB"/>
        </w:rPr>
        <w:t xml:space="preserve"> </w:t>
      </w:r>
      <w:r w:rsidR="00723105" w:rsidRPr="00F42759">
        <w:rPr>
          <w:rFonts w:ascii="Arial" w:hAnsi="Arial" w:cs="Arial"/>
          <w:bCs/>
          <w:lang w:val="en-GB"/>
        </w:rPr>
        <w:t xml:space="preserve">I had read the </w:t>
      </w:r>
      <w:r w:rsidR="00CF4F6A" w:rsidRPr="00F42759">
        <w:rPr>
          <w:rFonts w:ascii="Arial" w:hAnsi="Arial" w:cs="Arial"/>
          <w:bCs/>
          <w:lang w:val="en-GB"/>
        </w:rPr>
        <w:t>ten volumes</w:t>
      </w:r>
      <w:r w:rsidR="009A383B" w:rsidRPr="00F42759">
        <w:rPr>
          <w:rFonts w:ascii="Arial" w:hAnsi="Arial" w:cs="Arial"/>
          <w:bCs/>
          <w:lang w:val="en-GB"/>
        </w:rPr>
        <w:t xml:space="preserve"> that these applications occupy</w:t>
      </w:r>
      <w:r w:rsidR="002F1EF9" w:rsidRPr="00F42759">
        <w:rPr>
          <w:rFonts w:ascii="Arial" w:hAnsi="Arial" w:cs="Arial"/>
          <w:bCs/>
          <w:lang w:val="en-GB"/>
        </w:rPr>
        <w:t>, and rather</w:t>
      </w:r>
      <w:r w:rsidR="00723105" w:rsidRPr="00F42759">
        <w:rPr>
          <w:rFonts w:ascii="Arial" w:hAnsi="Arial" w:cs="Arial"/>
          <w:bCs/>
          <w:lang w:val="en-GB"/>
        </w:rPr>
        <w:t xml:space="preserve"> than require another judge to</w:t>
      </w:r>
      <w:r w:rsidR="002F1EF9" w:rsidRPr="00F42759">
        <w:rPr>
          <w:rFonts w:ascii="Arial" w:hAnsi="Arial" w:cs="Arial"/>
          <w:bCs/>
          <w:lang w:val="en-GB"/>
        </w:rPr>
        <w:t xml:space="preserve"> </w:t>
      </w:r>
      <w:r w:rsidR="009A383B" w:rsidRPr="00F42759">
        <w:rPr>
          <w:rFonts w:ascii="Arial" w:hAnsi="Arial" w:cs="Arial"/>
          <w:bCs/>
          <w:lang w:val="en-GB"/>
        </w:rPr>
        <w:t>read them,</w:t>
      </w:r>
      <w:r w:rsidR="00723105" w:rsidRPr="00F42759">
        <w:rPr>
          <w:rFonts w:ascii="Arial" w:hAnsi="Arial" w:cs="Arial"/>
          <w:bCs/>
          <w:lang w:val="en-GB"/>
        </w:rPr>
        <w:t xml:space="preserve"> I </w:t>
      </w:r>
      <w:r w:rsidR="009A383B" w:rsidRPr="00F42759">
        <w:rPr>
          <w:rFonts w:ascii="Arial" w:hAnsi="Arial" w:cs="Arial"/>
          <w:bCs/>
          <w:lang w:val="en-GB"/>
        </w:rPr>
        <w:t xml:space="preserve">agreed to </w:t>
      </w:r>
      <w:r w:rsidR="00723105" w:rsidRPr="00F42759">
        <w:rPr>
          <w:rFonts w:ascii="Arial" w:hAnsi="Arial" w:cs="Arial"/>
          <w:bCs/>
          <w:lang w:val="en-GB"/>
        </w:rPr>
        <w:t xml:space="preserve">retain the </w:t>
      </w:r>
      <w:r w:rsidR="00E5309E" w:rsidRPr="00F42759">
        <w:rPr>
          <w:rFonts w:ascii="Arial" w:hAnsi="Arial" w:cs="Arial"/>
          <w:bCs/>
          <w:lang w:val="en-GB"/>
        </w:rPr>
        <w:t>matter</w:t>
      </w:r>
      <w:r w:rsidR="00723105" w:rsidRPr="00F42759">
        <w:rPr>
          <w:rFonts w:ascii="Arial" w:hAnsi="Arial" w:cs="Arial"/>
          <w:bCs/>
          <w:lang w:val="en-GB"/>
        </w:rPr>
        <w:t>. The</w:t>
      </w:r>
      <w:r w:rsidR="00CF4F6A" w:rsidRPr="00F42759">
        <w:rPr>
          <w:rFonts w:ascii="Arial" w:hAnsi="Arial" w:cs="Arial"/>
          <w:bCs/>
          <w:lang w:val="en-GB"/>
        </w:rPr>
        <w:t xml:space="preserve"> applications then extant </w:t>
      </w:r>
      <w:r w:rsidR="00E5309E" w:rsidRPr="00F42759">
        <w:rPr>
          <w:rFonts w:ascii="Arial" w:hAnsi="Arial" w:cs="Arial"/>
          <w:bCs/>
          <w:lang w:val="en-GB"/>
        </w:rPr>
        <w:t xml:space="preserve">on 10 November 2023 </w:t>
      </w:r>
      <w:r w:rsidR="00CF4F6A" w:rsidRPr="00F42759">
        <w:rPr>
          <w:rFonts w:ascii="Arial" w:hAnsi="Arial" w:cs="Arial"/>
          <w:bCs/>
          <w:lang w:val="en-GB"/>
        </w:rPr>
        <w:t>were set down for argument on 26 January 2024. There</w:t>
      </w:r>
      <w:r w:rsidR="00723105" w:rsidRPr="00F42759">
        <w:rPr>
          <w:rFonts w:ascii="Arial" w:hAnsi="Arial" w:cs="Arial"/>
          <w:bCs/>
          <w:lang w:val="en-GB"/>
        </w:rPr>
        <w:t xml:space="preserve"> was no money judgment application </w:t>
      </w:r>
      <w:r w:rsidR="009A383B" w:rsidRPr="00F42759">
        <w:rPr>
          <w:rFonts w:ascii="Arial" w:hAnsi="Arial" w:cs="Arial"/>
          <w:bCs/>
          <w:lang w:val="en-GB"/>
        </w:rPr>
        <w:t xml:space="preserve">in existence </w:t>
      </w:r>
      <w:r w:rsidR="00723105" w:rsidRPr="00F42759">
        <w:rPr>
          <w:rFonts w:ascii="Arial" w:hAnsi="Arial" w:cs="Arial"/>
          <w:bCs/>
          <w:lang w:val="en-GB"/>
        </w:rPr>
        <w:t>at th</w:t>
      </w:r>
      <w:r w:rsidR="00CF4F6A" w:rsidRPr="00F42759">
        <w:rPr>
          <w:rFonts w:ascii="Arial" w:hAnsi="Arial" w:cs="Arial"/>
          <w:bCs/>
          <w:lang w:val="en-GB"/>
        </w:rPr>
        <w:t xml:space="preserve">e stage when that date was arranged. </w:t>
      </w:r>
      <w:r w:rsidR="00020212" w:rsidRPr="00F42759">
        <w:rPr>
          <w:rFonts w:ascii="Arial" w:hAnsi="Arial" w:cs="Arial"/>
          <w:bCs/>
          <w:lang w:val="en-GB"/>
        </w:rPr>
        <w:t>Th</w:t>
      </w:r>
      <w:r w:rsidR="009A383B" w:rsidRPr="00F42759">
        <w:rPr>
          <w:rFonts w:ascii="Arial" w:hAnsi="Arial" w:cs="Arial"/>
          <w:bCs/>
          <w:lang w:val="en-GB"/>
        </w:rPr>
        <w:t>e money judgment</w:t>
      </w:r>
      <w:r w:rsidR="00020212" w:rsidRPr="00F42759">
        <w:rPr>
          <w:rFonts w:ascii="Arial" w:hAnsi="Arial" w:cs="Arial"/>
          <w:bCs/>
          <w:lang w:val="en-GB"/>
        </w:rPr>
        <w:t xml:space="preserve"> application was launched on </w:t>
      </w:r>
      <w:r w:rsidR="00270B18" w:rsidRPr="00F42759">
        <w:rPr>
          <w:rFonts w:ascii="Arial" w:hAnsi="Arial" w:cs="Arial"/>
          <w:bCs/>
          <w:lang w:val="en-GB"/>
        </w:rPr>
        <w:t>14 December 2023</w:t>
      </w:r>
      <w:r w:rsidR="00020212" w:rsidRPr="00F42759">
        <w:rPr>
          <w:rFonts w:ascii="Arial" w:hAnsi="Arial" w:cs="Arial"/>
          <w:bCs/>
          <w:lang w:val="en-GB"/>
        </w:rPr>
        <w:t xml:space="preserve"> and </w:t>
      </w:r>
      <w:r w:rsidR="009C51AD" w:rsidRPr="00F42759">
        <w:rPr>
          <w:rFonts w:ascii="Arial" w:hAnsi="Arial" w:cs="Arial"/>
          <w:bCs/>
          <w:lang w:val="en-GB"/>
        </w:rPr>
        <w:t xml:space="preserve">was </w:t>
      </w:r>
      <w:r w:rsidR="00020212" w:rsidRPr="00F42759">
        <w:rPr>
          <w:rFonts w:ascii="Arial" w:hAnsi="Arial" w:cs="Arial"/>
          <w:bCs/>
          <w:lang w:val="en-GB"/>
        </w:rPr>
        <w:t xml:space="preserve">also set down for 26 January 2024. </w:t>
      </w:r>
      <w:r w:rsidR="00CF4F6A" w:rsidRPr="00F42759">
        <w:rPr>
          <w:rFonts w:ascii="Arial" w:hAnsi="Arial" w:cs="Arial"/>
          <w:bCs/>
          <w:lang w:val="en-GB"/>
        </w:rPr>
        <w:t xml:space="preserve">On </w:t>
      </w:r>
      <w:r w:rsidR="002D2B4A" w:rsidRPr="00F42759">
        <w:rPr>
          <w:rFonts w:ascii="Arial" w:hAnsi="Arial" w:cs="Arial"/>
          <w:bCs/>
          <w:lang w:val="en-GB"/>
        </w:rPr>
        <w:t>26 January 2024</w:t>
      </w:r>
      <w:r w:rsidR="00CF4F6A" w:rsidRPr="00F42759">
        <w:rPr>
          <w:rFonts w:ascii="Arial" w:hAnsi="Arial" w:cs="Arial"/>
          <w:bCs/>
          <w:lang w:val="en-GB"/>
        </w:rPr>
        <w:t xml:space="preserve">, I indicated </w:t>
      </w:r>
      <w:r w:rsidR="00723105" w:rsidRPr="00F42759">
        <w:rPr>
          <w:rFonts w:ascii="Arial" w:hAnsi="Arial" w:cs="Arial"/>
          <w:bCs/>
          <w:lang w:val="en-GB"/>
        </w:rPr>
        <w:t>to all counsel that I was not disposed to hearing th</w:t>
      </w:r>
      <w:r w:rsidR="00CF4F6A" w:rsidRPr="00F42759">
        <w:rPr>
          <w:rFonts w:ascii="Arial" w:hAnsi="Arial" w:cs="Arial"/>
          <w:bCs/>
          <w:lang w:val="en-GB"/>
        </w:rPr>
        <w:t xml:space="preserve">e money judgment </w:t>
      </w:r>
      <w:r w:rsidR="00723105" w:rsidRPr="00F42759">
        <w:rPr>
          <w:rFonts w:ascii="Arial" w:hAnsi="Arial" w:cs="Arial"/>
          <w:bCs/>
          <w:lang w:val="en-GB"/>
        </w:rPr>
        <w:t>application for fear that there would be insufficient time to consider the other applications in respect of which the date had been arranged. It follows that the money judgment application is to be adjourned sine die, with the costs reserved.</w:t>
      </w:r>
    </w:p>
    <w:p w:rsidR="00FA732B" w:rsidRDefault="00FA732B" w:rsidP="00FA732B">
      <w:pPr>
        <w:pStyle w:val="ListParagraph"/>
        <w:tabs>
          <w:tab w:val="left" w:pos="709"/>
        </w:tabs>
        <w:spacing w:line="360" w:lineRule="auto"/>
        <w:ind w:left="0"/>
        <w:jc w:val="both"/>
        <w:rPr>
          <w:rFonts w:ascii="Arial" w:hAnsi="Arial" w:cs="Arial"/>
          <w:b/>
          <w:lang w:val="en-GB"/>
        </w:rPr>
      </w:pPr>
    </w:p>
    <w:p w:rsidR="006D3110" w:rsidRPr="00F42759" w:rsidRDefault="00F42759" w:rsidP="00F42759">
      <w:pPr>
        <w:tabs>
          <w:tab w:val="left" w:pos="709"/>
        </w:tabs>
        <w:spacing w:line="360" w:lineRule="auto"/>
        <w:jc w:val="both"/>
        <w:rPr>
          <w:rFonts w:ascii="Arial" w:hAnsi="Arial" w:cs="Arial"/>
          <w:b/>
          <w:lang w:val="en-GB"/>
        </w:rPr>
      </w:pPr>
      <w:r w:rsidRPr="00E80F19">
        <w:rPr>
          <w:rFonts w:ascii="Arial" w:eastAsiaTheme="minorHAnsi" w:hAnsi="Arial" w:cs="Arial"/>
          <w:lang w:val="en-GB" w:eastAsia="en-US" w:bidi="ar-SA"/>
        </w:rPr>
        <w:t>[5]</w:t>
      </w:r>
      <w:r w:rsidRPr="00E80F19">
        <w:rPr>
          <w:rFonts w:ascii="Arial" w:eastAsiaTheme="minorHAnsi" w:hAnsi="Arial" w:cs="Arial"/>
          <w:lang w:val="en-GB" w:eastAsia="en-US" w:bidi="ar-SA"/>
        </w:rPr>
        <w:tab/>
      </w:r>
      <w:r w:rsidR="006D3110" w:rsidRPr="00F42759">
        <w:rPr>
          <w:rFonts w:ascii="Arial" w:hAnsi="Arial" w:cs="Arial"/>
          <w:bCs/>
          <w:lang w:val="en-GB"/>
        </w:rPr>
        <w:t xml:space="preserve">Irrespective of which application I may be dealing with in this judgment, I shall refer to the parties as they are cited in the urgent application after the joinder of the second to fifth respondents. Thus, the applicant and first respondent in the urgent application will </w:t>
      </w:r>
      <w:r w:rsidR="00020212" w:rsidRPr="00F42759">
        <w:rPr>
          <w:rFonts w:ascii="Arial" w:hAnsi="Arial" w:cs="Arial"/>
          <w:bCs/>
          <w:lang w:val="en-GB"/>
        </w:rPr>
        <w:t xml:space="preserve">continuously </w:t>
      </w:r>
      <w:r w:rsidR="006D3110" w:rsidRPr="00F42759">
        <w:rPr>
          <w:rFonts w:ascii="Arial" w:hAnsi="Arial" w:cs="Arial"/>
          <w:bCs/>
          <w:lang w:val="en-GB"/>
        </w:rPr>
        <w:t>be referred to throughout this judgment by those appellations</w:t>
      </w:r>
      <w:r w:rsidR="002456DC" w:rsidRPr="00F42759">
        <w:rPr>
          <w:rFonts w:ascii="Arial" w:hAnsi="Arial" w:cs="Arial"/>
          <w:bCs/>
          <w:lang w:val="en-GB"/>
        </w:rPr>
        <w:t>.</w:t>
      </w:r>
    </w:p>
    <w:p w:rsidR="00E80F19" w:rsidRPr="00E80F19" w:rsidRDefault="00E80F19" w:rsidP="00E80F19">
      <w:pPr>
        <w:pStyle w:val="ListParagraph"/>
        <w:spacing w:line="360" w:lineRule="auto"/>
        <w:rPr>
          <w:rFonts w:ascii="Arial" w:hAnsi="Arial" w:cs="Arial"/>
          <w:b/>
          <w:lang w:val="en-GB"/>
        </w:rPr>
      </w:pPr>
    </w:p>
    <w:p w:rsidR="00E80F19" w:rsidRPr="00F42759" w:rsidRDefault="00F42759" w:rsidP="00F42759">
      <w:pPr>
        <w:tabs>
          <w:tab w:val="left" w:pos="709"/>
        </w:tabs>
        <w:spacing w:line="360" w:lineRule="auto"/>
        <w:jc w:val="both"/>
        <w:rPr>
          <w:rFonts w:ascii="Arial" w:hAnsi="Arial" w:cs="Arial"/>
          <w:bCs/>
          <w:lang w:val="en-GB"/>
        </w:rPr>
      </w:pPr>
      <w:r w:rsidRPr="00E80F19">
        <w:rPr>
          <w:rFonts w:ascii="Arial" w:eastAsiaTheme="minorHAnsi" w:hAnsi="Arial" w:cs="Arial"/>
          <w:bCs/>
          <w:lang w:val="en-GB" w:eastAsia="en-US" w:bidi="ar-SA"/>
        </w:rPr>
        <w:t>[6]</w:t>
      </w:r>
      <w:r w:rsidRPr="00E80F19">
        <w:rPr>
          <w:rFonts w:ascii="Arial" w:eastAsiaTheme="minorHAnsi" w:hAnsi="Arial" w:cs="Arial"/>
          <w:bCs/>
          <w:lang w:val="en-GB" w:eastAsia="en-US" w:bidi="ar-SA"/>
        </w:rPr>
        <w:tab/>
      </w:r>
      <w:r w:rsidR="00E80F19" w:rsidRPr="00F42759">
        <w:rPr>
          <w:rFonts w:ascii="Arial" w:hAnsi="Arial" w:cs="Arial"/>
          <w:bCs/>
          <w:lang w:val="en-GB"/>
        </w:rPr>
        <w:t>Before proceeding further, it is necessary to thank counsel for their assistance. In this regard, Mr Dickson SC appeared for the applicant, Mr Broster SC and Ms Qono appeared for the first respondent and Mr de Wet SC appeared for all the other respondents. There was a lively exchange of submissions between counsel when the matter was argued, which was both entertaining and instructive.</w:t>
      </w:r>
    </w:p>
    <w:p w:rsidR="006D3110" w:rsidRPr="006D3110" w:rsidRDefault="006D3110" w:rsidP="00E80F19">
      <w:pPr>
        <w:pStyle w:val="ListParagraph"/>
        <w:tabs>
          <w:tab w:val="left" w:pos="709"/>
        </w:tabs>
        <w:spacing w:line="360" w:lineRule="auto"/>
        <w:ind w:left="0"/>
        <w:jc w:val="both"/>
        <w:rPr>
          <w:rFonts w:ascii="Arial" w:hAnsi="Arial" w:cs="Arial"/>
          <w:bCs/>
          <w:lang w:val="en-GB"/>
        </w:rPr>
      </w:pPr>
    </w:p>
    <w:p w:rsidR="00977AB5" w:rsidRPr="00F42759" w:rsidRDefault="00F42759" w:rsidP="00F42759">
      <w:pPr>
        <w:tabs>
          <w:tab w:val="left" w:pos="709"/>
        </w:tabs>
        <w:spacing w:line="360" w:lineRule="auto"/>
        <w:jc w:val="both"/>
        <w:rPr>
          <w:rFonts w:ascii="Arial" w:hAnsi="Arial" w:cs="Arial"/>
          <w:bCs/>
          <w:lang w:val="en-GB"/>
        </w:rPr>
      </w:pPr>
      <w:r>
        <w:rPr>
          <w:rFonts w:ascii="Arial" w:eastAsiaTheme="minorHAnsi" w:hAnsi="Arial" w:cs="Arial"/>
          <w:bCs/>
          <w:lang w:val="en-GB" w:eastAsia="en-US" w:bidi="ar-SA"/>
        </w:rPr>
        <w:t>[7]</w:t>
      </w:r>
      <w:r>
        <w:rPr>
          <w:rFonts w:ascii="Arial" w:eastAsiaTheme="minorHAnsi" w:hAnsi="Arial" w:cs="Arial"/>
          <w:bCs/>
          <w:lang w:val="en-GB" w:eastAsia="en-US" w:bidi="ar-SA"/>
        </w:rPr>
        <w:tab/>
      </w:r>
      <w:r w:rsidR="00BF6587" w:rsidRPr="00F42759">
        <w:rPr>
          <w:rFonts w:asciiTheme="minorBidi" w:hAnsiTheme="minorBidi"/>
        </w:rPr>
        <w:t>So</w:t>
      </w:r>
      <w:r w:rsidR="006D3110" w:rsidRPr="00F42759">
        <w:rPr>
          <w:rFonts w:asciiTheme="minorBidi" w:hAnsiTheme="minorBidi"/>
        </w:rPr>
        <w:t>, w</w:t>
      </w:r>
      <w:r w:rsidR="009A383B" w:rsidRPr="00F42759">
        <w:rPr>
          <w:rFonts w:asciiTheme="minorBidi" w:hAnsiTheme="minorBidi"/>
        </w:rPr>
        <w:t>h</w:t>
      </w:r>
      <w:r w:rsidR="00CF4F6A" w:rsidRPr="00F42759">
        <w:rPr>
          <w:rFonts w:asciiTheme="minorBidi" w:hAnsiTheme="minorBidi"/>
        </w:rPr>
        <w:t xml:space="preserve">ere to begin? </w:t>
      </w:r>
      <w:r w:rsidR="00842363" w:rsidRPr="00F42759">
        <w:rPr>
          <w:rFonts w:asciiTheme="minorBidi" w:hAnsiTheme="minorBidi"/>
        </w:rPr>
        <w:t>Oscar Hammerstein</w:t>
      </w:r>
      <w:r w:rsidR="005F754B" w:rsidRPr="00F42759">
        <w:rPr>
          <w:rFonts w:asciiTheme="minorBidi" w:hAnsiTheme="minorBidi"/>
        </w:rPr>
        <w:t xml:space="preserve"> II</w:t>
      </w:r>
      <w:r w:rsidR="002D2B4A" w:rsidRPr="00F42759">
        <w:rPr>
          <w:rFonts w:asciiTheme="minorBidi" w:hAnsiTheme="minorBidi"/>
        </w:rPr>
        <w:t>,</w:t>
      </w:r>
      <w:r w:rsidR="007E54AA">
        <w:rPr>
          <w:rStyle w:val="FootnoteReference"/>
          <w:rFonts w:asciiTheme="minorBidi" w:hAnsiTheme="minorBidi"/>
        </w:rPr>
        <w:footnoteReference w:id="3"/>
      </w:r>
      <w:r w:rsidR="00842363" w:rsidRPr="00F42759">
        <w:rPr>
          <w:rFonts w:asciiTheme="minorBidi" w:hAnsiTheme="minorBidi"/>
        </w:rPr>
        <w:t xml:space="preserve"> in writing the </w:t>
      </w:r>
      <w:r w:rsidR="00584FC6" w:rsidRPr="00F42759">
        <w:rPr>
          <w:rFonts w:asciiTheme="minorBidi" w:hAnsiTheme="minorBidi"/>
        </w:rPr>
        <w:t xml:space="preserve">lyrics for the </w:t>
      </w:r>
      <w:r w:rsidR="00842363" w:rsidRPr="00F42759">
        <w:rPr>
          <w:rFonts w:asciiTheme="minorBidi" w:hAnsiTheme="minorBidi"/>
        </w:rPr>
        <w:t xml:space="preserve">song ‘Do-Re-Mi’ </w:t>
      </w:r>
      <w:r w:rsidR="00584FC6" w:rsidRPr="00F42759">
        <w:rPr>
          <w:rFonts w:asciiTheme="minorBidi" w:hAnsiTheme="minorBidi"/>
        </w:rPr>
        <w:t xml:space="preserve">in </w:t>
      </w:r>
      <w:r w:rsidR="002867DC" w:rsidRPr="00F42759">
        <w:rPr>
          <w:rFonts w:asciiTheme="minorBidi" w:hAnsiTheme="minorBidi"/>
        </w:rPr>
        <w:t>‘T</w:t>
      </w:r>
      <w:r w:rsidR="00842363" w:rsidRPr="00F42759">
        <w:rPr>
          <w:rFonts w:asciiTheme="minorBidi" w:hAnsiTheme="minorBidi"/>
        </w:rPr>
        <w:t>he Sound of Music</w:t>
      </w:r>
      <w:r w:rsidR="002867DC" w:rsidRPr="00F42759">
        <w:rPr>
          <w:rFonts w:asciiTheme="minorBidi" w:hAnsiTheme="minorBidi"/>
        </w:rPr>
        <w:t>’</w:t>
      </w:r>
      <w:r w:rsidR="00842363" w:rsidRPr="00F42759">
        <w:rPr>
          <w:rFonts w:asciiTheme="minorBidi" w:hAnsiTheme="minorBidi"/>
        </w:rPr>
        <w:t>, proposed that one should start at the beginning because it</w:t>
      </w:r>
      <w:r w:rsidR="00944E8E" w:rsidRPr="00F42759">
        <w:rPr>
          <w:rFonts w:asciiTheme="minorBidi" w:hAnsiTheme="minorBidi"/>
        </w:rPr>
        <w:t xml:space="preserve"> i</w:t>
      </w:r>
      <w:r w:rsidR="00842363" w:rsidRPr="00F42759">
        <w:rPr>
          <w:rFonts w:asciiTheme="minorBidi" w:hAnsiTheme="minorBidi"/>
        </w:rPr>
        <w:t xml:space="preserve">s a very good place to start. In my view, that </w:t>
      </w:r>
      <w:r w:rsidR="00A036CD" w:rsidRPr="00F42759">
        <w:rPr>
          <w:rFonts w:asciiTheme="minorBidi" w:hAnsiTheme="minorBidi"/>
        </w:rPr>
        <w:t>may</w:t>
      </w:r>
      <w:r w:rsidR="00842363" w:rsidRPr="00F42759">
        <w:rPr>
          <w:rFonts w:asciiTheme="minorBidi" w:hAnsiTheme="minorBidi"/>
        </w:rPr>
        <w:t xml:space="preserve"> not be a very good place </w:t>
      </w:r>
      <w:r w:rsidR="00842363" w:rsidRPr="00F42759">
        <w:rPr>
          <w:rFonts w:asciiTheme="minorBidi" w:hAnsiTheme="minorBidi"/>
        </w:rPr>
        <w:lastRenderedPageBreak/>
        <w:t xml:space="preserve">to </w:t>
      </w:r>
      <w:r w:rsidR="002456DC" w:rsidRPr="00F42759">
        <w:rPr>
          <w:rFonts w:asciiTheme="minorBidi" w:hAnsiTheme="minorBidi"/>
        </w:rPr>
        <w:t>start</w:t>
      </w:r>
      <w:r w:rsidR="00842363" w:rsidRPr="00F42759">
        <w:rPr>
          <w:rFonts w:asciiTheme="minorBidi" w:hAnsiTheme="minorBidi"/>
        </w:rPr>
        <w:t xml:space="preserve"> in these multiple applications</w:t>
      </w:r>
      <w:r w:rsidR="0063694F" w:rsidRPr="00F42759">
        <w:rPr>
          <w:rFonts w:asciiTheme="minorBidi" w:hAnsiTheme="minorBidi"/>
        </w:rPr>
        <w:t>,</w:t>
      </w:r>
      <w:r w:rsidR="00584FC6" w:rsidRPr="00F42759">
        <w:rPr>
          <w:rFonts w:asciiTheme="minorBidi" w:hAnsiTheme="minorBidi"/>
        </w:rPr>
        <w:t xml:space="preserve"> if the beginning is taken to be the urgent application</w:t>
      </w:r>
      <w:r w:rsidR="00842363" w:rsidRPr="00F42759">
        <w:rPr>
          <w:rFonts w:asciiTheme="minorBidi" w:hAnsiTheme="minorBidi"/>
        </w:rPr>
        <w:t xml:space="preserve">. </w:t>
      </w:r>
      <w:r w:rsidR="00FA732B" w:rsidRPr="00F42759">
        <w:rPr>
          <w:rFonts w:asciiTheme="minorBidi" w:hAnsiTheme="minorBidi"/>
        </w:rPr>
        <w:t xml:space="preserve">I could not commence with that application because it is </w:t>
      </w:r>
      <w:r w:rsidR="006D34EB" w:rsidRPr="00F42759">
        <w:rPr>
          <w:rFonts w:asciiTheme="minorBidi" w:hAnsiTheme="minorBidi"/>
        </w:rPr>
        <w:t>premis</w:t>
      </w:r>
      <w:r w:rsidR="00FA732B" w:rsidRPr="00F42759">
        <w:rPr>
          <w:rFonts w:asciiTheme="minorBidi" w:hAnsiTheme="minorBidi"/>
        </w:rPr>
        <w:t xml:space="preserve">ed upon </w:t>
      </w:r>
      <w:r w:rsidR="002456DC" w:rsidRPr="00F42759">
        <w:rPr>
          <w:rFonts w:asciiTheme="minorBidi" w:hAnsiTheme="minorBidi"/>
        </w:rPr>
        <w:t>a</w:t>
      </w:r>
      <w:r w:rsidR="00FA732B" w:rsidRPr="00F42759">
        <w:rPr>
          <w:rFonts w:asciiTheme="minorBidi" w:hAnsiTheme="minorBidi"/>
        </w:rPr>
        <w:t xml:space="preserve"> contract</w:t>
      </w:r>
      <w:r w:rsidR="00270B18" w:rsidRPr="00F42759">
        <w:rPr>
          <w:rFonts w:asciiTheme="minorBidi" w:hAnsiTheme="minorBidi"/>
        </w:rPr>
        <w:t xml:space="preserve"> that, according to the applicant, </w:t>
      </w:r>
      <w:r w:rsidR="00761DB9" w:rsidRPr="00F42759">
        <w:rPr>
          <w:rFonts w:asciiTheme="minorBidi" w:hAnsiTheme="minorBidi"/>
        </w:rPr>
        <w:t xml:space="preserve">is </w:t>
      </w:r>
      <w:r w:rsidR="00270B18" w:rsidRPr="00F42759">
        <w:rPr>
          <w:rFonts w:asciiTheme="minorBidi" w:hAnsiTheme="minorBidi"/>
        </w:rPr>
        <w:t>to be rectified</w:t>
      </w:r>
      <w:r w:rsidR="00FA732B" w:rsidRPr="00F42759">
        <w:rPr>
          <w:rFonts w:asciiTheme="minorBidi" w:hAnsiTheme="minorBidi"/>
        </w:rPr>
        <w:t>. I</w:t>
      </w:r>
      <w:r w:rsidR="000B1F95" w:rsidRPr="00F42759">
        <w:rPr>
          <w:rFonts w:asciiTheme="minorBidi" w:hAnsiTheme="minorBidi"/>
        </w:rPr>
        <w:t>f I was to follow the sequence in which the applications were delivered</w:t>
      </w:r>
      <w:r w:rsidR="008D2BDC" w:rsidRPr="00F42759">
        <w:rPr>
          <w:rFonts w:asciiTheme="minorBidi" w:hAnsiTheme="minorBidi"/>
        </w:rPr>
        <w:t>,</w:t>
      </w:r>
      <w:r w:rsidR="000B1F95" w:rsidRPr="00F42759">
        <w:rPr>
          <w:rFonts w:asciiTheme="minorBidi" w:hAnsiTheme="minorBidi"/>
        </w:rPr>
        <w:t xml:space="preserve"> I would then</w:t>
      </w:r>
      <w:r w:rsidR="00FA732B" w:rsidRPr="00F42759">
        <w:rPr>
          <w:rFonts w:asciiTheme="minorBidi" w:hAnsiTheme="minorBidi"/>
        </w:rPr>
        <w:t xml:space="preserve"> have to start with the rectification application to determine whether the contract should be rectified and then enforced through the urgent application. </w:t>
      </w:r>
      <w:r w:rsidR="000B1F95" w:rsidRPr="00F42759">
        <w:rPr>
          <w:rFonts w:asciiTheme="minorBidi" w:hAnsiTheme="minorBidi"/>
        </w:rPr>
        <w:t>But</w:t>
      </w:r>
      <w:r w:rsidR="00FA732B" w:rsidRPr="00F42759">
        <w:rPr>
          <w:rFonts w:asciiTheme="minorBidi" w:hAnsiTheme="minorBidi"/>
        </w:rPr>
        <w:t xml:space="preserve"> i</w:t>
      </w:r>
      <w:r w:rsidR="00842363" w:rsidRPr="00F42759">
        <w:rPr>
          <w:rFonts w:ascii="Arial" w:hAnsi="Arial" w:cs="Arial"/>
          <w:bCs/>
          <w:lang w:val="en-GB"/>
        </w:rPr>
        <w:t>t seems to me that the logical place to commence is the review application</w:t>
      </w:r>
      <w:r w:rsidR="00584FC6" w:rsidRPr="00F42759">
        <w:rPr>
          <w:rFonts w:ascii="Arial" w:hAnsi="Arial" w:cs="Arial"/>
          <w:bCs/>
          <w:lang w:val="en-GB"/>
        </w:rPr>
        <w:t xml:space="preserve"> as it</w:t>
      </w:r>
      <w:r w:rsidR="00842363" w:rsidRPr="00F42759">
        <w:rPr>
          <w:rFonts w:ascii="Arial" w:hAnsi="Arial" w:cs="Arial"/>
          <w:bCs/>
          <w:lang w:val="en-GB"/>
        </w:rPr>
        <w:t xml:space="preserve"> seeks</w:t>
      </w:r>
      <w:r w:rsidR="00020212" w:rsidRPr="00F42759">
        <w:rPr>
          <w:rFonts w:ascii="Arial" w:hAnsi="Arial" w:cs="Arial"/>
          <w:bCs/>
          <w:lang w:val="en-GB"/>
        </w:rPr>
        <w:t>,</w:t>
      </w:r>
      <w:r w:rsidR="00842363" w:rsidRPr="00F42759">
        <w:rPr>
          <w:rFonts w:ascii="Arial" w:hAnsi="Arial" w:cs="Arial"/>
          <w:bCs/>
          <w:lang w:val="en-GB"/>
        </w:rPr>
        <w:t xml:space="preserve"> </w:t>
      </w:r>
      <w:r w:rsidR="00EE1B17" w:rsidRPr="00F42759">
        <w:rPr>
          <w:rFonts w:ascii="Arial" w:hAnsi="Arial" w:cs="Arial"/>
          <w:bCs/>
          <w:lang w:val="en-GB"/>
        </w:rPr>
        <w:t>as one of its goals</w:t>
      </w:r>
      <w:r w:rsidR="00020212" w:rsidRPr="00F42759">
        <w:rPr>
          <w:rFonts w:ascii="Arial" w:hAnsi="Arial" w:cs="Arial"/>
          <w:bCs/>
          <w:lang w:val="en-GB"/>
        </w:rPr>
        <w:t>,</w:t>
      </w:r>
      <w:r w:rsidR="00EE1B17" w:rsidRPr="00F42759">
        <w:rPr>
          <w:rFonts w:ascii="Arial" w:hAnsi="Arial" w:cs="Arial"/>
          <w:bCs/>
          <w:lang w:val="en-GB"/>
        </w:rPr>
        <w:t xml:space="preserve"> </w:t>
      </w:r>
      <w:r w:rsidR="00842363" w:rsidRPr="00F42759">
        <w:rPr>
          <w:rFonts w:ascii="Arial" w:hAnsi="Arial" w:cs="Arial"/>
          <w:bCs/>
          <w:lang w:val="en-GB"/>
        </w:rPr>
        <w:t xml:space="preserve">to set aside the contract that the applicant </w:t>
      </w:r>
      <w:r w:rsidR="00E1521E" w:rsidRPr="00F42759">
        <w:rPr>
          <w:rFonts w:ascii="Arial" w:hAnsi="Arial" w:cs="Arial"/>
          <w:bCs/>
          <w:lang w:val="en-GB"/>
        </w:rPr>
        <w:t>wishe</w:t>
      </w:r>
      <w:r w:rsidR="00842363" w:rsidRPr="00F42759">
        <w:rPr>
          <w:rFonts w:ascii="Arial" w:hAnsi="Arial" w:cs="Arial"/>
          <w:bCs/>
          <w:lang w:val="en-GB"/>
        </w:rPr>
        <w:t xml:space="preserve">s to </w:t>
      </w:r>
      <w:r w:rsidR="002867DC" w:rsidRPr="00F42759">
        <w:rPr>
          <w:rFonts w:ascii="Arial" w:hAnsi="Arial" w:cs="Arial"/>
          <w:bCs/>
          <w:lang w:val="en-GB"/>
        </w:rPr>
        <w:t>enforce in the urgent application and to r</w:t>
      </w:r>
      <w:r w:rsidR="00842363" w:rsidRPr="00F42759">
        <w:rPr>
          <w:rFonts w:ascii="Arial" w:hAnsi="Arial" w:cs="Arial"/>
          <w:bCs/>
          <w:lang w:val="en-GB"/>
        </w:rPr>
        <w:t xml:space="preserve">ectify in the rectification application. </w:t>
      </w:r>
      <w:r w:rsidR="0063694F" w:rsidRPr="00F42759">
        <w:rPr>
          <w:rFonts w:ascii="Arial" w:hAnsi="Arial" w:cs="Arial"/>
          <w:bCs/>
          <w:lang w:val="en-GB"/>
        </w:rPr>
        <w:t xml:space="preserve">If the review is </w:t>
      </w:r>
      <w:r w:rsidR="00A64236" w:rsidRPr="00F42759">
        <w:rPr>
          <w:rFonts w:ascii="Arial" w:hAnsi="Arial" w:cs="Arial"/>
          <w:bCs/>
          <w:lang w:val="en-GB"/>
        </w:rPr>
        <w:t>uphel</w:t>
      </w:r>
      <w:r w:rsidR="0063694F" w:rsidRPr="00F42759">
        <w:rPr>
          <w:rFonts w:ascii="Arial" w:hAnsi="Arial" w:cs="Arial"/>
          <w:bCs/>
          <w:lang w:val="en-GB"/>
        </w:rPr>
        <w:t>d, that w</w:t>
      </w:r>
      <w:r w:rsidR="00943065" w:rsidRPr="00F42759">
        <w:rPr>
          <w:rFonts w:ascii="Arial" w:hAnsi="Arial" w:cs="Arial"/>
          <w:bCs/>
          <w:lang w:val="en-GB"/>
        </w:rPr>
        <w:t>ill</w:t>
      </w:r>
      <w:r w:rsidR="0063694F" w:rsidRPr="00F42759">
        <w:rPr>
          <w:rFonts w:ascii="Arial" w:hAnsi="Arial" w:cs="Arial"/>
          <w:bCs/>
          <w:lang w:val="en-GB"/>
        </w:rPr>
        <w:t xml:space="preserve"> put an end to</w:t>
      </w:r>
      <w:r w:rsidR="00EE1B17" w:rsidRPr="00F42759">
        <w:rPr>
          <w:rFonts w:ascii="Arial" w:hAnsi="Arial" w:cs="Arial"/>
          <w:bCs/>
          <w:lang w:val="en-GB"/>
        </w:rPr>
        <w:t xml:space="preserve"> both</w:t>
      </w:r>
      <w:r w:rsidR="0063694F" w:rsidRPr="00F42759">
        <w:rPr>
          <w:rFonts w:ascii="Arial" w:hAnsi="Arial" w:cs="Arial"/>
          <w:bCs/>
          <w:lang w:val="en-GB"/>
        </w:rPr>
        <w:t xml:space="preserve"> the </w:t>
      </w:r>
      <w:r w:rsidR="00A64236" w:rsidRPr="00F42759">
        <w:rPr>
          <w:rFonts w:ascii="Arial" w:hAnsi="Arial" w:cs="Arial"/>
          <w:bCs/>
          <w:lang w:val="en-GB"/>
        </w:rPr>
        <w:t>urgent application and the rectification</w:t>
      </w:r>
      <w:r w:rsidR="0063694F" w:rsidRPr="00F42759">
        <w:rPr>
          <w:rFonts w:ascii="Arial" w:hAnsi="Arial" w:cs="Arial"/>
          <w:bCs/>
          <w:lang w:val="en-GB"/>
        </w:rPr>
        <w:t xml:space="preserve"> application</w:t>
      </w:r>
      <w:r w:rsidR="007F28EC" w:rsidRPr="00F42759">
        <w:rPr>
          <w:rFonts w:ascii="Arial" w:hAnsi="Arial" w:cs="Arial"/>
          <w:bCs/>
          <w:lang w:val="en-GB"/>
        </w:rPr>
        <w:t xml:space="preserve"> as </w:t>
      </w:r>
      <w:r w:rsidR="00842363" w:rsidRPr="00F42759">
        <w:rPr>
          <w:rFonts w:ascii="Arial" w:hAnsi="Arial" w:cs="Arial"/>
          <w:bCs/>
          <w:lang w:val="en-GB"/>
        </w:rPr>
        <w:t>there will be no</w:t>
      </w:r>
      <w:r w:rsidR="007F28EC" w:rsidRPr="00F42759">
        <w:rPr>
          <w:rFonts w:ascii="Arial" w:hAnsi="Arial" w:cs="Arial"/>
          <w:bCs/>
          <w:lang w:val="en-GB"/>
        </w:rPr>
        <w:t xml:space="preserve"> contract </w:t>
      </w:r>
      <w:r w:rsidR="00842363" w:rsidRPr="00F42759">
        <w:rPr>
          <w:rFonts w:ascii="Arial" w:hAnsi="Arial" w:cs="Arial"/>
          <w:bCs/>
          <w:lang w:val="en-GB"/>
        </w:rPr>
        <w:t xml:space="preserve">to </w:t>
      </w:r>
      <w:r w:rsidR="002867DC" w:rsidRPr="00F42759">
        <w:rPr>
          <w:rFonts w:ascii="Arial" w:hAnsi="Arial" w:cs="Arial"/>
          <w:bCs/>
          <w:lang w:val="en-GB"/>
        </w:rPr>
        <w:t>enforce</w:t>
      </w:r>
      <w:r w:rsidR="00842363" w:rsidRPr="00F42759">
        <w:rPr>
          <w:rFonts w:ascii="Arial" w:hAnsi="Arial" w:cs="Arial"/>
          <w:bCs/>
          <w:lang w:val="en-GB"/>
        </w:rPr>
        <w:t xml:space="preserve"> or to rectify. If it is not successful, th</w:t>
      </w:r>
      <w:r w:rsidR="009A383B" w:rsidRPr="00F42759">
        <w:rPr>
          <w:rFonts w:ascii="Arial" w:hAnsi="Arial" w:cs="Arial"/>
          <w:bCs/>
          <w:lang w:val="en-GB"/>
        </w:rPr>
        <w:t>ose</w:t>
      </w:r>
      <w:r w:rsidR="00DC314E" w:rsidRPr="00F42759">
        <w:rPr>
          <w:rFonts w:ascii="Arial" w:hAnsi="Arial" w:cs="Arial"/>
          <w:bCs/>
          <w:lang w:val="en-GB"/>
        </w:rPr>
        <w:t xml:space="preserve"> application</w:t>
      </w:r>
      <w:r w:rsidR="009A383B" w:rsidRPr="00F42759">
        <w:rPr>
          <w:rFonts w:ascii="Arial" w:hAnsi="Arial" w:cs="Arial"/>
          <w:bCs/>
          <w:lang w:val="en-GB"/>
        </w:rPr>
        <w:t>s will then be considered.</w:t>
      </w:r>
      <w:r w:rsidR="00842363" w:rsidRPr="00F42759">
        <w:rPr>
          <w:rFonts w:ascii="Arial" w:hAnsi="Arial" w:cs="Arial"/>
          <w:bCs/>
          <w:lang w:val="en-GB"/>
        </w:rPr>
        <w:t xml:space="preserve"> I shall therefore </w:t>
      </w:r>
      <w:r w:rsidR="00944E8E" w:rsidRPr="00F42759">
        <w:rPr>
          <w:rFonts w:ascii="Arial" w:hAnsi="Arial" w:cs="Arial"/>
          <w:bCs/>
          <w:lang w:val="en-GB"/>
        </w:rPr>
        <w:t xml:space="preserve">not </w:t>
      </w:r>
      <w:r w:rsidR="00842363" w:rsidRPr="00F42759">
        <w:rPr>
          <w:rFonts w:ascii="Arial" w:hAnsi="Arial" w:cs="Arial"/>
          <w:bCs/>
          <w:lang w:val="en-GB"/>
        </w:rPr>
        <w:t>begin</w:t>
      </w:r>
      <w:r w:rsidR="00944E8E" w:rsidRPr="00F42759">
        <w:rPr>
          <w:rFonts w:ascii="Arial" w:hAnsi="Arial" w:cs="Arial"/>
          <w:bCs/>
          <w:lang w:val="en-GB"/>
        </w:rPr>
        <w:t xml:space="preserve"> at the very </w:t>
      </w:r>
      <w:r w:rsidR="004B6073" w:rsidRPr="00F42759">
        <w:rPr>
          <w:rFonts w:ascii="Arial" w:hAnsi="Arial" w:cs="Arial"/>
          <w:bCs/>
          <w:lang w:val="en-GB"/>
        </w:rPr>
        <w:t>beginning but</w:t>
      </w:r>
      <w:r w:rsidR="00944E8E" w:rsidRPr="00F42759">
        <w:rPr>
          <w:rFonts w:ascii="Arial" w:hAnsi="Arial" w:cs="Arial"/>
          <w:bCs/>
          <w:lang w:val="en-GB"/>
        </w:rPr>
        <w:t xml:space="preserve"> will begin</w:t>
      </w:r>
      <w:r w:rsidR="00842363" w:rsidRPr="00F42759">
        <w:rPr>
          <w:rFonts w:ascii="Arial" w:hAnsi="Arial" w:cs="Arial"/>
          <w:bCs/>
          <w:lang w:val="en-GB"/>
        </w:rPr>
        <w:t xml:space="preserve"> with the legality review</w:t>
      </w:r>
      <w:r w:rsidR="00A036CD" w:rsidRPr="00F42759">
        <w:rPr>
          <w:rFonts w:ascii="Arial" w:hAnsi="Arial" w:cs="Arial"/>
          <w:bCs/>
          <w:lang w:val="en-GB"/>
        </w:rPr>
        <w:t>.</w:t>
      </w:r>
    </w:p>
    <w:p w:rsidR="00020212" w:rsidRDefault="00020212" w:rsidP="00020212">
      <w:pPr>
        <w:pStyle w:val="ListParagraph"/>
        <w:tabs>
          <w:tab w:val="left" w:pos="709"/>
        </w:tabs>
        <w:spacing w:line="360" w:lineRule="auto"/>
        <w:ind w:left="0"/>
        <w:jc w:val="both"/>
        <w:rPr>
          <w:rFonts w:ascii="Arial" w:hAnsi="Arial" w:cs="Arial"/>
          <w:bCs/>
          <w:lang w:val="en-GB"/>
        </w:rPr>
      </w:pPr>
    </w:p>
    <w:p w:rsidR="00CE5E2B" w:rsidRDefault="00CE5E2B" w:rsidP="00020212">
      <w:pPr>
        <w:pStyle w:val="ListParagraph"/>
        <w:tabs>
          <w:tab w:val="left" w:pos="709"/>
        </w:tabs>
        <w:spacing w:line="360" w:lineRule="auto"/>
        <w:ind w:left="0"/>
        <w:jc w:val="both"/>
        <w:rPr>
          <w:rFonts w:ascii="Arial" w:hAnsi="Arial" w:cs="Arial"/>
          <w:b/>
          <w:bCs/>
          <w:lang w:val="en-GB"/>
        </w:rPr>
      </w:pPr>
      <w:r>
        <w:rPr>
          <w:rFonts w:ascii="Arial" w:hAnsi="Arial" w:cs="Arial"/>
          <w:b/>
          <w:bCs/>
          <w:lang w:val="en-GB"/>
        </w:rPr>
        <w:t>Legality review</w:t>
      </w:r>
    </w:p>
    <w:p w:rsidR="00CE5E2B" w:rsidRPr="00CE5E2B" w:rsidRDefault="00CE5E2B" w:rsidP="00020212">
      <w:pPr>
        <w:pStyle w:val="ListParagraph"/>
        <w:tabs>
          <w:tab w:val="left" w:pos="709"/>
        </w:tabs>
        <w:spacing w:line="360" w:lineRule="auto"/>
        <w:ind w:left="0"/>
        <w:jc w:val="both"/>
        <w:rPr>
          <w:rFonts w:ascii="Arial" w:hAnsi="Arial" w:cs="Arial"/>
          <w:b/>
          <w:bCs/>
          <w:i/>
          <w:lang w:val="en-GB"/>
        </w:rPr>
      </w:pPr>
      <w:r>
        <w:rPr>
          <w:rFonts w:ascii="Arial" w:hAnsi="Arial" w:cs="Arial"/>
          <w:b/>
          <w:bCs/>
          <w:i/>
          <w:lang w:val="en-GB"/>
        </w:rPr>
        <w:t>Legal principles</w:t>
      </w:r>
    </w:p>
    <w:p w:rsidR="00D301B1" w:rsidRPr="00F42759" w:rsidRDefault="00F42759" w:rsidP="00F42759">
      <w:pPr>
        <w:tabs>
          <w:tab w:val="left" w:pos="709"/>
        </w:tabs>
        <w:spacing w:line="360" w:lineRule="auto"/>
        <w:jc w:val="both"/>
        <w:rPr>
          <w:rFonts w:ascii="Arial" w:hAnsi="Arial" w:cs="Arial"/>
          <w:bCs/>
          <w:lang w:val="en-GB"/>
        </w:rPr>
      </w:pPr>
      <w:r w:rsidRPr="00D301B1">
        <w:rPr>
          <w:rFonts w:ascii="Arial" w:eastAsiaTheme="minorHAnsi" w:hAnsi="Arial" w:cs="Arial"/>
          <w:bCs/>
          <w:lang w:val="en-GB" w:eastAsia="en-US" w:bidi="ar-SA"/>
        </w:rPr>
        <w:t>[8]</w:t>
      </w:r>
      <w:r w:rsidRPr="00D301B1">
        <w:rPr>
          <w:rFonts w:ascii="Arial" w:eastAsiaTheme="minorHAnsi" w:hAnsi="Arial" w:cs="Arial"/>
          <w:bCs/>
          <w:lang w:val="en-GB" w:eastAsia="en-US" w:bidi="ar-SA"/>
        </w:rPr>
        <w:tab/>
      </w:r>
      <w:r w:rsidR="00854FA9" w:rsidRPr="00F42759">
        <w:rPr>
          <w:rFonts w:ascii="Arial" w:hAnsi="Arial" w:cs="Arial"/>
          <w:bCs/>
          <w:lang w:val="en-GB"/>
        </w:rPr>
        <w:t>It is not in dispute that the first respondent is an organ of state</w:t>
      </w:r>
      <w:r w:rsidR="00854FA9" w:rsidRPr="00A975FE">
        <w:rPr>
          <w:rStyle w:val="FootnoteReference"/>
          <w:rFonts w:ascii="Arial" w:hAnsi="Arial" w:cs="Arial"/>
          <w:bCs/>
          <w:lang w:val="en-GB"/>
        </w:rPr>
        <w:footnoteReference w:id="4"/>
      </w:r>
      <w:r w:rsidR="00E1521E" w:rsidRPr="00F42759">
        <w:rPr>
          <w:rFonts w:ascii="Arial" w:hAnsi="Arial" w:cs="Arial"/>
          <w:bCs/>
          <w:lang w:val="en-GB"/>
        </w:rPr>
        <w:t xml:space="preserve"> and</w:t>
      </w:r>
      <w:r w:rsidR="00854FA9" w:rsidRPr="00F42759">
        <w:rPr>
          <w:rFonts w:ascii="Arial" w:hAnsi="Arial" w:cs="Arial"/>
          <w:bCs/>
          <w:lang w:val="en-GB"/>
        </w:rPr>
        <w:t xml:space="preserve"> </w:t>
      </w:r>
      <w:r w:rsidR="00E1521E" w:rsidRPr="00F42759">
        <w:rPr>
          <w:rFonts w:ascii="Arial" w:hAnsi="Arial" w:cs="Arial"/>
          <w:bCs/>
          <w:lang w:val="en-GB"/>
        </w:rPr>
        <w:t>i</w:t>
      </w:r>
      <w:r w:rsidR="00854FA9" w:rsidRPr="00F42759">
        <w:rPr>
          <w:rFonts w:asciiTheme="minorBidi" w:hAnsiTheme="minorBidi"/>
          <w:color w:val="242121"/>
          <w:lang w:val="en-GB"/>
        </w:rPr>
        <w:t>t is now settled law that an organ of state</w:t>
      </w:r>
      <w:r w:rsidR="007433BF" w:rsidRPr="00F42759">
        <w:rPr>
          <w:rFonts w:asciiTheme="minorBidi" w:hAnsiTheme="minorBidi"/>
          <w:color w:val="242121"/>
          <w:lang w:val="en-GB"/>
        </w:rPr>
        <w:t xml:space="preserve"> may not remedy a </w:t>
      </w:r>
      <w:r w:rsidR="00C953AE" w:rsidRPr="00F42759">
        <w:rPr>
          <w:rFonts w:asciiTheme="minorBidi" w:hAnsiTheme="minorBidi"/>
          <w:color w:val="242121"/>
          <w:lang w:val="en-GB"/>
        </w:rPr>
        <w:t>decision that it has taken</w:t>
      </w:r>
      <w:r w:rsidR="00024AFB" w:rsidRPr="00F42759">
        <w:rPr>
          <w:rFonts w:asciiTheme="minorBidi" w:hAnsiTheme="minorBidi"/>
          <w:color w:val="242121"/>
          <w:lang w:val="en-GB"/>
        </w:rPr>
        <w:t>,</w:t>
      </w:r>
      <w:r w:rsidR="00C953AE" w:rsidRPr="00F42759">
        <w:rPr>
          <w:rFonts w:asciiTheme="minorBidi" w:hAnsiTheme="minorBidi"/>
          <w:color w:val="242121"/>
          <w:lang w:val="en-GB"/>
        </w:rPr>
        <w:t xml:space="preserve"> but no longer supports</w:t>
      </w:r>
      <w:r w:rsidR="00024AFB" w:rsidRPr="00F42759">
        <w:rPr>
          <w:rFonts w:asciiTheme="minorBidi" w:hAnsiTheme="minorBidi"/>
          <w:color w:val="242121"/>
          <w:lang w:val="en-GB"/>
        </w:rPr>
        <w:t>,</w:t>
      </w:r>
      <w:r w:rsidR="00C953AE" w:rsidRPr="00F42759">
        <w:rPr>
          <w:rFonts w:asciiTheme="minorBidi" w:hAnsiTheme="minorBidi"/>
          <w:color w:val="242121"/>
          <w:lang w:val="en-GB"/>
        </w:rPr>
        <w:t xml:space="preserve"> </w:t>
      </w:r>
      <w:r w:rsidR="007433BF" w:rsidRPr="00F42759">
        <w:rPr>
          <w:rFonts w:asciiTheme="minorBidi" w:hAnsiTheme="minorBidi"/>
          <w:color w:val="242121"/>
          <w:lang w:val="en-GB"/>
        </w:rPr>
        <w:t>by invoking</w:t>
      </w:r>
      <w:r w:rsidR="00854FA9" w:rsidRPr="00F42759">
        <w:rPr>
          <w:rFonts w:asciiTheme="minorBidi" w:hAnsiTheme="minorBidi"/>
          <w:color w:val="242121"/>
          <w:lang w:val="en-GB"/>
        </w:rPr>
        <w:t xml:space="preserve"> the provisions of the Promotion of Administrative Justice Act</w:t>
      </w:r>
      <w:r w:rsidR="00854FA9" w:rsidRPr="00F42759">
        <w:rPr>
          <w:rFonts w:asciiTheme="minorBidi" w:hAnsiTheme="minorBidi"/>
          <w:color w:val="242121"/>
          <w:shd w:val="clear" w:color="auto" w:fill="FFFFFF"/>
        </w:rPr>
        <w:t xml:space="preserve"> 3 of 2000 (PAJA).</w:t>
      </w:r>
      <w:r w:rsidR="00854FA9" w:rsidRPr="00A975FE">
        <w:rPr>
          <w:rStyle w:val="FootnoteReference"/>
          <w:rFonts w:asciiTheme="minorBidi" w:hAnsiTheme="minorBidi"/>
          <w:color w:val="242121"/>
          <w:shd w:val="clear" w:color="auto" w:fill="FFFFFF"/>
        </w:rPr>
        <w:footnoteReference w:id="5"/>
      </w:r>
      <w:r w:rsidR="00854FA9" w:rsidRPr="00F42759">
        <w:rPr>
          <w:rFonts w:asciiTheme="minorBidi" w:hAnsiTheme="minorBidi"/>
          <w:color w:val="242121"/>
          <w:shd w:val="clear" w:color="auto" w:fill="FFFFFF"/>
        </w:rPr>
        <w:t xml:space="preserve"> </w:t>
      </w:r>
      <w:r w:rsidR="007433BF" w:rsidRPr="00F42759">
        <w:rPr>
          <w:rFonts w:asciiTheme="minorBidi" w:hAnsiTheme="minorBidi"/>
          <w:color w:val="242121"/>
          <w:shd w:val="clear" w:color="auto" w:fill="FFFFFF"/>
        </w:rPr>
        <w:t>It is confined</w:t>
      </w:r>
      <w:r w:rsidR="00E1521E" w:rsidRPr="00F42759">
        <w:rPr>
          <w:rFonts w:asciiTheme="minorBidi" w:hAnsiTheme="minorBidi"/>
          <w:color w:val="242121"/>
          <w:shd w:val="clear" w:color="auto" w:fill="FFFFFF"/>
        </w:rPr>
        <w:t>,</w:t>
      </w:r>
      <w:r w:rsidR="007433BF" w:rsidRPr="00F42759">
        <w:rPr>
          <w:rFonts w:asciiTheme="minorBidi" w:hAnsiTheme="minorBidi"/>
          <w:color w:val="242121"/>
          <w:shd w:val="clear" w:color="auto" w:fill="FFFFFF"/>
        </w:rPr>
        <w:t xml:space="preserve"> instead</w:t>
      </w:r>
      <w:r w:rsidR="00E1521E" w:rsidRPr="00F42759">
        <w:rPr>
          <w:rFonts w:asciiTheme="minorBidi" w:hAnsiTheme="minorBidi"/>
          <w:color w:val="242121"/>
          <w:shd w:val="clear" w:color="auto" w:fill="FFFFFF"/>
        </w:rPr>
        <w:t>,</w:t>
      </w:r>
      <w:r w:rsidR="007433BF" w:rsidRPr="00F42759">
        <w:rPr>
          <w:rFonts w:asciiTheme="minorBidi" w:hAnsiTheme="minorBidi"/>
          <w:color w:val="242121"/>
          <w:shd w:val="clear" w:color="auto" w:fill="FFFFFF"/>
        </w:rPr>
        <w:t xml:space="preserve"> to a </w:t>
      </w:r>
      <w:r w:rsidR="00854FA9" w:rsidRPr="00F42759">
        <w:rPr>
          <w:rFonts w:asciiTheme="minorBidi" w:hAnsiTheme="minorBidi"/>
          <w:color w:val="242121"/>
          <w:shd w:val="clear" w:color="auto" w:fill="FFFFFF"/>
        </w:rPr>
        <w:t xml:space="preserve">legality review. The objective </w:t>
      </w:r>
      <w:r w:rsidR="00854FA9" w:rsidRPr="00F42759">
        <w:rPr>
          <w:rFonts w:asciiTheme="minorBidi" w:hAnsiTheme="minorBidi"/>
          <w:color w:val="000000"/>
          <w:shd w:val="clear" w:color="auto" w:fill="FFFFFF"/>
          <w:lang w:val="en-GB"/>
        </w:rPr>
        <w:t>of such self-review is</w:t>
      </w:r>
      <w:r w:rsidR="009A383B" w:rsidRPr="00F42759">
        <w:rPr>
          <w:rFonts w:asciiTheme="minorBidi" w:hAnsiTheme="minorBidi"/>
          <w:color w:val="000000"/>
          <w:shd w:val="clear" w:color="auto" w:fill="FFFFFF"/>
          <w:lang w:val="en-GB"/>
        </w:rPr>
        <w:t>,</w:t>
      </w:r>
      <w:r w:rsidR="00854FA9" w:rsidRPr="00F42759">
        <w:rPr>
          <w:rFonts w:asciiTheme="minorBidi" w:hAnsiTheme="minorBidi"/>
          <w:color w:val="000000"/>
          <w:shd w:val="clear" w:color="auto" w:fill="FFFFFF"/>
          <w:lang w:val="en-GB"/>
        </w:rPr>
        <w:t xml:space="preserve"> </w:t>
      </w:r>
      <w:r w:rsidR="00020212" w:rsidRPr="00F42759">
        <w:rPr>
          <w:rFonts w:asciiTheme="minorBidi" w:hAnsiTheme="minorBidi"/>
          <w:color w:val="000000"/>
          <w:shd w:val="clear" w:color="auto" w:fill="FFFFFF"/>
          <w:lang w:val="en-GB"/>
        </w:rPr>
        <w:t>notionally</w:t>
      </w:r>
      <w:r w:rsidR="00D301B1" w:rsidRPr="00F42759">
        <w:rPr>
          <w:rFonts w:asciiTheme="minorBidi" w:hAnsiTheme="minorBidi"/>
          <w:color w:val="000000"/>
          <w:shd w:val="clear" w:color="auto" w:fill="FFFFFF"/>
          <w:lang w:val="en-GB"/>
        </w:rPr>
        <w:t>:</w:t>
      </w:r>
      <w:r w:rsidR="00020212" w:rsidRPr="00F42759">
        <w:rPr>
          <w:rFonts w:asciiTheme="minorBidi" w:hAnsiTheme="minorBidi"/>
          <w:color w:val="000000"/>
          <w:shd w:val="clear" w:color="auto" w:fill="FFFFFF"/>
          <w:lang w:val="en-GB"/>
        </w:rPr>
        <w:t xml:space="preserve"> </w:t>
      </w:r>
    </w:p>
    <w:p w:rsidR="00854FA9" w:rsidRPr="00F52EC8" w:rsidRDefault="00960081" w:rsidP="00D301B1">
      <w:pPr>
        <w:pStyle w:val="ListParagraph"/>
        <w:tabs>
          <w:tab w:val="left" w:pos="709"/>
        </w:tabs>
        <w:spacing w:line="360" w:lineRule="auto"/>
        <w:ind w:left="0"/>
        <w:jc w:val="both"/>
        <w:rPr>
          <w:rFonts w:ascii="Arial" w:hAnsi="Arial" w:cs="Arial"/>
          <w:bCs/>
          <w:lang w:val="en-GB"/>
        </w:rPr>
      </w:pPr>
      <w:r>
        <w:rPr>
          <w:rFonts w:asciiTheme="minorBidi" w:hAnsiTheme="minorBidi"/>
          <w:color w:val="000000"/>
          <w:shd w:val="clear" w:color="auto" w:fill="FFFFFF"/>
          <w:lang w:val="en-GB"/>
        </w:rPr>
        <w:t>‘</w:t>
      </w:r>
      <w:r w:rsidR="00854FA9" w:rsidRPr="00F52EC8">
        <w:rPr>
          <w:rFonts w:asciiTheme="minorBidi" w:hAnsiTheme="minorBidi"/>
          <w:color w:val="000000"/>
          <w:shd w:val="clear" w:color="auto" w:fill="FFFFFF"/>
          <w:lang w:val="en-GB"/>
        </w:rPr>
        <w:t>to promote open, responsive and accountable government</w:t>
      </w:r>
      <w:r>
        <w:rPr>
          <w:rFonts w:asciiTheme="minorBidi" w:hAnsiTheme="minorBidi"/>
          <w:color w:val="000000"/>
          <w:shd w:val="clear" w:color="auto" w:fill="FFFFFF"/>
          <w:lang w:val="en-GB"/>
        </w:rPr>
        <w:t>’</w:t>
      </w:r>
      <w:r w:rsidR="00854FA9" w:rsidRPr="00F52EC8">
        <w:rPr>
          <w:rFonts w:asciiTheme="minorBidi" w:hAnsiTheme="minorBidi"/>
          <w:color w:val="000000"/>
          <w:shd w:val="clear" w:color="auto" w:fill="FFFFFF"/>
          <w:lang w:val="en-GB"/>
        </w:rPr>
        <w:t>.</w:t>
      </w:r>
      <w:r w:rsidR="00854FA9" w:rsidRPr="00A975FE">
        <w:rPr>
          <w:rStyle w:val="FootnoteReference"/>
          <w:rFonts w:asciiTheme="minorBidi" w:hAnsiTheme="minorBidi"/>
          <w:color w:val="000000"/>
          <w:shd w:val="clear" w:color="auto" w:fill="FFFFFF"/>
          <w:lang w:val="en-GB"/>
        </w:rPr>
        <w:footnoteReference w:id="6"/>
      </w:r>
      <w:r w:rsidR="00854FA9" w:rsidRPr="00F52EC8">
        <w:rPr>
          <w:rFonts w:asciiTheme="minorBidi" w:hAnsiTheme="minorBidi"/>
          <w:color w:val="242121"/>
          <w:shd w:val="clear" w:color="auto" w:fill="FFFFFF"/>
        </w:rPr>
        <w:t xml:space="preserve"> </w:t>
      </w:r>
    </w:p>
    <w:p w:rsidR="00854FA9" w:rsidRPr="00A975FE" w:rsidRDefault="00854FA9" w:rsidP="00854FA9">
      <w:pPr>
        <w:pStyle w:val="ListParagraph"/>
        <w:tabs>
          <w:tab w:val="left" w:pos="709"/>
        </w:tabs>
        <w:spacing w:line="360" w:lineRule="auto"/>
        <w:ind w:left="0"/>
        <w:jc w:val="both"/>
        <w:rPr>
          <w:rFonts w:ascii="Arial" w:hAnsi="Arial" w:cs="Arial"/>
          <w:bCs/>
          <w:lang w:val="en-GB"/>
        </w:rPr>
      </w:pPr>
    </w:p>
    <w:p w:rsidR="00854FA9" w:rsidRPr="00F42759" w:rsidRDefault="00F42759" w:rsidP="00F42759">
      <w:pPr>
        <w:tabs>
          <w:tab w:val="left" w:pos="709"/>
        </w:tabs>
        <w:spacing w:line="360" w:lineRule="auto"/>
        <w:jc w:val="both"/>
        <w:rPr>
          <w:rFonts w:ascii="Arial" w:hAnsi="Arial" w:cs="Arial"/>
          <w:bCs/>
          <w:lang w:val="en-GB"/>
        </w:rPr>
      </w:pPr>
      <w:r w:rsidRPr="00F52EC8">
        <w:rPr>
          <w:rFonts w:ascii="Arial" w:eastAsiaTheme="minorHAnsi" w:hAnsi="Arial" w:cs="Arial"/>
          <w:bCs/>
          <w:lang w:val="en-GB" w:eastAsia="en-US" w:bidi="ar-SA"/>
        </w:rPr>
        <w:t>[9]</w:t>
      </w:r>
      <w:r w:rsidRPr="00F52EC8">
        <w:rPr>
          <w:rFonts w:ascii="Arial" w:eastAsiaTheme="minorHAnsi" w:hAnsi="Arial" w:cs="Arial"/>
          <w:bCs/>
          <w:lang w:val="en-GB" w:eastAsia="en-US" w:bidi="ar-SA"/>
        </w:rPr>
        <w:tab/>
      </w:r>
      <w:r w:rsidR="00854FA9" w:rsidRPr="00F42759">
        <w:rPr>
          <w:rFonts w:asciiTheme="minorBidi" w:hAnsiTheme="minorBidi"/>
          <w:color w:val="242121"/>
          <w:shd w:val="clear" w:color="auto" w:fill="FFFFFF"/>
        </w:rPr>
        <w:t xml:space="preserve">In </w:t>
      </w:r>
      <w:r w:rsidR="00854FA9" w:rsidRPr="00F42759">
        <w:rPr>
          <w:rFonts w:asciiTheme="minorBidi" w:hAnsiTheme="minorBidi"/>
          <w:i/>
          <w:iCs/>
          <w:color w:val="242121"/>
        </w:rPr>
        <w:t>Fedsure Life Assurance Ltd v Greater Johannesburg Transitional Metropolitan Council</w:t>
      </w:r>
      <w:r w:rsidR="00854FA9" w:rsidRPr="00F42759">
        <w:rPr>
          <w:rFonts w:asciiTheme="minorBidi" w:hAnsiTheme="minorBidi"/>
          <w:color w:val="242121"/>
        </w:rPr>
        <w:t>,</w:t>
      </w:r>
      <w:r w:rsidR="00854FA9" w:rsidRPr="00A975FE">
        <w:rPr>
          <w:rStyle w:val="FootnoteReference"/>
          <w:rFonts w:asciiTheme="minorBidi" w:hAnsiTheme="minorBidi"/>
          <w:color w:val="242121"/>
          <w:shd w:val="clear" w:color="auto" w:fill="FFFFFF"/>
        </w:rPr>
        <w:footnoteReference w:id="7"/>
      </w:r>
      <w:r w:rsidR="00854FA9" w:rsidRPr="00F42759">
        <w:rPr>
          <w:rFonts w:asciiTheme="minorBidi" w:hAnsiTheme="minorBidi"/>
          <w:color w:val="242121"/>
        </w:rPr>
        <w:t xml:space="preserve"> the Constitutional Court held that:</w:t>
      </w:r>
    </w:p>
    <w:p w:rsidR="00854FA9" w:rsidRPr="00A975FE" w:rsidRDefault="00854FA9" w:rsidP="00854FA9">
      <w:pPr>
        <w:pStyle w:val="ListParagraph"/>
        <w:tabs>
          <w:tab w:val="left" w:pos="709"/>
        </w:tabs>
        <w:spacing w:line="360" w:lineRule="auto"/>
        <w:ind w:left="0"/>
        <w:jc w:val="both"/>
        <w:rPr>
          <w:rFonts w:asciiTheme="minorBidi" w:hAnsiTheme="minorBidi"/>
          <w:bCs/>
          <w:sz w:val="22"/>
          <w:szCs w:val="22"/>
          <w:lang w:val="en-GB"/>
        </w:rPr>
      </w:pPr>
      <w:r w:rsidRPr="00A975FE">
        <w:rPr>
          <w:rFonts w:asciiTheme="minorBidi" w:hAnsiTheme="minorBidi"/>
          <w:color w:val="242121"/>
          <w:sz w:val="22"/>
          <w:szCs w:val="22"/>
          <w:shd w:val="clear" w:color="auto" w:fill="FFFFFF"/>
        </w:rPr>
        <w:t>‘</w:t>
      </w:r>
      <w:r w:rsidR="00875A03">
        <w:rPr>
          <w:rFonts w:asciiTheme="minorBidi" w:hAnsiTheme="minorBidi"/>
          <w:color w:val="242121"/>
          <w:sz w:val="22"/>
          <w:szCs w:val="22"/>
          <w:shd w:val="clear" w:color="auto" w:fill="FFFFFF"/>
        </w:rPr>
        <w:t xml:space="preserve">… </w:t>
      </w:r>
      <w:r w:rsidR="00010EC2" w:rsidRPr="00010EC2">
        <w:rPr>
          <w:rFonts w:asciiTheme="minorBidi" w:hAnsiTheme="minorBidi"/>
          <w:color w:val="242121"/>
          <w:sz w:val="22"/>
          <w:szCs w:val="22"/>
          <w:shd w:val="clear" w:color="auto" w:fill="FFFFFF"/>
        </w:rPr>
        <w:t>a local government may only act within the powers lawfully conferred upon it. There is nothing startling in this proposition - it is a fundamental principle of the rule of law,</w:t>
      </w:r>
      <w:bookmarkStart w:id="1" w:name="0-0-0-491791"/>
      <w:bookmarkEnd w:id="1"/>
      <w:r w:rsidR="00010EC2" w:rsidRPr="00010EC2">
        <w:rPr>
          <w:rFonts w:asciiTheme="minorBidi" w:hAnsiTheme="minorBidi"/>
          <w:color w:val="242121"/>
          <w:sz w:val="22"/>
          <w:szCs w:val="22"/>
          <w:shd w:val="clear" w:color="auto" w:fill="FFFFFF"/>
        </w:rPr>
        <w:t xml:space="preserve"> recognised widely, that the exercise of public power is only legitimate where lawful. The rule of law - to the extent at least that it expresses this principle of legality - is generally understood to be a fundamental principle of constitutional law</w:t>
      </w:r>
      <w:r w:rsidRPr="00A975FE">
        <w:rPr>
          <w:rFonts w:asciiTheme="minorBidi" w:hAnsiTheme="minorBidi"/>
          <w:color w:val="242121"/>
          <w:sz w:val="22"/>
          <w:szCs w:val="22"/>
          <w:shd w:val="clear" w:color="auto" w:fill="FFFFFF"/>
        </w:rPr>
        <w:t>.’</w:t>
      </w:r>
      <w:r w:rsidR="00010EC2">
        <w:rPr>
          <w:rFonts w:asciiTheme="minorBidi" w:hAnsiTheme="minorBidi"/>
          <w:color w:val="242121"/>
          <w:sz w:val="22"/>
          <w:szCs w:val="22"/>
          <w:shd w:val="clear" w:color="auto" w:fill="FFFFFF"/>
        </w:rPr>
        <w:t xml:space="preserve"> (Footnote omitted.)</w:t>
      </w:r>
    </w:p>
    <w:p w:rsidR="00854FA9" w:rsidRPr="00F42759" w:rsidRDefault="00F42759" w:rsidP="00F42759">
      <w:pPr>
        <w:tabs>
          <w:tab w:val="left" w:pos="709"/>
        </w:tabs>
        <w:spacing w:line="360" w:lineRule="auto"/>
        <w:jc w:val="both"/>
        <w:rPr>
          <w:rFonts w:ascii="Arial" w:hAnsi="Arial" w:cs="Arial"/>
          <w:bCs/>
          <w:lang w:val="en-GB"/>
        </w:rPr>
      </w:pPr>
      <w:r w:rsidRPr="00BD1C77">
        <w:rPr>
          <w:rFonts w:ascii="Arial" w:eastAsiaTheme="minorHAnsi" w:hAnsi="Arial" w:cs="Arial"/>
          <w:bCs/>
          <w:lang w:val="en-GB" w:eastAsia="en-US" w:bidi="ar-SA"/>
        </w:rPr>
        <w:lastRenderedPageBreak/>
        <w:t>[10]</w:t>
      </w:r>
      <w:r w:rsidRPr="00BD1C77">
        <w:rPr>
          <w:rFonts w:ascii="Arial" w:eastAsiaTheme="minorHAnsi" w:hAnsi="Arial" w:cs="Arial"/>
          <w:bCs/>
          <w:lang w:val="en-GB" w:eastAsia="en-US" w:bidi="ar-SA"/>
        </w:rPr>
        <w:tab/>
      </w:r>
      <w:r w:rsidR="00DC314E" w:rsidRPr="00F42759">
        <w:rPr>
          <w:rFonts w:asciiTheme="minorBidi" w:hAnsiTheme="minorBidi"/>
          <w:color w:val="232323"/>
        </w:rPr>
        <w:t xml:space="preserve">In </w:t>
      </w:r>
      <w:r w:rsidR="007F224F" w:rsidRPr="00F42759">
        <w:rPr>
          <w:rFonts w:asciiTheme="minorBidi" w:hAnsiTheme="minorBidi"/>
          <w:color w:val="232323"/>
        </w:rPr>
        <w:t xml:space="preserve">a </w:t>
      </w:r>
      <w:r w:rsidR="00DC314E" w:rsidRPr="00F42759">
        <w:rPr>
          <w:rFonts w:asciiTheme="minorBidi" w:hAnsiTheme="minorBidi"/>
          <w:color w:val="232323"/>
        </w:rPr>
        <w:t>similar vein,</w:t>
      </w:r>
      <w:r w:rsidR="00854FA9" w:rsidRPr="00F42759">
        <w:rPr>
          <w:rFonts w:asciiTheme="minorBidi" w:hAnsiTheme="minorBidi"/>
          <w:color w:val="232323"/>
        </w:rPr>
        <w:t xml:space="preserve"> Sutherland DJP </w:t>
      </w:r>
      <w:r w:rsidR="00BD1C77" w:rsidRPr="00F42759">
        <w:rPr>
          <w:rFonts w:asciiTheme="minorBidi" w:hAnsiTheme="minorBidi"/>
          <w:color w:val="232323"/>
        </w:rPr>
        <w:t>observed</w:t>
      </w:r>
      <w:r w:rsidR="00854FA9" w:rsidRPr="00F42759">
        <w:rPr>
          <w:rFonts w:asciiTheme="minorBidi" w:hAnsiTheme="minorBidi"/>
          <w:color w:val="232323"/>
        </w:rPr>
        <w:t xml:space="preserve"> in </w:t>
      </w:r>
      <w:r w:rsidR="00854FA9" w:rsidRPr="00F42759">
        <w:rPr>
          <w:rFonts w:ascii="Arial" w:hAnsi="Arial" w:cs="Arial"/>
          <w:i/>
          <w:iCs/>
          <w:color w:val="000000" w:themeColor="text1"/>
        </w:rPr>
        <w:t xml:space="preserve">Transnet SOC Ltd and </w:t>
      </w:r>
      <w:r w:rsidR="00042705" w:rsidRPr="00F42759">
        <w:rPr>
          <w:rFonts w:ascii="Arial" w:hAnsi="Arial" w:cs="Arial"/>
          <w:i/>
          <w:iCs/>
          <w:color w:val="000000" w:themeColor="text1"/>
        </w:rPr>
        <w:t xml:space="preserve">another </w:t>
      </w:r>
      <w:r w:rsidR="00854FA9" w:rsidRPr="00F42759">
        <w:rPr>
          <w:rFonts w:ascii="Arial" w:hAnsi="Arial" w:cs="Arial"/>
          <w:i/>
          <w:iCs/>
          <w:color w:val="000000" w:themeColor="text1"/>
        </w:rPr>
        <w:t xml:space="preserve">v CRRC E-Loco Supply (Pty) Ltd and </w:t>
      </w:r>
      <w:r w:rsidR="00042705" w:rsidRPr="00F42759">
        <w:rPr>
          <w:rFonts w:ascii="Arial" w:hAnsi="Arial" w:cs="Arial"/>
          <w:i/>
          <w:iCs/>
          <w:color w:val="000000" w:themeColor="text1"/>
        </w:rPr>
        <w:t xml:space="preserve">others </w:t>
      </w:r>
      <w:r w:rsidR="00DC314E" w:rsidRPr="00F42759">
        <w:rPr>
          <w:rFonts w:ascii="Arial" w:hAnsi="Arial" w:cs="Arial"/>
          <w:color w:val="000000" w:themeColor="text1"/>
        </w:rPr>
        <w:t>that</w:t>
      </w:r>
      <w:r w:rsidR="00854FA9" w:rsidRPr="00F42759">
        <w:rPr>
          <w:rFonts w:ascii="Arial" w:hAnsi="Arial" w:cs="Arial"/>
          <w:color w:val="000000" w:themeColor="text1"/>
        </w:rPr>
        <w:t>:</w:t>
      </w:r>
      <w:r w:rsidR="00854FA9" w:rsidRPr="00A975FE">
        <w:rPr>
          <w:rStyle w:val="FootnoteReference"/>
          <w:rFonts w:ascii="Arial" w:hAnsi="Arial" w:cs="Arial"/>
          <w:color w:val="000000" w:themeColor="text1"/>
        </w:rPr>
        <w:footnoteReference w:id="8"/>
      </w:r>
      <w:r w:rsidR="00854FA9" w:rsidRPr="00F42759">
        <w:rPr>
          <w:rFonts w:ascii="Arial" w:hAnsi="Arial" w:cs="Arial"/>
          <w:color w:val="000000" w:themeColor="text1"/>
        </w:rPr>
        <w:t xml:space="preserve"> </w:t>
      </w:r>
    </w:p>
    <w:p w:rsidR="00854FA9" w:rsidRDefault="00854FA9" w:rsidP="00AD173F">
      <w:pPr>
        <w:pStyle w:val="ListParagraph"/>
        <w:tabs>
          <w:tab w:val="left" w:pos="709"/>
        </w:tabs>
        <w:spacing w:line="360" w:lineRule="auto"/>
        <w:ind w:left="0"/>
        <w:jc w:val="both"/>
        <w:rPr>
          <w:rFonts w:asciiTheme="minorBidi" w:hAnsiTheme="minorBidi"/>
          <w:color w:val="232323"/>
          <w:sz w:val="22"/>
          <w:szCs w:val="22"/>
        </w:rPr>
      </w:pPr>
      <w:r w:rsidRPr="00A975FE">
        <w:rPr>
          <w:rFonts w:asciiTheme="minorBidi" w:hAnsiTheme="minorBidi"/>
          <w:color w:val="232323"/>
          <w:sz w:val="22"/>
          <w:szCs w:val="22"/>
        </w:rPr>
        <w:t xml:space="preserve">‘The appropriate starting point is to acknowledge the constitutional </w:t>
      </w:r>
      <w:r w:rsidRPr="00A975FE">
        <w:rPr>
          <w:rFonts w:asciiTheme="minorBidi" w:hAnsiTheme="minorBidi"/>
          <w:i/>
          <w:iCs/>
          <w:color w:val="232323"/>
          <w:sz w:val="22"/>
          <w:szCs w:val="22"/>
        </w:rPr>
        <w:t xml:space="preserve">grundnorm </w:t>
      </w:r>
      <w:r w:rsidRPr="00A975FE">
        <w:rPr>
          <w:rFonts w:asciiTheme="minorBidi" w:hAnsiTheme="minorBidi"/>
          <w:color w:val="232323"/>
          <w:sz w:val="22"/>
          <w:szCs w:val="22"/>
        </w:rPr>
        <w:t>that the Rule of Law is supreme. Upon that foundation rests the Principle of Legality. That principle finds its most potent expression in the maxim that every exercise of a public power must be authorised by law. Any purported exercise of a public power that fails that test is unlawful.’</w:t>
      </w:r>
      <w:r w:rsidRPr="00A975FE">
        <w:rPr>
          <w:rStyle w:val="FootnoteReference"/>
          <w:rFonts w:asciiTheme="minorBidi" w:hAnsiTheme="minorBidi"/>
          <w:color w:val="232323"/>
          <w:sz w:val="22"/>
          <w:szCs w:val="22"/>
        </w:rPr>
        <w:footnoteReference w:id="9"/>
      </w:r>
      <w:r w:rsidRPr="00A975FE">
        <w:rPr>
          <w:rFonts w:asciiTheme="minorBidi" w:hAnsiTheme="minorBidi"/>
          <w:color w:val="232323"/>
          <w:sz w:val="22"/>
          <w:szCs w:val="22"/>
        </w:rPr>
        <w:t xml:space="preserve"> </w:t>
      </w:r>
    </w:p>
    <w:p w:rsidR="00875A03" w:rsidRPr="005E207C" w:rsidRDefault="00875A03" w:rsidP="00875A03">
      <w:pPr>
        <w:pStyle w:val="ListParagraph"/>
        <w:tabs>
          <w:tab w:val="left" w:pos="709"/>
        </w:tabs>
        <w:spacing w:line="360" w:lineRule="auto"/>
        <w:ind w:left="0"/>
        <w:jc w:val="both"/>
        <w:rPr>
          <w:rFonts w:asciiTheme="minorBidi" w:hAnsiTheme="minorBidi"/>
          <w:bCs/>
          <w:lang w:val="en-GB"/>
        </w:rPr>
      </w:pPr>
    </w:p>
    <w:p w:rsidR="00875A03" w:rsidRPr="00F42759" w:rsidRDefault="00F42759" w:rsidP="00F42759">
      <w:pPr>
        <w:tabs>
          <w:tab w:val="left" w:pos="709"/>
        </w:tabs>
        <w:spacing w:line="360" w:lineRule="auto"/>
        <w:jc w:val="both"/>
        <w:rPr>
          <w:rFonts w:ascii="Arial" w:hAnsi="Arial" w:cs="Arial"/>
        </w:rPr>
      </w:pPr>
      <w:r w:rsidRPr="00DC2CEB">
        <w:rPr>
          <w:rFonts w:ascii="Arial" w:eastAsiaTheme="minorHAnsi" w:hAnsi="Arial" w:cs="Arial"/>
          <w:lang w:eastAsia="en-US" w:bidi="ar-SA"/>
        </w:rPr>
        <w:t>[11]</w:t>
      </w:r>
      <w:r w:rsidRPr="00DC2CEB">
        <w:rPr>
          <w:rFonts w:ascii="Arial" w:eastAsiaTheme="minorHAnsi" w:hAnsi="Arial" w:cs="Arial"/>
          <w:lang w:eastAsia="en-US" w:bidi="ar-SA"/>
        </w:rPr>
        <w:tab/>
      </w:r>
      <w:r w:rsidR="00875A03" w:rsidRPr="00F42759">
        <w:rPr>
          <w:rFonts w:ascii="Arial" w:hAnsi="Arial" w:cs="Arial"/>
        </w:rPr>
        <w:t xml:space="preserve">In </w:t>
      </w:r>
      <w:r w:rsidR="00875A03" w:rsidRPr="00F42759">
        <w:rPr>
          <w:rFonts w:ascii="Arial" w:hAnsi="Arial" w:cs="Arial"/>
          <w:i/>
          <w:iCs/>
        </w:rPr>
        <w:t xml:space="preserve">Affordable Medicines Trust and </w:t>
      </w:r>
      <w:r w:rsidR="00497782" w:rsidRPr="00F42759">
        <w:rPr>
          <w:rFonts w:ascii="Arial" w:hAnsi="Arial" w:cs="Arial"/>
          <w:i/>
          <w:iCs/>
        </w:rPr>
        <w:t xml:space="preserve">others </w:t>
      </w:r>
      <w:r w:rsidR="00875A03" w:rsidRPr="00F42759">
        <w:rPr>
          <w:rFonts w:ascii="Arial" w:hAnsi="Arial" w:cs="Arial"/>
          <w:i/>
          <w:iCs/>
        </w:rPr>
        <w:t xml:space="preserve">v Minister of Health and </w:t>
      </w:r>
      <w:r w:rsidR="004922B6" w:rsidRPr="00F42759">
        <w:rPr>
          <w:rFonts w:ascii="Arial" w:hAnsi="Arial" w:cs="Arial"/>
          <w:i/>
          <w:iCs/>
        </w:rPr>
        <w:t>others</w:t>
      </w:r>
      <w:r w:rsidR="00875A03" w:rsidRPr="00F42759">
        <w:rPr>
          <w:rFonts w:ascii="Arial" w:hAnsi="Arial" w:cs="Arial"/>
        </w:rPr>
        <w:t>,</w:t>
      </w:r>
      <w:r w:rsidR="00875A03" w:rsidRPr="00875A03">
        <w:rPr>
          <w:rStyle w:val="FootnoteReference"/>
          <w:rFonts w:ascii="Arial" w:hAnsi="Arial" w:cs="Arial"/>
        </w:rPr>
        <w:footnoteReference w:id="10"/>
      </w:r>
      <w:r w:rsidR="00875A03" w:rsidRPr="00F42759">
        <w:rPr>
          <w:rFonts w:ascii="Arial" w:hAnsi="Arial" w:cs="Arial"/>
        </w:rPr>
        <w:t xml:space="preserve"> the court summed </w:t>
      </w:r>
      <w:r w:rsidR="000B1F95" w:rsidRPr="00F42759">
        <w:rPr>
          <w:rFonts w:ascii="Arial" w:hAnsi="Arial" w:cs="Arial"/>
        </w:rPr>
        <w:t xml:space="preserve">up </w:t>
      </w:r>
      <w:r w:rsidR="00875A03" w:rsidRPr="00F42759">
        <w:rPr>
          <w:rFonts w:ascii="Arial" w:hAnsi="Arial" w:cs="Arial"/>
        </w:rPr>
        <w:t xml:space="preserve">the position when it stated that: </w:t>
      </w:r>
    </w:p>
    <w:p w:rsidR="00875A03" w:rsidRPr="00875A03" w:rsidRDefault="00497782" w:rsidP="00875A03">
      <w:pPr>
        <w:pStyle w:val="ListParagraph"/>
        <w:tabs>
          <w:tab w:val="left" w:pos="709"/>
        </w:tabs>
        <w:spacing w:line="360" w:lineRule="auto"/>
        <w:ind w:left="0"/>
        <w:jc w:val="both"/>
        <w:rPr>
          <w:rFonts w:ascii="Arial" w:hAnsi="Arial" w:cs="Arial"/>
          <w:sz w:val="22"/>
          <w:szCs w:val="22"/>
        </w:rPr>
      </w:pPr>
      <w:r>
        <w:rPr>
          <w:rFonts w:ascii="Arial" w:hAnsi="Arial" w:cs="Arial"/>
          <w:sz w:val="22"/>
          <w:szCs w:val="22"/>
        </w:rPr>
        <w:t>‘T</w:t>
      </w:r>
      <w:r w:rsidRPr="00497782">
        <w:rPr>
          <w:rFonts w:ascii="Arial" w:hAnsi="Arial" w:cs="Arial"/>
          <w:sz w:val="22"/>
          <w:szCs w:val="22"/>
        </w:rPr>
        <w:t>he exercise of public power must therefore comply with the Constitution, which is the supreme law, and the doctrine of legality, which is part of that law.</w:t>
      </w:r>
      <w:bookmarkStart w:id="2" w:name="0-0-0-411075"/>
      <w:bookmarkEnd w:id="2"/>
      <w:r w:rsidRPr="00497782">
        <w:rPr>
          <w:rFonts w:ascii="Arial" w:hAnsi="Arial" w:cs="Arial"/>
          <w:sz w:val="22"/>
          <w:szCs w:val="22"/>
        </w:rPr>
        <w:t xml:space="preserve"> The doctrine of legality, which is an incident of </w:t>
      </w:r>
      <w:r>
        <w:rPr>
          <w:rFonts w:ascii="Arial" w:hAnsi="Arial" w:cs="Arial"/>
          <w:sz w:val="22"/>
          <w:szCs w:val="22"/>
        </w:rPr>
        <w:t>the rule of law, is one of the </w:t>
      </w:r>
      <w:r w:rsidRPr="00497782">
        <w:rPr>
          <w:rFonts w:ascii="Arial" w:hAnsi="Arial" w:cs="Arial"/>
          <w:sz w:val="22"/>
          <w:szCs w:val="22"/>
        </w:rPr>
        <w:t>constitutional controls through which the exercise of public power is regulated by the Constitution</w:t>
      </w:r>
      <w:r w:rsidR="00875A03" w:rsidRPr="00875A03">
        <w:rPr>
          <w:rFonts w:ascii="Arial" w:hAnsi="Arial" w:cs="Arial"/>
          <w:sz w:val="22"/>
          <w:szCs w:val="22"/>
        </w:rPr>
        <w:t>.'</w:t>
      </w:r>
      <w:r w:rsidR="004D5052">
        <w:rPr>
          <w:rFonts w:ascii="Arial" w:hAnsi="Arial" w:cs="Arial"/>
          <w:sz w:val="22"/>
          <w:szCs w:val="22"/>
        </w:rPr>
        <w:t xml:space="preserve"> (Footnotes </w:t>
      </w:r>
      <w:r w:rsidR="00D301B1">
        <w:rPr>
          <w:rFonts w:ascii="Arial" w:hAnsi="Arial" w:cs="Arial"/>
          <w:sz w:val="22"/>
          <w:szCs w:val="22"/>
        </w:rPr>
        <w:t>omitted</w:t>
      </w:r>
      <w:r w:rsidR="004D5052">
        <w:rPr>
          <w:rFonts w:ascii="Arial" w:hAnsi="Arial" w:cs="Arial"/>
          <w:sz w:val="22"/>
          <w:szCs w:val="22"/>
        </w:rPr>
        <w:t>.)</w:t>
      </w:r>
    </w:p>
    <w:p w:rsidR="00875A03" w:rsidRDefault="00875A03" w:rsidP="00875A03">
      <w:pPr>
        <w:pStyle w:val="ListParagraph"/>
        <w:tabs>
          <w:tab w:val="left" w:pos="709"/>
        </w:tabs>
        <w:spacing w:line="360" w:lineRule="auto"/>
        <w:jc w:val="both"/>
        <w:rPr>
          <w:rFonts w:ascii="Arial" w:hAnsi="Arial" w:cs="Arial"/>
          <w:bCs/>
          <w:lang w:val="en-GB"/>
        </w:rPr>
      </w:pPr>
    </w:p>
    <w:p w:rsidR="00DE28B2" w:rsidRPr="00F42759" w:rsidRDefault="00F42759" w:rsidP="00F42759">
      <w:pPr>
        <w:tabs>
          <w:tab w:val="left" w:pos="709"/>
        </w:tabs>
        <w:spacing w:line="360" w:lineRule="auto"/>
        <w:jc w:val="both"/>
        <w:rPr>
          <w:rFonts w:ascii="Arial" w:hAnsi="Arial" w:cs="Arial"/>
          <w:bCs/>
          <w:lang w:val="en-GB"/>
        </w:rPr>
      </w:pPr>
      <w:r w:rsidRPr="00875A03">
        <w:rPr>
          <w:rFonts w:ascii="Arial" w:eastAsiaTheme="minorHAnsi" w:hAnsi="Arial" w:cs="Arial"/>
          <w:bCs/>
          <w:lang w:val="en-GB" w:eastAsia="en-US" w:bidi="ar-SA"/>
        </w:rPr>
        <w:t>[12]</w:t>
      </w:r>
      <w:r w:rsidRPr="00875A03">
        <w:rPr>
          <w:rFonts w:ascii="Arial" w:eastAsiaTheme="minorHAnsi" w:hAnsi="Arial" w:cs="Arial"/>
          <w:bCs/>
          <w:lang w:val="en-GB" w:eastAsia="en-US" w:bidi="ar-SA"/>
        </w:rPr>
        <w:tab/>
      </w:r>
      <w:r w:rsidR="00B472BA" w:rsidRPr="00F42759">
        <w:rPr>
          <w:rFonts w:ascii="Arial" w:hAnsi="Arial" w:cs="Arial"/>
          <w:bCs/>
          <w:lang w:val="en-GB"/>
        </w:rPr>
        <w:t>The noble principles highlighted in the extracts above have their source in s</w:t>
      </w:r>
      <w:r w:rsidR="007F224F" w:rsidRPr="00F42759">
        <w:rPr>
          <w:rFonts w:ascii="Arial" w:hAnsi="Arial" w:cs="Arial"/>
          <w:bCs/>
          <w:lang w:val="en-GB"/>
        </w:rPr>
        <w:t> </w:t>
      </w:r>
      <w:r w:rsidR="00B472BA" w:rsidRPr="00F42759">
        <w:rPr>
          <w:rFonts w:ascii="Arial" w:hAnsi="Arial" w:cs="Arial"/>
          <w:bCs/>
          <w:lang w:val="en-GB"/>
        </w:rPr>
        <w:t>217</w:t>
      </w:r>
      <w:r w:rsidR="006D34EB" w:rsidRPr="00F42759">
        <w:rPr>
          <w:rFonts w:ascii="Arial" w:hAnsi="Arial" w:cs="Arial"/>
          <w:bCs/>
          <w:lang w:val="en-GB"/>
        </w:rPr>
        <w:t>(1)</w:t>
      </w:r>
      <w:r w:rsidR="00B472BA" w:rsidRPr="00F42759">
        <w:rPr>
          <w:rFonts w:ascii="Arial" w:hAnsi="Arial" w:cs="Arial"/>
          <w:bCs/>
          <w:lang w:val="en-GB"/>
        </w:rPr>
        <w:t xml:space="preserve"> of the Constitution</w:t>
      </w:r>
      <w:r w:rsidR="009A300B" w:rsidRPr="00F42759">
        <w:rPr>
          <w:rFonts w:ascii="Arial" w:hAnsi="Arial" w:cs="Arial"/>
          <w:bCs/>
          <w:lang w:val="en-GB"/>
        </w:rPr>
        <w:t xml:space="preserve"> which</w:t>
      </w:r>
      <w:r w:rsidR="002D2B4A" w:rsidRPr="00F42759">
        <w:rPr>
          <w:rFonts w:ascii="Arial" w:hAnsi="Arial" w:cs="Arial"/>
          <w:bCs/>
          <w:lang w:val="en-GB"/>
        </w:rPr>
        <w:t>,</w:t>
      </w:r>
      <w:r w:rsidR="005E207C" w:rsidRPr="00F42759">
        <w:rPr>
          <w:rFonts w:ascii="Arial" w:hAnsi="Arial" w:cs="Arial"/>
          <w:bCs/>
          <w:lang w:val="en-GB"/>
        </w:rPr>
        <w:t xml:space="preserve"> in peremptory terms</w:t>
      </w:r>
      <w:r w:rsidR="002D2B4A" w:rsidRPr="00F42759">
        <w:rPr>
          <w:rFonts w:ascii="Arial" w:hAnsi="Arial" w:cs="Arial"/>
          <w:bCs/>
          <w:lang w:val="en-GB"/>
        </w:rPr>
        <w:t>,</w:t>
      </w:r>
      <w:r w:rsidR="009A300B" w:rsidRPr="00F42759">
        <w:rPr>
          <w:rFonts w:ascii="Arial" w:hAnsi="Arial" w:cs="Arial"/>
          <w:bCs/>
          <w:lang w:val="en-GB"/>
        </w:rPr>
        <w:t xml:space="preserve"> states</w:t>
      </w:r>
      <w:r w:rsidR="005E207C" w:rsidRPr="00F42759">
        <w:rPr>
          <w:rFonts w:ascii="Arial" w:hAnsi="Arial" w:cs="Arial"/>
          <w:bCs/>
          <w:lang w:val="en-GB"/>
        </w:rPr>
        <w:t xml:space="preserve"> that</w:t>
      </w:r>
      <w:r w:rsidR="00DE28B2" w:rsidRPr="00F42759">
        <w:rPr>
          <w:rFonts w:ascii="Arial" w:hAnsi="Arial" w:cs="Arial"/>
          <w:bCs/>
          <w:lang w:val="en-GB"/>
        </w:rPr>
        <w:t>:</w:t>
      </w:r>
    </w:p>
    <w:p w:rsidR="00AD173F" w:rsidRDefault="00AD173F" w:rsidP="00AD173F">
      <w:pPr>
        <w:pStyle w:val="ListParagraph"/>
        <w:tabs>
          <w:tab w:val="left" w:pos="709"/>
        </w:tabs>
        <w:spacing w:line="360" w:lineRule="auto"/>
        <w:ind w:left="0"/>
        <w:jc w:val="both"/>
        <w:rPr>
          <w:rFonts w:asciiTheme="minorBidi" w:hAnsiTheme="minorBidi"/>
          <w:bCs/>
          <w:sz w:val="22"/>
          <w:szCs w:val="22"/>
          <w:lang w:val="en-GB"/>
        </w:rPr>
      </w:pPr>
      <w:r w:rsidRPr="00AD173F">
        <w:rPr>
          <w:rFonts w:asciiTheme="minorBidi" w:hAnsiTheme="minorBidi"/>
          <w:bCs/>
          <w:sz w:val="22"/>
          <w:szCs w:val="22"/>
          <w:lang w:val="en-GB"/>
        </w:rPr>
        <w:t>‘[w]hen an organ of state in the national, provincial or local sphere of government, or any other institution identified in national legislation, contracts for goods or services, it must do so in accordance with a system which is fair, equitable, transparent, competitive and cost-effective.’</w:t>
      </w:r>
    </w:p>
    <w:p w:rsidR="00B472BA" w:rsidRPr="00B472BA" w:rsidRDefault="00B472BA" w:rsidP="00AD173F">
      <w:pPr>
        <w:pStyle w:val="ListParagraph"/>
        <w:tabs>
          <w:tab w:val="left" w:pos="709"/>
        </w:tabs>
        <w:spacing w:line="360" w:lineRule="auto"/>
        <w:ind w:left="0"/>
        <w:jc w:val="both"/>
        <w:rPr>
          <w:rFonts w:asciiTheme="minorBidi" w:hAnsiTheme="minorBidi"/>
          <w:lang w:bidi="yi-Hebr"/>
        </w:rPr>
      </w:pPr>
      <w:r>
        <w:rPr>
          <w:rFonts w:asciiTheme="minorBidi" w:hAnsiTheme="minorBidi"/>
          <w:bCs/>
          <w:lang w:val="en-GB"/>
        </w:rPr>
        <w:t xml:space="preserve">It barely requires stating that the Constitution is the supreme law of this country and that </w:t>
      </w:r>
      <w:r w:rsidR="00270B18">
        <w:rPr>
          <w:rFonts w:asciiTheme="minorBidi" w:hAnsiTheme="minorBidi"/>
          <w:bCs/>
          <w:lang w:val="en-GB"/>
        </w:rPr>
        <w:t xml:space="preserve">any </w:t>
      </w:r>
      <w:r>
        <w:rPr>
          <w:rFonts w:asciiTheme="minorBidi" w:hAnsiTheme="minorBidi"/>
          <w:bCs/>
          <w:lang w:val="en-GB"/>
        </w:rPr>
        <w:t>conduct inconsistent with it is invalid.</w:t>
      </w:r>
      <w:r>
        <w:rPr>
          <w:rStyle w:val="FootnoteReference"/>
          <w:rFonts w:asciiTheme="minorBidi" w:hAnsiTheme="minorBidi"/>
          <w:bCs/>
          <w:lang w:val="en-GB"/>
        </w:rPr>
        <w:footnoteReference w:id="11"/>
      </w:r>
    </w:p>
    <w:p w:rsidR="00DE28B2" w:rsidRDefault="00DE28B2" w:rsidP="00DE28B2">
      <w:pPr>
        <w:pStyle w:val="ListParagraph"/>
        <w:tabs>
          <w:tab w:val="left" w:pos="709"/>
        </w:tabs>
        <w:spacing w:line="360" w:lineRule="auto"/>
        <w:ind w:left="0"/>
        <w:jc w:val="both"/>
        <w:rPr>
          <w:rFonts w:asciiTheme="minorBidi" w:hAnsiTheme="minorBidi"/>
          <w:lang w:bidi="yi-Hebr"/>
        </w:rPr>
      </w:pPr>
    </w:p>
    <w:p w:rsidR="00AD173F" w:rsidRPr="00AD173F" w:rsidRDefault="00F42759" w:rsidP="00F42759">
      <w:pPr>
        <w:tabs>
          <w:tab w:val="left" w:pos="709"/>
        </w:tabs>
        <w:spacing w:before="100" w:beforeAutospacing="1" w:after="100" w:afterAutospacing="1" w:line="360" w:lineRule="auto"/>
        <w:jc w:val="both"/>
      </w:pPr>
      <w:r w:rsidRPr="00AD173F">
        <w:rPr>
          <w:rFonts w:ascii="Arial" w:eastAsiaTheme="minorHAnsi" w:hAnsi="Arial" w:cstheme="minorBidi"/>
          <w:lang w:eastAsia="en-US"/>
        </w:rPr>
        <w:t>[13]</w:t>
      </w:r>
      <w:r w:rsidRPr="00AD173F">
        <w:rPr>
          <w:rFonts w:ascii="Arial" w:eastAsiaTheme="minorHAnsi" w:hAnsi="Arial" w:cstheme="minorBidi"/>
          <w:lang w:eastAsia="en-US"/>
        </w:rPr>
        <w:tab/>
      </w:r>
      <w:r w:rsidR="00E137FE" w:rsidRPr="00F42759">
        <w:rPr>
          <w:rFonts w:asciiTheme="minorBidi" w:hAnsiTheme="minorBidi"/>
          <w:bCs/>
          <w:lang w:val="en-GB"/>
        </w:rPr>
        <w:t xml:space="preserve">The importance of s 217 of the Constitution was emphasised in </w:t>
      </w:r>
      <w:r w:rsidR="00E137FE" w:rsidRPr="00F42759">
        <w:rPr>
          <w:rFonts w:asciiTheme="minorBidi" w:hAnsiTheme="minorBidi"/>
          <w:bCs/>
          <w:i/>
          <w:lang w:val="en-GB"/>
        </w:rPr>
        <w:t>Steenkamp NO v Provincial Tender Board</w:t>
      </w:r>
      <w:r w:rsidR="004922B6" w:rsidRPr="00F42759">
        <w:rPr>
          <w:rFonts w:asciiTheme="minorBidi" w:hAnsiTheme="minorBidi"/>
          <w:bCs/>
          <w:i/>
          <w:lang w:val="en-GB"/>
        </w:rPr>
        <w:t>,</w:t>
      </w:r>
      <w:r w:rsidR="00E137FE" w:rsidRPr="00F42759">
        <w:rPr>
          <w:rFonts w:asciiTheme="minorBidi" w:hAnsiTheme="minorBidi"/>
          <w:bCs/>
          <w:i/>
          <w:lang w:val="en-GB"/>
        </w:rPr>
        <w:t xml:space="preserve"> Eastern Cape</w:t>
      </w:r>
      <w:r w:rsidR="00E137FE" w:rsidRPr="00F42759">
        <w:rPr>
          <w:rFonts w:asciiTheme="minorBidi" w:hAnsiTheme="minorBidi"/>
          <w:bCs/>
          <w:lang w:val="en-GB"/>
        </w:rPr>
        <w:t>,</w:t>
      </w:r>
      <w:r w:rsidR="00E137FE">
        <w:rPr>
          <w:rStyle w:val="FootnoteReference"/>
          <w:rFonts w:asciiTheme="minorBidi" w:hAnsiTheme="minorBidi"/>
          <w:bCs/>
          <w:lang w:val="en-GB"/>
        </w:rPr>
        <w:footnoteReference w:id="12"/>
      </w:r>
      <w:r w:rsidR="00E137FE" w:rsidRPr="00F42759">
        <w:rPr>
          <w:rFonts w:asciiTheme="minorBidi" w:hAnsiTheme="minorBidi"/>
          <w:bCs/>
          <w:lang w:val="en-GB"/>
        </w:rPr>
        <w:t xml:space="preserve"> when Moseneke DCJ stated that: </w:t>
      </w:r>
    </w:p>
    <w:p w:rsidR="006A3606" w:rsidRDefault="009A300B" w:rsidP="001001A0">
      <w:pPr>
        <w:pStyle w:val="ListParagraph"/>
        <w:tabs>
          <w:tab w:val="left" w:pos="709"/>
        </w:tabs>
        <w:spacing w:before="100" w:beforeAutospacing="1" w:after="100" w:afterAutospacing="1" w:line="360" w:lineRule="auto"/>
        <w:ind w:left="0"/>
        <w:jc w:val="both"/>
        <w:rPr>
          <w:rFonts w:ascii="Arial" w:hAnsi="Arial" w:cs="Arial"/>
          <w:position w:val="10"/>
          <w:sz w:val="22"/>
          <w:szCs w:val="22"/>
          <w:lang w:bidi="yi-Hebr"/>
        </w:rPr>
      </w:pPr>
      <w:r>
        <w:rPr>
          <w:rFonts w:ascii="Arial" w:hAnsi="Arial" w:cs="Arial"/>
          <w:sz w:val="22"/>
          <w:szCs w:val="22"/>
          <w:lang w:bidi="yi-Hebr"/>
        </w:rPr>
        <w:t>‘</w:t>
      </w:r>
      <w:r w:rsidR="009C74CF" w:rsidRPr="009C74CF">
        <w:rPr>
          <w:rFonts w:ascii="Arial" w:hAnsi="Arial" w:cs="Arial"/>
          <w:sz w:val="22"/>
          <w:szCs w:val="22"/>
          <w:lang w:bidi="yi-Hebr"/>
        </w:rPr>
        <w:t xml:space="preserve">Section 217 of the Constitution is the source of the powers and function of a government tender board. It lays down that an organ of State in any of the three spheres of government, if authorised by law may contract for goods and services on behalf of government. However, </w:t>
      </w:r>
      <w:r w:rsidR="009C74CF" w:rsidRPr="009C74CF">
        <w:rPr>
          <w:rFonts w:ascii="Arial" w:hAnsi="Arial" w:cs="Arial"/>
          <w:sz w:val="22"/>
          <w:szCs w:val="22"/>
          <w:lang w:bidi="yi-Hebr"/>
        </w:rPr>
        <w:lastRenderedPageBreak/>
        <w:t>the tendering system it devises must be fair, equitable, transparent, competitive and cost-effective. This requirement must be understood together with the constitutional precepts on administrative justice in s 33 and the basic values governing pu</w:t>
      </w:r>
      <w:r w:rsidR="009C74CF">
        <w:rPr>
          <w:rFonts w:ascii="Arial" w:hAnsi="Arial" w:cs="Arial"/>
          <w:sz w:val="22"/>
          <w:szCs w:val="22"/>
          <w:lang w:bidi="yi-Hebr"/>
        </w:rPr>
        <w:t>blic administration in s</w:t>
      </w:r>
      <w:r w:rsidR="00167410">
        <w:rPr>
          <w:rFonts w:ascii="Arial" w:hAnsi="Arial" w:cs="Arial"/>
          <w:sz w:val="22"/>
          <w:szCs w:val="22"/>
          <w:lang w:bidi="yi-Hebr"/>
        </w:rPr>
        <w:t> </w:t>
      </w:r>
      <w:r w:rsidR="009C74CF">
        <w:rPr>
          <w:rFonts w:ascii="Arial" w:hAnsi="Arial" w:cs="Arial"/>
          <w:sz w:val="22"/>
          <w:szCs w:val="22"/>
          <w:lang w:bidi="yi-Hebr"/>
        </w:rPr>
        <w:t>195(1)</w:t>
      </w:r>
      <w:r w:rsidR="00E137FE" w:rsidRPr="00E137FE">
        <w:rPr>
          <w:rFonts w:ascii="Arial" w:hAnsi="Arial" w:cs="Arial"/>
          <w:sz w:val="22"/>
          <w:szCs w:val="22"/>
        </w:rPr>
        <w:t>.</w:t>
      </w:r>
      <w:r w:rsidR="003F6162">
        <w:rPr>
          <w:rFonts w:ascii="Arial" w:hAnsi="Arial" w:cs="Arial"/>
          <w:sz w:val="22"/>
          <w:szCs w:val="22"/>
        </w:rPr>
        <w:t>’</w:t>
      </w:r>
      <w:r w:rsidR="00E137FE">
        <w:rPr>
          <w:rStyle w:val="FootnoteReference"/>
          <w:rFonts w:ascii="Arial" w:hAnsi="Arial" w:cs="Arial"/>
          <w:sz w:val="22"/>
          <w:szCs w:val="22"/>
        </w:rPr>
        <w:footnoteReference w:id="13"/>
      </w:r>
      <w:r w:rsidR="003F6162">
        <w:rPr>
          <w:rFonts w:ascii="Arial" w:hAnsi="Arial" w:cs="Arial"/>
          <w:sz w:val="22"/>
          <w:szCs w:val="22"/>
        </w:rPr>
        <w:t xml:space="preserve"> (Footnote omitted.)</w:t>
      </w:r>
      <w:r w:rsidR="006A3606" w:rsidRPr="00E137FE">
        <w:rPr>
          <w:rFonts w:ascii="Arial" w:hAnsi="Arial" w:cs="Arial"/>
          <w:position w:val="10"/>
          <w:sz w:val="22"/>
          <w:szCs w:val="22"/>
          <w:lang w:bidi="yi-Hebr"/>
        </w:rPr>
        <w:t xml:space="preserve"> </w:t>
      </w:r>
    </w:p>
    <w:p w:rsidR="00250F9A" w:rsidRPr="00250F9A" w:rsidRDefault="00250F9A" w:rsidP="001001A0">
      <w:pPr>
        <w:pStyle w:val="ListParagraph"/>
        <w:tabs>
          <w:tab w:val="left" w:pos="709"/>
        </w:tabs>
        <w:spacing w:before="100" w:beforeAutospacing="1" w:after="100" w:afterAutospacing="1" w:line="360" w:lineRule="auto"/>
        <w:ind w:left="0"/>
        <w:jc w:val="both"/>
        <w:rPr>
          <w:rFonts w:ascii="Arial" w:hAnsi="Arial" w:cs="Arial"/>
        </w:rPr>
      </w:pPr>
    </w:p>
    <w:p w:rsidR="00250F9A" w:rsidRPr="00F42759" w:rsidRDefault="00F42759" w:rsidP="00F42759">
      <w:pPr>
        <w:tabs>
          <w:tab w:val="left" w:pos="709"/>
        </w:tabs>
        <w:spacing w:line="360" w:lineRule="auto"/>
        <w:jc w:val="both"/>
        <w:rPr>
          <w:rFonts w:ascii="Arial" w:hAnsi="Arial" w:cs="Arial"/>
          <w:bCs/>
          <w:lang w:val="en-GB"/>
        </w:rPr>
      </w:pPr>
      <w:r>
        <w:rPr>
          <w:rFonts w:ascii="Arial" w:eastAsiaTheme="minorHAnsi" w:hAnsi="Arial" w:cs="Arial"/>
          <w:bCs/>
          <w:lang w:val="en-GB" w:eastAsia="en-US" w:bidi="ar-SA"/>
        </w:rPr>
        <w:t>[14]</w:t>
      </w:r>
      <w:r>
        <w:rPr>
          <w:rFonts w:ascii="Arial" w:eastAsiaTheme="minorHAnsi" w:hAnsi="Arial" w:cs="Arial"/>
          <w:bCs/>
          <w:lang w:val="en-GB" w:eastAsia="en-US" w:bidi="ar-SA"/>
        </w:rPr>
        <w:tab/>
      </w:r>
      <w:r w:rsidR="002D2B4A" w:rsidRPr="00F42759">
        <w:rPr>
          <w:rFonts w:ascii="Arial" w:hAnsi="Arial" w:cs="Arial"/>
          <w:bCs/>
          <w:lang w:val="en-GB"/>
        </w:rPr>
        <w:t>T</w:t>
      </w:r>
      <w:r w:rsidR="00250F9A" w:rsidRPr="00F42759">
        <w:rPr>
          <w:rFonts w:ascii="Arial" w:hAnsi="Arial" w:cs="Arial"/>
          <w:bCs/>
          <w:lang w:val="en-GB"/>
        </w:rPr>
        <w:t xml:space="preserve">he Constitutional Court stated in </w:t>
      </w:r>
      <w:r w:rsidR="00FA683C" w:rsidRPr="00F42759">
        <w:rPr>
          <w:rFonts w:ascii="Arial" w:hAnsi="Arial" w:cs="Arial"/>
          <w:bCs/>
          <w:i/>
          <w:iCs/>
          <w:lang w:val="en-GB"/>
        </w:rPr>
        <w:t>Allpay Consolidated Investment Holdings (Pty) Ltd and others v Chief Executive Officer of the South African Social Security Agency and others</w:t>
      </w:r>
      <w:r w:rsidR="009A383B" w:rsidRPr="00F42759">
        <w:rPr>
          <w:rFonts w:ascii="Arial" w:hAnsi="Arial" w:cs="Arial"/>
          <w:bCs/>
          <w:iCs/>
          <w:lang w:val="en-GB"/>
        </w:rPr>
        <w:t xml:space="preserve"> that</w:t>
      </w:r>
      <w:r w:rsidR="00FA683C" w:rsidRPr="00F42759">
        <w:rPr>
          <w:rFonts w:ascii="Arial" w:hAnsi="Arial" w:cs="Arial"/>
          <w:bCs/>
          <w:lang w:val="en-GB"/>
        </w:rPr>
        <w:t>:</w:t>
      </w:r>
      <w:r w:rsidR="00FA683C">
        <w:rPr>
          <w:rStyle w:val="FootnoteReference"/>
          <w:rFonts w:ascii="Arial" w:hAnsi="Arial" w:cs="Arial"/>
          <w:bCs/>
          <w:lang w:val="en-GB"/>
        </w:rPr>
        <w:footnoteReference w:id="14"/>
      </w:r>
      <w:r w:rsidR="00FA683C" w:rsidRPr="00F42759">
        <w:rPr>
          <w:rFonts w:ascii="Arial" w:hAnsi="Arial" w:cs="Arial"/>
          <w:bCs/>
          <w:lang w:val="en-GB"/>
        </w:rPr>
        <w:t xml:space="preserve"> </w:t>
      </w:r>
    </w:p>
    <w:p w:rsidR="00250F9A" w:rsidRDefault="00FA683C" w:rsidP="00250F9A">
      <w:pPr>
        <w:pStyle w:val="ListParagraph"/>
        <w:tabs>
          <w:tab w:val="left" w:pos="709"/>
        </w:tabs>
        <w:spacing w:line="360" w:lineRule="auto"/>
        <w:ind w:left="0"/>
        <w:jc w:val="both"/>
        <w:rPr>
          <w:rFonts w:ascii="Arial" w:hAnsi="Arial" w:cs="Arial"/>
          <w:bCs/>
          <w:sz w:val="22"/>
          <w:szCs w:val="22"/>
          <w:lang w:val="en-GB"/>
        </w:rPr>
      </w:pPr>
      <w:r w:rsidRPr="00FA683C">
        <w:rPr>
          <w:rFonts w:ascii="Arial" w:hAnsi="Arial" w:cs="Arial"/>
          <w:bCs/>
          <w:sz w:val="22"/>
          <w:szCs w:val="22"/>
          <w:lang w:val="en-GB"/>
        </w:rPr>
        <w:t>‘Compliance with the requirements for a valid tender process, issued in accordance with the constitutional and legislative procurement framework, is thus legally required. These requirements are not merely internal prescripts that… may [be] disregard[ed] at whim. Too hold otherwise would undermine the demands of equal treatment, transparency and efficiency under the Constitution.’</w:t>
      </w:r>
      <w:r w:rsidRPr="00FA683C">
        <w:rPr>
          <w:rStyle w:val="FootnoteReference"/>
          <w:rFonts w:ascii="Arial" w:hAnsi="Arial" w:cs="Arial"/>
          <w:bCs/>
          <w:sz w:val="22"/>
          <w:szCs w:val="22"/>
          <w:lang w:val="en-GB"/>
        </w:rPr>
        <w:footnoteReference w:id="15"/>
      </w:r>
      <w:r w:rsidR="003F6162">
        <w:rPr>
          <w:rFonts w:ascii="Arial" w:hAnsi="Arial" w:cs="Arial"/>
          <w:bCs/>
          <w:sz w:val="22"/>
          <w:szCs w:val="22"/>
          <w:lang w:val="en-GB"/>
        </w:rPr>
        <w:t xml:space="preserve"> (Footnotes omitted.)</w:t>
      </w:r>
    </w:p>
    <w:p w:rsidR="004963BA" w:rsidRDefault="004963BA" w:rsidP="00250F9A">
      <w:pPr>
        <w:pStyle w:val="ListParagraph"/>
        <w:tabs>
          <w:tab w:val="left" w:pos="709"/>
        </w:tabs>
        <w:spacing w:line="360" w:lineRule="auto"/>
        <w:ind w:left="0"/>
        <w:jc w:val="both"/>
        <w:rPr>
          <w:rFonts w:ascii="Arial" w:hAnsi="Arial" w:cs="Arial"/>
          <w:bCs/>
          <w:lang w:val="en-GB"/>
        </w:rPr>
      </w:pPr>
    </w:p>
    <w:p w:rsidR="00CE5E2B" w:rsidRPr="0050034E" w:rsidRDefault="00CE5E2B" w:rsidP="00250F9A">
      <w:pPr>
        <w:pStyle w:val="ListParagraph"/>
        <w:tabs>
          <w:tab w:val="left" w:pos="709"/>
        </w:tabs>
        <w:spacing w:line="360" w:lineRule="auto"/>
        <w:ind w:left="0"/>
        <w:jc w:val="both"/>
        <w:rPr>
          <w:rFonts w:ascii="Arial" w:hAnsi="Arial" w:cs="Arial"/>
          <w:b/>
          <w:bCs/>
          <w:i/>
          <w:lang w:val="en-GB"/>
        </w:rPr>
      </w:pPr>
      <w:r>
        <w:rPr>
          <w:rFonts w:ascii="Arial" w:hAnsi="Arial" w:cs="Arial"/>
          <w:b/>
          <w:bCs/>
          <w:i/>
          <w:lang w:val="en-GB"/>
        </w:rPr>
        <w:t>The relevant facts</w:t>
      </w:r>
    </w:p>
    <w:p w:rsidR="00DC314E" w:rsidRPr="00F42759" w:rsidRDefault="00F42759" w:rsidP="00F42759">
      <w:pPr>
        <w:tabs>
          <w:tab w:val="left" w:pos="709"/>
        </w:tabs>
        <w:spacing w:line="360" w:lineRule="auto"/>
        <w:jc w:val="both"/>
        <w:rPr>
          <w:rFonts w:ascii="Arial" w:hAnsi="Arial" w:cs="Arial"/>
          <w:bCs/>
          <w:lang w:val="en-GB"/>
        </w:rPr>
      </w:pPr>
      <w:r>
        <w:rPr>
          <w:rFonts w:ascii="Arial" w:eastAsiaTheme="minorHAnsi" w:hAnsi="Arial" w:cs="Arial"/>
          <w:bCs/>
          <w:lang w:val="en-GB" w:eastAsia="en-US" w:bidi="ar-SA"/>
        </w:rPr>
        <w:t>[15]</w:t>
      </w:r>
      <w:r>
        <w:rPr>
          <w:rFonts w:ascii="Arial" w:eastAsiaTheme="minorHAnsi" w:hAnsi="Arial" w:cs="Arial"/>
          <w:bCs/>
          <w:lang w:val="en-GB" w:eastAsia="en-US" w:bidi="ar-SA"/>
        </w:rPr>
        <w:tab/>
      </w:r>
      <w:r w:rsidR="00A20F9C" w:rsidRPr="00F42759">
        <w:rPr>
          <w:rFonts w:ascii="Arial" w:hAnsi="Arial" w:cs="Arial"/>
          <w:bCs/>
          <w:lang w:val="en-GB"/>
        </w:rPr>
        <w:t>T</w:t>
      </w:r>
      <w:r w:rsidR="00DC314E" w:rsidRPr="00F42759">
        <w:rPr>
          <w:rFonts w:ascii="Arial" w:hAnsi="Arial" w:cs="Arial"/>
          <w:bCs/>
          <w:lang w:val="en-GB"/>
        </w:rPr>
        <w:t xml:space="preserve">he first respondent is a district municipality with an unfortunate history. It has been beset with administrative and financial difficulties. As a consequence, </w:t>
      </w:r>
      <w:r w:rsidR="00AD1B3E" w:rsidRPr="00F42759">
        <w:rPr>
          <w:rFonts w:ascii="Arial" w:hAnsi="Arial" w:cs="Arial"/>
          <w:bCs/>
          <w:lang w:val="en-GB"/>
        </w:rPr>
        <w:t xml:space="preserve">the third respondent, acting in terms of the provisions of s 139 of the Constitution, intervened in </w:t>
      </w:r>
      <w:r w:rsidR="00E80F19" w:rsidRPr="00F42759">
        <w:rPr>
          <w:rFonts w:ascii="Arial" w:hAnsi="Arial" w:cs="Arial"/>
          <w:bCs/>
          <w:lang w:val="en-GB"/>
        </w:rPr>
        <w:t>its</w:t>
      </w:r>
      <w:r w:rsidR="00AD1B3E" w:rsidRPr="00F42759">
        <w:rPr>
          <w:rFonts w:ascii="Arial" w:hAnsi="Arial" w:cs="Arial"/>
          <w:bCs/>
          <w:lang w:val="en-GB"/>
        </w:rPr>
        <w:t xml:space="preserve"> affairs and </w:t>
      </w:r>
      <w:r w:rsidR="00D500EB" w:rsidRPr="00F42759">
        <w:rPr>
          <w:rFonts w:ascii="Arial" w:hAnsi="Arial" w:cs="Arial"/>
          <w:bCs/>
          <w:lang w:val="en-GB"/>
        </w:rPr>
        <w:t xml:space="preserve">appointed </w:t>
      </w:r>
      <w:r w:rsidR="00E87681" w:rsidRPr="00F42759">
        <w:rPr>
          <w:rFonts w:ascii="Arial" w:hAnsi="Arial" w:cs="Arial"/>
          <w:bCs/>
          <w:lang w:val="en-GB"/>
        </w:rPr>
        <w:t>an administrator</w:t>
      </w:r>
      <w:r w:rsidR="00E80F19" w:rsidRPr="00F42759">
        <w:rPr>
          <w:rFonts w:ascii="Arial" w:hAnsi="Arial" w:cs="Arial"/>
          <w:bCs/>
          <w:lang w:val="en-GB"/>
        </w:rPr>
        <w:t xml:space="preserve"> to take control of </w:t>
      </w:r>
      <w:r w:rsidR="00BF6587" w:rsidRPr="00F42759">
        <w:rPr>
          <w:rFonts w:ascii="Arial" w:hAnsi="Arial" w:cs="Arial"/>
          <w:bCs/>
          <w:lang w:val="en-GB"/>
        </w:rPr>
        <w:t>the municipality</w:t>
      </w:r>
      <w:r w:rsidR="00D500EB" w:rsidRPr="00F42759">
        <w:rPr>
          <w:rFonts w:ascii="Arial" w:hAnsi="Arial" w:cs="Arial"/>
          <w:bCs/>
          <w:lang w:val="en-GB"/>
        </w:rPr>
        <w:t>.</w:t>
      </w:r>
      <w:r w:rsidR="00DC314E" w:rsidRPr="00F42759">
        <w:rPr>
          <w:rFonts w:ascii="Arial" w:hAnsi="Arial" w:cs="Arial"/>
          <w:bCs/>
          <w:lang w:val="en-GB"/>
        </w:rPr>
        <w:t xml:space="preserve"> </w:t>
      </w:r>
      <w:r w:rsidR="00396001" w:rsidRPr="00F42759">
        <w:rPr>
          <w:rFonts w:ascii="Arial" w:hAnsi="Arial" w:cs="Arial"/>
          <w:bCs/>
          <w:lang w:val="en-GB"/>
        </w:rPr>
        <w:t xml:space="preserve">It appears that </w:t>
      </w:r>
      <w:r w:rsidR="00446C56" w:rsidRPr="00F42759">
        <w:rPr>
          <w:rFonts w:ascii="Arial" w:hAnsi="Arial" w:cs="Arial"/>
          <w:bCs/>
          <w:lang w:val="en-GB"/>
        </w:rPr>
        <w:t xml:space="preserve">at one stage </w:t>
      </w:r>
      <w:r w:rsidR="009A383B" w:rsidRPr="00F42759">
        <w:rPr>
          <w:rFonts w:ascii="Arial" w:hAnsi="Arial" w:cs="Arial"/>
          <w:bCs/>
          <w:lang w:val="en-GB"/>
        </w:rPr>
        <w:t xml:space="preserve">a </w:t>
      </w:r>
      <w:r w:rsidR="00396001" w:rsidRPr="00F42759">
        <w:rPr>
          <w:rFonts w:ascii="Arial" w:hAnsi="Arial" w:cs="Arial"/>
          <w:bCs/>
          <w:lang w:val="en-GB"/>
        </w:rPr>
        <w:t>Mr Martin Sithole</w:t>
      </w:r>
      <w:r w:rsidR="00E80F19" w:rsidRPr="00F42759">
        <w:rPr>
          <w:rFonts w:ascii="Arial" w:hAnsi="Arial" w:cs="Arial"/>
          <w:bCs/>
          <w:lang w:val="en-GB"/>
        </w:rPr>
        <w:t xml:space="preserve"> </w:t>
      </w:r>
      <w:r w:rsidR="00396001" w:rsidRPr="00F42759">
        <w:rPr>
          <w:rFonts w:ascii="Arial" w:hAnsi="Arial" w:cs="Arial"/>
          <w:bCs/>
          <w:lang w:val="en-GB"/>
        </w:rPr>
        <w:t>(Mr Sithole)</w:t>
      </w:r>
      <w:r w:rsidR="00446C56" w:rsidRPr="00F42759">
        <w:rPr>
          <w:rFonts w:ascii="Arial" w:hAnsi="Arial" w:cs="Arial"/>
          <w:bCs/>
          <w:lang w:val="en-GB"/>
        </w:rPr>
        <w:t xml:space="preserve"> was the </w:t>
      </w:r>
      <w:r w:rsidR="00E95D82" w:rsidRPr="00F42759">
        <w:rPr>
          <w:rFonts w:ascii="Arial" w:hAnsi="Arial" w:cs="Arial"/>
          <w:bCs/>
          <w:lang w:val="en-GB"/>
        </w:rPr>
        <w:t>administrator</w:t>
      </w:r>
      <w:r w:rsidR="00396001" w:rsidRPr="00F42759">
        <w:rPr>
          <w:rFonts w:ascii="Arial" w:hAnsi="Arial" w:cs="Arial"/>
          <w:bCs/>
          <w:lang w:val="en-GB"/>
        </w:rPr>
        <w:t xml:space="preserve">, </w:t>
      </w:r>
      <w:r w:rsidR="00446C56" w:rsidRPr="00F42759">
        <w:rPr>
          <w:rFonts w:ascii="Arial" w:hAnsi="Arial" w:cs="Arial"/>
          <w:bCs/>
          <w:lang w:val="en-GB"/>
        </w:rPr>
        <w:t>being</w:t>
      </w:r>
      <w:r w:rsidR="00396001" w:rsidRPr="00F42759">
        <w:rPr>
          <w:rFonts w:ascii="Arial" w:hAnsi="Arial" w:cs="Arial"/>
          <w:bCs/>
          <w:lang w:val="en-GB"/>
        </w:rPr>
        <w:t xml:space="preserve"> appointed </w:t>
      </w:r>
      <w:r w:rsidR="009A383B" w:rsidRPr="00F42759">
        <w:rPr>
          <w:rFonts w:ascii="Arial" w:hAnsi="Arial" w:cs="Arial"/>
          <w:bCs/>
          <w:lang w:val="en-GB"/>
        </w:rPr>
        <w:t xml:space="preserve">to that position </w:t>
      </w:r>
      <w:r w:rsidR="00396001" w:rsidRPr="00F42759">
        <w:rPr>
          <w:rFonts w:ascii="Arial" w:hAnsi="Arial" w:cs="Arial"/>
          <w:bCs/>
          <w:lang w:val="en-GB"/>
        </w:rPr>
        <w:t>on 1 October 2019 and remain</w:t>
      </w:r>
      <w:r w:rsidR="00446C56" w:rsidRPr="00F42759">
        <w:rPr>
          <w:rFonts w:ascii="Arial" w:hAnsi="Arial" w:cs="Arial"/>
          <w:bCs/>
          <w:lang w:val="en-GB"/>
        </w:rPr>
        <w:t>ing</w:t>
      </w:r>
      <w:r w:rsidR="00396001" w:rsidRPr="00F42759">
        <w:rPr>
          <w:rFonts w:ascii="Arial" w:hAnsi="Arial" w:cs="Arial"/>
          <w:bCs/>
          <w:lang w:val="en-GB"/>
        </w:rPr>
        <w:t xml:space="preserve"> in that position until August 2020. </w:t>
      </w:r>
      <w:r w:rsidR="008F7B27" w:rsidRPr="00F42759">
        <w:rPr>
          <w:rFonts w:ascii="Arial" w:hAnsi="Arial" w:cs="Arial"/>
          <w:bCs/>
          <w:lang w:val="en-GB"/>
        </w:rPr>
        <w:t>With effect from 1 September 2020, Mr Sithole became the first respondent’s municipal manager</w:t>
      </w:r>
      <w:r w:rsidR="00E80F19" w:rsidRPr="00F42759">
        <w:rPr>
          <w:rFonts w:ascii="Arial" w:hAnsi="Arial" w:cs="Arial"/>
          <w:bCs/>
          <w:lang w:val="en-GB"/>
        </w:rPr>
        <w:t>, a position that he held</w:t>
      </w:r>
      <w:r w:rsidR="008F7B27" w:rsidRPr="00F42759">
        <w:rPr>
          <w:rFonts w:ascii="Arial" w:hAnsi="Arial" w:cs="Arial"/>
          <w:bCs/>
          <w:lang w:val="en-GB"/>
        </w:rPr>
        <w:t xml:space="preserve"> until the end of March 2022 when he was succeeded by Mr </w:t>
      </w:r>
      <w:r w:rsidR="00BF6587" w:rsidRPr="00F42759">
        <w:rPr>
          <w:rFonts w:ascii="Arial" w:hAnsi="Arial" w:cs="Arial"/>
          <w:bCs/>
          <w:lang w:val="en-GB"/>
        </w:rPr>
        <w:t xml:space="preserve">Mpumelelo </w:t>
      </w:r>
      <w:r w:rsidR="008F7B27" w:rsidRPr="00F42759">
        <w:rPr>
          <w:rFonts w:ascii="Arial" w:hAnsi="Arial" w:cs="Arial"/>
          <w:bCs/>
          <w:lang w:val="en-GB"/>
        </w:rPr>
        <w:t>Mnguni</w:t>
      </w:r>
      <w:r w:rsidR="001F20B4" w:rsidRPr="00F42759">
        <w:rPr>
          <w:rFonts w:ascii="Arial" w:hAnsi="Arial" w:cs="Arial"/>
          <w:bCs/>
          <w:lang w:val="en-GB"/>
        </w:rPr>
        <w:t xml:space="preserve"> (Mr Mnguni)</w:t>
      </w:r>
      <w:r w:rsidR="008F7B27" w:rsidRPr="00F42759">
        <w:rPr>
          <w:rFonts w:ascii="Arial" w:hAnsi="Arial" w:cs="Arial"/>
          <w:bCs/>
          <w:lang w:val="en-GB"/>
        </w:rPr>
        <w:t xml:space="preserve">, first in an acting capacity and then in a permanent capacity. </w:t>
      </w:r>
      <w:r w:rsidR="00D500EB" w:rsidRPr="00F42759">
        <w:rPr>
          <w:rFonts w:ascii="Arial" w:hAnsi="Arial" w:cs="Arial"/>
          <w:bCs/>
          <w:lang w:val="en-GB"/>
        </w:rPr>
        <w:t>T</w:t>
      </w:r>
      <w:r w:rsidR="00DC314E" w:rsidRPr="00F42759">
        <w:rPr>
          <w:rFonts w:ascii="Arial" w:hAnsi="Arial" w:cs="Arial"/>
          <w:bCs/>
          <w:lang w:val="en-GB"/>
        </w:rPr>
        <w:t xml:space="preserve">he current administrator </w:t>
      </w:r>
      <w:r w:rsidR="00BF6587" w:rsidRPr="00F42759">
        <w:rPr>
          <w:rFonts w:ascii="Arial" w:hAnsi="Arial" w:cs="Arial"/>
          <w:bCs/>
          <w:lang w:val="en-GB"/>
        </w:rPr>
        <w:t xml:space="preserve">of the municipality </w:t>
      </w:r>
      <w:r w:rsidR="00D500EB" w:rsidRPr="00F42759">
        <w:rPr>
          <w:rFonts w:ascii="Arial" w:hAnsi="Arial" w:cs="Arial"/>
          <w:bCs/>
          <w:lang w:val="en-GB"/>
        </w:rPr>
        <w:t>is</w:t>
      </w:r>
      <w:r w:rsidR="00DC314E" w:rsidRPr="00F42759">
        <w:rPr>
          <w:rFonts w:ascii="Arial" w:hAnsi="Arial" w:cs="Arial"/>
          <w:bCs/>
          <w:lang w:val="en-GB"/>
        </w:rPr>
        <w:t xml:space="preserve"> the fifth respondent</w:t>
      </w:r>
      <w:r w:rsidR="00D500EB" w:rsidRPr="00F42759">
        <w:rPr>
          <w:rFonts w:ascii="Arial" w:hAnsi="Arial" w:cs="Arial"/>
          <w:bCs/>
          <w:lang w:val="en-GB"/>
        </w:rPr>
        <w:t xml:space="preserve">, who was appointed </w:t>
      </w:r>
      <w:r w:rsidR="00A07C86" w:rsidRPr="00F42759">
        <w:rPr>
          <w:rFonts w:ascii="Arial" w:hAnsi="Arial" w:cs="Arial"/>
          <w:bCs/>
          <w:lang w:val="en-GB"/>
        </w:rPr>
        <w:t>on 11 May 2022.</w:t>
      </w:r>
    </w:p>
    <w:p w:rsidR="00B375F3" w:rsidRPr="00F52EC8" w:rsidRDefault="00B375F3" w:rsidP="00B375F3">
      <w:pPr>
        <w:pStyle w:val="ListParagraph"/>
        <w:tabs>
          <w:tab w:val="left" w:pos="709"/>
        </w:tabs>
        <w:spacing w:line="360" w:lineRule="auto"/>
        <w:ind w:left="0"/>
        <w:jc w:val="both"/>
        <w:rPr>
          <w:rFonts w:ascii="Arial" w:hAnsi="Arial" w:cs="Arial"/>
          <w:bCs/>
          <w:lang w:val="en-GB"/>
        </w:rPr>
      </w:pPr>
    </w:p>
    <w:p w:rsidR="00340066" w:rsidRPr="00F42759" w:rsidRDefault="00F42759" w:rsidP="00F42759">
      <w:pPr>
        <w:tabs>
          <w:tab w:val="left" w:pos="709"/>
        </w:tabs>
        <w:spacing w:line="360" w:lineRule="auto"/>
        <w:jc w:val="both"/>
        <w:rPr>
          <w:rFonts w:ascii="Arial" w:hAnsi="Arial" w:cs="Arial"/>
          <w:bCs/>
          <w:lang w:val="en-GB"/>
        </w:rPr>
      </w:pPr>
      <w:r>
        <w:rPr>
          <w:rFonts w:ascii="Arial" w:eastAsiaTheme="minorHAnsi" w:hAnsi="Arial" w:cs="Arial"/>
          <w:bCs/>
          <w:lang w:val="en-GB" w:eastAsia="en-US" w:bidi="ar-SA"/>
        </w:rPr>
        <w:t>[16]</w:t>
      </w:r>
      <w:r>
        <w:rPr>
          <w:rFonts w:ascii="Arial" w:eastAsiaTheme="minorHAnsi" w:hAnsi="Arial" w:cs="Arial"/>
          <w:bCs/>
          <w:lang w:val="en-GB" w:eastAsia="en-US" w:bidi="ar-SA"/>
        </w:rPr>
        <w:tab/>
      </w:r>
      <w:r w:rsidR="00BF6587" w:rsidRPr="00F42759">
        <w:rPr>
          <w:rFonts w:ascii="Arial" w:hAnsi="Arial" w:cs="Arial"/>
          <w:bCs/>
          <w:lang w:val="en-GB"/>
        </w:rPr>
        <w:t>During February 2020, p</w:t>
      </w:r>
      <w:r w:rsidR="00A07C86" w:rsidRPr="00F42759">
        <w:rPr>
          <w:rFonts w:ascii="Arial" w:hAnsi="Arial" w:cs="Arial"/>
          <w:bCs/>
          <w:lang w:val="en-GB"/>
        </w:rPr>
        <w:t>rior to the appointment</w:t>
      </w:r>
      <w:r w:rsidR="001F20B4" w:rsidRPr="00F42759">
        <w:rPr>
          <w:rFonts w:ascii="Arial" w:hAnsi="Arial" w:cs="Arial"/>
          <w:bCs/>
          <w:lang w:val="en-GB"/>
        </w:rPr>
        <w:t xml:space="preserve"> of </w:t>
      </w:r>
      <w:r w:rsidR="007A244D" w:rsidRPr="00F42759">
        <w:rPr>
          <w:rFonts w:ascii="Arial" w:hAnsi="Arial" w:cs="Arial"/>
          <w:bCs/>
          <w:lang w:val="en-GB"/>
        </w:rPr>
        <w:t xml:space="preserve">both </w:t>
      </w:r>
      <w:r w:rsidR="001F20B4" w:rsidRPr="00F42759">
        <w:rPr>
          <w:rFonts w:ascii="Arial" w:hAnsi="Arial" w:cs="Arial"/>
          <w:bCs/>
          <w:lang w:val="en-GB"/>
        </w:rPr>
        <w:t>the fifth respondent and Mr Mnguni</w:t>
      </w:r>
      <w:r w:rsidR="00BF6587" w:rsidRPr="00F42759">
        <w:rPr>
          <w:rFonts w:ascii="Arial" w:hAnsi="Arial" w:cs="Arial"/>
          <w:bCs/>
          <w:lang w:val="en-GB"/>
        </w:rPr>
        <w:t xml:space="preserve"> but while Mr Sithole was the </w:t>
      </w:r>
      <w:r w:rsidR="008D54AC" w:rsidRPr="00F42759">
        <w:rPr>
          <w:rFonts w:ascii="Arial" w:hAnsi="Arial" w:cs="Arial"/>
          <w:bCs/>
          <w:lang w:val="en-GB"/>
        </w:rPr>
        <w:t>administrator</w:t>
      </w:r>
      <w:r w:rsidR="00A07C86" w:rsidRPr="00F42759">
        <w:rPr>
          <w:rFonts w:ascii="Arial" w:hAnsi="Arial" w:cs="Arial"/>
          <w:bCs/>
          <w:lang w:val="en-GB"/>
        </w:rPr>
        <w:t xml:space="preserve">, </w:t>
      </w:r>
      <w:r w:rsidR="00340066" w:rsidRPr="00F42759">
        <w:rPr>
          <w:rFonts w:ascii="Arial" w:hAnsi="Arial" w:cs="Arial"/>
          <w:bCs/>
          <w:lang w:val="en-GB"/>
        </w:rPr>
        <w:t xml:space="preserve">the first respondent published </w:t>
      </w:r>
      <w:r w:rsidR="00E64EEA" w:rsidRPr="00F42759">
        <w:rPr>
          <w:rFonts w:ascii="Arial" w:hAnsi="Arial" w:cs="Arial"/>
          <w:bCs/>
          <w:lang w:val="en-GB"/>
        </w:rPr>
        <w:t>the</w:t>
      </w:r>
      <w:r w:rsidR="00340066" w:rsidRPr="00F42759">
        <w:rPr>
          <w:rFonts w:ascii="Arial" w:hAnsi="Arial" w:cs="Arial"/>
          <w:bCs/>
          <w:lang w:val="en-GB"/>
        </w:rPr>
        <w:t xml:space="preserve"> tender </w:t>
      </w:r>
      <w:r w:rsidR="00584FC6" w:rsidRPr="00F42759">
        <w:rPr>
          <w:rFonts w:ascii="Arial" w:hAnsi="Arial" w:cs="Arial"/>
          <w:bCs/>
          <w:lang w:val="en-GB"/>
        </w:rPr>
        <w:t>in question.</w:t>
      </w:r>
      <w:r w:rsidR="00340066" w:rsidRPr="00F42759">
        <w:rPr>
          <w:rFonts w:ascii="Arial" w:hAnsi="Arial" w:cs="Arial"/>
          <w:bCs/>
          <w:lang w:val="en-GB"/>
        </w:rPr>
        <w:t xml:space="preserve"> The invitation to tender read as follows:</w:t>
      </w:r>
    </w:p>
    <w:p w:rsidR="00C83884" w:rsidRDefault="00C83884" w:rsidP="00340066">
      <w:pPr>
        <w:pStyle w:val="ListParagraph"/>
        <w:tabs>
          <w:tab w:val="left" w:pos="709"/>
        </w:tabs>
        <w:spacing w:line="360" w:lineRule="auto"/>
        <w:ind w:left="0"/>
        <w:jc w:val="both"/>
        <w:rPr>
          <w:rFonts w:ascii="Arial" w:hAnsi="Arial" w:cs="Arial"/>
          <w:bCs/>
          <w:sz w:val="22"/>
          <w:szCs w:val="22"/>
          <w:lang w:val="en-GB"/>
        </w:rPr>
      </w:pPr>
    </w:p>
    <w:p w:rsidR="00340066" w:rsidRDefault="00340066" w:rsidP="00340066">
      <w:pPr>
        <w:pStyle w:val="ListParagraph"/>
        <w:tabs>
          <w:tab w:val="left" w:pos="709"/>
        </w:tabs>
        <w:spacing w:line="360" w:lineRule="auto"/>
        <w:ind w:left="0"/>
        <w:jc w:val="both"/>
        <w:rPr>
          <w:rFonts w:ascii="Arial" w:hAnsi="Arial" w:cs="Arial"/>
          <w:bCs/>
          <w:sz w:val="22"/>
          <w:szCs w:val="22"/>
          <w:lang w:val="en-GB"/>
        </w:rPr>
      </w:pPr>
      <w:r>
        <w:rPr>
          <w:rFonts w:ascii="Arial" w:hAnsi="Arial" w:cs="Arial"/>
          <w:bCs/>
          <w:sz w:val="22"/>
          <w:szCs w:val="22"/>
          <w:lang w:val="en-GB"/>
        </w:rPr>
        <w:lastRenderedPageBreak/>
        <w:t>‘Tender No 01/2020-PRS</w:t>
      </w:r>
    </w:p>
    <w:p w:rsidR="00340066" w:rsidRDefault="00340066" w:rsidP="00E46685">
      <w:pPr>
        <w:pStyle w:val="ListParagraph"/>
        <w:tabs>
          <w:tab w:val="left" w:pos="709"/>
        </w:tabs>
        <w:spacing w:line="360" w:lineRule="auto"/>
        <w:ind w:left="0"/>
        <w:jc w:val="both"/>
        <w:rPr>
          <w:rFonts w:ascii="Arial" w:hAnsi="Arial" w:cs="Arial"/>
          <w:bCs/>
          <w:sz w:val="22"/>
          <w:szCs w:val="22"/>
          <w:lang w:val="en-GB"/>
        </w:rPr>
      </w:pPr>
      <w:r>
        <w:rPr>
          <w:rFonts w:ascii="Arial" w:hAnsi="Arial" w:cs="Arial"/>
          <w:bCs/>
          <w:sz w:val="22"/>
          <w:szCs w:val="22"/>
          <w:lang w:val="en-GB"/>
        </w:rPr>
        <w:t>The uThukela District Municipality seeks professional service providers to formulate business plan (sic) on supply and installation of smart metering system together with technical, economical (sic), social &amp; institutional interventions in addressing issues relating to our Municipal Strategic Self</w:t>
      </w:r>
      <w:r w:rsidR="00FC4C09">
        <w:rPr>
          <w:rFonts w:ascii="Arial" w:hAnsi="Arial" w:cs="Arial"/>
          <w:bCs/>
          <w:sz w:val="22"/>
          <w:szCs w:val="22"/>
          <w:lang w:val="en-GB"/>
        </w:rPr>
        <w:t xml:space="preserve"> </w:t>
      </w:r>
      <w:r>
        <w:rPr>
          <w:rFonts w:ascii="Arial" w:hAnsi="Arial" w:cs="Arial"/>
          <w:bCs/>
          <w:sz w:val="22"/>
          <w:szCs w:val="22"/>
          <w:lang w:val="en-GB"/>
        </w:rPr>
        <w:t>Assessment</w:t>
      </w:r>
      <w:r w:rsidR="00705AAC">
        <w:rPr>
          <w:rFonts w:ascii="Arial" w:hAnsi="Arial" w:cs="Arial"/>
          <w:bCs/>
          <w:sz w:val="22"/>
          <w:szCs w:val="22"/>
          <w:lang w:val="en-GB"/>
        </w:rPr>
        <w:t xml:space="preserve"> </w:t>
      </w:r>
      <w:r>
        <w:rPr>
          <w:rFonts w:ascii="Arial" w:hAnsi="Arial" w:cs="Arial"/>
          <w:bCs/>
          <w:sz w:val="22"/>
          <w:szCs w:val="22"/>
          <w:lang w:val="en-GB"/>
        </w:rPr>
        <w:t>(MuSSA) risks. The plan has to also reflect in the municipality acquiring Blue Drop and Green Drop status and the dynamics relating to that accordingly. Sourcing of funding must be at no risk to the uThukela Municipality and must in no way whatsoever affect our current financial situation.’</w:t>
      </w:r>
    </w:p>
    <w:p w:rsidR="00785A5A" w:rsidRDefault="0077540A" w:rsidP="00785A5A">
      <w:pPr>
        <w:pStyle w:val="ListParagraph"/>
        <w:tabs>
          <w:tab w:val="left" w:pos="709"/>
        </w:tabs>
        <w:spacing w:line="360" w:lineRule="auto"/>
        <w:ind w:left="0"/>
        <w:jc w:val="both"/>
        <w:rPr>
          <w:rFonts w:ascii="Arial" w:hAnsi="Arial" w:cs="Arial"/>
          <w:bCs/>
          <w:lang w:val="en-GB"/>
        </w:rPr>
      </w:pPr>
      <w:r>
        <w:rPr>
          <w:rFonts w:ascii="Arial" w:hAnsi="Arial" w:cs="Arial"/>
          <w:bCs/>
          <w:lang w:val="en-GB"/>
        </w:rPr>
        <w:t xml:space="preserve">The advert went on to state that the tender closed at 12h00 on 20 February 2020. </w:t>
      </w:r>
    </w:p>
    <w:p w:rsidR="0077540A" w:rsidRDefault="0077540A" w:rsidP="00785A5A">
      <w:pPr>
        <w:pStyle w:val="ListParagraph"/>
        <w:tabs>
          <w:tab w:val="left" w:pos="709"/>
        </w:tabs>
        <w:spacing w:line="360" w:lineRule="auto"/>
        <w:ind w:left="0"/>
        <w:jc w:val="both"/>
        <w:rPr>
          <w:rFonts w:ascii="Arial" w:hAnsi="Arial" w:cs="Arial"/>
          <w:bCs/>
          <w:lang w:val="en-GB"/>
        </w:rPr>
      </w:pPr>
    </w:p>
    <w:p w:rsidR="00785A5A" w:rsidRPr="00F42759" w:rsidRDefault="00F42759" w:rsidP="00F42759">
      <w:pPr>
        <w:tabs>
          <w:tab w:val="left" w:pos="709"/>
        </w:tabs>
        <w:spacing w:line="360" w:lineRule="auto"/>
        <w:jc w:val="both"/>
        <w:rPr>
          <w:rFonts w:ascii="Arial" w:hAnsi="Arial" w:cs="Arial"/>
          <w:bCs/>
          <w:lang w:val="en-GB"/>
        </w:rPr>
      </w:pPr>
      <w:r w:rsidRPr="00785A5A">
        <w:rPr>
          <w:rFonts w:ascii="Arial" w:eastAsiaTheme="minorHAnsi" w:hAnsi="Arial" w:cs="Arial"/>
          <w:bCs/>
          <w:lang w:val="en-GB" w:eastAsia="en-US" w:bidi="ar-SA"/>
        </w:rPr>
        <w:t>[17]</w:t>
      </w:r>
      <w:r w:rsidRPr="00785A5A">
        <w:rPr>
          <w:rFonts w:ascii="Arial" w:eastAsiaTheme="minorHAnsi" w:hAnsi="Arial" w:cs="Arial"/>
          <w:bCs/>
          <w:lang w:val="en-GB" w:eastAsia="en-US" w:bidi="ar-SA"/>
        </w:rPr>
        <w:tab/>
      </w:r>
      <w:r w:rsidR="006D34EB" w:rsidRPr="00F42759">
        <w:rPr>
          <w:rFonts w:ascii="Arial" w:hAnsi="Arial" w:cs="Arial"/>
          <w:bCs/>
          <w:lang w:val="en-GB"/>
        </w:rPr>
        <w:t>From its wording, t</w:t>
      </w:r>
      <w:r w:rsidR="00BF6587" w:rsidRPr="00F42759">
        <w:rPr>
          <w:rFonts w:ascii="Arial" w:hAnsi="Arial" w:cs="Arial"/>
          <w:bCs/>
          <w:lang w:val="en-GB"/>
        </w:rPr>
        <w:t xml:space="preserve">he advertisement seemed to seek merely the creation of a business plan. It </w:t>
      </w:r>
      <w:r w:rsidR="009A383B" w:rsidRPr="00F42759">
        <w:rPr>
          <w:rFonts w:ascii="Arial" w:hAnsi="Arial" w:cs="Arial"/>
          <w:bCs/>
          <w:lang w:val="en-GB"/>
        </w:rPr>
        <w:t xml:space="preserve">also </w:t>
      </w:r>
      <w:r w:rsidR="00BF6587" w:rsidRPr="00F42759">
        <w:rPr>
          <w:rFonts w:ascii="Arial" w:hAnsi="Arial" w:cs="Arial"/>
          <w:bCs/>
          <w:lang w:val="en-GB"/>
        </w:rPr>
        <w:t xml:space="preserve">referred to </w:t>
      </w:r>
      <w:r w:rsidR="00785A5A" w:rsidRPr="00F42759">
        <w:rPr>
          <w:rFonts w:ascii="Arial" w:hAnsi="Arial" w:cs="Arial"/>
          <w:bCs/>
          <w:lang w:val="en-GB"/>
        </w:rPr>
        <w:t>the first respondent’s ‘Municipal Strategic Self</w:t>
      </w:r>
      <w:r w:rsidR="002D2B4A" w:rsidRPr="00F42759">
        <w:rPr>
          <w:rFonts w:ascii="Arial" w:hAnsi="Arial" w:cs="Arial"/>
          <w:bCs/>
          <w:lang w:val="en-GB"/>
        </w:rPr>
        <w:t xml:space="preserve"> </w:t>
      </w:r>
      <w:r w:rsidR="00785A5A" w:rsidRPr="00F42759">
        <w:rPr>
          <w:rFonts w:ascii="Arial" w:hAnsi="Arial" w:cs="Arial"/>
          <w:bCs/>
          <w:lang w:val="en-GB"/>
        </w:rPr>
        <w:t>Assessment</w:t>
      </w:r>
      <w:r w:rsidR="00705AAC" w:rsidRPr="00F42759">
        <w:rPr>
          <w:rFonts w:ascii="Arial" w:hAnsi="Arial" w:cs="Arial"/>
          <w:bCs/>
          <w:lang w:val="en-GB"/>
        </w:rPr>
        <w:t xml:space="preserve"> (MuSSA) risks</w:t>
      </w:r>
      <w:r w:rsidR="00785A5A" w:rsidRPr="00F42759">
        <w:rPr>
          <w:rFonts w:ascii="Arial" w:hAnsi="Arial" w:cs="Arial"/>
          <w:bCs/>
          <w:lang w:val="en-GB"/>
        </w:rPr>
        <w:t xml:space="preserve">’. </w:t>
      </w:r>
      <w:r w:rsidR="00785A5A" w:rsidRPr="00F42759">
        <w:rPr>
          <w:rFonts w:ascii="Arial" w:hAnsi="Arial" w:cs="Arial"/>
        </w:rPr>
        <w:t xml:space="preserve">According to the business plan prepared by the applicant, which is attached to the founding affidavit in the urgent application, </w:t>
      </w:r>
      <w:r w:rsidR="00785A5A" w:rsidRPr="00F42759">
        <w:rPr>
          <w:rFonts w:ascii="Arial" w:hAnsi="Arial" w:cs="Arial"/>
          <w:color w:val="000000"/>
          <w:shd w:val="clear" w:color="auto" w:fill="FFFFFF"/>
        </w:rPr>
        <w:t>MuSSA is an annual assessment undertaken by Water Services Authorities (WSA):</w:t>
      </w:r>
    </w:p>
    <w:p w:rsidR="00785A5A" w:rsidRPr="00785A5A" w:rsidRDefault="00785A5A" w:rsidP="00785A5A">
      <w:pPr>
        <w:spacing w:line="360" w:lineRule="auto"/>
        <w:jc w:val="both"/>
        <w:rPr>
          <w:rFonts w:ascii="Arial" w:hAnsi="Arial" w:cs="Arial"/>
          <w:color w:val="000000"/>
          <w:sz w:val="22"/>
          <w:szCs w:val="22"/>
          <w:shd w:val="clear" w:color="auto" w:fill="FFFFFF"/>
        </w:rPr>
      </w:pPr>
      <w:r w:rsidRPr="00785A5A">
        <w:rPr>
          <w:rFonts w:ascii="Arial" w:hAnsi="Arial" w:cs="Arial"/>
          <w:color w:val="000000"/>
          <w:sz w:val="22"/>
          <w:szCs w:val="22"/>
          <w:shd w:val="clear" w:color="auto" w:fill="FFFFFF"/>
        </w:rPr>
        <w:t>‘The MuSSA is used to determine the overall business health of a WSA. By identifying key municipal vulnerabilities across a range of business attributes it allows municipalities to effectively plan and direct their resources more effectively, and for the Department of Water and Sanitation (DWS) and its partners to provide more focussed support.’ </w:t>
      </w:r>
    </w:p>
    <w:p w:rsidR="00785A5A" w:rsidRPr="00785A5A" w:rsidRDefault="00785A5A" w:rsidP="00785A5A">
      <w:pPr>
        <w:spacing w:line="360" w:lineRule="auto"/>
        <w:jc w:val="both"/>
        <w:rPr>
          <w:rFonts w:ascii="Arial" w:hAnsi="Arial" w:cs="Arial"/>
          <w:color w:val="000000"/>
          <w:shd w:val="clear" w:color="auto" w:fill="FFFFFF"/>
        </w:rPr>
      </w:pPr>
      <w:r>
        <w:rPr>
          <w:rFonts w:ascii="Arial" w:hAnsi="Arial" w:cs="Arial"/>
          <w:color w:val="000000"/>
          <w:shd w:val="clear" w:color="auto" w:fill="FFFFFF"/>
        </w:rPr>
        <w:t xml:space="preserve">That being the case, the request for the development of a business plan </w:t>
      </w:r>
      <w:r w:rsidR="00705AAC">
        <w:rPr>
          <w:rFonts w:ascii="Arial" w:hAnsi="Arial" w:cs="Arial"/>
          <w:color w:val="000000"/>
          <w:shd w:val="clear" w:color="auto" w:fill="FFFFFF"/>
        </w:rPr>
        <w:t xml:space="preserve">appears to </w:t>
      </w:r>
      <w:r>
        <w:rPr>
          <w:rFonts w:ascii="Arial" w:hAnsi="Arial" w:cs="Arial"/>
          <w:color w:val="000000"/>
          <w:shd w:val="clear" w:color="auto" w:fill="FFFFFF"/>
        </w:rPr>
        <w:t xml:space="preserve">gel with </w:t>
      </w:r>
      <w:r w:rsidR="00454A05">
        <w:rPr>
          <w:rFonts w:ascii="Arial" w:hAnsi="Arial" w:cs="Arial"/>
          <w:color w:val="000000"/>
          <w:shd w:val="clear" w:color="auto" w:fill="FFFFFF"/>
        </w:rPr>
        <w:t>the first respondent’s MuSSA obligations.</w:t>
      </w:r>
    </w:p>
    <w:p w:rsidR="00785A5A" w:rsidRDefault="00785A5A" w:rsidP="00785A5A">
      <w:pPr>
        <w:pStyle w:val="ListParagraph"/>
        <w:tabs>
          <w:tab w:val="left" w:pos="709"/>
        </w:tabs>
        <w:spacing w:line="360" w:lineRule="auto"/>
        <w:ind w:left="0"/>
        <w:jc w:val="both"/>
        <w:rPr>
          <w:rFonts w:ascii="Arial" w:hAnsi="Arial" w:cs="Arial"/>
          <w:bCs/>
          <w:lang w:val="en-GB"/>
        </w:rPr>
      </w:pPr>
    </w:p>
    <w:p w:rsidR="00785A5A" w:rsidRPr="00F42759" w:rsidRDefault="00F42759" w:rsidP="00F42759">
      <w:pPr>
        <w:tabs>
          <w:tab w:val="left" w:pos="709"/>
        </w:tabs>
        <w:spacing w:line="360" w:lineRule="auto"/>
        <w:jc w:val="both"/>
        <w:rPr>
          <w:rFonts w:ascii="Arial" w:hAnsi="Arial" w:cs="Arial"/>
          <w:bCs/>
          <w:lang w:val="en-GB"/>
        </w:rPr>
      </w:pPr>
      <w:r>
        <w:rPr>
          <w:rFonts w:ascii="Arial" w:eastAsiaTheme="minorHAnsi" w:hAnsi="Arial" w:cs="Arial"/>
          <w:bCs/>
          <w:lang w:val="en-GB" w:eastAsia="en-US" w:bidi="ar-SA"/>
        </w:rPr>
        <w:t>[18]</w:t>
      </w:r>
      <w:r>
        <w:rPr>
          <w:rFonts w:ascii="Arial" w:eastAsiaTheme="minorHAnsi" w:hAnsi="Arial" w:cs="Arial"/>
          <w:bCs/>
          <w:lang w:val="en-GB" w:eastAsia="en-US" w:bidi="ar-SA"/>
        </w:rPr>
        <w:tab/>
      </w:r>
      <w:r w:rsidR="00E46685" w:rsidRPr="00F42759">
        <w:rPr>
          <w:rFonts w:ascii="Arial" w:hAnsi="Arial" w:cs="Arial"/>
          <w:bCs/>
          <w:lang w:val="en-GB"/>
        </w:rPr>
        <w:t xml:space="preserve">While it </w:t>
      </w:r>
      <w:r w:rsidR="00705AAC" w:rsidRPr="00F42759">
        <w:rPr>
          <w:rFonts w:ascii="Arial" w:hAnsi="Arial" w:cs="Arial"/>
          <w:bCs/>
          <w:lang w:val="en-GB"/>
        </w:rPr>
        <w:t xml:space="preserve">was reasonably apparent that what was required was a business plan involving smart meters, </w:t>
      </w:r>
      <w:r w:rsidR="00E64EEA" w:rsidRPr="00F42759">
        <w:rPr>
          <w:rFonts w:ascii="Arial" w:hAnsi="Arial" w:cs="Arial"/>
          <w:bCs/>
          <w:lang w:val="en-GB"/>
        </w:rPr>
        <w:t>th</w:t>
      </w:r>
      <w:r w:rsidR="00454A05" w:rsidRPr="00F42759">
        <w:rPr>
          <w:rFonts w:ascii="Arial" w:hAnsi="Arial" w:cs="Arial"/>
          <w:bCs/>
          <w:lang w:val="en-GB"/>
        </w:rPr>
        <w:t xml:space="preserve">e wording of the advertisement </w:t>
      </w:r>
      <w:r w:rsidR="00E46685" w:rsidRPr="00F42759">
        <w:rPr>
          <w:rFonts w:ascii="Arial" w:hAnsi="Arial" w:cs="Arial"/>
          <w:bCs/>
          <w:lang w:val="en-GB"/>
        </w:rPr>
        <w:t xml:space="preserve">did not </w:t>
      </w:r>
      <w:r w:rsidR="00705AAC" w:rsidRPr="00F42759">
        <w:rPr>
          <w:rFonts w:ascii="Arial" w:hAnsi="Arial" w:cs="Arial"/>
          <w:bCs/>
          <w:lang w:val="en-GB"/>
        </w:rPr>
        <w:t xml:space="preserve">explicitly </w:t>
      </w:r>
      <w:r w:rsidR="00E31940" w:rsidRPr="00F42759">
        <w:rPr>
          <w:rFonts w:ascii="Arial" w:hAnsi="Arial" w:cs="Arial"/>
          <w:bCs/>
          <w:lang w:val="en-GB"/>
        </w:rPr>
        <w:t xml:space="preserve">state </w:t>
      </w:r>
      <w:r w:rsidR="00705AAC" w:rsidRPr="00F42759">
        <w:rPr>
          <w:rFonts w:ascii="Arial" w:hAnsi="Arial" w:cs="Arial"/>
          <w:bCs/>
          <w:lang w:val="en-GB"/>
        </w:rPr>
        <w:t>what the smart meters should measure.</w:t>
      </w:r>
      <w:r w:rsidR="00E46685" w:rsidRPr="00F42759">
        <w:rPr>
          <w:rFonts w:ascii="Arial" w:hAnsi="Arial" w:cs="Arial"/>
          <w:bCs/>
          <w:lang w:val="en-GB"/>
        </w:rPr>
        <w:t xml:space="preserve"> </w:t>
      </w:r>
      <w:r w:rsidR="000F0071" w:rsidRPr="00F42759">
        <w:rPr>
          <w:rFonts w:ascii="Arial" w:hAnsi="Arial" w:cs="Arial"/>
          <w:bCs/>
          <w:lang w:val="en-GB"/>
        </w:rPr>
        <w:t>However</w:t>
      </w:r>
      <w:r w:rsidR="00CE5CCB" w:rsidRPr="00F42759">
        <w:rPr>
          <w:rFonts w:ascii="Arial" w:hAnsi="Arial" w:cs="Arial"/>
          <w:bCs/>
          <w:lang w:val="en-GB"/>
        </w:rPr>
        <w:t xml:space="preserve">, the </w:t>
      </w:r>
      <w:r w:rsidR="00705AAC" w:rsidRPr="00F42759">
        <w:rPr>
          <w:rFonts w:ascii="Arial" w:hAnsi="Arial" w:cs="Arial"/>
          <w:bCs/>
          <w:lang w:val="en-GB"/>
        </w:rPr>
        <w:t xml:space="preserve">included </w:t>
      </w:r>
      <w:r w:rsidR="00CE5CCB" w:rsidRPr="00F42759">
        <w:rPr>
          <w:rFonts w:ascii="Arial" w:hAnsi="Arial" w:cs="Arial"/>
          <w:bCs/>
          <w:lang w:val="en-GB"/>
        </w:rPr>
        <w:t xml:space="preserve">reference to ‘Blue Drop’ and ‘Green Drop’ may be an indication of what was required. </w:t>
      </w:r>
      <w:r w:rsidR="00587B3A" w:rsidRPr="00F42759">
        <w:rPr>
          <w:rFonts w:ascii="Arial" w:hAnsi="Arial" w:cs="Arial"/>
          <w:bCs/>
          <w:lang w:val="en-GB"/>
        </w:rPr>
        <w:t xml:space="preserve">But otherwise, it is difficult to comprehend what the </w:t>
      </w:r>
      <w:r w:rsidR="00705AAC" w:rsidRPr="00F42759">
        <w:rPr>
          <w:rFonts w:ascii="Arial" w:hAnsi="Arial" w:cs="Arial"/>
          <w:bCs/>
          <w:lang w:val="en-GB"/>
        </w:rPr>
        <w:t xml:space="preserve">functioning of the </w:t>
      </w:r>
      <w:r w:rsidR="00587B3A" w:rsidRPr="00F42759">
        <w:rPr>
          <w:rFonts w:ascii="Arial" w:hAnsi="Arial" w:cs="Arial"/>
          <w:bCs/>
          <w:lang w:val="en-GB"/>
        </w:rPr>
        <w:t xml:space="preserve">smart metering system </w:t>
      </w:r>
      <w:r w:rsidR="00206230" w:rsidRPr="00F42759">
        <w:rPr>
          <w:rFonts w:ascii="Arial" w:hAnsi="Arial" w:cs="Arial"/>
          <w:bCs/>
          <w:lang w:val="en-GB"/>
        </w:rPr>
        <w:t xml:space="preserve">was intended to </w:t>
      </w:r>
      <w:r w:rsidR="00705AAC" w:rsidRPr="00F42759">
        <w:rPr>
          <w:rFonts w:ascii="Arial" w:hAnsi="Arial" w:cs="Arial"/>
          <w:bCs/>
          <w:lang w:val="en-GB"/>
        </w:rPr>
        <w:t>cover</w:t>
      </w:r>
      <w:r w:rsidR="00587B3A" w:rsidRPr="00F42759">
        <w:rPr>
          <w:rFonts w:ascii="Arial" w:hAnsi="Arial" w:cs="Arial"/>
          <w:bCs/>
          <w:lang w:val="en-GB"/>
        </w:rPr>
        <w:t xml:space="preserve">. </w:t>
      </w:r>
    </w:p>
    <w:p w:rsidR="00370D0A" w:rsidRDefault="00370D0A" w:rsidP="00370D0A">
      <w:pPr>
        <w:pStyle w:val="ListParagraph"/>
        <w:tabs>
          <w:tab w:val="left" w:pos="709"/>
        </w:tabs>
        <w:spacing w:line="360" w:lineRule="auto"/>
        <w:ind w:left="0"/>
        <w:jc w:val="both"/>
        <w:rPr>
          <w:rFonts w:ascii="Arial" w:hAnsi="Arial" w:cs="Arial"/>
          <w:bCs/>
          <w:lang w:val="en-GB"/>
        </w:rPr>
      </w:pPr>
    </w:p>
    <w:p w:rsidR="00D119D9" w:rsidRPr="00F42759" w:rsidRDefault="00F42759" w:rsidP="00F42759">
      <w:pPr>
        <w:tabs>
          <w:tab w:val="left" w:pos="709"/>
        </w:tabs>
        <w:spacing w:line="360" w:lineRule="auto"/>
        <w:jc w:val="both"/>
        <w:rPr>
          <w:rFonts w:ascii="Arial" w:hAnsi="Arial" w:cs="Arial"/>
          <w:bCs/>
          <w:lang w:val="en-GB"/>
        </w:rPr>
      </w:pPr>
      <w:r w:rsidRPr="00705AAC">
        <w:rPr>
          <w:rFonts w:ascii="Arial" w:eastAsiaTheme="minorHAnsi" w:hAnsi="Arial" w:cs="Arial"/>
          <w:bCs/>
          <w:lang w:val="en-GB" w:eastAsia="en-US" w:bidi="ar-SA"/>
        </w:rPr>
        <w:t>[19]</w:t>
      </w:r>
      <w:r w:rsidRPr="00705AAC">
        <w:rPr>
          <w:rFonts w:ascii="Arial" w:eastAsiaTheme="minorHAnsi" w:hAnsi="Arial" w:cs="Arial"/>
          <w:bCs/>
          <w:lang w:val="en-GB" w:eastAsia="en-US" w:bidi="ar-SA"/>
        </w:rPr>
        <w:tab/>
      </w:r>
      <w:r w:rsidR="00454A05" w:rsidRPr="00F42759">
        <w:rPr>
          <w:rFonts w:ascii="Arial" w:hAnsi="Arial" w:cs="Arial"/>
          <w:bCs/>
          <w:lang w:val="en-GB"/>
        </w:rPr>
        <w:t>It transpires that w</w:t>
      </w:r>
      <w:r w:rsidR="00EC52B1" w:rsidRPr="00F42759">
        <w:rPr>
          <w:rFonts w:ascii="Arial" w:hAnsi="Arial" w:cs="Arial"/>
          <w:bCs/>
          <w:lang w:val="en-GB"/>
        </w:rPr>
        <w:t xml:space="preserve">hat the smart meters were intended to measure was water consumption. </w:t>
      </w:r>
      <w:r w:rsidR="00B804C9" w:rsidRPr="00F42759">
        <w:rPr>
          <w:rFonts w:ascii="Arial" w:hAnsi="Arial" w:cs="Arial"/>
          <w:bCs/>
          <w:lang w:val="en-GB"/>
        </w:rPr>
        <w:t xml:space="preserve">The uncertainty as to what </w:t>
      </w:r>
      <w:r w:rsidR="001A320B" w:rsidRPr="00F42759">
        <w:rPr>
          <w:rFonts w:ascii="Arial" w:hAnsi="Arial" w:cs="Arial"/>
          <w:bCs/>
          <w:lang w:val="en-GB"/>
        </w:rPr>
        <w:t>was</w:t>
      </w:r>
      <w:r w:rsidR="00B804C9" w:rsidRPr="00F42759">
        <w:rPr>
          <w:rFonts w:ascii="Arial" w:hAnsi="Arial" w:cs="Arial"/>
          <w:bCs/>
          <w:lang w:val="en-GB"/>
        </w:rPr>
        <w:t xml:space="preserve"> to be measured is matched by </w:t>
      </w:r>
      <w:r w:rsidR="00454A05" w:rsidRPr="00F42759">
        <w:rPr>
          <w:rFonts w:ascii="Arial" w:hAnsi="Arial" w:cs="Arial"/>
          <w:bCs/>
          <w:lang w:val="en-GB"/>
        </w:rPr>
        <w:t>the uncertainty of what service</w:t>
      </w:r>
      <w:r w:rsidR="0077540A" w:rsidRPr="00F42759">
        <w:rPr>
          <w:rFonts w:ascii="Arial" w:hAnsi="Arial" w:cs="Arial"/>
          <w:bCs/>
          <w:lang w:val="en-GB"/>
        </w:rPr>
        <w:t>s</w:t>
      </w:r>
      <w:r w:rsidR="00454A05" w:rsidRPr="00F42759">
        <w:rPr>
          <w:rFonts w:ascii="Arial" w:hAnsi="Arial" w:cs="Arial"/>
          <w:bCs/>
          <w:lang w:val="en-GB"/>
        </w:rPr>
        <w:t xml:space="preserve"> the first respondent </w:t>
      </w:r>
      <w:r w:rsidR="00705AAC" w:rsidRPr="00F42759">
        <w:rPr>
          <w:rFonts w:ascii="Arial" w:hAnsi="Arial" w:cs="Arial"/>
          <w:bCs/>
          <w:lang w:val="en-GB"/>
        </w:rPr>
        <w:t xml:space="preserve">actually </w:t>
      </w:r>
      <w:r w:rsidR="00454A05" w:rsidRPr="00F42759">
        <w:rPr>
          <w:rFonts w:ascii="Arial" w:hAnsi="Arial" w:cs="Arial"/>
          <w:bCs/>
          <w:lang w:val="en-GB"/>
        </w:rPr>
        <w:t>required.</w:t>
      </w:r>
      <w:r w:rsidR="00B804C9" w:rsidRPr="00F42759">
        <w:rPr>
          <w:rFonts w:ascii="Arial" w:hAnsi="Arial" w:cs="Arial"/>
          <w:bCs/>
          <w:lang w:val="en-GB"/>
        </w:rPr>
        <w:t xml:space="preserve"> </w:t>
      </w:r>
      <w:r w:rsidR="006D34EB" w:rsidRPr="00F42759">
        <w:rPr>
          <w:rFonts w:ascii="Arial" w:hAnsi="Arial" w:cs="Arial"/>
          <w:bCs/>
          <w:lang w:val="en-GB"/>
        </w:rPr>
        <w:t>As already mentioned, o</w:t>
      </w:r>
      <w:r w:rsidR="00B804C9" w:rsidRPr="00F42759">
        <w:rPr>
          <w:rFonts w:ascii="Arial" w:hAnsi="Arial" w:cs="Arial"/>
          <w:bCs/>
          <w:lang w:val="en-GB"/>
        </w:rPr>
        <w:t xml:space="preserve">n the wording of the advertisement, it appears </w:t>
      </w:r>
      <w:r w:rsidR="009C1D78" w:rsidRPr="00F42759">
        <w:rPr>
          <w:rFonts w:ascii="Arial" w:hAnsi="Arial" w:cs="Arial"/>
          <w:bCs/>
          <w:lang w:val="en-GB"/>
        </w:rPr>
        <w:t>that what was sought was the development of a business plan (or plans according to the wording of the tender specification)</w:t>
      </w:r>
      <w:r w:rsidR="001A320B" w:rsidRPr="00F42759">
        <w:rPr>
          <w:rFonts w:ascii="Arial" w:hAnsi="Arial" w:cs="Arial"/>
          <w:bCs/>
          <w:lang w:val="en-GB"/>
        </w:rPr>
        <w:t xml:space="preserve">. </w:t>
      </w:r>
      <w:r w:rsidR="00D119D9" w:rsidRPr="00F42759">
        <w:rPr>
          <w:rFonts w:ascii="Arial" w:hAnsi="Arial" w:cs="Arial"/>
          <w:bCs/>
          <w:lang w:val="en-GB"/>
        </w:rPr>
        <w:t xml:space="preserve">However, the technical specification component of the </w:t>
      </w:r>
      <w:r w:rsidR="00370D0A" w:rsidRPr="00F42759">
        <w:rPr>
          <w:rFonts w:ascii="Arial" w:hAnsi="Arial" w:cs="Arial"/>
          <w:bCs/>
          <w:lang w:val="en-GB"/>
        </w:rPr>
        <w:t xml:space="preserve">bid document explained that </w:t>
      </w:r>
      <w:r w:rsidR="00D119D9" w:rsidRPr="00F42759">
        <w:rPr>
          <w:rFonts w:ascii="Arial" w:hAnsi="Arial" w:cs="Arial"/>
          <w:bCs/>
          <w:lang w:val="en-GB"/>
        </w:rPr>
        <w:t xml:space="preserve">what was </w:t>
      </w:r>
      <w:r w:rsidR="008C0618" w:rsidRPr="00F42759">
        <w:rPr>
          <w:rFonts w:ascii="Arial" w:hAnsi="Arial" w:cs="Arial"/>
          <w:bCs/>
          <w:lang w:val="en-GB"/>
        </w:rPr>
        <w:t>required</w:t>
      </w:r>
      <w:r w:rsidR="00D119D9" w:rsidRPr="00F42759">
        <w:rPr>
          <w:rFonts w:ascii="Arial" w:hAnsi="Arial" w:cs="Arial"/>
          <w:bCs/>
          <w:lang w:val="en-GB"/>
        </w:rPr>
        <w:t xml:space="preserve"> was the supply</w:t>
      </w:r>
      <w:r w:rsidR="00EC52B1" w:rsidRPr="00F42759">
        <w:rPr>
          <w:rFonts w:ascii="Arial" w:hAnsi="Arial" w:cs="Arial"/>
          <w:bCs/>
          <w:lang w:val="en-GB"/>
        </w:rPr>
        <w:t xml:space="preserve"> </w:t>
      </w:r>
      <w:r w:rsidR="00D119D9" w:rsidRPr="00F42759">
        <w:rPr>
          <w:rFonts w:ascii="Arial" w:hAnsi="Arial" w:cs="Arial"/>
          <w:bCs/>
          <w:lang w:val="en-GB"/>
        </w:rPr>
        <w:t xml:space="preserve">of </w:t>
      </w:r>
      <w:r w:rsidR="008C0618" w:rsidRPr="00F42759">
        <w:rPr>
          <w:rFonts w:ascii="Arial" w:hAnsi="Arial" w:cs="Arial"/>
          <w:bCs/>
          <w:lang w:val="en-GB"/>
        </w:rPr>
        <w:t xml:space="preserve">the actual smart meters </w:t>
      </w:r>
      <w:r w:rsidR="008C0618" w:rsidRPr="00F42759">
        <w:rPr>
          <w:rFonts w:ascii="Arial" w:hAnsi="Arial" w:cs="Arial"/>
          <w:bCs/>
          <w:lang w:val="en-GB"/>
        </w:rPr>
        <w:lastRenderedPageBreak/>
        <w:t>themselves, not merely a business plan</w:t>
      </w:r>
      <w:r w:rsidR="00370D0A" w:rsidRPr="00F42759">
        <w:rPr>
          <w:rFonts w:ascii="Arial" w:hAnsi="Arial" w:cs="Arial"/>
          <w:bCs/>
          <w:lang w:val="en-GB"/>
        </w:rPr>
        <w:t xml:space="preserve"> relating to them</w:t>
      </w:r>
      <w:r w:rsidR="008C0618" w:rsidRPr="00F42759">
        <w:rPr>
          <w:rFonts w:ascii="Arial" w:hAnsi="Arial" w:cs="Arial"/>
          <w:bCs/>
          <w:lang w:val="en-GB"/>
        </w:rPr>
        <w:t>.</w:t>
      </w:r>
      <w:r w:rsidR="00D119D9" w:rsidRPr="00F42759">
        <w:rPr>
          <w:rFonts w:ascii="Arial" w:hAnsi="Arial" w:cs="Arial"/>
          <w:bCs/>
          <w:lang w:val="en-GB"/>
        </w:rPr>
        <w:t xml:space="preserve"> This appears from the following extract</w:t>
      </w:r>
      <w:r w:rsidR="008C0618" w:rsidRPr="00F42759">
        <w:rPr>
          <w:rFonts w:ascii="Arial" w:hAnsi="Arial" w:cs="Arial"/>
          <w:bCs/>
          <w:lang w:val="en-GB"/>
        </w:rPr>
        <w:t xml:space="preserve"> from </w:t>
      </w:r>
      <w:r w:rsidR="00370D0A" w:rsidRPr="00F42759">
        <w:rPr>
          <w:rFonts w:ascii="Arial" w:hAnsi="Arial" w:cs="Arial"/>
          <w:bCs/>
          <w:lang w:val="en-GB"/>
        </w:rPr>
        <w:t>that</w:t>
      </w:r>
      <w:r w:rsidR="008C0618" w:rsidRPr="00F42759">
        <w:rPr>
          <w:rFonts w:ascii="Arial" w:hAnsi="Arial" w:cs="Arial"/>
          <w:bCs/>
          <w:lang w:val="en-GB"/>
        </w:rPr>
        <w:t xml:space="preserve"> document</w:t>
      </w:r>
      <w:r w:rsidR="00D119D9" w:rsidRPr="00F42759">
        <w:rPr>
          <w:rFonts w:ascii="Arial" w:hAnsi="Arial" w:cs="Arial"/>
          <w:bCs/>
          <w:lang w:val="en-GB"/>
        </w:rPr>
        <w:t>:</w:t>
      </w:r>
    </w:p>
    <w:p w:rsidR="00D119D9" w:rsidRPr="00CB63AD" w:rsidRDefault="00D119D9" w:rsidP="00CB63AD">
      <w:pPr>
        <w:spacing w:line="360" w:lineRule="auto"/>
        <w:jc w:val="both"/>
        <w:rPr>
          <w:rFonts w:ascii="Arial" w:hAnsi="Arial" w:cs="Arial"/>
          <w:bCs/>
          <w:sz w:val="22"/>
          <w:szCs w:val="22"/>
          <w:lang w:val="en-GB"/>
        </w:rPr>
      </w:pPr>
      <w:r w:rsidRPr="00CB63AD">
        <w:rPr>
          <w:rFonts w:ascii="Arial" w:hAnsi="Arial" w:cs="Arial"/>
          <w:bCs/>
          <w:sz w:val="22"/>
          <w:szCs w:val="22"/>
          <w:lang w:val="en-GB"/>
        </w:rPr>
        <w:t xml:space="preserve">‘The scope of the work is for the supply </w:t>
      </w:r>
      <w:r w:rsidR="00CB63AD" w:rsidRPr="00CB63AD">
        <w:rPr>
          <w:rFonts w:ascii="Arial" w:hAnsi="Arial" w:cs="Arial"/>
          <w:bCs/>
          <w:sz w:val="22"/>
          <w:szCs w:val="22"/>
          <w:lang w:val="en-GB"/>
        </w:rPr>
        <w:t>of a complete pre-payment metering system comprising of a meter box, a water management device, a water meter, a user interface unit (if relevant) and all fittings. A Meter Management System (MMS) is to be included as supplementary to the solution, without which the solution will be deemed as incomplete.’</w:t>
      </w:r>
    </w:p>
    <w:p w:rsidR="00370D0A" w:rsidRDefault="00370D0A" w:rsidP="00370D0A">
      <w:pPr>
        <w:pStyle w:val="ListParagraph"/>
        <w:tabs>
          <w:tab w:val="left" w:pos="709"/>
        </w:tabs>
        <w:spacing w:line="360" w:lineRule="auto"/>
        <w:ind w:left="0"/>
        <w:jc w:val="both"/>
        <w:rPr>
          <w:rFonts w:ascii="Arial" w:hAnsi="Arial" w:cs="Arial"/>
          <w:bCs/>
          <w:lang w:val="en-GB"/>
        </w:rPr>
      </w:pPr>
    </w:p>
    <w:p w:rsidR="00EC52B1" w:rsidRPr="00F42759" w:rsidRDefault="00F42759" w:rsidP="00F42759">
      <w:pPr>
        <w:tabs>
          <w:tab w:val="left" w:pos="709"/>
        </w:tabs>
        <w:spacing w:line="360" w:lineRule="auto"/>
        <w:jc w:val="both"/>
        <w:rPr>
          <w:rFonts w:ascii="Arial" w:hAnsi="Arial" w:cs="Arial"/>
          <w:bCs/>
          <w:lang w:val="en-GB"/>
        </w:rPr>
      </w:pPr>
      <w:r w:rsidRPr="00370D0A">
        <w:rPr>
          <w:rFonts w:ascii="Arial" w:eastAsiaTheme="minorHAnsi" w:hAnsi="Arial" w:cs="Arial"/>
          <w:bCs/>
          <w:lang w:val="en-GB" w:eastAsia="en-US" w:bidi="ar-SA"/>
        </w:rPr>
        <w:t>[20]</w:t>
      </w:r>
      <w:r w:rsidRPr="00370D0A">
        <w:rPr>
          <w:rFonts w:ascii="Arial" w:eastAsiaTheme="minorHAnsi" w:hAnsi="Arial" w:cs="Arial"/>
          <w:bCs/>
          <w:lang w:val="en-GB" w:eastAsia="en-US" w:bidi="ar-SA"/>
        </w:rPr>
        <w:tab/>
      </w:r>
      <w:r w:rsidR="00B375F3" w:rsidRPr="00F42759">
        <w:rPr>
          <w:rFonts w:ascii="Arial" w:hAnsi="Arial" w:cs="Arial"/>
          <w:bCs/>
          <w:lang w:val="en-GB"/>
        </w:rPr>
        <w:t xml:space="preserve">There is nothing, however, that indicated that the tender also </w:t>
      </w:r>
      <w:r w:rsidR="004552C5" w:rsidRPr="00F42759">
        <w:rPr>
          <w:rFonts w:ascii="Arial" w:hAnsi="Arial" w:cs="Arial"/>
          <w:bCs/>
          <w:lang w:val="en-GB"/>
        </w:rPr>
        <w:t>involved</w:t>
      </w:r>
      <w:r w:rsidR="00B375F3" w:rsidRPr="00F42759">
        <w:rPr>
          <w:rFonts w:ascii="Arial" w:hAnsi="Arial" w:cs="Arial"/>
          <w:bCs/>
          <w:lang w:val="en-GB"/>
        </w:rPr>
        <w:t xml:space="preserve"> the installation of the required smart meters</w:t>
      </w:r>
      <w:r w:rsidR="00370D0A" w:rsidRPr="00F42759">
        <w:rPr>
          <w:rFonts w:ascii="Arial" w:hAnsi="Arial" w:cs="Arial"/>
          <w:bCs/>
          <w:lang w:val="en-GB"/>
        </w:rPr>
        <w:t xml:space="preserve"> or the collection of revenue arising out of the installation of the smart meters.</w:t>
      </w:r>
    </w:p>
    <w:p w:rsidR="00EC52B1" w:rsidRDefault="00EC52B1" w:rsidP="00EC52B1">
      <w:pPr>
        <w:pStyle w:val="ListParagraph"/>
        <w:tabs>
          <w:tab w:val="left" w:pos="709"/>
        </w:tabs>
        <w:spacing w:line="360" w:lineRule="auto"/>
        <w:ind w:left="0"/>
        <w:jc w:val="both"/>
        <w:rPr>
          <w:rFonts w:ascii="Arial" w:hAnsi="Arial" w:cs="Arial"/>
          <w:bCs/>
          <w:lang w:val="en-GB"/>
        </w:rPr>
      </w:pPr>
    </w:p>
    <w:p w:rsidR="00EC52B1" w:rsidRPr="00F42759" w:rsidRDefault="00F42759" w:rsidP="00F42759">
      <w:pPr>
        <w:tabs>
          <w:tab w:val="left" w:pos="709"/>
        </w:tabs>
        <w:spacing w:line="360" w:lineRule="auto"/>
        <w:jc w:val="both"/>
        <w:rPr>
          <w:rFonts w:ascii="Arial" w:hAnsi="Arial" w:cs="Arial"/>
          <w:bCs/>
          <w:lang w:val="en-GB"/>
        </w:rPr>
      </w:pPr>
      <w:r>
        <w:rPr>
          <w:rFonts w:ascii="Arial" w:eastAsiaTheme="minorHAnsi" w:hAnsi="Arial" w:cs="Arial"/>
          <w:bCs/>
          <w:lang w:val="en-GB" w:eastAsia="en-US" w:bidi="ar-SA"/>
        </w:rPr>
        <w:t>[21]</w:t>
      </w:r>
      <w:r>
        <w:rPr>
          <w:rFonts w:ascii="Arial" w:eastAsiaTheme="minorHAnsi" w:hAnsi="Arial" w:cs="Arial"/>
          <w:bCs/>
          <w:lang w:val="en-GB" w:eastAsia="en-US" w:bidi="ar-SA"/>
        </w:rPr>
        <w:tab/>
      </w:r>
      <w:r w:rsidR="00370D0A" w:rsidRPr="00F42759">
        <w:rPr>
          <w:rFonts w:ascii="Arial" w:hAnsi="Arial" w:cs="Arial"/>
          <w:bCs/>
          <w:lang w:val="en-GB"/>
        </w:rPr>
        <w:t>As is to be expected, t</w:t>
      </w:r>
      <w:r w:rsidR="00B375F3" w:rsidRPr="00F42759">
        <w:rPr>
          <w:rFonts w:ascii="Arial" w:hAnsi="Arial" w:cs="Arial"/>
          <w:bCs/>
          <w:lang w:val="en-GB"/>
        </w:rPr>
        <w:t xml:space="preserve">here were conditions attached to the tender. </w:t>
      </w:r>
      <w:r w:rsidR="009F5AB0" w:rsidRPr="00F42759">
        <w:rPr>
          <w:rFonts w:ascii="Arial" w:hAnsi="Arial" w:cs="Arial"/>
          <w:bCs/>
          <w:lang w:val="en-GB"/>
        </w:rPr>
        <w:t xml:space="preserve">I mention </w:t>
      </w:r>
      <w:r w:rsidR="00EC52B1" w:rsidRPr="00F42759">
        <w:rPr>
          <w:rFonts w:ascii="Arial" w:hAnsi="Arial" w:cs="Arial"/>
          <w:bCs/>
          <w:lang w:val="en-GB"/>
        </w:rPr>
        <w:t xml:space="preserve">here </w:t>
      </w:r>
      <w:r w:rsidR="009F5AB0" w:rsidRPr="00F42759">
        <w:rPr>
          <w:rFonts w:ascii="Arial" w:hAnsi="Arial" w:cs="Arial"/>
          <w:bCs/>
          <w:lang w:val="en-GB"/>
        </w:rPr>
        <w:t xml:space="preserve">only the relevant conditions. </w:t>
      </w:r>
      <w:r w:rsidR="00C97B7F" w:rsidRPr="00F42759">
        <w:rPr>
          <w:rFonts w:ascii="Arial" w:hAnsi="Arial" w:cs="Arial"/>
          <w:bCs/>
          <w:lang w:val="en-GB"/>
        </w:rPr>
        <w:t>The</w:t>
      </w:r>
      <w:r w:rsidR="00E80BD3" w:rsidRPr="00F42759">
        <w:rPr>
          <w:rFonts w:ascii="Arial" w:hAnsi="Arial" w:cs="Arial"/>
          <w:bCs/>
          <w:lang w:val="en-GB"/>
        </w:rPr>
        <w:t xml:space="preserve"> prescribed bid document indicated that</w:t>
      </w:r>
      <w:r w:rsidR="00EC52B1" w:rsidRPr="00F42759">
        <w:rPr>
          <w:rFonts w:ascii="Arial" w:hAnsi="Arial" w:cs="Arial"/>
          <w:bCs/>
          <w:lang w:val="en-GB"/>
        </w:rPr>
        <w:t>:</w:t>
      </w:r>
    </w:p>
    <w:p w:rsidR="00EC52B1" w:rsidRPr="00F42759" w:rsidRDefault="00F42759" w:rsidP="00F42759">
      <w:pPr>
        <w:tabs>
          <w:tab w:val="left" w:pos="709"/>
        </w:tabs>
        <w:spacing w:line="360" w:lineRule="auto"/>
        <w:jc w:val="both"/>
        <w:rPr>
          <w:rFonts w:ascii="Arial" w:hAnsi="Arial" w:cs="Arial"/>
          <w:bCs/>
          <w:lang w:val="en-GB"/>
        </w:rPr>
      </w:pPr>
      <w:r>
        <w:rPr>
          <w:rFonts w:ascii="Arial" w:eastAsiaTheme="minorHAnsi" w:hAnsi="Arial" w:cs="Arial"/>
          <w:bCs/>
          <w:lang w:val="en-GB" w:eastAsia="en-US" w:bidi="ar-SA"/>
        </w:rPr>
        <w:t>(a)</w:t>
      </w:r>
      <w:r>
        <w:rPr>
          <w:rFonts w:ascii="Arial" w:eastAsiaTheme="minorHAnsi" w:hAnsi="Arial" w:cs="Arial"/>
          <w:bCs/>
          <w:lang w:val="en-GB" w:eastAsia="en-US" w:bidi="ar-SA"/>
        </w:rPr>
        <w:tab/>
      </w:r>
      <w:r w:rsidR="00EC52B1" w:rsidRPr="00F42759">
        <w:rPr>
          <w:rFonts w:ascii="Arial" w:hAnsi="Arial" w:cs="Arial"/>
          <w:bCs/>
          <w:lang w:val="en-GB"/>
        </w:rPr>
        <w:t>T</w:t>
      </w:r>
      <w:r w:rsidR="00E80BD3" w:rsidRPr="00F42759">
        <w:rPr>
          <w:rFonts w:ascii="Arial" w:hAnsi="Arial" w:cs="Arial"/>
          <w:bCs/>
          <w:lang w:val="en-GB"/>
        </w:rPr>
        <w:t xml:space="preserve">he </w:t>
      </w:r>
      <w:r w:rsidR="00C97B7F" w:rsidRPr="00F42759">
        <w:rPr>
          <w:rFonts w:ascii="Arial" w:hAnsi="Arial" w:cs="Arial"/>
          <w:bCs/>
          <w:lang w:val="en-GB"/>
        </w:rPr>
        <w:t>90/10-point system was to apply to the tender</w:t>
      </w:r>
      <w:r w:rsidR="00EC52B1" w:rsidRPr="00F42759">
        <w:rPr>
          <w:rFonts w:ascii="Arial" w:hAnsi="Arial" w:cs="Arial"/>
          <w:bCs/>
          <w:lang w:val="en-GB"/>
        </w:rPr>
        <w:t>;</w:t>
      </w:r>
    </w:p>
    <w:p w:rsidR="00EC52B1" w:rsidRPr="00F42759" w:rsidRDefault="00F42759" w:rsidP="00F42759">
      <w:pPr>
        <w:tabs>
          <w:tab w:val="left" w:pos="709"/>
        </w:tabs>
        <w:spacing w:line="360" w:lineRule="auto"/>
        <w:jc w:val="both"/>
        <w:rPr>
          <w:rFonts w:ascii="Arial" w:hAnsi="Arial" w:cs="Arial"/>
          <w:bCs/>
          <w:lang w:val="en-GB"/>
        </w:rPr>
      </w:pPr>
      <w:r>
        <w:rPr>
          <w:rFonts w:ascii="Arial" w:eastAsiaTheme="minorHAnsi" w:hAnsi="Arial" w:cs="Arial"/>
          <w:bCs/>
          <w:lang w:val="en-GB" w:eastAsia="en-US" w:bidi="ar-SA"/>
        </w:rPr>
        <w:t>(b)</w:t>
      </w:r>
      <w:r>
        <w:rPr>
          <w:rFonts w:ascii="Arial" w:eastAsiaTheme="minorHAnsi" w:hAnsi="Arial" w:cs="Arial"/>
          <w:bCs/>
          <w:lang w:val="en-GB" w:eastAsia="en-US" w:bidi="ar-SA"/>
        </w:rPr>
        <w:tab/>
      </w:r>
      <w:r w:rsidR="00EC52B1" w:rsidRPr="00F42759">
        <w:rPr>
          <w:rFonts w:ascii="Arial" w:hAnsi="Arial" w:cs="Arial"/>
          <w:bCs/>
          <w:lang w:val="en-GB"/>
        </w:rPr>
        <w:t>A</w:t>
      </w:r>
      <w:r w:rsidR="00C97B7F" w:rsidRPr="00F42759">
        <w:rPr>
          <w:rFonts w:ascii="Arial" w:hAnsi="Arial" w:cs="Arial"/>
          <w:bCs/>
          <w:lang w:val="en-GB"/>
        </w:rPr>
        <w:t xml:space="preserve"> bidder had to score a minimum of 60 points in pre-qualification criteria to progress to the functionality evaluation</w:t>
      </w:r>
      <w:r w:rsidR="00EC52B1" w:rsidRPr="00F42759">
        <w:rPr>
          <w:rFonts w:ascii="Arial" w:hAnsi="Arial" w:cs="Arial"/>
          <w:bCs/>
          <w:lang w:val="en-GB"/>
        </w:rPr>
        <w:t>;</w:t>
      </w:r>
    </w:p>
    <w:p w:rsidR="00563DA6" w:rsidRPr="00F42759" w:rsidRDefault="00F42759" w:rsidP="00F42759">
      <w:pPr>
        <w:tabs>
          <w:tab w:val="left" w:pos="709"/>
        </w:tabs>
        <w:spacing w:line="360" w:lineRule="auto"/>
        <w:jc w:val="both"/>
        <w:rPr>
          <w:rFonts w:ascii="Arial" w:hAnsi="Arial" w:cs="Arial"/>
          <w:bCs/>
          <w:lang w:val="en-GB"/>
        </w:rPr>
      </w:pPr>
      <w:r>
        <w:rPr>
          <w:rFonts w:ascii="Arial" w:eastAsiaTheme="minorHAnsi" w:hAnsi="Arial" w:cs="Arial"/>
          <w:bCs/>
          <w:lang w:val="en-GB" w:eastAsia="en-US" w:bidi="ar-SA"/>
        </w:rPr>
        <w:t>(c)</w:t>
      </w:r>
      <w:r>
        <w:rPr>
          <w:rFonts w:ascii="Arial" w:eastAsiaTheme="minorHAnsi" w:hAnsi="Arial" w:cs="Arial"/>
          <w:bCs/>
          <w:lang w:val="en-GB" w:eastAsia="en-US" w:bidi="ar-SA"/>
        </w:rPr>
        <w:tab/>
      </w:r>
      <w:r w:rsidR="00563DA6" w:rsidRPr="00F42759">
        <w:rPr>
          <w:rFonts w:ascii="Arial" w:hAnsi="Arial" w:cs="Arial"/>
          <w:bCs/>
          <w:lang w:val="en-GB"/>
        </w:rPr>
        <w:t>Where a bid was submitted by a consortium or joint venture, each party was required to submit a separate tax clearance certificate. The note to that stipulation in the bid document was:</w:t>
      </w:r>
    </w:p>
    <w:p w:rsidR="00563DA6" w:rsidRPr="00563DA6" w:rsidRDefault="00563DA6" w:rsidP="00563DA6">
      <w:pPr>
        <w:pStyle w:val="ListParagraph"/>
        <w:tabs>
          <w:tab w:val="left" w:pos="709"/>
        </w:tabs>
        <w:spacing w:line="360" w:lineRule="auto"/>
        <w:ind w:left="0"/>
        <w:jc w:val="both"/>
        <w:rPr>
          <w:rFonts w:ascii="Arial" w:hAnsi="Arial" w:cs="Arial"/>
          <w:b/>
          <w:i/>
          <w:iCs/>
          <w:sz w:val="22"/>
          <w:szCs w:val="22"/>
          <w:lang w:val="en-GB"/>
        </w:rPr>
      </w:pPr>
      <w:r w:rsidRPr="00563DA6">
        <w:rPr>
          <w:rFonts w:ascii="Arial" w:hAnsi="Arial" w:cs="Arial"/>
          <w:b/>
          <w:i/>
          <w:iCs/>
          <w:sz w:val="22"/>
          <w:szCs w:val="22"/>
          <w:lang w:val="en-GB"/>
        </w:rPr>
        <w:t xml:space="preserve">‘NOTE: Failure to do so will lead to your tender being disqualified.’ </w:t>
      </w:r>
    </w:p>
    <w:p w:rsidR="00154252" w:rsidRPr="00F42759" w:rsidRDefault="00F42759" w:rsidP="00F42759">
      <w:pPr>
        <w:tabs>
          <w:tab w:val="left" w:pos="709"/>
        </w:tabs>
        <w:spacing w:line="360" w:lineRule="auto"/>
        <w:jc w:val="both"/>
        <w:rPr>
          <w:rFonts w:ascii="Arial" w:hAnsi="Arial" w:cs="Arial"/>
          <w:bCs/>
          <w:lang w:val="en-GB"/>
        </w:rPr>
      </w:pPr>
      <w:r>
        <w:rPr>
          <w:rFonts w:ascii="Arial" w:eastAsiaTheme="minorHAnsi" w:hAnsi="Arial" w:cs="Arial"/>
          <w:bCs/>
          <w:lang w:val="en-GB" w:eastAsia="en-US" w:bidi="ar-SA"/>
        </w:rPr>
        <w:t>(d)</w:t>
      </w:r>
      <w:r>
        <w:rPr>
          <w:rFonts w:ascii="Arial" w:eastAsiaTheme="minorHAnsi" w:hAnsi="Arial" w:cs="Arial"/>
          <w:bCs/>
          <w:lang w:val="en-GB" w:eastAsia="en-US" w:bidi="ar-SA"/>
        </w:rPr>
        <w:tab/>
      </w:r>
      <w:r w:rsidR="00EC52B1" w:rsidRPr="00F42759">
        <w:rPr>
          <w:rFonts w:ascii="Arial" w:hAnsi="Arial" w:cs="Arial"/>
          <w:bCs/>
          <w:lang w:val="en-GB"/>
        </w:rPr>
        <w:t>I</w:t>
      </w:r>
      <w:r w:rsidR="00594B8D" w:rsidRPr="00F42759">
        <w:rPr>
          <w:rFonts w:ascii="Arial" w:hAnsi="Arial" w:cs="Arial"/>
          <w:bCs/>
          <w:lang w:val="en-GB"/>
        </w:rPr>
        <w:t xml:space="preserve">f the tendered value </w:t>
      </w:r>
      <w:r w:rsidR="009F5AB0" w:rsidRPr="00F42759">
        <w:rPr>
          <w:rFonts w:ascii="Arial" w:hAnsi="Arial" w:cs="Arial"/>
          <w:bCs/>
          <w:lang w:val="en-GB"/>
        </w:rPr>
        <w:t xml:space="preserve">of the bid </w:t>
      </w:r>
      <w:r w:rsidR="00F154E7" w:rsidRPr="00F42759">
        <w:rPr>
          <w:rFonts w:ascii="Arial" w:hAnsi="Arial" w:cs="Arial"/>
          <w:bCs/>
          <w:lang w:val="en-GB"/>
        </w:rPr>
        <w:t xml:space="preserve">submitted </w:t>
      </w:r>
      <w:r w:rsidR="00594B8D" w:rsidRPr="00F42759">
        <w:rPr>
          <w:rFonts w:ascii="Arial" w:hAnsi="Arial" w:cs="Arial"/>
          <w:bCs/>
          <w:lang w:val="en-GB"/>
        </w:rPr>
        <w:t xml:space="preserve">exceeded R10 million (including VAT) and a bidder was required by law to prepare annual financial statements for auditing, then </w:t>
      </w:r>
      <w:r w:rsidR="009F5AB0" w:rsidRPr="00F42759">
        <w:rPr>
          <w:rFonts w:ascii="Arial" w:hAnsi="Arial" w:cs="Arial"/>
          <w:bCs/>
          <w:lang w:val="en-GB"/>
        </w:rPr>
        <w:t>a</w:t>
      </w:r>
      <w:r w:rsidR="00594B8D" w:rsidRPr="00F42759">
        <w:rPr>
          <w:rFonts w:ascii="Arial" w:hAnsi="Arial" w:cs="Arial"/>
          <w:bCs/>
          <w:lang w:val="en-GB"/>
        </w:rPr>
        <w:t xml:space="preserve"> bidder was required to furnish </w:t>
      </w:r>
      <w:r w:rsidR="009F5AB0" w:rsidRPr="00F42759">
        <w:rPr>
          <w:rFonts w:ascii="Arial" w:hAnsi="Arial" w:cs="Arial"/>
          <w:bCs/>
          <w:lang w:val="en-GB"/>
        </w:rPr>
        <w:t xml:space="preserve">its </w:t>
      </w:r>
      <w:r w:rsidR="00594B8D" w:rsidRPr="00F42759">
        <w:rPr>
          <w:rFonts w:ascii="Arial" w:hAnsi="Arial" w:cs="Arial"/>
          <w:bCs/>
          <w:lang w:val="en-GB"/>
        </w:rPr>
        <w:t xml:space="preserve">audited annual financial statements for the preceding three years or since </w:t>
      </w:r>
      <w:r w:rsidR="00B83EFF" w:rsidRPr="00F42759">
        <w:rPr>
          <w:rFonts w:ascii="Arial" w:hAnsi="Arial" w:cs="Arial"/>
          <w:bCs/>
          <w:lang w:val="en-GB"/>
        </w:rPr>
        <w:t xml:space="preserve">the date of </w:t>
      </w:r>
      <w:r w:rsidR="009F5AB0" w:rsidRPr="00F42759">
        <w:rPr>
          <w:rFonts w:ascii="Arial" w:hAnsi="Arial" w:cs="Arial"/>
          <w:bCs/>
          <w:lang w:val="en-GB"/>
        </w:rPr>
        <w:t>its</w:t>
      </w:r>
      <w:r w:rsidR="00594B8D" w:rsidRPr="00F42759">
        <w:rPr>
          <w:rFonts w:ascii="Arial" w:hAnsi="Arial" w:cs="Arial"/>
          <w:bCs/>
          <w:lang w:val="en-GB"/>
        </w:rPr>
        <w:t xml:space="preserve"> establishment if it had been established during the </w:t>
      </w:r>
      <w:r w:rsidR="00F154E7" w:rsidRPr="00F42759">
        <w:rPr>
          <w:rFonts w:ascii="Arial" w:hAnsi="Arial" w:cs="Arial"/>
          <w:bCs/>
          <w:lang w:val="en-GB"/>
        </w:rPr>
        <w:t xml:space="preserve">course of those </w:t>
      </w:r>
      <w:r w:rsidR="00594B8D" w:rsidRPr="00F42759">
        <w:rPr>
          <w:rFonts w:ascii="Arial" w:hAnsi="Arial" w:cs="Arial"/>
          <w:bCs/>
          <w:lang w:val="en-GB"/>
        </w:rPr>
        <w:t xml:space="preserve">preceding three years. </w:t>
      </w:r>
    </w:p>
    <w:p w:rsidR="001F7C21" w:rsidRDefault="001F7C21" w:rsidP="001F7C21">
      <w:pPr>
        <w:pStyle w:val="ListParagraph"/>
        <w:tabs>
          <w:tab w:val="left" w:pos="709"/>
        </w:tabs>
        <w:spacing w:line="360" w:lineRule="auto"/>
        <w:ind w:left="0"/>
        <w:jc w:val="both"/>
        <w:rPr>
          <w:rFonts w:ascii="Arial" w:hAnsi="Arial" w:cs="Arial"/>
          <w:bCs/>
          <w:lang w:val="en-GB"/>
        </w:rPr>
      </w:pPr>
    </w:p>
    <w:p w:rsidR="00482BCF" w:rsidRPr="00F42759" w:rsidRDefault="00F42759" w:rsidP="00F42759">
      <w:pPr>
        <w:tabs>
          <w:tab w:val="left" w:pos="709"/>
        </w:tabs>
        <w:spacing w:line="360" w:lineRule="auto"/>
        <w:jc w:val="both"/>
        <w:rPr>
          <w:rFonts w:ascii="Arial" w:hAnsi="Arial" w:cs="Arial"/>
          <w:bCs/>
          <w:lang w:val="en-GB"/>
        </w:rPr>
      </w:pPr>
      <w:r>
        <w:rPr>
          <w:rFonts w:ascii="Arial" w:eastAsiaTheme="minorHAnsi" w:hAnsi="Arial" w:cs="Arial"/>
          <w:bCs/>
          <w:lang w:val="en-GB" w:eastAsia="en-US" w:bidi="ar-SA"/>
        </w:rPr>
        <w:t>[22]</w:t>
      </w:r>
      <w:r>
        <w:rPr>
          <w:rFonts w:ascii="Arial" w:eastAsiaTheme="minorHAnsi" w:hAnsi="Arial" w:cs="Arial"/>
          <w:bCs/>
          <w:lang w:val="en-GB" w:eastAsia="en-US" w:bidi="ar-SA"/>
        </w:rPr>
        <w:tab/>
      </w:r>
      <w:r w:rsidR="00482BCF" w:rsidRPr="00F42759">
        <w:rPr>
          <w:rFonts w:ascii="Arial" w:hAnsi="Arial" w:cs="Arial"/>
          <w:bCs/>
          <w:lang w:val="en-GB"/>
        </w:rPr>
        <w:t>On 7 July 2020</w:t>
      </w:r>
      <w:r w:rsidR="00F154E7" w:rsidRPr="00F42759">
        <w:rPr>
          <w:rFonts w:ascii="Arial" w:hAnsi="Arial" w:cs="Arial"/>
          <w:bCs/>
          <w:lang w:val="en-GB"/>
        </w:rPr>
        <w:t>,</w:t>
      </w:r>
      <w:r w:rsidR="00482BCF" w:rsidRPr="00F42759">
        <w:rPr>
          <w:rFonts w:ascii="Arial" w:hAnsi="Arial" w:cs="Arial"/>
          <w:bCs/>
          <w:lang w:val="en-GB"/>
        </w:rPr>
        <w:t xml:space="preserve"> </w:t>
      </w:r>
      <w:r w:rsidR="00E316BE" w:rsidRPr="00F42759">
        <w:rPr>
          <w:rFonts w:ascii="Arial" w:hAnsi="Arial" w:cs="Arial"/>
          <w:bCs/>
          <w:lang w:val="en-GB"/>
        </w:rPr>
        <w:t>the first respondent</w:t>
      </w:r>
      <w:r w:rsidR="00482BCF" w:rsidRPr="00F42759">
        <w:rPr>
          <w:rFonts w:ascii="Arial" w:hAnsi="Arial" w:cs="Arial"/>
          <w:bCs/>
          <w:lang w:val="en-GB"/>
        </w:rPr>
        <w:t xml:space="preserve"> awarded the tender to the Marothodi Metsi and Sebata Group</w:t>
      </w:r>
      <w:r w:rsidR="00E316BE" w:rsidRPr="00F42759">
        <w:rPr>
          <w:rFonts w:ascii="Arial" w:hAnsi="Arial" w:cs="Arial"/>
          <w:bCs/>
          <w:lang w:val="en-GB"/>
        </w:rPr>
        <w:t xml:space="preserve"> and communicated that fact to it </w:t>
      </w:r>
      <w:r w:rsidR="00482BCF" w:rsidRPr="00F42759">
        <w:rPr>
          <w:rFonts w:ascii="Arial" w:hAnsi="Arial" w:cs="Arial"/>
          <w:bCs/>
          <w:lang w:val="en-GB"/>
        </w:rPr>
        <w:t>by</w:t>
      </w:r>
      <w:r w:rsidR="00E316BE" w:rsidRPr="00F42759">
        <w:rPr>
          <w:rFonts w:ascii="Arial" w:hAnsi="Arial" w:cs="Arial"/>
          <w:bCs/>
          <w:lang w:val="en-GB"/>
        </w:rPr>
        <w:t xml:space="preserve"> way of</w:t>
      </w:r>
      <w:r w:rsidR="003C1362" w:rsidRPr="00F42759">
        <w:rPr>
          <w:rFonts w:ascii="Arial" w:hAnsi="Arial" w:cs="Arial"/>
          <w:bCs/>
          <w:lang w:val="en-GB"/>
        </w:rPr>
        <w:t xml:space="preserve"> a </w:t>
      </w:r>
      <w:r w:rsidR="00B83EFF" w:rsidRPr="00F42759">
        <w:rPr>
          <w:rFonts w:ascii="Arial" w:hAnsi="Arial" w:cs="Arial"/>
          <w:bCs/>
          <w:lang w:val="en-GB"/>
        </w:rPr>
        <w:t xml:space="preserve">letter </w:t>
      </w:r>
      <w:r w:rsidR="003C1362" w:rsidRPr="00F42759">
        <w:rPr>
          <w:rFonts w:ascii="Arial" w:hAnsi="Arial" w:cs="Arial"/>
          <w:bCs/>
          <w:lang w:val="en-GB"/>
        </w:rPr>
        <w:t>of that date</w:t>
      </w:r>
      <w:r w:rsidR="00F154E7" w:rsidRPr="00F42759">
        <w:rPr>
          <w:rFonts w:ascii="Arial" w:hAnsi="Arial" w:cs="Arial"/>
          <w:bCs/>
          <w:lang w:val="en-GB"/>
        </w:rPr>
        <w:t xml:space="preserve"> (the first award letter)</w:t>
      </w:r>
      <w:r w:rsidR="003C1362" w:rsidRPr="00F42759">
        <w:rPr>
          <w:rFonts w:ascii="Arial" w:hAnsi="Arial" w:cs="Arial"/>
          <w:bCs/>
          <w:lang w:val="en-GB"/>
        </w:rPr>
        <w:t>.</w:t>
      </w:r>
      <w:r w:rsidR="00482BCF" w:rsidRPr="00F42759">
        <w:rPr>
          <w:rFonts w:ascii="Arial" w:hAnsi="Arial" w:cs="Arial"/>
          <w:bCs/>
          <w:lang w:val="en-GB"/>
        </w:rPr>
        <w:t xml:space="preserve"> </w:t>
      </w:r>
      <w:r w:rsidR="00704FCC" w:rsidRPr="00F42759">
        <w:rPr>
          <w:rFonts w:ascii="Arial" w:hAnsi="Arial" w:cs="Arial"/>
          <w:bCs/>
          <w:lang w:val="en-GB"/>
        </w:rPr>
        <w:t xml:space="preserve">The letter did not mention the other entity to whom the tender had also been awarded. </w:t>
      </w:r>
      <w:r w:rsidR="003C1362" w:rsidRPr="00F42759">
        <w:rPr>
          <w:rFonts w:ascii="Arial" w:hAnsi="Arial" w:cs="Arial"/>
          <w:bCs/>
          <w:lang w:val="en-GB"/>
        </w:rPr>
        <w:t>It went on to itemise the scope of the work to be performed as being:</w:t>
      </w:r>
    </w:p>
    <w:p w:rsidR="002F4009" w:rsidRPr="002F4009" w:rsidRDefault="00482BCF" w:rsidP="00482BCF">
      <w:pPr>
        <w:pStyle w:val="ListParagraph"/>
        <w:tabs>
          <w:tab w:val="left" w:pos="709"/>
        </w:tabs>
        <w:spacing w:line="360" w:lineRule="auto"/>
        <w:ind w:left="0"/>
        <w:jc w:val="both"/>
        <w:rPr>
          <w:rFonts w:ascii="Arial" w:hAnsi="Arial" w:cs="Arial"/>
          <w:bCs/>
          <w:sz w:val="22"/>
          <w:szCs w:val="22"/>
          <w:lang w:val="en-GB"/>
        </w:rPr>
      </w:pPr>
      <w:r w:rsidRPr="002F4009">
        <w:rPr>
          <w:rFonts w:ascii="Arial" w:hAnsi="Arial" w:cs="Arial"/>
          <w:bCs/>
          <w:sz w:val="22"/>
          <w:szCs w:val="22"/>
          <w:lang w:val="en-GB"/>
        </w:rPr>
        <w:t>‘</w:t>
      </w:r>
      <w:r w:rsidR="002F4009" w:rsidRPr="002F4009">
        <w:rPr>
          <w:rFonts w:ascii="Arial" w:hAnsi="Arial" w:cs="Arial"/>
          <w:bCs/>
          <w:sz w:val="22"/>
          <w:szCs w:val="22"/>
          <w:lang w:val="en-GB"/>
        </w:rPr>
        <w:t>Formulation of business Plan on the supply and installation of Smart water meters</w:t>
      </w:r>
    </w:p>
    <w:p w:rsidR="002F4009" w:rsidRPr="002F4009" w:rsidRDefault="002F4009" w:rsidP="00482BCF">
      <w:pPr>
        <w:pStyle w:val="ListParagraph"/>
        <w:tabs>
          <w:tab w:val="left" w:pos="709"/>
        </w:tabs>
        <w:spacing w:line="360" w:lineRule="auto"/>
        <w:ind w:left="0"/>
        <w:jc w:val="both"/>
        <w:rPr>
          <w:rFonts w:ascii="Arial" w:hAnsi="Arial" w:cs="Arial"/>
          <w:bCs/>
          <w:sz w:val="22"/>
          <w:szCs w:val="22"/>
          <w:lang w:val="en-GB"/>
        </w:rPr>
      </w:pPr>
      <w:r w:rsidRPr="002F4009">
        <w:rPr>
          <w:rFonts w:ascii="Arial" w:hAnsi="Arial" w:cs="Arial"/>
          <w:bCs/>
          <w:sz w:val="22"/>
          <w:szCs w:val="22"/>
          <w:lang w:val="en-GB"/>
        </w:rPr>
        <w:t>Sourcing of Funding on a Risk Basis</w:t>
      </w:r>
    </w:p>
    <w:p w:rsidR="00482BCF" w:rsidRPr="002F4009" w:rsidRDefault="002F4009" w:rsidP="00482BCF">
      <w:pPr>
        <w:pStyle w:val="ListParagraph"/>
        <w:tabs>
          <w:tab w:val="left" w:pos="709"/>
        </w:tabs>
        <w:spacing w:line="360" w:lineRule="auto"/>
        <w:ind w:left="0"/>
        <w:jc w:val="both"/>
        <w:rPr>
          <w:rFonts w:ascii="Arial" w:hAnsi="Arial" w:cs="Arial"/>
          <w:bCs/>
          <w:sz w:val="22"/>
          <w:szCs w:val="22"/>
          <w:lang w:val="en-GB"/>
        </w:rPr>
      </w:pPr>
      <w:r w:rsidRPr="002F4009">
        <w:rPr>
          <w:rFonts w:ascii="Arial" w:hAnsi="Arial" w:cs="Arial"/>
          <w:bCs/>
          <w:sz w:val="22"/>
          <w:szCs w:val="22"/>
          <w:lang w:val="en-GB"/>
        </w:rPr>
        <w:t>Installation and Maintenance of Smart Water Meters.</w:t>
      </w:r>
      <w:r w:rsidR="006B4FE7">
        <w:rPr>
          <w:rFonts w:ascii="Arial" w:hAnsi="Arial" w:cs="Arial"/>
          <w:bCs/>
          <w:sz w:val="22"/>
          <w:szCs w:val="22"/>
          <w:lang w:val="en-GB"/>
        </w:rPr>
        <w:t>’</w:t>
      </w:r>
    </w:p>
    <w:p w:rsidR="002F4009" w:rsidRDefault="00CB5558" w:rsidP="002F4009">
      <w:pPr>
        <w:pStyle w:val="ListParagraph"/>
        <w:tabs>
          <w:tab w:val="left" w:pos="709"/>
        </w:tabs>
        <w:spacing w:line="360" w:lineRule="auto"/>
        <w:ind w:left="0"/>
        <w:jc w:val="both"/>
        <w:rPr>
          <w:rFonts w:ascii="Arial" w:hAnsi="Arial" w:cs="Arial"/>
          <w:bCs/>
          <w:lang w:val="en-GB"/>
        </w:rPr>
      </w:pPr>
      <w:r>
        <w:rPr>
          <w:rFonts w:ascii="Arial" w:hAnsi="Arial" w:cs="Arial"/>
          <w:bCs/>
          <w:lang w:val="en-GB"/>
        </w:rPr>
        <w:lastRenderedPageBreak/>
        <w:t>The letter went on to state that:</w:t>
      </w:r>
    </w:p>
    <w:p w:rsidR="00CB5558" w:rsidRDefault="00CB5558" w:rsidP="002F4009">
      <w:pPr>
        <w:pStyle w:val="ListParagraph"/>
        <w:tabs>
          <w:tab w:val="left" w:pos="709"/>
        </w:tabs>
        <w:spacing w:line="360" w:lineRule="auto"/>
        <w:ind w:left="0"/>
        <w:jc w:val="both"/>
        <w:rPr>
          <w:rFonts w:ascii="Arial" w:hAnsi="Arial" w:cs="Arial"/>
          <w:bCs/>
          <w:sz w:val="22"/>
          <w:szCs w:val="22"/>
          <w:lang w:val="en-GB"/>
        </w:rPr>
      </w:pPr>
      <w:r w:rsidRPr="00CB5558">
        <w:rPr>
          <w:rFonts w:ascii="Arial" w:hAnsi="Arial" w:cs="Arial"/>
          <w:bCs/>
          <w:sz w:val="22"/>
          <w:szCs w:val="22"/>
          <w:lang w:val="en-GB"/>
        </w:rPr>
        <w:t>‘The contract is hereby awarded to you at a unit price of R1 122,92 per meter inclusive of VAT at 15%.’</w:t>
      </w:r>
    </w:p>
    <w:p w:rsidR="00D76527" w:rsidRPr="00D76527" w:rsidRDefault="00D76527" w:rsidP="002F4009">
      <w:pPr>
        <w:pStyle w:val="ListParagraph"/>
        <w:tabs>
          <w:tab w:val="left" w:pos="709"/>
        </w:tabs>
        <w:spacing w:line="360" w:lineRule="auto"/>
        <w:ind w:left="0"/>
        <w:jc w:val="both"/>
        <w:rPr>
          <w:rFonts w:ascii="Arial" w:hAnsi="Arial" w:cs="Arial"/>
          <w:bCs/>
          <w:lang w:val="en-GB"/>
        </w:rPr>
      </w:pPr>
    </w:p>
    <w:p w:rsidR="002433E1" w:rsidRPr="00F42759" w:rsidRDefault="00F42759" w:rsidP="00F42759">
      <w:pPr>
        <w:tabs>
          <w:tab w:val="left" w:pos="709"/>
        </w:tabs>
        <w:spacing w:line="360" w:lineRule="auto"/>
        <w:jc w:val="both"/>
        <w:rPr>
          <w:rFonts w:ascii="Arial" w:hAnsi="Arial" w:cs="Arial"/>
          <w:bCs/>
          <w:lang w:val="en-GB"/>
        </w:rPr>
      </w:pPr>
      <w:r>
        <w:rPr>
          <w:rFonts w:ascii="Arial" w:eastAsiaTheme="minorHAnsi" w:hAnsi="Arial" w:cs="Arial"/>
          <w:bCs/>
          <w:lang w:val="en-GB" w:eastAsia="en-US" w:bidi="ar-SA"/>
        </w:rPr>
        <w:t>[23]</w:t>
      </w:r>
      <w:r>
        <w:rPr>
          <w:rFonts w:ascii="Arial" w:eastAsiaTheme="minorHAnsi" w:hAnsi="Arial" w:cs="Arial"/>
          <w:bCs/>
          <w:lang w:val="en-GB" w:eastAsia="en-US" w:bidi="ar-SA"/>
        </w:rPr>
        <w:tab/>
      </w:r>
      <w:r w:rsidR="002433E1" w:rsidRPr="00F42759">
        <w:rPr>
          <w:rFonts w:ascii="Arial" w:hAnsi="Arial" w:cs="Arial"/>
          <w:bCs/>
          <w:lang w:val="en-GB"/>
        </w:rPr>
        <w:t>Th</w:t>
      </w:r>
      <w:r w:rsidR="00F154E7" w:rsidRPr="00F42759">
        <w:rPr>
          <w:rFonts w:ascii="Arial" w:hAnsi="Arial" w:cs="Arial"/>
          <w:bCs/>
          <w:lang w:val="en-GB"/>
        </w:rPr>
        <w:t>e first award</w:t>
      </w:r>
      <w:r w:rsidR="002433E1" w:rsidRPr="00F42759">
        <w:rPr>
          <w:rFonts w:ascii="Arial" w:hAnsi="Arial" w:cs="Arial"/>
          <w:bCs/>
          <w:lang w:val="en-GB"/>
        </w:rPr>
        <w:t xml:space="preserve"> letter had a signature line for acceptance by the Marothodi Metsi and Sebata Group of the terms contained in the l</w:t>
      </w:r>
      <w:r w:rsidR="00F154E7" w:rsidRPr="00F42759">
        <w:rPr>
          <w:rFonts w:ascii="Arial" w:hAnsi="Arial" w:cs="Arial"/>
          <w:bCs/>
          <w:lang w:val="en-GB"/>
        </w:rPr>
        <w:t>e</w:t>
      </w:r>
      <w:r w:rsidR="002433E1" w:rsidRPr="00F42759">
        <w:rPr>
          <w:rFonts w:ascii="Arial" w:hAnsi="Arial" w:cs="Arial"/>
          <w:bCs/>
          <w:lang w:val="en-GB"/>
        </w:rPr>
        <w:t xml:space="preserve">tter. </w:t>
      </w:r>
      <w:r w:rsidR="006D34EB" w:rsidRPr="00F42759">
        <w:rPr>
          <w:rFonts w:ascii="Arial" w:hAnsi="Arial" w:cs="Arial"/>
          <w:bCs/>
          <w:lang w:val="en-GB"/>
        </w:rPr>
        <w:t>It</w:t>
      </w:r>
      <w:r w:rsidR="00384DAD" w:rsidRPr="00F42759">
        <w:rPr>
          <w:rFonts w:ascii="Arial" w:hAnsi="Arial" w:cs="Arial"/>
          <w:bCs/>
          <w:lang w:val="en-GB"/>
        </w:rPr>
        <w:t xml:space="preserve"> was required to sign the letter and return it to the first respondent. It did not sign the letter</w:t>
      </w:r>
      <w:r w:rsidR="00F154E7" w:rsidRPr="00F42759">
        <w:rPr>
          <w:rFonts w:ascii="Arial" w:hAnsi="Arial" w:cs="Arial"/>
          <w:bCs/>
          <w:lang w:val="en-GB"/>
        </w:rPr>
        <w:t xml:space="preserve"> and there is no evidence that it returned the letter to the first respondent</w:t>
      </w:r>
      <w:r w:rsidR="00384DAD" w:rsidRPr="00F42759">
        <w:rPr>
          <w:rFonts w:ascii="Arial" w:hAnsi="Arial" w:cs="Arial"/>
          <w:bCs/>
          <w:lang w:val="en-GB"/>
        </w:rPr>
        <w:t>.</w:t>
      </w:r>
    </w:p>
    <w:p w:rsidR="002433E1" w:rsidRDefault="002433E1" w:rsidP="002433E1">
      <w:pPr>
        <w:pStyle w:val="ListParagraph"/>
        <w:tabs>
          <w:tab w:val="left" w:pos="709"/>
        </w:tabs>
        <w:spacing w:line="360" w:lineRule="auto"/>
        <w:ind w:left="0"/>
        <w:jc w:val="both"/>
        <w:rPr>
          <w:rFonts w:ascii="Arial" w:hAnsi="Arial" w:cs="Arial"/>
          <w:bCs/>
          <w:lang w:val="en-GB"/>
        </w:rPr>
      </w:pPr>
    </w:p>
    <w:p w:rsidR="002F4009" w:rsidRPr="00F42759" w:rsidRDefault="00F42759" w:rsidP="00F42759">
      <w:pPr>
        <w:tabs>
          <w:tab w:val="left" w:pos="709"/>
        </w:tabs>
        <w:spacing w:line="360" w:lineRule="auto"/>
        <w:jc w:val="both"/>
        <w:rPr>
          <w:rFonts w:ascii="Arial" w:hAnsi="Arial" w:cs="Arial"/>
          <w:bCs/>
          <w:lang w:val="en-GB"/>
        </w:rPr>
      </w:pPr>
      <w:r>
        <w:rPr>
          <w:rFonts w:ascii="Arial" w:eastAsiaTheme="minorHAnsi" w:hAnsi="Arial" w:cs="Arial"/>
          <w:bCs/>
          <w:lang w:val="en-GB" w:eastAsia="en-US" w:bidi="ar-SA"/>
        </w:rPr>
        <w:t>[24]</w:t>
      </w:r>
      <w:r>
        <w:rPr>
          <w:rFonts w:ascii="Arial" w:eastAsiaTheme="minorHAnsi" w:hAnsi="Arial" w:cs="Arial"/>
          <w:bCs/>
          <w:lang w:val="en-GB" w:eastAsia="en-US" w:bidi="ar-SA"/>
        </w:rPr>
        <w:tab/>
      </w:r>
      <w:r w:rsidR="00482BCF" w:rsidRPr="00F42759">
        <w:rPr>
          <w:rFonts w:ascii="Arial" w:hAnsi="Arial" w:cs="Arial"/>
          <w:bCs/>
          <w:lang w:val="en-GB"/>
        </w:rPr>
        <w:t>The next day, 8 July 2020, a second letter of award was sent to the Marothodi Metsi and Sebata Group</w:t>
      </w:r>
      <w:r w:rsidR="00F154E7" w:rsidRPr="00F42759">
        <w:rPr>
          <w:rFonts w:ascii="Arial" w:hAnsi="Arial" w:cs="Arial"/>
          <w:bCs/>
          <w:lang w:val="en-GB"/>
        </w:rPr>
        <w:t xml:space="preserve"> (the second award letter)</w:t>
      </w:r>
      <w:r w:rsidR="00482BCF" w:rsidRPr="00F42759">
        <w:rPr>
          <w:rFonts w:ascii="Arial" w:hAnsi="Arial" w:cs="Arial"/>
          <w:bCs/>
          <w:lang w:val="en-GB"/>
        </w:rPr>
        <w:t xml:space="preserve">. </w:t>
      </w:r>
      <w:r w:rsidR="00F154E7" w:rsidRPr="00F42759">
        <w:rPr>
          <w:rFonts w:ascii="Arial" w:hAnsi="Arial" w:cs="Arial"/>
          <w:bCs/>
          <w:lang w:val="en-GB"/>
        </w:rPr>
        <w:t>The second award letter</w:t>
      </w:r>
      <w:r w:rsidR="002F4009" w:rsidRPr="00F42759">
        <w:rPr>
          <w:rFonts w:ascii="Arial" w:hAnsi="Arial" w:cs="Arial"/>
          <w:bCs/>
          <w:lang w:val="en-GB"/>
        </w:rPr>
        <w:t xml:space="preserve"> now </w:t>
      </w:r>
      <w:r w:rsidR="002433E1" w:rsidRPr="00F42759">
        <w:rPr>
          <w:rFonts w:ascii="Arial" w:hAnsi="Arial" w:cs="Arial"/>
          <w:bCs/>
          <w:lang w:val="en-GB"/>
        </w:rPr>
        <w:t xml:space="preserve">had </w:t>
      </w:r>
      <w:r w:rsidR="00F154E7" w:rsidRPr="00F42759">
        <w:rPr>
          <w:rFonts w:ascii="Arial" w:hAnsi="Arial" w:cs="Arial"/>
          <w:bCs/>
          <w:lang w:val="en-GB"/>
        </w:rPr>
        <w:t>a markedly different</w:t>
      </w:r>
      <w:r w:rsidR="002433E1" w:rsidRPr="00F42759">
        <w:rPr>
          <w:rFonts w:ascii="Arial" w:hAnsi="Arial" w:cs="Arial"/>
          <w:bCs/>
          <w:lang w:val="en-GB"/>
        </w:rPr>
        <w:t xml:space="preserve"> description of the</w:t>
      </w:r>
      <w:r w:rsidR="002F4009" w:rsidRPr="00F42759">
        <w:rPr>
          <w:rFonts w:ascii="Arial" w:hAnsi="Arial" w:cs="Arial"/>
          <w:bCs/>
          <w:lang w:val="en-GB"/>
        </w:rPr>
        <w:t xml:space="preserve"> scope of work </w:t>
      </w:r>
      <w:r w:rsidR="00F154E7" w:rsidRPr="00F42759">
        <w:rPr>
          <w:rFonts w:ascii="Arial" w:hAnsi="Arial" w:cs="Arial"/>
          <w:bCs/>
          <w:lang w:val="en-GB"/>
        </w:rPr>
        <w:t xml:space="preserve">required </w:t>
      </w:r>
      <w:r w:rsidR="002F4009" w:rsidRPr="00F42759">
        <w:rPr>
          <w:rFonts w:ascii="Arial" w:hAnsi="Arial" w:cs="Arial"/>
          <w:bCs/>
          <w:lang w:val="en-GB"/>
        </w:rPr>
        <w:t>to be performed</w:t>
      </w:r>
      <w:r w:rsidR="002433E1" w:rsidRPr="00F42759">
        <w:rPr>
          <w:rFonts w:ascii="Arial" w:hAnsi="Arial" w:cs="Arial"/>
          <w:bCs/>
          <w:lang w:val="en-GB"/>
        </w:rPr>
        <w:t>, namely:</w:t>
      </w:r>
    </w:p>
    <w:p w:rsidR="002F4009" w:rsidRPr="0005024D" w:rsidRDefault="002F4009" w:rsidP="00482BCF">
      <w:pPr>
        <w:pStyle w:val="ListParagraph"/>
        <w:tabs>
          <w:tab w:val="left" w:pos="709"/>
        </w:tabs>
        <w:spacing w:line="360" w:lineRule="auto"/>
        <w:ind w:left="0"/>
        <w:jc w:val="both"/>
        <w:rPr>
          <w:rFonts w:ascii="Arial" w:hAnsi="Arial" w:cs="Arial"/>
          <w:bCs/>
          <w:sz w:val="22"/>
          <w:szCs w:val="22"/>
          <w:lang w:val="en-GB"/>
        </w:rPr>
      </w:pPr>
      <w:r w:rsidRPr="0005024D">
        <w:rPr>
          <w:rFonts w:ascii="Arial" w:hAnsi="Arial" w:cs="Arial"/>
          <w:bCs/>
          <w:sz w:val="22"/>
          <w:szCs w:val="22"/>
          <w:lang w:val="en-GB"/>
        </w:rPr>
        <w:t>‘</w:t>
      </w:r>
      <w:r w:rsidR="0005024D" w:rsidRPr="0005024D">
        <w:rPr>
          <w:rFonts w:ascii="Arial" w:hAnsi="Arial" w:cs="Arial"/>
          <w:bCs/>
          <w:sz w:val="22"/>
          <w:szCs w:val="22"/>
          <w:lang w:val="en-GB"/>
        </w:rPr>
        <w:t>1.</w:t>
      </w:r>
      <w:r w:rsidR="0005024D" w:rsidRPr="0005024D">
        <w:rPr>
          <w:rFonts w:ascii="Arial" w:hAnsi="Arial" w:cs="Arial"/>
          <w:bCs/>
          <w:sz w:val="22"/>
          <w:szCs w:val="22"/>
          <w:lang w:val="en-GB"/>
        </w:rPr>
        <w:tab/>
        <w:t>F</w:t>
      </w:r>
      <w:r w:rsidRPr="0005024D">
        <w:rPr>
          <w:rFonts w:ascii="Arial" w:hAnsi="Arial" w:cs="Arial"/>
          <w:bCs/>
          <w:sz w:val="22"/>
          <w:szCs w:val="22"/>
          <w:lang w:val="en-GB"/>
        </w:rPr>
        <w:t>ormulation of business plan on the supply and installation of pre</w:t>
      </w:r>
      <w:r w:rsidR="0005024D" w:rsidRPr="0005024D">
        <w:rPr>
          <w:rFonts w:ascii="Arial" w:hAnsi="Arial" w:cs="Arial"/>
          <w:bCs/>
          <w:sz w:val="22"/>
          <w:szCs w:val="22"/>
          <w:lang w:val="en-GB"/>
        </w:rPr>
        <w:t>-</w:t>
      </w:r>
      <w:r w:rsidRPr="0005024D">
        <w:rPr>
          <w:rFonts w:ascii="Arial" w:hAnsi="Arial" w:cs="Arial"/>
          <w:bCs/>
          <w:sz w:val="22"/>
          <w:szCs w:val="22"/>
          <w:lang w:val="en-GB"/>
        </w:rPr>
        <w:t xml:space="preserve">paid </w:t>
      </w:r>
      <w:r w:rsidR="0005024D" w:rsidRPr="0005024D">
        <w:rPr>
          <w:rFonts w:ascii="Arial" w:hAnsi="Arial" w:cs="Arial"/>
          <w:bCs/>
          <w:sz w:val="22"/>
          <w:szCs w:val="22"/>
          <w:lang w:val="en-GB"/>
        </w:rPr>
        <w:t>S</w:t>
      </w:r>
      <w:r w:rsidRPr="0005024D">
        <w:rPr>
          <w:rFonts w:ascii="Arial" w:hAnsi="Arial" w:cs="Arial"/>
          <w:bCs/>
          <w:sz w:val="22"/>
          <w:szCs w:val="22"/>
          <w:lang w:val="en-GB"/>
        </w:rPr>
        <w:t>mart water meters and sourcing of funding from agencies on a risk basis.</w:t>
      </w:r>
    </w:p>
    <w:p w:rsidR="002F4009" w:rsidRPr="0005024D" w:rsidRDefault="0005024D" w:rsidP="00482BCF">
      <w:pPr>
        <w:pStyle w:val="ListParagraph"/>
        <w:tabs>
          <w:tab w:val="left" w:pos="709"/>
        </w:tabs>
        <w:spacing w:line="360" w:lineRule="auto"/>
        <w:ind w:left="0"/>
        <w:jc w:val="both"/>
        <w:rPr>
          <w:rFonts w:ascii="Arial" w:hAnsi="Arial" w:cs="Arial"/>
          <w:bCs/>
          <w:sz w:val="22"/>
          <w:szCs w:val="22"/>
          <w:lang w:val="en-GB"/>
        </w:rPr>
      </w:pPr>
      <w:r w:rsidRPr="0005024D">
        <w:rPr>
          <w:rFonts w:ascii="Arial" w:hAnsi="Arial" w:cs="Arial"/>
          <w:bCs/>
          <w:sz w:val="22"/>
          <w:szCs w:val="22"/>
          <w:lang w:val="en-GB"/>
        </w:rPr>
        <w:t>2.</w:t>
      </w:r>
      <w:r w:rsidRPr="0005024D">
        <w:rPr>
          <w:rFonts w:ascii="Arial" w:hAnsi="Arial" w:cs="Arial"/>
          <w:bCs/>
          <w:sz w:val="22"/>
          <w:szCs w:val="22"/>
          <w:lang w:val="en-GB"/>
        </w:rPr>
        <w:tab/>
        <w:t>B</w:t>
      </w:r>
      <w:r w:rsidR="002F4009" w:rsidRPr="0005024D">
        <w:rPr>
          <w:rFonts w:ascii="Arial" w:hAnsi="Arial" w:cs="Arial"/>
          <w:bCs/>
          <w:sz w:val="22"/>
          <w:szCs w:val="22"/>
          <w:lang w:val="en-GB"/>
        </w:rPr>
        <w:t xml:space="preserve">ad </w:t>
      </w:r>
      <w:r w:rsidRPr="0005024D">
        <w:rPr>
          <w:rFonts w:ascii="Arial" w:hAnsi="Arial" w:cs="Arial"/>
          <w:bCs/>
          <w:sz w:val="22"/>
          <w:szCs w:val="22"/>
          <w:lang w:val="en-GB"/>
        </w:rPr>
        <w:t>D</w:t>
      </w:r>
      <w:r w:rsidR="002F4009" w:rsidRPr="0005024D">
        <w:rPr>
          <w:rFonts w:ascii="Arial" w:hAnsi="Arial" w:cs="Arial"/>
          <w:bCs/>
          <w:sz w:val="22"/>
          <w:szCs w:val="22"/>
          <w:lang w:val="en-GB"/>
        </w:rPr>
        <w:t xml:space="preserve">ebt </w:t>
      </w:r>
      <w:r w:rsidRPr="0005024D">
        <w:rPr>
          <w:rFonts w:ascii="Arial" w:hAnsi="Arial" w:cs="Arial"/>
          <w:bCs/>
          <w:sz w:val="22"/>
          <w:szCs w:val="22"/>
          <w:lang w:val="en-GB"/>
        </w:rPr>
        <w:t>R</w:t>
      </w:r>
      <w:r w:rsidR="002F4009" w:rsidRPr="0005024D">
        <w:rPr>
          <w:rFonts w:ascii="Arial" w:hAnsi="Arial" w:cs="Arial"/>
          <w:bCs/>
          <w:sz w:val="22"/>
          <w:szCs w:val="22"/>
          <w:lang w:val="en-GB"/>
        </w:rPr>
        <w:t xml:space="preserve">ecovery and </w:t>
      </w:r>
      <w:r w:rsidRPr="0005024D">
        <w:rPr>
          <w:rFonts w:ascii="Arial" w:hAnsi="Arial" w:cs="Arial"/>
          <w:bCs/>
          <w:sz w:val="22"/>
          <w:szCs w:val="22"/>
          <w:lang w:val="en-GB"/>
        </w:rPr>
        <w:t>R</w:t>
      </w:r>
      <w:r w:rsidR="002F4009" w:rsidRPr="0005024D">
        <w:rPr>
          <w:rFonts w:ascii="Arial" w:hAnsi="Arial" w:cs="Arial"/>
          <w:bCs/>
          <w:sz w:val="22"/>
          <w:szCs w:val="22"/>
          <w:lang w:val="en-GB"/>
        </w:rPr>
        <w:t>evenue enhancement. (</w:t>
      </w:r>
      <w:r w:rsidRPr="0005024D">
        <w:rPr>
          <w:rFonts w:ascii="Arial" w:hAnsi="Arial" w:cs="Arial"/>
          <w:bCs/>
          <w:sz w:val="22"/>
          <w:szCs w:val="22"/>
          <w:lang w:val="en-GB"/>
        </w:rPr>
        <w:t>The i</w:t>
      </w:r>
      <w:r w:rsidR="002F4009" w:rsidRPr="0005024D">
        <w:rPr>
          <w:rFonts w:ascii="Arial" w:hAnsi="Arial" w:cs="Arial"/>
          <w:bCs/>
          <w:sz w:val="22"/>
          <w:szCs w:val="22"/>
          <w:lang w:val="en-GB"/>
        </w:rPr>
        <w:t xml:space="preserve">mmediate implementation of this intervention is of utmost importance in order to ensure that the </w:t>
      </w:r>
      <w:r w:rsidRPr="0005024D">
        <w:rPr>
          <w:rFonts w:ascii="Arial" w:hAnsi="Arial" w:cs="Arial"/>
          <w:bCs/>
          <w:sz w:val="22"/>
          <w:szCs w:val="22"/>
          <w:lang w:val="en-GB"/>
        </w:rPr>
        <w:t>uThukela D</w:t>
      </w:r>
      <w:r w:rsidR="002F4009" w:rsidRPr="0005024D">
        <w:rPr>
          <w:rFonts w:ascii="Arial" w:hAnsi="Arial" w:cs="Arial"/>
          <w:bCs/>
          <w:sz w:val="22"/>
          <w:szCs w:val="22"/>
          <w:lang w:val="en-GB"/>
        </w:rPr>
        <w:t xml:space="preserve">istrict </w:t>
      </w:r>
      <w:r w:rsidRPr="0005024D">
        <w:rPr>
          <w:rFonts w:ascii="Arial" w:hAnsi="Arial" w:cs="Arial"/>
          <w:bCs/>
          <w:sz w:val="22"/>
          <w:szCs w:val="22"/>
          <w:lang w:val="en-GB"/>
        </w:rPr>
        <w:t>M</w:t>
      </w:r>
      <w:r w:rsidR="002F4009" w:rsidRPr="0005024D">
        <w:rPr>
          <w:rFonts w:ascii="Arial" w:hAnsi="Arial" w:cs="Arial"/>
          <w:bCs/>
          <w:sz w:val="22"/>
          <w:szCs w:val="22"/>
          <w:lang w:val="en-GB"/>
        </w:rPr>
        <w:t>unicipality is a viable business entity).</w:t>
      </w:r>
    </w:p>
    <w:p w:rsidR="00032FE7" w:rsidRPr="0005024D" w:rsidRDefault="0005024D" w:rsidP="00482BCF">
      <w:pPr>
        <w:pStyle w:val="ListParagraph"/>
        <w:tabs>
          <w:tab w:val="left" w:pos="709"/>
        </w:tabs>
        <w:spacing w:line="360" w:lineRule="auto"/>
        <w:ind w:left="0"/>
        <w:jc w:val="both"/>
        <w:rPr>
          <w:rFonts w:ascii="Arial" w:hAnsi="Arial" w:cs="Arial"/>
          <w:bCs/>
          <w:sz w:val="22"/>
          <w:szCs w:val="22"/>
          <w:lang w:val="en-GB"/>
        </w:rPr>
      </w:pPr>
      <w:r w:rsidRPr="0005024D">
        <w:rPr>
          <w:rFonts w:ascii="Arial" w:hAnsi="Arial" w:cs="Arial"/>
          <w:bCs/>
          <w:sz w:val="22"/>
          <w:szCs w:val="22"/>
          <w:lang w:val="en-GB"/>
        </w:rPr>
        <w:t>3.</w:t>
      </w:r>
      <w:r w:rsidRPr="0005024D">
        <w:rPr>
          <w:rFonts w:ascii="Arial" w:hAnsi="Arial" w:cs="Arial"/>
          <w:bCs/>
          <w:sz w:val="22"/>
          <w:szCs w:val="22"/>
          <w:lang w:val="en-GB"/>
        </w:rPr>
        <w:tab/>
        <w:t>I</w:t>
      </w:r>
      <w:r w:rsidR="00032FE7" w:rsidRPr="0005024D">
        <w:rPr>
          <w:rFonts w:ascii="Arial" w:hAnsi="Arial" w:cs="Arial"/>
          <w:bCs/>
          <w:sz w:val="22"/>
          <w:szCs w:val="22"/>
          <w:lang w:val="en-GB"/>
        </w:rPr>
        <w:t xml:space="preserve">nstallation and maintenance of </w:t>
      </w:r>
      <w:r w:rsidRPr="0005024D">
        <w:rPr>
          <w:rFonts w:ascii="Arial" w:hAnsi="Arial" w:cs="Arial"/>
          <w:bCs/>
          <w:sz w:val="22"/>
          <w:szCs w:val="22"/>
          <w:lang w:val="en-GB"/>
        </w:rPr>
        <w:t>S</w:t>
      </w:r>
      <w:r w:rsidR="00032FE7" w:rsidRPr="0005024D">
        <w:rPr>
          <w:rFonts w:ascii="Arial" w:hAnsi="Arial" w:cs="Arial"/>
          <w:bCs/>
          <w:sz w:val="22"/>
          <w:szCs w:val="22"/>
          <w:lang w:val="en-GB"/>
        </w:rPr>
        <w:t>mart water meters together with holistic interventions.</w:t>
      </w:r>
    </w:p>
    <w:p w:rsidR="00032FE7" w:rsidRPr="00F42759" w:rsidRDefault="00F42759" w:rsidP="00F42759">
      <w:pPr>
        <w:tabs>
          <w:tab w:val="left" w:pos="709"/>
        </w:tabs>
        <w:spacing w:line="360" w:lineRule="auto"/>
        <w:jc w:val="both"/>
        <w:rPr>
          <w:rFonts w:ascii="Arial" w:hAnsi="Arial" w:cs="Arial"/>
          <w:bCs/>
          <w:sz w:val="22"/>
          <w:szCs w:val="22"/>
          <w:lang w:val="en-GB"/>
        </w:rPr>
      </w:pPr>
      <w:r w:rsidRPr="0005024D">
        <w:rPr>
          <w:rFonts w:ascii="Arial" w:eastAsiaTheme="minorHAnsi" w:hAnsi="Arial" w:cs="Arial"/>
          <w:bCs/>
          <w:sz w:val="22"/>
          <w:szCs w:val="22"/>
          <w:lang w:val="en-GB" w:eastAsia="en-US" w:bidi="ar-SA"/>
        </w:rPr>
        <w:t>4.</w:t>
      </w:r>
      <w:r w:rsidRPr="0005024D">
        <w:rPr>
          <w:rFonts w:ascii="Arial" w:eastAsiaTheme="minorHAnsi" w:hAnsi="Arial" w:cs="Arial"/>
          <w:bCs/>
          <w:sz w:val="22"/>
          <w:szCs w:val="22"/>
          <w:lang w:val="en-GB" w:eastAsia="en-US" w:bidi="ar-SA"/>
        </w:rPr>
        <w:tab/>
      </w:r>
      <w:r w:rsidR="00032FE7" w:rsidRPr="00F42759">
        <w:rPr>
          <w:rFonts w:ascii="Arial" w:hAnsi="Arial" w:cs="Arial"/>
          <w:bCs/>
          <w:sz w:val="22"/>
          <w:szCs w:val="22"/>
          <w:lang w:val="en-GB"/>
        </w:rPr>
        <w:t>Vendorring</w:t>
      </w:r>
      <w:r w:rsidR="008815A0" w:rsidRPr="00F42759">
        <w:rPr>
          <w:rFonts w:ascii="Arial" w:hAnsi="Arial" w:cs="Arial"/>
          <w:bCs/>
          <w:sz w:val="22"/>
          <w:szCs w:val="22"/>
          <w:lang w:val="en-GB"/>
        </w:rPr>
        <w:t xml:space="preserve"> (sic)</w:t>
      </w:r>
      <w:r w:rsidR="00032FE7" w:rsidRPr="00F42759">
        <w:rPr>
          <w:rFonts w:ascii="Arial" w:hAnsi="Arial" w:cs="Arial"/>
          <w:bCs/>
          <w:sz w:val="22"/>
          <w:szCs w:val="22"/>
          <w:lang w:val="en-GB"/>
        </w:rPr>
        <w:t xml:space="preserve"> System together with the relevant Financial Support System and Mechanisms.’</w:t>
      </w:r>
    </w:p>
    <w:p w:rsidR="0005024D" w:rsidRDefault="00CB5558" w:rsidP="0005024D">
      <w:pPr>
        <w:pStyle w:val="ListParagraph"/>
        <w:tabs>
          <w:tab w:val="left" w:pos="709"/>
        </w:tabs>
        <w:spacing w:line="360" w:lineRule="auto"/>
        <w:ind w:left="0"/>
        <w:jc w:val="both"/>
        <w:rPr>
          <w:rFonts w:ascii="Arial" w:hAnsi="Arial" w:cs="Arial"/>
          <w:bCs/>
          <w:lang w:val="en-GB"/>
        </w:rPr>
      </w:pPr>
      <w:r>
        <w:rPr>
          <w:rFonts w:ascii="Arial" w:hAnsi="Arial" w:cs="Arial"/>
          <w:bCs/>
          <w:lang w:val="en-GB"/>
        </w:rPr>
        <w:t>Th</w:t>
      </w:r>
      <w:r w:rsidR="005D0DDD">
        <w:rPr>
          <w:rFonts w:ascii="Arial" w:hAnsi="Arial" w:cs="Arial"/>
          <w:bCs/>
          <w:lang w:val="en-GB"/>
        </w:rPr>
        <w:t>e second award letter</w:t>
      </w:r>
      <w:r>
        <w:rPr>
          <w:rFonts w:ascii="Arial" w:hAnsi="Arial" w:cs="Arial"/>
          <w:bCs/>
          <w:lang w:val="en-GB"/>
        </w:rPr>
        <w:t xml:space="preserve"> also included the following:</w:t>
      </w:r>
    </w:p>
    <w:p w:rsidR="00CB5558" w:rsidRDefault="00CB5558" w:rsidP="0005024D">
      <w:pPr>
        <w:pStyle w:val="ListParagraph"/>
        <w:tabs>
          <w:tab w:val="left" w:pos="709"/>
        </w:tabs>
        <w:spacing w:line="360" w:lineRule="auto"/>
        <w:ind w:left="0"/>
        <w:jc w:val="both"/>
        <w:rPr>
          <w:rFonts w:ascii="Arial" w:hAnsi="Arial" w:cs="Arial"/>
          <w:bCs/>
          <w:sz w:val="22"/>
          <w:szCs w:val="22"/>
          <w:lang w:val="en-GB"/>
        </w:rPr>
      </w:pPr>
      <w:r w:rsidRPr="002433E1">
        <w:rPr>
          <w:rFonts w:ascii="Arial" w:hAnsi="Arial" w:cs="Arial"/>
          <w:bCs/>
          <w:sz w:val="22"/>
          <w:szCs w:val="22"/>
          <w:lang w:val="en-GB"/>
        </w:rPr>
        <w:t>‘The unit price per meter is R1 122,92. Marothodi Metsi will charge 15%</w:t>
      </w:r>
      <w:r w:rsidR="00433D5E">
        <w:rPr>
          <w:rStyle w:val="FootnoteReference"/>
          <w:rFonts w:ascii="Arial" w:hAnsi="Arial" w:cs="Arial"/>
          <w:bCs/>
          <w:sz w:val="22"/>
          <w:szCs w:val="22"/>
          <w:lang w:val="en-GB"/>
        </w:rPr>
        <w:footnoteReference w:id="16"/>
      </w:r>
      <w:r w:rsidRPr="002433E1">
        <w:rPr>
          <w:rFonts w:ascii="Arial" w:hAnsi="Arial" w:cs="Arial"/>
          <w:bCs/>
          <w:sz w:val="22"/>
          <w:szCs w:val="22"/>
          <w:lang w:val="en-GB"/>
        </w:rPr>
        <w:t xml:space="preserve"> commission on the revenue collected from 60 days and above in all areas within the District.</w:t>
      </w:r>
      <w:r w:rsidR="002433E1">
        <w:rPr>
          <w:rFonts w:ascii="Arial" w:hAnsi="Arial" w:cs="Arial"/>
          <w:bCs/>
          <w:sz w:val="22"/>
          <w:szCs w:val="22"/>
          <w:lang w:val="en-GB"/>
        </w:rPr>
        <w:t>’</w:t>
      </w:r>
    </w:p>
    <w:p w:rsidR="002433E1" w:rsidRDefault="002433E1" w:rsidP="0005024D">
      <w:pPr>
        <w:pStyle w:val="ListParagraph"/>
        <w:tabs>
          <w:tab w:val="left" w:pos="709"/>
        </w:tabs>
        <w:spacing w:line="360" w:lineRule="auto"/>
        <w:ind w:left="0"/>
        <w:jc w:val="both"/>
        <w:rPr>
          <w:rFonts w:ascii="Arial" w:hAnsi="Arial" w:cs="Arial"/>
          <w:bCs/>
          <w:sz w:val="22"/>
          <w:szCs w:val="22"/>
          <w:lang w:val="en-GB"/>
        </w:rPr>
      </w:pPr>
    </w:p>
    <w:p w:rsidR="002433E1" w:rsidRPr="00F42759" w:rsidRDefault="00F42759" w:rsidP="00F42759">
      <w:pPr>
        <w:tabs>
          <w:tab w:val="left" w:pos="709"/>
        </w:tabs>
        <w:spacing w:line="360" w:lineRule="auto"/>
        <w:jc w:val="both"/>
        <w:rPr>
          <w:rFonts w:ascii="Arial" w:hAnsi="Arial" w:cs="Arial"/>
          <w:bCs/>
          <w:lang w:val="en-GB"/>
        </w:rPr>
      </w:pPr>
      <w:r>
        <w:rPr>
          <w:rFonts w:ascii="Arial" w:eastAsiaTheme="minorHAnsi" w:hAnsi="Arial" w:cs="Arial"/>
          <w:bCs/>
          <w:lang w:val="en-GB" w:eastAsia="en-US" w:bidi="ar-SA"/>
        </w:rPr>
        <w:t>[25]</w:t>
      </w:r>
      <w:r>
        <w:rPr>
          <w:rFonts w:ascii="Arial" w:eastAsiaTheme="minorHAnsi" w:hAnsi="Arial" w:cs="Arial"/>
          <w:bCs/>
          <w:lang w:val="en-GB" w:eastAsia="en-US" w:bidi="ar-SA"/>
        </w:rPr>
        <w:tab/>
      </w:r>
      <w:r w:rsidR="002433E1" w:rsidRPr="00F42759">
        <w:rPr>
          <w:rFonts w:ascii="Arial" w:hAnsi="Arial" w:cs="Arial"/>
          <w:bCs/>
          <w:lang w:val="en-GB"/>
        </w:rPr>
        <w:t xml:space="preserve">As with the </w:t>
      </w:r>
      <w:r w:rsidR="005D0DDD" w:rsidRPr="00F42759">
        <w:rPr>
          <w:rFonts w:ascii="Arial" w:hAnsi="Arial" w:cs="Arial"/>
          <w:bCs/>
          <w:lang w:val="en-GB"/>
        </w:rPr>
        <w:t>first award letter</w:t>
      </w:r>
      <w:r w:rsidR="002433E1" w:rsidRPr="00F42759">
        <w:rPr>
          <w:rFonts w:ascii="Arial" w:hAnsi="Arial" w:cs="Arial"/>
          <w:bCs/>
          <w:lang w:val="en-GB"/>
        </w:rPr>
        <w:t>, there was a signature line for the Marothodi Metsi and Sebata Group</w:t>
      </w:r>
      <w:r w:rsidR="005D0DDD" w:rsidRPr="00F42759">
        <w:rPr>
          <w:rFonts w:ascii="Arial" w:hAnsi="Arial" w:cs="Arial"/>
          <w:bCs/>
          <w:lang w:val="en-GB"/>
        </w:rPr>
        <w:t xml:space="preserve"> on the second award letter</w:t>
      </w:r>
      <w:r w:rsidR="002433E1" w:rsidRPr="00F42759">
        <w:rPr>
          <w:rFonts w:ascii="Arial" w:hAnsi="Arial" w:cs="Arial"/>
          <w:bCs/>
          <w:lang w:val="en-GB"/>
        </w:rPr>
        <w:t>. This time</w:t>
      </w:r>
      <w:r w:rsidR="006B4FE7" w:rsidRPr="00F42759">
        <w:rPr>
          <w:rFonts w:ascii="Arial" w:hAnsi="Arial" w:cs="Arial"/>
          <w:bCs/>
          <w:lang w:val="en-GB"/>
        </w:rPr>
        <w:t>,</w:t>
      </w:r>
      <w:r w:rsidR="002433E1" w:rsidRPr="00F42759">
        <w:rPr>
          <w:rFonts w:ascii="Arial" w:hAnsi="Arial" w:cs="Arial"/>
          <w:bCs/>
          <w:lang w:val="en-GB"/>
        </w:rPr>
        <w:t xml:space="preserve"> </w:t>
      </w:r>
      <w:r w:rsidR="00E316BE" w:rsidRPr="00F42759">
        <w:rPr>
          <w:rFonts w:ascii="Arial" w:hAnsi="Arial" w:cs="Arial"/>
          <w:bCs/>
          <w:lang w:val="en-GB"/>
        </w:rPr>
        <w:t xml:space="preserve">the letter </w:t>
      </w:r>
      <w:r w:rsidR="00BA5BE6" w:rsidRPr="00F42759">
        <w:rPr>
          <w:rFonts w:ascii="Arial" w:hAnsi="Arial" w:cs="Arial"/>
          <w:bCs/>
          <w:lang w:val="en-GB"/>
        </w:rPr>
        <w:t>was signed, apparently on behalf of that entity.</w:t>
      </w:r>
      <w:r w:rsidR="005D0DDD" w:rsidRPr="00F42759">
        <w:rPr>
          <w:rFonts w:ascii="Arial" w:hAnsi="Arial" w:cs="Arial"/>
          <w:bCs/>
          <w:lang w:val="en-GB"/>
        </w:rPr>
        <w:t xml:space="preserve"> The ultimate consequence was that o</w:t>
      </w:r>
      <w:r w:rsidR="00BA5BE6" w:rsidRPr="00F42759">
        <w:rPr>
          <w:rFonts w:ascii="Arial" w:hAnsi="Arial" w:cs="Arial"/>
          <w:bCs/>
          <w:lang w:val="en-GB"/>
        </w:rPr>
        <w:t xml:space="preserve">n </w:t>
      </w:r>
      <w:r w:rsidR="00DF02F4" w:rsidRPr="00F42759">
        <w:rPr>
          <w:rFonts w:ascii="Arial" w:hAnsi="Arial" w:cs="Arial"/>
          <w:bCs/>
          <w:lang w:val="en-GB"/>
        </w:rPr>
        <w:t>30 June 2020, the first respondent and the Marothodi Metsi and Sebata Group put pen to paper and signed the contract.</w:t>
      </w:r>
    </w:p>
    <w:p w:rsidR="00DF02F4" w:rsidRPr="00BA5BE6" w:rsidRDefault="00DF02F4" w:rsidP="00DF02F4">
      <w:pPr>
        <w:pStyle w:val="ListParagraph"/>
        <w:tabs>
          <w:tab w:val="left" w:pos="709"/>
        </w:tabs>
        <w:spacing w:line="360" w:lineRule="auto"/>
        <w:ind w:left="0"/>
        <w:jc w:val="both"/>
        <w:rPr>
          <w:rFonts w:ascii="Arial" w:hAnsi="Arial" w:cs="Arial"/>
          <w:bCs/>
          <w:lang w:val="en-GB"/>
        </w:rPr>
      </w:pPr>
    </w:p>
    <w:p w:rsidR="001F7C21" w:rsidRPr="00F42759" w:rsidRDefault="00F42759" w:rsidP="00F42759">
      <w:pPr>
        <w:tabs>
          <w:tab w:val="left" w:pos="709"/>
        </w:tabs>
        <w:spacing w:line="360" w:lineRule="auto"/>
        <w:jc w:val="both"/>
        <w:rPr>
          <w:rFonts w:ascii="Arial" w:hAnsi="Arial" w:cs="Arial"/>
          <w:bCs/>
          <w:lang w:val="en-GB"/>
        </w:rPr>
      </w:pPr>
      <w:r w:rsidRPr="00F52EC8">
        <w:rPr>
          <w:rFonts w:ascii="Arial" w:eastAsiaTheme="minorHAnsi" w:hAnsi="Arial" w:cs="Arial"/>
          <w:bCs/>
          <w:lang w:val="en-GB" w:eastAsia="en-US" w:bidi="ar-SA"/>
        </w:rPr>
        <w:t>[26]</w:t>
      </w:r>
      <w:r w:rsidRPr="00F52EC8">
        <w:rPr>
          <w:rFonts w:ascii="Arial" w:eastAsiaTheme="minorHAnsi" w:hAnsi="Arial" w:cs="Arial"/>
          <w:bCs/>
          <w:lang w:val="en-GB" w:eastAsia="en-US" w:bidi="ar-SA"/>
        </w:rPr>
        <w:tab/>
      </w:r>
      <w:r w:rsidR="00384DAD" w:rsidRPr="00F42759">
        <w:rPr>
          <w:rFonts w:ascii="Arial" w:hAnsi="Arial" w:cs="Arial"/>
          <w:bCs/>
          <w:lang w:val="en-GB"/>
        </w:rPr>
        <w:t xml:space="preserve">Those are the relevant facts. </w:t>
      </w:r>
      <w:r w:rsidR="00CE3621" w:rsidRPr="00F42759">
        <w:rPr>
          <w:rFonts w:ascii="Arial" w:hAnsi="Arial" w:cs="Arial"/>
          <w:bCs/>
          <w:lang w:val="en-GB"/>
        </w:rPr>
        <w:t xml:space="preserve">The first respondent seeks the review of its own decision </w:t>
      </w:r>
      <w:r w:rsidR="00482BCF" w:rsidRPr="00F42759">
        <w:rPr>
          <w:rFonts w:ascii="Arial" w:hAnsi="Arial" w:cs="Arial"/>
          <w:bCs/>
          <w:lang w:val="en-GB"/>
        </w:rPr>
        <w:t xml:space="preserve">to </w:t>
      </w:r>
      <w:r w:rsidR="00507DDB" w:rsidRPr="00F42759">
        <w:rPr>
          <w:rFonts w:ascii="Arial" w:hAnsi="Arial" w:cs="Arial"/>
          <w:bCs/>
          <w:lang w:val="en-GB"/>
        </w:rPr>
        <w:t>award</w:t>
      </w:r>
      <w:r w:rsidR="00482BCF" w:rsidRPr="00F42759">
        <w:rPr>
          <w:rFonts w:ascii="Arial" w:hAnsi="Arial" w:cs="Arial"/>
          <w:bCs/>
          <w:lang w:val="en-GB"/>
        </w:rPr>
        <w:t xml:space="preserve"> the tender to the </w:t>
      </w:r>
      <w:r w:rsidR="000C6186" w:rsidRPr="00F42759">
        <w:rPr>
          <w:rFonts w:ascii="Arial" w:hAnsi="Arial" w:cs="Arial"/>
          <w:bCs/>
          <w:lang w:val="en-GB"/>
        </w:rPr>
        <w:t>Marothodi</w:t>
      </w:r>
      <w:r w:rsidR="00482BCF" w:rsidRPr="00F42759">
        <w:rPr>
          <w:rFonts w:ascii="Arial" w:hAnsi="Arial" w:cs="Arial"/>
          <w:bCs/>
          <w:lang w:val="en-GB"/>
        </w:rPr>
        <w:t xml:space="preserve"> Metsi and Sebata Group </w:t>
      </w:r>
      <w:r w:rsidR="00CE3621" w:rsidRPr="00F42759">
        <w:rPr>
          <w:rFonts w:ascii="Arial" w:hAnsi="Arial" w:cs="Arial"/>
          <w:bCs/>
          <w:lang w:val="en-GB"/>
        </w:rPr>
        <w:t>based</w:t>
      </w:r>
      <w:r w:rsidR="00482BCF" w:rsidRPr="00F42759">
        <w:rPr>
          <w:rFonts w:ascii="Arial" w:hAnsi="Arial" w:cs="Arial"/>
          <w:bCs/>
          <w:lang w:val="en-GB"/>
        </w:rPr>
        <w:t>, essentially,</w:t>
      </w:r>
      <w:r w:rsidR="00CE3621" w:rsidRPr="00F42759">
        <w:rPr>
          <w:rFonts w:ascii="Arial" w:hAnsi="Arial" w:cs="Arial"/>
          <w:bCs/>
          <w:lang w:val="en-GB"/>
        </w:rPr>
        <w:t xml:space="preserve"> on five grounds</w:t>
      </w:r>
      <w:r w:rsidR="005D0DDD" w:rsidRPr="00F42759">
        <w:rPr>
          <w:rFonts w:ascii="Arial" w:hAnsi="Arial" w:cs="Arial"/>
          <w:bCs/>
          <w:lang w:val="en-GB"/>
        </w:rPr>
        <w:t>, namely</w:t>
      </w:r>
      <w:r w:rsidR="001F7C21" w:rsidRPr="00F42759">
        <w:rPr>
          <w:rFonts w:ascii="Arial" w:hAnsi="Arial" w:cs="Arial"/>
          <w:bCs/>
          <w:lang w:val="en-GB"/>
        </w:rPr>
        <w:t>:</w:t>
      </w:r>
    </w:p>
    <w:p w:rsidR="001F7C21" w:rsidRPr="00F42759" w:rsidRDefault="00F42759" w:rsidP="00F42759">
      <w:pPr>
        <w:tabs>
          <w:tab w:val="left" w:pos="709"/>
        </w:tabs>
        <w:spacing w:line="360" w:lineRule="auto"/>
        <w:jc w:val="both"/>
        <w:rPr>
          <w:rFonts w:ascii="Arial" w:hAnsi="Arial" w:cs="Arial"/>
          <w:bCs/>
          <w:lang w:val="en-GB"/>
        </w:rPr>
      </w:pPr>
      <w:r>
        <w:rPr>
          <w:rFonts w:ascii="Arial" w:eastAsiaTheme="minorHAnsi" w:hAnsi="Arial" w:cs="Arial"/>
          <w:bCs/>
          <w:lang w:val="en-GB" w:eastAsia="en-US" w:bidi="ar-SA"/>
        </w:rPr>
        <w:lastRenderedPageBreak/>
        <w:t>(a)</w:t>
      </w:r>
      <w:r>
        <w:rPr>
          <w:rFonts w:ascii="Arial" w:eastAsiaTheme="minorHAnsi" w:hAnsi="Arial" w:cs="Arial"/>
          <w:bCs/>
          <w:lang w:val="en-GB" w:eastAsia="en-US" w:bidi="ar-SA"/>
        </w:rPr>
        <w:tab/>
      </w:r>
      <w:r w:rsidR="001F7C21" w:rsidRPr="00F42759">
        <w:rPr>
          <w:rFonts w:ascii="Arial" w:hAnsi="Arial" w:cs="Arial"/>
          <w:bCs/>
          <w:lang w:val="en-GB"/>
        </w:rPr>
        <w:t>The</w:t>
      </w:r>
      <w:r w:rsidR="00507DDB" w:rsidRPr="00F42759">
        <w:rPr>
          <w:rFonts w:ascii="Arial" w:hAnsi="Arial" w:cs="Arial"/>
          <w:bCs/>
          <w:lang w:val="en-GB"/>
        </w:rPr>
        <w:t>re is no entity known as the Marothodi Metsi and Sebata Group</w:t>
      </w:r>
      <w:r w:rsidR="002F2330" w:rsidRPr="00F42759">
        <w:rPr>
          <w:rFonts w:ascii="Arial" w:hAnsi="Arial" w:cs="Arial"/>
          <w:bCs/>
          <w:lang w:val="en-GB"/>
        </w:rPr>
        <w:t>;</w:t>
      </w:r>
    </w:p>
    <w:p w:rsidR="001F7C21" w:rsidRPr="00F42759" w:rsidRDefault="00F42759" w:rsidP="00F42759">
      <w:pPr>
        <w:tabs>
          <w:tab w:val="left" w:pos="709"/>
        </w:tabs>
        <w:spacing w:line="360" w:lineRule="auto"/>
        <w:jc w:val="both"/>
        <w:rPr>
          <w:rFonts w:ascii="Arial" w:hAnsi="Arial" w:cs="Arial"/>
          <w:bCs/>
          <w:lang w:val="en-GB"/>
        </w:rPr>
      </w:pPr>
      <w:r>
        <w:rPr>
          <w:rFonts w:ascii="Arial" w:eastAsiaTheme="minorHAnsi" w:hAnsi="Arial" w:cs="Arial"/>
          <w:bCs/>
          <w:lang w:val="en-GB" w:eastAsia="en-US" w:bidi="ar-SA"/>
        </w:rPr>
        <w:t>(b)</w:t>
      </w:r>
      <w:r>
        <w:rPr>
          <w:rFonts w:ascii="Arial" w:eastAsiaTheme="minorHAnsi" w:hAnsi="Arial" w:cs="Arial"/>
          <w:bCs/>
          <w:lang w:val="en-GB" w:eastAsia="en-US" w:bidi="ar-SA"/>
        </w:rPr>
        <w:tab/>
      </w:r>
      <w:r w:rsidR="001F7C21" w:rsidRPr="00F42759">
        <w:rPr>
          <w:rFonts w:ascii="Arial" w:hAnsi="Arial" w:cs="Arial"/>
          <w:bCs/>
          <w:lang w:val="en-GB"/>
        </w:rPr>
        <w:t xml:space="preserve">The Sebata Group did not </w:t>
      </w:r>
      <w:r w:rsidR="00D74E36" w:rsidRPr="00F42759">
        <w:rPr>
          <w:rFonts w:ascii="Arial" w:hAnsi="Arial" w:cs="Arial"/>
          <w:bCs/>
          <w:lang w:val="en-GB"/>
        </w:rPr>
        <w:t>submit</w:t>
      </w:r>
      <w:r w:rsidR="001F7C21" w:rsidRPr="00F42759">
        <w:rPr>
          <w:rFonts w:ascii="Arial" w:hAnsi="Arial" w:cs="Arial"/>
          <w:bCs/>
          <w:lang w:val="en-GB"/>
        </w:rPr>
        <w:t xml:space="preserve"> certain </w:t>
      </w:r>
      <w:r w:rsidR="005D0DDD" w:rsidRPr="00F42759">
        <w:rPr>
          <w:rFonts w:ascii="Arial" w:hAnsi="Arial" w:cs="Arial"/>
          <w:bCs/>
          <w:lang w:val="en-GB"/>
        </w:rPr>
        <w:t xml:space="preserve">compulsory </w:t>
      </w:r>
      <w:r w:rsidR="001F7C21" w:rsidRPr="00F42759">
        <w:rPr>
          <w:rFonts w:ascii="Arial" w:hAnsi="Arial" w:cs="Arial"/>
          <w:bCs/>
          <w:lang w:val="en-GB"/>
        </w:rPr>
        <w:t xml:space="preserve">documentation that it was required to put up; </w:t>
      </w:r>
    </w:p>
    <w:p w:rsidR="001F7C21" w:rsidRPr="00F42759" w:rsidRDefault="00F42759" w:rsidP="00F42759">
      <w:pPr>
        <w:tabs>
          <w:tab w:val="left" w:pos="709"/>
        </w:tabs>
        <w:spacing w:line="360" w:lineRule="auto"/>
        <w:jc w:val="both"/>
        <w:rPr>
          <w:rFonts w:ascii="Arial" w:hAnsi="Arial" w:cs="Arial"/>
          <w:bCs/>
          <w:lang w:val="en-GB"/>
        </w:rPr>
      </w:pPr>
      <w:r w:rsidRPr="00A22045">
        <w:rPr>
          <w:rFonts w:ascii="Arial" w:eastAsiaTheme="minorHAnsi" w:hAnsi="Arial" w:cs="Arial"/>
          <w:bCs/>
          <w:lang w:val="en-GB" w:eastAsia="en-US" w:bidi="ar-SA"/>
        </w:rPr>
        <w:t>(c)</w:t>
      </w:r>
      <w:r w:rsidRPr="00A22045">
        <w:rPr>
          <w:rFonts w:ascii="Arial" w:eastAsiaTheme="minorHAnsi" w:hAnsi="Arial" w:cs="Arial"/>
          <w:bCs/>
          <w:lang w:val="en-GB" w:eastAsia="en-US" w:bidi="ar-SA"/>
        </w:rPr>
        <w:tab/>
      </w:r>
      <w:r w:rsidR="00CE3621" w:rsidRPr="00F42759">
        <w:rPr>
          <w:rFonts w:ascii="Arial" w:hAnsi="Arial" w:cs="Arial"/>
          <w:bCs/>
          <w:lang w:val="en-GB"/>
        </w:rPr>
        <w:t>No</w:t>
      </w:r>
      <w:r w:rsidR="001F7C21" w:rsidRPr="00F42759">
        <w:rPr>
          <w:rFonts w:ascii="Arial" w:hAnsi="Arial" w:cs="Arial"/>
          <w:bCs/>
          <w:lang w:val="en-GB"/>
        </w:rPr>
        <w:t xml:space="preserve"> audited annual financial statements </w:t>
      </w:r>
      <w:r w:rsidR="00CE3621" w:rsidRPr="00F42759">
        <w:rPr>
          <w:rFonts w:ascii="Arial" w:hAnsi="Arial" w:cs="Arial"/>
          <w:bCs/>
          <w:lang w:val="en-GB"/>
        </w:rPr>
        <w:t xml:space="preserve">were put up </w:t>
      </w:r>
      <w:r w:rsidR="001F7C21" w:rsidRPr="00F42759">
        <w:rPr>
          <w:rFonts w:ascii="Arial" w:hAnsi="Arial" w:cs="Arial"/>
          <w:bCs/>
          <w:lang w:val="en-GB"/>
        </w:rPr>
        <w:t>as required by the bid conditions;</w:t>
      </w:r>
    </w:p>
    <w:p w:rsidR="001F7C21" w:rsidRPr="00F42759" w:rsidRDefault="00F42759" w:rsidP="00F42759">
      <w:pPr>
        <w:tabs>
          <w:tab w:val="left" w:pos="709"/>
        </w:tabs>
        <w:spacing w:line="360" w:lineRule="auto"/>
        <w:jc w:val="both"/>
        <w:rPr>
          <w:rFonts w:ascii="Arial" w:hAnsi="Arial" w:cs="Arial"/>
          <w:bCs/>
          <w:lang w:val="en-GB"/>
        </w:rPr>
      </w:pPr>
      <w:r>
        <w:rPr>
          <w:rFonts w:ascii="Arial" w:eastAsiaTheme="minorHAnsi" w:hAnsi="Arial" w:cs="Arial"/>
          <w:bCs/>
          <w:lang w:val="en-GB" w:eastAsia="en-US" w:bidi="ar-SA"/>
        </w:rPr>
        <w:t>(d)</w:t>
      </w:r>
      <w:r>
        <w:rPr>
          <w:rFonts w:ascii="Arial" w:eastAsiaTheme="minorHAnsi" w:hAnsi="Arial" w:cs="Arial"/>
          <w:bCs/>
          <w:lang w:val="en-GB" w:eastAsia="en-US" w:bidi="ar-SA"/>
        </w:rPr>
        <w:tab/>
      </w:r>
      <w:r w:rsidR="001F7C21" w:rsidRPr="00F42759">
        <w:rPr>
          <w:rFonts w:ascii="Arial" w:hAnsi="Arial" w:cs="Arial"/>
          <w:bCs/>
          <w:lang w:val="en-GB"/>
        </w:rPr>
        <w:t xml:space="preserve"> The winning bid was incorrectly assessed, and scored, by the first respondent’s bid evaluation committee; and</w:t>
      </w:r>
    </w:p>
    <w:p w:rsidR="001F7C21" w:rsidRPr="00F42759" w:rsidRDefault="00F42759" w:rsidP="00F42759">
      <w:pPr>
        <w:tabs>
          <w:tab w:val="left" w:pos="709"/>
        </w:tabs>
        <w:spacing w:line="360" w:lineRule="auto"/>
        <w:jc w:val="both"/>
        <w:rPr>
          <w:rFonts w:ascii="Arial" w:hAnsi="Arial" w:cs="Arial"/>
          <w:bCs/>
          <w:lang w:val="en-GB"/>
        </w:rPr>
      </w:pPr>
      <w:r>
        <w:rPr>
          <w:rFonts w:ascii="Arial" w:eastAsiaTheme="minorHAnsi" w:hAnsi="Arial" w:cs="Arial"/>
          <w:bCs/>
          <w:lang w:val="en-GB" w:eastAsia="en-US" w:bidi="ar-SA"/>
        </w:rPr>
        <w:t>(e)</w:t>
      </w:r>
      <w:r>
        <w:rPr>
          <w:rFonts w:ascii="Arial" w:eastAsiaTheme="minorHAnsi" w:hAnsi="Arial" w:cs="Arial"/>
          <w:bCs/>
          <w:lang w:val="en-GB" w:eastAsia="en-US" w:bidi="ar-SA"/>
        </w:rPr>
        <w:tab/>
      </w:r>
      <w:r w:rsidR="001F7C21" w:rsidRPr="00F42759">
        <w:rPr>
          <w:rFonts w:ascii="Arial" w:hAnsi="Arial" w:cs="Arial"/>
          <w:bCs/>
          <w:lang w:val="en-GB"/>
        </w:rPr>
        <w:t>The terms of reference of the bid were impermissibly departed from by the first respondent.</w:t>
      </w:r>
    </w:p>
    <w:p w:rsidR="00CE3621" w:rsidRDefault="00CE3621" w:rsidP="00CE3621">
      <w:pPr>
        <w:pStyle w:val="ListParagraph"/>
        <w:tabs>
          <w:tab w:val="left" w:pos="709"/>
        </w:tabs>
        <w:spacing w:line="360" w:lineRule="auto"/>
        <w:ind w:left="0"/>
        <w:jc w:val="both"/>
        <w:rPr>
          <w:rFonts w:ascii="Arial" w:hAnsi="Arial" w:cs="Arial"/>
          <w:bCs/>
          <w:lang w:val="en-GB"/>
        </w:rPr>
      </w:pPr>
    </w:p>
    <w:p w:rsidR="008815A0" w:rsidRPr="00F42759" w:rsidRDefault="00F42759" w:rsidP="00F42759">
      <w:pPr>
        <w:spacing w:line="360" w:lineRule="auto"/>
        <w:jc w:val="both"/>
        <w:rPr>
          <w:rFonts w:ascii="Arial" w:hAnsi="Arial" w:cs="Arial"/>
          <w:bCs/>
          <w:lang w:val="en-GB"/>
        </w:rPr>
      </w:pPr>
      <w:r>
        <w:rPr>
          <w:rFonts w:ascii="Arial" w:eastAsiaTheme="minorHAnsi" w:hAnsi="Arial" w:cs="Arial"/>
          <w:bCs/>
          <w:lang w:val="en-GB" w:eastAsia="en-US" w:bidi="ar-SA"/>
        </w:rPr>
        <w:t>[27]</w:t>
      </w:r>
      <w:r>
        <w:rPr>
          <w:rFonts w:ascii="Arial" w:eastAsiaTheme="minorHAnsi" w:hAnsi="Arial" w:cs="Arial"/>
          <w:bCs/>
          <w:lang w:val="en-GB" w:eastAsia="en-US" w:bidi="ar-SA"/>
        </w:rPr>
        <w:tab/>
      </w:r>
      <w:r w:rsidR="00261A93" w:rsidRPr="00F42759">
        <w:rPr>
          <w:rFonts w:ascii="Arial" w:hAnsi="Arial" w:cs="Arial"/>
          <w:bCs/>
          <w:lang w:val="en-GB"/>
        </w:rPr>
        <w:t>The Supreme Court of Appeal has indicated that in a re</w:t>
      </w:r>
      <w:r w:rsidR="0075059D" w:rsidRPr="00F42759">
        <w:rPr>
          <w:rFonts w:ascii="Arial" w:hAnsi="Arial" w:cs="Arial"/>
          <w:bCs/>
          <w:lang w:val="en-GB"/>
        </w:rPr>
        <w:t>v</w:t>
      </w:r>
      <w:r w:rsidR="00261A93" w:rsidRPr="00F42759">
        <w:rPr>
          <w:rFonts w:ascii="Arial" w:hAnsi="Arial" w:cs="Arial"/>
          <w:bCs/>
          <w:lang w:val="en-GB"/>
        </w:rPr>
        <w:t>iew application</w:t>
      </w:r>
      <w:r w:rsidR="0075059D" w:rsidRPr="00F42759">
        <w:rPr>
          <w:rFonts w:ascii="Arial" w:hAnsi="Arial" w:cs="Arial"/>
          <w:bCs/>
          <w:lang w:val="en-GB"/>
        </w:rPr>
        <w:t xml:space="preserve"> </w:t>
      </w:r>
      <w:r w:rsidR="00261A93" w:rsidRPr="00F42759">
        <w:rPr>
          <w:rFonts w:ascii="Arial" w:hAnsi="Arial" w:cs="Arial"/>
          <w:bCs/>
          <w:lang w:val="en-GB"/>
        </w:rPr>
        <w:t>arising out of the procurement process, a court hearing such a matter is required</w:t>
      </w:r>
      <w:r w:rsidR="008815A0" w:rsidRPr="00F42759">
        <w:rPr>
          <w:rFonts w:ascii="Arial" w:hAnsi="Arial" w:cs="Arial"/>
          <w:bCs/>
          <w:lang w:val="en-GB"/>
        </w:rPr>
        <w:t>:</w:t>
      </w:r>
    </w:p>
    <w:p w:rsidR="0075059D" w:rsidRDefault="004734F3" w:rsidP="008815A0">
      <w:pPr>
        <w:pStyle w:val="ListParagraph"/>
        <w:spacing w:line="360" w:lineRule="auto"/>
        <w:ind w:left="0"/>
        <w:jc w:val="both"/>
        <w:rPr>
          <w:rFonts w:ascii="Arial" w:hAnsi="Arial" w:cs="Arial"/>
          <w:bCs/>
          <w:lang w:val="en-GB"/>
        </w:rPr>
      </w:pPr>
      <w:r w:rsidRPr="008815A0">
        <w:rPr>
          <w:rFonts w:asciiTheme="minorBidi" w:hAnsiTheme="minorBidi"/>
          <w:bCs/>
          <w:sz w:val="22"/>
          <w:szCs w:val="22"/>
          <w:lang w:val="en-GB"/>
        </w:rPr>
        <w:t>‘to assess the evidence that impugns the procurement process to establish whether such evidence justifies the conclusion that any one of the grounds of review has been established’</w:t>
      </w:r>
      <w:r w:rsidR="0075059D" w:rsidRPr="008815A0">
        <w:rPr>
          <w:rFonts w:asciiTheme="minorBidi" w:hAnsiTheme="minorBidi"/>
          <w:bCs/>
          <w:sz w:val="22"/>
          <w:szCs w:val="22"/>
          <w:lang w:val="en-GB"/>
        </w:rPr>
        <w:t>.</w:t>
      </w:r>
      <w:r w:rsidR="0075059D" w:rsidRPr="008815A0">
        <w:rPr>
          <w:rStyle w:val="FootnoteReference"/>
          <w:rFonts w:asciiTheme="minorBidi" w:hAnsiTheme="minorBidi"/>
          <w:bCs/>
          <w:sz w:val="22"/>
          <w:szCs w:val="22"/>
          <w:lang w:val="en-GB"/>
        </w:rPr>
        <w:footnoteReference w:id="17"/>
      </w:r>
      <w:r w:rsidR="0075059D">
        <w:rPr>
          <w:rFonts w:ascii="Arial" w:hAnsi="Arial" w:cs="Arial"/>
          <w:bCs/>
          <w:lang w:val="en-GB"/>
        </w:rPr>
        <w:t xml:space="preserve"> And the Constitutional Court in </w:t>
      </w:r>
      <w:r w:rsidR="0075059D" w:rsidRPr="0075059D">
        <w:rPr>
          <w:rFonts w:ascii="Arial" w:hAnsi="Arial" w:cs="Arial"/>
          <w:bCs/>
          <w:i/>
          <w:iCs/>
          <w:lang w:val="en-GB"/>
        </w:rPr>
        <w:t>Allpay</w:t>
      </w:r>
      <w:r w:rsidR="0075059D">
        <w:rPr>
          <w:rStyle w:val="FootnoteReference"/>
          <w:rFonts w:ascii="Arial" w:hAnsi="Arial" w:cs="Arial"/>
          <w:bCs/>
          <w:lang w:val="en-GB"/>
        </w:rPr>
        <w:footnoteReference w:id="18"/>
      </w:r>
      <w:r w:rsidR="0075059D">
        <w:rPr>
          <w:rFonts w:ascii="Arial" w:hAnsi="Arial" w:cs="Arial"/>
          <w:bCs/>
          <w:lang w:val="en-GB"/>
        </w:rPr>
        <w:t xml:space="preserve"> stated that: </w:t>
      </w:r>
    </w:p>
    <w:p w:rsidR="0016542B" w:rsidRDefault="0016542B" w:rsidP="0016542B">
      <w:pPr>
        <w:pStyle w:val="ListParagraph"/>
        <w:tabs>
          <w:tab w:val="left" w:pos="709"/>
        </w:tabs>
        <w:spacing w:line="360" w:lineRule="auto"/>
        <w:ind w:left="0"/>
        <w:jc w:val="both"/>
        <w:rPr>
          <w:rFonts w:ascii="Arial" w:hAnsi="Arial" w:cs="Arial"/>
          <w:bCs/>
          <w:sz w:val="22"/>
          <w:szCs w:val="22"/>
          <w:lang w:val="en-GB"/>
        </w:rPr>
      </w:pPr>
      <w:r w:rsidRPr="0016542B">
        <w:rPr>
          <w:rFonts w:ascii="Arial" w:hAnsi="Arial" w:cs="Arial"/>
          <w:bCs/>
          <w:sz w:val="22"/>
          <w:szCs w:val="22"/>
          <w:lang w:val="en-GB"/>
        </w:rPr>
        <w:t>‘</w:t>
      </w:r>
      <w:r w:rsidR="00955C26" w:rsidRPr="00955C26">
        <w:rPr>
          <w:rFonts w:ascii="Arial" w:hAnsi="Arial" w:cs="Arial"/>
          <w:bCs/>
          <w:sz w:val="22"/>
          <w:szCs w:val="22"/>
        </w:rPr>
        <w:t>The materiality of irregularities is determined primarily by assessing whether the purposes the tender requirements serve have been substantively achieved</w:t>
      </w:r>
      <w:r w:rsidR="00955C26">
        <w:rPr>
          <w:rFonts w:ascii="Arial" w:hAnsi="Arial" w:cs="Arial"/>
          <w:bCs/>
          <w:sz w:val="22"/>
          <w:szCs w:val="22"/>
        </w:rPr>
        <w:t>.</w:t>
      </w:r>
      <w:r>
        <w:rPr>
          <w:rFonts w:ascii="Arial" w:hAnsi="Arial" w:cs="Arial"/>
          <w:bCs/>
          <w:sz w:val="22"/>
          <w:szCs w:val="22"/>
          <w:lang w:val="en-GB"/>
        </w:rPr>
        <w:t>’</w:t>
      </w:r>
    </w:p>
    <w:p w:rsidR="007B1691" w:rsidRDefault="007B1691" w:rsidP="0016542B">
      <w:pPr>
        <w:pStyle w:val="ListParagraph"/>
        <w:tabs>
          <w:tab w:val="left" w:pos="709"/>
        </w:tabs>
        <w:spacing w:line="360" w:lineRule="auto"/>
        <w:ind w:left="0"/>
        <w:jc w:val="both"/>
        <w:rPr>
          <w:rFonts w:ascii="Arial" w:hAnsi="Arial" w:cs="Arial"/>
          <w:bCs/>
          <w:lang w:val="en-GB"/>
        </w:rPr>
      </w:pPr>
      <w:r>
        <w:rPr>
          <w:rFonts w:ascii="Arial" w:hAnsi="Arial" w:cs="Arial"/>
          <w:bCs/>
          <w:lang w:val="en-GB"/>
        </w:rPr>
        <w:t xml:space="preserve">The Constitutional Court </w:t>
      </w:r>
      <w:r w:rsidR="00E81FD8">
        <w:rPr>
          <w:rFonts w:ascii="Arial" w:hAnsi="Arial" w:cs="Arial"/>
          <w:bCs/>
          <w:lang w:val="en-GB"/>
        </w:rPr>
        <w:t>insisted</w:t>
      </w:r>
      <w:r>
        <w:rPr>
          <w:rFonts w:ascii="Arial" w:hAnsi="Arial" w:cs="Arial"/>
          <w:bCs/>
          <w:lang w:val="en-GB"/>
        </w:rPr>
        <w:t xml:space="preserve"> </w:t>
      </w:r>
      <w:r w:rsidR="000B7B36">
        <w:rPr>
          <w:rFonts w:ascii="Arial" w:hAnsi="Arial" w:cs="Arial"/>
          <w:bCs/>
          <w:lang w:val="en-GB"/>
        </w:rPr>
        <w:t xml:space="preserve">in </w:t>
      </w:r>
      <w:r w:rsidR="000B7B36" w:rsidRPr="000B7B36">
        <w:rPr>
          <w:rFonts w:ascii="Arial" w:hAnsi="Arial" w:cs="Arial"/>
          <w:bCs/>
          <w:i/>
          <w:lang w:val="en-GB"/>
        </w:rPr>
        <w:t>Allpay</w:t>
      </w:r>
      <w:r w:rsidR="000B7B36">
        <w:rPr>
          <w:rFonts w:ascii="Arial" w:hAnsi="Arial" w:cs="Arial"/>
          <w:bCs/>
          <w:lang w:val="en-GB"/>
        </w:rPr>
        <w:t xml:space="preserve"> </w:t>
      </w:r>
      <w:r>
        <w:rPr>
          <w:rFonts w:ascii="Arial" w:hAnsi="Arial" w:cs="Arial"/>
          <w:bCs/>
          <w:lang w:val="en-GB"/>
        </w:rPr>
        <w:t>that process formalities must be complied wit</w:t>
      </w:r>
      <w:r w:rsidR="00A83952">
        <w:rPr>
          <w:rFonts w:ascii="Arial" w:hAnsi="Arial" w:cs="Arial"/>
          <w:bCs/>
          <w:lang w:val="en-GB"/>
        </w:rPr>
        <w:t>h</w:t>
      </w:r>
      <w:r>
        <w:rPr>
          <w:rFonts w:ascii="Arial" w:hAnsi="Arial" w:cs="Arial"/>
          <w:bCs/>
          <w:lang w:val="en-GB"/>
        </w:rPr>
        <w:t xml:space="preserve"> and indicated that such compliance serves a three-fold purpose:</w:t>
      </w:r>
    </w:p>
    <w:p w:rsidR="007B1691" w:rsidRPr="007B1691" w:rsidRDefault="002639EB" w:rsidP="002639EB">
      <w:pPr>
        <w:pStyle w:val="ListParagraph"/>
        <w:tabs>
          <w:tab w:val="left" w:pos="709"/>
        </w:tabs>
        <w:spacing w:line="360" w:lineRule="auto"/>
        <w:ind w:left="0"/>
        <w:jc w:val="both"/>
        <w:rPr>
          <w:rFonts w:ascii="Arial" w:hAnsi="Arial" w:cs="Arial"/>
          <w:bCs/>
          <w:sz w:val="22"/>
          <w:szCs w:val="22"/>
          <w:lang w:val="en-GB"/>
        </w:rPr>
      </w:pPr>
      <w:r w:rsidRPr="002639EB">
        <w:rPr>
          <w:rFonts w:ascii="Arial" w:hAnsi="Arial" w:cs="Arial"/>
          <w:bCs/>
          <w:iCs/>
          <w:sz w:val="22"/>
          <w:szCs w:val="22"/>
        </w:rPr>
        <w:t>‘</w:t>
      </w:r>
      <w:r w:rsidRPr="002639EB">
        <w:rPr>
          <w:rFonts w:ascii="Arial" w:hAnsi="Arial" w:cs="Arial"/>
          <w:bCs/>
          <w:i/>
          <w:iCs/>
          <w:sz w:val="22"/>
          <w:szCs w:val="22"/>
        </w:rPr>
        <w:t>(a)</w:t>
      </w:r>
      <w:r w:rsidRPr="002639EB">
        <w:rPr>
          <w:rFonts w:ascii="Arial" w:hAnsi="Arial" w:cs="Arial"/>
          <w:bCs/>
          <w:sz w:val="22"/>
          <w:szCs w:val="22"/>
        </w:rPr>
        <w:t> it ensures fairness to participants in the bid process; </w:t>
      </w:r>
      <w:r w:rsidRPr="002639EB">
        <w:rPr>
          <w:rFonts w:ascii="Arial" w:hAnsi="Arial" w:cs="Arial"/>
          <w:bCs/>
          <w:i/>
          <w:iCs/>
          <w:sz w:val="22"/>
          <w:szCs w:val="22"/>
        </w:rPr>
        <w:t>(b)</w:t>
      </w:r>
      <w:r w:rsidRPr="002639EB">
        <w:rPr>
          <w:rFonts w:ascii="Arial" w:hAnsi="Arial" w:cs="Arial"/>
          <w:bCs/>
          <w:sz w:val="22"/>
          <w:szCs w:val="22"/>
        </w:rPr>
        <w:t> it enhances the likelihood of efficiency and optimality in the outcome; and </w:t>
      </w:r>
      <w:r w:rsidRPr="002639EB">
        <w:rPr>
          <w:rFonts w:ascii="Arial" w:hAnsi="Arial" w:cs="Arial"/>
          <w:bCs/>
          <w:i/>
          <w:iCs/>
          <w:sz w:val="22"/>
          <w:szCs w:val="22"/>
        </w:rPr>
        <w:t>(c)</w:t>
      </w:r>
      <w:r w:rsidRPr="002639EB">
        <w:rPr>
          <w:rFonts w:ascii="Arial" w:hAnsi="Arial" w:cs="Arial"/>
          <w:bCs/>
          <w:sz w:val="22"/>
          <w:szCs w:val="22"/>
        </w:rPr>
        <w:t> it serves as a guardian against a process skewed by corrupt influences</w:t>
      </w:r>
      <w:r w:rsidR="009A2B63">
        <w:rPr>
          <w:rFonts w:ascii="Arial" w:hAnsi="Arial" w:cs="Arial"/>
          <w:bCs/>
          <w:sz w:val="22"/>
          <w:szCs w:val="22"/>
        </w:rPr>
        <w:t>.</w:t>
      </w:r>
      <w:r w:rsidR="007B1691" w:rsidRPr="007B1691">
        <w:rPr>
          <w:rFonts w:ascii="Arial" w:hAnsi="Arial" w:cs="Arial"/>
          <w:bCs/>
          <w:sz w:val="22"/>
          <w:szCs w:val="22"/>
          <w:lang w:val="en-GB"/>
        </w:rPr>
        <w:t>’</w:t>
      </w:r>
      <w:r w:rsidR="007B1691">
        <w:rPr>
          <w:rStyle w:val="FootnoteReference"/>
          <w:rFonts w:ascii="Arial" w:hAnsi="Arial" w:cs="Arial"/>
          <w:bCs/>
          <w:sz w:val="22"/>
          <w:szCs w:val="22"/>
          <w:lang w:val="en-GB"/>
        </w:rPr>
        <w:footnoteReference w:id="19"/>
      </w:r>
    </w:p>
    <w:p w:rsidR="0075059D" w:rsidRDefault="0075059D" w:rsidP="0075059D">
      <w:pPr>
        <w:pStyle w:val="ListParagraph"/>
        <w:tabs>
          <w:tab w:val="left" w:pos="709"/>
        </w:tabs>
        <w:spacing w:line="360" w:lineRule="auto"/>
        <w:ind w:left="0"/>
        <w:jc w:val="both"/>
        <w:rPr>
          <w:rFonts w:ascii="Arial" w:hAnsi="Arial" w:cs="Arial"/>
          <w:bCs/>
          <w:lang w:val="en-GB"/>
        </w:rPr>
      </w:pPr>
    </w:p>
    <w:p w:rsidR="00CE5E2B" w:rsidRPr="0050034E" w:rsidRDefault="00CE5E2B" w:rsidP="0075059D">
      <w:pPr>
        <w:pStyle w:val="ListParagraph"/>
        <w:tabs>
          <w:tab w:val="left" w:pos="709"/>
        </w:tabs>
        <w:spacing w:line="360" w:lineRule="auto"/>
        <w:ind w:left="0"/>
        <w:jc w:val="both"/>
        <w:rPr>
          <w:rFonts w:ascii="Arial" w:hAnsi="Arial" w:cs="Arial"/>
          <w:b/>
          <w:bCs/>
          <w:i/>
          <w:lang w:val="en-GB"/>
        </w:rPr>
      </w:pPr>
      <w:r>
        <w:rPr>
          <w:rFonts w:ascii="Arial" w:hAnsi="Arial" w:cs="Arial"/>
          <w:b/>
          <w:bCs/>
          <w:i/>
          <w:lang w:val="en-GB"/>
        </w:rPr>
        <w:t xml:space="preserve">First ground of review: </w:t>
      </w:r>
      <w:r w:rsidRPr="00CE5E2B">
        <w:rPr>
          <w:rFonts w:ascii="Arial" w:hAnsi="Arial" w:cs="Arial"/>
          <w:b/>
          <w:bCs/>
          <w:i/>
          <w:lang w:val="en-GB"/>
        </w:rPr>
        <w:t>there is no entity known as the Marothodi Metsi and Sebata Group</w:t>
      </w:r>
    </w:p>
    <w:p w:rsidR="000B7B36" w:rsidRPr="00F42759" w:rsidRDefault="00F42759" w:rsidP="00F42759">
      <w:pPr>
        <w:tabs>
          <w:tab w:val="left" w:pos="709"/>
        </w:tabs>
        <w:spacing w:line="360" w:lineRule="auto"/>
        <w:jc w:val="both"/>
        <w:rPr>
          <w:rFonts w:ascii="Arial" w:hAnsi="Arial" w:cs="Arial"/>
          <w:bCs/>
          <w:lang w:val="en-GB"/>
        </w:rPr>
      </w:pPr>
      <w:r>
        <w:rPr>
          <w:rFonts w:ascii="Arial" w:eastAsiaTheme="minorHAnsi" w:hAnsi="Arial" w:cs="Arial"/>
          <w:bCs/>
          <w:lang w:val="en-GB" w:eastAsia="en-US" w:bidi="ar-SA"/>
        </w:rPr>
        <w:t>[28]</w:t>
      </w:r>
      <w:r>
        <w:rPr>
          <w:rFonts w:ascii="Arial" w:eastAsiaTheme="minorHAnsi" w:hAnsi="Arial" w:cs="Arial"/>
          <w:bCs/>
          <w:lang w:val="en-GB" w:eastAsia="en-US" w:bidi="ar-SA"/>
        </w:rPr>
        <w:tab/>
      </w:r>
      <w:r w:rsidR="00A15CB8" w:rsidRPr="00F42759">
        <w:rPr>
          <w:rFonts w:ascii="Arial" w:hAnsi="Arial" w:cs="Arial"/>
          <w:bCs/>
          <w:lang w:val="en-GB"/>
        </w:rPr>
        <w:t xml:space="preserve">I turn now to consider the first ground </w:t>
      </w:r>
      <w:r w:rsidR="00BE40A2" w:rsidRPr="00F42759">
        <w:rPr>
          <w:rFonts w:ascii="Arial" w:hAnsi="Arial" w:cs="Arial"/>
          <w:bCs/>
          <w:lang w:val="en-GB"/>
        </w:rPr>
        <w:t>of review</w:t>
      </w:r>
      <w:r w:rsidR="00A15CB8" w:rsidRPr="00F42759">
        <w:rPr>
          <w:rFonts w:ascii="Arial" w:hAnsi="Arial" w:cs="Arial"/>
          <w:bCs/>
          <w:lang w:val="en-GB"/>
        </w:rPr>
        <w:t xml:space="preserve">. </w:t>
      </w:r>
      <w:r w:rsidR="00977AB5" w:rsidRPr="00F42759">
        <w:rPr>
          <w:rFonts w:ascii="Arial" w:hAnsi="Arial" w:cs="Arial"/>
          <w:bCs/>
          <w:lang w:val="en-GB"/>
        </w:rPr>
        <w:t xml:space="preserve">In its founding affidavit in the urgent application, the applicant put up what it stated </w:t>
      </w:r>
      <w:r w:rsidR="00BE40A2" w:rsidRPr="00F42759">
        <w:rPr>
          <w:rFonts w:ascii="Arial" w:hAnsi="Arial" w:cs="Arial"/>
          <w:bCs/>
          <w:lang w:val="en-GB"/>
        </w:rPr>
        <w:t>is</w:t>
      </w:r>
      <w:r w:rsidR="00977AB5" w:rsidRPr="00F42759">
        <w:rPr>
          <w:rFonts w:ascii="Arial" w:hAnsi="Arial" w:cs="Arial"/>
          <w:bCs/>
          <w:lang w:val="en-GB"/>
        </w:rPr>
        <w:t xml:space="preserve"> the bid document that it submitted to the first respondent</w:t>
      </w:r>
      <w:r w:rsidR="00BD1C77" w:rsidRPr="00F42759">
        <w:rPr>
          <w:rFonts w:ascii="Arial" w:hAnsi="Arial" w:cs="Arial"/>
          <w:bCs/>
          <w:lang w:val="en-GB"/>
        </w:rPr>
        <w:t xml:space="preserve"> </w:t>
      </w:r>
      <w:r w:rsidR="009B6A51" w:rsidRPr="00F42759">
        <w:rPr>
          <w:rFonts w:ascii="Arial" w:hAnsi="Arial" w:cs="Arial"/>
          <w:bCs/>
          <w:lang w:val="en-GB"/>
        </w:rPr>
        <w:t xml:space="preserve">in response to the advertisement </w:t>
      </w:r>
      <w:r w:rsidR="00BD1C77" w:rsidRPr="00F42759">
        <w:rPr>
          <w:rFonts w:ascii="Arial" w:hAnsi="Arial" w:cs="Arial"/>
          <w:bCs/>
          <w:lang w:val="en-GB"/>
        </w:rPr>
        <w:t xml:space="preserve">(the </w:t>
      </w:r>
      <w:r w:rsidR="00392B11" w:rsidRPr="00F42759">
        <w:rPr>
          <w:rFonts w:ascii="Arial" w:hAnsi="Arial" w:cs="Arial"/>
          <w:bCs/>
          <w:lang w:val="en-GB"/>
        </w:rPr>
        <w:t xml:space="preserve">first </w:t>
      </w:r>
      <w:r w:rsidR="00BD1C77" w:rsidRPr="00F42759">
        <w:rPr>
          <w:rFonts w:ascii="Arial" w:hAnsi="Arial" w:cs="Arial"/>
          <w:bCs/>
          <w:lang w:val="en-GB"/>
        </w:rPr>
        <w:t>bid document)</w:t>
      </w:r>
      <w:r w:rsidR="00977AB5" w:rsidRPr="00F42759">
        <w:rPr>
          <w:rFonts w:ascii="Arial" w:hAnsi="Arial" w:cs="Arial"/>
          <w:bCs/>
          <w:lang w:val="en-GB"/>
        </w:rPr>
        <w:t xml:space="preserve">. </w:t>
      </w:r>
      <w:r w:rsidR="005D0DDD" w:rsidRPr="00F42759">
        <w:rPr>
          <w:rFonts w:ascii="Arial" w:hAnsi="Arial" w:cs="Arial"/>
          <w:bCs/>
          <w:lang w:val="en-GB"/>
        </w:rPr>
        <w:t xml:space="preserve">It claims that </w:t>
      </w:r>
      <w:r w:rsidR="000B7B36" w:rsidRPr="00F42759">
        <w:rPr>
          <w:rFonts w:ascii="Arial" w:hAnsi="Arial" w:cs="Arial"/>
          <w:bCs/>
          <w:lang w:val="en-GB"/>
        </w:rPr>
        <w:t>the first bid document</w:t>
      </w:r>
      <w:r w:rsidR="0082539E" w:rsidRPr="00F42759">
        <w:rPr>
          <w:rFonts w:ascii="Arial" w:hAnsi="Arial" w:cs="Arial"/>
          <w:bCs/>
          <w:lang w:val="en-GB"/>
        </w:rPr>
        <w:t xml:space="preserve"> </w:t>
      </w:r>
      <w:r w:rsidR="005D0DDD" w:rsidRPr="00F42759">
        <w:rPr>
          <w:rFonts w:ascii="Arial" w:hAnsi="Arial" w:cs="Arial"/>
          <w:bCs/>
          <w:lang w:val="en-GB"/>
        </w:rPr>
        <w:t xml:space="preserve">is that document that led to it being awarded the tender. </w:t>
      </w:r>
    </w:p>
    <w:p w:rsidR="001F7C21" w:rsidRPr="00F42759" w:rsidRDefault="00F42759" w:rsidP="00F42759">
      <w:pPr>
        <w:tabs>
          <w:tab w:val="left" w:pos="709"/>
        </w:tabs>
        <w:spacing w:line="360" w:lineRule="auto"/>
        <w:jc w:val="both"/>
        <w:rPr>
          <w:rFonts w:ascii="Arial" w:hAnsi="Arial" w:cs="Arial"/>
          <w:bCs/>
          <w:lang w:val="en-GB"/>
        </w:rPr>
      </w:pPr>
      <w:r w:rsidRPr="00AC0E77">
        <w:rPr>
          <w:rFonts w:ascii="Arial" w:eastAsiaTheme="minorHAnsi" w:hAnsi="Arial" w:cs="Arial"/>
          <w:bCs/>
          <w:lang w:val="en-GB" w:eastAsia="en-US" w:bidi="ar-SA"/>
        </w:rPr>
        <w:lastRenderedPageBreak/>
        <w:t>[29]</w:t>
      </w:r>
      <w:r w:rsidRPr="00AC0E77">
        <w:rPr>
          <w:rFonts w:ascii="Arial" w:eastAsiaTheme="minorHAnsi" w:hAnsi="Arial" w:cs="Arial"/>
          <w:bCs/>
          <w:lang w:val="en-GB" w:eastAsia="en-US" w:bidi="ar-SA"/>
        </w:rPr>
        <w:tab/>
      </w:r>
      <w:r w:rsidR="001F7C21" w:rsidRPr="00F42759">
        <w:rPr>
          <w:rFonts w:ascii="Arial" w:hAnsi="Arial" w:cs="Arial"/>
          <w:bCs/>
          <w:lang w:val="en-GB"/>
        </w:rPr>
        <w:t xml:space="preserve">Parties intending to submit bids were required to purchase </w:t>
      </w:r>
      <w:r w:rsidR="005D0DDD" w:rsidRPr="00F42759">
        <w:rPr>
          <w:rFonts w:ascii="Arial" w:hAnsi="Arial" w:cs="Arial"/>
          <w:bCs/>
          <w:lang w:val="en-GB"/>
        </w:rPr>
        <w:t>a</w:t>
      </w:r>
      <w:r w:rsidR="001F7C21" w:rsidRPr="00F42759">
        <w:rPr>
          <w:rFonts w:ascii="Arial" w:hAnsi="Arial" w:cs="Arial"/>
          <w:bCs/>
          <w:lang w:val="en-GB"/>
        </w:rPr>
        <w:t xml:space="preserve"> bid document from the first respondent. The bid document is a lengthy (75 pages), pre-printed document</w:t>
      </w:r>
      <w:r w:rsidR="0082539E" w:rsidRPr="00F42759">
        <w:rPr>
          <w:rFonts w:ascii="Arial" w:hAnsi="Arial" w:cs="Arial"/>
          <w:bCs/>
          <w:lang w:val="en-GB"/>
        </w:rPr>
        <w:t>,</w:t>
      </w:r>
      <w:r w:rsidR="001F7C21" w:rsidRPr="00F42759">
        <w:rPr>
          <w:rFonts w:ascii="Arial" w:hAnsi="Arial" w:cs="Arial"/>
          <w:bCs/>
          <w:lang w:val="en-GB"/>
        </w:rPr>
        <w:t xml:space="preserve"> with spaces for information to be inserted</w:t>
      </w:r>
      <w:r w:rsidR="002F2330" w:rsidRPr="00F42759">
        <w:rPr>
          <w:rFonts w:ascii="Arial" w:hAnsi="Arial" w:cs="Arial"/>
          <w:bCs/>
          <w:lang w:val="en-GB"/>
        </w:rPr>
        <w:t xml:space="preserve"> and to which annexures could be attached.</w:t>
      </w:r>
      <w:r w:rsidR="001F7C21" w:rsidRPr="00F42759">
        <w:rPr>
          <w:rFonts w:ascii="Arial" w:hAnsi="Arial" w:cs="Arial"/>
          <w:bCs/>
          <w:lang w:val="en-GB"/>
        </w:rPr>
        <w:t xml:space="preserve"> </w:t>
      </w:r>
      <w:r w:rsidR="005D0DDD" w:rsidRPr="00F42759">
        <w:rPr>
          <w:rFonts w:ascii="Arial" w:hAnsi="Arial" w:cs="Arial"/>
          <w:bCs/>
          <w:lang w:val="en-GB"/>
        </w:rPr>
        <w:t>The necessary information has been inserted in the first bid document in manuscript.</w:t>
      </w:r>
      <w:r w:rsidR="00AC0E77" w:rsidRPr="00F42759">
        <w:rPr>
          <w:rFonts w:ascii="Arial" w:hAnsi="Arial" w:cs="Arial"/>
          <w:bCs/>
          <w:lang w:val="en-GB"/>
        </w:rPr>
        <w:t xml:space="preserve"> </w:t>
      </w:r>
      <w:r w:rsidR="009B6A51" w:rsidRPr="00F42759">
        <w:rPr>
          <w:rFonts w:ascii="Arial" w:hAnsi="Arial" w:cs="Arial"/>
          <w:bCs/>
          <w:lang w:val="en-GB"/>
        </w:rPr>
        <w:t>Its</w:t>
      </w:r>
      <w:r w:rsidR="001F7C21" w:rsidRPr="00F42759">
        <w:rPr>
          <w:rFonts w:ascii="Arial" w:hAnsi="Arial" w:cs="Arial"/>
          <w:bCs/>
          <w:lang w:val="en-GB"/>
        </w:rPr>
        <w:t xml:space="preserve"> first page </w:t>
      </w:r>
      <w:r w:rsidR="001832D7" w:rsidRPr="00F42759">
        <w:rPr>
          <w:rFonts w:ascii="Arial" w:hAnsi="Arial" w:cs="Arial"/>
          <w:bCs/>
          <w:lang w:val="en-GB"/>
        </w:rPr>
        <w:t xml:space="preserve">states </w:t>
      </w:r>
      <w:r w:rsidR="001F7C21" w:rsidRPr="00F42759">
        <w:rPr>
          <w:rFonts w:ascii="Arial" w:hAnsi="Arial" w:cs="Arial"/>
          <w:bCs/>
          <w:lang w:val="en-GB"/>
        </w:rPr>
        <w:t>that the bidder is Marothodi Metsi and that its contact person is a Mr Paul Grobler (Mr Grobler).</w:t>
      </w:r>
    </w:p>
    <w:p w:rsidR="001F7C21" w:rsidRPr="001F7C21" w:rsidRDefault="001F7C21" w:rsidP="00D74E36">
      <w:pPr>
        <w:pStyle w:val="ListParagraph"/>
        <w:spacing w:line="360" w:lineRule="auto"/>
        <w:rPr>
          <w:rFonts w:ascii="Arial" w:hAnsi="Arial" w:cs="Arial"/>
          <w:bCs/>
          <w:lang w:val="en-GB"/>
        </w:rPr>
      </w:pPr>
    </w:p>
    <w:p w:rsidR="00D74E36" w:rsidRPr="00F42759" w:rsidRDefault="00F42759" w:rsidP="00F42759">
      <w:pPr>
        <w:tabs>
          <w:tab w:val="left" w:pos="709"/>
        </w:tabs>
        <w:spacing w:line="360" w:lineRule="auto"/>
        <w:jc w:val="both"/>
        <w:rPr>
          <w:rFonts w:ascii="Arial" w:hAnsi="Arial" w:cs="Arial"/>
          <w:bCs/>
          <w:lang w:val="en-GB"/>
        </w:rPr>
      </w:pPr>
      <w:r>
        <w:rPr>
          <w:rFonts w:ascii="Arial" w:eastAsiaTheme="minorHAnsi" w:hAnsi="Arial" w:cs="Arial"/>
          <w:bCs/>
          <w:lang w:val="en-GB" w:eastAsia="en-US" w:bidi="ar-SA"/>
        </w:rPr>
        <w:t>[30]</w:t>
      </w:r>
      <w:r>
        <w:rPr>
          <w:rFonts w:ascii="Arial" w:eastAsiaTheme="minorHAnsi" w:hAnsi="Arial" w:cs="Arial"/>
          <w:bCs/>
          <w:lang w:val="en-GB" w:eastAsia="en-US" w:bidi="ar-SA"/>
        </w:rPr>
        <w:tab/>
      </w:r>
      <w:r w:rsidR="001F7C21" w:rsidRPr="00F42759">
        <w:rPr>
          <w:rFonts w:ascii="Arial" w:hAnsi="Arial" w:cs="Arial"/>
          <w:bCs/>
          <w:lang w:val="en-GB"/>
        </w:rPr>
        <w:t xml:space="preserve"> T</w:t>
      </w:r>
      <w:r w:rsidR="005E28D9" w:rsidRPr="00F42759">
        <w:rPr>
          <w:rFonts w:ascii="Arial" w:hAnsi="Arial" w:cs="Arial"/>
          <w:bCs/>
          <w:lang w:val="en-GB"/>
        </w:rPr>
        <w:t>h</w:t>
      </w:r>
      <w:r w:rsidR="00CC495E" w:rsidRPr="00F42759">
        <w:rPr>
          <w:rFonts w:ascii="Arial" w:hAnsi="Arial" w:cs="Arial"/>
          <w:bCs/>
          <w:lang w:val="en-GB"/>
        </w:rPr>
        <w:t xml:space="preserve">e </w:t>
      </w:r>
      <w:r w:rsidR="00D74E36" w:rsidRPr="00F42759">
        <w:rPr>
          <w:rFonts w:ascii="Arial" w:hAnsi="Arial" w:cs="Arial"/>
          <w:bCs/>
          <w:lang w:val="en-GB"/>
        </w:rPr>
        <w:t xml:space="preserve">submission of the applicant that the first bid document is the document that it submitted to the first respondent </w:t>
      </w:r>
      <w:r w:rsidR="00CE3621" w:rsidRPr="00F42759">
        <w:rPr>
          <w:rFonts w:ascii="Arial" w:hAnsi="Arial" w:cs="Arial"/>
          <w:bCs/>
          <w:lang w:val="en-GB"/>
        </w:rPr>
        <w:t>is vigorously d</w:t>
      </w:r>
      <w:r w:rsidR="002F2330" w:rsidRPr="00F42759">
        <w:rPr>
          <w:rFonts w:ascii="Arial" w:hAnsi="Arial" w:cs="Arial"/>
          <w:bCs/>
          <w:lang w:val="en-GB"/>
        </w:rPr>
        <w:t>isputed</w:t>
      </w:r>
      <w:r w:rsidR="00CE3621" w:rsidRPr="00F42759">
        <w:rPr>
          <w:rFonts w:ascii="Arial" w:hAnsi="Arial" w:cs="Arial"/>
          <w:bCs/>
          <w:lang w:val="en-GB"/>
        </w:rPr>
        <w:t xml:space="preserve"> by the </w:t>
      </w:r>
      <w:r w:rsidR="00D74E36" w:rsidRPr="00F42759">
        <w:rPr>
          <w:rFonts w:ascii="Arial" w:hAnsi="Arial" w:cs="Arial"/>
          <w:bCs/>
          <w:lang w:val="en-GB"/>
        </w:rPr>
        <w:t>latter</w:t>
      </w:r>
      <w:r w:rsidR="00CE3621" w:rsidRPr="00F42759">
        <w:rPr>
          <w:rFonts w:ascii="Arial" w:hAnsi="Arial" w:cs="Arial"/>
          <w:bCs/>
          <w:lang w:val="en-GB"/>
        </w:rPr>
        <w:t>. It denies in no uncertain terms that the bidder was Marothodi Metsi</w:t>
      </w:r>
      <w:r w:rsidR="004B6073" w:rsidRPr="00F42759">
        <w:rPr>
          <w:rFonts w:ascii="Arial" w:hAnsi="Arial" w:cs="Arial"/>
          <w:bCs/>
          <w:lang w:val="en-GB"/>
        </w:rPr>
        <w:t>,</w:t>
      </w:r>
      <w:r w:rsidR="005A26DB" w:rsidRPr="00F42759">
        <w:rPr>
          <w:rFonts w:ascii="Arial" w:hAnsi="Arial" w:cs="Arial"/>
          <w:bCs/>
          <w:lang w:val="en-GB"/>
        </w:rPr>
        <w:t xml:space="preserve"> and i</w:t>
      </w:r>
      <w:r w:rsidR="00AC0E77" w:rsidRPr="00F42759">
        <w:rPr>
          <w:rFonts w:ascii="Arial" w:hAnsi="Arial" w:cs="Arial"/>
          <w:bCs/>
          <w:lang w:val="en-GB"/>
        </w:rPr>
        <w:t xml:space="preserve">t denies receiving the first bid document. </w:t>
      </w:r>
      <w:r w:rsidR="00CE3621" w:rsidRPr="00F42759">
        <w:rPr>
          <w:rFonts w:ascii="Arial" w:hAnsi="Arial" w:cs="Arial"/>
          <w:bCs/>
          <w:lang w:val="en-GB"/>
        </w:rPr>
        <w:t>Instead,</w:t>
      </w:r>
      <w:r w:rsidR="00AC0E77" w:rsidRPr="00F42759">
        <w:rPr>
          <w:rFonts w:ascii="Arial" w:hAnsi="Arial" w:cs="Arial"/>
          <w:bCs/>
          <w:lang w:val="en-GB"/>
        </w:rPr>
        <w:t xml:space="preserve"> it states that it received a different bid document (the second bid document)</w:t>
      </w:r>
      <w:r w:rsidR="00D74E36" w:rsidRPr="00F42759">
        <w:rPr>
          <w:rFonts w:ascii="Arial" w:hAnsi="Arial" w:cs="Arial"/>
          <w:bCs/>
          <w:lang w:val="en-GB"/>
        </w:rPr>
        <w:t xml:space="preserve"> from an entity that described itself </w:t>
      </w:r>
      <w:r w:rsidR="00B779B5" w:rsidRPr="00F42759">
        <w:rPr>
          <w:rFonts w:ascii="Arial" w:hAnsi="Arial" w:cs="Arial"/>
          <w:bCs/>
          <w:lang w:val="en-GB"/>
        </w:rPr>
        <w:t xml:space="preserve">not as Marothodi Metsi (Pty) Ltd but </w:t>
      </w:r>
      <w:r w:rsidR="00D74E36" w:rsidRPr="00F42759">
        <w:rPr>
          <w:rFonts w:ascii="Arial" w:hAnsi="Arial" w:cs="Arial"/>
          <w:bCs/>
          <w:lang w:val="en-GB"/>
        </w:rPr>
        <w:t>as the Marothodi Metsi and Sebata Group</w:t>
      </w:r>
      <w:r w:rsidR="00AC0E77" w:rsidRPr="00F42759">
        <w:rPr>
          <w:rFonts w:ascii="Arial" w:hAnsi="Arial" w:cs="Arial"/>
          <w:bCs/>
          <w:lang w:val="en-GB"/>
        </w:rPr>
        <w:t xml:space="preserve">. </w:t>
      </w:r>
    </w:p>
    <w:p w:rsidR="00D74E36" w:rsidRPr="00D74E36" w:rsidRDefault="00D74E36" w:rsidP="00D74E36">
      <w:pPr>
        <w:pStyle w:val="ListParagraph"/>
        <w:spacing w:line="360" w:lineRule="auto"/>
        <w:rPr>
          <w:rFonts w:ascii="Arial" w:hAnsi="Arial" w:cs="Arial"/>
          <w:bCs/>
          <w:lang w:val="en-GB"/>
        </w:rPr>
      </w:pPr>
    </w:p>
    <w:p w:rsidR="005E28D9" w:rsidRPr="00F42759" w:rsidRDefault="00F42759" w:rsidP="00F42759">
      <w:pPr>
        <w:tabs>
          <w:tab w:val="left" w:pos="709"/>
        </w:tabs>
        <w:spacing w:line="360" w:lineRule="auto"/>
        <w:jc w:val="both"/>
        <w:rPr>
          <w:rFonts w:ascii="Arial" w:hAnsi="Arial" w:cs="Arial"/>
          <w:bCs/>
          <w:lang w:val="en-GB"/>
        </w:rPr>
      </w:pPr>
      <w:r>
        <w:rPr>
          <w:rFonts w:ascii="Arial" w:eastAsiaTheme="minorHAnsi" w:hAnsi="Arial" w:cs="Arial"/>
          <w:bCs/>
          <w:lang w:val="en-GB" w:eastAsia="en-US" w:bidi="ar-SA"/>
        </w:rPr>
        <w:t>[31]</w:t>
      </w:r>
      <w:r>
        <w:rPr>
          <w:rFonts w:ascii="Arial" w:eastAsiaTheme="minorHAnsi" w:hAnsi="Arial" w:cs="Arial"/>
          <w:bCs/>
          <w:lang w:val="en-GB" w:eastAsia="en-US" w:bidi="ar-SA"/>
        </w:rPr>
        <w:tab/>
      </w:r>
      <w:r w:rsidR="00AC0E77" w:rsidRPr="00F42759">
        <w:rPr>
          <w:rFonts w:ascii="Arial" w:hAnsi="Arial" w:cs="Arial"/>
          <w:bCs/>
          <w:lang w:val="en-GB"/>
        </w:rPr>
        <w:t>In bringing its review application</w:t>
      </w:r>
      <w:r w:rsidR="008A1A21" w:rsidRPr="00F42759">
        <w:rPr>
          <w:rFonts w:ascii="Arial" w:hAnsi="Arial" w:cs="Arial"/>
          <w:bCs/>
          <w:lang w:val="en-GB"/>
        </w:rPr>
        <w:t xml:space="preserve">, the first respondent complied with the provisions of Uniform rule 53 and put up the </w:t>
      </w:r>
      <w:r w:rsidR="002254E8" w:rsidRPr="00F42759">
        <w:rPr>
          <w:rFonts w:ascii="Arial" w:hAnsi="Arial" w:cs="Arial"/>
          <w:bCs/>
          <w:lang w:val="en-GB"/>
        </w:rPr>
        <w:t>review record</w:t>
      </w:r>
      <w:r w:rsidR="008A1A21" w:rsidRPr="00F42759">
        <w:rPr>
          <w:rFonts w:ascii="Arial" w:hAnsi="Arial" w:cs="Arial"/>
          <w:bCs/>
          <w:lang w:val="en-GB"/>
        </w:rPr>
        <w:t xml:space="preserve"> of the documents that it considered when evaluating and awarding the tender (the </w:t>
      </w:r>
      <w:r w:rsidR="002254E8" w:rsidRPr="00F42759">
        <w:rPr>
          <w:rFonts w:ascii="Arial" w:hAnsi="Arial" w:cs="Arial"/>
          <w:bCs/>
          <w:lang w:val="en-GB"/>
        </w:rPr>
        <w:t>review record</w:t>
      </w:r>
      <w:r w:rsidR="008A1A21" w:rsidRPr="00F42759">
        <w:rPr>
          <w:rFonts w:ascii="Arial" w:hAnsi="Arial" w:cs="Arial"/>
          <w:bCs/>
          <w:lang w:val="en-GB"/>
        </w:rPr>
        <w:t>).</w:t>
      </w:r>
      <w:r w:rsidR="00BD1C77" w:rsidRPr="00F42759">
        <w:rPr>
          <w:rFonts w:ascii="Arial" w:hAnsi="Arial" w:cs="Arial"/>
          <w:bCs/>
          <w:lang w:val="en-GB"/>
        </w:rPr>
        <w:t xml:space="preserve"> </w:t>
      </w:r>
      <w:r w:rsidR="00C811A0" w:rsidRPr="00F42759">
        <w:rPr>
          <w:rFonts w:ascii="Arial" w:hAnsi="Arial" w:cs="Arial"/>
          <w:bCs/>
          <w:lang w:val="en-GB"/>
        </w:rPr>
        <w:t xml:space="preserve">The first bid document is before the court as an attachment to the founding affidavit in the urgent application. </w:t>
      </w:r>
      <w:r w:rsidR="00BD1C77" w:rsidRPr="00F42759">
        <w:rPr>
          <w:rFonts w:ascii="Arial" w:hAnsi="Arial" w:cs="Arial"/>
          <w:bCs/>
          <w:lang w:val="en-GB"/>
        </w:rPr>
        <w:t>Th</w:t>
      </w:r>
      <w:r w:rsidR="00392B11" w:rsidRPr="00F42759">
        <w:rPr>
          <w:rFonts w:ascii="Arial" w:hAnsi="Arial" w:cs="Arial"/>
          <w:bCs/>
          <w:lang w:val="en-GB"/>
        </w:rPr>
        <w:t>e second bid document</w:t>
      </w:r>
      <w:r w:rsidR="00BD1C77" w:rsidRPr="00F42759">
        <w:rPr>
          <w:rFonts w:ascii="Arial" w:hAnsi="Arial" w:cs="Arial"/>
          <w:bCs/>
          <w:lang w:val="en-GB"/>
        </w:rPr>
        <w:t xml:space="preserve"> </w:t>
      </w:r>
      <w:r w:rsidR="00611812" w:rsidRPr="00F42759">
        <w:rPr>
          <w:rFonts w:ascii="Arial" w:hAnsi="Arial" w:cs="Arial"/>
          <w:bCs/>
          <w:lang w:val="en-GB"/>
        </w:rPr>
        <w:t>forms part of</w:t>
      </w:r>
      <w:r w:rsidR="008A1A21" w:rsidRPr="00F42759">
        <w:rPr>
          <w:rFonts w:ascii="Arial" w:hAnsi="Arial" w:cs="Arial"/>
          <w:bCs/>
          <w:lang w:val="en-GB"/>
        </w:rPr>
        <w:t xml:space="preserve"> the </w:t>
      </w:r>
      <w:r w:rsidR="002254E8" w:rsidRPr="00F42759">
        <w:rPr>
          <w:rFonts w:ascii="Arial" w:hAnsi="Arial" w:cs="Arial"/>
          <w:bCs/>
          <w:lang w:val="en-GB"/>
        </w:rPr>
        <w:t>review record</w:t>
      </w:r>
      <w:r w:rsidR="008A1A21" w:rsidRPr="00F42759">
        <w:rPr>
          <w:rFonts w:ascii="Arial" w:hAnsi="Arial" w:cs="Arial"/>
          <w:bCs/>
          <w:lang w:val="en-GB"/>
        </w:rPr>
        <w:t>. The first bid document is not</w:t>
      </w:r>
      <w:r w:rsidR="002F2330" w:rsidRPr="00F42759">
        <w:rPr>
          <w:rFonts w:ascii="Arial" w:hAnsi="Arial" w:cs="Arial"/>
          <w:bCs/>
          <w:lang w:val="en-GB"/>
        </w:rPr>
        <w:t xml:space="preserve"> </w:t>
      </w:r>
      <w:r w:rsidR="00CC495E" w:rsidRPr="00F42759">
        <w:rPr>
          <w:rFonts w:ascii="Arial" w:hAnsi="Arial" w:cs="Arial"/>
          <w:bCs/>
          <w:lang w:val="en-GB"/>
        </w:rPr>
        <w:t>to be found in</w:t>
      </w:r>
      <w:r w:rsidR="002F2330" w:rsidRPr="00F42759">
        <w:rPr>
          <w:rFonts w:ascii="Arial" w:hAnsi="Arial" w:cs="Arial"/>
          <w:bCs/>
          <w:lang w:val="en-GB"/>
        </w:rPr>
        <w:t xml:space="preserve"> the review record.</w:t>
      </w:r>
      <w:r w:rsidR="00BD1C77" w:rsidRPr="00F42759">
        <w:rPr>
          <w:rFonts w:ascii="Arial" w:hAnsi="Arial" w:cs="Arial"/>
          <w:bCs/>
          <w:lang w:val="en-GB"/>
        </w:rPr>
        <w:t xml:space="preserve"> </w:t>
      </w:r>
      <w:r w:rsidR="00392B11" w:rsidRPr="00F42759">
        <w:rPr>
          <w:rFonts w:ascii="Arial" w:hAnsi="Arial" w:cs="Arial"/>
          <w:bCs/>
          <w:lang w:val="en-GB"/>
        </w:rPr>
        <w:t>As will become apparent, a comparison of the two bid documents reveals them to be significantly different</w:t>
      </w:r>
      <w:r w:rsidR="008A1A21" w:rsidRPr="00F42759">
        <w:rPr>
          <w:rFonts w:ascii="Arial" w:hAnsi="Arial" w:cs="Arial"/>
          <w:bCs/>
          <w:lang w:val="en-GB"/>
        </w:rPr>
        <w:t xml:space="preserve"> in </w:t>
      </w:r>
      <w:r w:rsidR="00D74E36" w:rsidRPr="00F42759">
        <w:rPr>
          <w:rFonts w:ascii="Arial" w:hAnsi="Arial" w:cs="Arial"/>
          <w:bCs/>
          <w:lang w:val="en-GB"/>
        </w:rPr>
        <w:t>material aspects.</w:t>
      </w:r>
      <w:r w:rsidR="00014F8F" w:rsidRPr="00F42759">
        <w:rPr>
          <w:rFonts w:ascii="Arial" w:hAnsi="Arial" w:cs="Arial"/>
          <w:bCs/>
          <w:lang w:val="en-GB"/>
        </w:rPr>
        <w:t xml:space="preserve"> </w:t>
      </w:r>
    </w:p>
    <w:p w:rsidR="00A80478" w:rsidRPr="00A80478" w:rsidRDefault="00A80478" w:rsidP="00D76527">
      <w:pPr>
        <w:pStyle w:val="ListParagraph"/>
        <w:spacing w:line="360" w:lineRule="auto"/>
        <w:jc w:val="both"/>
        <w:rPr>
          <w:rFonts w:ascii="Arial" w:hAnsi="Arial" w:cs="Arial"/>
          <w:bCs/>
          <w:lang w:val="en-GB"/>
        </w:rPr>
      </w:pPr>
    </w:p>
    <w:p w:rsidR="00A80478" w:rsidRPr="00F42759" w:rsidRDefault="00F42759" w:rsidP="00F42759">
      <w:pPr>
        <w:tabs>
          <w:tab w:val="left" w:pos="709"/>
        </w:tabs>
        <w:spacing w:line="360" w:lineRule="auto"/>
        <w:jc w:val="both"/>
        <w:rPr>
          <w:rFonts w:ascii="Arial" w:hAnsi="Arial" w:cs="Arial"/>
          <w:bCs/>
          <w:lang w:val="en-GB"/>
        </w:rPr>
      </w:pPr>
      <w:r>
        <w:rPr>
          <w:rFonts w:ascii="Arial" w:eastAsiaTheme="minorHAnsi" w:hAnsi="Arial" w:cs="Arial"/>
          <w:bCs/>
          <w:lang w:val="en-GB" w:eastAsia="en-US" w:bidi="ar-SA"/>
        </w:rPr>
        <w:t>[32]</w:t>
      </w:r>
      <w:r>
        <w:rPr>
          <w:rFonts w:ascii="Arial" w:eastAsiaTheme="minorHAnsi" w:hAnsi="Arial" w:cs="Arial"/>
          <w:bCs/>
          <w:lang w:val="en-GB" w:eastAsia="en-US" w:bidi="ar-SA"/>
        </w:rPr>
        <w:tab/>
      </w:r>
      <w:r w:rsidR="008E00DD" w:rsidRPr="00F42759">
        <w:rPr>
          <w:rFonts w:ascii="Arial" w:hAnsi="Arial" w:cs="Arial"/>
          <w:bCs/>
          <w:lang w:val="en-GB"/>
        </w:rPr>
        <w:t>Physically, there are two versions of the bid document</w:t>
      </w:r>
      <w:r w:rsidR="00C811A0" w:rsidRPr="00F42759">
        <w:rPr>
          <w:rFonts w:ascii="Arial" w:hAnsi="Arial" w:cs="Arial"/>
          <w:bCs/>
          <w:lang w:val="en-GB"/>
        </w:rPr>
        <w:t xml:space="preserve"> before the court</w:t>
      </w:r>
      <w:r w:rsidR="008E00DD" w:rsidRPr="00F42759">
        <w:rPr>
          <w:rFonts w:ascii="Arial" w:hAnsi="Arial" w:cs="Arial"/>
          <w:bCs/>
          <w:lang w:val="en-GB"/>
        </w:rPr>
        <w:t>. It is beyond dispute that they both exist</w:t>
      </w:r>
      <w:r w:rsidR="005544AA" w:rsidRPr="00F42759">
        <w:rPr>
          <w:rFonts w:ascii="Arial" w:hAnsi="Arial" w:cs="Arial"/>
          <w:bCs/>
          <w:lang w:val="en-GB"/>
        </w:rPr>
        <w:t>,</w:t>
      </w:r>
      <w:r w:rsidR="008E00DD" w:rsidRPr="00F42759">
        <w:rPr>
          <w:rFonts w:ascii="Arial" w:hAnsi="Arial" w:cs="Arial"/>
          <w:bCs/>
          <w:lang w:val="en-GB"/>
        </w:rPr>
        <w:t xml:space="preserve"> </w:t>
      </w:r>
      <w:r w:rsidR="005544AA" w:rsidRPr="00F42759">
        <w:rPr>
          <w:rFonts w:ascii="Arial" w:hAnsi="Arial" w:cs="Arial"/>
          <w:bCs/>
          <w:lang w:val="en-GB"/>
        </w:rPr>
        <w:t>a</w:t>
      </w:r>
      <w:r w:rsidR="008E00DD" w:rsidRPr="00F42759">
        <w:rPr>
          <w:rFonts w:ascii="Arial" w:hAnsi="Arial" w:cs="Arial"/>
          <w:bCs/>
          <w:lang w:val="en-GB"/>
        </w:rPr>
        <w:t xml:space="preserve">nd </w:t>
      </w:r>
      <w:r w:rsidR="000B7B36" w:rsidRPr="00F42759">
        <w:rPr>
          <w:rFonts w:ascii="Arial" w:hAnsi="Arial" w:cs="Arial"/>
          <w:bCs/>
          <w:lang w:val="en-GB"/>
        </w:rPr>
        <w:t xml:space="preserve">that </w:t>
      </w:r>
      <w:r w:rsidR="008E00DD" w:rsidRPr="00F42759">
        <w:rPr>
          <w:rFonts w:ascii="Arial" w:hAnsi="Arial" w:cs="Arial"/>
          <w:bCs/>
          <w:lang w:val="en-GB"/>
        </w:rPr>
        <w:t xml:space="preserve">they are not identical. The second bid document, as with the first bid document, has been completed </w:t>
      </w:r>
      <w:r w:rsidR="00C811A0" w:rsidRPr="00F42759">
        <w:rPr>
          <w:rFonts w:ascii="Arial" w:hAnsi="Arial" w:cs="Arial"/>
          <w:bCs/>
          <w:lang w:val="en-GB"/>
        </w:rPr>
        <w:t>in manuscript</w:t>
      </w:r>
      <w:r w:rsidR="008E00DD" w:rsidRPr="00F42759">
        <w:rPr>
          <w:rFonts w:ascii="Arial" w:hAnsi="Arial" w:cs="Arial"/>
          <w:bCs/>
          <w:lang w:val="en-GB"/>
        </w:rPr>
        <w:t xml:space="preserve">, although clearly by a different hand. </w:t>
      </w:r>
      <w:r w:rsidR="00397A8C" w:rsidRPr="00F42759">
        <w:rPr>
          <w:rFonts w:ascii="Arial" w:hAnsi="Arial" w:cs="Arial"/>
          <w:bCs/>
          <w:lang w:val="en-GB"/>
        </w:rPr>
        <w:t>The second bid document</w:t>
      </w:r>
      <w:r w:rsidR="008E00DD" w:rsidRPr="00F42759">
        <w:rPr>
          <w:rFonts w:ascii="Arial" w:hAnsi="Arial" w:cs="Arial"/>
          <w:bCs/>
          <w:lang w:val="en-GB"/>
        </w:rPr>
        <w:t xml:space="preserve"> appear</w:t>
      </w:r>
      <w:r w:rsidR="00397A8C" w:rsidRPr="00F42759">
        <w:rPr>
          <w:rFonts w:ascii="Arial" w:hAnsi="Arial" w:cs="Arial"/>
          <w:bCs/>
          <w:lang w:val="en-GB"/>
        </w:rPr>
        <w:t>s, like the first,</w:t>
      </w:r>
      <w:r w:rsidR="008E00DD" w:rsidRPr="00F42759">
        <w:rPr>
          <w:rFonts w:ascii="Arial" w:hAnsi="Arial" w:cs="Arial"/>
          <w:bCs/>
          <w:lang w:val="en-GB"/>
        </w:rPr>
        <w:t xml:space="preserve"> to have been signed by Mr Grobler.</w:t>
      </w:r>
      <w:r w:rsidR="00A80478" w:rsidRPr="00F42759">
        <w:rPr>
          <w:rFonts w:ascii="Arial" w:hAnsi="Arial" w:cs="Arial"/>
          <w:bCs/>
          <w:lang w:val="en-GB"/>
        </w:rPr>
        <w:t xml:space="preserve"> Mr Grobler has a very distinctive signature:</w:t>
      </w:r>
      <w:r w:rsidR="008E00DD" w:rsidRPr="00F42759">
        <w:rPr>
          <w:rFonts w:ascii="Arial" w:hAnsi="Arial" w:cs="Arial"/>
          <w:bCs/>
          <w:lang w:val="en-GB"/>
        </w:rPr>
        <w:t xml:space="preserve"> </w:t>
      </w:r>
    </w:p>
    <w:p w:rsidR="00A80478" w:rsidRDefault="00A80478" w:rsidP="00A80478">
      <w:pPr>
        <w:pStyle w:val="ListParagraph"/>
        <w:jc w:val="center"/>
        <w:rPr>
          <w:lang w:bidi="yi-Hebr"/>
        </w:rPr>
      </w:pPr>
      <w:r w:rsidRPr="00A80478">
        <w:rPr>
          <w:lang w:bidi="yi-Hebr"/>
        </w:rPr>
        <w:fldChar w:fldCharType="begin"/>
      </w:r>
      <w:r w:rsidR="00704FCC">
        <w:rPr>
          <w:lang w:bidi="yi-Hebr"/>
        </w:rPr>
        <w:instrText xml:space="preserve"> INCLUDEPICTURE "C:\\var\\folders\\wm\\0kp7f_zn1gv8gzv1l47c23m40000gp\\T\\com.microsoft.Word\\WebArchiveCopyPasteTempFiles\\page1image45456704" \* MERGEFORMAT </w:instrText>
      </w:r>
      <w:r w:rsidRPr="00A80478">
        <w:rPr>
          <w:lang w:bidi="yi-Hebr"/>
        </w:rPr>
        <w:fldChar w:fldCharType="separate"/>
      </w:r>
      <w:r w:rsidRPr="00A80478">
        <w:rPr>
          <w:noProof/>
          <w:lang w:eastAsia="en-ZA"/>
        </w:rPr>
        <w:drawing>
          <wp:inline distT="0" distB="0" distL="0" distR="0" wp14:anchorId="776EE6AA" wp14:editId="749408EE">
            <wp:extent cx="1405079" cy="761508"/>
            <wp:effectExtent l="0" t="0" r="5080" b="635"/>
            <wp:docPr id="4" name="Picture 4" descr="page1image45456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545670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8836" cy="823161"/>
                    </a:xfrm>
                    <a:prstGeom prst="rect">
                      <a:avLst/>
                    </a:prstGeom>
                    <a:noFill/>
                    <a:ln>
                      <a:noFill/>
                    </a:ln>
                  </pic:spPr>
                </pic:pic>
              </a:graphicData>
            </a:graphic>
          </wp:inline>
        </w:drawing>
      </w:r>
      <w:r w:rsidRPr="00A80478">
        <w:rPr>
          <w:lang w:bidi="yi-Hebr"/>
        </w:rPr>
        <w:fldChar w:fldCharType="end"/>
      </w:r>
    </w:p>
    <w:p w:rsidR="00A80478" w:rsidRDefault="00A80478" w:rsidP="00A80478">
      <w:pPr>
        <w:pStyle w:val="ListParagraph"/>
        <w:rPr>
          <w:lang w:bidi="yi-Hebr"/>
        </w:rPr>
      </w:pPr>
    </w:p>
    <w:p w:rsidR="00D73D32" w:rsidRDefault="00D73D32" w:rsidP="00A80478">
      <w:pPr>
        <w:pStyle w:val="ListParagraph"/>
        <w:tabs>
          <w:tab w:val="left" w:pos="709"/>
        </w:tabs>
        <w:spacing w:line="360" w:lineRule="auto"/>
        <w:ind w:left="0"/>
        <w:rPr>
          <w:rFonts w:ascii="Arial" w:hAnsi="Arial" w:cs="Arial"/>
          <w:bCs/>
          <w:lang w:val="en-GB"/>
        </w:rPr>
      </w:pPr>
      <w:r>
        <w:rPr>
          <w:rFonts w:ascii="Arial" w:hAnsi="Arial" w:cs="Arial"/>
          <w:bCs/>
          <w:lang w:val="en-GB"/>
        </w:rPr>
        <w:t>The example of Mr Grobler’s signature above comes from the second bid document.</w:t>
      </w:r>
    </w:p>
    <w:p w:rsidR="008E00DD" w:rsidRPr="00F42759" w:rsidRDefault="00F42759" w:rsidP="00F42759">
      <w:pPr>
        <w:tabs>
          <w:tab w:val="left" w:pos="709"/>
        </w:tabs>
        <w:spacing w:line="360" w:lineRule="auto"/>
        <w:jc w:val="both"/>
        <w:rPr>
          <w:rFonts w:ascii="Arial" w:hAnsi="Arial" w:cs="Arial"/>
          <w:bCs/>
          <w:lang w:val="en-GB"/>
        </w:rPr>
      </w:pPr>
      <w:r w:rsidRPr="008A1A21">
        <w:rPr>
          <w:rFonts w:ascii="Arial" w:eastAsiaTheme="minorHAnsi" w:hAnsi="Arial" w:cs="Arial"/>
          <w:bCs/>
          <w:lang w:val="en-GB" w:eastAsia="en-US" w:bidi="ar-SA"/>
        </w:rPr>
        <w:lastRenderedPageBreak/>
        <w:t>[33]</w:t>
      </w:r>
      <w:r w:rsidRPr="008A1A21">
        <w:rPr>
          <w:rFonts w:ascii="Arial" w:eastAsiaTheme="minorHAnsi" w:hAnsi="Arial" w:cs="Arial"/>
          <w:bCs/>
          <w:lang w:val="en-GB" w:eastAsia="en-US" w:bidi="ar-SA"/>
        </w:rPr>
        <w:tab/>
      </w:r>
      <w:r w:rsidR="008E00DD" w:rsidRPr="00F42759">
        <w:rPr>
          <w:rFonts w:ascii="Arial" w:hAnsi="Arial" w:cs="Arial"/>
          <w:bCs/>
          <w:lang w:val="en-GB"/>
        </w:rPr>
        <w:t xml:space="preserve">Because of their common foundational document, </w:t>
      </w:r>
      <w:r w:rsidR="00D73D32" w:rsidRPr="00F42759">
        <w:rPr>
          <w:rFonts w:ascii="Arial" w:hAnsi="Arial" w:cs="Arial"/>
          <w:bCs/>
          <w:lang w:val="en-GB"/>
        </w:rPr>
        <w:t xml:space="preserve">namely the purchased bid document, </w:t>
      </w:r>
      <w:r w:rsidR="008E00DD" w:rsidRPr="00F42759">
        <w:rPr>
          <w:rFonts w:ascii="Arial" w:hAnsi="Arial" w:cs="Arial"/>
          <w:bCs/>
          <w:lang w:val="en-GB"/>
        </w:rPr>
        <w:t xml:space="preserve">both bid documents have the identical number of pages, and can thus be </w:t>
      </w:r>
      <w:r w:rsidR="00C35EC8" w:rsidRPr="00F42759">
        <w:rPr>
          <w:rFonts w:ascii="Arial" w:hAnsi="Arial" w:cs="Arial"/>
          <w:bCs/>
          <w:lang w:val="en-GB"/>
        </w:rPr>
        <w:t xml:space="preserve">easily </w:t>
      </w:r>
      <w:r w:rsidR="008E00DD" w:rsidRPr="00F42759">
        <w:rPr>
          <w:rFonts w:ascii="Arial" w:hAnsi="Arial" w:cs="Arial"/>
          <w:bCs/>
          <w:lang w:val="en-GB"/>
        </w:rPr>
        <w:t>compared with each other, as I now do:</w:t>
      </w:r>
    </w:p>
    <w:p w:rsidR="00F42517" w:rsidRPr="00F42759" w:rsidRDefault="00F42759" w:rsidP="00F42759">
      <w:pPr>
        <w:tabs>
          <w:tab w:val="left" w:pos="709"/>
          <w:tab w:val="left" w:pos="1843"/>
        </w:tabs>
        <w:spacing w:line="360" w:lineRule="auto"/>
        <w:jc w:val="both"/>
        <w:rPr>
          <w:rFonts w:ascii="Arial" w:hAnsi="Arial" w:cs="Arial"/>
          <w:bCs/>
          <w:lang w:val="en-GB"/>
        </w:rPr>
      </w:pPr>
      <w:r>
        <w:rPr>
          <w:rFonts w:ascii="Arial" w:eastAsiaTheme="minorHAnsi" w:hAnsi="Arial" w:cs="Arial"/>
          <w:bCs/>
          <w:lang w:val="en-GB" w:eastAsia="en-US" w:bidi="ar-SA"/>
        </w:rPr>
        <w:t>(a)</w:t>
      </w:r>
      <w:r>
        <w:rPr>
          <w:rFonts w:ascii="Arial" w:eastAsiaTheme="minorHAnsi" w:hAnsi="Arial" w:cs="Arial"/>
          <w:bCs/>
          <w:lang w:val="en-GB" w:eastAsia="en-US" w:bidi="ar-SA"/>
        </w:rPr>
        <w:tab/>
      </w:r>
      <w:r w:rsidR="00F42517" w:rsidRPr="00F42759">
        <w:rPr>
          <w:rFonts w:ascii="Arial" w:hAnsi="Arial" w:cs="Arial"/>
          <w:bCs/>
          <w:lang w:val="en-GB"/>
        </w:rPr>
        <w:t>Page 1:</w:t>
      </w:r>
      <w:r w:rsidR="00F42517" w:rsidRPr="00F42759">
        <w:rPr>
          <w:rFonts w:ascii="Arial" w:hAnsi="Arial" w:cs="Arial"/>
          <w:bCs/>
          <w:lang w:val="en-GB"/>
        </w:rPr>
        <w:tab/>
        <w:t xml:space="preserve">this page requires, inter alia, the insertion of the name of the </w:t>
      </w:r>
      <w:r w:rsidR="001832D7" w:rsidRPr="00F42759">
        <w:rPr>
          <w:rFonts w:ascii="Arial" w:hAnsi="Arial" w:cs="Arial"/>
          <w:bCs/>
          <w:lang w:val="en-GB"/>
        </w:rPr>
        <w:t>entity</w:t>
      </w:r>
      <w:r w:rsidR="00F42517" w:rsidRPr="00F42759">
        <w:rPr>
          <w:rFonts w:ascii="Arial" w:hAnsi="Arial" w:cs="Arial"/>
          <w:bCs/>
          <w:lang w:val="en-GB"/>
        </w:rPr>
        <w:t xml:space="preserve"> submitting the bid. In the </w:t>
      </w:r>
      <w:r w:rsidR="00EA5944" w:rsidRPr="00F42759">
        <w:rPr>
          <w:rFonts w:ascii="Arial" w:hAnsi="Arial" w:cs="Arial"/>
          <w:bCs/>
          <w:lang w:val="en-GB"/>
        </w:rPr>
        <w:t>first</w:t>
      </w:r>
      <w:r w:rsidR="00F42517" w:rsidRPr="00F42759">
        <w:rPr>
          <w:rFonts w:ascii="Arial" w:hAnsi="Arial" w:cs="Arial"/>
          <w:bCs/>
          <w:lang w:val="en-GB"/>
        </w:rPr>
        <w:t xml:space="preserve"> </w:t>
      </w:r>
      <w:r w:rsidR="00DD6E93" w:rsidRPr="00F42759">
        <w:rPr>
          <w:rFonts w:ascii="Arial" w:hAnsi="Arial" w:cs="Arial"/>
          <w:bCs/>
          <w:lang w:val="en-GB"/>
        </w:rPr>
        <w:t xml:space="preserve">bid </w:t>
      </w:r>
      <w:r w:rsidR="00F42517" w:rsidRPr="00F42759">
        <w:rPr>
          <w:rFonts w:ascii="Arial" w:hAnsi="Arial" w:cs="Arial"/>
          <w:bCs/>
          <w:lang w:val="en-GB"/>
        </w:rPr>
        <w:t>document</w:t>
      </w:r>
      <w:r w:rsidR="005E2355" w:rsidRPr="00F42759">
        <w:rPr>
          <w:rFonts w:ascii="Arial" w:hAnsi="Arial" w:cs="Arial"/>
          <w:bCs/>
          <w:lang w:val="en-GB"/>
        </w:rPr>
        <w:t>,</w:t>
      </w:r>
      <w:r w:rsidR="00F42517" w:rsidRPr="00F42759">
        <w:rPr>
          <w:rFonts w:ascii="Arial" w:hAnsi="Arial" w:cs="Arial"/>
          <w:bCs/>
          <w:lang w:val="en-GB"/>
        </w:rPr>
        <w:t xml:space="preserve"> this is</w:t>
      </w:r>
      <w:r w:rsidR="00EA5944" w:rsidRPr="00F42759">
        <w:rPr>
          <w:rFonts w:ascii="Arial" w:hAnsi="Arial" w:cs="Arial"/>
          <w:bCs/>
          <w:lang w:val="en-GB"/>
        </w:rPr>
        <w:t xml:space="preserve"> </w:t>
      </w:r>
      <w:r w:rsidR="002254E8" w:rsidRPr="00F42759">
        <w:rPr>
          <w:rFonts w:ascii="Arial" w:hAnsi="Arial" w:cs="Arial"/>
          <w:bCs/>
          <w:lang w:val="en-GB"/>
        </w:rPr>
        <w:t>record</w:t>
      </w:r>
      <w:r w:rsidR="00EA5944" w:rsidRPr="00F42759">
        <w:rPr>
          <w:rFonts w:ascii="Arial" w:hAnsi="Arial" w:cs="Arial"/>
          <w:bCs/>
          <w:lang w:val="en-GB"/>
        </w:rPr>
        <w:t>ed as being</w:t>
      </w:r>
      <w:r w:rsidR="00F42517" w:rsidRPr="00F42759">
        <w:rPr>
          <w:rFonts w:ascii="Arial" w:hAnsi="Arial" w:cs="Arial"/>
          <w:bCs/>
          <w:lang w:val="en-GB"/>
        </w:rPr>
        <w:t xml:space="preserve"> ‘Marothodi Metsi’. In </w:t>
      </w:r>
      <w:r w:rsidR="00EA5944" w:rsidRPr="00F42759">
        <w:rPr>
          <w:rFonts w:ascii="Arial" w:hAnsi="Arial" w:cs="Arial"/>
          <w:bCs/>
          <w:lang w:val="en-GB"/>
        </w:rPr>
        <w:t>second bid document</w:t>
      </w:r>
      <w:r w:rsidR="00F42517" w:rsidRPr="00F42759">
        <w:rPr>
          <w:rFonts w:ascii="Arial" w:hAnsi="Arial" w:cs="Arial"/>
          <w:bCs/>
          <w:lang w:val="en-GB"/>
        </w:rPr>
        <w:t>, it is</w:t>
      </w:r>
      <w:r w:rsidR="00EA5944" w:rsidRPr="00F42759">
        <w:rPr>
          <w:rFonts w:ascii="Arial" w:hAnsi="Arial" w:cs="Arial"/>
          <w:bCs/>
          <w:lang w:val="en-GB"/>
        </w:rPr>
        <w:t xml:space="preserve"> </w:t>
      </w:r>
      <w:r w:rsidR="002254E8" w:rsidRPr="00F42759">
        <w:rPr>
          <w:rFonts w:ascii="Arial" w:hAnsi="Arial" w:cs="Arial"/>
          <w:bCs/>
          <w:lang w:val="en-GB"/>
        </w:rPr>
        <w:t>record</w:t>
      </w:r>
      <w:r w:rsidR="00EA5944" w:rsidRPr="00F42759">
        <w:rPr>
          <w:rFonts w:ascii="Arial" w:hAnsi="Arial" w:cs="Arial"/>
          <w:bCs/>
          <w:lang w:val="en-GB"/>
        </w:rPr>
        <w:t>ed as</w:t>
      </w:r>
      <w:r w:rsidR="00611B31" w:rsidRPr="00F42759">
        <w:rPr>
          <w:rFonts w:ascii="Arial" w:hAnsi="Arial" w:cs="Arial"/>
          <w:bCs/>
          <w:lang w:val="en-GB"/>
        </w:rPr>
        <w:t xml:space="preserve"> being</w:t>
      </w:r>
      <w:r w:rsidR="00F42517" w:rsidRPr="00F42759">
        <w:rPr>
          <w:rFonts w:ascii="Arial" w:hAnsi="Arial" w:cs="Arial"/>
          <w:bCs/>
          <w:lang w:val="en-GB"/>
        </w:rPr>
        <w:t xml:space="preserve"> ‘Marothodi Metsi and Sebata Group’;</w:t>
      </w:r>
    </w:p>
    <w:p w:rsidR="00F42517" w:rsidRPr="00F42759" w:rsidRDefault="00F42759" w:rsidP="00F42759">
      <w:pPr>
        <w:tabs>
          <w:tab w:val="left" w:pos="709"/>
          <w:tab w:val="left" w:pos="1843"/>
        </w:tabs>
        <w:spacing w:line="360" w:lineRule="auto"/>
        <w:jc w:val="both"/>
        <w:rPr>
          <w:rFonts w:ascii="Arial" w:hAnsi="Arial" w:cs="Arial"/>
          <w:bCs/>
          <w:lang w:val="en-GB"/>
        </w:rPr>
      </w:pPr>
      <w:r>
        <w:rPr>
          <w:rFonts w:ascii="Arial" w:eastAsiaTheme="minorHAnsi" w:hAnsi="Arial" w:cs="Arial"/>
          <w:bCs/>
          <w:lang w:val="en-GB" w:eastAsia="en-US" w:bidi="ar-SA"/>
        </w:rPr>
        <w:t>(b)</w:t>
      </w:r>
      <w:r>
        <w:rPr>
          <w:rFonts w:ascii="Arial" w:eastAsiaTheme="minorHAnsi" w:hAnsi="Arial" w:cs="Arial"/>
          <w:bCs/>
          <w:lang w:val="en-GB" w:eastAsia="en-US" w:bidi="ar-SA"/>
        </w:rPr>
        <w:tab/>
      </w:r>
      <w:r w:rsidR="00F42517" w:rsidRPr="00F42759">
        <w:rPr>
          <w:rFonts w:ascii="Arial" w:hAnsi="Arial" w:cs="Arial"/>
          <w:bCs/>
          <w:lang w:val="en-GB"/>
        </w:rPr>
        <w:t>Page 4:</w:t>
      </w:r>
      <w:r w:rsidR="00F42517" w:rsidRPr="00F42759">
        <w:rPr>
          <w:rFonts w:ascii="Arial" w:hAnsi="Arial" w:cs="Arial"/>
          <w:bCs/>
          <w:lang w:val="en-GB"/>
        </w:rPr>
        <w:tab/>
        <w:t>this is a page with the title ‘Checklist</w:t>
      </w:r>
      <w:r w:rsidR="004B6073" w:rsidRPr="00F42759">
        <w:rPr>
          <w:rFonts w:ascii="Arial" w:hAnsi="Arial" w:cs="Arial"/>
          <w:bCs/>
          <w:lang w:val="en-GB"/>
        </w:rPr>
        <w:t>’,</w:t>
      </w:r>
      <w:r w:rsidR="00F42517" w:rsidRPr="00F42759">
        <w:rPr>
          <w:rFonts w:ascii="Arial" w:hAnsi="Arial" w:cs="Arial"/>
          <w:bCs/>
          <w:lang w:val="en-GB"/>
        </w:rPr>
        <w:t xml:space="preserve"> and it requires the name of the bidder to be inserted. On both versions of the </w:t>
      </w:r>
      <w:r w:rsidR="00DD6E93" w:rsidRPr="00F42759">
        <w:rPr>
          <w:rFonts w:ascii="Arial" w:hAnsi="Arial" w:cs="Arial"/>
          <w:bCs/>
          <w:lang w:val="en-GB"/>
        </w:rPr>
        <w:t xml:space="preserve">bid </w:t>
      </w:r>
      <w:r w:rsidR="00F42517" w:rsidRPr="00F42759">
        <w:rPr>
          <w:rFonts w:ascii="Arial" w:hAnsi="Arial" w:cs="Arial"/>
          <w:bCs/>
          <w:lang w:val="en-GB"/>
        </w:rPr>
        <w:t xml:space="preserve">document, the same </w:t>
      </w:r>
      <w:r w:rsidR="00DD6E93" w:rsidRPr="00F42759">
        <w:rPr>
          <w:rFonts w:ascii="Arial" w:hAnsi="Arial" w:cs="Arial"/>
          <w:bCs/>
          <w:lang w:val="en-GB"/>
        </w:rPr>
        <w:t>name</w:t>
      </w:r>
      <w:r w:rsidR="00F42517" w:rsidRPr="00F42759">
        <w:rPr>
          <w:rFonts w:ascii="Arial" w:hAnsi="Arial" w:cs="Arial"/>
          <w:bCs/>
          <w:lang w:val="en-GB"/>
        </w:rPr>
        <w:t xml:space="preserve"> appears, namely ‘Marothodi Metsi &amp; Sebata Group’</w:t>
      </w:r>
      <w:r w:rsidR="00340077" w:rsidRPr="00F42759">
        <w:rPr>
          <w:rFonts w:ascii="Arial" w:hAnsi="Arial" w:cs="Arial"/>
          <w:bCs/>
          <w:lang w:val="en-GB"/>
        </w:rPr>
        <w:t xml:space="preserve">. This page also indicates that the person completing the document, </w:t>
      </w:r>
      <w:r w:rsidR="00EA5944" w:rsidRPr="00F42759">
        <w:rPr>
          <w:rFonts w:ascii="Arial" w:hAnsi="Arial" w:cs="Arial"/>
          <w:bCs/>
          <w:lang w:val="en-GB"/>
        </w:rPr>
        <w:t xml:space="preserve">Mr </w:t>
      </w:r>
      <w:r w:rsidR="00340077" w:rsidRPr="00F42759">
        <w:rPr>
          <w:rFonts w:ascii="Arial" w:hAnsi="Arial" w:cs="Arial"/>
          <w:bCs/>
          <w:lang w:val="en-GB"/>
        </w:rPr>
        <w:t xml:space="preserve">Grobler, is a director of the </w:t>
      </w:r>
      <w:r w:rsidR="004277A3" w:rsidRPr="00F42759">
        <w:rPr>
          <w:rFonts w:ascii="Arial" w:hAnsi="Arial" w:cs="Arial"/>
          <w:bCs/>
          <w:lang w:val="en-GB"/>
        </w:rPr>
        <w:t>‘</w:t>
      </w:r>
      <w:r w:rsidR="00340077" w:rsidRPr="00F42759">
        <w:rPr>
          <w:rFonts w:ascii="Arial" w:hAnsi="Arial" w:cs="Arial"/>
          <w:bCs/>
          <w:lang w:val="en-GB"/>
        </w:rPr>
        <w:t>Marothodi Metsi and Sebata Group</w:t>
      </w:r>
      <w:r w:rsidR="004277A3" w:rsidRPr="00F42759">
        <w:rPr>
          <w:rFonts w:ascii="Arial" w:hAnsi="Arial" w:cs="Arial"/>
          <w:bCs/>
          <w:lang w:val="en-GB"/>
        </w:rPr>
        <w:t>’</w:t>
      </w:r>
      <w:r w:rsidR="00340077" w:rsidRPr="00F42759">
        <w:rPr>
          <w:rFonts w:ascii="Arial" w:hAnsi="Arial" w:cs="Arial"/>
          <w:bCs/>
          <w:lang w:val="en-GB"/>
        </w:rPr>
        <w:t xml:space="preserve">. That is </w:t>
      </w:r>
      <w:r w:rsidR="00316A3E" w:rsidRPr="00F42759">
        <w:rPr>
          <w:rFonts w:ascii="Arial" w:hAnsi="Arial" w:cs="Arial"/>
          <w:bCs/>
          <w:lang w:val="en-GB"/>
        </w:rPr>
        <w:t>plainly</w:t>
      </w:r>
      <w:r w:rsidR="00340077" w:rsidRPr="00F42759">
        <w:rPr>
          <w:rFonts w:ascii="Arial" w:hAnsi="Arial" w:cs="Arial"/>
          <w:bCs/>
          <w:lang w:val="en-GB"/>
        </w:rPr>
        <w:t xml:space="preserve"> </w:t>
      </w:r>
      <w:r w:rsidR="00316A3E" w:rsidRPr="00F42759">
        <w:rPr>
          <w:rFonts w:ascii="Arial" w:hAnsi="Arial" w:cs="Arial"/>
          <w:bCs/>
          <w:lang w:val="en-GB"/>
        </w:rPr>
        <w:t>in</w:t>
      </w:r>
      <w:r w:rsidR="00340077" w:rsidRPr="00F42759">
        <w:rPr>
          <w:rFonts w:ascii="Arial" w:hAnsi="Arial" w:cs="Arial"/>
          <w:bCs/>
          <w:lang w:val="en-GB"/>
        </w:rPr>
        <w:t>correct</w:t>
      </w:r>
      <w:r w:rsidR="00EA5944" w:rsidRPr="00F42759">
        <w:rPr>
          <w:rFonts w:ascii="Arial" w:hAnsi="Arial" w:cs="Arial"/>
          <w:bCs/>
          <w:lang w:val="en-GB"/>
        </w:rPr>
        <w:t>,</w:t>
      </w:r>
      <w:r w:rsidR="00340077" w:rsidRPr="00F42759">
        <w:rPr>
          <w:rFonts w:ascii="Arial" w:hAnsi="Arial" w:cs="Arial"/>
          <w:bCs/>
          <w:lang w:val="en-GB"/>
        </w:rPr>
        <w:t xml:space="preserve"> for the </w:t>
      </w:r>
      <w:r w:rsidR="004277A3" w:rsidRPr="00F42759">
        <w:rPr>
          <w:rFonts w:ascii="Arial" w:hAnsi="Arial" w:cs="Arial"/>
          <w:bCs/>
          <w:lang w:val="en-GB"/>
        </w:rPr>
        <w:t>‘</w:t>
      </w:r>
      <w:r w:rsidR="00340077" w:rsidRPr="00F42759">
        <w:rPr>
          <w:rFonts w:ascii="Arial" w:hAnsi="Arial" w:cs="Arial"/>
          <w:bCs/>
          <w:lang w:val="en-GB"/>
        </w:rPr>
        <w:t>Marothodi Metsi and Sebata Group</w:t>
      </w:r>
      <w:r w:rsidR="004277A3" w:rsidRPr="00F42759">
        <w:rPr>
          <w:rFonts w:ascii="Arial" w:hAnsi="Arial" w:cs="Arial"/>
          <w:bCs/>
          <w:lang w:val="en-GB"/>
        </w:rPr>
        <w:t>’</w:t>
      </w:r>
      <w:r w:rsidR="00340077" w:rsidRPr="00F42759">
        <w:rPr>
          <w:rFonts w:ascii="Arial" w:hAnsi="Arial" w:cs="Arial"/>
          <w:bCs/>
          <w:lang w:val="en-GB"/>
        </w:rPr>
        <w:t xml:space="preserve"> is not an incorporated entity</w:t>
      </w:r>
      <w:r w:rsidR="00F42517" w:rsidRPr="00F42759">
        <w:rPr>
          <w:rFonts w:ascii="Arial" w:hAnsi="Arial" w:cs="Arial"/>
          <w:bCs/>
          <w:lang w:val="en-GB"/>
        </w:rPr>
        <w:t xml:space="preserve">; </w:t>
      </w:r>
    </w:p>
    <w:p w:rsidR="00972922" w:rsidRPr="00F42759" w:rsidRDefault="00F42759" w:rsidP="00F42759">
      <w:pPr>
        <w:tabs>
          <w:tab w:val="left" w:pos="709"/>
          <w:tab w:val="left" w:pos="1843"/>
        </w:tabs>
        <w:spacing w:line="360" w:lineRule="auto"/>
        <w:jc w:val="both"/>
        <w:rPr>
          <w:rFonts w:ascii="Arial" w:hAnsi="Arial" w:cs="Arial"/>
          <w:bCs/>
          <w:lang w:val="en-GB"/>
        </w:rPr>
      </w:pPr>
      <w:r w:rsidRPr="00972922">
        <w:rPr>
          <w:rFonts w:ascii="Arial" w:eastAsiaTheme="minorHAnsi" w:hAnsi="Arial" w:cs="Arial"/>
          <w:bCs/>
          <w:lang w:val="en-GB" w:eastAsia="en-US" w:bidi="ar-SA"/>
        </w:rPr>
        <w:t>(c)</w:t>
      </w:r>
      <w:r w:rsidRPr="00972922">
        <w:rPr>
          <w:rFonts w:ascii="Arial" w:eastAsiaTheme="minorHAnsi" w:hAnsi="Arial" w:cs="Arial"/>
          <w:bCs/>
          <w:lang w:val="en-GB" w:eastAsia="en-US" w:bidi="ar-SA"/>
        </w:rPr>
        <w:tab/>
      </w:r>
      <w:r w:rsidR="006D244A" w:rsidRPr="00F42759">
        <w:rPr>
          <w:rFonts w:ascii="Arial" w:hAnsi="Arial" w:cs="Arial"/>
          <w:bCs/>
          <w:lang w:val="en-GB"/>
        </w:rPr>
        <w:t xml:space="preserve">Page 5: This page is entitled ‘Offer’ and sets out the form of the offer and acceptance in the event of the bid being successful. In the first bid document, the name inserted is ‘Marothodi Metsi’. In the second bid document, the name that appears is </w:t>
      </w:r>
      <w:r w:rsidR="004277A3" w:rsidRPr="00F42759">
        <w:rPr>
          <w:rFonts w:ascii="Arial" w:hAnsi="Arial" w:cs="Arial"/>
          <w:bCs/>
          <w:lang w:val="en-GB"/>
        </w:rPr>
        <w:t>‘</w:t>
      </w:r>
      <w:r w:rsidR="006D244A" w:rsidRPr="00F42759">
        <w:rPr>
          <w:rFonts w:ascii="Arial" w:hAnsi="Arial" w:cs="Arial"/>
          <w:bCs/>
          <w:lang w:val="en-GB"/>
        </w:rPr>
        <w:t>Marothodi Metsi and Sebata Group</w:t>
      </w:r>
      <w:r w:rsidR="004277A3" w:rsidRPr="00F42759">
        <w:rPr>
          <w:rFonts w:ascii="Arial" w:hAnsi="Arial" w:cs="Arial"/>
          <w:bCs/>
          <w:lang w:val="en-GB"/>
        </w:rPr>
        <w:t>’</w:t>
      </w:r>
      <w:r w:rsidR="006D244A" w:rsidRPr="00F42759">
        <w:rPr>
          <w:rFonts w:ascii="Arial" w:hAnsi="Arial" w:cs="Arial"/>
          <w:bCs/>
          <w:lang w:val="en-GB"/>
        </w:rPr>
        <w:t xml:space="preserve">;  </w:t>
      </w:r>
    </w:p>
    <w:p w:rsidR="00F42517" w:rsidRPr="00F42759" w:rsidRDefault="00F42759" w:rsidP="00F42759">
      <w:pPr>
        <w:tabs>
          <w:tab w:val="left" w:pos="709"/>
          <w:tab w:val="left" w:pos="1843"/>
        </w:tabs>
        <w:spacing w:line="360" w:lineRule="auto"/>
        <w:jc w:val="both"/>
        <w:rPr>
          <w:rFonts w:ascii="Arial" w:hAnsi="Arial" w:cs="Arial"/>
          <w:bCs/>
          <w:lang w:val="en-GB"/>
        </w:rPr>
      </w:pPr>
      <w:r>
        <w:rPr>
          <w:rFonts w:ascii="Arial" w:eastAsiaTheme="minorHAnsi" w:hAnsi="Arial" w:cs="Arial"/>
          <w:bCs/>
          <w:lang w:val="en-GB" w:eastAsia="en-US" w:bidi="ar-SA"/>
        </w:rPr>
        <w:t>(d)</w:t>
      </w:r>
      <w:r>
        <w:rPr>
          <w:rFonts w:ascii="Arial" w:eastAsiaTheme="minorHAnsi" w:hAnsi="Arial" w:cs="Arial"/>
          <w:bCs/>
          <w:lang w:val="en-GB" w:eastAsia="en-US" w:bidi="ar-SA"/>
        </w:rPr>
        <w:tab/>
      </w:r>
      <w:r w:rsidR="00F42517" w:rsidRPr="00F42759">
        <w:rPr>
          <w:rFonts w:ascii="Arial" w:hAnsi="Arial" w:cs="Arial"/>
          <w:bCs/>
          <w:lang w:val="en-GB"/>
        </w:rPr>
        <w:t>Page 7:</w:t>
      </w:r>
      <w:r w:rsidR="00F42517" w:rsidRPr="00F42759">
        <w:rPr>
          <w:rFonts w:ascii="Arial" w:hAnsi="Arial" w:cs="Arial"/>
          <w:bCs/>
          <w:lang w:val="en-GB"/>
        </w:rPr>
        <w:tab/>
        <w:t xml:space="preserve">this is a page entitled ‘Invitation to Bid’. It seeks the name of the bidder. In both versions of the </w:t>
      </w:r>
      <w:r w:rsidR="00DD6E93" w:rsidRPr="00F42759">
        <w:rPr>
          <w:rFonts w:ascii="Arial" w:hAnsi="Arial" w:cs="Arial"/>
          <w:bCs/>
          <w:lang w:val="en-GB"/>
        </w:rPr>
        <w:t xml:space="preserve">bid </w:t>
      </w:r>
      <w:r w:rsidR="00F42517" w:rsidRPr="00F42759">
        <w:rPr>
          <w:rFonts w:ascii="Arial" w:hAnsi="Arial" w:cs="Arial"/>
          <w:bCs/>
          <w:lang w:val="en-GB"/>
        </w:rPr>
        <w:t>document</w:t>
      </w:r>
      <w:r w:rsidR="00DD6E93" w:rsidRPr="00F42759">
        <w:rPr>
          <w:rFonts w:ascii="Arial" w:hAnsi="Arial" w:cs="Arial"/>
          <w:bCs/>
          <w:lang w:val="en-GB"/>
        </w:rPr>
        <w:t>s</w:t>
      </w:r>
      <w:r w:rsidR="00F42517" w:rsidRPr="00F42759">
        <w:rPr>
          <w:rFonts w:ascii="Arial" w:hAnsi="Arial" w:cs="Arial"/>
          <w:bCs/>
          <w:lang w:val="en-GB"/>
        </w:rPr>
        <w:t xml:space="preserve"> the name ‘Marothodi Metsi and Sebata Group’ appears; </w:t>
      </w:r>
    </w:p>
    <w:p w:rsidR="00F42517" w:rsidRPr="00F42759" w:rsidRDefault="00F42759" w:rsidP="00F42759">
      <w:pPr>
        <w:tabs>
          <w:tab w:val="left" w:pos="709"/>
          <w:tab w:val="left" w:pos="1843"/>
        </w:tabs>
        <w:spacing w:line="360" w:lineRule="auto"/>
        <w:jc w:val="both"/>
        <w:rPr>
          <w:rFonts w:ascii="Arial" w:hAnsi="Arial" w:cs="Arial"/>
          <w:bCs/>
          <w:lang w:val="en-GB"/>
        </w:rPr>
      </w:pPr>
      <w:r>
        <w:rPr>
          <w:rFonts w:ascii="Arial" w:eastAsiaTheme="minorHAnsi" w:hAnsi="Arial" w:cs="Arial"/>
          <w:bCs/>
          <w:lang w:val="en-GB" w:eastAsia="en-US" w:bidi="ar-SA"/>
        </w:rPr>
        <w:t>(e)</w:t>
      </w:r>
      <w:r>
        <w:rPr>
          <w:rFonts w:ascii="Arial" w:eastAsiaTheme="minorHAnsi" w:hAnsi="Arial" w:cs="Arial"/>
          <w:bCs/>
          <w:lang w:val="en-GB" w:eastAsia="en-US" w:bidi="ar-SA"/>
        </w:rPr>
        <w:tab/>
      </w:r>
      <w:r w:rsidR="00F42517" w:rsidRPr="00F42759">
        <w:rPr>
          <w:rFonts w:ascii="Arial" w:hAnsi="Arial" w:cs="Arial"/>
          <w:bCs/>
          <w:lang w:val="en-GB"/>
        </w:rPr>
        <w:t>Page 10:</w:t>
      </w:r>
      <w:r w:rsidR="00F42517" w:rsidRPr="00F42759">
        <w:rPr>
          <w:rFonts w:ascii="Arial" w:hAnsi="Arial" w:cs="Arial"/>
          <w:bCs/>
          <w:lang w:val="en-GB"/>
        </w:rPr>
        <w:tab/>
        <w:t>this is a page dealing with the compulsory briefing session that was to be conducted</w:t>
      </w:r>
      <w:r w:rsidR="00964A53" w:rsidRPr="00F42759">
        <w:rPr>
          <w:rFonts w:ascii="Arial" w:hAnsi="Arial" w:cs="Arial"/>
          <w:bCs/>
          <w:lang w:val="en-GB"/>
        </w:rPr>
        <w:t xml:space="preserve"> by the first respondent</w:t>
      </w:r>
      <w:r w:rsidR="00F42517" w:rsidRPr="00F42759">
        <w:rPr>
          <w:rFonts w:ascii="Arial" w:hAnsi="Arial" w:cs="Arial"/>
          <w:bCs/>
          <w:lang w:val="en-GB"/>
        </w:rPr>
        <w:t xml:space="preserve">. It seeks the name of the representative of the </w:t>
      </w:r>
      <w:r w:rsidR="00964A53" w:rsidRPr="00F42759">
        <w:rPr>
          <w:rFonts w:ascii="Arial" w:hAnsi="Arial" w:cs="Arial"/>
          <w:bCs/>
          <w:lang w:val="en-GB"/>
        </w:rPr>
        <w:t>bidd</w:t>
      </w:r>
      <w:r w:rsidR="00F42517" w:rsidRPr="00F42759">
        <w:rPr>
          <w:rFonts w:ascii="Arial" w:hAnsi="Arial" w:cs="Arial"/>
          <w:bCs/>
          <w:lang w:val="en-GB"/>
        </w:rPr>
        <w:t xml:space="preserve">er. In both versions of the </w:t>
      </w:r>
      <w:r w:rsidR="00DD6E93" w:rsidRPr="00F42759">
        <w:rPr>
          <w:rFonts w:ascii="Arial" w:hAnsi="Arial" w:cs="Arial"/>
          <w:bCs/>
          <w:lang w:val="en-GB"/>
        </w:rPr>
        <w:t xml:space="preserve">bid </w:t>
      </w:r>
      <w:r w:rsidR="00F42517" w:rsidRPr="00F42759">
        <w:rPr>
          <w:rFonts w:ascii="Arial" w:hAnsi="Arial" w:cs="Arial"/>
          <w:bCs/>
          <w:lang w:val="en-GB"/>
        </w:rPr>
        <w:t xml:space="preserve">document the </w:t>
      </w:r>
      <w:r w:rsidR="00316A3E" w:rsidRPr="00F42759">
        <w:rPr>
          <w:rFonts w:ascii="Arial" w:hAnsi="Arial" w:cs="Arial"/>
          <w:bCs/>
          <w:lang w:val="en-GB"/>
        </w:rPr>
        <w:t>bidder is identified as</w:t>
      </w:r>
      <w:r w:rsidR="00F42517" w:rsidRPr="00F42759">
        <w:rPr>
          <w:rFonts w:ascii="Arial" w:hAnsi="Arial" w:cs="Arial"/>
          <w:bCs/>
          <w:lang w:val="en-GB"/>
        </w:rPr>
        <w:t xml:space="preserve"> ‘Marothodi Metsi and Sebata Group’;</w:t>
      </w:r>
    </w:p>
    <w:p w:rsidR="00F42517" w:rsidRPr="00F42759" w:rsidRDefault="00F42759" w:rsidP="00F42759">
      <w:pPr>
        <w:tabs>
          <w:tab w:val="left" w:pos="709"/>
          <w:tab w:val="left" w:pos="1843"/>
        </w:tabs>
        <w:spacing w:line="360" w:lineRule="auto"/>
        <w:jc w:val="both"/>
        <w:rPr>
          <w:rFonts w:ascii="Arial" w:hAnsi="Arial" w:cs="Arial"/>
          <w:bCs/>
          <w:lang w:val="en-GB"/>
        </w:rPr>
      </w:pPr>
      <w:r>
        <w:rPr>
          <w:rFonts w:ascii="Arial" w:eastAsiaTheme="minorHAnsi" w:hAnsi="Arial" w:cs="Arial"/>
          <w:bCs/>
          <w:lang w:val="en-GB" w:eastAsia="en-US" w:bidi="ar-SA"/>
        </w:rPr>
        <w:t>(f)</w:t>
      </w:r>
      <w:r>
        <w:rPr>
          <w:rFonts w:ascii="Arial" w:eastAsiaTheme="minorHAnsi" w:hAnsi="Arial" w:cs="Arial"/>
          <w:bCs/>
          <w:lang w:val="en-GB" w:eastAsia="en-US" w:bidi="ar-SA"/>
        </w:rPr>
        <w:tab/>
      </w:r>
      <w:r w:rsidR="00F42517" w:rsidRPr="00F42759">
        <w:rPr>
          <w:rFonts w:ascii="Arial" w:hAnsi="Arial" w:cs="Arial"/>
          <w:bCs/>
          <w:lang w:val="en-GB"/>
        </w:rPr>
        <w:t>Page 22:</w:t>
      </w:r>
      <w:r w:rsidR="00F42517" w:rsidRPr="00F42759">
        <w:rPr>
          <w:rFonts w:ascii="Arial" w:hAnsi="Arial" w:cs="Arial"/>
          <w:bCs/>
          <w:lang w:val="en-GB"/>
        </w:rPr>
        <w:tab/>
        <w:t xml:space="preserve">this page is entitled ‘Proof of Good Standing with Municipal Accounts’. It has a space for the name of the </w:t>
      </w:r>
      <w:r w:rsidR="00964A53" w:rsidRPr="00F42759">
        <w:rPr>
          <w:rFonts w:ascii="Arial" w:hAnsi="Arial" w:cs="Arial"/>
          <w:bCs/>
          <w:lang w:val="en-GB"/>
        </w:rPr>
        <w:t>bidder</w:t>
      </w:r>
      <w:r w:rsidR="00F42517" w:rsidRPr="00F42759">
        <w:rPr>
          <w:rFonts w:ascii="Arial" w:hAnsi="Arial" w:cs="Arial"/>
          <w:bCs/>
          <w:lang w:val="en-GB"/>
        </w:rPr>
        <w:t xml:space="preserve">. In the </w:t>
      </w:r>
      <w:r w:rsidR="00EA5944" w:rsidRPr="00F42759">
        <w:rPr>
          <w:rFonts w:ascii="Arial" w:hAnsi="Arial" w:cs="Arial"/>
          <w:bCs/>
          <w:lang w:val="en-GB"/>
        </w:rPr>
        <w:t>first bid document</w:t>
      </w:r>
      <w:r w:rsidR="00F42517" w:rsidRPr="00F42759">
        <w:rPr>
          <w:rFonts w:ascii="Arial" w:hAnsi="Arial" w:cs="Arial"/>
          <w:bCs/>
          <w:lang w:val="en-GB"/>
        </w:rPr>
        <w:t xml:space="preserve"> the name ‘Marothodi Metsi’ appears</w:t>
      </w:r>
      <w:r w:rsidR="00D22510" w:rsidRPr="00F42759">
        <w:rPr>
          <w:rFonts w:ascii="Arial" w:hAnsi="Arial" w:cs="Arial"/>
          <w:bCs/>
          <w:lang w:val="en-GB"/>
        </w:rPr>
        <w:t>,</w:t>
      </w:r>
      <w:r w:rsidR="00F42517" w:rsidRPr="00F42759">
        <w:rPr>
          <w:rFonts w:ascii="Arial" w:hAnsi="Arial" w:cs="Arial"/>
          <w:bCs/>
          <w:lang w:val="en-GB"/>
        </w:rPr>
        <w:t xml:space="preserve"> while in the </w:t>
      </w:r>
      <w:r w:rsidR="00EA5944" w:rsidRPr="00F42759">
        <w:rPr>
          <w:rFonts w:ascii="Arial" w:hAnsi="Arial" w:cs="Arial"/>
          <w:bCs/>
          <w:lang w:val="en-GB"/>
        </w:rPr>
        <w:t>second bid document</w:t>
      </w:r>
      <w:r w:rsidR="00F42517" w:rsidRPr="00F42759">
        <w:rPr>
          <w:rFonts w:ascii="Arial" w:hAnsi="Arial" w:cs="Arial"/>
          <w:bCs/>
          <w:lang w:val="en-GB"/>
        </w:rPr>
        <w:t xml:space="preserve"> the name ‘Marothodi Metsi and Sebata Group’ appears;</w:t>
      </w:r>
    </w:p>
    <w:p w:rsidR="00F42517" w:rsidRPr="00F42759" w:rsidRDefault="00F42759" w:rsidP="00F42759">
      <w:pPr>
        <w:tabs>
          <w:tab w:val="left" w:pos="709"/>
          <w:tab w:val="left" w:pos="1843"/>
        </w:tabs>
        <w:spacing w:line="360" w:lineRule="auto"/>
        <w:jc w:val="both"/>
        <w:rPr>
          <w:rFonts w:ascii="Arial" w:hAnsi="Arial" w:cs="Arial"/>
          <w:bCs/>
          <w:lang w:val="en-GB"/>
        </w:rPr>
      </w:pPr>
      <w:r>
        <w:rPr>
          <w:rFonts w:ascii="Arial" w:eastAsiaTheme="minorHAnsi" w:hAnsi="Arial" w:cs="Arial"/>
          <w:bCs/>
          <w:lang w:val="en-GB" w:eastAsia="en-US" w:bidi="ar-SA"/>
        </w:rPr>
        <w:t>(g)</w:t>
      </w:r>
      <w:r>
        <w:rPr>
          <w:rFonts w:ascii="Arial" w:eastAsiaTheme="minorHAnsi" w:hAnsi="Arial" w:cs="Arial"/>
          <w:bCs/>
          <w:lang w:val="en-GB" w:eastAsia="en-US" w:bidi="ar-SA"/>
        </w:rPr>
        <w:tab/>
      </w:r>
      <w:r w:rsidR="00F42517" w:rsidRPr="00F42759">
        <w:rPr>
          <w:rFonts w:ascii="Arial" w:hAnsi="Arial" w:cs="Arial"/>
          <w:bCs/>
          <w:lang w:val="en-GB"/>
        </w:rPr>
        <w:t>Page 44:</w:t>
      </w:r>
      <w:r w:rsidR="00F42517" w:rsidRPr="00F42759">
        <w:rPr>
          <w:rFonts w:ascii="Arial" w:hAnsi="Arial" w:cs="Arial"/>
          <w:bCs/>
          <w:lang w:val="en-GB"/>
        </w:rPr>
        <w:tab/>
        <w:t xml:space="preserve">this page calls for the name of the bidder to be inserted. In the </w:t>
      </w:r>
      <w:r w:rsidR="00EA5944" w:rsidRPr="00F42759">
        <w:rPr>
          <w:rFonts w:ascii="Arial" w:hAnsi="Arial" w:cs="Arial"/>
          <w:bCs/>
          <w:lang w:val="en-GB"/>
        </w:rPr>
        <w:t xml:space="preserve">first bid document </w:t>
      </w:r>
      <w:r w:rsidR="00F42517" w:rsidRPr="00F42759">
        <w:rPr>
          <w:rFonts w:ascii="Arial" w:hAnsi="Arial" w:cs="Arial"/>
          <w:bCs/>
          <w:lang w:val="en-GB"/>
        </w:rPr>
        <w:t xml:space="preserve">the name ‘Paul Grobler’ appears, </w:t>
      </w:r>
      <w:r w:rsidR="00C9785C" w:rsidRPr="00F42759">
        <w:rPr>
          <w:rFonts w:ascii="Arial" w:hAnsi="Arial" w:cs="Arial"/>
          <w:bCs/>
          <w:lang w:val="en-GB"/>
        </w:rPr>
        <w:t xml:space="preserve">while </w:t>
      </w:r>
      <w:r w:rsidR="00EA5944" w:rsidRPr="00F42759">
        <w:rPr>
          <w:rFonts w:ascii="Arial" w:hAnsi="Arial" w:cs="Arial"/>
          <w:bCs/>
          <w:lang w:val="en-GB"/>
        </w:rPr>
        <w:t>in the second bid document</w:t>
      </w:r>
      <w:r w:rsidR="00F42517" w:rsidRPr="00F42759">
        <w:rPr>
          <w:rFonts w:ascii="Arial" w:hAnsi="Arial" w:cs="Arial"/>
          <w:bCs/>
          <w:lang w:val="en-GB"/>
        </w:rPr>
        <w:t xml:space="preserve"> the name ‘Marothodi Metsi and Sebata Group’ appears;</w:t>
      </w:r>
    </w:p>
    <w:p w:rsidR="00F42517" w:rsidRPr="00F42759" w:rsidRDefault="00F42759" w:rsidP="00F42759">
      <w:pPr>
        <w:tabs>
          <w:tab w:val="left" w:pos="709"/>
          <w:tab w:val="left" w:pos="1843"/>
        </w:tabs>
        <w:spacing w:line="360" w:lineRule="auto"/>
        <w:jc w:val="both"/>
        <w:rPr>
          <w:rFonts w:ascii="Arial" w:hAnsi="Arial" w:cs="Arial"/>
          <w:bCs/>
          <w:lang w:val="en-GB"/>
        </w:rPr>
      </w:pPr>
      <w:r>
        <w:rPr>
          <w:rFonts w:ascii="Arial" w:eastAsiaTheme="minorHAnsi" w:hAnsi="Arial" w:cs="Arial"/>
          <w:bCs/>
          <w:lang w:val="en-GB" w:eastAsia="en-US" w:bidi="ar-SA"/>
        </w:rPr>
        <w:t>(h)</w:t>
      </w:r>
      <w:r>
        <w:rPr>
          <w:rFonts w:ascii="Arial" w:eastAsiaTheme="minorHAnsi" w:hAnsi="Arial" w:cs="Arial"/>
          <w:bCs/>
          <w:lang w:val="en-GB" w:eastAsia="en-US" w:bidi="ar-SA"/>
        </w:rPr>
        <w:tab/>
      </w:r>
      <w:r w:rsidR="00F42517" w:rsidRPr="00F42759">
        <w:rPr>
          <w:rFonts w:ascii="Arial" w:hAnsi="Arial" w:cs="Arial"/>
          <w:bCs/>
          <w:lang w:val="en-GB"/>
        </w:rPr>
        <w:t>Page 4</w:t>
      </w:r>
      <w:r w:rsidR="004978E6" w:rsidRPr="00F42759">
        <w:rPr>
          <w:rFonts w:ascii="Arial" w:hAnsi="Arial" w:cs="Arial"/>
          <w:bCs/>
          <w:lang w:val="en-GB"/>
        </w:rPr>
        <w:t>6</w:t>
      </w:r>
      <w:r w:rsidR="00F42517" w:rsidRPr="00F42759">
        <w:rPr>
          <w:rFonts w:ascii="Arial" w:hAnsi="Arial" w:cs="Arial"/>
          <w:bCs/>
          <w:lang w:val="en-GB"/>
        </w:rPr>
        <w:t>:</w:t>
      </w:r>
      <w:r w:rsidR="00F42517" w:rsidRPr="00F42759">
        <w:rPr>
          <w:rFonts w:ascii="Arial" w:hAnsi="Arial" w:cs="Arial"/>
          <w:bCs/>
          <w:lang w:val="en-GB"/>
        </w:rPr>
        <w:tab/>
        <w:t>this page</w:t>
      </w:r>
      <w:r w:rsidR="00DD6E93" w:rsidRPr="00F42759">
        <w:rPr>
          <w:rFonts w:ascii="Arial" w:hAnsi="Arial" w:cs="Arial"/>
          <w:bCs/>
          <w:lang w:val="en-GB"/>
        </w:rPr>
        <w:t>,</w:t>
      </w:r>
      <w:r w:rsidR="00F42517" w:rsidRPr="00F42759">
        <w:rPr>
          <w:rFonts w:ascii="Arial" w:hAnsi="Arial" w:cs="Arial"/>
          <w:bCs/>
          <w:lang w:val="en-GB"/>
        </w:rPr>
        <w:t xml:space="preserve"> </w:t>
      </w:r>
      <w:r w:rsidR="00B80818" w:rsidRPr="00F42759">
        <w:rPr>
          <w:rFonts w:ascii="Arial" w:hAnsi="Arial" w:cs="Arial"/>
          <w:bCs/>
          <w:lang w:val="en-GB"/>
        </w:rPr>
        <w:t xml:space="preserve">entitled </w:t>
      </w:r>
      <w:r w:rsidR="007A74F4" w:rsidRPr="00F42759">
        <w:rPr>
          <w:rFonts w:ascii="Arial" w:hAnsi="Arial" w:cs="Arial"/>
          <w:bCs/>
          <w:lang w:val="en-GB"/>
        </w:rPr>
        <w:t>‘</w:t>
      </w:r>
      <w:r w:rsidR="00B80818" w:rsidRPr="00F42759">
        <w:rPr>
          <w:rFonts w:ascii="Arial" w:hAnsi="Arial" w:cs="Arial"/>
          <w:bCs/>
          <w:lang w:val="en-GB"/>
        </w:rPr>
        <w:t>Certificate of Independent Bid Determination’</w:t>
      </w:r>
      <w:r w:rsidR="004277A3" w:rsidRPr="00F42759">
        <w:rPr>
          <w:rFonts w:ascii="Arial" w:hAnsi="Arial" w:cs="Arial"/>
          <w:bCs/>
          <w:lang w:val="en-GB"/>
        </w:rPr>
        <w:t>,</w:t>
      </w:r>
      <w:r w:rsidR="00B80818" w:rsidRPr="00F42759">
        <w:rPr>
          <w:rFonts w:ascii="Arial" w:hAnsi="Arial" w:cs="Arial"/>
          <w:bCs/>
          <w:lang w:val="en-GB"/>
        </w:rPr>
        <w:t xml:space="preserve"> </w:t>
      </w:r>
      <w:r w:rsidR="00BA0875" w:rsidRPr="00F42759">
        <w:rPr>
          <w:rFonts w:ascii="Arial" w:hAnsi="Arial" w:cs="Arial"/>
          <w:bCs/>
          <w:lang w:val="en-GB"/>
        </w:rPr>
        <w:t xml:space="preserve">again </w:t>
      </w:r>
      <w:r w:rsidR="00A359A9" w:rsidRPr="00F42759">
        <w:rPr>
          <w:rFonts w:ascii="Arial" w:hAnsi="Arial" w:cs="Arial"/>
          <w:bCs/>
          <w:lang w:val="en-GB"/>
        </w:rPr>
        <w:t>requires</w:t>
      </w:r>
      <w:r w:rsidR="00F42517" w:rsidRPr="00F42759">
        <w:rPr>
          <w:rFonts w:ascii="Arial" w:hAnsi="Arial" w:cs="Arial"/>
          <w:bCs/>
          <w:lang w:val="en-GB"/>
        </w:rPr>
        <w:t xml:space="preserve"> the name of the bidder to be inserted. In </w:t>
      </w:r>
      <w:r w:rsidR="00EA5944" w:rsidRPr="00F42759">
        <w:rPr>
          <w:rFonts w:ascii="Arial" w:hAnsi="Arial" w:cs="Arial"/>
          <w:bCs/>
          <w:lang w:val="en-GB"/>
        </w:rPr>
        <w:t>the first bid document</w:t>
      </w:r>
      <w:r w:rsidR="00F42517" w:rsidRPr="00F42759">
        <w:rPr>
          <w:rFonts w:ascii="Arial" w:hAnsi="Arial" w:cs="Arial"/>
          <w:bCs/>
          <w:lang w:val="en-GB"/>
        </w:rPr>
        <w:t xml:space="preserve"> the </w:t>
      </w:r>
      <w:r w:rsidR="00F42517" w:rsidRPr="00F42759">
        <w:rPr>
          <w:rFonts w:ascii="Arial" w:hAnsi="Arial" w:cs="Arial"/>
          <w:bCs/>
          <w:lang w:val="en-GB"/>
        </w:rPr>
        <w:lastRenderedPageBreak/>
        <w:t>name ‘Paul Grobler’ appears</w:t>
      </w:r>
      <w:r w:rsidR="00964A53" w:rsidRPr="00F42759">
        <w:rPr>
          <w:rFonts w:ascii="Arial" w:hAnsi="Arial" w:cs="Arial"/>
          <w:bCs/>
          <w:lang w:val="en-GB"/>
        </w:rPr>
        <w:t xml:space="preserve"> </w:t>
      </w:r>
      <w:r w:rsidR="00BA0875" w:rsidRPr="00F42759">
        <w:rPr>
          <w:rFonts w:ascii="Arial" w:hAnsi="Arial" w:cs="Arial"/>
          <w:bCs/>
          <w:lang w:val="en-GB"/>
        </w:rPr>
        <w:t>for a second time</w:t>
      </w:r>
      <w:r w:rsidR="00F42517" w:rsidRPr="00F42759">
        <w:rPr>
          <w:rFonts w:ascii="Arial" w:hAnsi="Arial" w:cs="Arial"/>
          <w:bCs/>
          <w:lang w:val="en-GB"/>
        </w:rPr>
        <w:t xml:space="preserve">, while in the </w:t>
      </w:r>
      <w:r w:rsidR="00EA5944" w:rsidRPr="00F42759">
        <w:rPr>
          <w:rFonts w:ascii="Arial" w:hAnsi="Arial" w:cs="Arial"/>
          <w:bCs/>
          <w:lang w:val="en-GB"/>
        </w:rPr>
        <w:t>second bid document</w:t>
      </w:r>
      <w:r w:rsidR="00F42517" w:rsidRPr="00F42759">
        <w:rPr>
          <w:rFonts w:ascii="Arial" w:hAnsi="Arial" w:cs="Arial"/>
          <w:bCs/>
          <w:lang w:val="en-GB"/>
        </w:rPr>
        <w:t xml:space="preserve"> the name ‘Marothodi Metsi and Sebata Group’ appears; </w:t>
      </w:r>
    </w:p>
    <w:p w:rsidR="00B80818" w:rsidRPr="00F42759" w:rsidRDefault="00F42759" w:rsidP="00F42759">
      <w:pPr>
        <w:tabs>
          <w:tab w:val="left" w:pos="709"/>
          <w:tab w:val="left" w:pos="1843"/>
        </w:tabs>
        <w:spacing w:line="360" w:lineRule="auto"/>
        <w:jc w:val="both"/>
        <w:rPr>
          <w:rFonts w:ascii="Arial" w:hAnsi="Arial" w:cs="Arial"/>
          <w:bCs/>
          <w:lang w:val="en-GB"/>
        </w:rPr>
      </w:pPr>
      <w:r>
        <w:rPr>
          <w:rFonts w:ascii="Arial" w:eastAsiaTheme="minorHAnsi" w:hAnsi="Arial" w:cs="Arial"/>
          <w:bCs/>
          <w:lang w:val="en-GB" w:eastAsia="en-US" w:bidi="ar-SA"/>
        </w:rPr>
        <w:t>(i)</w:t>
      </w:r>
      <w:r>
        <w:rPr>
          <w:rFonts w:ascii="Arial" w:eastAsiaTheme="minorHAnsi" w:hAnsi="Arial" w:cs="Arial"/>
          <w:bCs/>
          <w:lang w:val="en-GB" w:eastAsia="en-US" w:bidi="ar-SA"/>
        </w:rPr>
        <w:tab/>
      </w:r>
      <w:r w:rsidR="00B80818" w:rsidRPr="00F42759">
        <w:rPr>
          <w:rFonts w:ascii="Arial" w:hAnsi="Arial" w:cs="Arial"/>
          <w:bCs/>
          <w:lang w:val="en-GB"/>
        </w:rPr>
        <w:t>Page 4</w:t>
      </w:r>
      <w:r w:rsidR="004978E6" w:rsidRPr="00F42759">
        <w:rPr>
          <w:rFonts w:ascii="Arial" w:hAnsi="Arial" w:cs="Arial"/>
          <w:bCs/>
          <w:lang w:val="en-GB"/>
        </w:rPr>
        <w:t>7</w:t>
      </w:r>
      <w:r w:rsidR="00B80818" w:rsidRPr="00F42759">
        <w:rPr>
          <w:rFonts w:ascii="Arial" w:hAnsi="Arial" w:cs="Arial"/>
          <w:bCs/>
          <w:lang w:val="en-GB"/>
        </w:rPr>
        <w:t>: this is the second page of the document referred to in the previous sub-paragraph</w:t>
      </w:r>
      <w:r w:rsidR="004978E6" w:rsidRPr="00F42759">
        <w:rPr>
          <w:rFonts w:ascii="Arial" w:hAnsi="Arial" w:cs="Arial"/>
          <w:bCs/>
          <w:lang w:val="en-GB"/>
        </w:rPr>
        <w:t xml:space="preserve">. In the first bid document the name </w:t>
      </w:r>
      <w:r w:rsidR="004277A3" w:rsidRPr="00F42759">
        <w:rPr>
          <w:rFonts w:ascii="Arial" w:hAnsi="Arial" w:cs="Arial"/>
          <w:bCs/>
          <w:lang w:val="en-GB"/>
        </w:rPr>
        <w:t>‘</w:t>
      </w:r>
      <w:r w:rsidR="004978E6" w:rsidRPr="00F42759">
        <w:rPr>
          <w:rFonts w:ascii="Arial" w:hAnsi="Arial" w:cs="Arial"/>
          <w:bCs/>
          <w:lang w:val="en-GB"/>
        </w:rPr>
        <w:t>Paul Grobler</w:t>
      </w:r>
      <w:r w:rsidR="004277A3" w:rsidRPr="00F42759">
        <w:rPr>
          <w:rFonts w:ascii="Arial" w:hAnsi="Arial" w:cs="Arial"/>
          <w:bCs/>
          <w:lang w:val="en-GB"/>
        </w:rPr>
        <w:t>’</w:t>
      </w:r>
      <w:r w:rsidR="004978E6" w:rsidRPr="00F42759">
        <w:rPr>
          <w:rFonts w:ascii="Arial" w:hAnsi="Arial" w:cs="Arial"/>
          <w:bCs/>
          <w:lang w:val="en-GB"/>
        </w:rPr>
        <w:t xml:space="preserve"> appears </w:t>
      </w:r>
      <w:r w:rsidR="00BA0875" w:rsidRPr="00F42759">
        <w:rPr>
          <w:rFonts w:ascii="Arial" w:hAnsi="Arial" w:cs="Arial"/>
          <w:bCs/>
          <w:lang w:val="en-GB"/>
        </w:rPr>
        <w:t>for the third time</w:t>
      </w:r>
      <w:r w:rsidR="00FE0956" w:rsidRPr="00F42759">
        <w:rPr>
          <w:rFonts w:ascii="Arial" w:hAnsi="Arial" w:cs="Arial"/>
          <w:bCs/>
          <w:lang w:val="en-GB"/>
        </w:rPr>
        <w:t>,</w:t>
      </w:r>
      <w:r w:rsidR="00BA0875" w:rsidRPr="00F42759">
        <w:rPr>
          <w:rFonts w:ascii="Arial" w:hAnsi="Arial" w:cs="Arial"/>
          <w:bCs/>
          <w:lang w:val="en-GB"/>
        </w:rPr>
        <w:t xml:space="preserve"> </w:t>
      </w:r>
      <w:r w:rsidR="004978E6" w:rsidRPr="00F42759">
        <w:rPr>
          <w:rFonts w:ascii="Arial" w:hAnsi="Arial" w:cs="Arial"/>
          <w:bCs/>
          <w:lang w:val="en-GB"/>
        </w:rPr>
        <w:t xml:space="preserve">while the second bid document </w:t>
      </w:r>
      <w:r w:rsidR="00BA0875" w:rsidRPr="00F42759">
        <w:rPr>
          <w:rFonts w:ascii="Arial" w:hAnsi="Arial" w:cs="Arial"/>
          <w:bCs/>
          <w:lang w:val="en-GB"/>
        </w:rPr>
        <w:t xml:space="preserve">has </w:t>
      </w:r>
      <w:r w:rsidR="004978E6" w:rsidRPr="00F42759">
        <w:rPr>
          <w:rFonts w:ascii="Arial" w:hAnsi="Arial" w:cs="Arial"/>
          <w:bCs/>
          <w:lang w:val="en-GB"/>
        </w:rPr>
        <w:t>the name</w:t>
      </w:r>
      <w:r w:rsidR="00B80818" w:rsidRPr="00F42759">
        <w:rPr>
          <w:rFonts w:ascii="Arial" w:hAnsi="Arial" w:cs="Arial"/>
          <w:bCs/>
          <w:lang w:val="en-GB"/>
        </w:rPr>
        <w:t xml:space="preserve"> </w:t>
      </w:r>
      <w:r w:rsidR="004978E6" w:rsidRPr="00F42759">
        <w:rPr>
          <w:rFonts w:ascii="Arial" w:hAnsi="Arial" w:cs="Arial"/>
          <w:bCs/>
          <w:lang w:val="en-GB"/>
        </w:rPr>
        <w:t>‘Marothodi Metsi and Sebata Group’.</w:t>
      </w:r>
    </w:p>
    <w:p w:rsidR="00F42517" w:rsidRPr="00F42759" w:rsidRDefault="00F42759" w:rsidP="00F42759">
      <w:pPr>
        <w:tabs>
          <w:tab w:val="left" w:pos="709"/>
          <w:tab w:val="left" w:pos="1843"/>
        </w:tabs>
        <w:spacing w:line="360" w:lineRule="auto"/>
        <w:jc w:val="both"/>
        <w:rPr>
          <w:rFonts w:ascii="Arial" w:hAnsi="Arial" w:cs="Arial"/>
          <w:bCs/>
          <w:lang w:val="en-GB"/>
        </w:rPr>
      </w:pPr>
      <w:r>
        <w:rPr>
          <w:rFonts w:ascii="Arial" w:eastAsiaTheme="minorHAnsi" w:hAnsi="Arial" w:cs="Arial"/>
          <w:bCs/>
          <w:lang w:val="en-GB" w:eastAsia="en-US" w:bidi="ar-SA"/>
        </w:rPr>
        <w:t>(j)</w:t>
      </w:r>
      <w:r>
        <w:rPr>
          <w:rFonts w:ascii="Arial" w:eastAsiaTheme="minorHAnsi" w:hAnsi="Arial" w:cs="Arial"/>
          <w:bCs/>
          <w:lang w:val="en-GB" w:eastAsia="en-US" w:bidi="ar-SA"/>
        </w:rPr>
        <w:tab/>
      </w:r>
      <w:r w:rsidR="00F42517" w:rsidRPr="00F42759">
        <w:rPr>
          <w:rFonts w:ascii="Arial" w:hAnsi="Arial" w:cs="Arial"/>
          <w:bCs/>
          <w:lang w:val="en-GB"/>
        </w:rPr>
        <w:t>Page 49:</w:t>
      </w:r>
      <w:r w:rsidR="00F42517" w:rsidRPr="00F42759">
        <w:rPr>
          <w:rFonts w:ascii="Arial" w:hAnsi="Arial" w:cs="Arial"/>
          <w:bCs/>
          <w:lang w:val="en-GB"/>
        </w:rPr>
        <w:tab/>
        <w:t>this page also calls for the name of the bidder to be inserted. In the</w:t>
      </w:r>
      <w:r w:rsidR="00EA5944" w:rsidRPr="00F42759">
        <w:rPr>
          <w:rFonts w:ascii="Arial" w:hAnsi="Arial" w:cs="Arial"/>
          <w:bCs/>
          <w:lang w:val="en-GB"/>
        </w:rPr>
        <w:t xml:space="preserve"> first bid document</w:t>
      </w:r>
      <w:r w:rsidR="00F42517" w:rsidRPr="00F42759">
        <w:rPr>
          <w:rFonts w:ascii="Arial" w:hAnsi="Arial" w:cs="Arial"/>
          <w:bCs/>
          <w:lang w:val="en-GB"/>
        </w:rPr>
        <w:t xml:space="preserve"> the name ‘Paul Grobler’ appears </w:t>
      </w:r>
      <w:r w:rsidR="00964A53" w:rsidRPr="00F42759">
        <w:rPr>
          <w:rFonts w:ascii="Arial" w:hAnsi="Arial" w:cs="Arial"/>
          <w:bCs/>
          <w:lang w:val="en-GB"/>
        </w:rPr>
        <w:t xml:space="preserve">for a </w:t>
      </w:r>
      <w:r w:rsidR="00BA0875" w:rsidRPr="00F42759">
        <w:rPr>
          <w:rFonts w:ascii="Arial" w:hAnsi="Arial" w:cs="Arial"/>
          <w:bCs/>
          <w:lang w:val="en-GB"/>
        </w:rPr>
        <w:t>fourth</w:t>
      </w:r>
      <w:r w:rsidR="00964A53" w:rsidRPr="00F42759">
        <w:rPr>
          <w:rFonts w:ascii="Arial" w:hAnsi="Arial" w:cs="Arial"/>
          <w:bCs/>
          <w:lang w:val="en-GB"/>
        </w:rPr>
        <w:t xml:space="preserve"> time</w:t>
      </w:r>
      <w:r w:rsidR="00FE0956" w:rsidRPr="00F42759">
        <w:rPr>
          <w:rFonts w:ascii="Arial" w:hAnsi="Arial" w:cs="Arial"/>
          <w:bCs/>
          <w:lang w:val="en-GB"/>
        </w:rPr>
        <w:t>,</w:t>
      </w:r>
      <w:r w:rsidR="00964A53" w:rsidRPr="00F42759">
        <w:rPr>
          <w:rFonts w:ascii="Arial" w:hAnsi="Arial" w:cs="Arial"/>
          <w:bCs/>
          <w:lang w:val="en-GB"/>
        </w:rPr>
        <w:t xml:space="preserve"> </w:t>
      </w:r>
      <w:r w:rsidR="00F42517" w:rsidRPr="00F42759">
        <w:rPr>
          <w:rFonts w:ascii="Arial" w:hAnsi="Arial" w:cs="Arial"/>
          <w:bCs/>
          <w:lang w:val="en-GB"/>
        </w:rPr>
        <w:t xml:space="preserve">while in the </w:t>
      </w:r>
      <w:r w:rsidR="00EA5944" w:rsidRPr="00F42759">
        <w:rPr>
          <w:rFonts w:ascii="Arial" w:hAnsi="Arial" w:cs="Arial"/>
          <w:bCs/>
          <w:lang w:val="en-GB"/>
        </w:rPr>
        <w:t>second bid document</w:t>
      </w:r>
      <w:r w:rsidR="00F42517" w:rsidRPr="00F42759">
        <w:rPr>
          <w:rFonts w:ascii="Arial" w:hAnsi="Arial" w:cs="Arial"/>
          <w:bCs/>
          <w:lang w:val="en-GB"/>
        </w:rPr>
        <w:t xml:space="preserve"> the name ‘Marothodi Metsi and Sebata Group’ appears.</w:t>
      </w:r>
    </w:p>
    <w:p w:rsidR="00316A3E" w:rsidRPr="008A1A21" w:rsidRDefault="00316A3E" w:rsidP="007755EC">
      <w:pPr>
        <w:tabs>
          <w:tab w:val="left" w:pos="709"/>
        </w:tabs>
        <w:spacing w:line="360" w:lineRule="auto"/>
        <w:ind w:left="360"/>
        <w:jc w:val="both"/>
        <w:rPr>
          <w:rFonts w:ascii="Arial" w:hAnsi="Arial" w:cs="Arial"/>
          <w:bCs/>
          <w:lang w:val="en-GB"/>
        </w:rPr>
      </w:pPr>
    </w:p>
    <w:p w:rsidR="00D27123" w:rsidRPr="00F42759" w:rsidRDefault="00F42759" w:rsidP="00F42759">
      <w:pPr>
        <w:tabs>
          <w:tab w:val="left" w:pos="709"/>
        </w:tabs>
        <w:spacing w:line="360" w:lineRule="auto"/>
        <w:jc w:val="both"/>
        <w:rPr>
          <w:rFonts w:ascii="Arial" w:hAnsi="Arial" w:cs="Arial"/>
          <w:bCs/>
          <w:lang w:val="en-GB"/>
        </w:rPr>
      </w:pPr>
      <w:r w:rsidRPr="0022401D">
        <w:rPr>
          <w:rFonts w:ascii="Arial" w:eastAsiaTheme="minorHAnsi" w:hAnsi="Arial" w:cs="Arial"/>
          <w:bCs/>
          <w:lang w:val="en-GB" w:eastAsia="en-US" w:bidi="ar-SA"/>
        </w:rPr>
        <w:t>[34]</w:t>
      </w:r>
      <w:r w:rsidRPr="0022401D">
        <w:rPr>
          <w:rFonts w:ascii="Arial" w:eastAsiaTheme="minorHAnsi" w:hAnsi="Arial" w:cs="Arial"/>
          <w:bCs/>
          <w:lang w:val="en-GB" w:eastAsia="en-US" w:bidi="ar-SA"/>
        </w:rPr>
        <w:tab/>
      </w:r>
      <w:r w:rsidR="00FE0956" w:rsidRPr="00F42759">
        <w:rPr>
          <w:rFonts w:ascii="Arial" w:hAnsi="Arial" w:cs="Arial"/>
          <w:bCs/>
          <w:lang w:val="en-GB"/>
        </w:rPr>
        <w:t>T</w:t>
      </w:r>
      <w:r w:rsidR="00764135" w:rsidRPr="00F42759">
        <w:rPr>
          <w:rFonts w:ascii="Arial" w:hAnsi="Arial" w:cs="Arial"/>
          <w:bCs/>
          <w:lang w:val="en-GB"/>
        </w:rPr>
        <w:t xml:space="preserve">here is a further significant difference between the two bid documents that does not relate to the identity of the bidder. </w:t>
      </w:r>
      <w:r w:rsidR="00484352" w:rsidRPr="00F42759">
        <w:rPr>
          <w:rFonts w:ascii="Arial" w:hAnsi="Arial" w:cs="Arial"/>
          <w:bCs/>
          <w:lang w:val="en-GB"/>
        </w:rPr>
        <w:t>At page 57 of the bid document, the bidder is required to provide a pricing summary. The contract to be concluded in the event of a bid being successful w</w:t>
      </w:r>
      <w:r w:rsidR="00BA0875" w:rsidRPr="00F42759">
        <w:rPr>
          <w:rFonts w:ascii="Arial" w:hAnsi="Arial" w:cs="Arial"/>
          <w:bCs/>
          <w:lang w:val="en-GB"/>
        </w:rPr>
        <w:t>as to be for a period of</w:t>
      </w:r>
      <w:r w:rsidR="00484352" w:rsidRPr="00F42759">
        <w:rPr>
          <w:rFonts w:ascii="Arial" w:hAnsi="Arial" w:cs="Arial"/>
          <w:bCs/>
          <w:lang w:val="en-GB"/>
        </w:rPr>
        <w:t xml:space="preserve"> three years</w:t>
      </w:r>
      <w:r w:rsidR="00CC495E" w:rsidRPr="00F42759">
        <w:rPr>
          <w:rFonts w:ascii="Arial" w:hAnsi="Arial" w:cs="Arial"/>
          <w:bCs/>
          <w:lang w:val="en-GB"/>
        </w:rPr>
        <w:t>. This</w:t>
      </w:r>
      <w:r w:rsidR="007755EC" w:rsidRPr="00F42759">
        <w:rPr>
          <w:rFonts w:ascii="Arial" w:hAnsi="Arial" w:cs="Arial"/>
          <w:bCs/>
          <w:lang w:val="en-GB"/>
        </w:rPr>
        <w:t xml:space="preserve"> page</w:t>
      </w:r>
      <w:r w:rsidR="00484352" w:rsidRPr="00F42759">
        <w:rPr>
          <w:rFonts w:ascii="Arial" w:hAnsi="Arial" w:cs="Arial"/>
          <w:bCs/>
          <w:lang w:val="en-GB"/>
        </w:rPr>
        <w:t xml:space="preserve"> </w:t>
      </w:r>
      <w:r w:rsidR="007755EC" w:rsidRPr="00F42759">
        <w:rPr>
          <w:rFonts w:ascii="Arial" w:hAnsi="Arial" w:cs="Arial"/>
          <w:bCs/>
          <w:lang w:val="en-GB"/>
        </w:rPr>
        <w:t xml:space="preserve">accordingly required the unit cost of a smart meter to be specified and then </w:t>
      </w:r>
      <w:r w:rsidR="004277A3" w:rsidRPr="00F42759">
        <w:rPr>
          <w:rFonts w:ascii="Arial" w:hAnsi="Arial" w:cs="Arial"/>
          <w:bCs/>
          <w:lang w:val="en-GB"/>
        </w:rPr>
        <w:t xml:space="preserve">sought the </w:t>
      </w:r>
      <w:r w:rsidR="007755EC" w:rsidRPr="00F42759">
        <w:rPr>
          <w:rFonts w:ascii="Arial" w:hAnsi="Arial" w:cs="Arial"/>
          <w:bCs/>
          <w:lang w:val="en-GB"/>
        </w:rPr>
        <w:t xml:space="preserve">price </w:t>
      </w:r>
      <w:r w:rsidR="00D27123" w:rsidRPr="00F42759">
        <w:rPr>
          <w:rFonts w:ascii="Arial" w:hAnsi="Arial" w:cs="Arial"/>
          <w:bCs/>
          <w:lang w:val="en-GB"/>
        </w:rPr>
        <w:t>for each year of the three-year period. In the first bid document</w:t>
      </w:r>
      <w:r w:rsidR="0022401D" w:rsidRPr="00F42759">
        <w:rPr>
          <w:rFonts w:ascii="Arial" w:hAnsi="Arial" w:cs="Arial"/>
          <w:bCs/>
          <w:lang w:val="en-GB"/>
        </w:rPr>
        <w:t>, the</w:t>
      </w:r>
      <w:r w:rsidR="00D27123" w:rsidRPr="00F42759">
        <w:rPr>
          <w:rFonts w:ascii="Arial" w:hAnsi="Arial" w:cs="Arial"/>
          <w:bCs/>
          <w:lang w:val="en-GB"/>
        </w:rPr>
        <w:t xml:space="preserve"> </w:t>
      </w:r>
      <w:r w:rsidR="00BA0875" w:rsidRPr="00F42759">
        <w:rPr>
          <w:rFonts w:ascii="Arial" w:hAnsi="Arial" w:cs="Arial"/>
          <w:bCs/>
          <w:lang w:val="en-GB"/>
        </w:rPr>
        <w:t>space</w:t>
      </w:r>
      <w:r w:rsidR="00D27123" w:rsidRPr="00F42759">
        <w:rPr>
          <w:rFonts w:ascii="Arial" w:hAnsi="Arial" w:cs="Arial"/>
          <w:bCs/>
          <w:lang w:val="en-GB"/>
        </w:rPr>
        <w:t xml:space="preserve"> </w:t>
      </w:r>
      <w:r w:rsidR="0022401D" w:rsidRPr="00F42759">
        <w:rPr>
          <w:rFonts w:ascii="Arial" w:hAnsi="Arial" w:cs="Arial"/>
          <w:bCs/>
          <w:lang w:val="en-GB"/>
        </w:rPr>
        <w:t xml:space="preserve">on the document </w:t>
      </w:r>
      <w:r w:rsidR="00D27123" w:rsidRPr="00F42759">
        <w:rPr>
          <w:rFonts w:ascii="Arial" w:hAnsi="Arial" w:cs="Arial"/>
          <w:bCs/>
          <w:lang w:val="en-GB"/>
        </w:rPr>
        <w:t>for the unit cost of a smart meter</w:t>
      </w:r>
      <w:r w:rsidR="004277A3" w:rsidRPr="00F42759">
        <w:rPr>
          <w:rFonts w:ascii="Arial" w:hAnsi="Arial" w:cs="Arial"/>
          <w:bCs/>
          <w:lang w:val="en-GB"/>
        </w:rPr>
        <w:t xml:space="preserve"> </w:t>
      </w:r>
      <w:r w:rsidR="00D27123" w:rsidRPr="00F42759">
        <w:rPr>
          <w:rFonts w:ascii="Arial" w:hAnsi="Arial" w:cs="Arial"/>
          <w:bCs/>
          <w:lang w:val="en-GB"/>
        </w:rPr>
        <w:t>is left blank</w:t>
      </w:r>
      <w:r w:rsidR="00153B95" w:rsidRPr="00F42759">
        <w:rPr>
          <w:rFonts w:ascii="Arial" w:hAnsi="Arial" w:cs="Arial"/>
          <w:bCs/>
          <w:lang w:val="en-GB"/>
        </w:rPr>
        <w:t>,</w:t>
      </w:r>
      <w:r w:rsidR="00D27123" w:rsidRPr="00F42759">
        <w:rPr>
          <w:rFonts w:ascii="Arial" w:hAnsi="Arial" w:cs="Arial"/>
          <w:bCs/>
          <w:lang w:val="en-GB"/>
        </w:rPr>
        <w:t xml:space="preserve"> but the price for </w:t>
      </w:r>
      <w:r w:rsidR="007755EC" w:rsidRPr="00F42759">
        <w:rPr>
          <w:rFonts w:ascii="Arial" w:hAnsi="Arial" w:cs="Arial"/>
          <w:bCs/>
          <w:lang w:val="en-GB"/>
        </w:rPr>
        <w:t xml:space="preserve">the first year was expressed as being R295, the cost </w:t>
      </w:r>
      <w:r w:rsidR="0022401D" w:rsidRPr="00F42759">
        <w:rPr>
          <w:rFonts w:ascii="Arial" w:hAnsi="Arial" w:cs="Arial"/>
          <w:bCs/>
          <w:lang w:val="en-GB"/>
        </w:rPr>
        <w:t>for</w:t>
      </w:r>
      <w:r w:rsidR="007755EC" w:rsidRPr="00F42759">
        <w:rPr>
          <w:rFonts w:ascii="Arial" w:hAnsi="Arial" w:cs="Arial"/>
          <w:bCs/>
          <w:lang w:val="en-GB"/>
        </w:rPr>
        <w:t xml:space="preserve"> the second year </w:t>
      </w:r>
      <w:r w:rsidR="0022401D" w:rsidRPr="00F42759">
        <w:rPr>
          <w:rFonts w:ascii="Arial" w:hAnsi="Arial" w:cs="Arial"/>
          <w:bCs/>
          <w:lang w:val="en-GB"/>
        </w:rPr>
        <w:t>w</w:t>
      </w:r>
      <w:r w:rsidR="007755EC" w:rsidRPr="00F42759">
        <w:rPr>
          <w:rFonts w:ascii="Arial" w:hAnsi="Arial" w:cs="Arial"/>
          <w:bCs/>
          <w:lang w:val="en-GB"/>
        </w:rPr>
        <w:t>as</w:t>
      </w:r>
      <w:r w:rsidR="000B7B36" w:rsidRPr="00F42759">
        <w:rPr>
          <w:rFonts w:ascii="Arial" w:hAnsi="Arial" w:cs="Arial"/>
          <w:bCs/>
          <w:lang w:val="en-GB"/>
        </w:rPr>
        <w:t xml:space="preserve"> expressed as being</w:t>
      </w:r>
      <w:r w:rsidR="007755EC" w:rsidRPr="00F42759">
        <w:rPr>
          <w:rFonts w:ascii="Arial" w:hAnsi="Arial" w:cs="Arial"/>
          <w:bCs/>
          <w:lang w:val="en-GB"/>
        </w:rPr>
        <w:t xml:space="preserve"> R324</w:t>
      </w:r>
      <w:r w:rsidR="00CA1149" w:rsidRPr="00F42759">
        <w:rPr>
          <w:rFonts w:ascii="Arial" w:hAnsi="Arial" w:cs="Arial"/>
          <w:bCs/>
          <w:lang w:val="en-GB"/>
        </w:rPr>
        <w:t>.</w:t>
      </w:r>
      <w:r w:rsidR="007755EC" w:rsidRPr="00F42759">
        <w:rPr>
          <w:rFonts w:ascii="Arial" w:hAnsi="Arial" w:cs="Arial"/>
          <w:bCs/>
          <w:lang w:val="en-GB"/>
        </w:rPr>
        <w:t xml:space="preserve">50 and </w:t>
      </w:r>
      <w:r w:rsidR="0022401D" w:rsidRPr="00F42759">
        <w:rPr>
          <w:rFonts w:ascii="Arial" w:hAnsi="Arial" w:cs="Arial"/>
          <w:bCs/>
          <w:lang w:val="en-GB"/>
        </w:rPr>
        <w:t xml:space="preserve">in </w:t>
      </w:r>
      <w:r w:rsidR="007755EC" w:rsidRPr="00F42759">
        <w:rPr>
          <w:rFonts w:ascii="Arial" w:hAnsi="Arial" w:cs="Arial"/>
          <w:bCs/>
          <w:lang w:val="en-GB"/>
        </w:rPr>
        <w:t>the third</w:t>
      </w:r>
      <w:r w:rsidR="0022401D" w:rsidRPr="00F42759">
        <w:rPr>
          <w:rFonts w:ascii="Arial" w:hAnsi="Arial" w:cs="Arial"/>
          <w:bCs/>
          <w:lang w:val="en-GB"/>
        </w:rPr>
        <w:t>,</w:t>
      </w:r>
      <w:r w:rsidR="007755EC" w:rsidRPr="00F42759">
        <w:rPr>
          <w:rFonts w:ascii="Arial" w:hAnsi="Arial" w:cs="Arial"/>
          <w:bCs/>
          <w:lang w:val="en-GB"/>
        </w:rPr>
        <w:t xml:space="preserve"> and final year</w:t>
      </w:r>
      <w:r w:rsidR="0022401D" w:rsidRPr="00F42759">
        <w:rPr>
          <w:rFonts w:ascii="Arial" w:hAnsi="Arial" w:cs="Arial"/>
          <w:bCs/>
          <w:lang w:val="en-GB"/>
        </w:rPr>
        <w:t>,</w:t>
      </w:r>
      <w:r w:rsidR="007755EC" w:rsidRPr="00F42759">
        <w:rPr>
          <w:rFonts w:ascii="Arial" w:hAnsi="Arial" w:cs="Arial"/>
          <w:bCs/>
          <w:lang w:val="en-GB"/>
        </w:rPr>
        <w:t xml:space="preserve"> the cost was </w:t>
      </w:r>
      <w:r w:rsidR="000B7B36" w:rsidRPr="00F42759">
        <w:rPr>
          <w:rFonts w:ascii="Arial" w:hAnsi="Arial" w:cs="Arial"/>
          <w:bCs/>
          <w:lang w:val="en-GB"/>
        </w:rPr>
        <w:t xml:space="preserve">expressed as being </w:t>
      </w:r>
      <w:r w:rsidR="0022401D" w:rsidRPr="00F42759">
        <w:rPr>
          <w:rFonts w:ascii="Arial" w:hAnsi="Arial" w:cs="Arial"/>
          <w:bCs/>
          <w:lang w:val="en-GB"/>
        </w:rPr>
        <w:t>R</w:t>
      </w:r>
      <w:r w:rsidR="00D27123" w:rsidRPr="00F42759">
        <w:rPr>
          <w:rFonts w:ascii="Arial" w:hAnsi="Arial" w:cs="Arial"/>
          <w:bCs/>
          <w:lang w:val="en-GB"/>
        </w:rPr>
        <w:t>356</w:t>
      </w:r>
      <w:r w:rsidR="00CA1149" w:rsidRPr="00F42759">
        <w:rPr>
          <w:rFonts w:ascii="Arial" w:hAnsi="Arial" w:cs="Arial"/>
          <w:bCs/>
          <w:lang w:val="en-GB"/>
        </w:rPr>
        <w:t>.</w:t>
      </w:r>
      <w:r w:rsidR="00D27123" w:rsidRPr="00F42759">
        <w:rPr>
          <w:rFonts w:ascii="Arial" w:hAnsi="Arial" w:cs="Arial"/>
          <w:bCs/>
          <w:lang w:val="en-GB"/>
        </w:rPr>
        <w:t xml:space="preserve">95. Adding these amounts together, and adding VAT, the total </w:t>
      </w:r>
      <w:r w:rsidR="00153B95" w:rsidRPr="00F42759">
        <w:rPr>
          <w:rFonts w:ascii="Arial" w:hAnsi="Arial" w:cs="Arial"/>
          <w:bCs/>
          <w:lang w:val="en-GB"/>
        </w:rPr>
        <w:t>comes to</w:t>
      </w:r>
      <w:r w:rsidR="00D27123" w:rsidRPr="00F42759">
        <w:rPr>
          <w:rFonts w:ascii="Arial" w:hAnsi="Arial" w:cs="Arial"/>
          <w:bCs/>
          <w:lang w:val="en-GB"/>
        </w:rPr>
        <w:t xml:space="preserve"> R1 122</w:t>
      </w:r>
      <w:r w:rsidR="00CA1149" w:rsidRPr="00F42759">
        <w:rPr>
          <w:rFonts w:ascii="Arial" w:hAnsi="Arial" w:cs="Arial"/>
          <w:bCs/>
          <w:lang w:val="en-GB"/>
        </w:rPr>
        <w:t>.</w:t>
      </w:r>
      <w:r w:rsidR="00D27123" w:rsidRPr="00F42759">
        <w:rPr>
          <w:rFonts w:ascii="Arial" w:hAnsi="Arial" w:cs="Arial"/>
          <w:bCs/>
          <w:lang w:val="en-GB"/>
        </w:rPr>
        <w:t>92.</w:t>
      </w:r>
      <w:r w:rsidR="0022401D" w:rsidRPr="00F42759">
        <w:rPr>
          <w:rFonts w:ascii="Arial" w:hAnsi="Arial" w:cs="Arial"/>
          <w:bCs/>
          <w:lang w:val="en-GB"/>
        </w:rPr>
        <w:t xml:space="preserve"> </w:t>
      </w:r>
      <w:r w:rsidR="00D27123" w:rsidRPr="00F42759">
        <w:rPr>
          <w:rFonts w:ascii="Arial" w:hAnsi="Arial" w:cs="Arial"/>
          <w:bCs/>
          <w:lang w:val="en-GB"/>
        </w:rPr>
        <w:t xml:space="preserve">In the second bid document, </w:t>
      </w:r>
      <w:r w:rsidR="00153B95" w:rsidRPr="00F42759">
        <w:rPr>
          <w:rFonts w:ascii="Arial" w:hAnsi="Arial" w:cs="Arial"/>
          <w:bCs/>
          <w:lang w:val="en-GB"/>
        </w:rPr>
        <w:t>i</w:t>
      </w:r>
      <w:r w:rsidR="00D27123" w:rsidRPr="00F42759">
        <w:rPr>
          <w:rFonts w:ascii="Arial" w:hAnsi="Arial" w:cs="Arial"/>
          <w:bCs/>
          <w:lang w:val="en-GB"/>
        </w:rPr>
        <w:t xml:space="preserve">n the </w:t>
      </w:r>
      <w:r w:rsidR="00BA0875" w:rsidRPr="00F42759">
        <w:rPr>
          <w:rFonts w:ascii="Arial" w:hAnsi="Arial" w:cs="Arial"/>
          <w:bCs/>
          <w:lang w:val="en-GB"/>
        </w:rPr>
        <w:t>space</w:t>
      </w:r>
      <w:r w:rsidR="00D27123" w:rsidRPr="00F42759">
        <w:rPr>
          <w:rFonts w:ascii="Arial" w:hAnsi="Arial" w:cs="Arial"/>
          <w:bCs/>
          <w:lang w:val="en-GB"/>
        </w:rPr>
        <w:t xml:space="preserve"> for the unit cost of a smart meter</w:t>
      </w:r>
      <w:r w:rsidR="00CA1149" w:rsidRPr="00F42759">
        <w:rPr>
          <w:rFonts w:ascii="Arial" w:hAnsi="Arial" w:cs="Arial"/>
          <w:bCs/>
          <w:lang w:val="en-GB"/>
        </w:rPr>
        <w:t>,</w:t>
      </w:r>
      <w:r w:rsidR="00D27123" w:rsidRPr="00F42759">
        <w:rPr>
          <w:rFonts w:ascii="Arial" w:hAnsi="Arial" w:cs="Arial"/>
          <w:bCs/>
          <w:lang w:val="en-GB"/>
        </w:rPr>
        <w:t xml:space="preserve"> the aforementioned figure of R1</w:t>
      </w:r>
      <w:r w:rsidR="00EE1D21" w:rsidRPr="00F42759">
        <w:rPr>
          <w:rFonts w:ascii="Arial" w:hAnsi="Arial" w:cs="Arial"/>
          <w:bCs/>
          <w:lang w:val="en-GB"/>
        </w:rPr>
        <w:t> 122</w:t>
      </w:r>
      <w:r w:rsidR="00CA1149" w:rsidRPr="00F42759">
        <w:rPr>
          <w:rFonts w:ascii="Arial" w:hAnsi="Arial" w:cs="Arial"/>
          <w:bCs/>
          <w:lang w:val="en-GB"/>
        </w:rPr>
        <w:t>.</w:t>
      </w:r>
      <w:r w:rsidR="00EE1D21" w:rsidRPr="00F42759">
        <w:rPr>
          <w:rFonts w:ascii="Arial" w:hAnsi="Arial" w:cs="Arial"/>
          <w:bCs/>
          <w:lang w:val="en-GB"/>
        </w:rPr>
        <w:t xml:space="preserve">92 appears. </w:t>
      </w:r>
      <w:r w:rsidR="00103F1A" w:rsidRPr="00F42759">
        <w:rPr>
          <w:rFonts w:ascii="Arial" w:hAnsi="Arial" w:cs="Arial"/>
          <w:bCs/>
          <w:lang w:val="en-GB"/>
        </w:rPr>
        <w:t>However,</w:t>
      </w:r>
      <w:r w:rsidR="00EE1D21" w:rsidRPr="00F42759">
        <w:rPr>
          <w:rFonts w:ascii="Arial" w:hAnsi="Arial" w:cs="Arial"/>
          <w:bCs/>
          <w:lang w:val="en-GB"/>
        </w:rPr>
        <w:t xml:space="preserve"> the price per annum has now skyrocketed to R227 699 001</w:t>
      </w:r>
      <w:r w:rsidR="00CA1149" w:rsidRPr="00F42759">
        <w:rPr>
          <w:rFonts w:ascii="Arial" w:hAnsi="Arial" w:cs="Arial"/>
          <w:bCs/>
          <w:lang w:val="en-GB"/>
        </w:rPr>
        <w:t>.</w:t>
      </w:r>
      <w:r w:rsidR="00EE1D21" w:rsidRPr="00F42759">
        <w:rPr>
          <w:rFonts w:ascii="Arial" w:hAnsi="Arial" w:cs="Arial"/>
          <w:bCs/>
          <w:lang w:val="en-GB"/>
        </w:rPr>
        <w:t>33</w:t>
      </w:r>
      <w:r w:rsidR="00CA1149" w:rsidRPr="00F42759">
        <w:rPr>
          <w:rFonts w:ascii="Arial" w:hAnsi="Arial" w:cs="Arial"/>
          <w:bCs/>
          <w:lang w:val="en-GB"/>
        </w:rPr>
        <w:t>,</w:t>
      </w:r>
      <w:r w:rsidR="00EE1D21" w:rsidRPr="00F42759">
        <w:rPr>
          <w:rFonts w:ascii="Arial" w:hAnsi="Arial" w:cs="Arial"/>
          <w:bCs/>
          <w:lang w:val="en-GB"/>
        </w:rPr>
        <w:t xml:space="preserve"> for each of the three years. The total cost for the three years of the contract, including VAT, </w:t>
      </w:r>
      <w:r w:rsidR="0022401D" w:rsidRPr="00F42759">
        <w:rPr>
          <w:rFonts w:ascii="Arial" w:hAnsi="Arial" w:cs="Arial"/>
          <w:bCs/>
          <w:lang w:val="en-GB"/>
        </w:rPr>
        <w:t xml:space="preserve">now </w:t>
      </w:r>
      <w:r w:rsidR="00EE1D21" w:rsidRPr="00F42759">
        <w:rPr>
          <w:rFonts w:ascii="Arial" w:hAnsi="Arial" w:cs="Arial"/>
          <w:bCs/>
          <w:lang w:val="en-GB"/>
        </w:rPr>
        <w:t xml:space="preserve">comes to </w:t>
      </w:r>
      <w:r w:rsidR="00153B95" w:rsidRPr="00F42759">
        <w:rPr>
          <w:rFonts w:ascii="Arial" w:hAnsi="Arial" w:cs="Arial"/>
          <w:bCs/>
          <w:lang w:val="en-GB"/>
        </w:rPr>
        <w:t>the staggering amount of</w:t>
      </w:r>
      <w:r w:rsidR="00EE1D21" w:rsidRPr="00F42759">
        <w:rPr>
          <w:rFonts w:ascii="Arial" w:hAnsi="Arial" w:cs="Arial"/>
          <w:bCs/>
          <w:lang w:val="en-GB"/>
        </w:rPr>
        <w:t xml:space="preserve"> R785 561 554</w:t>
      </w:r>
      <w:r w:rsidR="00CA1149" w:rsidRPr="00F42759">
        <w:rPr>
          <w:rFonts w:ascii="Arial" w:hAnsi="Arial" w:cs="Arial"/>
          <w:bCs/>
          <w:lang w:val="en-GB"/>
        </w:rPr>
        <w:t>.</w:t>
      </w:r>
      <w:r w:rsidR="00EE1D21" w:rsidRPr="00F42759">
        <w:rPr>
          <w:rFonts w:ascii="Arial" w:hAnsi="Arial" w:cs="Arial"/>
          <w:bCs/>
          <w:lang w:val="en-GB"/>
        </w:rPr>
        <w:t>59.</w:t>
      </w:r>
    </w:p>
    <w:p w:rsidR="00764135" w:rsidRDefault="00764135" w:rsidP="00764135">
      <w:pPr>
        <w:pStyle w:val="ListParagraph"/>
        <w:tabs>
          <w:tab w:val="left" w:pos="709"/>
        </w:tabs>
        <w:spacing w:line="360" w:lineRule="auto"/>
        <w:ind w:left="0"/>
        <w:jc w:val="both"/>
        <w:rPr>
          <w:rFonts w:ascii="Arial" w:hAnsi="Arial" w:cs="Arial"/>
          <w:bCs/>
          <w:lang w:val="en-GB"/>
        </w:rPr>
      </w:pPr>
    </w:p>
    <w:p w:rsidR="00090EDA" w:rsidRPr="00F42759" w:rsidRDefault="00F42759" w:rsidP="00F42759">
      <w:pPr>
        <w:tabs>
          <w:tab w:val="left" w:pos="709"/>
        </w:tabs>
        <w:spacing w:line="360" w:lineRule="auto"/>
        <w:jc w:val="both"/>
        <w:rPr>
          <w:rFonts w:ascii="Arial" w:hAnsi="Arial" w:cs="Arial"/>
          <w:bCs/>
          <w:lang w:val="en-GB"/>
        </w:rPr>
      </w:pPr>
      <w:r>
        <w:rPr>
          <w:rFonts w:ascii="Arial" w:eastAsiaTheme="minorHAnsi" w:hAnsi="Arial" w:cs="Arial"/>
          <w:bCs/>
          <w:lang w:val="en-GB" w:eastAsia="en-US" w:bidi="ar-SA"/>
        </w:rPr>
        <w:t>[35]</w:t>
      </w:r>
      <w:r>
        <w:rPr>
          <w:rFonts w:ascii="Arial" w:eastAsiaTheme="minorHAnsi" w:hAnsi="Arial" w:cs="Arial"/>
          <w:bCs/>
          <w:lang w:val="en-GB" w:eastAsia="en-US" w:bidi="ar-SA"/>
        </w:rPr>
        <w:tab/>
      </w:r>
      <w:r w:rsidR="00F42517" w:rsidRPr="00F42759">
        <w:rPr>
          <w:rFonts w:ascii="Arial" w:hAnsi="Arial" w:cs="Arial"/>
          <w:bCs/>
          <w:lang w:val="en-GB"/>
        </w:rPr>
        <w:t>From th</w:t>
      </w:r>
      <w:r w:rsidR="00764135" w:rsidRPr="00F42759">
        <w:rPr>
          <w:rFonts w:ascii="Arial" w:hAnsi="Arial" w:cs="Arial"/>
          <w:bCs/>
          <w:lang w:val="en-GB"/>
        </w:rPr>
        <w:t>e</w:t>
      </w:r>
      <w:r w:rsidR="00F42517" w:rsidRPr="00F42759">
        <w:rPr>
          <w:rFonts w:ascii="Arial" w:hAnsi="Arial" w:cs="Arial"/>
          <w:bCs/>
          <w:lang w:val="en-GB"/>
        </w:rPr>
        <w:t xml:space="preserve"> rather tedious </w:t>
      </w:r>
      <w:r w:rsidR="00764135" w:rsidRPr="00F42759">
        <w:rPr>
          <w:rFonts w:ascii="Arial" w:hAnsi="Arial" w:cs="Arial"/>
          <w:bCs/>
          <w:lang w:val="en-GB"/>
        </w:rPr>
        <w:t xml:space="preserve">comparison </w:t>
      </w:r>
      <w:r w:rsidR="00F42517" w:rsidRPr="00F42759">
        <w:rPr>
          <w:rFonts w:ascii="Arial" w:hAnsi="Arial" w:cs="Arial"/>
          <w:bCs/>
          <w:lang w:val="en-GB"/>
        </w:rPr>
        <w:t>exercise</w:t>
      </w:r>
      <w:r w:rsidR="00153B95" w:rsidRPr="00F42759">
        <w:rPr>
          <w:rFonts w:ascii="Arial" w:hAnsi="Arial" w:cs="Arial"/>
          <w:bCs/>
          <w:lang w:val="en-GB"/>
        </w:rPr>
        <w:t xml:space="preserve"> referred to above</w:t>
      </w:r>
      <w:r w:rsidR="00F42517" w:rsidRPr="00F42759">
        <w:rPr>
          <w:rFonts w:ascii="Arial" w:hAnsi="Arial" w:cs="Arial"/>
          <w:bCs/>
          <w:lang w:val="en-GB"/>
        </w:rPr>
        <w:t xml:space="preserve">, it </w:t>
      </w:r>
      <w:r w:rsidR="00764135" w:rsidRPr="00F42759">
        <w:rPr>
          <w:rFonts w:ascii="Arial" w:hAnsi="Arial" w:cs="Arial"/>
          <w:bCs/>
          <w:lang w:val="en-GB"/>
        </w:rPr>
        <w:t xml:space="preserve">is </w:t>
      </w:r>
      <w:r w:rsidR="00F42517" w:rsidRPr="00F42759">
        <w:rPr>
          <w:rFonts w:ascii="Arial" w:hAnsi="Arial" w:cs="Arial"/>
          <w:bCs/>
          <w:lang w:val="en-GB"/>
        </w:rPr>
        <w:t xml:space="preserve">apparent that in </w:t>
      </w:r>
      <w:r w:rsidR="00062DC4" w:rsidRPr="00F42759">
        <w:rPr>
          <w:rFonts w:ascii="Arial" w:hAnsi="Arial" w:cs="Arial"/>
          <w:bCs/>
          <w:lang w:val="en-GB"/>
        </w:rPr>
        <w:t>every</w:t>
      </w:r>
      <w:r w:rsidR="00F42517" w:rsidRPr="00F42759">
        <w:rPr>
          <w:rFonts w:ascii="Arial" w:hAnsi="Arial" w:cs="Arial"/>
          <w:bCs/>
          <w:lang w:val="en-GB"/>
        </w:rPr>
        <w:t xml:space="preserve"> instance in </w:t>
      </w:r>
      <w:r w:rsidR="00EA5944" w:rsidRPr="00F42759">
        <w:rPr>
          <w:rFonts w:ascii="Arial" w:hAnsi="Arial" w:cs="Arial"/>
          <w:bCs/>
          <w:lang w:val="en-GB"/>
        </w:rPr>
        <w:t>the second bid document</w:t>
      </w:r>
      <w:r w:rsidR="00F42517" w:rsidRPr="00F42759">
        <w:rPr>
          <w:rFonts w:ascii="Arial" w:hAnsi="Arial" w:cs="Arial"/>
          <w:bCs/>
          <w:lang w:val="en-GB"/>
        </w:rPr>
        <w:t xml:space="preserve"> where the identity of the bidder is requested, and there are </w:t>
      </w:r>
      <w:r w:rsidR="007B0323" w:rsidRPr="00F42759">
        <w:rPr>
          <w:rFonts w:ascii="Arial" w:hAnsi="Arial" w:cs="Arial"/>
          <w:bCs/>
          <w:lang w:val="en-GB"/>
        </w:rPr>
        <w:t>ten</w:t>
      </w:r>
      <w:r w:rsidR="00F42517" w:rsidRPr="00F42759">
        <w:rPr>
          <w:rFonts w:ascii="Arial" w:hAnsi="Arial" w:cs="Arial"/>
          <w:bCs/>
          <w:lang w:val="en-GB"/>
        </w:rPr>
        <w:t xml:space="preserve"> such instances, the name </w:t>
      </w:r>
      <w:r w:rsidR="00EA5944" w:rsidRPr="00F42759">
        <w:rPr>
          <w:rFonts w:ascii="Arial" w:hAnsi="Arial" w:cs="Arial"/>
          <w:bCs/>
          <w:lang w:val="en-GB"/>
        </w:rPr>
        <w:t>supplied</w:t>
      </w:r>
      <w:r w:rsidR="00062DC4" w:rsidRPr="00F42759">
        <w:rPr>
          <w:rFonts w:ascii="Arial" w:hAnsi="Arial" w:cs="Arial"/>
          <w:bCs/>
          <w:lang w:val="en-GB"/>
        </w:rPr>
        <w:t xml:space="preserve"> </w:t>
      </w:r>
      <w:r w:rsidR="00F42517" w:rsidRPr="00F42759">
        <w:rPr>
          <w:rFonts w:ascii="Arial" w:hAnsi="Arial" w:cs="Arial"/>
          <w:bCs/>
          <w:lang w:val="en-GB"/>
        </w:rPr>
        <w:t xml:space="preserve">has been ‘Marothodi Metsi and Sebata Group’. That name appears only three times in the </w:t>
      </w:r>
      <w:r w:rsidR="00EA5944" w:rsidRPr="00F42759">
        <w:rPr>
          <w:rFonts w:ascii="Arial" w:hAnsi="Arial" w:cs="Arial"/>
          <w:bCs/>
          <w:lang w:val="en-GB"/>
        </w:rPr>
        <w:t xml:space="preserve">first bid </w:t>
      </w:r>
      <w:r w:rsidR="004B6073" w:rsidRPr="00F42759">
        <w:rPr>
          <w:rFonts w:ascii="Arial" w:hAnsi="Arial" w:cs="Arial"/>
          <w:bCs/>
          <w:lang w:val="en-GB"/>
        </w:rPr>
        <w:t>document,</w:t>
      </w:r>
      <w:r w:rsidR="00153B95" w:rsidRPr="00F42759">
        <w:rPr>
          <w:rFonts w:ascii="Arial" w:hAnsi="Arial" w:cs="Arial"/>
          <w:bCs/>
          <w:lang w:val="en-GB"/>
        </w:rPr>
        <w:t xml:space="preserve"> but other names also appear as being the bidder, namely </w:t>
      </w:r>
      <w:r w:rsidR="005E7FED" w:rsidRPr="00F42759">
        <w:rPr>
          <w:rFonts w:ascii="Arial" w:hAnsi="Arial" w:cs="Arial"/>
          <w:bCs/>
          <w:lang w:val="en-GB"/>
        </w:rPr>
        <w:t>‘</w:t>
      </w:r>
      <w:r w:rsidR="00153B95" w:rsidRPr="00F42759">
        <w:rPr>
          <w:rFonts w:ascii="Arial" w:hAnsi="Arial" w:cs="Arial"/>
          <w:bCs/>
          <w:lang w:val="en-GB"/>
        </w:rPr>
        <w:t>Marothodi Metsi</w:t>
      </w:r>
      <w:r w:rsidR="005E7FED" w:rsidRPr="00F42759">
        <w:rPr>
          <w:rFonts w:ascii="Arial" w:hAnsi="Arial" w:cs="Arial"/>
          <w:bCs/>
          <w:lang w:val="en-GB"/>
        </w:rPr>
        <w:t>’</w:t>
      </w:r>
      <w:r w:rsidR="00153B95" w:rsidRPr="00F42759">
        <w:rPr>
          <w:rFonts w:ascii="Arial" w:hAnsi="Arial" w:cs="Arial"/>
          <w:bCs/>
          <w:lang w:val="en-GB"/>
        </w:rPr>
        <w:t xml:space="preserve"> and </w:t>
      </w:r>
      <w:r w:rsidR="005E7FED" w:rsidRPr="00F42759">
        <w:rPr>
          <w:rFonts w:ascii="Arial" w:hAnsi="Arial" w:cs="Arial"/>
          <w:bCs/>
          <w:lang w:val="en-GB"/>
        </w:rPr>
        <w:t>‘</w:t>
      </w:r>
      <w:r w:rsidR="00153B95" w:rsidRPr="00F42759">
        <w:rPr>
          <w:rFonts w:ascii="Arial" w:hAnsi="Arial" w:cs="Arial"/>
          <w:bCs/>
          <w:lang w:val="en-GB"/>
        </w:rPr>
        <w:t>Paul Grobler</w:t>
      </w:r>
      <w:r w:rsidR="005E7FED" w:rsidRPr="00F42759">
        <w:rPr>
          <w:rFonts w:ascii="Arial" w:hAnsi="Arial" w:cs="Arial"/>
          <w:bCs/>
          <w:lang w:val="en-GB"/>
        </w:rPr>
        <w:t>’</w:t>
      </w:r>
      <w:r w:rsidR="00611B31" w:rsidRPr="00F42759">
        <w:rPr>
          <w:rFonts w:ascii="Arial" w:hAnsi="Arial" w:cs="Arial"/>
          <w:bCs/>
          <w:lang w:val="en-GB"/>
        </w:rPr>
        <w:t>.</w:t>
      </w:r>
    </w:p>
    <w:p w:rsidR="00EE1D21" w:rsidRDefault="00EE1D21" w:rsidP="00EE1D21">
      <w:pPr>
        <w:pStyle w:val="ListParagraph"/>
        <w:tabs>
          <w:tab w:val="left" w:pos="709"/>
        </w:tabs>
        <w:spacing w:line="360" w:lineRule="auto"/>
        <w:ind w:left="0"/>
        <w:jc w:val="both"/>
        <w:rPr>
          <w:rFonts w:ascii="Arial" w:hAnsi="Arial" w:cs="Arial"/>
          <w:bCs/>
          <w:lang w:val="en-GB"/>
        </w:rPr>
      </w:pPr>
    </w:p>
    <w:p w:rsidR="0066067C" w:rsidRPr="00F42759" w:rsidRDefault="00F42759" w:rsidP="00F42759">
      <w:pPr>
        <w:tabs>
          <w:tab w:val="left" w:pos="709"/>
        </w:tabs>
        <w:spacing w:line="360" w:lineRule="auto"/>
        <w:jc w:val="both"/>
        <w:rPr>
          <w:rFonts w:ascii="Arial" w:hAnsi="Arial" w:cs="Arial"/>
          <w:bCs/>
          <w:lang w:val="en-GB"/>
        </w:rPr>
      </w:pPr>
      <w:r>
        <w:rPr>
          <w:rFonts w:ascii="Arial" w:eastAsiaTheme="minorHAnsi" w:hAnsi="Arial" w:cs="Arial"/>
          <w:bCs/>
          <w:lang w:val="en-GB" w:eastAsia="en-US" w:bidi="ar-SA"/>
        </w:rPr>
        <w:lastRenderedPageBreak/>
        <w:t>[36]</w:t>
      </w:r>
      <w:r>
        <w:rPr>
          <w:rFonts w:ascii="Arial" w:eastAsiaTheme="minorHAnsi" w:hAnsi="Arial" w:cs="Arial"/>
          <w:bCs/>
          <w:lang w:val="en-GB" w:eastAsia="en-US" w:bidi="ar-SA"/>
        </w:rPr>
        <w:tab/>
      </w:r>
      <w:r w:rsidR="00D51F93" w:rsidRPr="00F42759">
        <w:rPr>
          <w:rFonts w:ascii="Arial" w:hAnsi="Arial" w:cs="Arial"/>
          <w:bCs/>
          <w:lang w:val="en-GB"/>
        </w:rPr>
        <w:t xml:space="preserve">The review record has been put up under cover of an affidavit of the official employed by the first respondent who has had it in her custody since inception. </w:t>
      </w:r>
      <w:r w:rsidR="005E7FED" w:rsidRPr="00F42759">
        <w:rPr>
          <w:rFonts w:ascii="Arial" w:hAnsi="Arial" w:cs="Arial"/>
          <w:bCs/>
          <w:lang w:val="en-GB"/>
        </w:rPr>
        <w:t xml:space="preserve">Mr Dickson, who appears for the applicant, in argument conceded that the review record correctly reflected the documents that </w:t>
      </w:r>
      <w:r w:rsidR="001212E9" w:rsidRPr="00F42759">
        <w:rPr>
          <w:rFonts w:ascii="Arial" w:hAnsi="Arial" w:cs="Arial"/>
          <w:bCs/>
          <w:lang w:val="en-GB"/>
        </w:rPr>
        <w:t xml:space="preserve">the first respondent </w:t>
      </w:r>
      <w:r w:rsidR="005E7FED" w:rsidRPr="00F42759">
        <w:rPr>
          <w:rFonts w:ascii="Arial" w:hAnsi="Arial" w:cs="Arial"/>
          <w:bCs/>
          <w:lang w:val="en-GB"/>
        </w:rPr>
        <w:t xml:space="preserve">considered when determining the tender. </w:t>
      </w:r>
      <w:r w:rsidR="004323E1" w:rsidRPr="00F42759">
        <w:rPr>
          <w:rFonts w:ascii="Arial" w:hAnsi="Arial" w:cs="Arial"/>
          <w:bCs/>
          <w:lang w:val="en-GB"/>
        </w:rPr>
        <w:t xml:space="preserve">That being the case, </w:t>
      </w:r>
      <w:r w:rsidR="0066067C" w:rsidRPr="00F42759">
        <w:rPr>
          <w:rFonts w:ascii="Arial" w:hAnsi="Arial" w:cs="Arial"/>
          <w:bCs/>
          <w:lang w:val="en-GB"/>
        </w:rPr>
        <w:t xml:space="preserve">the existence of the second bid document is admitted. </w:t>
      </w:r>
      <w:r w:rsidR="005E7FED" w:rsidRPr="00F42759">
        <w:rPr>
          <w:rFonts w:ascii="Arial" w:hAnsi="Arial" w:cs="Arial"/>
          <w:bCs/>
          <w:lang w:val="en-GB"/>
        </w:rPr>
        <w:t>Arising from this, w</w:t>
      </w:r>
      <w:r w:rsidR="0066067C" w:rsidRPr="00F42759">
        <w:rPr>
          <w:rFonts w:ascii="Arial" w:hAnsi="Arial" w:cs="Arial"/>
          <w:bCs/>
          <w:lang w:val="en-GB"/>
        </w:rPr>
        <w:t xml:space="preserve">hy there should be two different versions of the bid document and why the first bid document </w:t>
      </w:r>
      <w:r w:rsidR="00D51F93" w:rsidRPr="00F42759">
        <w:rPr>
          <w:rFonts w:ascii="Arial" w:hAnsi="Arial" w:cs="Arial"/>
          <w:bCs/>
          <w:lang w:val="en-GB"/>
        </w:rPr>
        <w:t>does</w:t>
      </w:r>
      <w:r w:rsidR="0066067C" w:rsidRPr="00F42759">
        <w:rPr>
          <w:rFonts w:ascii="Arial" w:hAnsi="Arial" w:cs="Arial"/>
          <w:bCs/>
          <w:lang w:val="en-GB"/>
        </w:rPr>
        <w:t xml:space="preserve"> not</w:t>
      </w:r>
      <w:r w:rsidR="00D51F93" w:rsidRPr="00F42759">
        <w:rPr>
          <w:rFonts w:ascii="Arial" w:hAnsi="Arial" w:cs="Arial"/>
          <w:bCs/>
          <w:lang w:val="en-GB"/>
        </w:rPr>
        <w:t xml:space="preserve"> form part of</w:t>
      </w:r>
      <w:r w:rsidR="0066067C" w:rsidRPr="00F42759">
        <w:rPr>
          <w:rFonts w:ascii="Arial" w:hAnsi="Arial" w:cs="Arial"/>
          <w:bCs/>
          <w:lang w:val="en-GB"/>
        </w:rPr>
        <w:t xml:space="preserve"> the review record </w:t>
      </w:r>
      <w:r w:rsidR="000B7B36" w:rsidRPr="00F42759">
        <w:rPr>
          <w:rFonts w:ascii="Arial" w:hAnsi="Arial" w:cs="Arial"/>
          <w:bCs/>
          <w:lang w:val="en-GB"/>
        </w:rPr>
        <w:t xml:space="preserve">if it was, indeed, submitted to the first respondent, </w:t>
      </w:r>
      <w:r w:rsidR="0066067C" w:rsidRPr="00F42759">
        <w:rPr>
          <w:rFonts w:ascii="Arial" w:hAnsi="Arial" w:cs="Arial"/>
          <w:bCs/>
          <w:lang w:val="en-GB"/>
        </w:rPr>
        <w:t>are obvious questions that come to mind.</w:t>
      </w:r>
    </w:p>
    <w:p w:rsidR="0066067C" w:rsidRPr="0066067C" w:rsidRDefault="0066067C" w:rsidP="0066067C">
      <w:pPr>
        <w:pStyle w:val="ListParagraph"/>
        <w:spacing w:line="360" w:lineRule="auto"/>
        <w:rPr>
          <w:rFonts w:ascii="Arial" w:hAnsi="Arial" w:cs="Arial"/>
          <w:bCs/>
          <w:lang w:val="en-GB"/>
        </w:rPr>
      </w:pPr>
    </w:p>
    <w:p w:rsidR="00536936" w:rsidRPr="00F42759" w:rsidRDefault="00F42759" w:rsidP="00F42759">
      <w:pPr>
        <w:tabs>
          <w:tab w:val="left" w:pos="709"/>
        </w:tabs>
        <w:spacing w:line="360" w:lineRule="auto"/>
        <w:jc w:val="both"/>
        <w:rPr>
          <w:rFonts w:ascii="Arial" w:hAnsi="Arial" w:cs="Arial"/>
          <w:bCs/>
          <w:lang w:val="en-GB"/>
        </w:rPr>
      </w:pPr>
      <w:r>
        <w:rPr>
          <w:rFonts w:ascii="Arial" w:eastAsiaTheme="minorHAnsi" w:hAnsi="Arial" w:cs="Arial"/>
          <w:bCs/>
          <w:lang w:val="en-GB" w:eastAsia="en-US" w:bidi="ar-SA"/>
        </w:rPr>
        <w:t>[37]</w:t>
      </w:r>
      <w:r>
        <w:rPr>
          <w:rFonts w:ascii="Arial" w:eastAsiaTheme="minorHAnsi" w:hAnsi="Arial" w:cs="Arial"/>
          <w:bCs/>
          <w:lang w:val="en-GB" w:eastAsia="en-US" w:bidi="ar-SA"/>
        </w:rPr>
        <w:tab/>
      </w:r>
      <w:r w:rsidR="00B96CDE" w:rsidRPr="00F42759">
        <w:rPr>
          <w:rFonts w:ascii="Arial" w:hAnsi="Arial" w:cs="Arial"/>
          <w:bCs/>
          <w:lang w:val="en-GB"/>
        </w:rPr>
        <w:t xml:space="preserve"> </w:t>
      </w:r>
      <w:r w:rsidR="00536936" w:rsidRPr="00F42759">
        <w:rPr>
          <w:rFonts w:ascii="Arial" w:hAnsi="Arial" w:cs="Arial"/>
          <w:bCs/>
          <w:lang w:val="en-GB"/>
        </w:rPr>
        <w:t>N</w:t>
      </w:r>
      <w:r w:rsidR="0066067C" w:rsidRPr="00F42759">
        <w:rPr>
          <w:rFonts w:ascii="Arial" w:hAnsi="Arial" w:cs="Arial"/>
          <w:bCs/>
          <w:lang w:val="en-GB"/>
        </w:rPr>
        <w:t xml:space="preserve">either of these questions is addressed by the </w:t>
      </w:r>
      <w:r w:rsidR="004323E1" w:rsidRPr="00F42759">
        <w:rPr>
          <w:rFonts w:ascii="Arial" w:hAnsi="Arial" w:cs="Arial"/>
          <w:bCs/>
          <w:lang w:val="en-GB"/>
        </w:rPr>
        <w:t>applicant</w:t>
      </w:r>
      <w:r w:rsidR="00353436" w:rsidRPr="00F42759">
        <w:rPr>
          <w:rFonts w:ascii="Arial" w:hAnsi="Arial" w:cs="Arial"/>
          <w:bCs/>
          <w:lang w:val="en-GB"/>
        </w:rPr>
        <w:t xml:space="preserve"> at any stage</w:t>
      </w:r>
      <w:r w:rsidR="00A359A9" w:rsidRPr="00F42759">
        <w:rPr>
          <w:rFonts w:ascii="Arial" w:hAnsi="Arial" w:cs="Arial"/>
          <w:bCs/>
          <w:lang w:val="en-GB"/>
        </w:rPr>
        <w:t xml:space="preserve"> in any of the affidavits </w:t>
      </w:r>
      <w:r w:rsidR="0066067C" w:rsidRPr="00F42759">
        <w:rPr>
          <w:rFonts w:ascii="Arial" w:hAnsi="Arial" w:cs="Arial"/>
          <w:bCs/>
          <w:lang w:val="en-GB"/>
        </w:rPr>
        <w:t xml:space="preserve">that </w:t>
      </w:r>
      <w:r w:rsidR="00A359A9" w:rsidRPr="00F42759">
        <w:rPr>
          <w:rFonts w:ascii="Arial" w:hAnsi="Arial" w:cs="Arial"/>
          <w:bCs/>
          <w:lang w:val="en-GB"/>
        </w:rPr>
        <w:t>it has delivered across the range of the applications</w:t>
      </w:r>
      <w:r w:rsidR="005E7FED" w:rsidRPr="00F42759">
        <w:rPr>
          <w:rFonts w:ascii="Arial" w:hAnsi="Arial" w:cs="Arial"/>
          <w:bCs/>
          <w:lang w:val="en-GB"/>
        </w:rPr>
        <w:t xml:space="preserve"> before me</w:t>
      </w:r>
      <w:r w:rsidR="00A359A9" w:rsidRPr="00F42759">
        <w:rPr>
          <w:rFonts w:ascii="Arial" w:hAnsi="Arial" w:cs="Arial"/>
          <w:bCs/>
          <w:lang w:val="en-GB"/>
        </w:rPr>
        <w:t>.</w:t>
      </w:r>
      <w:r w:rsidR="007D5B60" w:rsidRPr="00F42759">
        <w:rPr>
          <w:rFonts w:ascii="Arial" w:hAnsi="Arial" w:cs="Arial"/>
          <w:bCs/>
          <w:lang w:val="en-GB"/>
        </w:rPr>
        <w:t xml:space="preserve"> </w:t>
      </w:r>
      <w:r w:rsidR="00060D4C" w:rsidRPr="00F42759">
        <w:rPr>
          <w:rFonts w:ascii="Arial" w:hAnsi="Arial" w:cs="Arial"/>
          <w:bCs/>
          <w:lang w:val="en-GB"/>
        </w:rPr>
        <w:t>In my view, it calls for an explanation</w:t>
      </w:r>
      <w:r w:rsidR="005E7FED" w:rsidRPr="00F42759">
        <w:rPr>
          <w:rFonts w:ascii="Arial" w:hAnsi="Arial" w:cs="Arial"/>
          <w:bCs/>
          <w:lang w:val="en-GB"/>
        </w:rPr>
        <w:t xml:space="preserve"> and</w:t>
      </w:r>
      <w:r w:rsidR="00060D4C" w:rsidRPr="00F42759">
        <w:rPr>
          <w:rFonts w:ascii="Arial" w:hAnsi="Arial" w:cs="Arial"/>
          <w:bCs/>
          <w:lang w:val="en-GB"/>
        </w:rPr>
        <w:t xml:space="preserve"> </w:t>
      </w:r>
      <w:r w:rsidR="007D5B60" w:rsidRPr="00F42759">
        <w:rPr>
          <w:rFonts w:ascii="Arial" w:hAnsi="Arial" w:cs="Arial"/>
          <w:bCs/>
          <w:lang w:val="en-GB"/>
        </w:rPr>
        <w:t xml:space="preserve">I </w:t>
      </w:r>
      <w:r w:rsidR="004323E1" w:rsidRPr="00F42759">
        <w:rPr>
          <w:rFonts w:ascii="Arial" w:hAnsi="Arial" w:cs="Arial"/>
          <w:bCs/>
          <w:lang w:val="en-GB"/>
        </w:rPr>
        <w:t xml:space="preserve">accordingly </w:t>
      </w:r>
      <w:r w:rsidR="007D5B60" w:rsidRPr="00F42759">
        <w:rPr>
          <w:rFonts w:ascii="Arial" w:hAnsi="Arial" w:cs="Arial"/>
          <w:bCs/>
          <w:lang w:val="en-GB"/>
        </w:rPr>
        <w:t>asked Mr Dickson</w:t>
      </w:r>
      <w:r w:rsidR="00A359A9" w:rsidRPr="00F42759">
        <w:rPr>
          <w:rFonts w:ascii="Arial" w:hAnsi="Arial" w:cs="Arial"/>
          <w:bCs/>
          <w:lang w:val="en-GB"/>
        </w:rPr>
        <w:t xml:space="preserve"> </w:t>
      </w:r>
      <w:r w:rsidR="007D5B60" w:rsidRPr="00F42759">
        <w:rPr>
          <w:rFonts w:ascii="Arial" w:hAnsi="Arial" w:cs="Arial"/>
          <w:bCs/>
          <w:lang w:val="en-GB"/>
        </w:rPr>
        <w:t>to address me on the issue</w:t>
      </w:r>
      <w:r w:rsidR="00062DC4" w:rsidRPr="00F42759">
        <w:rPr>
          <w:rFonts w:ascii="Arial" w:hAnsi="Arial" w:cs="Arial"/>
          <w:bCs/>
          <w:lang w:val="en-GB"/>
        </w:rPr>
        <w:t xml:space="preserve">. </w:t>
      </w:r>
      <w:r w:rsidR="00353436" w:rsidRPr="00F42759">
        <w:rPr>
          <w:rFonts w:ascii="Arial" w:hAnsi="Arial" w:cs="Arial"/>
          <w:bCs/>
          <w:lang w:val="en-GB"/>
        </w:rPr>
        <w:t xml:space="preserve">If I understood </w:t>
      </w:r>
      <w:r w:rsidR="0073215F" w:rsidRPr="00F42759">
        <w:rPr>
          <w:rFonts w:ascii="Arial" w:hAnsi="Arial" w:cs="Arial"/>
          <w:bCs/>
          <w:lang w:val="en-GB"/>
        </w:rPr>
        <w:t xml:space="preserve">his </w:t>
      </w:r>
      <w:r w:rsidR="00353436" w:rsidRPr="00F42759">
        <w:rPr>
          <w:rFonts w:ascii="Arial" w:hAnsi="Arial" w:cs="Arial"/>
          <w:bCs/>
          <w:lang w:val="en-GB"/>
        </w:rPr>
        <w:t>explanation correctly</w:t>
      </w:r>
      <w:r w:rsidR="005E7FED" w:rsidRPr="00F42759">
        <w:rPr>
          <w:rFonts w:ascii="Arial" w:hAnsi="Arial" w:cs="Arial"/>
          <w:bCs/>
          <w:lang w:val="en-GB"/>
        </w:rPr>
        <w:t>,</w:t>
      </w:r>
      <w:r w:rsidR="00353436" w:rsidRPr="00F42759">
        <w:rPr>
          <w:rFonts w:ascii="Arial" w:hAnsi="Arial" w:cs="Arial"/>
          <w:bCs/>
          <w:lang w:val="en-GB"/>
        </w:rPr>
        <w:t xml:space="preserve"> it is that </w:t>
      </w:r>
      <w:r w:rsidR="00062DC4" w:rsidRPr="00F42759">
        <w:rPr>
          <w:rFonts w:ascii="Arial" w:hAnsi="Arial" w:cs="Arial"/>
          <w:bCs/>
          <w:lang w:val="en-GB"/>
        </w:rPr>
        <w:t xml:space="preserve">the applicant holds the view that the first respondent has put up no evidence to challenge what the applicant states </w:t>
      </w:r>
      <w:r w:rsidR="00F4262D" w:rsidRPr="00F42759">
        <w:rPr>
          <w:rFonts w:ascii="Arial" w:hAnsi="Arial" w:cs="Arial"/>
          <w:bCs/>
          <w:lang w:val="en-GB"/>
        </w:rPr>
        <w:t xml:space="preserve">regarding the </w:t>
      </w:r>
      <w:r w:rsidR="00536936" w:rsidRPr="00F42759">
        <w:rPr>
          <w:rFonts w:ascii="Arial" w:hAnsi="Arial" w:cs="Arial"/>
          <w:bCs/>
          <w:lang w:val="en-GB"/>
        </w:rPr>
        <w:t xml:space="preserve">validity of the </w:t>
      </w:r>
      <w:r w:rsidR="00353436" w:rsidRPr="00F42759">
        <w:rPr>
          <w:rFonts w:ascii="Arial" w:hAnsi="Arial" w:cs="Arial"/>
          <w:bCs/>
          <w:lang w:val="en-GB"/>
        </w:rPr>
        <w:t xml:space="preserve">first </w:t>
      </w:r>
      <w:r w:rsidR="00F4262D" w:rsidRPr="00F42759">
        <w:rPr>
          <w:rFonts w:ascii="Arial" w:hAnsi="Arial" w:cs="Arial"/>
          <w:bCs/>
          <w:lang w:val="en-GB"/>
        </w:rPr>
        <w:t>bid document</w:t>
      </w:r>
      <w:r w:rsidR="003D002A" w:rsidRPr="00F42759">
        <w:rPr>
          <w:rFonts w:ascii="Arial" w:hAnsi="Arial" w:cs="Arial"/>
          <w:bCs/>
          <w:lang w:val="en-GB"/>
        </w:rPr>
        <w:t>. The argument goes that</w:t>
      </w:r>
      <w:r w:rsidR="00353436" w:rsidRPr="00F42759">
        <w:rPr>
          <w:rFonts w:ascii="Arial" w:hAnsi="Arial" w:cs="Arial"/>
          <w:bCs/>
          <w:lang w:val="en-GB"/>
        </w:rPr>
        <w:t xml:space="preserve"> </w:t>
      </w:r>
      <w:r w:rsidR="00153B95" w:rsidRPr="00F42759">
        <w:rPr>
          <w:rFonts w:ascii="Arial" w:hAnsi="Arial" w:cs="Arial"/>
          <w:bCs/>
          <w:lang w:val="en-GB"/>
        </w:rPr>
        <w:t xml:space="preserve">a </w:t>
      </w:r>
      <w:r w:rsidR="00B87960" w:rsidRPr="00F42759">
        <w:rPr>
          <w:rFonts w:ascii="Arial" w:hAnsi="Arial" w:cs="Arial"/>
          <w:bCs/>
          <w:lang w:val="en-GB"/>
        </w:rPr>
        <w:t>Mr Daniel Masomboka (Mr Masomboka)</w:t>
      </w:r>
      <w:r w:rsidR="005E7FED" w:rsidRPr="00F42759">
        <w:rPr>
          <w:rFonts w:ascii="Arial" w:hAnsi="Arial" w:cs="Arial"/>
          <w:bCs/>
          <w:lang w:val="en-GB"/>
        </w:rPr>
        <w:t>, the chairman of the applicant,</w:t>
      </w:r>
      <w:r w:rsidR="00B87960" w:rsidRPr="00F42759">
        <w:rPr>
          <w:rFonts w:ascii="Arial" w:hAnsi="Arial" w:cs="Arial"/>
          <w:bCs/>
          <w:lang w:val="en-GB"/>
        </w:rPr>
        <w:t xml:space="preserve"> deposed to the applicant’s founding affidavit in the urgent application.</w:t>
      </w:r>
      <w:r w:rsidR="0086071A" w:rsidRPr="00F42759">
        <w:rPr>
          <w:rFonts w:ascii="Arial" w:hAnsi="Arial" w:cs="Arial"/>
          <w:bCs/>
          <w:lang w:val="en-GB"/>
        </w:rPr>
        <w:t xml:space="preserve"> In that affidavit, h</w:t>
      </w:r>
      <w:r w:rsidR="00B87960" w:rsidRPr="00F42759">
        <w:rPr>
          <w:rFonts w:ascii="Arial" w:hAnsi="Arial" w:cs="Arial"/>
          <w:bCs/>
          <w:lang w:val="en-GB"/>
        </w:rPr>
        <w:t>e identifie</w:t>
      </w:r>
      <w:r w:rsidR="003D002A" w:rsidRPr="00F42759">
        <w:rPr>
          <w:rFonts w:ascii="Arial" w:hAnsi="Arial" w:cs="Arial"/>
          <w:bCs/>
          <w:lang w:val="en-GB"/>
        </w:rPr>
        <w:t>d</w:t>
      </w:r>
      <w:r w:rsidR="00B87960" w:rsidRPr="00F42759">
        <w:rPr>
          <w:rFonts w:ascii="Arial" w:hAnsi="Arial" w:cs="Arial"/>
          <w:bCs/>
          <w:lang w:val="en-GB"/>
        </w:rPr>
        <w:t xml:space="preserve"> the first bid document as being the document submitted to the first respondent.</w:t>
      </w:r>
      <w:r w:rsidR="004323E1" w:rsidRPr="00F42759">
        <w:rPr>
          <w:rFonts w:ascii="Arial" w:hAnsi="Arial" w:cs="Arial"/>
          <w:bCs/>
          <w:lang w:val="en-GB"/>
        </w:rPr>
        <w:t xml:space="preserve"> Mr Sithole, who</w:t>
      </w:r>
      <w:r w:rsidR="0086071A" w:rsidRPr="00F42759">
        <w:rPr>
          <w:rFonts w:ascii="Arial" w:hAnsi="Arial" w:cs="Arial"/>
          <w:bCs/>
          <w:lang w:val="en-GB"/>
        </w:rPr>
        <w:t xml:space="preserve"> it will be remembered was the </w:t>
      </w:r>
      <w:r w:rsidR="00A95802" w:rsidRPr="00F42759">
        <w:rPr>
          <w:rFonts w:ascii="Arial" w:hAnsi="Arial" w:cs="Arial"/>
          <w:bCs/>
          <w:lang w:val="en-GB"/>
        </w:rPr>
        <w:t>administrator</w:t>
      </w:r>
      <w:r w:rsidR="0086071A" w:rsidRPr="00F42759">
        <w:rPr>
          <w:rFonts w:ascii="Arial" w:hAnsi="Arial" w:cs="Arial"/>
          <w:bCs/>
          <w:lang w:val="en-GB"/>
        </w:rPr>
        <w:t xml:space="preserve"> at the time of the tender, has</w:t>
      </w:r>
      <w:r w:rsidR="003D002A" w:rsidRPr="00F42759">
        <w:rPr>
          <w:rFonts w:ascii="Arial" w:hAnsi="Arial" w:cs="Arial"/>
          <w:bCs/>
          <w:lang w:val="en-GB"/>
        </w:rPr>
        <w:t>, according to counsel,</w:t>
      </w:r>
      <w:r w:rsidR="0086071A" w:rsidRPr="00F42759">
        <w:rPr>
          <w:rFonts w:ascii="Arial" w:hAnsi="Arial" w:cs="Arial"/>
          <w:bCs/>
          <w:lang w:val="en-GB"/>
        </w:rPr>
        <w:t xml:space="preserve"> confirmed in an affidavit delivered on behalf of the applicant that the first bid document is the bid </w:t>
      </w:r>
      <w:r w:rsidR="00B779B5" w:rsidRPr="00F42759">
        <w:rPr>
          <w:rFonts w:ascii="Arial" w:hAnsi="Arial" w:cs="Arial"/>
          <w:bCs/>
          <w:lang w:val="en-GB"/>
        </w:rPr>
        <w:t xml:space="preserve">document </w:t>
      </w:r>
      <w:r w:rsidR="0086071A" w:rsidRPr="00F42759">
        <w:rPr>
          <w:rFonts w:ascii="Arial" w:hAnsi="Arial" w:cs="Arial"/>
          <w:bCs/>
          <w:lang w:val="en-GB"/>
        </w:rPr>
        <w:t>that the first respondent received from the applicant.</w:t>
      </w:r>
      <w:r w:rsidR="009F703F" w:rsidRPr="00F42759">
        <w:rPr>
          <w:rFonts w:ascii="Arial" w:hAnsi="Arial" w:cs="Arial"/>
          <w:bCs/>
          <w:lang w:val="en-GB"/>
        </w:rPr>
        <w:t xml:space="preserve"> </w:t>
      </w:r>
      <w:r w:rsidR="00DE019F" w:rsidRPr="00F42759">
        <w:rPr>
          <w:rFonts w:ascii="Arial" w:hAnsi="Arial" w:cs="Arial"/>
          <w:bCs/>
          <w:lang w:val="en-GB"/>
        </w:rPr>
        <w:t>Thus,</w:t>
      </w:r>
      <w:r w:rsidR="0084596D" w:rsidRPr="00F42759">
        <w:rPr>
          <w:rFonts w:ascii="Arial" w:hAnsi="Arial" w:cs="Arial"/>
          <w:bCs/>
          <w:lang w:val="en-GB"/>
        </w:rPr>
        <w:t xml:space="preserve"> it is argued,</w:t>
      </w:r>
      <w:r w:rsidR="00DE019F" w:rsidRPr="00F42759">
        <w:rPr>
          <w:rFonts w:ascii="Arial" w:hAnsi="Arial" w:cs="Arial"/>
          <w:bCs/>
          <w:lang w:val="en-GB"/>
        </w:rPr>
        <w:t xml:space="preserve"> both sides involved in the tender have confirmed that the </w:t>
      </w:r>
      <w:r w:rsidR="007C0955" w:rsidRPr="00F42759">
        <w:rPr>
          <w:rFonts w:ascii="Arial" w:hAnsi="Arial" w:cs="Arial"/>
          <w:bCs/>
          <w:lang w:val="en-GB"/>
        </w:rPr>
        <w:t xml:space="preserve">correct </w:t>
      </w:r>
      <w:r w:rsidR="00DE019F" w:rsidRPr="00F42759">
        <w:rPr>
          <w:rFonts w:ascii="Arial" w:hAnsi="Arial" w:cs="Arial"/>
          <w:bCs/>
          <w:lang w:val="en-GB"/>
        </w:rPr>
        <w:t xml:space="preserve">bid was that contained in the first bid document. </w:t>
      </w:r>
      <w:r w:rsidR="009F703F" w:rsidRPr="00F42759">
        <w:rPr>
          <w:rFonts w:ascii="Arial" w:hAnsi="Arial" w:cs="Arial"/>
          <w:bCs/>
          <w:lang w:val="en-GB"/>
        </w:rPr>
        <w:t>The</w:t>
      </w:r>
      <w:r w:rsidR="00536936" w:rsidRPr="00F42759">
        <w:rPr>
          <w:rFonts w:ascii="Arial" w:hAnsi="Arial" w:cs="Arial"/>
          <w:bCs/>
          <w:lang w:val="en-GB"/>
        </w:rPr>
        <w:t xml:space="preserve"> </w:t>
      </w:r>
      <w:r w:rsidR="0086071A" w:rsidRPr="00F42759">
        <w:rPr>
          <w:rFonts w:ascii="Arial" w:hAnsi="Arial" w:cs="Arial"/>
          <w:bCs/>
          <w:lang w:val="en-GB"/>
        </w:rPr>
        <w:t xml:space="preserve">applicant’s </w:t>
      </w:r>
      <w:r w:rsidR="00536936" w:rsidRPr="00F42759">
        <w:rPr>
          <w:rFonts w:ascii="Arial" w:hAnsi="Arial" w:cs="Arial"/>
          <w:bCs/>
          <w:lang w:val="en-GB"/>
        </w:rPr>
        <w:t>argument proceeds that the</w:t>
      </w:r>
      <w:r w:rsidR="009F703F" w:rsidRPr="00F42759">
        <w:rPr>
          <w:rFonts w:ascii="Arial" w:hAnsi="Arial" w:cs="Arial"/>
          <w:bCs/>
          <w:lang w:val="en-GB"/>
        </w:rPr>
        <w:t xml:space="preserve"> first respondent has not been able to put </w:t>
      </w:r>
      <w:r w:rsidR="00536936" w:rsidRPr="00F42759">
        <w:rPr>
          <w:rFonts w:ascii="Arial" w:hAnsi="Arial" w:cs="Arial"/>
          <w:bCs/>
          <w:lang w:val="en-GB"/>
        </w:rPr>
        <w:t>up</w:t>
      </w:r>
      <w:r w:rsidR="009F703F" w:rsidRPr="00F42759">
        <w:rPr>
          <w:rFonts w:ascii="Arial" w:hAnsi="Arial" w:cs="Arial"/>
          <w:bCs/>
          <w:lang w:val="en-GB"/>
        </w:rPr>
        <w:t xml:space="preserve"> affidavits from any other person involved in the tender who may be able to contradict what Mr Masomboka and Mr Sithole say. </w:t>
      </w:r>
      <w:r w:rsidR="00186DC7" w:rsidRPr="00F42759">
        <w:rPr>
          <w:rFonts w:ascii="Arial" w:hAnsi="Arial" w:cs="Arial"/>
          <w:bCs/>
          <w:lang w:val="en-GB"/>
        </w:rPr>
        <w:t>The only evidence on the point is</w:t>
      </w:r>
      <w:r w:rsidR="00AA19FD" w:rsidRPr="00F42759">
        <w:rPr>
          <w:rFonts w:ascii="Arial" w:hAnsi="Arial" w:cs="Arial"/>
          <w:bCs/>
          <w:lang w:val="en-GB"/>
        </w:rPr>
        <w:t>,</w:t>
      </w:r>
      <w:r w:rsidR="00186DC7" w:rsidRPr="00F42759">
        <w:rPr>
          <w:rFonts w:ascii="Arial" w:hAnsi="Arial" w:cs="Arial"/>
          <w:bCs/>
          <w:lang w:val="en-GB"/>
        </w:rPr>
        <w:t xml:space="preserve"> accordingly</w:t>
      </w:r>
      <w:r w:rsidR="00AA19FD" w:rsidRPr="00F42759">
        <w:rPr>
          <w:rFonts w:ascii="Arial" w:hAnsi="Arial" w:cs="Arial"/>
          <w:bCs/>
          <w:lang w:val="en-GB"/>
        </w:rPr>
        <w:t>,</w:t>
      </w:r>
      <w:r w:rsidR="00186DC7" w:rsidRPr="00F42759">
        <w:rPr>
          <w:rFonts w:ascii="Arial" w:hAnsi="Arial" w:cs="Arial"/>
          <w:bCs/>
          <w:lang w:val="en-GB"/>
        </w:rPr>
        <w:t xml:space="preserve"> evidence adduced in favour of the applicant’s version. </w:t>
      </w:r>
      <w:r w:rsidR="009F703F" w:rsidRPr="00F42759">
        <w:rPr>
          <w:rFonts w:ascii="Arial" w:hAnsi="Arial" w:cs="Arial"/>
          <w:bCs/>
          <w:lang w:val="en-GB"/>
        </w:rPr>
        <w:t xml:space="preserve">Thus, the </w:t>
      </w:r>
      <w:r w:rsidR="0086071A" w:rsidRPr="00F42759">
        <w:rPr>
          <w:rFonts w:ascii="Arial" w:hAnsi="Arial" w:cs="Arial"/>
          <w:bCs/>
          <w:lang w:val="en-GB"/>
        </w:rPr>
        <w:t xml:space="preserve">court must accept the </w:t>
      </w:r>
      <w:r w:rsidR="00186DC7" w:rsidRPr="00F42759">
        <w:rPr>
          <w:rFonts w:ascii="Arial" w:hAnsi="Arial" w:cs="Arial"/>
          <w:bCs/>
          <w:lang w:val="en-GB"/>
        </w:rPr>
        <w:t>applicant’s version</w:t>
      </w:r>
      <w:r w:rsidR="0086071A" w:rsidRPr="00F42759">
        <w:rPr>
          <w:rFonts w:ascii="Arial" w:hAnsi="Arial" w:cs="Arial"/>
          <w:bCs/>
          <w:lang w:val="en-GB"/>
        </w:rPr>
        <w:t xml:space="preserve">, for the first respondent’s version is </w:t>
      </w:r>
      <w:r w:rsidR="009951BA" w:rsidRPr="00F42759">
        <w:rPr>
          <w:rFonts w:ascii="Arial" w:hAnsi="Arial" w:cs="Arial"/>
          <w:bCs/>
          <w:lang w:val="en-GB"/>
        </w:rPr>
        <w:t xml:space="preserve">simply </w:t>
      </w:r>
      <w:r w:rsidR="0086071A" w:rsidRPr="00F42759">
        <w:rPr>
          <w:rFonts w:ascii="Arial" w:hAnsi="Arial" w:cs="Arial"/>
          <w:bCs/>
          <w:lang w:val="en-GB"/>
        </w:rPr>
        <w:t xml:space="preserve">based upon conjecture and supposition by persons not </w:t>
      </w:r>
      <w:r w:rsidR="009951BA" w:rsidRPr="00F42759">
        <w:rPr>
          <w:rFonts w:ascii="Arial" w:hAnsi="Arial" w:cs="Arial"/>
          <w:bCs/>
          <w:lang w:val="en-GB"/>
        </w:rPr>
        <w:t xml:space="preserve">directly </w:t>
      </w:r>
      <w:r w:rsidR="0086071A" w:rsidRPr="00F42759">
        <w:rPr>
          <w:rFonts w:ascii="Arial" w:hAnsi="Arial" w:cs="Arial"/>
          <w:bCs/>
          <w:lang w:val="en-GB"/>
        </w:rPr>
        <w:t>involved with the tender.</w:t>
      </w:r>
      <w:r w:rsidR="005105CF" w:rsidRPr="00F42759">
        <w:rPr>
          <w:rFonts w:ascii="Arial" w:hAnsi="Arial" w:cs="Arial"/>
          <w:bCs/>
          <w:lang w:val="en-GB"/>
        </w:rPr>
        <w:t xml:space="preserve"> </w:t>
      </w:r>
    </w:p>
    <w:p w:rsidR="00536936" w:rsidRDefault="00536936" w:rsidP="00536936">
      <w:pPr>
        <w:pStyle w:val="ListParagraph"/>
        <w:tabs>
          <w:tab w:val="left" w:pos="709"/>
        </w:tabs>
        <w:spacing w:line="360" w:lineRule="auto"/>
        <w:ind w:left="0"/>
        <w:jc w:val="both"/>
        <w:rPr>
          <w:rFonts w:ascii="Arial" w:hAnsi="Arial" w:cs="Arial"/>
          <w:bCs/>
          <w:lang w:val="en-GB"/>
        </w:rPr>
      </w:pPr>
    </w:p>
    <w:p w:rsidR="009951BA" w:rsidRPr="00F42759" w:rsidRDefault="00F42759" w:rsidP="00F42759">
      <w:pPr>
        <w:tabs>
          <w:tab w:val="left" w:pos="709"/>
        </w:tabs>
        <w:spacing w:line="360" w:lineRule="auto"/>
        <w:jc w:val="both"/>
        <w:rPr>
          <w:rFonts w:ascii="Arial" w:hAnsi="Arial" w:cs="Arial"/>
          <w:bCs/>
          <w:lang w:val="en-GB"/>
        </w:rPr>
      </w:pPr>
      <w:r>
        <w:rPr>
          <w:rFonts w:ascii="Arial" w:eastAsiaTheme="minorHAnsi" w:hAnsi="Arial" w:cs="Arial"/>
          <w:bCs/>
          <w:lang w:val="en-GB" w:eastAsia="en-US" w:bidi="ar-SA"/>
        </w:rPr>
        <w:t>[38]</w:t>
      </w:r>
      <w:r>
        <w:rPr>
          <w:rFonts w:ascii="Arial" w:eastAsiaTheme="minorHAnsi" w:hAnsi="Arial" w:cs="Arial"/>
          <w:bCs/>
          <w:lang w:val="en-GB" w:eastAsia="en-US" w:bidi="ar-SA"/>
        </w:rPr>
        <w:tab/>
      </w:r>
      <w:r w:rsidR="00062DC4" w:rsidRPr="00F42759">
        <w:rPr>
          <w:rFonts w:ascii="Arial" w:hAnsi="Arial" w:cs="Arial"/>
          <w:bCs/>
          <w:lang w:val="en-GB"/>
        </w:rPr>
        <w:t xml:space="preserve">In my view, </w:t>
      </w:r>
      <w:r w:rsidR="00F4262D" w:rsidRPr="00F42759">
        <w:rPr>
          <w:rFonts w:ascii="Arial" w:hAnsi="Arial" w:cs="Arial"/>
          <w:bCs/>
          <w:lang w:val="en-GB"/>
        </w:rPr>
        <w:t>that is a superficial</w:t>
      </w:r>
      <w:r w:rsidR="003D002A" w:rsidRPr="00F42759">
        <w:rPr>
          <w:rFonts w:ascii="Arial" w:hAnsi="Arial" w:cs="Arial"/>
          <w:bCs/>
          <w:lang w:val="en-GB"/>
        </w:rPr>
        <w:t xml:space="preserve"> and </w:t>
      </w:r>
      <w:r w:rsidR="007F28EC" w:rsidRPr="00F42759">
        <w:rPr>
          <w:rFonts w:ascii="Arial" w:hAnsi="Arial" w:cs="Arial"/>
          <w:bCs/>
          <w:lang w:val="en-GB"/>
        </w:rPr>
        <w:t>unattractive</w:t>
      </w:r>
      <w:r w:rsidR="00F4262D" w:rsidRPr="00F42759">
        <w:rPr>
          <w:rFonts w:ascii="Arial" w:hAnsi="Arial" w:cs="Arial"/>
          <w:bCs/>
          <w:lang w:val="en-GB"/>
        </w:rPr>
        <w:t xml:space="preserve"> </w:t>
      </w:r>
      <w:r w:rsidR="00A359A9" w:rsidRPr="00F42759">
        <w:rPr>
          <w:rFonts w:ascii="Arial" w:hAnsi="Arial" w:cs="Arial"/>
          <w:bCs/>
          <w:lang w:val="en-GB"/>
        </w:rPr>
        <w:t>argument</w:t>
      </w:r>
      <w:r w:rsidR="00F4262D" w:rsidRPr="00F42759">
        <w:rPr>
          <w:rFonts w:ascii="Arial" w:hAnsi="Arial" w:cs="Arial"/>
          <w:bCs/>
          <w:lang w:val="en-GB"/>
        </w:rPr>
        <w:t xml:space="preserve"> that does not account for all the known facts. </w:t>
      </w:r>
      <w:r w:rsidR="00983D1F" w:rsidRPr="00F42759">
        <w:rPr>
          <w:rFonts w:ascii="Arial" w:hAnsi="Arial" w:cs="Arial"/>
          <w:bCs/>
          <w:lang w:val="en-GB"/>
        </w:rPr>
        <w:t>The known facts are</w:t>
      </w:r>
      <w:r w:rsidR="00F4262D" w:rsidRPr="00F42759">
        <w:rPr>
          <w:rFonts w:ascii="Arial" w:hAnsi="Arial" w:cs="Arial"/>
          <w:bCs/>
          <w:lang w:val="en-GB"/>
        </w:rPr>
        <w:t>:</w:t>
      </w:r>
    </w:p>
    <w:p w:rsidR="00F4262D" w:rsidRPr="00F42759" w:rsidRDefault="00F42759" w:rsidP="00F42759">
      <w:pPr>
        <w:tabs>
          <w:tab w:val="left" w:pos="0"/>
          <w:tab w:val="left" w:pos="709"/>
        </w:tabs>
        <w:spacing w:line="360" w:lineRule="auto"/>
        <w:jc w:val="both"/>
        <w:rPr>
          <w:rFonts w:ascii="Arial" w:hAnsi="Arial" w:cs="Arial"/>
          <w:bCs/>
          <w:lang w:val="en-GB"/>
        </w:rPr>
      </w:pPr>
      <w:r>
        <w:rPr>
          <w:rFonts w:ascii="Arial" w:eastAsiaTheme="minorHAnsi" w:hAnsi="Arial" w:cs="Arial"/>
          <w:bCs/>
          <w:lang w:val="en-GB" w:eastAsia="en-US" w:bidi="ar-SA"/>
        </w:rPr>
        <w:t>(a)</w:t>
      </w:r>
      <w:r>
        <w:rPr>
          <w:rFonts w:ascii="Arial" w:eastAsiaTheme="minorHAnsi" w:hAnsi="Arial" w:cs="Arial"/>
          <w:bCs/>
          <w:lang w:val="en-GB" w:eastAsia="en-US" w:bidi="ar-SA"/>
        </w:rPr>
        <w:tab/>
      </w:r>
      <w:r w:rsidR="008262BF" w:rsidRPr="00F42759">
        <w:rPr>
          <w:rFonts w:ascii="Arial" w:hAnsi="Arial" w:cs="Arial"/>
          <w:bCs/>
          <w:lang w:val="en-GB"/>
        </w:rPr>
        <w:t>T</w:t>
      </w:r>
      <w:r w:rsidR="00062DC4" w:rsidRPr="00F42759">
        <w:rPr>
          <w:rFonts w:ascii="Arial" w:hAnsi="Arial" w:cs="Arial"/>
          <w:bCs/>
          <w:lang w:val="en-GB"/>
        </w:rPr>
        <w:t>he</w:t>
      </w:r>
      <w:r w:rsidR="00983D1F" w:rsidRPr="00F42759">
        <w:rPr>
          <w:rFonts w:ascii="Arial" w:hAnsi="Arial" w:cs="Arial"/>
          <w:bCs/>
          <w:lang w:val="en-GB"/>
        </w:rPr>
        <w:t xml:space="preserve"> applicant has admitted </w:t>
      </w:r>
      <w:r w:rsidR="00062DC4" w:rsidRPr="00F42759">
        <w:rPr>
          <w:rFonts w:ascii="Arial" w:hAnsi="Arial" w:cs="Arial"/>
          <w:bCs/>
          <w:lang w:val="en-GB"/>
        </w:rPr>
        <w:t xml:space="preserve">that the </w:t>
      </w:r>
      <w:r w:rsidR="002254E8" w:rsidRPr="00F42759">
        <w:rPr>
          <w:rFonts w:ascii="Arial" w:hAnsi="Arial" w:cs="Arial"/>
          <w:bCs/>
          <w:lang w:val="en-GB"/>
        </w:rPr>
        <w:t>review record</w:t>
      </w:r>
      <w:r w:rsidR="00062DC4" w:rsidRPr="00F42759">
        <w:rPr>
          <w:rFonts w:ascii="Arial" w:hAnsi="Arial" w:cs="Arial"/>
          <w:bCs/>
          <w:lang w:val="en-GB"/>
        </w:rPr>
        <w:t xml:space="preserve"> put up </w:t>
      </w:r>
      <w:r w:rsidR="00060D4C" w:rsidRPr="00F42759">
        <w:rPr>
          <w:rFonts w:ascii="Arial" w:hAnsi="Arial" w:cs="Arial"/>
          <w:bCs/>
          <w:lang w:val="en-GB"/>
        </w:rPr>
        <w:t xml:space="preserve">by the first respondent </w:t>
      </w:r>
      <w:r w:rsidR="00062DC4" w:rsidRPr="00F42759">
        <w:rPr>
          <w:rFonts w:ascii="Arial" w:hAnsi="Arial" w:cs="Arial"/>
          <w:bCs/>
          <w:lang w:val="en-GB"/>
        </w:rPr>
        <w:t xml:space="preserve">in terms of Uniform rule 53 </w:t>
      </w:r>
      <w:r w:rsidR="005E7D30" w:rsidRPr="00F42759">
        <w:rPr>
          <w:rFonts w:ascii="Arial" w:hAnsi="Arial" w:cs="Arial"/>
          <w:bCs/>
          <w:lang w:val="en-GB"/>
        </w:rPr>
        <w:t xml:space="preserve">correctly reflects </w:t>
      </w:r>
      <w:r w:rsidR="008262BF" w:rsidRPr="00F42759">
        <w:rPr>
          <w:rFonts w:ascii="Arial" w:hAnsi="Arial" w:cs="Arial"/>
          <w:bCs/>
          <w:lang w:val="en-GB"/>
        </w:rPr>
        <w:t xml:space="preserve">the documents considered by the </w:t>
      </w:r>
      <w:r w:rsidR="00062DC4" w:rsidRPr="00F42759">
        <w:rPr>
          <w:rFonts w:ascii="Arial" w:hAnsi="Arial" w:cs="Arial"/>
          <w:bCs/>
          <w:lang w:val="en-GB"/>
        </w:rPr>
        <w:t>first respondent’s bid evaluation committee</w:t>
      </w:r>
      <w:r w:rsidR="0065493D" w:rsidRPr="00F42759">
        <w:rPr>
          <w:rFonts w:ascii="Arial" w:hAnsi="Arial" w:cs="Arial"/>
          <w:bCs/>
          <w:lang w:val="en-GB"/>
        </w:rPr>
        <w:t xml:space="preserve">. That admission </w:t>
      </w:r>
      <w:r w:rsidR="00DE019F" w:rsidRPr="00F42759">
        <w:rPr>
          <w:rFonts w:ascii="Arial" w:hAnsi="Arial" w:cs="Arial"/>
          <w:bCs/>
          <w:lang w:val="en-GB"/>
        </w:rPr>
        <w:t>reaffirms</w:t>
      </w:r>
      <w:r w:rsidR="0065493D" w:rsidRPr="00F42759">
        <w:rPr>
          <w:rFonts w:ascii="Arial" w:hAnsi="Arial" w:cs="Arial"/>
          <w:bCs/>
          <w:lang w:val="en-GB"/>
        </w:rPr>
        <w:t xml:space="preserve"> the existence of the second bid document</w:t>
      </w:r>
      <w:r w:rsidR="003069C0" w:rsidRPr="00F42759">
        <w:rPr>
          <w:rFonts w:ascii="Arial" w:hAnsi="Arial" w:cs="Arial"/>
          <w:bCs/>
          <w:lang w:val="en-GB"/>
        </w:rPr>
        <w:t>.</w:t>
      </w:r>
    </w:p>
    <w:p w:rsidR="003D002A" w:rsidRPr="00F42759" w:rsidRDefault="00F42759" w:rsidP="00F42759">
      <w:pPr>
        <w:tabs>
          <w:tab w:val="left" w:pos="709"/>
        </w:tabs>
        <w:spacing w:line="360" w:lineRule="auto"/>
        <w:jc w:val="both"/>
        <w:rPr>
          <w:rFonts w:ascii="Arial" w:hAnsi="Arial" w:cs="Arial"/>
          <w:bCs/>
          <w:lang w:val="en-GB"/>
        </w:rPr>
      </w:pPr>
      <w:r w:rsidRPr="00062DC4">
        <w:rPr>
          <w:rFonts w:ascii="Arial" w:eastAsiaTheme="minorHAnsi" w:hAnsi="Arial" w:cs="Arial"/>
          <w:bCs/>
          <w:lang w:val="en-GB" w:eastAsia="en-US" w:bidi="ar-SA"/>
        </w:rPr>
        <w:t>(b)</w:t>
      </w:r>
      <w:r w:rsidRPr="00062DC4">
        <w:rPr>
          <w:rFonts w:ascii="Arial" w:eastAsiaTheme="minorHAnsi" w:hAnsi="Arial" w:cs="Arial"/>
          <w:bCs/>
          <w:lang w:val="en-GB" w:eastAsia="en-US" w:bidi="ar-SA"/>
        </w:rPr>
        <w:tab/>
      </w:r>
      <w:r w:rsidR="003D002A" w:rsidRPr="00F42759">
        <w:rPr>
          <w:rFonts w:ascii="Arial" w:hAnsi="Arial" w:cs="Arial"/>
          <w:bCs/>
          <w:lang w:val="en-GB"/>
        </w:rPr>
        <w:t xml:space="preserve">The first bid document </w:t>
      </w:r>
      <w:r w:rsidR="00983D1F" w:rsidRPr="00F42759">
        <w:rPr>
          <w:rFonts w:ascii="Arial" w:hAnsi="Arial" w:cs="Arial"/>
          <w:bCs/>
          <w:lang w:val="en-GB"/>
        </w:rPr>
        <w:t xml:space="preserve">does not appear in the </w:t>
      </w:r>
      <w:r w:rsidR="003D002A" w:rsidRPr="00F42759">
        <w:rPr>
          <w:rFonts w:ascii="Arial" w:hAnsi="Arial" w:cs="Arial"/>
          <w:bCs/>
          <w:lang w:val="en-GB"/>
        </w:rPr>
        <w:t xml:space="preserve">review record. </w:t>
      </w:r>
    </w:p>
    <w:p w:rsidR="009251C0" w:rsidRPr="00F42759" w:rsidRDefault="00F42759" w:rsidP="00F42759">
      <w:pPr>
        <w:tabs>
          <w:tab w:val="left" w:pos="709"/>
        </w:tabs>
        <w:spacing w:line="360" w:lineRule="auto"/>
        <w:jc w:val="both"/>
        <w:rPr>
          <w:rFonts w:ascii="Arial" w:hAnsi="Arial" w:cs="Arial"/>
          <w:bCs/>
          <w:lang w:val="en-GB"/>
        </w:rPr>
      </w:pPr>
      <w:r w:rsidRPr="009251C0">
        <w:rPr>
          <w:rFonts w:ascii="Arial" w:eastAsiaTheme="minorHAnsi" w:hAnsi="Arial" w:cs="Arial"/>
          <w:bCs/>
          <w:lang w:val="en-GB" w:eastAsia="en-US" w:bidi="ar-SA"/>
        </w:rPr>
        <w:t>(c)</w:t>
      </w:r>
      <w:r w:rsidRPr="009251C0">
        <w:rPr>
          <w:rFonts w:ascii="Arial" w:eastAsiaTheme="minorHAnsi" w:hAnsi="Arial" w:cs="Arial"/>
          <w:bCs/>
          <w:lang w:val="en-GB" w:eastAsia="en-US" w:bidi="ar-SA"/>
        </w:rPr>
        <w:tab/>
      </w:r>
      <w:r w:rsidR="009951BA" w:rsidRPr="00F42759">
        <w:rPr>
          <w:rFonts w:ascii="Arial" w:hAnsi="Arial" w:cs="Arial"/>
          <w:bCs/>
          <w:lang w:val="en-GB"/>
        </w:rPr>
        <w:t xml:space="preserve">Mr Sithole did not </w:t>
      </w:r>
      <w:r w:rsidR="00DE019F" w:rsidRPr="00F42759">
        <w:rPr>
          <w:rFonts w:ascii="Arial" w:hAnsi="Arial" w:cs="Arial"/>
          <w:bCs/>
          <w:lang w:val="en-GB"/>
        </w:rPr>
        <w:t xml:space="preserve">actually </w:t>
      </w:r>
      <w:r w:rsidR="009951BA" w:rsidRPr="00F42759">
        <w:rPr>
          <w:rFonts w:ascii="Arial" w:hAnsi="Arial" w:cs="Arial"/>
          <w:bCs/>
          <w:lang w:val="en-GB"/>
        </w:rPr>
        <w:t xml:space="preserve">confirm the identity of the </w:t>
      </w:r>
      <w:r w:rsidR="00CF442F" w:rsidRPr="00F42759">
        <w:rPr>
          <w:rFonts w:ascii="Arial" w:hAnsi="Arial" w:cs="Arial"/>
          <w:bCs/>
          <w:lang w:val="en-GB"/>
        </w:rPr>
        <w:t>bidder,</w:t>
      </w:r>
      <w:r w:rsidR="009951BA" w:rsidRPr="00F42759">
        <w:rPr>
          <w:rFonts w:ascii="Arial" w:hAnsi="Arial" w:cs="Arial"/>
          <w:bCs/>
          <w:lang w:val="en-GB"/>
        </w:rPr>
        <w:t xml:space="preserve"> </w:t>
      </w:r>
      <w:r w:rsidR="00DE019F" w:rsidRPr="00F42759">
        <w:rPr>
          <w:rFonts w:ascii="Arial" w:hAnsi="Arial" w:cs="Arial"/>
          <w:bCs/>
          <w:lang w:val="en-GB"/>
        </w:rPr>
        <w:t>n</w:t>
      </w:r>
      <w:r w:rsidR="009951BA" w:rsidRPr="00F42759">
        <w:rPr>
          <w:rFonts w:ascii="Arial" w:hAnsi="Arial" w:cs="Arial"/>
          <w:bCs/>
          <w:lang w:val="en-GB"/>
        </w:rPr>
        <w:t>or</w:t>
      </w:r>
      <w:r w:rsidR="00DE019F" w:rsidRPr="00F42759">
        <w:rPr>
          <w:rFonts w:ascii="Arial" w:hAnsi="Arial" w:cs="Arial"/>
          <w:bCs/>
          <w:lang w:val="en-GB"/>
        </w:rPr>
        <w:t xml:space="preserve"> did he identify the </w:t>
      </w:r>
      <w:r w:rsidR="009951BA" w:rsidRPr="00F42759">
        <w:rPr>
          <w:rFonts w:ascii="Arial" w:hAnsi="Arial" w:cs="Arial"/>
          <w:bCs/>
          <w:lang w:val="en-GB"/>
        </w:rPr>
        <w:t>bid document submitted to the first respondent.</w:t>
      </w:r>
      <w:r w:rsidR="003F0A8C" w:rsidRPr="00F42759">
        <w:rPr>
          <w:rFonts w:ascii="Arial" w:hAnsi="Arial" w:cs="Arial"/>
          <w:bCs/>
          <w:lang w:val="en-GB"/>
        </w:rPr>
        <w:t xml:space="preserve"> </w:t>
      </w:r>
      <w:r w:rsidR="00DE019F" w:rsidRPr="00F42759">
        <w:rPr>
          <w:rFonts w:ascii="Arial" w:hAnsi="Arial" w:cs="Arial"/>
          <w:bCs/>
          <w:lang w:val="en-GB"/>
        </w:rPr>
        <w:t>What Mr S</w:t>
      </w:r>
      <w:r w:rsidR="003F0A8C" w:rsidRPr="00F42759">
        <w:rPr>
          <w:rFonts w:ascii="Arial" w:hAnsi="Arial" w:cs="Arial"/>
          <w:bCs/>
          <w:lang w:val="en-GB"/>
        </w:rPr>
        <w:t xml:space="preserve">ithole </w:t>
      </w:r>
      <w:r w:rsidR="00983D1F" w:rsidRPr="00F42759">
        <w:rPr>
          <w:rFonts w:ascii="Arial" w:hAnsi="Arial" w:cs="Arial"/>
          <w:bCs/>
          <w:lang w:val="en-GB"/>
        </w:rPr>
        <w:t xml:space="preserve">actually </w:t>
      </w:r>
      <w:r w:rsidR="003F0A8C" w:rsidRPr="00F42759">
        <w:rPr>
          <w:rFonts w:ascii="Arial" w:hAnsi="Arial" w:cs="Arial"/>
          <w:bCs/>
          <w:lang w:val="en-GB"/>
        </w:rPr>
        <w:t>states</w:t>
      </w:r>
      <w:r w:rsidR="00DF1FD5" w:rsidRPr="00F42759">
        <w:rPr>
          <w:rFonts w:ascii="Arial" w:hAnsi="Arial" w:cs="Arial"/>
          <w:bCs/>
          <w:lang w:val="en-GB"/>
        </w:rPr>
        <w:t xml:space="preserve"> in his affidavit </w:t>
      </w:r>
      <w:r w:rsidR="00DE019F" w:rsidRPr="00F42759">
        <w:rPr>
          <w:rFonts w:ascii="Arial" w:hAnsi="Arial" w:cs="Arial"/>
          <w:bCs/>
          <w:lang w:val="en-GB"/>
        </w:rPr>
        <w:t xml:space="preserve">is </w:t>
      </w:r>
      <w:r w:rsidR="003F0A8C" w:rsidRPr="00F42759">
        <w:rPr>
          <w:rFonts w:ascii="Arial" w:hAnsi="Arial" w:cs="Arial"/>
          <w:bCs/>
          <w:lang w:val="en-GB"/>
        </w:rPr>
        <w:t>that</w:t>
      </w:r>
      <w:r w:rsidR="0065493D" w:rsidRPr="00F42759">
        <w:rPr>
          <w:rFonts w:ascii="Arial" w:hAnsi="Arial" w:cs="Arial"/>
          <w:bCs/>
          <w:lang w:val="en-GB"/>
        </w:rPr>
        <w:t>:</w:t>
      </w:r>
    </w:p>
    <w:p w:rsidR="0065493D" w:rsidRDefault="0065493D" w:rsidP="0065493D">
      <w:pPr>
        <w:pStyle w:val="ListParagraph"/>
        <w:tabs>
          <w:tab w:val="left" w:pos="709"/>
        </w:tabs>
        <w:spacing w:line="360" w:lineRule="auto"/>
        <w:ind w:left="0"/>
        <w:jc w:val="both"/>
        <w:rPr>
          <w:rFonts w:ascii="Arial" w:hAnsi="Arial" w:cs="Arial"/>
          <w:bCs/>
          <w:sz w:val="22"/>
          <w:szCs w:val="22"/>
          <w:lang w:val="en-GB"/>
        </w:rPr>
      </w:pPr>
      <w:r w:rsidRPr="0065493D">
        <w:rPr>
          <w:rFonts w:ascii="Arial" w:hAnsi="Arial" w:cs="Arial"/>
          <w:bCs/>
          <w:sz w:val="22"/>
          <w:szCs w:val="22"/>
          <w:lang w:val="en-GB"/>
        </w:rPr>
        <w:t>‘I do not recall the issue of the precise identity of the tenderer but it was my assumption that it was the Applicant.’</w:t>
      </w:r>
    </w:p>
    <w:p w:rsidR="005F5AE4" w:rsidRDefault="00AA19FD" w:rsidP="009251C0">
      <w:pPr>
        <w:pStyle w:val="ListParagraph"/>
        <w:tabs>
          <w:tab w:val="left" w:pos="709"/>
        </w:tabs>
        <w:spacing w:line="360" w:lineRule="auto"/>
        <w:ind w:left="0"/>
        <w:jc w:val="both"/>
        <w:rPr>
          <w:rFonts w:ascii="Arial" w:hAnsi="Arial" w:cs="Arial"/>
          <w:bCs/>
          <w:lang w:val="en-GB"/>
        </w:rPr>
      </w:pPr>
      <w:r>
        <w:rPr>
          <w:rFonts w:ascii="Arial" w:hAnsi="Arial" w:cs="Arial"/>
          <w:bCs/>
          <w:lang w:val="en-GB"/>
        </w:rPr>
        <w:t>T</w:t>
      </w:r>
      <w:r w:rsidR="0065493D">
        <w:rPr>
          <w:rFonts w:ascii="Arial" w:hAnsi="Arial" w:cs="Arial"/>
          <w:bCs/>
          <w:lang w:val="en-GB"/>
        </w:rPr>
        <w:t xml:space="preserve">he identity of the bidder </w:t>
      </w:r>
      <w:r w:rsidR="00764135">
        <w:rPr>
          <w:rFonts w:ascii="Arial" w:hAnsi="Arial" w:cs="Arial"/>
          <w:bCs/>
          <w:lang w:val="en-GB"/>
        </w:rPr>
        <w:t>(and</w:t>
      </w:r>
      <w:r w:rsidR="003528E8">
        <w:rPr>
          <w:rFonts w:ascii="Arial" w:hAnsi="Arial" w:cs="Arial"/>
          <w:bCs/>
          <w:lang w:val="en-GB"/>
        </w:rPr>
        <w:t>,</w:t>
      </w:r>
      <w:r w:rsidR="00764135">
        <w:rPr>
          <w:rFonts w:ascii="Arial" w:hAnsi="Arial" w:cs="Arial"/>
          <w:bCs/>
          <w:lang w:val="en-GB"/>
        </w:rPr>
        <w:t xml:space="preserve"> inferentially</w:t>
      </w:r>
      <w:r w:rsidR="003528E8">
        <w:rPr>
          <w:rFonts w:ascii="Arial" w:hAnsi="Arial" w:cs="Arial"/>
          <w:bCs/>
          <w:lang w:val="en-GB"/>
        </w:rPr>
        <w:t>,</w:t>
      </w:r>
      <w:r w:rsidR="00764135">
        <w:rPr>
          <w:rFonts w:ascii="Arial" w:hAnsi="Arial" w:cs="Arial"/>
          <w:bCs/>
          <w:lang w:val="en-GB"/>
        </w:rPr>
        <w:t xml:space="preserve"> the bid document) </w:t>
      </w:r>
      <w:r w:rsidR="0065493D">
        <w:rPr>
          <w:rFonts w:ascii="Arial" w:hAnsi="Arial" w:cs="Arial"/>
          <w:bCs/>
          <w:lang w:val="en-GB"/>
        </w:rPr>
        <w:t xml:space="preserve">has now </w:t>
      </w:r>
      <w:r w:rsidR="003F0A8C">
        <w:rPr>
          <w:rFonts w:ascii="Arial" w:hAnsi="Arial" w:cs="Arial"/>
          <w:bCs/>
          <w:lang w:val="en-GB"/>
        </w:rPr>
        <w:t xml:space="preserve">been </w:t>
      </w:r>
      <w:r w:rsidR="0065493D">
        <w:rPr>
          <w:rFonts w:ascii="Arial" w:hAnsi="Arial" w:cs="Arial"/>
          <w:bCs/>
          <w:lang w:val="en-GB"/>
        </w:rPr>
        <w:t>degraded to a</w:t>
      </w:r>
      <w:r w:rsidR="003F0A8C">
        <w:rPr>
          <w:rFonts w:ascii="Arial" w:hAnsi="Arial" w:cs="Arial"/>
          <w:bCs/>
          <w:lang w:val="en-GB"/>
        </w:rPr>
        <w:t xml:space="preserve"> mere</w:t>
      </w:r>
      <w:r w:rsidR="0065493D">
        <w:rPr>
          <w:rFonts w:ascii="Arial" w:hAnsi="Arial" w:cs="Arial"/>
          <w:bCs/>
          <w:lang w:val="en-GB"/>
        </w:rPr>
        <w:t xml:space="preserve"> assumption</w:t>
      </w:r>
      <w:r w:rsidR="00B040D8">
        <w:rPr>
          <w:rFonts w:ascii="Arial" w:hAnsi="Arial" w:cs="Arial"/>
          <w:bCs/>
          <w:lang w:val="en-GB"/>
        </w:rPr>
        <w:t>. Mr Sithole</w:t>
      </w:r>
      <w:r w:rsidR="00A458EC">
        <w:rPr>
          <w:rFonts w:ascii="Arial" w:hAnsi="Arial" w:cs="Arial"/>
          <w:bCs/>
          <w:lang w:val="en-GB"/>
        </w:rPr>
        <w:t>, therefore,</w:t>
      </w:r>
      <w:r w:rsidR="00B040D8">
        <w:rPr>
          <w:rFonts w:ascii="Arial" w:hAnsi="Arial" w:cs="Arial"/>
          <w:bCs/>
          <w:lang w:val="en-GB"/>
        </w:rPr>
        <w:t xml:space="preserve"> does not confirm the version of Mr Masomboka</w:t>
      </w:r>
      <w:r w:rsidR="00617094">
        <w:rPr>
          <w:rFonts w:ascii="Arial" w:hAnsi="Arial" w:cs="Arial"/>
          <w:bCs/>
          <w:lang w:val="en-GB"/>
        </w:rPr>
        <w:t>.</w:t>
      </w:r>
      <w:r w:rsidR="009951BA">
        <w:rPr>
          <w:rFonts w:ascii="Arial" w:hAnsi="Arial" w:cs="Arial"/>
          <w:bCs/>
          <w:lang w:val="en-GB"/>
        </w:rPr>
        <w:t xml:space="preserve"> The argument must accordingly be rejected. </w:t>
      </w:r>
      <w:r w:rsidR="00BB1AF0">
        <w:rPr>
          <w:rFonts w:ascii="Arial" w:hAnsi="Arial" w:cs="Arial"/>
          <w:bCs/>
          <w:lang w:val="en-GB"/>
        </w:rPr>
        <w:t xml:space="preserve">The position is thus that no explanation has been provided by the applicant for the existence of </w:t>
      </w:r>
      <w:r w:rsidR="00C07AAB">
        <w:rPr>
          <w:rFonts w:ascii="Arial" w:hAnsi="Arial" w:cs="Arial"/>
          <w:bCs/>
          <w:lang w:val="en-GB"/>
        </w:rPr>
        <w:t xml:space="preserve">the </w:t>
      </w:r>
      <w:r w:rsidR="00BB1AF0">
        <w:rPr>
          <w:rFonts w:ascii="Arial" w:hAnsi="Arial" w:cs="Arial"/>
          <w:bCs/>
          <w:lang w:val="en-GB"/>
        </w:rPr>
        <w:t>two different bid documents that each bear the signature of Mr Grobler.</w:t>
      </w:r>
    </w:p>
    <w:p w:rsidR="00062DC4" w:rsidRPr="00062DC4" w:rsidRDefault="00062DC4" w:rsidP="005F5AE4">
      <w:pPr>
        <w:pStyle w:val="ListParagraph"/>
        <w:spacing w:line="360" w:lineRule="auto"/>
        <w:rPr>
          <w:rFonts w:ascii="Arial" w:hAnsi="Arial" w:cs="Arial"/>
          <w:bCs/>
          <w:lang w:val="en-GB"/>
        </w:rPr>
      </w:pPr>
    </w:p>
    <w:p w:rsidR="00351F77" w:rsidRPr="00F42759" w:rsidRDefault="00F42759" w:rsidP="00F42759">
      <w:pPr>
        <w:tabs>
          <w:tab w:val="left" w:pos="709"/>
        </w:tabs>
        <w:spacing w:line="360" w:lineRule="auto"/>
        <w:jc w:val="both"/>
        <w:rPr>
          <w:rFonts w:ascii="Arial" w:hAnsi="Arial" w:cs="Arial"/>
          <w:bCs/>
          <w:lang w:val="en-GB"/>
        </w:rPr>
      </w:pPr>
      <w:r w:rsidRPr="00090EDA">
        <w:rPr>
          <w:rFonts w:ascii="Arial" w:eastAsiaTheme="minorHAnsi" w:hAnsi="Arial" w:cs="Arial"/>
          <w:bCs/>
          <w:lang w:val="en-GB" w:eastAsia="en-US" w:bidi="ar-SA"/>
        </w:rPr>
        <w:t>[39]</w:t>
      </w:r>
      <w:r w:rsidRPr="00090EDA">
        <w:rPr>
          <w:rFonts w:ascii="Arial" w:eastAsiaTheme="minorHAnsi" w:hAnsi="Arial" w:cs="Arial"/>
          <w:bCs/>
          <w:lang w:val="en-GB" w:eastAsia="en-US" w:bidi="ar-SA"/>
        </w:rPr>
        <w:tab/>
      </w:r>
      <w:r w:rsidR="0034516E" w:rsidRPr="00F42759">
        <w:rPr>
          <w:rFonts w:ascii="Arial" w:hAnsi="Arial" w:cs="Arial"/>
          <w:bCs/>
          <w:lang w:val="en-GB"/>
        </w:rPr>
        <w:t>There are</w:t>
      </w:r>
      <w:r w:rsidR="00D51F93" w:rsidRPr="00F42759">
        <w:rPr>
          <w:rFonts w:ascii="Arial" w:hAnsi="Arial" w:cs="Arial"/>
          <w:bCs/>
          <w:lang w:val="en-GB"/>
        </w:rPr>
        <w:t>, however,</w:t>
      </w:r>
      <w:r w:rsidR="0034516E" w:rsidRPr="00F42759">
        <w:rPr>
          <w:rFonts w:ascii="Arial" w:hAnsi="Arial" w:cs="Arial"/>
          <w:bCs/>
          <w:lang w:val="en-GB"/>
        </w:rPr>
        <w:t xml:space="preserve"> </w:t>
      </w:r>
      <w:r w:rsidR="00BF69B5" w:rsidRPr="00F42759">
        <w:rPr>
          <w:rFonts w:ascii="Arial" w:hAnsi="Arial" w:cs="Arial"/>
          <w:bCs/>
          <w:lang w:val="en-GB"/>
        </w:rPr>
        <w:t>reliable</w:t>
      </w:r>
      <w:r w:rsidR="00E03A91" w:rsidRPr="00F42759">
        <w:rPr>
          <w:rFonts w:ascii="Arial" w:hAnsi="Arial" w:cs="Arial"/>
          <w:bCs/>
          <w:lang w:val="en-GB"/>
        </w:rPr>
        <w:t xml:space="preserve"> </w:t>
      </w:r>
      <w:r w:rsidR="001D0014" w:rsidRPr="00F42759">
        <w:rPr>
          <w:rFonts w:ascii="Arial" w:hAnsi="Arial" w:cs="Arial"/>
          <w:bCs/>
          <w:lang w:val="en-GB"/>
        </w:rPr>
        <w:t>indications</w:t>
      </w:r>
      <w:r w:rsidR="0034516E" w:rsidRPr="00F42759">
        <w:rPr>
          <w:rFonts w:ascii="Arial" w:hAnsi="Arial" w:cs="Arial"/>
          <w:bCs/>
          <w:lang w:val="en-GB"/>
        </w:rPr>
        <w:t xml:space="preserve"> </w:t>
      </w:r>
      <w:r w:rsidR="00E03A91" w:rsidRPr="00F42759">
        <w:rPr>
          <w:rFonts w:ascii="Arial" w:hAnsi="Arial" w:cs="Arial"/>
          <w:bCs/>
          <w:lang w:val="en-GB"/>
        </w:rPr>
        <w:t xml:space="preserve">that what was submitted to the first respondent was not the </w:t>
      </w:r>
      <w:r w:rsidR="00090EDA" w:rsidRPr="00F42759">
        <w:rPr>
          <w:rFonts w:ascii="Arial" w:hAnsi="Arial" w:cs="Arial"/>
          <w:bCs/>
          <w:lang w:val="en-GB"/>
        </w:rPr>
        <w:t xml:space="preserve">first </w:t>
      </w:r>
      <w:r w:rsidR="00E03A91" w:rsidRPr="00F42759">
        <w:rPr>
          <w:rFonts w:ascii="Arial" w:hAnsi="Arial" w:cs="Arial"/>
          <w:bCs/>
          <w:lang w:val="en-GB"/>
        </w:rPr>
        <w:t>bid</w:t>
      </w:r>
      <w:r w:rsidR="001D0014" w:rsidRPr="00F42759">
        <w:rPr>
          <w:rFonts w:ascii="Arial" w:hAnsi="Arial" w:cs="Arial"/>
          <w:bCs/>
          <w:lang w:val="en-GB"/>
        </w:rPr>
        <w:t xml:space="preserve"> document but </w:t>
      </w:r>
      <w:r w:rsidR="00D51F93" w:rsidRPr="00F42759">
        <w:rPr>
          <w:rFonts w:ascii="Arial" w:hAnsi="Arial" w:cs="Arial"/>
          <w:bCs/>
          <w:lang w:val="en-GB"/>
        </w:rPr>
        <w:t xml:space="preserve">was, rather, </w:t>
      </w:r>
      <w:r w:rsidR="001D0014" w:rsidRPr="00F42759">
        <w:rPr>
          <w:rFonts w:ascii="Arial" w:hAnsi="Arial" w:cs="Arial"/>
          <w:bCs/>
          <w:lang w:val="en-GB"/>
        </w:rPr>
        <w:t>the second bid document</w:t>
      </w:r>
      <w:r w:rsidR="002E6892" w:rsidRPr="00F42759">
        <w:rPr>
          <w:rFonts w:ascii="Arial" w:hAnsi="Arial" w:cs="Arial"/>
          <w:bCs/>
          <w:lang w:val="en-GB"/>
        </w:rPr>
        <w:t>:</w:t>
      </w:r>
    </w:p>
    <w:p w:rsidR="001D0014" w:rsidRPr="00F42759" w:rsidRDefault="00F42759" w:rsidP="00F42759">
      <w:pPr>
        <w:tabs>
          <w:tab w:val="left" w:pos="709"/>
        </w:tabs>
        <w:spacing w:line="360" w:lineRule="auto"/>
        <w:jc w:val="both"/>
        <w:rPr>
          <w:rFonts w:ascii="Arial" w:hAnsi="Arial" w:cs="Arial"/>
          <w:bCs/>
          <w:lang w:val="en-GB"/>
        </w:rPr>
      </w:pPr>
      <w:r>
        <w:rPr>
          <w:rFonts w:ascii="Arial" w:eastAsiaTheme="minorHAnsi" w:hAnsi="Arial" w:cs="Arial"/>
          <w:bCs/>
          <w:lang w:val="en-GB" w:eastAsia="en-US" w:bidi="ar-SA"/>
        </w:rPr>
        <w:t>(a)</w:t>
      </w:r>
      <w:r>
        <w:rPr>
          <w:rFonts w:ascii="Arial" w:eastAsiaTheme="minorHAnsi" w:hAnsi="Arial" w:cs="Arial"/>
          <w:bCs/>
          <w:lang w:val="en-GB" w:eastAsia="en-US" w:bidi="ar-SA"/>
        </w:rPr>
        <w:tab/>
      </w:r>
      <w:r w:rsidR="001D0014" w:rsidRPr="00F42759">
        <w:rPr>
          <w:rFonts w:ascii="Arial" w:hAnsi="Arial" w:cs="Arial"/>
          <w:bCs/>
          <w:lang w:val="en-GB"/>
        </w:rPr>
        <w:t>T</w:t>
      </w:r>
      <w:r w:rsidR="00E03A91" w:rsidRPr="00F42759">
        <w:rPr>
          <w:rFonts w:ascii="Arial" w:hAnsi="Arial" w:cs="Arial"/>
          <w:bCs/>
          <w:lang w:val="en-GB"/>
        </w:rPr>
        <w:t xml:space="preserve">he first respondent decided that </w:t>
      </w:r>
      <w:r w:rsidR="00AC0E77" w:rsidRPr="00F42759">
        <w:rPr>
          <w:rFonts w:ascii="Arial" w:hAnsi="Arial" w:cs="Arial"/>
          <w:bCs/>
          <w:lang w:val="en-GB"/>
        </w:rPr>
        <w:t xml:space="preserve">the Marothodi Metsi and Sebata Group </w:t>
      </w:r>
      <w:r w:rsidR="00E03A91" w:rsidRPr="00F42759">
        <w:rPr>
          <w:rFonts w:ascii="Arial" w:hAnsi="Arial" w:cs="Arial"/>
          <w:bCs/>
          <w:lang w:val="en-GB"/>
        </w:rPr>
        <w:t xml:space="preserve">was the winning bidder and not the applicant. </w:t>
      </w:r>
      <w:r w:rsidR="001D0014" w:rsidRPr="00F42759">
        <w:rPr>
          <w:rFonts w:ascii="Arial" w:hAnsi="Arial" w:cs="Arial"/>
          <w:bCs/>
          <w:lang w:val="en-GB"/>
        </w:rPr>
        <w:t xml:space="preserve">It did not decide that the successful bidder was Marothodi Metsi or Marothodi Metsi (Pty) Ltd. </w:t>
      </w:r>
      <w:r w:rsidR="00E03A91" w:rsidRPr="00F42759">
        <w:rPr>
          <w:rFonts w:ascii="Arial" w:hAnsi="Arial" w:cs="Arial"/>
          <w:bCs/>
          <w:lang w:val="en-GB"/>
        </w:rPr>
        <w:t>Th</w:t>
      </w:r>
      <w:r w:rsidR="00E42AC3" w:rsidRPr="00F42759">
        <w:rPr>
          <w:rFonts w:ascii="Arial" w:hAnsi="Arial" w:cs="Arial"/>
          <w:bCs/>
          <w:lang w:val="en-GB"/>
        </w:rPr>
        <w:t>at</w:t>
      </w:r>
      <w:r w:rsidR="001D0014" w:rsidRPr="00F42759">
        <w:rPr>
          <w:rFonts w:ascii="Arial" w:hAnsi="Arial" w:cs="Arial"/>
          <w:bCs/>
          <w:lang w:val="en-GB"/>
        </w:rPr>
        <w:t xml:space="preserve"> decision</w:t>
      </w:r>
      <w:r w:rsidR="00E03A91" w:rsidRPr="00F42759">
        <w:rPr>
          <w:rFonts w:ascii="Arial" w:hAnsi="Arial" w:cs="Arial"/>
          <w:bCs/>
          <w:lang w:val="en-GB"/>
        </w:rPr>
        <w:t xml:space="preserve"> is entirely consistent with the </w:t>
      </w:r>
      <w:r w:rsidR="00090EDA" w:rsidRPr="00F42759">
        <w:rPr>
          <w:rFonts w:ascii="Arial" w:hAnsi="Arial" w:cs="Arial"/>
          <w:bCs/>
          <w:lang w:val="en-GB"/>
        </w:rPr>
        <w:t xml:space="preserve">content of the second </w:t>
      </w:r>
      <w:r w:rsidR="00E03A91" w:rsidRPr="00F42759">
        <w:rPr>
          <w:rFonts w:ascii="Arial" w:hAnsi="Arial" w:cs="Arial"/>
          <w:bCs/>
          <w:lang w:val="en-GB"/>
        </w:rPr>
        <w:t xml:space="preserve">bid document and is inconsistent with the identity of the bidding party in the </w:t>
      </w:r>
      <w:r w:rsidR="00090EDA" w:rsidRPr="00F42759">
        <w:rPr>
          <w:rFonts w:ascii="Arial" w:hAnsi="Arial" w:cs="Arial"/>
          <w:bCs/>
          <w:lang w:val="en-GB"/>
        </w:rPr>
        <w:t xml:space="preserve">first </w:t>
      </w:r>
      <w:r w:rsidR="00E03A91" w:rsidRPr="00F42759">
        <w:rPr>
          <w:rFonts w:ascii="Arial" w:hAnsi="Arial" w:cs="Arial"/>
          <w:bCs/>
          <w:lang w:val="en-GB"/>
        </w:rPr>
        <w:t>bid document</w:t>
      </w:r>
      <w:r w:rsidR="00E42AC3" w:rsidRPr="00F42759">
        <w:rPr>
          <w:rFonts w:ascii="Arial" w:hAnsi="Arial" w:cs="Arial"/>
          <w:bCs/>
          <w:lang w:val="en-GB"/>
        </w:rPr>
        <w:t xml:space="preserve"> which, at best, could be described as unclear, with no less than three different names being used to identify the bidder</w:t>
      </w:r>
      <w:r w:rsidR="001D0014" w:rsidRPr="00F42759">
        <w:rPr>
          <w:rFonts w:ascii="Arial" w:hAnsi="Arial" w:cs="Arial"/>
          <w:bCs/>
          <w:lang w:val="en-GB"/>
        </w:rPr>
        <w:t>;</w:t>
      </w:r>
      <w:r w:rsidR="002E6892" w:rsidRPr="00F42759">
        <w:rPr>
          <w:rFonts w:ascii="Arial" w:hAnsi="Arial" w:cs="Arial"/>
          <w:bCs/>
          <w:lang w:val="en-GB"/>
        </w:rPr>
        <w:t xml:space="preserve"> </w:t>
      </w:r>
    </w:p>
    <w:p w:rsidR="001D0014" w:rsidRPr="00F42759" w:rsidRDefault="00F42759" w:rsidP="00F42759">
      <w:pPr>
        <w:tabs>
          <w:tab w:val="left" w:pos="709"/>
        </w:tabs>
        <w:spacing w:line="360" w:lineRule="auto"/>
        <w:jc w:val="both"/>
        <w:rPr>
          <w:rFonts w:ascii="Arial" w:hAnsi="Arial" w:cs="Arial"/>
          <w:bCs/>
          <w:lang w:val="en-GB"/>
        </w:rPr>
      </w:pPr>
      <w:r>
        <w:rPr>
          <w:rFonts w:ascii="Arial" w:eastAsiaTheme="minorHAnsi" w:hAnsi="Arial" w:cs="Arial"/>
          <w:bCs/>
          <w:lang w:val="en-GB" w:eastAsia="en-US" w:bidi="ar-SA"/>
        </w:rPr>
        <w:t>(b)</w:t>
      </w:r>
      <w:r>
        <w:rPr>
          <w:rFonts w:ascii="Arial" w:eastAsiaTheme="minorHAnsi" w:hAnsi="Arial" w:cs="Arial"/>
          <w:bCs/>
          <w:lang w:val="en-GB" w:eastAsia="en-US" w:bidi="ar-SA"/>
        </w:rPr>
        <w:tab/>
      </w:r>
      <w:r w:rsidR="001D0014" w:rsidRPr="00F42759">
        <w:rPr>
          <w:rFonts w:ascii="Arial" w:hAnsi="Arial" w:cs="Arial"/>
          <w:bCs/>
          <w:lang w:val="en-GB"/>
        </w:rPr>
        <w:t>T</w:t>
      </w:r>
      <w:r w:rsidR="002E6892" w:rsidRPr="00F42759">
        <w:rPr>
          <w:rFonts w:ascii="Arial" w:hAnsi="Arial" w:cs="Arial"/>
          <w:bCs/>
          <w:lang w:val="en-GB"/>
        </w:rPr>
        <w:t xml:space="preserve">he first respondent at all times believed that the successful bidder had been </w:t>
      </w:r>
      <w:r w:rsidR="00AC0E77" w:rsidRPr="00F42759">
        <w:rPr>
          <w:rFonts w:ascii="Arial" w:hAnsi="Arial" w:cs="Arial"/>
          <w:bCs/>
          <w:lang w:val="en-GB"/>
        </w:rPr>
        <w:t>the Marothodi Metsi and Sebata Group</w:t>
      </w:r>
      <w:r w:rsidR="002E6892" w:rsidRPr="00F42759">
        <w:rPr>
          <w:rFonts w:ascii="Arial" w:hAnsi="Arial" w:cs="Arial"/>
          <w:bCs/>
          <w:lang w:val="en-GB"/>
        </w:rPr>
        <w:t xml:space="preserve">: </w:t>
      </w:r>
      <w:r w:rsidR="00E42AC3" w:rsidRPr="00F42759">
        <w:rPr>
          <w:rFonts w:ascii="Arial" w:hAnsi="Arial" w:cs="Arial"/>
          <w:bCs/>
          <w:lang w:val="en-GB"/>
        </w:rPr>
        <w:t xml:space="preserve">that is why both the first and second award letters were addressed to </w:t>
      </w:r>
      <w:r w:rsidR="00AC0E77" w:rsidRPr="00F42759">
        <w:rPr>
          <w:rFonts w:ascii="Arial" w:hAnsi="Arial" w:cs="Arial"/>
          <w:bCs/>
          <w:lang w:val="en-GB"/>
        </w:rPr>
        <w:t>the Marothodi Metsi and Sebata Group</w:t>
      </w:r>
      <w:r w:rsidR="001D0014" w:rsidRPr="00F42759">
        <w:rPr>
          <w:rFonts w:ascii="Arial" w:hAnsi="Arial" w:cs="Arial"/>
          <w:bCs/>
          <w:lang w:val="en-GB"/>
        </w:rPr>
        <w:t>;</w:t>
      </w:r>
    </w:p>
    <w:p w:rsidR="002E6892" w:rsidRPr="00F42759" w:rsidRDefault="00F42759" w:rsidP="00F42759">
      <w:pPr>
        <w:tabs>
          <w:tab w:val="left" w:pos="709"/>
        </w:tabs>
        <w:spacing w:line="360" w:lineRule="auto"/>
        <w:jc w:val="both"/>
        <w:rPr>
          <w:rFonts w:ascii="Arial" w:hAnsi="Arial" w:cs="Arial"/>
          <w:bCs/>
          <w:lang w:val="en-GB"/>
        </w:rPr>
      </w:pPr>
      <w:r w:rsidRPr="001D0014">
        <w:rPr>
          <w:rFonts w:ascii="Arial" w:eastAsiaTheme="minorHAnsi" w:hAnsi="Arial" w:cs="Arial"/>
          <w:bCs/>
          <w:lang w:val="en-GB" w:eastAsia="en-US" w:bidi="ar-SA"/>
        </w:rPr>
        <w:t>(c)</w:t>
      </w:r>
      <w:r w:rsidRPr="001D0014">
        <w:rPr>
          <w:rFonts w:ascii="Arial" w:eastAsiaTheme="minorHAnsi" w:hAnsi="Arial" w:cs="Arial"/>
          <w:bCs/>
          <w:lang w:val="en-GB" w:eastAsia="en-US" w:bidi="ar-SA"/>
        </w:rPr>
        <w:tab/>
      </w:r>
      <w:r w:rsidR="001D0014" w:rsidRPr="00F42759">
        <w:rPr>
          <w:rFonts w:ascii="Arial" w:hAnsi="Arial" w:cs="Arial"/>
          <w:bCs/>
          <w:lang w:val="en-GB"/>
        </w:rPr>
        <w:t>The first respondent concluded the contract</w:t>
      </w:r>
      <w:r w:rsidR="009C244B" w:rsidRPr="00F42759">
        <w:rPr>
          <w:rFonts w:ascii="Arial" w:hAnsi="Arial" w:cs="Arial"/>
          <w:bCs/>
          <w:lang w:val="en-GB"/>
        </w:rPr>
        <w:t>,</w:t>
      </w:r>
      <w:r w:rsidR="00090EDA" w:rsidRPr="00F42759">
        <w:rPr>
          <w:rFonts w:ascii="Arial" w:hAnsi="Arial" w:cs="Arial"/>
          <w:bCs/>
          <w:lang w:val="en-GB"/>
        </w:rPr>
        <w:t xml:space="preserve"> not with the applicant</w:t>
      </w:r>
      <w:r w:rsidR="00E42AC3" w:rsidRPr="00F42759">
        <w:rPr>
          <w:rFonts w:ascii="Arial" w:hAnsi="Arial" w:cs="Arial"/>
          <w:bCs/>
          <w:lang w:val="en-GB"/>
        </w:rPr>
        <w:t xml:space="preserve"> or any other entity</w:t>
      </w:r>
      <w:r w:rsidR="00090EDA" w:rsidRPr="00F42759">
        <w:rPr>
          <w:rFonts w:ascii="Arial" w:hAnsi="Arial" w:cs="Arial"/>
          <w:bCs/>
          <w:lang w:val="en-GB"/>
        </w:rPr>
        <w:t>, but</w:t>
      </w:r>
      <w:r w:rsidR="002E6892" w:rsidRPr="00F42759">
        <w:rPr>
          <w:rFonts w:ascii="Arial" w:hAnsi="Arial" w:cs="Arial"/>
          <w:bCs/>
          <w:lang w:val="en-GB"/>
        </w:rPr>
        <w:t xml:space="preserve"> with </w:t>
      </w:r>
      <w:r w:rsidR="00AC0E77" w:rsidRPr="00F42759">
        <w:rPr>
          <w:rFonts w:ascii="Arial" w:hAnsi="Arial" w:cs="Arial"/>
          <w:bCs/>
          <w:lang w:val="en-GB"/>
        </w:rPr>
        <w:t>the Marothodi Metsi and Sebata Group</w:t>
      </w:r>
      <w:r w:rsidR="002E6892" w:rsidRPr="00F42759">
        <w:rPr>
          <w:rFonts w:ascii="Arial" w:hAnsi="Arial" w:cs="Arial"/>
          <w:bCs/>
          <w:lang w:val="en-GB"/>
        </w:rPr>
        <w:t xml:space="preserve">. </w:t>
      </w:r>
      <w:r w:rsidR="00764135" w:rsidRPr="00F42759">
        <w:rPr>
          <w:rFonts w:ascii="Arial" w:hAnsi="Arial" w:cs="Arial"/>
          <w:bCs/>
          <w:lang w:val="en-GB"/>
        </w:rPr>
        <w:t>It is unlikely that this would have occurred had the first bid document been the winning bid;</w:t>
      </w:r>
    </w:p>
    <w:p w:rsidR="009251C0" w:rsidRPr="00F42759" w:rsidRDefault="00F42759" w:rsidP="00F42759">
      <w:pPr>
        <w:tabs>
          <w:tab w:val="left" w:pos="709"/>
        </w:tabs>
        <w:spacing w:line="360" w:lineRule="auto"/>
        <w:jc w:val="both"/>
        <w:rPr>
          <w:rFonts w:ascii="Arial" w:hAnsi="Arial" w:cs="Arial"/>
          <w:bCs/>
          <w:lang w:val="en-GB"/>
        </w:rPr>
      </w:pPr>
      <w:r>
        <w:rPr>
          <w:rFonts w:ascii="Arial" w:eastAsiaTheme="minorHAnsi" w:hAnsi="Arial" w:cs="Arial"/>
          <w:bCs/>
          <w:lang w:val="en-GB" w:eastAsia="en-US" w:bidi="ar-SA"/>
        </w:rPr>
        <w:t>(d)</w:t>
      </w:r>
      <w:r>
        <w:rPr>
          <w:rFonts w:ascii="Arial" w:eastAsiaTheme="minorHAnsi" w:hAnsi="Arial" w:cs="Arial"/>
          <w:bCs/>
          <w:lang w:val="en-GB" w:eastAsia="en-US" w:bidi="ar-SA"/>
        </w:rPr>
        <w:tab/>
      </w:r>
      <w:r w:rsidR="00A67A6F" w:rsidRPr="00F42759">
        <w:rPr>
          <w:rFonts w:ascii="Arial" w:hAnsi="Arial" w:cs="Arial"/>
          <w:bCs/>
          <w:lang w:val="en-GB"/>
        </w:rPr>
        <w:t xml:space="preserve">Prior to the adjudication of the tender, the applicant sent a letter to the first respondent. The letter was dated </w:t>
      </w:r>
      <w:r w:rsidR="003F0A8C" w:rsidRPr="00F42759">
        <w:rPr>
          <w:rFonts w:ascii="Arial" w:hAnsi="Arial" w:cs="Arial"/>
          <w:bCs/>
          <w:lang w:val="en-GB"/>
        </w:rPr>
        <w:t>20 February 2020</w:t>
      </w:r>
      <w:r w:rsidR="003528E8" w:rsidRPr="00F42759">
        <w:rPr>
          <w:rFonts w:ascii="Arial" w:hAnsi="Arial" w:cs="Arial"/>
          <w:bCs/>
          <w:lang w:val="en-GB"/>
        </w:rPr>
        <w:t>, the closing date of the tender,</w:t>
      </w:r>
      <w:r w:rsidR="00A67A6F" w:rsidRPr="00F42759">
        <w:rPr>
          <w:rFonts w:ascii="Arial" w:hAnsi="Arial" w:cs="Arial"/>
          <w:bCs/>
          <w:lang w:val="en-GB"/>
        </w:rPr>
        <w:t xml:space="preserve"> and </w:t>
      </w:r>
      <w:r w:rsidR="005E7D30" w:rsidRPr="00F42759">
        <w:rPr>
          <w:rFonts w:ascii="Arial" w:hAnsi="Arial" w:cs="Arial"/>
          <w:bCs/>
          <w:lang w:val="en-GB"/>
        </w:rPr>
        <w:t>appears to have accompanied the submission of the bid. In that letter,</w:t>
      </w:r>
      <w:r w:rsidR="00A67A6F" w:rsidRPr="00F42759">
        <w:rPr>
          <w:rFonts w:ascii="Arial" w:hAnsi="Arial" w:cs="Arial"/>
          <w:bCs/>
          <w:lang w:val="en-GB"/>
        </w:rPr>
        <w:t xml:space="preserve"> the following is stated:</w:t>
      </w:r>
    </w:p>
    <w:p w:rsidR="00E5117D" w:rsidRDefault="009251C0" w:rsidP="00A67A6F">
      <w:pPr>
        <w:pStyle w:val="ListParagraph"/>
        <w:tabs>
          <w:tab w:val="left" w:pos="709"/>
        </w:tabs>
        <w:spacing w:line="360" w:lineRule="auto"/>
        <w:ind w:left="0"/>
        <w:jc w:val="both"/>
        <w:rPr>
          <w:rFonts w:ascii="Arial" w:hAnsi="Arial" w:cs="Arial"/>
          <w:bCs/>
          <w:sz w:val="22"/>
          <w:szCs w:val="22"/>
          <w:lang w:val="en-GB"/>
        </w:rPr>
      </w:pPr>
      <w:r w:rsidRPr="00C16E5F">
        <w:rPr>
          <w:rFonts w:ascii="Arial" w:hAnsi="Arial" w:cs="Arial"/>
          <w:bCs/>
          <w:sz w:val="22"/>
          <w:szCs w:val="22"/>
          <w:lang w:val="en-GB"/>
        </w:rPr>
        <w:t>‘</w:t>
      </w:r>
      <w:r w:rsidR="00E5117D">
        <w:rPr>
          <w:rFonts w:ascii="Arial" w:hAnsi="Arial" w:cs="Arial"/>
          <w:bCs/>
          <w:sz w:val="22"/>
          <w:szCs w:val="22"/>
          <w:lang w:val="en-GB"/>
        </w:rPr>
        <w:t>4.</w:t>
      </w:r>
      <w:r w:rsidR="00E5117D">
        <w:rPr>
          <w:rFonts w:ascii="Arial" w:hAnsi="Arial" w:cs="Arial"/>
          <w:bCs/>
          <w:sz w:val="22"/>
          <w:szCs w:val="22"/>
          <w:lang w:val="en-GB"/>
        </w:rPr>
        <w:tab/>
        <w:t xml:space="preserve">Marothodi Metsi and Sebata Group understands the nature of the works in that it is a holistic intervention and therefore has selected subcontractors from a professional background who will be able to assist in meeting the expectations as a consolidated team. </w:t>
      </w:r>
    </w:p>
    <w:p w:rsidR="009251C0" w:rsidRPr="00F42759" w:rsidRDefault="00F42759" w:rsidP="00F42759">
      <w:pPr>
        <w:tabs>
          <w:tab w:val="left" w:pos="709"/>
        </w:tabs>
        <w:spacing w:line="360" w:lineRule="auto"/>
        <w:jc w:val="both"/>
        <w:rPr>
          <w:rFonts w:ascii="Arial" w:hAnsi="Arial" w:cs="Arial"/>
          <w:bCs/>
          <w:sz w:val="22"/>
          <w:szCs w:val="22"/>
          <w:lang w:val="en-GB"/>
        </w:rPr>
      </w:pPr>
      <w:r>
        <w:rPr>
          <w:rFonts w:ascii="Arial" w:eastAsiaTheme="minorHAnsi" w:hAnsi="Arial" w:cs="Arial"/>
          <w:bCs/>
          <w:sz w:val="22"/>
          <w:szCs w:val="22"/>
          <w:lang w:val="en-GB" w:eastAsia="en-US" w:bidi="ar-SA"/>
        </w:rPr>
        <w:t>5.</w:t>
      </w:r>
      <w:r>
        <w:rPr>
          <w:rFonts w:ascii="Arial" w:eastAsiaTheme="minorHAnsi" w:hAnsi="Arial" w:cs="Arial"/>
          <w:bCs/>
          <w:sz w:val="22"/>
          <w:szCs w:val="22"/>
          <w:lang w:val="en-GB" w:eastAsia="en-US" w:bidi="ar-SA"/>
        </w:rPr>
        <w:tab/>
      </w:r>
      <w:r w:rsidR="00C16E5F" w:rsidRPr="00F42759">
        <w:rPr>
          <w:rFonts w:ascii="Arial" w:hAnsi="Arial" w:cs="Arial"/>
          <w:bCs/>
          <w:sz w:val="22"/>
          <w:szCs w:val="22"/>
          <w:lang w:val="en-GB"/>
        </w:rPr>
        <w:t>Marothodi Metsi and Sebata Group i</w:t>
      </w:r>
      <w:r w:rsidR="009251C0" w:rsidRPr="00F42759">
        <w:rPr>
          <w:rFonts w:ascii="Arial" w:hAnsi="Arial" w:cs="Arial"/>
          <w:bCs/>
          <w:sz w:val="22"/>
          <w:szCs w:val="22"/>
          <w:lang w:val="en-GB"/>
        </w:rPr>
        <w:t xml:space="preserve">s a firm who has done many similar assignments for the Department of </w:t>
      </w:r>
      <w:r w:rsidR="00C16E5F" w:rsidRPr="00F42759">
        <w:rPr>
          <w:rFonts w:ascii="Arial" w:hAnsi="Arial" w:cs="Arial"/>
          <w:bCs/>
          <w:sz w:val="22"/>
          <w:szCs w:val="22"/>
          <w:lang w:val="en-GB"/>
        </w:rPr>
        <w:t>W</w:t>
      </w:r>
      <w:r w:rsidR="009251C0" w:rsidRPr="00F42759">
        <w:rPr>
          <w:rFonts w:ascii="Arial" w:hAnsi="Arial" w:cs="Arial"/>
          <w:bCs/>
          <w:sz w:val="22"/>
          <w:szCs w:val="22"/>
          <w:lang w:val="en-GB"/>
        </w:rPr>
        <w:t xml:space="preserve">ater and </w:t>
      </w:r>
      <w:r w:rsidR="00C16E5F" w:rsidRPr="00F42759">
        <w:rPr>
          <w:rFonts w:ascii="Arial" w:hAnsi="Arial" w:cs="Arial"/>
          <w:bCs/>
          <w:sz w:val="22"/>
          <w:szCs w:val="22"/>
          <w:lang w:val="en-GB"/>
        </w:rPr>
        <w:t>S</w:t>
      </w:r>
      <w:r w:rsidR="009251C0" w:rsidRPr="00F42759">
        <w:rPr>
          <w:rFonts w:ascii="Arial" w:hAnsi="Arial" w:cs="Arial"/>
          <w:bCs/>
          <w:sz w:val="22"/>
          <w:szCs w:val="22"/>
          <w:lang w:val="en-GB"/>
        </w:rPr>
        <w:t xml:space="preserve">anitation, </w:t>
      </w:r>
      <w:r w:rsidR="00C16E5F" w:rsidRPr="00F42759">
        <w:rPr>
          <w:rFonts w:ascii="Arial" w:hAnsi="Arial" w:cs="Arial"/>
          <w:bCs/>
          <w:sz w:val="22"/>
          <w:szCs w:val="22"/>
          <w:lang w:val="en-GB"/>
        </w:rPr>
        <w:t>W</w:t>
      </w:r>
      <w:r w:rsidR="009251C0" w:rsidRPr="00F42759">
        <w:rPr>
          <w:rFonts w:ascii="Arial" w:hAnsi="Arial" w:cs="Arial"/>
          <w:bCs/>
          <w:sz w:val="22"/>
          <w:szCs w:val="22"/>
          <w:lang w:val="en-GB"/>
        </w:rPr>
        <w:t xml:space="preserve">ater </w:t>
      </w:r>
      <w:r w:rsidR="00C16E5F" w:rsidRPr="00F42759">
        <w:rPr>
          <w:rFonts w:ascii="Arial" w:hAnsi="Arial" w:cs="Arial"/>
          <w:bCs/>
          <w:sz w:val="22"/>
          <w:szCs w:val="22"/>
          <w:lang w:val="en-GB"/>
        </w:rPr>
        <w:t>B</w:t>
      </w:r>
      <w:r w:rsidR="009251C0" w:rsidRPr="00F42759">
        <w:rPr>
          <w:rFonts w:ascii="Arial" w:hAnsi="Arial" w:cs="Arial"/>
          <w:bCs/>
          <w:sz w:val="22"/>
          <w:szCs w:val="22"/>
          <w:lang w:val="en-GB"/>
        </w:rPr>
        <w:t xml:space="preserve">oards and </w:t>
      </w:r>
      <w:r w:rsidR="00C16E5F" w:rsidRPr="00F42759">
        <w:rPr>
          <w:rFonts w:ascii="Arial" w:hAnsi="Arial" w:cs="Arial"/>
          <w:bCs/>
          <w:sz w:val="22"/>
          <w:szCs w:val="22"/>
          <w:lang w:val="en-GB"/>
        </w:rPr>
        <w:t>L</w:t>
      </w:r>
      <w:r w:rsidR="009251C0" w:rsidRPr="00F42759">
        <w:rPr>
          <w:rFonts w:ascii="Arial" w:hAnsi="Arial" w:cs="Arial"/>
          <w:bCs/>
          <w:sz w:val="22"/>
          <w:szCs w:val="22"/>
          <w:lang w:val="en-GB"/>
        </w:rPr>
        <w:t xml:space="preserve">ocal </w:t>
      </w:r>
      <w:r w:rsidR="00C16E5F" w:rsidRPr="00F42759">
        <w:rPr>
          <w:rFonts w:ascii="Arial" w:hAnsi="Arial" w:cs="Arial"/>
          <w:bCs/>
          <w:sz w:val="22"/>
          <w:szCs w:val="22"/>
          <w:lang w:val="en-GB"/>
        </w:rPr>
        <w:t>G</w:t>
      </w:r>
      <w:r w:rsidR="009251C0" w:rsidRPr="00F42759">
        <w:rPr>
          <w:rFonts w:ascii="Arial" w:hAnsi="Arial" w:cs="Arial"/>
          <w:bCs/>
          <w:sz w:val="22"/>
          <w:szCs w:val="22"/>
          <w:lang w:val="en-GB"/>
        </w:rPr>
        <w:t xml:space="preserve">overnment since 2004 with focus on turning around dysfunctional municipalities with the revenue enhancement and </w:t>
      </w:r>
      <w:r w:rsidR="00C16E5F" w:rsidRPr="00F42759">
        <w:rPr>
          <w:rFonts w:ascii="Arial" w:hAnsi="Arial" w:cs="Arial"/>
          <w:bCs/>
          <w:sz w:val="22"/>
          <w:szCs w:val="22"/>
          <w:lang w:val="en-GB"/>
        </w:rPr>
        <w:t>S</w:t>
      </w:r>
      <w:r w:rsidR="009251C0" w:rsidRPr="00F42759">
        <w:rPr>
          <w:rFonts w:ascii="Arial" w:hAnsi="Arial" w:cs="Arial"/>
          <w:bCs/>
          <w:sz w:val="22"/>
          <w:szCs w:val="22"/>
          <w:lang w:val="en-GB"/>
        </w:rPr>
        <w:t>upply</w:t>
      </w:r>
      <w:r w:rsidR="00C16E5F" w:rsidRPr="00F42759">
        <w:rPr>
          <w:rFonts w:ascii="Arial" w:hAnsi="Arial" w:cs="Arial"/>
          <w:bCs/>
          <w:sz w:val="22"/>
          <w:szCs w:val="22"/>
          <w:lang w:val="en-GB"/>
        </w:rPr>
        <w:t>ing (sic)</w:t>
      </w:r>
      <w:r w:rsidR="009251C0" w:rsidRPr="00F42759">
        <w:rPr>
          <w:rFonts w:ascii="Arial" w:hAnsi="Arial" w:cs="Arial"/>
          <w:bCs/>
          <w:sz w:val="22"/>
          <w:szCs w:val="22"/>
          <w:lang w:val="en-GB"/>
        </w:rPr>
        <w:t xml:space="preserve"> and installation of </w:t>
      </w:r>
      <w:r w:rsidR="00C16E5F" w:rsidRPr="00F42759">
        <w:rPr>
          <w:rFonts w:ascii="Arial" w:hAnsi="Arial" w:cs="Arial"/>
          <w:bCs/>
          <w:sz w:val="22"/>
          <w:szCs w:val="22"/>
          <w:lang w:val="en-GB"/>
        </w:rPr>
        <w:t>S</w:t>
      </w:r>
      <w:r w:rsidR="009251C0" w:rsidRPr="00F42759">
        <w:rPr>
          <w:rFonts w:ascii="Arial" w:hAnsi="Arial" w:cs="Arial"/>
          <w:bCs/>
          <w:sz w:val="22"/>
          <w:szCs w:val="22"/>
          <w:lang w:val="en-GB"/>
        </w:rPr>
        <w:t xml:space="preserve">mart </w:t>
      </w:r>
      <w:r w:rsidR="00C16E5F" w:rsidRPr="00F42759">
        <w:rPr>
          <w:rFonts w:ascii="Arial" w:hAnsi="Arial" w:cs="Arial"/>
          <w:bCs/>
          <w:sz w:val="22"/>
          <w:szCs w:val="22"/>
          <w:lang w:val="en-GB"/>
        </w:rPr>
        <w:t>W</w:t>
      </w:r>
      <w:r w:rsidR="009251C0" w:rsidRPr="00F42759">
        <w:rPr>
          <w:rFonts w:ascii="Arial" w:hAnsi="Arial" w:cs="Arial"/>
          <w:bCs/>
          <w:sz w:val="22"/>
          <w:szCs w:val="22"/>
          <w:lang w:val="en-GB"/>
        </w:rPr>
        <w:t xml:space="preserve">ater </w:t>
      </w:r>
      <w:r w:rsidR="00C16E5F" w:rsidRPr="00F42759">
        <w:rPr>
          <w:rFonts w:ascii="Arial" w:hAnsi="Arial" w:cs="Arial"/>
          <w:bCs/>
          <w:sz w:val="22"/>
          <w:szCs w:val="22"/>
          <w:lang w:val="en-GB"/>
        </w:rPr>
        <w:t>M</w:t>
      </w:r>
      <w:r w:rsidR="009251C0" w:rsidRPr="00F42759">
        <w:rPr>
          <w:rFonts w:ascii="Arial" w:hAnsi="Arial" w:cs="Arial"/>
          <w:bCs/>
          <w:sz w:val="22"/>
          <w:szCs w:val="22"/>
          <w:lang w:val="en-GB"/>
        </w:rPr>
        <w:t>eters.</w:t>
      </w:r>
      <w:r w:rsidR="00C16E5F" w:rsidRPr="00F42759">
        <w:rPr>
          <w:rFonts w:ascii="Arial" w:hAnsi="Arial" w:cs="Arial"/>
          <w:bCs/>
          <w:sz w:val="22"/>
          <w:szCs w:val="22"/>
          <w:lang w:val="en-GB"/>
        </w:rPr>
        <w:t>’</w:t>
      </w:r>
    </w:p>
    <w:p w:rsidR="00F97FB4" w:rsidRDefault="00E5117D" w:rsidP="00E5117D">
      <w:pPr>
        <w:tabs>
          <w:tab w:val="left" w:pos="709"/>
        </w:tabs>
        <w:spacing w:line="360" w:lineRule="auto"/>
        <w:jc w:val="both"/>
        <w:rPr>
          <w:rFonts w:ascii="Arial" w:hAnsi="Arial" w:cs="Arial"/>
          <w:bCs/>
          <w:lang w:val="en-GB"/>
        </w:rPr>
      </w:pPr>
      <w:r w:rsidRPr="00E5117D">
        <w:rPr>
          <w:rFonts w:ascii="Arial" w:hAnsi="Arial" w:cs="Arial"/>
          <w:bCs/>
          <w:lang w:val="en-GB"/>
        </w:rPr>
        <w:t xml:space="preserve">It is improbable that such a letter would have accompanied the first bid document: it is for more likely that it would accompany the second bid document, which </w:t>
      </w:r>
      <w:r w:rsidR="00A72676">
        <w:rPr>
          <w:rFonts w:ascii="Arial" w:hAnsi="Arial" w:cs="Arial"/>
          <w:bCs/>
          <w:lang w:val="en-GB"/>
        </w:rPr>
        <w:t xml:space="preserve">only </w:t>
      </w:r>
      <w:r w:rsidRPr="00E5117D">
        <w:rPr>
          <w:rFonts w:ascii="Arial" w:hAnsi="Arial" w:cs="Arial"/>
          <w:bCs/>
          <w:lang w:val="en-GB"/>
        </w:rPr>
        <w:t>bore the name</w:t>
      </w:r>
      <w:r w:rsidR="00A72676">
        <w:rPr>
          <w:rFonts w:ascii="Arial" w:hAnsi="Arial" w:cs="Arial"/>
          <w:bCs/>
          <w:lang w:val="en-GB"/>
        </w:rPr>
        <w:t xml:space="preserve"> ‘</w:t>
      </w:r>
      <w:r w:rsidR="00A72676" w:rsidRPr="001D0014">
        <w:rPr>
          <w:rFonts w:ascii="Arial" w:hAnsi="Arial" w:cs="Arial"/>
          <w:bCs/>
          <w:lang w:val="en-GB"/>
        </w:rPr>
        <w:t>Marothodi Metsi and Sebata Group</w:t>
      </w:r>
      <w:r w:rsidR="00A72676">
        <w:rPr>
          <w:rFonts w:ascii="Arial" w:hAnsi="Arial" w:cs="Arial"/>
          <w:bCs/>
          <w:lang w:val="en-GB"/>
        </w:rPr>
        <w:t>’</w:t>
      </w:r>
      <w:r w:rsidRPr="00E5117D">
        <w:rPr>
          <w:rFonts w:ascii="Arial" w:hAnsi="Arial" w:cs="Arial"/>
          <w:bCs/>
          <w:lang w:val="en-GB"/>
        </w:rPr>
        <w:t xml:space="preserve"> </w:t>
      </w:r>
      <w:r w:rsidR="00A72676">
        <w:rPr>
          <w:rFonts w:ascii="Arial" w:hAnsi="Arial" w:cs="Arial"/>
          <w:bCs/>
          <w:lang w:val="en-GB"/>
        </w:rPr>
        <w:t xml:space="preserve">and which name is </w:t>
      </w:r>
      <w:r w:rsidRPr="00E5117D">
        <w:rPr>
          <w:rFonts w:ascii="Arial" w:hAnsi="Arial" w:cs="Arial"/>
          <w:bCs/>
          <w:lang w:val="en-GB"/>
        </w:rPr>
        <w:t>referred to in the letter.</w:t>
      </w:r>
      <w:r>
        <w:rPr>
          <w:rFonts w:ascii="Arial" w:hAnsi="Arial" w:cs="Arial"/>
          <w:bCs/>
          <w:lang w:val="en-GB"/>
        </w:rPr>
        <w:t xml:space="preserve"> </w:t>
      </w:r>
      <w:r w:rsidR="00A67A6F">
        <w:rPr>
          <w:rFonts w:ascii="Arial" w:hAnsi="Arial" w:cs="Arial"/>
          <w:bCs/>
          <w:lang w:val="en-GB"/>
        </w:rPr>
        <w:t>Ignoring the fact that the applicant has only been registered since 2016</w:t>
      </w:r>
      <w:r w:rsidR="005E7D30">
        <w:rPr>
          <w:rStyle w:val="FootnoteReference"/>
          <w:rFonts w:ascii="Arial" w:hAnsi="Arial" w:cs="Arial"/>
          <w:bCs/>
          <w:lang w:val="en-GB"/>
        </w:rPr>
        <w:footnoteReference w:id="20"/>
      </w:r>
      <w:r w:rsidR="00A72676">
        <w:rPr>
          <w:rFonts w:ascii="Arial" w:hAnsi="Arial" w:cs="Arial"/>
          <w:bCs/>
          <w:lang w:val="en-GB"/>
        </w:rPr>
        <w:t xml:space="preserve"> and could not have performed contracts since 2004,</w:t>
      </w:r>
      <w:r w:rsidR="00A67A6F">
        <w:rPr>
          <w:rFonts w:ascii="Arial" w:hAnsi="Arial" w:cs="Arial"/>
          <w:bCs/>
          <w:lang w:val="en-GB"/>
        </w:rPr>
        <w:t xml:space="preserve"> t</w:t>
      </w:r>
      <w:r w:rsidR="00C51778">
        <w:rPr>
          <w:rFonts w:ascii="Arial" w:hAnsi="Arial" w:cs="Arial"/>
          <w:bCs/>
          <w:lang w:val="en-GB"/>
        </w:rPr>
        <w:t>he content of th</w:t>
      </w:r>
      <w:r w:rsidR="00A67A6F">
        <w:rPr>
          <w:rFonts w:ascii="Arial" w:hAnsi="Arial" w:cs="Arial"/>
          <w:bCs/>
          <w:lang w:val="en-GB"/>
        </w:rPr>
        <w:t>e</w:t>
      </w:r>
      <w:r w:rsidR="00C51778">
        <w:rPr>
          <w:rFonts w:ascii="Arial" w:hAnsi="Arial" w:cs="Arial"/>
          <w:bCs/>
          <w:lang w:val="en-GB"/>
        </w:rPr>
        <w:t xml:space="preserve"> letter accord</w:t>
      </w:r>
      <w:r w:rsidR="00045628">
        <w:rPr>
          <w:rFonts w:ascii="Arial" w:hAnsi="Arial" w:cs="Arial"/>
          <w:bCs/>
          <w:lang w:val="en-GB"/>
        </w:rPr>
        <w:t>s</w:t>
      </w:r>
      <w:r w:rsidR="00C51778">
        <w:rPr>
          <w:rFonts w:ascii="Arial" w:hAnsi="Arial" w:cs="Arial"/>
          <w:bCs/>
          <w:lang w:val="en-GB"/>
        </w:rPr>
        <w:t xml:space="preserve"> with what appears in the second bid document and not the first bid document</w:t>
      </w:r>
      <w:r w:rsidR="00166588">
        <w:rPr>
          <w:rFonts w:ascii="Arial" w:hAnsi="Arial" w:cs="Arial"/>
          <w:bCs/>
          <w:lang w:val="en-GB"/>
        </w:rPr>
        <w:t>; and</w:t>
      </w:r>
    </w:p>
    <w:p w:rsidR="00166588" w:rsidRPr="00F42759" w:rsidRDefault="00F42759" w:rsidP="00F42759">
      <w:pPr>
        <w:tabs>
          <w:tab w:val="left" w:pos="709"/>
        </w:tabs>
        <w:spacing w:line="360" w:lineRule="auto"/>
        <w:jc w:val="both"/>
        <w:rPr>
          <w:rFonts w:ascii="Arial" w:hAnsi="Arial" w:cs="Arial"/>
          <w:bCs/>
          <w:lang w:val="en-GB"/>
        </w:rPr>
      </w:pPr>
      <w:r>
        <w:rPr>
          <w:rFonts w:ascii="Arial" w:eastAsiaTheme="minorHAnsi" w:hAnsi="Arial" w:cs="Arial"/>
          <w:bCs/>
          <w:lang w:val="en-GB" w:eastAsia="en-US" w:bidi="ar-SA"/>
        </w:rPr>
        <w:t>(e)</w:t>
      </w:r>
      <w:r>
        <w:rPr>
          <w:rFonts w:ascii="Arial" w:eastAsiaTheme="minorHAnsi" w:hAnsi="Arial" w:cs="Arial"/>
          <w:bCs/>
          <w:lang w:val="en-GB" w:eastAsia="en-US" w:bidi="ar-SA"/>
        </w:rPr>
        <w:tab/>
      </w:r>
      <w:r w:rsidR="00166588" w:rsidRPr="00F42759">
        <w:rPr>
          <w:rFonts w:ascii="Arial" w:hAnsi="Arial" w:cs="Arial"/>
          <w:bCs/>
          <w:lang w:val="en-GB"/>
        </w:rPr>
        <w:t>The copy of the first bid document before the court is not a true copy of the original first bid document. The original of the first bid document can no longer be in the applicant’s possession for</w:t>
      </w:r>
      <w:r w:rsidR="00A72676" w:rsidRPr="00F42759">
        <w:rPr>
          <w:rFonts w:ascii="Arial" w:hAnsi="Arial" w:cs="Arial"/>
          <w:bCs/>
          <w:lang w:val="en-GB"/>
        </w:rPr>
        <w:t>, on its own version,</w:t>
      </w:r>
      <w:r w:rsidR="00166588" w:rsidRPr="00F42759">
        <w:rPr>
          <w:rFonts w:ascii="Arial" w:hAnsi="Arial" w:cs="Arial"/>
          <w:bCs/>
          <w:lang w:val="en-GB"/>
        </w:rPr>
        <w:t xml:space="preserve"> it was submitted to the first respondent. Mr Broster drew my attention to page 10 of the first bid document. That page deals with the compulsory briefing session that all bidders had to attend. It bears a place for </w:t>
      </w:r>
      <w:r w:rsidR="00077350" w:rsidRPr="00F42759">
        <w:rPr>
          <w:rFonts w:ascii="Arial" w:hAnsi="Arial" w:cs="Arial"/>
          <w:bCs/>
          <w:lang w:val="en-GB"/>
        </w:rPr>
        <w:t xml:space="preserve">the </w:t>
      </w:r>
      <w:r w:rsidR="00166588" w:rsidRPr="00F42759">
        <w:rPr>
          <w:rFonts w:ascii="Arial" w:hAnsi="Arial" w:cs="Arial"/>
          <w:bCs/>
          <w:lang w:val="en-GB"/>
        </w:rPr>
        <w:t xml:space="preserve">signature </w:t>
      </w:r>
      <w:r w:rsidR="00077350" w:rsidRPr="00F42759">
        <w:rPr>
          <w:rFonts w:ascii="Arial" w:hAnsi="Arial" w:cs="Arial"/>
          <w:bCs/>
          <w:lang w:val="en-GB"/>
        </w:rPr>
        <w:t xml:space="preserve">of </w:t>
      </w:r>
      <w:r w:rsidR="00166588" w:rsidRPr="00F42759">
        <w:rPr>
          <w:rFonts w:ascii="Arial" w:hAnsi="Arial" w:cs="Arial"/>
          <w:bCs/>
          <w:lang w:val="en-GB"/>
        </w:rPr>
        <w:t xml:space="preserve">the representative of the bidder and a place for </w:t>
      </w:r>
      <w:r w:rsidR="00077350" w:rsidRPr="00F42759">
        <w:rPr>
          <w:rFonts w:ascii="Arial" w:hAnsi="Arial" w:cs="Arial"/>
          <w:bCs/>
          <w:lang w:val="en-GB"/>
        </w:rPr>
        <w:t xml:space="preserve">the </w:t>
      </w:r>
      <w:r w:rsidR="00166588" w:rsidRPr="00F42759">
        <w:rPr>
          <w:rFonts w:ascii="Arial" w:hAnsi="Arial" w:cs="Arial"/>
          <w:bCs/>
          <w:lang w:val="en-GB"/>
        </w:rPr>
        <w:t xml:space="preserve">signature </w:t>
      </w:r>
      <w:r w:rsidR="00077350" w:rsidRPr="00F42759">
        <w:rPr>
          <w:rFonts w:ascii="Arial" w:hAnsi="Arial" w:cs="Arial"/>
          <w:bCs/>
          <w:lang w:val="en-GB"/>
        </w:rPr>
        <w:t xml:space="preserve">of </w:t>
      </w:r>
      <w:r w:rsidR="00166588" w:rsidRPr="00F42759">
        <w:rPr>
          <w:rFonts w:ascii="Arial" w:hAnsi="Arial" w:cs="Arial"/>
          <w:bCs/>
          <w:lang w:val="en-GB"/>
        </w:rPr>
        <w:t>the representative of the first respondent. The signature of the applicant’s representative, Mr Grobler, appears where it ought to. Where the representative of the first respondent was required to append a signature, the following wording appears:</w:t>
      </w:r>
    </w:p>
    <w:p w:rsidR="00166588" w:rsidRDefault="00166588" w:rsidP="00166588">
      <w:pPr>
        <w:pStyle w:val="ListParagraph"/>
        <w:tabs>
          <w:tab w:val="left" w:pos="709"/>
        </w:tabs>
        <w:spacing w:line="360" w:lineRule="auto"/>
        <w:ind w:left="0"/>
        <w:jc w:val="both"/>
        <w:rPr>
          <w:rFonts w:ascii="Arial" w:hAnsi="Arial" w:cs="Arial"/>
          <w:bCs/>
          <w:sz w:val="22"/>
          <w:szCs w:val="22"/>
          <w:lang w:val="en-GB"/>
        </w:rPr>
      </w:pPr>
      <w:r w:rsidRPr="0031022A">
        <w:rPr>
          <w:rFonts w:ascii="Arial" w:hAnsi="Arial" w:cs="Arial"/>
          <w:bCs/>
          <w:sz w:val="22"/>
          <w:szCs w:val="22"/>
          <w:lang w:val="en-GB"/>
        </w:rPr>
        <w:t>‘(Was done on original).’</w:t>
      </w:r>
    </w:p>
    <w:p w:rsidR="00166588" w:rsidRDefault="00166588" w:rsidP="00126D13">
      <w:pPr>
        <w:pStyle w:val="ListParagraph"/>
        <w:tabs>
          <w:tab w:val="left" w:pos="709"/>
        </w:tabs>
        <w:spacing w:line="360" w:lineRule="auto"/>
        <w:ind w:left="0"/>
        <w:jc w:val="both"/>
        <w:rPr>
          <w:rFonts w:ascii="Arial" w:hAnsi="Arial" w:cs="Arial"/>
          <w:bCs/>
          <w:lang w:val="en-GB"/>
        </w:rPr>
      </w:pPr>
      <w:r>
        <w:rPr>
          <w:rFonts w:ascii="Arial" w:hAnsi="Arial" w:cs="Arial"/>
          <w:bCs/>
          <w:lang w:val="en-GB"/>
        </w:rPr>
        <w:t>The second bid document, on the other hand,</w:t>
      </w:r>
      <w:r w:rsidR="00447ED2">
        <w:rPr>
          <w:rFonts w:ascii="Arial" w:hAnsi="Arial" w:cs="Arial"/>
          <w:bCs/>
          <w:lang w:val="en-GB"/>
        </w:rPr>
        <w:t xml:space="preserve"> indeed</w:t>
      </w:r>
      <w:r>
        <w:rPr>
          <w:rFonts w:ascii="Arial" w:hAnsi="Arial" w:cs="Arial"/>
          <w:bCs/>
          <w:lang w:val="en-GB"/>
        </w:rPr>
        <w:t xml:space="preserve"> bears a signature of a representative of the first respondent and the stamp of the Supply Chain Management Unit Procurement Section of the first respondent</w:t>
      </w:r>
      <w:r w:rsidR="00447ED2">
        <w:rPr>
          <w:rFonts w:ascii="Arial" w:hAnsi="Arial" w:cs="Arial"/>
          <w:bCs/>
          <w:lang w:val="en-GB"/>
        </w:rPr>
        <w:t xml:space="preserve"> on page 10</w:t>
      </w:r>
      <w:r>
        <w:rPr>
          <w:rFonts w:ascii="Arial" w:hAnsi="Arial" w:cs="Arial"/>
          <w:bCs/>
          <w:lang w:val="en-GB"/>
        </w:rPr>
        <w:t xml:space="preserve">. No other version of the first bid document has been </w:t>
      </w:r>
      <w:r w:rsidR="00447ED2">
        <w:rPr>
          <w:rFonts w:ascii="Arial" w:hAnsi="Arial" w:cs="Arial"/>
          <w:bCs/>
          <w:lang w:val="en-GB"/>
        </w:rPr>
        <w:t>shown to exist and has, therefore</w:t>
      </w:r>
      <w:r w:rsidR="00D72FBF">
        <w:rPr>
          <w:rFonts w:ascii="Arial" w:hAnsi="Arial" w:cs="Arial"/>
          <w:bCs/>
          <w:lang w:val="en-GB"/>
        </w:rPr>
        <w:t>,</w:t>
      </w:r>
      <w:r w:rsidR="00447ED2">
        <w:rPr>
          <w:rFonts w:ascii="Arial" w:hAnsi="Arial" w:cs="Arial"/>
          <w:bCs/>
          <w:lang w:val="en-GB"/>
        </w:rPr>
        <w:t xml:space="preserve"> not been </w:t>
      </w:r>
      <w:r>
        <w:rPr>
          <w:rFonts w:ascii="Arial" w:hAnsi="Arial" w:cs="Arial"/>
          <w:bCs/>
          <w:lang w:val="en-GB"/>
        </w:rPr>
        <w:t>put up. The only other bid document that</w:t>
      </w:r>
      <w:r w:rsidR="00126D13">
        <w:rPr>
          <w:rFonts w:ascii="Arial" w:hAnsi="Arial" w:cs="Arial"/>
          <w:bCs/>
          <w:lang w:val="en-GB"/>
        </w:rPr>
        <w:t>, indeed,</w:t>
      </w:r>
      <w:r>
        <w:rPr>
          <w:rFonts w:ascii="Arial" w:hAnsi="Arial" w:cs="Arial"/>
          <w:bCs/>
          <w:lang w:val="en-GB"/>
        </w:rPr>
        <w:t xml:space="preserve"> has a signature of the first respondent’s official on it on page 10, is the second bid document. </w:t>
      </w:r>
    </w:p>
    <w:p w:rsidR="00166588" w:rsidRPr="003A3057" w:rsidRDefault="00166588" w:rsidP="00166588">
      <w:pPr>
        <w:pStyle w:val="ListParagraph"/>
        <w:tabs>
          <w:tab w:val="left" w:pos="709"/>
        </w:tabs>
        <w:spacing w:line="360" w:lineRule="auto"/>
        <w:ind w:left="0"/>
        <w:jc w:val="both"/>
        <w:rPr>
          <w:rFonts w:ascii="Arial" w:hAnsi="Arial" w:cs="Arial"/>
          <w:bCs/>
          <w:lang w:val="en-GB"/>
        </w:rPr>
      </w:pPr>
    </w:p>
    <w:p w:rsidR="005A2E8C" w:rsidRPr="00F42759" w:rsidRDefault="00F42759" w:rsidP="00F42759">
      <w:pPr>
        <w:tabs>
          <w:tab w:val="left" w:pos="709"/>
        </w:tabs>
        <w:spacing w:line="360" w:lineRule="auto"/>
        <w:jc w:val="both"/>
        <w:rPr>
          <w:rFonts w:ascii="Arial" w:hAnsi="Arial" w:cs="Arial"/>
          <w:bCs/>
          <w:lang w:val="en-GB"/>
        </w:rPr>
      </w:pPr>
      <w:r>
        <w:rPr>
          <w:rFonts w:ascii="Arial" w:eastAsiaTheme="minorHAnsi" w:hAnsi="Arial" w:cs="Arial"/>
          <w:bCs/>
          <w:lang w:val="en-GB" w:eastAsia="en-US" w:bidi="ar-SA"/>
        </w:rPr>
        <w:t>[40]</w:t>
      </w:r>
      <w:r>
        <w:rPr>
          <w:rFonts w:ascii="Arial" w:eastAsiaTheme="minorHAnsi" w:hAnsi="Arial" w:cs="Arial"/>
          <w:bCs/>
          <w:lang w:val="en-GB" w:eastAsia="en-US" w:bidi="ar-SA"/>
        </w:rPr>
        <w:tab/>
      </w:r>
      <w:r w:rsidR="00683A93" w:rsidRPr="00F42759">
        <w:rPr>
          <w:rFonts w:ascii="Arial" w:hAnsi="Arial" w:cs="Arial"/>
          <w:bCs/>
          <w:lang w:val="en-GB"/>
        </w:rPr>
        <w:t xml:space="preserve">After careful consideration, I must find, as I do, that the bid document delivered by the applicant </w:t>
      </w:r>
      <w:r w:rsidR="00972922" w:rsidRPr="00F42759">
        <w:rPr>
          <w:rFonts w:ascii="Arial" w:hAnsi="Arial" w:cs="Arial"/>
          <w:bCs/>
          <w:lang w:val="en-GB"/>
        </w:rPr>
        <w:t xml:space="preserve">to the first respondent </w:t>
      </w:r>
      <w:r w:rsidR="00683A93" w:rsidRPr="00F42759">
        <w:rPr>
          <w:rFonts w:ascii="Arial" w:hAnsi="Arial" w:cs="Arial"/>
          <w:bCs/>
          <w:lang w:val="en-GB"/>
        </w:rPr>
        <w:t xml:space="preserve">was not the first bid document but was the second bid document. The bidder was thus not </w:t>
      </w:r>
      <w:r w:rsidR="00C31B51" w:rsidRPr="00F42759">
        <w:rPr>
          <w:rFonts w:ascii="Arial" w:hAnsi="Arial" w:cs="Arial"/>
          <w:bCs/>
          <w:lang w:val="en-GB"/>
        </w:rPr>
        <w:t>Marothodi</w:t>
      </w:r>
      <w:r w:rsidR="00683A93" w:rsidRPr="00F42759">
        <w:rPr>
          <w:rFonts w:ascii="Arial" w:hAnsi="Arial" w:cs="Arial"/>
          <w:bCs/>
          <w:lang w:val="en-GB"/>
        </w:rPr>
        <w:t xml:space="preserve"> Metsi</w:t>
      </w:r>
      <w:r w:rsidR="00F97FB4" w:rsidRPr="00F42759">
        <w:rPr>
          <w:rFonts w:ascii="Arial" w:hAnsi="Arial" w:cs="Arial"/>
          <w:bCs/>
          <w:lang w:val="en-GB"/>
        </w:rPr>
        <w:t>,</w:t>
      </w:r>
      <w:r w:rsidR="00683A93" w:rsidRPr="00F42759">
        <w:rPr>
          <w:rFonts w:ascii="Arial" w:hAnsi="Arial" w:cs="Arial"/>
          <w:bCs/>
          <w:lang w:val="en-GB"/>
        </w:rPr>
        <w:t xml:space="preserve"> as submitted by the applicant</w:t>
      </w:r>
      <w:r w:rsidR="00F97FB4" w:rsidRPr="00F42759">
        <w:rPr>
          <w:rFonts w:ascii="Arial" w:hAnsi="Arial" w:cs="Arial"/>
          <w:bCs/>
          <w:lang w:val="en-GB"/>
        </w:rPr>
        <w:t>,</w:t>
      </w:r>
      <w:r w:rsidR="00683A93" w:rsidRPr="00F42759">
        <w:rPr>
          <w:rFonts w:ascii="Arial" w:hAnsi="Arial" w:cs="Arial"/>
          <w:bCs/>
          <w:lang w:val="en-GB"/>
        </w:rPr>
        <w:t xml:space="preserve"> but rather </w:t>
      </w:r>
      <w:r w:rsidR="007E4E09" w:rsidRPr="00F42759">
        <w:rPr>
          <w:rFonts w:ascii="Arial" w:hAnsi="Arial" w:cs="Arial"/>
          <w:bCs/>
          <w:lang w:val="en-GB"/>
        </w:rPr>
        <w:t xml:space="preserve">the </w:t>
      </w:r>
      <w:r w:rsidR="00683A93" w:rsidRPr="00F42759">
        <w:rPr>
          <w:rFonts w:ascii="Arial" w:hAnsi="Arial" w:cs="Arial"/>
          <w:bCs/>
          <w:lang w:val="en-GB"/>
        </w:rPr>
        <w:t xml:space="preserve">Marothodi Metsi and Sebata Group as </w:t>
      </w:r>
      <w:r w:rsidR="00D76072" w:rsidRPr="00F42759">
        <w:rPr>
          <w:rFonts w:ascii="Arial" w:hAnsi="Arial" w:cs="Arial"/>
          <w:bCs/>
          <w:lang w:val="en-GB"/>
        </w:rPr>
        <w:t>stated</w:t>
      </w:r>
      <w:r w:rsidR="00683A93" w:rsidRPr="00F42759">
        <w:rPr>
          <w:rFonts w:ascii="Arial" w:hAnsi="Arial" w:cs="Arial"/>
          <w:bCs/>
          <w:lang w:val="en-GB"/>
        </w:rPr>
        <w:t xml:space="preserve"> by the first respondent.</w:t>
      </w:r>
      <w:r w:rsidR="006533B5" w:rsidRPr="00F42759">
        <w:rPr>
          <w:rFonts w:ascii="Arial" w:hAnsi="Arial" w:cs="Arial"/>
          <w:bCs/>
          <w:lang w:val="en-GB"/>
        </w:rPr>
        <w:t xml:space="preserve"> </w:t>
      </w:r>
      <w:r w:rsidR="00187341" w:rsidRPr="00F42759">
        <w:rPr>
          <w:rFonts w:ascii="Arial" w:hAnsi="Arial" w:cs="Arial"/>
          <w:bCs/>
          <w:lang w:val="en-GB"/>
        </w:rPr>
        <w:t>On the applicant’s own version, there is no such entity as will be revealed hereunder.</w:t>
      </w:r>
    </w:p>
    <w:p w:rsidR="00187341" w:rsidRDefault="00187341" w:rsidP="00187341">
      <w:pPr>
        <w:pStyle w:val="ListParagraph"/>
        <w:tabs>
          <w:tab w:val="left" w:pos="709"/>
        </w:tabs>
        <w:spacing w:line="360" w:lineRule="auto"/>
        <w:ind w:left="0"/>
        <w:jc w:val="both"/>
        <w:rPr>
          <w:rFonts w:ascii="Arial" w:hAnsi="Arial" w:cs="Arial"/>
          <w:bCs/>
          <w:lang w:val="en-GB"/>
        </w:rPr>
      </w:pPr>
    </w:p>
    <w:p w:rsidR="00CE5E2B" w:rsidRPr="0050034E" w:rsidRDefault="00CE5E2B" w:rsidP="006533B5">
      <w:pPr>
        <w:pStyle w:val="ListParagraph"/>
        <w:tabs>
          <w:tab w:val="left" w:pos="709"/>
        </w:tabs>
        <w:spacing w:line="360" w:lineRule="auto"/>
        <w:ind w:left="0"/>
        <w:jc w:val="both"/>
        <w:rPr>
          <w:rFonts w:ascii="Arial" w:hAnsi="Arial" w:cs="Arial"/>
          <w:b/>
          <w:bCs/>
          <w:i/>
          <w:lang w:val="en-GB"/>
        </w:rPr>
      </w:pPr>
      <w:r>
        <w:rPr>
          <w:rFonts w:ascii="Arial" w:hAnsi="Arial" w:cs="Arial"/>
          <w:b/>
          <w:bCs/>
          <w:i/>
          <w:lang w:val="en-GB"/>
        </w:rPr>
        <w:t>Second ground of review: the failure to submit compulsory documentation</w:t>
      </w:r>
    </w:p>
    <w:p w:rsidR="007A244D" w:rsidRPr="00F42759" w:rsidRDefault="00F42759" w:rsidP="00F42759">
      <w:pPr>
        <w:tabs>
          <w:tab w:val="left" w:pos="709"/>
        </w:tabs>
        <w:spacing w:line="360" w:lineRule="auto"/>
        <w:jc w:val="both"/>
        <w:rPr>
          <w:rFonts w:ascii="Arial" w:hAnsi="Arial" w:cs="Arial"/>
          <w:bCs/>
          <w:lang w:val="en-GB"/>
        </w:rPr>
      </w:pPr>
      <w:r>
        <w:rPr>
          <w:rFonts w:ascii="Arial" w:eastAsiaTheme="minorHAnsi" w:hAnsi="Arial" w:cs="Arial"/>
          <w:bCs/>
          <w:lang w:val="en-GB" w:eastAsia="en-US" w:bidi="ar-SA"/>
        </w:rPr>
        <w:t>[41]</w:t>
      </w:r>
      <w:r>
        <w:rPr>
          <w:rFonts w:ascii="Arial" w:eastAsiaTheme="minorHAnsi" w:hAnsi="Arial" w:cs="Arial"/>
          <w:bCs/>
          <w:lang w:val="en-GB" w:eastAsia="en-US" w:bidi="ar-SA"/>
        </w:rPr>
        <w:tab/>
      </w:r>
      <w:r w:rsidR="007E4E09" w:rsidRPr="00F42759">
        <w:rPr>
          <w:rFonts w:ascii="Arial" w:hAnsi="Arial" w:cs="Arial"/>
          <w:bCs/>
          <w:lang w:val="en-GB"/>
        </w:rPr>
        <w:t xml:space="preserve">That brings me to the second ground of review. </w:t>
      </w:r>
      <w:r w:rsidR="007A244D" w:rsidRPr="00F42759">
        <w:rPr>
          <w:rFonts w:ascii="Arial" w:hAnsi="Arial" w:cs="Arial"/>
          <w:bCs/>
          <w:lang w:val="en-GB"/>
        </w:rPr>
        <w:t>In its replying affidavit in the review application, the applicant states as follows:</w:t>
      </w:r>
    </w:p>
    <w:p w:rsidR="007A244D" w:rsidRDefault="007A244D" w:rsidP="007A244D">
      <w:pPr>
        <w:spacing w:line="360" w:lineRule="auto"/>
        <w:jc w:val="both"/>
        <w:rPr>
          <w:rFonts w:ascii="Arial" w:hAnsi="Arial" w:cs="Arial"/>
          <w:bCs/>
          <w:sz w:val="22"/>
          <w:szCs w:val="22"/>
          <w:lang w:val="en-GB"/>
        </w:rPr>
      </w:pPr>
      <w:r w:rsidRPr="007A244D">
        <w:rPr>
          <w:rFonts w:ascii="Arial" w:hAnsi="Arial" w:cs="Arial"/>
          <w:bCs/>
          <w:sz w:val="22"/>
          <w:szCs w:val="22"/>
          <w:lang w:val="en-GB"/>
        </w:rPr>
        <w:t>‘The Sebata Group is not part of Applicant, and we are not in a partnership with them in the legal sense. They are entirely separate and the manufacturer/supplier of the mete</w:t>
      </w:r>
      <w:r>
        <w:rPr>
          <w:rFonts w:ascii="Arial" w:hAnsi="Arial" w:cs="Arial"/>
          <w:bCs/>
          <w:sz w:val="22"/>
          <w:szCs w:val="22"/>
          <w:lang w:val="en-GB"/>
        </w:rPr>
        <w:t>r</w:t>
      </w:r>
      <w:r w:rsidRPr="007A244D">
        <w:rPr>
          <w:rFonts w:ascii="Arial" w:hAnsi="Arial" w:cs="Arial"/>
          <w:bCs/>
          <w:sz w:val="22"/>
          <w:szCs w:val="22"/>
          <w:lang w:val="en-GB"/>
        </w:rPr>
        <w:t>s.’</w:t>
      </w:r>
    </w:p>
    <w:p w:rsidR="00691F7F" w:rsidRPr="00340920" w:rsidRDefault="00340920" w:rsidP="007A244D">
      <w:pPr>
        <w:spacing w:line="360" w:lineRule="auto"/>
        <w:jc w:val="both"/>
        <w:rPr>
          <w:rFonts w:ascii="Arial" w:hAnsi="Arial" w:cs="Arial"/>
          <w:bCs/>
          <w:lang w:val="en-GB"/>
        </w:rPr>
      </w:pPr>
      <w:r w:rsidRPr="00340920">
        <w:rPr>
          <w:rFonts w:ascii="Arial" w:hAnsi="Arial" w:cs="Arial"/>
          <w:bCs/>
          <w:lang w:val="en-GB"/>
        </w:rPr>
        <w:t>And later, the following is said</w:t>
      </w:r>
      <w:r w:rsidR="007460F6">
        <w:rPr>
          <w:rFonts w:ascii="Arial" w:hAnsi="Arial" w:cs="Arial"/>
          <w:bCs/>
          <w:lang w:val="en-GB"/>
        </w:rPr>
        <w:t xml:space="preserve"> by it</w:t>
      </w:r>
      <w:r w:rsidRPr="00340920">
        <w:rPr>
          <w:rFonts w:ascii="Arial" w:hAnsi="Arial" w:cs="Arial"/>
          <w:bCs/>
          <w:lang w:val="en-GB"/>
        </w:rPr>
        <w:t>:</w:t>
      </w:r>
    </w:p>
    <w:p w:rsidR="00340920" w:rsidRDefault="00340920" w:rsidP="007A244D">
      <w:pPr>
        <w:spacing w:line="360" w:lineRule="auto"/>
        <w:jc w:val="both"/>
        <w:rPr>
          <w:rFonts w:ascii="Arial" w:hAnsi="Arial" w:cs="Arial"/>
          <w:bCs/>
          <w:sz w:val="22"/>
          <w:szCs w:val="22"/>
          <w:lang w:val="en-GB"/>
        </w:rPr>
      </w:pPr>
      <w:r>
        <w:rPr>
          <w:rFonts w:ascii="Arial" w:hAnsi="Arial" w:cs="Arial"/>
          <w:bCs/>
          <w:sz w:val="22"/>
          <w:szCs w:val="22"/>
          <w:lang w:val="en-GB"/>
        </w:rPr>
        <w:t>‘The contract was erroneously drawn up by the municipality in the name of ‘Marothodi Metsi and Sebata Group’. This as an entity does not exist and applicant contends that this should have been drawn up in the name of Marothodi Metsi only.’</w:t>
      </w:r>
    </w:p>
    <w:p w:rsidR="00340920" w:rsidRDefault="00691F7F" w:rsidP="00A34D98">
      <w:pPr>
        <w:pStyle w:val="ListParagraph"/>
        <w:tabs>
          <w:tab w:val="left" w:pos="709"/>
        </w:tabs>
        <w:spacing w:line="360" w:lineRule="auto"/>
        <w:ind w:left="0"/>
        <w:jc w:val="both"/>
        <w:rPr>
          <w:rFonts w:ascii="Arial" w:hAnsi="Arial" w:cs="Arial"/>
          <w:bCs/>
          <w:lang w:val="en-GB"/>
        </w:rPr>
      </w:pPr>
      <w:r>
        <w:rPr>
          <w:rFonts w:ascii="Arial" w:hAnsi="Arial" w:cs="Arial"/>
          <w:bCs/>
          <w:lang w:val="en-GB"/>
        </w:rPr>
        <w:t xml:space="preserve">Despite the wording of the letter of 20 February 2023, in which Mr Grobler stated, in reference to </w:t>
      </w:r>
      <w:r w:rsidR="006266D9">
        <w:rPr>
          <w:rFonts w:ascii="Arial" w:hAnsi="Arial" w:cs="Arial"/>
          <w:bCs/>
          <w:lang w:val="en-GB"/>
        </w:rPr>
        <w:t xml:space="preserve">the </w:t>
      </w:r>
      <w:r>
        <w:rPr>
          <w:rFonts w:ascii="Arial" w:hAnsi="Arial" w:cs="Arial"/>
          <w:bCs/>
          <w:lang w:val="en-GB"/>
        </w:rPr>
        <w:t>Marothodi Metsi and Sebata Group, that</w:t>
      </w:r>
      <w:r w:rsidR="00EA4F77">
        <w:rPr>
          <w:rFonts w:ascii="Arial" w:hAnsi="Arial" w:cs="Arial"/>
          <w:bCs/>
          <w:lang w:val="en-GB"/>
        </w:rPr>
        <w:t xml:space="preserve"> </w:t>
      </w:r>
      <w:r w:rsidRPr="00045628">
        <w:rPr>
          <w:rFonts w:ascii="Arial" w:hAnsi="Arial" w:cs="Arial"/>
          <w:bCs/>
          <w:lang w:val="en-GB"/>
        </w:rPr>
        <w:t>‘We are a registered firm …’,</w:t>
      </w:r>
      <w:r w:rsidR="00EA4F77" w:rsidRPr="00045628">
        <w:rPr>
          <w:rFonts w:ascii="Arial" w:hAnsi="Arial" w:cs="Arial"/>
          <w:bCs/>
          <w:lang w:val="en-GB"/>
        </w:rPr>
        <w:t xml:space="preserve"> </w:t>
      </w:r>
      <w:r>
        <w:rPr>
          <w:rFonts w:ascii="Arial" w:hAnsi="Arial" w:cs="Arial"/>
          <w:bCs/>
          <w:lang w:val="en-GB"/>
        </w:rPr>
        <w:t>i</w:t>
      </w:r>
      <w:r w:rsidRPr="00691F7F">
        <w:rPr>
          <w:rFonts w:ascii="Arial" w:hAnsi="Arial" w:cs="Arial"/>
          <w:bCs/>
          <w:lang w:val="en-GB"/>
        </w:rPr>
        <w:t>t</w:t>
      </w:r>
      <w:r>
        <w:rPr>
          <w:rFonts w:ascii="Arial" w:hAnsi="Arial" w:cs="Arial"/>
          <w:bCs/>
          <w:lang w:val="en-GB"/>
        </w:rPr>
        <w:t xml:space="preserve"> is not in dispute that </w:t>
      </w:r>
      <w:r w:rsidR="006533B5">
        <w:rPr>
          <w:rFonts w:ascii="Arial" w:hAnsi="Arial" w:cs="Arial"/>
          <w:bCs/>
          <w:lang w:val="en-GB"/>
        </w:rPr>
        <w:t xml:space="preserve">there is no legal entity </w:t>
      </w:r>
      <w:r>
        <w:rPr>
          <w:rFonts w:ascii="Arial" w:hAnsi="Arial" w:cs="Arial"/>
          <w:bCs/>
          <w:lang w:val="en-GB"/>
        </w:rPr>
        <w:t>known as the Marothodi Metsi and Sebata Group. The applicant</w:t>
      </w:r>
      <w:r w:rsidRPr="005A2E8C">
        <w:rPr>
          <w:rFonts w:ascii="Arial" w:hAnsi="Arial" w:cs="Arial"/>
          <w:bCs/>
          <w:lang w:val="en-GB"/>
        </w:rPr>
        <w:t xml:space="preserve"> is an incorporated entity, and the Sebata Group is an agglomeration of companies apart from, and distinct from, the applicant. </w:t>
      </w:r>
      <w:r>
        <w:rPr>
          <w:rFonts w:ascii="Arial" w:hAnsi="Arial" w:cs="Arial"/>
          <w:bCs/>
          <w:lang w:val="en-GB"/>
        </w:rPr>
        <w:t>The applicant further asserts that it and the</w:t>
      </w:r>
      <w:r w:rsidR="006533B5">
        <w:rPr>
          <w:rFonts w:ascii="Arial" w:hAnsi="Arial" w:cs="Arial"/>
          <w:bCs/>
          <w:lang w:val="en-GB"/>
        </w:rPr>
        <w:t xml:space="preserve"> Sebata Group did not form a joint venture for the purpose of bidding for the tender.</w:t>
      </w:r>
      <w:r>
        <w:rPr>
          <w:rFonts w:ascii="Arial" w:hAnsi="Arial" w:cs="Arial"/>
          <w:bCs/>
          <w:lang w:val="en-GB"/>
        </w:rPr>
        <w:t xml:space="preserve"> </w:t>
      </w:r>
    </w:p>
    <w:p w:rsidR="00340920" w:rsidRDefault="00340920" w:rsidP="00340920">
      <w:pPr>
        <w:pStyle w:val="ListParagraph"/>
        <w:tabs>
          <w:tab w:val="left" w:pos="709"/>
        </w:tabs>
        <w:spacing w:line="360" w:lineRule="auto"/>
        <w:ind w:left="0"/>
        <w:jc w:val="both"/>
        <w:rPr>
          <w:rFonts w:ascii="Arial" w:hAnsi="Arial" w:cs="Arial"/>
          <w:bCs/>
          <w:lang w:val="en-GB"/>
        </w:rPr>
      </w:pPr>
    </w:p>
    <w:p w:rsidR="00433D5E" w:rsidRPr="00F42759" w:rsidRDefault="00F42759" w:rsidP="00F42759">
      <w:pPr>
        <w:tabs>
          <w:tab w:val="left" w:pos="709"/>
        </w:tabs>
        <w:spacing w:line="360" w:lineRule="auto"/>
        <w:jc w:val="both"/>
        <w:rPr>
          <w:rFonts w:ascii="Arial" w:hAnsi="Arial" w:cs="Arial"/>
          <w:bCs/>
          <w:lang w:val="en-GB"/>
        </w:rPr>
      </w:pPr>
      <w:r>
        <w:rPr>
          <w:rFonts w:ascii="Arial" w:eastAsiaTheme="minorHAnsi" w:hAnsi="Arial" w:cs="Arial"/>
          <w:bCs/>
          <w:lang w:val="en-GB" w:eastAsia="en-US" w:bidi="ar-SA"/>
        </w:rPr>
        <w:t>[42]</w:t>
      </w:r>
      <w:r>
        <w:rPr>
          <w:rFonts w:ascii="Arial" w:eastAsiaTheme="minorHAnsi" w:hAnsi="Arial" w:cs="Arial"/>
          <w:bCs/>
          <w:lang w:val="en-GB" w:eastAsia="en-US" w:bidi="ar-SA"/>
        </w:rPr>
        <w:tab/>
      </w:r>
      <w:r w:rsidR="00340920" w:rsidRPr="00F42759">
        <w:rPr>
          <w:rFonts w:ascii="Arial" w:hAnsi="Arial" w:cs="Arial"/>
          <w:bCs/>
          <w:lang w:val="en-GB"/>
        </w:rPr>
        <w:t xml:space="preserve"> </w:t>
      </w:r>
      <w:r w:rsidR="00691F7F" w:rsidRPr="00F42759">
        <w:rPr>
          <w:rFonts w:ascii="Arial" w:hAnsi="Arial" w:cs="Arial"/>
          <w:bCs/>
          <w:lang w:val="en-GB"/>
        </w:rPr>
        <w:t>Yet, the second bid document is in both of their names</w:t>
      </w:r>
      <w:r w:rsidR="00BD1D7D" w:rsidRPr="00F42759">
        <w:rPr>
          <w:rFonts w:ascii="Arial" w:hAnsi="Arial" w:cs="Arial"/>
          <w:bCs/>
          <w:lang w:val="en-GB"/>
        </w:rPr>
        <w:t>,</w:t>
      </w:r>
      <w:r w:rsidR="00A34D98" w:rsidRPr="00F42759">
        <w:rPr>
          <w:rFonts w:ascii="Arial" w:hAnsi="Arial" w:cs="Arial"/>
          <w:bCs/>
          <w:lang w:val="en-GB"/>
        </w:rPr>
        <w:t xml:space="preserve"> </w:t>
      </w:r>
      <w:r w:rsidR="00BD1D7D" w:rsidRPr="00F42759">
        <w:rPr>
          <w:rFonts w:ascii="Arial" w:hAnsi="Arial" w:cs="Arial"/>
          <w:bCs/>
          <w:lang w:val="en-GB"/>
        </w:rPr>
        <w:t>a</w:t>
      </w:r>
      <w:r w:rsidR="00A34D98" w:rsidRPr="00F42759">
        <w:rPr>
          <w:rFonts w:ascii="Arial" w:hAnsi="Arial" w:cs="Arial"/>
          <w:bCs/>
          <w:lang w:val="en-GB"/>
        </w:rPr>
        <w:t>nd it is to those two bidders that the tender was ultimately awarded.</w:t>
      </w:r>
      <w:r w:rsidR="00126D13" w:rsidRPr="00F42759">
        <w:rPr>
          <w:rFonts w:ascii="Arial" w:hAnsi="Arial" w:cs="Arial"/>
          <w:bCs/>
          <w:lang w:val="en-GB"/>
        </w:rPr>
        <w:t xml:space="preserve"> Even more confusingly, in bringing the urgent application</w:t>
      </w:r>
      <w:r w:rsidR="001E4E15" w:rsidRPr="00F42759">
        <w:rPr>
          <w:rFonts w:ascii="Arial" w:hAnsi="Arial" w:cs="Arial"/>
          <w:bCs/>
          <w:lang w:val="en-GB"/>
        </w:rPr>
        <w:t>,</w:t>
      </w:r>
      <w:r w:rsidR="00126D13" w:rsidRPr="00F42759">
        <w:rPr>
          <w:rFonts w:ascii="Arial" w:hAnsi="Arial" w:cs="Arial"/>
          <w:bCs/>
          <w:lang w:val="en-GB"/>
        </w:rPr>
        <w:t xml:space="preserve"> the applicant, inexplicably, in its founding affidavit </w:t>
      </w:r>
      <w:r w:rsidR="00433D5E" w:rsidRPr="00F42759">
        <w:rPr>
          <w:rFonts w:ascii="Arial" w:hAnsi="Arial" w:cs="Arial"/>
          <w:bCs/>
          <w:lang w:val="en-GB"/>
        </w:rPr>
        <w:t xml:space="preserve">describes itself </w:t>
      </w:r>
      <w:r w:rsidR="00126D13" w:rsidRPr="00F42759">
        <w:rPr>
          <w:rFonts w:ascii="Arial" w:hAnsi="Arial" w:cs="Arial"/>
          <w:bCs/>
          <w:lang w:val="en-GB"/>
        </w:rPr>
        <w:t>as being</w:t>
      </w:r>
      <w:r w:rsidR="00433D5E" w:rsidRPr="00F42759">
        <w:rPr>
          <w:rFonts w:ascii="Arial" w:hAnsi="Arial" w:cs="Arial"/>
          <w:bCs/>
          <w:lang w:val="en-GB"/>
        </w:rPr>
        <w:t>:</w:t>
      </w:r>
    </w:p>
    <w:p w:rsidR="00126D13" w:rsidRPr="00126D13" w:rsidRDefault="00126D13" w:rsidP="00433D5E">
      <w:pPr>
        <w:pStyle w:val="ListParagraph"/>
        <w:tabs>
          <w:tab w:val="left" w:pos="709"/>
        </w:tabs>
        <w:spacing w:line="360" w:lineRule="auto"/>
        <w:ind w:left="0"/>
        <w:jc w:val="both"/>
        <w:rPr>
          <w:rFonts w:ascii="Arial" w:hAnsi="Arial" w:cs="Arial"/>
          <w:bCs/>
          <w:lang w:val="en-GB"/>
        </w:rPr>
      </w:pPr>
      <w:r w:rsidRPr="00126D13">
        <w:rPr>
          <w:rFonts w:ascii="Arial" w:hAnsi="Arial" w:cs="Arial"/>
          <w:bCs/>
          <w:sz w:val="22"/>
          <w:szCs w:val="22"/>
          <w:lang w:val="en-GB"/>
        </w:rPr>
        <w:t xml:space="preserve">‘Marothodi Metsi (Pty) Ltd and Sebata Group, a company duly registered in accordance with the laws of the Republic of South Africa …’ </w:t>
      </w:r>
    </w:p>
    <w:p w:rsidR="00126D13" w:rsidRDefault="00126D13" w:rsidP="00433D5E">
      <w:pPr>
        <w:pStyle w:val="ListParagraph"/>
        <w:tabs>
          <w:tab w:val="left" w:pos="709"/>
        </w:tabs>
        <w:spacing w:line="360" w:lineRule="auto"/>
        <w:ind w:left="0"/>
        <w:jc w:val="both"/>
        <w:rPr>
          <w:rFonts w:ascii="Arial" w:hAnsi="Arial" w:cs="Arial"/>
          <w:bCs/>
          <w:lang w:val="en-GB"/>
        </w:rPr>
      </w:pPr>
      <w:r>
        <w:rPr>
          <w:rFonts w:ascii="Arial" w:hAnsi="Arial" w:cs="Arial"/>
          <w:bCs/>
          <w:lang w:val="en-GB"/>
        </w:rPr>
        <w:t>Th</w:t>
      </w:r>
      <w:r w:rsidR="00433D5E">
        <w:rPr>
          <w:rFonts w:ascii="Arial" w:hAnsi="Arial" w:cs="Arial"/>
          <w:bCs/>
          <w:lang w:val="en-GB"/>
        </w:rPr>
        <w:t xml:space="preserve">e applicant claims that it never submitted a bid in the name of </w:t>
      </w:r>
      <w:r w:rsidR="006266D9">
        <w:rPr>
          <w:rFonts w:ascii="Arial" w:hAnsi="Arial" w:cs="Arial"/>
          <w:bCs/>
          <w:lang w:val="en-GB"/>
        </w:rPr>
        <w:t xml:space="preserve">the </w:t>
      </w:r>
      <w:r w:rsidR="004B6073">
        <w:rPr>
          <w:rFonts w:ascii="Arial" w:hAnsi="Arial" w:cs="Arial"/>
          <w:bCs/>
          <w:lang w:val="en-GB"/>
        </w:rPr>
        <w:t>Marothodi</w:t>
      </w:r>
      <w:r w:rsidR="00433D5E">
        <w:rPr>
          <w:rFonts w:ascii="Arial" w:hAnsi="Arial" w:cs="Arial"/>
          <w:bCs/>
          <w:lang w:val="en-GB"/>
        </w:rPr>
        <w:t xml:space="preserve"> Metsi and Sebata Group, yet in </w:t>
      </w:r>
      <w:r w:rsidR="007460F6">
        <w:rPr>
          <w:rFonts w:ascii="Arial" w:hAnsi="Arial" w:cs="Arial"/>
          <w:bCs/>
          <w:lang w:val="en-GB"/>
        </w:rPr>
        <w:t>the urgent</w:t>
      </w:r>
      <w:r w:rsidR="00433D5E">
        <w:rPr>
          <w:rFonts w:ascii="Arial" w:hAnsi="Arial" w:cs="Arial"/>
          <w:bCs/>
          <w:lang w:val="en-GB"/>
        </w:rPr>
        <w:t xml:space="preserve"> application that is precisely how it has described itself.</w:t>
      </w:r>
      <w:r>
        <w:rPr>
          <w:rFonts w:ascii="Arial" w:hAnsi="Arial" w:cs="Arial"/>
          <w:bCs/>
          <w:lang w:val="en-GB"/>
        </w:rPr>
        <w:t xml:space="preserve"> </w:t>
      </w:r>
    </w:p>
    <w:p w:rsidR="00340920" w:rsidRDefault="00340920" w:rsidP="00340920">
      <w:pPr>
        <w:pStyle w:val="ListParagraph"/>
        <w:tabs>
          <w:tab w:val="left" w:pos="709"/>
        </w:tabs>
        <w:spacing w:line="360" w:lineRule="auto"/>
        <w:ind w:left="0"/>
        <w:jc w:val="both"/>
        <w:rPr>
          <w:rFonts w:ascii="Arial" w:hAnsi="Arial" w:cs="Arial"/>
          <w:bCs/>
          <w:lang w:val="en-GB"/>
        </w:rPr>
      </w:pPr>
    </w:p>
    <w:p w:rsidR="005A2E8C" w:rsidRPr="00F42759" w:rsidRDefault="00F42759" w:rsidP="00F42759">
      <w:pPr>
        <w:tabs>
          <w:tab w:val="left" w:pos="709"/>
        </w:tabs>
        <w:spacing w:line="360" w:lineRule="auto"/>
        <w:jc w:val="both"/>
        <w:rPr>
          <w:rFonts w:ascii="Arial" w:hAnsi="Arial" w:cs="Arial"/>
          <w:bCs/>
          <w:lang w:val="en-GB"/>
        </w:rPr>
      </w:pPr>
      <w:r w:rsidRPr="002B0C03">
        <w:rPr>
          <w:rFonts w:ascii="Arial" w:eastAsiaTheme="minorHAnsi" w:hAnsi="Arial" w:cs="Arial"/>
          <w:bCs/>
          <w:lang w:val="en-GB" w:eastAsia="en-US" w:bidi="ar-SA"/>
        </w:rPr>
        <w:t>[43]</w:t>
      </w:r>
      <w:r w:rsidRPr="002B0C03">
        <w:rPr>
          <w:rFonts w:ascii="Arial" w:eastAsiaTheme="minorHAnsi" w:hAnsi="Arial" w:cs="Arial"/>
          <w:bCs/>
          <w:lang w:val="en-GB" w:eastAsia="en-US" w:bidi="ar-SA"/>
        </w:rPr>
        <w:tab/>
      </w:r>
      <w:r w:rsidR="00664C41" w:rsidRPr="00F42759">
        <w:rPr>
          <w:rFonts w:ascii="Arial" w:hAnsi="Arial" w:cs="Arial"/>
          <w:bCs/>
          <w:lang w:val="en-GB"/>
        </w:rPr>
        <w:t>T</w:t>
      </w:r>
      <w:r w:rsidR="005A2E8C" w:rsidRPr="00F42759">
        <w:rPr>
          <w:rFonts w:ascii="Arial" w:hAnsi="Arial" w:cs="Arial"/>
          <w:bCs/>
          <w:lang w:val="en-GB"/>
        </w:rPr>
        <w:t xml:space="preserve">he first respondent, in inviting bids, identified certain compulsory documentation that </w:t>
      </w:r>
      <w:r w:rsidR="00583567" w:rsidRPr="00F42759">
        <w:rPr>
          <w:rFonts w:ascii="Arial" w:hAnsi="Arial" w:cs="Arial"/>
          <w:bCs/>
          <w:lang w:val="en-GB"/>
        </w:rPr>
        <w:t>had</w:t>
      </w:r>
      <w:r w:rsidR="005A2E8C" w:rsidRPr="00F42759">
        <w:rPr>
          <w:rFonts w:ascii="Arial" w:hAnsi="Arial" w:cs="Arial"/>
          <w:bCs/>
          <w:lang w:val="en-GB"/>
        </w:rPr>
        <w:t xml:space="preserve"> to be submitted with all bids</w:t>
      </w:r>
      <w:r w:rsidR="00664C41" w:rsidRPr="00F42759">
        <w:rPr>
          <w:rFonts w:ascii="Arial" w:hAnsi="Arial" w:cs="Arial"/>
          <w:bCs/>
          <w:lang w:val="en-GB"/>
        </w:rPr>
        <w:t>, such as a tax clearance certificate</w:t>
      </w:r>
      <w:r w:rsidR="005A2E8C" w:rsidRPr="00F42759">
        <w:rPr>
          <w:rFonts w:ascii="Arial" w:hAnsi="Arial" w:cs="Arial"/>
          <w:bCs/>
          <w:lang w:val="en-GB"/>
        </w:rPr>
        <w:t xml:space="preserve">. It was well entitled to do so. As Leach JA stated in </w:t>
      </w:r>
      <w:r w:rsidR="005A2E8C" w:rsidRPr="00F42759">
        <w:rPr>
          <w:rFonts w:asciiTheme="minorBidi" w:hAnsiTheme="minorBidi"/>
          <w:i/>
          <w:iCs/>
        </w:rPr>
        <w:t xml:space="preserve">Dr JS Moroka Municipality and </w:t>
      </w:r>
      <w:r w:rsidR="001E4E15" w:rsidRPr="00F42759">
        <w:rPr>
          <w:rFonts w:asciiTheme="minorBidi" w:hAnsiTheme="minorBidi"/>
          <w:i/>
          <w:iCs/>
        </w:rPr>
        <w:t xml:space="preserve">others </w:t>
      </w:r>
      <w:r w:rsidR="005A2E8C" w:rsidRPr="00F42759">
        <w:rPr>
          <w:rFonts w:asciiTheme="minorBidi" w:hAnsiTheme="minorBidi"/>
          <w:i/>
          <w:iCs/>
        </w:rPr>
        <w:t xml:space="preserve">v </w:t>
      </w:r>
      <w:r w:rsidR="001E4E15" w:rsidRPr="00F42759">
        <w:rPr>
          <w:rFonts w:asciiTheme="minorBidi" w:hAnsiTheme="minorBidi"/>
          <w:i/>
          <w:iCs/>
        </w:rPr>
        <w:t>Betram (Pty) Ltd and another</w:t>
      </w:r>
      <w:r w:rsidR="005A2E8C" w:rsidRPr="00F42759">
        <w:rPr>
          <w:rFonts w:asciiTheme="minorBidi" w:hAnsiTheme="minorBidi"/>
        </w:rPr>
        <w:t>:</w:t>
      </w:r>
      <w:r w:rsidR="005A2E8C" w:rsidRPr="005130B5">
        <w:rPr>
          <w:rStyle w:val="FootnoteReference"/>
          <w:rFonts w:asciiTheme="minorBidi" w:hAnsiTheme="minorBidi"/>
        </w:rPr>
        <w:footnoteReference w:id="21"/>
      </w:r>
      <w:r w:rsidR="005A2E8C" w:rsidRPr="00F42759">
        <w:rPr>
          <w:rFonts w:asciiTheme="minorBidi" w:hAnsiTheme="minorBidi"/>
        </w:rPr>
        <w:t xml:space="preserve"> </w:t>
      </w:r>
    </w:p>
    <w:p w:rsidR="005A2E8C" w:rsidRPr="005A2E8C" w:rsidRDefault="005A2E8C" w:rsidP="001E4E15">
      <w:pPr>
        <w:pStyle w:val="ListParagraph"/>
        <w:tabs>
          <w:tab w:val="left" w:pos="709"/>
        </w:tabs>
        <w:spacing w:line="360" w:lineRule="auto"/>
        <w:ind w:left="0"/>
        <w:jc w:val="both"/>
        <w:rPr>
          <w:rFonts w:asciiTheme="minorBidi" w:hAnsiTheme="minorBidi"/>
          <w:sz w:val="22"/>
          <w:szCs w:val="22"/>
        </w:rPr>
      </w:pPr>
      <w:r w:rsidRPr="002B0C03">
        <w:rPr>
          <w:rFonts w:asciiTheme="minorBidi" w:hAnsiTheme="minorBidi"/>
          <w:i/>
          <w:iCs/>
        </w:rPr>
        <w:t>‘</w:t>
      </w:r>
      <w:r w:rsidR="001E4E15" w:rsidRPr="001E4E15">
        <w:rPr>
          <w:rFonts w:asciiTheme="minorBidi" w:hAnsiTheme="minorBidi"/>
          <w:sz w:val="22"/>
          <w:szCs w:val="22"/>
        </w:rPr>
        <w:t>Essentially it was for the municipality, and not the court, to decide what should be a prerequisite for a valid tender, and a failure to comply with prescribed conditions will result in a tender being disqualified as an “acceptable tender” under by the Procurement Act unless those conditions are immaterial, unreasonable or unconstitutional</w:t>
      </w:r>
      <w:r w:rsidRPr="005B1536">
        <w:rPr>
          <w:rFonts w:asciiTheme="minorBidi" w:hAnsiTheme="minorBidi"/>
          <w:sz w:val="22"/>
          <w:szCs w:val="22"/>
        </w:rPr>
        <w:t xml:space="preserve">.’ </w:t>
      </w:r>
    </w:p>
    <w:p w:rsidR="005A2E8C" w:rsidRDefault="005A2E8C" w:rsidP="005A2E8C">
      <w:pPr>
        <w:pStyle w:val="ListParagraph"/>
        <w:tabs>
          <w:tab w:val="left" w:pos="709"/>
        </w:tabs>
        <w:spacing w:line="360" w:lineRule="auto"/>
        <w:ind w:left="0"/>
        <w:jc w:val="both"/>
        <w:rPr>
          <w:rFonts w:ascii="Arial" w:hAnsi="Arial" w:cs="Arial"/>
          <w:bCs/>
          <w:lang w:val="en-GB"/>
        </w:rPr>
      </w:pPr>
    </w:p>
    <w:p w:rsidR="005A2E8C" w:rsidRPr="00F42759" w:rsidRDefault="00F42759" w:rsidP="00F42759">
      <w:pPr>
        <w:tabs>
          <w:tab w:val="left" w:pos="709"/>
        </w:tabs>
        <w:spacing w:line="360" w:lineRule="auto"/>
        <w:jc w:val="both"/>
        <w:rPr>
          <w:rFonts w:ascii="Arial" w:hAnsi="Arial" w:cs="Arial"/>
          <w:bCs/>
          <w:lang w:val="en-GB"/>
        </w:rPr>
      </w:pPr>
      <w:r w:rsidRPr="00664C41">
        <w:rPr>
          <w:rFonts w:ascii="Arial" w:eastAsiaTheme="minorHAnsi" w:hAnsi="Arial" w:cs="Arial"/>
          <w:bCs/>
          <w:lang w:val="en-GB" w:eastAsia="en-US" w:bidi="ar-SA"/>
        </w:rPr>
        <w:t>[44]</w:t>
      </w:r>
      <w:r w:rsidRPr="00664C41">
        <w:rPr>
          <w:rFonts w:ascii="Arial" w:eastAsiaTheme="minorHAnsi" w:hAnsi="Arial" w:cs="Arial"/>
          <w:bCs/>
          <w:lang w:val="en-GB" w:eastAsia="en-US" w:bidi="ar-SA"/>
        </w:rPr>
        <w:tab/>
      </w:r>
      <w:r w:rsidR="00664C41" w:rsidRPr="00F42759">
        <w:rPr>
          <w:rFonts w:ascii="Arial" w:hAnsi="Arial" w:cs="Arial"/>
          <w:bCs/>
          <w:lang w:val="en-GB"/>
        </w:rPr>
        <w:t xml:space="preserve">It is not in dispute that the Sebata Group did not file any documents, let alone a tax clearance certificate. </w:t>
      </w:r>
      <w:r w:rsidR="005A2E8C" w:rsidRPr="00F42759">
        <w:rPr>
          <w:rFonts w:ascii="Arial" w:hAnsi="Arial" w:cs="Arial"/>
          <w:bCs/>
          <w:lang w:val="en-GB"/>
        </w:rPr>
        <w:t xml:space="preserve">The point </w:t>
      </w:r>
      <w:r w:rsidR="00664C41" w:rsidRPr="00F42759">
        <w:rPr>
          <w:rFonts w:ascii="Arial" w:hAnsi="Arial" w:cs="Arial"/>
          <w:bCs/>
          <w:lang w:val="en-GB"/>
        </w:rPr>
        <w:t xml:space="preserve">now </w:t>
      </w:r>
      <w:r w:rsidR="005A2E8C" w:rsidRPr="00F42759">
        <w:rPr>
          <w:rFonts w:ascii="Arial" w:hAnsi="Arial" w:cs="Arial"/>
          <w:bCs/>
          <w:lang w:val="en-GB"/>
        </w:rPr>
        <w:t xml:space="preserve">taken by the first respondent is that because the Sebata Group made no attempt whatsoever to put up the compulsory documentation, the tender could not </w:t>
      </w:r>
      <w:r w:rsidR="00C51778" w:rsidRPr="00F42759">
        <w:rPr>
          <w:rFonts w:ascii="Arial" w:hAnsi="Arial" w:cs="Arial"/>
          <w:bCs/>
          <w:lang w:val="en-GB"/>
        </w:rPr>
        <w:t xml:space="preserve">have </w:t>
      </w:r>
      <w:r w:rsidR="005A2E8C" w:rsidRPr="00F42759">
        <w:rPr>
          <w:rFonts w:ascii="Arial" w:hAnsi="Arial" w:cs="Arial"/>
          <w:bCs/>
          <w:lang w:val="en-GB"/>
        </w:rPr>
        <w:t>progress</w:t>
      </w:r>
      <w:r w:rsidR="00C51778" w:rsidRPr="00F42759">
        <w:rPr>
          <w:rFonts w:ascii="Arial" w:hAnsi="Arial" w:cs="Arial"/>
          <w:bCs/>
          <w:lang w:val="en-GB"/>
        </w:rPr>
        <w:t>ed</w:t>
      </w:r>
      <w:r w:rsidR="005A2E8C" w:rsidRPr="00F42759">
        <w:rPr>
          <w:rFonts w:ascii="Arial" w:hAnsi="Arial" w:cs="Arial"/>
          <w:bCs/>
          <w:lang w:val="en-GB"/>
        </w:rPr>
        <w:t xml:space="preserve"> to the second stage of assessment and therefore could not have been awarded to </w:t>
      </w:r>
      <w:r w:rsidR="00664C41" w:rsidRPr="00F42759">
        <w:rPr>
          <w:rFonts w:ascii="Arial" w:hAnsi="Arial" w:cs="Arial"/>
          <w:bCs/>
          <w:lang w:val="en-GB"/>
        </w:rPr>
        <w:t xml:space="preserve">the </w:t>
      </w:r>
      <w:r w:rsidR="005A2E8C" w:rsidRPr="00F42759">
        <w:rPr>
          <w:rFonts w:ascii="Arial" w:hAnsi="Arial" w:cs="Arial"/>
          <w:bCs/>
          <w:lang w:val="en-GB"/>
        </w:rPr>
        <w:t xml:space="preserve">Marothodi Metsi and Sebata Group. </w:t>
      </w:r>
      <w:r w:rsidR="00FE7AFF" w:rsidRPr="00F42759">
        <w:rPr>
          <w:rFonts w:ascii="Arial" w:hAnsi="Arial" w:cs="Arial"/>
          <w:bCs/>
          <w:lang w:val="en-GB"/>
        </w:rPr>
        <w:t xml:space="preserve">In short, it ought to have immediately been disqualified. </w:t>
      </w:r>
      <w:r w:rsidR="005A2E8C" w:rsidRPr="00F42759">
        <w:rPr>
          <w:rFonts w:ascii="Arial" w:hAnsi="Arial" w:cs="Arial"/>
          <w:bCs/>
          <w:lang w:val="en-GB"/>
        </w:rPr>
        <w:t xml:space="preserve">The document required by the first respondent </w:t>
      </w:r>
      <w:r w:rsidR="00184EDC" w:rsidRPr="00F42759">
        <w:rPr>
          <w:rFonts w:ascii="Arial" w:hAnsi="Arial" w:cs="Arial"/>
          <w:bCs/>
          <w:lang w:val="en-GB"/>
        </w:rPr>
        <w:t xml:space="preserve">from the Sebata Group </w:t>
      </w:r>
      <w:r w:rsidR="005A2E8C" w:rsidRPr="00F42759">
        <w:rPr>
          <w:rFonts w:ascii="Arial" w:hAnsi="Arial" w:cs="Arial"/>
          <w:bCs/>
          <w:lang w:val="en-GB"/>
        </w:rPr>
        <w:t xml:space="preserve">would have allowed it to evaluate the Sebata Group’s legal, tax compliance, and rates and taxes status. </w:t>
      </w:r>
      <w:r w:rsidR="003B153C" w:rsidRPr="00F42759">
        <w:rPr>
          <w:rFonts w:ascii="Arial" w:hAnsi="Arial" w:cs="Arial"/>
          <w:bCs/>
          <w:lang w:val="en-GB"/>
        </w:rPr>
        <w:t>It is</w:t>
      </w:r>
      <w:r w:rsidR="005A2E8C" w:rsidRPr="00F42759">
        <w:rPr>
          <w:rFonts w:ascii="Arial" w:hAnsi="Arial" w:cs="Arial"/>
          <w:bCs/>
          <w:lang w:val="en-GB"/>
        </w:rPr>
        <w:t xml:space="preserve">, therefore, </w:t>
      </w:r>
      <w:r w:rsidR="003B153C" w:rsidRPr="00F42759">
        <w:rPr>
          <w:rFonts w:ascii="Arial" w:hAnsi="Arial" w:cs="Arial"/>
          <w:bCs/>
          <w:lang w:val="en-GB"/>
        </w:rPr>
        <w:t xml:space="preserve">an </w:t>
      </w:r>
      <w:r w:rsidR="005A2E8C" w:rsidRPr="00F42759">
        <w:rPr>
          <w:rFonts w:ascii="Arial" w:hAnsi="Arial" w:cs="Arial"/>
          <w:bCs/>
          <w:lang w:val="en-GB"/>
        </w:rPr>
        <w:t xml:space="preserve">important document </w:t>
      </w:r>
      <w:r w:rsidR="00340920" w:rsidRPr="00F42759">
        <w:rPr>
          <w:rFonts w:ascii="Arial" w:hAnsi="Arial" w:cs="Arial"/>
          <w:bCs/>
          <w:lang w:val="en-GB"/>
        </w:rPr>
        <w:t xml:space="preserve">that </w:t>
      </w:r>
      <w:r w:rsidR="003B153C" w:rsidRPr="00F42759">
        <w:rPr>
          <w:rFonts w:ascii="Arial" w:hAnsi="Arial" w:cs="Arial"/>
          <w:bCs/>
          <w:lang w:val="en-GB"/>
        </w:rPr>
        <w:t>is</w:t>
      </w:r>
      <w:r w:rsidR="00340920" w:rsidRPr="00F42759">
        <w:rPr>
          <w:rFonts w:ascii="Arial" w:hAnsi="Arial" w:cs="Arial"/>
          <w:bCs/>
          <w:lang w:val="en-GB"/>
        </w:rPr>
        <w:t xml:space="preserve"> material </w:t>
      </w:r>
      <w:r w:rsidR="001500B7" w:rsidRPr="00F42759">
        <w:rPr>
          <w:rFonts w:ascii="Arial" w:hAnsi="Arial" w:cs="Arial"/>
          <w:bCs/>
          <w:lang w:val="en-GB"/>
        </w:rPr>
        <w:t>and</w:t>
      </w:r>
      <w:r w:rsidR="005A2E8C" w:rsidRPr="00F42759">
        <w:rPr>
          <w:rFonts w:ascii="Arial" w:hAnsi="Arial" w:cs="Arial"/>
          <w:bCs/>
          <w:lang w:val="en-GB"/>
        </w:rPr>
        <w:t xml:space="preserve"> serve</w:t>
      </w:r>
      <w:r w:rsidR="003B153C" w:rsidRPr="00F42759">
        <w:rPr>
          <w:rFonts w:ascii="Arial" w:hAnsi="Arial" w:cs="Arial"/>
          <w:bCs/>
          <w:lang w:val="en-GB"/>
        </w:rPr>
        <w:t>s</w:t>
      </w:r>
      <w:r w:rsidR="005A2E8C" w:rsidRPr="00F42759">
        <w:rPr>
          <w:rFonts w:ascii="Arial" w:hAnsi="Arial" w:cs="Arial"/>
          <w:bCs/>
          <w:lang w:val="en-GB"/>
        </w:rPr>
        <w:t xml:space="preserve"> a </w:t>
      </w:r>
      <w:r w:rsidR="001500B7" w:rsidRPr="00F42759">
        <w:rPr>
          <w:rFonts w:ascii="Arial" w:hAnsi="Arial" w:cs="Arial"/>
          <w:bCs/>
          <w:lang w:val="en-GB"/>
        </w:rPr>
        <w:t xml:space="preserve">lawful </w:t>
      </w:r>
      <w:r w:rsidR="005A2E8C" w:rsidRPr="00F42759">
        <w:rPr>
          <w:rFonts w:ascii="Arial" w:hAnsi="Arial" w:cs="Arial"/>
          <w:bCs/>
          <w:lang w:val="en-GB"/>
        </w:rPr>
        <w:t xml:space="preserve">purpose. </w:t>
      </w:r>
      <w:r w:rsidR="003B153C" w:rsidRPr="00F42759">
        <w:rPr>
          <w:rFonts w:ascii="Arial" w:hAnsi="Arial" w:cs="Arial"/>
          <w:bCs/>
          <w:lang w:val="en-GB"/>
        </w:rPr>
        <w:t>I find t</w:t>
      </w:r>
      <w:r w:rsidR="00FE7AFF" w:rsidRPr="00F42759">
        <w:rPr>
          <w:rFonts w:ascii="Arial" w:hAnsi="Arial" w:cs="Arial"/>
          <w:bCs/>
          <w:lang w:val="en-GB"/>
        </w:rPr>
        <w:t xml:space="preserve">he </w:t>
      </w:r>
      <w:r w:rsidR="003B153C" w:rsidRPr="00F42759">
        <w:rPr>
          <w:rFonts w:ascii="Arial" w:hAnsi="Arial" w:cs="Arial"/>
          <w:bCs/>
          <w:lang w:val="en-GB"/>
        </w:rPr>
        <w:t xml:space="preserve">ground of </w:t>
      </w:r>
      <w:r w:rsidR="007A4282" w:rsidRPr="00F42759">
        <w:rPr>
          <w:rFonts w:ascii="Arial" w:hAnsi="Arial" w:cs="Arial"/>
          <w:bCs/>
          <w:lang w:val="en-GB"/>
        </w:rPr>
        <w:t xml:space="preserve">review </w:t>
      </w:r>
      <w:r w:rsidR="003B153C" w:rsidRPr="00F42759">
        <w:rPr>
          <w:rFonts w:ascii="Arial" w:hAnsi="Arial" w:cs="Arial"/>
          <w:bCs/>
          <w:lang w:val="en-GB"/>
        </w:rPr>
        <w:t xml:space="preserve">to be </w:t>
      </w:r>
      <w:r w:rsidR="00FE7AFF" w:rsidRPr="00F42759">
        <w:rPr>
          <w:rFonts w:ascii="Arial" w:hAnsi="Arial" w:cs="Arial"/>
          <w:bCs/>
          <w:lang w:val="en-GB"/>
        </w:rPr>
        <w:t>a good one and the failure to put up the compulsory documentation</w:t>
      </w:r>
      <w:r w:rsidR="005A2E8C" w:rsidRPr="00F42759">
        <w:rPr>
          <w:rFonts w:ascii="Arial" w:hAnsi="Arial" w:cs="Arial"/>
          <w:bCs/>
          <w:lang w:val="en-GB"/>
        </w:rPr>
        <w:t xml:space="preserve"> should have resulted in the bid being declared non-responsive.</w:t>
      </w:r>
    </w:p>
    <w:p w:rsidR="005A2E8C" w:rsidRDefault="005A2E8C" w:rsidP="004978E6">
      <w:pPr>
        <w:pStyle w:val="ListParagraph"/>
        <w:tabs>
          <w:tab w:val="left" w:pos="709"/>
        </w:tabs>
        <w:spacing w:line="360" w:lineRule="auto"/>
        <w:ind w:left="0"/>
        <w:jc w:val="both"/>
        <w:rPr>
          <w:rFonts w:ascii="Arial" w:hAnsi="Arial" w:cs="Arial"/>
          <w:bCs/>
          <w:lang w:val="en-GB"/>
        </w:rPr>
      </w:pPr>
    </w:p>
    <w:p w:rsidR="005E09A3" w:rsidRPr="0050034E" w:rsidRDefault="005E09A3" w:rsidP="004978E6">
      <w:pPr>
        <w:pStyle w:val="ListParagraph"/>
        <w:tabs>
          <w:tab w:val="left" w:pos="709"/>
        </w:tabs>
        <w:spacing w:line="360" w:lineRule="auto"/>
        <w:ind w:left="0"/>
        <w:jc w:val="both"/>
        <w:rPr>
          <w:rFonts w:ascii="Arial" w:hAnsi="Arial" w:cs="Arial"/>
          <w:b/>
          <w:bCs/>
          <w:i/>
          <w:lang w:val="en-GB"/>
        </w:rPr>
      </w:pPr>
      <w:r>
        <w:rPr>
          <w:rFonts w:ascii="Arial" w:hAnsi="Arial" w:cs="Arial"/>
          <w:b/>
          <w:bCs/>
          <w:i/>
          <w:lang w:val="en-GB"/>
        </w:rPr>
        <w:t>Third ground of review: the failure to provide audited financial statements</w:t>
      </w:r>
    </w:p>
    <w:p w:rsidR="004978E6" w:rsidRPr="00F42759" w:rsidRDefault="00F42759" w:rsidP="00F42759">
      <w:pPr>
        <w:tabs>
          <w:tab w:val="left" w:pos="709"/>
        </w:tabs>
        <w:spacing w:line="360" w:lineRule="auto"/>
        <w:jc w:val="both"/>
        <w:rPr>
          <w:rFonts w:ascii="Arial" w:hAnsi="Arial" w:cs="Arial"/>
          <w:bCs/>
          <w:lang w:val="en-GB"/>
        </w:rPr>
      </w:pPr>
      <w:r>
        <w:rPr>
          <w:rFonts w:ascii="Arial" w:eastAsiaTheme="minorHAnsi" w:hAnsi="Arial" w:cs="Arial"/>
          <w:bCs/>
          <w:lang w:val="en-GB" w:eastAsia="en-US" w:bidi="ar-SA"/>
        </w:rPr>
        <w:t>[45]</w:t>
      </w:r>
      <w:r>
        <w:rPr>
          <w:rFonts w:ascii="Arial" w:eastAsiaTheme="minorHAnsi" w:hAnsi="Arial" w:cs="Arial"/>
          <w:bCs/>
          <w:lang w:val="en-GB" w:eastAsia="en-US" w:bidi="ar-SA"/>
        </w:rPr>
        <w:tab/>
      </w:r>
      <w:r w:rsidR="005A2E8C" w:rsidRPr="00F42759">
        <w:rPr>
          <w:rFonts w:ascii="Arial" w:hAnsi="Arial" w:cs="Arial"/>
          <w:bCs/>
          <w:lang w:val="en-GB"/>
        </w:rPr>
        <w:t xml:space="preserve">The third ground </w:t>
      </w:r>
      <w:r w:rsidR="0011470C" w:rsidRPr="00F42759">
        <w:rPr>
          <w:rFonts w:ascii="Arial" w:hAnsi="Arial" w:cs="Arial"/>
          <w:bCs/>
          <w:lang w:val="en-GB"/>
        </w:rPr>
        <w:t xml:space="preserve">of review </w:t>
      </w:r>
      <w:r w:rsidR="005A2E8C" w:rsidRPr="00F42759">
        <w:rPr>
          <w:rFonts w:ascii="Arial" w:hAnsi="Arial" w:cs="Arial"/>
          <w:bCs/>
          <w:lang w:val="en-GB"/>
        </w:rPr>
        <w:t xml:space="preserve">relied upon by the first respondent </w:t>
      </w:r>
      <w:r w:rsidR="00FD1AD1" w:rsidRPr="00F42759">
        <w:rPr>
          <w:rFonts w:ascii="Arial" w:hAnsi="Arial" w:cs="Arial"/>
          <w:bCs/>
          <w:lang w:val="en-GB"/>
        </w:rPr>
        <w:t>is that no audited annual financial statements were submitted</w:t>
      </w:r>
      <w:r w:rsidR="00C51778" w:rsidRPr="00F42759">
        <w:rPr>
          <w:rFonts w:ascii="Arial" w:hAnsi="Arial" w:cs="Arial"/>
          <w:bCs/>
          <w:lang w:val="en-GB"/>
        </w:rPr>
        <w:t xml:space="preserve"> in support of the bid</w:t>
      </w:r>
      <w:r w:rsidR="00FD1AD1" w:rsidRPr="00F42759">
        <w:rPr>
          <w:rFonts w:ascii="Arial" w:hAnsi="Arial" w:cs="Arial"/>
          <w:bCs/>
          <w:lang w:val="en-GB"/>
        </w:rPr>
        <w:t xml:space="preserve">. </w:t>
      </w:r>
      <w:r w:rsidR="004978E6" w:rsidRPr="00F42759">
        <w:rPr>
          <w:rFonts w:ascii="Arial" w:hAnsi="Arial" w:cs="Arial"/>
          <w:bCs/>
          <w:lang w:val="en-GB"/>
        </w:rPr>
        <w:t>Page 48 of the bid document</w:t>
      </w:r>
      <w:r w:rsidR="00E93DEE" w:rsidRPr="00F42759">
        <w:rPr>
          <w:rFonts w:ascii="Arial" w:hAnsi="Arial" w:cs="Arial"/>
          <w:bCs/>
          <w:lang w:val="en-GB"/>
        </w:rPr>
        <w:t>, in part,</w:t>
      </w:r>
      <w:r w:rsidR="004978E6" w:rsidRPr="00F42759">
        <w:rPr>
          <w:rFonts w:ascii="Arial" w:hAnsi="Arial" w:cs="Arial"/>
          <w:bCs/>
          <w:lang w:val="en-GB"/>
        </w:rPr>
        <w:t xml:space="preserve"> states the following:</w:t>
      </w:r>
    </w:p>
    <w:p w:rsidR="004978E6" w:rsidRPr="00EC3875" w:rsidRDefault="004978E6" w:rsidP="004978E6">
      <w:pPr>
        <w:pStyle w:val="ListParagraph"/>
        <w:tabs>
          <w:tab w:val="left" w:pos="709"/>
        </w:tabs>
        <w:spacing w:line="360" w:lineRule="auto"/>
        <w:ind w:left="0"/>
        <w:jc w:val="both"/>
        <w:rPr>
          <w:rFonts w:ascii="Arial" w:hAnsi="Arial" w:cs="Arial"/>
          <w:bCs/>
          <w:sz w:val="22"/>
          <w:szCs w:val="22"/>
          <w:lang w:val="en-GB"/>
        </w:rPr>
      </w:pPr>
      <w:r w:rsidRPr="00EC3875">
        <w:rPr>
          <w:rFonts w:ascii="Arial" w:hAnsi="Arial" w:cs="Arial"/>
          <w:bCs/>
          <w:sz w:val="22"/>
          <w:szCs w:val="22"/>
          <w:lang w:val="en-GB"/>
        </w:rPr>
        <w:t>‘DECLARATION FOR PROCUREMENT ABOVE R10 MILLION (ALL APPLICABLE TAXES INCLUDED</w:t>
      </w:r>
    </w:p>
    <w:p w:rsidR="004978E6" w:rsidRPr="00F42759" w:rsidRDefault="00F42759" w:rsidP="00F42759">
      <w:pPr>
        <w:tabs>
          <w:tab w:val="left" w:pos="709"/>
        </w:tabs>
        <w:spacing w:line="360" w:lineRule="auto"/>
        <w:jc w:val="both"/>
        <w:rPr>
          <w:rFonts w:ascii="Arial" w:hAnsi="Arial" w:cs="Arial"/>
          <w:bCs/>
          <w:sz w:val="22"/>
          <w:szCs w:val="22"/>
          <w:lang w:val="en-GB"/>
        </w:rPr>
      </w:pPr>
      <w:r w:rsidRPr="00EC3875">
        <w:rPr>
          <w:rFonts w:ascii="Arial" w:eastAsiaTheme="minorHAnsi" w:hAnsi="Arial" w:cs="Arial"/>
          <w:bCs/>
          <w:sz w:val="22"/>
          <w:szCs w:val="22"/>
          <w:lang w:val="en-GB" w:eastAsia="en-US" w:bidi="ar-SA"/>
        </w:rPr>
        <w:t>1</w:t>
      </w:r>
      <w:r w:rsidRPr="00EC3875">
        <w:rPr>
          <w:rFonts w:ascii="Arial" w:eastAsiaTheme="minorHAnsi" w:hAnsi="Arial" w:cs="Arial"/>
          <w:bCs/>
          <w:sz w:val="22"/>
          <w:szCs w:val="22"/>
          <w:lang w:val="en-GB" w:eastAsia="en-US" w:bidi="ar-SA"/>
        </w:rPr>
        <w:tab/>
      </w:r>
      <w:r w:rsidR="004978E6" w:rsidRPr="00F42759">
        <w:rPr>
          <w:rFonts w:ascii="Arial" w:hAnsi="Arial" w:cs="Arial"/>
          <w:bCs/>
          <w:sz w:val="22"/>
          <w:szCs w:val="22"/>
          <w:lang w:val="en-GB"/>
        </w:rPr>
        <w:t xml:space="preserve">Are you by law required to prepare </w:t>
      </w:r>
      <w:r w:rsidR="00EC3875" w:rsidRPr="00F42759">
        <w:rPr>
          <w:rFonts w:ascii="Arial" w:hAnsi="Arial" w:cs="Arial"/>
          <w:bCs/>
          <w:sz w:val="22"/>
          <w:szCs w:val="22"/>
          <w:lang w:val="en-GB"/>
        </w:rPr>
        <w:t>annual financial statements for auditing?</w:t>
      </w:r>
    </w:p>
    <w:p w:rsidR="00EC3875" w:rsidRPr="00F42759" w:rsidRDefault="00F42759" w:rsidP="00F42759">
      <w:pPr>
        <w:tabs>
          <w:tab w:val="left" w:pos="709"/>
        </w:tabs>
        <w:spacing w:line="360" w:lineRule="auto"/>
        <w:jc w:val="both"/>
        <w:rPr>
          <w:rFonts w:ascii="Arial" w:hAnsi="Arial" w:cs="Arial"/>
          <w:bCs/>
          <w:sz w:val="22"/>
          <w:szCs w:val="22"/>
          <w:lang w:val="en-GB"/>
        </w:rPr>
      </w:pPr>
      <w:r w:rsidRPr="00EC3875">
        <w:rPr>
          <w:rFonts w:ascii="Arial" w:eastAsiaTheme="minorHAnsi" w:hAnsi="Arial" w:cs="Arial"/>
          <w:bCs/>
          <w:sz w:val="22"/>
          <w:szCs w:val="22"/>
          <w:lang w:val="en-GB" w:eastAsia="en-US" w:bidi="ar-SA"/>
        </w:rPr>
        <w:t>2</w:t>
      </w:r>
      <w:r w:rsidRPr="00EC3875">
        <w:rPr>
          <w:rFonts w:ascii="Arial" w:eastAsiaTheme="minorHAnsi" w:hAnsi="Arial" w:cs="Arial"/>
          <w:bCs/>
          <w:sz w:val="22"/>
          <w:szCs w:val="22"/>
          <w:lang w:val="en-GB" w:eastAsia="en-US" w:bidi="ar-SA"/>
        </w:rPr>
        <w:tab/>
      </w:r>
      <w:r w:rsidR="00EC3875" w:rsidRPr="00F42759">
        <w:rPr>
          <w:rFonts w:ascii="Arial" w:hAnsi="Arial" w:cs="Arial"/>
          <w:bCs/>
          <w:sz w:val="22"/>
          <w:szCs w:val="22"/>
          <w:lang w:val="en-GB"/>
        </w:rPr>
        <w:t>If yes, submit audited annual statements for the past three years or since the date of establishment if established during the past three years.’</w:t>
      </w:r>
    </w:p>
    <w:p w:rsidR="004978E6" w:rsidRPr="004978E6" w:rsidRDefault="004978E6" w:rsidP="004B6073">
      <w:pPr>
        <w:pStyle w:val="ListParagraph"/>
        <w:spacing w:line="360" w:lineRule="auto"/>
        <w:rPr>
          <w:rFonts w:ascii="Arial" w:hAnsi="Arial" w:cs="Arial"/>
          <w:bCs/>
          <w:lang w:val="en-GB"/>
        </w:rPr>
      </w:pPr>
    </w:p>
    <w:p w:rsidR="00EC3875" w:rsidRPr="00F42759" w:rsidRDefault="00F42759" w:rsidP="00F42759">
      <w:pPr>
        <w:tabs>
          <w:tab w:val="left" w:pos="709"/>
        </w:tabs>
        <w:spacing w:line="360" w:lineRule="auto"/>
        <w:jc w:val="both"/>
        <w:rPr>
          <w:rFonts w:ascii="Arial" w:hAnsi="Arial" w:cs="Arial"/>
          <w:bCs/>
          <w:lang w:val="en-GB"/>
        </w:rPr>
      </w:pPr>
      <w:r>
        <w:rPr>
          <w:rFonts w:ascii="Arial" w:eastAsiaTheme="minorHAnsi" w:hAnsi="Arial" w:cs="Arial"/>
          <w:bCs/>
          <w:lang w:val="en-GB" w:eastAsia="en-US" w:bidi="ar-SA"/>
        </w:rPr>
        <w:t>[46]</w:t>
      </w:r>
      <w:r>
        <w:rPr>
          <w:rFonts w:ascii="Arial" w:eastAsiaTheme="minorHAnsi" w:hAnsi="Arial" w:cs="Arial"/>
          <w:bCs/>
          <w:lang w:val="en-GB" w:eastAsia="en-US" w:bidi="ar-SA"/>
        </w:rPr>
        <w:tab/>
      </w:r>
      <w:r w:rsidR="00FE7AFF" w:rsidRPr="00F42759">
        <w:rPr>
          <w:rFonts w:ascii="Arial" w:hAnsi="Arial" w:cs="Arial"/>
          <w:bCs/>
          <w:lang w:val="en-GB"/>
        </w:rPr>
        <w:t xml:space="preserve">From the wording of the </w:t>
      </w:r>
      <w:r w:rsidR="001500B7" w:rsidRPr="00F42759">
        <w:rPr>
          <w:rFonts w:ascii="Arial" w:hAnsi="Arial" w:cs="Arial"/>
          <w:bCs/>
          <w:lang w:val="en-GB"/>
        </w:rPr>
        <w:t>second bid document, it is apparent that the value of the tender to the bidder was R785 561 554</w:t>
      </w:r>
      <w:r w:rsidR="00E93DEE" w:rsidRPr="00F42759">
        <w:rPr>
          <w:rFonts w:ascii="Arial" w:hAnsi="Arial" w:cs="Arial"/>
          <w:bCs/>
          <w:lang w:val="en-GB"/>
        </w:rPr>
        <w:t>.</w:t>
      </w:r>
      <w:r w:rsidR="001500B7" w:rsidRPr="00F42759">
        <w:rPr>
          <w:rFonts w:ascii="Arial" w:hAnsi="Arial" w:cs="Arial"/>
          <w:bCs/>
          <w:lang w:val="en-GB"/>
        </w:rPr>
        <w:t>59. The procurement was thus above R10</w:t>
      </w:r>
      <w:r w:rsidR="00E93DEE" w:rsidRPr="00F42759">
        <w:rPr>
          <w:rFonts w:ascii="Arial" w:hAnsi="Arial" w:cs="Arial"/>
          <w:bCs/>
          <w:lang w:val="en-GB"/>
        </w:rPr>
        <w:t> </w:t>
      </w:r>
      <w:r w:rsidR="001500B7" w:rsidRPr="00F42759">
        <w:rPr>
          <w:rFonts w:ascii="Arial" w:hAnsi="Arial" w:cs="Arial"/>
          <w:bCs/>
          <w:lang w:val="en-GB"/>
        </w:rPr>
        <w:t xml:space="preserve">million and the requirement to supply audited annual financial statements </w:t>
      </w:r>
      <w:r w:rsidR="007F53B5" w:rsidRPr="00F42759">
        <w:rPr>
          <w:rFonts w:ascii="Arial" w:hAnsi="Arial" w:cs="Arial"/>
          <w:bCs/>
          <w:lang w:val="en-GB"/>
        </w:rPr>
        <w:t xml:space="preserve">(the financial statements) </w:t>
      </w:r>
      <w:r w:rsidR="001500B7" w:rsidRPr="00F42759">
        <w:rPr>
          <w:rFonts w:ascii="Arial" w:hAnsi="Arial" w:cs="Arial"/>
          <w:bCs/>
          <w:lang w:val="en-GB"/>
        </w:rPr>
        <w:t xml:space="preserve">was </w:t>
      </w:r>
      <w:r w:rsidR="003B153C" w:rsidRPr="00F42759">
        <w:rPr>
          <w:rFonts w:ascii="Arial" w:hAnsi="Arial" w:cs="Arial"/>
          <w:bCs/>
          <w:lang w:val="en-GB"/>
        </w:rPr>
        <w:t>triggered if</w:t>
      </w:r>
      <w:r w:rsidR="00923549" w:rsidRPr="00F42759">
        <w:rPr>
          <w:rFonts w:ascii="Arial" w:hAnsi="Arial" w:cs="Arial"/>
          <w:bCs/>
          <w:lang w:val="en-GB"/>
        </w:rPr>
        <w:t xml:space="preserve"> the bidder was required by law to prepare them</w:t>
      </w:r>
      <w:r w:rsidR="001500B7" w:rsidRPr="00F42759">
        <w:rPr>
          <w:rFonts w:ascii="Arial" w:hAnsi="Arial" w:cs="Arial"/>
          <w:bCs/>
          <w:lang w:val="en-GB"/>
        </w:rPr>
        <w:t xml:space="preserve">. </w:t>
      </w:r>
      <w:r w:rsidR="00EC3875" w:rsidRPr="00F42759">
        <w:rPr>
          <w:rFonts w:ascii="Arial" w:hAnsi="Arial" w:cs="Arial"/>
          <w:bCs/>
          <w:lang w:val="en-GB"/>
        </w:rPr>
        <w:t xml:space="preserve">In the first bid document, the answer </w:t>
      </w:r>
      <w:r w:rsidR="00151684" w:rsidRPr="00F42759">
        <w:rPr>
          <w:rFonts w:ascii="Arial" w:hAnsi="Arial" w:cs="Arial"/>
          <w:bCs/>
          <w:lang w:val="en-GB"/>
        </w:rPr>
        <w:t xml:space="preserve">supplied </w:t>
      </w:r>
      <w:r w:rsidR="00EC3875" w:rsidRPr="00F42759">
        <w:rPr>
          <w:rFonts w:ascii="Arial" w:hAnsi="Arial" w:cs="Arial"/>
          <w:bCs/>
          <w:lang w:val="en-GB"/>
        </w:rPr>
        <w:t>to the question is ‘Yes’</w:t>
      </w:r>
      <w:r w:rsidR="00923549" w:rsidRPr="00F42759">
        <w:rPr>
          <w:rFonts w:ascii="Arial" w:hAnsi="Arial" w:cs="Arial"/>
          <w:bCs/>
          <w:lang w:val="en-GB"/>
        </w:rPr>
        <w:t xml:space="preserve"> as to this legal obligation</w:t>
      </w:r>
      <w:r w:rsidR="00EC3875" w:rsidRPr="00F42759">
        <w:rPr>
          <w:rFonts w:ascii="Arial" w:hAnsi="Arial" w:cs="Arial"/>
          <w:bCs/>
          <w:lang w:val="en-GB"/>
        </w:rPr>
        <w:t>. Nothing further is stated. In the second bid document, the question posed has also been answered in the affirmative. In addition, the following is also stated:</w:t>
      </w:r>
    </w:p>
    <w:p w:rsidR="00151684" w:rsidRDefault="00151684" w:rsidP="00151684">
      <w:pPr>
        <w:pStyle w:val="ListParagraph"/>
        <w:tabs>
          <w:tab w:val="left" w:pos="709"/>
        </w:tabs>
        <w:spacing w:line="360" w:lineRule="auto"/>
        <w:ind w:left="0"/>
        <w:jc w:val="both"/>
        <w:rPr>
          <w:rFonts w:ascii="Arial" w:hAnsi="Arial" w:cs="Arial"/>
          <w:bCs/>
          <w:sz w:val="22"/>
          <w:szCs w:val="22"/>
          <w:lang w:val="en-GB"/>
        </w:rPr>
      </w:pPr>
      <w:r w:rsidRPr="00151684">
        <w:rPr>
          <w:rFonts w:ascii="Arial" w:hAnsi="Arial" w:cs="Arial"/>
          <w:bCs/>
          <w:sz w:val="22"/>
          <w:szCs w:val="22"/>
          <w:lang w:val="en-GB"/>
        </w:rPr>
        <w:t>‘Attached in returnable schedule page 16.’</w:t>
      </w:r>
    </w:p>
    <w:p w:rsidR="00923549" w:rsidRPr="00923549" w:rsidRDefault="00923549" w:rsidP="00151684">
      <w:pPr>
        <w:pStyle w:val="ListParagraph"/>
        <w:tabs>
          <w:tab w:val="left" w:pos="709"/>
        </w:tabs>
        <w:spacing w:line="360" w:lineRule="auto"/>
        <w:ind w:left="0"/>
        <w:jc w:val="both"/>
        <w:rPr>
          <w:rFonts w:ascii="Arial" w:hAnsi="Arial" w:cs="Arial"/>
          <w:bCs/>
          <w:lang w:val="en-GB"/>
        </w:rPr>
      </w:pPr>
    </w:p>
    <w:p w:rsidR="007631AA" w:rsidRPr="00F42759" w:rsidRDefault="00F42759" w:rsidP="00F42759">
      <w:pPr>
        <w:tabs>
          <w:tab w:val="left" w:pos="709"/>
        </w:tabs>
        <w:spacing w:line="360" w:lineRule="auto"/>
        <w:jc w:val="both"/>
        <w:rPr>
          <w:rFonts w:ascii="Arial" w:hAnsi="Arial" w:cs="Arial"/>
          <w:bCs/>
          <w:lang w:val="en-GB"/>
        </w:rPr>
      </w:pPr>
      <w:r w:rsidRPr="003B153C">
        <w:rPr>
          <w:rFonts w:ascii="Arial" w:eastAsiaTheme="minorHAnsi" w:hAnsi="Arial" w:cs="Arial"/>
          <w:bCs/>
          <w:lang w:val="en-GB" w:eastAsia="en-US" w:bidi="ar-SA"/>
        </w:rPr>
        <w:t>[47]</w:t>
      </w:r>
      <w:r w:rsidRPr="003B153C">
        <w:rPr>
          <w:rFonts w:ascii="Arial" w:eastAsiaTheme="minorHAnsi" w:hAnsi="Arial" w:cs="Arial"/>
          <w:bCs/>
          <w:lang w:val="en-GB" w:eastAsia="en-US" w:bidi="ar-SA"/>
        </w:rPr>
        <w:tab/>
      </w:r>
      <w:r w:rsidR="00923549" w:rsidRPr="00F42759">
        <w:rPr>
          <w:rFonts w:ascii="Arial" w:hAnsi="Arial" w:cs="Arial"/>
          <w:bCs/>
          <w:lang w:val="en-GB"/>
        </w:rPr>
        <w:t>Thus, irrespective of which bid document is considered, the bidder</w:t>
      </w:r>
      <w:r w:rsidR="007E248A" w:rsidRPr="00F42759">
        <w:rPr>
          <w:rFonts w:ascii="Arial" w:hAnsi="Arial" w:cs="Arial"/>
          <w:bCs/>
          <w:lang w:val="en-GB"/>
        </w:rPr>
        <w:t xml:space="preserve"> confirmed that</w:t>
      </w:r>
      <w:r w:rsidR="00923549" w:rsidRPr="00F42759">
        <w:rPr>
          <w:rFonts w:ascii="Arial" w:hAnsi="Arial" w:cs="Arial"/>
          <w:bCs/>
          <w:lang w:val="en-GB"/>
        </w:rPr>
        <w:t xml:space="preserve"> it is obliged by law to deliver</w:t>
      </w:r>
      <w:r w:rsidR="0003317E" w:rsidRPr="00F42759">
        <w:rPr>
          <w:rFonts w:ascii="Arial" w:hAnsi="Arial" w:cs="Arial"/>
          <w:bCs/>
          <w:lang w:val="en-GB"/>
        </w:rPr>
        <w:t xml:space="preserve"> </w:t>
      </w:r>
      <w:r w:rsidR="00923549" w:rsidRPr="00F42759">
        <w:rPr>
          <w:rFonts w:ascii="Arial" w:hAnsi="Arial" w:cs="Arial"/>
          <w:bCs/>
          <w:lang w:val="en-GB"/>
        </w:rPr>
        <w:t xml:space="preserve">financial statements. </w:t>
      </w:r>
      <w:r w:rsidR="00151684" w:rsidRPr="00F42759">
        <w:rPr>
          <w:rFonts w:ascii="Arial" w:hAnsi="Arial" w:cs="Arial"/>
          <w:bCs/>
          <w:lang w:val="en-GB"/>
        </w:rPr>
        <w:t xml:space="preserve">Commencing at page 394 of the review record are financial statements for the financial years ending 28 February 2017, 28 February </w:t>
      </w:r>
      <w:r w:rsidR="000C6186" w:rsidRPr="00F42759">
        <w:rPr>
          <w:rFonts w:ascii="Arial" w:hAnsi="Arial" w:cs="Arial"/>
          <w:bCs/>
          <w:lang w:val="en-GB"/>
        </w:rPr>
        <w:t>2018,</w:t>
      </w:r>
      <w:r w:rsidR="00151684" w:rsidRPr="00F42759">
        <w:rPr>
          <w:rFonts w:ascii="Arial" w:hAnsi="Arial" w:cs="Arial"/>
          <w:bCs/>
          <w:lang w:val="en-GB"/>
        </w:rPr>
        <w:t xml:space="preserve"> and 28 February 2019</w:t>
      </w:r>
      <w:r w:rsidR="00187341" w:rsidRPr="00F42759">
        <w:rPr>
          <w:rFonts w:ascii="Arial" w:hAnsi="Arial" w:cs="Arial"/>
          <w:bCs/>
          <w:lang w:val="en-GB"/>
        </w:rPr>
        <w:t xml:space="preserve"> respectively</w:t>
      </w:r>
      <w:r w:rsidR="00151684" w:rsidRPr="00F42759">
        <w:rPr>
          <w:rFonts w:ascii="Arial" w:hAnsi="Arial" w:cs="Arial"/>
          <w:bCs/>
          <w:lang w:val="en-GB"/>
        </w:rPr>
        <w:t>. They are</w:t>
      </w:r>
      <w:r w:rsidR="0003317E" w:rsidRPr="00F42759">
        <w:rPr>
          <w:rFonts w:ascii="Arial" w:hAnsi="Arial" w:cs="Arial"/>
          <w:bCs/>
          <w:lang w:val="en-GB"/>
        </w:rPr>
        <w:t xml:space="preserve">, obviously, </w:t>
      </w:r>
      <w:r w:rsidR="00151684" w:rsidRPr="00F42759">
        <w:rPr>
          <w:rFonts w:ascii="Arial" w:hAnsi="Arial" w:cs="Arial"/>
          <w:bCs/>
          <w:lang w:val="en-GB"/>
        </w:rPr>
        <w:t>not the fin</w:t>
      </w:r>
      <w:r w:rsidR="002B0645" w:rsidRPr="00F42759">
        <w:rPr>
          <w:rFonts w:ascii="Arial" w:hAnsi="Arial" w:cs="Arial"/>
          <w:bCs/>
          <w:lang w:val="en-GB"/>
        </w:rPr>
        <w:t>anci</w:t>
      </w:r>
      <w:r w:rsidR="00151684" w:rsidRPr="00F42759">
        <w:rPr>
          <w:rFonts w:ascii="Arial" w:hAnsi="Arial" w:cs="Arial"/>
          <w:bCs/>
          <w:lang w:val="en-GB"/>
        </w:rPr>
        <w:t xml:space="preserve">al statements of </w:t>
      </w:r>
      <w:r w:rsidR="0003317E" w:rsidRPr="00F42759">
        <w:rPr>
          <w:rFonts w:ascii="Arial" w:hAnsi="Arial" w:cs="Arial"/>
          <w:bCs/>
          <w:lang w:val="en-GB"/>
        </w:rPr>
        <w:t xml:space="preserve">the </w:t>
      </w:r>
      <w:r w:rsidR="00151684" w:rsidRPr="00F42759">
        <w:rPr>
          <w:rFonts w:ascii="Arial" w:hAnsi="Arial" w:cs="Arial"/>
          <w:bCs/>
          <w:lang w:val="en-GB"/>
        </w:rPr>
        <w:t>Marothodi Metsi and S</w:t>
      </w:r>
      <w:r w:rsidR="002B0645" w:rsidRPr="00F42759">
        <w:rPr>
          <w:rFonts w:ascii="Arial" w:hAnsi="Arial" w:cs="Arial"/>
          <w:bCs/>
          <w:lang w:val="en-GB"/>
        </w:rPr>
        <w:t>ebata Group</w:t>
      </w:r>
      <w:r w:rsidR="0003317E" w:rsidRPr="00F42759">
        <w:rPr>
          <w:rFonts w:ascii="Arial" w:hAnsi="Arial" w:cs="Arial"/>
          <w:bCs/>
          <w:lang w:val="en-GB"/>
        </w:rPr>
        <w:t>, which does not exist</w:t>
      </w:r>
      <w:r w:rsidR="002B0645" w:rsidRPr="00F42759">
        <w:rPr>
          <w:rFonts w:ascii="Arial" w:hAnsi="Arial" w:cs="Arial"/>
          <w:bCs/>
          <w:lang w:val="en-GB"/>
        </w:rPr>
        <w:t xml:space="preserve">: they are the financial statements of the applicant. </w:t>
      </w:r>
      <w:r w:rsidR="00187341" w:rsidRPr="00F42759">
        <w:rPr>
          <w:rFonts w:ascii="Arial" w:hAnsi="Arial" w:cs="Arial"/>
          <w:bCs/>
          <w:lang w:val="en-GB"/>
        </w:rPr>
        <w:t>However, i</w:t>
      </w:r>
      <w:r w:rsidR="002B0645" w:rsidRPr="00F42759">
        <w:rPr>
          <w:rFonts w:ascii="Arial" w:hAnsi="Arial" w:cs="Arial"/>
          <w:bCs/>
          <w:lang w:val="en-GB"/>
        </w:rPr>
        <w:t>t is apparent that t</w:t>
      </w:r>
      <w:r w:rsidR="00FD1AD1" w:rsidRPr="00F42759">
        <w:rPr>
          <w:rFonts w:ascii="Arial" w:hAnsi="Arial" w:cs="Arial"/>
          <w:bCs/>
          <w:lang w:val="en-GB"/>
        </w:rPr>
        <w:t>hey are not audited</w:t>
      </w:r>
      <w:r w:rsidR="006A4F32" w:rsidRPr="00F42759">
        <w:rPr>
          <w:rFonts w:ascii="Arial" w:hAnsi="Arial" w:cs="Arial"/>
          <w:bCs/>
          <w:lang w:val="en-GB"/>
        </w:rPr>
        <w:t xml:space="preserve"> annual financial statements</w:t>
      </w:r>
      <w:r w:rsidR="00FD1AD1" w:rsidRPr="00F42759">
        <w:rPr>
          <w:rFonts w:ascii="Arial" w:hAnsi="Arial" w:cs="Arial"/>
          <w:bCs/>
          <w:lang w:val="en-GB"/>
        </w:rPr>
        <w:t xml:space="preserve">. Instead, they </w:t>
      </w:r>
      <w:r w:rsidR="00426359" w:rsidRPr="00F42759">
        <w:rPr>
          <w:rFonts w:ascii="Arial" w:hAnsi="Arial" w:cs="Arial"/>
          <w:bCs/>
          <w:lang w:val="en-GB"/>
        </w:rPr>
        <w:t xml:space="preserve">are financial statements that have been subjected to </w:t>
      </w:r>
      <w:r w:rsidR="00FD1AD1" w:rsidRPr="00F42759">
        <w:rPr>
          <w:rFonts w:ascii="Arial" w:hAnsi="Arial" w:cs="Arial"/>
          <w:bCs/>
          <w:lang w:val="en-GB"/>
        </w:rPr>
        <w:t xml:space="preserve">independent review. </w:t>
      </w:r>
      <w:r w:rsidR="007631AA" w:rsidRPr="00F42759">
        <w:rPr>
          <w:rFonts w:ascii="Arial" w:hAnsi="Arial" w:cs="Arial"/>
          <w:bCs/>
          <w:lang w:val="en-GB"/>
        </w:rPr>
        <w:t xml:space="preserve">This is confirmed by the independent reviewer’s report in </w:t>
      </w:r>
      <w:r w:rsidR="00AC2F41" w:rsidRPr="00F42759">
        <w:rPr>
          <w:rFonts w:ascii="Arial" w:hAnsi="Arial" w:cs="Arial"/>
          <w:bCs/>
          <w:lang w:val="en-GB"/>
        </w:rPr>
        <w:t xml:space="preserve">each of the financial statements </w:t>
      </w:r>
      <w:r w:rsidR="007631AA" w:rsidRPr="00F42759">
        <w:rPr>
          <w:rFonts w:ascii="Arial" w:hAnsi="Arial" w:cs="Arial"/>
          <w:bCs/>
          <w:lang w:val="en-GB"/>
        </w:rPr>
        <w:t>wh</w:t>
      </w:r>
      <w:r w:rsidR="00AC2F41" w:rsidRPr="00F42759">
        <w:rPr>
          <w:rFonts w:ascii="Arial" w:hAnsi="Arial" w:cs="Arial"/>
          <w:bCs/>
          <w:lang w:val="en-GB"/>
        </w:rPr>
        <w:t>ere</w:t>
      </w:r>
      <w:r w:rsidR="007631AA" w:rsidRPr="00F42759">
        <w:rPr>
          <w:rFonts w:ascii="Arial" w:hAnsi="Arial" w:cs="Arial"/>
          <w:bCs/>
          <w:lang w:val="en-GB"/>
        </w:rPr>
        <w:t xml:space="preserve"> he states </w:t>
      </w:r>
      <w:r w:rsidR="00C375CF" w:rsidRPr="00F42759">
        <w:rPr>
          <w:rFonts w:ascii="Arial" w:hAnsi="Arial" w:cs="Arial"/>
          <w:bCs/>
          <w:lang w:val="en-GB"/>
        </w:rPr>
        <w:t>that:</w:t>
      </w:r>
    </w:p>
    <w:p w:rsidR="007631AA" w:rsidRDefault="007631AA" w:rsidP="007631AA">
      <w:pPr>
        <w:pStyle w:val="ListParagraph"/>
        <w:tabs>
          <w:tab w:val="left" w:pos="709"/>
        </w:tabs>
        <w:spacing w:line="360" w:lineRule="auto"/>
        <w:ind w:left="0"/>
        <w:jc w:val="both"/>
        <w:rPr>
          <w:rFonts w:ascii="Arial" w:hAnsi="Arial" w:cs="Arial"/>
          <w:bCs/>
          <w:sz w:val="22"/>
          <w:szCs w:val="22"/>
          <w:lang w:val="en-GB"/>
        </w:rPr>
      </w:pPr>
      <w:r w:rsidRPr="00A20707">
        <w:rPr>
          <w:rFonts w:ascii="Arial" w:hAnsi="Arial" w:cs="Arial"/>
          <w:bCs/>
          <w:sz w:val="22"/>
          <w:szCs w:val="22"/>
          <w:lang w:val="en-GB"/>
        </w:rPr>
        <w:t>‘We have not performed an audit and accordingly we do not express an audit opinion.’</w:t>
      </w:r>
    </w:p>
    <w:p w:rsidR="002B0645" w:rsidRDefault="002B0645" w:rsidP="00D83D8C">
      <w:pPr>
        <w:pStyle w:val="ListParagraph"/>
        <w:tabs>
          <w:tab w:val="left" w:pos="709"/>
        </w:tabs>
        <w:spacing w:line="360" w:lineRule="auto"/>
        <w:ind w:left="0"/>
        <w:jc w:val="both"/>
        <w:rPr>
          <w:rFonts w:ascii="Arial" w:hAnsi="Arial" w:cs="Arial"/>
          <w:bCs/>
          <w:lang w:val="en-GB"/>
        </w:rPr>
      </w:pPr>
    </w:p>
    <w:p w:rsidR="00D83D8C" w:rsidRPr="00F42759" w:rsidRDefault="00F42759" w:rsidP="00F42759">
      <w:pPr>
        <w:tabs>
          <w:tab w:val="left" w:pos="709"/>
        </w:tabs>
        <w:spacing w:line="360" w:lineRule="auto"/>
        <w:jc w:val="both"/>
        <w:rPr>
          <w:rFonts w:ascii="Arial" w:hAnsi="Arial" w:cs="Arial"/>
          <w:bCs/>
          <w:lang w:val="en-GB"/>
        </w:rPr>
      </w:pPr>
      <w:r w:rsidRPr="00D83D8C">
        <w:rPr>
          <w:rFonts w:ascii="Arial" w:eastAsiaTheme="minorHAnsi" w:hAnsi="Arial" w:cs="Arial"/>
          <w:bCs/>
          <w:lang w:val="en-GB" w:eastAsia="en-US" w:bidi="ar-SA"/>
        </w:rPr>
        <w:t>[48]</w:t>
      </w:r>
      <w:r w:rsidRPr="00D83D8C">
        <w:rPr>
          <w:rFonts w:ascii="Arial" w:eastAsiaTheme="minorHAnsi" w:hAnsi="Arial" w:cs="Arial"/>
          <w:bCs/>
          <w:lang w:val="en-GB" w:eastAsia="en-US" w:bidi="ar-SA"/>
        </w:rPr>
        <w:tab/>
      </w:r>
      <w:r w:rsidR="002B0645" w:rsidRPr="00F42759">
        <w:rPr>
          <w:rFonts w:ascii="ArialMT" w:hAnsi="ArialMT"/>
        </w:rPr>
        <w:t xml:space="preserve">The obligation to furnish audited annual financial statements is found in </w:t>
      </w:r>
      <w:r w:rsidR="006F26B0" w:rsidRPr="00F42759">
        <w:rPr>
          <w:rFonts w:ascii="ArialMT" w:hAnsi="ArialMT"/>
        </w:rPr>
        <w:t>r</w:t>
      </w:r>
      <w:r w:rsidR="0003317E" w:rsidRPr="00F42759">
        <w:rPr>
          <w:rFonts w:ascii="ArialMT" w:hAnsi="ArialMT"/>
        </w:rPr>
        <w:t>egulation 21</w:t>
      </w:r>
      <w:r w:rsidR="00D04546" w:rsidRPr="00F42759">
        <w:rPr>
          <w:rFonts w:ascii="ArialMT" w:hAnsi="ArialMT"/>
          <w:i/>
        </w:rPr>
        <w:t>(d)</w:t>
      </w:r>
      <w:r w:rsidR="00D04546" w:rsidRPr="00F42759">
        <w:rPr>
          <w:rFonts w:ascii="ArialMT" w:hAnsi="ArialMT"/>
        </w:rPr>
        <w:t xml:space="preserve">(i) of </w:t>
      </w:r>
      <w:r w:rsidR="002B0645" w:rsidRPr="00F42759">
        <w:rPr>
          <w:rFonts w:ascii="ArialMT" w:hAnsi="ArialMT"/>
        </w:rPr>
        <w:t>the Municipal Supply Chain Management Regulations</w:t>
      </w:r>
      <w:r w:rsidR="0003317E" w:rsidRPr="00F42759">
        <w:rPr>
          <w:rFonts w:ascii="ArialMT" w:hAnsi="ArialMT"/>
        </w:rPr>
        <w:t>,</w:t>
      </w:r>
      <w:r w:rsidR="0003317E">
        <w:rPr>
          <w:rStyle w:val="FootnoteReference"/>
          <w:rFonts w:ascii="ArialMT" w:hAnsi="ArialMT"/>
        </w:rPr>
        <w:footnoteReference w:id="22"/>
      </w:r>
      <w:r w:rsidR="002B0645" w:rsidRPr="00F42759">
        <w:rPr>
          <w:rFonts w:ascii="ArialMT" w:hAnsi="ArialMT"/>
        </w:rPr>
        <w:t xml:space="preserve"> </w:t>
      </w:r>
      <w:r w:rsidR="00D04546" w:rsidRPr="00F42759">
        <w:rPr>
          <w:rFonts w:ascii="ArialMT" w:hAnsi="ArialMT"/>
        </w:rPr>
        <w:t>which</w:t>
      </w:r>
      <w:r w:rsidR="002B0645" w:rsidRPr="00F42759">
        <w:rPr>
          <w:rFonts w:ascii="ArialMT" w:hAnsi="ArialMT"/>
        </w:rPr>
        <w:t xml:space="preserve"> provides that: </w:t>
      </w:r>
    </w:p>
    <w:p w:rsidR="00D83D8C" w:rsidRDefault="00D83D8C" w:rsidP="00D83D8C">
      <w:pPr>
        <w:pStyle w:val="ListParagraph"/>
        <w:tabs>
          <w:tab w:val="left" w:pos="709"/>
        </w:tabs>
        <w:spacing w:line="360" w:lineRule="auto"/>
        <w:ind w:left="0"/>
        <w:jc w:val="both"/>
        <w:rPr>
          <w:rFonts w:asciiTheme="minorBidi" w:hAnsiTheme="minorBidi"/>
          <w:sz w:val="22"/>
          <w:szCs w:val="22"/>
          <w:lang w:bidi="yi-Hebr"/>
        </w:rPr>
      </w:pPr>
      <w:r>
        <w:rPr>
          <w:rFonts w:ascii="Arial" w:hAnsi="Arial" w:cs="Arial"/>
          <w:bCs/>
          <w:lang w:val="en-GB"/>
        </w:rPr>
        <w:t>‘</w:t>
      </w:r>
      <w:r w:rsidR="00B8097A">
        <w:rPr>
          <w:rFonts w:ascii="Arial" w:hAnsi="Arial" w:cs="Arial"/>
          <w:bCs/>
          <w:lang w:val="en-GB"/>
        </w:rPr>
        <w:t>(1)</w:t>
      </w:r>
      <w:r w:rsidR="00B8097A">
        <w:rPr>
          <w:rFonts w:ascii="Arial" w:hAnsi="Arial" w:cs="Arial"/>
          <w:bCs/>
          <w:lang w:val="en-GB"/>
        </w:rPr>
        <w:tab/>
      </w:r>
      <w:r w:rsidR="002B0645" w:rsidRPr="00D83D8C">
        <w:rPr>
          <w:rFonts w:asciiTheme="minorBidi" w:hAnsiTheme="minorBidi"/>
          <w:sz w:val="22"/>
          <w:szCs w:val="22"/>
          <w:lang w:bidi="yi-Hebr"/>
        </w:rPr>
        <w:t>A supply chain management policy must determine the criteria to which bid documentation for a competitive bidding process must comply, and state that in addition to regulation 13 the bid documentation must</w:t>
      </w:r>
      <w:r w:rsidR="00B8097A">
        <w:rPr>
          <w:rFonts w:asciiTheme="minorBidi" w:hAnsiTheme="minorBidi"/>
          <w:sz w:val="22"/>
          <w:szCs w:val="22"/>
          <w:lang w:bidi="yi-Hebr"/>
        </w:rPr>
        <w:t xml:space="preserve"> - </w:t>
      </w:r>
      <w:r w:rsidR="002B0645" w:rsidRPr="00D83D8C">
        <w:rPr>
          <w:rFonts w:asciiTheme="minorBidi" w:hAnsiTheme="minorBidi"/>
          <w:sz w:val="22"/>
          <w:szCs w:val="22"/>
          <w:lang w:bidi="yi-Hebr"/>
        </w:rPr>
        <w:t xml:space="preserve"> </w:t>
      </w:r>
    </w:p>
    <w:p w:rsidR="002B0645" w:rsidRPr="00D83D8C" w:rsidRDefault="002B0645" w:rsidP="00D83D8C">
      <w:pPr>
        <w:pStyle w:val="ListParagraph"/>
        <w:tabs>
          <w:tab w:val="left" w:pos="709"/>
        </w:tabs>
        <w:spacing w:line="360" w:lineRule="auto"/>
        <w:ind w:left="0"/>
        <w:jc w:val="both"/>
        <w:rPr>
          <w:rFonts w:asciiTheme="minorBidi" w:hAnsiTheme="minorBidi"/>
          <w:sz w:val="22"/>
          <w:szCs w:val="22"/>
          <w:lang w:bidi="yi-Hebr"/>
        </w:rPr>
      </w:pPr>
      <w:r w:rsidRPr="00D83D8C">
        <w:rPr>
          <w:rFonts w:asciiTheme="minorBidi" w:hAnsiTheme="minorBidi"/>
          <w:sz w:val="22"/>
          <w:szCs w:val="22"/>
          <w:lang w:bidi="yi-Hebr"/>
        </w:rPr>
        <w:t xml:space="preserve">... </w:t>
      </w:r>
    </w:p>
    <w:p w:rsidR="00D83D8C" w:rsidRDefault="002B0645" w:rsidP="0070310F">
      <w:pPr>
        <w:tabs>
          <w:tab w:val="left" w:pos="709"/>
        </w:tabs>
        <w:spacing w:line="360" w:lineRule="auto"/>
        <w:ind w:left="709" w:hanging="709"/>
        <w:jc w:val="both"/>
        <w:rPr>
          <w:rFonts w:asciiTheme="minorBidi" w:hAnsiTheme="minorBidi"/>
          <w:sz w:val="22"/>
          <w:szCs w:val="22"/>
        </w:rPr>
      </w:pPr>
      <w:r w:rsidRPr="00D83D8C">
        <w:rPr>
          <w:rFonts w:asciiTheme="minorBidi" w:hAnsiTheme="minorBidi"/>
          <w:sz w:val="22"/>
          <w:szCs w:val="22"/>
        </w:rPr>
        <w:t>(</w:t>
      </w:r>
      <w:r w:rsidRPr="00D83D8C">
        <w:rPr>
          <w:rFonts w:asciiTheme="minorBidi" w:hAnsiTheme="minorBidi"/>
          <w:i/>
          <w:iCs/>
          <w:sz w:val="22"/>
          <w:szCs w:val="22"/>
        </w:rPr>
        <w:t>d</w:t>
      </w:r>
      <w:r w:rsidRPr="00D83D8C">
        <w:rPr>
          <w:rFonts w:asciiTheme="minorBidi" w:hAnsiTheme="minorBidi"/>
          <w:sz w:val="22"/>
          <w:szCs w:val="22"/>
        </w:rPr>
        <w:t xml:space="preserve">) </w:t>
      </w:r>
      <w:r w:rsidR="00D83D8C">
        <w:rPr>
          <w:rFonts w:asciiTheme="minorBidi" w:hAnsiTheme="minorBidi"/>
          <w:sz w:val="22"/>
          <w:szCs w:val="22"/>
        </w:rPr>
        <w:tab/>
      </w:r>
      <w:r w:rsidRPr="00D83D8C">
        <w:rPr>
          <w:rFonts w:asciiTheme="minorBidi" w:hAnsiTheme="minorBidi"/>
          <w:sz w:val="22"/>
          <w:szCs w:val="22"/>
        </w:rPr>
        <w:t>If the value of the transaction is expected to exceed R10 million (VAT included), require bidders to furnish</w:t>
      </w:r>
      <w:r w:rsidR="00D83D8C">
        <w:rPr>
          <w:rFonts w:asciiTheme="minorBidi" w:hAnsiTheme="minorBidi"/>
          <w:sz w:val="22"/>
          <w:szCs w:val="22"/>
        </w:rPr>
        <w:t xml:space="preserve"> -</w:t>
      </w:r>
    </w:p>
    <w:p w:rsidR="002B0645" w:rsidRPr="00D83D8C" w:rsidRDefault="002B0645" w:rsidP="0070310F">
      <w:pPr>
        <w:tabs>
          <w:tab w:val="left" w:pos="709"/>
        </w:tabs>
        <w:spacing w:line="360" w:lineRule="auto"/>
        <w:ind w:left="709"/>
        <w:jc w:val="both"/>
        <w:rPr>
          <w:rFonts w:asciiTheme="minorBidi" w:hAnsiTheme="minorBidi"/>
          <w:sz w:val="22"/>
          <w:szCs w:val="22"/>
        </w:rPr>
      </w:pPr>
      <w:r w:rsidRPr="00D83D8C">
        <w:rPr>
          <w:rFonts w:asciiTheme="minorBidi" w:hAnsiTheme="minorBidi"/>
          <w:sz w:val="22"/>
          <w:szCs w:val="22"/>
        </w:rPr>
        <w:t xml:space="preserve">(i) </w:t>
      </w:r>
      <w:r w:rsidR="00D83D8C">
        <w:rPr>
          <w:rFonts w:asciiTheme="minorBidi" w:hAnsiTheme="minorBidi"/>
          <w:sz w:val="22"/>
          <w:szCs w:val="22"/>
        </w:rPr>
        <w:tab/>
      </w:r>
      <w:r w:rsidRPr="00D83D8C">
        <w:rPr>
          <w:rFonts w:asciiTheme="minorBidi" w:hAnsiTheme="minorBidi"/>
          <w:sz w:val="22"/>
          <w:szCs w:val="22"/>
        </w:rPr>
        <w:t xml:space="preserve">if the bidder is required by law to prepare annual financial statements for auditing, their audited </w:t>
      </w:r>
      <w:r w:rsidR="00B8097A">
        <w:rPr>
          <w:rFonts w:asciiTheme="minorBidi" w:hAnsiTheme="minorBidi"/>
          <w:sz w:val="22"/>
          <w:szCs w:val="22"/>
        </w:rPr>
        <w:t xml:space="preserve">annual </w:t>
      </w:r>
      <w:r w:rsidRPr="00D83D8C">
        <w:rPr>
          <w:rFonts w:asciiTheme="minorBidi" w:hAnsiTheme="minorBidi"/>
          <w:sz w:val="22"/>
          <w:szCs w:val="22"/>
        </w:rPr>
        <w:t xml:space="preserve">financial statements – </w:t>
      </w:r>
    </w:p>
    <w:p w:rsidR="00D83D8C" w:rsidRDefault="002B0645" w:rsidP="0070310F">
      <w:pPr>
        <w:tabs>
          <w:tab w:val="left" w:pos="709"/>
        </w:tabs>
        <w:spacing w:line="360" w:lineRule="auto"/>
        <w:ind w:left="1418"/>
        <w:jc w:val="both"/>
        <w:rPr>
          <w:rFonts w:asciiTheme="minorBidi" w:hAnsiTheme="minorBidi"/>
          <w:sz w:val="22"/>
          <w:szCs w:val="22"/>
        </w:rPr>
      </w:pPr>
      <w:r w:rsidRPr="00D83D8C">
        <w:rPr>
          <w:rFonts w:asciiTheme="minorBidi" w:hAnsiTheme="minorBidi"/>
          <w:sz w:val="22"/>
          <w:szCs w:val="22"/>
        </w:rPr>
        <w:t>(</w:t>
      </w:r>
      <w:r w:rsidRPr="00D83D8C">
        <w:rPr>
          <w:rFonts w:asciiTheme="minorBidi" w:hAnsiTheme="minorBidi"/>
          <w:i/>
          <w:iCs/>
          <w:sz w:val="22"/>
          <w:szCs w:val="22"/>
        </w:rPr>
        <w:t>aa</w:t>
      </w:r>
      <w:r w:rsidRPr="00D83D8C">
        <w:rPr>
          <w:rFonts w:asciiTheme="minorBidi" w:hAnsiTheme="minorBidi"/>
          <w:sz w:val="22"/>
          <w:szCs w:val="22"/>
        </w:rPr>
        <w:t xml:space="preserve">) </w:t>
      </w:r>
      <w:r w:rsidR="00D83D8C">
        <w:rPr>
          <w:rFonts w:asciiTheme="minorBidi" w:hAnsiTheme="minorBidi"/>
          <w:sz w:val="22"/>
          <w:szCs w:val="22"/>
        </w:rPr>
        <w:tab/>
      </w:r>
      <w:r w:rsidRPr="00D83D8C">
        <w:rPr>
          <w:rFonts w:asciiTheme="minorBidi" w:hAnsiTheme="minorBidi"/>
          <w:sz w:val="22"/>
          <w:szCs w:val="22"/>
        </w:rPr>
        <w:t>for the past three years; or</w:t>
      </w:r>
    </w:p>
    <w:p w:rsidR="002B0645" w:rsidRPr="00D83D8C" w:rsidRDefault="00D83D8C" w:rsidP="0070310F">
      <w:pPr>
        <w:spacing w:line="360" w:lineRule="auto"/>
        <w:ind w:left="1418"/>
        <w:jc w:val="both"/>
        <w:rPr>
          <w:rFonts w:asciiTheme="minorBidi" w:hAnsiTheme="minorBidi"/>
          <w:sz w:val="22"/>
          <w:szCs w:val="22"/>
        </w:rPr>
      </w:pPr>
      <w:r w:rsidRPr="0070310F">
        <w:rPr>
          <w:rFonts w:asciiTheme="minorBidi" w:hAnsiTheme="minorBidi"/>
          <w:i/>
          <w:sz w:val="22"/>
          <w:szCs w:val="22"/>
        </w:rPr>
        <w:t>(bb)</w:t>
      </w:r>
      <w:r w:rsidRPr="0070310F">
        <w:rPr>
          <w:rFonts w:asciiTheme="minorBidi" w:hAnsiTheme="minorBidi"/>
          <w:i/>
          <w:sz w:val="22"/>
          <w:szCs w:val="22"/>
        </w:rPr>
        <w:tab/>
      </w:r>
      <w:r w:rsidR="002B0645" w:rsidRPr="00D83D8C">
        <w:rPr>
          <w:rFonts w:asciiTheme="minorBidi" w:hAnsiTheme="minorBidi"/>
          <w:sz w:val="22"/>
          <w:szCs w:val="22"/>
        </w:rPr>
        <w:t>since their establishment if established during the past three years</w:t>
      </w:r>
      <w:r w:rsidR="0070310F">
        <w:rPr>
          <w:rFonts w:asciiTheme="minorBidi" w:hAnsiTheme="minorBidi"/>
          <w:sz w:val="22"/>
          <w:szCs w:val="22"/>
        </w:rPr>
        <w:t>..</w:t>
      </w:r>
      <w:r w:rsidR="002B0645" w:rsidRPr="00D83D8C">
        <w:rPr>
          <w:rFonts w:asciiTheme="minorBidi" w:hAnsiTheme="minorBidi"/>
          <w:sz w:val="22"/>
          <w:szCs w:val="22"/>
        </w:rPr>
        <w:t xml:space="preserve">.' </w:t>
      </w:r>
    </w:p>
    <w:p w:rsidR="002B0645" w:rsidRPr="002B0645" w:rsidRDefault="002B0645" w:rsidP="00D83D8C">
      <w:pPr>
        <w:pStyle w:val="ListParagraph"/>
        <w:spacing w:line="360" w:lineRule="auto"/>
        <w:rPr>
          <w:rFonts w:ascii="Arial" w:hAnsi="Arial" w:cs="Arial"/>
          <w:bCs/>
          <w:lang w:val="en-GB"/>
        </w:rPr>
      </w:pPr>
    </w:p>
    <w:p w:rsidR="00D04546" w:rsidRPr="00F42759" w:rsidRDefault="00F42759" w:rsidP="00F42759">
      <w:pPr>
        <w:tabs>
          <w:tab w:val="left" w:pos="709"/>
        </w:tabs>
        <w:spacing w:line="360" w:lineRule="auto"/>
        <w:jc w:val="both"/>
        <w:rPr>
          <w:rFonts w:ascii="Arial" w:hAnsi="Arial" w:cs="Arial"/>
          <w:bCs/>
          <w:lang w:val="en-GB"/>
        </w:rPr>
      </w:pPr>
      <w:r>
        <w:rPr>
          <w:rFonts w:ascii="Arial" w:eastAsiaTheme="minorHAnsi" w:hAnsi="Arial" w:cs="Arial"/>
          <w:bCs/>
          <w:lang w:val="en-GB" w:eastAsia="en-US" w:bidi="ar-SA"/>
        </w:rPr>
        <w:t>[49]</w:t>
      </w:r>
      <w:r>
        <w:rPr>
          <w:rFonts w:ascii="Arial" w:eastAsiaTheme="minorHAnsi" w:hAnsi="Arial" w:cs="Arial"/>
          <w:bCs/>
          <w:lang w:val="en-GB" w:eastAsia="en-US" w:bidi="ar-SA"/>
        </w:rPr>
        <w:tab/>
      </w:r>
      <w:r w:rsidR="00D04546" w:rsidRPr="00F42759">
        <w:rPr>
          <w:rFonts w:ascii="Arial" w:hAnsi="Arial" w:cs="Arial"/>
          <w:bCs/>
          <w:lang w:val="en-GB"/>
        </w:rPr>
        <w:t>The positive averment in the second bid document that the applicant was in law required to produce financial statements and its failure to do so</w:t>
      </w:r>
      <w:r w:rsidR="00733053" w:rsidRPr="00F42759">
        <w:rPr>
          <w:rFonts w:ascii="Arial" w:hAnsi="Arial" w:cs="Arial"/>
          <w:bCs/>
          <w:lang w:val="en-GB"/>
        </w:rPr>
        <w:t xml:space="preserve">, </w:t>
      </w:r>
      <w:r w:rsidR="00D04546" w:rsidRPr="00F42759">
        <w:rPr>
          <w:rFonts w:ascii="Arial" w:hAnsi="Arial" w:cs="Arial"/>
          <w:bCs/>
          <w:lang w:val="en-GB"/>
        </w:rPr>
        <w:t>again</w:t>
      </w:r>
      <w:r w:rsidR="00733053" w:rsidRPr="00F42759">
        <w:rPr>
          <w:rFonts w:ascii="Arial" w:hAnsi="Arial" w:cs="Arial"/>
          <w:bCs/>
          <w:lang w:val="en-GB"/>
        </w:rPr>
        <w:t>,</w:t>
      </w:r>
      <w:r w:rsidR="00D04546" w:rsidRPr="00F42759">
        <w:rPr>
          <w:rFonts w:ascii="Arial" w:hAnsi="Arial" w:cs="Arial"/>
          <w:bCs/>
          <w:lang w:val="en-GB"/>
        </w:rPr>
        <w:t xml:space="preserve"> rendered the bid non-responsive. The bid should have </w:t>
      </w:r>
      <w:r w:rsidR="00012C11" w:rsidRPr="00F42759">
        <w:rPr>
          <w:rFonts w:ascii="Arial" w:hAnsi="Arial" w:cs="Arial"/>
          <w:bCs/>
          <w:lang w:val="en-GB"/>
        </w:rPr>
        <w:t>progressed no further.</w:t>
      </w:r>
    </w:p>
    <w:p w:rsidR="007A4448" w:rsidRDefault="007A4448" w:rsidP="007A4448">
      <w:pPr>
        <w:pStyle w:val="ListParagraph"/>
        <w:tabs>
          <w:tab w:val="left" w:pos="709"/>
        </w:tabs>
        <w:spacing w:line="360" w:lineRule="auto"/>
        <w:ind w:left="0"/>
        <w:jc w:val="both"/>
        <w:rPr>
          <w:rFonts w:ascii="Arial" w:hAnsi="Arial" w:cs="Arial"/>
          <w:bCs/>
          <w:lang w:val="en-GB"/>
        </w:rPr>
      </w:pPr>
    </w:p>
    <w:p w:rsidR="007A4448" w:rsidRPr="00F42759" w:rsidRDefault="00F42759" w:rsidP="00F42759">
      <w:pPr>
        <w:tabs>
          <w:tab w:val="left" w:pos="709"/>
        </w:tabs>
        <w:spacing w:line="360" w:lineRule="auto"/>
        <w:jc w:val="both"/>
        <w:rPr>
          <w:rFonts w:ascii="Arial" w:hAnsi="Arial" w:cs="Arial"/>
          <w:bCs/>
          <w:lang w:val="en-GB"/>
        </w:rPr>
      </w:pPr>
      <w:r>
        <w:rPr>
          <w:rFonts w:ascii="Arial" w:eastAsiaTheme="minorHAnsi" w:hAnsi="Arial" w:cs="Arial"/>
          <w:bCs/>
          <w:lang w:val="en-GB" w:eastAsia="en-US" w:bidi="ar-SA"/>
        </w:rPr>
        <w:t>[50]</w:t>
      </w:r>
      <w:r>
        <w:rPr>
          <w:rFonts w:ascii="Arial" w:eastAsiaTheme="minorHAnsi" w:hAnsi="Arial" w:cs="Arial"/>
          <w:bCs/>
          <w:lang w:val="en-GB" w:eastAsia="en-US" w:bidi="ar-SA"/>
        </w:rPr>
        <w:tab/>
      </w:r>
      <w:r w:rsidR="00F80F19" w:rsidRPr="00F42759">
        <w:rPr>
          <w:rFonts w:ascii="Arial" w:hAnsi="Arial" w:cs="Arial"/>
          <w:bCs/>
          <w:lang w:val="en-GB"/>
        </w:rPr>
        <w:t xml:space="preserve">Before proceeding to the next ground, something needs to be said about the content of the financial statements. </w:t>
      </w:r>
      <w:r w:rsidR="00012C11" w:rsidRPr="00F42759">
        <w:rPr>
          <w:rFonts w:ascii="Arial" w:hAnsi="Arial" w:cs="Arial"/>
          <w:bCs/>
          <w:lang w:val="en-GB"/>
        </w:rPr>
        <w:t>It appears that the bid evaluation committee paid no attention to th</w:t>
      </w:r>
      <w:r w:rsidR="00187341" w:rsidRPr="00F42759">
        <w:rPr>
          <w:rFonts w:ascii="Arial" w:hAnsi="Arial" w:cs="Arial"/>
          <w:bCs/>
          <w:lang w:val="en-GB"/>
        </w:rPr>
        <w:t>is</w:t>
      </w:r>
      <w:r w:rsidR="00012C11" w:rsidRPr="00F42759">
        <w:rPr>
          <w:rFonts w:ascii="Arial" w:hAnsi="Arial" w:cs="Arial"/>
          <w:bCs/>
          <w:lang w:val="en-GB"/>
        </w:rPr>
        <w:t xml:space="preserve">. Had </w:t>
      </w:r>
      <w:r w:rsidR="00FB4760" w:rsidRPr="00F42759">
        <w:rPr>
          <w:rFonts w:ascii="Arial" w:hAnsi="Arial" w:cs="Arial"/>
          <w:bCs/>
          <w:lang w:val="en-GB"/>
        </w:rPr>
        <w:t>it</w:t>
      </w:r>
      <w:r w:rsidR="00012C11" w:rsidRPr="00F42759">
        <w:rPr>
          <w:rFonts w:ascii="Arial" w:hAnsi="Arial" w:cs="Arial"/>
          <w:bCs/>
          <w:lang w:val="en-GB"/>
        </w:rPr>
        <w:t xml:space="preserve"> done so, </w:t>
      </w:r>
      <w:r w:rsidR="00FB4760" w:rsidRPr="00F42759">
        <w:rPr>
          <w:rFonts w:ascii="Arial" w:hAnsi="Arial" w:cs="Arial"/>
          <w:bCs/>
          <w:lang w:val="en-GB"/>
        </w:rPr>
        <w:t>i</w:t>
      </w:r>
      <w:r w:rsidR="00012C11" w:rsidRPr="00F42759">
        <w:rPr>
          <w:rFonts w:ascii="Arial" w:hAnsi="Arial" w:cs="Arial"/>
          <w:bCs/>
          <w:lang w:val="en-GB"/>
        </w:rPr>
        <w:t xml:space="preserve">t may have been startled by what is contained therein, particularly given the context of a tender bid. </w:t>
      </w:r>
      <w:r w:rsidR="00FB4760" w:rsidRPr="00F42759">
        <w:rPr>
          <w:rFonts w:ascii="Arial" w:hAnsi="Arial" w:cs="Arial"/>
          <w:bCs/>
          <w:lang w:val="en-GB"/>
        </w:rPr>
        <w:t xml:space="preserve">The three </w:t>
      </w:r>
      <w:r w:rsidR="00ED45E5" w:rsidRPr="00F42759">
        <w:rPr>
          <w:rFonts w:ascii="Arial" w:hAnsi="Arial" w:cs="Arial"/>
          <w:bCs/>
          <w:lang w:val="en-GB"/>
        </w:rPr>
        <w:t>years</w:t>
      </w:r>
      <w:r w:rsidR="00FB4760" w:rsidRPr="00F42759">
        <w:rPr>
          <w:rFonts w:ascii="Arial" w:hAnsi="Arial" w:cs="Arial"/>
          <w:bCs/>
          <w:lang w:val="en-GB"/>
        </w:rPr>
        <w:t xml:space="preserve"> of annual statements are virtually identical</w:t>
      </w:r>
      <w:r w:rsidR="00733053" w:rsidRPr="00F42759">
        <w:rPr>
          <w:rFonts w:ascii="Arial" w:hAnsi="Arial" w:cs="Arial"/>
          <w:bCs/>
          <w:lang w:val="en-GB"/>
        </w:rPr>
        <w:t xml:space="preserve">. </w:t>
      </w:r>
      <w:r w:rsidR="00FB4760" w:rsidRPr="00F42759">
        <w:rPr>
          <w:rFonts w:ascii="Arial" w:hAnsi="Arial" w:cs="Arial"/>
          <w:bCs/>
          <w:lang w:val="en-GB"/>
        </w:rPr>
        <w:t>Where information is lacking in one, it is lacking in the other two</w:t>
      </w:r>
      <w:r w:rsidR="00733053" w:rsidRPr="00F42759">
        <w:rPr>
          <w:rFonts w:ascii="Arial" w:hAnsi="Arial" w:cs="Arial"/>
          <w:bCs/>
          <w:lang w:val="en-GB"/>
        </w:rPr>
        <w:t>.</w:t>
      </w:r>
      <w:r w:rsidR="00FB4760">
        <w:rPr>
          <w:rStyle w:val="FootnoteReference"/>
          <w:rFonts w:ascii="Arial" w:hAnsi="Arial" w:cs="Arial"/>
          <w:bCs/>
          <w:lang w:val="en-GB"/>
        </w:rPr>
        <w:footnoteReference w:id="23"/>
      </w:r>
      <w:r w:rsidR="00FB4760" w:rsidRPr="00F42759">
        <w:rPr>
          <w:rFonts w:ascii="Arial" w:hAnsi="Arial" w:cs="Arial"/>
          <w:bCs/>
          <w:lang w:val="en-GB"/>
        </w:rPr>
        <w:t xml:space="preserve"> </w:t>
      </w:r>
      <w:r w:rsidR="00D60869" w:rsidRPr="00F42759">
        <w:rPr>
          <w:rFonts w:ascii="Arial" w:hAnsi="Arial" w:cs="Arial"/>
          <w:bCs/>
          <w:lang w:val="en-GB"/>
        </w:rPr>
        <w:t xml:space="preserve">I have compared </w:t>
      </w:r>
      <w:r w:rsidR="00733053" w:rsidRPr="00F42759">
        <w:rPr>
          <w:rFonts w:ascii="Arial" w:hAnsi="Arial" w:cs="Arial"/>
          <w:bCs/>
          <w:lang w:val="en-GB"/>
        </w:rPr>
        <w:t xml:space="preserve">the financial statements for </w:t>
      </w:r>
      <w:r w:rsidR="00D60869" w:rsidRPr="00F42759">
        <w:rPr>
          <w:rFonts w:ascii="Arial" w:hAnsi="Arial" w:cs="Arial"/>
          <w:bCs/>
          <w:lang w:val="en-GB"/>
        </w:rPr>
        <w:t xml:space="preserve">each of the three years and the financial information contained in all three </w:t>
      </w:r>
      <w:r w:rsidR="00C66237" w:rsidRPr="00F42759">
        <w:rPr>
          <w:rFonts w:ascii="Arial" w:hAnsi="Arial" w:cs="Arial"/>
          <w:bCs/>
          <w:lang w:val="en-GB"/>
        </w:rPr>
        <w:t xml:space="preserve">annual </w:t>
      </w:r>
      <w:r w:rsidR="00184EDC" w:rsidRPr="00F42759">
        <w:rPr>
          <w:rFonts w:ascii="Arial" w:hAnsi="Arial" w:cs="Arial"/>
          <w:bCs/>
          <w:lang w:val="en-GB"/>
        </w:rPr>
        <w:t xml:space="preserve">financial statements </w:t>
      </w:r>
      <w:r w:rsidR="00D60869" w:rsidRPr="00F42759">
        <w:rPr>
          <w:rFonts w:ascii="Arial" w:hAnsi="Arial" w:cs="Arial"/>
          <w:bCs/>
          <w:lang w:val="en-GB"/>
        </w:rPr>
        <w:t>is identical</w:t>
      </w:r>
      <w:r w:rsidR="00B71713" w:rsidRPr="00F42759">
        <w:rPr>
          <w:rFonts w:ascii="Arial" w:hAnsi="Arial" w:cs="Arial"/>
          <w:bCs/>
          <w:lang w:val="en-GB"/>
        </w:rPr>
        <w:t xml:space="preserve"> for every year</w:t>
      </w:r>
      <w:r w:rsidR="00D60869" w:rsidRPr="00F42759">
        <w:rPr>
          <w:rFonts w:ascii="Arial" w:hAnsi="Arial" w:cs="Arial"/>
          <w:bCs/>
          <w:lang w:val="en-GB"/>
        </w:rPr>
        <w:t xml:space="preserve">. </w:t>
      </w:r>
      <w:r w:rsidR="00C66237" w:rsidRPr="00F42759">
        <w:rPr>
          <w:rFonts w:ascii="Arial" w:hAnsi="Arial" w:cs="Arial"/>
          <w:bCs/>
          <w:lang w:val="en-GB"/>
        </w:rPr>
        <w:t>The only value that is expressed is that relating to ‘Property plant equipment’</w:t>
      </w:r>
      <w:r w:rsidR="00733053" w:rsidRPr="00F42759">
        <w:rPr>
          <w:rFonts w:ascii="Arial" w:hAnsi="Arial" w:cs="Arial"/>
          <w:bCs/>
          <w:lang w:val="en-GB"/>
        </w:rPr>
        <w:t>,</w:t>
      </w:r>
      <w:r w:rsidR="00C66237" w:rsidRPr="00F42759">
        <w:rPr>
          <w:rFonts w:ascii="Arial" w:hAnsi="Arial" w:cs="Arial"/>
          <w:bCs/>
          <w:lang w:val="en-GB"/>
        </w:rPr>
        <w:t xml:space="preserve"> where the value is recorded as ‘R2 100 000’. </w:t>
      </w:r>
      <w:r w:rsidR="00ED45E5" w:rsidRPr="00F42759">
        <w:rPr>
          <w:rFonts w:ascii="Arial" w:hAnsi="Arial" w:cs="Arial"/>
          <w:bCs/>
          <w:lang w:val="en-GB"/>
        </w:rPr>
        <w:t xml:space="preserve">This figure </w:t>
      </w:r>
      <w:r w:rsidR="00733053" w:rsidRPr="00F42759">
        <w:rPr>
          <w:rFonts w:ascii="Arial" w:hAnsi="Arial" w:cs="Arial"/>
          <w:bCs/>
          <w:lang w:val="en-GB"/>
        </w:rPr>
        <w:t>also</w:t>
      </w:r>
      <w:r w:rsidR="00ED45E5" w:rsidRPr="00F42759">
        <w:rPr>
          <w:rFonts w:ascii="Arial" w:hAnsi="Arial" w:cs="Arial"/>
          <w:bCs/>
          <w:lang w:val="en-GB"/>
        </w:rPr>
        <w:t xml:space="preserve"> appears as being ‘Equity attributable to owners’ and as ‘Share capital’. </w:t>
      </w:r>
      <w:r w:rsidR="00C66237" w:rsidRPr="00F42759">
        <w:rPr>
          <w:rFonts w:ascii="Arial" w:hAnsi="Arial" w:cs="Arial"/>
          <w:bCs/>
          <w:lang w:val="en-GB"/>
        </w:rPr>
        <w:t xml:space="preserve">In all other respects, without exception, the figure appearing in the statements is ‘0.00’. Thus, </w:t>
      </w:r>
      <w:r w:rsidR="00ED45E5" w:rsidRPr="00F42759">
        <w:rPr>
          <w:rFonts w:ascii="Arial" w:hAnsi="Arial" w:cs="Arial"/>
          <w:bCs/>
          <w:lang w:val="en-GB"/>
        </w:rPr>
        <w:t>t</w:t>
      </w:r>
      <w:r w:rsidR="00C66237" w:rsidRPr="00F42759">
        <w:rPr>
          <w:rFonts w:ascii="Arial" w:hAnsi="Arial" w:cs="Arial"/>
          <w:bCs/>
          <w:lang w:val="en-GB"/>
        </w:rPr>
        <w:t>he applicant has no cash, no trade and other</w:t>
      </w:r>
      <w:r w:rsidR="00ED45E5" w:rsidRPr="00F42759">
        <w:rPr>
          <w:rFonts w:ascii="Arial" w:hAnsi="Arial" w:cs="Arial"/>
          <w:bCs/>
          <w:lang w:val="en-GB"/>
        </w:rPr>
        <w:t xml:space="preserve"> receivables, no revenue, made no gross profit (nor an operating profit) and its profit for the year was ‘0.00’. Its total comprehensive income for </w:t>
      </w:r>
      <w:r w:rsidR="007F53B5" w:rsidRPr="00F42759">
        <w:rPr>
          <w:rFonts w:ascii="Arial" w:hAnsi="Arial" w:cs="Arial"/>
          <w:bCs/>
          <w:lang w:val="en-GB"/>
        </w:rPr>
        <w:t xml:space="preserve">each of the three </w:t>
      </w:r>
      <w:r w:rsidR="00ED45E5" w:rsidRPr="00F42759">
        <w:rPr>
          <w:rFonts w:ascii="Arial" w:hAnsi="Arial" w:cs="Arial"/>
          <w:bCs/>
          <w:lang w:val="en-GB"/>
        </w:rPr>
        <w:t>year</w:t>
      </w:r>
      <w:r w:rsidR="007F53B5" w:rsidRPr="00F42759">
        <w:rPr>
          <w:rFonts w:ascii="Arial" w:hAnsi="Arial" w:cs="Arial"/>
          <w:bCs/>
          <w:lang w:val="en-GB"/>
        </w:rPr>
        <w:t>s</w:t>
      </w:r>
      <w:r w:rsidR="00ED45E5" w:rsidRPr="00F42759">
        <w:rPr>
          <w:rFonts w:ascii="Arial" w:hAnsi="Arial" w:cs="Arial"/>
          <w:bCs/>
          <w:lang w:val="en-GB"/>
        </w:rPr>
        <w:t xml:space="preserve"> was, not surprisingly, ‘0.00’</w:t>
      </w:r>
      <w:r w:rsidR="00733053" w:rsidRPr="00F42759">
        <w:rPr>
          <w:rFonts w:ascii="Arial" w:hAnsi="Arial" w:cs="Arial"/>
          <w:bCs/>
          <w:lang w:val="en-GB"/>
        </w:rPr>
        <w:t>. Finally, the financial statements are in</w:t>
      </w:r>
      <w:r w:rsidR="00F12A52" w:rsidRPr="00F42759">
        <w:rPr>
          <w:rFonts w:ascii="Arial" w:hAnsi="Arial" w:cs="Arial"/>
          <w:bCs/>
          <w:lang w:val="en-GB"/>
        </w:rPr>
        <w:t>complete. T</w:t>
      </w:r>
      <w:r w:rsidR="00F80F19" w:rsidRPr="00F42759">
        <w:rPr>
          <w:rFonts w:ascii="Arial" w:hAnsi="Arial" w:cs="Arial"/>
          <w:bCs/>
          <w:lang w:val="en-GB"/>
        </w:rPr>
        <w:t xml:space="preserve">he compiler </w:t>
      </w:r>
      <w:r w:rsidR="00F12A52" w:rsidRPr="00F42759">
        <w:rPr>
          <w:rFonts w:ascii="Arial" w:hAnsi="Arial" w:cs="Arial"/>
          <w:bCs/>
          <w:lang w:val="en-GB"/>
        </w:rPr>
        <w:t>thereof</w:t>
      </w:r>
      <w:r w:rsidR="00F80F19" w:rsidRPr="00F42759">
        <w:rPr>
          <w:rFonts w:ascii="Arial" w:hAnsi="Arial" w:cs="Arial"/>
          <w:bCs/>
          <w:lang w:val="en-GB"/>
        </w:rPr>
        <w:t xml:space="preserve"> has placed numbers next to certain entries</w:t>
      </w:r>
      <w:r w:rsidR="00F12A52" w:rsidRPr="00F42759">
        <w:rPr>
          <w:rFonts w:ascii="Arial" w:hAnsi="Arial" w:cs="Arial"/>
          <w:bCs/>
          <w:lang w:val="en-GB"/>
        </w:rPr>
        <w:t>.</w:t>
      </w:r>
      <w:r w:rsidR="00F80F19" w:rsidRPr="00F42759">
        <w:rPr>
          <w:rFonts w:ascii="Arial" w:hAnsi="Arial" w:cs="Arial"/>
          <w:bCs/>
          <w:lang w:val="en-GB"/>
        </w:rPr>
        <w:t xml:space="preserve"> Those numbers indicate a reference to a specific note. </w:t>
      </w:r>
      <w:r w:rsidR="007A4448" w:rsidRPr="00F42759">
        <w:rPr>
          <w:rFonts w:ascii="Arial" w:hAnsi="Arial" w:cs="Arial"/>
          <w:color w:val="202124"/>
          <w:shd w:val="clear" w:color="auto" w:fill="FFFFFF"/>
        </w:rPr>
        <w:t xml:space="preserve">Notes in financial statements perform the function of explaining assumptions </w:t>
      </w:r>
      <w:r w:rsidR="00F12A52" w:rsidRPr="00F42759">
        <w:rPr>
          <w:rFonts w:ascii="Arial" w:hAnsi="Arial" w:cs="Arial"/>
          <w:color w:val="202124"/>
          <w:shd w:val="clear" w:color="auto" w:fill="FFFFFF"/>
        </w:rPr>
        <w:t>used</w:t>
      </w:r>
      <w:r w:rsidR="00F12A52" w:rsidRPr="00F42759">
        <w:rPr>
          <w:rStyle w:val="apple-converted-space"/>
          <w:rFonts w:ascii="Arial" w:hAnsi="Arial" w:cs="Arial"/>
          <w:color w:val="202124"/>
          <w:shd w:val="clear" w:color="auto" w:fill="FFFFFF"/>
        </w:rPr>
        <w:t> </w:t>
      </w:r>
      <w:r w:rsidR="00F12A52" w:rsidRPr="00F42759">
        <w:rPr>
          <w:rFonts w:ascii="Arial" w:hAnsi="Arial" w:cs="Arial"/>
          <w:color w:val="040C28"/>
        </w:rPr>
        <w:t>to prepare the numbers in the financial statements as well as the accounting policies adopted by the company</w:t>
      </w:r>
      <w:r w:rsidR="00F12A52" w:rsidRPr="00F42759">
        <w:rPr>
          <w:rFonts w:ascii="Arial" w:hAnsi="Arial" w:cs="Arial"/>
          <w:color w:val="202124"/>
          <w:shd w:val="clear" w:color="auto" w:fill="FFFFFF"/>
        </w:rPr>
        <w:t>.</w:t>
      </w:r>
      <w:r w:rsidR="007A4448" w:rsidRPr="00F42759">
        <w:rPr>
          <w:rFonts w:ascii="Arial" w:hAnsi="Arial" w:cs="Arial"/>
          <w:bCs/>
          <w:lang w:val="en-GB"/>
        </w:rPr>
        <w:t xml:space="preserve"> </w:t>
      </w:r>
      <w:r w:rsidR="00F80F19" w:rsidRPr="00F42759">
        <w:rPr>
          <w:rFonts w:ascii="Arial" w:hAnsi="Arial" w:cs="Arial"/>
          <w:bCs/>
          <w:lang w:val="en-GB"/>
        </w:rPr>
        <w:t xml:space="preserve">Each financial statement commences with </w:t>
      </w:r>
      <w:r w:rsidR="007A4448" w:rsidRPr="00F42759">
        <w:rPr>
          <w:rFonts w:ascii="Arial" w:hAnsi="Arial" w:cs="Arial"/>
          <w:bCs/>
          <w:lang w:val="en-GB"/>
        </w:rPr>
        <w:t xml:space="preserve">a </w:t>
      </w:r>
      <w:r w:rsidR="00F80F19" w:rsidRPr="00F42759">
        <w:rPr>
          <w:rFonts w:ascii="Arial" w:hAnsi="Arial" w:cs="Arial"/>
          <w:bCs/>
          <w:lang w:val="en-GB"/>
        </w:rPr>
        <w:t xml:space="preserve">note 2 and ends with </w:t>
      </w:r>
      <w:r w:rsidR="007A4448" w:rsidRPr="00F42759">
        <w:rPr>
          <w:rFonts w:ascii="Arial" w:hAnsi="Arial" w:cs="Arial"/>
          <w:bCs/>
          <w:lang w:val="en-GB"/>
        </w:rPr>
        <w:t xml:space="preserve">a </w:t>
      </w:r>
      <w:r w:rsidR="00F80F19" w:rsidRPr="00F42759">
        <w:rPr>
          <w:rFonts w:ascii="Arial" w:hAnsi="Arial" w:cs="Arial"/>
          <w:bCs/>
          <w:lang w:val="en-GB"/>
        </w:rPr>
        <w:t xml:space="preserve">note 14. None of them have a note 1 or a note 13. But the notes in every iteration of the financial statements end at 1.8. They are, </w:t>
      </w:r>
      <w:r w:rsidR="007F53B5" w:rsidRPr="00F42759">
        <w:rPr>
          <w:rFonts w:ascii="Arial" w:hAnsi="Arial" w:cs="Arial"/>
          <w:bCs/>
          <w:lang w:val="en-GB"/>
        </w:rPr>
        <w:t>therefore,</w:t>
      </w:r>
      <w:r w:rsidR="00F80F19" w:rsidRPr="00F42759">
        <w:rPr>
          <w:rFonts w:ascii="Arial" w:hAnsi="Arial" w:cs="Arial"/>
          <w:bCs/>
          <w:lang w:val="en-GB"/>
        </w:rPr>
        <w:t xml:space="preserve"> incomplete and </w:t>
      </w:r>
      <w:r w:rsidR="007A4448" w:rsidRPr="00F42759">
        <w:rPr>
          <w:rFonts w:ascii="Arial" w:hAnsi="Arial" w:cs="Arial"/>
          <w:bCs/>
          <w:lang w:val="en-GB"/>
        </w:rPr>
        <w:t xml:space="preserve">of </w:t>
      </w:r>
      <w:r w:rsidR="007F53B5" w:rsidRPr="00F42759">
        <w:rPr>
          <w:rFonts w:ascii="Arial" w:hAnsi="Arial" w:cs="Arial"/>
          <w:bCs/>
          <w:lang w:val="en-GB"/>
        </w:rPr>
        <w:t>no real assistance in explaining any of the entries in the financial statements.</w:t>
      </w:r>
      <w:r w:rsidR="007A4448" w:rsidRPr="00F42759">
        <w:rPr>
          <w:rFonts w:ascii="Arial" w:hAnsi="Arial" w:cs="Arial"/>
          <w:bCs/>
          <w:lang w:val="en-GB"/>
        </w:rPr>
        <w:t xml:space="preserve"> </w:t>
      </w:r>
      <w:r w:rsidR="00C2028B" w:rsidRPr="00F42759">
        <w:rPr>
          <w:rFonts w:ascii="Arial" w:hAnsi="Arial" w:cs="Arial"/>
          <w:bCs/>
          <w:lang w:val="en-GB"/>
        </w:rPr>
        <w:t>This incompleteness attracted no adverse comment from the bid evaluation committee.</w:t>
      </w:r>
    </w:p>
    <w:p w:rsidR="00C2028B" w:rsidRPr="007A4448" w:rsidRDefault="00C2028B" w:rsidP="00C2028B">
      <w:pPr>
        <w:pStyle w:val="ListParagraph"/>
        <w:tabs>
          <w:tab w:val="left" w:pos="709"/>
        </w:tabs>
        <w:spacing w:line="360" w:lineRule="auto"/>
        <w:ind w:left="0"/>
        <w:jc w:val="both"/>
        <w:rPr>
          <w:rFonts w:ascii="Arial" w:hAnsi="Arial" w:cs="Arial"/>
          <w:bCs/>
          <w:lang w:val="en-GB"/>
        </w:rPr>
      </w:pPr>
    </w:p>
    <w:p w:rsidR="00D60869" w:rsidRPr="00F42759" w:rsidRDefault="00F42759" w:rsidP="00F42759">
      <w:pPr>
        <w:tabs>
          <w:tab w:val="left" w:pos="709"/>
        </w:tabs>
        <w:spacing w:line="360" w:lineRule="auto"/>
        <w:jc w:val="both"/>
        <w:rPr>
          <w:rFonts w:ascii="Arial" w:hAnsi="Arial" w:cs="Arial"/>
          <w:bCs/>
          <w:lang w:val="en-GB"/>
        </w:rPr>
      </w:pPr>
      <w:r>
        <w:rPr>
          <w:rFonts w:ascii="Arial" w:eastAsiaTheme="minorHAnsi" w:hAnsi="Arial" w:cs="Arial"/>
          <w:bCs/>
          <w:lang w:val="en-GB" w:eastAsia="en-US" w:bidi="ar-SA"/>
        </w:rPr>
        <w:t>[51]</w:t>
      </w:r>
      <w:r>
        <w:rPr>
          <w:rFonts w:ascii="Arial" w:eastAsiaTheme="minorHAnsi" w:hAnsi="Arial" w:cs="Arial"/>
          <w:bCs/>
          <w:lang w:val="en-GB" w:eastAsia="en-US" w:bidi="ar-SA"/>
        </w:rPr>
        <w:tab/>
      </w:r>
      <w:r w:rsidR="007A4448" w:rsidRPr="00F42759">
        <w:rPr>
          <w:rFonts w:ascii="Arial" w:hAnsi="Arial" w:cs="Arial"/>
          <w:bCs/>
          <w:lang w:val="en-GB"/>
        </w:rPr>
        <w:t xml:space="preserve">What emerges from the financial statements is </w:t>
      </w:r>
      <w:r w:rsidR="00D60869" w:rsidRPr="00F42759">
        <w:rPr>
          <w:rFonts w:ascii="Arial" w:hAnsi="Arial" w:cs="Arial"/>
          <w:bCs/>
          <w:lang w:val="en-GB"/>
        </w:rPr>
        <w:t xml:space="preserve">that the applicant </w:t>
      </w:r>
      <w:r w:rsidR="00C2028B" w:rsidRPr="00F42759">
        <w:rPr>
          <w:rFonts w:ascii="Arial" w:hAnsi="Arial" w:cs="Arial"/>
          <w:bCs/>
          <w:lang w:val="en-GB"/>
        </w:rPr>
        <w:t xml:space="preserve">has never traded and </w:t>
      </w:r>
      <w:r w:rsidR="00D60869" w:rsidRPr="00F42759">
        <w:rPr>
          <w:rFonts w:ascii="Arial" w:hAnsi="Arial" w:cs="Arial"/>
          <w:bCs/>
          <w:lang w:val="en-GB"/>
        </w:rPr>
        <w:t xml:space="preserve">has generated no income over the three years preceding the tender. </w:t>
      </w:r>
      <w:r w:rsidR="00C2028B" w:rsidRPr="00F42759">
        <w:rPr>
          <w:rFonts w:ascii="Arial" w:hAnsi="Arial" w:cs="Arial"/>
          <w:bCs/>
          <w:lang w:val="en-GB"/>
        </w:rPr>
        <w:t xml:space="preserve">Its ability to perform the contract must have been in serious doubt. </w:t>
      </w:r>
      <w:r w:rsidR="00D60869" w:rsidRPr="00F42759">
        <w:rPr>
          <w:rFonts w:ascii="Arial" w:hAnsi="Arial" w:cs="Arial"/>
          <w:bCs/>
          <w:lang w:val="en-GB"/>
        </w:rPr>
        <w:t>This is of significance when the fourth ground of review is considered.</w:t>
      </w:r>
    </w:p>
    <w:p w:rsidR="00234BED" w:rsidRDefault="00234BED" w:rsidP="00C2028B">
      <w:pPr>
        <w:pStyle w:val="ListParagraph"/>
        <w:tabs>
          <w:tab w:val="left" w:pos="709"/>
        </w:tabs>
        <w:spacing w:line="360" w:lineRule="auto"/>
        <w:ind w:left="0"/>
        <w:jc w:val="both"/>
        <w:rPr>
          <w:rFonts w:ascii="Arial" w:hAnsi="Arial" w:cs="Arial"/>
          <w:bCs/>
          <w:lang w:val="en-GB"/>
        </w:rPr>
      </w:pPr>
    </w:p>
    <w:p w:rsidR="005E09A3" w:rsidRPr="0050034E" w:rsidRDefault="005E09A3" w:rsidP="00C2028B">
      <w:pPr>
        <w:pStyle w:val="ListParagraph"/>
        <w:tabs>
          <w:tab w:val="left" w:pos="709"/>
        </w:tabs>
        <w:spacing w:line="360" w:lineRule="auto"/>
        <w:ind w:left="0"/>
        <w:jc w:val="both"/>
        <w:rPr>
          <w:rFonts w:ascii="Arial" w:hAnsi="Arial" w:cs="Arial"/>
          <w:b/>
          <w:bCs/>
          <w:i/>
          <w:lang w:val="en-GB"/>
        </w:rPr>
      </w:pPr>
      <w:r>
        <w:rPr>
          <w:rFonts w:ascii="Arial" w:hAnsi="Arial" w:cs="Arial"/>
          <w:b/>
          <w:bCs/>
          <w:i/>
          <w:lang w:val="en-GB"/>
        </w:rPr>
        <w:t>Fourth ground of review: incorrect assessment of the winning bid</w:t>
      </w:r>
    </w:p>
    <w:p w:rsidR="005671F9" w:rsidRPr="00F42759" w:rsidRDefault="00F42759" w:rsidP="00F42759">
      <w:pPr>
        <w:tabs>
          <w:tab w:val="left" w:pos="709"/>
        </w:tabs>
        <w:spacing w:line="360" w:lineRule="auto"/>
        <w:jc w:val="both"/>
        <w:rPr>
          <w:rFonts w:ascii="Arial" w:hAnsi="Arial" w:cs="Arial"/>
          <w:bCs/>
          <w:lang w:val="en-GB"/>
        </w:rPr>
      </w:pPr>
      <w:r>
        <w:rPr>
          <w:rFonts w:ascii="Arial" w:eastAsiaTheme="minorHAnsi" w:hAnsi="Arial" w:cs="Arial"/>
          <w:bCs/>
          <w:lang w:val="en-GB" w:eastAsia="en-US" w:bidi="ar-SA"/>
        </w:rPr>
        <w:t>[52]</w:t>
      </w:r>
      <w:r>
        <w:rPr>
          <w:rFonts w:ascii="Arial" w:eastAsiaTheme="minorHAnsi" w:hAnsi="Arial" w:cs="Arial"/>
          <w:bCs/>
          <w:lang w:val="en-GB" w:eastAsia="en-US" w:bidi="ar-SA"/>
        </w:rPr>
        <w:tab/>
      </w:r>
      <w:r w:rsidR="00C51778" w:rsidRPr="00F42759">
        <w:rPr>
          <w:rFonts w:ascii="Arial" w:hAnsi="Arial" w:cs="Arial"/>
          <w:bCs/>
          <w:lang w:val="en-GB"/>
        </w:rPr>
        <w:t xml:space="preserve">The fourth ground </w:t>
      </w:r>
      <w:r w:rsidR="005671F9" w:rsidRPr="00F42759">
        <w:rPr>
          <w:rFonts w:ascii="Arial" w:hAnsi="Arial" w:cs="Arial"/>
          <w:bCs/>
          <w:lang w:val="en-GB"/>
        </w:rPr>
        <w:t xml:space="preserve">of review </w:t>
      </w:r>
      <w:r w:rsidR="00C51778" w:rsidRPr="00F42759">
        <w:rPr>
          <w:rFonts w:ascii="Arial" w:hAnsi="Arial" w:cs="Arial"/>
          <w:bCs/>
          <w:lang w:val="en-GB"/>
        </w:rPr>
        <w:t xml:space="preserve">relied upon by the first respondent </w:t>
      </w:r>
      <w:r w:rsidR="005671F9" w:rsidRPr="00F42759">
        <w:rPr>
          <w:rFonts w:ascii="Arial" w:hAnsi="Arial" w:cs="Arial"/>
          <w:bCs/>
          <w:lang w:val="en-GB"/>
        </w:rPr>
        <w:t xml:space="preserve">alleges that the Marothodi Metsi and Sebata Group bid was incorrectly assessed, and scored, by the first respondent’s bid evaluation committee. The general thrust of this ground is that the </w:t>
      </w:r>
      <w:r w:rsidR="00221277" w:rsidRPr="00F42759">
        <w:rPr>
          <w:rFonts w:ascii="Arial" w:hAnsi="Arial" w:cs="Arial"/>
          <w:bCs/>
          <w:lang w:val="en-GB"/>
        </w:rPr>
        <w:t>Marothodi Metsi and Sebata Group bid</w:t>
      </w:r>
      <w:r w:rsidR="005671F9" w:rsidRPr="00F42759">
        <w:rPr>
          <w:rFonts w:ascii="Arial" w:hAnsi="Arial" w:cs="Arial"/>
          <w:bCs/>
          <w:lang w:val="en-GB"/>
        </w:rPr>
        <w:t xml:space="preserve"> would not have progressed to the functionality assessment had </w:t>
      </w:r>
      <w:r w:rsidR="005057E3" w:rsidRPr="00F42759">
        <w:rPr>
          <w:rFonts w:ascii="Arial" w:hAnsi="Arial" w:cs="Arial"/>
          <w:bCs/>
          <w:lang w:val="en-GB"/>
        </w:rPr>
        <w:t>it</w:t>
      </w:r>
      <w:r w:rsidR="005671F9" w:rsidRPr="00F42759">
        <w:rPr>
          <w:rFonts w:ascii="Arial" w:hAnsi="Arial" w:cs="Arial"/>
          <w:bCs/>
          <w:lang w:val="en-GB"/>
        </w:rPr>
        <w:t xml:space="preserve"> been properly evaluated.</w:t>
      </w:r>
    </w:p>
    <w:p w:rsidR="005057E3" w:rsidRDefault="005057E3" w:rsidP="005057E3">
      <w:pPr>
        <w:pStyle w:val="ListParagraph"/>
        <w:tabs>
          <w:tab w:val="left" w:pos="709"/>
        </w:tabs>
        <w:spacing w:line="360" w:lineRule="auto"/>
        <w:ind w:left="0"/>
        <w:jc w:val="both"/>
        <w:rPr>
          <w:rFonts w:ascii="Arial" w:hAnsi="Arial" w:cs="Arial"/>
          <w:bCs/>
          <w:lang w:val="en-GB"/>
        </w:rPr>
      </w:pPr>
    </w:p>
    <w:p w:rsidR="005057E3" w:rsidRPr="00F42759" w:rsidRDefault="00F42759" w:rsidP="00F42759">
      <w:pPr>
        <w:tabs>
          <w:tab w:val="left" w:pos="709"/>
        </w:tabs>
        <w:spacing w:line="360" w:lineRule="auto"/>
        <w:jc w:val="both"/>
        <w:rPr>
          <w:rFonts w:ascii="Arial" w:hAnsi="Arial" w:cs="Arial"/>
          <w:bCs/>
          <w:lang w:val="en-GB"/>
        </w:rPr>
      </w:pPr>
      <w:r w:rsidRPr="00C2028B">
        <w:rPr>
          <w:rFonts w:ascii="Arial" w:eastAsiaTheme="minorHAnsi" w:hAnsi="Arial" w:cs="Arial"/>
          <w:bCs/>
          <w:lang w:val="en-GB" w:eastAsia="en-US" w:bidi="ar-SA"/>
        </w:rPr>
        <w:t>[53]</w:t>
      </w:r>
      <w:r w:rsidRPr="00C2028B">
        <w:rPr>
          <w:rFonts w:ascii="Arial" w:eastAsiaTheme="minorHAnsi" w:hAnsi="Arial" w:cs="Arial"/>
          <w:bCs/>
          <w:lang w:val="en-GB" w:eastAsia="en-US" w:bidi="ar-SA"/>
        </w:rPr>
        <w:tab/>
      </w:r>
      <w:r w:rsidR="005057E3" w:rsidRPr="00F42759">
        <w:rPr>
          <w:rFonts w:ascii="Arial" w:hAnsi="Arial" w:cs="Arial"/>
          <w:bCs/>
          <w:lang w:val="en-GB"/>
        </w:rPr>
        <w:t>The first respondent makes the case that the evaluation process pertaining to received bids had three parts to it: the evaluation of the prescribed compulsory returnable documents that each bidder had to submit, the assessment of the functionality of each bidder, and the assessment of the price and preferential points in compliance with the Preferential Procurement Policy Framework Act 5 of 2000. The minimum point score at the second level of assessment was 60 points out of a possible 100 points.</w:t>
      </w:r>
    </w:p>
    <w:p w:rsidR="005057E3" w:rsidRPr="005057E3" w:rsidRDefault="005057E3" w:rsidP="005057E3">
      <w:pPr>
        <w:pStyle w:val="ListParagraph"/>
        <w:spacing w:line="360" w:lineRule="auto"/>
        <w:rPr>
          <w:rFonts w:ascii="Arial" w:hAnsi="Arial" w:cs="Arial"/>
          <w:bCs/>
          <w:lang w:val="en-GB"/>
        </w:rPr>
      </w:pPr>
    </w:p>
    <w:p w:rsidR="00D546B6" w:rsidRPr="00F42759" w:rsidRDefault="00F42759" w:rsidP="00F42759">
      <w:pPr>
        <w:tabs>
          <w:tab w:val="left" w:pos="709"/>
        </w:tabs>
        <w:spacing w:line="360" w:lineRule="auto"/>
        <w:jc w:val="both"/>
        <w:rPr>
          <w:rFonts w:ascii="Arial" w:hAnsi="Arial" w:cs="Arial"/>
          <w:bCs/>
          <w:lang w:val="en-GB"/>
        </w:rPr>
      </w:pPr>
      <w:r>
        <w:rPr>
          <w:rFonts w:ascii="Arial" w:eastAsiaTheme="minorHAnsi" w:hAnsi="Arial" w:cs="Arial"/>
          <w:bCs/>
          <w:lang w:val="en-GB" w:eastAsia="en-US" w:bidi="ar-SA"/>
        </w:rPr>
        <w:t>[54]</w:t>
      </w:r>
      <w:r>
        <w:rPr>
          <w:rFonts w:ascii="Arial" w:eastAsiaTheme="minorHAnsi" w:hAnsi="Arial" w:cs="Arial"/>
          <w:bCs/>
          <w:lang w:val="en-GB" w:eastAsia="en-US" w:bidi="ar-SA"/>
        </w:rPr>
        <w:tab/>
      </w:r>
      <w:r w:rsidR="009F326B" w:rsidRPr="00F42759">
        <w:rPr>
          <w:rFonts w:ascii="Arial" w:hAnsi="Arial" w:cs="Arial"/>
          <w:bCs/>
          <w:lang w:val="en-GB"/>
        </w:rPr>
        <w:t xml:space="preserve">The bid document </w:t>
      </w:r>
      <w:r w:rsidR="00C2028B" w:rsidRPr="00F42759">
        <w:rPr>
          <w:rFonts w:ascii="Arial" w:hAnsi="Arial" w:cs="Arial"/>
          <w:bCs/>
          <w:lang w:val="en-GB"/>
        </w:rPr>
        <w:t xml:space="preserve">required </w:t>
      </w:r>
      <w:r w:rsidR="009A3F4D" w:rsidRPr="00F42759">
        <w:rPr>
          <w:rFonts w:ascii="Arial" w:hAnsi="Arial" w:cs="Arial"/>
          <w:bCs/>
          <w:lang w:val="en-GB"/>
        </w:rPr>
        <w:t>a</w:t>
      </w:r>
      <w:r w:rsidR="00C2028B" w:rsidRPr="00F42759">
        <w:rPr>
          <w:rFonts w:ascii="Arial" w:hAnsi="Arial" w:cs="Arial"/>
          <w:bCs/>
          <w:lang w:val="en-GB"/>
        </w:rPr>
        <w:t xml:space="preserve"> bidder to score itself in each of </w:t>
      </w:r>
      <w:r w:rsidR="00DE27A5" w:rsidRPr="00F42759">
        <w:rPr>
          <w:rFonts w:ascii="Arial" w:hAnsi="Arial" w:cs="Arial"/>
          <w:bCs/>
          <w:lang w:val="en-GB"/>
        </w:rPr>
        <w:t xml:space="preserve">the </w:t>
      </w:r>
      <w:r w:rsidR="00AA503E" w:rsidRPr="00F42759">
        <w:rPr>
          <w:rFonts w:ascii="Arial" w:hAnsi="Arial" w:cs="Arial"/>
          <w:bCs/>
          <w:lang w:val="en-GB"/>
        </w:rPr>
        <w:t xml:space="preserve">following </w:t>
      </w:r>
      <w:r w:rsidR="00C2028B" w:rsidRPr="00F42759">
        <w:rPr>
          <w:rFonts w:ascii="Arial" w:hAnsi="Arial" w:cs="Arial"/>
          <w:bCs/>
          <w:lang w:val="en-GB"/>
        </w:rPr>
        <w:t xml:space="preserve">four categories, namely </w:t>
      </w:r>
      <w:r w:rsidR="00D25BA1" w:rsidRPr="00F42759">
        <w:rPr>
          <w:rFonts w:ascii="Arial" w:hAnsi="Arial" w:cs="Arial"/>
          <w:bCs/>
          <w:lang w:val="en-GB"/>
        </w:rPr>
        <w:t xml:space="preserve">the bidder’s </w:t>
      </w:r>
      <w:r w:rsidR="00C2028B" w:rsidRPr="00F42759">
        <w:rPr>
          <w:rFonts w:ascii="Arial" w:hAnsi="Arial" w:cs="Arial"/>
          <w:bCs/>
          <w:lang w:val="en-GB"/>
        </w:rPr>
        <w:t xml:space="preserve">experience, the bidder’s capacity, the bidder’s </w:t>
      </w:r>
      <w:r w:rsidR="001875AC" w:rsidRPr="00F42759">
        <w:rPr>
          <w:rFonts w:ascii="Arial" w:hAnsi="Arial" w:cs="Arial"/>
          <w:bCs/>
          <w:lang w:val="en-GB"/>
        </w:rPr>
        <w:t>locality,</w:t>
      </w:r>
      <w:r w:rsidR="00C2028B" w:rsidRPr="00F42759">
        <w:rPr>
          <w:rFonts w:ascii="Arial" w:hAnsi="Arial" w:cs="Arial"/>
          <w:bCs/>
          <w:lang w:val="en-GB"/>
        </w:rPr>
        <w:t xml:space="preserve"> and</w:t>
      </w:r>
      <w:r w:rsidR="009A3F4D" w:rsidRPr="00F42759">
        <w:rPr>
          <w:rFonts w:ascii="Arial" w:hAnsi="Arial" w:cs="Arial"/>
          <w:bCs/>
          <w:lang w:val="en-GB"/>
        </w:rPr>
        <w:t xml:space="preserve"> the bidder’s approach paper.</w:t>
      </w:r>
      <w:r w:rsidR="009F326B" w:rsidRPr="00F42759">
        <w:rPr>
          <w:rFonts w:ascii="Arial" w:hAnsi="Arial" w:cs="Arial"/>
          <w:bCs/>
          <w:lang w:val="en-GB"/>
        </w:rPr>
        <w:t xml:space="preserve"> I deal in detail only with the first three</w:t>
      </w:r>
      <w:r w:rsidR="00F375F2" w:rsidRPr="00F42759">
        <w:rPr>
          <w:rFonts w:ascii="Arial" w:hAnsi="Arial" w:cs="Arial"/>
          <w:bCs/>
          <w:lang w:val="en-GB"/>
        </w:rPr>
        <w:t>.</w:t>
      </w:r>
      <w:r w:rsidR="009F326B" w:rsidRPr="00F42759">
        <w:rPr>
          <w:rFonts w:ascii="Arial" w:hAnsi="Arial" w:cs="Arial"/>
          <w:bCs/>
          <w:lang w:val="en-GB"/>
        </w:rPr>
        <w:t xml:space="preserve"> </w:t>
      </w:r>
      <w:r w:rsidR="00184EDC" w:rsidRPr="00F42759">
        <w:rPr>
          <w:rFonts w:ascii="Arial" w:hAnsi="Arial" w:cs="Arial"/>
          <w:bCs/>
          <w:lang w:val="en-GB"/>
        </w:rPr>
        <w:t>Both the first and the second bid documents have identical scores recorded</w:t>
      </w:r>
      <w:r w:rsidR="009A3F4D" w:rsidRPr="00F42759">
        <w:rPr>
          <w:rFonts w:ascii="Arial" w:hAnsi="Arial" w:cs="Arial"/>
          <w:bCs/>
          <w:lang w:val="en-GB"/>
        </w:rPr>
        <w:t>.</w:t>
      </w:r>
      <w:r w:rsidR="00184EDC" w:rsidRPr="00F42759">
        <w:rPr>
          <w:rFonts w:ascii="Arial" w:hAnsi="Arial" w:cs="Arial"/>
          <w:bCs/>
          <w:lang w:val="en-GB"/>
        </w:rPr>
        <w:t xml:space="preserve"> </w:t>
      </w:r>
      <w:r w:rsidR="009A3F4D" w:rsidRPr="00F42759">
        <w:rPr>
          <w:rFonts w:ascii="Arial" w:hAnsi="Arial" w:cs="Arial"/>
          <w:bCs/>
          <w:lang w:val="en-GB"/>
        </w:rPr>
        <w:t>In the second bid document, t</w:t>
      </w:r>
      <w:r w:rsidR="00184EDC" w:rsidRPr="00F42759">
        <w:rPr>
          <w:rFonts w:ascii="Arial" w:hAnsi="Arial" w:cs="Arial"/>
          <w:bCs/>
          <w:lang w:val="en-GB"/>
        </w:rPr>
        <w:t>he bidder</w:t>
      </w:r>
      <w:r w:rsidR="00D546B6" w:rsidRPr="00F42759">
        <w:rPr>
          <w:rFonts w:ascii="Arial" w:hAnsi="Arial" w:cs="Arial"/>
          <w:bCs/>
          <w:lang w:val="en-GB"/>
        </w:rPr>
        <w:t xml:space="preserve"> scored itself as follows:</w:t>
      </w:r>
    </w:p>
    <w:p w:rsidR="00AC2F41" w:rsidRDefault="00AC2F41" w:rsidP="00AC2F41">
      <w:pPr>
        <w:pStyle w:val="ListParagraph"/>
        <w:tabs>
          <w:tab w:val="left" w:pos="709"/>
        </w:tabs>
        <w:spacing w:line="360" w:lineRule="auto"/>
        <w:ind w:left="0"/>
        <w:jc w:val="both"/>
        <w:rPr>
          <w:rFonts w:ascii="Arial" w:hAnsi="Arial" w:cs="Arial"/>
          <w:bCs/>
          <w:lang w:val="en-GB"/>
        </w:rPr>
      </w:pPr>
    </w:p>
    <w:p w:rsidR="00FB5F19" w:rsidRPr="00F42759" w:rsidRDefault="00F42759" w:rsidP="00F42759">
      <w:pPr>
        <w:tabs>
          <w:tab w:val="left" w:pos="709"/>
        </w:tabs>
        <w:spacing w:line="360" w:lineRule="auto"/>
        <w:jc w:val="both"/>
        <w:rPr>
          <w:rFonts w:ascii="Arial" w:hAnsi="Arial" w:cs="Arial"/>
          <w:bCs/>
          <w:lang w:val="en-GB"/>
        </w:rPr>
      </w:pPr>
      <w:r>
        <w:rPr>
          <w:rFonts w:ascii="Arial" w:eastAsiaTheme="minorHAnsi" w:hAnsi="Arial" w:cs="Arial"/>
          <w:bCs/>
          <w:lang w:val="en-GB" w:eastAsia="en-US" w:bidi="ar-SA"/>
        </w:rPr>
        <w:t>(a)</w:t>
      </w:r>
      <w:r>
        <w:rPr>
          <w:rFonts w:ascii="Arial" w:eastAsiaTheme="minorHAnsi" w:hAnsi="Arial" w:cs="Arial"/>
          <w:bCs/>
          <w:lang w:val="en-GB" w:eastAsia="en-US" w:bidi="ar-SA"/>
        </w:rPr>
        <w:tab/>
      </w:r>
      <w:r w:rsidR="00D25BA1" w:rsidRPr="00F42759">
        <w:rPr>
          <w:rFonts w:ascii="Arial" w:hAnsi="Arial" w:cs="Arial"/>
          <w:bCs/>
          <w:lang w:val="en-GB"/>
        </w:rPr>
        <w:t xml:space="preserve">Bidder’s </w:t>
      </w:r>
      <w:r w:rsidR="00FB5F19" w:rsidRPr="00F42759">
        <w:rPr>
          <w:rFonts w:ascii="Arial" w:hAnsi="Arial" w:cs="Arial"/>
          <w:bCs/>
          <w:lang w:val="en-GB"/>
        </w:rPr>
        <w:t>Experience</w:t>
      </w:r>
    </w:p>
    <w:p w:rsidR="00AC2F41" w:rsidRDefault="00AC2F41" w:rsidP="00AC2F41">
      <w:pPr>
        <w:pStyle w:val="ListParagraph"/>
        <w:tabs>
          <w:tab w:val="left" w:pos="709"/>
        </w:tabs>
        <w:spacing w:line="360" w:lineRule="auto"/>
        <w:ind w:left="1065"/>
        <w:jc w:val="both"/>
        <w:rPr>
          <w:rFonts w:ascii="Arial" w:hAnsi="Arial" w:cs="Arial"/>
          <w:bCs/>
          <w:lang w:val="en-GB"/>
        </w:rPr>
      </w:pPr>
    </w:p>
    <w:tbl>
      <w:tblPr>
        <w:tblStyle w:val="TableGrid"/>
        <w:tblW w:w="0" w:type="auto"/>
        <w:tblLook w:val="04A0" w:firstRow="1" w:lastRow="0" w:firstColumn="1" w:lastColumn="0" w:noHBand="0" w:noVBand="1"/>
      </w:tblPr>
      <w:tblGrid>
        <w:gridCol w:w="4020"/>
        <w:gridCol w:w="1645"/>
        <w:gridCol w:w="1701"/>
        <w:gridCol w:w="1644"/>
      </w:tblGrid>
      <w:tr w:rsidR="00B9578A" w:rsidRPr="00B9578A" w:rsidTr="00B9578A">
        <w:tc>
          <w:tcPr>
            <w:tcW w:w="4020" w:type="dxa"/>
          </w:tcPr>
          <w:p w:rsidR="00B9578A" w:rsidRPr="00B9578A" w:rsidRDefault="00FB5F19" w:rsidP="00B9578A">
            <w:pPr>
              <w:rPr>
                <w:rFonts w:ascii="Arial" w:hAnsi="Arial" w:cs="Arial"/>
                <w:bCs/>
                <w:sz w:val="20"/>
                <w:szCs w:val="20"/>
                <w:lang w:val="en-GB"/>
              </w:rPr>
            </w:pPr>
            <w:r>
              <w:rPr>
                <w:rFonts w:ascii="Arial" w:hAnsi="Arial" w:cs="Arial"/>
                <w:bCs/>
                <w:sz w:val="20"/>
                <w:szCs w:val="20"/>
                <w:lang w:val="en-GB"/>
              </w:rPr>
              <w:t>Description</w:t>
            </w:r>
          </w:p>
        </w:tc>
        <w:tc>
          <w:tcPr>
            <w:tcW w:w="1645" w:type="dxa"/>
          </w:tcPr>
          <w:p w:rsidR="00B9578A" w:rsidRPr="00B9578A" w:rsidRDefault="00B9578A" w:rsidP="00B9578A">
            <w:pPr>
              <w:rPr>
                <w:rFonts w:ascii="Arial" w:hAnsi="Arial" w:cs="Arial"/>
                <w:bCs/>
                <w:sz w:val="20"/>
                <w:szCs w:val="20"/>
                <w:lang w:val="en-GB"/>
              </w:rPr>
            </w:pPr>
            <w:r w:rsidRPr="00B9578A">
              <w:rPr>
                <w:rFonts w:ascii="Arial" w:hAnsi="Arial" w:cs="Arial"/>
                <w:bCs/>
                <w:sz w:val="20"/>
                <w:szCs w:val="20"/>
                <w:lang w:val="en-GB"/>
              </w:rPr>
              <w:t>Points</w:t>
            </w:r>
          </w:p>
        </w:tc>
        <w:tc>
          <w:tcPr>
            <w:tcW w:w="1701" w:type="dxa"/>
          </w:tcPr>
          <w:p w:rsidR="00B9578A" w:rsidRPr="00B9578A" w:rsidRDefault="00B9578A" w:rsidP="00B9578A">
            <w:pPr>
              <w:rPr>
                <w:rFonts w:ascii="Arial" w:hAnsi="Arial" w:cs="Arial"/>
                <w:bCs/>
                <w:sz w:val="20"/>
                <w:szCs w:val="20"/>
                <w:lang w:val="en-GB"/>
              </w:rPr>
            </w:pPr>
            <w:r w:rsidRPr="00B9578A">
              <w:rPr>
                <w:rFonts w:ascii="Arial" w:hAnsi="Arial" w:cs="Arial"/>
                <w:bCs/>
                <w:sz w:val="20"/>
                <w:szCs w:val="20"/>
                <w:lang w:val="en-GB"/>
              </w:rPr>
              <w:t>Points</w:t>
            </w:r>
          </w:p>
        </w:tc>
        <w:tc>
          <w:tcPr>
            <w:tcW w:w="1644" w:type="dxa"/>
          </w:tcPr>
          <w:p w:rsidR="00B9578A" w:rsidRPr="00B9578A" w:rsidRDefault="00B9578A" w:rsidP="00B9578A">
            <w:pPr>
              <w:rPr>
                <w:rFonts w:ascii="Arial" w:hAnsi="Arial" w:cs="Arial"/>
                <w:bCs/>
                <w:sz w:val="20"/>
                <w:szCs w:val="20"/>
                <w:lang w:val="en-GB"/>
              </w:rPr>
            </w:pPr>
            <w:r w:rsidRPr="00B9578A">
              <w:rPr>
                <w:rFonts w:ascii="Arial" w:hAnsi="Arial" w:cs="Arial"/>
                <w:bCs/>
                <w:sz w:val="20"/>
                <w:szCs w:val="20"/>
                <w:lang w:val="en-GB"/>
              </w:rPr>
              <w:t>Points</w:t>
            </w:r>
          </w:p>
        </w:tc>
      </w:tr>
      <w:tr w:rsidR="00B9578A" w:rsidRPr="00B9578A" w:rsidTr="00B9578A">
        <w:tc>
          <w:tcPr>
            <w:tcW w:w="4020" w:type="dxa"/>
          </w:tcPr>
          <w:p w:rsidR="00B9578A" w:rsidRPr="00B9578A" w:rsidRDefault="00B9578A" w:rsidP="00B9578A">
            <w:pPr>
              <w:rPr>
                <w:rFonts w:ascii="Arial" w:hAnsi="Arial" w:cs="Arial"/>
                <w:bCs/>
                <w:sz w:val="20"/>
                <w:szCs w:val="20"/>
                <w:lang w:val="en-GB"/>
              </w:rPr>
            </w:pPr>
            <w:r w:rsidRPr="00B9578A">
              <w:rPr>
                <w:rFonts w:ascii="Arial" w:hAnsi="Arial" w:cs="Arial"/>
                <w:bCs/>
                <w:sz w:val="20"/>
                <w:szCs w:val="20"/>
                <w:lang w:val="en-GB"/>
              </w:rPr>
              <w:t>Number of similar supply projects/orders undertaken in the last five years with organs of state/municipalities</w:t>
            </w:r>
          </w:p>
        </w:tc>
        <w:tc>
          <w:tcPr>
            <w:tcW w:w="1645" w:type="dxa"/>
          </w:tcPr>
          <w:p w:rsidR="00B9578A" w:rsidRDefault="00FB5F19" w:rsidP="00FB5F19">
            <w:pPr>
              <w:rPr>
                <w:rFonts w:ascii="Arial" w:hAnsi="Arial" w:cs="Arial"/>
                <w:bCs/>
                <w:sz w:val="20"/>
                <w:szCs w:val="20"/>
                <w:lang w:val="en-GB"/>
              </w:rPr>
            </w:pPr>
            <w:r>
              <w:rPr>
                <w:rFonts w:ascii="Arial" w:hAnsi="Arial" w:cs="Arial"/>
                <w:bCs/>
                <w:sz w:val="20"/>
                <w:szCs w:val="20"/>
                <w:lang w:val="en-GB"/>
              </w:rPr>
              <w:t xml:space="preserve">1 </w:t>
            </w:r>
            <w:r w:rsidRPr="00FB5F19">
              <w:rPr>
                <w:rFonts w:ascii="Arial" w:hAnsi="Arial" w:cs="Arial"/>
                <w:bCs/>
                <w:sz w:val="20"/>
                <w:szCs w:val="20"/>
                <w:lang w:val="en-GB"/>
              </w:rPr>
              <w:t>&gt; 4</w:t>
            </w:r>
          </w:p>
          <w:p w:rsidR="00FB5F19" w:rsidRPr="00FB5F19" w:rsidRDefault="0030780D" w:rsidP="00FB5F19">
            <w:pPr>
              <w:rPr>
                <w:rFonts w:ascii="Arial" w:hAnsi="Arial" w:cs="Arial"/>
                <w:bCs/>
                <w:sz w:val="20"/>
                <w:szCs w:val="20"/>
                <w:lang w:val="en-GB"/>
              </w:rPr>
            </w:pPr>
            <w:r>
              <w:rPr>
                <w:rFonts w:ascii="Arial" w:hAnsi="Arial" w:cs="Arial"/>
                <w:bCs/>
                <w:sz w:val="20"/>
                <w:szCs w:val="20"/>
                <w:lang w:val="en-GB"/>
              </w:rPr>
              <w:t>projects</w:t>
            </w:r>
          </w:p>
        </w:tc>
        <w:tc>
          <w:tcPr>
            <w:tcW w:w="1701" w:type="dxa"/>
          </w:tcPr>
          <w:p w:rsidR="00B9578A" w:rsidRDefault="00FB5F19" w:rsidP="00FB5F19">
            <w:pPr>
              <w:rPr>
                <w:rFonts w:ascii="Arial" w:hAnsi="Arial" w:cs="Arial"/>
                <w:bCs/>
                <w:sz w:val="20"/>
                <w:szCs w:val="20"/>
                <w:lang w:val="en-GB"/>
              </w:rPr>
            </w:pPr>
            <w:r>
              <w:rPr>
                <w:rFonts w:ascii="Arial" w:hAnsi="Arial" w:cs="Arial"/>
                <w:bCs/>
                <w:sz w:val="20"/>
                <w:szCs w:val="20"/>
                <w:lang w:val="en-GB"/>
              </w:rPr>
              <w:t xml:space="preserve">5 </w:t>
            </w:r>
            <w:r w:rsidRPr="00FB5F19">
              <w:rPr>
                <w:rFonts w:ascii="Arial" w:hAnsi="Arial" w:cs="Arial"/>
                <w:bCs/>
                <w:sz w:val="20"/>
                <w:szCs w:val="20"/>
                <w:lang w:val="en-GB"/>
              </w:rPr>
              <w:t>&lt; 9</w:t>
            </w:r>
          </w:p>
          <w:p w:rsidR="0030780D" w:rsidRPr="00FB5F19" w:rsidRDefault="0030780D" w:rsidP="00FB5F19">
            <w:pPr>
              <w:rPr>
                <w:rFonts w:ascii="Arial" w:hAnsi="Arial" w:cs="Arial"/>
                <w:bCs/>
                <w:sz w:val="20"/>
                <w:szCs w:val="20"/>
                <w:lang w:val="en-GB"/>
              </w:rPr>
            </w:pPr>
            <w:r>
              <w:rPr>
                <w:rFonts w:ascii="Arial" w:hAnsi="Arial" w:cs="Arial"/>
                <w:bCs/>
                <w:sz w:val="20"/>
                <w:szCs w:val="20"/>
                <w:lang w:val="en-GB"/>
              </w:rPr>
              <w:t>Projects</w:t>
            </w:r>
          </w:p>
        </w:tc>
        <w:tc>
          <w:tcPr>
            <w:tcW w:w="1644" w:type="dxa"/>
          </w:tcPr>
          <w:p w:rsidR="00B9578A" w:rsidRDefault="00FB5F19" w:rsidP="00FB5F19">
            <w:pPr>
              <w:rPr>
                <w:rFonts w:ascii="Arial" w:hAnsi="Arial" w:cs="Arial"/>
                <w:bCs/>
                <w:sz w:val="20"/>
                <w:szCs w:val="20"/>
                <w:lang w:val="en-GB"/>
              </w:rPr>
            </w:pPr>
            <w:r>
              <w:rPr>
                <w:rFonts w:ascii="Arial" w:hAnsi="Arial" w:cs="Arial"/>
                <w:bCs/>
                <w:sz w:val="20"/>
                <w:szCs w:val="20"/>
                <w:lang w:val="en-GB"/>
              </w:rPr>
              <w:t xml:space="preserve">&gt; </w:t>
            </w:r>
            <w:r w:rsidRPr="00FB5F19">
              <w:rPr>
                <w:rFonts w:ascii="Arial" w:hAnsi="Arial" w:cs="Arial"/>
                <w:bCs/>
                <w:sz w:val="20"/>
                <w:szCs w:val="20"/>
                <w:lang w:val="en-GB"/>
              </w:rPr>
              <w:t>10</w:t>
            </w:r>
          </w:p>
          <w:p w:rsidR="0030780D" w:rsidRPr="00FB5F19" w:rsidRDefault="0030780D" w:rsidP="00FB5F19">
            <w:pPr>
              <w:rPr>
                <w:rFonts w:ascii="Arial" w:hAnsi="Arial" w:cs="Arial"/>
                <w:bCs/>
                <w:sz w:val="20"/>
                <w:szCs w:val="20"/>
                <w:lang w:val="en-GB"/>
              </w:rPr>
            </w:pPr>
            <w:r>
              <w:rPr>
                <w:rFonts w:ascii="Arial" w:hAnsi="Arial" w:cs="Arial"/>
                <w:bCs/>
                <w:sz w:val="20"/>
                <w:szCs w:val="20"/>
                <w:lang w:val="en-GB"/>
              </w:rPr>
              <w:t>Projects</w:t>
            </w:r>
          </w:p>
        </w:tc>
      </w:tr>
      <w:tr w:rsidR="00B9578A" w:rsidRPr="00B9578A" w:rsidTr="00B9578A">
        <w:tc>
          <w:tcPr>
            <w:tcW w:w="4020" w:type="dxa"/>
          </w:tcPr>
          <w:p w:rsidR="00B9578A" w:rsidRPr="00B9578A" w:rsidRDefault="00FB5F19" w:rsidP="00B9578A">
            <w:pPr>
              <w:rPr>
                <w:rFonts w:ascii="Arial" w:hAnsi="Arial" w:cs="Arial"/>
                <w:bCs/>
                <w:sz w:val="20"/>
                <w:szCs w:val="20"/>
                <w:lang w:val="en-GB"/>
              </w:rPr>
            </w:pPr>
            <w:r>
              <w:rPr>
                <w:rFonts w:ascii="Arial" w:hAnsi="Arial" w:cs="Arial"/>
                <w:bCs/>
                <w:sz w:val="20"/>
                <w:szCs w:val="20"/>
                <w:lang w:val="en-GB"/>
              </w:rPr>
              <w:t xml:space="preserve">Points allocated </w:t>
            </w:r>
          </w:p>
        </w:tc>
        <w:tc>
          <w:tcPr>
            <w:tcW w:w="1645" w:type="dxa"/>
          </w:tcPr>
          <w:p w:rsidR="00B9578A" w:rsidRPr="00B9578A" w:rsidRDefault="00FB5F19" w:rsidP="00B9578A">
            <w:pPr>
              <w:rPr>
                <w:rFonts w:ascii="Arial" w:hAnsi="Arial" w:cs="Arial"/>
                <w:bCs/>
                <w:sz w:val="20"/>
                <w:szCs w:val="20"/>
                <w:lang w:val="en-GB"/>
              </w:rPr>
            </w:pPr>
            <w:r>
              <w:rPr>
                <w:rFonts w:ascii="Arial" w:hAnsi="Arial" w:cs="Arial"/>
                <w:bCs/>
                <w:sz w:val="20"/>
                <w:szCs w:val="20"/>
                <w:lang w:val="en-GB"/>
              </w:rPr>
              <w:t>5</w:t>
            </w:r>
          </w:p>
        </w:tc>
        <w:tc>
          <w:tcPr>
            <w:tcW w:w="1701" w:type="dxa"/>
          </w:tcPr>
          <w:p w:rsidR="00B9578A" w:rsidRPr="00B9578A" w:rsidRDefault="00FB5F19" w:rsidP="00B9578A">
            <w:pPr>
              <w:rPr>
                <w:rFonts w:ascii="Arial" w:hAnsi="Arial" w:cs="Arial"/>
                <w:bCs/>
                <w:sz w:val="20"/>
                <w:szCs w:val="20"/>
                <w:lang w:val="en-GB"/>
              </w:rPr>
            </w:pPr>
            <w:r>
              <w:rPr>
                <w:rFonts w:ascii="Arial" w:hAnsi="Arial" w:cs="Arial"/>
                <w:bCs/>
                <w:sz w:val="20"/>
                <w:szCs w:val="20"/>
                <w:lang w:val="en-GB"/>
              </w:rPr>
              <w:t>15</w:t>
            </w:r>
          </w:p>
        </w:tc>
        <w:tc>
          <w:tcPr>
            <w:tcW w:w="1644" w:type="dxa"/>
          </w:tcPr>
          <w:p w:rsidR="00B9578A" w:rsidRPr="00B9578A" w:rsidRDefault="00FB5F19" w:rsidP="00B9578A">
            <w:pPr>
              <w:rPr>
                <w:rFonts w:ascii="Arial" w:hAnsi="Arial" w:cs="Arial"/>
                <w:bCs/>
                <w:sz w:val="20"/>
                <w:szCs w:val="20"/>
                <w:lang w:val="en-GB"/>
              </w:rPr>
            </w:pPr>
            <w:r>
              <w:rPr>
                <w:rFonts w:ascii="Arial" w:hAnsi="Arial" w:cs="Arial"/>
                <w:bCs/>
                <w:sz w:val="20"/>
                <w:szCs w:val="20"/>
                <w:lang w:val="en-GB"/>
              </w:rPr>
              <w:t>30</w:t>
            </w:r>
          </w:p>
        </w:tc>
      </w:tr>
      <w:tr w:rsidR="00B9578A" w:rsidRPr="00B9578A" w:rsidTr="00B9578A">
        <w:tc>
          <w:tcPr>
            <w:tcW w:w="4020" w:type="dxa"/>
          </w:tcPr>
          <w:p w:rsidR="00B9578A" w:rsidRPr="00B9578A" w:rsidRDefault="00FB5F19" w:rsidP="00B9578A">
            <w:pPr>
              <w:rPr>
                <w:rFonts w:ascii="Arial" w:hAnsi="Arial" w:cs="Arial"/>
                <w:bCs/>
                <w:sz w:val="20"/>
                <w:szCs w:val="20"/>
                <w:lang w:val="en-GB"/>
              </w:rPr>
            </w:pPr>
            <w:r>
              <w:rPr>
                <w:rFonts w:ascii="Arial" w:hAnsi="Arial" w:cs="Arial"/>
                <w:bCs/>
                <w:sz w:val="20"/>
                <w:szCs w:val="20"/>
                <w:lang w:val="en-GB"/>
              </w:rPr>
              <w:t>Points claimed, Simply tick the appropriate box</w:t>
            </w:r>
          </w:p>
        </w:tc>
        <w:tc>
          <w:tcPr>
            <w:tcW w:w="1645" w:type="dxa"/>
          </w:tcPr>
          <w:p w:rsidR="00B9578A" w:rsidRPr="00B9578A" w:rsidRDefault="00B9578A" w:rsidP="00B9578A">
            <w:pPr>
              <w:rPr>
                <w:rFonts w:ascii="Arial" w:hAnsi="Arial" w:cs="Arial"/>
                <w:bCs/>
                <w:sz w:val="20"/>
                <w:szCs w:val="20"/>
                <w:lang w:val="en-GB"/>
              </w:rPr>
            </w:pPr>
          </w:p>
        </w:tc>
        <w:tc>
          <w:tcPr>
            <w:tcW w:w="1701" w:type="dxa"/>
          </w:tcPr>
          <w:p w:rsidR="00B9578A" w:rsidRPr="00B9578A" w:rsidRDefault="00B9578A" w:rsidP="00B9578A">
            <w:pPr>
              <w:rPr>
                <w:rFonts w:ascii="Arial" w:hAnsi="Arial" w:cs="Arial"/>
                <w:bCs/>
                <w:sz w:val="20"/>
                <w:szCs w:val="20"/>
                <w:lang w:val="en-GB"/>
              </w:rPr>
            </w:pPr>
          </w:p>
        </w:tc>
        <w:tc>
          <w:tcPr>
            <w:tcW w:w="1644" w:type="dxa"/>
          </w:tcPr>
          <w:p w:rsidR="00B9578A" w:rsidRPr="00E749ED" w:rsidRDefault="00A016AE" w:rsidP="00A016AE">
            <w:pPr>
              <w:jc w:val="center"/>
              <w:rPr>
                <w:rFonts w:ascii="Arial" w:hAnsi="Arial" w:cs="Arial"/>
                <w:bCs/>
                <w:lang w:val="en-GB"/>
              </w:rPr>
            </w:pPr>
            <w:r>
              <w:rPr>
                <w:rFonts w:ascii="Segoe UI Symbol" w:hAnsi="Segoe UI Symbol" w:cs="Segoe UI Symbol"/>
                <w:bCs/>
                <w:lang w:val="en-GB"/>
              </w:rPr>
              <w:t>✔</w:t>
            </w:r>
          </w:p>
        </w:tc>
      </w:tr>
    </w:tbl>
    <w:p w:rsidR="00AC2F41" w:rsidRDefault="00AC2F41" w:rsidP="00FB5F19">
      <w:pPr>
        <w:pStyle w:val="ListParagraph"/>
        <w:tabs>
          <w:tab w:val="left" w:pos="709"/>
        </w:tabs>
        <w:spacing w:line="360" w:lineRule="auto"/>
        <w:ind w:left="0"/>
        <w:jc w:val="both"/>
        <w:rPr>
          <w:rFonts w:ascii="Arial" w:eastAsia="Times New Roman" w:hAnsi="Arial" w:cs="Arial"/>
          <w:bCs/>
          <w:lang w:val="en-GB" w:eastAsia="en-GB" w:bidi="yi-Hebr"/>
        </w:rPr>
      </w:pPr>
    </w:p>
    <w:p w:rsidR="00AC2F41" w:rsidRDefault="00AC2F41" w:rsidP="00FB5F19">
      <w:pPr>
        <w:pStyle w:val="ListParagraph"/>
        <w:tabs>
          <w:tab w:val="left" w:pos="709"/>
        </w:tabs>
        <w:spacing w:line="360" w:lineRule="auto"/>
        <w:ind w:left="0"/>
        <w:jc w:val="both"/>
        <w:rPr>
          <w:rFonts w:ascii="Arial" w:hAnsi="Arial" w:cs="Arial"/>
          <w:bCs/>
          <w:lang w:val="en-GB"/>
        </w:rPr>
      </w:pPr>
    </w:p>
    <w:p w:rsidR="00AC2F41" w:rsidRDefault="00AC2F41" w:rsidP="00FB5F19">
      <w:pPr>
        <w:pStyle w:val="ListParagraph"/>
        <w:tabs>
          <w:tab w:val="left" w:pos="709"/>
        </w:tabs>
        <w:spacing w:line="360" w:lineRule="auto"/>
        <w:ind w:left="0"/>
        <w:jc w:val="both"/>
        <w:rPr>
          <w:rFonts w:ascii="Arial" w:hAnsi="Arial" w:cs="Arial"/>
          <w:bCs/>
          <w:lang w:val="en-GB"/>
        </w:rPr>
      </w:pPr>
    </w:p>
    <w:p w:rsidR="00AC2F41" w:rsidRDefault="00AC2F41" w:rsidP="00FB5F19">
      <w:pPr>
        <w:pStyle w:val="ListParagraph"/>
        <w:tabs>
          <w:tab w:val="left" w:pos="709"/>
        </w:tabs>
        <w:spacing w:line="360" w:lineRule="auto"/>
        <w:ind w:left="0"/>
        <w:jc w:val="both"/>
        <w:rPr>
          <w:rFonts w:ascii="Arial" w:hAnsi="Arial" w:cs="Arial"/>
          <w:bCs/>
          <w:lang w:val="en-GB"/>
        </w:rPr>
      </w:pPr>
    </w:p>
    <w:p w:rsidR="00AC2F41" w:rsidRDefault="00AC2F41" w:rsidP="00FB5F19">
      <w:pPr>
        <w:pStyle w:val="ListParagraph"/>
        <w:tabs>
          <w:tab w:val="left" w:pos="709"/>
        </w:tabs>
        <w:spacing w:line="360" w:lineRule="auto"/>
        <w:ind w:left="0"/>
        <w:jc w:val="both"/>
        <w:rPr>
          <w:rFonts w:ascii="Arial" w:hAnsi="Arial" w:cs="Arial"/>
          <w:bCs/>
          <w:lang w:val="en-GB"/>
        </w:rPr>
      </w:pPr>
    </w:p>
    <w:p w:rsidR="00FB5F19" w:rsidRPr="00F42759" w:rsidRDefault="00F42759" w:rsidP="00F42759">
      <w:pPr>
        <w:tabs>
          <w:tab w:val="left" w:pos="709"/>
        </w:tabs>
        <w:spacing w:line="360" w:lineRule="auto"/>
        <w:jc w:val="both"/>
        <w:rPr>
          <w:rFonts w:ascii="Arial" w:hAnsi="Arial" w:cs="Arial"/>
          <w:bCs/>
          <w:lang w:val="en-GB"/>
        </w:rPr>
      </w:pPr>
      <w:r>
        <w:rPr>
          <w:rFonts w:ascii="Arial" w:eastAsiaTheme="minorHAnsi" w:hAnsi="Arial" w:cs="Arial"/>
          <w:bCs/>
          <w:lang w:val="en-GB" w:eastAsia="en-US" w:bidi="ar-SA"/>
        </w:rPr>
        <w:t>(b)</w:t>
      </w:r>
      <w:r>
        <w:rPr>
          <w:rFonts w:ascii="Arial" w:eastAsiaTheme="minorHAnsi" w:hAnsi="Arial" w:cs="Arial"/>
          <w:bCs/>
          <w:lang w:val="en-GB" w:eastAsia="en-US" w:bidi="ar-SA"/>
        </w:rPr>
        <w:tab/>
      </w:r>
      <w:r w:rsidR="00FB5F19" w:rsidRPr="00F42759">
        <w:rPr>
          <w:rFonts w:ascii="Arial" w:hAnsi="Arial" w:cs="Arial"/>
          <w:bCs/>
          <w:lang w:val="en-GB"/>
        </w:rPr>
        <w:t>Bidder’s Capacity</w:t>
      </w:r>
    </w:p>
    <w:p w:rsidR="00AC2F41" w:rsidRPr="00AC2F41" w:rsidRDefault="00AC2F41" w:rsidP="00AC2F41">
      <w:pPr>
        <w:pStyle w:val="ListParagraph"/>
        <w:tabs>
          <w:tab w:val="left" w:pos="709"/>
        </w:tabs>
        <w:spacing w:line="360" w:lineRule="auto"/>
        <w:ind w:left="0"/>
        <w:jc w:val="both"/>
        <w:rPr>
          <w:rFonts w:ascii="Arial" w:hAnsi="Arial" w:cs="Arial"/>
          <w:bCs/>
          <w:lang w:val="en-GB"/>
        </w:rPr>
      </w:pPr>
    </w:p>
    <w:tbl>
      <w:tblPr>
        <w:tblStyle w:val="TableGrid"/>
        <w:tblW w:w="0" w:type="auto"/>
        <w:tblLook w:val="04A0" w:firstRow="1" w:lastRow="0" w:firstColumn="1" w:lastColumn="0" w:noHBand="0" w:noVBand="1"/>
      </w:tblPr>
      <w:tblGrid>
        <w:gridCol w:w="4020"/>
        <w:gridCol w:w="1645"/>
        <w:gridCol w:w="1701"/>
        <w:gridCol w:w="1644"/>
      </w:tblGrid>
      <w:tr w:rsidR="00FB5F19" w:rsidRPr="00B9578A" w:rsidTr="007A3FD9">
        <w:tc>
          <w:tcPr>
            <w:tcW w:w="4020" w:type="dxa"/>
          </w:tcPr>
          <w:p w:rsidR="00FB5F19" w:rsidRPr="00B9578A" w:rsidRDefault="00FB5F19" w:rsidP="007A3FD9">
            <w:pPr>
              <w:rPr>
                <w:rFonts w:ascii="Arial" w:hAnsi="Arial" w:cs="Arial"/>
                <w:bCs/>
                <w:sz w:val="20"/>
                <w:szCs w:val="20"/>
                <w:lang w:val="en-GB"/>
              </w:rPr>
            </w:pPr>
            <w:r>
              <w:rPr>
                <w:rFonts w:ascii="Arial" w:hAnsi="Arial" w:cs="Arial"/>
                <w:bCs/>
                <w:sz w:val="20"/>
                <w:szCs w:val="20"/>
                <w:lang w:val="en-GB"/>
              </w:rPr>
              <w:t>Description</w:t>
            </w:r>
          </w:p>
        </w:tc>
        <w:tc>
          <w:tcPr>
            <w:tcW w:w="1645" w:type="dxa"/>
          </w:tcPr>
          <w:p w:rsidR="00FB5F19" w:rsidRPr="00B9578A" w:rsidRDefault="00FB5F19" w:rsidP="007A3FD9">
            <w:pPr>
              <w:rPr>
                <w:rFonts w:ascii="Arial" w:hAnsi="Arial" w:cs="Arial"/>
                <w:bCs/>
                <w:sz w:val="20"/>
                <w:szCs w:val="20"/>
                <w:lang w:val="en-GB"/>
              </w:rPr>
            </w:pPr>
            <w:r w:rsidRPr="00B9578A">
              <w:rPr>
                <w:rFonts w:ascii="Arial" w:hAnsi="Arial" w:cs="Arial"/>
                <w:bCs/>
                <w:sz w:val="20"/>
                <w:szCs w:val="20"/>
                <w:lang w:val="en-GB"/>
              </w:rPr>
              <w:t>Points</w:t>
            </w:r>
          </w:p>
        </w:tc>
        <w:tc>
          <w:tcPr>
            <w:tcW w:w="1701" w:type="dxa"/>
          </w:tcPr>
          <w:p w:rsidR="00FB5F19" w:rsidRPr="00B9578A" w:rsidRDefault="00FB5F19" w:rsidP="007A3FD9">
            <w:pPr>
              <w:rPr>
                <w:rFonts w:ascii="Arial" w:hAnsi="Arial" w:cs="Arial"/>
                <w:bCs/>
                <w:sz w:val="20"/>
                <w:szCs w:val="20"/>
                <w:lang w:val="en-GB"/>
              </w:rPr>
            </w:pPr>
            <w:r w:rsidRPr="00B9578A">
              <w:rPr>
                <w:rFonts w:ascii="Arial" w:hAnsi="Arial" w:cs="Arial"/>
                <w:bCs/>
                <w:sz w:val="20"/>
                <w:szCs w:val="20"/>
                <w:lang w:val="en-GB"/>
              </w:rPr>
              <w:t>Points</w:t>
            </w:r>
          </w:p>
        </w:tc>
        <w:tc>
          <w:tcPr>
            <w:tcW w:w="1644" w:type="dxa"/>
          </w:tcPr>
          <w:p w:rsidR="00FB5F19" w:rsidRPr="00B9578A" w:rsidRDefault="00FB5F19" w:rsidP="007A3FD9">
            <w:pPr>
              <w:rPr>
                <w:rFonts w:ascii="Arial" w:hAnsi="Arial" w:cs="Arial"/>
                <w:bCs/>
                <w:sz w:val="20"/>
                <w:szCs w:val="20"/>
                <w:lang w:val="en-GB"/>
              </w:rPr>
            </w:pPr>
            <w:r w:rsidRPr="00B9578A">
              <w:rPr>
                <w:rFonts w:ascii="Arial" w:hAnsi="Arial" w:cs="Arial"/>
                <w:bCs/>
                <w:sz w:val="20"/>
                <w:szCs w:val="20"/>
                <w:lang w:val="en-GB"/>
              </w:rPr>
              <w:t>Points</w:t>
            </w:r>
          </w:p>
        </w:tc>
      </w:tr>
      <w:tr w:rsidR="00FB5F19" w:rsidRPr="00B9578A" w:rsidTr="007A3FD9">
        <w:tc>
          <w:tcPr>
            <w:tcW w:w="4020" w:type="dxa"/>
          </w:tcPr>
          <w:p w:rsidR="00FB5F19" w:rsidRPr="00B9578A" w:rsidRDefault="00FB5F19" w:rsidP="007A3FD9">
            <w:pPr>
              <w:rPr>
                <w:rFonts w:ascii="Arial" w:hAnsi="Arial" w:cs="Arial"/>
                <w:bCs/>
                <w:sz w:val="20"/>
                <w:szCs w:val="20"/>
                <w:lang w:val="en-GB"/>
              </w:rPr>
            </w:pPr>
            <w:r w:rsidRPr="00B9578A">
              <w:rPr>
                <w:rFonts w:ascii="Arial" w:hAnsi="Arial" w:cs="Arial"/>
                <w:bCs/>
                <w:sz w:val="20"/>
                <w:szCs w:val="20"/>
                <w:lang w:val="en-GB"/>
              </w:rPr>
              <w:t xml:space="preserve">Number of </w:t>
            </w:r>
            <w:r>
              <w:rPr>
                <w:rFonts w:ascii="Arial" w:hAnsi="Arial" w:cs="Arial"/>
                <w:bCs/>
                <w:sz w:val="20"/>
                <w:szCs w:val="20"/>
                <w:lang w:val="en-GB"/>
              </w:rPr>
              <w:t>year’s company has been in practice doing similar work requirements</w:t>
            </w:r>
          </w:p>
        </w:tc>
        <w:tc>
          <w:tcPr>
            <w:tcW w:w="1645" w:type="dxa"/>
          </w:tcPr>
          <w:p w:rsidR="00FB5F19" w:rsidRDefault="00FB5F19" w:rsidP="007A3FD9">
            <w:pPr>
              <w:rPr>
                <w:rFonts w:ascii="Arial" w:hAnsi="Arial" w:cs="Arial"/>
                <w:bCs/>
                <w:sz w:val="20"/>
                <w:szCs w:val="20"/>
                <w:lang w:val="en-GB"/>
              </w:rPr>
            </w:pPr>
            <w:r>
              <w:rPr>
                <w:rFonts w:ascii="Arial" w:hAnsi="Arial" w:cs="Arial"/>
                <w:bCs/>
                <w:sz w:val="20"/>
                <w:szCs w:val="20"/>
                <w:lang w:val="en-GB"/>
              </w:rPr>
              <w:t xml:space="preserve">1 </w:t>
            </w:r>
            <w:r w:rsidRPr="00FB5F19">
              <w:rPr>
                <w:rFonts w:ascii="Arial" w:hAnsi="Arial" w:cs="Arial"/>
                <w:bCs/>
                <w:sz w:val="20"/>
                <w:szCs w:val="20"/>
                <w:lang w:val="en-GB"/>
              </w:rPr>
              <w:t>&gt; 4</w:t>
            </w:r>
          </w:p>
          <w:p w:rsidR="0030780D" w:rsidRPr="00FB5F19" w:rsidRDefault="0030780D" w:rsidP="007A3FD9">
            <w:pPr>
              <w:rPr>
                <w:rFonts w:ascii="Arial" w:hAnsi="Arial" w:cs="Arial"/>
                <w:bCs/>
                <w:sz w:val="20"/>
                <w:szCs w:val="20"/>
                <w:lang w:val="en-GB"/>
              </w:rPr>
            </w:pPr>
            <w:r>
              <w:rPr>
                <w:rFonts w:ascii="Arial" w:hAnsi="Arial" w:cs="Arial"/>
                <w:bCs/>
                <w:sz w:val="20"/>
                <w:szCs w:val="20"/>
                <w:lang w:val="en-GB"/>
              </w:rPr>
              <w:t>Years</w:t>
            </w:r>
          </w:p>
        </w:tc>
        <w:tc>
          <w:tcPr>
            <w:tcW w:w="1701" w:type="dxa"/>
          </w:tcPr>
          <w:p w:rsidR="00FB5F19" w:rsidRDefault="00FB5F19" w:rsidP="007A3FD9">
            <w:pPr>
              <w:rPr>
                <w:rFonts w:ascii="Arial" w:hAnsi="Arial" w:cs="Arial"/>
                <w:bCs/>
                <w:sz w:val="20"/>
                <w:szCs w:val="20"/>
                <w:lang w:val="en-GB"/>
              </w:rPr>
            </w:pPr>
            <w:r>
              <w:rPr>
                <w:rFonts w:ascii="Arial" w:hAnsi="Arial" w:cs="Arial"/>
                <w:bCs/>
                <w:sz w:val="20"/>
                <w:szCs w:val="20"/>
                <w:lang w:val="en-GB"/>
              </w:rPr>
              <w:t xml:space="preserve">5 </w:t>
            </w:r>
            <w:r w:rsidRPr="00FB5F19">
              <w:rPr>
                <w:rFonts w:ascii="Arial" w:hAnsi="Arial" w:cs="Arial"/>
                <w:bCs/>
                <w:sz w:val="20"/>
                <w:szCs w:val="20"/>
                <w:lang w:val="en-GB"/>
              </w:rPr>
              <w:t>&lt; 9</w:t>
            </w:r>
          </w:p>
          <w:p w:rsidR="0030780D" w:rsidRPr="00FB5F19" w:rsidRDefault="0030780D" w:rsidP="007A3FD9">
            <w:pPr>
              <w:rPr>
                <w:rFonts w:ascii="Arial" w:hAnsi="Arial" w:cs="Arial"/>
                <w:bCs/>
                <w:sz w:val="20"/>
                <w:szCs w:val="20"/>
                <w:lang w:val="en-GB"/>
              </w:rPr>
            </w:pPr>
            <w:r>
              <w:rPr>
                <w:rFonts w:ascii="Arial" w:hAnsi="Arial" w:cs="Arial"/>
                <w:bCs/>
                <w:sz w:val="20"/>
                <w:szCs w:val="20"/>
                <w:lang w:val="en-GB"/>
              </w:rPr>
              <w:t>Years</w:t>
            </w:r>
          </w:p>
        </w:tc>
        <w:tc>
          <w:tcPr>
            <w:tcW w:w="1644" w:type="dxa"/>
          </w:tcPr>
          <w:p w:rsidR="00FB5F19" w:rsidRDefault="00FB5F19" w:rsidP="007A3FD9">
            <w:pPr>
              <w:rPr>
                <w:rFonts w:ascii="Arial" w:hAnsi="Arial" w:cs="Arial"/>
                <w:bCs/>
                <w:sz w:val="20"/>
                <w:szCs w:val="20"/>
                <w:lang w:val="en-GB"/>
              </w:rPr>
            </w:pPr>
            <w:r>
              <w:rPr>
                <w:rFonts w:ascii="Arial" w:hAnsi="Arial" w:cs="Arial"/>
                <w:bCs/>
                <w:sz w:val="20"/>
                <w:szCs w:val="20"/>
                <w:lang w:val="en-GB"/>
              </w:rPr>
              <w:t xml:space="preserve">&gt; </w:t>
            </w:r>
            <w:r w:rsidRPr="00FB5F19">
              <w:rPr>
                <w:rFonts w:ascii="Arial" w:hAnsi="Arial" w:cs="Arial"/>
                <w:bCs/>
                <w:sz w:val="20"/>
                <w:szCs w:val="20"/>
                <w:lang w:val="en-GB"/>
              </w:rPr>
              <w:t>10</w:t>
            </w:r>
          </w:p>
          <w:p w:rsidR="0030780D" w:rsidRPr="00FB5F19" w:rsidRDefault="0030780D" w:rsidP="007A3FD9">
            <w:pPr>
              <w:rPr>
                <w:rFonts w:ascii="Arial" w:hAnsi="Arial" w:cs="Arial"/>
                <w:bCs/>
                <w:sz w:val="20"/>
                <w:szCs w:val="20"/>
                <w:lang w:val="en-GB"/>
              </w:rPr>
            </w:pPr>
            <w:r>
              <w:rPr>
                <w:rFonts w:ascii="Arial" w:hAnsi="Arial" w:cs="Arial"/>
                <w:bCs/>
                <w:sz w:val="20"/>
                <w:szCs w:val="20"/>
                <w:lang w:val="en-GB"/>
              </w:rPr>
              <w:t>Years</w:t>
            </w:r>
          </w:p>
        </w:tc>
      </w:tr>
      <w:tr w:rsidR="00FB5F19" w:rsidRPr="00B9578A" w:rsidTr="007A3FD9">
        <w:tc>
          <w:tcPr>
            <w:tcW w:w="4020" w:type="dxa"/>
          </w:tcPr>
          <w:p w:rsidR="00FB5F19" w:rsidRPr="00B9578A" w:rsidRDefault="00FB5F19" w:rsidP="007A3FD9">
            <w:pPr>
              <w:rPr>
                <w:rFonts w:ascii="Arial" w:hAnsi="Arial" w:cs="Arial"/>
                <w:bCs/>
                <w:sz w:val="20"/>
                <w:szCs w:val="20"/>
                <w:lang w:val="en-GB"/>
              </w:rPr>
            </w:pPr>
            <w:r>
              <w:rPr>
                <w:rFonts w:ascii="Arial" w:hAnsi="Arial" w:cs="Arial"/>
                <w:bCs/>
                <w:sz w:val="20"/>
                <w:szCs w:val="20"/>
                <w:lang w:val="en-GB"/>
              </w:rPr>
              <w:t xml:space="preserve">Points allocated </w:t>
            </w:r>
          </w:p>
        </w:tc>
        <w:tc>
          <w:tcPr>
            <w:tcW w:w="1645" w:type="dxa"/>
          </w:tcPr>
          <w:p w:rsidR="00FB5F19" w:rsidRPr="00B9578A" w:rsidRDefault="00FB5F19" w:rsidP="007A3FD9">
            <w:pPr>
              <w:rPr>
                <w:rFonts w:ascii="Arial" w:hAnsi="Arial" w:cs="Arial"/>
                <w:bCs/>
                <w:sz w:val="20"/>
                <w:szCs w:val="20"/>
                <w:lang w:val="en-GB"/>
              </w:rPr>
            </w:pPr>
            <w:r>
              <w:rPr>
                <w:rFonts w:ascii="Arial" w:hAnsi="Arial" w:cs="Arial"/>
                <w:bCs/>
                <w:sz w:val="20"/>
                <w:szCs w:val="20"/>
                <w:lang w:val="en-GB"/>
              </w:rPr>
              <w:t>5</w:t>
            </w:r>
          </w:p>
        </w:tc>
        <w:tc>
          <w:tcPr>
            <w:tcW w:w="1701" w:type="dxa"/>
          </w:tcPr>
          <w:p w:rsidR="00FB5F19" w:rsidRPr="00B9578A" w:rsidRDefault="00FB5F19" w:rsidP="007A3FD9">
            <w:pPr>
              <w:rPr>
                <w:rFonts w:ascii="Arial" w:hAnsi="Arial" w:cs="Arial"/>
                <w:bCs/>
                <w:sz w:val="20"/>
                <w:szCs w:val="20"/>
                <w:lang w:val="en-GB"/>
              </w:rPr>
            </w:pPr>
            <w:r>
              <w:rPr>
                <w:rFonts w:ascii="Arial" w:hAnsi="Arial" w:cs="Arial"/>
                <w:bCs/>
                <w:sz w:val="20"/>
                <w:szCs w:val="20"/>
                <w:lang w:val="en-GB"/>
              </w:rPr>
              <w:t>15</w:t>
            </w:r>
          </w:p>
        </w:tc>
        <w:tc>
          <w:tcPr>
            <w:tcW w:w="1644" w:type="dxa"/>
          </w:tcPr>
          <w:p w:rsidR="00FB5F19" w:rsidRPr="00B9578A" w:rsidRDefault="0030780D" w:rsidP="007A3FD9">
            <w:pPr>
              <w:rPr>
                <w:rFonts w:ascii="Arial" w:hAnsi="Arial" w:cs="Arial"/>
                <w:bCs/>
                <w:sz w:val="20"/>
                <w:szCs w:val="20"/>
                <w:lang w:val="en-GB"/>
              </w:rPr>
            </w:pPr>
            <w:r>
              <w:rPr>
                <w:rFonts w:ascii="Arial" w:hAnsi="Arial" w:cs="Arial"/>
                <w:bCs/>
                <w:sz w:val="20"/>
                <w:szCs w:val="20"/>
                <w:lang w:val="en-GB"/>
              </w:rPr>
              <w:t>2</w:t>
            </w:r>
            <w:r w:rsidR="00FB5F19">
              <w:rPr>
                <w:rFonts w:ascii="Arial" w:hAnsi="Arial" w:cs="Arial"/>
                <w:bCs/>
                <w:sz w:val="20"/>
                <w:szCs w:val="20"/>
                <w:lang w:val="en-GB"/>
              </w:rPr>
              <w:t>0</w:t>
            </w:r>
          </w:p>
        </w:tc>
      </w:tr>
      <w:tr w:rsidR="00FB5F19" w:rsidRPr="00B9578A" w:rsidTr="007A3FD9">
        <w:tc>
          <w:tcPr>
            <w:tcW w:w="4020" w:type="dxa"/>
          </w:tcPr>
          <w:p w:rsidR="00FB5F19" w:rsidRPr="00B9578A" w:rsidRDefault="00FB5F19" w:rsidP="007A3FD9">
            <w:pPr>
              <w:rPr>
                <w:rFonts w:ascii="Arial" w:hAnsi="Arial" w:cs="Arial"/>
                <w:bCs/>
                <w:sz w:val="20"/>
                <w:szCs w:val="20"/>
                <w:lang w:val="en-GB"/>
              </w:rPr>
            </w:pPr>
            <w:r>
              <w:rPr>
                <w:rFonts w:ascii="Arial" w:hAnsi="Arial" w:cs="Arial"/>
                <w:bCs/>
                <w:sz w:val="20"/>
                <w:szCs w:val="20"/>
                <w:lang w:val="en-GB"/>
              </w:rPr>
              <w:t>Points claimed, Simply tick the appropriate box</w:t>
            </w:r>
          </w:p>
        </w:tc>
        <w:tc>
          <w:tcPr>
            <w:tcW w:w="1645" w:type="dxa"/>
          </w:tcPr>
          <w:p w:rsidR="00FB5F19" w:rsidRPr="00B9578A" w:rsidRDefault="00FB5F19" w:rsidP="007A3FD9">
            <w:pPr>
              <w:rPr>
                <w:rFonts w:ascii="Arial" w:hAnsi="Arial" w:cs="Arial"/>
                <w:bCs/>
                <w:sz w:val="20"/>
                <w:szCs w:val="20"/>
                <w:lang w:val="en-GB"/>
              </w:rPr>
            </w:pPr>
          </w:p>
        </w:tc>
        <w:tc>
          <w:tcPr>
            <w:tcW w:w="1701" w:type="dxa"/>
          </w:tcPr>
          <w:p w:rsidR="00FB5F19" w:rsidRPr="00B9578A" w:rsidRDefault="00FB5F19" w:rsidP="007A3FD9">
            <w:pPr>
              <w:rPr>
                <w:rFonts w:ascii="Arial" w:hAnsi="Arial" w:cs="Arial"/>
                <w:bCs/>
                <w:sz w:val="20"/>
                <w:szCs w:val="20"/>
                <w:lang w:val="en-GB"/>
              </w:rPr>
            </w:pPr>
          </w:p>
        </w:tc>
        <w:tc>
          <w:tcPr>
            <w:tcW w:w="1644" w:type="dxa"/>
          </w:tcPr>
          <w:p w:rsidR="00FB5F19" w:rsidRPr="00B9578A" w:rsidRDefault="00E749ED" w:rsidP="00A016AE">
            <w:pPr>
              <w:jc w:val="center"/>
              <w:rPr>
                <w:rFonts w:ascii="Arial" w:hAnsi="Arial" w:cs="Arial"/>
                <w:bCs/>
                <w:sz w:val="20"/>
                <w:szCs w:val="20"/>
                <w:lang w:val="en-GB"/>
              </w:rPr>
            </w:pPr>
            <w:r w:rsidRPr="00E749ED">
              <w:rPr>
                <w:rFonts w:ascii="Apple Color Emoji" w:hAnsi="Apple Color Emoji" w:cs="Apple Color Emoji"/>
                <w:bCs/>
                <w:lang w:val="en-GB"/>
              </w:rPr>
              <w:t>✔</w:t>
            </w:r>
          </w:p>
        </w:tc>
      </w:tr>
    </w:tbl>
    <w:p w:rsidR="00FB5F19" w:rsidRDefault="00FB5F19" w:rsidP="00B9578A">
      <w:pPr>
        <w:rPr>
          <w:rFonts w:ascii="Arial" w:hAnsi="Arial" w:cs="Arial"/>
          <w:bCs/>
          <w:lang w:val="en-GB"/>
        </w:rPr>
      </w:pPr>
    </w:p>
    <w:p w:rsidR="00AC2F41" w:rsidRDefault="00AC2F41" w:rsidP="00B9578A">
      <w:pPr>
        <w:rPr>
          <w:rFonts w:ascii="Arial" w:hAnsi="Arial" w:cs="Arial"/>
          <w:bCs/>
          <w:lang w:val="en-GB"/>
        </w:rPr>
      </w:pPr>
    </w:p>
    <w:p w:rsidR="0030780D" w:rsidRPr="00F42759" w:rsidRDefault="00F42759" w:rsidP="00F42759">
      <w:pPr>
        <w:tabs>
          <w:tab w:val="left" w:pos="709"/>
        </w:tabs>
        <w:spacing w:line="360" w:lineRule="auto"/>
        <w:jc w:val="both"/>
        <w:rPr>
          <w:rFonts w:ascii="Arial" w:hAnsi="Arial" w:cs="Arial"/>
          <w:bCs/>
          <w:lang w:val="en-GB"/>
        </w:rPr>
      </w:pPr>
      <w:r>
        <w:rPr>
          <w:rFonts w:ascii="Arial" w:eastAsiaTheme="minorHAnsi" w:hAnsi="Arial" w:cs="Arial"/>
          <w:bCs/>
          <w:lang w:val="en-GB" w:eastAsia="en-US" w:bidi="ar-SA"/>
        </w:rPr>
        <w:t>(c)</w:t>
      </w:r>
      <w:r>
        <w:rPr>
          <w:rFonts w:ascii="Arial" w:eastAsiaTheme="minorHAnsi" w:hAnsi="Arial" w:cs="Arial"/>
          <w:bCs/>
          <w:lang w:val="en-GB" w:eastAsia="en-US" w:bidi="ar-SA"/>
        </w:rPr>
        <w:tab/>
      </w:r>
      <w:r w:rsidR="0030780D" w:rsidRPr="00F42759">
        <w:rPr>
          <w:rFonts w:ascii="Arial" w:hAnsi="Arial" w:cs="Arial"/>
          <w:bCs/>
          <w:lang w:val="en-GB"/>
        </w:rPr>
        <w:t>Bidder’s Locality</w:t>
      </w:r>
    </w:p>
    <w:p w:rsidR="00AC2F41" w:rsidRDefault="00AC2F41" w:rsidP="00AC2F41">
      <w:pPr>
        <w:pStyle w:val="ListParagraph"/>
        <w:tabs>
          <w:tab w:val="left" w:pos="709"/>
        </w:tabs>
        <w:spacing w:line="360" w:lineRule="auto"/>
        <w:ind w:left="1065"/>
        <w:jc w:val="both"/>
        <w:rPr>
          <w:rFonts w:ascii="Arial" w:hAnsi="Arial" w:cs="Arial"/>
          <w:bCs/>
          <w:lang w:val="en-GB"/>
        </w:rPr>
      </w:pPr>
    </w:p>
    <w:tbl>
      <w:tblPr>
        <w:tblStyle w:val="TableGrid"/>
        <w:tblW w:w="0" w:type="auto"/>
        <w:tblLook w:val="04A0" w:firstRow="1" w:lastRow="0" w:firstColumn="1" w:lastColumn="0" w:noHBand="0" w:noVBand="1"/>
      </w:tblPr>
      <w:tblGrid>
        <w:gridCol w:w="4020"/>
        <w:gridCol w:w="1645"/>
        <w:gridCol w:w="1701"/>
        <w:gridCol w:w="1644"/>
      </w:tblGrid>
      <w:tr w:rsidR="0030780D" w:rsidRPr="00B9578A" w:rsidTr="007A3FD9">
        <w:tc>
          <w:tcPr>
            <w:tcW w:w="4020" w:type="dxa"/>
          </w:tcPr>
          <w:p w:rsidR="0030780D" w:rsidRPr="00B9578A" w:rsidRDefault="0030780D" w:rsidP="007A3FD9">
            <w:pPr>
              <w:rPr>
                <w:rFonts w:ascii="Arial" w:hAnsi="Arial" w:cs="Arial"/>
                <w:bCs/>
                <w:sz w:val="20"/>
                <w:szCs w:val="20"/>
                <w:lang w:val="en-GB"/>
              </w:rPr>
            </w:pPr>
            <w:r>
              <w:rPr>
                <w:rFonts w:ascii="Arial" w:hAnsi="Arial" w:cs="Arial"/>
                <w:bCs/>
                <w:sz w:val="20"/>
                <w:szCs w:val="20"/>
                <w:lang w:val="en-GB"/>
              </w:rPr>
              <w:t>Description</w:t>
            </w:r>
          </w:p>
        </w:tc>
        <w:tc>
          <w:tcPr>
            <w:tcW w:w="1645" w:type="dxa"/>
          </w:tcPr>
          <w:p w:rsidR="0030780D" w:rsidRPr="00B9578A" w:rsidRDefault="0030780D" w:rsidP="007A3FD9">
            <w:pPr>
              <w:rPr>
                <w:rFonts w:ascii="Arial" w:hAnsi="Arial" w:cs="Arial"/>
                <w:bCs/>
                <w:sz w:val="20"/>
                <w:szCs w:val="20"/>
                <w:lang w:val="en-GB"/>
              </w:rPr>
            </w:pPr>
            <w:r w:rsidRPr="00B9578A">
              <w:rPr>
                <w:rFonts w:ascii="Arial" w:hAnsi="Arial" w:cs="Arial"/>
                <w:bCs/>
                <w:sz w:val="20"/>
                <w:szCs w:val="20"/>
                <w:lang w:val="en-GB"/>
              </w:rPr>
              <w:t>Points</w:t>
            </w:r>
          </w:p>
        </w:tc>
        <w:tc>
          <w:tcPr>
            <w:tcW w:w="1701" w:type="dxa"/>
          </w:tcPr>
          <w:p w:rsidR="0030780D" w:rsidRPr="00B9578A" w:rsidRDefault="0030780D" w:rsidP="007A3FD9">
            <w:pPr>
              <w:rPr>
                <w:rFonts w:ascii="Arial" w:hAnsi="Arial" w:cs="Arial"/>
                <w:bCs/>
                <w:sz w:val="20"/>
                <w:szCs w:val="20"/>
                <w:lang w:val="en-GB"/>
              </w:rPr>
            </w:pPr>
            <w:r w:rsidRPr="00B9578A">
              <w:rPr>
                <w:rFonts w:ascii="Arial" w:hAnsi="Arial" w:cs="Arial"/>
                <w:bCs/>
                <w:sz w:val="20"/>
                <w:szCs w:val="20"/>
                <w:lang w:val="en-GB"/>
              </w:rPr>
              <w:t>Points</w:t>
            </w:r>
          </w:p>
        </w:tc>
        <w:tc>
          <w:tcPr>
            <w:tcW w:w="1644" w:type="dxa"/>
          </w:tcPr>
          <w:p w:rsidR="0030780D" w:rsidRPr="00B9578A" w:rsidRDefault="0030780D" w:rsidP="007A3FD9">
            <w:pPr>
              <w:rPr>
                <w:rFonts w:ascii="Arial" w:hAnsi="Arial" w:cs="Arial"/>
                <w:bCs/>
                <w:sz w:val="20"/>
                <w:szCs w:val="20"/>
                <w:lang w:val="en-GB"/>
              </w:rPr>
            </w:pPr>
            <w:r w:rsidRPr="00B9578A">
              <w:rPr>
                <w:rFonts w:ascii="Arial" w:hAnsi="Arial" w:cs="Arial"/>
                <w:bCs/>
                <w:sz w:val="20"/>
                <w:szCs w:val="20"/>
                <w:lang w:val="en-GB"/>
              </w:rPr>
              <w:t>Points</w:t>
            </w:r>
          </w:p>
        </w:tc>
      </w:tr>
      <w:tr w:rsidR="0030780D" w:rsidRPr="00B9578A" w:rsidTr="007A3FD9">
        <w:tc>
          <w:tcPr>
            <w:tcW w:w="4020" w:type="dxa"/>
          </w:tcPr>
          <w:p w:rsidR="0030780D" w:rsidRPr="00B9578A" w:rsidRDefault="0030780D" w:rsidP="007A3FD9">
            <w:pPr>
              <w:rPr>
                <w:rFonts w:ascii="Arial" w:hAnsi="Arial" w:cs="Arial"/>
                <w:bCs/>
                <w:sz w:val="20"/>
                <w:szCs w:val="20"/>
                <w:lang w:val="en-GB"/>
              </w:rPr>
            </w:pPr>
            <w:r>
              <w:rPr>
                <w:rFonts w:ascii="Arial" w:hAnsi="Arial" w:cs="Arial"/>
                <w:bCs/>
                <w:sz w:val="20"/>
                <w:szCs w:val="20"/>
                <w:lang w:val="en-GB"/>
              </w:rPr>
              <w:t>Bidder’s location and warehouse facilities</w:t>
            </w:r>
          </w:p>
        </w:tc>
        <w:tc>
          <w:tcPr>
            <w:tcW w:w="1645" w:type="dxa"/>
          </w:tcPr>
          <w:p w:rsidR="0030780D" w:rsidRPr="00FB5F19" w:rsidRDefault="0030780D" w:rsidP="007A3FD9">
            <w:pPr>
              <w:rPr>
                <w:rFonts w:ascii="Arial" w:hAnsi="Arial" w:cs="Arial"/>
                <w:bCs/>
                <w:sz w:val="20"/>
                <w:szCs w:val="20"/>
                <w:lang w:val="en-GB"/>
              </w:rPr>
            </w:pPr>
            <w:r>
              <w:rPr>
                <w:rFonts w:ascii="Arial" w:hAnsi="Arial" w:cs="Arial"/>
                <w:bCs/>
                <w:sz w:val="20"/>
                <w:szCs w:val="20"/>
                <w:lang w:val="en-GB"/>
              </w:rPr>
              <w:t>Outside of the District</w:t>
            </w:r>
          </w:p>
        </w:tc>
        <w:tc>
          <w:tcPr>
            <w:tcW w:w="1701" w:type="dxa"/>
          </w:tcPr>
          <w:p w:rsidR="0030780D" w:rsidRPr="00FB5F19" w:rsidRDefault="0030780D" w:rsidP="007A3FD9">
            <w:pPr>
              <w:rPr>
                <w:rFonts w:ascii="Arial" w:hAnsi="Arial" w:cs="Arial"/>
                <w:bCs/>
                <w:sz w:val="20"/>
                <w:szCs w:val="20"/>
                <w:lang w:val="en-GB"/>
              </w:rPr>
            </w:pPr>
            <w:r>
              <w:rPr>
                <w:rFonts w:ascii="Arial" w:hAnsi="Arial" w:cs="Arial"/>
                <w:bCs/>
                <w:sz w:val="20"/>
                <w:szCs w:val="20"/>
                <w:lang w:val="en-GB"/>
              </w:rPr>
              <w:t>Within the District</w:t>
            </w:r>
          </w:p>
        </w:tc>
        <w:tc>
          <w:tcPr>
            <w:tcW w:w="1644" w:type="dxa"/>
          </w:tcPr>
          <w:p w:rsidR="0030780D" w:rsidRPr="00FB5F19" w:rsidRDefault="0030780D" w:rsidP="007A3FD9">
            <w:pPr>
              <w:rPr>
                <w:rFonts w:ascii="Arial" w:hAnsi="Arial" w:cs="Arial"/>
                <w:bCs/>
                <w:sz w:val="20"/>
                <w:szCs w:val="20"/>
                <w:lang w:val="en-GB"/>
              </w:rPr>
            </w:pPr>
            <w:r>
              <w:rPr>
                <w:rFonts w:ascii="Arial" w:hAnsi="Arial" w:cs="Arial"/>
                <w:bCs/>
                <w:sz w:val="20"/>
                <w:szCs w:val="20"/>
                <w:lang w:val="en-GB"/>
              </w:rPr>
              <w:t>Within 5Km to Ladysmith CBD</w:t>
            </w:r>
          </w:p>
        </w:tc>
      </w:tr>
      <w:tr w:rsidR="0030780D" w:rsidRPr="00B9578A" w:rsidTr="007A3FD9">
        <w:tc>
          <w:tcPr>
            <w:tcW w:w="4020" w:type="dxa"/>
          </w:tcPr>
          <w:p w:rsidR="0030780D" w:rsidRPr="00B9578A" w:rsidRDefault="0030780D" w:rsidP="007A3FD9">
            <w:pPr>
              <w:rPr>
                <w:rFonts w:ascii="Arial" w:hAnsi="Arial" w:cs="Arial"/>
                <w:bCs/>
                <w:sz w:val="20"/>
                <w:szCs w:val="20"/>
                <w:lang w:val="en-GB"/>
              </w:rPr>
            </w:pPr>
            <w:r>
              <w:rPr>
                <w:rFonts w:ascii="Arial" w:hAnsi="Arial" w:cs="Arial"/>
                <w:bCs/>
                <w:sz w:val="20"/>
                <w:szCs w:val="20"/>
                <w:lang w:val="en-GB"/>
              </w:rPr>
              <w:t xml:space="preserve">Points allocated </w:t>
            </w:r>
          </w:p>
        </w:tc>
        <w:tc>
          <w:tcPr>
            <w:tcW w:w="1645" w:type="dxa"/>
          </w:tcPr>
          <w:p w:rsidR="0030780D" w:rsidRPr="00B9578A" w:rsidRDefault="0030780D" w:rsidP="007A3FD9">
            <w:pPr>
              <w:rPr>
                <w:rFonts w:ascii="Arial" w:hAnsi="Arial" w:cs="Arial"/>
                <w:bCs/>
                <w:sz w:val="20"/>
                <w:szCs w:val="20"/>
                <w:lang w:val="en-GB"/>
              </w:rPr>
            </w:pPr>
            <w:r>
              <w:rPr>
                <w:rFonts w:ascii="Arial" w:hAnsi="Arial" w:cs="Arial"/>
                <w:bCs/>
                <w:sz w:val="20"/>
                <w:szCs w:val="20"/>
                <w:lang w:val="en-GB"/>
              </w:rPr>
              <w:t>5</w:t>
            </w:r>
          </w:p>
        </w:tc>
        <w:tc>
          <w:tcPr>
            <w:tcW w:w="1701" w:type="dxa"/>
          </w:tcPr>
          <w:p w:rsidR="0030780D" w:rsidRPr="00B9578A" w:rsidRDefault="0030780D" w:rsidP="007A3FD9">
            <w:pPr>
              <w:rPr>
                <w:rFonts w:ascii="Arial" w:hAnsi="Arial" w:cs="Arial"/>
                <w:bCs/>
                <w:sz w:val="20"/>
                <w:szCs w:val="20"/>
                <w:lang w:val="en-GB"/>
              </w:rPr>
            </w:pPr>
            <w:r>
              <w:rPr>
                <w:rFonts w:ascii="Arial" w:hAnsi="Arial" w:cs="Arial"/>
                <w:bCs/>
                <w:sz w:val="20"/>
                <w:szCs w:val="20"/>
                <w:lang w:val="en-GB"/>
              </w:rPr>
              <w:t>15</w:t>
            </w:r>
          </w:p>
        </w:tc>
        <w:tc>
          <w:tcPr>
            <w:tcW w:w="1644" w:type="dxa"/>
          </w:tcPr>
          <w:p w:rsidR="0030780D" w:rsidRPr="00B9578A" w:rsidRDefault="0030780D" w:rsidP="007A3FD9">
            <w:pPr>
              <w:rPr>
                <w:rFonts w:ascii="Arial" w:hAnsi="Arial" w:cs="Arial"/>
                <w:bCs/>
                <w:sz w:val="20"/>
                <w:szCs w:val="20"/>
                <w:lang w:val="en-GB"/>
              </w:rPr>
            </w:pPr>
            <w:r>
              <w:rPr>
                <w:rFonts w:ascii="Arial" w:hAnsi="Arial" w:cs="Arial"/>
                <w:bCs/>
                <w:sz w:val="20"/>
                <w:szCs w:val="20"/>
                <w:lang w:val="en-GB"/>
              </w:rPr>
              <w:t>20</w:t>
            </w:r>
          </w:p>
        </w:tc>
      </w:tr>
      <w:tr w:rsidR="0030780D" w:rsidRPr="00B9578A" w:rsidTr="007A3FD9">
        <w:tc>
          <w:tcPr>
            <w:tcW w:w="4020" w:type="dxa"/>
          </w:tcPr>
          <w:p w:rsidR="0030780D" w:rsidRPr="00B9578A" w:rsidRDefault="0030780D" w:rsidP="007A3FD9">
            <w:pPr>
              <w:rPr>
                <w:rFonts w:ascii="Arial" w:hAnsi="Arial" w:cs="Arial"/>
                <w:bCs/>
                <w:sz w:val="20"/>
                <w:szCs w:val="20"/>
                <w:lang w:val="en-GB"/>
              </w:rPr>
            </w:pPr>
            <w:r>
              <w:rPr>
                <w:rFonts w:ascii="Arial" w:hAnsi="Arial" w:cs="Arial"/>
                <w:bCs/>
                <w:sz w:val="20"/>
                <w:szCs w:val="20"/>
                <w:lang w:val="en-GB"/>
              </w:rPr>
              <w:t>Points claimed, Simply tick the appropriate box</w:t>
            </w:r>
          </w:p>
        </w:tc>
        <w:tc>
          <w:tcPr>
            <w:tcW w:w="1645" w:type="dxa"/>
          </w:tcPr>
          <w:p w:rsidR="0030780D" w:rsidRPr="00B9578A" w:rsidRDefault="0030780D" w:rsidP="007A3FD9">
            <w:pPr>
              <w:rPr>
                <w:rFonts w:ascii="Arial" w:hAnsi="Arial" w:cs="Arial"/>
                <w:bCs/>
                <w:sz w:val="20"/>
                <w:szCs w:val="20"/>
                <w:lang w:val="en-GB"/>
              </w:rPr>
            </w:pPr>
          </w:p>
        </w:tc>
        <w:tc>
          <w:tcPr>
            <w:tcW w:w="1701" w:type="dxa"/>
          </w:tcPr>
          <w:p w:rsidR="0030780D" w:rsidRPr="00B9578A" w:rsidRDefault="0030780D" w:rsidP="007A3FD9">
            <w:pPr>
              <w:rPr>
                <w:rFonts w:ascii="Arial" w:hAnsi="Arial" w:cs="Arial"/>
                <w:bCs/>
                <w:sz w:val="20"/>
                <w:szCs w:val="20"/>
                <w:lang w:val="en-GB"/>
              </w:rPr>
            </w:pPr>
          </w:p>
        </w:tc>
        <w:tc>
          <w:tcPr>
            <w:tcW w:w="1644" w:type="dxa"/>
          </w:tcPr>
          <w:p w:rsidR="0030780D" w:rsidRPr="00B9578A" w:rsidRDefault="00A016AE" w:rsidP="00E749ED">
            <w:pPr>
              <w:jc w:val="center"/>
              <w:rPr>
                <w:rFonts w:ascii="Arial" w:hAnsi="Arial" w:cs="Arial"/>
                <w:bCs/>
                <w:sz w:val="20"/>
                <w:szCs w:val="20"/>
                <w:lang w:val="en-GB"/>
              </w:rPr>
            </w:pPr>
            <w:r>
              <w:rPr>
                <w:rFonts w:ascii="Apple Color Emoji" w:hAnsi="Apple Color Emoji" w:cs="Apple Color Emoji"/>
                <w:bCs/>
                <w:lang w:val="en-GB"/>
              </w:rPr>
              <w:t>✔</w:t>
            </w:r>
          </w:p>
        </w:tc>
      </w:tr>
    </w:tbl>
    <w:p w:rsidR="00FB5F19" w:rsidRDefault="00FB5F19" w:rsidP="00B9578A">
      <w:pPr>
        <w:rPr>
          <w:rFonts w:ascii="Arial" w:hAnsi="Arial" w:cs="Arial"/>
          <w:bCs/>
          <w:lang w:val="en-GB"/>
        </w:rPr>
      </w:pPr>
    </w:p>
    <w:p w:rsidR="009F326B" w:rsidRDefault="009F326B" w:rsidP="00B9578A">
      <w:pPr>
        <w:rPr>
          <w:rFonts w:ascii="Arial" w:hAnsi="Arial" w:cs="Arial"/>
          <w:bCs/>
          <w:lang w:val="en-GB"/>
        </w:rPr>
      </w:pPr>
    </w:p>
    <w:p w:rsidR="001E5F7E" w:rsidRPr="00F42759" w:rsidRDefault="00F42759" w:rsidP="00F42759">
      <w:pPr>
        <w:tabs>
          <w:tab w:val="left" w:pos="709"/>
        </w:tabs>
        <w:spacing w:line="360" w:lineRule="auto"/>
        <w:jc w:val="both"/>
        <w:rPr>
          <w:rFonts w:ascii="Arial" w:hAnsi="Arial" w:cs="Arial"/>
          <w:bCs/>
          <w:lang w:val="en-GB"/>
        </w:rPr>
      </w:pPr>
      <w:r>
        <w:rPr>
          <w:rFonts w:ascii="Arial" w:eastAsiaTheme="minorHAnsi" w:hAnsi="Arial" w:cs="Arial"/>
          <w:bCs/>
          <w:lang w:val="en-GB" w:eastAsia="en-US" w:bidi="ar-SA"/>
        </w:rPr>
        <w:t>[55]</w:t>
      </w:r>
      <w:r>
        <w:rPr>
          <w:rFonts w:ascii="Arial" w:eastAsiaTheme="minorHAnsi" w:hAnsi="Arial" w:cs="Arial"/>
          <w:bCs/>
          <w:lang w:val="en-GB" w:eastAsia="en-US" w:bidi="ar-SA"/>
        </w:rPr>
        <w:tab/>
      </w:r>
      <w:r w:rsidR="00D546B6" w:rsidRPr="00F42759">
        <w:rPr>
          <w:rFonts w:ascii="Arial" w:hAnsi="Arial" w:cs="Arial"/>
          <w:bCs/>
          <w:lang w:val="en-GB"/>
        </w:rPr>
        <w:t xml:space="preserve">The bidder thus gave itself maximum points in each of these </w:t>
      </w:r>
      <w:r w:rsidR="009F326B" w:rsidRPr="00F42759">
        <w:rPr>
          <w:rFonts w:ascii="Arial" w:hAnsi="Arial" w:cs="Arial"/>
          <w:bCs/>
          <w:lang w:val="en-GB"/>
        </w:rPr>
        <w:t>three</w:t>
      </w:r>
      <w:r w:rsidR="00D546B6" w:rsidRPr="00F42759">
        <w:rPr>
          <w:rFonts w:ascii="Arial" w:hAnsi="Arial" w:cs="Arial"/>
          <w:bCs/>
          <w:lang w:val="en-GB"/>
        </w:rPr>
        <w:t xml:space="preserve"> categories. </w:t>
      </w:r>
      <w:r w:rsidR="00221277" w:rsidRPr="00F42759">
        <w:rPr>
          <w:rFonts w:ascii="Arial" w:hAnsi="Arial" w:cs="Arial"/>
          <w:bCs/>
          <w:lang w:val="en-GB"/>
        </w:rPr>
        <w:t xml:space="preserve">This </w:t>
      </w:r>
      <w:r w:rsidR="009F326B" w:rsidRPr="00F42759">
        <w:rPr>
          <w:rFonts w:ascii="Arial" w:hAnsi="Arial" w:cs="Arial"/>
          <w:bCs/>
          <w:lang w:val="en-GB"/>
        </w:rPr>
        <w:t xml:space="preserve">assessment </w:t>
      </w:r>
      <w:r w:rsidR="00221277" w:rsidRPr="00F42759">
        <w:rPr>
          <w:rFonts w:ascii="Arial" w:hAnsi="Arial" w:cs="Arial"/>
          <w:bCs/>
          <w:lang w:val="en-GB"/>
        </w:rPr>
        <w:t>was accepted by the bid evaluation committee</w:t>
      </w:r>
      <w:r w:rsidR="005057E3" w:rsidRPr="00F42759">
        <w:rPr>
          <w:rFonts w:ascii="Arial" w:hAnsi="Arial" w:cs="Arial"/>
          <w:bCs/>
          <w:lang w:val="en-GB"/>
        </w:rPr>
        <w:t xml:space="preserve"> witho</w:t>
      </w:r>
      <w:r w:rsidR="00BF31B7" w:rsidRPr="00F42759">
        <w:rPr>
          <w:rFonts w:ascii="Arial" w:hAnsi="Arial" w:cs="Arial"/>
          <w:bCs/>
          <w:lang w:val="en-GB"/>
        </w:rPr>
        <w:t>u</w:t>
      </w:r>
      <w:r w:rsidR="005057E3" w:rsidRPr="00F42759">
        <w:rPr>
          <w:rFonts w:ascii="Arial" w:hAnsi="Arial" w:cs="Arial"/>
          <w:bCs/>
          <w:lang w:val="en-GB"/>
        </w:rPr>
        <w:t>t demur</w:t>
      </w:r>
      <w:r w:rsidR="00221277" w:rsidRPr="00F42759">
        <w:rPr>
          <w:rFonts w:ascii="Arial" w:hAnsi="Arial" w:cs="Arial"/>
          <w:bCs/>
          <w:lang w:val="en-GB"/>
        </w:rPr>
        <w:t xml:space="preserve">. </w:t>
      </w:r>
      <w:r w:rsidR="00381200" w:rsidRPr="00F42759">
        <w:rPr>
          <w:rFonts w:ascii="Arial" w:hAnsi="Arial" w:cs="Arial"/>
          <w:bCs/>
          <w:lang w:val="en-GB"/>
        </w:rPr>
        <w:t>In c</w:t>
      </w:r>
      <w:r w:rsidR="001E5F7E" w:rsidRPr="00F42759">
        <w:rPr>
          <w:rFonts w:ascii="Arial" w:hAnsi="Arial" w:cs="Arial"/>
          <w:bCs/>
          <w:lang w:val="en-GB"/>
        </w:rPr>
        <w:t>onsidering each of these categories</w:t>
      </w:r>
      <w:r w:rsidR="00381200" w:rsidRPr="00F42759">
        <w:rPr>
          <w:rFonts w:ascii="Arial" w:hAnsi="Arial" w:cs="Arial"/>
          <w:bCs/>
          <w:lang w:val="en-GB"/>
        </w:rPr>
        <w:t xml:space="preserve">, the following </w:t>
      </w:r>
      <w:r w:rsidR="00493DEE" w:rsidRPr="00F42759">
        <w:rPr>
          <w:rFonts w:ascii="Arial" w:hAnsi="Arial" w:cs="Arial"/>
          <w:bCs/>
          <w:lang w:val="en-GB"/>
        </w:rPr>
        <w:t>emerges</w:t>
      </w:r>
      <w:r w:rsidR="001E5F7E" w:rsidRPr="00F42759">
        <w:rPr>
          <w:rFonts w:ascii="Arial" w:hAnsi="Arial" w:cs="Arial"/>
          <w:bCs/>
          <w:lang w:val="en-GB"/>
        </w:rPr>
        <w:t>:</w:t>
      </w:r>
    </w:p>
    <w:p w:rsidR="001E5F7E" w:rsidRPr="00F42759" w:rsidRDefault="00F42759" w:rsidP="00F42759">
      <w:pPr>
        <w:tabs>
          <w:tab w:val="left" w:pos="709"/>
        </w:tabs>
        <w:spacing w:line="360" w:lineRule="auto"/>
        <w:jc w:val="both"/>
        <w:rPr>
          <w:rFonts w:ascii="Arial" w:hAnsi="Arial" w:cs="Arial"/>
          <w:bCs/>
          <w:lang w:val="en-GB"/>
        </w:rPr>
      </w:pPr>
      <w:r>
        <w:rPr>
          <w:rFonts w:ascii="Arial" w:eastAsiaTheme="minorHAnsi" w:hAnsi="Arial" w:cs="Arial"/>
          <w:bCs/>
          <w:lang w:val="en-GB" w:eastAsia="en-US" w:bidi="ar-SA"/>
        </w:rPr>
        <w:t>(a)</w:t>
      </w:r>
      <w:r>
        <w:rPr>
          <w:rFonts w:ascii="Arial" w:eastAsiaTheme="minorHAnsi" w:hAnsi="Arial" w:cs="Arial"/>
          <w:bCs/>
          <w:lang w:val="en-GB" w:eastAsia="en-US" w:bidi="ar-SA"/>
        </w:rPr>
        <w:tab/>
      </w:r>
      <w:r w:rsidR="003108E8" w:rsidRPr="00F42759">
        <w:rPr>
          <w:rFonts w:ascii="Arial" w:hAnsi="Arial" w:cs="Arial"/>
          <w:bCs/>
          <w:lang w:val="en-GB"/>
        </w:rPr>
        <w:t xml:space="preserve">Insofar as the </w:t>
      </w:r>
      <w:r w:rsidR="001E5F7E" w:rsidRPr="00F42759">
        <w:rPr>
          <w:rFonts w:ascii="Arial" w:hAnsi="Arial" w:cs="Arial"/>
          <w:bCs/>
          <w:lang w:val="en-GB"/>
        </w:rPr>
        <w:t xml:space="preserve">experience category </w:t>
      </w:r>
      <w:r w:rsidR="003108E8" w:rsidRPr="00F42759">
        <w:rPr>
          <w:rFonts w:ascii="Arial" w:hAnsi="Arial" w:cs="Arial"/>
          <w:bCs/>
          <w:lang w:val="en-GB"/>
        </w:rPr>
        <w:t xml:space="preserve">is concerned, letters </w:t>
      </w:r>
      <w:r w:rsidR="001E5F7E" w:rsidRPr="00F42759">
        <w:rPr>
          <w:rFonts w:ascii="Arial" w:hAnsi="Arial" w:cs="Arial"/>
          <w:bCs/>
          <w:lang w:val="en-GB"/>
        </w:rPr>
        <w:t>of reference were to be attached to the bid</w:t>
      </w:r>
      <w:r w:rsidR="003108E8" w:rsidRPr="00F42759">
        <w:rPr>
          <w:rFonts w:ascii="Arial" w:hAnsi="Arial" w:cs="Arial"/>
          <w:bCs/>
          <w:lang w:val="en-GB"/>
        </w:rPr>
        <w:t xml:space="preserve"> to support the response given</w:t>
      </w:r>
      <w:r w:rsidR="001E5F7E" w:rsidRPr="00F42759">
        <w:rPr>
          <w:rFonts w:ascii="Arial" w:hAnsi="Arial" w:cs="Arial"/>
          <w:bCs/>
          <w:lang w:val="en-GB"/>
        </w:rPr>
        <w:t xml:space="preserve">. None were attached that recorded the involvement of </w:t>
      </w:r>
      <w:r w:rsidR="003503EE" w:rsidRPr="00F42759">
        <w:rPr>
          <w:rFonts w:ascii="Arial" w:hAnsi="Arial" w:cs="Arial"/>
          <w:bCs/>
          <w:lang w:val="en-GB"/>
        </w:rPr>
        <w:t xml:space="preserve">the </w:t>
      </w:r>
      <w:r w:rsidR="001E5F7E" w:rsidRPr="00F42759">
        <w:rPr>
          <w:rFonts w:ascii="Arial" w:hAnsi="Arial" w:cs="Arial"/>
          <w:bCs/>
          <w:lang w:val="en-GB"/>
        </w:rPr>
        <w:t xml:space="preserve">Marothodi Metsi and Sebata Group or the applicant. Nonetheless, 30 points were </w:t>
      </w:r>
      <w:r w:rsidR="00AA0F4B" w:rsidRPr="00F42759">
        <w:rPr>
          <w:rFonts w:ascii="Arial" w:hAnsi="Arial" w:cs="Arial"/>
          <w:bCs/>
          <w:lang w:val="en-GB"/>
        </w:rPr>
        <w:t>awarded</w:t>
      </w:r>
      <w:r w:rsidR="001E5F7E" w:rsidRPr="00F42759">
        <w:rPr>
          <w:rFonts w:ascii="Arial" w:hAnsi="Arial" w:cs="Arial"/>
          <w:bCs/>
          <w:lang w:val="en-GB"/>
        </w:rPr>
        <w:t xml:space="preserve"> and </w:t>
      </w:r>
      <w:r w:rsidR="00AA0F4B" w:rsidRPr="00F42759">
        <w:rPr>
          <w:rFonts w:ascii="Arial" w:hAnsi="Arial" w:cs="Arial"/>
          <w:bCs/>
          <w:lang w:val="en-GB"/>
        </w:rPr>
        <w:t>allocated</w:t>
      </w:r>
      <w:r w:rsidR="001E5F7E" w:rsidRPr="00F42759">
        <w:rPr>
          <w:rFonts w:ascii="Arial" w:hAnsi="Arial" w:cs="Arial"/>
          <w:bCs/>
          <w:lang w:val="en-GB"/>
        </w:rPr>
        <w:t xml:space="preserve"> by the bid evaluation committee. None ought to have been awarded;</w:t>
      </w:r>
    </w:p>
    <w:p w:rsidR="001E5F7E" w:rsidRPr="00F42759" w:rsidRDefault="00F42759" w:rsidP="00F42759">
      <w:pPr>
        <w:tabs>
          <w:tab w:val="left" w:pos="709"/>
        </w:tabs>
        <w:spacing w:line="360" w:lineRule="auto"/>
        <w:jc w:val="both"/>
        <w:rPr>
          <w:rFonts w:ascii="Arial" w:hAnsi="Arial" w:cs="Arial"/>
          <w:bCs/>
          <w:lang w:val="en-GB"/>
        </w:rPr>
      </w:pPr>
      <w:r>
        <w:rPr>
          <w:rFonts w:ascii="Arial" w:eastAsiaTheme="minorHAnsi" w:hAnsi="Arial" w:cs="Arial"/>
          <w:bCs/>
          <w:lang w:val="en-GB" w:eastAsia="en-US" w:bidi="ar-SA"/>
        </w:rPr>
        <w:t>(b)</w:t>
      </w:r>
      <w:r>
        <w:rPr>
          <w:rFonts w:ascii="Arial" w:eastAsiaTheme="minorHAnsi" w:hAnsi="Arial" w:cs="Arial"/>
          <w:bCs/>
          <w:lang w:val="en-GB" w:eastAsia="en-US" w:bidi="ar-SA"/>
        </w:rPr>
        <w:tab/>
      </w:r>
      <w:r w:rsidR="003108E8" w:rsidRPr="00F42759">
        <w:rPr>
          <w:rFonts w:ascii="Arial" w:hAnsi="Arial" w:cs="Arial"/>
          <w:bCs/>
          <w:lang w:val="en-GB"/>
        </w:rPr>
        <w:t>In the</w:t>
      </w:r>
      <w:r w:rsidR="001E5F7E" w:rsidRPr="00F42759">
        <w:rPr>
          <w:rFonts w:ascii="Arial" w:hAnsi="Arial" w:cs="Arial"/>
          <w:bCs/>
          <w:lang w:val="en-GB"/>
        </w:rPr>
        <w:t xml:space="preserve"> bidder’s capacity category</w:t>
      </w:r>
      <w:r w:rsidR="003108E8" w:rsidRPr="00F42759">
        <w:rPr>
          <w:rFonts w:ascii="Arial" w:hAnsi="Arial" w:cs="Arial"/>
          <w:bCs/>
          <w:lang w:val="en-GB"/>
        </w:rPr>
        <w:t>, the bidder claimed 20 points o</w:t>
      </w:r>
      <w:r w:rsidR="00AA0F4B" w:rsidRPr="00F42759">
        <w:rPr>
          <w:rFonts w:ascii="Arial" w:hAnsi="Arial" w:cs="Arial"/>
          <w:bCs/>
          <w:lang w:val="en-GB"/>
        </w:rPr>
        <w:t xml:space="preserve">n the basis that </w:t>
      </w:r>
      <w:r w:rsidR="003108E8" w:rsidRPr="00F42759">
        <w:rPr>
          <w:rFonts w:ascii="Arial" w:hAnsi="Arial" w:cs="Arial"/>
          <w:bCs/>
          <w:lang w:val="en-GB"/>
        </w:rPr>
        <w:t>it</w:t>
      </w:r>
      <w:r w:rsidR="00AA0F4B" w:rsidRPr="00F42759">
        <w:rPr>
          <w:rFonts w:ascii="Arial" w:hAnsi="Arial" w:cs="Arial"/>
          <w:bCs/>
          <w:lang w:val="en-GB"/>
        </w:rPr>
        <w:t xml:space="preserve"> had done </w:t>
      </w:r>
      <w:r w:rsidR="003108E8" w:rsidRPr="00F42759">
        <w:rPr>
          <w:rFonts w:ascii="Arial" w:hAnsi="Arial" w:cs="Arial"/>
          <w:bCs/>
          <w:lang w:val="en-GB"/>
        </w:rPr>
        <w:t xml:space="preserve">similar </w:t>
      </w:r>
      <w:r w:rsidR="00AA0F4B" w:rsidRPr="00F42759">
        <w:rPr>
          <w:rFonts w:ascii="Arial" w:hAnsi="Arial" w:cs="Arial"/>
          <w:bCs/>
          <w:lang w:val="en-GB"/>
        </w:rPr>
        <w:t xml:space="preserve">work for more than 10 years. The applicant, as opposed to </w:t>
      </w:r>
      <w:r w:rsidR="001F529A" w:rsidRPr="00F42759">
        <w:rPr>
          <w:rFonts w:ascii="Arial" w:hAnsi="Arial" w:cs="Arial"/>
          <w:bCs/>
          <w:lang w:val="en-GB"/>
        </w:rPr>
        <w:t xml:space="preserve">the </w:t>
      </w:r>
      <w:r w:rsidR="00AA0F4B" w:rsidRPr="00F42759">
        <w:rPr>
          <w:rFonts w:ascii="Arial" w:hAnsi="Arial" w:cs="Arial"/>
          <w:bCs/>
          <w:lang w:val="en-GB"/>
        </w:rPr>
        <w:t>Marothodi Metsi and Sebata Group, was only registered in 2016. It</w:t>
      </w:r>
      <w:r w:rsidR="003108E8" w:rsidRPr="00F42759">
        <w:rPr>
          <w:rFonts w:ascii="Arial" w:hAnsi="Arial" w:cs="Arial"/>
          <w:bCs/>
          <w:lang w:val="en-GB"/>
        </w:rPr>
        <w:t xml:space="preserve"> manifestly</w:t>
      </w:r>
      <w:r w:rsidR="00AA0F4B" w:rsidRPr="00F42759">
        <w:rPr>
          <w:rFonts w:ascii="Arial" w:hAnsi="Arial" w:cs="Arial"/>
          <w:bCs/>
          <w:lang w:val="en-GB"/>
        </w:rPr>
        <w:t xml:space="preserve"> could not have been doing these types of projects for more than 10 years</w:t>
      </w:r>
      <w:r w:rsidR="007C0159" w:rsidRPr="00F42759">
        <w:rPr>
          <w:rFonts w:ascii="Arial" w:hAnsi="Arial" w:cs="Arial"/>
          <w:bCs/>
          <w:lang w:val="en-GB"/>
        </w:rPr>
        <w:t>, whether on its own or in conjunction with another entity such as the Sebata Group</w:t>
      </w:r>
      <w:r w:rsidR="00AA0F4B" w:rsidRPr="00F42759">
        <w:rPr>
          <w:rFonts w:ascii="Arial" w:hAnsi="Arial" w:cs="Arial"/>
          <w:bCs/>
          <w:lang w:val="en-GB"/>
        </w:rPr>
        <w:t xml:space="preserve">. </w:t>
      </w:r>
      <w:r w:rsidR="007C0159" w:rsidRPr="00F42759">
        <w:rPr>
          <w:rFonts w:ascii="Arial" w:hAnsi="Arial" w:cs="Arial"/>
          <w:bCs/>
          <w:lang w:val="en-GB"/>
        </w:rPr>
        <w:t>The applicant</w:t>
      </w:r>
      <w:r w:rsidR="00AA0F4B" w:rsidRPr="00F42759">
        <w:rPr>
          <w:rFonts w:ascii="Arial" w:hAnsi="Arial" w:cs="Arial"/>
          <w:bCs/>
          <w:lang w:val="en-GB"/>
        </w:rPr>
        <w:t xml:space="preserve"> was only registered for VAT purposes in January 2020</w:t>
      </w:r>
      <w:r w:rsidR="0074708E" w:rsidRPr="00F42759">
        <w:rPr>
          <w:rFonts w:ascii="Arial" w:hAnsi="Arial" w:cs="Arial"/>
          <w:bCs/>
          <w:lang w:val="en-GB"/>
        </w:rPr>
        <w:t xml:space="preserve">. </w:t>
      </w:r>
      <w:r w:rsidR="009A3F4D" w:rsidRPr="00F42759">
        <w:rPr>
          <w:rFonts w:ascii="Arial" w:hAnsi="Arial" w:cs="Arial"/>
          <w:bCs/>
          <w:lang w:val="en-GB"/>
        </w:rPr>
        <w:t xml:space="preserve">The financial statements referred to earlier demonstrate that it has never traded. </w:t>
      </w:r>
      <w:r w:rsidR="0074708E" w:rsidRPr="00F42759">
        <w:rPr>
          <w:rFonts w:ascii="Arial" w:hAnsi="Arial" w:cs="Arial"/>
          <w:bCs/>
          <w:lang w:val="en-GB"/>
        </w:rPr>
        <w:t>No points should have been allocated;</w:t>
      </w:r>
      <w:r w:rsidR="009A3F4D" w:rsidRPr="00F42759">
        <w:rPr>
          <w:rFonts w:ascii="Arial" w:hAnsi="Arial" w:cs="Arial"/>
          <w:bCs/>
          <w:lang w:val="en-GB"/>
        </w:rPr>
        <w:t xml:space="preserve"> and</w:t>
      </w:r>
    </w:p>
    <w:p w:rsidR="0074708E" w:rsidRPr="00F42759" w:rsidRDefault="00F42759" w:rsidP="00F42759">
      <w:pPr>
        <w:tabs>
          <w:tab w:val="left" w:pos="709"/>
        </w:tabs>
        <w:spacing w:line="360" w:lineRule="auto"/>
        <w:jc w:val="both"/>
        <w:rPr>
          <w:rFonts w:ascii="Arial" w:hAnsi="Arial" w:cs="Arial"/>
          <w:bCs/>
          <w:lang w:val="en-GB"/>
        </w:rPr>
      </w:pPr>
      <w:r>
        <w:rPr>
          <w:rFonts w:ascii="Arial" w:eastAsiaTheme="minorHAnsi" w:hAnsi="Arial" w:cs="Arial"/>
          <w:bCs/>
          <w:lang w:val="en-GB" w:eastAsia="en-US" w:bidi="ar-SA"/>
        </w:rPr>
        <w:t>(c)</w:t>
      </w:r>
      <w:r>
        <w:rPr>
          <w:rFonts w:ascii="Arial" w:eastAsiaTheme="minorHAnsi" w:hAnsi="Arial" w:cs="Arial"/>
          <w:bCs/>
          <w:lang w:val="en-GB" w:eastAsia="en-US" w:bidi="ar-SA"/>
        </w:rPr>
        <w:tab/>
      </w:r>
      <w:r w:rsidR="0074708E" w:rsidRPr="00F42759">
        <w:rPr>
          <w:rFonts w:ascii="Arial" w:hAnsi="Arial" w:cs="Arial"/>
          <w:bCs/>
          <w:lang w:val="en-GB"/>
        </w:rPr>
        <w:t xml:space="preserve">The bidder’s locality category </w:t>
      </w:r>
      <w:r w:rsidR="003108E8" w:rsidRPr="00F42759">
        <w:rPr>
          <w:rFonts w:ascii="Arial" w:hAnsi="Arial" w:cs="Arial"/>
          <w:bCs/>
          <w:lang w:val="en-GB"/>
        </w:rPr>
        <w:t>required p</w:t>
      </w:r>
      <w:r w:rsidR="0074708E" w:rsidRPr="00F42759">
        <w:rPr>
          <w:rFonts w:ascii="Arial" w:hAnsi="Arial" w:cs="Arial"/>
          <w:bCs/>
          <w:lang w:val="en-GB"/>
        </w:rPr>
        <w:t xml:space="preserve">roof of </w:t>
      </w:r>
      <w:r w:rsidR="009A3F4D" w:rsidRPr="00F42759">
        <w:rPr>
          <w:rFonts w:ascii="Arial" w:hAnsi="Arial" w:cs="Arial"/>
          <w:bCs/>
          <w:lang w:val="en-GB"/>
        </w:rPr>
        <w:t xml:space="preserve">an </w:t>
      </w:r>
      <w:r w:rsidR="0074708E" w:rsidRPr="00F42759">
        <w:rPr>
          <w:rFonts w:ascii="Arial" w:hAnsi="Arial" w:cs="Arial"/>
          <w:bCs/>
          <w:lang w:val="en-GB"/>
        </w:rPr>
        <w:t xml:space="preserve">address and lease agreements </w:t>
      </w:r>
      <w:r w:rsidR="003108E8" w:rsidRPr="00F42759">
        <w:rPr>
          <w:rFonts w:ascii="Arial" w:hAnsi="Arial" w:cs="Arial"/>
          <w:bCs/>
          <w:lang w:val="en-GB"/>
        </w:rPr>
        <w:t xml:space="preserve">in respect of premises </w:t>
      </w:r>
      <w:r w:rsidR="0074708E" w:rsidRPr="00F42759">
        <w:rPr>
          <w:rFonts w:ascii="Arial" w:hAnsi="Arial" w:cs="Arial"/>
          <w:bCs/>
          <w:lang w:val="en-GB"/>
        </w:rPr>
        <w:t>to be put up.</w:t>
      </w:r>
      <w:r w:rsidR="001F529A" w:rsidRPr="00F42759">
        <w:rPr>
          <w:rFonts w:ascii="Arial" w:hAnsi="Arial" w:cs="Arial"/>
          <w:bCs/>
          <w:lang w:val="en-GB"/>
        </w:rPr>
        <w:t xml:space="preserve"> The bidder claimed th</w:t>
      </w:r>
      <w:r w:rsidR="003108E8" w:rsidRPr="00F42759">
        <w:rPr>
          <w:rFonts w:ascii="Arial" w:hAnsi="Arial" w:cs="Arial"/>
          <w:bCs/>
          <w:lang w:val="en-GB"/>
        </w:rPr>
        <w:t xml:space="preserve">at it had </w:t>
      </w:r>
      <w:r w:rsidR="00662306" w:rsidRPr="00F42759">
        <w:rPr>
          <w:rFonts w:ascii="Arial" w:hAnsi="Arial" w:cs="Arial"/>
          <w:bCs/>
          <w:lang w:val="en-GB"/>
        </w:rPr>
        <w:t>premises</w:t>
      </w:r>
      <w:r w:rsidR="003108E8" w:rsidRPr="00F42759">
        <w:rPr>
          <w:rFonts w:ascii="Arial" w:hAnsi="Arial" w:cs="Arial"/>
          <w:bCs/>
          <w:lang w:val="en-GB"/>
        </w:rPr>
        <w:t xml:space="preserve"> within 5</w:t>
      </w:r>
      <w:r w:rsidR="00AC2F41" w:rsidRPr="00F42759">
        <w:rPr>
          <w:rFonts w:ascii="Arial" w:hAnsi="Arial" w:cs="Arial"/>
          <w:bCs/>
          <w:lang w:val="en-GB"/>
        </w:rPr>
        <w:t xml:space="preserve"> </w:t>
      </w:r>
      <w:r w:rsidR="003108E8" w:rsidRPr="00F42759">
        <w:rPr>
          <w:rFonts w:ascii="Arial" w:hAnsi="Arial" w:cs="Arial"/>
          <w:bCs/>
          <w:lang w:val="en-GB"/>
        </w:rPr>
        <w:t>k</w:t>
      </w:r>
      <w:r w:rsidR="00AC2F41" w:rsidRPr="00F42759">
        <w:rPr>
          <w:rFonts w:ascii="Arial" w:hAnsi="Arial" w:cs="Arial"/>
          <w:bCs/>
          <w:lang w:val="en-GB"/>
        </w:rPr>
        <w:t>ilo</w:t>
      </w:r>
      <w:r w:rsidR="003108E8" w:rsidRPr="00F42759">
        <w:rPr>
          <w:rFonts w:ascii="Arial" w:hAnsi="Arial" w:cs="Arial"/>
          <w:bCs/>
          <w:lang w:val="en-GB"/>
        </w:rPr>
        <w:t>m</w:t>
      </w:r>
      <w:r w:rsidR="00AC2F41" w:rsidRPr="00F42759">
        <w:rPr>
          <w:rFonts w:ascii="Arial" w:hAnsi="Arial" w:cs="Arial"/>
          <w:bCs/>
          <w:lang w:val="en-GB"/>
        </w:rPr>
        <w:t>etres</w:t>
      </w:r>
      <w:r w:rsidR="003108E8" w:rsidRPr="00F42759">
        <w:rPr>
          <w:rFonts w:ascii="Arial" w:hAnsi="Arial" w:cs="Arial"/>
          <w:bCs/>
          <w:lang w:val="en-GB"/>
        </w:rPr>
        <w:t xml:space="preserve"> of the Ladysmith CBD</w:t>
      </w:r>
      <w:r w:rsidR="001F529A" w:rsidRPr="00F42759">
        <w:rPr>
          <w:rFonts w:ascii="Arial" w:hAnsi="Arial" w:cs="Arial"/>
          <w:bCs/>
          <w:lang w:val="en-GB"/>
        </w:rPr>
        <w:t xml:space="preserve"> and awarded itself the maximum of 20 points. The bid documents </w:t>
      </w:r>
      <w:r w:rsidR="00662306" w:rsidRPr="00F42759">
        <w:rPr>
          <w:rFonts w:ascii="Arial" w:hAnsi="Arial" w:cs="Arial"/>
          <w:bCs/>
          <w:lang w:val="en-GB"/>
        </w:rPr>
        <w:t xml:space="preserve">did </w:t>
      </w:r>
      <w:r w:rsidR="001F529A" w:rsidRPr="00F42759">
        <w:rPr>
          <w:rFonts w:ascii="Arial" w:hAnsi="Arial" w:cs="Arial"/>
          <w:bCs/>
          <w:lang w:val="en-GB"/>
        </w:rPr>
        <w:t>include three lease agreements and one rates invoice. None of them</w:t>
      </w:r>
      <w:r w:rsidR="00662306" w:rsidRPr="00F42759">
        <w:rPr>
          <w:rFonts w:ascii="Arial" w:hAnsi="Arial" w:cs="Arial"/>
          <w:bCs/>
          <w:lang w:val="en-GB"/>
        </w:rPr>
        <w:t>, however,</w:t>
      </w:r>
      <w:r w:rsidR="001F529A" w:rsidRPr="00F42759">
        <w:rPr>
          <w:rFonts w:ascii="Arial" w:hAnsi="Arial" w:cs="Arial"/>
          <w:bCs/>
          <w:lang w:val="en-GB"/>
        </w:rPr>
        <w:t xml:space="preserve"> were in the name of the </w:t>
      </w:r>
      <w:r w:rsidR="00FD61E7" w:rsidRPr="00F42759">
        <w:rPr>
          <w:rFonts w:ascii="Arial" w:hAnsi="Arial" w:cs="Arial"/>
          <w:bCs/>
          <w:lang w:val="en-GB"/>
        </w:rPr>
        <w:t>Marothodi Metsi and Sebata Group. O</w:t>
      </w:r>
      <w:r w:rsidR="00E4088D" w:rsidRPr="00F42759">
        <w:rPr>
          <w:rFonts w:ascii="Arial" w:hAnsi="Arial" w:cs="Arial"/>
          <w:bCs/>
          <w:lang w:val="en-GB"/>
        </w:rPr>
        <w:t xml:space="preserve">ne lease agreement was for property in Boksburg, </w:t>
      </w:r>
      <w:r w:rsidR="00662306" w:rsidRPr="00F42759">
        <w:rPr>
          <w:rFonts w:ascii="Arial" w:hAnsi="Arial" w:cs="Arial"/>
          <w:bCs/>
          <w:lang w:val="en-GB"/>
        </w:rPr>
        <w:t>G</w:t>
      </w:r>
      <w:r w:rsidR="00E4088D" w:rsidRPr="00F42759">
        <w:rPr>
          <w:rFonts w:ascii="Arial" w:hAnsi="Arial" w:cs="Arial"/>
          <w:bCs/>
          <w:lang w:val="en-GB"/>
        </w:rPr>
        <w:t>auten</w:t>
      </w:r>
      <w:r w:rsidR="00662306" w:rsidRPr="00F42759">
        <w:rPr>
          <w:rFonts w:ascii="Arial" w:hAnsi="Arial" w:cs="Arial"/>
          <w:bCs/>
          <w:lang w:val="en-GB"/>
        </w:rPr>
        <w:t>g province</w:t>
      </w:r>
      <w:r w:rsidR="00E4088D" w:rsidRPr="00F42759">
        <w:rPr>
          <w:rFonts w:ascii="Arial" w:hAnsi="Arial" w:cs="Arial"/>
          <w:bCs/>
          <w:lang w:val="en-GB"/>
        </w:rPr>
        <w:t>, and two were for a warehouse in Brits, North West province</w:t>
      </w:r>
      <w:r w:rsidR="001F529A" w:rsidRPr="00F42759">
        <w:rPr>
          <w:rFonts w:ascii="Arial" w:hAnsi="Arial" w:cs="Arial"/>
          <w:bCs/>
          <w:lang w:val="en-GB"/>
        </w:rPr>
        <w:t>.</w:t>
      </w:r>
      <w:r w:rsidR="00E4088D" w:rsidRPr="00F42759">
        <w:rPr>
          <w:rFonts w:ascii="Arial" w:hAnsi="Arial" w:cs="Arial"/>
          <w:bCs/>
          <w:lang w:val="en-GB"/>
        </w:rPr>
        <w:t xml:space="preserve"> </w:t>
      </w:r>
      <w:r w:rsidR="007C0159" w:rsidRPr="00F42759">
        <w:rPr>
          <w:rFonts w:ascii="Arial" w:hAnsi="Arial" w:cs="Arial"/>
          <w:bCs/>
          <w:lang w:val="en-GB"/>
        </w:rPr>
        <w:t>In the review record there is, however, an incomplete copy of a lease agreement in which the name of the applicant</w:t>
      </w:r>
      <w:r w:rsidR="00FD61E7" w:rsidRPr="00F42759">
        <w:rPr>
          <w:rFonts w:ascii="Arial" w:hAnsi="Arial" w:cs="Arial"/>
          <w:bCs/>
          <w:lang w:val="en-GB"/>
        </w:rPr>
        <w:t>, not the Marothodi Metsi and Sebata Group,</w:t>
      </w:r>
      <w:r w:rsidR="007C0159" w:rsidRPr="00F42759">
        <w:rPr>
          <w:rFonts w:ascii="Arial" w:hAnsi="Arial" w:cs="Arial"/>
          <w:bCs/>
          <w:lang w:val="en-GB"/>
        </w:rPr>
        <w:t xml:space="preserve"> appears as the lessee. The lessor is one Suleman Jessop. There is no evidence as to when this lease was concluded</w:t>
      </w:r>
      <w:r w:rsidR="003503EE" w:rsidRPr="00F42759">
        <w:rPr>
          <w:rFonts w:ascii="Arial" w:hAnsi="Arial" w:cs="Arial"/>
          <w:bCs/>
          <w:lang w:val="en-GB"/>
        </w:rPr>
        <w:t>,</w:t>
      </w:r>
      <w:r w:rsidR="007C0159" w:rsidRPr="00F42759">
        <w:rPr>
          <w:rFonts w:ascii="Arial" w:hAnsi="Arial" w:cs="Arial"/>
          <w:bCs/>
          <w:lang w:val="en-GB"/>
        </w:rPr>
        <w:t xml:space="preserve"> as the signature page has not been included </w:t>
      </w:r>
      <w:r w:rsidR="00FD61E7" w:rsidRPr="00F42759">
        <w:rPr>
          <w:rFonts w:ascii="Arial" w:hAnsi="Arial" w:cs="Arial"/>
          <w:bCs/>
          <w:lang w:val="en-GB"/>
        </w:rPr>
        <w:t>in the review record</w:t>
      </w:r>
      <w:r w:rsidR="007C0159" w:rsidRPr="00F42759">
        <w:rPr>
          <w:rFonts w:ascii="Arial" w:hAnsi="Arial" w:cs="Arial"/>
          <w:bCs/>
          <w:lang w:val="en-GB"/>
        </w:rPr>
        <w:t xml:space="preserve">, although the document does record that notwithstanding the date of signature, the lease was for a period of two years and commenced on 1 March 2019. </w:t>
      </w:r>
      <w:r w:rsidR="00FD61E7" w:rsidRPr="00F42759">
        <w:rPr>
          <w:rFonts w:ascii="Arial" w:hAnsi="Arial" w:cs="Arial"/>
          <w:bCs/>
          <w:lang w:val="en-GB"/>
        </w:rPr>
        <w:t>But it is amply evident that the Marothodi Metsi and Sebata Group was not a party to it.</w:t>
      </w:r>
      <w:r w:rsidR="007C0159" w:rsidRPr="00F42759">
        <w:rPr>
          <w:rFonts w:ascii="Arial" w:hAnsi="Arial" w:cs="Arial"/>
          <w:bCs/>
          <w:lang w:val="en-GB"/>
        </w:rPr>
        <w:t xml:space="preserve"> </w:t>
      </w:r>
      <w:r w:rsidR="00E4088D" w:rsidRPr="00F42759">
        <w:rPr>
          <w:rFonts w:ascii="Arial" w:hAnsi="Arial" w:cs="Arial"/>
          <w:bCs/>
          <w:lang w:val="en-GB"/>
        </w:rPr>
        <w:t xml:space="preserve">The </w:t>
      </w:r>
      <w:r w:rsidR="00662306" w:rsidRPr="00F42759">
        <w:rPr>
          <w:rFonts w:ascii="Arial" w:hAnsi="Arial" w:cs="Arial"/>
          <w:bCs/>
          <w:lang w:val="en-GB"/>
        </w:rPr>
        <w:t>bid evaluation committee</w:t>
      </w:r>
      <w:r w:rsidR="00FD61E7" w:rsidRPr="00F42759">
        <w:rPr>
          <w:rFonts w:ascii="Arial" w:hAnsi="Arial" w:cs="Arial"/>
          <w:bCs/>
          <w:lang w:val="en-GB"/>
        </w:rPr>
        <w:t>, however,</w:t>
      </w:r>
      <w:r w:rsidR="00662306" w:rsidRPr="00F42759">
        <w:rPr>
          <w:rFonts w:ascii="Arial" w:hAnsi="Arial" w:cs="Arial"/>
          <w:bCs/>
          <w:lang w:val="en-GB"/>
        </w:rPr>
        <w:t xml:space="preserve"> </w:t>
      </w:r>
      <w:r w:rsidR="0009274F" w:rsidRPr="00F42759">
        <w:rPr>
          <w:rFonts w:ascii="Arial" w:hAnsi="Arial" w:cs="Arial"/>
          <w:bCs/>
          <w:lang w:val="en-GB"/>
        </w:rPr>
        <w:t xml:space="preserve">approved the </w:t>
      </w:r>
      <w:r w:rsidR="00662306" w:rsidRPr="00F42759">
        <w:rPr>
          <w:rFonts w:ascii="Arial" w:hAnsi="Arial" w:cs="Arial"/>
          <w:bCs/>
          <w:lang w:val="en-GB"/>
        </w:rPr>
        <w:t>allocat</w:t>
      </w:r>
      <w:r w:rsidR="0009274F" w:rsidRPr="00F42759">
        <w:rPr>
          <w:rFonts w:ascii="Arial" w:hAnsi="Arial" w:cs="Arial"/>
          <w:bCs/>
          <w:lang w:val="en-GB"/>
        </w:rPr>
        <w:t>ion of</w:t>
      </w:r>
      <w:r w:rsidR="00662306" w:rsidRPr="00F42759">
        <w:rPr>
          <w:rFonts w:ascii="Arial" w:hAnsi="Arial" w:cs="Arial"/>
          <w:bCs/>
          <w:lang w:val="en-GB"/>
        </w:rPr>
        <w:t xml:space="preserve"> the maximum points to the bidder.</w:t>
      </w:r>
      <w:r w:rsidR="00E4088D" w:rsidRPr="00F42759">
        <w:rPr>
          <w:rFonts w:ascii="Arial" w:hAnsi="Arial" w:cs="Arial"/>
          <w:bCs/>
          <w:lang w:val="en-GB"/>
        </w:rPr>
        <w:t xml:space="preserve"> None should have been allocated</w:t>
      </w:r>
      <w:r w:rsidR="0009274F" w:rsidRPr="00F42759">
        <w:rPr>
          <w:rFonts w:ascii="Arial" w:hAnsi="Arial" w:cs="Arial"/>
          <w:bCs/>
          <w:lang w:val="en-GB"/>
        </w:rPr>
        <w:t>.</w:t>
      </w:r>
    </w:p>
    <w:p w:rsidR="0009274F" w:rsidRDefault="0009274F" w:rsidP="0009274F">
      <w:pPr>
        <w:pStyle w:val="ListParagraph"/>
        <w:tabs>
          <w:tab w:val="left" w:pos="709"/>
        </w:tabs>
        <w:spacing w:line="360" w:lineRule="auto"/>
        <w:ind w:left="0"/>
        <w:jc w:val="both"/>
        <w:rPr>
          <w:rFonts w:ascii="Arial" w:hAnsi="Arial" w:cs="Arial"/>
          <w:bCs/>
          <w:lang w:val="en-GB"/>
        </w:rPr>
      </w:pPr>
    </w:p>
    <w:p w:rsidR="00D76527" w:rsidRPr="00F42759" w:rsidRDefault="00F42759" w:rsidP="00F42759">
      <w:pPr>
        <w:tabs>
          <w:tab w:val="left" w:pos="709"/>
        </w:tabs>
        <w:spacing w:line="360" w:lineRule="auto"/>
        <w:jc w:val="both"/>
        <w:rPr>
          <w:rFonts w:ascii="Arial" w:hAnsi="Arial" w:cs="Arial"/>
          <w:bCs/>
          <w:lang w:val="en-GB"/>
        </w:rPr>
      </w:pPr>
      <w:r>
        <w:rPr>
          <w:rFonts w:ascii="Arial" w:eastAsiaTheme="minorHAnsi" w:hAnsi="Arial" w:cs="Arial"/>
          <w:bCs/>
          <w:lang w:val="en-GB" w:eastAsia="en-US" w:bidi="ar-SA"/>
        </w:rPr>
        <w:t>[56]</w:t>
      </w:r>
      <w:r>
        <w:rPr>
          <w:rFonts w:ascii="Arial" w:eastAsiaTheme="minorHAnsi" w:hAnsi="Arial" w:cs="Arial"/>
          <w:bCs/>
          <w:lang w:val="en-GB" w:eastAsia="en-US" w:bidi="ar-SA"/>
        </w:rPr>
        <w:tab/>
      </w:r>
      <w:r w:rsidR="009F326B" w:rsidRPr="00F42759">
        <w:rPr>
          <w:rFonts w:ascii="Arial" w:hAnsi="Arial" w:cs="Arial"/>
          <w:bCs/>
          <w:lang w:val="en-GB"/>
        </w:rPr>
        <w:t xml:space="preserve">The fourth </w:t>
      </w:r>
      <w:r w:rsidR="00D76527" w:rsidRPr="00F42759">
        <w:rPr>
          <w:rFonts w:ascii="Arial" w:hAnsi="Arial" w:cs="Arial"/>
          <w:bCs/>
          <w:lang w:val="en-GB"/>
        </w:rPr>
        <w:t>category</w:t>
      </w:r>
      <w:r w:rsidR="009F326B" w:rsidRPr="00F42759">
        <w:rPr>
          <w:rFonts w:ascii="Arial" w:hAnsi="Arial" w:cs="Arial"/>
          <w:bCs/>
          <w:lang w:val="en-GB"/>
        </w:rPr>
        <w:t xml:space="preserve"> not analysed </w:t>
      </w:r>
      <w:r w:rsidR="00D76527" w:rsidRPr="00F42759">
        <w:rPr>
          <w:rFonts w:ascii="Arial" w:hAnsi="Arial" w:cs="Arial"/>
          <w:bCs/>
          <w:lang w:val="en-GB"/>
        </w:rPr>
        <w:t>dealt with the bidders’ approach paper. That seems to be a reference to the plan</w:t>
      </w:r>
      <w:r w:rsidR="00187341" w:rsidRPr="00F42759">
        <w:rPr>
          <w:rFonts w:ascii="Arial" w:hAnsi="Arial" w:cs="Arial"/>
          <w:bCs/>
          <w:lang w:val="en-GB"/>
        </w:rPr>
        <w:t xml:space="preserve"> identified in the advertisement</w:t>
      </w:r>
      <w:r w:rsidR="00D76527" w:rsidRPr="00F42759">
        <w:rPr>
          <w:rFonts w:ascii="Arial" w:hAnsi="Arial" w:cs="Arial"/>
          <w:bCs/>
          <w:lang w:val="en-GB"/>
        </w:rPr>
        <w:t xml:space="preserve">. The maximum score attainable </w:t>
      </w:r>
      <w:r w:rsidR="0009274F" w:rsidRPr="00F42759">
        <w:rPr>
          <w:rFonts w:ascii="Arial" w:hAnsi="Arial" w:cs="Arial"/>
          <w:bCs/>
          <w:lang w:val="en-GB"/>
        </w:rPr>
        <w:t xml:space="preserve">in this category </w:t>
      </w:r>
      <w:r w:rsidR="00D76527" w:rsidRPr="00F42759">
        <w:rPr>
          <w:rFonts w:ascii="Arial" w:hAnsi="Arial" w:cs="Arial"/>
          <w:bCs/>
          <w:lang w:val="en-GB"/>
        </w:rPr>
        <w:t>was 30 and the bidder allocated that score to itself. Assuming, but not deciding, that it was justified in doing so, it appears to me that the maximum score that the bidder could have achieved was 30</w:t>
      </w:r>
      <w:r w:rsidR="0009274F" w:rsidRPr="00F42759">
        <w:rPr>
          <w:rFonts w:ascii="Arial" w:hAnsi="Arial" w:cs="Arial"/>
          <w:bCs/>
          <w:lang w:val="en-GB"/>
        </w:rPr>
        <w:t xml:space="preserve"> </w:t>
      </w:r>
      <w:r w:rsidR="00D76527" w:rsidRPr="00F42759">
        <w:rPr>
          <w:rFonts w:ascii="Arial" w:hAnsi="Arial" w:cs="Arial"/>
          <w:bCs/>
          <w:lang w:val="en-GB"/>
        </w:rPr>
        <w:t>points. It could not therefore have advanced to the next phase of evaluation.</w:t>
      </w:r>
    </w:p>
    <w:p w:rsidR="00D76527" w:rsidRDefault="00D76527" w:rsidP="00D76527">
      <w:pPr>
        <w:pStyle w:val="ListParagraph"/>
        <w:tabs>
          <w:tab w:val="left" w:pos="709"/>
        </w:tabs>
        <w:spacing w:line="360" w:lineRule="auto"/>
        <w:ind w:left="0"/>
        <w:jc w:val="both"/>
        <w:rPr>
          <w:rFonts w:ascii="Arial" w:hAnsi="Arial" w:cs="Arial"/>
          <w:bCs/>
          <w:lang w:val="en-GB"/>
        </w:rPr>
      </w:pPr>
      <w:r>
        <w:rPr>
          <w:rFonts w:ascii="Arial" w:hAnsi="Arial" w:cs="Arial"/>
          <w:bCs/>
          <w:lang w:val="en-GB"/>
        </w:rPr>
        <w:t xml:space="preserve"> </w:t>
      </w:r>
    </w:p>
    <w:p w:rsidR="00CA528C" w:rsidRPr="00F42759" w:rsidRDefault="00F42759" w:rsidP="00F42759">
      <w:pPr>
        <w:tabs>
          <w:tab w:val="left" w:pos="709"/>
        </w:tabs>
        <w:spacing w:line="360" w:lineRule="auto"/>
        <w:jc w:val="both"/>
        <w:rPr>
          <w:rFonts w:ascii="Arial" w:hAnsi="Arial" w:cs="Arial"/>
          <w:bCs/>
          <w:lang w:val="en-GB"/>
        </w:rPr>
      </w:pPr>
      <w:r w:rsidRPr="005057E3">
        <w:rPr>
          <w:rFonts w:ascii="Arial" w:eastAsiaTheme="minorHAnsi" w:hAnsi="Arial" w:cs="Arial"/>
          <w:bCs/>
          <w:lang w:val="en-GB" w:eastAsia="en-US" w:bidi="ar-SA"/>
        </w:rPr>
        <w:t>[57]</w:t>
      </w:r>
      <w:r w:rsidRPr="005057E3">
        <w:rPr>
          <w:rFonts w:ascii="Arial" w:eastAsiaTheme="minorHAnsi" w:hAnsi="Arial" w:cs="Arial"/>
          <w:bCs/>
          <w:lang w:val="en-GB" w:eastAsia="en-US" w:bidi="ar-SA"/>
        </w:rPr>
        <w:tab/>
      </w:r>
      <w:r w:rsidR="00CA528C" w:rsidRPr="00F42759">
        <w:rPr>
          <w:rFonts w:ascii="Arial" w:hAnsi="Arial" w:cs="Arial"/>
          <w:bCs/>
          <w:lang w:val="en-GB"/>
        </w:rPr>
        <w:t xml:space="preserve">In </w:t>
      </w:r>
      <w:r w:rsidR="00E4088D" w:rsidRPr="00F42759">
        <w:rPr>
          <w:rFonts w:ascii="Arial" w:hAnsi="Arial" w:cs="Arial"/>
          <w:bCs/>
          <w:lang w:val="en-GB"/>
        </w:rPr>
        <w:t xml:space="preserve">assessing the bid of the Marothodi Metsi and Sebata Group, the first respondent’s </w:t>
      </w:r>
      <w:r w:rsidR="00BF31B7" w:rsidRPr="00F42759">
        <w:rPr>
          <w:rFonts w:ascii="Arial" w:hAnsi="Arial" w:cs="Arial"/>
          <w:bCs/>
          <w:lang w:val="en-GB"/>
        </w:rPr>
        <w:t xml:space="preserve">bid evaluation committee </w:t>
      </w:r>
      <w:r w:rsidR="00E4088D" w:rsidRPr="00F42759">
        <w:rPr>
          <w:rFonts w:ascii="Arial" w:hAnsi="Arial" w:cs="Arial"/>
          <w:bCs/>
          <w:lang w:val="en-GB"/>
        </w:rPr>
        <w:t>concluded</w:t>
      </w:r>
      <w:r w:rsidR="00CA528C" w:rsidRPr="00F42759">
        <w:rPr>
          <w:rFonts w:ascii="Arial" w:hAnsi="Arial" w:cs="Arial"/>
          <w:bCs/>
          <w:lang w:val="en-GB"/>
        </w:rPr>
        <w:t xml:space="preserve"> that:</w:t>
      </w:r>
    </w:p>
    <w:p w:rsidR="00CA528C" w:rsidRDefault="00CA528C" w:rsidP="00CA528C">
      <w:pPr>
        <w:pStyle w:val="ListParagraph"/>
        <w:tabs>
          <w:tab w:val="left" w:pos="709"/>
        </w:tabs>
        <w:spacing w:line="360" w:lineRule="auto"/>
        <w:ind w:left="0"/>
        <w:jc w:val="both"/>
        <w:rPr>
          <w:rFonts w:ascii="Arial" w:hAnsi="Arial" w:cs="Arial"/>
          <w:bCs/>
          <w:sz w:val="22"/>
          <w:szCs w:val="22"/>
          <w:lang w:val="en-GB"/>
        </w:rPr>
      </w:pPr>
      <w:r w:rsidRPr="008F1451">
        <w:rPr>
          <w:rFonts w:ascii="Arial" w:hAnsi="Arial" w:cs="Arial"/>
          <w:bCs/>
          <w:sz w:val="22"/>
          <w:szCs w:val="22"/>
          <w:lang w:val="en-GB"/>
        </w:rPr>
        <w:t>‘</w:t>
      </w:r>
      <w:r w:rsidR="008F1451" w:rsidRPr="008F1451">
        <w:rPr>
          <w:rFonts w:ascii="Arial" w:hAnsi="Arial" w:cs="Arial"/>
          <w:bCs/>
          <w:sz w:val="22"/>
          <w:szCs w:val="22"/>
          <w:lang w:val="en-GB"/>
        </w:rPr>
        <w:t>Marothodi Metsi and Sebata Group has for the past 20 years been extensively involved in the financial viability of the municipalities. They specialise in the development implementation and management of revenue enhancement and revenue protection strategies.’</w:t>
      </w:r>
    </w:p>
    <w:p w:rsidR="008F1451" w:rsidRDefault="008F1451" w:rsidP="00BF31B7">
      <w:pPr>
        <w:pStyle w:val="ListParagraph"/>
        <w:tabs>
          <w:tab w:val="left" w:pos="709"/>
        </w:tabs>
        <w:spacing w:line="360" w:lineRule="auto"/>
        <w:ind w:left="0"/>
        <w:jc w:val="both"/>
        <w:rPr>
          <w:rFonts w:ascii="Arial" w:hAnsi="Arial" w:cs="Arial"/>
          <w:bCs/>
          <w:lang w:val="en-GB"/>
        </w:rPr>
      </w:pPr>
      <w:r>
        <w:rPr>
          <w:rFonts w:ascii="Arial" w:hAnsi="Arial" w:cs="Arial"/>
          <w:bCs/>
          <w:lang w:val="en-GB"/>
        </w:rPr>
        <w:t xml:space="preserve">This is incorrect on </w:t>
      </w:r>
      <w:r w:rsidR="00C31B51">
        <w:rPr>
          <w:rFonts w:ascii="Arial" w:hAnsi="Arial" w:cs="Arial"/>
          <w:bCs/>
          <w:lang w:val="en-GB"/>
        </w:rPr>
        <w:t>multiple</w:t>
      </w:r>
      <w:r>
        <w:rPr>
          <w:rFonts w:ascii="Arial" w:hAnsi="Arial" w:cs="Arial"/>
          <w:bCs/>
          <w:lang w:val="en-GB"/>
        </w:rPr>
        <w:t xml:space="preserve"> levels. Firstly, </w:t>
      </w:r>
      <w:r w:rsidR="00184EDC">
        <w:rPr>
          <w:rFonts w:ascii="Arial" w:hAnsi="Arial" w:cs="Arial"/>
          <w:bCs/>
          <w:lang w:val="en-GB"/>
        </w:rPr>
        <w:t xml:space="preserve">as pointed out, </w:t>
      </w:r>
      <w:r>
        <w:rPr>
          <w:rFonts w:ascii="Arial" w:hAnsi="Arial" w:cs="Arial"/>
          <w:bCs/>
          <w:lang w:val="en-GB"/>
        </w:rPr>
        <w:t xml:space="preserve">the applicant has not been in business for 20 years, having only been incorporated in 2016. Secondly, the Sebata Group did not submit the compulsory bid documentation and its experience thus counted for nought. </w:t>
      </w:r>
      <w:r w:rsidR="003503EE">
        <w:rPr>
          <w:rFonts w:ascii="Arial" w:hAnsi="Arial" w:cs="Arial"/>
          <w:bCs/>
          <w:lang w:val="en-GB"/>
        </w:rPr>
        <w:t>Thirdly</w:t>
      </w:r>
      <w:r>
        <w:rPr>
          <w:rFonts w:ascii="Arial" w:hAnsi="Arial" w:cs="Arial"/>
          <w:bCs/>
          <w:lang w:val="en-GB"/>
        </w:rPr>
        <w:t xml:space="preserve">, the applicant could not have accumulated the experience that it claimed to have because its annual financial statements demonstrated that it </w:t>
      </w:r>
      <w:r w:rsidR="00D546B6">
        <w:rPr>
          <w:rFonts w:ascii="Arial" w:hAnsi="Arial" w:cs="Arial"/>
          <w:bCs/>
          <w:lang w:val="en-GB"/>
        </w:rPr>
        <w:t>has never traded.</w:t>
      </w:r>
      <w:r w:rsidR="00CA528C">
        <w:rPr>
          <w:rFonts w:ascii="Arial" w:hAnsi="Arial" w:cs="Arial"/>
          <w:bCs/>
          <w:lang w:val="en-GB"/>
        </w:rPr>
        <w:t xml:space="preserve"> </w:t>
      </w:r>
    </w:p>
    <w:p w:rsidR="001711D5" w:rsidRDefault="001711D5" w:rsidP="00BF31B7">
      <w:pPr>
        <w:pStyle w:val="ListParagraph"/>
        <w:tabs>
          <w:tab w:val="left" w:pos="709"/>
        </w:tabs>
        <w:spacing w:line="360" w:lineRule="auto"/>
        <w:ind w:left="0"/>
        <w:jc w:val="both"/>
        <w:rPr>
          <w:rFonts w:ascii="Arial" w:hAnsi="Arial" w:cs="Arial"/>
          <w:bCs/>
          <w:lang w:val="en-GB"/>
        </w:rPr>
      </w:pPr>
    </w:p>
    <w:p w:rsidR="001711D5" w:rsidRPr="00F42759" w:rsidRDefault="00F42759" w:rsidP="00F42759">
      <w:pPr>
        <w:tabs>
          <w:tab w:val="left" w:pos="709"/>
        </w:tabs>
        <w:spacing w:line="360" w:lineRule="auto"/>
        <w:jc w:val="both"/>
        <w:rPr>
          <w:rFonts w:ascii="Arial" w:hAnsi="Arial" w:cs="Arial"/>
          <w:bCs/>
          <w:lang w:val="en-GB"/>
        </w:rPr>
      </w:pPr>
      <w:r>
        <w:rPr>
          <w:rFonts w:ascii="Arial" w:eastAsiaTheme="minorHAnsi" w:hAnsi="Arial" w:cs="Arial"/>
          <w:bCs/>
          <w:lang w:val="en-GB" w:eastAsia="en-US" w:bidi="ar-SA"/>
        </w:rPr>
        <w:t>[58]</w:t>
      </w:r>
      <w:r>
        <w:rPr>
          <w:rFonts w:ascii="Arial" w:eastAsiaTheme="minorHAnsi" w:hAnsi="Arial" w:cs="Arial"/>
          <w:bCs/>
          <w:lang w:val="en-GB" w:eastAsia="en-US" w:bidi="ar-SA"/>
        </w:rPr>
        <w:tab/>
      </w:r>
      <w:r w:rsidR="00E4088D" w:rsidRPr="00F42759">
        <w:rPr>
          <w:rFonts w:ascii="Arial" w:hAnsi="Arial" w:cs="Arial"/>
          <w:bCs/>
          <w:lang w:val="en-GB"/>
        </w:rPr>
        <w:t xml:space="preserve">The bid should not have been allowed to progress to the </w:t>
      </w:r>
      <w:r w:rsidR="00BF50E9" w:rsidRPr="00F42759">
        <w:rPr>
          <w:rFonts w:ascii="Arial" w:hAnsi="Arial" w:cs="Arial"/>
          <w:bCs/>
          <w:lang w:val="en-GB"/>
        </w:rPr>
        <w:t xml:space="preserve">next stage of </w:t>
      </w:r>
    </w:p>
    <w:p w:rsidR="00D546B6" w:rsidRDefault="00BF50E9" w:rsidP="001711D5">
      <w:pPr>
        <w:pStyle w:val="ListParagraph"/>
        <w:tabs>
          <w:tab w:val="left" w:pos="709"/>
        </w:tabs>
        <w:spacing w:line="360" w:lineRule="auto"/>
        <w:ind w:left="0"/>
        <w:jc w:val="both"/>
        <w:rPr>
          <w:rFonts w:ascii="Arial" w:hAnsi="Arial" w:cs="Arial"/>
          <w:bCs/>
          <w:lang w:val="en-GB"/>
        </w:rPr>
      </w:pPr>
      <w:r w:rsidRPr="00A016AE">
        <w:rPr>
          <w:rFonts w:ascii="Arial" w:hAnsi="Arial" w:cs="Arial"/>
          <w:bCs/>
          <w:lang w:val="en-GB"/>
        </w:rPr>
        <w:t>assessment</w:t>
      </w:r>
      <w:r w:rsidR="00925C21">
        <w:rPr>
          <w:rFonts w:ascii="Arial" w:hAnsi="Arial" w:cs="Arial"/>
          <w:bCs/>
          <w:lang w:val="en-GB"/>
        </w:rPr>
        <w:t>,</w:t>
      </w:r>
      <w:r w:rsidRPr="00A016AE">
        <w:rPr>
          <w:rFonts w:ascii="Arial" w:hAnsi="Arial" w:cs="Arial"/>
          <w:bCs/>
          <w:lang w:val="en-GB"/>
        </w:rPr>
        <w:t xml:space="preserve"> as it could not have met the minimum score of 60 points.</w:t>
      </w:r>
    </w:p>
    <w:p w:rsidR="00AF3C8D" w:rsidRDefault="00AF3C8D" w:rsidP="00AF3C8D">
      <w:pPr>
        <w:pStyle w:val="ListParagraph"/>
        <w:tabs>
          <w:tab w:val="left" w:pos="709"/>
        </w:tabs>
        <w:spacing w:line="360" w:lineRule="auto"/>
        <w:ind w:left="0"/>
        <w:jc w:val="both"/>
        <w:rPr>
          <w:rFonts w:ascii="Arial" w:hAnsi="Arial" w:cs="Arial"/>
          <w:bCs/>
          <w:lang w:val="en-GB"/>
        </w:rPr>
      </w:pPr>
    </w:p>
    <w:p w:rsidR="005E09A3" w:rsidRPr="0050034E" w:rsidRDefault="005E09A3" w:rsidP="00AF3C8D">
      <w:pPr>
        <w:pStyle w:val="ListParagraph"/>
        <w:tabs>
          <w:tab w:val="left" w:pos="709"/>
        </w:tabs>
        <w:spacing w:line="360" w:lineRule="auto"/>
        <w:ind w:left="0"/>
        <w:jc w:val="both"/>
        <w:rPr>
          <w:rFonts w:ascii="Arial" w:hAnsi="Arial" w:cs="Arial"/>
          <w:b/>
          <w:bCs/>
          <w:i/>
          <w:lang w:val="en-GB"/>
        </w:rPr>
      </w:pPr>
      <w:r>
        <w:rPr>
          <w:rFonts w:ascii="Arial" w:hAnsi="Arial" w:cs="Arial"/>
          <w:b/>
          <w:bCs/>
          <w:i/>
          <w:lang w:val="en-GB"/>
        </w:rPr>
        <w:t>Fifth ground of review: terms of reference impermissibly departed from</w:t>
      </w:r>
    </w:p>
    <w:p w:rsidR="00221277" w:rsidRPr="00F42759" w:rsidRDefault="00F42759" w:rsidP="00F42759">
      <w:pPr>
        <w:tabs>
          <w:tab w:val="left" w:pos="709"/>
        </w:tabs>
        <w:spacing w:line="360" w:lineRule="auto"/>
        <w:jc w:val="both"/>
        <w:rPr>
          <w:rFonts w:ascii="Arial" w:hAnsi="Arial" w:cs="Arial"/>
          <w:bCs/>
          <w:lang w:val="en-GB"/>
        </w:rPr>
      </w:pPr>
      <w:r>
        <w:rPr>
          <w:rFonts w:ascii="Arial" w:eastAsiaTheme="minorHAnsi" w:hAnsi="Arial" w:cs="Arial"/>
          <w:bCs/>
          <w:lang w:val="en-GB" w:eastAsia="en-US" w:bidi="ar-SA"/>
        </w:rPr>
        <w:t>[59]</w:t>
      </w:r>
      <w:r>
        <w:rPr>
          <w:rFonts w:ascii="Arial" w:eastAsiaTheme="minorHAnsi" w:hAnsi="Arial" w:cs="Arial"/>
          <w:bCs/>
          <w:lang w:val="en-GB" w:eastAsia="en-US" w:bidi="ar-SA"/>
        </w:rPr>
        <w:tab/>
      </w:r>
      <w:r w:rsidR="00925C21" w:rsidRPr="00F42759">
        <w:rPr>
          <w:rFonts w:ascii="Arial" w:hAnsi="Arial" w:cs="Arial"/>
          <w:bCs/>
          <w:lang w:val="en-GB"/>
        </w:rPr>
        <w:t xml:space="preserve">This </w:t>
      </w:r>
      <w:r w:rsidR="00BF31B7" w:rsidRPr="00F42759">
        <w:rPr>
          <w:rFonts w:ascii="Arial" w:hAnsi="Arial" w:cs="Arial"/>
          <w:bCs/>
          <w:lang w:val="en-GB"/>
        </w:rPr>
        <w:t xml:space="preserve">brings me to the </w:t>
      </w:r>
      <w:r w:rsidR="00221277" w:rsidRPr="00F42759">
        <w:rPr>
          <w:rFonts w:ascii="Arial" w:hAnsi="Arial" w:cs="Arial"/>
          <w:bCs/>
          <w:lang w:val="en-GB"/>
        </w:rPr>
        <w:t>fifth and final ground of review</w:t>
      </w:r>
      <w:r w:rsidR="00BF31B7" w:rsidRPr="00F42759">
        <w:rPr>
          <w:rFonts w:ascii="Arial" w:hAnsi="Arial" w:cs="Arial"/>
          <w:bCs/>
          <w:lang w:val="en-GB"/>
        </w:rPr>
        <w:t>. The first respondent states that</w:t>
      </w:r>
      <w:r w:rsidR="00221277" w:rsidRPr="00F42759">
        <w:rPr>
          <w:rFonts w:ascii="Arial" w:hAnsi="Arial" w:cs="Arial"/>
          <w:bCs/>
          <w:lang w:val="en-GB"/>
        </w:rPr>
        <w:t xml:space="preserve"> the terms of reference of the bid were impermissibly departed from by the first respondent</w:t>
      </w:r>
      <w:r w:rsidR="00AF3C8D" w:rsidRPr="00F42759">
        <w:rPr>
          <w:rFonts w:ascii="Arial" w:hAnsi="Arial" w:cs="Arial"/>
          <w:bCs/>
          <w:lang w:val="en-GB"/>
        </w:rPr>
        <w:t>’s officials</w:t>
      </w:r>
      <w:r w:rsidR="00221277" w:rsidRPr="00F42759">
        <w:rPr>
          <w:rFonts w:ascii="Arial" w:hAnsi="Arial" w:cs="Arial"/>
          <w:bCs/>
          <w:lang w:val="en-GB"/>
        </w:rPr>
        <w:t>.</w:t>
      </w:r>
      <w:r w:rsidR="00C51077" w:rsidRPr="00F42759">
        <w:rPr>
          <w:rFonts w:ascii="Arial" w:hAnsi="Arial" w:cs="Arial"/>
          <w:bCs/>
          <w:lang w:val="en-GB"/>
        </w:rPr>
        <w:t xml:space="preserve"> The vagueness of the advertisement of the tender and the tender specification has already been alluded to. Accepting </w:t>
      </w:r>
      <w:r w:rsidR="00D25BA1" w:rsidRPr="00F42759">
        <w:rPr>
          <w:rFonts w:ascii="Arial" w:hAnsi="Arial" w:cs="Arial"/>
          <w:bCs/>
          <w:lang w:val="en-GB"/>
        </w:rPr>
        <w:t xml:space="preserve">for a moment </w:t>
      </w:r>
      <w:r w:rsidR="00C51077" w:rsidRPr="00F42759">
        <w:rPr>
          <w:rFonts w:ascii="Arial" w:hAnsi="Arial" w:cs="Arial"/>
          <w:bCs/>
          <w:lang w:val="en-GB"/>
        </w:rPr>
        <w:t xml:space="preserve">that what was called for was the supply of </w:t>
      </w:r>
      <w:r w:rsidR="00D25BA1" w:rsidRPr="00F42759">
        <w:rPr>
          <w:rFonts w:ascii="Arial" w:hAnsi="Arial" w:cs="Arial"/>
          <w:bCs/>
          <w:lang w:val="en-GB"/>
        </w:rPr>
        <w:t>smart water meters themselves,</w:t>
      </w:r>
      <w:r w:rsidR="00C51077" w:rsidRPr="00F42759">
        <w:rPr>
          <w:rFonts w:ascii="Arial" w:hAnsi="Arial" w:cs="Arial"/>
          <w:bCs/>
          <w:lang w:val="en-GB"/>
        </w:rPr>
        <w:t xml:space="preserve"> it bears repeating that nowhere in any of the tender documents is it specified that the successful bidder would be entitled to install those meters</w:t>
      </w:r>
      <w:r w:rsidR="00BF31B7" w:rsidRPr="00F42759">
        <w:rPr>
          <w:rFonts w:ascii="Arial" w:hAnsi="Arial" w:cs="Arial"/>
          <w:bCs/>
          <w:lang w:val="en-GB"/>
        </w:rPr>
        <w:t xml:space="preserve"> or involve itself with the collection of revenue </w:t>
      </w:r>
      <w:r w:rsidR="002258B5" w:rsidRPr="00F42759">
        <w:rPr>
          <w:rFonts w:ascii="Arial" w:hAnsi="Arial" w:cs="Arial"/>
          <w:bCs/>
          <w:lang w:val="en-GB"/>
        </w:rPr>
        <w:t xml:space="preserve">generated by them </w:t>
      </w:r>
      <w:r w:rsidR="00BF31B7" w:rsidRPr="00F42759">
        <w:rPr>
          <w:rFonts w:ascii="Arial" w:hAnsi="Arial" w:cs="Arial"/>
          <w:bCs/>
          <w:lang w:val="en-GB"/>
        </w:rPr>
        <w:t>and the like</w:t>
      </w:r>
      <w:r w:rsidR="00C51077" w:rsidRPr="00F42759">
        <w:rPr>
          <w:rFonts w:ascii="Arial" w:hAnsi="Arial" w:cs="Arial"/>
          <w:bCs/>
          <w:lang w:val="en-GB"/>
        </w:rPr>
        <w:t>. There simply is no such provision</w:t>
      </w:r>
      <w:r w:rsidR="00D25BA1" w:rsidRPr="00F42759">
        <w:rPr>
          <w:rFonts w:ascii="Arial" w:hAnsi="Arial" w:cs="Arial"/>
          <w:bCs/>
          <w:lang w:val="en-GB"/>
        </w:rPr>
        <w:t xml:space="preserve"> in the tender</w:t>
      </w:r>
      <w:r w:rsidR="00C51077" w:rsidRPr="00F42759">
        <w:rPr>
          <w:rFonts w:ascii="Arial" w:hAnsi="Arial" w:cs="Arial"/>
          <w:bCs/>
          <w:lang w:val="en-GB"/>
        </w:rPr>
        <w:t xml:space="preserve">. Yet in the </w:t>
      </w:r>
      <w:r w:rsidR="00BF31B7" w:rsidRPr="00F42759">
        <w:rPr>
          <w:rFonts w:ascii="Arial" w:hAnsi="Arial" w:cs="Arial"/>
          <w:bCs/>
          <w:lang w:val="en-GB"/>
        </w:rPr>
        <w:t>first and second award letters</w:t>
      </w:r>
      <w:r w:rsidR="00B43B2F" w:rsidRPr="00F42759">
        <w:rPr>
          <w:rFonts w:ascii="Arial" w:hAnsi="Arial" w:cs="Arial"/>
          <w:bCs/>
          <w:lang w:val="en-GB"/>
        </w:rPr>
        <w:t>,</w:t>
      </w:r>
      <w:r w:rsidR="00BF31B7" w:rsidRPr="00F42759">
        <w:rPr>
          <w:rFonts w:ascii="Arial" w:hAnsi="Arial" w:cs="Arial"/>
          <w:bCs/>
          <w:lang w:val="en-GB"/>
        </w:rPr>
        <w:t xml:space="preserve"> there is </w:t>
      </w:r>
      <w:r w:rsidR="0009274F" w:rsidRPr="00F42759">
        <w:rPr>
          <w:rFonts w:ascii="Arial" w:hAnsi="Arial" w:cs="Arial"/>
          <w:bCs/>
          <w:lang w:val="en-GB"/>
        </w:rPr>
        <w:t xml:space="preserve">a </w:t>
      </w:r>
      <w:r w:rsidR="00BF31B7" w:rsidRPr="00F42759">
        <w:rPr>
          <w:rFonts w:ascii="Arial" w:hAnsi="Arial" w:cs="Arial"/>
          <w:bCs/>
          <w:lang w:val="en-GB"/>
        </w:rPr>
        <w:t xml:space="preserve">reference to </w:t>
      </w:r>
      <w:r w:rsidR="00BF11C2" w:rsidRPr="00F42759">
        <w:rPr>
          <w:rFonts w:ascii="Arial" w:hAnsi="Arial" w:cs="Arial"/>
          <w:bCs/>
          <w:lang w:val="en-GB"/>
        </w:rPr>
        <w:t xml:space="preserve">the </w:t>
      </w:r>
      <w:r w:rsidR="00BF31B7" w:rsidRPr="00F42759">
        <w:rPr>
          <w:rFonts w:ascii="Arial" w:hAnsi="Arial" w:cs="Arial"/>
          <w:bCs/>
          <w:lang w:val="en-GB"/>
        </w:rPr>
        <w:t>installation of the smart meters and in the second award letter</w:t>
      </w:r>
      <w:r w:rsidR="00BF11C2" w:rsidRPr="00F42759">
        <w:rPr>
          <w:rFonts w:ascii="Arial" w:hAnsi="Arial" w:cs="Arial"/>
          <w:bCs/>
          <w:lang w:val="en-GB"/>
        </w:rPr>
        <w:t>,</w:t>
      </w:r>
      <w:r w:rsidR="00BF31B7" w:rsidRPr="00F42759">
        <w:rPr>
          <w:rFonts w:ascii="Arial" w:hAnsi="Arial" w:cs="Arial"/>
          <w:bCs/>
          <w:lang w:val="en-GB"/>
        </w:rPr>
        <w:t xml:space="preserve"> there is reference to </w:t>
      </w:r>
      <w:r w:rsidR="00790A4A" w:rsidRPr="00F42759">
        <w:rPr>
          <w:rFonts w:ascii="Arial" w:hAnsi="Arial" w:cs="Arial"/>
          <w:bCs/>
          <w:lang w:val="en-GB"/>
        </w:rPr>
        <w:t>a bad debt recovery component</w:t>
      </w:r>
      <w:r w:rsidR="00B43B2F" w:rsidRPr="00F42759">
        <w:rPr>
          <w:rFonts w:ascii="Arial" w:hAnsi="Arial" w:cs="Arial"/>
          <w:bCs/>
          <w:lang w:val="en-GB"/>
        </w:rPr>
        <w:t>,</w:t>
      </w:r>
      <w:r w:rsidR="00790A4A" w:rsidRPr="00F42759">
        <w:rPr>
          <w:rFonts w:ascii="Arial" w:hAnsi="Arial" w:cs="Arial"/>
          <w:bCs/>
          <w:lang w:val="en-GB"/>
        </w:rPr>
        <w:t xml:space="preserve"> revenue enhancement and a ‘vendorring’ system. None of these additional aspects are mentioned in the advertisement or in the bid specification.</w:t>
      </w:r>
      <w:r w:rsidR="00AF0D42" w:rsidRPr="00F42759">
        <w:rPr>
          <w:rFonts w:ascii="Arial" w:hAnsi="Arial" w:cs="Arial"/>
          <w:bCs/>
          <w:lang w:val="en-GB"/>
        </w:rPr>
        <w:t xml:space="preserve"> </w:t>
      </w:r>
      <w:r w:rsidR="00D25BA1" w:rsidRPr="00F42759">
        <w:rPr>
          <w:rFonts w:ascii="Arial" w:hAnsi="Arial" w:cs="Arial"/>
          <w:bCs/>
          <w:lang w:val="en-GB"/>
        </w:rPr>
        <w:t>It seems to me that if that is what the first respondent in truth required, it would have to issue a second tender for those services. It did not, but simply granted the Marothodi Metsi and Sebata Group all those powers.</w:t>
      </w:r>
    </w:p>
    <w:p w:rsidR="00790A4A" w:rsidRPr="00790A4A" w:rsidRDefault="00790A4A" w:rsidP="00790A4A">
      <w:pPr>
        <w:pStyle w:val="ListParagraph"/>
        <w:spacing w:line="360" w:lineRule="auto"/>
        <w:rPr>
          <w:rFonts w:ascii="Arial" w:hAnsi="Arial" w:cs="Arial"/>
          <w:bCs/>
          <w:lang w:val="en-GB"/>
        </w:rPr>
      </w:pPr>
    </w:p>
    <w:p w:rsidR="00790A4A" w:rsidRPr="00F42759" w:rsidRDefault="00F42759" w:rsidP="00F42759">
      <w:pPr>
        <w:tabs>
          <w:tab w:val="left" w:pos="709"/>
        </w:tabs>
        <w:spacing w:line="360" w:lineRule="auto"/>
        <w:jc w:val="both"/>
        <w:rPr>
          <w:rFonts w:ascii="Arial" w:hAnsi="Arial" w:cs="Arial"/>
          <w:bCs/>
          <w:lang w:val="en-GB"/>
        </w:rPr>
      </w:pPr>
      <w:r w:rsidRPr="00BF31B7">
        <w:rPr>
          <w:rFonts w:ascii="Arial" w:eastAsiaTheme="minorHAnsi" w:hAnsi="Arial" w:cs="Arial"/>
          <w:bCs/>
          <w:lang w:val="en-GB" w:eastAsia="en-US" w:bidi="ar-SA"/>
        </w:rPr>
        <w:t>[60]</w:t>
      </w:r>
      <w:r w:rsidRPr="00BF31B7">
        <w:rPr>
          <w:rFonts w:ascii="Arial" w:eastAsiaTheme="minorHAnsi" w:hAnsi="Arial" w:cs="Arial"/>
          <w:bCs/>
          <w:lang w:val="en-GB" w:eastAsia="en-US" w:bidi="ar-SA"/>
        </w:rPr>
        <w:tab/>
      </w:r>
      <w:r w:rsidR="00790A4A" w:rsidRPr="00F42759">
        <w:rPr>
          <w:rFonts w:ascii="Arial" w:hAnsi="Arial" w:cs="Arial"/>
          <w:bCs/>
          <w:lang w:val="en-GB"/>
        </w:rPr>
        <w:t>But perhaps the</w:t>
      </w:r>
      <w:r w:rsidR="00D25BA1" w:rsidRPr="00F42759">
        <w:rPr>
          <w:rFonts w:ascii="Arial" w:hAnsi="Arial" w:cs="Arial"/>
          <w:bCs/>
          <w:lang w:val="en-GB"/>
        </w:rPr>
        <w:t xml:space="preserve"> strongest point in favour of the first respondent’s fifth ground of review </w:t>
      </w:r>
      <w:r w:rsidR="00790A4A" w:rsidRPr="00F42759">
        <w:rPr>
          <w:rFonts w:ascii="Arial" w:hAnsi="Arial" w:cs="Arial"/>
          <w:bCs/>
          <w:lang w:val="en-GB"/>
        </w:rPr>
        <w:t xml:space="preserve">is that the tender was intended to be at no expense to the first respondent. The advertisement stated as much: </w:t>
      </w:r>
    </w:p>
    <w:p w:rsidR="00790A4A" w:rsidRDefault="00790A4A" w:rsidP="00790A4A">
      <w:pPr>
        <w:pStyle w:val="ListParagraph"/>
        <w:tabs>
          <w:tab w:val="left" w:pos="709"/>
        </w:tabs>
        <w:spacing w:line="360" w:lineRule="auto"/>
        <w:ind w:left="0"/>
        <w:jc w:val="both"/>
        <w:rPr>
          <w:rFonts w:ascii="Arial" w:hAnsi="Arial" w:cs="Arial"/>
          <w:bCs/>
          <w:sz w:val="22"/>
          <w:szCs w:val="22"/>
          <w:lang w:val="en-GB"/>
        </w:rPr>
      </w:pPr>
      <w:r>
        <w:rPr>
          <w:rFonts w:ascii="Arial" w:hAnsi="Arial" w:cs="Arial"/>
          <w:bCs/>
          <w:lang w:val="en-GB"/>
        </w:rPr>
        <w:t>‘</w:t>
      </w:r>
      <w:r>
        <w:rPr>
          <w:rFonts w:ascii="Arial" w:hAnsi="Arial" w:cs="Arial"/>
          <w:bCs/>
          <w:sz w:val="22"/>
          <w:szCs w:val="22"/>
          <w:lang w:val="en-GB"/>
        </w:rPr>
        <w:t>Sourcing of funding must be at no risk to the uThukela Municipality and must in no way whatsoever affect our current financial situation.’</w:t>
      </w:r>
    </w:p>
    <w:p w:rsidR="00FD61E7" w:rsidRDefault="00D816A1" w:rsidP="00D816A1">
      <w:pPr>
        <w:spacing w:line="360" w:lineRule="auto"/>
        <w:jc w:val="both"/>
        <w:rPr>
          <w:rFonts w:ascii="Arial" w:hAnsi="Arial" w:cs="Arial"/>
          <w:bCs/>
          <w:lang w:val="en-GB"/>
        </w:rPr>
      </w:pPr>
      <w:r>
        <w:rPr>
          <w:rFonts w:ascii="Arial" w:hAnsi="Arial" w:cs="Arial"/>
          <w:bCs/>
          <w:lang w:val="en-GB"/>
        </w:rPr>
        <w:t xml:space="preserve">It was never in the contemplation of the first respondent’s invitation to tender that the project would cost it an amount in excess of R700 million. It </w:t>
      </w:r>
      <w:r w:rsidR="001711D5">
        <w:rPr>
          <w:rFonts w:ascii="Arial" w:hAnsi="Arial" w:cs="Arial"/>
          <w:bCs/>
          <w:lang w:val="en-GB"/>
        </w:rPr>
        <w:t xml:space="preserve">already </w:t>
      </w:r>
      <w:r>
        <w:rPr>
          <w:rFonts w:ascii="Arial" w:hAnsi="Arial" w:cs="Arial"/>
          <w:bCs/>
          <w:lang w:val="en-GB"/>
        </w:rPr>
        <w:t xml:space="preserve">had financial difficulties. It had no approved budget for the project. </w:t>
      </w:r>
      <w:r w:rsidR="00FD61E7">
        <w:rPr>
          <w:rFonts w:ascii="Arial" w:hAnsi="Arial" w:cs="Arial"/>
          <w:bCs/>
          <w:lang w:val="en-GB"/>
        </w:rPr>
        <w:t>That this was undoubtedly the case appears from the minutes of the first respondent’s bid specification committee meeting held on 12 December 2019. That document records at paragraph 4 thereof that:</w:t>
      </w:r>
    </w:p>
    <w:p w:rsidR="00FD61E7" w:rsidRDefault="00FD61E7" w:rsidP="00D816A1">
      <w:pPr>
        <w:spacing w:line="360" w:lineRule="auto"/>
        <w:jc w:val="both"/>
        <w:rPr>
          <w:rFonts w:ascii="Arial" w:hAnsi="Arial" w:cs="Arial"/>
          <w:bCs/>
          <w:sz w:val="22"/>
          <w:szCs w:val="22"/>
          <w:lang w:val="en-GB"/>
        </w:rPr>
      </w:pPr>
      <w:r w:rsidRPr="00FD61E7">
        <w:rPr>
          <w:rFonts w:ascii="Arial" w:hAnsi="Arial" w:cs="Arial"/>
          <w:bCs/>
          <w:sz w:val="22"/>
          <w:szCs w:val="22"/>
          <w:lang w:val="en-GB"/>
        </w:rPr>
        <w:t xml:space="preserve">‘There is no budget provided to the bid specification committee by the end user department. This contract is funded externally.’ </w:t>
      </w:r>
    </w:p>
    <w:p w:rsidR="00985D5D" w:rsidRDefault="00985D5D" w:rsidP="00D816A1">
      <w:pPr>
        <w:spacing w:line="360" w:lineRule="auto"/>
        <w:jc w:val="both"/>
        <w:rPr>
          <w:rFonts w:ascii="Arial" w:hAnsi="Arial" w:cs="Arial"/>
          <w:bCs/>
          <w:lang w:val="en-GB"/>
        </w:rPr>
      </w:pPr>
      <w:r w:rsidRPr="00985D5D">
        <w:rPr>
          <w:rFonts w:ascii="Arial" w:hAnsi="Arial" w:cs="Arial"/>
          <w:bCs/>
          <w:lang w:val="en-GB"/>
        </w:rPr>
        <w:t>Later</w:t>
      </w:r>
      <w:r>
        <w:rPr>
          <w:rFonts w:ascii="Arial" w:hAnsi="Arial" w:cs="Arial"/>
          <w:bCs/>
          <w:lang w:val="en-GB"/>
        </w:rPr>
        <w:t>, the minutes record the following:</w:t>
      </w:r>
    </w:p>
    <w:p w:rsidR="00985D5D" w:rsidRPr="00985D5D" w:rsidRDefault="00985D5D" w:rsidP="00D816A1">
      <w:pPr>
        <w:spacing w:line="360" w:lineRule="auto"/>
        <w:jc w:val="both"/>
        <w:rPr>
          <w:rFonts w:ascii="Arial" w:hAnsi="Arial" w:cs="Arial"/>
          <w:bCs/>
          <w:sz w:val="22"/>
          <w:szCs w:val="22"/>
          <w:lang w:val="en-GB"/>
        </w:rPr>
      </w:pPr>
      <w:r w:rsidRPr="00985D5D">
        <w:rPr>
          <w:rFonts w:ascii="Arial" w:hAnsi="Arial" w:cs="Arial"/>
          <w:bCs/>
          <w:sz w:val="22"/>
          <w:szCs w:val="22"/>
          <w:lang w:val="en-GB"/>
        </w:rPr>
        <w:t xml:space="preserve">‘The uThukela District Municipality has huge financial challenges and is seeking service providers that can self-fund the Project and in no ways must this project affect the municipality’s current financial situation and income in anyway (sic) whatsoever.’ </w:t>
      </w:r>
    </w:p>
    <w:p w:rsidR="00D816A1" w:rsidRPr="00D816A1" w:rsidRDefault="00D816A1" w:rsidP="00D816A1">
      <w:pPr>
        <w:spacing w:line="360" w:lineRule="auto"/>
        <w:rPr>
          <w:rFonts w:ascii="Arial" w:hAnsi="Arial" w:cs="Arial"/>
          <w:bCs/>
          <w:lang w:val="en-GB"/>
        </w:rPr>
      </w:pPr>
    </w:p>
    <w:p w:rsidR="00985D5D" w:rsidRPr="00F42759" w:rsidRDefault="00F42759" w:rsidP="00F42759">
      <w:pPr>
        <w:tabs>
          <w:tab w:val="left" w:pos="709"/>
        </w:tabs>
        <w:spacing w:line="360" w:lineRule="auto"/>
        <w:jc w:val="both"/>
        <w:rPr>
          <w:rFonts w:ascii="Arial" w:hAnsi="Arial" w:cs="Arial"/>
          <w:bCs/>
          <w:lang w:val="en-GB"/>
        </w:rPr>
      </w:pPr>
      <w:r>
        <w:rPr>
          <w:rFonts w:ascii="Arial" w:eastAsiaTheme="minorHAnsi" w:hAnsi="Arial" w:cs="Arial"/>
          <w:bCs/>
          <w:lang w:val="en-GB" w:eastAsia="en-US" w:bidi="ar-SA"/>
        </w:rPr>
        <w:t>[61]</w:t>
      </w:r>
      <w:r>
        <w:rPr>
          <w:rFonts w:ascii="Arial" w:eastAsiaTheme="minorHAnsi" w:hAnsi="Arial" w:cs="Arial"/>
          <w:bCs/>
          <w:lang w:val="en-GB" w:eastAsia="en-US" w:bidi="ar-SA"/>
        </w:rPr>
        <w:tab/>
      </w:r>
      <w:r w:rsidR="00985D5D" w:rsidRPr="00F42759">
        <w:rPr>
          <w:rFonts w:ascii="Arial" w:hAnsi="Arial" w:cs="Arial"/>
          <w:bCs/>
          <w:lang w:val="en-GB"/>
        </w:rPr>
        <w:t>It is clear from this, as Mr de Wet argued, that there was no</w:t>
      </w:r>
      <w:r w:rsidR="00B43B2F" w:rsidRPr="00F42759">
        <w:rPr>
          <w:rFonts w:ascii="Arial" w:hAnsi="Arial" w:cs="Arial"/>
          <w:bCs/>
          <w:lang w:val="en-GB"/>
        </w:rPr>
        <w:t>n-</w:t>
      </w:r>
      <w:r w:rsidR="00985D5D" w:rsidRPr="00F42759">
        <w:rPr>
          <w:rFonts w:ascii="Arial" w:hAnsi="Arial" w:cs="Arial"/>
          <w:bCs/>
          <w:lang w:val="en-GB"/>
        </w:rPr>
        <w:t xml:space="preserve">compliance with the peremptory provisions of section </w:t>
      </w:r>
      <w:r w:rsidR="008308DD" w:rsidRPr="00F42759">
        <w:rPr>
          <w:rFonts w:ascii="Arial" w:hAnsi="Arial" w:cs="Arial"/>
          <w:bCs/>
          <w:lang w:val="en-GB"/>
        </w:rPr>
        <w:t xml:space="preserve">19(1) and 19(2) of the </w:t>
      </w:r>
      <w:r w:rsidR="00B43B2F" w:rsidRPr="00F42759">
        <w:rPr>
          <w:rFonts w:ascii="Arial" w:hAnsi="Arial" w:cs="Arial"/>
          <w:bCs/>
          <w:lang w:val="en-GB"/>
        </w:rPr>
        <w:t xml:space="preserve">Local Government: </w:t>
      </w:r>
      <w:r w:rsidR="008308DD" w:rsidRPr="00F42759">
        <w:rPr>
          <w:rFonts w:ascii="Arial" w:hAnsi="Arial" w:cs="Arial"/>
          <w:bCs/>
          <w:lang w:val="en-GB"/>
        </w:rPr>
        <w:t>Municipal Finance Management Act</w:t>
      </w:r>
      <w:r w:rsidR="00985D5D" w:rsidRPr="00F42759">
        <w:rPr>
          <w:rFonts w:ascii="Arial" w:hAnsi="Arial" w:cs="Arial"/>
          <w:bCs/>
          <w:lang w:val="en-GB"/>
        </w:rPr>
        <w:t xml:space="preserve"> </w:t>
      </w:r>
      <w:r w:rsidR="00EF287C" w:rsidRPr="00F42759">
        <w:rPr>
          <w:rFonts w:ascii="Arial" w:hAnsi="Arial" w:cs="Arial"/>
          <w:bCs/>
          <w:lang w:val="en-GB"/>
        </w:rPr>
        <w:t>56 of 2003</w:t>
      </w:r>
      <w:r w:rsidR="008308DD" w:rsidRPr="00F42759">
        <w:rPr>
          <w:rFonts w:ascii="Arial" w:hAnsi="Arial" w:cs="Arial"/>
          <w:bCs/>
          <w:lang w:val="en-GB"/>
        </w:rPr>
        <w:t>, which states:</w:t>
      </w:r>
    </w:p>
    <w:p w:rsidR="00B43B2F" w:rsidRPr="00B43B2F" w:rsidRDefault="008308DD" w:rsidP="00E91A47">
      <w:pPr>
        <w:pStyle w:val="ListParagraph"/>
        <w:spacing w:line="360" w:lineRule="auto"/>
        <w:ind w:hanging="720"/>
        <w:jc w:val="both"/>
        <w:rPr>
          <w:rFonts w:ascii="Arial" w:hAnsi="Arial" w:cs="Arial"/>
          <w:sz w:val="22"/>
          <w:szCs w:val="22"/>
          <w:lang w:val="en-US"/>
        </w:rPr>
      </w:pPr>
      <w:r w:rsidRPr="00EF287C">
        <w:rPr>
          <w:rFonts w:ascii="Arial" w:hAnsi="Arial" w:cs="Arial"/>
          <w:sz w:val="22"/>
          <w:szCs w:val="22"/>
        </w:rPr>
        <w:t>‘19(1)</w:t>
      </w:r>
      <w:r w:rsidRPr="00EF287C">
        <w:rPr>
          <w:rFonts w:ascii="Arial" w:hAnsi="Arial" w:cs="Arial"/>
          <w:sz w:val="22"/>
          <w:szCs w:val="22"/>
        </w:rPr>
        <w:tab/>
        <w:t xml:space="preserve"> </w:t>
      </w:r>
      <w:r w:rsidR="00B43B2F" w:rsidRPr="00B43B2F">
        <w:rPr>
          <w:rFonts w:ascii="Arial" w:hAnsi="Arial" w:cs="Arial"/>
          <w:sz w:val="22"/>
          <w:szCs w:val="22"/>
          <w:lang w:val="en-US"/>
        </w:rPr>
        <w:t>A municipality may spend money on a capital project only if—</w:t>
      </w:r>
    </w:p>
    <w:p w:rsidR="00B43B2F" w:rsidRPr="00B43B2F" w:rsidRDefault="00B43B2F" w:rsidP="00E91A47">
      <w:pPr>
        <w:pStyle w:val="ListParagraph"/>
        <w:spacing w:line="360" w:lineRule="auto"/>
        <w:ind w:hanging="720"/>
        <w:jc w:val="both"/>
        <w:rPr>
          <w:rFonts w:ascii="Arial" w:hAnsi="Arial" w:cs="Arial"/>
          <w:sz w:val="22"/>
          <w:szCs w:val="22"/>
          <w:lang w:val="en-US"/>
        </w:rPr>
      </w:pPr>
      <w:r w:rsidRPr="00B43B2F">
        <w:rPr>
          <w:rFonts w:ascii="Arial" w:hAnsi="Arial" w:cs="Arial"/>
          <w:sz w:val="22"/>
          <w:szCs w:val="22"/>
          <w:lang w:val="en-US"/>
        </w:rPr>
        <w:t>(</w:t>
      </w:r>
      <w:r w:rsidRPr="00B43B2F">
        <w:rPr>
          <w:rFonts w:ascii="Arial" w:hAnsi="Arial" w:cs="Arial"/>
          <w:i/>
          <w:iCs/>
          <w:sz w:val="22"/>
          <w:szCs w:val="22"/>
          <w:lang w:val="en-US"/>
        </w:rPr>
        <w:t>a</w:t>
      </w:r>
      <w:r w:rsidRPr="00B43B2F">
        <w:rPr>
          <w:rFonts w:ascii="Arial" w:hAnsi="Arial" w:cs="Arial"/>
          <w:sz w:val="22"/>
          <w:szCs w:val="22"/>
          <w:lang w:val="en-US"/>
        </w:rPr>
        <w:t>)</w:t>
      </w:r>
      <w:r w:rsidRPr="00B43B2F">
        <w:rPr>
          <w:rFonts w:ascii="Arial" w:hAnsi="Arial" w:cs="Arial"/>
          <w:sz w:val="22"/>
          <w:szCs w:val="22"/>
          <w:lang w:val="en-US"/>
        </w:rPr>
        <w:tab/>
        <w:t>the money for the project, excluding the cost of feasibility studies conducted by or on behalf of the municipality, has been appropriated in the capital budget referred to in section 17 (2);</w:t>
      </w:r>
    </w:p>
    <w:p w:rsidR="00B43B2F" w:rsidRPr="00B43B2F" w:rsidRDefault="00B43B2F" w:rsidP="00E91A47">
      <w:pPr>
        <w:pStyle w:val="ListParagraph"/>
        <w:spacing w:line="360" w:lineRule="auto"/>
        <w:ind w:hanging="720"/>
        <w:jc w:val="both"/>
        <w:rPr>
          <w:rFonts w:ascii="Arial" w:hAnsi="Arial" w:cs="Arial"/>
          <w:sz w:val="22"/>
          <w:szCs w:val="22"/>
          <w:lang w:val="en-US"/>
        </w:rPr>
      </w:pPr>
      <w:r w:rsidRPr="00B43B2F">
        <w:rPr>
          <w:rFonts w:ascii="Arial" w:hAnsi="Arial" w:cs="Arial"/>
          <w:sz w:val="22"/>
          <w:szCs w:val="22"/>
          <w:lang w:val="en-US"/>
        </w:rPr>
        <w:t>(</w:t>
      </w:r>
      <w:r w:rsidRPr="00B43B2F">
        <w:rPr>
          <w:rFonts w:ascii="Arial" w:hAnsi="Arial" w:cs="Arial"/>
          <w:i/>
          <w:iCs/>
          <w:sz w:val="22"/>
          <w:szCs w:val="22"/>
          <w:lang w:val="en-US"/>
        </w:rPr>
        <w:t>b</w:t>
      </w:r>
      <w:r w:rsidRPr="00B43B2F">
        <w:rPr>
          <w:rFonts w:ascii="Arial" w:hAnsi="Arial" w:cs="Arial"/>
          <w:sz w:val="22"/>
          <w:szCs w:val="22"/>
          <w:lang w:val="en-US"/>
        </w:rPr>
        <w:t>)</w:t>
      </w:r>
      <w:r w:rsidRPr="00B43B2F">
        <w:rPr>
          <w:rFonts w:ascii="Arial" w:hAnsi="Arial" w:cs="Arial"/>
          <w:sz w:val="22"/>
          <w:szCs w:val="22"/>
          <w:lang w:val="en-US"/>
        </w:rPr>
        <w:tab/>
        <w:t>the project, including the total cost, has been approved by the council;</w:t>
      </w:r>
    </w:p>
    <w:p w:rsidR="00B43B2F" w:rsidRPr="00B43B2F" w:rsidRDefault="00B43B2F" w:rsidP="00E91A47">
      <w:pPr>
        <w:pStyle w:val="ListParagraph"/>
        <w:spacing w:line="360" w:lineRule="auto"/>
        <w:ind w:hanging="720"/>
        <w:jc w:val="both"/>
        <w:rPr>
          <w:rFonts w:ascii="Arial" w:hAnsi="Arial" w:cs="Arial"/>
          <w:sz w:val="22"/>
          <w:szCs w:val="22"/>
          <w:lang w:val="en-US"/>
        </w:rPr>
      </w:pPr>
      <w:r w:rsidRPr="00B43B2F">
        <w:rPr>
          <w:rFonts w:ascii="Arial" w:hAnsi="Arial" w:cs="Arial"/>
          <w:sz w:val="22"/>
          <w:szCs w:val="22"/>
          <w:lang w:val="en-US"/>
        </w:rPr>
        <w:t>(</w:t>
      </w:r>
      <w:r w:rsidRPr="00B43B2F">
        <w:rPr>
          <w:rFonts w:ascii="Arial" w:hAnsi="Arial" w:cs="Arial"/>
          <w:i/>
          <w:iCs/>
          <w:sz w:val="22"/>
          <w:szCs w:val="22"/>
          <w:lang w:val="en-US"/>
        </w:rPr>
        <w:t>c</w:t>
      </w:r>
      <w:r w:rsidRPr="00B43B2F">
        <w:rPr>
          <w:rFonts w:ascii="Arial" w:hAnsi="Arial" w:cs="Arial"/>
          <w:sz w:val="22"/>
          <w:szCs w:val="22"/>
          <w:lang w:val="en-US"/>
        </w:rPr>
        <w:t>)</w:t>
      </w:r>
      <w:r w:rsidRPr="00B43B2F">
        <w:rPr>
          <w:rFonts w:ascii="Arial" w:hAnsi="Arial" w:cs="Arial"/>
          <w:sz w:val="22"/>
          <w:szCs w:val="22"/>
          <w:lang w:val="en-US"/>
        </w:rPr>
        <w:tab/>
        <w:t>section 33 has been complied with, to the extent that that section may be applicable to the project; and</w:t>
      </w:r>
    </w:p>
    <w:p w:rsidR="00B43B2F" w:rsidRPr="00B43B2F" w:rsidRDefault="00B43B2F" w:rsidP="00E91A47">
      <w:pPr>
        <w:pStyle w:val="ListParagraph"/>
        <w:spacing w:line="360" w:lineRule="auto"/>
        <w:ind w:hanging="720"/>
        <w:jc w:val="both"/>
        <w:rPr>
          <w:rFonts w:ascii="Arial" w:hAnsi="Arial" w:cs="Arial"/>
          <w:sz w:val="22"/>
          <w:szCs w:val="22"/>
          <w:lang w:val="en-US"/>
        </w:rPr>
      </w:pPr>
      <w:r w:rsidRPr="00B43B2F">
        <w:rPr>
          <w:rFonts w:ascii="Arial" w:hAnsi="Arial" w:cs="Arial"/>
          <w:sz w:val="22"/>
          <w:szCs w:val="22"/>
          <w:lang w:val="en-US"/>
        </w:rPr>
        <w:t>(</w:t>
      </w:r>
      <w:r w:rsidRPr="00B43B2F">
        <w:rPr>
          <w:rFonts w:ascii="Arial" w:hAnsi="Arial" w:cs="Arial"/>
          <w:i/>
          <w:iCs/>
          <w:sz w:val="22"/>
          <w:szCs w:val="22"/>
          <w:lang w:val="en-US"/>
        </w:rPr>
        <w:t>d</w:t>
      </w:r>
      <w:r w:rsidRPr="00B43B2F">
        <w:rPr>
          <w:rFonts w:ascii="Arial" w:hAnsi="Arial" w:cs="Arial"/>
          <w:sz w:val="22"/>
          <w:szCs w:val="22"/>
          <w:lang w:val="en-US"/>
        </w:rPr>
        <w:t>)</w:t>
      </w:r>
      <w:r w:rsidRPr="00B43B2F">
        <w:rPr>
          <w:rFonts w:ascii="Arial" w:hAnsi="Arial" w:cs="Arial"/>
          <w:sz w:val="22"/>
          <w:szCs w:val="22"/>
          <w:lang w:val="en-US"/>
        </w:rPr>
        <w:tab/>
        <w:t>the sources of funding have been considered, are available and have not been committed for other purposes.</w:t>
      </w:r>
    </w:p>
    <w:p w:rsidR="00B43B2F" w:rsidRPr="00B43B2F" w:rsidRDefault="00B43B2F" w:rsidP="00E91A47">
      <w:pPr>
        <w:pStyle w:val="ListParagraph"/>
        <w:spacing w:line="360" w:lineRule="auto"/>
        <w:ind w:left="0"/>
        <w:jc w:val="both"/>
        <w:rPr>
          <w:rFonts w:ascii="Arial" w:hAnsi="Arial" w:cs="Arial"/>
          <w:sz w:val="22"/>
          <w:szCs w:val="22"/>
          <w:lang w:val="en-US"/>
        </w:rPr>
      </w:pPr>
      <w:r w:rsidRPr="00B43B2F">
        <w:rPr>
          <w:rFonts w:ascii="Arial" w:hAnsi="Arial" w:cs="Arial"/>
          <w:sz w:val="22"/>
          <w:szCs w:val="22"/>
          <w:lang w:val="en-US"/>
        </w:rPr>
        <w:t>(2)  </w:t>
      </w:r>
      <w:r w:rsidR="00E91A47">
        <w:rPr>
          <w:rFonts w:ascii="Arial" w:hAnsi="Arial" w:cs="Arial"/>
          <w:sz w:val="22"/>
          <w:szCs w:val="22"/>
          <w:lang w:val="en-US"/>
        </w:rPr>
        <w:tab/>
      </w:r>
      <w:r w:rsidRPr="00B43B2F">
        <w:rPr>
          <w:rFonts w:ascii="Arial" w:hAnsi="Arial" w:cs="Arial"/>
          <w:sz w:val="22"/>
          <w:szCs w:val="22"/>
          <w:lang w:val="en-US"/>
        </w:rPr>
        <w:t>Before approving a capital project in terms of subsection (1) (</w:t>
      </w:r>
      <w:r w:rsidRPr="00B43B2F">
        <w:rPr>
          <w:rFonts w:ascii="Arial" w:hAnsi="Arial" w:cs="Arial"/>
          <w:i/>
          <w:iCs/>
          <w:sz w:val="22"/>
          <w:szCs w:val="22"/>
          <w:lang w:val="en-US"/>
        </w:rPr>
        <w:t>b</w:t>
      </w:r>
      <w:r w:rsidRPr="00B43B2F">
        <w:rPr>
          <w:rFonts w:ascii="Arial" w:hAnsi="Arial" w:cs="Arial"/>
          <w:sz w:val="22"/>
          <w:szCs w:val="22"/>
          <w:lang w:val="en-US"/>
        </w:rPr>
        <w:t>), the council of a municipality must consider—</w:t>
      </w:r>
    </w:p>
    <w:p w:rsidR="00B43B2F" w:rsidRPr="00B43B2F" w:rsidRDefault="00B43B2F" w:rsidP="00E91A47">
      <w:pPr>
        <w:pStyle w:val="ListParagraph"/>
        <w:spacing w:line="360" w:lineRule="auto"/>
        <w:ind w:hanging="720"/>
        <w:jc w:val="both"/>
        <w:rPr>
          <w:rFonts w:ascii="Arial" w:hAnsi="Arial" w:cs="Arial"/>
          <w:sz w:val="22"/>
          <w:szCs w:val="22"/>
          <w:lang w:val="en-US"/>
        </w:rPr>
      </w:pPr>
      <w:r w:rsidRPr="00B43B2F">
        <w:rPr>
          <w:rFonts w:ascii="Arial" w:hAnsi="Arial" w:cs="Arial"/>
          <w:sz w:val="22"/>
          <w:szCs w:val="22"/>
          <w:lang w:val="en-US"/>
        </w:rPr>
        <w:t>(</w:t>
      </w:r>
      <w:r w:rsidRPr="00B43B2F">
        <w:rPr>
          <w:rFonts w:ascii="Arial" w:hAnsi="Arial" w:cs="Arial"/>
          <w:i/>
          <w:iCs/>
          <w:sz w:val="22"/>
          <w:szCs w:val="22"/>
          <w:lang w:val="en-US"/>
        </w:rPr>
        <w:t>a</w:t>
      </w:r>
      <w:r w:rsidRPr="00B43B2F">
        <w:rPr>
          <w:rFonts w:ascii="Arial" w:hAnsi="Arial" w:cs="Arial"/>
          <w:sz w:val="22"/>
          <w:szCs w:val="22"/>
          <w:lang w:val="en-US"/>
        </w:rPr>
        <w:t>)</w:t>
      </w:r>
      <w:r w:rsidRPr="00B43B2F">
        <w:rPr>
          <w:rFonts w:ascii="Arial" w:hAnsi="Arial" w:cs="Arial"/>
          <w:sz w:val="22"/>
          <w:szCs w:val="22"/>
          <w:lang w:val="en-US"/>
        </w:rPr>
        <w:tab/>
        <w:t>the projected cost covering all financial years until the project is operational; and</w:t>
      </w:r>
    </w:p>
    <w:p w:rsidR="00001B63" w:rsidRPr="00EF287C" w:rsidRDefault="00B43B2F" w:rsidP="00E91A47">
      <w:pPr>
        <w:pStyle w:val="ListParagraph"/>
        <w:spacing w:line="360" w:lineRule="auto"/>
        <w:ind w:hanging="720"/>
        <w:jc w:val="both"/>
        <w:rPr>
          <w:rFonts w:ascii="Arial" w:hAnsi="Arial" w:cs="Arial"/>
          <w:sz w:val="22"/>
          <w:szCs w:val="22"/>
        </w:rPr>
      </w:pPr>
      <w:r w:rsidRPr="00B43B2F">
        <w:rPr>
          <w:rFonts w:ascii="Arial" w:hAnsi="Arial" w:cs="Arial"/>
          <w:sz w:val="22"/>
          <w:szCs w:val="22"/>
          <w:lang w:val="en-US"/>
        </w:rPr>
        <w:t>(</w:t>
      </w:r>
      <w:r w:rsidRPr="00B43B2F">
        <w:rPr>
          <w:rFonts w:ascii="Arial" w:hAnsi="Arial" w:cs="Arial"/>
          <w:i/>
          <w:iCs/>
          <w:sz w:val="22"/>
          <w:szCs w:val="22"/>
          <w:lang w:val="en-US"/>
        </w:rPr>
        <w:t>b</w:t>
      </w:r>
      <w:r w:rsidRPr="00B43B2F">
        <w:rPr>
          <w:rFonts w:ascii="Arial" w:hAnsi="Arial" w:cs="Arial"/>
          <w:sz w:val="22"/>
          <w:szCs w:val="22"/>
          <w:lang w:val="en-US"/>
        </w:rPr>
        <w:t>)</w:t>
      </w:r>
      <w:r w:rsidRPr="00B43B2F">
        <w:rPr>
          <w:rFonts w:ascii="Arial" w:hAnsi="Arial" w:cs="Arial"/>
          <w:sz w:val="22"/>
          <w:szCs w:val="22"/>
          <w:lang w:val="en-US"/>
        </w:rPr>
        <w:tab/>
        <w:t>the future operational costs and revenue on the project, including municipal tax and tariff implications.</w:t>
      </w:r>
      <w:r w:rsidR="00EF287C" w:rsidRPr="00EF287C">
        <w:rPr>
          <w:rFonts w:ascii="Arial" w:hAnsi="Arial" w:cs="Arial"/>
          <w:sz w:val="22"/>
          <w:szCs w:val="22"/>
        </w:rPr>
        <w:t>’</w:t>
      </w:r>
      <w:r w:rsidR="008308DD" w:rsidRPr="00EF287C">
        <w:rPr>
          <w:rFonts w:ascii="Arial" w:hAnsi="Arial" w:cs="Arial"/>
          <w:sz w:val="22"/>
          <w:szCs w:val="22"/>
        </w:rPr>
        <w:t xml:space="preserve"> </w:t>
      </w:r>
    </w:p>
    <w:p w:rsidR="00EF287C" w:rsidRDefault="00EF287C" w:rsidP="00EF287C">
      <w:pPr>
        <w:pStyle w:val="ListParagraph"/>
        <w:tabs>
          <w:tab w:val="left" w:pos="709"/>
        </w:tabs>
        <w:spacing w:line="360" w:lineRule="auto"/>
        <w:ind w:left="0"/>
        <w:jc w:val="both"/>
        <w:rPr>
          <w:rFonts w:ascii="Arial" w:hAnsi="Arial" w:cs="Arial"/>
          <w:bCs/>
          <w:lang w:val="en-GB"/>
        </w:rPr>
      </w:pPr>
    </w:p>
    <w:p w:rsidR="004B6073" w:rsidRPr="00F42759" w:rsidRDefault="00F42759" w:rsidP="00F42759">
      <w:pPr>
        <w:tabs>
          <w:tab w:val="left" w:pos="709"/>
        </w:tabs>
        <w:spacing w:line="360" w:lineRule="auto"/>
        <w:jc w:val="both"/>
        <w:rPr>
          <w:rFonts w:ascii="Arial" w:hAnsi="Arial" w:cs="Arial"/>
          <w:bCs/>
          <w:lang w:val="en-GB"/>
        </w:rPr>
      </w:pPr>
      <w:r w:rsidRPr="00EF287C">
        <w:rPr>
          <w:rFonts w:ascii="Arial" w:eastAsiaTheme="minorHAnsi" w:hAnsi="Arial" w:cs="Arial"/>
          <w:bCs/>
          <w:lang w:val="en-GB" w:eastAsia="en-US" w:bidi="ar-SA"/>
        </w:rPr>
        <w:t>[62]</w:t>
      </w:r>
      <w:r w:rsidRPr="00EF287C">
        <w:rPr>
          <w:rFonts w:ascii="Arial" w:eastAsiaTheme="minorHAnsi" w:hAnsi="Arial" w:cs="Arial"/>
          <w:bCs/>
          <w:lang w:val="en-GB" w:eastAsia="en-US" w:bidi="ar-SA"/>
        </w:rPr>
        <w:tab/>
      </w:r>
      <w:r w:rsidR="00D25BA1" w:rsidRPr="00F42759">
        <w:rPr>
          <w:rFonts w:ascii="Arial" w:hAnsi="Arial" w:cs="Arial"/>
          <w:bCs/>
          <w:lang w:val="en-GB"/>
        </w:rPr>
        <w:t xml:space="preserve">In summary, each ground of review raised by the first respondent has merit and must be sustained. </w:t>
      </w:r>
      <w:r w:rsidR="00D816A1" w:rsidRPr="00F42759">
        <w:rPr>
          <w:rFonts w:ascii="Arial" w:hAnsi="Arial" w:cs="Arial"/>
          <w:bCs/>
          <w:lang w:val="en-GB"/>
        </w:rPr>
        <w:t xml:space="preserve">It appears to me that the first respondent’s conduct </w:t>
      </w:r>
      <w:r w:rsidR="00AF0D42" w:rsidRPr="00F42759">
        <w:rPr>
          <w:rFonts w:ascii="Arial" w:hAnsi="Arial" w:cs="Arial"/>
          <w:bCs/>
          <w:lang w:val="en-GB"/>
        </w:rPr>
        <w:t xml:space="preserve">in awarding the tender to the Marothodi Metsi and Sebata Group was </w:t>
      </w:r>
      <w:r w:rsidR="00D816A1" w:rsidRPr="00F42759">
        <w:rPr>
          <w:rFonts w:ascii="Arial" w:hAnsi="Arial" w:cs="Arial"/>
          <w:bCs/>
          <w:lang w:val="en-GB"/>
        </w:rPr>
        <w:t xml:space="preserve">neither </w:t>
      </w:r>
      <w:r w:rsidR="00D816A1" w:rsidRPr="00F42759">
        <w:rPr>
          <w:rFonts w:ascii="Arial" w:hAnsi="Arial" w:cs="Arial"/>
        </w:rPr>
        <w:t xml:space="preserve">fair, equitable, transparent, competitive </w:t>
      </w:r>
      <w:r w:rsidR="00170F56" w:rsidRPr="00F42759">
        <w:rPr>
          <w:rFonts w:ascii="Arial" w:hAnsi="Arial" w:cs="Arial"/>
        </w:rPr>
        <w:t>nor</w:t>
      </w:r>
      <w:r w:rsidR="00D816A1" w:rsidRPr="00F42759">
        <w:rPr>
          <w:rFonts w:ascii="Arial" w:hAnsi="Arial" w:cs="Arial"/>
        </w:rPr>
        <w:t xml:space="preserve"> cost-effective, all factors mentioned in </w:t>
      </w:r>
      <w:r w:rsidR="005A5B0C" w:rsidRPr="00F42759">
        <w:rPr>
          <w:rFonts w:ascii="Arial" w:hAnsi="Arial" w:cs="Arial"/>
          <w:iCs/>
        </w:rPr>
        <w:t>s 217</w:t>
      </w:r>
      <w:r w:rsidR="002258B5" w:rsidRPr="00F42759">
        <w:rPr>
          <w:rFonts w:ascii="Arial" w:hAnsi="Arial" w:cs="Arial"/>
          <w:iCs/>
        </w:rPr>
        <w:t>(1)</w:t>
      </w:r>
      <w:r w:rsidR="005A5B0C" w:rsidRPr="00F42759">
        <w:rPr>
          <w:rFonts w:ascii="Arial" w:hAnsi="Arial" w:cs="Arial"/>
          <w:iCs/>
        </w:rPr>
        <w:t xml:space="preserve"> of the Constitution</w:t>
      </w:r>
      <w:r w:rsidR="00D816A1" w:rsidRPr="00F42759">
        <w:rPr>
          <w:rFonts w:ascii="Arial" w:hAnsi="Arial" w:cs="Arial"/>
        </w:rPr>
        <w:t xml:space="preserve">. </w:t>
      </w:r>
    </w:p>
    <w:p w:rsidR="00D25BA1" w:rsidRPr="00D25BA1" w:rsidRDefault="00D25BA1" w:rsidP="00D25BA1">
      <w:pPr>
        <w:pStyle w:val="ListParagraph"/>
        <w:tabs>
          <w:tab w:val="left" w:pos="709"/>
        </w:tabs>
        <w:spacing w:line="360" w:lineRule="auto"/>
        <w:ind w:left="0"/>
        <w:jc w:val="both"/>
        <w:rPr>
          <w:rFonts w:ascii="Arial" w:hAnsi="Arial" w:cs="Arial"/>
          <w:bCs/>
          <w:lang w:val="en-GB"/>
        </w:rPr>
      </w:pPr>
    </w:p>
    <w:p w:rsidR="006A0955" w:rsidRPr="00F42759" w:rsidRDefault="00F42759" w:rsidP="00F42759">
      <w:pPr>
        <w:tabs>
          <w:tab w:val="left" w:pos="709"/>
        </w:tabs>
        <w:spacing w:line="360" w:lineRule="auto"/>
        <w:jc w:val="both"/>
        <w:rPr>
          <w:rFonts w:ascii="Arial" w:hAnsi="Arial" w:cs="Arial"/>
          <w:bCs/>
          <w:lang w:val="en-GB"/>
        </w:rPr>
      </w:pPr>
      <w:r>
        <w:rPr>
          <w:rFonts w:ascii="Arial" w:eastAsiaTheme="minorHAnsi" w:hAnsi="Arial" w:cs="Arial"/>
          <w:bCs/>
          <w:lang w:val="en-GB" w:eastAsia="en-US" w:bidi="ar-SA"/>
        </w:rPr>
        <w:t>[63]</w:t>
      </w:r>
      <w:r>
        <w:rPr>
          <w:rFonts w:ascii="Arial" w:eastAsiaTheme="minorHAnsi" w:hAnsi="Arial" w:cs="Arial"/>
          <w:bCs/>
          <w:lang w:val="en-GB" w:eastAsia="en-US" w:bidi="ar-SA"/>
        </w:rPr>
        <w:tab/>
      </w:r>
      <w:r w:rsidR="00897C7E" w:rsidRPr="00F42759">
        <w:rPr>
          <w:rFonts w:ascii="Arial" w:hAnsi="Arial" w:cs="Arial"/>
        </w:rPr>
        <w:t>The first respondent</w:t>
      </w:r>
      <w:r w:rsidR="00A902D8" w:rsidRPr="00F42759">
        <w:rPr>
          <w:rFonts w:ascii="Arial" w:hAnsi="Arial" w:cs="Arial"/>
        </w:rPr>
        <w:t>,</w:t>
      </w:r>
      <w:r w:rsidR="00897C7E" w:rsidRPr="00F42759">
        <w:rPr>
          <w:rFonts w:ascii="Arial" w:hAnsi="Arial" w:cs="Arial"/>
        </w:rPr>
        <w:t xml:space="preserve"> in bringing its review application</w:t>
      </w:r>
      <w:r w:rsidR="00DA1CA2" w:rsidRPr="00F42759">
        <w:rPr>
          <w:rFonts w:ascii="Arial" w:hAnsi="Arial" w:cs="Arial"/>
        </w:rPr>
        <w:t>,</w:t>
      </w:r>
      <w:r w:rsidR="00897C7E" w:rsidRPr="00F42759">
        <w:rPr>
          <w:rFonts w:ascii="Arial" w:hAnsi="Arial" w:cs="Arial"/>
        </w:rPr>
        <w:t xml:space="preserve"> highlighted its dissatisfaction with the issues that I have just dealt with. However, it went further and alleged that the applicant</w:t>
      </w:r>
      <w:r w:rsidR="00EF287C" w:rsidRPr="00F42759">
        <w:rPr>
          <w:rFonts w:ascii="Arial" w:hAnsi="Arial" w:cs="Arial"/>
        </w:rPr>
        <w:t xml:space="preserve"> is guilty of fraudulent conduct. It appears that the allegation </w:t>
      </w:r>
      <w:r w:rsidR="005A5B0C" w:rsidRPr="00F42759">
        <w:rPr>
          <w:rFonts w:ascii="Arial" w:hAnsi="Arial" w:cs="Arial"/>
        </w:rPr>
        <w:t xml:space="preserve">of fraud </w:t>
      </w:r>
      <w:r w:rsidR="00EF287C" w:rsidRPr="00F42759">
        <w:rPr>
          <w:rFonts w:ascii="Arial" w:hAnsi="Arial" w:cs="Arial"/>
        </w:rPr>
        <w:t xml:space="preserve">has at least two levels. The first level is that the applicant knew that on its own track record </w:t>
      </w:r>
      <w:r w:rsidR="005A5B0C" w:rsidRPr="00F42759">
        <w:rPr>
          <w:rFonts w:ascii="Arial" w:hAnsi="Arial" w:cs="Arial"/>
        </w:rPr>
        <w:t xml:space="preserve">it could not succeed with its bid. It then submitted the bid in its name and the name of the Sebata Group and rode on the latter’s track record and expertise to secure the tender. That conduct was dishonest and fraudulently misrepresented the facts. </w:t>
      </w:r>
      <w:r w:rsidR="00D35197" w:rsidRPr="00F42759">
        <w:rPr>
          <w:rFonts w:ascii="Arial" w:hAnsi="Arial" w:cs="Arial"/>
        </w:rPr>
        <w:t xml:space="preserve">The second </w:t>
      </w:r>
      <w:r w:rsidR="005A5B0C" w:rsidRPr="00F42759">
        <w:rPr>
          <w:rFonts w:ascii="Arial" w:hAnsi="Arial" w:cs="Arial"/>
        </w:rPr>
        <w:t>level</w:t>
      </w:r>
      <w:r w:rsidR="00D35197" w:rsidRPr="00F42759">
        <w:rPr>
          <w:rFonts w:ascii="Arial" w:hAnsi="Arial" w:cs="Arial"/>
        </w:rPr>
        <w:t xml:space="preserve"> is that</w:t>
      </w:r>
      <w:r w:rsidR="005A5B0C" w:rsidRPr="00F42759">
        <w:rPr>
          <w:rFonts w:ascii="Arial" w:hAnsi="Arial" w:cs="Arial"/>
        </w:rPr>
        <w:t xml:space="preserve"> the applicant has acted fraudulently in stating that the first bid document is the one that it submitted to the first respondent when it well knew that what had been submitted was the second bid document, and it has thereafter advanced a false narrative based upon th</w:t>
      </w:r>
      <w:r w:rsidR="002258B5" w:rsidRPr="00F42759">
        <w:rPr>
          <w:rFonts w:ascii="Arial" w:hAnsi="Arial" w:cs="Arial"/>
        </w:rPr>
        <w:t xml:space="preserve">e first bid </w:t>
      </w:r>
      <w:r w:rsidR="005A5B0C" w:rsidRPr="00F42759">
        <w:rPr>
          <w:rFonts w:ascii="Arial" w:hAnsi="Arial" w:cs="Arial"/>
        </w:rPr>
        <w:t xml:space="preserve">document. The submission is that </w:t>
      </w:r>
      <w:r w:rsidR="0011795A" w:rsidRPr="00F42759">
        <w:rPr>
          <w:rFonts w:ascii="Arial" w:hAnsi="Arial" w:cs="Arial"/>
        </w:rPr>
        <w:t>such conduct</w:t>
      </w:r>
      <w:r w:rsidR="005A5B0C" w:rsidRPr="00F42759">
        <w:rPr>
          <w:rFonts w:ascii="Arial" w:hAnsi="Arial" w:cs="Arial"/>
        </w:rPr>
        <w:t xml:space="preserve"> is equally dishonest and is designed to deceive the court.</w:t>
      </w:r>
      <w:r w:rsidR="006A0955" w:rsidRPr="00F42759">
        <w:rPr>
          <w:rFonts w:ascii="Arial" w:hAnsi="Arial" w:cs="Arial"/>
          <w:bCs/>
          <w:lang w:val="en-GB"/>
        </w:rPr>
        <w:t xml:space="preserve"> </w:t>
      </w:r>
    </w:p>
    <w:p w:rsidR="005A5B0C" w:rsidRDefault="005A5B0C" w:rsidP="005A5B0C">
      <w:pPr>
        <w:pStyle w:val="ListParagraph"/>
        <w:tabs>
          <w:tab w:val="left" w:pos="709"/>
        </w:tabs>
        <w:spacing w:line="360" w:lineRule="auto"/>
        <w:ind w:left="0"/>
        <w:jc w:val="both"/>
        <w:rPr>
          <w:rFonts w:ascii="Arial" w:hAnsi="Arial" w:cs="Arial"/>
          <w:bCs/>
          <w:lang w:val="en-GB"/>
        </w:rPr>
      </w:pPr>
    </w:p>
    <w:p w:rsidR="00897C7E" w:rsidRPr="00F42759" w:rsidRDefault="00F42759" w:rsidP="00F42759">
      <w:pPr>
        <w:tabs>
          <w:tab w:val="left" w:pos="709"/>
        </w:tabs>
        <w:spacing w:line="360" w:lineRule="auto"/>
        <w:jc w:val="both"/>
        <w:rPr>
          <w:rFonts w:ascii="Arial" w:hAnsi="Arial" w:cs="Arial"/>
          <w:bCs/>
          <w:lang w:val="en-GB"/>
        </w:rPr>
      </w:pPr>
      <w:r w:rsidRPr="00D25BA1">
        <w:rPr>
          <w:rFonts w:ascii="Arial" w:eastAsiaTheme="minorHAnsi" w:hAnsi="Arial" w:cs="Arial"/>
          <w:bCs/>
          <w:lang w:val="en-GB" w:eastAsia="en-US" w:bidi="ar-SA"/>
        </w:rPr>
        <w:t>[64]</w:t>
      </w:r>
      <w:r w:rsidRPr="00D25BA1">
        <w:rPr>
          <w:rFonts w:ascii="Arial" w:eastAsiaTheme="minorHAnsi" w:hAnsi="Arial" w:cs="Arial"/>
          <w:bCs/>
          <w:lang w:val="en-GB" w:eastAsia="en-US" w:bidi="ar-SA"/>
        </w:rPr>
        <w:tab/>
      </w:r>
      <w:r w:rsidR="005A5B0C" w:rsidRPr="00F42759">
        <w:rPr>
          <w:rFonts w:ascii="Arial" w:hAnsi="Arial" w:cs="Arial"/>
          <w:bCs/>
          <w:lang w:val="en-GB"/>
        </w:rPr>
        <w:t>The</w:t>
      </w:r>
      <w:r w:rsidR="00897C7E" w:rsidRPr="00F42759">
        <w:rPr>
          <w:rFonts w:ascii="Arial" w:hAnsi="Arial" w:cs="Arial"/>
          <w:bCs/>
          <w:lang w:val="en-GB"/>
        </w:rPr>
        <w:t xml:space="preserve"> allegation </w:t>
      </w:r>
      <w:r w:rsidR="005A5B0C" w:rsidRPr="00F42759">
        <w:rPr>
          <w:rFonts w:ascii="Arial" w:hAnsi="Arial" w:cs="Arial"/>
          <w:bCs/>
          <w:lang w:val="en-GB"/>
        </w:rPr>
        <w:t xml:space="preserve">of fraud </w:t>
      </w:r>
      <w:r w:rsidR="00897C7E" w:rsidRPr="00F42759">
        <w:rPr>
          <w:rFonts w:ascii="Arial" w:hAnsi="Arial" w:cs="Arial"/>
          <w:bCs/>
          <w:lang w:val="en-GB"/>
        </w:rPr>
        <w:t>is obviously one of the most serious kind. Dishonesty and deception have no place in life or in litigation. The law, however, does not easily infer fraud,</w:t>
      </w:r>
      <w:r w:rsidR="00897C7E">
        <w:rPr>
          <w:rStyle w:val="FootnoteReference"/>
          <w:rFonts w:ascii="Arial" w:hAnsi="Arial" w:cs="Arial"/>
          <w:bCs/>
          <w:lang w:val="en-GB"/>
        </w:rPr>
        <w:footnoteReference w:id="24"/>
      </w:r>
      <w:r w:rsidR="00897C7E" w:rsidRPr="00F42759">
        <w:rPr>
          <w:rFonts w:ascii="Arial" w:hAnsi="Arial" w:cs="Arial"/>
          <w:bCs/>
          <w:lang w:val="en-GB"/>
        </w:rPr>
        <w:t xml:space="preserve"> but when it is found to exist, it:</w:t>
      </w:r>
      <w:r w:rsidR="00897C7E" w:rsidRPr="00F42759">
        <w:rPr>
          <w:rFonts w:ascii="Arial" w:hAnsi="Arial" w:cs="Arial"/>
        </w:rPr>
        <w:t xml:space="preserve"> </w:t>
      </w:r>
    </w:p>
    <w:p w:rsidR="00897C7E" w:rsidRDefault="00897C7E" w:rsidP="00897C7E">
      <w:pPr>
        <w:pStyle w:val="ListParagraph"/>
        <w:tabs>
          <w:tab w:val="left" w:pos="709"/>
        </w:tabs>
        <w:spacing w:line="360" w:lineRule="auto"/>
        <w:ind w:left="0"/>
        <w:jc w:val="both"/>
        <w:rPr>
          <w:rFonts w:ascii="Arial" w:hAnsi="Arial" w:cs="Arial"/>
          <w:iCs/>
          <w:color w:val="242121"/>
          <w:shd w:val="clear" w:color="auto" w:fill="FFFFFF"/>
        </w:rPr>
      </w:pPr>
      <w:r w:rsidRPr="00EC1E3A">
        <w:rPr>
          <w:rFonts w:ascii="Arial" w:hAnsi="Arial" w:cs="Arial"/>
          <w:sz w:val="22"/>
          <w:szCs w:val="22"/>
        </w:rPr>
        <w:t>‘vitiates every transaction known to the law’.</w:t>
      </w:r>
      <w:r w:rsidRPr="00B60BE9">
        <w:rPr>
          <w:rStyle w:val="FootnoteReference"/>
          <w:rFonts w:ascii="Arial" w:hAnsi="Arial" w:cs="Arial"/>
        </w:rPr>
        <w:footnoteReference w:id="25"/>
      </w:r>
      <w:r w:rsidRPr="004C6089">
        <w:rPr>
          <w:rFonts w:ascii="Arial" w:hAnsi="Arial" w:cs="Arial"/>
          <w:iCs/>
          <w:color w:val="242121"/>
          <w:shd w:val="clear" w:color="auto" w:fill="FFFFFF"/>
        </w:rPr>
        <w:t xml:space="preserve"> </w:t>
      </w:r>
    </w:p>
    <w:p w:rsidR="00897C7E" w:rsidRPr="00C57C2D" w:rsidRDefault="00897C7E" w:rsidP="00897C7E">
      <w:pPr>
        <w:pStyle w:val="ListParagraph"/>
        <w:tabs>
          <w:tab w:val="left" w:pos="709"/>
        </w:tabs>
        <w:spacing w:line="360" w:lineRule="auto"/>
        <w:ind w:left="0"/>
        <w:jc w:val="both"/>
        <w:rPr>
          <w:rFonts w:ascii="Arial" w:hAnsi="Arial" w:cs="Arial"/>
          <w:bCs/>
          <w:lang w:val="en-GB"/>
        </w:rPr>
      </w:pPr>
      <w:r w:rsidRPr="004C6089">
        <w:rPr>
          <w:rFonts w:ascii="Arial" w:hAnsi="Arial" w:cs="Arial"/>
          <w:iCs/>
          <w:color w:val="242121"/>
          <w:shd w:val="clear" w:color="auto" w:fill="FFFFFF"/>
        </w:rPr>
        <w:t>I</w:t>
      </w:r>
      <w:r>
        <w:rPr>
          <w:rFonts w:ascii="Arial" w:hAnsi="Arial" w:cs="Arial"/>
          <w:iCs/>
          <w:color w:val="242121"/>
          <w:shd w:val="clear" w:color="auto" w:fill="FFFFFF"/>
        </w:rPr>
        <w:t>, however,</w:t>
      </w:r>
      <w:r w:rsidRPr="004C6089">
        <w:rPr>
          <w:rFonts w:ascii="Arial" w:hAnsi="Arial" w:cs="Arial"/>
          <w:iCs/>
          <w:color w:val="242121"/>
          <w:shd w:val="clear" w:color="auto" w:fill="FFFFFF"/>
        </w:rPr>
        <w:t xml:space="preserve"> caution myself with </w:t>
      </w:r>
      <w:r w:rsidR="000B26DD">
        <w:rPr>
          <w:rFonts w:ascii="Arial" w:hAnsi="Arial" w:cs="Arial"/>
          <w:iCs/>
          <w:color w:val="242121"/>
          <w:shd w:val="clear" w:color="auto" w:fill="FFFFFF"/>
        </w:rPr>
        <w:t xml:space="preserve">two </w:t>
      </w:r>
      <w:r w:rsidRPr="004C6089">
        <w:rPr>
          <w:rFonts w:ascii="Arial" w:hAnsi="Arial" w:cs="Arial"/>
          <w:iCs/>
          <w:color w:val="242121"/>
          <w:shd w:val="clear" w:color="auto" w:fill="FFFFFF"/>
        </w:rPr>
        <w:t>realisation</w:t>
      </w:r>
      <w:r w:rsidR="000B26DD">
        <w:rPr>
          <w:rFonts w:ascii="Arial" w:hAnsi="Arial" w:cs="Arial"/>
          <w:iCs/>
          <w:color w:val="242121"/>
          <w:shd w:val="clear" w:color="auto" w:fill="FFFFFF"/>
        </w:rPr>
        <w:t xml:space="preserve">s when considering this </w:t>
      </w:r>
      <w:r w:rsidR="001875AC">
        <w:rPr>
          <w:rFonts w:ascii="Arial" w:hAnsi="Arial" w:cs="Arial"/>
          <w:iCs/>
          <w:color w:val="242121"/>
          <w:shd w:val="clear" w:color="auto" w:fill="FFFFFF"/>
        </w:rPr>
        <w:t>allegation</w:t>
      </w:r>
      <w:r w:rsidR="000B26DD">
        <w:rPr>
          <w:rFonts w:ascii="Arial" w:hAnsi="Arial" w:cs="Arial"/>
          <w:iCs/>
          <w:color w:val="242121"/>
          <w:shd w:val="clear" w:color="auto" w:fill="FFFFFF"/>
        </w:rPr>
        <w:t xml:space="preserve">. The first is that </w:t>
      </w:r>
      <w:r w:rsidRPr="004C6089">
        <w:rPr>
          <w:rFonts w:ascii="Arial" w:hAnsi="Arial" w:cs="Arial"/>
          <w:iCs/>
          <w:color w:val="242121"/>
          <w:shd w:val="clear" w:color="auto" w:fill="FFFFFF"/>
        </w:rPr>
        <w:t>fraud should not be considered as a</w:t>
      </w:r>
      <w:r>
        <w:rPr>
          <w:rFonts w:ascii="Arial" w:hAnsi="Arial" w:cs="Arial"/>
          <w:iCs/>
          <w:color w:val="242121"/>
          <w:shd w:val="clear" w:color="auto" w:fill="FFFFFF"/>
        </w:rPr>
        <w:t xml:space="preserve"> </w:t>
      </w:r>
      <w:r w:rsidR="000A1C8A">
        <w:rPr>
          <w:rFonts w:ascii="Arial" w:hAnsi="Arial" w:cs="Arial"/>
          <w:iCs/>
          <w:color w:val="242121"/>
          <w:shd w:val="clear" w:color="auto" w:fill="FFFFFF"/>
        </w:rPr>
        <w:t>‘flame-</w:t>
      </w:r>
      <w:r w:rsidRPr="00C57C2D">
        <w:rPr>
          <w:rFonts w:ascii="Arial" w:hAnsi="Arial" w:cs="Arial"/>
          <w:iCs/>
          <w:color w:val="242121"/>
          <w:shd w:val="clear" w:color="auto" w:fill="FFFFFF"/>
        </w:rPr>
        <w:t>thrower, withering all within reach’.</w:t>
      </w:r>
      <w:r>
        <w:rPr>
          <w:rStyle w:val="FootnoteReference"/>
          <w:rFonts w:ascii="Arial" w:hAnsi="Arial" w:cs="Arial"/>
          <w:iCs/>
          <w:color w:val="242121"/>
          <w:shd w:val="clear" w:color="auto" w:fill="FFFFFF"/>
        </w:rPr>
        <w:footnoteReference w:id="26"/>
      </w:r>
      <w:r w:rsidRPr="00C57C2D">
        <w:rPr>
          <w:rFonts w:ascii="Arial" w:hAnsi="Arial" w:cs="Arial"/>
          <w:iCs/>
          <w:color w:val="242121"/>
          <w:shd w:val="clear" w:color="auto" w:fill="FFFFFF"/>
        </w:rPr>
        <w:t xml:space="preserve"> </w:t>
      </w:r>
      <w:r>
        <w:rPr>
          <w:rFonts w:ascii="Arial" w:hAnsi="Arial" w:cs="Arial"/>
          <w:iCs/>
          <w:color w:val="242121"/>
          <w:shd w:val="clear" w:color="auto" w:fill="FFFFFF"/>
        </w:rPr>
        <w:t>A</w:t>
      </w:r>
      <w:r w:rsidRPr="00C57C2D">
        <w:rPr>
          <w:rFonts w:ascii="Arial" w:hAnsi="Arial" w:cs="Arial"/>
          <w:iCs/>
          <w:color w:val="242121"/>
          <w:shd w:val="clear" w:color="auto" w:fill="FFFFFF"/>
        </w:rPr>
        <w:t xml:space="preserve">s Cameron J </w:t>
      </w:r>
      <w:r>
        <w:rPr>
          <w:rFonts w:ascii="Arial" w:hAnsi="Arial" w:cs="Arial"/>
          <w:iCs/>
          <w:color w:val="242121"/>
          <w:shd w:val="clear" w:color="auto" w:fill="FFFFFF"/>
        </w:rPr>
        <w:t>observ</w:t>
      </w:r>
      <w:r w:rsidRPr="00C57C2D">
        <w:rPr>
          <w:rFonts w:ascii="Arial" w:hAnsi="Arial" w:cs="Arial"/>
          <w:iCs/>
          <w:color w:val="242121"/>
          <w:shd w:val="clear" w:color="auto" w:fill="FFFFFF"/>
        </w:rPr>
        <w:t xml:space="preserve">ed further in </w:t>
      </w:r>
      <w:r w:rsidRPr="00C57C2D">
        <w:rPr>
          <w:rFonts w:ascii="Arial" w:hAnsi="Arial" w:cs="Arial"/>
          <w:i/>
        </w:rPr>
        <w:t xml:space="preserve">Absa Bank </w:t>
      </w:r>
      <w:r w:rsidR="000A1C8A" w:rsidRPr="00C57C2D">
        <w:rPr>
          <w:rFonts w:ascii="Arial" w:hAnsi="Arial" w:cs="Arial"/>
          <w:i/>
        </w:rPr>
        <w:t>L</w:t>
      </w:r>
      <w:r w:rsidR="000A1C8A">
        <w:rPr>
          <w:rFonts w:ascii="Arial" w:hAnsi="Arial" w:cs="Arial"/>
          <w:i/>
        </w:rPr>
        <w:t>td</w:t>
      </w:r>
      <w:r w:rsidR="000A1C8A" w:rsidRPr="00C57C2D">
        <w:rPr>
          <w:rFonts w:ascii="Arial" w:hAnsi="Arial" w:cs="Arial"/>
          <w:i/>
        </w:rPr>
        <w:t xml:space="preserve"> </w:t>
      </w:r>
      <w:r w:rsidRPr="00C57C2D">
        <w:rPr>
          <w:rFonts w:ascii="Arial" w:hAnsi="Arial" w:cs="Arial"/>
          <w:i/>
        </w:rPr>
        <w:t>v Moore and another:</w:t>
      </w:r>
      <w:r w:rsidRPr="00B60BE9">
        <w:rPr>
          <w:rStyle w:val="FootnoteReference"/>
          <w:rFonts w:ascii="Arial" w:hAnsi="Arial" w:cs="Arial"/>
        </w:rPr>
        <w:footnoteReference w:id="27"/>
      </w:r>
      <w:r w:rsidRPr="00C57C2D">
        <w:rPr>
          <w:rFonts w:ascii="Arial" w:hAnsi="Arial" w:cs="Arial"/>
        </w:rPr>
        <w:t xml:space="preserve"> </w:t>
      </w:r>
    </w:p>
    <w:p w:rsidR="00897C7E" w:rsidRDefault="00897C7E" w:rsidP="000B26DD">
      <w:pPr>
        <w:pStyle w:val="ListParagraph"/>
        <w:shd w:val="clear" w:color="auto" w:fill="FFFFFF"/>
        <w:tabs>
          <w:tab w:val="left" w:pos="709"/>
        </w:tabs>
        <w:spacing w:line="360" w:lineRule="auto"/>
        <w:ind w:left="0"/>
        <w:jc w:val="both"/>
        <w:outlineLvl w:val="0"/>
        <w:rPr>
          <w:rFonts w:ascii="Arial" w:hAnsi="Arial" w:cs="Arial"/>
          <w:sz w:val="22"/>
          <w:szCs w:val="22"/>
        </w:rPr>
      </w:pPr>
      <w:r w:rsidRPr="00BB1715">
        <w:rPr>
          <w:rFonts w:ascii="Arial" w:hAnsi="Arial" w:cs="Arial"/>
        </w:rPr>
        <w:t>‘</w:t>
      </w:r>
      <w:r w:rsidRPr="004C6089">
        <w:rPr>
          <w:rFonts w:ascii="Arial" w:hAnsi="Arial" w:cs="Arial"/>
          <w:sz w:val="22"/>
          <w:szCs w:val="22"/>
        </w:rPr>
        <w:t>Fraud unravels all directly within its compass, but only between victim and perpetrator, at the instance of the victim. Whether fraud unravels a contract depends on its victim, not the fraudster or third parties.</w:t>
      </w:r>
      <w:r w:rsidR="000A1C8A">
        <w:rPr>
          <w:rFonts w:ascii="Arial" w:hAnsi="Arial" w:cs="Arial"/>
          <w:sz w:val="22"/>
          <w:szCs w:val="22"/>
        </w:rPr>
        <w:t>’</w:t>
      </w:r>
    </w:p>
    <w:p w:rsidR="000B26DD" w:rsidRPr="001311D6" w:rsidRDefault="000B26DD" w:rsidP="007D16DB">
      <w:pPr>
        <w:pStyle w:val="NormalWeb"/>
        <w:spacing w:before="0" w:beforeAutospacing="0" w:after="0" w:afterAutospacing="0" w:line="360" w:lineRule="auto"/>
        <w:jc w:val="both"/>
        <w:rPr>
          <w:rFonts w:ascii="Verdana" w:hAnsi="Verdana"/>
          <w:color w:val="242121"/>
        </w:rPr>
      </w:pPr>
      <w:r w:rsidRPr="001311D6">
        <w:rPr>
          <w:rStyle w:val="apple-converted-space"/>
          <w:rFonts w:asciiTheme="minorBidi" w:hAnsiTheme="minorBidi" w:cstheme="minorBidi"/>
          <w:color w:val="242121"/>
        </w:rPr>
        <w:t>The second is that motion proceedings are generally not designed to permit</w:t>
      </w:r>
      <w:r w:rsidR="001311D6" w:rsidRPr="001311D6">
        <w:rPr>
          <w:rStyle w:val="apple-converted-space"/>
          <w:rFonts w:asciiTheme="minorBidi" w:hAnsiTheme="minorBidi" w:cstheme="minorBidi"/>
          <w:color w:val="242121"/>
        </w:rPr>
        <w:t xml:space="preserve"> a court to </w:t>
      </w:r>
      <w:r w:rsidR="007D16DB">
        <w:rPr>
          <w:rStyle w:val="apple-converted-space"/>
          <w:rFonts w:asciiTheme="minorBidi" w:hAnsiTheme="minorBidi" w:cstheme="minorBidi"/>
          <w:color w:val="242121"/>
        </w:rPr>
        <w:t xml:space="preserve">easily </w:t>
      </w:r>
      <w:r w:rsidR="001311D6" w:rsidRPr="001311D6">
        <w:rPr>
          <w:rStyle w:val="apple-converted-space"/>
          <w:rFonts w:asciiTheme="minorBidi" w:hAnsiTheme="minorBidi" w:cstheme="minorBidi"/>
          <w:color w:val="242121"/>
        </w:rPr>
        <w:t>make</w:t>
      </w:r>
      <w:r w:rsidRPr="001311D6">
        <w:rPr>
          <w:rStyle w:val="apple-converted-space"/>
          <w:rFonts w:asciiTheme="minorBidi" w:hAnsiTheme="minorBidi" w:cstheme="minorBidi"/>
          <w:color w:val="242121"/>
        </w:rPr>
        <w:t xml:space="preserve"> findings of fraud.</w:t>
      </w:r>
      <w:r w:rsidRPr="001311D6">
        <w:rPr>
          <w:rStyle w:val="FootnoteReference"/>
          <w:rFonts w:asciiTheme="minorBidi" w:hAnsiTheme="minorBidi" w:cstheme="minorBidi"/>
          <w:color w:val="242121"/>
        </w:rPr>
        <w:footnoteReference w:id="28"/>
      </w:r>
      <w:r w:rsidRPr="001311D6">
        <w:rPr>
          <w:rStyle w:val="apple-converted-space"/>
          <w:rFonts w:asciiTheme="minorBidi" w:hAnsiTheme="minorBidi" w:cstheme="minorBidi"/>
          <w:color w:val="242121"/>
        </w:rPr>
        <w:t> </w:t>
      </w:r>
      <w:r w:rsidR="001311D6" w:rsidRPr="001311D6">
        <w:rPr>
          <w:rFonts w:asciiTheme="minorBidi" w:hAnsiTheme="minorBidi" w:cstheme="minorBidi"/>
          <w:color w:val="242121"/>
        </w:rPr>
        <w:t xml:space="preserve">As Seegobin J said in </w:t>
      </w:r>
      <w:r w:rsidR="001311D6" w:rsidRPr="001311D6">
        <w:rPr>
          <w:rFonts w:ascii="Arial" w:hAnsi="Arial" w:cs="Arial"/>
          <w:i/>
          <w:iCs/>
          <w:color w:val="000000" w:themeColor="text1"/>
        </w:rPr>
        <w:t xml:space="preserve">Commissioner for the South African Revenue Services v Sassin and </w:t>
      </w:r>
      <w:r w:rsidR="00962DF0" w:rsidRPr="001311D6">
        <w:rPr>
          <w:rFonts w:ascii="Arial" w:hAnsi="Arial" w:cs="Arial"/>
          <w:i/>
          <w:iCs/>
          <w:color w:val="000000" w:themeColor="text1"/>
        </w:rPr>
        <w:t>others</w:t>
      </w:r>
      <w:r w:rsidR="007D16DB">
        <w:rPr>
          <w:rFonts w:ascii="Arial" w:hAnsi="Arial" w:cs="Arial"/>
          <w:color w:val="000000" w:themeColor="text1"/>
        </w:rPr>
        <w:t>:</w:t>
      </w:r>
      <w:r w:rsidR="001311D6" w:rsidRPr="007D16DB">
        <w:rPr>
          <w:rStyle w:val="FootnoteReference"/>
          <w:rFonts w:ascii="Arial" w:hAnsi="Arial" w:cs="Arial"/>
          <w:color w:val="000000" w:themeColor="text1"/>
        </w:rPr>
        <w:footnoteReference w:id="29"/>
      </w:r>
    </w:p>
    <w:p w:rsidR="000B26DD" w:rsidRPr="007D16DB" w:rsidRDefault="007D16DB" w:rsidP="007D16DB">
      <w:pPr>
        <w:pStyle w:val="NormalWeb"/>
        <w:spacing w:before="0" w:beforeAutospacing="0" w:after="0" w:afterAutospacing="0" w:line="360" w:lineRule="auto"/>
        <w:jc w:val="both"/>
        <w:rPr>
          <w:rFonts w:asciiTheme="minorBidi" w:hAnsiTheme="minorBidi" w:cstheme="minorBidi"/>
          <w:color w:val="242121"/>
          <w:sz w:val="22"/>
          <w:szCs w:val="22"/>
        </w:rPr>
      </w:pPr>
      <w:r>
        <w:rPr>
          <w:rFonts w:asciiTheme="minorBidi" w:hAnsiTheme="minorBidi" w:cstheme="minorBidi"/>
          <w:color w:val="242121"/>
          <w:sz w:val="22"/>
          <w:szCs w:val="22"/>
        </w:rPr>
        <w:t>‘</w:t>
      </w:r>
      <w:r w:rsidR="000B26DD" w:rsidRPr="007D16DB">
        <w:rPr>
          <w:rFonts w:asciiTheme="minorBidi" w:hAnsiTheme="minorBidi" w:cstheme="minorBidi"/>
          <w:color w:val="242121"/>
          <w:sz w:val="22"/>
          <w:szCs w:val="22"/>
        </w:rPr>
        <w:t>Our courts have consistently held that it would be unwise to decide a disputed issue of whether fraud was committed on motion proceedings without the benefits inherent in the hearing of oral evidence, including discovery of documents, cross-examination of witnesses, and so forth.</w:t>
      </w:r>
      <w:r>
        <w:rPr>
          <w:rFonts w:asciiTheme="minorBidi" w:hAnsiTheme="minorBidi" w:cstheme="minorBidi"/>
          <w:color w:val="242121"/>
          <w:sz w:val="22"/>
          <w:szCs w:val="22"/>
        </w:rPr>
        <w:t>’</w:t>
      </w:r>
      <w:r w:rsidR="000B26DD" w:rsidRPr="007D16DB">
        <w:rPr>
          <w:rFonts w:asciiTheme="minorBidi" w:hAnsiTheme="minorBidi" w:cstheme="minorBidi"/>
          <w:color w:val="242121"/>
          <w:sz w:val="22"/>
          <w:szCs w:val="22"/>
        </w:rPr>
        <w:t xml:space="preserve">  </w:t>
      </w:r>
    </w:p>
    <w:p w:rsidR="00820CF2" w:rsidRDefault="00820CF2" w:rsidP="00897C7E">
      <w:pPr>
        <w:pStyle w:val="ListParagraph"/>
        <w:shd w:val="clear" w:color="auto" w:fill="FFFFFF"/>
        <w:tabs>
          <w:tab w:val="left" w:pos="709"/>
        </w:tabs>
        <w:spacing w:line="360" w:lineRule="auto"/>
        <w:ind w:left="0"/>
        <w:jc w:val="both"/>
        <w:outlineLvl w:val="0"/>
        <w:rPr>
          <w:rFonts w:ascii="Arial" w:hAnsi="Arial" w:cs="Arial"/>
          <w:sz w:val="22"/>
          <w:szCs w:val="22"/>
        </w:rPr>
      </w:pPr>
    </w:p>
    <w:p w:rsidR="00E7145C" w:rsidRPr="00F42759" w:rsidRDefault="00F42759" w:rsidP="00F42759">
      <w:pPr>
        <w:tabs>
          <w:tab w:val="left" w:pos="709"/>
        </w:tabs>
        <w:spacing w:line="360" w:lineRule="auto"/>
        <w:jc w:val="both"/>
        <w:rPr>
          <w:rFonts w:ascii="Arial" w:hAnsi="Arial" w:cs="Arial"/>
          <w:bCs/>
          <w:lang w:val="en-GB"/>
        </w:rPr>
      </w:pPr>
      <w:r>
        <w:rPr>
          <w:rFonts w:ascii="Arial" w:eastAsiaTheme="minorHAnsi" w:hAnsi="Arial" w:cs="Arial"/>
          <w:bCs/>
          <w:lang w:val="en-GB" w:eastAsia="en-US" w:bidi="ar-SA"/>
        </w:rPr>
        <w:t>[65]</w:t>
      </w:r>
      <w:r>
        <w:rPr>
          <w:rFonts w:ascii="Arial" w:eastAsiaTheme="minorHAnsi" w:hAnsi="Arial" w:cs="Arial"/>
          <w:bCs/>
          <w:lang w:val="en-GB" w:eastAsia="en-US" w:bidi="ar-SA"/>
        </w:rPr>
        <w:tab/>
      </w:r>
      <w:r w:rsidR="00D25BA1" w:rsidRPr="00F42759">
        <w:rPr>
          <w:rFonts w:ascii="Arial" w:hAnsi="Arial" w:cs="Arial"/>
          <w:bCs/>
          <w:lang w:val="en-GB"/>
        </w:rPr>
        <w:t>It seems to me</w:t>
      </w:r>
      <w:r w:rsidR="005A5B0C" w:rsidRPr="00F42759">
        <w:rPr>
          <w:rFonts w:ascii="Arial" w:hAnsi="Arial" w:cs="Arial"/>
          <w:bCs/>
          <w:lang w:val="en-GB"/>
        </w:rPr>
        <w:t xml:space="preserve"> that considering the date of registration of the applicant and the fact that the financial statements put up by it establish unquestionably that it had never traded, the applicant had very little prospect of succeeding on its own in securing the tender. The only way that could occur would be </w:t>
      </w:r>
      <w:r w:rsidR="00CC7089" w:rsidRPr="00F42759">
        <w:rPr>
          <w:rFonts w:ascii="Arial" w:hAnsi="Arial" w:cs="Arial"/>
          <w:bCs/>
          <w:lang w:val="en-GB"/>
        </w:rPr>
        <w:t>if it included the Sebata Group as a bidding partner. Everything that it said about its association with the Sebata Group was a fiction, designed to mislead the first respondent and to win the tender. It also seems likely to me that the</w:t>
      </w:r>
      <w:r w:rsidR="00D25BA1" w:rsidRPr="00F42759">
        <w:rPr>
          <w:rFonts w:ascii="Arial" w:hAnsi="Arial" w:cs="Arial"/>
          <w:bCs/>
          <w:lang w:val="en-GB"/>
        </w:rPr>
        <w:t xml:space="preserve"> applicant would know what bid document it submitted to the first </w:t>
      </w:r>
      <w:r w:rsidR="00A902D8" w:rsidRPr="00F42759">
        <w:rPr>
          <w:rFonts w:ascii="Arial" w:hAnsi="Arial" w:cs="Arial"/>
          <w:bCs/>
          <w:lang w:val="en-GB"/>
        </w:rPr>
        <w:t>respondent,</w:t>
      </w:r>
      <w:r w:rsidR="00CC7089" w:rsidRPr="00F42759">
        <w:rPr>
          <w:rFonts w:ascii="Arial" w:hAnsi="Arial" w:cs="Arial"/>
          <w:bCs/>
          <w:lang w:val="en-GB"/>
        </w:rPr>
        <w:t xml:space="preserve"> and it would have an explanation of why the second bid document exist</w:t>
      </w:r>
      <w:r w:rsidR="001711D5" w:rsidRPr="00F42759">
        <w:rPr>
          <w:rFonts w:ascii="Arial" w:hAnsi="Arial" w:cs="Arial"/>
          <w:bCs/>
          <w:lang w:val="en-GB"/>
        </w:rPr>
        <w:t>s</w:t>
      </w:r>
      <w:r w:rsidR="00CC7089" w:rsidRPr="00F42759">
        <w:rPr>
          <w:rFonts w:ascii="Arial" w:hAnsi="Arial" w:cs="Arial"/>
          <w:bCs/>
          <w:lang w:val="en-GB"/>
        </w:rPr>
        <w:t xml:space="preserve"> and why that document and not the first bid document formed part of the review record. But no explanation has been offered. The invitation to conclude that the applicant constructed its case around the first bid document knowing that what had been submitted to the first respondent </w:t>
      </w:r>
      <w:r w:rsidR="00AB13D7" w:rsidRPr="00F42759">
        <w:rPr>
          <w:rFonts w:ascii="Arial" w:hAnsi="Arial" w:cs="Arial"/>
          <w:bCs/>
          <w:lang w:val="en-GB"/>
        </w:rPr>
        <w:t xml:space="preserve">was the second bid document </w:t>
      </w:r>
      <w:r w:rsidR="00CC7089" w:rsidRPr="00F42759">
        <w:rPr>
          <w:rFonts w:ascii="Arial" w:hAnsi="Arial" w:cs="Arial"/>
          <w:bCs/>
          <w:lang w:val="en-GB"/>
        </w:rPr>
        <w:t>is almost impossible to resist. That conclusion becomes irresistible when two further occurrences are considered.</w:t>
      </w:r>
    </w:p>
    <w:p w:rsidR="00820CF2" w:rsidRDefault="00E7145C" w:rsidP="00E7145C">
      <w:pPr>
        <w:pStyle w:val="ListParagraph"/>
        <w:tabs>
          <w:tab w:val="left" w:pos="709"/>
        </w:tabs>
        <w:spacing w:line="360" w:lineRule="auto"/>
        <w:ind w:left="0"/>
        <w:jc w:val="both"/>
        <w:rPr>
          <w:rFonts w:ascii="Arial" w:hAnsi="Arial" w:cs="Arial"/>
          <w:bCs/>
          <w:lang w:val="en-GB"/>
        </w:rPr>
      </w:pPr>
      <w:r>
        <w:rPr>
          <w:rFonts w:ascii="Arial" w:hAnsi="Arial" w:cs="Arial"/>
          <w:bCs/>
          <w:lang w:val="en-GB"/>
        </w:rPr>
        <w:t xml:space="preserve"> </w:t>
      </w:r>
    </w:p>
    <w:p w:rsidR="00F449E8" w:rsidRPr="00F42759" w:rsidRDefault="00F42759" w:rsidP="00F42759">
      <w:pPr>
        <w:tabs>
          <w:tab w:val="left" w:pos="709"/>
        </w:tabs>
        <w:spacing w:line="360" w:lineRule="auto"/>
        <w:jc w:val="both"/>
        <w:rPr>
          <w:rFonts w:ascii="Arial" w:hAnsi="Arial" w:cs="Arial"/>
          <w:bCs/>
          <w:lang w:val="en-GB"/>
        </w:rPr>
      </w:pPr>
      <w:r w:rsidRPr="00AF0D42">
        <w:rPr>
          <w:rFonts w:ascii="Arial" w:eastAsiaTheme="minorHAnsi" w:hAnsi="Arial" w:cs="Arial"/>
          <w:bCs/>
          <w:lang w:val="en-GB" w:eastAsia="en-US" w:bidi="ar-SA"/>
        </w:rPr>
        <w:t>[66]</w:t>
      </w:r>
      <w:r w:rsidRPr="00AF0D42">
        <w:rPr>
          <w:rFonts w:ascii="Arial" w:eastAsiaTheme="minorHAnsi" w:hAnsi="Arial" w:cs="Arial"/>
          <w:bCs/>
          <w:lang w:val="en-GB" w:eastAsia="en-US" w:bidi="ar-SA"/>
        </w:rPr>
        <w:tab/>
      </w:r>
      <w:r w:rsidR="002E2186" w:rsidRPr="00F42759">
        <w:rPr>
          <w:rFonts w:ascii="Arial" w:hAnsi="Arial" w:cs="Arial"/>
          <w:bCs/>
          <w:lang w:val="en-GB"/>
        </w:rPr>
        <w:t xml:space="preserve">The first occurrence relates to the conclusion of the contract. </w:t>
      </w:r>
      <w:r w:rsidR="00C54954" w:rsidRPr="00F42759">
        <w:rPr>
          <w:rFonts w:ascii="Arial" w:hAnsi="Arial" w:cs="Arial"/>
          <w:bCs/>
          <w:lang w:val="en-GB"/>
        </w:rPr>
        <w:t>The closing date for the tender</w:t>
      </w:r>
      <w:r w:rsidR="002E2186" w:rsidRPr="00F42759">
        <w:rPr>
          <w:rFonts w:ascii="Arial" w:hAnsi="Arial" w:cs="Arial"/>
          <w:bCs/>
          <w:lang w:val="en-GB"/>
        </w:rPr>
        <w:t>, as previously noted, was</w:t>
      </w:r>
      <w:r w:rsidR="0095299A" w:rsidRPr="00F42759">
        <w:rPr>
          <w:rFonts w:ascii="Arial" w:hAnsi="Arial" w:cs="Arial"/>
          <w:bCs/>
          <w:lang w:val="en-GB"/>
        </w:rPr>
        <w:t xml:space="preserve"> </w:t>
      </w:r>
      <w:r w:rsidR="00BA058C" w:rsidRPr="00F42759">
        <w:rPr>
          <w:rFonts w:ascii="Arial" w:hAnsi="Arial" w:cs="Arial"/>
          <w:bCs/>
          <w:lang w:val="en-GB"/>
        </w:rPr>
        <w:t>12h00 on 20 February 2020</w:t>
      </w:r>
      <w:r w:rsidR="0095299A" w:rsidRPr="00F42759">
        <w:rPr>
          <w:rFonts w:ascii="Arial" w:hAnsi="Arial" w:cs="Arial"/>
          <w:bCs/>
          <w:lang w:val="en-GB"/>
        </w:rPr>
        <w:t xml:space="preserve">. </w:t>
      </w:r>
      <w:r w:rsidR="00BA058C" w:rsidRPr="00F42759">
        <w:rPr>
          <w:rFonts w:ascii="Arial" w:hAnsi="Arial" w:cs="Arial"/>
          <w:bCs/>
          <w:lang w:val="en-GB"/>
        </w:rPr>
        <w:t>There was no indication of when the award would be published but i</w:t>
      </w:r>
      <w:r w:rsidR="0095299A" w:rsidRPr="00F42759">
        <w:rPr>
          <w:rFonts w:ascii="Arial" w:hAnsi="Arial" w:cs="Arial"/>
          <w:bCs/>
          <w:lang w:val="en-GB"/>
        </w:rPr>
        <w:t xml:space="preserve">t is not in dispute that the result of the tender was announced on </w:t>
      </w:r>
      <w:r w:rsidR="00BA058C" w:rsidRPr="00F42759">
        <w:rPr>
          <w:rFonts w:ascii="Arial" w:hAnsi="Arial" w:cs="Arial"/>
          <w:bCs/>
          <w:lang w:val="en-GB"/>
        </w:rPr>
        <w:t>7 July 2020</w:t>
      </w:r>
      <w:r w:rsidR="00140E98" w:rsidRPr="00F42759">
        <w:rPr>
          <w:rFonts w:ascii="Arial" w:hAnsi="Arial" w:cs="Arial"/>
          <w:bCs/>
          <w:lang w:val="en-GB"/>
        </w:rPr>
        <w:t>,</w:t>
      </w:r>
      <w:r w:rsidR="002E2186" w:rsidRPr="00F42759">
        <w:rPr>
          <w:rFonts w:ascii="Arial" w:hAnsi="Arial" w:cs="Arial"/>
          <w:bCs/>
          <w:lang w:val="en-GB"/>
        </w:rPr>
        <w:t xml:space="preserve"> when the first respondent issued the first award letter.</w:t>
      </w:r>
      <w:r w:rsidR="00AF0D42" w:rsidRPr="00F42759">
        <w:rPr>
          <w:rFonts w:ascii="Arial" w:hAnsi="Arial" w:cs="Arial"/>
          <w:bCs/>
          <w:lang w:val="en-GB"/>
        </w:rPr>
        <w:t xml:space="preserve"> </w:t>
      </w:r>
      <w:r w:rsidR="00C54954" w:rsidRPr="00F42759">
        <w:rPr>
          <w:rFonts w:ascii="Arial" w:hAnsi="Arial" w:cs="Arial"/>
          <w:bCs/>
          <w:lang w:val="en-GB"/>
        </w:rPr>
        <w:t xml:space="preserve">Mr Broster </w:t>
      </w:r>
      <w:r w:rsidR="002254E8" w:rsidRPr="00F42759">
        <w:rPr>
          <w:rFonts w:ascii="Arial" w:hAnsi="Arial" w:cs="Arial"/>
          <w:bCs/>
          <w:lang w:val="en-GB"/>
        </w:rPr>
        <w:t>drew attention to the contract</w:t>
      </w:r>
      <w:r w:rsidR="00C54954" w:rsidRPr="00F42759">
        <w:rPr>
          <w:rFonts w:ascii="Arial" w:hAnsi="Arial" w:cs="Arial"/>
          <w:bCs/>
          <w:lang w:val="en-GB"/>
        </w:rPr>
        <w:t xml:space="preserve">. </w:t>
      </w:r>
      <w:r w:rsidR="002254E8" w:rsidRPr="00F42759">
        <w:rPr>
          <w:rFonts w:ascii="Arial" w:hAnsi="Arial" w:cs="Arial"/>
          <w:bCs/>
          <w:lang w:val="en-GB"/>
        </w:rPr>
        <w:t xml:space="preserve">The signature page of that document states that the contract was concluded </w:t>
      </w:r>
      <w:r w:rsidR="0095299A" w:rsidRPr="00F42759">
        <w:rPr>
          <w:rFonts w:ascii="Arial" w:hAnsi="Arial" w:cs="Arial"/>
          <w:bCs/>
          <w:lang w:val="en-GB"/>
        </w:rPr>
        <w:t xml:space="preserve">on </w:t>
      </w:r>
      <w:r w:rsidR="002E2186" w:rsidRPr="00F42759">
        <w:rPr>
          <w:rFonts w:ascii="Arial" w:hAnsi="Arial" w:cs="Arial"/>
          <w:bCs/>
          <w:lang w:val="en-GB"/>
        </w:rPr>
        <w:t>30 June 2020</w:t>
      </w:r>
      <w:r w:rsidR="0095299A" w:rsidRPr="00F42759">
        <w:rPr>
          <w:rFonts w:ascii="Arial" w:hAnsi="Arial" w:cs="Arial"/>
          <w:bCs/>
          <w:lang w:val="en-GB"/>
        </w:rPr>
        <w:t xml:space="preserve">. </w:t>
      </w:r>
      <w:r w:rsidR="002E2186" w:rsidRPr="00F42759">
        <w:rPr>
          <w:rFonts w:ascii="Arial" w:hAnsi="Arial" w:cs="Arial"/>
          <w:bCs/>
          <w:lang w:val="en-GB"/>
        </w:rPr>
        <w:t xml:space="preserve">Remarkably, that was a week before the award of the tender was announced. How could this be? I invited Mr Dickson to address me in reply on this issue. </w:t>
      </w:r>
      <w:r w:rsidR="0004512E" w:rsidRPr="00F42759">
        <w:rPr>
          <w:rFonts w:ascii="Arial" w:hAnsi="Arial" w:cs="Arial"/>
          <w:bCs/>
          <w:lang w:val="en-GB"/>
        </w:rPr>
        <w:t>He stated</w:t>
      </w:r>
      <w:r w:rsidR="0095299A" w:rsidRPr="00F42759">
        <w:rPr>
          <w:rFonts w:ascii="Arial" w:hAnsi="Arial" w:cs="Arial"/>
          <w:bCs/>
          <w:lang w:val="en-GB"/>
        </w:rPr>
        <w:t xml:space="preserve"> that the applicant had openly </w:t>
      </w:r>
      <w:r w:rsidR="0004512E" w:rsidRPr="00F42759">
        <w:rPr>
          <w:rFonts w:ascii="Arial" w:hAnsi="Arial" w:cs="Arial"/>
          <w:bCs/>
          <w:lang w:val="en-GB"/>
        </w:rPr>
        <w:t>disclosed</w:t>
      </w:r>
      <w:r w:rsidR="0095299A" w:rsidRPr="00F42759">
        <w:rPr>
          <w:rFonts w:ascii="Arial" w:hAnsi="Arial" w:cs="Arial"/>
          <w:bCs/>
          <w:lang w:val="en-GB"/>
        </w:rPr>
        <w:t xml:space="preserve"> the date of conclusion of the contract in its founding affidavit in the urgent application and had not tried to hide it. That may well be so, </w:t>
      </w:r>
      <w:r w:rsidR="0004512E" w:rsidRPr="00F42759">
        <w:rPr>
          <w:rFonts w:ascii="Arial" w:hAnsi="Arial" w:cs="Arial"/>
          <w:bCs/>
          <w:lang w:val="en-GB"/>
        </w:rPr>
        <w:t>because</w:t>
      </w:r>
      <w:r w:rsidR="0078455C" w:rsidRPr="00F42759">
        <w:rPr>
          <w:rFonts w:ascii="Arial" w:hAnsi="Arial" w:cs="Arial"/>
          <w:bCs/>
          <w:lang w:val="en-GB"/>
        </w:rPr>
        <w:t xml:space="preserve"> the following</w:t>
      </w:r>
      <w:r w:rsidR="002254E8" w:rsidRPr="00F42759">
        <w:rPr>
          <w:rFonts w:ascii="Arial" w:hAnsi="Arial" w:cs="Arial"/>
          <w:bCs/>
          <w:lang w:val="en-GB"/>
        </w:rPr>
        <w:t xml:space="preserve"> is</w:t>
      </w:r>
      <w:r w:rsidR="0004512E" w:rsidRPr="00F42759">
        <w:rPr>
          <w:rFonts w:ascii="Arial" w:hAnsi="Arial" w:cs="Arial"/>
          <w:bCs/>
          <w:lang w:val="en-GB"/>
        </w:rPr>
        <w:t>, indeed,</w:t>
      </w:r>
      <w:r w:rsidR="002254E8" w:rsidRPr="00F42759">
        <w:rPr>
          <w:rFonts w:ascii="Arial" w:hAnsi="Arial" w:cs="Arial"/>
          <w:bCs/>
          <w:lang w:val="en-GB"/>
        </w:rPr>
        <w:t xml:space="preserve"> stated</w:t>
      </w:r>
      <w:r w:rsidR="0078455C" w:rsidRPr="00F42759">
        <w:rPr>
          <w:rFonts w:ascii="Arial" w:hAnsi="Arial" w:cs="Arial"/>
          <w:bCs/>
          <w:lang w:val="en-GB"/>
        </w:rPr>
        <w:t xml:space="preserve"> in the founding affidavit in th</w:t>
      </w:r>
      <w:r w:rsidR="0004512E" w:rsidRPr="00F42759">
        <w:rPr>
          <w:rFonts w:ascii="Arial" w:hAnsi="Arial" w:cs="Arial"/>
          <w:bCs/>
          <w:lang w:val="en-GB"/>
        </w:rPr>
        <w:t xml:space="preserve">at </w:t>
      </w:r>
      <w:r w:rsidR="004B6073" w:rsidRPr="00F42759">
        <w:rPr>
          <w:rFonts w:ascii="Arial" w:hAnsi="Arial" w:cs="Arial"/>
          <w:bCs/>
          <w:lang w:val="en-GB"/>
        </w:rPr>
        <w:t>application</w:t>
      </w:r>
      <w:r w:rsidR="0078455C" w:rsidRPr="00F42759">
        <w:rPr>
          <w:rFonts w:ascii="Arial" w:hAnsi="Arial" w:cs="Arial"/>
          <w:bCs/>
          <w:lang w:val="en-GB"/>
        </w:rPr>
        <w:t>:</w:t>
      </w:r>
    </w:p>
    <w:p w:rsidR="00B71220" w:rsidRDefault="0095299A" w:rsidP="0004512E">
      <w:pPr>
        <w:pStyle w:val="ListParagraph"/>
        <w:tabs>
          <w:tab w:val="left" w:pos="709"/>
        </w:tabs>
        <w:spacing w:line="360" w:lineRule="auto"/>
        <w:ind w:left="0"/>
        <w:jc w:val="both"/>
        <w:rPr>
          <w:rFonts w:ascii="Arial" w:hAnsi="Arial" w:cs="Arial"/>
          <w:bCs/>
          <w:sz w:val="22"/>
          <w:szCs w:val="22"/>
          <w:lang w:val="en-GB"/>
        </w:rPr>
      </w:pPr>
      <w:r w:rsidRPr="000B0AA0">
        <w:rPr>
          <w:rFonts w:ascii="Arial" w:hAnsi="Arial" w:cs="Arial"/>
          <w:bCs/>
          <w:sz w:val="22"/>
          <w:szCs w:val="22"/>
          <w:lang w:val="en-GB"/>
        </w:rPr>
        <w:t>‘</w:t>
      </w:r>
      <w:r w:rsidR="0078455C" w:rsidRPr="000B0AA0">
        <w:rPr>
          <w:rFonts w:ascii="Arial" w:hAnsi="Arial" w:cs="Arial"/>
          <w:bCs/>
          <w:sz w:val="22"/>
          <w:szCs w:val="22"/>
          <w:lang w:val="en-GB"/>
        </w:rPr>
        <w:t xml:space="preserve">The Contract was signed by the parties on 30 JUNE 2020. This agreement was signed days </w:t>
      </w:r>
    </w:p>
    <w:p w:rsidR="00B71220" w:rsidRDefault="0078455C" w:rsidP="0004512E">
      <w:pPr>
        <w:pStyle w:val="ListParagraph"/>
        <w:tabs>
          <w:tab w:val="left" w:pos="709"/>
        </w:tabs>
        <w:spacing w:line="360" w:lineRule="auto"/>
        <w:ind w:left="0"/>
        <w:jc w:val="both"/>
        <w:rPr>
          <w:rFonts w:ascii="Arial" w:hAnsi="Arial" w:cs="Arial"/>
          <w:bCs/>
          <w:sz w:val="22"/>
          <w:szCs w:val="22"/>
          <w:lang w:val="en-GB"/>
        </w:rPr>
      </w:pPr>
      <w:r w:rsidRPr="000B0AA0">
        <w:rPr>
          <w:rFonts w:ascii="Arial" w:hAnsi="Arial" w:cs="Arial"/>
          <w:bCs/>
          <w:sz w:val="22"/>
          <w:szCs w:val="22"/>
          <w:lang w:val="en-GB"/>
        </w:rPr>
        <w:t xml:space="preserve">before the letters of award had been delivered </w:t>
      </w:r>
      <w:r w:rsidR="000B0AA0" w:rsidRPr="000B0AA0">
        <w:rPr>
          <w:rFonts w:ascii="Arial" w:hAnsi="Arial" w:cs="Arial"/>
          <w:bCs/>
          <w:sz w:val="22"/>
          <w:szCs w:val="22"/>
          <w:lang w:val="en-GB"/>
        </w:rPr>
        <w:t xml:space="preserve">and are reference (sic) in the 7 July 2020 letter </w:t>
      </w:r>
    </w:p>
    <w:p w:rsidR="0095299A" w:rsidRDefault="000B0AA0" w:rsidP="0004512E">
      <w:pPr>
        <w:pStyle w:val="ListParagraph"/>
        <w:tabs>
          <w:tab w:val="left" w:pos="709"/>
        </w:tabs>
        <w:spacing w:line="360" w:lineRule="auto"/>
        <w:ind w:left="0"/>
        <w:jc w:val="both"/>
        <w:rPr>
          <w:rFonts w:ascii="Arial" w:hAnsi="Arial" w:cs="Arial"/>
          <w:bCs/>
          <w:sz w:val="22"/>
          <w:szCs w:val="22"/>
          <w:lang w:val="en-GB"/>
        </w:rPr>
      </w:pPr>
      <w:r w:rsidRPr="000B0AA0">
        <w:rPr>
          <w:rFonts w:ascii="Arial" w:hAnsi="Arial" w:cs="Arial"/>
          <w:bCs/>
          <w:sz w:val="22"/>
          <w:szCs w:val="22"/>
          <w:lang w:val="en-GB"/>
        </w:rPr>
        <w:t>of award (FA6).’</w:t>
      </w:r>
    </w:p>
    <w:p w:rsidR="0004512E" w:rsidRPr="0004512E" w:rsidRDefault="0004512E" w:rsidP="0004512E">
      <w:pPr>
        <w:pStyle w:val="ListParagraph"/>
        <w:spacing w:line="360" w:lineRule="auto"/>
        <w:rPr>
          <w:rFonts w:ascii="Arial" w:hAnsi="Arial" w:cs="Arial"/>
          <w:bCs/>
          <w:lang w:val="en-GB"/>
        </w:rPr>
      </w:pPr>
    </w:p>
    <w:p w:rsidR="003E399C" w:rsidRPr="00F42759" w:rsidRDefault="00F42759" w:rsidP="00F42759">
      <w:pPr>
        <w:tabs>
          <w:tab w:val="left" w:pos="709"/>
        </w:tabs>
        <w:spacing w:line="360" w:lineRule="auto"/>
        <w:jc w:val="both"/>
        <w:rPr>
          <w:rFonts w:ascii="Arial" w:hAnsi="Arial" w:cs="Arial"/>
          <w:bCs/>
          <w:lang w:val="en-GB"/>
        </w:rPr>
      </w:pPr>
      <w:r w:rsidRPr="0004512E">
        <w:rPr>
          <w:rFonts w:ascii="Arial" w:eastAsiaTheme="minorHAnsi" w:hAnsi="Arial" w:cs="Arial"/>
          <w:bCs/>
          <w:lang w:val="en-GB" w:eastAsia="en-US" w:bidi="ar-SA"/>
        </w:rPr>
        <w:t>[67]</w:t>
      </w:r>
      <w:r w:rsidRPr="0004512E">
        <w:rPr>
          <w:rFonts w:ascii="Arial" w:eastAsiaTheme="minorHAnsi" w:hAnsi="Arial" w:cs="Arial"/>
          <w:bCs/>
          <w:lang w:val="en-GB" w:eastAsia="en-US" w:bidi="ar-SA"/>
        </w:rPr>
        <w:tab/>
      </w:r>
      <w:r w:rsidR="0004512E" w:rsidRPr="00F42759">
        <w:rPr>
          <w:rFonts w:ascii="Arial" w:hAnsi="Arial" w:cs="Arial"/>
          <w:bCs/>
          <w:lang w:val="en-GB"/>
        </w:rPr>
        <w:t>In my view, the disclosure had to be made. The</w:t>
      </w:r>
      <w:r w:rsidR="00E7145C" w:rsidRPr="00F42759">
        <w:rPr>
          <w:rFonts w:ascii="Arial" w:hAnsi="Arial" w:cs="Arial"/>
          <w:bCs/>
          <w:lang w:val="en-GB"/>
        </w:rPr>
        <w:t xml:space="preserve"> applicant’s</w:t>
      </w:r>
      <w:r w:rsidR="0004512E" w:rsidRPr="00F42759">
        <w:rPr>
          <w:rFonts w:ascii="Arial" w:hAnsi="Arial" w:cs="Arial"/>
          <w:bCs/>
          <w:lang w:val="en-GB"/>
        </w:rPr>
        <w:t xml:space="preserve"> </w:t>
      </w:r>
      <w:r w:rsidR="00B71220" w:rsidRPr="00F42759">
        <w:rPr>
          <w:rFonts w:ascii="Arial" w:hAnsi="Arial" w:cs="Arial"/>
          <w:bCs/>
          <w:lang w:val="en-GB"/>
        </w:rPr>
        <w:t xml:space="preserve">urgent application invited attention to the contract, which the applicant contended had been incorrectly suspended. Later, the </w:t>
      </w:r>
      <w:r w:rsidR="0004512E" w:rsidRPr="00F42759">
        <w:rPr>
          <w:rFonts w:ascii="Arial" w:hAnsi="Arial" w:cs="Arial"/>
          <w:bCs/>
          <w:lang w:val="en-GB"/>
        </w:rPr>
        <w:t>applicant sought rectification of that very contract</w:t>
      </w:r>
      <w:r w:rsidR="00B71220" w:rsidRPr="00F42759">
        <w:rPr>
          <w:rFonts w:ascii="Arial" w:hAnsi="Arial" w:cs="Arial"/>
          <w:bCs/>
          <w:lang w:val="en-GB"/>
        </w:rPr>
        <w:t xml:space="preserve">. It </w:t>
      </w:r>
      <w:r w:rsidR="00E7145C" w:rsidRPr="00F42759">
        <w:rPr>
          <w:rFonts w:ascii="Arial" w:hAnsi="Arial" w:cs="Arial"/>
          <w:bCs/>
          <w:lang w:val="en-GB"/>
        </w:rPr>
        <w:t xml:space="preserve">therefore </w:t>
      </w:r>
      <w:r w:rsidR="00B71220" w:rsidRPr="00F42759">
        <w:rPr>
          <w:rFonts w:ascii="Arial" w:hAnsi="Arial" w:cs="Arial"/>
          <w:bCs/>
          <w:lang w:val="en-GB"/>
        </w:rPr>
        <w:t xml:space="preserve">had to put up the contract when </w:t>
      </w:r>
      <w:r w:rsidR="00E7145C" w:rsidRPr="00F42759">
        <w:rPr>
          <w:rFonts w:ascii="Arial" w:hAnsi="Arial" w:cs="Arial"/>
          <w:bCs/>
          <w:lang w:val="en-GB"/>
        </w:rPr>
        <w:t>i</w:t>
      </w:r>
      <w:r w:rsidR="00B71220" w:rsidRPr="00F42759">
        <w:rPr>
          <w:rFonts w:ascii="Arial" w:hAnsi="Arial" w:cs="Arial"/>
          <w:bCs/>
          <w:lang w:val="en-GB"/>
        </w:rPr>
        <w:t xml:space="preserve">t brought the urgent application. </w:t>
      </w:r>
      <w:r w:rsidR="0004512E" w:rsidRPr="00F42759">
        <w:rPr>
          <w:rFonts w:ascii="Arial" w:hAnsi="Arial" w:cs="Arial"/>
          <w:bCs/>
          <w:lang w:val="en-GB"/>
        </w:rPr>
        <w:t xml:space="preserve">The anomaly over the date </w:t>
      </w:r>
      <w:r w:rsidR="00E7145C" w:rsidRPr="00F42759">
        <w:rPr>
          <w:rFonts w:ascii="Arial" w:hAnsi="Arial" w:cs="Arial"/>
          <w:bCs/>
          <w:lang w:val="en-GB"/>
        </w:rPr>
        <w:t xml:space="preserve">of signature of the contract </w:t>
      </w:r>
      <w:r w:rsidR="0004512E" w:rsidRPr="00F42759">
        <w:rPr>
          <w:rFonts w:ascii="Arial" w:hAnsi="Arial" w:cs="Arial"/>
          <w:bCs/>
          <w:lang w:val="en-GB"/>
        </w:rPr>
        <w:t>would have quickly become apparent. The disclosure in the applicant’s founding affidavit in the urgent application did no more than state the</w:t>
      </w:r>
      <w:r w:rsidR="00E7145C" w:rsidRPr="00F42759">
        <w:rPr>
          <w:rFonts w:ascii="Arial" w:hAnsi="Arial" w:cs="Arial"/>
          <w:bCs/>
          <w:lang w:val="en-GB"/>
        </w:rPr>
        <w:t xml:space="preserve"> unavoidable,</w:t>
      </w:r>
      <w:r w:rsidR="0004512E" w:rsidRPr="00F42759">
        <w:rPr>
          <w:rFonts w:ascii="Arial" w:hAnsi="Arial" w:cs="Arial"/>
          <w:bCs/>
          <w:lang w:val="en-GB"/>
        </w:rPr>
        <w:t xml:space="preserve"> obvious</w:t>
      </w:r>
      <w:r w:rsidR="00E7145C" w:rsidRPr="00F42759">
        <w:rPr>
          <w:rFonts w:ascii="Arial" w:hAnsi="Arial" w:cs="Arial"/>
          <w:bCs/>
          <w:lang w:val="en-GB"/>
        </w:rPr>
        <w:t xml:space="preserve"> truth</w:t>
      </w:r>
      <w:r w:rsidR="0004512E" w:rsidRPr="00F42759">
        <w:rPr>
          <w:rFonts w:ascii="Arial" w:hAnsi="Arial" w:cs="Arial"/>
          <w:bCs/>
          <w:lang w:val="en-GB"/>
        </w:rPr>
        <w:t>. What is disconcerting</w:t>
      </w:r>
      <w:r w:rsidR="00E7145C" w:rsidRPr="00F42759">
        <w:rPr>
          <w:rFonts w:ascii="Arial" w:hAnsi="Arial" w:cs="Arial"/>
          <w:bCs/>
          <w:lang w:val="en-GB"/>
        </w:rPr>
        <w:t>, however,</w:t>
      </w:r>
      <w:r w:rsidR="0004512E" w:rsidRPr="00F42759">
        <w:rPr>
          <w:rFonts w:ascii="Arial" w:hAnsi="Arial" w:cs="Arial"/>
          <w:bCs/>
          <w:lang w:val="en-GB"/>
        </w:rPr>
        <w:t xml:space="preserve"> is that the disclosure of this</w:t>
      </w:r>
      <w:r w:rsidR="000B0AA0" w:rsidRPr="00F42759">
        <w:rPr>
          <w:rFonts w:ascii="Arial" w:hAnsi="Arial" w:cs="Arial"/>
          <w:bCs/>
          <w:lang w:val="en-GB"/>
        </w:rPr>
        <w:t xml:space="preserve"> rather extraordinary fact is not accompanied by any explanation as to how, or why, this occurred. How is it possible that before the awarding of the tender had been decided upon, the applicant and the first respondent had already concluded the contract that is a consequence of the awarding of the tender? Such conduct is not only irregular but </w:t>
      </w:r>
      <w:r w:rsidR="003E399C" w:rsidRPr="00F42759">
        <w:rPr>
          <w:rFonts w:ascii="Arial" w:hAnsi="Arial" w:cs="Arial"/>
          <w:bCs/>
          <w:lang w:val="en-GB"/>
        </w:rPr>
        <w:t xml:space="preserve">contrary to the </w:t>
      </w:r>
      <w:r w:rsidR="002B7D5B" w:rsidRPr="00F42759">
        <w:rPr>
          <w:rFonts w:ascii="Arial" w:hAnsi="Arial" w:cs="Arial"/>
          <w:bCs/>
          <w:lang w:val="en-GB"/>
        </w:rPr>
        <w:t xml:space="preserve">provisions of </w:t>
      </w:r>
      <w:r w:rsidR="00002362" w:rsidRPr="00F42759">
        <w:rPr>
          <w:rFonts w:ascii="Arial" w:hAnsi="Arial" w:cs="Arial"/>
          <w:bCs/>
          <w:lang w:val="en-GB"/>
        </w:rPr>
        <w:t xml:space="preserve">clause 12 of </w:t>
      </w:r>
      <w:r w:rsidR="002B7D5B" w:rsidRPr="00F42759">
        <w:rPr>
          <w:rFonts w:ascii="Arial" w:hAnsi="Arial" w:cs="Arial"/>
          <w:bCs/>
          <w:lang w:val="en-GB"/>
        </w:rPr>
        <w:t xml:space="preserve">the </w:t>
      </w:r>
      <w:r w:rsidR="003E399C" w:rsidRPr="00F42759">
        <w:rPr>
          <w:rFonts w:ascii="Arial" w:hAnsi="Arial" w:cs="Arial"/>
          <w:bCs/>
          <w:lang w:val="en-GB"/>
        </w:rPr>
        <w:t>tender conditions</w:t>
      </w:r>
      <w:r w:rsidR="0004512E" w:rsidRPr="00F42759">
        <w:rPr>
          <w:rFonts w:ascii="Arial" w:hAnsi="Arial" w:cs="Arial"/>
          <w:bCs/>
          <w:lang w:val="en-GB"/>
        </w:rPr>
        <w:t xml:space="preserve"> </w:t>
      </w:r>
      <w:r w:rsidR="00002362" w:rsidRPr="00F42759">
        <w:rPr>
          <w:rFonts w:ascii="Arial" w:hAnsi="Arial" w:cs="Arial"/>
          <w:bCs/>
          <w:lang w:val="en-GB"/>
        </w:rPr>
        <w:t>which</w:t>
      </w:r>
      <w:r w:rsidR="003E399C" w:rsidRPr="00F42759">
        <w:rPr>
          <w:rFonts w:ascii="Arial" w:hAnsi="Arial" w:cs="Arial"/>
          <w:bCs/>
          <w:lang w:val="en-GB"/>
        </w:rPr>
        <w:t xml:space="preserve"> states that:</w:t>
      </w:r>
    </w:p>
    <w:p w:rsidR="003E399C" w:rsidRDefault="003E399C" w:rsidP="003E399C">
      <w:pPr>
        <w:pStyle w:val="ListParagraph"/>
        <w:tabs>
          <w:tab w:val="left" w:pos="709"/>
        </w:tabs>
        <w:spacing w:line="360" w:lineRule="auto"/>
        <w:ind w:left="0"/>
        <w:jc w:val="both"/>
        <w:rPr>
          <w:rFonts w:ascii="Arial" w:hAnsi="Arial" w:cs="Arial"/>
          <w:bCs/>
          <w:sz w:val="22"/>
          <w:szCs w:val="22"/>
          <w:lang w:val="en-GB"/>
        </w:rPr>
      </w:pPr>
      <w:r w:rsidRPr="00CC0642">
        <w:rPr>
          <w:rFonts w:ascii="Arial" w:hAnsi="Arial" w:cs="Arial"/>
          <w:bCs/>
          <w:sz w:val="22"/>
          <w:szCs w:val="22"/>
          <w:lang w:val="en-GB"/>
        </w:rPr>
        <w:t>‘Bidders shall not contact the uThukela District Municip</w:t>
      </w:r>
      <w:r w:rsidR="00CC0642">
        <w:rPr>
          <w:rFonts w:ascii="Arial" w:hAnsi="Arial" w:cs="Arial"/>
          <w:bCs/>
          <w:sz w:val="22"/>
          <w:szCs w:val="22"/>
          <w:lang w:val="en-GB"/>
        </w:rPr>
        <w:t>a</w:t>
      </w:r>
      <w:r w:rsidRPr="00CC0642">
        <w:rPr>
          <w:rFonts w:ascii="Arial" w:hAnsi="Arial" w:cs="Arial"/>
          <w:bCs/>
          <w:sz w:val="22"/>
          <w:szCs w:val="22"/>
          <w:lang w:val="en-GB"/>
        </w:rPr>
        <w:t>lity on any matter relating to their bid from the time of the opening of the bid to the time the contract is awarded.</w:t>
      </w:r>
      <w:r w:rsidR="00CC0642" w:rsidRPr="00CC0642">
        <w:rPr>
          <w:rFonts w:ascii="Arial" w:hAnsi="Arial" w:cs="Arial"/>
          <w:bCs/>
          <w:sz w:val="22"/>
          <w:szCs w:val="22"/>
          <w:lang w:val="en-GB"/>
        </w:rPr>
        <w:t>’</w:t>
      </w:r>
    </w:p>
    <w:p w:rsidR="00B71220" w:rsidRDefault="002B7D5B" w:rsidP="00B71220">
      <w:pPr>
        <w:pStyle w:val="ListParagraph"/>
        <w:tabs>
          <w:tab w:val="left" w:pos="709"/>
        </w:tabs>
        <w:spacing w:line="360" w:lineRule="auto"/>
        <w:ind w:left="0"/>
        <w:jc w:val="both"/>
        <w:rPr>
          <w:rFonts w:ascii="Arial" w:hAnsi="Arial" w:cs="Arial"/>
          <w:bCs/>
          <w:lang w:val="en-GB"/>
        </w:rPr>
      </w:pPr>
      <w:r w:rsidRPr="0004512E">
        <w:rPr>
          <w:rFonts w:ascii="Arial" w:hAnsi="Arial" w:cs="Arial"/>
          <w:bCs/>
          <w:lang w:val="en-GB"/>
        </w:rPr>
        <w:t>For the contract to have been concluded before the announcement of the awarding of the tender</w:t>
      </w:r>
      <w:r w:rsidR="008B66D1">
        <w:rPr>
          <w:rFonts w:ascii="Arial" w:hAnsi="Arial" w:cs="Arial"/>
          <w:bCs/>
          <w:lang w:val="en-GB"/>
        </w:rPr>
        <w:t>,</w:t>
      </w:r>
      <w:r w:rsidRPr="0004512E">
        <w:rPr>
          <w:rFonts w:ascii="Arial" w:hAnsi="Arial" w:cs="Arial"/>
          <w:bCs/>
          <w:lang w:val="en-GB"/>
        </w:rPr>
        <w:t xml:space="preserve"> there must have been contact between the applicant and the first respondent.</w:t>
      </w:r>
      <w:r w:rsidR="002254E8" w:rsidRPr="0004512E">
        <w:rPr>
          <w:rFonts w:ascii="Arial" w:hAnsi="Arial" w:cs="Arial"/>
          <w:bCs/>
          <w:lang w:val="en-GB"/>
        </w:rPr>
        <w:t xml:space="preserve"> </w:t>
      </w:r>
    </w:p>
    <w:p w:rsidR="00B71220" w:rsidRDefault="00B71220" w:rsidP="00B71220">
      <w:pPr>
        <w:pStyle w:val="ListParagraph"/>
        <w:tabs>
          <w:tab w:val="left" w:pos="709"/>
        </w:tabs>
        <w:spacing w:line="360" w:lineRule="auto"/>
        <w:ind w:left="0"/>
        <w:jc w:val="both"/>
        <w:rPr>
          <w:rFonts w:ascii="Arial" w:hAnsi="Arial" w:cs="Arial"/>
          <w:bCs/>
          <w:lang w:val="en-GB"/>
        </w:rPr>
      </w:pPr>
    </w:p>
    <w:p w:rsidR="00CC7089" w:rsidRPr="00F42759" w:rsidRDefault="00F42759" w:rsidP="00F42759">
      <w:pPr>
        <w:tabs>
          <w:tab w:val="left" w:pos="709"/>
        </w:tabs>
        <w:spacing w:line="360" w:lineRule="auto"/>
        <w:jc w:val="both"/>
        <w:rPr>
          <w:rFonts w:ascii="Arial" w:hAnsi="Arial" w:cs="Arial"/>
          <w:bCs/>
          <w:lang w:val="en-GB"/>
        </w:rPr>
      </w:pPr>
      <w:r>
        <w:rPr>
          <w:rFonts w:ascii="Arial" w:eastAsiaTheme="minorHAnsi" w:hAnsi="Arial" w:cs="Arial"/>
          <w:bCs/>
          <w:lang w:val="en-GB" w:eastAsia="en-US" w:bidi="ar-SA"/>
        </w:rPr>
        <w:t>[68]</w:t>
      </w:r>
      <w:r>
        <w:rPr>
          <w:rFonts w:ascii="Arial" w:eastAsiaTheme="minorHAnsi" w:hAnsi="Arial" w:cs="Arial"/>
          <w:bCs/>
          <w:lang w:val="en-GB" w:eastAsia="en-US" w:bidi="ar-SA"/>
        </w:rPr>
        <w:tab/>
      </w:r>
      <w:r w:rsidR="002254E8" w:rsidRPr="00F42759">
        <w:rPr>
          <w:rFonts w:ascii="Arial" w:hAnsi="Arial" w:cs="Arial"/>
          <w:bCs/>
          <w:lang w:val="en-GB"/>
        </w:rPr>
        <w:t xml:space="preserve">This conduct is unsettling and carries with it the </w:t>
      </w:r>
      <w:r w:rsidR="00182115" w:rsidRPr="00F42759">
        <w:rPr>
          <w:rFonts w:ascii="Arial" w:hAnsi="Arial" w:cs="Arial"/>
          <w:bCs/>
          <w:lang w:val="en-GB"/>
        </w:rPr>
        <w:t>malodorous</w:t>
      </w:r>
      <w:r w:rsidR="002254E8" w:rsidRPr="00F42759">
        <w:rPr>
          <w:rFonts w:ascii="Arial" w:hAnsi="Arial" w:cs="Arial"/>
          <w:bCs/>
          <w:lang w:val="en-GB"/>
        </w:rPr>
        <w:t xml:space="preserve"> whiff of collusion</w:t>
      </w:r>
      <w:r w:rsidR="00182115" w:rsidRPr="00F42759">
        <w:rPr>
          <w:rFonts w:ascii="Arial" w:hAnsi="Arial" w:cs="Arial"/>
          <w:bCs/>
          <w:lang w:val="en-GB"/>
        </w:rPr>
        <w:t xml:space="preserve"> and unfairness</w:t>
      </w:r>
      <w:r w:rsidR="002254E8" w:rsidRPr="00F42759">
        <w:rPr>
          <w:rFonts w:ascii="Arial" w:hAnsi="Arial" w:cs="Arial"/>
          <w:bCs/>
          <w:lang w:val="en-GB"/>
        </w:rPr>
        <w:t>.</w:t>
      </w:r>
      <w:r w:rsidR="00182115" w:rsidRPr="00F42759">
        <w:rPr>
          <w:rFonts w:ascii="Arial" w:hAnsi="Arial" w:cs="Arial"/>
          <w:bCs/>
          <w:lang w:val="en-GB"/>
        </w:rPr>
        <w:t xml:space="preserve"> The inference appears to me to be inescapable that there was some degree of collusion between the applicant and the representative or representatives of the first respondent then in office. I suggested to Mr Broster that</w:t>
      </w:r>
      <w:r w:rsidR="00B71220" w:rsidRPr="00F42759">
        <w:rPr>
          <w:rFonts w:ascii="Arial" w:hAnsi="Arial" w:cs="Arial"/>
          <w:bCs/>
          <w:lang w:val="en-GB"/>
        </w:rPr>
        <w:t xml:space="preserve"> the conclusion of the contract before the result of the tender was announced</w:t>
      </w:r>
      <w:r w:rsidR="003C2857" w:rsidRPr="00F42759">
        <w:rPr>
          <w:rFonts w:ascii="Arial" w:hAnsi="Arial" w:cs="Arial"/>
          <w:bCs/>
          <w:lang w:val="en-GB"/>
        </w:rPr>
        <w:t xml:space="preserve"> raise</w:t>
      </w:r>
      <w:r w:rsidR="00B71220" w:rsidRPr="00F42759">
        <w:rPr>
          <w:rFonts w:ascii="Arial" w:hAnsi="Arial" w:cs="Arial"/>
          <w:bCs/>
          <w:lang w:val="en-GB"/>
        </w:rPr>
        <w:t>d</w:t>
      </w:r>
      <w:r w:rsidR="003C2857" w:rsidRPr="00F42759">
        <w:rPr>
          <w:rFonts w:ascii="Arial" w:hAnsi="Arial" w:cs="Arial"/>
          <w:bCs/>
          <w:lang w:val="en-GB"/>
        </w:rPr>
        <w:t xml:space="preserve"> the spectre of</w:t>
      </w:r>
      <w:r w:rsidR="00182115" w:rsidRPr="00F42759">
        <w:rPr>
          <w:rFonts w:ascii="Arial" w:hAnsi="Arial" w:cs="Arial"/>
          <w:bCs/>
          <w:lang w:val="en-GB"/>
        </w:rPr>
        <w:t xml:space="preserve"> a ‘stitch up’.</w:t>
      </w:r>
      <w:r w:rsidR="00182115">
        <w:rPr>
          <w:rStyle w:val="FootnoteReference"/>
          <w:rFonts w:ascii="Arial" w:hAnsi="Arial" w:cs="Arial"/>
          <w:bCs/>
          <w:lang w:val="en-GB"/>
        </w:rPr>
        <w:footnoteReference w:id="30"/>
      </w:r>
      <w:r w:rsidR="00182115" w:rsidRPr="00F42759">
        <w:rPr>
          <w:rFonts w:ascii="Arial" w:hAnsi="Arial" w:cs="Arial"/>
          <w:bCs/>
          <w:lang w:val="en-GB"/>
        </w:rPr>
        <w:t xml:space="preserve"> He agreed. Mr Dickson did not agree</w:t>
      </w:r>
      <w:r w:rsidR="00CC7089" w:rsidRPr="00F42759">
        <w:rPr>
          <w:rFonts w:ascii="Arial" w:hAnsi="Arial" w:cs="Arial"/>
          <w:bCs/>
          <w:lang w:val="en-GB"/>
        </w:rPr>
        <w:t xml:space="preserve"> and explained why he did not share that view</w:t>
      </w:r>
      <w:r w:rsidR="00182115" w:rsidRPr="00F42759">
        <w:rPr>
          <w:rFonts w:ascii="Arial" w:hAnsi="Arial" w:cs="Arial"/>
          <w:bCs/>
          <w:lang w:val="en-GB"/>
        </w:rPr>
        <w:t xml:space="preserve">, but I confess that I did not </w:t>
      </w:r>
      <w:r w:rsidR="00EC3BAE" w:rsidRPr="00F42759">
        <w:rPr>
          <w:rFonts w:ascii="Arial" w:hAnsi="Arial" w:cs="Arial"/>
          <w:bCs/>
          <w:lang w:val="en-GB"/>
        </w:rPr>
        <w:t xml:space="preserve">truly </w:t>
      </w:r>
      <w:r w:rsidR="00182115" w:rsidRPr="00F42759">
        <w:rPr>
          <w:rFonts w:ascii="Arial" w:hAnsi="Arial" w:cs="Arial"/>
          <w:bCs/>
          <w:lang w:val="en-GB"/>
        </w:rPr>
        <w:t>understand the explanation advanced by him</w:t>
      </w:r>
      <w:r w:rsidR="00CC7089" w:rsidRPr="00F42759">
        <w:rPr>
          <w:rFonts w:ascii="Arial" w:hAnsi="Arial" w:cs="Arial"/>
          <w:bCs/>
          <w:lang w:val="en-GB"/>
        </w:rPr>
        <w:t>.</w:t>
      </w:r>
    </w:p>
    <w:p w:rsidR="003C2857" w:rsidRDefault="00CC7089" w:rsidP="00CC7089">
      <w:pPr>
        <w:pStyle w:val="ListParagraph"/>
        <w:tabs>
          <w:tab w:val="left" w:pos="709"/>
        </w:tabs>
        <w:spacing w:line="360" w:lineRule="auto"/>
        <w:ind w:left="0"/>
        <w:jc w:val="both"/>
        <w:rPr>
          <w:rFonts w:ascii="Arial" w:hAnsi="Arial" w:cs="Arial"/>
          <w:bCs/>
          <w:lang w:val="en-GB"/>
        </w:rPr>
      </w:pPr>
      <w:r>
        <w:rPr>
          <w:rFonts w:ascii="Arial" w:hAnsi="Arial" w:cs="Arial"/>
          <w:bCs/>
          <w:lang w:val="en-GB"/>
        </w:rPr>
        <w:t xml:space="preserve"> </w:t>
      </w:r>
    </w:p>
    <w:p w:rsidR="00DC0074" w:rsidRPr="00F42759" w:rsidRDefault="00F42759" w:rsidP="00F42759">
      <w:pPr>
        <w:tabs>
          <w:tab w:val="left" w:pos="709"/>
        </w:tabs>
        <w:spacing w:line="360" w:lineRule="auto"/>
        <w:jc w:val="both"/>
        <w:rPr>
          <w:rFonts w:ascii="Arial" w:hAnsi="Arial" w:cs="Arial"/>
          <w:bCs/>
          <w:lang w:val="en-GB"/>
        </w:rPr>
      </w:pPr>
      <w:r>
        <w:rPr>
          <w:rFonts w:ascii="Arial" w:eastAsiaTheme="minorHAnsi" w:hAnsi="Arial" w:cs="Arial"/>
          <w:bCs/>
          <w:lang w:val="en-GB" w:eastAsia="en-US" w:bidi="ar-SA"/>
        </w:rPr>
        <w:t>[69]</w:t>
      </w:r>
      <w:r>
        <w:rPr>
          <w:rFonts w:ascii="Arial" w:eastAsiaTheme="minorHAnsi" w:hAnsi="Arial" w:cs="Arial"/>
          <w:bCs/>
          <w:lang w:val="en-GB" w:eastAsia="en-US" w:bidi="ar-SA"/>
        </w:rPr>
        <w:tab/>
      </w:r>
      <w:r w:rsidR="002B7D5B" w:rsidRPr="00F42759">
        <w:rPr>
          <w:rFonts w:ascii="Arial" w:hAnsi="Arial" w:cs="Arial"/>
          <w:bCs/>
          <w:lang w:val="en-GB"/>
        </w:rPr>
        <w:t xml:space="preserve">The suggestion of impropriety </w:t>
      </w:r>
      <w:r w:rsidR="003C2857" w:rsidRPr="00F42759">
        <w:rPr>
          <w:rFonts w:ascii="Arial" w:hAnsi="Arial" w:cs="Arial"/>
          <w:bCs/>
          <w:lang w:val="en-GB"/>
        </w:rPr>
        <w:t>attaching to the tender</w:t>
      </w:r>
      <w:r w:rsidR="002B7D5B" w:rsidRPr="00F42759">
        <w:rPr>
          <w:rFonts w:ascii="Arial" w:hAnsi="Arial" w:cs="Arial"/>
          <w:bCs/>
          <w:lang w:val="en-GB"/>
        </w:rPr>
        <w:t xml:space="preserve"> intensifies when </w:t>
      </w:r>
      <w:r w:rsidR="003C2857" w:rsidRPr="00F42759">
        <w:rPr>
          <w:rFonts w:ascii="Arial" w:hAnsi="Arial" w:cs="Arial"/>
          <w:bCs/>
          <w:lang w:val="en-GB"/>
        </w:rPr>
        <w:t xml:space="preserve">the second occurrence </w:t>
      </w:r>
      <w:r w:rsidR="002B7D5B" w:rsidRPr="00F42759">
        <w:rPr>
          <w:rFonts w:ascii="Arial" w:hAnsi="Arial" w:cs="Arial"/>
          <w:bCs/>
          <w:lang w:val="en-GB"/>
        </w:rPr>
        <w:t xml:space="preserve">is considered. </w:t>
      </w:r>
      <w:r w:rsidR="003C2857" w:rsidRPr="00F42759">
        <w:rPr>
          <w:rFonts w:ascii="Arial" w:hAnsi="Arial" w:cs="Arial"/>
          <w:bCs/>
          <w:lang w:val="en-GB"/>
        </w:rPr>
        <w:t xml:space="preserve">Both the first and second award letters, as stated, </w:t>
      </w:r>
      <w:r w:rsidR="00833C42" w:rsidRPr="00F42759">
        <w:rPr>
          <w:rFonts w:ascii="Arial" w:hAnsi="Arial" w:cs="Arial"/>
          <w:bCs/>
          <w:lang w:val="en-GB"/>
        </w:rPr>
        <w:t xml:space="preserve">required a signature </w:t>
      </w:r>
      <w:r w:rsidR="0030705C" w:rsidRPr="00F42759">
        <w:rPr>
          <w:rFonts w:ascii="Arial" w:hAnsi="Arial" w:cs="Arial"/>
          <w:bCs/>
          <w:lang w:val="en-GB"/>
        </w:rPr>
        <w:t xml:space="preserve">of acceptance </w:t>
      </w:r>
      <w:r w:rsidR="00833C42" w:rsidRPr="00F42759">
        <w:rPr>
          <w:rFonts w:ascii="Arial" w:hAnsi="Arial" w:cs="Arial"/>
          <w:bCs/>
          <w:lang w:val="en-GB"/>
        </w:rPr>
        <w:t xml:space="preserve">from </w:t>
      </w:r>
      <w:r w:rsidR="00AC0E77" w:rsidRPr="00F42759">
        <w:rPr>
          <w:rFonts w:ascii="Arial" w:hAnsi="Arial" w:cs="Arial"/>
          <w:bCs/>
          <w:lang w:val="en-GB"/>
        </w:rPr>
        <w:t>the Marothodi Metsi and Sebata Group</w:t>
      </w:r>
      <w:r w:rsidR="00833C42" w:rsidRPr="00F42759">
        <w:rPr>
          <w:rFonts w:ascii="Arial" w:hAnsi="Arial" w:cs="Arial"/>
          <w:bCs/>
          <w:lang w:val="en-GB"/>
        </w:rPr>
        <w:t>.</w:t>
      </w:r>
      <w:r w:rsidR="006C4C2B" w:rsidRPr="00F42759">
        <w:rPr>
          <w:rFonts w:ascii="Arial" w:hAnsi="Arial" w:cs="Arial"/>
          <w:bCs/>
          <w:lang w:val="en-GB"/>
        </w:rPr>
        <w:t xml:space="preserve"> The </w:t>
      </w:r>
      <w:r w:rsidR="0030705C" w:rsidRPr="00F42759">
        <w:rPr>
          <w:rFonts w:ascii="Arial" w:hAnsi="Arial" w:cs="Arial"/>
          <w:bCs/>
          <w:lang w:val="en-GB"/>
        </w:rPr>
        <w:t>first award letter was not signed and returned to the first respondent.</w:t>
      </w:r>
      <w:r w:rsidR="00EF5AA2" w:rsidRPr="00F42759">
        <w:rPr>
          <w:rFonts w:ascii="Arial" w:hAnsi="Arial" w:cs="Arial"/>
          <w:bCs/>
          <w:lang w:val="en-GB"/>
        </w:rPr>
        <w:t xml:space="preserve"> Why this should be the case is not </w:t>
      </w:r>
      <w:r w:rsidR="007B3719" w:rsidRPr="00F42759">
        <w:rPr>
          <w:rFonts w:ascii="Arial" w:hAnsi="Arial" w:cs="Arial"/>
          <w:bCs/>
          <w:lang w:val="en-GB"/>
        </w:rPr>
        <w:t>disclosed</w:t>
      </w:r>
      <w:r w:rsidR="00EF5AA2" w:rsidRPr="00F42759">
        <w:rPr>
          <w:rFonts w:ascii="Arial" w:hAnsi="Arial" w:cs="Arial"/>
          <w:bCs/>
          <w:lang w:val="en-GB"/>
        </w:rPr>
        <w:t xml:space="preserve">. The second award letter was signed. </w:t>
      </w:r>
      <w:r w:rsidR="004C5284" w:rsidRPr="00F42759">
        <w:rPr>
          <w:rFonts w:ascii="Arial" w:hAnsi="Arial" w:cs="Arial"/>
          <w:bCs/>
          <w:lang w:val="en-GB"/>
        </w:rPr>
        <w:t xml:space="preserve">The second award letter recorded that the appointment would be valid once </w:t>
      </w:r>
      <w:r w:rsidR="00DC0074" w:rsidRPr="00F42759">
        <w:rPr>
          <w:rFonts w:ascii="Arial" w:hAnsi="Arial" w:cs="Arial"/>
          <w:bCs/>
          <w:lang w:val="en-GB"/>
        </w:rPr>
        <w:t>it</w:t>
      </w:r>
      <w:r w:rsidR="004C5284" w:rsidRPr="00F42759">
        <w:rPr>
          <w:rFonts w:ascii="Arial" w:hAnsi="Arial" w:cs="Arial"/>
          <w:bCs/>
          <w:lang w:val="en-GB"/>
        </w:rPr>
        <w:t xml:space="preserve"> was signed by the two contracting parties. It was signed by the first respondent’s representative upon dispatch </w:t>
      </w:r>
      <w:r w:rsidR="007B3719" w:rsidRPr="00F42759">
        <w:rPr>
          <w:rFonts w:ascii="Arial" w:hAnsi="Arial" w:cs="Arial"/>
          <w:bCs/>
          <w:lang w:val="en-GB"/>
        </w:rPr>
        <w:t xml:space="preserve">of the letter </w:t>
      </w:r>
      <w:r w:rsidR="004C5284" w:rsidRPr="00F42759">
        <w:rPr>
          <w:rFonts w:ascii="Arial" w:hAnsi="Arial" w:cs="Arial"/>
          <w:bCs/>
          <w:lang w:val="en-GB"/>
        </w:rPr>
        <w:t xml:space="preserve">to the Marothodi Metsi and Sebata Group and it was signed by a representative of the Marothodi Metsi and Sebata Group upon receipt </w:t>
      </w:r>
      <w:r w:rsidR="007B3719" w:rsidRPr="00F42759">
        <w:rPr>
          <w:rFonts w:ascii="Arial" w:hAnsi="Arial" w:cs="Arial"/>
          <w:bCs/>
          <w:lang w:val="en-GB"/>
        </w:rPr>
        <w:t xml:space="preserve">by it of the letter </w:t>
      </w:r>
      <w:r w:rsidR="004C5284" w:rsidRPr="00F42759">
        <w:rPr>
          <w:rFonts w:ascii="Arial" w:hAnsi="Arial" w:cs="Arial"/>
          <w:bCs/>
          <w:lang w:val="en-GB"/>
        </w:rPr>
        <w:t xml:space="preserve">on 8 July 2020. The appointment </w:t>
      </w:r>
      <w:r w:rsidR="007B3719" w:rsidRPr="00F42759">
        <w:rPr>
          <w:rFonts w:ascii="Arial" w:hAnsi="Arial" w:cs="Arial"/>
          <w:bCs/>
          <w:lang w:val="en-GB"/>
        </w:rPr>
        <w:t xml:space="preserve">that the letter dealt with </w:t>
      </w:r>
      <w:r w:rsidR="004C5284" w:rsidRPr="00F42759">
        <w:rPr>
          <w:rFonts w:ascii="Arial" w:hAnsi="Arial" w:cs="Arial"/>
          <w:bCs/>
          <w:lang w:val="en-GB"/>
        </w:rPr>
        <w:t xml:space="preserve">was then final. </w:t>
      </w:r>
    </w:p>
    <w:p w:rsidR="00DC0074" w:rsidRPr="00DC0074" w:rsidRDefault="00DC0074" w:rsidP="00DC0074">
      <w:pPr>
        <w:pStyle w:val="ListParagraph"/>
        <w:spacing w:line="360" w:lineRule="auto"/>
        <w:rPr>
          <w:rFonts w:ascii="Arial" w:hAnsi="Arial" w:cs="Arial"/>
          <w:bCs/>
          <w:lang w:val="en-GB"/>
        </w:rPr>
      </w:pPr>
    </w:p>
    <w:p w:rsidR="00D160D0" w:rsidRPr="00F42759" w:rsidRDefault="00F42759" w:rsidP="00F42759">
      <w:pPr>
        <w:tabs>
          <w:tab w:val="left" w:pos="709"/>
        </w:tabs>
        <w:spacing w:line="360" w:lineRule="auto"/>
        <w:jc w:val="both"/>
        <w:rPr>
          <w:rFonts w:ascii="Arial" w:hAnsi="Arial" w:cs="Arial"/>
          <w:bCs/>
          <w:lang w:val="en-GB"/>
        </w:rPr>
      </w:pPr>
      <w:r>
        <w:rPr>
          <w:rFonts w:ascii="Arial" w:eastAsiaTheme="minorHAnsi" w:hAnsi="Arial" w:cs="Arial"/>
          <w:bCs/>
          <w:lang w:val="en-GB" w:eastAsia="en-US" w:bidi="ar-SA"/>
        </w:rPr>
        <w:t>[70]</w:t>
      </w:r>
      <w:r>
        <w:rPr>
          <w:rFonts w:ascii="Arial" w:eastAsiaTheme="minorHAnsi" w:hAnsi="Arial" w:cs="Arial"/>
          <w:bCs/>
          <w:lang w:val="en-GB" w:eastAsia="en-US" w:bidi="ar-SA"/>
        </w:rPr>
        <w:tab/>
      </w:r>
      <w:r w:rsidR="004C5284" w:rsidRPr="00F42759">
        <w:rPr>
          <w:rFonts w:ascii="Arial" w:hAnsi="Arial" w:cs="Arial"/>
          <w:bCs/>
          <w:lang w:val="en-GB"/>
        </w:rPr>
        <w:t xml:space="preserve">However, on 22 July 2020, </w:t>
      </w:r>
      <w:r w:rsidR="00E7145C" w:rsidRPr="00F42759">
        <w:rPr>
          <w:rFonts w:ascii="Arial" w:hAnsi="Arial" w:cs="Arial"/>
          <w:bCs/>
          <w:lang w:val="en-GB"/>
        </w:rPr>
        <w:t xml:space="preserve">after it had already accepted and signed the second award letter, </w:t>
      </w:r>
      <w:r w:rsidR="004C5284" w:rsidRPr="00F42759">
        <w:rPr>
          <w:rFonts w:ascii="Arial" w:hAnsi="Arial" w:cs="Arial"/>
          <w:bCs/>
          <w:lang w:val="en-GB"/>
        </w:rPr>
        <w:t>the applicant purported to reply to the first award letter, dated 7 July 2020.</w:t>
      </w:r>
      <w:r w:rsidR="00E06DE8" w:rsidRPr="00F42759">
        <w:rPr>
          <w:rFonts w:ascii="Arial" w:hAnsi="Arial" w:cs="Arial"/>
          <w:bCs/>
          <w:lang w:val="en-GB"/>
        </w:rPr>
        <w:t xml:space="preserve"> In the first award letter (and, indeed, in the second award letter), the first respondent had set out certain conditions, five in the first award letter and six in the second award letter. In its reply of 22 July 2020, the applicant copied the five conditions in the first award letter and pasted them </w:t>
      </w:r>
      <w:r w:rsidR="008B66D1" w:rsidRPr="00F42759">
        <w:rPr>
          <w:rFonts w:ascii="Arial" w:hAnsi="Arial" w:cs="Arial"/>
          <w:bCs/>
          <w:lang w:val="en-GB"/>
        </w:rPr>
        <w:t xml:space="preserve">onto </w:t>
      </w:r>
      <w:r w:rsidR="00E06DE8" w:rsidRPr="00F42759">
        <w:rPr>
          <w:rFonts w:ascii="Arial" w:hAnsi="Arial" w:cs="Arial"/>
          <w:bCs/>
          <w:lang w:val="en-GB"/>
        </w:rPr>
        <w:t xml:space="preserve">its </w:t>
      </w:r>
      <w:r w:rsidR="007B3719" w:rsidRPr="00F42759">
        <w:rPr>
          <w:rFonts w:ascii="Arial" w:hAnsi="Arial" w:cs="Arial"/>
          <w:bCs/>
          <w:lang w:val="en-GB"/>
        </w:rPr>
        <w:t>separate letter of acceptance.</w:t>
      </w:r>
      <w:r w:rsidR="00E06DE8" w:rsidRPr="00F42759">
        <w:rPr>
          <w:rFonts w:ascii="Arial" w:hAnsi="Arial" w:cs="Arial"/>
          <w:bCs/>
          <w:lang w:val="en-GB"/>
        </w:rPr>
        <w:t xml:space="preserve"> </w:t>
      </w:r>
      <w:r w:rsidR="00A266A8" w:rsidRPr="00F42759">
        <w:rPr>
          <w:rFonts w:ascii="Arial" w:hAnsi="Arial" w:cs="Arial"/>
          <w:bCs/>
          <w:lang w:val="en-GB"/>
        </w:rPr>
        <w:t xml:space="preserve">This letter was </w:t>
      </w:r>
      <w:r w:rsidR="00E7145C" w:rsidRPr="00F42759">
        <w:rPr>
          <w:rFonts w:ascii="Arial" w:hAnsi="Arial" w:cs="Arial"/>
          <w:bCs/>
          <w:lang w:val="en-GB"/>
        </w:rPr>
        <w:t>typed</w:t>
      </w:r>
      <w:r w:rsidR="00A266A8" w:rsidRPr="00F42759">
        <w:rPr>
          <w:rFonts w:ascii="Arial" w:hAnsi="Arial" w:cs="Arial"/>
          <w:bCs/>
          <w:lang w:val="en-GB"/>
        </w:rPr>
        <w:t xml:space="preserve"> on a Marothodi Metsi letterhead. </w:t>
      </w:r>
      <w:r w:rsidR="00E06DE8" w:rsidRPr="00F42759">
        <w:rPr>
          <w:rFonts w:ascii="Arial" w:hAnsi="Arial" w:cs="Arial"/>
          <w:bCs/>
          <w:lang w:val="en-GB"/>
        </w:rPr>
        <w:t>There is, perhaps, nothing sinister about that, although strictly speaking it was unnecessary for a separate letter to be drafted as the first award letter could simply have been signed and returned</w:t>
      </w:r>
      <w:r w:rsidR="006B4355" w:rsidRPr="00F42759">
        <w:rPr>
          <w:rFonts w:ascii="Arial" w:hAnsi="Arial" w:cs="Arial"/>
          <w:bCs/>
          <w:lang w:val="en-GB"/>
        </w:rPr>
        <w:t xml:space="preserve">. It was also unnecessary considering that </w:t>
      </w:r>
      <w:r w:rsidR="007B3719" w:rsidRPr="00F42759">
        <w:rPr>
          <w:rFonts w:ascii="Arial" w:hAnsi="Arial" w:cs="Arial"/>
          <w:bCs/>
          <w:lang w:val="en-GB"/>
        </w:rPr>
        <w:t>the second award letter had already been signed by the applicant’s representative</w:t>
      </w:r>
      <w:r w:rsidR="00E06DE8" w:rsidRPr="00F42759">
        <w:rPr>
          <w:rFonts w:ascii="Arial" w:hAnsi="Arial" w:cs="Arial"/>
          <w:bCs/>
          <w:lang w:val="en-GB"/>
        </w:rPr>
        <w:t xml:space="preserve">. But </w:t>
      </w:r>
      <w:r w:rsidR="00D160D0" w:rsidRPr="00F42759">
        <w:rPr>
          <w:rFonts w:ascii="Arial" w:hAnsi="Arial" w:cs="Arial"/>
          <w:bCs/>
          <w:lang w:val="en-GB"/>
        </w:rPr>
        <w:t>it appears that there was a clamant need for the separate letter of acceptance. This may be gleaned from the opening two paragraphs</w:t>
      </w:r>
      <w:r w:rsidR="00191741" w:rsidRPr="00F42759">
        <w:rPr>
          <w:rFonts w:ascii="Arial" w:hAnsi="Arial" w:cs="Arial"/>
          <w:bCs/>
          <w:lang w:val="en-GB"/>
        </w:rPr>
        <w:t xml:space="preserve"> of the reply</w:t>
      </w:r>
      <w:r w:rsidR="00D160D0" w:rsidRPr="00F42759">
        <w:rPr>
          <w:rFonts w:ascii="Arial" w:hAnsi="Arial" w:cs="Arial"/>
          <w:bCs/>
          <w:lang w:val="en-GB"/>
        </w:rPr>
        <w:t>:</w:t>
      </w:r>
    </w:p>
    <w:p w:rsidR="00DC0074" w:rsidRPr="00DC0074" w:rsidRDefault="00D160D0" w:rsidP="00D160D0">
      <w:pPr>
        <w:pStyle w:val="ListParagraph"/>
        <w:tabs>
          <w:tab w:val="left" w:pos="709"/>
        </w:tabs>
        <w:spacing w:line="360" w:lineRule="auto"/>
        <w:ind w:left="0"/>
        <w:jc w:val="both"/>
        <w:rPr>
          <w:rFonts w:ascii="Arial" w:hAnsi="Arial" w:cs="Arial"/>
          <w:bCs/>
          <w:sz w:val="22"/>
          <w:szCs w:val="22"/>
          <w:lang w:val="en-GB"/>
        </w:rPr>
      </w:pPr>
      <w:r w:rsidRPr="00DC0074">
        <w:rPr>
          <w:rFonts w:ascii="Arial" w:hAnsi="Arial" w:cs="Arial"/>
          <w:bCs/>
          <w:sz w:val="22"/>
          <w:szCs w:val="22"/>
          <w:lang w:val="en-GB"/>
        </w:rPr>
        <w:t>‘</w:t>
      </w:r>
      <w:r w:rsidR="00DC0074" w:rsidRPr="00DC0074">
        <w:rPr>
          <w:rFonts w:ascii="Arial" w:hAnsi="Arial" w:cs="Arial"/>
          <w:bCs/>
          <w:sz w:val="22"/>
          <w:szCs w:val="22"/>
          <w:lang w:val="en-GB"/>
        </w:rPr>
        <w:t>We herewith acknowledge receipt of your Appointment Letter/Tender Award Letter dating the 07</w:t>
      </w:r>
      <w:r w:rsidR="00DC0074" w:rsidRPr="00DC0074">
        <w:rPr>
          <w:rFonts w:ascii="Arial" w:hAnsi="Arial" w:cs="Arial"/>
          <w:bCs/>
          <w:sz w:val="22"/>
          <w:szCs w:val="22"/>
          <w:vertAlign w:val="superscript"/>
          <w:lang w:val="en-GB"/>
        </w:rPr>
        <w:t>th</w:t>
      </w:r>
      <w:r w:rsidR="00DC0074" w:rsidRPr="00DC0074">
        <w:rPr>
          <w:rFonts w:ascii="Arial" w:hAnsi="Arial" w:cs="Arial"/>
          <w:bCs/>
          <w:sz w:val="22"/>
          <w:szCs w:val="22"/>
          <w:lang w:val="en-GB"/>
        </w:rPr>
        <w:t xml:space="preserve"> July 2020 and accept your decision.</w:t>
      </w:r>
    </w:p>
    <w:p w:rsidR="007C0C3B" w:rsidRDefault="00DC0074" w:rsidP="00126D13">
      <w:pPr>
        <w:pStyle w:val="ListParagraph"/>
        <w:tabs>
          <w:tab w:val="left" w:pos="709"/>
        </w:tabs>
        <w:spacing w:line="360" w:lineRule="auto"/>
        <w:ind w:left="0"/>
        <w:jc w:val="both"/>
        <w:rPr>
          <w:rFonts w:ascii="Arial" w:hAnsi="Arial" w:cs="Arial"/>
          <w:bCs/>
          <w:sz w:val="22"/>
          <w:szCs w:val="22"/>
          <w:lang w:val="en-GB"/>
        </w:rPr>
      </w:pPr>
      <w:r>
        <w:rPr>
          <w:rFonts w:ascii="Arial" w:hAnsi="Arial" w:cs="Arial"/>
          <w:bCs/>
          <w:sz w:val="22"/>
          <w:szCs w:val="22"/>
          <w:lang w:val="en-GB"/>
        </w:rPr>
        <w:t>W</w:t>
      </w:r>
      <w:r w:rsidRPr="00DC0074">
        <w:rPr>
          <w:rFonts w:ascii="Arial" w:hAnsi="Arial" w:cs="Arial"/>
          <w:bCs/>
          <w:sz w:val="22"/>
          <w:szCs w:val="22"/>
          <w:lang w:val="en-GB"/>
        </w:rPr>
        <w:t>e thank you for accepting our bid and we commit to serving the institution of uThukela District with highest level of professionalism and we will strive to run and conclude this project with highest level of excellence.’</w:t>
      </w:r>
    </w:p>
    <w:p w:rsidR="006B4355" w:rsidRPr="006B4355" w:rsidRDefault="006B4355" w:rsidP="00126D13">
      <w:pPr>
        <w:pStyle w:val="ListParagraph"/>
        <w:tabs>
          <w:tab w:val="left" w:pos="709"/>
        </w:tabs>
        <w:spacing w:line="360" w:lineRule="auto"/>
        <w:ind w:left="0"/>
        <w:jc w:val="both"/>
        <w:rPr>
          <w:rFonts w:ascii="Arial" w:hAnsi="Arial" w:cs="Arial"/>
          <w:bCs/>
          <w:lang w:val="en-GB"/>
        </w:rPr>
      </w:pPr>
    </w:p>
    <w:p w:rsidR="00DC0074" w:rsidRPr="00F42759" w:rsidRDefault="00F42759" w:rsidP="00F42759">
      <w:pPr>
        <w:tabs>
          <w:tab w:val="left" w:pos="709"/>
        </w:tabs>
        <w:spacing w:line="360" w:lineRule="auto"/>
        <w:jc w:val="both"/>
        <w:rPr>
          <w:rFonts w:ascii="Arial" w:hAnsi="Arial" w:cs="Arial"/>
          <w:bCs/>
          <w:lang w:val="en-GB"/>
        </w:rPr>
      </w:pPr>
      <w:r>
        <w:rPr>
          <w:rFonts w:ascii="Arial" w:eastAsiaTheme="minorHAnsi" w:hAnsi="Arial" w:cs="Arial"/>
          <w:bCs/>
          <w:lang w:val="en-GB" w:eastAsia="en-US" w:bidi="ar-SA"/>
        </w:rPr>
        <w:t>[71]</w:t>
      </w:r>
      <w:r>
        <w:rPr>
          <w:rFonts w:ascii="Arial" w:eastAsiaTheme="minorHAnsi" w:hAnsi="Arial" w:cs="Arial"/>
          <w:bCs/>
          <w:lang w:val="en-GB" w:eastAsia="en-US" w:bidi="ar-SA"/>
        </w:rPr>
        <w:tab/>
      </w:r>
      <w:r w:rsidR="00DC0074" w:rsidRPr="00F42759">
        <w:rPr>
          <w:rFonts w:ascii="Arial" w:hAnsi="Arial" w:cs="Arial"/>
          <w:bCs/>
          <w:lang w:val="en-GB"/>
        </w:rPr>
        <w:t xml:space="preserve">There is no reference whatsoever to the </w:t>
      </w:r>
      <w:r w:rsidR="00261A93" w:rsidRPr="00F42759">
        <w:rPr>
          <w:rFonts w:ascii="Arial" w:hAnsi="Arial" w:cs="Arial"/>
          <w:bCs/>
          <w:lang w:val="en-GB"/>
        </w:rPr>
        <w:t>Sebata</w:t>
      </w:r>
      <w:r w:rsidR="00DC0074" w:rsidRPr="00F42759">
        <w:rPr>
          <w:rFonts w:ascii="Arial" w:hAnsi="Arial" w:cs="Arial"/>
          <w:bCs/>
          <w:lang w:val="en-GB"/>
        </w:rPr>
        <w:t xml:space="preserve"> Group in the </w:t>
      </w:r>
      <w:r w:rsidR="006550F5" w:rsidRPr="00F42759">
        <w:rPr>
          <w:rFonts w:ascii="Arial" w:hAnsi="Arial" w:cs="Arial"/>
          <w:bCs/>
          <w:lang w:val="en-GB"/>
        </w:rPr>
        <w:t xml:space="preserve">applicant’s </w:t>
      </w:r>
      <w:r w:rsidR="00DC0074" w:rsidRPr="00F42759">
        <w:rPr>
          <w:rFonts w:ascii="Arial" w:hAnsi="Arial" w:cs="Arial"/>
          <w:bCs/>
          <w:lang w:val="en-GB"/>
        </w:rPr>
        <w:t xml:space="preserve">letter. </w:t>
      </w:r>
      <w:r w:rsidR="006550F5" w:rsidRPr="00F42759">
        <w:rPr>
          <w:rFonts w:ascii="Arial" w:hAnsi="Arial" w:cs="Arial"/>
          <w:bCs/>
          <w:lang w:val="en-GB"/>
        </w:rPr>
        <w:t>The original offer was directed to the</w:t>
      </w:r>
      <w:r w:rsidR="00DC0074" w:rsidRPr="00F42759">
        <w:rPr>
          <w:rFonts w:ascii="Arial" w:hAnsi="Arial" w:cs="Arial"/>
          <w:bCs/>
          <w:lang w:val="en-GB"/>
        </w:rPr>
        <w:t xml:space="preserve"> </w:t>
      </w:r>
      <w:r w:rsidR="006550F5" w:rsidRPr="00F42759">
        <w:rPr>
          <w:rFonts w:ascii="Arial" w:hAnsi="Arial" w:cs="Arial"/>
          <w:bCs/>
          <w:lang w:val="en-GB"/>
        </w:rPr>
        <w:t>Marothodi Metsi and Sebata Group</w:t>
      </w:r>
      <w:r w:rsidR="006B4355" w:rsidRPr="00F42759">
        <w:rPr>
          <w:rFonts w:ascii="Arial" w:hAnsi="Arial" w:cs="Arial"/>
          <w:bCs/>
          <w:lang w:val="en-GB"/>
        </w:rPr>
        <w:t>. It was not open for the applicant to accept that offer in its own right. But that is what it did, for</w:t>
      </w:r>
      <w:r w:rsidR="00A266A8" w:rsidRPr="00F42759">
        <w:rPr>
          <w:rFonts w:ascii="Arial" w:hAnsi="Arial" w:cs="Arial"/>
          <w:bCs/>
          <w:lang w:val="en-GB"/>
        </w:rPr>
        <w:t xml:space="preserve"> below the signature line </w:t>
      </w:r>
      <w:r w:rsidR="006B4355" w:rsidRPr="00F42759">
        <w:rPr>
          <w:rFonts w:ascii="Arial" w:hAnsi="Arial" w:cs="Arial"/>
          <w:bCs/>
          <w:lang w:val="en-GB"/>
        </w:rPr>
        <w:t xml:space="preserve">on its letter of 22 July 2020 </w:t>
      </w:r>
      <w:r w:rsidR="00A266A8" w:rsidRPr="00F42759">
        <w:rPr>
          <w:rFonts w:ascii="Arial" w:hAnsi="Arial" w:cs="Arial"/>
          <w:bCs/>
          <w:lang w:val="en-GB"/>
        </w:rPr>
        <w:t>was the name of Marothodi Metsi only.</w:t>
      </w:r>
      <w:r w:rsidR="006B4355" w:rsidRPr="00F42759">
        <w:rPr>
          <w:rFonts w:ascii="Arial" w:hAnsi="Arial" w:cs="Arial"/>
          <w:bCs/>
          <w:lang w:val="en-GB"/>
        </w:rPr>
        <w:t xml:space="preserve"> </w:t>
      </w:r>
      <w:r w:rsidR="00514FFB" w:rsidRPr="00F42759">
        <w:rPr>
          <w:rFonts w:ascii="Arial" w:hAnsi="Arial" w:cs="Arial"/>
          <w:bCs/>
          <w:lang w:val="en-GB"/>
        </w:rPr>
        <w:t>I</w:t>
      </w:r>
      <w:r w:rsidR="006B4355" w:rsidRPr="00F42759">
        <w:rPr>
          <w:rFonts w:ascii="Arial" w:hAnsi="Arial" w:cs="Arial"/>
          <w:bCs/>
          <w:lang w:val="en-GB"/>
        </w:rPr>
        <w:t>t appears that this</w:t>
      </w:r>
      <w:r w:rsidR="006550F5" w:rsidRPr="00F42759">
        <w:rPr>
          <w:rFonts w:ascii="Arial" w:hAnsi="Arial" w:cs="Arial"/>
          <w:bCs/>
          <w:lang w:val="en-GB"/>
        </w:rPr>
        <w:t xml:space="preserve"> acceptance was effective </w:t>
      </w:r>
      <w:r w:rsidR="006E0F99" w:rsidRPr="00F42759">
        <w:rPr>
          <w:rFonts w:ascii="Arial" w:hAnsi="Arial" w:cs="Arial"/>
          <w:bCs/>
          <w:lang w:val="en-GB"/>
        </w:rPr>
        <w:t xml:space="preserve">and was accepted by the first respondent </w:t>
      </w:r>
      <w:r w:rsidR="006550F5" w:rsidRPr="00F42759">
        <w:rPr>
          <w:rFonts w:ascii="Arial" w:hAnsi="Arial" w:cs="Arial"/>
          <w:bCs/>
          <w:lang w:val="en-GB"/>
        </w:rPr>
        <w:t>because the applicant then commenced working on the tender.</w:t>
      </w:r>
    </w:p>
    <w:p w:rsidR="00191741" w:rsidRDefault="00191741" w:rsidP="00191741">
      <w:pPr>
        <w:pStyle w:val="ListParagraph"/>
        <w:tabs>
          <w:tab w:val="left" w:pos="709"/>
        </w:tabs>
        <w:spacing w:line="360" w:lineRule="auto"/>
        <w:ind w:left="0"/>
        <w:jc w:val="both"/>
        <w:rPr>
          <w:rFonts w:ascii="Arial" w:hAnsi="Arial" w:cs="Arial"/>
          <w:bCs/>
          <w:lang w:val="en-GB"/>
        </w:rPr>
      </w:pPr>
    </w:p>
    <w:p w:rsidR="005602E2" w:rsidRPr="00F42759" w:rsidRDefault="00F42759" w:rsidP="00F42759">
      <w:pPr>
        <w:tabs>
          <w:tab w:val="left" w:pos="709"/>
        </w:tabs>
        <w:spacing w:line="360" w:lineRule="auto"/>
        <w:jc w:val="both"/>
        <w:rPr>
          <w:rFonts w:ascii="Arial" w:hAnsi="Arial" w:cs="Arial"/>
          <w:bCs/>
          <w:lang w:val="en-GB"/>
        </w:rPr>
      </w:pPr>
      <w:r>
        <w:rPr>
          <w:rFonts w:ascii="Arial" w:eastAsiaTheme="minorHAnsi" w:hAnsi="Arial" w:cs="Arial"/>
          <w:bCs/>
          <w:lang w:val="en-GB" w:eastAsia="en-US" w:bidi="ar-SA"/>
        </w:rPr>
        <w:t>[72]</w:t>
      </w:r>
      <w:r>
        <w:rPr>
          <w:rFonts w:ascii="Arial" w:eastAsiaTheme="minorHAnsi" w:hAnsi="Arial" w:cs="Arial"/>
          <w:bCs/>
          <w:lang w:val="en-GB" w:eastAsia="en-US" w:bidi="ar-SA"/>
        </w:rPr>
        <w:tab/>
      </w:r>
      <w:r w:rsidR="006550F5" w:rsidRPr="00F42759">
        <w:rPr>
          <w:rFonts w:ascii="Arial" w:hAnsi="Arial" w:cs="Arial"/>
          <w:bCs/>
          <w:lang w:val="en-GB"/>
        </w:rPr>
        <w:t xml:space="preserve">All of this is disquieting. </w:t>
      </w:r>
      <w:r w:rsidR="00191741" w:rsidRPr="00F42759">
        <w:rPr>
          <w:rFonts w:ascii="Arial" w:hAnsi="Arial" w:cs="Arial"/>
          <w:bCs/>
          <w:lang w:val="en-GB"/>
        </w:rPr>
        <w:t xml:space="preserve">The entire tender process is suffused with inexplicable conduct by the </w:t>
      </w:r>
      <w:r w:rsidR="006B4355" w:rsidRPr="00F42759">
        <w:rPr>
          <w:rFonts w:ascii="Arial" w:hAnsi="Arial" w:cs="Arial"/>
          <w:bCs/>
          <w:lang w:val="en-GB"/>
        </w:rPr>
        <w:t>applicant and the first respondent</w:t>
      </w:r>
      <w:r w:rsidR="00191741" w:rsidRPr="00F42759">
        <w:rPr>
          <w:rFonts w:ascii="Arial" w:hAnsi="Arial" w:cs="Arial"/>
          <w:bCs/>
          <w:lang w:val="en-GB"/>
        </w:rPr>
        <w:t xml:space="preserve">. That conduct appears at worst to </w:t>
      </w:r>
      <w:r w:rsidR="00491495" w:rsidRPr="00F42759">
        <w:rPr>
          <w:rFonts w:ascii="Arial" w:hAnsi="Arial" w:cs="Arial"/>
          <w:bCs/>
          <w:lang w:val="en-GB"/>
        </w:rPr>
        <w:t xml:space="preserve">be potentially dishonest </w:t>
      </w:r>
      <w:r w:rsidR="00191741" w:rsidRPr="00F42759">
        <w:rPr>
          <w:rFonts w:ascii="Arial" w:hAnsi="Arial" w:cs="Arial"/>
          <w:bCs/>
          <w:lang w:val="en-GB"/>
        </w:rPr>
        <w:t xml:space="preserve">but at the very least is unfair. </w:t>
      </w:r>
      <w:r w:rsidR="00491495" w:rsidRPr="00F42759">
        <w:rPr>
          <w:rFonts w:ascii="Arial" w:hAnsi="Arial" w:cs="Arial"/>
          <w:bCs/>
          <w:lang w:val="en-GB"/>
        </w:rPr>
        <w:t>I refrain from explicitly making a finding regarding the allegation of fraud although there are strong indications that this is what was intended and</w:t>
      </w:r>
      <w:r w:rsidR="00EC3BAE" w:rsidRPr="00F42759">
        <w:rPr>
          <w:rFonts w:ascii="Arial" w:hAnsi="Arial" w:cs="Arial"/>
          <w:bCs/>
          <w:lang w:val="en-GB"/>
        </w:rPr>
        <w:t xml:space="preserve"> </w:t>
      </w:r>
      <w:r w:rsidR="00491495" w:rsidRPr="00F42759">
        <w:rPr>
          <w:rFonts w:ascii="Arial" w:hAnsi="Arial" w:cs="Arial"/>
          <w:bCs/>
          <w:lang w:val="en-GB"/>
        </w:rPr>
        <w:t xml:space="preserve">what </w:t>
      </w:r>
      <w:r w:rsidR="009472DA" w:rsidRPr="00F42759">
        <w:rPr>
          <w:rFonts w:ascii="Arial" w:hAnsi="Arial" w:cs="Arial"/>
          <w:bCs/>
          <w:lang w:val="en-GB"/>
        </w:rPr>
        <w:t xml:space="preserve">had </w:t>
      </w:r>
      <w:r w:rsidR="00491495" w:rsidRPr="00F42759">
        <w:rPr>
          <w:rFonts w:ascii="Arial" w:hAnsi="Arial" w:cs="Arial"/>
          <w:bCs/>
          <w:lang w:val="en-GB"/>
        </w:rPr>
        <w:t>occurred.</w:t>
      </w:r>
      <w:r w:rsidR="00693A12" w:rsidRPr="00F42759">
        <w:rPr>
          <w:rFonts w:ascii="Arial" w:hAnsi="Arial" w:cs="Arial"/>
          <w:bCs/>
          <w:lang w:val="en-GB"/>
        </w:rPr>
        <w:t xml:space="preserve"> But it appears certain that t</w:t>
      </w:r>
      <w:r w:rsidR="00191741" w:rsidRPr="00F42759">
        <w:rPr>
          <w:rFonts w:ascii="Arial" w:hAnsi="Arial" w:cs="Arial"/>
          <w:bCs/>
          <w:lang w:val="en-GB"/>
        </w:rPr>
        <w:t>he</w:t>
      </w:r>
      <w:r w:rsidR="00DB6F38" w:rsidRPr="00F42759">
        <w:rPr>
          <w:rFonts w:ascii="Arial" w:hAnsi="Arial" w:cs="Arial"/>
          <w:bCs/>
          <w:lang w:val="en-GB"/>
        </w:rPr>
        <w:t xml:space="preserve"> tender </w:t>
      </w:r>
      <w:r w:rsidR="005602E2" w:rsidRPr="00F42759">
        <w:rPr>
          <w:rFonts w:ascii="Arial" w:hAnsi="Arial" w:cs="Arial"/>
          <w:bCs/>
          <w:lang w:val="en-GB"/>
        </w:rPr>
        <w:t xml:space="preserve">was poorly devised, carelessly administered and improperly awarded and offends </w:t>
      </w:r>
      <w:r w:rsidR="00191741" w:rsidRPr="00F42759">
        <w:rPr>
          <w:rFonts w:ascii="Arial" w:hAnsi="Arial" w:cs="Arial"/>
          <w:bCs/>
          <w:lang w:val="en-GB"/>
        </w:rPr>
        <w:t>virtually</w:t>
      </w:r>
      <w:r w:rsidR="005602E2" w:rsidRPr="00F42759">
        <w:rPr>
          <w:rFonts w:ascii="Arial" w:hAnsi="Arial" w:cs="Arial"/>
          <w:bCs/>
          <w:lang w:val="en-GB"/>
        </w:rPr>
        <w:t xml:space="preserve"> every conceivable principle of fairness and transparency</w:t>
      </w:r>
      <w:r w:rsidR="004C22A9" w:rsidRPr="00F42759">
        <w:rPr>
          <w:rFonts w:ascii="Arial" w:hAnsi="Arial" w:cs="Arial"/>
          <w:bCs/>
          <w:lang w:val="en-GB"/>
        </w:rPr>
        <w:t xml:space="preserve"> that our law demands</w:t>
      </w:r>
      <w:r w:rsidR="00191741" w:rsidRPr="00F42759">
        <w:rPr>
          <w:rFonts w:ascii="Arial" w:hAnsi="Arial" w:cs="Arial"/>
          <w:bCs/>
          <w:lang w:val="en-GB"/>
        </w:rPr>
        <w:t xml:space="preserve"> and holds dear</w:t>
      </w:r>
      <w:r w:rsidR="005602E2" w:rsidRPr="00F42759">
        <w:rPr>
          <w:rFonts w:ascii="Arial" w:hAnsi="Arial" w:cs="Arial"/>
          <w:bCs/>
          <w:lang w:val="en-GB"/>
        </w:rPr>
        <w:t>. It cannot be permitted to stand, unless the only point</w:t>
      </w:r>
      <w:r w:rsidR="00191741" w:rsidRPr="00F42759">
        <w:rPr>
          <w:rFonts w:ascii="Arial" w:hAnsi="Arial" w:cs="Arial"/>
          <w:bCs/>
          <w:lang w:val="en-GB"/>
        </w:rPr>
        <w:t xml:space="preserve"> of substance</w:t>
      </w:r>
      <w:r w:rsidR="005602E2" w:rsidRPr="00F42759">
        <w:rPr>
          <w:rFonts w:ascii="Arial" w:hAnsi="Arial" w:cs="Arial"/>
          <w:bCs/>
          <w:lang w:val="en-GB"/>
        </w:rPr>
        <w:t xml:space="preserve"> raised by the applicant succeeds. That is the principle of undue delay.</w:t>
      </w:r>
    </w:p>
    <w:p w:rsidR="00EC3BAE" w:rsidRDefault="00EC3BAE" w:rsidP="00AC7F76">
      <w:pPr>
        <w:pStyle w:val="ListParagraph"/>
        <w:spacing w:line="360" w:lineRule="auto"/>
        <w:rPr>
          <w:rFonts w:ascii="Arial" w:hAnsi="Arial" w:cs="Arial"/>
          <w:bCs/>
          <w:lang w:val="en-GB"/>
        </w:rPr>
      </w:pPr>
    </w:p>
    <w:p w:rsidR="005E09A3" w:rsidRPr="0050034E" w:rsidRDefault="005E09A3" w:rsidP="005E09A3">
      <w:pPr>
        <w:pStyle w:val="ListParagraph"/>
        <w:spacing w:line="360" w:lineRule="auto"/>
        <w:ind w:left="0"/>
        <w:rPr>
          <w:rFonts w:ascii="Arial" w:hAnsi="Arial" w:cs="Arial"/>
          <w:b/>
          <w:bCs/>
          <w:i/>
          <w:lang w:val="en-GB"/>
        </w:rPr>
      </w:pPr>
      <w:r w:rsidRPr="0050034E">
        <w:rPr>
          <w:rFonts w:ascii="Arial" w:hAnsi="Arial" w:cs="Arial"/>
          <w:b/>
          <w:bCs/>
          <w:i/>
          <w:lang w:val="en-GB"/>
        </w:rPr>
        <w:t>Undue delay</w:t>
      </w:r>
    </w:p>
    <w:p w:rsidR="00AC7F76" w:rsidRPr="00F42759" w:rsidRDefault="00F42759" w:rsidP="00F42759">
      <w:pPr>
        <w:tabs>
          <w:tab w:val="left" w:pos="709"/>
        </w:tabs>
        <w:spacing w:line="360" w:lineRule="auto"/>
        <w:jc w:val="both"/>
        <w:rPr>
          <w:rFonts w:ascii="Arial" w:hAnsi="Arial" w:cs="Arial"/>
          <w:bCs/>
          <w:lang w:val="en-GB"/>
        </w:rPr>
      </w:pPr>
      <w:r>
        <w:rPr>
          <w:rFonts w:ascii="Arial" w:eastAsiaTheme="minorHAnsi" w:hAnsi="Arial" w:cs="Arial"/>
          <w:bCs/>
          <w:lang w:val="en-GB" w:eastAsia="en-US" w:bidi="ar-SA"/>
        </w:rPr>
        <w:t>[73]</w:t>
      </w:r>
      <w:r>
        <w:rPr>
          <w:rFonts w:ascii="Arial" w:eastAsiaTheme="minorHAnsi" w:hAnsi="Arial" w:cs="Arial"/>
          <w:bCs/>
          <w:lang w:val="en-GB" w:eastAsia="en-US" w:bidi="ar-SA"/>
        </w:rPr>
        <w:tab/>
      </w:r>
      <w:r w:rsidR="00013DAD" w:rsidRPr="00F42759">
        <w:rPr>
          <w:rFonts w:ascii="Arial" w:hAnsi="Arial" w:cs="Arial"/>
          <w:bCs/>
          <w:lang w:val="en-GB"/>
        </w:rPr>
        <w:t>T</w:t>
      </w:r>
      <w:r w:rsidR="005602E2" w:rsidRPr="00F42759">
        <w:rPr>
          <w:rFonts w:ascii="Arial" w:hAnsi="Arial" w:cs="Arial"/>
          <w:bCs/>
          <w:lang w:val="en-GB"/>
        </w:rPr>
        <w:t xml:space="preserve">he applicant raises this point, stating, correctly that the tender was awarded on 7 July 2020 and </w:t>
      </w:r>
      <w:r w:rsidR="00191741" w:rsidRPr="00F42759">
        <w:rPr>
          <w:rFonts w:ascii="Arial" w:hAnsi="Arial" w:cs="Arial"/>
          <w:bCs/>
          <w:lang w:val="en-GB"/>
        </w:rPr>
        <w:t xml:space="preserve">that </w:t>
      </w:r>
      <w:r w:rsidR="005602E2" w:rsidRPr="00F42759">
        <w:rPr>
          <w:rFonts w:ascii="Arial" w:hAnsi="Arial" w:cs="Arial"/>
          <w:bCs/>
          <w:lang w:val="en-GB"/>
        </w:rPr>
        <w:t xml:space="preserve">the review application was launched on 20 July 2022, </w:t>
      </w:r>
      <w:r w:rsidR="00AC7F76" w:rsidRPr="00F42759">
        <w:rPr>
          <w:rFonts w:ascii="Arial" w:hAnsi="Arial" w:cs="Arial"/>
          <w:bCs/>
          <w:lang w:val="en-GB"/>
        </w:rPr>
        <w:t>two years later. T</w:t>
      </w:r>
      <w:r w:rsidR="00013DAD" w:rsidRPr="00F42759">
        <w:rPr>
          <w:rFonts w:ascii="Arial" w:hAnsi="Arial" w:cs="Arial"/>
          <w:bCs/>
          <w:lang w:val="en-GB"/>
        </w:rPr>
        <w:t xml:space="preserve">he applicant </w:t>
      </w:r>
      <w:r w:rsidR="00182115" w:rsidRPr="00F42759">
        <w:rPr>
          <w:rFonts w:ascii="Arial" w:hAnsi="Arial" w:cs="Arial"/>
          <w:bCs/>
          <w:lang w:val="en-GB"/>
        </w:rPr>
        <w:t>contends that the review falls to be dismissed because of th</w:t>
      </w:r>
      <w:r w:rsidR="00AC7F76" w:rsidRPr="00F42759">
        <w:rPr>
          <w:rFonts w:ascii="Arial" w:hAnsi="Arial" w:cs="Arial"/>
          <w:bCs/>
          <w:lang w:val="en-GB"/>
        </w:rPr>
        <w:t xml:space="preserve">is undue </w:t>
      </w:r>
      <w:r w:rsidR="00182115" w:rsidRPr="00F42759">
        <w:rPr>
          <w:rFonts w:ascii="Arial" w:hAnsi="Arial" w:cs="Arial"/>
          <w:bCs/>
          <w:lang w:val="en-GB"/>
        </w:rPr>
        <w:t>delay</w:t>
      </w:r>
      <w:r w:rsidR="00AC7F76" w:rsidRPr="00F42759">
        <w:rPr>
          <w:rFonts w:ascii="Arial" w:hAnsi="Arial" w:cs="Arial"/>
          <w:bCs/>
          <w:lang w:val="en-GB"/>
        </w:rPr>
        <w:t xml:space="preserve"> and that it should not be</w:t>
      </w:r>
      <w:r w:rsidR="00DE3C4F" w:rsidRPr="00F42759">
        <w:rPr>
          <w:rFonts w:ascii="Arial" w:hAnsi="Arial" w:cs="Arial"/>
          <w:bCs/>
          <w:lang w:val="en-GB"/>
        </w:rPr>
        <w:t xml:space="preserve"> condoned or overlooked. </w:t>
      </w:r>
    </w:p>
    <w:p w:rsidR="00EC3BAE" w:rsidRDefault="00EC3BAE" w:rsidP="00EC3BAE">
      <w:pPr>
        <w:pStyle w:val="ListParagraph"/>
        <w:tabs>
          <w:tab w:val="left" w:pos="709"/>
        </w:tabs>
        <w:spacing w:line="360" w:lineRule="auto"/>
        <w:ind w:left="0"/>
        <w:jc w:val="both"/>
        <w:rPr>
          <w:rFonts w:ascii="Arial" w:hAnsi="Arial" w:cs="Arial"/>
          <w:bCs/>
          <w:lang w:val="en-GB"/>
        </w:rPr>
      </w:pPr>
    </w:p>
    <w:p w:rsidR="00DD776A" w:rsidRPr="00F42759" w:rsidRDefault="00F42759" w:rsidP="00F42759">
      <w:pPr>
        <w:tabs>
          <w:tab w:val="left" w:pos="709"/>
        </w:tabs>
        <w:spacing w:line="360" w:lineRule="auto"/>
        <w:jc w:val="both"/>
        <w:rPr>
          <w:rFonts w:ascii="Arial" w:hAnsi="Arial" w:cs="Arial"/>
          <w:bCs/>
          <w:lang w:val="en-GB"/>
        </w:rPr>
      </w:pPr>
      <w:r w:rsidRPr="00F045BC">
        <w:rPr>
          <w:rFonts w:ascii="Arial" w:eastAsiaTheme="minorHAnsi" w:hAnsi="Arial" w:cs="Arial"/>
          <w:bCs/>
          <w:lang w:val="en-GB" w:eastAsia="en-US" w:bidi="ar-SA"/>
        </w:rPr>
        <w:t>[74]</w:t>
      </w:r>
      <w:r w:rsidRPr="00F045BC">
        <w:rPr>
          <w:rFonts w:ascii="Arial" w:eastAsiaTheme="minorHAnsi" w:hAnsi="Arial" w:cs="Arial"/>
          <w:bCs/>
          <w:lang w:val="en-GB" w:eastAsia="en-US" w:bidi="ar-SA"/>
        </w:rPr>
        <w:tab/>
      </w:r>
      <w:r w:rsidR="00DE3C4F" w:rsidRPr="00F42759">
        <w:rPr>
          <w:rFonts w:ascii="Arial" w:hAnsi="Arial" w:cs="Arial"/>
          <w:bCs/>
          <w:lang w:val="en-GB"/>
        </w:rPr>
        <w:t>In</w:t>
      </w:r>
      <w:r w:rsidR="00DE3C4F" w:rsidRPr="00F42759">
        <w:rPr>
          <w:rStyle w:val="apple-converted-space"/>
          <w:rFonts w:ascii="Arial" w:hAnsi="Arial" w:cs="Arial"/>
          <w:color w:val="000000"/>
        </w:rPr>
        <w:t> </w:t>
      </w:r>
      <w:r w:rsidR="000C6186" w:rsidRPr="00F42759">
        <w:rPr>
          <w:rFonts w:ascii="Arial" w:hAnsi="Arial" w:cs="Arial"/>
          <w:i/>
          <w:iCs/>
          <w:color w:val="000000"/>
        </w:rPr>
        <w:t>Buffalo</w:t>
      </w:r>
      <w:r w:rsidR="00DE3C4F" w:rsidRPr="00F42759">
        <w:rPr>
          <w:rFonts w:ascii="Arial" w:hAnsi="Arial" w:cs="Arial"/>
          <w:i/>
          <w:iCs/>
          <w:color w:val="000000"/>
        </w:rPr>
        <w:t xml:space="preserve"> City</w:t>
      </w:r>
      <w:r w:rsidR="00DE3C4F" w:rsidRPr="00F42759">
        <w:rPr>
          <w:rStyle w:val="apple-converted-space"/>
          <w:rFonts w:ascii="Arial" w:hAnsi="Arial" w:cs="Arial"/>
          <w:color w:val="000000"/>
        </w:rPr>
        <w:t> </w:t>
      </w:r>
      <w:r w:rsidR="00DE3C4F" w:rsidRPr="00F42759">
        <w:rPr>
          <w:rFonts w:ascii="Arial" w:hAnsi="Arial" w:cs="Arial"/>
          <w:i/>
          <w:iCs/>
          <w:color w:val="000000"/>
        </w:rPr>
        <w:t>v</w:t>
      </w:r>
      <w:r w:rsidR="00DE3C4F" w:rsidRPr="00F42759">
        <w:rPr>
          <w:rStyle w:val="apple-converted-space"/>
          <w:rFonts w:ascii="Arial" w:hAnsi="Arial" w:cs="Arial"/>
          <w:color w:val="000000"/>
        </w:rPr>
        <w:t> </w:t>
      </w:r>
      <w:r w:rsidR="00DE3C4F" w:rsidRPr="00F42759">
        <w:rPr>
          <w:rFonts w:ascii="Arial" w:hAnsi="Arial" w:cs="Arial"/>
          <w:i/>
          <w:iCs/>
          <w:color w:val="000000"/>
        </w:rPr>
        <w:t>Asla Construction</w:t>
      </w:r>
      <w:r w:rsidR="00DE3C4F" w:rsidRPr="00F42759">
        <w:rPr>
          <w:rFonts w:ascii="Arial" w:hAnsi="Arial" w:cs="Arial"/>
          <w:color w:val="000000"/>
        </w:rPr>
        <w:t>,</w:t>
      </w:r>
      <w:r w:rsidR="00DE3C4F">
        <w:rPr>
          <w:rStyle w:val="FootnoteReference"/>
          <w:rFonts w:ascii="Arial" w:hAnsi="Arial" w:cs="Arial"/>
          <w:color w:val="000000"/>
        </w:rPr>
        <w:footnoteReference w:id="31"/>
      </w:r>
      <w:r w:rsidR="00DE3C4F" w:rsidRPr="00F42759">
        <w:rPr>
          <w:rFonts w:ascii="Arial" w:hAnsi="Arial" w:cs="Arial"/>
          <w:i/>
          <w:iCs/>
          <w:color w:val="000000"/>
        </w:rPr>
        <w:t xml:space="preserve"> </w:t>
      </w:r>
      <w:r w:rsidR="00C41455" w:rsidRPr="00F42759">
        <w:rPr>
          <w:rFonts w:ascii="Arial" w:hAnsi="Arial" w:cs="Arial"/>
          <w:color w:val="000000"/>
        </w:rPr>
        <w:t>the Constitutional Court distilled</w:t>
      </w:r>
      <w:r w:rsidR="00F045BC" w:rsidRPr="00F42759">
        <w:rPr>
          <w:rFonts w:ascii="Arial" w:hAnsi="Arial" w:cs="Arial"/>
          <w:color w:val="000000"/>
        </w:rPr>
        <w:t xml:space="preserve"> </w:t>
      </w:r>
      <w:r w:rsidR="00C41455" w:rsidRPr="00F42759">
        <w:rPr>
          <w:rFonts w:ascii="Arial" w:hAnsi="Arial" w:cs="Arial"/>
          <w:color w:val="000000"/>
        </w:rPr>
        <w:t>four essential principles whe</w:t>
      </w:r>
      <w:r w:rsidR="00EC4DE4" w:rsidRPr="00F42759">
        <w:rPr>
          <w:rFonts w:ascii="Arial" w:hAnsi="Arial" w:cs="Arial"/>
          <w:color w:val="000000"/>
        </w:rPr>
        <w:t>n</w:t>
      </w:r>
      <w:r w:rsidR="007D2467" w:rsidRPr="00F42759">
        <w:rPr>
          <w:rFonts w:ascii="Arial" w:hAnsi="Arial" w:cs="Arial"/>
          <w:color w:val="000000"/>
        </w:rPr>
        <w:t xml:space="preserve"> assessing an alleged undue delay in</w:t>
      </w:r>
      <w:r w:rsidR="00C41455" w:rsidRPr="00F42759">
        <w:rPr>
          <w:rFonts w:ascii="Arial" w:hAnsi="Arial" w:cs="Arial"/>
          <w:color w:val="000000"/>
        </w:rPr>
        <w:t xml:space="preserve"> a legality review</w:t>
      </w:r>
      <w:r w:rsidR="00DD776A" w:rsidRPr="00F42759">
        <w:rPr>
          <w:rFonts w:ascii="Arial" w:hAnsi="Arial" w:cs="Arial"/>
          <w:color w:val="000000"/>
        </w:rPr>
        <w:t>:</w:t>
      </w:r>
    </w:p>
    <w:p w:rsidR="00C41455" w:rsidRPr="00F42759" w:rsidRDefault="00F42759" w:rsidP="00F42759">
      <w:pPr>
        <w:tabs>
          <w:tab w:val="left" w:pos="709"/>
        </w:tabs>
        <w:spacing w:line="360" w:lineRule="auto"/>
        <w:jc w:val="both"/>
        <w:rPr>
          <w:rFonts w:ascii="Arial" w:hAnsi="Arial" w:cs="Arial"/>
          <w:lang w:val="en-US"/>
        </w:rPr>
      </w:pPr>
      <w:r>
        <w:rPr>
          <w:rFonts w:ascii="Arial" w:eastAsiaTheme="minorHAnsi" w:hAnsi="Arial" w:cs="Arial"/>
          <w:lang w:val="en-US" w:eastAsia="en-US"/>
        </w:rPr>
        <w:t>(a)</w:t>
      </w:r>
      <w:r>
        <w:rPr>
          <w:rFonts w:ascii="Arial" w:eastAsiaTheme="minorHAnsi" w:hAnsi="Arial" w:cs="Arial"/>
          <w:lang w:val="en-US" w:eastAsia="en-US"/>
        </w:rPr>
        <w:tab/>
      </w:r>
      <w:r w:rsidR="00EC4DE4" w:rsidRPr="00F42759">
        <w:rPr>
          <w:rFonts w:ascii="Arial" w:hAnsi="Arial" w:cs="Arial"/>
          <w:lang w:val="en-US"/>
        </w:rPr>
        <w:t>The court</w:t>
      </w:r>
      <w:r w:rsidR="00DD776A" w:rsidRPr="00F42759">
        <w:rPr>
          <w:rFonts w:ascii="Arial" w:hAnsi="Arial" w:cs="Arial"/>
          <w:lang w:val="en-US"/>
        </w:rPr>
        <w:t xml:space="preserve"> has a broader discretion concerning undue delay than in a review brought in terms of PAJA;</w:t>
      </w:r>
    </w:p>
    <w:p w:rsidR="00C41455" w:rsidRPr="00F42759" w:rsidRDefault="00F42759" w:rsidP="00F42759">
      <w:pPr>
        <w:tabs>
          <w:tab w:val="left" w:pos="709"/>
        </w:tabs>
        <w:spacing w:line="360" w:lineRule="auto"/>
        <w:jc w:val="both"/>
        <w:rPr>
          <w:rFonts w:ascii="Arial" w:hAnsi="Arial" w:cs="Arial"/>
          <w:lang w:val="en-US"/>
        </w:rPr>
      </w:pPr>
      <w:r>
        <w:rPr>
          <w:rFonts w:ascii="Arial" w:eastAsiaTheme="minorHAnsi" w:hAnsi="Arial" w:cs="Arial"/>
          <w:lang w:val="en-US" w:eastAsia="en-US"/>
        </w:rPr>
        <w:t>(b)</w:t>
      </w:r>
      <w:r>
        <w:rPr>
          <w:rFonts w:ascii="Arial" w:eastAsiaTheme="minorHAnsi" w:hAnsi="Arial" w:cs="Arial"/>
          <w:lang w:val="en-US" w:eastAsia="en-US"/>
        </w:rPr>
        <w:tab/>
      </w:r>
      <w:r w:rsidR="00CF6F78" w:rsidRPr="00F42759">
        <w:rPr>
          <w:rFonts w:ascii="Arial" w:hAnsi="Arial" w:cs="Arial"/>
          <w:lang w:val="en-US"/>
        </w:rPr>
        <w:t xml:space="preserve">Whether the delay is reasonable is to be considered in the light of the reasons advanced for the delay. </w:t>
      </w:r>
      <w:r w:rsidR="00C41455" w:rsidRPr="00F42759">
        <w:rPr>
          <w:rFonts w:ascii="Arial" w:hAnsi="Arial" w:cs="Arial"/>
          <w:lang w:val="en-US"/>
        </w:rPr>
        <w:t xml:space="preserve">This is a fact-specific enquiry </w:t>
      </w:r>
      <w:r w:rsidR="00EC4DE4" w:rsidRPr="00F42759">
        <w:rPr>
          <w:rFonts w:ascii="Arial" w:hAnsi="Arial" w:cs="Arial"/>
          <w:lang w:val="en-US"/>
        </w:rPr>
        <w:t>linked</w:t>
      </w:r>
      <w:r w:rsidR="00C41455" w:rsidRPr="00F42759">
        <w:rPr>
          <w:rFonts w:ascii="Arial" w:hAnsi="Arial" w:cs="Arial"/>
          <w:lang w:val="en-US"/>
        </w:rPr>
        <w:t xml:space="preserve"> to a value judgment as to whether it can be inferred that the delay is ‘undue’.</w:t>
      </w:r>
    </w:p>
    <w:p w:rsidR="00CF6F78" w:rsidRPr="00F42759" w:rsidRDefault="00F42759" w:rsidP="00F42759">
      <w:pPr>
        <w:tabs>
          <w:tab w:val="left" w:pos="709"/>
        </w:tabs>
        <w:spacing w:line="360" w:lineRule="auto"/>
        <w:jc w:val="both"/>
        <w:rPr>
          <w:rFonts w:ascii="Arial" w:hAnsi="Arial" w:cs="Arial"/>
          <w:lang w:val="en-US"/>
        </w:rPr>
      </w:pPr>
      <w:r>
        <w:rPr>
          <w:rFonts w:ascii="Arial" w:eastAsiaTheme="minorHAnsi" w:hAnsi="Arial" w:cs="Arial"/>
          <w:lang w:val="en-US" w:eastAsia="en-US"/>
        </w:rPr>
        <w:t>(c)</w:t>
      </w:r>
      <w:r>
        <w:rPr>
          <w:rFonts w:ascii="Arial" w:eastAsiaTheme="minorHAnsi" w:hAnsi="Arial" w:cs="Arial"/>
          <w:lang w:val="en-US" w:eastAsia="en-US"/>
        </w:rPr>
        <w:tab/>
      </w:r>
      <w:r w:rsidR="00EC4DE4" w:rsidRPr="00F42759">
        <w:rPr>
          <w:rFonts w:ascii="Arial" w:hAnsi="Arial" w:cs="Arial"/>
          <w:lang w:val="en-US"/>
        </w:rPr>
        <w:t>It must be considered whether</w:t>
      </w:r>
      <w:r w:rsidR="00C41455" w:rsidRPr="00F42759">
        <w:rPr>
          <w:rFonts w:ascii="Arial" w:hAnsi="Arial" w:cs="Arial"/>
          <w:lang w:val="en-US"/>
        </w:rPr>
        <w:t xml:space="preserve"> </w:t>
      </w:r>
      <w:r w:rsidR="00CF6F78" w:rsidRPr="00F42759">
        <w:rPr>
          <w:rFonts w:ascii="Arial" w:hAnsi="Arial" w:cs="Arial"/>
          <w:lang w:val="en-US"/>
        </w:rPr>
        <w:t>circumstances exist that permit the delay to be overlooked. This will include the assessment of whether any party will be prejudiced, the merits of the challenge to the impugned decision and the conduct of the party seeking the review; and</w:t>
      </w:r>
    </w:p>
    <w:p w:rsidR="00C41455" w:rsidRPr="00F42759" w:rsidRDefault="00F42759" w:rsidP="00F42759">
      <w:pPr>
        <w:tabs>
          <w:tab w:val="left" w:pos="709"/>
        </w:tabs>
        <w:spacing w:line="360" w:lineRule="auto"/>
        <w:jc w:val="both"/>
        <w:rPr>
          <w:rFonts w:ascii="Arial" w:hAnsi="Arial" w:cs="Arial"/>
          <w:lang w:val="en-US"/>
        </w:rPr>
      </w:pPr>
      <w:r>
        <w:rPr>
          <w:rFonts w:ascii="Arial" w:eastAsiaTheme="minorHAnsi" w:hAnsi="Arial" w:cs="Arial"/>
          <w:lang w:val="en-US" w:eastAsia="en-US"/>
        </w:rPr>
        <w:t>(d)</w:t>
      </w:r>
      <w:r>
        <w:rPr>
          <w:rFonts w:ascii="Arial" w:eastAsiaTheme="minorHAnsi" w:hAnsi="Arial" w:cs="Arial"/>
          <w:lang w:val="en-US" w:eastAsia="en-US"/>
        </w:rPr>
        <w:tab/>
      </w:r>
      <w:r w:rsidR="004D268A" w:rsidRPr="00F42759">
        <w:rPr>
          <w:rFonts w:ascii="Arial" w:hAnsi="Arial" w:cs="Arial"/>
          <w:lang w:val="en-US"/>
        </w:rPr>
        <w:t>The provisions of s</w:t>
      </w:r>
      <w:r w:rsidR="00CF6F78" w:rsidRPr="00F42759">
        <w:rPr>
          <w:rFonts w:ascii="Arial" w:hAnsi="Arial" w:cs="Arial"/>
          <w:lang w:val="en-US"/>
        </w:rPr>
        <w:t>ection 17</w:t>
      </w:r>
      <w:r w:rsidR="00097DD8" w:rsidRPr="00F42759">
        <w:rPr>
          <w:rFonts w:ascii="Arial" w:hAnsi="Arial" w:cs="Arial"/>
          <w:lang w:val="en-US"/>
        </w:rPr>
        <w:t>2(1)</w:t>
      </w:r>
      <w:r w:rsidR="00097DD8" w:rsidRPr="00F42759">
        <w:rPr>
          <w:rFonts w:ascii="Arial" w:hAnsi="Arial" w:cs="Arial"/>
          <w:i/>
          <w:lang w:val="en-US"/>
        </w:rPr>
        <w:t>(a)</w:t>
      </w:r>
      <w:r w:rsidR="00097DD8">
        <w:rPr>
          <w:rStyle w:val="FootnoteReference"/>
          <w:rFonts w:ascii="Arial" w:hAnsi="Arial" w:cs="Arial"/>
          <w:lang w:val="en-US"/>
        </w:rPr>
        <w:footnoteReference w:id="32"/>
      </w:r>
      <w:r w:rsidR="00097DD8" w:rsidRPr="00F42759">
        <w:rPr>
          <w:rFonts w:ascii="Arial" w:hAnsi="Arial" w:cs="Arial"/>
          <w:lang w:val="en-US"/>
        </w:rPr>
        <w:t xml:space="preserve"> of the Constitution may dictate that even if the delay has been excessive, the impugned decision be set aside </w:t>
      </w:r>
      <w:r w:rsidR="00C41455" w:rsidRPr="00F42759">
        <w:rPr>
          <w:rFonts w:ascii="Arial" w:hAnsi="Arial" w:cs="Arial"/>
          <w:lang w:val="en-US"/>
        </w:rPr>
        <w:t>where its deficiencies are clear and undisputed.</w:t>
      </w:r>
      <w:r w:rsidR="00C41455">
        <w:rPr>
          <w:rStyle w:val="FootnoteReference"/>
          <w:rFonts w:ascii="Arial" w:hAnsi="Arial" w:cs="Arial"/>
          <w:lang w:val="en-US"/>
        </w:rPr>
        <w:footnoteReference w:id="33"/>
      </w:r>
    </w:p>
    <w:p w:rsidR="00FF0CF0" w:rsidRDefault="00FF0CF0" w:rsidP="00FF0CF0">
      <w:pPr>
        <w:pStyle w:val="ListParagraph"/>
        <w:tabs>
          <w:tab w:val="left" w:pos="709"/>
        </w:tabs>
        <w:spacing w:line="360" w:lineRule="auto"/>
        <w:ind w:left="0"/>
        <w:jc w:val="both"/>
        <w:rPr>
          <w:rFonts w:ascii="Arial" w:hAnsi="Arial" w:cs="Arial"/>
          <w:lang w:val="en-US" w:bidi="yi-Hebr"/>
        </w:rPr>
      </w:pPr>
    </w:p>
    <w:p w:rsidR="00FF0CF0" w:rsidRPr="00F42759" w:rsidRDefault="00F42759" w:rsidP="00F42759">
      <w:pPr>
        <w:tabs>
          <w:tab w:val="left" w:pos="709"/>
        </w:tabs>
        <w:spacing w:line="360" w:lineRule="auto"/>
        <w:jc w:val="both"/>
        <w:rPr>
          <w:rFonts w:ascii="Arial" w:hAnsi="Arial" w:cs="Arial"/>
          <w:bCs/>
          <w:lang w:val="en-GB"/>
        </w:rPr>
      </w:pPr>
      <w:r w:rsidRPr="00FF0CF0">
        <w:rPr>
          <w:rFonts w:ascii="Arial" w:eastAsiaTheme="minorHAnsi" w:hAnsi="Arial" w:cs="Arial"/>
          <w:bCs/>
          <w:lang w:val="en-GB" w:eastAsia="en-US" w:bidi="ar-SA"/>
        </w:rPr>
        <w:t>[75]</w:t>
      </w:r>
      <w:r w:rsidRPr="00FF0CF0">
        <w:rPr>
          <w:rFonts w:ascii="Arial" w:eastAsiaTheme="minorHAnsi" w:hAnsi="Arial" w:cs="Arial"/>
          <w:bCs/>
          <w:lang w:val="en-GB" w:eastAsia="en-US" w:bidi="ar-SA"/>
        </w:rPr>
        <w:tab/>
      </w:r>
      <w:r w:rsidR="00CB030F" w:rsidRPr="00F42759">
        <w:rPr>
          <w:rFonts w:asciiTheme="minorBidi" w:hAnsiTheme="minorBidi"/>
          <w:color w:val="000000" w:themeColor="text1"/>
        </w:rPr>
        <w:t xml:space="preserve">In </w:t>
      </w:r>
      <w:r w:rsidR="00CB030F" w:rsidRPr="00F42759">
        <w:rPr>
          <w:rFonts w:asciiTheme="minorBidi" w:hAnsiTheme="minorBidi"/>
          <w:i/>
          <w:iCs/>
          <w:color w:val="000000" w:themeColor="text1"/>
        </w:rPr>
        <w:t>Asla</w:t>
      </w:r>
      <w:r w:rsidR="00CB030F" w:rsidRPr="00F42759">
        <w:rPr>
          <w:rFonts w:asciiTheme="minorBidi" w:hAnsiTheme="minorBidi"/>
          <w:color w:val="000000" w:themeColor="text1"/>
        </w:rPr>
        <w:t xml:space="preserve">, </w:t>
      </w:r>
      <w:r w:rsidR="00FF0CF0" w:rsidRPr="00F42759">
        <w:rPr>
          <w:rFonts w:asciiTheme="minorBidi" w:hAnsiTheme="minorBidi"/>
          <w:color w:val="000000" w:themeColor="text1"/>
        </w:rPr>
        <w:t>Theron J affirmed that the test to be applied is the test initially postulated in</w:t>
      </w:r>
      <w:r w:rsidR="00FF0CF0" w:rsidRPr="00F42759">
        <w:rPr>
          <w:rFonts w:asciiTheme="minorBidi" w:hAnsiTheme="minorBidi"/>
          <w:i/>
          <w:iCs/>
          <w:color w:val="000000" w:themeColor="text1"/>
        </w:rPr>
        <w:t xml:space="preserve"> Gqwetha v Transkei Development Corporations Ltd and </w:t>
      </w:r>
      <w:r w:rsidR="00973AAA" w:rsidRPr="00F42759">
        <w:rPr>
          <w:rFonts w:asciiTheme="minorBidi" w:hAnsiTheme="minorBidi"/>
          <w:i/>
          <w:iCs/>
          <w:color w:val="000000" w:themeColor="text1"/>
        </w:rPr>
        <w:t>others</w:t>
      </w:r>
      <w:r w:rsidR="00FF0CF0" w:rsidRPr="00F42759">
        <w:rPr>
          <w:rFonts w:asciiTheme="minorBidi" w:hAnsiTheme="minorBidi"/>
          <w:color w:val="000000" w:themeColor="text1"/>
        </w:rPr>
        <w:t>,</w:t>
      </w:r>
      <w:r w:rsidR="00FF0CF0" w:rsidRPr="00334A02">
        <w:rPr>
          <w:rStyle w:val="FootnoteReference"/>
          <w:rFonts w:asciiTheme="minorBidi" w:hAnsiTheme="minorBidi"/>
          <w:color w:val="000000" w:themeColor="text1"/>
        </w:rPr>
        <w:footnoteReference w:id="34"/>
      </w:r>
      <w:r w:rsidR="00FF0CF0" w:rsidRPr="00F42759">
        <w:rPr>
          <w:rFonts w:asciiTheme="minorBidi" w:hAnsiTheme="minorBidi"/>
          <w:color w:val="000000" w:themeColor="text1"/>
        </w:rPr>
        <w:t xml:space="preserve"> and reaffirmed in </w:t>
      </w:r>
      <w:r w:rsidR="00FF0CF0" w:rsidRPr="00F42759">
        <w:rPr>
          <w:rFonts w:asciiTheme="minorBidi" w:hAnsiTheme="minorBidi"/>
          <w:i/>
          <w:iCs/>
          <w:color w:val="000000" w:themeColor="text1"/>
        </w:rPr>
        <w:t>Khumalo v Member of the Executive Council for Education, KwaZulu</w:t>
      </w:r>
      <w:r w:rsidR="00973AAA" w:rsidRPr="00F42759">
        <w:rPr>
          <w:rFonts w:asciiTheme="minorBidi" w:hAnsiTheme="minorBidi"/>
          <w:i/>
          <w:iCs/>
          <w:color w:val="000000" w:themeColor="text1"/>
        </w:rPr>
        <w:noBreakHyphen/>
      </w:r>
      <w:r w:rsidR="00FF0CF0" w:rsidRPr="00F42759">
        <w:rPr>
          <w:rFonts w:asciiTheme="minorBidi" w:hAnsiTheme="minorBidi"/>
          <w:i/>
          <w:iCs/>
          <w:color w:val="000000" w:themeColor="text1"/>
        </w:rPr>
        <w:t>Natal,</w:t>
      </w:r>
      <w:r w:rsidR="00FF0CF0" w:rsidRPr="004A159F">
        <w:rPr>
          <w:rStyle w:val="FootnoteReference"/>
          <w:rFonts w:asciiTheme="minorBidi" w:hAnsiTheme="minorBidi"/>
          <w:color w:val="000000" w:themeColor="text1"/>
        </w:rPr>
        <w:footnoteReference w:id="35"/>
      </w:r>
      <w:r w:rsidR="00FF0CF0" w:rsidRPr="00F42759">
        <w:rPr>
          <w:rFonts w:asciiTheme="minorBidi" w:hAnsiTheme="minorBidi"/>
          <w:color w:val="000000" w:themeColor="text1"/>
        </w:rPr>
        <w:t> </w:t>
      </w:r>
      <w:r w:rsidR="00FF0CF0" w:rsidRPr="00F42759">
        <w:rPr>
          <w:rFonts w:asciiTheme="minorBidi" w:hAnsiTheme="minorBidi"/>
          <w:color w:val="000000" w:themeColor="text1"/>
          <w:shd w:val="clear" w:color="auto" w:fill="FFFFFF"/>
        </w:rPr>
        <w:t>namely that:</w:t>
      </w:r>
    </w:p>
    <w:p w:rsidR="00FF0CF0" w:rsidRDefault="00FF0CF0" w:rsidP="00FF0CF0">
      <w:pPr>
        <w:spacing w:line="360" w:lineRule="auto"/>
        <w:jc w:val="both"/>
        <w:rPr>
          <w:rFonts w:asciiTheme="minorBidi" w:hAnsiTheme="minorBidi" w:cstheme="minorBidi"/>
          <w:color w:val="242121"/>
          <w:sz w:val="22"/>
          <w:szCs w:val="22"/>
        </w:rPr>
      </w:pPr>
      <w:r w:rsidRPr="006574E1">
        <w:rPr>
          <w:rFonts w:asciiTheme="minorBidi" w:hAnsiTheme="minorBidi" w:cstheme="minorBidi"/>
          <w:color w:val="242121"/>
          <w:sz w:val="22"/>
          <w:szCs w:val="22"/>
        </w:rPr>
        <w:t>‘</w:t>
      </w:r>
      <w:r w:rsidRPr="00A67424">
        <w:rPr>
          <w:rFonts w:asciiTheme="minorBidi" w:hAnsiTheme="minorBidi" w:cstheme="minorBidi"/>
          <w:color w:val="242121"/>
          <w:sz w:val="22"/>
          <w:szCs w:val="22"/>
        </w:rPr>
        <w:t>Firstly, it must be determined whether the delay is unreasonable or undue. This is a factual enquiry upon which a value judgment is made, having regard to the circumstances of the matter. Secondly, if the delay is unreasonable, the question becomes whether the Court’s discretion should nevertheless be exercised to overlook the delay to entertain the application.’</w:t>
      </w:r>
      <w:r w:rsidR="00973AAA">
        <w:rPr>
          <w:rStyle w:val="FootnoteReference"/>
          <w:rFonts w:asciiTheme="minorBidi" w:hAnsiTheme="minorBidi" w:cstheme="minorBidi"/>
          <w:color w:val="242121"/>
          <w:sz w:val="22"/>
          <w:szCs w:val="22"/>
        </w:rPr>
        <w:footnoteReference w:id="36"/>
      </w:r>
    </w:p>
    <w:p w:rsidR="00FF0CF0" w:rsidRPr="00525324" w:rsidRDefault="00FF0CF0" w:rsidP="00FF0CF0">
      <w:pPr>
        <w:pStyle w:val="ListParagraph"/>
        <w:tabs>
          <w:tab w:val="left" w:pos="709"/>
        </w:tabs>
        <w:spacing w:line="360" w:lineRule="auto"/>
        <w:ind w:left="0"/>
        <w:jc w:val="both"/>
        <w:rPr>
          <w:rFonts w:asciiTheme="minorBidi" w:hAnsiTheme="minorBidi"/>
          <w:color w:val="242121"/>
          <w:lang w:val="en-GB"/>
        </w:rPr>
      </w:pPr>
      <w:r>
        <w:rPr>
          <w:rFonts w:asciiTheme="minorBidi" w:hAnsiTheme="minorBidi"/>
          <w:color w:val="242121"/>
          <w:lang w:val="en-GB"/>
        </w:rPr>
        <w:t>Any explanation offered for a delay must cover the whole period of the delay.</w:t>
      </w:r>
      <w:r>
        <w:rPr>
          <w:rStyle w:val="FootnoteReference"/>
          <w:rFonts w:asciiTheme="minorBidi" w:hAnsiTheme="minorBidi"/>
          <w:color w:val="242121"/>
          <w:lang w:val="en-GB"/>
        </w:rPr>
        <w:footnoteReference w:id="37"/>
      </w:r>
    </w:p>
    <w:p w:rsidR="00FF0CF0" w:rsidRPr="00285F7A" w:rsidRDefault="00FF0CF0" w:rsidP="00FF0CF0">
      <w:pPr>
        <w:pStyle w:val="ListParagraph"/>
        <w:spacing w:line="360" w:lineRule="auto"/>
        <w:rPr>
          <w:rFonts w:asciiTheme="minorBidi" w:hAnsiTheme="minorBidi"/>
        </w:rPr>
      </w:pPr>
    </w:p>
    <w:p w:rsidR="00FF0CF0" w:rsidRPr="00F42759" w:rsidRDefault="00F42759" w:rsidP="00F42759">
      <w:pPr>
        <w:tabs>
          <w:tab w:val="left" w:pos="709"/>
        </w:tabs>
        <w:spacing w:line="360" w:lineRule="auto"/>
        <w:jc w:val="both"/>
        <w:rPr>
          <w:rFonts w:ascii="Arial" w:hAnsi="Arial" w:cs="Arial"/>
          <w:bCs/>
          <w:lang w:val="en-GB"/>
        </w:rPr>
      </w:pPr>
      <w:r w:rsidRPr="00FF0CF0">
        <w:rPr>
          <w:rFonts w:ascii="Arial" w:eastAsiaTheme="minorHAnsi" w:hAnsi="Arial" w:cs="Arial"/>
          <w:bCs/>
          <w:lang w:val="en-GB" w:eastAsia="en-US" w:bidi="ar-SA"/>
        </w:rPr>
        <w:t>[76]</w:t>
      </w:r>
      <w:r w:rsidRPr="00FF0CF0">
        <w:rPr>
          <w:rFonts w:ascii="Arial" w:eastAsiaTheme="minorHAnsi" w:hAnsi="Arial" w:cs="Arial"/>
          <w:bCs/>
          <w:lang w:val="en-GB" w:eastAsia="en-US" w:bidi="ar-SA"/>
        </w:rPr>
        <w:tab/>
      </w:r>
      <w:r w:rsidR="00FF0CF0" w:rsidRPr="00F42759">
        <w:rPr>
          <w:rFonts w:asciiTheme="minorBidi" w:hAnsiTheme="minorBidi"/>
        </w:rPr>
        <w:t xml:space="preserve">In </w:t>
      </w:r>
      <w:r w:rsidR="00FF0CF0" w:rsidRPr="00F42759">
        <w:rPr>
          <w:rFonts w:asciiTheme="minorBidi" w:hAnsiTheme="minorBidi"/>
          <w:i/>
          <w:iCs/>
          <w:color w:val="000000" w:themeColor="text1"/>
        </w:rPr>
        <w:t xml:space="preserve">Altech Radio Holdings (Pty) </w:t>
      </w:r>
      <w:r w:rsidR="00BB6B51" w:rsidRPr="00F42759">
        <w:rPr>
          <w:rFonts w:asciiTheme="minorBidi" w:hAnsiTheme="minorBidi"/>
          <w:i/>
          <w:iCs/>
          <w:color w:val="000000" w:themeColor="text1"/>
        </w:rPr>
        <w:t xml:space="preserve">Ltd </w:t>
      </w:r>
      <w:r w:rsidR="00FF0CF0" w:rsidRPr="00F42759">
        <w:rPr>
          <w:rFonts w:asciiTheme="minorBidi" w:hAnsiTheme="minorBidi"/>
          <w:i/>
          <w:iCs/>
          <w:color w:val="000000" w:themeColor="text1"/>
        </w:rPr>
        <w:t xml:space="preserve">and </w:t>
      </w:r>
      <w:r w:rsidR="00BB6B51" w:rsidRPr="00F42759">
        <w:rPr>
          <w:rFonts w:asciiTheme="minorBidi" w:hAnsiTheme="minorBidi"/>
          <w:i/>
          <w:iCs/>
          <w:color w:val="000000" w:themeColor="text1"/>
        </w:rPr>
        <w:t xml:space="preserve">others </w:t>
      </w:r>
      <w:r w:rsidR="00FF0CF0" w:rsidRPr="00F42759">
        <w:rPr>
          <w:rFonts w:asciiTheme="minorBidi" w:hAnsiTheme="minorBidi"/>
          <w:i/>
          <w:iCs/>
          <w:color w:val="000000" w:themeColor="text1"/>
        </w:rPr>
        <w:t xml:space="preserve">v </w:t>
      </w:r>
      <w:r w:rsidR="00BB6B51" w:rsidRPr="00F42759">
        <w:rPr>
          <w:rFonts w:asciiTheme="minorBidi" w:hAnsiTheme="minorBidi"/>
          <w:i/>
          <w:iCs/>
          <w:color w:val="000000" w:themeColor="text1"/>
        </w:rPr>
        <w:t xml:space="preserve">Tshwane </w:t>
      </w:r>
      <w:r w:rsidR="00FF0CF0" w:rsidRPr="00F42759">
        <w:rPr>
          <w:rFonts w:asciiTheme="minorBidi" w:hAnsiTheme="minorBidi"/>
          <w:i/>
          <w:iCs/>
          <w:color w:val="000000" w:themeColor="text1"/>
        </w:rPr>
        <w:t>City</w:t>
      </w:r>
      <w:r w:rsidR="00FF0CF0" w:rsidRPr="00F42759">
        <w:rPr>
          <w:rFonts w:asciiTheme="minorBidi" w:hAnsiTheme="minorBidi"/>
          <w:color w:val="000000" w:themeColor="text1"/>
        </w:rPr>
        <w:t>,</w:t>
      </w:r>
      <w:r w:rsidR="00FF0CF0" w:rsidRPr="002B3235">
        <w:rPr>
          <w:rStyle w:val="FootnoteReference"/>
          <w:rFonts w:asciiTheme="minorBidi" w:hAnsiTheme="minorBidi"/>
          <w:color w:val="000000" w:themeColor="text1"/>
        </w:rPr>
        <w:footnoteReference w:id="38"/>
      </w:r>
      <w:r w:rsidR="00FF0CF0" w:rsidRPr="00F42759">
        <w:rPr>
          <w:rFonts w:asciiTheme="minorBidi" w:hAnsiTheme="minorBidi"/>
          <w:color w:val="000000" w:themeColor="text1"/>
        </w:rPr>
        <w:t xml:space="preserve"> Ponnan JA reaffirmed that:</w:t>
      </w:r>
    </w:p>
    <w:p w:rsidR="00FF0CF0" w:rsidRDefault="00FF0CF0" w:rsidP="00FF0CF0">
      <w:pPr>
        <w:pStyle w:val="ListParagraph"/>
        <w:tabs>
          <w:tab w:val="left" w:pos="709"/>
        </w:tabs>
        <w:spacing w:before="144" w:line="360" w:lineRule="auto"/>
        <w:ind w:left="0"/>
        <w:jc w:val="both"/>
        <w:rPr>
          <w:rFonts w:asciiTheme="minorBidi" w:hAnsiTheme="minorBidi"/>
          <w:sz w:val="22"/>
          <w:szCs w:val="22"/>
        </w:rPr>
      </w:pPr>
      <w:r w:rsidRPr="002B3235">
        <w:rPr>
          <w:rFonts w:asciiTheme="minorBidi" w:hAnsiTheme="minorBidi"/>
          <w:sz w:val="22"/>
          <w:szCs w:val="22"/>
        </w:rPr>
        <w:t>‘It is a long-standing rule that a legality review must be initiated without undue delay and that courts have the power (as part of their inherent jurisdiction to regulate their own proceedings) to either overlook the delay or refuse a review application in the face of an undue delay.’</w:t>
      </w:r>
    </w:p>
    <w:p w:rsidR="00FF0CF0" w:rsidRPr="002B3235" w:rsidRDefault="00FF0CF0" w:rsidP="00FF0CF0">
      <w:pPr>
        <w:pStyle w:val="ListParagraph"/>
        <w:tabs>
          <w:tab w:val="left" w:pos="709"/>
        </w:tabs>
        <w:spacing w:before="144" w:line="360" w:lineRule="auto"/>
        <w:ind w:left="0"/>
        <w:jc w:val="both"/>
        <w:rPr>
          <w:rFonts w:asciiTheme="minorBidi" w:hAnsiTheme="minorBidi"/>
          <w:color w:val="242121"/>
          <w:sz w:val="22"/>
          <w:szCs w:val="22"/>
        </w:rPr>
      </w:pPr>
    </w:p>
    <w:p w:rsidR="00363DBB" w:rsidRPr="00F42759" w:rsidRDefault="00F42759" w:rsidP="00F42759">
      <w:pPr>
        <w:tabs>
          <w:tab w:val="left" w:pos="709"/>
        </w:tabs>
        <w:spacing w:line="360" w:lineRule="auto"/>
        <w:jc w:val="both"/>
        <w:rPr>
          <w:rFonts w:ascii="Verdana" w:hAnsi="Verdana"/>
          <w:color w:val="242121"/>
          <w:sz w:val="22"/>
          <w:szCs w:val="22"/>
        </w:rPr>
      </w:pPr>
      <w:r w:rsidRPr="00363DBB">
        <w:rPr>
          <w:rFonts w:ascii="Arial" w:eastAsiaTheme="minorHAnsi" w:hAnsi="Arial" w:cstheme="minorBidi"/>
          <w:color w:val="242121"/>
          <w:lang w:eastAsia="en-US" w:bidi="ar-SA"/>
        </w:rPr>
        <w:t>[77]</w:t>
      </w:r>
      <w:r w:rsidRPr="00363DBB">
        <w:rPr>
          <w:rFonts w:ascii="Arial" w:eastAsiaTheme="minorHAnsi" w:hAnsi="Arial" w:cstheme="minorBidi"/>
          <w:color w:val="242121"/>
          <w:lang w:eastAsia="en-US" w:bidi="ar-SA"/>
        </w:rPr>
        <w:tab/>
      </w:r>
      <w:r w:rsidR="00FF0CF0" w:rsidRPr="00F42759">
        <w:rPr>
          <w:rFonts w:ascii="Arial" w:hAnsi="Arial" w:cs="Arial"/>
          <w:color w:val="242121"/>
          <w:lang w:val="en-GB"/>
        </w:rPr>
        <w:t xml:space="preserve">The requirement that legality reviews </w:t>
      </w:r>
      <w:r w:rsidR="00BB6B51" w:rsidRPr="00F42759">
        <w:rPr>
          <w:rFonts w:ascii="Arial" w:hAnsi="Arial" w:cs="Arial"/>
          <w:color w:val="242121"/>
          <w:lang w:val="en-GB"/>
        </w:rPr>
        <w:t xml:space="preserve">must </w:t>
      </w:r>
      <w:r w:rsidR="00FF0CF0" w:rsidRPr="00F42759">
        <w:rPr>
          <w:rFonts w:ascii="Arial" w:hAnsi="Arial" w:cs="Arial"/>
          <w:color w:val="242121"/>
          <w:lang w:val="en-GB"/>
        </w:rPr>
        <w:t xml:space="preserve">be brought without delay was further </w:t>
      </w:r>
    </w:p>
    <w:p w:rsidR="00887499" w:rsidRPr="00887499" w:rsidRDefault="00FF0CF0" w:rsidP="007C50DC">
      <w:pPr>
        <w:pStyle w:val="ListParagraph"/>
        <w:tabs>
          <w:tab w:val="left" w:pos="709"/>
        </w:tabs>
        <w:spacing w:line="360" w:lineRule="auto"/>
        <w:ind w:left="0"/>
        <w:jc w:val="both"/>
        <w:rPr>
          <w:rFonts w:ascii="Verdana" w:hAnsi="Verdana"/>
          <w:color w:val="242121"/>
          <w:sz w:val="22"/>
          <w:szCs w:val="22"/>
        </w:rPr>
      </w:pPr>
      <w:r w:rsidRPr="00FF0CF0">
        <w:rPr>
          <w:rFonts w:ascii="Arial" w:hAnsi="Arial" w:cs="Arial"/>
          <w:color w:val="242121"/>
          <w:lang w:val="en-GB"/>
        </w:rPr>
        <w:t>explained in</w:t>
      </w:r>
      <w:r w:rsidRPr="00FF0CF0">
        <w:rPr>
          <w:rStyle w:val="apple-converted-space"/>
          <w:rFonts w:ascii="Arial" w:hAnsi="Arial" w:cs="Arial"/>
          <w:color w:val="242121"/>
          <w:lang w:val="en-GB"/>
        </w:rPr>
        <w:t> </w:t>
      </w:r>
      <w:r w:rsidRPr="00FF0CF0">
        <w:rPr>
          <w:rFonts w:ascii="Arial" w:hAnsi="Arial" w:cs="Arial"/>
          <w:i/>
          <w:iCs/>
          <w:color w:val="242121"/>
          <w:lang w:val="en-GB"/>
        </w:rPr>
        <w:t xml:space="preserve">Merafong City v AngloGold Ashanti </w:t>
      </w:r>
      <w:r w:rsidR="00BB6B51">
        <w:rPr>
          <w:rFonts w:ascii="Arial" w:hAnsi="Arial" w:cs="Arial"/>
          <w:i/>
          <w:iCs/>
          <w:color w:val="242121"/>
          <w:lang w:val="en-GB"/>
        </w:rPr>
        <w:t>Ltd</w:t>
      </w:r>
      <w:r>
        <w:rPr>
          <w:rStyle w:val="FootnoteReference"/>
          <w:rFonts w:ascii="Arial" w:hAnsi="Arial" w:cs="Arial"/>
          <w:color w:val="242121"/>
          <w:lang w:val="en-GB"/>
        </w:rPr>
        <w:footnoteReference w:id="39"/>
      </w:r>
      <w:r w:rsidRPr="00FF0CF0">
        <w:rPr>
          <w:rFonts w:ascii="Arial" w:hAnsi="Arial" w:cs="Arial"/>
          <w:i/>
          <w:iCs/>
          <w:color w:val="242121"/>
          <w:lang w:val="en-GB"/>
        </w:rPr>
        <w:t xml:space="preserve"> </w:t>
      </w:r>
      <w:r w:rsidRPr="00FF0CF0">
        <w:rPr>
          <w:rFonts w:ascii="Arial" w:hAnsi="Arial" w:cs="Arial"/>
          <w:color w:val="242121"/>
          <w:lang w:val="en-GB"/>
        </w:rPr>
        <w:t xml:space="preserve">where </w:t>
      </w:r>
      <w:r w:rsidR="00F12DE3">
        <w:rPr>
          <w:rFonts w:ascii="Arial" w:hAnsi="Arial" w:cs="Arial"/>
          <w:color w:val="242121"/>
          <w:lang w:val="en-GB"/>
        </w:rPr>
        <w:t>Cameron J</w:t>
      </w:r>
      <w:r w:rsidRPr="00FF0CF0">
        <w:rPr>
          <w:rFonts w:ascii="Arial" w:hAnsi="Arial" w:cs="Arial"/>
          <w:i/>
          <w:iCs/>
          <w:color w:val="242121"/>
          <w:lang w:val="en-GB"/>
        </w:rPr>
        <w:t xml:space="preserve"> </w:t>
      </w:r>
      <w:r w:rsidRPr="00FF0CF0">
        <w:rPr>
          <w:rFonts w:ascii="Arial" w:hAnsi="Arial" w:cs="Arial"/>
          <w:color w:val="242121"/>
          <w:lang w:val="en-GB"/>
        </w:rPr>
        <w:t>reiterated that:</w:t>
      </w:r>
    </w:p>
    <w:p w:rsidR="00FF0CF0" w:rsidRPr="00E6043F" w:rsidRDefault="009472DA" w:rsidP="00887499">
      <w:pPr>
        <w:pStyle w:val="ListParagraph"/>
        <w:tabs>
          <w:tab w:val="left" w:pos="709"/>
        </w:tabs>
        <w:spacing w:line="360" w:lineRule="auto"/>
        <w:ind w:left="0"/>
        <w:jc w:val="both"/>
        <w:rPr>
          <w:rFonts w:ascii="Verdana" w:hAnsi="Verdana"/>
          <w:color w:val="242121"/>
          <w:sz w:val="22"/>
          <w:szCs w:val="22"/>
        </w:rPr>
      </w:pPr>
      <w:r>
        <w:rPr>
          <w:rFonts w:ascii="Arial" w:hAnsi="Arial" w:cs="Arial"/>
          <w:color w:val="242121"/>
          <w:sz w:val="22"/>
          <w:szCs w:val="22"/>
          <w:lang w:val="en-GB"/>
        </w:rPr>
        <w:t>‘</w:t>
      </w:r>
      <w:r w:rsidR="00FF0CF0" w:rsidRPr="00E6043F">
        <w:rPr>
          <w:rFonts w:ascii="Arial" w:hAnsi="Arial" w:cs="Arial"/>
          <w:color w:val="242121"/>
          <w:sz w:val="22"/>
          <w:szCs w:val="22"/>
          <w:lang w:val="en-GB"/>
        </w:rPr>
        <w:t>The rule against delay in instituting review exists for good reason: to curb the potential prejudice that would ensue if the lawfulness of the decision remains uncertain. Protracted delays could give rise to calamitous effects. Not just for those who rely upon the decision but also for the efficient functioning of t</w:t>
      </w:r>
      <w:r>
        <w:rPr>
          <w:rFonts w:ascii="Arial" w:hAnsi="Arial" w:cs="Arial"/>
          <w:color w:val="242121"/>
          <w:sz w:val="22"/>
          <w:szCs w:val="22"/>
          <w:lang w:val="en-GB"/>
        </w:rPr>
        <w:t>he decision-making body itself.’</w:t>
      </w:r>
    </w:p>
    <w:p w:rsidR="00FF0CF0" w:rsidRDefault="00FF0CF0" w:rsidP="00887499">
      <w:pPr>
        <w:spacing w:line="360" w:lineRule="auto"/>
      </w:pPr>
    </w:p>
    <w:p w:rsidR="00FF0CF0" w:rsidRPr="00F42759" w:rsidRDefault="00F42759" w:rsidP="00F42759">
      <w:pPr>
        <w:tabs>
          <w:tab w:val="left" w:pos="709"/>
        </w:tabs>
        <w:spacing w:line="360" w:lineRule="auto"/>
        <w:jc w:val="both"/>
        <w:rPr>
          <w:rFonts w:ascii="Arial" w:hAnsi="Arial" w:cs="Arial"/>
          <w:bCs/>
          <w:lang w:val="en-GB"/>
        </w:rPr>
      </w:pPr>
      <w:r w:rsidRPr="00887499">
        <w:rPr>
          <w:rFonts w:ascii="Arial" w:eastAsiaTheme="minorHAnsi" w:hAnsi="Arial" w:cs="Arial"/>
          <w:bCs/>
          <w:lang w:val="en-GB" w:eastAsia="en-US" w:bidi="ar-SA"/>
        </w:rPr>
        <w:t>[78]</w:t>
      </w:r>
      <w:r w:rsidRPr="00887499">
        <w:rPr>
          <w:rFonts w:ascii="Arial" w:eastAsiaTheme="minorHAnsi" w:hAnsi="Arial" w:cs="Arial"/>
          <w:bCs/>
          <w:lang w:val="en-GB" w:eastAsia="en-US" w:bidi="ar-SA"/>
        </w:rPr>
        <w:tab/>
      </w:r>
      <w:r w:rsidR="00FF0CF0" w:rsidRPr="00F42759">
        <w:rPr>
          <w:rFonts w:asciiTheme="minorBidi" w:hAnsiTheme="minorBidi"/>
        </w:rPr>
        <w:t xml:space="preserve">On how the reasonableness of a delay is to be assessed, Plasket JA in </w:t>
      </w:r>
      <w:r w:rsidR="00FF0CF0" w:rsidRPr="00F42759">
        <w:rPr>
          <w:rFonts w:asciiTheme="minorBidi" w:hAnsiTheme="minorBidi"/>
          <w:i/>
          <w:iCs/>
          <w:color w:val="242121"/>
          <w:lang w:val="en-GB"/>
        </w:rPr>
        <w:t xml:space="preserve">Valor IT v Premier, North West Province and </w:t>
      </w:r>
      <w:r w:rsidR="00BB6B51" w:rsidRPr="00F42759">
        <w:rPr>
          <w:rFonts w:asciiTheme="minorBidi" w:hAnsiTheme="minorBidi"/>
          <w:i/>
          <w:iCs/>
          <w:color w:val="242121"/>
          <w:lang w:val="en-GB"/>
        </w:rPr>
        <w:t>others</w:t>
      </w:r>
      <w:r w:rsidR="00FF0CF0" w:rsidRPr="0091132E">
        <w:rPr>
          <w:rStyle w:val="FootnoteReference"/>
          <w:rFonts w:asciiTheme="minorBidi" w:hAnsiTheme="minorBidi"/>
          <w:color w:val="242121"/>
          <w:lang w:val="en-GB"/>
        </w:rPr>
        <w:footnoteReference w:id="40"/>
      </w:r>
      <w:r w:rsidR="00FF0CF0" w:rsidRPr="00F42759">
        <w:rPr>
          <w:rFonts w:asciiTheme="minorBidi" w:hAnsiTheme="minorBidi"/>
        </w:rPr>
        <w:t xml:space="preserve"> indicated that:</w:t>
      </w:r>
    </w:p>
    <w:p w:rsidR="00FF0CF0" w:rsidRPr="0091132E" w:rsidRDefault="00FF0CF0" w:rsidP="00BB6B51">
      <w:pPr>
        <w:pStyle w:val="ListParagraph"/>
        <w:tabs>
          <w:tab w:val="left" w:pos="709"/>
        </w:tabs>
        <w:spacing w:before="144" w:line="360" w:lineRule="auto"/>
        <w:ind w:left="0"/>
        <w:jc w:val="both"/>
        <w:rPr>
          <w:rFonts w:asciiTheme="minorBidi" w:hAnsiTheme="minorBidi"/>
          <w:color w:val="242121"/>
          <w:sz w:val="22"/>
          <w:szCs w:val="22"/>
        </w:rPr>
      </w:pPr>
      <w:r w:rsidRPr="0091132E">
        <w:rPr>
          <w:rFonts w:asciiTheme="minorBidi" w:hAnsiTheme="minorBidi"/>
          <w:color w:val="242121"/>
          <w:sz w:val="22"/>
          <w:szCs w:val="22"/>
        </w:rPr>
        <w:t>‘</w:t>
      </w:r>
      <w:r w:rsidR="00BB6B51" w:rsidRPr="00BB6B51">
        <w:rPr>
          <w:rFonts w:asciiTheme="minorBidi" w:hAnsiTheme="minorBidi"/>
          <w:color w:val="242121"/>
          <w:sz w:val="22"/>
          <w:szCs w:val="22"/>
          <w:lang w:val="en-US"/>
        </w:rPr>
        <w:t>Whether a delay is unreasonable is a factual issue that involves the making of a value judgment. Whether, in the event of the delay being found to be unreasonable, condonation should be granted involves a “factual, multi-factor and context-sensitive” enquiry in which a range of factors – the length of the delay, the reasons for it, the prejudice to the parties that it may cause, the fullness of the explanation, the prospects of success on the merits – are all considered and weighed before a discretion is exercised one way or the other.</w:t>
      </w:r>
      <w:r w:rsidRPr="0091132E">
        <w:rPr>
          <w:rFonts w:asciiTheme="minorBidi" w:hAnsiTheme="minorBidi"/>
          <w:color w:val="242121"/>
          <w:sz w:val="22"/>
          <w:szCs w:val="22"/>
        </w:rPr>
        <w:t>’</w:t>
      </w:r>
      <w:r w:rsidR="00BB6B51">
        <w:rPr>
          <w:rFonts w:asciiTheme="minorBidi" w:hAnsiTheme="minorBidi"/>
          <w:color w:val="242121"/>
          <w:sz w:val="22"/>
          <w:szCs w:val="22"/>
        </w:rPr>
        <w:t xml:space="preserve"> (Footnotes omitted.)</w:t>
      </w:r>
    </w:p>
    <w:p w:rsidR="00FF0CF0" w:rsidRPr="002B3235" w:rsidRDefault="00FF0CF0" w:rsidP="00FF0CF0">
      <w:pPr>
        <w:spacing w:line="360" w:lineRule="auto"/>
        <w:jc w:val="both"/>
        <w:rPr>
          <w:rFonts w:asciiTheme="minorBidi" w:hAnsiTheme="minorBidi" w:cstheme="minorBidi"/>
        </w:rPr>
      </w:pPr>
    </w:p>
    <w:p w:rsidR="00FF0CF0" w:rsidRPr="00F42759" w:rsidRDefault="00F42759" w:rsidP="00F42759">
      <w:pPr>
        <w:tabs>
          <w:tab w:val="left" w:pos="709"/>
        </w:tabs>
        <w:spacing w:line="360" w:lineRule="auto"/>
        <w:jc w:val="both"/>
        <w:rPr>
          <w:rFonts w:ascii="Arial" w:hAnsi="Arial" w:cs="Arial"/>
          <w:bCs/>
          <w:lang w:val="en-GB"/>
        </w:rPr>
      </w:pPr>
      <w:r w:rsidRPr="00EC3BAE">
        <w:rPr>
          <w:rFonts w:ascii="Arial" w:eastAsiaTheme="minorHAnsi" w:hAnsi="Arial" w:cs="Arial"/>
          <w:bCs/>
          <w:lang w:val="en-GB" w:eastAsia="en-US" w:bidi="ar-SA"/>
        </w:rPr>
        <w:t>[79]</w:t>
      </w:r>
      <w:r w:rsidRPr="00EC3BAE">
        <w:rPr>
          <w:rFonts w:ascii="Arial" w:eastAsiaTheme="minorHAnsi" w:hAnsi="Arial" w:cs="Arial"/>
          <w:bCs/>
          <w:lang w:val="en-GB" w:eastAsia="en-US" w:bidi="ar-SA"/>
        </w:rPr>
        <w:tab/>
      </w:r>
      <w:r w:rsidR="00FF0CF0" w:rsidRPr="00F42759">
        <w:rPr>
          <w:rFonts w:ascii="Arial" w:hAnsi="Arial" w:cs="Arial"/>
          <w:color w:val="242121"/>
          <w:lang w:val="en-US"/>
        </w:rPr>
        <w:t xml:space="preserve">While the court has </w:t>
      </w:r>
      <w:r w:rsidR="0090102F" w:rsidRPr="00F42759">
        <w:rPr>
          <w:rFonts w:ascii="Arial" w:hAnsi="Arial" w:cs="Arial"/>
          <w:color w:val="242121"/>
          <w:lang w:val="en-US"/>
        </w:rPr>
        <w:t xml:space="preserve">a </w:t>
      </w:r>
      <w:r w:rsidR="00FF0CF0" w:rsidRPr="00F42759">
        <w:rPr>
          <w:rFonts w:ascii="Arial" w:hAnsi="Arial" w:cs="Arial"/>
          <w:color w:val="242121"/>
          <w:lang w:val="en-US"/>
        </w:rPr>
        <w:t>discretion to refuse a review because of an unacceptable delay, if the decision about which complaint is made is patently unlawful, this may in turn dictate that the delay be overlooked and that the review be granted.</w:t>
      </w:r>
      <w:r w:rsidR="00887499" w:rsidRPr="00F42759">
        <w:rPr>
          <w:rFonts w:asciiTheme="minorBidi" w:hAnsiTheme="minorBidi"/>
        </w:rPr>
        <w:t xml:space="preserve"> </w:t>
      </w:r>
      <w:r w:rsidR="00FF0CF0" w:rsidRPr="00F42759">
        <w:rPr>
          <w:rFonts w:asciiTheme="minorBidi" w:hAnsiTheme="minorBidi"/>
        </w:rPr>
        <w:t xml:space="preserve">The requirement to bring review proceedings without undue delay is to ensure that there is finality in those proceedings. </w:t>
      </w:r>
      <w:r w:rsidR="00FF0CF0" w:rsidRPr="00F42759">
        <w:rPr>
          <w:rFonts w:asciiTheme="minorBidi" w:hAnsiTheme="minorBidi"/>
          <w:color w:val="242121"/>
          <w:shd w:val="clear" w:color="auto" w:fill="FFFFFF"/>
        </w:rPr>
        <w:t>The Constitutional Court has held that there is a strong public interest in both certainty and finality.</w:t>
      </w:r>
      <w:r w:rsidR="00FF0CF0">
        <w:rPr>
          <w:rStyle w:val="FootnoteReference"/>
          <w:rFonts w:asciiTheme="minorBidi" w:hAnsiTheme="minorBidi"/>
          <w:color w:val="242121"/>
          <w:shd w:val="clear" w:color="auto" w:fill="FFFFFF"/>
        </w:rPr>
        <w:footnoteReference w:id="41"/>
      </w:r>
    </w:p>
    <w:p w:rsidR="00EC3BAE" w:rsidRPr="00BB6B51" w:rsidRDefault="00EC3BAE" w:rsidP="00EC3BAE">
      <w:pPr>
        <w:pStyle w:val="ListParagraph"/>
        <w:tabs>
          <w:tab w:val="left" w:pos="709"/>
        </w:tabs>
        <w:spacing w:line="360" w:lineRule="auto"/>
        <w:ind w:left="0"/>
        <w:jc w:val="both"/>
        <w:rPr>
          <w:rFonts w:ascii="Arial" w:hAnsi="Arial" w:cs="Arial"/>
          <w:bCs/>
          <w:lang w:val="en-GB"/>
        </w:rPr>
      </w:pPr>
    </w:p>
    <w:p w:rsidR="00DE3C4F" w:rsidRPr="00F42759" w:rsidRDefault="00F42759" w:rsidP="00F42759">
      <w:pPr>
        <w:spacing w:line="360" w:lineRule="auto"/>
        <w:jc w:val="both"/>
        <w:rPr>
          <w:rFonts w:ascii="Arial" w:hAnsi="Arial" w:cs="Arial"/>
          <w:bCs/>
          <w:lang w:val="en-GB"/>
        </w:rPr>
      </w:pPr>
      <w:r w:rsidRPr="00917333">
        <w:rPr>
          <w:rFonts w:ascii="Arial" w:eastAsiaTheme="minorHAnsi" w:hAnsi="Arial" w:cs="Arial"/>
          <w:bCs/>
          <w:lang w:val="en-GB" w:eastAsia="en-US" w:bidi="ar-SA"/>
        </w:rPr>
        <w:t>[80]</w:t>
      </w:r>
      <w:r w:rsidRPr="00917333">
        <w:rPr>
          <w:rFonts w:ascii="Arial" w:eastAsiaTheme="minorHAnsi" w:hAnsi="Arial" w:cs="Arial"/>
          <w:bCs/>
          <w:lang w:val="en-GB" w:eastAsia="en-US" w:bidi="ar-SA"/>
        </w:rPr>
        <w:tab/>
      </w:r>
      <w:r w:rsidR="003C5071" w:rsidRPr="00F42759">
        <w:rPr>
          <w:rFonts w:ascii="Arial" w:hAnsi="Arial" w:cs="Arial"/>
          <w:iCs/>
          <w:color w:val="000000"/>
        </w:rPr>
        <w:t xml:space="preserve">Sutherland DJP in </w:t>
      </w:r>
      <w:r w:rsidR="00945C32" w:rsidRPr="00F42759">
        <w:rPr>
          <w:rFonts w:ascii="Arial" w:hAnsi="Arial" w:cs="Arial"/>
          <w:i/>
          <w:iCs/>
          <w:color w:val="000000"/>
        </w:rPr>
        <w:t>Transnet SOC Ltd and another v CRRC E-Loco Supply (Pty) Ltd and others</w:t>
      </w:r>
      <w:r w:rsidR="00945C32" w:rsidRPr="003C5071">
        <w:rPr>
          <w:rStyle w:val="FootnoteReference"/>
          <w:rFonts w:ascii="Arial" w:hAnsi="Arial" w:cs="Arial"/>
          <w:iCs/>
          <w:color w:val="000000"/>
        </w:rPr>
        <w:footnoteReference w:id="42"/>
      </w:r>
      <w:r w:rsidR="00945C32" w:rsidRPr="00F42759">
        <w:rPr>
          <w:rFonts w:ascii="Arial" w:hAnsi="Arial" w:cs="Arial"/>
          <w:i/>
          <w:iCs/>
          <w:color w:val="000000"/>
        </w:rPr>
        <w:t xml:space="preserve"> </w:t>
      </w:r>
      <w:r w:rsidR="003C5071" w:rsidRPr="00F42759">
        <w:rPr>
          <w:rFonts w:ascii="Arial" w:hAnsi="Arial" w:cs="Arial"/>
          <w:iCs/>
          <w:color w:val="000000"/>
        </w:rPr>
        <w:t>summarised the principles applicable to</w:t>
      </w:r>
      <w:r w:rsidR="00917333" w:rsidRPr="00F42759">
        <w:rPr>
          <w:rFonts w:ascii="Arial" w:hAnsi="Arial" w:cs="Arial"/>
          <w:iCs/>
          <w:color w:val="000000"/>
        </w:rPr>
        <w:t xml:space="preserve"> the so-called ‘delay defence’ in</w:t>
      </w:r>
      <w:r w:rsidR="003C5071" w:rsidRPr="00F42759">
        <w:rPr>
          <w:rFonts w:ascii="Arial" w:hAnsi="Arial" w:cs="Arial"/>
          <w:iCs/>
          <w:color w:val="000000"/>
        </w:rPr>
        <w:t xml:space="preserve"> legality reviews, as distilled from </w:t>
      </w:r>
      <w:r w:rsidR="00512D89" w:rsidRPr="00F42759">
        <w:rPr>
          <w:rFonts w:ascii="Arial" w:hAnsi="Arial" w:cs="Arial"/>
          <w:i/>
          <w:iCs/>
          <w:color w:val="000000"/>
        </w:rPr>
        <w:t>Asla</w:t>
      </w:r>
      <w:r w:rsidR="003C5071" w:rsidRPr="00F42759">
        <w:rPr>
          <w:rFonts w:ascii="Arial" w:hAnsi="Arial" w:cs="Arial"/>
          <w:iCs/>
          <w:color w:val="000000"/>
        </w:rPr>
        <w:t>,</w:t>
      </w:r>
      <w:r w:rsidR="00C41455" w:rsidRPr="00F42759">
        <w:rPr>
          <w:rFonts w:ascii="Arial" w:hAnsi="Arial" w:cs="Arial"/>
          <w:i/>
          <w:iCs/>
          <w:color w:val="000000"/>
        </w:rPr>
        <w:t xml:space="preserve"> </w:t>
      </w:r>
      <w:r w:rsidR="003C5071" w:rsidRPr="00F42759">
        <w:rPr>
          <w:rFonts w:ascii="Arial" w:hAnsi="Arial" w:cs="Arial"/>
          <w:iCs/>
          <w:color w:val="000000"/>
        </w:rPr>
        <w:t>as follows</w:t>
      </w:r>
      <w:r w:rsidR="00512D89" w:rsidRPr="00F42759">
        <w:rPr>
          <w:rFonts w:ascii="Arial" w:hAnsi="Arial" w:cs="Arial"/>
          <w:color w:val="000000"/>
        </w:rPr>
        <w:t>:</w:t>
      </w:r>
    </w:p>
    <w:p w:rsidR="00917333" w:rsidRPr="00917333" w:rsidRDefault="00917333" w:rsidP="00363DBB">
      <w:pPr>
        <w:pStyle w:val="NormalWeb"/>
        <w:shd w:val="clear" w:color="auto" w:fill="FFFFFF"/>
        <w:tabs>
          <w:tab w:val="left" w:pos="709"/>
        </w:tabs>
        <w:spacing w:before="0" w:beforeAutospacing="0" w:after="0" w:afterAutospacing="0" w:line="360" w:lineRule="auto"/>
        <w:contextualSpacing/>
        <w:jc w:val="both"/>
        <w:rPr>
          <w:rFonts w:ascii="Arial" w:hAnsi="Arial" w:cs="Arial"/>
          <w:color w:val="242121"/>
          <w:sz w:val="22"/>
          <w:szCs w:val="22"/>
          <w:lang w:eastAsia="en-US"/>
        </w:rPr>
      </w:pPr>
      <w:r>
        <w:rPr>
          <w:rFonts w:ascii="Arial" w:hAnsi="Arial" w:cs="Arial"/>
          <w:color w:val="000000"/>
          <w:sz w:val="22"/>
          <w:szCs w:val="22"/>
        </w:rPr>
        <w:t>‘</w:t>
      </w:r>
      <w:r w:rsidRPr="00917333">
        <w:rPr>
          <w:rFonts w:ascii="Arial" w:hAnsi="Arial" w:cs="Arial"/>
          <w:color w:val="000000"/>
          <w:sz w:val="22"/>
          <w:szCs w:val="22"/>
        </w:rPr>
        <w:t xml:space="preserve">[17.1] </w:t>
      </w:r>
      <w:r w:rsidR="00363DBB">
        <w:rPr>
          <w:rFonts w:ascii="Arial" w:hAnsi="Arial" w:cs="Arial"/>
          <w:color w:val="000000"/>
          <w:sz w:val="22"/>
          <w:szCs w:val="22"/>
        </w:rPr>
        <w:tab/>
      </w:r>
      <w:r w:rsidRPr="00917333">
        <w:rPr>
          <w:rFonts w:ascii="Arial" w:hAnsi="Arial" w:cs="Arial"/>
          <w:color w:val="000000"/>
          <w:sz w:val="22"/>
          <w:szCs w:val="22"/>
        </w:rPr>
        <w:t>it is improper to deal with delay before giving attention to the merits of the review,</w:t>
      </w:r>
    </w:p>
    <w:p w:rsidR="00917333" w:rsidRPr="00917333" w:rsidRDefault="00917333" w:rsidP="00EB1C96">
      <w:pPr>
        <w:pStyle w:val="NormalWeb"/>
        <w:shd w:val="clear" w:color="auto" w:fill="FFFFFF"/>
        <w:tabs>
          <w:tab w:val="left" w:pos="709"/>
        </w:tabs>
        <w:spacing w:before="0" w:beforeAutospacing="0" w:after="0" w:afterAutospacing="0" w:line="360" w:lineRule="auto"/>
        <w:contextualSpacing/>
        <w:jc w:val="both"/>
        <w:rPr>
          <w:rFonts w:ascii="Arial" w:hAnsi="Arial" w:cs="Arial"/>
          <w:color w:val="242121"/>
          <w:sz w:val="22"/>
          <w:szCs w:val="22"/>
        </w:rPr>
      </w:pPr>
      <w:r w:rsidRPr="00917333">
        <w:rPr>
          <w:rFonts w:ascii="Arial" w:hAnsi="Arial" w:cs="Arial"/>
          <w:color w:val="000000"/>
          <w:sz w:val="22"/>
          <w:szCs w:val="22"/>
        </w:rPr>
        <w:t xml:space="preserve">[17.2] </w:t>
      </w:r>
      <w:r w:rsidR="00363DBB">
        <w:rPr>
          <w:rFonts w:ascii="Arial" w:hAnsi="Arial" w:cs="Arial"/>
          <w:color w:val="000000"/>
          <w:sz w:val="22"/>
          <w:szCs w:val="22"/>
        </w:rPr>
        <w:tab/>
      </w:r>
      <w:r w:rsidRPr="00917333">
        <w:rPr>
          <w:rFonts w:ascii="Arial" w:hAnsi="Arial" w:cs="Arial"/>
          <w:color w:val="000000"/>
          <w:sz w:val="22"/>
          <w:szCs w:val="22"/>
        </w:rPr>
        <w:t>where invalidity is indeed detected, it must be declared to be so,</w:t>
      </w:r>
      <w:r w:rsidRPr="00917333">
        <w:rPr>
          <w:rFonts w:ascii="Arial" w:hAnsi="Arial" w:cs="Arial"/>
          <w:color w:val="242121"/>
          <w:sz w:val="22"/>
          <w:szCs w:val="22"/>
        </w:rPr>
        <w:t xml:space="preserve"> </w:t>
      </w:r>
    </w:p>
    <w:p w:rsidR="00917333" w:rsidRPr="00917333" w:rsidRDefault="00917333" w:rsidP="00EB1C96">
      <w:pPr>
        <w:pStyle w:val="NormalWeb"/>
        <w:shd w:val="clear" w:color="auto" w:fill="FFFFFF"/>
        <w:tabs>
          <w:tab w:val="left" w:pos="709"/>
        </w:tabs>
        <w:spacing w:before="0" w:beforeAutospacing="0" w:after="0" w:afterAutospacing="0" w:line="360" w:lineRule="auto"/>
        <w:contextualSpacing/>
        <w:jc w:val="both"/>
        <w:rPr>
          <w:rFonts w:ascii="Arial" w:hAnsi="Arial" w:cs="Arial"/>
          <w:color w:val="242121"/>
          <w:sz w:val="22"/>
          <w:szCs w:val="22"/>
        </w:rPr>
      </w:pPr>
      <w:r w:rsidRPr="00917333">
        <w:rPr>
          <w:rFonts w:ascii="Arial" w:hAnsi="Arial" w:cs="Arial"/>
          <w:color w:val="000000"/>
          <w:sz w:val="22"/>
          <w:szCs w:val="22"/>
        </w:rPr>
        <w:t xml:space="preserve">[17.3] </w:t>
      </w:r>
      <w:r w:rsidR="00EB1C96">
        <w:rPr>
          <w:rFonts w:ascii="Arial" w:hAnsi="Arial" w:cs="Arial"/>
          <w:color w:val="000000"/>
          <w:sz w:val="22"/>
          <w:szCs w:val="22"/>
        </w:rPr>
        <w:tab/>
      </w:r>
      <w:r w:rsidRPr="00917333">
        <w:rPr>
          <w:rFonts w:ascii="Arial" w:hAnsi="Arial" w:cs="Arial"/>
          <w:color w:val="000000"/>
          <w:sz w:val="22"/>
          <w:szCs w:val="22"/>
        </w:rPr>
        <w:t>the merits are relevant to what to choose to do about an undue delay when that is found to exist,</w:t>
      </w:r>
    </w:p>
    <w:p w:rsidR="00917333" w:rsidRPr="00917333" w:rsidRDefault="00917333" w:rsidP="00EB1C96">
      <w:pPr>
        <w:pStyle w:val="NormalWeb"/>
        <w:shd w:val="clear" w:color="auto" w:fill="FFFFFF"/>
        <w:tabs>
          <w:tab w:val="left" w:pos="709"/>
        </w:tabs>
        <w:spacing w:before="0" w:beforeAutospacing="0" w:after="0" w:afterAutospacing="0" w:line="360" w:lineRule="auto"/>
        <w:contextualSpacing/>
        <w:jc w:val="both"/>
        <w:rPr>
          <w:rFonts w:ascii="Arial" w:hAnsi="Arial" w:cs="Arial"/>
          <w:color w:val="242121"/>
          <w:sz w:val="22"/>
          <w:szCs w:val="22"/>
        </w:rPr>
      </w:pPr>
      <w:r w:rsidRPr="00917333">
        <w:rPr>
          <w:rFonts w:ascii="Arial" w:hAnsi="Arial" w:cs="Arial"/>
          <w:color w:val="000000"/>
          <w:sz w:val="22"/>
          <w:szCs w:val="22"/>
        </w:rPr>
        <w:t xml:space="preserve">[17.4] </w:t>
      </w:r>
      <w:r w:rsidR="00EB1C96">
        <w:rPr>
          <w:rFonts w:ascii="Arial" w:hAnsi="Arial" w:cs="Arial"/>
          <w:color w:val="000000"/>
          <w:sz w:val="22"/>
          <w:szCs w:val="22"/>
        </w:rPr>
        <w:tab/>
      </w:r>
      <w:r w:rsidRPr="00917333">
        <w:rPr>
          <w:rFonts w:ascii="Arial" w:hAnsi="Arial" w:cs="Arial"/>
          <w:color w:val="000000"/>
          <w:sz w:val="22"/>
          <w:szCs w:val="22"/>
        </w:rPr>
        <w:t>whether or not to overlook undue delay is a flexible evaluation which is driven by several factors</w:t>
      </w:r>
    </w:p>
    <w:p w:rsidR="00917333" w:rsidRPr="00917333" w:rsidRDefault="00917333" w:rsidP="00EB1C96">
      <w:pPr>
        <w:pStyle w:val="NormalWeb"/>
        <w:shd w:val="clear" w:color="auto" w:fill="FFFFFF"/>
        <w:tabs>
          <w:tab w:val="left" w:pos="709"/>
        </w:tabs>
        <w:spacing w:before="0" w:beforeAutospacing="0" w:after="0" w:afterAutospacing="0" w:line="360" w:lineRule="auto"/>
        <w:contextualSpacing/>
        <w:jc w:val="both"/>
        <w:rPr>
          <w:rFonts w:ascii="Arial" w:hAnsi="Arial" w:cs="Arial"/>
          <w:color w:val="242121"/>
          <w:sz w:val="22"/>
          <w:szCs w:val="22"/>
        </w:rPr>
      </w:pPr>
      <w:r w:rsidRPr="00917333">
        <w:rPr>
          <w:rFonts w:ascii="Arial" w:hAnsi="Arial" w:cs="Arial"/>
          <w:color w:val="000000"/>
          <w:sz w:val="22"/>
          <w:szCs w:val="22"/>
        </w:rPr>
        <w:t xml:space="preserve">[17.5] </w:t>
      </w:r>
      <w:r w:rsidR="00EB1C96">
        <w:rPr>
          <w:rFonts w:ascii="Arial" w:hAnsi="Arial" w:cs="Arial"/>
          <w:color w:val="000000"/>
          <w:sz w:val="22"/>
          <w:szCs w:val="22"/>
        </w:rPr>
        <w:tab/>
      </w:r>
      <w:r w:rsidRPr="00917333">
        <w:rPr>
          <w:rFonts w:ascii="Arial" w:hAnsi="Arial" w:cs="Arial"/>
          <w:color w:val="000000"/>
          <w:sz w:val="22"/>
          <w:szCs w:val="22"/>
        </w:rPr>
        <w:t>undue delay is bound up in the just and equitable remedy which may be that no consequent relief is granted; ie, the review might succeed but the contracts are not set aside.</w:t>
      </w:r>
      <w:r>
        <w:rPr>
          <w:rFonts w:ascii="Arial" w:hAnsi="Arial" w:cs="Arial"/>
          <w:color w:val="000000"/>
          <w:sz w:val="22"/>
          <w:szCs w:val="22"/>
        </w:rPr>
        <w:t>’ (Footnotes omitted.)</w:t>
      </w:r>
      <w:r w:rsidRPr="00917333">
        <w:rPr>
          <w:rFonts w:ascii="Arial" w:hAnsi="Arial" w:cs="Arial"/>
          <w:color w:val="242121"/>
          <w:sz w:val="22"/>
          <w:szCs w:val="22"/>
        </w:rPr>
        <w:t xml:space="preserve"> </w:t>
      </w:r>
    </w:p>
    <w:p w:rsidR="00182115" w:rsidRPr="00917333" w:rsidRDefault="00182115" w:rsidP="00182115">
      <w:pPr>
        <w:pStyle w:val="ListParagraph"/>
        <w:tabs>
          <w:tab w:val="left" w:pos="709"/>
        </w:tabs>
        <w:spacing w:line="360" w:lineRule="auto"/>
        <w:ind w:left="0"/>
        <w:jc w:val="both"/>
        <w:rPr>
          <w:rFonts w:ascii="Arial" w:hAnsi="Arial" w:cs="Arial"/>
          <w:bCs/>
          <w:lang w:val="en-GB"/>
        </w:rPr>
      </w:pPr>
    </w:p>
    <w:p w:rsidR="00F55B2B" w:rsidRPr="00F42759" w:rsidRDefault="00F42759" w:rsidP="00F42759">
      <w:pPr>
        <w:tabs>
          <w:tab w:val="left" w:pos="709"/>
        </w:tabs>
        <w:spacing w:line="360" w:lineRule="auto"/>
        <w:jc w:val="both"/>
        <w:rPr>
          <w:rFonts w:ascii="Arial" w:hAnsi="Arial" w:cs="Arial"/>
          <w:bCs/>
          <w:lang w:val="en-GB"/>
        </w:rPr>
      </w:pPr>
      <w:r w:rsidRPr="00AC7F76">
        <w:rPr>
          <w:rFonts w:ascii="Arial" w:eastAsiaTheme="minorHAnsi" w:hAnsi="Arial" w:cs="Arial"/>
          <w:bCs/>
          <w:lang w:val="en-GB" w:eastAsia="en-US" w:bidi="ar-SA"/>
        </w:rPr>
        <w:t>[81]</w:t>
      </w:r>
      <w:r w:rsidRPr="00AC7F76">
        <w:rPr>
          <w:rFonts w:ascii="Arial" w:eastAsiaTheme="minorHAnsi" w:hAnsi="Arial" w:cs="Arial"/>
          <w:bCs/>
          <w:lang w:val="en-GB" w:eastAsia="en-US" w:bidi="ar-SA"/>
        </w:rPr>
        <w:tab/>
      </w:r>
      <w:r w:rsidR="00F55B2B" w:rsidRPr="00F42759">
        <w:rPr>
          <w:rFonts w:ascii="Arial" w:hAnsi="Arial" w:cs="Arial"/>
          <w:bCs/>
          <w:lang w:val="en-GB"/>
        </w:rPr>
        <w:t xml:space="preserve">With those principles in mind, </w:t>
      </w:r>
      <w:r w:rsidR="000F1E7B" w:rsidRPr="00F42759">
        <w:rPr>
          <w:rFonts w:ascii="Arial" w:hAnsi="Arial" w:cs="Arial"/>
          <w:bCs/>
          <w:lang w:val="en-GB"/>
        </w:rPr>
        <w:t xml:space="preserve">I consider </w:t>
      </w:r>
      <w:r w:rsidR="00F55B2B" w:rsidRPr="00F42759">
        <w:rPr>
          <w:rFonts w:ascii="Arial" w:hAnsi="Arial" w:cs="Arial"/>
          <w:bCs/>
          <w:lang w:val="en-GB"/>
        </w:rPr>
        <w:t>the explanation for the delay</w:t>
      </w:r>
      <w:r w:rsidR="000F1E7B" w:rsidRPr="00F42759">
        <w:rPr>
          <w:rFonts w:ascii="Arial" w:hAnsi="Arial" w:cs="Arial"/>
          <w:bCs/>
          <w:lang w:val="en-GB"/>
        </w:rPr>
        <w:t xml:space="preserve">. </w:t>
      </w:r>
      <w:r w:rsidR="00BF654F" w:rsidRPr="00F42759">
        <w:rPr>
          <w:rFonts w:ascii="Arial" w:hAnsi="Arial" w:cs="Arial"/>
          <w:bCs/>
          <w:lang w:val="en-GB"/>
        </w:rPr>
        <w:t>Mr Mnguni</w:t>
      </w:r>
      <w:r w:rsidR="00917333" w:rsidRPr="00F42759">
        <w:rPr>
          <w:rFonts w:ascii="Arial" w:hAnsi="Arial" w:cs="Arial"/>
          <w:bCs/>
          <w:lang w:val="en-GB"/>
        </w:rPr>
        <w:t>,</w:t>
      </w:r>
      <w:r w:rsidR="00BF654F" w:rsidRPr="00F42759">
        <w:rPr>
          <w:rFonts w:ascii="Arial" w:hAnsi="Arial" w:cs="Arial"/>
          <w:bCs/>
          <w:lang w:val="en-GB"/>
        </w:rPr>
        <w:t xml:space="preserve"> in his founding affidavit in the review application</w:t>
      </w:r>
      <w:r w:rsidR="00917333" w:rsidRPr="00F42759">
        <w:rPr>
          <w:rFonts w:ascii="Arial" w:hAnsi="Arial" w:cs="Arial"/>
          <w:bCs/>
          <w:lang w:val="en-GB"/>
        </w:rPr>
        <w:t>, provides the following explan</w:t>
      </w:r>
      <w:r w:rsidR="0090102F" w:rsidRPr="00F42759">
        <w:rPr>
          <w:rFonts w:ascii="Arial" w:hAnsi="Arial" w:cs="Arial"/>
          <w:bCs/>
          <w:lang w:val="en-GB"/>
        </w:rPr>
        <w:t>a</w:t>
      </w:r>
      <w:r w:rsidR="00917333" w:rsidRPr="00F42759">
        <w:rPr>
          <w:rFonts w:ascii="Arial" w:hAnsi="Arial" w:cs="Arial"/>
          <w:bCs/>
          <w:lang w:val="en-GB"/>
        </w:rPr>
        <w:t>tion</w:t>
      </w:r>
      <w:r w:rsidR="00BF654F" w:rsidRPr="00F42759">
        <w:rPr>
          <w:rFonts w:ascii="Arial" w:hAnsi="Arial" w:cs="Arial"/>
          <w:bCs/>
          <w:lang w:val="en-GB"/>
        </w:rPr>
        <w:t>:</w:t>
      </w:r>
    </w:p>
    <w:p w:rsidR="00BF654F" w:rsidRDefault="00BF654F" w:rsidP="007C0C3B">
      <w:pPr>
        <w:pStyle w:val="ListParagraph"/>
        <w:tabs>
          <w:tab w:val="left" w:pos="709"/>
        </w:tabs>
        <w:spacing w:line="360" w:lineRule="auto"/>
        <w:ind w:left="0"/>
        <w:jc w:val="both"/>
        <w:rPr>
          <w:rFonts w:ascii="Arial" w:hAnsi="Arial" w:cs="Arial"/>
          <w:bCs/>
          <w:sz w:val="22"/>
          <w:szCs w:val="22"/>
          <w:lang w:val="en-GB"/>
        </w:rPr>
      </w:pPr>
      <w:r w:rsidRPr="00BF654F">
        <w:rPr>
          <w:rFonts w:ascii="Arial" w:hAnsi="Arial" w:cs="Arial"/>
          <w:bCs/>
          <w:sz w:val="22"/>
          <w:szCs w:val="22"/>
          <w:lang w:val="en-GB"/>
        </w:rPr>
        <w:t xml:space="preserve">‘The circumstances surrounding this tender were covered up by the former municipal manager and officials loyal to his administration. I have not yet completed my investigation into which officials were involved in the cover </w:t>
      </w:r>
      <w:r>
        <w:rPr>
          <w:rFonts w:ascii="Arial" w:hAnsi="Arial" w:cs="Arial"/>
          <w:bCs/>
          <w:sz w:val="22"/>
          <w:szCs w:val="22"/>
          <w:lang w:val="en-GB"/>
        </w:rPr>
        <w:t>up</w:t>
      </w:r>
      <w:r w:rsidRPr="00BF654F">
        <w:rPr>
          <w:rFonts w:ascii="Arial" w:hAnsi="Arial" w:cs="Arial"/>
          <w:bCs/>
          <w:sz w:val="22"/>
          <w:szCs w:val="22"/>
          <w:lang w:val="en-GB"/>
        </w:rPr>
        <w:t xml:space="preserve"> of </w:t>
      </w:r>
      <w:r>
        <w:rPr>
          <w:rFonts w:ascii="Arial" w:hAnsi="Arial" w:cs="Arial"/>
          <w:bCs/>
          <w:sz w:val="22"/>
          <w:szCs w:val="22"/>
          <w:lang w:val="en-GB"/>
        </w:rPr>
        <w:t>this bid</w:t>
      </w:r>
      <w:r w:rsidRPr="00BF654F">
        <w:rPr>
          <w:rFonts w:ascii="Arial" w:hAnsi="Arial" w:cs="Arial"/>
          <w:bCs/>
          <w:sz w:val="22"/>
          <w:szCs w:val="22"/>
          <w:lang w:val="en-GB"/>
        </w:rPr>
        <w:t xml:space="preserve"> and the contract concluded to give effect to it. I, as I have previously said, was appointed to the position of municipal manager on </w:t>
      </w:r>
      <w:r w:rsidR="00FE1BC6">
        <w:rPr>
          <w:rFonts w:ascii="Arial" w:hAnsi="Arial" w:cs="Arial"/>
          <w:bCs/>
          <w:sz w:val="22"/>
          <w:szCs w:val="22"/>
          <w:lang w:val="en-GB"/>
        </w:rPr>
        <w:t>1</w:t>
      </w:r>
      <w:r w:rsidRPr="00BF654F">
        <w:rPr>
          <w:rFonts w:ascii="Arial" w:hAnsi="Arial" w:cs="Arial"/>
          <w:bCs/>
          <w:sz w:val="22"/>
          <w:szCs w:val="22"/>
          <w:lang w:val="en-GB"/>
        </w:rPr>
        <w:t xml:space="preserve"> April 2022, more or less three months ago.’</w:t>
      </w:r>
    </w:p>
    <w:p w:rsidR="007C0C3B" w:rsidRPr="007B0323" w:rsidRDefault="007C0C3B" w:rsidP="007C0C3B">
      <w:pPr>
        <w:pStyle w:val="ListParagraph"/>
        <w:spacing w:line="360" w:lineRule="auto"/>
        <w:rPr>
          <w:rFonts w:ascii="Arial" w:hAnsi="Arial" w:cs="Arial"/>
          <w:bCs/>
          <w:lang w:val="en-GB"/>
        </w:rPr>
      </w:pPr>
    </w:p>
    <w:p w:rsidR="00FE1BC6" w:rsidRPr="00F42759" w:rsidRDefault="00F42759" w:rsidP="00F42759">
      <w:pPr>
        <w:tabs>
          <w:tab w:val="left" w:pos="709"/>
        </w:tabs>
        <w:spacing w:line="360" w:lineRule="auto"/>
        <w:jc w:val="both"/>
        <w:rPr>
          <w:rFonts w:ascii="Arial" w:hAnsi="Arial" w:cs="Arial"/>
          <w:bCs/>
          <w:lang w:val="en-GB"/>
        </w:rPr>
      </w:pPr>
      <w:r>
        <w:rPr>
          <w:rFonts w:ascii="Arial" w:eastAsiaTheme="minorHAnsi" w:hAnsi="Arial" w:cs="Arial"/>
          <w:bCs/>
          <w:lang w:val="en-GB" w:eastAsia="en-US" w:bidi="ar-SA"/>
        </w:rPr>
        <w:t>[82]</w:t>
      </w:r>
      <w:r>
        <w:rPr>
          <w:rFonts w:ascii="Arial" w:eastAsiaTheme="minorHAnsi" w:hAnsi="Arial" w:cs="Arial"/>
          <w:bCs/>
          <w:lang w:val="en-GB" w:eastAsia="en-US" w:bidi="ar-SA"/>
        </w:rPr>
        <w:tab/>
      </w:r>
      <w:r w:rsidR="00BF654F" w:rsidRPr="00F42759">
        <w:rPr>
          <w:rFonts w:ascii="Arial" w:hAnsi="Arial" w:cs="Arial"/>
          <w:bCs/>
          <w:lang w:val="en-GB"/>
        </w:rPr>
        <w:t xml:space="preserve">Mr Mnguni has made it plain in the affidavits that he has delivered that he is a new appointee to the position of municipal manager of the first respondent. </w:t>
      </w:r>
      <w:r w:rsidR="000F1E7B" w:rsidRPr="00F42759">
        <w:rPr>
          <w:rFonts w:ascii="Arial" w:hAnsi="Arial" w:cs="Arial"/>
          <w:bCs/>
          <w:lang w:val="en-GB"/>
        </w:rPr>
        <w:t xml:space="preserve">Upon </w:t>
      </w:r>
      <w:r w:rsidR="00FE1BC6" w:rsidRPr="00F42759">
        <w:rPr>
          <w:rFonts w:ascii="Arial" w:hAnsi="Arial" w:cs="Arial"/>
          <w:bCs/>
          <w:lang w:val="en-GB"/>
        </w:rPr>
        <w:t xml:space="preserve">his </w:t>
      </w:r>
      <w:r w:rsidR="000F1E7B" w:rsidRPr="00F42759">
        <w:rPr>
          <w:rFonts w:ascii="Arial" w:hAnsi="Arial" w:cs="Arial"/>
          <w:bCs/>
          <w:lang w:val="en-GB"/>
        </w:rPr>
        <w:t>appointment, h</w:t>
      </w:r>
      <w:r w:rsidR="00BF654F" w:rsidRPr="00F42759">
        <w:rPr>
          <w:rFonts w:ascii="Arial" w:hAnsi="Arial" w:cs="Arial"/>
          <w:bCs/>
          <w:lang w:val="en-GB"/>
        </w:rPr>
        <w:t xml:space="preserve">e </w:t>
      </w:r>
      <w:r w:rsidR="00F7196C" w:rsidRPr="00F42759">
        <w:rPr>
          <w:rFonts w:ascii="Arial" w:hAnsi="Arial" w:cs="Arial"/>
          <w:bCs/>
          <w:lang w:val="en-GB"/>
        </w:rPr>
        <w:t xml:space="preserve">immediately commenced an investigation </w:t>
      </w:r>
      <w:r w:rsidR="000F1E7B" w:rsidRPr="00F42759">
        <w:rPr>
          <w:rFonts w:ascii="Arial" w:hAnsi="Arial" w:cs="Arial"/>
          <w:bCs/>
          <w:lang w:val="en-GB"/>
        </w:rPr>
        <w:t xml:space="preserve">into </w:t>
      </w:r>
      <w:r w:rsidR="00F12DE3" w:rsidRPr="00F42759">
        <w:rPr>
          <w:rFonts w:ascii="Arial" w:hAnsi="Arial" w:cs="Arial"/>
          <w:bCs/>
          <w:lang w:val="en-GB"/>
        </w:rPr>
        <w:t xml:space="preserve">the </w:t>
      </w:r>
      <w:r w:rsidR="000F1E7B" w:rsidRPr="00F42759">
        <w:rPr>
          <w:rFonts w:ascii="Arial" w:hAnsi="Arial" w:cs="Arial"/>
          <w:bCs/>
          <w:lang w:val="en-GB"/>
        </w:rPr>
        <w:t xml:space="preserve">contracts and tenders binding </w:t>
      </w:r>
      <w:r w:rsidR="0090102F" w:rsidRPr="00F42759">
        <w:rPr>
          <w:rFonts w:ascii="Arial" w:hAnsi="Arial" w:cs="Arial"/>
          <w:bCs/>
          <w:lang w:val="en-GB"/>
        </w:rPr>
        <w:t xml:space="preserve">upon </w:t>
      </w:r>
      <w:r w:rsidR="000F1E7B" w:rsidRPr="00F42759">
        <w:rPr>
          <w:rFonts w:ascii="Arial" w:hAnsi="Arial" w:cs="Arial"/>
          <w:bCs/>
          <w:lang w:val="en-GB"/>
        </w:rPr>
        <w:t xml:space="preserve">the first respondent. </w:t>
      </w:r>
      <w:r w:rsidR="00F12DE3" w:rsidRPr="00F42759">
        <w:rPr>
          <w:rFonts w:ascii="Arial" w:hAnsi="Arial" w:cs="Arial"/>
          <w:bCs/>
          <w:lang w:val="en-GB"/>
        </w:rPr>
        <w:t xml:space="preserve">That is commendable. </w:t>
      </w:r>
      <w:r w:rsidR="000F1E7B" w:rsidRPr="00F42759">
        <w:rPr>
          <w:rFonts w:ascii="Arial" w:hAnsi="Arial" w:cs="Arial"/>
          <w:bCs/>
          <w:lang w:val="en-GB"/>
        </w:rPr>
        <w:t xml:space="preserve">He indicates that </w:t>
      </w:r>
      <w:r w:rsidR="00BF654F" w:rsidRPr="00F42759">
        <w:rPr>
          <w:rFonts w:ascii="Arial" w:hAnsi="Arial" w:cs="Arial"/>
          <w:bCs/>
          <w:lang w:val="en-GB"/>
        </w:rPr>
        <w:t xml:space="preserve">before his investigation was even complete, the </w:t>
      </w:r>
      <w:r w:rsidR="000B0548" w:rsidRPr="00F42759">
        <w:rPr>
          <w:rFonts w:ascii="Arial" w:hAnsi="Arial" w:cs="Arial"/>
          <w:bCs/>
          <w:lang w:val="en-GB"/>
        </w:rPr>
        <w:t xml:space="preserve">review application was launched. </w:t>
      </w:r>
      <w:r w:rsidR="00F12DE3" w:rsidRPr="00F42759">
        <w:rPr>
          <w:rFonts w:ascii="Arial" w:hAnsi="Arial" w:cs="Arial"/>
          <w:bCs/>
          <w:lang w:val="en-GB"/>
        </w:rPr>
        <w:t xml:space="preserve">That is even more commendable. </w:t>
      </w:r>
      <w:r w:rsidR="000F1E7B" w:rsidRPr="00F42759">
        <w:rPr>
          <w:rFonts w:ascii="Arial" w:hAnsi="Arial" w:cs="Arial"/>
          <w:bCs/>
          <w:lang w:val="en-GB"/>
        </w:rPr>
        <w:t xml:space="preserve">Mr Mnguni states that </w:t>
      </w:r>
      <w:r w:rsidR="00F12DE3" w:rsidRPr="00F42759">
        <w:rPr>
          <w:rFonts w:ascii="Arial" w:hAnsi="Arial" w:cs="Arial"/>
          <w:bCs/>
          <w:lang w:val="en-GB"/>
        </w:rPr>
        <w:t>the review application</w:t>
      </w:r>
      <w:r w:rsidR="000B0548" w:rsidRPr="00F42759">
        <w:rPr>
          <w:rFonts w:ascii="Arial" w:hAnsi="Arial" w:cs="Arial"/>
          <w:bCs/>
          <w:lang w:val="en-GB"/>
        </w:rPr>
        <w:t xml:space="preserve"> was purposefully brought in haste to permit it to be heard at the same time as the urgent application and </w:t>
      </w:r>
      <w:r w:rsidR="00F7196C" w:rsidRPr="00F42759">
        <w:rPr>
          <w:rFonts w:ascii="Arial" w:hAnsi="Arial" w:cs="Arial"/>
          <w:bCs/>
          <w:lang w:val="en-GB"/>
        </w:rPr>
        <w:t xml:space="preserve">the </w:t>
      </w:r>
      <w:r w:rsidR="000B0548" w:rsidRPr="00F42759">
        <w:rPr>
          <w:rFonts w:ascii="Arial" w:hAnsi="Arial" w:cs="Arial"/>
          <w:bCs/>
          <w:lang w:val="en-GB"/>
        </w:rPr>
        <w:t>rectification application.</w:t>
      </w:r>
    </w:p>
    <w:p w:rsidR="00FC617A" w:rsidRDefault="00FC617A" w:rsidP="00FC617A">
      <w:pPr>
        <w:pStyle w:val="ListParagraph"/>
        <w:tabs>
          <w:tab w:val="left" w:pos="709"/>
        </w:tabs>
        <w:spacing w:line="360" w:lineRule="auto"/>
        <w:ind w:left="0"/>
        <w:jc w:val="both"/>
        <w:rPr>
          <w:rFonts w:ascii="Arial" w:hAnsi="Arial" w:cs="Arial"/>
          <w:bCs/>
          <w:lang w:val="en-GB"/>
        </w:rPr>
      </w:pPr>
    </w:p>
    <w:p w:rsidR="00BF654F" w:rsidRPr="00F42759" w:rsidRDefault="00F42759" w:rsidP="00F42759">
      <w:pPr>
        <w:tabs>
          <w:tab w:val="left" w:pos="709"/>
        </w:tabs>
        <w:spacing w:line="360" w:lineRule="auto"/>
        <w:jc w:val="both"/>
        <w:rPr>
          <w:rFonts w:ascii="Arial" w:hAnsi="Arial" w:cs="Arial"/>
          <w:bCs/>
          <w:lang w:val="en-GB"/>
        </w:rPr>
      </w:pPr>
      <w:r>
        <w:rPr>
          <w:rFonts w:ascii="Arial" w:eastAsiaTheme="minorHAnsi" w:hAnsi="Arial" w:cs="Arial"/>
          <w:bCs/>
          <w:lang w:val="en-GB" w:eastAsia="en-US" w:bidi="ar-SA"/>
        </w:rPr>
        <w:t>[83]</w:t>
      </w:r>
      <w:r>
        <w:rPr>
          <w:rFonts w:ascii="Arial" w:eastAsiaTheme="minorHAnsi" w:hAnsi="Arial" w:cs="Arial"/>
          <w:bCs/>
          <w:lang w:val="en-GB" w:eastAsia="en-US" w:bidi="ar-SA"/>
        </w:rPr>
        <w:tab/>
      </w:r>
      <w:r w:rsidR="000B0548" w:rsidRPr="00F42759">
        <w:rPr>
          <w:rFonts w:ascii="Arial" w:hAnsi="Arial" w:cs="Arial"/>
          <w:bCs/>
          <w:lang w:val="en-GB"/>
        </w:rPr>
        <w:t xml:space="preserve"> It appears </w:t>
      </w:r>
      <w:r w:rsidR="00FE1BC6" w:rsidRPr="00F42759">
        <w:rPr>
          <w:rFonts w:ascii="Arial" w:hAnsi="Arial" w:cs="Arial"/>
          <w:bCs/>
          <w:lang w:val="en-GB"/>
        </w:rPr>
        <w:t>from his explanation that</w:t>
      </w:r>
      <w:r w:rsidR="000B0548" w:rsidRPr="00F42759">
        <w:rPr>
          <w:rFonts w:ascii="Arial" w:hAnsi="Arial" w:cs="Arial"/>
          <w:bCs/>
          <w:lang w:val="en-GB"/>
        </w:rPr>
        <w:t xml:space="preserve"> </w:t>
      </w:r>
      <w:r w:rsidR="00CD6A2E" w:rsidRPr="00F42759">
        <w:rPr>
          <w:rFonts w:ascii="Arial" w:hAnsi="Arial" w:cs="Arial"/>
          <w:bCs/>
          <w:lang w:val="en-GB"/>
        </w:rPr>
        <w:t xml:space="preserve">Mr Mnguni suggests </w:t>
      </w:r>
      <w:r w:rsidR="000B0548" w:rsidRPr="00F42759">
        <w:rPr>
          <w:rFonts w:ascii="Arial" w:hAnsi="Arial" w:cs="Arial"/>
          <w:bCs/>
          <w:lang w:val="en-GB"/>
        </w:rPr>
        <w:t xml:space="preserve">that there has not been an undue delay. Certainly, Mr Mnguni has </w:t>
      </w:r>
      <w:r w:rsidR="00FE1BC6" w:rsidRPr="00F42759">
        <w:rPr>
          <w:rFonts w:ascii="Arial" w:hAnsi="Arial" w:cs="Arial"/>
          <w:bCs/>
          <w:lang w:val="en-GB"/>
        </w:rPr>
        <w:t xml:space="preserve">personally </w:t>
      </w:r>
      <w:r w:rsidR="000B0548" w:rsidRPr="00F42759">
        <w:rPr>
          <w:rFonts w:ascii="Arial" w:hAnsi="Arial" w:cs="Arial"/>
          <w:bCs/>
          <w:lang w:val="en-GB"/>
        </w:rPr>
        <w:t xml:space="preserve">acted with </w:t>
      </w:r>
      <w:r w:rsidR="00F12DE3" w:rsidRPr="00F42759">
        <w:rPr>
          <w:rFonts w:ascii="Arial" w:hAnsi="Arial" w:cs="Arial"/>
          <w:bCs/>
          <w:lang w:val="en-GB"/>
        </w:rPr>
        <w:t>exemplary</w:t>
      </w:r>
      <w:r w:rsidR="000B0548" w:rsidRPr="00F42759">
        <w:rPr>
          <w:rFonts w:ascii="Arial" w:hAnsi="Arial" w:cs="Arial"/>
          <w:bCs/>
          <w:lang w:val="en-GB"/>
        </w:rPr>
        <w:t xml:space="preserve"> briskness</w:t>
      </w:r>
      <w:r w:rsidR="00FC4404" w:rsidRPr="00F42759">
        <w:rPr>
          <w:rFonts w:ascii="Arial" w:hAnsi="Arial" w:cs="Arial"/>
          <w:bCs/>
          <w:lang w:val="en-GB"/>
        </w:rPr>
        <w:t xml:space="preserve"> in exposing what occurred</w:t>
      </w:r>
      <w:r w:rsidR="0090102F" w:rsidRPr="00F42759">
        <w:rPr>
          <w:rFonts w:ascii="Arial" w:hAnsi="Arial" w:cs="Arial"/>
          <w:bCs/>
          <w:lang w:val="en-GB"/>
        </w:rPr>
        <w:t>,</w:t>
      </w:r>
      <w:r w:rsidR="009B6A89" w:rsidRPr="00F42759">
        <w:rPr>
          <w:rFonts w:ascii="Arial" w:hAnsi="Arial" w:cs="Arial"/>
          <w:bCs/>
          <w:lang w:val="en-GB"/>
        </w:rPr>
        <w:t xml:space="preserve"> considering </w:t>
      </w:r>
      <w:r w:rsidR="00F7196C" w:rsidRPr="00F42759">
        <w:rPr>
          <w:rFonts w:ascii="Arial" w:hAnsi="Arial" w:cs="Arial"/>
          <w:bCs/>
          <w:lang w:val="en-GB"/>
        </w:rPr>
        <w:t xml:space="preserve">that </w:t>
      </w:r>
      <w:r w:rsidR="00FC617A" w:rsidRPr="00F42759">
        <w:rPr>
          <w:rFonts w:ascii="Arial" w:hAnsi="Arial" w:cs="Arial"/>
          <w:bCs/>
          <w:lang w:val="en-GB"/>
        </w:rPr>
        <w:t xml:space="preserve">the </w:t>
      </w:r>
      <w:r w:rsidR="00F7196C" w:rsidRPr="00F42759">
        <w:rPr>
          <w:rFonts w:ascii="Arial" w:hAnsi="Arial" w:cs="Arial"/>
          <w:bCs/>
          <w:lang w:val="en-GB"/>
        </w:rPr>
        <w:t>date of his appointment was</w:t>
      </w:r>
      <w:r w:rsidR="009B6A89" w:rsidRPr="00F42759">
        <w:rPr>
          <w:rFonts w:ascii="Arial" w:hAnsi="Arial" w:cs="Arial"/>
          <w:bCs/>
          <w:lang w:val="en-GB"/>
        </w:rPr>
        <w:t xml:space="preserve"> 1 April </w:t>
      </w:r>
      <w:r w:rsidR="000C6186" w:rsidRPr="00F42759">
        <w:rPr>
          <w:rFonts w:ascii="Arial" w:hAnsi="Arial" w:cs="Arial"/>
          <w:bCs/>
          <w:lang w:val="en-GB"/>
        </w:rPr>
        <w:t>2022,</w:t>
      </w:r>
      <w:r w:rsidR="009B6A89" w:rsidRPr="00F42759">
        <w:rPr>
          <w:rFonts w:ascii="Arial" w:hAnsi="Arial" w:cs="Arial"/>
          <w:bCs/>
          <w:lang w:val="en-GB"/>
        </w:rPr>
        <w:t xml:space="preserve"> and </w:t>
      </w:r>
      <w:r w:rsidR="00F863C7" w:rsidRPr="00F42759">
        <w:rPr>
          <w:rFonts w:ascii="Arial" w:hAnsi="Arial" w:cs="Arial"/>
          <w:bCs/>
          <w:lang w:val="en-GB"/>
        </w:rPr>
        <w:t xml:space="preserve">he </w:t>
      </w:r>
      <w:r w:rsidR="009B6A89" w:rsidRPr="00F42759">
        <w:rPr>
          <w:rFonts w:ascii="Arial" w:hAnsi="Arial" w:cs="Arial"/>
          <w:bCs/>
          <w:lang w:val="en-GB"/>
        </w:rPr>
        <w:t xml:space="preserve">had the review application before court on </w:t>
      </w:r>
      <w:r w:rsidR="00FE1BC6" w:rsidRPr="00F42759">
        <w:rPr>
          <w:rFonts w:ascii="Arial" w:hAnsi="Arial" w:cs="Arial"/>
          <w:bCs/>
          <w:lang w:val="en-GB"/>
        </w:rPr>
        <w:t>20 July 2022</w:t>
      </w:r>
      <w:r w:rsidR="009B6A89" w:rsidRPr="00F42759">
        <w:rPr>
          <w:rFonts w:ascii="Arial" w:hAnsi="Arial" w:cs="Arial"/>
          <w:bCs/>
          <w:lang w:val="en-GB"/>
        </w:rPr>
        <w:t>.</w:t>
      </w:r>
      <w:r w:rsidR="000B0548" w:rsidRPr="00F42759">
        <w:rPr>
          <w:rFonts w:ascii="Arial" w:hAnsi="Arial" w:cs="Arial"/>
          <w:bCs/>
          <w:lang w:val="en-GB"/>
        </w:rPr>
        <w:t xml:space="preserve"> But can </w:t>
      </w:r>
      <w:r w:rsidR="00FE1BC6" w:rsidRPr="00F42759">
        <w:rPr>
          <w:rFonts w:ascii="Arial" w:hAnsi="Arial" w:cs="Arial"/>
          <w:bCs/>
          <w:lang w:val="en-GB"/>
        </w:rPr>
        <w:t>his swiftness offset the lengthy period of</w:t>
      </w:r>
      <w:r w:rsidR="000B0548" w:rsidRPr="00F42759">
        <w:rPr>
          <w:rFonts w:ascii="Arial" w:hAnsi="Arial" w:cs="Arial"/>
          <w:bCs/>
          <w:lang w:val="en-GB"/>
        </w:rPr>
        <w:t xml:space="preserve"> inactivity on the part of the first respondent?</w:t>
      </w:r>
    </w:p>
    <w:p w:rsidR="00FE1BC6" w:rsidRPr="00FE1BC6" w:rsidRDefault="00FE1BC6" w:rsidP="00FE1BC6">
      <w:pPr>
        <w:pStyle w:val="ListParagraph"/>
        <w:spacing w:line="360" w:lineRule="auto"/>
        <w:rPr>
          <w:rFonts w:ascii="Arial" w:hAnsi="Arial" w:cs="Arial"/>
          <w:bCs/>
          <w:lang w:val="en-GB"/>
        </w:rPr>
      </w:pPr>
    </w:p>
    <w:p w:rsidR="009C7B64" w:rsidRPr="00F42759" w:rsidRDefault="00F42759" w:rsidP="00F42759">
      <w:pPr>
        <w:tabs>
          <w:tab w:val="left" w:pos="709"/>
        </w:tabs>
        <w:spacing w:line="360" w:lineRule="auto"/>
        <w:jc w:val="both"/>
        <w:rPr>
          <w:rFonts w:ascii="Arial" w:hAnsi="Arial" w:cs="Arial"/>
          <w:bCs/>
          <w:lang w:val="en-GB"/>
        </w:rPr>
      </w:pPr>
      <w:r>
        <w:rPr>
          <w:rFonts w:ascii="Arial" w:eastAsiaTheme="minorHAnsi" w:hAnsi="Arial" w:cs="Arial"/>
          <w:bCs/>
          <w:lang w:val="en-GB" w:eastAsia="en-US" w:bidi="ar-SA"/>
        </w:rPr>
        <w:t>[84]</w:t>
      </w:r>
      <w:r>
        <w:rPr>
          <w:rFonts w:ascii="Arial" w:eastAsiaTheme="minorHAnsi" w:hAnsi="Arial" w:cs="Arial"/>
          <w:bCs/>
          <w:lang w:val="en-GB" w:eastAsia="en-US" w:bidi="ar-SA"/>
        </w:rPr>
        <w:tab/>
      </w:r>
      <w:r w:rsidR="00FD7D4F" w:rsidRPr="00F42759">
        <w:rPr>
          <w:rFonts w:ascii="Arial" w:hAnsi="Arial" w:cs="Arial"/>
          <w:bCs/>
          <w:lang w:val="en-GB"/>
        </w:rPr>
        <w:t>In my view it can. A matter cannot be said to have been unduly delayed where those responsible for unlawful conduct have actively engaged in hiding their malfeasance. I</w:t>
      </w:r>
      <w:r w:rsidR="00F12DE3" w:rsidRPr="00F42759">
        <w:rPr>
          <w:rFonts w:ascii="Arial" w:hAnsi="Arial" w:cs="Arial"/>
          <w:bCs/>
          <w:lang w:val="en-GB"/>
        </w:rPr>
        <w:t xml:space="preserve"> have already found that the conduct of the principal parties to the tender was suffused with </w:t>
      </w:r>
      <w:r w:rsidR="00EC3BAE" w:rsidRPr="00F42759">
        <w:rPr>
          <w:rFonts w:ascii="Arial" w:hAnsi="Arial" w:cs="Arial"/>
          <w:bCs/>
          <w:lang w:val="en-GB"/>
        </w:rPr>
        <w:t>unacceptable conduct</w:t>
      </w:r>
      <w:r w:rsidR="00F12DE3" w:rsidRPr="00F42759">
        <w:rPr>
          <w:rFonts w:ascii="Arial" w:hAnsi="Arial" w:cs="Arial"/>
          <w:bCs/>
          <w:lang w:val="en-GB"/>
        </w:rPr>
        <w:t xml:space="preserve">. Those involved in that type of conduct would take no steps to disclose it but would rather suppress any such knowledge. </w:t>
      </w:r>
      <w:r w:rsidR="00FD7D4F" w:rsidRPr="00F42759">
        <w:rPr>
          <w:rFonts w:ascii="Arial" w:hAnsi="Arial" w:cs="Arial"/>
          <w:bCs/>
          <w:lang w:val="en-GB"/>
        </w:rPr>
        <w:t xml:space="preserve">When those who are expected to raise the alarm </w:t>
      </w:r>
      <w:r w:rsidR="00FC4404" w:rsidRPr="00F42759">
        <w:rPr>
          <w:rFonts w:ascii="Arial" w:hAnsi="Arial" w:cs="Arial"/>
          <w:bCs/>
          <w:lang w:val="en-GB"/>
        </w:rPr>
        <w:t xml:space="preserve">when impropriety is </w:t>
      </w:r>
      <w:r w:rsidR="00F12DE3" w:rsidRPr="00F42759">
        <w:rPr>
          <w:rFonts w:ascii="Arial" w:hAnsi="Arial" w:cs="Arial"/>
          <w:bCs/>
          <w:lang w:val="en-GB"/>
        </w:rPr>
        <w:t>found to exist</w:t>
      </w:r>
      <w:r w:rsidR="00FC4404" w:rsidRPr="00F42759">
        <w:rPr>
          <w:rFonts w:ascii="Arial" w:hAnsi="Arial" w:cs="Arial"/>
          <w:bCs/>
          <w:lang w:val="en-GB"/>
        </w:rPr>
        <w:t xml:space="preserve"> are in</w:t>
      </w:r>
      <w:r w:rsidR="00CD50A7" w:rsidRPr="00F42759">
        <w:rPr>
          <w:rFonts w:ascii="Arial" w:hAnsi="Arial" w:cs="Arial"/>
          <w:bCs/>
          <w:lang w:val="en-GB"/>
        </w:rPr>
        <w:t>volved in the impropriety</w:t>
      </w:r>
      <w:r w:rsidR="00F12DE3" w:rsidRPr="00F42759">
        <w:rPr>
          <w:rFonts w:ascii="Arial" w:hAnsi="Arial" w:cs="Arial"/>
          <w:bCs/>
          <w:lang w:val="en-GB"/>
        </w:rPr>
        <w:t xml:space="preserve"> themselves</w:t>
      </w:r>
      <w:r w:rsidR="00FC4404" w:rsidRPr="00F42759">
        <w:rPr>
          <w:rFonts w:ascii="Arial" w:hAnsi="Arial" w:cs="Arial"/>
          <w:bCs/>
          <w:lang w:val="en-GB"/>
        </w:rPr>
        <w:t>,</w:t>
      </w:r>
      <w:r w:rsidR="00FD7D4F" w:rsidRPr="00F42759">
        <w:rPr>
          <w:rFonts w:ascii="Arial" w:hAnsi="Arial" w:cs="Arial"/>
          <w:bCs/>
          <w:lang w:val="en-GB"/>
        </w:rPr>
        <w:t xml:space="preserve"> </w:t>
      </w:r>
      <w:r w:rsidR="00FC4404" w:rsidRPr="00F42759">
        <w:rPr>
          <w:rFonts w:ascii="Arial" w:hAnsi="Arial" w:cs="Arial"/>
          <w:bCs/>
          <w:lang w:val="en-GB"/>
        </w:rPr>
        <w:t>right</w:t>
      </w:r>
      <w:r w:rsidR="00C33659" w:rsidRPr="00F42759">
        <w:rPr>
          <w:rFonts w:ascii="Arial" w:hAnsi="Arial" w:cs="Arial"/>
          <w:bCs/>
          <w:lang w:val="en-GB"/>
        </w:rPr>
        <w:t>-</w:t>
      </w:r>
      <w:r w:rsidR="00FC4404" w:rsidRPr="00F42759">
        <w:rPr>
          <w:rFonts w:ascii="Arial" w:hAnsi="Arial" w:cs="Arial"/>
          <w:bCs/>
          <w:lang w:val="en-GB"/>
        </w:rPr>
        <w:t xml:space="preserve">thinking members of the community would not attribute </w:t>
      </w:r>
      <w:r w:rsidR="008E73A3" w:rsidRPr="00F42759">
        <w:rPr>
          <w:rFonts w:ascii="Arial" w:hAnsi="Arial" w:cs="Arial"/>
          <w:bCs/>
          <w:lang w:val="en-GB"/>
        </w:rPr>
        <w:t>any resulting delay t</w:t>
      </w:r>
      <w:r w:rsidR="00FC4404" w:rsidRPr="00F42759">
        <w:rPr>
          <w:rFonts w:ascii="Arial" w:hAnsi="Arial" w:cs="Arial"/>
          <w:bCs/>
          <w:lang w:val="en-GB"/>
        </w:rPr>
        <w:t xml:space="preserve">o the employer. </w:t>
      </w:r>
      <w:r w:rsidR="00FD7D4F" w:rsidRPr="00F42759">
        <w:rPr>
          <w:rFonts w:ascii="Arial" w:hAnsi="Arial" w:cs="Arial"/>
          <w:bCs/>
          <w:lang w:val="en-GB"/>
        </w:rPr>
        <w:t xml:space="preserve"> </w:t>
      </w:r>
    </w:p>
    <w:p w:rsidR="009C7B64" w:rsidRPr="009C7B64" w:rsidRDefault="009C7B64" w:rsidP="009C7B64">
      <w:pPr>
        <w:pStyle w:val="ListParagraph"/>
        <w:spacing w:line="360" w:lineRule="auto"/>
        <w:rPr>
          <w:rFonts w:ascii="Arial" w:hAnsi="Arial" w:cs="Arial"/>
          <w:bCs/>
          <w:lang w:val="en-GB"/>
        </w:rPr>
      </w:pPr>
    </w:p>
    <w:p w:rsidR="00CD50A7" w:rsidRPr="00F42759" w:rsidRDefault="00F42759" w:rsidP="00F42759">
      <w:pPr>
        <w:tabs>
          <w:tab w:val="left" w:pos="709"/>
        </w:tabs>
        <w:spacing w:line="360" w:lineRule="auto"/>
        <w:jc w:val="both"/>
        <w:rPr>
          <w:rFonts w:ascii="Arial" w:hAnsi="Arial" w:cs="Arial"/>
          <w:bCs/>
          <w:lang w:val="en-GB"/>
        </w:rPr>
      </w:pPr>
      <w:r w:rsidRPr="00CD50A7">
        <w:rPr>
          <w:rFonts w:ascii="Arial" w:eastAsiaTheme="minorHAnsi" w:hAnsi="Arial" w:cs="Arial"/>
          <w:bCs/>
          <w:lang w:val="en-GB" w:eastAsia="en-US" w:bidi="ar-SA"/>
        </w:rPr>
        <w:t>[85]</w:t>
      </w:r>
      <w:r w:rsidRPr="00CD50A7">
        <w:rPr>
          <w:rFonts w:ascii="Arial" w:eastAsiaTheme="minorHAnsi" w:hAnsi="Arial" w:cs="Arial"/>
          <w:bCs/>
          <w:lang w:val="en-GB" w:eastAsia="en-US" w:bidi="ar-SA"/>
        </w:rPr>
        <w:tab/>
      </w:r>
      <w:r w:rsidR="00CD50A7" w:rsidRPr="00F42759">
        <w:rPr>
          <w:rFonts w:ascii="Arial" w:hAnsi="Arial" w:cs="Arial"/>
          <w:bCs/>
          <w:lang w:val="en-GB"/>
        </w:rPr>
        <w:t xml:space="preserve">A similar issue </w:t>
      </w:r>
      <w:r w:rsidR="007B3993" w:rsidRPr="00F42759">
        <w:rPr>
          <w:rFonts w:ascii="Arial" w:hAnsi="Arial" w:cs="Arial"/>
          <w:bCs/>
          <w:lang w:val="en-GB"/>
        </w:rPr>
        <w:t xml:space="preserve">was raised before a full court of this division </w:t>
      </w:r>
      <w:r w:rsidR="00CD50A7" w:rsidRPr="00F42759">
        <w:rPr>
          <w:rFonts w:ascii="Arial" w:hAnsi="Arial" w:cs="Arial"/>
          <w:bCs/>
          <w:lang w:val="en-GB"/>
        </w:rPr>
        <w:t xml:space="preserve">in </w:t>
      </w:r>
      <w:r w:rsidR="00CD50A7" w:rsidRPr="00F42759">
        <w:rPr>
          <w:rFonts w:ascii="Arial" w:hAnsi="Arial" w:cs="Arial"/>
          <w:i/>
          <w:iCs/>
          <w:color w:val="000000" w:themeColor="text1"/>
        </w:rPr>
        <w:t xml:space="preserve">KZN Oncology Inc v KZN Province MEC for Health and </w:t>
      </w:r>
      <w:r w:rsidR="0074615D" w:rsidRPr="00F42759">
        <w:rPr>
          <w:rFonts w:ascii="Arial" w:hAnsi="Arial" w:cs="Arial"/>
          <w:i/>
          <w:iCs/>
          <w:color w:val="000000" w:themeColor="text1"/>
        </w:rPr>
        <w:t>another</w:t>
      </w:r>
      <w:r w:rsidR="00CD50A7" w:rsidRPr="00F42759">
        <w:rPr>
          <w:rFonts w:ascii="Arial" w:hAnsi="Arial" w:cs="Arial"/>
          <w:color w:val="000000" w:themeColor="text1"/>
        </w:rPr>
        <w:t>.</w:t>
      </w:r>
      <w:r w:rsidR="00CD50A7" w:rsidRPr="00CD50A7">
        <w:rPr>
          <w:rStyle w:val="FootnoteReference"/>
          <w:rFonts w:ascii="Arial" w:hAnsi="Arial" w:cs="Arial"/>
          <w:color w:val="000000" w:themeColor="text1"/>
        </w:rPr>
        <w:footnoteReference w:id="43"/>
      </w:r>
      <w:r w:rsidR="00CD50A7" w:rsidRPr="00F42759">
        <w:rPr>
          <w:rFonts w:ascii="Arial" w:hAnsi="Arial" w:cs="Arial"/>
          <w:color w:val="000000" w:themeColor="text1"/>
        </w:rPr>
        <w:t xml:space="preserve"> </w:t>
      </w:r>
      <w:r w:rsidR="007B3993" w:rsidRPr="00F42759">
        <w:rPr>
          <w:rFonts w:ascii="Arial" w:hAnsi="Arial" w:cs="Arial"/>
          <w:color w:val="000000" w:themeColor="text1"/>
        </w:rPr>
        <w:t xml:space="preserve">The matter involved a review, and the issue of undue delay was raised. The court, of which I was a member and </w:t>
      </w:r>
      <w:r w:rsidR="00F12DE3" w:rsidRPr="00F42759">
        <w:rPr>
          <w:rFonts w:ascii="Arial" w:hAnsi="Arial" w:cs="Arial"/>
          <w:color w:val="000000" w:themeColor="text1"/>
        </w:rPr>
        <w:t xml:space="preserve">the </w:t>
      </w:r>
      <w:r w:rsidR="007B3993" w:rsidRPr="00F42759">
        <w:rPr>
          <w:rFonts w:ascii="Arial" w:hAnsi="Arial" w:cs="Arial"/>
          <w:color w:val="000000" w:themeColor="text1"/>
        </w:rPr>
        <w:t>scribe, stated the following:</w:t>
      </w:r>
      <w:r w:rsidR="00CD50A7" w:rsidRPr="00F42759">
        <w:rPr>
          <w:rFonts w:ascii="Arial" w:hAnsi="Arial" w:cs="Arial"/>
          <w:color w:val="000000" w:themeColor="text1"/>
        </w:rPr>
        <w:t xml:space="preserve"> </w:t>
      </w:r>
    </w:p>
    <w:p w:rsidR="00CD50A7" w:rsidRDefault="007B3993" w:rsidP="007B3993">
      <w:pPr>
        <w:spacing w:line="360" w:lineRule="auto"/>
        <w:jc w:val="both"/>
        <w:rPr>
          <w:rFonts w:ascii="Arial" w:hAnsi="Arial" w:cs="Arial"/>
          <w:color w:val="242121"/>
          <w:sz w:val="22"/>
          <w:szCs w:val="22"/>
          <w:shd w:val="clear" w:color="auto" w:fill="FFFFFF"/>
        </w:rPr>
      </w:pPr>
      <w:r>
        <w:rPr>
          <w:rFonts w:ascii="Arial" w:hAnsi="Arial" w:cs="Arial"/>
          <w:color w:val="242121"/>
          <w:sz w:val="22"/>
          <w:szCs w:val="22"/>
          <w:shd w:val="clear" w:color="auto" w:fill="FFFFFF"/>
        </w:rPr>
        <w:t>‘</w:t>
      </w:r>
      <w:r w:rsidR="00CD50A7" w:rsidRPr="007B3993">
        <w:rPr>
          <w:rFonts w:ascii="Arial" w:hAnsi="Arial" w:cs="Arial"/>
          <w:color w:val="242121"/>
          <w:sz w:val="22"/>
          <w:szCs w:val="22"/>
          <w:shd w:val="clear" w:color="auto" w:fill="FFFFFF"/>
        </w:rPr>
        <w:t>It was explained in some detail by the first respondent that the person who signed the contract with the appellant, being the head of the department, was the person who ought to have brought the review proceedings. However, that person had been implicated in the forensic report with specific reference to wrongdoing in respect of the contract in question in this application and disciplinary steps were recommended to be taken against him. Before this could occur, he resigned. The next two most senior persons, who might have taken the contract on review, were also implicated with regard to the same contract in the same forensic report. Given their apparent wrongdoing, there was no incentive for any of these three persons to have taken any steps to review the contract. However, once the forensic report was received, the first respondent acted expeditiously, and the review was brought collaterally as a counter-application.</w:t>
      </w:r>
      <w:r>
        <w:rPr>
          <w:rFonts w:ascii="Arial" w:hAnsi="Arial" w:cs="Arial"/>
          <w:color w:val="242121"/>
          <w:sz w:val="22"/>
          <w:szCs w:val="22"/>
          <w:shd w:val="clear" w:color="auto" w:fill="FFFFFF"/>
        </w:rPr>
        <w:t>’</w:t>
      </w:r>
      <w:r>
        <w:rPr>
          <w:rStyle w:val="FootnoteReference"/>
          <w:rFonts w:ascii="Arial" w:hAnsi="Arial" w:cs="Arial"/>
          <w:color w:val="242121"/>
          <w:sz w:val="22"/>
          <w:szCs w:val="22"/>
          <w:shd w:val="clear" w:color="auto" w:fill="FFFFFF"/>
        </w:rPr>
        <w:footnoteReference w:id="44"/>
      </w:r>
    </w:p>
    <w:p w:rsidR="007B3993" w:rsidRPr="007B3993" w:rsidRDefault="007B3993" w:rsidP="007B3993">
      <w:pPr>
        <w:spacing w:line="360" w:lineRule="auto"/>
        <w:jc w:val="both"/>
        <w:rPr>
          <w:sz w:val="22"/>
          <w:szCs w:val="22"/>
        </w:rPr>
      </w:pPr>
    </w:p>
    <w:p w:rsidR="00CD50A7" w:rsidRPr="00F42759" w:rsidRDefault="00F42759" w:rsidP="00F42759">
      <w:pPr>
        <w:tabs>
          <w:tab w:val="left" w:pos="709"/>
        </w:tabs>
        <w:spacing w:line="360" w:lineRule="auto"/>
        <w:jc w:val="both"/>
        <w:rPr>
          <w:rFonts w:ascii="Arial" w:hAnsi="Arial" w:cs="Arial"/>
          <w:bCs/>
          <w:sz w:val="22"/>
          <w:szCs w:val="22"/>
          <w:lang w:val="en-GB"/>
        </w:rPr>
      </w:pPr>
      <w:r w:rsidRPr="00B950DA">
        <w:rPr>
          <w:rFonts w:ascii="Arial" w:eastAsiaTheme="minorHAnsi" w:hAnsi="Arial" w:cs="Arial"/>
          <w:bCs/>
          <w:lang w:val="en-GB" w:eastAsia="en-US" w:bidi="ar-SA"/>
        </w:rPr>
        <w:t>[86]</w:t>
      </w:r>
      <w:r w:rsidRPr="00B950DA">
        <w:rPr>
          <w:rFonts w:ascii="Arial" w:eastAsiaTheme="minorHAnsi" w:hAnsi="Arial" w:cs="Arial"/>
          <w:bCs/>
          <w:lang w:val="en-GB" w:eastAsia="en-US" w:bidi="ar-SA"/>
        </w:rPr>
        <w:tab/>
      </w:r>
      <w:r w:rsidR="007B3993" w:rsidRPr="00F42759">
        <w:rPr>
          <w:rFonts w:ascii="Arial" w:hAnsi="Arial" w:cs="Arial"/>
          <w:bCs/>
          <w:sz w:val="22"/>
          <w:szCs w:val="22"/>
          <w:lang w:val="en-GB"/>
        </w:rPr>
        <w:t>T</w:t>
      </w:r>
      <w:r w:rsidR="007B3993" w:rsidRPr="00F42759">
        <w:rPr>
          <w:rFonts w:ascii="Arial" w:hAnsi="Arial" w:cs="Arial"/>
          <w:bCs/>
          <w:lang w:val="en-GB"/>
        </w:rPr>
        <w:t>he court in went on to consider the following question:</w:t>
      </w:r>
    </w:p>
    <w:p w:rsidR="008E73A3" w:rsidRDefault="007B3993" w:rsidP="008E73A3">
      <w:pPr>
        <w:spacing w:line="360" w:lineRule="auto"/>
        <w:jc w:val="both"/>
        <w:rPr>
          <w:rFonts w:ascii="Arial" w:hAnsi="Arial" w:cs="Arial"/>
          <w:color w:val="242121"/>
          <w:sz w:val="22"/>
          <w:szCs w:val="22"/>
          <w:shd w:val="clear" w:color="auto" w:fill="FFFFFF"/>
        </w:rPr>
      </w:pPr>
      <w:r>
        <w:rPr>
          <w:rFonts w:ascii="Arial" w:hAnsi="Arial" w:cs="Arial"/>
          <w:color w:val="242121"/>
          <w:sz w:val="22"/>
          <w:szCs w:val="22"/>
          <w:shd w:val="clear" w:color="auto" w:fill="FFFFFF"/>
        </w:rPr>
        <w:t>‘</w:t>
      </w:r>
      <w:r w:rsidR="00CD50A7" w:rsidRPr="007B3993">
        <w:rPr>
          <w:rFonts w:ascii="Arial" w:hAnsi="Arial" w:cs="Arial"/>
          <w:color w:val="242121"/>
          <w:sz w:val="22"/>
          <w:szCs w:val="22"/>
          <w:shd w:val="clear" w:color="auto" w:fill="FFFFFF"/>
        </w:rPr>
        <w:t>What is an organ of state required to do if the very person who ought to bring the review proceedings setting aside an unlawful contract is in fact the person who concluded the contract? The obvious answer is that such official could not have been the only person to have known of the existence of the contract, and accordingly others with such knowledge should take that step. But what if the other people who ought to have taken the matter on review were also implicated in the awarding and conclusion of the unlawful contract? In this case, none of the persons involved in the awarding of the contract in question had any incentive to review it because their personal shortcomings would have been revealed as a consequence.</w:t>
      </w:r>
      <w:r w:rsidR="009C7B64">
        <w:rPr>
          <w:rFonts w:ascii="Arial" w:hAnsi="Arial" w:cs="Arial"/>
          <w:color w:val="242121"/>
          <w:sz w:val="22"/>
          <w:szCs w:val="22"/>
          <w:shd w:val="clear" w:color="auto" w:fill="FFFFFF"/>
        </w:rPr>
        <w:t>’</w:t>
      </w:r>
      <w:r w:rsidR="009C7B64">
        <w:rPr>
          <w:rStyle w:val="FootnoteReference"/>
          <w:rFonts w:ascii="Arial" w:hAnsi="Arial" w:cs="Arial"/>
          <w:color w:val="242121"/>
          <w:sz w:val="22"/>
          <w:szCs w:val="22"/>
          <w:shd w:val="clear" w:color="auto" w:fill="FFFFFF"/>
        </w:rPr>
        <w:footnoteReference w:id="45"/>
      </w:r>
    </w:p>
    <w:p w:rsidR="008E73A3" w:rsidRPr="008E73A3" w:rsidRDefault="008E73A3" w:rsidP="008E73A3">
      <w:pPr>
        <w:spacing w:line="360" w:lineRule="auto"/>
        <w:jc w:val="both"/>
        <w:rPr>
          <w:rFonts w:ascii="Arial" w:hAnsi="Arial" w:cs="Arial"/>
          <w:color w:val="242121"/>
          <w:sz w:val="22"/>
          <w:szCs w:val="22"/>
          <w:shd w:val="clear" w:color="auto" w:fill="FFFFFF"/>
        </w:rPr>
      </w:pPr>
    </w:p>
    <w:p w:rsidR="00CF4D7C" w:rsidRPr="00F42759" w:rsidRDefault="00F42759" w:rsidP="00F42759">
      <w:pPr>
        <w:tabs>
          <w:tab w:val="left" w:pos="709"/>
        </w:tabs>
        <w:spacing w:line="360" w:lineRule="auto"/>
        <w:jc w:val="both"/>
        <w:rPr>
          <w:rFonts w:ascii="Arial" w:hAnsi="Arial" w:cs="Arial"/>
          <w:bCs/>
          <w:lang w:val="en-GB"/>
        </w:rPr>
      </w:pPr>
      <w:r>
        <w:rPr>
          <w:rFonts w:ascii="Arial" w:eastAsiaTheme="minorHAnsi" w:hAnsi="Arial" w:cs="Arial"/>
          <w:bCs/>
          <w:lang w:val="en-GB" w:eastAsia="en-US" w:bidi="ar-SA"/>
        </w:rPr>
        <w:t>[87]</w:t>
      </w:r>
      <w:r>
        <w:rPr>
          <w:rFonts w:ascii="Arial" w:eastAsiaTheme="minorHAnsi" w:hAnsi="Arial" w:cs="Arial"/>
          <w:bCs/>
          <w:lang w:val="en-GB" w:eastAsia="en-US" w:bidi="ar-SA"/>
        </w:rPr>
        <w:tab/>
      </w:r>
      <w:r w:rsidR="008E73A3" w:rsidRPr="00F42759">
        <w:rPr>
          <w:rFonts w:ascii="Arial" w:hAnsi="Arial" w:cs="Arial"/>
          <w:bCs/>
          <w:lang w:val="en-GB"/>
        </w:rPr>
        <w:t>I conclude that there has not been an undue delay</w:t>
      </w:r>
      <w:r w:rsidR="00CF4D7C" w:rsidRPr="00F42759">
        <w:rPr>
          <w:rFonts w:ascii="Arial" w:hAnsi="Arial" w:cs="Arial"/>
          <w:bCs/>
          <w:lang w:val="en-GB"/>
        </w:rPr>
        <w:t xml:space="preserve"> given the facts of this matter</w:t>
      </w:r>
      <w:r w:rsidR="008E73A3" w:rsidRPr="00F42759">
        <w:rPr>
          <w:rFonts w:ascii="Arial" w:hAnsi="Arial" w:cs="Arial"/>
          <w:bCs/>
          <w:lang w:val="en-GB"/>
        </w:rPr>
        <w:t xml:space="preserve">. </w:t>
      </w:r>
    </w:p>
    <w:p w:rsidR="008D667E" w:rsidRDefault="004963BA" w:rsidP="00CF4D7C">
      <w:pPr>
        <w:pStyle w:val="ListParagraph"/>
        <w:tabs>
          <w:tab w:val="left" w:pos="709"/>
        </w:tabs>
        <w:spacing w:line="360" w:lineRule="auto"/>
        <w:ind w:left="0"/>
        <w:jc w:val="both"/>
        <w:rPr>
          <w:rFonts w:ascii="Arial" w:hAnsi="Arial" w:cs="Arial"/>
          <w:bCs/>
          <w:lang w:val="en-GB"/>
        </w:rPr>
      </w:pPr>
      <w:r>
        <w:rPr>
          <w:rFonts w:ascii="Arial" w:hAnsi="Arial" w:cs="Arial"/>
          <w:bCs/>
          <w:lang w:val="en-GB"/>
        </w:rPr>
        <w:t>But it is possible that</w:t>
      </w:r>
      <w:r w:rsidR="008D667E">
        <w:rPr>
          <w:rFonts w:ascii="Arial" w:hAnsi="Arial" w:cs="Arial"/>
          <w:bCs/>
          <w:lang w:val="en-GB"/>
        </w:rPr>
        <w:t xml:space="preserve"> </w:t>
      </w:r>
      <w:r>
        <w:rPr>
          <w:rFonts w:ascii="Arial" w:hAnsi="Arial" w:cs="Arial"/>
          <w:bCs/>
          <w:lang w:val="en-GB"/>
        </w:rPr>
        <w:t xml:space="preserve">I am incorrect in this </w:t>
      </w:r>
      <w:r w:rsidR="008D667E">
        <w:rPr>
          <w:rFonts w:ascii="Arial" w:hAnsi="Arial" w:cs="Arial"/>
          <w:bCs/>
          <w:lang w:val="en-GB"/>
        </w:rPr>
        <w:t xml:space="preserve">conclusion. I therefore consider the alternative scenario, namely that the delay has been unduly long. Are the circumstances of this matter sufficient to permit the delay to be overlooked? In considering other </w:t>
      </w:r>
      <w:r w:rsidR="00F12DE3">
        <w:rPr>
          <w:rFonts w:ascii="Arial" w:hAnsi="Arial" w:cs="Arial"/>
          <w:bCs/>
          <w:lang w:val="en-GB"/>
        </w:rPr>
        <w:t xml:space="preserve">decided </w:t>
      </w:r>
      <w:r w:rsidR="008D667E">
        <w:rPr>
          <w:rFonts w:ascii="Arial" w:hAnsi="Arial" w:cs="Arial"/>
          <w:bCs/>
          <w:lang w:val="en-GB"/>
        </w:rPr>
        <w:t>matters where lengthy periods of delay have occurred, I again caution myself that determining such issue is largely based upon the facts specific to a matter</w:t>
      </w:r>
      <w:r w:rsidR="00845B57">
        <w:rPr>
          <w:rFonts w:ascii="Arial" w:hAnsi="Arial" w:cs="Arial"/>
          <w:bCs/>
          <w:lang w:val="en-GB"/>
        </w:rPr>
        <w:t>.</w:t>
      </w:r>
      <w:r w:rsidR="008D667E">
        <w:rPr>
          <w:rFonts w:ascii="Arial" w:hAnsi="Arial" w:cs="Arial"/>
          <w:bCs/>
          <w:lang w:val="en-GB"/>
        </w:rPr>
        <w:t xml:space="preserve"> </w:t>
      </w:r>
    </w:p>
    <w:p w:rsidR="00845B57" w:rsidRDefault="00845B57" w:rsidP="00CF4D7C">
      <w:pPr>
        <w:pStyle w:val="ListParagraph"/>
        <w:tabs>
          <w:tab w:val="left" w:pos="709"/>
        </w:tabs>
        <w:spacing w:line="360" w:lineRule="auto"/>
        <w:ind w:left="0"/>
        <w:jc w:val="both"/>
        <w:rPr>
          <w:rFonts w:ascii="Arial" w:hAnsi="Arial" w:cs="Arial"/>
          <w:bCs/>
          <w:lang w:val="en-GB"/>
        </w:rPr>
      </w:pPr>
    </w:p>
    <w:p w:rsidR="00AC5442" w:rsidRPr="00F42759" w:rsidRDefault="00F42759" w:rsidP="00F42759">
      <w:pPr>
        <w:tabs>
          <w:tab w:val="left" w:pos="709"/>
        </w:tabs>
        <w:spacing w:line="360" w:lineRule="auto"/>
        <w:jc w:val="both"/>
        <w:rPr>
          <w:rFonts w:ascii="Arial" w:hAnsi="Arial" w:cs="Arial"/>
          <w:bCs/>
          <w:lang w:val="en-GB"/>
        </w:rPr>
      </w:pPr>
      <w:r>
        <w:rPr>
          <w:rFonts w:ascii="Arial" w:eastAsiaTheme="minorHAnsi" w:hAnsi="Arial" w:cs="Arial"/>
          <w:bCs/>
          <w:lang w:val="en-GB" w:eastAsia="en-US" w:bidi="ar-SA"/>
        </w:rPr>
        <w:t>[88]</w:t>
      </w:r>
      <w:r>
        <w:rPr>
          <w:rFonts w:ascii="Arial" w:eastAsiaTheme="minorHAnsi" w:hAnsi="Arial" w:cs="Arial"/>
          <w:bCs/>
          <w:lang w:val="en-GB" w:eastAsia="en-US" w:bidi="ar-SA"/>
        </w:rPr>
        <w:tab/>
      </w:r>
      <w:r w:rsidR="00845B57" w:rsidRPr="00F42759">
        <w:rPr>
          <w:rFonts w:ascii="Arial" w:hAnsi="Arial" w:cs="Arial"/>
          <w:bCs/>
          <w:lang w:val="en-GB"/>
        </w:rPr>
        <w:t xml:space="preserve">In </w:t>
      </w:r>
      <w:r w:rsidR="00845B57" w:rsidRPr="00F42759">
        <w:rPr>
          <w:rFonts w:ascii="Arial" w:hAnsi="Arial" w:cs="Arial"/>
          <w:bCs/>
          <w:i/>
          <w:iCs/>
          <w:lang w:val="en-GB"/>
        </w:rPr>
        <w:t xml:space="preserve">Swifambo Rail Leasing (Pty) </w:t>
      </w:r>
      <w:r w:rsidR="00C33659" w:rsidRPr="00F42759">
        <w:rPr>
          <w:rFonts w:ascii="Arial" w:hAnsi="Arial" w:cs="Arial"/>
          <w:bCs/>
          <w:i/>
          <w:iCs/>
          <w:lang w:val="en-GB"/>
        </w:rPr>
        <w:t xml:space="preserve">Ltd </w:t>
      </w:r>
      <w:r w:rsidR="00845B57" w:rsidRPr="00F42759">
        <w:rPr>
          <w:rFonts w:ascii="Arial" w:hAnsi="Arial" w:cs="Arial"/>
          <w:bCs/>
          <w:i/>
          <w:iCs/>
          <w:lang w:val="en-GB"/>
        </w:rPr>
        <w:t xml:space="preserve">v </w:t>
      </w:r>
      <w:r w:rsidR="00C33659" w:rsidRPr="00F42759">
        <w:rPr>
          <w:rFonts w:ascii="Arial" w:hAnsi="Arial" w:cs="Arial"/>
          <w:bCs/>
          <w:i/>
          <w:iCs/>
          <w:lang w:val="en-GB"/>
        </w:rPr>
        <w:t>Prasa</w:t>
      </w:r>
      <w:r w:rsidR="00845B57" w:rsidRPr="00F42759">
        <w:rPr>
          <w:rFonts w:ascii="Arial" w:hAnsi="Arial" w:cs="Arial"/>
          <w:bCs/>
          <w:lang w:val="en-GB"/>
        </w:rPr>
        <w:t>,</w:t>
      </w:r>
      <w:r w:rsidR="00845B57">
        <w:rPr>
          <w:rStyle w:val="FootnoteReference"/>
          <w:rFonts w:ascii="Arial" w:hAnsi="Arial" w:cs="Arial"/>
          <w:bCs/>
          <w:lang w:val="en-GB"/>
        </w:rPr>
        <w:footnoteReference w:id="46"/>
      </w:r>
      <w:r w:rsidR="00845B57" w:rsidRPr="00F42759">
        <w:rPr>
          <w:rFonts w:ascii="Arial" w:hAnsi="Arial" w:cs="Arial"/>
          <w:bCs/>
          <w:lang w:val="en-GB"/>
        </w:rPr>
        <w:t xml:space="preserve"> the delay was three </w:t>
      </w:r>
      <w:r w:rsidR="00CF442F" w:rsidRPr="00F42759">
        <w:rPr>
          <w:rFonts w:ascii="Arial" w:hAnsi="Arial" w:cs="Arial"/>
          <w:bCs/>
          <w:lang w:val="en-GB"/>
        </w:rPr>
        <w:t>years,</w:t>
      </w:r>
      <w:r w:rsidR="00845B57" w:rsidRPr="00F42759">
        <w:rPr>
          <w:rFonts w:ascii="Arial" w:hAnsi="Arial" w:cs="Arial"/>
          <w:bCs/>
          <w:lang w:val="en-GB"/>
        </w:rPr>
        <w:t xml:space="preserve"> but it </w:t>
      </w:r>
    </w:p>
    <w:p w:rsidR="00AC5442" w:rsidRDefault="00845B57" w:rsidP="00AC5442">
      <w:pPr>
        <w:pStyle w:val="ListParagraph"/>
        <w:tabs>
          <w:tab w:val="left" w:pos="709"/>
        </w:tabs>
        <w:spacing w:line="360" w:lineRule="auto"/>
        <w:ind w:left="0"/>
        <w:jc w:val="both"/>
        <w:rPr>
          <w:rFonts w:ascii="Arial" w:hAnsi="Arial" w:cs="Arial"/>
          <w:bCs/>
          <w:lang w:val="en-GB"/>
        </w:rPr>
      </w:pPr>
      <w:r>
        <w:rPr>
          <w:rFonts w:ascii="Arial" w:hAnsi="Arial" w:cs="Arial"/>
          <w:bCs/>
          <w:lang w:val="en-GB"/>
        </w:rPr>
        <w:t xml:space="preserve">was </w:t>
      </w:r>
      <w:r w:rsidR="004B6073">
        <w:rPr>
          <w:rFonts w:ascii="Arial" w:hAnsi="Arial" w:cs="Arial"/>
          <w:bCs/>
          <w:lang w:val="en-GB"/>
        </w:rPr>
        <w:t>condoned</w:t>
      </w:r>
      <w:r>
        <w:rPr>
          <w:rFonts w:ascii="Arial" w:hAnsi="Arial" w:cs="Arial"/>
          <w:bCs/>
          <w:lang w:val="en-GB"/>
        </w:rPr>
        <w:t xml:space="preserve"> in circumstances where the full extent of the wrongdoing at </w:t>
      </w:r>
      <w:r w:rsidR="00C33659">
        <w:rPr>
          <w:rFonts w:ascii="Arial" w:hAnsi="Arial" w:cs="Arial"/>
          <w:bCs/>
          <w:lang w:val="en-GB"/>
        </w:rPr>
        <w:t xml:space="preserve">Prasa </w:t>
      </w:r>
      <w:r w:rsidR="000042DB">
        <w:rPr>
          <w:rFonts w:ascii="Arial" w:hAnsi="Arial" w:cs="Arial"/>
          <w:bCs/>
          <w:lang w:val="en-GB"/>
        </w:rPr>
        <w:t xml:space="preserve">was </w:t>
      </w:r>
    </w:p>
    <w:p w:rsidR="00845B57" w:rsidRDefault="000042DB" w:rsidP="00AC5442">
      <w:pPr>
        <w:pStyle w:val="ListParagraph"/>
        <w:tabs>
          <w:tab w:val="left" w:pos="709"/>
        </w:tabs>
        <w:spacing w:line="360" w:lineRule="auto"/>
        <w:ind w:left="0"/>
        <w:jc w:val="both"/>
        <w:rPr>
          <w:rFonts w:ascii="Arial" w:hAnsi="Arial" w:cs="Arial"/>
          <w:bCs/>
          <w:lang w:val="en-GB"/>
        </w:rPr>
      </w:pPr>
      <w:r>
        <w:rPr>
          <w:rFonts w:ascii="Arial" w:hAnsi="Arial" w:cs="Arial"/>
          <w:bCs/>
          <w:lang w:val="en-GB"/>
        </w:rPr>
        <w:t>concealed from the board of directors.</w:t>
      </w:r>
      <w:r>
        <w:rPr>
          <w:rStyle w:val="FootnoteReference"/>
          <w:rFonts w:ascii="Arial" w:hAnsi="Arial" w:cs="Arial"/>
          <w:bCs/>
          <w:lang w:val="en-GB"/>
        </w:rPr>
        <w:footnoteReference w:id="47"/>
      </w:r>
      <w:r>
        <w:rPr>
          <w:rFonts w:ascii="Arial" w:hAnsi="Arial" w:cs="Arial"/>
          <w:bCs/>
          <w:lang w:val="en-GB"/>
        </w:rPr>
        <w:t xml:space="preserve"> Lewis JA observed as follows:</w:t>
      </w:r>
    </w:p>
    <w:p w:rsidR="000042DB" w:rsidRDefault="000042DB" w:rsidP="000042DB">
      <w:pPr>
        <w:spacing w:line="360" w:lineRule="auto"/>
        <w:jc w:val="both"/>
        <w:rPr>
          <w:rFonts w:ascii="Arial" w:hAnsi="Arial" w:cs="Arial"/>
          <w:color w:val="242121"/>
          <w:sz w:val="22"/>
          <w:szCs w:val="22"/>
          <w:shd w:val="clear" w:color="auto" w:fill="FFFFFF"/>
        </w:rPr>
      </w:pPr>
      <w:r w:rsidRPr="000042DB">
        <w:rPr>
          <w:rFonts w:ascii="Arial" w:hAnsi="Arial" w:cs="Arial"/>
          <w:bCs/>
          <w:sz w:val="22"/>
          <w:szCs w:val="22"/>
          <w:lang w:val="en-GB"/>
        </w:rPr>
        <w:t>‘</w:t>
      </w:r>
      <w:r w:rsidR="00C33659" w:rsidRPr="00C33659">
        <w:rPr>
          <w:rFonts w:ascii="Arial" w:hAnsi="Arial" w:cs="Arial"/>
          <w:color w:val="242121"/>
          <w:sz w:val="22"/>
          <w:szCs w:val="22"/>
          <w:shd w:val="clear" w:color="auto" w:fill="FFFFFF"/>
        </w:rPr>
        <w:t>The Prasa board, once reconstituted, did not ascertain the irregularity in the award of the bid to Swifambo for all the reasons stated until August 2015 and launched the application for review in November of that year. It acted as expeditiously as possible. On the assumption that there was indeed delay at common law (for just under three years), it applied for condonation. In my view, there was no unreasonable delay in all the circumstances. However, it is useful to consider whether condonation should have been granted by the High Court, given the lengthy period between the award of the contract and the in</w:t>
      </w:r>
      <w:r w:rsidR="00C33659">
        <w:rPr>
          <w:rFonts w:ascii="Arial" w:hAnsi="Arial" w:cs="Arial"/>
          <w:color w:val="242121"/>
          <w:sz w:val="22"/>
          <w:szCs w:val="22"/>
          <w:shd w:val="clear" w:color="auto" w:fill="FFFFFF"/>
        </w:rPr>
        <w:t>stitution of review proceedings</w:t>
      </w:r>
      <w:r w:rsidRPr="000042DB">
        <w:rPr>
          <w:rFonts w:ascii="Arial" w:hAnsi="Arial" w:cs="Arial"/>
          <w:color w:val="242121"/>
          <w:sz w:val="22"/>
          <w:szCs w:val="22"/>
          <w:shd w:val="clear" w:color="auto" w:fill="FFFFFF"/>
        </w:rPr>
        <w:t>.</w:t>
      </w:r>
      <w:r>
        <w:rPr>
          <w:rFonts w:ascii="Arial" w:hAnsi="Arial" w:cs="Arial"/>
          <w:color w:val="242121"/>
          <w:sz w:val="22"/>
          <w:szCs w:val="22"/>
          <w:shd w:val="clear" w:color="auto" w:fill="FFFFFF"/>
        </w:rPr>
        <w:t>’</w:t>
      </w:r>
      <w:r>
        <w:rPr>
          <w:rStyle w:val="FootnoteReference"/>
          <w:rFonts w:ascii="Arial" w:hAnsi="Arial" w:cs="Arial"/>
          <w:color w:val="242121"/>
          <w:sz w:val="22"/>
          <w:szCs w:val="22"/>
          <w:shd w:val="clear" w:color="auto" w:fill="FFFFFF"/>
        </w:rPr>
        <w:footnoteReference w:id="48"/>
      </w:r>
    </w:p>
    <w:p w:rsidR="004B6073" w:rsidRDefault="000042DB" w:rsidP="00DB540D">
      <w:pPr>
        <w:spacing w:line="360" w:lineRule="auto"/>
        <w:jc w:val="both"/>
        <w:rPr>
          <w:rFonts w:asciiTheme="minorBidi" w:hAnsiTheme="minorBidi" w:cstheme="minorBidi"/>
          <w:color w:val="000000" w:themeColor="text1"/>
          <w:shd w:val="clear" w:color="auto" w:fill="FFFFFF"/>
        </w:rPr>
      </w:pPr>
      <w:r w:rsidRPr="00DB540D">
        <w:rPr>
          <w:rFonts w:asciiTheme="minorBidi" w:hAnsiTheme="minorBidi" w:cstheme="minorBidi"/>
          <w:color w:val="000000" w:themeColor="text1"/>
          <w:shd w:val="clear" w:color="auto" w:fill="FFFFFF"/>
        </w:rPr>
        <w:t xml:space="preserve">The </w:t>
      </w:r>
      <w:r w:rsidR="00AA4DDC" w:rsidRPr="00DB540D">
        <w:rPr>
          <w:rFonts w:asciiTheme="minorBidi" w:hAnsiTheme="minorBidi" w:cstheme="minorBidi"/>
          <w:color w:val="000000" w:themeColor="text1"/>
          <w:shd w:val="clear" w:color="auto" w:fill="FFFFFF"/>
        </w:rPr>
        <w:t>court later concluded that condonation had correctly been granted</w:t>
      </w:r>
      <w:r w:rsidR="00DB540D" w:rsidRPr="00DB540D">
        <w:rPr>
          <w:rFonts w:asciiTheme="minorBidi" w:hAnsiTheme="minorBidi" w:cstheme="minorBidi"/>
          <w:color w:val="000000" w:themeColor="text1"/>
          <w:shd w:val="clear" w:color="auto" w:fill="FFFFFF"/>
        </w:rPr>
        <w:t xml:space="preserve">. It did so </w:t>
      </w:r>
      <w:r w:rsidR="00AA4DDC" w:rsidRPr="00DB540D">
        <w:rPr>
          <w:rFonts w:asciiTheme="minorBidi" w:hAnsiTheme="minorBidi" w:cstheme="minorBidi"/>
          <w:color w:val="000000" w:themeColor="text1"/>
          <w:shd w:val="clear" w:color="auto" w:fill="FFFFFF"/>
        </w:rPr>
        <w:t xml:space="preserve">citing </w:t>
      </w:r>
    </w:p>
    <w:p w:rsidR="00DB540D" w:rsidRPr="00DB540D" w:rsidRDefault="00AA4DDC" w:rsidP="00DB540D">
      <w:pPr>
        <w:spacing w:line="360" w:lineRule="auto"/>
        <w:jc w:val="both"/>
        <w:rPr>
          <w:rFonts w:asciiTheme="minorBidi" w:hAnsiTheme="minorBidi" w:cstheme="minorBidi"/>
          <w:color w:val="242121"/>
          <w:lang w:val="en-US"/>
        </w:rPr>
      </w:pPr>
      <w:r w:rsidRPr="00DB540D">
        <w:rPr>
          <w:rFonts w:asciiTheme="minorBidi" w:hAnsiTheme="minorBidi" w:cstheme="minorBidi"/>
          <w:color w:val="000000" w:themeColor="text1"/>
          <w:shd w:val="clear" w:color="auto" w:fill="FFFFFF"/>
        </w:rPr>
        <w:t>the following dicta</w:t>
      </w:r>
      <w:r w:rsidR="00C33659">
        <w:rPr>
          <w:rStyle w:val="FootnoteReference"/>
          <w:rFonts w:asciiTheme="minorBidi" w:hAnsiTheme="minorBidi" w:cstheme="minorBidi"/>
          <w:color w:val="000000" w:themeColor="text1"/>
          <w:shd w:val="clear" w:color="auto" w:fill="FFFFFF"/>
        </w:rPr>
        <w:footnoteReference w:id="49"/>
      </w:r>
      <w:r w:rsidRPr="00DB540D">
        <w:rPr>
          <w:rFonts w:asciiTheme="minorBidi" w:hAnsiTheme="minorBidi" w:cstheme="minorBidi"/>
          <w:color w:val="000000" w:themeColor="text1"/>
          <w:shd w:val="clear" w:color="auto" w:fill="FFFFFF"/>
        </w:rPr>
        <w:t xml:space="preserve"> in </w:t>
      </w:r>
      <w:r w:rsidRPr="00DB540D">
        <w:rPr>
          <w:rFonts w:asciiTheme="minorBidi" w:hAnsiTheme="minorBidi" w:cstheme="minorBidi"/>
          <w:i/>
          <w:iCs/>
          <w:color w:val="000000" w:themeColor="text1"/>
          <w:lang w:val="en-US"/>
        </w:rPr>
        <w:t>Cape Town City v Aurecon SA (Pty) Ltd</w:t>
      </w:r>
      <w:r w:rsidRPr="00DB540D">
        <w:rPr>
          <w:rFonts w:asciiTheme="minorBidi" w:hAnsiTheme="minorBidi" w:cstheme="minorBidi"/>
          <w:color w:val="000000" w:themeColor="text1"/>
          <w:lang w:val="en-US"/>
        </w:rPr>
        <w:t>,</w:t>
      </w:r>
      <w:r w:rsidRPr="00DB540D">
        <w:rPr>
          <w:rStyle w:val="FootnoteReference"/>
          <w:rFonts w:asciiTheme="minorBidi" w:hAnsiTheme="minorBidi" w:cstheme="minorBidi"/>
          <w:color w:val="000000" w:themeColor="text1"/>
          <w:lang w:val="en-US"/>
        </w:rPr>
        <w:footnoteReference w:id="50"/>
      </w:r>
      <w:r w:rsidRPr="00DB540D">
        <w:rPr>
          <w:rFonts w:asciiTheme="minorBidi" w:hAnsiTheme="minorBidi" w:cstheme="minorBidi"/>
          <w:color w:val="000000" w:themeColor="text1"/>
        </w:rPr>
        <w:t xml:space="preserve"> </w:t>
      </w:r>
      <w:r w:rsidR="00DB540D" w:rsidRPr="00DB540D">
        <w:rPr>
          <w:rFonts w:asciiTheme="minorBidi" w:hAnsiTheme="minorBidi" w:cstheme="minorBidi"/>
          <w:color w:val="000000" w:themeColor="text1"/>
        </w:rPr>
        <w:t xml:space="preserve">in which the Constitutional Court stated that if the irregularities discovered </w:t>
      </w:r>
      <w:r w:rsidR="00DB540D" w:rsidRPr="00DB540D">
        <w:rPr>
          <w:rFonts w:asciiTheme="minorBidi" w:hAnsiTheme="minorBidi" w:cstheme="minorBidi"/>
          <w:color w:val="242121"/>
          <w:lang w:val="en-US"/>
        </w:rPr>
        <w:t>had</w:t>
      </w:r>
      <w:r w:rsidR="00CF442F">
        <w:rPr>
          <w:rFonts w:asciiTheme="minorBidi" w:hAnsiTheme="minorBidi" w:cstheme="minorBidi"/>
          <w:color w:val="242121"/>
          <w:lang w:val="en-US"/>
        </w:rPr>
        <w:t>:</w:t>
      </w:r>
    </w:p>
    <w:p w:rsidR="00AA4DDC" w:rsidRDefault="00AA4DDC" w:rsidP="00AA4DDC">
      <w:pPr>
        <w:spacing w:line="360" w:lineRule="auto"/>
        <w:jc w:val="both"/>
        <w:rPr>
          <w:rFonts w:ascii="Arial" w:hAnsi="Arial" w:cs="Arial"/>
          <w:color w:val="242121"/>
          <w:sz w:val="22"/>
          <w:szCs w:val="22"/>
          <w:lang w:val="en-US"/>
        </w:rPr>
      </w:pPr>
      <w:r w:rsidRPr="00DB540D">
        <w:rPr>
          <w:rFonts w:ascii="Arial" w:hAnsi="Arial" w:cs="Arial"/>
          <w:color w:val="242121"/>
          <w:sz w:val="22"/>
          <w:szCs w:val="22"/>
          <w:lang w:val="en-US"/>
        </w:rPr>
        <w:t>‘</w:t>
      </w:r>
      <w:r w:rsidR="000325B2">
        <w:rPr>
          <w:rFonts w:ascii="Arial" w:hAnsi="Arial" w:cs="Arial"/>
          <w:color w:val="242121"/>
          <w:sz w:val="22"/>
          <w:szCs w:val="22"/>
          <w:lang w:val="en-US"/>
        </w:rPr>
        <w:t>…</w:t>
      </w:r>
      <w:r w:rsidRPr="00DB540D">
        <w:rPr>
          <w:rFonts w:ascii="Arial" w:hAnsi="Arial" w:cs="Arial"/>
          <w:color w:val="242121"/>
          <w:sz w:val="22"/>
          <w:szCs w:val="22"/>
          <w:lang w:val="en-US"/>
        </w:rPr>
        <w:t>unearthed manifestations of corruption, collusion or fraud in the tender</w:t>
      </w:r>
      <w:r w:rsidR="000325B2">
        <w:rPr>
          <w:rFonts w:ascii="Arial" w:hAnsi="Arial" w:cs="Arial"/>
          <w:color w:val="242121"/>
          <w:sz w:val="22"/>
          <w:szCs w:val="22"/>
          <w:lang w:val="en-US"/>
        </w:rPr>
        <w:t xml:space="preserve"> process</w:t>
      </w:r>
      <w:r w:rsidRPr="00DB540D">
        <w:rPr>
          <w:rFonts w:ascii="Arial" w:hAnsi="Arial" w:cs="Arial"/>
          <w:color w:val="242121"/>
          <w:sz w:val="22"/>
          <w:szCs w:val="22"/>
          <w:lang w:val="en-US"/>
        </w:rPr>
        <w:t>, this court might look less askance in condoning the delay. The interests of clean governance would require judicial intervention</w:t>
      </w:r>
      <w:r w:rsidR="00DB540D">
        <w:rPr>
          <w:rFonts w:ascii="Arial" w:hAnsi="Arial" w:cs="Arial"/>
          <w:color w:val="242121"/>
          <w:sz w:val="22"/>
          <w:szCs w:val="22"/>
          <w:lang w:val="en-US"/>
        </w:rPr>
        <w:t>.</w:t>
      </w:r>
      <w:r w:rsidRPr="00DB540D">
        <w:rPr>
          <w:rFonts w:ascii="Arial" w:hAnsi="Arial" w:cs="Arial"/>
          <w:color w:val="242121"/>
          <w:sz w:val="22"/>
          <w:szCs w:val="22"/>
          <w:lang w:val="en-US"/>
        </w:rPr>
        <w:t>’</w:t>
      </w:r>
      <w:r w:rsidR="00DB540D">
        <w:rPr>
          <w:rStyle w:val="FootnoteReference"/>
          <w:rFonts w:ascii="Arial" w:hAnsi="Arial" w:cs="Arial"/>
          <w:color w:val="242121"/>
          <w:sz w:val="22"/>
          <w:szCs w:val="22"/>
          <w:lang w:val="en-US"/>
        </w:rPr>
        <w:footnoteReference w:id="51"/>
      </w:r>
    </w:p>
    <w:p w:rsidR="00EC3BAE" w:rsidRPr="00EC3BAE" w:rsidRDefault="00EC3BAE" w:rsidP="00AA4DDC">
      <w:pPr>
        <w:spacing w:line="360" w:lineRule="auto"/>
        <w:jc w:val="both"/>
        <w:rPr>
          <w:rFonts w:ascii="Arial" w:hAnsi="Arial" w:cs="Arial"/>
          <w:color w:val="242121"/>
          <w:lang w:val="en-US"/>
        </w:rPr>
      </w:pPr>
    </w:p>
    <w:p w:rsidR="000042DB" w:rsidRPr="00F42759" w:rsidRDefault="00F42759" w:rsidP="00F42759">
      <w:pPr>
        <w:tabs>
          <w:tab w:val="left" w:pos="709"/>
        </w:tabs>
        <w:spacing w:line="360" w:lineRule="auto"/>
        <w:jc w:val="both"/>
        <w:rPr>
          <w:rFonts w:ascii="Arial" w:hAnsi="Arial" w:cs="Arial"/>
          <w:bCs/>
          <w:lang w:val="en-GB"/>
        </w:rPr>
      </w:pPr>
      <w:r w:rsidRPr="00B87CD6">
        <w:rPr>
          <w:rFonts w:ascii="Arial" w:eastAsiaTheme="minorHAnsi" w:hAnsi="Arial" w:cs="Arial"/>
          <w:bCs/>
          <w:lang w:val="en-GB" w:eastAsia="en-US" w:bidi="ar-SA"/>
        </w:rPr>
        <w:t>[89]</w:t>
      </w:r>
      <w:r w:rsidRPr="00B87CD6">
        <w:rPr>
          <w:rFonts w:ascii="Arial" w:eastAsiaTheme="minorHAnsi" w:hAnsi="Arial" w:cs="Arial"/>
          <w:bCs/>
          <w:lang w:val="en-GB" w:eastAsia="en-US" w:bidi="ar-SA"/>
        </w:rPr>
        <w:tab/>
      </w:r>
      <w:r w:rsidR="00641FD5" w:rsidRPr="00F42759">
        <w:rPr>
          <w:rFonts w:ascii="Arial" w:hAnsi="Arial" w:cs="Arial"/>
          <w:bCs/>
          <w:lang w:val="en-GB"/>
        </w:rPr>
        <w:t>In</w:t>
      </w:r>
      <w:r w:rsidR="00641FD5" w:rsidRPr="00F42759">
        <w:rPr>
          <w:rFonts w:asciiTheme="minorBidi" w:hAnsiTheme="minorBidi"/>
          <w:i/>
          <w:iCs/>
        </w:rPr>
        <w:t xml:space="preserve"> Simeka</w:t>
      </w:r>
      <w:r w:rsidR="00641FD5">
        <w:rPr>
          <w:rStyle w:val="FootnoteReference"/>
          <w:rFonts w:asciiTheme="minorBidi" w:hAnsiTheme="minorBidi"/>
        </w:rPr>
        <w:footnoteReference w:id="52"/>
      </w:r>
      <w:r w:rsidR="00641FD5" w:rsidRPr="00F42759">
        <w:rPr>
          <w:rFonts w:asciiTheme="minorBidi" w:hAnsiTheme="minorBidi"/>
          <w:i/>
          <w:iCs/>
        </w:rPr>
        <w:t xml:space="preserve"> </w:t>
      </w:r>
      <w:r w:rsidR="00B87CD6" w:rsidRPr="00F42759">
        <w:rPr>
          <w:rFonts w:asciiTheme="minorBidi" w:hAnsiTheme="minorBidi"/>
        </w:rPr>
        <w:t>the court commented as follows:</w:t>
      </w:r>
    </w:p>
    <w:p w:rsidR="00641FD5" w:rsidRDefault="00B87CD6" w:rsidP="0075771D">
      <w:pPr>
        <w:pStyle w:val="ListParagraph"/>
        <w:tabs>
          <w:tab w:val="left" w:pos="709"/>
        </w:tabs>
        <w:spacing w:line="360" w:lineRule="auto"/>
        <w:ind w:left="0"/>
        <w:jc w:val="both"/>
        <w:rPr>
          <w:rFonts w:ascii="Arial" w:hAnsi="Arial" w:cs="Arial"/>
          <w:color w:val="242121"/>
          <w:sz w:val="22"/>
          <w:szCs w:val="22"/>
          <w:shd w:val="clear" w:color="auto" w:fill="FFFFFF"/>
        </w:rPr>
      </w:pPr>
      <w:r w:rsidRPr="00B87CD6">
        <w:rPr>
          <w:rFonts w:asciiTheme="minorBidi" w:hAnsiTheme="minorBidi"/>
          <w:sz w:val="22"/>
          <w:szCs w:val="22"/>
        </w:rPr>
        <w:t>‘</w:t>
      </w:r>
      <w:r w:rsidR="00641FD5" w:rsidRPr="00B87CD6">
        <w:rPr>
          <w:rFonts w:ascii="Arial" w:hAnsi="Arial" w:cs="Arial"/>
          <w:color w:val="242121"/>
          <w:sz w:val="22"/>
          <w:szCs w:val="22"/>
          <w:shd w:val="clear" w:color="auto" w:fill="FFFFFF"/>
        </w:rPr>
        <w:t>Whilst one must accept that the Department could have acted with more urgency than it did in unravelling the facts, given that it sought to review its own decision, sight should nevertheless not be lost of the fact that the bureaucratic machinery is notorious for moving slowly even though the exigencies of a particular case might require that matters be dealt with expeditiously. However, it must be emphasised that recognising this reality in no way seeks to excuse laxity. It is more to say that, notwithstanding the constitutional dictates of a responsive and accountable public administration, the reality is that public administration in our country has over time been allowed to slide to a quagmire of inefficiency. This is a state of affairs that is antithetical to the values underpinning our constitutional order that the citizenry holds dear.</w:t>
      </w:r>
      <w:r w:rsidRPr="00B87CD6">
        <w:rPr>
          <w:rFonts w:ascii="Arial" w:hAnsi="Arial" w:cs="Arial"/>
          <w:color w:val="242121"/>
          <w:sz w:val="22"/>
          <w:szCs w:val="22"/>
          <w:shd w:val="clear" w:color="auto" w:fill="FFFFFF"/>
        </w:rPr>
        <w:t>’</w:t>
      </w:r>
    </w:p>
    <w:p w:rsidR="00B87CD6" w:rsidRPr="00B87CD6" w:rsidRDefault="00B87CD6" w:rsidP="00B9578A">
      <w:pPr>
        <w:pStyle w:val="ListParagraph"/>
        <w:tabs>
          <w:tab w:val="left" w:pos="709"/>
        </w:tabs>
        <w:snapToGrid w:val="0"/>
        <w:spacing w:line="360" w:lineRule="auto"/>
        <w:ind w:left="0"/>
        <w:jc w:val="both"/>
        <w:rPr>
          <w:rFonts w:ascii="Arial" w:hAnsi="Arial" w:cs="Arial"/>
          <w:bCs/>
          <w:sz w:val="22"/>
          <w:szCs w:val="22"/>
          <w:lang w:val="en-GB"/>
        </w:rPr>
      </w:pPr>
    </w:p>
    <w:p w:rsidR="0075771D" w:rsidRPr="00F42759" w:rsidRDefault="00F42759" w:rsidP="00F42759">
      <w:pPr>
        <w:tabs>
          <w:tab w:val="left" w:pos="709"/>
        </w:tabs>
        <w:snapToGrid w:val="0"/>
        <w:spacing w:line="360" w:lineRule="auto"/>
        <w:jc w:val="both"/>
        <w:rPr>
          <w:rFonts w:ascii="Arial" w:hAnsi="Arial" w:cs="Arial"/>
          <w:bCs/>
          <w:lang w:val="en-GB"/>
        </w:rPr>
      </w:pPr>
      <w:r w:rsidRPr="0075771D">
        <w:rPr>
          <w:rFonts w:ascii="Arial" w:eastAsiaTheme="minorHAnsi" w:hAnsi="Arial" w:cs="Arial"/>
          <w:bCs/>
          <w:lang w:val="en-GB" w:eastAsia="en-US" w:bidi="ar-SA"/>
        </w:rPr>
        <w:t>[90]</w:t>
      </w:r>
      <w:r w:rsidRPr="0075771D">
        <w:rPr>
          <w:rFonts w:ascii="Arial" w:eastAsiaTheme="minorHAnsi" w:hAnsi="Arial" w:cs="Arial"/>
          <w:bCs/>
          <w:lang w:val="en-GB" w:eastAsia="en-US" w:bidi="ar-SA"/>
        </w:rPr>
        <w:tab/>
      </w:r>
      <w:r w:rsidR="0075771D" w:rsidRPr="00F42759">
        <w:rPr>
          <w:rFonts w:asciiTheme="minorBidi" w:hAnsiTheme="minorBidi"/>
        </w:rPr>
        <w:t xml:space="preserve">The court </w:t>
      </w:r>
      <w:r w:rsidR="00693A12" w:rsidRPr="00F42759">
        <w:rPr>
          <w:rFonts w:asciiTheme="minorBidi" w:hAnsiTheme="minorBidi"/>
        </w:rPr>
        <w:t xml:space="preserve">further </w:t>
      </w:r>
      <w:r w:rsidR="0075771D" w:rsidRPr="00F42759">
        <w:rPr>
          <w:rFonts w:asciiTheme="minorBidi" w:hAnsiTheme="minorBidi"/>
        </w:rPr>
        <w:t>stated that:</w:t>
      </w:r>
    </w:p>
    <w:p w:rsidR="0075771D" w:rsidRPr="0075771D" w:rsidRDefault="0075771D" w:rsidP="0075771D">
      <w:pPr>
        <w:pStyle w:val="ListParagraph"/>
        <w:tabs>
          <w:tab w:val="left" w:pos="709"/>
        </w:tabs>
        <w:snapToGrid w:val="0"/>
        <w:spacing w:line="360" w:lineRule="auto"/>
        <w:ind w:left="0"/>
        <w:jc w:val="both"/>
        <w:rPr>
          <w:rFonts w:ascii="Arial" w:hAnsi="Arial" w:cs="Arial"/>
          <w:bCs/>
          <w:sz w:val="22"/>
          <w:szCs w:val="22"/>
          <w:lang w:val="en-GB"/>
        </w:rPr>
      </w:pPr>
      <w:r w:rsidRPr="0075771D">
        <w:rPr>
          <w:rFonts w:asciiTheme="minorBidi" w:hAnsiTheme="minorBidi"/>
          <w:sz w:val="22"/>
          <w:szCs w:val="22"/>
        </w:rPr>
        <w:t>‘</w:t>
      </w:r>
      <w:r w:rsidRPr="0075771D">
        <w:rPr>
          <w:rFonts w:ascii="Arial" w:hAnsi="Arial" w:cs="Arial"/>
          <w:color w:val="242121"/>
          <w:sz w:val="22"/>
          <w:szCs w:val="22"/>
        </w:rPr>
        <w:t>As it turns out, the interests of justice and the unexplained egregious material deviations from the tender requirements coupled with the onerous financial burden that the revision of the tender requirements post its award to Simeka Group are all relevant factors that, amongst others, were not sufficiently accorded due weight by the high court in determining whether the unreasonable delay should be overlooked.’</w:t>
      </w:r>
      <w:r>
        <w:rPr>
          <w:rStyle w:val="FootnoteReference"/>
          <w:rFonts w:ascii="Arial" w:hAnsi="Arial" w:cs="Arial"/>
          <w:color w:val="242121"/>
          <w:sz w:val="22"/>
          <w:szCs w:val="22"/>
        </w:rPr>
        <w:footnoteReference w:id="53"/>
      </w:r>
    </w:p>
    <w:p w:rsidR="0075771D" w:rsidRPr="0075771D" w:rsidRDefault="0075771D" w:rsidP="0075771D">
      <w:pPr>
        <w:pStyle w:val="ListParagraph"/>
        <w:tabs>
          <w:tab w:val="left" w:pos="709"/>
        </w:tabs>
        <w:snapToGrid w:val="0"/>
        <w:spacing w:line="360" w:lineRule="auto"/>
        <w:ind w:left="0"/>
        <w:jc w:val="both"/>
        <w:rPr>
          <w:rFonts w:ascii="Arial" w:hAnsi="Arial" w:cs="Arial"/>
          <w:bCs/>
          <w:lang w:val="en-GB"/>
        </w:rPr>
      </w:pPr>
    </w:p>
    <w:p w:rsidR="0075771D" w:rsidRPr="00F42759" w:rsidRDefault="00F42759" w:rsidP="00F42759">
      <w:pPr>
        <w:tabs>
          <w:tab w:val="left" w:pos="709"/>
        </w:tabs>
        <w:snapToGrid w:val="0"/>
        <w:spacing w:line="360" w:lineRule="auto"/>
        <w:jc w:val="both"/>
        <w:rPr>
          <w:rFonts w:ascii="Arial" w:hAnsi="Arial" w:cs="Arial"/>
          <w:bCs/>
          <w:lang w:val="en-GB"/>
        </w:rPr>
      </w:pPr>
      <w:r>
        <w:rPr>
          <w:rFonts w:ascii="Arial" w:eastAsiaTheme="minorHAnsi" w:hAnsi="Arial" w:cs="Arial"/>
          <w:bCs/>
          <w:lang w:val="en-GB" w:eastAsia="en-US" w:bidi="ar-SA"/>
        </w:rPr>
        <w:t>[91]</w:t>
      </w:r>
      <w:r>
        <w:rPr>
          <w:rFonts w:ascii="Arial" w:eastAsiaTheme="minorHAnsi" w:hAnsi="Arial" w:cs="Arial"/>
          <w:bCs/>
          <w:lang w:val="en-GB" w:eastAsia="en-US" w:bidi="ar-SA"/>
        </w:rPr>
        <w:tab/>
      </w:r>
      <w:r w:rsidR="00B87CD6" w:rsidRPr="00F42759">
        <w:rPr>
          <w:rFonts w:asciiTheme="minorBidi" w:hAnsiTheme="minorBidi"/>
        </w:rPr>
        <w:t>Considering the unsatisfactory conduct that has been uncovered by the first respondent</w:t>
      </w:r>
      <w:r w:rsidR="0075771D" w:rsidRPr="00F42759">
        <w:rPr>
          <w:rFonts w:asciiTheme="minorBidi" w:hAnsiTheme="minorBidi"/>
        </w:rPr>
        <w:t>,</w:t>
      </w:r>
      <w:r w:rsidR="00B87CD6" w:rsidRPr="00F42759">
        <w:rPr>
          <w:rFonts w:asciiTheme="minorBidi" w:hAnsiTheme="minorBidi"/>
        </w:rPr>
        <w:t xml:space="preserve"> e</w:t>
      </w:r>
      <w:r w:rsidR="008E73A3" w:rsidRPr="00F42759">
        <w:rPr>
          <w:rFonts w:ascii="Arial" w:hAnsi="Arial" w:cs="Arial"/>
          <w:bCs/>
          <w:lang w:val="en-GB"/>
        </w:rPr>
        <w:t>ven if I should be incorrect in coming to th</w:t>
      </w:r>
      <w:r w:rsidR="00B87CD6" w:rsidRPr="00F42759">
        <w:rPr>
          <w:rFonts w:ascii="Arial" w:hAnsi="Arial" w:cs="Arial"/>
          <w:bCs/>
          <w:lang w:val="en-GB"/>
        </w:rPr>
        <w:t xml:space="preserve">e conclusion that there has not been an </w:t>
      </w:r>
      <w:r w:rsidR="0090102F" w:rsidRPr="00F42759">
        <w:rPr>
          <w:rFonts w:ascii="Arial" w:hAnsi="Arial" w:cs="Arial"/>
          <w:bCs/>
          <w:lang w:val="en-GB"/>
        </w:rPr>
        <w:t xml:space="preserve">undue </w:t>
      </w:r>
      <w:r w:rsidR="00B9578A" w:rsidRPr="00F42759">
        <w:rPr>
          <w:rFonts w:ascii="Arial" w:hAnsi="Arial" w:cs="Arial"/>
          <w:bCs/>
          <w:lang w:val="en-GB"/>
        </w:rPr>
        <w:t>delay in bringing the review application</w:t>
      </w:r>
      <w:r w:rsidR="00CF4D7C" w:rsidRPr="00F42759">
        <w:rPr>
          <w:rFonts w:ascii="Arial" w:hAnsi="Arial" w:cs="Arial"/>
          <w:bCs/>
          <w:lang w:val="en-GB"/>
        </w:rPr>
        <w:t>,</w:t>
      </w:r>
      <w:r w:rsidR="008E73A3" w:rsidRPr="00F42759">
        <w:rPr>
          <w:rFonts w:ascii="Arial" w:hAnsi="Arial" w:cs="Arial"/>
          <w:bCs/>
          <w:lang w:val="en-GB"/>
        </w:rPr>
        <w:t xml:space="preserve"> it seems to me that the </w:t>
      </w:r>
      <w:r w:rsidR="0075771D" w:rsidRPr="00F42759">
        <w:rPr>
          <w:rFonts w:ascii="Arial" w:hAnsi="Arial" w:cs="Arial"/>
          <w:bCs/>
          <w:lang w:val="en-GB"/>
        </w:rPr>
        <w:t>reasoning in the extract</w:t>
      </w:r>
      <w:r w:rsidR="00693A12" w:rsidRPr="00F42759">
        <w:rPr>
          <w:rFonts w:ascii="Arial" w:hAnsi="Arial" w:cs="Arial"/>
          <w:bCs/>
          <w:lang w:val="en-GB"/>
        </w:rPr>
        <w:t xml:space="preserve">s from </w:t>
      </w:r>
      <w:r w:rsidR="00693A12" w:rsidRPr="00F42759">
        <w:rPr>
          <w:rFonts w:ascii="Arial" w:hAnsi="Arial" w:cs="Arial"/>
          <w:bCs/>
          <w:i/>
          <w:iCs/>
          <w:lang w:val="en-GB"/>
        </w:rPr>
        <w:t>Simeka</w:t>
      </w:r>
      <w:r w:rsidR="0075771D" w:rsidRPr="00F42759">
        <w:rPr>
          <w:rFonts w:ascii="Arial" w:hAnsi="Arial" w:cs="Arial"/>
          <w:bCs/>
          <w:lang w:val="en-GB"/>
        </w:rPr>
        <w:t xml:space="preserve"> referred to above </w:t>
      </w:r>
      <w:r w:rsidR="00693A12" w:rsidRPr="00F42759">
        <w:rPr>
          <w:rFonts w:ascii="Arial" w:hAnsi="Arial" w:cs="Arial"/>
          <w:bCs/>
          <w:lang w:val="en-GB"/>
        </w:rPr>
        <w:t>are</w:t>
      </w:r>
      <w:r w:rsidR="0075771D" w:rsidRPr="00F42759">
        <w:rPr>
          <w:rFonts w:ascii="Arial" w:hAnsi="Arial" w:cs="Arial"/>
          <w:bCs/>
          <w:lang w:val="en-GB"/>
        </w:rPr>
        <w:t xml:space="preserve"> of equal application to </w:t>
      </w:r>
      <w:r w:rsidR="007E716C" w:rsidRPr="00F42759">
        <w:rPr>
          <w:rFonts w:ascii="Arial" w:hAnsi="Arial" w:cs="Arial"/>
          <w:bCs/>
          <w:lang w:val="en-GB"/>
        </w:rPr>
        <w:t>the facts of this matter</w:t>
      </w:r>
      <w:r w:rsidR="0075771D" w:rsidRPr="00F42759">
        <w:rPr>
          <w:rFonts w:ascii="Arial" w:hAnsi="Arial" w:cs="Arial"/>
          <w:bCs/>
          <w:lang w:val="en-GB"/>
        </w:rPr>
        <w:t>. In my view</w:t>
      </w:r>
      <w:r w:rsidR="0011795A" w:rsidRPr="00F42759">
        <w:rPr>
          <w:rFonts w:ascii="Arial" w:hAnsi="Arial" w:cs="Arial"/>
          <w:bCs/>
          <w:lang w:val="en-GB"/>
        </w:rPr>
        <w:t>, if there ha</w:t>
      </w:r>
      <w:r w:rsidR="0075771D" w:rsidRPr="00F42759">
        <w:rPr>
          <w:rFonts w:ascii="Arial" w:hAnsi="Arial" w:cs="Arial"/>
          <w:bCs/>
          <w:lang w:val="en-GB"/>
        </w:rPr>
        <w:t>s</w:t>
      </w:r>
      <w:r w:rsidR="0011795A" w:rsidRPr="00F42759">
        <w:rPr>
          <w:rFonts w:ascii="Arial" w:hAnsi="Arial" w:cs="Arial"/>
          <w:bCs/>
          <w:lang w:val="en-GB"/>
        </w:rPr>
        <w:t xml:space="preserve"> been</w:t>
      </w:r>
      <w:r w:rsidR="0075771D" w:rsidRPr="00F42759">
        <w:rPr>
          <w:rFonts w:ascii="Arial" w:hAnsi="Arial" w:cs="Arial"/>
          <w:bCs/>
          <w:lang w:val="en-GB"/>
        </w:rPr>
        <w:t xml:space="preserve"> an undue delay</w:t>
      </w:r>
      <w:r w:rsidR="0090102F" w:rsidRPr="00F42759">
        <w:rPr>
          <w:rFonts w:ascii="Arial" w:hAnsi="Arial" w:cs="Arial"/>
          <w:bCs/>
          <w:lang w:val="en-GB"/>
        </w:rPr>
        <w:t>,</w:t>
      </w:r>
      <w:r w:rsidR="0075771D" w:rsidRPr="00F42759">
        <w:rPr>
          <w:rFonts w:ascii="Arial" w:hAnsi="Arial" w:cs="Arial"/>
          <w:bCs/>
          <w:lang w:val="en-GB"/>
        </w:rPr>
        <w:t xml:space="preserve"> it should be overlooked.</w:t>
      </w:r>
    </w:p>
    <w:p w:rsidR="008E73A3" w:rsidRDefault="008E73A3" w:rsidP="0075771D">
      <w:pPr>
        <w:pStyle w:val="ListParagraph"/>
        <w:tabs>
          <w:tab w:val="left" w:pos="709"/>
        </w:tabs>
        <w:snapToGrid w:val="0"/>
        <w:spacing w:line="360" w:lineRule="auto"/>
        <w:ind w:left="0"/>
        <w:jc w:val="both"/>
        <w:rPr>
          <w:rFonts w:ascii="Arial" w:hAnsi="Arial" w:cs="Arial"/>
          <w:bCs/>
          <w:lang w:val="en-GB"/>
        </w:rPr>
      </w:pPr>
    </w:p>
    <w:p w:rsidR="00B65FEE" w:rsidRPr="007830AE" w:rsidRDefault="00B65FEE" w:rsidP="0075771D">
      <w:pPr>
        <w:pStyle w:val="ListParagraph"/>
        <w:tabs>
          <w:tab w:val="left" w:pos="709"/>
        </w:tabs>
        <w:snapToGrid w:val="0"/>
        <w:spacing w:line="360" w:lineRule="auto"/>
        <w:ind w:left="0"/>
        <w:jc w:val="both"/>
        <w:rPr>
          <w:rFonts w:ascii="Arial" w:hAnsi="Arial" w:cs="Arial"/>
          <w:b/>
          <w:bCs/>
          <w:i/>
          <w:lang w:val="en-GB"/>
        </w:rPr>
      </w:pPr>
      <w:r w:rsidRPr="007830AE">
        <w:rPr>
          <w:rFonts w:ascii="Arial" w:hAnsi="Arial" w:cs="Arial"/>
          <w:b/>
          <w:bCs/>
          <w:i/>
          <w:lang w:val="en-GB"/>
        </w:rPr>
        <w:t>Remedy</w:t>
      </w:r>
    </w:p>
    <w:p w:rsidR="00CC5CAD" w:rsidRPr="00F42759" w:rsidRDefault="00F42759" w:rsidP="00F42759">
      <w:pPr>
        <w:tabs>
          <w:tab w:val="left" w:pos="709"/>
        </w:tabs>
        <w:snapToGrid w:val="0"/>
        <w:spacing w:line="360" w:lineRule="auto"/>
        <w:jc w:val="both"/>
        <w:rPr>
          <w:rFonts w:ascii="Arial" w:hAnsi="Arial" w:cs="Arial"/>
          <w:bCs/>
          <w:lang w:val="en-GB"/>
        </w:rPr>
      </w:pPr>
      <w:r>
        <w:rPr>
          <w:rFonts w:ascii="Arial" w:eastAsiaTheme="minorHAnsi" w:hAnsi="Arial" w:cs="Arial"/>
          <w:bCs/>
          <w:lang w:val="en-GB" w:eastAsia="en-US" w:bidi="ar-SA"/>
        </w:rPr>
        <w:t>[92]</w:t>
      </w:r>
      <w:r>
        <w:rPr>
          <w:rFonts w:ascii="Arial" w:eastAsiaTheme="minorHAnsi" w:hAnsi="Arial" w:cs="Arial"/>
          <w:bCs/>
          <w:lang w:val="en-GB" w:eastAsia="en-US" w:bidi="ar-SA"/>
        </w:rPr>
        <w:tab/>
      </w:r>
      <w:r w:rsidR="00CC5CAD" w:rsidRPr="00F42759">
        <w:rPr>
          <w:rFonts w:ascii="Arial" w:hAnsi="Arial" w:cs="Arial"/>
          <w:bCs/>
          <w:lang w:val="en-GB"/>
        </w:rPr>
        <w:t>Section 172</w:t>
      </w:r>
      <w:r w:rsidR="00FE0D9C" w:rsidRPr="00F42759">
        <w:rPr>
          <w:rFonts w:ascii="Arial" w:hAnsi="Arial" w:cs="Arial"/>
          <w:bCs/>
          <w:lang w:val="en-GB"/>
        </w:rPr>
        <w:t>(1)</w:t>
      </w:r>
      <w:r w:rsidR="00CC5CAD" w:rsidRPr="00F42759">
        <w:rPr>
          <w:rFonts w:ascii="Arial" w:hAnsi="Arial" w:cs="Arial"/>
          <w:bCs/>
          <w:lang w:val="en-GB"/>
        </w:rPr>
        <w:t xml:space="preserve"> of the Constitution reads as follows:</w:t>
      </w:r>
    </w:p>
    <w:p w:rsidR="00897206" w:rsidRDefault="00FE0D9C" w:rsidP="00FE0D9C">
      <w:pPr>
        <w:pStyle w:val="NormalWeb"/>
        <w:shd w:val="clear" w:color="auto" w:fill="FFFFFF"/>
        <w:spacing w:before="0" w:beforeAutospacing="0" w:after="0" w:afterAutospacing="0" w:line="360" w:lineRule="auto"/>
        <w:jc w:val="both"/>
        <w:rPr>
          <w:rFonts w:asciiTheme="minorBidi" w:hAnsiTheme="minorBidi" w:cstheme="minorBidi"/>
          <w:sz w:val="22"/>
          <w:szCs w:val="22"/>
        </w:rPr>
      </w:pPr>
      <w:r w:rsidRPr="00897206">
        <w:rPr>
          <w:rFonts w:asciiTheme="minorBidi" w:hAnsiTheme="minorBidi" w:cstheme="minorBidi"/>
          <w:sz w:val="22"/>
          <w:szCs w:val="22"/>
        </w:rPr>
        <w:t>‘</w:t>
      </w:r>
      <w:r w:rsidR="007E716C">
        <w:rPr>
          <w:rFonts w:asciiTheme="minorBidi" w:hAnsiTheme="minorBidi" w:cstheme="minorBidi"/>
          <w:sz w:val="22"/>
          <w:szCs w:val="22"/>
        </w:rPr>
        <w:t>(</w:t>
      </w:r>
      <w:r w:rsidRPr="00897206">
        <w:rPr>
          <w:rFonts w:asciiTheme="minorBidi" w:hAnsiTheme="minorBidi" w:cstheme="minorBidi"/>
          <w:sz w:val="22"/>
          <w:szCs w:val="22"/>
        </w:rPr>
        <w:t>1</w:t>
      </w:r>
      <w:r w:rsidR="007E716C">
        <w:rPr>
          <w:rFonts w:asciiTheme="minorBidi" w:hAnsiTheme="minorBidi" w:cstheme="minorBidi"/>
          <w:sz w:val="22"/>
          <w:szCs w:val="22"/>
        </w:rPr>
        <w:t>)</w:t>
      </w:r>
      <w:r w:rsidR="00897206" w:rsidRPr="00897206">
        <w:rPr>
          <w:rFonts w:asciiTheme="minorBidi" w:hAnsiTheme="minorBidi" w:cstheme="minorBidi"/>
          <w:sz w:val="22"/>
          <w:szCs w:val="22"/>
        </w:rPr>
        <w:tab/>
      </w:r>
      <w:r w:rsidRPr="00897206">
        <w:rPr>
          <w:rFonts w:asciiTheme="minorBidi" w:hAnsiTheme="minorBidi" w:cstheme="minorBidi"/>
          <w:sz w:val="22"/>
          <w:szCs w:val="22"/>
        </w:rPr>
        <w:t>When</w:t>
      </w:r>
      <w:r w:rsidRPr="00FE0D9C">
        <w:rPr>
          <w:rFonts w:asciiTheme="minorBidi" w:hAnsiTheme="minorBidi" w:cstheme="minorBidi"/>
          <w:sz w:val="22"/>
          <w:szCs w:val="22"/>
        </w:rPr>
        <w:t xml:space="preserve"> deciding a constitutional matter within its power, a court</w:t>
      </w:r>
      <w:r w:rsidR="00897206">
        <w:rPr>
          <w:rFonts w:asciiTheme="minorBidi" w:hAnsiTheme="minorBidi" w:cstheme="minorBidi"/>
          <w:sz w:val="22"/>
          <w:szCs w:val="22"/>
        </w:rPr>
        <w:t xml:space="preserve"> -</w:t>
      </w:r>
    </w:p>
    <w:p w:rsidR="00897206" w:rsidRDefault="00F42759" w:rsidP="00F42759">
      <w:pPr>
        <w:pStyle w:val="NormalWeb"/>
        <w:shd w:val="clear" w:color="auto" w:fill="FFFFFF"/>
        <w:tabs>
          <w:tab w:val="left" w:pos="709"/>
        </w:tabs>
        <w:spacing w:before="0" w:beforeAutospacing="0" w:after="0" w:afterAutospacing="0" w:line="360" w:lineRule="auto"/>
        <w:ind w:left="709" w:hanging="709"/>
        <w:contextualSpacing/>
        <w:jc w:val="both"/>
        <w:rPr>
          <w:rFonts w:asciiTheme="minorBidi" w:hAnsiTheme="minorBidi" w:cstheme="minorBidi"/>
          <w:sz w:val="22"/>
          <w:szCs w:val="22"/>
        </w:rPr>
      </w:pPr>
      <w:r>
        <w:rPr>
          <w:rFonts w:asciiTheme="minorBidi" w:hAnsiTheme="minorBidi" w:cstheme="minorBidi"/>
          <w:i/>
          <w:sz w:val="22"/>
          <w:szCs w:val="22"/>
        </w:rPr>
        <w:t>(a)</w:t>
      </w:r>
      <w:r>
        <w:rPr>
          <w:rFonts w:asciiTheme="minorBidi" w:hAnsiTheme="minorBidi" w:cstheme="minorBidi"/>
          <w:i/>
          <w:sz w:val="22"/>
          <w:szCs w:val="22"/>
        </w:rPr>
        <w:tab/>
      </w:r>
      <w:r w:rsidR="00FE0D9C" w:rsidRPr="00FE0D9C">
        <w:rPr>
          <w:rFonts w:asciiTheme="minorBidi" w:hAnsiTheme="minorBidi" w:cstheme="minorBidi"/>
          <w:sz w:val="22"/>
          <w:szCs w:val="22"/>
        </w:rPr>
        <w:t>must declare that any law or conduct that is inconsistent with the Constitution is invalid to</w:t>
      </w:r>
      <w:r w:rsidR="00897206">
        <w:rPr>
          <w:rFonts w:asciiTheme="minorBidi" w:hAnsiTheme="minorBidi" w:cstheme="minorBidi"/>
          <w:sz w:val="22"/>
          <w:szCs w:val="22"/>
        </w:rPr>
        <w:t xml:space="preserve"> </w:t>
      </w:r>
      <w:r w:rsidR="00FE0D9C" w:rsidRPr="00FE0D9C">
        <w:rPr>
          <w:rFonts w:asciiTheme="minorBidi" w:hAnsiTheme="minorBidi" w:cstheme="minorBidi"/>
          <w:sz w:val="22"/>
          <w:szCs w:val="22"/>
        </w:rPr>
        <w:t>the extent of its inconsistency; and</w:t>
      </w:r>
    </w:p>
    <w:p w:rsidR="00FE0D9C" w:rsidRPr="00FE0D9C" w:rsidRDefault="00F42759" w:rsidP="00F42759">
      <w:pPr>
        <w:pStyle w:val="NormalWeb"/>
        <w:shd w:val="clear" w:color="auto" w:fill="FFFFFF"/>
        <w:tabs>
          <w:tab w:val="left" w:pos="709"/>
        </w:tabs>
        <w:spacing w:before="0" w:beforeAutospacing="0" w:after="0" w:afterAutospacing="0" w:line="360" w:lineRule="auto"/>
        <w:jc w:val="both"/>
        <w:rPr>
          <w:rFonts w:asciiTheme="minorBidi" w:hAnsiTheme="minorBidi" w:cstheme="minorBidi"/>
          <w:sz w:val="22"/>
          <w:szCs w:val="22"/>
        </w:rPr>
      </w:pPr>
      <w:r w:rsidRPr="00FE0D9C">
        <w:rPr>
          <w:rFonts w:asciiTheme="minorBidi" w:hAnsiTheme="minorBidi" w:cstheme="minorBidi"/>
          <w:i/>
          <w:sz w:val="22"/>
          <w:szCs w:val="22"/>
        </w:rPr>
        <w:t>(b)</w:t>
      </w:r>
      <w:r w:rsidRPr="00FE0D9C">
        <w:rPr>
          <w:rFonts w:asciiTheme="minorBidi" w:hAnsiTheme="minorBidi" w:cstheme="minorBidi"/>
          <w:i/>
          <w:sz w:val="22"/>
          <w:szCs w:val="22"/>
        </w:rPr>
        <w:tab/>
      </w:r>
      <w:r w:rsidR="00FE0D9C" w:rsidRPr="00FE0D9C">
        <w:rPr>
          <w:rFonts w:asciiTheme="minorBidi" w:hAnsiTheme="minorBidi" w:cstheme="minorBidi"/>
          <w:sz w:val="22"/>
          <w:szCs w:val="22"/>
        </w:rPr>
        <w:t>may make any order that is just and equitable, including</w:t>
      </w:r>
      <w:r w:rsidR="00897206">
        <w:rPr>
          <w:rFonts w:asciiTheme="minorBidi" w:hAnsiTheme="minorBidi" w:cstheme="minorBidi"/>
          <w:sz w:val="22"/>
          <w:szCs w:val="22"/>
        </w:rPr>
        <w:t xml:space="preserve"> -</w:t>
      </w:r>
    </w:p>
    <w:p w:rsidR="00FE0D9C" w:rsidRPr="00FE0D9C" w:rsidRDefault="00FE0D9C" w:rsidP="00897206">
      <w:pPr>
        <w:pStyle w:val="NormalWeb"/>
        <w:shd w:val="clear" w:color="auto" w:fill="FFFFFF"/>
        <w:tabs>
          <w:tab w:val="left" w:pos="1418"/>
        </w:tabs>
        <w:spacing w:before="0" w:beforeAutospacing="0" w:after="0" w:afterAutospacing="0" w:line="360" w:lineRule="auto"/>
        <w:ind w:left="720"/>
        <w:jc w:val="both"/>
        <w:rPr>
          <w:rFonts w:asciiTheme="minorBidi" w:hAnsiTheme="minorBidi" w:cstheme="minorBidi"/>
          <w:sz w:val="22"/>
          <w:szCs w:val="22"/>
        </w:rPr>
      </w:pPr>
      <w:r w:rsidRPr="00FE0D9C">
        <w:rPr>
          <w:rFonts w:asciiTheme="minorBidi" w:hAnsiTheme="minorBidi" w:cstheme="minorBidi"/>
          <w:sz w:val="22"/>
          <w:szCs w:val="22"/>
        </w:rPr>
        <w:t>(i)  </w:t>
      </w:r>
      <w:r w:rsidR="00897206">
        <w:rPr>
          <w:rFonts w:asciiTheme="minorBidi" w:hAnsiTheme="minorBidi" w:cstheme="minorBidi"/>
          <w:sz w:val="22"/>
          <w:szCs w:val="22"/>
        </w:rPr>
        <w:tab/>
      </w:r>
      <w:r w:rsidRPr="00FE0D9C">
        <w:rPr>
          <w:rFonts w:asciiTheme="minorBidi" w:hAnsiTheme="minorBidi" w:cstheme="minorBidi"/>
          <w:sz w:val="22"/>
          <w:szCs w:val="22"/>
        </w:rPr>
        <w:t xml:space="preserve">an order limiting the retrospective effect of the declaration of invalidity; and </w:t>
      </w:r>
    </w:p>
    <w:p w:rsidR="00FE0D9C" w:rsidRPr="00FE0D9C" w:rsidRDefault="00FE0D9C" w:rsidP="00E43798">
      <w:pPr>
        <w:pStyle w:val="NormalWeb"/>
        <w:shd w:val="clear" w:color="auto" w:fill="FFFFFF"/>
        <w:tabs>
          <w:tab w:val="left" w:pos="1418"/>
        </w:tabs>
        <w:spacing w:before="0" w:beforeAutospacing="0" w:after="0" w:afterAutospacing="0" w:line="360" w:lineRule="auto"/>
        <w:ind w:left="720"/>
        <w:jc w:val="both"/>
        <w:rPr>
          <w:rFonts w:asciiTheme="minorBidi" w:hAnsiTheme="minorBidi" w:cstheme="minorBidi"/>
          <w:sz w:val="22"/>
          <w:szCs w:val="22"/>
        </w:rPr>
      </w:pPr>
      <w:r w:rsidRPr="00FE0D9C">
        <w:rPr>
          <w:rFonts w:asciiTheme="minorBidi" w:hAnsiTheme="minorBidi" w:cstheme="minorBidi"/>
          <w:sz w:val="22"/>
          <w:szCs w:val="22"/>
        </w:rPr>
        <w:t>(ii)</w:t>
      </w:r>
      <w:r w:rsidR="00897206">
        <w:rPr>
          <w:rFonts w:asciiTheme="minorBidi" w:hAnsiTheme="minorBidi" w:cstheme="minorBidi"/>
          <w:sz w:val="22"/>
          <w:szCs w:val="22"/>
        </w:rPr>
        <w:tab/>
      </w:r>
      <w:r w:rsidRPr="00FE0D9C">
        <w:rPr>
          <w:rFonts w:asciiTheme="minorBidi" w:hAnsiTheme="minorBidi" w:cstheme="minorBidi"/>
          <w:sz w:val="22"/>
          <w:szCs w:val="22"/>
        </w:rPr>
        <w:t>an order suspending the declaration of invalidity for any period and on any conditions, to allow the competent authority to correct the defect.</w:t>
      </w:r>
      <w:r w:rsidR="00897206">
        <w:rPr>
          <w:rFonts w:asciiTheme="minorBidi" w:hAnsiTheme="minorBidi" w:cstheme="minorBidi"/>
          <w:sz w:val="22"/>
          <w:szCs w:val="22"/>
        </w:rPr>
        <w:t>’</w:t>
      </w:r>
      <w:r w:rsidRPr="00FE0D9C">
        <w:rPr>
          <w:rFonts w:asciiTheme="minorBidi" w:hAnsiTheme="minorBidi" w:cstheme="minorBidi"/>
          <w:sz w:val="22"/>
          <w:szCs w:val="22"/>
        </w:rPr>
        <w:t xml:space="preserve"> </w:t>
      </w:r>
    </w:p>
    <w:p w:rsidR="00897206" w:rsidRPr="00FF3ED7" w:rsidRDefault="00897206" w:rsidP="00E43798">
      <w:pPr>
        <w:pStyle w:val="ListParagraph"/>
        <w:tabs>
          <w:tab w:val="left" w:pos="709"/>
        </w:tabs>
        <w:snapToGrid w:val="0"/>
        <w:spacing w:line="360" w:lineRule="auto"/>
        <w:ind w:left="0"/>
        <w:jc w:val="both"/>
        <w:rPr>
          <w:rFonts w:ascii="Arial" w:hAnsi="Arial" w:cs="Arial"/>
          <w:bCs/>
          <w:lang w:val="en-GB"/>
        </w:rPr>
      </w:pPr>
    </w:p>
    <w:p w:rsidR="00D77D4F" w:rsidRPr="00F42759" w:rsidRDefault="00F42759" w:rsidP="00F42759">
      <w:pPr>
        <w:tabs>
          <w:tab w:val="left" w:pos="709"/>
        </w:tabs>
        <w:spacing w:line="360" w:lineRule="auto"/>
        <w:jc w:val="both"/>
        <w:rPr>
          <w:rFonts w:ascii="Arial" w:hAnsi="Arial" w:cs="Arial"/>
          <w:bCs/>
          <w:lang w:val="en-GB"/>
        </w:rPr>
      </w:pPr>
      <w:r>
        <w:rPr>
          <w:rFonts w:ascii="Arial" w:eastAsiaTheme="minorHAnsi" w:hAnsi="Arial" w:cs="Arial"/>
          <w:bCs/>
          <w:lang w:val="en-GB" w:eastAsia="en-US" w:bidi="ar-SA"/>
        </w:rPr>
        <w:t>[93]</w:t>
      </w:r>
      <w:r>
        <w:rPr>
          <w:rFonts w:ascii="Arial" w:eastAsiaTheme="minorHAnsi" w:hAnsi="Arial" w:cs="Arial"/>
          <w:bCs/>
          <w:lang w:val="en-GB" w:eastAsia="en-US" w:bidi="ar-SA"/>
        </w:rPr>
        <w:tab/>
      </w:r>
      <w:r w:rsidR="00D77D4F" w:rsidRPr="00F42759">
        <w:rPr>
          <w:rFonts w:ascii="Arial" w:hAnsi="Arial" w:cs="Arial"/>
          <w:bCs/>
          <w:lang w:val="en-GB"/>
        </w:rPr>
        <w:t xml:space="preserve">Given the findings which I have come </w:t>
      </w:r>
      <w:r w:rsidR="00494C18" w:rsidRPr="00F42759">
        <w:rPr>
          <w:rFonts w:ascii="Arial" w:hAnsi="Arial" w:cs="Arial"/>
          <w:bCs/>
          <w:lang w:val="en-GB"/>
        </w:rPr>
        <w:t xml:space="preserve">to </w:t>
      </w:r>
      <w:r w:rsidR="00D77D4F" w:rsidRPr="00F42759">
        <w:rPr>
          <w:rFonts w:ascii="Arial" w:hAnsi="Arial" w:cs="Arial"/>
          <w:bCs/>
          <w:lang w:val="en-GB"/>
        </w:rPr>
        <w:t>regarding the circumstances under which the tender was awarded, and the contract concluded, I am obliged to find in terms of s 172(1)</w:t>
      </w:r>
      <w:r w:rsidR="00D77D4F" w:rsidRPr="00F42759">
        <w:rPr>
          <w:rFonts w:ascii="Arial" w:hAnsi="Arial" w:cs="Arial"/>
          <w:bCs/>
          <w:i/>
          <w:iCs/>
          <w:lang w:val="en-GB"/>
        </w:rPr>
        <w:t>(a)</w:t>
      </w:r>
      <w:r w:rsidR="00D77D4F" w:rsidRPr="00F42759">
        <w:rPr>
          <w:rFonts w:ascii="Arial" w:hAnsi="Arial" w:cs="Arial"/>
          <w:bCs/>
          <w:lang w:val="en-GB"/>
        </w:rPr>
        <w:t xml:space="preserve"> of the Constitution that the awarding of the tender to the Marothodi Metsi and Sebata Group is invalid, as is the conclusion of the contract with that entity. </w:t>
      </w:r>
    </w:p>
    <w:p w:rsidR="00D77D4F" w:rsidRDefault="00D77D4F" w:rsidP="00D77D4F">
      <w:pPr>
        <w:pStyle w:val="ListParagraph"/>
        <w:tabs>
          <w:tab w:val="left" w:pos="709"/>
        </w:tabs>
        <w:spacing w:line="360" w:lineRule="auto"/>
        <w:ind w:left="0"/>
        <w:jc w:val="both"/>
        <w:rPr>
          <w:rFonts w:ascii="Arial" w:hAnsi="Arial" w:cs="Arial"/>
          <w:bCs/>
          <w:lang w:val="en-GB"/>
        </w:rPr>
      </w:pPr>
      <w:r>
        <w:rPr>
          <w:rFonts w:ascii="Arial" w:hAnsi="Arial" w:cs="Arial"/>
          <w:bCs/>
          <w:lang w:val="en-GB"/>
        </w:rPr>
        <w:t>Such a finding was foreshadowed in the applicant’s</w:t>
      </w:r>
      <w:r w:rsidR="00CC43E4">
        <w:rPr>
          <w:rFonts w:ascii="Arial" w:hAnsi="Arial" w:cs="Arial"/>
          <w:bCs/>
          <w:lang w:val="en-GB"/>
        </w:rPr>
        <w:t xml:space="preserve"> answering affidavit in the review application.</w:t>
      </w:r>
      <w:r>
        <w:rPr>
          <w:rFonts w:ascii="Arial" w:hAnsi="Arial" w:cs="Arial"/>
          <w:bCs/>
          <w:lang w:val="en-GB"/>
        </w:rPr>
        <w:t xml:space="preserve"> </w:t>
      </w:r>
      <w:r w:rsidR="00CC43E4">
        <w:rPr>
          <w:rFonts w:ascii="Arial" w:hAnsi="Arial" w:cs="Arial"/>
          <w:bCs/>
          <w:lang w:val="en-GB"/>
        </w:rPr>
        <w:t>Mr Masomboka indicated</w:t>
      </w:r>
      <w:r w:rsidR="002A56BD">
        <w:rPr>
          <w:rFonts w:ascii="Arial" w:hAnsi="Arial" w:cs="Arial"/>
          <w:bCs/>
          <w:lang w:val="en-GB"/>
        </w:rPr>
        <w:t xml:space="preserve"> in that affidavit</w:t>
      </w:r>
      <w:r w:rsidR="00CC43E4">
        <w:rPr>
          <w:rFonts w:ascii="Arial" w:hAnsi="Arial" w:cs="Arial"/>
          <w:bCs/>
          <w:lang w:val="en-GB"/>
        </w:rPr>
        <w:t xml:space="preserve"> that if </w:t>
      </w:r>
      <w:r w:rsidR="00A24662">
        <w:rPr>
          <w:rFonts w:ascii="Arial" w:hAnsi="Arial" w:cs="Arial"/>
          <w:bCs/>
          <w:lang w:val="en-GB"/>
        </w:rPr>
        <w:t xml:space="preserve">such </w:t>
      </w:r>
      <w:r w:rsidR="001A4848">
        <w:rPr>
          <w:rFonts w:ascii="Arial" w:hAnsi="Arial" w:cs="Arial"/>
          <w:bCs/>
          <w:lang w:val="en-GB"/>
        </w:rPr>
        <w:t xml:space="preserve">a </w:t>
      </w:r>
      <w:r w:rsidR="00A24662">
        <w:rPr>
          <w:rFonts w:ascii="Arial" w:hAnsi="Arial" w:cs="Arial"/>
          <w:bCs/>
          <w:lang w:val="en-GB"/>
        </w:rPr>
        <w:t>finding is made</w:t>
      </w:r>
      <w:r w:rsidR="00CC43E4">
        <w:rPr>
          <w:rFonts w:ascii="Arial" w:hAnsi="Arial" w:cs="Arial"/>
          <w:bCs/>
          <w:lang w:val="en-GB"/>
        </w:rPr>
        <w:t>, then the applicant sought an order in terms of s 172(1)</w:t>
      </w:r>
      <w:r w:rsidR="00CC43E4" w:rsidRPr="002A56BD">
        <w:rPr>
          <w:rFonts w:ascii="Arial" w:hAnsi="Arial" w:cs="Arial"/>
          <w:bCs/>
          <w:i/>
          <w:lang w:val="en-GB"/>
        </w:rPr>
        <w:t xml:space="preserve">(b) </w:t>
      </w:r>
      <w:r w:rsidR="002A56BD" w:rsidRPr="002A56BD">
        <w:rPr>
          <w:rFonts w:ascii="Arial" w:hAnsi="Arial" w:cs="Arial"/>
          <w:bCs/>
          <w:lang w:val="en-GB"/>
        </w:rPr>
        <w:t xml:space="preserve">limiting the retrospective effect of invalidity </w:t>
      </w:r>
      <w:r w:rsidR="002A56BD">
        <w:rPr>
          <w:rFonts w:ascii="Arial" w:hAnsi="Arial" w:cs="Arial"/>
          <w:bCs/>
          <w:lang w:val="en-GB"/>
        </w:rPr>
        <w:t xml:space="preserve">and suspending the declaration </w:t>
      </w:r>
      <w:r w:rsidR="002A56BD" w:rsidRPr="002A56BD">
        <w:rPr>
          <w:rFonts w:ascii="Arial" w:hAnsi="Arial" w:cs="Arial"/>
          <w:bCs/>
          <w:lang w:val="en-GB"/>
        </w:rPr>
        <w:t>o</w:t>
      </w:r>
      <w:r w:rsidR="002A56BD">
        <w:rPr>
          <w:rFonts w:ascii="Arial" w:hAnsi="Arial" w:cs="Arial"/>
          <w:bCs/>
          <w:lang w:val="en-GB"/>
        </w:rPr>
        <w:t>f</w:t>
      </w:r>
      <w:r w:rsidR="002A56BD" w:rsidRPr="002A56BD">
        <w:rPr>
          <w:rFonts w:ascii="Arial" w:hAnsi="Arial" w:cs="Arial"/>
          <w:bCs/>
          <w:lang w:val="en-GB"/>
        </w:rPr>
        <w:t xml:space="preserve"> invalidity</w:t>
      </w:r>
      <w:r w:rsidR="002A56BD">
        <w:rPr>
          <w:rFonts w:ascii="Arial" w:hAnsi="Arial" w:cs="Arial"/>
          <w:bCs/>
          <w:lang w:val="en-GB"/>
        </w:rPr>
        <w:t xml:space="preserve"> until the end of the contractual period. </w:t>
      </w:r>
      <w:r w:rsidR="00595035">
        <w:rPr>
          <w:rFonts w:ascii="Arial" w:hAnsi="Arial" w:cs="Arial"/>
          <w:bCs/>
          <w:lang w:val="en-GB"/>
        </w:rPr>
        <w:t>However, b</w:t>
      </w:r>
      <w:r w:rsidR="002A56BD">
        <w:rPr>
          <w:rFonts w:ascii="Arial" w:hAnsi="Arial" w:cs="Arial"/>
          <w:bCs/>
          <w:lang w:val="en-GB"/>
        </w:rPr>
        <w:t xml:space="preserve">y the time that the applications were argued, the contractual period had expired </w:t>
      </w:r>
      <w:r w:rsidR="00595035">
        <w:rPr>
          <w:rFonts w:ascii="Arial" w:hAnsi="Arial" w:cs="Arial"/>
          <w:bCs/>
          <w:lang w:val="en-GB"/>
        </w:rPr>
        <w:t xml:space="preserve">through the effluxion of time </w:t>
      </w:r>
      <w:r w:rsidR="002A56BD">
        <w:rPr>
          <w:rFonts w:ascii="Arial" w:hAnsi="Arial" w:cs="Arial"/>
          <w:bCs/>
          <w:lang w:val="en-GB"/>
        </w:rPr>
        <w:t xml:space="preserve">and </w:t>
      </w:r>
      <w:r w:rsidR="00595035">
        <w:rPr>
          <w:rFonts w:ascii="Arial" w:hAnsi="Arial" w:cs="Arial"/>
          <w:bCs/>
          <w:lang w:val="en-GB"/>
        </w:rPr>
        <w:t xml:space="preserve">the latter </w:t>
      </w:r>
      <w:r w:rsidR="00A24662">
        <w:rPr>
          <w:rFonts w:ascii="Arial" w:hAnsi="Arial" w:cs="Arial"/>
          <w:bCs/>
          <w:lang w:val="en-GB"/>
        </w:rPr>
        <w:t>relief</w:t>
      </w:r>
      <w:r w:rsidR="00595035">
        <w:rPr>
          <w:rFonts w:ascii="Arial" w:hAnsi="Arial" w:cs="Arial"/>
          <w:bCs/>
          <w:lang w:val="en-GB"/>
        </w:rPr>
        <w:t xml:space="preserve"> fell away.</w:t>
      </w:r>
    </w:p>
    <w:p w:rsidR="00595035" w:rsidRDefault="00595035" w:rsidP="00595035">
      <w:pPr>
        <w:pStyle w:val="ListParagraph"/>
        <w:tabs>
          <w:tab w:val="left" w:pos="709"/>
        </w:tabs>
        <w:snapToGrid w:val="0"/>
        <w:spacing w:line="360" w:lineRule="auto"/>
        <w:ind w:left="0"/>
        <w:jc w:val="both"/>
        <w:rPr>
          <w:rFonts w:ascii="Arial" w:hAnsi="Arial" w:cs="Arial"/>
          <w:bCs/>
          <w:lang w:val="en-GB"/>
        </w:rPr>
      </w:pPr>
    </w:p>
    <w:p w:rsidR="00595035" w:rsidRPr="00F42759" w:rsidRDefault="00F42759" w:rsidP="00F42759">
      <w:pPr>
        <w:tabs>
          <w:tab w:val="left" w:pos="709"/>
        </w:tabs>
        <w:snapToGrid w:val="0"/>
        <w:spacing w:line="360" w:lineRule="auto"/>
        <w:jc w:val="both"/>
        <w:rPr>
          <w:rFonts w:ascii="Arial" w:hAnsi="Arial" w:cs="Arial"/>
          <w:bCs/>
          <w:lang w:val="en-GB"/>
        </w:rPr>
      </w:pPr>
      <w:r>
        <w:rPr>
          <w:rFonts w:ascii="Arial" w:eastAsiaTheme="minorHAnsi" w:hAnsi="Arial" w:cs="Arial"/>
          <w:bCs/>
          <w:lang w:val="en-GB" w:eastAsia="en-US" w:bidi="ar-SA"/>
        </w:rPr>
        <w:t>[94]</w:t>
      </w:r>
      <w:r>
        <w:rPr>
          <w:rFonts w:ascii="Arial" w:eastAsiaTheme="minorHAnsi" w:hAnsi="Arial" w:cs="Arial"/>
          <w:bCs/>
          <w:lang w:val="en-GB" w:eastAsia="en-US" w:bidi="ar-SA"/>
        </w:rPr>
        <w:tab/>
      </w:r>
      <w:r w:rsidR="00595035" w:rsidRPr="00F42759">
        <w:rPr>
          <w:rFonts w:ascii="Arial" w:hAnsi="Arial" w:cs="Arial"/>
          <w:bCs/>
          <w:lang w:val="en-GB"/>
        </w:rPr>
        <w:t>In advancing its claim for the remaining relief claimed in terms of s 172(1)</w:t>
      </w:r>
      <w:r w:rsidR="00595035" w:rsidRPr="00F42759">
        <w:rPr>
          <w:rFonts w:ascii="Arial" w:hAnsi="Arial" w:cs="Arial"/>
          <w:bCs/>
          <w:i/>
          <w:lang w:val="en-GB"/>
        </w:rPr>
        <w:t>(b)</w:t>
      </w:r>
      <w:r w:rsidR="00595035" w:rsidRPr="00F42759">
        <w:rPr>
          <w:rFonts w:ascii="Arial" w:hAnsi="Arial" w:cs="Arial"/>
          <w:bCs/>
          <w:lang w:val="en-GB"/>
        </w:rPr>
        <w:t>, the applicant seeks such an order to keep alive any claim that it may have for damages or lost expenses arising out of the implementation of the contract. This relief was justified, so the applicant submitted, by the fact that the first respondent solicited the services of the applicant and awarded it the contract, then unlawfully suspended the contract and then opportunistically sought to set aside the contract</w:t>
      </w:r>
    </w:p>
    <w:p w:rsidR="00595035" w:rsidRDefault="00595035" w:rsidP="00595035">
      <w:pPr>
        <w:pStyle w:val="ListParagraph"/>
        <w:tabs>
          <w:tab w:val="left" w:pos="709"/>
        </w:tabs>
        <w:snapToGrid w:val="0"/>
        <w:spacing w:line="360" w:lineRule="auto"/>
        <w:ind w:left="0"/>
        <w:jc w:val="both"/>
        <w:rPr>
          <w:rFonts w:ascii="Arial" w:hAnsi="Arial" w:cs="Arial"/>
          <w:bCs/>
          <w:sz w:val="22"/>
          <w:szCs w:val="22"/>
          <w:lang w:val="en-GB"/>
        </w:rPr>
      </w:pPr>
      <w:r w:rsidRPr="00595035">
        <w:rPr>
          <w:rFonts w:ascii="Arial" w:hAnsi="Arial" w:cs="Arial"/>
          <w:bCs/>
          <w:sz w:val="22"/>
          <w:szCs w:val="22"/>
          <w:lang w:val="en-GB"/>
        </w:rPr>
        <w:t>‘… when it no longer suited the Municipality to abide by the contract.’</w:t>
      </w:r>
    </w:p>
    <w:p w:rsidR="00A60602" w:rsidRPr="00A60602" w:rsidRDefault="00A60602" w:rsidP="00595035">
      <w:pPr>
        <w:pStyle w:val="ListParagraph"/>
        <w:tabs>
          <w:tab w:val="left" w:pos="709"/>
        </w:tabs>
        <w:snapToGrid w:val="0"/>
        <w:spacing w:line="360" w:lineRule="auto"/>
        <w:ind w:left="0"/>
        <w:jc w:val="both"/>
        <w:rPr>
          <w:rFonts w:ascii="Arial" w:hAnsi="Arial" w:cs="Arial"/>
          <w:bCs/>
          <w:lang w:val="en-GB"/>
        </w:rPr>
      </w:pPr>
    </w:p>
    <w:p w:rsidR="00404B78" w:rsidRPr="00F42759" w:rsidRDefault="00F42759" w:rsidP="00F42759">
      <w:pPr>
        <w:tabs>
          <w:tab w:val="left" w:pos="709"/>
        </w:tabs>
        <w:snapToGrid w:val="0"/>
        <w:spacing w:line="360" w:lineRule="auto"/>
        <w:jc w:val="both"/>
        <w:rPr>
          <w:rFonts w:ascii="Arial" w:hAnsi="Arial" w:cs="Arial"/>
          <w:bCs/>
          <w:lang w:val="en-GB"/>
        </w:rPr>
      </w:pPr>
      <w:r w:rsidRPr="00595035">
        <w:rPr>
          <w:rFonts w:ascii="Arial" w:eastAsiaTheme="minorHAnsi" w:hAnsi="Arial" w:cs="Arial"/>
          <w:bCs/>
          <w:lang w:val="en-GB" w:eastAsia="en-US" w:bidi="ar-SA"/>
        </w:rPr>
        <w:t>[95]</w:t>
      </w:r>
      <w:r w:rsidRPr="00595035">
        <w:rPr>
          <w:rFonts w:ascii="Arial" w:eastAsiaTheme="minorHAnsi" w:hAnsi="Arial" w:cs="Arial"/>
          <w:bCs/>
          <w:lang w:val="en-GB" w:eastAsia="en-US" w:bidi="ar-SA"/>
        </w:rPr>
        <w:tab/>
      </w:r>
      <w:r w:rsidR="00DC67EC" w:rsidRPr="00F42759">
        <w:rPr>
          <w:rFonts w:ascii="Arial" w:hAnsi="Arial" w:cs="Arial"/>
          <w:bCs/>
          <w:lang w:val="en-GB"/>
        </w:rPr>
        <w:t>Section</w:t>
      </w:r>
      <w:r w:rsidR="00C1517D" w:rsidRPr="00F42759">
        <w:rPr>
          <w:rFonts w:ascii="Arial" w:hAnsi="Arial" w:cs="Arial"/>
          <w:bCs/>
          <w:lang w:val="en-GB"/>
        </w:rPr>
        <w:t xml:space="preserve"> 172(1)</w:t>
      </w:r>
      <w:r w:rsidR="00C1517D" w:rsidRPr="00F42759">
        <w:rPr>
          <w:rFonts w:ascii="Arial" w:hAnsi="Arial" w:cs="Arial"/>
          <w:bCs/>
          <w:i/>
          <w:lang w:val="en-GB"/>
        </w:rPr>
        <w:t>(b)</w:t>
      </w:r>
      <w:r w:rsidR="00C1517D" w:rsidRPr="00F42759">
        <w:rPr>
          <w:rFonts w:ascii="Arial" w:hAnsi="Arial" w:cs="Arial"/>
          <w:bCs/>
          <w:lang w:val="en-GB"/>
        </w:rPr>
        <w:t xml:space="preserve"> of the Constitution</w:t>
      </w:r>
      <w:r w:rsidR="00DC67EC" w:rsidRPr="00F42759">
        <w:rPr>
          <w:rFonts w:ascii="Arial" w:hAnsi="Arial" w:cs="Arial"/>
          <w:bCs/>
          <w:lang w:val="en-GB"/>
        </w:rPr>
        <w:t xml:space="preserve"> endows this court with a discretion.</w:t>
      </w:r>
      <w:r w:rsidR="000C5266">
        <w:rPr>
          <w:rStyle w:val="FootnoteReference"/>
          <w:rFonts w:asciiTheme="minorBidi" w:hAnsiTheme="minorBidi"/>
          <w:bCs/>
          <w:lang w:val="en-GB"/>
        </w:rPr>
        <w:footnoteReference w:id="54"/>
      </w:r>
      <w:r w:rsidR="00DC67EC" w:rsidRPr="00F42759">
        <w:rPr>
          <w:rFonts w:asciiTheme="minorBidi" w:hAnsiTheme="minorBidi"/>
          <w:bCs/>
          <w:lang w:val="en-GB"/>
        </w:rPr>
        <w:t xml:space="preserve"> </w:t>
      </w:r>
      <w:r w:rsidR="00404B78" w:rsidRPr="00F42759">
        <w:rPr>
          <w:rFonts w:ascii="Arial" w:hAnsi="Arial" w:cs="Arial"/>
        </w:rPr>
        <w:t xml:space="preserve">In </w:t>
      </w:r>
      <w:r w:rsidR="00404B78" w:rsidRPr="00F42759">
        <w:rPr>
          <w:rFonts w:ascii="Arial" w:hAnsi="Arial" w:cs="Arial"/>
          <w:i/>
        </w:rPr>
        <w:t xml:space="preserve">Bengwenyama Minerals (Pty) Ltd and Others v Genorah Resources (Pty) Ltd and </w:t>
      </w:r>
      <w:r w:rsidR="00B5780B" w:rsidRPr="00F42759">
        <w:rPr>
          <w:rFonts w:ascii="Arial" w:hAnsi="Arial" w:cs="Arial"/>
          <w:i/>
        </w:rPr>
        <w:t>others</w:t>
      </w:r>
      <w:r w:rsidR="00404B78" w:rsidRPr="00F42759">
        <w:rPr>
          <w:rFonts w:ascii="Arial" w:hAnsi="Arial" w:cs="Arial"/>
        </w:rPr>
        <w:t>,</w:t>
      </w:r>
      <w:r w:rsidR="00404B78" w:rsidRPr="00404B78">
        <w:rPr>
          <w:rStyle w:val="FootnoteReference"/>
          <w:rFonts w:ascii="Arial" w:hAnsi="Arial" w:cs="Arial"/>
        </w:rPr>
        <w:footnoteReference w:id="55"/>
      </w:r>
      <w:r w:rsidR="00404B78" w:rsidRPr="00F42759">
        <w:rPr>
          <w:rFonts w:ascii="Arial" w:hAnsi="Arial" w:cs="Arial"/>
        </w:rPr>
        <w:t xml:space="preserve"> Froneman J held that this discretionary power follows upon an order of invalidity in terms of PAJA or the principle of legality. It is normally triggered under circumstances where parties have altered their position on the basis that the administrative action was valid and would be prejudiced if the administrative action is subsequently set aside. But in exercising this discretion, the court must be convinced to either exercise its discretion to grant a remedy or to refuse it. </w:t>
      </w:r>
      <w:r w:rsidR="007E716C" w:rsidRPr="00F42759">
        <w:rPr>
          <w:rFonts w:ascii="Arial" w:hAnsi="Arial" w:cs="Arial"/>
        </w:rPr>
        <w:t>The discretion is a true discretion.</w:t>
      </w:r>
      <w:r w:rsidR="007E716C">
        <w:rPr>
          <w:rStyle w:val="FootnoteReference"/>
          <w:rFonts w:ascii="Arial" w:hAnsi="Arial" w:cs="Arial"/>
        </w:rPr>
        <w:footnoteReference w:id="56"/>
      </w:r>
    </w:p>
    <w:p w:rsidR="00A92998" w:rsidRPr="00A92998" w:rsidRDefault="00A92998" w:rsidP="00A92998">
      <w:pPr>
        <w:pStyle w:val="ListParagraph"/>
        <w:tabs>
          <w:tab w:val="left" w:pos="709"/>
        </w:tabs>
        <w:spacing w:line="360" w:lineRule="auto"/>
        <w:ind w:left="0"/>
        <w:jc w:val="both"/>
        <w:rPr>
          <w:rFonts w:asciiTheme="minorBidi" w:hAnsiTheme="minorBidi"/>
          <w:bCs/>
          <w:lang w:val="en-GB"/>
        </w:rPr>
      </w:pPr>
    </w:p>
    <w:p w:rsidR="00A92998" w:rsidRPr="00F42759" w:rsidRDefault="00F42759" w:rsidP="00F42759">
      <w:pPr>
        <w:tabs>
          <w:tab w:val="left" w:pos="709"/>
        </w:tabs>
        <w:spacing w:line="360" w:lineRule="auto"/>
        <w:jc w:val="both"/>
        <w:rPr>
          <w:rFonts w:asciiTheme="minorBidi" w:hAnsiTheme="minorBidi"/>
          <w:bCs/>
          <w:lang w:val="en-GB"/>
        </w:rPr>
      </w:pPr>
      <w:r w:rsidRPr="00DC67EC">
        <w:rPr>
          <w:rFonts w:ascii="Arial" w:eastAsiaTheme="minorHAnsi" w:hAnsi="Arial" w:cstheme="minorBidi"/>
          <w:bCs/>
          <w:lang w:val="en-GB" w:eastAsia="en-US" w:bidi="ar-SA"/>
        </w:rPr>
        <w:t>[96]</w:t>
      </w:r>
      <w:r w:rsidRPr="00DC67EC">
        <w:rPr>
          <w:rFonts w:ascii="Arial" w:eastAsiaTheme="minorHAnsi" w:hAnsi="Arial" w:cstheme="minorBidi"/>
          <w:bCs/>
          <w:lang w:val="en-GB" w:eastAsia="en-US" w:bidi="ar-SA"/>
        </w:rPr>
        <w:tab/>
      </w:r>
      <w:r w:rsidR="00A92998" w:rsidRPr="00F42759">
        <w:rPr>
          <w:rFonts w:asciiTheme="minorBidi" w:hAnsiTheme="minorBidi"/>
          <w:bCs/>
          <w:lang w:val="en-GB"/>
        </w:rPr>
        <w:t xml:space="preserve">The court appears to have a wide remedial power to ensure that an injustice does not occur </w:t>
      </w:r>
      <w:r w:rsidR="001875AC" w:rsidRPr="00F42759">
        <w:rPr>
          <w:rFonts w:asciiTheme="minorBidi" w:hAnsiTheme="minorBidi"/>
          <w:bCs/>
          <w:lang w:val="en-GB"/>
        </w:rPr>
        <w:t>because of</w:t>
      </w:r>
      <w:r w:rsidR="00A92998" w:rsidRPr="00F42759">
        <w:rPr>
          <w:rFonts w:asciiTheme="minorBidi" w:hAnsiTheme="minorBidi"/>
          <w:bCs/>
          <w:lang w:val="en-GB"/>
        </w:rPr>
        <w:t xml:space="preserve"> a tender being set aside. In </w:t>
      </w:r>
      <w:r w:rsidR="00A92998" w:rsidRPr="00F42759">
        <w:rPr>
          <w:rFonts w:asciiTheme="minorBidi" w:hAnsiTheme="minorBidi"/>
          <w:bCs/>
          <w:i/>
          <w:lang w:val="en-GB"/>
        </w:rPr>
        <w:t>Gijima</w:t>
      </w:r>
      <w:r w:rsidR="00A92998" w:rsidRPr="00F42759">
        <w:rPr>
          <w:rFonts w:asciiTheme="minorBidi" w:hAnsiTheme="minorBidi"/>
          <w:bCs/>
          <w:lang w:val="en-GB"/>
        </w:rPr>
        <w:t>,</w:t>
      </w:r>
      <w:r w:rsidR="00A92998">
        <w:rPr>
          <w:rStyle w:val="FootnoteReference"/>
          <w:rFonts w:asciiTheme="minorBidi" w:hAnsiTheme="minorBidi"/>
          <w:bCs/>
          <w:lang w:val="en-GB"/>
        </w:rPr>
        <w:footnoteReference w:id="57"/>
      </w:r>
      <w:r w:rsidR="00A92998" w:rsidRPr="00F42759">
        <w:rPr>
          <w:rFonts w:asciiTheme="minorBidi" w:hAnsiTheme="minorBidi"/>
          <w:bCs/>
          <w:lang w:val="en-GB"/>
        </w:rPr>
        <w:t xml:space="preserve"> the court noted </w:t>
      </w:r>
      <w:r w:rsidR="00C96809" w:rsidRPr="00F42759">
        <w:rPr>
          <w:rFonts w:asciiTheme="minorBidi" w:hAnsiTheme="minorBidi"/>
          <w:bCs/>
          <w:lang w:val="en-GB"/>
        </w:rPr>
        <w:t>that a court hearing a constitutional matter</w:t>
      </w:r>
      <w:r w:rsidR="00A92998" w:rsidRPr="00F42759">
        <w:rPr>
          <w:rFonts w:asciiTheme="minorBidi" w:hAnsiTheme="minorBidi"/>
          <w:bCs/>
          <w:lang w:val="en-GB"/>
        </w:rPr>
        <w:t>:</w:t>
      </w:r>
    </w:p>
    <w:p w:rsidR="00A92998" w:rsidRDefault="00A92998" w:rsidP="00A92998">
      <w:pPr>
        <w:pStyle w:val="CommentText"/>
        <w:spacing w:line="360" w:lineRule="auto"/>
        <w:jc w:val="both"/>
        <w:rPr>
          <w:rFonts w:asciiTheme="minorBidi" w:hAnsiTheme="minorBidi" w:cstheme="minorBidi"/>
          <w:sz w:val="22"/>
          <w:szCs w:val="22"/>
        </w:rPr>
      </w:pPr>
      <w:r w:rsidRPr="00A92998">
        <w:rPr>
          <w:rStyle w:val="CommentReference"/>
          <w:rFonts w:asciiTheme="minorBidi" w:hAnsiTheme="minorBidi" w:cstheme="minorBidi"/>
          <w:sz w:val="22"/>
          <w:szCs w:val="22"/>
        </w:rPr>
        <w:t>‘</w:t>
      </w:r>
      <w:r w:rsidR="00C96809">
        <w:rPr>
          <w:rFonts w:asciiTheme="minorBidi" w:hAnsiTheme="minorBidi" w:cstheme="minorBidi"/>
          <w:sz w:val="22"/>
          <w:szCs w:val="22"/>
        </w:rPr>
        <w:t xml:space="preserve">… </w:t>
      </w:r>
      <w:r w:rsidRPr="00A92998">
        <w:rPr>
          <w:rFonts w:asciiTheme="minorBidi" w:hAnsiTheme="minorBidi" w:cstheme="minorBidi"/>
          <w:sz w:val="22"/>
          <w:szCs w:val="22"/>
        </w:rPr>
        <w:t>is empowered to make “any order that is just and equitable”.  So wide is that power that it is bounded only by considerations of justice and equity.’</w:t>
      </w:r>
    </w:p>
    <w:p w:rsidR="00C96809" w:rsidRPr="00A92998" w:rsidRDefault="00C96809" w:rsidP="00A92998">
      <w:pPr>
        <w:pStyle w:val="CommentText"/>
        <w:spacing w:line="360" w:lineRule="auto"/>
        <w:jc w:val="both"/>
        <w:rPr>
          <w:rStyle w:val="CommentReference"/>
          <w:rFonts w:asciiTheme="minorBidi" w:hAnsiTheme="minorBidi" w:cstheme="minorBidi"/>
          <w:sz w:val="22"/>
          <w:szCs w:val="22"/>
        </w:rPr>
      </w:pPr>
    </w:p>
    <w:p w:rsidR="007C3B9E" w:rsidRDefault="00F42759" w:rsidP="00F42759">
      <w:pPr>
        <w:pStyle w:val="CommentText"/>
        <w:tabs>
          <w:tab w:val="left" w:pos="709"/>
        </w:tabs>
        <w:spacing w:line="360" w:lineRule="auto"/>
        <w:jc w:val="both"/>
        <w:rPr>
          <w:rStyle w:val="CommentReference"/>
          <w:rFonts w:asciiTheme="minorBidi" w:hAnsiTheme="minorBidi" w:cstheme="minorBidi"/>
          <w:sz w:val="24"/>
          <w:szCs w:val="24"/>
        </w:rPr>
      </w:pPr>
      <w:r>
        <w:rPr>
          <w:rStyle w:val="CommentReference"/>
          <w:rFonts w:ascii="Arial" w:hAnsi="Arial" w:cstheme="minorBidi"/>
          <w:sz w:val="24"/>
          <w:szCs w:val="24"/>
        </w:rPr>
        <w:t>[97]</w:t>
      </w:r>
      <w:r>
        <w:rPr>
          <w:rStyle w:val="CommentReference"/>
          <w:rFonts w:ascii="Arial" w:hAnsi="Arial" w:cstheme="minorBidi"/>
          <w:sz w:val="24"/>
          <w:szCs w:val="24"/>
        </w:rPr>
        <w:tab/>
      </w:r>
      <w:r w:rsidR="00C96809">
        <w:rPr>
          <w:rStyle w:val="CommentReference"/>
          <w:rFonts w:asciiTheme="minorBidi" w:hAnsiTheme="minorBidi" w:cstheme="minorBidi"/>
          <w:sz w:val="24"/>
          <w:szCs w:val="24"/>
        </w:rPr>
        <w:t xml:space="preserve">In considering this issue, a court is required, to the extent possible, to classify the conduct of the </w:t>
      </w:r>
      <w:r w:rsidR="007C3B9E">
        <w:rPr>
          <w:rStyle w:val="CommentReference"/>
          <w:rFonts w:asciiTheme="minorBidi" w:hAnsiTheme="minorBidi" w:cstheme="minorBidi"/>
          <w:sz w:val="24"/>
          <w:szCs w:val="24"/>
        </w:rPr>
        <w:t xml:space="preserve">tenderer as being involved in, or free from, wrongdoing in the circumstances of the tender. As was stated in </w:t>
      </w:r>
      <w:r w:rsidR="007C3B9E" w:rsidRPr="007C3B9E">
        <w:rPr>
          <w:rFonts w:asciiTheme="minorBidi" w:hAnsiTheme="minorBidi" w:cstheme="minorBidi"/>
          <w:bCs/>
          <w:i/>
          <w:sz w:val="24"/>
          <w:szCs w:val="24"/>
          <w:lang w:val="en-US"/>
        </w:rPr>
        <w:t>Central Energy Fund SOC Ltd and another v Venus Rays Trade (Pty) Ltd and others</w:t>
      </w:r>
      <w:r w:rsidR="007C3B9E">
        <w:rPr>
          <w:rFonts w:asciiTheme="minorBidi" w:hAnsiTheme="minorBidi" w:cstheme="minorBidi"/>
          <w:bCs/>
          <w:iCs/>
          <w:sz w:val="24"/>
          <w:szCs w:val="24"/>
          <w:lang w:val="en-US"/>
        </w:rPr>
        <w:t>:</w:t>
      </w:r>
      <w:r w:rsidR="007C3B9E">
        <w:rPr>
          <w:rStyle w:val="FootnoteReference"/>
          <w:rFonts w:asciiTheme="minorBidi" w:hAnsiTheme="minorBidi" w:cstheme="minorBidi"/>
          <w:bCs/>
          <w:i/>
          <w:sz w:val="24"/>
          <w:szCs w:val="24"/>
          <w:lang w:val="en-US"/>
        </w:rPr>
        <w:footnoteReference w:id="58"/>
      </w:r>
    </w:p>
    <w:p w:rsidR="007C3B9E" w:rsidRDefault="007C3B9E" w:rsidP="007C3B9E">
      <w:pPr>
        <w:pStyle w:val="CommentText"/>
        <w:tabs>
          <w:tab w:val="left" w:pos="709"/>
        </w:tabs>
        <w:spacing w:line="360" w:lineRule="auto"/>
        <w:jc w:val="both"/>
        <w:rPr>
          <w:rFonts w:ascii="Arial" w:hAnsi="Arial" w:cs="Arial"/>
          <w:color w:val="000000"/>
          <w:sz w:val="22"/>
          <w:szCs w:val="22"/>
        </w:rPr>
      </w:pPr>
      <w:r w:rsidRPr="007C3B9E">
        <w:rPr>
          <w:rStyle w:val="CommentReference"/>
          <w:rFonts w:asciiTheme="minorBidi" w:hAnsiTheme="minorBidi" w:cstheme="minorBidi"/>
          <w:sz w:val="22"/>
          <w:szCs w:val="22"/>
        </w:rPr>
        <w:t>‘</w:t>
      </w:r>
      <w:r w:rsidRPr="007C3B9E">
        <w:rPr>
          <w:rFonts w:ascii="Arial" w:hAnsi="Arial" w:cs="Arial"/>
          <w:color w:val="242121"/>
          <w:sz w:val="22"/>
          <w:szCs w:val="22"/>
        </w:rPr>
        <w:t>The law draws a distinction between parties who are complicit in maladministration, impropriety, or corruption on the one hand, and those who are not, on the other. The category into which a party falls has a significant impact on the appropriate just and equitable remedy that a court may grant. Parties who are complicit in maladministration, impropriety or corruption are not only precluded from profiting from an unlawful tender, but they may also be required to suffer losses. On the other hand, although innocent parties are not entitled to benefit from an unlawful contract, they are not required to suffer any loss as a result of the invalidation of a contract.</w:t>
      </w:r>
      <w:r>
        <w:rPr>
          <w:rFonts w:ascii="Arial" w:hAnsi="Arial" w:cs="Arial"/>
          <w:color w:val="242121"/>
          <w:sz w:val="22"/>
          <w:szCs w:val="22"/>
        </w:rPr>
        <w:t>’</w:t>
      </w:r>
      <w:r w:rsidRPr="007C3B9E">
        <w:rPr>
          <w:rFonts w:asciiTheme="minorBidi" w:hAnsiTheme="minorBidi" w:cstheme="minorBidi"/>
          <w:sz w:val="22"/>
          <w:szCs w:val="22"/>
        </w:rPr>
        <w:t xml:space="preserve"> </w:t>
      </w:r>
      <w:r w:rsidR="004E2651">
        <w:rPr>
          <w:rFonts w:ascii="Arial" w:hAnsi="Arial" w:cs="Arial"/>
          <w:color w:val="000000"/>
          <w:sz w:val="22"/>
          <w:szCs w:val="22"/>
        </w:rPr>
        <w:t>(Footnotes omitted.)</w:t>
      </w:r>
    </w:p>
    <w:p w:rsidR="00A60602" w:rsidRPr="007C3B9E" w:rsidRDefault="00A60602" w:rsidP="007C3B9E">
      <w:pPr>
        <w:pStyle w:val="CommentText"/>
        <w:tabs>
          <w:tab w:val="left" w:pos="709"/>
        </w:tabs>
        <w:spacing w:line="360" w:lineRule="auto"/>
        <w:jc w:val="both"/>
        <w:rPr>
          <w:rFonts w:asciiTheme="minorBidi" w:hAnsiTheme="minorBidi" w:cstheme="minorBidi"/>
          <w:sz w:val="22"/>
          <w:szCs w:val="22"/>
        </w:rPr>
      </w:pPr>
    </w:p>
    <w:p w:rsidR="00A60602" w:rsidRPr="00F42759" w:rsidRDefault="00F42759" w:rsidP="00F42759">
      <w:pPr>
        <w:tabs>
          <w:tab w:val="left" w:pos="709"/>
        </w:tabs>
        <w:snapToGrid w:val="0"/>
        <w:spacing w:line="360" w:lineRule="auto"/>
        <w:jc w:val="both"/>
        <w:rPr>
          <w:rFonts w:ascii="Arial" w:hAnsi="Arial" w:cs="Arial"/>
          <w:bCs/>
          <w:lang w:val="en-GB"/>
        </w:rPr>
      </w:pPr>
      <w:r>
        <w:rPr>
          <w:rFonts w:ascii="Arial" w:eastAsiaTheme="minorHAnsi" w:hAnsi="Arial" w:cs="Arial"/>
          <w:bCs/>
          <w:lang w:val="en-GB" w:eastAsia="en-US" w:bidi="ar-SA"/>
        </w:rPr>
        <w:t>[98]</w:t>
      </w:r>
      <w:r>
        <w:rPr>
          <w:rFonts w:ascii="Arial" w:eastAsiaTheme="minorHAnsi" w:hAnsi="Arial" w:cs="Arial"/>
          <w:bCs/>
          <w:lang w:val="en-GB" w:eastAsia="en-US" w:bidi="ar-SA"/>
        </w:rPr>
        <w:tab/>
      </w:r>
      <w:r w:rsidR="00A60602" w:rsidRPr="00F42759">
        <w:rPr>
          <w:rFonts w:ascii="Arial" w:hAnsi="Arial" w:cs="Arial"/>
          <w:bCs/>
          <w:lang w:val="en-GB"/>
        </w:rPr>
        <w:t>In its heads of argument, the applicant draws attention to certain decided cases which deal with:</w:t>
      </w:r>
    </w:p>
    <w:p w:rsidR="00A60602" w:rsidRPr="00A60602" w:rsidRDefault="00A60602" w:rsidP="00A60602">
      <w:pPr>
        <w:tabs>
          <w:tab w:val="left" w:pos="709"/>
        </w:tabs>
        <w:snapToGrid w:val="0"/>
        <w:spacing w:line="360" w:lineRule="auto"/>
        <w:jc w:val="both"/>
        <w:rPr>
          <w:rFonts w:ascii="Arial" w:hAnsi="Arial" w:cs="Arial"/>
          <w:bCs/>
          <w:sz w:val="22"/>
          <w:szCs w:val="22"/>
          <w:lang w:val="en-GB"/>
        </w:rPr>
      </w:pPr>
      <w:r w:rsidRPr="00A60602">
        <w:rPr>
          <w:rFonts w:ascii="Arial" w:hAnsi="Arial" w:cs="Arial"/>
          <w:bCs/>
          <w:sz w:val="22"/>
          <w:szCs w:val="22"/>
          <w:lang w:val="en-GB"/>
        </w:rPr>
        <w:t>‘… a consideration of the losses suffered by an innocent tenderer …’.</w:t>
      </w:r>
    </w:p>
    <w:p w:rsidR="009B65AC" w:rsidRPr="00A60602" w:rsidRDefault="00A60602" w:rsidP="00A60602">
      <w:pPr>
        <w:tabs>
          <w:tab w:val="left" w:pos="709"/>
        </w:tabs>
        <w:snapToGrid w:val="0"/>
        <w:spacing w:line="360" w:lineRule="auto"/>
        <w:jc w:val="both"/>
        <w:rPr>
          <w:rFonts w:ascii="Arial" w:hAnsi="Arial" w:cs="Arial"/>
          <w:bCs/>
          <w:lang w:val="en-GB"/>
        </w:rPr>
      </w:pPr>
      <w:r w:rsidRPr="00A60602">
        <w:rPr>
          <w:rFonts w:ascii="Arial" w:hAnsi="Arial" w:cs="Arial"/>
          <w:bCs/>
          <w:lang w:val="en-GB"/>
        </w:rPr>
        <w:t>The applicant is not an innocent tenderer.</w:t>
      </w:r>
      <w:r>
        <w:rPr>
          <w:rFonts w:ascii="Arial" w:hAnsi="Arial" w:cs="Arial"/>
          <w:bCs/>
          <w:lang w:val="en-GB"/>
        </w:rPr>
        <w:t xml:space="preserve"> </w:t>
      </w:r>
      <w:r w:rsidR="00621711">
        <w:rPr>
          <w:rFonts w:ascii="Arial" w:hAnsi="Arial" w:cs="Arial"/>
          <w:bCs/>
          <w:lang w:val="en-GB"/>
        </w:rPr>
        <w:t xml:space="preserve">I must find that the applicant falls into the first category identified in </w:t>
      </w:r>
      <w:r w:rsidRPr="00A60602">
        <w:rPr>
          <w:rFonts w:ascii="Arial" w:hAnsi="Arial" w:cs="Arial"/>
          <w:bCs/>
          <w:i/>
          <w:lang w:val="en-GB"/>
        </w:rPr>
        <w:t>Venus Rays Trade</w:t>
      </w:r>
      <w:r>
        <w:rPr>
          <w:rFonts w:ascii="Arial" w:hAnsi="Arial" w:cs="Arial"/>
          <w:bCs/>
          <w:lang w:val="en-GB"/>
        </w:rPr>
        <w:t xml:space="preserve"> mentioned above</w:t>
      </w:r>
      <w:r w:rsidR="00621711">
        <w:rPr>
          <w:rFonts w:ascii="Arial" w:hAnsi="Arial" w:cs="Arial"/>
          <w:bCs/>
          <w:lang w:val="en-GB"/>
        </w:rPr>
        <w:t xml:space="preserve">. </w:t>
      </w:r>
      <w:r w:rsidR="009B65AC">
        <w:rPr>
          <w:rFonts w:ascii="Arial" w:hAnsi="Arial" w:cs="Arial"/>
          <w:bCs/>
          <w:lang w:val="en-GB"/>
        </w:rPr>
        <w:t>The grounds advanced by the applicant entitling it to an order in terms of s</w:t>
      </w:r>
      <w:r w:rsidR="00DC5349">
        <w:rPr>
          <w:rFonts w:ascii="Arial" w:hAnsi="Arial" w:cs="Arial"/>
          <w:bCs/>
          <w:lang w:val="en-GB"/>
        </w:rPr>
        <w:t> </w:t>
      </w:r>
      <w:r w:rsidR="009B65AC">
        <w:rPr>
          <w:rFonts w:ascii="Arial" w:hAnsi="Arial" w:cs="Arial"/>
          <w:bCs/>
          <w:lang w:val="en-GB"/>
        </w:rPr>
        <w:t>172(1)</w:t>
      </w:r>
      <w:r w:rsidR="009B65AC" w:rsidRPr="009B65AC">
        <w:rPr>
          <w:rFonts w:ascii="Arial" w:hAnsi="Arial" w:cs="Arial"/>
          <w:bCs/>
          <w:i/>
          <w:lang w:val="en-GB"/>
        </w:rPr>
        <w:t xml:space="preserve">(b) </w:t>
      </w:r>
      <w:r w:rsidR="009B65AC">
        <w:rPr>
          <w:rFonts w:ascii="Arial" w:hAnsi="Arial" w:cs="Arial"/>
          <w:bCs/>
          <w:lang w:val="en-GB"/>
        </w:rPr>
        <w:t>demonstrate a clear lack of insight into its own conduct. It fails to appreciate that the first respondent did not award the contract to the applicant: it was awarded to</w:t>
      </w:r>
      <w:r w:rsidR="009B65AC" w:rsidRPr="009B65AC">
        <w:rPr>
          <w:rFonts w:ascii="Arial" w:hAnsi="Arial" w:cs="Arial"/>
          <w:bCs/>
          <w:lang w:val="en-GB"/>
        </w:rPr>
        <w:t xml:space="preserve"> </w:t>
      </w:r>
      <w:r w:rsidR="009B65AC">
        <w:rPr>
          <w:rFonts w:ascii="Arial" w:hAnsi="Arial" w:cs="Arial"/>
          <w:bCs/>
          <w:lang w:val="en-GB"/>
        </w:rPr>
        <w:t>the Marothodi Metsi and Sebata Group. Further, the first respondent did not simply decide that it no longer wished to abide by the contract because it did not suit it to do so: it was compelled to act in the face of questionable conduct in the awarding of the contract.</w:t>
      </w:r>
    </w:p>
    <w:p w:rsidR="009B65AC" w:rsidRPr="009B65AC" w:rsidRDefault="009B65AC" w:rsidP="009B65AC">
      <w:pPr>
        <w:pStyle w:val="ListParagraph"/>
        <w:tabs>
          <w:tab w:val="left" w:pos="709"/>
        </w:tabs>
        <w:spacing w:line="360" w:lineRule="auto"/>
        <w:ind w:left="0"/>
        <w:jc w:val="both"/>
        <w:rPr>
          <w:rFonts w:ascii="Arial" w:hAnsi="Arial" w:cs="Arial"/>
          <w:bCs/>
          <w:sz w:val="22"/>
          <w:szCs w:val="22"/>
          <w:lang w:val="en-GB"/>
        </w:rPr>
      </w:pPr>
      <w:r>
        <w:rPr>
          <w:rFonts w:ascii="Arial" w:hAnsi="Arial" w:cs="Arial"/>
          <w:bCs/>
          <w:lang w:val="en-GB"/>
        </w:rPr>
        <w:t xml:space="preserve"> </w:t>
      </w:r>
    </w:p>
    <w:p w:rsidR="0040111C" w:rsidRPr="00F42759" w:rsidRDefault="00F42759" w:rsidP="00F42759">
      <w:pPr>
        <w:tabs>
          <w:tab w:val="left" w:pos="709"/>
        </w:tabs>
        <w:spacing w:line="360" w:lineRule="auto"/>
        <w:jc w:val="both"/>
        <w:rPr>
          <w:rFonts w:ascii="Arial" w:hAnsi="Arial" w:cs="Arial"/>
          <w:bCs/>
          <w:sz w:val="22"/>
          <w:szCs w:val="22"/>
          <w:lang w:val="en-GB"/>
        </w:rPr>
      </w:pPr>
      <w:r w:rsidRPr="009B65AC">
        <w:rPr>
          <w:rFonts w:ascii="Arial" w:eastAsiaTheme="minorHAnsi" w:hAnsi="Arial" w:cs="Arial"/>
          <w:bCs/>
          <w:lang w:val="en-GB" w:eastAsia="en-US" w:bidi="ar-SA"/>
        </w:rPr>
        <w:t>[99]</w:t>
      </w:r>
      <w:r w:rsidRPr="009B65AC">
        <w:rPr>
          <w:rFonts w:ascii="Arial" w:eastAsiaTheme="minorHAnsi" w:hAnsi="Arial" w:cs="Arial"/>
          <w:bCs/>
          <w:lang w:val="en-GB" w:eastAsia="en-US" w:bidi="ar-SA"/>
        </w:rPr>
        <w:tab/>
      </w:r>
      <w:r w:rsidR="004E2651" w:rsidRPr="00F42759">
        <w:rPr>
          <w:rFonts w:ascii="Arial" w:hAnsi="Arial" w:cs="Arial"/>
          <w:bCs/>
          <w:lang w:val="en-GB"/>
        </w:rPr>
        <w:t xml:space="preserve">The first respondent does not seek any order relating to the applicant disgorging any benefits that it thus far may have received. Mr Broster submitted merely that there was nothing further owing to the applicant as it had been paid for those services that it had </w:t>
      </w:r>
      <w:r w:rsidR="00D4576A" w:rsidRPr="00F42759">
        <w:rPr>
          <w:rFonts w:ascii="Arial" w:hAnsi="Arial" w:cs="Arial"/>
          <w:bCs/>
          <w:lang w:val="en-GB"/>
        </w:rPr>
        <w:t xml:space="preserve">already </w:t>
      </w:r>
      <w:r w:rsidR="004E2651" w:rsidRPr="00F42759">
        <w:rPr>
          <w:rFonts w:ascii="Arial" w:hAnsi="Arial" w:cs="Arial"/>
          <w:bCs/>
          <w:lang w:val="en-GB"/>
        </w:rPr>
        <w:t>rendered. His argument was simply that the applicant is not entitled to any further benefits. In my view, b</w:t>
      </w:r>
      <w:r w:rsidR="0011795A" w:rsidRPr="00F42759">
        <w:rPr>
          <w:rFonts w:ascii="Arial" w:hAnsi="Arial" w:cs="Arial"/>
          <w:bCs/>
          <w:lang w:val="en-GB"/>
        </w:rPr>
        <w:t>ecause of the conduct of the applicant</w:t>
      </w:r>
      <w:r w:rsidR="004E2651" w:rsidRPr="00F42759">
        <w:rPr>
          <w:rFonts w:ascii="Arial" w:hAnsi="Arial" w:cs="Arial"/>
          <w:bCs/>
          <w:lang w:val="en-GB"/>
        </w:rPr>
        <w:t xml:space="preserve"> as already described</w:t>
      </w:r>
      <w:r w:rsidR="00CE5E2B" w:rsidRPr="00F42759">
        <w:rPr>
          <w:rFonts w:ascii="Arial" w:hAnsi="Arial" w:cs="Arial"/>
          <w:bCs/>
          <w:lang w:val="en-GB"/>
        </w:rPr>
        <w:t>,</w:t>
      </w:r>
      <w:r w:rsidR="0011795A" w:rsidRPr="00F42759">
        <w:rPr>
          <w:rFonts w:ascii="Arial" w:hAnsi="Arial" w:cs="Arial"/>
          <w:bCs/>
          <w:lang w:val="en-GB"/>
        </w:rPr>
        <w:t xml:space="preserve"> it is inappropriate to allow </w:t>
      </w:r>
      <w:r w:rsidR="001875AC" w:rsidRPr="00F42759">
        <w:rPr>
          <w:rFonts w:ascii="Arial" w:hAnsi="Arial" w:cs="Arial"/>
          <w:bCs/>
          <w:lang w:val="en-GB"/>
        </w:rPr>
        <w:t>the applicant</w:t>
      </w:r>
      <w:r w:rsidR="0011795A" w:rsidRPr="00F42759">
        <w:rPr>
          <w:rFonts w:ascii="Arial" w:hAnsi="Arial" w:cs="Arial"/>
          <w:bCs/>
          <w:lang w:val="en-GB"/>
        </w:rPr>
        <w:t xml:space="preserve"> the relief that it seeks in terms of s</w:t>
      </w:r>
      <w:r w:rsidR="00DC5349" w:rsidRPr="00F42759">
        <w:rPr>
          <w:rFonts w:ascii="Arial" w:hAnsi="Arial" w:cs="Arial"/>
          <w:bCs/>
          <w:lang w:val="en-GB"/>
        </w:rPr>
        <w:t> </w:t>
      </w:r>
      <w:r w:rsidR="0011795A" w:rsidRPr="00F42759">
        <w:rPr>
          <w:rFonts w:ascii="Arial" w:hAnsi="Arial" w:cs="Arial"/>
          <w:bCs/>
          <w:lang w:val="en-GB"/>
        </w:rPr>
        <w:t>172(1)</w:t>
      </w:r>
      <w:r w:rsidR="0011795A" w:rsidRPr="00F42759">
        <w:rPr>
          <w:rFonts w:ascii="Arial" w:hAnsi="Arial" w:cs="Arial"/>
          <w:bCs/>
          <w:i/>
          <w:lang w:val="en-GB"/>
        </w:rPr>
        <w:t>(b)</w:t>
      </w:r>
      <w:r w:rsidR="0011795A" w:rsidRPr="00F42759">
        <w:rPr>
          <w:rFonts w:ascii="Arial" w:hAnsi="Arial" w:cs="Arial"/>
          <w:bCs/>
          <w:lang w:val="en-GB"/>
        </w:rPr>
        <w:t xml:space="preserve">. </w:t>
      </w:r>
      <w:r w:rsidR="009F373C" w:rsidRPr="00F42759">
        <w:rPr>
          <w:rFonts w:ascii="Arial" w:hAnsi="Arial" w:cs="Arial"/>
          <w:bCs/>
          <w:lang w:val="en-GB"/>
        </w:rPr>
        <w:t>I</w:t>
      </w:r>
      <w:r w:rsidR="0011795A" w:rsidRPr="00F42759">
        <w:rPr>
          <w:rFonts w:ascii="Arial" w:hAnsi="Arial" w:cs="Arial"/>
          <w:bCs/>
          <w:lang w:val="en-GB"/>
        </w:rPr>
        <w:t xml:space="preserve"> accordingly decline to </w:t>
      </w:r>
      <w:r w:rsidR="009F373C" w:rsidRPr="00F42759">
        <w:rPr>
          <w:rFonts w:ascii="Arial" w:hAnsi="Arial" w:cs="Arial"/>
          <w:bCs/>
          <w:lang w:val="en-GB"/>
        </w:rPr>
        <w:t>grant any such order.</w:t>
      </w:r>
    </w:p>
    <w:p w:rsidR="009B65AC" w:rsidRDefault="009B65AC" w:rsidP="009B65AC">
      <w:pPr>
        <w:pStyle w:val="ListParagraph"/>
        <w:tabs>
          <w:tab w:val="left" w:pos="709"/>
        </w:tabs>
        <w:spacing w:line="360" w:lineRule="auto"/>
        <w:ind w:left="0"/>
        <w:jc w:val="both"/>
        <w:rPr>
          <w:rFonts w:ascii="Arial" w:hAnsi="Arial" w:cs="Arial"/>
          <w:bCs/>
          <w:sz w:val="22"/>
          <w:szCs w:val="22"/>
          <w:lang w:val="en-GB"/>
        </w:rPr>
      </w:pPr>
    </w:p>
    <w:p w:rsidR="00D4576A" w:rsidRDefault="00D4576A" w:rsidP="009B65AC">
      <w:pPr>
        <w:pStyle w:val="ListParagraph"/>
        <w:tabs>
          <w:tab w:val="left" w:pos="709"/>
        </w:tabs>
        <w:spacing w:line="360" w:lineRule="auto"/>
        <w:ind w:left="0"/>
        <w:jc w:val="both"/>
        <w:rPr>
          <w:rFonts w:ascii="Arial" w:hAnsi="Arial" w:cs="Arial"/>
          <w:bCs/>
          <w:sz w:val="22"/>
          <w:szCs w:val="22"/>
          <w:lang w:val="en-GB"/>
        </w:rPr>
      </w:pPr>
    </w:p>
    <w:p w:rsidR="00D4576A" w:rsidRPr="00404B78" w:rsidRDefault="00D4576A" w:rsidP="009B65AC">
      <w:pPr>
        <w:pStyle w:val="ListParagraph"/>
        <w:tabs>
          <w:tab w:val="left" w:pos="709"/>
        </w:tabs>
        <w:spacing w:line="360" w:lineRule="auto"/>
        <w:ind w:left="0"/>
        <w:jc w:val="both"/>
        <w:rPr>
          <w:rFonts w:ascii="Arial" w:hAnsi="Arial" w:cs="Arial"/>
          <w:bCs/>
          <w:sz w:val="22"/>
          <w:szCs w:val="22"/>
          <w:lang w:val="en-GB"/>
        </w:rPr>
      </w:pPr>
    </w:p>
    <w:p w:rsidR="005E09A3" w:rsidRPr="005E09A3" w:rsidRDefault="005E09A3" w:rsidP="009F373C">
      <w:pPr>
        <w:pStyle w:val="ListParagraph"/>
        <w:tabs>
          <w:tab w:val="left" w:pos="709"/>
        </w:tabs>
        <w:spacing w:line="360" w:lineRule="auto"/>
        <w:ind w:left="0"/>
        <w:jc w:val="both"/>
        <w:rPr>
          <w:rFonts w:ascii="Arial" w:hAnsi="Arial" w:cs="Arial"/>
          <w:b/>
          <w:bCs/>
          <w:lang w:val="en-GB"/>
        </w:rPr>
      </w:pPr>
      <w:r>
        <w:rPr>
          <w:rFonts w:ascii="Arial" w:hAnsi="Arial" w:cs="Arial"/>
          <w:b/>
          <w:bCs/>
          <w:lang w:val="en-GB"/>
        </w:rPr>
        <w:t>The u</w:t>
      </w:r>
      <w:r w:rsidRPr="005E09A3">
        <w:rPr>
          <w:rFonts w:ascii="Arial" w:hAnsi="Arial" w:cs="Arial"/>
          <w:b/>
          <w:bCs/>
          <w:lang w:val="en-GB"/>
        </w:rPr>
        <w:t>rgent application and application for rectification of the contract</w:t>
      </w:r>
    </w:p>
    <w:p w:rsidR="001A1BE9" w:rsidRPr="00F42759" w:rsidRDefault="00F42759" w:rsidP="00F42759">
      <w:pPr>
        <w:spacing w:line="360" w:lineRule="auto"/>
        <w:jc w:val="both"/>
        <w:rPr>
          <w:rFonts w:ascii="Arial" w:hAnsi="Arial" w:cs="Arial"/>
          <w:bCs/>
          <w:sz w:val="22"/>
          <w:szCs w:val="22"/>
          <w:lang w:val="en-GB"/>
        </w:rPr>
      </w:pPr>
      <w:r w:rsidRPr="001A1BE9">
        <w:rPr>
          <w:rFonts w:ascii="Arial" w:eastAsiaTheme="minorHAnsi" w:hAnsi="Arial" w:cs="Arial"/>
          <w:bCs/>
          <w:lang w:val="en-GB" w:eastAsia="en-US" w:bidi="ar-SA"/>
        </w:rPr>
        <w:t>[100]</w:t>
      </w:r>
      <w:r w:rsidRPr="001A1BE9">
        <w:rPr>
          <w:rFonts w:ascii="Arial" w:eastAsiaTheme="minorHAnsi" w:hAnsi="Arial" w:cs="Arial"/>
          <w:bCs/>
          <w:lang w:val="en-GB" w:eastAsia="en-US" w:bidi="ar-SA"/>
        </w:rPr>
        <w:tab/>
      </w:r>
      <w:r w:rsidR="005E09A3" w:rsidRPr="00F42759">
        <w:rPr>
          <w:rFonts w:ascii="Arial" w:hAnsi="Arial" w:cs="Arial"/>
          <w:bCs/>
          <w:lang w:val="en-GB"/>
        </w:rPr>
        <w:t xml:space="preserve">As the contract </w:t>
      </w:r>
      <w:r w:rsidR="00621711" w:rsidRPr="00F42759">
        <w:rPr>
          <w:rFonts w:ascii="Arial" w:hAnsi="Arial" w:cs="Arial"/>
          <w:bCs/>
          <w:lang w:val="en-GB"/>
        </w:rPr>
        <w:t>is to be set aside</w:t>
      </w:r>
      <w:r w:rsidR="005E09A3" w:rsidRPr="00F42759">
        <w:rPr>
          <w:rFonts w:ascii="Arial" w:hAnsi="Arial" w:cs="Arial"/>
          <w:bCs/>
          <w:lang w:val="en-GB"/>
        </w:rPr>
        <w:t>, the</w:t>
      </w:r>
      <w:r w:rsidR="001A1BE9" w:rsidRPr="00F42759">
        <w:rPr>
          <w:rFonts w:ascii="Arial" w:hAnsi="Arial" w:cs="Arial"/>
          <w:bCs/>
          <w:lang w:val="en-GB"/>
        </w:rPr>
        <w:t xml:space="preserve"> urgent application must fail</w:t>
      </w:r>
      <w:r w:rsidR="00DC5349" w:rsidRPr="00F42759">
        <w:rPr>
          <w:rFonts w:ascii="Arial" w:hAnsi="Arial" w:cs="Arial"/>
          <w:bCs/>
          <w:lang w:val="en-GB"/>
        </w:rPr>
        <w:t>,</w:t>
      </w:r>
      <w:r w:rsidR="001A1BE9" w:rsidRPr="00F42759">
        <w:rPr>
          <w:rFonts w:ascii="Arial" w:hAnsi="Arial" w:cs="Arial"/>
          <w:bCs/>
          <w:lang w:val="en-GB"/>
        </w:rPr>
        <w:t xml:space="preserve"> as must the rectification application.</w:t>
      </w:r>
    </w:p>
    <w:p w:rsidR="005E09A3" w:rsidRDefault="001A1BE9" w:rsidP="001A1BE9">
      <w:pPr>
        <w:pStyle w:val="ListParagraph"/>
        <w:spacing w:line="360" w:lineRule="auto"/>
        <w:ind w:left="0"/>
        <w:jc w:val="both"/>
        <w:rPr>
          <w:rFonts w:ascii="Arial" w:hAnsi="Arial" w:cs="Arial"/>
          <w:bCs/>
          <w:sz w:val="22"/>
          <w:szCs w:val="22"/>
          <w:lang w:val="en-GB"/>
        </w:rPr>
      </w:pPr>
      <w:r>
        <w:rPr>
          <w:rFonts w:ascii="Arial" w:hAnsi="Arial" w:cs="Arial"/>
          <w:bCs/>
          <w:sz w:val="22"/>
          <w:szCs w:val="22"/>
          <w:lang w:val="en-GB"/>
        </w:rPr>
        <w:t xml:space="preserve"> </w:t>
      </w:r>
    </w:p>
    <w:p w:rsidR="005E09A3" w:rsidRPr="0045582D" w:rsidRDefault="005E09A3" w:rsidP="009F373C">
      <w:pPr>
        <w:pStyle w:val="ListParagraph"/>
        <w:tabs>
          <w:tab w:val="left" w:pos="709"/>
        </w:tabs>
        <w:spacing w:line="360" w:lineRule="auto"/>
        <w:ind w:left="0"/>
        <w:jc w:val="both"/>
        <w:rPr>
          <w:rFonts w:ascii="Arial" w:hAnsi="Arial" w:cs="Arial"/>
          <w:b/>
          <w:bCs/>
          <w:szCs w:val="22"/>
          <w:lang w:val="en-GB"/>
        </w:rPr>
      </w:pPr>
      <w:r w:rsidRPr="0045582D">
        <w:rPr>
          <w:rFonts w:ascii="Arial" w:hAnsi="Arial" w:cs="Arial"/>
          <w:b/>
          <w:bCs/>
          <w:szCs w:val="22"/>
          <w:lang w:val="en-GB"/>
        </w:rPr>
        <w:t>Costs</w:t>
      </w:r>
    </w:p>
    <w:p w:rsidR="000C5266" w:rsidRPr="00F42759" w:rsidRDefault="00F42759" w:rsidP="00F42759">
      <w:pPr>
        <w:tabs>
          <w:tab w:val="left" w:pos="709"/>
        </w:tabs>
        <w:spacing w:line="360" w:lineRule="auto"/>
        <w:jc w:val="both"/>
        <w:rPr>
          <w:rFonts w:ascii="Arial" w:hAnsi="Arial" w:cs="Arial"/>
          <w:bCs/>
          <w:sz w:val="22"/>
          <w:szCs w:val="22"/>
          <w:lang w:val="en-GB"/>
        </w:rPr>
      </w:pPr>
      <w:r w:rsidRPr="000C5266">
        <w:rPr>
          <w:rFonts w:ascii="Arial" w:eastAsiaTheme="minorHAnsi" w:hAnsi="Arial" w:cs="Arial"/>
          <w:bCs/>
          <w:lang w:val="en-GB" w:eastAsia="en-US" w:bidi="ar-SA"/>
        </w:rPr>
        <w:t>[101]</w:t>
      </w:r>
      <w:r w:rsidRPr="000C5266">
        <w:rPr>
          <w:rFonts w:ascii="Arial" w:eastAsiaTheme="minorHAnsi" w:hAnsi="Arial" w:cs="Arial"/>
          <w:bCs/>
          <w:lang w:val="en-GB" w:eastAsia="en-US" w:bidi="ar-SA"/>
        </w:rPr>
        <w:tab/>
      </w:r>
      <w:r w:rsidR="00F863C7" w:rsidRPr="00F42759">
        <w:rPr>
          <w:rFonts w:asciiTheme="minorBidi" w:hAnsiTheme="minorBidi"/>
          <w:lang w:val="en-GB"/>
        </w:rPr>
        <w:t>The first respondent</w:t>
      </w:r>
      <w:r w:rsidR="00F863C7" w:rsidRPr="00F42759">
        <w:rPr>
          <w:rFonts w:ascii="Arial" w:hAnsi="Arial" w:cs="Arial"/>
          <w:lang w:val="en-GB"/>
        </w:rPr>
        <w:t xml:space="preserve"> has succeeded in its review application and there is no reason why costs should not follow the result. The first respondent wisely employed two counsel and the costs ordered must cover the costs </w:t>
      </w:r>
      <w:r w:rsidR="00EB10E5" w:rsidRPr="00F42759">
        <w:rPr>
          <w:rFonts w:ascii="Arial" w:hAnsi="Arial" w:cs="Arial"/>
          <w:lang w:val="en-GB"/>
        </w:rPr>
        <w:t xml:space="preserve">of those two counsel. </w:t>
      </w:r>
      <w:r w:rsidR="000C5266" w:rsidRPr="00F42759">
        <w:rPr>
          <w:rFonts w:ascii="Arial" w:hAnsi="Arial" w:cs="Arial"/>
          <w:lang w:val="en-GB"/>
        </w:rPr>
        <w:t>The same order as to costs must issue with regard to the failed urgent application and the failed rectification application.</w:t>
      </w:r>
    </w:p>
    <w:p w:rsidR="00B950DA" w:rsidRDefault="000C5266" w:rsidP="000C5266">
      <w:pPr>
        <w:pStyle w:val="ListParagraph"/>
        <w:tabs>
          <w:tab w:val="left" w:pos="709"/>
        </w:tabs>
        <w:spacing w:line="360" w:lineRule="auto"/>
        <w:ind w:left="0"/>
        <w:jc w:val="both"/>
        <w:rPr>
          <w:rFonts w:ascii="Arial" w:hAnsi="Arial" w:cs="Arial"/>
          <w:bCs/>
          <w:sz w:val="22"/>
          <w:szCs w:val="22"/>
          <w:lang w:val="en-GB"/>
        </w:rPr>
      </w:pPr>
      <w:r w:rsidRPr="00B950DA">
        <w:rPr>
          <w:rFonts w:ascii="Arial" w:hAnsi="Arial" w:cs="Arial"/>
          <w:bCs/>
          <w:sz w:val="22"/>
          <w:szCs w:val="22"/>
          <w:lang w:val="en-GB"/>
        </w:rPr>
        <w:t xml:space="preserve"> </w:t>
      </w:r>
    </w:p>
    <w:p w:rsidR="00CE5E2B" w:rsidRPr="00456D16" w:rsidRDefault="00CE5E2B" w:rsidP="000C5266">
      <w:pPr>
        <w:pStyle w:val="ListParagraph"/>
        <w:tabs>
          <w:tab w:val="left" w:pos="709"/>
        </w:tabs>
        <w:spacing w:line="360" w:lineRule="auto"/>
        <w:ind w:left="0"/>
        <w:jc w:val="both"/>
        <w:rPr>
          <w:rFonts w:ascii="Arial" w:hAnsi="Arial" w:cs="Arial"/>
          <w:b/>
          <w:bCs/>
          <w:szCs w:val="22"/>
          <w:lang w:val="en-GB"/>
        </w:rPr>
      </w:pPr>
      <w:r w:rsidRPr="00456D16">
        <w:rPr>
          <w:rFonts w:ascii="Arial" w:hAnsi="Arial" w:cs="Arial"/>
          <w:b/>
          <w:bCs/>
          <w:szCs w:val="22"/>
          <w:lang w:val="en-GB"/>
        </w:rPr>
        <w:t>Order</w:t>
      </w:r>
    </w:p>
    <w:p w:rsidR="00C8605D" w:rsidRPr="00F42759" w:rsidRDefault="00F42759" w:rsidP="00F42759">
      <w:pPr>
        <w:tabs>
          <w:tab w:val="left" w:pos="709"/>
        </w:tabs>
        <w:spacing w:line="360" w:lineRule="auto"/>
        <w:jc w:val="both"/>
        <w:rPr>
          <w:rFonts w:ascii="Arial" w:hAnsi="Arial" w:cs="Arial"/>
          <w:bCs/>
          <w:sz w:val="22"/>
          <w:szCs w:val="22"/>
          <w:lang w:val="en-GB"/>
        </w:rPr>
      </w:pPr>
      <w:r w:rsidRPr="0010579F">
        <w:rPr>
          <w:rFonts w:ascii="Arial" w:eastAsiaTheme="minorHAnsi" w:hAnsi="Arial" w:cs="Arial"/>
          <w:bCs/>
          <w:lang w:val="en-GB" w:eastAsia="en-US" w:bidi="ar-SA"/>
        </w:rPr>
        <w:t>[102]</w:t>
      </w:r>
      <w:r w:rsidRPr="0010579F">
        <w:rPr>
          <w:rFonts w:ascii="Arial" w:eastAsiaTheme="minorHAnsi" w:hAnsi="Arial" w:cs="Arial"/>
          <w:bCs/>
          <w:lang w:val="en-GB" w:eastAsia="en-US" w:bidi="ar-SA"/>
        </w:rPr>
        <w:tab/>
      </w:r>
      <w:r w:rsidR="00635BA5" w:rsidRPr="00F42759">
        <w:rPr>
          <w:rFonts w:ascii="Arial" w:hAnsi="Arial" w:cs="Arial"/>
          <w:lang w:val="en-GB"/>
        </w:rPr>
        <w:t>I accordingly grant the following order:</w:t>
      </w:r>
    </w:p>
    <w:p w:rsidR="007A3FD9" w:rsidRPr="00F42759" w:rsidRDefault="00F42759" w:rsidP="00F42759">
      <w:pPr>
        <w:tabs>
          <w:tab w:val="left" w:pos="709"/>
        </w:tabs>
        <w:spacing w:line="360" w:lineRule="auto"/>
        <w:jc w:val="both"/>
        <w:rPr>
          <w:rFonts w:ascii="Arial" w:hAnsi="Arial" w:cs="Arial"/>
        </w:rPr>
      </w:pPr>
      <w:r w:rsidRPr="007A3FD9">
        <w:rPr>
          <w:rFonts w:ascii="Arial" w:eastAsiaTheme="minorHAnsi" w:hAnsi="Arial" w:cs="Arial"/>
          <w:lang w:eastAsia="en-US" w:bidi="ar-SA"/>
        </w:rPr>
        <w:t>1.</w:t>
      </w:r>
      <w:r w:rsidRPr="007A3FD9">
        <w:rPr>
          <w:rFonts w:ascii="Arial" w:eastAsiaTheme="minorHAnsi" w:hAnsi="Arial" w:cs="Arial"/>
          <w:lang w:eastAsia="en-US" w:bidi="ar-SA"/>
        </w:rPr>
        <w:tab/>
      </w:r>
      <w:r w:rsidR="007A3FD9" w:rsidRPr="00F42759">
        <w:rPr>
          <w:rFonts w:ascii="Arial" w:hAnsi="Arial" w:cs="Arial"/>
          <w:u w:val="single"/>
        </w:rPr>
        <w:t>The money judgment</w:t>
      </w:r>
      <w:r w:rsidR="007A3FD9" w:rsidRPr="00F42759">
        <w:rPr>
          <w:rFonts w:ascii="Arial" w:hAnsi="Arial" w:cs="Arial"/>
        </w:rPr>
        <w:t>:</w:t>
      </w:r>
    </w:p>
    <w:p w:rsidR="007A3FD9" w:rsidRPr="00F42759" w:rsidRDefault="00F42759" w:rsidP="00F42759">
      <w:pPr>
        <w:tabs>
          <w:tab w:val="left" w:pos="709"/>
        </w:tabs>
        <w:spacing w:line="360" w:lineRule="auto"/>
        <w:jc w:val="both"/>
        <w:rPr>
          <w:rFonts w:ascii="Arial" w:hAnsi="Arial" w:cs="Arial"/>
        </w:rPr>
      </w:pPr>
      <w:r w:rsidRPr="007A3FD9">
        <w:rPr>
          <w:rFonts w:ascii="Arial" w:eastAsiaTheme="minorHAnsi" w:hAnsi="Arial" w:cs="Arial"/>
          <w:lang w:eastAsia="en-US" w:bidi="ar-SA"/>
        </w:rPr>
        <w:t>(a)</w:t>
      </w:r>
      <w:r w:rsidRPr="007A3FD9">
        <w:rPr>
          <w:rFonts w:ascii="Arial" w:eastAsiaTheme="minorHAnsi" w:hAnsi="Arial" w:cs="Arial"/>
          <w:lang w:eastAsia="en-US" w:bidi="ar-SA"/>
        </w:rPr>
        <w:tab/>
      </w:r>
      <w:r w:rsidR="007A3FD9" w:rsidRPr="00F42759">
        <w:rPr>
          <w:rFonts w:ascii="Arial" w:hAnsi="Arial" w:cs="Arial"/>
        </w:rPr>
        <w:t>The first respondent’s application for a money judgment against the applicant, dated 14 December 2023, is adjourned sine die;</w:t>
      </w:r>
    </w:p>
    <w:p w:rsidR="007A3FD9" w:rsidRPr="00F42759" w:rsidRDefault="00F42759" w:rsidP="00F42759">
      <w:pPr>
        <w:tabs>
          <w:tab w:val="left" w:pos="709"/>
        </w:tabs>
        <w:spacing w:line="360" w:lineRule="auto"/>
        <w:jc w:val="both"/>
        <w:rPr>
          <w:rFonts w:ascii="Arial" w:hAnsi="Arial" w:cs="Arial"/>
        </w:rPr>
      </w:pPr>
      <w:r w:rsidRPr="007A3FD9">
        <w:rPr>
          <w:rFonts w:ascii="Arial" w:eastAsiaTheme="minorHAnsi" w:hAnsi="Arial" w:cs="Arial"/>
          <w:lang w:eastAsia="en-US" w:bidi="ar-SA"/>
        </w:rPr>
        <w:t>(b)</w:t>
      </w:r>
      <w:r w:rsidRPr="007A3FD9">
        <w:rPr>
          <w:rFonts w:ascii="Arial" w:eastAsiaTheme="minorHAnsi" w:hAnsi="Arial" w:cs="Arial"/>
          <w:lang w:eastAsia="en-US" w:bidi="ar-SA"/>
        </w:rPr>
        <w:tab/>
      </w:r>
      <w:r w:rsidR="007A3FD9" w:rsidRPr="00F42759">
        <w:rPr>
          <w:rFonts w:ascii="Arial" w:hAnsi="Arial" w:cs="Arial"/>
        </w:rPr>
        <w:t>All questions of costs are reserved.</w:t>
      </w:r>
    </w:p>
    <w:p w:rsidR="007A3FD9" w:rsidRPr="00F42759" w:rsidRDefault="00F42759" w:rsidP="00F42759">
      <w:pPr>
        <w:tabs>
          <w:tab w:val="left" w:pos="709"/>
        </w:tabs>
        <w:spacing w:line="360" w:lineRule="auto"/>
        <w:jc w:val="both"/>
        <w:rPr>
          <w:rFonts w:ascii="Arial" w:hAnsi="Arial" w:cs="Arial"/>
        </w:rPr>
      </w:pPr>
      <w:r w:rsidRPr="007A3FD9">
        <w:rPr>
          <w:rFonts w:ascii="Arial" w:eastAsiaTheme="minorHAnsi" w:hAnsi="Arial" w:cs="Arial"/>
          <w:lang w:eastAsia="en-US" w:bidi="ar-SA"/>
        </w:rPr>
        <w:t>2.</w:t>
      </w:r>
      <w:r w:rsidRPr="007A3FD9">
        <w:rPr>
          <w:rFonts w:ascii="Arial" w:eastAsiaTheme="minorHAnsi" w:hAnsi="Arial" w:cs="Arial"/>
          <w:lang w:eastAsia="en-US" w:bidi="ar-SA"/>
        </w:rPr>
        <w:tab/>
      </w:r>
      <w:r w:rsidR="007A3FD9" w:rsidRPr="00F42759">
        <w:rPr>
          <w:rFonts w:ascii="Arial" w:hAnsi="Arial" w:cs="Arial"/>
          <w:u w:val="single"/>
        </w:rPr>
        <w:t>The urgent application</w:t>
      </w:r>
      <w:r w:rsidR="007A3FD9" w:rsidRPr="00F42759">
        <w:rPr>
          <w:rFonts w:ascii="Arial" w:hAnsi="Arial" w:cs="Arial"/>
        </w:rPr>
        <w:t>:</w:t>
      </w:r>
    </w:p>
    <w:p w:rsidR="007A3FD9" w:rsidRPr="00F42759" w:rsidRDefault="00F42759" w:rsidP="00F42759">
      <w:pPr>
        <w:tabs>
          <w:tab w:val="left" w:pos="709"/>
        </w:tabs>
        <w:spacing w:line="360" w:lineRule="auto"/>
        <w:jc w:val="both"/>
        <w:rPr>
          <w:rFonts w:ascii="Arial" w:hAnsi="Arial" w:cs="Arial"/>
        </w:rPr>
      </w:pPr>
      <w:r w:rsidRPr="007A3FD9">
        <w:rPr>
          <w:rFonts w:ascii="Arial" w:eastAsiaTheme="minorHAnsi" w:hAnsi="Arial" w:cs="Arial"/>
          <w:lang w:eastAsia="en-US" w:bidi="ar-SA"/>
        </w:rPr>
        <w:t>(a)</w:t>
      </w:r>
      <w:r w:rsidRPr="007A3FD9">
        <w:rPr>
          <w:rFonts w:ascii="Arial" w:eastAsiaTheme="minorHAnsi" w:hAnsi="Arial" w:cs="Arial"/>
          <w:lang w:eastAsia="en-US" w:bidi="ar-SA"/>
        </w:rPr>
        <w:tab/>
      </w:r>
      <w:r w:rsidR="007A3FD9" w:rsidRPr="00F42759">
        <w:rPr>
          <w:rFonts w:ascii="Arial" w:hAnsi="Arial" w:cs="Arial"/>
        </w:rPr>
        <w:t>The applicant’s urgent application, dated 27 June 2022, is dismissed;</w:t>
      </w:r>
    </w:p>
    <w:p w:rsidR="007A3FD9" w:rsidRPr="00F42759" w:rsidRDefault="00F42759" w:rsidP="00F42759">
      <w:pPr>
        <w:tabs>
          <w:tab w:val="left" w:pos="709"/>
        </w:tabs>
        <w:spacing w:line="360" w:lineRule="auto"/>
        <w:jc w:val="both"/>
        <w:rPr>
          <w:rFonts w:ascii="Arial" w:hAnsi="Arial" w:cs="Arial"/>
        </w:rPr>
      </w:pPr>
      <w:r w:rsidRPr="007A3FD9">
        <w:rPr>
          <w:rFonts w:ascii="Arial" w:eastAsiaTheme="minorHAnsi" w:hAnsi="Arial" w:cs="Arial"/>
          <w:lang w:eastAsia="en-US" w:bidi="ar-SA"/>
        </w:rPr>
        <w:t>(b)</w:t>
      </w:r>
      <w:r w:rsidRPr="007A3FD9">
        <w:rPr>
          <w:rFonts w:ascii="Arial" w:eastAsiaTheme="minorHAnsi" w:hAnsi="Arial" w:cs="Arial"/>
          <w:lang w:eastAsia="en-US" w:bidi="ar-SA"/>
        </w:rPr>
        <w:tab/>
      </w:r>
      <w:r w:rsidR="007A3FD9" w:rsidRPr="00F42759">
        <w:rPr>
          <w:rFonts w:ascii="Arial" w:hAnsi="Arial" w:cs="Arial"/>
        </w:rPr>
        <w:t xml:space="preserve">The applicant shall pay the respondents’ costs, such to include the costs of </w:t>
      </w:r>
      <w:r w:rsidR="0010579F" w:rsidRPr="00F42759">
        <w:rPr>
          <w:rFonts w:ascii="Arial" w:hAnsi="Arial" w:cs="Arial"/>
        </w:rPr>
        <w:t>two</w:t>
      </w:r>
      <w:r w:rsidR="007A3FD9" w:rsidRPr="00F42759">
        <w:rPr>
          <w:rFonts w:ascii="Arial" w:hAnsi="Arial" w:cs="Arial"/>
        </w:rPr>
        <w:t xml:space="preserve"> counsel where so employed.</w:t>
      </w:r>
    </w:p>
    <w:p w:rsidR="007A3FD9" w:rsidRPr="00F42759" w:rsidRDefault="00F42759" w:rsidP="00F42759">
      <w:pPr>
        <w:tabs>
          <w:tab w:val="left" w:pos="709"/>
        </w:tabs>
        <w:spacing w:line="360" w:lineRule="auto"/>
        <w:jc w:val="both"/>
        <w:rPr>
          <w:rFonts w:ascii="Arial" w:hAnsi="Arial" w:cs="Arial"/>
        </w:rPr>
      </w:pPr>
      <w:r w:rsidRPr="007A3FD9">
        <w:rPr>
          <w:rFonts w:ascii="Arial" w:eastAsiaTheme="minorHAnsi" w:hAnsi="Arial" w:cs="Arial"/>
          <w:lang w:eastAsia="en-US" w:bidi="ar-SA"/>
        </w:rPr>
        <w:t>3.</w:t>
      </w:r>
      <w:r w:rsidRPr="007A3FD9">
        <w:rPr>
          <w:rFonts w:ascii="Arial" w:eastAsiaTheme="minorHAnsi" w:hAnsi="Arial" w:cs="Arial"/>
          <w:lang w:eastAsia="en-US" w:bidi="ar-SA"/>
        </w:rPr>
        <w:tab/>
      </w:r>
      <w:r w:rsidR="007A3FD9" w:rsidRPr="00F42759">
        <w:rPr>
          <w:rFonts w:ascii="Arial" w:hAnsi="Arial" w:cs="Arial"/>
          <w:u w:val="single"/>
        </w:rPr>
        <w:t>The rectification application</w:t>
      </w:r>
      <w:r w:rsidR="007A3FD9" w:rsidRPr="00F42759">
        <w:rPr>
          <w:rFonts w:ascii="Arial" w:hAnsi="Arial" w:cs="Arial"/>
        </w:rPr>
        <w:t>:</w:t>
      </w:r>
    </w:p>
    <w:p w:rsidR="007A3FD9" w:rsidRDefault="007A3FD9" w:rsidP="007A3FD9">
      <w:pPr>
        <w:tabs>
          <w:tab w:val="left" w:pos="709"/>
        </w:tabs>
        <w:spacing w:line="360" w:lineRule="auto"/>
        <w:jc w:val="both"/>
        <w:rPr>
          <w:rFonts w:ascii="Arial" w:hAnsi="Arial" w:cs="Arial"/>
        </w:rPr>
      </w:pPr>
      <w:r>
        <w:rPr>
          <w:rFonts w:ascii="Arial" w:hAnsi="Arial" w:cs="Arial"/>
        </w:rPr>
        <w:t>(a)</w:t>
      </w:r>
      <w:r>
        <w:rPr>
          <w:rFonts w:ascii="Arial" w:hAnsi="Arial" w:cs="Arial"/>
        </w:rPr>
        <w:tab/>
        <w:t>The applicant’s rectification application, dated 22 February 2023, is dismissed;</w:t>
      </w:r>
    </w:p>
    <w:p w:rsidR="007A3FD9" w:rsidRPr="002F1EF9" w:rsidRDefault="007A3FD9" w:rsidP="007A3FD9">
      <w:pPr>
        <w:tabs>
          <w:tab w:val="left" w:pos="709"/>
        </w:tabs>
        <w:spacing w:line="360" w:lineRule="auto"/>
        <w:jc w:val="both"/>
        <w:rPr>
          <w:rFonts w:ascii="Arial" w:hAnsi="Arial" w:cs="Arial"/>
        </w:rPr>
      </w:pPr>
      <w:r>
        <w:rPr>
          <w:rFonts w:ascii="Arial" w:hAnsi="Arial" w:cs="Arial"/>
        </w:rPr>
        <w:t>(b)</w:t>
      </w:r>
      <w:r>
        <w:rPr>
          <w:rFonts w:ascii="Arial" w:hAnsi="Arial" w:cs="Arial"/>
        </w:rPr>
        <w:tab/>
      </w:r>
      <w:r w:rsidRPr="002F1EF9">
        <w:rPr>
          <w:rFonts w:ascii="Arial" w:hAnsi="Arial" w:cs="Arial"/>
        </w:rPr>
        <w:t xml:space="preserve">The applicant shall pay the respondents’ costs, such to include the costs of </w:t>
      </w:r>
      <w:r w:rsidR="0010579F">
        <w:rPr>
          <w:rFonts w:ascii="Arial" w:hAnsi="Arial" w:cs="Arial"/>
        </w:rPr>
        <w:t xml:space="preserve">two </w:t>
      </w:r>
      <w:r w:rsidRPr="002F1EF9">
        <w:rPr>
          <w:rFonts w:ascii="Arial" w:hAnsi="Arial" w:cs="Arial"/>
        </w:rPr>
        <w:t>counsel where so employed.</w:t>
      </w:r>
    </w:p>
    <w:p w:rsidR="007A3FD9" w:rsidRDefault="007A3FD9" w:rsidP="007A3FD9">
      <w:pPr>
        <w:pStyle w:val="ListParagraph"/>
        <w:tabs>
          <w:tab w:val="left" w:pos="709"/>
        </w:tabs>
        <w:spacing w:line="360" w:lineRule="auto"/>
        <w:ind w:left="0"/>
        <w:jc w:val="both"/>
        <w:rPr>
          <w:rFonts w:ascii="Arial" w:hAnsi="Arial" w:cs="Arial"/>
        </w:rPr>
      </w:pPr>
      <w:r w:rsidRPr="007A3FD9">
        <w:rPr>
          <w:rFonts w:ascii="Arial" w:hAnsi="Arial" w:cs="Arial"/>
        </w:rPr>
        <w:t>4.</w:t>
      </w:r>
      <w:r w:rsidRPr="007A3FD9">
        <w:rPr>
          <w:rFonts w:ascii="Arial" w:hAnsi="Arial" w:cs="Arial"/>
        </w:rPr>
        <w:tab/>
      </w:r>
      <w:r w:rsidRPr="00F83059">
        <w:rPr>
          <w:rFonts w:ascii="Arial" w:hAnsi="Arial" w:cs="Arial"/>
          <w:u w:val="single"/>
        </w:rPr>
        <w:t>The review application</w:t>
      </w:r>
      <w:r>
        <w:rPr>
          <w:rFonts w:ascii="Arial" w:hAnsi="Arial" w:cs="Arial"/>
        </w:rPr>
        <w:t>:</w:t>
      </w:r>
    </w:p>
    <w:p w:rsidR="007A3FD9" w:rsidRPr="00F42759" w:rsidRDefault="00F42759" w:rsidP="00F42759">
      <w:pPr>
        <w:tabs>
          <w:tab w:val="left" w:pos="709"/>
        </w:tabs>
        <w:spacing w:line="360" w:lineRule="auto"/>
        <w:jc w:val="both"/>
        <w:rPr>
          <w:rFonts w:ascii="Arial" w:hAnsi="Arial" w:cs="Arial"/>
        </w:rPr>
      </w:pPr>
      <w:r w:rsidRPr="007A3FD9">
        <w:rPr>
          <w:rFonts w:ascii="Arial" w:eastAsiaTheme="minorHAnsi" w:hAnsi="Arial" w:cs="Arial"/>
          <w:lang w:eastAsia="en-US" w:bidi="ar-SA"/>
        </w:rPr>
        <w:t>(a)</w:t>
      </w:r>
      <w:r w:rsidRPr="007A3FD9">
        <w:rPr>
          <w:rFonts w:ascii="Arial" w:eastAsiaTheme="minorHAnsi" w:hAnsi="Arial" w:cs="Arial"/>
          <w:lang w:eastAsia="en-US" w:bidi="ar-SA"/>
        </w:rPr>
        <w:tab/>
      </w:r>
      <w:r w:rsidR="007A3FD9" w:rsidRPr="00F42759">
        <w:rPr>
          <w:rFonts w:ascii="Arial" w:hAnsi="Arial" w:cs="Arial"/>
        </w:rPr>
        <w:t>The decision of the first respondent to award tender number 01/2020-PRS to the Marothodi Metsi and Sebata Group is reviewed</w:t>
      </w:r>
      <w:r w:rsidR="0045582D" w:rsidRPr="00F42759">
        <w:rPr>
          <w:rFonts w:ascii="Arial" w:hAnsi="Arial" w:cs="Arial"/>
        </w:rPr>
        <w:t>, declared invalid</w:t>
      </w:r>
      <w:r w:rsidR="007A3FD9" w:rsidRPr="00F42759">
        <w:rPr>
          <w:rFonts w:ascii="Arial" w:hAnsi="Arial" w:cs="Arial"/>
        </w:rPr>
        <w:t xml:space="preserve"> and </w:t>
      </w:r>
      <w:r w:rsidR="0045582D" w:rsidRPr="00F42759">
        <w:rPr>
          <w:rFonts w:ascii="Arial" w:hAnsi="Arial" w:cs="Arial"/>
        </w:rPr>
        <w:t xml:space="preserve">is </w:t>
      </w:r>
      <w:r w:rsidR="007A3FD9" w:rsidRPr="00F42759">
        <w:rPr>
          <w:rFonts w:ascii="Arial" w:hAnsi="Arial" w:cs="Arial"/>
        </w:rPr>
        <w:t>set aside;</w:t>
      </w:r>
    </w:p>
    <w:p w:rsidR="007A3FD9" w:rsidRPr="00F42759" w:rsidRDefault="00F42759" w:rsidP="00F42759">
      <w:pPr>
        <w:tabs>
          <w:tab w:val="left" w:pos="709"/>
        </w:tabs>
        <w:spacing w:line="360" w:lineRule="auto"/>
        <w:jc w:val="both"/>
        <w:rPr>
          <w:rFonts w:ascii="Arial" w:hAnsi="Arial" w:cs="Arial"/>
        </w:rPr>
      </w:pPr>
      <w:r w:rsidRPr="007A3FD9">
        <w:rPr>
          <w:rFonts w:ascii="Arial" w:eastAsiaTheme="minorHAnsi" w:hAnsi="Arial" w:cs="Arial"/>
          <w:lang w:eastAsia="en-US" w:bidi="ar-SA"/>
        </w:rPr>
        <w:t>(b)</w:t>
      </w:r>
      <w:r w:rsidRPr="007A3FD9">
        <w:rPr>
          <w:rFonts w:ascii="Arial" w:eastAsiaTheme="minorHAnsi" w:hAnsi="Arial" w:cs="Arial"/>
          <w:lang w:eastAsia="en-US" w:bidi="ar-SA"/>
        </w:rPr>
        <w:tab/>
      </w:r>
      <w:r w:rsidR="007A3FD9" w:rsidRPr="00F42759">
        <w:rPr>
          <w:rFonts w:ascii="Arial" w:hAnsi="Arial" w:cs="Arial"/>
        </w:rPr>
        <w:t xml:space="preserve">The contract concluded between the first respondent and the Marothodi Metsi and Sebata Group, dated 30 July 2020, pursuant to the award of tender number 01/2020-PRS to the Marothodi Metsi and Sebata Group, is </w:t>
      </w:r>
      <w:r w:rsidR="00DC7ED4" w:rsidRPr="00F42759">
        <w:rPr>
          <w:rFonts w:ascii="Arial" w:hAnsi="Arial" w:cs="Arial"/>
        </w:rPr>
        <w:t xml:space="preserve">reviewed, </w:t>
      </w:r>
      <w:r w:rsidR="007A3FD9" w:rsidRPr="00F42759">
        <w:rPr>
          <w:rFonts w:ascii="Arial" w:hAnsi="Arial" w:cs="Arial"/>
        </w:rPr>
        <w:t>declared invalid and is set aside.</w:t>
      </w:r>
    </w:p>
    <w:p w:rsidR="007A3FD9" w:rsidRPr="00F42759" w:rsidRDefault="00F42759" w:rsidP="00F42759">
      <w:pPr>
        <w:tabs>
          <w:tab w:val="left" w:pos="709"/>
        </w:tabs>
        <w:spacing w:line="360" w:lineRule="auto"/>
        <w:jc w:val="both"/>
        <w:rPr>
          <w:rFonts w:ascii="Arial" w:hAnsi="Arial" w:cs="Arial"/>
        </w:rPr>
      </w:pPr>
      <w:r w:rsidRPr="00EA2BF2">
        <w:rPr>
          <w:rFonts w:ascii="Arial" w:eastAsiaTheme="minorHAnsi" w:hAnsi="Arial" w:cs="Arial"/>
          <w:lang w:eastAsia="en-US" w:bidi="ar-SA"/>
        </w:rPr>
        <w:t>(c)</w:t>
      </w:r>
      <w:r w:rsidRPr="00EA2BF2">
        <w:rPr>
          <w:rFonts w:ascii="Arial" w:eastAsiaTheme="minorHAnsi" w:hAnsi="Arial" w:cs="Arial"/>
          <w:lang w:eastAsia="en-US" w:bidi="ar-SA"/>
        </w:rPr>
        <w:tab/>
      </w:r>
      <w:r w:rsidR="007A3FD9" w:rsidRPr="00F42759">
        <w:rPr>
          <w:rFonts w:ascii="Arial" w:hAnsi="Arial" w:cs="Arial"/>
        </w:rPr>
        <w:t xml:space="preserve">The applicant shall pay the respondents’ costs, such to include the costs of </w:t>
      </w:r>
      <w:r w:rsidR="0010579F" w:rsidRPr="00F42759">
        <w:rPr>
          <w:rFonts w:ascii="Arial" w:hAnsi="Arial" w:cs="Arial"/>
        </w:rPr>
        <w:t>two</w:t>
      </w:r>
      <w:r w:rsidR="007A3FD9" w:rsidRPr="00F42759">
        <w:rPr>
          <w:rFonts w:ascii="Arial" w:hAnsi="Arial" w:cs="Arial"/>
        </w:rPr>
        <w:t xml:space="preserve"> counsel where so employed.</w:t>
      </w:r>
    </w:p>
    <w:p w:rsidR="00635BA5" w:rsidRPr="00EA2BF2" w:rsidRDefault="00635BA5" w:rsidP="00EA2BF2">
      <w:pPr>
        <w:pStyle w:val="ListParagraph"/>
        <w:tabs>
          <w:tab w:val="left" w:pos="709"/>
        </w:tabs>
        <w:spacing w:line="360" w:lineRule="auto"/>
        <w:ind w:left="0"/>
        <w:jc w:val="both"/>
        <w:rPr>
          <w:rFonts w:ascii="Arial" w:hAnsi="Arial" w:cs="Arial"/>
          <w:lang w:val="en-GB"/>
        </w:rPr>
      </w:pPr>
    </w:p>
    <w:p w:rsidR="00DC7ED4" w:rsidRDefault="00DC7ED4" w:rsidP="004B16A0">
      <w:pPr>
        <w:spacing w:line="360" w:lineRule="auto"/>
        <w:contextualSpacing/>
        <w:jc w:val="both"/>
        <w:rPr>
          <w:rFonts w:ascii="Arial" w:hAnsi="Arial" w:cs="Arial"/>
          <w:lang w:val="en-GB"/>
        </w:rPr>
      </w:pPr>
    </w:p>
    <w:p w:rsidR="00635BA5" w:rsidRPr="00635BA5" w:rsidRDefault="00635BA5" w:rsidP="004B16A0">
      <w:pPr>
        <w:spacing w:line="360" w:lineRule="auto"/>
        <w:contextualSpacing/>
        <w:jc w:val="both"/>
        <w:rPr>
          <w:rFonts w:ascii="Arial" w:hAnsi="Arial" w:cs="Arial"/>
          <w:lang w:val="en-GB"/>
        </w:rPr>
      </w:pPr>
    </w:p>
    <w:p w:rsidR="00C1441F" w:rsidRDefault="00C1441F" w:rsidP="0083691B">
      <w:pPr>
        <w:pStyle w:val="ListParagraph"/>
        <w:spacing w:line="360" w:lineRule="auto"/>
        <w:jc w:val="right"/>
        <w:rPr>
          <w:rFonts w:ascii="Arial" w:hAnsi="Arial" w:cs="Arial"/>
        </w:rPr>
      </w:pPr>
    </w:p>
    <w:p w:rsidR="00061B17" w:rsidRDefault="00061B17" w:rsidP="0083691B">
      <w:pPr>
        <w:pStyle w:val="ListParagraph"/>
        <w:spacing w:line="360" w:lineRule="auto"/>
        <w:jc w:val="right"/>
        <w:rPr>
          <w:rFonts w:ascii="Arial" w:hAnsi="Arial" w:cs="Arial"/>
        </w:rPr>
      </w:pPr>
      <w:r>
        <w:rPr>
          <w:rFonts w:ascii="Arial" w:hAnsi="Arial" w:cs="Arial"/>
        </w:rPr>
        <w:t>________________________</w:t>
      </w:r>
    </w:p>
    <w:p w:rsidR="004062BD" w:rsidRDefault="004062BD" w:rsidP="004062BD">
      <w:pPr>
        <w:pStyle w:val="ListParagraph"/>
        <w:jc w:val="right"/>
        <w:rPr>
          <w:rFonts w:ascii="Arial" w:hAnsi="Arial" w:cs="Arial"/>
          <w:b/>
          <w:bCs/>
        </w:rPr>
      </w:pPr>
    </w:p>
    <w:p w:rsidR="00061B17" w:rsidRPr="00CC44F8" w:rsidRDefault="00061B17" w:rsidP="0083691B">
      <w:pPr>
        <w:pStyle w:val="ListParagraph"/>
        <w:spacing w:line="360" w:lineRule="auto"/>
        <w:jc w:val="right"/>
        <w:rPr>
          <w:rFonts w:ascii="Arial" w:hAnsi="Arial" w:cs="Arial"/>
          <w:b/>
          <w:bCs/>
        </w:rPr>
      </w:pPr>
      <w:r w:rsidRPr="00CC44F8">
        <w:rPr>
          <w:rFonts w:ascii="Arial" w:hAnsi="Arial" w:cs="Arial"/>
          <w:b/>
          <w:bCs/>
        </w:rPr>
        <w:t>MOSSOP J</w:t>
      </w:r>
    </w:p>
    <w:p w:rsidR="001A1BE9" w:rsidRDefault="001A1BE9">
      <w:pPr>
        <w:spacing w:line="360" w:lineRule="auto"/>
        <w:jc w:val="center"/>
        <w:rPr>
          <w:rFonts w:ascii="Arial" w:eastAsia="Calibri" w:hAnsi="Arial" w:cs="Arial"/>
          <w:b/>
          <w:u w:val="single"/>
          <w:lang w:val="en-GB"/>
        </w:rPr>
      </w:pPr>
    </w:p>
    <w:p w:rsidR="001A1BE9" w:rsidRDefault="001A1BE9">
      <w:pPr>
        <w:spacing w:line="360" w:lineRule="auto"/>
        <w:jc w:val="center"/>
        <w:rPr>
          <w:rFonts w:ascii="Arial" w:eastAsia="Calibri" w:hAnsi="Arial" w:cs="Arial"/>
          <w:b/>
          <w:u w:val="single"/>
          <w:lang w:val="en-GB"/>
        </w:rPr>
      </w:pPr>
    </w:p>
    <w:p w:rsidR="001A1BE9" w:rsidRDefault="001A1BE9">
      <w:pPr>
        <w:spacing w:line="360" w:lineRule="auto"/>
        <w:jc w:val="center"/>
        <w:rPr>
          <w:rFonts w:ascii="Arial" w:eastAsia="Calibri" w:hAnsi="Arial" w:cs="Arial"/>
          <w:b/>
          <w:u w:val="single"/>
          <w:lang w:val="en-GB"/>
        </w:rPr>
      </w:pPr>
    </w:p>
    <w:p w:rsidR="001A1BE9" w:rsidRDefault="001A1BE9">
      <w:pPr>
        <w:spacing w:line="360" w:lineRule="auto"/>
        <w:jc w:val="center"/>
        <w:rPr>
          <w:rFonts w:ascii="Arial" w:eastAsia="Calibri" w:hAnsi="Arial" w:cs="Arial"/>
          <w:b/>
          <w:u w:val="single"/>
          <w:lang w:val="en-GB"/>
        </w:rPr>
      </w:pPr>
    </w:p>
    <w:p w:rsidR="001A1BE9" w:rsidRDefault="001A1BE9">
      <w:pPr>
        <w:spacing w:line="360" w:lineRule="auto"/>
        <w:jc w:val="center"/>
        <w:rPr>
          <w:rFonts w:ascii="Arial" w:eastAsia="Calibri" w:hAnsi="Arial" w:cs="Arial"/>
          <w:b/>
          <w:u w:val="single"/>
          <w:lang w:val="en-GB"/>
        </w:rPr>
      </w:pPr>
    </w:p>
    <w:p w:rsidR="001A1BE9" w:rsidRDefault="001A1BE9">
      <w:pPr>
        <w:spacing w:line="360" w:lineRule="auto"/>
        <w:jc w:val="center"/>
        <w:rPr>
          <w:rFonts w:ascii="Arial" w:eastAsia="Calibri" w:hAnsi="Arial" w:cs="Arial"/>
          <w:b/>
          <w:u w:val="single"/>
          <w:lang w:val="en-GB"/>
        </w:rPr>
      </w:pPr>
    </w:p>
    <w:p w:rsidR="001A1BE9" w:rsidRDefault="001A1BE9">
      <w:pPr>
        <w:spacing w:line="360" w:lineRule="auto"/>
        <w:jc w:val="center"/>
        <w:rPr>
          <w:rFonts w:ascii="Arial" w:eastAsia="Calibri" w:hAnsi="Arial" w:cs="Arial"/>
          <w:b/>
          <w:u w:val="single"/>
          <w:lang w:val="en-GB"/>
        </w:rPr>
      </w:pPr>
    </w:p>
    <w:p w:rsidR="001A1BE9" w:rsidRDefault="001A1BE9">
      <w:pPr>
        <w:spacing w:line="360" w:lineRule="auto"/>
        <w:jc w:val="center"/>
        <w:rPr>
          <w:rFonts w:ascii="Arial" w:eastAsia="Calibri" w:hAnsi="Arial" w:cs="Arial"/>
          <w:b/>
          <w:u w:val="single"/>
          <w:lang w:val="en-GB"/>
        </w:rPr>
      </w:pPr>
    </w:p>
    <w:p w:rsidR="00D4576A" w:rsidRDefault="00D4576A">
      <w:pPr>
        <w:spacing w:line="360" w:lineRule="auto"/>
        <w:jc w:val="center"/>
        <w:rPr>
          <w:rFonts w:ascii="Arial" w:eastAsia="Calibri" w:hAnsi="Arial" w:cs="Arial"/>
          <w:b/>
          <w:u w:val="single"/>
          <w:lang w:val="en-GB"/>
        </w:rPr>
      </w:pPr>
    </w:p>
    <w:p w:rsidR="00D4576A" w:rsidRDefault="00D4576A">
      <w:pPr>
        <w:spacing w:line="360" w:lineRule="auto"/>
        <w:jc w:val="center"/>
        <w:rPr>
          <w:rFonts w:ascii="Arial" w:eastAsia="Calibri" w:hAnsi="Arial" w:cs="Arial"/>
          <w:b/>
          <w:u w:val="single"/>
          <w:lang w:val="en-GB"/>
        </w:rPr>
      </w:pPr>
    </w:p>
    <w:p w:rsidR="00D4576A" w:rsidRDefault="00D4576A">
      <w:pPr>
        <w:spacing w:line="360" w:lineRule="auto"/>
        <w:jc w:val="center"/>
        <w:rPr>
          <w:rFonts w:ascii="Arial" w:eastAsia="Calibri" w:hAnsi="Arial" w:cs="Arial"/>
          <w:b/>
          <w:u w:val="single"/>
          <w:lang w:val="en-GB"/>
        </w:rPr>
      </w:pPr>
    </w:p>
    <w:p w:rsidR="00D4576A" w:rsidRDefault="00D4576A">
      <w:pPr>
        <w:spacing w:line="360" w:lineRule="auto"/>
        <w:jc w:val="center"/>
        <w:rPr>
          <w:rFonts w:ascii="Arial" w:eastAsia="Calibri" w:hAnsi="Arial" w:cs="Arial"/>
          <w:b/>
          <w:u w:val="single"/>
          <w:lang w:val="en-GB"/>
        </w:rPr>
      </w:pPr>
    </w:p>
    <w:p w:rsidR="00D4576A" w:rsidRDefault="00D4576A">
      <w:pPr>
        <w:spacing w:line="360" w:lineRule="auto"/>
        <w:jc w:val="center"/>
        <w:rPr>
          <w:rFonts w:ascii="Arial" w:eastAsia="Calibri" w:hAnsi="Arial" w:cs="Arial"/>
          <w:b/>
          <w:u w:val="single"/>
          <w:lang w:val="en-GB"/>
        </w:rPr>
      </w:pPr>
    </w:p>
    <w:p w:rsidR="00D4576A" w:rsidRDefault="00D4576A">
      <w:pPr>
        <w:spacing w:line="360" w:lineRule="auto"/>
        <w:jc w:val="center"/>
        <w:rPr>
          <w:rFonts w:ascii="Arial" w:eastAsia="Calibri" w:hAnsi="Arial" w:cs="Arial"/>
          <w:b/>
          <w:u w:val="single"/>
          <w:lang w:val="en-GB"/>
        </w:rPr>
      </w:pPr>
    </w:p>
    <w:p w:rsidR="00D4576A" w:rsidRDefault="00D4576A">
      <w:pPr>
        <w:spacing w:line="360" w:lineRule="auto"/>
        <w:jc w:val="center"/>
        <w:rPr>
          <w:rFonts w:ascii="Arial" w:eastAsia="Calibri" w:hAnsi="Arial" w:cs="Arial"/>
          <w:b/>
          <w:u w:val="single"/>
          <w:lang w:val="en-GB"/>
        </w:rPr>
      </w:pPr>
    </w:p>
    <w:p w:rsidR="00D4576A" w:rsidRDefault="00D4576A">
      <w:pPr>
        <w:spacing w:line="360" w:lineRule="auto"/>
        <w:jc w:val="center"/>
        <w:rPr>
          <w:rFonts w:ascii="Arial" w:eastAsia="Calibri" w:hAnsi="Arial" w:cs="Arial"/>
          <w:b/>
          <w:u w:val="single"/>
          <w:lang w:val="en-GB"/>
        </w:rPr>
      </w:pPr>
    </w:p>
    <w:p w:rsidR="00D4576A" w:rsidRDefault="00D4576A">
      <w:pPr>
        <w:spacing w:line="360" w:lineRule="auto"/>
        <w:jc w:val="center"/>
        <w:rPr>
          <w:rFonts w:ascii="Arial" w:eastAsia="Calibri" w:hAnsi="Arial" w:cs="Arial"/>
          <w:b/>
          <w:u w:val="single"/>
          <w:lang w:val="en-GB"/>
        </w:rPr>
      </w:pPr>
    </w:p>
    <w:p w:rsidR="00D4576A" w:rsidRDefault="00D4576A">
      <w:pPr>
        <w:spacing w:line="360" w:lineRule="auto"/>
        <w:jc w:val="center"/>
        <w:rPr>
          <w:rFonts w:ascii="Arial" w:eastAsia="Calibri" w:hAnsi="Arial" w:cs="Arial"/>
          <w:b/>
          <w:u w:val="single"/>
          <w:lang w:val="en-GB"/>
        </w:rPr>
      </w:pPr>
    </w:p>
    <w:p w:rsidR="00D4576A" w:rsidRDefault="00D4576A">
      <w:pPr>
        <w:spacing w:line="360" w:lineRule="auto"/>
        <w:jc w:val="center"/>
        <w:rPr>
          <w:rFonts w:ascii="Arial" w:eastAsia="Calibri" w:hAnsi="Arial" w:cs="Arial"/>
          <w:b/>
          <w:u w:val="single"/>
          <w:lang w:val="en-GB"/>
        </w:rPr>
      </w:pPr>
    </w:p>
    <w:p w:rsidR="00D4576A" w:rsidRDefault="00D4576A">
      <w:pPr>
        <w:spacing w:line="360" w:lineRule="auto"/>
        <w:jc w:val="center"/>
        <w:rPr>
          <w:rFonts w:ascii="Arial" w:eastAsia="Calibri" w:hAnsi="Arial" w:cs="Arial"/>
          <w:b/>
          <w:u w:val="single"/>
          <w:lang w:val="en-GB"/>
        </w:rPr>
      </w:pPr>
    </w:p>
    <w:p w:rsidR="00D4576A" w:rsidRDefault="00D4576A">
      <w:pPr>
        <w:spacing w:line="360" w:lineRule="auto"/>
        <w:jc w:val="center"/>
        <w:rPr>
          <w:rFonts w:ascii="Arial" w:eastAsia="Calibri" w:hAnsi="Arial" w:cs="Arial"/>
          <w:b/>
          <w:u w:val="single"/>
          <w:lang w:val="en-GB"/>
        </w:rPr>
      </w:pPr>
    </w:p>
    <w:p w:rsidR="00D4576A" w:rsidRDefault="00D4576A">
      <w:pPr>
        <w:spacing w:line="360" w:lineRule="auto"/>
        <w:jc w:val="center"/>
        <w:rPr>
          <w:rFonts w:ascii="Arial" w:eastAsia="Calibri" w:hAnsi="Arial" w:cs="Arial"/>
          <w:b/>
          <w:u w:val="single"/>
          <w:lang w:val="en-GB"/>
        </w:rPr>
      </w:pPr>
    </w:p>
    <w:p w:rsidR="00D4576A" w:rsidRDefault="00D4576A">
      <w:pPr>
        <w:spacing w:line="360" w:lineRule="auto"/>
        <w:jc w:val="center"/>
        <w:rPr>
          <w:rFonts w:ascii="Arial" w:eastAsia="Calibri" w:hAnsi="Arial" w:cs="Arial"/>
          <w:b/>
          <w:u w:val="single"/>
          <w:lang w:val="en-GB"/>
        </w:rPr>
      </w:pPr>
    </w:p>
    <w:p w:rsidR="00D4576A" w:rsidRDefault="00D4576A">
      <w:pPr>
        <w:spacing w:line="360" w:lineRule="auto"/>
        <w:jc w:val="center"/>
        <w:rPr>
          <w:rFonts w:ascii="Arial" w:eastAsia="Calibri" w:hAnsi="Arial" w:cs="Arial"/>
          <w:b/>
          <w:u w:val="single"/>
          <w:lang w:val="en-GB"/>
        </w:rPr>
      </w:pPr>
    </w:p>
    <w:p w:rsidR="00D4576A" w:rsidRDefault="00D4576A">
      <w:pPr>
        <w:spacing w:line="360" w:lineRule="auto"/>
        <w:jc w:val="center"/>
        <w:rPr>
          <w:rFonts w:ascii="Arial" w:eastAsia="Calibri" w:hAnsi="Arial" w:cs="Arial"/>
          <w:b/>
          <w:u w:val="single"/>
          <w:lang w:val="en-GB"/>
        </w:rPr>
      </w:pPr>
    </w:p>
    <w:p w:rsidR="00D4576A" w:rsidRDefault="00D4576A">
      <w:pPr>
        <w:spacing w:line="360" w:lineRule="auto"/>
        <w:jc w:val="center"/>
        <w:rPr>
          <w:rFonts w:ascii="Arial" w:eastAsia="Calibri" w:hAnsi="Arial" w:cs="Arial"/>
          <w:b/>
          <w:u w:val="single"/>
          <w:lang w:val="en-GB"/>
        </w:rPr>
      </w:pPr>
    </w:p>
    <w:p w:rsidR="001A1BE9" w:rsidRDefault="001A1BE9">
      <w:pPr>
        <w:spacing w:line="360" w:lineRule="auto"/>
        <w:jc w:val="center"/>
        <w:rPr>
          <w:rFonts w:ascii="Arial" w:eastAsia="Calibri" w:hAnsi="Arial" w:cs="Arial"/>
          <w:b/>
          <w:u w:val="single"/>
          <w:lang w:val="en-GB"/>
        </w:rPr>
      </w:pPr>
    </w:p>
    <w:p w:rsidR="00846913" w:rsidRPr="00266936" w:rsidRDefault="00846913">
      <w:pPr>
        <w:spacing w:line="360" w:lineRule="auto"/>
        <w:jc w:val="center"/>
        <w:rPr>
          <w:rFonts w:ascii="Arial" w:eastAsia="Calibri" w:hAnsi="Arial" w:cs="Arial"/>
          <w:b/>
          <w:u w:val="single"/>
          <w:lang w:val="en-GB"/>
        </w:rPr>
      </w:pPr>
      <w:r w:rsidRPr="00266936">
        <w:rPr>
          <w:rFonts w:ascii="Arial" w:eastAsia="Calibri" w:hAnsi="Arial" w:cs="Arial"/>
          <w:b/>
          <w:u w:val="single"/>
          <w:lang w:val="en-GB"/>
        </w:rPr>
        <w:t>APPEARANCES</w:t>
      </w:r>
    </w:p>
    <w:p w:rsidR="0098625B" w:rsidRPr="00266936" w:rsidRDefault="0098625B" w:rsidP="0083691B">
      <w:pPr>
        <w:spacing w:line="360" w:lineRule="auto"/>
        <w:jc w:val="center"/>
        <w:rPr>
          <w:rFonts w:ascii="Arial" w:eastAsia="Calibri" w:hAnsi="Arial" w:cs="Arial"/>
          <w:b/>
          <w:u w:val="single"/>
          <w:lang w:val="en-GB"/>
        </w:rPr>
      </w:pPr>
    </w:p>
    <w:p w:rsidR="00846913" w:rsidRPr="00266936" w:rsidRDefault="00846913" w:rsidP="0083691B">
      <w:pPr>
        <w:spacing w:line="360" w:lineRule="auto"/>
        <w:ind w:right="-82"/>
        <w:jc w:val="both"/>
        <w:rPr>
          <w:rFonts w:ascii="Arial" w:hAnsi="Arial" w:cs="Arial"/>
          <w:lang w:val="en-GB"/>
        </w:rPr>
      </w:pPr>
    </w:p>
    <w:p w:rsidR="00A31AC3" w:rsidRDefault="00846913" w:rsidP="0083691B">
      <w:pPr>
        <w:spacing w:line="360" w:lineRule="auto"/>
        <w:ind w:right="-82"/>
        <w:jc w:val="both"/>
        <w:rPr>
          <w:rFonts w:ascii="Arial" w:hAnsi="Arial" w:cs="Arial"/>
          <w:lang w:val="en-GB"/>
        </w:rPr>
      </w:pPr>
      <w:r w:rsidRPr="00266936">
        <w:rPr>
          <w:rFonts w:ascii="Arial" w:hAnsi="Arial" w:cs="Arial"/>
          <w:lang w:val="en-GB"/>
        </w:rPr>
        <w:t>Counsel for the app</w:t>
      </w:r>
      <w:r w:rsidR="00E94D28">
        <w:rPr>
          <w:rFonts w:ascii="Arial" w:hAnsi="Arial" w:cs="Arial"/>
          <w:lang w:val="en-GB"/>
        </w:rPr>
        <w:t>licant</w:t>
      </w:r>
      <w:r w:rsidRPr="00266936">
        <w:rPr>
          <w:rFonts w:ascii="Arial" w:hAnsi="Arial" w:cs="Arial"/>
          <w:lang w:val="en-GB"/>
        </w:rPr>
        <w:tab/>
      </w:r>
      <w:r w:rsidRPr="00266936">
        <w:rPr>
          <w:rFonts w:ascii="Arial" w:hAnsi="Arial" w:cs="Arial"/>
          <w:lang w:val="en-GB"/>
        </w:rPr>
        <w:tab/>
      </w:r>
      <w:r w:rsidRPr="00266936">
        <w:rPr>
          <w:rFonts w:ascii="Arial" w:hAnsi="Arial" w:cs="Arial"/>
          <w:lang w:val="en-GB"/>
        </w:rPr>
        <w:tab/>
        <w:t xml:space="preserve">:  </w:t>
      </w:r>
      <w:r w:rsidRPr="00266936">
        <w:rPr>
          <w:rFonts w:ascii="Arial" w:hAnsi="Arial" w:cs="Arial"/>
          <w:lang w:val="en-GB"/>
        </w:rPr>
        <w:tab/>
      </w:r>
      <w:r w:rsidR="00E94D28">
        <w:rPr>
          <w:rFonts w:ascii="Arial" w:hAnsi="Arial" w:cs="Arial"/>
          <w:lang w:val="en-GB"/>
        </w:rPr>
        <w:t xml:space="preserve">Mr A </w:t>
      </w:r>
      <w:r w:rsidR="00561D39">
        <w:rPr>
          <w:rFonts w:ascii="Arial" w:hAnsi="Arial" w:cs="Arial"/>
          <w:lang w:val="en-GB"/>
        </w:rPr>
        <w:t xml:space="preserve">J </w:t>
      </w:r>
      <w:r w:rsidR="00E94D28">
        <w:rPr>
          <w:rFonts w:ascii="Arial" w:hAnsi="Arial" w:cs="Arial"/>
          <w:lang w:val="en-GB"/>
        </w:rPr>
        <w:t>Dickson SC</w:t>
      </w:r>
    </w:p>
    <w:p w:rsidR="00F75E2C" w:rsidRDefault="00F75E2C" w:rsidP="0083691B">
      <w:pPr>
        <w:spacing w:line="360" w:lineRule="auto"/>
        <w:ind w:right="-82"/>
        <w:jc w:val="both"/>
        <w:rPr>
          <w:rFonts w:ascii="Arial" w:hAnsi="Arial" w:cs="Arial"/>
          <w:lang w:val="en-GB"/>
        </w:rPr>
      </w:pPr>
      <w:r>
        <w:rPr>
          <w:rFonts w:ascii="Arial" w:hAnsi="Arial" w:cs="Arial"/>
          <w:lang w:val="en-GB"/>
        </w:rPr>
        <w:t>Instructed by:</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w:t>
      </w:r>
      <w:r>
        <w:rPr>
          <w:rFonts w:ascii="Arial" w:hAnsi="Arial" w:cs="Arial"/>
          <w:lang w:val="en-GB"/>
        </w:rPr>
        <w:tab/>
      </w:r>
      <w:r w:rsidR="00E94D28">
        <w:rPr>
          <w:rFonts w:ascii="Arial" w:hAnsi="Arial" w:cs="Arial"/>
          <w:lang w:val="en-GB"/>
        </w:rPr>
        <w:t>Anwar Suleman Jessop</w:t>
      </w:r>
    </w:p>
    <w:p w:rsidR="00EB2484" w:rsidRDefault="00F75E2C" w:rsidP="0083691B">
      <w:pPr>
        <w:spacing w:line="360" w:lineRule="auto"/>
        <w:ind w:right="-82"/>
        <w:jc w:val="both"/>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EB2484">
        <w:rPr>
          <w:rFonts w:ascii="Arial" w:hAnsi="Arial" w:cs="Arial"/>
          <w:lang w:val="en-GB"/>
        </w:rPr>
        <w:t>First Floor</w:t>
      </w:r>
    </w:p>
    <w:p w:rsidR="00F75E2C" w:rsidRDefault="00E94D28" w:rsidP="00EB2484">
      <w:pPr>
        <w:spacing w:line="360" w:lineRule="auto"/>
        <w:ind w:left="4320" w:right="-82" w:firstLine="720"/>
        <w:jc w:val="both"/>
        <w:rPr>
          <w:rFonts w:ascii="Arial" w:hAnsi="Arial" w:cs="Arial"/>
          <w:lang w:val="en-GB"/>
        </w:rPr>
      </w:pPr>
      <w:r>
        <w:rPr>
          <w:rFonts w:ascii="Arial" w:hAnsi="Arial" w:cs="Arial"/>
          <w:lang w:val="en-GB"/>
        </w:rPr>
        <w:t>372 Kandahar Avenue</w:t>
      </w:r>
    </w:p>
    <w:p w:rsidR="00F75E2C" w:rsidRDefault="00E94D28" w:rsidP="00E94D28">
      <w:pPr>
        <w:spacing w:line="360" w:lineRule="auto"/>
        <w:ind w:right="-82"/>
        <w:jc w:val="both"/>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Ladysmith</w:t>
      </w:r>
    </w:p>
    <w:p w:rsidR="00EB2484" w:rsidRDefault="00EB2484" w:rsidP="00E94D28">
      <w:pPr>
        <w:spacing w:line="360" w:lineRule="auto"/>
        <w:ind w:right="-82"/>
        <w:jc w:val="both"/>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Care of:</w:t>
      </w:r>
    </w:p>
    <w:p w:rsidR="00EB2484" w:rsidRDefault="00EB2484" w:rsidP="00E94D28">
      <w:pPr>
        <w:spacing w:line="360" w:lineRule="auto"/>
        <w:ind w:right="-82"/>
        <w:jc w:val="both"/>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Cajee Setsubi Chetty Incorporated</w:t>
      </w:r>
    </w:p>
    <w:p w:rsidR="00EB2484" w:rsidRDefault="00EB2484" w:rsidP="00E94D28">
      <w:pPr>
        <w:spacing w:line="360" w:lineRule="auto"/>
        <w:ind w:right="-82"/>
        <w:jc w:val="both"/>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195 Boshoff Street</w:t>
      </w:r>
    </w:p>
    <w:p w:rsidR="00EB2484" w:rsidRDefault="00EB2484" w:rsidP="00E94D28">
      <w:pPr>
        <w:spacing w:line="360" w:lineRule="auto"/>
        <w:ind w:right="-82"/>
        <w:jc w:val="both"/>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Pietermaritzburg</w:t>
      </w:r>
    </w:p>
    <w:p w:rsidR="00846913" w:rsidRPr="00266936" w:rsidRDefault="00330E39" w:rsidP="0083691B">
      <w:pPr>
        <w:spacing w:line="360" w:lineRule="auto"/>
        <w:ind w:right="-82"/>
        <w:jc w:val="both"/>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BB64C3" w:rsidRPr="00266936">
        <w:rPr>
          <w:rFonts w:ascii="Arial" w:hAnsi="Arial" w:cs="Arial"/>
          <w:lang w:val="en-GB"/>
        </w:rPr>
        <w:t xml:space="preserve"> </w:t>
      </w:r>
    </w:p>
    <w:p w:rsidR="00846913" w:rsidRDefault="00846913" w:rsidP="0083691B">
      <w:pPr>
        <w:spacing w:line="360" w:lineRule="auto"/>
        <w:jc w:val="both"/>
        <w:rPr>
          <w:rFonts w:ascii="Arial" w:hAnsi="Arial" w:cs="Arial"/>
          <w:lang w:val="en-GB"/>
        </w:rPr>
      </w:pPr>
      <w:r w:rsidRPr="00266936">
        <w:rPr>
          <w:rFonts w:ascii="Arial" w:hAnsi="Arial" w:cs="Arial"/>
          <w:lang w:val="en-GB"/>
        </w:rPr>
        <w:t xml:space="preserve">Counsel for the </w:t>
      </w:r>
      <w:r w:rsidR="00E94D28">
        <w:rPr>
          <w:rFonts w:ascii="Arial" w:hAnsi="Arial" w:cs="Arial"/>
          <w:lang w:val="en-GB"/>
        </w:rPr>
        <w:t xml:space="preserve">first </w:t>
      </w:r>
      <w:r w:rsidRPr="00266936">
        <w:rPr>
          <w:rFonts w:ascii="Arial" w:hAnsi="Arial" w:cs="Arial"/>
          <w:lang w:val="en-GB"/>
        </w:rPr>
        <w:t>respondent</w:t>
      </w:r>
      <w:r w:rsidRPr="00266936">
        <w:rPr>
          <w:rFonts w:ascii="Arial" w:hAnsi="Arial" w:cs="Arial"/>
          <w:lang w:val="en-GB"/>
        </w:rPr>
        <w:tab/>
        <w:t xml:space="preserve"> </w:t>
      </w:r>
      <w:r w:rsidRPr="00266936">
        <w:rPr>
          <w:rFonts w:ascii="Arial" w:hAnsi="Arial" w:cs="Arial"/>
          <w:lang w:val="en-GB"/>
        </w:rPr>
        <w:tab/>
        <w:t>:</w:t>
      </w:r>
      <w:r w:rsidRPr="00266936">
        <w:rPr>
          <w:rFonts w:ascii="Arial" w:hAnsi="Arial" w:cs="Arial"/>
          <w:lang w:val="en-GB"/>
        </w:rPr>
        <w:tab/>
      </w:r>
      <w:r w:rsidR="00FC408A">
        <w:rPr>
          <w:rFonts w:ascii="Arial" w:hAnsi="Arial" w:cs="Arial"/>
          <w:lang w:val="en-GB"/>
        </w:rPr>
        <w:t xml:space="preserve">Mr </w:t>
      </w:r>
      <w:r w:rsidR="00E94D28">
        <w:rPr>
          <w:rFonts w:ascii="Arial" w:hAnsi="Arial" w:cs="Arial"/>
          <w:lang w:val="en-GB"/>
        </w:rPr>
        <w:t xml:space="preserve">L </w:t>
      </w:r>
      <w:r w:rsidR="00561D39">
        <w:rPr>
          <w:rFonts w:ascii="Arial" w:hAnsi="Arial" w:cs="Arial"/>
          <w:lang w:val="en-GB"/>
        </w:rPr>
        <w:t xml:space="preserve">B </w:t>
      </w:r>
      <w:r w:rsidR="00E94D28">
        <w:rPr>
          <w:rFonts w:ascii="Arial" w:hAnsi="Arial" w:cs="Arial"/>
          <w:lang w:val="en-GB"/>
        </w:rPr>
        <w:t xml:space="preserve">Broster SC with Ms </w:t>
      </w:r>
      <w:r w:rsidR="00F364E1">
        <w:rPr>
          <w:rFonts w:ascii="Arial" w:hAnsi="Arial" w:cs="Arial"/>
          <w:lang w:val="en-GB"/>
        </w:rPr>
        <w:t xml:space="preserve">Z </w:t>
      </w:r>
      <w:r w:rsidR="00E94D28">
        <w:rPr>
          <w:rFonts w:ascii="Arial" w:hAnsi="Arial" w:cs="Arial"/>
          <w:lang w:val="en-GB"/>
        </w:rPr>
        <w:t>Qono</w:t>
      </w:r>
    </w:p>
    <w:p w:rsidR="00FC408A" w:rsidRDefault="00FC408A" w:rsidP="0083691B">
      <w:pPr>
        <w:spacing w:line="360" w:lineRule="auto"/>
        <w:ind w:left="2160" w:hanging="2160"/>
        <w:jc w:val="both"/>
        <w:rPr>
          <w:rFonts w:ascii="Arial" w:hAnsi="Arial" w:cs="Arial"/>
          <w:lang w:val="en-GB"/>
        </w:rPr>
      </w:pPr>
      <w:r>
        <w:rPr>
          <w:rFonts w:ascii="Arial" w:hAnsi="Arial" w:cs="Arial"/>
          <w:lang w:val="en-GB"/>
        </w:rPr>
        <w:t>Instructed by</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w:t>
      </w:r>
      <w:r>
        <w:rPr>
          <w:rFonts w:ascii="Arial" w:hAnsi="Arial" w:cs="Arial"/>
          <w:lang w:val="en-GB"/>
        </w:rPr>
        <w:tab/>
      </w:r>
      <w:r w:rsidR="00F364E1">
        <w:rPr>
          <w:rFonts w:ascii="Arial" w:hAnsi="Arial" w:cs="Arial"/>
          <w:lang w:val="en-GB"/>
        </w:rPr>
        <w:t>Garlicke and Bousfield Incorporated</w:t>
      </w:r>
      <w:r w:rsidR="00EA18F5">
        <w:rPr>
          <w:rFonts w:ascii="Arial" w:hAnsi="Arial" w:cs="Arial"/>
          <w:lang w:val="en-GB"/>
        </w:rPr>
        <w:tab/>
      </w:r>
      <w:r w:rsidR="00EA18F5">
        <w:rPr>
          <w:rFonts w:ascii="Arial" w:hAnsi="Arial" w:cs="Arial"/>
          <w:lang w:val="en-GB"/>
        </w:rPr>
        <w:tab/>
      </w:r>
      <w:r w:rsidR="00EA18F5">
        <w:rPr>
          <w:rFonts w:ascii="Arial" w:hAnsi="Arial" w:cs="Arial"/>
          <w:lang w:val="en-GB"/>
        </w:rPr>
        <w:tab/>
      </w:r>
      <w:r w:rsidR="00EA18F5">
        <w:rPr>
          <w:rFonts w:ascii="Arial" w:hAnsi="Arial" w:cs="Arial"/>
          <w:lang w:val="en-GB"/>
        </w:rPr>
        <w:tab/>
      </w:r>
      <w:r w:rsidR="00F364E1">
        <w:rPr>
          <w:rFonts w:ascii="Arial" w:hAnsi="Arial" w:cs="Arial"/>
          <w:lang w:val="en-GB"/>
        </w:rPr>
        <w:t>7 Torsvale Crescent</w:t>
      </w:r>
    </w:p>
    <w:p w:rsidR="00F364E1" w:rsidRDefault="00F364E1" w:rsidP="0083691B">
      <w:pPr>
        <w:spacing w:line="360" w:lineRule="auto"/>
        <w:ind w:left="2160" w:hanging="2160"/>
        <w:jc w:val="both"/>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La Lucia Ridge Office Estate</w:t>
      </w:r>
    </w:p>
    <w:p w:rsidR="00F364E1" w:rsidRDefault="00F364E1" w:rsidP="0083691B">
      <w:pPr>
        <w:spacing w:line="360" w:lineRule="auto"/>
        <w:ind w:left="2160" w:hanging="2160"/>
        <w:jc w:val="both"/>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Durban</w:t>
      </w:r>
    </w:p>
    <w:p w:rsidR="00EB2484" w:rsidRDefault="00EB2484" w:rsidP="00EB2484">
      <w:pPr>
        <w:spacing w:line="360" w:lineRule="auto"/>
        <w:ind w:left="4320" w:firstLine="720"/>
        <w:jc w:val="both"/>
        <w:rPr>
          <w:rFonts w:ascii="Arial" w:hAnsi="Arial" w:cs="Arial"/>
          <w:lang w:val="en-GB"/>
        </w:rPr>
      </w:pPr>
      <w:r>
        <w:rPr>
          <w:rFonts w:ascii="Arial" w:hAnsi="Arial" w:cs="Arial"/>
          <w:lang w:val="en-GB"/>
        </w:rPr>
        <w:t>Care of:</w:t>
      </w:r>
    </w:p>
    <w:p w:rsidR="00EB2484" w:rsidRDefault="00EB2484" w:rsidP="00EB2484">
      <w:pPr>
        <w:spacing w:line="360" w:lineRule="auto"/>
        <w:ind w:left="4320" w:firstLine="720"/>
        <w:jc w:val="both"/>
        <w:rPr>
          <w:rFonts w:ascii="Arial" w:hAnsi="Arial" w:cs="Arial"/>
          <w:lang w:val="en-GB"/>
        </w:rPr>
      </w:pPr>
      <w:r>
        <w:rPr>
          <w:rFonts w:ascii="Arial" w:hAnsi="Arial" w:cs="Arial"/>
          <w:lang w:val="en-GB"/>
        </w:rPr>
        <w:t>Stowell and Company</w:t>
      </w:r>
    </w:p>
    <w:p w:rsidR="00EB2484" w:rsidRDefault="00EB2484" w:rsidP="00EB2484">
      <w:pPr>
        <w:spacing w:line="360" w:lineRule="auto"/>
        <w:jc w:val="both"/>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295 Pietermaritz Street</w:t>
      </w:r>
    </w:p>
    <w:p w:rsidR="00EB2484" w:rsidRDefault="00EB2484" w:rsidP="00EB2484">
      <w:pPr>
        <w:spacing w:line="360" w:lineRule="auto"/>
        <w:jc w:val="both"/>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Wembley</w:t>
      </w:r>
    </w:p>
    <w:p w:rsidR="00EB2484" w:rsidRDefault="00EB2484" w:rsidP="00EB2484">
      <w:pPr>
        <w:spacing w:line="360" w:lineRule="auto"/>
        <w:jc w:val="both"/>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Pietermaritzburg</w:t>
      </w:r>
    </w:p>
    <w:p w:rsidR="00F63F7C" w:rsidRDefault="00F63F7C" w:rsidP="00EB2484">
      <w:pPr>
        <w:spacing w:line="360" w:lineRule="auto"/>
        <w:jc w:val="both"/>
        <w:rPr>
          <w:rFonts w:ascii="Arial" w:hAnsi="Arial" w:cs="Arial"/>
          <w:lang w:val="en-GB"/>
        </w:rPr>
      </w:pPr>
    </w:p>
    <w:p w:rsidR="00F63F7C" w:rsidRDefault="00F63F7C" w:rsidP="00EB2484">
      <w:pPr>
        <w:spacing w:line="360" w:lineRule="auto"/>
        <w:jc w:val="both"/>
        <w:rPr>
          <w:rFonts w:ascii="Arial" w:hAnsi="Arial" w:cs="Arial"/>
          <w:lang w:val="en-GB"/>
        </w:rPr>
      </w:pPr>
      <w:r>
        <w:rPr>
          <w:rFonts w:ascii="Arial" w:hAnsi="Arial" w:cs="Arial"/>
          <w:lang w:val="en-GB"/>
        </w:rPr>
        <w:t xml:space="preserve">Counsel for the second to fifth </w:t>
      </w:r>
      <w:r>
        <w:rPr>
          <w:rFonts w:ascii="Arial" w:hAnsi="Arial" w:cs="Arial"/>
          <w:lang w:val="en-GB"/>
        </w:rPr>
        <w:tab/>
      </w:r>
      <w:r>
        <w:rPr>
          <w:rFonts w:ascii="Arial" w:hAnsi="Arial" w:cs="Arial"/>
          <w:lang w:val="en-GB"/>
        </w:rPr>
        <w:tab/>
        <w:t>:</w:t>
      </w:r>
      <w:r>
        <w:rPr>
          <w:rFonts w:ascii="Arial" w:hAnsi="Arial" w:cs="Arial"/>
          <w:lang w:val="en-GB"/>
        </w:rPr>
        <w:tab/>
        <w:t>Mr A de Wet SC</w:t>
      </w:r>
    </w:p>
    <w:p w:rsidR="00F63F7C" w:rsidRDefault="002F1EF9" w:rsidP="00EB2484">
      <w:pPr>
        <w:spacing w:line="360" w:lineRule="auto"/>
        <w:jc w:val="both"/>
        <w:rPr>
          <w:rFonts w:ascii="Arial" w:hAnsi="Arial" w:cs="Arial"/>
          <w:lang w:val="en-GB"/>
        </w:rPr>
      </w:pPr>
      <w:r>
        <w:rPr>
          <w:rFonts w:ascii="Arial" w:hAnsi="Arial" w:cs="Arial"/>
          <w:lang w:val="en-GB"/>
        </w:rPr>
        <w:t>r</w:t>
      </w:r>
      <w:r w:rsidR="00F63F7C">
        <w:rPr>
          <w:rFonts w:ascii="Arial" w:hAnsi="Arial" w:cs="Arial"/>
          <w:lang w:val="en-GB"/>
        </w:rPr>
        <w:t>espondents</w:t>
      </w:r>
    </w:p>
    <w:p w:rsidR="00F63F7C" w:rsidRDefault="00F63F7C" w:rsidP="00EB2484">
      <w:pPr>
        <w:spacing w:line="360" w:lineRule="auto"/>
        <w:jc w:val="both"/>
        <w:rPr>
          <w:rFonts w:ascii="Arial" w:hAnsi="Arial" w:cs="Arial"/>
          <w:lang w:val="en-GB"/>
        </w:rPr>
      </w:pPr>
      <w:r>
        <w:rPr>
          <w:rFonts w:ascii="Arial" w:hAnsi="Arial" w:cs="Arial"/>
          <w:lang w:val="en-GB"/>
        </w:rPr>
        <w:t>Instructed by:</w:t>
      </w:r>
      <w:r w:rsidR="00EB74D6">
        <w:rPr>
          <w:rFonts w:ascii="Arial" w:hAnsi="Arial" w:cs="Arial"/>
          <w:lang w:val="en-GB"/>
        </w:rPr>
        <w:tab/>
      </w:r>
      <w:r w:rsidR="00EB74D6">
        <w:rPr>
          <w:rFonts w:ascii="Arial" w:hAnsi="Arial" w:cs="Arial"/>
          <w:lang w:val="en-GB"/>
        </w:rPr>
        <w:tab/>
      </w:r>
      <w:r w:rsidR="00EB74D6">
        <w:rPr>
          <w:rFonts w:ascii="Arial" w:hAnsi="Arial" w:cs="Arial"/>
          <w:lang w:val="en-GB"/>
        </w:rPr>
        <w:tab/>
      </w:r>
      <w:r w:rsidR="00EB74D6">
        <w:rPr>
          <w:rFonts w:ascii="Arial" w:hAnsi="Arial" w:cs="Arial"/>
          <w:lang w:val="en-GB"/>
        </w:rPr>
        <w:tab/>
        <w:t>:</w:t>
      </w:r>
      <w:r w:rsidR="00EB74D6">
        <w:rPr>
          <w:rFonts w:ascii="Arial" w:hAnsi="Arial" w:cs="Arial"/>
          <w:lang w:val="en-GB"/>
        </w:rPr>
        <w:tab/>
      </w:r>
      <w:r w:rsidR="008E73A3">
        <w:rPr>
          <w:rFonts w:ascii="Arial" w:hAnsi="Arial" w:cs="Arial"/>
          <w:lang w:val="en-GB"/>
        </w:rPr>
        <w:t>Xaba Attorneys</w:t>
      </w:r>
      <w:r w:rsidR="008E73A3">
        <w:rPr>
          <w:rFonts w:ascii="Arial" w:hAnsi="Arial" w:cs="Arial"/>
          <w:lang w:val="en-GB"/>
        </w:rPr>
        <w:tab/>
      </w:r>
    </w:p>
    <w:p w:rsidR="008E73A3" w:rsidRDefault="008E73A3" w:rsidP="00EB2484">
      <w:pPr>
        <w:spacing w:line="360" w:lineRule="auto"/>
        <w:jc w:val="both"/>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C1517D">
        <w:rPr>
          <w:rFonts w:ascii="Arial" w:hAnsi="Arial" w:cs="Arial"/>
          <w:lang w:val="en-GB"/>
        </w:rPr>
        <w:t>223 Boom Street</w:t>
      </w:r>
    </w:p>
    <w:p w:rsidR="00C1517D" w:rsidRDefault="00C1517D" w:rsidP="00EB2484">
      <w:pPr>
        <w:spacing w:line="360" w:lineRule="auto"/>
        <w:jc w:val="both"/>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Central Office Park</w:t>
      </w:r>
    </w:p>
    <w:p w:rsidR="00C1517D" w:rsidRDefault="00C1517D" w:rsidP="00EB2484">
      <w:pPr>
        <w:spacing w:line="360" w:lineRule="auto"/>
        <w:jc w:val="both"/>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Pietermaritzburg</w:t>
      </w:r>
    </w:p>
    <w:p w:rsidR="00F364E1" w:rsidRDefault="00F364E1" w:rsidP="0083691B">
      <w:pPr>
        <w:spacing w:line="360" w:lineRule="auto"/>
        <w:ind w:left="2160" w:hanging="2160"/>
        <w:jc w:val="both"/>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p>
    <w:p w:rsidR="00846913" w:rsidRDefault="00846913" w:rsidP="0083691B">
      <w:pPr>
        <w:spacing w:line="360" w:lineRule="auto"/>
        <w:jc w:val="both"/>
        <w:rPr>
          <w:rFonts w:ascii="Arial" w:eastAsia="Calibri" w:hAnsi="Arial" w:cs="Arial"/>
          <w:lang w:val="en-GB"/>
        </w:rPr>
      </w:pPr>
      <w:r w:rsidRPr="00266936">
        <w:rPr>
          <w:rFonts w:ascii="Arial" w:eastAsia="Calibri" w:hAnsi="Arial" w:cs="Arial"/>
          <w:lang w:val="en-GB"/>
        </w:rPr>
        <w:t xml:space="preserve">Date of Hearing </w:t>
      </w:r>
      <w:r w:rsidRPr="00266936">
        <w:rPr>
          <w:rFonts w:ascii="Arial" w:eastAsia="Calibri" w:hAnsi="Arial" w:cs="Arial"/>
          <w:lang w:val="en-GB"/>
        </w:rPr>
        <w:tab/>
      </w:r>
      <w:r w:rsidRPr="00266936">
        <w:rPr>
          <w:rFonts w:ascii="Arial" w:eastAsia="Calibri" w:hAnsi="Arial" w:cs="Arial"/>
          <w:lang w:val="en-GB"/>
        </w:rPr>
        <w:tab/>
      </w:r>
      <w:r w:rsidRPr="00266936">
        <w:rPr>
          <w:rFonts w:ascii="Arial" w:eastAsia="Calibri" w:hAnsi="Arial" w:cs="Arial"/>
          <w:lang w:val="en-GB"/>
        </w:rPr>
        <w:tab/>
      </w:r>
      <w:r w:rsidRPr="00266936">
        <w:rPr>
          <w:rFonts w:ascii="Arial" w:eastAsia="Calibri" w:hAnsi="Arial" w:cs="Arial"/>
          <w:lang w:val="en-GB"/>
        </w:rPr>
        <w:tab/>
        <w:t>:</w:t>
      </w:r>
      <w:r w:rsidRPr="00266936">
        <w:rPr>
          <w:rFonts w:ascii="Arial" w:eastAsia="Calibri" w:hAnsi="Arial" w:cs="Arial"/>
          <w:lang w:val="en-GB"/>
        </w:rPr>
        <w:tab/>
      </w:r>
      <w:r w:rsidR="00EB74D6">
        <w:rPr>
          <w:rFonts w:ascii="Arial" w:eastAsia="Calibri" w:hAnsi="Arial" w:cs="Arial"/>
          <w:lang w:val="en-GB"/>
        </w:rPr>
        <w:t>26 January 2024</w:t>
      </w:r>
    </w:p>
    <w:p w:rsidR="00846913" w:rsidRDefault="00846913" w:rsidP="0083691B">
      <w:pPr>
        <w:spacing w:line="360" w:lineRule="auto"/>
        <w:jc w:val="both"/>
        <w:rPr>
          <w:rFonts w:ascii="Arial" w:eastAsia="Calibri" w:hAnsi="Arial" w:cs="Arial"/>
          <w:lang w:val="en-GB"/>
        </w:rPr>
      </w:pPr>
      <w:r w:rsidRPr="00266936">
        <w:rPr>
          <w:rFonts w:ascii="Arial" w:eastAsia="Calibri" w:hAnsi="Arial" w:cs="Arial"/>
          <w:lang w:val="en-GB"/>
        </w:rPr>
        <w:t xml:space="preserve">Date of </w:t>
      </w:r>
      <w:r w:rsidR="002C32C2" w:rsidRPr="00266936">
        <w:rPr>
          <w:rFonts w:ascii="Arial" w:eastAsia="Calibri" w:hAnsi="Arial" w:cs="Arial"/>
          <w:lang w:val="en-GB"/>
        </w:rPr>
        <w:t xml:space="preserve">Judgment </w:t>
      </w:r>
      <w:r w:rsidR="002C32C2" w:rsidRPr="00266936">
        <w:rPr>
          <w:rFonts w:ascii="Arial" w:eastAsia="Calibri" w:hAnsi="Arial" w:cs="Arial"/>
          <w:lang w:val="en-GB"/>
        </w:rPr>
        <w:tab/>
      </w:r>
      <w:r w:rsidRPr="00266936">
        <w:rPr>
          <w:rFonts w:ascii="Arial" w:eastAsia="Calibri" w:hAnsi="Arial" w:cs="Arial"/>
          <w:lang w:val="en-GB"/>
        </w:rPr>
        <w:tab/>
      </w:r>
      <w:r w:rsidRPr="00266936">
        <w:rPr>
          <w:rFonts w:ascii="Arial" w:eastAsia="Calibri" w:hAnsi="Arial" w:cs="Arial"/>
          <w:lang w:val="en-GB"/>
        </w:rPr>
        <w:tab/>
      </w:r>
      <w:r w:rsidRPr="00266936">
        <w:rPr>
          <w:rFonts w:ascii="Arial" w:eastAsia="Calibri" w:hAnsi="Arial" w:cs="Arial"/>
          <w:lang w:val="en-GB"/>
        </w:rPr>
        <w:tab/>
        <w:t>:</w:t>
      </w:r>
      <w:r w:rsidRPr="00266936">
        <w:rPr>
          <w:rFonts w:ascii="Arial" w:eastAsia="Calibri" w:hAnsi="Arial" w:cs="Arial"/>
          <w:lang w:val="en-GB"/>
        </w:rPr>
        <w:tab/>
      </w:r>
      <w:r w:rsidR="00D4576A">
        <w:rPr>
          <w:rFonts w:ascii="Arial" w:eastAsia="Calibri" w:hAnsi="Arial" w:cs="Arial"/>
          <w:lang w:val="en-GB"/>
        </w:rPr>
        <w:t xml:space="preserve">20 </w:t>
      </w:r>
      <w:r w:rsidR="00EB74D6">
        <w:rPr>
          <w:rFonts w:ascii="Arial" w:eastAsia="Calibri" w:hAnsi="Arial" w:cs="Arial"/>
          <w:lang w:val="en-GB"/>
        </w:rPr>
        <w:t>February 2024</w:t>
      </w:r>
    </w:p>
    <w:p w:rsidR="00E5117D" w:rsidRDefault="00E5117D" w:rsidP="00E5117D">
      <w:pPr>
        <w:tabs>
          <w:tab w:val="left" w:pos="709"/>
        </w:tabs>
        <w:spacing w:line="360" w:lineRule="auto"/>
        <w:jc w:val="both"/>
        <w:rPr>
          <w:rFonts w:ascii="Arial" w:hAnsi="Arial" w:cs="Arial"/>
          <w:bCs/>
          <w:lang w:val="en-GB"/>
        </w:rPr>
      </w:pPr>
    </w:p>
    <w:sectPr w:rsidR="00E5117D" w:rsidSect="00E03928">
      <w:headerReference w:type="even" r:id="rId10"/>
      <w:headerReference w:type="default" r:id="rId11"/>
      <w:footerReference w:type="default" r:id="rId12"/>
      <w:pgSz w:w="11900" w:h="16840"/>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4EF" w:rsidRDefault="00F314EF" w:rsidP="00AD5B33">
      <w:r>
        <w:separator/>
      </w:r>
    </w:p>
  </w:endnote>
  <w:endnote w:type="continuationSeparator" w:id="0">
    <w:p w:rsidR="00F314EF" w:rsidRDefault="00F314EF" w:rsidP="00AD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Apple Color Emoji">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B4A" w:rsidRDefault="002D2B4A">
    <w:pPr>
      <w:pStyle w:val="Footer"/>
    </w:pPr>
  </w:p>
  <w:p w:rsidR="002D2B4A" w:rsidRDefault="002D2B4A">
    <w:pPr>
      <w:pStyle w:val="Footer"/>
    </w:pPr>
  </w:p>
  <w:p w:rsidR="002D2B4A" w:rsidRDefault="002D2B4A">
    <w:pPr>
      <w:pStyle w:val="Footer"/>
    </w:pPr>
  </w:p>
  <w:p w:rsidR="002D2B4A" w:rsidRDefault="002D2B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4EF" w:rsidRDefault="00F314EF" w:rsidP="00AD5B33">
      <w:r>
        <w:separator/>
      </w:r>
    </w:p>
  </w:footnote>
  <w:footnote w:type="continuationSeparator" w:id="0">
    <w:p w:rsidR="00F314EF" w:rsidRDefault="00F314EF" w:rsidP="00AD5B33">
      <w:r>
        <w:continuationSeparator/>
      </w:r>
    </w:p>
  </w:footnote>
  <w:footnote w:id="1">
    <w:p w:rsidR="002D2B4A" w:rsidRPr="00652955" w:rsidRDefault="002D2B4A" w:rsidP="00652955">
      <w:pPr>
        <w:pStyle w:val="FootnoteText"/>
        <w:contextualSpacing/>
        <w:jc w:val="both"/>
        <w:rPr>
          <w:rFonts w:ascii="Arial" w:hAnsi="Arial" w:cs="Arial"/>
          <w:lang w:val="en-US"/>
        </w:rPr>
      </w:pPr>
      <w:r w:rsidRPr="00652955">
        <w:rPr>
          <w:rStyle w:val="FootnoteReference"/>
          <w:rFonts w:ascii="Arial" w:hAnsi="Arial" w:cs="Arial"/>
        </w:rPr>
        <w:footnoteRef/>
      </w:r>
      <w:r w:rsidRPr="00652955">
        <w:rPr>
          <w:rFonts w:ascii="Arial" w:hAnsi="Arial" w:cs="Arial"/>
        </w:rPr>
        <w:t xml:space="preserve"> </w:t>
      </w:r>
      <w:r w:rsidRPr="00652955">
        <w:rPr>
          <w:rFonts w:ascii="Arial" w:hAnsi="Arial" w:cs="Arial"/>
          <w:lang w:val="en-US"/>
        </w:rPr>
        <w:t>The other successful tenderer was an entity called Uyapo Engineering Projects.</w:t>
      </w:r>
    </w:p>
  </w:footnote>
  <w:footnote w:id="2">
    <w:p w:rsidR="002D2B4A" w:rsidRPr="00652955" w:rsidRDefault="002D2B4A" w:rsidP="00652955">
      <w:pPr>
        <w:pStyle w:val="ListParagraph"/>
        <w:tabs>
          <w:tab w:val="left" w:pos="709"/>
        </w:tabs>
        <w:ind w:left="0"/>
        <w:jc w:val="both"/>
        <w:rPr>
          <w:rFonts w:ascii="Arial" w:hAnsi="Arial" w:cs="Arial"/>
          <w:bCs/>
          <w:sz w:val="20"/>
          <w:szCs w:val="20"/>
          <w:lang w:val="en-GB"/>
        </w:rPr>
      </w:pPr>
      <w:r w:rsidRPr="00652955">
        <w:rPr>
          <w:rStyle w:val="FootnoteReference"/>
          <w:rFonts w:ascii="Arial" w:hAnsi="Arial" w:cs="Arial"/>
          <w:sz w:val="20"/>
          <w:szCs w:val="20"/>
        </w:rPr>
        <w:footnoteRef/>
      </w:r>
      <w:r w:rsidRPr="00652955">
        <w:rPr>
          <w:rFonts w:ascii="Arial" w:hAnsi="Arial" w:cs="Arial"/>
          <w:sz w:val="20"/>
          <w:szCs w:val="20"/>
        </w:rPr>
        <w:t xml:space="preserve"> The relief claimed in the notice of motion was the following:</w:t>
      </w:r>
      <w:r w:rsidRPr="00652955">
        <w:rPr>
          <w:rFonts w:ascii="Arial" w:hAnsi="Arial" w:cs="Arial"/>
          <w:bCs/>
          <w:sz w:val="20"/>
          <w:szCs w:val="20"/>
          <w:lang w:val="en-GB"/>
        </w:rPr>
        <w:t xml:space="preserve"> </w:t>
      </w:r>
    </w:p>
    <w:p w:rsidR="002D2B4A" w:rsidRPr="00652955" w:rsidRDefault="002D2B4A" w:rsidP="00652955">
      <w:pPr>
        <w:pStyle w:val="ListParagraph"/>
        <w:tabs>
          <w:tab w:val="left" w:pos="709"/>
        </w:tabs>
        <w:ind w:left="0"/>
        <w:jc w:val="both"/>
        <w:rPr>
          <w:rFonts w:ascii="Arial" w:hAnsi="Arial" w:cs="Arial"/>
          <w:bCs/>
          <w:sz w:val="20"/>
          <w:szCs w:val="20"/>
          <w:lang w:val="en-GB"/>
        </w:rPr>
      </w:pPr>
      <w:r w:rsidRPr="00652955">
        <w:rPr>
          <w:rFonts w:ascii="Arial" w:hAnsi="Arial" w:cs="Arial"/>
          <w:bCs/>
          <w:sz w:val="20"/>
          <w:szCs w:val="20"/>
          <w:lang w:val="en-GB"/>
        </w:rPr>
        <w:t>‘2.1</w:t>
      </w:r>
      <w:r w:rsidRPr="00652955">
        <w:rPr>
          <w:rFonts w:ascii="Arial" w:hAnsi="Arial" w:cs="Arial"/>
          <w:bCs/>
          <w:sz w:val="20"/>
          <w:szCs w:val="20"/>
          <w:lang w:val="en-GB"/>
        </w:rPr>
        <w:tab/>
        <w:t>The Respondent’s suspension of the Contract concluded with the Applicant under Reference 01/2020-PRS which suspension is dated 14 June 2022, is declared to have lapsed and of no force and effect.</w:t>
      </w:r>
    </w:p>
    <w:p w:rsidR="002D2B4A" w:rsidRPr="00652955" w:rsidRDefault="002D2B4A" w:rsidP="00652955">
      <w:pPr>
        <w:pStyle w:val="ListParagraph"/>
        <w:tabs>
          <w:tab w:val="left" w:pos="709"/>
        </w:tabs>
        <w:ind w:left="0"/>
        <w:jc w:val="both"/>
        <w:rPr>
          <w:rFonts w:ascii="Arial" w:hAnsi="Arial" w:cs="Arial"/>
          <w:bCs/>
          <w:sz w:val="20"/>
          <w:szCs w:val="20"/>
          <w:lang w:val="en-GB"/>
        </w:rPr>
      </w:pPr>
      <w:r w:rsidRPr="00652955">
        <w:rPr>
          <w:rFonts w:ascii="Arial" w:hAnsi="Arial" w:cs="Arial"/>
          <w:bCs/>
          <w:sz w:val="20"/>
          <w:szCs w:val="20"/>
          <w:lang w:val="en-GB"/>
        </w:rPr>
        <w:t>2.2</w:t>
      </w:r>
      <w:r w:rsidRPr="00652955">
        <w:rPr>
          <w:rFonts w:ascii="Arial" w:hAnsi="Arial" w:cs="Arial"/>
          <w:bCs/>
          <w:sz w:val="20"/>
          <w:szCs w:val="20"/>
          <w:lang w:val="en-GB"/>
        </w:rPr>
        <w:tab/>
        <w:t>The Respondent is interdicted and restrained from unlawfully interfering with the Applicant’s provision of services to the Respondent in terms of Contract 01/2020-PRS.</w:t>
      </w:r>
    </w:p>
    <w:p w:rsidR="002D2B4A" w:rsidRPr="00652955" w:rsidRDefault="002D2B4A" w:rsidP="00652955">
      <w:pPr>
        <w:pStyle w:val="ListParagraph"/>
        <w:tabs>
          <w:tab w:val="left" w:pos="709"/>
        </w:tabs>
        <w:ind w:left="0"/>
        <w:jc w:val="both"/>
        <w:rPr>
          <w:rFonts w:ascii="Arial" w:hAnsi="Arial" w:cs="Arial"/>
          <w:bCs/>
          <w:sz w:val="20"/>
          <w:szCs w:val="20"/>
          <w:lang w:val="en-GB"/>
        </w:rPr>
      </w:pPr>
      <w:r w:rsidRPr="00652955">
        <w:rPr>
          <w:rFonts w:ascii="Arial" w:hAnsi="Arial" w:cs="Arial"/>
          <w:bCs/>
          <w:sz w:val="20"/>
          <w:szCs w:val="20"/>
          <w:lang w:val="en-GB"/>
        </w:rPr>
        <w:t>2.3</w:t>
      </w:r>
      <w:r w:rsidRPr="00652955">
        <w:rPr>
          <w:rFonts w:ascii="Arial" w:hAnsi="Arial" w:cs="Arial"/>
          <w:bCs/>
          <w:sz w:val="20"/>
          <w:szCs w:val="20"/>
          <w:lang w:val="en-GB"/>
        </w:rPr>
        <w:tab/>
        <w:t>The Order sought in paragraph 2.2 above shall not limit either party’s (sic) from enforcing their rights arising from the terms and conditions of Contract.</w:t>
      </w:r>
    </w:p>
    <w:p w:rsidR="002D2B4A" w:rsidRPr="00652955" w:rsidRDefault="002D2B4A" w:rsidP="00652955">
      <w:pPr>
        <w:pStyle w:val="ListParagraph"/>
        <w:tabs>
          <w:tab w:val="left" w:pos="709"/>
        </w:tabs>
        <w:ind w:left="0"/>
        <w:jc w:val="both"/>
        <w:rPr>
          <w:rFonts w:ascii="Arial" w:hAnsi="Arial" w:cs="Arial"/>
          <w:bCs/>
          <w:sz w:val="20"/>
          <w:szCs w:val="20"/>
          <w:lang w:val="en-GB"/>
        </w:rPr>
      </w:pPr>
      <w:r w:rsidRPr="00652955">
        <w:rPr>
          <w:rFonts w:ascii="Arial" w:hAnsi="Arial" w:cs="Arial"/>
          <w:bCs/>
          <w:sz w:val="20"/>
          <w:szCs w:val="20"/>
          <w:lang w:val="en-GB"/>
        </w:rPr>
        <w:t>2.4</w:t>
      </w:r>
      <w:r w:rsidRPr="00652955">
        <w:rPr>
          <w:rFonts w:ascii="Arial" w:hAnsi="Arial" w:cs="Arial"/>
          <w:bCs/>
          <w:sz w:val="20"/>
          <w:szCs w:val="20"/>
          <w:lang w:val="en-GB"/>
        </w:rPr>
        <w:tab/>
        <w:t>The Respondent is directed to forthwith issue a press release and publish same in the local newspaper, advising that the Applicant is entitled to execute the services relating to the installation of water metres in terms of Contract 01/2020-PRS and may continue to do so from the date of this Order.</w:t>
      </w:r>
    </w:p>
    <w:p w:rsidR="002D2B4A" w:rsidRPr="00652955" w:rsidRDefault="002D2B4A" w:rsidP="00652955">
      <w:pPr>
        <w:pStyle w:val="ListParagraph"/>
        <w:tabs>
          <w:tab w:val="left" w:pos="709"/>
        </w:tabs>
        <w:ind w:left="0"/>
        <w:jc w:val="both"/>
        <w:rPr>
          <w:rFonts w:ascii="Arial" w:hAnsi="Arial" w:cs="Arial"/>
          <w:sz w:val="20"/>
          <w:szCs w:val="20"/>
          <w:lang w:val="en-US"/>
        </w:rPr>
      </w:pPr>
      <w:r w:rsidRPr="00652955">
        <w:rPr>
          <w:rFonts w:ascii="Arial" w:hAnsi="Arial" w:cs="Arial"/>
          <w:bCs/>
          <w:sz w:val="20"/>
          <w:szCs w:val="20"/>
          <w:lang w:val="en-GB"/>
        </w:rPr>
        <w:t>2.5</w:t>
      </w:r>
      <w:r w:rsidRPr="00652955">
        <w:rPr>
          <w:rFonts w:ascii="Arial" w:hAnsi="Arial" w:cs="Arial"/>
          <w:bCs/>
          <w:sz w:val="20"/>
          <w:szCs w:val="20"/>
          <w:lang w:val="en-GB"/>
        </w:rPr>
        <w:tab/>
        <w:t>The Respondent is directed to pay the costs of the application.’</w:t>
      </w:r>
    </w:p>
  </w:footnote>
  <w:footnote w:id="3">
    <w:p w:rsidR="002D2B4A" w:rsidRPr="00652955" w:rsidRDefault="002D2B4A" w:rsidP="00652955">
      <w:pPr>
        <w:contextualSpacing/>
        <w:jc w:val="both"/>
        <w:rPr>
          <w:rFonts w:ascii="Arial" w:hAnsi="Arial" w:cs="Arial"/>
          <w:color w:val="000000" w:themeColor="text1"/>
          <w:sz w:val="20"/>
          <w:szCs w:val="20"/>
        </w:rPr>
      </w:pPr>
      <w:r w:rsidRPr="00652955">
        <w:rPr>
          <w:rStyle w:val="FootnoteReference"/>
          <w:rFonts w:ascii="Arial" w:hAnsi="Arial" w:cs="Arial"/>
          <w:color w:val="000000" w:themeColor="text1"/>
          <w:sz w:val="20"/>
          <w:szCs w:val="20"/>
        </w:rPr>
        <w:footnoteRef/>
      </w:r>
      <w:r w:rsidRPr="00652955">
        <w:rPr>
          <w:rFonts w:ascii="Arial" w:hAnsi="Arial" w:cs="Arial"/>
          <w:color w:val="000000" w:themeColor="text1"/>
          <w:sz w:val="20"/>
          <w:szCs w:val="20"/>
        </w:rPr>
        <w:t xml:space="preserve"> Oscar Greeley Clendenning Hammerstein II</w:t>
      </w:r>
      <w:r w:rsidRPr="00652955">
        <w:rPr>
          <w:rStyle w:val="apple-converted-space"/>
          <w:rFonts w:ascii="Arial" w:hAnsi="Arial" w:cs="Arial"/>
          <w:color w:val="000000" w:themeColor="text1"/>
          <w:sz w:val="20"/>
          <w:szCs w:val="20"/>
          <w:shd w:val="clear" w:color="auto" w:fill="FFFFFF"/>
        </w:rPr>
        <w:t xml:space="preserve"> (12 </w:t>
      </w:r>
      <w:r w:rsidRPr="00652955">
        <w:rPr>
          <w:rFonts w:ascii="Arial" w:hAnsi="Arial" w:cs="Arial"/>
          <w:color w:val="000000" w:themeColor="text1"/>
          <w:sz w:val="20"/>
          <w:szCs w:val="20"/>
          <w:shd w:val="clear" w:color="auto" w:fill="FFFFFF"/>
        </w:rPr>
        <w:t>July 1895 - 23 August 1960) was an American lyricist, librettist and theatrical producer best known for his collaborations with composer Richard Rodgers.</w:t>
      </w:r>
    </w:p>
  </w:footnote>
  <w:footnote w:id="4">
    <w:p w:rsidR="002D2B4A" w:rsidRPr="00652955" w:rsidRDefault="002D2B4A" w:rsidP="00652955">
      <w:pPr>
        <w:pStyle w:val="FootnoteText"/>
        <w:contextualSpacing/>
        <w:jc w:val="both"/>
        <w:rPr>
          <w:rFonts w:ascii="Arial" w:hAnsi="Arial" w:cs="Arial"/>
          <w:lang w:val="en-US"/>
        </w:rPr>
      </w:pPr>
      <w:r w:rsidRPr="00652955">
        <w:rPr>
          <w:rStyle w:val="FootnoteReference"/>
          <w:rFonts w:ascii="Arial" w:hAnsi="Arial" w:cs="Arial"/>
        </w:rPr>
        <w:footnoteRef/>
      </w:r>
      <w:r w:rsidRPr="00652955">
        <w:rPr>
          <w:rFonts w:ascii="Arial" w:hAnsi="Arial" w:cs="Arial"/>
        </w:rPr>
        <w:t xml:space="preserve"> </w:t>
      </w:r>
      <w:r w:rsidRPr="00652955">
        <w:rPr>
          <w:rFonts w:ascii="Arial" w:hAnsi="Arial" w:cs="Arial"/>
          <w:lang w:val="en-US"/>
        </w:rPr>
        <w:t>Section 2</w:t>
      </w:r>
      <w:r w:rsidRPr="00652955">
        <w:rPr>
          <w:rFonts w:ascii="Arial" w:hAnsi="Arial" w:cs="Arial"/>
          <w:i/>
          <w:lang w:val="en-US"/>
        </w:rPr>
        <w:t>(a)</w:t>
      </w:r>
      <w:r w:rsidRPr="00652955">
        <w:rPr>
          <w:rFonts w:ascii="Arial" w:hAnsi="Arial" w:cs="Arial"/>
          <w:lang w:val="en-US"/>
        </w:rPr>
        <w:t xml:space="preserve"> of the Local Government: Municipal Systems Act 32 of 2000.</w:t>
      </w:r>
    </w:p>
  </w:footnote>
  <w:footnote w:id="5">
    <w:p w:rsidR="002D2B4A" w:rsidRPr="00652955" w:rsidRDefault="002D2B4A" w:rsidP="00D301B1">
      <w:pPr>
        <w:pStyle w:val="Heading2"/>
        <w:spacing w:before="0"/>
        <w:contextualSpacing/>
        <w:jc w:val="both"/>
        <w:rPr>
          <w:rFonts w:ascii="Arial" w:hAnsi="Arial" w:cs="Arial"/>
          <w:color w:val="000000" w:themeColor="text1"/>
          <w:sz w:val="20"/>
          <w:szCs w:val="20"/>
          <w:lang w:val="en-US"/>
        </w:rPr>
      </w:pPr>
      <w:r w:rsidRPr="00652955">
        <w:rPr>
          <w:rStyle w:val="FootnoteReference"/>
          <w:rFonts w:ascii="Arial" w:hAnsi="Arial" w:cs="Arial"/>
          <w:color w:val="000000" w:themeColor="text1"/>
          <w:sz w:val="20"/>
          <w:szCs w:val="20"/>
        </w:rPr>
        <w:footnoteRef/>
      </w:r>
      <w:r w:rsidRPr="00652955">
        <w:rPr>
          <w:rFonts w:ascii="Arial" w:hAnsi="Arial" w:cs="Arial"/>
          <w:color w:val="000000" w:themeColor="text1"/>
          <w:sz w:val="20"/>
          <w:szCs w:val="20"/>
        </w:rPr>
        <w:t xml:space="preserve"> </w:t>
      </w:r>
      <w:r w:rsidRPr="00652955">
        <w:rPr>
          <w:rFonts w:ascii="Arial" w:hAnsi="Arial" w:cs="Arial"/>
          <w:i/>
          <w:iCs/>
          <w:color w:val="000000" w:themeColor="text1"/>
          <w:sz w:val="20"/>
          <w:szCs w:val="20"/>
        </w:rPr>
        <w:t>State Information Technology Agency SOC Limited v Gijima Holdings (Pty) Limited</w:t>
      </w:r>
      <w:r w:rsidRPr="00652955">
        <w:rPr>
          <w:rFonts w:ascii="Arial" w:hAnsi="Arial" w:cs="Arial"/>
          <w:color w:val="000000" w:themeColor="text1"/>
          <w:sz w:val="20"/>
          <w:szCs w:val="20"/>
        </w:rPr>
        <w:t xml:space="preserve"> [2017] ZACC 40; 2018 (2) SA 23 (CC); 2018 (2) BCLR 240 (CC).</w:t>
      </w:r>
    </w:p>
  </w:footnote>
  <w:footnote w:id="6">
    <w:p w:rsidR="002D2B4A" w:rsidRPr="00652955" w:rsidRDefault="002D2B4A" w:rsidP="00652955">
      <w:pPr>
        <w:contextualSpacing/>
        <w:jc w:val="both"/>
        <w:rPr>
          <w:rFonts w:ascii="Arial" w:hAnsi="Arial" w:cs="Arial"/>
          <w:color w:val="000000" w:themeColor="text1"/>
          <w:sz w:val="20"/>
          <w:szCs w:val="20"/>
          <w:lang w:val="en-US"/>
        </w:rPr>
      </w:pPr>
      <w:r w:rsidRPr="00652955">
        <w:rPr>
          <w:rStyle w:val="FootnoteReference"/>
          <w:rFonts w:ascii="Arial" w:hAnsi="Arial" w:cs="Arial"/>
          <w:color w:val="000000" w:themeColor="text1"/>
          <w:sz w:val="20"/>
          <w:szCs w:val="20"/>
        </w:rPr>
        <w:footnoteRef/>
      </w:r>
      <w:r w:rsidRPr="00652955">
        <w:rPr>
          <w:rFonts w:ascii="Arial" w:hAnsi="Arial" w:cs="Arial"/>
          <w:color w:val="000000" w:themeColor="text1"/>
          <w:sz w:val="20"/>
          <w:szCs w:val="20"/>
        </w:rPr>
        <w:t xml:space="preserve"> </w:t>
      </w:r>
      <w:r w:rsidRPr="00652955">
        <w:rPr>
          <w:rFonts w:ascii="Arial" w:hAnsi="Arial" w:cs="Arial"/>
          <w:i/>
          <w:iCs/>
          <w:color w:val="000000" w:themeColor="text1"/>
          <w:sz w:val="20"/>
          <w:szCs w:val="20"/>
          <w:lang w:val="en-GB"/>
        </w:rPr>
        <w:t>Altech Radio Holdings (Pty) Ltd and others v Tshwane City</w:t>
      </w:r>
      <w:r w:rsidRPr="00652955">
        <w:rPr>
          <w:rStyle w:val="apple-converted-space"/>
          <w:rFonts w:ascii="Arial" w:hAnsi="Arial" w:cs="Arial"/>
          <w:color w:val="000000" w:themeColor="text1"/>
          <w:sz w:val="20"/>
          <w:szCs w:val="20"/>
          <w:lang w:val="en-GB"/>
        </w:rPr>
        <w:t> </w:t>
      </w:r>
      <w:r w:rsidRPr="00652955">
        <w:rPr>
          <w:rFonts w:ascii="Arial" w:hAnsi="Arial" w:cs="Arial"/>
          <w:sz w:val="20"/>
          <w:szCs w:val="20"/>
        </w:rPr>
        <w:t>[2020] ZASCA 122</w:t>
      </w:r>
      <w:r w:rsidRPr="00652955">
        <w:rPr>
          <w:rFonts w:ascii="Arial" w:hAnsi="Arial" w:cs="Arial"/>
          <w:color w:val="000000" w:themeColor="text1"/>
          <w:sz w:val="20"/>
          <w:szCs w:val="20"/>
        </w:rPr>
        <w:t>;</w:t>
      </w:r>
      <w:r w:rsidRPr="00652955">
        <w:rPr>
          <w:rStyle w:val="apple-converted-space"/>
          <w:rFonts w:ascii="Arial" w:hAnsi="Arial" w:cs="Arial"/>
          <w:color w:val="000000" w:themeColor="text1"/>
          <w:sz w:val="20"/>
          <w:szCs w:val="20"/>
        </w:rPr>
        <w:t> </w:t>
      </w:r>
      <w:r w:rsidRPr="00652955">
        <w:rPr>
          <w:rFonts w:ascii="Arial" w:hAnsi="Arial" w:cs="Arial"/>
          <w:sz w:val="20"/>
          <w:szCs w:val="20"/>
          <w:lang w:val="en-GB"/>
        </w:rPr>
        <w:t>2021 (3) SA 25</w:t>
      </w:r>
      <w:r w:rsidRPr="00652955">
        <w:rPr>
          <w:rStyle w:val="apple-converted-space"/>
          <w:rFonts w:ascii="Arial" w:hAnsi="Arial" w:cs="Arial"/>
          <w:color w:val="000000" w:themeColor="text1"/>
          <w:sz w:val="20"/>
          <w:szCs w:val="20"/>
          <w:lang w:val="en-GB"/>
        </w:rPr>
        <w:t> </w:t>
      </w:r>
      <w:r w:rsidRPr="00652955">
        <w:rPr>
          <w:rFonts w:ascii="Arial" w:hAnsi="Arial" w:cs="Arial"/>
          <w:color w:val="000000" w:themeColor="text1"/>
          <w:sz w:val="20"/>
          <w:szCs w:val="20"/>
          <w:lang w:val="en-GB"/>
        </w:rPr>
        <w:t>(SCA) para 71.</w:t>
      </w:r>
    </w:p>
  </w:footnote>
  <w:footnote w:id="7">
    <w:p w:rsidR="002D2B4A" w:rsidRPr="00652955" w:rsidRDefault="002D2B4A" w:rsidP="00652955">
      <w:pPr>
        <w:contextualSpacing/>
        <w:jc w:val="both"/>
        <w:rPr>
          <w:rFonts w:ascii="Arial" w:hAnsi="Arial" w:cs="Arial"/>
          <w:color w:val="000000" w:themeColor="text1"/>
          <w:sz w:val="20"/>
          <w:szCs w:val="20"/>
          <w:lang w:val="en-US"/>
        </w:rPr>
      </w:pPr>
      <w:r w:rsidRPr="00652955">
        <w:rPr>
          <w:rStyle w:val="FootnoteReference"/>
          <w:rFonts w:ascii="Arial" w:hAnsi="Arial" w:cs="Arial"/>
          <w:color w:val="000000" w:themeColor="text1"/>
          <w:sz w:val="20"/>
          <w:szCs w:val="20"/>
        </w:rPr>
        <w:footnoteRef/>
      </w:r>
      <w:r w:rsidRPr="00652955">
        <w:rPr>
          <w:rFonts w:ascii="Arial" w:hAnsi="Arial" w:cs="Arial"/>
          <w:color w:val="000000" w:themeColor="text1"/>
          <w:sz w:val="20"/>
          <w:szCs w:val="20"/>
        </w:rPr>
        <w:t xml:space="preserve"> </w:t>
      </w:r>
      <w:r w:rsidRPr="00652955">
        <w:rPr>
          <w:rFonts w:ascii="Arial" w:hAnsi="Arial" w:cs="Arial"/>
          <w:i/>
          <w:iCs/>
          <w:color w:val="000000" w:themeColor="text1"/>
          <w:sz w:val="20"/>
          <w:szCs w:val="20"/>
        </w:rPr>
        <w:t>Fedsure Life Assurance Ltd and others v Greater Johannesburg Transitional Metropolitan Council and others</w:t>
      </w:r>
      <w:r w:rsidRPr="00652955">
        <w:rPr>
          <w:rFonts w:ascii="Arial" w:hAnsi="Arial" w:cs="Arial"/>
          <w:color w:val="000000" w:themeColor="text1"/>
          <w:sz w:val="20"/>
          <w:szCs w:val="20"/>
          <w:shd w:val="clear" w:color="auto" w:fill="FFFFFF"/>
        </w:rPr>
        <w:t xml:space="preserve"> </w:t>
      </w:r>
      <w:r w:rsidRPr="00652955">
        <w:rPr>
          <w:rFonts w:ascii="Arial" w:hAnsi="Arial" w:cs="Arial"/>
          <w:sz w:val="20"/>
          <w:szCs w:val="20"/>
        </w:rPr>
        <w:t>[1998] ZACC 17</w:t>
      </w:r>
      <w:r w:rsidRPr="00652955">
        <w:rPr>
          <w:rFonts w:ascii="Arial" w:hAnsi="Arial" w:cs="Arial"/>
          <w:color w:val="000000" w:themeColor="text1"/>
          <w:sz w:val="20"/>
          <w:szCs w:val="20"/>
          <w:shd w:val="clear" w:color="auto" w:fill="FFFFFF"/>
        </w:rPr>
        <w:t>; 1999 (1) SA 374 (CC); 1998 (12) BCLR 1458 (CC) para 56.</w:t>
      </w:r>
    </w:p>
  </w:footnote>
  <w:footnote w:id="8">
    <w:p w:rsidR="002D2B4A" w:rsidRPr="00652955" w:rsidRDefault="002D2B4A" w:rsidP="00652955">
      <w:pPr>
        <w:pStyle w:val="Heading2"/>
        <w:spacing w:before="0"/>
        <w:contextualSpacing/>
        <w:jc w:val="both"/>
        <w:rPr>
          <w:rFonts w:ascii="Arial" w:hAnsi="Arial" w:cs="Arial"/>
          <w:sz w:val="20"/>
          <w:szCs w:val="20"/>
          <w:lang w:val="en-US"/>
        </w:rPr>
      </w:pPr>
      <w:r w:rsidRPr="00652955">
        <w:rPr>
          <w:rStyle w:val="FootnoteReference"/>
          <w:rFonts w:ascii="Arial" w:hAnsi="Arial" w:cs="Arial"/>
          <w:sz w:val="20"/>
          <w:szCs w:val="20"/>
        </w:rPr>
        <w:footnoteRef/>
      </w:r>
      <w:r w:rsidRPr="00652955">
        <w:rPr>
          <w:rFonts w:ascii="Arial" w:hAnsi="Arial" w:cs="Arial"/>
          <w:sz w:val="20"/>
          <w:szCs w:val="20"/>
        </w:rPr>
        <w:t xml:space="preserve"> </w:t>
      </w:r>
      <w:r w:rsidRPr="00652955">
        <w:rPr>
          <w:rFonts w:ascii="Arial" w:hAnsi="Arial" w:cs="Arial"/>
          <w:i/>
          <w:iCs/>
          <w:color w:val="000000" w:themeColor="text1"/>
          <w:sz w:val="20"/>
          <w:szCs w:val="20"/>
        </w:rPr>
        <w:t>Transnet SOC Ltd and another v CRRC E-Loco Supply (Pty) Ltd and others</w:t>
      </w:r>
      <w:r w:rsidRPr="00652955">
        <w:rPr>
          <w:rFonts w:ascii="Arial" w:hAnsi="Arial" w:cs="Arial"/>
          <w:color w:val="000000" w:themeColor="text1"/>
          <w:sz w:val="20"/>
          <w:szCs w:val="20"/>
        </w:rPr>
        <w:t xml:space="preserve"> [2022] ZAGPJHC 228 para 14.</w:t>
      </w:r>
    </w:p>
  </w:footnote>
  <w:footnote w:id="9">
    <w:p w:rsidR="002D2B4A" w:rsidRPr="00652955" w:rsidRDefault="002D2B4A" w:rsidP="00652955">
      <w:pPr>
        <w:pStyle w:val="FootnoteText"/>
        <w:contextualSpacing/>
        <w:jc w:val="both"/>
        <w:rPr>
          <w:rFonts w:ascii="Arial" w:hAnsi="Arial" w:cs="Arial"/>
          <w:color w:val="000000" w:themeColor="text1"/>
          <w:lang w:val="en-US"/>
        </w:rPr>
      </w:pPr>
      <w:r w:rsidRPr="00652955">
        <w:rPr>
          <w:rStyle w:val="FootnoteReference"/>
          <w:rFonts w:ascii="Arial" w:hAnsi="Arial" w:cs="Arial"/>
        </w:rPr>
        <w:footnoteRef/>
      </w:r>
      <w:r w:rsidRPr="00652955">
        <w:rPr>
          <w:rFonts w:ascii="Arial" w:hAnsi="Arial" w:cs="Arial"/>
        </w:rPr>
        <w:t xml:space="preserve"> See </w:t>
      </w:r>
      <w:r w:rsidRPr="00652955">
        <w:rPr>
          <w:rFonts w:ascii="Arial" w:hAnsi="Arial" w:cs="Arial"/>
          <w:i/>
          <w:iCs/>
          <w:lang w:val="en-US"/>
        </w:rPr>
        <w:t xml:space="preserve">Pharmaceutical Manufacturers Association of SA and another: In Re Ex Parte President of the Republic of South Africa </w:t>
      </w:r>
      <w:r w:rsidRPr="00652955">
        <w:rPr>
          <w:rFonts w:ascii="Arial" w:hAnsi="Arial" w:cs="Arial"/>
          <w:i/>
          <w:iCs/>
          <w:color w:val="000000" w:themeColor="text1"/>
          <w:lang w:val="en-US"/>
        </w:rPr>
        <w:t>and others</w:t>
      </w:r>
      <w:r w:rsidRPr="00652955">
        <w:rPr>
          <w:rFonts w:ascii="Arial" w:hAnsi="Arial" w:cs="Arial"/>
          <w:color w:val="000000" w:themeColor="text1"/>
          <w:lang w:val="en-US"/>
        </w:rPr>
        <w:t xml:space="preserve"> [2000] ZACC 1; 2000 (2) SA 674 (CC); 2000 (3) BCLR 241 (CC) para 17; </w:t>
      </w:r>
      <w:r w:rsidRPr="00652955">
        <w:rPr>
          <w:rFonts w:ascii="Arial" w:hAnsi="Arial" w:cs="Arial"/>
          <w:i/>
          <w:iCs/>
          <w:color w:val="000000" w:themeColor="text1"/>
          <w:lang w:val="en-US"/>
        </w:rPr>
        <w:t>Affordable Medicines Trust and others v Minister of Health and others</w:t>
      </w:r>
      <w:r w:rsidRPr="00652955">
        <w:rPr>
          <w:rFonts w:ascii="Arial" w:hAnsi="Arial" w:cs="Arial"/>
          <w:color w:val="000000" w:themeColor="text1"/>
          <w:lang w:val="en-US"/>
        </w:rPr>
        <w:t xml:space="preserve"> [2005] ZACC 3; 2006 (3) SA 247 (CC); </w:t>
      </w:r>
      <w:r w:rsidRPr="00652955">
        <w:rPr>
          <w:rFonts w:ascii="Arial" w:hAnsi="Arial" w:cs="Arial"/>
          <w:color w:val="000000" w:themeColor="text1"/>
        </w:rPr>
        <w:t>2005 (6) BCLR 529 (CC)</w:t>
      </w:r>
      <w:r w:rsidRPr="00652955">
        <w:rPr>
          <w:rFonts w:ascii="Arial" w:hAnsi="Arial" w:cs="Arial"/>
          <w:color w:val="000000" w:themeColor="text1"/>
          <w:lang w:val="en-US"/>
        </w:rPr>
        <w:t xml:space="preserve"> para 49.</w:t>
      </w:r>
    </w:p>
  </w:footnote>
  <w:footnote w:id="10">
    <w:p w:rsidR="002D2B4A" w:rsidRPr="00652955" w:rsidRDefault="002D2B4A" w:rsidP="00652955">
      <w:pPr>
        <w:pStyle w:val="Heading2"/>
        <w:spacing w:before="0"/>
        <w:contextualSpacing/>
        <w:jc w:val="both"/>
        <w:rPr>
          <w:rFonts w:ascii="Arial" w:hAnsi="Arial" w:cs="Arial"/>
          <w:color w:val="000000" w:themeColor="text1"/>
          <w:sz w:val="20"/>
          <w:szCs w:val="20"/>
        </w:rPr>
      </w:pPr>
      <w:r w:rsidRPr="00652955">
        <w:rPr>
          <w:rStyle w:val="FootnoteReference"/>
          <w:rFonts w:ascii="Arial" w:hAnsi="Arial" w:cs="Arial"/>
          <w:color w:val="000000" w:themeColor="text1"/>
          <w:sz w:val="20"/>
          <w:szCs w:val="20"/>
        </w:rPr>
        <w:footnoteRef/>
      </w:r>
      <w:r w:rsidRPr="00652955">
        <w:rPr>
          <w:rFonts w:ascii="Arial" w:hAnsi="Arial" w:cs="Arial"/>
          <w:color w:val="000000" w:themeColor="text1"/>
          <w:sz w:val="20"/>
          <w:szCs w:val="20"/>
        </w:rPr>
        <w:t xml:space="preserve"> </w:t>
      </w:r>
      <w:r w:rsidRPr="00652955">
        <w:rPr>
          <w:rFonts w:ascii="Arial" w:hAnsi="Arial" w:cs="Arial"/>
          <w:i/>
          <w:iCs/>
          <w:color w:val="000000" w:themeColor="text1"/>
          <w:sz w:val="20"/>
          <w:szCs w:val="20"/>
        </w:rPr>
        <w:t>Affordable Medicines Trust and others v Minister of Health and others</w:t>
      </w:r>
      <w:r w:rsidRPr="00652955">
        <w:rPr>
          <w:rFonts w:ascii="Arial" w:hAnsi="Arial" w:cs="Arial"/>
          <w:color w:val="000000" w:themeColor="text1"/>
          <w:sz w:val="20"/>
          <w:szCs w:val="20"/>
        </w:rPr>
        <w:t xml:space="preserve"> [2005] ZACC 3; 2006 (3) SA 247 (CC); 2005 (6) BCLR 529 (CC) para 49.</w:t>
      </w:r>
    </w:p>
  </w:footnote>
  <w:footnote w:id="11">
    <w:p w:rsidR="002D2B4A" w:rsidRPr="00652955" w:rsidRDefault="002D2B4A" w:rsidP="00652955">
      <w:pPr>
        <w:pStyle w:val="FootnoteText"/>
        <w:contextualSpacing/>
        <w:jc w:val="both"/>
        <w:rPr>
          <w:rFonts w:ascii="Arial" w:hAnsi="Arial" w:cs="Arial"/>
        </w:rPr>
      </w:pPr>
      <w:r w:rsidRPr="00652955">
        <w:rPr>
          <w:rStyle w:val="FootnoteReference"/>
          <w:rFonts w:ascii="Arial" w:hAnsi="Arial" w:cs="Arial"/>
        </w:rPr>
        <w:footnoteRef/>
      </w:r>
      <w:r w:rsidRPr="00652955">
        <w:rPr>
          <w:rFonts w:ascii="Arial" w:hAnsi="Arial" w:cs="Arial"/>
        </w:rPr>
        <w:t xml:space="preserve"> Section 2 of the Constitution; see also </w:t>
      </w:r>
      <w:r w:rsidRPr="00652955">
        <w:rPr>
          <w:rFonts w:ascii="Arial" w:hAnsi="Arial" w:cs="Arial"/>
          <w:i/>
          <w:iCs/>
        </w:rPr>
        <w:t xml:space="preserve">Minister of International Relations and Co-operation and others v Simeka Group (Pty) Ltd and others </w:t>
      </w:r>
      <w:r w:rsidRPr="00652955">
        <w:rPr>
          <w:rFonts w:ascii="Arial" w:hAnsi="Arial" w:cs="Arial"/>
        </w:rPr>
        <w:t>[2023] ZASCA 98; [2023] 3 All SA 323 (SCA) para 31 (‘</w:t>
      </w:r>
      <w:r w:rsidRPr="00652955">
        <w:rPr>
          <w:rFonts w:ascii="Arial" w:hAnsi="Arial" w:cs="Arial"/>
          <w:i/>
        </w:rPr>
        <w:t>Simeka</w:t>
      </w:r>
      <w:r w:rsidRPr="00652955">
        <w:rPr>
          <w:rFonts w:ascii="Arial" w:hAnsi="Arial" w:cs="Arial"/>
        </w:rPr>
        <w:t>’).</w:t>
      </w:r>
    </w:p>
  </w:footnote>
  <w:footnote w:id="12">
    <w:p w:rsidR="002D2B4A" w:rsidRPr="00652955" w:rsidRDefault="002D2B4A" w:rsidP="00652955">
      <w:pPr>
        <w:pStyle w:val="FootnoteText"/>
        <w:contextualSpacing/>
        <w:jc w:val="both"/>
        <w:rPr>
          <w:rFonts w:ascii="Arial" w:hAnsi="Arial" w:cs="Arial"/>
        </w:rPr>
      </w:pPr>
      <w:r w:rsidRPr="00652955">
        <w:rPr>
          <w:rStyle w:val="FootnoteReference"/>
          <w:rFonts w:ascii="Arial" w:hAnsi="Arial" w:cs="Arial"/>
        </w:rPr>
        <w:footnoteRef/>
      </w:r>
      <w:r w:rsidRPr="00652955">
        <w:rPr>
          <w:rFonts w:ascii="Arial" w:hAnsi="Arial" w:cs="Arial"/>
        </w:rPr>
        <w:t xml:space="preserve"> </w:t>
      </w:r>
      <w:r w:rsidRPr="00652955">
        <w:rPr>
          <w:rFonts w:ascii="Arial" w:hAnsi="Arial" w:cs="Arial"/>
          <w:bCs/>
          <w:i/>
          <w:lang w:val="en-GB"/>
        </w:rPr>
        <w:t>Steenkamp NO v Provincial Tender Board, Eastern Cape</w:t>
      </w:r>
      <w:r w:rsidRPr="00652955">
        <w:rPr>
          <w:rFonts w:ascii="Arial" w:hAnsi="Arial" w:cs="Arial"/>
          <w:bCs/>
          <w:lang w:val="en-GB"/>
        </w:rPr>
        <w:t xml:space="preserve"> [2006] ZACC16; 2007 (3) SA 121 (CC); 2007 (3) BCLR 300 (CC).</w:t>
      </w:r>
    </w:p>
  </w:footnote>
  <w:footnote w:id="13">
    <w:p w:rsidR="002D2B4A" w:rsidRPr="00652955" w:rsidRDefault="002D2B4A" w:rsidP="00652955">
      <w:pPr>
        <w:pStyle w:val="FootnoteText"/>
        <w:contextualSpacing/>
        <w:jc w:val="both"/>
        <w:rPr>
          <w:rFonts w:ascii="Arial" w:hAnsi="Arial" w:cs="Arial"/>
        </w:rPr>
      </w:pPr>
      <w:r w:rsidRPr="00652955">
        <w:rPr>
          <w:rStyle w:val="FootnoteReference"/>
          <w:rFonts w:ascii="Arial" w:hAnsi="Arial" w:cs="Arial"/>
        </w:rPr>
        <w:footnoteRef/>
      </w:r>
      <w:r w:rsidRPr="00652955">
        <w:rPr>
          <w:rFonts w:ascii="Arial" w:hAnsi="Arial" w:cs="Arial"/>
        </w:rPr>
        <w:t xml:space="preserve"> Ibid para 33.</w:t>
      </w:r>
    </w:p>
  </w:footnote>
  <w:footnote w:id="14">
    <w:p w:rsidR="002D2B4A" w:rsidRPr="00652955" w:rsidRDefault="002D2B4A" w:rsidP="00652955">
      <w:pPr>
        <w:pStyle w:val="FootnoteText"/>
        <w:contextualSpacing/>
        <w:jc w:val="both"/>
        <w:rPr>
          <w:rFonts w:ascii="Arial" w:hAnsi="Arial" w:cs="Arial"/>
          <w:lang w:val="en-US"/>
        </w:rPr>
      </w:pPr>
      <w:r w:rsidRPr="00652955">
        <w:rPr>
          <w:rStyle w:val="FootnoteReference"/>
          <w:rFonts w:ascii="Arial" w:hAnsi="Arial" w:cs="Arial"/>
        </w:rPr>
        <w:footnoteRef/>
      </w:r>
      <w:r w:rsidRPr="00652955">
        <w:rPr>
          <w:rFonts w:ascii="Arial" w:hAnsi="Arial" w:cs="Arial"/>
        </w:rPr>
        <w:t xml:space="preserve"> </w:t>
      </w:r>
      <w:r w:rsidRPr="00652955">
        <w:rPr>
          <w:rFonts w:ascii="Arial" w:hAnsi="Arial" w:cs="Arial"/>
          <w:bCs/>
          <w:i/>
          <w:iCs/>
          <w:lang w:val="en-GB"/>
        </w:rPr>
        <w:t xml:space="preserve">Allpay Consolidated Investment Holdings (Pty) Ltd and others v Chief Executive Officer, South African Social Security Agency, and others </w:t>
      </w:r>
      <w:r w:rsidRPr="00652955">
        <w:rPr>
          <w:rFonts w:ascii="Arial" w:hAnsi="Arial" w:cs="Arial"/>
          <w:bCs/>
          <w:lang w:val="en-GB"/>
        </w:rPr>
        <w:t>[2013] ZACC 42; 2014 (1) SA 604 (CC); 2014 (1) BCLR 1 (CC) (‘</w:t>
      </w:r>
      <w:r w:rsidRPr="00652955">
        <w:rPr>
          <w:rFonts w:ascii="Arial" w:hAnsi="Arial" w:cs="Arial"/>
          <w:bCs/>
          <w:i/>
          <w:lang w:val="en-GB"/>
        </w:rPr>
        <w:t>Allpay</w:t>
      </w:r>
      <w:r w:rsidRPr="00652955">
        <w:rPr>
          <w:rFonts w:ascii="Arial" w:hAnsi="Arial" w:cs="Arial"/>
          <w:bCs/>
          <w:lang w:val="en-GB"/>
        </w:rPr>
        <w:t>’).</w:t>
      </w:r>
    </w:p>
  </w:footnote>
  <w:footnote w:id="15">
    <w:p w:rsidR="002D2B4A" w:rsidRPr="00652955" w:rsidRDefault="002D2B4A" w:rsidP="00652955">
      <w:pPr>
        <w:pStyle w:val="FootnoteText"/>
        <w:contextualSpacing/>
        <w:jc w:val="both"/>
        <w:rPr>
          <w:rFonts w:ascii="Arial" w:hAnsi="Arial" w:cs="Arial"/>
          <w:lang w:val="en-US"/>
        </w:rPr>
      </w:pPr>
      <w:r w:rsidRPr="00652955">
        <w:rPr>
          <w:rStyle w:val="FootnoteReference"/>
          <w:rFonts w:ascii="Arial" w:hAnsi="Arial" w:cs="Arial"/>
        </w:rPr>
        <w:footnoteRef/>
      </w:r>
      <w:r w:rsidRPr="00652955">
        <w:rPr>
          <w:rFonts w:ascii="Arial" w:hAnsi="Arial" w:cs="Arial"/>
        </w:rPr>
        <w:t xml:space="preserve"> </w:t>
      </w:r>
      <w:r w:rsidRPr="00652955">
        <w:rPr>
          <w:rFonts w:ascii="Arial" w:hAnsi="Arial" w:cs="Arial"/>
          <w:lang w:val="en-US"/>
        </w:rPr>
        <w:t>Ibid para 40.</w:t>
      </w:r>
    </w:p>
  </w:footnote>
  <w:footnote w:id="16">
    <w:p w:rsidR="002D2B4A" w:rsidRPr="00652955" w:rsidRDefault="002D2B4A" w:rsidP="00652955">
      <w:pPr>
        <w:pStyle w:val="FootnoteText"/>
        <w:contextualSpacing/>
        <w:jc w:val="both"/>
        <w:rPr>
          <w:rFonts w:ascii="Arial" w:hAnsi="Arial" w:cs="Arial"/>
          <w:lang w:val="en-US"/>
        </w:rPr>
      </w:pPr>
      <w:r w:rsidRPr="00652955">
        <w:rPr>
          <w:rStyle w:val="FootnoteReference"/>
          <w:rFonts w:ascii="Arial" w:hAnsi="Arial" w:cs="Arial"/>
        </w:rPr>
        <w:footnoteRef/>
      </w:r>
      <w:r w:rsidRPr="00652955">
        <w:rPr>
          <w:rFonts w:ascii="Arial" w:hAnsi="Arial" w:cs="Arial"/>
        </w:rPr>
        <w:t xml:space="preserve"> </w:t>
      </w:r>
      <w:r w:rsidRPr="00652955">
        <w:rPr>
          <w:rFonts w:ascii="Arial" w:hAnsi="Arial" w:cs="Arial"/>
          <w:lang w:val="en-US"/>
        </w:rPr>
        <w:t>This amount was later reduced to 9%.</w:t>
      </w:r>
    </w:p>
  </w:footnote>
  <w:footnote w:id="17">
    <w:p w:rsidR="002D2B4A" w:rsidRPr="00652955" w:rsidRDefault="002D2B4A" w:rsidP="00652955">
      <w:pPr>
        <w:pStyle w:val="FootnoteText"/>
        <w:contextualSpacing/>
        <w:jc w:val="both"/>
        <w:rPr>
          <w:rFonts w:ascii="Arial" w:hAnsi="Arial" w:cs="Arial"/>
          <w:lang w:val="en-US"/>
        </w:rPr>
      </w:pPr>
      <w:r w:rsidRPr="00652955">
        <w:rPr>
          <w:rStyle w:val="FootnoteReference"/>
          <w:rFonts w:ascii="Arial" w:hAnsi="Arial" w:cs="Arial"/>
        </w:rPr>
        <w:footnoteRef/>
      </w:r>
      <w:r w:rsidRPr="00652955">
        <w:rPr>
          <w:rFonts w:ascii="Arial" w:hAnsi="Arial" w:cs="Arial"/>
        </w:rPr>
        <w:t xml:space="preserve"> </w:t>
      </w:r>
      <w:r w:rsidRPr="00652955">
        <w:rPr>
          <w:rFonts w:ascii="Arial" w:hAnsi="Arial" w:cs="Arial"/>
          <w:i/>
          <w:iCs/>
        </w:rPr>
        <w:t>Simeka</w:t>
      </w:r>
      <w:r w:rsidRPr="00652955">
        <w:rPr>
          <w:rFonts w:ascii="Arial" w:hAnsi="Arial" w:cs="Arial"/>
        </w:rPr>
        <w:t xml:space="preserve"> </w:t>
      </w:r>
      <w:r w:rsidRPr="00652955">
        <w:rPr>
          <w:rFonts w:ascii="Arial" w:hAnsi="Arial" w:cs="Arial"/>
          <w:lang w:val="en-US"/>
        </w:rPr>
        <w:t>para 45.</w:t>
      </w:r>
    </w:p>
  </w:footnote>
  <w:footnote w:id="18">
    <w:p w:rsidR="002D2B4A" w:rsidRPr="00652955" w:rsidRDefault="002D2B4A" w:rsidP="00652955">
      <w:pPr>
        <w:pStyle w:val="FootnoteText"/>
        <w:contextualSpacing/>
        <w:jc w:val="both"/>
        <w:rPr>
          <w:rFonts w:ascii="Arial" w:hAnsi="Arial" w:cs="Arial"/>
          <w:lang w:val="en-US"/>
        </w:rPr>
      </w:pPr>
      <w:r w:rsidRPr="00652955">
        <w:rPr>
          <w:rStyle w:val="FootnoteReference"/>
          <w:rFonts w:ascii="Arial" w:hAnsi="Arial" w:cs="Arial"/>
        </w:rPr>
        <w:footnoteRef/>
      </w:r>
      <w:r w:rsidRPr="00652955">
        <w:rPr>
          <w:rFonts w:ascii="Arial" w:hAnsi="Arial" w:cs="Arial"/>
        </w:rPr>
        <w:t xml:space="preserve"> </w:t>
      </w:r>
      <w:r w:rsidRPr="00652955">
        <w:rPr>
          <w:rFonts w:ascii="Arial" w:hAnsi="Arial" w:cs="Arial"/>
          <w:bCs/>
          <w:i/>
          <w:iCs/>
          <w:lang w:val="en-GB"/>
        </w:rPr>
        <w:t xml:space="preserve">Allpay </w:t>
      </w:r>
      <w:r w:rsidRPr="00652955">
        <w:rPr>
          <w:rFonts w:ascii="Arial" w:hAnsi="Arial" w:cs="Arial"/>
          <w:bCs/>
          <w:iCs/>
          <w:lang w:val="en-GB"/>
        </w:rPr>
        <w:t>58</w:t>
      </w:r>
      <w:r w:rsidRPr="00652955">
        <w:rPr>
          <w:rFonts w:ascii="Arial" w:hAnsi="Arial" w:cs="Arial"/>
          <w:bCs/>
          <w:lang w:val="en-GB"/>
        </w:rPr>
        <w:t>.</w:t>
      </w:r>
    </w:p>
  </w:footnote>
  <w:footnote w:id="19">
    <w:p w:rsidR="002D2B4A" w:rsidRPr="00652955" w:rsidRDefault="002D2B4A" w:rsidP="00652955">
      <w:pPr>
        <w:pStyle w:val="FootnoteText"/>
        <w:contextualSpacing/>
        <w:jc w:val="both"/>
        <w:rPr>
          <w:rFonts w:ascii="Arial" w:hAnsi="Arial" w:cs="Arial"/>
          <w:lang w:val="en-US"/>
        </w:rPr>
      </w:pPr>
      <w:r w:rsidRPr="00652955">
        <w:rPr>
          <w:rStyle w:val="FootnoteReference"/>
          <w:rFonts w:ascii="Arial" w:hAnsi="Arial" w:cs="Arial"/>
        </w:rPr>
        <w:footnoteRef/>
      </w:r>
      <w:r w:rsidRPr="00652955">
        <w:rPr>
          <w:rFonts w:ascii="Arial" w:hAnsi="Arial" w:cs="Arial"/>
        </w:rPr>
        <w:t xml:space="preserve"> Ibid para 27.</w:t>
      </w:r>
    </w:p>
  </w:footnote>
  <w:footnote w:id="20">
    <w:p w:rsidR="002D2B4A" w:rsidRPr="00652955" w:rsidRDefault="002D2B4A" w:rsidP="00652955">
      <w:pPr>
        <w:pStyle w:val="FootnoteText"/>
        <w:contextualSpacing/>
        <w:jc w:val="both"/>
        <w:rPr>
          <w:rFonts w:ascii="Arial" w:hAnsi="Arial" w:cs="Arial"/>
          <w:lang w:val="en-US"/>
        </w:rPr>
      </w:pPr>
      <w:r w:rsidRPr="00652955">
        <w:rPr>
          <w:rStyle w:val="FootnoteReference"/>
          <w:rFonts w:ascii="Arial" w:hAnsi="Arial" w:cs="Arial"/>
        </w:rPr>
        <w:footnoteRef/>
      </w:r>
      <w:r w:rsidRPr="00652955">
        <w:rPr>
          <w:rFonts w:ascii="Arial" w:hAnsi="Arial" w:cs="Arial"/>
        </w:rPr>
        <w:t xml:space="preserve"> </w:t>
      </w:r>
      <w:r w:rsidRPr="00652955">
        <w:rPr>
          <w:rFonts w:ascii="Arial" w:hAnsi="Arial" w:cs="Arial"/>
          <w:lang w:val="en-US"/>
        </w:rPr>
        <w:t>Its registration number is 2016/085759/07 and it was incorporated on 2 March 2016.</w:t>
      </w:r>
    </w:p>
  </w:footnote>
  <w:footnote w:id="21">
    <w:p w:rsidR="002D2B4A" w:rsidRPr="00652955" w:rsidRDefault="002D2B4A" w:rsidP="00652955">
      <w:pPr>
        <w:pStyle w:val="FootnoteText"/>
        <w:contextualSpacing/>
        <w:jc w:val="both"/>
        <w:rPr>
          <w:rFonts w:ascii="Arial" w:hAnsi="Arial" w:cs="Arial"/>
          <w:lang w:val="en-US"/>
        </w:rPr>
      </w:pPr>
      <w:r w:rsidRPr="00652955">
        <w:rPr>
          <w:rStyle w:val="FootnoteReference"/>
          <w:rFonts w:ascii="Arial" w:hAnsi="Arial" w:cs="Arial"/>
        </w:rPr>
        <w:footnoteRef/>
      </w:r>
      <w:r w:rsidRPr="00652955">
        <w:rPr>
          <w:rFonts w:ascii="Arial" w:hAnsi="Arial" w:cs="Arial"/>
        </w:rPr>
        <w:t xml:space="preserve"> </w:t>
      </w:r>
      <w:r w:rsidRPr="00652955">
        <w:rPr>
          <w:rFonts w:ascii="Arial" w:hAnsi="Arial" w:cs="Arial"/>
          <w:i/>
          <w:iCs/>
        </w:rPr>
        <w:t>Dr JS Moroka Municipality and others v Betram (Pty) Ltd and another</w:t>
      </w:r>
      <w:r w:rsidRPr="00652955">
        <w:rPr>
          <w:rFonts w:ascii="Arial" w:hAnsi="Arial" w:cs="Arial"/>
        </w:rPr>
        <w:t xml:space="preserve"> [2013] ZASCA 186; [2014] 1 All SA 545 (SCA) para 10.</w:t>
      </w:r>
    </w:p>
  </w:footnote>
  <w:footnote w:id="22">
    <w:p w:rsidR="002D2B4A" w:rsidRPr="00652955" w:rsidRDefault="002D2B4A" w:rsidP="00652955">
      <w:pPr>
        <w:pStyle w:val="FootnoteText"/>
        <w:contextualSpacing/>
        <w:jc w:val="both"/>
        <w:rPr>
          <w:rFonts w:ascii="Arial" w:hAnsi="Arial" w:cs="Arial"/>
          <w:lang w:val="en-US"/>
        </w:rPr>
      </w:pPr>
      <w:r w:rsidRPr="00652955">
        <w:rPr>
          <w:rStyle w:val="FootnoteReference"/>
          <w:rFonts w:ascii="Arial" w:hAnsi="Arial" w:cs="Arial"/>
        </w:rPr>
        <w:footnoteRef/>
      </w:r>
      <w:r w:rsidRPr="00652955">
        <w:rPr>
          <w:rFonts w:ascii="Arial" w:hAnsi="Arial" w:cs="Arial"/>
        </w:rPr>
        <w:t xml:space="preserve"> </w:t>
      </w:r>
      <w:r w:rsidRPr="00652955">
        <w:rPr>
          <w:rFonts w:ascii="Arial" w:hAnsi="Arial" w:cs="Arial"/>
          <w:lang w:bidi="yi-Hebr"/>
        </w:rPr>
        <w:t xml:space="preserve">Municipal Supply Chain Management Regulations, GN 868, </w:t>
      </w:r>
      <w:r w:rsidRPr="00652955">
        <w:rPr>
          <w:rFonts w:ascii="Arial" w:hAnsi="Arial" w:cs="Arial"/>
          <w:i/>
          <w:iCs/>
          <w:lang w:bidi="yi-Hebr"/>
        </w:rPr>
        <w:t xml:space="preserve">GG </w:t>
      </w:r>
      <w:r w:rsidRPr="00652955">
        <w:rPr>
          <w:rFonts w:ascii="Arial" w:hAnsi="Arial" w:cs="Arial"/>
          <w:lang w:bidi="yi-Hebr"/>
        </w:rPr>
        <w:t>27636, 30 May 2005, made by the Minister of Finance in terms of s 168 of the Local Government: Municipal Finance Management Act 56 of 2003.</w:t>
      </w:r>
    </w:p>
  </w:footnote>
  <w:footnote w:id="23">
    <w:p w:rsidR="002D2B4A" w:rsidRPr="00652955" w:rsidRDefault="002D2B4A" w:rsidP="00652955">
      <w:pPr>
        <w:pStyle w:val="FootnoteText"/>
        <w:contextualSpacing/>
        <w:jc w:val="both"/>
        <w:rPr>
          <w:rFonts w:ascii="Arial" w:hAnsi="Arial" w:cs="Arial"/>
          <w:lang w:val="en-US"/>
        </w:rPr>
      </w:pPr>
      <w:r w:rsidRPr="00652955">
        <w:rPr>
          <w:rStyle w:val="FootnoteReference"/>
          <w:rFonts w:ascii="Arial" w:hAnsi="Arial" w:cs="Arial"/>
        </w:rPr>
        <w:footnoteRef/>
      </w:r>
      <w:r w:rsidRPr="00652955">
        <w:rPr>
          <w:rFonts w:ascii="Arial" w:hAnsi="Arial" w:cs="Arial"/>
        </w:rPr>
        <w:t xml:space="preserve"> </w:t>
      </w:r>
      <w:r w:rsidRPr="00652955">
        <w:rPr>
          <w:rFonts w:ascii="Arial" w:hAnsi="Arial" w:cs="Arial"/>
          <w:lang w:val="en-US"/>
        </w:rPr>
        <w:t xml:space="preserve">For example, in the directors’ report for February 2017, the following appears: </w:t>
      </w:r>
    </w:p>
    <w:p w:rsidR="002D2B4A" w:rsidRPr="00652955" w:rsidRDefault="002D2B4A" w:rsidP="00652955">
      <w:pPr>
        <w:pStyle w:val="FootnoteText"/>
        <w:contextualSpacing/>
        <w:jc w:val="both"/>
        <w:rPr>
          <w:rFonts w:ascii="Arial" w:hAnsi="Arial" w:cs="Arial"/>
          <w:lang w:val="en-US"/>
        </w:rPr>
      </w:pPr>
      <w:r w:rsidRPr="00652955">
        <w:rPr>
          <w:rFonts w:ascii="Arial" w:hAnsi="Arial" w:cs="Arial"/>
          <w:lang w:val="en-US"/>
        </w:rPr>
        <w:t>‘The financial statements set out on page 4 -13 which had been prepared on a going concern basis were approved by the board of directors on the …………………….. and signed on its behalf by’.</w:t>
      </w:r>
    </w:p>
    <w:p w:rsidR="002D2B4A" w:rsidRPr="00652955" w:rsidRDefault="002D2B4A" w:rsidP="00652955">
      <w:pPr>
        <w:pStyle w:val="FootnoteText"/>
        <w:contextualSpacing/>
        <w:jc w:val="both"/>
        <w:rPr>
          <w:rFonts w:ascii="Arial" w:hAnsi="Arial" w:cs="Arial"/>
          <w:lang w:val="en-US"/>
        </w:rPr>
      </w:pPr>
      <w:r w:rsidRPr="00652955">
        <w:rPr>
          <w:rFonts w:ascii="Arial" w:hAnsi="Arial" w:cs="Arial"/>
          <w:lang w:val="en-US"/>
        </w:rPr>
        <w:t>The identical wording, and omission, appears in the two other annual financial statements.</w:t>
      </w:r>
    </w:p>
  </w:footnote>
  <w:footnote w:id="24">
    <w:p w:rsidR="002D2B4A" w:rsidRPr="002258B5" w:rsidRDefault="002D2B4A" w:rsidP="00652955">
      <w:pPr>
        <w:pStyle w:val="FootnoteText"/>
        <w:contextualSpacing/>
        <w:jc w:val="both"/>
        <w:rPr>
          <w:rFonts w:ascii="Arial" w:hAnsi="Arial" w:cs="Arial"/>
        </w:rPr>
      </w:pPr>
      <w:r w:rsidRPr="002258B5">
        <w:rPr>
          <w:rStyle w:val="FootnoteReference"/>
          <w:rFonts w:ascii="Arial" w:hAnsi="Arial" w:cs="Arial"/>
        </w:rPr>
        <w:footnoteRef/>
      </w:r>
      <w:r w:rsidRPr="002258B5">
        <w:rPr>
          <w:rFonts w:ascii="Arial" w:hAnsi="Arial" w:cs="Arial"/>
        </w:rPr>
        <w:t xml:space="preserve"> </w:t>
      </w:r>
      <w:r w:rsidRPr="002258B5">
        <w:rPr>
          <w:rFonts w:ascii="Arial" w:hAnsi="Arial" w:cs="Arial"/>
          <w:i/>
          <w:iCs/>
          <w:color w:val="000000" w:themeColor="text1"/>
          <w:shd w:val="clear" w:color="auto" w:fill="FFFFFF"/>
        </w:rPr>
        <w:t>Gilbey Distillers &amp; Vintners (Pty) Ltd and others v Morris NO and another</w:t>
      </w:r>
      <w:r w:rsidRPr="002258B5">
        <w:rPr>
          <w:rFonts w:ascii="Arial" w:hAnsi="Arial" w:cs="Arial"/>
          <w:color w:val="000000" w:themeColor="text1"/>
          <w:shd w:val="clear" w:color="auto" w:fill="FFFFFF"/>
        </w:rPr>
        <w:t> 1990 (2) SA 217 (SE) at 226A.</w:t>
      </w:r>
    </w:p>
  </w:footnote>
  <w:footnote w:id="25">
    <w:p w:rsidR="002D2B4A" w:rsidRPr="002258B5" w:rsidRDefault="002D2B4A" w:rsidP="007D16DB">
      <w:pPr>
        <w:pStyle w:val="NormalWeb"/>
        <w:spacing w:before="0" w:beforeAutospacing="0" w:after="0" w:afterAutospacing="0"/>
        <w:contextualSpacing/>
        <w:jc w:val="both"/>
        <w:rPr>
          <w:rFonts w:ascii="Arial" w:hAnsi="Arial" w:cs="Arial"/>
          <w:iCs/>
          <w:color w:val="000000" w:themeColor="text1"/>
          <w:sz w:val="20"/>
          <w:szCs w:val="20"/>
        </w:rPr>
      </w:pPr>
      <w:r w:rsidRPr="002258B5">
        <w:rPr>
          <w:rStyle w:val="FootnoteReference"/>
          <w:rFonts w:ascii="Arial" w:hAnsi="Arial" w:cs="Arial"/>
          <w:color w:val="000000" w:themeColor="text1"/>
          <w:sz w:val="20"/>
          <w:szCs w:val="20"/>
        </w:rPr>
        <w:footnoteRef/>
      </w:r>
      <w:r w:rsidRPr="002258B5">
        <w:rPr>
          <w:rFonts w:ascii="Arial" w:hAnsi="Arial" w:cs="Arial"/>
          <w:color w:val="000000" w:themeColor="text1"/>
          <w:sz w:val="20"/>
          <w:szCs w:val="20"/>
        </w:rPr>
        <w:t xml:space="preserve"> </w:t>
      </w:r>
      <w:r w:rsidRPr="002258B5">
        <w:rPr>
          <w:rFonts w:ascii="Arial" w:hAnsi="Arial" w:cs="Arial"/>
          <w:i/>
          <w:color w:val="000000" w:themeColor="text1"/>
          <w:sz w:val="20"/>
          <w:szCs w:val="20"/>
        </w:rPr>
        <w:t>Esorfranki Pipelines (Pty) Ltd and another v Mopani District Municipality and others</w:t>
      </w:r>
      <w:r w:rsidRPr="002258B5">
        <w:rPr>
          <w:rFonts w:ascii="Arial" w:hAnsi="Arial" w:cs="Arial"/>
          <w:color w:val="000000" w:themeColor="text1"/>
          <w:sz w:val="20"/>
          <w:szCs w:val="20"/>
        </w:rPr>
        <w:t xml:space="preserve"> [2014] ZASCA 21; [2014] 2 All SA 493 (SCA) para 25. In </w:t>
      </w:r>
      <w:r w:rsidRPr="002258B5">
        <w:rPr>
          <w:rFonts w:ascii="Arial" w:hAnsi="Arial" w:cs="Arial"/>
          <w:i/>
          <w:color w:val="000000" w:themeColor="text1"/>
          <w:sz w:val="20"/>
          <w:szCs w:val="20"/>
        </w:rPr>
        <w:t>Lazarus Estates Ltd v Beasley</w:t>
      </w:r>
      <w:r w:rsidRPr="002258B5">
        <w:rPr>
          <w:rFonts w:ascii="Arial" w:hAnsi="Arial" w:cs="Arial"/>
          <w:color w:val="000000" w:themeColor="text1"/>
          <w:sz w:val="20"/>
          <w:szCs w:val="20"/>
        </w:rPr>
        <w:t xml:space="preserve"> </w:t>
      </w:r>
      <w:r w:rsidRPr="002258B5">
        <w:rPr>
          <w:rFonts w:ascii="Arial" w:hAnsi="Arial" w:cs="Arial"/>
          <w:color w:val="000000" w:themeColor="text1"/>
          <w:sz w:val="20"/>
          <w:szCs w:val="20"/>
          <w:lang w:bidi="yi-Hebr"/>
        </w:rPr>
        <w:t xml:space="preserve">[1956] 1 QB 702 </w:t>
      </w:r>
      <w:r w:rsidRPr="002258B5">
        <w:rPr>
          <w:rFonts w:ascii="Arial" w:hAnsi="Arial" w:cs="Arial"/>
          <w:iCs/>
          <w:color w:val="000000" w:themeColor="text1"/>
          <w:sz w:val="20"/>
          <w:szCs w:val="20"/>
          <w:lang w:bidi="yi-Hebr"/>
        </w:rPr>
        <w:t>(CA) at 712,</w:t>
      </w:r>
      <w:r w:rsidRPr="002258B5">
        <w:rPr>
          <w:rFonts w:ascii="Arial" w:hAnsi="Arial" w:cs="Arial"/>
          <w:i/>
          <w:iCs/>
          <w:color w:val="000000" w:themeColor="text1"/>
          <w:sz w:val="20"/>
          <w:szCs w:val="20"/>
          <w:lang w:bidi="yi-Hebr"/>
        </w:rPr>
        <w:t xml:space="preserve"> </w:t>
      </w:r>
      <w:r w:rsidRPr="002258B5">
        <w:rPr>
          <w:rFonts w:ascii="Arial" w:hAnsi="Arial" w:cs="Arial"/>
          <w:iCs/>
          <w:color w:val="000000" w:themeColor="text1"/>
          <w:sz w:val="20"/>
          <w:szCs w:val="20"/>
        </w:rPr>
        <w:t>Lord Denning uttered these well-known and oft repeated words:</w:t>
      </w:r>
    </w:p>
    <w:p w:rsidR="002D2B4A" w:rsidRPr="002258B5" w:rsidRDefault="002D2B4A" w:rsidP="007D16DB">
      <w:pPr>
        <w:pStyle w:val="NormalWeb"/>
        <w:spacing w:before="0" w:beforeAutospacing="0" w:after="0" w:afterAutospacing="0"/>
        <w:contextualSpacing/>
        <w:jc w:val="both"/>
        <w:rPr>
          <w:rFonts w:ascii="Arial" w:hAnsi="Arial" w:cs="Arial"/>
          <w:color w:val="000000" w:themeColor="text1"/>
          <w:sz w:val="18"/>
          <w:szCs w:val="18"/>
          <w:lang w:val="en-US"/>
        </w:rPr>
      </w:pPr>
      <w:r w:rsidRPr="002258B5">
        <w:rPr>
          <w:rFonts w:ascii="Arial" w:hAnsi="Arial" w:cs="Arial"/>
          <w:color w:val="000000" w:themeColor="text1"/>
          <w:sz w:val="18"/>
          <w:szCs w:val="18"/>
        </w:rPr>
        <w:t>'No court in this land will allow a person to keep an advantage which he has obtained by fraud. No judgment of a court, no order of a Minister, can be allowed to stand if it has been obtained by fraud. Fraud unravels everything. The court is careful not to find fraud unless it is distinctly pleaded and proved; but once it is proved it vitiates judgments, contracts and all transactions whatsoever . . .'.</w:t>
      </w:r>
    </w:p>
  </w:footnote>
  <w:footnote w:id="26">
    <w:p w:rsidR="002D2B4A" w:rsidRPr="002258B5" w:rsidRDefault="002D2B4A" w:rsidP="007D16DB">
      <w:pPr>
        <w:pStyle w:val="ListParagraph"/>
        <w:tabs>
          <w:tab w:val="left" w:pos="709"/>
        </w:tabs>
        <w:ind w:left="0"/>
        <w:jc w:val="both"/>
        <w:rPr>
          <w:rFonts w:ascii="Arial" w:hAnsi="Arial" w:cs="Arial"/>
          <w:color w:val="000000" w:themeColor="text1"/>
          <w:sz w:val="20"/>
          <w:szCs w:val="20"/>
          <w:lang w:val="en-US"/>
        </w:rPr>
      </w:pPr>
      <w:r w:rsidRPr="002258B5">
        <w:rPr>
          <w:rStyle w:val="FootnoteReference"/>
          <w:rFonts w:ascii="Arial" w:hAnsi="Arial" w:cs="Arial"/>
          <w:color w:val="000000" w:themeColor="text1"/>
          <w:sz w:val="20"/>
          <w:szCs w:val="20"/>
        </w:rPr>
        <w:footnoteRef/>
      </w:r>
      <w:r w:rsidRPr="002258B5">
        <w:rPr>
          <w:rFonts w:ascii="Arial" w:hAnsi="Arial" w:cs="Arial"/>
          <w:color w:val="000000" w:themeColor="text1"/>
          <w:sz w:val="20"/>
          <w:szCs w:val="20"/>
        </w:rPr>
        <w:t xml:space="preserve"> </w:t>
      </w:r>
      <w:r w:rsidRPr="002258B5">
        <w:rPr>
          <w:rFonts w:ascii="Arial" w:hAnsi="Arial" w:cs="Arial"/>
          <w:i/>
          <w:color w:val="000000" w:themeColor="text1"/>
          <w:sz w:val="20"/>
          <w:szCs w:val="20"/>
        </w:rPr>
        <w:t xml:space="preserve">Absa Bank Ltd v Moore and another </w:t>
      </w:r>
      <w:r w:rsidRPr="002258B5">
        <w:rPr>
          <w:rFonts w:ascii="Arial" w:hAnsi="Arial" w:cs="Arial"/>
          <w:color w:val="000000" w:themeColor="text1"/>
          <w:sz w:val="20"/>
          <w:szCs w:val="20"/>
        </w:rPr>
        <w:t>[2016] ZACC 34; 2017 (1) SA 255 (CC) para 39.</w:t>
      </w:r>
    </w:p>
  </w:footnote>
  <w:footnote w:id="27">
    <w:p w:rsidR="002D2B4A" w:rsidRPr="002258B5" w:rsidRDefault="002D2B4A" w:rsidP="007D16DB">
      <w:pPr>
        <w:pStyle w:val="FootnoteText"/>
        <w:contextualSpacing/>
        <w:jc w:val="both"/>
        <w:rPr>
          <w:rFonts w:ascii="Arial" w:hAnsi="Arial" w:cs="Arial"/>
          <w:color w:val="000000" w:themeColor="text1"/>
          <w:lang w:val="en-US"/>
        </w:rPr>
      </w:pPr>
      <w:r w:rsidRPr="002258B5">
        <w:rPr>
          <w:rStyle w:val="FootnoteReference"/>
          <w:rFonts w:ascii="Arial" w:hAnsi="Arial" w:cs="Arial"/>
          <w:color w:val="000000" w:themeColor="text1"/>
        </w:rPr>
        <w:footnoteRef/>
      </w:r>
      <w:r w:rsidRPr="002258B5">
        <w:rPr>
          <w:rFonts w:ascii="Arial" w:hAnsi="Arial" w:cs="Arial"/>
          <w:color w:val="000000" w:themeColor="text1"/>
        </w:rPr>
        <w:t xml:space="preserve"> Ibid.</w:t>
      </w:r>
    </w:p>
  </w:footnote>
  <w:footnote w:id="28">
    <w:p w:rsidR="002D2B4A" w:rsidRPr="002258B5" w:rsidRDefault="002D2B4A" w:rsidP="007D16DB">
      <w:pPr>
        <w:pStyle w:val="Heading2"/>
        <w:spacing w:before="0"/>
        <w:jc w:val="both"/>
        <w:rPr>
          <w:rFonts w:ascii="Arial" w:hAnsi="Arial" w:cs="Arial"/>
          <w:color w:val="000000" w:themeColor="text1"/>
          <w:sz w:val="20"/>
          <w:szCs w:val="20"/>
          <w:lang w:val="en-US"/>
        </w:rPr>
      </w:pPr>
      <w:r w:rsidRPr="002258B5">
        <w:rPr>
          <w:rStyle w:val="FootnoteReference"/>
          <w:rFonts w:ascii="Arial" w:hAnsi="Arial" w:cs="Arial"/>
          <w:color w:val="000000" w:themeColor="text1"/>
          <w:sz w:val="20"/>
          <w:szCs w:val="20"/>
        </w:rPr>
        <w:footnoteRef/>
      </w:r>
      <w:r w:rsidRPr="002258B5">
        <w:rPr>
          <w:rFonts w:ascii="Arial" w:hAnsi="Arial" w:cs="Arial"/>
          <w:color w:val="000000" w:themeColor="text1"/>
          <w:sz w:val="20"/>
          <w:szCs w:val="20"/>
        </w:rPr>
        <w:t xml:space="preserve"> </w:t>
      </w:r>
      <w:r w:rsidRPr="002258B5">
        <w:rPr>
          <w:rFonts w:ascii="Arial" w:hAnsi="Arial" w:cs="Arial"/>
          <w:i/>
          <w:iCs/>
          <w:color w:val="000000" w:themeColor="text1"/>
          <w:sz w:val="20"/>
          <w:szCs w:val="20"/>
        </w:rPr>
        <w:t>Korff v Scheepers en Andere</w:t>
      </w:r>
      <w:r w:rsidRPr="002258B5">
        <w:rPr>
          <w:rStyle w:val="apple-converted-space"/>
          <w:rFonts w:ascii="Arial" w:hAnsi="Arial" w:cs="Arial"/>
          <w:i/>
          <w:iCs/>
          <w:color w:val="000000" w:themeColor="text1"/>
          <w:sz w:val="20"/>
          <w:szCs w:val="20"/>
        </w:rPr>
        <w:t> </w:t>
      </w:r>
      <w:hyperlink r:id="rId1" w:tooltip="View LawCiteRecord" w:history="1">
        <w:r w:rsidRPr="002258B5">
          <w:rPr>
            <w:rStyle w:val="Hyperlink"/>
            <w:rFonts w:ascii="Arial" w:hAnsi="Arial" w:cs="Arial"/>
            <w:color w:val="000000" w:themeColor="text1"/>
            <w:sz w:val="20"/>
            <w:szCs w:val="20"/>
            <w:u w:val="none"/>
          </w:rPr>
          <w:t>1962 (3) SA 83</w:t>
        </w:r>
      </w:hyperlink>
      <w:r w:rsidRPr="002258B5">
        <w:rPr>
          <w:rStyle w:val="apple-converted-space"/>
          <w:rFonts w:ascii="Arial" w:hAnsi="Arial" w:cs="Arial"/>
          <w:color w:val="000000" w:themeColor="text1"/>
          <w:sz w:val="20"/>
          <w:szCs w:val="20"/>
        </w:rPr>
        <w:t> </w:t>
      </w:r>
      <w:r w:rsidRPr="002258B5">
        <w:rPr>
          <w:rFonts w:ascii="Arial" w:hAnsi="Arial" w:cs="Arial"/>
          <w:color w:val="000000" w:themeColor="text1"/>
          <w:sz w:val="20"/>
          <w:szCs w:val="20"/>
        </w:rPr>
        <w:t>(W) at 85.</w:t>
      </w:r>
    </w:p>
  </w:footnote>
  <w:footnote w:id="29">
    <w:p w:rsidR="002D2B4A" w:rsidRPr="007D16DB" w:rsidRDefault="002D2B4A" w:rsidP="000201D0">
      <w:pPr>
        <w:pStyle w:val="Heading2"/>
        <w:spacing w:before="0"/>
        <w:jc w:val="both"/>
        <w:rPr>
          <w:rFonts w:asciiTheme="minorBidi" w:hAnsiTheme="minorBidi"/>
          <w:color w:val="000000" w:themeColor="text1"/>
          <w:lang w:val="en-US"/>
        </w:rPr>
      </w:pPr>
      <w:r w:rsidRPr="002258B5">
        <w:rPr>
          <w:rStyle w:val="FootnoteReference"/>
          <w:rFonts w:ascii="Arial" w:hAnsi="Arial" w:cs="Arial"/>
          <w:color w:val="000000" w:themeColor="text1"/>
          <w:sz w:val="20"/>
          <w:szCs w:val="20"/>
        </w:rPr>
        <w:footnoteRef/>
      </w:r>
      <w:r w:rsidRPr="002258B5">
        <w:rPr>
          <w:rFonts w:ascii="Arial" w:hAnsi="Arial" w:cs="Arial"/>
          <w:color w:val="000000" w:themeColor="text1"/>
          <w:sz w:val="20"/>
          <w:szCs w:val="20"/>
        </w:rPr>
        <w:t xml:space="preserve"> </w:t>
      </w:r>
      <w:r w:rsidRPr="002258B5">
        <w:rPr>
          <w:rFonts w:ascii="Arial" w:hAnsi="Arial" w:cs="Arial"/>
          <w:i/>
          <w:iCs/>
          <w:color w:val="000000" w:themeColor="text1"/>
          <w:sz w:val="20"/>
          <w:szCs w:val="20"/>
        </w:rPr>
        <w:t>Commissioner for the South African Revenue Service v Sassin and others</w:t>
      </w:r>
      <w:r w:rsidRPr="002258B5">
        <w:rPr>
          <w:rFonts w:ascii="Arial" w:hAnsi="Arial" w:cs="Arial"/>
          <w:color w:val="000000" w:themeColor="text1"/>
          <w:sz w:val="20"/>
          <w:szCs w:val="20"/>
        </w:rPr>
        <w:t xml:space="preserve"> [2015] ZAKZDHC 82; [2015] 4 All SA 756 (KZD) para 4</w:t>
      </w:r>
      <w:r>
        <w:rPr>
          <w:rFonts w:ascii="Arial" w:hAnsi="Arial" w:cs="Arial"/>
          <w:color w:val="000000" w:themeColor="text1"/>
          <w:sz w:val="20"/>
          <w:szCs w:val="20"/>
        </w:rPr>
        <w:t>7</w:t>
      </w:r>
      <w:r w:rsidRPr="002258B5">
        <w:rPr>
          <w:rFonts w:ascii="Arial" w:hAnsi="Arial" w:cs="Arial"/>
          <w:color w:val="000000" w:themeColor="text1"/>
          <w:sz w:val="20"/>
          <w:szCs w:val="20"/>
        </w:rPr>
        <w:t>.</w:t>
      </w:r>
    </w:p>
  </w:footnote>
  <w:footnote w:id="30">
    <w:p w:rsidR="002D2B4A" w:rsidRPr="00652955" w:rsidRDefault="002D2B4A" w:rsidP="00652955">
      <w:pPr>
        <w:contextualSpacing/>
        <w:jc w:val="both"/>
        <w:rPr>
          <w:rFonts w:ascii="Arial" w:hAnsi="Arial" w:cs="Arial"/>
          <w:sz w:val="20"/>
          <w:szCs w:val="20"/>
          <w:lang w:val="en-US"/>
        </w:rPr>
      </w:pPr>
      <w:r w:rsidRPr="00652955">
        <w:rPr>
          <w:rStyle w:val="FootnoteReference"/>
          <w:rFonts w:ascii="Arial" w:hAnsi="Arial" w:cs="Arial"/>
          <w:sz w:val="20"/>
          <w:szCs w:val="20"/>
        </w:rPr>
        <w:footnoteRef/>
      </w:r>
      <w:r w:rsidRPr="00652955">
        <w:rPr>
          <w:rFonts w:ascii="Arial" w:hAnsi="Arial" w:cs="Arial"/>
          <w:sz w:val="20"/>
          <w:szCs w:val="20"/>
        </w:rPr>
        <w:t xml:space="preserve"> </w:t>
      </w:r>
      <w:r w:rsidRPr="00652955">
        <w:rPr>
          <w:rFonts w:ascii="Arial" w:hAnsi="Arial" w:cs="Arial"/>
          <w:color w:val="000000" w:themeColor="text1"/>
          <w:sz w:val="20"/>
          <w:szCs w:val="20"/>
        </w:rPr>
        <w:t xml:space="preserve">Collins Online Dictionary: </w:t>
      </w:r>
      <w:r w:rsidRPr="00652955">
        <w:rPr>
          <w:rFonts w:ascii="Arial" w:hAnsi="Arial" w:cs="Arial"/>
          <w:sz w:val="20"/>
          <w:szCs w:val="20"/>
        </w:rPr>
        <w:t>https://www.collinsdictionary.com/dictionary/english/stitch-up</w:t>
      </w:r>
      <w:r w:rsidRPr="00652955">
        <w:rPr>
          <w:rFonts w:ascii="Arial" w:hAnsi="Arial" w:cs="Arial"/>
          <w:color w:val="000000" w:themeColor="text1"/>
          <w:sz w:val="20"/>
          <w:szCs w:val="20"/>
        </w:rPr>
        <w:t>. When used as a phrasal verb, ‘[t]o</w:t>
      </w:r>
      <w:r w:rsidRPr="00652955">
        <w:rPr>
          <w:rStyle w:val="apple-converted-space"/>
          <w:rFonts w:ascii="Arial" w:hAnsi="Arial" w:cs="Arial"/>
          <w:color w:val="000000" w:themeColor="text1"/>
          <w:sz w:val="20"/>
          <w:szCs w:val="20"/>
        </w:rPr>
        <w:t> </w:t>
      </w:r>
      <w:r w:rsidRPr="00652955">
        <w:rPr>
          <w:rStyle w:val="hi"/>
          <w:rFonts w:ascii="Arial" w:hAnsi="Arial" w:cs="Arial"/>
          <w:color w:val="000000" w:themeColor="text1"/>
          <w:sz w:val="20"/>
          <w:szCs w:val="20"/>
          <w:bdr w:val="none" w:sz="0" w:space="0" w:color="auto" w:frame="1"/>
        </w:rPr>
        <w:t>stitch up</w:t>
      </w:r>
      <w:r w:rsidRPr="00652955">
        <w:rPr>
          <w:rStyle w:val="apple-converted-space"/>
          <w:rFonts w:ascii="Arial" w:hAnsi="Arial" w:cs="Arial"/>
          <w:color w:val="000000" w:themeColor="text1"/>
          <w:sz w:val="20"/>
          <w:szCs w:val="20"/>
        </w:rPr>
        <w:t> </w:t>
      </w:r>
      <w:r w:rsidRPr="00652955">
        <w:rPr>
          <w:rFonts w:ascii="Arial" w:hAnsi="Arial" w:cs="Arial"/>
          <w:color w:val="000000" w:themeColor="text1"/>
          <w:sz w:val="20"/>
          <w:szCs w:val="20"/>
        </w:rPr>
        <w:t>an</w:t>
      </w:r>
      <w:r w:rsidRPr="00652955">
        <w:rPr>
          <w:rStyle w:val="apple-converted-space"/>
          <w:rFonts w:ascii="Arial" w:hAnsi="Arial" w:cs="Arial"/>
          <w:color w:val="000000" w:themeColor="text1"/>
          <w:sz w:val="20"/>
          <w:szCs w:val="20"/>
        </w:rPr>
        <w:t> </w:t>
      </w:r>
      <w:r w:rsidRPr="00652955">
        <w:rPr>
          <w:rFonts w:ascii="Arial" w:hAnsi="Arial" w:cs="Arial"/>
          <w:sz w:val="20"/>
          <w:szCs w:val="20"/>
          <w:bdr w:val="none" w:sz="0" w:space="0" w:color="auto" w:frame="1"/>
        </w:rPr>
        <w:t>agreement</w:t>
      </w:r>
      <w:r w:rsidRPr="00652955">
        <w:rPr>
          <w:rFonts w:ascii="Arial" w:hAnsi="Arial" w:cs="Arial"/>
          <w:color w:val="000000" w:themeColor="text1"/>
          <w:sz w:val="20"/>
          <w:szCs w:val="20"/>
        </w:rPr>
        <w:t>, especially a</w:t>
      </w:r>
      <w:r w:rsidRPr="00652955">
        <w:rPr>
          <w:rStyle w:val="apple-converted-space"/>
          <w:rFonts w:ascii="Arial" w:hAnsi="Arial" w:cs="Arial"/>
          <w:color w:val="000000" w:themeColor="text1"/>
          <w:sz w:val="20"/>
          <w:szCs w:val="20"/>
        </w:rPr>
        <w:t> </w:t>
      </w:r>
      <w:r w:rsidRPr="00652955">
        <w:rPr>
          <w:rFonts w:ascii="Arial" w:hAnsi="Arial" w:cs="Arial"/>
          <w:sz w:val="20"/>
          <w:szCs w:val="20"/>
          <w:bdr w:val="none" w:sz="0" w:space="0" w:color="auto" w:frame="1"/>
        </w:rPr>
        <w:t>complicated</w:t>
      </w:r>
      <w:r w:rsidRPr="00652955">
        <w:rPr>
          <w:rStyle w:val="apple-converted-space"/>
          <w:rFonts w:ascii="Arial" w:hAnsi="Arial" w:cs="Arial"/>
          <w:color w:val="000000" w:themeColor="text1"/>
          <w:sz w:val="20"/>
          <w:szCs w:val="20"/>
        </w:rPr>
        <w:t> </w:t>
      </w:r>
      <w:r w:rsidRPr="00652955">
        <w:rPr>
          <w:rFonts w:ascii="Arial" w:hAnsi="Arial" w:cs="Arial"/>
          <w:color w:val="000000" w:themeColor="text1"/>
          <w:sz w:val="20"/>
          <w:szCs w:val="20"/>
        </w:rPr>
        <w:t>agreement between several people, means to</w:t>
      </w:r>
      <w:r w:rsidRPr="00652955">
        <w:rPr>
          <w:rStyle w:val="apple-converted-space"/>
          <w:rFonts w:ascii="Arial" w:hAnsi="Arial" w:cs="Arial"/>
          <w:color w:val="000000" w:themeColor="text1"/>
          <w:sz w:val="20"/>
          <w:szCs w:val="20"/>
        </w:rPr>
        <w:t> </w:t>
      </w:r>
      <w:r w:rsidRPr="00652955">
        <w:rPr>
          <w:rFonts w:ascii="Arial" w:hAnsi="Arial" w:cs="Arial"/>
          <w:sz w:val="20"/>
          <w:szCs w:val="20"/>
          <w:bdr w:val="none" w:sz="0" w:space="0" w:color="auto" w:frame="1"/>
        </w:rPr>
        <w:t>arrange</w:t>
      </w:r>
      <w:r w:rsidRPr="00652955">
        <w:rPr>
          <w:rStyle w:val="apple-converted-space"/>
          <w:rFonts w:ascii="Arial" w:hAnsi="Arial" w:cs="Arial"/>
          <w:color w:val="000000" w:themeColor="text1"/>
          <w:sz w:val="20"/>
          <w:szCs w:val="20"/>
        </w:rPr>
        <w:t> </w:t>
      </w:r>
      <w:r w:rsidRPr="00652955">
        <w:rPr>
          <w:rFonts w:ascii="Arial" w:hAnsi="Arial" w:cs="Arial"/>
          <w:color w:val="000000" w:themeColor="text1"/>
          <w:sz w:val="20"/>
          <w:szCs w:val="20"/>
        </w:rPr>
        <w:t>it’.</w:t>
      </w:r>
    </w:p>
  </w:footnote>
  <w:footnote w:id="31">
    <w:p w:rsidR="002D2B4A" w:rsidRPr="00652955" w:rsidRDefault="002D2B4A" w:rsidP="00652955">
      <w:pPr>
        <w:contextualSpacing/>
        <w:jc w:val="both"/>
        <w:rPr>
          <w:rFonts w:ascii="Arial" w:hAnsi="Arial" w:cs="Arial"/>
          <w:sz w:val="20"/>
          <w:szCs w:val="20"/>
        </w:rPr>
      </w:pPr>
      <w:r w:rsidRPr="00652955">
        <w:rPr>
          <w:rStyle w:val="FootnoteReference"/>
          <w:rFonts w:ascii="Arial" w:hAnsi="Arial" w:cs="Arial"/>
          <w:sz w:val="20"/>
          <w:szCs w:val="20"/>
        </w:rPr>
        <w:footnoteRef/>
      </w:r>
      <w:r w:rsidRPr="00652955">
        <w:rPr>
          <w:rFonts w:ascii="Arial" w:hAnsi="Arial" w:cs="Arial"/>
          <w:sz w:val="20"/>
          <w:szCs w:val="20"/>
        </w:rPr>
        <w:t xml:space="preserve"> </w:t>
      </w:r>
      <w:r w:rsidRPr="00652955">
        <w:rPr>
          <w:rFonts w:ascii="Arial" w:hAnsi="Arial" w:cs="Arial"/>
          <w:i/>
          <w:iCs/>
          <w:color w:val="242121"/>
          <w:sz w:val="20"/>
          <w:szCs w:val="20"/>
        </w:rPr>
        <w:t xml:space="preserve">Buffalo City Metropolitan Municipality v Asla Construction (Pty) Ltd </w:t>
      </w:r>
      <w:r w:rsidRPr="00652955">
        <w:rPr>
          <w:rFonts w:ascii="Arial" w:hAnsi="Arial" w:cs="Arial"/>
          <w:iCs/>
          <w:color w:val="242121"/>
          <w:sz w:val="20"/>
          <w:szCs w:val="20"/>
        </w:rPr>
        <w:t xml:space="preserve">[2019] ZACC 15; </w:t>
      </w:r>
      <w:r w:rsidRPr="00652955">
        <w:rPr>
          <w:rFonts w:ascii="Arial" w:hAnsi="Arial" w:cs="Arial"/>
          <w:color w:val="242121"/>
          <w:sz w:val="20"/>
          <w:szCs w:val="20"/>
        </w:rPr>
        <w:t>2019 (4) SA 331 (CC); 2019 (6) BCLR 661 (CC) (‘</w:t>
      </w:r>
      <w:r w:rsidRPr="00652955">
        <w:rPr>
          <w:rFonts w:ascii="Arial" w:hAnsi="Arial" w:cs="Arial"/>
          <w:i/>
          <w:color w:val="242121"/>
          <w:sz w:val="20"/>
          <w:szCs w:val="20"/>
        </w:rPr>
        <w:t>Asla</w:t>
      </w:r>
      <w:r w:rsidRPr="00652955">
        <w:rPr>
          <w:rFonts w:ascii="Arial" w:hAnsi="Arial" w:cs="Arial"/>
          <w:color w:val="242121"/>
          <w:sz w:val="20"/>
          <w:szCs w:val="20"/>
        </w:rPr>
        <w:t>’).</w:t>
      </w:r>
    </w:p>
  </w:footnote>
  <w:footnote w:id="32">
    <w:p w:rsidR="002D2B4A" w:rsidRPr="00652955" w:rsidRDefault="002D2B4A" w:rsidP="00652955">
      <w:pPr>
        <w:pStyle w:val="FootnoteText"/>
        <w:contextualSpacing/>
        <w:jc w:val="both"/>
        <w:rPr>
          <w:rFonts w:ascii="Arial" w:hAnsi="Arial" w:cs="Arial"/>
          <w:lang w:val="en-US"/>
        </w:rPr>
      </w:pPr>
      <w:r w:rsidRPr="00652955">
        <w:rPr>
          <w:rStyle w:val="FootnoteReference"/>
          <w:rFonts w:ascii="Arial" w:hAnsi="Arial" w:cs="Arial"/>
        </w:rPr>
        <w:footnoteRef/>
      </w:r>
      <w:r w:rsidRPr="00652955">
        <w:rPr>
          <w:rFonts w:ascii="Arial" w:hAnsi="Arial" w:cs="Arial"/>
        </w:rPr>
        <w:t xml:space="preserve"> </w:t>
      </w:r>
      <w:r w:rsidRPr="00652955">
        <w:rPr>
          <w:rFonts w:ascii="Arial" w:hAnsi="Arial" w:cs="Arial"/>
          <w:lang w:val="en-US"/>
        </w:rPr>
        <w:t>Section 172(1)</w:t>
      </w:r>
      <w:r w:rsidRPr="00652955">
        <w:rPr>
          <w:rFonts w:ascii="Arial" w:hAnsi="Arial" w:cs="Arial"/>
          <w:i/>
          <w:lang w:val="en-US"/>
        </w:rPr>
        <w:t>(a)</w:t>
      </w:r>
      <w:r w:rsidRPr="00652955">
        <w:rPr>
          <w:rFonts w:ascii="Arial" w:hAnsi="Arial" w:cs="Arial"/>
          <w:lang w:val="en-US"/>
        </w:rPr>
        <w:t xml:space="preserve"> provides as follows:</w:t>
      </w:r>
    </w:p>
    <w:p w:rsidR="002D2B4A" w:rsidRPr="001711D5" w:rsidRDefault="002D2B4A" w:rsidP="00652955">
      <w:pPr>
        <w:pStyle w:val="FootnoteText"/>
        <w:contextualSpacing/>
        <w:jc w:val="both"/>
        <w:rPr>
          <w:rFonts w:ascii="Arial" w:hAnsi="Arial" w:cs="Arial"/>
          <w:sz w:val="18"/>
          <w:szCs w:val="18"/>
          <w:lang w:val="en-US"/>
        </w:rPr>
      </w:pPr>
      <w:r w:rsidRPr="001711D5">
        <w:rPr>
          <w:rFonts w:ascii="Arial" w:hAnsi="Arial" w:cs="Arial"/>
          <w:sz w:val="18"/>
          <w:szCs w:val="18"/>
          <w:lang w:val="en-US"/>
        </w:rPr>
        <w:t>‘When deciding a constitutional matter within its power, a court -</w:t>
      </w:r>
    </w:p>
    <w:p w:rsidR="002D2B4A" w:rsidRPr="001711D5" w:rsidRDefault="002D2B4A" w:rsidP="00652955">
      <w:pPr>
        <w:shd w:val="clear" w:color="auto" w:fill="FFFFFF"/>
        <w:contextualSpacing/>
        <w:jc w:val="both"/>
        <w:rPr>
          <w:rFonts w:ascii="Arial" w:hAnsi="Arial" w:cs="Arial"/>
          <w:sz w:val="18"/>
          <w:szCs w:val="18"/>
          <w:lang w:val="en-US"/>
        </w:rPr>
      </w:pPr>
      <w:r w:rsidRPr="001711D5">
        <w:rPr>
          <w:rFonts w:ascii="Arial" w:hAnsi="Arial" w:cs="Arial"/>
          <w:i/>
          <w:sz w:val="18"/>
          <w:szCs w:val="18"/>
        </w:rPr>
        <w:t>(a)</w:t>
      </w:r>
      <w:r w:rsidRPr="001711D5">
        <w:rPr>
          <w:rFonts w:ascii="Arial" w:hAnsi="Arial" w:cs="Arial"/>
          <w:sz w:val="18"/>
          <w:szCs w:val="18"/>
        </w:rPr>
        <w:t xml:space="preserve"> must declare that any law or conduct that is inconsistent with the Constitution is invalid to the extent of its inconsistency’.</w:t>
      </w:r>
    </w:p>
  </w:footnote>
  <w:footnote w:id="33">
    <w:p w:rsidR="002D2B4A" w:rsidRPr="00652955" w:rsidRDefault="002D2B4A" w:rsidP="00652955">
      <w:pPr>
        <w:contextualSpacing/>
        <w:jc w:val="both"/>
        <w:rPr>
          <w:rFonts w:ascii="Arial" w:hAnsi="Arial" w:cs="Arial"/>
          <w:sz w:val="20"/>
          <w:szCs w:val="20"/>
        </w:rPr>
      </w:pPr>
      <w:r w:rsidRPr="00652955">
        <w:rPr>
          <w:rStyle w:val="FootnoteReference"/>
          <w:rFonts w:ascii="Arial" w:hAnsi="Arial" w:cs="Arial"/>
          <w:sz w:val="20"/>
          <w:szCs w:val="20"/>
        </w:rPr>
        <w:footnoteRef/>
      </w:r>
      <w:r w:rsidRPr="00652955">
        <w:rPr>
          <w:rFonts w:ascii="Arial" w:hAnsi="Arial" w:cs="Arial"/>
          <w:sz w:val="20"/>
          <w:szCs w:val="20"/>
        </w:rPr>
        <w:t xml:space="preserve"> </w:t>
      </w:r>
      <w:r w:rsidRPr="00652955">
        <w:rPr>
          <w:rFonts w:ascii="Arial" w:hAnsi="Arial" w:cs="Arial"/>
          <w:i/>
          <w:iCs/>
          <w:color w:val="242121"/>
          <w:sz w:val="20"/>
          <w:szCs w:val="20"/>
        </w:rPr>
        <w:t>Asla</w:t>
      </w:r>
      <w:r w:rsidRPr="00652955">
        <w:rPr>
          <w:rFonts w:ascii="Arial" w:hAnsi="Arial" w:cs="Arial"/>
          <w:color w:val="242121"/>
          <w:sz w:val="20"/>
          <w:szCs w:val="20"/>
        </w:rPr>
        <w:t xml:space="preserve"> paras 48-72.</w:t>
      </w:r>
    </w:p>
  </w:footnote>
  <w:footnote w:id="34">
    <w:p w:rsidR="002D2B4A" w:rsidRPr="00652955" w:rsidRDefault="002D2B4A" w:rsidP="00652955">
      <w:pPr>
        <w:pStyle w:val="ListParagraph"/>
        <w:tabs>
          <w:tab w:val="left" w:pos="709"/>
        </w:tabs>
        <w:ind w:left="0"/>
        <w:jc w:val="both"/>
        <w:rPr>
          <w:rFonts w:ascii="Arial" w:hAnsi="Arial" w:cs="Arial"/>
          <w:color w:val="000000" w:themeColor="text1"/>
          <w:sz w:val="20"/>
          <w:szCs w:val="20"/>
          <w:lang w:val="en-US"/>
        </w:rPr>
      </w:pPr>
      <w:r w:rsidRPr="00652955">
        <w:rPr>
          <w:rStyle w:val="FootnoteReference"/>
          <w:rFonts w:ascii="Arial" w:hAnsi="Arial" w:cs="Arial"/>
          <w:color w:val="000000" w:themeColor="text1"/>
          <w:sz w:val="20"/>
          <w:szCs w:val="20"/>
        </w:rPr>
        <w:footnoteRef/>
      </w:r>
      <w:r w:rsidRPr="00652955">
        <w:rPr>
          <w:rFonts w:ascii="Arial" w:hAnsi="Arial" w:cs="Arial"/>
          <w:color w:val="000000" w:themeColor="text1"/>
          <w:sz w:val="20"/>
          <w:szCs w:val="20"/>
        </w:rPr>
        <w:t xml:space="preserve"> </w:t>
      </w:r>
      <w:r w:rsidRPr="00652955">
        <w:rPr>
          <w:rFonts w:ascii="Arial" w:hAnsi="Arial" w:cs="Arial"/>
          <w:i/>
          <w:iCs/>
          <w:color w:val="000000" w:themeColor="text1"/>
          <w:sz w:val="20"/>
          <w:szCs w:val="20"/>
        </w:rPr>
        <w:t xml:space="preserve">Gqwetha v Transkei Development Corporation Ltd and others </w:t>
      </w:r>
      <w:r w:rsidRPr="00652955">
        <w:rPr>
          <w:rFonts w:ascii="Arial" w:hAnsi="Arial" w:cs="Arial"/>
          <w:color w:val="000000" w:themeColor="text1"/>
          <w:sz w:val="20"/>
          <w:szCs w:val="20"/>
        </w:rPr>
        <w:t>2006 (2) SA 603 (SCA); [2006] 3 All SA 245 (SCA).</w:t>
      </w:r>
    </w:p>
  </w:footnote>
  <w:footnote w:id="35">
    <w:p w:rsidR="002D2B4A" w:rsidRPr="00652955" w:rsidRDefault="002D2B4A" w:rsidP="00652955">
      <w:pPr>
        <w:pStyle w:val="ListParagraph"/>
        <w:tabs>
          <w:tab w:val="left" w:pos="709"/>
        </w:tabs>
        <w:ind w:left="0"/>
        <w:jc w:val="both"/>
        <w:rPr>
          <w:rFonts w:ascii="Arial" w:hAnsi="Arial" w:cs="Arial"/>
          <w:color w:val="000000" w:themeColor="text1"/>
          <w:sz w:val="20"/>
          <w:szCs w:val="20"/>
          <w:lang w:val="en-US"/>
        </w:rPr>
      </w:pPr>
      <w:r w:rsidRPr="00652955">
        <w:rPr>
          <w:rStyle w:val="FootnoteReference"/>
          <w:rFonts w:ascii="Arial" w:hAnsi="Arial" w:cs="Arial"/>
          <w:color w:val="000000" w:themeColor="text1"/>
          <w:sz w:val="20"/>
          <w:szCs w:val="20"/>
        </w:rPr>
        <w:footnoteRef/>
      </w:r>
      <w:r w:rsidRPr="00652955">
        <w:rPr>
          <w:rFonts w:ascii="Arial" w:hAnsi="Arial" w:cs="Arial"/>
          <w:color w:val="000000" w:themeColor="text1"/>
          <w:sz w:val="20"/>
          <w:szCs w:val="20"/>
        </w:rPr>
        <w:t xml:space="preserve"> </w:t>
      </w:r>
      <w:r w:rsidRPr="00652955">
        <w:rPr>
          <w:rFonts w:ascii="Arial" w:hAnsi="Arial" w:cs="Arial"/>
          <w:i/>
          <w:iCs/>
          <w:color w:val="000000" w:themeColor="text1"/>
          <w:sz w:val="20"/>
          <w:szCs w:val="20"/>
        </w:rPr>
        <w:t>Khumalo and another v MEC for Education, KwaZulu-Natal </w:t>
      </w:r>
      <w:r w:rsidRPr="00652955">
        <w:rPr>
          <w:rFonts w:ascii="Arial" w:hAnsi="Arial" w:cs="Arial"/>
          <w:color w:val="000000" w:themeColor="text1"/>
          <w:sz w:val="20"/>
          <w:szCs w:val="20"/>
          <w:shd w:val="clear" w:color="auto" w:fill="FFFFFF"/>
        </w:rPr>
        <w:t>[2013] ZACC 49; 2014 (5) SA 579 (CC); 2014 (3) BCLR 333 (CC) (‘</w:t>
      </w:r>
      <w:r w:rsidRPr="00652955">
        <w:rPr>
          <w:rFonts w:ascii="Arial" w:hAnsi="Arial" w:cs="Arial"/>
          <w:i/>
          <w:color w:val="000000" w:themeColor="text1"/>
          <w:sz w:val="20"/>
          <w:szCs w:val="20"/>
          <w:shd w:val="clear" w:color="auto" w:fill="FFFFFF"/>
        </w:rPr>
        <w:t>Khumalo</w:t>
      </w:r>
      <w:r w:rsidRPr="00652955">
        <w:rPr>
          <w:rFonts w:ascii="Arial" w:hAnsi="Arial" w:cs="Arial"/>
          <w:color w:val="000000" w:themeColor="text1"/>
          <w:sz w:val="20"/>
          <w:szCs w:val="20"/>
          <w:shd w:val="clear" w:color="auto" w:fill="FFFFFF"/>
        </w:rPr>
        <w:t>’).</w:t>
      </w:r>
    </w:p>
  </w:footnote>
  <w:footnote w:id="36">
    <w:p w:rsidR="002D2B4A" w:rsidRPr="00652955" w:rsidRDefault="002D2B4A" w:rsidP="00652955">
      <w:pPr>
        <w:pStyle w:val="FootnoteText"/>
        <w:jc w:val="both"/>
        <w:rPr>
          <w:rFonts w:ascii="Arial" w:hAnsi="Arial" w:cs="Arial"/>
          <w:lang w:val="en-GB"/>
        </w:rPr>
      </w:pPr>
      <w:r w:rsidRPr="00652955">
        <w:rPr>
          <w:rStyle w:val="FootnoteReference"/>
          <w:rFonts w:ascii="Arial" w:hAnsi="Arial" w:cs="Arial"/>
        </w:rPr>
        <w:footnoteRef/>
      </w:r>
      <w:r w:rsidRPr="00652955">
        <w:rPr>
          <w:rFonts w:ascii="Arial" w:hAnsi="Arial" w:cs="Arial"/>
        </w:rPr>
        <w:t xml:space="preserve"> </w:t>
      </w:r>
      <w:r w:rsidRPr="00652955">
        <w:rPr>
          <w:rFonts w:ascii="Arial" w:hAnsi="Arial" w:cs="Arial"/>
          <w:i/>
          <w:lang w:val="en-GB"/>
        </w:rPr>
        <w:t xml:space="preserve">Asla </w:t>
      </w:r>
      <w:r w:rsidRPr="00652955">
        <w:rPr>
          <w:rFonts w:ascii="Arial" w:hAnsi="Arial" w:cs="Arial"/>
          <w:lang w:val="en-GB"/>
        </w:rPr>
        <w:t>para 48.</w:t>
      </w:r>
    </w:p>
  </w:footnote>
  <w:footnote w:id="37">
    <w:p w:rsidR="002D2B4A" w:rsidRPr="00652955" w:rsidRDefault="002D2B4A" w:rsidP="00652955">
      <w:pPr>
        <w:pStyle w:val="FootnoteText"/>
        <w:contextualSpacing/>
        <w:jc w:val="both"/>
        <w:rPr>
          <w:rFonts w:ascii="Arial" w:hAnsi="Arial" w:cs="Arial"/>
          <w:color w:val="000000" w:themeColor="text1"/>
          <w:lang w:val="en-US"/>
        </w:rPr>
      </w:pPr>
      <w:r w:rsidRPr="00652955">
        <w:rPr>
          <w:rStyle w:val="FootnoteReference"/>
          <w:rFonts w:ascii="Arial" w:hAnsi="Arial" w:cs="Arial"/>
          <w:color w:val="000000" w:themeColor="text1"/>
        </w:rPr>
        <w:footnoteRef/>
      </w:r>
      <w:r w:rsidRPr="00652955">
        <w:rPr>
          <w:rFonts w:ascii="Arial" w:hAnsi="Arial" w:cs="Arial"/>
          <w:color w:val="000000" w:themeColor="text1"/>
        </w:rPr>
        <w:t xml:space="preserve"> </w:t>
      </w:r>
      <w:r w:rsidRPr="00652955">
        <w:rPr>
          <w:rFonts w:ascii="Arial" w:hAnsi="Arial" w:cs="Arial"/>
          <w:i/>
          <w:iCs/>
          <w:color w:val="000000" w:themeColor="text1"/>
        </w:rPr>
        <w:t>Asla</w:t>
      </w:r>
      <w:r w:rsidRPr="00652955">
        <w:rPr>
          <w:rFonts w:ascii="Arial" w:hAnsi="Arial" w:cs="Arial"/>
          <w:color w:val="000000" w:themeColor="text1"/>
          <w:lang w:val="en-US"/>
        </w:rPr>
        <w:t xml:space="preserve"> para 52.</w:t>
      </w:r>
    </w:p>
  </w:footnote>
  <w:footnote w:id="38">
    <w:p w:rsidR="002D2B4A" w:rsidRPr="00652955" w:rsidRDefault="002D2B4A" w:rsidP="00652955">
      <w:pPr>
        <w:pStyle w:val="FootnoteText"/>
        <w:contextualSpacing/>
        <w:jc w:val="both"/>
        <w:rPr>
          <w:rFonts w:ascii="Arial" w:hAnsi="Arial" w:cs="Arial"/>
          <w:lang w:val="en-US"/>
        </w:rPr>
      </w:pPr>
      <w:r w:rsidRPr="00652955">
        <w:rPr>
          <w:rStyle w:val="FootnoteReference"/>
          <w:rFonts w:ascii="Arial" w:hAnsi="Arial" w:cs="Arial"/>
        </w:rPr>
        <w:footnoteRef/>
      </w:r>
      <w:r w:rsidRPr="00652955">
        <w:rPr>
          <w:rFonts w:ascii="Arial" w:hAnsi="Arial" w:cs="Arial"/>
        </w:rPr>
        <w:t xml:space="preserve"> </w:t>
      </w:r>
      <w:r w:rsidRPr="00652955">
        <w:rPr>
          <w:rFonts w:ascii="Arial" w:hAnsi="Arial" w:cs="Arial"/>
          <w:i/>
          <w:iCs/>
          <w:color w:val="000000" w:themeColor="text1"/>
        </w:rPr>
        <w:t xml:space="preserve">Altech Radio Holdings (Pty) Ltd and others v Tshwane City </w:t>
      </w:r>
      <w:r w:rsidRPr="00652955">
        <w:rPr>
          <w:rFonts w:ascii="Arial" w:hAnsi="Arial" w:cs="Arial"/>
          <w:color w:val="000000" w:themeColor="text1"/>
        </w:rPr>
        <w:t>[2020] ZASCA 122; 2021 (3) SA 25 (SCA) para 18.</w:t>
      </w:r>
    </w:p>
  </w:footnote>
  <w:footnote w:id="39">
    <w:p w:rsidR="002D2B4A" w:rsidRPr="00652955" w:rsidRDefault="002D2B4A" w:rsidP="00652955">
      <w:pPr>
        <w:contextualSpacing/>
        <w:jc w:val="both"/>
        <w:rPr>
          <w:rFonts w:ascii="Arial" w:hAnsi="Arial" w:cs="Arial"/>
          <w:color w:val="000000" w:themeColor="text1"/>
          <w:sz w:val="20"/>
          <w:szCs w:val="20"/>
          <w:lang w:val="en-US"/>
        </w:rPr>
      </w:pPr>
      <w:r w:rsidRPr="00652955">
        <w:rPr>
          <w:rStyle w:val="FootnoteReference"/>
          <w:rFonts w:ascii="Arial" w:hAnsi="Arial" w:cs="Arial"/>
          <w:color w:val="000000" w:themeColor="text1"/>
          <w:sz w:val="20"/>
          <w:szCs w:val="20"/>
        </w:rPr>
        <w:footnoteRef/>
      </w:r>
      <w:r w:rsidRPr="00652955">
        <w:rPr>
          <w:rFonts w:ascii="Arial" w:hAnsi="Arial" w:cs="Arial"/>
          <w:color w:val="000000" w:themeColor="text1"/>
          <w:sz w:val="20"/>
          <w:szCs w:val="20"/>
        </w:rPr>
        <w:t xml:space="preserve"> </w:t>
      </w:r>
      <w:r w:rsidRPr="00652955">
        <w:rPr>
          <w:rFonts w:ascii="Arial" w:hAnsi="Arial" w:cs="Arial"/>
          <w:i/>
          <w:iCs/>
          <w:color w:val="000000" w:themeColor="text1"/>
          <w:sz w:val="20"/>
          <w:szCs w:val="20"/>
          <w:lang w:val="en-GB"/>
        </w:rPr>
        <w:t>Merafong City v AngloGold Ashanti Ltd</w:t>
      </w:r>
      <w:r w:rsidRPr="00652955">
        <w:rPr>
          <w:rStyle w:val="apple-converted-space"/>
          <w:rFonts w:ascii="Arial" w:hAnsi="Arial" w:cs="Arial"/>
          <w:color w:val="000000" w:themeColor="text1"/>
          <w:sz w:val="20"/>
          <w:szCs w:val="20"/>
          <w:lang w:val="en-GB"/>
        </w:rPr>
        <w:t> </w:t>
      </w:r>
      <w:r w:rsidRPr="00652955">
        <w:rPr>
          <w:rFonts w:ascii="Arial" w:hAnsi="Arial" w:cs="Arial"/>
          <w:sz w:val="20"/>
          <w:szCs w:val="20"/>
          <w:lang w:val="en-GB"/>
        </w:rPr>
        <w:t>[2016] ZACC 35</w:t>
      </w:r>
      <w:r w:rsidRPr="00652955">
        <w:rPr>
          <w:rFonts w:ascii="Arial" w:hAnsi="Arial" w:cs="Arial"/>
          <w:color w:val="000000" w:themeColor="text1"/>
          <w:sz w:val="20"/>
          <w:szCs w:val="20"/>
          <w:lang w:val="en-GB"/>
        </w:rPr>
        <w:t>;</w:t>
      </w:r>
      <w:r w:rsidRPr="00652955">
        <w:rPr>
          <w:rStyle w:val="apple-converted-space"/>
          <w:rFonts w:ascii="Arial" w:hAnsi="Arial" w:cs="Arial"/>
          <w:color w:val="000000" w:themeColor="text1"/>
          <w:sz w:val="20"/>
          <w:szCs w:val="20"/>
          <w:lang w:val="en-GB"/>
        </w:rPr>
        <w:t> </w:t>
      </w:r>
      <w:r w:rsidRPr="00652955">
        <w:rPr>
          <w:rFonts w:ascii="Arial" w:hAnsi="Arial" w:cs="Arial"/>
          <w:sz w:val="20"/>
          <w:szCs w:val="20"/>
          <w:lang w:val="en-GB"/>
        </w:rPr>
        <w:t>2017 (2) SA 211</w:t>
      </w:r>
      <w:r w:rsidRPr="00652955">
        <w:rPr>
          <w:rStyle w:val="apple-converted-space"/>
          <w:rFonts w:ascii="Arial" w:hAnsi="Arial" w:cs="Arial"/>
          <w:color w:val="000000" w:themeColor="text1"/>
          <w:sz w:val="20"/>
          <w:szCs w:val="20"/>
          <w:lang w:val="en-GB"/>
        </w:rPr>
        <w:t> </w:t>
      </w:r>
      <w:r w:rsidRPr="00652955">
        <w:rPr>
          <w:rFonts w:ascii="Arial" w:hAnsi="Arial" w:cs="Arial"/>
          <w:color w:val="000000" w:themeColor="text1"/>
          <w:sz w:val="20"/>
          <w:szCs w:val="20"/>
          <w:lang w:val="en-GB"/>
        </w:rPr>
        <w:t>(CC);</w:t>
      </w:r>
      <w:r w:rsidRPr="00652955">
        <w:rPr>
          <w:rStyle w:val="apple-converted-space"/>
          <w:rFonts w:ascii="Arial" w:hAnsi="Arial" w:cs="Arial"/>
          <w:color w:val="000000" w:themeColor="text1"/>
          <w:sz w:val="20"/>
          <w:szCs w:val="20"/>
          <w:lang w:val="en-GB"/>
        </w:rPr>
        <w:t> </w:t>
      </w:r>
      <w:r w:rsidRPr="00652955">
        <w:rPr>
          <w:rFonts w:ascii="Arial" w:hAnsi="Arial" w:cs="Arial"/>
          <w:sz w:val="20"/>
          <w:szCs w:val="20"/>
          <w:lang w:val="en-GB"/>
        </w:rPr>
        <w:t>2017 (2) BCLR 182</w:t>
      </w:r>
      <w:r w:rsidRPr="00652955">
        <w:rPr>
          <w:rStyle w:val="apple-converted-space"/>
          <w:rFonts w:ascii="Arial" w:hAnsi="Arial" w:cs="Arial"/>
          <w:color w:val="000000" w:themeColor="text1"/>
          <w:sz w:val="20"/>
          <w:szCs w:val="20"/>
          <w:lang w:val="en-GB"/>
        </w:rPr>
        <w:t> </w:t>
      </w:r>
      <w:r w:rsidRPr="00652955">
        <w:rPr>
          <w:rFonts w:ascii="Arial" w:hAnsi="Arial" w:cs="Arial"/>
          <w:color w:val="000000" w:themeColor="text1"/>
          <w:sz w:val="20"/>
          <w:szCs w:val="20"/>
          <w:lang w:val="en-GB"/>
        </w:rPr>
        <w:t>(CC) para 73.</w:t>
      </w:r>
    </w:p>
  </w:footnote>
  <w:footnote w:id="40">
    <w:p w:rsidR="002D2B4A" w:rsidRPr="00652955" w:rsidRDefault="002D2B4A" w:rsidP="00652955">
      <w:pPr>
        <w:contextualSpacing/>
        <w:jc w:val="both"/>
        <w:rPr>
          <w:rFonts w:ascii="Arial" w:hAnsi="Arial" w:cs="Arial"/>
          <w:color w:val="000000" w:themeColor="text1"/>
          <w:sz w:val="20"/>
          <w:szCs w:val="20"/>
          <w:lang w:val="en-US"/>
        </w:rPr>
      </w:pPr>
      <w:r w:rsidRPr="00652955">
        <w:rPr>
          <w:rStyle w:val="FootnoteReference"/>
          <w:rFonts w:ascii="Arial" w:hAnsi="Arial" w:cs="Arial"/>
          <w:color w:val="000000" w:themeColor="text1"/>
          <w:sz w:val="20"/>
          <w:szCs w:val="20"/>
        </w:rPr>
        <w:footnoteRef/>
      </w:r>
      <w:r w:rsidRPr="00652955">
        <w:rPr>
          <w:rFonts w:ascii="Arial" w:hAnsi="Arial" w:cs="Arial"/>
          <w:color w:val="000000" w:themeColor="text1"/>
          <w:sz w:val="20"/>
          <w:szCs w:val="20"/>
        </w:rPr>
        <w:t xml:space="preserve"> </w:t>
      </w:r>
      <w:r w:rsidRPr="00652955">
        <w:rPr>
          <w:rFonts w:ascii="Arial" w:hAnsi="Arial" w:cs="Arial"/>
          <w:i/>
          <w:iCs/>
          <w:color w:val="000000" w:themeColor="text1"/>
          <w:sz w:val="20"/>
          <w:szCs w:val="20"/>
          <w:lang w:val="en-GB"/>
        </w:rPr>
        <w:t>Valor IT v Premier, North West Province and others</w:t>
      </w:r>
      <w:r w:rsidRPr="00652955">
        <w:rPr>
          <w:rFonts w:ascii="Arial" w:hAnsi="Arial" w:cs="Arial"/>
          <w:color w:val="000000" w:themeColor="text1"/>
          <w:sz w:val="20"/>
          <w:szCs w:val="20"/>
        </w:rPr>
        <w:t xml:space="preserve"> </w:t>
      </w:r>
      <w:r w:rsidRPr="00652955">
        <w:rPr>
          <w:rFonts w:ascii="Arial" w:hAnsi="Arial" w:cs="Arial"/>
          <w:sz w:val="20"/>
          <w:szCs w:val="20"/>
        </w:rPr>
        <w:t>[2020] ZASCA 62</w:t>
      </w:r>
      <w:r w:rsidRPr="00652955">
        <w:rPr>
          <w:rFonts w:ascii="Arial" w:hAnsi="Arial" w:cs="Arial"/>
          <w:color w:val="000000" w:themeColor="text1"/>
          <w:sz w:val="20"/>
          <w:szCs w:val="20"/>
          <w:shd w:val="clear" w:color="auto" w:fill="FFFFFF"/>
        </w:rPr>
        <w:t>;</w:t>
      </w:r>
      <w:r w:rsidRPr="00652955">
        <w:rPr>
          <w:rStyle w:val="apple-converted-space"/>
          <w:rFonts w:ascii="Arial" w:hAnsi="Arial" w:cs="Arial"/>
          <w:color w:val="000000" w:themeColor="text1"/>
          <w:sz w:val="20"/>
          <w:szCs w:val="20"/>
          <w:shd w:val="clear" w:color="auto" w:fill="FFFFFF"/>
        </w:rPr>
        <w:t> </w:t>
      </w:r>
      <w:r w:rsidRPr="00652955">
        <w:rPr>
          <w:rFonts w:ascii="Arial" w:hAnsi="Arial" w:cs="Arial"/>
          <w:sz w:val="20"/>
          <w:szCs w:val="20"/>
        </w:rPr>
        <w:t>[2020] 3 All SA 397</w:t>
      </w:r>
      <w:r w:rsidRPr="00652955">
        <w:rPr>
          <w:rStyle w:val="apple-converted-space"/>
          <w:rFonts w:ascii="Arial" w:hAnsi="Arial" w:cs="Arial"/>
          <w:color w:val="000000" w:themeColor="text1"/>
          <w:sz w:val="20"/>
          <w:szCs w:val="20"/>
          <w:shd w:val="clear" w:color="auto" w:fill="FFFFFF"/>
        </w:rPr>
        <w:t> </w:t>
      </w:r>
      <w:r w:rsidRPr="00652955">
        <w:rPr>
          <w:rFonts w:ascii="Arial" w:hAnsi="Arial" w:cs="Arial"/>
          <w:color w:val="000000" w:themeColor="text1"/>
          <w:sz w:val="20"/>
          <w:szCs w:val="20"/>
          <w:shd w:val="clear" w:color="auto" w:fill="FFFFFF"/>
        </w:rPr>
        <w:t>(SCA) para 30.</w:t>
      </w:r>
    </w:p>
  </w:footnote>
  <w:footnote w:id="41">
    <w:p w:rsidR="002D2B4A" w:rsidRPr="00652955" w:rsidRDefault="002D2B4A" w:rsidP="00652955">
      <w:pPr>
        <w:contextualSpacing/>
        <w:jc w:val="both"/>
        <w:rPr>
          <w:rFonts w:ascii="Arial" w:hAnsi="Arial" w:cs="Arial"/>
          <w:color w:val="000000" w:themeColor="text1"/>
          <w:sz w:val="20"/>
          <w:szCs w:val="20"/>
        </w:rPr>
      </w:pPr>
      <w:r w:rsidRPr="00652955">
        <w:rPr>
          <w:rStyle w:val="FootnoteReference"/>
          <w:rFonts w:ascii="Arial" w:hAnsi="Arial" w:cs="Arial"/>
          <w:color w:val="000000" w:themeColor="text1"/>
          <w:sz w:val="20"/>
          <w:szCs w:val="20"/>
        </w:rPr>
        <w:footnoteRef/>
      </w:r>
      <w:r w:rsidRPr="00652955">
        <w:rPr>
          <w:rFonts w:ascii="Arial" w:hAnsi="Arial" w:cs="Arial"/>
          <w:color w:val="000000" w:themeColor="text1"/>
          <w:sz w:val="20"/>
          <w:szCs w:val="20"/>
        </w:rPr>
        <w:t xml:space="preserve"> </w:t>
      </w:r>
      <w:r w:rsidRPr="00652955">
        <w:rPr>
          <w:rFonts w:ascii="Arial" w:hAnsi="Arial" w:cs="Arial"/>
          <w:i/>
          <w:iCs/>
          <w:color w:val="000000" w:themeColor="text1"/>
          <w:sz w:val="20"/>
          <w:szCs w:val="20"/>
          <w:lang w:val="en-US"/>
        </w:rPr>
        <w:t xml:space="preserve">Khumalo </w:t>
      </w:r>
      <w:r w:rsidRPr="00652955">
        <w:rPr>
          <w:rFonts w:ascii="Arial" w:hAnsi="Arial" w:cs="Arial"/>
          <w:color w:val="000000" w:themeColor="text1"/>
          <w:sz w:val="20"/>
          <w:szCs w:val="20"/>
          <w:lang w:val="en-US"/>
        </w:rPr>
        <w:t>para 47.</w:t>
      </w:r>
    </w:p>
  </w:footnote>
  <w:footnote w:id="42">
    <w:p w:rsidR="002D2B4A" w:rsidRPr="00652955" w:rsidRDefault="002D2B4A" w:rsidP="00652955">
      <w:pPr>
        <w:pStyle w:val="FootnoteText"/>
        <w:jc w:val="both"/>
        <w:rPr>
          <w:rFonts w:ascii="Arial" w:hAnsi="Arial" w:cs="Arial"/>
          <w:lang w:val="en-GB"/>
        </w:rPr>
      </w:pPr>
      <w:r w:rsidRPr="00652955">
        <w:rPr>
          <w:rStyle w:val="FootnoteReference"/>
          <w:rFonts w:ascii="Arial" w:hAnsi="Arial" w:cs="Arial"/>
        </w:rPr>
        <w:footnoteRef/>
      </w:r>
      <w:r w:rsidRPr="00652955">
        <w:rPr>
          <w:rFonts w:ascii="Arial" w:hAnsi="Arial" w:cs="Arial"/>
        </w:rPr>
        <w:t xml:space="preserve"> </w:t>
      </w:r>
      <w:r w:rsidRPr="00652955">
        <w:rPr>
          <w:rFonts w:ascii="Arial" w:hAnsi="Arial" w:cs="Arial"/>
          <w:i/>
        </w:rPr>
        <w:t>Transnet SOC Ltd and another v CRRC E-Loco Supply (Pty) Ltd and others</w:t>
      </w:r>
      <w:r w:rsidRPr="00652955">
        <w:rPr>
          <w:rFonts w:ascii="Arial" w:hAnsi="Arial" w:cs="Arial"/>
        </w:rPr>
        <w:t xml:space="preserve"> [2022] ZAGPJHC 228 para 17.</w:t>
      </w:r>
    </w:p>
  </w:footnote>
  <w:footnote w:id="43">
    <w:p w:rsidR="002D2B4A" w:rsidRPr="00652955" w:rsidRDefault="002D2B4A" w:rsidP="00652955">
      <w:pPr>
        <w:pStyle w:val="ListParagraph"/>
        <w:tabs>
          <w:tab w:val="left" w:pos="709"/>
        </w:tabs>
        <w:ind w:left="0"/>
        <w:jc w:val="both"/>
        <w:rPr>
          <w:rFonts w:ascii="Arial" w:hAnsi="Arial" w:cs="Arial"/>
          <w:sz w:val="20"/>
          <w:szCs w:val="20"/>
          <w:lang w:val="en-US"/>
        </w:rPr>
      </w:pPr>
      <w:r w:rsidRPr="00652955">
        <w:rPr>
          <w:rStyle w:val="FootnoteReference"/>
          <w:rFonts w:ascii="Arial" w:hAnsi="Arial" w:cs="Arial"/>
          <w:sz w:val="20"/>
          <w:szCs w:val="20"/>
        </w:rPr>
        <w:footnoteRef/>
      </w:r>
      <w:r w:rsidRPr="00652955">
        <w:rPr>
          <w:rFonts w:ascii="Arial" w:hAnsi="Arial" w:cs="Arial"/>
          <w:sz w:val="20"/>
          <w:szCs w:val="20"/>
        </w:rPr>
        <w:t xml:space="preserve"> </w:t>
      </w:r>
      <w:r w:rsidRPr="00652955">
        <w:rPr>
          <w:rFonts w:ascii="Arial" w:hAnsi="Arial" w:cs="Arial"/>
          <w:i/>
          <w:iCs/>
          <w:color w:val="000000" w:themeColor="text1"/>
          <w:sz w:val="20"/>
          <w:szCs w:val="20"/>
        </w:rPr>
        <w:t>KZN Oncology Inc v KZN Province MEC for Health and another</w:t>
      </w:r>
      <w:r w:rsidRPr="00652955">
        <w:rPr>
          <w:rFonts w:ascii="Arial" w:hAnsi="Arial" w:cs="Arial"/>
          <w:color w:val="000000" w:themeColor="text1"/>
          <w:sz w:val="20"/>
          <w:szCs w:val="20"/>
        </w:rPr>
        <w:t xml:space="preserve"> [2021] ZAKZPHC 72.</w:t>
      </w:r>
    </w:p>
  </w:footnote>
  <w:footnote w:id="44">
    <w:p w:rsidR="002D2B4A" w:rsidRPr="00652955" w:rsidRDefault="002D2B4A" w:rsidP="00652955">
      <w:pPr>
        <w:pStyle w:val="FootnoteText"/>
        <w:contextualSpacing/>
        <w:jc w:val="both"/>
        <w:rPr>
          <w:rFonts w:ascii="Arial" w:hAnsi="Arial" w:cs="Arial"/>
          <w:lang w:val="en-US"/>
        </w:rPr>
      </w:pPr>
      <w:r w:rsidRPr="00652955">
        <w:rPr>
          <w:rStyle w:val="FootnoteReference"/>
          <w:rFonts w:ascii="Arial" w:hAnsi="Arial" w:cs="Arial"/>
        </w:rPr>
        <w:footnoteRef/>
      </w:r>
      <w:r w:rsidRPr="00652955">
        <w:rPr>
          <w:rFonts w:ascii="Arial" w:hAnsi="Arial" w:cs="Arial"/>
        </w:rPr>
        <w:t xml:space="preserve"> </w:t>
      </w:r>
      <w:r w:rsidRPr="00652955">
        <w:rPr>
          <w:rFonts w:ascii="Arial" w:hAnsi="Arial" w:cs="Arial"/>
          <w:lang w:val="en-US"/>
        </w:rPr>
        <w:t>Ibid para 24.</w:t>
      </w:r>
    </w:p>
  </w:footnote>
  <w:footnote w:id="45">
    <w:p w:rsidR="002D2B4A" w:rsidRPr="00652955" w:rsidRDefault="002D2B4A" w:rsidP="00652955">
      <w:pPr>
        <w:pStyle w:val="FootnoteText"/>
        <w:contextualSpacing/>
        <w:jc w:val="both"/>
        <w:rPr>
          <w:rFonts w:ascii="Arial" w:hAnsi="Arial" w:cs="Arial"/>
          <w:lang w:val="en-US"/>
        </w:rPr>
      </w:pPr>
      <w:r w:rsidRPr="00652955">
        <w:rPr>
          <w:rStyle w:val="FootnoteReference"/>
          <w:rFonts w:ascii="Arial" w:hAnsi="Arial" w:cs="Arial"/>
        </w:rPr>
        <w:footnoteRef/>
      </w:r>
      <w:r w:rsidRPr="00652955">
        <w:rPr>
          <w:rFonts w:ascii="Arial" w:hAnsi="Arial" w:cs="Arial"/>
        </w:rPr>
        <w:t xml:space="preserve"> </w:t>
      </w:r>
      <w:r w:rsidRPr="00652955">
        <w:rPr>
          <w:rFonts w:ascii="Arial" w:hAnsi="Arial" w:cs="Arial"/>
          <w:lang w:val="en-US"/>
        </w:rPr>
        <w:t>Ibid para 25.</w:t>
      </w:r>
    </w:p>
  </w:footnote>
  <w:footnote w:id="46">
    <w:p w:rsidR="002D2B4A" w:rsidRPr="00652955" w:rsidRDefault="002D2B4A" w:rsidP="00652955">
      <w:pPr>
        <w:pStyle w:val="FootnoteText"/>
        <w:contextualSpacing/>
        <w:jc w:val="both"/>
        <w:rPr>
          <w:rFonts w:ascii="Arial" w:hAnsi="Arial" w:cs="Arial"/>
          <w:lang w:val="en-US"/>
        </w:rPr>
      </w:pPr>
      <w:r w:rsidRPr="00652955">
        <w:rPr>
          <w:rStyle w:val="FootnoteReference"/>
          <w:rFonts w:ascii="Arial" w:hAnsi="Arial" w:cs="Arial"/>
        </w:rPr>
        <w:footnoteRef/>
      </w:r>
      <w:r w:rsidRPr="00652955">
        <w:rPr>
          <w:rFonts w:ascii="Arial" w:hAnsi="Arial" w:cs="Arial"/>
        </w:rPr>
        <w:t xml:space="preserve"> </w:t>
      </w:r>
      <w:r w:rsidRPr="00652955">
        <w:rPr>
          <w:rFonts w:ascii="Arial" w:hAnsi="Arial" w:cs="Arial"/>
          <w:bCs/>
          <w:i/>
          <w:iCs/>
          <w:lang w:val="en-GB"/>
        </w:rPr>
        <w:t xml:space="preserve">Swifambo Rail Leasing (Pty) Ltd v Prasa </w:t>
      </w:r>
      <w:r w:rsidRPr="00652955">
        <w:rPr>
          <w:rFonts w:ascii="Arial" w:hAnsi="Arial" w:cs="Arial"/>
          <w:bCs/>
          <w:lang w:val="en-GB"/>
        </w:rPr>
        <w:t>[2018] ZASCA 167; 2020 (1) SA 76 (SCA).</w:t>
      </w:r>
    </w:p>
  </w:footnote>
  <w:footnote w:id="47">
    <w:p w:rsidR="002D2B4A" w:rsidRPr="00652955" w:rsidRDefault="002D2B4A" w:rsidP="00652955">
      <w:pPr>
        <w:pStyle w:val="FootnoteText"/>
        <w:contextualSpacing/>
        <w:jc w:val="both"/>
        <w:rPr>
          <w:rFonts w:ascii="Arial" w:hAnsi="Arial" w:cs="Arial"/>
          <w:lang w:val="en-US"/>
        </w:rPr>
      </w:pPr>
      <w:r w:rsidRPr="00652955">
        <w:rPr>
          <w:rStyle w:val="FootnoteReference"/>
          <w:rFonts w:ascii="Arial" w:hAnsi="Arial" w:cs="Arial"/>
        </w:rPr>
        <w:footnoteRef/>
      </w:r>
      <w:r w:rsidRPr="00652955">
        <w:rPr>
          <w:rFonts w:ascii="Arial" w:hAnsi="Arial" w:cs="Arial"/>
        </w:rPr>
        <w:t xml:space="preserve"> </w:t>
      </w:r>
      <w:r w:rsidRPr="00652955">
        <w:rPr>
          <w:rFonts w:ascii="Arial" w:hAnsi="Arial" w:cs="Arial"/>
          <w:lang w:val="en-US"/>
        </w:rPr>
        <w:t>Ibid paras 34 and 36.</w:t>
      </w:r>
    </w:p>
  </w:footnote>
  <w:footnote w:id="48">
    <w:p w:rsidR="002D2B4A" w:rsidRPr="00652955" w:rsidRDefault="002D2B4A" w:rsidP="00652955">
      <w:pPr>
        <w:pStyle w:val="FootnoteText"/>
        <w:contextualSpacing/>
        <w:jc w:val="both"/>
        <w:rPr>
          <w:rFonts w:ascii="Arial" w:hAnsi="Arial" w:cs="Arial"/>
          <w:lang w:val="en-US"/>
        </w:rPr>
      </w:pPr>
      <w:r w:rsidRPr="00652955">
        <w:rPr>
          <w:rStyle w:val="FootnoteReference"/>
          <w:rFonts w:ascii="Arial" w:hAnsi="Arial" w:cs="Arial"/>
        </w:rPr>
        <w:footnoteRef/>
      </w:r>
      <w:r w:rsidRPr="00652955">
        <w:rPr>
          <w:rFonts w:ascii="Arial" w:hAnsi="Arial" w:cs="Arial"/>
        </w:rPr>
        <w:t xml:space="preserve"> </w:t>
      </w:r>
      <w:r w:rsidRPr="00652955">
        <w:rPr>
          <w:rFonts w:ascii="Arial" w:hAnsi="Arial" w:cs="Arial"/>
          <w:lang w:val="en-US"/>
        </w:rPr>
        <w:t>Ibid para 39.</w:t>
      </w:r>
    </w:p>
  </w:footnote>
  <w:footnote w:id="49">
    <w:p w:rsidR="002D2B4A" w:rsidRPr="00652955" w:rsidRDefault="002D2B4A" w:rsidP="00652955">
      <w:pPr>
        <w:pStyle w:val="FootnoteText"/>
        <w:jc w:val="both"/>
        <w:rPr>
          <w:rFonts w:ascii="Arial" w:hAnsi="Arial" w:cs="Arial"/>
          <w:lang w:val="en-GB"/>
        </w:rPr>
      </w:pPr>
      <w:r w:rsidRPr="00652955">
        <w:rPr>
          <w:rStyle w:val="FootnoteReference"/>
          <w:rFonts w:ascii="Arial" w:hAnsi="Arial" w:cs="Arial"/>
        </w:rPr>
        <w:footnoteRef/>
      </w:r>
      <w:r w:rsidRPr="00652955">
        <w:rPr>
          <w:rFonts w:ascii="Arial" w:hAnsi="Arial" w:cs="Arial"/>
        </w:rPr>
        <w:t xml:space="preserve"> </w:t>
      </w:r>
      <w:r w:rsidRPr="00652955">
        <w:rPr>
          <w:rFonts w:ascii="Arial" w:hAnsi="Arial" w:cs="Arial"/>
          <w:lang w:val="en-GB"/>
        </w:rPr>
        <w:t>Ibid para 41.</w:t>
      </w:r>
    </w:p>
  </w:footnote>
  <w:footnote w:id="50">
    <w:p w:rsidR="002D2B4A" w:rsidRPr="00652955" w:rsidRDefault="002D2B4A" w:rsidP="00652955">
      <w:pPr>
        <w:pStyle w:val="FootnoteText"/>
        <w:contextualSpacing/>
        <w:jc w:val="both"/>
        <w:rPr>
          <w:rFonts w:ascii="Arial" w:hAnsi="Arial" w:cs="Arial"/>
          <w:lang w:val="en-US"/>
        </w:rPr>
      </w:pPr>
      <w:r w:rsidRPr="00652955">
        <w:rPr>
          <w:rStyle w:val="FootnoteReference"/>
          <w:rFonts w:ascii="Arial" w:hAnsi="Arial" w:cs="Arial"/>
        </w:rPr>
        <w:footnoteRef/>
      </w:r>
      <w:r w:rsidRPr="00652955">
        <w:rPr>
          <w:rFonts w:ascii="Arial" w:hAnsi="Arial" w:cs="Arial"/>
        </w:rPr>
        <w:t xml:space="preserve"> </w:t>
      </w:r>
      <w:r w:rsidRPr="00652955">
        <w:rPr>
          <w:rFonts w:ascii="Arial" w:hAnsi="Arial" w:cs="Arial"/>
          <w:i/>
          <w:iCs/>
          <w:color w:val="000000" w:themeColor="text1"/>
          <w:lang w:val="en-US"/>
        </w:rPr>
        <w:t>Cape Town City v Aurecon SA (Pty) Ltd</w:t>
      </w:r>
      <w:r w:rsidRPr="00652955">
        <w:rPr>
          <w:rStyle w:val="apple-converted-space"/>
          <w:rFonts w:ascii="Arial" w:hAnsi="Arial" w:cs="Arial"/>
          <w:color w:val="000000" w:themeColor="text1"/>
          <w:lang w:val="en-US"/>
        </w:rPr>
        <w:t> </w:t>
      </w:r>
      <w:r w:rsidRPr="00652955">
        <w:rPr>
          <w:rFonts w:ascii="Arial" w:hAnsi="Arial" w:cs="Arial"/>
          <w:lang w:val="en-US"/>
        </w:rPr>
        <w:t>[2017] ZACC 5</w:t>
      </w:r>
      <w:r w:rsidRPr="00652955">
        <w:rPr>
          <w:rFonts w:ascii="Arial" w:hAnsi="Arial" w:cs="Arial"/>
          <w:color w:val="000000" w:themeColor="text1"/>
          <w:lang w:val="en-US"/>
        </w:rPr>
        <w:t>;</w:t>
      </w:r>
      <w:r w:rsidRPr="00652955">
        <w:rPr>
          <w:rStyle w:val="apple-converted-space"/>
          <w:rFonts w:ascii="Arial" w:hAnsi="Arial" w:cs="Arial"/>
          <w:color w:val="000000" w:themeColor="text1"/>
          <w:lang w:val="en-US"/>
        </w:rPr>
        <w:t> </w:t>
      </w:r>
      <w:r w:rsidRPr="00652955">
        <w:rPr>
          <w:rFonts w:ascii="Arial" w:hAnsi="Arial" w:cs="Arial"/>
          <w:lang w:val="en-US"/>
        </w:rPr>
        <w:t>2017 (4) SA 223</w:t>
      </w:r>
      <w:r w:rsidRPr="00652955">
        <w:rPr>
          <w:rStyle w:val="apple-converted-space"/>
          <w:rFonts w:ascii="Arial" w:hAnsi="Arial" w:cs="Arial"/>
          <w:color w:val="000000" w:themeColor="text1"/>
          <w:lang w:val="en-US"/>
        </w:rPr>
        <w:t> </w:t>
      </w:r>
      <w:r w:rsidRPr="00652955">
        <w:rPr>
          <w:rFonts w:ascii="Arial" w:hAnsi="Arial" w:cs="Arial"/>
          <w:color w:val="000000" w:themeColor="text1"/>
          <w:lang w:val="en-US"/>
        </w:rPr>
        <w:t xml:space="preserve">(CC). </w:t>
      </w:r>
    </w:p>
  </w:footnote>
  <w:footnote w:id="51">
    <w:p w:rsidR="002D2B4A" w:rsidRPr="00652955" w:rsidRDefault="002D2B4A" w:rsidP="00652955">
      <w:pPr>
        <w:pStyle w:val="FootnoteText"/>
        <w:contextualSpacing/>
        <w:jc w:val="both"/>
        <w:rPr>
          <w:rFonts w:ascii="Arial" w:hAnsi="Arial" w:cs="Arial"/>
          <w:lang w:val="en-US"/>
        </w:rPr>
      </w:pPr>
      <w:r w:rsidRPr="00652955">
        <w:rPr>
          <w:rStyle w:val="FootnoteReference"/>
          <w:rFonts w:ascii="Arial" w:hAnsi="Arial" w:cs="Arial"/>
        </w:rPr>
        <w:footnoteRef/>
      </w:r>
      <w:r w:rsidRPr="00652955">
        <w:rPr>
          <w:rFonts w:ascii="Arial" w:hAnsi="Arial" w:cs="Arial"/>
        </w:rPr>
        <w:t xml:space="preserve"> </w:t>
      </w:r>
      <w:r w:rsidRPr="00652955">
        <w:rPr>
          <w:rFonts w:ascii="Arial" w:hAnsi="Arial" w:cs="Arial"/>
          <w:lang w:val="en-US"/>
        </w:rPr>
        <w:t>Ibid para 50.</w:t>
      </w:r>
    </w:p>
  </w:footnote>
  <w:footnote w:id="52">
    <w:p w:rsidR="002D2B4A" w:rsidRPr="00652955" w:rsidRDefault="002D2B4A" w:rsidP="00652955">
      <w:pPr>
        <w:pStyle w:val="ListParagraph"/>
        <w:tabs>
          <w:tab w:val="left" w:pos="709"/>
        </w:tabs>
        <w:ind w:left="0"/>
        <w:jc w:val="both"/>
        <w:rPr>
          <w:rFonts w:ascii="Arial" w:hAnsi="Arial" w:cs="Arial"/>
          <w:sz w:val="20"/>
          <w:szCs w:val="20"/>
          <w:lang w:val="en-US"/>
        </w:rPr>
      </w:pPr>
      <w:r w:rsidRPr="00652955">
        <w:rPr>
          <w:rStyle w:val="FootnoteReference"/>
          <w:rFonts w:ascii="Arial" w:hAnsi="Arial" w:cs="Arial"/>
          <w:sz w:val="20"/>
          <w:szCs w:val="20"/>
        </w:rPr>
        <w:footnoteRef/>
      </w:r>
      <w:r w:rsidRPr="00652955">
        <w:rPr>
          <w:rFonts w:ascii="Arial" w:hAnsi="Arial" w:cs="Arial"/>
          <w:sz w:val="20"/>
          <w:szCs w:val="20"/>
        </w:rPr>
        <w:t xml:space="preserve"> </w:t>
      </w:r>
      <w:r w:rsidRPr="00652955">
        <w:rPr>
          <w:rFonts w:ascii="Arial" w:hAnsi="Arial" w:cs="Arial"/>
          <w:i/>
          <w:iCs/>
          <w:sz w:val="20"/>
          <w:szCs w:val="20"/>
        </w:rPr>
        <w:t>Simeka</w:t>
      </w:r>
      <w:r w:rsidRPr="00652955">
        <w:rPr>
          <w:rFonts w:ascii="Arial" w:hAnsi="Arial" w:cs="Arial"/>
          <w:sz w:val="20"/>
          <w:szCs w:val="20"/>
        </w:rPr>
        <w:t xml:space="preserve"> para 85.</w:t>
      </w:r>
    </w:p>
  </w:footnote>
  <w:footnote w:id="53">
    <w:p w:rsidR="002D2B4A" w:rsidRPr="00652955" w:rsidRDefault="002D2B4A" w:rsidP="00652955">
      <w:pPr>
        <w:pStyle w:val="FootnoteText"/>
        <w:contextualSpacing/>
        <w:jc w:val="both"/>
        <w:rPr>
          <w:rFonts w:ascii="Arial" w:hAnsi="Arial" w:cs="Arial"/>
        </w:rPr>
      </w:pPr>
      <w:r w:rsidRPr="00652955">
        <w:rPr>
          <w:rStyle w:val="FootnoteReference"/>
          <w:rFonts w:ascii="Arial" w:hAnsi="Arial" w:cs="Arial"/>
        </w:rPr>
        <w:footnoteRef/>
      </w:r>
      <w:r w:rsidRPr="00652955">
        <w:rPr>
          <w:rFonts w:ascii="Arial" w:hAnsi="Arial" w:cs="Arial"/>
        </w:rPr>
        <w:t xml:space="preserve"> Ibid para 108.</w:t>
      </w:r>
    </w:p>
  </w:footnote>
  <w:footnote w:id="54">
    <w:p w:rsidR="002D2B4A" w:rsidRPr="00A92998" w:rsidRDefault="002D2B4A" w:rsidP="00A92998">
      <w:pPr>
        <w:pStyle w:val="FootnoteText"/>
        <w:contextualSpacing/>
        <w:jc w:val="both"/>
        <w:rPr>
          <w:rFonts w:asciiTheme="minorBidi" w:hAnsiTheme="minorBidi"/>
        </w:rPr>
      </w:pPr>
      <w:r w:rsidRPr="00A92998">
        <w:rPr>
          <w:rStyle w:val="FootnoteReference"/>
          <w:rFonts w:asciiTheme="minorBidi" w:hAnsiTheme="minorBidi"/>
        </w:rPr>
        <w:footnoteRef/>
      </w:r>
      <w:r w:rsidRPr="00A92998">
        <w:rPr>
          <w:rFonts w:asciiTheme="minorBidi" w:hAnsiTheme="minorBidi"/>
        </w:rPr>
        <w:t xml:space="preserve"> </w:t>
      </w:r>
      <w:r w:rsidRPr="00A92998">
        <w:rPr>
          <w:rFonts w:asciiTheme="minorBidi" w:hAnsiTheme="minorBidi"/>
          <w:i/>
        </w:rPr>
        <w:t>Special Investigating Unit v Phomella Property Investments (Pty) Ltd and another</w:t>
      </w:r>
      <w:r w:rsidRPr="00A92998">
        <w:rPr>
          <w:rFonts w:asciiTheme="minorBidi" w:hAnsiTheme="minorBidi"/>
        </w:rPr>
        <w:t xml:space="preserve"> [2023] ZASCA 45; 2023 (5) SA 601 (SCA) para 10.</w:t>
      </w:r>
    </w:p>
  </w:footnote>
  <w:footnote w:id="55">
    <w:p w:rsidR="002D2B4A" w:rsidRPr="00A92998" w:rsidRDefault="002D2B4A" w:rsidP="00A92998">
      <w:pPr>
        <w:pStyle w:val="FootnoteText"/>
        <w:contextualSpacing/>
        <w:jc w:val="both"/>
        <w:rPr>
          <w:rFonts w:asciiTheme="minorBidi" w:hAnsiTheme="minorBidi"/>
        </w:rPr>
      </w:pPr>
      <w:r w:rsidRPr="00A92998">
        <w:rPr>
          <w:rStyle w:val="FootnoteReference"/>
          <w:rFonts w:asciiTheme="minorBidi" w:hAnsiTheme="minorBidi"/>
        </w:rPr>
        <w:footnoteRef/>
      </w:r>
      <w:r w:rsidRPr="00A92998">
        <w:rPr>
          <w:rFonts w:asciiTheme="minorBidi" w:hAnsiTheme="minorBidi"/>
        </w:rPr>
        <w:t xml:space="preserve"> </w:t>
      </w:r>
      <w:r w:rsidRPr="00A92998">
        <w:rPr>
          <w:rFonts w:asciiTheme="minorBidi" w:hAnsiTheme="minorBidi"/>
          <w:i/>
        </w:rPr>
        <w:t>Bengwenyama Minerals (Pty) Ltd and others v Genorah Resources (Pty) Ltd and others</w:t>
      </w:r>
      <w:r w:rsidRPr="00A92998">
        <w:rPr>
          <w:rFonts w:asciiTheme="minorBidi" w:hAnsiTheme="minorBidi"/>
        </w:rPr>
        <w:t xml:space="preserve"> [2010] ZACC 26; 2011 (4) SA 113 (CC) para 84.</w:t>
      </w:r>
    </w:p>
  </w:footnote>
  <w:footnote w:id="56">
    <w:p w:rsidR="002D2B4A" w:rsidRPr="00A92998" w:rsidRDefault="002D2B4A" w:rsidP="00A92998">
      <w:pPr>
        <w:pStyle w:val="NormalWeb"/>
        <w:spacing w:before="0" w:beforeAutospacing="0" w:after="0" w:afterAutospacing="0"/>
        <w:jc w:val="both"/>
        <w:rPr>
          <w:rFonts w:asciiTheme="minorBidi" w:hAnsiTheme="minorBidi" w:cstheme="minorBidi"/>
          <w:sz w:val="20"/>
          <w:szCs w:val="20"/>
          <w:lang w:val="en-US"/>
        </w:rPr>
      </w:pPr>
      <w:r w:rsidRPr="00A92998">
        <w:rPr>
          <w:rStyle w:val="FootnoteReference"/>
          <w:rFonts w:asciiTheme="minorBidi" w:hAnsiTheme="minorBidi" w:cstheme="minorBidi"/>
          <w:sz w:val="20"/>
          <w:szCs w:val="20"/>
        </w:rPr>
        <w:footnoteRef/>
      </w:r>
      <w:r w:rsidRPr="00A92998">
        <w:rPr>
          <w:rFonts w:asciiTheme="minorBidi" w:hAnsiTheme="minorBidi" w:cstheme="minorBidi"/>
          <w:sz w:val="20"/>
          <w:szCs w:val="20"/>
        </w:rPr>
        <w:t xml:space="preserve"> </w:t>
      </w:r>
      <w:r w:rsidRPr="00A92998">
        <w:rPr>
          <w:rFonts w:asciiTheme="minorBidi" w:hAnsiTheme="minorBidi" w:cstheme="minorBidi"/>
          <w:i/>
          <w:iCs/>
          <w:sz w:val="20"/>
          <w:szCs w:val="20"/>
          <w:lang w:bidi="yi-Hebr"/>
        </w:rPr>
        <w:t>Central Energy Fund SOC Ltd and another v Venus Rays Trade (Pty) Ltd and others</w:t>
      </w:r>
      <w:r w:rsidRPr="00A92998">
        <w:rPr>
          <w:rFonts w:asciiTheme="minorBidi" w:hAnsiTheme="minorBidi" w:cstheme="minorBidi"/>
          <w:sz w:val="20"/>
          <w:szCs w:val="20"/>
          <w:lang w:bidi="yi-Hebr"/>
        </w:rPr>
        <w:t xml:space="preserve"> [2022] ZASCA 54; 2022 (5) SA 56 (SCA)</w:t>
      </w:r>
      <w:r>
        <w:rPr>
          <w:rFonts w:asciiTheme="minorBidi" w:hAnsiTheme="minorBidi" w:cstheme="minorBidi"/>
          <w:sz w:val="20"/>
          <w:szCs w:val="20"/>
          <w:lang w:bidi="yi-Hebr"/>
        </w:rPr>
        <w:t xml:space="preserve">; </w:t>
      </w:r>
      <w:r w:rsidRPr="007C3B9E">
        <w:rPr>
          <w:rStyle w:val="CommentReference"/>
          <w:rFonts w:asciiTheme="minorBidi" w:hAnsiTheme="minorBidi" w:cstheme="minorBidi"/>
          <w:sz w:val="20"/>
          <w:szCs w:val="20"/>
        </w:rPr>
        <w:t xml:space="preserve">[2022] 2 All SA 626 (SCA) </w:t>
      </w:r>
      <w:r w:rsidRPr="00A92998">
        <w:rPr>
          <w:rFonts w:asciiTheme="minorBidi" w:hAnsiTheme="minorBidi" w:cstheme="minorBidi"/>
          <w:sz w:val="20"/>
          <w:szCs w:val="20"/>
          <w:lang w:bidi="yi-Hebr"/>
        </w:rPr>
        <w:t>para 43.</w:t>
      </w:r>
    </w:p>
  </w:footnote>
  <w:footnote w:id="57">
    <w:p w:rsidR="002D2B4A" w:rsidRPr="00A92998" w:rsidRDefault="002D2B4A" w:rsidP="00A92998">
      <w:pPr>
        <w:pStyle w:val="FootnoteText"/>
        <w:jc w:val="both"/>
        <w:rPr>
          <w:rFonts w:asciiTheme="minorBidi" w:hAnsiTheme="minorBidi"/>
          <w:lang w:val="en-US"/>
        </w:rPr>
      </w:pPr>
      <w:r w:rsidRPr="00A92998">
        <w:rPr>
          <w:rStyle w:val="FootnoteReference"/>
          <w:rFonts w:asciiTheme="minorBidi" w:hAnsiTheme="minorBidi"/>
        </w:rPr>
        <w:footnoteRef/>
      </w:r>
      <w:r w:rsidRPr="00A92998">
        <w:rPr>
          <w:rFonts w:asciiTheme="minorBidi" w:hAnsiTheme="minorBidi"/>
        </w:rPr>
        <w:t xml:space="preserve"> </w:t>
      </w:r>
      <w:r w:rsidRPr="00A92998">
        <w:rPr>
          <w:rFonts w:asciiTheme="minorBidi" w:hAnsiTheme="minorBidi"/>
          <w:i/>
          <w:iCs/>
        </w:rPr>
        <w:t>State Information Technology Agency SOC Limited v Gijima Holdings (Pty) Limited</w:t>
      </w:r>
      <w:r w:rsidRPr="00A92998">
        <w:rPr>
          <w:rFonts w:asciiTheme="minorBidi" w:hAnsiTheme="minorBidi"/>
        </w:rPr>
        <w:t xml:space="preserve"> [2017] ZACC 40; 2018 (2) SA 23 (CC); 2018 (2) BCLR 240 (CC) para 53</w:t>
      </w:r>
      <w:r>
        <w:rPr>
          <w:rFonts w:asciiTheme="minorBidi" w:hAnsiTheme="minorBidi"/>
        </w:rPr>
        <w:t>.</w:t>
      </w:r>
    </w:p>
  </w:footnote>
  <w:footnote w:id="58">
    <w:p w:rsidR="002D2B4A" w:rsidRPr="007C3B9E" w:rsidRDefault="002D2B4A" w:rsidP="007C3B9E">
      <w:pPr>
        <w:pStyle w:val="CommentText"/>
        <w:tabs>
          <w:tab w:val="left" w:pos="709"/>
        </w:tabs>
        <w:jc w:val="both"/>
        <w:rPr>
          <w:rFonts w:asciiTheme="minorBidi" w:hAnsiTheme="minorBidi" w:cstheme="minorBidi"/>
        </w:rPr>
      </w:pPr>
      <w:r w:rsidRPr="007C3B9E">
        <w:rPr>
          <w:rStyle w:val="FootnoteReference"/>
          <w:rFonts w:asciiTheme="minorBidi" w:hAnsiTheme="minorBidi" w:cstheme="minorBidi"/>
        </w:rPr>
        <w:footnoteRef/>
      </w:r>
      <w:r w:rsidRPr="007C3B9E">
        <w:rPr>
          <w:rFonts w:asciiTheme="minorBidi" w:hAnsiTheme="minorBidi" w:cstheme="minorBidi"/>
        </w:rPr>
        <w:t xml:space="preserve"> </w:t>
      </w:r>
      <w:r w:rsidRPr="007C3B9E">
        <w:rPr>
          <w:rFonts w:asciiTheme="minorBidi" w:hAnsiTheme="minorBidi" w:cstheme="minorBidi"/>
          <w:bCs/>
          <w:i/>
          <w:lang w:val="en-US"/>
        </w:rPr>
        <w:t>Central Energy Fund SOC Ltd and another v Venus Rays Trade (Pty) Ltd and others</w:t>
      </w:r>
      <w:r w:rsidRPr="007C3B9E">
        <w:rPr>
          <w:rFonts w:asciiTheme="minorBidi" w:hAnsiTheme="minorBidi" w:cstheme="minorBidi"/>
          <w:bCs/>
          <w:lang w:val="en-US"/>
        </w:rPr>
        <w:t xml:space="preserve"> [2022] ZASCA 54; 2022 (5) SA 56 (SCA</w:t>
      </w:r>
      <w:r w:rsidRPr="00DC5349">
        <w:rPr>
          <w:rFonts w:asciiTheme="minorBidi" w:hAnsiTheme="minorBidi" w:cstheme="minorBidi"/>
          <w:bCs/>
          <w:lang w:val="en-US"/>
        </w:rPr>
        <w:t>)</w:t>
      </w:r>
      <w:r w:rsidRPr="00DC5349">
        <w:rPr>
          <w:rStyle w:val="CommentReference"/>
          <w:rFonts w:asciiTheme="minorBidi" w:hAnsiTheme="minorBidi" w:cstheme="minorBidi"/>
          <w:sz w:val="20"/>
          <w:szCs w:val="20"/>
        </w:rPr>
        <w:t>;</w:t>
      </w:r>
      <w:r w:rsidRPr="007C3B9E">
        <w:rPr>
          <w:rStyle w:val="CommentReference"/>
          <w:rFonts w:asciiTheme="minorBidi" w:hAnsiTheme="minorBidi" w:cstheme="minorBidi"/>
          <w:sz w:val="20"/>
          <w:szCs w:val="20"/>
        </w:rPr>
        <w:t xml:space="preserve"> [2022] 2 All SA 626 (SCA) para 42.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19007669"/>
      <w:docPartObj>
        <w:docPartGallery w:val="Page Numbers (Top of Page)"/>
        <w:docPartUnique/>
      </w:docPartObj>
    </w:sdtPr>
    <w:sdtEndPr>
      <w:rPr>
        <w:rStyle w:val="PageNumber"/>
      </w:rPr>
    </w:sdtEndPr>
    <w:sdtContent>
      <w:p w:rsidR="002D2B4A" w:rsidRDefault="002D2B4A" w:rsidP="00F449E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D2B4A" w:rsidRDefault="002D2B4A" w:rsidP="00915709">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rPr>
      <w:id w:val="793337233"/>
      <w:docPartObj>
        <w:docPartGallery w:val="Page Numbers (Top of Page)"/>
        <w:docPartUnique/>
      </w:docPartObj>
    </w:sdtPr>
    <w:sdtEndPr>
      <w:rPr>
        <w:rStyle w:val="PageNumber"/>
      </w:rPr>
    </w:sdtEndPr>
    <w:sdtContent>
      <w:p w:rsidR="002D2B4A" w:rsidRPr="00B06F5D" w:rsidRDefault="002D2B4A" w:rsidP="00F449E8">
        <w:pPr>
          <w:pStyle w:val="Header"/>
          <w:framePr w:wrap="none" w:vAnchor="text" w:hAnchor="margin" w:xAlign="right" w:y="1"/>
          <w:rPr>
            <w:rStyle w:val="PageNumber"/>
            <w:rFonts w:ascii="Arial" w:hAnsi="Arial" w:cs="Arial"/>
          </w:rPr>
        </w:pPr>
        <w:r w:rsidRPr="00B06F5D">
          <w:rPr>
            <w:rStyle w:val="PageNumber"/>
            <w:rFonts w:ascii="Arial" w:hAnsi="Arial" w:cs="Arial"/>
          </w:rPr>
          <w:fldChar w:fldCharType="begin"/>
        </w:r>
        <w:r w:rsidRPr="00B06F5D">
          <w:rPr>
            <w:rStyle w:val="PageNumber"/>
            <w:rFonts w:ascii="Arial" w:hAnsi="Arial" w:cs="Arial"/>
          </w:rPr>
          <w:instrText xml:space="preserve"> PAGE </w:instrText>
        </w:r>
        <w:r w:rsidRPr="00B06F5D">
          <w:rPr>
            <w:rStyle w:val="PageNumber"/>
            <w:rFonts w:ascii="Arial" w:hAnsi="Arial" w:cs="Arial"/>
          </w:rPr>
          <w:fldChar w:fldCharType="separate"/>
        </w:r>
        <w:r w:rsidR="00F42759">
          <w:rPr>
            <w:rStyle w:val="PageNumber"/>
            <w:rFonts w:ascii="Arial" w:hAnsi="Arial" w:cs="Arial"/>
            <w:noProof/>
          </w:rPr>
          <w:t>2</w:t>
        </w:r>
        <w:r w:rsidRPr="00B06F5D">
          <w:rPr>
            <w:rStyle w:val="PageNumber"/>
            <w:rFonts w:ascii="Arial" w:hAnsi="Arial" w:cs="Arial"/>
          </w:rPr>
          <w:fldChar w:fldCharType="end"/>
        </w:r>
      </w:p>
    </w:sdtContent>
  </w:sdt>
  <w:p w:rsidR="002D2B4A" w:rsidRDefault="002D2B4A" w:rsidP="00915709">
    <w:pPr>
      <w:pStyle w:val="Header"/>
      <w:ind w:right="360"/>
      <w:jc w:val="right"/>
    </w:pPr>
  </w:p>
  <w:p w:rsidR="002D2B4A" w:rsidRDefault="002D2B4A" w:rsidP="00915709">
    <w:pPr>
      <w:pStyle w:val="Header"/>
      <w:ind w:right="360"/>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B37"/>
    <w:multiLevelType w:val="hybridMultilevel"/>
    <w:tmpl w:val="9A042D1A"/>
    <w:lvl w:ilvl="0" w:tplc="1DA24D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638C4"/>
    <w:multiLevelType w:val="hybridMultilevel"/>
    <w:tmpl w:val="4A203EAA"/>
    <w:lvl w:ilvl="0" w:tplc="C19C1C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450DB3"/>
    <w:multiLevelType w:val="hybridMultilevel"/>
    <w:tmpl w:val="5224AB10"/>
    <w:lvl w:ilvl="0" w:tplc="31724B12">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8A7F0A"/>
    <w:multiLevelType w:val="hybridMultilevel"/>
    <w:tmpl w:val="A0A2EDD4"/>
    <w:lvl w:ilvl="0" w:tplc="9B521738">
      <w:start w:val="1"/>
      <w:numFmt w:val="lowerLetter"/>
      <w:lvlText w:val="(%1)"/>
      <w:lvlJc w:val="left"/>
      <w:pPr>
        <w:ind w:left="720" w:hanging="360"/>
      </w:pPr>
      <w:rPr>
        <w:rFonts w:ascii="Arial" w:eastAsiaTheme="minorHAnsi" w:hAnsi="Arial" w:cs="Arial"/>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9A6C7F"/>
    <w:multiLevelType w:val="hybridMultilevel"/>
    <w:tmpl w:val="A2028EC2"/>
    <w:lvl w:ilvl="0" w:tplc="80C206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B1100C"/>
    <w:multiLevelType w:val="hybridMultilevel"/>
    <w:tmpl w:val="5A4EC51A"/>
    <w:lvl w:ilvl="0" w:tplc="D8A27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4455BC"/>
    <w:multiLevelType w:val="hybridMultilevel"/>
    <w:tmpl w:val="DF348E6A"/>
    <w:lvl w:ilvl="0" w:tplc="0E02AC28">
      <w:start w:val="1"/>
      <w:numFmt w:val="decimal"/>
      <w:lvlText w:val="[%1]"/>
      <w:lvlJc w:val="left"/>
      <w:pPr>
        <w:ind w:left="928" w:hanging="360"/>
      </w:pPr>
      <w:rPr>
        <w:rFonts w:ascii="Arial" w:hAnsi="Arial"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0D59BD"/>
    <w:multiLevelType w:val="hybridMultilevel"/>
    <w:tmpl w:val="D10C439A"/>
    <w:lvl w:ilvl="0" w:tplc="55AC39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3F5D72"/>
    <w:multiLevelType w:val="hybridMultilevel"/>
    <w:tmpl w:val="D904F87E"/>
    <w:lvl w:ilvl="0" w:tplc="B3AE8B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9D08E9"/>
    <w:multiLevelType w:val="hybridMultilevel"/>
    <w:tmpl w:val="832E1D00"/>
    <w:lvl w:ilvl="0" w:tplc="74429A5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DE2A42"/>
    <w:multiLevelType w:val="hybridMultilevel"/>
    <w:tmpl w:val="8F14781E"/>
    <w:lvl w:ilvl="0" w:tplc="D3AA9A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E115C4"/>
    <w:multiLevelType w:val="hybridMultilevel"/>
    <w:tmpl w:val="83A6E39C"/>
    <w:lvl w:ilvl="0" w:tplc="C97C42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910D80"/>
    <w:multiLevelType w:val="hybridMultilevel"/>
    <w:tmpl w:val="06CCFD3E"/>
    <w:lvl w:ilvl="0" w:tplc="43B03AFA">
      <w:start w:val="1"/>
      <w:numFmt w:val="lowerLetter"/>
      <w:lvlText w:val="(%1)"/>
      <w:lvlJc w:val="left"/>
      <w:pPr>
        <w:ind w:left="1060" w:hanging="7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605852"/>
    <w:multiLevelType w:val="hybridMultilevel"/>
    <w:tmpl w:val="8FF2B046"/>
    <w:lvl w:ilvl="0" w:tplc="A63CC6EA">
      <w:start w:val="1"/>
      <w:numFmt w:val="decimal"/>
      <w:lvlText w:val="%1"/>
      <w:lvlJc w:val="left"/>
      <w:pPr>
        <w:ind w:left="1060" w:hanging="7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2F329A"/>
    <w:multiLevelType w:val="hybridMultilevel"/>
    <w:tmpl w:val="B99ABDB6"/>
    <w:lvl w:ilvl="0" w:tplc="AAC4C2B6">
      <w:start w:val="1"/>
      <w:numFmt w:val="decimal"/>
      <w:lvlText w:val="[%1]"/>
      <w:lvlJc w:val="left"/>
      <w:pPr>
        <w:ind w:left="720" w:hanging="360"/>
      </w:pPr>
      <w:rPr>
        <w:rFonts w:ascii="Arial" w:hAnsi="Arial" w:hint="default"/>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125FF3"/>
    <w:multiLevelType w:val="hybridMultilevel"/>
    <w:tmpl w:val="C90E98D4"/>
    <w:lvl w:ilvl="0" w:tplc="4DA656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435E03"/>
    <w:multiLevelType w:val="hybridMultilevel"/>
    <w:tmpl w:val="E6C82D0C"/>
    <w:lvl w:ilvl="0" w:tplc="B1ACB0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5A2F05"/>
    <w:multiLevelType w:val="hybridMultilevel"/>
    <w:tmpl w:val="F7A080EA"/>
    <w:lvl w:ilvl="0" w:tplc="9A58B9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9D3B6F"/>
    <w:multiLevelType w:val="hybridMultilevel"/>
    <w:tmpl w:val="B70CDEAA"/>
    <w:lvl w:ilvl="0" w:tplc="02CA5B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E7503B"/>
    <w:multiLevelType w:val="hybridMultilevel"/>
    <w:tmpl w:val="8B1636E4"/>
    <w:lvl w:ilvl="0" w:tplc="9D52D9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7503C3"/>
    <w:multiLevelType w:val="hybridMultilevel"/>
    <w:tmpl w:val="7E448172"/>
    <w:lvl w:ilvl="0" w:tplc="E182CDB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15:restartNumberingAfterBreak="0">
    <w:nsid w:val="3DC01E66"/>
    <w:multiLevelType w:val="hybridMultilevel"/>
    <w:tmpl w:val="8C38EB18"/>
    <w:lvl w:ilvl="0" w:tplc="7870C68C">
      <w:start w:val="1"/>
      <w:numFmt w:val="lowerLetter"/>
      <w:lvlText w:val="(%1)"/>
      <w:lvlJc w:val="left"/>
      <w:pPr>
        <w:ind w:left="1080" w:hanging="72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E77636"/>
    <w:multiLevelType w:val="hybridMultilevel"/>
    <w:tmpl w:val="C122B796"/>
    <w:lvl w:ilvl="0" w:tplc="0B2AB9EA">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5747C3"/>
    <w:multiLevelType w:val="hybridMultilevel"/>
    <w:tmpl w:val="09FEDAD8"/>
    <w:lvl w:ilvl="0" w:tplc="C778ED6C">
      <w:start w:val="1"/>
      <w:numFmt w:val="decimal"/>
      <w:lvlText w:val="[%1]"/>
      <w:lvlJc w:val="left"/>
      <w:pPr>
        <w:ind w:left="720" w:hanging="360"/>
      </w:pPr>
      <w:rPr>
        <w:rFonts w:ascii="Arial" w:hAnsi="Arial" w:cs="Arial" w:hint="default"/>
        <w:i w:val="0"/>
        <w:i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2A7C04"/>
    <w:multiLevelType w:val="multilevel"/>
    <w:tmpl w:val="0C905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FE151ED"/>
    <w:multiLevelType w:val="hybridMultilevel"/>
    <w:tmpl w:val="D7021AFA"/>
    <w:lvl w:ilvl="0" w:tplc="536016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2F283B"/>
    <w:multiLevelType w:val="hybridMultilevel"/>
    <w:tmpl w:val="85F8E60C"/>
    <w:lvl w:ilvl="0" w:tplc="72802A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506438"/>
    <w:multiLevelType w:val="hybridMultilevel"/>
    <w:tmpl w:val="A23442D4"/>
    <w:lvl w:ilvl="0" w:tplc="BC520F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C06E56"/>
    <w:multiLevelType w:val="hybridMultilevel"/>
    <w:tmpl w:val="1302A4A6"/>
    <w:lvl w:ilvl="0" w:tplc="E2B006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715C2B"/>
    <w:multiLevelType w:val="hybridMultilevel"/>
    <w:tmpl w:val="CC768522"/>
    <w:lvl w:ilvl="0" w:tplc="01B02BD4">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4D3E90"/>
    <w:multiLevelType w:val="hybridMultilevel"/>
    <w:tmpl w:val="F0E8B194"/>
    <w:lvl w:ilvl="0" w:tplc="05C473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DA1EC4"/>
    <w:multiLevelType w:val="hybridMultilevel"/>
    <w:tmpl w:val="EE90A15C"/>
    <w:lvl w:ilvl="0" w:tplc="F5266768">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561408"/>
    <w:multiLevelType w:val="hybridMultilevel"/>
    <w:tmpl w:val="B2C0EC66"/>
    <w:lvl w:ilvl="0" w:tplc="0D5CE7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8834ED"/>
    <w:multiLevelType w:val="hybridMultilevel"/>
    <w:tmpl w:val="DF9AB59C"/>
    <w:lvl w:ilvl="0" w:tplc="1CBE127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934EAF"/>
    <w:multiLevelType w:val="hybridMultilevel"/>
    <w:tmpl w:val="A9AA8298"/>
    <w:lvl w:ilvl="0" w:tplc="47AE2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0B3607"/>
    <w:multiLevelType w:val="hybridMultilevel"/>
    <w:tmpl w:val="AA32F174"/>
    <w:lvl w:ilvl="0" w:tplc="8408C570">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5F1ADF"/>
    <w:multiLevelType w:val="hybridMultilevel"/>
    <w:tmpl w:val="51384C3A"/>
    <w:lvl w:ilvl="0" w:tplc="168091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CC165F"/>
    <w:multiLevelType w:val="hybridMultilevel"/>
    <w:tmpl w:val="DC2073D6"/>
    <w:lvl w:ilvl="0" w:tplc="8E62AD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573B72"/>
    <w:multiLevelType w:val="hybridMultilevel"/>
    <w:tmpl w:val="34840C72"/>
    <w:lvl w:ilvl="0" w:tplc="CA22FD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96512F"/>
    <w:multiLevelType w:val="hybridMultilevel"/>
    <w:tmpl w:val="A4B08D18"/>
    <w:lvl w:ilvl="0" w:tplc="E9BEBF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DF2A78"/>
    <w:multiLevelType w:val="hybridMultilevel"/>
    <w:tmpl w:val="177C3430"/>
    <w:lvl w:ilvl="0" w:tplc="907C7078">
      <w:start w:val="1"/>
      <w:numFmt w:val="lowerLetter"/>
      <w:lvlText w:val="(%1)"/>
      <w:lvlJc w:val="left"/>
      <w:pPr>
        <w:ind w:left="1060" w:hanging="7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EE2B13"/>
    <w:multiLevelType w:val="hybridMultilevel"/>
    <w:tmpl w:val="7A523DB4"/>
    <w:lvl w:ilvl="0" w:tplc="418ABE6A">
      <w:start w:val="5"/>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4"/>
  </w:num>
  <w:num w:numId="4">
    <w:abstractNumId w:val="16"/>
  </w:num>
  <w:num w:numId="5">
    <w:abstractNumId w:val="32"/>
  </w:num>
  <w:num w:numId="6">
    <w:abstractNumId w:val="39"/>
  </w:num>
  <w:num w:numId="7">
    <w:abstractNumId w:val="0"/>
  </w:num>
  <w:num w:numId="8">
    <w:abstractNumId w:val="12"/>
  </w:num>
  <w:num w:numId="9">
    <w:abstractNumId w:val="21"/>
  </w:num>
  <w:num w:numId="10">
    <w:abstractNumId w:val="25"/>
  </w:num>
  <w:num w:numId="11">
    <w:abstractNumId w:val="7"/>
  </w:num>
  <w:num w:numId="12">
    <w:abstractNumId w:val="1"/>
  </w:num>
  <w:num w:numId="13">
    <w:abstractNumId w:val="37"/>
  </w:num>
  <w:num w:numId="14">
    <w:abstractNumId w:val="4"/>
  </w:num>
  <w:num w:numId="15">
    <w:abstractNumId w:val="17"/>
  </w:num>
  <w:num w:numId="16">
    <w:abstractNumId w:val="36"/>
  </w:num>
  <w:num w:numId="17">
    <w:abstractNumId w:val="30"/>
  </w:num>
  <w:num w:numId="18">
    <w:abstractNumId w:val="13"/>
  </w:num>
  <w:num w:numId="19">
    <w:abstractNumId w:val="9"/>
  </w:num>
  <w:num w:numId="20">
    <w:abstractNumId w:val="31"/>
  </w:num>
  <w:num w:numId="21">
    <w:abstractNumId w:val="8"/>
  </w:num>
  <w:num w:numId="22">
    <w:abstractNumId w:val="2"/>
  </w:num>
  <w:num w:numId="23">
    <w:abstractNumId w:val="40"/>
  </w:num>
  <w:num w:numId="24">
    <w:abstractNumId w:val="38"/>
  </w:num>
  <w:num w:numId="25">
    <w:abstractNumId w:val="23"/>
  </w:num>
  <w:num w:numId="26">
    <w:abstractNumId w:val="15"/>
  </w:num>
  <w:num w:numId="27">
    <w:abstractNumId w:val="3"/>
  </w:num>
  <w:num w:numId="28">
    <w:abstractNumId w:val="5"/>
  </w:num>
  <w:num w:numId="29">
    <w:abstractNumId w:val="41"/>
  </w:num>
  <w:num w:numId="30">
    <w:abstractNumId w:val="33"/>
  </w:num>
  <w:num w:numId="31">
    <w:abstractNumId w:val="10"/>
  </w:num>
  <w:num w:numId="32">
    <w:abstractNumId w:val="35"/>
  </w:num>
  <w:num w:numId="33">
    <w:abstractNumId w:val="18"/>
  </w:num>
  <w:num w:numId="34">
    <w:abstractNumId w:val="26"/>
  </w:num>
  <w:num w:numId="35">
    <w:abstractNumId w:val="19"/>
  </w:num>
  <w:num w:numId="36">
    <w:abstractNumId w:val="28"/>
  </w:num>
  <w:num w:numId="37">
    <w:abstractNumId w:val="34"/>
  </w:num>
  <w:num w:numId="38">
    <w:abstractNumId w:val="27"/>
  </w:num>
  <w:num w:numId="39">
    <w:abstractNumId w:val="20"/>
  </w:num>
  <w:num w:numId="40">
    <w:abstractNumId w:val="24"/>
  </w:num>
  <w:num w:numId="41">
    <w:abstractNumId w:val="29"/>
  </w:num>
  <w:num w:numId="42">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3F1"/>
    <w:rsid w:val="00000F8C"/>
    <w:rsid w:val="00001B63"/>
    <w:rsid w:val="00002362"/>
    <w:rsid w:val="00003229"/>
    <w:rsid w:val="00003381"/>
    <w:rsid w:val="000042DB"/>
    <w:rsid w:val="00006EB6"/>
    <w:rsid w:val="0000758D"/>
    <w:rsid w:val="000079CA"/>
    <w:rsid w:val="00010EC2"/>
    <w:rsid w:val="000116F9"/>
    <w:rsid w:val="0001262E"/>
    <w:rsid w:val="00012C11"/>
    <w:rsid w:val="00013BA6"/>
    <w:rsid w:val="00013DAD"/>
    <w:rsid w:val="00014BEC"/>
    <w:rsid w:val="00014F8F"/>
    <w:rsid w:val="0001542B"/>
    <w:rsid w:val="0001658B"/>
    <w:rsid w:val="000172B4"/>
    <w:rsid w:val="0001756C"/>
    <w:rsid w:val="00017588"/>
    <w:rsid w:val="000201D0"/>
    <w:rsid w:val="00020212"/>
    <w:rsid w:val="0002081C"/>
    <w:rsid w:val="000209D3"/>
    <w:rsid w:val="00022B3D"/>
    <w:rsid w:val="00023BF0"/>
    <w:rsid w:val="00024AFB"/>
    <w:rsid w:val="000250D3"/>
    <w:rsid w:val="0002541A"/>
    <w:rsid w:val="000317FC"/>
    <w:rsid w:val="000325B2"/>
    <w:rsid w:val="0003279F"/>
    <w:rsid w:val="00032FE7"/>
    <w:rsid w:val="0003317E"/>
    <w:rsid w:val="0003744D"/>
    <w:rsid w:val="0003752D"/>
    <w:rsid w:val="00040EFA"/>
    <w:rsid w:val="00042705"/>
    <w:rsid w:val="0004334F"/>
    <w:rsid w:val="00043A84"/>
    <w:rsid w:val="00044CD3"/>
    <w:rsid w:val="00044F0D"/>
    <w:rsid w:val="0004512E"/>
    <w:rsid w:val="00045628"/>
    <w:rsid w:val="00045745"/>
    <w:rsid w:val="00045E70"/>
    <w:rsid w:val="00046A4E"/>
    <w:rsid w:val="0005024D"/>
    <w:rsid w:val="00050870"/>
    <w:rsid w:val="000537B3"/>
    <w:rsid w:val="00055889"/>
    <w:rsid w:val="000572D7"/>
    <w:rsid w:val="00060D4C"/>
    <w:rsid w:val="00061B17"/>
    <w:rsid w:val="00062221"/>
    <w:rsid w:val="00062DC4"/>
    <w:rsid w:val="0006732D"/>
    <w:rsid w:val="00070FAB"/>
    <w:rsid w:val="0007136F"/>
    <w:rsid w:val="00072721"/>
    <w:rsid w:val="00073ADE"/>
    <w:rsid w:val="00075354"/>
    <w:rsid w:val="000764B5"/>
    <w:rsid w:val="000766DF"/>
    <w:rsid w:val="00077350"/>
    <w:rsid w:val="0008021E"/>
    <w:rsid w:val="0008056B"/>
    <w:rsid w:val="0008081A"/>
    <w:rsid w:val="00080A79"/>
    <w:rsid w:val="00080B45"/>
    <w:rsid w:val="000819F5"/>
    <w:rsid w:val="00081FF2"/>
    <w:rsid w:val="000842CE"/>
    <w:rsid w:val="00085C3D"/>
    <w:rsid w:val="0008681A"/>
    <w:rsid w:val="00087CAD"/>
    <w:rsid w:val="000901B5"/>
    <w:rsid w:val="000906E7"/>
    <w:rsid w:val="00090B8F"/>
    <w:rsid w:val="00090EDA"/>
    <w:rsid w:val="0009274F"/>
    <w:rsid w:val="00092BFF"/>
    <w:rsid w:val="000947DB"/>
    <w:rsid w:val="00095CC4"/>
    <w:rsid w:val="00095D61"/>
    <w:rsid w:val="00097DD8"/>
    <w:rsid w:val="00097E8B"/>
    <w:rsid w:val="000A1230"/>
    <w:rsid w:val="000A1C8A"/>
    <w:rsid w:val="000A23E6"/>
    <w:rsid w:val="000A28CE"/>
    <w:rsid w:val="000A2AC5"/>
    <w:rsid w:val="000A4ADA"/>
    <w:rsid w:val="000A6649"/>
    <w:rsid w:val="000B0548"/>
    <w:rsid w:val="000B0AA0"/>
    <w:rsid w:val="000B0B6A"/>
    <w:rsid w:val="000B170B"/>
    <w:rsid w:val="000B177B"/>
    <w:rsid w:val="000B1F95"/>
    <w:rsid w:val="000B26DD"/>
    <w:rsid w:val="000B6B1C"/>
    <w:rsid w:val="000B6F57"/>
    <w:rsid w:val="000B7B36"/>
    <w:rsid w:val="000C26AF"/>
    <w:rsid w:val="000C515C"/>
    <w:rsid w:val="000C5266"/>
    <w:rsid w:val="000C5894"/>
    <w:rsid w:val="000C6186"/>
    <w:rsid w:val="000C6E2F"/>
    <w:rsid w:val="000D06BE"/>
    <w:rsid w:val="000D3821"/>
    <w:rsid w:val="000D40AA"/>
    <w:rsid w:val="000E2515"/>
    <w:rsid w:val="000E4798"/>
    <w:rsid w:val="000E76DC"/>
    <w:rsid w:val="000F0071"/>
    <w:rsid w:val="000F1E7B"/>
    <w:rsid w:val="000F315E"/>
    <w:rsid w:val="000F40D3"/>
    <w:rsid w:val="000F441A"/>
    <w:rsid w:val="000F4779"/>
    <w:rsid w:val="000F60C7"/>
    <w:rsid w:val="000F7207"/>
    <w:rsid w:val="000F75B0"/>
    <w:rsid w:val="001001A0"/>
    <w:rsid w:val="001004C8"/>
    <w:rsid w:val="00101328"/>
    <w:rsid w:val="00101727"/>
    <w:rsid w:val="00102665"/>
    <w:rsid w:val="001032A3"/>
    <w:rsid w:val="00103F1A"/>
    <w:rsid w:val="00104FC0"/>
    <w:rsid w:val="0010579F"/>
    <w:rsid w:val="00105C7A"/>
    <w:rsid w:val="00106682"/>
    <w:rsid w:val="00110D9E"/>
    <w:rsid w:val="00111DA8"/>
    <w:rsid w:val="001120BE"/>
    <w:rsid w:val="0011470C"/>
    <w:rsid w:val="001175AC"/>
    <w:rsid w:val="0011795A"/>
    <w:rsid w:val="00117DC6"/>
    <w:rsid w:val="00120CAB"/>
    <w:rsid w:val="001212E9"/>
    <w:rsid w:val="001224EF"/>
    <w:rsid w:val="00126D13"/>
    <w:rsid w:val="0013068E"/>
    <w:rsid w:val="001311D6"/>
    <w:rsid w:val="001317F0"/>
    <w:rsid w:val="00131DDD"/>
    <w:rsid w:val="001337FA"/>
    <w:rsid w:val="0013524B"/>
    <w:rsid w:val="00140091"/>
    <w:rsid w:val="00140695"/>
    <w:rsid w:val="00140E98"/>
    <w:rsid w:val="0014480B"/>
    <w:rsid w:val="0014601C"/>
    <w:rsid w:val="001500B7"/>
    <w:rsid w:val="0015028F"/>
    <w:rsid w:val="00151684"/>
    <w:rsid w:val="001516EC"/>
    <w:rsid w:val="00151E9F"/>
    <w:rsid w:val="001524A4"/>
    <w:rsid w:val="00153B95"/>
    <w:rsid w:val="00154252"/>
    <w:rsid w:val="001564A0"/>
    <w:rsid w:val="0016542B"/>
    <w:rsid w:val="00165806"/>
    <w:rsid w:val="00166588"/>
    <w:rsid w:val="001669AE"/>
    <w:rsid w:val="00167410"/>
    <w:rsid w:val="00170F56"/>
    <w:rsid w:val="001711D5"/>
    <w:rsid w:val="00171785"/>
    <w:rsid w:val="00171913"/>
    <w:rsid w:val="00171F28"/>
    <w:rsid w:val="001737A8"/>
    <w:rsid w:val="00174025"/>
    <w:rsid w:val="00174103"/>
    <w:rsid w:val="00177747"/>
    <w:rsid w:val="00177D9A"/>
    <w:rsid w:val="0018040A"/>
    <w:rsid w:val="00181465"/>
    <w:rsid w:val="00181F69"/>
    <w:rsid w:val="00182115"/>
    <w:rsid w:val="00182ED3"/>
    <w:rsid w:val="001832D7"/>
    <w:rsid w:val="00184EDC"/>
    <w:rsid w:val="001850FE"/>
    <w:rsid w:val="00185328"/>
    <w:rsid w:val="00185903"/>
    <w:rsid w:val="00186DC7"/>
    <w:rsid w:val="00187341"/>
    <w:rsid w:val="001875AC"/>
    <w:rsid w:val="00191741"/>
    <w:rsid w:val="001971B2"/>
    <w:rsid w:val="001A034D"/>
    <w:rsid w:val="001A1BE9"/>
    <w:rsid w:val="001A242C"/>
    <w:rsid w:val="001A2C9E"/>
    <w:rsid w:val="001A320B"/>
    <w:rsid w:val="001A3F63"/>
    <w:rsid w:val="001A4026"/>
    <w:rsid w:val="001A4848"/>
    <w:rsid w:val="001A6723"/>
    <w:rsid w:val="001B2FDA"/>
    <w:rsid w:val="001B445D"/>
    <w:rsid w:val="001B6289"/>
    <w:rsid w:val="001B701F"/>
    <w:rsid w:val="001B72C3"/>
    <w:rsid w:val="001C02ED"/>
    <w:rsid w:val="001C1F2A"/>
    <w:rsid w:val="001C4FD3"/>
    <w:rsid w:val="001C5160"/>
    <w:rsid w:val="001C6CC2"/>
    <w:rsid w:val="001C73DE"/>
    <w:rsid w:val="001D0014"/>
    <w:rsid w:val="001D09F6"/>
    <w:rsid w:val="001D169D"/>
    <w:rsid w:val="001D17C1"/>
    <w:rsid w:val="001D186B"/>
    <w:rsid w:val="001D31AE"/>
    <w:rsid w:val="001E2DDD"/>
    <w:rsid w:val="001E307C"/>
    <w:rsid w:val="001E3D28"/>
    <w:rsid w:val="001E4E15"/>
    <w:rsid w:val="001E530F"/>
    <w:rsid w:val="001E5F7E"/>
    <w:rsid w:val="001E659A"/>
    <w:rsid w:val="001E7A27"/>
    <w:rsid w:val="001F1796"/>
    <w:rsid w:val="001F20B4"/>
    <w:rsid w:val="001F2B88"/>
    <w:rsid w:val="001F2BC7"/>
    <w:rsid w:val="001F31E4"/>
    <w:rsid w:val="001F529A"/>
    <w:rsid w:val="001F57B8"/>
    <w:rsid w:val="001F7190"/>
    <w:rsid w:val="001F762C"/>
    <w:rsid w:val="001F7C21"/>
    <w:rsid w:val="0020204A"/>
    <w:rsid w:val="00202C63"/>
    <w:rsid w:val="002038BE"/>
    <w:rsid w:val="00206230"/>
    <w:rsid w:val="00207634"/>
    <w:rsid w:val="00212DD5"/>
    <w:rsid w:val="00213C67"/>
    <w:rsid w:val="0021536E"/>
    <w:rsid w:val="00215C69"/>
    <w:rsid w:val="00216DF0"/>
    <w:rsid w:val="00217192"/>
    <w:rsid w:val="00221277"/>
    <w:rsid w:val="00223B93"/>
    <w:rsid w:val="0022401D"/>
    <w:rsid w:val="0022474F"/>
    <w:rsid w:val="002254E8"/>
    <w:rsid w:val="002257F6"/>
    <w:rsid w:val="002258B5"/>
    <w:rsid w:val="002265EB"/>
    <w:rsid w:val="00231847"/>
    <w:rsid w:val="00232856"/>
    <w:rsid w:val="0023305F"/>
    <w:rsid w:val="00233D7A"/>
    <w:rsid w:val="00234BED"/>
    <w:rsid w:val="00235796"/>
    <w:rsid w:val="00235895"/>
    <w:rsid w:val="00236735"/>
    <w:rsid w:val="00236CCB"/>
    <w:rsid w:val="002376B8"/>
    <w:rsid w:val="0024058D"/>
    <w:rsid w:val="002433E1"/>
    <w:rsid w:val="002434E4"/>
    <w:rsid w:val="00244985"/>
    <w:rsid w:val="002456DC"/>
    <w:rsid w:val="00247538"/>
    <w:rsid w:val="002500FF"/>
    <w:rsid w:val="002504B0"/>
    <w:rsid w:val="00250F9A"/>
    <w:rsid w:val="00252653"/>
    <w:rsid w:val="0025327C"/>
    <w:rsid w:val="0025470E"/>
    <w:rsid w:val="00256671"/>
    <w:rsid w:val="002610E2"/>
    <w:rsid w:val="00261214"/>
    <w:rsid w:val="00261A93"/>
    <w:rsid w:val="00262B6B"/>
    <w:rsid w:val="002639EB"/>
    <w:rsid w:val="00266936"/>
    <w:rsid w:val="00270478"/>
    <w:rsid w:val="00270727"/>
    <w:rsid w:val="00270786"/>
    <w:rsid w:val="00270B18"/>
    <w:rsid w:val="00271A05"/>
    <w:rsid w:val="00271A22"/>
    <w:rsid w:val="00272319"/>
    <w:rsid w:val="0027255F"/>
    <w:rsid w:val="002731B2"/>
    <w:rsid w:val="002768DC"/>
    <w:rsid w:val="002832B7"/>
    <w:rsid w:val="0028358E"/>
    <w:rsid w:val="002840A7"/>
    <w:rsid w:val="00284703"/>
    <w:rsid w:val="002867DC"/>
    <w:rsid w:val="00286976"/>
    <w:rsid w:val="00287329"/>
    <w:rsid w:val="0028763D"/>
    <w:rsid w:val="00292DCF"/>
    <w:rsid w:val="00295738"/>
    <w:rsid w:val="00295C9A"/>
    <w:rsid w:val="00297D25"/>
    <w:rsid w:val="002A2395"/>
    <w:rsid w:val="002A3497"/>
    <w:rsid w:val="002A3B21"/>
    <w:rsid w:val="002A47A6"/>
    <w:rsid w:val="002A4A48"/>
    <w:rsid w:val="002A56BD"/>
    <w:rsid w:val="002A705A"/>
    <w:rsid w:val="002A71C9"/>
    <w:rsid w:val="002A75A8"/>
    <w:rsid w:val="002A75F1"/>
    <w:rsid w:val="002A7ACF"/>
    <w:rsid w:val="002B0153"/>
    <w:rsid w:val="002B0645"/>
    <w:rsid w:val="002B0C03"/>
    <w:rsid w:val="002B2B76"/>
    <w:rsid w:val="002B2DC6"/>
    <w:rsid w:val="002B4B1E"/>
    <w:rsid w:val="002B7D5B"/>
    <w:rsid w:val="002C1CFA"/>
    <w:rsid w:val="002C32C2"/>
    <w:rsid w:val="002C3B67"/>
    <w:rsid w:val="002C4DD0"/>
    <w:rsid w:val="002C5543"/>
    <w:rsid w:val="002C65E7"/>
    <w:rsid w:val="002D06B5"/>
    <w:rsid w:val="002D1380"/>
    <w:rsid w:val="002D262B"/>
    <w:rsid w:val="002D2B4A"/>
    <w:rsid w:val="002D2E02"/>
    <w:rsid w:val="002D33B7"/>
    <w:rsid w:val="002D5982"/>
    <w:rsid w:val="002D6318"/>
    <w:rsid w:val="002D7234"/>
    <w:rsid w:val="002E2186"/>
    <w:rsid w:val="002E43E2"/>
    <w:rsid w:val="002E48BF"/>
    <w:rsid w:val="002E5F0D"/>
    <w:rsid w:val="002E6892"/>
    <w:rsid w:val="002E6C4D"/>
    <w:rsid w:val="002F0054"/>
    <w:rsid w:val="002F0CDE"/>
    <w:rsid w:val="002F1EF9"/>
    <w:rsid w:val="002F2330"/>
    <w:rsid w:val="002F328B"/>
    <w:rsid w:val="002F3B71"/>
    <w:rsid w:val="002F4009"/>
    <w:rsid w:val="002F72EE"/>
    <w:rsid w:val="002F7625"/>
    <w:rsid w:val="002F7837"/>
    <w:rsid w:val="00302FE3"/>
    <w:rsid w:val="003069C0"/>
    <w:rsid w:val="00306D70"/>
    <w:rsid w:val="0030705C"/>
    <w:rsid w:val="0030780D"/>
    <w:rsid w:val="0031022A"/>
    <w:rsid w:val="003108E8"/>
    <w:rsid w:val="00312B14"/>
    <w:rsid w:val="003140A1"/>
    <w:rsid w:val="00314613"/>
    <w:rsid w:val="003149BD"/>
    <w:rsid w:val="00315875"/>
    <w:rsid w:val="00315D8F"/>
    <w:rsid w:val="00316A3E"/>
    <w:rsid w:val="0031723A"/>
    <w:rsid w:val="0031738C"/>
    <w:rsid w:val="00321766"/>
    <w:rsid w:val="00322AD2"/>
    <w:rsid w:val="003239AA"/>
    <w:rsid w:val="00324D65"/>
    <w:rsid w:val="00325F96"/>
    <w:rsid w:val="00327A14"/>
    <w:rsid w:val="00330E39"/>
    <w:rsid w:val="003319E7"/>
    <w:rsid w:val="00331F7D"/>
    <w:rsid w:val="00332C68"/>
    <w:rsid w:val="00332E13"/>
    <w:rsid w:val="003330B6"/>
    <w:rsid w:val="0033482D"/>
    <w:rsid w:val="00334B1D"/>
    <w:rsid w:val="00334E8D"/>
    <w:rsid w:val="0033586D"/>
    <w:rsid w:val="00340066"/>
    <w:rsid w:val="00340077"/>
    <w:rsid w:val="00340920"/>
    <w:rsid w:val="00341DEF"/>
    <w:rsid w:val="00342B48"/>
    <w:rsid w:val="003430AA"/>
    <w:rsid w:val="0034516E"/>
    <w:rsid w:val="00345E20"/>
    <w:rsid w:val="003470C9"/>
    <w:rsid w:val="00350274"/>
    <w:rsid w:val="003503EE"/>
    <w:rsid w:val="00351F77"/>
    <w:rsid w:val="003528E8"/>
    <w:rsid w:val="00353436"/>
    <w:rsid w:val="003537FB"/>
    <w:rsid w:val="003565B0"/>
    <w:rsid w:val="00356C31"/>
    <w:rsid w:val="0036318D"/>
    <w:rsid w:val="00363DBB"/>
    <w:rsid w:val="003648FC"/>
    <w:rsid w:val="003653B1"/>
    <w:rsid w:val="00365795"/>
    <w:rsid w:val="0036588F"/>
    <w:rsid w:val="0036631E"/>
    <w:rsid w:val="00370D0A"/>
    <w:rsid w:val="003724C2"/>
    <w:rsid w:val="003725AA"/>
    <w:rsid w:val="00372EE4"/>
    <w:rsid w:val="00374072"/>
    <w:rsid w:val="0037596D"/>
    <w:rsid w:val="00377B17"/>
    <w:rsid w:val="00377FEA"/>
    <w:rsid w:val="0038014A"/>
    <w:rsid w:val="00381200"/>
    <w:rsid w:val="0038366A"/>
    <w:rsid w:val="0038370F"/>
    <w:rsid w:val="00384346"/>
    <w:rsid w:val="00384DAD"/>
    <w:rsid w:val="00385183"/>
    <w:rsid w:val="003853E4"/>
    <w:rsid w:val="00385832"/>
    <w:rsid w:val="00392B11"/>
    <w:rsid w:val="00394630"/>
    <w:rsid w:val="00394D87"/>
    <w:rsid w:val="00395B41"/>
    <w:rsid w:val="00396001"/>
    <w:rsid w:val="0039649A"/>
    <w:rsid w:val="00397A8C"/>
    <w:rsid w:val="003A3057"/>
    <w:rsid w:val="003A30D8"/>
    <w:rsid w:val="003A5536"/>
    <w:rsid w:val="003B03E5"/>
    <w:rsid w:val="003B0666"/>
    <w:rsid w:val="003B0719"/>
    <w:rsid w:val="003B0F1C"/>
    <w:rsid w:val="003B1156"/>
    <w:rsid w:val="003B153C"/>
    <w:rsid w:val="003B1BF6"/>
    <w:rsid w:val="003B3544"/>
    <w:rsid w:val="003B4F4A"/>
    <w:rsid w:val="003B4FDB"/>
    <w:rsid w:val="003B5146"/>
    <w:rsid w:val="003B5833"/>
    <w:rsid w:val="003B5B96"/>
    <w:rsid w:val="003B655A"/>
    <w:rsid w:val="003B66BE"/>
    <w:rsid w:val="003B6719"/>
    <w:rsid w:val="003C0E1A"/>
    <w:rsid w:val="003C1362"/>
    <w:rsid w:val="003C185D"/>
    <w:rsid w:val="003C2288"/>
    <w:rsid w:val="003C2857"/>
    <w:rsid w:val="003C3B9C"/>
    <w:rsid w:val="003C40E6"/>
    <w:rsid w:val="003C5071"/>
    <w:rsid w:val="003C57EB"/>
    <w:rsid w:val="003D002A"/>
    <w:rsid w:val="003D04F9"/>
    <w:rsid w:val="003D0D79"/>
    <w:rsid w:val="003D402C"/>
    <w:rsid w:val="003D421A"/>
    <w:rsid w:val="003D4EC4"/>
    <w:rsid w:val="003D6A76"/>
    <w:rsid w:val="003E0217"/>
    <w:rsid w:val="003E0E01"/>
    <w:rsid w:val="003E1CFE"/>
    <w:rsid w:val="003E2049"/>
    <w:rsid w:val="003E399C"/>
    <w:rsid w:val="003E529C"/>
    <w:rsid w:val="003E70A4"/>
    <w:rsid w:val="003F0A8C"/>
    <w:rsid w:val="003F2154"/>
    <w:rsid w:val="003F2F5E"/>
    <w:rsid w:val="003F3C27"/>
    <w:rsid w:val="003F605A"/>
    <w:rsid w:val="003F6162"/>
    <w:rsid w:val="003F6DFB"/>
    <w:rsid w:val="003F7537"/>
    <w:rsid w:val="003F7F2A"/>
    <w:rsid w:val="0040111C"/>
    <w:rsid w:val="004040E6"/>
    <w:rsid w:val="00404817"/>
    <w:rsid w:val="00404B78"/>
    <w:rsid w:val="004062BD"/>
    <w:rsid w:val="004070DB"/>
    <w:rsid w:val="00407445"/>
    <w:rsid w:val="00410E38"/>
    <w:rsid w:val="0041145B"/>
    <w:rsid w:val="004131A2"/>
    <w:rsid w:val="00414845"/>
    <w:rsid w:val="00414A30"/>
    <w:rsid w:val="00414BB6"/>
    <w:rsid w:val="0041522A"/>
    <w:rsid w:val="004163C1"/>
    <w:rsid w:val="004210AF"/>
    <w:rsid w:val="004216EE"/>
    <w:rsid w:val="00421C62"/>
    <w:rsid w:val="00421D91"/>
    <w:rsid w:val="00422AF9"/>
    <w:rsid w:val="004230FE"/>
    <w:rsid w:val="0042413F"/>
    <w:rsid w:val="00426359"/>
    <w:rsid w:val="004271E8"/>
    <w:rsid w:val="004277A3"/>
    <w:rsid w:val="0043006D"/>
    <w:rsid w:val="004314FD"/>
    <w:rsid w:val="004323E1"/>
    <w:rsid w:val="0043248E"/>
    <w:rsid w:val="00433D5E"/>
    <w:rsid w:val="00433E5F"/>
    <w:rsid w:val="00434589"/>
    <w:rsid w:val="00437B24"/>
    <w:rsid w:val="00440990"/>
    <w:rsid w:val="0044283D"/>
    <w:rsid w:val="00442EB6"/>
    <w:rsid w:val="0044338F"/>
    <w:rsid w:val="004438C1"/>
    <w:rsid w:val="004464FA"/>
    <w:rsid w:val="00446C56"/>
    <w:rsid w:val="00447ED2"/>
    <w:rsid w:val="004504E5"/>
    <w:rsid w:val="004510E6"/>
    <w:rsid w:val="00452223"/>
    <w:rsid w:val="00454A05"/>
    <w:rsid w:val="00455112"/>
    <w:rsid w:val="004552C5"/>
    <w:rsid w:val="0045534C"/>
    <w:rsid w:val="0045582D"/>
    <w:rsid w:val="00456D16"/>
    <w:rsid w:val="00460CBC"/>
    <w:rsid w:val="00460CD7"/>
    <w:rsid w:val="00463CF2"/>
    <w:rsid w:val="0046427E"/>
    <w:rsid w:val="00465CE0"/>
    <w:rsid w:val="00466129"/>
    <w:rsid w:val="0047100B"/>
    <w:rsid w:val="004734F3"/>
    <w:rsid w:val="0047414E"/>
    <w:rsid w:val="00474DCA"/>
    <w:rsid w:val="00475244"/>
    <w:rsid w:val="00476220"/>
    <w:rsid w:val="004803A1"/>
    <w:rsid w:val="00482BCF"/>
    <w:rsid w:val="004839D0"/>
    <w:rsid w:val="00484352"/>
    <w:rsid w:val="004844A0"/>
    <w:rsid w:val="00491495"/>
    <w:rsid w:val="004922B6"/>
    <w:rsid w:val="0049382A"/>
    <w:rsid w:val="00493DEE"/>
    <w:rsid w:val="00494148"/>
    <w:rsid w:val="00494C18"/>
    <w:rsid w:val="00494E86"/>
    <w:rsid w:val="00496302"/>
    <w:rsid w:val="004963BA"/>
    <w:rsid w:val="00497782"/>
    <w:rsid w:val="004978E6"/>
    <w:rsid w:val="004A0282"/>
    <w:rsid w:val="004A16F5"/>
    <w:rsid w:val="004A23D0"/>
    <w:rsid w:val="004A27AF"/>
    <w:rsid w:val="004A4EE0"/>
    <w:rsid w:val="004A4F26"/>
    <w:rsid w:val="004A6780"/>
    <w:rsid w:val="004A7280"/>
    <w:rsid w:val="004B029F"/>
    <w:rsid w:val="004B16A0"/>
    <w:rsid w:val="004B2E73"/>
    <w:rsid w:val="004B353B"/>
    <w:rsid w:val="004B3DE9"/>
    <w:rsid w:val="004B42A2"/>
    <w:rsid w:val="004B44AF"/>
    <w:rsid w:val="004B537B"/>
    <w:rsid w:val="004B5E9C"/>
    <w:rsid w:val="004B6073"/>
    <w:rsid w:val="004B6E2A"/>
    <w:rsid w:val="004C013D"/>
    <w:rsid w:val="004C0A22"/>
    <w:rsid w:val="004C22A9"/>
    <w:rsid w:val="004C5284"/>
    <w:rsid w:val="004C6089"/>
    <w:rsid w:val="004C6375"/>
    <w:rsid w:val="004C6E8E"/>
    <w:rsid w:val="004D00B7"/>
    <w:rsid w:val="004D11B3"/>
    <w:rsid w:val="004D268A"/>
    <w:rsid w:val="004D5052"/>
    <w:rsid w:val="004D57BB"/>
    <w:rsid w:val="004D5898"/>
    <w:rsid w:val="004D5B6F"/>
    <w:rsid w:val="004D74FF"/>
    <w:rsid w:val="004E09BC"/>
    <w:rsid w:val="004E118B"/>
    <w:rsid w:val="004E2651"/>
    <w:rsid w:val="004E3A53"/>
    <w:rsid w:val="004E52BD"/>
    <w:rsid w:val="004E5F19"/>
    <w:rsid w:val="004E676D"/>
    <w:rsid w:val="004E70BD"/>
    <w:rsid w:val="004F0E8F"/>
    <w:rsid w:val="004F2809"/>
    <w:rsid w:val="004F28C4"/>
    <w:rsid w:val="004F3AC1"/>
    <w:rsid w:val="004F56C8"/>
    <w:rsid w:val="004F6D67"/>
    <w:rsid w:val="004F701B"/>
    <w:rsid w:val="004F70D5"/>
    <w:rsid w:val="004F738F"/>
    <w:rsid w:val="0050034E"/>
    <w:rsid w:val="00505017"/>
    <w:rsid w:val="005057E3"/>
    <w:rsid w:val="005068AD"/>
    <w:rsid w:val="00507A12"/>
    <w:rsid w:val="00507DDB"/>
    <w:rsid w:val="005105CF"/>
    <w:rsid w:val="005107DA"/>
    <w:rsid w:val="005120D1"/>
    <w:rsid w:val="00512D89"/>
    <w:rsid w:val="005130B5"/>
    <w:rsid w:val="00513CA4"/>
    <w:rsid w:val="00514DB6"/>
    <w:rsid w:val="00514FFB"/>
    <w:rsid w:val="005151D1"/>
    <w:rsid w:val="0051585B"/>
    <w:rsid w:val="0051713E"/>
    <w:rsid w:val="00520B9A"/>
    <w:rsid w:val="005214B9"/>
    <w:rsid w:val="00522784"/>
    <w:rsid w:val="0052303A"/>
    <w:rsid w:val="00523127"/>
    <w:rsid w:val="0052416D"/>
    <w:rsid w:val="00524EC1"/>
    <w:rsid w:val="0053007E"/>
    <w:rsid w:val="00531788"/>
    <w:rsid w:val="00531C67"/>
    <w:rsid w:val="00533039"/>
    <w:rsid w:val="00536936"/>
    <w:rsid w:val="005378D4"/>
    <w:rsid w:val="0054089E"/>
    <w:rsid w:val="00540CDA"/>
    <w:rsid w:val="00541DAF"/>
    <w:rsid w:val="00542549"/>
    <w:rsid w:val="00542734"/>
    <w:rsid w:val="00543271"/>
    <w:rsid w:val="00545DCF"/>
    <w:rsid w:val="00546498"/>
    <w:rsid w:val="00551544"/>
    <w:rsid w:val="0055401C"/>
    <w:rsid w:val="005544AA"/>
    <w:rsid w:val="00556829"/>
    <w:rsid w:val="00556D98"/>
    <w:rsid w:val="005602E2"/>
    <w:rsid w:val="00560702"/>
    <w:rsid w:val="00561D39"/>
    <w:rsid w:val="005626EC"/>
    <w:rsid w:val="00563DA6"/>
    <w:rsid w:val="00564127"/>
    <w:rsid w:val="00565BB4"/>
    <w:rsid w:val="005671F9"/>
    <w:rsid w:val="005671FF"/>
    <w:rsid w:val="0057039F"/>
    <w:rsid w:val="00570F43"/>
    <w:rsid w:val="005729A4"/>
    <w:rsid w:val="00576430"/>
    <w:rsid w:val="00576E66"/>
    <w:rsid w:val="005807A8"/>
    <w:rsid w:val="0058164C"/>
    <w:rsid w:val="0058218D"/>
    <w:rsid w:val="00582565"/>
    <w:rsid w:val="005831DC"/>
    <w:rsid w:val="00583567"/>
    <w:rsid w:val="00584FC6"/>
    <w:rsid w:val="00587B3A"/>
    <w:rsid w:val="00591D2A"/>
    <w:rsid w:val="00594B8D"/>
    <w:rsid w:val="00595035"/>
    <w:rsid w:val="0059509F"/>
    <w:rsid w:val="00595A24"/>
    <w:rsid w:val="00595DDA"/>
    <w:rsid w:val="0059637D"/>
    <w:rsid w:val="005967F8"/>
    <w:rsid w:val="00597A1F"/>
    <w:rsid w:val="005A1BB4"/>
    <w:rsid w:val="005A23B9"/>
    <w:rsid w:val="005A26DB"/>
    <w:rsid w:val="005A2AF5"/>
    <w:rsid w:val="005A2E8C"/>
    <w:rsid w:val="005A5B0C"/>
    <w:rsid w:val="005A5CE9"/>
    <w:rsid w:val="005B0118"/>
    <w:rsid w:val="005B012F"/>
    <w:rsid w:val="005B02C9"/>
    <w:rsid w:val="005B0FC1"/>
    <w:rsid w:val="005B1536"/>
    <w:rsid w:val="005B2BAA"/>
    <w:rsid w:val="005B446C"/>
    <w:rsid w:val="005B5B28"/>
    <w:rsid w:val="005B5E9F"/>
    <w:rsid w:val="005B77FD"/>
    <w:rsid w:val="005C335D"/>
    <w:rsid w:val="005C3A5D"/>
    <w:rsid w:val="005C41CA"/>
    <w:rsid w:val="005C4AC4"/>
    <w:rsid w:val="005C5C44"/>
    <w:rsid w:val="005D043C"/>
    <w:rsid w:val="005D0878"/>
    <w:rsid w:val="005D0DDD"/>
    <w:rsid w:val="005D1E2D"/>
    <w:rsid w:val="005D2952"/>
    <w:rsid w:val="005D3152"/>
    <w:rsid w:val="005D5D98"/>
    <w:rsid w:val="005D6747"/>
    <w:rsid w:val="005D7CAF"/>
    <w:rsid w:val="005E09A3"/>
    <w:rsid w:val="005E0A27"/>
    <w:rsid w:val="005E0D50"/>
    <w:rsid w:val="005E207C"/>
    <w:rsid w:val="005E2355"/>
    <w:rsid w:val="005E28D9"/>
    <w:rsid w:val="005E33DD"/>
    <w:rsid w:val="005E3A27"/>
    <w:rsid w:val="005E7D30"/>
    <w:rsid w:val="005E7EA3"/>
    <w:rsid w:val="005E7FED"/>
    <w:rsid w:val="005F175E"/>
    <w:rsid w:val="005F42A2"/>
    <w:rsid w:val="005F5AE4"/>
    <w:rsid w:val="005F754B"/>
    <w:rsid w:val="006001F2"/>
    <w:rsid w:val="0060048A"/>
    <w:rsid w:val="00601740"/>
    <w:rsid w:val="00601FBA"/>
    <w:rsid w:val="006021BD"/>
    <w:rsid w:val="006028A2"/>
    <w:rsid w:val="00602C99"/>
    <w:rsid w:val="00603FEE"/>
    <w:rsid w:val="0060500C"/>
    <w:rsid w:val="00610544"/>
    <w:rsid w:val="00610626"/>
    <w:rsid w:val="00610CD2"/>
    <w:rsid w:val="00611812"/>
    <w:rsid w:val="006118D8"/>
    <w:rsid w:val="00611B31"/>
    <w:rsid w:val="00612B4A"/>
    <w:rsid w:val="00612FB5"/>
    <w:rsid w:val="0061393A"/>
    <w:rsid w:val="0061492C"/>
    <w:rsid w:val="0061614B"/>
    <w:rsid w:val="00616537"/>
    <w:rsid w:val="0061689E"/>
    <w:rsid w:val="00617094"/>
    <w:rsid w:val="00617C28"/>
    <w:rsid w:val="00620D1E"/>
    <w:rsid w:val="00621711"/>
    <w:rsid w:val="00624BC0"/>
    <w:rsid w:val="00625193"/>
    <w:rsid w:val="00625297"/>
    <w:rsid w:val="006266D9"/>
    <w:rsid w:val="00626C5A"/>
    <w:rsid w:val="00626F6E"/>
    <w:rsid w:val="0063022D"/>
    <w:rsid w:val="006325A2"/>
    <w:rsid w:val="00633DD5"/>
    <w:rsid w:val="00634855"/>
    <w:rsid w:val="0063560B"/>
    <w:rsid w:val="00635BA5"/>
    <w:rsid w:val="0063694F"/>
    <w:rsid w:val="00637039"/>
    <w:rsid w:val="00641FD5"/>
    <w:rsid w:val="00642B3F"/>
    <w:rsid w:val="00643841"/>
    <w:rsid w:val="006440EA"/>
    <w:rsid w:val="00645F1C"/>
    <w:rsid w:val="00647697"/>
    <w:rsid w:val="006504CF"/>
    <w:rsid w:val="00651D67"/>
    <w:rsid w:val="00652955"/>
    <w:rsid w:val="00653361"/>
    <w:rsid w:val="006533B5"/>
    <w:rsid w:val="0065469D"/>
    <w:rsid w:val="0065493D"/>
    <w:rsid w:val="00654F9D"/>
    <w:rsid w:val="006550F5"/>
    <w:rsid w:val="00655D4B"/>
    <w:rsid w:val="00656040"/>
    <w:rsid w:val="0065647D"/>
    <w:rsid w:val="0066067C"/>
    <w:rsid w:val="00662306"/>
    <w:rsid w:val="00662983"/>
    <w:rsid w:val="00664C41"/>
    <w:rsid w:val="00665257"/>
    <w:rsid w:val="00667CC6"/>
    <w:rsid w:val="006704A6"/>
    <w:rsid w:val="00671AB9"/>
    <w:rsid w:val="00672501"/>
    <w:rsid w:val="00674AE4"/>
    <w:rsid w:val="00676DE6"/>
    <w:rsid w:val="006811AA"/>
    <w:rsid w:val="0068135F"/>
    <w:rsid w:val="00682247"/>
    <w:rsid w:val="00683880"/>
    <w:rsid w:val="00683A2A"/>
    <w:rsid w:val="00683A93"/>
    <w:rsid w:val="00684612"/>
    <w:rsid w:val="006858AF"/>
    <w:rsid w:val="006858F9"/>
    <w:rsid w:val="00685CD5"/>
    <w:rsid w:val="00690431"/>
    <w:rsid w:val="0069162A"/>
    <w:rsid w:val="00691F7F"/>
    <w:rsid w:val="0069314E"/>
    <w:rsid w:val="00693A12"/>
    <w:rsid w:val="006940B5"/>
    <w:rsid w:val="0069427D"/>
    <w:rsid w:val="006952B0"/>
    <w:rsid w:val="00695ACF"/>
    <w:rsid w:val="0069656E"/>
    <w:rsid w:val="0069672B"/>
    <w:rsid w:val="006970B8"/>
    <w:rsid w:val="006A0711"/>
    <w:rsid w:val="006A092A"/>
    <w:rsid w:val="006A0955"/>
    <w:rsid w:val="006A2659"/>
    <w:rsid w:val="006A32A6"/>
    <w:rsid w:val="006A3606"/>
    <w:rsid w:val="006A3F69"/>
    <w:rsid w:val="006A499F"/>
    <w:rsid w:val="006A4F32"/>
    <w:rsid w:val="006A5DB5"/>
    <w:rsid w:val="006A674F"/>
    <w:rsid w:val="006B0908"/>
    <w:rsid w:val="006B142C"/>
    <w:rsid w:val="006B1B36"/>
    <w:rsid w:val="006B4355"/>
    <w:rsid w:val="006B4FE7"/>
    <w:rsid w:val="006B53C4"/>
    <w:rsid w:val="006B6894"/>
    <w:rsid w:val="006B7E85"/>
    <w:rsid w:val="006C0AB0"/>
    <w:rsid w:val="006C4966"/>
    <w:rsid w:val="006C4C2B"/>
    <w:rsid w:val="006C6DA5"/>
    <w:rsid w:val="006D0BA2"/>
    <w:rsid w:val="006D0FAE"/>
    <w:rsid w:val="006D244A"/>
    <w:rsid w:val="006D2ED7"/>
    <w:rsid w:val="006D3110"/>
    <w:rsid w:val="006D34EB"/>
    <w:rsid w:val="006D4317"/>
    <w:rsid w:val="006D4E23"/>
    <w:rsid w:val="006D65E4"/>
    <w:rsid w:val="006D7895"/>
    <w:rsid w:val="006D7DF4"/>
    <w:rsid w:val="006E0E4F"/>
    <w:rsid w:val="006E0F99"/>
    <w:rsid w:val="006E27DD"/>
    <w:rsid w:val="006E3624"/>
    <w:rsid w:val="006E38DE"/>
    <w:rsid w:val="006E4720"/>
    <w:rsid w:val="006E6911"/>
    <w:rsid w:val="006E7FAB"/>
    <w:rsid w:val="006F0406"/>
    <w:rsid w:val="006F26B0"/>
    <w:rsid w:val="006F2D2E"/>
    <w:rsid w:val="006F4B39"/>
    <w:rsid w:val="006F4C1C"/>
    <w:rsid w:val="006F5A50"/>
    <w:rsid w:val="006F6F2D"/>
    <w:rsid w:val="00700423"/>
    <w:rsid w:val="00701772"/>
    <w:rsid w:val="007026AF"/>
    <w:rsid w:val="0070310F"/>
    <w:rsid w:val="00704FCC"/>
    <w:rsid w:val="00705AAC"/>
    <w:rsid w:val="00706980"/>
    <w:rsid w:val="00707DE4"/>
    <w:rsid w:val="00711103"/>
    <w:rsid w:val="007140BB"/>
    <w:rsid w:val="0071412B"/>
    <w:rsid w:val="00715011"/>
    <w:rsid w:val="00723105"/>
    <w:rsid w:val="00725685"/>
    <w:rsid w:val="0072583F"/>
    <w:rsid w:val="007268E2"/>
    <w:rsid w:val="0073215F"/>
    <w:rsid w:val="00733053"/>
    <w:rsid w:val="00733521"/>
    <w:rsid w:val="0073398D"/>
    <w:rsid w:val="00734281"/>
    <w:rsid w:val="007433BF"/>
    <w:rsid w:val="0074349F"/>
    <w:rsid w:val="007460F6"/>
    <w:rsid w:val="0074615D"/>
    <w:rsid w:val="007461AA"/>
    <w:rsid w:val="0074708E"/>
    <w:rsid w:val="00747DC6"/>
    <w:rsid w:val="00750029"/>
    <w:rsid w:val="0075059D"/>
    <w:rsid w:val="0075280A"/>
    <w:rsid w:val="007530B7"/>
    <w:rsid w:val="007558AA"/>
    <w:rsid w:val="00755FA9"/>
    <w:rsid w:val="00756365"/>
    <w:rsid w:val="007572FE"/>
    <w:rsid w:val="0075771D"/>
    <w:rsid w:val="00761DB9"/>
    <w:rsid w:val="007631AA"/>
    <w:rsid w:val="00763311"/>
    <w:rsid w:val="007639D9"/>
    <w:rsid w:val="00764135"/>
    <w:rsid w:val="00764BA0"/>
    <w:rsid w:val="00764BDF"/>
    <w:rsid w:val="00765A01"/>
    <w:rsid w:val="0076693A"/>
    <w:rsid w:val="00772542"/>
    <w:rsid w:val="0077422F"/>
    <w:rsid w:val="0077540A"/>
    <w:rsid w:val="007755EC"/>
    <w:rsid w:val="0077589C"/>
    <w:rsid w:val="00777EE3"/>
    <w:rsid w:val="00777F05"/>
    <w:rsid w:val="007830AE"/>
    <w:rsid w:val="007842D3"/>
    <w:rsid w:val="0078455C"/>
    <w:rsid w:val="0078508D"/>
    <w:rsid w:val="00785A5A"/>
    <w:rsid w:val="007868E3"/>
    <w:rsid w:val="007869DD"/>
    <w:rsid w:val="007900B8"/>
    <w:rsid w:val="00790912"/>
    <w:rsid w:val="00790A4A"/>
    <w:rsid w:val="00792373"/>
    <w:rsid w:val="0079245C"/>
    <w:rsid w:val="0079400F"/>
    <w:rsid w:val="00795456"/>
    <w:rsid w:val="00795933"/>
    <w:rsid w:val="00797FA9"/>
    <w:rsid w:val="007A0676"/>
    <w:rsid w:val="007A091E"/>
    <w:rsid w:val="007A1FFA"/>
    <w:rsid w:val="007A244D"/>
    <w:rsid w:val="007A35D4"/>
    <w:rsid w:val="007A3EBD"/>
    <w:rsid w:val="007A3FD9"/>
    <w:rsid w:val="007A4282"/>
    <w:rsid w:val="007A4448"/>
    <w:rsid w:val="007A44F9"/>
    <w:rsid w:val="007A4A67"/>
    <w:rsid w:val="007A4B5F"/>
    <w:rsid w:val="007A4D7E"/>
    <w:rsid w:val="007A6B3F"/>
    <w:rsid w:val="007A74F4"/>
    <w:rsid w:val="007B0323"/>
    <w:rsid w:val="007B0CC2"/>
    <w:rsid w:val="007B1691"/>
    <w:rsid w:val="007B1E04"/>
    <w:rsid w:val="007B1F8B"/>
    <w:rsid w:val="007B3719"/>
    <w:rsid w:val="007B3993"/>
    <w:rsid w:val="007B4920"/>
    <w:rsid w:val="007B520A"/>
    <w:rsid w:val="007B7122"/>
    <w:rsid w:val="007B7964"/>
    <w:rsid w:val="007C0159"/>
    <w:rsid w:val="007C0902"/>
    <w:rsid w:val="007C0955"/>
    <w:rsid w:val="007C0C3B"/>
    <w:rsid w:val="007C186B"/>
    <w:rsid w:val="007C251F"/>
    <w:rsid w:val="007C3418"/>
    <w:rsid w:val="007C3954"/>
    <w:rsid w:val="007C3B9E"/>
    <w:rsid w:val="007C50DC"/>
    <w:rsid w:val="007C59B3"/>
    <w:rsid w:val="007C69C9"/>
    <w:rsid w:val="007D087F"/>
    <w:rsid w:val="007D16DB"/>
    <w:rsid w:val="007D2467"/>
    <w:rsid w:val="007D2E64"/>
    <w:rsid w:val="007D4C83"/>
    <w:rsid w:val="007D5B60"/>
    <w:rsid w:val="007D5D48"/>
    <w:rsid w:val="007E0D5A"/>
    <w:rsid w:val="007E248A"/>
    <w:rsid w:val="007E2748"/>
    <w:rsid w:val="007E303D"/>
    <w:rsid w:val="007E3552"/>
    <w:rsid w:val="007E4E09"/>
    <w:rsid w:val="007E54AA"/>
    <w:rsid w:val="007E5B13"/>
    <w:rsid w:val="007E5D4D"/>
    <w:rsid w:val="007E716C"/>
    <w:rsid w:val="007E750E"/>
    <w:rsid w:val="007E7DB7"/>
    <w:rsid w:val="007E7F7D"/>
    <w:rsid w:val="007F0453"/>
    <w:rsid w:val="007F0F00"/>
    <w:rsid w:val="007F1127"/>
    <w:rsid w:val="007F224F"/>
    <w:rsid w:val="007F28EC"/>
    <w:rsid w:val="007F3907"/>
    <w:rsid w:val="007F4396"/>
    <w:rsid w:val="007F53B5"/>
    <w:rsid w:val="007F5750"/>
    <w:rsid w:val="007F7A74"/>
    <w:rsid w:val="00801323"/>
    <w:rsid w:val="00804A5E"/>
    <w:rsid w:val="00804AB6"/>
    <w:rsid w:val="00804CB6"/>
    <w:rsid w:val="00807BBC"/>
    <w:rsid w:val="0081263D"/>
    <w:rsid w:val="00812C2D"/>
    <w:rsid w:val="008139AF"/>
    <w:rsid w:val="00815D82"/>
    <w:rsid w:val="00816628"/>
    <w:rsid w:val="00820563"/>
    <w:rsid w:val="00820CF2"/>
    <w:rsid w:val="008218CE"/>
    <w:rsid w:val="00821E5E"/>
    <w:rsid w:val="00823700"/>
    <w:rsid w:val="0082459A"/>
    <w:rsid w:val="0082539E"/>
    <w:rsid w:val="008262BF"/>
    <w:rsid w:val="00827314"/>
    <w:rsid w:val="008308DD"/>
    <w:rsid w:val="00830E60"/>
    <w:rsid w:val="00831F35"/>
    <w:rsid w:val="00832689"/>
    <w:rsid w:val="0083279A"/>
    <w:rsid w:val="00832BDC"/>
    <w:rsid w:val="00832C7B"/>
    <w:rsid w:val="00832DFE"/>
    <w:rsid w:val="008339B6"/>
    <w:rsid w:val="00833C42"/>
    <w:rsid w:val="00833D47"/>
    <w:rsid w:val="00833E6A"/>
    <w:rsid w:val="008351B6"/>
    <w:rsid w:val="0083684A"/>
    <w:rsid w:val="0083691B"/>
    <w:rsid w:val="00836A57"/>
    <w:rsid w:val="0084037C"/>
    <w:rsid w:val="00842336"/>
    <w:rsid w:val="00842363"/>
    <w:rsid w:val="0084596D"/>
    <w:rsid w:val="00845B57"/>
    <w:rsid w:val="00846913"/>
    <w:rsid w:val="00847B79"/>
    <w:rsid w:val="008511D5"/>
    <w:rsid w:val="008545EC"/>
    <w:rsid w:val="00854FA9"/>
    <w:rsid w:val="008577F0"/>
    <w:rsid w:val="008578A2"/>
    <w:rsid w:val="008601DA"/>
    <w:rsid w:val="0086071A"/>
    <w:rsid w:val="008631FF"/>
    <w:rsid w:val="00864672"/>
    <w:rsid w:val="00864B6E"/>
    <w:rsid w:val="00865262"/>
    <w:rsid w:val="00865C33"/>
    <w:rsid w:val="0086679E"/>
    <w:rsid w:val="00867BB3"/>
    <w:rsid w:val="008715E4"/>
    <w:rsid w:val="00872E3F"/>
    <w:rsid w:val="008730A7"/>
    <w:rsid w:val="00873FD3"/>
    <w:rsid w:val="00875A03"/>
    <w:rsid w:val="00876F88"/>
    <w:rsid w:val="00877068"/>
    <w:rsid w:val="0087746D"/>
    <w:rsid w:val="0088159B"/>
    <w:rsid w:val="008815A0"/>
    <w:rsid w:val="00883441"/>
    <w:rsid w:val="008846E6"/>
    <w:rsid w:val="00884774"/>
    <w:rsid w:val="008847D3"/>
    <w:rsid w:val="00886C11"/>
    <w:rsid w:val="00887499"/>
    <w:rsid w:val="008923F1"/>
    <w:rsid w:val="00892713"/>
    <w:rsid w:val="00893A58"/>
    <w:rsid w:val="008945C1"/>
    <w:rsid w:val="00896101"/>
    <w:rsid w:val="008963FE"/>
    <w:rsid w:val="00897206"/>
    <w:rsid w:val="00897AA9"/>
    <w:rsid w:val="00897C7E"/>
    <w:rsid w:val="008A0574"/>
    <w:rsid w:val="008A15F6"/>
    <w:rsid w:val="008A1A21"/>
    <w:rsid w:val="008A2316"/>
    <w:rsid w:val="008A30D0"/>
    <w:rsid w:val="008A4632"/>
    <w:rsid w:val="008A560B"/>
    <w:rsid w:val="008A5BB4"/>
    <w:rsid w:val="008A6707"/>
    <w:rsid w:val="008A746C"/>
    <w:rsid w:val="008B0CA1"/>
    <w:rsid w:val="008B1542"/>
    <w:rsid w:val="008B3429"/>
    <w:rsid w:val="008B66D1"/>
    <w:rsid w:val="008C0618"/>
    <w:rsid w:val="008C0F15"/>
    <w:rsid w:val="008C154B"/>
    <w:rsid w:val="008C1A05"/>
    <w:rsid w:val="008C1D12"/>
    <w:rsid w:val="008C224A"/>
    <w:rsid w:val="008C23D9"/>
    <w:rsid w:val="008C25D4"/>
    <w:rsid w:val="008C2CA5"/>
    <w:rsid w:val="008C54DB"/>
    <w:rsid w:val="008C77AA"/>
    <w:rsid w:val="008C7AC0"/>
    <w:rsid w:val="008D2BDC"/>
    <w:rsid w:val="008D3F3B"/>
    <w:rsid w:val="008D54AC"/>
    <w:rsid w:val="008D5BD8"/>
    <w:rsid w:val="008D667E"/>
    <w:rsid w:val="008D711C"/>
    <w:rsid w:val="008D7DFC"/>
    <w:rsid w:val="008E00DD"/>
    <w:rsid w:val="008E0B31"/>
    <w:rsid w:val="008E1972"/>
    <w:rsid w:val="008E73A3"/>
    <w:rsid w:val="008F1451"/>
    <w:rsid w:val="008F1ACA"/>
    <w:rsid w:val="008F1DC6"/>
    <w:rsid w:val="008F221C"/>
    <w:rsid w:val="008F27AD"/>
    <w:rsid w:val="008F34BB"/>
    <w:rsid w:val="008F5667"/>
    <w:rsid w:val="008F6F4D"/>
    <w:rsid w:val="008F7B27"/>
    <w:rsid w:val="009001A0"/>
    <w:rsid w:val="00900A13"/>
    <w:rsid w:val="00900D16"/>
    <w:rsid w:val="0090102F"/>
    <w:rsid w:val="00902AB8"/>
    <w:rsid w:val="00903793"/>
    <w:rsid w:val="00904CAC"/>
    <w:rsid w:val="00905206"/>
    <w:rsid w:val="0090653F"/>
    <w:rsid w:val="00912014"/>
    <w:rsid w:val="00912547"/>
    <w:rsid w:val="00912A8D"/>
    <w:rsid w:val="00915709"/>
    <w:rsid w:val="00917333"/>
    <w:rsid w:val="0091739E"/>
    <w:rsid w:val="00920B5F"/>
    <w:rsid w:val="00921276"/>
    <w:rsid w:val="00922004"/>
    <w:rsid w:val="00923549"/>
    <w:rsid w:val="009251C0"/>
    <w:rsid w:val="00925555"/>
    <w:rsid w:val="00925A88"/>
    <w:rsid w:val="00925C21"/>
    <w:rsid w:val="009269F8"/>
    <w:rsid w:val="0093043B"/>
    <w:rsid w:val="0093352E"/>
    <w:rsid w:val="009357D6"/>
    <w:rsid w:val="00936633"/>
    <w:rsid w:val="00936F29"/>
    <w:rsid w:val="0093718D"/>
    <w:rsid w:val="00937284"/>
    <w:rsid w:val="00940BDC"/>
    <w:rsid w:val="00943065"/>
    <w:rsid w:val="00943A68"/>
    <w:rsid w:val="00944473"/>
    <w:rsid w:val="00944740"/>
    <w:rsid w:val="00944E8E"/>
    <w:rsid w:val="009455C2"/>
    <w:rsid w:val="0094593A"/>
    <w:rsid w:val="00945C32"/>
    <w:rsid w:val="009472DA"/>
    <w:rsid w:val="0095121B"/>
    <w:rsid w:val="0095299A"/>
    <w:rsid w:val="009529A2"/>
    <w:rsid w:val="00953F76"/>
    <w:rsid w:val="0095478F"/>
    <w:rsid w:val="00954D3C"/>
    <w:rsid w:val="00954D97"/>
    <w:rsid w:val="00955782"/>
    <w:rsid w:val="00955C26"/>
    <w:rsid w:val="009568F6"/>
    <w:rsid w:val="00956EA0"/>
    <w:rsid w:val="009579E2"/>
    <w:rsid w:val="00957D73"/>
    <w:rsid w:val="00960081"/>
    <w:rsid w:val="00960383"/>
    <w:rsid w:val="009611A2"/>
    <w:rsid w:val="009616D4"/>
    <w:rsid w:val="009620ED"/>
    <w:rsid w:val="00962DF0"/>
    <w:rsid w:val="00964A53"/>
    <w:rsid w:val="00966740"/>
    <w:rsid w:val="00966B92"/>
    <w:rsid w:val="00967F3D"/>
    <w:rsid w:val="00970ABC"/>
    <w:rsid w:val="00972036"/>
    <w:rsid w:val="00972922"/>
    <w:rsid w:val="009729A1"/>
    <w:rsid w:val="009734AD"/>
    <w:rsid w:val="00973AAA"/>
    <w:rsid w:val="009747DE"/>
    <w:rsid w:val="00976AC2"/>
    <w:rsid w:val="00977458"/>
    <w:rsid w:val="00977AB5"/>
    <w:rsid w:val="009818A6"/>
    <w:rsid w:val="00982D21"/>
    <w:rsid w:val="00983D1F"/>
    <w:rsid w:val="009846C5"/>
    <w:rsid w:val="00985D5D"/>
    <w:rsid w:val="0098625B"/>
    <w:rsid w:val="00987671"/>
    <w:rsid w:val="00987C23"/>
    <w:rsid w:val="0099041C"/>
    <w:rsid w:val="00990BE5"/>
    <w:rsid w:val="00991069"/>
    <w:rsid w:val="009917A1"/>
    <w:rsid w:val="00993D45"/>
    <w:rsid w:val="009951BA"/>
    <w:rsid w:val="00995928"/>
    <w:rsid w:val="009961B5"/>
    <w:rsid w:val="009A0999"/>
    <w:rsid w:val="009A0D15"/>
    <w:rsid w:val="009A21AE"/>
    <w:rsid w:val="009A2B63"/>
    <w:rsid w:val="009A300B"/>
    <w:rsid w:val="009A383B"/>
    <w:rsid w:val="009A3F4D"/>
    <w:rsid w:val="009A7D91"/>
    <w:rsid w:val="009B2B29"/>
    <w:rsid w:val="009B3FFB"/>
    <w:rsid w:val="009B65AC"/>
    <w:rsid w:val="009B6A51"/>
    <w:rsid w:val="009B6A89"/>
    <w:rsid w:val="009C0426"/>
    <w:rsid w:val="009C1D78"/>
    <w:rsid w:val="009C244B"/>
    <w:rsid w:val="009C368F"/>
    <w:rsid w:val="009C443B"/>
    <w:rsid w:val="009C4CDE"/>
    <w:rsid w:val="009C50DF"/>
    <w:rsid w:val="009C51AD"/>
    <w:rsid w:val="009C5F96"/>
    <w:rsid w:val="009C60C9"/>
    <w:rsid w:val="009C627A"/>
    <w:rsid w:val="009C6BB9"/>
    <w:rsid w:val="009C74CF"/>
    <w:rsid w:val="009C75FA"/>
    <w:rsid w:val="009C7800"/>
    <w:rsid w:val="009C7B64"/>
    <w:rsid w:val="009D14E9"/>
    <w:rsid w:val="009D38CA"/>
    <w:rsid w:val="009D3CB5"/>
    <w:rsid w:val="009D6D94"/>
    <w:rsid w:val="009E2ED5"/>
    <w:rsid w:val="009E4E1F"/>
    <w:rsid w:val="009E6C48"/>
    <w:rsid w:val="009F326B"/>
    <w:rsid w:val="009F373C"/>
    <w:rsid w:val="009F3964"/>
    <w:rsid w:val="009F4EBE"/>
    <w:rsid w:val="009F5135"/>
    <w:rsid w:val="009F5AB0"/>
    <w:rsid w:val="009F5B54"/>
    <w:rsid w:val="009F703F"/>
    <w:rsid w:val="00A007D0"/>
    <w:rsid w:val="00A00884"/>
    <w:rsid w:val="00A0105F"/>
    <w:rsid w:val="00A016AE"/>
    <w:rsid w:val="00A02BC7"/>
    <w:rsid w:val="00A03557"/>
    <w:rsid w:val="00A036CD"/>
    <w:rsid w:val="00A03A5F"/>
    <w:rsid w:val="00A07989"/>
    <w:rsid w:val="00A07C86"/>
    <w:rsid w:val="00A07D07"/>
    <w:rsid w:val="00A10D26"/>
    <w:rsid w:val="00A1108D"/>
    <w:rsid w:val="00A1153B"/>
    <w:rsid w:val="00A12C08"/>
    <w:rsid w:val="00A15CB8"/>
    <w:rsid w:val="00A15DEF"/>
    <w:rsid w:val="00A167B6"/>
    <w:rsid w:val="00A16B6C"/>
    <w:rsid w:val="00A17070"/>
    <w:rsid w:val="00A20707"/>
    <w:rsid w:val="00A20F9C"/>
    <w:rsid w:val="00A217CA"/>
    <w:rsid w:val="00A22045"/>
    <w:rsid w:val="00A22D6B"/>
    <w:rsid w:val="00A24662"/>
    <w:rsid w:val="00A24829"/>
    <w:rsid w:val="00A261A6"/>
    <w:rsid w:val="00A266A8"/>
    <w:rsid w:val="00A2674A"/>
    <w:rsid w:val="00A30E87"/>
    <w:rsid w:val="00A316DD"/>
    <w:rsid w:val="00A31AC3"/>
    <w:rsid w:val="00A339FC"/>
    <w:rsid w:val="00A33EEB"/>
    <w:rsid w:val="00A34D98"/>
    <w:rsid w:val="00A356F3"/>
    <w:rsid w:val="00A359A9"/>
    <w:rsid w:val="00A35EC1"/>
    <w:rsid w:val="00A40211"/>
    <w:rsid w:val="00A44A0D"/>
    <w:rsid w:val="00A458EC"/>
    <w:rsid w:val="00A464A8"/>
    <w:rsid w:val="00A4665F"/>
    <w:rsid w:val="00A53423"/>
    <w:rsid w:val="00A54A01"/>
    <w:rsid w:val="00A5535D"/>
    <w:rsid w:val="00A55380"/>
    <w:rsid w:val="00A56A16"/>
    <w:rsid w:val="00A56E32"/>
    <w:rsid w:val="00A57AED"/>
    <w:rsid w:val="00A60602"/>
    <w:rsid w:val="00A636E8"/>
    <w:rsid w:val="00A64236"/>
    <w:rsid w:val="00A67448"/>
    <w:rsid w:val="00A67A6F"/>
    <w:rsid w:val="00A72676"/>
    <w:rsid w:val="00A727AD"/>
    <w:rsid w:val="00A751A1"/>
    <w:rsid w:val="00A751BB"/>
    <w:rsid w:val="00A757F5"/>
    <w:rsid w:val="00A80478"/>
    <w:rsid w:val="00A80A81"/>
    <w:rsid w:val="00A81BDD"/>
    <w:rsid w:val="00A82575"/>
    <w:rsid w:val="00A835FB"/>
    <w:rsid w:val="00A83952"/>
    <w:rsid w:val="00A841D6"/>
    <w:rsid w:val="00A84F79"/>
    <w:rsid w:val="00A85C56"/>
    <w:rsid w:val="00A87709"/>
    <w:rsid w:val="00A902D8"/>
    <w:rsid w:val="00A9043B"/>
    <w:rsid w:val="00A9079A"/>
    <w:rsid w:val="00A92715"/>
    <w:rsid w:val="00A92998"/>
    <w:rsid w:val="00A93131"/>
    <w:rsid w:val="00A946D5"/>
    <w:rsid w:val="00A94BCC"/>
    <w:rsid w:val="00A95802"/>
    <w:rsid w:val="00A975FE"/>
    <w:rsid w:val="00A97C63"/>
    <w:rsid w:val="00AA0F4B"/>
    <w:rsid w:val="00AA19FD"/>
    <w:rsid w:val="00AA35C8"/>
    <w:rsid w:val="00AA4DDC"/>
    <w:rsid w:val="00AA503E"/>
    <w:rsid w:val="00AA6CF6"/>
    <w:rsid w:val="00AA6E57"/>
    <w:rsid w:val="00AA77D8"/>
    <w:rsid w:val="00AB13D7"/>
    <w:rsid w:val="00AB25ED"/>
    <w:rsid w:val="00AB63FD"/>
    <w:rsid w:val="00AB7471"/>
    <w:rsid w:val="00AB7FC6"/>
    <w:rsid w:val="00AC0E77"/>
    <w:rsid w:val="00AC1684"/>
    <w:rsid w:val="00AC2DC4"/>
    <w:rsid w:val="00AC2F41"/>
    <w:rsid w:val="00AC5442"/>
    <w:rsid w:val="00AC56A5"/>
    <w:rsid w:val="00AC6910"/>
    <w:rsid w:val="00AC7F76"/>
    <w:rsid w:val="00AD173F"/>
    <w:rsid w:val="00AD1B3E"/>
    <w:rsid w:val="00AD2965"/>
    <w:rsid w:val="00AD4EE5"/>
    <w:rsid w:val="00AD5B33"/>
    <w:rsid w:val="00AE03C5"/>
    <w:rsid w:val="00AE22A5"/>
    <w:rsid w:val="00AE3C78"/>
    <w:rsid w:val="00AE4D05"/>
    <w:rsid w:val="00AE6B26"/>
    <w:rsid w:val="00AF0D42"/>
    <w:rsid w:val="00AF32C7"/>
    <w:rsid w:val="00AF361C"/>
    <w:rsid w:val="00AF3C8D"/>
    <w:rsid w:val="00AF6C4B"/>
    <w:rsid w:val="00AF7011"/>
    <w:rsid w:val="00AF7651"/>
    <w:rsid w:val="00AF7FFE"/>
    <w:rsid w:val="00B00BF1"/>
    <w:rsid w:val="00B040D8"/>
    <w:rsid w:val="00B06F5D"/>
    <w:rsid w:val="00B07046"/>
    <w:rsid w:val="00B07156"/>
    <w:rsid w:val="00B07E92"/>
    <w:rsid w:val="00B13F5D"/>
    <w:rsid w:val="00B14109"/>
    <w:rsid w:val="00B15B04"/>
    <w:rsid w:val="00B1724A"/>
    <w:rsid w:val="00B20081"/>
    <w:rsid w:val="00B20D33"/>
    <w:rsid w:val="00B23DFF"/>
    <w:rsid w:val="00B26569"/>
    <w:rsid w:val="00B26A72"/>
    <w:rsid w:val="00B2776B"/>
    <w:rsid w:val="00B30CB4"/>
    <w:rsid w:val="00B30F4A"/>
    <w:rsid w:val="00B3155B"/>
    <w:rsid w:val="00B32EC2"/>
    <w:rsid w:val="00B342B6"/>
    <w:rsid w:val="00B35654"/>
    <w:rsid w:val="00B357BC"/>
    <w:rsid w:val="00B375F3"/>
    <w:rsid w:val="00B42535"/>
    <w:rsid w:val="00B43B2F"/>
    <w:rsid w:val="00B44181"/>
    <w:rsid w:val="00B472BA"/>
    <w:rsid w:val="00B510E1"/>
    <w:rsid w:val="00B51881"/>
    <w:rsid w:val="00B51FE7"/>
    <w:rsid w:val="00B5485C"/>
    <w:rsid w:val="00B55011"/>
    <w:rsid w:val="00B550CE"/>
    <w:rsid w:val="00B5780B"/>
    <w:rsid w:val="00B61556"/>
    <w:rsid w:val="00B61809"/>
    <w:rsid w:val="00B61E29"/>
    <w:rsid w:val="00B62205"/>
    <w:rsid w:val="00B62EF7"/>
    <w:rsid w:val="00B6344F"/>
    <w:rsid w:val="00B65D52"/>
    <w:rsid w:val="00B65FEE"/>
    <w:rsid w:val="00B66778"/>
    <w:rsid w:val="00B66D2B"/>
    <w:rsid w:val="00B67C44"/>
    <w:rsid w:val="00B71220"/>
    <w:rsid w:val="00B71713"/>
    <w:rsid w:val="00B733D7"/>
    <w:rsid w:val="00B7622C"/>
    <w:rsid w:val="00B779B5"/>
    <w:rsid w:val="00B804C9"/>
    <w:rsid w:val="00B80818"/>
    <w:rsid w:val="00B8097A"/>
    <w:rsid w:val="00B82939"/>
    <w:rsid w:val="00B83EFF"/>
    <w:rsid w:val="00B86CAA"/>
    <w:rsid w:val="00B87960"/>
    <w:rsid w:val="00B87CD6"/>
    <w:rsid w:val="00B90269"/>
    <w:rsid w:val="00B92E43"/>
    <w:rsid w:val="00B950DA"/>
    <w:rsid w:val="00B953E4"/>
    <w:rsid w:val="00B956C0"/>
    <w:rsid w:val="00B9578A"/>
    <w:rsid w:val="00B96CDE"/>
    <w:rsid w:val="00B96F93"/>
    <w:rsid w:val="00B974C0"/>
    <w:rsid w:val="00BA058C"/>
    <w:rsid w:val="00BA0875"/>
    <w:rsid w:val="00BA1925"/>
    <w:rsid w:val="00BA23DA"/>
    <w:rsid w:val="00BA24C2"/>
    <w:rsid w:val="00BA28D7"/>
    <w:rsid w:val="00BA2D33"/>
    <w:rsid w:val="00BA2FD1"/>
    <w:rsid w:val="00BA3693"/>
    <w:rsid w:val="00BA4167"/>
    <w:rsid w:val="00BA43D3"/>
    <w:rsid w:val="00BA4723"/>
    <w:rsid w:val="00BA47A5"/>
    <w:rsid w:val="00BA5BE6"/>
    <w:rsid w:val="00BA72F4"/>
    <w:rsid w:val="00BB1AF0"/>
    <w:rsid w:val="00BB23D3"/>
    <w:rsid w:val="00BB253A"/>
    <w:rsid w:val="00BB25E8"/>
    <w:rsid w:val="00BB2CC6"/>
    <w:rsid w:val="00BB2FEC"/>
    <w:rsid w:val="00BB3D88"/>
    <w:rsid w:val="00BB496F"/>
    <w:rsid w:val="00BB64C3"/>
    <w:rsid w:val="00BB6B51"/>
    <w:rsid w:val="00BB75BD"/>
    <w:rsid w:val="00BC009C"/>
    <w:rsid w:val="00BC18A9"/>
    <w:rsid w:val="00BC1DD3"/>
    <w:rsid w:val="00BC1FE1"/>
    <w:rsid w:val="00BC25B4"/>
    <w:rsid w:val="00BC3106"/>
    <w:rsid w:val="00BC5E55"/>
    <w:rsid w:val="00BC67C7"/>
    <w:rsid w:val="00BC6C90"/>
    <w:rsid w:val="00BD0C87"/>
    <w:rsid w:val="00BD1C77"/>
    <w:rsid w:val="00BD1D7D"/>
    <w:rsid w:val="00BD3FEE"/>
    <w:rsid w:val="00BD5054"/>
    <w:rsid w:val="00BD5E75"/>
    <w:rsid w:val="00BD75E5"/>
    <w:rsid w:val="00BE16AC"/>
    <w:rsid w:val="00BE2C8D"/>
    <w:rsid w:val="00BE40A2"/>
    <w:rsid w:val="00BE4507"/>
    <w:rsid w:val="00BE51F2"/>
    <w:rsid w:val="00BE589E"/>
    <w:rsid w:val="00BE6095"/>
    <w:rsid w:val="00BF0901"/>
    <w:rsid w:val="00BF0A66"/>
    <w:rsid w:val="00BF11C2"/>
    <w:rsid w:val="00BF31B7"/>
    <w:rsid w:val="00BF3598"/>
    <w:rsid w:val="00BF3E37"/>
    <w:rsid w:val="00BF50E9"/>
    <w:rsid w:val="00BF60A1"/>
    <w:rsid w:val="00BF654F"/>
    <w:rsid w:val="00BF6587"/>
    <w:rsid w:val="00BF69B5"/>
    <w:rsid w:val="00BF7A56"/>
    <w:rsid w:val="00BF7AA1"/>
    <w:rsid w:val="00C003C6"/>
    <w:rsid w:val="00C008C1"/>
    <w:rsid w:val="00C00E10"/>
    <w:rsid w:val="00C03F77"/>
    <w:rsid w:val="00C06111"/>
    <w:rsid w:val="00C07AAB"/>
    <w:rsid w:val="00C10D78"/>
    <w:rsid w:val="00C141FD"/>
    <w:rsid w:val="00C1441F"/>
    <w:rsid w:val="00C1517D"/>
    <w:rsid w:val="00C16E5F"/>
    <w:rsid w:val="00C2028B"/>
    <w:rsid w:val="00C21359"/>
    <w:rsid w:val="00C21E3E"/>
    <w:rsid w:val="00C22403"/>
    <w:rsid w:val="00C22C2F"/>
    <w:rsid w:val="00C24434"/>
    <w:rsid w:val="00C26B1E"/>
    <w:rsid w:val="00C30353"/>
    <w:rsid w:val="00C306F3"/>
    <w:rsid w:val="00C31B51"/>
    <w:rsid w:val="00C3289A"/>
    <w:rsid w:val="00C33659"/>
    <w:rsid w:val="00C34F5E"/>
    <w:rsid w:val="00C356C7"/>
    <w:rsid w:val="00C35D97"/>
    <w:rsid w:val="00C35EC8"/>
    <w:rsid w:val="00C362D4"/>
    <w:rsid w:val="00C3656F"/>
    <w:rsid w:val="00C36EE5"/>
    <w:rsid w:val="00C375CF"/>
    <w:rsid w:val="00C41455"/>
    <w:rsid w:val="00C434A7"/>
    <w:rsid w:val="00C44953"/>
    <w:rsid w:val="00C45496"/>
    <w:rsid w:val="00C459DE"/>
    <w:rsid w:val="00C46AA7"/>
    <w:rsid w:val="00C50EC9"/>
    <w:rsid w:val="00C50EF9"/>
    <w:rsid w:val="00C51077"/>
    <w:rsid w:val="00C51778"/>
    <w:rsid w:val="00C517B6"/>
    <w:rsid w:val="00C52022"/>
    <w:rsid w:val="00C535D1"/>
    <w:rsid w:val="00C53940"/>
    <w:rsid w:val="00C54954"/>
    <w:rsid w:val="00C567EE"/>
    <w:rsid w:val="00C57C2D"/>
    <w:rsid w:val="00C602E7"/>
    <w:rsid w:val="00C616A4"/>
    <w:rsid w:val="00C61F60"/>
    <w:rsid w:val="00C63046"/>
    <w:rsid w:val="00C63FB2"/>
    <w:rsid w:val="00C65AB9"/>
    <w:rsid w:val="00C66237"/>
    <w:rsid w:val="00C663C2"/>
    <w:rsid w:val="00C70108"/>
    <w:rsid w:val="00C713E4"/>
    <w:rsid w:val="00C76053"/>
    <w:rsid w:val="00C763A2"/>
    <w:rsid w:val="00C77342"/>
    <w:rsid w:val="00C8039C"/>
    <w:rsid w:val="00C811A0"/>
    <w:rsid w:val="00C83884"/>
    <w:rsid w:val="00C8516C"/>
    <w:rsid w:val="00C851E6"/>
    <w:rsid w:val="00C85592"/>
    <w:rsid w:val="00C8605D"/>
    <w:rsid w:val="00C9163E"/>
    <w:rsid w:val="00C92AFA"/>
    <w:rsid w:val="00C94892"/>
    <w:rsid w:val="00C948E5"/>
    <w:rsid w:val="00C953AE"/>
    <w:rsid w:val="00C95672"/>
    <w:rsid w:val="00C95EE0"/>
    <w:rsid w:val="00C95F61"/>
    <w:rsid w:val="00C96549"/>
    <w:rsid w:val="00C96809"/>
    <w:rsid w:val="00C971E7"/>
    <w:rsid w:val="00C97703"/>
    <w:rsid w:val="00C9785C"/>
    <w:rsid w:val="00C97B7F"/>
    <w:rsid w:val="00CA0698"/>
    <w:rsid w:val="00CA077E"/>
    <w:rsid w:val="00CA08BB"/>
    <w:rsid w:val="00CA1149"/>
    <w:rsid w:val="00CA2070"/>
    <w:rsid w:val="00CA2997"/>
    <w:rsid w:val="00CA528C"/>
    <w:rsid w:val="00CA71E4"/>
    <w:rsid w:val="00CA7C26"/>
    <w:rsid w:val="00CB030F"/>
    <w:rsid w:val="00CB1DED"/>
    <w:rsid w:val="00CB1EAC"/>
    <w:rsid w:val="00CB5558"/>
    <w:rsid w:val="00CB57AA"/>
    <w:rsid w:val="00CB63AD"/>
    <w:rsid w:val="00CB6ECD"/>
    <w:rsid w:val="00CB7129"/>
    <w:rsid w:val="00CC0642"/>
    <w:rsid w:val="00CC0DCB"/>
    <w:rsid w:val="00CC174D"/>
    <w:rsid w:val="00CC3142"/>
    <w:rsid w:val="00CC43E4"/>
    <w:rsid w:val="00CC495E"/>
    <w:rsid w:val="00CC587F"/>
    <w:rsid w:val="00CC5CAD"/>
    <w:rsid w:val="00CC61AF"/>
    <w:rsid w:val="00CC6630"/>
    <w:rsid w:val="00CC7089"/>
    <w:rsid w:val="00CC762C"/>
    <w:rsid w:val="00CC773A"/>
    <w:rsid w:val="00CD1845"/>
    <w:rsid w:val="00CD2DB3"/>
    <w:rsid w:val="00CD50A7"/>
    <w:rsid w:val="00CD6A2E"/>
    <w:rsid w:val="00CE14B2"/>
    <w:rsid w:val="00CE27B7"/>
    <w:rsid w:val="00CE3621"/>
    <w:rsid w:val="00CE5CCB"/>
    <w:rsid w:val="00CE5E2B"/>
    <w:rsid w:val="00CE60CF"/>
    <w:rsid w:val="00CE671E"/>
    <w:rsid w:val="00CF18E6"/>
    <w:rsid w:val="00CF2A1D"/>
    <w:rsid w:val="00CF442F"/>
    <w:rsid w:val="00CF4525"/>
    <w:rsid w:val="00CF4D7C"/>
    <w:rsid w:val="00CF4F6A"/>
    <w:rsid w:val="00CF51F9"/>
    <w:rsid w:val="00CF520E"/>
    <w:rsid w:val="00CF6290"/>
    <w:rsid w:val="00CF64A0"/>
    <w:rsid w:val="00CF6D1B"/>
    <w:rsid w:val="00CF6F78"/>
    <w:rsid w:val="00CF7ACF"/>
    <w:rsid w:val="00D009B2"/>
    <w:rsid w:val="00D01F11"/>
    <w:rsid w:val="00D02262"/>
    <w:rsid w:val="00D0354B"/>
    <w:rsid w:val="00D04546"/>
    <w:rsid w:val="00D055EB"/>
    <w:rsid w:val="00D058FD"/>
    <w:rsid w:val="00D07EA1"/>
    <w:rsid w:val="00D10C7A"/>
    <w:rsid w:val="00D119D9"/>
    <w:rsid w:val="00D13D0E"/>
    <w:rsid w:val="00D15777"/>
    <w:rsid w:val="00D15A9D"/>
    <w:rsid w:val="00D160D0"/>
    <w:rsid w:val="00D164A1"/>
    <w:rsid w:val="00D17A06"/>
    <w:rsid w:val="00D204E9"/>
    <w:rsid w:val="00D20D4F"/>
    <w:rsid w:val="00D21A03"/>
    <w:rsid w:val="00D22510"/>
    <w:rsid w:val="00D226EE"/>
    <w:rsid w:val="00D24AF5"/>
    <w:rsid w:val="00D24F9D"/>
    <w:rsid w:val="00D25BA1"/>
    <w:rsid w:val="00D25F73"/>
    <w:rsid w:val="00D27123"/>
    <w:rsid w:val="00D27AE6"/>
    <w:rsid w:val="00D27FB9"/>
    <w:rsid w:val="00D301B1"/>
    <w:rsid w:val="00D321E5"/>
    <w:rsid w:val="00D328BE"/>
    <w:rsid w:val="00D33669"/>
    <w:rsid w:val="00D33862"/>
    <w:rsid w:val="00D33FF8"/>
    <w:rsid w:val="00D35197"/>
    <w:rsid w:val="00D370D2"/>
    <w:rsid w:val="00D37A1E"/>
    <w:rsid w:val="00D40921"/>
    <w:rsid w:val="00D413B9"/>
    <w:rsid w:val="00D41A86"/>
    <w:rsid w:val="00D42606"/>
    <w:rsid w:val="00D42793"/>
    <w:rsid w:val="00D4298D"/>
    <w:rsid w:val="00D43091"/>
    <w:rsid w:val="00D4474E"/>
    <w:rsid w:val="00D450A7"/>
    <w:rsid w:val="00D4576A"/>
    <w:rsid w:val="00D500EB"/>
    <w:rsid w:val="00D50C75"/>
    <w:rsid w:val="00D51282"/>
    <w:rsid w:val="00D51796"/>
    <w:rsid w:val="00D51F93"/>
    <w:rsid w:val="00D5279E"/>
    <w:rsid w:val="00D546B6"/>
    <w:rsid w:val="00D54A1E"/>
    <w:rsid w:val="00D55E16"/>
    <w:rsid w:val="00D55FF6"/>
    <w:rsid w:val="00D5605A"/>
    <w:rsid w:val="00D57299"/>
    <w:rsid w:val="00D607FA"/>
    <w:rsid w:val="00D60869"/>
    <w:rsid w:val="00D61ECB"/>
    <w:rsid w:val="00D62A32"/>
    <w:rsid w:val="00D63687"/>
    <w:rsid w:val="00D6389F"/>
    <w:rsid w:val="00D63A1C"/>
    <w:rsid w:val="00D63F1A"/>
    <w:rsid w:val="00D64726"/>
    <w:rsid w:val="00D647F0"/>
    <w:rsid w:val="00D72400"/>
    <w:rsid w:val="00D72EA2"/>
    <w:rsid w:val="00D72FBF"/>
    <w:rsid w:val="00D73BA4"/>
    <w:rsid w:val="00D73D32"/>
    <w:rsid w:val="00D743BC"/>
    <w:rsid w:val="00D74582"/>
    <w:rsid w:val="00D74E36"/>
    <w:rsid w:val="00D752E4"/>
    <w:rsid w:val="00D7563B"/>
    <w:rsid w:val="00D76072"/>
    <w:rsid w:val="00D76172"/>
    <w:rsid w:val="00D76527"/>
    <w:rsid w:val="00D7760B"/>
    <w:rsid w:val="00D77D4F"/>
    <w:rsid w:val="00D803C5"/>
    <w:rsid w:val="00D80522"/>
    <w:rsid w:val="00D80FFF"/>
    <w:rsid w:val="00D815F8"/>
    <w:rsid w:val="00D816A1"/>
    <w:rsid w:val="00D8312D"/>
    <w:rsid w:val="00D83D8C"/>
    <w:rsid w:val="00D84AB0"/>
    <w:rsid w:val="00D85346"/>
    <w:rsid w:val="00D866AB"/>
    <w:rsid w:val="00D86EC3"/>
    <w:rsid w:val="00D87E97"/>
    <w:rsid w:val="00D901E2"/>
    <w:rsid w:val="00D9031D"/>
    <w:rsid w:val="00D91216"/>
    <w:rsid w:val="00D92269"/>
    <w:rsid w:val="00D922D1"/>
    <w:rsid w:val="00D92361"/>
    <w:rsid w:val="00D929C2"/>
    <w:rsid w:val="00D93559"/>
    <w:rsid w:val="00D93A13"/>
    <w:rsid w:val="00D93BA2"/>
    <w:rsid w:val="00D951A3"/>
    <w:rsid w:val="00D956BB"/>
    <w:rsid w:val="00D96DEC"/>
    <w:rsid w:val="00D97094"/>
    <w:rsid w:val="00D973D5"/>
    <w:rsid w:val="00D9748F"/>
    <w:rsid w:val="00D975E9"/>
    <w:rsid w:val="00D97D9A"/>
    <w:rsid w:val="00DA1CA2"/>
    <w:rsid w:val="00DB12C5"/>
    <w:rsid w:val="00DB1C90"/>
    <w:rsid w:val="00DB222D"/>
    <w:rsid w:val="00DB3C3D"/>
    <w:rsid w:val="00DB540D"/>
    <w:rsid w:val="00DB590B"/>
    <w:rsid w:val="00DB5AE9"/>
    <w:rsid w:val="00DB5C17"/>
    <w:rsid w:val="00DB6F38"/>
    <w:rsid w:val="00DC0074"/>
    <w:rsid w:val="00DC0E39"/>
    <w:rsid w:val="00DC14DA"/>
    <w:rsid w:val="00DC24EE"/>
    <w:rsid w:val="00DC25DE"/>
    <w:rsid w:val="00DC2CEB"/>
    <w:rsid w:val="00DC314E"/>
    <w:rsid w:val="00DC5349"/>
    <w:rsid w:val="00DC675E"/>
    <w:rsid w:val="00DC67EC"/>
    <w:rsid w:val="00DC6FF8"/>
    <w:rsid w:val="00DC7629"/>
    <w:rsid w:val="00DC7ED4"/>
    <w:rsid w:val="00DD0254"/>
    <w:rsid w:val="00DD21A5"/>
    <w:rsid w:val="00DD2E0B"/>
    <w:rsid w:val="00DD36E1"/>
    <w:rsid w:val="00DD4C37"/>
    <w:rsid w:val="00DD6E93"/>
    <w:rsid w:val="00DD776A"/>
    <w:rsid w:val="00DE019F"/>
    <w:rsid w:val="00DE27A5"/>
    <w:rsid w:val="00DE28B2"/>
    <w:rsid w:val="00DE2E81"/>
    <w:rsid w:val="00DE3C4F"/>
    <w:rsid w:val="00DE4DD9"/>
    <w:rsid w:val="00DE6B0F"/>
    <w:rsid w:val="00DE7F3E"/>
    <w:rsid w:val="00DF02F4"/>
    <w:rsid w:val="00DF1FD5"/>
    <w:rsid w:val="00DF214A"/>
    <w:rsid w:val="00DF43D6"/>
    <w:rsid w:val="00DF500A"/>
    <w:rsid w:val="00DF580E"/>
    <w:rsid w:val="00E000D0"/>
    <w:rsid w:val="00E00485"/>
    <w:rsid w:val="00E027E7"/>
    <w:rsid w:val="00E03018"/>
    <w:rsid w:val="00E0372E"/>
    <w:rsid w:val="00E03928"/>
    <w:rsid w:val="00E03A91"/>
    <w:rsid w:val="00E0409D"/>
    <w:rsid w:val="00E06471"/>
    <w:rsid w:val="00E06DE8"/>
    <w:rsid w:val="00E105AA"/>
    <w:rsid w:val="00E137FE"/>
    <w:rsid w:val="00E1521E"/>
    <w:rsid w:val="00E153A1"/>
    <w:rsid w:val="00E15AD2"/>
    <w:rsid w:val="00E16751"/>
    <w:rsid w:val="00E1682C"/>
    <w:rsid w:val="00E17527"/>
    <w:rsid w:val="00E22BF8"/>
    <w:rsid w:val="00E231E6"/>
    <w:rsid w:val="00E24618"/>
    <w:rsid w:val="00E25C4B"/>
    <w:rsid w:val="00E270E9"/>
    <w:rsid w:val="00E27730"/>
    <w:rsid w:val="00E31400"/>
    <w:rsid w:val="00E316BE"/>
    <w:rsid w:val="00E31940"/>
    <w:rsid w:val="00E33018"/>
    <w:rsid w:val="00E335AD"/>
    <w:rsid w:val="00E4088D"/>
    <w:rsid w:val="00E40FCF"/>
    <w:rsid w:val="00E4164B"/>
    <w:rsid w:val="00E4236A"/>
    <w:rsid w:val="00E42AC3"/>
    <w:rsid w:val="00E43650"/>
    <w:rsid w:val="00E43798"/>
    <w:rsid w:val="00E446B4"/>
    <w:rsid w:val="00E44D95"/>
    <w:rsid w:val="00E4532D"/>
    <w:rsid w:val="00E46685"/>
    <w:rsid w:val="00E476BE"/>
    <w:rsid w:val="00E47AC8"/>
    <w:rsid w:val="00E5117D"/>
    <w:rsid w:val="00E514B1"/>
    <w:rsid w:val="00E52568"/>
    <w:rsid w:val="00E52C26"/>
    <w:rsid w:val="00E5309E"/>
    <w:rsid w:val="00E5330D"/>
    <w:rsid w:val="00E53815"/>
    <w:rsid w:val="00E53D1A"/>
    <w:rsid w:val="00E56A35"/>
    <w:rsid w:val="00E56B7A"/>
    <w:rsid w:val="00E627E4"/>
    <w:rsid w:val="00E640D1"/>
    <w:rsid w:val="00E64EEA"/>
    <w:rsid w:val="00E66AA3"/>
    <w:rsid w:val="00E67440"/>
    <w:rsid w:val="00E70F8A"/>
    <w:rsid w:val="00E7145C"/>
    <w:rsid w:val="00E71556"/>
    <w:rsid w:val="00E72051"/>
    <w:rsid w:val="00E72CBD"/>
    <w:rsid w:val="00E73A95"/>
    <w:rsid w:val="00E749ED"/>
    <w:rsid w:val="00E758E5"/>
    <w:rsid w:val="00E75D77"/>
    <w:rsid w:val="00E77886"/>
    <w:rsid w:val="00E778B5"/>
    <w:rsid w:val="00E80BD3"/>
    <w:rsid w:val="00E80F19"/>
    <w:rsid w:val="00E815DB"/>
    <w:rsid w:val="00E81A71"/>
    <w:rsid w:val="00E81FD8"/>
    <w:rsid w:val="00E87681"/>
    <w:rsid w:val="00E903AE"/>
    <w:rsid w:val="00E91A47"/>
    <w:rsid w:val="00E92983"/>
    <w:rsid w:val="00E93DEE"/>
    <w:rsid w:val="00E94761"/>
    <w:rsid w:val="00E94D28"/>
    <w:rsid w:val="00E95147"/>
    <w:rsid w:val="00E95D82"/>
    <w:rsid w:val="00E96228"/>
    <w:rsid w:val="00E9758D"/>
    <w:rsid w:val="00EA18F5"/>
    <w:rsid w:val="00EA2268"/>
    <w:rsid w:val="00EA240F"/>
    <w:rsid w:val="00EA2BF2"/>
    <w:rsid w:val="00EA301E"/>
    <w:rsid w:val="00EA4F77"/>
    <w:rsid w:val="00EA52E4"/>
    <w:rsid w:val="00EA5944"/>
    <w:rsid w:val="00EB10E5"/>
    <w:rsid w:val="00EB1C96"/>
    <w:rsid w:val="00EB200B"/>
    <w:rsid w:val="00EB2484"/>
    <w:rsid w:val="00EB42E1"/>
    <w:rsid w:val="00EB4FFF"/>
    <w:rsid w:val="00EB5A53"/>
    <w:rsid w:val="00EB664C"/>
    <w:rsid w:val="00EB7018"/>
    <w:rsid w:val="00EB74D6"/>
    <w:rsid w:val="00EC1A50"/>
    <w:rsid w:val="00EC1E3A"/>
    <w:rsid w:val="00EC3875"/>
    <w:rsid w:val="00EC3BAE"/>
    <w:rsid w:val="00EC4DE4"/>
    <w:rsid w:val="00EC52B1"/>
    <w:rsid w:val="00ED05D5"/>
    <w:rsid w:val="00ED1DA2"/>
    <w:rsid w:val="00ED1F32"/>
    <w:rsid w:val="00ED2502"/>
    <w:rsid w:val="00ED3AC3"/>
    <w:rsid w:val="00ED4579"/>
    <w:rsid w:val="00ED45E5"/>
    <w:rsid w:val="00ED47B6"/>
    <w:rsid w:val="00EE02E2"/>
    <w:rsid w:val="00EE15EA"/>
    <w:rsid w:val="00EE19A4"/>
    <w:rsid w:val="00EE1B17"/>
    <w:rsid w:val="00EE1D21"/>
    <w:rsid w:val="00EE5B12"/>
    <w:rsid w:val="00EE63DE"/>
    <w:rsid w:val="00EE72DC"/>
    <w:rsid w:val="00EE7F92"/>
    <w:rsid w:val="00EF065A"/>
    <w:rsid w:val="00EF287C"/>
    <w:rsid w:val="00EF3095"/>
    <w:rsid w:val="00EF32C0"/>
    <w:rsid w:val="00EF4A9E"/>
    <w:rsid w:val="00EF50A5"/>
    <w:rsid w:val="00EF5787"/>
    <w:rsid w:val="00EF5AA2"/>
    <w:rsid w:val="00F010F9"/>
    <w:rsid w:val="00F014D5"/>
    <w:rsid w:val="00F0250E"/>
    <w:rsid w:val="00F045BC"/>
    <w:rsid w:val="00F04B16"/>
    <w:rsid w:val="00F06567"/>
    <w:rsid w:val="00F06694"/>
    <w:rsid w:val="00F10E3E"/>
    <w:rsid w:val="00F11F8B"/>
    <w:rsid w:val="00F12A52"/>
    <w:rsid w:val="00F12DE3"/>
    <w:rsid w:val="00F154E7"/>
    <w:rsid w:val="00F1716D"/>
    <w:rsid w:val="00F204F6"/>
    <w:rsid w:val="00F227C9"/>
    <w:rsid w:val="00F24D23"/>
    <w:rsid w:val="00F25843"/>
    <w:rsid w:val="00F314EF"/>
    <w:rsid w:val="00F315C1"/>
    <w:rsid w:val="00F31AFD"/>
    <w:rsid w:val="00F31E69"/>
    <w:rsid w:val="00F322CF"/>
    <w:rsid w:val="00F34CFF"/>
    <w:rsid w:val="00F34DFE"/>
    <w:rsid w:val="00F364E1"/>
    <w:rsid w:val="00F36C3A"/>
    <w:rsid w:val="00F375F2"/>
    <w:rsid w:val="00F42517"/>
    <w:rsid w:val="00F425B9"/>
    <w:rsid w:val="00F4262D"/>
    <w:rsid w:val="00F42759"/>
    <w:rsid w:val="00F440DA"/>
    <w:rsid w:val="00F4418D"/>
    <w:rsid w:val="00F444CB"/>
    <w:rsid w:val="00F449E8"/>
    <w:rsid w:val="00F4545E"/>
    <w:rsid w:val="00F45E4B"/>
    <w:rsid w:val="00F461AD"/>
    <w:rsid w:val="00F46DC7"/>
    <w:rsid w:val="00F50D52"/>
    <w:rsid w:val="00F52EC8"/>
    <w:rsid w:val="00F5474B"/>
    <w:rsid w:val="00F559A2"/>
    <w:rsid w:val="00F55A0A"/>
    <w:rsid w:val="00F55B2B"/>
    <w:rsid w:val="00F572D3"/>
    <w:rsid w:val="00F611C5"/>
    <w:rsid w:val="00F63F7C"/>
    <w:rsid w:val="00F67B41"/>
    <w:rsid w:val="00F67CA1"/>
    <w:rsid w:val="00F67F30"/>
    <w:rsid w:val="00F70BDB"/>
    <w:rsid w:val="00F7176B"/>
    <w:rsid w:val="00F7196C"/>
    <w:rsid w:val="00F71B04"/>
    <w:rsid w:val="00F72B35"/>
    <w:rsid w:val="00F733AC"/>
    <w:rsid w:val="00F73DEC"/>
    <w:rsid w:val="00F74A21"/>
    <w:rsid w:val="00F75667"/>
    <w:rsid w:val="00F75E2C"/>
    <w:rsid w:val="00F76189"/>
    <w:rsid w:val="00F772BD"/>
    <w:rsid w:val="00F80365"/>
    <w:rsid w:val="00F80F19"/>
    <w:rsid w:val="00F83059"/>
    <w:rsid w:val="00F83B46"/>
    <w:rsid w:val="00F863C7"/>
    <w:rsid w:val="00F928EF"/>
    <w:rsid w:val="00F92B79"/>
    <w:rsid w:val="00F93E91"/>
    <w:rsid w:val="00F9546F"/>
    <w:rsid w:val="00F97FB4"/>
    <w:rsid w:val="00FA197D"/>
    <w:rsid w:val="00FA32B5"/>
    <w:rsid w:val="00FA3BFE"/>
    <w:rsid w:val="00FA683C"/>
    <w:rsid w:val="00FA696E"/>
    <w:rsid w:val="00FA6E4B"/>
    <w:rsid w:val="00FA732B"/>
    <w:rsid w:val="00FB0AED"/>
    <w:rsid w:val="00FB1E9B"/>
    <w:rsid w:val="00FB4760"/>
    <w:rsid w:val="00FB4F06"/>
    <w:rsid w:val="00FB5F19"/>
    <w:rsid w:val="00FB736C"/>
    <w:rsid w:val="00FC148E"/>
    <w:rsid w:val="00FC408A"/>
    <w:rsid w:val="00FC4404"/>
    <w:rsid w:val="00FC4653"/>
    <w:rsid w:val="00FC4C09"/>
    <w:rsid w:val="00FC617A"/>
    <w:rsid w:val="00FC6321"/>
    <w:rsid w:val="00FC6482"/>
    <w:rsid w:val="00FC7BA2"/>
    <w:rsid w:val="00FD1AD1"/>
    <w:rsid w:val="00FD1DC1"/>
    <w:rsid w:val="00FD407D"/>
    <w:rsid w:val="00FD4B8F"/>
    <w:rsid w:val="00FD52D9"/>
    <w:rsid w:val="00FD5886"/>
    <w:rsid w:val="00FD616F"/>
    <w:rsid w:val="00FD61E7"/>
    <w:rsid w:val="00FD64A4"/>
    <w:rsid w:val="00FD7D4F"/>
    <w:rsid w:val="00FE029C"/>
    <w:rsid w:val="00FE0956"/>
    <w:rsid w:val="00FE0D9C"/>
    <w:rsid w:val="00FE0DD9"/>
    <w:rsid w:val="00FE14BA"/>
    <w:rsid w:val="00FE1BC6"/>
    <w:rsid w:val="00FE2328"/>
    <w:rsid w:val="00FE48D8"/>
    <w:rsid w:val="00FE4B6E"/>
    <w:rsid w:val="00FE5060"/>
    <w:rsid w:val="00FE77C5"/>
    <w:rsid w:val="00FE7AFF"/>
    <w:rsid w:val="00FE7DDF"/>
    <w:rsid w:val="00FF0CF0"/>
    <w:rsid w:val="00FF1C38"/>
    <w:rsid w:val="00FF2231"/>
    <w:rsid w:val="00FF3ED7"/>
    <w:rsid w:val="00FF41D0"/>
    <w:rsid w:val="00FF5AE5"/>
    <w:rsid w:val="00FF5FE8"/>
  </w:rsids>
  <m:mathPr>
    <m:mathFont m:val="Cambria Math"/>
    <m:brkBin m:val="before"/>
    <m:brkBinSub m:val="--"/>
    <m:smallFrac m:val="0"/>
    <m:dispDef/>
    <m:lMargin m:val="0"/>
    <m:rMargin m:val="0"/>
    <m:defJc m:val="centerGroup"/>
    <m:wrapIndent m:val="1440"/>
    <m:intLim m:val="subSup"/>
    <m:naryLim m:val="undOvr"/>
  </m:mathPr>
  <w:themeFontLang w:val="en-ZA"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CC32D0-70BF-E045-B413-60FD2177B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A52"/>
    <w:rPr>
      <w:rFonts w:ascii="Times New Roman" w:eastAsia="Times New Roman" w:hAnsi="Times New Roman" w:cs="Times New Roman"/>
      <w:lang w:eastAsia="en-GB" w:bidi="yi-Hebr"/>
    </w:rPr>
  </w:style>
  <w:style w:type="paragraph" w:styleId="Heading2">
    <w:name w:val="heading 2"/>
    <w:basedOn w:val="Normal"/>
    <w:next w:val="Normal"/>
    <w:link w:val="Heading2Char"/>
    <w:uiPriority w:val="9"/>
    <w:unhideWhenUsed/>
    <w:qFormat/>
    <w:rsid w:val="004B5E9C"/>
    <w:pPr>
      <w:keepNext/>
      <w:keepLines/>
      <w:spacing w:before="40"/>
      <w:outlineLvl w:val="1"/>
    </w:pPr>
    <w:rPr>
      <w:rFonts w:asciiTheme="majorHAnsi" w:eastAsiaTheme="majorEastAsia" w:hAnsiTheme="majorHAnsi" w:cstheme="majorBidi"/>
      <w:color w:val="2F5496" w:themeColor="accent1" w:themeShade="BF"/>
      <w:sz w:val="26"/>
      <w:szCs w:val="26"/>
      <w:lang w:bidi="ar-SA"/>
    </w:rPr>
  </w:style>
  <w:style w:type="paragraph" w:styleId="Heading4">
    <w:name w:val="heading 4"/>
    <w:basedOn w:val="Normal"/>
    <w:link w:val="Heading4Char"/>
    <w:uiPriority w:val="9"/>
    <w:qFormat/>
    <w:rsid w:val="00564127"/>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37D"/>
    <w:pPr>
      <w:ind w:left="720"/>
      <w:contextualSpacing/>
    </w:pPr>
    <w:rPr>
      <w:rFonts w:asciiTheme="minorHAnsi" w:eastAsiaTheme="minorHAnsi" w:hAnsiTheme="minorHAnsi" w:cstheme="minorBidi"/>
      <w:lang w:eastAsia="en-US" w:bidi="ar-SA"/>
    </w:rPr>
  </w:style>
  <w:style w:type="paragraph" w:styleId="Header">
    <w:name w:val="header"/>
    <w:basedOn w:val="Normal"/>
    <w:link w:val="HeaderChar"/>
    <w:uiPriority w:val="99"/>
    <w:unhideWhenUsed/>
    <w:rsid w:val="00AD5B33"/>
    <w:pPr>
      <w:tabs>
        <w:tab w:val="center" w:pos="4513"/>
        <w:tab w:val="right" w:pos="9026"/>
      </w:tabs>
    </w:pPr>
    <w:rPr>
      <w:rFonts w:asciiTheme="minorHAnsi" w:eastAsiaTheme="minorHAnsi" w:hAnsiTheme="minorHAnsi" w:cstheme="minorBidi"/>
      <w:lang w:eastAsia="en-US" w:bidi="ar-SA"/>
    </w:rPr>
  </w:style>
  <w:style w:type="character" w:customStyle="1" w:styleId="HeaderChar">
    <w:name w:val="Header Char"/>
    <w:basedOn w:val="DefaultParagraphFont"/>
    <w:link w:val="Header"/>
    <w:uiPriority w:val="99"/>
    <w:rsid w:val="00AD5B33"/>
  </w:style>
  <w:style w:type="paragraph" w:styleId="Footer">
    <w:name w:val="footer"/>
    <w:basedOn w:val="Normal"/>
    <w:link w:val="FooterChar"/>
    <w:uiPriority w:val="99"/>
    <w:unhideWhenUsed/>
    <w:rsid w:val="00AD5B33"/>
    <w:pPr>
      <w:tabs>
        <w:tab w:val="center" w:pos="4513"/>
        <w:tab w:val="right" w:pos="9026"/>
      </w:tabs>
    </w:pPr>
    <w:rPr>
      <w:rFonts w:asciiTheme="minorHAnsi" w:eastAsiaTheme="minorHAnsi" w:hAnsiTheme="minorHAnsi" w:cstheme="minorBidi"/>
      <w:lang w:eastAsia="en-US" w:bidi="ar-SA"/>
    </w:rPr>
  </w:style>
  <w:style w:type="character" w:customStyle="1" w:styleId="FooterChar">
    <w:name w:val="Footer Char"/>
    <w:basedOn w:val="DefaultParagraphFont"/>
    <w:link w:val="Footer"/>
    <w:uiPriority w:val="99"/>
    <w:rsid w:val="00AD5B33"/>
  </w:style>
  <w:style w:type="character" w:styleId="PageNumber">
    <w:name w:val="page number"/>
    <w:uiPriority w:val="99"/>
    <w:unhideWhenUsed/>
    <w:rsid w:val="00AD5B33"/>
  </w:style>
  <w:style w:type="paragraph" w:styleId="NormalWeb">
    <w:name w:val="Normal (Web)"/>
    <w:basedOn w:val="Normal"/>
    <w:uiPriority w:val="99"/>
    <w:unhideWhenUsed/>
    <w:rsid w:val="0002081C"/>
    <w:pPr>
      <w:spacing w:before="100" w:beforeAutospacing="1" w:after="100" w:afterAutospacing="1"/>
    </w:pPr>
    <w:rPr>
      <w:lang w:bidi="ar-SA"/>
    </w:rPr>
  </w:style>
  <w:style w:type="paragraph" w:styleId="FootnoteText">
    <w:name w:val="footnote text"/>
    <w:aliases w:val="Bow_Footnote Text,BL_Footnote Text"/>
    <w:basedOn w:val="Normal"/>
    <w:link w:val="FootnoteTextChar"/>
    <w:uiPriority w:val="99"/>
    <w:unhideWhenUsed/>
    <w:qFormat/>
    <w:rsid w:val="00672501"/>
    <w:rPr>
      <w:rFonts w:asciiTheme="minorHAnsi" w:eastAsiaTheme="minorHAnsi" w:hAnsiTheme="minorHAnsi" w:cstheme="minorBidi"/>
      <w:sz w:val="20"/>
      <w:szCs w:val="20"/>
      <w:lang w:eastAsia="en-US" w:bidi="ar-SA"/>
    </w:rPr>
  </w:style>
  <w:style w:type="character" w:customStyle="1" w:styleId="FootnoteTextChar">
    <w:name w:val="Footnote Text Char"/>
    <w:aliases w:val="Bow_Footnote Text Char,BL_Footnote Text Char"/>
    <w:basedOn w:val="DefaultParagraphFont"/>
    <w:link w:val="FootnoteText"/>
    <w:uiPriority w:val="99"/>
    <w:rsid w:val="00672501"/>
    <w:rPr>
      <w:sz w:val="20"/>
      <w:szCs w:val="20"/>
    </w:rPr>
  </w:style>
  <w:style w:type="character" w:styleId="FootnoteReference">
    <w:name w:val="footnote reference"/>
    <w:aliases w:val="Bow_Footnote Reference,BL_Footnote Reference"/>
    <w:basedOn w:val="DefaultParagraphFont"/>
    <w:uiPriority w:val="99"/>
    <w:unhideWhenUsed/>
    <w:rsid w:val="00672501"/>
    <w:rPr>
      <w:vertAlign w:val="superscript"/>
    </w:rPr>
  </w:style>
  <w:style w:type="character" w:styleId="Hyperlink">
    <w:name w:val="Hyperlink"/>
    <w:basedOn w:val="DefaultParagraphFont"/>
    <w:uiPriority w:val="99"/>
    <w:unhideWhenUsed/>
    <w:rsid w:val="00846913"/>
    <w:rPr>
      <w:color w:val="0563C1" w:themeColor="hyperlink"/>
      <w:u w:val="single"/>
    </w:rPr>
  </w:style>
  <w:style w:type="character" w:customStyle="1" w:styleId="UnresolvedMention1">
    <w:name w:val="Unresolved Mention1"/>
    <w:basedOn w:val="DefaultParagraphFont"/>
    <w:uiPriority w:val="99"/>
    <w:semiHidden/>
    <w:unhideWhenUsed/>
    <w:rsid w:val="00846913"/>
    <w:rPr>
      <w:color w:val="605E5C"/>
      <w:shd w:val="clear" w:color="auto" w:fill="E1DFDD"/>
    </w:rPr>
  </w:style>
  <w:style w:type="character" w:customStyle="1" w:styleId="Heading4Char">
    <w:name w:val="Heading 4 Char"/>
    <w:basedOn w:val="DefaultParagraphFont"/>
    <w:link w:val="Heading4"/>
    <w:uiPriority w:val="9"/>
    <w:rsid w:val="00564127"/>
    <w:rPr>
      <w:rFonts w:ascii="Times New Roman" w:eastAsia="Times New Roman" w:hAnsi="Times New Roman" w:cs="Times New Roman"/>
      <w:b/>
      <w:bCs/>
      <w:lang w:eastAsia="en-GB" w:bidi="yi-Hebr"/>
    </w:rPr>
  </w:style>
  <w:style w:type="character" w:customStyle="1" w:styleId="apple-converted-space">
    <w:name w:val="apple-converted-space"/>
    <w:basedOn w:val="DefaultParagraphFont"/>
    <w:rsid w:val="00564127"/>
  </w:style>
  <w:style w:type="character" w:styleId="FollowedHyperlink">
    <w:name w:val="FollowedHyperlink"/>
    <w:basedOn w:val="DefaultParagraphFont"/>
    <w:uiPriority w:val="99"/>
    <w:semiHidden/>
    <w:unhideWhenUsed/>
    <w:rsid w:val="009E2ED5"/>
    <w:rPr>
      <w:color w:val="954F72" w:themeColor="followedHyperlink"/>
      <w:u w:val="single"/>
    </w:rPr>
  </w:style>
  <w:style w:type="character" w:customStyle="1" w:styleId="Heading2Char">
    <w:name w:val="Heading 2 Char"/>
    <w:basedOn w:val="DefaultParagraphFont"/>
    <w:link w:val="Heading2"/>
    <w:uiPriority w:val="9"/>
    <w:rsid w:val="004B5E9C"/>
    <w:rPr>
      <w:rFonts w:asciiTheme="majorHAnsi" w:eastAsiaTheme="majorEastAsia" w:hAnsiTheme="majorHAnsi" w:cstheme="majorBidi"/>
      <w:color w:val="2F5496" w:themeColor="accent1" w:themeShade="BF"/>
      <w:sz w:val="26"/>
      <w:szCs w:val="26"/>
      <w:lang w:eastAsia="en-GB"/>
    </w:rPr>
  </w:style>
  <w:style w:type="paragraph" w:styleId="BalloonText">
    <w:name w:val="Balloon Text"/>
    <w:basedOn w:val="Normal"/>
    <w:link w:val="BalloonTextChar"/>
    <w:uiPriority w:val="99"/>
    <w:semiHidden/>
    <w:unhideWhenUsed/>
    <w:rsid w:val="00B06F5D"/>
    <w:rPr>
      <w:rFonts w:ascii="Segoe UI" w:hAnsi="Segoe UI" w:cs="Segoe UI"/>
      <w:sz w:val="18"/>
      <w:szCs w:val="18"/>
      <w:lang w:bidi="ar-SA"/>
    </w:rPr>
  </w:style>
  <w:style w:type="character" w:customStyle="1" w:styleId="BalloonTextChar">
    <w:name w:val="Balloon Text Char"/>
    <w:basedOn w:val="DefaultParagraphFont"/>
    <w:link w:val="BalloonText"/>
    <w:uiPriority w:val="99"/>
    <w:semiHidden/>
    <w:rsid w:val="00B06F5D"/>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EF3095"/>
    <w:rPr>
      <w:sz w:val="16"/>
      <w:szCs w:val="16"/>
    </w:rPr>
  </w:style>
  <w:style w:type="paragraph" w:styleId="CommentText">
    <w:name w:val="annotation text"/>
    <w:basedOn w:val="Normal"/>
    <w:link w:val="CommentTextChar"/>
    <w:uiPriority w:val="99"/>
    <w:unhideWhenUsed/>
    <w:rsid w:val="00EF3095"/>
    <w:rPr>
      <w:sz w:val="20"/>
      <w:szCs w:val="20"/>
      <w:lang w:bidi="ar-SA"/>
    </w:rPr>
  </w:style>
  <w:style w:type="character" w:customStyle="1" w:styleId="CommentTextChar">
    <w:name w:val="Comment Text Char"/>
    <w:basedOn w:val="DefaultParagraphFont"/>
    <w:link w:val="CommentText"/>
    <w:uiPriority w:val="99"/>
    <w:rsid w:val="00EF309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F3095"/>
    <w:rPr>
      <w:b/>
      <w:bCs/>
    </w:rPr>
  </w:style>
  <w:style w:type="character" w:customStyle="1" w:styleId="CommentSubjectChar">
    <w:name w:val="Comment Subject Char"/>
    <w:basedOn w:val="CommentTextChar"/>
    <w:link w:val="CommentSubject"/>
    <w:uiPriority w:val="99"/>
    <w:semiHidden/>
    <w:rsid w:val="00EF3095"/>
    <w:rPr>
      <w:rFonts w:ascii="Times New Roman" w:eastAsia="Times New Roman" w:hAnsi="Times New Roman" w:cs="Times New Roman"/>
      <w:b/>
      <w:bCs/>
      <w:sz w:val="20"/>
      <w:szCs w:val="20"/>
      <w:lang w:eastAsia="en-GB"/>
    </w:rPr>
  </w:style>
  <w:style w:type="character" w:customStyle="1" w:styleId="mc2">
    <w:name w:val="mc2"/>
    <w:basedOn w:val="DefaultParagraphFont"/>
    <w:rsid w:val="007D087F"/>
    <w:rPr>
      <w:rFonts w:ascii="Verdana" w:hAnsi="Verdana" w:hint="default"/>
      <w:b w:val="0"/>
      <w:bCs w:val="0"/>
      <w:i w:val="0"/>
      <w:iCs w:val="0"/>
      <w:color w:val="000000"/>
      <w:sz w:val="13"/>
      <w:szCs w:val="13"/>
      <w:shd w:val="clear" w:color="auto" w:fill="C0C0C0"/>
    </w:rPr>
  </w:style>
  <w:style w:type="table" w:styleId="TableGrid">
    <w:name w:val="Table Grid"/>
    <w:basedOn w:val="TableNormal"/>
    <w:uiPriority w:val="39"/>
    <w:rsid w:val="001D1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pa">
    <w:name w:val="ipa"/>
    <w:basedOn w:val="DefaultParagraphFont"/>
    <w:rsid w:val="007E54AA"/>
  </w:style>
  <w:style w:type="character" w:customStyle="1" w:styleId="gramgrp">
    <w:name w:val="gramgrp"/>
    <w:basedOn w:val="DefaultParagraphFont"/>
    <w:rsid w:val="00C602E7"/>
  </w:style>
  <w:style w:type="character" w:customStyle="1" w:styleId="hi">
    <w:name w:val="hi"/>
    <w:basedOn w:val="DefaultParagraphFont"/>
    <w:rsid w:val="00C602E7"/>
  </w:style>
  <w:style w:type="character" w:customStyle="1" w:styleId="UnresolvedMention2">
    <w:name w:val="Unresolved Mention2"/>
    <w:basedOn w:val="DefaultParagraphFont"/>
    <w:uiPriority w:val="99"/>
    <w:semiHidden/>
    <w:unhideWhenUsed/>
    <w:rsid w:val="00C602E7"/>
    <w:rPr>
      <w:color w:val="605E5C"/>
      <w:shd w:val="clear" w:color="auto" w:fill="E1DFDD"/>
    </w:rPr>
  </w:style>
  <w:style w:type="paragraph" w:customStyle="1" w:styleId="Default">
    <w:name w:val="Default"/>
    <w:rsid w:val="00875A03"/>
    <w:pPr>
      <w:autoSpaceDE w:val="0"/>
      <w:autoSpaceDN w:val="0"/>
      <w:adjustRightInd w:val="0"/>
    </w:pPr>
    <w:rPr>
      <w:rFonts w:ascii="Times New Roman" w:hAnsi="Times New Roman" w:cs="Times New Roman"/>
      <w:color w:val="000000"/>
      <w:lang w:val="en-GB"/>
    </w:rPr>
  </w:style>
  <w:style w:type="character" w:styleId="Strong">
    <w:name w:val="Strong"/>
    <w:basedOn w:val="DefaultParagraphFont"/>
    <w:uiPriority w:val="22"/>
    <w:qFormat/>
    <w:rsid w:val="00177D9A"/>
    <w:rPr>
      <w:b/>
      <w:bCs/>
    </w:rPr>
  </w:style>
  <w:style w:type="paragraph" w:styleId="Revision">
    <w:name w:val="Revision"/>
    <w:hidden/>
    <w:uiPriority w:val="99"/>
    <w:semiHidden/>
    <w:rsid w:val="009001A0"/>
    <w:rPr>
      <w:rFonts w:ascii="Times New Roman" w:eastAsia="Times New Roman" w:hAnsi="Times New Roman" w:cs="Times New Roman"/>
      <w:lang w:eastAsia="en-GB" w:bidi="yi-Hebr"/>
    </w:rPr>
  </w:style>
  <w:style w:type="character" w:styleId="Emphasis">
    <w:name w:val="Emphasis"/>
    <w:basedOn w:val="DefaultParagraphFont"/>
    <w:uiPriority w:val="20"/>
    <w:qFormat/>
    <w:rsid w:val="00CC5C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8383">
      <w:bodyDiv w:val="1"/>
      <w:marLeft w:val="0"/>
      <w:marRight w:val="0"/>
      <w:marTop w:val="0"/>
      <w:marBottom w:val="0"/>
      <w:divBdr>
        <w:top w:val="none" w:sz="0" w:space="0" w:color="auto"/>
        <w:left w:val="none" w:sz="0" w:space="0" w:color="auto"/>
        <w:bottom w:val="none" w:sz="0" w:space="0" w:color="auto"/>
        <w:right w:val="none" w:sz="0" w:space="0" w:color="auto"/>
      </w:divBdr>
    </w:div>
    <w:div w:id="34550611">
      <w:bodyDiv w:val="1"/>
      <w:marLeft w:val="0"/>
      <w:marRight w:val="0"/>
      <w:marTop w:val="0"/>
      <w:marBottom w:val="0"/>
      <w:divBdr>
        <w:top w:val="none" w:sz="0" w:space="0" w:color="auto"/>
        <w:left w:val="none" w:sz="0" w:space="0" w:color="auto"/>
        <w:bottom w:val="none" w:sz="0" w:space="0" w:color="auto"/>
        <w:right w:val="none" w:sz="0" w:space="0" w:color="auto"/>
      </w:divBdr>
    </w:div>
    <w:div w:id="71858118">
      <w:bodyDiv w:val="1"/>
      <w:marLeft w:val="0"/>
      <w:marRight w:val="0"/>
      <w:marTop w:val="0"/>
      <w:marBottom w:val="0"/>
      <w:divBdr>
        <w:top w:val="none" w:sz="0" w:space="0" w:color="auto"/>
        <w:left w:val="none" w:sz="0" w:space="0" w:color="auto"/>
        <w:bottom w:val="none" w:sz="0" w:space="0" w:color="auto"/>
        <w:right w:val="none" w:sz="0" w:space="0" w:color="auto"/>
      </w:divBdr>
    </w:div>
    <w:div w:id="97068751">
      <w:bodyDiv w:val="1"/>
      <w:marLeft w:val="0"/>
      <w:marRight w:val="0"/>
      <w:marTop w:val="0"/>
      <w:marBottom w:val="0"/>
      <w:divBdr>
        <w:top w:val="none" w:sz="0" w:space="0" w:color="auto"/>
        <w:left w:val="none" w:sz="0" w:space="0" w:color="auto"/>
        <w:bottom w:val="none" w:sz="0" w:space="0" w:color="auto"/>
        <w:right w:val="none" w:sz="0" w:space="0" w:color="auto"/>
      </w:divBdr>
    </w:div>
    <w:div w:id="120459500">
      <w:bodyDiv w:val="1"/>
      <w:marLeft w:val="0"/>
      <w:marRight w:val="0"/>
      <w:marTop w:val="0"/>
      <w:marBottom w:val="0"/>
      <w:divBdr>
        <w:top w:val="none" w:sz="0" w:space="0" w:color="auto"/>
        <w:left w:val="none" w:sz="0" w:space="0" w:color="auto"/>
        <w:bottom w:val="none" w:sz="0" w:space="0" w:color="auto"/>
        <w:right w:val="none" w:sz="0" w:space="0" w:color="auto"/>
      </w:divBdr>
    </w:div>
    <w:div w:id="138229482">
      <w:bodyDiv w:val="1"/>
      <w:marLeft w:val="0"/>
      <w:marRight w:val="0"/>
      <w:marTop w:val="0"/>
      <w:marBottom w:val="0"/>
      <w:divBdr>
        <w:top w:val="none" w:sz="0" w:space="0" w:color="auto"/>
        <w:left w:val="none" w:sz="0" w:space="0" w:color="auto"/>
        <w:bottom w:val="none" w:sz="0" w:space="0" w:color="auto"/>
        <w:right w:val="none" w:sz="0" w:space="0" w:color="auto"/>
      </w:divBdr>
    </w:div>
    <w:div w:id="142740920">
      <w:bodyDiv w:val="1"/>
      <w:marLeft w:val="0"/>
      <w:marRight w:val="0"/>
      <w:marTop w:val="0"/>
      <w:marBottom w:val="0"/>
      <w:divBdr>
        <w:top w:val="none" w:sz="0" w:space="0" w:color="auto"/>
        <w:left w:val="none" w:sz="0" w:space="0" w:color="auto"/>
        <w:bottom w:val="none" w:sz="0" w:space="0" w:color="auto"/>
        <w:right w:val="none" w:sz="0" w:space="0" w:color="auto"/>
      </w:divBdr>
    </w:div>
    <w:div w:id="189413326">
      <w:bodyDiv w:val="1"/>
      <w:marLeft w:val="0"/>
      <w:marRight w:val="0"/>
      <w:marTop w:val="0"/>
      <w:marBottom w:val="0"/>
      <w:divBdr>
        <w:top w:val="none" w:sz="0" w:space="0" w:color="auto"/>
        <w:left w:val="none" w:sz="0" w:space="0" w:color="auto"/>
        <w:bottom w:val="none" w:sz="0" w:space="0" w:color="auto"/>
        <w:right w:val="none" w:sz="0" w:space="0" w:color="auto"/>
      </w:divBdr>
    </w:div>
    <w:div w:id="197665575">
      <w:bodyDiv w:val="1"/>
      <w:marLeft w:val="0"/>
      <w:marRight w:val="0"/>
      <w:marTop w:val="0"/>
      <w:marBottom w:val="0"/>
      <w:divBdr>
        <w:top w:val="none" w:sz="0" w:space="0" w:color="auto"/>
        <w:left w:val="none" w:sz="0" w:space="0" w:color="auto"/>
        <w:bottom w:val="none" w:sz="0" w:space="0" w:color="auto"/>
        <w:right w:val="none" w:sz="0" w:space="0" w:color="auto"/>
      </w:divBdr>
    </w:div>
    <w:div w:id="202668636">
      <w:bodyDiv w:val="1"/>
      <w:marLeft w:val="0"/>
      <w:marRight w:val="0"/>
      <w:marTop w:val="0"/>
      <w:marBottom w:val="0"/>
      <w:divBdr>
        <w:top w:val="none" w:sz="0" w:space="0" w:color="auto"/>
        <w:left w:val="none" w:sz="0" w:space="0" w:color="auto"/>
        <w:bottom w:val="none" w:sz="0" w:space="0" w:color="auto"/>
        <w:right w:val="none" w:sz="0" w:space="0" w:color="auto"/>
      </w:divBdr>
    </w:div>
    <w:div w:id="238298476">
      <w:bodyDiv w:val="1"/>
      <w:marLeft w:val="0"/>
      <w:marRight w:val="0"/>
      <w:marTop w:val="0"/>
      <w:marBottom w:val="0"/>
      <w:divBdr>
        <w:top w:val="none" w:sz="0" w:space="0" w:color="auto"/>
        <w:left w:val="none" w:sz="0" w:space="0" w:color="auto"/>
        <w:bottom w:val="none" w:sz="0" w:space="0" w:color="auto"/>
        <w:right w:val="none" w:sz="0" w:space="0" w:color="auto"/>
      </w:divBdr>
    </w:div>
    <w:div w:id="240455782">
      <w:bodyDiv w:val="1"/>
      <w:marLeft w:val="0"/>
      <w:marRight w:val="0"/>
      <w:marTop w:val="0"/>
      <w:marBottom w:val="0"/>
      <w:divBdr>
        <w:top w:val="none" w:sz="0" w:space="0" w:color="auto"/>
        <w:left w:val="none" w:sz="0" w:space="0" w:color="auto"/>
        <w:bottom w:val="none" w:sz="0" w:space="0" w:color="auto"/>
        <w:right w:val="none" w:sz="0" w:space="0" w:color="auto"/>
      </w:divBdr>
    </w:div>
    <w:div w:id="245454628">
      <w:bodyDiv w:val="1"/>
      <w:marLeft w:val="0"/>
      <w:marRight w:val="0"/>
      <w:marTop w:val="0"/>
      <w:marBottom w:val="0"/>
      <w:divBdr>
        <w:top w:val="none" w:sz="0" w:space="0" w:color="auto"/>
        <w:left w:val="none" w:sz="0" w:space="0" w:color="auto"/>
        <w:bottom w:val="none" w:sz="0" w:space="0" w:color="auto"/>
        <w:right w:val="none" w:sz="0" w:space="0" w:color="auto"/>
      </w:divBdr>
    </w:div>
    <w:div w:id="256332013">
      <w:bodyDiv w:val="1"/>
      <w:marLeft w:val="0"/>
      <w:marRight w:val="0"/>
      <w:marTop w:val="0"/>
      <w:marBottom w:val="0"/>
      <w:divBdr>
        <w:top w:val="none" w:sz="0" w:space="0" w:color="auto"/>
        <w:left w:val="none" w:sz="0" w:space="0" w:color="auto"/>
        <w:bottom w:val="none" w:sz="0" w:space="0" w:color="auto"/>
        <w:right w:val="none" w:sz="0" w:space="0" w:color="auto"/>
      </w:divBdr>
    </w:div>
    <w:div w:id="279070217">
      <w:bodyDiv w:val="1"/>
      <w:marLeft w:val="0"/>
      <w:marRight w:val="0"/>
      <w:marTop w:val="0"/>
      <w:marBottom w:val="0"/>
      <w:divBdr>
        <w:top w:val="none" w:sz="0" w:space="0" w:color="auto"/>
        <w:left w:val="none" w:sz="0" w:space="0" w:color="auto"/>
        <w:bottom w:val="none" w:sz="0" w:space="0" w:color="auto"/>
        <w:right w:val="none" w:sz="0" w:space="0" w:color="auto"/>
      </w:divBdr>
      <w:divsChild>
        <w:div w:id="1351374851">
          <w:marLeft w:val="0"/>
          <w:marRight w:val="0"/>
          <w:marTop w:val="0"/>
          <w:marBottom w:val="0"/>
          <w:divBdr>
            <w:top w:val="none" w:sz="0" w:space="0" w:color="auto"/>
            <w:left w:val="none" w:sz="0" w:space="0" w:color="auto"/>
            <w:bottom w:val="none" w:sz="0" w:space="0" w:color="auto"/>
            <w:right w:val="none" w:sz="0" w:space="0" w:color="auto"/>
          </w:divBdr>
          <w:divsChild>
            <w:div w:id="1079904612">
              <w:marLeft w:val="0"/>
              <w:marRight w:val="0"/>
              <w:marTop w:val="0"/>
              <w:marBottom w:val="0"/>
              <w:divBdr>
                <w:top w:val="none" w:sz="0" w:space="0" w:color="auto"/>
                <w:left w:val="none" w:sz="0" w:space="0" w:color="auto"/>
                <w:bottom w:val="none" w:sz="0" w:space="0" w:color="auto"/>
                <w:right w:val="none" w:sz="0" w:space="0" w:color="auto"/>
              </w:divBdr>
              <w:divsChild>
                <w:div w:id="656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17578">
      <w:bodyDiv w:val="1"/>
      <w:marLeft w:val="0"/>
      <w:marRight w:val="0"/>
      <w:marTop w:val="0"/>
      <w:marBottom w:val="0"/>
      <w:divBdr>
        <w:top w:val="none" w:sz="0" w:space="0" w:color="auto"/>
        <w:left w:val="none" w:sz="0" w:space="0" w:color="auto"/>
        <w:bottom w:val="none" w:sz="0" w:space="0" w:color="auto"/>
        <w:right w:val="none" w:sz="0" w:space="0" w:color="auto"/>
      </w:divBdr>
    </w:div>
    <w:div w:id="371729193">
      <w:bodyDiv w:val="1"/>
      <w:marLeft w:val="0"/>
      <w:marRight w:val="0"/>
      <w:marTop w:val="0"/>
      <w:marBottom w:val="0"/>
      <w:divBdr>
        <w:top w:val="none" w:sz="0" w:space="0" w:color="auto"/>
        <w:left w:val="none" w:sz="0" w:space="0" w:color="auto"/>
        <w:bottom w:val="none" w:sz="0" w:space="0" w:color="auto"/>
        <w:right w:val="none" w:sz="0" w:space="0" w:color="auto"/>
      </w:divBdr>
    </w:div>
    <w:div w:id="395663024">
      <w:bodyDiv w:val="1"/>
      <w:marLeft w:val="0"/>
      <w:marRight w:val="0"/>
      <w:marTop w:val="0"/>
      <w:marBottom w:val="0"/>
      <w:divBdr>
        <w:top w:val="none" w:sz="0" w:space="0" w:color="auto"/>
        <w:left w:val="none" w:sz="0" w:space="0" w:color="auto"/>
        <w:bottom w:val="none" w:sz="0" w:space="0" w:color="auto"/>
        <w:right w:val="none" w:sz="0" w:space="0" w:color="auto"/>
      </w:divBdr>
    </w:div>
    <w:div w:id="413404065">
      <w:bodyDiv w:val="1"/>
      <w:marLeft w:val="0"/>
      <w:marRight w:val="0"/>
      <w:marTop w:val="0"/>
      <w:marBottom w:val="0"/>
      <w:divBdr>
        <w:top w:val="none" w:sz="0" w:space="0" w:color="auto"/>
        <w:left w:val="none" w:sz="0" w:space="0" w:color="auto"/>
        <w:bottom w:val="none" w:sz="0" w:space="0" w:color="auto"/>
        <w:right w:val="none" w:sz="0" w:space="0" w:color="auto"/>
      </w:divBdr>
      <w:divsChild>
        <w:div w:id="623850532">
          <w:marLeft w:val="0"/>
          <w:marRight w:val="0"/>
          <w:marTop w:val="0"/>
          <w:marBottom w:val="0"/>
          <w:divBdr>
            <w:top w:val="none" w:sz="0" w:space="0" w:color="auto"/>
            <w:left w:val="none" w:sz="0" w:space="0" w:color="auto"/>
            <w:bottom w:val="none" w:sz="0" w:space="0" w:color="auto"/>
            <w:right w:val="none" w:sz="0" w:space="0" w:color="auto"/>
          </w:divBdr>
          <w:divsChild>
            <w:div w:id="212036183">
              <w:marLeft w:val="0"/>
              <w:marRight w:val="0"/>
              <w:marTop w:val="0"/>
              <w:marBottom w:val="0"/>
              <w:divBdr>
                <w:top w:val="none" w:sz="0" w:space="0" w:color="auto"/>
                <w:left w:val="none" w:sz="0" w:space="0" w:color="auto"/>
                <w:bottom w:val="none" w:sz="0" w:space="0" w:color="auto"/>
                <w:right w:val="none" w:sz="0" w:space="0" w:color="auto"/>
              </w:divBdr>
              <w:divsChild>
                <w:div w:id="139122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9352">
          <w:marLeft w:val="0"/>
          <w:marRight w:val="0"/>
          <w:marTop w:val="0"/>
          <w:marBottom w:val="0"/>
          <w:divBdr>
            <w:top w:val="none" w:sz="0" w:space="0" w:color="auto"/>
            <w:left w:val="none" w:sz="0" w:space="0" w:color="auto"/>
            <w:bottom w:val="none" w:sz="0" w:space="0" w:color="auto"/>
            <w:right w:val="none" w:sz="0" w:space="0" w:color="auto"/>
          </w:divBdr>
          <w:divsChild>
            <w:div w:id="176431049">
              <w:marLeft w:val="0"/>
              <w:marRight w:val="0"/>
              <w:marTop w:val="0"/>
              <w:marBottom w:val="0"/>
              <w:divBdr>
                <w:top w:val="none" w:sz="0" w:space="0" w:color="auto"/>
                <w:left w:val="none" w:sz="0" w:space="0" w:color="auto"/>
                <w:bottom w:val="none" w:sz="0" w:space="0" w:color="auto"/>
                <w:right w:val="none" w:sz="0" w:space="0" w:color="auto"/>
              </w:divBdr>
              <w:divsChild>
                <w:div w:id="1443456084">
                  <w:marLeft w:val="0"/>
                  <w:marRight w:val="0"/>
                  <w:marTop w:val="0"/>
                  <w:marBottom w:val="0"/>
                  <w:divBdr>
                    <w:top w:val="none" w:sz="0" w:space="0" w:color="auto"/>
                    <w:left w:val="none" w:sz="0" w:space="0" w:color="auto"/>
                    <w:bottom w:val="none" w:sz="0" w:space="0" w:color="auto"/>
                    <w:right w:val="none" w:sz="0" w:space="0" w:color="auto"/>
                  </w:divBdr>
                </w:div>
              </w:divsChild>
            </w:div>
            <w:div w:id="942959709">
              <w:marLeft w:val="0"/>
              <w:marRight w:val="0"/>
              <w:marTop w:val="0"/>
              <w:marBottom w:val="0"/>
              <w:divBdr>
                <w:top w:val="none" w:sz="0" w:space="0" w:color="auto"/>
                <w:left w:val="none" w:sz="0" w:space="0" w:color="auto"/>
                <w:bottom w:val="none" w:sz="0" w:space="0" w:color="auto"/>
                <w:right w:val="none" w:sz="0" w:space="0" w:color="auto"/>
              </w:divBdr>
              <w:divsChild>
                <w:div w:id="190324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472243">
      <w:bodyDiv w:val="1"/>
      <w:marLeft w:val="0"/>
      <w:marRight w:val="0"/>
      <w:marTop w:val="0"/>
      <w:marBottom w:val="0"/>
      <w:divBdr>
        <w:top w:val="none" w:sz="0" w:space="0" w:color="auto"/>
        <w:left w:val="none" w:sz="0" w:space="0" w:color="auto"/>
        <w:bottom w:val="none" w:sz="0" w:space="0" w:color="auto"/>
        <w:right w:val="none" w:sz="0" w:space="0" w:color="auto"/>
      </w:divBdr>
    </w:div>
    <w:div w:id="415640006">
      <w:bodyDiv w:val="1"/>
      <w:marLeft w:val="0"/>
      <w:marRight w:val="0"/>
      <w:marTop w:val="0"/>
      <w:marBottom w:val="0"/>
      <w:divBdr>
        <w:top w:val="none" w:sz="0" w:space="0" w:color="auto"/>
        <w:left w:val="none" w:sz="0" w:space="0" w:color="auto"/>
        <w:bottom w:val="none" w:sz="0" w:space="0" w:color="auto"/>
        <w:right w:val="none" w:sz="0" w:space="0" w:color="auto"/>
      </w:divBdr>
    </w:div>
    <w:div w:id="498621507">
      <w:bodyDiv w:val="1"/>
      <w:marLeft w:val="0"/>
      <w:marRight w:val="0"/>
      <w:marTop w:val="0"/>
      <w:marBottom w:val="0"/>
      <w:divBdr>
        <w:top w:val="none" w:sz="0" w:space="0" w:color="auto"/>
        <w:left w:val="none" w:sz="0" w:space="0" w:color="auto"/>
        <w:bottom w:val="none" w:sz="0" w:space="0" w:color="auto"/>
        <w:right w:val="none" w:sz="0" w:space="0" w:color="auto"/>
      </w:divBdr>
    </w:div>
    <w:div w:id="504127130">
      <w:bodyDiv w:val="1"/>
      <w:marLeft w:val="0"/>
      <w:marRight w:val="0"/>
      <w:marTop w:val="0"/>
      <w:marBottom w:val="0"/>
      <w:divBdr>
        <w:top w:val="none" w:sz="0" w:space="0" w:color="auto"/>
        <w:left w:val="none" w:sz="0" w:space="0" w:color="auto"/>
        <w:bottom w:val="none" w:sz="0" w:space="0" w:color="auto"/>
        <w:right w:val="none" w:sz="0" w:space="0" w:color="auto"/>
      </w:divBdr>
      <w:divsChild>
        <w:div w:id="754278634">
          <w:marLeft w:val="0"/>
          <w:marRight w:val="0"/>
          <w:marTop w:val="0"/>
          <w:marBottom w:val="0"/>
          <w:divBdr>
            <w:top w:val="none" w:sz="0" w:space="0" w:color="auto"/>
            <w:left w:val="none" w:sz="0" w:space="0" w:color="auto"/>
            <w:bottom w:val="none" w:sz="0" w:space="0" w:color="auto"/>
            <w:right w:val="none" w:sz="0" w:space="0" w:color="auto"/>
          </w:divBdr>
          <w:divsChild>
            <w:div w:id="481432962">
              <w:marLeft w:val="0"/>
              <w:marRight w:val="0"/>
              <w:marTop w:val="0"/>
              <w:marBottom w:val="0"/>
              <w:divBdr>
                <w:top w:val="none" w:sz="0" w:space="0" w:color="auto"/>
                <w:left w:val="none" w:sz="0" w:space="0" w:color="auto"/>
                <w:bottom w:val="none" w:sz="0" w:space="0" w:color="auto"/>
                <w:right w:val="none" w:sz="0" w:space="0" w:color="auto"/>
              </w:divBdr>
              <w:divsChild>
                <w:div w:id="200635211">
                  <w:marLeft w:val="0"/>
                  <w:marRight w:val="0"/>
                  <w:marTop w:val="0"/>
                  <w:marBottom w:val="0"/>
                  <w:divBdr>
                    <w:top w:val="none" w:sz="0" w:space="0" w:color="auto"/>
                    <w:left w:val="none" w:sz="0" w:space="0" w:color="auto"/>
                    <w:bottom w:val="none" w:sz="0" w:space="0" w:color="auto"/>
                    <w:right w:val="none" w:sz="0" w:space="0" w:color="auto"/>
                  </w:divBdr>
                </w:div>
              </w:divsChild>
            </w:div>
            <w:div w:id="730541043">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0"/>
                  <w:marRight w:val="0"/>
                  <w:marTop w:val="0"/>
                  <w:marBottom w:val="0"/>
                  <w:divBdr>
                    <w:top w:val="none" w:sz="0" w:space="0" w:color="auto"/>
                    <w:left w:val="none" w:sz="0" w:space="0" w:color="auto"/>
                    <w:bottom w:val="none" w:sz="0" w:space="0" w:color="auto"/>
                    <w:right w:val="none" w:sz="0" w:space="0" w:color="auto"/>
                  </w:divBdr>
                </w:div>
              </w:divsChild>
            </w:div>
            <w:div w:id="2066836226">
              <w:marLeft w:val="0"/>
              <w:marRight w:val="0"/>
              <w:marTop w:val="0"/>
              <w:marBottom w:val="0"/>
              <w:divBdr>
                <w:top w:val="none" w:sz="0" w:space="0" w:color="auto"/>
                <w:left w:val="none" w:sz="0" w:space="0" w:color="auto"/>
                <w:bottom w:val="none" w:sz="0" w:space="0" w:color="auto"/>
                <w:right w:val="none" w:sz="0" w:space="0" w:color="auto"/>
              </w:divBdr>
              <w:divsChild>
                <w:div w:id="18262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581294">
      <w:bodyDiv w:val="1"/>
      <w:marLeft w:val="0"/>
      <w:marRight w:val="0"/>
      <w:marTop w:val="0"/>
      <w:marBottom w:val="0"/>
      <w:divBdr>
        <w:top w:val="none" w:sz="0" w:space="0" w:color="auto"/>
        <w:left w:val="none" w:sz="0" w:space="0" w:color="auto"/>
        <w:bottom w:val="none" w:sz="0" w:space="0" w:color="auto"/>
        <w:right w:val="none" w:sz="0" w:space="0" w:color="auto"/>
      </w:divBdr>
      <w:divsChild>
        <w:div w:id="20596578">
          <w:marLeft w:val="0"/>
          <w:marRight w:val="0"/>
          <w:marTop w:val="0"/>
          <w:marBottom w:val="0"/>
          <w:divBdr>
            <w:top w:val="none" w:sz="0" w:space="0" w:color="auto"/>
            <w:left w:val="none" w:sz="0" w:space="0" w:color="auto"/>
            <w:bottom w:val="none" w:sz="0" w:space="0" w:color="auto"/>
            <w:right w:val="none" w:sz="0" w:space="0" w:color="auto"/>
          </w:divBdr>
          <w:divsChild>
            <w:div w:id="400758619">
              <w:marLeft w:val="0"/>
              <w:marRight w:val="0"/>
              <w:marTop w:val="0"/>
              <w:marBottom w:val="0"/>
              <w:divBdr>
                <w:top w:val="none" w:sz="0" w:space="0" w:color="auto"/>
                <w:left w:val="none" w:sz="0" w:space="0" w:color="auto"/>
                <w:bottom w:val="none" w:sz="0" w:space="0" w:color="auto"/>
                <w:right w:val="none" w:sz="0" w:space="0" w:color="auto"/>
              </w:divBdr>
              <w:divsChild>
                <w:div w:id="127331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86065">
      <w:bodyDiv w:val="1"/>
      <w:marLeft w:val="0"/>
      <w:marRight w:val="0"/>
      <w:marTop w:val="0"/>
      <w:marBottom w:val="0"/>
      <w:divBdr>
        <w:top w:val="none" w:sz="0" w:space="0" w:color="auto"/>
        <w:left w:val="none" w:sz="0" w:space="0" w:color="auto"/>
        <w:bottom w:val="none" w:sz="0" w:space="0" w:color="auto"/>
        <w:right w:val="none" w:sz="0" w:space="0" w:color="auto"/>
      </w:divBdr>
    </w:div>
    <w:div w:id="529148511">
      <w:bodyDiv w:val="1"/>
      <w:marLeft w:val="0"/>
      <w:marRight w:val="0"/>
      <w:marTop w:val="0"/>
      <w:marBottom w:val="0"/>
      <w:divBdr>
        <w:top w:val="none" w:sz="0" w:space="0" w:color="auto"/>
        <w:left w:val="none" w:sz="0" w:space="0" w:color="auto"/>
        <w:bottom w:val="none" w:sz="0" w:space="0" w:color="auto"/>
        <w:right w:val="none" w:sz="0" w:space="0" w:color="auto"/>
      </w:divBdr>
    </w:div>
    <w:div w:id="531378572">
      <w:bodyDiv w:val="1"/>
      <w:marLeft w:val="0"/>
      <w:marRight w:val="0"/>
      <w:marTop w:val="0"/>
      <w:marBottom w:val="0"/>
      <w:divBdr>
        <w:top w:val="none" w:sz="0" w:space="0" w:color="auto"/>
        <w:left w:val="none" w:sz="0" w:space="0" w:color="auto"/>
        <w:bottom w:val="none" w:sz="0" w:space="0" w:color="auto"/>
        <w:right w:val="none" w:sz="0" w:space="0" w:color="auto"/>
      </w:divBdr>
      <w:divsChild>
        <w:div w:id="226496203">
          <w:marLeft w:val="0"/>
          <w:marRight w:val="0"/>
          <w:marTop w:val="0"/>
          <w:marBottom w:val="0"/>
          <w:divBdr>
            <w:top w:val="none" w:sz="0" w:space="0" w:color="auto"/>
            <w:left w:val="none" w:sz="0" w:space="0" w:color="auto"/>
            <w:bottom w:val="none" w:sz="0" w:space="0" w:color="auto"/>
            <w:right w:val="none" w:sz="0" w:space="0" w:color="auto"/>
          </w:divBdr>
          <w:divsChild>
            <w:div w:id="1975132830">
              <w:marLeft w:val="0"/>
              <w:marRight w:val="0"/>
              <w:marTop w:val="0"/>
              <w:marBottom w:val="0"/>
              <w:divBdr>
                <w:top w:val="none" w:sz="0" w:space="0" w:color="auto"/>
                <w:left w:val="none" w:sz="0" w:space="0" w:color="auto"/>
                <w:bottom w:val="none" w:sz="0" w:space="0" w:color="auto"/>
                <w:right w:val="none" w:sz="0" w:space="0" w:color="auto"/>
              </w:divBdr>
              <w:divsChild>
                <w:div w:id="194000356">
                  <w:marLeft w:val="0"/>
                  <w:marRight w:val="0"/>
                  <w:marTop w:val="0"/>
                  <w:marBottom w:val="0"/>
                  <w:divBdr>
                    <w:top w:val="none" w:sz="0" w:space="0" w:color="auto"/>
                    <w:left w:val="none" w:sz="0" w:space="0" w:color="auto"/>
                    <w:bottom w:val="none" w:sz="0" w:space="0" w:color="auto"/>
                    <w:right w:val="none" w:sz="0" w:space="0" w:color="auto"/>
                  </w:divBdr>
                  <w:divsChild>
                    <w:div w:id="2114979318">
                      <w:marLeft w:val="0"/>
                      <w:marRight w:val="0"/>
                      <w:marTop w:val="0"/>
                      <w:marBottom w:val="0"/>
                      <w:divBdr>
                        <w:top w:val="none" w:sz="0" w:space="0" w:color="auto"/>
                        <w:left w:val="none" w:sz="0" w:space="0" w:color="auto"/>
                        <w:bottom w:val="none" w:sz="0" w:space="0" w:color="auto"/>
                        <w:right w:val="none" w:sz="0" w:space="0" w:color="auto"/>
                      </w:divBdr>
                    </w:div>
                    <w:div w:id="16672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279225">
      <w:bodyDiv w:val="1"/>
      <w:marLeft w:val="0"/>
      <w:marRight w:val="0"/>
      <w:marTop w:val="0"/>
      <w:marBottom w:val="0"/>
      <w:divBdr>
        <w:top w:val="none" w:sz="0" w:space="0" w:color="auto"/>
        <w:left w:val="none" w:sz="0" w:space="0" w:color="auto"/>
        <w:bottom w:val="none" w:sz="0" w:space="0" w:color="auto"/>
        <w:right w:val="none" w:sz="0" w:space="0" w:color="auto"/>
      </w:divBdr>
    </w:div>
    <w:div w:id="690716378">
      <w:bodyDiv w:val="1"/>
      <w:marLeft w:val="0"/>
      <w:marRight w:val="0"/>
      <w:marTop w:val="0"/>
      <w:marBottom w:val="0"/>
      <w:divBdr>
        <w:top w:val="none" w:sz="0" w:space="0" w:color="auto"/>
        <w:left w:val="none" w:sz="0" w:space="0" w:color="auto"/>
        <w:bottom w:val="none" w:sz="0" w:space="0" w:color="auto"/>
        <w:right w:val="none" w:sz="0" w:space="0" w:color="auto"/>
      </w:divBdr>
      <w:divsChild>
        <w:div w:id="493565920">
          <w:marLeft w:val="0"/>
          <w:marRight w:val="0"/>
          <w:marTop w:val="0"/>
          <w:marBottom w:val="0"/>
          <w:divBdr>
            <w:top w:val="none" w:sz="0" w:space="0" w:color="auto"/>
            <w:left w:val="none" w:sz="0" w:space="0" w:color="auto"/>
            <w:bottom w:val="none" w:sz="0" w:space="0" w:color="auto"/>
            <w:right w:val="none" w:sz="0" w:space="0" w:color="auto"/>
          </w:divBdr>
          <w:divsChild>
            <w:div w:id="1039167056">
              <w:marLeft w:val="0"/>
              <w:marRight w:val="0"/>
              <w:marTop w:val="0"/>
              <w:marBottom w:val="0"/>
              <w:divBdr>
                <w:top w:val="none" w:sz="0" w:space="0" w:color="auto"/>
                <w:left w:val="none" w:sz="0" w:space="0" w:color="auto"/>
                <w:bottom w:val="none" w:sz="0" w:space="0" w:color="auto"/>
                <w:right w:val="none" w:sz="0" w:space="0" w:color="auto"/>
              </w:divBdr>
              <w:divsChild>
                <w:div w:id="17118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03854">
          <w:marLeft w:val="0"/>
          <w:marRight w:val="0"/>
          <w:marTop w:val="0"/>
          <w:marBottom w:val="0"/>
          <w:divBdr>
            <w:top w:val="none" w:sz="0" w:space="0" w:color="auto"/>
            <w:left w:val="none" w:sz="0" w:space="0" w:color="auto"/>
            <w:bottom w:val="none" w:sz="0" w:space="0" w:color="auto"/>
            <w:right w:val="none" w:sz="0" w:space="0" w:color="auto"/>
          </w:divBdr>
          <w:divsChild>
            <w:div w:id="857934819">
              <w:marLeft w:val="0"/>
              <w:marRight w:val="0"/>
              <w:marTop w:val="0"/>
              <w:marBottom w:val="0"/>
              <w:divBdr>
                <w:top w:val="none" w:sz="0" w:space="0" w:color="auto"/>
                <w:left w:val="none" w:sz="0" w:space="0" w:color="auto"/>
                <w:bottom w:val="none" w:sz="0" w:space="0" w:color="auto"/>
                <w:right w:val="none" w:sz="0" w:space="0" w:color="auto"/>
              </w:divBdr>
              <w:divsChild>
                <w:div w:id="1115710686">
                  <w:marLeft w:val="0"/>
                  <w:marRight w:val="0"/>
                  <w:marTop w:val="0"/>
                  <w:marBottom w:val="0"/>
                  <w:divBdr>
                    <w:top w:val="none" w:sz="0" w:space="0" w:color="auto"/>
                    <w:left w:val="none" w:sz="0" w:space="0" w:color="auto"/>
                    <w:bottom w:val="none" w:sz="0" w:space="0" w:color="auto"/>
                    <w:right w:val="none" w:sz="0" w:space="0" w:color="auto"/>
                  </w:divBdr>
                </w:div>
              </w:divsChild>
            </w:div>
            <w:div w:id="959989951">
              <w:marLeft w:val="0"/>
              <w:marRight w:val="0"/>
              <w:marTop w:val="0"/>
              <w:marBottom w:val="0"/>
              <w:divBdr>
                <w:top w:val="none" w:sz="0" w:space="0" w:color="auto"/>
                <w:left w:val="none" w:sz="0" w:space="0" w:color="auto"/>
                <w:bottom w:val="none" w:sz="0" w:space="0" w:color="auto"/>
                <w:right w:val="none" w:sz="0" w:space="0" w:color="auto"/>
              </w:divBdr>
              <w:divsChild>
                <w:div w:id="87970526">
                  <w:marLeft w:val="0"/>
                  <w:marRight w:val="0"/>
                  <w:marTop w:val="0"/>
                  <w:marBottom w:val="0"/>
                  <w:divBdr>
                    <w:top w:val="none" w:sz="0" w:space="0" w:color="auto"/>
                    <w:left w:val="none" w:sz="0" w:space="0" w:color="auto"/>
                    <w:bottom w:val="none" w:sz="0" w:space="0" w:color="auto"/>
                    <w:right w:val="none" w:sz="0" w:space="0" w:color="auto"/>
                  </w:divBdr>
                </w:div>
              </w:divsChild>
            </w:div>
            <w:div w:id="1195576990">
              <w:marLeft w:val="0"/>
              <w:marRight w:val="0"/>
              <w:marTop w:val="0"/>
              <w:marBottom w:val="0"/>
              <w:divBdr>
                <w:top w:val="none" w:sz="0" w:space="0" w:color="auto"/>
                <w:left w:val="none" w:sz="0" w:space="0" w:color="auto"/>
                <w:bottom w:val="none" w:sz="0" w:space="0" w:color="auto"/>
                <w:right w:val="none" w:sz="0" w:space="0" w:color="auto"/>
              </w:divBdr>
              <w:divsChild>
                <w:div w:id="157766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850968">
      <w:bodyDiv w:val="1"/>
      <w:marLeft w:val="0"/>
      <w:marRight w:val="0"/>
      <w:marTop w:val="0"/>
      <w:marBottom w:val="0"/>
      <w:divBdr>
        <w:top w:val="none" w:sz="0" w:space="0" w:color="auto"/>
        <w:left w:val="none" w:sz="0" w:space="0" w:color="auto"/>
        <w:bottom w:val="none" w:sz="0" w:space="0" w:color="auto"/>
        <w:right w:val="none" w:sz="0" w:space="0" w:color="auto"/>
      </w:divBdr>
    </w:div>
    <w:div w:id="777722726">
      <w:bodyDiv w:val="1"/>
      <w:marLeft w:val="0"/>
      <w:marRight w:val="0"/>
      <w:marTop w:val="0"/>
      <w:marBottom w:val="0"/>
      <w:divBdr>
        <w:top w:val="none" w:sz="0" w:space="0" w:color="auto"/>
        <w:left w:val="none" w:sz="0" w:space="0" w:color="auto"/>
        <w:bottom w:val="none" w:sz="0" w:space="0" w:color="auto"/>
        <w:right w:val="none" w:sz="0" w:space="0" w:color="auto"/>
      </w:divBdr>
    </w:div>
    <w:div w:id="800463216">
      <w:bodyDiv w:val="1"/>
      <w:marLeft w:val="0"/>
      <w:marRight w:val="0"/>
      <w:marTop w:val="0"/>
      <w:marBottom w:val="0"/>
      <w:divBdr>
        <w:top w:val="none" w:sz="0" w:space="0" w:color="auto"/>
        <w:left w:val="none" w:sz="0" w:space="0" w:color="auto"/>
        <w:bottom w:val="none" w:sz="0" w:space="0" w:color="auto"/>
        <w:right w:val="none" w:sz="0" w:space="0" w:color="auto"/>
      </w:divBdr>
      <w:divsChild>
        <w:div w:id="1357540831">
          <w:marLeft w:val="0"/>
          <w:marRight w:val="0"/>
          <w:marTop w:val="120"/>
          <w:marBottom w:val="0"/>
          <w:divBdr>
            <w:top w:val="none" w:sz="0" w:space="0" w:color="auto"/>
            <w:left w:val="none" w:sz="0" w:space="0" w:color="auto"/>
            <w:bottom w:val="none" w:sz="0" w:space="0" w:color="auto"/>
            <w:right w:val="none" w:sz="0" w:space="0" w:color="auto"/>
          </w:divBdr>
        </w:div>
      </w:divsChild>
    </w:div>
    <w:div w:id="813064297">
      <w:bodyDiv w:val="1"/>
      <w:marLeft w:val="0"/>
      <w:marRight w:val="0"/>
      <w:marTop w:val="0"/>
      <w:marBottom w:val="0"/>
      <w:divBdr>
        <w:top w:val="none" w:sz="0" w:space="0" w:color="auto"/>
        <w:left w:val="none" w:sz="0" w:space="0" w:color="auto"/>
        <w:bottom w:val="none" w:sz="0" w:space="0" w:color="auto"/>
        <w:right w:val="none" w:sz="0" w:space="0" w:color="auto"/>
      </w:divBdr>
    </w:div>
    <w:div w:id="814224869">
      <w:bodyDiv w:val="1"/>
      <w:marLeft w:val="0"/>
      <w:marRight w:val="0"/>
      <w:marTop w:val="0"/>
      <w:marBottom w:val="0"/>
      <w:divBdr>
        <w:top w:val="none" w:sz="0" w:space="0" w:color="auto"/>
        <w:left w:val="none" w:sz="0" w:space="0" w:color="auto"/>
        <w:bottom w:val="none" w:sz="0" w:space="0" w:color="auto"/>
        <w:right w:val="none" w:sz="0" w:space="0" w:color="auto"/>
      </w:divBdr>
      <w:divsChild>
        <w:div w:id="1078206954">
          <w:marLeft w:val="0"/>
          <w:marRight w:val="0"/>
          <w:marTop w:val="0"/>
          <w:marBottom w:val="0"/>
          <w:divBdr>
            <w:top w:val="none" w:sz="0" w:space="0" w:color="auto"/>
            <w:left w:val="none" w:sz="0" w:space="0" w:color="auto"/>
            <w:bottom w:val="none" w:sz="0" w:space="0" w:color="auto"/>
            <w:right w:val="none" w:sz="0" w:space="0" w:color="auto"/>
          </w:divBdr>
          <w:divsChild>
            <w:div w:id="944113643">
              <w:marLeft w:val="0"/>
              <w:marRight w:val="0"/>
              <w:marTop w:val="0"/>
              <w:marBottom w:val="0"/>
              <w:divBdr>
                <w:top w:val="none" w:sz="0" w:space="0" w:color="auto"/>
                <w:left w:val="none" w:sz="0" w:space="0" w:color="auto"/>
                <w:bottom w:val="none" w:sz="0" w:space="0" w:color="auto"/>
                <w:right w:val="none" w:sz="0" w:space="0" w:color="auto"/>
              </w:divBdr>
              <w:divsChild>
                <w:div w:id="21301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67115">
      <w:bodyDiv w:val="1"/>
      <w:marLeft w:val="0"/>
      <w:marRight w:val="0"/>
      <w:marTop w:val="0"/>
      <w:marBottom w:val="0"/>
      <w:divBdr>
        <w:top w:val="none" w:sz="0" w:space="0" w:color="auto"/>
        <w:left w:val="none" w:sz="0" w:space="0" w:color="auto"/>
        <w:bottom w:val="none" w:sz="0" w:space="0" w:color="auto"/>
        <w:right w:val="none" w:sz="0" w:space="0" w:color="auto"/>
      </w:divBdr>
    </w:div>
    <w:div w:id="824902995">
      <w:bodyDiv w:val="1"/>
      <w:marLeft w:val="0"/>
      <w:marRight w:val="0"/>
      <w:marTop w:val="0"/>
      <w:marBottom w:val="0"/>
      <w:divBdr>
        <w:top w:val="none" w:sz="0" w:space="0" w:color="auto"/>
        <w:left w:val="none" w:sz="0" w:space="0" w:color="auto"/>
        <w:bottom w:val="none" w:sz="0" w:space="0" w:color="auto"/>
        <w:right w:val="none" w:sz="0" w:space="0" w:color="auto"/>
      </w:divBdr>
    </w:div>
    <w:div w:id="908534433">
      <w:bodyDiv w:val="1"/>
      <w:marLeft w:val="0"/>
      <w:marRight w:val="0"/>
      <w:marTop w:val="0"/>
      <w:marBottom w:val="0"/>
      <w:divBdr>
        <w:top w:val="none" w:sz="0" w:space="0" w:color="auto"/>
        <w:left w:val="none" w:sz="0" w:space="0" w:color="auto"/>
        <w:bottom w:val="none" w:sz="0" w:space="0" w:color="auto"/>
        <w:right w:val="none" w:sz="0" w:space="0" w:color="auto"/>
      </w:divBdr>
    </w:div>
    <w:div w:id="936015198">
      <w:bodyDiv w:val="1"/>
      <w:marLeft w:val="0"/>
      <w:marRight w:val="0"/>
      <w:marTop w:val="0"/>
      <w:marBottom w:val="0"/>
      <w:divBdr>
        <w:top w:val="none" w:sz="0" w:space="0" w:color="auto"/>
        <w:left w:val="none" w:sz="0" w:space="0" w:color="auto"/>
        <w:bottom w:val="none" w:sz="0" w:space="0" w:color="auto"/>
        <w:right w:val="none" w:sz="0" w:space="0" w:color="auto"/>
      </w:divBdr>
    </w:div>
    <w:div w:id="947007730">
      <w:bodyDiv w:val="1"/>
      <w:marLeft w:val="0"/>
      <w:marRight w:val="0"/>
      <w:marTop w:val="0"/>
      <w:marBottom w:val="0"/>
      <w:divBdr>
        <w:top w:val="none" w:sz="0" w:space="0" w:color="auto"/>
        <w:left w:val="none" w:sz="0" w:space="0" w:color="auto"/>
        <w:bottom w:val="none" w:sz="0" w:space="0" w:color="auto"/>
        <w:right w:val="none" w:sz="0" w:space="0" w:color="auto"/>
      </w:divBdr>
      <w:divsChild>
        <w:div w:id="703100247">
          <w:marLeft w:val="0"/>
          <w:marRight w:val="0"/>
          <w:marTop w:val="0"/>
          <w:marBottom w:val="0"/>
          <w:divBdr>
            <w:top w:val="none" w:sz="0" w:space="0" w:color="auto"/>
            <w:left w:val="none" w:sz="0" w:space="0" w:color="auto"/>
            <w:bottom w:val="none" w:sz="0" w:space="0" w:color="auto"/>
            <w:right w:val="none" w:sz="0" w:space="0" w:color="auto"/>
          </w:divBdr>
          <w:divsChild>
            <w:div w:id="36396820">
              <w:marLeft w:val="0"/>
              <w:marRight w:val="0"/>
              <w:marTop w:val="0"/>
              <w:marBottom w:val="0"/>
              <w:divBdr>
                <w:top w:val="none" w:sz="0" w:space="0" w:color="auto"/>
                <w:left w:val="none" w:sz="0" w:space="0" w:color="auto"/>
                <w:bottom w:val="none" w:sz="0" w:space="0" w:color="auto"/>
                <w:right w:val="none" w:sz="0" w:space="0" w:color="auto"/>
              </w:divBdr>
              <w:divsChild>
                <w:div w:id="44820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265366">
      <w:bodyDiv w:val="1"/>
      <w:marLeft w:val="0"/>
      <w:marRight w:val="0"/>
      <w:marTop w:val="0"/>
      <w:marBottom w:val="0"/>
      <w:divBdr>
        <w:top w:val="none" w:sz="0" w:space="0" w:color="auto"/>
        <w:left w:val="none" w:sz="0" w:space="0" w:color="auto"/>
        <w:bottom w:val="none" w:sz="0" w:space="0" w:color="auto"/>
        <w:right w:val="none" w:sz="0" w:space="0" w:color="auto"/>
      </w:divBdr>
    </w:div>
    <w:div w:id="1015112013">
      <w:bodyDiv w:val="1"/>
      <w:marLeft w:val="0"/>
      <w:marRight w:val="0"/>
      <w:marTop w:val="0"/>
      <w:marBottom w:val="0"/>
      <w:divBdr>
        <w:top w:val="none" w:sz="0" w:space="0" w:color="auto"/>
        <w:left w:val="none" w:sz="0" w:space="0" w:color="auto"/>
        <w:bottom w:val="none" w:sz="0" w:space="0" w:color="auto"/>
        <w:right w:val="none" w:sz="0" w:space="0" w:color="auto"/>
      </w:divBdr>
      <w:divsChild>
        <w:div w:id="1895240063">
          <w:marLeft w:val="0"/>
          <w:marRight w:val="0"/>
          <w:marTop w:val="120"/>
          <w:marBottom w:val="0"/>
          <w:divBdr>
            <w:top w:val="none" w:sz="0" w:space="0" w:color="auto"/>
            <w:left w:val="none" w:sz="0" w:space="0" w:color="auto"/>
            <w:bottom w:val="none" w:sz="0" w:space="0" w:color="auto"/>
            <w:right w:val="none" w:sz="0" w:space="0" w:color="auto"/>
          </w:divBdr>
        </w:div>
      </w:divsChild>
    </w:div>
    <w:div w:id="1024478810">
      <w:bodyDiv w:val="1"/>
      <w:marLeft w:val="0"/>
      <w:marRight w:val="0"/>
      <w:marTop w:val="0"/>
      <w:marBottom w:val="0"/>
      <w:divBdr>
        <w:top w:val="none" w:sz="0" w:space="0" w:color="auto"/>
        <w:left w:val="none" w:sz="0" w:space="0" w:color="auto"/>
        <w:bottom w:val="none" w:sz="0" w:space="0" w:color="auto"/>
        <w:right w:val="none" w:sz="0" w:space="0" w:color="auto"/>
      </w:divBdr>
      <w:divsChild>
        <w:div w:id="885945985">
          <w:marLeft w:val="0"/>
          <w:marRight w:val="0"/>
          <w:marTop w:val="0"/>
          <w:marBottom w:val="0"/>
          <w:divBdr>
            <w:top w:val="none" w:sz="0" w:space="0" w:color="auto"/>
            <w:left w:val="none" w:sz="0" w:space="0" w:color="auto"/>
            <w:bottom w:val="none" w:sz="0" w:space="0" w:color="auto"/>
            <w:right w:val="none" w:sz="0" w:space="0" w:color="auto"/>
          </w:divBdr>
          <w:divsChild>
            <w:div w:id="1275089426">
              <w:marLeft w:val="0"/>
              <w:marRight w:val="0"/>
              <w:marTop w:val="0"/>
              <w:marBottom w:val="0"/>
              <w:divBdr>
                <w:top w:val="none" w:sz="0" w:space="0" w:color="auto"/>
                <w:left w:val="none" w:sz="0" w:space="0" w:color="auto"/>
                <w:bottom w:val="none" w:sz="0" w:space="0" w:color="auto"/>
                <w:right w:val="none" w:sz="0" w:space="0" w:color="auto"/>
              </w:divBdr>
              <w:divsChild>
                <w:div w:id="2098791913">
                  <w:marLeft w:val="0"/>
                  <w:marRight w:val="0"/>
                  <w:marTop w:val="0"/>
                  <w:marBottom w:val="0"/>
                  <w:divBdr>
                    <w:top w:val="none" w:sz="0" w:space="0" w:color="auto"/>
                    <w:left w:val="none" w:sz="0" w:space="0" w:color="auto"/>
                    <w:bottom w:val="none" w:sz="0" w:space="0" w:color="auto"/>
                    <w:right w:val="none" w:sz="0" w:space="0" w:color="auto"/>
                  </w:divBdr>
                </w:div>
              </w:divsChild>
            </w:div>
            <w:div w:id="87577987">
              <w:marLeft w:val="0"/>
              <w:marRight w:val="0"/>
              <w:marTop w:val="0"/>
              <w:marBottom w:val="0"/>
              <w:divBdr>
                <w:top w:val="none" w:sz="0" w:space="0" w:color="auto"/>
                <w:left w:val="none" w:sz="0" w:space="0" w:color="auto"/>
                <w:bottom w:val="none" w:sz="0" w:space="0" w:color="auto"/>
                <w:right w:val="none" w:sz="0" w:space="0" w:color="auto"/>
              </w:divBdr>
              <w:divsChild>
                <w:div w:id="50668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67197">
          <w:marLeft w:val="0"/>
          <w:marRight w:val="0"/>
          <w:marTop w:val="0"/>
          <w:marBottom w:val="0"/>
          <w:divBdr>
            <w:top w:val="none" w:sz="0" w:space="0" w:color="auto"/>
            <w:left w:val="none" w:sz="0" w:space="0" w:color="auto"/>
            <w:bottom w:val="none" w:sz="0" w:space="0" w:color="auto"/>
            <w:right w:val="none" w:sz="0" w:space="0" w:color="auto"/>
          </w:divBdr>
          <w:divsChild>
            <w:div w:id="537473522">
              <w:marLeft w:val="0"/>
              <w:marRight w:val="0"/>
              <w:marTop w:val="0"/>
              <w:marBottom w:val="0"/>
              <w:divBdr>
                <w:top w:val="none" w:sz="0" w:space="0" w:color="auto"/>
                <w:left w:val="none" w:sz="0" w:space="0" w:color="auto"/>
                <w:bottom w:val="none" w:sz="0" w:space="0" w:color="auto"/>
                <w:right w:val="none" w:sz="0" w:space="0" w:color="auto"/>
              </w:divBdr>
              <w:divsChild>
                <w:div w:id="1695228167">
                  <w:marLeft w:val="0"/>
                  <w:marRight w:val="0"/>
                  <w:marTop w:val="0"/>
                  <w:marBottom w:val="0"/>
                  <w:divBdr>
                    <w:top w:val="none" w:sz="0" w:space="0" w:color="auto"/>
                    <w:left w:val="none" w:sz="0" w:space="0" w:color="auto"/>
                    <w:bottom w:val="none" w:sz="0" w:space="0" w:color="auto"/>
                    <w:right w:val="none" w:sz="0" w:space="0" w:color="auto"/>
                  </w:divBdr>
                </w:div>
              </w:divsChild>
            </w:div>
            <w:div w:id="672026347">
              <w:marLeft w:val="0"/>
              <w:marRight w:val="0"/>
              <w:marTop w:val="0"/>
              <w:marBottom w:val="0"/>
              <w:divBdr>
                <w:top w:val="none" w:sz="0" w:space="0" w:color="auto"/>
                <w:left w:val="none" w:sz="0" w:space="0" w:color="auto"/>
                <w:bottom w:val="none" w:sz="0" w:space="0" w:color="auto"/>
                <w:right w:val="none" w:sz="0" w:space="0" w:color="auto"/>
              </w:divBdr>
              <w:divsChild>
                <w:div w:id="506942330">
                  <w:marLeft w:val="0"/>
                  <w:marRight w:val="0"/>
                  <w:marTop w:val="0"/>
                  <w:marBottom w:val="0"/>
                  <w:divBdr>
                    <w:top w:val="none" w:sz="0" w:space="0" w:color="auto"/>
                    <w:left w:val="none" w:sz="0" w:space="0" w:color="auto"/>
                    <w:bottom w:val="none" w:sz="0" w:space="0" w:color="auto"/>
                    <w:right w:val="none" w:sz="0" w:space="0" w:color="auto"/>
                  </w:divBdr>
                </w:div>
                <w:div w:id="22002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377964">
      <w:bodyDiv w:val="1"/>
      <w:marLeft w:val="0"/>
      <w:marRight w:val="0"/>
      <w:marTop w:val="0"/>
      <w:marBottom w:val="0"/>
      <w:divBdr>
        <w:top w:val="none" w:sz="0" w:space="0" w:color="auto"/>
        <w:left w:val="none" w:sz="0" w:space="0" w:color="auto"/>
        <w:bottom w:val="none" w:sz="0" w:space="0" w:color="auto"/>
        <w:right w:val="none" w:sz="0" w:space="0" w:color="auto"/>
      </w:divBdr>
    </w:div>
    <w:div w:id="1049105987">
      <w:bodyDiv w:val="1"/>
      <w:marLeft w:val="0"/>
      <w:marRight w:val="0"/>
      <w:marTop w:val="0"/>
      <w:marBottom w:val="0"/>
      <w:divBdr>
        <w:top w:val="none" w:sz="0" w:space="0" w:color="auto"/>
        <w:left w:val="none" w:sz="0" w:space="0" w:color="auto"/>
        <w:bottom w:val="none" w:sz="0" w:space="0" w:color="auto"/>
        <w:right w:val="none" w:sz="0" w:space="0" w:color="auto"/>
      </w:divBdr>
    </w:div>
    <w:div w:id="1061441704">
      <w:bodyDiv w:val="1"/>
      <w:marLeft w:val="0"/>
      <w:marRight w:val="0"/>
      <w:marTop w:val="0"/>
      <w:marBottom w:val="0"/>
      <w:divBdr>
        <w:top w:val="none" w:sz="0" w:space="0" w:color="auto"/>
        <w:left w:val="none" w:sz="0" w:space="0" w:color="auto"/>
        <w:bottom w:val="none" w:sz="0" w:space="0" w:color="auto"/>
        <w:right w:val="none" w:sz="0" w:space="0" w:color="auto"/>
      </w:divBdr>
      <w:divsChild>
        <w:div w:id="1461536503">
          <w:marLeft w:val="0"/>
          <w:marRight w:val="0"/>
          <w:marTop w:val="0"/>
          <w:marBottom w:val="0"/>
          <w:divBdr>
            <w:top w:val="none" w:sz="0" w:space="0" w:color="auto"/>
            <w:left w:val="none" w:sz="0" w:space="0" w:color="auto"/>
            <w:bottom w:val="none" w:sz="0" w:space="0" w:color="auto"/>
            <w:right w:val="none" w:sz="0" w:space="0" w:color="auto"/>
          </w:divBdr>
        </w:div>
        <w:div w:id="525213990">
          <w:marLeft w:val="0"/>
          <w:marRight w:val="0"/>
          <w:marTop w:val="0"/>
          <w:marBottom w:val="0"/>
          <w:divBdr>
            <w:top w:val="none" w:sz="0" w:space="0" w:color="auto"/>
            <w:left w:val="none" w:sz="0" w:space="0" w:color="auto"/>
            <w:bottom w:val="none" w:sz="0" w:space="0" w:color="auto"/>
            <w:right w:val="none" w:sz="0" w:space="0" w:color="auto"/>
          </w:divBdr>
        </w:div>
      </w:divsChild>
    </w:div>
    <w:div w:id="1093626918">
      <w:bodyDiv w:val="1"/>
      <w:marLeft w:val="0"/>
      <w:marRight w:val="0"/>
      <w:marTop w:val="0"/>
      <w:marBottom w:val="0"/>
      <w:divBdr>
        <w:top w:val="none" w:sz="0" w:space="0" w:color="auto"/>
        <w:left w:val="none" w:sz="0" w:space="0" w:color="auto"/>
        <w:bottom w:val="none" w:sz="0" w:space="0" w:color="auto"/>
        <w:right w:val="none" w:sz="0" w:space="0" w:color="auto"/>
      </w:divBdr>
      <w:divsChild>
        <w:div w:id="183911404">
          <w:marLeft w:val="0"/>
          <w:marRight w:val="0"/>
          <w:marTop w:val="0"/>
          <w:marBottom w:val="0"/>
          <w:divBdr>
            <w:top w:val="none" w:sz="0" w:space="0" w:color="auto"/>
            <w:left w:val="none" w:sz="0" w:space="0" w:color="auto"/>
            <w:bottom w:val="none" w:sz="0" w:space="0" w:color="auto"/>
            <w:right w:val="none" w:sz="0" w:space="0" w:color="auto"/>
          </w:divBdr>
          <w:divsChild>
            <w:div w:id="879169100">
              <w:marLeft w:val="0"/>
              <w:marRight w:val="0"/>
              <w:marTop w:val="0"/>
              <w:marBottom w:val="0"/>
              <w:divBdr>
                <w:top w:val="none" w:sz="0" w:space="0" w:color="auto"/>
                <w:left w:val="none" w:sz="0" w:space="0" w:color="auto"/>
                <w:bottom w:val="none" w:sz="0" w:space="0" w:color="auto"/>
                <w:right w:val="none" w:sz="0" w:space="0" w:color="auto"/>
              </w:divBdr>
              <w:divsChild>
                <w:div w:id="149177313">
                  <w:marLeft w:val="0"/>
                  <w:marRight w:val="0"/>
                  <w:marTop w:val="0"/>
                  <w:marBottom w:val="0"/>
                  <w:divBdr>
                    <w:top w:val="none" w:sz="0" w:space="0" w:color="auto"/>
                    <w:left w:val="none" w:sz="0" w:space="0" w:color="auto"/>
                    <w:bottom w:val="none" w:sz="0" w:space="0" w:color="auto"/>
                    <w:right w:val="none" w:sz="0" w:space="0" w:color="auto"/>
                  </w:divBdr>
                </w:div>
              </w:divsChild>
            </w:div>
            <w:div w:id="1654719952">
              <w:marLeft w:val="0"/>
              <w:marRight w:val="0"/>
              <w:marTop w:val="0"/>
              <w:marBottom w:val="0"/>
              <w:divBdr>
                <w:top w:val="none" w:sz="0" w:space="0" w:color="auto"/>
                <w:left w:val="none" w:sz="0" w:space="0" w:color="auto"/>
                <w:bottom w:val="none" w:sz="0" w:space="0" w:color="auto"/>
                <w:right w:val="none" w:sz="0" w:space="0" w:color="auto"/>
              </w:divBdr>
              <w:divsChild>
                <w:div w:id="20283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06623">
      <w:bodyDiv w:val="1"/>
      <w:marLeft w:val="0"/>
      <w:marRight w:val="0"/>
      <w:marTop w:val="0"/>
      <w:marBottom w:val="0"/>
      <w:divBdr>
        <w:top w:val="none" w:sz="0" w:space="0" w:color="auto"/>
        <w:left w:val="none" w:sz="0" w:space="0" w:color="auto"/>
        <w:bottom w:val="none" w:sz="0" w:space="0" w:color="auto"/>
        <w:right w:val="none" w:sz="0" w:space="0" w:color="auto"/>
      </w:divBdr>
      <w:divsChild>
        <w:div w:id="1782214979">
          <w:marLeft w:val="0"/>
          <w:marRight w:val="0"/>
          <w:marTop w:val="0"/>
          <w:marBottom w:val="0"/>
          <w:divBdr>
            <w:top w:val="none" w:sz="0" w:space="0" w:color="auto"/>
            <w:left w:val="none" w:sz="0" w:space="0" w:color="auto"/>
            <w:bottom w:val="none" w:sz="0" w:space="0" w:color="auto"/>
            <w:right w:val="none" w:sz="0" w:space="0" w:color="auto"/>
          </w:divBdr>
          <w:divsChild>
            <w:div w:id="281956342">
              <w:marLeft w:val="0"/>
              <w:marRight w:val="0"/>
              <w:marTop w:val="0"/>
              <w:marBottom w:val="0"/>
              <w:divBdr>
                <w:top w:val="none" w:sz="0" w:space="0" w:color="auto"/>
                <w:left w:val="none" w:sz="0" w:space="0" w:color="auto"/>
                <w:bottom w:val="none" w:sz="0" w:space="0" w:color="auto"/>
                <w:right w:val="none" w:sz="0" w:space="0" w:color="auto"/>
              </w:divBdr>
              <w:divsChild>
                <w:div w:id="22706171">
                  <w:marLeft w:val="0"/>
                  <w:marRight w:val="0"/>
                  <w:marTop w:val="0"/>
                  <w:marBottom w:val="0"/>
                  <w:divBdr>
                    <w:top w:val="none" w:sz="0" w:space="0" w:color="auto"/>
                    <w:left w:val="none" w:sz="0" w:space="0" w:color="auto"/>
                    <w:bottom w:val="none" w:sz="0" w:space="0" w:color="auto"/>
                    <w:right w:val="none" w:sz="0" w:space="0" w:color="auto"/>
                  </w:divBdr>
                </w:div>
              </w:divsChild>
            </w:div>
            <w:div w:id="577642905">
              <w:marLeft w:val="0"/>
              <w:marRight w:val="0"/>
              <w:marTop w:val="0"/>
              <w:marBottom w:val="0"/>
              <w:divBdr>
                <w:top w:val="none" w:sz="0" w:space="0" w:color="auto"/>
                <w:left w:val="none" w:sz="0" w:space="0" w:color="auto"/>
                <w:bottom w:val="none" w:sz="0" w:space="0" w:color="auto"/>
                <w:right w:val="none" w:sz="0" w:space="0" w:color="auto"/>
              </w:divBdr>
              <w:divsChild>
                <w:div w:id="87327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8595">
          <w:marLeft w:val="0"/>
          <w:marRight w:val="0"/>
          <w:marTop w:val="0"/>
          <w:marBottom w:val="0"/>
          <w:divBdr>
            <w:top w:val="none" w:sz="0" w:space="0" w:color="auto"/>
            <w:left w:val="none" w:sz="0" w:space="0" w:color="auto"/>
            <w:bottom w:val="none" w:sz="0" w:space="0" w:color="auto"/>
            <w:right w:val="none" w:sz="0" w:space="0" w:color="auto"/>
          </w:divBdr>
          <w:divsChild>
            <w:div w:id="1334990870">
              <w:marLeft w:val="0"/>
              <w:marRight w:val="0"/>
              <w:marTop w:val="0"/>
              <w:marBottom w:val="0"/>
              <w:divBdr>
                <w:top w:val="none" w:sz="0" w:space="0" w:color="auto"/>
                <w:left w:val="none" w:sz="0" w:space="0" w:color="auto"/>
                <w:bottom w:val="none" w:sz="0" w:space="0" w:color="auto"/>
                <w:right w:val="none" w:sz="0" w:space="0" w:color="auto"/>
              </w:divBdr>
              <w:divsChild>
                <w:div w:id="999846809">
                  <w:marLeft w:val="0"/>
                  <w:marRight w:val="0"/>
                  <w:marTop w:val="0"/>
                  <w:marBottom w:val="0"/>
                  <w:divBdr>
                    <w:top w:val="none" w:sz="0" w:space="0" w:color="auto"/>
                    <w:left w:val="none" w:sz="0" w:space="0" w:color="auto"/>
                    <w:bottom w:val="none" w:sz="0" w:space="0" w:color="auto"/>
                    <w:right w:val="none" w:sz="0" w:space="0" w:color="auto"/>
                  </w:divBdr>
                </w:div>
              </w:divsChild>
            </w:div>
            <w:div w:id="1654337756">
              <w:marLeft w:val="0"/>
              <w:marRight w:val="0"/>
              <w:marTop w:val="0"/>
              <w:marBottom w:val="0"/>
              <w:divBdr>
                <w:top w:val="none" w:sz="0" w:space="0" w:color="auto"/>
                <w:left w:val="none" w:sz="0" w:space="0" w:color="auto"/>
                <w:bottom w:val="none" w:sz="0" w:space="0" w:color="auto"/>
                <w:right w:val="none" w:sz="0" w:space="0" w:color="auto"/>
              </w:divBdr>
              <w:divsChild>
                <w:div w:id="1922640078">
                  <w:marLeft w:val="0"/>
                  <w:marRight w:val="0"/>
                  <w:marTop w:val="0"/>
                  <w:marBottom w:val="0"/>
                  <w:divBdr>
                    <w:top w:val="none" w:sz="0" w:space="0" w:color="auto"/>
                    <w:left w:val="none" w:sz="0" w:space="0" w:color="auto"/>
                    <w:bottom w:val="none" w:sz="0" w:space="0" w:color="auto"/>
                    <w:right w:val="none" w:sz="0" w:space="0" w:color="auto"/>
                  </w:divBdr>
                </w:div>
                <w:div w:id="18367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006532">
      <w:bodyDiv w:val="1"/>
      <w:marLeft w:val="0"/>
      <w:marRight w:val="0"/>
      <w:marTop w:val="0"/>
      <w:marBottom w:val="0"/>
      <w:divBdr>
        <w:top w:val="none" w:sz="0" w:space="0" w:color="auto"/>
        <w:left w:val="none" w:sz="0" w:space="0" w:color="auto"/>
        <w:bottom w:val="none" w:sz="0" w:space="0" w:color="auto"/>
        <w:right w:val="none" w:sz="0" w:space="0" w:color="auto"/>
      </w:divBdr>
    </w:div>
    <w:div w:id="1194073082">
      <w:bodyDiv w:val="1"/>
      <w:marLeft w:val="0"/>
      <w:marRight w:val="0"/>
      <w:marTop w:val="0"/>
      <w:marBottom w:val="0"/>
      <w:divBdr>
        <w:top w:val="none" w:sz="0" w:space="0" w:color="auto"/>
        <w:left w:val="none" w:sz="0" w:space="0" w:color="auto"/>
        <w:bottom w:val="none" w:sz="0" w:space="0" w:color="auto"/>
        <w:right w:val="none" w:sz="0" w:space="0" w:color="auto"/>
      </w:divBdr>
    </w:div>
    <w:div w:id="1213422204">
      <w:bodyDiv w:val="1"/>
      <w:marLeft w:val="0"/>
      <w:marRight w:val="0"/>
      <w:marTop w:val="0"/>
      <w:marBottom w:val="0"/>
      <w:divBdr>
        <w:top w:val="none" w:sz="0" w:space="0" w:color="auto"/>
        <w:left w:val="none" w:sz="0" w:space="0" w:color="auto"/>
        <w:bottom w:val="none" w:sz="0" w:space="0" w:color="auto"/>
        <w:right w:val="none" w:sz="0" w:space="0" w:color="auto"/>
      </w:divBdr>
    </w:div>
    <w:div w:id="1219172149">
      <w:bodyDiv w:val="1"/>
      <w:marLeft w:val="0"/>
      <w:marRight w:val="0"/>
      <w:marTop w:val="0"/>
      <w:marBottom w:val="0"/>
      <w:divBdr>
        <w:top w:val="none" w:sz="0" w:space="0" w:color="auto"/>
        <w:left w:val="none" w:sz="0" w:space="0" w:color="auto"/>
        <w:bottom w:val="none" w:sz="0" w:space="0" w:color="auto"/>
        <w:right w:val="none" w:sz="0" w:space="0" w:color="auto"/>
      </w:divBdr>
    </w:div>
    <w:div w:id="1239750924">
      <w:bodyDiv w:val="1"/>
      <w:marLeft w:val="0"/>
      <w:marRight w:val="0"/>
      <w:marTop w:val="0"/>
      <w:marBottom w:val="0"/>
      <w:divBdr>
        <w:top w:val="none" w:sz="0" w:space="0" w:color="auto"/>
        <w:left w:val="none" w:sz="0" w:space="0" w:color="auto"/>
        <w:bottom w:val="none" w:sz="0" w:space="0" w:color="auto"/>
        <w:right w:val="none" w:sz="0" w:space="0" w:color="auto"/>
      </w:divBdr>
      <w:divsChild>
        <w:div w:id="1134560195">
          <w:marLeft w:val="0"/>
          <w:marRight w:val="0"/>
          <w:marTop w:val="0"/>
          <w:marBottom w:val="0"/>
          <w:divBdr>
            <w:top w:val="none" w:sz="0" w:space="0" w:color="auto"/>
            <w:left w:val="none" w:sz="0" w:space="0" w:color="auto"/>
            <w:bottom w:val="none" w:sz="0" w:space="0" w:color="auto"/>
            <w:right w:val="none" w:sz="0" w:space="0" w:color="auto"/>
          </w:divBdr>
          <w:divsChild>
            <w:div w:id="1304849220">
              <w:marLeft w:val="0"/>
              <w:marRight w:val="0"/>
              <w:marTop w:val="0"/>
              <w:marBottom w:val="0"/>
              <w:divBdr>
                <w:top w:val="none" w:sz="0" w:space="0" w:color="auto"/>
                <w:left w:val="none" w:sz="0" w:space="0" w:color="auto"/>
                <w:bottom w:val="none" w:sz="0" w:space="0" w:color="auto"/>
                <w:right w:val="none" w:sz="0" w:space="0" w:color="auto"/>
              </w:divBdr>
              <w:divsChild>
                <w:div w:id="1761483783">
                  <w:marLeft w:val="0"/>
                  <w:marRight w:val="0"/>
                  <w:marTop w:val="0"/>
                  <w:marBottom w:val="0"/>
                  <w:divBdr>
                    <w:top w:val="none" w:sz="0" w:space="0" w:color="auto"/>
                    <w:left w:val="none" w:sz="0" w:space="0" w:color="auto"/>
                    <w:bottom w:val="none" w:sz="0" w:space="0" w:color="auto"/>
                    <w:right w:val="none" w:sz="0" w:space="0" w:color="auto"/>
                  </w:divBdr>
                  <w:divsChild>
                    <w:div w:id="20416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37225">
      <w:bodyDiv w:val="1"/>
      <w:marLeft w:val="0"/>
      <w:marRight w:val="0"/>
      <w:marTop w:val="0"/>
      <w:marBottom w:val="0"/>
      <w:divBdr>
        <w:top w:val="none" w:sz="0" w:space="0" w:color="auto"/>
        <w:left w:val="none" w:sz="0" w:space="0" w:color="auto"/>
        <w:bottom w:val="none" w:sz="0" w:space="0" w:color="auto"/>
        <w:right w:val="none" w:sz="0" w:space="0" w:color="auto"/>
      </w:divBdr>
      <w:divsChild>
        <w:div w:id="1003511042">
          <w:marLeft w:val="0"/>
          <w:marRight w:val="0"/>
          <w:marTop w:val="0"/>
          <w:marBottom w:val="0"/>
          <w:divBdr>
            <w:top w:val="none" w:sz="0" w:space="0" w:color="auto"/>
            <w:left w:val="none" w:sz="0" w:space="0" w:color="auto"/>
            <w:bottom w:val="none" w:sz="0" w:space="0" w:color="auto"/>
            <w:right w:val="none" w:sz="0" w:space="0" w:color="auto"/>
          </w:divBdr>
        </w:div>
      </w:divsChild>
    </w:div>
    <w:div w:id="1263223789">
      <w:bodyDiv w:val="1"/>
      <w:marLeft w:val="0"/>
      <w:marRight w:val="0"/>
      <w:marTop w:val="0"/>
      <w:marBottom w:val="0"/>
      <w:divBdr>
        <w:top w:val="none" w:sz="0" w:space="0" w:color="auto"/>
        <w:left w:val="none" w:sz="0" w:space="0" w:color="auto"/>
        <w:bottom w:val="none" w:sz="0" w:space="0" w:color="auto"/>
        <w:right w:val="none" w:sz="0" w:space="0" w:color="auto"/>
      </w:divBdr>
      <w:divsChild>
        <w:div w:id="1295986430">
          <w:marLeft w:val="0"/>
          <w:marRight w:val="0"/>
          <w:marTop w:val="0"/>
          <w:marBottom w:val="0"/>
          <w:divBdr>
            <w:top w:val="none" w:sz="0" w:space="0" w:color="auto"/>
            <w:left w:val="none" w:sz="0" w:space="0" w:color="auto"/>
            <w:bottom w:val="none" w:sz="0" w:space="0" w:color="auto"/>
            <w:right w:val="none" w:sz="0" w:space="0" w:color="auto"/>
          </w:divBdr>
          <w:divsChild>
            <w:div w:id="1943298073">
              <w:marLeft w:val="0"/>
              <w:marRight w:val="0"/>
              <w:marTop w:val="0"/>
              <w:marBottom w:val="0"/>
              <w:divBdr>
                <w:top w:val="none" w:sz="0" w:space="0" w:color="auto"/>
                <w:left w:val="none" w:sz="0" w:space="0" w:color="auto"/>
                <w:bottom w:val="none" w:sz="0" w:space="0" w:color="auto"/>
                <w:right w:val="none" w:sz="0" w:space="0" w:color="auto"/>
              </w:divBdr>
              <w:divsChild>
                <w:div w:id="1549296526">
                  <w:marLeft w:val="0"/>
                  <w:marRight w:val="0"/>
                  <w:marTop w:val="0"/>
                  <w:marBottom w:val="0"/>
                  <w:divBdr>
                    <w:top w:val="none" w:sz="0" w:space="0" w:color="auto"/>
                    <w:left w:val="none" w:sz="0" w:space="0" w:color="auto"/>
                    <w:bottom w:val="none" w:sz="0" w:space="0" w:color="auto"/>
                    <w:right w:val="none" w:sz="0" w:space="0" w:color="auto"/>
                  </w:divBdr>
                  <w:divsChild>
                    <w:div w:id="1273706883">
                      <w:marLeft w:val="0"/>
                      <w:marRight w:val="0"/>
                      <w:marTop w:val="0"/>
                      <w:marBottom w:val="0"/>
                      <w:divBdr>
                        <w:top w:val="none" w:sz="0" w:space="0" w:color="auto"/>
                        <w:left w:val="none" w:sz="0" w:space="0" w:color="auto"/>
                        <w:bottom w:val="none" w:sz="0" w:space="0" w:color="auto"/>
                        <w:right w:val="none" w:sz="0" w:space="0" w:color="auto"/>
                      </w:divBdr>
                    </w:div>
                    <w:div w:id="184701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163156">
      <w:bodyDiv w:val="1"/>
      <w:marLeft w:val="0"/>
      <w:marRight w:val="0"/>
      <w:marTop w:val="0"/>
      <w:marBottom w:val="0"/>
      <w:divBdr>
        <w:top w:val="none" w:sz="0" w:space="0" w:color="auto"/>
        <w:left w:val="none" w:sz="0" w:space="0" w:color="auto"/>
        <w:bottom w:val="none" w:sz="0" w:space="0" w:color="auto"/>
        <w:right w:val="none" w:sz="0" w:space="0" w:color="auto"/>
      </w:divBdr>
    </w:div>
    <w:div w:id="1415202879">
      <w:bodyDiv w:val="1"/>
      <w:marLeft w:val="0"/>
      <w:marRight w:val="0"/>
      <w:marTop w:val="0"/>
      <w:marBottom w:val="0"/>
      <w:divBdr>
        <w:top w:val="none" w:sz="0" w:space="0" w:color="auto"/>
        <w:left w:val="none" w:sz="0" w:space="0" w:color="auto"/>
        <w:bottom w:val="none" w:sz="0" w:space="0" w:color="auto"/>
        <w:right w:val="none" w:sz="0" w:space="0" w:color="auto"/>
      </w:divBdr>
    </w:div>
    <w:div w:id="1441991367">
      <w:bodyDiv w:val="1"/>
      <w:marLeft w:val="0"/>
      <w:marRight w:val="0"/>
      <w:marTop w:val="0"/>
      <w:marBottom w:val="0"/>
      <w:divBdr>
        <w:top w:val="none" w:sz="0" w:space="0" w:color="auto"/>
        <w:left w:val="none" w:sz="0" w:space="0" w:color="auto"/>
        <w:bottom w:val="none" w:sz="0" w:space="0" w:color="auto"/>
        <w:right w:val="none" w:sz="0" w:space="0" w:color="auto"/>
      </w:divBdr>
    </w:div>
    <w:div w:id="1450081216">
      <w:bodyDiv w:val="1"/>
      <w:marLeft w:val="0"/>
      <w:marRight w:val="0"/>
      <w:marTop w:val="0"/>
      <w:marBottom w:val="0"/>
      <w:divBdr>
        <w:top w:val="none" w:sz="0" w:space="0" w:color="auto"/>
        <w:left w:val="none" w:sz="0" w:space="0" w:color="auto"/>
        <w:bottom w:val="none" w:sz="0" w:space="0" w:color="auto"/>
        <w:right w:val="none" w:sz="0" w:space="0" w:color="auto"/>
      </w:divBdr>
    </w:div>
    <w:div w:id="1458451494">
      <w:bodyDiv w:val="1"/>
      <w:marLeft w:val="0"/>
      <w:marRight w:val="0"/>
      <w:marTop w:val="0"/>
      <w:marBottom w:val="0"/>
      <w:divBdr>
        <w:top w:val="none" w:sz="0" w:space="0" w:color="auto"/>
        <w:left w:val="none" w:sz="0" w:space="0" w:color="auto"/>
        <w:bottom w:val="none" w:sz="0" w:space="0" w:color="auto"/>
        <w:right w:val="none" w:sz="0" w:space="0" w:color="auto"/>
      </w:divBdr>
    </w:div>
    <w:div w:id="1475566087">
      <w:bodyDiv w:val="1"/>
      <w:marLeft w:val="0"/>
      <w:marRight w:val="0"/>
      <w:marTop w:val="0"/>
      <w:marBottom w:val="0"/>
      <w:divBdr>
        <w:top w:val="none" w:sz="0" w:space="0" w:color="auto"/>
        <w:left w:val="none" w:sz="0" w:space="0" w:color="auto"/>
        <w:bottom w:val="none" w:sz="0" w:space="0" w:color="auto"/>
        <w:right w:val="none" w:sz="0" w:space="0" w:color="auto"/>
      </w:divBdr>
      <w:divsChild>
        <w:div w:id="1740205630">
          <w:marLeft w:val="0"/>
          <w:marRight w:val="0"/>
          <w:marTop w:val="0"/>
          <w:marBottom w:val="0"/>
          <w:divBdr>
            <w:top w:val="none" w:sz="0" w:space="0" w:color="auto"/>
            <w:left w:val="none" w:sz="0" w:space="0" w:color="auto"/>
            <w:bottom w:val="none" w:sz="0" w:space="0" w:color="auto"/>
            <w:right w:val="none" w:sz="0" w:space="0" w:color="auto"/>
          </w:divBdr>
          <w:divsChild>
            <w:div w:id="1377730161">
              <w:marLeft w:val="0"/>
              <w:marRight w:val="0"/>
              <w:marTop w:val="0"/>
              <w:marBottom w:val="0"/>
              <w:divBdr>
                <w:top w:val="none" w:sz="0" w:space="0" w:color="auto"/>
                <w:left w:val="none" w:sz="0" w:space="0" w:color="auto"/>
                <w:bottom w:val="none" w:sz="0" w:space="0" w:color="auto"/>
                <w:right w:val="none" w:sz="0" w:space="0" w:color="auto"/>
              </w:divBdr>
              <w:divsChild>
                <w:div w:id="57828995">
                  <w:marLeft w:val="0"/>
                  <w:marRight w:val="0"/>
                  <w:marTop w:val="0"/>
                  <w:marBottom w:val="0"/>
                  <w:divBdr>
                    <w:top w:val="none" w:sz="0" w:space="0" w:color="auto"/>
                    <w:left w:val="none" w:sz="0" w:space="0" w:color="auto"/>
                    <w:bottom w:val="none" w:sz="0" w:space="0" w:color="auto"/>
                    <w:right w:val="none" w:sz="0" w:space="0" w:color="auto"/>
                  </w:divBdr>
                  <w:divsChild>
                    <w:div w:id="18314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312736">
      <w:bodyDiv w:val="1"/>
      <w:marLeft w:val="0"/>
      <w:marRight w:val="0"/>
      <w:marTop w:val="0"/>
      <w:marBottom w:val="0"/>
      <w:divBdr>
        <w:top w:val="none" w:sz="0" w:space="0" w:color="auto"/>
        <w:left w:val="none" w:sz="0" w:space="0" w:color="auto"/>
        <w:bottom w:val="none" w:sz="0" w:space="0" w:color="auto"/>
        <w:right w:val="none" w:sz="0" w:space="0" w:color="auto"/>
      </w:divBdr>
    </w:div>
    <w:div w:id="1506627325">
      <w:bodyDiv w:val="1"/>
      <w:marLeft w:val="0"/>
      <w:marRight w:val="0"/>
      <w:marTop w:val="0"/>
      <w:marBottom w:val="0"/>
      <w:divBdr>
        <w:top w:val="none" w:sz="0" w:space="0" w:color="auto"/>
        <w:left w:val="none" w:sz="0" w:space="0" w:color="auto"/>
        <w:bottom w:val="none" w:sz="0" w:space="0" w:color="auto"/>
        <w:right w:val="none" w:sz="0" w:space="0" w:color="auto"/>
      </w:divBdr>
    </w:div>
    <w:div w:id="1529678050">
      <w:bodyDiv w:val="1"/>
      <w:marLeft w:val="0"/>
      <w:marRight w:val="0"/>
      <w:marTop w:val="0"/>
      <w:marBottom w:val="0"/>
      <w:divBdr>
        <w:top w:val="none" w:sz="0" w:space="0" w:color="auto"/>
        <w:left w:val="none" w:sz="0" w:space="0" w:color="auto"/>
        <w:bottom w:val="none" w:sz="0" w:space="0" w:color="auto"/>
        <w:right w:val="none" w:sz="0" w:space="0" w:color="auto"/>
      </w:divBdr>
      <w:divsChild>
        <w:div w:id="394007419">
          <w:marLeft w:val="0"/>
          <w:marRight w:val="0"/>
          <w:marTop w:val="0"/>
          <w:marBottom w:val="0"/>
          <w:divBdr>
            <w:top w:val="none" w:sz="0" w:space="0" w:color="auto"/>
            <w:left w:val="none" w:sz="0" w:space="0" w:color="auto"/>
            <w:bottom w:val="none" w:sz="0" w:space="0" w:color="auto"/>
            <w:right w:val="none" w:sz="0" w:space="0" w:color="auto"/>
          </w:divBdr>
          <w:divsChild>
            <w:div w:id="1628773322">
              <w:marLeft w:val="0"/>
              <w:marRight w:val="0"/>
              <w:marTop w:val="0"/>
              <w:marBottom w:val="0"/>
              <w:divBdr>
                <w:top w:val="none" w:sz="0" w:space="0" w:color="auto"/>
                <w:left w:val="none" w:sz="0" w:space="0" w:color="auto"/>
                <w:bottom w:val="none" w:sz="0" w:space="0" w:color="auto"/>
                <w:right w:val="none" w:sz="0" w:space="0" w:color="auto"/>
              </w:divBdr>
              <w:divsChild>
                <w:div w:id="831988671">
                  <w:marLeft w:val="0"/>
                  <w:marRight w:val="0"/>
                  <w:marTop w:val="0"/>
                  <w:marBottom w:val="0"/>
                  <w:divBdr>
                    <w:top w:val="none" w:sz="0" w:space="0" w:color="auto"/>
                    <w:left w:val="none" w:sz="0" w:space="0" w:color="auto"/>
                    <w:bottom w:val="none" w:sz="0" w:space="0" w:color="auto"/>
                    <w:right w:val="none" w:sz="0" w:space="0" w:color="auto"/>
                  </w:divBdr>
                  <w:divsChild>
                    <w:div w:id="66894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345431">
      <w:bodyDiv w:val="1"/>
      <w:marLeft w:val="0"/>
      <w:marRight w:val="0"/>
      <w:marTop w:val="0"/>
      <w:marBottom w:val="0"/>
      <w:divBdr>
        <w:top w:val="none" w:sz="0" w:space="0" w:color="auto"/>
        <w:left w:val="none" w:sz="0" w:space="0" w:color="auto"/>
        <w:bottom w:val="none" w:sz="0" w:space="0" w:color="auto"/>
        <w:right w:val="none" w:sz="0" w:space="0" w:color="auto"/>
      </w:divBdr>
      <w:divsChild>
        <w:div w:id="1171606939">
          <w:marLeft w:val="0"/>
          <w:marRight w:val="0"/>
          <w:marTop w:val="0"/>
          <w:marBottom w:val="0"/>
          <w:divBdr>
            <w:top w:val="none" w:sz="0" w:space="0" w:color="auto"/>
            <w:left w:val="none" w:sz="0" w:space="0" w:color="auto"/>
            <w:bottom w:val="none" w:sz="0" w:space="0" w:color="auto"/>
            <w:right w:val="none" w:sz="0" w:space="0" w:color="auto"/>
          </w:divBdr>
          <w:divsChild>
            <w:div w:id="1746104707">
              <w:marLeft w:val="0"/>
              <w:marRight w:val="0"/>
              <w:marTop w:val="0"/>
              <w:marBottom w:val="0"/>
              <w:divBdr>
                <w:top w:val="none" w:sz="0" w:space="0" w:color="auto"/>
                <w:left w:val="none" w:sz="0" w:space="0" w:color="auto"/>
                <w:bottom w:val="none" w:sz="0" w:space="0" w:color="auto"/>
                <w:right w:val="none" w:sz="0" w:space="0" w:color="auto"/>
              </w:divBdr>
              <w:divsChild>
                <w:div w:id="954405171">
                  <w:marLeft w:val="0"/>
                  <w:marRight w:val="0"/>
                  <w:marTop w:val="0"/>
                  <w:marBottom w:val="0"/>
                  <w:divBdr>
                    <w:top w:val="none" w:sz="0" w:space="0" w:color="auto"/>
                    <w:left w:val="none" w:sz="0" w:space="0" w:color="auto"/>
                    <w:bottom w:val="none" w:sz="0" w:space="0" w:color="auto"/>
                    <w:right w:val="none" w:sz="0" w:space="0" w:color="auto"/>
                  </w:divBdr>
                  <w:divsChild>
                    <w:div w:id="66482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09232">
      <w:bodyDiv w:val="1"/>
      <w:marLeft w:val="0"/>
      <w:marRight w:val="0"/>
      <w:marTop w:val="0"/>
      <w:marBottom w:val="0"/>
      <w:divBdr>
        <w:top w:val="none" w:sz="0" w:space="0" w:color="auto"/>
        <w:left w:val="none" w:sz="0" w:space="0" w:color="auto"/>
        <w:bottom w:val="none" w:sz="0" w:space="0" w:color="auto"/>
        <w:right w:val="none" w:sz="0" w:space="0" w:color="auto"/>
      </w:divBdr>
    </w:div>
    <w:div w:id="1645546865">
      <w:bodyDiv w:val="1"/>
      <w:marLeft w:val="0"/>
      <w:marRight w:val="0"/>
      <w:marTop w:val="0"/>
      <w:marBottom w:val="0"/>
      <w:divBdr>
        <w:top w:val="none" w:sz="0" w:space="0" w:color="auto"/>
        <w:left w:val="none" w:sz="0" w:space="0" w:color="auto"/>
        <w:bottom w:val="none" w:sz="0" w:space="0" w:color="auto"/>
        <w:right w:val="none" w:sz="0" w:space="0" w:color="auto"/>
      </w:divBdr>
      <w:divsChild>
        <w:div w:id="1151285107">
          <w:marLeft w:val="360"/>
          <w:marRight w:val="0"/>
          <w:marTop w:val="120"/>
          <w:marBottom w:val="120"/>
          <w:divBdr>
            <w:top w:val="none" w:sz="0" w:space="0" w:color="auto"/>
            <w:left w:val="none" w:sz="0" w:space="0" w:color="auto"/>
            <w:bottom w:val="none" w:sz="0" w:space="0" w:color="auto"/>
            <w:right w:val="none" w:sz="0" w:space="0" w:color="auto"/>
          </w:divBdr>
          <w:divsChild>
            <w:div w:id="5790268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57564720">
      <w:bodyDiv w:val="1"/>
      <w:marLeft w:val="0"/>
      <w:marRight w:val="0"/>
      <w:marTop w:val="0"/>
      <w:marBottom w:val="0"/>
      <w:divBdr>
        <w:top w:val="none" w:sz="0" w:space="0" w:color="auto"/>
        <w:left w:val="none" w:sz="0" w:space="0" w:color="auto"/>
        <w:bottom w:val="none" w:sz="0" w:space="0" w:color="auto"/>
        <w:right w:val="none" w:sz="0" w:space="0" w:color="auto"/>
      </w:divBdr>
      <w:divsChild>
        <w:div w:id="1999845669">
          <w:marLeft w:val="0"/>
          <w:marRight w:val="0"/>
          <w:marTop w:val="0"/>
          <w:marBottom w:val="0"/>
          <w:divBdr>
            <w:top w:val="none" w:sz="0" w:space="0" w:color="auto"/>
            <w:left w:val="none" w:sz="0" w:space="0" w:color="auto"/>
            <w:bottom w:val="none" w:sz="0" w:space="0" w:color="auto"/>
            <w:right w:val="none" w:sz="0" w:space="0" w:color="auto"/>
          </w:divBdr>
        </w:div>
      </w:divsChild>
    </w:div>
    <w:div w:id="1680236168">
      <w:bodyDiv w:val="1"/>
      <w:marLeft w:val="0"/>
      <w:marRight w:val="0"/>
      <w:marTop w:val="0"/>
      <w:marBottom w:val="0"/>
      <w:divBdr>
        <w:top w:val="none" w:sz="0" w:space="0" w:color="auto"/>
        <w:left w:val="none" w:sz="0" w:space="0" w:color="auto"/>
        <w:bottom w:val="none" w:sz="0" w:space="0" w:color="auto"/>
        <w:right w:val="none" w:sz="0" w:space="0" w:color="auto"/>
      </w:divBdr>
      <w:divsChild>
        <w:div w:id="531000617">
          <w:marLeft w:val="0"/>
          <w:marRight w:val="0"/>
          <w:marTop w:val="0"/>
          <w:marBottom w:val="0"/>
          <w:divBdr>
            <w:top w:val="none" w:sz="0" w:space="0" w:color="auto"/>
            <w:left w:val="none" w:sz="0" w:space="0" w:color="auto"/>
            <w:bottom w:val="none" w:sz="0" w:space="0" w:color="auto"/>
            <w:right w:val="none" w:sz="0" w:space="0" w:color="auto"/>
          </w:divBdr>
          <w:divsChild>
            <w:div w:id="1371102018">
              <w:marLeft w:val="0"/>
              <w:marRight w:val="0"/>
              <w:marTop w:val="0"/>
              <w:marBottom w:val="0"/>
              <w:divBdr>
                <w:top w:val="none" w:sz="0" w:space="0" w:color="auto"/>
                <w:left w:val="none" w:sz="0" w:space="0" w:color="auto"/>
                <w:bottom w:val="none" w:sz="0" w:space="0" w:color="auto"/>
                <w:right w:val="none" w:sz="0" w:space="0" w:color="auto"/>
              </w:divBdr>
              <w:divsChild>
                <w:div w:id="1199318718">
                  <w:marLeft w:val="0"/>
                  <w:marRight w:val="0"/>
                  <w:marTop w:val="0"/>
                  <w:marBottom w:val="0"/>
                  <w:divBdr>
                    <w:top w:val="none" w:sz="0" w:space="0" w:color="auto"/>
                    <w:left w:val="none" w:sz="0" w:space="0" w:color="auto"/>
                    <w:bottom w:val="none" w:sz="0" w:space="0" w:color="auto"/>
                    <w:right w:val="none" w:sz="0" w:space="0" w:color="auto"/>
                  </w:divBdr>
                  <w:divsChild>
                    <w:div w:id="20789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850873">
      <w:bodyDiv w:val="1"/>
      <w:marLeft w:val="0"/>
      <w:marRight w:val="0"/>
      <w:marTop w:val="0"/>
      <w:marBottom w:val="0"/>
      <w:divBdr>
        <w:top w:val="none" w:sz="0" w:space="0" w:color="auto"/>
        <w:left w:val="none" w:sz="0" w:space="0" w:color="auto"/>
        <w:bottom w:val="none" w:sz="0" w:space="0" w:color="auto"/>
        <w:right w:val="none" w:sz="0" w:space="0" w:color="auto"/>
      </w:divBdr>
      <w:divsChild>
        <w:div w:id="1415013099">
          <w:marLeft w:val="0"/>
          <w:marRight w:val="0"/>
          <w:marTop w:val="0"/>
          <w:marBottom w:val="0"/>
          <w:divBdr>
            <w:top w:val="none" w:sz="0" w:space="0" w:color="auto"/>
            <w:left w:val="none" w:sz="0" w:space="0" w:color="auto"/>
            <w:bottom w:val="none" w:sz="0" w:space="0" w:color="auto"/>
            <w:right w:val="none" w:sz="0" w:space="0" w:color="auto"/>
          </w:divBdr>
          <w:divsChild>
            <w:div w:id="558783733">
              <w:marLeft w:val="0"/>
              <w:marRight w:val="0"/>
              <w:marTop w:val="0"/>
              <w:marBottom w:val="0"/>
              <w:divBdr>
                <w:top w:val="none" w:sz="0" w:space="0" w:color="auto"/>
                <w:left w:val="none" w:sz="0" w:space="0" w:color="auto"/>
                <w:bottom w:val="none" w:sz="0" w:space="0" w:color="auto"/>
                <w:right w:val="none" w:sz="0" w:space="0" w:color="auto"/>
              </w:divBdr>
              <w:divsChild>
                <w:div w:id="138421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76753">
      <w:bodyDiv w:val="1"/>
      <w:marLeft w:val="0"/>
      <w:marRight w:val="0"/>
      <w:marTop w:val="0"/>
      <w:marBottom w:val="0"/>
      <w:divBdr>
        <w:top w:val="none" w:sz="0" w:space="0" w:color="auto"/>
        <w:left w:val="none" w:sz="0" w:space="0" w:color="auto"/>
        <w:bottom w:val="none" w:sz="0" w:space="0" w:color="auto"/>
        <w:right w:val="none" w:sz="0" w:space="0" w:color="auto"/>
      </w:divBdr>
    </w:div>
    <w:div w:id="1717705063">
      <w:bodyDiv w:val="1"/>
      <w:marLeft w:val="0"/>
      <w:marRight w:val="0"/>
      <w:marTop w:val="0"/>
      <w:marBottom w:val="0"/>
      <w:divBdr>
        <w:top w:val="none" w:sz="0" w:space="0" w:color="auto"/>
        <w:left w:val="none" w:sz="0" w:space="0" w:color="auto"/>
        <w:bottom w:val="none" w:sz="0" w:space="0" w:color="auto"/>
        <w:right w:val="none" w:sz="0" w:space="0" w:color="auto"/>
      </w:divBdr>
    </w:div>
    <w:div w:id="1738282535">
      <w:bodyDiv w:val="1"/>
      <w:marLeft w:val="0"/>
      <w:marRight w:val="0"/>
      <w:marTop w:val="0"/>
      <w:marBottom w:val="0"/>
      <w:divBdr>
        <w:top w:val="none" w:sz="0" w:space="0" w:color="auto"/>
        <w:left w:val="none" w:sz="0" w:space="0" w:color="auto"/>
        <w:bottom w:val="none" w:sz="0" w:space="0" w:color="auto"/>
        <w:right w:val="none" w:sz="0" w:space="0" w:color="auto"/>
      </w:divBdr>
    </w:div>
    <w:div w:id="1874922003">
      <w:bodyDiv w:val="1"/>
      <w:marLeft w:val="0"/>
      <w:marRight w:val="0"/>
      <w:marTop w:val="0"/>
      <w:marBottom w:val="0"/>
      <w:divBdr>
        <w:top w:val="none" w:sz="0" w:space="0" w:color="auto"/>
        <w:left w:val="none" w:sz="0" w:space="0" w:color="auto"/>
        <w:bottom w:val="none" w:sz="0" w:space="0" w:color="auto"/>
        <w:right w:val="none" w:sz="0" w:space="0" w:color="auto"/>
      </w:divBdr>
    </w:div>
    <w:div w:id="1882744119">
      <w:bodyDiv w:val="1"/>
      <w:marLeft w:val="0"/>
      <w:marRight w:val="0"/>
      <w:marTop w:val="0"/>
      <w:marBottom w:val="0"/>
      <w:divBdr>
        <w:top w:val="none" w:sz="0" w:space="0" w:color="auto"/>
        <w:left w:val="none" w:sz="0" w:space="0" w:color="auto"/>
        <w:bottom w:val="none" w:sz="0" w:space="0" w:color="auto"/>
        <w:right w:val="none" w:sz="0" w:space="0" w:color="auto"/>
      </w:divBdr>
      <w:divsChild>
        <w:div w:id="2046755840">
          <w:marLeft w:val="0"/>
          <w:marRight w:val="0"/>
          <w:marTop w:val="0"/>
          <w:marBottom w:val="0"/>
          <w:divBdr>
            <w:top w:val="none" w:sz="0" w:space="0" w:color="auto"/>
            <w:left w:val="none" w:sz="0" w:space="0" w:color="auto"/>
            <w:bottom w:val="none" w:sz="0" w:space="0" w:color="auto"/>
            <w:right w:val="none" w:sz="0" w:space="0" w:color="auto"/>
          </w:divBdr>
          <w:divsChild>
            <w:div w:id="343938449">
              <w:marLeft w:val="0"/>
              <w:marRight w:val="0"/>
              <w:marTop w:val="0"/>
              <w:marBottom w:val="0"/>
              <w:divBdr>
                <w:top w:val="none" w:sz="0" w:space="0" w:color="auto"/>
                <w:left w:val="none" w:sz="0" w:space="0" w:color="auto"/>
                <w:bottom w:val="none" w:sz="0" w:space="0" w:color="auto"/>
                <w:right w:val="none" w:sz="0" w:space="0" w:color="auto"/>
              </w:divBdr>
              <w:divsChild>
                <w:div w:id="206702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26030">
      <w:bodyDiv w:val="1"/>
      <w:marLeft w:val="0"/>
      <w:marRight w:val="0"/>
      <w:marTop w:val="0"/>
      <w:marBottom w:val="0"/>
      <w:divBdr>
        <w:top w:val="none" w:sz="0" w:space="0" w:color="auto"/>
        <w:left w:val="none" w:sz="0" w:space="0" w:color="auto"/>
        <w:bottom w:val="none" w:sz="0" w:space="0" w:color="auto"/>
        <w:right w:val="none" w:sz="0" w:space="0" w:color="auto"/>
      </w:divBdr>
      <w:divsChild>
        <w:div w:id="678696431">
          <w:marLeft w:val="0"/>
          <w:marRight w:val="0"/>
          <w:marTop w:val="0"/>
          <w:marBottom w:val="0"/>
          <w:divBdr>
            <w:top w:val="none" w:sz="0" w:space="0" w:color="auto"/>
            <w:left w:val="none" w:sz="0" w:space="0" w:color="auto"/>
            <w:bottom w:val="none" w:sz="0" w:space="0" w:color="auto"/>
            <w:right w:val="none" w:sz="0" w:space="0" w:color="auto"/>
          </w:divBdr>
          <w:divsChild>
            <w:div w:id="668870323">
              <w:marLeft w:val="0"/>
              <w:marRight w:val="0"/>
              <w:marTop w:val="0"/>
              <w:marBottom w:val="0"/>
              <w:divBdr>
                <w:top w:val="none" w:sz="0" w:space="0" w:color="auto"/>
                <w:left w:val="none" w:sz="0" w:space="0" w:color="auto"/>
                <w:bottom w:val="none" w:sz="0" w:space="0" w:color="auto"/>
                <w:right w:val="none" w:sz="0" w:space="0" w:color="auto"/>
              </w:divBdr>
              <w:divsChild>
                <w:div w:id="6663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639699">
      <w:bodyDiv w:val="1"/>
      <w:marLeft w:val="0"/>
      <w:marRight w:val="0"/>
      <w:marTop w:val="0"/>
      <w:marBottom w:val="0"/>
      <w:divBdr>
        <w:top w:val="none" w:sz="0" w:space="0" w:color="auto"/>
        <w:left w:val="none" w:sz="0" w:space="0" w:color="auto"/>
        <w:bottom w:val="none" w:sz="0" w:space="0" w:color="auto"/>
        <w:right w:val="none" w:sz="0" w:space="0" w:color="auto"/>
      </w:divBdr>
    </w:div>
    <w:div w:id="1927424840">
      <w:bodyDiv w:val="1"/>
      <w:marLeft w:val="0"/>
      <w:marRight w:val="0"/>
      <w:marTop w:val="0"/>
      <w:marBottom w:val="0"/>
      <w:divBdr>
        <w:top w:val="none" w:sz="0" w:space="0" w:color="auto"/>
        <w:left w:val="none" w:sz="0" w:space="0" w:color="auto"/>
        <w:bottom w:val="none" w:sz="0" w:space="0" w:color="auto"/>
        <w:right w:val="none" w:sz="0" w:space="0" w:color="auto"/>
      </w:divBdr>
      <w:divsChild>
        <w:div w:id="2071146155">
          <w:marLeft w:val="0"/>
          <w:marRight w:val="0"/>
          <w:marTop w:val="0"/>
          <w:marBottom w:val="0"/>
          <w:divBdr>
            <w:top w:val="none" w:sz="0" w:space="0" w:color="auto"/>
            <w:left w:val="none" w:sz="0" w:space="0" w:color="auto"/>
            <w:bottom w:val="none" w:sz="0" w:space="0" w:color="auto"/>
            <w:right w:val="none" w:sz="0" w:space="0" w:color="auto"/>
          </w:divBdr>
          <w:divsChild>
            <w:div w:id="1514419177">
              <w:marLeft w:val="0"/>
              <w:marRight w:val="0"/>
              <w:marTop w:val="0"/>
              <w:marBottom w:val="0"/>
              <w:divBdr>
                <w:top w:val="none" w:sz="0" w:space="0" w:color="auto"/>
                <w:left w:val="none" w:sz="0" w:space="0" w:color="auto"/>
                <w:bottom w:val="none" w:sz="0" w:space="0" w:color="auto"/>
                <w:right w:val="none" w:sz="0" w:space="0" w:color="auto"/>
              </w:divBdr>
              <w:divsChild>
                <w:div w:id="117900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89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7">
          <w:marLeft w:val="0"/>
          <w:marRight w:val="0"/>
          <w:marTop w:val="0"/>
          <w:marBottom w:val="0"/>
          <w:divBdr>
            <w:top w:val="none" w:sz="0" w:space="0" w:color="auto"/>
            <w:left w:val="none" w:sz="0" w:space="0" w:color="auto"/>
            <w:bottom w:val="none" w:sz="0" w:space="0" w:color="auto"/>
            <w:right w:val="none" w:sz="0" w:space="0" w:color="auto"/>
          </w:divBdr>
          <w:divsChild>
            <w:div w:id="83654898">
              <w:marLeft w:val="0"/>
              <w:marRight w:val="0"/>
              <w:marTop w:val="0"/>
              <w:marBottom w:val="0"/>
              <w:divBdr>
                <w:top w:val="none" w:sz="0" w:space="0" w:color="auto"/>
                <w:left w:val="none" w:sz="0" w:space="0" w:color="auto"/>
                <w:bottom w:val="none" w:sz="0" w:space="0" w:color="auto"/>
                <w:right w:val="none" w:sz="0" w:space="0" w:color="auto"/>
              </w:divBdr>
              <w:divsChild>
                <w:div w:id="148427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431146">
      <w:bodyDiv w:val="1"/>
      <w:marLeft w:val="0"/>
      <w:marRight w:val="0"/>
      <w:marTop w:val="0"/>
      <w:marBottom w:val="0"/>
      <w:divBdr>
        <w:top w:val="none" w:sz="0" w:space="0" w:color="auto"/>
        <w:left w:val="none" w:sz="0" w:space="0" w:color="auto"/>
        <w:bottom w:val="none" w:sz="0" w:space="0" w:color="auto"/>
        <w:right w:val="none" w:sz="0" w:space="0" w:color="auto"/>
      </w:divBdr>
    </w:div>
    <w:div w:id="2023894132">
      <w:bodyDiv w:val="1"/>
      <w:marLeft w:val="0"/>
      <w:marRight w:val="0"/>
      <w:marTop w:val="0"/>
      <w:marBottom w:val="0"/>
      <w:divBdr>
        <w:top w:val="none" w:sz="0" w:space="0" w:color="auto"/>
        <w:left w:val="none" w:sz="0" w:space="0" w:color="auto"/>
        <w:bottom w:val="none" w:sz="0" w:space="0" w:color="auto"/>
        <w:right w:val="none" w:sz="0" w:space="0" w:color="auto"/>
      </w:divBdr>
      <w:divsChild>
        <w:div w:id="1499922859">
          <w:marLeft w:val="0"/>
          <w:marRight w:val="0"/>
          <w:marTop w:val="0"/>
          <w:marBottom w:val="0"/>
          <w:divBdr>
            <w:top w:val="none" w:sz="0" w:space="0" w:color="auto"/>
            <w:left w:val="none" w:sz="0" w:space="0" w:color="auto"/>
            <w:bottom w:val="none" w:sz="0" w:space="0" w:color="auto"/>
            <w:right w:val="none" w:sz="0" w:space="0" w:color="auto"/>
          </w:divBdr>
          <w:divsChild>
            <w:div w:id="1709718361">
              <w:marLeft w:val="0"/>
              <w:marRight w:val="0"/>
              <w:marTop w:val="0"/>
              <w:marBottom w:val="0"/>
              <w:divBdr>
                <w:top w:val="none" w:sz="0" w:space="0" w:color="auto"/>
                <w:left w:val="none" w:sz="0" w:space="0" w:color="auto"/>
                <w:bottom w:val="none" w:sz="0" w:space="0" w:color="auto"/>
                <w:right w:val="none" w:sz="0" w:space="0" w:color="auto"/>
              </w:divBdr>
              <w:divsChild>
                <w:div w:id="7707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470048">
      <w:bodyDiv w:val="1"/>
      <w:marLeft w:val="0"/>
      <w:marRight w:val="0"/>
      <w:marTop w:val="0"/>
      <w:marBottom w:val="0"/>
      <w:divBdr>
        <w:top w:val="none" w:sz="0" w:space="0" w:color="auto"/>
        <w:left w:val="none" w:sz="0" w:space="0" w:color="auto"/>
        <w:bottom w:val="none" w:sz="0" w:space="0" w:color="auto"/>
        <w:right w:val="none" w:sz="0" w:space="0" w:color="auto"/>
      </w:divBdr>
    </w:div>
    <w:div w:id="2077702113">
      <w:bodyDiv w:val="1"/>
      <w:marLeft w:val="0"/>
      <w:marRight w:val="0"/>
      <w:marTop w:val="0"/>
      <w:marBottom w:val="0"/>
      <w:divBdr>
        <w:top w:val="none" w:sz="0" w:space="0" w:color="auto"/>
        <w:left w:val="none" w:sz="0" w:space="0" w:color="auto"/>
        <w:bottom w:val="none" w:sz="0" w:space="0" w:color="auto"/>
        <w:right w:val="none" w:sz="0" w:space="0" w:color="auto"/>
      </w:divBdr>
    </w:div>
    <w:div w:id="2118981783">
      <w:bodyDiv w:val="1"/>
      <w:marLeft w:val="0"/>
      <w:marRight w:val="0"/>
      <w:marTop w:val="0"/>
      <w:marBottom w:val="0"/>
      <w:divBdr>
        <w:top w:val="none" w:sz="0" w:space="0" w:color="auto"/>
        <w:left w:val="none" w:sz="0" w:space="0" w:color="auto"/>
        <w:bottom w:val="none" w:sz="0" w:space="0" w:color="auto"/>
        <w:right w:val="none" w:sz="0" w:space="0" w:color="auto"/>
      </w:divBdr>
      <w:divsChild>
        <w:div w:id="1593245839">
          <w:marLeft w:val="0"/>
          <w:marRight w:val="0"/>
          <w:marTop w:val="0"/>
          <w:marBottom w:val="0"/>
          <w:divBdr>
            <w:top w:val="none" w:sz="0" w:space="0" w:color="auto"/>
            <w:left w:val="none" w:sz="0" w:space="0" w:color="auto"/>
            <w:bottom w:val="none" w:sz="0" w:space="0" w:color="auto"/>
            <w:right w:val="none" w:sz="0" w:space="0" w:color="auto"/>
          </w:divBdr>
          <w:divsChild>
            <w:div w:id="874200498">
              <w:marLeft w:val="0"/>
              <w:marRight w:val="0"/>
              <w:marTop w:val="0"/>
              <w:marBottom w:val="0"/>
              <w:divBdr>
                <w:top w:val="none" w:sz="0" w:space="0" w:color="auto"/>
                <w:left w:val="none" w:sz="0" w:space="0" w:color="auto"/>
                <w:bottom w:val="none" w:sz="0" w:space="0" w:color="auto"/>
                <w:right w:val="none" w:sz="0" w:space="0" w:color="auto"/>
              </w:divBdr>
              <w:divsChild>
                <w:div w:id="1492792148">
                  <w:marLeft w:val="0"/>
                  <w:marRight w:val="0"/>
                  <w:marTop w:val="0"/>
                  <w:marBottom w:val="0"/>
                  <w:divBdr>
                    <w:top w:val="none" w:sz="0" w:space="0" w:color="auto"/>
                    <w:left w:val="none" w:sz="0" w:space="0" w:color="auto"/>
                    <w:bottom w:val="none" w:sz="0" w:space="0" w:color="auto"/>
                    <w:right w:val="none" w:sz="0" w:space="0" w:color="auto"/>
                  </w:divBdr>
                </w:div>
              </w:divsChild>
            </w:div>
            <w:div w:id="1590499996">
              <w:marLeft w:val="0"/>
              <w:marRight w:val="0"/>
              <w:marTop w:val="0"/>
              <w:marBottom w:val="0"/>
              <w:divBdr>
                <w:top w:val="none" w:sz="0" w:space="0" w:color="auto"/>
                <w:left w:val="none" w:sz="0" w:space="0" w:color="auto"/>
                <w:bottom w:val="none" w:sz="0" w:space="0" w:color="auto"/>
                <w:right w:val="none" w:sz="0" w:space="0" w:color="auto"/>
              </w:divBdr>
              <w:divsChild>
                <w:div w:id="200979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15891">
      <w:bodyDiv w:val="1"/>
      <w:marLeft w:val="0"/>
      <w:marRight w:val="0"/>
      <w:marTop w:val="0"/>
      <w:marBottom w:val="0"/>
      <w:divBdr>
        <w:top w:val="none" w:sz="0" w:space="0" w:color="auto"/>
        <w:left w:val="none" w:sz="0" w:space="0" w:color="auto"/>
        <w:bottom w:val="none" w:sz="0" w:space="0" w:color="auto"/>
        <w:right w:val="none" w:sz="0" w:space="0" w:color="auto"/>
      </w:divBdr>
      <w:divsChild>
        <w:div w:id="19473017">
          <w:marLeft w:val="0"/>
          <w:marRight w:val="0"/>
          <w:marTop w:val="0"/>
          <w:marBottom w:val="0"/>
          <w:divBdr>
            <w:top w:val="none" w:sz="0" w:space="0" w:color="auto"/>
            <w:left w:val="none" w:sz="0" w:space="0" w:color="auto"/>
            <w:bottom w:val="none" w:sz="0" w:space="0" w:color="auto"/>
            <w:right w:val="none" w:sz="0" w:space="0" w:color="auto"/>
          </w:divBdr>
          <w:divsChild>
            <w:div w:id="781992784">
              <w:marLeft w:val="0"/>
              <w:marRight w:val="0"/>
              <w:marTop w:val="0"/>
              <w:marBottom w:val="0"/>
              <w:divBdr>
                <w:top w:val="none" w:sz="0" w:space="0" w:color="auto"/>
                <w:left w:val="none" w:sz="0" w:space="0" w:color="auto"/>
                <w:bottom w:val="none" w:sz="0" w:space="0" w:color="auto"/>
                <w:right w:val="none" w:sz="0" w:space="0" w:color="auto"/>
              </w:divBdr>
              <w:divsChild>
                <w:div w:id="187569471">
                  <w:marLeft w:val="0"/>
                  <w:marRight w:val="0"/>
                  <w:marTop w:val="0"/>
                  <w:marBottom w:val="0"/>
                  <w:divBdr>
                    <w:top w:val="none" w:sz="0" w:space="0" w:color="auto"/>
                    <w:left w:val="none" w:sz="0" w:space="0" w:color="auto"/>
                    <w:bottom w:val="none" w:sz="0" w:space="0" w:color="auto"/>
                    <w:right w:val="none" w:sz="0" w:space="0" w:color="auto"/>
                  </w:divBdr>
                  <w:divsChild>
                    <w:div w:id="128962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aflii.org/cgi-bin/LawCite?cit=1962%20%283%29%20SA%20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3AE0E-E232-473E-ABD0-566D5A57A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12725</Words>
  <Characters>72534</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38270</dc:creator>
  <cp:keywords/>
  <dc:description/>
  <cp:lastModifiedBy>Mary Bruce</cp:lastModifiedBy>
  <cp:revision>4</cp:revision>
  <dcterms:created xsi:type="dcterms:W3CDTF">2024-02-19T06:37:00Z</dcterms:created>
  <dcterms:modified xsi:type="dcterms:W3CDTF">2024-02-21T07:45:00Z</dcterms:modified>
</cp:coreProperties>
</file>