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D3" w:rsidRPr="009B7396" w:rsidRDefault="00062CD3" w:rsidP="00384052">
      <w:pPr>
        <w:spacing w:after="0" w:line="360" w:lineRule="auto"/>
        <w:contextualSpacing/>
        <w:jc w:val="center"/>
        <w:rPr>
          <w:rFonts w:ascii="Arial" w:eastAsia="Calibri" w:hAnsi="Arial" w:cs="Arial"/>
          <w:b/>
          <w:sz w:val="24"/>
          <w:szCs w:val="24"/>
          <w:lang w:val="en-GB"/>
        </w:rPr>
      </w:pPr>
      <w:r w:rsidRPr="009B7396">
        <w:rPr>
          <w:rFonts w:ascii="Arial" w:eastAsia="Calibri" w:hAnsi="Arial" w:cs="Arial"/>
          <w:noProof/>
          <w:sz w:val="24"/>
          <w:szCs w:val="24"/>
        </w:rPr>
        <w:drawing>
          <wp:inline distT="0" distB="0" distL="0" distR="0" wp14:anchorId="3B7F0CFB" wp14:editId="1421C8C3">
            <wp:extent cx="1038225" cy="101929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4" cy="1021170"/>
                    </a:xfrm>
                    <a:prstGeom prst="rect">
                      <a:avLst/>
                    </a:prstGeom>
                    <a:noFill/>
                    <a:ln>
                      <a:noFill/>
                    </a:ln>
                  </pic:spPr>
                </pic:pic>
              </a:graphicData>
            </a:graphic>
          </wp:inline>
        </w:drawing>
      </w:r>
    </w:p>
    <w:p w:rsidR="00062CD3" w:rsidRPr="009B7396" w:rsidRDefault="00062CD3" w:rsidP="00384052">
      <w:pPr>
        <w:spacing w:after="0" w:line="360" w:lineRule="auto"/>
        <w:contextualSpacing/>
        <w:jc w:val="center"/>
        <w:rPr>
          <w:rFonts w:ascii="Arial" w:eastAsia="Calibri" w:hAnsi="Arial" w:cs="Arial"/>
          <w:b/>
          <w:sz w:val="24"/>
          <w:szCs w:val="24"/>
          <w:lang w:val="en-GB"/>
        </w:rPr>
      </w:pPr>
      <w:r w:rsidRPr="009B7396">
        <w:rPr>
          <w:rFonts w:ascii="Arial" w:eastAsia="Calibri" w:hAnsi="Arial" w:cs="Arial"/>
          <w:b/>
          <w:sz w:val="24"/>
          <w:szCs w:val="24"/>
          <w:lang w:val="en-GB"/>
        </w:rPr>
        <w:t>IN THE HIGH COURT OF SOUTH AFRICA</w:t>
      </w:r>
    </w:p>
    <w:p w:rsidR="00062CD3" w:rsidRPr="009B7396" w:rsidRDefault="00062CD3" w:rsidP="00384052">
      <w:pPr>
        <w:spacing w:after="0" w:line="360" w:lineRule="auto"/>
        <w:contextualSpacing/>
        <w:jc w:val="center"/>
        <w:rPr>
          <w:rFonts w:ascii="Arial" w:eastAsia="Calibri" w:hAnsi="Arial" w:cs="Arial"/>
          <w:b/>
          <w:sz w:val="24"/>
          <w:szCs w:val="24"/>
          <w:lang w:val="en-GB"/>
        </w:rPr>
      </w:pPr>
      <w:r w:rsidRPr="009B7396">
        <w:rPr>
          <w:rFonts w:ascii="Arial" w:eastAsia="Calibri" w:hAnsi="Arial" w:cs="Arial"/>
          <w:b/>
          <w:sz w:val="24"/>
          <w:szCs w:val="24"/>
          <w:lang w:val="en-GB"/>
        </w:rPr>
        <w:t>KWAZULU-NATAL DIVISION, PIETERMARITZBURG</w:t>
      </w:r>
    </w:p>
    <w:p w:rsidR="00062CD3" w:rsidRPr="009B7396" w:rsidRDefault="00062CD3" w:rsidP="00384052">
      <w:pPr>
        <w:spacing w:after="0" w:line="360" w:lineRule="auto"/>
        <w:contextualSpacing/>
        <w:jc w:val="center"/>
        <w:rPr>
          <w:rFonts w:ascii="Arial" w:eastAsia="Calibri" w:hAnsi="Arial" w:cs="Arial"/>
          <w:b/>
          <w:sz w:val="24"/>
          <w:szCs w:val="24"/>
          <w:lang w:val="en-GB"/>
        </w:rPr>
      </w:pPr>
    </w:p>
    <w:p w:rsidR="00062CD3" w:rsidRPr="009B7396" w:rsidRDefault="00062CD3" w:rsidP="00384052">
      <w:pPr>
        <w:spacing w:after="0" w:line="480" w:lineRule="auto"/>
        <w:ind w:left="5760" w:firstLine="720"/>
        <w:contextualSpacing/>
        <w:jc w:val="both"/>
        <w:rPr>
          <w:rFonts w:ascii="Arial" w:eastAsia="Calibri" w:hAnsi="Arial" w:cs="Arial"/>
          <w:sz w:val="24"/>
          <w:szCs w:val="24"/>
          <w:lang w:val="en-GB"/>
        </w:rPr>
      </w:pPr>
      <w:r w:rsidRPr="009B7396">
        <w:rPr>
          <w:rFonts w:ascii="Arial" w:eastAsia="Calibri" w:hAnsi="Arial" w:cs="Arial"/>
          <w:sz w:val="24"/>
          <w:szCs w:val="24"/>
          <w:lang w:val="en-GB"/>
        </w:rPr>
        <w:t>Case no:</w:t>
      </w:r>
      <w:r w:rsidR="001C1ED7">
        <w:rPr>
          <w:rFonts w:ascii="Arial" w:eastAsia="Calibri" w:hAnsi="Arial" w:cs="Arial"/>
          <w:sz w:val="24"/>
          <w:szCs w:val="24"/>
          <w:lang w:val="en-GB"/>
        </w:rPr>
        <w:t>13203/2023P</w:t>
      </w:r>
    </w:p>
    <w:p w:rsidR="00062CD3" w:rsidRPr="009B7396" w:rsidRDefault="00062CD3" w:rsidP="00384052">
      <w:pPr>
        <w:spacing w:after="0" w:line="480" w:lineRule="auto"/>
        <w:contextualSpacing/>
        <w:jc w:val="both"/>
        <w:rPr>
          <w:rFonts w:ascii="Arial" w:eastAsia="Calibri" w:hAnsi="Arial" w:cs="Arial"/>
          <w:sz w:val="24"/>
          <w:szCs w:val="24"/>
          <w:lang w:val="en-GB"/>
        </w:rPr>
      </w:pPr>
      <w:r w:rsidRPr="009B7396">
        <w:rPr>
          <w:rFonts w:ascii="Arial" w:eastAsia="Calibri" w:hAnsi="Arial" w:cs="Arial"/>
          <w:sz w:val="24"/>
          <w:szCs w:val="24"/>
          <w:lang w:val="en-GB"/>
        </w:rPr>
        <w:t>In the matter between</w:t>
      </w:r>
    </w:p>
    <w:p w:rsidR="00062CD3" w:rsidRDefault="00CB4D66" w:rsidP="001C1ED7">
      <w:pPr>
        <w:spacing w:after="0" w:line="240" w:lineRule="auto"/>
        <w:contextualSpacing/>
        <w:jc w:val="both"/>
        <w:rPr>
          <w:rFonts w:ascii="Arial" w:eastAsia="Calibri" w:hAnsi="Arial" w:cs="Arial"/>
          <w:b/>
          <w:sz w:val="24"/>
          <w:szCs w:val="24"/>
          <w:lang w:val="en-GB"/>
        </w:rPr>
      </w:pPr>
      <w:r>
        <w:rPr>
          <w:rFonts w:ascii="Arial" w:eastAsia="Calibri" w:hAnsi="Arial" w:cs="Arial"/>
          <w:b/>
          <w:sz w:val="24"/>
          <w:szCs w:val="24"/>
          <w:lang w:val="en-GB"/>
        </w:rPr>
        <w:t xml:space="preserve">WETLANDS COUNTRY </w:t>
      </w:r>
      <w:r w:rsidR="001C1ED7">
        <w:rPr>
          <w:rFonts w:ascii="Arial" w:eastAsia="Calibri" w:hAnsi="Arial" w:cs="Arial"/>
          <w:b/>
          <w:sz w:val="24"/>
          <w:szCs w:val="24"/>
          <w:lang w:val="en-GB"/>
        </w:rPr>
        <w:t>RETREAT (PTY) LTD</w:t>
      </w:r>
      <w:r w:rsidR="001C1ED7">
        <w:rPr>
          <w:rFonts w:ascii="Arial" w:eastAsia="Calibri" w:hAnsi="Arial" w:cs="Arial"/>
          <w:b/>
          <w:sz w:val="24"/>
          <w:szCs w:val="24"/>
          <w:lang w:val="en-GB"/>
        </w:rPr>
        <w:tab/>
      </w:r>
      <w:r w:rsidR="001C1ED7">
        <w:rPr>
          <w:rFonts w:ascii="Arial" w:eastAsia="Calibri" w:hAnsi="Arial" w:cs="Arial"/>
          <w:b/>
          <w:sz w:val="24"/>
          <w:szCs w:val="24"/>
          <w:lang w:val="en-GB"/>
        </w:rPr>
        <w:tab/>
        <w:t>FIRST APPLICANT</w:t>
      </w:r>
    </w:p>
    <w:p w:rsidR="001C1ED7" w:rsidRDefault="001C1ED7" w:rsidP="001C1ED7">
      <w:pPr>
        <w:spacing w:after="0" w:line="480" w:lineRule="auto"/>
        <w:contextualSpacing/>
        <w:jc w:val="both"/>
        <w:rPr>
          <w:rFonts w:ascii="Arial" w:eastAsia="Calibri" w:hAnsi="Arial" w:cs="Arial"/>
          <w:b/>
          <w:sz w:val="24"/>
          <w:szCs w:val="24"/>
          <w:lang w:val="en-GB"/>
        </w:rPr>
      </w:pPr>
      <w:r>
        <w:rPr>
          <w:rFonts w:ascii="Arial" w:eastAsia="Calibri" w:hAnsi="Arial" w:cs="Arial"/>
          <w:b/>
          <w:sz w:val="24"/>
          <w:szCs w:val="24"/>
          <w:lang w:val="en-GB"/>
        </w:rPr>
        <w:t>(Registration Number: 2008/011285/07)</w:t>
      </w:r>
    </w:p>
    <w:p w:rsidR="001C1ED7" w:rsidRDefault="001C1ED7" w:rsidP="001C1ED7">
      <w:pPr>
        <w:spacing w:after="0" w:line="240" w:lineRule="auto"/>
        <w:contextualSpacing/>
        <w:jc w:val="both"/>
        <w:rPr>
          <w:rFonts w:ascii="Arial" w:eastAsia="Calibri" w:hAnsi="Arial" w:cs="Arial"/>
          <w:b/>
          <w:sz w:val="24"/>
          <w:szCs w:val="24"/>
          <w:lang w:val="en-GB"/>
        </w:rPr>
      </w:pPr>
      <w:r>
        <w:rPr>
          <w:rFonts w:ascii="Arial" w:eastAsia="Calibri" w:hAnsi="Arial" w:cs="Arial"/>
          <w:b/>
          <w:sz w:val="24"/>
          <w:szCs w:val="24"/>
          <w:lang w:val="en-GB"/>
        </w:rPr>
        <w:t>RENSBURG BOERDERY (PTY) LTD</w:t>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t>SECOND APPLICANT</w:t>
      </w:r>
    </w:p>
    <w:p w:rsidR="001C1ED7" w:rsidRDefault="001C1ED7" w:rsidP="001C1ED7">
      <w:pPr>
        <w:spacing w:after="0" w:line="480" w:lineRule="auto"/>
        <w:contextualSpacing/>
        <w:jc w:val="both"/>
        <w:rPr>
          <w:rFonts w:ascii="Arial" w:eastAsia="Calibri" w:hAnsi="Arial" w:cs="Arial"/>
          <w:b/>
          <w:sz w:val="24"/>
          <w:szCs w:val="24"/>
          <w:lang w:val="en-GB"/>
        </w:rPr>
      </w:pPr>
      <w:r>
        <w:rPr>
          <w:rFonts w:ascii="Arial" w:eastAsia="Calibri" w:hAnsi="Arial" w:cs="Arial"/>
          <w:b/>
          <w:sz w:val="24"/>
          <w:szCs w:val="24"/>
          <w:lang w:val="en-GB"/>
        </w:rPr>
        <w:t>(Registration Number: 2018/306669/07)</w:t>
      </w:r>
    </w:p>
    <w:p w:rsidR="001C1ED7" w:rsidRPr="009B7396" w:rsidRDefault="001C1ED7" w:rsidP="00384052">
      <w:pPr>
        <w:spacing w:after="0" w:line="480" w:lineRule="auto"/>
        <w:contextualSpacing/>
        <w:jc w:val="both"/>
        <w:rPr>
          <w:rFonts w:ascii="Arial" w:eastAsia="Calibri" w:hAnsi="Arial" w:cs="Arial"/>
          <w:b/>
          <w:sz w:val="24"/>
          <w:szCs w:val="24"/>
          <w:lang w:val="en-GB"/>
        </w:rPr>
      </w:pPr>
      <w:r>
        <w:rPr>
          <w:rFonts w:ascii="Arial" w:eastAsia="Calibri" w:hAnsi="Arial" w:cs="Arial"/>
          <w:b/>
          <w:sz w:val="24"/>
          <w:szCs w:val="24"/>
          <w:lang w:val="en-GB"/>
        </w:rPr>
        <w:t>A</w:t>
      </w:r>
      <w:r w:rsidR="00B36381">
        <w:rPr>
          <w:rFonts w:ascii="Arial" w:eastAsia="Calibri" w:hAnsi="Arial" w:cs="Arial"/>
          <w:b/>
          <w:sz w:val="24"/>
          <w:szCs w:val="24"/>
          <w:lang w:val="en-GB"/>
        </w:rPr>
        <w:t>nd</w:t>
      </w:r>
    </w:p>
    <w:p w:rsidR="00062CD3" w:rsidRDefault="001C1ED7" w:rsidP="001C1ED7">
      <w:pPr>
        <w:pBdr>
          <w:bottom w:val="single" w:sz="12" w:space="1" w:color="auto"/>
        </w:pBdr>
        <w:spacing w:after="0" w:line="240" w:lineRule="auto"/>
        <w:contextualSpacing/>
        <w:jc w:val="both"/>
        <w:rPr>
          <w:rFonts w:ascii="Arial" w:eastAsia="Calibri" w:hAnsi="Arial" w:cs="Arial"/>
          <w:b/>
          <w:sz w:val="24"/>
          <w:szCs w:val="24"/>
          <w:lang w:val="en-GB"/>
        </w:rPr>
      </w:pPr>
      <w:r>
        <w:rPr>
          <w:rFonts w:ascii="Arial" w:eastAsia="Calibri" w:hAnsi="Arial" w:cs="Arial"/>
          <w:b/>
          <w:sz w:val="24"/>
          <w:szCs w:val="24"/>
          <w:lang w:val="en-GB"/>
        </w:rPr>
        <w:t>SCHÜTMANN AGRI (PTY) LTD</w:t>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t>RESPONDENT</w:t>
      </w:r>
    </w:p>
    <w:p w:rsidR="001C1ED7" w:rsidRDefault="001C1ED7" w:rsidP="001C1ED7">
      <w:pPr>
        <w:pBdr>
          <w:bottom w:val="single" w:sz="12" w:space="1" w:color="auto"/>
        </w:pBdr>
        <w:spacing w:after="0" w:line="240" w:lineRule="auto"/>
        <w:contextualSpacing/>
        <w:jc w:val="both"/>
        <w:rPr>
          <w:rFonts w:ascii="Arial" w:eastAsia="Calibri" w:hAnsi="Arial" w:cs="Arial"/>
          <w:b/>
          <w:sz w:val="24"/>
          <w:szCs w:val="24"/>
          <w:lang w:val="en-GB"/>
        </w:rPr>
      </w:pPr>
      <w:r>
        <w:rPr>
          <w:rFonts w:ascii="Arial" w:eastAsia="Calibri" w:hAnsi="Arial" w:cs="Arial"/>
          <w:b/>
          <w:sz w:val="24"/>
          <w:szCs w:val="24"/>
          <w:lang w:val="en-GB"/>
        </w:rPr>
        <w:t>(Registration Number: 2020/727828/07)</w:t>
      </w:r>
    </w:p>
    <w:p w:rsidR="001C1ED7" w:rsidRPr="009B7396" w:rsidRDefault="001C1ED7" w:rsidP="001C1ED7">
      <w:pPr>
        <w:pBdr>
          <w:bottom w:val="single" w:sz="12" w:space="1" w:color="auto"/>
        </w:pBdr>
        <w:spacing w:after="0" w:line="240" w:lineRule="auto"/>
        <w:contextualSpacing/>
        <w:jc w:val="both"/>
        <w:rPr>
          <w:rFonts w:ascii="Arial" w:eastAsia="Calibri" w:hAnsi="Arial" w:cs="Arial"/>
          <w:b/>
          <w:sz w:val="24"/>
          <w:szCs w:val="24"/>
          <w:lang w:val="en-GB"/>
        </w:rPr>
      </w:pPr>
    </w:p>
    <w:p w:rsidR="00C05350" w:rsidRPr="009B7396" w:rsidRDefault="00C05350" w:rsidP="00384052">
      <w:pPr>
        <w:spacing w:after="0" w:line="360" w:lineRule="auto"/>
        <w:jc w:val="center"/>
        <w:rPr>
          <w:rFonts w:ascii="Arial" w:eastAsia="Calibri" w:hAnsi="Arial" w:cs="Arial"/>
          <w:sz w:val="24"/>
          <w:szCs w:val="24"/>
          <w:lang w:val="en-GB"/>
        </w:rPr>
      </w:pPr>
    </w:p>
    <w:p w:rsidR="00C05350" w:rsidRPr="00630B05" w:rsidRDefault="00C05350" w:rsidP="00384052">
      <w:pPr>
        <w:pBdr>
          <w:bottom w:val="single" w:sz="12" w:space="1" w:color="auto"/>
        </w:pBdr>
        <w:spacing w:after="0" w:line="360" w:lineRule="auto"/>
        <w:jc w:val="center"/>
        <w:rPr>
          <w:rFonts w:ascii="Arial" w:eastAsia="Calibri" w:hAnsi="Arial" w:cs="Arial"/>
          <w:b/>
          <w:sz w:val="24"/>
          <w:szCs w:val="24"/>
          <w:lang w:val="en-GB"/>
        </w:rPr>
      </w:pPr>
      <w:r w:rsidRPr="00630B05">
        <w:rPr>
          <w:rFonts w:ascii="Arial" w:eastAsia="Calibri" w:hAnsi="Arial" w:cs="Arial"/>
          <w:b/>
          <w:sz w:val="24"/>
          <w:szCs w:val="24"/>
          <w:lang w:val="en-GB"/>
        </w:rPr>
        <w:t>JUDGMENT</w:t>
      </w:r>
    </w:p>
    <w:p w:rsidR="00B36381" w:rsidRPr="009B7396" w:rsidRDefault="00B36381" w:rsidP="00384052">
      <w:pPr>
        <w:pBdr>
          <w:bottom w:val="single" w:sz="12" w:space="1" w:color="auto"/>
        </w:pBdr>
        <w:spacing w:after="0" w:line="360" w:lineRule="auto"/>
        <w:jc w:val="center"/>
        <w:rPr>
          <w:rFonts w:ascii="Arial" w:eastAsia="Calibri" w:hAnsi="Arial" w:cs="Arial"/>
          <w:sz w:val="24"/>
          <w:szCs w:val="24"/>
          <w:lang w:val="en-GB"/>
        </w:rPr>
      </w:pPr>
    </w:p>
    <w:p w:rsidR="00B36381" w:rsidRDefault="00B36381" w:rsidP="00384052">
      <w:pPr>
        <w:spacing w:after="0" w:line="360" w:lineRule="auto"/>
        <w:jc w:val="center"/>
        <w:rPr>
          <w:rFonts w:ascii="Arial" w:eastAsia="Calibri" w:hAnsi="Arial" w:cs="Arial"/>
          <w:b/>
          <w:sz w:val="24"/>
          <w:szCs w:val="24"/>
          <w:lang w:val="en-GB"/>
        </w:rPr>
      </w:pPr>
    </w:p>
    <w:p w:rsidR="009B7396" w:rsidRPr="001C1ED7" w:rsidRDefault="009B7396" w:rsidP="001C1ED7">
      <w:pPr>
        <w:spacing w:after="0" w:line="360" w:lineRule="auto"/>
        <w:rPr>
          <w:rFonts w:ascii="Arial" w:eastAsia="Calibri" w:hAnsi="Arial" w:cs="Arial"/>
          <w:b/>
          <w:sz w:val="24"/>
          <w:szCs w:val="24"/>
          <w:lang w:val="en-GB"/>
        </w:rPr>
      </w:pPr>
      <w:r w:rsidRPr="001C1ED7">
        <w:rPr>
          <w:rFonts w:ascii="Arial" w:eastAsia="Calibri" w:hAnsi="Arial" w:cs="Arial"/>
          <w:b/>
          <w:sz w:val="24"/>
          <w:szCs w:val="24"/>
          <w:lang w:val="en-GB"/>
        </w:rPr>
        <w:t>PITMAN</w:t>
      </w:r>
      <w:r w:rsidR="00C05350" w:rsidRPr="001C1ED7">
        <w:rPr>
          <w:rFonts w:ascii="Arial" w:eastAsia="Calibri" w:hAnsi="Arial" w:cs="Arial"/>
          <w:b/>
          <w:sz w:val="24"/>
          <w:szCs w:val="24"/>
          <w:lang w:val="en-GB"/>
        </w:rPr>
        <w:t xml:space="preserve"> AJ</w:t>
      </w:r>
    </w:p>
    <w:p w:rsidR="001C1ED7" w:rsidRPr="001C1ED7" w:rsidRDefault="001C1ED7" w:rsidP="001C1ED7">
      <w:pPr>
        <w:spacing w:after="0" w:line="360" w:lineRule="auto"/>
        <w:jc w:val="both"/>
        <w:rPr>
          <w:rFonts w:ascii="Arial" w:hAnsi="Arial" w:cs="Arial"/>
          <w:b/>
          <w:bCs/>
          <w:sz w:val="24"/>
          <w:szCs w:val="24"/>
          <w:u w:val="single"/>
        </w:rPr>
      </w:pPr>
    </w:p>
    <w:p w:rsidR="001C1ED7" w:rsidRDefault="001C1ED7" w:rsidP="001C1ED7">
      <w:pPr>
        <w:spacing w:after="0" w:line="360" w:lineRule="auto"/>
        <w:jc w:val="both"/>
        <w:rPr>
          <w:rFonts w:ascii="Arial" w:hAnsi="Arial" w:cs="Arial"/>
          <w:sz w:val="24"/>
          <w:szCs w:val="24"/>
        </w:rPr>
      </w:pPr>
      <w:r w:rsidRPr="001C1ED7">
        <w:rPr>
          <w:rFonts w:ascii="Arial" w:hAnsi="Arial" w:cs="Arial"/>
          <w:sz w:val="24"/>
          <w:szCs w:val="24"/>
        </w:rPr>
        <w:t>[1]</w:t>
      </w:r>
      <w:r w:rsidRPr="001C1ED7">
        <w:rPr>
          <w:rFonts w:ascii="Arial" w:hAnsi="Arial" w:cs="Arial"/>
          <w:sz w:val="24"/>
          <w:szCs w:val="24"/>
        </w:rPr>
        <w:tab/>
        <w:t>The first applicant is the registered owner of two farms</w:t>
      </w:r>
      <w:r w:rsidR="007B3870">
        <w:rPr>
          <w:rFonts w:ascii="Arial" w:hAnsi="Arial" w:cs="Arial"/>
          <w:sz w:val="24"/>
          <w:szCs w:val="24"/>
        </w:rPr>
        <w:t>,</w:t>
      </w:r>
      <w:r w:rsidRPr="001C1ED7">
        <w:rPr>
          <w:rFonts w:ascii="Arial" w:hAnsi="Arial" w:cs="Arial"/>
          <w:sz w:val="24"/>
          <w:szCs w:val="24"/>
        </w:rPr>
        <w:t xml:space="preserve"> the possession of which is at the core of this application. The second applicant is an entity to which the first applicant granted the right to lease the farms to the respondent. The precise nature of the relationship between the applicants is not set out in the papers</w:t>
      </w:r>
      <w:r w:rsidR="007B3870">
        <w:rPr>
          <w:rFonts w:ascii="Arial" w:hAnsi="Arial" w:cs="Arial"/>
          <w:sz w:val="24"/>
          <w:szCs w:val="24"/>
        </w:rPr>
        <w:t>,</w:t>
      </w:r>
      <w:r w:rsidRPr="001C1ED7">
        <w:rPr>
          <w:rFonts w:ascii="Arial" w:hAnsi="Arial" w:cs="Arial"/>
          <w:sz w:val="24"/>
          <w:szCs w:val="24"/>
        </w:rPr>
        <w:t xml:space="preserve"> but is irrelevant because what is set out above is common cause.</w:t>
      </w:r>
    </w:p>
    <w:p w:rsidR="001C1ED7" w:rsidRDefault="001C1ED7" w:rsidP="001C1ED7">
      <w:pPr>
        <w:spacing w:after="0" w:line="360" w:lineRule="auto"/>
        <w:jc w:val="both"/>
        <w:rPr>
          <w:rFonts w:ascii="Arial" w:hAnsi="Arial" w:cs="Arial"/>
          <w:sz w:val="24"/>
          <w:szCs w:val="24"/>
        </w:rPr>
      </w:pPr>
    </w:p>
    <w:p w:rsidR="001C1ED7" w:rsidRPr="001C1ED7" w:rsidRDefault="001C1ED7" w:rsidP="001C1ED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1C1ED7">
        <w:rPr>
          <w:rFonts w:ascii="Arial" w:hAnsi="Arial" w:cs="Arial"/>
          <w:sz w:val="24"/>
          <w:szCs w:val="24"/>
        </w:rPr>
        <w:t>The respondent initially leased the farms for the period 1 September 2020 to 30 August 2022. A further written lease was then concluded in order that the respondent could continue on the farms, this time for the period 1 September 2022 until 31 August 2023. A portion of this written lease forms the basis of the dispute between the parties. The applicants allege that the lease terminated by agreement on 31 August 2023 and that the respondent is obliged to vacate. It has refused to do so and</w:t>
      </w:r>
      <w:r w:rsidR="007B3870">
        <w:rPr>
          <w:rFonts w:ascii="Arial" w:hAnsi="Arial" w:cs="Arial"/>
          <w:sz w:val="24"/>
          <w:szCs w:val="24"/>
        </w:rPr>
        <w:t>,</w:t>
      </w:r>
      <w:r w:rsidRPr="001C1ED7">
        <w:rPr>
          <w:rFonts w:ascii="Arial" w:hAnsi="Arial" w:cs="Arial"/>
          <w:sz w:val="24"/>
          <w:szCs w:val="24"/>
        </w:rPr>
        <w:t xml:space="preserve"> as a consequence</w:t>
      </w:r>
      <w:r w:rsidR="007B3870">
        <w:rPr>
          <w:rFonts w:ascii="Arial" w:hAnsi="Arial" w:cs="Arial"/>
          <w:sz w:val="24"/>
          <w:szCs w:val="24"/>
        </w:rPr>
        <w:t>,</w:t>
      </w:r>
      <w:r w:rsidRPr="001C1ED7">
        <w:rPr>
          <w:rFonts w:ascii="Arial" w:hAnsi="Arial" w:cs="Arial"/>
          <w:sz w:val="24"/>
          <w:szCs w:val="24"/>
        </w:rPr>
        <w:t xml:space="preserve"> the applicants allege that they are entitled to </w:t>
      </w:r>
      <w:r w:rsidR="001D0509">
        <w:rPr>
          <w:rFonts w:ascii="Arial" w:hAnsi="Arial" w:cs="Arial"/>
          <w:sz w:val="24"/>
          <w:szCs w:val="24"/>
        </w:rPr>
        <w:t>o</w:t>
      </w:r>
      <w:r w:rsidRPr="001C1ED7">
        <w:rPr>
          <w:rFonts w:ascii="Arial" w:hAnsi="Arial" w:cs="Arial"/>
          <w:sz w:val="24"/>
          <w:szCs w:val="24"/>
        </w:rPr>
        <w:t xml:space="preserve">rders removing the respondent and interdicting it from using the farms any longer or inciting or allowing anyone else to do so. The respondent alleges that the written lease provided it with an option to purchase, as set out in clause 16 thereof.  It alleges it exercised that option and it is therefore entitled to remain occupying the farms until the transfer takes place. The applicants deny that </w:t>
      </w:r>
      <w:r w:rsidR="001D0509">
        <w:rPr>
          <w:rFonts w:ascii="Arial" w:hAnsi="Arial" w:cs="Arial"/>
          <w:sz w:val="24"/>
          <w:szCs w:val="24"/>
        </w:rPr>
        <w:t>an</w:t>
      </w:r>
      <w:r w:rsidRPr="001C1ED7">
        <w:rPr>
          <w:rFonts w:ascii="Arial" w:hAnsi="Arial" w:cs="Arial"/>
          <w:sz w:val="24"/>
          <w:szCs w:val="24"/>
        </w:rPr>
        <w:t xml:space="preserve"> alleged option to purchase was agreed in the signed lease agreement. The applicant</w:t>
      </w:r>
      <w:r w:rsidR="001D0509">
        <w:rPr>
          <w:rFonts w:ascii="Arial" w:hAnsi="Arial" w:cs="Arial"/>
          <w:sz w:val="24"/>
          <w:szCs w:val="24"/>
        </w:rPr>
        <w:t>s</w:t>
      </w:r>
      <w:r w:rsidRPr="001C1ED7">
        <w:rPr>
          <w:rFonts w:ascii="Arial" w:hAnsi="Arial" w:cs="Arial"/>
          <w:sz w:val="24"/>
          <w:szCs w:val="24"/>
        </w:rPr>
        <w:t xml:space="preserve"> put up a copy of the lease </w:t>
      </w:r>
      <w:r w:rsidR="001D0509">
        <w:rPr>
          <w:rFonts w:ascii="Arial" w:hAnsi="Arial" w:cs="Arial"/>
          <w:sz w:val="24"/>
          <w:szCs w:val="24"/>
        </w:rPr>
        <w:t>they</w:t>
      </w:r>
      <w:r w:rsidRPr="001C1ED7">
        <w:rPr>
          <w:rFonts w:ascii="Arial" w:hAnsi="Arial" w:cs="Arial"/>
          <w:sz w:val="24"/>
          <w:szCs w:val="24"/>
        </w:rPr>
        <w:t xml:space="preserve"> say </w:t>
      </w:r>
      <w:r w:rsidR="001D0509">
        <w:rPr>
          <w:rFonts w:ascii="Arial" w:hAnsi="Arial" w:cs="Arial"/>
          <w:sz w:val="24"/>
          <w:szCs w:val="24"/>
        </w:rPr>
        <w:t>they</w:t>
      </w:r>
      <w:r w:rsidRPr="001C1ED7">
        <w:rPr>
          <w:rFonts w:ascii="Arial" w:hAnsi="Arial" w:cs="Arial"/>
          <w:sz w:val="24"/>
          <w:szCs w:val="24"/>
        </w:rPr>
        <w:t xml:space="preserve"> agreed to, which has clause 16 deleted in manuscript. The respondent, on the other hand, put up a copy that did not have clause 16 deleted. The respondent alleges that its version of the written lease was what was agreed. It alleges that the copy put up by the applicants, with clause 16 deleted, is a fraud. </w:t>
      </w:r>
    </w:p>
    <w:p w:rsidR="00C44A77" w:rsidRDefault="00C44A77" w:rsidP="001C1ED7">
      <w:pPr>
        <w:spacing w:after="0" w:line="360" w:lineRule="auto"/>
        <w:jc w:val="both"/>
        <w:rPr>
          <w:rFonts w:ascii="Arial" w:hAnsi="Arial" w:cs="Arial"/>
          <w:sz w:val="24"/>
          <w:szCs w:val="24"/>
        </w:rPr>
      </w:pPr>
    </w:p>
    <w:p w:rsidR="001C1ED7" w:rsidRPr="001C1ED7" w:rsidRDefault="001C1ED7" w:rsidP="001C1ED7">
      <w:pPr>
        <w:spacing w:after="0" w:line="360" w:lineRule="auto"/>
        <w:jc w:val="both"/>
        <w:rPr>
          <w:rFonts w:ascii="Arial" w:hAnsi="Arial" w:cs="Arial"/>
          <w:sz w:val="24"/>
          <w:szCs w:val="24"/>
        </w:rPr>
      </w:pPr>
      <w:r w:rsidRPr="001C1ED7">
        <w:rPr>
          <w:rFonts w:ascii="Arial" w:hAnsi="Arial" w:cs="Arial"/>
          <w:sz w:val="24"/>
          <w:szCs w:val="24"/>
        </w:rPr>
        <w:t>Clause 16 of the lease document reads as follows:</w:t>
      </w:r>
    </w:p>
    <w:p w:rsidR="001C1ED7" w:rsidRPr="001C1ED7" w:rsidRDefault="001C1ED7" w:rsidP="001C1ED7">
      <w:pPr>
        <w:spacing w:after="0" w:line="360" w:lineRule="auto"/>
        <w:jc w:val="both"/>
        <w:rPr>
          <w:rFonts w:ascii="Arial" w:hAnsi="Arial" w:cs="Arial"/>
          <w:sz w:val="24"/>
          <w:szCs w:val="24"/>
        </w:rPr>
      </w:pPr>
    </w:p>
    <w:p w:rsidR="001C1ED7" w:rsidRPr="009A4DBE" w:rsidRDefault="001C1ED7" w:rsidP="0005380D">
      <w:pPr>
        <w:spacing w:after="0" w:line="360" w:lineRule="auto"/>
        <w:ind w:firstLine="360"/>
        <w:jc w:val="both"/>
        <w:rPr>
          <w:rFonts w:ascii="Arial" w:hAnsi="Arial" w:cs="Arial"/>
          <w:b/>
          <w:bCs/>
          <w:i/>
          <w:iCs/>
          <w:u w:val="single"/>
        </w:rPr>
      </w:pPr>
      <w:r w:rsidRPr="009A4DBE">
        <w:rPr>
          <w:rFonts w:ascii="Arial" w:hAnsi="Arial" w:cs="Arial"/>
          <w:b/>
          <w:bCs/>
          <w:i/>
          <w:iCs/>
        </w:rPr>
        <w:t xml:space="preserve">“16. </w:t>
      </w:r>
      <w:r w:rsidRPr="009A4DBE">
        <w:rPr>
          <w:rFonts w:ascii="Arial" w:hAnsi="Arial" w:cs="Arial"/>
          <w:b/>
          <w:bCs/>
          <w:i/>
          <w:iCs/>
          <w:u w:val="single"/>
        </w:rPr>
        <w:t>SPECIAL CONDITIONS</w:t>
      </w:r>
    </w:p>
    <w:p w:rsidR="001C1ED7" w:rsidRPr="009A4DBE" w:rsidRDefault="001C1ED7" w:rsidP="0005380D">
      <w:pPr>
        <w:spacing w:after="0" w:line="360" w:lineRule="auto"/>
        <w:ind w:firstLine="360"/>
        <w:jc w:val="both"/>
        <w:rPr>
          <w:rFonts w:ascii="Arial" w:hAnsi="Arial" w:cs="Arial"/>
          <w:b/>
          <w:bCs/>
          <w:i/>
          <w:iCs/>
          <w:u w:val="single"/>
        </w:rPr>
      </w:pPr>
    </w:p>
    <w:p w:rsidR="001C1ED7" w:rsidRPr="009A4DBE" w:rsidRDefault="001C1ED7" w:rsidP="0005380D">
      <w:pPr>
        <w:spacing w:after="0" w:line="360" w:lineRule="auto"/>
        <w:ind w:left="360"/>
        <w:jc w:val="both"/>
        <w:rPr>
          <w:rFonts w:ascii="Arial" w:hAnsi="Arial" w:cs="Arial"/>
          <w:i/>
          <w:iCs/>
        </w:rPr>
      </w:pPr>
      <w:r w:rsidRPr="009A4DBE">
        <w:rPr>
          <w:rFonts w:ascii="Arial" w:hAnsi="Arial" w:cs="Arial"/>
          <w:i/>
          <w:iCs/>
        </w:rPr>
        <w:t>16.1 The Lessor on behalf of the registered owner of the farms hereby grants the Lessee an option to purchase the farms on or before 31 August 2023.</w:t>
      </w:r>
    </w:p>
    <w:p w:rsidR="001C1ED7" w:rsidRPr="009A4DBE" w:rsidRDefault="001C1ED7" w:rsidP="0005380D">
      <w:pPr>
        <w:spacing w:after="0" w:line="360" w:lineRule="auto"/>
        <w:ind w:firstLine="360"/>
        <w:jc w:val="both"/>
        <w:rPr>
          <w:rFonts w:ascii="Arial" w:hAnsi="Arial" w:cs="Arial"/>
          <w:i/>
          <w:iCs/>
        </w:rPr>
      </w:pPr>
    </w:p>
    <w:p w:rsidR="001C1ED7" w:rsidRPr="009A4DBE" w:rsidRDefault="001C1ED7" w:rsidP="0005380D">
      <w:pPr>
        <w:spacing w:after="0" w:line="360" w:lineRule="auto"/>
        <w:ind w:left="360"/>
        <w:jc w:val="both"/>
        <w:rPr>
          <w:rFonts w:ascii="Arial" w:hAnsi="Arial" w:cs="Arial"/>
          <w:i/>
          <w:iCs/>
        </w:rPr>
      </w:pPr>
      <w:r w:rsidRPr="009A4DBE">
        <w:rPr>
          <w:rFonts w:ascii="Arial" w:hAnsi="Arial" w:cs="Arial"/>
          <w:i/>
          <w:iCs/>
        </w:rPr>
        <w:t xml:space="preserve">16.2  The parties hereby agree that the purchase price will be an amount of R10 800.00 per hectare and guarantee(s) for the purchase price will be delivered within 30 (thirty) days from the date on which the option is exercised, alternatively, </w:t>
      </w:r>
      <w:bookmarkStart w:id="0" w:name="_Hlk159308164"/>
      <w:r w:rsidRPr="009A4DBE">
        <w:rPr>
          <w:rFonts w:ascii="Arial" w:hAnsi="Arial" w:cs="Arial"/>
          <w:i/>
          <w:iCs/>
        </w:rPr>
        <w:t>if such is exercised less than 30 (thirty) days before the expiry of the lease, then such guarantee(s) are to be provided before the expiry of the lease…..”</w:t>
      </w:r>
      <w:bookmarkEnd w:id="0"/>
    </w:p>
    <w:p w:rsidR="007D212A" w:rsidRDefault="007D212A" w:rsidP="001C1ED7">
      <w:pPr>
        <w:spacing w:after="0" w:line="360" w:lineRule="auto"/>
        <w:jc w:val="both"/>
        <w:rPr>
          <w:rFonts w:ascii="Arial" w:hAnsi="Arial" w:cs="Arial"/>
          <w:sz w:val="24"/>
          <w:szCs w:val="24"/>
        </w:rPr>
      </w:pPr>
    </w:p>
    <w:p w:rsidR="001C1ED7" w:rsidRPr="001C1ED7" w:rsidRDefault="001C1ED7" w:rsidP="001C1ED7">
      <w:pPr>
        <w:spacing w:after="0" w:line="360" w:lineRule="auto"/>
        <w:jc w:val="both"/>
        <w:rPr>
          <w:rFonts w:ascii="Arial" w:hAnsi="Arial" w:cs="Arial"/>
          <w:sz w:val="24"/>
          <w:szCs w:val="24"/>
        </w:rPr>
      </w:pPr>
      <w:r w:rsidRPr="001C1ED7">
        <w:rPr>
          <w:rFonts w:ascii="Arial" w:hAnsi="Arial" w:cs="Arial"/>
          <w:sz w:val="24"/>
          <w:szCs w:val="24"/>
        </w:rPr>
        <w:t xml:space="preserve">There are an additional two </w:t>
      </w:r>
      <w:r w:rsidR="0005380D" w:rsidRPr="001C1ED7">
        <w:rPr>
          <w:rFonts w:ascii="Arial" w:hAnsi="Arial" w:cs="Arial"/>
          <w:sz w:val="24"/>
          <w:szCs w:val="24"/>
        </w:rPr>
        <w:t>sub clauses</w:t>
      </w:r>
      <w:r w:rsidRPr="001C1ED7">
        <w:rPr>
          <w:rFonts w:ascii="Arial" w:hAnsi="Arial" w:cs="Arial"/>
          <w:sz w:val="24"/>
          <w:szCs w:val="24"/>
        </w:rPr>
        <w:t xml:space="preserve"> which are irrelevant at this point.</w:t>
      </w:r>
    </w:p>
    <w:p w:rsidR="007D212A" w:rsidRDefault="007D212A" w:rsidP="001C1ED7">
      <w:pPr>
        <w:spacing w:after="0" w:line="360" w:lineRule="auto"/>
        <w:jc w:val="both"/>
        <w:rPr>
          <w:rFonts w:ascii="Arial" w:hAnsi="Arial" w:cs="Arial"/>
          <w:sz w:val="24"/>
          <w:szCs w:val="24"/>
        </w:rPr>
      </w:pPr>
    </w:p>
    <w:p w:rsidR="001C1ED7" w:rsidRDefault="007D212A" w:rsidP="001C1ED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C1ED7" w:rsidRPr="001C1ED7">
        <w:rPr>
          <w:rFonts w:ascii="Arial" w:hAnsi="Arial" w:cs="Arial"/>
          <w:sz w:val="24"/>
          <w:szCs w:val="24"/>
        </w:rPr>
        <w:t>This application was launched as an urgent application on 5 September 2023 for a hearing on 13 September 2023. The urgent relief sought by the applicants (and I summarise) was that the respondent be ordered, within three days from the date of the order, to remove, and be interdicted from grazing, any and all livestock under its control on the farms</w:t>
      </w:r>
      <w:r w:rsidR="001D0509">
        <w:rPr>
          <w:rFonts w:ascii="Arial" w:hAnsi="Arial" w:cs="Arial"/>
          <w:sz w:val="24"/>
          <w:szCs w:val="24"/>
        </w:rPr>
        <w:t xml:space="preserve"> and</w:t>
      </w:r>
      <w:r w:rsidR="001C1ED7" w:rsidRPr="001C1ED7">
        <w:rPr>
          <w:rFonts w:ascii="Arial" w:hAnsi="Arial" w:cs="Arial"/>
          <w:sz w:val="24"/>
          <w:szCs w:val="24"/>
        </w:rPr>
        <w:t xml:space="preserve"> the removal of all farming equipment and implements under the control of the respondent </w:t>
      </w:r>
      <w:r w:rsidR="001D0509">
        <w:rPr>
          <w:rFonts w:ascii="Arial" w:hAnsi="Arial" w:cs="Arial"/>
          <w:sz w:val="24"/>
          <w:szCs w:val="24"/>
        </w:rPr>
        <w:t>from</w:t>
      </w:r>
      <w:r w:rsidR="001C1ED7" w:rsidRPr="001C1ED7">
        <w:rPr>
          <w:rFonts w:ascii="Arial" w:hAnsi="Arial" w:cs="Arial"/>
          <w:sz w:val="24"/>
          <w:szCs w:val="24"/>
        </w:rPr>
        <w:t xml:space="preserve"> the farms. Further that the respondent be interdicted from thereafter re-entering the farms or from permitting anyone else to do so. In the event of the respondent not complying, the applicant</w:t>
      </w:r>
      <w:r w:rsidR="00162061">
        <w:rPr>
          <w:rFonts w:ascii="Arial" w:hAnsi="Arial" w:cs="Arial"/>
          <w:sz w:val="24"/>
          <w:szCs w:val="24"/>
        </w:rPr>
        <w:t>s</w:t>
      </w:r>
      <w:r w:rsidR="001C1ED7" w:rsidRPr="001C1ED7">
        <w:rPr>
          <w:rFonts w:ascii="Arial" w:hAnsi="Arial" w:cs="Arial"/>
          <w:sz w:val="24"/>
          <w:szCs w:val="24"/>
        </w:rPr>
        <w:t xml:space="preserve"> sought the authorisation of the court to remove the respondent’s livestock and take them to </w:t>
      </w:r>
      <w:r w:rsidR="001C1ED7" w:rsidRPr="001C1ED7">
        <w:rPr>
          <w:rFonts w:ascii="Arial" w:hAnsi="Arial" w:cs="Arial"/>
          <w:i/>
          <w:iCs/>
          <w:sz w:val="24"/>
          <w:szCs w:val="24"/>
        </w:rPr>
        <w:t>“the nearest pound in Utrecht”</w:t>
      </w:r>
      <w:r w:rsidR="001C1ED7" w:rsidRPr="001C1ED7">
        <w:rPr>
          <w:rFonts w:ascii="Arial" w:hAnsi="Arial" w:cs="Arial"/>
          <w:sz w:val="24"/>
          <w:szCs w:val="24"/>
        </w:rPr>
        <w:t xml:space="preserve"> and also to remove the equipment and other movable assets belonging to the respondent still remaining on the farm. Costs are sought on an attorney and client scale. </w:t>
      </w:r>
    </w:p>
    <w:p w:rsidR="001C1ED7" w:rsidRPr="001C1ED7" w:rsidRDefault="001C1ED7" w:rsidP="001C1ED7">
      <w:pPr>
        <w:spacing w:after="0" w:line="360" w:lineRule="auto"/>
        <w:jc w:val="both"/>
        <w:rPr>
          <w:rFonts w:ascii="Arial" w:hAnsi="Arial" w:cs="Arial"/>
          <w:sz w:val="24"/>
          <w:szCs w:val="24"/>
        </w:rPr>
      </w:pPr>
    </w:p>
    <w:p w:rsidR="001C1ED7" w:rsidRDefault="007D212A" w:rsidP="001C1ED7">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C1ED7" w:rsidRPr="001C1ED7">
        <w:rPr>
          <w:rFonts w:ascii="Arial" w:hAnsi="Arial" w:cs="Arial"/>
          <w:sz w:val="24"/>
          <w:szCs w:val="24"/>
        </w:rPr>
        <w:t>Effectively</w:t>
      </w:r>
      <w:r w:rsidR="007B3870">
        <w:rPr>
          <w:rFonts w:ascii="Arial" w:hAnsi="Arial" w:cs="Arial"/>
          <w:sz w:val="24"/>
          <w:szCs w:val="24"/>
        </w:rPr>
        <w:t>,</w:t>
      </w:r>
      <w:r w:rsidR="001C1ED7" w:rsidRPr="001C1ED7">
        <w:rPr>
          <w:rFonts w:ascii="Arial" w:hAnsi="Arial" w:cs="Arial"/>
          <w:sz w:val="24"/>
          <w:szCs w:val="24"/>
        </w:rPr>
        <w:t xml:space="preserve"> the relief sought amounts to an eviction of a commercial entity although</w:t>
      </w:r>
      <w:r w:rsidR="007B3870">
        <w:rPr>
          <w:rFonts w:ascii="Arial" w:hAnsi="Arial" w:cs="Arial"/>
          <w:sz w:val="24"/>
          <w:szCs w:val="24"/>
        </w:rPr>
        <w:t>,</w:t>
      </w:r>
      <w:r w:rsidR="001C1ED7" w:rsidRPr="001C1ED7">
        <w:rPr>
          <w:rFonts w:ascii="Arial" w:hAnsi="Arial" w:cs="Arial"/>
          <w:sz w:val="24"/>
          <w:szCs w:val="24"/>
        </w:rPr>
        <w:t xml:space="preserve"> for reasons I remain unsure of</w:t>
      </w:r>
      <w:r w:rsidR="007B3870">
        <w:rPr>
          <w:rFonts w:ascii="Arial" w:hAnsi="Arial" w:cs="Arial"/>
          <w:sz w:val="24"/>
          <w:szCs w:val="24"/>
        </w:rPr>
        <w:t>,</w:t>
      </w:r>
      <w:r w:rsidR="001C1ED7" w:rsidRPr="001C1ED7">
        <w:rPr>
          <w:rFonts w:ascii="Arial" w:hAnsi="Arial" w:cs="Arial"/>
          <w:sz w:val="24"/>
          <w:szCs w:val="24"/>
        </w:rPr>
        <w:t xml:space="preserve"> the applicants have been reluctant to call it that. The relief sought is final relief.</w:t>
      </w:r>
    </w:p>
    <w:p w:rsidR="007D212A" w:rsidRPr="001C1ED7" w:rsidRDefault="007D212A" w:rsidP="001C1ED7">
      <w:pPr>
        <w:spacing w:after="0" w:line="360" w:lineRule="auto"/>
        <w:jc w:val="both"/>
        <w:rPr>
          <w:rFonts w:ascii="Arial" w:hAnsi="Arial" w:cs="Arial"/>
          <w:sz w:val="24"/>
          <w:szCs w:val="24"/>
        </w:rPr>
      </w:pPr>
    </w:p>
    <w:p w:rsidR="001C1ED7" w:rsidRDefault="007D212A" w:rsidP="001C1ED7">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1C1ED7" w:rsidRPr="001C1ED7">
        <w:rPr>
          <w:rFonts w:ascii="Arial" w:hAnsi="Arial" w:cs="Arial"/>
          <w:sz w:val="24"/>
          <w:szCs w:val="24"/>
        </w:rPr>
        <w:t>The notice of motion called upon the respondent to file its notice of intention to oppose by 17h00 on 5 September 2023, and an answering affidavit</w:t>
      </w:r>
      <w:r w:rsidR="007B3870">
        <w:rPr>
          <w:rFonts w:ascii="Arial" w:hAnsi="Arial" w:cs="Arial"/>
          <w:sz w:val="24"/>
          <w:szCs w:val="24"/>
        </w:rPr>
        <w:t>,</w:t>
      </w:r>
      <w:r w:rsidR="001C1ED7" w:rsidRPr="001C1ED7">
        <w:rPr>
          <w:rFonts w:ascii="Arial" w:hAnsi="Arial" w:cs="Arial"/>
          <w:sz w:val="24"/>
          <w:szCs w:val="24"/>
        </w:rPr>
        <w:t xml:space="preserve"> if any by 18h00 on 8 September 2023. The respondent opposed and delivered an answering affidavit dated 8 September 2023. It is deposed to by one Johan Schutte, the authorised director of the respondent. The applicants delivered an answering affidavit dated 11 September 2023.</w:t>
      </w:r>
    </w:p>
    <w:p w:rsidR="007D212A" w:rsidRPr="001C1ED7" w:rsidRDefault="007D212A" w:rsidP="001C1ED7">
      <w:pPr>
        <w:spacing w:after="0" w:line="360" w:lineRule="auto"/>
        <w:jc w:val="both"/>
        <w:rPr>
          <w:rFonts w:ascii="Arial" w:hAnsi="Arial" w:cs="Arial"/>
          <w:sz w:val="24"/>
          <w:szCs w:val="24"/>
        </w:rPr>
      </w:pPr>
    </w:p>
    <w:p w:rsidR="001C1ED7" w:rsidRDefault="007D212A" w:rsidP="001C1ED7">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1C1ED7" w:rsidRPr="001C1ED7">
        <w:rPr>
          <w:rFonts w:ascii="Arial" w:hAnsi="Arial" w:cs="Arial"/>
          <w:sz w:val="24"/>
          <w:szCs w:val="24"/>
        </w:rPr>
        <w:t>The matter initially came before Mossop J on 13 September 2023. With his authority, and by consent, it was adjourned to the opposed role for argument on 12 of February 2024. In addition, Mossop J granted the respondent leave to supplement its answering affidavit and he also recorded that the respondent’s rights, as far as taking issue with the urgency of the matter, were reserved. Costs were also reserved.</w:t>
      </w:r>
    </w:p>
    <w:p w:rsidR="002A4554" w:rsidRPr="001C1ED7" w:rsidRDefault="002A4554" w:rsidP="001C1ED7">
      <w:pPr>
        <w:spacing w:after="0" w:line="360" w:lineRule="auto"/>
        <w:jc w:val="both"/>
        <w:rPr>
          <w:rFonts w:ascii="Arial" w:hAnsi="Arial" w:cs="Arial"/>
          <w:sz w:val="24"/>
          <w:szCs w:val="24"/>
        </w:rPr>
      </w:pPr>
    </w:p>
    <w:p w:rsidR="001C1ED7" w:rsidRDefault="002A4554" w:rsidP="001C1ED7">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1C1ED7" w:rsidRPr="001C1ED7">
        <w:rPr>
          <w:rFonts w:ascii="Arial" w:hAnsi="Arial" w:cs="Arial"/>
          <w:sz w:val="24"/>
          <w:szCs w:val="24"/>
        </w:rPr>
        <w:t xml:space="preserve">The respondent did not, however, deliver a supplementary affidavit. The applicants delivered a one-page supplementary affidavit dated 23 January 2024 complaining about </w:t>
      </w:r>
      <w:r w:rsidR="007B3870">
        <w:rPr>
          <w:rFonts w:ascii="Arial" w:hAnsi="Arial" w:cs="Arial"/>
          <w:sz w:val="24"/>
          <w:szCs w:val="24"/>
        </w:rPr>
        <w:t>the respondents</w:t>
      </w:r>
      <w:r w:rsidR="001C1ED7" w:rsidRPr="001C1ED7">
        <w:rPr>
          <w:rFonts w:ascii="Arial" w:hAnsi="Arial" w:cs="Arial"/>
          <w:sz w:val="24"/>
          <w:szCs w:val="24"/>
        </w:rPr>
        <w:t xml:space="preserve"> </w:t>
      </w:r>
      <w:r w:rsidR="00116354">
        <w:rPr>
          <w:rFonts w:ascii="Arial" w:hAnsi="Arial" w:cs="Arial"/>
          <w:sz w:val="24"/>
          <w:szCs w:val="24"/>
        </w:rPr>
        <w:t xml:space="preserve">failure </w:t>
      </w:r>
      <w:r w:rsidR="007B3870">
        <w:rPr>
          <w:rFonts w:ascii="Arial" w:hAnsi="Arial" w:cs="Arial"/>
          <w:sz w:val="24"/>
          <w:szCs w:val="24"/>
        </w:rPr>
        <w:t xml:space="preserve">to do so and warning the respondent that </w:t>
      </w:r>
      <w:r w:rsidR="001C1ED7" w:rsidRPr="001C1ED7">
        <w:rPr>
          <w:rFonts w:ascii="Arial" w:hAnsi="Arial" w:cs="Arial"/>
          <w:sz w:val="24"/>
          <w:szCs w:val="24"/>
        </w:rPr>
        <w:t>late filing of the permitted supplementary affidavit would not be entertained</w:t>
      </w:r>
      <w:r w:rsidR="00A32C06">
        <w:rPr>
          <w:rFonts w:ascii="Arial" w:hAnsi="Arial" w:cs="Arial"/>
          <w:sz w:val="24"/>
          <w:szCs w:val="24"/>
        </w:rPr>
        <w:t>,</w:t>
      </w:r>
      <w:r w:rsidR="001C1ED7" w:rsidRPr="001C1ED7">
        <w:rPr>
          <w:rFonts w:ascii="Arial" w:hAnsi="Arial" w:cs="Arial"/>
          <w:sz w:val="24"/>
          <w:szCs w:val="24"/>
        </w:rPr>
        <w:t xml:space="preserve"> so as not to derail the opposed hearing on 12 February 2024. It also deal</w:t>
      </w:r>
      <w:r w:rsidR="00B00756">
        <w:rPr>
          <w:rFonts w:ascii="Arial" w:hAnsi="Arial" w:cs="Arial"/>
          <w:sz w:val="24"/>
          <w:szCs w:val="24"/>
        </w:rPr>
        <w:t>t</w:t>
      </w:r>
      <w:r w:rsidR="001C1ED7" w:rsidRPr="001C1ED7">
        <w:rPr>
          <w:rFonts w:ascii="Arial" w:hAnsi="Arial" w:cs="Arial"/>
          <w:sz w:val="24"/>
          <w:szCs w:val="24"/>
        </w:rPr>
        <w:t xml:space="preserve"> with ancillary matters relating to the respondents tender in its opposing affidavit regarding certain </w:t>
      </w:r>
      <w:r w:rsidR="001C1ED7" w:rsidRPr="001C1ED7">
        <w:rPr>
          <w:rFonts w:ascii="Arial" w:hAnsi="Arial" w:cs="Arial"/>
          <w:i/>
          <w:iCs/>
          <w:sz w:val="24"/>
          <w:szCs w:val="24"/>
        </w:rPr>
        <w:t>“rental”</w:t>
      </w:r>
      <w:r w:rsidR="001C1ED7" w:rsidRPr="001C1ED7">
        <w:rPr>
          <w:rFonts w:ascii="Arial" w:hAnsi="Arial" w:cs="Arial"/>
          <w:sz w:val="24"/>
          <w:szCs w:val="24"/>
        </w:rPr>
        <w:t xml:space="preserve"> payments it was prepared to make and the applicants’ attitude thereto. It is not necessary to deal with that issue any further at this stage. The respondent</w:t>
      </w:r>
      <w:r w:rsidR="00B00756">
        <w:rPr>
          <w:rFonts w:ascii="Arial" w:hAnsi="Arial" w:cs="Arial"/>
          <w:sz w:val="24"/>
          <w:szCs w:val="24"/>
        </w:rPr>
        <w:t xml:space="preserve"> then</w:t>
      </w:r>
      <w:r w:rsidR="001C1ED7" w:rsidRPr="001C1ED7">
        <w:rPr>
          <w:rFonts w:ascii="Arial" w:hAnsi="Arial" w:cs="Arial"/>
          <w:sz w:val="24"/>
          <w:szCs w:val="24"/>
        </w:rPr>
        <w:t xml:space="preserve">, however, delivered a further answering affidavit to this supplementary affidavit wherein it, </w:t>
      </w:r>
      <w:r w:rsidR="001C1ED7" w:rsidRPr="001C1ED7">
        <w:rPr>
          <w:rFonts w:ascii="Arial" w:hAnsi="Arial" w:cs="Arial"/>
          <w:i/>
          <w:iCs/>
          <w:sz w:val="24"/>
          <w:szCs w:val="24"/>
        </w:rPr>
        <w:t>inter alia</w:t>
      </w:r>
      <w:r w:rsidR="001C1ED7" w:rsidRPr="001C1ED7">
        <w:rPr>
          <w:rFonts w:ascii="Arial" w:hAnsi="Arial" w:cs="Arial"/>
          <w:sz w:val="24"/>
          <w:szCs w:val="24"/>
        </w:rPr>
        <w:t>, indicates that it is of the view that it was not necessary to file a supplementary affidavit. It dealt with other issues which are also irrelevant at this stage</w:t>
      </w:r>
      <w:r w:rsidR="00A32C06">
        <w:rPr>
          <w:rFonts w:ascii="Arial" w:hAnsi="Arial" w:cs="Arial"/>
          <w:sz w:val="24"/>
          <w:szCs w:val="24"/>
        </w:rPr>
        <w:t>,</w:t>
      </w:r>
      <w:r w:rsidR="001C1ED7" w:rsidRPr="001C1ED7">
        <w:rPr>
          <w:rFonts w:ascii="Arial" w:hAnsi="Arial" w:cs="Arial"/>
          <w:sz w:val="24"/>
          <w:szCs w:val="24"/>
        </w:rPr>
        <w:t xml:space="preserve"> in my view.</w:t>
      </w:r>
    </w:p>
    <w:p w:rsidR="007D212A" w:rsidRPr="001C1ED7" w:rsidRDefault="007D212A" w:rsidP="001C1ED7">
      <w:pPr>
        <w:spacing w:after="0" w:line="360" w:lineRule="auto"/>
        <w:jc w:val="both"/>
        <w:rPr>
          <w:rFonts w:ascii="Arial" w:hAnsi="Arial" w:cs="Arial"/>
          <w:sz w:val="24"/>
          <w:szCs w:val="24"/>
        </w:rPr>
      </w:pPr>
    </w:p>
    <w:p w:rsidR="001C1ED7" w:rsidRPr="001C1ED7" w:rsidRDefault="002A4554" w:rsidP="001C1ED7">
      <w:pPr>
        <w:spacing w:after="0" w:line="360" w:lineRule="auto"/>
        <w:jc w:val="both"/>
        <w:rPr>
          <w:rFonts w:ascii="Arial" w:hAnsi="Arial" w:cs="Arial"/>
          <w:sz w:val="24"/>
          <w:szCs w:val="24"/>
        </w:rPr>
      </w:pPr>
      <w:r>
        <w:rPr>
          <w:rFonts w:ascii="Arial" w:hAnsi="Arial" w:cs="Arial"/>
          <w:sz w:val="24"/>
          <w:szCs w:val="24"/>
        </w:rPr>
        <w:t>[8</w:t>
      </w:r>
      <w:r w:rsidR="007D212A">
        <w:rPr>
          <w:rFonts w:ascii="Arial" w:hAnsi="Arial" w:cs="Arial"/>
          <w:sz w:val="24"/>
          <w:szCs w:val="24"/>
        </w:rPr>
        <w:t>]</w:t>
      </w:r>
      <w:r w:rsidR="007D212A">
        <w:rPr>
          <w:rFonts w:ascii="Arial" w:hAnsi="Arial" w:cs="Arial"/>
          <w:sz w:val="24"/>
          <w:szCs w:val="24"/>
        </w:rPr>
        <w:tab/>
      </w:r>
      <w:r w:rsidR="001C1ED7" w:rsidRPr="001C1ED7">
        <w:rPr>
          <w:rFonts w:ascii="Arial" w:hAnsi="Arial" w:cs="Arial"/>
          <w:sz w:val="24"/>
          <w:szCs w:val="24"/>
        </w:rPr>
        <w:t xml:space="preserve">As a consequence of the dispute about the </w:t>
      </w:r>
      <w:r w:rsidR="001C1ED7" w:rsidRPr="001C1ED7">
        <w:rPr>
          <w:rFonts w:ascii="Arial" w:hAnsi="Arial" w:cs="Arial"/>
          <w:i/>
          <w:iCs/>
          <w:sz w:val="24"/>
          <w:szCs w:val="24"/>
        </w:rPr>
        <w:t>“option”</w:t>
      </w:r>
      <w:r w:rsidR="001C1ED7" w:rsidRPr="001C1ED7">
        <w:rPr>
          <w:rFonts w:ascii="Arial" w:hAnsi="Arial" w:cs="Arial"/>
          <w:sz w:val="24"/>
          <w:szCs w:val="24"/>
        </w:rPr>
        <w:t xml:space="preserve"> clause</w:t>
      </w:r>
      <w:r w:rsidR="00A32C06">
        <w:rPr>
          <w:rFonts w:ascii="Arial" w:hAnsi="Arial" w:cs="Arial"/>
          <w:sz w:val="24"/>
          <w:szCs w:val="24"/>
        </w:rPr>
        <w:t>,</w:t>
      </w:r>
      <w:r w:rsidR="001C1ED7" w:rsidRPr="001C1ED7">
        <w:rPr>
          <w:rFonts w:ascii="Arial" w:hAnsi="Arial" w:cs="Arial"/>
          <w:sz w:val="24"/>
          <w:szCs w:val="24"/>
        </w:rPr>
        <w:t xml:space="preserve"> as it arose in these papers, it is common cause that the respondent saw fit to, on 31 January 2024 only, commence an action against the applicants for declaratory relief to the effect that the option </w:t>
      </w:r>
      <w:r w:rsidR="001C1ED7" w:rsidRPr="001C1ED7">
        <w:rPr>
          <w:rFonts w:ascii="Arial" w:hAnsi="Arial" w:cs="Arial"/>
          <w:i/>
          <w:iCs/>
          <w:sz w:val="24"/>
          <w:szCs w:val="24"/>
        </w:rPr>
        <w:t>“is a valid option which was properly and legally exercised by plaintiff”</w:t>
      </w:r>
      <w:r w:rsidR="001C1ED7" w:rsidRPr="001C1ED7">
        <w:rPr>
          <w:rFonts w:ascii="Arial" w:hAnsi="Arial" w:cs="Arial"/>
          <w:sz w:val="24"/>
          <w:szCs w:val="24"/>
        </w:rPr>
        <w:t xml:space="preserve"> (respondent) </w:t>
      </w:r>
      <w:r w:rsidR="00B00756">
        <w:rPr>
          <w:rFonts w:ascii="Arial" w:hAnsi="Arial" w:cs="Arial"/>
          <w:sz w:val="24"/>
          <w:szCs w:val="24"/>
        </w:rPr>
        <w:t>together with</w:t>
      </w:r>
      <w:r w:rsidR="001C1ED7" w:rsidRPr="001C1ED7">
        <w:rPr>
          <w:rFonts w:ascii="Arial" w:hAnsi="Arial" w:cs="Arial"/>
          <w:sz w:val="24"/>
          <w:szCs w:val="24"/>
        </w:rPr>
        <w:t xml:space="preserve"> relief flowing therefrom relating to the transfer of the farms to the respondent. This was brought to the court’s attention in the respondent’s heads of argument and a copy of the summons was attached thereto. The action was launched after all the initial affidavits in this application had been delivered. The final </w:t>
      </w:r>
      <w:r w:rsidR="001C1ED7" w:rsidRPr="001C1ED7">
        <w:rPr>
          <w:rFonts w:ascii="Arial" w:hAnsi="Arial" w:cs="Arial"/>
          <w:i/>
          <w:iCs/>
          <w:sz w:val="24"/>
          <w:szCs w:val="24"/>
        </w:rPr>
        <w:t>“answering affidavit”</w:t>
      </w:r>
      <w:r w:rsidR="001C1ED7" w:rsidRPr="001C1ED7">
        <w:rPr>
          <w:rFonts w:ascii="Arial" w:hAnsi="Arial" w:cs="Arial"/>
          <w:sz w:val="24"/>
          <w:szCs w:val="24"/>
        </w:rPr>
        <w:t xml:space="preserve"> by the respondent referred to above</w:t>
      </w:r>
      <w:r w:rsidR="00A32C06">
        <w:rPr>
          <w:rFonts w:ascii="Arial" w:hAnsi="Arial" w:cs="Arial"/>
          <w:sz w:val="24"/>
          <w:szCs w:val="24"/>
        </w:rPr>
        <w:t>,</w:t>
      </w:r>
      <w:r w:rsidR="001C1ED7" w:rsidRPr="001C1ED7">
        <w:rPr>
          <w:rFonts w:ascii="Arial" w:hAnsi="Arial" w:cs="Arial"/>
          <w:sz w:val="24"/>
          <w:szCs w:val="24"/>
        </w:rPr>
        <w:t xml:space="preserve"> is dated the same day i.e. 31 January 2024. Precisely why the respondent chose to pursue the action at this late stage is far from clear. It was argued by the respondent’s Counsel that the summons is necessary to provide a platform for a determination of a dispute about whether the option was actually agreed and whether it was then properly and legally exercised. There is no counter application for such relief when one would have expected such</w:t>
      </w:r>
      <w:r w:rsidR="00A32C06">
        <w:rPr>
          <w:rFonts w:ascii="Arial" w:hAnsi="Arial" w:cs="Arial"/>
          <w:sz w:val="24"/>
          <w:szCs w:val="24"/>
        </w:rPr>
        <w:t>,</w:t>
      </w:r>
      <w:r w:rsidR="001C1ED7" w:rsidRPr="001C1ED7">
        <w:rPr>
          <w:rFonts w:ascii="Arial" w:hAnsi="Arial" w:cs="Arial"/>
          <w:sz w:val="24"/>
          <w:szCs w:val="24"/>
        </w:rPr>
        <w:t xml:space="preserve"> if the alleged </w:t>
      </w:r>
      <w:r w:rsidR="001C1ED7" w:rsidRPr="001C1ED7">
        <w:rPr>
          <w:rFonts w:ascii="Arial" w:hAnsi="Arial" w:cs="Arial"/>
          <w:i/>
          <w:iCs/>
          <w:sz w:val="24"/>
          <w:szCs w:val="24"/>
        </w:rPr>
        <w:t>“dispute”</w:t>
      </w:r>
      <w:r w:rsidR="001C1ED7" w:rsidRPr="001C1ED7">
        <w:rPr>
          <w:rFonts w:ascii="Arial" w:hAnsi="Arial" w:cs="Arial"/>
          <w:sz w:val="24"/>
          <w:szCs w:val="24"/>
        </w:rPr>
        <w:t xml:space="preserve"> is </w:t>
      </w:r>
      <w:r w:rsidR="001C1ED7" w:rsidRPr="001C1ED7">
        <w:rPr>
          <w:rFonts w:ascii="Arial" w:hAnsi="Arial" w:cs="Arial"/>
          <w:i/>
          <w:iCs/>
          <w:sz w:val="24"/>
          <w:szCs w:val="24"/>
        </w:rPr>
        <w:t>bona fide</w:t>
      </w:r>
      <w:r w:rsidR="001C1ED7" w:rsidRPr="001C1ED7">
        <w:rPr>
          <w:rFonts w:ascii="Arial" w:hAnsi="Arial" w:cs="Arial"/>
          <w:sz w:val="24"/>
          <w:szCs w:val="24"/>
        </w:rPr>
        <w:t xml:space="preserve"> raised</w:t>
      </w:r>
      <w:r w:rsidR="00A32C06">
        <w:rPr>
          <w:rFonts w:ascii="Arial" w:hAnsi="Arial" w:cs="Arial"/>
          <w:sz w:val="24"/>
          <w:szCs w:val="24"/>
        </w:rPr>
        <w:t>,</w:t>
      </w:r>
      <w:r w:rsidR="001C1ED7" w:rsidRPr="001C1ED7">
        <w:rPr>
          <w:rFonts w:ascii="Arial" w:hAnsi="Arial" w:cs="Arial"/>
          <w:sz w:val="24"/>
          <w:szCs w:val="24"/>
        </w:rPr>
        <w:t xml:space="preserve"> in my view. Whatever the reason may be, however, for reasons I will provide below</w:t>
      </w:r>
      <w:r w:rsidR="00A32C06">
        <w:rPr>
          <w:rFonts w:ascii="Arial" w:hAnsi="Arial" w:cs="Arial"/>
          <w:sz w:val="24"/>
          <w:szCs w:val="24"/>
        </w:rPr>
        <w:t>,</w:t>
      </w:r>
      <w:r w:rsidR="001C1ED7" w:rsidRPr="001C1ED7">
        <w:rPr>
          <w:rFonts w:ascii="Arial" w:hAnsi="Arial" w:cs="Arial"/>
          <w:sz w:val="24"/>
          <w:szCs w:val="24"/>
        </w:rPr>
        <w:t xml:space="preserve"> I do not need to decide that issue. </w:t>
      </w:r>
    </w:p>
    <w:p w:rsidR="007D212A" w:rsidRDefault="007D212A" w:rsidP="001C1ED7">
      <w:pPr>
        <w:spacing w:after="0" w:line="360" w:lineRule="auto"/>
        <w:jc w:val="both"/>
        <w:rPr>
          <w:rFonts w:ascii="Arial" w:hAnsi="Arial" w:cs="Arial"/>
          <w:sz w:val="24"/>
          <w:szCs w:val="24"/>
        </w:rPr>
      </w:pPr>
    </w:p>
    <w:p w:rsidR="001C1ED7" w:rsidRPr="001C1ED7" w:rsidRDefault="002A4554" w:rsidP="001C1ED7">
      <w:pPr>
        <w:spacing w:after="0" w:line="360" w:lineRule="auto"/>
        <w:jc w:val="both"/>
        <w:rPr>
          <w:rFonts w:ascii="Arial" w:hAnsi="Arial" w:cs="Arial"/>
          <w:sz w:val="24"/>
          <w:szCs w:val="24"/>
        </w:rPr>
      </w:pPr>
      <w:r>
        <w:rPr>
          <w:rFonts w:ascii="Arial" w:hAnsi="Arial" w:cs="Arial"/>
          <w:sz w:val="24"/>
          <w:szCs w:val="24"/>
        </w:rPr>
        <w:t>[9</w:t>
      </w:r>
      <w:r w:rsidR="007D212A">
        <w:rPr>
          <w:rFonts w:ascii="Arial" w:hAnsi="Arial" w:cs="Arial"/>
          <w:sz w:val="24"/>
          <w:szCs w:val="24"/>
        </w:rPr>
        <w:t>]</w:t>
      </w:r>
      <w:r w:rsidR="007D212A">
        <w:rPr>
          <w:rFonts w:ascii="Arial" w:hAnsi="Arial" w:cs="Arial"/>
          <w:sz w:val="24"/>
          <w:szCs w:val="24"/>
        </w:rPr>
        <w:tab/>
      </w:r>
      <w:r w:rsidR="001C1ED7" w:rsidRPr="001C1ED7">
        <w:rPr>
          <w:rFonts w:ascii="Arial" w:hAnsi="Arial" w:cs="Arial"/>
          <w:sz w:val="24"/>
          <w:szCs w:val="24"/>
        </w:rPr>
        <w:t xml:space="preserve">The application was argued before me on 12 February 2024. </w:t>
      </w:r>
    </w:p>
    <w:p w:rsidR="007D212A" w:rsidRDefault="007D212A" w:rsidP="001C1ED7">
      <w:pPr>
        <w:spacing w:after="0" w:line="360" w:lineRule="auto"/>
        <w:jc w:val="both"/>
        <w:rPr>
          <w:rFonts w:ascii="Arial" w:hAnsi="Arial" w:cs="Arial"/>
          <w:sz w:val="24"/>
          <w:szCs w:val="24"/>
        </w:rPr>
      </w:pPr>
    </w:p>
    <w:p w:rsidR="001C1ED7" w:rsidRPr="001C1ED7" w:rsidRDefault="002A4554" w:rsidP="001C1ED7">
      <w:pPr>
        <w:spacing w:after="0" w:line="360" w:lineRule="auto"/>
        <w:jc w:val="both"/>
        <w:rPr>
          <w:rFonts w:ascii="Arial" w:hAnsi="Arial" w:cs="Arial"/>
          <w:sz w:val="24"/>
          <w:szCs w:val="24"/>
        </w:rPr>
      </w:pPr>
      <w:r>
        <w:rPr>
          <w:rFonts w:ascii="Arial" w:hAnsi="Arial" w:cs="Arial"/>
          <w:sz w:val="24"/>
          <w:szCs w:val="24"/>
        </w:rPr>
        <w:t>[10</w:t>
      </w:r>
      <w:r w:rsidR="007D212A">
        <w:rPr>
          <w:rFonts w:ascii="Arial" w:hAnsi="Arial" w:cs="Arial"/>
          <w:sz w:val="24"/>
          <w:szCs w:val="24"/>
        </w:rPr>
        <w:t>]</w:t>
      </w:r>
      <w:r w:rsidR="007D212A">
        <w:rPr>
          <w:rFonts w:ascii="Arial" w:hAnsi="Arial" w:cs="Arial"/>
          <w:sz w:val="24"/>
          <w:szCs w:val="24"/>
        </w:rPr>
        <w:tab/>
      </w:r>
      <w:r w:rsidR="001C1ED7" w:rsidRPr="001C1ED7">
        <w:rPr>
          <w:rFonts w:ascii="Arial" w:hAnsi="Arial" w:cs="Arial"/>
          <w:sz w:val="24"/>
          <w:szCs w:val="24"/>
        </w:rPr>
        <w:t>In argument</w:t>
      </w:r>
      <w:r w:rsidR="00A32C06">
        <w:rPr>
          <w:rFonts w:ascii="Arial" w:hAnsi="Arial" w:cs="Arial"/>
          <w:sz w:val="24"/>
          <w:szCs w:val="24"/>
        </w:rPr>
        <w:t>,</w:t>
      </w:r>
      <w:r w:rsidR="001C1ED7" w:rsidRPr="001C1ED7">
        <w:rPr>
          <w:rFonts w:ascii="Arial" w:hAnsi="Arial" w:cs="Arial"/>
          <w:sz w:val="24"/>
          <w:szCs w:val="24"/>
        </w:rPr>
        <w:t xml:space="preserve"> Counsel for both sides accepted that the pivotal issue for a determination of this application involved the alleged option to purchase</w:t>
      </w:r>
      <w:r w:rsidR="00A32C06">
        <w:rPr>
          <w:rFonts w:ascii="Arial" w:hAnsi="Arial" w:cs="Arial"/>
          <w:sz w:val="24"/>
          <w:szCs w:val="24"/>
        </w:rPr>
        <w:t>,</w:t>
      </w:r>
      <w:r w:rsidR="001C1ED7" w:rsidRPr="001C1ED7">
        <w:rPr>
          <w:rFonts w:ascii="Arial" w:hAnsi="Arial" w:cs="Arial"/>
          <w:sz w:val="24"/>
          <w:szCs w:val="24"/>
        </w:rPr>
        <w:t xml:space="preserve"> as set out above. They accepted that there exists a genuine dispute of fact as to whether that option, as expressed in writing in the lease document, was agreed or not. The applicants’ argument, however, was that even if the option as set out in clause 16 </w:t>
      </w:r>
      <w:r w:rsidR="001C1ED7" w:rsidRPr="001C1ED7">
        <w:rPr>
          <w:rFonts w:ascii="Arial" w:hAnsi="Arial" w:cs="Arial"/>
          <w:sz w:val="24"/>
          <w:szCs w:val="24"/>
          <w:u w:val="single"/>
        </w:rPr>
        <w:t>had been agreed</w:t>
      </w:r>
      <w:r w:rsidR="001C1ED7" w:rsidRPr="001C1ED7">
        <w:rPr>
          <w:rFonts w:ascii="Arial" w:hAnsi="Arial" w:cs="Arial"/>
          <w:sz w:val="24"/>
          <w:szCs w:val="24"/>
        </w:rPr>
        <w:t xml:space="preserve"> as contended for by the respondent, the respondent still could not succeed in its defence of the application because the option had not, on the respondent’s own version, been validly accepted and exercised. </w:t>
      </w:r>
      <w:r w:rsidR="0010317A" w:rsidRPr="001C1ED7">
        <w:rPr>
          <w:rFonts w:ascii="Arial" w:hAnsi="Arial" w:cs="Arial"/>
          <w:sz w:val="24"/>
          <w:szCs w:val="24"/>
        </w:rPr>
        <w:t>Alternatively,</w:t>
      </w:r>
      <w:r w:rsidR="001C1ED7" w:rsidRPr="001C1ED7">
        <w:rPr>
          <w:rFonts w:ascii="Arial" w:hAnsi="Arial" w:cs="Arial"/>
          <w:sz w:val="24"/>
          <w:szCs w:val="24"/>
        </w:rPr>
        <w:t xml:space="preserve"> it was argued by the applicants, that the option was coupled with a suspensive condition, being the </w:t>
      </w:r>
      <w:r w:rsidR="0010317A">
        <w:rPr>
          <w:rFonts w:ascii="Arial" w:hAnsi="Arial" w:cs="Arial"/>
          <w:sz w:val="24"/>
          <w:szCs w:val="24"/>
        </w:rPr>
        <w:t>delivery</w:t>
      </w:r>
      <w:r w:rsidR="001C1ED7" w:rsidRPr="001C1ED7">
        <w:rPr>
          <w:rFonts w:ascii="Arial" w:hAnsi="Arial" w:cs="Arial"/>
          <w:sz w:val="24"/>
          <w:szCs w:val="24"/>
        </w:rPr>
        <w:t xml:space="preserve"> of the guarantee</w:t>
      </w:r>
      <w:r w:rsidR="0010317A">
        <w:rPr>
          <w:rFonts w:ascii="Arial" w:hAnsi="Arial" w:cs="Arial"/>
          <w:sz w:val="24"/>
          <w:szCs w:val="24"/>
        </w:rPr>
        <w:t>/</w:t>
      </w:r>
      <w:r w:rsidR="001C1ED7" w:rsidRPr="001C1ED7">
        <w:rPr>
          <w:rFonts w:ascii="Arial" w:hAnsi="Arial" w:cs="Arial"/>
          <w:sz w:val="24"/>
          <w:szCs w:val="24"/>
        </w:rPr>
        <w:t>s timeously as offered, failing which the option</w:t>
      </w:r>
      <w:r w:rsidR="0010317A">
        <w:rPr>
          <w:rFonts w:ascii="Arial" w:hAnsi="Arial" w:cs="Arial"/>
          <w:sz w:val="24"/>
          <w:szCs w:val="24"/>
        </w:rPr>
        <w:t xml:space="preserve"> </w:t>
      </w:r>
      <w:r w:rsidR="001C1ED7" w:rsidRPr="001C1ED7">
        <w:rPr>
          <w:rFonts w:ascii="Arial" w:hAnsi="Arial" w:cs="Arial"/>
          <w:sz w:val="24"/>
          <w:szCs w:val="24"/>
        </w:rPr>
        <w:t xml:space="preserve">become void and unenforceable.  On either scenario, it was argued, the respondent, even in the face of the dispute of fact regarding the existence of the option, had acquired no right to purchase the farms and accordingly no right to remain on them because the guarantees had not been </w:t>
      </w:r>
      <w:r w:rsidR="0010317A">
        <w:rPr>
          <w:rFonts w:ascii="Arial" w:hAnsi="Arial" w:cs="Arial"/>
          <w:sz w:val="24"/>
          <w:szCs w:val="24"/>
        </w:rPr>
        <w:t>delivered</w:t>
      </w:r>
      <w:r w:rsidR="001C1ED7" w:rsidRPr="001C1ED7">
        <w:rPr>
          <w:rFonts w:ascii="Arial" w:hAnsi="Arial" w:cs="Arial"/>
          <w:sz w:val="24"/>
          <w:szCs w:val="24"/>
        </w:rPr>
        <w:t>. The applicant</w:t>
      </w:r>
      <w:r w:rsidR="0010317A">
        <w:rPr>
          <w:rFonts w:ascii="Arial" w:hAnsi="Arial" w:cs="Arial"/>
          <w:sz w:val="24"/>
          <w:szCs w:val="24"/>
        </w:rPr>
        <w:t>s</w:t>
      </w:r>
      <w:r w:rsidR="001C1ED7" w:rsidRPr="001C1ED7">
        <w:rPr>
          <w:rFonts w:ascii="Arial" w:hAnsi="Arial" w:cs="Arial"/>
          <w:sz w:val="24"/>
          <w:szCs w:val="24"/>
        </w:rPr>
        <w:t xml:space="preserve"> argued that that issue could and should be determined on the papers in the applicant’s favour and would prove to be dispositive of the application. </w:t>
      </w:r>
      <w:r w:rsidR="00B06117">
        <w:rPr>
          <w:rFonts w:ascii="Arial" w:hAnsi="Arial" w:cs="Arial"/>
          <w:sz w:val="24"/>
          <w:szCs w:val="24"/>
        </w:rPr>
        <w:t xml:space="preserve">They </w:t>
      </w:r>
      <w:r w:rsidR="001C1ED7" w:rsidRPr="001C1ED7">
        <w:rPr>
          <w:rFonts w:ascii="Arial" w:hAnsi="Arial" w:cs="Arial"/>
          <w:sz w:val="24"/>
          <w:szCs w:val="24"/>
        </w:rPr>
        <w:t>further argued that</w:t>
      </w:r>
      <w:r w:rsidR="00B06117">
        <w:rPr>
          <w:rFonts w:ascii="Arial" w:hAnsi="Arial" w:cs="Arial"/>
          <w:sz w:val="24"/>
          <w:szCs w:val="24"/>
        </w:rPr>
        <w:t xml:space="preserve"> </w:t>
      </w:r>
      <w:r w:rsidR="001C1ED7" w:rsidRPr="001C1ED7">
        <w:rPr>
          <w:rFonts w:ascii="Arial" w:hAnsi="Arial" w:cs="Arial"/>
          <w:sz w:val="24"/>
          <w:szCs w:val="24"/>
        </w:rPr>
        <w:t>the issue of summons</w:t>
      </w:r>
      <w:r w:rsidR="00A32C06">
        <w:rPr>
          <w:rFonts w:ascii="Arial" w:hAnsi="Arial" w:cs="Arial"/>
          <w:sz w:val="24"/>
          <w:szCs w:val="24"/>
        </w:rPr>
        <w:t>,</w:t>
      </w:r>
      <w:r w:rsidR="001C1ED7" w:rsidRPr="001C1ED7">
        <w:rPr>
          <w:rFonts w:ascii="Arial" w:hAnsi="Arial" w:cs="Arial"/>
          <w:sz w:val="24"/>
          <w:szCs w:val="24"/>
        </w:rPr>
        <w:t xml:space="preserve"> after the fact</w:t>
      </w:r>
      <w:r w:rsidR="00A32C06">
        <w:rPr>
          <w:rFonts w:ascii="Arial" w:hAnsi="Arial" w:cs="Arial"/>
          <w:sz w:val="24"/>
          <w:szCs w:val="24"/>
        </w:rPr>
        <w:t>,</w:t>
      </w:r>
      <w:r w:rsidR="001C1ED7" w:rsidRPr="001C1ED7">
        <w:rPr>
          <w:rFonts w:ascii="Arial" w:hAnsi="Arial" w:cs="Arial"/>
          <w:sz w:val="24"/>
          <w:szCs w:val="24"/>
        </w:rPr>
        <w:t xml:space="preserve"> was irrelevant and simply a duplication of what could and should be determined on these papers. The evidence on the pivotal issue, so it was argued, is before me already.</w:t>
      </w:r>
    </w:p>
    <w:p w:rsidR="007D212A" w:rsidRDefault="007D212A" w:rsidP="001C1ED7">
      <w:pPr>
        <w:spacing w:after="0" w:line="360" w:lineRule="auto"/>
        <w:jc w:val="both"/>
        <w:rPr>
          <w:rFonts w:ascii="Arial" w:hAnsi="Arial" w:cs="Arial"/>
          <w:sz w:val="24"/>
          <w:szCs w:val="24"/>
        </w:rPr>
      </w:pPr>
    </w:p>
    <w:p w:rsidR="001C1ED7" w:rsidRPr="001C1ED7" w:rsidRDefault="007D212A" w:rsidP="001C1ED7">
      <w:pPr>
        <w:spacing w:after="0" w:line="360" w:lineRule="auto"/>
        <w:jc w:val="both"/>
        <w:rPr>
          <w:rFonts w:ascii="Arial" w:hAnsi="Arial" w:cs="Arial"/>
          <w:sz w:val="24"/>
          <w:szCs w:val="24"/>
        </w:rPr>
      </w:pPr>
      <w:r>
        <w:rPr>
          <w:rFonts w:ascii="Arial" w:hAnsi="Arial" w:cs="Arial"/>
          <w:sz w:val="24"/>
          <w:szCs w:val="24"/>
        </w:rPr>
        <w:t>[1</w:t>
      </w:r>
      <w:r w:rsidR="002A4554">
        <w:rPr>
          <w:rFonts w:ascii="Arial" w:hAnsi="Arial" w:cs="Arial"/>
          <w:sz w:val="24"/>
          <w:szCs w:val="24"/>
        </w:rPr>
        <w:t>1</w:t>
      </w:r>
      <w:r>
        <w:rPr>
          <w:rFonts w:ascii="Arial" w:hAnsi="Arial" w:cs="Arial"/>
          <w:sz w:val="24"/>
          <w:szCs w:val="24"/>
        </w:rPr>
        <w:t>]</w:t>
      </w:r>
      <w:r>
        <w:rPr>
          <w:rFonts w:ascii="Arial" w:hAnsi="Arial" w:cs="Arial"/>
          <w:sz w:val="24"/>
          <w:szCs w:val="24"/>
        </w:rPr>
        <w:tab/>
      </w:r>
      <w:r w:rsidR="001C1ED7" w:rsidRPr="001C1ED7">
        <w:rPr>
          <w:rFonts w:ascii="Arial" w:hAnsi="Arial" w:cs="Arial"/>
          <w:sz w:val="24"/>
          <w:szCs w:val="24"/>
        </w:rPr>
        <w:t xml:space="preserve">Respondent’s counsel argued that his client should have the right to lead evidence about what clause 16 means and requires. He provided no basis in law for how such evidence would be </w:t>
      </w:r>
      <w:r w:rsidR="0017096B" w:rsidRPr="001C1ED7">
        <w:rPr>
          <w:rFonts w:ascii="Arial" w:hAnsi="Arial" w:cs="Arial"/>
          <w:sz w:val="24"/>
          <w:szCs w:val="24"/>
        </w:rPr>
        <w:t>admissible</w:t>
      </w:r>
      <w:r w:rsidR="0017096B">
        <w:rPr>
          <w:rFonts w:ascii="Arial" w:hAnsi="Arial" w:cs="Arial"/>
          <w:sz w:val="24"/>
          <w:szCs w:val="24"/>
        </w:rPr>
        <w:t xml:space="preserve"> but</w:t>
      </w:r>
      <w:r w:rsidR="001C1ED7" w:rsidRPr="001C1ED7">
        <w:rPr>
          <w:rFonts w:ascii="Arial" w:hAnsi="Arial" w:cs="Arial"/>
          <w:sz w:val="24"/>
          <w:szCs w:val="24"/>
        </w:rPr>
        <w:t xml:space="preserve"> submitted that there was a history leading up to the relevant written lease document and that the applicants had changed their requirements about the option in the run up to the final written version produced by the applicants containing the version of clause 16 referred to above. In my view, even if such evidence were admissible to an interpretation of clause 16, (and it seems unlikely to me, but I express no decision on the point) such evidence simply demonstrates a shift in the requirements of the applicants while negotiating the further lease and cannot effect an interpretation of the terms of clause 16 as is alleged by the respondent to have been agreed. The respondent’s version is that clause 16 of the lease was agreed </w:t>
      </w:r>
      <w:r w:rsidR="001C1ED7" w:rsidRPr="001C1ED7">
        <w:rPr>
          <w:rFonts w:ascii="Arial" w:hAnsi="Arial" w:cs="Arial"/>
          <w:sz w:val="24"/>
          <w:szCs w:val="24"/>
          <w:u w:val="single"/>
        </w:rPr>
        <w:t>in that form</w:t>
      </w:r>
      <w:r w:rsidR="001C1ED7" w:rsidRPr="001C1ED7">
        <w:rPr>
          <w:rFonts w:ascii="Arial" w:hAnsi="Arial" w:cs="Arial"/>
          <w:sz w:val="24"/>
          <w:szCs w:val="24"/>
        </w:rPr>
        <w:t xml:space="preserve"> by it. </w:t>
      </w:r>
    </w:p>
    <w:p w:rsidR="007D212A" w:rsidRDefault="007D212A" w:rsidP="001C1ED7">
      <w:pPr>
        <w:spacing w:after="0" w:line="360" w:lineRule="auto"/>
        <w:jc w:val="both"/>
        <w:rPr>
          <w:rFonts w:ascii="Arial" w:hAnsi="Arial" w:cs="Arial"/>
          <w:sz w:val="24"/>
          <w:szCs w:val="24"/>
        </w:rPr>
      </w:pPr>
    </w:p>
    <w:p w:rsidR="001C1ED7" w:rsidRDefault="002A4554" w:rsidP="001C1ED7">
      <w:pPr>
        <w:spacing w:after="0" w:line="360" w:lineRule="auto"/>
        <w:jc w:val="both"/>
        <w:rPr>
          <w:rFonts w:ascii="Arial" w:hAnsi="Arial" w:cs="Arial"/>
          <w:sz w:val="24"/>
          <w:szCs w:val="24"/>
        </w:rPr>
      </w:pPr>
      <w:r>
        <w:rPr>
          <w:rFonts w:ascii="Arial" w:hAnsi="Arial" w:cs="Arial"/>
          <w:sz w:val="24"/>
          <w:szCs w:val="24"/>
        </w:rPr>
        <w:t>[12</w:t>
      </w:r>
      <w:r w:rsidR="007D212A">
        <w:rPr>
          <w:rFonts w:ascii="Arial" w:hAnsi="Arial" w:cs="Arial"/>
          <w:sz w:val="24"/>
          <w:szCs w:val="24"/>
        </w:rPr>
        <w:t>]</w:t>
      </w:r>
      <w:r w:rsidR="007D212A">
        <w:rPr>
          <w:rFonts w:ascii="Arial" w:hAnsi="Arial" w:cs="Arial"/>
          <w:sz w:val="24"/>
          <w:szCs w:val="24"/>
        </w:rPr>
        <w:tab/>
      </w:r>
      <w:r w:rsidR="001C1ED7" w:rsidRPr="001C1ED7">
        <w:rPr>
          <w:rFonts w:ascii="Arial" w:hAnsi="Arial" w:cs="Arial"/>
          <w:sz w:val="24"/>
          <w:szCs w:val="24"/>
        </w:rPr>
        <w:t>The respondent must therefore establish that it has properly and fully accepted and exercised the option</w:t>
      </w:r>
      <w:r w:rsidR="00BC2876">
        <w:rPr>
          <w:rFonts w:ascii="Arial" w:hAnsi="Arial" w:cs="Arial"/>
          <w:sz w:val="24"/>
          <w:szCs w:val="24"/>
        </w:rPr>
        <w:t>,</w:t>
      </w:r>
      <w:r w:rsidR="001C1ED7" w:rsidRPr="001C1ED7">
        <w:rPr>
          <w:rFonts w:ascii="Arial" w:hAnsi="Arial" w:cs="Arial"/>
          <w:sz w:val="24"/>
          <w:szCs w:val="24"/>
        </w:rPr>
        <w:t xml:space="preserve"> if it is entitled to remain on the farms and that it has complied with any suspensive conditions as may have been applicable to the option.  The following legal principles are of application.</w:t>
      </w:r>
    </w:p>
    <w:p w:rsidR="007D212A" w:rsidRPr="001C1ED7" w:rsidRDefault="007D212A" w:rsidP="001C1ED7">
      <w:pPr>
        <w:spacing w:after="0" w:line="360" w:lineRule="auto"/>
        <w:jc w:val="both"/>
        <w:rPr>
          <w:rFonts w:ascii="Arial" w:hAnsi="Arial" w:cs="Arial"/>
          <w:sz w:val="24"/>
          <w:szCs w:val="24"/>
        </w:rPr>
      </w:pPr>
    </w:p>
    <w:p w:rsidR="00B06117" w:rsidRDefault="002A4554" w:rsidP="001C1ED7">
      <w:pPr>
        <w:spacing w:before="120" w:after="0" w:line="360" w:lineRule="auto"/>
        <w:jc w:val="both"/>
        <w:rPr>
          <w:rFonts w:ascii="Arial" w:eastAsia="Times New Roman" w:hAnsi="Arial" w:cs="Arial"/>
          <w:color w:val="000000"/>
          <w:sz w:val="24"/>
          <w:szCs w:val="24"/>
        </w:rPr>
      </w:pPr>
      <w:r>
        <w:rPr>
          <w:rFonts w:ascii="Arial" w:hAnsi="Arial" w:cs="Arial"/>
          <w:sz w:val="24"/>
          <w:szCs w:val="24"/>
        </w:rPr>
        <w:t>[13</w:t>
      </w:r>
      <w:r w:rsidR="007D212A">
        <w:rPr>
          <w:rFonts w:ascii="Arial" w:hAnsi="Arial" w:cs="Arial"/>
          <w:sz w:val="24"/>
          <w:szCs w:val="24"/>
        </w:rPr>
        <w:t>]</w:t>
      </w:r>
      <w:r w:rsidR="007D212A">
        <w:rPr>
          <w:rFonts w:ascii="Arial" w:hAnsi="Arial" w:cs="Arial"/>
          <w:sz w:val="24"/>
          <w:szCs w:val="24"/>
        </w:rPr>
        <w:tab/>
      </w:r>
      <w:r w:rsidR="001C1ED7" w:rsidRPr="001C1ED7">
        <w:rPr>
          <w:rFonts w:ascii="Arial" w:hAnsi="Arial" w:cs="Arial"/>
          <w:sz w:val="24"/>
          <w:szCs w:val="24"/>
        </w:rPr>
        <w:t xml:space="preserve">An option is an offer to enter into a main agreement together with a </w:t>
      </w:r>
      <w:r w:rsidR="001C1ED7" w:rsidRPr="001C1ED7">
        <w:rPr>
          <w:rFonts w:ascii="Arial" w:hAnsi="Arial" w:cs="Arial"/>
          <w:i/>
          <w:iCs/>
          <w:sz w:val="24"/>
          <w:szCs w:val="24"/>
        </w:rPr>
        <w:t>“concluded subsidiary contract (the contract of option) binding the offeror to keep that offer open for a certain period.”</w:t>
      </w:r>
      <w:r w:rsidR="001C1ED7" w:rsidRPr="001C1ED7">
        <w:rPr>
          <w:rFonts w:ascii="Arial" w:hAnsi="Arial" w:cs="Arial"/>
          <w:sz w:val="24"/>
          <w:szCs w:val="24"/>
        </w:rPr>
        <w:t xml:space="preserve"> It is a contract complete in itself.</w:t>
      </w:r>
      <w:r w:rsidR="001C1ED7" w:rsidRPr="001C1ED7">
        <w:rPr>
          <w:rStyle w:val="FootnoteReference"/>
          <w:rFonts w:ascii="Arial" w:hAnsi="Arial" w:cs="Arial"/>
          <w:i/>
          <w:iCs/>
          <w:sz w:val="24"/>
          <w:szCs w:val="24"/>
        </w:rPr>
        <w:footnoteReference w:id="1"/>
      </w:r>
      <w:r w:rsidR="001C1ED7" w:rsidRPr="001C1ED7">
        <w:rPr>
          <w:rFonts w:ascii="Arial" w:hAnsi="Arial" w:cs="Arial"/>
          <w:sz w:val="24"/>
          <w:szCs w:val="24"/>
        </w:rPr>
        <w:t xml:space="preserve"> An option to buy land concerns a transaction relating to a future sale of land. As such, as a bare minimum the option must include the description of the land and the purchase price and must be in writing.</w:t>
      </w:r>
      <w:r w:rsidR="001C1ED7" w:rsidRPr="001C1ED7">
        <w:rPr>
          <w:rStyle w:val="FootnoteReference"/>
          <w:rFonts w:ascii="Arial" w:hAnsi="Arial" w:cs="Arial"/>
          <w:sz w:val="24"/>
          <w:szCs w:val="24"/>
        </w:rPr>
        <w:footnoteReference w:id="2"/>
      </w:r>
      <w:r w:rsidR="001C1ED7" w:rsidRPr="001C1ED7">
        <w:rPr>
          <w:rFonts w:ascii="Arial" w:hAnsi="Arial" w:cs="Arial"/>
          <w:sz w:val="24"/>
          <w:szCs w:val="24"/>
        </w:rPr>
        <w:t xml:space="preserve"> The option must also be accepted and </w:t>
      </w:r>
      <w:r w:rsidR="0005380D">
        <w:rPr>
          <w:rFonts w:ascii="Arial" w:hAnsi="Arial" w:cs="Arial"/>
          <w:sz w:val="24"/>
          <w:szCs w:val="24"/>
        </w:rPr>
        <w:t xml:space="preserve">exercised in the terms thereof. </w:t>
      </w:r>
      <w:r w:rsidR="001C1ED7" w:rsidRPr="001C1ED7">
        <w:rPr>
          <w:rFonts w:ascii="Arial" w:hAnsi="Arial" w:cs="Arial"/>
          <w:sz w:val="24"/>
          <w:szCs w:val="24"/>
        </w:rPr>
        <w:t xml:space="preserve">In </w:t>
      </w:r>
      <w:r w:rsidR="001C1ED7" w:rsidRPr="001C1ED7">
        <w:rPr>
          <w:rFonts w:ascii="Arial" w:eastAsia="Times New Roman" w:hAnsi="Arial" w:cs="Arial"/>
          <w:color w:val="000000"/>
          <w:sz w:val="24"/>
          <w:szCs w:val="24"/>
        </w:rPr>
        <w:t>Du </w:t>
      </w:r>
      <w:bookmarkStart w:id="1" w:name="LPHit2"/>
      <w:bookmarkEnd w:id="1"/>
      <w:r w:rsidR="001C1ED7" w:rsidRPr="001C1ED7">
        <w:rPr>
          <w:rFonts w:ascii="Arial" w:eastAsia="Times New Roman" w:hAnsi="Arial" w:cs="Arial"/>
          <w:color w:val="000000"/>
          <w:sz w:val="24"/>
          <w:szCs w:val="24"/>
        </w:rPr>
        <w:t xml:space="preserve">Plessis NO and Another v Goldco Motor &amp; Cycle Supplies (Pty) LTD 2009 (6) SA 617 (SCA), the position was that the alleged option read as follows, as set out in the headnote: </w:t>
      </w:r>
    </w:p>
    <w:p w:rsidR="001C1ED7" w:rsidRDefault="001C1ED7" w:rsidP="00B06117">
      <w:pPr>
        <w:spacing w:before="120" w:after="0" w:line="360" w:lineRule="auto"/>
        <w:ind w:left="720"/>
        <w:jc w:val="both"/>
        <w:rPr>
          <w:rFonts w:ascii="Arial" w:eastAsia="Times New Roman" w:hAnsi="Arial" w:cs="Arial"/>
          <w:i/>
          <w:iCs/>
          <w:color w:val="000000"/>
          <w:sz w:val="24"/>
          <w:szCs w:val="24"/>
        </w:rPr>
      </w:pPr>
      <w:r w:rsidRPr="001C1ED7">
        <w:rPr>
          <w:rFonts w:ascii="Arial" w:eastAsia="Times New Roman" w:hAnsi="Arial" w:cs="Arial"/>
          <w:i/>
          <w:iCs/>
          <w:color w:val="000000"/>
          <w:sz w:val="24"/>
          <w:szCs w:val="24"/>
        </w:rPr>
        <w:t>“The respondent hired certain premises from the trust of which the appellants were trustees. The agreement of lease contained, inter alia, an option to purchase the leased premises on condition that: (i) the sectional title register in respect of the premises was opened within 24 months of conclusion of the lease; and (ii) the option was exercised by way of a written contract of sale drawn up by the trust's attorneys and signed by the parties within 24 months of conclusion of the lease; and (iii) the written contract of sale was drawn up after the approved plan had been delivered to the trust's attorneys by the land surveyors, in which the premises leased and sold were reflected as a sectional title unit.”</w:t>
      </w:r>
    </w:p>
    <w:p w:rsidR="007D212A" w:rsidRPr="001C1ED7" w:rsidRDefault="007D212A" w:rsidP="001C1ED7">
      <w:pPr>
        <w:spacing w:before="120" w:after="0" w:line="360" w:lineRule="auto"/>
        <w:jc w:val="both"/>
        <w:rPr>
          <w:rFonts w:ascii="Arial" w:eastAsia="Times New Roman" w:hAnsi="Arial" w:cs="Arial"/>
          <w:i/>
          <w:iCs/>
          <w:color w:val="000000"/>
          <w:sz w:val="24"/>
          <w:szCs w:val="24"/>
        </w:rPr>
      </w:pPr>
    </w:p>
    <w:p w:rsidR="00B06117" w:rsidRDefault="007D212A" w:rsidP="001C1ED7">
      <w:pPr>
        <w:spacing w:before="120" w:after="0" w:line="360" w:lineRule="auto"/>
        <w:jc w:val="both"/>
        <w:rPr>
          <w:rFonts w:ascii="Arial" w:eastAsia="Times New Roman" w:hAnsi="Arial" w:cs="Arial"/>
          <w:i/>
          <w:iCs/>
          <w:color w:val="000000"/>
          <w:sz w:val="24"/>
          <w:szCs w:val="24"/>
        </w:rPr>
      </w:pPr>
      <w:r>
        <w:rPr>
          <w:rFonts w:ascii="Arial" w:eastAsia="Times New Roman" w:hAnsi="Arial" w:cs="Arial"/>
          <w:color w:val="000000"/>
          <w:sz w:val="24"/>
          <w:szCs w:val="24"/>
        </w:rPr>
        <w:t>[1</w:t>
      </w:r>
      <w:r w:rsidR="002A4554">
        <w:rPr>
          <w:rFonts w:ascii="Arial" w:eastAsia="Times New Roman" w:hAnsi="Arial" w:cs="Arial"/>
          <w:color w:val="000000"/>
          <w:sz w:val="24"/>
          <w:szCs w:val="24"/>
        </w:rPr>
        <w:t>4</w:t>
      </w:r>
      <w:r>
        <w:rPr>
          <w:rFonts w:ascii="Arial" w:eastAsia="Times New Roman" w:hAnsi="Arial" w:cs="Arial"/>
          <w:color w:val="000000"/>
          <w:sz w:val="24"/>
          <w:szCs w:val="24"/>
        </w:rPr>
        <w:t>]</w:t>
      </w:r>
      <w:r>
        <w:rPr>
          <w:rFonts w:ascii="Arial" w:eastAsia="Times New Roman" w:hAnsi="Arial" w:cs="Arial"/>
          <w:color w:val="000000"/>
          <w:sz w:val="24"/>
          <w:szCs w:val="24"/>
        </w:rPr>
        <w:tab/>
      </w:r>
      <w:r w:rsidR="001C1ED7" w:rsidRPr="001C1ED7">
        <w:rPr>
          <w:rFonts w:ascii="Arial" w:eastAsia="Times New Roman" w:hAnsi="Arial" w:cs="Arial"/>
          <w:color w:val="000000"/>
          <w:sz w:val="24"/>
          <w:szCs w:val="24"/>
        </w:rPr>
        <w:t>In the majority judgement Lewis J wrote, at paragraph [17]</w:t>
      </w:r>
      <w:r w:rsidR="00B06117">
        <w:rPr>
          <w:rFonts w:ascii="Arial" w:eastAsia="Times New Roman" w:hAnsi="Arial" w:cs="Arial"/>
          <w:color w:val="000000"/>
          <w:sz w:val="24"/>
          <w:szCs w:val="24"/>
        </w:rPr>
        <w:t>:</w:t>
      </w:r>
    </w:p>
    <w:p w:rsidR="0005380D" w:rsidRDefault="00B06117" w:rsidP="00B06117">
      <w:pPr>
        <w:spacing w:before="120" w:after="0" w:line="360" w:lineRule="auto"/>
        <w:ind w:left="720"/>
        <w:jc w:val="both"/>
        <w:rPr>
          <w:rFonts w:ascii="Arial" w:eastAsia="Times New Roman" w:hAnsi="Arial" w:cs="Arial"/>
          <w:color w:val="000000"/>
          <w:sz w:val="24"/>
          <w:szCs w:val="24"/>
        </w:rPr>
      </w:pPr>
      <w:r>
        <w:rPr>
          <w:rFonts w:ascii="Arial" w:eastAsia="Times New Roman" w:hAnsi="Arial" w:cs="Arial"/>
          <w:i/>
          <w:iCs/>
          <w:color w:val="000000"/>
          <w:sz w:val="24"/>
          <w:szCs w:val="24"/>
        </w:rPr>
        <w:t>“</w:t>
      </w:r>
      <w:r w:rsidR="001C1ED7" w:rsidRPr="001C1ED7">
        <w:rPr>
          <w:rFonts w:ascii="Arial" w:eastAsia="Times New Roman" w:hAnsi="Arial" w:cs="Arial"/>
          <w:i/>
          <w:iCs/>
          <w:color w:val="000000"/>
          <w:sz w:val="24"/>
          <w:szCs w:val="24"/>
        </w:rPr>
        <w:t>The fact that Goldco's right could not be exercised simply by notifying the trust (in writing) does not mean that there was no right conferred on Goldco. The written contract envisaged in the option clause was, in my view, no more than a prescribed mode of acceptance: the conclusion of a written contract, drafted by Rossouws, and signed by the parties.</w:t>
      </w:r>
      <w:bookmarkStart w:id="2" w:name="0-0-0-91891"/>
      <w:bookmarkEnd w:id="2"/>
      <w:r w:rsidR="001C1ED7" w:rsidRPr="001C1ED7">
        <w:rPr>
          <w:rFonts w:ascii="Arial" w:eastAsia="Times New Roman" w:hAnsi="Arial" w:cs="Arial"/>
          <w:i/>
          <w:iCs/>
          <w:color w:val="000000"/>
          <w:sz w:val="24"/>
          <w:szCs w:val="24"/>
        </w:rPr>
        <w:t>”</w:t>
      </w:r>
      <w:r w:rsidR="001C1ED7" w:rsidRPr="001C1ED7">
        <w:rPr>
          <w:rFonts w:ascii="Arial" w:eastAsia="Times New Roman" w:hAnsi="Arial" w:cs="Arial"/>
          <w:color w:val="000000"/>
          <w:sz w:val="24"/>
          <w:szCs w:val="24"/>
        </w:rPr>
        <w:t> </w:t>
      </w:r>
    </w:p>
    <w:p w:rsidR="00B06117" w:rsidRDefault="00B06117" w:rsidP="00B06117">
      <w:pPr>
        <w:spacing w:before="120" w:after="0" w:line="360" w:lineRule="auto"/>
        <w:ind w:left="720"/>
        <w:jc w:val="both"/>
        <w:rPr>
          <w:rFonts w:ascii="Arial" w:eastAsia="Times New Roman" w:hAnsi="Arial" w:cs="Arial"/>
          <w:color w:val="000000"/>
          <w:sz w:val="24"/>
          <w:szCs w:val="24"/>
        </w:rPr>
      </w:pPr>
    </w:p>
    <w:p w:rsidR="001C1ED7" w:rsidRPr="001C1ED7" w:rsidRDefault="007810DE" w:rsidP="007810DE">
      <w:pPr>
        <w:spacing w:before="120" w:after="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1C1ED7" w:rsidRPr="001C1ED7">
        <w:rPr>
          <w:rFonts w:ascii="Arial" w:hAnsi="Arial" w:cs="Arial"/>
          <w:sz w:val="24"/>
          <w:szCs w:val="24"/>
        </w:rPr>
        <w:t xml:space="preserve">As far as suspensive conditions </w:t>
      </w:r>
      <w:r w:rsidRPr="001C1ED7">
        <w:rPr>
          <w:rFonts w:ascii="Arial" w:hAnsi="Arial" w:cs="Arial"/>
          <w:sz w:val="24"/>
          <w:szCs w:val="24"/>
        </w:rPr>
        <w:t>go;</w:t>
      </w:r>
      <w:r w:rsidR="001C1ED7" w:rsidRPr="001C1ED7">
        <w:rPr>
          <w:rFonts w:ascii="Arial" w:hAnsi="Arial" w:cs="Arial"/>
          <w:sz w:val="24"/>
          <w:szCs w:val="24"/>
        </w:rPr>
        <w:t xml:space="preserve"> non-fulfilment thereof usually renders the contract void.</w:t>
      </w:r>
      <w:r w:rsidR="001C1ED7" w:rsidRPr="001C1ED7">
        <w:rPr>
          <w:rStyle w:val="FootnoteReference"/>
          <w:rFonts w:ascii="Arial" w:hAnsi="Arial" w:cs="Arial"/>
          <w:sz w:val="24"/>
          <w:szCs w:val="24"/>
        </w:rPr>
        <w:footnoteReference w:id="3"/>
      </w:r>
    </w:p>
    <w:p w:rsidR="007D212A" w:rsidRDefault="007D212A" w:rsidP="001C1ED7">
      <w:pPr>
        <w:spacing w:after="0" w:line="360" w:lineRule="auto"/>
        <w:jc w:val="both"/>
        <w:rPr>
          <w:rFonts w:ascii="Arial" w:hAnsi="Arial" w:cs="Arial"/>
          <w:sz w:val="24"/>
          <w:szCs w:val="24"/>
        </w:rPr>
      </w:pPr>
    </w:p>
    <w:p w:rsidR="001C1ED7" w:rsidRDefault="002A4554" w:rsidP="001C1ED7">
      <w:pPr>
        <w:spacing w:after="0" w:line="360" w:lineRule="auto"/>
        <w:jc w:val="both"/>
        <w:rPr>
          <w:rFonts w:ascii="Arial" w:hAnsi="Arial" w:cs="Arial"/>
          <w:sz w:val="24"/>
          <w:szCs w:val="24"/>
        </w:rPr>
      </w:pPr>
      <w:r>
        <w:rPr>
          <w:rFonts w:ascii="Arial" w:hAnsi="Arial" w:cs="Arial"/>
          <w:sz w:val="24"/>
          <w:szCs w:val="24"/>
        </w:rPr>
        <w:t>[1</w:t>
      </w:r>
      <w:r w:rsidR="007810DE">
        <w:rPr>
          <w:rFonts w:ascii="Arial" w:hAnsi="Arial" w:cs="Arial"/>
          <w:sz w:val="24"/>
          <w:szCs w:val="24"/>
        </w:rPr>
        <w:t>6</w:t>
      </w:r>
      <w:r w:rsidR="007D212A">
        <w:rPr>
          <w:rFonts w:ascii="Arial" w:hAnsi="Arial" w:cs="Arial"/>
          <w:sz w:val="24"/>
          <w:szCs w:val="24"/>
        </w:rPr>
        <w:t>]</w:t>
      </w:r>
      <w:r w:rsidR="007D212A">
        <w:rPr>
          <w:rFonts w:ascii="Arial" w:hAnsi="Arial" w:cs="Arial"/>
          <w:sz w:val="24"/>
          <w:szCs w:val="24"/>
        </w:rPr>
        <w:tab/>
      </w:r>
      <w:r w:rsidR="001C1ED7" w:rsidRPr="001C1ED7">
        <w:rPr>
          <w:rFonts w:ascii="Arial" w:hAnsi="Arial" w:cs="Arial"/>
          <w:sz w:val="24"/>
          <w:szCs w:val="24"/>
        </w:rPr>
        <w:t>As set out above, the respondent claims it exercised this option. It sets out how it did so in paragraphs 4.13 of the answering affidavit where the deponent for the respondent says the following:</w:t>
      </w:r>
    </w:p>
    <w:p w:rsidR="00BC2876" w:rsidRPr="001C1ED7" w:rsidRDefault="00BC2876" w:rsidP="001C1ED7">
      <w:pPr>
        <w:spacing w:after="0" w:line="360" w:lineRule="auto"/>
        <w:jc w:val="both"/>
        <w:rPr>
          <w:rFonts w:ascii="Arial" w:hAnsi="Arial" w:cs="Arial"/>
          <w:i/>
          <w:iCs/>
          <w:sz w:val="24"/>
          <w:szCs w:val="24"/>
        </w:rPr>
      </w:pPr>
    </w:p>
    <w:p w:rsidR="001C1ED7" w:rsidRPr="009A4DBE" w:rsidRDefault="001C1ED7" w:rsidP="0005380D">
      <w:pPr>
        <w:spacing w:after="0" w:line="360" w:lineRule="auto"/>
        <w:ind w:left="360"/>
        <w:jc w:val="both"/>
        <w:rPr>
          <w:rFonts w:ascii="Arial" w:hAnsi="Arial" w:cs="Arial"/>
          <w:i/>
          <w:iCs/>
        </w:rPr>
      </w:pPr>
      <w:r w:rsidRPr="009A4DBE">
        <w:rPr>
          <w:rFonts w:ascii="Arial" w:hAnsi="Arial" w:cs="Arial"/>
          <w:i/>
          <w:iCs/>
        </w:rPr>
        <w:t xml:space="preserve">“4.13 </w:t>
      </w:r>
      <w:r w:rsidR="00BC2876">
        <w:rPr>
          <w:rFonts w:ascii="Arial" w:hAnsi="Arial" w:cs="Arial"/>
          <w:i/>
          <w:iCs/>
        </w:rPr>
        <w:t>O</w:t>
      </w:r>
      <w:r w:rsidRPr="009A4DBE">
        <w:rPr>
          <w:rFonts w:ascii="Arial" w:hAnsi="Arial" w:cs="Arial"/>
          <w:i/>
          <w:iCs/>
        </w:rPr>
        <w:t xml:space="preserve">n 31 July 2023, Hartzenberg </w:t>
      </w:r>
      <w:r w:rsidRPr="009A4DBE">
        <w:rPr>
          <w:rFonts w:ascii="Arial" w:hAnsi="Arial" w:cs="Arial"/>
        </w:rPr>
        <w:t>(the respondents attorney)</w:t>
      </w:r>
      <w:r w:rsidRPr="009A4DBE">
        <w:rPr>
          <w:rFonts w:ascii="Arial" w:hAnsi="Arial" w:cs="Arial"/>
          <w:i/>
          <w:iCs/>
        </w:rPr>
        <w:t xml:space="preserve"> informed Van </w:t>
      </w:r>
      <w:r w:rsidR="0005380D" w:rsidRPr="009A4DBE">
        <w:rPr>
          <w:rFonts w:ascii="Arial" w:hAnsi="Arial" w:cs="Arial"/>
          <w:i/>
          <w:iCs/>
        </w:rPr>
        <w:t xml:space="preserve">der </w:t>
      </w:r>
      <w:r w:rsidRPr="009A4DBE">
        <w:rPr>
          <w:rFonts w:ascii="Arial" w:hAnsi="Arial" w:cs="Arial"/>
          <w:i/>
          <w:iCs/>
        </w:rPr>
        <w:t xml:space="preserve">Merwe </w:t>
      </w:r>
      <w:r w:rsidRPr="009A4DBE">
        <w:rPr>
          <w:rFonts w:ascii="Arial" w:hAnsi="Arial" w:cs="Arial"/>
        </w:rPr>
        <w:t>(the applicants’ attorney)</w:t>
      </w:r>
      <w:r w:rsidRPr="009A4DBE">
        <w:rPr>
          <w:rFonts w:ascii="Arial" w:hAnsi="Arial" w:cs="Arial"/>
          <w:i/>
          <w:iCs/>
        </w:rPr>
        <w:t>, in writing, that:</w:t>
      </w:r>
    </w:p>
    <w:p w:rsidR="001C1ED7" w:rsidRPr="009A4DBE" w:rsidRDefault="001C1ED7" w:rsidP="0005380D">
      <w:pPr>
        <w:spacing w:after="0" w:line="360" w:lineRule="auto"/>
        <w:ind w:left="360"/>
        <w:jc w:val="both"/>
        <w:rPr>
          <w:rFonts w:ascii="Arial" w:hAnsi="Arial" w:cs="Arial"/>
          <w:i/>
          <w:iCs/>
        </w:rPr>
      </w:pPr>
      <w:r w:rsidRPr="009A4DBE">
        <w:rPr>
          <w:rFonts w:ascii="Arial" w:hAnsi="Arial" w:cs="Arial"/>
          <w:i/>
          <w:iCs/>
        </w:rPr>
        <w:t>‘4. Our instructions are to exercise the option on behalf of our client, our client hereby purchasing the aforesaid farms from Wetlands Country Retreat (Pty) Ltd, at a purchase price of R10,800 per hectare for a total purchase consideration of R14,954,312,00… (The farms comprising of 1384.6586 hectares)’</w:t>
      </w:r>
    </w:p>
    <w:p w:rsidR="001C1ED7" w:rsidRDefault="001C1ED7" w:rsidP="0005380D">
      <w:pPr>
        <w:spacing w:after="0" w:line="360" w:lineRule="auto"/>
        <w:ind w:left="360"/>
        <w:jc w:val="both"/>
        <w:rPr>
          <w:rFonts w:ascii="Arial" w:hAnsi="Arial" w:cs="Arial"/>
          <w:sz w:val="24"/>
          <w:szCs w:val="24"/>
        </w:rPr>
      </w:pPr>
      <w:r w:rsidRPr="009A4DBE">
        <w:rPr>
          <w:rFonts w:ascii="Arial" w:hAnsi="Arial" w:cs="Arial"/>
          <w:i/>
          <w:iCs/>
        </w:rPr>
        <w:t xml:space="preserve">5. Our client will deliver the guarantee for the purchase price within 30 (thirty) days from the date hereof, </w:t>
      </w:r>
      <w:r w:rsidRPr="009A4DBE">
        <w:rPr>
          <w:rFonts w:ascii="Arial" w:hAnsi="Arial" w:cs="Arial"/>
          <w:i/>
          <w:iCs/>
          <w:u w:val="single"/>
        </w:rPr>
        <w:t>but, in any event, not later than 31 August 2023</w:t>
      </w:r>
      <w:r w:rsidRPr="009A4DBE">
        <w:rPr>
          <w:rFonts w:ascii="Arial" w:hAnsi="Arial" w:cs="Arial"/>
          <w:i/>
          <w:iCs/>
        </w:rPr>
        <w:t>…”.</w:t>
      </w:r>
      <w:r w:rsidRPr="001C1ED7">
        <w:rPr>
          <w:rFonts w:ascii="Arial" w:hAnsi="Arial" w:cs="Arial"/>
          <w:i/>
          <w:iCs/>
          <w:sz w:val="24"/>
          <w:szCs w:val="24"/>
        </w:rPr>
        <w:t xml:space="preserve"> </w:t>
      </w:r>
      <w:r w:rsidRPr="001C1ED7">
        <w:rPr>
          <w:rFonts w:ascii="Arial" w:hAnsi="Arial" w:cs="Arial"/>
          <w:sz w:val="24"/>
          <w:szCs w:val="24"/>
        </w:rPr>
        <w:t>(My underlining).</w:t>
      </w:r>
    </w:p>
    <w:p w:rsidR="00472F67" w:rsidRPr="001C1ED7" w:rsidRDefault="00472F67" w:rsidP="001C1ED7">
      <w:pPr>
        <w:spacing w:after="0" w:line="360" w:lineRule="auto"/>
        <w:ind w:left="1440"/>
        <w:jc w:val="both"/>
        <w:rPr>
          <w:rFonts w:ascii="Arial" w:hAnsi="Arial" w:cs="Arial"/>
          <w:sz w:val="24"/>
          <w:szCs w:val="24"/>
        </w:rPr>
      </w:pPr>
    </w:p>
    <w:p w:rsidR="001C1ED7" w:rsidRPr="001C1ED7" w:rsidRDefault="002A4554" w:rsidP="001C1ED7">
      <w:pPr>
        <w:spacing w:after="0" w:line="360" w:lineRule="auto"/>
        <w:jc w:val="both"/>
        <w:rPr>
          <w:rFonts w:ascii="Arial" w:hAnsi="Arial" w:cs="Arial"/>
          <w:sz w:val="24"/>
          <w:szCs w:val="24"/>
        </w:rPr>
      </w:pPr>
      <w:r>
        <w:rPr>
          <w:rFonts w:ascii="Arial" w:hAnsi="Arial" w:cs="Arial"/>
          <w:sz w:val="24"/>
          <w:szCs w:val="24"/>
        </w:rPr>
        <w:t>[1</w:t>
      </w:r>
      <w:r w:rsidR="007810DE">
        <w:rPr>
          <w:rFonts w:ascii="Arial" w:hAnsi="Arial" w:cs="Arial"/>
          <w:sz w:val="24"/>
          <w:szCs w:val="24"/>
        </w:rPr>
        <w:t>7</w:t>
      </w:r>
      <w:r w:rsidR="00472F67">
        <w:rPr>
          <w:rFonts w:ascii="Arial" w:hAnsi="Arial" w:cs="Arial"/>
          <w:sz w:val="24"/>
          <w:szCs w:val="24"/>
        </w:rPr>
        <w:t>]</w:t>
      </w:r>
      <w:r w:rsidR="00472F67">
        <w:rPr>
          <w:rFonts w:ascii="Arial" w:hAnsi="Arial" w:cs="Arial"/>
          <w:sz w:val="24"/>
          <w:szCs w:val="24"/>
        </w:rPr>
        <w:tab/>
      </w:r>
      <w:r w:rsidR="001C1ED7" w:rsidRPr="001C1ED7">
        <w:rPr>
          <w:rFonts w:ascii="Arial" w:hAnsi="Arial" w:cs="Arial"/>
          <w:sz w:val="24"/>
          <w:szCs w:val="24"/>
        </w:rPr>
        <w:t>Thirty days from the date of the “acceptance” of the option was 30 August. The “acceptance” provided for possible delivery only on 31</w:t>
      </w:r>
      <w:r w:rsidR="001C1ED7" w:rsidRPr="001C1ED7">
        <w:rPr>
          <w:rFonts w:ascii="Arial" w:hAnsi="Arial" w:cs="Arial"/>
          <w:sz w:val="24"/>
          <w:szCs w:val="24"/>
          <w:vertAlign w:val="superscript"/>
        </w:rPr>
        <w:t>st</w:t>
      </w:r>
      <w:r w:rsidR="001C1ED7" w:rsidRPr="001C1ED7">
        <w:rPr>
          <w:rFonts w:ascii="Arial" w:hAnsi="Arial" w:cs="Arial"/>
          <w:sz w:val="24"/>
          <w:szCs w:val="24"/>
        </w:rPr>
        <w:t xml:space="preserve"> August. The “acceptance” was </w:t>
      </w:r>
      <w:r w:rsidR="005F6BF6">
        <w:rPr>
          <w:rFonts w:ascii="Arial" w:hAnsi="Arial" w:cs="Arial"/>
          <w:sz w:val="24"/>
          <w:szCs w:val="24"/>
        </w:rPr>
        <w:t xml:space="preserve">therefore </w:t>
      </w:r>
      <w:r w:rsidR="001C1ED7" w:rsidRPr="001C1ED7">
        <w:rPr>
          <w:rFonts w:ascii="Arial" w:hAnsi="Arial" w:cs="Arial"/>
          <w:sz w:val="24"/>
          <w:szCs w:val="24"/>
        </w:rPr>
        <w:t xml:space="preserve">not in the terms required </w:t>
      </w:r>
      <w:r w:rsidR="005F6BF6">
        <w:rPr>
          <w:rFonts w:ascii="Arial" w:hAnsi="Arial" w:cs="Arial"/>
          <w:sz w:val="24"/>
          <w:szCs w:val="24"/>
        </w:rPr>
        <w:t>by</w:t>
      </w:r>
      <w:r w:rsidR="001C1ED7" w:rsidRPr="001C1ED7">
        <w:rPr>
          <w:rFonts w:ascii="Arial" w:hAnsi="Arial" w:cs="Arial"/>
          <w:sz w:val="24"/>
          <w:szCs w:val="24"/>
        </w:rPr>
        <w:t xml:space="preserve"> the option. The option did not permit a day longer than 30 after acceptance unless “</w:t>
      </w:r>
      <w:r w:rsidR="001C1ED7" w:rsidRPr="001C1ED7">
        <w:rPr>
          <w:rFonts w:ascii="Arial" w:hAnsi="Arial" w:cs="Arial"/>
          <w:i/>
          <w:iCs/>
          <w:sz w:val="24"/>
          <w:szCs w:val="24"/>
        </w:rPr>
        <w:t xml:space="preserve">if such is exercised less than 30 (thirty) days before the expiry of the lease, then such guarantee(s) are to be provided before the expiry of the lease…..”. </w:t>
      </w:r>
      <w:r w:rsidR="001C1ED7" w:rsidRPr="001C1ED7">
        <w:rPr>
          <w:rFonts w:ascii="Arial" w:hAnsi="Arial" w:cs="Arial"/>
          <w:sz w:val="24"/>
          <w:szCs w:val="24"/>
        </w:rPr>
        <w:t>On that basis alone</w:t>
      </w:r>
      <w:r w:rsidR="00BC2876">
        <w:rPr>
          <w:rFonts w:ascii="Arial" w:hAnsi="Arial" w:cs="Arial"/>
          <w:sz w:val="24"/>
          <w:szCs w:val="24"/>
        </w:rPr>
        <w:t>,</w:t>
      </w:r>
      <w:r w:rsidR="001C1ED7" w:rsidRPr="001C1ED7">
        <w:rPr>
          <w:rFonts w:ascii="Arial" w:hAnsi="Arial" w:cs="Arial"/>
          <w:sz w:val="24"/>
          <w:szCs w:val="24"/>
        </w:rPr>
        <w:t xml:space="preserve"> in my view</w:t>
      </w:r>
      <w:r w:rsidR="00BC2876">
        <w:rPr>
          <w:rFonts w:ascii="Arial" w:hAnsi="Arial" w:cs="Arial"/>
          <w:sz w:val="24"/>
          <w:szCs w:val="24"/>
        </w:rPr>
        <w:t>,</w:t>
      </w:r>
      <w:r w:rsidR="001C1ED7" w:rsidRPr="001C1ED7">
        <w:rPr>
          <w:rFonts w:ascii="Arial" w:hAnsi="Arial" w:cs="Arial"/>
          <w:sz w:val="24"/>
          <w:szCs w:val="24"/>
        </w:rPr>
        <w:t xml:space="preserve"> the respondent, on its own version, did not exercise its option as agreed.</w:t>
      </w:r>
    </w:p>
    <w:p w:rsidR="00472F67" w:rsidRDefault="00472F67" w:rsidP="001C1ED7">
      <w:pPr>
        <w:spacing w:after="0" w:line="360" w:lineRule="auto"/>
        <w:jc w:val="both"/>
        <w:rPr>
          <w:rFonts w:ascii="Arial" w:hAnsi="Arial" w:cs="Arial"/>
          <w:sz w:val="24"/>
          <w:szCs w:val="24"/>
        </w:rPr>
      </w:pPr>
    </w:p>
    <w:p w:rsidR="001C1ED7" w:rsidRPr="001C1ED7" w:rsidRDefault="002A4554" w:rsidP="001C1ED7">
      <w:pPr>
        <w:spacing w:after="0" w:line="360" w:lineRule="auto"/>
        <w:jc w:val="both"/>
        <w:rPr>
          <w:rFonts w:ascii="Arial" w:hAnsi="Arial" w:cs="Arial"/>
          <w:sz w:val="24"/>
          <w:szCs w:val="24"/>
        </w:rPr>
      </w:pPr>
      <w:r>
        <w:rPr>
          <w:rFonts w:ascii="Arial" w:hAnsi="Arial" w:cs="Arial"/>
          <w:sz w:val="24"/>
          <w:szCs w:val="24"/>
        </w:rPr>
        <w:t>[1</w:t>
      </w:r>
      <w:r w:rsidR="007810DE">
        <w:rPr>
          <w:rFonts w:ascii="Arial" w:hAnsi="Arial" w:cs="Arial"/>
          <w:sz w:val="24"/>
          <w:szCs w:val="24"/>
        </w:rPr>
        <w:t>8</w:t>
      </w:r>
      <w:r w:rsidR="00472F67">
        <w:rPr>
          <w:rFonts w:ascii="Arial" w:hAnsi="Arial" w:cs="Arial"/>
          <w:sz w:val="24"/>
          <w:szCs w:val="24"/>
        </w:rPr>
        <w:t>]</w:t>
      </w:r>
      <w:r w:rsidR="00472F67">
        <w:rPr>
          <w:rFonts w:ascii="Arial" w:hAnsi="Arial" w:cs="Arial"/>
          <w:sz w:val="24"/>
          <w:szCs w:val="24"/>
        </w:rPr>
        <w:tab/>
      </w:r>
      <w:r w:rsidR="001C1ED7" w:rsidRPr="001C1ED7">
        <w:rPr>
          <w:rFonts w:ascii="Arial" w:hAnsi="Arial" w:cs="Arial"/>
          <w:sz w:val="24"/>
          <w:szCs w:val="24"/>
        </w:rPr>
        <w:t>Alternati</w:t>
      </w:r>
      <w:r w:rsidR="0005380D">
        <w:rPr>
          <w:rFonts w:ascii="Arial" w:hAnsi="Arial" w:cs="Arial"/>
          <w:sz w:val="24"/>
          <w:szCs w:val="24"/>
        </w:rPr>
        <w:t>vely, and on an assumption that</w:t>
      </w:r>
      <w:r w:rsidR="001C1ED7" w:rsidRPr="001C1ED7">
        <w:rPr>
          <w:rFonts w:ascii="Arial" w:hAnsi="Arial" w:cs="Arial"/>
          <w:sz w:val="24"/>
          <w:szCs w:val="24"/>
        </w:rPr>
        <w:t xml:space="preserve"> the acceptance conveyed in the letter referred to above was proper, it is common cause that the guarantees referred to by the respondent’s attorney in exercising the option have never been delivered and remain undelivered. They have never been tendered by the respondent either. In fact, the respondent does not deal with the guarantees at all in the answering affidavit nor in its last affidavit date</w:t>
      </w:r>
      <w:r w:rsidR="00BC2876">
        <w:rPr>
          <w:rFonts w:ascii="Arial" w:hAnsi="Arial" w:cs="Arial"/>
          <w:sz w:val="24"/>
          <w:szCs w:val="24"/>
        </w:rPr>
        <w:t>d</w:t>
      </w:r>
      <w:r w:rsidR="001C1ED7" w:rsidRPr="001C1ED7">
        <w:rPr>
          <w:rFonts w:ascii="Arial" w:hAnsi="Arial" w:cs="Arial"/>
          <w:sz w:val="24"/>
          <w:szCs w:val="24"/>
        </w:rPr>
        <w:t xml:space="preserve"> 31 January 2024. In oral argument</w:t>
      </w:r>
      <w:r w:rsidR="00BC2876">
        <w:rPr>
          <w:rFonts w:ascii="Arial" w:hAnsi="Arial" w:cs="Arial"/>
          <w:sz w:val="24"/>
          <w:szCs w:val="24"/>
        </w:rPr>
        <w:t>,</w:t>
      </w:r>
      <w:r w:rsidR="001C1ED7" w:rsidRPr="001C1ED7">
        <w:rPr>
          <w:rFonts w:ascii="Arial" w:hAnsi="Arial" w:cs="Arial"/>
          <w:sz w:val="24"/>
          <w:szCs w:val="24"/>
        </w:rPr>
        <w:t xml:space="preserve"> Counsel for the respondent argued that by disputing the existence of the option, the applicants made it impossible for the respondent to comply. No facts are set </w:t>
      </w:r>
      <w:r w:rsidR="005F6BF6">
        <w:rPr>
          <w:rFonts w:ascii="Arial" w:hAnsi="Arial" w:cs="Arial"/>
          <w:sz w:val="24"/>
          <w:szCs w:val="24"/>
        </w:rPr>
        <w:t xml:space="preserve">out </w:t>
      </w:r>
      <w:r w:rsidR="001C1ED7" w:rsidRPr="001C1ED7">
        <w:rPr>
          <w:rFonts w:ascii="Arial" w:hAnsi="Arial" w:cs="Arial"/>
          <w:sz w:val="24"/>
          <w:szCs w:val="24"/>
        </w:rPr>
        <w:t>in the papers</w:t>
      </w:r>
      <w:r w:rsidR="005F6BF6">
        <w:rPr>
          <w:rFonts w:ascii="Arial" w:hAnsi="Arial" w:cs="Arial"/>
          <w:sz w:val="24"/>
          <w:szCs w:val="24"/>
        </w:rPr>
        <w:t xml:space="preserve"> </w:t>
      </w:r>
      <w:r w:rsidR="001C1ED7" w:rsidRPr="001C1ED7">
        <w:rPr>
          <w:rFonts w:ascii="Arial" w:hAnsi="Arial" w:cs="Arial"/>
          <w:sz w:val="24"/>
          <w:szCs w:val="24"/>
        </w:rPr>
        <w:t xml:space="preserve">justifying such a submission, however. </w:t>
      </w:r>
    </w:p>
    <w:p w:rsidR="00472F67" w:rsidRDefault="00472F67" w:rsidP="001C1ED7">
      <w:pPr>
        <w:spacing w:after="0" w:line="360" w:lineRule="auto"/>
        <w:jc w:val="both"/>
        <w:rPr>
          <w:rFonts w:ascii="Arial" w:hAnsi="Arial" w:cs="Arial"/>
          <w:sz w:val="24"/>
          <w:szCs w:val="24"/>
        </w:rPr>
      </w:pPr>
    </w:p>
    <w:p w:rsidR="001C1ED7" w:rsidRPr="001C1ED7" w:rsidRDefault="002A4554" w:rsidP="001C1ED7">
      <w:pPr>
        <w:spacing w:after="0" w:line="360" w:lineRule="auto"/>
        <w:jc w:val="both"/>
        <w:rPr>
          <w:rFonts w:ascii="Arial" w:hAnsi="Arial" w:cs="Arial"/>
          <w:sz w:val="24"/>
          <w:szCs w:val="24"/>
        </w:rPr>
      </w:pPr>
      <w:r>
        <w:rPr>
          <w:rFonts w:ascii="Arial" w:hAnsi="Arial" w:cs="Arial"/>
          <w:sz w:val="24"/>
          <w:szCs w:val="24"/>
        </w:rPr>
        <w:t>[1</w:t>
      </w:r>
      <w:r w:rsidR="007810DE">
        <w:rPr>
          <w:rFonts w:ascii="Arial" w:hAnsi="Arial" w:cs="Arial"/>
          <w:sz w:val="24"/>
          <w:szCs w:val="24"/>
        </w:rPr>
        <w:t>9</w:t>
      </w:r>
      <w:r w:rsidR="00472F67">
        <w:rPr>
          <w:rFonts w:ascii="Arial" w:hAnsi="Arial" w:cs="Arial"/>
          <w:sz w:val="24"/>
          <w:szCs w:val="24"/>
        </w:rPr>
        <w:t>]</w:t>
      </w:r>
      <w:r w:rsidR="00472F67">
        <w:rPr>
          <w:rFonts w:ascii="Arial" w:hAnsi="Arial" w:cs="Arial"/>
          <w:sz w:val="24"/>
          <w:szCs w:val="24"/>
        </w:rPr>
        <w:tab/>
      </w:r>
      <w:r w:rsidR="001C1ED7" w:rsidRPr="001C1ED7">
        <w:rPr>
          <w:rFonts w:ascii="Arial" w:hAnsi="Arial" w:cs="Arial"/>
          <w:sz w:val="24"/>
          <w:szCs w:val="24"/>
        </w:rPr>
        <w:t>On the papers</w:t>
      </w:r>
      <w:r w:rsidR="00BC2876">
        <w:rPr>
          <w:rFonts w:ascii="Arial" w:hAnsi="Arial" w:cs="Arial"/>
          <w:sz w:val="24"/>
          <w:szCs w:val="24"/>
        </w:rPr>
        <w:t>,</w:t>
      </w:r>
      <w:r w:rsidR="001C1ED7" w:rsidRPr="001C1ED7">
        <w:rPr>
          <w:rFonts w:ascii="Arial" w:hAnsi="Arial" w:cs="Arial"/>
          <w:sz w:val="24"/>
          <w:szCs w:val="24"/>
        </w:rPr>
        <w:t xml:space="preserve"> the respondent’s explanation for not delivering the guarantees or even tendering them in order to perfect the option</w:t>
      </w:r>
      <w:r w:rsidR="00BC2876">
        <w:rPr>
          <w:rFonts w:ascii="Arial" w:hAnsi="Arial" w:cs="Arial"/>
          <w:sz w:val="24"/>
          <w:szCs w:val="24"/>
        </w:rPr>
        <w:t>,</w:t>
      </w:r>
      <w:r w:rsidR="001C1ED7" w:rsidRPr="001C1ED7">
        <w:rPr>
          <w:rFonts w:ascii="Arial" w:hAnsi="Arial" w:cs="Arial"/>
          <w:sz w:val="24"/>
          <w:szCs w:val="24"/>
        </w:rPr>
        <w:t xml:space="preserve"> is not dealt with. The answering affidavit deals with correspondence involving argument between the parties relating to the existence or otherwise of the option in the written lease agreement, with the respondent taking the view, in the face of the applicants’ denials in that regard, that it (the respondent) now in fact owned the property and all it had to do was tender </w:t>
      </w:r>
      <w:r w:rsidR="001C1ED7" w:rsidRPr="001C1ED7">
        <w:rPr>
          <w:rFonts w:ascii="Arial" w:hAnsi="Arial" w:cs="Arial"/>
          <w:i/>
          <w:iCs/>
          <w:sz w:val="24"/>
          <w:szCs w:val="24"/>
        </w:rPr>
        <w:t>“occupational rental”</w:t>
      </w:r>
      <w:r w:rsidR="001C1ED7" w:rsidRPr="001C1ED7">
        <w:rPr>
          <w:rFonts w:ascii="Arial" w:hAnsi="Arial" w:cs="Arial"/>
          <w:sz w:val="24"/>
          <w:szCs w:val="24"/>
        </w:rPr>
        <w:t xml:space="preserve">, which it did. It went as far as alleging in the answering affidavit that because it had accepted the option, a valid </w:t>
      </w:r>
      <w:r w:rsidR="001C1ED7" w:rsidRPr="001C1ED7">
        <w:rPr>
          <w:rFonts w:ascii="Arial" w:hAnsi="Arial" w:cs="Arial"/>
          <w:i/>
          <w:iCs/>
          <w:sz w:val="24"/>
          <w:szCs w:val="24"/>
        </w:rPr>
        <w:t>“purchase and sale”</w:t>
      </w:r>
      <w:r w:rsidR="001C1ED7" w:rsidRPr="001C1ED7">
        <w:rPr>
          <w:rFonts w:ascii="Arial" w:hAnsi="Arial" w:cs="Arial"/>
          <w:sz w:val="24"/>
          <w:szCs w:val="24"/>
        </w:rPr>
        <w:t xml:space="preserve"> agreement was </w:t>
      </w:r>
      <w:r w:rsidR="001C1ED7" w:rsidRPr="001C1ED7">
        <w:rPr>
          <w:rFonts w:ascii="Arial" w:hAnsi="Arial" w:cs="Arial"/>
          <w:i/>
          <w:iCs/>
          <w:sz w:val="24"/>
          <w:szCs w:val="24"/>
        </w:rPr>
        <w:t>“immediately brought into being.”</w:t>
      </w:r>
      <w:r w:rsidR="001C1ED7" w:rsidRPr="001C1ED7">
        <w:rPr>
          <w:rFonts w:ascii="Arial" w:hAnsi="Arial" w:cs="Arial"/>
          <w:sz w:val="24"/>
          <w:szCs w:val="24"/>
        </w:rPr>
        <w:t xml:space="preserve"> It alleged that it had become </w:t>
      </w:r>
      <w:r w:rsidR="001C1ED7" w:rsidRPr="001C1ED7">
        <w:rPr>
          <w:rFonts w:ascii="Arial" w:hAnsi="Arial" w:cs="Arial"/>
          <w:i/>
          <w:iCs/>
          <w:sz w:val="24"/>
          <w:szCs w:val="24"/>
        </w:rPr>
        <w:t>“the owner of the farms and as such is entitled to remain in occupation thereof.”</w:t>
      </w:r>
      <w:r w:rsidR="001C1ED7" w:rsidRPr="001C1ED7">
        <w:rPr>
          <w:rFonts w:ascii="Arial" w:hAnsi="Arial" w:cs="Arial"/>
          <w:sz w:val="24"/>
          <w:szCs w:val="24"/>
        </w:rPr>
        <w:t xml:space="preserve"> It accordingly asserted that it had acquired </w:t>
      </w:r>
      <w:r w:rsidR="001C1ED7" w:rsidRPr="001C1ED7">
        <w:rPr>
          <w:rFonts w:ascii="Arial" w:hAnsi="Arial" w:cs="Arial"/>
          <w:i/>
          <w:iCs/>
          <w:sz w:val="24"/>
          <w:szCs w:val="24"/>
        </w:rPr>
        <w:t>“independent title to the farms”</w:t>
      </w:r>
      <w:r w:rsidR="001C1ED7" w:rsidRPr="001C1ED7">
        <w:rPr>
          <w:rFonts w:ascii="Arial" w:hAnsi="Arial" w:cs="Arial"/>
          <w:sz w:val="24"/>
          <w:szCs w:val="24"/>
        </w:rPr>
        <w:t xml:space="preserve"> and that the applicant accordingly had no </w:t>
      </w:r>
      <w:r w:rsidR="001C1ED7" w:rsidRPr="001C1ED7">
        <w:rPr>
          <w:rFonts w:ascii="Arial" w:hAnsi="Arial" w:cs="Arial"/>
          <w:i/>
          <w:iCs/>
          <w:sz w:val="24"/>
          <w:szCs w:val="24"/>
        </w:rPr>
        <w:t>locus standi</w:t>
      </w:r>
      <w:r w:rsidR="001C1ED7" w:rsidRPr="001C1ED7">
        <w:rPr>
          <w:rFonts w:ascii="Arial" w:hAnsi="Arial" w:cs="Arial"/>
          <w:sz w:val="24"/>
          <w:szCs w:val="24"/>
        </w:rPr>
        <w:t xml:space="preserve"> in relation to the farms any longer. That argument is self-evidently incorrect. I do not intend to deal in any detail with it</w:t>
      </w:r>
      <w:r w:rsidR="00BC2876">
        <w:rPr>
          <w:rFonts w:ascii="Arial" w:hAnsi="Arial" w:cs="Arial"/>
          <w:sz w:val="24"/>
          <w:szCs w:val="24"/>
        </w:rPr>
        <w:t>,</w:t>
      </w:r>
      <w:r w:rsidR="001C1ED7" w:rsidRPr="001C1ED7">
        <w:rPr>
          <w:rFonts w:ascii="Arial" w:hAnsi="Arial" w:cs="Arial"/>
          <w:sz w:val="24"/>
          <w:szCs w:val="24"/>
        </w:rPr>
        <w:t xml:space="preserve"> save to say</w:t>
      </w:r>
      <w:r w:rsidR="00BC2876">
        <w:rPr>
          <w:rFonts w:ascii="Arial" w:hAnsi="Arial" w:cs="Arial"/>
          <w:sz w:val="24"/>
          <w:szCs w:val="24"/>
        </w:rPr>
        <w:t>,</w:t>
      </w:r>
      <w:r w:rsidR="001C1ED7" w:rsidRPr="001C1ED7">
        <w:rPr>
          <w:rFonts w:ascii="Arial" w:hAnsi="Arial" w:cs="Arial"/>
          <w:sz w:val="24"/>
          <w:szCs w:val="24"/>
        </w:rPr>
        <w:t xml:space="preserve"> that it is trite that ownership of land can only transfer upon registration and any rights asserted before then could only be personal rights and not rights arising from ownership. </w:t>
      </w:r>
    </w:p>
    <w:p w:rsidR="00472F67" w:rsidRDefault="00472F67" w:rsidP="001C1ED7">
      <w:pPr>
        <w:spacing w:after="0" w:line="360" w:lineRule="auto"/>
        <w:jc w:val="both"/>
        <w:rPr>
          <w:rFonts w:ascii="Arial" w:hAnsi="Arial" w:cs="Arial"/>
          <w:sz w:val="24"/>
          <w:szCs w:val="24"/>
        </w:rPr>
      </w:pPr>
    </w:p>
    <w:p w:rsidR="001C1ED7" w:rsidRPr="001C1ED7" w:rsidRDefault="002A4554" w:rsidP="001C1ED7">
      <w:pPr>
        <w:spacing w:after="0" w:line="360" w:lineRule="auto"/>
        <w:jc w:val="both"/>
        <w:rPr>
          <w:rFonts w:ascii="Arial" w:hAnsi="Arial" w:cs="Arial"/>
          <w:sz w:val="24"/>
          <w:szCs w:val="24"/>
        </w:rPr>
      </w:pPr>
      <w:r>
        <w:rPr>
          <w:rFonts w:ascii="Arial" w:hAnsi="Arial" w:cs="Arial"/>
          <w:sz w:val="24"/>
          <w:szCs w:val="24"/>
        </w:rPr>
        <w:t>[</w:t>
      </w:r>
      <w:r w:rsidR="007810DE">
        <w:rPr>
          <w:rFonts w:ascii="Arial" w:hAnsi="Arial" w:cs="Arial"/>
          <w:sz w:val="24"/>
          <w:szCs w:val="24"/>
        </w:rPr>
        <w:t>20</w:t>
      </w:r>
      <w:r w:rsidR="00472F67">
        <w:rPr>
          <w:rFonts w:ascii="Arial" w:hAnsi="Arial" w:cs="Arial"/>
          <w:sz w:val="24"/>
          <w:szCs w:val="24"/>
        </w:rPr>
        <w:t>]</w:t>
      </w:r>
      <w:r w:rsidR="00472F67">
        <w:rPr>
          <w:rFonts w:ascii="Arial" w:hAnsi="Arial" w:cs="Arial"/>
          <w:sz w:val="24"/>
          <w:szCs w:val="24"/>
        </w:rPr>
        <w:tab/>
      </w:r>
      <w:r w:rsidR="001C1ED7" w:rsidRPr="001C1ED7">
        <w:rPr>
          <w:rFonts w:ascii="Arial" w:hAnsi="Arial" w:cs="Arial"/>
          <w:sz w:val="24"/>
          <w:szCs w:val="24"/>
        </w:rPr>
        <w:t>To perfect the option, the respondent ought to have delivered guarantees as required, even if the option itself was being disputed. The dispute did not render performance impossible. As I pointed out to the respondent’s Counsel during argument, the respondent was represented by attorneys at the time who could not have been ignorant to the fact that to exercise the option</w:t>
      </w:r>
      <w:r w:rsidR="00853045">
        <w:rPr>
          <w:rFonts w:ascii="Arial" w:hAnsi="Arial" w:cs="Arial"/>
          <w:sz w:val="24"/>
          <w:szCs w:val="24"/>
        </w:rPr>
        <w:t>,</w:t>
      </w:r>
      <w:r w:rsidR="001C1ED7" w:rsidRPr="001C1ED7">
        <w:rPr>
          <w:rFonts w:ascii="Arial" w:hAnsi="Arial" w:cs="Arial"/>
          <w:sz w:val="24"/>
          <w:szCs w:val="24"/>
        </w:rPr>
        <w:t xml:space="preserve"> as they had indicated the respondent w</w:t>
      </w:r>
      <w:r w:rsidR="005F6BF6">
        <w:rPr>
          <w:rFonts w:ascii="Arial" w:hAnsi="Arial" w:cs="Arial"/>
          <w:sz w:val="24"/>
          <w:szCs w:val="24"/>
        </w:rPr>
        <w:t>as doing</w:t>
      </w:r>
      <w:r w:rsidR="001C1ED7" w:rsidRPr="001C1ED7">
        <w:rPr>
          <w:rFonts w:ascii="Arial" w:hAnsi="Arial" w:cs="Arial"/>
          <w:sz w:val="24"/>
          <w:szCs w:val="24"/>
        </w:rPr>
        <w:t xml:space="preserve">, the guarantees need to be timeously delivered. </w:t>
      </w:r>
    </w:p>
    <w:p w:rsidR="00472F67" w:rsidRDefault="00472F67" w:rsidP="001C1ED7">
      <w:pPr>
        <w:spacing w:after="0" w:line="360" w:lineRule="auto"/>
        <w:jc w:val="both"/>
        <w:rPr>
          <w:rFonts w:ascii="Arial" w:hAnsi="Arial" w:cs="Arial"/>
          <w:sz w:val="24"/>
          <w:szCs w:val="24"/>
        </w:rPr>
      </w:pPr>
    </w:p>
    <w:p w:rsidR="00472F67" w:rsidRDefault="002A4554" w:rsidP="00472F67">
      <w:pPr>
        <w:spacing w:after="0" w:line="360" w:lineRule="auto"/>
        <w:jc w:val="both"/>
        <w:rPr>
          <w:rFonts w:ascii="Arial" w:hAnsi="Arial" w:cs="Arial"/>
          <w:i/>
          <w:iCs/>
          <w:sz w:val="24"/>
          <w:szCs w:val="24"/>
        </w:rPr>
      </w:pPr>
      <w:r>
        <w:rPr>
          <w:rFonts w:ascii="Arial" w:hAnsi="Arial" w:cs="Arial"/>
          <w:sz w:val="24"/>
          <w:szCs w:val="24"/>
        </w:rPr>
        <w:t>[2</w:t>
      </w:r>
      <w:r w:rsidR="007810DE">
        <w:rPr>
          <w:rFonts w:ascii="Arial" w:hAnsi="Arial" w:cs="Arial"/>
          <w:sz w:val="24"/>
          <w:szCs w:val="24"/>
        </w:rPr>
        <w:t>1</w:t>
      </w:r>
      <w:r w:rsidR="00472F67">
        <w:rPr>
          <w:rFonts w:ascii="Arial" w:hAnsi="Arial" w:cs="Arial"/>
          <w:sz w:val="24"/>
          <w:szCs w:val="24"/>
        </w:rPr>
        <w:t>]</w:t>
      </w:r>
      <w:r w:rsidR="00472F67">
        <w:rPr>
          <w:rFonts w:ascii="Arial" w:hAnsi="Arial" w:cs="Arial"/>
          <w:sz w:val="24"/>
          <w:szCs w:val="24"/>
        </w:rPr>
        <w:tab/>
      </w:r>
      <w:r w:rsidR="001C1ED7" w:rsidRPr="001C1ED7">
        <w:rPr>
          <w:rFonts w:ascii="Arial" w:hAnsi="Arial" w:cs="Arial"/>
          <w:sz w:val="24"/>
          <w:szCs w:val="24"/>
        </w:rPr>
        <w:t>The respondent bore an onus of proving that it had accepted and complied fully with the terms of the option that it says it relies on. What it had to establish was the acceptance by it of the offer to purchase the land at the agreed sum</w:t>
      </w:r>
      <w:r w:rsidR="00853045">
        <w:rPr>
          <w:rFonts w:ascii="Arial" w:hAnsi="Arial" w:cs="Arial"/>
          <w:sz w:val="24"/>
          <w:szCs w:val="24"/>
        </w:rPr>
        <w:t>,</w:t>
      </w:r>
      <w:r w:rsidR="001C1ED7" w:rsidRPr="001C1ED7">
        <w:rPr>
          <w:rFonts w:ascii="Arial" w:hAnsi="Arial" w:cs="Arial"/>
          <w:sz w:val="24"/>
          <w:szCs w:val="24"/>
        </w:rPr>
        <w:t xml:space="preserve"> and the provision and delivery of the guarantees within 30 days from the date of which the option was exercised. Those are the terms of the option the respondent was required to give effect to. In its replying affidavit the applicant in fact argues that </w:t>
      </w:r>
      <w:r w:rsidR="001C1ED7" w:rsidRPr="001C1ED7">
        <w:rPr>
          <w:rFonts w:ascii="Arial" w:hAnsi="Arial" w:cs="Arial"/>
          <w:i/>
          <w:iCs/>
          <w:sz w:val="24"/>
          <w:szCs w:val="24"/>
        </w:rPr>
        <w:t>“The respondent did not deliver any guarantees. Accordingly, and on the respondent’s own version the alleged option was not validly exercised.”</w:t>
      </w:r>
      <w:r w:rsidR="001C1ED7" w:rsidRPr="001C1ED7">
        <w:rPr>
          <w:rFonts w:ascii="Arial" w:hAnsi="Arial" w:cs="Arial"/>
          <w:sz w:val="24"/>
          <w:szCs w:val="24"/>
        </w:rPr>
        <w:t xml:space="preserve"> It also alleged that the option relied upon by the respondent </w:t>
      </w:r>
      <w:r w:rsidR="001C1ED7" w:rsidRPr="001C1ED7">
        <w:rPr>
          <w:rFonts w:ascii="Arial" w:hAnsi="Arial" w:cs="Arial"/>
          <w:i/>
          <w:iCs/>
          <w:sz w:val="24"/>
          <w:szCs w:val="24"/>
        </w:rPr>
        <w:t>“contains a suspensive condition that the guarantee …had to be provided within 30 days from the date on which the respondent exercised the option…”</w:t>
      </w:r>
    </w:p>
    <w:p w:rsidR="00472F67" w:rsidRDefault="00472F67" w:rsidP="00472F67">
      <w:pPr>
        <w:spacing w:after="0" w:line="360" w:lineRule="auto"/>
        <w:jc w:val="both"/>
        <w:rPr>
          <w:rFonts w:ascii="Arial" w:hAnsi="Arial" w:cs="Arial"/>
          <w:i/>
          <w:iCs/>
          <w:sz w:val="24"/>
          <w:szCs w:val="24"/>
        </w:rPr>
      </w:pPr>
    </w:p>
    <w:p w:rsidR="001C1ED7" w:rsidRDefault="002A4554" w:rsidP="00472F67">
      <w:pPr>
        <w:spacing w:after="0" w:line="360" w:lineRule="auto"/>
        <w:jc w:val="both"/>
        <w:rPr>
          <w:rFonts w:ascii="Arial" w:hAnsi="Arial" w:cs="Arial"/>
          <w:sz w:val="24"/>
          <w:szCs w:val="24"/>
        </w:rPr>
      </w:pPr>
      <w:r>
        <w:rPr>
          <w:rFonts w:ascii="Arial" w:hAnsi="Arial" w:cs="Arial"/>
          <w:sz w:val="24"/>
          <w:szCs w:val="24"/>
        </w:rPr>
        <w:t>[2</w:t>
      </w:r>
      <w:r w:rsidR="007810DE">
        <w:rPr>
          <w:rFonts w:ascii="Arial" w:hAnsi="Arial" w:cs="Arial"/>
          <w:sz w:val="24"/>
          <w:szCs w:val="24"/>
        </w:rPr>
        <w:t>2</w:t>
      </w:r>
      <w:r w:rsidR="00472F67">
        <w:rPr>
          <w:rFonts w:ascii="Arial" w:hAnsi="Arial" w:cs="Arial"/>
          <w:sz w:val="24"/>
          <w:szCs w:val="24"/>
        </w:rPr>
        <w:t>]</w:t>
      </w:r>
      <w:r w:rsidR="00472F67">
        <w:rPr>
          <w:rFonts w:ascii="Arial" w:hAnsi="Arial" w:cs="Arial"/>
          <w:sz w:val="24"/>
          <w:szCs w:val="24"/>
        </w:rPr>
        <w:tab/>
      </w:r>
      <w:r w:rsidR="001C1ED7" w:rsidRPr="001C1ED7">
        <w:rPr>
          <w:rFonts w:ascii="Arial" w:hAnsi="Arial" w:cs="Arial"/>
          <w:sz w:val="24"/>
          <w:szCs w:val="24"/>
        </w:rPr>
        <w:t xml:space="preserve">The respondent’s counsel argued that the required </w:t>
      </w:r>
      <w:r w:rsidR="00A939CF">
        <w:rPr>
          <w:rFonts w:ascii="Arial" w:hAnsi="Arial" w:cs="Arial"/>
          <w:sz w:val="24"/>
          <w:szCs w:val="24"/>
        </w:rPr>
        <w:t>delivery</w:t>
      </w:r>
      <w:r w:rsidR="001C1ED7" w:rsidRPr="001C1ED7">
        <w:rPr>
          <w:rFonts w:ascii="Arial" w:hAnsi="Arial" w:cs="Arial"/>
          <w:sz w:val="24"/>
          <w:szCs w:val="24"/>
        </w:rPr>
        <w:t xml:space="preserve"> of the guarantee</w:t>
      </w:r>
      <w:r w:rsidR="00A939CF">
        <w:rPr>
          <w:rFonts w:ascii="Arial" w:hAnsi="Arial" w:cs="Arial"/>
          <w:sz w:val="24"/>
          <w:szCs w:val="24"/>
        </w:rPr>
        <w:t>/s</w:t>
      </w:r>
      <w:r w:rsidR="001C1ED7" w:rsidRPr="001C1ED7">
        <w:rPr>
          <w:rFonts w:ascii="Arial" w:hAnsi="Arial" w:cs="Arial"/>
          <w:sz w:val="24"/>
          <w:szCs w:val="24"/>
        </w:rPr>
        <w:t xml:space="preserve"> was not a term of the option. I cannot agree. Not only is it clearly apparent from a reading of clauses 16.1 and 16.2 that the option included the requirement that the guarantee</w:t>
      </w:r>
      <w:r w:rsidR="00A939CF">
        <w:rPr>
          <w:rFonts w:ascii="Arial" w:hAnsi="Arial" w:cs="Arial"/>
          <w:sz w:val="24"/>
          <w:szCs w:val="24"/>
        </w:rPr>
        <w:t>/</w:t>
      </w:r>
      <w:r w:rsidR="001C1ED7" w:rsidRPr="001C1ED7">
        <w:rPr>
          <w:rFonts w:ascii="Arial" w:hAnsi="Arial" w:cs="Arial"/>
          <w:sz w:val="24"/>
          <w:szCs w:val="24"/>
        </w:rPr>
        <w:t>s be provided as agreed, but that is how it was accepted by the respondent. Had the respondent genuinely believed that the guarantees were nothing more than a requirement for an inclusion in a full deed of sale ultimately, I have no doubt that its attorneys would either have not referred to them at all in purporting to accept the option or would have qualified the delivery of the guarantee</w:t>
      </w:r>
      <w:r w:rsidR="00A939CF">
        <w:rPr>
          <w:rFonts w:ascii="Arial" w:hAnsi="Arial" w:cs="Arial"/>
          <w:sz w:val="24"/>
          <w:szCs w:val="24"/>
        </w:rPr>
        <w:t>/</w:t>
      </w:r>
      <w:r w:rsidR="001C1ED7" w:rsidRPr="001C1ED7">
        <w:rPr>
          <w:rFonts w:ascii="Arial" w:hAnsi="Arial" w:cs="Arial"/>
          <w:sz w:val="24"/>
          <w:szCs w:val="24"/>
        </w:rPr>
        <w:t>s in the acceptance letter on that basis.</w:t>
      </w:r>
    </w:p>
    <w:p w:rsidR="002A4554" w:rsidRPr="001C1ED7" w:rsidRDefault="002A4554" w:rsidP="00472F67">
      <w:pPr>
        <w:spacing w:after="0" w:line="360" w:lineRule="auto"/>
        <w:jc w:val="both"/>
        <w:rPr>
          <w:rFonts w:ascii="Arial" w:hAnsi="Arial" w:cs="Arial"/>
          <w:sz w:val="24"/>
          <w:szCs w:val="24"/>
        </w:rPr>
      </w:pPr>
    </w:p>
    <w:p w:rsidR="001C1ED7" w:rsidRPr="001C1ED7" w:rsidRDefault="002A4554" w:rsidP="001C1ED7">
      <w:pPr>
        <w:pStyle w:val="BodyText"/>
        <w:spacing w:line="360" w:lineRule="auto"/>
        <w:ind w:left="0"/>
        <w:jc w:val="both"/>
        <w:rPr>
          <w:rFonts w:ascii="Arial" w:hAnsi="Arial" w:cs="Arial"/>
          <w:sz w:val="24"/>
          <w:szCs w:val="24"/>
        </w:rPr>
      </w:pPr>
      <w:r>
        <w:rPr>
          <w:rFonts w:ascii="Arial" w:hAnsi="Arial" w:cs="Arial"/>
          <w:sz w:val="24"/>
          <w:szCs w:val="24"/>
        </w:rPr>
        <w:t>[2</w:t>
      </w:r>
      <w:r w:rsidR="007810DE">
        <w:rPr>
          <w:rFonts w:ascii="Arial" w:hAnsi="Arial" w:cs="Arial"/>
          <w:sz w:val="24"/>
          <w:szCs w:val="24"/>
        </w:rPr>
        <w:t>3</w:t>
      </w:r>
      <w:r w:rsidR="00472F67">
        <w:rPr>
          <w:rFonts w:ascii="Arial" w:hAnsi="Arial" w:cs="Arial"/>
          <w:sz w:val="24"/>
          <w:szCs w:val="24"/>
        </w:rPr>
        <w:t>]</w:t>
      </w:r>
      <w:r w:rsidR="00472F67">
        <w:rPr>
          <w:rFonts w:ascii="Arial" w:hAnsi="Arial" w:cs="Arial"/>
          <w:sz w:val="24"/>
          <w:szCs w:val="24"/>
        </w:rPr>
        <w:tab/>
      </w:r>
      <w:r w:rsidR="001C1ED7" w:rsidRPr="001C1ED7">
        <w:rPr>
          <w:rFonts w:ascii="Arial" w:hAnsi="Arial" w:cs="Arial"/>
          <w:sz w:val="24"/>
          <w:szCs w:val="24"/>
        </w:rPr>
        <w:t>The respondent’s counsel also argued</w:t>
      </w:r>
      <w:r w:rsidR="00A939CF">
        <w:rPr>
          <w:rFonts w:ascii="Arial" w:hAnsi="Arial" w:cs="Arial"/>
          <w:sz w:val="24"/>
          <w:szCs w:val="24"/>
        </w:rPr>
        <w:t xml:space="preserve"> </w:t>
      </w:r>
      <w:r w:rsidR="001C1ED7" w:rsidRPr="001C1ED7">
        <w:rPr>
          <w:rFonts w:ascii="Arial" w:hAnsi="Arial" w:cs="Arial"/>
          <w:sz w:val="24"/>
          <w:szCs w:val="24"/>
        </w:rPr>
        <w:t xml:space="preserve">that even if the provision of the guarantees was a term of the option, the lease itself had a breach provision in paragraph 11 which provided for what he called a </w:t>
      </w:r>
      <w:r w:rsidR="001C1ED7" w:rsidRPr="001C1ED7">
        <w:rPr>
          <w:rFonts w:ascii="Arial" w:hAnsi="Arial" w:cs="Arial"/>
          <w:i/>
          <w:iCs/>
          <w:sz w:val="24"/>
          <w:szCs w:val="24"/>
        </w:rPr>
        <w:t>lex commiss</w:t>
      </w:r>
      <w:r w:rsidR="00A939CF">
        <w:rPr>
          <w:rFonts w:ascii="Arial" w:hAnsi="Arial" w:cs="Arial"/>
          <w:i/>
          <w:iCs/>
          <w:sz w:val="24"/>
          <w:szCs w:val="24"/>
        </w:rPr>
        <w:t>o</w:t>
      </w:r>
      <w:r w:rsidR="001C1ED7" w:rsidRPr="001C1ED7">
        <w:rPr>
          <w:rFonts w:ascii="Arial" w:hAnsi="Arial" w:cs="Arial"/>
          <w:i/>
          <w:iCs/>
          <w:sz w:val="24"/>
          <w:szCs w:val="24"/>
        </w:rPr>
        <w:t>ria</w:t>
      </w:r>
      <w:r w:rsidR="001C1ED7" w:rsidRPr="001C1ED7">
        <w:rPr>
          <w:rFonts w:ascii="Arial" w:hAnsi="Arial" w:cs="Arial"/>
          <w:sz w:val="24"/>
          <w:szCs w:val="24"/>
        </w:rPr>
        <w:t>. Clause 11 of the lease is a commonly found breach clause which entitles a lessee to cancel or claim specific performance subject to the prior dispatch of a written notice demanding that the breach be remedied. The application before me has nothing to do with the cancellation of the agreement or a claim for specific performance. This matter concerns the requirements of the allegedly agreed option clause and whether the respondent fulfilled it.</w:t>
      </w:r>
    </w:p>
    <w:p w:rsidR="00472F67" w:rsidRDefault="00472F67" w:rsidP="001C1ED7">
      <w:pPr>
        <w:pStyle w:val="BodyText"/>
        <w:spacing w:line="360" w:lineRule="auto"/>
        <w:ind w:left="0"/>
        <w:jc w:val="both"/>
        <w:rPr>
          <w:rFonts w:ascii="Arial" w:hAnsi="Arial" w:cs="Arial"/>
          <w:sz w:val="24"/>
          <w:szCs w:val="24"/>
        </w:rPr>
      </w:pPr>
    </w:p>
    <w:p w:rsidR="001C1ED7" w:rsidRDefault="002A4554" w:rsidP="001C1ED7">
      <w:pPr>
        <w:pStyle w:val="BodyText"/>
        <w:spacing w:line="360" w:lineRule="auto"/>
        <w:ind w:left="0"/>
        <w:jc w:val="both"/>
        <w:rPr>
          <w:rFonts w:ascii="Arial" w:hAnsi="Arial" w:cs="Arial"/>
          <w:sz w:val="24"/>
          <w:szCs w:val="24"/>
        </w:rPr>
      </w:pPr>
      <w:r>
        <w:rPr>
          <w:rFonts w:ascii="Arial" w:hAnsi="Arial" w:cs="Arial"/>
          <w:sz w:val="24"/>
          <w:szCs w:val="24"/>
        </w:rPr>
        <w:t>[2</w:t>
      </w:r>
      <w:r w:rsidR="007810DE">
        <w:rPr>
          <w:rFonts w:ascii="Arial" w:hAnsi="Arial" w:cs="Arial"/>
          <w:sz w:val="24"/>
          <w:szCs w:val="24"/>
        </w:rPr>
        <w:t>4</w:t>
      </w:r>
      <w:r w:rsidR="00472F67">
        <w:rPr>
          <w:rFonts w:ascii="Arial" w:hAnsi="Arial" w:cs="Arial"/>
          <w:sz w:val="24"/>
          <w:szCs w:val="24"/>
        </w:rPr>
        <w:t>]</w:t>
      </w:r>
      <w:r w:rsidR="00472F67">
        <w:rPr>
          <w:rFonts w:ascii="Arial" w:hAnsi="Arial" w:cs="Arial"/>
          <w:sz w:val="24"/>
          <w:szCs w:val="24"/>
        </w:rPr>
        <w:tab/>
      </w:r>
      <w:r w:rsidR="001C1ED7" w:rsidRPr="001C1ED7">
        <w:rPr>
          <w:rFonts w:ascii="Arial" w:hAnsi="Arial" w:cs="Arial"/>
          <w:sz w:val="24"/>
          <w:szCs w:val="24"/>
        </w:rPr>
        <w:t>At</w:t>
      </w:r>
      <w:r w:rsidR="00853045">
        <w:rPr>
          <w:rFonts w:ascii="Arial" w:hAnsi="Arial" w:cs="Arial"/>
          <w:sz w:val="24"/>
          <w:szCs w:val="24"/>
        </w:rPr>
        <w:t xml:space="preserve"> </w:t>
      </w:r>
      <w:r w:rsidR="001C1ED7" w:rsidRPr="001C1ED7">
        <w:rPr>
          <w:rFonts w:ascii="Arial" w:hAnsi="Arial" w:cs="Arial"/>
          <w:sz w:val="24"/>
          <w:szCs w:val="24"/>
        </w:rPr>
        <w:t>the hearing the respondent persisted with the argument that the matter was not urgent and ought not to have been launched as an urgent application. In my view events had superseded that submission but even if they hadn’t I am satisfied that the matter was properly before court in urgent circumstances permissible by this Court</w:t>
      </w:r>
      <w:r w:rsidR="002C7349">
        <w:rPr>
          <w:rFonts w:ascii="Arial" w:hAnsi="Arial" w:cs="Arial"/>
          <w:sz w:val="24"/>
          <w:szCs w:val="24"/>
        </w:rPr>
        <w:t>,</w:t>
      </w:r>
      <w:r w:rsidR="001C1ED7" w:rsidRPr="001C1ED7">
        <w:rPr>
          <w:rFonts w:ascii="Arial" w:hAnsi="Arial" w:cs="Arial"/>
          <w:sz w:val="24"/>
          <w:szCs w:val="24"/>
        </w:rPr>
        <w:t xml:space="preserve"> and it was ripe for hearing.</w:t>
      </w:r>
    </w:p>
    <w:p w:rsidR="00472F67" w:rsidRPr="001C1ED7" w:rsidRDefault="00472F67" w:rsidP="001C1ED7">
      <w:pPr>
        <w:pStyle w:val="BodyText"/>
        <w:spacing w:line="360" w:lineRule="auto"/>
        <w:ind w:left="0"/>
        <w:jc w:val="both"/>
        <w:rPr>
          <w:rFonts w:ascii="Arial" w:hAnsi="Arial" w:cs="Arial"/>
          <w:sz w:val="24"/>
          <w:szCs w:val="24"/>
        </w:rPr>
      </w:pPr>
    </w:p>
    <w:p w:rsidR="001C1ED7" w:rsidRDefault="002A4554" w:rsidP="001C1ED7">
      <w:pPr>
        <w:pStyle w:val="BodyText"/>
        <w:spacing w:line="360" w:lineRule="auto"/>
        <w:ind w:left="0"/>
        <w:jc w:val="both"/>
        <w:rPr>
          <w:rFonts w:ascii="Arial" w:hAnsi="Arial" w:cs="Arial"/>
          <w:sz w:val="24"/>
          <w:szCs w:val="24"/>
        </w:rPr>
      </w:pPr>
      <w:r>
        <w:rPr>
          <w:rFonts w:ascii="Arial" w:hAnsi="Arial" w:cs="Arial"/>
          <w:sz w:val="24"/>
          <w:szCs w:val="24"/>
        </w:rPr>
        <w:t>[2</w:t>
      </w:r>
      <w:r w:rsidR="007810DE">
        <w:rPr>
          <w:rFonts w:ascii="Arial" w:hAnsi="Arial" w:cs="Arial"/>
          <w:sz w:val="24"/>
          <w:szCs w:val="24"/>
        </w:rPr>
        <w:t>5</w:t>
      </w:r>
      <w:r w:rsidR="00472F67">
        <w:rPr>
          <w:rFonts w:ascii="Arial" w:hAnsi="Arial" w:cs="Arial"/>
          <w:sz w:val="24"/>
          <w:szCs w:val="24"/>
        </w:rPr>
        <w:t>]</w:t>
      </w:r>
      <w:r w:rsidR="00472F67">
        <w:rPr>
          <w:rFonts w:ascii="Arial" w:hAnsi="Arial" w:cs="Arial"/>
          <w:sz w:val="24"/>
          <w:szCs w:val="24"/>
        </w:rPr>
        <w:tab/>
      </w:r>
      <w:r w:rsidR="001C1ED7" w:rsidRPr="001C1ED7">
        <w:rPr>
          <w:rFonts w:ascii="Arial" w:hAnsi="Arial" w:cs="Arial"/>
          <w:sz w:val="24"/>
          <w:szCs w:val="24"/>
        </w:rPr>
        <w:t xml:space="preserve">Respondent’s </w:t>
      </w:r>
      <w:r w:rsidR="002C7349">
        <w:rPr>
          <w:rFonts w:ascii="Arial" w:hAnsi="Arial" w:cs="Arial"/>
          <w:sz w:val="24"/>
          <w:szCs w:val="24"/>
        </w:rPr>
        <w:t>C</w:t>
      </w:r>
      <w:r w:rsidR="001C1ED7" w:rsidRPr="001C1ED7">
        <w:rPr>
          <w:rFonts w:ascii="Arial" w:hAnsi="Arial" w:cs="Arial"/>
          <w:sz w:val="24"/>
          <w:szCs w:val="24"/>
        </w:rPr>
        <w:t>ounsel argued that the dispute of fact on the papers regarding whether the option was agreed or not</w:t>
      </w:r>
      <w:r w:rsidR="0005458F">
        <w:rPr>
          <w:rFonts w:ascii="Arial" w:hAnsi="Arial" w:cs="Arial"/>
          <w:sz w:val="24"/>
          <w:szCs w:val="24"/>
        </w:rPr>
        <w:t>,</w:t>
      </w:r>
      <w:r w:rsidR="001C1ED7" w:rsidRPr="001C1ED7">
        <w:rPr>
          <w:rFonts w:ascii="Arial" w:hAnsi="Arial" w:cs="Arial"/>
          <w:sz w:val="24"/>
          <w:szCs w:val="24"/>
        </w:rPr>
        <w:t xml:space="preserve"> should be referred to oral evidence or trial or that the application be stayed</w:t>
      </w:r>
      <w:r w:rsidR="0005458F">
        <w:rPr>
          <w:rFonts w:ascii="Arial" w:hAnsi="Arial" w:cs="Arial"/>
          <w:sz w:val="24"/>
          <w:szCs w:val="24"/>
        </w:rPr>
        <w:t>,</w:t>
      </w:r>
      <w:r w:rsidR="001C1ED7" w:rsidRPr="001C1ED7">
        <w:rPr>
          <w:rFonts w:ascii="Arial" w:hAnsi="Arial" w:cs="Arial"/>
          <w:sz w:val="24"/>
          <w:szCs w:val="24"/>
        </w:rPr>
        <w:t xml:space="preserve"> pending a determination of the action. The applicant argued that the respondent had, in this application, put up a defence, with the factual basis supporting it, to the relief sought</w:t>
      </w:r>
      <w:r w:rsidR="0005458F">
        <w:rPr>
          <w:rFonts w:ascii="Arial" w:hAnsi="Arial" w:cs="Arial"/>
          <w:sz w:val="24"/>
          <w:szCs w:val="24"/>
        </w:rPr>
        <w:t>,</w:t>
      </w:r>
      <w:r w:rsidR="001C1ED7" w:rsidRPr="001C1ED7">
        <w:rPr>
          <w:rFonts w:ascii="Arial" w:hAnsi="Arial" w:cs="Arial"/>
          <w:sz w:val="24"/>
          <w:szCs w:val="24"/>
        </w:rPr>
        <w:t xml:space="preserve"> being that it had validly fulfilled and exercised the option it had been given. I am satisfied that the question </w:t>
      </w:r>
      <w:r w:rsidR="002C7349">
        <w:rPr>
          <w:rFonts w:ascii="Arial" w:hAnsi="Arial" w:cs="Arial"/>
          <w:sz w:val="24"/>
          <w:szCs w:val="24"/>
        </w:rPr>
        <w:t>wh</w:t>
      </w:r>
      <w:r w:rsidR="001C1ED7" w:rsidRPr="001C1ED7">
        <w:rPr>
          <w:rFonts w:ascii="Arial" w:hAnsi="Arial" w:cs="Arial"/>
          <w:sz w:val="24"/>
          <w:szCs w:val="24"/>
        </w:rPr>
        <w:t>ether the respondent had done so on its own version was an issue that could be dealt with on these papers and that any referral for oral evidence was not necessary in the circumstances.</w:t>
      </w:r>
    </w:p>
    <w:p w:rsidR="002C7349" w:rsidRPr="001C1ED7" w:rsidRDefault="002C7349" w:rsidP="001C1ED7">
      <w:pPr>
        <w:pStyle w:val="BodyText"/>
        <w:spacing w:line="360" w:lineRule="auto"/>
        <w:ind w:left="0"/>
        <w:jc w:val="both"/>
        <w:rPr>
          <w:rFonts w:ascii="Arial" w:hAnsi="Arial" w:cs="Arial"/>
          <w:sz w:val="24"/>
          <w:szCs w:val="24"/>
        </w:rPr>
      </w:pPr>
    </w:p>
    <w:p w:rsidR="001C1ED7" w:rsidRPr="001C1ED7" w:rsidRDefault="002A4554" w:rsidP="001C1ED7">
      <w:pPr>
        <w:pStyle w:val="BodyText"/>
        <w:spacing w:line="360" w:lineRule="auto"/>
        <w:ind w:left="0"/>
        <w:jc w:val="both"/>
        <w:rPr>
          <w:rFonts w:ascii="Arial" w:hAnsi="Arial" w:cs="Arial"/>
          <w:sz w:val="24"/>
          <w:szCs w:val="24"/>
        </w:rPr>
      </w:pPr>
      <w:r>
        <w:rPr>
          <w:rFonts w:ascii="Arial" w:hAnsi="Arial" w:cs="Arial"/>
          <w:sz w:val="24"/>
          <w:szCs w:val="24"/>
        </w:rPr>
        <w:t>[2</w:t>
      </w:r>
      <w:r w:rsidR="007810DE">
        <w:rPr>
          <w:rFonts w:ascii="Arial" w:hAnsi="Arial" w:cs="Arial"/>
          <w:sz w:val="24"/>
          <w:szCs w:val="24"/>
        </w:rPr>
        <w:t>6</w:t>
      </w:r>
      <w:r w:rsidR="00472F67">
        <w:rPr>
          <w:rFonts w:ascii="Arial" w:hAnsi="Arial" w:cs="Arial"/>
          <w:sz w:val="24"/>
          <w:szCs w:val="24"/>
        </w:rPr>
        <w:t>]</w:t>
      </w:r>
      <w:r w:rsidR="00472F67">
        <w:rPr>
          <w:rFonts w:ascii="Arial" w:hAnsi="Arial" w:cs="Arial"/>
          <w:sz w:val="24"/>
          <w:szCs w:val="24"/>
        </w:rPr>
        <w:tab/>
      </w:r>
      <w:r w:rsidR="001C1ED7" w:rsidRPr="001C1ED7">
        <w:rPr>
          <w:rFonts w:ascii="Arial" w:hAnsi="Arial" w:cs="Arial"/>
          <w:sz w:val="24"/>
          <w:szCs w:val="24"/>
        </w:rPr>
        <w:t>As a result, I am satisfied that:</w:t>
      </w:r>
    </w:p>
    <w:p w:rsidR="00547E29" w:rsidRDefault="00547E29" w:rsidP="001C1ED7">
      <w:pPr>
        <w:pStyle w:val="BodyText"/>
        <w:numPr>
          <w:ilvl w:val="0"/>
          <w:numId w:val="7"/>
        </w:numPr>
        <w:spacing w:line="360" w:lineRule="auto"/>
        <w:jc w:val="both"/>
        <w:rPr>
          <w:rFonts w:ascii="Arial" w:hAnsi="Arial" w:cs="Arial"/>
          <w:sz w:val="24"/>
          <w:szCs w:val="24"/>
        </w:rPr>
      </w:pPr>
      <w:r>
        <w:rPr>
          <w:rFonts w:ascii="Arial" w:hAnsi="Arial" w:cs="Arial"/>
          <w:sz w:val="24"/>
          <w:szCs w:val="24"/>
        </w:rPr>
        <w:t>The lease terminated on 31 August 2023.</w:t>
      </w:r>
    </w:p>
    <w:p w:rsidR="001C1ED7" w:rsidRDefault="001C1ED7" w:rsidP="001C1ED7">
      <w:pPr>
        <w:pStyle w:val="BodyText"/>
        <w:numPr>
          <w:ilvl w:val="0"/>
          <w:numId w:val="7"/>
        </w:numPr>
        <w:spacing w:line="360" w:lineRule="auto"/>
        <w:jc w:val="both"/>
        <w:rPr>
          <w:rFonts w:ascii="Arial" w:hAnsi="Arial" w:cs="Arial"/>
          <w:sz w:val="24"/>
          <w:szCs w:val="24"/>
        </w:rPr>
      </w:pPr>
      <w:r w:rsidRPr="001C1ED7">
        <w:rPr>
          <w:rFonts w:ascii="Arial" w:hAnsi="Arial" w:cs="Arial"/>
          <w:sz w:val="24"/>
          <w:szCs w:val="24"/>
        </w:rPr>
        <w:t>This Court is able to decide the exercise of the option issue on the respondent’s version on these papers without the need for oral evidence or trial.</w:t>
      </w:r>
    </w:p>
    <w:p w:rsidR="001C1ED7" w:rsidRDefault="001C1ED7" w:rsidP="001C1ED7">
      <w:pPr>
        <w:pStyle w:val="BodyText"/>
        <w:numPr>
          <w:ilvl w:val="0"/>
          <w:numId w:val="7"/>
        </w:numPr>
        <w:spacing w:line="360" w:lineRule="auto"/>
        <w:jc w:val="both"/>
        <w:rPr>
          <w:rFonts w:ascii="Arial" w:hAnsi="Arial" w:cs="Arial"/>
          <w:sz w:val="24"/>
          <w:szCs w:val="24"/>
        </w:rPr>
      </w:pPr>
      <w:r w:rsidRPr="001C1ED7">
        <w:rPr>
          <w:rFonts w:ascii="Arial" w:hAnsi="Arial" w:cs="Arial"/>
          <w:sz w:val="24"/>
          <w:szCs w:val="24"/>
        </w:rPr>
        <w:t>The determination of that issue, as set out below, disposes of the application.</w:t>
      </w:r>
    </w:p>
    <w:p w:rsidR="002C7349" w:rsidRPr="001C1ED7" w:rsidRDefault="002C7349" w:rsidP="001C1ED7">
      <w:pPr>
        <w:pStyle w:val="BodyText"/>
        <w:numPr>
          <w:ilvl w:val="0"/>
          <w:numId w:val="7"/>
        </w:numPr>
        <w:spacing w:line="360" w:lineRule="auto"/>
        <w:jc w:val="both"/>
        <w:rPr>
          <w:rFonts w:ascii="Arial" w:hAnsi="Arial" w:cs="Arial"/>
          <w:sz w:val="24"/>
          <w:szCs w:val="24"/>
        </w:rPr>
      </w:pPr>
      <w:r>
        <w:rPr>
          <w:rFonts w:ascii="Arial" w:hAnsi="Arial" w:cs="Arial"/>
          <w:sz w:val="24"/>
          <w:szCs w:val="24"/>
        </w:rPr>
        <w:t>If there was no option agreed, the</w:t>
      </w:r>
      <w:r w:rsidRPr="001C1ED7">
        <w:rPr>
          <w:rFonts w:ascii="Arial" w:hAnsi="Arial" w:cs="Arial"/>
          <w:sz w:val="24"/>
          <w:szCs w:val="24"/>
        </w:rPr>
        <w:t xml:space="preserve"> respondent has acquired no rights, either personal or real, entitling it to remain on the </w:t>
      </w:r>
      <w:r w:rsidR="00C4252A" w:rsidRPr="001C1ED7">
        <w:rPr>
          <w:rFonts w:ascii="Arial" w:hAnsi="Arial" w:cs="Arial"/>
          <w:sz w:val="24"/>
          <w:szCs w:val="24"/>
        </w:rPr>
        <w:t>farms.</w:t>
      </w:r>
    </w:p>
    <w:p w:rsidR="001C1ED7" w:rsidRPr="001C1ED7" w:rsidRDefault="002C7349" w:rsidP="001C1ED7">
      <w:pPr>
        <w:pStyle w:val="BodyText"/>
        <w:numPr>
          <w:ilvl w:val="0"/>
          <w:numId w:val="7"/>
        </w:numPr>
        <w:spacing w:line="360" w:lineRule="auto"/>
        <w:jc w:val="both"/>
        <w:rPr>
          <w:rFonts w:ascii="Arial" w:hAnsi="Arial" w:cs="Arial"/>
          <w:sz w:val="24"/>
          <w:szCs w:val="24"/>
        </w:rPr>
      </w:pPr>
      <w:r>
        <w:rPr>
          <w:rFonts w:ascii="Arial" w:hAnsi="Arial" w:cs="Arial"/>
          <w:sz w:val="24"/>
          <w:szCs w:val="24"/>
        </w:rPr>
        <w:t>I</w:t>
      </w:r>
      <w:r w:rsidR="001C1ED7" w:rsidRPr="001C1ED7">
        <w:rPr>
          <w:rFonts w:ascii="Arial" w:hAnsi="Arial" w:cs="Arial"/>
          <w:sz w:val="24"/>
          <w:szCs w:val="24"/>
        </w:rPr>
        <w:t>f the</w:t>
      </w:r>
      <w:r w:rsidR="00C4252A">
        <w:rPr>
          <w:rFonts w:ascii="Arial" w:hAnsi="Arial" w:cs="Arial"/>
          <w:sz w:val="24"/>
          <w:szCs w:val="24"/>
        </w:rPr>
        <w:t xml:space="preserve">re was </w:t>
      </w:r>
      <w:r w:rsidR="0005458F">
        <w:rPr>
          <w:rFonts w:ascii="Arial" w:hAnsi="Arial" w:cs="Arial"/>
          <w:sz w:val="24"/>
          <w:szCs w:val="24"/>
        </w:rPr>
        <w:t xml:space="preserve">an </w:t>
      </w:r>
      <w:r w:rsidR="0005458F" w:rsidRPr="001C1ED7">
        <w:rPr>
          <w:rFonts w:ascii="Arial" w:hAnsi="Arial" w:cs="Arial"/>
          <w:sz w:val="24"/>
          <w:szCs w:val="24"/>
        </w:rPr>
        <w:t>option</w:t>
      </w:r>
      <w:r w:rsidR="001C1ED7" w:rsidRPr="001C1ED7">
        <w:rPr>
          <w:rFonts w:ascii="Arial" w:hAnsi="Arial" w:cs="Arial"/>
          <w:sz w:val="24"/>
          <w:szCs w:val="24"/>
        </w:rPr>
        <w:t xml:space="preserve"> agreed</w:t>
      </w:r>
      <w:r w:rsidR="0005458F">
        <w:rPr>
          <w:rFonts w:ascii="Arial" w:hAnsi="Arial" w:cs="Arial"/>
          <w:sz w:val="24"/>
          <w:szCs w:val="24"/>
        </w:rPr>
        <w:t>,</w:t>
      </w:r>
      <w:r w:rsidR="001C1ED7" w:rsidRPr="001C1ED7">
        <w:rPr>
          <w:rFonts w:ascii="Arial" w:hAnsi="Arial" w:cs="Arial"/>
          <w:sz w:val="24"/>
          <w:szCs w:val="24"/>
        </w:rPr>
        <w:t xml:space="preserve"> </w:t>
      </w:r>
      <w:r w:rsidR="00020461">
        <w:rPr>
          <w:rFonts w:ascii="Arial" w:hAnsi="Arial" w:cs="Arial"/>
          <w:sz w:val="24"/>
          <w:szCs w:val="24"/>
        </w:rPr>
        <w:t xml:space="preserve">and </w:t>
      </w:r>
      <w:r w:rsidR="001C1ED7" w:rsidRPr="001C1ED7">
        <w:rPr>
          <w:rFonts w:ascii="Arial" w:hAnsi="Arial" w:cs="Arial"/>
          <w:sz w:val="24"/>
          <w:szCs w:val="24"/>
        </w:rPr>
        <w:t>as a</w:t>
      </w:r>
      <w:r w:rsidR="00C4252A">
        <w:rPr>
          <w:rFonts w:ascii="Arial" w:hAnsi="Arial" w:cs="Arial"/>
          <w:sz w:val="24"/>
          <w:szCs w:val="24"/>
        </w:rPr>
        <w:t xml:space="preserve">lleged by </w:t>
      </w:r>
      <w:r w:rsidR="001C1ED7" w:rsidRPr="001C1ED7">
        <w:rPr>
          <w:rFonts w:ascii="Arial" w:hAnsi="Arial" w:cs="Arial"/>
          <w:sz w:val="24"/>
          <w:szCs w:val="24"/>
        </w:rPr>
        <w:t xml:space="preserve"> the respondent, on its own version </w:t>
      </w:r>
      <w:r w:rsidR="00020461">
        <w:rPr>
          <w:rFonts w:ascii="Arial" w:hAnsi="Arial" w:cs="Arial"/>
          <w:sz w:val="24"/>
          <w:szCs w:val="24"/>
        </w:rPr>
        <w:t xml:space="preserve">the respondent </w:t>
      </w:r>
      <w:r w:rsidR="001C1ED7" w:rsidRPr="001C1ED7">
        <w:rPr>
          <w:rFonts w:ascii="Arial" w:hAnsi="Arial" w:cs="Arial"/>
          <w:sz w:val="24"/>
          <w:szCs w:val="24"/>
        </w:rPr>
        <w:t xml:space="preserve">has failed to accept and/or exercise the relevant option in its entirety and fully and accordingly it did not, and cannot, have acquired the right to purchase the farms from the first applicant. </w:t>
      </w:r>
    </w:p>
    <w:p w:rsidR="001C1ED7" w:rsidRPr="001C1ED7" w:rsidRDefault="001C1ED7" w:rsidP="001C1ED7">
      <w:pPr>
        <w:pStyle w:val="BodyText"/>
        <w:numPr>
          <w:ilvl w:val="0"/>
          <w:numId w:val="7"/>
        </w:numPr>
        <w:spacing w:line="360" w:lineRule="auto"/>
        <w:jc w:val="both"/>
        <w:rPr>
          <w:rFonts w:ascii="Arial" w:hAnsi="Arial" w:cs="Arial"/>
          <w:sz w:val="24"/>
          <w:szCs w:val="24"/>
        </w:rPr>
      </w:pPr>
      <w:r w:rsidRPr="001C1ED7">
        <w:rPr>
          <w:rFonts w:ascii="Arial" w:hAnsi="Arial" w:cs="Arial"/>
          <w:sz w:val="24"/>
          <w:szCs w:val="24"/>
        </w:rPr>
        <w:t xml:space="preserve">As a result, the respondent has acquired no rights, either personal or real, entitling it to remain on the farms. </w:t>
      </w:r>
    </w:p>
    <w:p w:rsidR="00472F67" w:rsidRDefault="00472F67" w:rsidP="001C1ED7">
      <w:pPr>
        <w:pStyle w:val="BodyText"/>
        <w:spacing w:line="360" w:lineRule="auto"/>
        <w:ind w:left="0"/>
        <w:jc w:val="both"/>
        <w:rPr>
          <w:rFonts w:ascii="Arial" w:hAnsi="Arial" w:cs="Arial"/>
          <w:sz w:val="24"/>
          <w:szCs w:val="24"/>
        </w:rPr>
      </w:pPr>
    </w:p>
    <w:p w:rsidR="001C1ED7" w:rsidRPr="001C1ED7" w:rsidRDefault="002A4554" w:rsidP="001C1ED7">
      <w:pPr>
        <w:pStyle w:val="BodyText"/>
        <w:spacing w:line="360" w:lineRule="auto"/>
        <w:ind w:left="0"/>
        <w:jc w:val="both"/>
        <w:rPr>
          <w:rFonts w:ascii="Arial" w:hAnsi="Arial" w:cs="Arial"/>
          <w:sz w:val="24"/>
          <w:szCs w:val="24"/>
        </w:rPr>
      </w:pPr>
      <w:r>
        <w:rPr>
          <w:rFonts w:ascii="Arial" w:hAnsi="Arial" w:cs="Arial"/>
          <w:sz w:val="24"/>
          <w:szCs w:val="24"/>
        </w:rPr>
        <w:t>[2</w:t>
      </w:r>
      <w:r w:rsidR="007810DE">
        <w:rPr>
          <w:rFonts w:ascii="Arial" w:hAnsi="Arial" w:cs="Arial"/>
          <w:sz w:val="24"/>
          <w:szCs w:val="24"/>
        </w:rPr>
        <w:t>7</w:t>
      </w:r>
      <w:r w:rsidR="00472F67">
        <w:rPr>
          <w:rFonts w:ascii="Arial" w:hAnsi="Arial" w:cs="Arial"/>
          <w:sz w:val="24"/>
          <w:szCs w:val="24"/>
        </w:rPr>
        <w:t>]</w:t>
      </w:r>
      <w:r w:rsidR="00472F67">
        <w:rPr>
          <w:rFonts w:ascii="Arial" w:hAnsi="Arial" w:cs="Arial"/>
          <w:sz w:val="24"/>
          <w:szCs w:val="24"/>
        </w:rPr>
        <w:tab/>
      </w:r>
      <w:r w:rsidR="001C1ED7" w:rsidRPr="001C1ED7">
        <w:rPr>
          <w:rFonts w:ascii="Arial" w:hAnsi="Arial" w:cs="Arial"/>
          <w:sz w:val="24"/>
          <w:szCs w:val="24"/>
        </w:rPr>
        <w:t xml:space="preserve">The notice of motion requires the respondent to vacate the farms within three days of this order. Considering the nature of the enterprise I’m of the view that the </w:t>
      </w:r>
      <w:r w:rsidR="001C1ED7" w:rsidRPr="00C4252A">
        <w:rPr>
          <w:rFonts w:ascii="Arial" w:hAnsi="Arial" w:cs="Arial"/>
          <w:i/>
          <w:iCs/>
          <w:sz w:val="24"/>
          <w:szCs w:val="24"/>
        </w:rPr>
        <w:t xml:space="preserve">dies </w:t>
      </w:r>
      <w:r w:rsidR="001C1ED7" w:rsidRPr="001C1ED7">
        <w:rPr>
          <w:rFonts w:ascii="Arial" w:hAnsi="Arial" w:cs="Arial"/>
          <w:sz w:val="24"/>
          <w:szCs w:val="24"/>
        </w:rPr>
        <w:t xml:space="preserve">are too short. </w:t>
      </w:r>
      <w:r w:rsidR="00020461">
        <w:rPr>
          <w:rFonts w:ascii="Arial" w:hAnsi="Arial" w:cs="Arial"/>
          <w:sz w:val="24"/>
          <w:szCs w:val="24"/>
        </w:rPr>
        <w:t xml:space="preserve">Considering the livestock has to be rounded up and transported out, </w:t>
      </w:r>
      <w:r w:rsidR="001C1ED7" w:rsidRPr="001C1ED7">
        <w:rPr>
          <w:rFonts w:ascii="Arial" w:hAnsi="Arial" w:cs="Arial"/>
          <w:sz w:val="24"/>
          <w:szCs w:val="24"/>
        </w:rPr>
        <w:t xml:space="preserve">I am of the view that </w:t>
      </w:r>
      <w:r w:rsidR="00020461">
        <w:rPr>
          <w:rFonts w:ascii="Arial" w:hAnsi="Arial" w:cs="Arial"/>
          <w:sz w:val="24"/>
          <w:szCs w:val="24"/>
        </w:rPr>
        <w:t>seven</w:t>
      </w:r>
      <w:r w:rsidR="001C1ED7" w:rsidRPr="001C1ED7">
        <w:rPr>
          <w:rFonts w:ascii="Arial" w:hAnsi="Arial" w:cs="Arial"/>
          <w:sz w:val="24"/>
          <w:szCs w:val="24"/>
        </w:rPr>
        <w:t xml:space="preserve"> days is </w:t>
      </w:r>
      <w:r w:rsidR="0017096B">
        <w:rPr>
          <w:rFonts w:ascii="Arial" w:hAnsi="Arial" w:cs="Arial"/>
          <w:sz w:val="24"/>
          <w:szCs w:val="24"/>
        </w:rPr>
        <w:t xml:space="preserve">more </w:t>
      </w:r>
      <w:r w:rsidR="001C1ED7" w:rsidRPr="001C1ED7">
        <w:rPr>
          <w:rFonts w:ascii="Arial" w:hAnsi="Arial" w:cs="Arial"/>
          <w:sz w:val="24"/>
          <w:szCs w:val="24"/>
        </w:rPr>
        <w:t>reasonable.</w:t>
      </w:r>
    </w:p>
    <w:p w:rsidR="00472F67" w:rsidRDefault="00472F67" w:rsidP="001C1ED7">
      <w:pPr>
        <w:pStyle w:val="BodyText"/>
        <w:spacing w:line="360" w:lineRule="auto"/>
        <w:ind w:left="0"/>
        <w:jc w:val="both"/>
        <w:rPr>
          <w:rFonts w:ascii="Arial" w:hAnsi="Arial" w:cs="Arial"/>
          <w:sz w:val="24"/>
          <w:szCs w:val="24"/>
        </w:rPr>
      </w:pPr>
    </w:p>
    <w:p w:rsidR="001C1ED7" w:rsidRPr="001C1ED7" w:rsidRDefault="002A4554" w:rsidP="001C1ED7">
      <w:pPr>
        <w:pStyle w:val="BodyText"/>
        <w:spacing w:line="360" w:lineRule="auto"/>
        <w:ind w:left="0"/>
        <w:jc w:val="both"/>
        <w:rPr>
          <w:rFonts w:ascii="Arial" w:hAnsi="Arial" w:cs="Arial"/>
          <w:sz w:val="24"/>
          <w:szCs w:val="24"/>
        </w:rPr>
      </w:pPr>
      <w:r>
        <w:rPr>
          <w:rFonts w:ascii="Arial" w:hAnsi="Arial" w:cs="Arial"/>
          <w:sz w:val="24"/>
          <w:szCs w:val="24"/>
        </w:rPr>
        <w:t>[2</w:t>
      </w:r>
      <w:r w:rsidR="007810DE">
        <w:rPr>
          <w:rFonts w:ascii="Arial" w:hAnsi="Arial" w:cs="Arial"/>
          <w:sz w:val="24"/>
          <w:szCs w:val="24"/>
        </w:rPr>
        <w:t>8</w:t>
      </w:r>
      <w:r w:rsidR="00472F67">
        <w:rPr>
          <w:rFonts w:ascii="Arial" w:hAnsi="Arial" w:cs="Arial"/>
          <w:sz w:val="24"/>
          <w:szCs w:val="24"/>
        </w:rPr>
        <w:t>]</w:t>
      </w:r>
      <w:r w:rsidR="00472F67">
        <w:rPr>
          <w:rFonts w:ascii="Arial" w:hAnsi="Arial" w:cs="Arial"/>
          <w:sz w:val="24"/>
          <w:szCs w:val="24"/>
        </w:rPr>
        <w:tab/>
      </w:r>
      <w:r w:rsidR="001C1ED7" w:rsidRPr="001C1ED7">
        <w:rPr>
          <w:rFonts w:ascii="Arial" w:hAnsi="Arial" w:cs="Arial"/>
          <w:sz w:val="24"/>
          <w:szCs w:val="24"/>
        </w:rPr>
        <w:t>Because my decision is based on this narrow issue</w:t>
      </w:r>
      <w:r w:rsidR="0017096B">
        <w:rPr>
          <w:rFonts w:ascii="Arial" w:hAnsi="Arial" w:cs="Arial"/>
          <w:sz w:val="24"/>
          <w:szCs w:val="24"/>
        </w:rPr>
        <w:t>,</w:t>
      </w:r>
      <w:r w:rsidR="001C1ED7" w:rsidRPr="001C1ED7">
        <w:rPr>
          <w:rFonts w:ascii="Arial" w:hAnsi="Arial" w:cs="Arial"/>
          <w:sz w:val="24"/>
          <w:szCs w:val="24"/>
        </w:rPr>
        <w:t xml:space="preserve"> it is not necessary that I deal with any of the allegations made by the respondent as to the possible fraudulent manipulation of the written lease document.</w:t>
      </w:r>
      <w:r w:rsidR="000E42C5">
        <w:rPr>
          <w:rFonts w:ascii="Arial" w:hAnsi="Arial" w:cs="Arial"/>
          <w:sz w:val="24"/>
          <w:szCs w:val="24"/>
        </w:rPr>
        <w:t xml:space="preserve"> </w:t>
      </w:r>
      <w:r w:rsidR="001C1ED7" w:rsidRPr="001C1ED7">
        <w:rPr>
          <w:rFonts w:ascii="Arial" w:hAnsi="Arial" w:cs="Arial"/>
          <w:sz w:val="24"/>
          <w:szCs w:val="24"/>
        </w:rPr>
        <w:t>I do not, as a result, intend to do so.</w:t>
      </w:r>
    </w:p>
    <w:p w:rsidR="00472F67" w:rsidRDefault="00472F67" w:rsidP="001C1ED7">
      <w:pPr>
        <w:pStyle w:val="BodyText"/>
        <w:spacing w:line="360" w:lineRule="auto"/>
        <w:ind w:left="0"/>
        <w:jc w:val="both"/>
        <w:rPr>
          <w:rFonts w:ascii="Arial" w:hAnsi="Arial" w:cs="Arial"/>
          <w:sz w:val="24"/>
          <w:szCs w:val="24"/>
        </w:rPr>
      </w:pPr>
    </w:p>
    <w:p w:rsidR="001C1ED7" w:rsidRPr="001C1ED7" w:rsidRDefault="002A4554" w:rsidP="001C1ED7">
      <w:pPr>
        <w:pStyle w:val="BodyText"/>
        <w:spacing w:line="360" w:lineRule="auto"/>
        <w:ind w:left="0"/>
        <w:jc w:val="both"/>
        <w:rPr>
          <w:rFonts w:ascii="Arial" w:hAnsi="Arial" w:cs="Arial"/>
          <w:sz w:val="24"/>
          <w:szCs w:val="24"/>
        </w:rPr>
      </w:pPr>
      <w:r>
        <w:rPr>
          <w:rFonts w:ascii="Arial" w:hAnsi="Arial" w:cs="Arial"/>
          <w:sz w:val="24"/>
          <w:szCs w:val="24"/>
        </w:rPr>
        <w:t>[2</w:t>
      </w:r>
      <w:r w:rsidR="007810DE">
        <w:rPr>
          <w:rFonts w:ascii="Arial" w:hAnsi="Arial" w:cs="Arial"/>
          <w:sz w:val="24"/>
          <w:szCs w:val="24"/>
        </w:rPr>
        <w:t>9</w:t>
      </w:r>
      <w:r w:rsidR="00472F67">
        <w:rPr>
          <w:rFonts w:ascii="Arial" w:hAnsi="Arial" w:cs="Arial"/>
          <w:sz w:val="24"/>
          <w:szCs w:val="24"/>
        </w:rPr>
        <w:t>]</w:t>
      </w:r>
      <w:r w:rsidR="00472F67">
        <w:rPr>
          <w:rFonts w:ascii="Arial" w:hAnsi="Arial" w:cs="Arial"/>
          <w:sz w:val="24"/>
          <w:szCs w:val="24"/>
        </w:rPr>
        <w:tab/>
      </w:r>
      <w:r w:rsidR="001C1ED7" w:rsidRPr="001C1ED7">
        <w:rPr>
          <w:rFonts w:ascii="Arial" w:hAnsi="Arial" w:cs="Arial"/>
          <w:sz w:val="24"/>
          <w:szCs w:val="24"/>
        </w:rPr>
        <w:t>I</w:t>
      </w:r>
      <w:r w:rsidR="000E42C5">
        <w:rPr>
          <w:rFonts w:ascii="Arial" w:hAnsi="Arial" w:cs="Arial"/>
          <w:sz w:val="24"/>
          <w:szCs w:val="24"/>
        </w:rPr>
        <w:t>n the result I</w:t>
      </w:r>
      <w:r w:rsidR="001C1ED7" w:rsidRPr="001C1ED7">
        <w:rPr>
          <w:rFonts w:ascii="Arial" w:hAnsi="Arial" w:cs="Arial"/>
          <w:sz w:val="24"/>
          <w:szCs w:val="24"/>
        </w:rPr>
        <w:t xml:space="preserve"> make the following orders:</w:t>
      </w:r>
    </w:p>
    <w:p w:rsidR="001C1ED7" w:rsidRPr="001C1ED7" w:rsidRDefault="001C1ED7" w:rsidP="001C1ED7">
      <w:pPr>
        <w:pStyle w:val="BodyText"/>
        <w:numPr>
          <w:ilvl w:val="0"/>
          <w:numId w:val="4"/>
        </w:numPr>
        <w:spacing w:line="360" w:lineRule="auto"/>
        <w:jc w:val="both"/>
        <w:rPr>
          <w:rFonts w:ascii="Arial" w:hAnsi="Arial" w:cs="Arial"/>
          <w:sz w:val="24"/>
          <w:szCs w:val="24"/>
        </w:rPr>
      </w:pPr>
      <w:r w:rsidRPr="001C1ED7">
        <w:rPr>
          <w:rFonts w:ascii="Arial" w:hAnsi="Arial" w:cs="Arial"/>
          <w:sz w:val="24"/>
          <w:szCs w:val="24"/>
        </w:rPr>
        <w:t xml:space="preserve">The respondent is ordered, within </w:t>
      </w:r>
      <w:r w:rsidR="0017096B">
        <w:rPr>
          <w:rFonts w:ascii="Arial" w:hAnsi="Arial" w:cs="Arial"/>
          <w:sz w:val="24"/>
          <w:szCs w:val="24"/>
        </w:rPr>
        <w:t>7 (seven)</w:t>
      </w:r>
      <w:r w:rsidRPr="001C1ED7">
        <w:rPr>
          <w:rFonts w:ascii="Arial" w:hAnsi="Arial" w:cs="Arial"/>
          <w:sz w:val="24"/>
          <w:szCs w:val="24"/>
        </w:rPr>
        <w:t xml:space="preserve"> days from date of this order:</w:t>
      </w:r>
    </w:p>
    <w:p w:rsidR="001C1ED7" w:rsidRPr="001C1ED7" w:rsidRDefault="001C1ED7" w:rsidP="001C1ED7">
      <w:pPr>
        <w:pStyle w:val="BodyText"/>
        <w:numPr>
          <w:ilvl w:val="0"/>
          <w:numId w:val="5"/>
        </w:numPr>
        <w:spacing w:line="360" w:lineRule="auto"/>
        <w:jc w:val="both"/>
        <w:rPr>
          <w:rFonts w:ascii="Arial" w:hAnsi="Arial" w:cs="Arial"/>
          <w:sz w:val="24"/>
          <w:szCs w:val="24"/>
        </w:rPr>
      </w:pPr>
      <w:r w:rsidRPr="001C1ED7">
        <w:rPr>
          <w:rFonts w:ascii="Arial" w:hAnsi="Arial" w:cs="Arial"/>
          <w:sz w:val="24"/>
          <w:szCs w:val="24"/>
        </w:rPr>
        <w:t>To remove</w:t>
      </w:r>
      <w:r w:rsidR="00C4252A">
        <w:rPr>
          <w:rFonts w:ascii="Arial" w:hAnsi="Arial" w:cs="Arial"/>
          <w:sz w:val="24"/>
          <w:szCs w:val="24"/>
        </w:rPr>
        <w:t xml:space="preserve"> </w:t>
      </w:r>
      <w:r w:rsidRPr="001C1ED7">
        <w:rPr>
          <w:rFonts w:ascii="Arial" w:hAnsi="Arial" w:cs="Arial"/>
          <w:sz w:val="24"/>
          <w:szCs w:val="24"/>
        </w:rPr>
        <w:t xml:space="preserve">any and all livestock under its control </w:t>
      </w:r>
      <w:r w:rsidR="00C4252A">
        <w:rPr>
          <w:rFonts w:ascii="Arial" w:hAnsi="Arial" w:cs="Arial"/>
          <w:sz w:val="24"/>
          <w:szCs w:val="24"/>
        </w:rPr>
        <w:t>from</w:t>
      </w:r>
      <w:r w:rsidRPr="001C1ED7">
        <w:rPr>
          <w:rFonts w:ascii="Arial" w:hAnsi="Arial" w:cs="Arial"/>
          <w:sz w:val="24"/>
          <w:szCs w:val="24"/>
        </w:rPr>
        <w:t xml:space="preserve"> the farms known as:</w:t>
      </w:r>
    </w:p>
    <w:p w:rsidR="001C1ED7" w:rsidRPr="001C1ED7" w:rsidRDefault="001C1ED7" w:rsidP="001C1ED7">
      <w:pPr>
        <w:pStyle w:val="BodyText"/>
        <w:numPr>
          <w:ilvl w:val="0"/>
          <w:numId w:val="6"/>
        </w:numPr>
        <w:spacing w:line="360" w:lineRule="auto"/>
        <w:jc w:val="both"/>
        <w:rPr>
          <w:rFonts w:ascii="Arial" w:hAnsi="Arial" w:cs="Arial"/>
          <w:sz w:val="24"/>
          <w:szCs w:val="24"/>
        </w:rPr>
      </w:pPr>
      <w:r w:rsidRPr="001C1ED7">
        <w:rPr>
          <w:rFonts w:ascii="Arial" w:hAnsi="Arial" w:cs="Arial"/>
          <w:sz w:val="24"/>
          <w:szCs w:val="24"/>
        </w:rPr>
        <w:t>The Remainder of Portion 1 the farm Vredehof Number 17, Registration Division HT, Province of KwaZulu-Natal.</w:t>
      </w:r>
    </w:p>
    <w:p w:rsidR="001C1ED7" w:rsidRPr="001C1ED7" w:rsidRDefault="001C1ED7" w:rsidP="001C1ED7">
      <w:pPr>
        <w:pStyle w:val="BodyText"/>
        <w:numPr>
          <w:ilvl w:val="0"/>
          <w:numId w:val="6"/>
        </w:numPr>
        <w:spacing w:line="360" w:lineRule="auto"/>
        <w:jc w:val="both"/>
        <w:rPr>
          <w:rFonts w:ascii="Arial" w:hAnsi="Arial" w:cs="Arial"/>
          <w:sz w:val="24"/>
          <w:szCs w:val="24"/>
        </w:rPr>
      </w:pPr>
      <w:r w:rsidRPr="001C1ED7">
        <w:rPr>
          <w:rFonts w:ascii="Arial" w:hAnsi="Arial" w:cs="Arial"/>
          <w:sz w:val="24"/>
          <w:szCs w:val="24"/>
        </w:rPr>
        <w:t>The Remainder of Portion 2 the farm Vredehof Number 17, Registration Division HT, province of KwaZulu-Natal,</w:t>
      </w:r>
    </w:p>
    <w:p w:rsidR="001C1ED7" w:rsidRPr="001C1ED7" w:rsidRDefault="001C1ED7" w:rsidP="001C1ED7">
      <w:pPr>
        <w:pStyle w:val="BodyText"/>
        <w:spacing w:line="360" w:lineRule="auto"/>
        <w:ind w:left="2160"/>
        <w:jc w:val="both"/>
        <w:rPr>
          <w:rFonts w:ascii="Arial" w:hAnsi="Arial" w:cs="Arial"/>
          <w:sz w:val="24"/>
          <w:szCs w:val="24"/>
        </w:rPr>
      </w:pPr>
      <w:r w:rsidRPr="001C1ED7">
        <w:rPr>
          <w:rFonts w:ascii="Arial" w:hAnsi="Arial" w:cs="Arial"/>
          <w:sz w:val="24"/>
          <w:szCs w:val="24"/>
        </w:rPr>
        <w:t>“Hereafter the farms”.</w:t>
      </w:r>
    </w:p>
    <w:p w:rsidR="001C1ED7" w:rsidRPr="001C1ED7" w:rsidRDefault="001C1ED7" w:rsidP="001C1ED7">
      <w:pPr>
        <w:pStyle w:val="BodyText"/>
        <w:numPr>
          <w:ilvl w:val="0"/>
          <w:numId w:val="5"/>
        </w:numPr>
        <w:spacing w:line="360" w:lineRule="auto"/>
        <w:jc w:val="both"/>
        <w:rPr>
          <w:rFonts w:ascii="Arial" w:hAnsi="Arial" w:cs="Arial"/>
          <w:sz w:val="24"/>
          <w:szCs w:val="24"/>
        </w:rPr>
      </w:pPr>
      <w:r w:rsidRPr="001C1ED7">
        <w:rPr>
          <w:rFonts w:ascii="Arial" w:hAnsi="Arial" w:cs="Arial"/>
          <w:sz w:val="24"/>
          <w:szCs w:val="24"/>
        </w:rPr>
        <w:t xml:space="preserve"> To remove any and all farming equipment, implements and movable assets belonging to or under its control currently kept </w:t>
      </w:r>
      <w:r w:rsidR="00033F04">
        <w:rPr>
          <w:rFonts w:ascii="Arial" w:hAnsi="Arial" w:cs="Arial"/>
          <w:sz w:val="24"/>
          <w:szCs w:val="24"/>
        </w:rPr>
        <w:t xml:space="preserve">on or </w:t>
      </w:r>
      <w:r w:rsidRPr="001C1ED7">
        <w:rPr>
          <w:rFonts w:ascii="Arial" w:hAnsi="Arial" w:cs="Arial"/>
          <w:sz w:val="24"/>
          <w:szCs w:val="24"/>
        </w:rPr>
        <w:t xml:space="preserve">at the </w:t>
      </w:r>
      <w:r w:rsidR="00033F04">
        <w:rPr>
          <w:rFonts w:ascii="Arial" w:hAnsi="Arial" w:cs="Arial"/>
          <w:sz w:val="24"/>
          <w:szCs w:val="24"/>
        </w:rPr>
        <w:t>f</w:t>
      </w:r>
      <w:r w:rsidRPr="001C1ED7">
        <w:rPr>
          <w:rFonts w:ascii="Arial" w:hAnsi="Arial" w:cs="Arial"/>
          <w:sz w:val="24"/>
          <w:szCs w:val="24"/>
        </w:rPr>
        <w:t>arms.</w:t>
      </w:r>
    </w:p>
    <w:p w:rsidR="001C1ED7" w:rsidRPr="001C1ED7" w:rsidRDefault="001C1ED7" w:rsidP="001C1ED7">
      <w:pPr>
        <w:pStyle w:val="BodyText"/>
        <w:numPr>
          <w:ilvl w:val="0"/>
          <w:numId w:val="4"/>
        </w:numPr>
        <w:spacing w:line="360" w:lineRule="auto"/>
        <w:jc w:val="both"/>
        <w:rPr>
          <w:rFonts w:ascii="Arial" w:hAnsi="Arial" w:cs="Arial"/>
          <w:sz w:val="24"/>
          <w:szCs w:val="24"/>
        </w:rPr>
      </w:pPr>
      <w:r w:rsidRPr="001C1ED7">
        <w:rPr>
          <w:rFonts w:ascii="Arial" w:hAnsi="Arial" w:cs="Arial"/>
          <w:sz w:val="24"/>
          <w:szCs w:val="24"/>
        </w:rPr>
        <w:t>The respondent is, after complying with paragraph 1 above</w:t>
      </w:r>
      <w:r w:rsidR="00033F04">
        <w:rPr>
          <w:rFonts w:ascii="Arial" w:hAnsi="Arial" w:cs="Arial"/>
          <w:sz w:val="24"/>
          <w:szCs w:val="24"/>
        </w:rPr>
        <w:t>,</w:t>
      </w:r>
      <w:r w:rsidRPr="001C1ED7">
        <w:rPr>
          <w:rFonts w:ascii="Arial" w:hAnsi="Arial" w:cs="Arial"/>
          <w:sz w:val="24"/>
          <w:szCs w:val="24"/>
        </w:rPr>
        <w:t xml:space="preserve"> interdicted from entering the farms or from permitting any employee, agent representative or person through or under it from entering the farms.</w:t>
      </w:r>
    </w:p>
    <w:p w:rsidR="001C1ED7" w:rsidRPr="001C1ED7" w:rsidRDefault="001C1ED7" w:rsidP="001C1ED7">
      <w:pPr>
        <w:pStyle w:val="BodyText"/>
        <w:numPr>
          <w:ilvl w:val="0"/>
          <w:numId w:val="4"/>
        </w:numPr>
        <w:spacing w:line="360" w:lineRule="auto"/>
        <w:jc w:val="both"/>
        <w:rPr>
          <w:rFonts w:ascii="Arial" w:hAnsi="Arial" w:cs="Arial"/>
          <w:sz w:val="24"/>
          <w:szCs w:val="24"/>
        </w:rPr>
      </w:pPr>
      <w:r w:rsidRPr="001C1ED7">
        <w:rPr>
          <w:rFonts w:ascii="Arial" w:hAnsi="Arial" w:cs="Arial"/>
          <w:sz w:val="24"/>
          <w:szCs w:val="24"/>
        </w:rPr>
        <w:t>The respondent is interdicted from preventing</w:t>
      </w:r>
      <w:r w:rsidR="00033F04">
        <w:rPr>
          <w:rFonts w:ascii="Arial" w:hAnsi="Arial" w:cs="Arial"/>
          <w:sz w:val="24"/>
          <w:szCs w:val="24"/>
        </w:rPr>
        <w:t xml:space="preserve"> or</w:t>
      </w:r>
      <w:r w:rsidRPr="001C1ED7">
        <w:rPr>
          <w:rFonts w:ascii="Arial" w:hAnsi="Arial" w:cs="Arial"/>
          <w:sz w:val="24"/>
          <w:szCs w:val="24"/>
        </w:rPr>
        <w:t xml:space="preserve"> </w:t>
      </w:r>
      <w:r w:rsidR="001F2294" w:rsidRPr="001C1ED7">
        <w:rPr>
          <w:rFonts w:ascii="Arial" w:hAnsi="Arial" w:cs="Arial"/>
          <w:sz w:val="24"/>
          <w:szCs w:val="24"/>
        </w:rPr>
        <w:t>inciting</w:t>
      </w:r>
      <w:r w:rsidR="001F2294">
        <w:rPr>
          <w:rFonts w:ascii="Arial" w:hAnsi="Arial" w:cs="Arial"/>
          <w:sz w:val="24"/>
          <w:szCs w:val="24"/>
        </w:rPr>
        <w:t>, or</w:t>
      </w:r>
      <w:r w:rsidRPr="001C1ED7">
        <w:rPr>
          <w:rFonts w:ascii="Arial" w:hAnsi="Arial" w:cs="Arial"/>
          <w:sz w:val="24"/>
          <w:szCs w:val="24"/>
        </w:rPr>
        <w:t xml:space="preserve"> using any other person or entity to prevent</w:t>
      </w:r>
      <w:r w:rsidR="00033F04">
        <w:rPr>
          <w:rFonts w:ascii="Arial" w:hAnsi="Arial" w:cs="Arial"/>
          <w:sz w:val="24"/>
          <w:szCs w:val="24"/>
        </w:rPr>
        <w:t xml:space="preserve"> or incite</w:t>
      </w:r>
      <w:r w:rsidRPr="001C1ED7">
        <w:rPr>
          <w:rFonts w:ascii="Arial" w:hAnsi="Arial" w:cs="Arial"/>
          <w:sz w:val="24"/>
          <w:szCs w:val="24"/>
        </w:rPr>
        <w:t>, the applicants or their representatives</w:t>
      </w:r>
      <w:r w:rsidR="00033F04">
        <w:rPr>
          <w:rFonts w:ascii="Arial" w:hAnsi="Arial" w:cs="Arial"/>
          <w:sz w:val="24"/>
          <w:szCs w:val="24"/>
        </w:rPr>
        <w:t xml:space="preserve"> or</w:t>
      </w:r>
      <w:r w:rsidRPr="001C1ED7">
        <w:rPr>
          <w:rFonts w:ascii="Arial" w:hAnsi="Arial" w:cs="Arial"/>
          <w:sz w:val="24"/>
          <w:szCs w:val="24"/>
        </w:rPr>
        <w:t xml:space="preserve"> employees</w:t>
      </w:r>
      <w:r w:rsidR="00033F04">
        <w:rPr>
          <w:rFonts w:ascii="Arial" w:hAnsi="Arial" w:cs="Arial"/>
          <w:sz w:val="24"/>
          <w:szCs w:val="24"/>
        </w:rPr>
        <w:t>,</w:t>
      </w:r>
      <w:r w:rsidRPr="001C1ED7">
        <w:rPr>
          <w:rFonts w:ascii="Arial" w:hAnsi="Arial" w:cs="Arial"/>
          <w:sz w:val="24"/>
          <w:szCs w:val="24"/>
        </w:rPr>
        <w:t xml:space="preserve"> or any other person under control of the applicants</w:t>
      </w:r>
      <w:r w:rsidR="00033F04">
        <w:rPr>
          <w:rFonts w:ascii="Arial" w:hAnsi="Arial" w:cs="Arial"/>
          <w:sz w:val="24"/>
          <w:szCs w:val="24"/>
        </w:rPr>
        <w:t>,</w:t>
      </w:r>
      <w:r w:rsidRPr="001C1ED7">
        <w:rPr>
          <w:rFonts w:ascii="Arial" w:hAnsi="Arial" w:cs="Arial"/>
          <w:sz w:val="24"/>
          <w:szCs w:val="24"/>
        </w:rPr>
        <w:t xml:space="preserve"> to enter and take possession of the farms and to conduct farming activities on them.</w:t>
      </w:r>
    </w:p>
    <w:p w:rsidR="001C1ED7" w:rsidRPr="001C1ED7" w:rsidRDefault="001C1ED7" w:rsidP="001C1ED7">
      <w:pPr>
        <w:pStyle w:val="BodyText"/>
        <w:numPr>
          <w:ilvl w:val="0"/>
          <w:numId w:val="4"/>
        </w:numPr>
        <w:spacing w:line="360" w:lineRule="auto"/>
        <w:jc w:val="both"/>
        <w:rPr>
          <w:rFonts w:ascii="Arial" w:hAnsi="Arial" w:cs="Arial"/>
          <w:sz w:val="24"/>
          <w:szCs w:val="24"/>
        </w:rPr>
      </w:pPr>
      <w:r w:rsidRPr="001C1ED7">
        <w:rPr>
          <w:rFonts w:ascii="Arial" w:hAnsi="Arial" w:cs="Arial"/>
          <w:sz w:val="24"/>
          <w:szCs w:val="24"/>
        </w:rPr>
        <w:t>In the event of the respondent failing to comply with paragraph 1</w:t>
      </w:r>
      <w:r w:rsidR="001F2294">
        <w:rPr>
          <w:rFonts w:ascii="Arial" w:hAnsi="Arial" w:cs="Arial"/>
          <w:sz w:val="24"/>
          <w:szCs w:val="24"/>
        </w:rPr>
        <w:t xml:space="preserve"> a</w:t>
      </w:r>
      <w:r w:rsidRPr="001C1ED7">
        <w:rPr>
          <w:rFonts w:ascii="Arial" w:hAnsi="Arial" w:cs="Arial"/>
          <w:sz w:val="24"/>
          <w:szCs w:val="24"/>
        </w:rPr>
        <w:t xml:space="preserve">bove, the applicants are authorised to, at the cost of the respondent, remove the respondent’s livestock and take them to the nearest pound in Utrecht </w:t>
      </w:r>
      <w:r w:rsidR="001F2294">
        <w:rPr>
          <w:rFonts w:ascii="Arial" w:hAnsi="Arial" w:cs="Arial"/>
          <w:sz w:val="24"/>
          <w:szCs w:val="24"/>
        </w:rPr>
        <w:t>and</w:t>
      </w:r>
      <w:r w:rsidRPr="001C1ED7">
        <w:rPr>
          <w:rFonts w:ascii="Arial" w:hAnsi="Arial" w:cs="Arial"/>
          <w:sz w:val="24"/>
          <w:szCs w:val="24"/>
        </w:rPr>
        <w:t xml:space="preserve"> place any of the respondents farming equipment and movable assets still remaining on the farms in storage.</w:t>
      </w:r>
    </w:p>
    <w:p w:rsidR="001C1ED7" w:rsidRPr="001C1ED7" w:rsidRDefault="001C1ED7" w:rsidP="001C1ED7">
      <w:pPr>
        <w:pStyle w:val="BodyText"/>
        <w:numPr>
          <w:ilvl w:val="0"/>
          <w:numId w:val="4"/>
        </w:numPr>
        <w:spacing w:line="360" w:lineRule="auto"/>
        <w:jc w:val="both"/>
        <w:rPr>
          <w:rFonts w:ascii="Arial" w:hAnsi="Arial" w:cs="Arial"/>
          <w:sz w:val="24"/>
          <w:szCs w:val="24"/>
        </w:rPr>
      </w:pPr>
      <w:r w:rsidRPr="001C1ED7">
        <w:rPr>
          <w:rFonts w:ascii="Arial" w:hAnsi="Arial" w:cs="Arial"/>
          <w:sz w:val="24"/>
          <w:szCs w:val="24"/>
        </w:rPr>
        <w:t>The respondent is ordered to pay the costs of this application.</w:t>
      </w:r>
    </w:p>
    <w:p w:rsidR="001C1ED7" w:rsidRPr="001C1ED7" w:rsidRDefault="001C1ED7" w:rsidP="001C1ED7">
      <w:pPr>
        <w:spacing w:after="0" w:line="360" w:lineRule="auto"/>
        <w:jc w:val="both"/>
        <w:rPr>
          <w:rFonts w:ascii="Arial" w:hAnsi="Arial" w:cs="Arial"/>
          <w:sz w:val="24"/>
          <w:szCs w:val="24"/>
        </w:rPr>
      </w:pPr>
    </w:p>
    <w:p w:rsidR="001C1ED7" w:rsidRPr="001C1ED7" w:rsidRDefault="001C1ED7" w:rsidP="001C1ED7">
      <w:pPr>
        <w:spacing w:after="0" w:line="360" w:lineRule="auto"/>
        <w:jc w:val="both"/>
        <w:rPr>
          <w:rFonts w:ascii="Arial" w:hAnsi="Arial" w:cs="Arial"/>
          <w:sz w:val="24"/>
          <w:szCs w:val="24"/>
        </w:rPr>
      </w:pPr>
    </w:p>
    <w:p w:rsidR="00B36381" w:rsidRPr="001C1ED7" w:rsidRDefault="00B36381" w:rsidP="001C1ED7">
      <w:pPr>
        <w:spacing w:after="0" w:line="360" w:lineRule="auto"/>
        <w:jc w:val="both"/>
        <w:rPr>
          <w:rFonts w:ascii="Arial" w:hAnsi="Arial" w:cs="Arial"/>
          <w:b/>
          <w:bCs/>
          <w:sz w:val="24"/>
          <w:szCs w:val="24"/>
        </w:rPr>
      </w:pPr>
    </w:p>
    <w:p w:rsidR="00B36381" w:rsidRPr="001C1ED7" w:rsidRDefault="00B36381" w:rsidP="001C1ED7">
      <w:pPr>
        <w:spacing w:after="0" w:line="360" w:lineRule="auto"/>
        <w:jc w:val="both"/>
        <w:rPr>
          <w:rFonts w:ascii="Arial" w:hAnsi="Arial" w:cs="Arial"/>
          <w:b/>
          <w:bCs/>
          <w:sz w:val="24"/>
          <w:szCs w:val="24"/>
        </w:rPr>
      </w:pPr>
    </w:p>
    <w:p w:rsidR="00B36381" w:rsidRPr="001C1ED7" w:rsidRDefault="00B36381" w:rsidP="001C1ED7">
      <w:pPr>
        <w:spacing w:after="0" w:line="360" w:lineRule="auto"/>
        <w:ind w:left="5760" w:firstLine="720"/>
        <w:jc w:val="both"/>
        <w:rPr>
          <w:rFonts w:ascii="Arial" w:hAnsi="Arial" w:cs="Arial"/>
          <w:b/>
          <w:bCs/>
          <w:sz w:val="24"/>
          <w:szCs w:val="24"/>
        </w:rPr>
      </w:pPr>
      <w:r w:rsidRPr="001C1ED7">
        <w:rPr>
          <w:rFonts w:ascii="Arial" w:hAnsi="Arial" w:cs="Arial"/>
          <w:b/>
          <w:bCs/>
          <w:sz w:val="24"/>
          <w:szCs w:val="24"/>
        </w:rPr>
        <w:t>_________________</w:t>
      </w:r>
    </w:p>
    <w:p w:rsidR="00472F67" w:rsidRPr="002A4554" w:rsidRDefault="00B36381" w:rsidP="002A4554">
      <w:pPr>
        <w:spacing w:after="0" w:line="360" w:lineRule="auto"/>
        <w:ind w:left="5760" w:firstLine="720"/>
        <w:jc w:val="both"/>
        <w:rPr>
          <w:rFonts w:ascii="Arial" w:hAnsi="Arial" w:cs="Arial"/>
          <w:b/>
          <w:bCs/>
          <w:sz w:val="24"/>
          <w:szCs w:val="24"/>
        </w:rPr>
      </w:pPr>
      <w:r w:rsidRPr="001C1ED7">
        <w:rPr>
          <w:rFonts w:ascii="Arial" w:hAnsi="Arial" w:cs="Arial"/>
          <w:b/>
          <w:bCs/>
          <w:sz w:val="24"/>
          <w:szCs w:val="24"/>
        </w:rPr>
        <w:t>PITMAN AJ</w:t>
      </w:r>
    </w:p>
    <w:p w:rsidR="00472F67" w:rsidRDefault="00472F67" w:rsidP="001C1ED7">
      <w:pPr>
        <w:spacing w:after="0" w:line="360" w:lineRule="auto"/>
        <w:jc w:val="both"/>
        <w:rPr>
          <w:rFonts w:ascii="Arial" w:hAnsi="Arial" w:cs="Arial"/>
          <w:sz w:val="24"/>
          <w:szCs w:val="24"/>
        </w:rPr>
      </w:pPr>
    </w:p>
    <w:p w:rsidR="00B36381" w:rsidRPr="001C1ED7" w:rsidRDefault="00B36381" w:rsidP="001C1ED7">
      <w:pPr>
        <w:spacing w:after="0" w:line="360" w:lineRule="auto"/>
        <w:jc w:val="both"/>
        <w:rPr>
          <w:rFonts w:ascii="Arial" w:hAnsi="Arial" w:cs="Arial"/>
          <w:sz w:val="24"/>
          <w:szCs w:val="24"/>
        </w:rPr>
      </w:pPr>
      <w:r w:rsidRPr="001C1ED7">
        <w:rPr>
          <w:rFonts w:ascii="Arial" w:hAnsi="Arial" w:cs="Arial"/>
          <w:sz w:val="24"/>
          <w:szCs w:val="24"/>
        </w:rPr>
        <w:t>Date reserved:</w:t>
      </w:r>
      <w:r w:rsidRPr="001C1ED7">
        <w:rPr>
          <w:rFonts w:ascii="Arial" w:hAnsi="Arial" w:cs="Arial"/>
          <w:sz w:val="24"/>
          <w:szCs w:val="24"/>
        </w:rPr>
        <w:tab/>
      </w:r>
      <w:r w:rsidRPr="001C1ED7">
        <w:rPr>
          <w:rFonts w:ascii="Arial" w:hAnsi="Arial" w:cs="Arial"/>
          <w:sz w:val="24"/>
          <w:szCs w:val="24"/>
        </w:rPr>
        <w:tab/>
      </w:r>
      <w:r w:rsidRPr="001C1ED7">
        <w:rPr>
          <w:rFonts w:ascii="Arial" w:hAnsi="Arial" w:cs="Arial"/>
          <w:sz w:val="24"/>
          <w:szCs w:val="24"/>
        </w:rPr>
        <w:tab/>
      </w:r>
      <w:r w:rsidR="00472F67">
        <w:rPr>
          <w:rFonts w:ascii="Arial" w:hAnsi="Arial" w:cs="Arial"/>
          <w:sz w:val="24"/>
          <w:szCs w:val="24"/>
        </w:rPr>
        <w:t>1</w:t>
      </w:r>
      <w:r w:rsidRPr="001C1ED7">
        <w:rPr>
          <w:rFonts w:ascii="Arial" w:hAnsi="Arial" w:cs="Arial"/>
          <w:sz w:val="24"/>
          <w:szCs w:val="24"/>
        </w:rPr>
        <w:t>2 February 2024</w:t>
      </w:r>
    </w:p>
    <w:p w:rsidR="00B36381" w:rsidRPr="001C1ED7" w:rsidRDefault="00B36381" w:rsidP="001C1ED7">
      <w:pPr>
        <w:spacing w:after="0" w:line="360" w:lineRule="auto"/>
        <w:jc w:val="both"/>
        <w:rPr>
          <w:rFonts w:ascii="Arial" w:hAnsi="Arial" w:cs="Arial"/>
          <w:sz w:val="24"/>
          <w:szCs w:val="24"/>
        </w:rPr>
      </w:pPr>
      <w:r w:rsidRPr="001C1ED7">
        <w:rPr>
          <w:rFonts w:ascii="Arial" w:hAnsi="Arial" w:cs="Arial"/>
          <w:sz w:val="24"/>
          <w:szCs w:val="24"/>
        </w:rPr>
        <w:t>Date delivered:</w:t>
      </w:r>
      <w:r w:rsidR="00472F67">
        <w:rPr>
          <w:rFonts w:ascii="Arial" w:hAnsi="Arial" w:cs="Arial"/>
          <w:sz w:val="24"/>
          <w:szCs w:val="24"/>
        </w:rPr>
        <w:tab/>
      </w:r>
      <w:r w:rsidR="00472F67">
        <w:rPr>
          <w:rFonts w:ascii="Arial" w:hAnsi="Arial" w:cs="Arial"/>
          <w:sz w:val="24"/>
          <w:szCs w:val="24"/>
        </w:rPr>
        <w:tab/>
      </w:r>
      <w:r w:rsidR="00472F67">
        <w:rPr>
          <w:rFonts w:ascii="Arial" w:hAnsi="Arial" w:cs="Arial"/>
          <w:sz w:val="24"/>
          <w:szCs w:val="24"/>
        </w:rPr>
        <w:tab/>
      </w:r>
      <w:r w:rsidRPr="001C1ED7">
        <w:rPr>
          <w:rFonts w:ascii="Arial" w:hAnsi="Arial" w:cs="Arial"/>
          <w:sz w:val="24"/>
          <w:szCs w:val="24"/>
        </w:rPr>
        <w:t xml:space="preserve"> </w:t>
      </w:r>
      <w:r w:rsidR="001F2294">
        <w:rPr>
          <w:rFonts w:ascii="Arial" w:hAnsi="Arial" w:cs="Arial"/>
          <w:sz w:val="24"/>
          <w:szCs w:val="24"/>
        </w:rPr>
        <w:t xml:space="preserve">23 </w:t>
      </w:r>
      <w:r w:rsidRPr="001C1ED7">
        <w:rPr>
          <w:rFonts w:ascii="Arial" w:hAnsi="Arial" w:cs="Arial"/>
          <w:sz w:val="24"/>
          <w:szCs w:val="24"/>
        </w:rPr>
        <w:t>February 2024</w:t>
      </w:r>
    </w:p>
    <w:p w:rsidR="00B36381" w:rsidRPr="001C1ED7" w:rsidRDefault="00B36381" w:rsidP="001C1ED7">
      <w:pPr>
        <w:spacing w:after="0" w:line="360" w:lineRule="auto"/>
        <w:jc w:val="both"/>
        <w:rPr>
          <w:rFonts w:ascii="Arial" w:hAnsi="Arial" w:cs="Arial"/>
          <w:sz w:val="24"/>
          <w:szCs w:val="24"/>
        </w:rPr>
      </w:pPr>
    </w:p>
    <w:p w:rsidR="00B36381" w:rsidRPr="001C1ED7" w:rsidRDefault="00B36381" w:rsidP="001C1ED7">
      <w:pPr>
        <w:spacing w:after="0" w:line="360" w:lineRule="auto"/>
        <w:jc w:val="both"/>
        <w:rPr>
          <w:rFonts w:ascii="Arial" w:hAnsi="Arial" w:cs="Arial"/>
          <w:sz w:val="24"/>
          <w:szCs w:val="24"/>
        </w:rPr>
      </w:pPr>
      <w:r w:rsidRPr="001C1ED7">
        <w:rPr>
          <w:rFonts w:ascii="Arial" w:hAnsi="Arial" w:cs="Arial"/>
          <w:sz w:val="24"/>
          <w:szCs w:val="24"/>
        </w:rPr>
        <w:t>For Applicant:</w:t>
      </w:r>
      <w:r w:rsidRPr="001C1ED7">
        <w:rPr>
          <w:rFonts w:ascii="Arial" w:hAnsi="Arial" w:cs="Arial"/>
          <w:sz w:val="24"/>
          <w:szCs w:val="24"/>
        </w:rPr>
        <w:tab/>
      </w:r>
      <w:r w:rsidRPr="001C1ED7">
        <w:rPr>
          <w:rFonts w:ascii="Arial" w:hAnsi="Arial" w:cs="Arial"/>
          <w:sz w:val="24"/>
          <w:szCs w:val="24"/>
        </w:rPr>
        <w:tab/>
      </w:r>
      <w:r w:rsidRPr="001C1ED7">
        <w:rPr>
          <w:rFonts w:ascii="Arial" w:hAnsi="Arial" w:cs="Arial"/>
          <w:sz w:val="24"/>
          <w:szCs w:val="24"/>
        </w:rPr>
        <w:tab/>
        <w:t xml:space="preserve">Adv </w:t>
      </w:r>
      <w:r w:rsidR="00472F67">
        <w:rPr>
          <w:rFonts w:ascii="Arial" w:hAnsi="Arial" w:cs="Arial"/>
          <w:sz w:val="24"/>
          <w:szCs w:val="24"/>
        </w:rPr>
        <w:t>Botes SC – Adv Gous</w:t>
      </w:r>
    </w:p>
    <w:p w:rsidR="00E571D3" w:rsidRDefault="00B36381" w:rsidP="00472F67">
      <w:pPr>
        <w:spacing w:after="0" w:line="360" w:lineRule="auto"/>
        <w:jc w:val="both"/>
        <w:rPr>
          <w:rFonts w:ascii="Arial" w:hAnsi="Arial" w:cs="Arial"/>
          <w:sz w:val="24"/>
          <w:szCs w:val="24"/>
        </w:rPr>
      </w:pPr>
      <w:r w:rsidRPr="001C1ED7">
        <w:rPr>
          <w:rFonts w:ascii="Arial" w:hAnsi="Arial" w:cs="Arial"/>
          <w:sz w:val="24"/>
          <w:szCs w:val="24"/>
        </w:rPr>
        <w:t>Instructed by:</w:t>
      </w:r>
      <w:r w:rsidRPr="001C1ED7">
        <w:rPr>
          <w:rFonts w:ascii="Arial" w:hAnsi="Arial" w:cs="Arial"/>
          <w:sz w:val="24"/>
          <w:szCs w:val="24"/>
        </w:rPr>
        <w:tab/>
      </w:r>
      <w:r w:rsidRPr="001C1ED7">
        <w:rPr>
          <w:rFonts w:ascii="Arial" w:hAnsi="Arial" w:cs="Arial"/>
          <w:sz w:val="24"/>
          <w:szCs w:val="24"/>
        </w:rPr>
        <w:tab/>
      </w:r>
      <w:r w:rsidRPr="001C1ED7">
        <w:rPr>
          <w:rFonts w:ascii="Arial" w:hAnsi="Arial" w:cs="Arial"/>
          <w:sz w:val="24"/>
          <w:szCs w:val="24"/>
        </w:rPr>
        <w:tab/>
      </w:r>
      <w:r w:rsidR="00472F67">
        <w:rPr>
          <w:rFonts w:ascii="Arial" w:hAnsi="Arial" w:cs="Arial"/>
          <w:sz w:val="24"/>
          <w:szCs w:val="24"/>
        </w:rPr>
        <w:t>Van Der Merwe &amp; Associates</w:t>
      </w:r>
    </w:p>
    <w:p w:rsidR="00472F67" w:rsidRDefault="00472F67" w:rsidP="00472F6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hyperlink r:id="rId8" w:history="1">
        <w:r w:rsidRPr="00B41B11">
          <w:rPr>
            <w:rStyle w:val="Hyperlink"/>
            <w:rFonts w:ascii="Arial" w:hAnsi="Arial" w:cs="Arial"/>
            <w:sz w:val="24"/>
            <w:szCs w:val="24"/>
          </w:rPr>
          <w:t>legal5@vdmass.co.za</w:t>
        </w:r>
      </w:hyperlink>
    </w:p>
    <w:p w:rsidR="00472F67" w:rsidRDefault="00472F67" w:rsidP="00472F6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087 654 0209</w:t>
      </w:r>
    </w:p>
    <w:p w:rsidR="00472F67" w:rsidRDefault="00472F67" w:rsidP="00472F6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I RAUCH/zl/ MW0020/4</w:t>
      </w:r>
    </w:p>
    <w:p w:rsidR="00E571D3" w:rsidRPr="001C1ED7" w:rsidRDefault="00472F67" w:rsidP="001C1ED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571D3" w:rsidRPr="001C1ED7">
        <w:rPr>
          <w:rFonts w:ascii="Arial" w:hAnsi="Arial" w:cs="Arial"/>
          <w:sz w:val="24"/>
          <w:szCs w:val="24"/>
        </w:rPr>
        <w:t xml:space="preserve">c/o </w:t>
      </w:r>
      <w:r>
        <w:rPr>
          <w:rFonts w:ascii="Arial" w:hAnsi="Arial" w:cs="Arial"/>
          <w:sz w:val="24"/>
          <w:szCs w:val="24"/>
        </w:rPr>
        <w:t>Botha &amp; Olivier Inc</w:t>
      </w:r>
    </w:p>
    <w:p w:rsidR="00472F67" w:rsidRDefault="00E571D3" w:rsidP="001C1ED7">
      <w:pPr>
        <w:spacing w:after="0" w:line="360" w:lineRule="auto"/>
        <w:jc w:val="both"/>
        <w:rPr>
          <w:rFonts w:ascii="Arial" w:hAnsi="Arial" w:cs="Arial"/>
          <w:sz w:val="24"/>
          <w:szCs w:val="24"/>
        </w:rPr>
      </w:pPr>
      <w:r w:rsidRPr="001C1ED7">
        <w:rPr>
          <w:rFonts w:ascii="Arial" w:hAnsi="Arial" w:cs="Arial"/>
          <w:sz w:val="24"/>
          <w:szCs w:val="24"/>
        </w:rPr>
        <w:tab/>
      </w:r>
      <w:r w:rsidRPr="001C1ED7">
        <w:rPr>
          <w:rFonts w:ascii="Arial" w:hAnsi="Arial" w:cs="Arial"/>
          <w:sz w:val="24"/>
          <w:szCs w:val="24"/>
        </w:rPr>
        <w:tab/>
      </w:r>
      <w:r w:rsidRPr="001C1ED7">
        <w:rPr>
          <w:rFonts w:ascii="Arial" w:hAnsi="Arial" w:cs="Arial"/>
          <w:sz w:val="24"/>
          <w:szCs w:val="24"/>
        </w:rPr>
        <w:tab/>
      </w:r>
      <w:r w:rsidRPr="001C1ED7">
        <w:rPr>
          <w:rFonts w:ascii="Arial" w:hAnsi="Arial" w:cs="Arial"/>
          <w:sz w:val="24"/>
          <w:szCs w:val="24"/>
        </w:rPr>
        <w:tab/>
      </w:r>
      <w:r w:rsidRPr="001C1ED7">
        <w:rPr>
          <w:rFonts w:ascii="Arial" w:hAnsi="Arial" w:cs="Arial"/>
          <w:sz w:val="24"/>
          <w:szCs w:val="24"/>
        </w:rPr>
        <w:tab/>
      </w:r>
      <w:r w:rsidR="0005380D">
        <w:rPr>
          <w:rFonts w:ascii="Arial" w:hAnsi="Arial" w:cs="Arial"/>
          <w:sz w:val="24"/>
          <w:szCs w:val="24"/>
        </w:rPr>
        <w:t>T</w:t>
      </w:r>
      <w:r w:rsidRPr="001C1ED7">
        <w:rPr>
          <w:rFonts w:ascii="Arial" w:hAnsi="Arial" w:cs="Arial"/>
          <w:sz w:val="24"/>
          <w:szCs w:val="24"/>
        </w:rPr>
        <w:t>el: 033</w:t>
      </w:r>
      <w:r w:rsidR="00472F67">
        <w:rPr>
          <w:rFonts w:ascii="Arial" w:hAnsi="Arial" w:cs="Arial"/>
          <w:sz w:val="24"/>
          <w:szCs w:val="24"/>
        </w:rPr>
        <w:t xml:space="preserve"> 342 7190</w:t>
      </w:r>
    </w:p>
    <w:p w:rsidR="00E571D3" w:rsidRDefault="00E571D3" w:rsidP="001C1ED7">
      <w:pPr>
        <w:spacing w:after="0" w:line="360" w:lineRule="auto"/>
        <w:jc w:val="both"/>
        <w:rPr>
          <w:rFonts w:ascii="Arial" w:hAnsi="Arial" w:cs="Arial"/>
          <w:sz w:val="24"/>
          <w:szCs w:val="24"/>
        </w:rPr>
      </w:pPr>
      <w:r w:rsidRPr="001C1ED7">
        <w:rPr>
          <w:rFonts w:ascii="Arial" w:hAnsi="Arial" w:cs="Arial"/>
          <w:sz w:val="24"/>
          <w:szCs w:val="24"/>
        </w:rPr>
        <w:tab/>
      </w:r>
      <w:r w:rsidRPr="001C1ED7">
        <w:rPr>
          <w:rFonts w:ascii="Arial" w:hAnsi="Arial" w:cs="Arial"/>
          <w:sz w:val="24"/>
          <w:szCs w:val="24"/>
        </w:rPr>
        <w:tab/>
      </w:r>
      <w:r w:rsidRPr="001C1ED7">
        <w:rPr>
          <w:rFonts w:ascii="Arial" w:hAnsi="Arial" w:cs="Arial"/>
          <w:sz w:val="24"/>
          <w:szCs w:val="24"/>
        </w:rPr>
        <w:tab/>
      </w:r>
      <w:r w:rsidRPr="001C1ED7">
        <w:rPr>
          <w:rFonts w:ascii="Arial" w:hAnsi="Arial" w:cs="Arial"/>
          <w:sz w:val="24"/>
          <w:szCs w:val="24"/>
        </w:rPr>
        <w:tab/>
      </w:r>
      <w:r w:rsidRPr="001C1ED7">
        <w:rPr>
          <w:rFonts w:ascii="Arial" w:hAnsi="Arial" w:cs="Arial"/>
          <w:sz w:val="24"/>
          <w:szCs w:val="24"/>
        </w:rPr>
        <w:tab/>
      </w:r>
      <w:r w:rsidR="0005380D">
        <w:rPr>
          <w:rFonts w:ascii="Arial" w:hAnsi="Arial" w:cs="Arial"/>
          <w:sz w:val="24"/>
          <w:szCs w:val="24"/>
        </w:rPr>
        <w:t>E</w:t>
      </w:r>
      <w:r w:rsidRPr="001C1ED7">
        <w:rPr>
          <w:rFonts w:ascii="Arial" w:hAnsi="Arial" w:cs="Arial"/>
          <w:sz w:val="24"/>
          <w:szCs w:val="24"/>
        </w:rPr>
        <w:t>mail:</w:t>
      </w:r>
      <w:r w:rsidR="00472F67">
        <w:rPr>
          <w:rFonts w:ascii="Arial" w:hAnsi="Arial" w:cs="Arial"/>
          <w:sz w:val="24"/>
          <w:szCs w:val="24"/>
        </w:rPr>
        <w:tab/>
        <w:t>sanet.botha@bando.co.za</w:t>
      </w:r>
    </w:p>
    <w:p w:rsidR="00472F67" w:rsidRPr="001C1ED7" w:rsidRDefault="00472F67" w:rsidP="001C1ED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cathys@bando.co.za</w:t>
      </w:r>
    </w:p>
    <w:p w:rsidR="00B36381" w:rsidRPr="001C1ED7" w:rsidRDefault="00B36381" w:rsidP="001C1ED7">
      <w:pPr>
        <w:spacing w:after="0" w:line="360" w:lineRule="auto"/>
        <w:jc w:val="both"/>
        <w:rPr>
          <w:rFonts w:ascii="Arial" w:hAnsi="Arial" w:cs="Arial"/>
          <w:sz w:val="24"/>
          <w:szCs w:val="24"/>
        </w:rPr>
      </w:pPr>
    </w:p>
    <w:p w:rsidR="00B36381" w:rsidRPr="001C1ED7" w:rsidRDefault="00B36381" w:rsidP="001C1ED7">
      <w:pPr>
        <w:spacing w:after="0" w:line="360" w:lineRule="auto"/>
        <w:jc w:val="both"/>
        <w:rPr>
          <w:rFonts w:ascii="Arial" w:hAnsi="Arial" w:cs="Arial"/>
          <w:sz w:val="24"/>
          <w:szCs w:val="24"/>
        </w:rPr>
      </w:pPr>
      <w:r w:rsidRPr="001C1ED7">
        <w:rPr>
          <w:rFonts w:ascii="Arial" w:hAnsi="Arial" w:cs="Arial"/>
          <w:sz w:val="24"/>
          <w:szCs w:val="24"/>
        </w:rPr>
        <w:t>For Respondents:</w:t>
      </w:r>
      <w:r w:rsidRPr="001C1ED7">
        <w:rPr>
          <w:rFonts w:ascii="Arial" w:hAnsi="Arial" w:cs="Arial"/>
          <w:sz w:val="24"/>
          <w:szCs w:val="24"/>
        </w:rPr>
        <w:tab/>
      </w:r>
      <w:r w:rsidRPr="001C1ED7">
        <w:rPr>
          <w:rFonts w:ascii="Arial" w:hAnsi="Arial" w:cs="Arial"/>
          <w:sz w:val="24"/>
          <w:szCs w:val="24"/>
        </w:rPr>
        <w:tab/>
      </w:r>
      <w:r w:rsidRPr="001C1ED7">
        <w:rPr>
          <w:rFonts w:ascii="Arial" w:hAnsi="Arial" w:cs="Arial"/>
          <w:sz w:val="24"/>
          <w:szCs w:val="24"/>
        </w:rPr>
        <w:tab/>
        <w:t xml:space="preserve">Adv </w:t>
      </w:r>
      <w:r w:rsidR="00472F67">
        <w:rPr>
          <w:rFonts w:ascii="Arial" w:hAnsi="Arial" w:cs="Arial"/>
          <w:sz w:val="24"/>
          <w:szCs w:val="24"/>
        </w:rPr>
        <w:t>H</w:t>
      </w:r>
      <w:r w:rsidR="00824335">
        <w:rPr>
          <w:rFonts w:ascii="Arial" w:hAnsi="Arial" w:cs="Arial"/>
          <w:sz w:val="24"/>
          <w:szCs w:val="24"/>
        </w:rPr>
        <w:t>a</w:t>
      </w:r>
      <w:r w:rsidR="00472F67">
        <w:rPr>
          <w:rFonts w:ascii="Arial" w:hAnsi="Arial" w:cs="Arial"/>
          <w:sz w:val="24"/>
          <w:szCs w:val="24"/>
        </w:rPr>
        <w:t>tting</w:t>
      </w:r>
      <w:r w:rsidR="00824335">
        <w:rPr>
          <w:rFonts w:ascii="Arial" w:hAnsi="Arial" w:cs="Arial"/>
          <w:sz w:val="24"/>
          <w:szCs w:val="24"/>
        </w:rPr>
        <w:t>h</w:t>
      </w:r>
    </w:p>
    <w:p w:rsidR="00B36381" w:rsidRDefault="00B36381" w:rsidP="00472F67">
      <w:pPr>
        <w:spacing w:after="0" w:line="360" w:lineRule="auto"/>
        <w:jc w:val="both"/>
        <w:rPr>
          <w:rFonts w:ascii="Arial" w:hAnsi="Arial" w:cs="Arial"/>
          <w:sz w:val="24"/>
          <w:szCs w:val="24"/>
        </w:rPr>
      </w:pPr>
      <w:r w:rsidRPr="001C1ED7">
        <w:rPr>
          <w:rFonts w:ascii="Arial" w:hAnsi="Arial" w:cs="Arial"/>
          <w:sz w:val="24"/>
          <w:szCs w:val="24"/>
        </w:rPr>
        <w:t>Instructed by:</w:t>
      </w:r>
      <w:r w:rsidRPr="001C1ED7">
        <w:rPr>
          <w:rFonts w:ascii="Arial" w:hAnsi="Arial" w:cs="Arial"/>
          <w:sz w:val="24"/>
          <w:szCs w:val="24"/>
        </w:rPr>
        <w:tab/>
      </w:r>
      <w:r w:rsidRPr="001C1ED7">
        <w:rPr>
          <w:rFonts w:ascii="Arial" w:hAnsi="Arial" w:cs="Arial"/>
          <w:sz w:val="24"/>
          <w:szCs w:val="24"/>
        </w:rPr>
        <w:tab/>
      </w:r>
      <w:r w:rsidRPr="001C1ED7">
        <w:rPr>
          <w:rFonts w:ascii="Arial" w:hAnsi="Arial" w:cs="Arial"/>
          <w:sz w:val="24"/>
          <w:szCs w:val="24"/>
        </w:rPr>
        <w:tab/>
      </w:r>
      <w:r w:rsidR="00472F67">
        <w:rPr>
          <w:rFonts w:ascii="Arial" w:hAnsi="Arial" w:cs="Arial"/>
          <w:sz w:val="24"/>
          <w:szCs w:val="24"/>
        </w:rPr>
        <w:t>Hartzenberg Incorporated</w:t>
      </w:r>
    </w:p>
    <w:p w:rsidR="00472F67" w:rsidRDefault="00472F67" w:rsidP="00472F6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C1ED7">
        <w:rPr>
          <w:rFonts w:ascii="Arial" w:hAnsi="Arial" w:cs="Arial"/>
          <w:sz w:val="24"/>
          <w:szCs w:val="24"/>
        </w:rPr>
        <w:t xml:space="preserve">Email: </w:t>
      </w:r>
      <w:r>
        <w:rPr>
          <w:rFonts w:ascii="Arial" w:hAnsi="Arial" w:cs="Arial"/>
          <w:sz w:val="24"/>
          <w:szCs w:val="24"/>
        </w:rPr>
        <w:t>f.hartzenberg@hartzlaw.</w:t>
      </w:r>
      <w:r w:rsidRPr="001C1ED7">
        <w:rPr>
          <w:rFonts w:ascii="Arial" w:hAnsi="Arial" w:cs="Arial"/>
          <w:sz w:val="24"/>
          <w:szCs w:val="24"/>
        </w:rPr>
        <w:t>co.za</w:t>
      </w:r>
    </w:p>
    <w:p w:rsidR="00472F67" w:rsidRDefault="00472F67" w:rsidP="00472F6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012 362 8994</w:t>
      </w:r>
    </w:p>
    <w:p w:rsidR="00E571D3" w:rsidRDefault="00472F67" w:rsidP="001C1ED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F HARTZENBERG/LS/SCH2734</w:t>
      </w:r>
      <w:r w:rsidR="00E571D3" w:rsidRPr="001C1ED7">
        <w:rPr>
          <w:rFonts w:ascii="Arial" w:hAnsi="Arial" w:cs="Arial"/>
          <w:sz w:val="24"/>
          <w:szCs w:val="24"/>
        </w:rPr>
        <w:tab/>
      </w:r>
      <w:r w:rsidR="00E571D3" w:rsidRPr="001C1ED7">
        <w:rPr>
          <w:rFonts w:ascii="Arial" w:hAnsi="Arial" w:cs="Arial"/>
          <w:sz w:val="24"/>
          <w:szCs w:val="24"/>
        </w:rPr>
        <w:tab/>
      </w:r>
      <w:r w:rsidR="00E571D3" w:rsidRPr="001C1ED7">
        <w:rPr>
          <w:rFonts w:ascii="Arial" w:hAnsi="Arial" w:cs="Arial"/>
          <w:sz w:val="24"/>
          <w:szCs w:val="24"/>
        </w:rPr>
        <w:tab/>
      </w:r>
      <w:r w:rsidR="00C83F2E">
        <w:rPr>
          <w:rFonts w:ascii="Arial" w:hAnsi="Arial" w:cs="Arial"/>
          <w:sz w:val="24"/>
          <w:szCs w:val="24"/>
        </w:rPr>
        <w:tab/>
      </w:r>
      <w:r w:rsidR="00C83F2E">
        <w:rPr>
          <w:rFonts w:ascii="Arial" w:hAnsi="Arial" w:cs="Arial"/>
          <w:sz w:val="24"/>
          <w:szCs w:val="24"/>
        </w:rPr>
        <w:tab/>
      </w:r>
      <w:r w:rsidR="00C83F2E">
        <w:rPr>
          <w:rFonts w:ascii="Arial" w:hAnsi="Arial" w:cs="Arial"/>
          <w:sz w:val="24"/>
          <w:szCs w:val="24"/>
        </w:rPr>
        <w:tab/>
      </w:r>
      <w:r w:rsidR="00C83F2E">
        <w:rPr>
          <w:rFonts w:ascii="Arial" w:hAnsi="Arial" w:cs="Arial"/>
          <w:sz w:val="24"/>
          <w:szCs w:val="24"/>
        </w:rPr>
        <w:tab/>
      </w:r>
      <w:r w:rsidR="00E571D3" w:rsidRPr="001C1ED7">
        <w:rPr>
          <w:rFonts w:ascii="Arial" w:hAnsi="Arial" w:cs="Arial"/>
          <w:sz w:val="24"/>
          <w:szCs w:val="24"/>
        </w:rPr>
        <w:t xml:space="preserve">c/o </w:t>
      </w:r>
      <w:r>
        <w:rPr>
          <w:rFonts w:ascii="Arial" w:hAnsi="Arial" w:cs="Arial"/>
          <w:sz w:val="24"/>
          <w:szCs w:val="24"/>
        </w:rPr>
        <w:t>Venn Nemeth &amp; Hart Attorneys</w:t>
      </w:r>
    </w:p>
    <w:p w:rsidR="00E571D3" w:rsidRPr="001C1ED7" w:rsidRDefault="00C83F2E" w:rsidP="00C83F2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J ASKEW/BERNICE</w:t>
      </w:r>
    </w:p>
    <w:p w:rsidR="00E571D3" w:rsidRPr="001C1ED7" w:rsidRDefault="00E571D3" w:rsidP="001C1ED7">
      <w:pPr>
        <w:spacing w:after="0" w:line="360" w:lineRule="auto"/>
        <w:jc w:val="both"/>
        <w:rPr>
          <w:rFonts w:ascii="Arial" w:hAnsi="Arial" w:cs="Arial"/>
          <w:sz w:val="24"/>
          <w:szCs w:val="24"/>
        </w:rPr>
      </w:pPr>
      <w:r w:rsidRPr="001C1ED7">
        <w:rPr>
          <w:rFonts w:ascii="Arial" w:hAnsi="Arial" w:cs="Arial"/>
          <w:sz w:val="24"/>
          <w:szCs w:val="24"/>
        </w:rPr>
        <w:tab/>
      </w:r>
      <w:r w:rsidRPr="001C1ED7">
        <w:rPr>
          <w:rFonts w:ascii="Arial" w:hAnsi="Arial" w:cs="Arial"/>
          <w:sz w:val="24"/>
          <w:szCs w:val="24"/>
        </w:rPr>
        <w:tab/>
      </w:r>
      <w:r w:rsidRPr="001C1ED7">
        <w:rPr>
          <w:rFonts w:ascii="Arial" w:hAnsi="Arial" w:cs="Arial"/>
          <w:sz w:val="24"/>
          <w:szCs w:val="24"/>
        </w:rPr>
        <w:tab/>
      </w:r>
      <w:r w:rsidRPr="001C1ED7">
        <w:rPr>
          <w:rFonts w:ascii="Arial" w:hAnsi="Arial" w:cs="Arial"/>
          <w:sz w:val="24"/>
          <w:szCs w:val="24"/>
        </w:rPr>
        <w:tab/>
      </w:r>
      <w:r w:rsidRPr="001C1ED7">
        <w:rPr>
          <w:rFonts w:ascii="Arial" w:hAnsi="Arial" w:cs="Arial"/>
          <w:sz w:val="24"/>
          <w:szCs w:val="24"/>
        </w:rPr>
        <w:tab/>
      </w:r>
    </w:p>
    <w:p w:rsidR="00B36381" w:rsidRPr="001C1ED7" w:rsidRDefault="00B36381" w:rsidP="001C1ED7">
      <w:pPr>
        <w:spacing w:after="0" w:line="360" w:lineRule="auto"/>
        <w:jc w:val="both"/>
        <w:rPr>
          <w:rFonts w:ascii="Arial" w:hAnsi="Arial" w:cs="Arial"/>
          <w:sz w:val="24"/>
          <w:szCs w:val="24"/>
        </w:rPr>
      </w:pPr>
    </w:p>
    <w:p w:rsidR="00B36381" w:rsidRPr="001C1ED7" w:rsidRDefault="00B36381" w:rsidP="001C1ED7">
      <w:pPr>
        <w:spacing w:after="0" w:line="360" w:lineRule="auto"/>
        <w:jc w:val="both"/>
        <w:rPr>
          <w:rFonts w:ascii="Arial" w:hAnsi="Arial" w:cs="Arial"/>
          <w:sz w:val="24"/>
          <w:szCs w:val="24"/>
        </w:rPr>
      </w:pPr>
    </w:p>
    <w:p w:rsidR="00B36381" w:rsidRPr="001C1ED7" w:rsidRDefault="00B36381" w:rsidP="001C1ED7">
      <w:pPr>
        <w:spacing w:after="0" w:line="360" w:lineRule="auto"/>
        <w:jc w:val="both"/>
        <w:rPr>
          <w:rFonts w:ascii="Arial" w:hAnsi="Arial" w:cs="Arial"/>
          <w:sz w:val="24"/>
          <w:szCs w:val="24"/>
        </w:rPr>
      </w:pPr>
    </w:p>
    <w:p w:rsidR="009B7396" w:rsidRPr="001C1ED7" w:rsidRDefault="009B7396" w:rsidP="001C1ED7">
      <w:pPr>
        <w:spacing w:after="0" w:line="360" w:lineRule="auto"/>
        <w:jc w:val="both"/>
        <w:rPr>
          <w:rFonts w:ascii="Arial" w:hAnsi="Arial" w:cs="Arial"/>
          <w:sz w:val="24"/>
          <w:szCs w:val="24"/>
        </w:rPr>
      </w:pPr>
    </w:p>
    <w:p w:rsidR="009B7396" w:rsidRPr="009B7396" w:rsidRDefault="009B7396" w:rsidP="00384052">
      <w:pPr>
        <w:spacing w:after="0" w:line="360" w:lineRule="auto"/>
        <w:jc w:val="both"/>
        <w:rPr>
          <w:rFonts w:ascii="Arial" w:hAnsi="Arial" w:cs="Arial"/>
          <w:sz w:val="24"/>
          <w:szCs w:val="24"/>
        </w:rPr>
      </w:pPr>
    </w:p>
    <w:p w:rsidR="009B7396" w:rsidRPr="009B7396" w:rsidRDefault="009B7396" w:rsidP="00384052">
      <w:pPr>
        <w:spacing w:after="0" w:line="360" w:lineRule="auto"/>
        <w:jc w:val="both"/>
        <w:rPr>
          <w:rFonts w:ascii="Arial" w:hAnsi="Arial" w:cs="Arial"/>
          <w:sz w:val="24"/>
          <w:szCs w:val="24"/>
        </w:rPr>
      </w:pPr>
    </w:p>
    <w:p w:rsidR="009B7396" w:rsidRPr="009B7396" w:rsidRDefault="009B7396" w:rsidP="00384052">
      <w:pPr>
        <w:spacing w:after="0" w:line="360" w:lineRule="auto"/>
        <w:jc w:val="both"/>
        <w:rPr>
          <w:rFonts w:ascii="Arial" w:hAnsi="Arial" w:cs="Arial"/>
          <w:sz w:val="24"/>
          <w:szCs w:val="24"/>
        </w:rPr>
      </w:pPr>
    </w:p>
    <w:p w:rsidR="009B7396" w:rsidRPr="009B7396" w:rsidRDefault="009B7396" w:rsidP="00384052">
      <w:pPr>
        <w:spacing w:after="0" w:line="360" w:lineRule="auto"/>
        <w:jc w:val="both"/>
        <w:rPr>
          <w:rFonts w:ascii="Arial" w:eastAsia="Calibri" w:hAnsi="Arial" w:cs="Arial"/>
          <w:sz w:val="24"/>
          <w:szCs w:val="24"/>
          <w:lang w:val="en-GB"/>
        </w:rPr>
      </w:pPr>
    </w:p>
    <w:sectPr w:rsidR="009B7396" w:rsidRPr="009B7396" w:rsidSect="006C614F">
      <w:headerReference w:type="default" r:id="rId9"/>
      <w:pgSz w:w="11906" w:h="16838"/>
      <w:pgMar w:top="450" w:right="1440" w:bottom="27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42" w:rsidRDefault="00EE7A42" w:rsidP="0013593D">
      <w:pPr>
        <w:spacing w:after="0" w:line="240" w:lineRule="auto"/>
      </w:pPr>
      <w:r>
        <w:separator/>
      </w:r>
    </w:p>
  </w:endnote>
  <w:endnote w:type="continuationSeparator" w:id="0">
    <w:p w:rsidR="00EE7A42" w:rsidRDefault="00EE7A42" w:rsidP="0013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42" w:rsidRDefault="00EE7A42" w:rsidP="0013593D">
      <w:pPr>
        <w:spacing w:after="0" w:line="240" w:lineRule="auto"/>
      </w:pPr>
      <w:r>
        <w:separator/>
      </w:r>
    </w:p>
  </w:footnote>
  <w:footnote w:type="continuationSeparator" w:id="0">
    <w:p w:rsidR="00EE7A42" w:rsidRDefault="00EE7A42" w:rsidP="0013593D">
      <w:pPr>
        <w:spacing w:after="0" w:line="240" w:lineRule="auto"/>
      </w:pPr>
      <w:r>
        <w:continuationSeparator/>
      </w:r>
    </w:p>
  </w:footnote>
  <w:footnote w:id="1">
    <w:p w:rsidR="001C1ED7" w:rsidRPr="00D27E6C" w:rsidRDefault="001C1ED7" w:rsidP="001C1ED7">
      <w:pPr>
        <w:pStyle w:val="FootnoteText"/>
        <w:rPr>
          <w:lang w:val="en-US"/>
        </w:rPr>
      </w:pPr>
      <w:r>
        <w:rPr>
          <w:rStyle w:val="FootnoteReference"/>
        </w:rPr>
        <w:footnoteRef/>
      </w:r>
      <w:r>
        <w:t xml:space="preserve"> </w:t>
      </w:r>
      <w:r>
        <w:rPr>
          <w:lang w:val="en-US"/>
        </w:rPr>
        <w:t>Christie’s The Law of Contract in South Africa, Lexis Nexis, 6</w:t>
      </w:r>
      <w:r w:rsidRPr="00C834DD">
        <w:rPr>
          <w:vertAlign w:val="superscript"/>
          <w:lang w:val="en-US"/>
        </w:rPr>
        <w:t>th</w:t>
      </w:r>
      <w:r>
        <w:rPr>
          <w:lang w:val="en-US"/>
        </w:rPr>
        <w:t xml:space="preserve"> Edition at page 57.</w:t>
      </w:r>
    </w:p>
  </w:footnote>
  <w:footnote w:id="2">
    <w:p w:rsidR="001C1ED7" w:rsidRPr="00DF0DF3" w:rsidRDefault="001C1ED7" w:rsidP="001C1ED7">
      <w:pPr>
        <w:pStyle w:val="FootnoteText"/>
        <w:rPr>
          <w:lang w:val="en-US"/>
        </w:rPr>
      </w:pPr>
      <w:r>
        <w:rPr>
          <w:rStyle w:val="FootnoteReference"/>
        </w:rPr>
        <w:footnoteRef/>
      </w:r>
      <w:r>
        <w:t xml:space="preserve"> </w:t>
      </w:r>
      <w:r w:rsidRPr="00DF0DF3">
        <w:rPr>
          <w:lang w:val="en-US"/>
        </w:rPr>
        <w:t>Hersch v Nel 1948 (3) SA 68(A) at 700-702</w:t>
      </w:r>
      <w:r>
        <w:rPr>
          <w:lang w:val="en-US"/>
        </w:rPr>
        <w:t xml:space="preserve">; </w:t>
      </w:r>
      <w:r w:rsidRPr="00DF0DF3">
        <w:t>Van Aardt v Galway 2012 (2) SA 312 (SCA) at [14]</w:t>
      </w:r>
    </w:p>
  </w:footnote>
  <w:footnote w:id="3">
    <w:p w:rsidR="001C1ED7" w:rsidRPr="00DF0DF3" w:rsidRDefault="001C1ED7" w:rsidP="001C1ED7">
      <w:pPr>
        <w:pStyle w:val="FootnoteText"/>
        <w:ind w:left="142" w:hanging="142"/>
      </w:pPr>
      <w:r w:rsidRPr="00DF0DF3">
        <w:rPr>
          <w:rStyle w:val="FootnoteReference"/>
        </w:rPr>
        <w:footnoteRef/>
      </w:r>
      <w:r w:rsidRPr="00DF0DF3">
        <w:t xml:space="preserve"> Southern Era Resources Ltd v Farndell NO 2010 (4) SA 200 (SCA) at [11]</w:t>
      </w:r>
      <w:r>
        <w:t>;</w:t>
      </w:r>
      <w:r w:rsidRPr="00DF0DF3">
        <w:t xml:space="preserve">  Red Dunes of Africa CC v Masingita </w:t>
      </w:r>
      <w:r>
        <w:t xml:space="preserve">             </w:t>
      </w:r>
      <w:r w:rsidRPr="00DF0DF3">
        <w:t>Property Investment Holdings (Pty) Limited and others; Red Dunes of Africa CC v Masingita Property Investment Holdings (Pty) Limited and others</w:t>
      </w:r>
      <w:r>
        <w:t xml:space="preserve"> </w:t>
      </w:r>
      <w:r w:rsidRPr="00DF0DF3">
        <w:t>[2015] JOL 33328 (SCA)</w:t>
      </w:r>
    </w:p>
    <w:p w:rsidR="001C1ED7" w:rsidRPr="00DF0DF3" w:rsidRDefault="001C1ED7" w:rsidP="001C1ED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82200"/>
      <w:docPartObj>
        <w:docPartGallery w:val="Page Numbers (Top of Page)"/>
        <w:docPartUnique/>
      </w:docPartObj>
    </w:sdtPr>
    <w:sdtEndPr>
      <w:rPr>
        <w:noProof/>
      </w:rPr>
    </w:sdtEndPr>
    <w:sdtContent>
      <w:p w:rsidR="0013593D" w:rsidRDefault="0013593D">
        <w:pPr>
          <w:pStyle w:val="Header"/>
          <w:jc w:val="right"/>
        </w:pPr>
      </w:p>
      <w:p w:rsidR="0013593D" w:rsidRDefault="0013593D">
        <w:pPr>
          <w:pStyle w:val="Header"/>
          <w:jc w:val="right"/>
        </w:pPr>
        <w:r>
          <w:fldChar w:fldCharType="begin"/>
        </w:r>
        <w:r>
          <w:instrText xml:space="preserve"> PAGE   \* MERGEFORMAT </w:instrText>
        </w:r>
        <w:r>
          <w:fldChar w:fldCharType="separate"/>
        </w:r>
        <w:r w:rsidR="00460822">
          <w:rPr>
            <w:noProof/>
          </w:rPr>
          <w:t>11</w:t>
        </w:r>
        <w:r>
          <w:rPr>
            <w:noProof/>
          </w:rPr>
          <w:fldChar w:fldCharType="end"/>
        </w:r>
      </w:p>
    </w:sdtContent>
  </w:sdt>
  <w:p w:rsidR="0013593D" w:rsidRDefault="00135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2D7"/>
    <w:multiLevelType w:val="hybridMultilevel"/>
    <w:tmpl w:val="29FCF058"/>
    <w:lvl w:ilvl="0" w:tplc="02EA16F8">
      <w:start w:val="1"/>
      <w:numFmt w:val="decimal"/>
      <w:lvlText w:val="%1."/>
      <w:lvlJc w:val="left"/>
      <w:pPr>
        <w:ind w:left="1080" w:hanging="360"/>
      </w:pPr>
      <w:rPr>
        <w:rFonts w:hint="default"/>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D484194"/>
    <w:multiLevelType w:val="hybridMultilevel"/>
    <w:tmpl w:val="F66AE112"/>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3B5A25BE"/>
    <w:multiLevelType w:val="hybridMultilevel"/>
    <w:tmpl w:val="2D80118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E741C26"/>
    <w:multiLevelType w:val="hybridMultilevel"/>
    <w:tmpl w:val="2550EA4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3244287"/>
    <w:multiLevelType w:val="hybridMultilevel"/>
    <w:tmpl w:val="FAE011A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7BE4E6B"/>
    <w:multiLevelType w:val="hybridMultilevel"/>
    <w:tmpl w:val="2D42BE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4304F8D"/>
    <w:multiLevelType w:val="hybridMultilevel"/>
    <w:tmpl w:val="2E4EDCB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D3"/>
    <w:rsid w:val="00006EE8"/>
    <w:rsid w:val="00020461"/>
    <w:rsid w:val="00033F04"/>
    <w:rsid w:val="0005380D"/>
    <w:rsid w:val="0005458F"/>
    <w:rsid w:val="00062CD3"/>
    <w:rsid w:val="000A1964"/>
    <w:rsid w:val="000E42C5"/>
    <w:rsid w:val="001003CB"/>
    <w:rsid w:val="0010317A"/>
    <w:rsid w:val="00114896"/>
    <w:rsid w:val="00116354"/>
    <w:rsid w:val="0013593D"/>
    <w:rsid w:val="00162061"/>
    <w:rsid w:val="0017096B"/>
    <w:rsid w:val="001C1ED7"/>
    <w:rsid w:val="001D0509"/>
    <w:rsid w:val="001F2294"/>
    <w:rsid w:val="002A4554"/>
    <w:rsid w:val="002B6254"/>
    <w:rsid w:val="002C7349"/>
    <w:rsid w:val="00384052"/>
    <w:rsid w:val="00450DB2"/>
    <w:rsid w:val="00460822"/>
    <w:rsid w:val="00472F67"/>
    <w:rsid w:val="004730B6"/>
    <w:rsid w:val="00547E29"/>
    <w:rsid w:val="005E583A"/>
    <w:rsid w:val="005F6BF6"/>
    <w:rsid w:val="00630B05"/>
    <w:rsid w:val="006C614F"/>
    <w:rsid w:val="007810DE"/>
    <w:rsid w:val="007B3870"/>
    <w:rsid w:val="007D212A"/>
    <w:rsid w:val="00824335"/>
    <w:rsid w:val="00853045"/>
    <w:rsid w:val="009A4DBE"/>
    <w:rsid w:val="009B7396"/>
    <w:rsid w:val="009E684E"/>
    <w:rsid w:val="00A32C06"/>
    <w:rsid w:val="00A32F88"/>
    <w:rsid w:val="00A939CF"/>
    <w:rsid w:val="00AF29C7"/>
    <w:rsid w:val="00B00756"/>
    <w:rsid w:val="00B06117"/>
    <w:rsid w:val="00B36381"/>
    <w:rsid w:val="00B84473"/>
    <w:rsid w:val="00B90DA0"/>
    <w:rsid w:val="00BB2347"/>
    <w:rsid w:val="00BC2876"/>
    <w:rsid w:val="00C05350"/>
    <w:rsid w:val="00C4252A"/>
    <w:rsid w:val="00C44A77"/>
    <w:rsid w:val="00C83F2E"/>
    <w:rsid w:val="00CB4D66"/>
    <w:rsid w:val="00DD36FD"/>
    <w:rsid w:val="00E571D3"/>
    <w:rsid w:val="00EE7A42"/>
    <w:rsid w:val="00F935E0"/>
    <w:rsid w:val="00FB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7EA9"/>
  <w15:chartTrackingRefBased/>
  <w15:docId w15:val="{55F2293A-F995-4566-8F8D-574D724A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3D"/>
    <w:rPr>
      <w:lang w:val="en-US"/>
    </w:rPr>
  </w:style>
  <w:style w:type="paragraph" w:styleId="Footer">
    <w:name w:val="footer"/>
    <w:basedOn w:val="Normal"/>
    <w:link w:val="FooterChar"/>
    <w:uiPriority w:val="99"/>
    <w:unhideWhenUsed/>
    <w:rsid w:val="00135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3D"/>
    <w:rPr>
      <w:lang w:val="en-US"/>
    </w:rPr>
  </w:style>
  <w:style w:type="paragraph" w:styleId="ListParagraph">
    <w:name w:val="List Paragraph"/>
    <w:basedOn w:val="Normal"/>
    <w:uiPriority w:val="34"/>
    <w:qFormat/>
    <w:rsid w:val="009B7396"/>
    <w:pPr>
      <w:ind w:left="720"/>
      <w:contextualSpacing/>
    </w:pPr>
    <w:rPr>
      <w:kern w:val="2"/>
      <w:lang w:val="en-ZA"/>
      <w14:ligatures w14:val="standardContextual"/>
    </w:rPr>
  </w:style>
  <w:style w:type="paragraph" w:customStyle="1" w:styleId="lrpara">
    <w:name w:val="lrpara"/>
    <w:basedOn w:val="Normal"/>
    <w:rsid w:val="009B7396"/>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FootnoteText">
    <w:name w:val="footnote text"/>
    <w:basedOn w:val="Normal"/>
    <w:link w:val="FootnoteTextChar"/>
    <w:uiPriority w:val="99"/>
    <w:semiHidden/>
    <w:unhideWhenUsed/>
    <w:rsid w:val="001C1ED7"/>
    <w:pPr>
      <w:spacing w:after="0" w:line="240" w:lineRule="auto"/>
    </w:pPr>
    <w:rPr>
      <w:kern w:val="2"/>
      <w:sz w:val="20"/>
      <w:szCs w:val="20"/>
      <w:lang w:val="en-ZA"/>
      <w14:ligatures w14:val="standardContextual"/>
    </w:rPr>
  </w:style>
  <w:style w:type="character" w:customStyle="1" w:styleId="FootnoteTextChar">
    <w:name w:val="Footnote Text Char"/>
    <w:basedOn w:val="DefaultParagraphFont"/>
    <w:link w:val="FootnoteText"/>
    <w:uiPriority w:val="99"/>
    <w:semiHidden/>
    <w:rsid w:val="001C1ED7"/>
    <w:rPr>
      <w:kern w:val="2"/>
      <w:sz w:val="20"/>
      <w:szCs w:val="20"/>
      <w:lang w:val="en-ZA"/>
      <w14:ligatures w14:val="standardContextual"/>
    </w:rPr>
  </w:style>
  <w:style w:type="character" w:styleId="FootnoteReference">
    <w:name w:val="footnote reference"/>
    <w:basedOn w:val="DefaultParagraphFont"/>
    <w:uiPriority w:val="99"/>
    <w:semiHidden/>
    <w:unhideWhenUsed/>
    <w:rsid w:val="001C1ED7"/>
    <w:rPr>
      <w:vertAlign w:val="superscript"/>
    </w:rPr>
  </w:style>
  <w:style w:type="paragraph" w:styleId="BodyText">
    <w:name w:val="Body Text"/>
    <w:basedOn w:val="Normal"/>
    <w:link w:val="BodyTextChar"/>
    <w:uiPriority w:val="1"/>
    <w:qFormat/>
    <w:rsid w:val="001C1ED7"/>
    <w:pPr>
      <w:widowControl w:val="0"/>
      <w:autoSpaceDE w:val="0"/>
      <w:autoSpaceDN w:val="0"/>
      <w:spacing w:before="169" w:after="0" w:line="240" w:lineRule="auto"/>
      <w:ind w:left="114"/>
    </w:pPr>
    <w:rPr>
      <w:rFonts w:ascii="Verdana" w:eastAsia="Verdana" w:hAnsi="Verdana" w:cs="Verdana"/>
      <w:sz w:val="17"/>
      <w:szCs w:val="17"/>
    </w:rPr>
  </w:style>
  <w:style w:type="character" w:customStyle="1" w:styleId="BodyTextChar">
    <w:name w:val="Body Text Char"/>
    <w:basedOn w:val="DefaultParagraphFont"/>
    <w:link w:val="BodyText"/>
    <w:uiPriority w:val="1"/>
    <w:rsid w:val="001C1ED7"/>
    <w:rPr>
      <w:rFonts w:ascii="Verdana" w:eastAsia="Verdana" w:hAnsi="Verdana" w:cs="Verdana"/>
      <w:sz w:val="17"/>
      <w:szCs w:val="17"/>
      <w:lang w:val="en-US"/>
    </w:rPr>
  </w:style>
  <w:style w:type="character" w:styleId="Hyperlink">
    <w:name w:val="Hyperlink"/>
    <w:basedOn w:val="DefaultParagraphFont"/>
    <w:uiPriority w:val="99"/>
    <w:unhideWhenUsed/>
    <w:rsid w:val="00472F67"/>
    <w:rPr>
      <w:color w:val="0563C1" w:themeColor="hyperlink"/>
      <w:u w:val="single"/>
    </w:rPr>
  </w:style>
  <w:style w:type="paragraph" w:styleId="BalloonText">
    <w:name w:val="Balloon Text"/>
    <w:basedOn w:val="Normal"/>
    <w:link w:val="BalloonTextChar"/>
    <w:uiPriority w:val="99"/>
    <w:semiHidden/>
    <w:unhideWhenUsed/>
    <w:rsid w:val="00114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8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5@vdmass.co.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Rautenbach</dc:creator>
  <cp:keywords/>
  <dc:description/>
  <cp:lastModifiedBy>L Rautenbach</cp:lastModifiedBy>
  <cp:revision>2</cp:revision>
  <cp:lastPrinted>2024-02-20T09:08:00Z</cp:lastPrinted>
  <dcterms:created xsi:type="dcterms:W3CDTF">2024-02-23T09:49:00Z</dcterms:created>
  <dcterms:modified xsi:type="dcterms:W3CDTF">2024-02-23T09:49:00Z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2024-02-20T11:11:57Z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569d8729-45df-4682-926a-dcf3414410d9</vt:lpwstr>
  </property>
  <property fmtid="{D5CDD505-2E9C-101B-9397-08002B2CF9AE}" pid="7" name="MSIP_Label_defa4170-0d19-0005-0004-bc88714345d2_ActionId">
    <vt:lpwstr>36c715ab-89d2-427c-9542-e6256fa2619e</vt:lpwstr>
  </property>
  <property fmtid="{D5CDD505-2E9C-101B-9397-08002B2CF9AE}" pid="8" name="MSIP_Label_defa4170-0d19-0005-0004-bc88714345d2_ContentBits">
    <vt:lpwstr>0</vt:lpwstr>
  </property>
</Properties>
</file>