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0E5A" w14:textId="77777777" w:rsidR="00904C60" w:rsidRPr="00EA3A91" w:rsidRDefault="00904C60" w:rsidP="000C2980">
      <w:pPr>
        <w:jc w:val="center"/>
      </w:pPr>
      <w:r w:rsidRPr="00EA3A91">
        <w:drawing>
          <wp:inline distT="0" distB="0" distL="0" distR="0" wp14:anchorId="1D528EFE" wp14:editId="03445FBF">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19D6973F" w14:textId="77777777" w:rsidR="00904C60" w:rsidRPr="005B274D" w:rsidRDefault="00904C60" w:rsidP="000C2980">
      <w:pPr>
        <w:jc w:val="center"/>
        <w:rPr>
          <w:sz w:val="28"/>
          <w:szCs w:val="28"/>
        </w:rPr>
      </w:pPr>
      <w:r w:rsidRPr="005B274D">
        <w:rPr>
          <w:sz w:val="28"/>
          <w:szCs w:val="28"/>
        </w:rPr>
        <w:t>IN THE HIGH COURT OF SOUTH AFRICA</w:t>
      </w:r>
    </w:p>
    <w:p w14:paraId="58750BCD" w14:textId="77777777" w:rsidR="00904C60" w:rsidRPr="005B274D" w:rsidRDefault="00904C60" w:rsidP="000C2980">
      <w:pPr>
        <w:jc w:val="center"/>
        <w:rPr>
          <w:sz w:val="28"/>
          <w:szCs w:val="28"/>
        </w:rPr>
      </w:pPr>
      <w:r w:rsidRPr="005B274D">
        <w:rPr>
          <w:sz w:val="28"/>
          <w:szCs w:val="28"/>
        </w:rPr>
        <w:t>KWAZULU-NATAL DIVISION, PIETERMARITZBURG</w:t>
      </w:r>
    </w:p>
    <w:p w14:paraId="431CAF64" w14:textId="77777777" w:rsidR="00EE25A8" w:rsidRPr="005B274D" w:rsidRDefault="00EE25A8" w:rsidP="000C2980">
      <w:pPr>
        <w:rPr>
          <w:sz w:val="28"/>
          <w:szCs w:val="28"/>
        </w:rPr>
      </w:pPr>
    </w:p>
    <w:p w14:paraId="33903558" w14:textId="71239B06" w:rsidR="00AF4B4E" w:rsidRPr="005B274D" w:rsidRDefault="00292071" w:rsidP="000C298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sidR="00AF4B4E" w:rsidRPr="005B274D">
        <w:rPr>
          <w:sz w:val="28"/>
          <w:szCs w:val="28"/>
        </w:rPr>
        <w:t xml:space="preserve">Case no: </w:t>
      </w:r>
      <w:r w:rsidR="00394AF4" w:rsidRPr="005B274D">
        <w:rPr>
          <w:sz w:val="28"/>
          <w:szCs w:val="28"/>
        </w:rPr>
        <w:t>6319/</w:t>
      </w:r>
      <w:r w:rsidR="00DC322F" w:rsidRPr="005B274D">
        <w:rPr>
          <w:sz w:val="28"/>
          <w:szCs w:val="28"/>
        </w:rPr>
        <w:t>20</w:t>
      </w:r>
      <w:r w:rsidR="00394AF4" w:rsidRPr="005B274D">
        <w:rPr>
          <w:sz w:val="28"/>
          <w:szCs w:val="28"/>
        </w:rPr>
        <w:t>22</w:t>
      </w:r>
      <w:r w:rsidR="005B3426" w:rsidRPr="005B274D">
        <w:rPr>
          <w:sz w:val="28"/>
          <w:szCs w:val="28"/>
        </w:rPr>
        <w:t>P</w:t>
      </w:r>
    </w:p>
    <w:p w14:paraId="3D5DCEFA" w14:textId="77777777" w:rsidR="00DC322F" w:rsidRPr="00EA3A91" w:rsidRDefault="00DC322F" w:rsidP="000C2980"/>
    <w:p w14:paraId="54FCAE37" w14:textId="33401B23" w:rsidR="00394AF4" w:rsidRPr="005761E6" w:rsidRDefault="00394AF4" w:rsidP="000C2980">
      <w:pPr>
        <w:rPr>
          <w:sz w:val="28"/>
          <w:szCs w:val="28"/>
        </w:rPr>
      </w:pPr>
      <w:r w:rsidRPr="005761E6">
        <w:rPr>
          <w:sz w:val="28"/>
          <w:szCs w:val="28"/>
        </w:rPr>
        <w:t>In the matter between:</w:t>
      </w:r>
    </w:p>
    <w:p w14:paraId="374B196C" w14:textId="56833FFE" w:rsidR="00394AF4" w:rsidRPr="005761E6" w:rsidRDefault="00394AF4" w:rsidP="000C2980">
      <w:pPr>
        <w:rPr>
          <w:sz w:val="28"/>
          <w:szCs w:val="28"/>
        </w:rPr>
      </w:pPr>
      <w:r w:rsidRPr="005761E6">
        <w:rPr>
          <w:sz w:val="28"/>
          <w:szCs w:val="28"/>
        </w:rPr>
        <w:t>MILLING TECHNIKS (PTY) LTD</w:t>
      </w:r>
      <w:r w:rsidR="00B165F6">
        <w:rPr>
          <w:sz w:val="28"/>
          <w:szCs w:val="28"/>
        </w:rPr>
        <w:t xml:space="preserve">                       </w:t>
      </w:r>
      <w:r w:rsidR="006570D5">
        <w:rPr>
          <w:sz w:val="28"/>
          <w:szCs w:val="28"/>
        </w:rPr>
        <w:t xml:space="preserve">                  </w:t>
      </w:r>
      <w:bookmarkStart w:id="0" w:name="_GoBack"/>
      <w:bookmarkEnd w:id="0"/>
      <w:r w:rsidR="000C2980">
        <w:rPr>
          <w:sz w:val="28"/>
          <w:szCs w:val="28"/>
        </w:rPr>
        <w:t xml:space="preserve"> </w:t>
      </w:r>
      <w:r w:rsidRPr="005761E6">
        <w:rPr>
          <w:sz w:val="28"/>
          <w:szCs w:val="28"/>
        </w:rPr>
        <w:t>APPLICANT</w:t>
      </w:r>
    </w:p>
    <w:p w14:paraId="4729A764" w14:textId="19696DF3" w:rsidR="00394AF4" w:rsidRPr="005761E6" w:rsidRDefault="00EE25A8" w:rsidP="000C2980">
      <w:pPr>
        <w:rPr>
          <w:sz w:val="28"/>
          <w:szCs w:val="28"/>
        </w:rPr>
      </w:pPr>
      <w:r w:rsidRPr="005761E6">
        <w:rPr>
          <w:sz w:val="28"/>
          <w:szCs w:val="28"/>
        </w:rPr>
        <w:t>and</w:t>
      </w:r>
    </w:p>
    <w:p w14:paraId="24078F08" w14:textId="77777777" w:rsidR="00394AF4" w:rsidRPr="005761E6" w:rsidRDefault="00394AF4" w:rsidP="000C2980">
      <w:pPr>
        <w:rPr>
          <w:sz w:val="28"/>
          <w:szCs w:val="28"/>
        </w:rPr>
      </w:pPr>
      <w:r w:rsidRPr="005761E6">
        <w:rPr>
          <w:sz w:val="28"/>
          <w:szCs w:val="28"/>
        </w:rPr>
        <w:t xml:space="preserve">THE MEC FOR THE KWAZULU-NATAL  </w:t>
      </w:r>
    </w:p>
    <w:p w14:paraId="5106E85E" w14:textId="06A6984D" w:rsidR="00394AF4" w:rsidRPr="005761E6" w:rsidRDefault="006570D5" w:rsidP="000C2980">
      <w:pPr>
        <w:rPr>
          <w:sz w:val="28"/>
          <w:szCs w:val="28"/>
        </w:rPr>
      </w:pPr>
      <w:r>
        <w:rPr>
          <w:sz w:val="28"/>
          <w:szCs w:val="28"/>
        </w:rPr>
        <w:t>DEPARTMENT OF TRANSPORT</w:t>
      </w:r>
      <w:r>
        <w:rPr>
          <w:sz w:val="28"/>
          <w:szCs w:val="28"/>
        </w:rPr>
        <w:t xml:space="preserve">                              </w:t>
      </w:r>
      <w:r>
        <w:rPr>
          <w:sz w:val="28"/>
          <w:szCs w:val="28"/>
        </w:rPr>
        <w:t xml:space="preserve">          </w:t>
      </w:r>
      <w:r w:rsidR="00394AF4" w:rsidRPr="005761E6">
        <w:rPr>
          <w:sz w:val="28"/>
          <w:szCs w:val="28"/>
        </w:rPr>
        <w:t>FIRST RESPONDENT</w:t>
      </w:r>
    </w:p>
    <w:p w14:paraId="43D34EF4" w14:textId="1491AB70" w:rsidR="00394AF4" w:rsidRPr="005761E6" w:rsidRDefault="00394AF4" w:rsidP="000C2980">
      <w:pPr>
        <w:rPr>
          <w:sz w:val="28"/>
          <w:szCs w:val="28"/>
        </w:rPr>
      </w:pPr>
      <w:r w:rsidRPr="005761E6">
        <w:rPr>
          <w:sz w:val="28"/>
          <w:szCs w:val="28"/>
        </w:rPr>
        <w:t>TONY SMITH N</w:t>
      </w:r>
      <w:r w:rsidR="00DC322F" w:rsidRPr="005761E6">
        <w:rPr>
          <w:sz w:val="28"/>
          <w:szCs w:val="28"/>
        </w:rPr>
        <w:t>.</w:t>
      </w:r>
      <w:r w:rsidRPr="005761E6">
        <w:rPr>
          <w:sz w:val="28"/>
          <w:szCs w:val="28"/>
        </w:rPr>
        <w:t>O</w:t>
      </w:r>
      <w:r w:rsidR="00DC322F" w:rsidRPr="005761E6">
        <w:rPr>
          <w:sz w:val="28"/>
          <w:szCs w:val="28"/>
        </w:rPr>
        <w:t>.</w:t>
      </w:r>
      <w:r w:rsidR="006570D5">
        <w:rPr>
          <w:sz w:val="28"/>
          <w:szCs w:val="28"/>
        </w:rPr>
        <w:t xml:space="preserve">                              </w:t>
      </w:r>
      <w:r w:rsidR="006570D5" w:rsidRPr="005761E6">
        <w:rPr>
          <w:sz w:val="28"/>
          <w:szCs w:val="28"/>
        </w:rPr>
        <w:t xml:space="preserve"> </w:t>
      </w:r>
      <w:r w:rsidR="006570D5">
        <w:rPr>
          <w:sz w:val="28"/>
          <w:szCs w:val="28"/>
        </w:rPr>
        <w:t xml:space="preserve">                              </w:t>
      </w:r>
      <w:r w:rsidR="006570D5" w:rsidRPr="005761E6">
        <w:rPr>
          <w:sz w:val="28"/>
          <w:szCs w:val="28"/>
        </w:rPr>
        <w:t xml:space="preserve"> </w:t>
      </w:r>
      <w:r w:rsidRPr="005761E6">
        <w:rPr>
          <w:sz w:val="28"/>
          <w:szCs w:val="28"/>
        </w:rPr>
        <w:t>SECOND RESPONDENT</w:t>
      </w:r>
    </w:p>
    <w:p w14:paraId="548DFA3E" w14:textId="13BF6D85" w:rsidR="006162CE" w:rsidRPr="005B274D" w:rsidRDefault="0085385A" w:rsidP="000C2980">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5C5FC34" w14:textId="77777777" w:rsidR="006162CE" w:rsidRPr="005B274D" w:rsidRDefault="006162CE" w:rsidP="000C2980">
      <w:pPr>
        <w:rPr>
          <w:sz w:val="24"/>
          <w:szCs w:val="24"/>
        </w:rPr>
      </w:pPr>
    </w:p>
    <w:p w14:paraId="1EFCE85E" w14:textId="556626BA" w:rsidR="006162CE" w:rsidRPr="000C2980" w:rsidRDefault="006162CE" w:rsidP="000C2980">
      <w:pPr>
        <w:jc w:val="center"/>
        <w:rPr>
          <w:b/>
          <w:sz w:val="28"/>
          <w:szCs w:val="28"/>
        </w:rPr>
      </w:pPr>
      <w:r w:rsidRPr="005B274D">
        <w:rPr>
          <w:b/>
          <w:sz w:val="28"/>
          <w:szCs w:val="28"/>
        </w:rPr>
        <w:t>ORDER</w:t>
      </w:r>
    </w:p>
    <w:p w14:paraId="676B234E" w14:textId="77777777" w:rsidR="006162CE" w:rsidRPr="005B274D" w:rsidRDefault="006162CE" w:rsidP="000C2980">
      <w:pPr>
        <w:rPr>
          <w:sz w:val="24"/>
          <w:szCs w:val="24"/>
        </w:rPr>
      </w:pPr>
    </w:p>
    <w:p w14:paraId="2B32E919" w14:textId="6F28DC04" w:rsidR="00651AD4" w:rsidRPr="005B274D" w:rsidRDefault="00651AD4" w:rsidP="000C2980">
      <w:pPr>
        <w:rPr>
          <w:sz w:val="24"/>
          <w:szCs w:val="24"/>
        </w:rPr>
      </w:pPr>
      <w:r w:rsidRPr="005B274D">
        <w:rPr>
          <w:sz w:val="24"/>
          <w:szCs w:val="24"/>
        </w:rPr>
        <w:t>The following order is granted:</w:t>
      </w:r>
    </w:p>
    <w:p w14:paraId="11F92409" w14:textId="001A6EB7" w:rsidR="00651AD4" w:rsidRPr="005B274D" w:rsidRDefault="00D94C70" w:rsidP="000C2980">
      <w:pPr>
        <w:rPr>
          <w:sz w:val="24"/>
          <w:szCs w:val="24"/>
        </w:rPr>
      </w:pPr>
      <w:r w:rsidRPr="005B274D">
        <w:rPr>
          <w:sz w:val="24"/>
          <w:szCs w:val="24"/>
        </w:rPr>
        <w:t>1.</w:t>
      </w:r>
      <w:r w:rsidRPr="005B274D">
        <w:rPr>
          <w:sz w:val="24"/>
          <w:szCs w:val="24"/>
        </w:rPr>
        <w:tab/>
      </w:r>
      <w:r w:rsidR="00651AD4" w:rsidRPr="005B274D">
        <w:rPr>
          <w:sz w:val="24"/>
          <w:szCs w:val="24"/>
        </w:rPr>
        <w:t>The application for leave to appeal is dismissed with costs</w:t>
      </w:r>
      <w:r w:rsidR="00223398" w:rsidRPr="005B274D">
        <w:rPr>
          <w:sz w:val="24"/>
          <w:szCs w:val="24"/>
        </w:rPr>
        <w:t>, such costs to include the costs of two counsel.</w:t>
      </w:r>
    </w:p>
    <w:p w14:paraId="59CD1DA2" w14:textId="77777777" w:rsidR="00AF4B4E" w:rsidRPr="005B274D" w:rsidRDefault="00AF4B4E" w:rsidP="000C2980">
      <w:pPr>
        <w:rPr>
          <w:rFonts w:ascii="Arial" w:hAnsi="Arial" w:cs="Arial"/>
          <w:sz w:val="28"/>
          <w:szCs w:val="24"/>
          <w:lang w:val="en-GB"/>
        </w:rPr>
      </w:pPr>
    </w:p>
    <w:p w14:paraId="2CF6B24F" w14:textId="77777777" w:rsidR="00AF4B4E" w:rsidRPr="005B274D" w:rsidRDefault="00AF4B4E" w:rsidP="000C2980">
      <w:pPr>
        <w:rPr>
          <w:rFonts w:ascii="Arial" w:hAnsi="Arial" w:cs="Arial"/>
          <w:sz w:val="28"/>
          <w:szCs w:val="24"/>
          <w:lang w:val="en-GB"/>
        </w:rPr>
      </w:pPr>
    </w:p>
    <w:p w14:paraId="0F234E1A" w14:textId="6D6AAFDD" w:rsidR="00AF4B4E" w:rsidRPr="005B274D" w:rsidRDefault="00AF4B4E" w:rsidP="000C2980">
      <w:pPr>
        <w:jc w:val="center"/>
        <w:rPr>
          <w:b/>
          <w:sz w:val="28"/>
          <w:szCs w:val="24"/>
        </w:rPr>
      </w:pPr>
      <w:r w:rsidRPr="005B274D">
        <w:rPr>
          <w:b/>
          <w:sz w:val="28"/>
          <w:szCs w:val="24"/>
        </w:rPr>
        <w:t>JUDGMENT</w:t>
      </w:r>
    </w:p>
    <w:p w14:paraId="30E9A38D" w14:textId="77777777" w:rsidR="006162CE" w:rsidRPr="005B274D" w:rsidRDefault="006162CE" w:rsidP="000C2980">
      <w:pPr>
        <w:rPr>
          <w:rFonts w:ascii="Arial" w:hAnsi="Arial" w:cs="Arial"/>
          <w:b/>
          <w:sz w:val="28"/>
          <w:szCs w:val="24"/>
          <w:lang w:val="en-GB"/>
        </w:rPr>
      </w:pPr>
    </w:p>
    <w:p w14:paraId="34DBCEA3" w14:textId="61227B02" w:rsidR="00AF4B4E" w:rsidRPr="005B274D" w:rsidRDefault="00AE724A" w:rsidP="000C2980">
      <w:pPr>
        <w:rPr>
          <w:b/>
          <w:sz w:val="28"/>
          <w:szCs w:val="24"/>
        </w:rPr>
      </w:pPr>
      <w:r w:rsidRPr="005B274D">
        <w:rPr>
          <w:b/>
          <w:sz w:val="28"/>
          <w:szCs w:val="24"/>
        </w:rPr>
        <w:t xml:space="preserve">E </w:t>
      </w:r>
      <w:r w:rsidR="00AF4B4E" w:rsidRPr="005B274D">
        <w:rPr>
          <w:b/>
          <w:sz w:val="28"/>
          <w:szCs w:val="24"/>
        </w:rPr>
        <w:t>B</w:t>
      </w:r>
      <w:r w:rsidR="00AC7814" w:rsidRPr="005B274D">
        <w:rPr>
          <w:b/>
          <w:sz w:val="28"/>
          <w:szCs w:val="24"/>
        </w:rPr>
        <w:t>ezuidenhout</w:t>
      </w:r>
      <w:r w:rsidRPr="005B274D">
        <w:rPr>
          <w:b/>
          <w:sz w:val="28"/>
          <w:szCs w:val="24"/>
        </w:rPr>
        <w:t xml:space="preserve"> </w:t>
      </w:r>
      <w:r w:rsidR="00AF4B4E" w:rsidRPr="005B274D">
        <w:rPr>
          <w:b/>
          <w:sz w:val="28"/>
          <w:szCs w:val="24"/>
        </w:rPr>
        <w:t>J</w:t>
      </w:r>
    </w:p>
    <w:p w14:paraId="50DD7A23" w14:textId="77777777" w:rsidR="00340033" w:rsidRPr="005B274D" w:rsidRDefault="00340033" w:rsidP="000C2980">
      <w:pPr>
        <w:rPr>
          <w:sz w:val="24"/>
          <w:szCs w:val="24"/>
        </w:rPr>
      </w:pPr>
    </w:p>
    <w:p w14:paraId="6C77D13F" w14:textId="07B96360" w:rsidR="003E509C" w:rsidRPr="005B274D" w:rsidRDefault="00AF4B4E" w:rsidP="000C2980">
      <w:pPr>
        <w:rPr>
          <w:sz w:val="24"/>
          <w:szCs w:val="24"/>
        </w:rPr>
      </w:pPr>
      <w:r w:rsidRPr="005B274D">
        <w:rPr>
          <w:sz w:val="24"/>
          <w:szCs w:val="24"/>
        </w:rPr>
        <w:t>[1]</w:t>
      </w:r>
      <w:r w:rsidR="00EE25A8" w:rsidRPr="005B274D">
        <w:rPr>
          <w:sz w:val="24"/>
          <w:szCs w:val="24"/>
        </w:rPr>
        <w:tab/>
      </w:r>
      <w:r w:rsidR="003E509C" w:rsidRPr="005B274D">
        <w:rPr>
          <w:sz w:val="24"/>
          <w:szCs w:val="24"/>
        </w:rPr>
        <w:t>The first respondent applies for leave to appeal against my judgment handed down on 10 November 2023. The application was filed on 1 December 2023. Due to the unavailability of counsel during the recess period, the application was only heard on 9 February 2024. The grounds of appeal were set out in the application and read as follows:</w:t>
      </w:r>
    </w:p>
    <w:p w14:paraId="5222B454" w14:textId="4CECB536" w:rsidR="003E509C" w:rsidRPr="005B274D" w:rsidRDefault="003E509C" w:rsidP="000C2980">
      <w:pPr>
        <w:rPr>
          <w:sz w:val="24"/>
          <w:szCs w:val="24"/>
        </w:rPr>
      </w:pPr>
      <w:r w:rsidRPr="005B274D">
        <w:rPr>
          <w:sz w:val="24"/>
          <w:szCs w:val="24"/>
        </w:rPr>
        <w:t xml:space="preserve">‘1. </w:t>
      </w:r>
      <w:r w:rsidR="00394AF4" w:rsidRPr="005B274D">
        <w:rPr>
          <w:sz w:val="24"/>
          <w:szCs w:val="24"/>
        </w:rPr>
        <w:t xml:space="preserve">Her Ladyship placed a restrictive interpretation on clause 10.2 of the GCC’s, in that she held expressly, or by necessary implication, that: </w:t>
      </w:r>
    </w:p>
    <w:p w14:paraId="4ABE99E9" w14:textId="186CD69B" w:rsidR="00394AF4" w:rsidRPr="005B274D" w:rsidRDefault="00394AF4" w:rsidP="000C2980">
      <w:pPr>
        <w:rPr>
          <w:sz w:val="24"/>
          <w:szCs w:val="24"/>
        </w:rPr>
      </w:pPr>
      <w:r w:rsidRPr="005B274D">
        <w:rPr>
          <w:sz w:val="24"/>
          <w:szCs w:val="24"/>
        </w:rPr>
        <w:t>1.1</w:t>
      </w:r>
      <w:r w:rsidRPr="005B274D">
        <w:rPr>
          <w:sz w:val="24"/>
          <w:szCs w:val="24"/>
        </w:rPr>
        <w:tab/>
        <w:t>the provision applies only in relation to payment disputes and, accordingly,</w:t>
      </w:r>
    </w:p>
    <w:p w14:paraId="5E70B653" w14:textId="5CD8CFFF" w:rsidR="003E509C" w:rsidRPr="005B274D" w:rsidRDefault="00394AF4" w:rsidP="000C2980">
      <w:pPr>
        <w:rPr>
          <w:sz w:val="24"/>
          <w:szCs w:val="24"/>
        </w:rPr>
      </w:pPr>
      <w:r w:rsidRPr="005B274D">
        <w:rPr>
          <w:sz w:val="24"/>
          <w:szCs w:val="24"/>
        </w:rPr>
        <w:t>1.2</w:t>
      </w:r>
      <w:r w:rsidRPr="005B274D">
        <w:rPr>
          <w:sz w:val="24"/>
          <w:szCs w:val="24"/>
        </w:rPr>
        <w:tab/>
        <w:t>the provision had no application in relation to the dispute that was articulated in the parties’ correspondence during June 2019 (annexures A and B to the answering affidavit, pages 241 to 244).</w:t>
      </w:r>
      <w:r w:rsidR="003E509C" w:rsidRPr="005B274D">
        <w:rPr>
          <w:sz w:val="24"/>
          <w:szCs w:val="24"/>
        </w:rPr>
        <w:tab/>
      </w:r>
      <w:r w:rsidR="003E509C" w:rsidRPr="005B274D">
        <w:rPr>
          <w:sz w:val="24"/>
          <w:szCs w:val="24"/>
        </w:rPr>
        <w:tab/>
      </w:r>
      <w:r w:rsidR="003E509C" w:rsidRPr="005B274D">
        <w:rPr>
          <w:sz w:val="24"/>
          <w:szCs w:val="24"/>
        </w:rPr>
        <w:tab/>
      </w:r>
      <w:r w:rsidR="003E509C" w:rsidRPr="005B274D">
        <w:rPr>
          <w:sz w:val="24"/>
          <w:szCs w:val="24"/>
        </w:rPr>
        <w:tab/>
      </w:r>
      <w:r w:rsidRPr="005B274D">
        <w:rPr>
          <w:sz w:val="24"/>
          <w:szCs w:val="24"/>
        </w:rPr>
        <w:t xml:space="preserve">   </w:t>
      </w:r>
    </w:p>
    <w:p w14:paraId="28F150E4" w14:textId="5F7B89EC" w:rsidR="00394AF4" w:rsidRPr="005B274D" w:rsidRDefault="00D94C70" w:rsidP="000C2980">
      <w:pPr>
        <w:rPr>
          <w:sz w:val="24"/>
          <w:szCs w:val="24"/>
        </w:rPr>
      </w:pPr>
      <w:r w:rsidRPr="005B274D">
        <w:rPr>
          <w:sz w:val="24"/>
          <w:szCs w:val="24"/>
        </w:rPr>
        <w:t>2.</w:t>
      </w:r>
      <w:r w:rsidRPr="005B274D">
        <w:rPr>
          <w:sz w:val="24"/>
          <w:szCs w:val="24"/>
        </w:rPr>
        <w:tab/>
      </w:r>
      <w:r w:rsidR="00394AF4" w:rsidRPr="005B274D">
        <w:rPr>
          <w:sz w:val="24"/>
          <w:szCs w:val="24"/>
        </w:rPr>
        <w:t>For the following reasons, it is respectfully submitted that there is a reasonable prospect that an appeal court will interpret the clause differently:</w:t>
      </w:r>
    </w:p>
    <w:p w14:paraId="703E799D" w14:textId="77777777" w:rsidR="00394AF4" w:rsidRPr="005B274D" w:rsidRDefault="00394AF4" w:rsidP="000C2980">
      <w:pPr>
        <w:rPr>
          <w:sz w:val="24"/>
          <w:szCs w:val="24"/>
        </w:rPr>
      </w:pPr>
      <w:r w:rsidRPr="005B274D">
        <w:rPr>
          <w:sz w:val="24"/>
          <w:szCs w:val="24"/>
        </w:rPr>
        <w:t>2.1</w:t>
      </w:r>
      <w:r w:rsidRPr="005B274D">
        <w:rPr>
          <w:sz w:val="24"/>
          <w:szCs w:val="24"/>
        </w:rPr>
        <w:tab/>
        <w:t>It is not expressly stated that the clause is intended to apply only in respect of payment claims.</w:t>
      </w:r>
    </w:p>
    <w:p w14:paraId="694E72C6" w14:textId="77777777" w:rsidR="00394AF4" w:rsidRPr="005B274D" w:rsidRDefault="00394AF4" w:rsidP="000C2980">
      <w:pPr>
        <w:rPr>
          <w:sz w:val="24"/>
          <w:szCs w:val="24"/>
        </w:rPr>
      </w:pPr>
      <w:r w:rsidRPr="005B274D">
        <w:rPr>
          <w:sz w:val="24"/>
          <w:szCs w:val="24"/>
        </w:rPr>
        <w:t>2.2</w:t>
      </w:r>
      <w:r w:rsidRPr="005B274D">
        <w:rPr>
          <w:sz w:val="24"/>
          <w:szCs w:val="24"/>
        </w:rPr>
        <w:tab/>
        <w:t xml:space="preserve">To the contrary, the clause is couched in inclusive language which indicates that it is intended to apply “in respect of any matter arising out of or in connection with the contract”. </w:t>
      </w:r>
    </w:p>
    <w:p w14:paraId="1CFC9AFD" w14:textId="77777777" w:rsidR="00901FF8" w:rsidRPr="005B274D" w:rsidRDefault="00394AF4" w:rsidP="000C2980">
      <w:pPr>
        <w:rPr>
          <w:sz w:val="24"/>
          <w:szCs w:val="24"/>
        </w:rPr>
      </w:pPr>
      <w:r w:rsidRPr="005B274D">
        <w:rPr>
          <w:sz w:val="24"/>
          <w:szCs w:val="24"/>
        </w:rPr>
        <w:t>2.3</w:t>
      </w:r>
      <w:r w:rsidRPr="005B274D">
        <w:rPr>
          <w:sz w:val="24"/>
          <w:szCs w:val="24"/>
        </w:rPr>
        <w:tab/>
        <w:t xml:space="preserve">The purposes of the clause and, more particularly the time barring provision, is to ensure that disputes are promptly raised and addressed, to avoid lingering uncertainty. </w:t>
      </w:r>
    </w:p>
    <w:p w14:paraId="7075463A" w14:textId="21D291C9" w:rsidR="00394AF4" w:rsidRPr="005B274D" w:rsidRDefault="00394AF4" w:rsidP="000C2980">
      <w:pPr>
        <w:rPr>
          <w:sz w:val="24"/>
          <w:szCs w:val="24"/>
        </w:rPr>
      </w:pPr>
      <w:r w:rsidRPr="005B274D">
        <w:rPr>
          <w:sz w:val="24"/>
          <w:szCs w:val="24"/>
        </w:rPr>
        <w:t>2.4</w:t>
      </w:r>
      <w:r w:rsidRPr="005B274D">
        <w:rPr>
          <w:sz w:val="24"/>
          <w:szCs w:val="24"/>
        </w:rPr>
        <w:tab/>
        <w:t xml:space="preserve">An inclusive interpretation would, therefore, give effect to such an intended purpose. For example, in a case such as the present, the parties would be required to address and resolve their dispute as soon as it arose.       </w:t>
      </w:r>
    </w:p>
    <w:p w14:paraId="43099446" w14:textId="0E7B7EC9" w:rsidR="00394AF4" w:rsidRPr="005B274D" w:rsidRDefault="00394AF4" w:rsidP="000C2980">
      <w:pPr>
        <w:rPr>
          <w:sz w:val="24"/>
          <w:szCs w:val="24"/>
        </w:rPr>
      </w:pPr>
      <w:r w:rsidRPr="005B274D">
        <w:rPr>
          <w:sz w:val="24"/>
          <w:szCs w:val="24"/>
        </w:rPr>
        <w:t>2.5</w:t>
      </w:r>
      <w:r w:rsidRPr="005B274D">
        <w:rPr>
          <w:sz w:val="24"/>
          <w:szCs w:val="24"/>
        </w:rPr>
        <w:tab/>
        <w:t>An appeal court is, furthermore, likely to interpret and apply the provision in a manner than is consistent with contractual principles. Such a court is, therefore, likely to favour an interpretation that is in accordance with doctrine of election, in terms of which Applicant was required to make an election when, in June 2019, Applicant was pertinently informed of the manner in which First Respondent intended to perform the contract.</w:t>
      </w:r>
    </w:p>
    <w:p w14:paraId="08E367A6" w14:textId="77777777" w:rsidR="00394AF4" w:rsidRPr="005B274D" w:rsidRDefault="00394AF4" w:rsidP="000C2980">
      <w:pPr>
        <w:rPr>
          <w:sz w:val="24"/>
          <w:szCs w:val="24"/>
        </w:rPr>
      </w:pPr>
      <w:r w:rsidRPr="005B274D">
        <w:rPr>
          <w:sz w:val="24"/>
          <w:szCs w:val="24"/>
        </w:rPr>
        <w:t>2.6</w:t>
      </w:r>
      <w:r w:rsidRPr="005B274D">
        <w:rPr>
          <w:sz w:val="24"/>
          <w:szCs w:val="24"/>
        </w:rPr>
        <w:tab/>
        <w:t xml:space="preserve">It is respectfully submitted that an appeal court will likely find that First Respondent, in its letter dated 28 June 2019, stated, unequivocally, its intentions in relation to the contract. There was no room for debate. Therefore, insofar as Applicant considered that First Respondent’s stated intentions were inconsistent with the parties’ agreement. The letter would, on Applicant’s version, have constituted a repudiation.      </w:t>
      </w:r>
    </w:p>
    <w:p w14:paraId="43622302" w14:textId="5C2C871A" w:rsidR="00394AF4" w:rsidRPr="005B274D" w:rsidRDefault="00394AF4" w:rsidP="000C2980">
      <w:pPr>
        <w:rPr>
          <w:sz w:val="24"/>
          <w:szCs w:val="24"/>
        </w:rPr>
      </w:pPr>
      <w:r w:rsidRPr="005B274D">
        <w:rPr>
          <w:sz w:val="24"/>
          <w:szCs w:val="24"/>
        </w:rPr>
        <w:t>2.7</w:t>
      </w:r>
      <w:r w:rsidRPr="005B274D">
        <w:rPr>
          <w:sz w:val="24"/>
          <w:szCs w:val="24"/>
        </w:rPr>
        <w:tab/>
        <w:t>Consequently, if Applicant considered this to constitute a repudiation or an anticipatory breach, then that is when Applicant’s cause of action arose. This, based on the ordinary meaning of words, is when there was a “cause of dissatisfaction”.</w:t>
      </w:r>
      <w:r w:rsidR="00D270D7" w:rsidRPr="005B274D">
        <w:rPr>
          <w:sz w:val="24"/>
          <w:szCs w:val="24"/>
        </w:rPr>
        <w:t>’</w:t>
      </w:r>
      <w:r w:rsidRPr="005B274D">
        <w:rPr>
          <w:sz w:val="24"/>
          <w:szCs w:val="24"/>
          <w:lang w:val="en-ZA"/>
        </w:rPr>
        <w:t xml:space="preserve"> </w:t>
      </w:r>
    </w:p>
    <w:p w14:paraId="17A69F87" w14:textId="4541F032" w:rsidR="00394AF4" w:rsidRPr="005B274D" w:rsidRDefault="003E509C" w:rsidP="000C2980">
      <w:pPr>
        <w:rPr>
          <w:sz w:val="24"/>
          <w:szCs w:val="24"/>
        </w:rPr>
      </w:pPr>
      <w:r w:rsidRPr="005B274D">
        <w:rPr>
          <w:sz w:val="24"/>
          <w:szCs w:val="24"/>
        </w:rPr>
        <w:lastRenderedPageBreak/>
        <w:tab/>
      </w:r>
      <w:r w:rsidRPr="005B274D">
        <w:rPr>
          <w:sz w:val="24"/>
          <w:szCs w:val="24"/>
        </w:rPr>
        <w:tab/>
      </w:r>
      <w:r w:rsidRPr="005B274D">
        <w:rPr>
          <w:sz w:val="24"/>
          <w:szCs w:val="24"/>
        </w:rPr>
        <w:tab/>
      </w:r>
      <w:r w:rsidRPr="005B274D">
        <w:rPr>
          <w:sz w:val="24"/>
          <w:szCs w:val="24"/>
        </w:rPr>
        <w:tab/>
      </w:r>
      <w:r w:rsidRPr="005B274D">
        <w:rPr>
          <w:sz w:val="24"/>
          <w:szCs w:val="24"/>
        </w:rPr>
        <w:tab/>
      </w:r>
      <w:r w:rsidRPr="005B274D">
        <w:rPr>
          <w:sz w:val="24"/>
          <w:szCs w:val="24"/>
        </w:rPr>
        <w:tab/>
      </w:r>
    </w:p>
    <w:p w14:paraId="163CB71D" w14:textId="33DD434E" w:rsidR="003E509C" w:rsidRPr="005B274D" w:rsidRDefault="00FB0C7F" w:rsidP="000C2980">
      <w:pPr>
        <w:rPr>
          <w:sz w:val="24"/>
          <w:szCs w:val="24"/>
        </w:rPr>
      </w:pPr>
      <w:r w:rsidRPr="005B274D">
        <w:rPr>
          <w:sz w:val="24"/>
          <w:szCs w:val="24"/>
        </w:rPr>
        <w:t>[2</w:t>
      </w:r>
      <w:r w:rsidR="00EE25A8" w:rsidRPr="005B274D">
        <w:rPr>
          <w:sz w:val="24"/>
          <w:szCs w:val="24"/>
        </w:rPr>
        <w:t>]</w:t>
      </w:r>
      <w:r w:rsidR="00EE25A8" w:rsidRPr="005B274D">
        <w:rPr>
          <w:sz w:val="24"/>
          <w:szCs w:val="24"/>
        </w:rPr>
        <w:tab/>
      </w:r>
      <w:r w:rsidR="003E509C" w:rsidRPr="005B274D">
        <w:rPr>
          <w:sz w:val="24"/>
          <w:szCs w:val="24"/>
        </w:rPr>
        <w:t>Both counsels for the appl</w:t>
      </w:r>
      <w:r w:rsidR="005F2567" w:rsidRPr="005B274D">
        <w:rPr>
          <w:sz w:val="24"/>
          <w:szCs w:val="24"/>
        </w:rPr>
        <w:t>icant</w:t>
      </w:r>
      <w:r w:rsidR="00901FF8" w:rsidRPr="005B274D">
        <w:rPr>
          <w:sz w:val="24"/>
          <w:szCs w:val="24"/>
        </w:rPr>
        <w:t xml:space="preserve"> as well as counsel for t</w:t>
      </w:r>
      <w:r w:rsidR="003E509C" w:rsidRPr="005B274D">
        <w:rPr>
          <w:sz w:val="24"/>
          <w:szCs w:val="24"/>
        </w:rPr>
        <w:t>he first res</w:t>
      </w:r>
      <w:r w:rsidR="00901FF8" w:rsidRPr="005B274D">
        <w:rPr>
          <w:sz w:val="24"/>
          <w:szCs w:val="24"/>
        </w:rPr>
        <w:t>pondent submitted detailed writt</w:t>
      </w:r>
      <w:r w:rsidR="003E509C" w:rsidRPr="005B274D">
        <w:rPr>
          <w:sz w:val="24"/>
          <w:szCs w:val="24"/>
        </w:rPr>
        <w:t>en submissions</w:t>
      </w:r>
      <w:r w:rsidR="00901FF8" w:rsidRPr="005B274D">
        <w:rPr>
          <w:sz w:val="24"/>
          <w:szCs w:val="24"/>
        </w:rPr>
        <w:t xml:space="preserve"> in respect of the application for leave to appeal, which I have carefully considered</w:t>
      </w:r>
      <w:r w:rsidR="005F2567" w:rsidRPr="005B274D">
        <w:rPr>
          <w:sz w:val="24"/>
          <w:szCs w:val="24"/>
        </w:rPr>
        <w:t>.</w:t>
      </w:r>
      <w:r w:rsidR="003E509C" w:rsidRPr="005B274D">
        <w:rPr>
          <w:sz w:val="24"/>
          <w:szCs w:val="24"/>
        </w:rPr>
        <w:t xml:space="preserve"> </w:t>
      </w:r>
    </w:p>
    <w:p w14:paraId="4D1D499C" w14:textId="77777777" w:rsidR="003E509C" w:rsidRPr="005B274D" w:rsidRDefault="003E509C" w:rsidP="000C2980">
      <w:pPr>
        <w:rPr>
          <w:sz w:val="24"/>
          <w:szCs w:val="24"/>
        </w:rPr>
      </w:pPr>
    </w:p>
    <w:p w14:paraId="46B661DD" w14:textId="525B4C3F" w:rsidR="003E509C" w:rsidRPr="005B274D" w:rsidRDefault="00FB0C7F" w:rsidP="000C2980">
      <w:pPr>
        <w:rPr>
          <w:sz w:val="24"/>
          <w:szCs w:val="24"/>
        </w:rPr>
      </w:pPr>
      <w:r w:rsidRPr="005B274D">
        <w:rPr>
          <w:sz w:val="24"/>
          <w:szCs w:val="24"/>
        </w:rPr>
        <w:t>[3</w:t>
      </w:r>
      <w:r w:rsidR="003E509C" w:rsidRPr="005B274D">
        <w:rPr>
          <w:sz w:val="24"/>
          <w:szCs w:val="24"/>
        </w:rPr>
        <w:t>]</w:t>
      </w:r>
      <w:r w:rsidR="00EE25A8" w:rsidRPr="005B274D">
        <w:rPr>
          <w:sz w:val="24"/>
          <w:szCs w:val="24"/>
        </w:rPr>
        <w:tab/>
      </w:r>
      <w:r w:rsidR="003E509C" w:rsidRPr="005B274D">
        <w:rPr>
          <w:sz w:val="24"/>
          <w:szCs w:val="24"/>
        </w:rPr>
        <w:t xml:space="preserve">Before I deal with the merits of the application, it is perhaps appropriate to say something about the test to be applied in applications of this nature. In terms of section 17(1)(a)(i) of the Superior Courts Act 10 of 2013, leave to appeal may only be given where the judge is of the opinion that ‘the appeal would have a reasonable prospect of success’, or in terms of section 17(1)(a)(ii), if there is ‘some other compelling reason why the appeal should be heard’. </w:t>
      </w:r>
    </w:p>
    <w:p w14:paraId="5DD533A0" w14:textId="77777777" w:rsidR="003E509C" w:rsidRPr="005B274D" w:rsidRDefault="003E509C" w:rsidP="000C2980">
      <w:pPr>
        <w:rPr>
          <w:sz w:val="24"/>
          <w:szCs w:val="24"/>
        </w:rPr>
      </w:pPr>
    </w:p>
    <w:p w14:paraId="572A60E2" w14:textId="0DA6DFEB" w:rsidR="003E509C" w:rsidRPr="005B274D" w:rsidRDefault="00FB0C7F" w:rsidP="000C2980">
      <w:pPr>
        <w:rPr>
          <w:sz w:val="24"/>
          <w:szCs w:val="24"/>
        </w:rPr>
      </w:pPr>
      <w:r w:rsidRPr="005B274D">
        <w:rPr>
          <w:sz w:val="24"/>
          <w:szCs w:val="24"/>
        </w:rPr>
        <w:t>[4</w:t>
      </w:r>
      <w:r w:rsidR="003E509C" w:rsidRPr="005B274D">
        <w:rPr>
          <w:sz w:val="24"/>
          <w:szCs w:val="24"/>
        </w:rPr>
        <w:t>]</w:t>
      </w:r>
      <w:r w:rsidR="003E509C" w:rsidRPr="005B274D">
        <w:rPr>
          <w:sz w:val="24"/>
          <w:szCs w:val="24"/>
        </w:rPr>
        <w:tab/>
        <w:t>In The Mont Chevaux Trust v Goosen and others,</w:t>
      </w:r>
      <w:r w:rsidR="003E509C" w:rsidRPr="005B274D">
        <w:rPr>
          <w:sz w:val="24"/>
          <w:szCs w:val="24"/>
        </w:rPr>
        <w:footnoteReference w:id="1"/>
      </w:r>
      <w:r w:rsidR="003E509C" w:rsidRPr="005B274D">
        <w:rPr>
          <w:sz w:val="24"/>
          <w:szCs w:val="24"/>
        </w:rPr>
        <w:t xml:space="preserve">  Bertelsmann J (in an obiter dictum) held that:</w:t>
      </w:r>
    </w:p>
    <w:p w14:paraId="0FD39D30" w14:textId="77777777" w:rsidR="003E509C" w:rsidRPr="005B274D" w:rsidRDefault="003E509C" w:rsidP="000C2980">
      <w:pPr>
        <w:rPr>
          <w:sz w:val="24"/>
          <w:szCs w:val="24"/>
        </w:rPr>
      </w:pPr>
      <w:r w:rsidRPr="005B274D">
        <w:rPr>
          <w:sz w:val="24"/>
          <w:szCs w:val="24"/>
        </w:rPr>
        <w:t>‘It is clear that the threshold for granting leave to appeal against a judgment of a High Court has been raised in the new Act. The former test whether leave to appeal should be granted was a reasonable prospect that another court might come to a different conclusion, see Van Heerden v Cronwright &amp; Others 1985 (2) SA 342 (T) at 343H. The use of the word “would” in the new statute indicates a measure of certainty that another court will differ from the court whose judgment is sought to be appealed against.’</w:t>
      </w:r>
    </w:p>
    <w:p w14:paraId="4442012B" w14:textId="77777777" w:rsidR="003E509C" w:rsidRPr="005B274D" w:rsidRDefault="003E509C" w:rsidP="000C2980">
      <w:pPr>
        <w:rPr>
          <w:sz w:val="24"/>
          <w:szCs w:val="24"/>
        </w:rPr>
      </w:pPr>
    </w:p>
    <w:p w14:paraId="3333BA72" w14:textId="461FDF42" w:rsidR="003E509C" w:rsidRPr="005B274D" w:rsidRDefault="00FB0C7F" w:rsidP="000C2980">
      <w:pPr>
        <w:rPr>
          <w:sz w:val="24"/>
          <w:szCs w:val="24"/>
        </w:rPr>
      </w:pPr>
      <w:r w:rsidRPr="005B274D">
        <w:rPr>
          <w:sz w:val="24"/>
          <w:szCs w:val="24"/>
        </w:rPr>
        <w:t>[5</w:t>
      </w:r>
      <w:r w:rsidR="003E509C" w:rsidRPr="005B274D">
        <w:rPr>
          <w:sz w:val="24"/>
          <w:szCs w:val="24"/>
        </w:rPr>
        <w:t>]</w:t>
      </w:r>
      <w:r w:rsidR="003E509C" w:rsidRPr="005B274D">
        <w:rPr>
          <w:sz w:val="24"/>
          <w:szCs w:val="24"/>
        </w:rPr>
        <w:tab/>
        <w:t>The test was also considered in S v Smith</w:t>
      </w:r>
      <w:r w:rsidR="003E509C" w:rsidRPr="005B274D">
        <w:rPr>
          <w:sz w:val="24"/>
          <w:szCs w:val="24"/>
        </w:rPr>
        <w:footnoteReference w:id="2"/>
      </w:r>
      <w:r w:rsidR="003E509C" w:rsidRPr="005B274D">
        <w:rPr>
          <w:sz w:val="24"/>
          <w:szCs w:val="24"/>
        </w:rPr>
        <w:t xml:space="preserve"> where the court held:</w:t>
      </w:r>
    </w:p>
    <w:p w14:paraId="62846980" w14:textId="23B69C90" w:rsidR="003E509C" w:rsidRPr="005B274D" w:rsidRDefault="003E509C" w:rsidP="000C2980">
      <w:pPr>
        <w:rPr>
          <w:sz w:val="24"/>
          <w:szCs w:val="24"/>
        </w:rPr>
      </w:pPr>
      <w:r w:rsidRPr="005B274D">
        <w:rPr>
          <w:sz w:val="24"/>
          <w:szCs w:val="24"/>
        </w:rPr>
        <w:t>‘What the test of reasonable prospects of success postulates is a dispassionate decision, based on the facts and the law, that a court of appeal could reasonably arrive at a conclusion different to that of the trial court.</w:t>
      </w:r>
      <w:bookmarkStart w:id="1" w:name="0-0-0-79435"/>
      <w:bookmarkEnd w:id="1"/>
      <w:r w:rsidRPr="005B274D">
        <w:rPr>
          <w:sz w:val="24"/>
          <w:szCs w:val="24"/>
        </w:rPr>
        <w:t xml:space="preserve">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w:t>
      </w:r>
      <w:r w:rsidR="00441C61" w:rsidRPr="005B274D">
        <w:rPr>
          <w:sz w:val="24"/>
          <w:szCs w:val="24"/>
        </w:rPr>
        <w:t>categorised</w:t>
      </w:r>
      <w:r w:rsidR="000D0505" w:rsidRPr="005B274D">
        <w:rPr>
          <w:sz w:val="24"/>
          <w:szCs w:val="24"/>
        </w:rPr>
        <w:t xml:space="preserve"> </w:t>
      </w:r>
      <w:r w:rsidRPr="005B274D">
        <w:rPr>
          <w:sz w:val="24"/>
          <w:szCs w:val="24"/>
        </w:rPr>
        <w:t>as hopeless. There must, in other words, be a sound, rational basis for the conclusion that there are prospects of success on appeal.’ (Footnotes omitted.)</w:t>
      </w:r>
      <w:r w:rsidRPr="005B274D">
        <w:rPr>
          <w:sz w:val="24"/>
          <w:szCs w:val="24"/>
        </w:rPr>
        <w:tab/>
      </w:r>
    </w:p>
    <w:p w14:paraId="0CD03549" w14:textId="77777777" w:rsidR="003E509C" w:rsidRPr="005B274D" w:rsidRDefault="003E509C" w:rsidP="000C2980">
      <w:pPr>
        <w:rPr>
          <w:sz w:val="24"/>
          <w:szCs w:val="24"/>
        </w:rPr>
      </w:pPr>
    </w:p>
    <w:p w14:paraId="2A98E692" w14:textId="40476EE1" w:rsidR="003E509C" w:rsidRPr="005B274D" w:rsidRDefault="003E509C" w:rsidP="000C2980">
      <w:pPr>
        <w:rPr>
          <w:sz w:val="24"/>
          <w:szCs w:val="24"/>
        </w:rPr>
      </w:pPr>
      <w:r w:rsidRPr="005B274D">
        <w:rPr>
          <w:sz w:val="24"/>
          <w:szCs w:val="24"/>
        </w:rPr>
        <w:t>[</w:t>
      </w:r>
      <w:r w:rsidR="00FB0C7F" w:rsidRPr="005B274D">
        <w:rPr>
          <w:sz w:val="24"/>
          <w:szCs w:val="24"/>
        </w:rPr>
        <w:t>6</w:t>
      </w:r>
      <w:r w:rsidRPr="005B274D">
        <w:rPr>
          <w:sz w:val="24"/>
          <w:szCs w:val="24"/>
        </w:rPr>
        <w:t>]</w:t>
      </w:r>
      <w:r w:rsidRPr="005B274D">
        <w:rPr>
          <w:sz w:val="24"/>
          <w:szCs w:val="24"/>
        </w:rPr>
        <w:tab/>
        <w:t>In Four Wheel Drive v Rattan NO,</w:t>
      </w:r>
      <w:r w:rsidRPr="005B274D">
        <w:rPr>
          <w:sz w:val="24"/>
          <w:szCs w:val="24"/>
        </w:rPr>
        <w:footnoteReference w:id="3"/>
      </w:r>
      <w:r w:rsidRPr="005B274D">
        <w:rPr>
          <w:sz w:val="24"/>
          <w:szCs w:val="24"/>
        </w:rPr>
        <w:t xml:space="preserve"> Schippers JA, with reference to S v Smith supra, referred to the principle that leave to appeal should only be granted where ‘a sound, rational </w:t>
      </w:r>
      <w:r w:rsidRPr="005B274D">
        <w:rPr>
          <w:sz w:val="24"/>
          <w:szCs w:val="24"/>
        </w:rPr>
        <w:lastRenderedPageBreak/>
        <w:t xml:space="preserve">basis [exists] for the conclusion that there are prospects of success on appeal’. The court is required to test the grounds on which leave to appeal is sought against the facts of the case and the applicable legal principles. The court a quo was also criticised for granting leave to appeal when there were no reasonable prospects of success, which resulted in the parties being put through the inconvenience and expense of an appeal without any merit. </w:t>
      </w:r>
    </w:p>
    <w:p w14:paraId="496DE241" w14:textId="2B4BECEB" w:rsidR="0009095E" w:rsidRPr="005B274D" w:rsidRDefault="0009095E" w:rsidP="000C2980">
      <w:pPr>
        <w:rPr>
          <w:sz w:val="24"/>
          <w:szCs w:val="24"/>
        </w:rPr>
      </w:pPr>
    </w:p>
    <w:p w14:paraId="1ACCACFE" w14:textId="04670FAB" w:rsidR="0009095E" w:rsidRPr="005B274D" w:rsidRDefault="0009095E" w:rsidP="000C2980">
      <w:pPr>
        <w:rPr>
          <w:sz w:val="24"/>
          <w:szCs w:val="24"/>
        </w:rPr>
      </w:pPr>
      <w:r w:rsidRPr="005B274D">
        <w:rPr>
          <w:sz w:val="24"/>
          <w:szCs w:val="24"/>
        </w:rPr>
        <w:t>[</w:t>
      </w:r>
      <w:r w:rsidR="00FB0C7F" w:rsidRPr="005B274D">
        <w:rPr>
          <w:sz w:val="24"/>
          <w:szCs w:val="24"/>
        </w:rPr>
        <w:t>7</w:t>
      </w:r>
      <w:r w:rsidRPr="005B274D">
        <w:rPr>
          <w:sz w:val="24"/>
          <w:szCs w:val="24"/>
        </w:rPr>
        <w:t>]</w:t>
      </w:r>
      <w:r w:rsidRPr="005B274D">
        <w:rPr>
          <w:sz w:val="24"/>
          <w:szCs w:val="24"/>
        </w:rPr>
        <w:tab/>
      </w:r>
      <w:r w:rsidR="00223398" w:rsidRPr="005B274D">
        <w:rPr>
          <w:sz w:val="24"/>
          <w:szCs w:val="24"/>
        </w:rPr>
        <w:t xml:space="preserve">It is furthermore always important when considering applications of this nature to keep in mind what was held in </w:t>
      </w:r>
      <w:r w:rsidRPr="005B274D">
        <w:rPr>
          <w:sz w:val="24"/>
          <w:szCs w:val="24"/>
        </w:rPr>
        <w:t>R v Dhlumayo</w:t>
      </w:r>
      <w:r w:rsidRPr="005B274D">
        <w:rPr>
          <w:sz w:val="24"/>
          <w:szCs w:val="24"/>
        </w:rPr>
        <w:footnoteReference w:id="4"/>
      </w:r>
      <w:r w:rsidR="00223398" w:rsidRPr="005B274D">
        <w:rPr>
          <w:sz w:val="24"/>
          <w:szCs w:val="24"/>
        </w:rPr>
        <w:t>:</w:t>
      </w:r>
    </w:p>
    <w:p w14:paraId="0A67F577" w14:textId="52EC7CCC" w:rsidR="000D0505" w:rsidRPr="005B274D" w:rsidRDefault="00483BAF" w:rsidP="000C2980">
      <w:pPr>
        <w:rPr>
          <w:sz w:val="24"/>
          <w:szCs w:val="24"/>
        </w:rPr>
      </w:pPr>
      <w:r w:rsidRPr="005B274D">
        <w:rPr>
          <w:sz w:val="24"/>
          <w:szCs w:val="24"/>
        </w:rPr>
        <w:t>‘No judgment can ever be perfect and all-embracing, and it does not necessarily follow that, because something has not been mentioned, therefore it has not been considered.’</w:t>
      </w:r>
    </w:p>
    <w:p w14:paraId="3C64AE2B" w14:textId="77777777" w:rsidR="00483BAF" w:rsidRPr="005B274D" w:rsidRDefault="00483BAF" w:rsidP="000C2980">
      <w:pPr>
        <w:rPr>
          <w:sz w:val="24"/>
          <w:szCs w:val="24"/>
        </w:rPr>
      </w:pPr>
    </w:p>
    <w:p w14:paraId="2D6F591D" w14:textId="13392FF9" w:rsidR="00924AA8" w:rsidRPr="005B274D" w:rsidRDefault="00FB0C7F" w:rsidP="000C2980">
      <w:pPr>
        <w:rPr>
          <w:sz w:val="24"/>
          <w:szCs w:val="24"/>
        </w:rPr>
      </w:pPr>
      <w:r w:rsidRPr="005B274D">
        <w:rPr>
          <w:sz w:val="24"/>
          <w:szCs w:val="24"/>
        </w:rPr>
        <w:t>[8</w:t>
      </w:r>
      <w:r w:rsidR="00EE25A8" w:rsidRPr="005B274D">
        <w:rPr>
          <w:sz w:val="24"/>
          <w:szCs w:val="24"/>
        </w:rPr>
        <w:t>]</w:t>
      </w:r>
      <w:r w:rsidR="00EE25A8" w:rsidRPr="005B274D">
        <w:rPr>
          <w:sz w:val="24"/>
          <w:szCs w:val="24"/>
        </w:rPr>
        <w:tab/>
      </w:r>
      <w:r w:rsidR="003534B8" w:rsidRPr="005B274D">
        <w:rPr>
          <w:sz w:val="24"/>
          <w:szCs w:val="24"/>
        </w:rPr>
        <w:t>It</w:t>
      </w:r>
      <w:r w:rsidR="000D0505" w:rsidRPr="005B274D">
        <w:rPr>
          <w:sz w:val="24"/>
          <w:szCs w:val="24"/>
        </w:rPr>
        <w:t xml:space="preserve"> was submitted by Mr Pillay, appearing for the applicant, with reliance on Democratic Alliance v President of the Republic of South Africa</w:t>
      </w:r>
      <w:r w:rsidR="000D0505" w:rsidRPr="005B274D">
        <w:rPr>
          <w:sz w:val="24"/>
          <w:szCs w:val="24"/>
        </w:rPr>
        <w:footnoteReference w:id="5"/>
      </w:r>
      <w:r w:rsidR="003534B8" w:rsidRPr="005B274D">
        <w:rPr>
          <w:sz w:val="24"/>
          <w:szCs w:val="24"/>
        </w:rPr>
        <w:t xml:space="preserve"> that </w:t>
      </w:r>
    </w:p>
    <w:p w14:paraId="77666AE7" w14:textId="02D12A6F" w:rsidR="00924AA8" w:rsidRPr="005B274D" w:rsidRDefault="00924AA8" w:rsidP="000C2980">
      <w:pPr>
        <w:rPr>
          <w:sz w:val="24"/>
          <w:szCs w:val="24"/>
        </w:rPr>
      </w:pPr>
      <w:r w:rsidRPr="005B274D">
        <w:rPr>
          <w:sz w:val="24"/>
          <w:szCs w:val="24"/>
        </w:rPr>
        <w:t xml:space="preserve">‘A balance between the rights of the party which was successful before the court a quo and the rights of the losing party seeking </w:t>
      </w:r>
      <w:r w:rsidR="00223398" w:rsidRPr="005B274D">
        <w:rPr>
          <w:sz w:val="24"/>
          <w:szCs w:val="24"/>
        </w:rPr>
        <w:t>leave to</w:t>
      </w:r>
      <w:r w:rsidRPr="005B274D">
        <w:rPr>
          <w:sz w:val="24"/>
          <w:szCs w:val="24"/>
        </w:rPr>
        <w:t xml:space="preserve"> appeal need to be established so that the absence </w:t>
      </w:r>
      <w:r w:rsidR="00223398" w:rsidRPr="005B274D">
        <w:rPr>
          <w:sz w:val="24"/>
          <w:szCs w:val="24"/>
        </w:rPr>
        <w:t>of a</w:t>
      </w:r>
      <w:r w:rsidRPr="005B274D">
        <w:rPr>
          <w:sz w:val="24"/>
          <w:szCs w:val="24"/>
        </w:rPr>
        <w:t xml:space="preserve"> realistic chance of succeeding on appeal dictates  that the balance must be struck in favour of the party which was initially successful.’</w:t>
      </w:r>
    </w:p>
    <w:p w14:paraId="3659BA9F" w14:textId="5C36B02B" w:rsidR="000D0505" w:rsidRPr="005B274D" w:rsidRDefault="003534B8" w:rsidP="000C2980">
      <w:pPr>
        <w:rPr>
          <w:sz w:val="24"/>
          <w:szCs w:val="24"/>
        </w:rPr>
      </w:pPr>
      <w:r w:rsidRPr="005B274D">
        <w:rPr>
          <w:sz w:val="24"/>
          <w:szCs w:val="24"/>
        </w:rPr>
        <w:t>It was submitted that there should be a basis in fact or in law to sustain a realistic chance, not just a hope.</w:t>
      </w:r>
    </w:p>
    <w:p w14:paraId="0D5C5E74" w14:textId="77777777" w:rsidR="005F2567" w:rsidRPr="005B274D" w:rsidRDefault="005F2567" w:rsidP="000C2980">
      <w:pPr>
        <w:rPr>
          <w:sz w:val="24"/>
          <w:szCs w:val="24"/>
        </w:rPr>
      </w:pPr>
    </w:p>
    <w:p w14:paraId="1F9BF6C5" w14:textId="471DADFA" w:rsidR="005F2567" w:rsidRPr="005B274D" w:rsidRDefault="005F2567" w:rsidP="000C2980">
      <w:pPr>
        <w:rPr>
          <w:sz w:val="24"/>
          <w:szCs w:val="24"/>
        </w:rPr>
      </w:pPr>
      <w:r w:rsidRPr="005B274D">
        <w:rPr>
          <w:sz w:val="24"/>
          <w:szCs w:val="24"/>
        </w:rPr>
        <w:t>[</w:t>
      </w:r>
      <w:r w:rsidR="00FB0C7F" w:rsidRPr="005B274D">
        <w:rPr>
          <w:sz w:val="24"/>
          <w:szCs w:val="24"/>
        </w:rPr>
        <w:t>9</w:t>
      </w:r>
      <w:r w:rsidRPr="005B274D">
        <w:rPr>
          <w:sz w:val="24"/>
          <w:szCs w:val="24"/>
        </w:rPr>
        <w:t>]</w:t>
      </w:r>
      <w:r w:rsidR="00EE25A8" w:rsidRPr="005B274D">
        <w:rPr>
          <w:sz w:val="24"/>
          <w:szCs w:val="24"/>
        </w:rPr>
        <w:tab/>
      </w:r>
      <w:r w:rsidRPr="005B274D">
        <w:rPr>
          <w:sz w:val="24"/>
          <w:szCs w:val="24"/>
        </w:rPr>
        <w:t>Returning to the present application, I must say that I struggled to understand</w:t>
      </w:r>
      <w:r w:rsidR="003534B8" w:rsidRPr="005B274D">
        <w:rPr>
          <w:sz w:val="24"/>
          <w:szCs w:val="24"/>
        </w:rPr>
        <w:t xml:space="preserve"> </w:t>
      </w:r>
      <w:r w:rsidRPr="005B274D">
        <w:rPr>
          <w:sz w:val="24"/>
          <w:szCs w:val="24"/>
        </w:rPr>
        <w:t>the basis of the ground raised in para 1 of the application. I did not anywhere in my judgment find that clause 10.2 of the GCC only applied to payment disputes and that the provision had no application to the alleged ‘dispute’ that was articulated in Mrs Lazarova’s letter of 28 June 2019.</w:t>
      </w:r>
      <w:r w:rsidR="00FD0DAA" w:rsidRPr="005B274D">
        <w:rPr>
          <w:sz w:val="24"/>
          <w:szCs w:val="24"/>
        </w:rPr>
        <w:t xml:space="preserve"> </w:t>
      </w:r>
      <w:r w:rsidRPr="005B274D">
        <w:rPr>
          <w:sz w:val="24"/>
          <w:szCs w:val="24"/>
        </w:rPr>
        <w:t xml:space="preserve">I dealt with her letter in para </w:t>
      </w:r>
      <w:r w:rsidR="003534B8" w:rsidRPr="005B274D">
        <w:rPr>
          <w:sz w:val="24"/>
          <w:szCs w:val="24"/>
        </w:rPr>
        <w:t>3</w:t>
      </w:r>
      <w:r w:rsidRPr="005B274D">
        <w:rPr>
          <w:sz w:val="24"/>
          <w:szCs w:val="24"/>
        </w:rPr>
        <w:t>9 of my judgment.</w:t>
      </w:r>
    </w:p>
    <w:p w14:paraId="1A77750B" w14:textId="77777777" w:rsidR="005F2567" w:rsidRPr="005B274D" w:rsidRDefault="005F2567" w:rsidP="000C2980">
      <w:pPr>
        <w:rPr>
          <w:sz w:val="24"/>
          <w:szCs w:val="24"/>
        </w:rPr>
      </w:pPr>
    </w:p>
    <w:p w14:paraId="20ECB884" w14:textId="0A8C4014" w:rsidR="008B434B" w:rsidRPr="005B274D" w:rsidRDefault="005F2567" w:rsidP="000C2980">
      <w:pPr>
        <w:rPr>
          <w:sz w:val="24"/>
          <w:szCs w:val="24"/>
        </w:rPr>
      </w:pPr>
      <w:r w:rsidRPr="005B274D">
        <w:rPr>
          <w:sz w:val="24"/>
          <w:szCs w:val="24"/>
        </w:rPr>
        <w:t>[</w:t>
      </w:r>
      <w:r w:rsidR="000234AB" w:rsidRPr="005B274D">
        <w:rPr>
          <w:sz w:val="24"/>
          <w:szCs w:val="24"/>
        </w:rPr>
        <w:t>1</w:t>
      </w:r>
      <w:r w:rsidR="00FB0C7F" w:rsidRPr="005B274D">
        <w:rPr>
          <w:sz w:val="24"/>
          <w:szCs w:val="24"/>
        </w:rPr>
        <w:t>0</w:t>
      </w:r>
      <w:r w:rsidR="000D0505" w:rsidRPr="005B274D">
        <w:rPr>
          <w:sz w:val="24"/>
          <w:szCs w:val="24"/>
        </w:rPr>
        <w:t>]</w:t>
      </w:r>
      <w:r w:rsidR="00EE25A8" w:rsidRPr="005B274D">
        <w:rPr>
          <w:sz w:val="24"/>
          <w:szCs w:val="24"/>
        </w:rPr>
        <w:tab/>
      </w:r>
      <w:r w:rsidR="000D0505" w:rsidRPr="005B274D">
        <w:rPr>
          <w:sz w:val="24"/>
          <w:szCs w:val="24"/>
        </w:rPr>
        <w:t>Mr</w:t>
      </w:r>
      <w:r w:rsidRPr="005B274D">
        <w:rPr>
          <w:sz w:val="24"/>
          <w:szCs w:val="24"/>
        </w:rPr>
        <w:t xml:space="preserve"> Crampton, appearing for the first respondent, in a roundabout way eventually arrived at a submission to the effect that I erred in not finding that Mrs Lazarova’</w:t>
      </w:r>
      <w:r w:rsidR="008B434B" w:rsidRPr="005B274D">
        <w:rPr>
          <w:sz w:val="24"/>
          <w:szCs w:val="24"/>
        </w:rPr>
        <w:t>s letter</w:t>
      </w:r>
      <w:r w:rsidR="00FE5A5D" w:rsidRPr="005B274D">
        <w:rPr>
          <w:sz w:val="24"/>
          <w:szCs w:val="24"/>
        </w:rPr>
        <w:t>,</w:t>
      </w:r>
      <w:r w:rsidR="008B434B" w:rsidRPr="005B274D">
        <w:rPr>
          <w:sz w:val="24"/>
          <w:szCs w:val="24"/>
        </w:rPr>
        <w:t xml:space="preserve"> </w:t>
      </w:r>
      <w:r w:rsidR="003534B8" w:rsidRPr="005B274D">
        <w:rPr>
          <w:sz w:val="24"/>
          <w:szCs w:val="24"/>
        </w:rPr>
        <w:t>and its</w:t>
      </w:r>
      <w:r w:rsidRPr="005B274D">
        <w:rPr>
          <w:sz w:val="24"/>
          <w:szCs w:val="24"/>
        </w:rPr>
        <w:t xml:space="preserve"> conclusion</w:t>
      </w:r>
      <w:r w:rsidR="00223398" w:rsidRPr="005B274D">
        <w:rPr>
          <w:sz w:val="24"/>
          <w:szCs w:val="24"/>
        </w:rPr>
        <w:t xml:space="preserve"> in itself</w:t>
      </w:r>
      <w:r w:rsidRPr="005B274D">
        <w:rPr>
          <w:sz w:val="24"/>
          <w:szCs w:val="24"/>
        </w:rPr>
        <w:t>, amounted to a cause of dissatisfaction as envisaged in clause 10.2.2 and that</w:t>
      </w:r>
      <w:r w:rsidR="008B434B" w:rsidRPr="005B274D">
        <w:rPr>
          <w:sz w:val="24"/>
          <w:szCs w:val="24"/>
        </w:rPr>
        <w:t xml:space="preserve"> the letter would have constituted a repudiation of the contract. This was in line with what was submitted in para 2.6 of the first </w:t>
      </w:r>
      <w:r w:rsidR="000234AB" w:rsidRPr="005B274D">
        <w:rPr>
          <w:sz w:val="24"/>
          <w:szCs w:val="24"/>
        </w:rPr>
        <w:t>respondent’s</w:t>
      </w:r>
      <w:r w:rsidR="008B434B" w:rsidRPr="005B274D">
        <w:rPr>
          <w:sz w:val="24"/>
          <w:szCs w:val="24"/>
        </w:rPr>
        <w:t xml:space="preserve"> application fo</w:t>
      </w:r>
      <w:r w:rsidR="003534B8" w:rsidRPr="005B274D">
        <w:rPr>
          <w:sz w:val="24"/>
          <w:szCs w:val="24"/>
        </w:rPr>
        <w:t>r</w:t>
      </w:r>
      <w:r w:rsidR="008B434B" w:rsidRPr="005B274D">
        <w:rPr>
          <w:sz w:val="24"/>
          <w:szCs w:val="24"/>
        </w:rPr>
        <w:t xml:space="preserve"> leave to appeal</w:t>
      </w:r>
      <w:r w:rsidR="00FD0DAA" w:rsidRPr="005B274D">
        <w:rPr>
          <w:sz w:val="24"/>
          <w:szCs w:val="24"/>
        </w:rPr>
        <w:t>,</w:t>
      </w:r>
      <w:r w:rsidR="008B434B" w:rsidRPr="005B274D">
        <w:rPr>
          <w:sz w:val="24"/>
          <w:szCs w:val="24"/>
        </w:rPr>
        <w:t xml:space="preserve"> as the first respondent </w:t>
      </w:r>
      <w:r w:rsidR="000234AB" w:rsidRPr="005B274D">
        <w:rPr>
          <w:sz w:val="24"/>
          <w:szCs w:val="24"/>
        </w:rPr>
        <w:t>‘stated</w:t>
      </w:r>
      <w:r w:rsidR="008B434B" w:rsidRPr="005B274D">
        <w:rPr>
          <w:sz w:val="24"/>
          <w:szCs w:val="24"/>
        </w:rPr>
        <w:t xml:space="preserve"> unequivocally, its intensions in relation to the contract’</w:t>
      </w:r>
      <w:r w:rsidR="000234AB" w:rsidRPr="005B274D">
        <w:rPr>
          <w:sz w:val="24"/>
          <w:szCs w:val="24"/>
        </w:rPr>
        <w:t xml:space="preserve"> in the letter of 28 </w:t>
      </w:r>
      <w:r w:rsidR="000234AB" w:rsidRPr="005B274D">
        <w:rPr>
          <w:sz w:val="24"/>
          <w:szCs w:val="24"/>
        </w:rPr>
        <w:lastRenderedPageBreak/>
        <w:t>June 2019</w:t>
      </w:r>
      <w:r w:rsidR="008B434B" w:rsidRPr="005B274D">
        <w:rPr>
          <w:sz w:val="24"/>
          <w:szCs w:val="24"/>
        </w:rPr>
        <w:t xml:space="preserve">. </w:t>
      </w:r>
      <w:r w:rsidR="000234AB" w:rsidRPr="005B274D">
        <w:rPr>
          <w:sz w:val="24"/>
          <w:szCs w:val="24"/>
        </w:rPr>
        <w:t>Clause 10.2.2, which I summarised in para 6 of my judgment</w:t>
      </w:r>
      <w:r w:rsidR="00FE5A5D" w:rsidRPr="005B274D">
        <w:rPr>
          <w:sz w:val="24"/>
          <w:szCs w:val="24"/>
        </w:rPr>
        <w:t>,</w:t>
      </w:r>
      <w:r w:rsidR="000234AB" w:rsidRPr="005B274D">
        <w:rPr>
          <w:sz w:val="24"/>
          <w:szCs w:val="24"/>
        </w:rPr>
        <w:t xml:space="preserve"> reads as follows in its entirety:</w:t>
      </w:r>
    </w:p>
    <w:p w14:paraId="42E7B480" w14:textId="55684E8F" w:rsidR="000234AB" w:rsidRPr="005B274D" w:rsidRDefault="000234AB" w:rsidP="000C2980">
      <w:pPr>
        <w:rPr>
          <w:sz w:val="24"/>
          <w:szCs w:val="24"/>
        </w:rPr>
      </w:pPr>
      <w:r w:rsidRPr="005B274D">
        <w:rPr>
          <w:sz w:val="24"/>
          <w:szCs w:val="24"/>
        </w:rPr>
        <w:t>‘</w:t>
      </w:r>
      <w:r w:rsidR="00223398" w:rsidRPr="005B274D">
        <w:rPr>
          <w:sz w:val="24"/>
          <w:szCs w:val="24"/>
        </w:rPr>
        <w:t>If,</w:t>
      </w:r>
      <w:r w:rsidRPr="005B274D">
        <w:rPr>
          <w:sz w:val="24"/>
          <w:szCs w:val="24"/>
        </w:rPr>
        <w:t xml:space="preserve"> in respect of any matter arising out of or in connection with the Contract, which is not required to be deal with in terms of clause 10.1, the Contractor or the Employer fails to submit a claim within 28 days after the cause of dissatisfaction, he shall have no further right to raise any dissatisfaction on such matter.’</w:t>
      </w:r>
    </w:p>
    <w:p w14:paraId="096EEC15" w14:textId="77777777" w:rsidR="000234AB" w:rsidRPr="005B274D" w:rsidRDefault="000234AB" w:rsidP="000C2980">
      <w:pPr>
        <w:rPr>
          <w:sz w:val="24"/>
          <w:szCs w:val="24"/>
        </w:rPr>
      </w:pPr>
    </w:p>
    <w:p w14:paraId="43AD5CDB" w14:textId="225B1C6C" w:rsidR="008B434B" w:rsidRPr="005B274D" w:rsidRDefault="008B434B" w:rsidP="000C2980">
      <w:pPr>
        <w:rPr>
          <w:sz w:val="24"/>
          <w:szCs w:val="24"/>
        </w:rPr>
      </w:pPr>
      <w:r w:rsidRPr="005B274D">
        <w:rPr>
          <w:sz w:val="24"/>
          <w:szCs w:val="24"/>
        </w:rPr>
        <w:t>[1</w:t>
      </w:r>
      <w:r w:rsidR="00FB0C7F" w:rsidRPr="005B274D">
        <w:rPr>
          <w:sz w:val="24"/>
          <w:szCs w:val="24"/>
        </w:rPr>
        <w:t>1</w:t>
      </w:r>
      <w:r w:rsidR="00EE25A8" w:rsidRPr="005B274D">
        <w:rPr>
          <w:sz w:val="24"/>
          <w:szCs w:val="24"/>
        </w:rPr>
        <w:t>]</w:t>
      </w:r>
      <w:r w:rsidR="00EE25A8" w:rsidRPr="005B274D">
        <w:rPr>
          <w:sz w:val="24"/>
          <w:szCs w:val="24"/>
        </w:rPr>
        <w:tab/>
      </w:r>
      <w:r w:rsidRPr="005B274D">
        <w:rPr>
          <w:sz w:val="24"/>
          <w:szCs w:val="24"/>
        </w:rPr>
        <w:t>In essence</w:t>
      </w:r>
      <w:r w:rsidR="00FD0DAA" w:rsidRPr="005B274D">
        <w:rPr>
          <w:sz w:val="24"/>
          <w:szCs w:val="24"/>
        </w:rPr>
        <w:t>,</w:t>
      </w:r>
      <w:r w:rsidRPr="005B274D">
        <w:rPr>
          <w:sz w:val="24"/>
          <w:szCs w:val="24"/>
        </w:rPr>
        <w:t xml:space="preserve"> it was submitted that the letter of 28 June 2019 should have been regarded as a cause of dissatisfaction</w:t>
      </w:r>
      <w:r w:rsidR="00FE5A5D" w:rsidRPr="005B274D">
        <w:rPr>
          <w:sz w:val="24"/>
          <w:szCs w:val="24"/>
        </w:rPr>
        <w:t>.</w:t>
      </w:r>
      <w:r w:rsidRPr="005B274D">
        <w:rPr>
          <w:sz w:val="24"/>
          <w:szCs w:val="24"/>
        </w:rPr>
        <w:t xml:space="preserve"> </w:t>
      </w:r>
      <w:r w:rsidR="00FE5A5D" w:rsidRPr="005B274D">
        <w:rPr>
          <w:sz w:val="24"/>
          <w:szCs w:val="24"/>
        </w:rPr>
        <w:t>T</w:t>
      </w:r>
      <w:r w:rsidRPr="005B274D">
        <w:rPr>
          <w:sz w:val="24"/>
          <w:szCs w:val="24"/>
        </w:rPr>
        <w:t xml:space="preserve">he applicant should </w:t>
      </w:r>
      <w:r w:rsidR="00FE5A5D" w:rsidRPr="005B274D">
        <w:rPr>
          <w:sz w:val="24"/>
          <w:szCs w:val="24"/>
        </w:rPr>
        <w:t xml:space="preserve">then </w:t>
      </w:r>
      <w:r w:rsidRPr="005B274D">
        <w:rPr>
          <w:sz w:val="24"/>
          <w:szCs w:val="24"/>
        </w:rPr>
        <w:t>have taken the prescribed steps</w:t>
      </w:r>
      <w:r w:rsidR="00FE5A5D" w:rsidRPr="005B274D">
        <w:rPr>
          <w:sz w:val="24"/>
          <w:szCs w:val="24"/>
        </w:rPr>
        <w:t>,</w:t>
      </w:r>
      <w:r w:rsidRPr="005B274D">
        <w:rPr>
          <w:sz w:val="24"/>
          <w:szCs w:val="24"/>
        </w:rPr>
        <w:t xml:space="preserve"> as referred to in my judgment in respect of a dissatisfaction claim, </w:t>
      </w:r>
      <w:r w:rsidR="006B6F2C" w:rsidRPr="005B274D">
        <w:rPr>
          <w:sz w:val="24"/>
          <w:szCs w:val="24"/>
        </w:rPr>
        <w:t xml:space="preserve">some two years before it was going to submit its payment certificate, </w:t>
      </w:r>
      <w:r w:rsidRPr="005B274D">
        <w:rPr>
          <w:sz w:val="24"/>
          <w:szCs w:val="24"/>
        </w:rPr>
        <w:t>which it did not do, creating the impression that it accepted the content of the letter.</w:t>
      </w:r>
      <w:r w:rsidR="006B6F2C" w:rsidRPr="005B274D">
        <w:rPr>
          <w:sz w:val="24"/>
          <w:szCs w:val="24"/>
        </w:rPr>
        <w:t xml:space="preserve"> It was submitted that this would have been the </w:t>
      </w:r>
      <w:r w:rsidR="00F33AEF" w:rsidRPr="005B274D">
        <w:rPr>
          <w:sz w:val="24"/>
          <w:szCs w:val="24"/>
        </w:rPr>
        <w:t xml:space="preserve">prudent, </w:t>
      </w:r>
      <w:r w:rsidR="006B6F2C" w:rsidRPr="005B274D">
        <w:rPr>
          <w:sz w:val="24"/>
          <w:szCs w:val="24"/>
        </w:rPr>
        <w:t>businesslike thing to do.</w:t>
      </w:r>
    </w:p>
    <w:p w14:paraId="046C6942" w14:textId="77777777" w:rsidR="008B434B" w:rsidRPr="005B274D" w:rsidRDefault="008B434B" w:rsidP="000C2980">
      <w:pPr>
        <w:rPr>
          <w:sz w:val="24"/>
          <w:szCs w:val="24"/>
        </w:rPr>
      </w:pPr>
    </w:p>
    <w:p w14:paraId="60FFD1A3" w14:textId="1C5E1083" w:rsidR="00C43E4F" w:rsidRPr="005B274D" w:rsidRDefault="008B434B" w:rsidP="000C2980">
      <w:pPr>
        <w:rPr>
          <w:sz w:val="24"/>
          <w:szCs w:val="24"/>
        </w:rPr>
      </w:pPr>
      <w:r w:rsidRPr="005B274D">
        <w:rPr>
          <w:sz w:val="24"/>
          <w:szCs w:val="24"/>
        </w:rPr>
        <w:t>[1</w:t>
      </w:r>
      <w:r w:rsidR="00FB0C7F" w:rsidRPr="005B274D">
        <w:rPr>
          <w:sz w:val="24"/>
          <w:szCs w:val="24"/>
        </w:rPr>
        <w:t>2</w:t>
      </w:r>
      <w:r w:rsidR="00EE25A8" w:rsidRPr="005B274D">
        <w:rPr>
          <w:sz w:val="24"/>
          <w:szCs w:val="24"/>
        </w:rPr>
        <w:t>]</w:t>
      </w:r>
      <w:r w:rsidR="00EE25A8" w:rsidRPr="005B274D">
        <w:rPr>
          <w:sz w:val="24"/>
          <w:szCs w:val="24"/>
        </w:rPr>
        <w:tab/>
      </w:r>
      <w:r w:rsidRPr="005B274D">
        <w:rPr>
          <w:sz w:val="24"/>
          <w:szCs w:val="24"/>
        </w:rPr>
        <w:t>Mrs Lazarova, in her answering affidavit, stated that the applicant did not contest the ‘advice’ she gave in her letter of 28 June 2019.</w:t>
      </w:r>
      <w:r w:rsidR="00FD0DAA" w:rsidRPr="005B274D">
        <w:rPr>
          <w:sz w:val="24"/>
          <w:szCs w:val="24"/>
        </w:rPr>
        <w:t xml:space="preserve"> </w:t>
      </w:r>
      <w:r w:rsidRPr="005B274D">
        <w:rPr>
          <w:sz w:val="24"/>
          <w:szCs w:val="24"/>
        </w:rPr>
        <w:t xml:space="preserve">It was likewise submitted in argument on behalf of the first respondent </w:t>
      </w:r>
      <w:r w:rsidR="006B6F2C" w:rsidRPr="005B274D">
        <w:rPr>
          <w:sz w:val="24"/>
          <w:szCs w:val="24"/>
        </w:rPr>
        <w:t>during the hearing of the initial application</w:t>
      </w:r>
      <w:r w:rsidR="00FE5A5D" w:rsidRPr="005B274D">
        <w:rPr>
          <w:sz w:val="24"/>
          <w:szCs w:val="24"/>
        </w:rPr>
        <w:t>,</w:t>
      </w:r>
      <w:r w:rsidR="006B6F2C" w:rsidRPr="005B274D">
        <w:rPr>
          <w:sz w:val="24"/>
          <w:szCs w:val="24"/>
        </w:rPr>
        <w:t xml:space="preserve"> </w:t>
      </w:r>
      <w:r w:rsidRPr="005B274D">
        <w:rPr>
          <w:sz w:val="24"/>
          <w:szCs w:val="24"/>
        </w:rPr>
        <w:t>that the applicant did not contest Mrs Lazarova’s ‘advice’ and that the first respondent</w:t>
      </w:r>
      <w:r w:rsidR="00AA594F" w:rsidRPr="005B274D">
        <w:rPr>
          <w:sz w:val="24"/>
          <w:szCs w:val="24"/>
        </w:rPr>
        <w:t xml:space="preserve"> understood from the applicant’s conduct that the applicant accepted the ‘advice’ stated in the letter of 28 June 1019. This advice, the first respondent </w:t>
      </w:r>
      <w:r w:rsidR="006B6F2C" w:rsidRPr="005B274D">
        <w:rPr>
          <w:sz w:val="24"/>
          <w:szCs w:val="24"/>
        </w:rPr>
        <w:t>submitted,</w:t>
      </w:r>
      <w:r w:rsidR="00AA594F" w:rsidRPr="005B274D">
        <w:rPr>
          <w:sz w:val="24"/>
          <w:szCs w:val="24"/>
        </w:rPr>
        <w:t xml:space="preserve"> established a cause of dissatisfaction</w:t>
      </w:r>
      <w:r w:rsidR="00C43E4F" w:rsidRPr="005B274D">
        <w:rPr>
          <w:sz w:val="24"/>
          <w:szCs w:val="24"/>
        </w:rPr>
        <w:t xml:space="preserve"> and would have given the applicant a right to go to court. </w:t>
      </w:r>
      <w:r w:rsidR="00AA594F" w:rsidRPr="005B274D">
        <w:rPr>
          <w:sz w:val="24"/>
          <w:szCs w:val="24"/>
        </w:rPr>
        <w:t xml:space="preserve"> I have dealt with letter and the issues </w:t>
      </w:r>
      <w:r w:rsidR="006B6F2C" w:rsidRPr="005B274D">
        <w:rPr>
          <w:sz w:val="24"/>
          <w:szCs w:val="24"/>
        </w:rPr>
        <w:t>surrounding</w:t>
      </w:r>
      <w:r w:rsidR="00AA594F" w:rsidRPr="005B274D">
        <w:rPr>
          <w:sz w:val="24"/>
          <w:szCs w:val="24"/>
        </w:rPr>
        <w:t xml:space="preserve"> it in para 39 of my judgment</w:t>
      </w:r>
      <w:r w:rsidR="00FE5A5D" w:rsidRPr="005B274D">
        <w:rPr>
          <w:sz w:val="24"/>
          <w:szCs w:val="24"/>
        </w:rPr>
        <w:t>,</w:t>
      </w:r>
      <w:r w:rsidR="00AA594F" w:rsidRPr="005B274D">
        <w:rPr>
          <w:sz w:val="24"/>
          <w:szCs w:val="24"/>
        </w:rPr>
        <w:t xml:space="preserve"> as mentioned above. </w:t>
      </w:r>
      <w:r w:rsidR="006B6F2C" w:rsidRPr="005B274D">
        <w:rPr>
          <w:sz w:val="24"/>
          <w:szCs w:val="24"/>
        </w:rPr>
        <w:t xml:space="preserve">I </w:t>
      </w:r>
      <w:r w:rsidR="00FD0DAA" w:rsidRPr="005B274D">
        <w:rPr>
          <w:sz w:val="24"/>
          <w:szCs w:val="24"/>
        </w:rPr>
        <w:t xml:space="preserve">had </w:t>
      </w:r>
      <w:r w:rsidR="006B6F2C" w:rsidRPr="005B274D">
        <w:rPr>
          <w:sz w:val="24"/>
          <w:szCs w:val="24"/>
        </w:rPr>
        <w:t xml:space="preserve">found that the dissatisfaction </w:t>
      </w:r>
      <w:r w:rsidR="00C43E4F" w:rsidRPr="005B274D">
        <w:rPr>
          <w:sz w:val="24"/>
          <w:szCs w:val="24"/>
        </w:rPr>
        <w:t>claim</w:t>
      </w:r>
      <w:r w:rsidR="00FD0DAA" w:rsidRPr="005B274D">
        <w:rPr>
          <w:sz w:val="24"/>
          <w:szCs w:val="24"/>
        </w:rPr>
        <w:t xml:space="preserve"> </w:t>
      </w:r>
      <w:r w:rsidR="00C43E4F" w:rsidRPr="005B274D">
        <w:rPr>
          <w:sz w:val="24"/>
          <w:szCs w:val="24"/>
        </w:rPr>
        <w:t>(meaning, this particular claim, and not in general)</w:t>
      </w:r>
      <w:r w:rsidR="006B6F2C" w:rsidRPr="005B274D">
        <w:rPr>
          <w:sz w:val="24"/>
          <w:szCs w:val="24"/>
        </w:rPr>
        <w:t xml:space="preserve"> could only be submitted once the management fee had been excluded and by implication</w:t>
      </w:r>
      <w:r w:rsidR="00832544" w:rsidRPr="005B274D">
        <w:rPr>
          <w:sz w:val="24"/>
          <w:szCs w:val="24"/>
        </w:rPr>
        <w:t>,</w:t>
      </w:r>
      <w:r w:rsidR="006B6F2C" w:rsidRPr="005B274D">
        <w:rPr>
          <w:sz w:val="24"/>
          <w:szCs w:val="24"/>
        </w:rPr>
        <w:t xml:space="preserve"> that was when the dissatisfaction arose. </w:t>
      </w:r>
    </w:p>
    <w:p w14:paraId="77A493BA" w14:textId="77777777" w:rsidR="00C43E4F" w:rsidRPr="005B274D" w:rsidRDefault="00C43E4F" w:rsidP="000C2980">
      <w:pPr>
        <w:rPr>
          <w:sz w:val="24"/>
          <w:szCs w:val="24"/>
        </w:rPr>
      </w:pPr>
    </w:p>
    <w:p w14:paraId="5729C96F" w14:textId="3E94F13B" w:rsidR="005F2567" w:rsidRPr="005B274D" w:rsidRDefault="00EE25A8" w:rsidP="000C2980">
      <w:pPr>
        <w:rPr>
          <w:sz w:val="24"/>
          <w:szCs w:val="24"/>
        </w:rPr>
      </w:pPr>
      <w:r w:rsidRPr="005B274D">
        <w:rPr>
          <w:sz w:val="24"/>
          <w:szCs w:val="24"/>
        </w:rPr>
        <w:t>[1</w:t>
      </w:r>
      <w:r w:rsidR="00FB0C7F" w:rsidRPr="005B274D">
        <w:rPr>
          <w:sz w:val="24"/>
          <w:szCs w:val="24"/>
        </w:rPr>
        <w:t>3</w:t>
      </w:r>
      <w:r w:rsidRPr="005B274D">
        <w:rPr>
          <w:sz w:val="24"/>
          <w:szCs w:val="24"/>
        </w:rPr>
        <w:t>]</w:t>
      </w:r>
      <w:r w:rsidRPr="005B274D">
        <w:rPr>
          <w:sz w:val="24"/>
          <w:szCs w:val="24"/>
        </w:rPr>
        <w:tab/>
      </w:r>
      <w:r w:rsidR="00C43E4F" w:rsidRPr="005B274D">
        <w:rPr>
          <w:sz w:val="24"/>
          <w:szCs w:val="24"/>
        </w:rPr>
        <w:t>It was submitted on behalf of the applicant that to hold that the dissatisfaction</w:t>
      </w:r>
      <w:r w:rsidR="00F33AEF" w:rsidRPr="005B274D">
        <w:rPr>
          <w:sz w:val="24"/>
          <w:szCs w:val="24"/>
        </w:rPr>
        <w:t xml:space="preserve"> claim</w:t>
      </w:r>
      <w:r w:rsidR="00C43E4F" w:rsidRPr="005B274D">
        <w:rPr>
          <w:sz w:val="24"/>
          <w:szCs w:val="24"/>
        </w:rPr>
        <w:t xml:space="preserve"> arose when advice was given and when the parties were debating the issue, would in fact lead </w:t>
      </w:r>
      <w:r w:rsidR="00F33AEF" w:rsidRPr="005B274D">
        <w:rPr>
          <w:sz w:val="24"/>
          <w:szCs w:val="24"/>
        </w:rPr>
        <w:t>to an</w:t>
      </w:r>
      <w:r w:rsidR="00C43E4F" w:rsidRPr="005B274D">
        <w:rPr>
          <w:sz w:val="24"/>
          <w:szCs w:val="24"/>
        </w:rPr>
        <w:t xml:space="preserve"> unbusinesslike </w:t>
      </w:r>
      <w:r w:rsidR="00F33AEF" w:rsidRPr="005B274D">
        <w:rPr>
          <w:sz w:val="24"/>
          <w:szCs w:val="24"/>
        </w:rPr>
        <w:t>interpretation. At best, it gave rise to a cause of disagreement and nothing more and it certainly could not be elevated to a cause of dissatisfaction. It was further</w:t>
      </w:r>
      <w:r w:rsidR="002F0A59" w:rsidRPr="005B274D">
        <w:rPr>
          <w:sz w:val="24"/>
          <w:szCs w:val="24"/>
        </w:rPr>
        <w:t xml:space="preserve"> </w:t>
      </w:r>
      <w:r w:rsidR="00F33AEF" w:rsidRPr="005B274D">
        <w:rPr>
          <w:sz w:val="24"/>
          <w:szCs w:val="24"/>
        </w:rPr>
        <w:t>submitted that the applicant was dissatisfied when the payment certificate was issued and,</w:t>
      </w:r>
      <w:r w:rsidR="002F0A59" w:rsidRPr="005B274D">
        <w:rPr>
          <w:sz w:val="24"/>
          <w:szCs w:val="24"/>
        </w:rPr>
        <w:t xml:space="preserve"> </w:t>
      </w:r>
      <w:r w:rsidR="00F33AEF" w:rsidRPr="005B274D">
        <w:rPr>
          <w:sz w:val="24"/>
          <w:szCs w:val="24"/>
        </w:rPr>
        <w:t xml:space="preserve">as a result, became entitled to raise a dissatisfaction in respect of the payment </w:t>
      </w:r>
      <w:r w:rsidR="00724169" w:rsidRPr="005B274D">
        <w:rPr>
          <w:sz w:val="24"/>
          <w:szCs w:val="24"/>
        </w:rPr>
        <w:t>certificate once</w:t>
      </w:r>
      <w:r w:rsidR="00F33AEF" w:rsidRPr="005B274D">
        <w:rPr>
          <w:sz w:val="24"/>
          <w:szCs w:val="24"/>
        </w:rPr>
        <w:t xml:space="preserve"> it was formally issued.</w:t>
      </w:r>
      <w:r w:rsidR="008B434B" w:rsidRPr="005B274D">
        <w:rPr>
          <w:sz w:val="24"/>
          <w:szCs w:val="24"/>
        </w:rPr>
        <w:t xml:space="preserve"> </w:t>
      </w:r>
      <w:r w:rsidR="00F33AEF" w:rsidRPr="005B274D">
        <w:rPr>
          <w:sz w:val="24"/>
          <w:szCs w:val="24"/>
        </w:rPr>
        <w:t>I agree with these submissions.</w:t>
      </w:r>
    </w:p>
    <w:p w14:paraId="778A05AE" w14:textId="77777777" w:rsidR="00F33AEF" w:rsidRPr="005B274D" w:rsidRDefault="00F33AEF" w:rsidP="000C2980">
      <w:pPr>
        <w:rPr>
          <w:sz w:val="24"/>
          <w:szCs w:val="24"/>
        </w:rPr>
      </w:pPr>
    </w:p>
    <w:p w14:paraId="37F660AA" w14:textId="4FA1F1A3" w:rsidR="006C60B3" w:rsidRPr="005B274D" w:rsidRDefault="00F33AEF" w:rsidP="000C2980">
      <w:pPr>
        <w:rPr>
          <w:sz w:val="24"/>
          <w:szCs w:val="24"/>
        </w:rPr>
      </w:pPr>
      <w:r w:rsidRPr="005B274D">
        <w:rPr>
          <w:sz w:val="24"/>
          <w:szCs w:val="24"/>
        </w:rPr>
        <w:t>[1</w:t>
      </w:r>
      <w:r w:rsidR="00FB0C7F" w:rsidRPr="005B274D">
        <w:rPr>
          <w:sz w:val="24"/>
          <w:szCs w:val="24"/>
        </w:rPr>
        <w:t>4</w:t>
      </w:r>
      <w:r w:rsidR="002F0A59" w:rsidRPr="005B274D">
        <w:rPr>
          <w:sz w:val="24"/>
          <w:szCs w:val="24"/>
        </w:rPr>
        <w:t>]</w:t>
      </w:r>
      <w:r w:rsidR="00EE25A8" w:rsidRPr="005B274D">
        <w:rPr>
          <w:sz w:val="24"/>
          <w:szCs w:val="24"/>
        </w:rPr>
        <w:tab/>
      </w:r>
      <w:r w:rsidR="002F0A59" w:rsidRPr="005B274D">
        <w:rPr>
          <w:sz w:val="24"/>
          <w:szCs w:val="24"/>
        </w:rPr>
        <w:t xml:space="preserve">It was also submitted by the applicant that </w:t>
      </w:r>
      <w:r w:rsidR="004365E8" w:rsidRPr="005B274D">
        <w:rPr>
          <w:sz w:val="24"/>
          <w:szCs w:val="24"/>
        </w:rPr>
        <w:t xml:space="preserve">my </w:t>
      </w:r>
      <w:r w:rsidR="002F0A59" w:rsidRPr="005B274D">
        <w:rPr>
          <w:sz w:val="24"/>
          <w:szCs w:val="24"/>
        </w:rPr>
        <w:t xml:space="preserve">judgment was not fully dispositive of the parties’ rights as the first respondent may, and is required, to place its case before the adjudicator who is appointed to determine the dispute between the parties and it will suffer no </w:t>
      </w:r>
      <w:r w:rsidR="002F0A59" w:rsidRPr="005B274D">
        <w:rPr>
          <w:sz w:val="24"/>
          <w:szCs w:val="24"/>
        </w:rPr>
        <w:lastRenderedPageBreak/>
        <w:t xml:space="preserve">prejudice in pursuing adjudication. I dealt with the adjudicator’s entitlement to consider the issue of time-barring raised by the first respondent in para 36 of my judgment. It was further submitted </w:t>
      </w:r>
      <w:r w:rsidR="00C13E6E" w:rsidRPr="005B274D">
        <w:rPr>
          <w:sz w:val="24"/>
          <w:szCs w:val="24"/>
        </w:rPr>
        <w:t xml:space="preserve">that </w:t>
      </w:r>
      <w:r w:rsidR="002F0A59" w:rsidRPr="005B274D">
        <w:rPr>
          <w:sz w:val="24"/>
          <w:szCs w:val="24"/>
        </w:rPr>
        <w:t>the further prosecution of an appeal</w:t>
      </w:r>
      <w:r w:rsidR="006C60B3" w:rsidRPr="005B274D">
        <w:rPr>
          <w:sz w:val="24"/>
          <w:szCs w:val="24"/>
        </w:rPr>
        <w:t xml:space="preserve"> o</w:t>
      </w:r>
      <w:r w:rsidR="002F0A59" w:rsidRPr="005B274D">
        <w:rPr>
          <w:sz w:val="24"/>
          <w:szCs w:val="24"/>
        </w:rPr>
        <w:t xml:space="preserve">n what is </w:t>
      </w:r>
      <w:r w:rsidR="006C60B3" w:rsidRPr="005B274D">
        <w:rPr>
          <w:sz w:val="24"/>
          <w:szCs w:val="24"/>
        </w:rPr>
        <w:t>an in limine or interlocutory matter relating to the adjudication proceedings, would only serve to delay matters which should really be before the adjudicator. The State was using its might and resources emanating from public funds to pursue a technical matter to avoid the determination and hearing of the real dispute between the parties. Whilst I fully appreciate the first respondent’s rights to litigate its matters</w:t>
      </w:r>
      <w:r w:rsidR="00724169" w:rsidRPr="005B274D">
        <w:rPr>
          <w:sz w:val="24"/>
          <w:szCs w:val="24"/>
        </w:rPr>
        <w:t xml:space="preserve"> in court</w:t>
      </w:r>
      <w:r w:rsidR="006C60B3" w:rsidRPr="005B274D">
        <w:rPr>
          <w:sz w:val="24"/>
          <w:szCs w:val="24"/>
        </w:rPr>
        <w:t>, I must agree with the applicant’s submissions and concerns in this regard.</w:t>
      </w:r>
      <w:r w:rsidR="00724169" w:rsidRPr="005B274D">
        <w:rPr>
          <w:sz w:val="24"/>
          <w:szCs w:val="24"/>
        </w:rPr>
        <w:t xml:space="preserve"> In my view this matter clearly needs to run its course in front of the adjudicator.</w:t>
      </w:r>
    </w:p>
    <w:p w14:paraId="1A9FC0B2" w14:textId="34A0AD51" w:rsidR="006C60B3" w:rsidRPr="005B274D" w:rsidRDefault="006C60B3" w:rsidP="000C2980">
      <w:pPr>
        <w:rPr>
          <w:sz w:val="24"/>
          <w:szCs w:val="24"/>
        </w:rPr>
      </w:pPr>
    </w:p>
    <w:p w14:paraId="40130C10" w14:textId="43FF8C4B" w:rsidR="00F33AEF" w:rsidRPr="005B274D" w:rsidRDefault="006C60B3" w:rsidP="000C2980">
      <w:pPr>
        <w:rPr>
          <w:sz w:val="24"/>
          <w:szCs w:val="24"/>
        </w:rPr>
      </w:pPr>
      <w:r w:rsidRPr="005B274D">
        <w:rPr>
          <w:sz w:val="24"/>
          <w:szCs w:val="24"/>
        </w:rPr>
        <w:t>[1</w:t>
      </w:r>
      <w:r w:rsidR="00FB0C7F" w:rsidRPr="005B274D">
        <w:rPr>
          <w:sz w:val="24"/>
          <w:szCs w:val="24"/>
        </w:rPr>
        <w:t>5</w:t>
      </w:r>
      <w:r w:rsidR="00EE25A8" w:rsidRPr="005B274D">
        <w:rPr>
          <w:sz w:val="24"/>
          <w:szCs w:val="24"/>
        </w:rPr>
        <w:t>]</w:t>
      </w:r>
      <w:r w:rsidR="00EE25A8" w:rsidRPr="005B274D">
        <w:rPr>
          <w:sz w:val="24"/>
          <w:szCs w:val="24"/>
        </w:rPr>
        <w:tab/>
      </w:r>
      <w:r w:rsidR="0005347D" w:rsidRPr="005B274D">
        <w:rPr>
          <w:sz w:val="24"/>
          <w:szCs w:val="24"/>
        </w:rPr>
        <w:t>I</w:t>
      </w:r>
      <w:r w:rsidRPr="005B274D">
        <w:rPr>
          <w:sz w:val="24"/>
          <w:szCs w:val="24"/>
        </w:rPr>
        <w:t xml:space="preserve"> have carefully considered all the submissions as well as the grounds of appeal. I am of the view that there is </w:t>
      </w:r>
      <w:r w:rsidR="0005347D" w:rsidRPr="005B274D">
        <w:rPr>
          <w:sz w:val="24"/>
          <w:szCs w:val="24"/>
        </w:rPr>
        <w:t>no</w:t>
      </w:r>
      <w:r w:rsidRPr="005B274D">
        <w:rPr>
          <w:sz w:val="24"/>
          <w:szCs w:val="24"/>
        </w:rPr>
        <w:t xml:space="preserve"> sound, rational basis to </w:t>
      </w:r>
      <w:r w:rsidR="0005347D" w:rsidRPr="005B274D">
        <w:rPr>
          <w:sz w:val="24"/>
          <w:szCs w:val="24"/>
        </w:rPr>
        <w:t xml:space="preserve">conclude that there are </w:t>
      </w:r>
      <w:r w:rsidR="00C931F3" w:rsidRPr="005B274D">
        <w:rPr>
          <w:sz w:val="24"/>
          <w:szCs w:val="24"/>
        </w:rPr>
        <w:t xml:space="preserve">reasonable </w:t>
      </w:r>
      <w:r w:rsidR="0005347D" w:rsidRPr="005B274D">
        <w:rPr>
          <w:sz w:val="24"/>
          <w:szCs w:val="24"/>
        </w:rPr>
        <w:t>prospects of success on appeal</w:t>
      </w:r>
      <w:r w:rsidR="00A403F7" w:rsidRPr="005B274D">
        <w:rPr>
          <w:sz w:val="24"/>
          <w:szCs w:val="24"/>
        </w:rPr>
        <w:t>, bearing in mind the grounds raised by the first respondent.</w:t>
      </w:r>
    </w:p>
    <w:p w14:paraId="42856050" w14:textId="2DD4A498" w:rsidR="0005347D" w:rsidRPr="005B274D" w:rsidRDefault="0005347D" w:rsidP="000C2980">
      <w:pPr>
        <w:rPr>
          <w:sz w:val="24"/>
          <w:szCs w:val="24"/>
        </w:rPr>
      </w:pPr>
    </w:p>
    <w:p w14:paraId="78071144" w14:textId="73C09296" w:rsidR="0005347D" w:rsidRPr="005B274D" w:rsidRDefault="0005347D" w:rsidP="000C2980">
      <w:pPr>
        <w:rPr>
          <w:sz w:val="24"/>
          <w:szCs w:val="24"/>
        </w:rPr>
      </w:pPr>
      <w:r w:rsidRPr="005B274D">
        <w:rPr>
          <w:sz w:val="24"/>
          <w:szCs w:val="24"/>
        </w:rPr>
        <w:t>[1</w:t>
      </w:r>
      <w:r w:rsidR="00FB0C7F" w:rsidRPr="005B274D">
        <w:rPr>
          <w:sz w:val="24"/>
          <w:szCs w:val="24"/>
        </w:rPr>
        <w:t>6</w:t>
      </w:r>
      <w:r w:rsidRPr="005B274D">
        <w:rPr>
          <w:sz w:val="24"/>
          <w:szCs w:val="24"/>
        </w:rPr>
        <w:t>]</w:t>
      </w:r>
      <w:r w:rsidR="00EE25A8" w:rsidRPr="005B274D">
        <w:rPr>
          <w:sz w:val="24"/>
          <w:szCs w:val="24"/>
        </w:rPr>
        <w:tab/>
      </w:r>
      <w:r w:rsidRPr="005B274D">
        <w:rPr>
          <w:sz w:val="24"/>
          <w:szCs w:val="24"/>
        </w:rPr>
        <w:t>As far as the issue of costs</w:t>
      </w:r>
      <w:r w:rsidR="00F33AC5" w:rsidRPr="005B274D">
        <w:rPr>
          <w:sz w:val="24"/>
          <w:szCs w:val="24"/>
        </w:rPr>
        <w:t xml:space="preserve"> for this leave to appeal</w:t>
      </w:r>
      <w:r w:rsidRPr="005B274D">
        <w:rPr>
          <w:sz w:val="24"/>
          <w:szCs w:val="24"/>
        </w:rPr>
        <w:t xml:space="preserve"> are concerned, the applicant sought costs on the punitive scale, which were to include the costs of two counsel. It was submitted that punitive costs are warranted as a measure of displeasure with the waste of time and public resources. A similar order was sought in the initial application. I was</w:t>
      </w:r>
      <w:r w:rsidR="00C13E6E" w:rsidRPr="005B274D">
        <w:rPr>
          <w:sz w:val="24"/>
          <w:szCs w:val="24"/>
        </w:rPr>
        <w:t>,</w:t>
      </w:r>
      <w:r w:rsidRPr="005B274D">
        <w:rPr>
          <w:sz w:val="24"/>
          <w:szCs w:val="24"/>
        </w:rPr>
        <w:t xml:space="preserve"> in essence</w:t>
      </w:r>
      <w:r w:rsidR="00C13E6E" w:rsidRPr="005B274D">
        <w:rPr>
          <w:sz w:val="24"/>
          <w:szCs w:val="24"/>
        </w:rPr>
        <w:t>,</w:t>
      </w:r>
      <w:r w:rsidRPr="005B274D">
        <w:rPr>
          <w:sz w:val="24"/>
          <w:szCs w:val="24"/>
        </w:rPr>
        <w:t xml:space="preserve"> accused</w:t>
      </w:r>
      <w:r w:rsidR="00F33AC5" w:rsidRPr="005B274D">
        <w:rPr>
          <w:sz w:val="24"/>
          <w:szCs w:val="24"/>
        </w:rPr>
        <w:t xml:space="preserve"> by the applicant</w:t>
      </w:r>
      <w:r w:rsidRPr="005B274D">
        <w:rPr>
          <w:sz w:val="24"/>
          <w:szCs w:val="24"/>
        </w:rPr>
        <w:t xml:space="preserve"> of being too lenient towards the first respondent when I only ordered it to pay the costs of the application, due to public funds being involved. I am</w:t>
      </w:r>
      <w:r w:rsidR="00C13E6E" w:rsidRPr="005B274D">
        <w:rPr>
          <w:sz w:val="24"/>
          <w:szCs w:val="24"/>
        </w:rPr>
        <w:t>,</w:t>
      </w:r>
      <w:r w:rsidRPr="005B274D">
        <w:rPr>
          <w:sz w:val="24"/>
          <w:szCs w:val="24"/>
        </w:rPr>
        <w:t xml:space="preserve"> however</w:t>
      </w:r>
      <w:r w:rsidR="00C13E6E" w:rsidRPr="005B274D">
        <w:rPr>
          <w:sz w:val="24"/>
          <w:szCs w:val="24"/>
        </w:rPr>
        <w:t>,</w:t>
      </w:r>
      <w:r w:rsidRPr="005B274D">
        <w:rPr>
          <w:sz w:val="24"/>
          <w:szCs w:val="24"/>
        </w:rPr>
        <w:t xml:space="preserve"> still mindful of the implications on the public purse and am </w:t>
      </w:r>
      <w:r w:rsidR="00A403F7" w:rsidRPr="005B274D">
        <w:rPr>
          <w:sz w:val="24"/>
          <w:szCs w:val="24"/>
        </w:rPr>
        <w:t xml:space="preserve">further </w:t>
      </w:r>
      <w:r w:rsidRPr="005B274D">
        <w:rPr>
          <w:sz w:val="24"/>
          <w:szCs w:val="24"/>
        </w:rPr>
        <w:t xml:space="preserve">unconvinced that costs on a punitive scale </w:t>
      </w:r>
      <w:r w:rsidR="00E74A30" w:rsidRPr="005B274D">
        <w:rPr>
          <w:sz w:val="24"/>
          <w:szCs w:val="24"/>
        </w:rPr>
        <w:t xml:space="preserve">are </w:t>
      </w:r>
      <w:r w:rsidRPr="005B274D">
        <w:rPr>
          <w:sz w:val="24"/>
          <w:szCs w:val="24"/>
        </w:rPr>
        <w:t>justified</w:t>
      </w:r>
      <w:r w:rsidR="00A403F7" w:rsidRPr="005B274D">
        <w:rPr>
          <w:sz w:val="24"/>
          <w:szCs w:val="24"/>
        </w:rPr>
        <w:t>. I will</w:t>
      </w:r>
      <w:r w:rsidR="00C13E6E" w:rsidRPr="005B274D">
        <w:rPr>
          <w:sz w:val="24"/>
          <w:szCs w:val="24"/>
        </w:rPr>
        <w:t>,</w:t>
      </w:r>
      <w:r w:rsidR="00A403F7" w:rsidRPr="005B274D">
        <w:rPr>
          <w:sz w:val="24"/>
          <w:szCs w:val="24"/>
        </w:rPr>
        <w:t xml:space="preserve"> however</w:t>
      </w:r>
      <w:r w:rsidR="00C13E6E" w:rsidRPr="005B274D">
        <w:rPr>
          <w:sz w:val="24"/>
          <w:szCs w:val="24"/>
        </w:rPr>
        <w:t>,</w:t>
      </w:r>
      <w:r w:rsidR="00A403F7" w:rsidRPr="005B274D">
        <w:rPr>
          <w:sz w:val="24"/>
          <w:szCs w:val="24"/>
        </w:rPr>
        <w:t xml:space="preserve"> allow costs of two counsel as requested.</w:t>
      </w:r>
    </w:p>
    <w:p w14:paraId="0CD2207D" w14:textId="77777777" w:rsidR="00A403F7" w:rsidRPr="005B274D" w:rsidRDefault="00A403F7" w:rsidP="000C2980">
      <w:pPr>
        <w:rPr>
          <w:sz w:val="24"/>
          <w:szCs w:val="24"/>
        </w:rPr>
      </w:pPr>
    </w:p>
    <w:p w14:paraId="30A321FE" w14:textId="456EDB2A" w:rsidR="00A403F7" w:rsidRPr="005B274D" w:rsidRDefault="00A403F7" w:rsidP="000C2980">
      <w:pPr>
        <w:rPr>
          <w:sz w:val="24"/>
          <w:szCs w:val="24"/>
        </w:rPr>
      </w:pPr>
      <w:r w:rsidRPr="005B274D">
        <w:rPr>
          <w:sz w:val="24"/>
          <w:szCs w:val="24"/>
        </w:rPr>
        <w:t>[1</w:t>
      </w:r>
      <w:r w:rsidR="00FB0C7F" w:rsidRPr="005B274D">
        <w:rPr>
          <w:sz w:val="24"/>
          <w:szCs w:val="24"/>
        </w:rPr>
        <w:t>7</w:t>
      </w:r>
      <w:r w:rsidRPr="005B274D">
        <w:rPr>
          <w:sz w:val="24"/>
          <w:szCs w:val="24"/>
        </w:rPr>
        <w:t>]</w:t>
      </w:r>
      <w:r w:rsidR="00EE25A8" w:rsidRPr="005B274D">
        <w:rPr>
          <w:sz w:val="24"/>
          <w:szCs w:val="24"/>
        </w:rPr>
        <w:tab/>
      </w:r>
      <w:r w:rsidRPr="005B274D">
        <w:rPr>
          <w:sz w:val="24"/>
          <w:szCs w:val="24"/>
        </w:rPr>
        <w:t>I accordingly grant the following order:</w:t>
      </w:r>
    </w:p>
    <w:p w14:paraId="4C7BE251" w14:textId="52C7C9BE" w:rsidR="00A403F7" w:rsidRPr="005B274D" w:rsidRDefault="00A403F7" w:rsidP="000C2980">
      <w:pPr>
        <w:rPr>
          <w:sz w:val="24"/>
          <w:szCs w:val="24"/>
        </w:rPr>
      </w:pPr>
      <w:r w:rsidRPr="005B274D">
        <w:rPr>
          <w:sz w:val="24"/>
          <w:szCs w:val="24"/>
        </w:rPr>
        <w:t>1.</w:t>
      </w:r>
      <w:r w:rsidR="000C7333" w:rsidRPr="005B274D">
        <w:rPr>
          <w:sz w:val="24"/>
          <w:szCs w:val="24"/>
        </w:rPr>
        <w:tab/>
      </w:r>
      <w:r w:rsidRPr="005B274D">
        <w:rPr>
          <w:sz w:val="24"/>
          <w:szCs w:val="24"/>
        </w:rPr>
        <w:t>The first respondent’s application for leave to appeal is dismissed with costs, such costs to include the costs of two counsel.</w:t>
      </w:r>
    </w:p>
    <w:p w14:paraId="6E42B9C2" w14:textId="10E5EB14" w:rsidR="00394AF4" w:rsidRPr="005B274D" w:rsidRDefault="00394AF4" w:rsidP="000C2980">
      <w:pPr>
        <w:rPr>
          <w:sz w:val="24"/>
          <w:szCs w:val="24"/>
        </w:rPr>
      </w:pPr>
    </w:p>
    <w:p w14:paraId="67C2D8C3" w14:textId="77777777" w:rsidR="004E5607" w:rsidRPr="005B274D" w:rsidRDefault="004E5607" w:rsidP="000C2980">
      <w:pPr>
        <w:rPr>
          <w:sz w:val="24"/>
          <w:szCs w:val="24"/>
        </w:rPr>
      </w:pPr>
    </w:p>
    <w:p w14:paraId="79FF723E" w14:textId="27F1A96A" w:rsidR="00F44706" w:rsidRPr="005B274D" w:rsidRDefault="00F44706" w:rsidP="000C2980">
      <w:pPr>
        <w:rPr>
          <w:sz w:val="24"/>
          <w:szCs w:val="24"/>
        </w:rPr>
      </w:pPr>
    </w:p>
    <w:p w14:paraId="2DAD0956" w14:textId="4978E96D" w:rsidR="00F44706" w:rsidRPr="005B274D" w:rsidRDefault="00F44706" w:rsidP="000C2980">
      <w:pPr>
        <w:rPr>
          <w:sz w:val="24"/>
          <w:szCs w:val="24"/>
        </w:rPr>
      </w:pPr>
      <w:r w:rsidRPr="005B274D">
        <w:rPr>
          <w:sz w:val="24"/>
          <w:szCs w:val="24"/>
        </w:rPr>
        <w:t>__________________________</w:t>
      </w:r>
    </w:p>
    <w:p w14:paraId="4EB96ED8" w14:textId="14B5BD8E" w:rsidR="00F44706" w:rsidRPr="005B274D" w:rsidRDefault="00A90EE8" w:rsidP="000C2980">
      <w:pPr>
        <w:rPr>
          <w:sz w:val="24"/>
          <w:szCs w:val="24"/>
        </w:rPr>
      </w:pPr>
      <w:r w:rsidRPr="005B274D">
        <w:rPr>
          <w:sz w:val="24"/>
          <w:szCs w:val="24"/>
        </w:rPr>
        <w:t xml:space="preserve">E </w:t>
      </w:r>
      <w:r w:rsidR="00340033" w:rsidRPr="005B274D">
        <w:rPr>
          <w:sz w:val="24"/>
          <w:szCs w:val="24"/>
        </w:rPr>
        <w:t xml:space="preserve">BEZUIDENHOUT </w:t>
      </w:r>
      <w:r w:rsidR="00F44706" w:rsidRPr="005B274D">
        <w:rPr>
          <w:sz w:val="24"/>
          <w:szCs w:val="24"/>
        </w:rPr>
        <w:t>J</w:t>
      </w:r>
    </w:p>
    <w:p w14:paraId="0C3A6A1B" w14:textId="1450B6D0" w:rsidR="00686219" w:rsidRDefault="00686219" w:rsidP="000C2980">
      <w:pPr>
        <w:rPr>
          <w:sz w:val="24"/>
          <w:szCs w:val="24"/>
        </w:rPr>
      </w:pPr>
    </w:p>
    <w:p w14:paraId="778207C0" w14:textId="77777777" w:rsidR="008A74EE" w:rsidRPr="005B274D" w:rsidRDefault="008A74EE" w:rsidP="000C2980">
      <w:pPr>
        <w:rPr>
          <w:sz w:val="24"/>
          <w:szCs w:val="24"/>
        </w:rPr>
      </w:pPr>
    </w:p>
    <w:p w14:paraId="4E373266" w14:textId="0069EE2C" w:rsidR="00A90EE8" w:rsidRPr="005B274D" w:rsidRDefault="00A90EE8" w:rsidP="000C2980">
      <w:pPr>
        <w:rPr>
          <w:sz w:val="24"/>
          <w:szCs w:val="24"/>
        </w:rPr>
      </w:pPr>
      <w:r w:rsidRPr="005B274D">
        <w:rPr>
          <w:sz w:val="24"/>
          <w:szCs w:val="24"/>
        </w:rPr>
        <w:t>Date of hearing:</w:t>
      </w:r>
      <w:r w:rsidR="006304BE">
        <w:rPr>
          <w:sz w:val="24"/>
          <w:szCs w:val="24"/>
        </w:rPr>
        <w:tab/>
      </w:r>
      <w:r w:rsidR="00EE25A8" w:rsidRPr="005B274D">
        <w:rPr>
          <w:sz w:val="24"/>
          <w:szCs w:val="24"/>
        </w:rPr>
        <w:tab/>
      </w:r>
      <w:r w:rsidR="00901FF8" w:rsidRPr="005B274D">
        <w:rPr>
          <w:sz w:val="24"/>
          <w:szCs w:val="24"/>
        </w:rPr>
        <w:t>9 February 2024</w:t>
      </w:r>
      <w:r w:rsidRPr="005B274D">
        <w:rPr>
          <w:sz w:val="24"/>
          <w:szCs w:val="24"/>
        </w:rPr>
        <w:tab/>
      </w:r>
    </w:p>
    <w:p w14:paraId="36954E78" w14:textId="6DBFAADA" w:rsidR="00A90EE8" w:rsidRPr="005B274D" w:rsidRDefault="00A90EE8" w:rsidP="000C2980">
      <w:pPr>
        <w:rPr>
          <w:sz w:val="24"/>
          <w:szCs w:val="24"/>
        </w:rPr>
      </w:pPr>
      <w:r w:rsidRPr="005B274D">
        <w:rPr>
          <w:sz w:val="24"/>
          <w:szCs w:val="24"/>
        </w:rPr>
        <w:lastRenderedPageBreak/>
        <w:t>Date of judgment:</w:t>
      </w:r>
      <w:r w:rsidR="0085385A">
        <w:rPr>
          <w:sz w:val="24"/>
          <w:szCs w:val="24"/>
        </w:rPr>
        <w:tab/>
      </w:r>
      <w:r w:rsidR="00A403F7" w:rsidRPr="005B274D">
        <w:rPr>
          <w:sz w:val="24"/>
          <w:szCs w:val="24"/>
        </w:rPr>
        <w:t>6 March</w:t>
      </w:r>
      <w:r w:rsidR="00901FF8" w:rsidRPr="005B274D">
        <w:rPr>
          <w:sz w:val="24"/>
          <w:szCs w:val="24"/>
        </w:rPr>
        <w:t xml:space="preserve"> 2024</w:t>
      </w:r>
    </w:p>
    <w:p w14:paraId="4E74AD61" w14:textId="77777777" w:rsidR="00A90EE8" w:rsidRPr="005B274D" w:rsidRDefault="00A90EE8" w:rsidP="000C2980">
      <w:pPr>
        <w:rPr>
          <w:sz w:val="24"/>
          <w:szCs w:val="24"/>
        </w:rPr>
      </w:pPr>
    </w:p>
    <w:p w14:paraId="63C446FB" w14:textId="77777777" w:rsidR="00EA3A91" w:rsidRPr="005B274D" w:rsidRDefault="00EA3A91" w:rsidP="000C2980">
      <w:pPr>
        <w:rPr>
          <w:sz w:val="24"/>
          <w:szCs w:val="24"/>
        </w:rPr>
      </w:pPr>
    </w:p>
    <w:p w14:paraId="23F95BAC" w14:textId="5909B07B" w:rsidR="00EE25A8" w:rsidRPr="005B274D" w:rsidRDefault="00A90EE8" w:rsidP="000C2980">
      <w:pPr>
        <w:rPr>
          <w:sz w:val="24"/>
          <w:szCs w:val="24"/>
        </w:rPr>
      </w:pPr>
      <w:r w:rsidRPr="005B274D">
        <w:rPr>
          <w:sz w:val="24"/>
          <w:szCs w:val="24"/>
        </w:rPr>
        <w:t>Appearances:</w:t>
      </w:r>
    </w:p>
    <w:p w14:paraId="380E57F8" w14:textId="79BD1D51" w:rsidR="00D9615D" w:rsidRPr="005B274D" w:rsidRDefault="00D9615D" w:rsidP="000C2980">
      <w:pPr>
        <w:rPr>
          <w:sz w:val="24"/>
          <w:szCs w:val="24"/>
        </w:rPr>
      </w:pPr>
      <w:r w:rsidRPr="005B274D">
        <w:rPr>
          <w:sz w:val="24"/>
          <w:szCs w:val="24"/>
        </w:rPr>
        <w:t>For the applicant: I S Pillay SC</w:t>
      </w:r>
    </w:p>
    <w:p w14:paraId="19518DED" w14:textId="207E5ABC" w:rsidR="00D9615D" w:rsidRPr="005B274D" w:rsidRDefault="00D9615D" w:rsidP="000C2980">
      <w:pPr>
        <w:rPr>
          <w:sz w:val="24"/>
          <w:szCs w:val="24"/>
        </w:rPr>
      </w:pPr>
      <w:r w:rsidRPr="005B274D">
        <w:rPr>
          <w:sz w:val="24"/>
          <w:szCs w:val="24"/>
        </w:rPr>
        <w:t xml:space="preserve"> </w:t>
      </w:r>
      <w:r w:rsidRPr="005B274D">
        <w:rPr>
          <w:sz w:val="24"/>
          <w:szCs w:val="24"/>
        </w:rPr>
        <w:tab/>
        <w:t>DM De Jager</w:t>
      </w:r>
    </w:p>
    <w:p w14:paraId="68BE85DA" w14:textId="77777777" w:rsidR="00D9615D" w:rsidRPr="005B274D" w:rsidRDefault="00D9615D" w:rsidP="000C2980">
      <w:pPr>
        <w:rPr>
          <w:sz w:val="24"/>
          <w:szCs w:val="24"/>
        </w:rPr>
      </w:pPr>
      <w:r w:rsidRPr="005B274D">
        <w:rPr>
          <w:sz w:val="24"/>
          <w:szCs w:val="24"/>
        </w:rPr>
        <w:t xml:space="preserve">Instructed by: </w:t>
      </w:r>
      <w:r w:rsidRPr="005B274D">
        <w:rPr>
          <w:sz w:val="24"/>
          <w:szCs w:val="24"/>
        </w:rPr>
        <w:tab/>
        <w:t xml:space="preserve">Cox Yeats </w:t>
      </w:r>
    </w:p>
    <w:p w14:paraId="7021E458" w14:textId="5F877A71" w:rsidR="00D9615D" w:rsidRPr="005B274D" w:rsidRDefault="00D9615D" w:rsidP="000C2980">
      <w:pPr>
        <w:rPr>
          <w:sz w:val="24"/>
          <w:szCs w:val="24"/>
        </w:rPr>
      </w:pPr>
      <w:r w:rsidRPr="005B274D">
        <w:rPr>
          <w:sz w:val="24"/>
          <w:szCs w:val="24"/>
        </w:rPr>
        <w:tab/>
        <w:t>Ncondo Chambers</w:t>
      </w:r>
    </w:p>
    <w:p w14:paraId="5F41F03D" w14:textId="388D0634" w:rsidR="00D9615D" w:rsidRPr="005B274D" w:rsidRDefault="0085385A" w:rsidP="000C2980">
      <w:pPr>
        <w:rPr>
          <w:sz w:val="24"/>
          <w:szCs w:val="24"/>
        </w:rPr>
      </w:pPr>
      <w:r>
        <w:rPr>
          <w:sz w:val="24"/>
          <w:szCs w:val="24"/>
        </w:rPr>
        <w:tab/>
      </w:r>
      <w:r w:rsidR="00D9615D" w:rsidRPr="005B274D">
        <w:rPr>
          <w:sz w:val="24"/>
          <w:szCs w:val="24"/>
        </w:rPr>
        <w:t>Vuna Close</w:t>
      </w:r>
    </w:p>
    <w:p w14:paraId="7FAA4021" w14:textId="0E68913D" w:rsidR="00D9615D" w:rsidRPr="005B274D" w:rsidRDefault="00D9615D" w:rsidP="000C2980">
      <w:pPr>
        <w:rPr>
          <w:sz w:val="24"/>
          <w:szCs w:val="24"/>
        </w:rPr>
      </w:pPr>
      <w:r w:rsidRPr="005B274D">
        <w:rPr>
          <w:sz w:val="24"/>
          <w:szCs w:val="24"/>
        </w:rPr>
        <w:tab/>
        <w:t>Umhlanga Ridge</w:t>
      </w:r>
    </w:p>
    <w:p w14:paraId="416B2860" w14:textId="7CF3DEF6" w:rsidR="00D9615D" w:rsidRPr="005B274D" w:rsidRDefault="006304BE" w:rsidP="000C2980">
      <w:pPr>
        <w:rPr>
          <w:sz w:val="24"/>
          <w:szCs w:val="24"/>
        </w:rPr>
      </w:pPr>
      <w:r>
        <w:rPr>
          <w:sz w:val="24"/>
          <w:szCs w:val="24"/>
        </w:rPr>
        <w:tab/>
      </w:r>
      <w:r w:rsidR="00D9615D" w:rsidRPr="005B274D">
        <w:rPr>
          <w:sz w:val="24"/>
          <w:szCs w:val="24"/>
        </w:rPr>
        <w:t xml:space="preserve">Email: </w:t>
      </w:r>
      <w:hyperlink r:id="rId9" w:history="1">
        <w:r w:rsidR="00D9615D" w:rsidRPr="005B274D">
          <w:rPr>
            <w:rStyle w:val="Hyperlink"/>
            <w:sz w:val="24"/>
            <w:szCs w:val="24"/>
          </w:rPr>
          <w:t>dvcek@coxyeats.co.za</w:t>
        </w:r>
      </w:hyperlink>
      <w:r w:rsidR="00D9615D" w:rsidRPr="005B274D">
        <w:rPr>
          <w:sz w:val="24"/>
          <w:szCs w:val="24"/>
        </w:rPr>
        <w:t xml:space="preserve"> ;</w:t>
      </w:r>
    </w:p>
    <w:p w14:paraId="46F8C46A" w14:textId="2C9A30C6" w:rsidR="00D9615D" w:rsidRPr="005B274D" w:rsidRDefault="006304BE" w:rsidP="000C2980">
      <w:pPr>
        <w:rPr>
          <w:sz w:val="24"/>
          <w:szCs w:val="24"/>
        </w:rPr>
      </w:pPr>
      <w:r>
        <w:rPr>
          <w:sz w:val="24"/>
          <w:szCs w:val="24"/>
        </w:rPr>
        <w:tab/>
      </w:r>
      <w:hyperlink r:id="rId10" w:history="1">
        <w:r w:rsidR="00D9615D" w:rsidRPr="005B274D">
          <w:rPr>
            <w:rStyle w:val="Hyperlink"/>
            <w:sz w:val="24"/>
            <w:szCs w:val="24"/>
          </w:rPr>
          <w:t>jsmit@coxyeats.co.za</w:t>
        </w:r>
      </w:hyperlink>
    </w:p>
    <w:p w14:paraId="5093F2AB" w14:textId="10CA16F4" w:rsidR="00D9615D" w:rsidRPr="005B274D" w:rsidRDefault="006304BE" w:rsidP="000C2980">
      <w:pPr>
        <w:rPr>
          <w:sz w:val="24"/>
          <w:szCs w:val="24"/>
        </w:rPr>
      </w:pPr>
      <w:r>
        <w:rPr>
          <w:sz w:val="24"/>
          <w:szCs w:val="24"/>
        </w:rPr>
        <w:tab/>
      </w:r>
      <w:r w:rsidR="00D9615D" w:rsidRPr="005B274D">
        <w:rPr>
          <w:sz w:val="24"/>
          <w:szCs w:val="24"/>
        </w:rPr>
        <w:t>Tel: 031 536 8500</w:t>
      </w:r>
    </w:p>
    <w:p w14:paraId="56D173FE" w14:textId="696CB658" w:rsidR="00D9615D" w:rsidRPr="005B274D" w:rsidRDefault="006304BE" w:rsidP="000C2980">
      <w:pPr>
        <w:rPr>
          <w:sz w:val="24"/>
          <w:szCs w:val="24"/>
        </w:rPr>
      </w:pPr>
      <w:r>
        <w:rPr>
          <w:sz w:val="24"/>
          <w:szCs w:val="24"/>
        </w:rPr>
        <w:tab/>
      </w:r>
      <w:r w:rsidR="00D9615D" w:rsidRPr="005B274D">
        <w:rPr>
          <w:sz w:val="24"/>
          <w:szCs w:val="24"/>
        </w:rPr>
        <w:t>c/o Stowell and Company</w:t>
      </w:r>
    </w:p>
    <w:p w14:paraId="3C5BCA5D" w14:textId="267A7031" w:rsidR="00D9615D" w:rsidRPr="005B274D" w:rsidRDefault="006304BE" w:rsidP="000C2980">
      <w:pPr>
        <w:rPr>
          <w:sz w:val="24"/>
          <w:szCs w:val="24"/>
        </w:rPr>
      </w:pPr>
      <w:r>
        <w:rPr>
          <w:sz w:val="24"/>
          <w:szCs w:val="24"/>
        </w:rPr>
        <w:tab/>
      </w:r>
      <w:r w:rsidR="00D9615D" w:rsidRPr="005B274D">
        <w:rPr>
          <w:sz w:val="24"/>
          <w:szCs w:val="24"/>
        </w:rPr>
        <w:t xml:space="preserve">295 Pietermaritz Street </w:t>
      </w:r>
    </w:p>
    <w:p w14:paraId="286F2BA0" w14:textId="231EE9EE" w:rsidR="00D9615D" w:rsidRPr="005B274D" w:rsidRDefault="006304BE" w:rsidP="000C2980">
      <w:pPr>
        <w:rPr>
          <w:sz w:val="24"/>
          <w:szCs w:val="24"/>
        </w:rPr>
      </w:pPr>
      <w:r>
        <w:rPr>
          <w:sz w:val="24"/>
          <w:szCs w:val="24"/>
        </w:rPr>
        <w:tab/>
      </w:r>
      <w:r w:rsidR="00D9615D" w:rsidRPr="005B274D">
        <w:rPr>
          <w:sz w:val="24"/>
          <w:szCs w:val="24"/>
        </w:rPr>
        <w:t>Pietermaritzburg</w:t>
      </w:r>
    </w:p>
    <w:p w14:paraId="4BE96ACC" w14:textId="68FDAC85" w:rsidR="00D9615D" w:rsidRPr="005B274D" w:rsidRDefault="006304BE" w:rsidP="000C2980">
      <w:pPr>
        <w:rPr>
          <w:sz w:val="24"/>
          <w:szCs w:val="24"/>
        </w:rPr>
      </w:pPr>
      <w:r>
        <w:rPr>
          <w:sz w:val="24"/>
          <w:szCs w:val="24"/>
        </w:rPr>
        <w:tab/>
      </w:r>
      <w:r w:rsidR="00D9615D" w:rsidRPr="005B274D">
        <w:rPr>
          <w:sz w:val="24"/>
          <w:szCs w:val="24"/>
        </w:rPr>
        <w:t>Ref: GJ Campbell/ S-B/Cox</w:t>
      </w:r>
    </w:p>
    <w:p w14:paraId="54B2ED7F" w14:textId="77777777" w:rsidR="00D9615D" w:rsidRPr="005B274D" w:rsidRDefault="00D9615D" w:rsidP="000C2980">
      <w:pPr>
        <w:rPr>
          <w:sz w:val="24"/>
          <w:szCs w:val="24"/>
        </w:rPr>
      </w:pPr>
    </w:p>
    <w:p w14:paraId="7FC56DA8" w14:textId="77777777" w:rsidR="00EE25A8" w:rsidRPr="005B274D" w:rsidRDefault="00D9615D" w:rsidP="000C2980">
      <w:pPr>
        <w:rPr>
          <w:sz w:val="24"/>
          <w:szCs w:val="24"/>
        </w:rPr>
      </w:pPr>
      <w:r w:rsidRPr="005B274D">
        <w:rPr>
          <w:sz w:val="24"/>
          <w:szCs w:val="24"/>
        </w:rPr>
        <w:t xml:space="preserve">For the first respondent </w:t>
      </w:r>
    </w:p>
    <w:p w14:paraId="6F4E15B9" w14:textId="4D8B1E5E" w:rsidR="00D9615D" w:rsidRPr="005B274D" w:rsidRDefault="00D9615D" w:rsidP="000C2980">
      <w:pPr>
        <w:rPr>
          <w:sz w:val="24"/>
          <w:szCs w:val="24"/>
        </w:rPr>
      </w:pPr>
      <w:r w:rsidRPr="005B274D">
        <w:rPr>
          <w:sz w:val="24"/>
          <w:szCs w:val="24"/>
        </w:rPr>
        <w:t>(applicant in the</w:t>
      </w:r>
      <w:r w:rsidR="006304BE">
        <w:rPr>
          <w:sz w:val="24"/>
          <w:szCs w:val="24"/>
        </w:rPr>
        <w:t xml:space="preserve"> </w:t>
      </w:r>
      <w:r w:rsidRPr="005B274D">
        <w:rPr>
          <w:sz w:val="24"/>
          <w:szCs w:val="24"/>
        </w:rPr>
        <w:t>ap</w:t>
      </w:r>
      <w:r w:rsidR="006304BE">
        <w:rPr>
          <w:sz w:val="24"/>
          <w:szCs w:val="24"/>
        </w:rPr>
        <w:t>plication for leave to appeal):</w:t>
      </w:r>
      <w:r w:rsidR="006304BE">
        <w:rPr>
          <w:sz w:val="24"/>
          <w:szCs w:val="24"/>
        </w:rPr>
        <w:tab/>
      </w:r>
      <w:r w:rsidRPr="005B274D">
        <w:rPr>
          <w:sz w:val="24"/>
          <w:szCs w:val="24"/>
        </w:rPr>
        <w:t>D Crampton</w:t>
      </w:r>
    </w:p>
    <w:p w14:paraId="21A44C53" w14:textId="77777777" w:rsidR="00D9615D" w:rsidRPr="005B274D" w:rsidRDefault="00D9615D" w:rsidP="000C2980">
      <w:pPr>
        <w:rPr>
          <w:sz w:val="24"/>
          <w:szCs w:val="24"/>
        </w:rPr>
      </w:pPr>
      <w:r w:rsidRPr="005B274D">
        <w:rPr>
          <w:sz w:val="24"/>
          <w:szCs w:val="24"/>
        </w:rPr>
        <w:t xml:space="preserve">Instructed by: </w:t>
      </w:r>
      <w:r w:rsidRPr="005B274D">
        <w:rPr>
          <w:sz w:val="24"/>
          <w:szCs w:val="24"/>
        </w:rPr>
        <w:tab/>
        <w:t>GNG Attorneys</w:t>
      </w:r>
    </w:p>
    <w:p w14:paraId="3710D835" w14:textId="13C7F6D2" w:rsidR="00D9615D" w:rsidRPr="005B274D" w:rsidRDefault="00D9615D" w:rsidP="000C2980">
      <w:pPr>
        <w:rPr>
          <w:sz w:val="24"/>
          <w:szCs w:val="24"/>
        </w:rPr>
      </w:pPr>
      <w:r w:rsidRPr="005B274D">
        <w:rPr>
          <w:sz w:val="24"/>
          <w:szCs w:val="24"/>
        </w:rPr>
        <w:t xml:space="preserve"> </w:t>
      </w:r>
      <w:r w:rsidR="006304BE">
        <w:rPr>
          <w:sz w:val="24"/>
          <w:szCs w:val="24"/>
        </w:rPr>
        <w:tab/>
      </w:r>
      <w:r w:rsidRPr="005B274D">
        <w:rPr>
          <w:sz w:val="24"/>
          <w:szCs w:val="24"/>
        </w:rPr>
        <w:t>211 Burger Street</w:t>
      </w:r>
    </w:p>
    <w:p w14:paraId="1C432ABE" w14:textId="3BAC74F2" w:rsidR="00D9615D" w:rsidRPr="005B274D" w:rsidRDefault="006304BE" w:rsidP="000C2980">
      <w:pPr>
        <w:rPr>
          <w:sz w:val="24"/>
          <w:szCs w:val="24"/>
        </w:rPr>
      </w:pPr>
      <w:r>
        <w:rPr>
          <w:sz w:val="24"/>
          <w:szCs w:val="24"/>
        </w:rPr>
        <w:tab/>
      </w:r>
      <w:r w:rsidR="00D9615D" w:rsidRPr="005B274D">
        <w:rPr>
          <w:sz w:val="24"/>
          <w:szCs w:val="24"/>
        </w:rPr>
        <w:t>Pietermaritzburg</w:t>
      </w:r>
    </w:p>
    <w:p w14:paraId="57CB8B6C" w14:textId="2E2B2933" w:rsidR="00D9615D" w:rsidRPr="005B274D" w:rsidRDefault="006304BE" w:rsidP="000C2980">
      <w:pPr>
        <w:rPr>
          <w:sz w:val="24"/>
          <w:szCs w:val="24"/>
        </w:rPr>
      </w:pPr>
      <w:r>
        <w:rPr>
          <w:sz w:val="24"/>
          <w:szCs w:val="24"/>
        </w:rPr>
        <w:tab/>
      </w:r>
      <w:r w:rsidR="00D9615D" w:rsidRPr="005B274D">
        <w:rPr>
          <w:sz w:val="24"/>
          <w:szCs w:val="24"/>
        </w:rPr>
        <w:t>E mail: glitigation3@gngattorneys.co.za</w:t>
      </w:r>
    </w:p>
    <w:p w14:paraId="36B08441" w14:textId="433627AA" w:rsidR="00D9615D" w:rsidRPr="005B274D" w:rsidRDefault="006304BE" w:rsidP="000C2980">
      <w:pPr>
        <w:rPr>
          <w:sz w:val="24"/>
          <w:szCs w:val="24"/>
        </w:rPr>
      </w:pPr>
      <w:r>
        <w:rPr>
          <w:sz w:val="24"/>
          <w:szCs w:val="24"/>
        </w:rPr>
        <w:tab/>
      </w:r>
      <w:r w:rsidR="00D9615D" w:rsidRPr="005B274D">
        <w:rPr>
          <w:sz w:val="24"/>
          <w:szCs w:val="24"/>
        </w:rPr>
        <w:t>Tel: 033 345 3427</w:t>
      </w:r>
    </w:p>
    <w:p w14:paraId="2CCE792C" w14:textId="4BEDFEFA" w:rsidR="00D9615D" w:rsidRPr="005B274D" w:rsidRDefault="00D9615D" w:rsidP="000C2980">
      <w:pPr>
        <w:rPr>
          <w:sz w:val="24"/>
          <w:szCs w:val="24"/>
        </w:rPr>
      </w:pPr>
      <w:r w:rsidRPr="005B274D">
        <w:rPr>
          <w:sz w:val="24"/>
          <w:szCs w:val="24"/>
        </w:rPr>
        <w:tab/>
        <w:t>Ref: D 1200/50/63</w:t>
      </w:r>
    </w:p>
    <w:p w14:paraId="3B76C756" w14:textId="570B87C8" w:rsidR="00EA3A91" w:rsidRPr="005B274D" w:rsidRDefault="006304BE" w:rsidP="000C29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EA3A91" w:rsidRPr="005B274D" w:rsidSect="0092010C">
      <w:headerReference w:type="defaul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E4AC" w14:textId="77777777" w:rsidR="00584ABB" w:rsidRDefault="00584ABB" w:rsidP="00DC77EC">
      <w:pPr>
        <w:spacing w:after="0" w:line="240" w:lineRule="auto"/>
      </w:pPr>
      <w:r>
        <w:separator/>
      </w:r>
    </w:p>
  </w:endnote>
  <w:endnote w:type="continuationSeparator" w:id="0">
    <w:p w14:paraId="5EB1C934" w14:textId="77777777" w:rsidR="00584ABB" w:rsidRDefault="00584ABB" w:rsidP="00DC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2F7F" w14:textId="77777777" w:rsidR="00584ABB" w:rsidRDefault="00584ABB" w:rsidP="00DC77EC">
      <w:pPr>
        <w:spacing w:after="0" w:line="240" w:lineRule="auto"/>
      </w:pPr>
      <w:r>
        <w:separator/>
      </w:r>
    </w:p>
  </w:footnote>
  <w:footnote w:type="continuationSeparator" w:id="0">
    <w:p w14:paraId="7A525F71" w14:textId="77777777" w:rsidR="00584ABB" w:rsidRDefault="00584ABB" w:rsidP="00DC77EC">
      <w:pPr>
        <w:spacing w:after="0" w:line="240" w:lineRule="auto"/>
      </w:pPr>
      <w:r>
        <w:continuationSeparator/>
      </w:r>
    </w:p>
  </w:footnote>
  <w:footnote w:id="1">
    <w:p w14:paraId="46D23998" w14:textId="77777777" w:rsidR="003E509C" w:rsidRPr="002B6632" w:rsidRDefault="003E509C" w:rsidP="002B6632">
      <w:pPr>
        <w:pStyle w:val="FootnoteText"/>
        <w:contextualSpacing/>
        <w:jc w:val="both"/>
        <w:rPr>
          <w:rFonts w:ascii="Arial" w:hAnsi="Arial" w:cs="Arial"/>
          <w:lang w:val="en-GB"/>
        </w:rPr>
      </w:pPr>
      <w:r w:rsidRPr="002B6632">
        <w:rPr>
          <w:rStyle w:val="FootnoteReference"/>
          <w:rFonts w:ascii="Arial" w:hAnsi="Arial" w:cs="Arial"/>
        </w:rPr>
        <w:footnoteRef/>
      </w:r>
      <w:r w:rsidRPr="002B6632">
        <w:rPr>
          <w:rFonts w:ascii="Arial" w:hAnsi="Arial" w:cs="Arial"/>
        </w:rPr>
        <w:t xml:space="preserve"> </w:t>
      </w:r>
      <w:r w:rsidRPr="002B6632">
        <w:rPr>
          <w:rFonts w:ascii="Arial" w:hAnsi="Arial" w:cs="Arial"/>
          <w:i/>
        </w:rPr>
        <w:t>The Mont Chevaux Trust v Goosen and others</w:t>
      </w:r>
      <w:r w:rsidRPr="002B6632">
        <w:rPr>
          <w:rFonts w:ascii="Arial" w:hAnsi="Arial" w:cs="Arial"/>
        </w:rPr>
        <w:t xml:space="preserve"> [2014] ZALCC 20; 2014 JDR 2325 (LCC) para 6. </w:t>
      </w:r>
    </w:p>
  </w:footnote>
  <w:footnote w:id="2">
    <w:p w14:paraId="09F84BCC" w14:textId="77777777" w:rsidR="003E509C" w:rsidRPr="002B6632" w:rsidRDefault="003E509C" w:rsidP="002B6632">
      <w:pPr>
        <w:pStyle w:val="FootnoteText"/>
        <w:contextualSpacing/>
        <w:jc w:val="both"/>
        <w:rPr>
          <w:rFonts w:ascii="Arial" w:hAnsi="Arial" w:cs="Arial"/>
          <w:lang w:val="en-GB"/>
        </w:rPr>
      </w:pPr>
      <w:r w:rsidRPr="002B6632">
        <w:rPr>
          <w:rStyle w:val="FootnoteReference"/>
          <w:rFonts w:ascii="Arial" w:hAnsi="Arial" w:cs="Arial"/>
        </w:rPr>
        <w:footnoteRef/>
      </w:r>
      <w:r w:rsidRPr="002B6632">
        <w:rPr>
          <w:rFonts w:ascii="Arial" w:hAnsi="Arial" w:cs="Arial"/>
        </w:rPr>
        <w:t xml:space="preserve"> </w:t>
      </w:r>
      <w:r w:rsidRPr="002B6632">
        <w:rPr>
          <w:rFonts w:ascii="Arial" w:hAnsi="Arial" w:cs="Arial"/>
          <w:i/>
        </w:rPr>
        <w:t>S v Smith</w:t>
      </w:r>
      <w:r w:rsidRPr="002B6632">
        <w:rPr>
          <w:rFonts w:ascii="Arial" w:hAnsi="Arial" w:cs="Arial"/>
        </w:rPr>
        <w:t xml:space="preserve"> [2011] ZASCA 15; 2012 (1) SACR 567 (SCA) para 7.</w:t>
      </w:r>
    </w:p>
  </w:footnote>
  <w:footnote w:id="3">
    <w:p w14:paraId="158080D7" w14:textId="77777777" w:rsidR="003E509C" w:rsidRPr="002B6632" w:rsidRDefault="003E509C" w:rsidP="002B6632">
      <w:pPr>
        <w:pStyle w:val="FootnoteText"/>
        <w:contextualSpacing/>
        <w:jc w:val="both"/>
        <w:rPr>
          <w:rFonts w:ascii="Arial" w:hAnsi="Arial" w:cs="Arial"/>
          <w:lang w:val="en-GB"/>
        </w:rPr>
      </w:pPr>
      <w:r w:rsidRPr="002B6632">
        <w:rPr>
          <w:rStyle w:val="FootnoteReference"/>
          <w:rFonts w:ascii="Arial" w:hAnsi="Arial" w:cs="Arial"/>
        </w:rPr>
        <w:footnoteRef/>
      </w:r>
      <w:r w:rsidRPr="002B6632">
        <w:rPr>
          <w:rFonts w:ascii="Arial" w:hAnsi="Arial" w:cs="Arial"/>
        </w:rPr>
        <w:t xml:space="preserve"> </w:t>
      </w:r>
      <w:r w:rsidRPr="002B6632">
        <w:rPr>
          <w:rFonts w:ascii="Arial" w:hAnsi="Arial" w:cs="Arial"/>
          <w:i/>
        </w:rPr>
        <w:t>Four Wheel Drive Accessory Distributors CC v Rattan NO</w:t>
      </w:r>
      <w:r w:rsidRPr="002B6632">
        <w:rPr>
          <w:rFonts w:ascii="Arial" w:hAnsi="Arial" w:cs="Arial"/>
        </w:rPr>
        <w:t xml:space="preserve"> [2018] ZASCA 124, 2019 (3) SA 451 (SCA) para 34.</w:t>
      </w:r>
    </w:p>
  </w:footnote>
  <w:footnote w:id="4">
    <w:p w14:paraId="69EC2621" w14:textId="05FB98C2" w:rsidR="0009095E" w:rsidRPr="00FB0C7F" w:rsidRDefault="0009095E" w:rsidP="002B6632">
      <w:pPr>
        <w:pStyle w:val="FootnoteText"/>
        <w:jc w:val="both"/>
        <w:rPr>
          <w:rFonts w:ascii="Arial" w:hAnsi="Arial" w:cs="Arial"/>
          <w:lang w:val="en-GB"/>
        </w:rPr>
      </w:pPr>
      <w:r w:rsidRPr="002B6632">
        <w:rPr>
          <w:rStyle w:val="FootnoteReference"/>
          <w:rFonts w:ascii="Arial" w:hAnsi="Arial" w:cs="Arial"/>
        </w:rPr>
        <w:footnoteRef/>
      </w:r>
      <w:r w:rsidRPr="002B6632">
        <w:rPr>
          <w:rFonts w:ascii="Arial" w:hAnsi="Arial" w:cs="Arial"/>
        </w:rPr>
        <w:t xml:space="preserve"> </w:t>
      </w:r>
      <w:r w:rsidRPr="00FB0C7F">
        <w:rPr>
          <w:rFonts w:ascii="Arial" w:hAnsi="Arial" w:cs="Arial"/>
          <w:i/>
        </w:rPr>
        <w:t>R v Dhlumayo and another</w:t>
      </w:r>
      <w:r w:rsidRPr="002B6632">
        <w:rPr>
          <w:rFonts w:ascii="Arial" w:hAnsi="Arial" w:cs="Arial"/>
        </w:rPr>
        <w:t xml:space="preserve"> 1948 (2) SA 677 (A) at 706.</w:t>
      </w:r>
    </w:p>
  </w:footnote>
  <w:footnote w:id="5">
    <w:p w14:paraId="38719B77" w14:textId="2C25BB63" w:rsidR="000D0505" w:rsidRPr="002B6632" w:rsidRDefault="000D0505" w:rsidP="002B6632">
      <w:pPr>
        <w:pStyle w:val="FootnoteText"/>
        <w:contextualSpacing/>
        <w:jc w:val="both"/>
        <w:rPr>
          <w:rFonts w:ascii="Arial" w:hAnsi="Arial" w:cs="Arial"/>
          <w:lang w:val="en-GB"/>
        </w:rPr>
      </w:pPr>
      <w:r w:rsidRPr="002B6632">
        <w:rPr>
          <w:rStyle w:val="FootnoteReference"/>
          <w:rFonts w:ascii="Arial" w:hAnsi="Arial" w:cs="Arial"/>
        </w:rPr>
        <w:footnoteRef/>
      </w:r>
      <w:r w:rsidRPr="002B6632">
        <w:rPr>
          <w:rFonts w:ascii="Arial" w:hAnsi="Arial" w:cs="Arial"/>
        </w:rPr>
        <w:t xml:space="preserve"> </w:t>
      </w:r>
      <w:r w:rsidRPr="00FB0C7F">
        <w:rPr>
          <w:rFonts w:ascii="Arial" w:hAnsi="Arial" w:cs="Arial"/>
          <w:i/>
          <w:lang w:val="en-GB"/>
        </w:rPr>
        <w:t xml:space="preserve">Democratic Alliance v President of </w:t>
      </w:r>
      <w:r w:rsidR="00441C61" w:rsidRPr="002B6632">
        <w:rPr>
          <w:rFonts w:ascii="Arial" w:hAnsi="Arial" w:cs="Arial"/>
          <w:i/>
          <w:lang w:val="en-GB"/>
        </w:rPr>
        <w:t xml:space="preserve">the Republic of </w:t>
      </w:r>
      <w:r w:rsidRPr="00FB0C7F">
        <w:rPr>
          <w:rFonts w:ascii="Arial" w:hAnsi="Arial" w:cs="Arial"/>
          <w:i/>
          <w:lang w:val="en-GB"/>
        </w:rPr>
        <w:t xml:space="preserve">South Africa </w:t>
      </w:r>
      <w:r w:rsidR="00441C61" w:rsidRPr="002B6632">
        <w:rPr>
          <w:rFonts w:ascii="Arial" w:hAnsi="Arial" w:cs="Arial"/>
          <w:i/>
          <w:lang w:val="en-GB"/>
        </w:rPr>
        <w:t>and o</w:t>
      </w:r>
      <w:r w:rsidRPr="00FB0C7F">
        <w:rPr>
          <w:rFonts w:ascii="Arial" w:hAnsi="Arial" w:cs="Arial"/>
          <w:i/>
          <w:lang w:val="en-GB"/>
        </w:rPr>
        <w:t>thers</w:t>
      </w:r>
      <w:r w:rsidRPr="002B6632">
        <w:rPr>
          <w:rFonts w:ascii="Arial" w:hAnsi="Arial" w:cs="Arial"/>
          <w:lang w:val="en-GB"/>
        </w:rPr>
        <w:t xml:space="preserve"> [2020] ZAGPPHC 326</w:t>
      </w:r>
      <w:r w:rsidR="00924AA8" w:rsidRPr="002B6632">
        <w:rPr>
          <w:rFonts w:ascii="Arial" w:hAnsi="Arial" w:cs="Arial"/>
          <w:lang w:val="en-GB"/>
        </w:rPr>
        <w:t xml:space="preserve"> para</w:t>
      </w:r>
      <w:r w:rsidR="004E627F">
        <w:rPr>
          <w:rFonts w:ascii="Arial" w:hAnsi="Arial" w:cs="Arial"/>
          <w:lang w:val="en-GB"/>
        </w:rPr>
        <w:t> </w:t>
      </w:r>
      <w:r w:rsidR="00924AA8" w:rsidRPr="002B6632">
        <w:rPr>
          <w:rFonts w:ascii="Arial" w:hAnsi="Arial" w:cs="Arial"/>
          <w:lang w:val="en-GB"/>
        </w:rPr>
        <w:t>5</w:t>
      </w:r>
      <w:r w:rsidR="00441C61" w:rsidRPr="002B6632">
        <w:rPr>
          <w:rFonts w:ascii="Arial" w:hAnsi="Arial" w:cs="Arial"/>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62442"/>
      <w:docPartObj>
        <w:docPartGallery w:val="Page Numbers (Top of Page)"/>
        <w:docPartUnique/>
      </w:docPartObj>
    </w:sdtPr>
    <w:sdtEndPr>
      <w:rPr>
        <w:rFonts w:ascii="Arial" w:hAnsi="Arial" w:cs="Arial"/>
        <w:noProof/>
        <w:sz w:val="24"/>
      </w:rPr>
    </w:sdtEndPr>
    <w:sdtContent>
      <w:p w14:paraId="3D24EC43" w14:textId="6FE5CB8A" w:rsidR="00DC77EC" w:rsidRPr="00EE25A8" w:rsidRDefault="00DC77EC">
        <w:pPr>
          <w:pStyle w:val="Header"/>
          <w:jc w:val="right"/>
          <w:rPr>
            <w:rFonts w:ascii="Arial" w:hAnsi="Arial" w:cs="Arial"/>
            <w:sz w:val="24"/>
          </w:rPr>
        </w:pPr>
        <w:r w:rsidRPr="00EE25A8">
          <w:rPr>
            <w:rFonts w:ascii="Arial" w:hAnsi="Arial" w:cs="Arial"/>
            <w:sz w:val="24"/>
          </w:rPr>
          <w:fldChar w:fldCharType="begin"/>
        </w:r>
        <w:r w:rsidRPr="00EE25A8">
          <w:rPr>
            <w:rFonts w:ascii="Arial" w:hAnsi="Arial" w:cs="Arial"/>
            <w:sz w:val="24"/>
          </w:rPr>
          <w:instrText xml:space="preserve"> PAGE   \* MERGEFORMAT </w:instrText>
        </w:r>
        <w:r w:rsidRPr="00EE25A8">
          <w:rPr>
            <w:rFonts w:ascii="Arial" w:hAnsi="Arial" w:cs="Arial"/>
            <w:sz w:val="24"/>
          </w:rPr>
          <w:fldChar w:fldCharType="separate"/>
        </w:r>
        <w:r w:rsidR="006570D5">
          <w:rPr>
            <w:rFonts w:ascii="Arial" w:hAnsi="Arial" w:cs="Arial"/>
            <w:noProof/>
            <w:sz w:val="24"/>
          </w:rPr>
          <w:t>2</w:t>
        </w:r>
        <w:r w:rsidRPr="00EE25A8">
          <w:rPr>
            <w:rFonts w:ascii="Arial" w:hAnsi="Arial" w:cs="Arial"/>
            <w:noProof/>
            <w:sz w:val="24"/>
          </w:rPr>
          <w:fldChar w:fldCharType="end"/>
        </w:r>
      </w:p>
    </w:sdtContent>
  </w:sdt>
  <w:p w14:paraId="4C889038" w14:textId="77777777" w:rsidR="00DC77EC" w:rsidRDefault="00DC7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11A8"/>
    <w:multiLevelType w:val="multilevel"/>
    <w:tmpl w:val="1F044258"/>
    <w:lvl w:ilvl="0">
      <w:start w:val="1"/>
      <w:numFmt w:val="decimal"/>
      <w:lvlText w:val="%1"/>
      <w:lvlJc w:val="left"/>
      <w:pPr>
        <w:ind w:left="360" w:hanging="360"/>
      </w:pPr>
      <w:rPr>
        <w:rFonts w:hint="default"/>
      </w:rPr>
    </w:lvl>
    <w:lvl w:ilvl="1">
      <w:start w:val="5"/>
      <w:numFmt w:val="decimal"/>
      <w:lvlText w:val="%1.%2"/>
      <w:lvlJc w:val="left"/>
      <w:pPr>
        <w:ind w:left="1801" w:hanging="36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403" w:hanging="108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645" w:hanging="144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887" w:hanging="1800"/>
      </w:pPr>
      <w:rPr>
        <w:rFonts w:hint="default"/>
      </w:rPr>
    </w:lvl>
    <w:lvl w:ilvl="8">
      <w:start w:val="1"/>
      <w:numFmt w:val="decimal"/>
      <w:lvlText w:val="%1.%2.%3.%4.%5.%6.%7.%8.%9"/>
      <w:lvlJc w:val="left"/>
      <w:pPr>
        <w:ind w:left="13328" w:hanging="1800"/>
      </w:pPr>
      <w:rPr>
        <w:rFonts w:hint="default"/>
      </w:rPr>
    </w:lvl>
  </w:abstractNum>
  <w:abstractNum w:abstractNumId="1" w15:restartNumberingAfterBreak="0">
    <w:nsid w:val="22E970D1"/>
    <w:multiLevelType w:val="multilevel"/>
    <w:tmpl w:val="9B3CE3B4"/>
    <w:lvl w:ilvl="0">
      <w:start w:val="1"/>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2CF4484A"/>
    <w:multiLevelType w:val="hybridMultilevel"/>
    <w:tmpl w:val="3AC05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92D1A"/>
    <w:multiLevelType w:val="hybridMultilevel"/>
    <w:tmpl w:val="4428353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F1C5F91"/>
    <w:multiLevelType w:val="multilevel"/>
    <w:tmpl w:val="7954058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6D2DFF"/>
    <w:multiLevelType w:val="multilevel"/>
    <w:tmpl w:val="5FA6D52C"/>
    <w:lvl w:ilvl="0">
      <w:start w:val="1"/>
      <w:numFmt w:val="decimal"/>
      <w:lvlRestart w:val="0"/>
      <w:lvlText w:val="%1."/>
      <w:lvlJc w:val="left"/>
      <w:pPr>
        <w:ind w:left="1134" w:hanging="1134"/>
      </w:pPr>
    </w:lvl>
    <w:lvl w:ilvl="1">
      <w:start w:val="1"/>
      <w:numFmt w:val="decimal"/>
      <w:lvlText w:val="%1.%2"/>
      <w:lvlJc w:val="left"/>
      <w:pPr>
        <w:tabs>
          <w:tab w:val="num" w:pos="1140"/>
        </w:tabs>
        <w:ind w:left="2268" w:hanging="1134"/>
      </w:pPr>
    </w:lvl>
    <w:lvl w:ilvl="2">
      <w:start w:val="1"/>
      <w:numFmt w:val="decimal"/>
      <w:lvlText w:val="%1.%2.%3"/>
      <w:lvlJc w:val="left"/>
      <w:pPr>
        <w:tabs>
          <w:tab w:val="num" w:pos="3396"/>
        </w:tabs>
        <w:ind w:left="3402" w:hanging="1134"/>
      </w:pPr>
    </w:lvl>
    <w:lvl w:ilvl="3">
      <w:start w:val="1"/>
      <w:numFmt w:val="decimal"/>
      <w:lvlText w:val="%1.%2.%3.%4."/>
      <w:lvlJc w:val="left"/>
      <w:pPr>
        <w:ind w:left="1729" w:hanging="652"/>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6" w15:restartNumberingAfterBreak="0">
    <w:nsid w:val="5E424200"/>
    <w:multiLevelType w:val="multilevel"/>
    <w:tmpl w:val="97C0154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83567A"/>
    <w:multiLevelType w:val="multilevel"/>
    <w:tmpl w:val="2AA2F70A"/>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FF95425"/>
    <w:multiLevelType w:val="multilevel"/>
    <w:tmpl w:val="8D321F8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7"/>
  </w:num>
  <w:num w:numId="4">
    <w:abstractNumId w:val="6"/>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4E"/>
    <w:rsid w:val="00016904"/>
    <w:rsid w:val="000234AB"/>
    <w:rsid w:val="00033481"/>
    <w:rsid w:val="0005347D"/>
    <w:rsid w:val="00053718"/>
    <w:rsid w:val="00057FCF"/>
    <w:rsid w:val="00063531"/>
    <w:rsid w:val="00065D9D"/>
    <w:rsid w:val="000664DE"/>
    <w:rsid w:val="00076BA8"/>
    <w:rsid w:val="00083111"/>
    <w:rsid w:val="0008772D"/>
    <w:rsid w:val="0009095E"/>
    <w:rsid w:val="000B4F91"/>
    <w:rsid w:val="000B55C6"/>
    <w:rsid w:val="000C2980"/>
    <w:rsid w:val="000C43E4"/>
    <w:rsid w:val="000C7333"/>
    <w:rsid w:val="000D0505"/>
    <w:rsid w:val="000D420D"/>
    <w:rsid w:val="000E6C51"/>
    <w:rsid w:val="0011399D"/>
    <w:rsid w:val="00121DF7"/>
    <w:rsid w:val="001313F9"/>
    <w:rsid w:val="00150D3C"/>
    <w:rsid w:val="001871FD"/>
    <w:rsid w:val="0018796F"/>
    <w:rsid w:val="00187EE3"/>
    <w:rsid w:val="001B166A"/>
    <w:rsid w:val="001C06FA"/>
    <w:rsid w:val="001C1519"/>
    <w:rsid w:val="001C5514"/>
    <w:rsid w:val="001F72CF"/>
    <w:rsid w:val="00212A17"/>
    <w:rsid w:val="00223398"/>
    <w:rsid w:val="0023780D"/>
    <w:rsid w:val="00245C72"/>
    <w:rsid w:val="00271E56"/>
    <w:rsid w:val="00273F64"/>
    <w:rsid w:val="0027474D"/>
    <w:rsid w:val="00290FDF"/>
    <w:rsid w:val="00292071"/>
    <w:rsid w:val="002A1E88"/>
    <w:rsid w:val="002B0008"/>
    <w:rsid w:val="002B6632"/>
    <w:rsid w:val="002C2D7A"/>
    <w:rsid w:val="002E4E20"/>
    <w:rsid w:val="002E60BD"/>
    <w:rsid w:val="002F016D"/>
    <w:rsid w:val="002F0A59"/>
    <w:rsid w:val="002F0E53"/>
    <w:rsid w:val="002F7B6E"/>
    <w:rsid w:val="002F7ED6"/>
    <w:rsid w:val="00300BB5"/>
    <w:rsid w:val="00315919"/>
    <w:rsid w:val="003270DE"/>
    <w:rsid w:val="00333D9A"/>
    <w:rsid w:val="00340033"/>
    <w:rsid w:val="00341E8F"/>
    <w:rsid w:val="003534B8"/>
    <w:rsid w:val="00354688"/>
    <w:rsid w:val="00365629"/>
    <w:rsid w:val="00381268"/>
    <w:rsid w:val="003817C3"/>
    <w:rsid w:val="00394AF4"/>
    <w:rsid w:val="003975FE"/>
    <w:rsid w:val="003A18D6"/>
    <w:rsid w:val="003A2BEC"/>
    <w:rsid w:val="003A6262"/>
    <w:rsid w:val="003B7AB6"/>
    <w:rsid w:val="003C2D32"/>
    <w:rsid w:val="003E509C"/>
    <w:rsid w:val="004038B3"/>
    <w:rsid w:val="0042114B"/>
    <w:rsid w:val="00422A20"/>
    <w:rsid w:val="004304F6"/>
    <w:rsid w:val="004365E8"/>
    <w:rsid w:val="00441597"/>
    <w:rsid w:val="00441C61"/>
    <w:rsid w:val="004637F8"/>
    <w:rsid w:val="00464495"/>
    <w:rsid w:val="00467637"/>
    <w:rsid w:val="00483BAF"/>
    <w:rsid w:val="0049086C"/>
    <w:rsid w:val="004939B3"/>
    <w:rsid w:val="004A66CA"/>
    <w:rsid w:val="004B2D88"/>
    <w:rsid w:val="004C6DD4"/>
    <w:rsid w:val="004C7F80"/>
    <w:rsid w:val="004E5607"/>
    <w:rsid w:val="004E627F"/>
    <w:rsid w:val="0050572C"/>
    <w:rsid w:val="00527378"/>
    <w:rsid w:val="0053434B"/>
    <w:rsid w:val="00540220"/>
    <w:rsid w:val="00562AB7"/>
    <w:rsid w:val="00567C3B"/>
    <w:rsid w:val="005761E6"/>
    <w:rsid w:val="00576392"/>
    <w:rsid w:val="00584ABB"/>
    <w:rsid w:val="005A016B"/>
    <w:rsid w:val="005B274D"/>
    <w:rsid w:val="005B3426"/>
    <w:rsid w:val="005C0200"/>
    <w:rsid w:val="005C5646"/>
    <w:rsid w:val="005D0E98"/>
    <w:rsid w:val="005D3F3E"/>
    <w:rsid w:val="005D5F88"/>
    <w:rsid w:val="005E1BB6"/>
    <w:rsid w:val="005F2567"/>
    <w:rsid w:val="00600353"/>
    <w:rsid w:val="0060347D"/>
    <w:rsid w:val="006162CE"/>
    <w:rsid w:val="006266CC"/>
    <w:rsid w:val="006304BE"/>
    <w:rsid w:val="00647D0A"/>
    <w:rsid w:val="00651AD4"/>
    <w:rsid w:val="00653D65"/>
    <w:rsid w:val="006570D5"/>
    <w:rsid w:val="00676523"/>
    <w:rsid w:val="006825F6"/>
    <w:rsid w:val="0068401B"/>
    <w:rsid w:val="00686219"/>
    <w:rsid w:val="00692F28"/>
    <w:rsid w:val="00696555"/>
    <w:rsid w:val="006A1BC2"/>
    <w:rsid w:val="006B6F2C"/>
    <w:rsid w:val="006C60B3"/>
    <w:rsid w:val="006D671C"/>
    <w:rsid w:val="006E2929"/>
    <w:rsid w:val="006E3D9E"/>
    <w:rsid w:val="007040C0"/>
    <w:rsid w:val="00711C69"/>
    <w:rsid w:val="007137C6"/>
    <w:rsid w:val="00724169"/>
    <w:rsid w:val="0072659C"/>
    <w:rsid w:val="00744F78"/>
    <w:rsid w:val="00747488"/>
    <w:rsid w:val="00757A98"/>
    <w:rsid w:val="00771858"/>
    <w:rsid w:val="00771C58"/>
    <w:rsid w:val="00772955"/>
    <w:rsid w:val="00782BC8"/>
    <w:rsid w:val="007A06A2"/>
    <w:rsid w:val="007A4845"/>
    <w:rsid w:val="007C6EC0"/>
    <w:rsid w:val="007D66EC"/>
    <w:rsid w:val="007E4CE8"/>
    <w:rsid w:val="008044EA"/>
    <w:rsid w:val="008075DC"/>
    <w:rsid w:val="00832544"/>
    <w:rsid w:val="00851AD1"/>
    <w:rsid w:val="0085385A"/>
    <w:rsid w:val="00864B67"/>
    <w:rsid w:val="00866991"/>
    <w:rsid w:val="008705F4"/>
    <w:rsid w:val="00870BF2"/>
    <w:rsid w:val="008A5DCB"/>
    <w:rsid w:val="008A74EE"/>
    <w:rsid w:val="008B37C1"/>
    <w:rsid w:val="008B434B"/>
    <w:rsid w:val="008B7136"/>
    <w:rsid w:val="008C331D"/>
    <w:rsid w:val="008D123A"/>
    <w:rsid w:val="008D1A08"/>
    <w:rsid w:val="008E4814"/>
    <w:rsid w:val="00901FF8"/>
    <w:rsid w:val="00904888"/>
    <w:rsid w:val="00904C60"/>
    <w:rsid w:val="00913815"/>
    <w:rsid w:val="0092010C"/>
    <w:rsid w:val="00924AA8"/>
    <w:rsid w:val="0093770D"/>
    <w:rsid w:val="00961C4D"/>
    <w:rsid w:val="00987EE8"/>
    <w:rsid w:val="009A31AB"/>
    <w:rsid w:val="009A5536"/>
    <w:rsid w:val="009B2246"/>
    <w:rsid w:val="009B4DCF"/>
    <w:rsid w:val="009C288B"/>
    <w:rsid w:val="009C3095"/>
    <w:rsid w:val="009C484D"/>
    <w:rsid w:val="009C6A24"/>
    <w:rsid w:val="009C7438"/>
    <w:rsid w:val="009D38A1"/>
    <w:rsid w:val="009D74AD"/>
    <w:rsid w:val="009F731A"/>
    <w:rsid w:val="00A262C3"/>
    <w:rsid w:val="00A32884"/>
    <w:rsid w:val="00A403F7"/>
    <w:rsid w:val="00A429ED"/>
    <w:rsid w:val="00A55268"/>
    <w:rsid w:val="00A64558"/>
    <w:rsid w:val="00A74535"/>
    <w:rsid w:val="00A87156"/>
    <w:rsid w:val="00A90EE8"/>
    <w:rsid w:val="00A91974"/>
    <w:rsid w:val="00AA594F"/>
    <w:rsid w:val="00AB56D9"/>
    <w:rsid w:val="00AC7814"/>
    <w:rsid w:val="00AD5B89"/>
    <w:rsid w:val="00AE50DF"/>
    <w:rsid w:val="00AE66F5"/>
    <w:rsid w:val="00AE724A"/>
    <w:rsid w:val="00AF48E0"/>
    <w:rsid w:val="00AF4B4E"/>
    <w:rsid w:val="00B00005"/>
    <w:rsid w:val="00B165F6"/>
    <w:rsid w:val="00B35B37"/>
    <w:rsid w:val="00B57592"/>
    <w:rsid w:val="00B579C3"/>
    <w:rsid w:val="00B75C95"/>
    <w:rsid w:val="00B91891"/>
    <w:rsid w:val="00B94CEA"/>
    <w:rsid w:val="00BA4BFF"/>
    <w:rsid w:val="00BA52A9"/>
    <w:rsid w:val="00BB74E7"/>
    <w:rsid w:val="00BC2A98"/>
    <w:rsid w:val="00BC4327"/>
    <w:rsid w:val="00BC6BB0"/>
    <w:rsid w:val="00C13E6E"/>
    <w:rsid w:val="00C35896"/>
    <w:rsid w:val="00C36ADB"/>
    <w:rsid w:val="00C43E4F"/>
    <w:rsid w:val="00C47896"/>
    <w:rsid w:val="00C67F21"/>
    <w:rsid w:val="00C82C70"/>
    <w:rsid w:val="00C87EBD"/>
    <w:rsid w:val="00C90946"/>
    <w:rsid w:val="00C931F3"/>
    <w:rsid w:val="00CC21EE"/>
    <w:rsid w:val="00CC6BA5"/>
    <w:rsid w:val="00CD518F"/>
    <w:rsid w:val="00D16E5C"/>
    <w:rsid w:val="00D270D7"/>
    <w:rsid w:val="00D31A74"/>
    <w:rsid w:val="00D355C5"/>
    <w:rsid w:val="00D437A5"/>
    <w:rsid w:val="00D44383"/>
    <w:rsid w:val="00D519BD"/>
    <w:rsid w:val="00D5218B"/>
    <w:rsid w:val="00D64A8E"/>
    <w:rsid w:val="00D84687"/>
    <w:rsid w:val="00D849D9"/>
    <w:rsid w:val="00D85D61"/>
    <w:rsid w:val="00D94C70"/>
    <w:rsid w:val="00D9615D"/>
    <w:rsid w:val="00DB03DF"/>
    <w:rsid w:val="00DC2433"/>
    <w:rsid w:val="00DC322F"/>
    <w:rsid w:val="00DC77EC"/>
    <w:rsid w:val="00DD1C96"/>
    <w:rsid w:val="00DE534D"/>
    <w:rsid w:val="00DE6366"/>
    <w:rsid w:val="00E00653"/>
    <w:rsid w:val="00E00FE9"/>
    <w:rsid w:val="00E04A11"/>
    <w:rsid w:val="00E1349A"/>
    <w:rsid w:val="00E21F52"/>
    <w:rsid w:val="00E24DF0"/>
    <w:rsid w:val="00E4545A"/>
    <w:rsid w:val="00E52CEA"/>
    <w:rsid w:val="00E6070E"/>
    <w:rsid w:val="00E74A30"/>
    <w:rsid w:val="00E77A63"/>
    <w:rsid w:val="00E80DF4"/>
    <w:rsid w:val="00E901D5"/>
    <w:rsid w:val="00E92559"/>
    <w:rsid w:val="00EA3A91"/>
    <w:rsid w:val="00EA427F"/>
    <w:rsid w:val="00EA5D19"/>
    <w:rsid w:val="00EB2ABB"/>
    <w:rsid w:val="00ED7382"/>
    <w:rsid w:val="00EE25A8"/>
    <w:rsid w:val="00F136A8"/>
    <w:rsid w:val="00F1524F"/>
    <w:rsid w:val="00F24222"/>
    <w:rsid w:val="00F33AC5"/>
    <w:rsid w:val="00F33AEF"/>
    <w:rsid w:val="00F44706"/>
    <w:rsid w:val="00F44D42"/>
    <w:rsid w:val="00F45365"/>
    <w:rsid w:val="00F62737"/>
    <w:rsid w:val="00F65BEE"/>
    <w:rsid w:val="00FA2898"/>
    <w:rsid w:val="00FB0C7F"/>
    <w:rsid w:val="00FB4107"/>
    <w:rsid w:val="00FB79AA"/>
    <w:rsid w:val="00FC59D6"/>
    <w:rsid w:val="00FC6209"/>
    <w:rsid w:val="00FD0DAA"/>
    <w:rsid w:val="00FE5A5D"/>
    <w:rsid w:val="00FE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64BA"/>
  <w15:docId w15:val="{56A5E790-9EAD-4E30-9822-CF1E02E9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7EC"/>
  </w:style>
  <w:style w:type="paragraph" w:styleId="Footer">
    <w:name w:val="footer"/>
    <w:basedOn w:val="Normal"/>
    <w:link w:val="FooterChar"/>
    <w:uiPriority w:val="99"/>
    <w:unhideWhenUsed/>
    <w:rsid w:val="00DC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7EC"/>
  </w:style>
  <w:style w:type="paragraph" w:styleId="BalloonText">
    <w:name w:val="Balloon Text"/>
    <w:basedOn w:val="Normal"/>
    <w:link w:val="BalloonTextChar"/>
    <w:uiPriority w:val="99"/>
    <w:semiHidden/>
    <w:unhideWhenUsed/>
    <w:rsid w:val="0012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F7"/>
    <w:rPr>
      <w:rFonts w:ascii="Segoe UI" w:hAnsi="Segoe UI" w:cs="Segoe UI"/>
      <w:sz w:val="18"/>
      <w:szCs w:val="18"/>
    </w:rPr>
  </w:style>
  <w:style w:type="paragraph" w:styleId="FootnoteText">
    <w:name w:val="footnote text"/>
    <w:basedOn w:val="Normal"/>
    <w:link w:val="FootnoteTextChar"/>
    <w:uiPriority w:val="99"/>
    <w:semiHidden/>
    <w:unhideWhenUsed/>
    <w:rsid w:val="00937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70D"/>
    <w:rPr>
      <w:sz w:val="20"/>
      <w:szCs w:val="20"/>
    </w:rPr>
  </w:style>
  <w:style w:type="character" w:styleId="FootnoteReference">
    <w:name w:val="footnote reference"/>
    <w:basedOn w:val="DefaultParagraphFont"/>
    <w:uiPriority w:val="99"/>
    <w:unhideWhenUsed/>
    <w:rsid w:val="0093770D"/>
    <w:rPr>
      <w:vertAlign w:val="superscript"/>
    </w:rPr>
  </w:style>
  <w:style w:type="paragraph" w:styleId="ListParagraph">
    <w:name w:val="List Paragraph"/>
    <w:basedOn w:val="Normal"/>
    <w:uiPriority w:val="34"/>
    <w:qFormat/>
    <w:rsid w:val="00271E56"/>
    <w:pPr>
      <w:ind w:left="720"/>
      <w:contextualSpacing/>
    </w:pPr>
  </w:style>
  <w:style w:type="paragraph" w:customStyle="1" w:styleId="Default">
    <w:name w:val="Default"/>
    <w:rsid w:val="00F1524F"/>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D16E5C"/>
    <w:rPr>
      <w:sz w:val="16"/>
      <w:szCs w:val="16"/>
    </w:rPr>
  </w:style>
  <w:style w:type="paragraph" w:styleId="CommentText">
    <w:name w:val="annotation text"/>
    <w:basedOn w:val="Normal"/>
    <w:link w:val="CommentTextChar"/>
    <w:uiPriority w:val="99"/>
    <w:semiHidden/>
    <w:unhideWhenUsed/>
    <w:rsid w:val="00D16E5C"/>
    <w:pPr>
      <w:spacing w:line="240" w:lineRule="auto"/>
    </w:pPr>
    <w:rPr>
      <w:sz w:val="20"/>
      <w:szCs w:val="20"/>
    </w:rPr>
  </w:style>
  <w:style w:type="character" w:customStyle="1" w:styleId="CommentTextChar">
    <w:name w:val="Comment Text Char"/>
    <w:basedOn w:val="DefaultParagraphFont"/>
    <w:link w:val="CommentText"/>
    <w:uiPriority w:val="99"/>
    <w:semiHidden/>
    <w:rsid w:val="00D16E5C"/>
    <w:rPr>
      <w:sz w:val="20"/>
      <w:szCs w:val="20"/>
    </w:rPr>
  </w:style>
  <w:style w:type="paragraph" w:styleId="CommentSubject">
    <w:name w:val="annotation subject"/>
    <w:basedOn w:val="CommentText"/>
    <w:next w:val="CommentText"/>
    <w:link w:val="CommentSubjectChar"/>
    <w:uiPriority w:val="99"/>
    <w:semiHidden/>
    <w:unhideWhenUsed/>
    <w:rsid w:val="00D16E5C"/>
    <w:rPr>
      <w:b/>
      <w:bCs/>
    </w:rPr>
  </w:style>
  <w:style w:type="character" w:customStyle="1" w:styleId="CommentSubjectChar">
    <w:name w:val="Comment Subject Char"/>
    <w:basedOn w:val="CommentTextChar"/>
    <w:link w:val="CommentSubject"/>
    <w:uiPriority w:val="99"/>
    <w:semiHidden/>
    <w:rsid w:val="00D16E5C"/>
    <w:rPr>
      <w:b/>
      <w:bCs/>
      <w:sz w:val="20"/>
      <w:szCs w:val="20"/>
    </w:rPr>
  </w:style>
  <w:style w:type="character" w:styleId="Hyperlink">
    <w:name w:val="Hyperlink"/>
    <w:basedOn w:val="DefaultParagraphFont"/>
    <w:uiPriority w:val="99"/>
    <w:unhideWhenUsed/>
    <w:rsid w:val="00D96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5363">
      <w:bodyDiv w:val="1"/>
      <w:marLeft w:val="0"/>
      <w:marRight w:val="0"/>
      <w:marTop w:val="0"/>
      <w:marBottom w:val="0"/>
      <w:divBdr>
        <w:top w:val="none" w:sz="0" w:space="0" w:color="auto"/>
        <w:left w:val="none" w:sz="0" w:space="0" w:color="auto"/>
        <w:bottom w:val="none" w:sz="0" w:space="0" w:color="auto"/>
        <w:right w:val="none" w:sz="0" w:space="0" w:color="auto"/>
      </w:divBdr>
    </w:div>
    <w:div w:id="20052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smit@coxyeats.co.za" TargetMode="External"/><Relationship Id="rId4" Type="http://schemas.openxmlformats.org/officeDocument/2006/relationships/settings" Target="settings.xml"/><Relationship Id="rId9" Type="http://schemas.openxmlformats.org/officeDocument/2006/relationships/hyperlink" Target="mailto:dvcek@coxyeat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32BC-9D62-459C-9004-E7A4DCA1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Rautenbach</dc:creator>
  <cp:lastModifiedBy>Mary Bruce</cp:lastModifiedBy>
  <cp:revision>19</cp:revision>
  <cp:lastPrinted>2024-02-15T08:23:00Z</cp:lastPrinted>
  <dcterms:created xsi:type="dcterms:W3CDTF">2024-03-07T12:29:00Z</dcterms:created>
  <dcterms:modified xsi:type="dcterms:W3CDTF">2024-03-07T15:22:00Z</dcterms:modified>
</cp:coreProperties>
</file>