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788D" w14:textId="4516FA1D" w:rsidR="00797128" w:rsidRDefault="002F5639" w:rsidP="009457A2">
      <w:pPr>
        <w:spacing w:line="360" w:lineRule="auto"/>
        <w:jc w:val="center"/>
        <w:rPr>
          <w:b/>
          <w:bCs/>
        </w:rPr>
      </w:pPr>
      <w:bookmarkStart w:id="0" w:name="_Hlk142542796"/>
      <w:bookmarkStart w:id="1" w:name="_GoBack"/>
      <w:bookmarkEnd w:id="1"/>
      <w:r w:rsidRPr="000F5C8B">
        <w:rPr>
          <w:rFonts w:ascii="Times New Roman" w:hAnsi="Times New Roman" w:cs="Times New Roman"/>
          <w:noProof/>
          <w:sz w:val="28"/>
          <w:lang w:val="en-ZA" w:eastAsia="en-ZA"/>
        </w:rPr>
        <w:drawing>
          <wp:inline distT="0" distB="0" distL="0" distR="0" wp14:anchorId="1D8603ED" wp14:editId="39516953">
            <wp:extent cx="1198880" cy="1112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12520"/>
                    </a:xfrm>
                    <a:prstGeom prst="rect">
                      <a:avLst/>
                    </a:prstGeom>
                    <a:noFill/>
                    <a:ln>
                      <a:noFill/>
                    </a:ln>
                  </pic:spPr>
                </pic:pic>
              </a:graphicData>
            </a:graphic>
          </wp:inline>
        </w:drawing>
      </w:r>
    </w:p>
    <w:p w14:paraId="7F138E19" w14:textId="758DB5EF" w:rsidR="004F08EB" w:rsidRPr="004F08EB" w:rsidRDefault="004F08EB" w:rsidP="009457A2">
      <w:pPr>
        <w:spacing w:line="360" w:lineRule="auto"/>
        <w:jc w:val="center"/>
        <w:rPr>
          <w:b/>
          <w:bCs/>
        </w:rPr>
      </w:pPr>
      <w:r w:rsidRPr="004F08EB">
        <w:rPr>
          <w:b/>
          <w:bCs/>
        </w:rPr>
        <w:t>IN THE HIGH COURT OF SOUTH AFRICA</w:t>
      </w:r>
    </w:p>
    <w:p w14:paraId="2C3F6266" w14:textId="3792E314" w:rsidR="004F08EB" w:rsidRPr="004F08EB" w:rsidRDefault="004F08EB" w:rsidP="009457A2">
      <w:pPr>
        <w:spacing w:line="360" w:lineRule="auto"/>
        <w:jc w:val="center"/>
        <w:rPr>
          <w:b/>
          <w:bCs/>
        </w:rPr>
      </w:pPr>
      <w:r w:rsidRPr="004F08EB">
        <w:rPr>
          <w:b/>
          <w:bCs/>
        </w:rPr>
        <w:t xml:space="preserve">KWAZULU-NATAL DIVISION, </w:t>
      </w:r>
      <w:r w:rsidR="00782715">
        <w:rPr>
          <w:b/>
          <w:bCs/>
        </w:rPr>
        <w:t>PIETERMARITZBURG</w:t>
      </w:r>
    </w:p>
    <w:p w14:paraId="46248ACC" w14:textId="3EE5672B" w:rsidR="004F08EB" w:rsidRDefault="004F08EB" w:rsidP="009457A2">
      <w:pPr>
        <w:spacing w:line="360" w:lineRule="auto"/>
        <w:jc w:val="right"/>
      </w:pPr>
    </w:p>
    <w:p w14:paraId="02ED954C" w14:textId="469C5B5A" w:rsidR="004F08EB" w:rsidRPr="004F08EB" w:rsidRDefault="004F08EB" w:rsidP="009457A2">
      <w:pPr>
        <w:spacing w:line="360" w:lineRule="auto"/>
        <w:jc w:val="right"/>
        <w:rPr>
          <w:b/>
          <w:bCs/>
        </w:rPr>
      </w:pPr>
      <w:r w:rsidRPr="004F08EB">
        <w:rPr>
          <w:b/>
          <w:bCs/>
        </w:rPr>
        <w:t xml:space="preserve">CASE NO: </w:t>
      </w:r>
      <w:r w:rsidR="00782715">
        <w:rPr>
          <w:b/>
          <w:bCs/>
        </w:rPr>
        <w:t>19051/2023</w:t>
      </w:r>
    </w:p>
    <w:p w14:paraId="6F852846" w14:textId="77777777" w:rsidR="004F08EB" w:rsidRDefault="004F08EB" w:rsidP="009457A2">
      <w:pPr>
        <w:spacing w:line="360" w:lineRule="auto"/>
        <w:jc w:val="right"/>
      </w:pPr>
    </w:p>
    <w:p w14:paraId="2236A439" w14:textId="77777777" w:rsidR="004F08EB" w:rsidRDefault="004F08EB" w:rsidP="009457A2">
      <w:pPr>
        <w:spacing w:line="360" w:lineRule="auto"/>
      </w:pPr>
      <w:r>
        <w:t>In the matter between:</w:t>
      </w:r>
    </w:p>
    <w:p w14:paraId="2546E18C" w14:textId="77777777" w:rsidR="004F08EB" w:rsidRDefault="004F08EB" w:rsidP="009457A2">
      <w:pPr>
        <w:pStyle w:val="Parties"/>
        <w:tabs>
          <w:tab w:val="clear" w:pos="8732"/>
        </w:tabs>
        <w:spacing w:line="360" w:lineRule="auto"/>
      </w:pPr>
    </w:p>
    <w:p w14:paraId="6E10125C" w14:textId="20B6E332" w:rsidR="004F08EB" w:rsidRDefault="00782715" w:rsidP="007B5FA0">
      <w:pPr>
        <w:pStyle w:val="Parties"/>
        <w:tabs>
          <w:tab w:val="clear" w:pos="8732"/>
          <w:tab w:val="right" w:pos="8505"/>
        </w:tabs>
        <w:spacing w:line="360" w:lineRule="auto"/>
        <w:rPr>
          <w:b w:val="0"/>
          <w:bCs/>
        </w:rPr>
      </w:pPr>
      <w:r w:rsidRPr="00782715">
        <w:t xml:space="preserve">JOHANNES </w:t>
      </w:r>
      <w:r>
        <w:t xml:space="preserve">GEORGE </w:t>
      </w:r>
      <w:r w:rsidRPr="00782715">
        <w:t>KRUGER</w:t>
      </w:r>
      <w:r>
        <w:t xml:space="preserve"> N.O.</w:t>
      </w:r>
      <w:r w:rsidR="00374759">
        <w:rPr>
          <w:b w:val="0"/>
          <w:bCs/>
        </w:rPr>
        <w:tab/>
      </w:r>
      <w:r w:rsidR="001632BE">
        <w:rPr>
          <w:b w:val="0"/>
          <w:bCs/>
        </w:rPr>
        <w:t>Applicant</w:t>
      </w:r>
    </w:p>
    <w:p w14:paraId="42C0E988" w14:textId="77777777" w:rsidR="001632BE" w:rsidRDefault="001632BE" w:rsidP="007B5FA0">
      <w:pPr>
        <w:pStyle w:val="Parties"/>
        <w:tabs>
          <w:tab w:val="clear" w:pos="8732"/>
          <w:tab w:val="right" w:pos="8505"/>
        </w:tabs>
        <w:spacing w:line="360" w:lineRule="auto"/>
        <w:rPr>
          <w:b w:val="0"/>
          <w:bCs/>
        </w:rPr>
      </w:pPr>
    </w:p>
    <w:p w14:paraId="56D16509" w14:textId="4B2EE1F1" w:rsidR="00BD0545" w:rsidRDefault="00BD0545" w:rsidP="007B5FA0">
      <w:pPr>
        <w:pStyle w:val="Parties"/>
        <w:tabs>
          <w:tab w:val="clear" w:pos="8732"/>
          <w:tab w:val="right" w:pos="8505"/>
        </w:tabs>
        <w:spacing w:line="360" w:lineRule="auto"/>
        <w:rPr>
          <w:b w:val="0"/>
        </w:rPr>
      </w:pPr>
      <w:r>
        <w:rPr>
          <w:b w:val="0"/>
          <w:bCs/>
        </w:rPr>
        <w:t>and</w:t>
      </w:r>
    </w:p>
    <w:p w14:paraId="2B03263A" w14:textId="77777777" w:rsidR="004F08EB" w:rsidRDefault="004F08EB" w:rsidP="007B5FA0">
      <w:pPr>
        <w:pStyle w:val="Parties"/>
        <w:tabs>
          <w:tab w:val="clear" w:pos="8732"/>
          <w:tab w:val="right" w:pos="8505"/>
        </w:tabs>
        <w:spacing w:line="360" w:lineRule="auto"/>
        <w:rPr>
          <w:b w:val="0"/>
        </w:rPr>
      </w:pPr>
    </w:p>
    <w:p w14:paraId="3D0CB465" w14:textId="721F73DD" w:rsidR="00A54116" w:rsidRDefault="00782715" w:rsidP="007B5FA0">
      <w:pPr>
        <w:pStyle w:val="Parties"/>
        <w:tabs>
          <w:tab w:val="clear" w:pos="8732"/>
          <w:tab w:val="right" w:pos="8505"/>
        </w:tabs>
        <w:spacing w:line="360" w:lineRule="auto"/>
        <w:rPr>
          <w:b w:val="0"/>
        </w:rPr>
      </w:pPr>
      <w:r>
        <w:t xml:space="preserve">ITHALA SOC LTD </w:t>
      </w:r>
      <w:r w:rsidR="004F08EB">
        <w:tab/>
      </w:r>
      <w:r w:rsidR="004F08EB">
        <w:rPr>
          <w:b w:val="0"/>
        </w:rPr>
        <w:t>Respondent</w:t>
      </w:r>
    </w:p>
    <w:p w14:paraId="08545E88" w14:textId="77777777" w:rsidR="004205DA" w:rsidRDefault="004205DA" w:rsidP="009457A2">
      <w:pPr>
        <w:pStyle w:val="Parties"/>
        <w:tabs>
          <w:tab w:val="clear" w:pos="8732"/>
        </w:tabs>
        <w:spacing w:line="360" w:lineRule="auto"/>
        <w:rPr>
          <w:b w:val="0"/>
        </w:rPr>
      </w:pPr>
    </w:p>
    <w:p w14:paraId="0593A892" w14:textId="0F194F8F" w:rsidR="003506BB" w:rsidRDefault="00BD0545" w:rsidP="009457A2">
      <w:pPr>
        <w:pStyle w:val="TramLines"/>
        <w:tabs>
          <w:tab w:val="clear" w:pos="3780"/>
        </w:tabs>
        <w:spacing w:after="0" w:line="360" w:lineRule="auto"/>
      </w:pPr>
      <w:r w:rsidRPr="00A54116">
        <w:t>ORDER</w:t>
      </w:r>
    </w:p>
    <w:p w14:paraId="590DE7C1" w14:textId="77777777" w:rsidR="003506BB" w:rsidRPr="003506BB" w:rsidRDefault="003506BB" w:rsidP="009457A2">
      <w:pPr>
        <w:pStyle w:val="1"/>
        <w:numPr>
          <w:ilvl w:val="0"/>
          <w:numId w:val="0"/>
        </w:numPr>
        <w:spacing w:before="0" w:line="360" w:lineRule="auto"/>
      </w:pPr>
    </w:p>
    <w:p w14:paraId="7391980D" w14:textId="7A031404" w:rsidR="00375DD0" w:rsidRDefault="0053192E" w:rsidP="0053192E">
      <w:pPr>
        <w:pStyle w:val="1"/>
        <w:numPr>
          <w:ilvl w:val="0"/>
          <w:numId w:val="0"/>
        </w:numPr>
        <w:spacing w:before="0" w:line="360" w:lineRule="auto"/>
        <w:ind w:left="720" w:hanging="720"/>
      </w:pPr>
      <w:r>
        <w:t>(a)</w:t>
      </w:r>
      <w:r>
        <w:tab/>
      </w:r>
      <w:r w:rsidR="00375DD0">
        <w:t>The respondent is given leave to deliver its supplementary affidavit.</w:t>
      </w:r>
    </w:p>
    <w:p w14:paraId="72F97FA6" w14:textId="069E17C8" w:rsidR="007F6E9F" w:rsidRDefault="0053192E" w:rsidP="0053192E">
      <w:pPr>
        <w:pStyle w:val="1"/>
        <w:numPr>
          <w:ilvl w:val="0"/>
          <w:numId w:val="0"/>
        </w:numPr>
        <w:spacing w:before="0" w:line="360" w:lineRule="auto"/>
        <w:ind w:left="720" w:hanging="720"/>
      </w:pPr>
      <w:r>
        <w:t>(b)</w:t>
      </w:r>
      <w:r>
        <w:tab/>
      </w:r>
      <w:r w:rsidR="00375DD0">
        <w:t>The order of Mossop J dated 22 December 2023 is reconsidered and discharged under Uniform Rule 6(12)</w:t>
      </w:r>
      <w:r w:rsidR="00375DD0" w:rsidRPr="00997C36">
        <w:rPr>
          <w:i/>
        </w:rPr>
        <w:t>(c)</w:t>
      </w:r>
      <w:r w:rsidR="00375DD0">
        <w:t>. It is replaced with the following order:</w:t>
      </w:r>
    </w:p>
    <w:p w14:paraId="49CABB27" w14:textId="0C156ADB" w:rsidR="00375DD0" w:rsidRDefault="009457A2" w:rsidP="009457A2">
      <w:pPr>
        <w:pStyle w:val="1"/>
        <w:numPr>
          <w:ilvl w:val="0"/>
          <w:numId w:val="0"/>
        </w:numPr>
        <w:spacing w:before="0" w:line="360" w:lineRule="auto"/>
      </w:pPr>
      <w:r>
        <w:tab/>
      </w:r>
      <w:r>
        <w:tab/>
      </w:r>
      <w:r w:rsidR="00375DD0">
        <w:t>“The application is struck from the roll”</w:t>
      </w:r>
    </w:p>
    <w:p w14:paraId="017AA26F" w14:textId="2D71ED01" w:rsidR="00375DD0" w:rsidRDefault="0053192E" w:rsidP="0053192E">
      <w:pPr>
        <w:pStyle w:val="1"/>
        <w:numPr>
          <w:ilvl w:val="0"/>
          <w:numId w:val="0"/>
        </w:numPr>
        <w:spacing w:before="0" w:line="360" w:lineRule="auto"/>
        <w:ind w:left="720" w:hanging="720"/>
      </w:pPr>
      <w:r>
        <w:t>(c)</w:t>
      </w:r>
      <w:r>
        <w:tab/>
      </w:r>
      <w:r w:rsidR="00375DD0">
        <w:t xml:space="preserve">The applicant is directed to pay the respondent’s costs of the reconsideration application, such costs to include the costs of two counsel where employed. </w:t>
      </w:r>
    </w:p>
    <w:p w14:paraId="7425F2C9" w14:textId="77777777" w:rsidR="002F5639" w:rsidRDefault="002F5639" w:rsidP="009457A2">
      <w:pPr>
        <w:pStyle w:val="1"/>
        <w:numPr>
          <w:ilvl w:val="0"/>
          <w:numId w:val="0"/>
        </w:numPr>
        <w:spacing w:before="0" w:line="360" w:lineRule="auto"/>
        <w:ind w:left="720"/>
      </w:pPr>
    </w:p>
    <w:p w14:paraId="052709DF" w14:textId="695CA6AB" w:rsidR="00066370" w:rsidRPr="000D75BA" w:rsidRDefault="00A54116" w:rsidP="009457A2">
      <w:pPr>
        <w:pStyle w:val="TramLines"/>
        <w:tabs>
          <w:tab w:val="clear" w:pos="3780"/>
        </w:tabs>
        <w:spacing w:after="0" w:line="360" w:lineRule="auto"/>
      </w:pPr>
      <w:r w:rsidRPr="000D75BA">
        <w:t>JUDGMENT</w:t>
      </w:r>
    </w:p>
    <w:p w14:paraId="73352FF4" w14:textId="77777777" w:rsidR="003506BB" w:rsidRDefault="003506BB" w:rsidP="009457A2">
      <w:pPr>
        <w:spacing w:line="360" w:lineRule="auto"/>
      </w:pPr>
    </w:p>
    <w:p w14:paraId="11B63236" w14:textId="6CD0C580" w:rsidR="003506BB" w:rsidRDefault="00FA4DA0" w:rsidP="009457A2">
      <w:pPr>
        <w:spacing w:line="360" w:lineRule="auto"/>
        <w:rPr>
          <w:b/>
        </w:rPr>
      </w:pPr>
      <w:r w:rsidRPr="003506BB">
        <w:rPr>
          <w:b/>
        </w:rPr>
        <w:t xml:space="preserve">Veerasamy AJ </w:t>
      </w:r>
    </w:p>
    <w:p w14:paraId="2035AB04" w14:textId="77777777" w:rsidR="009457A2" w:rsidRPr="009457A2" w:rsidRDefault="009457A2" w:rsidP="009457A2">
      <w:pPr>
        <w:spacing w:line="360" w:lineRule="auto"/>
      </w:pPr>
    </w:p>
    <w:p w14:paraId="05A820BE" w14:textId="2EEF4D36" w:rsidR="009257C5" w:rsidRDefault="0053192E" w:rsidP="0053192E">
      <w:pPr>
        <w:pStyle w:val="1"/>
        <w:numPr>
          <w:ilvl w:val="0"/>
          <w:numId w:val="0"/>
        </w:numPr>
        <w:spacing w:before="0" w:line="360" w:lineRule="auto"/>
        <w:rPr>
          <w:lang w:eastAsia="x-none"/>
        </w:rPr>
      </w:pPr>
      <w:r>
        <w:rPr>
          <w:lang w:eastAsia="x-none"/>
        </w:rPr>
        <w:lastRenderedPageBreak/>
        <w:t>[1]</w:t>
      </w:r>
      <w:r>
        <w:rPr>
          <w:lang w:eastAsia="x-none"/>
        </w:rPr>
        <w:tab/>
      </w:r>
      <w:r w:rsidR="00782715">
        <w:rPr>
          <w:lang w:eastAsia="x-none"/>
        </w:rPr>
        <w:t>This is an application brought on an urgent basis for the reconsideration of the order granted by Mossop J on 22 December 2023 (</w:t>
      </w:r>
      <w:r w:rsidR="00744C18">
        <w:rPr>
          <w:lang w:eastAsia="x-none"/>
        </w:rPr>
        <w:t>‘</w:t>
      </w:r>
      <w:r w:rsidR="00782715">
        <w:rPr>
          <w:lang w:eastAsia="x-none"/>
        </w:rPr>
        <w:t xml:space="preserve">the </w:t>
      </w:r>
      <w:r w:rsidR="00D579B1">
        <w:rPr>
          <w:lang w:eastAsia="x-none"/>
        </w:rPr>
        <w:t xml:space="preserve">PMB </w:t>
      </w:r>
      <w:r w:rsidR="00744C18">
        <w:rPr>
          <w:lang w:eastAsia="x-none"/>
        </w:rPr>
        <w:t>order’</w:t>
      </w:r>
      <w:r w:rsidR="00384A30">
        <w:rPr>
          <w:lang w:eastAsia="x-none"/>
        </w:rPr>
        <w:t>).</w:t>
      </w:r>
      <w:r w:rsidR="009257C5">
        <w:rPr>
          <w:lang w:eastAsia="x-none"/>
        </w:rPr>
        <w:t xml:space="preserve"> It was common cause during argument that the</w:t>
      </w:r>
      <w:r w:rsidR="00CA57E8">
        <w:rPr>
          <w:lang w:eastAsia="x-none"/>
        </w:rPr>
        <w:t xml:space="preserve"> reconsideration</w:t>
      </w:r>
      <w:r w:rsidR="009257C5">
        <w:rPr>
          <w:lang w:eastAsia="x-none"/>
        </w:rPr>
        <w:t xml:space="preserve"> application was urgent.</w:t>
      </w:r>
    </w:p>
    <w:p w14:paraId="6D99F5FC" w14:textId="77777777" w:rsidR="00797128" w:rsidRDefault="00797128" w:rsidP="009457A2">
      <w:pPr>
        <w:pStyle w:val="1"/>
        <w:numPr>
          <w:ilvl w:val="0"/>
          <w:numId w:val="0"/>
        </w:numPr>
        <w:spacing w:before="0" w:line="360" w:lineRule="auto"/>
        <w:rPr>
          <w:lang w:eastAsia="x-none"/>
        </w:rPr>
      </w:pPr>
    </w:p>
    <w:p w14:paraId="27557394" w14:textId="5D3E0269" w:rsidR="00B15AF7" w:rsidRDefault="0053192E" w:rsidP="0053192E">
      <w:pPr>
        <w:pStyle w:val="1"/>
        <w:numPr>
          <w:ilvl w:val="0"/>
          <w:numId w:val="0"/>
        </w:numPr>
        <w:spacing w:before="0" w:line="360" w:lineRule="auto"/>
        <w:rPr>
          <w:lang w:eastAsia="x-none"/>
        </w:rPr>
      </w:pPr>
      <w:r>
        <w:rPr>
          <w:lang w:eastAsia="x-none"/>
        </w:rPr>
        <w:t>[2]</w:t>
      </w:r>
      <w:r>
        <w:rPr>
          <w:lang w:eastAsia="x-none"/>
        </w:rPr>
        <w:tab/>
      </w:r>
      <w:r w:rsidR="00D62F63">
        <w:rPr>
          <w:lang w:eastAsia="x-none"/>
        </w:rPr>
        <w:t>Before dealing with subject matter of the application there is the issue of the respondent’s supplementary affidavit. Leave for delivery of same was sought at the hearing and in the affidavit.</w:t>
      </w:r>
      <w:r w:rsidR="00B15AF7">
        <w:rPr>
          <w:rStyle w:val="FootnoteReference"/>
          <w:lang w:eastAsia="x-none"/>
        </w:rPr>
        <w:footnoteReference w:id="1"/>
      </w:r>
      <w:r w:rsidR="00B15AF7">
        <w:rPr>
          <w:lang w:eastAsia="x-none"/>
        </w:rPr>
        <w:t xml:space="preserve"> The supplementary affidavit was delivered a day before the applicant’s replying affidavit. The applicant in </w:t>
      </w:r>
      <w:r w:rsidR="00045FFE">
        <w:rPr>
          <w:lang w:eastAsia="x-none"/>
        </w:rPr>
        <w:t xml:space="preserve">his </w:t>
      </w:r>
      <w:r w:rsidR="00B15AF7">
        <w:rPr>
          <w:lang w:eastAsia="x-none"/>
        </w:rPr>
        <w:t xml:space="preserve">replying affidavit advised that he would respond in </w:t>
      </w:r>
      <w:r w:rsidR="009457A2">
        <w:rPr>
          <w:lang w:eastAsia="x-none"/>
        </w:rPr>
        <w:t xml:space="preserve">a </w:t>
      </w:r>
      <w:r w:rsidR="00B15AF7">
        <w:rPr>
          <w:lang w:eastAsia="x-none"/>
        </w:rPr>
        <w:t xml:space="preserve">separate affidavit to the </w:t>
      </w:r>
      <w:r w:rsidR="00CA57E8">
        <w:rPr>
          <w:lang w:eastAsia="x-none"/>
        </w:rPr>
        <w:t xml:space="preserve">any </w:t>
      </w:r>
      <w:r w:rsidR="00B15AF7">
        <w:rPr>
          <w:lang w:eastAsia="x-none"/>
        </w:rPr>
        <w:t>new allegation</w:t>
      </w:r>
      <w:r w:rsidR="009457A2">
        <w:rPr>
          <w:lang w:eastAsia="x-none"/>
        </w:rPr>
        <w:t xml:space="preserve"> raised</w:t>
      </w:r>
      <w:r w:rsidR="00B15AF7">
        <w:rPr>
          <w:lang w:eastAsia="x-none"/>
        </w:rPr>
        <w:t xml:space="preserve">, but </w:t>
      </w:r>
      <w:r w:rsidR="009457A2">
        <w:rPr>
          <w:lang w:eastAsia="x-none"/>
        </w:rPr>
        <w:t xml:space="preserve">no </w:t>
      </w:r>
      <w:r w:rsidR="00B15AF7">
        <w:rPr>
          <w:lang w:eastAsia="x-none"/>
        </w:rPr>
        <w:t xml:space="preserve">such supplementary replying </w:t>
      </w:r>
      <w:r w:rsidR="00CA26E7">
        <w:rPr>
          <w:lang w:eastAsia="x-none"/>
        </w:rPr>
        <w:t xml:space="preserve">affidavit </w:t>
      </w:r>
      <w:r w:rsidR="00B15AF7">
        <w:rPr>
          <w:lang w:eastAsia="x-none"/>
        </w:rPr>
        <w:t>was ever delivered.</w:t>
      </w:r>
      <w:r w:rsidR="00B15AF7">
        <w:rPr>
          <w:rStyle w:val="FootnoteReference"/>
          <w:lang w:eastAsia="x-none"/>
        </w:rPr>
        <w:footnoteReference w:id="2"/>
      </w:r>
    </w:p>
    <w:p w14:paraId="17A3F53E" w14:textId="77777777" w:rsidR="00B15AF7" w:rsidRDefault="00B15AF7" w:rsidP="009457A2">
      <w:pPr>
        <w:pStyle w:val="1"/>
        <w:numPr>
          <w:ilvl w:val="0"/>
          <w:numId w:val="0"/>
        </w:numPr>
        <w:spacing w:before="0" w:line="360" w:lineRule="auto"/>
        <w:rPr>
          <w:lang w:eastAsia="x-none"/>
        </w:rPr>
      </w:pPr>
    </w:p>
    <w:p w14:paraId="4D0BD480" w14:textId="2B2FA0F1" w:rsidR="00B15AF7" w:rsidRDefault="0053192E" w:rsidP="0053192E">
      <w:pPr>
        <w:pStyle w:val="1"/>
        <w:numPr>
          <w:ilvl w:val="0"/>
          <w:numId w:val="0"/>
        </w:numPr>
        <w:spacing w:before="0" w:line="360" w:lineRule="auto"/>
        <w:rPr>
          <w:lang w:eastAsia="x-none"/>
        </w:rPr>
      </w:pPr>
      <w:r>
        <w:rPr>
          <w:lang w:eastAsia="x-none"/>
        </w:rPr>
        <w:t>[3]</w:t>
      </w:r>
      <w:r>
        <w:rPr>
          <w:lang w:eastAsia="x-none"/>
        </w:rPr>
        <w:tab/>
      </w:r>
      <w:r w:rsidR="00B15AF7">
        <w:rPr>
          <w:lang w:eastAsia="x-none"/>
        </w:rPr>
        <w:t xml:space="preserve">It is appropriate that all the facts be placed before the </w:t>
      </w:r>
      <w:r w:rsidR="009457A2">
        <w:rPr>
          <w:lang w:eastAsia="x-none"/>
        </w:rPr>
        <w:t>court</w:t>
      </w:r>
      <w:r w:rsidR="00B15AF7">
        <w:rPr>
          <w:lang w:eastAsia="x-none"/>
        </w:rPr>
        <w:t xml:space="preserve">, so that the main application and this application for reconsideration can be determined on a complete and correct conspectus of the facts. That is plainly in the litigants’ interests and in the interests of this </w:t>
      </w:r>
      <w:r w:rsidR="009457A2">
        <w:rPr>
          <w:lang w:eastAsia="x-none"/>
        </w:rPr>
        <w:t>court</w:t>
      </w:r>
      <w:r w:rsidR="00B15AF7">
        <w:rPr>
          <w:lang w:eastAsia="x-none"/>
        </w:rPr>
        <w:t>.</w:t>
      </w:r>
      <w:r w:rsidR="00B15AF7">
        <w:rPr>
          <w:rStyle w:val="FootnoteReference"/>
          <w:lang w:eastAsia="x-none"/>
        </w:rPr>
        <w:footnoteReference w:id="3"/>
      </w:r>
    </w:p>
    <w:p w14:paraId="51628AB4" w14:textId="77777777" w:rsidR="00B15AF7" w:rsidRDefault="00B15AF7" w:rsidP="009457A2">
      <w:pPr>
        <w:pStyle w:val="1"/>
        <w:numPr>
          <w:ilvl w:val="0"/>
          <w:numId w:val="0"/>
        </w:numPr>
        <w:spacing w:before="0" w:line="360" w:lineRule="auto"/>
        <w:rPr>
          <w:lang w:eastAsia="x-none"/>
        </w:rPr>
      </w:pPr>
    </w:p>
    <w:p w14:paraId="79F9B484" w14:textId="66000E40" w:rsidR="00B15AF7" w:rsidRDefault="0053192E" w:rsidP="0053192E">
      <w:pPr>
        <w:pStyle w:val="1"/>
        <w:numPr>
          <w:ilvl w:val="0"/>
          <w:numId w:val="0"/>
        </w:numPr>
        <w:spacing w:before="0" w:line="360" w:lineRule="auto"/>
        <w:rPr>
          <w:lang w:eastAsia="x-none"/>
        </w:rPr>
      </w:pPr>
      <w:r>
        <w:rPr>
          <w:lang w:eastAsia="x-none"/>
        </w:rPr>
        <w:t>[4]</w:t>
      </w:r>
      <w:r>
        <w:rPr>
          <w:lang w:eastAsia="x-none"/>
        </w:rPr>
        <w:tab/>
      </w:r>
      <w:r w:rsidR="00B15AF7">
        <w:rPr>
          <w:lang w:eastAsia="x-none"/>
        </w:rPr>
        <w:t>Accordingly, the respondent is given leave to deliver its supplementary affidavit.</w:t>
      </w:r>
    </w:p>
    <w:p w14:paraId="18949139" w14:textId="77777777" w:rsidR="00B15AF7" w:rsidRDefault="00B15AF7" w:rsidP="009457A2">
      <w:pPr>
        <w:pStyle w:val="1"/>
        <w:numPr>
          <w:ilvl w:val="0"/>
          <w:numId w:val="0"/>
        </w:numPr>
        <w:spacing w:before="0" w:line="360" w:lineRule="auto"/>
        <w:rPr>
          <w:lang w:eastAsia="x-none"/>
        </w:rPr>
      </w:pPr>
    </w:p>
    <w:p w14:paraId="69C82DFC" w14:textId="27253687" w:rsidR="00B15AF7" w:rsidRPr="00332E8A" w:rsidRDefault="00B15AF7" w:rsidP="009457A2">
      <w:pPr>
        <w:pStyle w:val="1"/>
        <w:numPr>
          <w:ilvl w:val="0"/>
          <w:numId w:val="0"/>
        </w:numPr>
        <w:spacing w:before="0" w:line="360" w:lineRule="auto"/>
        <w:rPr>
          <w:b/>
          <w:lang w:eastAsia="x-none"/>
        </w:rPr>
      </w:pPr>
      <w:r w:rsidRPr="00332E8A">
        <w:rPr>
          <w:b/>
          <w:lang w:eastAsia="x-none"/>
        </w:rPr>
        <w:t xml:space="preserve">The PMB </w:t>
      </w:r>
      <w:r w:rsidR="00744C18" w:rsidRPr="00332E8A">
        <w:rPr>
          <w:b/>
          <w:lang w:eastAsia="x-none"/>
        </w:rPr>
        <w:t>order</w:t>
      </w:r>
    </w:p>
    <w:p w14:paraId="15BCEFE4" w14:textId="26AA154E" w:rsidR="00B15AF7" w:rsidRDefault="0053192E" w:rsidP="0053192E">
      <w:pPr>
        <w:pStyle w:val="1"/>
        <w:numPr>
          <w:ilvl w:val="0"/>
          <w:numId w:val="0"/>
        </w:numPr>
        <w:spacing w:before="0" w:line="360" w:lineRule="auto"/>
        <w:rPr>
          <w:lang w:eastAsia="x-none"/>
        </w:rPr>
      </w:pPr>
      <w:r>
        <w:rPr>
          <w:lang w:eastAsia="x-none"/>
        </w:rPr>
        <w:t>[5]</w:t>
      </w:r>
      <w:r>
        <w:rPr>
          <w:lang w:eastAsia="x-none"/>
        </w:rPr>
        <w:tab/>
      </w:r>
      <w:r w:rsidR="00B15AF7">
        <w:rPr>
          <w:lang w:eastAsia="x-none"/>
        </w:rPr>
        <w:t xml:space="preserve">I do not intend to set out exhaustively the terms of the PMB </w:t>
      </w:r>
      <w:r w:rsidR="00744C18">
        <w:rPr>
          <w:lang w:eastAsia="x-none"/>
        </w:rPr>
        <w:t>order</w:t>
      </w:r>
      <w:r w:rsidR="00B15AF7">
        <w:rPr>
          <w:rStyle w:val="FootnoteReference"/>
          <w:lang w:eastAsia="x-none"/>
        </w:rPr>
        <w:footnoteReference w:id="4"/>
      </w:r>
      <w:r w:rsidR="00B15AF7">
        <w:rPr>
          <w:lang w:eastAsia="x-none"/>
        </w:rPr>
        <w:t xml:space="preserve"> but it </w:t>
      </w:r>
      <w:r w:rsidR="00B15AF7" w:rsidRPr="009257C5">
        <w:rPr>
          <w:i/>
          <w:iCs w:val="0"/>
          <w:lang w:eastAsia="x-none"/>
        </w:rPr>
        <w:t>inter alia</w:t>
      </w:r>
      <w:r w:rsidR="00B15AF7">
        <w:rPr>
          <w:lang w:eastAsia="x-none"/>
        </w:rPr>
        <w:t>:–</w:t>
      </w:r>
    </w:p>
    <w:p w14:paraId="7D29B03C" w14:textId="2604F14E" w:rsidR="00B15AF7" w:rsidRDefault="0053192E" w:rsidP="0053192E">
      <w:pPr>
        <w:pStyle w:val="2"/>
        <w:numPr>
          <w:ilvl w:val="0"/>
          <w:numId w:val="0"/>
        </w:numPr>
        <w:spacing w:before="0" w:line="360" w:lineRule="auto"/>
      </w:pPr>
      <w:r>
        <w:t>(a)</w:t>
      </w:r>
      <w:r>
        <w:tab/>
      </w:r>
      <w:r w:rsidR="00B15AF7">
        <w:t xml:space="preserve">Ordered that the application would be heard in camera in terms of </w:t>
      </w:r>
      <w:r w:rsidR="003F414E">
        <w:t xml:space="preserve">section </w:t>
      </w:r>
      <w:r w:rsidR="00B15AF7">
        <w:t>32 of the Superior Courts Act 10 of 2013;</w:t>
      </w:r>
    </w:p>
    <w:p w14:paraId="64EE5BB5" w14:textId="6A0A3E4D" w:rsidR="00B15AF7" w:rsidRDefault="0053192E" w:rsidP="0053192E">
      <w:pPr>
        <w:pStyle w:val="2"/>
        <w:numPr>
          <w:ilvl w:val="0"/>
          <w:numId w:val="0"/>
        </w:numPr>
        <w:spacing w:before="0" w:line="360" w:lineRule="auto"/>
      </w:pPr>
      <w:r>
        <w:t>(b)</w:t>
      </w:r>
      <w:r>
        <w:tab/>
      </w:r>
      <w:r w:rsidR="00B15AF7">
        <w:t>Directed the Registrar of the Court keep</w:t>
      </w:r>
      <w:r w:rsidR="003F414E">
        <w:t>s</w:t>
      </w:r>
      <w:r w:rsidR="00B15AF7">
        <w:t xml:space="preserve"> the content of the Court file confidential unless otherwise directed;</w:t>
      </w:r>
    </w:p>
    <w:p w14:paraId="07C8DE40" w14:textId="1B2EB609" w:rsidR="00B15AF7" w:rsidRDefault="0053192E" w:rsidP="0053192E">
      <w:pPr>
        <w:pStyle w:val="2"/>
        <w:numPr>
          <w:ilvl w:val="0"/>
          <w:numId w:val="0"/>
        </w:numPr>
        <w:spacing w:before="0" w:line="360" w:lineRule="auto"/>
      </w:pPr>
      <w:r>
        <w:t>(c)</w:t>
      </w:r>
      <w:r>
        <w:tab/>
      </w:r>
      <w:r w:rsidR="00B15AF7">
        <w:t>Authorised the applicant to instituted proceedings in terms of section 84(1A)</w:t>
      </w:r>
      <w:r w:rsidR="00B15AF7" w:rsidRPr="003F414E">
        <w:rPr>
          <w:i/>
        </w:rPr>
        <w:t>(b)</w:t>
      </w:r>
      <w:r w:rsidR="00B15AF7">
        <w:t>(ii) of the Banks Act 94 of 1990 (</w:t>
      </w:r>
      <w:r w:rsidR="003F414E">
        <w:t>‘</w:t>
      </w:r>
      <w:r w:rsidR="00B15AF7">
        <w:t>the Banks Act</w:t>
      </w:r>
      <w:r w:rsidR="003F414E">
        <w:t>’</w:t>
      </w:r>
      <w:r w:rsidR="00B15AF7">
        <w:t>).</w:t>
      </w:r>
    </w:p>
    <w:p w14:paraId="06A2B8D7" w14:textId="182D414C" w:rsidR="00B15AF7" w:rsidRDefault="0053192E" w:rsidP="0053192E">
      <w:pPr>
        <w:pStyle w:val="2"/>
        <w:numPr>
          <w:ilvl w:val="0"/>
          <w:numId w:val="0"/>
        </w:numPr>
        <w:spacing w:before="0" w:line="360" w:lineRule="auto"/>
      </w:pPr>
      <w:r>
        <w:t>(d)</w:t>
      </w:r>
      <w:r>
        <w:tab/>
      </w:r>
      <w:r w:rsidR="00B15AF7">
        <w:t>Empowered the applicant</w:t>
      </w:r>
      <w:r w:rsidR="009457A2">
        <w:t xml:space="preserve"> </w:t>
      </w:r>
      <w:r w:rsidR="00B15AF7">
        <w:t>and his representatives to serve and execute the PMB Order in accordance with the Superior Courts Act and the Uniform Rules</w:t>
      </w:r>
    </w:p>
    <w:p w14:paraId="4C943677" w14:textId="4D64340A" w:rsidR="00B15AF7" w:rsidRDefault="0053192E" w:rsidP="0053192E">
      <w:pPr>
        <w:pStyle w:val="2"/>
        <w:numPr>
          <w:ilvl w:val="0"/>
          <w:numId w:val="0"/>
        </w:numPr>
        <w:spacing w:before="0" w:line="360" w:lineRule="auto"/>
      </w:pPr>
      <w:r>
        <w:lastRenderedPageBreak/>
        <w:t>(e)</w:t>
      </w:r>
      <w:r>
        <w:tab/>
      </w:r>
      <w:r w:rsidR="00B15AF7">
        <w:t>E</w:t>
      </w:r>
      <w:r w:rsidR="00B15AF7" w:rsidRPr="009257C5">
        <w:t xml:space="preserve">mpowered </w:t>
      </w:r>
      <w:r w:rsidR="00B15AF7">
        <w:t xml:space="preserve">the applicant </w:t>
      </w:r>
      <w:r w:rsidR="00B15AF7" w:rsidRPr="009257C5">
        <w:t xml:space="preserve">to </w:t>
      </w:r>
      <w:r w:rsidR="00B15AF7">
        <w:t>recover and take possession of the assets of the respondent in terms of section 84(1A)</w:t>
      </w:r>
      <w:r w:rsidR="00B15AF7" w:rsidRPr="003F414E">
        <w:rPr>
          <w:i/>
        </w:rPr>
        <w:t>(b)</w:t>
      </w:r>
      <w:r w:rsidR="00B15AF7">
        <w:t>(i) of the Banks Act;</w:t>
      </w:r>
    </w:p>
    <w:p w14:paraId="5FAA27E6" w14:textId="6080EF2B" w:rsidR="00B15AF7" w:rsidRDefault="0053192E" w:rsidP="0053192E">
      <w:pPr>
        <w:pStyle w:val="2"/>
        <w:numPr>
          <w:ilvl w:val="0"/>
          <w:numId w:val="0"/>
        </w:numPr>
        <w:spacing w:before="0" w:line="360" w:lineRule="auto"/>
      </w:pPr>
      <w:r>
        <w:t>(f)</w:t>
      </w:r>
      <w:r>
        <w:tab/>
      </w:r>
      <w:r w:rsidR="00B15AF7">
        <w:rPr>
          <w:lang w:eastAsia="x-none"/>
        </w:rPr>
        <w:t xml:space="preserve">Empowered the applicant to </w:t>
      </w:r>
      <w:r w:rsidR="00B15AF7">
        <w:t xml:space="preserve">act in accordance with section 84(4) read with sections 84(5) and 84(8) of the Banks Act. </w:t>
      </w:r>
    </w:p>
    <w:p w14:paraId="043D7F40" w14:textId="6B0CAE20" w:rsidR="00B15AF7" w:rsidRDefault="0053192E" w:rsidP="0053192E">
      <w:pPr>
        <w:pStyle w:val="2"/>
        <w:numPr>
          <w:ilvl w:val="0"/>
          <w:numId w:val="0"/>
        </w:numPr>
        <w:spacing w:before="0" w:line="360" w:lineRule="auto"/>
      </w:pPr>
      <w:r>
        <w:t>(g)</w:t>
      </w:r>
      <w:r>
        <w:tab/>
      </w:r>
      <w:r w:rsidR="00B15AF7">
        <w:t xml:space="preserve">Directed the respondent to declare under oath to the applicant within five days of the service of the PMB </w:t>
      </w:r>
      <w:r w:rsidR="00045FFE">
        <w:t xml:space="preserve">order </w:t>
      </w:r>
      <w:r w:rsidR="00B15AF7">
        <w:t xml:space="preserve">the whereabouts of the assets of the respondent wherever they may be situated and to identify these assets with sufficient particularity in PMB </w:t>
      </w:r>
      <w:r w:rsidR="00744C18">
        <w:t xml:space="preserve">order </w:t>
      </w:r>
      <w:r w:rsidR="00B15AF7">
        <w:t>to enable the applicant to recover and take possession of those assets in terms of section 84(1A)</w:t>
      </w:r>
      <w:r w:rsidR="00B15AF7" w:rsidRPr="003F414E">
        <w:rPr>
          <w:i/>
        </w:rPr>
        <w:t>(b)</w:t>
      </w:r>
      <w:r w:rsidR="00B15AF7">
        <w:t xml:space="preserve">(i) of the Banks Act. </w:t>
      </w:r>
    </w:p>
    <w:p w14:paraId="66C309E6" w14:textId="77777777" w:rsidR="00B15AF7" w:rsidRDefault="00B15AF7" w:rsidP="009457A2">
      <w:pPr>
        <w:pStyle w:val="2"/>
        <w:numPr>
          <w:ilvl w:val="0"/>
          <w:numId w:val="0"/>
        </w:numPr>
        <w:spacing w:before="0" w:line="360" w:lineRule="auto"/>
      </w:pPr>
    </w:p>
    <w:p w14:paraId="3D80F659" w14:textId="42344A21" w:rsidR="00B15AF7" w:rsidRDefault="0053192E" w:rsidP="0053192E">
      <w:pPr>
        <w:pStyle w:val="1"/>
        <w:numPr>
          <w:ilvl w:val="0"/>
          <w:numId w:val="0"/>
        </w:numPr>
        <w:spacing w:before="0" w:line="360" w:lineRule="auto"/>
      </w:pPr>
      <w:r>
        <w:t>[6]</w:t>
      </w:r>
      <w:r>
        <w:tab/>
      </w:r>
      <w:r w:rsidR="00B15AF7">
        <w:t xml:space="preserve">The orders as foreshadowed in paragraphs 3 to 6 of the PMB </w:t>
      </w:r>
      <w:r w:rsidR="00FD105E">
        <w:t xml:space="preserve">order </w:t>
      </w:r>
      <w:r w:rsidR="00B15AF7">
        <w:t xml:space="preserve">(paragraphs </w:t>
      </w:r>
      <w:r w:rsidR="00F433D0">
        <w:t>5(c)</w:t>
      </w:r>
      <w:r w:rsidR="00B15AF7">
        <w:t xml:space="preserve"> to </w:t>
      </w:r>
      <w:r w:rsidR="00F433D0">
        <w:t>5(f)</w:t>
      </w:r>
      <w:r w:rsidR="00B15AF7">
        <w:t xml:space="preserve"> above) to</w:t>
      </w:r>
      <w:r w:rsidR="009457A2">
        <w:t xml:space="preserve"> </w:t>
      </w:r>
      <w:r w:rsidR="00B15AF7">
        <w:t xml:space="preserve">would operate as interim relief with immediate effect. </w:t>
      </w:r>
    </w:p>
    <w:p w14:paraId="243AE431" w14:textId="77777777" w:rsidR="00B15AF7" w:rsidRDefault="00B15AF7" w:rsidP="009457A2">
      <w:pPr>
        <w:pStyle w:val="1"/>
        <w:numPr>
          <w:ilvl w:val="0"/>
          <w:numId w:val="0"/>
        </w:numPr>
        <w:spacing w:before="0" w:line="360" w:lineRule="auto"/>
      </w:pPr>
    </w:p>
    <w:p w14:paraId="585F1E94" w14:textId="393BB24F" w:rsidR="00B15AF7" w:rsidRDefault="0053192E" w:rsidP="0053192E">
      <w:pPr>
        <w:pStyle w:val="1"/>
        <w:numPr>
          <w:ilvl w:val="0"/>
          <w:numId w:val="0"/>
        </w:numPr>
        <w:spacing w:before="0" w:line="360" w:lineRule="auto"/>
      </w:pPr>
      <w:r>
        <w:t>[7]</w:t>
      </w:r>
      <w:r>
        <w:tab/>
      </w:r>
      <w:r w:rsidR="00B15AF7">
        <w:t xml:space="preserve">A </w:t>
      </w:r>
      <w:r w:rsidR="00B15AF7">
        <w:rPr>
          <w:i/>
          <w:iCs w:val="0"/>
        </w:rPr>
        <w:t>rule nisi</w:t>
      </w:r>
      <w:r w:rsidR="00B15AF7">
        <w:t xml:space="preserve"> was issued calling upon the respondent to show cause on 19 March 2024 at 9h30 as to why any assets recovered and which are in the possession of the applicant in terms of paragraphs 5 and 7</w:t>
      </w:r>
      <w:r w:rsidR="00B15AF7" w:rsidRPr="00AC74A8">
        <w:t xml:space="preserve"> </w:t>
      </w:r>
      <w:r w:rsidR="009819EC">
        <w:t>of the PMB order (</w:t>
      </w:r>
      <w:r w:rsidR="00B15AF7">
        <w:t xml:space="preserve">being paragraphs </w:t>
      </w:r>
      <w:r w:rsidR="00F433D0">
        <w:t>5(f)</w:t>
      </w:r>
      <w:r w:rsidR="009457A2">
        <w:t xml:space="preserve"> </w:t>
      </w:r>
      <w:r w:rsidR="00B15AF7">
        <w:t xml:space="preserve">and </w:t>
      </w:r>
      <w:r w:rsidR="00F433D0">
        <w:t>5(g)</w:t>
      </w:r>
      <w:r w:rsidR="00B15AF7">
        <w:t xml:space="preserve"> above) should not remain in the possession of the applicant pursuant to the provisions of sections 83 and 84 of the Banks Act. </w:t>
      </w:r>
    </w:p>
    <w:p w14:paraId="7ECD7431" w14:textId="77777777" w:rsidR="00B15AF7" w:rsidRDefault="00B15AF7" w:rsidP="009457A2">
      <w:pPr>
        <w:pStyle w:val="1"/>
        <w:numPr>
          <w:ilvl w:val="0"/>
          <w:numId w:val="0"/>
        </w:numPr>
        <w:spacing w:before="0" w:line="360" w:lineRule="auto"/>
      </w:pPr>
    </w:p>
    <w:p w14:paraId="59C7C0C3" w14:textId="61273C28" w:rsidR="00B15AF7" w:rsidRDefault="0053192E" w:rsidP="0053192E">
      <w:pPr>
        <w:pStyle w:val="1"/>
        <w:numPr>
          <w:ilvl w:val="0"/>
          <w:numId w:val="0"/>
        </w:numPr>
        <w:spacing w:before="0" w:line="360" w:lineRule="auto"/>
      </w:pPr>
      <w:r>
        <w:t>[8]</w:t>
      </w:r>
      <w:r>
        <w:tab/>
      </w:r>
      <w:r w:rsidR="00B15AF7">
        <w:t xml:space="preserve">This is the order that is the subject of the reconsideration application. The applicant in these proceedings is the respondent in the interim order but, for the sake of convenience the parties are referred to as in the main application. </w:t>
      </w:r>
    </w:p>
    <w:p w14:paraId="64B92A70" w14:textId="77777777" w:rsidR="00B15AF7" w:rsidRDefault="00B15AF7" w:rsidP="009457A2">
      <w:pPr>
        <w:pStyle w:val="1"/>
        <w:numPr>
          <w:ilvl w:val="0"/>
          <w:numId w:val="0"/>
        </w:numPr>
        <w:spacing w:before="0" w:line="360" w:lineRule="auto"/>
      </w:pPr>
    </w:p>
    <w:p w14:paraId="7BAB0496" w14:textId="6B5836B5" w:rsidR="00B15AF7" w:rsidRPr="005F5585" w:rsidRDefault="00B15AF7" w:rsidP="009457A2">
      <w:pPr>
        <w:pStyle w:val="Heading3"/>
        <w:spacing w:before="0" w:line="360" w:lineRule="auto"/>
        <w:rPr>
          <w:b/>
          <w:u w:val="none"/>
          <w:lang w:val="en-GB"/>
        </w:rPr>
      </w:pPr>
      <w:r w:rsidRPr="005F5585">
        <w:rPr>
          <w:b/>
          <w:u w:val="none"/>
          <w:lang w:val="en-GB"/>
        </w:rPr>
        <w:t xml:space="preserve">The test for reconsideration </w:t>
      </w:r>
    </w:p>
    <w:p w14:paraId="1A690C6A" w14:textId="0FA5A7E9" w:rsidR="00B15AF7" w:rsidRDefault="0053192E" w:rsidP="0053192E">
      <w:pPr>
        <w:pStyle w:val="1"/>
        <w:numPr>
          <w:ilvl w:val="0"/>
          <w:numId w:val="0"/>
        </w:numPr>
        <w:spacing w:before="0" w:line="360" w:lineRule="auto"/>
        <w:rPr>
          <w:lang w:eastAsia="x-none"/>
        </w:rPr>
      </w:pPr>
      <w:r>
        <w:rPr>
          <w:lang w:eastAsia="x-none"/>
        </w:rPr>
        <w:t>[9]</w:t>
      </w:r>
      <w:r>
        <w:rPr>
          <w:lang w:eastAsia="x-none"/>
        </w:rPr>
        <w:tab/>
      </w:r>
      <w:r w:rsidR="00B15AF7">
        <w:rPr>
          <w:lang w:eastAsia="x-none"/>
        </w:rPr>
        <w:t xml:space="preserve">The dominant purpose of Uniform </w:t>
      </w:r>
      <w:r w:rsidR="00201C88">
        <w:rPr>
          <w:lang w:eastAsia="x-none"/>
        </w:rPr>
        <w:t xml:space="preserve">rule </w:t>
      </w:r>
      <w:r w:rsidR="00B15AF7">
        <w:rPr>
          <w:lang w:eastAsia="x-none"/>
        </w:rPr>
        <w:t>6(12)</w:t>
      </w:r>
      <w:r w:rsidR="00B15AF7" w:rsidRPr="00201C88">
        <w:rPr>
          <w:i/>
          <w:lang w:eastAsia="x-none"/>
        </w:rPr>
        <w:t>(c)</w:t>
      </w:r>
      <w:r w:rsidR="00B15AF7">
        <w:rPr>
          <w:lang w:eastAsia="x-none"/>
        </w:rPr>
        <w:t xml:space="preserve"> is to afford an aggrieved party a mechanism to redress any imbalance, injustice or repression flowing from an order which was granted as a matter of urgency in such party’s absence.</w:t>
      </w:r>
      <w:r w:rsidR="00B15AF7">
        <w:rPr>
          <w:rStyle w:val="FootnoteReference"/>
          <w:lang w:eastAsia="x-none"/>
        </w:rPr>
        <w:footnoteReference w:id="5"/>
      </w:r>
    </w:p>
    <w:p w14:paraId="34802AC1" w14:textId="77777777" w:rsidR="00B15AF7" w:rsidRPr="002F31D4" w:rsidRDefault="00B15AF7" w:rsidP="009457A2">
      <w:pPr>
        <w:pStyle w:val="1"/>
        <w:numPr>
          <w:ilvl w:val="0"/>
          <w:numId w:val="0"/>
        </w:numPr>
        <w:spacing w:before="0" w:line="360" w:lineRule="auto"/>
        <w:rPr>
          <w:lang w:eastAsia="x-none"/>
        </w:rPr>
      </w:pPr>
    </w:p>
    <w:p w14:paraId="5C6CF05D" w14:textId="5596A786" w:rsidR="00B15AF7" w:rsidRDefault="0053192E" w:rsidP="0053192E">
      <w:pPr>
        <w:pStyle w:val="1"/>
        <w:numPr>
          <w:ilvl w:val="0"/>
          <w:numId w:val="0"/>
        </w:numPr>
        <w:spacing w:before="0" w:line="360" w:lineRule="auto"/>
      </w:pPr>
      <w:r>
        <w:t>[10]</w:t>
      </w:r>
      <w:r>
        <w:tab/>
      </w:r>
      <w:r w:rsidR="00B15AF7">
        <w:t>The two jurisdictional facts</w:t>
      </w:r>
      <w:r w:rsidR="00096209">
        <w:t>,</w:t>
      </w:r>
      <w:r w:rsidR="00B15AF7">
        <w:t xml:space="preserve"> which must be available to a party seeking to reconsider an order are that the main application was heard as a matter of urgency </w:t>
      </w:r>
      <w:r w:rsidR="00B15AF7">
        <w:lastRenderedPageBreak/>
        <w:t xml:space="preserve">and that the impugned order was granted in the aggrieved party’s absence. It is common cause that both of those jurisdictional facts exist in these proceedings. </w:t>
      </w:r>
    </w:p>
    <w:p w14:paraId="4A475A31" w14:textId="77777777" w:rsidR="00B15AF7" w:rsidRDefault="00B15AF7" w:rsidP="009457A2">
      <w:pPr>
        <w:pStyle w:val="1"/>
        <w:numPr>
          <w:ilvl w:val="0"/>
          <w:numId w:val="0"/>
        </w:numPr>
        <w:spacing w:before="0" w:line="360" w:lineRule="auto"/>
      </w:pPr>
    </w:p>
    <w:p w14:paraId="55B49939" w14:textId="58913477" w:rsidR="008A3191" w:rsidRDefault="0053192E" w:rsidP="0053192E">
      <w:pPr>
        <w:pStyle w:val="1"/>
        <w:numPr>
          <w:ilvl w:val="0"/>
          <w:numId w:val="0"/>
        </w:numPr>
        <w:spacing w:before="0" w:line="360" w:lineRule="auto"/>
      </w:pPr>
      <w:r>
        <w:t>[11]</w:t>
      </w:r>
      <w:r>
        <w:tab/>
      </w:r>
      <w:r w:rsidR="008A3191">
        <w:t xml:space="preserve">The court in </w:t>
      </w:r>
      <w:r w:rsidR="008A3191" w:rsidRPr="008A3191">
        <w:rPr>
          <w:i/>
        </w:rPr>
        <w:t>Sheriff Pretoria North-East v Flink</w:t>
      </w:r>
      <w:r w:rsidR="00AC2723">
        <w:rPr>
          <w:i/>
        </w:rPr>
        <w:t xml:space="preserve"> </w:t>
      </w:r>
      <w:r w:rsidR="00AC2723" w:rsidRPr="00AC2723">
        <w:t>(</w:t>
      </w:r>
      <w:r w:rsidR="00AC2723">
        <w:rPr>
          <w:i/>
        </w:rPr>
        <w:t>Flink</w:t>
      </w:r>
      <w:r w:rsidR="00AC2723" w:rsidRPr="00AC2723">
        <w:t>)</w:t>
      </w:r>
      <w:r w:rsidR="008A3191" w:rsidRPr="00AC2723">
        <w:rPr>
          <w:rStyle w:val="FootnoteReference"/>
        </w:rPr>
        <w:footnoteReference w:id="6"/>
      </w:r>
      <w:r w:rsidR="008A3191">
        <w:t xml:space="preserve"> described the application of the above mentioned jurisdiction facts as follows:</w:t>
      </w:r>
    </w:p>
    <w:p w14:paraId="705F2E00" w14:textId="095B1A69" w:rsidR="00B15AF7" w:rsidRPr="008A3191" w:rsidRDefault="008A3191" w:rsidP="008A3191">
      <w:pPr>
        <w:pStyle w:val="1"/>
        <w:numPr>
          <w:ilvl w:val="0"/>
          <w:numId w:val="0"/>
        </w:numPr>
        <w:spacing w:before="0" w:line="360" w:lineRule="auto"/>
        <w:rPr>
          <w:sz w:val="22"/>
        </w:rPr>
      </w:pPr>
      <w:r w:rsidRPr="008A3191">
        <w:rPr>
          <w:sz w:val="22"/>
        </w:rPr>
        <w:t xml:space="preserve">‘Once these jurisdictional facts have been established, the court is free to </w:t>
      </w:r>
      <w:r w:rsidRPr="00CF3A1D">
        <w:rPr>
          <w:i/>
          <w:sz w:val="22"/>
        </w:rPr>
        <w:t>reconsider</w:t>
      </w:r>
      <w:r w:rsidRPr="008A3191">
        <w:rPr>
          <w:sz w:val="22"/>
        </w:rPr>
        <w:t xml:space="preserve"> the order initially given in the widest sense of the word. By direct implication, it is free to reconsider any </w:t>
      </w:r>
      <w:r w:rsidRPr="00CF3A1D">
        <w:rPr>
          <w:i/>
          <w:sz w:val="22"/>
        </w:rPr>
        <w:t>judgment</w:t>
      </w:r>
      <w:r w:rsidRPr="008A3191">
        <w:rPr>
          <w:sz w:val="22"/>
        </w:rPr>
        <w:t xml:space="preserve"> given in the urgent application, which led to the order. Thus it can most certainly, in a proper case, issue an order o rescission by way of a final judgment which disposes of the case </w:t>
      </w:r>
      <w:r w:rsidRPr="00CF3A1D">
        <w:rPr>
          <w:i/>
          <w:sz w:val="22"/>
        </w:rPr>
        <w:t>en toto</w:t>
      </w:r>
      <w:r w:rsidRPr="008A3191">
        <w:rPr>
          <w:sz w:val="22"/>
        </w:rPr>
        <w:t xml:space="preserve"> – as opposed to a rescinding order which merely restores the procedural </w:t>
      </w:r>
      <w:r w:rsidRPr="004A5129">
        <w:rPr>
          <w:i/>
          <w:sz w:val="22"/>
        </w:rPr>
        <w:t>status quo ante</w:t>
      </w:r>
      <w:r w:rsidRPr="008A3191">
        <w:rPr>
          <w:sz w:val="22"/>
        </w:rPr>
        <w:t>, reinstating the parties to the position in which they were prior to the rescinded judgment, with the merits of the main dispute still to be decided</w:t>
      </w:r>
      <w:r w:rsidR="00B15AF7" w:rsidRPr="008A3191">
        <w:rPr>
          <w:sz w:val="22"/>
        </w:rPr>
        <w:t>.</w:t>
      </w:r>
      <w:r w:rsidRPr="008A3191">
        <w:rPr>
          <w:sz w:val="22"/>
        </w:rPr>
        <w:t>’</w:t>
      </w:r>
      <w:r w:rsidR="00B15AF7" w:rsidRPr="008A3191">
        <w:rPr>
          <w:rStyle w:val="FootnoteReference"/>
          <w:sz w:val="22"/>
        </w:rPr>
        <w:footnoteReference w:id="7"/>
      </w:r>
    </w:p>
    <w:p w14:paraId="45DBFAB9" w14:textId="77777777" w:rsidR="00B15AF7" w:rsidRDefault="00B15AF7" w:rsidP="009457A2">
      <w:pPr>
        <w:pStyle w:val="1"/>
        <w:numPr>
          <w:ilvl w:val="0"/>
          <w:numId w:val="0"/>
        </w:numPr>
        <w:spacing w:before="0" w:line="360" w:lineRule="auto"/>
      </w:pPr>
    </w:p>
    <w:p w14:paraId="307368ED" w14:textId="211C5FBA" w:rsidR="00A50BDD" w:rsidRDefault="0053192E" w:rsidP="0053192E">
      <w:pPr>
        <w:pStyle w:val="1"/>
        <w:numPr>
          <w:ilvl w:val="0"/>
          <w:numId w:val="0"/>
        </w:numPr>
        <w:tabs>
          <w:tab w:val="left" w:pos="567"/>
        </w:tabs>
        <w:spacing w:line="360" w:lineRule="auto"/>
      </w:pPr>
      <w:r>
        <w:t>[12]</w:t>
      </w:r>
      <w:r>
        <w:tab/>
      </w:r>
      <w:r w:rsidR="00B15AF7">
        <w:t>In these proceedings</w:t>
      </w:r>
      <w:r w:rsidR="00B6209B">
        <w:t>,</w:t>
      </w:r>
      <w:r w:rsidR="00B15AF7">
        <w:t xml:space="preserve"> the parties delivered a full set of affidavits</w:t>
      </w:r>
      <w:r w:rsidR="00B15AF7" w:rsidRPr="00CA57E8">
        <w:rPr>
          <w:b/>
          <w:bCs/>
        </w:rPr>
        <w:t>.</w:t>
      </w:r>
      <w:r w:rsidR="00B15AF7" w:rsidRPr="00CA57E8">
        <w:rPr>
          <w:rStyle w:val="FootnoteTextChar"/>
          <w:b w:val="0"/>
          <w:bCs w:val="0"/>
        </w:rPr>
        <w:footnoteReference w:id="8"/>
      </w:r>
      <w:r w:rsidR="00B15AF7" w:rsidRPr="00CA57E8">
        <w:rPr>
          <w:b/>
          <w:bCs/>
        </w:rPr>
        <w:t xml:space="preserve"> </w:t>
      </w:r>
      <w:r w:rsidR="00B15AF7">
        <w:t xml:space="preserve">Thus, the </w:t>
      </w:r>
      <w:r w:rsidR="00167980">
        <w:t>‘</w:t>
      </w:r>
      <w:r w:rsidR="00B15AF7">
        <w:t xml:space="preserve">result is that the reconsideration of this application needs to be done on the basis of a set of circumstances quite different to that under which the original </w:t>
      </w:r>
      <w:r w:rsidR="00B15AF7" w:rsidRPr="00A50BDD">
        <w:rPr>
          <w:i/>
        </w:rPr>
        <w:t>ex parte</w:t>
      </w:r>
      <w:r w:rsidR="00B15AF7">
        <w:t xml:space="preserve"> order was obtained.</w:t>
      </w:r>
      <w:r w:rsidR="00167980">
        <w:t>’</w:t>
      </w:r>
      <w:r w:rsidR="00167980" w:rsidRPr="00365355">
        <w:rPr>
          <w:rStyle w:val="FootnoteTextChar"/>
          <w:b w:val="0"/>
          <w:bCs w:val="0"/>
        </w:rPr>
        <w:footnoteReference w:id="9"/>
      </w:r>
      <w:r w:rsidR="00B15AF7">
        <w:t xml:space="preserve"> </w:t>
      </w:r>
      <w:r w:rsidR="00A50BDD" w:rsidRPr="00781774">
        <w:t xml:space="preserve">In these new circumstances the order will be reconsidered in light of the execution of the previous </w:t>
      </w:r>
      <w:r w:rsidR="00A50BDD">
        <w:t>o</w:t>
      </w:r>
      <w:r w:rsidR="00A50BDD" w:rsidRPr="00781774">
        <w:t xml:space="preserve">rder, the variation of the </w:t>
      </w:r>
      <w:r w:rsidR="00A50BDD">
        <w:t>o</w:t>
      </w:r>
      <w:r w:rsidR="00A50BDD" w:rsidRPr="00781774">
        <w:t>rder and the further affidavits file by the parties.</w:t>
      </w:r>
      <w:r w:rsidR="00A50BDD">
        <w:rPr>
          <w:rStyle w:val="FootnoteReference"/>
        </w:rPr>
        <w:footnoteReference w:id="10"/>
      </w:r>
    </w:p>
    <w:p w14:paraId="1691FD78" w14:textId="568D0F28" w:rsidR="00B15AF7" w:rsidRDefault="00B15AF7" w:rsidP="00A53ED4">
      <w:pPr>
        <w:pStyle w:val="1"/>
        <w:numPr>
          <w:ilvl w:val="0"/>
          <w:numId w:val="0"/>
        </w:numPr>
        <w:spacing w:before="0" w:line="360" w:lineRule="auto"/>
      </w:pPr>
    </w:p>
    <w:p w14:paraId="6C229A89" w14:textId="6270EC0B" w:rsidR="00B15AF7" w:rsidRDefault="0053192E" w:rsidP="0053192E">
      <w:pPr>
        <w:pStyle w:val="1"/>
        <w:numPr>
          <w:ilvl w:val="0"/>
          <w:numId w:val="0"/>
        </w:numPr>
        <w:spacing w:before="0" w:line="360" w:lineRule="auto"/>
      </w:pPr>
      <w:r>
        <w:t>[13]</w:t>
      </w:r>
      <w:r>
        <w:tab/>
      </w:r>
      <w:r w:rsidR="00B15AF7">
        <w:t xml:space="preserve">The effect is that first, </w:t>
      </w:r>
      <w:r w:rsidR="000C4170">
        <w:t>‘</w:t>
      </w:r>
      <w:r w:rsidR="00B15AF7">
        <w:t>the issues are to be reconsidered in light of the fact that both sides of the story are now before the court</w:t>
      </w:r>
      <w:r w:rsidR="000C4170">
        <w:t>’</w:t>
      </w:r>
      <w:r w:rsidR="00B15AF7">
        <w:t xml:space="preserve"> and, second, that </w:t>
      </w:r>
      <w:r w:rsidR="000C4170">
        <w:t>‘</w:t>
      </w:r>
      <w:r w:rsidR="00B15AF7">
        <w:t xml:space="preserve">the execution of the original order may have had the effect that those issues are not exactly the same issues which were before </w:t>
      </w:r>
      <w:r w:rsidR="000C4170">
        <w:t>C</w:t>
      </w:r>
      <w:r w:rsidR="00B15AF7">
        <w:t>ourt when the original application was heard.</w:t>
      </w:r>
      <w:r w:rsidR="000C4170">
        <w:t>’</w:t>
      </w:r>
      <w:r w:rsidR="00B15AF7">
        <w:rPr>
          <w:rStyle w:val="FootnoteReference"/>
        </w:rPr>
        <w:footnoteReference w:id="11"/>
      </w:r>
    </w:p>
    <w:p w14:paraId="21C7E55F" w14:textId="77777777" w:rsidR="00B15AF7" w:rsidRDefault="00B15AF7" w:rsidP="009457A2">
      <w:pPr>
        <w:pStyle w:val="1"/>
        <w:numPr>
          <w:ilvl w:val="0"/>
          <w:numId w:val="0"/>
        </w:numPr>
        <w:spacing w:before="0" w:line="360" w:lineRule="auto"/>
      </w:pPr>
    </w:p>
    <w:p w14:paraId="4BF11513" w14:textId="77777777" w:rsidR="00B15AF7" w:rsidRPr="00781774" w:rsidRDefault="00B15AF7" w:rsidP="009457A2">
      <w:pPr>
        <w:pStyle w:val="1"/>
        <w:numPr>
          <w:ilvl w:val="0"/>
          <w:numId w:val="0"/>
        </w:numPr>
        <w:spacing w:before="0" w:line="360" w:lineRule="auto"/>
      </w:pPr>
    </w:p>
    <w:p w14:paraId="4ED418D6" w14:textId="5685B4AB" w:rsidR="00B15AF7" w:rsidRDefault="0053192E" w:rsidP="0053192E">
      <w:pPr>
        <w:pStyle w:val="1"/>
        <w:numPr>
          <w:ilvl w:val="0"/>
          <w:numId w:val="0"/>
        </w:numPr>
        <w:spacing w:before="0" w:line="360" w:lineRule="auto"/>
      </w:pPr>
      <w:r>
        <w:lastRenderedPageBreak/>
        <w:t>[14]</w:t>
      </w:r>
      <w:r>
        <w:tab/>
      </w:r>
      <w:r w:rsidR="00B15AF7" w:rsidRPr="00781774">
        <w:t xml:space="preserve">The </w:t>
      </w:r>
      <w:r w:rsidR="00B15AF7">
        <w:t>c</w:t>
      </w:r>
      <w:r w:rsidR="00B15AF7" w:rsidRPr="00781774">
        <w:t>ourt is not confined only to the original application papers without reference to anything else</w:t>
      </w:r>
      <w:r w:rsidR="00C807E0">
        <w:t>.</w:t>
      </w:r>
      <w:r w:rsidR="00B15AF7" w:rsidRPr="00781774">
        <w:t xml:space="preserve"> </w:t>
      </w:r>
      <w:r w:rsidR="00C807E0">
        <w:t>S</w:t>
      </w:r>
      <w:r w:rsidR="00B15AF7" w:rsidRPr="00781774">
        <w:t>uch an approach is in conflict with the various decisions relating to reconsideration applications.</w:t>
      </w:r>
      <w:r w:rsidR="00B15AF7">
        <w:rPr>
          <w:rStyle w:val="FootnoteReference"/>
        </w:rPr>
        <w:footnoteReference w:id="12"/>
      </w:r>
    </w:p>
    <w:p w14:paraId="692D17E0" w14:textId="77777777" w:rsidR="00B15AF7" w:rsidRPr="00781774" w:rsidRDefault="00B15AF7" w:rsidP="009457A2">
      <w:pPr>
        <w:pStyle w:val="1"/>
        <w:numPr>
          <w:ilvl w:val="0"/>
          <w:numId w:val="0"/>
        </w:numPr>
        <w:spacing w:before="0" w:line="360" w:lineRule="auto"/>
      </w:pPr>
    </w:p>
    <w:p w14:paraId="39C9A3E2" w14:textId="78650535" w:rsidR="00B15AF7" w:rsidRDefault="0053192E" w:rsidP="0053192E">
      <w:pPr>
        <w:pStyle w:val="1"/>
        <w:numPr>
          <w:ilvl w:val="0"/>
          <w:numId w:val="0"/>
        </w:numPr>
        <w:spacing w:before="0" w:line="360" w:lineRule="auto"/>
      </w:pPr>
      <w:r>
        <w:t>[15]</w:t>
      </w:r>
      <w:r>
        <w:tab/>
      </w:r>
      <w:r w:rsidR="00B15AF7" w:rsidRPr="00781774">
        <w:t>A court dealing with a reconsideration application does so with the benefit not only of oral argument made on behalf of the party absent during the initial proceedings but also with the benefit of the facts contained in all the affidavits filed in the matter.</w:t>
      </w:r>
      <w:r w:rsidR="00B15AF7">
        <w:rPr>
          <w:rStyle w:val="FootnoteReference"/>
        </w:rPr>
        <w:footnoteReference w:id="13"/>
      </w:r>
    </w:p>
    <w:p w14:paraId="76BBC685" w14:textId="77777777" w:rsidR="00B15AF7" w:rsidRPr="00781774" w:rsidRDefault="00B15AF7" w:rsidP="009457A2">
      <w:pPr>
        <w:pStyle w:val="1"/>
        <w:numPr>
          <w:ilvl w:val="0"/>
          <w:numId w:val="0"/>
        </w:numPr>
        <w:spacing w:before="0" w:line="360" w:lineRule="auto"/>
      </w:pPr>
    </w:p>
    <w:p w14:paraId="07A0DC4A" w14:textId="6DDDFDF8" w:rsidR="00B15AF7" w:rsidRDefault="0053192E" w:rsidP="0053192E">
      <w:pPr>
        <w:pStyle w:val="1"/>
        <w:numPr>
          <w:ilvl w:val="0"/>
          <w:numId w:val="0"/>
        </w:numPr>
        <w:spacing w:before="0" w:line="360" w:lineRule="auto"/>
      </w:pPr>
      <w:r>
        <w:t>[16]</w:t>
      </w:r>
      <w:r>
        <w:tab/>
      </w:r>
      <w:r w:rsidR="00B15AF7" w:rsidRPr="00781774">
        <w:t>There is no exhaustive list or set of facts</w:t>
      </w:r>
      <w:r w:rsidR="00F6019F">
        <w:t>,</w:t>
      </w:r>
      <w:r w:rsidR="00B15AF7" w:rsidRPr="00781774">
        <w:t xml:space="preserve"> which a court must take into consideration when addressing a reconsideration application.  Each case will turn on its own facts and </w:t>
      </w:r>
      <w:r w:rsidR="00740D63">
        <w:t>‘</w:t>
      </w:r>
      <w:r w:rsidR="00B15AF7" w:rsidRPr="00781774">
        <w:t xml:space="preserve">the </w:t>
      </w:r>
      <w:r w:rsidR="00E3712B" w:rsidRPr="00E3712B">
        <w:rPr>
          <w:bCs/>
        </w:rPr>
        <w:t>peculiarities</w:t>
      </w:r>
      <w:r w:rsidR="00B15AF7" w:rsidRPr="00781774">
        <w:t xml:space="preserve"> inherent therein</w:t>
      </w:r>
      <w:r w:rsidR="00740D63">
        <w:t>’</w:t>
      </w:r>
      <w:r w:rsidR="00B15AF7" w:rsidRPr="00781774">
        <w:t>.</w:t>
      </w:r>
      <w:r w:rsidR="00B15AF7">
        <w:rPr>
          <w:rStyle w:val="FootnoteReference"/>
        </w:rPr>
        <w:footnoteReference w:id="14"/>
      </w:r>
    </w:p>
    <w:p w14:paraId="610CC23A" w14:textId="77777777" w:rsidR="00B15AF7" w:rsidRPr="00781774" w:rsidRDefault="00B15AF7" w:rsidP="009457A2">
      <w:pPr>
        <w:pStyle w:val="1"/>
        <w:numPr>
          <w:ilvl w:val="0"/>
          <w:numId w:val="0"/>
        </w:numPr>
        <w:spacing w:before="0" w:line="360" w:lineRule="auto"/>
      </w:pPr>
    </w:p>
    <w:p w14:paraId="3320F453" w14:textId="75F5B2EC" w:rsidR="00B15AF7" w:rsidRDefault="0053192E" w:rsidP="0053192E">
      <w:pPr>
        <w:pStyle w:val="1"/>
        <w:numPr>
          <w:ilvl w:val="0"/>
          <w:numId w:val="0"/>
        </w:numPr>
        <w:spacing w:before="0" w:line="360" w:lineRule="auto"/>
      </w:pPr>
      <w:r>
        <w:t>[17]</w:t>
      </w:r>
      <w:r>
        <w:tab/>
      </w:r>
      <w:r w:rsidR="00B15AF7" w:rsidRPr="00781774">
        <w:t xml:space="preserve">Of importance, the </w:t>
      </w:r>
      <w:r w:rsidR="00B15AF7">
        <w:t>c</w:t>
      </w:r>
      <w:r w:rsidR="00B15AF7" w:rsidRPr="00781774">
        <w:t>ourt must consider the circumstances emanating from the execution of the court order.</w:t>
      </w:r>
      <w:r w:rsidR="00B15AF7">
        <w:rPr>
          <w:rStyle w:val="FootnoteReference"/>
        </w:rPr>
        <w:footnoteReference w:id="15"/>
      </w:r>
    </w:p>
    <w:p w14:paraId="05038EC2" w14:textId="77777777" w:rsidR="00B15AF7" w:rsidRDefault="00B15AF7" w:rsidP="009457A2">
      <w:pPr>
        <w:pStyle w:val="1"/>
        <w:numPr>
          <w:ilvl w:val="0"/>
          <w:numId w:val="0"/>
        </w:numPr>
        <w:spacing w:before="0" w:line="360" w:lineRule="auto"/>
      </w:pPr>
    </w:p>
    <w:p w14:paraId="245A48F0" w14:textId="410AA696" w:rsidR="00B15AF7" w:rsidRPr="005F5585" w:rsidRDefault="00B15AF7" w:rsidP="009457A2">
      <w:pPr>
        <w:pStyle w:val="Heading3"/>
        <w:spacing w:before="0" w:line="360" w:lineRule="auto"/>
        <w:rPr>
          <w:b/>
          <w:u w:val="none"/>
          <w:lang w:val="en-GB"/>
        </w:rPr>
      </w:pPr>
      <w:r w:rsidRPr="005F5585">
        <w:rPr>
          <w:b/>
          <w:u w:val="none"/>
          <w:lang w:val="en-GB"/>
        </w:rPr>
        <w:t xml:space="preserve">Analysis of the reconsideration application </w:t>
      </w:r>
    </w:p>
    <w:p w14:paraId="5957B47D" w14:textId="26A729A7" w:rsidR="00B15AF7" w:rsidRDefault="0053192E" w:rsidP="0053192E">
      <w:pPr>
        <w:pStyle w:val="1"/>
        <w:numPr>
          <w:ilvl w:val="0"/>
          <w:numId w:val="0"/>
        </w:numPr>
        <w:spacing w:before="0" w:line="360" w:lineRule="auto"/>
      </w:pPr>
      <w:r>
        <w:t>[18]</w:t>
      </w:r>
      <w:r>
        <w:tab/>
      </w:r>
      <w:r w:rsidR="00B15AF7">
        <w:t xml:space="preserve">The respondent submits that the applicant failed to place material facts and evidence before Mossop J when </w:t>
      </w:r>
      <w:r w:rsidR="00045FFE">
        <w:t xml:space="preserve">he </w:t>
      </w:r>
      <w:r w:rsidR="00B15AF7">
        <w:t>sought the PMB order.</w:t>
      </w:r>
      <w:r w:rsidR="009457A2">
        <w:t xml:space="preserve"> </w:t>
      </w:r>
      <w:r w:rsidR="00B15AF7">
        <w:t xml:space="preserve">These omitted facts emanate from the following </w:t>
      </w:r>
      <w:r w:rsidR="00D15C40">
        <w:t xml:space="preserve">chronology </w:t>
      </w:r>
      <w:r w:rsidR="00B15AF7">
        <w:t>of event</w:t>
      </w:r>
      <w:r w:rsidR="00A8569E">
        <w:t>s</w:t>
      </w:r>
      <w:r w:rsidR="00524A3B">
        <w:t xml:space="preserve"> as described hereunder.</w:t>
      </w:r>
    </w:p>
    <w:p w14:paraId="7664C4C9" w14:textId="77777777" w:rsidR="00B15AF7" w:rsidRDefault="00B15AF7" w:rsidP="009457A2">
      <w:pPr>
        <w:pStyle w:val="1"/>
        <w:numPr>
          <w:ilvl w:val="0"/>
          <w:numId w:val="0"/>
        </w:numPr>
        <w:spacing w:before="0" w:line="360" w:lineRule="auto"/>
      </w:pPr>
    </w:p>
    <w:p w14:paraId="14B41713" w14:textId="4F9F204E" w:rsidR="00B15AF7" w:rsidRDefault="0053192E" w:rsidP="0053192E">
      <w:pPr>
        <w:pStyle w:val="1"/>
        <w:numPr>
          <w:ilvl w:val="0"/>
          <w:numId w:val="0"/>
        </w:numPr>
        <w:spacing w:before="0" w:line="360" w:lineRule="auto"/>
        <w:rPr>
          <w:lang w:eastAsia="x-none"/>
        </w:rPr>
      </w:pPr>
      <w:r>
        <w:rPr>
          <w:lang w:eastAsia="x-none"/>
        </w:rPr>
        <w:t>[19]</w:t>
      </w:r>
      <w:r>
        <w:rPr>
          <w:lang w:eastAsia="x-none"/>
        </w:rPr>
        <w:tab/>
      </w:r>
      <w:r w:rsidR="00B15AF7">
        <w:rPr>
          <w:lang w:eastAsia="x-none"/>
        </w:rPr>
        <w:t>It appears to be common cause between the parties that the Prudential Authority</w:t>
      </w:r>
      <w:r w:rsidR="00B94A62">
        <w:rPr>
          <w:rStyle w:val="FootnoteReference"/>
          <w:lang w:eastAsia="x-none"/>
        </w:rPr>
        <w:footnoteReference w:id="16"/>
      </w:r>
      <w:r w:rsidR="00B15AF7">
        <w:rPr>
          <w:lang w:eastAsia="x-none"/>
        </w:rPr>
        <w:t xml:space="preserve"> refused a further extension of the respondent’s exemption</w:t>
      </w:r>
      <w:r w:rsidR="00D15C40">
        <w:rPr>
          <w:lang w:eastAsia="x-none"/>
        </w:rPr>
        <w:t>,</w:t>
      </w:r>
      <w:r w:rsidR="00B15AF7">
        <w:rPr>
          <w:lang w:eastAsia="x-none"/>
        </w:rPr>
        <w:t xml:space="preserve"> which</w:t>
      </w:r>
      <w:r w:rsidR="00524A3B">
        <w:rPr>
          <w:lang w:eastAsia="x-none"/>
        </w:rPr>
        <w:t xml:space="preserve"> exemption</w:t>
      </w:r>
      <w:r w:rsidR="00B15AF7">
        <w:rPr>
          <w:lang w:eastAsia="x-none"/>
        </w:rPr>
        <w:t xml:space="preserve"> permitted the respondent</w:t>
      </w:r>
      <w:r w:rsidR="009457A2">
        <w:rPr>
          <w:lang w:eastAsia="x-none"/>
        </w:rPr>
        <w:t xml:space="preserve"> </w:t>
      </w:r>
      <w:r w:rsidR="00B15AF7">
        <w:rPr>
          <w:lang w:eastAsia="x-none"/>
        </w:rPr>
        <w:t xml:space="preserve">to provide </w:t>
      </w:r>
      <w:r w:rsidR="00524A3B">
        <w:rPr>
          <w:lang w:eastAsia="x-none"/>
        </w:rPr>
        <w:t>its</w:t>
      </w:r>
      <w:r w:rsidR="00B15AF7">
        <w:rPr>
          <w:lang w:eastAsia="x-none"/>
        </w:rPr>
        <w:t xml:space="preserve"> various retail banking services</w:t>
      </w:r>
      <w:r w:rsidR="00524A3B">
        <w:rPr>
          <w:lang w:eastAsia="x-none"/>
        </w:rPr>
        <w:t>.</w:t>
      </w:r>
    </w:p>
    <w:p w14:paraId="658E1D8F" w14:textId="77777777" w:rsidR="00B15AF7" w:rsidRDefault="00B15AF7" w:rsidP="009457A2">
      <w:pPr>
        <w:pStyle w:val="1"/>
        <w:numPr>
          <w:ilvl w:val="0"/>
          <w:numId w:val="0"/>
        </w:numPr>
        <w:spacing w:before="0" w:line="360" w:lineRule="auto"/>
        <w:rPr>
          <w:lang w:eastAsia="x-none"/>
        </w:rPr>
      </w:pPr>
    </w:p>
    <w:p w14:paraId="5BE5EA73" w14:textId="1D1F2A1B" w:rsidR="00B15AF7" w:rsidRDefault="0053192E" w:rsidP="0053192E">
      <w:pPr>
        <w:pStyle w:val="1"/>
        <w:numPr>
          <w:ilvl w:val="0"/>
          <w:numId w:val="0"/>
        </w:numPr>
        <w:spacing w:before="0" w:line="360" w:lineRule="auto"/>
        <w:rPr>
          <w:lang w:eastAsia="x-none"/>
        </w:rPr>
      </w:pPr>
      <w:r>
        <w:rPr>
          <w:lang w:eastAsia="x-none"/>
        </w:rPr>
        <w:t>[20]</w:t>
      </w:r>
      <w:r>
        <w:rPr>
          <w:lang w:eastAsia="x-none"/>
        </w:rPr>
        <w:tab/>
      </w:r>
      <w:r w:rsidR="00B15AF7">
        <w:rPr>
          <w:lang w:eastAsia="x-none"/>
        </w:rPr>
        <w:t>The respondent argues that during the period of</w:t>
      </w:r>
      <w:r w:rsidR="009457A2">
        <w:rPr>
          <w:lang w:eastAsia="x-none"/>
        </w:rPr>
        <w:t xml:space="preserve"> </w:t>
      </w:r>
      <w:r w:rsidR="00B15AF7">
        <w:rPr>
          <w:lang w:eastAsia="x-none"/>
        </w:rPr>
        <w:t>December 2023, before the PMB order was granted, there were various meetings conducted with the Prudential Authority during which the Prudential Authority expressed its intention to appoint the applicant as the repayment administrator.</w:t>
      </w:r>
      <w:r w:rsidR="00B15AF7">
        <w:rPr>
          <w:rStyle w:val="FootnoteReference"/>
          <w:lang w:eastAsia="x-none"/>
        </w:rPr>
        <w:footnoteReference w:id="17"/>
      </w:r>
    </w:p>
    <w:p w14:paraId="69349448" w14:textId="77777777" w:rsidR="00B15AF7" w:rsidRDefault="00B15AF7" w:rsidP="009457A2">
      <w:pPr>
        <w:pStyle w:val="1"/>
        <w:numPr>
          <w:ilvl w:val="0"/>
          <w:numId w:val="0"/>
        </w:numPr>
        <w:spacing w:before="0" w:line="360" w:lineRule="auto"/>
        <w:rPr>
          <w:lang w:eastAsia="x-none"/>
        </w:rPr>
      </w:pPr>
    </w:p>
    <w:p w14:paraId="1E60209C" w14:textId="6562DF58" w:rsidR="00B15AF7" w:rsidRPr="00060DE8" w:rsidRDefault="0053192E" w:rsidP="0053192E">
      <w:pPr>
        <w:pStyle w:val="1"/>
        <w:numPr>
          <w:ilvl w:val="0"/>
          <w:numId w:val="0"/>
        </w:numPr>
        <w:spacing w:before="0" w:line="360" w:lineRule="auto"/>
        <w:rPr>
          <w:lang w:eastAsia="x-none"/>
        </w:rPr>
      </w:pPr>
      <w:r w:rsidRPr="00060DE8">
        <w:rPr>
          <w:lang w:eastAsia="x-none"/>
        </w:rPr>
        <w:t>[21]</w:t>
      </w:r>
      <w:r w:rsidRPr="00060DE8">
        <w:rPr>
          <w:lang w:eastAsia="x-none"/>
        </w:rPr>
        <w:tab/>
      </w:r>
      <w:r w:rsidR="00B15AF7">
        <w:rPr>
          <w:lang w:eastAsia="x-none"/>
        </w:rPr>
        <w:t>The respondent submits</w:t>
      </w:r>
      <w:r w:rsidR="009457A2">
        <w:rPr>
          <w:lang w:eastAsia="x-none"/>
        </w:rPr>
        <w:t xml:space="preserve"> </w:t>
      </w:r>
      <w:r w:rsidR="00B15AF7">
        <w:rPr>
          <w:lang w:eastAsia="x-none"/>
        </w:rPr>
        <w:t xml:space="preserve">that during such meetings the Prudential Authority described the role and function of the repayment administrator as being a </w:t>
      </w:r>
      <w:r w:rsidR="00060DE8" w:rsidRPr="00060DE8">
        <w:rPr>
          <w:iCs w:val="0"/>
          <w:lang w:eastAsia="x-none"/>
        </w:rPr>
        <w:t>‘</w:t>
      </w:r>
      <w:r w:rsidR="00B15AF7" w:rsidRPr="006B7993">
        <w:rPr>
          <w:i/>
          <w:iCs w:val="0"/>
          <w:lang w:eastAsia="x-none"/>
        </w:rPr>
        <w:t>re-purposed repayment administrator</w:t>
      </w:r>
      <w:r w:rsidR="00060DE8" w:rsidRPr="00060DE8">
        <w:rPr>
          <w:iCs w:val="0"/>
          <w:lang w:eastAsia="x-none"/>
        </w:rPr>
        <w:t>’</w:t>
      </w:r>
      <w:r w:rsidR="00B15AF7" w:rsidRPr="00060DE8">
        <w:rPr>
          <w:iCs w:val="0"/>
          <w:lang w:eastAsia="x-none"/>
        </w:rPr>
        <w:t>.</w:t>
      </w:r>
      <w:r w:rsidR="00B15AF7" w:rsidRPr="00060DE8">
        <w:rPr>
          <w:rStyle w:val="FootnoteReference"/>
          <w:iCs w:val="0"/>
          <w:lang w:eastAsia="x-none"/>
        </w:rPr>
        <w:footnoteReference w:id="18"/>
      </w:r>
    </w:p>
    <w:p w14:paraId="435A1912" w14:textId="77777777" w:rsidR="00B15AF7" w:rsidRPr="003506BB" w:rsidRDefault="00B15AF7" w:rsidP="009457A2">
      <w:pPr>
        <w:pStyle w:val="1"/>
        <w:numPr>
          <w:ilvl w:val="0"/>
          <w:numId w:val="0"/>
        </w:numPr>
        <w:spacing w:before="0" w:line="360" w:lineRule="auto"/>
        <w:rPr>
          <w:lang w:eastAsia="x-none"/>
        </w:rPr>
      </w:pPr>
    </w:p>
    <w:p w14:paraId="68CFCA8D" w14:textId="3E5F3436" w:rsidR="00B15AF7" w:rsidRDefault="0053192E" w:rsidP="0053192E">
      <w:pPr>
        <w:pStyle w:val="1"/>
        <w:numPr>
          <w:ilvl w:val="0"/>
          <w:numId w:val="0"/>
        </w:numPr>
        <w:spacing w:before="0" w:line="360" w:lineRule="auto"/>
      </w:pPr>
      <w:r>
        <w:t>[22]</w:t>
      </w:r>
      <w:r>
        <w:tab/>
      </w:r>
      <w:r w:rsidR="00B15AF7">
        <w:t xml:space="preserve">The respondent argues that it was advised by the Prudential Authority that the repayment administrator was merely a caretaker. It </w:t>
      </w:r>
      <w:r w:rsidR="00524A3B">
        <w:t>further submits</w:t>
      </w:r>
      <w:r w:rsidR="00B15AF7">
        <w:t xml:space="preserve"> that the Prudential Authority unambiguously acknowledged that salaries and remittances that are currently paid through the respondent would suffer no disruption and that the repayment administrator would ensure that such monies are received and released. </w:t>
      </w:r>
    </w:p>
    <w:p w14:paraId="026D61AE" w14:textId="77777777" w:rsidR="00B15AF7" w:rsidRDefault="00B15AF7" w:rsidP="009457A2">
      <w:pPr>
        <w:pStyle w:val="1"/>
        <w:numPr>
          <w:ilvl w:val="0"/>
          <w:numId w:val="0"/>
        </w:numPr>
        <w:spacing w:before="0" w:line="360" w:lineRule="auto"/>
      </w:pPr>
    </w:p>
    <w:p w14:paraId="069A60D0" w14:textId="747B6F06" w:rsidR="00B15AF7" w:rsidRDefault="0053192E" w:rsidP="0053192E">
      <w:pPr>
        <w:pStyle w:val="1"/>
        <w:numPr>
          <w:ilvl w:val="0"/>
          <w:numId w:val="0"/>
        </w:numPr>
        <w:spacing w:before="0" w:line="360" w:lineRule="auto"/>
      </w:pPr>
      <w:r>
        <w:t>[23]</w:t>
      </w:r>
      <w:r>
        <w:tab/>
      </w:r>
      <w:r w:rsidR="00B15AF7">
        <w:t xml:space="preserve">It contends that the Prudential Authority assured </w:t>
      </w:r>
      <w:r w:rsidR="002102E0">
        <w:t xml:space="preserve">the respondent </w:t>
      </w:r>
      <w:r w:rsidR="00B15AF7">
        <w:t>that it would not be required to stop taking deposits and thus it continued with its deposit taking activities whilst under the supervision of the applicant as the repayment administrator.</w:t>
      </w:r>
    </w:p>
    <w:p w14:paraId="5C9FE254" w14:textId="77777777" w:rsidR="00B15AF7" w:rsidRDefault="00B15AF7" w:rsidP="009457A2">
      <w:pPr>
        <w:pStyle w:val="1"/>
        <w:numPr>
          <w:ilvl w:val="0"/>
          <w:numId w:val="0"/>
        </w:numPr>
        <w:spacing w:before="0" w:line="360" w:lineRule="auto"/>
      </w:pPr>
    </w:p>
    <w:p w14:paraId="6B80BA04" w14:textId="3B5CDC47" w:rsidR="00B15AF7" w:rsidRDefault="0053192E" w:rsidP="0053192E">
      <w:pPr>
        <w:pStyle w:val="1"/>
        <w:numPr>
          <w:ilvl w:val="0"/>
          <w:numId w:val="0"/>
        </w:numPr>
        <w:spacing w:before="0" w:line="360" w:lineRule="auto"/>
      </w:pPr>
      <w:r>
        <w:t>[24]</w:t>
      </w:r>
      <w:r>
        <w:tab/>
      </w:r>
      <w:r w:rsidR="00B15AF7">
        <w:t>The applicant was appointed as the repayment administrator on 18 December 2023.</w:t>
      </w:r>
      <w:r w:rsidR="00B15AF7">
        <w:rPr>
          <w:rStyle w:val="FootnoteReference"/>
        </w:rPr>
        <w:footnoteReference w:id="19"/>
      </w:r>
    </w:p>
    <w:p w14:paraId="1BEF05FC" w14:textId="77777777" w:rsidR="00B15AF7" w:rsidRDefault="00B15AF7" w:rsidP="009457A2">
      <w:pPr>
        <w:pStyle w:val="1"/>
        <w:numPr>
          <w:ilvl w:val="0"/>
          <w:numId w:val="0"/>
        </w:numPr>
        <w:spacing w:before="0" w:line="360" w:lineRule="auto"/>
      </w:pPr>
    </w:p>
    <w:p w14:paraId="446D1CF8" w14:textId="4FC45E27" w:rsidR="00B15AF7" w:rsidRDefault="0053192E" w:rsidP="0053192E">
      <w:pPr>
        <w:pStyle w:val="1"/>
        <w:numPr>
          <w:ilvl w:val="0"/>
          <w:numId w:val="0"/>
        </w:numPr>
        <w:spacing w:before="0" w:line="360" w:lineRule="auto"/>
      </w:pPr>
      <w:r>
        <w:t>[25]</w:t>
      </w:r>
      <w:r>
        <w:tab/>
      </w:r>
      <w:r w:rsidR="00B15AF7">
        <w:t>However, despite the theme of the discussions as described by the respondent</w:t>
      </w:r>
      <w:r w:rsidR="00104CC7">
        <w:t>,</w:t>
      </w:r>
      <w:r w:rsidR="00B15AF7">
        <w:t xml:space="preserve"> between itself and Prudential Authority, the respondent ultimately institute</w:t>
      </w:r>
      <w:r w:rsidR="00104CC7">
        <w:t>d</w:t>
      </w:r>
      <w:r w:rsidR="00B15AF7">
        <w:t xml:space="preserve"> an urgent application against the Prudential Authority in the </w:t>
      </w:r>
      <w:r w:rsidR="00BA1FCB">
        <w:t xml:space="preserve">Gauteng Division of the High Court, </w:t>
      </w:r>
      <w:r w:rsidR="00B15AF7">
        <w:t>Pretoria</w:t>
      </w:r>
      <w:r w:rsidR="00BA1FCB">
        <w:t>,</w:t>
      </w:r>
      <w:r w:rsidR="00B15AF7">
        <w:t xml:space="preserve"> under </w:t>
      </w:r>
      <w:r w:rsidR="00827F94">
        <w:t>case no</w:t>
      </w:r>
      <w:r w:rsidR="00B15AF7">
        <w:t>. 2023/123161</w:t>
      </w:r>
      <w:r w:rsidR="00BA1FCB">
        <w:t>,</w:t>
      </w:r>
      <w:r w:rsidR="00B15AF7">
        <w:t xml:space="preserve"> in which it sought an order suspending the wind</w:t>
      </w:r>
      <w:r w:rsidR="00104CC7">
        <w:t>ing</w:t>
      </w:r>
      <w:r w:rsidR="00B15AF7">
        <w:t>-down of its deposit taking activities and the appointment of the applicant as repayment administrator.</w:t>
      </w:r>
      <w:r w:rsidR="00B15AF7">
        <w:rPr>
          <w:rStyle w:val="FootnoteReference"/>
        </w:rPr>
        <w:footnoteReference w:id="20"/>
      </w:r>
    </w:p>
    <w:p w14:paraId="7EC1CA7B" w14:textId="77777777" w:rsidR="00B15AF7" w:rsidRDefault="00B15AF7" w:rsidP="009457A2">
      <w:pPr>
        <w:pStyle w:val="1"/>
        <w:numPr>
          <w:ilvl w:val="0"/>
          <w:numId w:val="0"/>
        </w:numPr>
        <w:spacing w:before="0" w:line="360" w:lineRule="auto"/>
      </w:pPr>
    </w:p>
    <w:p w14:paraId="28FD3721" w14:textId="685CEB86" w:rsidR="00B15AF7" w:rsidRDefault="0053192E" w:rsidP="0053192E">
      <w:pPr>
        <w:pStyle w:val="1"/>
        <w:numPr>
          <w:ilvl w:val="0"/>
          <w:numId w:val="0"/>
        </w:numPr>
        <w:spacing w:before="0" w:line="360" w:lineRule="auto"/>
      </w:pPr>
      <w:r>
        <w:t>[26]</w:t>
      </w:r>
      <w:r>
        <w:tab/>
      </w:r>
      <w:r w:rsidR="00B15AF7">
        <w:t>Such application was met by a counter urgent application from the Prudential Authority</w:t>
      </w:r>
      <w:r w:rsidR="00BA1FCB">
        <w:t>,</w:t>
      </w:r>
      <w:r w:rsidR="00B15AF7">
        <w:t xml:space="preserve"> under </w:t>
      </w:r>
      <w:r w:rsidR="00BA1FCB">
        <w:t>case no</w:t>
      </w:r>
      <w:r w:rsidR="00B15AF7">
        <w:t>. 2023/123199</w:t>
      </w:r>
      <w:r w:rsidR="00BA1FCB">
        <w:t>,</w:t>
      </w:r>
      <w:r w:rsidR="00B15AF7">
        <w:t xml:space="preserve"> in which it sought confirmation </w:t>
      </w:r>
      <w:r w:rsidR="00BA1FCB">
        <w:t xml:space="preserve">that </w:t>
      </w:r>
      <w:r w:rsidR="00B15AF7">
        <w:t>the final exemption notice had lapsed and the respondent be directed to cooperate with the repayment administrator in respect of further depositing activities.</w:t>
      </w:r>
      <w:r w:rsidR="00B15AF7">
        <w:rPr>
          <w:rStyle w:val="FootnoteReference"/>
        </w:rPr>
        <w:footnoteReference w:id="21"/>
      </w:r>
      <w:r w:rsidR="009457A2">
        <w:t xml:space="preserve"> </w:t>
      </w:r>
    </w:p>
    <w:p w14:paraId="557113A7" w14:textId="77777777" w:rsidR="00B15AF7" w:rsidRDefault="00B15AF7" w:rsidP="009457A2">
      <w:pPr>
        <w:pStyle w:val="1"/>
        <w:numPr>
          <w:ilvl w:val="0"/>
          <w:numId w:val="0"/>
        </w:numPr>
        <w:spacing w:before="0" w:line="360" w:lineRule="auto"/>
      </w:pPr>
    </w:p>
    <w:p w14:paraId="1538A915" w14:textId="5BEE8479" w:rsidR="00B15AF7" w:rsidRDefault="0053192E" w:rsidP="0053192E">
      <w:pPr>
        <w:pStyle w:val="1"/>
        <w:numPr>
          <w:ilvl w:val="0"/>
          <w:numId w:val="0"/>
        </w:numPr>
        <w:spacing w:before="0" w:line="360" w:lineRule="auto"/>
      </w:pPr>
      <w:r>
        <w:lastRenderedPageBreak/>
        <w:t>[27]</w:t>
      </w:r>
      <w:r>
        <w:tab/>
      </w:r>
      <w:r w:rsidR="00B15AF7">
        <w:t xml:space="preserve">Both of these applications were set down for hearing prior to the set down of the applicant’s application for the PMB </w:t>
      </w:r>
      <w:r w:rsidR="00104CC7">
        <w:t>order</w:t>
      </w:r>
      <w:r w:rsidR="00B15AF7">
        <w:t xml:space="preserve">. </w:t>
      </w:r>
    </w:p>
    <w:p w14:paraId="41A32E7D" w14:textId="77777777" w:rsidR="00B15AF7" w:rsidRDefault="00B15AF7" w:rsidP="009457A2">
      <w:pPr>
        <w:pStyle w:val="1"/>
        <w:numPr>
          <w:ilvl w:val="0"/>
          <w:numId w:val="0"/>
        </w:numPr>
        <w:spacing w:before="0" w:line="360" w:lineRule="auto"/>
      </w:pPr>
    </w:p>
    <w:p w14:paraId="39BB5808" w14:textId="0B2D1796" w:rsidR="00B15AF7" w:rsidRDefault="0053192E" w:rsidP="0053192E">
      <w:pPr>
        <w:pStyle w:val="1"/>
        <w:numPr>
          <w:ilvl w:val="0"/>
          <w:numId w:val="0"/>
        </w:numPr>
        <w:spacing w:before="0" w:line="360" w:lineRule="auto"/>
      </w:pPr>
      <w:r>
        <w:t>[28]</w:t>
      </w:r>
      <w:r>
        <w:tab/>
      </w:r>
      <w:r w:rsidR="00B15AF7">
        <w:t>Both applications were consolidated and eventually a consent order was taken between the respondent and the Prudential Authority on 21 December 2023 (</w:t>
      </w:r>
      <w:r w:rsidR="00104CC7">
        <w:t>‘</w:t>
      </w:r>
      <w:r w:rsidR="00B15AF7">
        <w:t xml:space="preserve">the Pretoria </w:t>
      </w:r>
      <w:r w:rsidR="00BA1FCB">
        <w:t>order</w:t>
      </w:r>
      <w:r w:rsidR="00104CC7">
        <w:t>’</w:t>
      </w:r>
      <w:r w:rsidR="00B15AF7">
        <w:t>).</w:t>
      </w:r>
      <w:r w:rsidR="00B15AF7">
        <w:rPr>
          <w:rStyle w:val="FootnoteReference"/>
        </w:rPr>
        <w:footnoteReference w:id="22"/>
      </w:r>
      <w:r w:rsidR="00B15AF7">
        <w:t xml:space="preserve"> </w:t>
      </w:r>
    </w:p>
    <w:p w14:paraId="5C514F20" w14:textId="77777777" w:rsidR="00B15AF7" w:rsidRDefault="00B15AF7" w:rsidP="009457A2">
      <w:pPr>
        <w:pStyle w:val="1"/>
        <w:numPr>
          <w:ilvl w:val="0"/>
          <w:numId w:val="0"/>
        </w:numPr>
        <w:spacing w:before="0" w:line="360" w:lineRule="auto"/>
      </w:pPr>
    </w:p>
    <w:p w14:paraId="632CF6BB" w14:textId="3D2D3A94" w:rsidR="00B15AF7" w:rsidRDefault="0053192E" w:rsidP="0053192E">
      <w:pPr>
        <w:pStyle w:val="1"/>
        <w:numPr>
          <w:ilvl w:val="0"/>
          <w:numId w:val="0"/>
        </w:numPr>
        <w:spacing w:before="0" w:line="360" w:lineRule="auto"/>
      </w:pPr>
      <w:r>
        <w:t>[29]</w:t>
      </w:r>
      <w:r>
        <w:tab/>
      </w:r>
      <w:r w:rsidR="00B15AF7">
        <w:t xml:space="preserve">Before me, the respondent argues that the Pretoria </w:t>
      </w:r>
      <w:r w:rsidR="00BA1FCB">
        <w:t xml:space="preserve">order </w:t>
      </w:r>
      <w:r w:rsidR="00B15AF7">
        <w:t xml:space="preserve">was intended to limit the powers of the applicant and, as such, when the applicant sought the PMB order </w:t>
      </w:r>
      <w:r w:rsidR="00045FFE">
        <w:t xml:space="preserve">he </w:t>
      </w:r>
      <w:r w:rsidR="00B15AF7">
        <w:t xml:space="preserve">did so with the singular purpose to extend </w:t>
      </w:r>
      <w:r w:rsidR="00524A3B">
        <w:t>his</w:t>
      </w:r>
      <w:r w:rsidR="00B15AF7">
        <w:t xml:space="preserve"> powers so </w:t>
      </w:r>
      <w:r w:rsidR="00045FFE">
        <w:t xml:space="preserve">he </w:t>
      </w:r>
      <w:r w:rsidR="00B15AF7">
        <w:t>could act beyond the injunction created by the Pretoria order and imposed</w:t>
      </w:r>
      <w:r w:rsidR="00524A3B">
        <w:t xml:space="preserve"> on him</w:t>
      </w:r>
      <w:r w:rsidR="00B15AF7">
        <w:t xml:space="preserve"> by consent with the Prudential Authority.</w:t>
      </w:r>
    </w:p>
    <w:p w14:paraId="6CFFCFA2" w14:textId="77777777" w:rsidR="00B15AF7" w:rsidRDefault="00B15AF7" w:rsidP="009457A2">
      <w:pPr>
        <w:pStyle w:val="1"/>
        <w:numPr>
          <w:ilvl w:val="0"/>
          <w:numId w:val="0"/>
        </w:numPr>
        <w:spacing w:before="0" w:line="360" w:lineRule="auto"/>
      </w:pPr>
    </w:p>
    <w:p w14:paraId="4F025D3E" w14:textId="2D0BEA6E" w:rsidR="00B15AF7" w:rsidRDefault="0053192E" w:rsidP="0053192E">
      <w:pPr>
        <w:pStyle w:val="1"/>
        <w:numPr>
          <w:ilvl w:val="0"/>
          <w:numId w:val="0"/>
        </w:numPr>
        <w:spacing w:before="0" w:line="360" w:lineRule="auto"/>
      </w:pPr>
      <w:r>
        <w:t>[30]</w:t>
      </w:r>
      <w:r>
        <w:tab/>
      </w:r>
      <w:r w:rsidR="00B15AF7">
        <w:t xml:space="preserve">The respondent further argues that the PMB order was granted under the umbrella of an </w:t>
      </w:r>
      <w:r w:rsidR="00B15AF7">
        <w:rPr>
          <w:i/>
          <w:iCs w:val="0"/>
        </w:rPr>
        <w:t>ex parte</w:t>
      </w:r>
      <w:r w:rsidR="00B15AF7">
        <w:t xml:space="preserve"> application in circumstances where the applicant sought to deal with the role and extent of the applicant’s powers in terms of the Banks Act. This the </w:t>
      </w:r>
      <w:r w:rsidR="002F6B4B">
        <w:t xml:space="preserve">respondent </w:t>
      </w:r>
      <w:r w:rsidR="00B15AF7">
        <w:t>argues was the subject of the issues in the Pretoria litigation when the Pretoria order was granted.</w:t>
      </w:r>
    </w:p>
    <w:p w14:paraId="725C7C74" w14:textId="77777777" w:rsidR="00B15AF7" w:rsidRDefault="00B15AF7" w:rsidP="009457A2">
      <w:pPr>
        <w:pStyle w:val="1"/>
        <w:numPr>
          <w:ilvl w:val="0"/>
          <w:numId w:val="0"/>
        </w:numPr>
        <w:spacing w:before="0" w:line="360" w:lineRule="auto"/>
      </w:pPr>
    </w:p>
    <w:p w14:paraId="28BFF049" w14:textId="5B1AC532" w:rsidR="00B15AF7" w:rsidRDefault="0053192E" w:rsidP="0053192E">
      <w:pPr>
        <w:pStyle w:val="1"/>
        <w:numPr>
          <w:ilvl w:val="0"/>
          <w:numId w:val="0"/>
        </w:numPr>
        <w:spacing w:before="0" w:line="360" w:lineRule="auto"/>
      </w:pPr>
      <w:r>
        <w:t>[31]</w:t>
      </w:r>
      <w:r>
        <w:tab/>
      </w:r>
      <w:r w:rsidR="00B15AF7">
        <w:t>Thus, the respondent submits that the applicant failed to disclose to Mossop J the context and spirit under which the Pretoria</w:t>
      </w:r>
      <w:r w:rsidR="00590F78">
        <w:t xml:space="preserve"> order</w:t>
      </w:r>
      <w:r w:rsidR="00B15AF7">
        <w:t xml:space="preserve"> had been granted. The applicant kept the ‘</w:t>
      </w:r>
      <w:r w:rsidR="00B15AF7" w:rsidRPr="0089055A">
        <w:rPr>
          <w:i/>
          <w:iCs w:val="0"/>
        </w:rPr>
        <w:t>gist’</w:t>
      </w:r>
      <w:r w:rsidR="00B15AF7">
        <w:t xml:space="preserve"> of the Pretoria order a secret.</w:t>
      </w:r>
    </w:p>
    <w:p w14:paraId="6A815759" w14:textId="77777777" w:rsidR="00B15AF7" w:rsidRDefault="00B15AF7" w:rsidP="009457A2">
      <w:pPr>
        <w:pStyle w:val="1"/>
        <w:numPr>
          <w:ilvl w:val="0"/>
          <w:numId w:val="0"/>
        </w:numPr>
        <w:spacing w:before="0" w:line="360" w:lineRule="auto"/>
      </w:pPr>
    </w:p>
    <w:p w14:paraId="6671F569" w14:textId="42734494" w:rsidR="00B15AF7" w:rsidRDefault="0053192E" w:rsidP="0053192E">
      <w:pPr>
        <w:pStyle w:val="1"/>
        <w:numPr>
          <w:ilvl w:val="0"/>
          <w:numId w:val="0"/>
        </w:numPr>
        <w:spacing w:before="0" w:line="360" w:lineRule="auto"/>
      </w:pPr>
      <w:r>
        <w:t>[32]</w:t>
      </w:r>
      <w:r>
        <w:tab/>
      </w:r>
      <w:r w:rsidR="00B15AF7">
        <w:t>The further defences raised by the respondent in its affidavit and its heads of argument</w:t>
      </w:r>
      <w:r w:rsidR="009457A2">
        <w:t xml:space="preserve"> </w:t>
      </w:r>
      <w:r w:rsidR="00F0385B">
        <w:t xml:space="preserve">were </w:t>
      </w:r>
      <w:r w:rsidR="00B15AF7">
        <w:t xml:space="preserve">not persisted with </w:t>
      </w:r>
      <w:r w:rsidR="00590F78">
        <w:t>vigorously</w:t>
      </w:r>
      <w:r w:rsidR="00B15AF7">
        <w:t xml:space="preserve"> before me and correctly so since this remains a live debate in an opposed application in the Pretoria litigation which </w:t>
      </w:r>
      <w:r w:rsidR="00A50BDD">
        <w:t xml:space="preserve">I was advised was </w:t>
      </w:r>
      <w:r w:rsidR="00B15AF7">
        <w:t>set down for hearing on 8 March 2023.</w:t>
      </w:r>
    </w:p>
    <w:p w14:paraId="64A817B5" w14:textId="77777777" w:rsidR="00B15AF7" w:rsidRDefault="00B15AF7" w:rsidP="009457A2">
      <w:pPr>
        <w:pStyle w:val="1"/>
        <w:numPr>
          <w:ilvl w:val="0"/>
          <w:numId w:val="0"/>
        </w:numPr>
        <w:spacing w:before="0" w:line="360" w:lineRule="auto"/>
      </w:pPr>
    </w:p>
    <w:p w14:paraId="6913B6A2" w14:textId="441A5D1F" w:rsidR="00B15AF7" w:rsidRDefault="0053192E" w:rsidP="0053192E">
      <w:pPr>
        <w:pStyle w:val="1"/>
        <w:numPr>
          <w:ilvl w:val="0"/>
          <w:numId w:val="0"/>
        </w:numPr>
        <w:spacing w:before="0" w:line="360" w:lineRule="auto"/>
      </w:pPr>
      <w:r>
        <w:t>[33]</w:t>
      </w:r>
      <w:r>
        <w:tab/>
      </w:r>
      <w:r w:rsidR="00B15AF7">
        <w:t>Before me</w:t>
      </w:r>
      <w:r w:rsidR="00F0385B">
        <w:t>,</w:t>
      </w:r>
      <w:r w:rsidR="00B15AF7">
        <w:t xml:space="preserve"> the respondent advanced the argument that if I concluded that</w:t>
      </w:r>
      <w:r w:rsidR="009457A2">
        <w:t xml:space="preserve"> </w:t>
      </w:r>
      <w:r w:rsidR="00B15AF7">
        <w:t>the application was defective on a procedural basis</w:t>
      </w:r>
      <w:r w:rsidR="009457A2">
        <w:t xml:space="preserve"> </w:t>
      </w:r>
      <w:r w:rsidR="00B15AF7">
        <w:t xml:space="preserve">then it follows that the application for reconsideration should be successful. </w:t>
      </w:r>
    </w:p>
    <w:p w14:paraId="5BF71E34" w14:textId="77777777" w:rsidR="00B15AF7" w:rsidRDefault="00B15AF7" w:rsidP="009457A2">
      <w:pPr>
        <w:pStyle w:val="1"/>
        <w:numPr>
          <w:ilvl w:val="0"/>
          <w:numId w:val="0"/>
        </w:numPr>
        <w:spacing w:before="0" w:line="360" w:lineRule="auto"/>
      </w:pPr>
    </w:p>
    <w:p w14:paraId="10186916" w14:textId="32B425C9" w:rsidR="00B15AF7" w:rsidRDefault="0053192E" w:rsidP="0053192E">
      <w:pPr>
        <w:pStyle w:val="1"/>
        <w:numPr>
          <w:ilvl w:val="0"/>
          <w:numId w:val="0"/>
        </w:numPr>
        <w:spacing w:before="0" w:line="360" w:lineRule="auto"/>
      </w:pPr>
      <w:r>
        <w:lastRenderedPageBreak/>
        <w:t>[34]</w:t>
      </w:r>
      <w:r>
        <w:tab/>
      </w:r>
      <w:r w:rsidR="00B15AF7">
        <w:t>The first procedural defective</w:t>
      </w:r>
      <w:r w:rsidR="009457A2">
        <w:t xml:space="preserve"> </w:t>
      </w:r>
      <w:r w:rsidR="00B15AF7">
        <w:t xml:space="preserve">highlighted was the failure by the applicant to deliver a certificate for the matter to be heard in camera. This is different to a certificate of urgency. </w:t>
      </w:r>
    </w:p>
    <w:p w14:paraId="06922B7D" w14:textId="77777777" w:rsidR="00B15AF7" w:rsidRDefault="00B15AF7" w:rsidP="009457A2">
      <w:pPr>
        <w:pStyle w:val="1"/>
        <w:numPr>
          <w:ilvl w:val="0"/>
          <w:numId w:val="0"/>
        </w:numPr>
        <w:spacing w:before="0" w:line="360" w:lineRule="auto"/>
      </w:pPr>
    </w:p>
    <w:p w14:paraId="53CB6B37" w14:textId="645F2FA8" w:rsidR="00B15AF7" w:rsidRDefault="0053192E" w:rsidP="0053192E">
      <w:pPr>
        <w:pStyle w:val="1"/>
        <w:numPr>
          <w:ilvl w:val="0"/>
          <w:numId w:val="0"/>
        </w:numPr>
        <w:spacing w:before="0" w:line="360" w:lineRule="auto"/>
      </w:pPr>
      <w:r>
        <w:t>[35]</w:t>
      </w:r>
      <w:r>
        <w:tab/>
      </w:r>
      <w:r w:rsidR="00B15AF7">
        <w:t xml:space="preserve">The application which was moved before Mossop J sought as specific relief that the application </w:t>
      </w:r>
      <w:r w:rsidR="00BF7F5E">
        <w:rPr>
          <w:iCs w:val="0"/>
        </w:rPr>
        <w:t>‘</w:t>
      </w:r>
      <w:r w:rsidR="00B15AF7" w:rsidRPr="00A53ED4">
        <w:rPr>
          <w:iCs w:val="0"/>
        </w:rPr>
        <w:t xml:space="preserve">should not be heard in open court, in terms of section 32 of the Superior Courts Act, 2013 (Act No. 10 of 2013 – </w:t>
      </w:r>
      <w:r w:rsidR="00BF7F5E" w:rsidRPr="00A53ED4">
        <w:rPr>
          <w:iCs w:val="0"/>
        </w:rPr>
        <w:t>“</w:t>
      </w:r>
      <w:r w:rsidR="00B15AF7" w:rsidRPr="00A53ED4">
        <w:rPr>
          <w:iCs w:val="0"/>
        </w:rPr>
        <w:t>Superior Courts Act</w:t>
      </w:r>
      <w:r w:rsidR="00BF7F5E" w:rsidRPr="00A53ED4">
        <w:rPr>
          <w:iCs w:val="0"/>
        </w:rPr>
        <w:t>”</w:t>
      </w:r>
      <w:r w:rsidR="00B15AF7">
        <w:rPr>
          <w:i/>
          <w:iCs w:val="0"/>
        </w:rPr>
        <w:t>)</w:t>
      </w:r>
      <w:r w:rsidR="00BF7F5E">
        <w:rPr>
          <w:iCs w:val="0"/>
        </w:rPr>
        <w:t>’</w:t>
      </w:r>
      <w:r w:rsidR="00B15AF7" w:rsidRPr="00BF7F5E">
        <w:rPr>
          <w:iCs w:val="0"/>
        </w:rPr>
        <w:t>.</w:t>
      </w:r>
      <w:r w:rsidR="00B15AF7" w:rsidRPr="00BF7F5E">
        <w:rPr>
          <w:rStyle w:val="FootnoteReference"/>
          <w:iCs w:val="0"/>
        </w:rPr>
        <w:footnoteReference w:id="23"/>
      </w:r>
      <w:r w:rsidR="00BF7F5E" w:rsidRPr="00BF7F5E">
        <w:rPr>
          <w:iCs w:val="0"/>
        </w:rPr>
        <w:t xml:space="preserve"> </w:t>
      </w:r>
      <w:r w:rsidR="00B15AF7">
        <w:t xml:space="preserve">This in fact was the very order granted in the PMB </w:t>
      </w:r>
      <w:r w:rsidR="00BF7F5E">
        <w:t>order</w:t>
      </w:r>
      <w:r w:rsidR="00B15AF7">
        <w:t>.</w:t>
      </w:r>
      <w:r w:rsidR="00B15AF7">
        <w:rPr>
          <w:rStyle w:val="FootnoteReference"/>
        </w:rPr>
        <w:footnoteReference w:id="24"/>
      </w:r>
    </w:p>
    <w:p w14:paraId="785D6F02" w14:textId="77777777" w:rsidR="00B15AF7" w:rsidRDefault="00B15AF7" w:rsidP="009457A2">
      <w:pPr>
        <w:pStyle w:val="1"/>
        <w:numPr>
          <w:ilvl w:val="0"/>
          <w:numId w:val="0"/>
        </w:numPr>
        <w:spacing w:before="0" w:line="360" w:lineRule="auto"/>
      </w:pPr>
    </w:p>
    <w:p w14:paraId="21421AC0" w14:textId="3F7AC833" w:rsidR="00B15AF7" w:rsidRDefault="0053192E" w:rsidP="0053192E">
      <w:pPr>
        <w:pStyle w:val="1"/>
        <w:numPr>
          <w:ilvl w:val="0"/>
          <w:numId w:val="0"/>
        </w:numPr>
        <w:spacing w:before="0" w:line="360" w:lineRule="auto"/>
      </w:pPr>
      <w:r>
        <w:t>[36]</w:t>
      </w:r>
      <w:r>
        <w:tab/>
      </w:r>
      <w:r w:rsidR="00B15AF7">
        <w:t xml:space="preserve">During the proceedings I enquired from the applicant’s </w:t>
      </w:r>
      <w:r w:rsidR="00FD79B0">
        <w:t xml:space="preserve">counsel </w:t>
      </w:r>
      <w:r w:rsidR="00B15AF7">
        <w:t>as to whether such a certificate had been delivered. I was advised</w:t>
      </w:r>
      <w:r w:rsidR="009457A2">
        <w:t xml:space="preserve"> </w:t>
      </w:r>
      <w:r w:rsidR="00B15AF7">
        <w:t xml:space="preserve">that such certificate had not been delivered but the applicant submitted that </w:t>
      </w:r>
      <w:r w:rsidR="00C8294E">
        <w:t xml:space="preserve">such </w:t>
      </w:r>
      <w:r w:rsidR="00FD79B0">
        <w:t xml:space="preserve">a certificate </w:t>
      </w:r>
      <w:r w:rsidR="00B15AF7">
        <w:t>was no</w:t>
      </w:r>
      <w:r w:rsidR="00FD79B0">
        <w:t>t</w:t>
      </w:r>
      <w:r w:rsidR="00B15AF7">
        <w:t xml:space="preserve"> </w:t>
      </w:r>
      <w:r w:rsidR="00FD79B0">
        <w:t xml:space="preserve">needed, </w:t>
      </w:r>
      <w:r w:rsidR="00B15AF7">
        <w:t xml:space="preserve">since the matter was ultimately heard in </w:t>
      </w:r>
      <w:r w:rsidR="00FD79B0">
        <w:t xml:space="preserve">open </w:t>
      </w:r>
      <w:r w:rsidR="00B15AF7">
        <w:t>court. It was not disputed by the applicant that such a certificate would</w:t>
      </w:r>
      <w:r w:rsidR="00A50BDD">
        <w:t xml:space="preserve"> be</w:t>
      </w:r>
      <w:r w:rsidR="00B15AF7">
        <w:t xml:space="preserve"> necessary if the proceedings were in fact </w:t>
      </w:r>
      <w:r w:rsidR="00B15AF7" w:rsidRPr="001F5281">
        <w:rPr>
          <w:i/>
          <w:iCs w:val="0"/>
        </w:rPr>
        <w:t>in camera</w:t>
      </w:r>
      <w:r w:rsidR="00B15AF7">
        <w:rPr>
          <w:i/>
          <w:iCs w:val="0"/>
        </w:rPr>
        <w:t xml:space="preserve"> </w:t>
      </w:r>
      <w:r w:rsidR="00B15AF7" w:rsidRPr="001F5281">
        <w:t xml:space="preserve">and </w:t>
      </w:r>
      <w:r w:rsidR="00A50BDD">
        <w:t xml:space="preserve">that such certificate </w:t>
      </w:r>
      <w:r w:rsidR="00B15AF7" w:rsidRPr="001F5281">
        <w:t xml:space="preserve">was a procedural requirement. </w:t>
      </w:r>
    </w:p>
    <w:p w14:paraId="1EE48615" w14:textId="77777777" w:rsidR="00B15AF7" w:rsidRPr="001F5281" w:rsidRDefault="00B15AF7" w:rsidP="009457A2">
      <w:pPr>
        <w:pStyle w:val="1"/>
        <w:numPr>
          <w:ilvl w:val="0"/>
          <w:numId w:val="0"/>
        </w:numPr>
        <w:spacing w:before="0" w:line="360" w:lineRule="auto"/>
      </w:pPr>
    </w:p>
    <w:p w14:paraId="3B1AF3A4" w14:textId="74D8E29E" w:rsidR="00B15AF7" w:rsidRDefault="0053192E" w:rsidP="0053192E">
      <w:pPr>
        <w:pStyle w:val="1"/>
        <w:numPr>
          <w:ilvl w:val="0"/>
          <w:numId w:val="0"/>
        </w:numPr>
        <w:spacing w:before="0" w:line="360" w:lineRule="auto"/>
      </w:pPr>
      <w:r>
        <w:t>[37]</w:t>
      </w:r>
      <w:r>
        <w:tab/>
      </w:r>
      <w:r w:rsidR="00B15AF7">
        <w:t xml:space="preserve">Where an application is heard </w:t>
      </w:r>
      <w:r w:rsidR="00B15AF7" w:rsidRPr="001F5281">
        <w:rPr>
          <w:i/>
          <w:iCs w:val="0"/>
        </w:rPr>
        <w:t>in camera</w:t>
      </w:r>
      <w:r w:rsidR="00B15AF7">
        <w:t xml:space="preserve">, a certificate must be delivered by the counsel appearing expressing the view that it is in the interests of justice that the matter be heard </w:t>
      </w:r>
      <w:r w:rsidR="00B15AF7" w:rsidRPr="001F5281">
        <w:rPr>
          <w:i/>
          <w:iCs w:val="0"/>
        </w:rPr>
        <w:t>in camera</w:t>
      </w:r>
      <w:r w:rsidR="00B15AF7">
        <w:t>.</w:t>
      </w:r>
      <w:r w:rsidR="00B15AF7">
        <w:rPr>
          <w:rStyle w:val="FootnoteReference"/>
        </w:rPr>
        <w:footnoteReference w:id="25"/>
      </w:r>
    </w:p>
    <w:p w14:paraId="7E40C4A2" w14:textId="77777777" w:rsidR="00B15AF7" w:rsidRDefault="00B15AF7" w:rsidP="009457A2">
      <w:pPr>
        <w:pStyle w:val="1"/>
        <w:numPr>
          <w:ilvl w:val="0"/>
          <w:numId w:val="0"/>
        </w:numPr>
        <w:spacing w:before="0" w:line="360" w:lineRule="auto"/>
      </w:pPr>
    </w:p>
    <w:p w14:paraId="53C15CD3" w14:textId="6F784AC2" w:rsidR="00B15AF7" w:rsidRDefault="0053192E" w:rsidP="0053192E">
      <w:pPr>
        <w:pStyle w:val="1"/>
        <w:numPr>
          <w:ilvl w:val="0"/>
          <w:numId w:val="0"/>
        </w:numPr>
        <w:spacing w:before="0" w:line="360" w:lineRule="auto"/>
      </w:pPr>
      <w:r>
        <w:t>[38]</w:t>
      </w:r>
      <w:r>
        <w:tab/>
      </w:r>
      <w:r w:rsidR="00B15AF7">
        <w:t xml:space="preserve">In respect of </w:t>
      </w:r>
      <w:r w:rsidR="00B15AF7" w:rsidRPr="00EE0626">
        <w:rPr>
          <w:i/>
          <w:iCs w:val="0"/>
        </w:rPr>
        <w:t>in camera</w:t>
      </w:r>
      <w:r w:rsidR="00B15AF7">
        <w:t xml:space="preserve"> applications relating to Anton Piller orders, the absence of such certificate disentitles the applicant to the relief which they seek.</w:t>
      </w:r>
      <w:r w:rsidR="00B15AF7">
        <w:rPr>
          <w:rStyle w:val="FootnoteReference"/>
        </w:rPr>
        <w:footnoteReference w:id="26"/>
      </w:r>
      <w:r w:rsidR="00B15AF7">
        <w:t xml:space="preserve"> </w:t>
      </w:r>
      <w:r w:rsidR="00A50BDD">
        <w:t>The same would apply to any other proceedings which are intended to be dealt with in camera.</w:t>
      </w:r>
      <w:r w:rsidR="00F56654">
        <w:rPr>
          <w:rStyle w:val="FootnoteReference"/>
        </w:rPr>
        <w:footnoteReference w:id="27"/>
      </w:r>
      <w:r w:rsidR="00F56654">
        <w:t xml:space="preserve"> </w:t>
      </w:r>
      <w:r w:rsidR="00B15AF7">
        <w:t xml:space="preserve">Before any relief was obtained on the 23 December 2023, for the urgent application to be heard in camera, </w:t>
      </w:r>
      <w:r w:rsidR="00C8294E">
        <w:t xml:space="preserve">the filing of </w:t>
      </w:r>
      <w:r w:rsidR="00B15AF7">
        <w:t>such a certificate would have been necessary.</w:t>
      </w:r>
    </w:p>
    <w:p w14:paraId="39BAF5C6" w14:textId="77777777" w:rsidR="00C8294E" w:rsidRDefault="00C8294E" w:rsidP="00C8294E">
      <w:pPr>
        <w:ind w:left="360" w:hanging="360"/>
      </w:pPr>
    </w:p>
    <w:p w14:paraId="0AADA57F" w14:textId="77777777" w:rsidR="00B15AF7" w:rsidRDefault="00B15AF7" w:rsidP="009457A2">
      <w:pPr>
        <w:pStyle w:val="1"/>
        <w:numPr>
          <w:ilvl w:val="0"/>
          <w:numId w:val="0"/>
        </w:numPr>
        <w:spacing w:before="0" w:line="360" w:lineRule="auto"/>
      </w:pPr>
    </w:p>
    <w:p w14:paraId="12EF2A45" w14:textId="2D1A92A3" w:rsidR="00B15AF7" w:rsidRDefault="0053192E" w:rsidP="0053192E">
      <w:pPr>
        <w:pStyle w:val="1"/>
        <w:numPr>
          <w:ilvl w:val="0"/>
          <w:numId w:val="0"/>
        </w:numPr>
        <w:spacing w:before="0" w:line="360" w:lineRule="auto"/>
      </w:pPr>
      <w:r>
        <w:lastRenderedPageBreak/>
        <w:t>[39]</w:t>
      </w:r>
      <w:r>
        <w:tab/>
      </w:r>
      <w:r w:rsidR="00B15AF7">
        <w:t xml:space="preserve">The applicant purposefully sought direction from the court for these proceedings to be carried out </w:t>
      </w:r>
      <w:r w:rsidR="00B15AF7" w:rsidRPr="00EE0626">
        <w:rPr>
          <w:i/>
          <w:iCs w:val="0"/>
        </w:rPr>
        <w:t xml:space="preserve">in camera </w:t>
      </w:r>
      <w:r w:rsidR="00B15AF7">
        <w:t>in terms of section 32 of the Superior Courts Act.</w:t>
      </w:r>
      <w:r w:rsidR="009457A2">
        <w:t xml:space="preserve"> </w:t>
      </w:r>
      <w:r w:rsidR="00B15AF7">
        <w:t>Before me</w:t>
      </w:r>
      <w:r w:rsidR="004F0AEE">
        <w:t>,</w:t>
      </w:r>
      <w:r w:rsidR="00B15AF7">
        <w:t xml:space="preserve"> the applicant submitted that the proceedings</w:t>
      </w:r>
      <w:r w:rsidR="009457A2">
        <w:t xml:space="preserve"> </w:t>
      </w:r>
      <w:r w:rsidR="00B15AF7">
        <w:t xml:space="preserve">before Mossop J were held in a </w:t>
      </w:r>
      <w:r w:rsidR="004F0AEE">
        <w:t>courtroom</w:t>
      </w:r>
      <w:r w:rsidR="00B15AF7">
        <w:t xml:space="preserve"> and it was recorded. </w:t>
      </w:r>
      <w:r w:rsidR="004F0AEE">
        <w:t>T</w:t>
      </w:r>
      <w:r w:rsidR="00B15AF7">
        <w:t xml:space="preserve">he argument advance by the applicant was that the </w:t>
      </w:r>
      <w:r w:rsidR="00C8294E">
        <w:t xml:space="preserve">application </w:t>
      </w:r>
      <w:r w:rsidR="00B15AF7">
        <w:t>w</w:t>
      </w:r>
      <w:r w:rsidR="00C8294E">
        <w:t xml:space="preserve">as </w:t>
      </w:r>
      <w:r w:rsidR="00B15AF7">
        <w:t>not</w:t>
      </w:r>
      <w:r w:rsidR="00C8294E">
        <w:t xml:space="preserve"> heard </w:t>
      </w:r>
      <w:r w:rsidR="00B15AF7">
        <w:t xml:space="preserve"> </w:t>
      </w:r>
      <w:r w:rsidR="00B15AF7" w:rsidRPr="00596E2D">
        <w:rPr>
          <w:i/>
          <w:iCs w:val="0"/>
        </w:rPr>
        <w:t>in camera</w:t>
      </w:r>
      <w:r w:rsidR="00B15AF7">
        <w:t xml:space="preserve">. </w:t>
      </w:r>
    </w:p>
    <w:p w14:paraId="0BD32D6A" w14:textId="77777777" w:rsidR="00B15AF7" w:rsidRDefault="00B15AF7" w:rsidP="009457A2">
      <w:pPr>
        <w:pStyle w:val="1"/>
        <w:numPr>
          <w:ilvl w:val="0"/>
          <w:numId w:val="0"/>
        </w:numPr>
        <w:spacing w:before="0" w:line="360" w:lineRule="auto"/>
      </w:pPr>
    </w:p>
    <w:p w14:paraId="7A275CB3" w14:textId="1E0E7E93" w:rsidR="00B15AF7" w:rsidRDefault="0053192E" w:rsidP="0053192E">
      <w:pPr>
        <w:pStyle w:val="1"/>
        <w:numPr>
          <w:ilvl w:val="0"/>
          <w:numId w:val="0"/>
        </w:numPr>
        <w:spacing w:before="0" w:line="360" w:lineRule="auto"/>
      </w:pPr>
      <w:r>
        <w:t>[40]</w:t>
      </w:r>
      <w:r>
        <w:tab/>
      </w:r>
      <w:r w:rsidR="00B15AF7">
        <w:t>The mere fact that the application was heard within the confines of a</w:t>
      </w:r>
      <w:r w:rsidR="009457A2">
        <w:t xml:space="preserve"> </w:t>
      </w:r>
      <w:r w:rsidR="004F0AEE">
        <w:t>courtroom</w:t>
      </w:r>
      <w:r w:rsidR="00B15AF7">
        <w:t xml:space="preserve"> does not mean that it was heard in open court. Proceedings in a </w:t>
      </w:r>
      <w:r w:rsidR="004F0AEE">
        <w:t>courtroom</w:t>
      </w:r>
      <w:r w:rsidR="00B15AF7">
        <w:t xml:space="preserve"> are</w:t>
      </w:r>
      <w:r w:rsidR="009457A2">
        <w:t xml:space="preserve"> </w:t>
      </w:r>
      <w:r w:rsidR="00B15AF7" w:rsidRPr="00EE0626">
        <w:rPr>
          <w:i/>
          <w:iCs w:val="0"/>
        </w:rPr>
        <w:t>in camera</w:t>
      </w:r>
      <w:r w:rsidR="00B15AF7">
        <w:t xml:space="preserve"> when effectively members of the public are not permitted to enter the court while it is in session.</w:t>
      </w:r>
      <w:r w:rsidR="00B15AF7">
        <w:rPr>
          <w:rStyle w:val="FootnoteReference"/>
        </w:rPr>
        <w:footnoteReference w:id="28"/>
      </w:r>
    </w:p>
    <w:p w14:paraId="29942F43" w14:textId="77777777" w:rsidR="00B15AF7" w:rsidRDefault="00B15AF7" w:rsidP="009457A2">
      <w:pPr>
        <w:pStyle w:val="1"/>
        <w:numPr>
          <w:ilvl w:val="0"/>
          <w:numId w:val="0"/>
        </w:numPr>
        <w:spacing w:before="0" w:line="360" w:lineRule="auto"/>
      </w:pPr>
    </w:p>
    <w:p w14:paraId="215EE139" w14:textId="3BD2B8F6" w:rsidR="00B15AF7" w:rsidRDefault="0053192E" w:rsidP="0053192E">
      <w:pPr>
        <w:pStyle w:val="1"/>
        <w:numPr>
          <w:ilvl w:val="0"/>
          <w:numId w:val="0"/>
        </w:numPr>
        <w:spacing w:before="0" w:line="360" w:lineRule="auto"/>
      </w:pPr>
      <w:r>
        <w:t>[41]</w:t>
      </w:r>
      <w:r>
        <w:tab/>
      </w:r>
      <w:r w:rsidR="00B15AF7">
        <w:t xml:space="preserve">In accordance with the judgment of </w:t>
      </w:r>
      <w:r w:rsidR="00B15AF7">
        <w:rPr>
          <w:i/>
          <w:iCs w:val="0"/>
        </w:rPr>
        <w:t>Three Cities</w:t>
      </w:r>
      <w:r w:rsidR="004F0AEE" w:rsidRPr="004F0AEE">
        <w:rPr>
          <w:iCs w:val="0"/>
        </w:rPr>
        <w:t>,</w:t>
      </w:r>
      <w:r w:rsidR="00B15AF7" w:rsidRPr="004F0AEE">
        <w:rPr>
          <w:rStyle w:val="FootnoteReference"/>
          <w:iCs w:val="0"/>
        </w:rPr>
        <w:footnoteReference w:id="29"/>
      </w:r>
      <w:r w:rsidR="004F0AEE">
        <w:rPr>
          <w:i/>
          <w:iCs w:val="0"/>
        </w:rPr>
        <w:t xml:space="preserve"> </w:t>
      </w:r>
      <w:r w:rsidR="00B15AF7">
        <w:t xml:space="preserve">for the proceedings before Mossop J to have been heard </w:t>
      </w:r>
      <w:r w:rsidR="00B15AF7">
        <w:rPr>
          <w:i/>
          <w:iCs w:val="0"/>
        </w:rPr>
        <w:t>in camera</w:t>
      </w:r>
      <w:r w:rsidR="00B15AF7">
        <w:t xml:space="preserve"> there ought to have been a certificate filed for an </w:t>
      </w:r>
      <w:r w:rsidR="00B15AF7">
        <w:rPr>
          <w:i/>
          <w:iCs w:val="0"/>
        </w:rPr>
        <w:t>in</w:t>
      </w:r>
      <w:r w:rsidR="004F0AEE">
        <w:rPr>
          <w:i/>
          <w:iCs w:val="0"/>
        </w:rPr>
        <w:t xml:space="preserve"> </w:t>
      </w:r>
      <w:r w:rsidR="00B15AF7">
        <w:rPr>
          <w:i/>
          <w:iCs w:val="0"/>
        </w:rPr>
        <w:t>camera</w:t>
      </w:r>
      <w:r w:rsidR="00B15AF7">
        <w:t xml:space="preserve"> hearing. In </w:t>
      </w:r>
      <w:r w:rsidR="00B15AF7">
        <w:rPr>
          <w:i/>
          <w:iCs w:val="0"/>
        </w:rPr>
        <w:t>Three</w:t>
      </w:r>
      <w:r w:rsidR="009457A2">
        <w:rPr>
          <w:i/>
          <w:iCs w:val="0"/>
        </w:rPr>
        <w:t xml:space="preserve"> </w:t>
      </w:r>
      <w:r w:rsidR="00B15AF7">
        <w:rPr>
          <w:i/>
          <w:iCs w:val="0"/>
        </w:rPr>
        <w:t>Cities</w:t>
      </w:r>
      <w:r w:rsidR="009457A2">
        <w:t xml:space="preserve"> </w:t>
      </w:r>
      <w:r w:rsidR="00B15AF7">
        <w:t xml:space="preserve">the </w:t>
      </w:r>
      <w:r w:rsidR="003039AA">
        <w:t xml:space="preserve">court </w:t>
      </w:r>
      <w:r w:rsidR="00B15AF7">
        <w:t xml:space="preserve">held that in the absence of an </w:t>
      </w:r>
      <w:r w:rsidR="00B15AF7" w:rsidRPr="00596E2D">
        <w:rPr>
          <w:i/>
          <w:iCs w:val="0"/>
        </w:rPr>
        <w:t>in</w:t>
      </w:r>
      <w:r w:rsidR="003039AA">
        <w:rPr>
          <w:i/>
          <w:iCs w:val="0"/>
        </w:rPr>
        <w:t xml:space="preserve"> </w:t>
      </w:r>
      <w:r w:rsidR="00B15AF7" w:rsidRPr="00596E2D">
        <w:rPr>
          <w:i/>
          <w:iCs w:val="0"/>
        </w:rPr>
        <w:t>camera</w:t>
      </w:r>
      <w:r w:rsidR="00B15AF7">
        <w:t xml:space="preserve"> certificate the applicant was not entitled to any relief. On this score alone the reconsideration application should succeed.</w:t>
      </w:r>
    </w:p>
    <w:p w14:paraId="12D13871" w14:textId="77777777" w:rsidR="00B15AF7" w:rsidRDefault="00B15AF7" w:rsidP="009457A2">
      <w:pPr>
        <w:pStyle w:val="1"/>
        <w:numPr>
          <w:ilvl w:val="0"/>
          <w:numId w:val="0"/>
        </w:numPr>
        <w:spacing w:before="0" w:line="360" w:lineRule="auto"/>
      </w:pPr>
    </w:p>
    <w:p w14:paraId="60F84BB2" w14:textId="50B7F22E" w:rsidR="00B15AF7" w:rsidRDefault="0053192E" w:rsidP="0053192E">
      <w:pPr>
        <w:pStyle w:val="1"/>
        <w:numPr>
          <w:ilvl w:val="0"/>
          <w:numId w:val="0"/>
        </w:numPr>
        <w:spacing w:before="0" w:line="360" w:lineRule="auto"/>
      </w:pPr>
      <w:r>
        <w:t>[42]</w:t>
      </w:r>
      <w:r>
        <w:tab/>
      </w:r>
      <w:r w:rsidR="00B15AF7">
        <w:t xml:space="preserve">However, the difficulties </w:t>
      </w:r>
      <w:r w:rsidR="00FF21C7">
        <w:t xml:space="preserve">that </w:t>
      </w:r>
      <w:r w:rsidR="00B15AF7">
        <w:t xml:space="preserve">confronted the applicant when </w:t>
      </w:r>
      <w:r w:rsidR="00045FFE">
        <w:t xml:space="preserve">he </w:t>
      </w:r>
      <w:r w:rsidR="00B15AF7">
        <w:t xml:space="preserve">instituted </w:t>
      </w:r>
      <w:r w:rsidR="00045FFE">
        <w:t xml:space="preserve">his </w:t>
      </w:r>
      <w:r w:rsidR="00B15AF7">
        <w:t xml:space="preserve">application </w:t>
      </w:r>
      <w:r w:rsidR="00B15AF7" w:rsidRPr="00BA0FB3">
        <w:rPr>
          <w:i/>
          <w:iCs w:val="0"/>
        </w:rPr>
        <w:t>ex</w:t>
      </w:r>
      <w:r w:rsidR="00FF21C7">
        <w:rPr>
          <w:i/>
          <w:iCs w:val="0"/>
        </w:rPr>
        <w:t xml:space="preserve"> </w:t>
      </w:r>
      <w:r w:rsidR="00B15AF7" w:rsidRPr="00BA0FB3">
        <w:rPr>
          <w:i/>
          <w:iCs w:val="0"/>
        </w:rPr>
        <w:t>parte</w:t>
      </w:r>
      <w:r w:rsidR="00B15AF7">
        <w:t xml:space="preserve"> </w:t>
      </w:r>
      <w:r w:rsidR="00C8294E">
        <w:t>at</w:t>
      </w:r>
      <w:r w:rsidR="00B15AF7">
        <w:t xml:space="preserve"> 8</w:t>
      </w:r>
      <w:r w:rsidR="003039AA">
        <w:t>h</w:t>
      </w:r>
      <w:r w:rsidR="00B15AF7">
        <w:t xml:space="preserve">30 do not end with just the absence of the </w:t>
      </w:r>
      <w:r w:rsidR="00B15AF7">
        <w:rPr>
          <w:i/>
          <w:iCs w:val="0"/>
        </w:rPr>
        <w:t>in</w:t>
      </w:r>
      <w:r w:rsidR="00FF21C7">
        <w:rPr>
          <w:i/>
          <w:iCs w:val="0"/>
        </w:rPr>
        <w:t xml:space="preserve"> </w:t>
      </w:r>
      <w:r w:rsidR="00B15AF7">
        <w:rPr>
          <w:i/>
          <w:iCs w:val="0"/>
        </w:rPr>
        <w:t>camera</w:t>
      </w:r>
      <w:r w:rsidR="00B15AF7">
        <w:t xml:space="preserve"> certificate.</w:t>
      </w:r>
    </w:p>
    <w:p w14:paraId="777EFCD4" w14:textId="77777777" w:rsidR="00B15AF7" w:rsidRDefault="00B15AF7" w:rsidP="009457A2">
      <w:pPr>
        <w:pStyle w:val="1"/>
        <w:numPr>
          <w:ilvl w:val="0"/>
          <w:numId w:val="0"/>
        </w:numPr>
        <w:spacing w:before="0" w:line="360" w:lineRule="auto"/>
      </w:pPr>
    </w:p>
    <w:p w14:paraId="612D18CA" w14:textId="37F51874" w:rsidR="00B15AF7" w:rsidRDefault="0053192E" w:rsidP="0053192E">
      <w:pPr>
        <w:pStyle w:val="1"/>
        <w:numPr>
          <w:ilvl w:val="0"/>
          <w:numId w:val="0"/>
        </w:numPr>
        <w:spacing w:before="0" w:line="360" w:lineRule="auto"/>
      </w:pPr>
      <w:r>
        <w:t>[43]</w:t>
      </w:r>
      <w:r>
        <w:tab/>
      </w:r>
      <w:r w:rsidR="00B15AF7">
        <w:t xml:space="preserve">When the application was brought as an urgent </w:t>
      </w:r>
      <w:r w:rsidR="00B15AF7">
        <w:rPr>
          <w:i/>
          <w:iCs w:val="0"/>
        </w:rPr>
        <w:t>ex parte</w:t>
      </w:r>
      <w:r w:rsidR="00B15AF7">
        <w:t xml:space="preserve"> application, the applicant relied upon a founding affidavit comprising 28 pages and 69 paragraphs.</w:t>
      </w:r>
      <w:r w:rsidR="00B15AF7">
        <w:rPr>
          <w:rStyle w:val="FootnoteReference"/>
        </w:rPr>
        <w:footnoteReference w:id="30"/>
      </w:r>
    </w:p>
    <w:p w14:paraId="132F81D4" w14:textId="77777777" w:rsidR="00B15AF7" w:rsidRDefault="00B15AF7" w:rsidP="009457A2">
      <w:pPr>
        <w:pStyle w:val="1"/>
        <w:numPr>
          <w:ilvl w:val="0"/>
          <w:numId w:val="0"/>
        </w:numPr>
        <w:spacing w:before="0" w:line="360" w:lineRule="auto"/>
      </w:pPr>
    </w:p>
    <w:p w14:paraId="71244639" w14:textId="7DE792BB" w:rsidR="00B15AF7" w:rsidRDefault="0053192E" w:rsidP="0053192E">
      <w:pPr>
        <w:pStyle w:val="1"/>
        <w:numPr>
          <w:ilvl w:val="0"/>
          <w:numId w:val="0"/>
        </w:numPr>
        <w:spacing w:before="0" w:line="360" w:lineRule="auto"/>
      </w:pPr>
      <w:r>
        <w:t>[44]</w:t>
      </w:r>
      <w:r>
        <w:tab/>
      </w:r>
      <w:r w:rsidR="00B15AF7">
        <w:t xml:space="preserve">The facts upon which the applicant relied upon for the application to be heard urgently and </w:t>
      </w:r>
      <w:r w:rsidR="00B15AF7">
        <w:rPr>
          <w:i/>
          <w:iCs w:val="0"/>
        </w:rPr>
        <w:t>ex parte</w:t>
      </w:r>
      <w:r w:rsidR="00B15AF7">
        <w:t xml:space="preserve"> are set out in paragraphs 64 to 69 of the </w:t>
      </w:r>
      <w:r w:rsidR="00165EC4">
        <w:t xml:space="preserve">founding </w:t>
      </w:r>
      <w:r w:rsidR="00B15AF7">
        <w:t>affidavit under the heading “NEED FOR THE APPLICATION TO BE HEARD URGENTLY, EX PARTE AND IN CHAMBERS”.</w:t>
      </w:r>
      <w:r w:rsidR="00165EC4">
        <w:rPr>
          <w:rStyle w:val="FootnoteReference"/>
        </w:rPr>
        <w:footnoteReference w:id="31"/>
      </w:r>
    </w:p>
    <w:p w14:paraId="2369D869" w14:textId="77777777" w:rsidR="00B15AF7" w:rsidRDefault="00B15AF7" w:rsidP="009457A2">
      <w:pPr>
        <w:pStyle w:val="1"/>
        <w:numPr>
          <w:ilvl w:val="0"/>
          <w:numId w:val="0"/>
        </w:numPr>
        <w:spacing w:before="0" w:line="360" w:lineRule="auto"/>
      </w:pPr>
    </w:p>
    <w:p w14:paraId="0A16EFA1" w14:textId="6540B188" w:rsidR="00165EC4" w:rsidRDefault="0053192E" w:rsidP="0053192E">
      <w:pPr>
        <w:pStyle w:val="1"/>
        <w:numPr>
          <w:ilvl w:val="0"/>
          <w:numId w:val="0"/>
        </w:numPr>
        <w:spacing w:before="0" w:line="360" w:lineRule="auto"/>
      </w:pPr>
      <w:r>
        <w:lastRenderedPageBreak/>
        <w:t>[45]</w:t>
      </w:r>
      <w:r>
        <w:tab/>
      </w:r>
      <w:r w:rsidR="00B15AF7">
        <w:t>For the purposes of this reconsideration</w:t>
      </w:r>
      <w:r w:rsidR="009457A2">
        <w:t xml:space="preserve"> </w:t>
      </w:r>
      <w:r w:rsidR="00B15AF7">
        <w:t>application, it is important that I set out exactly what the applicant states in these paragraphs:</w:t>
      </w:r>
    </w:p>
    <w:p w14:paraId="2306059A" w14:textId="69D8BC95" w:rsidR="00165EC4" w:rsidRPr="00165EC4" w:rsidRDefault="00165EC4" w:rsidP="00165EC4">
      <w:pPr>
        <w:pStyle w:val="1"/>
        <w:numPr>
          <w:ilvl w:val="0"/>
          <w:numId w:val="0"/>
        </w:numPr>
        <w:spacing w:before="0" w:line="360" w:lineRule="auto"/>
        <w:rPr>
          <w:rFonts w:eastAsiaTheme="minorHAnsi"/>
          <w:sz w:val="22"/>
        </w:rPr>
      </w:pPr>
      <w:r w:rsidRPr="00165EC4">
        <w:rPr>
          <w:rFonts w:eastAsiaTheme="minorHAnsi"/>
          <w:sz w:val="22"/>
        </w:rPr>
        <w:t xml:space="preserve">‘64. The reasons for applying for the relief on an urgent i basis and a direction that this matter should be heard in chambers, in terms of section 32 of the Superior Courts Act, should be readily apparent. I respectfully submit that this is a special case which necessitates its hearing on an </w:t>
      </w:r>
      <w:r w:rsidRPr="00165EC4">
        <w:rPr>
          <w:rFonts w:eastAsiaTheme="minorHAnsi"/>
          <w:i/>
          <w:sz w:val="22"/>
        </w:rPr>
        <w:t>ex parte</w:t>
      </w:r>
      <w:r w:rsidRPr="00165EC4">
        <w:rPr>
          <w:rFonts w:eastAsiaTheme="minorHAnsi"/>
          <w:sz w:val="22"/>
        </w:rPr>
        <w:t xml:space="preserve"> basis, as contemplated by section 32. </w:t>
      </w:r>
    </w:p>
    <w:p w14:paraId="21F32010" w14:textId="37A5A89A" w:rsidR="00165EC4" w:rsidRPr="00165EC4" w:rsidRDefault="00165EC4" w:rsidP="00165EC4">
      <w:pPr>
        <w:pStyle w:val="1"/>
        <w:numPr>
          <w:ilvl w:val="0"/>
          <w:numId w:val="0"/>
        </w:numPr>
        <w:spacing w:before="0" w:line="360" w:lineRule="auto"/>
        <w:rPr>
          <w:rFonts w:eastAsiaTheme="minorHAnsi"/>
          <w:sz w:val="22"/>
        </w:rPr>
      </w:pPr>
      <w:r w:rsidRPr="00165EC4">
        <w:rPr>
          <w:rFonts w:eastAsiaTheme="minorHAnsi"/>
          <w:sz w:val="22"/>
        </w:rPr>
        <w:t xml:space="preserve">65. The reason for seeking such a direction is that the Respondent is well-known in the KwaZulu-Natal province whereby any person acquiring knowledge of this application could forewarn any member of the public that deposited money with the Respondent pertaining to the subject matter of this application. </w:t>
      </w:r>
    </w:p>
    <w:p w14:paraId="68EB5BDC" w14:textId="7729B626" w:rsidR="00165EC4" w:rsidRPr="00165EC4" w:rsidRDefault="00165EC4" w:rsidP="00165EC4">
      <w:pPr>
        <w:pStyle w:val="1"/>
        <w:numPr>
          <w:ilvl w:val="0"/>
          <w:numId w:val="0"/>
        </w:numPr>
        <w:spacing w:before="0" w:line="360" w:lineRule="auto"/>
        <w:rPr>
          <w:rFonts w:eastAsiaTheme="minorHAnsi"/>
          <w:sz w:val="22"/>
        </w:rPr>
      </w:pPr>
      <w:r w:rsidRPr="00165EC4">
        <w:rPr>
          <w:rFonts w:eastAsiaTheme="minorHAnsi"/>
          <w:sz w:val="22"/>
        </w:rPr>
        <w:t>66. Such knowledge will in all probability cause a “</w:t>
      </w:r>
      <w:bookmarkStart w:id="2" w:name="_Hlk161125388"/>
      <w:r w:rsidRPr="00165EC4">
        <w:rPr>
          <w:rFonts w:eastAsiaTheme="minorHAnsi"/>
          <w:i/>
          <w:sz w:val="22"/>
        </w:rPr>
        <w:t>bank run</w:t>
      </w:r>
      <w:r w:rsidRPr="00165EC4">
        <w:rPr>
          <w:rFonts w:eastAsiaTheme="minorHAnsi"/>
          <w:sz w:val="22"/>
        </w:rPr>
        <w:t>” or “</w:t>
      </w:r>
      <w:r w:rsidRPr="00165EC4">
        <w:rPr>
          <w:rFonts w:eastAsiaTheme="minorHAnsi"/>
          <w:i/>
          <w:sz w:val="22"/>
        </w:rPr>
        <w:t>run on the bank</w:t>
      </w:r>
      <w:r w:rsidRPr="00165EC4">
        <w:rPr>
          <w:rFonts w:eastAsiaTheme="minorHAnsi"/>
          <w:sz w:val="22"/>
        </w:rPr>
        <w:t xml:space="preserve">” </w:t>
      </w:r>
      <w:bookmarkEnd w:id="2"/>
      <w:r w:rsidRPr="00165EC4">
        <w:rPr>
          <w:rFonts w:eastAsiaTheme="minorHAnsi"/>
          <w:sz w:val="22"/>
        </w:rPr>
        <w:t>where depositors withdraw their deposits from an institution if they believe they will be unable to withdraw their deposits or if they believe the institution will cease to operate soon due to liquidity issues.</w:t>
      </w:r>
    </w:p>
    <w:p w14:paraId="6D717466" w14:textId="31C119EC" w:rsidR="00165EC4" w:rsidRPr="00165EC4" w:rsidRDefault="00165EC4" w:rsidP="00165EC4">
      <w:pPr>
        <w:pStyle w:val="1"/>
        <w:numPr>
          <w:ilvl w:val="0"/>
          <w:numId w:val="0"/>
        </w:numPr>
        <w:spacing w:before="0" w:line="360" w:lineRule="auto"/>
        <w:rPr>
          <w:rFonts w:eastAsiaTheme="minorHAnsi"/>
          <w:sz w:val="22"/>
        </w:rPr>
      </w:pPr>
      <w:r w:rsidRPr="00165EC4">
        <w:rPr>
          <w:rFonts w:eastAsiaTheme="minorHAnsi"/>
          <w:sz w:val="22"/>
        </w:rPr>
        <w:t xml:space="preserve">67. An exchange of the pleadings in the registrar’s office which will be the inevitable consequence of giving notice to the Respondent therefore poses an unacceptable risk. The Respondent has all the protection afforded to a respondent against whom relief is granted </w:t>
      </w:r>
      <w:r w:rsidRPr="00165EC4">
        <w:rPr>
          <w:rFonts w:eastAsiaTheme="minorHAnsi"/>
          <w:i/>
          <w:sz w:val="22"/>
        </w:rPr>
        <w:t>ex parte</w:t>
      </w:r>
      <w:r w:rsidRPr="00165EC4">
        <w:rPr>
          <w:rFonts w:eastAsiaTheme="minorHAnsi"/>
          <w:sz w:val="22"/>
        </w:rPr>
        <w:t xml:space="preserve">. </w:t>
      </w:r>
    </w:p>
    <w:p w14:paraId="04155001" w14:textId="5E0166ED" w:rsidR="00165EC4" w:rsidRPr="00165EC4" w:rsidRDefault="00165EC4" w:rsidP="00165EC4">
      <w:pPr>
        <w:pStyle w:val="1"/>
        <w:numPr>
          <w:ilvl w:val="0"/>
          <w:numId w:val="0"/>
        </w:numPr>
        <w:spacing w:before="0" w:line="360" w:lineRule="auto"/>
        <w:rPr>
          <w:sz w:val="22"/>
        </w:rPr>
      </w:pPr>
      <w:r w:rsidRPr="00165EC4">
        <w:rPr>
          <w:rFonts w:eastAsiaTheme="minorHAnsi"/>
          <w:sz w:val="22"/>
        </w:rPr>
        <w:t>68. In addition to the above I seek a direction from this Honourable Court to the Registrar of this Honourable Court to keep the content of this court file confidential until otherwise directed by this Honourable Court. The contents of this file should not be shared with any party unless written permission is obtained from this Honourable Court and/or the Applicant.</w:t>
      </w:r>
    </w:p>
    <w:p w14:paraId="2E0A112E" w14:textId="6CF2F4C1" w:rsidR="00B15AF7" w:rsidRPr="00165EC4" w:rsidRDefault="00165EC4" w:rsidP="00165EC4">
      <w:pPr>
        <w:pStyle w:val="Quote"/>
        <w:spacing w:before="0" w:after="0"/>
        <w:ind w:left="0"/>
      </w:pPr>
      <w:r w:rsidRPr="00165EC4">
        <w:rPr>
          <w:lang w:val="en-US"/>
        </w:rPr>
        <w:t>69. Full legal argument will be addressed at the hearing of this application in this regard insofar as it may be necessary.’</w:t>
      </w:r>
    </w:p>
    <w:p w14:paraId="7BB71409" w14:textId="77777777" w:rsidR="00165EC4" w:rsidRPr="00B15AF7" w:rsidRDefault="00165EC4" w:rsidP="009457A2">
      <w:pPr>
        <w:pStyle w:val="Quote"/>
        <w:spacing w:before="0" w:after="0"/>
        <w:ind w:left="0"/>
        <w:rPr>
          <w:sz w:val="24"/>
        </w:rPr>
      </w:pPr>
    </w:p>
    <w:p w14:paraId="408D089B" w14:textId="6E2D91D6" w:rsidR="00B15AF7" w:rsidRDefault="0053192E" w:rsidP="0053192E">
      <w:pPr>
        <w:pStyle w:val="1"/>
        <w:numPr>
          <w:ilvl w:val="0"/>
          <w:numId w:val="0"/>
        </w:numPr>
        <w:spacing w:before="0" w:line="360" w:lineRule="auto"/>
      </w:pPr>
      <w:r>
        <w:t>[46]</w:t>
      </w:r>
      <w:r>
        <w:tab/>
      </w:r>
      <w:r w:rsidR="00B15AF7">
        <w:t xml:space="preserve">No reference is made directly to the </w:t>
      </w:r>
      <w:r w:rsidR="00C8294E">
        <w:t xml:space="preserve">any conduct which may be committed by the </w:t>
      </w:r>
      <w:r w:rsidR="001C3941">
        <w:t xml:space="preserve">respondent </w:t>
      </w:r>
      <w:r w:rsidR="00C8294E">
        <w:t xml:space="preserve">which the applicant wished to avoid by giving notice </w:t>
      </w:r>
      <w:r w:rsidR="001C3941">
        <w:t>and why the res</w:t>
      </w:r>
      <w:r w:rsidR="00B15AF7">
        <w:t xml:space="preserve">pondent should not be given notice in some form. The applicant’s complaints relate to the </w:t>
      </w:r>
      <w:r w:rsidR="001C3941">
        <w:t>‘</w:t>
      </w:r>
      <w:r w:rsidR="00B15AF7">
        <w:t>bank run</w:t>
      </w:r>
      <w:r w:rsidR="001C3941">
        <w:t>’</w:t>
      </w:r>
      <w:r w:rsidR="00B15AF7">
        <w:t xml:space="preserve"> or </w:t>
      </w:r>
      <w:r w:rsidR="001C3941">
        <w:t>‘</w:t>
      </w:r>
      <w:r w:rsidR="00B15AF7">
        <w:t>run on bank</w:t>
      </w:r>
      <w:r w:rsidR="001C3941">
        <w:t>’</w:t>
      </w:r>
      <w:r w:rsidR="00B15AF7">
        <w:t xml:space="preserve"> risk which the applicant foresaw. </w:t>
      </w:r>
    </w:p>
    <w:p w14:paraId="24AA1288" w14:textId="77777777" w:rsidR="00B15AF7" w:rsidRDefault="00B15AF7" w:rsidP="009457A2">
      <w:pPr>
        <w:pStyle w:val="1"/>
        <w:numPr>
          <w:ilvl w:val="0"/>
          <w:numId w:val="0"/>
        </w:numPr>
        <w:spacing w:before="0" w:line="360" w:lineRule="auto"/>
      </w:pPr>
    </w:p>
    <w:p w14:paraId="465B3899" w14:textId="67B036A7" w:rsidR="00B15AF7" w:rsidRPr="00C8294E" w:rsidRDefault="0053192E" w:rsidP="0053192E">
      <w:pPr>
        <w:pStyle w:val="1"/>
        <w:numPr>
          <w:ilvl w:val="0"/>
          <w:numId w:val="0"/>
        </w:numPr>
        <w:spacing w:before="0" w:line="360" w:lineRule="auto"/>
      </w:pPr>
      <w:r w:rsidRPr="00C8294E">
        <w:t>[47]</w:t>
      </w:r>
      <w:r w:rsidRPr="00C8294E">
        <w:tab/>
      </w:r>
      <w:r w:rsidR="00B15AF7">
        <w:t xml:space="preserve">During argument, the applicant leveraged on two reasons as to why </w:t>
      </w:r>
      <w:r w:rsidR="00045FFE">
        <w:t xml:space="preserve">he </w:t>
      </w:r>
      <w:r w:rsidR="00B15AF7">
        <w:t xml:space="preserve">was entitled to deal with the matter on an </w:t>
      </w:r>
      <w:r w:rsidR="00B15AF7">
        <w:rPr>
          <w:i/>
          <w:iCs w:val="0"/>
        </w:rPr>
        <w:t>ex parte</w:t>
      </w:r>
      <w:r w:rsidR="00B15AF7">
        <w:t xml:space="preserve"> urgent basis. The first reason given was that there was a risk that notice to the respondent might result in a divestment of its assets</w:t>
      </w:r>
      <w:r w:rsidR="00C8294E">
        <w:t xml:space="preserve"> and the second reason was that the issues of notice and urgency were decided </w:t>
      </w:r>
      <w:r w:rsidR="00C8294E">
        <w:lastRenderedPageBreak/>
        <w:t xml:space="preserve">with finality in favour of the application in the case of </w:t>
      </w:r>
      <w:r w:rsidR="00C8294E" w:rsidRPr="00C8294E">
        <w:rPr>
          <w:i/>
          <w:iCs w:val="0"/>
        </w:rPr>
        <w:t>Kruger v Joint Trustees of the Insolvent Estate of Paulos Bhekinkosi Zulu and another [2017] 1 All SA 1 (SCA).</w:t>
      </w:r>
    </w:p>
    <w:p w14:paraId="4556B80A" w14:textId="77777777" w:rsidR="00B15AF7" w:rsidRDefault="00B15AF7" w:rsidP="009457A2">
      <w:pPr>
        <w:pStyle w:val="1"/>
        <w:numPr>
          <w:ilvl w:val="0"/>
          <w:numId w:val="0"/>
        </w:numPr>
        <w:spacing w:before="0" w:line="360" w:lineRule="auto"/>
      </w:pPr>
    </w:p>
    <w:p w14:paraId="70272B1B" w14:textId="4B67C9A9" w:rsidR="00C8294E" w:rsidRDefault="0053192E" w:rsidP="0053192E">
      <w:pPr>
        <w:pStyle w:val="1"/>
        <w:numPr>
          <w:ilvl w:val="0"/>
          <w:numId w:val="0"/>
        </w:numPr>
        <w:spacing w:before="0" w:line="360" w:lineRule="auto"/>
      </w:pPr>
      <w:r>
        <w:t>[48]</w:t>
      </w:r>
      <w:r>
        <w:tab/>
      </w:r>
      <w:r w:rsidR="00C8294E">
        <w:t xml:space="preserve">On the first reason proffered, </w:t>
      </w:r>
      <w:r w:rsidR="00B15AF7">
        <w:t xml:space="preserve">when </w:t>
      </w:r>
      <w:r w:rsidR="00C8294E">
        <w:t xml:space="preserve">I </w:t>
      </w:r>
      <w:r w:rsidR="00B15AF7">
        <w:t>asked</w:t>
      </w:r>
      <w:r w:rsidR="00C8294E">
        <w:t xml:space="preserve"> the applicant </w:t>
      </w:r>
      <w:r w:rsidR="00B15AF7">
        <w:t xml:space="preserve"> to direct my attention to where </w:t>
      </w:r>
      <w:r w:rsidR="00C8294E">
        <w:t>such</w:t>
      </w:r>
      <w:r w:rsidR="00B15AF7">
        <w:t xml:space="preserve"> allegation might be located in the founding affidavit, the applicant submitted</w:t>
      </w:r>
      <w:r w:rsidR="009457A2">
        <w:t xml:space="preserve"> </w:t>
      </w:r>
      <w:r w:rsidR="00B15AF7">
        <w:t xml:space="preserve">that </w:t>
      </w:r>
      <w:r w:rsidR="00045FFE">
        <w:t xml:space="preserve">he </w:t>
      </w:r>
      <w:r w:rsidR="00B15AF7">
        <w:t xml:space="preserve">relied upon paragraph 24 of </w:t>
      </w:r>
      <w:r w:rsidR="00045FFE">
        <w:t xml:space="preserve">his </w:t>
      </w:r>
      <w:r w:rsidR="00B15AF7">
        <w:t>affidavit and the annexure to which such paragraph refers.</w:t>
      </w:r>
    </w:p>
    <w:p w14:paraId="29AD9CA0" w14:textId="77777777" w:rsidR="00C8294E" w:rsidRDefault="00C8294E" w:rsidP="00C8294E">
      <w:pPr>
        <w:pStyle w:val="ListParagraph"/>
        <w:numPr>
          <w:ilvl w:val="0"/>
          <w:numId w:val="0"/>
        </w:numPr>
        <w:ind w:left="360"/>
      </w:pPr>
    </w:p>
    <w:p w14:paraId="0BDAAD01" w14:textId="3927EACF" w:rsidR="00B15AF7" w:rsidRDefault="0053192E" w:rsidP="0053192E">
      <w:pPr>
        <w:pStyle w:val="1"/>
        <w:numPr>
          <w:ilvl w:val="0"/>
          <w:numId w:val="0"/>
        </w:numPr>
        <w:spacing w:before="0" w:line="360" w:lineRule="auto"/>
      </w:pPr>
      <w:r>
        <w:t>[49]</w:t>
      </w:r>
      <w:r>
        <w:tab/>
      </w:r>
      <w:r w:rsidR="00B15AF7">
        <w:t xml:space="preserve"> Paragraph 24 of the founding affidavit reads as follows:</w:t>
      </w:r>
    </w:p>
    <w:p w14:paraId="6FD63CCE" w14:textId="1F7860FB" w:rsidR="00B15AF7" w:rsidRDefault="00FF316E" w:rsidP="009457A2">
      <w:pPr>
        <w:pStyle w:val="Quote"/>
        <w:spacing w:before="0" w:after="0"/>
        <w:ind w:left="0"/>
      </w:pPr>
      <w:r>
        <w:t>‘</w:t>
      </w:r>
      <w:r w:rsidR="00B15AF7">
        <w:t xml:space="preserve">I attach the </w:t>
      </w:r>
      <w:r w:rsidR="00294B16">
        <w:t xml:space="preserve">Notice </w:t>
      </w:r>
      <w:r w:rsidR="00B15AF7">
        <w:t xml:space="preserve">of </w:t>
      </w:r>
      <w:r w:rsidR="00294B16">
        <w:t xml:space="preserve">Motion </w:t>
      </w:r>
      <w:r w:rsidR="00B15AF7">
        <w:t xml:space="preserve">and the founding affidavit in the PA application as it summarises prior litigation and judgments as annexure </w:t>
      </w:r>
      <w:r w:rsidR="00294B16">
        <w:t>‘JGK11’</w:t>
      </w:r>
      <w:r w:rsidR="00B15AF7">
        <w:t>. I do not contend that all the allegations are common cause.</w:t>
      </w:r>
      <w:r>
        <w:t>’</w:t>
      </w:r>
      <w:r w:rsidR="00B15AF7" w:rsidRPr="00FF316E">
        <w:rPr>
          <w:rStyle w:val="FootnoteReference"/>
          <w:iCs/>
        </w:rPr>
        <w:footnoteReference w:id="32"/>
      </w:r>
    </w:p>
    <w:p w14:paraId="142F03B1" w14:textId="77777777" w:rsidR="00B15AF7" w:rsidRPr="00B15AF7" w:rsidRDefault="00B15AF7" w:rsidP="009457A2">
      <w:pPr>
        <w:pStyle w:val="Quote"/>
        <w:spacing w:before="0" w:after="0"/>
        <w:ind w:left="0"/>
        <w:rPr>
          <w:sz w:val="24"/>
        </w:rPr>
      </w:pPr>
    </w:p>
    <w:p w14:paraId="4C42A100" w14:textId="7A1956E8" w:rsidR="00B15AF7" w:rsidRDefault="0053192E" w:rsidP="0053192E">
      <w:pPr>
        <w:pStyle w:val="1"/>
        <w:numPr>
          <w:ilvl w:val="0"/>
          <w:numId w:val="0"/>
        </w:numPr>
        <w:spacing w:before="0" w:line="360" w:lineRule="auto"/>
      </w:pPr>
      <w:r>
        <w:t>[50]</w:t>
      </w:r>
      <w:r>
        <w:tab/>
      </w:r>
      <w:r w:rsidR="00B15AF7">
        <w:t xml:space="preserve">Annexure </w:t>
      </w:r>
      <w:r w:rsidR="00045FFE">
        <w:t>‘</w:t>
      </w:r>
      <w:r w:rsidR="00B15AF7">
        <w:t>GJK11</w:t>
      </w:r>
      <w:r w:rsidR="00045FFE">
        <w:t>’</w:t>
      </w:r>
      <w:r w:rsidR="00B15AF7">
        <w:t xml:space="preserve"> is the affidavit delivered by the Prudential Authority in the Pretoria litigation.</w:t>
      </w:r>
      <w:r w:rsidR="00B15AF7">
        <w:rPr>
          <w:rStyle w:val="FootnoteReference"/>
        </w:rPr>
        <w:footnoteReference w:id="33"/>
      </w:r>
      <w:r w:rsidR="00B15AF7">
        <w:t xml:space="preserve"> The applicant contends that based on what has been alleged by the Prudential Authority in its Pretoria affidavit, the applicant was justified in moving this application urgently and </w:t>
      </w:r>
      <w:r w:rsidR="00B15AF7">
        <w:rPr>
          <w:i/>
          <w:iCs w:val="0"/>
        </w:rPr>
        <w:t>ex parte</w:t>
      </w:r>
      <w:r w:rsidR="00B15AF7">
        <w:t xml:space="preserve"> against the respondent. </w:t>
      </w:r>
    </w:p>
    <w:p w14:paraId="42AD9349" w14:textId="77777777" w:rsidR="00B15AF7" w:rsidRDefault="00B15AF7" w:rsidP="009457A2">
      <w:pPr>
        <w:pStyle w:val="1"/>
        <w:numPr>
          <w:ilvl w:val="0"/>
          <w:numId w:val="0"/>
        </w:numPr>
        <w:spacing w:before="0" w:line="360" w:lineRule="auto"/>
      </w:pPr>
    </w:p>
    <w:p w14:paraId="1ECB3EB0" w14:textId="12D46AFE" w:rsidR="00B15AF7" w:rsidRDefault="0053192E" w:rsidP="0053192E">
      <w:pPr>
        <w:pStyle w:val="1"/>
        <w:numPr>
          <w:ilvl w:val="0"/>
          <w:numId w:val="0"/>
        </w:numPr>
        <w:spacing w:before="0" w:line="360" w:lineRule="auto"/>
      </w:pPr>
      <w:r>
        <w:t>[51]</w:t>
      </w:r>
      <w:r>
        <w:tab/>
      </w:r>
      <w:r w:rsidR="00B15AF7">
        <w:t>The Prudential Authority who actively relied on its</w:t>
      </w:r>
      <w:r w:rsidR="009457A2">
        <w:t xml:space="preserve"> </w:t>
      </w:r>
      <w:r w:rsidR="00B15AF7">
        <w:t xml:space="preserve">allegations in the Pretoria litigation did not move its application </w:t>
      </w:r>
      <w:r w:rsidR="00B15AF7">
        <w:rPr>
          <w:i/>
          <w:iCs w:val="0"/>
        </w:rPr>
        <w:t>ex parte</w:t>
      </w:r>
      <w:r w:rsidR="00B15AF7">
        <w:t>. Thus, those allegations</w:t>
      </w:r>
      <w:r w:rsidR="004B4400">
        <w:t xml:space="preserve"> alone are </w:t>
      </w:r>
      <w:r w:rsidR="00B15AF7">
        <w:t xml:space="preserve">insufficient for an </w:t>
      </w:r>
      <w:r w:rsidR="00B15AF7">
        <w:rPr>
          <w:i/>
          <w:iCs w:val="0"/>
        </w:rPr>
        <w:t>ex parte in camera</w:t>
      </w:r>
      <w:r w:rsidR="00B15AF7">
        <w:t xml:space="preserve"> hearing. </w:t>
      </w:r>
    </w:p>
    <w:p w14:paraId="60F48EB0" w14:textId="77777777" w:rsidR="00B15AF7" w:rsidRDefault="00B15AF7" w:rsidP="009457A2">
      <w:pPr>
        <w:pStyle w:val="1"/>
        <w:numPr>
          <w:ilvl w:val="0"/>
          <w:numId w:val="0"/>
        </w:numPr>
        <w:spacing w:before="0" w:line="360" w:lineRule="auto"/>
      </w:pPr>
    </w:p>
    <w:p w14:paraId="02CDC4FF" w14:textId="3C11D2E5" w:rsidR="00B15AF7" w:rsidRDefault="0053192E" w:rsidP="0053192E">
      <w:pPr>
        <w:pStyle w:val="1"/>
        <w:numPr>
          <w:ilvl w:val="0"/>
          <w:numId w:val="0"/>
        </w:numPr>
        <w:spacing w:before="0" w:line="360" w:lineRule="auto"/>
      </w:pPr>
      <w:r>
        <w:t>[52]</w:t>
      </w:r>
      <w:r>
        <w:tab/>
      </w:r>
      <w:r w:rsidR="00B15AF7">
        <w:t xml:space="preserve">The application before Mossop J was 246 pages in volume. The application was set down for hearing on 22 December 2023 at 8h30 and issued on 21 December 2023. There is no indication as to what time the papers were issued and when same were given to Mossop J for consideration. </w:t>
      </w:r>
    </w:p>
    <w:p w14:paraId="68E3CDBB" w14:textId="77777777" w:rsidR="00B15AF7" w:rsidRDefault="00B15AF7" w:rsidP="009457A2">
      <w:pPr>
        <w:pStyle w:val="1"/>
        <w:numPr>
          <w:ilvl w:val="0"/>
          <w:numId w:val="0"/>
        </w:numPr>
        <w:spacing w:before="0" w:line="360" w:lineRule="auto"/>
      </w:pPr>
    </w:p>
    <w:p w14:paraId="7694D5A2" w14:textId="64F8E90F" w:rsidR="00B15AF7" w:rsidRDefault="0053192E" w:rsidP="0053192E">
      <w:pPr>
        <w:pStyle w:val="1"/>
        <w:numPr>
          <w:ilvl w:val="0"/>
          <w:numId w:val="0"/>
        </w:numPr>
        <w:spacing w:before="0" w:line="360" w:lineRule="auto"/>
      </w:pPr>
      <w:r>
        <w:t>[53]</w:t>
      </w:r>
      <w:r>
        <w:tab/>
      </w:r>
      <w:r w:rsidR="00B15AF7">
        <w:t xml:space="preserve">Under such truncated timelines, the applicant bore a duty to place the facts which </w:t>
      </w:r>
      <w:r w:rsidR="00045FFE">
        <w:t xml:space="preserve">he </w:t>
      </w:r>
      <w:r w:rsidR="00B15AF7">
        <w:t xml:space="preserve">relied upon squarely in the body of the founding affidavit rather than obliquely rely upon an annexure and expect the </w:t>
      </w:r>
      <w:r w:rsidR="00294B16">
        <w:t xml:space="preserve">judge </w:t>
      </w:r>
      <w:r w:rsidR="00B15AF7">
        <w:t>hearing the application to have trawled through the annexures in order to find the material which the applicant relies upon</w:t>
      </w:r>
      <w:r w:rsidR="00294B16">
        <w:t>.</w:t>
      </w:r>
      <w:r w:rsidR="00294B16" w:rsidRPr="00DA43F9">
        <w:t xml:space="preserve"> </w:t>
      </w:r>
      <w:r w:rsidR="00B15AF7">
        <w:lastRenderedPageBreak/>
        <w:t>This is equally important in respect of the further disclosures which the applicant ought to have engaged with in the affidavit. I deal with those further on.</w:t>
      </w:r>
      <w:r w:rsidR="00B15AF7">
        <w:rPr>
          <w:rStyle w:val="FootnoteReference"/>
        </w:rPr>
        <w:footnoteReference w:id="34"/>
      </w:r>
    </w:p>
    <w:p w14:paraId="14EB4A44" w14:textId="77777777" w:rsidR="00B15AF7" w:rsidRPr="0091512D" w:rsidRDefault="00B15AF7" w:rsidP="009457A2">
      <w:pPr>
        <w:pStyle w:val="1"/>
        <w:numPr>
          <w:ilvl w:val="0"/>
          <w:numId w:val="0"/>
        </w:numPr>
        <w:spacing w:before="0" w:line="360" w:lineRule="auto"/>
      </w:pPr>
    </w:p>
    <w:p w14:paraId="30689344" w14:textId="4F2F4F10" w:rsidR="00B15AF7" w:rsidRDefault="0053192E" w:rsidP="0053192E">
      <w:pPr>
        <w:pStyle w:val="1"/>
        <w:numPr>
          <w:ilvl w:val="0"/>
          <w:numId w:val="0"/>
        </w:numPr>
        <w:spacing w:before="0" w:line="360" w:lineRule="auto"/>
      </w:pPr>
      <w:r>
        <w:t>[54]</w:t>
      </w:r>
      <w:r>
        <w:tab/>
      </w:r>
      <w:r w:rsidR="00B15AF7">
        <w:t xml:space="preserve">Thus, the </w:t>
      </w:r>
      <w:r w:rsidR="004B4400">
        <w:t xml:space="preserve">founding </w:t>
      </w:r>
      <w:r w:rsidR="00B15AF7">
        <w:t xml:space="preserve">affidavit did not, in my view, deal with the issue of why the application ought to be heard </w:t>
      </w:r>
      <w:r w:rsidR="00B15AF7">
        <w:rPr>
          <w:i/>
          <w:iCs w:val="0"/>
        </w:rPr>
        <w:t>ex parte</w:t>
      </w:r>
      <w:r w:rsidR="00B15AF7">
        <w:t xml:space="preserve"> as against the respondent. </w:t>
      </w:r>
    </w:p>
    <w:p w14:paraId="683F5A11" w14:textId="77777777" w:rsidR="00B15AF7" w:rsidRDefault="00B15AF7" w:rsidP="009457A2">
      <w:pPr>
        <w:pStyle w:val="1"/>
        <w:numPr>
          <w:ilvl w:val="0"/>
          <w:numId w:val="0"/>
        </w:numPr>
        <w:spacing w:before="0" w:line="360" w:lineRule="auto"/>
      </w:pPr>
    </w:p>
    <w:p w14:paraId="4FE8AC9D" w14:textId="0A2882D1" w:rsidR="00B15AF7" w:rsidRDefault="0053192E" w:rsidP="0053192E">
      <w:pPr>
        <w:pStyle w:val="1"/>
        <w:numPr>
          <w:ilvl w:val="0"/>
          <w:numId w:val="0"/>
        </w:numPr>
        <w:spacing w:before="0" w:line="360" w:lineRule="auto"/>
      </w:pPr>
      <w:r>
        <w:t>[55]</w:t>
      </w:r>
      <w:r>
        <w:tab/>
      </w:r>
      <w:r w:rsidR="00B15AF7">
        <w:t>The respondent submits that</w:t>
      </w:r>
      <w:r w:rsidR="009457A2">
        <w:t xml:space="preserve"> </w:t>
      </w:r>
      <w:r w:rsidR="00B15AF7">
        <w:t>that there were various negotiations which led to the Pretoria order. It argued that the applicant had the obligation to place these</w:t>
      </w:r>
      <w:r w:rsidR="004B4400">
        <w:t xml:space="preserve"> facts </w:t>
      </w:r>
      <w:r w:rsidR="00B15AF7">
        <w:t xml:space="preserve"> before Mossop J, especially in circumstances where the application was brought </w:t>
      </w:r>
      <w:r w:rsidR="00B15AF7">
        <w:rPr>
          <w:i/>
          <w:iCs w:val="0"/>
        </w:rPr>
        <w:t>ex parte</w:t>
      </w:r>
      <w:r w:rsidR="00B15AF7">
        <w:t xml:space="preserve">. </w:t>
      </w:r>
    </w:p>
    <w:p w14:paraId="65B49042" w14:textId="77777777" w:rsidR="00B15AF7" w:rsidRDefault="00B15AF7" w:rsidP="009457A2">
      <w:pPr>
        <w:pStyle w:val="1"/>
        <w:numPr>
          <w:ilvl w:val="0"/>
          <w:numId w:val="0"/>
        </w:numPr>
        <w:spacing w:before="0" w:line="360" w:lineRule="auto"/>
      </w:pPr>
    </w:p>
    <w:p w14:paraId="2DCD3FDA" w14:textId="2249F429" w:rsidR="00B15AF7" w:rsidRDefault="0053192E" w:rsidP="0053192E">
      <w:pPr>
        <w:pStyle w:val="1"/>
        <w:numPr>
          <w:ilvl w:val="0"/>
          <w:numId w:val="0"/>
        </w:numPr>
        <w:spacing w:before="0" w:line="360" w:lineRule="auto"/>
      </w:pPr>
      <w:r>
        <w:t>[56]</w:t>
      </w:r>
      <w:r>
        <w:tab/>
      </w:r>
      <w:r w:rsidR="00B15AF7">
        <w:t xml:space="preserve">The applicant contends that </w:t>
      </w:r>
      <w:r w:rsidR="009B3E6A">
        <w:t xml:space="preserve">he </w:t>
      </w:r>
      <w:r w:rsidR="00B15AF7">
        <w:t xml:space="preserve">was not a party to any of those discussions in Pretoria and thus could not have known about those </w:t>
      </w:r>
      <w:r w:rsidR="004B4400">
        <w:t xml:space="preserve">discussion </w:t>
      </w:r>
      <w:r w:rsidR="00B15AF7">
        <w:t xml:space="preserve">which the respondent contends are material. </w:t>
      </w:r>
    </w:p>
    <w:p w14:paraId="4BB4F0FE" w14:textId="77777777" w:rsidR="00B15AF7" w:rsidRDefault="00B15AF7" w:rsidP="009457A2">
      <w:pPr>
        <w:pStyle w:val="1"/>
        <w:numPr>
          <w:ilvl w:val="0"/>
          <w:numId w:val="0"/>
        </w:numPr>
        <w:spacing w:before="0" w:line="360" w:lineRule="auto"/>
      </w:pPr>
    </w:p>
    <w:p w14:paraId="2E7FF3C4" w14:textId="5A55A28D" w:rsidR="00B15AF7" w:rsidRDefault="0053192E" w:rsidP="0053192E">
      <w:pPr>
        <w:pStyle w:val="1"/>
        <w:numPr>
          <w:ilvl w:val="0"/>
          <w:numId w:val="0"/>
        </w:numPr>
        <w:spacing w:before="0" w:line="360" w:lineRule="auto"/>
      </w:pPr>
      <w:r>
        <w:t>[57]</w:t>
      </w:r>
      <w:r>
        <w:tab/>
      </w:r>
      <w:r w:rsidR="00B15AF7">
        <w:t>The respondent argues that what should have been placed before Mossop J apart from the</w:t>
      </w:r>
      <w:r w:rsidR="009457A2">
        <w:t xml:space="preserve"> </w:t>
      </w:r>
      <w:r w:rsidR="00B15AF7">
        <w:t xml:space="preserve">plethora of correspondence and negotiations that had been ongoing with the Prudential Authority was the fact that the </w:t>
      </w:r>
      <w:r w:rsidR="00904458">
        <w:t xml:space="preserve">order </w:t>
      </w:r>
      <w:r w:rsidR="00B15AF7">
        <w:t xml:space="preserve">sought and ultimately agreed to by consent in Pretoria was a pared down </w:t>
      </w:r>
      <w:r w:rsidR="00904458">
        <w:t>order</w:t>
      </w:r>
      <w:r w:rsidR="00B15AF7">
        <w:t xml:space="preserve">. </w:t>
      </w:r>
    </w:p>
    <w:p w14:paraId="4B7CB5E7" w14:textId="77777777" w:rsidR="00B15AF7" w:rsidRDefault="00B15AF7" w:rsidP="009457A2">
      <w:pPr>
        <w:pStyle w:val="1"/>
        <w:numPr>
          <w:ilvl w:val="0"/>
          <w:numId w:val="0"/>
        </w:numPr>
        <w:spacing w:before="0" w:line="360" w:lineRule="auto"/>
      </w:pPr>
    </w:p>
    <w:p w14:paraId="641B4215" w14:textId="49BC5D57" w:rsidR="00B15AF7" w:rsidRDefault="0053192E" w:rsidP="0053192E">
      <w:pPr>
        <w:pStyle w:val="1"/>
        <w:numPr>
          <w:ilvl w:val="0"/>
          <w:numId w:val="0"/>
        </w:numPr>
        <w:spacing w:before="0" w:line="360" w:lineRule="auto"/>
      </w:pPr>
      <w:r>
        <w:t>[58]</w:t>
      </w:r>
      <w:r>
        <w:tab/>
      </w:r>
      <w:r w:rsidR="00F23726">
        <w:t>The respondent argues that t</w:t>
      </w:r>
      <w:r w:rsidR="00B15AF7">
        <w:t>he relief which was omitted by</w:t>
      </w:r>
      <w:r w:rsidR="009457A2">
        <w:t xml:space="preserve"> </w:t>
      </w:r>
      <w:r w:rsidR="00B15AF7">
        <w:t xml:space="preserve">agreement </w:t>
      </w:r>
      <w:r w:rsidR="00F23726">
        <w:t xml:space="preserve">in the Pretoria order </w:t>
      </w:r>
      <w:r w:rsidR="00B15AF7">
        <w:t xml:space="preserve">is the relief which the applicant sought </w:t>
      </w:r>
      <w:r w:rsidR="00F23726">
        <w:t>in the PMB order</w:t>
      </w:r>
      <w:r w:rsidR="00B15AF7">
        <w:t xml:space="preserve">. </w:t>
      </w:r>
    </w:p>
    <w:p w14:paraId="79852417" w14:textId="77777777" w:rsidR="00B15AF7" w:rsidRDefault="00B15AF7" w:rsidP="009457A2">
      <w:pPr>
        <w:pStyle w:val="1"/>
        <w:numPr>
          <w:ilvl w:val="0"/>
          <w:numId w:val="0"/>
        </w:numPr>
        <w:spacing w:before="0" w:line="360" w:lineRule="auto"/>
      </w:pPr>
    </w:p>
    <w:p w14:paraId="220D3B94" w14:textId="7A0FC318" w:rsidR="00B15AF7" w:rsidRDefault="0053192E" w:rsidP="0053192E">
      <w:pPr>
        <w:pStyle w:val="1"/>
        <w:numPr>
          <w:ilvl w:val="0"/>
          <w:numId w:val="0"/>
        </w:numPr>
        <w:spacing w:before="0" w:line="360" w:lineRule="auto"/>
      </w:pPr>
      <w:r>
        <w:t>[59]</w:t>
      </w:r>
      <w:r>
        <w:tab/>
      </w:r>
      <w:r w:rsidR="00B15AF7">
        <w:t xml:space="preserve">The respondent’s submission is that the Prudential Authority and it had agreed that the powers sought by the </w:t>
      </w:r>
      <w:r w:rsidR="00904458">
        <w:t xml:space="preserve">applicant </w:t>
      </w:r>
      <w:r w:rsidR="00B15AF7">
        <w:t xml:space="preserve">in the PMB </w:t>
      </w:r>
      <w:r w:rsidR="00904458">
        <w:t xml:space="preserve">order </w:t>
      </w:r>
      <w:r w:rsidR="00B15AF7">
        <w:t xml:space="preserve">would not be conferred on the applicant. </w:t>
      </w:r>
    </w:p>
    <w:p w14:paraId="11573E80" w14:textId="77777777" w:rsidR="00B15AF7" w:rsidRDefault="00B15AF7" w:rsidP="009457A2">
      <w:pPr>
        <w:pStyle w:val="1"/>
        <w:numPr>
          <w:ilvl w:val="0"/>
          <w:numId w:val="0"/>
        </w:numPr>
        <w:spacing w:before="0" w:line="360" w:lineRule="auto"/>
      </w:pPr>
    </w:p>
    <w:p w14:paraId="69E1F4A9" w14:textId="42636468" w:rsidR="00B15AF7" w:rsidRDefault="0053192E" w:rsidP="0053192E">
      <w:pPr>
        <w:pStyle w:val="1"/>
        <w:numPr>
          <w:ilvl w:val="0"/>
          <w:numId w:val="0"/>
        </w:numPr>
        <w:spacing w:before="0" w:line="360" w:lineRule="auto"/>
      </w:pPr>
      <w:r>
        <w:t>[60]</w:t>
      </w:r>
      <w:r>
        <w:tab/>
      </w:r>
      <w:r w:rsidR="00B15AF7">
        <w:t xml:space="preserve">I am alive to the fact that the interpretation of the Pretoria </w:t>
      </w:r>
      <w:r w:rsidR="00F54583">
        <w:t xml:space="preserve">order </w:t>
      </w:r>
      <w:r w:rsidR="00B15AF7">
        <w:t xml:space="preserve">and the issue regarding whether this agreement with the Prudential Authority existed is a live dispute before the Pretoria High Court, </w:t>
      </w:r>
      <w:r w:rsidR="00F56654">
        <w:t xml:space="preserve">which had been set down to </w:t>
      </w:r>
      <w:r w:rsidR="00B15AF7">
        <w:t xml:space="preserve">be heard on 8 March 2024. However, these facts more especially the </w:t>
      </w:r>
      <w:r w:rsidR="000A5EEF">
        <w:t xml:space="preserve">alleged </w:t>
      </w:r>
      <w:r w:rsidR="00B15AF7">
        <w:t xml:space="preserve">deliberately pairing down of the Pretoria </w:t>
      </w:r>
      <w:r w:rsidR="00F54583">
        <w:t xml:space="preserve">order </w:t>
      </w:r>
      <w:r w:rsidR="00B15AF7">
        <w:t xml:space="preserve">was not placed before Mossop J when he was asked to grant the </w:t>
      </w:r>
      <w:r w:rsidR="00F54583">
        <w:t>PMB order</w:t>
      </w:r>
      <w:r w:rsidR="00B15AF7">
        <w:t>.</w:t>
      </w:r>
      <w:r w:rsidR="00B15AF7">
        <w:rPr>
          <w:rStyle w:val="FootnoteReference"/>
        </w:rPr>
        <w:footnoteReference w:id="35"/>
      </w:r>
    </w:p>
    <w:p w14:paraId="087DBB6B" w14:textId="77777777" w:rsidR="00B15AF7" w:rsidRDefault="00B15AF7" w:rsidP="009457A2">
      <w:pPr>
        <w:pStyle w:val="1"/>
        <w:numPr>
          <w:ilvl w:val="0"/>
          <w:numId w:val="0"/>
        </w:numPr>
        <w:spacing w:before="0" w:line="360" w:lineRule="auto"/>
      </w:pPr>
    </w:p>
    <w:p w14:paraId="707BF335" w14:textId="2A98C8FD" w:rsidR="00B15AF7" w:rsidRDefault="0053192E" w:rsidP="0053192E">
      <w:pPr>
        <w:pStyle w:val="1"/>
        <w:numPr>
          <w:ilvl w:val="0"/>
          <w:numId w:val="0"/>
        </w:numPr>
        <w:spacing w:before="0" w:line="360" w:lineRule="auto"/>
      </w:pPr>
      <w:r>
        <w:t>[61]</w:t>
      </w:r>
      <w:r>
        <w:tab/>
      </w:r>
      <w:r w:rsidR="00B15AF7">
        <w:t xml:space="preserve">The applicant’s argument is that </w:t>
      </w:r>
      <w:r w:rsidR="009B3E6A">
        <w:t xml:space="preserve">he </w:t>
      </w:r>
      <w:r w:rsidR="00B15AF7">
        <w:t xml:space="preserve">could not know about the discussions between the Prudential Authority and the </w:t>
      </w:r>
      <w:r w:rsidR="00C05C56">
        <w:t xml:space="preserve">respondent </w:t>
      </w:r>
      <w:r w:rsidR="00B15AF7">
        <w:t xml:space="preserve">because </w:t>
      </w:r>
      <w:r w:rsidR="009B3E6A">
        <w:t xml:space="preserve">he </w:t>
      </w:r>
      <w:r w:rsidR="00B15AF7">
        <w:t>was not party to those discussions</w:t>
      </w:r>
      <w:r w:rsidR="00F37944">
        <w:t xml:space="preserve">. Whilst his submission </w:t>
      </w:r>
      <w:r w:rsidR="001B753C">
        <w:t>being that he</w:t>
      </w:r>
      <w:r w:rsidR="00B15AF7">
        <w:t xml:space="preserve"> could not disclose those discussions to the </w:t>
      </w:r>
      <w:r w:rsidR="001B753C">
        <w:t>c</w:t>
      </w:r>
      <w:r w:rsidR="00C05C56">
        <w:t xml:space="preserve">ourt </w:t>
      </w:r>
      <w:r w:rsidR="00B15AF7">
        <w:t xml:space="preserve">is inviting </w:t>
      </w:r>
      <w:r w:rsidR="00F37944">
        <w:t xml:space="preserve">it is however </w:t>
      </w:r>
      <w:r w:rsidR="00B15AF7">
        <w:t xml:space="preserve">somewhat divorced from the actual position the applicant was placed </w:t>
      </w:r>
      <w:r w:rsidR="00F37944">
        <w:t xml:space="preserve"> </w:t>
      </w:r>
      <w:r w:rsidR="001B753C">
        <w:t xml:space="preserve">in </w:t>
      </w:r>
      <w:r w:rsidR="00F37944">
        <w:t>and</w:t>
      </w:r>
      <w:r w:rsidR="001B753C">
        <w:t xml:space="preserve"> is not an answer to the question of </w:t>
      </w:r>
      <w:r w:rsidR="00F37944">
        <w:t xml:space="preserve"> whether he could have</w:t>
      </w:r>
      <w:r w:rsidR="00B15AF7">
        <w:t xml:space="preserve"> ascertain</w:t>
      </w:r>
      <w:r w:rsidR="00F37944">
        <w:t>ed</w:t>
      </w:r>
      <w:r w:rsidR="00B15AF7">
        <w:t xml:space="preserve"> such information </w:t>
      </w:r>
      <w:r w:rsidR="00F37944">
        <w:t xml:space="preserve">prior to moving his </w:t>
      </w:r>
      <w:r w:rsidR="00B15AF7">
        <w:t>application</w:t>
      </w:r>
      <w:r w:rsidR="009457A2">
        <w:t xml:space="preserve"> </w:t>
      </w:r>
      <w:r w:rsidR="00B15AF7">
        <w:t xml:space="preserve">before Mossop J. </w:t>
      </w:r>
    </w:p>
    <w:p w14:paraId="5ED42E6A" w14:textId="77777777" w:rsidR="00B15AF7" w:rsidRDefault="00B15AF7" w:rsidP="009457A2">
      <w:pPr>
        <w:pStyle w:val="1"/>
        <w:numPr>
          <w:ilvl w:val="0"/>
          <w:numId w:val="0"/>
        </w:numPr>
        <w:spacing w:before="0" w:line="360" w:lineRule="auto"/>
      </w:pPr>
    </w:p>
    <w:p w14:paraId="01C06D66" w14:textId="339307A3" w:rsidR="00B15AF7" w:rsidRDefault="0053192E" w:rsidP="0053192E">
      <w:pPr>
        <w:pStyle w:val="1"/>
        <w:numPr>
          <w:ilvl w:val="0"/>
          <w:numId w:val="0"/>
        </w:numPr>
        <w:spacing w:before="0" w:line="360" w:lineRule="auto"/>
      </w:pPr>
      <w:r>
        <w:t>[62]</w:t>
      </w:r>
      <w:r>
        <w:tab/>
      </w:r>
      <w:r w:rsidR="00B15AF7">
        <w:t xml:space="preserve">The applicant is correct in that he was not a party to the litigation leading up to </w:t>
      </w:r>
      <w:r w:rsidR="0077249B">
        <w:t xml:space="preserve">the </w:t>
      </w:r>
      <w:r w:rsidR="00B15AF7">
        <w:t xml:space="preserve">Pretoria </w:t>
      </w:r>
      <w:r w:rsidR="0077249B">
        <w:t xml:space="preserve">order </w:t>
      </w:r>
      <w:r w:rsidR="00B15AF7">
        <w:t xml:space="preserve">and there is nothing </w:t>
      </w:r>
      <w:r w:rsidR="003B0096">
        <w:t xml:space="preserve">in </w:t>
      </w:r>
      <w:r w:rsidR="00B15AF7">
        <w:t xml:space="preserve">the affidavits which indicate that </w:t>
      </w:r>
      <w:r w:rsidR="009B3E6A">
        <w:t xml:space="preserve">he </w:t>
      </w:r>
      <w:r w:rsidR="00B15AF7">
        <w:t xml:space="preserve">was aware of the discussions between the respondent and the Prudential Authority. </w:t>
      </w:r>
    </w:p>
    <w:p w14:paraId="6EF5A246" w14:textId="77777777" w:rsidR="00B15AF7" w:rsidRDefault="00B15AF7" w:rsidP="009457A2">
      <w:pPr>
        <w:pStyle w:val="1"/>
        <w:numPr>
          <w:ilvl w:val="0"/>
          <w:numId w:val="0"/>
        </w:numPr>
        <w:spacing w:before="0" w:line="360" w:lineRule="auto"/>
      </w:pPr>
    </w:p>
    <w:p w14:paraId="05BC80C9" w14:textId="0C47A509" w:rsidR="00B15AF7" w:rsidRDefault="0053192E" w:rsidP="0053192E">
      <w:pPr>
        <w:pStyle w:val="1"/>
        <w:numPr>
          <w:ilvl w:val="0"/>
          <w:numId w:val="0"/>
        </w:numPr>
        <w:spacing w:before="0" w:line="360" w:lineRule="auto"/>
      </w:pPr>
      <w:r>
        <w:t>[63]</w:t>
      </w:r>
      <w:r>
        <w:tab/>
      </w:r>
      <w:r w:rsidR="00B15AF7">
        <w:t xml:space="preserve">However, when the applicant sought the PMB order, </w:t>
      </w:r>
      <w:r w:rsidR="009B3E6A">
        <w:t xml:space="preserve">he </w:t>
      </w:r>
      <w:r w:rsidR="00B15AF7">
        <w:t>did so almost in conjunction with the Prudential Authority.</w:t>
      </w:r>
    </w:p>
    <w:p w14:paraId="24CC471B" w14:textId="77777777" w:rsidR="00B15AF7" w:rsidRDefault="00B15AF7" w:rsidP="009457A2">
      <w:pPr>
        <w:pStyle w:val="1"/>
        <w:numPr>
          <w:ilvl w:val="0"/>
          <w:numId w:val="0"/>
        </w:numPr>
        <w:spacing w:before="0" w:line="360" w:lineRule="auto"/>
      </w:pPr>
    </w:p>
    <w:p w14:paraId="0FE9BA74" w14:textId="323A93DF" w:rsidR="00B15AF7" w:rsidRDefault="0053192E" w:rsidP="0053192E">
      <w:pPr>
        <w:pStyle w:val="1"/>
        <w:numPr>
          <w:ilvl w:val="0"/>
          <w:numId w:val="0"/>
        </w:numPr>
        <w:spacing w:before="0" w:line="360" w:lineRule="auto"/>
      </w:pPr>
      <w:r>
        <w:t>[64]</w:t>
      </w:r>
      <w:r>
        <w:tab/>
      </w:r>
      <w:r w:rsidR="00B15AF7">
        <w:t xml:space="preserve"> I say this because I raised </w:t>
      </w:r>
      <w:r w:rsidR="00A728E0">
        <w:t>with the applicant a</w:t>
      </w:r>
      <w:r w:rsidR="00B15AF7">
        <w:t xml:space="preserve"> question about</w:t>
      </w:r>
      <w:r w:rsidR="009457A2">
        <w:t xml:space="preserve"> </w:t>
      </w:r>
      <w:r w:rsidR="00B15AF7">
        <w:t>service on the Prudential Authority and whether that statutory requirement had been met</w:t>
      </w:r>
      <w:r w:rsidR="003B0096">
        <w:t>.</w:t>
      </w:r>
      <w:r w:rsidR="00B15AF7">
        <w:t xml:space="preserve"> </w:t>
      </w:r>
      <w:r w:rsidR="003B0096">
        <w:t xml:space="preserve">The </w:t>
      </w:r>
      <w:r w:rsidR="00B15AF7">
        <w:t>applicant</w:t>
      </w:r>
      <w:r w:rsidR="003B0096">
        <w:t>, in response,</w:t>
      </w:r>
      <w:r w:rsidR="00B15AF7">
        <w:t xml:space="preserve"> submitted that a similar question had been raised by Mossop J at the initial hearing</w:t>
      </w:r>
      <w:r w:rsidR="003B0096">
        <w:t>.</w:t>
      </w:r>
      <w:r w:rsidR="00B15AF7">
        <w:t xml:space="preserve"> </w:t>
      </w:r>
      <w:r w:rsidR="003B0096">
        <w:t>T</w:t>
      </w:r>
      <w:r w:rsidR="00B15AF7">
        <w:t>h</w:t>
      </w:r>
      <w:r w:rsidR="003B0096">
        <w:t>e applicant’s response to Mossop J (</w:t>
      </w:r>
      <w:r w:rsidR="00B15AF7">
        <w:t>as it was to me) was that the Prudential Authority had delivered a confirmatory affidavit in these proceedings and was thus aware</w:t>
      </w:r>
      <w:r w:rsidR="009457A2">
        <w:t xml:space="preserve"> </w:t>
      </w:r>
      <w:r w:rsidR="00B15AF7">
        <w:t>of same.</w:t>
      </w:r>
      <w:r w:rsidR="00B15AF7">
        <w:rPr>
          <w:rStyle w:val="FootnoteReference"/>
        </w:rPr>
        <w:footnoteReference w:id="36"/>
      </w:r>
    </w:p>
    <w:p w14:paraId="53822168" w14:textId="77777777" w:rsidR="00B15AF7" w:rsidRDefault="00B15AF7" w:rsidP="009457A2">
      <w:pPr>
        <w:pStyle w:val="1"/>
        <w:numPr>
          <w:ilvl w:val="0"/>
          <w:numId w:val="0"/>
        </w:numPr>
        <w:spacing w:before="0" w:line="360" w:lineRule="auto"/>
      </w:pPr>
    </w:p>
    <w:p w14:paraId="37106741" w14:textId="3A56E276" w:rsidR="00B15AF7" w:rsidRDefault="0053192E" w:rsidP="0053192E">
      <w:pPr>
        <w:pStyle w:val="1"/>
        <w:numPr>
          <w:ilvl w:val="0"/>
          <w:numId w:val="0"/>
        </w:numPr>
        <w:spacing w:before="0" w:line="360" w:lineRule="auto"/>
      </w:pPr>
      <w:r>
        <w:t>[65]</w:t>
      </w:r>
      <w:r>
        <w:tab/>
      </w:r>
      <w:r w:rsidR="00B15AF7">
        <w:t>The confirmatory affidavit serves as proof of discussions between the applicant and the Prudential Authority</w:t>
      </w:r>
      <w:r w:rsidR="009457A2">
        <w:t xml:space="preserve"> </w:t>
      </w:r>
      <w:r w:rsidR="00B15AF7">
        <w:t>in which the applicant</w:t>
      </w:r>
      <w:r w:rsidR="009457A2">
        <w:t xml:space="preserve"> </w:t>
      </w:r>
      <w:r w:rsidR="00B15AF7">
        <w:t xml:space="preserve">sought support for this application, such discussions resulting in the very confirmatory </w:t>
      </w:r>
      <w:r w:rsidR="00ED4300">
        <w:t xml:space="preserve">he </w:t>
      </w:r>
      <w:r w:rsidR="00B15AF7">
        <w:t xml:space="preserve">relied upon to prove service. </w:t>
      </w:r>
    </w:p>
    <w:p w14:paraId="4BF3798C" w14:textId="77777777" w:rsidR="002F5639" w:rsidRDefault="002F5639" w:rsidP="009457A2">
      <w:pPr>
        <w:pStyle w:val="1"/>
        <w:numPr>
          <w:ilvl w:val="0"/>
          <w:numId w:val="0"/>
        </w:numPr>
        <w:spacing w:before="0" w:line="360" w:lineRule="auto"/>
      </w:pPr>
    </w:p>
    <w:p w14:paraId="3C666B90" w14:textId="73FFE090" w:rsidR="00B15AF7" w:rsidRDefault="0053192E" w:rsidP="0053192E">
      <w:pPr>
        <w:pStyle w:val="1"/>
        <w:numPr>
          <w:ilvl w:val="0"/>
          <w:numId w:val="0"/>
        </w:numPr>
        <w:spacing w:before="0" w:line="360" w:lineRule="auto"/>
      </w:pPr>
      <w:r>
        <w:t>[66]</w:t>
      </w:r>
      <w:r>
        <w:tab/>
      </w:r>
      <w:r w:rsidR="00B15AF7">
        <w:t xml:space="preserve">The applicant sought the confirmatory affidavit so that (on </w:t>
      </w:r>
      <w:r w:rsidR="008C4C4C">
        <w:t xml:space="preserve">his </w:t>
      </w:r>
      <w:r w:rsidR="00B15AF7">
        <w:t xml:space="preserve">own version) could leverage off the Pretoria litigation to obtain </w:t>
      </w:r>
      <w:r w:rsidR="00A728E0">
        <w:t>his</w:t>
      </w:r>
      <w:r w:rsidR="00B15AF7">
        <w:t xml:space="preserve"> relief before Mossop J. </w:t>
      </w:r>
      <w:r w:rsidR="003B0096">
        <w:t xml:space="preserve">In </w:t>
      </w:r>
      <w:r w:rsidR="00B15AF7">
        <w:t xml:space="preserve">doing so </w:t>
      </w:r>
      <w:r w:rsidR="00A728E0">
        <w:t>he</w:t>
      </w:r>
      <w:r w:rsidR="00B15AF7">
        <w:t xml:space="preserve"> was obliged </w:t>
      </w:r>
      <w:r w:rsidR="003B0096">
        <w:t xml:space="preserve">to </w:t>
      </w:r>
      <w:r w:rsidR="00B15AF7">
        <w:t xml:space="preserve">ensure that </w:t>
      </w:r>
      <w:r w:rsidR="00A728E0">
        <w:t>he</w:t>
      </w:r>
      <w:r w:rsidR="00B15AF7">
        <w:t xml:space="preserve"> elicited all information from the Prudential Authority which </w:t>
      </w:r>
      <w:r w:rsidR="003B0096">
        <w:t xml:space="preserve">he </w:t>
      </w:r>
      <w:r w:rsidR="00B15AF7">
        <w:t xml:space="preserve">might need to be placed before Mossop J when the matter was first heard. </w:t>
      </w:r>
    </w:p>
    <w:p w14:paraId="35C109EB" w14:textId="77777777" w:rsidR="002F5639" w:rsidRDefault="002F5639" w:rsidP="009457A2">
      <w:pPr>
        <w:pStyle w:val="1"/>
        <w:numPr>
          <w:ilvl w:val="0"/>
          <w:numId w:val="0"/>
        </w:numPr>
        <w:spacing w:before="0" w:line="360" w:lineRule="auto"/>
      </w:pPr>
    </w:p>
    <w:p w14:paraId="1369C3D8" w14:textId="033DC6CA" w:rsidR="00B15AF7" w:rsidRDefault="0053192E" w:rsidP="0053192E">
      <w:pPr>
        <w:pStyle w:val="1"/>
        <w:numPr>
          <w:ilvl w:val="0"/>
          <w:numId w:val="0"/>
        </w:numPr>
        <w:spacing w:before="0" w:line="360" w:lineRule="auto"/>
      </w:pPr>
      <w:r>
        <w:t>[67]</w:t>
      </w:r>
      <w:r>
        <w:tab/>
      </w:r>
      <w:r w:rsidR="00B15AF7">
        <w:t xml:space="preserve">Mr </w:t>
      </w:r>
      <w:r w:rsidR="008C4C4C">
        <w:t xml:space="preserve">Kerwin </w:t>
      </w:r>
      <w:r w:rsidR="00B15AF7">
        <w:t>Martin</w:t>
      </w:r>
      <w:r w:rsidR="00B15AF7">
        <w:rPr>
          <w:rStyle w:val="FootnoteReference"/>
        </w:rPr>
        <w:footnoteReference w:id="37"/>
      </w:r>
      <w:r w:rsidR="00B15AF7">
        <w:t xml:space="preserve"> tendered the ‘</w:t>
      </w:r>
      <w:r w:rsidR="00B15AF7" w:rsidRPr="00CE0BF7">
        <w:rPr>
          <w:i/>
          <w:iCs w:val="0"/>
        </w:rPr>
        <w:t>Prudential Authority’</w:t>
      </w:r>
      <w:r w:rsidR="00B15AF7">
        <w:t xml:space="preserve"> confirmatory affidavit which is intended to confirm</w:t>
      </w:r>
      <w:r w:rsidR="008C4C4C">
        <w:t xml:space="preserve"> the </w:t>
      </w:r>
      <w:r w:rsidR="00F37944" w:rsidRPr="00A53ED4">
        <w:t>Prudential Authority</w:t>
      </w:r>
      <w:r w:rsidR="00F37944">
        <w:t xml:space="preserve">’s affidavit </w:t>
      </w:r>
      <w:r w:rsidR="008C4C4C">
        <w:t>the Pretoria litigation marked</w:t>
      </w:r>
      <w:r w:rsidR="00B15AF7">
        <w:t xml:space="preserve"> annexure </w:t>
      </w:r>
      <w:r w:rsidR="008C4C4C">
        <w:t>‘</w:t>
      </w:r>
      <w:r w:rsidR="00B15AF7">
        <w:t>JK11</w:t>
      </w:r>
      <w:r w:rsidR="008C4C4C">
        <w:t>’</w:t>
      </w:r>
      <w:r w:rsidR="00B15AF7">
        <w:t xml:space="preserve"> as referenced in paragraph 24 of the applicant’s founding affidavit</w:t>
      </w:r>
      <w:r w:rsidR="00A728E0">
        <w:t xml:space="preserve">. </w:t>
      </w:r>
      <w:r w:rsidR="008C4C4C">
        <w:t xml:space="preserve">Mr Martin </w:t>
      </w:r>
      <w:r w:rsidR="00B15AF7">
        <w:t>is</w:t>
      </w:r>
      <w:r w:rsidR="00A728E0">
        <w:t xml:space="preserve"> also</w:t>
      </w:r>
      <w:r w:rsidR="00B15AF7">
        <w:t xml:space="preserve"> the deponent to annexure </w:t>
      </w:r>
      <w:r w:rsidR="008C4C4C">
        <w:t>‘</w:t>
      </w:r>
      <w:r w:rsidR="00B15AF7">
        <w:t>JK11</w:t>
      </w:r>
      <w:r w:rsidR="008C4C4C">
        <w:t>’</w:t>
      </w:r>
      <w:r w:rsidR="00B15AF7">
        <w:t xml:space="preserve">. </w:t>
      </w:r>
    </w:p>
    <w:p w14:paraId="3505BFF9" w14:textId="77777777" w:rsidR="002F5639" w:rsidRDefault="002F5639" w:rsidP="009457A2">
      <w:pPr>
        <w:pStyle w:val="1"/>
        <w:numPr>
          <w:ilvl w:val="0"/>
          <w:numId w:val="0"/>
        </w:numPr>
        <w:spacing w:before="0" w:line="360" w:lineRule="auto"/>
      </w:pPr>
    </w:p>
    <w:p w14:paraId="23DD327A" w14:textId="192A34F1" w:rsidR="00B15AF7" w:rsidRDefault="0053192E" w:rsidP="0053192E">
      <w:pPr>
        <w:pStyle w:val="1"/>
        <w:numPr>
          <w:ilvl w:val="0"/>
          <w:numId w:val="0"/>
        </w:numPr>
        <w:spacing w:before="0" w:line="360" w:lineRule="auto"/>
      </w:pPr>
      <w:r>
        <w:t>[68]</w:t>
      </w:r>
      <w:r>
        <w:tab/>
      </w:r>
      <w:r w:rsidR="00B15AF7">
        <w:t xml:space="preserve"> As the applicant contends in paragraph 24 of </w:t>
      </w:r>
      <w:r w:rsidR="008C4C4C">
        <w:t>his founding</w:t>
      </w:r>
      <w:r w:rsidR="00B15AF7">
        <w:t xml:space="preserve">, Mr Martin’s affidavit in the Pretoria </w:t>
      </w:r>
      <w:r w:rsidR="008C4C4C">
        <w:t xml:space="preserve">litigation </w:t>
      </w:r>
      <w:r w:rsidR="00B15AF7">
        <w:t>details a litany of ongoing litigation in Pretoria and in particular the litigation which eventually led to the Pretoria order being granted days before the PMB order was granted. Mr Martin</w:t>
      </w:r>
      <w:r w:rsidR="008C4C4C">
        <w:t>’</w:t>
      </w:r>
      <w:r w:rsidR="00B15AF7">
        <w:t>s confirmatory affidavit was attested to on 20 December 2023.</w:t>
      </w:r>
      <w:r w:rsidR="00B15AF7">
        <w:rPr>
          <w:rStyle w:val="FootnoteReference"/>
        </w:rPr>
        <w:footnoteReference w:id="38"/>
      </w:r>
      <w:r w:rsidR="009457A2">
        <w:t xml:space="preserve"> </w:t>
      </w:r>
      <w:r w:rsidR="008C4C4C">
        <w:t>‘</w:t>
      </w:r>
      <w:r w:rsidR="00B15AF7">
        <w:t>JK11</w:t>
      </w:r>
      <w:r w:rsidR="008C4C4C">
        <w:t>’</w:t>
      </w:r>
      <w:r w:rsidR="00B15AF7">
        <w:t xml:space="preserve"> was attested to by Mr Martin on 12 December 2023.</w:t>
      </w:r>
      <w:r w:rsidR="00B15AF7">
        <w:rPr>
          <w:rStyle w:val="FootnoteReference"/>
        </w:rPr>
        <w:footnoteReference w:id="39"/>
      </w:r>
    </w:p>
    <w:p w14:paraId="359C8D6F" w14:textId="77777777" w:rsidR="002F5639" w:rsidRDefault="002F5639" w:rsidP="009457A2">
      <w:pPr>
        <w:pStyle w:val="1"/>
        <w:numPr>
          <w:ilvl w:val="0"/>
          <w:numId w:val="0"/>
        </w:numPr>
        <w:spacing w:before="0" w:line="360" w:lineRule="auto"/>
      </w:pPr>
    </w:p>
    <w:p w14:paraId="4AC860A5" w14:textId="3C6566EC" w:rsidR="00B15AF7" w:rsidRDefault="0053192E" w:rsidP="0053192E">
      <w:pPr>
        <w:pStyle w:val="1"/>
        <w:numPr>
          <w:ilvl w:val="0"/>
          <w:numId w:val="0"/>
        </w:numPr>
        <w:spacing w:before="0" w:line="360" w:lineRule="auto"/>
      </w:pPr>
      <w:r>
        <w:t>[69]</w:t>
      </w:r>
      <w:r>
        <w:tab/>
      </w:r>
      <w:r w:rsidR="00B15AF7">
        <w:t>On 21 December 2023, prior to granting the PMB order, the applicant delivered a supplementary affidavit</w:t>
      </w:r>
      <w:r w:rsidR="00B15AF7">
        <w:rPr>
          <w:rStyle w:val="FootnoteReference"/>
        </w:rPr>
        <w:footnoteReference w:id="40"/>
      </w:r>
      <w:r w:rsidR="00B15AF7">
        <w:t xml:space="preserve"> in which it details the granting of the Pretoria order on 20 December 2023.</w:t>
      </w:r>
    </w:p>
    <w:p w14:paraId="437EBFB9" w14:textId="77777777" w:rsidR="002F5639" w:rsidRDefault="002F5639" w:rsidP="009457A2">
      <w:pPr>
        <w:pStyle w:val="1"/>
        <w:numPr>
          <w:ilvl w:val="0"/>
          <w:numId w:val="0"/>
        </w:numPr>
        <w:spacing w:before="0" w:line="360" w:lineRule="auto"/>
      </w:pPr>
    </w:p>
    <w:p w14:paraId="63ECBD1F" w14:textId="247BCC9D" w:rsidR="00B15AF7" w:rsidRDefault="0053192E" w:rsidP="0053192E">
      <w:pPr>
        <w:pStyle w:val="1"/>
        <w:numPr>
          <w:ilvl w:val="0"/>
          <w:numId w:val="0"/>
        </w:numPr>
        <w:spacing w:before="0" w:line="360" w:lineRule="auto"/>
      </w:pPr>
      <w:r>
        <w:t>[70]</w:t>
      </w:r>
      <w:r>
        <w:tab/>
      </w:r>
      <w:r w:rsidR="00B15AF7">
        <w:t xml:space="preserve">There </w:t>
      </w:r>
      <w:r w:rsidR="00F37944">
        <w:t>i</w:t>
      </w:r>
      <w:r w:rsidR="00B15AF7">
        <w:t xml:space="preserve">s </w:t>
      </w:r>
      <w:r w:rsidR="00F37944">
        <w:t xml:space="preserve">no </w:t>
      </w:r>
      <w:r w:rsidR="00B15AF7">
        <w:t xml:space="preserve">explanation as to why information </w:t>
      </w:r>
      <w:r w:rsidR="00FB65DF" w:rsidRPr="00FB65DF">
        <w:t xml:space="preserve">had not been not sought by the applicant from the Prudential Authority </w:t>
      </w:r>
      <w:r w:rsidR="00B15AF7">
        <w:t xml:space="preserve">regarding basis on which the Pretoria </w:t>
      </w:r>
      <w:r w:rsidR="008C4C4C">
        <w:t xml:space="preserve">order </w:t>
      </w:r>
      <w:r w:rsidR="00B15AF7">
        <w:t xml:space="preserve">was </w:t>
      </w:r>
      <w:r w:rsidR="00FB65DF">
        <w:t xml:space="preserve">obtained </w:t>
      </w:r>
      <w:r w:rsidR="00F37944">
        <w:t xml:space="preserve"> </w:t>
      </w:r>
      <w:r w:rsidR="00B15AF7">
        <w:t xml:space="preserve">especially when </w:t>
      </w:r>
      <w:r w:rsidR="00FB65DF">
        <w:t xml:space="preserve">a </w:t>
      </w:r>
      <w:r w:rsidR="00B15AF7">
        <w:t>confirmatory affidavit was sought</w:t>
      </w:r>
      <w:r w:rsidR="00FB65DF">
        <w:t xml:space="preserve"> from </w:t>
      </w:r>
      <w:r w:rsidR="00FB65DF" w:rsidRPr="00FB65DF">
        <w:t>the Prudential Authority</w:t>
      </w:r>
      <w:r w:rsidR="00FB65DF">
        <w:t xml:space="preserve"> by the applicant for its urgent application.</w:t>
      </w:r>
    </w:p>
    <w:p w14:paraId="22160B5B" w14:textId="77777777" w:rsidR="002F5639" w:rsidRDefault="002F5639" w:rsidP="009457A2">
      <w:pPr>
        <w:pStyle w:val="1"/>
        <w:numPr>
          <w:ilvl w:val="0"/>
          <w:numId w:val="0"/>
        </w:numPr>
        <w:spacing w:before="0" w:line="360" w:lineRule="auto"/>
      </w:pPr>
    </w:p>
    <w:p w14:paraId="65B9CFF7" w14:textId="1AA419BB" w:rsidR="00B15AF7" w:rsidRDefault="0053192E" w:rsidP="0053192E">
      <w:pPr>
        <w:pStyle w:val="1"/>
        <w:numPr>
          <w:ilvl w:val="0"/>
          <w:numId w:val="0"/>
        </w:numPr>
        <w:spacing w:before="0" w:line="360" w:lineRule="auto"/>
      </w:pPr>
      <w:r>
        <w:t>[71]</w:t>
      </w:r>
      <w:r>
        <w:tab/>
      </w:r>
      <w:r w:rsidR="00B15AF7">
        <w:t xml:space="preserve">When an </w:t>
      </w:r>
      <w:r w:rsidR="00B15AF7">
        <w:rPr>
          <w:i/>
          <w:iCs w:val="0"/>
        </w:rPr>
        <w:t>ex parte</w:t>
      </w:r>
      <w:r w:rsidR="00B15AF7">
        <w:t xml:space="preserve"> order is sought the utmost good faith must be observed which requires all material facts </w:t>
      </w:r>
      <w:r w:rsidR="00B15AF7" w:rsidRPr="00365355">
        <w:rPr>
          <w:i/>
        </w:rPr>
        <w:t>to be disclosed which might influence a court in coming to its decision</w:t>
      </w:r>
      <w:r w:rsidR="00B15AF7">
        <w:t xml:space="preserve">. The </w:t>
      </w:r>
      <w:r w:rsidR="00BE53D1">
        <w:t>‘</w:t>
      </w:r>
      <w:r w:rsidR="00BE53D1" w:rsidRPr="00BE53D1">
        <w:rPr>
          <w:bCs/>
        </w:rPr>
        <w:t>withholding or suppression of material facts, by itself, entitles a court to set aside</w:t>
      </w:r>
      <w:r w:rsidR="00BE53D1">
        <w:rPr>
          <w:bCs/>
        </w:rPr>
        <w:t xml:space="preserve"> </w:t>
      </w:r>
      <w:r w:rsidR="00BE53D1" w:rsidRPr="00BE53D1">
        <w:rPr>
          <w:bCs/>
        </w:rPr>
        <w:t xml:space="preserve">an order, even if the non-disclosure or suppression was not wilful or </w:t>
      </w:r>
      <w:r w:rsidR="00BE53D1" w:rsidRPr="00BE53D1">
        <w:rPr>
          <w:bCs/>
          <w:i/>
        </w:rPr>
        <w:t>mala fide</w:t>
      </w:r>
      <w:r w:rsidR="00B15AF7">
        <w:t>.</w:t>
      </w:r>
      <w:r w:rsidR="00BE53D1">
        <w:t>’</w:t>
      </w:r>
      <w:r w:rsidR="00B15AF7">
        <w:rPr>
          <w:rStyle w:val="FootnoteReference"/>
        </w:rPr>
        <w:footnoteReference w:id="41"/>
      </w:r>
    </w:p>
    <w:p w14:paraId="147250F1" w14:textId="77777777" w:rsidR="002F5639" w:rsidRDefault="002F5639" w:rsidP="009457A2">
      <w:pPr>
        <w:pStyle w:val="1"/>
        <w:numPr>
          <w:ilvl w:val="0"/>
          <w:numId w:val="0"/>
        </w:numPr>
        <w:spacing w:before="0" w:line="360" w:lineRule="auto"/>
      </w:pPr>
    </w:p>
    <w:p w14:paraId="2105C897" w14:textId="1A571A99" w:rsidR="00B15AF7" w:rsidRPr="002F5639" w:rsidRDefault="0053192E" w:rsidP="0053192E">
      <w:pPr>
        <w:pStyle w:val="1"/>
        <w:numPr>
          <w:ilvl w:val="0"/>
          <w:numId w:val="0"/>
        </w:numPr>
        <w:spacing w:before="0" w:line="360" w:lineRule="auto"/>
        <w:rPr>
          <w:i/>
          <w:iCs w:val="0"/>
        </w:rPr>
      </w:pPr>
      <w:r w:rsidRPr="002F5639">
        <w:rPr>
          <w:iCs w:val="0"/>
        </w:rPr>
        <w:t>[72]</w:t>
      </w:r>
      <w:r w:rsidRPr="002F5639">
        <w:rPr>
          <w:iCs w:val="0"/>
        </w:rPr>
        <w:tab/>
      </w:r>
      <w:r w:rsidR="00B15AF7">
        <w:t xml:space="preserve">Where the law allows for a departure from the principle of </w:t>
      </w:r>
      <w:r w:rsidR="00B15AF7" w:rsidRPr="00E2581F">
        <w:rPr>
          <w:i/>
          <w:iCs w:val="0"/>
        </w:rPr>
        <w:t>audi alteram partem</w:t>
      </w:r>
      <w:r w:rsidR="00B15AF7">
        <w:t xml:space="preserve">, such departure occurs in exceptional circumstances and when it is sought the </w:t>
      </w:r>
      <w:r w:rsidR="00B15AF7">
        <w:rPr>
          <w:i/>
          <w:iCs w:val="0"/>
        </w:rPr>
        <w:t>ex parte</w:t>
      </w:r>
      <w:r w:rsidR="00D5424C">
        <w:t xml:space="preserve"> applicant assumes a ‘</w:t>
      </w:r>
      <w:r w:rsidR="00D5424C" w:rsidRPr="00D5424C">
        <w:rPr>
          <w:bCs/>
          <w:i/>
          <w:iCs w:val="0"/>
        </w:rPr>
        <w:t>heavy responsibility to neutralise the prejudice the affected party suffers by his or her absence</w:t>
      </w:r>
      <w:r w:rsidR="00D5424C" w:rsidRPr="00D5424C">
        <w:rPr>
          <w:iCs w:val="0"/>
        </w:rPr>
        <w:t>’</w:t>
      </w:r>
      <w:r w:rsidR="00B15AF7" w:rsidRPr="00D5424C">
        <w:t>.</w:t>
      </w:r>
      <w:r w:rsidR="00B15AF7">
        <w:rPr>
          <w:rStyle w:val="FootnoteReference"/>
        </w:rPr>
        <w:footnoteReference w:id="42"/>
      </w:r>
    </w:p>
    <w:p w14:paraId="508B649E" w14:textId="77777777" w:rsidR="002F5639" w:rsidRPr="00E2581F" w:rsidRDefault="002F5639" w:rsidP="009457A2">
      <w:pPr>
        <w:pStyle w:val="1"/>
        <w:numPr>
          <w:ilvl w:val="0"/>
          <w:numId w:val="0"/>
        </w:numPr>
        <w:spacing w:before="0" w:line="360" w:lineRule="auto"/>
        <w:rPr>
          <w:i/>
          <w:iCs w:val="0"/>
        </w:rPr>
      </w:pPr>
    </w:p>
    <w:p w14:paraId="644410C9" w14:textId="1B07EE8B" w:rsidR="00B15AF7" w:rsidRPr="002F5639" w:rsidRDefault="0053192E" w:rsidP="0053192E">
      <w:pPr>
        <w:pStyle w:val="1"/>
        <w:numPr>
          <w:ilvl w:val="0"/>
          <w:numId w:val="0"/>
        </w:numPr>
        <w:spacing w:before="0" w:line="360" w:lineRule="auto"/>
        <w:rPr>
          <w:i/>
          <w:iCs w:val="0"/>
        </w:rPr>
      </w:pPr>
      <w:r w:rsidRPr="002F5639">
        <w:rPr>
          <w:iCs w:val="0"/>
        </w:rPr>
        <w:t>[73]</w:t>
      </w:r>
      <w:r w:rsidRPr="002F5639">
        <w:rPr>
          <w:iCs w:val="0"/>
        </w:rPr>
        <w:tab/>
      </w:r>
      <w:r w:rsidR="00B15AF7">
        <w:t xml:space="preserve">What was required of the applicant when </w:t>
      </w:r>
      <w:r w:rsidR="00ED4300">
        <w:t xml:space="preserve">he </w:t>
      </w:r>
      <w:r w:rsidR="00B15AF7">
        <w:t>came before Mossop J was</w:t>
      </w:r>
      <w:r w:rsidR="009457A2">
        <w:t xml:space="preserve"> </w:t>
      </w:r>
      <w:r w:rsidR="00B15AF7">
        <w:t xml:space="preserve">to speak for the respondent by </w:t>
      </w:r>
      <w:r w:rsidR="001371DA">
        <w:t>‘</w:t>
      </w:r>
      <w:r w:rsidR="00B15AF7">
        <w:t>not only disclosing all of the relevant facts</w:t>
      </w:r>
      <w:r w:rsidR="001371DA">
        <w:t>’</w:t>
      </w:r>
      <w:r w:rsidR="00B15AF7">
        <w:t xml:space="preserve"> that </w:t>
      </w:r>
      <w:r w:rsidR="002462B4">
        <w:t xml:space="preserve">he </w:t>
      </w:r>
      <w:r w:rsidR="00B15AF7">
        <w:t xml:space="preserve">knew but also those which </w:t>
      </w:r>
      <w:r w:rsidR="002462B4">
        <w:t xml:space="preserve">he </w:t>
      </w:r>
      <w:r w:rsidR="00B15AF7">
        <w:t xml:space="preserve">could reasonably expect the absent party would </w:t>
      </w:r>
      <w:r w:rsidR="002462B4">
        <w:t xml:space="preserve">have wanted </w:t>
      </w:r>
      <w:r w:rsidR="00B15AF7">
        <w:t xml:space="preserve">to place before the court. The applicant must disclose and deal fairly with any defences which </w:t>
      </w:r>
      <w:r w:rsidR="001371DA">
        <w:t>he is</w:t>
      </w:r>
      <w:r w:rsidR="00B15AF7">
        <w:t xml:space="preserve"> aware of or th</w:t>
      </w:r>
      <w:r w:rsidR="00BE548D">
        <w:t>ose he</w:t>
      </w:r>
      <w:r w:rsidR="00B15AF7">
        <w:t xml:space="preserve"> may reasonably anticipate. More importantly, the applicant must </w:t>
      </w:r>
      <w:r w:rsidR="001371DA">
        <w:t>‘</w:t>
      </w:r>
      <w:r w:rsidR="00B15AF7">
        <w:t xml:space="preserve">exercise due care and </w:t>
      </w:r>
      <w:r w:rsidR="00B15AF7" w:rsidRPr="001371DA">
        <w:rPr>
          <w:i/>
          <w:iCs w:val="0"/>
        </w:rPr>
        <w:t>make such enquiries and conduct such investigations as are reasonable in the circumstances</w:t>
      </w:r>
      <w:r w:rsidR="001371DA">
        <w:rPr>
          <w:iCs w:val="0"/>
        </w:rPr>
        <w:t>’</w:t>
      </w:r>
      <w:r w:rsidR="00B15AF7" w:rsidRPr="001371DA">
        <w:t xml:space="preserve"> </w:t>
      </w:r>
      <w:r w:rsidR="00B15AF7">
        <w:t xml:space="preserve">before seeking an order for </w:t>
      </w:r>
      <w:r w:rsidR="00B15AF7">
        <w:rPr>
          <w:i/>
          <w:iCs w:val="0"/>
        </w:rPr>
        <w:t xml:space="preserve">ex parte </w:t>
      </w:r>
      <w:r w:rsidR="00B15AF7">
        <w:t>relief.</w:t>
      </w:r>
      <w:r w:rsidR="00B15AF7">
        <w:rPr>
          <w:rStyle w:val="FootnoteReference"/>
        </w:rPr>
        <w:footnoteReference w:id="43"/>
      </w:r>
    </w:p>
    <w:p w14:paraId="3C3C06B7" w14:textId="77777777" w:rsidR="002F5639" w:rsidRPr="00CF4058" w:rsidRDefault="002F5639" w:rsidP="009457A2">
      <w:pPr>
        <w:pStyle w:val="1"/>
        <w:numPr>
          <w:ilvl w:val="0"/>
          <w:numId w:val="0"/>
        </w:numPr>
        <w:spacing w:before="0" w:line="360" w:lineRule="auto"/>
        <w:rPr>
          <w:i/>
          <w:iCs w:val="0"/>
        </w:rPr>
      </w:pPr>
    </w:p>
    <w:p w14:paraId="2E4C1C4C" w14:textId="67ED70A9" w:rsidR="00B15AF7" w:rsidRPr="002F5639" w:rsidRDefault="0053192E" w:rsidP="0053192E">
      <w:pPr>
        <w:pStyle w:val="1"/>
        <w:numPr>
          <w:ilvl w:val="0"/>
          <w:numId w:val="0"/>
        </w:numPr>
        <w:spacing w:before="0" w:line="360" w:lineRule="auto"/>
        <w:rPr>
          <w:i/>
          <w:iCs w:val="0"/>
        </w:rPr>
      </w:pPr>
      <w:r w:rsidRPr="002F5639">
        <w:rPr>
          <w:iCs w:val="0"/>
        </w:rPr>
        <w:t>[74]</w:t>
      </w:r>
      <w:r w:rsidRPr="002F5639">
        <w:rPr>
          <w:iCs w:val="0"/>
        </w:rPr>
        <w:tab/>
      </w:r>
      <w:r w:rsidR="00B15AF7">
        <w:t xml:space="preserve">In the present circumstances, the applicant made no investigation as to why the consent order was taken and the ambit of the consent order. </w:t>
      </w:r>
      <w:r w:rsidR="001371DA">
        <w:t xml:space="preserve">He </w:t>
      </w:r>
      <w:r w:rsidR="00B15AF7">
        <w:t xml:space="preserve">conducted no investigation as to what defences the respondent might wish to place before Mossop J. </w:t>
      </w:r>
    </w:p>
    <w:p w14:paraId="74917072" w14:textId="77777777" w:rsidR="002F5639" w:rsidRPr="00B82F9D" w:rsidRDefault="002F5639" w:rsidP="009457A2">
      <w:pPr>
        <w:pStyle w:val="1"/>
        <w:numPr>
          <w:ilvl w:val="0"/>
          <w:numId w:val="0"/>
        </w:numPr>
        <w:spacing w:before="0" w:line="360" w:lineRule="auto"/>
        <w:rPr>
          <w:i/>
          <w:iCs w:val="0"/>
        </w:rPr>
      </w:pPr>
    </w:p>
    <w:p w14:paraId="709B19BF" w14:textId="4D699E5F" w:rsidR="00B15AF7" w:rsidRPr="002F5639" w:rsidRDefault="0053192E" w:rsidP="0053192E">
      <w:pPr>
        <w:pStyle w:val="1"/>
        <w:numPr>
          <w:ilvl w:val="0"/>
          <w:numId w:val="0"/>
        </w:numPr>
        <w:spacing w:before="0" w:line="360" w:lineRule="auto"/>
        <w:rPr>
          <w:i/>
          <w:iCs w:val="0"/>
        </w:rPr>
      </w:pPr>
      <w:r w:rsidRPr="002F5639">
        <w:rPr>
          <w:iCs w:val="0"/>
        </w:rPr>
        <w:t>[75]</w:t>
      </w:r>
      <w:r w:rsidRPr="002F5639">
        <w:rPr>
          <w:iCs w:val="0"/>
        </w:rPr>
        <w:tab/>
      </w:r>
      <w:r w:rsidR="00B15AF7">
        <w:t xml:space="preserve">The submission by the applicant that </w:t>
      </w:r>
      <w:r w:rsidR="001371DA">
        <w:t xml:space="preserve">he </w:t>
      </w:r>
      <w:r w:rsidR="00B15AF7">
        <w:t xml:space="preserve">was not seized with the facts nor was </w:t>
      </w:r>
      <w:r w:rsidR="001371DA">
        <w:t xml:space="preserve">he </w:t>
      </w:r>
      <w:r w:rsidR="00B15AF7">
        <w:t>a party to the Pretoria proceedings, would ignore the fact that the applicant was in direct communication with the Prudential Authority and sought their involvement in these very proceedings.</w:t>
      </w:r>
    </w:p>
    <w:p w14:paraId="65A96C32" w14:textId="77777777" w:rsidR="002F5639" w:rsidRPr="00B82F9D" w:rsidRDefault="002F5639" w:rsidP="009457A2">
      <w:pPr>
        <w:pStyle w:val="1"/>
        <w:numPr>
          <w:ilvl w:val="0"/>
          <w:numId w:val="0"/>
        </w:numPr>
        <w:spacing w:before="0" w:line="360" w:lineRule="auto"/>
        <w:rPr>
          <w:i/>
          <w:iCs w:val="0"/>
        </w:rPr>
      </w:pPr>
    </w:p>
    <w:p w14:paraId="1F9F4519" w14:textId="27464248" w:rsidR="00B15AF7" w:rsidRPr="002F5639" w:rsidRDefault="0053192E" w:rsidP="0053192E">
      <w:pPr>
        <w:pStyle w:val="1"/>
        <w:numPr>
          <w:ilvl w:val="0"/>
          <w:numId w:val="0"/>
        </w:numPr>
        <w:spacing w:before="0" w:line="360" w:lineRule="auto"/>
        <w:rPr>
          <w:i/>
          <w:iCs w:val="0"/>
        </w:rPr>
      </w:pPr>
      <w:r w:rsidRPr="002F5639">
        <w:rPr>
          <w:iCs w:val="0"/>
        </w:rPr>
        <w:t>[76]</w:t>
      </w:r>
      <w:r w:rsidRPr="002F5639">
        <w:rPr>
          <w:iCs w:val="0"/>
        </w:rPr>
        <w:tab/>
      </w:r>
      <w:r w:rsidR="00B15AF7">
        <w:t xml:space="preserve"> It would have cost the applicant little to have enquired from the Prudential Authority as to what the basis of the settlement was and the events leading up to same which resulted in the Pretoria order, or at the very least, whether the Prudential Authority foresaw any opposition from </w:t>
      </w:r>
      <w:r w:rsidR="006B1211">
        <w:t xml:space="preserve">the respondent </w:t>
      </w:r>
      <w:r w:rsidR="00B15AF7">
        <w:t xml:space="preserve">and the basis for that opposition. </w:t>
      </w:r>
    </w:p>
    <w:p w14:paraId="54A1BFB8" w14:textId="77777777" w:rsidR="002F5639" w:rsidRPr="00417BDA" w:rsidRDefault="002F5639" w:rsidP="009457A2">
      <w:pPr>
        <w:pStyle w:val="1"/>
        <w:numPr>
          <w:ilvl w:val="0"/>
          <w:numId w:val="0"/>
        </w:numPr>
        <w:spacing w:before="0" w:line="360" w:lineRule="auto"/>
        <w:rPr>
          <w:i/>
          <w:iCs w:val="0"/>
        </w:rPr>
      </w:pPr>
    </w:p>
    <w:p w14:paraId="10BA71C4" w14:textId="5918CB90" w:rsidR="00B15AF7" w:rsidRPr="002F5639" w:rsidRDefault="0053192E" w:rsidP="0053192E">
      <w:pPr>
        <w:pStyle w:val="1"/>
        <w:numPr>
          <w:ilvl w:val="0"/>
          <w:numId w:val="0"/>
        </w:numPr>
        <w:spacing w:before="0" w:line="360" w:lineRule="auto"/>
        <w:rPr>
          <w:i/>
          <w:iCs w:val="0"/>
        </w:rPr>
      </w:pPr>
      <w:r w:rsidRPr="002F5639">
        <w:rPr>
          <w:iCs w:val="0"/>
        </w:rPr>
        <w:t>[77]</w:t>
      </w:r>
      <w:r w:rsidRPr="002F5639">
        <w:rPr>
          <w:iCs w:val="0"/>
        </w:rPr>
        <w:tab/>
      </w:r>
      <w:r w:rsidR="00B15AF7">
        <w:t xml:space="preserve">At the very least, the applicant should have explained why </w:t>
      </w:r>
      <w:r w:rsidR="00ED4300">
        <w:t xml:space="preserve">he </w:t>
      </w:r>
      <w:r w:rsidR="00B15AF7">
        <w:t>could not conduct such investigations and make such enquiries and why to do so would be unreasonable in the circumstances, considering the fact that on the applicant’s own version Prudential Authority was an active</w:t>
      </w:r>
      <w:r w:rsidR="00CC77A8">
        <w:t xml:space="preserve"> supporter of his application.</w:t>
      </w:r>
    </w:p>
    <w:p w14:paraId="7F828025" w14:textId="77777777" w:rsidR="002F5639" w:rsidRPr="00417BDA" w:rsidRDefault="002F5639" w:rsidP="009457A2">
      <w:pPr>
        <w:pStyle w:val="1"/>
        <w:numPr>
          <w:ilvl w:val="0"/>
          <w:numId w:val="0"/>
        </w:numPr>
        <w:spacing w:before="0" w:line="360" w:lineRule="auto"/>
        <w:rPr>
          <w:i/>
          <w:iCs w:val="0"/>
        </w:rPr>
      </w:pPr>
    </w:p>
    <w:p w14:paraId="7919181E" w14:textId="54C3080D" w:rsidR="00B15AF7" w:rsidRPr="002F5639" w:rsidRDefault="0053192E" w:rsidP="0053192E">
      <w:pPr>
        <w:pStyle w:val="1"/>
        <w:numPr>
          <w:ilvl w:val="0"/>
          <w:numId w:val="0"/>
        </w:numPr>
        <w:spacing w:before="0" w:line="360" w:lineRule="auto"/>
        <w:rPr>
          <w:i/>
          <w:iCs w:val="0"/>
        </w:rPr>
      </w:pPr>
      <w:r w:rsidRPr="002F5639">
        <w:rPr>
          <w:iCs w:val="0"/>
        </w:rPr>
        <w:t>[78]</w:t>
      </w:r>
      <w:r w:rsidRPr="002F5639">
        <w:rPr>
          <w:iCs w:val="0"/>
        </w:rPr>
        <w:tab/>
      </w:r>
      <w:r w:rsidR="00B15AF7">
        <w:t xml:space="preserve">The respondent contends that the omitted information regarding the settlement </w:t>
      </w:r>
      <w:r w:rsidR="00BE548D">
        <w:t xml:space="preserve">discussion and </w:t>
      </w:r>
      <w:r w:rsidR="00B15AF7">
        <w:t xml:space="preserve"> the </w:t>
      </w:r>
      <w:r w:rsidR="00ED4300">
        <w:t xml:space="preserve">the </w:t>
      </w:r>
      <w:r w:rsidR="00B15AF7">
        <w:t>relief which the Prudential Authority and the respondent had agreed to exclude</w:t>
      </w:r>
      <w:r w:rsidR="00B15AF7">
        <w:rPr>
          <w:rStyle w:val="FootnoteReference"/>
        </w:rPr>
        <w:footnoteReference w:id="44"/>
      </w:r>
      <w:r w:rsidR="00B15AF7">
        <w:t xml:space="preserve"> from the Pretoria </w:t>
      </w:r>
      <w:r w:rsidR="00ED4300">
        <w:t xml:space="preserve">order </w:t>
      </w:r>
      <w:r w:rsidR="00B15AF7">
        <w:t xml:space="preserve">was material and a defence which the respondent would have placed before Mossop J if it had been given notice. The initial draft of the Pretoria </w:t>
      </w:r>
      <w:r w:rsidR="00ED4300">
        <w:t xml:space="preserve">order </w:t>
      </w:r>
      <w:r w:rsidR="00B15AF7">
        <w:t>included orders relating to the powers to be given to the applicant and these proposed orders were by agreement (on the respondent’s version) excised from the draft with the intention that the applicant</w:t>
      </w:r>
      <w:r w:rsidR="00ED4300">
        <w:t>’</w:t>
      </w:r>
      <w:r w:rsidR="00B15AF7">
        <w:t>s powers be limited.</w:t>
      </w:r>
    </w:p>
    <w:p w14:paraId="48B60BA7" w14:textId="77777777" w:rsidR="002F5639" w:rsidRPr="0064150D" w:rsidRDefault="002F5639" w:rsidP="009457A2">
      <w:pPr>
        <w:pStyle w:val="1"/>
        <w:numPr>
          <w:ilvl w:val="0"/>
          <w:numId w:val="0"/>
        </w:numPr>
        <w:spacing w:before="0" w:line="360" w:lineRule="auto"/>
        <w:rPr>
          <w:i/>
          <w:iCs w:val="0"/>
        </w:rPr>
      </w:pPr>
    </w:p>
    <w:p w14:paraId="46B362E9" w14:textId="44DC5C05" w:rsidR="00B15AF7" w:rsidRPr="002F5639" w:rsidRDefault="0053192E" w:rsidP="0053192E">
      <w:pPr>
        <w:pStyle w:val="1"/>
        <w:numPr>
          <w:ilvl w:val="0"/>
          <w:numId w:val="0"/>
        </w:numPr>
        <w:spacing w:before="0" w:line="360" w:lineRule="auto"/>
        <w:rPr>
          <w:i/>
          <w:iCs w:val="0"/>
        </w:rPr>
      </w:pPr>
      <w:r w:rsidRPr="002F5639">
        <w:rPr>
          <w:iCs w:val="0"/>
        </w:rPr>
        <w:t>[79]</w:t>
      </w:r>
      <w:r w:rsidRPr="002F5639">
        <w:rPr>
          <w:iCs w:val="0"/>
        </w:rPr>
        <w:tab/>
      </w:r>
      <w:r w:rsidR="00B15AF7">
        <w:t xml:space="preserve">This information was not immaterial and should have been placed before Mossop J when the applicant moved for </w:t>
      </w:r>
      <w:r w:rsidR="00ED4300">
        <w:t xml:space="preserve">his </w:t>
      </w:r>
      <w:r w:rsidR="00B15AF7">
        <w:t>order. At the very least the applicant should have made an attempt to investigate the circumstances surrounding the granting</w:t>
      </w:r>
      <w:r w:rsidR="00ED4300">
        <w:t xml:space="preserve"> of</w:t>
      </w:r>
      <w:r w:rsidR="00B15AF7">
        <w:t xml:space="preserve"> the </w:t>
      </w:r>
      <w:r w:rsidR="00ED4300">
        <w:t xml:space="preserve">Pretoria </w:t>
      </w:r>
      <w:r w:rsidR="00B15AF7">
        <w:t xml:space="preserve">order, especially since </w:t>
      </w:r>
      <w:r w:rsidR="00ED4300">
        <w:t xml:space="preserve">he </w:t>
      </w:r>
      <w:r w:rsidR="00B15AF7">
        <w:t xml:space="preserve">had on </w:t>
      </w:r>
      <w:r w:rsidR="00ED4300">
        <w:t xml:space="preserve">his own </w:t>
      </w:r>
      <w:r w:rsidR="00B15AF7">
        <w:t xml:space="preserve">version a legal representative at </w:t>
      </w:r>
      <w:r w:rsidR="00ED4300">
        <w:t xml:space="preserve">court </w:t>
      </w:r>
      <w:r w:rsidR="00B15AF7">
        <w:t xml:space="preserve">when the Pretoria </w:t>
      </w:r>
      <w:r w:rsidR="00ED4300">
        <w:t xml:space="preserve">order </w:t>
      </w:r>
      <w:r w:rsidR="00B15AF7">
        <w:t>was taken</w:t>
      </w:r>
      <w:r w:rsidR="00ED4300">
        <w:t>.</w:t>
      </w:r>
      <w:r w:rsidR="00B15AF7">
        <w:rPr>
          <w:rStyle w:val="FootnoteReference"/>
        </w:rPr>
        <w:footnoteReference w:id="45"/>
      </w:r>
      <w:r w:rsidR="00B15AF7">
        <w:t xml:space="preserve"> </w:t>
      </w:r>
      <w:r w:rsidR="00ED4300">
        <w:t xml:space="preserve">He </w:t>
      </w:r>
      <w:r w:rsidR="00B15AF7">
        <w:t xml:space="preserve">simply didn’t and it is not unreasonable to expect </w:t>
      </w:r>
      <w:r w:rsidR="00ED4300">
        <w:t xml:space="preserve">him </w:t>
      </w:r>
      <w:r w:rsidR="00B15AF7">
        <w:t xml:space="preserve">to have </w:t>
      </w:r>
      <w:r w:rsidR="00B15AF7" w:rsidRPr="0064150D">
        <w:t>ma</w:t>
      </w:r>
      <w:r w:rsidR="00B15AF7">
        <w:t>de</w:t>
      </w:r>
      <w:r w:rsidR="00B15AF7" w:rsidRPr="0064150D">
        <w:t xml:space="preserve"> enquiries and conduct such investigations </w:t>
      </w:r>
      <w:r w:rsidR="00B15AF7">
        <w:t>in the</w:t>
      </w:r>
      <w:r w:rsidR="00ED4300">
        <w:t>se</w:t>
      </w:r>
      <w:r w:rsidR="00B15AF7">
        <w:t xml:space="preserve"> circumstances.</w:t>
      </w:r>
    </w:p>
    <w:p w14:paraId="019D5778" w14:textId="77777777" w:rsidR="002F5639" w:rsidRPr="00DF35E7" w:rsidRDefault="002F5639" w:rsidP="009457A2">
      <w:pPr>
        <w:pStyle w:val="1"/>
        <w:numPr>
          <w:ilvl w:val="0"/>
          <w:numId w:val="0"/>
        </w:numPr>
        <w:spacing w:before="0" w:line="360" w:lineRule="auto"/>
        <w:rPr>
          <w:i/>
          <w:iCs w:val="0"/>
        </w:rPr>
      </w:pPr>
    </w:p>
    <w:p w14:paraId="4A74BDF8" w14:textId="5980FFA6" w:rsidR="00B15AF7" w:rsidRPr="002F5639" w:rsidRDefault="0053192E" w:rsidP="0053192E">
      <w:pPr>
        <w:pStyle w:val="1"/>
        <w:numPr>
          <w:ilvl w:val="0"/>
          <w:numId w:val="0"/>
        </w:numPr>
        <w:spacing w:before="0" w:line="360" w:lineRule="auto"/>
        <w:rPr>
          <w:i/>
          <w:iCs w:val="0"/>
        </w:rPr>
      </w:pPr>
      <w:r w:rsidRPr="002F5639">
        <w:rPr>
          <w:iCs w:val="0"/>
        </w:rPr>
        <w:t>[80]</w:t>
      </w:r>
      <w:r w:rsidRPr="002F5639">
        <w:rPr>
          <w:iCs w:val="0"/>
        </w:rPr>
        <w:tab/>
      </w:r>
      <w:r w:rsidR="00B15AF7">
        <w:t xml:space="preserve">The applicant submits that the Supreme Court of Appeal in </w:t>
      </w:r>
      <w:r w:rsidR="00B15AF7" w:rsidRPr="00DF1B93">
        <w:rPr>
          <w:i/>
          <w:iCs w:val="0"/>
        </w:rPr>
        <w:t>Kruger v Joint Trustees of the Insolvent Estate of Paulos</w:t>
      </w:r>
      <w:r w:rsidR="009457A2" w:rsidRPr="00DF1B93">
        <w:rPr>
          <w:i/>
          <w:iCs w:val="0"/>
        </w:rPr>
        <w:t xml:space="preserve"> </w:t>
      </w:r>
      <w:r w:rsidR="00B15AF7" w:rsidRPr="00DF1B93">
        <w:rPr>
          <w:i/>
          <w:iCs w:val="0"/>
        </w:rPr>
        <w:t>Bhekinkosi</w:t>
      </w:r>
      <w:r w:rsidR="009457A2" w:rsidRPr="00DF1B93">
        <w:rPr>
          <w:i/>
          <w:iCs w:val="0"/>
        </w:rPr>
        <w:t xml:space="preserve"> </w:t>
      </w:r>
      <w:r w:rsidR="00B15AF7" w:rsidRPr="00DF1B93">
        <w:rPr>
          <w:i/>
          <w:iCs w:val="0"/>
        </w:rPr>
        <w:t>Zulu</w:t>
      </w:r>
      <w:r w:rsidR="00B15AF7">
        <w:t xml:space="preserve"> (</w:t>
      </w:r>
      <w:r w:rsidR="00B15AF7" w:rsidRPr="00365355">
        <w:rPr>
          <w:i/>
        </w:rPr>
        <w:t>Kruger v Joint Trustees</w:t>
      </w:r>
      <w:r w:rsidR="00B15AF7">
        <w:t>)</w:t>
      </w:r>
      <w:r w:rsidR="006B1211">
        <w:rPr>
          <w:rStyle w:val="FootnoteReference"/>
        </w:rPr>
        <w:footnoteReference w:id="46"/>
      </w:r>
      <w:r w:rsidR="00583C7A">
        <w:t xml:space="preserve"> ruled on the issue</w:t>
      </w:r>
      <w:r w:rsidR="00BE548D">
        <w:t>s</w:t>
      </w:r>
      <w:r w:rsidR="00583C7A">
        <w:t xml:space="preserve"> of urgency </w:t>
      </w:r>
      <w:r w:rsidR="00BE548D">
        <w:t xml:space="preserve"> and notice </w:t>
      </w:r>
      <w:r w:rsidR="00583C7A">
        <w:t xml:space="preserve">in </w:t>
      </w:r>
      <w:r w:rsidR="00BE548D">
        <w:t xml:space="preserve">his </w:t>
      </w:r>
      <w:r w:rsidR="00583C7A">
        <w:rPr>
          <w:i/>
        </w:rPr>
        <w:t>ex parte</w:t>
      </w:r>
      <w:r w:rsidR="00583C7A">
        <w:t xml:space="preserve"> applications</w:t>
      </w:r>
      <w:r w:rsidR="00BE548D">
        <w:t xml:space="preserve"> as a repayment administrator</w:t>
      </w:r>
      <w:r w:rsidR="00583C7A">
        <w:t>.</w:t>
      </w:r>
      <w:r w:rsidR="00B15AF7">
        <w:t xml:space="preserve"> </w:t>
      </w:r>
      <w:r w:rsidR="00BE548D">
        <w:t>He submits that t</w:t>
      </w:r>
      <w:r w:rsidR="00B15AF7" w:rsidRPr="00DF1B93">
        <w:t>he findings of the Supreme Court of Appeal</w:t>
      </w:r>
      <w:r w:rsidR="00583C7A">
        <w:t xml:space="preserve"> in </w:t>
      </w:r>
      <w:r w:rsidR="00583C7A">
        <w:rPr>
          <w:i/>
        </w:rPr>
        <w:t>Kruger v Joint Trustees</w:t>
      </w:r>
      <w:r w:rsidR="00B15AF7" w:rsidRPr="00DF1B93">
        <w:t xml:space="preserve"> is dispositive of the respondent’s complaints in this reconsideration application</w:t>
      </w:r>
      <w:r w:rsidR="002F5639">
        <w:t>.</w:t>
      </w:r>
    </w:p>
    <w:p w14:paraId="603067DF" w14:textId="77777777" w:rsidR="002F5639" w:rsidRPr="0064150D" w:rsidRDefault="002F5639" w:rsidP="009457A2">
      <w:pPr>
        <w:pStyle w:val="1"/>
        <w:numPr>
          <w:ilvl w:val="0"/>
          <w:numId w:val="0"/>
        </w:numPr>
        <w:spacing w:before="0" w:line="360" w:lineRule="auto"/>
        <w:rPr>
          <w:i/>
          <w:iCs w:val="0"/>
        </w:rPr>
      </w:pPr>
    </w:p>
    <w:p w14:paraId="10A6E9C0" w14:textId="4B2159DB" w:rsidR="00B15AF7" w:rsidRPr="00801C7C" w:rsidRDefault="0053192E" w:rsidP="0053192E">
      <w:pPr>
        <w:pStyle w:val="1"/>
        <w:numPr>
          <w:ilvl w:val="0"/>
          <w:numId w:val="0"/>
        </w:numPr>
        <w:spacing w:before="0" w:line="360" w:lineRule="auto"/>
        <w:rPr>
          <w:i/>
          <w:iCs w:val="0"/>
        </w:rPr>
      </w:pPr>
      <w:r w:rsidRPr="00801C7C">
        <w:rPr>
          <w:iCs w:val="0"/>
        </w:rPr>
        <w:t>[81]</w:t>
      </w:r>
      <w:r w:rsidRPr="00801C7C">
        <w:rPr>
          <w:iCs w:val="0"/>
        </w:rPr>
        <w:tab/>
      </w:r>
      <w:r w:rsidR="00B15AF7">
        <w:t xml:space="preserve">The applicant directed my attention to </w:t>
      </w:r>
      <w:r w:rsidR="00583C7A">
        <w:t xml:space="preserve">the following </w:t>
      </w:r>
      <w:r w:rsidR="00BE548D">
        <w:t xml:space="preserve">passage </w:t>
      </w:r>
      <w:r w:rsidR="00583C7A">
        <w:t xml:space="preserve">in </w:t>
      </w:r>
      <w:r w:rsidR="00583C7A">
        <w:rPr>
          <w:i/>
        </w:rPr>
        <w:t>Kruger v Joint Trustees</w:t>
      </w:r>
      <w:r w:rsidR="00B15AF7">
        <w:t xml:space="preserve"> where the Supreme Court of Appeal held:</w:t>
      </w:r>
      <w:r w:rsidR="00583C7A">
        <w:rPr>
          <w:rStyle w:val="FootnoteReference"/>
        </w:rPr>
        <w:footnoteReference w:id="47"/>
      </w:r>
    </w:p>
    <w:p w14:paraId="091025A5" w14:textId="59D2EB0B" w:rsidR="00B15AF7" w:rsidRDefault="00583C7A" w:rsidP="009457A2">
      <w:pPr>
        <w:pStyle w:val="Quote"/>
        <w:spacing w:before="0" w:after="0"/>
        <w:ind w:left="0"/>
      </w:pPr>
      <w:r>
        <w:t>‘</w:t>
      </w:r>
      <w:r w:rsidRPr="00583C7A">
        <w:t>To require the repayment administrator to approach a court on notice to the person subject to the directive and to require adherence to normal filing times would defeat the purpose of the repayment process.</w:t>
      </w:r>
      <w:r>
        <w:t>’</w:t>
      </w:r>
    </w:p>
    <w:p w14:paraId="45E525D0" w14:textId="77777777" w:rsidR="002F5639" w:rsidRPr="002F5639" w:rsidRDefault="002F5639" w:rsidP="009457A2">
      <w:pPr>
        <w:pStyle w:val="Quote"/>
        <w:spacing w:before="0" w:after="0"/>
        <w:ind w:left="0"/>
        <w:rPr>
          <w:sz w:val="24"/>
        </w:rPr>
      </w:pPr>
    </w:p>
    <w:p w14:paraId="69A7026C" w14:textId="7BB4334F" w:rsidR="00B15AF7" w:rsidRDefault="0053192E" w:rsidP="0053192E">
      <w:pPr>
        <w:pStyle w:val="1"/>
        <w:numPr>
          <w:ilvl w:val="0"/>
          <w:numId w:val="0"/>
        </w:numPr>
        <w:spacing w:before="0" w:line="360" w:lineRule="auto"/>
      </w:pPr>
      <w:r>
        <w:t>[82]</w:t>
      </w:r>
      <w:r>
        <w:tab/>
      </w:r>
      <w:r w:rsidR="00B15AF7">
        <w:t>The applicant’s submission is that this settles the issue regarding whether he is obliged to give notice to the respondent and whether he</w:t>
      </w:r>
      <w:r w:rsidR="009457A2">
        <w:t xml:space="preserve"> </w:t>
      </w:r>
      <w:r w:rsidR="00FB65DF">
        <w:t xml:space="preserve">institute his </w:t>
      </w:r>
      <w:r w:rsidR="00B15AF7">
        <w:t xml:space="preserve"> application urgently. </w:t>
      </w:r>
    </w:p>
    <w:p w14:paraId="4CD80B62" w14:textId="77777777" w:rsidR="002F5639" w:rsidRDefault="002F5639" w:rsidP="009457A2">
      <w:pPr>
        <w:pStyle w:val="1"/>
        <w:numPr>
          <w:ilvl w:val="0"/>
          <w:numId w:val="0"/>
        </w:numPr>
        <w:spacing w:before="0" w:line="360" w:lineRule="auto"/>
      </w:pPr>
    </w:p>
    <w:p w14:paraId="176BEC4E" w14:textId="64C1D924" w:rsidR="00782613" w:rsidRDefault="0053192E" w:rsidP="0053192E">
      <w:pPr>
        <w:pStyle w:val="1"/>
        <w:numPr>
          <w:ilvl w:val="0"/>
          <w:numId w:val="0"/>
        </w:numPr>
        <w:spacing w:before="0" w:line="360" w:lineRule="auto"/>
        <w:rPr>
          <w:i/>
          <w:iCs w:val="0"/>
        </w:rPr>
      </w:pPr>
      <w:r>
        <w:rPr>
          <w:iCs w:val="0"/>
        </w:rPr>
        <w:t>[83]</w:t>
      </w:r>
      <w:r>
        <w:rPr>
          <w:iCs w:val="0"/>
        </w:rPr>
        <w:tab/>
      </w:r>
      <w:r w:rsidR="00B15AF7" w:rsidRPr="00365355">
        <w:rPr>
          <w:i/>
        </w:rPr>
        <w:t>Kruger v Joint Trustees</w:t>
      </w:r>
      <w:r w:rsidR="00B15AF7" w:rsidRPr="00DF1B93">
        <w:t xml:space="preserve"> </w:t>
      </w:r>
      <w:r w:rsidR="00B15AF7">
        <w:t xml:space="preserve">is distinguishable from the facts in the present matter. In </w:t>
      </w:r>
      <w:r w:rsidR="00B15AF7" w:rsidRPr="00365355">
        <w:rPr>
          <w:i/>
        </w:rPr>
        <w:t>Kruger v Joint Trustees</w:t>
      </w:r>
      <w:r w:rsidR="00B15AF7">
        <w:t xml:space="preserve">, Mr Kruger (who is also the applicant in these proceedings) tendered an affidavit which demonstrated that the respondent was operating a Ponzi scheme. There was evidence that as a result of the Ponzi scheme, Mr Zulu (the respondent in the appeal) had purchased various assets and used his illicit gains to benefit his personal estate. Mr Kruger sought to attach the assets. </w:t>
      </w:r>
    </w:p>
    <w:p w14:paraId="2255262F" w14:textId="77777777" w:rsidR="00782613" w:rsidRDefault="00782613" w:rsidP="00782613">
      <w:pPr>
        <w:pStyle w:val="ListParagraph"/>
        <w:numPr>
          <w:ilvl w:val="0"/>
          <w:numId w:val="0"/>
        </w:numPr>
        <w:ind w:left="360"/>
      </w:pPr>
    </w:p>
    <w:p w14:paraId="42445438" w14:textId="2ACBBA96" w:rsidR="00782613" w:rsidRDefault="0053192E" w:rsidP="0053192E">
      <w:pPr>
        <w:pStyle w:val="1"/>
        <w:numPr>
          <w:ilvl w:val="0"/>
          <w:numId w:val="0"/>
        </w:numPr>
        <w:spacing w:before="0" w:line="360" w:lineRule="auto"/>
        <w:rPr>
          <w:i/>
          <w:iCs w:val="0"/>
        </w:rPr>
      </w:pPr>
      <w:r>
        <w:rPr>
          <w:iCs w:val="0"/>
        </w:rPr>
        <w:t>[84]</w:t>
      </w:r>
      <w:r>
        <w:rPr>
          <w:iCs w:val="0"/>
        </w:rPr>
        <w:tab/>
      </w:r>
      <w:r w:rsidR="00782613">
        <w:t xml:space="preserve">In </w:t>
      </w:r>
      <w:r w:rsidR="00782613" w:rsidRPr="00782613">
        <w:rPr>
          <w:i/>
        </w:rPr>
        <w:t>Kruger v Joint Trustees</w:t>
      </w:r>
      <w:r w:rsidR="00782613">
        <w:t>, it was held that the purpose of Kruger’s application remains a central exercise of the discretion on whether notice ought to have been given and whilst a court should be mindful that the recommended precautionary safeguards such as notice to the party are intended to limit abuse of courts processes caution should be exercised so  that a notice requirement is not imposed ritualistically as a matter of routine.</w:t>
      </w:r>
      <w:r w:rsidR="00782613">
        <w:rPr>
          <w:rStyle w:val="FootnoteReference"/>
        </w:rPr>
        <w:footnoteReference w:id="48"/>
      </w:r>
    </w:p>
    <w:p w14:paraId="525FCEC5" w14:textId="77777777" w:rsidR="00782613" w:rsidRDefault="00782613" w:rsidP="00782613">
      <w:pPr>
        <w:pStyle w:val="ListParagraph"/>
        <w:numPr>
          <w:ilvl w:val="0"/>
          <w:numId w:val="0"/>
        </w:numPr>
        <w:ind w:left="360"/>
      </w:pPr>
    </w:p>
    <w:p w14:paraId="57597DDC" w14:textId="1A96EB40" w:rsidR="002F5639" w:rsidRPr="00782613" w:rsidRDefault="0053192E" w:rsidP="0053192E">
      <w:pPr>
        <w:pStyle w:val="1"/>
        <w:numPr>
          <w:ilvl w:val="0"/>
          <w:numId w:val="0"/>
        </w:numPr>
        <w:spacing w:before="0" w:line="360" w:lineRule="auto"/>
        <w:rPr>
          <w:i/>
          <w:iCs w:val="0"/>
        </w:rPr>
      </w:pPr>
      <w:r w:rsidRPr="00782613">
        <w:rPr>
          <w:iCs w:val="0"/>
        </w:rPr>
        <w:t>[85]</w:t>
      </w:r>
      <w:r w:rsidRPr="00782613">
        <w:rPr>
          <w:iCs w:val="0"/>
        </w:rPr>
        <w:tab/>
      </w:r>
      <w:r w:rsidR="00B15AF7">
        <w:t>Whilst the</w:t>
      </w:r>
      <w:r w:rsidR="009457A2">
        <w:t xml:space="preserve"> </w:t>
      </w:r>
      <w:r w:rsidR="00B15AF7">
        <w:t>Supreme Court of Appeal held</w:t>
      </w:r>
      <w:r w:rsidR="00F26467">
        <w:t xml:space="preserve"> </w:t>
      </w:r>
      <w:r w:rsidR="00B15AF7">
        <w:t>that the purpose of Mr Kruger’s application was to prevent the dissipation of assets which increase</w:t>
      </w:r>
      <w:r w:rsidR="00326192">
        <w:t>d</w:t>
      </w:r>
      <w:r w:rsidR="00B15AF7">
        <w:t xml:space="preserve"> after a wrongdoing or guilt of a person has been established</w:t>
      </w:r>
      <w:r w:rsidR="00782613">
        <w:t>,</w:t>
      </w:r>
      <w:r w:rsidR="00F26467">
        <w:rPr>
          <w:rStyle w:val="FootnoteReference"/>
        </w:rPr>
        <w:footnoteReference w:id="49"/>
      </w:r>
      <w:r w:rsidR="00F26467">
        <w:t xml:space="preserve">  </w:t>
      </w:r>
      <w:r w:rsidR="00782613">
        <w:t>t</w:t>
      </w:r>
      <w:r w:rsidR="00F26467">
        <w:t xml:space="preserve">he </w:t>
      </w:r>
      <w:r w:rsidR="00B15AF7">
        <w:t xml:space="preserve">facts in that matter </w:t>
      </w:r>
      <w:r w:rsidR="00F26467">
        <w:t xml:space="preserve">are </w:t>
      </w:r>
      <w:r w:rsidR="00B15AF7">
        <w:t>different to those presently before me</w:t>
      </w:r>
      <w:r w:rsidR="00F26467">
        <w:t>.</w:t>
      </w:r>
      <w:r w:rsidR="00B15AF7">
        <w:t xml:space="preserve"> </w:t>
      </w:r>
      <w:r w:rsidR="00F26467">
        <w:t xml:space="preserve">In the present matter, </w:t>
      </w:r>
      <w:r w:rsidR="00B15AF7">
        <w:t xml:space="preserve">the </w:t>
      </w:r>
      <w:r w:rsidR="00F26467">
        <w:t>respondent contends</w:t>
      </w:r>
      <w:r w:rsidR="009457A2">
        <w:t xml:space="preserve"> </w:t>
      </w:r>
      <w:r w:rsidR="00B15AF7">
        <w:t xml:space="preserve">that there was </w:t>
      </w:r>
      <w:r w:rsidR="00F26467">
        <w:t xml:space="preserve">an </w:t>
      </w:r>
      <w:r w:rsidR="00B15AF7">
        <w:t xml:space="preserve">agreement with the Prudential Authority </w:t>
      </w:r>
      <w:r w:rsidR="00F26467">
        <w:t xml:space="preserve">in light of the </w:t>
      </w:r>
      <w:r w:rsidR="00B15AF7">
        <w:t>ongoing litigation regarding applicant’s powers as the</w:t>
      </w:r>
      <w:r w:rsidR="009457A2">
        <w:t xml:space="preserve"> </w:t>
      </w:r>
      <w:r w:rsidR="00F26467">
        <w:t>repayment admini</w:t>
      </w:r>
      <w:r w:rsidR="00B15AF7">
        <w:t xml:space="preserve">strator. </w:t>
      </w:r>
      <w:r w:rsidR="00782613">
        <w:t xml:space="preserve">This was not an issue before the </w:t>
      </w:r>
      <w:r w:rsidR="00782613" w:rsidRPr="00782613">
        <w:t xml:space="preserve">Supreme Court of Appeal </w:t>
      </w:r>
      <w:r w:rsidR="00782613">
        <w:t xml:space="preserve">in </w:t>
      </w:r>
      <w:r w:rsidR="00782613" w:rsidRPr="00782613">
        <w:rPr>
          <w:i/>
        </w:rPr>
        <w:t>Kruger v Joint Trustees</w:t>
      </w:r>
      <w:r w:rsidR="00782613">
        <w:rPr>
          <w:i/>
        </w:rPr>
        <w:t>.</w:t>
      </w:r>
    </w:p>
    <w:p w14:paraId="0F8B44C9" w14:textId="2549C853" w:rsidR="00B15AF7" w:rsidRPr="002F5639" w:rsidRDefault="0053192E" w:rsidP="0053192E">
      <w:pPr>
        <w:pStyle w:val="1"/>
        <w:numPr>
          <w:ilvl w:val="0"/>
          <w:numId w:val="0"/>
        </w:numPr>
        <w:spacing w:before="0" w:line="360" w:lineRule="auto"/>
        <w:rPr>
          <w:i/>
          <w:iCs w:val="0"/>
        </w:rPr>
      </w:pPr>
      <w:r w:rsidRPr="002F5639">
        <w:rPr>
          <w:iCs w:val="0"/>
        </w:rPr>
        <w:t>[86]</w:t>
      </w:r>
      <w:r w:rsidRPr="002F5639">
        <w:rPr>
          <w:iCs w:val="0"/>
        </w:rPr>
        <w:tab/>
      </w:r>
      <w:r w:rsidR="00B15AF7">
        <w:t xml:space="preserve">In </w:t>
      </w:r>
      <w:r w:rsidR="00B15AF7" w:rsidRPr="00642D17">
        <w:rPr>
          <w:i/>
          <w:iCs w:val="0"/>
        </w:rPr>
        <w:t xml:space="preserve">Kruger v Joint Trustees </w:t>
      </w:r>
      <w:r w:rsidR="00B15AF7">
        <w:t xml:space="preserve">there was no ongoing debate between </w:t>
      </w:r>
      <w:r w:rsidR="002A4D2D">
        <w:t xml:space="preserve">Mr </w:t>
      </w:r>
      <w:r w:rsidR="00B15AF7">
        <w:t xml:space="preserve">Zulu and the Prudential Authority regarding the extent of the powers of the </w:t>
      </w:r>
      <w:r w:rsidR="002A4D2D" w:rsidRPr="002A4D2D">
        <w:t>repayment</w:t>
      </w:r>
      <w:r w:rsidR="002A4D2D">
        <w:t xml:space="preserve"> administrator</w:t>
      </w:r>
      <w:r w:rsidR="00B15AF7">
        <w:t xml:space="preserve">. In that case </w:t>
      </w:r>
      <w:r w:rsidR="002A4D2D">
        <w:t xml:space="preserve">Mr </w:t>
      </w:r>
      <w:r w:rsidR="00B15AF7">
        <w:t xml:space="preserve">Kruger approached the </w:t>
      </w:r>
      <w:r w:rsidR="002A4D2D">
        <w:t xml:space="preserve">court </w:t>
      </w:r>
      <w:r w:rsidR="00B15AF7">
        <w:t>on the basis that he had investigated a Ponzi scheme, found that the money</w:t>
      </w:r>
      <w:r w:rsidR="002A4D2D">
        <w:t>,</w:t>
      </w:r>
      <w:r w:rsidR="00B15AF7">
        <w:t xml:space="preserve"> which had been illicitly gained through the Ponzi scheme</w:t>
      </w:r>
      <w:r w:rsidR="002A4D2D">
        <w:t>,</w:t>
      </w:r>
      <w:r w:rsidR="00B15AF7">
        <w:t xml:space="preserve"> had been used to purchase assets to benefit Mr Zulu’s estate</w:t>
      </w:r>
      <w:r w:rsidR="002A4D2D">
        <w:t>.</w:t>
      </w:r>
      <w:r w:rsidR="00B15AF7">
        <w:t xml:space="preserve"> </w:t>
      </w:r>
      <w:r w:rsidR="002A4D2D">
        <w:t>In light of these facts, Mr Kruger</w:t>
      </w:r>
      <w:r w:rsidR="00B15AF7">
        <w:t xml:space="preserve"> sought </w:t>
      </w:r>
      <w:r w:rsidR="00B15AF7" w:rsidRPr="00057F34">
        <w:rPr>
          <w:i/>
          <w:iCs w:val="0"/>
        </w:rPr>
        <w:t>ex parte</w:t>
      </w:r>
      <w:r w:rsidR="00B15AF7">
        <w:t xml:space="preserve"> to give effect to the attachment of those assets on the threat that Mr Zulu would dissipate those assets. </w:t>
      </w:r>
    </w:p>
    <w:p w14:paraId="4E5BE91B" w14:textId="77777777" w:rsidR="002F5639" w:rsidRPr="00C97AE2" w:rsidRDefault="002F5639" w:rsidP="009457A2">
      <w:pPr>
        <w:pStyle w:val="1"/>
        <w:numPr>
          <w:ilvl w:val="0"/>
          <w:numId w:val="0"/>
        </w:numPr>
        <w:spacing w:before="0" w:line="360" w:lineRule="auto"/>
        <w:rPr>
          <w:i/>
          <w:iCs w:val="0"/>
        </w:rPr>
      </w:pPr>
    </w:p>
    <w:p w14:paraId="051C79EC" w14:textId="514A2A68" w:rsidR="00C97AE2" w:rsidRPr="002F5639" w:rsidRDefault="0053192E" w:rsidP="0053192E">
      <w:pPr>
        <w:pStyle w:val="1"/>
        <w:numPr>
          <w:ilvl w:val="0"/>
          <w:numId w:val="0"/>
        </w:numPr>
        <w:spacing w:before="0" w:line="360" w:lineRule="auto"/>
        <w:rPr>
          <w:i/>
          <w:iCs w:val="0"/>
        </w:rPr>
      </w:pPr>
      <w:r w:rsidRPr="002F5639">
        <w:rPr>
          <w:iCs w:val="0"/>
        </w:rPr>
        <w:t>[87]</w:t>
      </w:r>
      <w:r w:rsidRPr="002F5639">
        <w:rPr>
          <w:iCs w:val="0"/>
        </w:rPr>
        <w:tab/>
      </w:r>
      <w:r w:rsidR="00B13D01">
        <w:t>In these proceedings t</w:t>
      </w:r>
      <w:r w:rsidR="00B15AF7">
        <w:t>he applicant’s affidavits lay no factual foundation for why he entertains the suspicion that the</w:t>
      </w:r>
      <w:r w:rsidR="009457A2">
        <w:t xml:space="preserve"> </w:t>
      </w:r>
      <w:r w:rsidR="002A4D2D">
        <w:t xml:space="preserve">respondent, </w:t>
      </w:r>
      <w:r w:rsidR="00B15AF7">
        <w:t xml:space="preserve">which is a </w:t>
      </w:r>
      <w:r w:rsidR="008943F7">
        <w:t xml:space="preserve">public entity and </w:t>
      </w:r>
      <w:r w:rsidR="008943F7" w:rsidRPr="008943F7">
        <w:rPr>
          <w:bCs/>
        </w:rPr>
        <w:t>Provincial Government Business Enterprises</w:t>
      </w:r>
      <w:r w:rsidR="002A4D2D">
        <w:t>,</w:t>
      </w:r>
      <w:r w:rsidR="00B15AF7">
        <w:rPr>
          <w:rStyle w:val="FootnoteReference"/>
        </w:rPr>
        <w:footnoteReference w:id="50"/>
      </w:r>
      <w:r w:rsidR="00B15AF7">
        <w:t xml:space="preserve"> </w:t>
      </w:r>
      <w:r w:rsidR="00642D17">
        <w:t>will</w:t>
      </w:r>
      <w:r w:rsidR="009457A2">
        <w:t xml:space="preserve"> </w:t>
      </w:r>
      <w:r w:rsidR="00642D17">
        <w:t xml:space="preserve">deliberately start </w:t>
      </w:r>
      <w:r w:rsidR="00C97AE2">
        <w:t xml:space="preserve">dissipating its assets </w:t>
      </w:r>
      <w:r w:rsidR="00642D17">
        <w:t>so as</w:t>
      </w:r>
      <w:r w:rsidR="009457A2">
        <w:t xml:space="preserve"> </w:t>
      </w:r>
      <w:r w:rsidR="00C97AE2">
        <w:t xml:space="preserve">to avoid scrutiny of a </w:t>
      </w:r>
      <w:r w:rsidR="008943F7">
        <w:t>repayment administrator</w:t>
      </w:r>
      <w:r w:rsidR="00C97AE2">
        <w:t xml:space="preserve">. </w:t>
      </w:r>
    </w:p>
    <w:p w14:paraId="3D0FE140" w14:textId="77777777" w:rsidR="002F5639" w:rsidRPr="00C97AE2" w:rsidRDefault="002F5639" w:rsidP="009457A2">
      <w:pPr>
        <w:pStyle w:val="1"/>
        <w:numPr>
          <w:ilvl w:val="0"/>
          <w:numId w:val="0"/>
        </w:numPr>
        <w:spacing w:before="0" w:line="360" w:lineRule="auto"/>
        <w:rPr>
          <w:i/>
          <w:iCs w:val="0"/>
        </w:rPr>
      </w:pPr>
    </w:p>
    <w:p w14:paraId="11513A37" w14:textId="412C0860" w:rsidR="009C77CC" w:rsidRPr="002F5639" w:rsidRDefault="0053192E" w:rsidP="0053192E">
      <w:pPr>
        <w:pStyle w:val="1"/>
        <w:numPr>
          <w:ilvl w:val="0"/>
          <w:numId w:val="0"/>
        </w:numPr>
        <w:spacing w:before="0" w:line="360" w:lineRule="auto"/>
        <w:rPr>
          <w:i/>
          <w:iCs w:val="0"/>
        </w:rPr>
      </w:pPr>
      <w:r w:rsidRPr="002F5639">
        <w:rPr>
          <w:iCs w:val="0"/>
        </w:rPr>
        <w:t>[88]</w:t>
      </w:r>
      <w:r w:rsidRPr="002F5639">
        <w:rPr>
          <w:iCs w:val="0"/>
        </w:rPr>
        <w:tab/>
      </w:r>
      <w:r w:rsidR="00C97AE2">
        <w:t xml:space="preserve">. Quite clearly in the matter before the Supreme Court of Appeal the allegations </w:t>
      </w:r>
      <w:r w:rsidR="00346ADA">
        <w:t>of</w:t>
      </w:r>
      <w:r w:rsidR="00C97AE2">
        <w:t xml:space="preserve"> the author of a pyramid</w:t>
      </w:r>
      <w:r w:rsidR="00DF6E9F">
        <w:t>/Ponzi</w:t>
      </w:r>
      <w:r w:rsidR="00C97AE2">
        <w:t xml:space="preserve"> scheme using his illicit gains to fodder his personal estate was sufficiently </w:t>
      </w:r>
      <w:r w:rsidR="00121969">
        <w:t xml:space="preserve">weighty enough for the matter to be heard urgently and </w:t>
      </w:r>
      <w:r w:rsidR="00121969" w:rsidRPr="00057F34">
        <w:rPr>
          <w:i/>
          <w:iCs w:val="0"/>
        </w:rPr>
        <w:t>ex parte</w:t>
      </w:r>
      <w:r w:rsidR="00121969">
        <w:t xml:space="preserve">. </w:t>
      </w:r>
    </w:p>
    <w:p w14:paraId="032560B3" w14:textId="77777777" w:rsidR="002F5639" w:rsidRPr="009C77CC" w:rsidRDefault="002F5639" w:rsidP="009457A2">
      <w:pPr>
        <w:pStyle w:val="1"/>
        <w:numPr>
          <w:ilvl w:val="0"/>
          <w:numId w:val="0"/>
        </w:numPr>
        <w:spacing w:before="0" w:line="360" w:lineRule="auto"/>
        <w:rPr>
          <w:i/>
          <w:iCs w:val="0"/>
        </w:rPr>
      </w:pPr>
    </w:p>
    <w:p w14:paraId="33C12F8F" w14:textId="7E91F9E0" w:rsidR="009C77CC" w:rsidRPr="00F26C4E" w:rsidRDefault="0053192E" w:rsidP="0053192E">
      <w:pPr>
        <w:pStyle w:val="1"/>
        <w:numPr>
          <w:ilvl w:val="0"/>
          <w:numId w:val="0"/>
        </w:numPr>
        <w:spacing w:before="0" w:line="360" w:lineRule="auto"/>
        <w:rPr>
          <w:i/>
          <w:iCs w:val="0"/>
        </w:rPr>
      </w:pPr>
      <w:r w:rsidRPr="00F26C4E">
        <w:rPr>
          <w:iCs w:val="0"/>
        </w:rPr>
        <w:t>[89]</w:t>
      </w:r>
      <w:r w:rsidRPr="00F26C4E">
        <w:rPr>
          <w:iCs w:val="0"/>
        </w:rPr>
        <w:tab/>
      </w:r>
      <w:r w:rsidR="00346ADA">
        <w:t>A</w:t>
      </w:r>
      <w:r w:rsidR="00121969">
        <w:t xml:space="preserve">llegations of </w:t>
      </w:r>
      <w:r w:rsidR="00346ADA">
        <w:t>equal</w:t>
      </w:r>
      <w:r w:rsidR="00121969">
        <w:t xml:space="preserve"> force </w:t>
      </w:r>
      <w:r w:rsidR="0009355E">
        <w:t>and</w:t>
      </w:r>
      <w:r w:rsidR="00121969">
        <w:t xml:space="preserve"> weight do not appear </w:t>
      </w:r>
      <w:r w:rsidR="009C77CC">
        <w:t>in the</w:t>
      </w:r>
      <w:r w:rsidR="0009355E">
        <w:t xml:space="preserve"> applicant’s founding affidavit in these </w:t>
      </w:r>
      <w:r w:rsidR="009C77CC">
        <w:t>proceedings</w:t>
      </w:r>
      <w:r w:rsidR="0009355E">
        <w:t xml:space="preserve">. Such allegations would have been able </w:t>
      </w:r>
      <w:r w:rsidR="00365355">
        <w:t xml:space="preserve"> lend some </w:t>
      </w:r>
      <w:r w:rsidR="0009355E">
        <w:t>support</w:t>
      </w:r>
      <w:r w:rsidR="00365355">
        <w:t xml:space="preserve"> </w:t>
      </w:r>
      <w:r w:rsidR="00430A7A">
        <w:t>the applicant</w:t>
      </w:r>
      <w:r w:rsidR="00121969">
        <w:t xml:space="preserve">’s </w:t>
      </w:r>
      <w:r w:rsidR="00365355">
        <w:t xml:space="preserve"> reliance on his </w:t>
      </w:r>
      <w:r w:rsidR="00121969">
        <w:t>general experience</w:t>
      </w:r>
      <w:r w:rsidR="009C77CC">
        <w:t xml:space="preserve"> as a </w:t>
      </w:r>
      <w:r w:rsidR="0048271F">
        <w:t>repayment administrator</w:t>
      </w:r>
      <w:r w:rsidR="0009355E">
        <w:t xml:space="preserve">. In these proceedings </w:t>
      </w:r>
      <w:r w:rsidR="00430A7A">
        <w:t>the applicant</w:t>
      </w:r>
      <w:r w:rsidR="009C77CC">
        <w:t xml:space="preserve"> </w:t>
      </w:r>
      <w:r w:rsidR="0009355E">
        <w:t xml:space="preserve">did not </w:t>
      </w:r>
      <w:r w:rsidR="009C77CC">
        <w:t>attempt to explain why the conduct of the respondent in</w:t>
      </w:r>
      <w:r w:rsidR="009457A2">
        <w:t xml:space="preserve"> </w:t>
      </w:r>
      <w:r w:rsidR="009C77CC">
        <w:t>consent</w:t>
      </w:r>
      <w:r w:rsidR="0048271F">
        <w:t>ing</w:t>
      </w:r>
      <w:r w:rsidR="009C77CC">
        <w:t xml:space="preserve"> to the Pretoria </w:t>
      </w:r>
      <w:r w:rsidR="0048271F">
        <w:t xml:space="preserve">order is </w:t>
      </w:r>
      <w:r w:rsidR="009C77CC">
        <w:t xml:space="preserve">insufficient to allay any fears he may have </w:t>
      </w:r>
      <w:r w:rsidR="0048271F">
        <w:t>h</w:t>
      </w:r>
      <w:r w:rsidR="009C77CC">
        <w:t xml:space="preserve">ad as at 21 December 2023. </w:t>
      </w:r>
    </w:p>
    <w:p w14:paraId="19E6362B" w14:textId="77777777" w:rsidR="00F26C4E" w:rsidRDefault="00F26C4E" w:rsidP="00F26C4E">
      <w:pPr>
        <w:pStyle w:val="ListParagraph"/>
        <w:numPr>
          <w:ilvl w:val="0"/>
          <w:numId w:val="0"/>
        </w:numPr>
        <w:ind w:left="360"/>
        <w:rPr>
          <w:i/>
          <w:iCs/>
        </w:rPr>
      </w:pPr>
    </w:p>
    <w:p w14:paraId="06522F1E" w14:textId="56A477BA" w:rsidR="00F26C4E" w:rsidRPr="00F26C4E" w:rsidRDefault="0053192E" w:rsidP="0053192E">
      <w:pPr>
        <w:pStyle w:val="1"/>
        <w:numPr>
          <w:ilvl w:val="0"/>
          <w:numId w:val="0"/>
        </w:numPr>
        <w:spacing w:before="0" w:line="360" w:lineRule="auto"/>
      </w:pPr>
      <w:r w:rsidRPr="00F26C4E">
        <w:t>[90]</w:t>
      </w:r>
      <w:r w:rsidRPr="00F26C4E">
        <w:tab/>
      </w:r>
      <w:r w:rsidR="00F26C4E" w:rsidRPr="00F26C4E">
        <w:t xml:space="preserve">The </w:t>
      </w:r>
      <w:r w:rsidR="00F26C4E">
        <w:t xml:space="preserve">applicant appears to have elevated the findings of the Supreme Court of Appeal in </w:t>
      </w:r>
      <w:r w:rsidR="00F26C4E" w:rsidRPr="00642D17">
        <w:rPr>
          <w:i/>
          <w:iCs w:val="0"/>
        </w:rPr>
        <w:t>Kruger v Joint Trustees</w:t>
      </w:r>
      <w:r w:rsidR="00F26C4E">
        <w:rPr>
          <w:i/>
          <w:iCs w:val="0"/>
        </w:rPr>
        <w:t xml:space="preserve">, </w:t>
      </w:r>
      <w:r w:rsidR="00F26C4E">
        <w:t xml:space="preserve">to a general right to instituted his applications </w:t>
      </w:r>
      <w:r w:rsidR="00F26C4E" w:rsidRPr="00F26C4E">
        <w:rPr>
          <w:i/>
          <w:iCs w:val="0"/>
        </w:rPr>
        <w:t>ex parte</w:t>
      </w:r>
      <w:r w:rsidR="00F26C4E">
        <w:t xml:space="preserve"> and urgently, without having to say more than he is the appointed repayment </w:t>
      </w:r>
      <w:r w:rsidR="008A10EE">
        <w:t>administrator,</w:t>
      </w:r>
      <w:r w:rsidR="00F26C4E">
        <w:t xml:space="preserve"> and his general experience supports the application being instituted on such an basis. In my view it this is incorrect. The applicant still has an obligation to set out the facts as to why he believes the respondent would fall within the ambit of his general experience. In these proceedings he did not do that.</w:t>
      </w:r>
    </w:p>
    <w:p w14:paraId="3790A374" w14:textId="77777777" w:rsidR="002F5639" w:rsidRPr="009C77CC" w:rsidRDefault="002F5639" w:rsidP="009457A2">
      <w:pPr>
        <w:pStyle w:val="1"/>
        <w:numPr>
          <w:ilvl w:val="0"/>
          <w:numId w:val="0"/>
        </w:numPr>
        <w:spacing w:before="0" w:line="360" w:lineRule="auto"/>
        <w:rPr>
          <w:i/>
          <w:iCs w:val="0"/>
        </w:rPr>
      </w:pPr>
    </w:p>
    <w:p w14:paraId="40BBB492" w14:textId="48BB5B25" w:rsidR="00C97AE2" w:rsidRPr="002F5639" w:rsidRDefault="0053192E" w:rsidP="0053192E">
      <w:pPr>
        <w:pStyle w:val="1"/>
        <w:numPr>
          <w:ilvl w:val="0"/>
          <w:numId w:val="0"/>
        </w:numPr>
        <w:spacing w:before="0" w:line="360" w:lineRule="auto"/>
        <w:rPr>
          <w:i/>
          <w:iCs w:val="0"/>
        </w:rPr>
      </w:pPr>
      <w:r w:rsidRPr="002F5639">
        <w:rPr>
          <w:iCs w:val="0"/>
        </w:rPr>
        <w:t>[91]</w:t>
      </w:r>
      <w:r w:rsidRPr="002F5639">
        <w:rPr>
          <w:iCs w:val="0"/>
        </w:rPr>
        <w:tab/>
      </w:r>
      <w:r w:rsidR="00121969">
        <w:t xml:space="preserve">The respondent’s contention is that, confronted with </w:t>
      </w:r>
      <w:r w:rsidR="009C77CC">
        <w:t>all the</w:t>
      </w:r>
      <w:r w:rsidR="009457A2">
        <w:t xml:space="preserve"> </w:t>
      </w:r>
      <w:r w:rsidR="00121969">
        <w:t>fact</w:t>
      </w:r>
      <w:r w:rsidR="0048271F">
        <w:t>s</w:t>
      </w:r>
      <w:r w:rsidR="009C77CC">
        <w:t xml:space="preserve"> it has now cause</w:t>
      </w:r>
      <w:r w:rsidR="009457A2">
        <w:t xml:space="preserve">d to be placed before </w:t>
      </w:r>
      <w:r w:rsidR="00430A7A">
        <w:t xml:space="preserve">this </w:t>
      </w:r>
      <w:r w:rsidR="0048271F">
        <w:t>court</w:t>
      </w:r>
      <w:r w:rsidR="00121969">
        <w:t xml:space="preserve">, the </w:t>
      </w:r>
      <w:r w:rsidR="00257A05">
        <w:t xml:space="preserve">PMB </w:t>
      </w:r>
      <w:r w:rsidR="00121969">
        <w:t xml:space="preserve">order might not have been granted and that </w:t>
      </w:r>
      <w:r w:rsidR="009C77CC">
        <w:t>the reconsideration threshold is</w:t>
      </w:r>
      <w:r w:rsidR="009457A2">
        <w:t xml:space="preserve"> </w:t>
      </w:r>
      <w:r w:rsidR="00121969">
        <w:t xml:space="preserve">sufficiently low </w:t>
      </w:r>
      <w:r w:rsidR="009C77CC">
        <w:t xml:space="preserve">for me </w:t>
      </w:r>
      <w:r w:rsidR="0048271F">
        <w:t xml:space="preserve">to </w:t>
      </w:r>
      <w:r w:rsidR="009C77CC">
        <w:t>grant the</w:t>
      </w:r>
      <w:r w:rsidR="00121969">
        <w:t xml:space="preserve"> reconsideration application. </w:t>
      </w:r>
    </w:p>
    <w:p w14:paraId="25DFD81B" w14:textId="77777777" w:rsidR="002F5639" w:rsidRPr="00121969" w:rsidRDefault="002F5639" w:rsidP="009457A2">
      <w:pPr>
        <w:pStyle w:val="1"/>
        <w:numPr>
          <w:ilvl w:val="0"/>
          <w:numId w:val="0"/>
        </w:numPr>
        <w:spacing w:before="0" w:line="360" w:lineRule="auto"/>
        <w:rPr>
          <w:i/>
          <w:iCs w:val="0"/>
        </w:rPr>
      </w:pPr>
    </w:p>
    <w:p w14:paraId="07426AC0" w14:textId="1794F658" w:rsidR="009C77CC" w:rsidRPr="002F5639" w:rsidRDefault="0053192E" w:rsidP="0053192E">
      <w:pPr>
        <w:pStyle w:val="1"/>
        <w:numPr>
          <w:ilvl w:val="0"/>
          <w:numId w:val="0"/>
        </w:numPr>
        <w:spacing w:before="0" w:line="360" w:lineRule="auto"/>
        <w:rPr>
          <w:i/>
          <w:iCs w:val="0"/>
        </w:rPr>
      </w:pPr>
      <w:r w:rsidRPr="002F5639">
        <w:rPr>
          <w:iCs w:val="0"/>
        </w:rPr>
        <w:t>[92]</w:t>
      </w:r>
      <w:r w:rsidRPr="002F5639">
        <w:rPr>
          <w:iCs w:val="0"/>
        </w:rPr>
        <w:tab/>
      </w:r>
      <w:r w:rsidR="00121969">
        <w:t xml:space="preserve">The applicant cautions me that a discharge of the rule </w:t>
      </w:r>
      <w:r w:rsidR="009C77CC">
        <w:t xml:space="preserve">nisi </w:t>
      </w:r>
      <w:r w:rsidR="00121969">
        <w:t xml:space="preserve">would result in the countenance of an illegality. </w:t>
      </w:r>
      <w:r w:rsidR="009C77CC">
        <w:t>Such submission</w:t>
      </w:r>
      <w:r w:rsidR="009457A2">
        <w:t xml:space="preserve"> </w:t>
      </w:r>
      <w:r w:rsidR="00121969">
        <w:t xml:space="preserve">would require me to ignore the Pretoria </w:t>
      </w:r>
      <w:r w:rsidR="0048271F">
        <w:t xml:space="preserve">order </w:t>
      </w:r>
      <w:r w:rsidR="00121969">
        <w:t xml:space="preserve">which expressly prevents the respondent from acting unlawfully and illegally. </w:t>
      </w:r>
      <w:r w:rsidR="00257A05">
        <w:t>Further the applicant may yet prevail in these proceedings when the matter is heard on the merits with the respondent present.</w:t>
      </w:r>
    </w:p>
    <w:p w14:paraId="23BD7E34" w14:textId="77777777" w:rsidR="002F5639" w:rsidRPr="009C77CC" w:rsidRDefault="002F5639" w:rsidP="009457A2">
      <w:pPr>
        <w:pStyle w:val="1"/>
        <w:numPr>
          <w:ilvl w:val="0"/>
          <w:numId w:val="0"/>
        </w:numPr>
        <w:spacing w:before="0" w:line="360" w:lineRule="auto"/>
        <w:rPr>
          <w:i/>
          <w:iCs w:val="0"/>
        </w:rPr>
      </w:pPr>
    </w:p>
    <w:p w14:paraId="53C3EE58" w14:textId="516B2C72" w:rsidR="00121969" w:rsidRPr="002F5639" w:rsidRDefault="0053192E" w:rsidP="0053192E">
      <w:pPr>
        <w:pStyle w:val="1"/>
        <w:numPr>
          <w:ilvl w:val="0"/>
          <w:numId w:val="0"/>
        </w:numPr>
        <w:spacing w:before="0" w:line="360" w:lineRule="auto"/>
        <w:rPr>
          <w:i/>
          <w:iCs w:val="0"/>
        </w:rPr>
      </w:pPr>
      <w:r w:rsidRPr="002F5639">
        <w:rPr>
          <w:iCs w:val="0"/>
        </w:rPr>
        <w:t>[93]</w:t>
      </w:r>
      <w:r w:rsidRPr="002F5639">
        <w:rPr>
          <w:iCs w:val="0"/>
        </w:rPr>
        <w:tab/>
      </w:r>
      <w:r w:rsidR="00121969">
        <w:t xml:space="preserve">This application at this stage merely seeks to address the question of whether the respondent ought to be present when the applicant seeks the relief </w:t>
      </w:r>
      <w:r w:rsidR="00BE7F82">
        <w:t xml:space="preserve">foreshadowed in </w:t>
      </w:r>
      <w:r w:rsidR="00430A7A">
        <w:t xml:space="preserve">his </w:t>
      </w:r>
      <w:r w:rsidR="00BE7F82">
        <w:t xml:space="preserve">notice of motion. </w:t>
      </w:r>
    </w:p>
    <w:p w14:paraId="0043D2FC" w14:textId="77777777" w:rsidR="002F5639" w:rsidRPr="00BE7F82" w:rsidRDefault="002F5639" w:rsidP="009457A2">
      <w:pPr>
        <w:pStyle w:val="1"/>
        <w:numPr>
          <w:ilvl w:val="0"/>
          <w:numId w:val="0"/>
        </w:numPr>
        <w:spacing w:before="0" w:line="360" w:lineRule="auto"/>
        <w:rPr>
          <w:i/>
          <w:iCs w:val="0"/>
        </w:rPr>
      </w:pPr>
    </w:p>
    <w:p w14:paraId="231288FE" w14:textId="7AC0CC51" w:rsidR="009C77CC" w:rsidRPr="002F5639" w:rsidRDefault="0053192E" w:rsidP="0053192E">
      <w:pPr>
        <w:pStyle w:val="1"/>
        <w:numPr>
          <w:ilvl w:val="0"/>
          <w:numId w:val="0"/>
        </w:numPr>
        <w:spacing w:before="0" w:line="360" w:lineRule="auto"/>
        <w:rPr>
          <w:i/>
          <w:iCs w:val="0"/>
        </w:rPr>
      </w:pPr>
      <w:r w:rsidRPr="002F5639">
        <w:rPr>
          <w:iCs w:val="0"/>
        </w:rPr>
        <w:t>[94]</w:t>
      </w:r>
      <w:r w:rsidRPr="002F5639">
        <w:rPr>
          <w:iCs w:val="0"/>
        </w:rPr>
        <w:tab/>
      </w:r>
      <w:r w:rsidR="00BE7F82">
        <w:t xml:space="preserve">Based on the above, I am of the opinion that the existing order created an injustice to the respondent because it was obtained in </w:t>
      </w:r>
      <w:r w:rsidR="009C77CC">
        <w:t>its</w:t>
      </w:r>
      <w:r w:rsidR="00BE7F82">
        <w:t xml:space="preserve"> absence on an urgent basis.</w:t>
      </w:r>
    </w:p>
    <w:p w14:paraId="518919C0" w14:textId="77777777" w:rsidR="002F5639" w:rsidRPr="009C77CC" w:rsidRDefault="002F5639" w:rsidP="009457A2">
      <w:pPr>
        <w:pStyle w:val="1"/>
        <w:numPr>
          <w:ilvl w:val="0"/>
          <w:numId w:val="0"/>
        </w:numPr>
        <w:spacing w:before="0" w:line="360" w:lineRule="auto"/>
        <w:rPr>
          <w:i/>
          <w:iCs w:val="0"/>
        </w:rPr>
      </w:pPr>
    </w:p>
    <w:p w14:paraId="1E626CC7" w14:textId="3D90E57D" w:rsidR="009C77CC" w:rsidRPr="002F5639" w:rsidRDefault="0053192E" w:rsidP="0053192E">
      <w:pPr>
        <w:pStyle w:val="1"/>
        <w:numPr>
          <w:ilvl w:val="0"/>
          <w:numId w:val="0"/>
        </w:numPr>
        <w:spacing w:before="0" w:line="360" w:lineRule="auto"/>
        <w:rPr>
          <w:i/>
          <w:iCs w:val="0"/>
        </w:rPr>
      </w:pPr>
      <w:r w:rsidRPr="002F5639">
        <w:rPr>
          <w:iCs w:val="0"/>
        </w:rPr>
        <w:t>[95]</w:t>
      </w:r>
      <w:r w:rsidRPr="002F5639">
        <w:rPr>
          <w:iCs w:val="0"/>
        </w:rPr>
        <w:tab/>
      </w:r>
      <w:r w:rsidR="00BE7F82">
        <w:t xml:space="preserve"> The application ought to have been served on the respondent and mechanisms </w:t>
      </w:r>
      <w:r w:rsidR="00257A05">
        <w:t xml:space="preserve">could have been </w:t>
      </w:r>
      <w:r w:rsidR="00BE7F82">
        <w:t xml:space="preserve">employed by the applicant to ensure that the matter was heard </w:t>
      </w:r>
      <w:r w:rsidR="00BE7F82">
        <w:rPr>
          <w:i/>
          <w:iCs w:val="0"/>
        </w:rPr>
        <w:t>in camera</w:t>
      </w:r>
      <w:r w:rsidR="00257A05">
        <w:t xml:space="preserve">, if he wanted to prevent the </w:t>
      </w:r>
      <w:r w:rsidR="002105E7">
        <w:t>risk of a “</w:t>
      </w:r>
      <w:r w:rsidR="002105E7" w:rsidRPr="002105E7">
        <w:rPr>
          <w:rFonts w:eastAsiaTheme="minorHAnsi"/>
          <w:i/>
          <w:szCs w:val="24"/>
        </w:rPr>
        <w:t>bank run</w:t>
      </w:r>
      <w:r w:rsidR="002105E7" w:rsidRPr="002105E7">
        <w:rPr>
          <w:rFonts w:eastAsiaTheme="minorHAnsi"/>
          <w:szCs w:val="24"/>
        </w:rPr>
        <w:t>” or “</w:t>
      </w:r>
      <w:r w:rsidR="002105E7" w:rsidRPr="002105E7">
        <w:rPr>
          <w:rFonts w:eastAsiaTheme="minorHAnsi"/>
          <w:i/>
          <w:szCs w:val="24"/>
        </w:rPr>
        <w:t>run on the bank</w:t>
      </w:r>
      <w:r w:rsidR="002105E7" w:rsidRPr="002105E7">
        <w:rPr>
          <w:rFonts w:eastAsiaTheme="minorHAnsi"/>
          <w:szCs w:val="24"/>
        </w:rPr>
        <w:t>”</w:t>
      </w:r>
      <w:r w:rsidR="002105E7">
        <w:rPr>
          <w:rFonts w:eastAsiaTheme="minorHAnsi"/>
          <w:szCs w:val="24"/>
        </w:rPr>
        <w:t>.</w:t>
      </w:r>
    </w:p>
    <w:p w14:paraId="2A97DE5C" w14:textId="77777777" w:rsidR="002F5639" w:rsidRPr="009C77CC" w:rsidRDefault="002F5639" w:rsidP="009457A2">
      <w:pPr>
        <w:pStyle w:val="1"/>
        <w:numPr>
          <w:ilvl w:val="0"/>
          <w:numId w:val="0"/>
        </w:numPr>
        <w:spacing w:before="0" w:line="360" w:lineRule="auto"/>
        <w:rPr>
          <w:i/>
          <w:iCs w:val="0"/>
        </w:rPr>
      </w:pPr>
    </w:p>
    <w:p w14:paraId="63D3236D" w14:textId="2E74453C" w:rsidR="009C77CC" w:rsidRPr="001D413A" w:rsidRDefault="0053192E" w:rsidP="0053192E">
      <w:pPr>
        <w:pStyle w:val="1"/>
        <w:numPr>
          <w:ilvl w:val="0"/>
          <w:numId w:val="0"/>
        </w:numPr>
        <w:spacing w:before="0" w:line="360" w:lineRule="auto"/>
        <w:rPr>
          <w:i/>
          <w:iCs w:val="0"/>
        </w:rPr>
      </w:pPr>
      <w:r w:rsidRPr="001D413A">
        <w:rPr>
          <w:iCs w:val="0"/>
        </w:rPr>
        <w:t>[96]</w:t>
      </w:r>
      <w:r w:rsidRPr="001D413A">
        <w:rPr>
          <w:iCs w:val="0"/>
        </w:rPr>
        <w:tab/>
      </w:r>
      <w:r w:rsidR="009C77CC">
        <w:t>T</w:t>
      </w:r>
      <w:r w:rsidR="00BE7F82">
        <w:t xml:space="preserve">he applicant failed to establish why the order had to be granted </w:t>
      </w:r>
      <w:r w:rsidR="00BE7F82" w:rsidRPr="00057F34">
        <w:rPr>
          <w:i/>
          <w:iCs w:val="0"/>
        </w:rPr>
        <w:t>ex parte</w:t>
      </w:r>
      <w:r w:rsidR="00BE7F82">
        <w:t xml:space="preserve"> to the </w:t>
      </w:r>
      <w:r w:rsidR="002105E7">
        <w:t xml:space="preserve">prejudice of </w:t>
      </w:r>
      <w:r w:rsidR="00BE7F82">
        <w:t>respondent</w:t>
      </w:r>
      <w:r w:rsidR="001D413A">
        <w:t xml:space="preserve">. There was no basis  institute the application without notice at 8:30am in the morning in circumstance where the plight of respondent was </w:t>
      </w:r>
      <w:r w:rsidR="002105E7">
        <w:t xml:space="preserve">already </w:t>
      </w:r>
      <w:r w:rsidR="001D413A">
        <w:t>the subject of litigation in the Pretoria High Court. Nothing could meaningfully be achieved by such urgency and absence of notice</w:t>
      </w:r>
      <w:r w:rsidR="002105E7">
        <w:t xml:space="preserve"> except the absence of the respondent.</w:t>
      </w:r>
    </w:p>
    <w:p w14:paraId="20869D2E" w14:textId="77777777" w:rsidR="001D413A" w:rsidRDefault="001D413A" w:rsidP="001D413A">
      <w:pPr>
        <w:pStyle w:val="ListParagraph"/>
        <w:numPr>
          <w:ilvl w:val="0"/>
          <w:numId w:val="0"/>
        </w:numPr>
        <w:ind w:left="360"/>
        <w:rPr>
          <w:i/>
          <w:iCs/>
        </w:rPr>
      </w:pPr>
    </w:p>
    <w:p w14:paraId="0FE6B3A6" w14:textId="306F0735" w:rsidR="001D413A" w:rsidRPr="001D413A" w:rsidRDefault="0053192E" w:rsidP="0053192E">
      <w:pPr>
        <w:pStyle w:val="1"/>
        <w:numPr>
          <w:ilvl w:val="0"/>
          <w:numId w:val="0"/>
        </w:numPr>
        <w:spacing w:before="0" w:line="360" w:lineRule="auto"/>
      </w:pPr>
      <w:r w:rsidRPr="001D413A">
        <w:t>[97]</w:t>
      </w:r>
      <w:r w:rsidRPr="001D413A">
        <w:tab/>
      </w:r>
      <w:r w:rsidR="001D413A" w:rsidRPr="001D413A">
        <w:t>The applicant would still have been able to obtain substantial redress if the application was moved a later time and on notice to the respondent.</w:t>
      </w:r>
      <w:r w:rsidR="001D413A">
        <w:t xml:space="preserve"> The applicant could have built in </w:t>
      </w:r>
      <w:r w:rsidR="00C908E7">
        <w:t>safeguards</w:t>
      </w:r>
      <w:r w:rsidR="001D413A">
        <w:t xml:space="preserve"> for the hearing of the application</w:t>
      </w:r>
      <w:r w:rsidR="00C908E7">
        <w:t xml:space="preserve"> so that it would be heard</w:t>
      </w:r>
      <w:r w:rsidR="001D413A">
        <w:t xml:space="preserve"> to the exclusion of members of the public, but on notice to the respondent.</w:t>
      </w:r>
      <w:r w:rsidR="001D413A" w:rsidRPr="001D413A">
        <w:t xml:space="preserve"> I am of the view that the application was not sufficiently urgent to me moved </w:t>
      </w:r>
      <w:r w:rsidR="001D413A" w:rsidRPr="00C908E7">
        <w:rPr>
          <w:i/>
          <w:iCs w:val="0"/>
        </w:rPr>
        <w:t>ex parte</w:t>
      </w:r>
      <w:r w:rsidR="001D413A" w:rsidRPr="001D413A">
        <w:t xml:space="preserve"> at 8:30 on the morning.</w:t>
      </w:r>
    </w:p>
    <w:p w14:paraId="56CF2CD9" w14:textId="77777777" w:rsidR="002F5639" w:rsidRPr="009C77CC" w:rsidRDefault="002F5639" w:rsidP="009457A2">
      <w:pPr>
        <w:pStyle w:val="1"/>
        <w:numPr>
          <w:ilvl w:val="0"/>
          <w:numId w:val="0"/>
        </w:numPr>
        <w:spacing w:before="0" w:line="360" w:lineRule="auto"/>
        <w:rPr>
          <w:i/>
          <w:iCs w:val="0"/>
        </w:rPr>
      </w:pPr>
    </w:p>
    <w:p w14:paraId="5FA2083E" w14:textId="22BC64AD" w:rsidR="00BE7F82" w:rsidRPr="00365355" w:rsidRDefault="0053192E" w:rsidP="0053192E">
      <w:pPr>
        <w:pStyle w:val="1"/>
        <w:numPr>
          <w:ilvl w:val="0"/>
          <w:numId w:val="0"/>
        </w:numPr>
        <w:spacing w:before="0" w:line="360" w:lineRule="auto"/>
        <w:rPr>
          <w:i/>
          <w:iCs w:val="0"/>
        </w:rPr>
      </w:pPr>
      <w:r w:rsidRPr="00365355">
        <w:rPr>
          <w:iCs w:val="0"/>
        </w:rPr>
        <w:t>[98]</w:t>
      </w:r>
      <w:r w:rsidRPr="00365355">
        <w:rPr>
          <w:iCs w:val="0"/>
        </w:rPr>
        <w:tab/>
      </w:r>
      <w:r w:rsidR="00BE7F82">
        <w:t xml:space="preserve">There was a material </w:t>
      </w:r>
      <w:r w:rsidR="001E73E8">
        <w:t>nondisclosure</w:t>
      </w:r>
      <w:r w:rsidR="00BE7F82">
        <w:t xml:space="preserve"> of facts which might have influenced the outcome of the application had the respondent been present. It accordingly follows that the reconsideration application must succeed</w:t>
      </w:r>
      <w:r w:rsidR="00365355">
        <w:t xml:space="preserve"> on the basis of the procedural regulatory complained of by the respondent.</w:t>
      </w:r>
    </w:p>
    <w:p w14:paraId="7ADF39F1" w14:textId="77777777" w:rsidR="00365355" w:rsidRDefault="00365355" w:rsidP="00365355">
      <w:pPr>
        <w:pStyle w:val="ListParagraph"/>
        <w:numPr>
          <w:ilvl w:val="0"/>
          <w:numId w:val="0"/>
        </w:numPr>
        <w:ind w:left="360"/>
        <w:rPr>
          <w:i/>
          <w:iCs/>
        </w:rPr>
      </w:pPr>
    </w:p>
    <w:p w14:paraId="21B6BF8D" w14:textId="6D098EE9" w:rsidR="00365355" w:rsidRPr="00FB65DF" w:rsidRDefault="0053192E" w:rsidP="0053192E">
      <w:pPr>
        <w:pStyle w:val="1"/>
        <w:numPr>
          <w:ilvl w:val="0"/>
          <w:numId w:val="0"/>
        </w:numPr>
        <w:spacing w:before="0" w:line="360" w:lineRule="auto"/>
        <w:rPr>
          <w:i/>
          <w:iCs w:val="0"/>
        </w:rPr>
      </w:pPr>
      <w:r w:rsidRPr="00FB65DF">
        <w:rPr>
          <w:iCs w:val="0"/>
        </w:rPr>
        <w:t>[99]</w:t>
      </w:r>
      <w:r w:rsidRPr="00FB65DF">
        <w:rPr>
          <w:iCs w:val="0"/>
        </w:rPr>
        <w:tab/>
      </w:r>
      <w:r w:rsidR="00365355">
        <w:t xml:space="preserve">It follows that the respondent has been substantially successful in these </w:t>
      </w:r>
      <w:r w:rsidR="002D7F30">
        <w:t>proceedings in which both parties utilised the services of two counsel.</w:t>
      </w:r>
      <w:r w:rsidR="004C557D">
        <w:t xml:space="preserve"> As such the respondent is entitled to it costs.</w:t>
      </w:r>
      <w:r w:rsidR="004C557D">
        <w:rPr>
          <w:rStyle w:val="FootnoteReference"/>
        </w:rPr>
        <w:footnoteReference w:id="51"/>
      </w:r>
      <w:r w:rsidR="00365355">
        <w:t xml:space="preserve"> </w:t>
      </w:r>
    </w:p>
    <w:p w14:paraId="45882C04" w14:textId="38A56D61" w:rsidR="00BE7F82" w:rsidRPr="005F5585" w:rsidRDefault="00BE7F82" w:rsidP="009457A2">
      <w:pPr>
        <w:pStyle w:val="Heading3"/>
        <w:spacing w:before="0" w:line="360" w:lineRule="auto"/>
        <w:rPr>
          <w:b/>
          <w:u w:val="none"/>
        </w:rPr>
      </w:pPr>
      <w:r w:rsidRPr="005F5585">
        <w:rPr>
          <w:b/>
          <w:u w:val="none"/>
        </w:rPr>
        <w:t>Order</w:t>
      </w:r>
    </w:p>
    <w:p w14:paraId="04035780" w14:textId="7D23AB78" w:rsidR="00BE7F82" w:rsidRDefault="0053192E" w:rsidP="0053192E">
      <w:pPr>
        <w:pStyle w:val="1"/>
        <w:numPr>
          <w:ilvl w:val="0"/>
          <w:numId w:val="0"/>
        </w:numPr>
        <w:spacing w:before="0" w:line="360" w:lineRule="auto"/>
      </w:pPr>
      <w:r>
        <w:t>[100]</w:t>
      </w:r>
      <w:r>
        <w:tab/>
      </w:r>
      <w:r w:rsidR="00BE7F82">
        <w:t>Having considered the papers and submissions before me, the following order is made:</w:t>
      </w:r>
    </w:p>
    <w:p w14:paraId="444C1971" w14:textId="0573C6F7" w:rsidR="00375DD0" w:rsidRDefault="0053192E" w:rsidP="0053192E">
      <w:pPr>
        <w:pStyle w:val="1"/>
        <w:numPr>
          <w:ilvl w:val="0"/>
          <w:numId w:val="0"/>
        </w:numPr>
        <w:spacing w:before="0" w:line="360" w:lineRule="auto"/>
        <w:ind w:left="720" w:hanging="720"/>
      </w:pPr>
      <w:bookmarkStart w:id="4" w:name="_Hlk160707533"/>
      <w:r>
        <w:t>(a)</w:t>
      </w:r>
      <w:r>
        <w:tab/>
      </w:r>
      <w:r w:rsidR="00375DD0">
        <w:t>The respondent is given leave to deliver its supplementary affidavit.</w:t>
      </w:r>
    </w:p>
    <w:p w14:paraId="37E8F4C1" w14:textId="60D5CF04" w:rsidR="00BE7F82" w:rsidRDefault="0053192E" w:rsidP="0053192E">
      <w:pPr>
        <w:pStyle w:val="1"/>
        <w:numPr>
          <w:ilvl w:val="0"/>
          <w:numId w:val="0"/>
        </w:numPr>
        <w:spacing w:before="0" w:line="360" w:lineRule="auto"/>
        <w:ind w:left="720" w:hanging="720"/>
      </w:pPr>
      <w:r>
        <w:t>(b)</w:t>
      </w:r>
      <w:r>
        <w:tab/>
      </w:r>
      <w:r w:rsidR="00BE7F82">
        <w:t>The order of Mossop J dated 22 December 2023 is reconsidered and discharged under Uniform Rule 6(12)</w:t>
      </w:r>
      <w:r w:rsidR="00BE7F82" w:rsidRPr="00E0176E">
        <w:rPr>
          <w:i/>
        </w:rPr>
        <w:t>(c)</w:t>
      </w:r>
      <w:r w:rsidR="00BE7F82">
        <w:t>. It is replaced with the following order:</w:t>
      </w:r>
    </w:p>
    <w:p w14:paraId="5D69DE11" w14:textId="7A6D9318" w:rsidR="00BE7F82" w:rsidRDefault="007F6E9F" w:rsidP="009457A2">
      <w:pPr>
        <w:pStyle w:val="1"/>
        <w:numPr>
          <w:ilvl w:val="0"/>
          <w:numId w:val="0"/>
        </w:numPr>
        <w:spacing w:before="0" w:line="360" w:lineRule="auto"/>
        <w:ind w:left="720" w:hanging="720"/>
      </w:pPr>
      <w:r>
        <w:tab/>
      </w:r>
      <w:r>
        <w:tab/>
      </w:r>
      <w:r w:rsidR="00BE7F82">
        <w:t>“</w:t>
      </w:r>
      <w:r w:rsidR="009C77CC">
        <w:t>The application is struck from the roll”</w:t>
      </w:r>
    </w:p>
    <w:p w14:paraId="243DD94B" w14:textId="34D169D5" w:rsidR="00BE7F82" w:rsidRDefault="0053192E" w:rsidP="0053192E">
      <w:pPr>
        <w:pStyle w:val="1"/>
        <w:numPr>
          <w:ilvl w:val="0"/>
          <w:numId w:val="0"/>
        </w:numPr>
        <w:spacing w:before="0" w:line="360" w:lineRule="auto"/>
        <w:ind w:left="720" w:hanging="720"/>
      </w:pPr>
      <w:r>
        <w:t>(c)</w:t>
      </w:r>
      <w:r>
        <w:tab/>
      </w:r>
      <w:r w:rsidR="00BE7F82">
        <w:t>The applicant is directed to pay the respondent’s costs</w:t>
      </w:r>
      <w:r w:rsidR="009C77CC">
        <w:t xml:space="preserve"> of the reconsideration application</w:t>
      </w:r>
      <w:r w:rsidR="00BE7F82">
        <w:t xml:space="preserve">, such costs to include the costs of two counsel where employed. </w:t>
      </w:r>
    </w:p>
    <w:p w14:paraId="1343DE6A" w14:textId="77777777" w:rsidR="000916DB" w:rsidRDefault="000916DB" w:rsidP="000916DB">
      <w:pPr>
        <w:pStyle w:val="1"/>
        <w:numPr>
          <w:ilvl w:val="0"/>
          <w:numId w:val="0"/>
        </w:numPr>
        <w:spacing w:before="0" w:line="360" w:lineRule="auto"/>
      </w:pPr>
    </w:p>
    <w:p w14:paraId="11D06DFA" w14:textId="77777777" w:rsidR="000916DB" w:rsidRDefault="000916DB" w:rsidP="000916DB">
      <w:pPr>
        <w:pStyle w:val="1"/>
        <w:numPr>
          <w:ilvl w:val="0"/>
          <w:numId w:val="0"/>
        </w:numPr>
        <w:spacing w:before="0" w:line="360" w:lineRule="auto"/>
      </w:pPr>
    </w:p>
    <w:p w14:paraId="1024ADBF" w14:textId="77777777" w:rsidR="009C77CC" w:rsidRDefault="009C77CC" w:rsidP="009457A2">
      <w:pPr>
        <w:pStyle w:val="1"/>
        <w:numPr>
          <w:ilvl w:val="0"/>
          <w:numId w:val="0"/>
        </w:numPr>
        <w:spacing w:before="0" w:line="360" w:lineRule="auto"/>
        <w:ind w:left="1134" w:hanging="1134"/>
      </w:pPr>
    </w:p>
    <w:p w14:paraId="6B8307A9" w14:textId="77777777" w:rsidR="003B3011" w:rsidRDefault="003B3011" w:rsidP="009457A2">
      <w:pPr>
        <w:pStyle w:val="1"/>
        <w:numPr>
          <w:ilvl w:val="0"/>
          <w:numId w:val="0"/>
        </w:numPr>
        <w:spacing w:before="0" w:line="360" w:lineRule="auto"/>
        <w:ind w:left="1134" w:hanging="1134"/>
      </w:pPr>
    </w:p>
    <w:p w14:paraId="76260A07" w14:textId="77777777" w:rsidR="003B3011" w:rsidRPr="00BE7F82" w:rsidRDefault="003B3011" w:rsidP="009457A2">
      <w:pPr>
        <w:pStyle w:val="1"/>
        <w:numPr>
          <w:ilvl w:val="0"/>
          <w:numId w:val="0"/>
        </w:numPr>
        <w:spacing w:before="0" w:line="360" w:lineRule="auto"/>
        <w:ind w:left="1134" w:hanging="1134"/>
      </w:pPr>
    </w:p>
    <w:bookmarkEnd w:id="4"/>
    <w:p w14:paraId="400BCB3D" w14:textId="0587320D" w:rsidR="00A24275" w:rsidRPr="00A24275" w:rsidRDefault="00A24275" w:rsidP="009457A2">
      <w:pPr>
        <w:spacing w:line="360" w:lineRule="auto"/>
        <w:jc w:val="right"/>
      </w:pPr>
      <w:r>
        <w:t>______________________</w:t>
      </w:r>
    </w:p>
    <w:p w14:paraId="1F80B73B" w14:textId="4D11C970" w:rsidR="00A24275" w:rsidRDefault="00A24275" w:rsidP="009457A2">
      <w:pPr>
        <w:keepNext/>
        <w:spacing w:line="360" w:lineRule="auto"/>
        <w:jc w:val="right"/>
        <w:rPr>
          <w:rFonts w:cs="Arial"/>
          <w:b/>
        </w:rPr>
      </w:pPr>
      <w:r>
        <w:rPr>
          <w:rFonts w:cs="Arial"/>
          <w:b/>
        </w:rPr>
        <w:t xml:space="preserve">I VEERASAMY AJ </w:t>
      </w:r>
    </w:p>
    <w:p w14:paraId="7749AC55" w14:textId="77777777" w:rsidR="00A24275" w:rsidRDefault="00A24275" w:rsidP="009457A2">
      <w:pPr>
        <w:spacing w:line="360" w:lineRule="auto"/>
      </w:pPr>
    </w:p>
    <w:p w14:paraId="239F8B28" w14:textId="77777777" w:rsidR="00A24275" w:rsidRDefault="00A24275" w:rsidP="009457A2">
      <w:pPr>
        <w:spacing w:line="360" w:lineRule="auto"/>
      </w:pPr>
    </w:p>
    <w:p w14:paraId="4618D45C" w14:textId="2304E359" w:rsidR="00A24275" w:rsidRDefault="00A24275" w:rsidP="009457A2">
      <w:pPr>
        <w:spacing w:line="360" w:lineRule="auto"/>
        <w:jc w:val="right"/>
      </w:pPr>
    </w:p>
    <w:p w14:paraId="6C85CDBD" w14:textId="77777777" w:rsidR="00A24275" w:rsidRPr="000001B9" w:rsidRDefault="00A24275" w:rsidP="009457A2">
      <w:pPr>
        <w:spacing w:line="360" w:lineRule="auto"/>
      </w:pPr>
    </w:p>
    <w:bookmarkEnd w:id="0"/>
    <w:p w14:paraId="60CB2921" w14:textId="77777777" w:rsidR="00F53687" w:rsidRPr="00A400E4" w:rsidRDefault="00F53687" w:rsidP="00F53687">
      <w:pPr>
        <w:spacing w:after="120" w:line="480" w:lineRule="auto"/>
        <w:jc w:val="center"/>
        <w:rPr>
          <w:rFonts w:cs="Arial"/>
          <w:b/>
          <w:szCs w:val="24"/>
          <w:u w:val="single"/>
          <w:lang w:val="en-ZA"/>
        </w:rPr>
      </w:pPr>
      <w:r w:rsidRPr="00A400E4">
        <w:rPr>
          <w:rFonts w:cs="Arial"/>
          <w:b/>
          <w:szCs w:val="24"/>
          <w:u w:val="single"/>
          <w:lang w:val="en-ZA"/>
        </w:rPr>
        <w:t xml:space="preserve">CASE INFORMATION </w:t>
      </w:r>
    </w:p>
    <w:p w14:paraId="2D3F10A1" w14:textId="0E316F23" w:rsidR="00F53687" w:rsidRDefault="00F53687" w:rsidP="00F53687">
      <w:pPr>
        <w:rPr>
          <w:rFonts w:cs="Arial"/>
          <w:szCs w:val="24"/>
          <w:lang w:val="en-ZA"/>
        </w:rPr>
      </w:pPr>
      <w:r w:rsidRPr="008D105A">
        <w:rPr>
          <w:rFonts w:cs="Arial"/>
          <w:szCs w:val="24"/>
          <w:lang w:val="en-ZA"/>
        </w:rPr>
        <w:t xml:space="preserve">Counsel for the </w:t>
      </w:r>
      <w:r>
        <w:rPr>
          <w:rFonts w:cs="Arial"/>
          <w:szCs w:val="24"/>
          <w:lang w:val="en-ZA"/>
        </w:rPr>
        <w:t>Applicant</w:t>
      </w:r>
      <w:r>
        <w:rPr>
          <w:rFonts w:cs="Arial"/>
          <w:szCs w:val="24"/>
          <w:lang w:val="en-ZA"/>
        </w:rPr>
        <w:tab/>
      </w:r>
      <w:r>
        <w:rPr>
          <w:rFonts w:cs="Arial"/>
          <w:szCs w:val="24"/>
          <w:lang w:val="en-ZA"/>
        </w:rPr>
        <w:tab/>
      </w:r>
      <w:r w:rsidRPr="008D105A">
        <w:rPr>
          <w:rFonts w:cs="Arial"/>
          <w:szCs w:val="24"/>
          <w:lang w:val="en-ZA"/>
        </w:rPr>
        <w:t>:</w:t>
      </w:r>
      <w:r w:rsidRPr="008D105A">
        <w:rPr>
          <w:rFonts w:cs="Arial"/>
          <w:szCs w:val="24"/>
          <w:lang w:val="en-ZA"/>
        </w:rPr>
        <w:tab/>
      </w:r>
      <w:r>
        <w:rPr>
          <w:rFonts w:cs="Arial"/>
          <w:szCs w:val="24"/>
          <w:lang w:val="en-ZA"/>
        </w:rPr>
        <w:t xml:space="preserve">Adv E L Theron </w:t>
      </w:r>
    </w:p>
    <w:p w14:paraId="198147E4" w14:textId="096E8BB2" w:rsidR="00F53687" w:rsidRDefault="00F53687" w:rsidP="00F53687">
      <w:pPr>
        <w:rPr>
          <w:rFonts w:cs="Arial"/>
          <w:szCs w:val="24"/>
          <w:lang w:val="en-ZA"/>
        </w:rPr>
      </w:pP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t xml:space="preserve">Adv L E Combrink </w:t>
      </w:r>
      <w:r>
        <w:rPr>
          <w:rFonts w:cs="Arial"/>
          <w:szCs w:val="24"/>
          <w:lang w:val="en-ZA"/>
        </w:rPr>
        <w:tab/>
      </w:r>
    </w:p>
    <w:p w14:paraId="3B4D2179" w14:textId="77777777" w:rsidR="00F53687" w:rsidRDefault="00F53687" w:rsidP="00F53687">
      <w:pPr>
        <w:rPr>
          <w:rFonts w:cs="Arial"/>
          <w:szCs w:val="24"/>
          <w:lang w:val="en-ZA"/>
        </w:rPr>
      </w:pPr>
      <w:r>
        <w:rPr>
          <w:rFonts w:cs="Arial"/>
          <w:szCs w:val="24"/>
          <w:lang w:val="en-ZA"/>
        </w:rPr>
        <w:t>Attorneys for the Applicant</w:t>
      </w:r>
      <w:r>
        <w:rPr>
          <w:rFonts w:cs="Arial"/>
          <w:szCs w:val="24"/>
          <w:lang w:val="en-ZA"/>
        </w:rPr>
        <w:tab/>
      </w:r>
      <w:r>
        <w:rPr>
          <w:rFonts w:cs="Arial"/>
          <w:szCs w:val="24"/>
          <w:lang w:val="en-ZA"/>
        </w:rPr>
        <w:tab/>
        <w:t>:</w:t>
      </w:r>
      <w:r>
        <w:rPr>
          <w:rFonts w:cs="Arial"/>
          <w:szCs w:val="24"/>
          <w:lang w:val="en-ZA"/>
        </w:rPr>
        <w:tab/>
        <w:t xml:space="preserve">Bowman Gilfillan Inc </w:t>
      </w:r>
    </w:p>
    <w:p w14:paraId="4DFCEBBC" w14:textId="77777777" w:rsidR="00F53687" w:rsidRDefault="00F53687" w:rsidP="00F53687">
      <w:pPr>
        <w:rPr>
          <w:rFonts w:cs="Arial"/>
          <w:szCs w:val="24"/>
          <w:lang w:val="en-ZA"/>
        </w:rPr>
      </w:pP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t>23 Bree Street</w:t>
      </w:r>
    </w:p>
    <w:p w14:paraId="7255F45B" w14:textId="77777777" w:rsidR="00F53687" w:rsidRDefault="00F53687" w:rsidP="00F53687">
      <w:pPr>
        <w:ind w:left="3600" w:firstLine="720"/>
        <w:rPr>
          <w:rFonts w:cs="Arial"/>
          <w:szCs w:val="24"/>
          <w:lang w:val="en-ZA"/>
        </w:rPr>
      </w:pPr>
      <w:r>
        <w:rPr>
          <w:rFonts w:cs="Arial"/>
          <w:szCs w:val="24"/>
          <w:lang w:val="en-ZA"/>
        </w:rPr>
        <w:t>Cape town</w:t>
      </w:r>
    </w:p>
    <w:p w14:paraId="0F60F70D" w14:textId="77777777" w:rsidR="00F53687" w:rsidRDefault="00F53687" w:rsidP="00F53687">
      <w:pPr>
        <w:ind w:left="3600" w:firstLine="720"/>
        <w:rPr>
          <w:rFonts w:cs="Arial"/>
          <w:szCs w:val="24"/>
          <w:lang w:val="en-ZA"/>
        </w:rPr>
      </w:pPr>
      <w:r>
        <w:rPr>
          <w:rFonts w:cs="Arial"/>
          <w:szCs w:val="24"/>
          <w:lang w:val="en-ZA"/>
        </w:rPr>
        <w:t>Tel: 021 480 7800</w:t>
      </w:r>
    </w:p>
    <w:p w14:paraId="73DDAD3E" w14:textId="77777777" w:rsidR="00F53687" w:rsidRDefault="00F53687" w:rsidP="00F53687">
      <w:pPr>
        <w:ind w:left="3600" w:firstLine="720"/>
        <w:rPr>
          <w:rFonts w:cs="Arial"/>
          <w:szCs w:val="24"/>
          <w:lang w:val="en-ZA"/>
        </w:rPr>
      </w:pPr>
      <w:r>
        <w:rPr>
          <w:rFonts w:cs="Arial"/>
          <w:szCs w:val="24"/>
          <w:lang w:val="en-ZA"/>
        </w:rPr>
        <w:t>Fax: 021 480 3200</w:t>
      </w:r>
    </w:p>
    <w:p w14:paraId="16F20ACC" w14:textId="340DC048" w:rsidR="00F53687" w:rsidRDefault="00F53687" w:rsidP="00F53687">
      <w:pPr>
        <w:ind w:left="3600" w:firstLine="720"/>
        <w:rPr>
          <w:rFonts w:cs="Arial"/>
          <w:szCs w:val="24"/>
          <w:lang w:val="en-ZA"/>
        </w:rPr>
      </w:pPr>
      <w:r>
        <w:rPr>
          <w:rFonts w:cs="Arial"/>
          <w:szCs w:val="24"/>
          <w:lang w:val="en-ZA"/>
        </w:rPr>
        <w:t xml:space="preserve">Email: </w:t>
      </w:r>
      <w:hyperlink r:id="rId9" w:history="1">
        <w:r w:rsidRPr="00074310">
          <w:rPr>
            <w:rStyle w:val="Hyperlink"/>
            <w:rFonts w:cs="Arial"/>
            <w:szCs w:val="24"/>
            <w:lang w:val="en-ZA"/>
          </w:rPr>
          <w:t>francois.trichardt@bowmanslaw.com</w:t>
        </w:r>
      </w:hyperlink>
    </w:p>
    <w:p w14:paraId="4969BAEC" w14:textId="77777777" w:rsidR="00F53687" w:rsidRDefault="00F53687" w:rsidP="00F53687">
      <w:pPr>
        <w:ind w:left="3600" w:firstLine="720"/>
        <w:rPr>
          <w:rFonts w:cs="Arial"/>
          <w:szCs w:val="24"/>
          <w:lang w:val="en-ZA"/>
        </w:rPr>
      </w:pPr>
      <w:r>
        <w:rPr>
          <w:rFonts w:cs="Arial"/>
          <w:szCs w:val="24"/>
          <w:lang w:val="en-ZA"/>
        </w:rPr>
        <w:t>Ref: 6231946/FT</w:t>
      </w:r>
    </w:p>
    <w:p w14:paraId="210341F4" w14:textId="77777777" w:rsidR="00F53687" w:rsidRDefault="00F53687" w:rsidP="00F53687">
      <w:pPr>
        <w:ind w:left="3600" w:firstLine="720"/>
        <w:rPr>
          <w:rFonts w:cs="Arial"/>
          <w:szCs w:val="24"/>
          <w:lang w:val="en-ZA"/>
        </w:rPr>
      </w:pPr>
      <w:r>
        <w:rPr>
          <w:rFonts w:cs="Arial"/>
          <w:szCs w:val="24"/>
          <w:lang w:val="en-ZA"/>
        </w:rPr>
        <w:t xml:space="preserve">c/o Austen Smith Attorneys </w:t>
      </w:r>
    </w:p>
    <w:p w14:paraId="4440EC2D" w14:textId="77777777" w:rsidR="00F53687" w:rsidRDefault="00F53687" w:rsidP="00F53687">
      <w:pPr>
        <w:ind w:left="3600" w:firstLine="720"/>
        <w:rPr>
          <w:rFonts w:cs="Arial"/>
          <w:szCs w:val="24"/>
          <w:lang w:val="en-ZA"/>
        </w:rPr>
      </w:pPr>
      <w:r>
        <w:rPr>
          <w:rFonts w:cs="Arial"/>
          <w:szCs w:val="24"/>
          <w:lang w:val="en-ZA"/>
        </w:rPr>
        <w:t>1 High Gate Drive, Redlands Estate</w:t>
      </w:r>
    </w:p>
    <w:p w14:paraId="19F35326" w14:textId="77777777" w:rsidR="00F53687" w:rsidRDefault="00F53687" w:rsidP="00F53687">
      <w:pPr>
        <w:ind w:left="3600" w:firstLine="720"/>
        <w:rPr>
          <w:rFonts w:cs="Arial"/>
          <w:szCs w:val="24"/>
          <w:lang w:val="en-ZA"/>
        </w:rPr>
      </w:pPr>
      <w:r>
        <w:rPr>
          <w:rFonts w:cs="Arial"/>
          <w:szCs w:val="24"/>
          <w:lang w:val="en-ZA"/>
        </w:rPr>
        <w:t>1 George Macfarlane Lane</w:t>
      </w:r>
    </w:p>
    <w:p w14:paraId="2A7BDB74" w14:textId="77777777" w:rsidR="00F53687" w:rsidRDefault="00F53687" w:rsidP="00F53687">
      <w:pPr>
        <w:ind w:left="3600" w:firstLine="720"/>
        <w:rPr>
          <w:rFonts w:cs="Arial"/>
          <w:szCs w:val="24"/>
          <w:lang w:val="en-ZA"/>
        </w:rPr>
      </w:pPr>
      <w:r>
        <w:rPr>
          <w:rFonts w:cs="Arial"/>
          <w:szCs w:val="24"/>
          <w:lang w:val="en-ZA"/>
        </w:rPr>
        <w:t xml:space="preserve">Wembley </w:t>
      </w:r>
    </w:p>
    <w:p w14:paraId="1B8E7F3F" w14:textId="77777777" w:rsidR="00F53687" w:rsidRDefault="00F53687" w:rsidP="00F53687">
      <w:pPr>
        <w:ind w:left="3600" w:firstLine="720"/>
        <w:rPr>
          <w:rFonts w:cs="Arial"/>
          <w:szCs w:val="24"/>
          <w:lang w:val="en-ZA"/>
        </w:rPr>
      </w:pPr>
      <w:r>
        <w:rPr>
          <w:rFonts w:cs="Arial"/>
          <w:szCs w:val="24"/>
          <w:lang w:val="en-ZA"/>
        </w:rPr>
        <w:t xml:space="preserve">Pietermaritzburg </w:t>
      </w:r>
    </w:p>
    <w:p w14:paraId="76D33A57" w14:textId="77777777" w:rsidR="00F53687" w:rsidRDefault="00F53687" w:rsidP="00F53687">
      <w:pPr>
        <w:ind w:left="3600" w:firstLine="720"/>
        <w:rPr>
          <w:rFonts w:cs="Arial"/>
          <w:szCs w:val="24"/>
          <w:lang w:val="en-ZA"/>
        </w:rPr>
      </w:pPr>
      <w:r>
        <w:rPr>
          <w:rFonts w:cs="Arial"/>
          <w:szCs w:val="24"/>
          <w:lang w:val="en-ZA"/>
        </w:rPr>
        <w:t>Tel: 033 392 0500</w:t>
      </w:r>
    </w:p>
    <w:p w14:paraId="7D74F8BC" w14:textId="209B26FA" w:rsidR="00F53687" w:rsidRDefault="00F53687" w:rsidP="00F53687">
      <w:pPr>
        <w:ind w:left="3600" w:firstLine="720"/>
        <w:rPr>
          <w:rFonts w:cs="Arial"/>
          <w:szCs w:val="24"/>
          <w:lang w:val="en-ZA"/>
        </w:rPr>
      </w:pPr>
      <w:r>
        <w:rPr>
          <w:rFonts w:cs="Arial"/>
          <w:szCs w:val="24"/>
          <w:lang w:val="en-ZA"/>
        </w:rPr>
        <w:t xml:space="preserve">Email: </w:t>
      </w:r>
      <w:hyperlink r:id="rId10" w:history="1">
        <w:r w:rsidRPr="00074310">
          <w:rPr>
            <w:rStyle w:val="Hyperlink"/>
            <w:rFonts w:cs="Arial"/>
            <w:szCs w:val="24"/>
            <w:lang w:val="en-ZA"/>
          </w:rPr>
          <w:t>callumsmythe@austensmith.co.za</w:t>
        </w:r>
      </w:hyperlink>
    </w:p>
    <w:p w14:paraId="7787DE8B" w14:textId="058928A6" w:rsidR="00F53687" w:rsidRDefault="00F53687" w:rsidP="00F53687">
      <w:pPr>
        <w:ind w:left="3600" w:firstLine="720"/>
        <w:rPr>
          <w:rFonts w:cs="Arial"/>
          <w:szCs w:val="24"/>
          <w:lang w:val="en-ZA"/>
        </w:rPr>
      </w:pPr>
      <w:r>
        <w:rPr>
          <w:rFonts w:cs="Arial"/>
          <w:szCs w:val="24"/>
          <w:lang w:val="en-ZA"/>
        </w:rPr>
        <w:t xml:space="preserve">Ref: Callum Smythe </w:t>
      </w:r>
    </w:p>
    <w:p w14:paraId="33960E3F" w14:textId="77777777" w:rsidR="00F53687" w:rsidRDefault="00F53687" w:rsidP="00F53687">
      <w:pPr>
        <w:rPr>
          <w:rFonts w:cs="Arial"/>
          <w:szCs w:val="24"/>
          <w:lang w:val="en-ZA"/>
        </w:rPr>
      </w:pPr>
      <w:r>
        <w:rPr>
          <w:rFonts w:cs="Arial"/>
          <w:szCs w:val="24"/>
          <w:lang w:val="en-ZA"/>
        </w:rPr>
        <w:br/>
      </w:r>
      <w:r w:rsidRPr="008D105A">
        <w:rPr>
          <w:rFonts w:cs="Arial"/>
          <w:szCs w:val="24"/>
          <w:lang w:val="en-ZA"/>
        </w:rPr>
        <w:t xml:space="preserve">Counsel for the </w:t>
      </w:r>
      <w:r>
        <w:rPr>
          <w:rFonts w:cs="Arial"/>
          <w:szCs w:val="24"/>
          <w:lang w:val="en-ZA"/>
        </w:rPr>
        <w:t>Respondent</w:t>
      </w:r>
      <w:r>
        <w:rPr>
          <w:rFonts w:cs="Arial"/>
          <w:szCs w:val="24"/>
          <w:lang w:val="en-ZA"/>
        </w:rPr>
        <w:tab/>
      </w:r>
      <w:r w:rsidRPr="008D105A">
        <w:rPr>
          <w:rFonts w:cs="Arial"/>
          <w:szCs w:val="24"/>
          <w:lang w:val="en-ZA"/>
        </w:rPr>
        <w:t>:</w:t>
      </w:r>
      <w:r w:rsidRPr="008D105A">
        <w:rPr>
          <w:rFonts w:cs="Arial"/>
          <w:szCs w:val="24"/>
          <w:lang w:val="en-ZA"/>
        </w:rPr>
        <w:tab/>
      </w:r>
      <w:r>
        <w:rPr>
          <w:rFonts w:cs="Arial"/>
          <w:szCs w:val="24"/>
          <w:lang w:val="en-ZA"/>
        </w:rPr>
        <w:t xml:space="preserve">Adv I Pillay </w:t>
      </w:r>
    </w:p>
    <w:p w14:paraId="32716173" w14:textId="494956FF" w:rsidR="00F53687" w:rsidRDefault="00F53687" w:rsidP="00F53687">
      <w:pPr>
        <w:ind w:left="3600" w:firstLine="720"/>
        <w:rPr>
          <w:rFonts w:cs="Arial"/>
          <w:szCs w:val="24"/>
          <w:lang w:val="en-ZA"/>
        </w:rPr>
      </w:pPr>
      <w:r>
        <w:rPr>
          <w:rFonts w:cs="Arial"/>
          <w:szCs w:val="24"/>
          <w:lang w:val="en-ZA"/>
        </w:rPr>
        <w:t>Adv C Pe</w:t>
      </w:r>
      <w:r w:rsidR="00617E5E">
        <w:rPr>
          <w:rFonts w:cs="Arial"/>
          <w:szCs w:val="24"/>
          <w:lang w:val="en-ZA"/>
        </w:rPr>
        <w:t>tersen</w:t>
      </w:r>
    </w:p>
    <w:p w14:paraId="42B4426F" w14:textId="26093A57" w:rsidR="00F53687" w:rsidRDefault="00F53687" w:rsidP="00F53687">
      <w:pPr>
        <w:rPr>
          <w:rFonts w:cs="Arial"/>
          <w:szCs w:val="24"/>
          <w:lang w:val="en-ZA"/>
        </w:rPr>
      </w:pPr>
      <w:r>
        <w:rPr>
          <w:rFonts w:cs="Arial"/>
          <w:szCs w:val="24"/>
          <w:lang w:val="en-ZA"/>
        </w:rPr>
        <w:t>Attorneys for the Respondent</w:t>
      </w:r>
      <w:r>
        <w:rPr>
          <w:rFonts w:cs="Arial"/>
          <w:szCs w:val="24"/>
          <w:lang w:val="en-ZA"/>
        </w:rPr>
        <w:tab/>
        <w:t>:</w:t>
      </w:r>
      <w:r>
        <w:rPr>
          <w:rFonts w:cs="Arial"/>
          <w:szCs w:val="24"/>
          <w:lang w:val="en-ZA"/>
        </w:rPr>
        <w:tab/>
        <w:t>Malatji &amp; Co. Attorneys</w:t>
      </w:r>
    </w:p>
    <w:p w14:paraId="09C236B0" w14:textId="77777777" w:rsidR="00F53687" w:rsidRDefault="00F53687" w:rsidP="00F53687">
      <w:pPr>
        <w:rPr>
          <w:rFonts w:cs="Arial"/>
          <w:szCs w:val="24"/>
          <w:lang w:val="en-ZA"/>
        </w:rPr>
      </w:pP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r>
      <w:r>
        <w:rPr>
          <w:rFonts w:cs="Arial"/>
          <w:szCs w:val="24"/>
          <w:lang w:val="en-ZA"/>
        </w:rPr>
        <w:tab/>
        <w:t>5</w:t>
      </w:r>
      <w:r w:rsidRPr="00F53687">
        <w:rPr>
          <w:rFonts w:cs="Arial"/>
          <w:szCs w:val="24"/>
          <w:vertAlign w:val="superscript"/>
          <w:lang w:val="en-ZA"/>
        </w:rPr>
        <w:t>th</w:t>
      </w:r>
      <w:r>
        <w:rPr>
          <w:rFonts w:cs="Arial"/>
          <w:szCs w:val="24"/>
          <w:lang w:val="en-ZA"/>
        </w:rPr>
        <w:t xml:space="preserve"> Floor, The Ridge</w:t>
      </w:r>
    </w:p>
    <w:p w14:paraId="394C5CD8" w14:textId="77777777" w:rsidR="00F53687" w:rsidRDefault="00F53687" w:rsidP="00F53687">
      <w:pPr>
        <w:ind w:left="3600" w:firstLine="720"/>
        <w:rPr>
          <w:rFonts w:cs="Arial"/>
          <w:szCs w:val="24"/>
          <w:lang w:val="en-ZA"/>
        </w:rPr>
      </w:pPr>
      <w:r>
        <w:rPr>
          <w:rFonts w:cs="Arial"/>
          <w:szCs w:val="24"/>
          <w:lang w:val="en-ZA"/>
        </w:rPr>
        <w:t xml:space="preserve">1 Discovery Place </w:t>
      </w:r>
    </w:p>
    <w:p w14:paraId="43C97C6A" w14:textId="77777777" w:rsidR="00F53687" w:rsidRDefault="00F53687" w:rsidP="00F53687">
      <w:pPr>
        <w:ind w:left="3600" w:firstLine="720"/>
        <w:rPr>
          <w:rFonts w:cs="Arial"/>
          <w:szCs w:val="24"/>
          <w:lang w:val="en-ZA"/>
        </w:rPr>
      </w:pPr>
      <w:r>
        <w:rPr>
          <w:rFonts w:cs="Arial"/>
          <w:szCs w:val="24"/>
          <w:lang w:val="en-ZA"/>
        </w:rPr>
        <w:t>Cnr Katherine Street, Rivonia Road</w:t>
      </w:r>
    </w:p>
    <w:p w14:paraId="60B35F7F" w14:textId="77777777" w:rsidR="00F53687" w:rsidRDefault="00F53687" w:rsidP="00F53687">
      <w:pPr>
        <w:ind w:left="3600" w:firstLine="720"/>
        <w:rPr>
          <w:rFonts w:cs="Arial"/>
          <w:szCs w:val="24"/>
          <w:lang w:val="en-ZA"/>
        </w:rPr>
      </w:pPr>
      <w:r>
        <w:rPr>
          <w:rFonts w:cs="Arial"/>
          <w:szCs w:val="24"/>
          <w:lang w:val="en-ZA"/>
        </w:rPr>
        <w:t>Sandton</w:t>
      </w:r>
    </w:p>
    <w:p w14:paraId="7D366C0A" w14:textId="77777777" w:rsidR="00F53687" w:rsidRDefault="00F53687" w:rsidP="00F53687">
      <w:pPr>
        <w:ind w:left="3600" w:firstLine="720"/>
        <w:rPr>
          <w:rFonts w:cs="Arial"/>
          <w:szCs w:val="24"/>
          <w:lang w:val="en-ZA"/>
        </w:rPr>
      </w:pPr>
      <w:r>
        <w:rPr>
          <w:rFonts w:cs="Arial"/>
          <w:szCs w:val="24"/>
          <w:lang w:val="en-ZA"/>
        </w:rPr>
        <w:t>Johannesburg</w:t>
      </w:r>
    </w:p>
    <w:p w14:paraId="2ADBF8A5" w14:textId="77777777" w:rsidR="00F53687" w:rsidRDefault="00F53687" w:rsidP="00F53687">
      <w:pPr>
        <w:ind w:left="3600" w:firstLine="720"/>
        <w:rPr>
          <w:rFonts w:cs="Arial"/>
          <w:szCs w:val="24"/>
          <w:lang w:val="en-ZA"/>
        </w:rPr>
      </w:pPr>
      <w:r>
        <w:rPr>
          <w:rFonts w:cs="Arial"/>
          <w:szCs w:val="24"/>
          <w:lang w:val="en-ZA"/>
        </w:rPr>
        <w:t>Tel: 011 072 2600</w:t>
      </w:r>
    </w:p>
    <w:p w14:paraId="2D1C69F2" w14:textId="77777777" w:rsidR="00F53687" w:rsidRDefault="00F53687" w:rsidP="00F53687">
      <w:pPr>
        <w:ind w:left="3600" w:firstLine="720"/>
        <w:rPr>
          <w:rFonts w:cs="Arial"/>
          <w:szCs w:val="24"/>
          <w:lang w:val="en-ZA"/>
        </w:rPr>
      </w:pPr>
      <w:r>
        <w:rPr>
          <w:rFonts w:cs="Arial"/>
          <w:szCs w:val="24"/>
          <w:lang w:val="en-ZA"/>
        </w:rPr>
        <w:t>Fax: 087 220 1075</w:t>
      </w:r>
    </w:p>
    <w:p w14:paraId="0A616442" w14:textId="74E72FDD" w:rsidR="00F53687" w:rsidRDefault="00F53687" w:rsidP="00F53687">
      <w:pPr>
        <w:ind w:left="3600" w:firstLine="720"/>
        <w:rPr>
          <w:rFonts w:cs="Arial"/>
          <w:szCs w:val="24"/>
          <w:lang w:val="en-ZA"/>
        </w:rPr>
      </w:pPr>
      <w:r>
        <w:rPr>
          <w:rFonts w:cs="Arial"/>
          <w:szCs w:val="24"/>
          <w:lang w:val="en-ZA"/>
        </w:rPr>
        <w:t xml:space="preserve">Email: </w:t>
      </w:r>
      <w:hyperlink r:id="rId11" w:history="1">
        <w:r w:rsidRPr="00074310">
          <w:rPr>
            <w:rStyle w:val="Hyperlink"/>
            <w:rFonts w:cs="Arial"/>
            <w:szCs w:val="24"/>
            <w:lang w:val="en-ZA"/>
          </w:rPr>
          <w:t>tmalatji@mcinc.africa</w:t>
        </w:r>
      </w:hyperlink>
    </w:p>
    <w:p w14:paraId="28D40FF5" w14:textId="6DE6E5AC" w:rsidR="00F53687" w:rsidRDefault="00F53687" w:rsidP="00F53687">
      <w:pPr>
        <w:ind w:left="3600" w:firstLine="720"/>
        <w:rPr>
          <w:rFonts w:cs="Arial"/>
          <w:szCs w:val="24"/>
          <w:lang w:val="en-ZA"/>
        </w:rPr>
      </w:pPr>
      <w:r>
        <w:rPr>
          <w:rFonts w:cs="Arial"/>
          <w:szCs w:val="24"/>
          <w:lang w:val="en-ZA"/>
        </w:rPr>
        <w:t xml:space="preserve">Ref: </w:t>
      </w:r>
      <w:r w:rsidR="0064204D">
        <w:rPr>
          <w:rFonts w:cs="Arial"/>
          <w:szCs w:val="24"/>
          <w:lang w:val="en-ZA"/>
        </w:rPr>
        <w:t>T</w:t>
      </w:r>
      <w:r>
        <w:rPr>
          <w:rFonts w:cs="Arial"/>
          <w:szCs w:val="24"/>
          <w:lang w:val="en-ZA"/>
        </w:rPr>
        <w:t xml:space="preserve"> Malatji/B Masia/M01881</w:t>
      </w:r>
    </w:p>
    <w:p w14:paraId="6359BF9A" w14:textId="472317C5" w:rsidR="00F53687" w:rsidRDefault="00F53687" w:rsidP="00F53687">
      <w:pPr>
        <w:ind w:left="3600" w:firstLine="720"/>
        <w:rPr>
          <w:rFonts w:cs="Arial"/>
          <w:szCs w:val="24"/>
          <w:lang w:val="en-ZA"/>
        </w:rPr>
      </w:pPr>
      <w:r>
        <w:rPr>
          <w:rFonts w:cs="Arial"/>
          <w:szCs w:val="24"/>
          <w:lang w:val="en-ZA"/>
        </w:rPr>
        <w:t xml:space="preserve">c/o Thabethe Cebekhulu Attorneys </w:t>
      </w:r>
    </w:p>
    <w:p w14:paraId="4077DAB2" w14:textId="77777777" w:rsidR="0064204D" w:rsidRDefault="0064204D" w:rsidP="00F53687">
      <w:pPr>
        <w:ind w:left="3600" w:firstLine="720"/>
        <w:rPr>
          <w:rFonts w:cs="Arial"/>
          <w:szCs w:val="24"/>
          <w:lang w:val="en-ZA"/>
        </w:rPr>
      </w:pPr>
      <w:r>
        <w:rPr>
          <w:rFonts w:cs="Arial"/>
          <w:szCs w:val="24"/>
          <w:lang w:val="en-ZA"/>
        </w:rPr>
        <w:t xml:space="preserve">Office 29/30/31/32, 20 Otto road </w:t>
      </w:r>
    </w:p>
    <w:p w14:paraId="666740E9" w14:textId="77777777" w:rsidR="0064204D" w:rsidRDefault="0064204D" w:rsidP="00F53687">
      <w:pPr>
        <w:ind w:left="3600" w:firstLine="720"/>
        <w:rPr>
          <w:rFonts w:cs="Arial"/>
          <w:szCs w:val="24"/>
          <w:lang w:val="en-ZA"/>
        </w:rPr>
      </w:pPr>
      <w:r>
        <w:rPr>
          <w:rFonts w:cs="Arial"/>
          <w:szCs w:val="24"/>
          <w:lang w:val="en-ZA"/>
        </w:rPr>
        <w:t>Pietermaritzburg</w:t>
      </w:r>
    </w:p>
    <w:p w14:paraId="30CEB56A" w14:textId="2D9E8629" w:rsidR="0064204D" w:rsidRPr="0064204D" w:rsidRDefault="0064204D" w:rsidP="00F53687">
      <w:pPr>
        <w:ind w:left="3600" w:firstLine="720"/>
        <w:rPr>
          <w:rFonts w:cs="Arial"/>
          <w:sz w:val="20"/>
          <w:szCs w:val="20"/>
          <w:lang w:val="en-ZA"/>
        </w:rPr>
      </w:pPr>
      <w:r>
        <w:rPr>
          <w:rFonts w:cs="Arial"/>
          <w:szCs w:val="24"/>
          <w:lang w:val="en-ZA"/>
        </w:rPr>
        <w:t xml:space="preserve">Email: </w:t>
      </w:r>
      <w:hyperlink r:id="rId12" w:history="1">
        <w:r w:rsidRPr="0064204D">
          <w:rPr>
            <w:rStyle w:val="Hyperlink"/>
            <w:rFonts w:cs="Arial"/>
            <w:sz w:val="20"/>
            <w:szCs w:val="20"/>
            <w:lang w:val="en-ZA"/>
          </w:rPr>
          <w:t>thabethecebekhuluattorneys@gmail.com</w:t>
        </w:r>
      </w:hyperlink>
    </w:p>
    <w:p w14:paraId="347ADD4F" w14:textId="212383D7" w:rsidR="0064204D" w:rsidRDefault="0064204D" w:rsidP="00F53687">
      <w:pPr>
        <w:ind w:left="3600" w:firstLine="720"/>
        <w:rPr>
          <w:rFonts w:cs="Arial"/>
          <w:szCs w:val="24"/>
          <w:lang w:val="en-ZA"/>
        </w:rPr>
      </w:pPr>
      <w:r>
        <w:rPr>
          <w:rFonts w:cs="Arial"/>
          <w:szCs w:val="24"/>
          <w:lang w:val="en-ZA"/>
        </w:rPr>
        <w:t>Ref: Mr W Cebekhulu</w:t>
      </w:r>
    </w:p>
    <w:p w14:paraId="6A858DD1" w14:textId="77777777" w:rsidR="0064204D" w:rsidRDefault="0064204D" w:rsidP="00F53687">
      <w:pPr>
        <w:ind w:left="3600" w:firstLine="720"/>
        <w:rPr>
          <w:rFonts w:cs="Arial"/>
          <w:szCs w:val="24"/>
          <w:lang w:val="en-ZA"/>
        </w:rPr>
      </w:pPr>
    </w:p>
    <w:p w14:paraId="40058EB8" w14:textId="6D730FE6" w:rsidR="00F53687" w:rsidRPr="00582C22" w:rsidRDefault="00F53687" w:rsidP="00F53687">
      <w:pPr>
        <w:ind w:left="3544" w:hanging="3544"/>
        <w:contextualSpacing/>
        <w:rPr>
          <w:rFonts w:cs="Arial"/>
        </w:rPr>
      </w:pPr>
      <w:r w:rsidRPr="009D75D8">
        <w:rPr>
          <w:rFonts w:cs="Arial"/>
          <w:szCs w:val="24"/>
        </w:rPr>
        <w:t xml:space="preserve">Date of Hearing  </w:t>
      </w:r>
      <w:r w:rsidRPr="009D75D8">
        <w:rPr>
          <w:rFonts w:cs="Arial"/>
          <w:szCs w:val="24"/>
        </w:rPr>
        <w:tab/>
      </w:r>
      <w:r>
        <w:rPr>
          <w:rFonts w:cs="Arial"/>
          <w:szCs w:val="24"/>
        </w:rPr>
        <w:tab/>
      </w:r>
      <w:r w:rsidRPr="009D75D8">
        <w:rPr>
          <w:rFonts w:cs="Arial"/>
          <w:szCs w:val="24"/>
        </w:rPr>
        <w:t>:</w:t>
      </w:r>
      <w:r w:rsidRPr="009D75D8">
        <w:rPr>
          <w:rFonts w:cs="Arial"/>
          <w:szCs w:val="24"/>
        </w:rPr>
        <w:tab/>
      </w:r>
      <w:r w:rsidR="0064204D">
        <w:rPr>
          <w:rFonts w:cs="Arial"/>
          <w:szCs w:val="24"/>
        </w:rPr>
        <w:t>06</w:t>
      </w:r>
      <w:r>
        <w:rPr>
          <w:rFonts w:cs="Arial"/>
          <w:szCs w:val="24"/>
        </w:rPr>
        <w:t xml:space="preserve"> </w:t>
      </w:r>
      <w:r w:rsidR="0064204D">
        <w:rPr>
          <w:rFonts w:cs="Arial"/>
          <w:szCs w:val="24"/>
        </w:rPr>
        <w:t xml:space="preserve">March </w:t>
      </w:r>
      <w:r>
        <w:rPr>
          <w:rFonts w:cs="Arial"/>
          <w:szCs w:val="24"/>
        </w:rPr>
        <w:t>2024</w:t>
      </w:r>
    </w:p>
    <w:p w14:paraId="3040F93E" w14:textId="77777777" w:rsidR="00F53687" w:rsidRPr="00B66709" w:rsidRDefault="00F53687" w:rsidP="00F53687">
      <w:pPr>
        <w:rPr>
          <w:rFonts w:cs="Arial"/>
        </w:rPr>
      </w:pPr>
    </w:p>
    <w:p w14:paraId="47A6958A" w14:textId="20035C5E" w:rsidR="00F53687" w:rsidRDefault="00F53687" w:rsidP="00F53687">
      <w:pPr>
        <w:rPr>
          <w:rFonts w:cs="Arial"/>
          <w:szCs w:val="24"/>
          <w:lang w:val="en-ZA"/>
        </w:rPr>
      </w:pPr>
      <w:r>
        <w:rPr>
          <w:rFonts w:cs="Arial"/>
          <w:szCs w:val="24"/>
          <w:lang w:val="en-ZA"/>
        </w:rPr>
        <w:t xml:space="preserve">Date of Judgment </w:t>
      </w:r>
      <w:r>
        <w:rPr>
          <w:rFonts w:cs="Arial"/>
          <w:szCs w:val="24"/>
          <w:lang w:val="en-ZA"/>
        </w:rPr>
        <w:tab/>
      </w:r>
      <w:r>
        <w:rPr>
          <w:rFonts w:cs="Arial"/>
          <w:szCs w:val="24"/>
          <w:lang w:val="en-ZA"/>
        </w:rPr>
        <w:tab/>
      </w:r>
      <w:r>
        <w:rPr>
          <w:rFonts w:cs="Arial"/>
          <w:szCs w:val="24"/>
          <w:lang w:val="en-ZA"/>
        </w:rPr>
        <w:tab/>
        <w:t>:</w:t>
      </w:r>
      <w:r>
        <w:rPr>
          <w:rFonts w:cs="Arial"/>
          <w:szCs w:val="24"/>
          <w:lang w:val="en-ZA"/>
        </w:rPr>
        <w:tab/>
      </w:r>
      <w:r w:rsidR="0064204D">
        <w:rPr>
          <w:rFonts w:cs="Arial"/>
          <w:szCs w:val="24"/>
          <w:lang w:val="en-ZA"/>
        </w:rPr>
        <w:t>14</w:t>
      </w:r>
      <w:r>
        <w:rPr>
          <w:rFonts w:cs="Arial"/>
          <w:szCs w:val="24"/>
          <w:lang w:val="en-ZA"/>
        </w:rPr>
        <w:t xml:space="preserve"> March 2024</w:t>
      </w:r>
    </w:p>
    <w:p w14:paraId="5CC3BD0D" w14:textId="77777777" w:rsidR="00F53687" w:rsidRDefault="00F53687" w:rsidP="00F53687">
      <w:pPr>
        <w:spacing w:line="360" w:lineRule="auto"/>
        <w:rPr>
          <w:rFonts w:cs="Arial"/>
          <w:szCs w:val="24"/>
          <w:lang w:val="en-ZA"/>
        </w:rPr>
      </w:pPr>
    </w:p>
    <w:p w14:paraId="5C388778" w14:textId="77777777" w:rsidR="00F53687" w:rsidRDefault="00F53687" w:rsidP="00F53687">
      <w:pPr>
        <w:spacing w:line="360" w:lineRule="auto"/>
        <w:rPr>
          <w:rFonts w:cs="Arial"/>
          <w:szCs w:val="24"/>
          <w:lang w:val="en-ZA"/>
        </w:rPr>
      </w:pPr>
    </w:p>
    <w:p w14:paraId="78FF0883" w14:textId="77777777" w:rsidR="000A0D91" w:rsidRPr="000A0D91" w:rsidRDefault="000A0D91" w:rsidP="009457A2">
      <w:pPr>
        <w:pStyle w:val="1"/>
        <w:numPr>
          <w:ilvl w:val="0"/>
          <w:numId w:val="0"/>
        </w:numPr>
        <w:spacing w:before="0" w:line="360" w:lineRule="auto"/>
      </w:pPr>
    </w:p>
    <w:sectPr w:rsidR="000A0D91" w:rsidRPr="000A0D91" w:rsidSect="00F97CA0">
      <w:headerReference w:type="default" r:id="rId13"/>
      <w:footerReference w:type="default" r:id="rId14"/>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E31E3" w14:textId="77777777" w:rsidR="007E68D4" w:rsidRDefault="007E68D4" w:rsidP="00AA4D14">
      <w:r>
        <w:separator/>
      </w:r>
    </w:p>
  </w:endnote>
  <w:endnote w:type="continuationSeparator" w:id="0">
    <w:p w14:paraId="3ED3152B" w14:textId="77777777" w:rsidR="007E68D4" w:rsidRDefault="007E68D4" w:rsidP="00AA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DA17" w14:textId="77777777" w:rsidR="00ED4300" w:rsidRDefault="00ED4300" w:rsidP="009457A2">
    <w:pPr>
      <w:pStyle w:val="Footer"/>
      <w:jc w:val="right"/>
    </w:pPr>
  </w:p>
  <w:p w14:paraId="6FE262C5" w14:textId="77777777" w:rsidR="00ED4300" w:rsidRDefault="00ED43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01148" w14:textId="77777777" w:rsidR="007E68D4" w:rsidRDefault="007E68D4" w:rsidP="00AA4D14">
      <w:r>
        <w:separator/>
      </w:r>
    </w:p>
  </w:footnote>
  <w:footnote w:type="continuationSeparator" w:id="0">
    <w:p w14:paraId="5566BC93" w14:textId="77777777" w:rsidR="007E68D4" w:rsidRDefault="007E68D4" w:rsidP="00AA4D14">
      <w:r>
        <w:continuationSeparator/>
      </w:r>
    </w:p>
  </w:footnote>
  <w:footnote w:id="1">
    <w:p w14:paraId="37AB0943" w14:textId="5C50B4FF"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 vol 5 at 450 – 458.</w:t>
      </w:r>
    </w:p>
  </w:footnote>
  <w:footnote w:id="2">
    <w:p w14:paraId="07B0F30E" w14:textId="161811C3"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 vol 5 at 507, the replying affidavit para 110.</w:t>
      </w:r>
    </w:p>
  </w:footnote>
  <w:footnote w:id="3">
    <w:p w14:paraId="74A0E749" w14:textId="79340C76"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Khunou and others v M Fihrer &amp; Son (Pty) Ltd and others</w:t>
      </w:r>
      <w:r w:rsidRPr="00136621">
        <w:rPr>
          <w:rFonts w:cs="Arial"/>
          <w:szCs w:val="20"/>
        </w:rPr>
        <w:t xml:space="preserve"> 1982 (3) SA 353 (W) at 355F-I; </w:t>
      </w:r>
      <w:r w:rsidRPr="00136621">
        <w:rPr>
          <w:rFonts w:cs="Arial"/>
          <w:i/>
          <w:szCs w:val="20"/>
        </w:rPr>
        <w:t>Tantoush v Refugee Appeal Board and others</w:t>
      </w:r>
      <w:r w:rsidRPr="00136621">
        <w:rPr>
          <w:rFonts w:cs="Arial"/>
          <w:szCs w:val="20"/>
        </w:rPr>
        <w:t xml:space="preserve"> 2008 (1) SA 232 (T) para 51.</w:t>
      </w:r>
    </w:p>
  </w:footnote>
  <w:footnote w:id="4">
    <w:p w14:paraId="4052F771" w14:textId="65E45170" w:rsidR="00ED4300" w:rsidRPr="00136621"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136621">
        <w:rPr>
          <w:rFonts w:cs="Arial"/>
          <w:szCs w:val="20"/>
          <w:lang w:val="en-ZA"/>
        </w:rPr>
        <w:t xml:space="preserve">  The record vol 3 at 299, Annexure ‘AA1’, the PMB </w:t>
      </w:r>
      <w:r w:rsidR="00136621" w:rsidRPr="00136621">
        <w:rPr>
          <w:rFonts w:cs="Arial"/>
          <w:szCs w:val="20"/>
          <w:lang w:val="en-ZA"/>
        </w:rPr>
        <w:t>order</w:t>
      </w:r>
      <w:r w:rsidRPr="00136621">
        <w:rPr>
          <w:rFonts w:cs="Arial"/>
          <w:szCs w:val="20"/>
          <w:lang w:val="en-ZA"/>
        </w:rPr>
        <w:t>.</w:t>
      </w:r>
    </w:p>
  </w:footnote>
  <w:footnote w:id="5">
    <w:p w14:paraId="0AA24D91" w14:textId="47C2E9F8"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ISDN Solutions (Pty) Ltd v CSDN Solutions CC and others</w:t>
      </w:r>
      <w:r w:rsidRPr="00136621">
        <w:rPr>
          <w:rFonts w:cs="Arial"/>
          <w:szCs w:val="20"/>
        </w:rPr>
        <w:t xml:space="preserve"> 1996 (4) SA 484 (W)at </w:t>
      </w:r>
      <w:r w:rsidR="00FB65DF">
        <w:rPr>
          <w:rFonts w:cs="Arial"/>
          <w:szCs w:val="20"/>
        </w:rPr>
        <w:t xml:space="preserve">486H-487 </w:t>
      </w:r>
      <w:r w:rsidRPr="00136621">
        <w:rPr>
          <w:rFonts w:cs="Arial"/>
          <w:szCs w:val="20"/>
        </w:rPr>
        <w:t>(</w:t>
      </w:r>
      <w:r w:rsidRPr="00136621">
        <w:rPr>
          <w:rFonts w:cs="Arial"/>
          <w:i/>
          <w:szCs w:val="20"/>
        </w:rPr>
        <w:t>ISDN Solutions</w:t>
      </w:r>
      <w:r w:rsidRPr="00136621">
        <w:rPr>
          <w:rFonts w:cs="Arial"/>
          <w:szCs w:val="20"/>
        </w:rPr>
        <w:t>).</w:t>
      </w:r>
    </w:p>
  </w:footnote>
  <w:footnote w:id="6">
    <w:p w14:paraId="1293B727" w14:textId="539DDA91"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Sheriff Pretoria North-East v Flink and another</w:t>
      </w:r>
      <w:r w:rsidRPr="00136621">
        <w:rPr>
          <w:rFonts w:cs="Arial"/>
          <w:szCs w:val="20"/>
        </w:rPr>
        <w:t> [2005] 3 All SA 492 (T).</w:t>
      </w:r>
    </w:p>
  </w:footnote>
  <w:footnote w:id="7">
    <w:p w14:paraId="6DCAA31B" w14:textId="0B9A6E0C"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Flink</w:t>
      </w:r>
      <w:r w:rsidRPr="00136621">
        <w:rPr>
          <w:rFonts w:cs="Arial"/>
          <w:szCs w:val="20"/>
        </w:rPr>
        <w:t xml:space="preserve"> at 499e-f.</w:t>
      </w:r>
    </w:p>
  </w:footnote>
  <w:footnote w:id="8">
    <w:p w14:paraId="4C3357BC" w14:textId="53E5D343"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Founding affidavit, supplementary founding affidavit, answering affidavit in the reconsideration application and a replying affidavit. </w:t>
      </w:r>
    </w:p>
  </w:footnote>
  <w:footnote w:id="9">
    <w:p w14:paraId="14C3CA95" w14:textId="7E90BB29"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The Reclamation Group (Pty) Ltd v Smit and others</w:t>
      </w:r>
      <w:r w:rsidRPr="00136621">
        <w:rPr>
          <w:rFonts w:cs="Arial"/>
          <w:szCs w:val="20"/>
        </w:rPr>
        <w:t xml:space="preserve"> 2004 (1) SA 215 (SE) at 418D (</w:t>
      </w:r>
      <w:r w:rsidRPr="00136621">
        <w:rPr>
          <w:rFonts w:cs="Arial"/>
          <w:i/>
          <w:szCs w:val="20"/>
        </w:rPr>
        <w:t>Reclamation Group</w:t>
      </w:r>
      <w:r w:rsidRPr="00136621">
        <w:rPr>
          <w:rFonts w:cs="Arial"/>
          <w:szCs w:val="20"/>
        </w:rPr>
        <w:t>).</w:t>
      </w:r>
    </w:p>
  </w:footnote>
  <w:footnote w:id="10">
    <w:p w14:paraId="66C33BB8" w14:textId="77777777" w:rsidR="00A50BDD" w:rsidRPr="00136621" w:rsidRDefault="00A50BDD" w:rsidP="00A50BDD">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 xml:space="preserve">Reclamation Group </w:t>
      </w:r>
      <w:r w:rsidRPr="00136621">
        <w:rPr>
          <w:rFonts w:cs="Arial"/>
          <w:szCs w:val="20"/>
        </w:rPr>
        <w:t>at 218D–G.</w:t>
      </w:r>
    </w:p>
  </w:footnote>
  <w:footnote w:id="11">
    <w:p w14:paraId="17C5C836" w14:textId="2092DCA9"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 xml:space="preserve">Reclamation Group </w:t>
      </w:r>
      <w:r w:rsidRPr="00136621">
        <w:rPr>
          <w:rFonts w:cs="Arial"/>
          <w:szCs w:val="20"/>
        </w:rPr>
        <w:t>at 218D-F.</w:t>
      </w:r>
    </w:p>
  </w:footnote>
  <w:footnote w:id="12">
    <w:p w14:paraId="36E335FA" w14:textId="12BD911D"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Oosthuizen v Mijs</w:t>
      </w:r>
      <w:r w:rsidRPr="00136621">
        <w:rPr>
          <w:rFonts w:cs="Arial"/>
          <w:szCs w:val="20"/>
        </w:rPr>
        <w:t xml:space="preserve"> 2009 (6) SA 266 (W) at 267E-F (</w:t>
      </w:r>
      <w:r w:rsidRPr="00136621">
        <w:rPr>
          <w:rFonts w:cs="Arial"/>
          <w:i/>
          <w:szCs w:val="20"/>
        </w:rPr>
        <w:t>Oosthuizen</w:t>
      </w:r>
      <w:r w:rsidRPr="00136621">
        <w:rPr>
          <w:rFonts w:cs="Arial"/>
          <w:szCs w:val="20"/>
        </w:rPr>
        <w:t>).</w:t>
      </w:r>
    </w:p>
  </w:footnote>
  <w:footnote w:id="13">
    <w:p w14:paraId="459A7C28" w14:textId="44014DC4"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Oosthuizen at 269-270.</w:t>
      </w:r>
    </w:p>
  </w:footnote>
  <w:footnote w:id="14">
    <w:p w14:paraId="5299D72F" w14:textId="22B5AB9B"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ISDN Solutions</w:t>
      </w:r>
      <w:r w:rsidRPr="00136621">
        <w:rPr>
          <w:rFonts w:cs="Arial"/>
          <w:szCs w:val="20"/>
        </w:rPr>
        <w:t xml:space="preserve"> at 487C-D.</w:t>
      </w:r>
    </w:p>
  </w:footnote>
  <w:footnote w:id="15">
    <w:p w14:paraId="59148F4F" w14:textId="3316B16C"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 xml:space="preserve">Reclamation Group </w:t>
      </w:r>
      <w:r w:rsidRPr="00136621">
        <w:rPr>
          <w:rFonts w:cs="Arial"/>
          <w:szCs w:val="20"/>
        </w:rPr>
        <w:t>at 218D–G</w:t>
      </w:r>
    </w:p>
  </w:footnote>
  <w:footnote w:id="16">
    <w:p w14:paraId="41778BEC" w14:textId="6793ADF6"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Prudential Authority is a juristic person, and previously known as the Registrar of Banks, is established in terms of section 32 of the Financial Sector Regulation Act 9 of 2017. It is merely referred to as ‘the Authority’ in the Banks Act, in this judgment it remains ‘the Prudential Authority’.</w:t>
      </w:r>
    </w:p>
  </w:footnote>
  <w:footnote w:id="17">
    <w:p w14:paraId="3CE0B5A1" w14:textId="70D1165D" w:rsidR="00ED4300" w:rsidRPr="00136621"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136621">
        <w:rPr>
          <w:rFonts w:cs="Arial"/>
          <w:szCs w:val="20"/>
          <w:lang w:val="en-ZA"/>
        </w:rPr>
        <w:t xml:space="preserve"> </w:t>
      </w:r>
      <w:r w:rsidRPr="00136621">
        <w:rPr>
          <w:rFonts w:cs="Arial"/>
          <w:szCs w:val="20"/>
        </w:rPr>
        <w:t>The record</w:t>
      </w:r>
      <w:r w:rsidRPr="00136621">
        <w:rPr>
          <w:rFonts w:cs="Arial"/>
          <w:szCs w:val="20"/>
          <w:lang w:val="en-ZA"/>
        </w:rPr>
        <w:t xml:space="preserve"> vol 3 at 269, the answering affidavit (“AA”) para 45 and 46.</w:t>
      </w:r>
    </w:p>
  </w:footnote>
  <w:footnote w:id="18">
    <w:p w14:paraId="13A4BE54" w14:textId="1FE88C84" w:rsidR="00ED4300" w:rsidRPr="00365355"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365355">
        <w:rPr>
          <w:rFonts w:cs="Arial"/>
          <w:szCs w:val="20"/>
          <w:lang w:val="en-ZA"/>
        </w:rPr>
        <w:t xml:space="preserve"> </w:t>
      </w:r>
      <w:r w:rsidRPr="00136621">
        <w:rPr>
          <w:rFonts w:cs="Arial"/>
          <w:szCs w:val="20"/>
        </w:rPr>
        <w:t>The record</w:t>
      </w:r>
      <w:r w:rsidRPr="00365355">
        <w:rPr>
          <w:rFonts w:cs="Arial"/>
          <w:szCs w:val="20"/>
          <w:lang w:val="en-ZA"/>
        </w:rPr>
        <w:t xml:space="preserve"> vol 3 at 279/281, </w:t>
      </w:r>
      <w:r w:rsidRPr="00136621">
        <w:rPr>
          <w:rFonts w:cs="Arial"/>
          <w:szCs w:val="20"/>
          <w:lang w:val="en-ZA"/>
        </w:rPr>
        <w:t>the answering affidavit</w:t>
      </w:r>
      <w:r w:rsidRPr="00365355">
        <w:rPr>
          <w:rFonts w:cs="Arial"/>
          <w:szCs w:val="20"/>
          <w:lang w:val="en-ZA"/>
        </w:rPr>
        <w:t xml:space="preserve"> paras 47, 54; and vol 4 at 364 – 404, annexure ‘AA8’.</w:t>
      </w:r>
    </w:p>
  </w:footnote>
  <w:footnote w:id="19">
    <w:p w14:paraId="32265204" w14:textId="792DDE07"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 vol 1 at 27, founding affidavit para 36 -37.</w:t>
      </w:r>
    </w:p>
  </w:footnote>
  <w:footnote w:id="20">
    <w:p w14:paraId="03253175" w14:textId="5498672B" w:rsidR="00ED4300" w:rsidRPr="00365355"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365355">
        <w:rPr>
          <w:rFonts w:cs="Arial"/>
          <w:szCs w:val="20"/>
          <w:lang w:val="en-ZA"/>
        </w:rPr>
        <w:t xml:space="preserve"> </w:t>
      </w:r>
      <w:r w:rsidRPr="00136621">
        <w:rPr>
          <w:rFonts w:cs="Arial"/>
          <w:szCs w:val="20"/>
        </w:rPr>
        <w:t>The record</w:t>
      </w:r>
      <w:r w:rsidRPr="00365355">
        <w:rPr>
          <w:rFonts w:cs="Arial"/>
          <w:szCs w:val="20"/>
          <w:lang w:val="en-ZA"/>
        </w:rPr>
        <w:t xml:space="preserve"> vol 1 at 19. founding affidavit para 22.4.</w:t>
      </w:r>
    </w:p>
  </w:footnote>
  <w:footnote w:id="21">
    <w:p w14:paraId="44E70C5A" w14:textId="0CD35ED8" w:rsidR="00ED4300" w:rsidRPr="00365355"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365355">
        <w:rPr>
          <w:rFonts w:cs="Arial"/>
          <w:szCs w:val="20"/>
          <w:lang w:val="en-ZA"/>
        </w:rPr>
        <w:t xml:space="preserve"> The record vol 1 at 19, founding affidavit para 22.5.</w:t>
      </w:r>
    </w:p>
  </w:footnote>
  <w:footnote w:id="22">
    <w:p w14:paraId="6ED1B109" w14:textId="60F8FBB0"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w:t>
      </w:r>
      <w:r w:rsidRPr="00365355">
        <w:rPr>
          <w:rFonts w:cs="Arial"/>
          <w:szCs w:val="20"/>
          <w:lang w:val="en-ZA"/>
        </w:rPr>
        <w:t xml:space="preserve"> v</w:t>
      </w:r>
      <w:r w:rsidRPr="00136621">
        <w:rPr>
          <w:rFonts w:cs="Arial"/>
          <w:szCs w:val="20"/>
        </w:rPr>
        <w:t>ol 3 at 310 -302, annexure ‘AA2’, the Pretoria Order.</w:t>
      </w:r>
    </w:p>
  </w:footnote>
  <w:footnote w:id="23">
    <w:p w14:paraId="633D2DB5" w14:textId="16F5D2DB" w:rsidR="00ED4300" w:rsidRPr="00365355"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365355">
        <w:rPr>
          <w:rFonts w:cs="Arial"/>
          <w:szCs w:val="20"/>
          <w:lang w:val="en-ZA"/>
        </w:rPr>
        <w:t xml:space="preserve"> </w:t>
      </w:r>
      <w:r w:rsidRPr="00136621">
        <w:rPr>
          <w:rFonts w:cs="Arial"/>
          <w:szCs w:val="20"/>
        </w:rPr>
        <w:t>The record</w:t>
      </w:r>
      <w:r w:rsidRPr="00365355">
        <w:rPr>
          <w:rFonts w:cs="Arial"/>
          <w:szCs w:val="20"/>
          <w:lang w:val="en-ZA"/>
        </w:rPr>
        <w:t xml:space="preserve"> vol 1 at 1, notice of motion para 2.1. </w:t>
      </w:r>
    </w:p>
  </w:footnote>
  <w:footnote w:id="24">
    <w:p w14:paraId="5B36E9A4" w14:textId="3CE40A86"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w:t>
      </w:r>
      <w:r w:rsidRPr="00365355">
        <w:rPr>
          <w:rFonts w:cs="Arial"/>
          <w:szCs w:val="20"/>
          <w:lang w:val="en-ZA"/>
        </w:rPr>
        <w:t xml:space="preserve"> v</w:t>
      </w:r>
      <w:r w:rsidRPr="00136621">
        <w:rPr>
          <w:rFonts w:cs="Arial"/>
          <w:szCs w:val="20"/>
        </w:rPr>
        <w:t>ol 3 at 299, annexure ‘AA’ para 1 of the PMB order.</w:t>
      </w:r>
    </w:p>
  </w:footnote>
  <w:footnote w:id="25">
    <w:p w14:paraId="4A1308CF" w14:textId="44378A68"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Jafta v Minister of Law and order</w:t>
      </w:r>
      <w:r w:rsidRPr="00136621">
        <w:rPr>
          <w:rFonts w:cs="Arial"/>
          <w:szCs w:val="20"/>
        </w:rPr>
        <w:t xml:space="preserve"> 1991 (2) SA 286 (A).</w:t>
      </w:r>
    </w:p>
  </w:footnote>
  <w:footnote w:id="26">
    <w:p w14:paraId="6AB4AF07" w14:textId="600E2FC4"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Three Cities Investments Limited v Signature Life (Pty) Ltd</w:t>
      </w:r>
      <w:r w:rsidRPr="00136621">
        <w:rPr>
          <w:rFonts w:cs="Arial"/>
          <w:szCs w:val="20"/>
        </w:rPr>
        <w:t xml:space="preserve"> 2011 JDR 1054 (KZD) para 32 (</w:t>
      </w:r>
      <w:r w:rsidRPr="00136621">
        <w:rPr>
          <w:rFonts w:cs="Arial"/>
          <w:i/>
          <w:szCs w:val="20"/>
        </w:rPr>
        <w:t>Three Cities</w:t>
      </w:r>
      <w:r w:rsidRPr="00136621">
        <w:rPr>
          <w:rFonts w:cs="Arial"/>
          <w:szCs w:val="20"/>
        </w:rPr>
        <w:t>).</w:t>
      </w:r>
    </w:p>
  </w:footnote>
  <w:footnote w:id="27">
    <w:p w14:paraId="0280187A" w14:textId="07970E11" w:rsidR="00F56654" w:rsidRPr="00F56654" w:rsidRDefault="00F56654">
      <w:pPr>
        <w:pStyle w:val="FootnoteText"/>
      </w:pPr>
      <w:r>
        <w:rPr>
          <w:rStyle w:val="FootnoteReference"/>
        </w:rPr>
        <w:footnoteRef/>
      </w:r>
      <w:r>
        <w:t xml:space="preserve">  There are Practice Directives in the other Divisions which permit in camera proceedings to be embarked upon without a certificate. No such Practice Directive exist in the KwaZulu Natal Division and as such the obligation to deliver a certificate remains.</w:t>
      </w:r>
    </w:p>
  </w:footnote>
  <w:footnote w:id="28">
    <w:p w14:paraId="21146E37" w14:textId="6635DE14"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Magqabi v Mafundityala and another</w:t>
      </w:r>
      <w:r w:rsidRPr="00136621">
        <w:rPr>
          <w:rFonts w:cs="Arial"/>
          <w:szCs w:val="20"/>
        </w:rPr>
        <w:t xml:space="preserve"> 1979 (4) SA 106 (E) at 109H-110A.</w:t>
      </w:r>
    </w:p>
  </w:footnote>
  <w:footnote w:id="29">
    <w:p w14:paraId="1F0BB690" w14:textId="5574D79D"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FF4400">
        <w:rPr>
          <w:rFonts w:cs="Arial"/>
          <w:i/>
          <w:szCs w:val="20"/>
        </w:rPr>
        <w:t>Three Cities</w:t>
      </w:r>
      <w:r w:rsidRPr="00136621">
        <w:rPr>
          <w:rFonts w:cs="Arial"/>
          <w:szCs w:val="20"/>
        </w:rPr>
        <w:t>  para 32</w:t>
      </w:r>
    </w:p>
  </w:footnote>
  <w:footnote w:id="30">
    <w:p w14:paraId="0A544806" w14:textId="4BA17EA0" w:rsidR="00ED4300" w:rsidRPr="00365355"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365355">
        <w:rPr>
          <w:rFonts w:cs="Arial"/>
          <w:szCs w:val="20"/>
          <w:lang w:val="en-ZA"/>
        </w:rPr>
        <w:t xml:space="preserve"> The record vol 1 at 9-36.</w:t>
      </w:r>
    </w:p>
  </w:footnote>
  <w:footnote w:id="31">
    <w:p w14:paraId="7206DEE2" w14:textId="250DA8F9" w:rsidR="00ED4300" w:rsidRPr="00136621" w:rsidRDefault="00ED4300" w:rsidP="00136621">
      <w:pPr>
        <w:pStyle w:val="FootnoteText"/>
        <w:spacing w:after="0"/>
        <w:rPr>
          <w:rFonts w:cs="Arial"/>
          <w:szCs w:val="20"/>
        </w:rPr>
      </w:pPr>
      <w:r w:rsidRPr="00136621">
        <w:rPr>
          <w:rStyle w:val="FootnoteReference"/>
          <w:rFonts w:cs="Arial"/>
          <w:szCs w:val="20"/>
        </w:rPr>
        <w:footnoteRef/>
      </w:r>
      <w:r w:rsidRPr="00136621">
        <w:rPr>
          <w:rFonts w:cs="Arial"/>
          <w:szCs w:val="20"/>
        </w:rPr>
        <w:t xml:space="preserve"> The record vol 1 at 35.</w:t>
      </w:r>
    </w:p>
  </w:footnote>
  <w:footnote w:id="32">
    <w:p w14:paraId="030EF965" w14:textId="521BC9AF" w:rsidR="00ED4300" w:rsidRPr="00365355"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365355">
        <w:rPr>
          <w:rFonts w:cs="Arial"/>
          <w:szCs w:val="20"/>
          <w:lang w:val="en-ZA"/>
        </w:rPr>
        <w:t xml:space="preserve"> The record vol 1 at 20, para 24.</w:t>
      </w:r>
    </w:p>
  </w:footnote>
  <w:footnote w:id="33">
    <w:p w14:paraId="133D9A0F" w14:textId="2DE73402"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 vol 2 at 152-188.</w:t>
      </w:r>
    </w:p>
  </w:footnote>
  <w:footnote w:id="34">
    <w:p w14:paraId="240103CE" w14:textId="2B5358BA"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Recycling and Economic Development Initiative of South Africa NPC v Minister of Environmental Affairs</w:t>
      </w:r>
      <w:r w:rsidRPr="00136621">
        <w:rPr>
          <w:rFonts w:cs="Arial"/>
          <w:szCs w:val="20"/>
        </w:rPr>
        <w:t xml:space="preserve"> [2019] ZASCA 1; 2019 (3) SA 251 (SCA); [2019] 2 All SA 1 (SCA) paras 45 – 52 (</w:t>
      </w:r>
      <w:r w:rsidRPr="00136621">
        <w:rPr>
          <w:rFonts w:cs="Arial"/>
          <w:i/>
          <w:szCs w:val="20"/>
        </w:rPr>
        <w:t>Recycling and Economic Development</w:t>
      </w:r>
      <w:r w:rsidRPr="00136621">
        <w:rPr>
          <w:rFonts w:cs="Arial"/>
          <w:szCs w:val="20"/>
        </w:rPr>
        <w:t>).</w:t>
      </w:r>
    </w:p>
  </w:footnote>
  <w:footnote w:id="35">
    <w:p w14:paraId="1CD87BCB" w14:textId="1196EF87"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 vol 3 at 302.</w:t>
      </w:r>
    </w:p>
  </w:footnote>
  <w:footnote w:id="36">
    <w:p w14:paraId="1E6B79B3" w14:textId="3B9EEF62" w:rsidR="00ED4300" w:rsidRPr="00136621"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136621">
        <w:rPr>
          <w:rFonts w:cs="Arial"/>
          <w:szCs w:val="20"/>
          <w:lang w:val="en-ZA"/>
        </w:rPr>
        <w:t xml:space="preserve"> </w:t>
      </w:r>
      <w:r w:rsidRPr="00136621">
        <w:rPr>
          <w:rFonts w:cs="Arial"/>
          <w:szCs w:val="20"/>
        </w:rPr>
        <w:t>The record</w:t>
      </w:r>
      <w:r w:rsidRPr="00365355">
        <w:rPr>
          <w:rFonts w:cs="Arial"/>
          <w:szCs w:val="20"/>
          <w:lang w:val="en-ZA"/>
        </w:rPr>
        <w:t xml:space="preserve"> v</w:t>
      </w:r>
      <w:r w:rsidRPr="00136621">
        <w:rPr>
          <w:rFonts w:cs="Arial"/>
          <w:szCs w:val="20"/>
          <w:lang w:val="en-ZA"/>
        </w:rPr>
        <w:t>ol 2 at 191, Prudential Authority’s confirmatory affidavit.</w:t>
      </w:r>
    </w:p>
  </w:footnote>
  <w:footnote w:id="37">
    <w:p w14:paraId="6733A88D" w14:textId="7177117F" w:rsidR="00ED4300" w:rsidRPr="00136621"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136621">
        <w:rPr>
          <w:rFonts w:cs="Arial"/>
          <w:szCs w:val="20"/>
          <w:lang w:val="en-ZA"/>
        </w:rPr>
        <w:t xml:space="preserve"> </w:t>
      </w:r>
      <w:r w:rsidRPr="00136621">
        <w:rPr>
          <w:rFonts w:cs="Arial"/>
          <w:szCs w:val="20"/>
        </w:rPr>
        <w:t>The record</w:t>
      </w:r>
      <w:r w:rsidRPr="00365355">
        <w:rPr>
          <w:rFonts w:cs="Arial"/>
          <w:szCs w:val="20"/>
          <w:lang w:val="en-ZA"/>
        </w:rPr>
        <w:t xml:space="preserve"> v</w:t>
      </w:r>
      <w:r w:rsidRPr="00136621">
        <w:rPr>
          <w:rFonts w:cs="Arial"/>
          <w:szCs w:val="20"/>
          <w:lang w:val="en-ZA"/>
        </w:rPr>
        <w:t>ol 2 at 191.</w:t>
      </w:r>
    </w:p>
  </w:footnote>
  <w:footnote w:id="38">
    <w:p w14:paraId="50A4F27C" w14:textId="3E284479" w:rsidR="00ED4300" w:rsidRPr="00136621" w:rsidRDefault="00ED4300" w:rsidP="00136621">
      <w:pPr>
        <w:pStyle w:val="FootnoteText"/>
        <w:spacing w:after="0"/>
        <w:ind w:left="0" w:firstLine="0"/>
        <w:rPr>
          <w:rFonts w:cs="Arial"/>
          <w:szCs w:val="20"/>
          <w:lang w:val="en-ZA"/>
        </w:rPr>
      </w:pPr>
      <w:r w:rsidRPr="00136621">
        <w:rPr>
          <w:rStyle w:val="FootnoteReference"/>
          <w:rFonts w:cs="Arial"/>
          <w:szCs w:val="20"/>
        </w:rPr>
        <w:footnoteRef/>
      </w:r>
      <w:r w:rsidRPr="00136621">
        <w:rPr>
          <w:rFonts w:cs="Arial"/>
          <w:szCs w:val="20"/>
        </w:rPr>
        <w:t xml:space="preserve"> The record</w:t>
      </w:r>
      <w:r w:rsidRPr="00365355">
        <w:rPr>
          <w:rFonts w:cs="Arial"/>
          <w:szCs w:val="20"/>
          <w:lang w:val="en-ZA"/>
        </w:rPr>
        <w:t xml:space="preserve"> v</w:t>
      </w:r>
      <w:r w:rsidRPr="00136621">
        <w:rPr>
          <w:rFonts w:cs="Arial"/>
          <w:szCs w:val="20"/>
        </w:rPr>
        <w:t>ol 2 at 192.</w:t>
      </w:r>
    </w:p>
  </w:footnote>
  <w:footnote w:id="39">
    <w:p w14:paraId="2D2EF872" w14:textId="35777005"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w:t>
      </w:r>
      <w:r w:rsidRPr="00365355">
        <w:rPr>
          <w:rFonts w:cs="Arial"/>
          <w:szCs w:val="20"/>
          <w:lang w:val="en-ZA"/>
        </w:rPr>
        <w:t xml:space="preserve"> v</w:t>
      </w:r>
      <w:r w:rsidRPr="00136621">
        <w:rPr>
          <w:rFonts w:cs="Arial"/>
          <w:szCs w:val="20"/>
        </w:rPr>
        <w:t>ol 2 at 188.</w:t>
      </w:r>
    </w:p>
  </w:footnote>
  <w:footnote w:id="40">
    <w:p w14:paraId="405021C6" w14:textId="4E1BD7C0"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w:t>
      </w:r>
      <w:r w:rsidRPr="00365355">
        <w:rPr>
          <w:rFonts w:cs="Arial"/>
          <w:szCs w:val="20"/>
          <w:lang w:val="en-ZA"/>
        </w:rPr>
        <w:t xml:space="preserve"> v</w:t>
      </w:r>
      <w:r w:rsidRPr="00136621">
        <w:rPr>
          <w:rFonts w:cs="Arial"/>
          <w:szCs w:val="20"/>
        </w:rPr>
        <w:t>ol 3 at 240, this is the applicant’s supplementary affidavit, which talks only to the granting of the Pretoria order.</w:t>
      </w:r>
    </w:p>
  </w:footnote>
  <w:footnote w:id="41">
    <w:p w14:paraId="3A1E548E" w14:textId="25136AEF"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National Director of Public Prosecutions v Basson</w:t>
      </w:r>
      <w:r w:rsidRPr="00136621">
        <w:rPr>
          <w:rFonts w:cs="Arial"/>
          <w:szCs w:val="20"/>
        </w:rPr>
        <w:t xml:space="preserve"> 2002 (1) SA 419 (SCA) para 21 with reference to </w:t>
      </w:r>
      <w:r w:rsidRPr="00136621">
        <w:rPr>
          <w:rFonts w:cs="Arial"/>
          <w:i/>
          <w:iCs/>
          <w:szCs w:val="20"/>
        </w:rPr>
        <w:t>Schlesinger v Schlesinger</w:t>
      </w:r>
      <w:r w:rsidRPr="00136621">
        <w:rPr>
          <w:rFonts w:cs="Arial"/>
          <w:szCs w:val="20"/>
        </w:rPr>
        <w:t> 1979 (4) SA 342 (W) at 348E - 349B.</w:t>
      </w:r>
    </w:p>
  </w:footnote>
  <w:footnote w:id="42">
    <w:p w14:paraId="63B703E3" w14:textId="6596ECF9"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 xml:space="preserve">Recycling and Economic Development </w:t>
      </w:r>
      <w:r w:rsidRPr="00136621">
        <w:rPr>
          <w:rFonts w:cs="Arial"/>
          <w:szCs w:val="20"/>
        </w:rPr>
        <w:t>para</w:t>
      </w:r>
      <w:r w:rsidRPr="00136621">
        <w:rPr>
          <w:rFonts w:cs="Arial"/>
          <w:i/>
          <w:szCs w:val="20"/>
        </w:rPr>
        <w:t xml:space="preserve"> </w:t>
      </w:r>
      <w:r w:rsidRPr="00136621">
        <w:rPr>
          <w:rFonts w:eastAsiaTheme="minorHAnsi" w:cs="Arial"/>
          <w:szCs w:val="20"/>
        </w:rPr>
        <w:t xml:space="preserve"> 46.</w:t>
      </w:r>
    </w:p>
  </w:footnote>
  <w:footnote w:id="43">
    <w:p w14:paraId="26C97CC5" w14:textId="650A3F01"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 xml:space="preserve">Recycling and Economic Development </w:t>
      </w:r>
      <w:r w:rsidRPr="00136621">
        <w:rPr>
          <w:rFonts w:cs="Arial"/>
          <w:szCs w:val="20"/>
        </w:rPr>
        <w:t>para</w:t>
      </w:r>
      <w:r w:rsidRPr="00136621">
        <w:rPr>
          <w:rFonts w:eastAsiaTheme="minorHAnsi" w:cs="Arial"/>
          <w:szCs w:val="20"/>
        </w:rPr>
        <w:t xml:space="preserve"> 47.</w:t>
      </w:r>
    </w:p>
  </w:footnote>
  <w:footnote w:id="44">
    <w:p w14:paraId="571ED0FC" w14:textId="62E8DFAA"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w:t>
      </w:r>
      <w:r w:rsidRPr="00365355">
        <w:rPr>
          <w:rFonts w:cs="Arial"/>
          <w:szCs w:val="20"/>
          <w:lang w:val="en-ZA"/>
        </w:rPr>
        <w:t xml:space="preserve"> v</w:t>
      </w:r>
      <w:r w:rsidRPr="00136621">
        <w:rPr>
          <w:rFonts w:cs="Arial"/>
          <w:szCs w:val="20"/>
        </w:rPr>
        <w:t>ol 5 at 465 – This is the first draft order which was presented by the Prudential Authority to the respondent. This includes relief relating to the powers of the applicant. This was paired down by agreement and resulted in the Pretoria order (The record vol 3 at 301-302). The pairing down was in respect of the powers to be granted to the applicant.</w:t>
      </w:r>
    </w:p>
  </w:footnote>
  <w:footnote w:id="45">
    <w:p w14:paraId="41E2BE3E" w14:textId="7D102939"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The record</w:t>
      </w:r>
      <w:r w:rsidRPr="00365355">
        <w:rPr>
          <w:rFonts w:cs="Arial"/>
          <w:szCs w:val="20"/>
          <w:lang w:val="en-ZA"/>
        </w:rPr>
        <w:t xml:space="preserve"> v</w:t>
      </w:r>
      <w:r w:rsidRPr="00136621">
        <w:rPr>
          <w:rFonts w:cs="Arial"/>
          <w:szCs w:val="20"/>
        </w:rPr>
        <w:t>ol 1 at 20, founding affidavit para 22.7.</w:t>
      </w:r>
    </w:p>
  </w:footnote>
  <w:footnote w:id="46">
    <w:p w14:paraId="4A76408C" w14:textId="1BA46236" w:rsidR="006B1211" w:rsidRPr="00136621" w:rsidRDefault="006B1211" w:rsidP="006B121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bookmarkStart w:id="3" w:name="_Hlk161123934"/>
      <w:r w:rsidRPr="00136621">
        <w:rPr>
          <w:rFonts w:cs="Arial"/>
          <w:i/>
          <w:szCs w:val="20"/>
        </w:rPr>
        <w:t>Kruger v Joint Trustees of the Insolvent Estate of Paulos Bhekinkosi Zulu and another</w:t>
      </w:r>
      <w:r w:rsidRPr="00136621">
        <w:rPr>
          <w:rFonts w:cs="Arial"/>
          <w:szCs w:val="20"/>
        </w:rPr>
        <w:t xml:space="preserve"> [2017] 1 All SA 1 (SCA).</w:t>
      </w:r>
    </w:p>
    <w:bookmarkEnd w:id="3"/>
  </w:footnote>
  <w:footnote w:id="47">
    <w:p w14:paraId="54B78D85" w14:textId="42D09FB0" w:rsidR="00583C7A" w:rsidRPr="00136621" w:rsidRDefault="00583C7A" w:rsidP="00136621">
      <w:pPr>
        <w:pStyle w:val="FootnoteText"/>
        <w:spacing w:after="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Kruger v Joint Trustees</w:t>
      </w:r>
      <w:r w:rsidRPr="00136621">
        <w:rPr>
          <w:rFonts w:cs="Arial"/>
          <w:szCs w:val="20"/>
        </w:rPr>
        <w:t xml:space="preserve"> para 30.</w:t>
      </w:r>
    </w:p>
  </w:footnote>
  <w:footnote w:id="48">
    <w:p w14:paraId="6941CDFC" w14:textId="77777777" w:rsidR="00782613" w:rsidRPr="00136621" w:rsidRDefault="00782613" w:rsidP="00782613">
      <w:pPr>
        <w:pStyle w:val="FootnoteText"/>
        <w:spacing w:after="0"/>
        <w:ind w:left="0" w:firstLine="0"/>
        <w:rPr>
          <w:rFonts w:cs="Arial"/>
          <w:szCs w:val="20"/>
          <w:lang w:val="en-ZA"/>
        </w:rPr>
      </w:pPr>
      <w:r w:rsidRPr="00136621">
        <w:rPr>
          <w:rStyle w:val="FootnoteReference"/>
          <w:rFonts w:cs="Arial"/>
          <w:szCs w:val="20"/>
        </w:rPr>
        <w:footnoteRef/>
      </w:r>
      <w:r w:rsidRPr="00136621">
        <w:rPr>
          <w:rFonts w:cs="Arial"/>
          <w:szCs w:val="20"/>
        </w:rPr>
        <w:t xml:space="preserve"> </w:t>
      </w:r>
      <w:r w:rsidRPr="00365355">
        <w:rPr>
          <w:rFonts w:cs="Arial"/>
          <w:i/>
          <w:szCs w:val="20"/>
        </w:rPr>
        <w:t>Kruger v Joint Trustees</w:t>
      </w:r>
      <w:r w:rsidRPr="00136621">
        <w:rPr>
          <w:rFonts w:cs="Arial"/>
          <w:szCs w:val="20"/>
        </w:rPr>
        <w:t xml:space="preserve"> para 32.</w:t>
      </w:r>
    </w:p>
  </w:footnote>
  <w:footnote w:id="49">
    <w:p w14:paraId="1196E9CF" w14:textId="77777777" w:rsidR="00F26467" w:rsidRPr="00136621" w:rsidRDefault="00F26467" w:rsidP="00136621">
      <w:pPr>
        <w:pStyle w:val="FootnoteText"/>
        <w:spacing w:after="0"/>
        <w:rPr>
          <w:rFonts w:cs="Arial"/>
          <w:szCs w:val="20"/>
        </w:rPr>
      </w:pPr>
      <w:r w:rsidRPr="00136621">
        <w:rPr>
          <w:rStyle w:val="FootnoteReference"/>
          <w:rFonts w:cs="Arial"/>
          <w:szCs w:val="20"/>
        </w:rPr>
        <w:footnoteRef/>
      </w:r>
      <w:r w:rsidRPr="00136621">
        <w:rPr>
          <w:rFonts w:cs="Arial"/>
          <w:szCs w:val="20"/>
        </w:rPr>
        <w:t xml:space="preserve"> </w:t>
      </w:r>
      <w:r w:rsidRPr="00136621">
        <w:rPr>
          <w:rFonts w:cs="Arial"/>
          <w:i/>
          <w:szCs w:val="20"/>
        </w:rPr>
        <w:t>Kruger v Joint Trustees</w:t>
      </w:r>
      <w:r w:rsidRPr="00136621">
        <w:rPr>
          <w:rFonts w:cs="Arial"/>
          <w:szCs w:val="20"/>
        </w:rPr>
        <w:t xml:space="preserve"> para 29.</w:t>
      </w:r>
    </w:p>
  </w:footnote>
  <w:footnote w:id="50">
    <w:p w14:paraId="53B54ECE" w14:textId="5683DC5C" w:rsidR="00ED4300" w:rsidRPr="00136621" w:rsidRDefault="00ED4300" w:rsidP="00136621">
      <w:pPr>
        <w:pStyle w:val="FootnoteText"/>
        <w:spacing w:after="0"/>
        <w:ind w:left="0" w:firstLine="0"/>
        <w:rPr>
          <w:rFonts w:cs="Arial"/>
          <w:szCs w:val="20"/>
        </w:rPr>
      </w:pPr>
      <w:r w:rsidRPr="00136621">
        <w:rPr>
          <w:rStyle w:val="FootnoteReference"/>
          <w:rFonts w:cs="Arial"/>
          <w:szCs w:val="20"/>
        </w:rPr>
        <w:footnoteRef/>
      </w:r>
      <w:r w:rsidRPr="00136621">
        <w:rPr>
          <w:rFonts w:cs="Arial"/>
          <w:szCs w:val="20"/>
        </w:rPr>
        <w:t xml:space="preserve"> </w:t>
      </w:r>
      <w:r w:rsidR="008943F7" w:rsidRPr="00136621">
        <w:rPr>
          <w:rFonts w:cs="Arial"/>
          <w:szCs w:val="20"/>
        </w:rPr>
        <w:t xml:space="preserve">Part D of Schedule 3 </w:t>
      </w:r>
      <w:r w:rsidRPr="00136621">
        <w:rPr>
          <w:rFonts w:cs="Arial"/>
          <w:szCs w:val="20"/>
        </w:rPr>
        <w:t>Public Finance Management Act 1 of 1999.</w:t>
      </w:r>
      <w:r w:rsidR="00FB65DF" w:rsidRPr="00FB65DF">
        <w:rPr>
          <w:rFonts w:cs="Arial"/>
          <w:sz w:val="24"/>
          <w:szCs w:val="20"/>
          <w:lang w:val="en-ZA"/>
        </w:rPr>
        <w:t xml:space="preserve"> </w:t>
      </w:r>
      <w:r w:rsidR="00FB65DF" w:rsidRPr="00FB65DF">
        <w:rPr>
          <w:rFonts w:cs="Arial"/>
          <w:szCs w:val="20"/>
          <w:lang w:val="en-ZA"/>
        </w:rPr>
        <w:t xml:space="preserve">record vol </w:t>
      </w:r>
      <w:r w:rsidR="00FB65DF">
        <w:rPr>
          <w:rFonts w:cs="Arial"/>
          <w:szCs w:val="20"/>
          <w:lang w:val="en-ZA"/>
        </w:rPr>
        <w:t>3</w:t>
      </w:r>
      <w:r w:rsidR="00FB65DF" w:rsidRPr="00FB65DF">
        <w:rPr>
          <w:rFonts w:cs="Arial"/>
          <w:szCs w:val="20"/>
          <w:lang w:val="en-ZA"/>
        </w:rPr>
        <w:t xml:space="preserve"> at 2</w:t>
      </w:r>
      <w:r w:rsidR="00FB65DF">
        <w:rPr>
          <w:rFonts w:cs="Arial"/>
          <w:szCs w:val="20"/>
          <w:lang w:val="en-ZA"/>
        </w:rPr>
        <w:t>6</w:t>
      </w:r>
      <w:r w:rsidR="00FB65DF" w:rsidRPr="00FB65DF">
        <w:rPr>
          <w:rFonts w:cs="Arial"/>
          <w:szCs w:val="20"/>
          <w:lang w:val="en-ZA"/>
        </w:rPr>
        <w:t xml:space="preserve">0, para </w:t>
      </w:r>
      <w:r w:rsidR="00FB65DF">
        <w:rPr>
          <w:rFonts w:cs="Arial"/>
          <w:szCs w:val="20"/>
          <w:lang w:val="en-ZA"/>
        </w:rPr>
        <w:t>13</w:t>
      </w:r>
    </w:p>
  </w:footnote>
  <w:footnote w:id="51">
    <w:p w14:paraId="4845E791" w14:textId="106C8913" w:rsidR="004C557D" w:rsidRPr="004C557D" w:rsidRDefault="004C557D">
      <w:pPr>
        <w:pStyle w:val="FootnoteText"/>
        <w:rPr>
          <w:lang w:val="en-ZA"/>
        </w:rPr>
      </w:pPr>
      <w:r>
        <w:rPr>
          <w:rStyle w:val="FootnoteReference"/>
        </w:rPr>
        <w:footnoteRef/>
      </w:r>
      <w:r>
        <w:t xml:space="preserve"> </w:t>
      </w:r>
      <w:r w:rsidRPr="001D413A">
        <w:rPr>
          <w:i/>
          <w:iCs/>
        </w:rPr>
        <w:t>Ferreira v Levin NO and Others; Vryenhoek and Others v Powell NO and Others</w:t>
      </w:r>
      <w:r w:rsidR="001D413A">
        <w:rPr>
          <w:i/>
          <w:iCs/>
        </w:rPr>
        <w:t xml:space="preserve"> </w:t>
      </w:r>
      <w:hyperlink r:id="rId1" w:tooltip="View LawCiteRecord" w:history="1">
        <w:r w:rsidRPr="001D413A">
          <w:rPr>
            <w:rStyle w:val="Hyperlink"/>
            <w:i/>
            <w:iCs/>
            <w:color w:val="auto"/>
            <w:u w:val="none"/>
          </w:rPr>
          <w:t>1996 (2) SA 621</w:t>
        </w:r>
      </w:hyperlink>
      <w:r w:rsidRPr="001D413A">
        <w:rPr>
          <w:i/>
          <w:iCs/>
        </w:rPr>
        <w:t> (CC) Para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72480"/>
      <w:docPartObj>
        <w:docPartGallery w:val="Page Numbers (Top of Page)"/>
        <w:docPartUnique/>
      </w:docPartObj>
    </w:sdtPr>
    <w:sdtEndPr>
      <w:rPr>
        <w:noProof/>
      </w:rPr>
    </w:sdtEndPr>
    <w:sdtContent>
      <w:p w14:paraId="409461A0" w14:textId="120664F3" w:rsidR="00ED4300" w:rsidRDefault="00ED4300" w:rsidP="009457A2">
        <w:pPr>
          <w:pStyle w:val="Header"/>
          <w:jc w:val="right"/>
        </w:pPr>
        <w:r>
          <w:fldChar w:fldCharType="begin"/>
        </w:r>
        <w:r>
          <w:instrText xml:space="preserve"> PAGE   \* MERGEFORMAT </w:instrText>
        </w:r>
        <w:r>
          <w:fldChar w:fldCharType="separate"/>
        </w:r>
        <w:r w:rsidR="0053192E">
          <w:rPr>
            <w:noProof/>
          </w:rPr>
          <w:t>11</w:t>
        </w:r>
        <w:r>
          <w:rPr>
            <w:noProof/>
          </w:rPr>
          <w:fldChar w:fldCharType="end"/>
        </w:r>
      </w:p>
    </w:sdtContent>
  </w:sdt>
  <w:p w14:paraId="63E29A8A" w14:textId="77777777" w:rsidR="00ED4300" w:rsidRDefault="00ED4300" w:rsidP="009457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507D4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8883A7C"/>
    <w:lvl w:ilvl="0">
      <w:start w:val="1"/>
      <w:numFmt w:val="decimal"/>
      <w:lvlText w:val="%1."/>
      <w:lvlJc w:val="left"/>
      <w:pPr>
        <w:ind w:left="360" w:hanging="360"/>
      </w:pPr>
    </w:lvl>
  </w:abstractNum>
  <w:abstractNum w:abstractNumId="2" w15:restartNumberingAfterBreak="0">
    <w:nsid w:val="1A904A42"/>
    <w:multiLevelType w:val="hybridMultilevel"/>
    <w:tmpl w:val="59F0CBAE"/>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32EAB"/>
    <w:multiLevelType w:val="multilevel"/>
    <w:tmpl w:val="4D901518"/>
    <w:lvl w:ilvl="0">
      <w:start w:val="1"/>
      <w:numFmt w:val="decimal"/>
      <w:pStyle w:val="1"/>
      <w:lvlText w:val="[%1]"/>
      <w:lvlJc w:val="left"/>
      <w:pPr>
        <w:tabs>
          <w:tab w:val="num" w:pos="567"/>
        </w:tabs>
        <w:ind w:left="0" w:firstLine="0"/>
      </w:pPr>
      <w:rPr>
        <w:rFonts w:hint="default"/>
        <w:b w:val="0"/>
        <w:i w:val="0"/>
      </w:rPr>
    </w:lvl>
    <w:lvl w:ilvl="1">
      <w:start w:val="1"/>
      <w:numFmt w:val="lowerLetter"/>
      <w:pStyle w:val="2"/>
      <w:lvlText w:val="(%2)"/>
      <w:lvlJc w:val="left"/>
      <w:pPr>
        <w:tabs>
          <w:tab w:val="num" w:pos="1361"/>
        </w:tabs>
        <w:ind w:left="1361" w:hanging="794"/>
      </w:pPr>
      <w:rPr>
        <w:rFonts w:ascii="Arial" w:hAnsi="Arial" w:cstheme="minorBidi" w:hint="default"/>
        <w:b w:val="0"/>
        <w:i w:val="0"/>
        <w:sz w:val="24"/>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4" w15:restartNumberingAfterBreak="0">
    <w:nsid w:val="2EF816A0"/>
    <w:multiLevelType w:val="hybridMultilevel"/>
    <w:tmpl w:val="70F4AB1A"/>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7225C"/>
    <w:multiLevelType w:val="hybridMultilevel"/>
    <w:tmpl w:val="25045C00"/>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444474B"/>
    <w:multiLevelType w:val="multilevel"/>
    <w:tmpl w:val="A84C178C"/>
    <w:lvl w:ilvl="0">
      <w:start w:val="1"/>
      <w:numFmt w:val="upperLetter"/>
      <w:pStyle w:val="Heading1"/>
      <w:lvlText w:val="[%1]"/>
      <w:lvlJc w:val="left"/>
      <w:pPr>
        <w:tabs>
          <w:tab w:val="num" w:pos="1134"/>
        </w:tabs>
        <w:ind w:left="1134" w:hanging="1134"/>
      </w:pPr>
      <w:rPr>
        <w:rFonts w:ascii="Arial" w:hAnsi="Arial" w:hint="default"/>
        <w:sz w:val="24"/>
      </w:rPr>
    </w:lvl>
    <w:lvl w:ilvl="1">
      <w:start w:val="1"/>
      <w:numFmt w:val="decimal"/>
      <w:lvlText w:val="[%1.%2]"/>
      <w:lvlJc w:val="left"/>
      <w:pPr>
        <w:tabs>
          <w:tab w:val="num" w:pos="1134"/>
        </w:tabs>
        <w:ind w:left="1134"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BF25ED5"/>
    <w:multiLevelType w:val="hybridMultilevel"/>
    <w:tmpl w:val="9F983CCC"/>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01D17"/>
    <w:multiLevelType w:val="multilevel"/>
    <w:tmpl w:val="801AFF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02E6B12"/>
    <w:multiLevelType w:val="hybridMultilevel"/>
    <w:tmpl w:val="069E27AC"/>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2"/>
  </w:num>
  <w:num w:numId="17">
    <w:abstractNumId w:val="2"/>
  </w:num>
  <w:num w:numId="18">
    <w:abstractNumId w:val="7"/>
  </w:num>
  <w:num w:numId="19">
    <w:abstractNumId w:val="3"/>
  </w:num>
  <w:num w:numId="20">
    <w:abstractNumId w:val="7"/>
  </w:num>
  <w:num w:numId="21">
    <w:abstractNumId w:val="7"/>
  </w:num>
  <w:num w:numId="22">
    <w:abstractNumId w:val="7"/>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7"/>
  </w:num>
  <w:num w:numId="28">
    <w:abstractNumId w:val="3"/>
  </w:num>
  <w:num w:numId="29">
    <w:abstractNumId w:val="5"/>
  </w:num>
  <w:num w:numId="30">
    <w:abstractNumId w:val="3"/>
  </w:num>
  <w:num w:numId="31">
    <w:abstractNumId w:val="6"/>
  </w:num>
  <w:num w:numId="32">
    <w:abstractNumId w:val="10"/>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45"/>
    <w:rsid w:val="00001AAC"/>
    <w:rsid w:val="00001D97"/>
    <w:rsid w:val="00012777"/>
    <w:rsid w:val="000127F3"/>
    <w:rsid w:val="000144C1"/>
    <w:rsid w:val="00016514"/>
    <w:rsid w:val="000245BC"/>
    <w:rsid w:val="00031445"/>
    <w:rsid w:val="00031BE3"/>
    <w:rsid w:val="00035DB7"/>
    <w:rsid w:val="000369AA"/>
    <w:rsid w:val="00036B6B"/>
    <w:rsid w:val="000378F5"/>
    <w:rsid w:val="0004111F"/>
    <w:rsid w:val="00041507"/>
    <w:rsid w:val="00041BEF"/>
    <w:rsid w:val="00045FFE"/>
    <w:rsid w:val="0005082F"/>
    <w:rsid w:val="000570B3"/>
    <w:rsid w:val="00060DE8"/>
    <w:rsid w:val="00066370"/>
    <w:rsid w:val="00070DF4"/>
    <w:rsid w:val="0007679A"/>
    <w:rsid w:val="00083969"/>
    <w:rsid w:val="0008553D"/>
    <w:rsid w:val="000906D1"/>
    <w:rsid w:val="000916DB"/>
    <w:rsid w:val="0009298D"/>
    <w:rsid w:val="0009355E"/>
    <w:rsid w:val="00096209"/>
    <w:rsid w:val="000968CD"/>
    <w:rsid w:val="00097A99"/>
    <w:rsid w:val="000A0D91"/>
    <w:rsid w:val="000A1A8C"/>
    <w:rsid w:val="000A202C"/>
    <w:rsid w:val="000A2A3E"/>
    <w:rsid w:val="000A5EEF"/>
    <w:rsid w:val="000B36DE"/>
    <w:rsid w:val="000B5A5A"/>
    <w:rsid w:val="000C4170"/>
    <w:rsid w:val="000C79B3"/>
    <w:rsid w:val="000C7E69"/>
    <w:rsid w:val="000D29A8"/>
    <w:rsid w:val="000D4916"/>
    <w:rsid w:val="000D5A3C"/>
    <w:rsid w:val="000D75BA"/>
    <w:rsid w:val="000E0A5B"/>
    <w:rsid w:val="000E2795"/>
    <w:rsid w:val="000E3CDD"/>
    <w:rsid w:val="000F03BF"/>
    <w:rsid w:val="000F27D4"/>
    <w:rsid w:val="00102E38"/>
    <w:rsid w:val="001049A6"/>
    <w:rsid w:val="00104CC7"/>
    <w:rsid w:val="00113232"/>
    <w:rsid w:val="0011385E"/>
    <w:rsid w:val="00113D2E"/>
    <w:rsid w:val="0011596B"/>
    <w:rsid w:val="00121469"/>
    <w:rsid w:val="00121969"/>
    <w:rsid w:val="0013149E"/>
    <w:rsid w:val="001357BC"/>
    <w:rsid w:val="00136621"/>
    <w:rsid w:val="001367BC"/>
    <w:rsid w:val="00136B11"/>
    <w:rsid w:val="001371DA"/>
    <w:rsid w:val="0014015D"/>
    <w:rsid w:val="00143E8F"/>
    <w:rsid w:val="00144923"/>
    <w:rsid w:val="00151113"/>
    <w:rsid w:val="0015139C"/>
    <w:rsid w:val="00155581"/>
    <w:rsid w:val="00156C69"/>
    <w:rsid w:val="001632BE"/>
    <w:rsid w:val="00165EC4"/>
    <w:rsid w:val="00167980"/>
    <w:rsid w:val="00167BF2"/>
    <w:rsid w:val="00170EA9"/>
    <w:rsid w:val="00172D21"/>
    <w:rsid w:val="00184A46"/>
    <w:rsid w:val="001918F0"/>
    <w:rsid w:val="00191B90"/>
    <w:rsid w:val="00191D4D"/>
    <w:rsid w:val="00192867"/>
    <w:rsid w:val="0019409D"/>
    <w:rsid w:val="001A620A"/>
    <w:rsid w:val="001B100B"/>
    <w:rsid w:val="001B753C"/>
    <w:rsid w:val="001C1BB2"/>
    <w:rsid w:val="001C3941"/>
    <w:rsid w:val="001D413A"/>
    <w:rsid w:val="001D6389"/>
    <w:rsid w:val="001E0116"/>
    <w:rsid w:val="001E0631"/>
    <w:rsid w:val="001E0687"/>
    <w:rsid w:val="001E0739"/>
    <w:rsid w:val="001E6650"/>
    <w:rsid w:val="001E73E8"/>
    <w:rsid w:val="001F017C"/>
    <w:rsid w:val="001F0887"/>
    <w:rsid w:val="001F1189"/>
    <w:rsid w:val="001F11FA"/>
    <w:rsid w:val="001F5281"/>
    <w:rsid w:val="001F7963"/>
    <w:rsid w:val="00201C88"/>
    <w:rsid w:val="002102E0"/>
    <w:rsid w:val="002105E7"/>
    <w:rsid w:val="00211450"/>
    <w:rsid w:val="00217A9B"/>
    <w:rsid w:val="002232FD"/>
    <w:rsid w:val="0022445E"/>
    <w:rsid w:val="00235F44"/>
    <w:rsid w:val="002401B2"/>
    <w:rsid w:val="00241617"/>
    <w:rsid w:val="002462B4"/>
    <w:rsid w:val="00253DAE"/>
    <w:rsid w:val="00257A05"/>
    <w:rsid w:val="00257FCE"/>
    <w:rsid w:val="002614BE"/>
    <w:rsid w:val="00262D17"/>
    <w:rsid w:val="00275687"/>
    <w:rsid w:val="00277B8D"/>
    <w:rsid w:val="002906D2"/>
    <w:rsid w:val="00291229"/>
    <w:rsid w:val="00294B16"/>
    <w:rsid w:val="00296E76"/>
    <w:rsid w:val="002A0465"/>
    <w:rsid w:val="002A0C2F"/>
    <w:rsid w:val="002A4D2D"/>
    <w:rsid w:val="002B1F6B"/>
    <w:rsid w:val="002C0C7F"/>
    <w:rsid w:val="002C351A"/>
    <w:rsid w:val="002C6AD2"/>
    <w:rsid w:val="002C6BEE"/>
    <w:rsid w:val="002D3223"/>
    <w:rsid w:val="002D536E"/>
    <w:rsid w:val="002D54F5"/>
    <w:rsid w:val="002D7F30"/>
    <w:rsid w:val="002F17CD"/>
    <w:rsid w:val="002F20DA"/>
    <w:rsid w:val="002F31D4"/>
    <w:rsid w:val="002F3330"/>
    <w:rsid w:val="002F4BE4"/>
    <w:rsid w:val="002F5639"/>
    <w:rsid w:val="002F67D0"/>
    <w:rsid w:val="002F6B4B"/>
    <w:rsid w:val="002F7644"/>
    <w:rsid w:val="003039AA"/>
    <w:rsid w:val="00304BB5"/>
    <w:rsid w:val="00313C62"/>
    <w:rsid w:val="003206C2"/>
    <w:rsid w:val="0032231D"/>
    <w:rsid w:val="00326192"/>
    <w:rsid w:val="0032681D"/>
    <w:rsid w:val="00332A88"/>
    <w:rsid w:val="00332E8A"/>
    <w:rsid w:val="0034027C"/>
    <w:rsid w:val="003404AA"/>
    <w:rsid w:val="00346ADA"/>
    <w:rsid w:val="00347544"/>
    <w:rsid w:val="00347DD0"/>
    <w:rsid w:val="003506BB"/>
    <w:rsid w:val="00352D21"/>
    <w:rsid w:val="00356FE6"/>
    <w:rsid w:val="003601ED"/>
    <w:rsid w:val="00365355"/>
    <w:rsid w:val="00374759"/>
    <w:rsid w:val="0037538B"/>
    <w:rsid w:val="00375DD0"/>
    <w:rsid w:val="00381DAA"/>
    <w:rsid w:val="00384A30"/>
    <w:rsid w:val="003871AE"/>
    <w:rsid w:val="003A054D"/>
    <w:rsid w:val="003A0A37"/>
    <w:rsid w:val="003A588E"/>
    <w:rsid w:val="003B0096"/>
    <w:rsid w:val="003B156A"/>
    <w:rsid w:val="003B3011"/>
    <w:rsid w:val="003B7AFA"/>
    <w:rsid w:val="003C057C"/>
    <w:rsid w:val="003C316C"/>
    <w:rsid w:val="003C3EC7"/>
    <w:rsid w:val="003D14B5"/>
    <w:rsid w:val="003D157E"/>
    <w:rsid w:val="003D237F"/>
    <w:rsid w:val="003D4085"/>
    <w:rsid w:val="003F414E"/>
    <w:rsid w:val="00401699"/>
    <w:rsid w:val="00404D23"/>
    <w:rsid w:val="00410581"/>
    <w:rsid w:val="00412199"/>
    <w:rsid w:val="00417BDA"/>
    <w:rsid w:val="004205DA"/>
    <w:rsid w:val="004261E4"/>
    <w:rsid w:val="00430A7A"/>
    <w:rsid w:val="0043630E"/>
    <w:rsid w:val="004418AD"/>
    <w:rsid w:val="004427D2"/>
    <w:rsid w:val="004444A9"/>
    <w:rsid w:val="00447607"/>
    <w:rsid w:val="00454D24"/>
    <w:rsid w:val="00462588"/>
    <w:rsid w:val="0046610C"/>
    <w:rsid w:val="00466FAC"/>
    <w:rsid w:val="0046768B"/>
    <w:rsid w:val="00472E23"/>
    <w:rsid w:val="00473447"/>
    <w:rsid w:val="004738D4"/>
    <w:rsid w:val="00477F39"/>
    <w:rsid w:val="00480D3E"/>
    <w:rsid w:val="0048271F"/>
    <w:rsid w:val="00482F74"/>
    <w:rsid w:val="00486E0D"/>
    <w:rsid w:val="004A30AB"/>
    <w:rsid w:val="004A5129"/>
    <w:rsid w:val="004B4400"/>
    <w:rsid w:val="004B5277"/>
    <w:rsid w:val="004C0552"/>
    <w:rsid w:val="004C2FF8"/>
    <w:rsid w:val="004C557D"/>
    <w:rsid w:val="004C6F46"/>
    <w:rsid w:val="004C73BB"/>
    <w:rsid w:val="004D2369"/>
    <w:rsid w:val="004D699E"/>
    <w:rsid w:val="004E3977"/>
    <w:rsid w:val="004E505D"/>
    <w:rsid w:val="004F08EB"/>
    <w:rsid w:val="004F0AEE"/>
    <w:rsid w:val="004F3994"/>
    <w:rsid w:val="004F4EA8"/>
    <w:rsid w:val="00501FD0"/>
    <w:rsid w:val="005028DF"/>
    <w:rsid w:val="00510870"/>
    <w:rsid w:val="00514A66"/>
    <w:rsid w:val="00524A3B"/>
    <w:rsid w:val="00524B9D"/>
    <w:rsid w:val="0052530D"/>
    <w:rsid w:val="005306CE"/>
    <w:rsid w:val="0053147E"/>
    <w:rsid w:val="0053192E"/>
    <w:rsid w:val="00533267"/>
    <w:rsid w:val="00534F22"/>
    <w:rsid w:val="00537FB3"/>
    <w:rsid w:val="00552D9C"/>
    <w:rsid w:val="00554C28"/>
    <w:rsid w:val="005568FB"/>
    <w:rsid w:val="00564D43"/>
    <w:rsid w:val="005668CB"/>
    <w:rsid w:val="00570090"/>
    <w:rsid w:val="0057165B"/>
    <w:rsid w:val="0057377B"/>
    <w:rsid w:val="00583C7A"/>
    <w:rsid w:val="005877C8"/>
    <w:rsid w:val="005903B1"/>
    <w:rsid w:val="00590AEA"/>
    <w:rsid w:val="00590F78"/>
    <w:rsid w:val="00591821"/>
    <w:rsid w:val="00592A71"/>
    <w:rsid w:val="005930EF"/>
    <w:rsid w:val="00595080"/>
    <w:rsid w:val="00596E2D"/>
    <w:rsid w:val="005A3A59"/>
    <w:rsid w:val="005C5455"/>
    <w:rsid w:val="005D47AA"/>
    <w:rsid w:val="005D6359"/>
    <w:rsid w:val="005E0579"/>
    <w:rsid w:val="005E06D7"/>
    <w:rsid w:val="005E4F9F"/>
    <w:rsid w:val="005E618F"/>
    <w:rsid w:val="005F5585"/>
    <w:rsid w:val="005F6C84"/>
    <w:rsid w:val="006003FD"/>
    <w:rsid w:val="00600FB2"/>
    <w:rsid w:val="006014C4"/>
    <w:rsid w:val="00603583"/>
    <w:rsid w:val="00603F0F"/>
    <w:rsid w:val="00606028"/>
    <w:rsid w:val="006112D5"/>
    <w:rsid w:val="00617E5E"/>
    <w:rsid w:val="0062025B"/>
    <w:rsid w:val="006204A0"/>
    <w:rsid w:val="006233EE"/>
    <w:rsid w:val="00631006"/>
    <w:rsid w:val="0064150D"/>
    <w:rsid w:val="0064204D"/>
    <w:rsid w:val="00642D17"/>
    <w:rsid w:val="006515CC"/>
    <w:rsid w:val="006527D9"/>
    <w:rsid w:val="00674BA3"/>
    <w:rsid w:val="00681CB8"/>
    <w:rsid w:val="006847EF"/>
    <w:rsid w:val="006863E5"/>
    <w:rsid w:val="00690F14"/>
    <w:rsid w:val="006B1211"/>
    <w:rsid w:val="006B1EC5"/>
    <w:rsid w:val="006B4BD1"/>
    <w:rsid w:val="006B5874"/>
    <w:rsid w:val="006B7993"/>
    <w:rsid w:val="006C4287"/>
    <w:rsid w:val="006C7547"/>
    <w:rsid w:val="006D3EB2"/>
    <w:rsid w:val="006D714B"/>
    <w:rsid w:val="006E344C"/>
    <w:rsid w:val="006E39B5"/>
    <w:rsid w:val="006E5AB9"/>
    <w:rsid w:val="006F1A5E"/>
    <w:rsid w:val="006F64DA"/>
    <w:rsid w:val="00704342"/>
    <w:rsid w:val="00715670"/>
    <w:rsid w:val="0072610B"/>
    <w:rsid w:val="007273DE"/>
    <w:rsid w:val="00730A8F"/>
    <w:rsid w:val="00736588"/>
    <w:rsid w:val="00740D63"/>
    <w:rsid w:val="0074299F"/>
    <w:rsid w:val="00744C18"/>
    <w:rsid w:val="00745A66"/>
    <w:rsid w:val="007563A9"/>
    <w:rsid w:val="00756C67"/>
    <w:rsid w:val="00761782"/>
    <w:rsid w:val="007639EA"/>
    <w:rsid w:val="00763EDB"/>
    <w:rsid w:val="00765A0D"/>
    <w:rsid w:val="00772468"/>
    <w:rsid w:val="0077249B"/>
    <w:rsid w:val="0078225F"/>
    <w:rsid w:val="00782613"/>
    <w:rsid w:val="00782715"/>
    <w:rsid w:val="00790F68"/>
    <w:rsid w:val="00791C71"/>
    <w:rsid w:val="007957D9"/>
    <w:rsid w:val="007961EB"/>
    <w:rsid w:val="00796A27"/>
    <w:rsid w:val="00797128"/>
    <w:rsid w:val="007A506F"/>
    <w:rsid w:val="007A746E"/>
    <w:rsid w:val="007A793A"/>
    <w:rsid w:val="007B053A"/>
    <w:rsid w:val="007B165A"/>
    <w:rsid w:val="007B1D53"/>
    <w:rsid w:val="007B5FA0"/>
    <w:rsid w:val="007C0519"/>
    <w:rsid w:val="007C61EA"/>
    <w:rsid w:val="007D1261"/>
    <w:rsid w:val="007D21C4"/>
    <w:rsid w:val="007D250B"/>
    <w:rsid w:val="007D6D3A"/>
    <w:rsid w:val="007E0934"/>
    <w:rsid w:val="007E1089"/>
    <w:rsid w:val="007E68D4"/>
    <w:rsid w:val="007E7607"/>
    <w:rsid w:val="007E77E5"/>
    <w:rsid w:val="007F47BE"/>
    <w:rsid w:val="007F6E9F"/>
    <w:rsid w:val="007F745F"/>
    <w:rsid w:val="00801C7C"/>
    <w:rsid w:val="008021D4"/>
    <w:rsid w:val="008046B3"/>
    <w:rsid w:val="00810DED"/>
    <w:rsid w:val="00815F40"/>
    <w:rsid w:val="008238CA"/>
    <w:rsid w:val="00823FCF"/>
    <w:rsid w:val="00827F94"/>
    <w:rsid w:val="00830971"/>
    <w:rsid w:val="00835219"/>
    <w:rsid w:val="0083677B"/>
    <w:rsid w:val="00840739"/>
    <w:rsid w:val="00855CDC"/>
    <w:rsid w:val="00857258"/>
    <w:rsid w:val="00857A15"/>
    <w:rsid w:val="008612B3"/>
    <w:rsid w:val="0086780D"/>
    <w:rsid w:val="00874972"/>
    <w:rsid w:val="0089055A"/>
    <w:rsid w:val="008943F7"/>
    <w:rsid w:val="008A10EE"/>
    <w:rsid w:val="008A3191"/>
    <w:rsid w:val="008A406F"/>
    <w:rsid w:val="008A625D"/>
    <w:rsid w:val="008A6502"/>
    <w:rsid w:val="008A787F"/>
    <w:rsid w:val="008B4104"/>
    <w:rsid w:val="008C4C4C"/>
    <w:rsid w:val="008D03EB"/>
    <w:rsid w:val="008D6F86"/>
    <w:rsid w:val="008E5DF1"/>
    <w:rsid w:val="008F4465"/>
    <w:rsid w:val="00902928"/>
    <w:rsid w:val="00904458"/>
    <w:rsid w:val="00906A0F"/>
    <w:rsid w:val="0091512D"/>
    <w:rsid w:val="009257C5"/>
    <w:rsid w:val="00925FBB"/>
    <w:rsid w:val="009346AF"/>
    <w:rsid w:val="009457A2"/>
    <w:rsid w:val="00953471"/>
    <w:rsid w:val="009631E0"/>
    <w:rsid w:val="009738B8"/>
    <w:rsid w:val="009803AB"/>
    <w:rsid w:val="009819EC"/>
    <w:rsid w:val="00986755"/>
    <w:rsid w:val="00986F9F"/>
    <w:rsid w:val="00987E82"/>
    <w:rsid w:val="0099013F"/>
    <w:rsid w:val="009918C8"/>
    <w:rsid w:val="00994A03"/>
    <w:rsid w:val="00994B3E"/>
    <w:rsid w:val="00995C03"/>
    <w:rsid w:val="00997C36"/>
    <w:rsid w:val="009A1731"/>
    <w:rsid w:val="009A25E5"/>
    <w:rsid w:val="009A5A69"/>
    <w:rsid w:val="009A5E6F"/>
    <w:rsid w:val="009A6D3F"/>
    <w:rsid w:val="009B0952"/>
    <w:rsid w:val="009B1705"/>
    <w:rsid w:val="009B3E6A"/>
    <w:rsid w:val="009B71D9"/>
    <w:rsid w:val="009C0913"/>
    <w:rsid w:val="009C229B"/>
    <w:rsid w:val="009C6FAA"/>
    <w:rsid w:val="009C77CC"/>
    <w:rsid w:val="009D6710"/>
    <w:rsid w:val="009D7B71"/>
    <w:rsid w:val="009E045A"/>
    <w:rsid w:val="009E1FDA"/>
    <w:rsid w:val="009E491F"/>
    <w:rsid w:val="009E773D"/>
    <w:rsid w:val="00A12E00"/>
    <w:rsid w:val="00A24275"/>
    <w:rsid w:val="00A26302"/>
    <w:rsid w:val="00A304F3"/>
    <w:rsid w:val="00A346C8"/>
    <w:rsid w:val="00A36A92"/>
    <w:rsid w:val="00A430EA"/>
    <w:rsid w:val="00A463F7"/>
    <w:rsid w:val="00A47CAC"/>
    <w:rsid w:val="00A50BDD"/>
    <w:rsid w:val="00A517ED"/>
    <w:rsid w:val="00A53ED4"/>
    <w:rsid w:val="00A54116"/>
    <w:rsid w:val="00A62DC4"/>
    <w:rsid w:val="00A654A1"/>
    <w:rsid w:val="00A67846"/>
    <w:rsid w:val="00A70303"/>
    <w:rsid w:val="00A728E0"/>
    <w:rsid w:val="00A72FE9"/>
    <w:rsid w:val="00A73D3D"/>
    <w:rsid w:val="00A8569E"/>
    <w:rsid w:val="00A94158"/>
    <w:rsid w:val="00A94E83"/>
    <w:rsid w:val="00A9607C"/>
    <w:rsid w:val="00A96C21"/>
    <w:rsid w:val="00AA0F60"/>
    <w:rsid w:val="00AA47CD"/>
    <w:rsid w:val="00AA4A6F"/>
    <w:rsid w:val="00AA4D14"/>
    <w:rsid w:val="00AB2235"/>
    <w:rsid w:val="00AB3459"/>
    <w:rsid w:val="00AC1AC0"/>
    <w:rsid w:val="00AC2723"/>
    <w:rsid w:val="00AC74A8"/>
    <w:rsid w:val="00AD216A"/>
    <w:rsid w:val="00AF4909"/>
    <w:rsid w:val="00AF7B4F"/>
    <w:rsid w:val="00B01F4C"/>
    <w:rsid w:val="00B065C1"/>
    <w:rsid w:val="00B065ED"/>
    <w:rsid w:val="00B10116"/>
    <w:rsid w:val="00B116E0"/>
    <w:rsid w:val="00B13485"/>
    <w:rsid w:val="00B13D01"/>
    <w:rsid w:val="00B15AF7"/>
    <w:rsid w:val="00B20CC5"/>
    <w:rsid w:val="00B23529"/>
    <w:rsid w:val="00B2566D"/>
    <w:rsid w:val="00B27AF8"/>
    <w:rsid w:val="00B30F82"/>
    <w:rsid w:val="00B40DBF"/>
    <w:rsid w:val="00B43413"/>
    <w:rsid w:val="00B54DE4"/>
    <w:rsid w:val="00B6209B"/>
    <w:rsid w:val="00B64478"/>
    <w:rsid w:val="00B645DC"/>
    <w:rsid w:val="00B762C4"/>
    <w:rsid w:val="00B813C2"/>
    <w:rsid w:val="00B82F9D"/>
    <w:rsid w:val="00B83782"/>
    <w:rsid w:val="00B83F3B"/>
    <w:rsid w:val="00B942AE"/>
    <w:rsid w:val="00B94946"/>
    <w:rsid w:val="00B94A62"/>
    <w:rsid w:val="00B96225"/>
    <w:rsid w:val="00BA0FB3"/>
    <w:rsid w:val="00BA1FCB"/>
    <w:rsid w:val="00BA2DA8"/>
    <w:rsid w:val="00BA46B2"/>
    <w:rsid w:val="00BA4E89"/>
    <w:rsid w:val="00BA737D"/>
    <w:rsid w:val="00BA7C51"/>
    <w:rsid w:val="00BB18B2"/>
    <w:rsid w:val="00BC1460"/>
    <w:rsid w:val="00BD0545"/>
    <w:rsid w:val="00BD0F69"/>
    <w:rsid w:val="00BD5D91"/>
    <w:rsid w:val="00BD6447"/>
    <w:rsid w:val="00BE286C"/>
    <w:rsid w:val="00BE40B3"/>
    <w:rsid w:val="00BE53D1"/>
    <w:rsid w:val="00BE548D"/>
    <w:rsid w:val="00BE7F82"/>
    <w:rsid w:val="00BF7F5E"/>
    <w:rsid w:val="00C05C56"/>
    <w:rsid w:val="00C10724"/>
    <w:rsid w:val="00C2601B"/>
    <w:rsid w:val="00C32B22"/>
    <w:rsid w:val="00C36508"/>
    <w:rsid w:val="00C405E6"/>
    <w:rsid w:val="00C4130E"/>
    <w:rsid w:val="00C42091"/>
    <w:rsid w:val="00C42719"/>
    <w:rsid w:val="00C4771C"/>
    <w:rsid w:val="00C67439"/>
    <w:rsid w:val="00C807E0"/>
    <w:rsid w:val="00C8294E"/>
    <w:rsid w:val="00C82AD2"/>
    <w:rsid w:val="00C83980"/>
    <w:rsid w:val="00C904B4"/>
    <w:rsid w:val="00C908E7"/>
    <w:rsid w:val="00C94ABF"/>
    <w:rsid w:val="00C94D0C"/>
    <w:rsid w:val="00C96B25"/>
    <w:rsid w:val="00C97AE2"/>
    <w:rsid w:val="00C97EB0"/>
    <w:rsid w:val="00CA26E7"/>
    <w:rsid w:val="00CA2A35"/>
    <w:rsid w:val="00CA57E8"/>
    <w:rsid w:val="00CB6A01"/>
    <w:rsid w:val="00CC2CAD"/>
    <w:rsid w:val="00CC77A8"/>
    <w:rsid w:val="00CD3C0D"/>
    <w:rsid w:val="00CE0BF7"/>
    <w:rsid w:val="00CE0DC6"/>
    <w:rsid w:val="00CE60BA"/>
    <w:rsid w:val="00CF3A1D"/>
    <w:rsid w:val="00CF4058"/>
    <w:rsid w:val="00CF76E9"/>
    <w:rsid w:val="00D0089C"/>
    <w:rsid w:val="00D1216A"/>
    <w:rsid w:val="00D1289A"/>
    <w:rsid w:val="00D15C40"/>
    <w:rsid w:val="00D20675"/>
    <w:rsid w:val="00D22EFF"/>
    <w:rsid w:val="00D24C76"/>
    <w:rsid w:val="00D256BC"/>
    <w:rsid w:val="00D25E35"/>
    <w:rsid w:val="00D30A06"/>
    <w:rsid w:val="00D3262D"/>
    <w:rsid w:val="00D35CF0"/>
    <w:rsid w:val="00D37395"/>
    <w:rsid w:val="00D4149E"/>
    <w:rsid w:val="00D42579"/>
    <w:rsid w:val="00D5424C"/>
    <w:rsid w:val="00D55B74"/>
    <w:rsid w:val="00D579B1"/>
    <w:rsid w:val="00D6013E"/>
    <w:rsid w:val="00D6058F"/>
    <w:rsid w:val="00D62F63"/>
    <w:rsid w:val="00D631F1"/>
    <w:rsid w:val="00D63A15"/>
    <w:rsid w:val="00D6514F"/>
    <w:rsid w:val="00D6590E"/>
    <w:rsid w:val="00D66A51"/>
    <w:rsid w:val="00D72C08"/>
    <w:rsid w:val="00D73C11"/>
    <w:rsid w:val="00D81122"/>
    <w:rsid w:val="00D82ABF"/>
    <w:rsid w:val="00D83AD5"/>
    <w:rsid w:val="00D9613C"/>
    <w:rsid w:val="00DA43F9"/>
    <w:rsid w:val="00DA5967"/>
    <w:rsid w:val="00DB2C38"/>
    <w:rsid w:val="00DB7D02"/>
    <w:rsid w:val="00DC2BD5"/>
    <w:rsid w:val="00DC681B"/>
    <w:rsid w:val="00DD08A8"/>
    <w:rsid w:val="00DD2DA4"/>
    <w:rsid w:val="00DE799D"/>
    <w:rsid w:val="00DF1B93"/>
    <w:rsid w:val="00DF35E7"/>
    <w:rsid w:val="00DF6683"/>
    <w:rsid w:val="00DF6E9F"/>
    <w:rsid w:val="00E015BC"/>
    <w:rsid w:val="00E0170F"/>
    <w:rsid w:val="00E0176E"/>
    <w:rsid w:val="00E02D8F"/>
    <w:rsid w:val="00E066D2"/>
    <w:rsid w:val="00E069E3"/>
    <w:rsid w:val="00E107D6"/>
    <w:rsid w:val="00E12BDA"/>
    <w:rsid w:val="00E12EC8"/>
    <w:rsid w:val="00E13A7C"/>
    <w:rsid w:val="00E15E2F"/>
    <w:rsid w:val="00E20485"/>
    <w:rsid w:val="00E21763"/>
    <w:rsid w:val="00E2581F"/>
    <w:rsid w:val="00E274B5"/>
    <w:rsid w:val="00E30E75"/>
    <w:rsid w:val="00E3712B"/>
    <w:rsid w:val="00E44495"/>
    <w:rsid w:val="00E45D32"/>
    <w:rsid w:val="00E45ED0"/>
    <w:rsid w:val="00E52A27"/>
    <w:rsid w:val="00E60E8A"/>
    <w:rsid w:val="00E64F8D"/>
    <w:rsid w:val="00E66795"/>
    <w:rsid w:val="00E7094B"/>
    <w:rsid w:val="00E72C9D"/>
    <w:rsid w:val="00E72D24"/>
    <w:rsid w:val="00E76CA5"/>
    <w:rsid w:val="00E802B1"/>
    <w:rsid w:val="00E841DC"/>
    <w:rsid w:val="00E85711"/>
    <w:rsid w:val="00E90B35"/>
    <w:rsid w:val="00E9273A"/>
    <w:rsid w:val="00EA0568"/>
    <w:rsid w:val="00EA0E5B"/>
    <w:rsid w:val="00EA3E19"/>
    <w:rsid w:val="00EB456A"/>
    <w:rsid w:val="00EC6C74"/>
    <w:rsid w:val="00ED0899"/>
    <w:rsid w:val="00ED0A13"/>
    <w:rsid w:val="00ED0B98"/>
    <w:rsid w:val="00ED2DDD"/>
    <w:rsid w:val="00ED3209"/>
    <w:rsid w:val="00ED4300"/>
    <w:rsid w:val="00EE0626"/>
    <w:rsid w:val="00EE17CE"/>
    <w:rsid w:val="00EE2EBF"/>
    <w:rsid w:val="00EE5626"/>
    <w:rsid w:val="00EF0CF7"/>
    <w:rsid w:val="00EF2DCB"/>
    <w:rsid w:val="00EF37A7"/>
    <w:rsid w:val="00EF5D3A"/>
    <w:rsid w:val="00F0385B"/>
    <w:rsid w:val="00F040B4"/>
    <w:rsid w:val="00F0422B"/>
    <w:rsid w:val="00F212C5"/>
    <w:rsid w:val="00F23726"/>
    <w:rsid w:val="00F24570"/>
    <w:rsid w:val="00F26467"/>
    <w:rsid w:val="00F269A6"/>
    <w:rsid w:val="00F26C4E"/>
    <w:rsid w:val="00F37944"/>
    <w:rsid w:val="00F433D0"/>
    <w:rsid w:val="00F45A9C"/>
    <w:rsid w:val="00F47521"/>
    <w:rsid w:val="00F5102A"/>
    <w:rsid w:val="00F53687"/>
    <w:rsid w:val="00F54583"/>
    <w:rsid w:val="00F56654"/>
    <w:rsid w:val="00F6018E"/>
    <w:rsid w:val="00F6019F"/>
    <w:rsid w:val="00F62B96"/>
    <w:rsid w:val="00F63FA2"/>
    <w:rsid w:val="00F71908"/>
    <w:rsid w:val="00F8586B"/>
    <w:rsid w:val="00F97CA0"/>
    <w:rsid w:val="00FA3B65"/>
    <w:rsid w:val="00FA4DA0"/>
    <w:rsid w:val="00FB0EB3"/>
    <w:rsid w:val="00FB3462"/>
    <w:rsid w:val="00FB65DF"/>
    <w:rsid w:val="00FC4F37"/>
    <w:rsid w:val="00FD105E"/>
    <w:rsid w:val="00FD4AA8"/>
    <w:rsid w:val="00FD631E"/>
    <w:rsid w:val="00FD6C72"/>
    <w:rsid w:val="00FD79B0"/>
    <w:rsid w:val="00FE6257"/>
    <w:rsid w:val="00FF1377"/>
    <w:rsid w:val="00FF21C7"/>
    <w:rsid w:val="00FF2CB1"/>
    <w:rsid w:val="00FF316E"/>
    <w:rsid w:val="00FF4400"/>
    <w:rsid w:val="00FF7EE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8A78"/>
  <w15:chartTrackingRefBased/>
  <w15:docId w15:val="{8E635C1F-1827-4BE8-8705-F1653CE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imes New Roman" w:hAnsi="Arial Bold" w:cstheme="minorBidi"/>
        <w:b/>
        <w:bCs/>
        <w:sz w:val="24"/>
        <w:szCs w:val="28"/>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87"/>
    <w:rPr>
      <w:rFonts w:ascii="Arial" w:hAnsi="Arial"/>
      <w:b w:val="0"/>
      <w:bCs w:val="0"/>
    </w:rPr>
  </w:style>
  <w:style w:type="paragraph" w:styleId="Heading1">
    <w:name w:val="heading 1"/>
    <w:basedOn w:val="Normal"/>
    <w:next w:val="1"/>
    <w:link w:val="Heading1Char"/>
    <w:qFormat/>
    <w:rsid w:val="002C6BEE"/>
    <w:pPr>
      <w:keepNext/>
      <w:numPr>
        <w:numId w:val="22"/>
      </w:numPr>
      <w:autoSpaceDE w:val="0"/>
      <w:autoSpaceDN w:val="0"/>
      <w:adjustRightInd w:val="0"/>
      <w:spacing w:before="840" w:line="480" w:lineRule="auto"/>
      <w:outlineLvl w:val="0"/>
    </w:pPr>
    <w:rPr>
      <w:b/>
      <w:bCs/>
      <w:u w:val="single"/>
    </w:rPr>
  </w:style>
  <w:style w:type="paragraph" w:styleId="Heading2">
    <w:name w:val="heading 2"/>
    <w:basedOn w:val="Heading1"/>
    <w:next w:val="1"/>
    <w:link w:val="Heading2Char"/>
    <w:autoRedefine/>
    <w:qFormat/>
    <w:rsid w:val="0046768B"/>
    <w:pPr>
      <w:numPr>
        <w:ilvl w:val="1"/>
        <w:numId w:val="23"/>
      </w:numPr>
      <w:tabs>
        <w:tab w:val="num" w:pos="1134"/>
      </w:tabs>
      <w:outlineLvl w:val="1"/>
    </w:pPr>
    <w:rPr>
      <w:b w:val="0"/>
      <w:bCs w:val="0"/>
      <w:szCs w:val="26"/>
    </w:rPr>
  </w:style>
  <w:style w:type="paragraph" w:styleId="Heading3">
    <w:name w:val="heading 3"/>
    <w:basedOn w:val="Heading1"/>
    <w:next w:val="1"/>
    <w:link w:val="Heading3Char"/>
    <w:qFormat/>
    <w:rsid w:val="00FA4DA0"/>
    <w:pPr>
      <w:numPr>
        <w:numId w:val="0"/>
      </w:numPr>
      <w:spacing w:before="600"/>
      <w:outlineLvl w:val="2"/>
    </w:pPr>
    <w:rPr>
      <w:b w:val="0"/>
      <w:bCs w:val="0"/>
      <w:lang w:val="x-none" w:eastAsia="x-none"/>
    </w:rPr>
  </w:style>
  <w:style w:type="paragraph" w:styleId="Heading4">
    <w:name w:val="heading 4"/>
    <w:basedOn w:val="Normal"/>
    <w:next w:val="Normal"/>
    <w:link w:val="Heading4Char"/>
    <w:uiPriority w:val="9"/>
    <w:unhideWhenUsed/>
    <w:qFormat/>
    <w:rsid w:val="00FA4D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BodyText"/>
    <w:link w:val="1Char"/>
    <w:qFormat/>
    <w:rsid w:val="002F3330"/>
    <w:pPr>
      <w:numPr>
        <w:numId w:val="15"/>
      </w:numPr>
      <w:spacing w:before="480" w:after="0" w:line="480" w:lineRule="auto"/>
    </w:pPr>
    <w:rPr>
      <w:iCs/>
      <w:color w:val="000000"/>
      <w:szCs w:val="22"/>
    </w:rPr>
  </w:style>
  <w:style w:type="paragraph" w:customStyle="1" w:styleId="2">
    <w:name w:val="2"/>
    <w:basedOn w:val="1"/>
    <w:link w:val="2Char"/>
    <w:qFormat/>
    <w:rsid w:val="002C6BEE"/>
    <w:pPr>
      <w:numPr>
        <w:ilvl w:val="1"/>
      </w:numPr>
    </w:pPr>
  </w:style>
  <w:style w:type="paragraph" w:customStyle="1" w:styleId="3">
    <w:name w:val="3"/>
    <w:basedOn w:val="2"/>
    <w:qFormat/>
    <w:rsid w:val="00191D4D"/>
    <w:pPr>
      <w:numPr>
        <w:ilvl w:val="2"/>
      </w:numPr>
    </w:pPr>
  </w:style>
  <w:style w:type="paragraph" w:customStyle="1" w:styleId="4">
    <w:name w:val="4"/>
    <w:basedOn w:val="2"/>
    <w:qFormat/>
    <w:rsid w:val="00F45A9C"/>
    <w:pPr>
      <w:numPr>
        <w:ilvl w:val="3"/>
      </w:numPr>
    </w:pPr>
    <w:rPr>
      <w:iCs w:val="0"/>
    </w:rPr>
  </w:style>
  <w:style w:type="paragraph" w:customStyle="1" w:styleId="5">
    <w:name w:val="5"/>
    <w:basedOn w:val="4"/>
    <w:qFormat/>
    <w:rsid w:val="00F45A9C"/>
    <w:pPr>
      <w:numPr>
        <w:ilvl w:val="4"/>
      </w:numPr>
    </w:pPr>
    <w:rPr>
      <w:iCs/>
      <w:szCs w:val="16"/>
      <w:lang w:eastAsia="en-ZA"/>
    </w:rPr>
  </w:style>
  <w:style w:type="paragraph" w:styleId="Footer">
    <w:name w:val="footer"/>
    <w:basedOn w:val="Normal"/>
    <w:link w:val="FooterChar"/>
    <w:uiPriority w:val="99"/>
    <w:unhideWhenUsed/>
    <w:rsid w:val="008A406F"/>
    <w:pPr>
      <w:tabs>
        <w:tab w:val="center" w:pos="4513"/>
        <w:tab w:val="right" w:pos="9026"/>
      </w:tabs>
    </w:pPr>
  </w:style>
  <w:style w:type="character" w:customStyle="1" w:styleId="FooterChar">
    <w:name w:val="Footer Char"/>
    <w:basedOn w:val="DefaultParagraphFont"/>
    <w:link w:val="Footer"/>
    <w:uiPriority w:val="99"/>
    <w:rsid w:val="008A406F"/>
    <w:rPr>
      <w:rFonts w:ascii="Arial" w:hAnsi="Arial"/>
    </w:rPr>
  </w:style>
  <w:style w:type="character" w:styleId="FootnoteReference">
    <w:name w:val="footnote reference"/>
    <w:basedOn w:val="DefaultParagraphFont"/>
    <w:unhideWhenUsed/>
    <w:rsid w:val="00211450"/>
    <w:rPr>
      <w:vertAlign w:val="superscript"/>
      <w:lang w:val="en-GB"/>
    </w:rPr>
  </w:style>
  <w:style w:type="paragraph" w:styleId="FootnoteText">
    <w:name w:val="footnote text"/>
    <w:basedOn w:val="Normal"/>
    <w:link w:val="FootnoteTextChar"/>
    <w:rsid w:val="001E0116"/>
    <w:pPr>
      <w:spacing w:after="120"/>
      <w:ind w:left="284" w:hanging="284"/>
    </w:pPr>
    <w:rPr>
      <w:sz w:val="20"/>
      <w:szCs w:val="22"/>
    </w:rPr>
  </w:style>
  <w:style w:type="character" w:customStyle="1" w:styleId="FootnoteTextChar">
    <w:name w:val="Footnote Text Char"/>
    <w:link w:val="FootnoteText"/>
    <w:rsid w:val="001E0116"/>
    <w:rPr>
      <w:rFonts w:ascii="Arial" w:hAnsi="Arial"/>
      <w:b w:val="0"/>
      <w:bCs w:val="0"/>
      <w:sz w:val="20"/>
      <w:szCs w:val="22"/>
    </w:rPr>
  </w:style>
  <w:style w:type="paragraph" w:styleId="Header">
    <w:name w:val="header"/>
    <w:basedOn w:val="Normal"/>
    <w:link w:val="HeaderChar"/>
    <w:uiPriority w:val="99"/>
    <w:unhideWhenUsed/>
    <w:rsid w:val="00C83980"/>
    <w:pPr>
      <w:tabs>
        <w:tab w:val="center" w:pos="4513"/>
        <w:tab w:val="right" w:pos="9026"/>
      </w:tabs>
    </w:pPr>
  </w:style>
  <w:style w:type="character" w:customStyle="1" w:styleId="HeaderChar">
    <w:name w:val="Header Char"/>
    <w:basedOn w:val="DefaultParagraphFont"/>
    <w:link w:val="Header"/>
    <w:uiPriority w:val="99"/>
    <w:rsid w:val="00C83980"/>
    <w:rPr>
      <w:rFonts w:ascii="Arial" w:hAnsi="Arial"/>
    </w:rPr>
  </w:style>
  <w:style w:type="character" w:customStyle="1" w:styleId="Heading1Char">
    <w:name w:val="Heading 1 Char"/>
    <w:link w:val="Heading1"/>
    <w:rsid w:val="002C6BEE"/>
    <w:rPr>
      <w:rFonts w:ascii="Arial" w:hAnsi="Arial"/>
      <w:u w:val="single"/>
    </w:rPr>
  </w:style>
  <w:style w:type="character" w:customStyle="1" w:styleId="Heading2Char">
    <w:name w:val="Heading 2 Char"/>
    <w:link w:val="Heading2"/>
    <w:rsid w:val="0046768B"/>
    <w:rPr>
      <w:rFonts w:ascii="Arial" w:hAnsi="Arial"/>
      <w:b w:val="0"/>
      <w:bCs w:val="0"/>
      <w:szCs w:val="26"/>
      <w:u w:val="single"/>
    </w:rPr>
  </w:style>
  <w:style w:type="character" w:customStyle="1" w:styleId="Heading3Char">
    <w:name w:val="Heading 3 Char"/>
    <w:link w:val="Heading3"/>
    <w:rsid w:val="00FA4DA0"/>
    <w:rPr>
      <w:rFonts w:ascii="Arial" w:hAnsi="Arial"/>
      <w:b w:val="0"/>
      <w:bCs w:val="0"/>
      <w:u w:val="single"/>
      <w:lang w:val="x-none" w:eastAsia="x-none"/>
    </w:rPr>
  </w:style>
  <w:style w:type="paragraph" w:styleId="ListNumber2">
    <w:name w:val="List Number 2"/>
    <w:basedOn w:val="Normal"/>
    <w:uiPriority w:val="99"/>
    <w:semiHidden/>
    <w:unhideWhenUsed/>
    <w:rsid w:val="002A0465"/>
    <w:pPr>
      <w:numPr>
        <w:numId w:val="2"/>
      </w:numPr>
    </w:pPr>
  </w:style>
  <w:style w:type="paragraph" w:styleId="ListParagraph">
    <w:name w:val="List Paragraph"/>
    <w:basedOn w:val="Normal"/>
    <w:uiPriority w:val="34"/>
    <w:qFormat/>
    <w:rsid w:val="00855CDC"/>
    <w:pPr>
      <w:numPr>
        <w:numId w:val="17"/>
      </w:numPr>
      <w:spacing w:after="120" w:line="360" w:lineRule="auto"/>
    </w:pPr>
    <w:rPr>
      <w:szCs w:val="16"/>
      <w:lang w:eastAsia="en-ZA"/>
    </w:rPr>
  </w:style>
  <w:style w:type="paragraph" w:customStyle="1" w:styleId="Parties">
    <w:name w:val="Parties"/>
    <w:basedOn w:val="Normal"/>
    <w:rsid w:val="0078225F"/>
    <w:pPr>
      <w:tabs>
        <w:tab w:val="right" w:pos="8732"/>
      </w:tabs>
      <w:suppressAutoHyphens/>
    </w:pPr>
    <w:rPr>
      <w:b/>
      <w:szCs w:val="20"/>
    </w:rPr>
  </w:style>
  <w:style w:type="paragraph" w:styleId="Quote">
    <w:name w:val="Quote"/>
    <w:basedOn w:val="Normal"/>
    <w:link w:val="QuoteChar"/>
    <w:uiPriority w:val="29"/>
    <w:qFormat/>
    <w:rsid w:val="00E21763"/>
    <w:pPr>
      <w:spacing w:before="240" w:after="120" w:line="360" w:lineRule="auto"/>
      <w:ind w:left="1701"/>
    </w:pPr>
    <w:rPr>
      <w:rFonts w:eastAsiaTheme="minorHAnsi"/>
      <w:color w:val="000000"/>
      <w:sz w:val="22"/>
      <w:szCs w:val="22"/>
    </w:rPr>
  </w:style>
  <w:style w:type="character" w:customStyle="1" w:styleId="QuoteChar">
    <w:name w:val="Quote Char"/>
    <w:link w:val="Quote"/>
    <w:uiPriority w:val="29"/>
    <w:rsid w:val="00E21763"/>
    <w:rPr>
      <w:rFonts w:ascii="Arial" w:eastAsiaTheme="minorHAnsi" w:hAnsi="Arial"/>
      <w:b w:val="0"/>
      <w:bCs w:val="0"/>
      <w:color w:val="000000"/>
      <w:sz w:val="22"/>
      <w:szCs w:val="22"/>
    </w:rPr>
  </w:style>
  <w:style w:type="paragraph" w:styleId="TOC1">
    <w:name w:val="toc 1"/>
    <w:basedOn w:val="Normal"/>
    <w:next w:val="Normal"/>
    <w:autoRedefine/>
    <w:uiPriority w:val="39"/>
    <w:unhideWhenUsed/>
    <w:rsid w:val="00113232"/>
    <w:pPr>
      <w:spacing w:before="200" w:after="100"/>
    </w:pPr>
    <w:rPr>
      <w:b/>
      <w:sz w:val="22"/>
    </w:rPr>
  </w:style>
  <w:style w:type="paragraph" w:styleId="TOC2">
    <w:name w:val="toc 2"/>
    <w:basedOn w:val="Normal"/>
    <w:next w:val="Normal"/>
    <w:autoRedefine/>
    <w:uiPriority w:val="39"/>
    <w:unhideWhenUsed/>
    <w:rsid w:val="00CD3C0D"/>
    <w:pPr>
      <w:spacing w:after="100"/>
      <w:ind w:left="240"/>
    </w:pPr>
    <w:rPr>
      <w:i/>
      <w:sz w:val="22"/>
    </w:rPr>
  </w:style>
  <w:style w:type="paragraph" w:styleId="TOC3">
    <w:name w:val="toc 3"/>
    <w:basedOn w:val="TOC2"/>
    <w:next w:val="Normal"/>
    <w:autoRedefine/>
    <w:uiPriority w:val="39"/>
    <w:unhideWhenUsed/>
    <w:rsid w:val="00CD3C0D"/>
    <w:pPr>
      <w:tabs>
        <w:tab w:val="right" w:leader="dot" w:pos="8755"/>
      </w:tabs>
      <w:ind w:left="480"/>
    </w:pPr>
    <w:rPr>
      <w:i w:val="0"/>
      <w:noProof/>
    </w:rPr>
  </w:style>
  <w:style w:type="paragraph" w:customStyle="1" w:styleId="TramLines">
    <w:name w:val="TramLines"/>
    <w:basedOn w:val="Normal"/>
    <w:next w:val="1"/>
    <w:autoRedefine/>
    <w:qFormat/>
    <w:rsid w:val="008046B3"/>
    <w:pPr>
      <w:pBdr>
        <w:top w:val="single" w:sz="8" w:space="12" w:color="auto"/>
        <w:bottom w:val="single" w:sz="8" w:space="12" w:color="auto"/>
      </w:pBdr>
      <w:tabs>
        <w:tab w:val="left" w:pos="3780"/>
      </w:tabs>
      <w:suppressAutoHyphens/>
      <w:spacing w:after="320"/>
      <w:jc w:val="center"/>
    </w:pPr>
    <w:rPr>
      <w:b/>
      <w:szCs w:val="20"/>
    </w:rPr>
  </w:style>
  <w:style w:type="paragraph" w:styleId="TOCHeading">
    <w:name w:val="TOC Heading"/>
    <w:basedOn w:val="Normal"/>
    <w:next w:val="Normal"/>
    <w:uiPriority w:val="39"/>
    <w:unhideWhenUsed/>
    <w:qFormat/>
    <w:rsid w:val="00B30F82"/>
    <w:pPr>
      <w:keepLines/>
      <w:jc w:val="center"/>
    </w:pPr>
    <w:rPr>
      <w:rFonts w:eastAsiaTheme="majorEastAsia" w:cstheme="majorBidi"/>
      <w:b/>
      <w:bCs/>
      <w:caps/>
      <w:szCs w:val="32"/>
      <w:lang w:val="en-US"/>
    </w:rPr>
  </w:style>
  <w:style w:type="character" w:styleId="PageNumber">
    <w:name w:val="page number"/>
    <w:basedOn w:val="DefaultParagraphFont"/>
    <w:rsid w:val="00211450"/>
  </w:style>
  <w:style w:type="table" w:styleId="TableGrid">
    <w:name w:val="Table Grid"/>
    <w:basedOn w:val="TableNormal"/>
    <w:uiPriority w:val="39"/>
    <w:rsid w:val="0021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1 Char"/>
    <w:basedOn w:val="DefaultParagraphFont"/>
    <w:link w:val="1"/>
    <w:rsid w:val="002F3330"/>
    <w:rPr>
      <w:rFonts w:ascii="Arial" w:hAnsi="Arial"/>
      <w:b w:val="0"/>
      <w:bCs w:val="0"/>
      <w:iCs/>
      <w:color w:val="000000"/>
      <w:szCs w:val="22"/>
    </w:rPr>
  </w:style>
  <w:style w:type="character" w:customStyle="1" w:styleId="2Char">
    <w:name w:val="2 Char"/>
    <w:basedOn w:val="1Char"/>
    <w:link w:val="2"/>
    <w:rsid w:val="00715670"/>
    <w:rPr>
      <w:rFonts w:ascii="Arial" w:hAnsi="Arial"/>
      <w:b w:val="0"/>
      <w:bCs w:val="0"/>
      <w:iCs/>
      <w:color w:val="000000"/>
      <w:szCs w:val="22"/>
    </w:rPr>
  </w:style>
  <w:style w:type="paragraph" w:styleId="NormalWeb">
    <w:name w:val="Normal (Web)"/>
    <w:basedOn w:val="Normal"/>
    <w:uiPriority w:val="99"/>
    <w:semiHidden/>
    <w:unhideWhenUsed/>
    <w:rsid w:val="00211450"/>
    <w:rPr>
      <w:rFonts w:ascii="Times New Roman" w:hAnsi="Times New Roman" w:cs="Times New Roman"/>
    </w:rPr>
  </w:style>
  <w:style w:type="paragraph" w:styleId="BodyText">
    <w:name w:val="Body Text"/>
    <w:basedOn w:val="Normal"/>
    <w:link w:val="BodyTextChar"/>
    <w:autoRedefine/>
    <w:uiPriority w:val="99"/>
    <w:semiHidden/>
    <w:unhideWhenUsed/>
    <w:rsid w:val="00211450"/>
    <w:pPr>
      <w:spacing w:after="120"/>
    </w:pPr>
  </w:style>
  <w:style w:type="character" w:customStyle="1" w:styleId="BodyTextChar">
    <w:name w:val="Body Text Char"/>
    <w:basedOn w:val="DefaultParagraphFont"/>
    <w:link w:val="BodyText"/>
    <w:uiPriority w:val="99"/>
    <w:semiHidden/>
    <w:rsid w:val="00211450"/>
    <w:rPr>
      <w:rFonts w:ascii="Arial" w:hAnsi="Arial"/>
    </w:rPr>
  </w:style>
  <w:style w:type="character" w:styleId="Hyperlink">
    <w:name w:val="Hyperlink"/>
    <w:basedOn w:val="DefaultParagraphFont"/>
    <w:uiPriority w:val="99"/>
    <w:unhideWhenUsed/>
    <w:rsid w:val="00736588"/>
    <w:rPr>
      <w:color w:val="0563C1" w:themeColor="hyperlink"/>
      <w:u w:val="single"/>
    </w:rPr>
  </w:style>
  <w:style w:type="character" w:customStyle="1" w:styleId="UnresolvedMention1">
    <w:name w:val="Unresolved Mention1"/>
    <w:basedOn w:val="DefaultParagraphFont"/>
    <w:uiPriority w:val="99"/>
    <w:semiHidden/>
    <w:unhideWhenUsed/>
    <w:rsid w:val="00736588"/>
    <w:rPr>
      <w:color w:val="605E5C"/>
      <w:shd w:val="clear" w:color="auto" w:fill="E1DFDD"/>
    </w:rPr>
  </w:style>
  <w:style w:type="character" w:styleId="Strong">
    <w:name w:val="Strong"/>
    <w:basedOn w:val="DefaultParagraphFont"/>
    <w:uiPriority w:val="22"/>
    <w:qFormat/>
    <w:rsid w:val="00FC4F37"/>
    <w:rPr>
      <w:b w:val="0"/>
      <w:bCs w:val="0"/>
    </w:rPr>
  </w:style>
  <w:style w:type="paragraph" w:styleId="EndnoteText">
    <w:name w:val="endnote text"/>
    <w:basedOn w:val="Normal"/>
    <w:link w:val="EndnoteTextChar"/>
    <w:uiPriority w:val="99"/>
    <w:semiHidden/>
    <w:unhideWhenUsed/>
    <w:rsid w:val="009C229B"/>
    <w:rPr>
      <w:sz w:val="20"/>
      <w:szCs w:val="20"/>
    </w:rPr>
  </w:style>
  <w:style w:type="character" w:customStyle="1" w:styleId="EndnoteTextChar">
    <w:name w:val="Endnote Text Char"/>
    <w:basedOn w:val="DefaultParagraphFont"/>
    <w:link w:val="EndnoteText"/>
    <w:uiPriority w:val="99"/>
    <w:semiHidden/>
    <w:rsid w:val="009C229B"/>
    <w:rPr>
      <w:rFonts w:ascii="Arial" w:hAnsi="Arial"/>
      <w:b w:val="0"/>
      <w:bCs w:val="0"/>
      <w:sz w:val="20"/>
      <w:szCs w:val="20"/>
    </w:rPr>
  </w:style>
  <w:style w:type="character" w:styleId="EndnoteReference">
    <w:name w:val="endnote reference"/>
    <w:basedOn w:val="DefaultParagraphFont"/>
    <w:uiPriority w:val="99"/>
    <w:semiHidden/>
    <w:unhideWhenUsed/>
    <w:rsid w:val="009C229B"/>
    <w:rPr>
      <w:vertAlign w:val="superscript"/>
    </w:rPr>
  </w:style>
  <w:style w:type="character" w:customStyle="1" w:styleId="Heading4Char">
    <w:name w:val="Heading 4 Char"/>
    <w:basedOn w:val="DefaultParagraphFont"/>
    <w:link w:val="Heading4"/>
    <w:uiPriority w:val="9"/>
    <w:rsid w:val="00FA4DA0"/>
    <w:rPr>
      <w:rFonts w:asciiTheme="majorHAnsi" w:eastAsiaTheme="majorEastAsia" w:hAnsiTheme="majorHAnsi" w:cstheme="majorBidi"/>
      <w:b w:val="0"/>
      <w:bCs w:val="0"/>
      <w:i/>
      <w:iCs/>
      <w:color w:val="2F5496" w:themeColor="accent1" w:themeShade="BF"/>
    </w:rPr>
  </w:style>
  <w:style w:type="paragraph" w:customStyle="1" w:styleId="LegalList1">
    <w:name w:val="Legal_List1"/>
    <w:basedOn w:val="Normal"/>
    <w:semiHidden/>
    <w:rsid w:val="00A24275"/>
    <w:pPr>
      <w:suppressAutoHyphens/>
      <w:spacing w:after="360" w:line="480" w:lineRule="auto"/>
      <w:outlineLvl w:val="0"/>
    </w:pPr>
    <w:rPr>
      <w:rFonts w:cs="Times New Roman"/>
      <w:szCs w:val="24"/>
      <w:lang w:eastAsia="en-GB"/>
    </w:rPr>
  </w:style>
  <w:style w:type="paragraph" w:styleId="BalloonText">
    <w:name w:val="Balloon Text"/>
    <w:basedOn w:val="Normal"/>
    <w:link w:val="BalloonTextChar"/>
    <w:uiPriority w:val="99"/>
    <w:semiHidden/>
    <w:unhideWhenUsed/>
    <w:rsid w:val="0094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A2"/>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9457A2"/>
    <w:rPr>
      <w:sz w:val="16"/>
      <w:szCs w:val="16"/>
    </w:rPr>
  </w:style>
  <w:style w:type="paragraph" w:styleId="CommentText">
    <w:name w:val="annotation text"/>
    <w:basedOn w:val="Normal"/>
    <w:link w:val="CommentTextChar"/>
    <w:uiPriority w:val="99"/>
    <w:semiHidden/>
    <w:unhideWhenUsed/>
    <w:rsid w:val="009457A2"/>
    <w:rPr>
      <w:sz w:val="20"/>
      <w:szCs w:val="20"/>
    </w:rPr>
  </w:style>
  <w:style w:type="character" w:customStyle="1" w:styleId="CommentTextChar">
    <w:name w:val="Comment Text Char"/>
    <w:basedOn w:val="DefaultParagraphFont"/>
    <w:link w:val="CommentText"/>
    <w:uiPriority w:val="99"/>
    <w:semiHidden/>
    <w:rsid w:val="009457A2"/>
    <w:rPr>
      <w:rFonts w:ascii="Arial" w:hAnsi="Arial"/>
      <w:b w:val="0"/>
      <w:bCs w:val="0"/>
      <w:sz w:val="20"/>
      <w:szCs w:val="20"/>
    </w:rPr>
  </w:style>
  <w:style w:type="paragraph" w:styleId="CommentSubject">
    <w:name w:val="annotation subject"/>
    <w:basedOn w:val="CommentText"/>
    <w:next w:val="CommentText"/>
    <w:link w:val="CommentSubjectChar"/>
    <w:uiPriority w:val="99"/>
    <w:semiHidden/>
    <w:unhideWhenUsed/>
    <w:rsid w:val="009457A2"/>
    <w:rPr>
      <w:b/>
      <w:bCs/>
    </w:rPr>
  </w:style>
  <w:style w:type="character" w:customStyle="1" w:styleId="CommentSubjectChar">
    <w:name w:val="Comment Subject Char"/>
    <w:basedOn w:val="CommentTextChar"/>
    <w:link w:val="CommentSubject"/>
    <w:uiPriority w:val="99"/>
    <w:semiHidden/>
    <w:rsid w:val="009457A2"/>
    <w:rPr>
      <w:rFonts w:ascii="Arial" w:hAnsi="Arial"/>
      <w:b/>
      <w:bCs/>
      <w:sz w:val="20"/>
      <w:szCs w:val="20"/>
    </w:rPr>
  </w:style>
  <w:style w:type="paragraph" w:styleId="Revision">
    <w:name w:val="Revision"/>
    <w:hidden/>
    <w:uiPriority w:val="99"/>
    <w:semiHidden/>
    <w:rsid w:val="00C10724"/>
    <w:pPr>
      <w:jc w:val="left"/>
    </w:pPr>
    <w:rPr>
      <w:rFonts w:ascii="Arial" w:hAnsi="Arial"/>
      <w:b w:val="0"/>
      <w:bCs w:val="0"/>
    </w:rPr>
  </w:style>
  <w:style w:type="character" w:customStyle="1" w:styleId="UnresolvedMention">
    <w:name w:val="Unresolved Mention"/>
    <w:basedOn w:val="DefaultParagraphFont"/>
    <w:uiPriority w:val="99"/>
    <w:semiHidden/>
    <w:unhideWhenUsed/>
    <w:rsid w:val="004C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22528">
      <w:bodyDiv w:val="1"/>
      <w:marLeft w:val="0"/>
      <w:marRight w:val="0"/>
      <w:marTop w:val="0"/>
      <w:marBottom w:val="0"/>
      <w:divBdr>
        <w:top w:val="none" w:sz="0" w:space="0" w:color="auto"/>
        <w:left w:val="none" w:sz="0" w:space="0" w:color="auto"/>
        <w:bottom w:val="none" w:sz="0" w:space="0" w:color="auto"/>
        <w:right w:val="none" w:sz="0" w:space="0" w:color="auto"/>
      </w:divBdr>
    </w:div>
    <w:div w:id="866020550">
      <w:bodyDiv w:val="1"/>
      <w:marLeft w:val="0"/>
      <w:marRight w:val="0"/>
      <w:marTop w:val="0"/>
      <w:marBottom w:val="0"/>
      <w:divBdr>
        <w:top w:val="none" w:sz="0" w:space="0" w:color="auto"/>
        <w:left w:val="none" w:sz="0" w:space="0" w:color="auto"/>
        <w:bottom w:val="none" w:sz="0" w:space="0" w:color="auto"/>
        <w:right w:val="none" w:sz="0" w:space="0" w:color="auto"/>
      </w:divBdr>
    </w:div>
    <w:div w:id="1373993857">
      <w:bodyDiv w:val="1"/>
      <w:marLeft w:val="0"/>
      <w:marRight w:val="0"/>
      <w:marTop w:val="0"/>
      <w:marBottom w:val="0"/>
      <w:divBdr>
        <w:top w:val="none" w:sz="0" w:space="0" w:color="auto"/>
        <w:left w:val="none" w:sz="0" w:space="0" w:color="auto"/>
        <w:bottom w:val="none" w:sz="0" w:space="0" w:color="auto"/>
        <w:right w:val="none" w:sz="0" w:space="0" w:color="auto"/>
      </w:divBdr>
    </w:div>
    <w:div w:id="17843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abethecebekhuluattorney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latji@mcinc.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llumsmythe@austensmith.co.za" TargetMode="External"/><Relationship Id="rId4" Type="http://schemas.openxmlformats.org/officeDocument/2006/relationships/settings" Target="settings.xml"/><Relationship Id="rId9" Type="http://schemas.openxmlformats.org/officeDocument/2006/relationships/hyperlink" Target="mailto:francois.trichardt@bowmanslaw.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1996%20%282%29%20SA%206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OneDrive\Documents\Custom%20Office%20Templates\IV%20F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12E2-58EC-466C-AD5C-295457CF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 FA</Template>
  <TotalTime>2</TotalTime>
  <Pages>12</Pages>
  <Words>5427</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4</cp:revision>
  <cp:lastPrinted>2024-03-12T07:42:00Z</cp:lastPrinted>
  <dcterms:created xsi:type="dcterms:W3CDTF">2024-03-12T07:11:00Z</dcterms:created>
  <dcterms:modified xsi:type="dcterms:W3CDTF">2024-03-15T12:40:00Z</dcterms:modified>
</cp:coreProperties>
</file>