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788D" w14:textId="60A1236C" w:rsidR="00797128" w:rsidRPr="00322BEC" w:rsidRDefault="002F5639" w:rsidP="009A0798">
      <w:pPr>
        <w:spacing w:line="360" w:lineRule="auto"/>
        <w:jc w:val="center"/>
        <w:rPr>
          <w:b/>
          <w:bCs/>
          <w:lang w:val="en-ZA"/>
        </w:rPr>
      </w:pPr>
      <w:bookmarkStart w:id="0" w:name="_Hlk142542796"/>
      <w:r w:rsidRPr="00322BEC">
        <w:rPr>
          <w:rFonts w:ascii="Times New Roman" w:hAnsi="Times New Roman" w:cs="Times New Roman"/>
          <w:noProof/>
          <w:sz w:val="28"/>
          <w:lang w:val="en-ZA" w:eastAsia="en-ZA"/>
        </w:rPr>
        <w:drawing>
          <wp:inline distT="0" distB="0" distL="0" distR="0" wp14:anchorId="1D8603ED" wp14:editId="39516953">
            <wp:extent cx="1198880" cy="1112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12520"/>
                    </a:xfrm>
                    <a:prstGeom prst="rect">
                      <a:avLst/>
                    </a:prstGeom>
                    <a:noFill/>
                    <a:ln>
                      <a:noFill/>
                    </a:ln>
                  </pic:spPr>
                </pic:pic>
              </a:graphicData>
            </a:graphic>
          </wp:inline>
        </w:drawing>
      </w:r>
    </w:p>
    <w:p w14:paraId="7F138E19" w14:textId="758DB5EF" w:rsidR="004F08EB" w:rsidRPr="00322BEC" w:rsidRDefault="004F08EB" w:rsidP="009A0798">
      <w:pPr>
        <w:spacing w:line="360" w:lineRule="auto"/>
        <w:jc w:val="center"/>
        <w:rPr>
          <w:b/>
          <w:bCs/>
          <w:lang w:val="en-ZA"/>
        </w:rPr>
      </w:pPr>
      <w:r w:rsidRPr="00322BEC">
        <w:rPr>
          <w:b/>
          <w:bCs/>
          <w:lang w:val="en-ZA"/>
        </w:rPr>
        <w:t>IN THE HIGH COURT OF SOUTH AFRICA</w:t>
      </w:r>
    </w:p>
    <w:p w14:paraId="2C3F6266" w14:textId="3792E314" w:rsidR="004F08EB" w:rsidRPr="00322BEC" w:rsidRDefault="004F08EB" w:rsidP="009A0798">
      <w:pPr>
        <w:spacing w:line="360" w:lineRule="auto"/>
        <w:jc w:val="center"/>
        <w:rPr>
          <w:b/>
          <w:bCs/>
          <w:lang w:val="en-ZA"/>
        </w:rPr>
      </w:pPr>
      <w:r w:rsidRPr="00322BEC">
        <w:rPr>
          <w:b/>
          <w:bCs/>
          <w:lang w:val="en-ZA"/>
        </w:rPr>
        <w:t xml:space="preserve">KWAZULU-NATAL DIVISION, </w:t>
      </w:r>
      <w:r w:rsidR="00782715" w:rsidRPr="00322BEC">
        <w:rPr>
          <w:b/>
          <w:bCs/>
          <w:lang w:val="en-ZA"/>
        </w:rPr>
        <w:t>PIETERMARITZBURG</w:t>
      </w:r>
    </w:p>
    <w:p w14:paraId="46248ACC" w14:textId="3D98C414" w:rsidR="004F08EB" w:rsidRPr="00E04A06" w:rsidRDefault="00E04A06" w:rsidP="00E04A06">
      <w:pPr>
        <w:rPr>
          <w:rFonts w:ascii="Courier New" w:hAnsi="Courier New"/>
          <w:color w:val="FF0000"/>
          <w:u w:val="single"/>
        </w:rPr>
      </w:pPr>
      <w:r>
        <w:rPr>
          <w:rFonts w:cs="Arial"/>
          <w:color w:val="FF0000"/>
        </w:rPr>
        <w:t>Editorial note: Certain information has been redacted from this judgment in compliance with the law.</w:t>
      </w:r>
    </w:p>
    <w:p w14:paraId="02ED954C" w14:textId="50EC63DB" w:rsidR="004F08EB" w:rsidRPr="00322BEC" w:rsidRDefault="004F08EB" w:rsidP="009A0798">
      <w:pPr>
        <w:spacing w:line="360" w:lineRule="auto"/>
        <w:jc w:val="right"/>
        <w:rPr>
          <w:b/>
          <w:bCs/>
          <w:lang w:val="en-ZA"/>
        </w:rPr>
      </w:pPr>
      <w:r w:rsidRPr="00322BEC">
        <w:rPr>
          <w:b/>
          <w:bCs/>
          <w:lang w:val="en-ZA"/>
        </w:rPr>
        <w:t xml:space="preserve">CASE NO: </w:t>
      </w:r>
      <w:r w:rsidR="007650B0" w:rsidRPr="00322BEC">
        <w:rPr>
          <w:b/>
          <w:bCs/>
          <w:lang w:val="en-ZA"/>
        </w:rPr>
        <w:t>AR12/2023</w:t>
      </w:r>
    </w:p>
    <w:p w14:paraId="6F852846" w14:textId="77777777" w:rsidR="004F08EB" w:rsidRPr="00322BEC" w:rsidRDefault="004F08EB" w:rsidP="009A0798">
      <w:pPr>
        <w:spacing w:line="360" w:lineRule="auto"/>
        <w:jc w:val="right"/>
        <w:rPr>
          <w:lang w:val="en-ZA"/>
        </w:rPr>
      </w:pPr>
    </w:p>
    <w:p w14:paraId="2236A439" w14:textId="77777777" w:rsidR="004F08EB" w:rsidRPr="00322BEC" w:rsidRDefault="004F08EB" w:rsidP="009A0798">
      <w:pPr>
        <w:spacing w:line="360" w:lineRule="auto"/>
        <w:rPr>
          <w:lang w:val="en-ZA"/>
        </w:rPr>
      </w:pPr>
      <w:r w:rsidRPr="00322BEC">
        <w:rPr>
          <w:lang w:val="en-ZA"/>
        </w:rPr>
        <w:t>In the matter between:</w:t>
      </w:r>
    </w:p>
    <w:p w14:paraId="2546E18C" w14:textId="77777777" w:rsidR="004F08EB" w:rsidRPr="00322BEC" w:rsidRDefault="004F08EB" w:rsidP="009A0798">
      <w:pPr>
        <w:pStyle w:val="Parties"/>
        <w:tabs>
          <w:tab w:val="clear" w:pos="8732"/>
        </w:tabs>
        <w:spacing w:line="360" w:lineRule="auto"/>
        <w:rPr>
          <w:lang w:val="en-ZA"/>
        </w:rPr>
      </w:pPr>
    </w:p>
    <w:p w14:paraId="6E10125C" w14:textId="347B2AC4" w:rsidR="004F08EB" w:rsidRPr="00322BEC" w:rsidRDefault="007650B0" w:rsidP="009A0798">
      <w:pPr>
        <w:pStyle w:val="Parties"/>
        <w:tabs>
          <w:tab w:val="clear" w:pos="8732"/>
          <w:tab w:val="right" w:pos="8505"/>
        </w:tabs>
        <w:spacing w:line="360" w:lineRule="auto"/>
        <w:rPr>
          <w:b w:val="0"/>
          <w:bCs/>
          <w:lang w:val="en-ZA"/>
        </w:rPr>
      </w:pPr>
      <w:r w:rsidRPr="00322BEC">
        <w:rPr>
          <w:lang w:val="en-ZA"/>
        </w:rPr>
        <w:t xml:space="preserve">MDUDUZI PETROS LUNGUSANI MBOTHO </w:t>
      </w:r>
      <w:r w:rsidR="00374759" w:rsidRPr="00322BEC">
        <w:rPr>
          <w:b w:val="0"/>
          <w:bCs/>
          <w:lang w:val="en-ZA"/>
        </w:rPr>
        <w:tab/>
      </w:r>
      <w:r w:rsidR="007E06C5" w:rsidRPr="00322BEC">
        <w:rPr>
          <w:b w:val="0"/>
          <w:bCs/>
          <w:lang w:val="en-ZA"/>
        </w:rPr>
        <w:t>Appellant</w:t>
      </w:r>
    </w:p>
    <w:p w14:paraId="5ECADFEB" w14:textId="77777777" w:rsidR="00675D65" w:rsidRPr="00322BEC" w:rsidRDefault="00675D65" w:rsidP="009A0798">
      <w:pPr>
        <w:pStyle w:val="Parties"/>
        <w:tabs>
          <w:tab w:val="clear" w:pos="8732"/>
          <w:tab w:val="right" w:pos="8505"/>
        </w:tabs>
        <w:spacing w:line="360" w:lineRule="auto"/>
        <w:rPr>
          <w:b w:val="0"/>
          <w:bCs/>
          <w:lang w:val="en-ZA"/>
        </w:rPr>
      </w:pPr>
    </w:p>
    <w:p w14:paraId="56D16509" w14:textId="4B2EE1F1" w:rsidR="00BD0545" w:rsidRPr="00322BEC" w:rsidRDefault="00BD0545" w:rsidP="009A0798">
      <w:pPr>
        <w:pStyle w:val="Parties"/>
        <w:tabs>
          <w:tab w:val="clear" w:pos="8732"/>
          <w:tab w:val="right" w:pos="8505"/>
        </w:tabs>
        <w:spacing w:line="360" w:lineRule="auto"/>
        <w:rPr>
          <w:b w:val="0"/>
          <w:lang w:val="en-ZA"/>
        </w:rPr>
      </w:pPr>
      <w:r w:rsidRPr="00322BEC">
        <w:rPr>
          <w:b w:val="0"/>
          <w:bCs/>
          <w:lang w:val="en-ZA"/>
        </w:rPr>
        <w:t>and</w:t>
      </w:r>
    </w:p>
    <w:p w14:paraId="2B03263A" w14:textId="77777777" w:rsidR="004F08EB" w:rsidRPr="00322BEC" w:rsidRDefault="004F08EB" w:rsidP="009A0798">
      <w:pPr>
        <w:pStyle w:val="Parties"/>
        <w:tabs>
          <w:tab w:val="clear" w:pos="8732"/>
          <w:tab w:val="right" w:pos="8505"/>
        </w:tabs>
        <w:spacing w:line="360" w:lineRule="auto"/>
        <w:rPr>
          <w:b w:val="0"/>
          <w:lang w:val="en-ZA"/>
        </w:rPr>
      </w:pPr>
    </w:p>
    <w:p w14:paraId="3D0CB465" w14:textId="6F4DCE69" w:rsidR="00A54116" w:rsidRPr="00322BEC" w:rsidRDefault="00675D65" w:rsidP="009A0798">
      <w:pPr>
        <w:pStyle w:val="Parties"/>
        <w:tabs>
          <w:tab w:val="clear" w:pos="8732"/>
          <w:tab w:val="right" w:pos="8505"/>
        </w:tabs>
        <w:spacing w:line="360" w:lineRule="auto"/>
        <w:rPr>
          <w:b w:val="0"/>
          <w:lang w:val="en-ZA"/>
        </w:rPr>
      </w:pPr>
      <w:r w:rsidRPr="00322BEC">
        <w:rPr>
          <w:lang w:val="en-ZA"/>
        </w:rPr>
        <w:t>THE STATE</w:t>
      </w:r>
      <w:r w:rsidR="004F08EB" w:rsidRPr="00322BEC">
        <w:rPr>
          <w:lang w:val="en-ZA"/>
        </w:rPr>
        <w:tab/>
      </w:r>
      <w:r w:rsidR="004F08EB" w:rsidRPr="00322BEC">
        <w:rPr>
          <w:b w:val="0"/>
          <w:lang w:val="en-ZA"/>
        </w:rPr>
        <w:t>Respondent</w:t>
      </w:r>
    </w:p>
    <w:p w14:paraId="08545E88" w14:textId="77777777" w:rsidR="004205DA" w:rsidRPr="00322BEC" w:rsidRDefault="004205DA" w:rsidP="009A0798">
      <w:pPr>
        <w:pStyle w:val="Parties"/>
        <w:tabs>
          <w:tab w:val="clear" w:pos="8732"/>
        </w:tabs>
        <w:spacing w:line="360" w:lineRule="auto"/>
        <w:rPr>
          <w:b w:val="0"/>
          <w:lang w:val="en-ZA"/>
        </w:rPr>
      </w:pPr>
    </w:p>
    <w:p w14:paraId="70BE227A" w14:textId="77777777" w:rsidR="009A0798" w:rsidRPr="00322BEC" w:rsidRDefault="009A0798" w:rsidP="009A0798">
      <w:pPr>
        <w:pStyle w:val="TramLines"/>
        <w:spacing w:after="0" w:line="360" w:lineRule="auto"/>
        <w:rPr>
          <w:lang w:val="en-ZA"/>
        </w:rPr>
      </w:pPr>
    </w:p>
    <w:p w14:paraId="0593A892" w14:textId="18D51647" w:rsidR="003506BB" w:rsidRPr="00322BEC" w:rsidRDefault="00BD0545" w:rsidP="009A0798">
      <w:pPr>
        <w:pStyle w:val="TramLines"/>
        <w:spacing w:after="0" w:line="360" w:lineRule="auto"/>
        <w:rPr>
          <w:lang w:val="en-ZA"/>
        </w:rPr>
      </w:pPr>
      <w:r w:rsidRPr="00322BEC">
        <w:rPr>
          <w:lang w:val="en-ZA"/>
        </w:rPr>
        <w:t>ORDER</w:t>
      </w:r>
    </w:p>
    <w:p w14:paraId="61A1988C" w14:textId="77777777" w:rsidR="009A0798" w:rsidRPr="00322BEC" w:rsidRDefault="009A0798" w:rsidP="009A0798">
      <w:pPr>
        <w:pStyle w:val="1"/>
        <w:numPr>
          <w:ilvl w:val="0"/>
          <w:numId w:val="0"/>
        </w:numPr>
        <w:spacing w:before="0"/>
        <w:rPr>
          <w:lang w:val="en-ZA"/>
        </w:rPr>
      </w:pPr>
    </w:p>
    <w:p w14:paraId="590DE7C1" w14:textId="3EA3FDC0" w:rsidR="003506BB" w:rsidRPr="00322BEC" w:rsidRDefault="009A0798" w:rsidP="009A0798">
      <w:pPr>
        <w:pStyle w:val="1"/>
        <w:numPr>
          <w:ilvl w:val="0"/>
          <w:numId w:val="0"/>
        </w:numPr>
        <w:spacing w:before="0"/>
        <w:rPr>
          <w:lang w:val="en-ZA"/>
        </w:rPr>
      </w:pPr>
      <w:r w:rsidRPr="00322BEC">
        <w:rPr>
          <w:b/>
          <w:lang w:val="en-ZA"/>
        </w:rPr>
        <w:t>On appeal from</w:t>
      </w:r>
      <w:r w:rsidRPr="00322BEC">
        <w:rPr>
          <w:lang w:val="en-ZA"/>
        </w:rPr>
        <w:t xml:space="preserve">: </w:t>
      </w:r>
      <w:r w:rsidR="004C3756">
        <w:rPr>
          <w:lang w:val="en-ZA"/>
        </w:rPr>
        <w:t>Durban Regional Court</w:t>
      </w:r>
      <w:r w:rsidRPr="00322BEC">
        <w:rPr>
          <w:lang w:val="en-ZA"/>
        </w:rPr>
        <w:t xml:space="preserve"> (sitting as court of first instance</w:t>
      </w:r>
      <w:r w:rsidR="00F35AEC" w:rsidRPr="00322BEC">
        <w:rPr>
          <w:lang w:val="en-ZA"/>
        </w:rPr>
        <w:t>):</w:t>
      </w:r>
    </w:p>
    <w:p w14:paraId="06DA2EFE" w14:textId="2A1D42A9" w:rsidR="00D848DA" w:rsidRPr="00322BEC" w:rsidRDefault="00EA4FD6" w:rsidP="00EA4FD6">
      <w:pPr>
        <w:pStyle w:val="2"/>
        <w:numPr>
          <w:ilvl w:val="0"/>
          <w:numId w:val="0"/>
        </w:numPr>
        <w:spacing w:before="0"/>
        <w:ind w:left="927" w:hanging="360"/>
        <w:rPr>
          <w:lang w:val="en-ZA"/>
        </w:rPr>
      </w:pPr>
      <w:r w:rsidRPr="00322BEC">
        <w:rPr>
          <w:lang w:val="en-ZA"/>
        </w:rPr>
        <w:t>1.</w:t>
      </w:r>
      <w:r w:rsidRPr="00322BEC">
        <w:rPr>
          <w:lang w:val="en-ZA"/>
        </w:rPr>
        <w:tab/>
      </w:r>
      <w:r w:rsidR="00D848DA" w:rsidRPr="00322BEC">
        <w:rPr>
          <w:lang w:val="en-ZA"/>
        </w:rPr>
        <w:t>The appeal is upheld.</w:t>
      </w:r>
    </w:p>
    <w:p w14:paraId="7391980D" w14:textId="3DA97C95" w:rsidR="00375DD0" w:rsidRPr="00322BEC" w:rsidRDefault="00EA4FD6" w:rsidP="00EA4FD6">
      <w:pPr>
        <w:pStyle w:val="2"/>
        <w:numPr>
          <w:ilvl w:val="0"/>
          <w:numId w:val="0"/>
        </w:numPr>
        <w:spacing w:before="0"/>
        <w:ind w:left="927" w:hanging="360"/>
        <w:rPr>
          <w:lang w:val="en-ZA"/>
        </w:rPr>
      </w:pPr>
      <w:r w:rsidRPr="00322BEC">
        <w:rPr>
          <w:lang w:val="en-ZA"/>
        </w:rPr>
        <w:t>2.</w:t>
      </w:r>
      <w:r w:rsidRPr="00322BEC">
        <w:rPr>
          <w:lang w:val="en-ZA"/>
        </w:rPr>
        <w:tab/>
      </w:r>
      <w:r w:rsidR="00D848DA" w:rsidRPr="00322BEC">
        <w:rPr>
          <w:lang w:val="en-ZA"/>
        </w:rPr>
        <w:t xml:space="preserve">The conviction and sentence </w:t>
      </w:r>
      <w:r w:rsidR="005E797D">
        <w:rPr>
          <w:lang w:val="en-ZA"/>
        </w:rPr>
        <w:t>are</w:t>
      </w:r>
      <w:r w:rsidR="00D848DA" w:rsidRPr="00322BEC">
        <w:rPr>
          <w:lang w:val="en-ZA"/>
        </w:rPr>
        <w:t xml:space="preserve"> set aside. </w:t>
      </w:r>
    </w:p>
    <w:p w14:paraId="7425F2C9" w14:textId="77777777" w:rsidR="002F5639" w:rsidRPr="00322BEC" w:rsidRDefault="002F5639" w:rsidP="009A0798">
      <w:pPr>
        <w:pStyle w:val="1"/>
        <w:numPr>
          <w:ilvl w:val="0"/>
          <w:numId w:val="0"/>
        </w:numPr>
        <w:spacing w:before="0"/>
        <w:ind w:left="720"/>
        <w:rPr>
          <w:lang w:val="en-ZA"/>
        </w:rPr>
      </w:pPr>
    </w:p>
    <w:p w14:paraId="5A74B511" w14:textId="77777777" w:rsidR="009A0798" w:rsidRPr="00322BEC" w:rsidRDefault="009A0798" w:rsidP="009A0798">
      <w:pPr>
        <w:pStyle w:val="TramLines"/>
        <w:tabs>
          <w:tab w:val="clear" w:pos="3780"/>
        </w:tabs>
        <w:spacing w:after="0" w:line="360" w:lineRule="auto"/>
        <w:rPr>
          <w:lang w:val="en-ZA"/>
        </w:rPr>
      </w:pPr>
    </w:p>
    <w:p w14:paraId="052709DF" w14:textId="3B9D65C5" w:rsidR="00066370" w:rsidRPr="00322BEC" w:rsidRDefault="00A54116" w:rsidP="009A0798">
      <w:pPr>
        <w:pStyle w:val="TramLines"/>
        <w:tabs>
          <w:tab w:val="clear" w:pos="3780"/>
        </w:tabs>
        <w:spacing w:after="0" w:line="360" w:lineRule="auto"/>
        <w:rPr>
          <w:lang w:val="en-ZA"/>
        </w:rPr>
      </w:pPr>
      <w:r w:rsidRPr="00322BEC">
        <w:rPr>
          <w:lang w:val="en-ZA"/>
        </w:rPr>
        <w:t>JUDGMENT</w:t>
      </w:r>
    </w:p>
    <w:p w14:paraId="73352FF4" w14:textId="24CD5727" w:rsidR="003506BB" w:rsidRPr="00322BEC" w:rsidRDefault="003506BB" w:rsidP="009A0798">
      <w:pPr>
        <w:spacing w:line="360" w:lineRule="auto"/>
        <w:rPr>
          <w:lang w:val="en-ZA"/>
        </w:rPr>
      </w:pPr>
    </w:p>
    <w:p w14:paraId="11B63236" w14:textId="24E63DA6" w:rsidR="003506BB" w:rsidRPr="00322BEC" w:rsidRDefault="00E141C7" w:rsidP="009A0798">
      <w:pPr>
        <w:spacing w:line="360" w:lineRule="auto"/>
        <w:rPr>
          <w:b/>
          <w:lang w:val="en-ZA"/>
        </w:rPr>
      </w:pPr>
      <w:proofErr w:type="spellStart"/>
      <w:r w:rsidRPr="00322BEC">
        <w:rPr>
          <w:b/>
          <w:lang w:val="en-ZA"/>
        </w:rPr>
        <w:t>Veerasamy</w:t>
      </w:r>
      <w:proofErr w:type="spellEnd"/>
      <w:r w:rsidRPr="00322BEC">
        <w:rPr>
          <w:b/>
          <w:lang w:val="en-ZA"/>
        </w:rPr>
        <w:t xml:space="preserve"> AJ </w:t>
      </w:r>
      <w:r w:rsidR="007650B0" w:rsidRPr="00322BEC">
        <w:rPr>
          <w:b/>
          <w:lang w:val="en-ZA"/>
        </w:rPr>
        <w:t>(</w:t>
      </w:r>
      <w:r w:rsidRPr="00322BEC">
        <w:rPr>
          <w:b/>
          <w:lang w:val="en-ZA"/>
        </w:rPr>
        <w:t xml:space="preserve">Chili J </w:t>
      </w:r>
      <w:r w:rsidR="007650B0" w:rsidRPr="00322BEC">
        <w:rPr>
          <w:b/>
          <w:lang w:val="en-ZA"/>
        </w:rPr>
        <w:t>concurring)</w:t>
      </w:r>
    </w:p>
    <w:p w14:paraId="2035AB04" w14:textId="77777777" w:rsidR="009457A2" w:rsidRPr="00322BEC" w:rsidRDefault="009457A2" w:rsidP="009A0798">
      <w:pPr>
        <w:spacing w:line="360" w:lineRule="auto"/>
        <w:rPr>
          <w:lang w:val="en-ZA"/>
        </w:rPr>
      </w:pPr>
    </w:p>
    <w:p w14:paraId="33AFFAD6" w14:textId="634087E0" w:rsidR="007650B0" w:rsidRPr="00322BEC" w:rsidRDefault="00EA4FD6" w:rsidP="00EA4FD6">
      <w:pPr>
        <w:pStyle w:val="1"/>
        <w:numPr>
          <w:ilvl w:val="0"/>
          <w:numId w:val="0"/>
        </w:numPr>
        <w:tabs>
          <w:tab w:val="left" w:pos="567"/>
        </w:tabs>
        <w:rPr>
          <w:lang w:val="en-ZA"/>
        </w:rPr>
      </w:pPr>
      <w:r w:rsidRPr="00322BEC">
        <w:rPr>
          <w:lang w:val="en-ZA"/>
        </w:rPr>
        <w:lastRenderedPageBreak/>
        <w:t>[1]</w:t>
      </w:r>
      <w:r w:rsidRPr="00322BEC">
        <w:rPr>
          <w:lang w:val="en-ZA"/>
        </w:rPr>
        <w:tab/>
      </w:r>
      <w:r w:rsidR="007650B0" w:rsidRPr="00322BEC">
        <w:rPr>
          <w:lang w:val="en-ZA"/>
        </w:rPr>
        <w:t xml:space="preserve">On 25 November 2020, the </w:t>
      </w:r>
      <w:r w:rsidR="00C13487" w:rsidRPr="00322BEC">
        <w:rPr>
          <w:lang w:val="en-ZA"/>
        </w:rPr>
        <w:t xml:space="preserve">appellant </w:t>
      </w:r>
      <w:r w:rsidR="007650B0" w:rsidRPr="00322BEC">
        <w:rPr>
          <w:lang w:val="en-ZA"/>
        </w:rPr>
        <w:t>was convicted of contravening the provisions of section 3 read with sections 1, 56(1), 57, 59, 60, 61</w:t>
      </w:r>
      <w:r w:rsidR="008849A5" w:rsidRPr="00322BEC">
        <w:rPr>
          <w:lang w:val="en-ZA"/>
        </w:rPr>
        <w:t xml:space="preserve"> of the Criminal Law (Sexual Offences and Related Matters) Amendment Act 32 </w:t>
      </w:r>
      <w:r w:rsidR="00F1281A" w:rsidRPr="00322BEC">
        <w:rPr>
          <w:lang w:val="en-ZA"/>
        </w:rPr>
        <w:t xml:space="preserve">of </w:t>
      </w:r>
      <w:r w:rsidR="008849A5" w:rsidRPr="00322BEC">
        <w:rPr>
          <w:lang w:val="en-ZA"/>
        </w:rPr>
        <w:t>2007,</w:t>
      </w:r>
      <w:r w:rsidR="007650B0" w:rsidRPr="00322BEC">
        <w:rPr>
          <w:lang w:val="en-ZA"/>
        </w:rPr>
        <w:t xml:space="preserve"> read with the provisions of section 51</w:t>
      </w:r>
      <w:r w:rsidR="008849A5" w:rsidRPr="00322BEC">
        <w:rPr>
          <w:lang w:val="en-ZA"/>
        </w:rPr>
        <w:t>,</w:t>
      </w:r>
      <w:r w:rsidR="007650B0" w:rsidRPr="00322BEC">
        <w:rPr>
          <w:lang w:val="en-ZA"/>
        </w:rPr>
        <w:t xml:space="preserve"> </w:t>
      </w:r>
      <w:r w:rsidR="00F1281A" w:rsidRPr="00322BEC">
        <w:rPr>
          <w:lang w:val="en-ZA"/>
        </w:rPr>
        <w:t xml:space="preserve">and </w:t>
      </w:r>
      <w:r w:rsidR="007650B0" w:rsidRPr="00322BEC">
        <w:rPr>
          <w:lang w:val="en-ZA"/>
        </w:rPr>
        <w:t>Part 1</w:t>
      </w:r>
      <w:r w:rsidR="00F1281A" w:rsidRPr="00322BEC">
        <w:rPr>
          <w:lang w:val="en-ZA"/>
        </w:rPr>
        <w:t>of</w:t>
      </w:r>
      <w:r w:rsidR="007650B0" w:rsidRPr="00322BEC">
        <w:rPr>
          <w:lang w:val="en-ZA"/>
        </w:rPr>
        <w:t xml:space="preserve"> Schedule 2 of the Criminal Law Amendment Act105 of 1997.</w:t>
      </w:r>
      <w:r w:rsidR="000B5CF9" w:rsidRPr="00322BEC">
        <w:rPr>
          <w:lang w:val="en-ZA"/>
        </w:rPr>
        <w:t xml:space="preserve"> </w:t>
      </w:r>
    </w:p>
    <w:p w14:paraId="7C8D6B95" w14:textId="77777777" w:rsidR="00145F51" w:rsidRPr="00322BEC" w:rsidRDefault="00145F51" w:rsidP="009A0798">
      <w:pPr>
        <w:pStyle w:val="1"/>
        <w:numPr>
          <w:ilvl w:val="0"/>
          <w:numId w:val="0"/>
        </w:numPr>
        <w:spacing w:before="0"/>
        <w:rPr>
          <w:lang w:val="en-ZA"/>
        </w:rPr>
      </w:pPr>
    </w:p>
    <w:p w14:paraId="2BA7DA4A" w14:textId="3D64E8B7" w:rsidR="000B5CF9" w:rsidRPr="00322BEC" w:rsidRDefault="00EA4FD6" w:rsidP="00EA4FD6">
      <w:pPr>
        <w:pStyle w:val="1"/>
        <w:numPr>
          <w:ilvl w:val="0"/>
          <w:numId w:val="0"/>
        </w:numPr>
        <w:tabs>
          <w:tab w:val="left" w:pos="567"/>
        </w:tabs>
        <w:spacing w:before="0"/>
        <w:rPr>
          <w:lang w:val="en-ZA"/>
        </w:rPr>
      </w:pPr>
      <w:r w:rsidRPr="00322BEC">
        <w:rPr>
          <w:lang w:val="en-ZA"/>
        </w:rPr>
        <w:t>[2]</w:t>
      </w:r>
      <w:r w:rsidRPr="00322BEC">
        <w:rPr>
          <w:lang w:val="en-ZA"/>
        </w:rPr>
        <w:tab/>
      </w:r>
      <w:r w:rsidR="000B5CF9" w:rsidRPr="00322BEC">
        <w:rPr>
          <w:lang w:val="en-ZA"/>
        </w:rPr>
        <w:t xml:space="preserve">The </w:t>
      </w:r>
      <w:r w:rsidR="008849A5" w:rsidRPr="00322BEC">
        <w:rPr>
          <w:lang w:val="en-ZA"/>
        </w:rPr>
        <w:t xml:space="preserve">appellant </w:t>
      </w:r>
      <w:r w:rsidR="000B5CF9" w:rsidRPr="00322BEC">
        <w:rPr>
          <w:lang w:val="en-ZA"/>
        </w:rPr>
        <w:t>had been charged with unlawfully and intentionally committing an act of sexual penetration with a minor female child</w:t>
      </w:r>
      <w:r w:rsidR="00200709" w:rsidRPr="00322BEC">
        <w:rPr>
          <w:lang w:val="en-ZA"/>
        </w:rPr>
        <w:t>,</w:t>
      </w:r>
      <w:r w:rsidR="000B5CF9" w:rsidRPr="00322BEC">
        <w:rPr>
          <w:lang w:val="en-ZA"/>
        </w:rPr>
        <w:t xml:space="preserve"> who at the time was 10 years old, by inserting </w:t>
      </w:r>
      <w:r w:rsidR="000B5CF9" w:rsidRPr="00322BEC">
        <w:rPr>
          <w:i/>
          <w:iCs w:val="0"/>
          <w:lang w:val="en-ZA"/>
        </w:rPr>
        <w:t>‘his genital organ into her genital organ on diverse occasions’</w:t>
      </w:r>
      <w:r w:rsidR="000B5CF9" w:rsidRPr="00322BEC">
        <w:rPr>
          <w:lang w:val="en-ZA"/>
        </w:rPr>
        <w:t xml:space="preserve">. He was subsequently sentenced to 20 </w:t>
      </w:r>
      <w:proofErr w:type="gramStart"/>
      <w:r w:rsidR="000B5CF9" w:rsidRPr="00322BEC">
        <w:rPr>
          <w:lang w:val="en-ZA"/>
        </w:rPr>
        <w:t>years</w:t>
      </w:r>
      <w:proofErr w:type="gramEnd"/>
      <w:r w:rsidR="000B5CF9" w:rsidRPr="00322BEC">
        <w:rPr>
          <w:lang w:val="en-ZA"/>
        </w:rPr>
        <w:t xml:space="preserve"> imprisonment. </w:t>
      </w:r>
    </w:p>
    <w:p w14:paraId="3D7D857C" w14:textId="77777777" w:rsidR="00145F51" w:rsidRPr="00322BEC" w:rsidRDefault="00145F51" w:rsidP="009A0798">
      <w:pPr>
        <w:pStyle w:val="1"/>
        <w:numPr>
          <w:ilvl w:val="0"/>
          <w:numId w:val="0"/>
        </w:numPr>
        <w:spacing w:before="0"/>
        <w:rPr>
          <w:lang w:val="en-ZA"/>
        </w:rPr>
      </w:pPr>
    </w:p>
    <w:p w14:paraId="3E3AE524" w14:textId="3EC241D9" w:rsidR="00145F51" w:rsidRPr="00322BEC" w:rsidRDefault="00EA4FD6" w:rsidP="00EA4FD6">
      <w:pPr>
        <w:pStyle w:val="1"/>
        <w:numPr>
          <w:ilvl w:val="0"/>
          <w:numId w:val="0"/>
        </w:numPr>
        <w:tabs>
          <w:tab w:val="left" w:pos="567"/>
        </w:tabs>
        <w:spacing w:before="0"/>
        <w:rPr>
          <w:lang w:val="en-ZA"/>
        </w:rPr>
      </w:pPr>
      <w:r w:rsidRPr="00322BEC">
        <w:rPr>
          <w:lang w:val="en-ZA"/>
        </w:rPr>
        <w:t>[3]</w:t>
      </w:r>
      <w:r w:rsidRPr="00322BEC">
        <w:rPr>
          <w:lang w:val="en-ZA"/>
        </w:rPr>
        <w:tab/>
      </w:r>
      <w:r w:rsidR="000B5CF9" w:rsidRPr="00322BEC">
        <w:rPr>
          <w:lang w:val="en-ZA"/>
        </w:rPr>
        <w:t xml:space="preserve">The </w:t>
      </w:r>
      <w:r w:rsidR="00F1281A" w:rsidRPr="00322BEC">
        <w:rPr>
          <w:lang w:val="en-ZA"/>
        </w:rPr>
        <w:t xml:space="preserve">appellant </w:t>
      </w:r>
      <w:r w:rsidR="000B5CF9" w:rsidRPr="00322BEC">
        <w:rPr>
          <w:lang w:val="en-ZA"/>
        </w:rPr>
        <w:t>appeals both his conviction and sentence.</w:t>
      </w:r>
    </w:p>
    <w:p w14:paraId="2089C75D" w14:textId="50509397" w:rsidR="000B5CF9" w:rsidRPr="00322BEC" w:rsidRDefault="000B5CF9" w:rsidP="009A0798">
      <w:pPr>
        <w:pStyle w:val="1"/>
        <w:numPr>
          <w:ilvl w:val="0"/>
          <w:numId w:val="0"/>
        </w:numPr>
        <w:spacing w:before="0"/>
        <w:rPr>
          <w:lang w:val="en-ZA"/>
        </w:rPr>
      </w:pPr>
      <w:r w:rsidRPr="00322BEC">
        <w:rPr>
          <w:lang w:val="en-ZA"/>
        </w:rPr>
        <w:t xml:space="preserve"> </w:t>
      </w:r>
    </w:p>
    <w:p w14:paraId="753D7972" w14:textId="0F90BD7E" w:rsidR="00200709" w:rsidRPr="00322BEC" w:rsidRDefault="00EA4FD6" w:rsidP="00EA4FD6">
      <w:pPr>
        <w:pStyle w:val="1"/>
        <w:numPr>
          <w:ilvl w:val="0"/>
          <w:numId w:val="0"/>
        </w:numPr>
        <w:tabs>
          <w:tab w:val="left" w:pos="567"/>
        </w:tabs>
        <w:spacing w:before="0"/>
        <w:rPr>
          <w:lang w:val="en-ZA"/>
        </w:rPr>
      </w:pPr>
      <w:r w:rsidRPr="00322BEC">
        <w:rPr>
          <w:lang w:val="en-ZA"/>
        </w:rPr>
        <w:t>[4]</w:t>
      </w:r>
      <w:r w:rsidRPr="00322BEC">
        <w:rPr>
          <w:lang w:val="en-ZA"/>
        </w:rPr>
        <w:tab/>
      </w:r>
      <w:r w:rsidR="000B5CF9" w:rsidRPr="00322BEC">
        <w:rPr>
          <w:lang w:val="en-ZA"/>
        </w:rPr>
        <w:t xml:space="preserve">During the trial, the State called </w:t>
      </w:r>
      <w:r w:rsidR="00517013" w:rsidRPr="00322BEC">
        <w:rPr>
          <w:lang w:val="en-ZA"/>
        </w:rPr>
        <w:t xml:space="preserve">four </w:t>
      </w:r>
      <w:r w:rsidR="000B5CF9" w:rsidRPr="00322BEC">
        <w:rPr>
          <w:lang w:val="en-ZA"/>
        </w:rPr>
        <w:t>witnesses. The first witness was the complainant</w:t>
      </w:r>
      <w:r w:rsidR="00A35B76" w:rsidRPr="00322BEC">
        <w:rPr>
          <w:lang w:val="en-ZA"/>
        </w:rPr>
        <w:t xml:space="preserve">, the minor child. She testified that at the time of the </w:t>
      </w:r>
      <w:r w:rsidR="00200709" w:rsidRPr="00322BEC">
        <w:rPr>
          <w:lang w:val="en-ZA"/>
        </w:rPr>
        <w:t xml:space="preserve">alleged </w:t>
      </w:r>
      <w:r w:rsidR="00A35B76" w:rsidRPr="00322BEC">
        <w:rPr>
          <w:lang w:val="en-ZA"/>
        </w:rPr>
        <w:t xml:space="preserve">incident she lived with her mother, her </w:t>
      </w:r>
      <w:r w:rsidR="00200709" w:rsidRPr="00322BEC">
        <w:rPr>
          <w:lang w:val="en-ZA"/>
        </w:rPr>
        <w:t>four-year-old</w:t>
      </w:r>
      <w:r w:rsidR="00A35B76" w:rsidRPr="00322BEC">
        <w:rPr>
          <w:lang w:val="en-ZA"/>
        </w:rPr>
        <w:t xml:space="preserve"> </w:t>
      </w:r>
      <w:r w:rsidR="00200709" w:rsidRPr="00322BEC">
        <w:rPr>
          <w:lang w:val="en-ZA"/>
        </w:rPr>
        <w:t>brother,</w:t>
      </w:r>
      <w:r w:rsidR="00A35B76" w:rsidRPr="00322BEC">
        <w:rPr>
          <w:lang w:val="en-ZA"/>
        </w:rPr>
        <w:t xml:space="preserve"> and the </w:t>
      </w:r>
      <w:r w:rsidR="00322BEC" w:rsidRPr="00322BEC">
        <w:rPr>
          <w:lang w:val="en-ZA"/>
        </w:rPr>
        <w:t xml:space="preserve">appellant, </w:t>
      </w:r>
      <w:r w:rsidR="00A35B76" w:rsidRPr="00322BEC">
        <w:rPr>
          <w:lang w:val="en-ZA"/>
        </w:rPr>
        <w:t xml:space="preserve">who she called her step-father. </w:t>
      </w:r>
    </w:p>
    <w:p w14:paraId="43C4C80C" w14:textId="77777777" w:rsidR="00145F51" w:rsidRPr="00322BEC" w:rsidRDefault="00145F51" w:rsidP="009A0798">
      <w:pPr>
        <w:pStyle w:val="1"/>
        <w:numPr>
          <w:ilvl w:val="0"/>
          <w:numId w:val="0"/>
        </w:numPr>
        <w:spacing w:before="0"/>
        <w:rPr>
          <w:lang w:val="en-ZA"/>
        </w:rPr>
      </w:pPr>
    </w:p>
    <w:p w14:paraId="06D7A872" w14:textId="555DEE6D" w:rsidR="00200709" w:rsidRPr="00322BEC" w:rsidRDefault="00EA4FD6" w:rsidP="00EA4FD6">
      <w:pPr>
        <w:pStyle w:val="1"/>
        <w:numPr>
          <w:ilvl w:val="0"/>
          <w:numId w:val="0"/>
        </w:numPr>
        <w:tabs>
          <w:tab w:val="left" w:pos="567"/>
        </w:tabs>
        <w:spacing w:before="0"/>
        <w:rPr>
          <w:lang w:val="en-ZA"/>
        </w:rPr>
      </w:pPr>
      <w:r w:rsidRPr="00322BEC">
        <w:rPr>
          <w:lang w:val="en-ZA"/>
        </w:rPr>
        <w:t>[5]</w:t>
      </w:r>
      <w:r w:rsidRPr="00322BEC">
        <w:rPr>
          <w:lang w:val="en-ZA"/>
        </w:rPr>
        <w:tab/>
      </w:r>
      <w:r w:rsidR="00A35B76" w:rsidRPr="00322BEC">
        <w:rPr>
          <w:lang w:val="en-ZA"/>
        </w:rPr>
        <w:t xml:space="preserve">She could not recall the exact date when the incident </w:t>
      </w:r>
      <w:r w:rsidR="00200709" w:rsidRPr="00322BEC">
        <w:rPr>
          <w:lang w:val="en-ZA"/>
        </w:rPr>
        <w:t xml:space="preserve">had </w:t>
      </w:r>
      <w:r w:rsidR="00A35B76" w:rsidRPr="00322BEC">
        <w:rPr>
          <w:lang w:val="en-ZA"/>
        </w:rPr>
        <w:t xml:space="preserve">occurred but could recall that it had happened in 2019 at the beginning of the year, since she was already going to school. She testified that she lived together with her family and the </w:t>
      </w:r>
      <w:r w:rsidR="00046D0C" w:rsidRPr="00322BEC">
        <w:rPr>
          <w:lang w:val="en-ZA"/>
        </w:rPr>
        <w:t xml:space="preserve">appellant </w:t>
      </w:r>
      <w:r w:rsidR="00A35B76" w:rsidRPr="00322BEC">
        <w:rPr>
          <w:lang w:val="en-ZA"/>
        </w:rPr>
        <w:t xml:space="preserve">in a one-roomed house where the </w:t>
      </w:r>
      <w:r w:rsidR="00046D0C" w:rsidRPr="00322BEC">
        <w:rPr>
          <w:lang w:val="en-ZA"/>
        </w:rPr>
        <w:t xml:space="preserve">appellant </w:t>
      </w:r>
      <w:r w:rsidR="00A35B76" w:rsidRPr="00322BEC">
        <w:rPr>
          <w:lang w:val="en-ZA"/>
        </w:rPr>
        <w:t xml:space="preserve">and her mother slept on a </w:t>
      </w:r>
      <w:r w:rsidR="00D144E4" w:rsidRPr="00322BEC">
        <w:rPr>
          <w:lang w:val="en-ZA"/>
        </w:rPr>
        <w:t>bed,</w:t>
      </w:r>
      <w:r w:rsidR="00A35B76" w:rsidRPr="00322BEC">
        <w:rPr>
          <w:lang w:val="en-ZA"/>
        </w:rPr>
        <w:t xml:space="preserve"> and she slept on the floor on a sponge mattress. </w:t>
      </w:r>
    </w:p>
    <w:p w14:paraId="5FB4F788" w14:textId="77777777" w:rsidR="00145F51" w:rsidRPr="00322BEC" w:rsidRDefault="00145F51" w:rsidP="009A0798">
      <w:pPr>
        <w:pStyle w:val="1"/>
        <w:numPr>
          <w:ilvl w:val="0"/>
          <w:numId w:val="0"/>
        </w:numPr>
        <w:spacing w:before="0"/>
        <w:rPr>
          <w:lang w:val="en-ZA"/>
        </w:rPr>
      </w:pPr>
    </w:p>
    <w:p w14:paraId="5456C63E" w14:textId="18A6E2F7" w:rsidR="000B5CF9" w:rsidRPr="00322BEC" w:rsidRDefault="00EA4FD6" w:rsidP="00EA4FD6">
      <w:pPr>
        <w:pStyle w:val="1"/>
        <w:numPr>
          <w:ilvl w:val="0"/>
          <w:numId w:val="0"/>
        </w:numPr>
        <w:tabs>
          <w:tab w:val="left" w:pos="567"/>
        </w:tabs>
        <w:spacing w:before="0"/>
        <w:rPr>
          <w:lang w:val="en-ZA"/>
        </w:rPr>
      </w:pPr>
      <w:r w:rsidRPr="00322BEC">
        <w:rPr>
          <w:lang w:val="en-ZA"/>
        </w:rPr>
        <w:t>[6]</w:t>
      </w:r>
      <w:r w:rsidRPr="00322BEC">
        <w:rPr>
          <w:lang w:val="en-ZA"/>
        </w:rPr>
        <w:tab/>
      </w:r>
      <w:r w:rsidR="00A35B76" w:rsidRPr="00322BEC">
        <w:rPr>
          <w:lang w:val="en-ZA"/>
        </w:rPr>
        <w:t xml:space="preserve">On the day of the </w:t>
      </w:r>
      <w:r w:rsidR="00200709" w:rsidRPr="00322BEC">
        <w:rPr>
          <w:lang w:val="en-ZA"/>
        </w:rPr>
        <w:t>alleged</w:t>
      </w:r>
      <w:r w:rsidR="00A35B76" w:rsidRPr="00322BEC">
        <w:rPr>
          <w:lang w:val="en-ZA"/>
        </w:rPr>
        <w:t xml:space="preserve"> incident, her mother had gone to </w:t>
      </w:r>
      <w:r w:rsidR="00D144E4" w:rsidRPr="00322BEC">
        <w:rPr>
          <w:lang w:val="en-ZA"/>
        </w:rPr>
        <w:t>Emalangeni,</w:t>
      </w:r>
      <w:r w:rsidR="00200709" w:rsidRPr="00322BEC">
        <w:rPr>
          <w:lang w:val="en-ZA"/>
        </w:rPr>
        <w:t xml:space="preserve"> and it was just the </w:t>
      </w:r>
      <w:r w:rsidR="00002C4B" w:rsidRPr="00322BEC">
        <w:rPr>
          <w:lang w:val="en-ZA"/>
        </w:rPr>
        <w:t>appellant</w:t>
      </w:r>
      <w:r w:rsidR="005E797D">
        <w:rPr>
          <w:lang w:val="en-ZA"/>
        </w:rPr>
        <w:t xml:space="preserve"> </w:t>
      </w:r>
      <w:r w:rsidR="00200709" w:rsidRPr="00322BEC">
        <w:rPr>
          <w:lang w:val="en-ZA"/>
        </w:rPr>
        <w:t>and her at home</w:t>
      </w:r>
      <w:r w:rsidR="00A35B76" w:rsidRPr="00322BEC">
        <w:rPr>
          <w:lang w:val="en-ZA"/>
        </w:rPr>
        <w:t xml:space="preserve">. She testified that, during the night, while she was asleep on her sponge mattress, the </w:t>
      </w:r>
      <w:r w:rsidR="00152930" w:rsidRPr="00322BEC">
        <w:rPr>
          <w:lang w:val="en-ZA"/>
        </w:rPr>
        <w:t xml:space="preserve">appellant </w:t>
      </w:r>
      <w:r w:rsidR="00A35B76" w:rsidRPr="00322BEC">
        <w:rPr>
          <w:lang w:val="en-ZA"/>
        </w:rPr>
        <w:t xml:space="preserve">woke up and came down off his bed. She did not see him do </w:t>
      </w:r>
      <w:r w:rsidR="00200709" w:rsidRPr="00322BEC">
        <w:rPr>
          <w:lang w:val="en-ZA"/>
        </w:rPr>
        <w:t>so but</w:t>
      </w:r>
      <w:r w:rsidR="00A35B76" w:rsidRPr="00322BEC">
        <w:rPr>
          <w:lang w:val="en-ZA"/>
        </w:rPr>
        <w:t xml:space="preserve"> saw a person standing up. The person who </w:t>
      </w:r>
      <w:r w:rsidR="00200709" w:rsidRPr="00322BEC">
        <w:rPr>
          <w:lang w:val="en-ZA"/>
        </w:rPr>
        <w:t>was standing up</w:t>
      </w:r>
      <w:r w:rsidR="00A35B76" w:rsidRPr="00322BEC">
        <w:rPr>
          <w:lang w:val="en-ZA"/>
        </w:rPr>
        <w:t xml:space="preserve"> climbed on top of her and thereafter inserted his penis into her vagina. She </w:t>
      </w:r>
      <w:r w:rsidR="00AE0D8E" w:rsidRPr="00322BEC">
        <w:rPr>
          <w:lang w:val="en-ZA"/>
        </w:rPr>
        <w:t>testified</w:t>
      </w:r>
      <w:r w:rsidR="00A35B76" w:rsidRPr="00322BEC">
        <w:rPr>
          <w:lang w:val="en-ZA"/>
        </w:rPr>
        <w:t xml:space="preserve"> that when she woke up, he ran away. </w:t>
      </w:r>
    </w:p>
    <w:p w14:paraId="1E070AE3" w14:textId="77777777" w:rsidR="00145F51" w:rsidRPr="00322BEC" w:rsidRDefault="00145F51" w:rsidP="009A0798">
      <w:pPr>
        <w:pStyle w:val="1"/>
        <w:numPr>
          <w:ilvl w:val="0"/>
          <w:numId w:val="0"/>
        </w:numPr>
        <w:spacing w:before="0"/>
        <w:rPr>
          <w:lang w:val="en-ZA"/>
        </w:rPr>
      </w:pPr>
    </w:p>
    <w:p w14:paraId="7C9D21E1" w14:textId="4A4A1F7D" w:rsidR="00A35B76" w:rsidRPr="00322BEC" w:rsidRDefault="00EA4FD6" w:rsidP="00EA4FD6">
      <w:pPr>
        <w:pStyle w:val="1"/>
        <w:numPr>
          <w:ilvl w:val="0"/>
          <w:numId w:val="0"/>
        </w:numPr>
        <w:tabs>
          <w:tab w:val="left" w:pos="567"/>
        </w:tabs>
        <w:spacing w:before="0"/>
        <w:rPr>
          <w:lang w:val="en-ZA"/>
        </w:rPr>
      </w:pPr>
      <w:r w:rsidRPr="00322BEC">
        <w:rPr>
          <w:lang w:val="en-ZA"/>
        </w:rPr>
        <w:t>[7]</w:t>
      </w:r>
      <w:r w:rsidRPr="00322BEC">
        <w:rPr>
          <w:lang w:val="en-ZA"/>
        </w:rPr>
        <w:tab/>
      </w:r>
      <w:r w:rsidR="00A35B76" w:rsidRPr="00322BEC">
        <w:rPr>
          <w:lang w:val="en-ZA"/>
        </w:rPr>
        <w:t xml:space="preserve">Under examination </w:t>
      </w:r>
      <w:r w:rsidR="0092553B" w:rsidRPr="00322BEC">
        <w:rPr>
          <w:lang w:val="en-ZA"/>
        </w:rPr>
        <w:t xml:space="preserve">in chief, she stated that once the alleged rape had occurred, she moved as she wanted to talk the person who had run back to the bed. She then </w:t>
      </w:r>
      <w:r w:rsidR="0092553B" w:rsidRPr="00322BEC">
        <w:rPr>
          <w:lang w:val="en-ZA"/>
        </w:rPr>
        <w:lastRenderedPageBreak/>
        <w:t xml:space="preserve">testified that she spoke to the </w:t>
      </w:r>
      <w:r w:rsidR="00152930" w:rsidRPr="00322BEC">
        <w:rPr>
          <w:lang w:val="en-ZA"/>
        </w:rPr>
        <w:t xml:space="preserve">appellant </w:t>
      </w:r>
      <w:r w:rsidR="0092553B" w:rsidRPr="00322BEC">
        <w:rPr>
          <w:lang w:val="en-ZA"/>
        </w:rPr>
        <w:t xml:space="preserve">who advised that no-one had entered the room. He then woke up and proceeded to leave for work. </w:t>
      </w:r>
    </w:p>
    <w:p w14:paraId="47D05ADB" w14:textId="77777777" w:rsidR="00145F51" w:rsidRPr="00322BEC" w:rsidRDefault="00145F51" w:rsidP="009A0798">
      <w:pPr>
        <w:pStyle w:val="1"/>
        <w:numPr>
          <w:ilvl w:val="0"/>
          <w:numId w:val="0"/>
        </w:numPr>
        <w:spacing w:before="0"/>
        <w:rPr>
          <w:lang w:val="en-ZA"/>
        </w:rPr>
      </w:pPr>
    </w:p>
    <w:p w14:paraId="086EA271" w14:textId="40F3211D" w:rsidR="00975E8D" w:rsidRPr="00322BEC" w:rsidRDefault="00EA4FD6" w:rsidP="00EA4FD6">
      <w:pPr>
        <w:pStyle w:val="1"/>
        <w:numPr>
          <w:ilvl w:val="0"/>
          <w:numId w:val="0"/>
        </w:numPr>
        <w:tabs>
          <w:tab w:val="left" w:pos="567"/>
        </w:tabs>
        <w:spacing w:before="0"/>
        <w:rPr>
          <w:lang w:val="en-ZA"/>
        </w:rPr>
      </w:pPr>
      <w:r w:rsidRPr="00322BEC">
        <w:rPr>
          <w:lang w:val="en-ZA"/>
        </w:rPr>
        <w:t>[8]</w:t>
      </w:r>
      <w:r w:rsidRPr="00322BEC">
        <w:rPr>
          <w:lang w:val="en-ZA"/>
        </w:rPr>
        <w:tab/>
      </w:r>
      <w:r w:rsidR="0092553B" w:rsidRPr="00322BEC">
        <w:rPr>
          <w:lang w:val="en-ZA"/>
        </w:rPr>
        <w:t xml:space="preserve">She testified that the room in which </w:t>
      </w:r>
      <w:r w:rsidR="00200709" w:rsidRPr="00322BEC">
        <w:rPr>
          <w:lang w:val="en-ZA"/>
        </w:rPr>
        <w:t xml:space="preserve">they all slept </w:t>
      </w:r>
      <w:r w:rsidR="0092553B" w:rsidRPr="00322BEC">
        <w:rPr>
          <w:lang w:val="en-ZA"/>
        </w:rPr>
        <w:t xml:space="preserve">was locked and she saw the </w:t>
      </w:r>
      <w:r w:rsidR="001C387A" w:rsidRPr="00322BEC">
        <w:rPr>
          <w:lang w:val="en-ZA"/>
        </w:rPr>
        <w:t xml:space="preserve">appellant </w:t>
      </w:r>
      <w:r w:rsidR="0092553B" w:rsidRPr="00322BEC">
        <w:rPr>
          <w:lang w:val="en-ZA"/>
        </w:rPr>
        <w:t xml:space="preserve">opening the door with a key before leaving the room. All of the windows in the room were closed. After the </w:t>
      </w:r>
      <w:r w:rsidR="001C387A" w:rsidRPr="00322BEC">
        <w:rPr>
          <w:lang w:val="en-ZA"/>
        </w:rPr>
        <w:t xml:space="preserve">appellant </w:t>
      </w:r>
      <w:r w:rsidR="0092553B" w:rsidRPr="00322BEC">
        <w:rPr>
          <w:lang w:val="en-ZA"/>
        </w:rPr>
        <w:t xml:space="preserve">had left for work, she bathed herself and went to school. When she came back home, she attended to her chores and then went out to play with her friends. </w:t>
      </w:r>
    </w:p>
    <w:p w14:paraId="5B4D5963" w14:textId="77777777" w:rsidR="00145F51" w:rsidRPr="00322BEC" w:rsidRDefault="00145F51" w:rsidP="009A0798">
      <w:pPr>
        <w:pStyle w:val="1"/>
        <w:numPr>
          <w:ilvl w:val="0"/>
          <w:numId w:val="0"/>
        </w:numPr>
        <w:spacing w:before="0"/>
        <w:rPr>
          <w:lang w:val="en-ZA"/>
        </w:rPr>
      </w:pPr>
    </w:p>
    <w:p w14:paraId="4910F210" w14:textId="418FB3D7" w:rsidR="0092553B" w:rsidRPr="00322BEC" w:rsidRDefault="00EA4FD6" w:rsidP="00EA4FD6">
      <w:pPr>
        <w:pStyle w:val="1"/>
        <w:numPr>
          <w:ilvl w:val="0"/>
          <w:numId w:val="0"/>
        </w:numPr>
        <w:tabs>
          <w:tab w:val="left" w:pos="567"/>
        </w:tabs>
        <w:spacing w:before="0"/>
        <w:rPr>
          <w:lang w:val="en-ZA"/>
        </w:rPr>
      </w:pPr>
      <w:r w:rsidRPr="00322BEC">
        <w:rPr>
          <w:lang w:val="en-ZA"/>
        </w:rPr>
        <w:t>[9]</w:t>
      </w:r>
      <w:r w:rsidRPr="00322BEC">
        <w:rPr>
          <w:lang w:val="en-ZA"/>
        </w:rPr>
        <w:tab/>
      </w:r>
      <w:r w:rsidR="00975E8D" w:rsidRPr="00322BEC">
        <w:rPr>
          <w:lang w:val="en-ZA"/>
        </w:rPr>
        <w:t>She thereafter testified that on day</w:t>
      </w:r>
      <w:r w:rsidR="00D22EC0" w:rsidRPr="00322BEC">
        <w:rPr>
          <w:lang w:val="en-ZA"/>
        </w:rPr>
        <w:t xml:space="preserve"> following the incident (</w:t>
      </w:r>
      <w:r w:rsidR="00975E8D" w:rsidRPr="00322BEC">
        <w:rPr>
          <w:lang w:val="en-ZA"/>
        </w:rPr>
        <w:t>which was a Saturday</w:t>
      </w:r>
      <w:r w:rsidR="00D22EC0" w:rsidRPr="00322BEC">
        <w:rPr>
          <w:lang w:val="en-ZA"/>
        </w:rPr>
        <w:t xml:space="preserve">) </w:t>
      </w:r>
      <w:r w:rsidR="00975E8D" w:rsidRPr="00322BEC">
        <w:rPr>
          <w:lang w:val="en-ZA"/>
        </w:rPr>
        <w:t xml:space="preserve">she was in the room watching TV with her younger brother and the </w:t>
      </w:r>
      <w:r w:rsidR="001C387A" w:rsidRPr="00322BEC">
        <w:rPr>
          <w:lang w:val="en-ZA"/>
        </w:rPr>
        <w:t>appellant</w:t>
      </w:r>
      <w:r w:rsidR="00975E8D" w:rsidRPr="00322BEC">
        <w:rPr>
          <w:lang w:val="en-ZA"/>
        </w:rPr>
        <w:t xml:space="preserve">. When her younger brother left the room to go and play with his friends, the </w:t>
      </w:r>
      <w:r w:rsidR="001C387A" w:rsidRPr="00322BEC">
        <w:rPr>
          <w:lang w:val="en-ZA"/>
        </w:rPr>
        <w:t xml:space="preserve">appellant </w:t>
      </w:r>
      <w:r w:rsidR="00975E8D" w:rsidRPr="00322BEC">
        <w:rPr>
          <w:lang w:val="en-ZA"/>
        </w:rPr>
        <w:t xml:space="preserve">requested that she have intercourse with him. She testified that the </w:t>
      </w:r>
      <w:r w:rsidR="001C387A" w:rsidRPr="00322BEC">
        <w:rPr>
          <w:lang w:val="en-ZA"/>
        </w:rPr>
        <w:t xml:space="preserve">appellant </w:t>
      </w:r>
      <w:r w:rsidR="00975E8D" w:rsidRPr="00322BEC">
        <w:rPr>
          <w:lang w:val="en-ZA"/>
        </w:rPr>
        <w:t xml:space="preserve">locked the door and took her to the bed. He undid his belt and took off her underwear. She was able to push him off and tried to run out of the room. The </w:t>
      </w:r>
      <w:r w:rsidR="00240F7C">
        <w:rPr>
          <w:lang w:val="en-ZA"/>
        </w:rPr>
        <w:t>complainant</w:t>
      </w:r>
      <w:r w:rsidR="00975E8D" w:rsidRPr="00322BEC">
        <w:rPr>
          <w:lang w:val="en-ZA"/>
        </w:rPr>
        <w:t xml:space="preserve"> then testified that the </w:t>
      </w:r>
      <w:r w:rsidR="00240F7C" w:rsidRPr="00322BEC">
        <w:rPr>
          <w:lang w:val="en-ZA"/>
        </w:rPr>
        <w:t xml:space="preserve">appellant </w:t>
      </w:r>
      <w:r w:rsidR="00975E8D" w:rsidRPr="00322BEC">
        <w:rPr>
          <w:lang w:val="en-ZA"/>
        </w:rPr>
        <w:t xml:space="preserve">threatened her, but she eventually was able to get out of the room and only returned when her mother came back home. </w:t>
      </w:r>
    </w:p>
    <w:p w14:paraId="3C364CA7" w14:textId="77777777" w:rsidR="00145F51" w:rsidRPr="00322BEC" w:rsidRDefault="00145F51" w:rsidP="009A0798">
      <w:pPr>
        <w:pStyle w:val="1"/>
        <w:numPr>
          <w:ilvl w:val="0"/>
          <w:numId w:val="0"/>
        </w:numPr>
        <w:spacing w:before="0"/>
        <w:rPr>
          <w:lang w:val="en-ZA"/>
        </w:rPr>
      </w:pPr>
    </w:p>
    <w:p w14:paraId="1E5E4D8C" w14:textId="5D23CD81" w:rsidR="003248EB" w:rsidRPr="00322BEC" w:rsidRDefault="00EA4FD6" w:rsidP="00EA4FD6">
      <w:pPr>
        <w:pStyle w:val="1"/>
        <w:numPr>
          <w:ilvl w:val="0"/>
          <w:numId w:val="0"/>
        </w:numPr>
        <w:tabs>
          <w:tab w:val="left" w:pos="567"/>
        </w:tabs>
        <w:spacing w:before="0"/>
        <w:rPr>
          <w:lang w:val="en-ZA"/>
        </w:rPr>
      </w:pPr>
      <w:r w:rsidRPr="00322BEC">
        <w:rPr>
          <w:lang w:val="en-ZA"/>
        </w:rPr>
        <w:t>[10]</w:t>
      </w:r>
      <w:r w:rsidRPr="00322BEC">
        <w:rPr>
          <w:lang w:val="en-ZA"/>
        </w:rPr>
        <w:tab/>
      </w:r>
      <w:r w:rsidR="003248EB" w:rsidRPr="00322BEC">
        <w:rPr>
          <w:lang w:val="en-ZA"/>
        </w:rPr>
        <w:t xml:space="preserve">She testified that the </w:t>
      </w:r>
      <w:r w:rsidR="00240F7C" w:rsidRPr="00322BEC">
        <w:rPr>
          <w:lang w:val="en-ZA"/>
        </w:rPr>
        <w:t xml:space="preserve">appellant </w:t>
      </w:r>
      <w:r w:rsidR="003248EB" w:rsidRPr="00322BEC">
        <w:rPr>
          <w:lang w:val="en-ZA"/>
        </w:rPr>
        <w:t xml:space="preserve">had inserted his penis into her vagina either one or two times, and only on one occasion. She did not tell her mother of the incident because she was afraid. </w:t>
      </w:r>
    </w:p>
    <w:p w14:paraId="1EAC950B" w14:textId="77777777" w:rsidR="00145F51" w:rsidRPr="00322BEC" w:rsidRDefault="00145F51" w:rsidP="009A0798">
      <w:pPr>
        <w:pStyle w:val="1"/>
        <w:numPr>
          <w:ilvl w:val="0"/>
          <w:numId w:val="0"/>
        </w:numPr>
        <w:spacing w:before="0"/>
        <w:rPr>
          <w:lang w:val="en-ZA"/>
        </w:rPr>
      </w:pPr>
    </w:p>
    <w:p w14:paraId="6719C353" w14:textId="7CEC43D9" w:rsidR="003248EB" w:rsidRPr="00322BEC" w:rsidRDefault="00EA4FD6" w:rsidP="00EA4FD6">
      <w:pPr>
        <w:pStyle w:val="1"/>
        <w:numPr>
          <w:ilvl w:val="0"/>
          <w:numId w:val="0"/>
        </w:numPr>
        <w:tabs>
          <w:tab w:val="left" w:pos="567"/>
        </w:tabs>
        <w:spacing w:before="0"/>
        <w:rPr>
          <w:lang w:val="en-ZA"/>
        </w:rPr>
      </w:pPr>
      <w:r w:rsidRPr="00322BEC">
        <w:rPr>
          <w:lang w:val="en-ZA"/>
        </w:rPr>
        <w:t>[11]</w:t>
      </w:r>
      <w:r w:rsidRPr="00322BEC">
        <w:rPr>
          <w:lang w:val="en-ZA"/>
        </w:rPr>
        <w:tab/>
      </w:r>
      <w:r w:rsidR="003248EB" w:rsidRPr="00322BEC">
        <w:rPr>
          <w:lang w:val="en-ZA"/>
        </w:rPr>
        <w:t xml:space="preserve">The </w:t>
      </w:r>
      <w:r w:rsidR="00240F7C">
        <w:rPr>
          <w:lang w:val="en-ZA"/>
        </w:rPr>
        <w:t>complainant</w:t>
      </w:r>
      <w:r w:rsidR="003248EB" w:rsidRPr="00322BEC">
        <w:rPr>
          <w:lang w:val="en-ZA"/>
        </w:rPr>
        <w:t xml:space="preserve"> finally told her aunt, </w:t>
      </w:r>
      <w:r w:rsidR="00040CE5">
        <w:rPr>
          <w:lang w:val="en-ZA"/>
        </w:rPr>
        <w:t xml:space="preserve">Ms </w:t>
      </w:r>
      <w:proofErr w:type="gramStart"/>
      <w:r w:rsidR="00CD1925">
        <w:rPr>
          <w:lang w:val="en-ZA"/>
        </w:rPr>
        <w:t>Z[</w:t>
      </w:r>
      <w:proofErr w:type="gramEnd"/>
      <w:r w:rsidR="00CD1925">
        <w:rPr>
          <w:lang w:val="en-ZA"/>
        </w:rPr>
        <w:t>…]</w:t>
      </w:r>
      <w:r w:rsidR="00040CE5">
        <w:rPr>
          <w:lang w:val="en-ZA"/>
        </w:rPr>
        <w:t xml:space="preserve"> </w:t>
      </w:r>
      <w:r w:rsidR="008A0AD3" w:rsidRPr="00322BEC">
        <w:rPr>
          <w:lang w:val="en-ZA"/>
        </w:rPr>
        <w:t>M</w:t>
      </w:r>
      <w:r w:rsidR="00CD1925">
        <w:rPr>
          <w:lang w:val="en-ZA"/>
        </w:rPr>
        <w:t>[…]</w:t>
      </w:r>
      <w:r w:rsidR="003248EB" w:rsidRPr="00322BEC">
        <w:rPr>
          <w:lang w:val="en-ZA"/>
        </w:rPr>
        <w:t xml:space="preserve">, about the incident. </w:t>
      </w:r>
      <w:r w:rsidR="00240F7C">
        <w:rPr>
          <w:lang w:val="en-ZA"/>
        </w:rPr>
        <w:t xml:space="preserve">Ms </w:t>
      </w:r>
      <w:proofErr w:type="gramStart"/>
      <w:r w:rsidR="00240F7C" w:rsidRPr="00322BEC">
        <w:rPr>
          <w:lang w:val="en-ZA"/>
        </w:rPr>
        <w:t>M</w:t>
      </w:r>
      <w:r w:rsidR="00CD1925">
        <w:rPr>
          <w:lang w:val="en-ZA"/>
        </w:rPr>
        <w:t>[</w:t>
      </w:r>
      <w:proofErr w:type="gramEnd"/>
      <w:r w:rsidR="00CD1925">
        <w:rPr>
          <w:lang w:val="en-ZA"/>
        </w:rPr>
        <w:t>…]</w:t>
      </w:r>
      <w:r w:rsidR="00240F7C" w:rsidRPr="00322BEC">
        <w:rPr>
          <w:lang w:val="en-ZA"/>
        </w:rPr>
        <w:t xml:space="preserve"> </w:t>
      </w:r>
      <w:r w:rsidR="003248EB" w:rsidRPr="00322BEC">
        <w:rPr>
          <w:lang w:val="en-ZA"/>
        </w:rPr>
        <w:t xml:space="preserve">had enquired from the </w:t>
      </w:r>
      <w:r w:rsidR="00240F7C">
        <w:rPr>
          <w:lang w:val="en-ZA"/>
        </w:rPr>
        <w:t>complainant</w:t>
      </w:r>
      <w:r w:rsidR="003248EB" w:rsidRPr="00322BEC">
        <w:rPr>
          <w:lang w:val="en-ZA"/>
        </w:rPr>
        <w:t xml:space="preserve"> as to why she was walking peculiarly when the </w:t>
      </w:r>
      <w:r w:rsidR="00240F7C">
        <w:rPr>
          <w:lang w:val="en-ZA"/>
        </w:rPr>
        <w:t>complainant</w:t>
      </w:r>
      <w:r w:rsidR="003248EB" w:rsidRPr="00322BEC">
        <w:rPr>
          <w:lang w:val="en-ZA"/>
        </w:rPr>
        <w:t xml:space="preserve"> came out of the toilet. On inspection, </w:t>
      </w:r>
      <w:r w:rsidR="00616F36" w:rsidRPr="00322BEC">
        <w:rPr>
          <w:lang w:val="en-ZA"/>
        </w:rPr>
        <w:t>her aunt</w:t>
      </w:r>
      <w:r w:rsidR="003248EB" w:rsidRPr="00322BEC">
        <w:rPr>
          <w:lang w:val="en-ZA"/>
        </w:rPr>
        <w:t xml:space="preserve"> found that there were </w:t>
      </w:r>
      <w:r w:rsidR="008A0AD3" w:rsidRPr="00322BEC">
        <w:rPr>
          <w:lang w:val="en-ZA"/>
        </w:rPr>
        <w:t>‘</w:t>
      </w:r>
      <w:r w:rsidR="003248EB" w:rsidRPr="00322BEC">
        <w:rPr>
          <w:i/>
          <w:iCs w:val="0"/>
          <w:lang w:val="en-ZA"/>
        </w:rPr>
        <w:t>worms</w:t>
      </w:r>
      <w:r w:rsidR="008A0AD3" w:rsidRPr="00322BEC">
        <w:rPr>
          <w:lang w:val="en-ZA"/>
        </w:rPr>
        <w:t>’</w:t>
      </w:r>
      <w:r w:rsidR="003248EB" w:rsidRPr="00322BEC">
        <w:rPr>
          <w:lang w:val="en-ZA"/>
        </w:rPr>
        <w:t xml:space="preserve"> </w:t>
      </w:r>
      <w:r w:rsidR="008A0AD3" w:rsidRPr="00322BEC">
        <w:rPr>
          <w:lang w:val="en-ZA"/>
        </w:rPr>
        <w:t>in and around the</w:t>
      </w:r>
      <w:r w:rsidR="003248EB" w:rsidRPr="00322BEC">
        <w:rPr>
          <w:lang w:val="en-ZA"/>
        </w:rPr>
        <w:t xml:space="preserve"> </w:t>
      </w:r>
      <w:r w:rsidR="00240F7C">
        <w:rPr>
          <w:lang w:val="en-ZA"/>
        </w:rPr>
        <w:t>complainant’s vagina.</w:t>
      </w:r>
      <w:r w:rsidR="00E61D1C" w:rsidRPr="00322BEC">
        <w:rPr>
          <w:lang w:val="en-ZA"/>
        </w:rPr>
        <w:t xml:space="preserve"> </w:t>
      </w:r>
      <w:r w:rsidR="003248EB" w:rsidRPr="00322BEC">
        <w:rPr>
          <w:lang w:val="en-ZA"/>
        </w:rPr>
        <w:t xml:space="preserve">When </w:t>
      </w:r>
      <w:r w:rsidR="00616F36" w:rsidRPr="00322BEC">
        <w:rPr>
          <w:lang w:val="en-ZA"/>
        </w:rPr>
        <w:t>her aunt</w:t>
      </w:r>
      <w:r w:rsidR="003248EB" w:rsidRPr="00322BEC">
        <w:rPr>
          <w:lang w:val="en-ZA"/>
        </w:rPr>
        <w:t xml:space="preserve"> </w:t>
      </w:r>
      <w:r w:rsidR="00E61D1C" w:rsidRPr="00322BEC">
        <w:rPr>
          <w:lang w:val="en-ZA"/>
        </w:rPr>
        <w:t xml:space="preserve">saw the </w:t>
      </w:r>
      <w:r w:rsidR="00240F7C">
        <w:rPr>
          <w:lang w:val="en-ZA"/>
        </w:rPr>
        <w:t>‘</w:t>
      </w:r>
      <w:r w:rsidR="00E61D1C" w:rsidRPr="00322BEC">
        <w:rPr>
          <w:lang w:val="en-ZA"/>
        </w:rPr>
        <w:t>worms</w:t>
      </w:r>
      <w:r w:rsidR="00240F7C">
        <w:rPr>
          <w:lang w:val="en-ZA"/>
        </w:rPr>
        <w:t>’</w:t>
      </w:r>
      <w:r w:rsidR="00E61D1C" w:rsidRPr="00322BEC">
        <w:rPr>
          <w:lang w:val="en-ZA"/>
        </w:rPr>
        <w:t xml:space="preserve"> and enquired as to what had happened, the </w:t>
      </w:r>
      <w:r w:rsidR="00240F7C">
        <w:rPr>
          <w:lang w:val="en-ZA"/>
        </w:rPr>
        <w:t>complainant</w:t>
      </w:r>
      <w:r w:rsidR="00E61D1C" w:rsidRPr="00322BEC">
        <w:rPr>
          <w:lang w:val="en-ZA"/>
        </w:rPr>
        <w:t xml:space="preserve"> advised her of the rape. </w:t>
      </w:r>
    </w:p>
    <w:p w14:paraId="4E949CB5" w14:textId="77777777" w:rsidR="00145F51" w:rsidRPr="00322BEC" w:rsidRDefault="00145F51" w:rsidP="009A0798">
      <w:pPr>
        <w:pStyle w:val="1"/>
        <w:numPr>
          <w:ilvl w:val="0"/>
          <w:numId w:val="0"/>
        </w:numPr>
        <w:spacing w:before="0"/>
        <w:rPr>
          <w:lang w:val="en-ZA"/>
        </w:rPr>
      </w:pPr>
    </w:p>
    <w:p w14:paraId="51530A24" w14:textId="5646960B" w:rsidR="00E61D1C" w:rsidRPr="00322BEC" w:rsidRDefault="00EA4FD6" w:rsidP="00EA4FD6">
      <w:pPr>
        <w:pStyle w:val="1"/>
        <w:numPr>
          <w:ilvl w:val="0"/>
          <w:numId w:val="0"/>
        </w:numPr>
        <w:tabs>
          <w:tab w:val="left" w:pos="567"/>
        </w:tabs>
        <w:spacing w:before="0"/>
        <w:rPr>
          <w:lang w:val="en-ZA"/>
        </w:rPr>
      </w:pPr>
      <w:r w:rsidRPr="00322BEC">
        <w:rPr>
          <w:lang w:val="en-ZA"/>
        </w:rPr>
        <w:t>[12]</w:t>
      </w:r>
      <w:r w:rsidRPr="00322BEC">
        <w:rPr>
          <w:lang w:val="en-ZA"/>
        </w:rPr>
        <w:tab/>
      </w:r>
      <w:r w:rsidR="00E61D1C" w:rsidRPr="00322BEC">
        <w:rPr>
          <w:lang w:val="en-ZA"/>
        </w:rPr>
        <w:t xml:space="preserve">The </w:t>
      </w:r>
      <w:r w:rsidR="00240F7C">
        <w:rPr>
          <w:lang w:val="en-ZA"/>
        </w:rPr>
        <w:t>complainant</w:t>
      </w:r>
      <w:r w:rsidR="00D32643">
        <w:rPr>
          <w:lang w:val="en-ZA"/>
        </w:rPr>
        <w:t>’s</w:t>
      </w:r>
      <w:r w:rsidR="00E61D1C" w:rsidRPr="00322BEC">
        <w:rPr>
          <w:lang w:val="en-ZA"/>
        </w:rPr>
        <w:t xml:space="preserve"> aunt </w:t>
      </w:r>
      <w:r w:rsidR="00D32643">
        <w:rPr>
          <w:lang w:val="en-ZA"/>
        </w:rPr>
        <w:t xml:space="preserve">took her </w:t>
      </w:r>
      <w:r w:rsidR="00E61D1C" w:rsidRPr="00322BEC">
        <w:rPr>
          <w:lang w:val="en-ZA"/>
        </w:rPr>
        <w:t xml:space="preserve">to the </w:t>
      </w:r>
      <w:proofErr w:type="spellStart"/>
      <w:r w:rsidR="00E61D1C" w:rsidRPr="00322BEC">
        <w:rPr>
          <w:lang w:val="en-ZA"/>
        </w:rPr>
        <w:t>Mshiyeni</w:t>
      </w:r>
      <w:proofErr w:type="spellEnd"/>
      <w:r w:rsidR="00E61D1C" w:rsidRPr="00322BEC">
        <w:rPr>
          <w:lang w:val="en-ZA"/>
        </w:rPr>
        <w:t xml:space="preserve"> Hospital where she was examined and given medication. </w:t>
      </w:r>
    </w:p>
    <w:p w14:paraId="36DE84E5" w14:textId="77777777" w:rsidR="00145F51" w:rsidRPr="00322BEC" w:rsidRDefault="00145F51" w:rsidP="009A0798">
      <w:pPr>
        <w:pStyle w:val="1"/>
        <w:numPr>
          <w:ilvl w:val="0"/>
          <w:numId w:val="0"/>
        </w:numPr>
        <w:spacing w:before="0"/>
        <w:rPr>
          <w:lang w:val="en-ZA"/>
        </w:rPr>
      </w:pPr>
    </w:p>
    <w:p w14:paraId="4F2093D2" w14:textId="187186A1" w:rsidR="009379EC" w:rsidRPr="00322BEC" w:rsidRDefault="00EA4FD6" w:rsidP="00EA4FD6">
      <w:pPr>
        <w:pStyle w:val="1"/>
        <w:numPr>
          <w:ilvl w:val="0"/>
          <w:numId w:val="0"/>
        </w:numPr>
        <w:tabs>
          <w:tab w:val="left" w:pos="567"/>
        </w:tabs>
        <w:spacing w:before="0"/>
        <w:rPr>
          <w:lang w:val="en-ZA"/>
        </w:rPr>
      </w:pPr>
      <w:r w:rsidRPr="00322BEC">
        <w:rPr>
          <w:lang w:val="en-ZA"/>
        </w:rPr>
        <w:t>[13]</w:t>
      </w:r>
      <w:r w:rsidRPr="00322BEC">
        <w:rPr>
          <w:lang w:val="en-ZA"/>
        </w:rPr>
        <w:tab/>
      </w:r>
      <w:r w:rsidR="009379EC" w:rsidRPr="00322BEC">
        <w:rPr>
          <w:lang w:val="en-ZA"/>
        </w:rPr>
        <w:t>Under cross-examination</w:t>
      </w:r>
      <w:r w:rsidR="00240F7C">
        <w:rPr>
          <w:lang w:val="en-ZA"/>
        </w:rPr>
        <w:t>,</w:t>
      </w:r>
      <w:r w:rsidR="009379EC" w:rsidRPr="00322BEC">
        <w:rPr>
          <w:lang w:val="en-ZA"/>
        </w:rPr>
        <w:t xml:space="preserve"> the </w:t>
      </w:r>
      <w:r w:rsidR="00240F7C">
        <w:rPr>
          <w:lang w:val="en-ZA"/>
        </w:rPr>
        <w:t>complainant</w:t>
      </w:r>
      <w:r w:rsidR="009379EC" w:rsidRPr="00322BEC">
        <w:rPr>
          <w:lang w:val="en-ZA"/>
        </w:rPr>
        <w:t xml:space="preserve"> testified that the only time she woke up</w:t>
      </w:r>
      <w:r w:rsidR="00240F7C">
        <w:rPr>
          <w:lang w:val="en-ZA"/>
        </w:rPr>
        <w:t xml:space="preserve"> (</w:t>
      </w:r>
      <w:r w:rsidR="008A0AD3" w:rsidRPr="00322BEC">
        <w:rPr>
          <w:lang w:val="en-ZA"/>
        </w:rPr>
        <w:t>during the rape)</w:t>
      </w:r>
      <w:r w:rsidR="009379EC" w:rsidRPr="00322BEC">
        <w:rPr>
          <w:lang w:val="en-ZA"/>
        </w:rPr>
        <w:t xml:space="preserve"> was when she felt the movement of her assailant on top of her. </w:t>
      </w:r>
      <w:r w:rsidR="009379EC" w:rsidRPr="00322BEC">
        <w:rPr>
          <w:lang w:val="en-ZA"/>
        </w:rPr>
        <w:lastRenderedPageBreak/>
        <w:t xml:space="preserve">When her assailant ran away, she testified that she enquired from the </w:t>
      </w:r>
      <w:r w:rsidR="00240F7C" w:rsidRPr="00322BEC">
        <w:rPr>
          <w:lang w:val="en-ZA"/>
        </w:rPr>
        <w:t xml:space="preserve">appellant </w:t>
      </w:r>
      <w:r w:rsidR="009379EC" w:rsidRPr="00322BEC">
        <w:rPr>
          <w:lang w:val="en-ZA"/>
        </w:rPr>
        <w:t xml:space="preserve">as to who had been in the room. </w:t>
      </w:r>
    </w:p>
    <w:p w14:paraId="3176A5C6" w14:textId="77777777" w:rsidR="00145F51" w:rsidRPr="00322BEC" w:rsidRDefault="00145F51" w:rsidP="009A0798">
      <w:pPr>
        <w:pStyle w:val="1"/>
        <w:numPr>
          <w:ilvl w:val="0"/>
          <w:numId w:val="0"/>
        </w:numPr>
        <w:spacing w:before="0"/>
        <w:rPr>
          <w:lang w:val="en-ZA"/>
        </w:rPr>
      </w:pPr>
    </w:p>
    <w:p w14:paraId="464B26BA" w14:textId="2AC771E6" w:rsidR="009379EC" w:rsidRPr="00322BEC" w:rsidRDefault="00EA4FD6" w:rsidP="00EA4FD6">
      <w:pPr>
        <w:pStyle w:val="1"/>
        <w:numPr>
          <w:ilvl w:val="0"/>
          <w:numId w:val="0"/>
        </w:numPr>
        <w:tabs>
          <w:tab w:val="left" w:pos="567"/>
        </w:tabs>
        <w:spacing w:before="0"/>
        <w:rPr>
          <w:lang w:val="en-ZA"/>
        </w:rPr>
      </w:pPr>
      <w:r w:rsidRPr="00322BEC">
        <w:rPr>
          <w:lang w:val="en-ZA"/>
        </w:rPr>
        <w:t>[14]</w:t>
      </w:r>
      <w:r w:rsidRPr="00322BEC">
        <w:rPr>
          <w:lang w:val="en-ZA"/>
        </w:rPr>
        <w:tab/>
      </w:r>
      <w:r w:rsidR="009379EC" w:rsidRPr="00322BEC">
        <w:rPr>
          <w:lang w:val="en-ZA"/>
        </w:rPr>
        <w:t xml:space="preserve">The next witness called by the State was the </w:t>
      </w:r>
      <w:r w:rsidR="00240F7C">
        <w:rPr>
          <w:lang w:val="en-ZA"/>
        </w:rPr>
        <w:t>complainant</w:t>
      </w:r>
      <w:r w:rsidR="009379EC" w:rsidRPr="00322BEC">
        <w:rPr>
          <w:lang w:val="en-ZA"/>
        </w:rPr>
        <w:t>’s aunt</w:t>
      </w:r>
      <w:r w:rsidR="00240F7C">
        <w:rPr>
          <w:lang w:val="en-ZA"/>
        </w:rPr>
        <w:t>,</w:t>
      </w:r>
      <w:r w:rsidR="009379EC" w:rsidRPr="00322BEC">
        <w:rPr>
          <w:lang w:val="en-ZA"/>
        </w:rPr>
        <w:t xml:space="preserve"> </w:t>
      </w:r>
      <w:r w:rsidR="00040CE5">
        <w:rPr>
          <w:lang w:val="en-ZA"/>
        </w:rPr>
        <w:t xml:space="preserve">Ms </w:t>
      </w:r>
      <w:proofErr w:type="gramStart"/>
      <w:r w:rsidR="009379EC" w:rsidRPr="00322BEC">
        <w:rPr>
          <w:lang w:val="en-ZA"/>
        </w:rPr>
        <w:t>M</w:t>
      </w:r>
      <w:r w:rsidR="00CD1925">
        <w:rPr>
          <w:lang w:val="en-ZA"/>
        </w:rPr>
        <w:t>[</w:t>
      </w:r>
      <w:proofErr w:type="gramEnd"/>
      <w:r w:rsidR="00CD1925">
        <w:rPr>
          <w:lang w:val="en-ZA"/>
        </w:rPr>
        <w:t>…]</w:t>
      </w:r>
      <w:r w:rsidR="00616F36" w:rsidRPr="00322BEC">
        <w:rPr>
          <w:lang w:val="en-ZA"/>
        </w:rPr>
        <w:t xml:space="preserve">. </w:t>
      </w:r>
      <w:r w:rsidR="00240F7C">
        <w:rPr>
          <w:lang w:val="en-ZA"/>
        </w:rPr>
        <w:t>Ms</w:t>
      </w:r>
      <w:r w:rsidR="00240F7C" w:rsidRPr="00322BEC">
        <w:rPr>
          <w:lang w:val="en-ZA"/>
        </w:rPr>
        <w:t xml:space="preserve"> </w:t>
      </w:r>
      <w:proofErr w:type="gramStart"/>
      <w:r w:rsidR="00616F36" w:rsidRPr="00322BEC">
        <w:rPr>
          <w:lang w:val="en-ZA"/>
        </w:rPr>
        <w:t>M</w:t>
      </w:r>
      <w:r w:rsidR="00CD1925">
        <w:rPr>
          <w:lang w:val="en-ZA"/>
        </w:rPr>
        <w:t>[</w:t>
      </w:r>
      <w:proofErr w:type="gramEnd"/>
      <w:r w:rsidR="00CD1925">
        <w:rPr>
          <w:lang w:val="en-ZA"/>
        </w:rPr>
        <w:t>…]</w:t>
      </w:r>
      <w:r w:rsidR="00616F36" w:rsidRPr="00322BEC">
        <w:rPr>
          <w:lang w:val="en-ZA"/>
        </w:rPr>
        <w:t xml:space="preserve"> was unable to contribute to the evidence as she had merely been told by </w:t>
      </w:r>
      <w:r w:rsidR="00240F7C">
        <w:rPr>
          <w:lang w:val="en-ZA"/>
        </w:rPr>
        <w:t>complainant</w:t>
      </w:r>
      <w:r w:rsidR="00616F36" w:rsidRPr="00322BEC">
        <w:rPr>
          <w:lang w:val="en-ZA"/>
        </w:rPr>
        <w:t xml:space="preserve"> that she had been raped and had escorted her to hospital. None of her testimony established any elements of the charge proffered </w:t>
      </w:r>
      <w:r w:rsidR="00240F7C">
        <w:rPr>
          <w:lang w:val="en-ZA"/>
        </w:rPr>
        <w:t>against</w:t>
      </w:r>
      <w:r w:rsidR="00240F7C" w:rsidRPr="00322BEC">
        <w:rPr>
          <w:lang w:val="en-ZA"/>
        </w:rPr>
        <w:t xml:space="preserve"> </w:t>
      </w:r>
      <w:r w:rsidR="00616F36" w:rsidRPr="00322BEC">
        <w:rPr>
          <w:lang w:val="en-ZA"/>
        </w:rPr>
        <w:t xml:space="preserve">the </w:t>
      </w:r>
      <w:r w:rsidR="00240F7C" w:rsidRPr="00322BEC">
        <w:rPr>
          <w:lang w:val="en-ZA"/>
        </w:rPr>
        <w:t>appellant</w:t>
      </w:r>
      <w:r w:rsidR="00616F36" w:rsidRPr="00322BEC">
        <w:rPr>
          <w:lang w:val="en-ZA"/>
        </w:rPr>
        <w:t xml:space="preserve">. </w:t>
      </w:r>
    </w:p>
    <w:p w14:paraId="48FA4DFA" w14:textId="77777777" w:rsidR="00145F51" w:rsidRPr="00322BEC" w:rsidRDefault="00145F51" w:rsidP="009A0798">
      <w:pPr>
        <w:pStyle w:val="1"/>
        <w:numPr>
          <w:ilvl w:val="0"/>
          <w:numId w:val="0"/>
        </w:numPr>
        <w:spacing w:before="0"/>
        <w:rPr>
          <w:lang w:val="en-ZA"/>
        </w:rPr>
      </w:pPr>
    </w:p>
    <w:p w14:paraId="01F03117" w14:textId="1C6DCA1E" w:rsidR="008A0AD3" w:rsidRPr="00322BEC" w:rsidRDefault="00EA4FD6" w:rsidP="00EA4FD6">
      <w:pPr>
        <w:pStyle w:val="1"/>
        <w:numPr>
          <w:ilvl w:val="0"/>
          <w:numId w:val="0"/>
        </w:numPr>
        <w:tabs>
          <w:tab w:val="left" w:pos="567"/>
        </w:tabs>
        <w:spacing w:before="0"/>
        <w:rPr>
          <w:lang w:val="en-ZA"/>
        </w:rPr>
      </w:pPr>
      <w:r w:rsidRPr="00322BEC">
        <w:rPr>
          <w:lang w:val="en-ZA"/>
        </w:rPr>
        <w:t>[15]</w:t>
      </w:r>
      <w:r w:rsidRPr="00322BEC">
        <w:rPr>
          <w:lang w:val="en-ZA"/>
        </w:rPr>
        <w:tab/>
      </w:r>
      <w:r w:rsidR="00616F36" w:rsidRPr="00322BEC">
        <w:rPr>
          <w:lang w:val="en-ZA"/>
        </w:rPr>
        <w:t xml:space="preserve">The third witness called by the State was Dr </w:t>
      </w:r>
      <w:proofErr w:type="spellStart"/>
      <w:r w:rsidR="00616F36" w:rsidRPr="00322BEC">
        <w:rPr>
          <w:lang w:val="en-ZA"/>
        </w:rPr>
        <w:t>Zaheed</w:t>
      </w:r>
      <w:proofErr w:type="spellEnd"/>
      <w:r w:rsidR="00616F36" w:rsidRPr="00322BEC">
        <w:rPr>
          <w:lang w:val="en-ZA"/>
        </w:rPr>
        <w:t xml:space="preserve"> Aziz Khan. Dr Khan had conducted the examination of the </w:t>
      </w:r>
      <w:r w:rsidR="00240F7C">
        <w:rPr>
          <w:lang w:val="en-ZA"/>
        </w:rPr>
        <w:t>complainant</w:t>
      </w:r>
      <w:r w:rsidR="00616F36" w:rsidRPr="00322BEC">
        <w:rPr>
          <w:lang w:val="en-ZA"/>
        </w:rPr>
        <w:t xml:space="preserve"> at hospital. Dr Khan examined the </w:t>
      </w:r>
      <w:r w:rsidR="00240F7C">
        <w:rPr>
          <w:lang w:val="en-ZA"/>
        </w:rPr>
        <w:t>complainant</w:t>
      </w:r>
      <w:r w:rsidR="00616F36" w:rsidRPr="00322BEC">
        <w:rPr>
          <w:lang w:val="en-ZA"/>
        </w:rPr>
        <w:t xml:space="preserve"> on </w:t>
      </w:r>
      <w:r w:rsidR="00D576BC" w:rsidRPr="00322BEC">
        <w:rPr>
          <w:lang w:val="en-ZA"/>
        </w:rPr>
        <w:t xml:space="preserve">4 May 2019. </w:t>
      </w:r>
    </w:p>
    <w:p w14:paraId="62A4FF26" w14:textId="77777777" w:rsidR="00145F51" w:rsidRPr="00322BEC" w:rsidRDefault="00145F51" w:rsidP="009A0798">
      <w:pPr>
        <w:pStyle w:val="1"/>
        <w:numPr>
          <w:ilvl w:val="0"/>
          <w:numId w:val="0"/>
        </w:numPr>
        <w:spacing w:before="0"/>
        <w:rPr>
          <w:lang w:val="en-ZA"/>
        </w:rPr>
      </w:pPr>
    </w:p>
    <w:p w14:paraId="043D8682" w14:textId="5ED13F14" w:rsidR="00616F36" w:rsidRPr="00322BEC" w:rsidRDefault="00EA4FD6" w:rsidP="00EA4FD6">
      <w:pPr>
        <w:pStyle w:val="1"/>
        <w:numPr>
          <w:ilvl w:val="0"/>
          <w:numId w:val="0"/>
        </w:numPr>
        <w:tabs>
          <w:tab w:val="left" w:pos="567"/>
        </w:tabs>
        <w:spacing w:before="0"/>
        <w:rPr>
          <w:lang w:val="en-ZA"/>
        </w:rPr>
      </w:pPr>
      <w:r w:rsidRPr="00322BEC">
        <w:rPr>
          <w:lang w:val="en-ZA"/>
        </w:rPr>
        <w:t>[16]</w:t>
      </w:r>
      <w:r w:rsidRPr="00322BEC">
        <w:rPr>
          <w:lang w:val="en-ZA"/>
        </w:rPr>
        <w:tab/>
      </w:r>
      <w:r w:rsidR="00D576BC" w:rsidRPr="00322BEC">
        <w:rPr>
          <w:lang w:val="en-ZA"/>
        </w:rPr>
        <w:t xml:space="preserve">Dr Khan testified that </w:t>
      </w:r>
      <w:r w:rsidR="008A0AD3" w:rsidRPr="00322BEC">
        <w:rPr>
          <w:lang w:val="en-ZA"/>
        </w:rPr>
        <w:t>during</w:t>
      </w:r>
      <w:r w:rsidR="00D576BC" w:rsidRPr="00322BEC">
        <w:rPr>
          <w:lang w:val="en-ZA"/>
        </w:rPr>
        <w:t xml:space="preserve"> his general observation, he did not notice any extra genital injuries on the </w:t>
      </w:r>
      <w:r w:rsidR="00240F7C">
        <w:rPr>
          <w:lang w:val="en-ZA"/>
        </w:rPr>
        <w:t>complainant</w:t>
      </w:r>
      <w:r w:rsidR="00D576BC" w:rsidRPr="00322BEC">
        <w:rPr>
          <w:lang w:val="en-ZA"/>
        </w:rPr>
        <w:t xml:space="preserve">. On the </w:t>
      </w:r>
      <w:r w:rsidR="00772998" w:rsidRPr="00322BEC">
        <w:rPr>
          <w:lang w:val="en-ZA"/>
        </w:rPr>
        <w:t>gynaecological</w:t>
      </w:r>
      <w:r w:rsidR="00D576BC" w:rsidRPr="00322BEC">
        <w:rPr>
          <w:lang w:val="en-ZA"/>
        </w:rPr>
        <w:t xml:space="preserve"> examination, the only finding he could make was of a yellow offensive discharge </w:t>
      </w:r>
      <w:r w:rsidR="00772998" w:rsidRPr="00322BEC">
        <w:rPr>
          <w:lang w:val="en-ZA"/>
        </w:rPr>
        <w:t>emanating</w:t>
      </w:r>
      <w:r w:rsidR="00D576BC" w:rsidRPr="00322BEC">
        <w:rPr>
          <w:lang w:val="en-ZA"/>
        </w:rPr>
        <w:t xml:space="preserve"> from the </w:t>
      </w:r>
      <w:r w:rsidR="00240F7C">
        <w:rPr>
          <w:lang w:val="en-ZA"/>
        </w:rPr>
        <w:t>complainant</w:t>
      </w:r>
      <w:r w:rsidR="00D576BC" w:rsidRPr="00322BEC">
        <w:rPr>
          <w:lang w:val="en-ZA"/>
        </w:rPr>
        <w:t xml:space="preserve">’s </w:t>
      </w:r>
      <w:r w:rsidR="00772998" w:rsidRPr="00322BEC">
        <w:rPr>
          <w:lang w:val="en-ZA"/>
        </w:rPr>
        <w:t>genitalia</w:t>
      </w:r>
      <w:r w:rsidR="00D576BC" w:rsidRPr="00322BEC">
        <w:rPr>
          <w:lang w:val="en-ZA"/>
        </w:rPr>
        <w:t>. Dr Khan advised that offensive is a term used to demonstrate an infecti</w:t>
      </w:r>
      <w:r w:rsidR="00517013" w:rsidRPr="00322BEC">
        <w:rPr>
          <w:lang w:val="en-ZA"/>
        </w:rPr>
        <w:t xml:space="preserve">ous </w:t>
      </w:r>
      <w:r w:rsidR="00772998" w:rsidRPr="00322BEC">
        <w:rPr>
          <w:lang w:val="en-ZA"/>
        </w:rPr>
        <w:t>aetiology</w:t>
      </w:r>
      <w:r w:rsidR="00D576BC" w:rsidRPr="00322BEC">
        <w:rPr>
          <w:lang w:val="en-ZA"/>
        </w:rPr>
        <w:t xml:space="preserve">, being an infection causing the discharge. If the discharge was </w:t>
      </w:r>
      <w:r w:rsidR="00517013" w:rsidRPr="00322BEC">
        <w:rPr>
          <w:lang w:val="en-ZA"/>
        </w:rPr>
        <w:t>i</w:t>
      </w:r>
      <w:r w:rsidR="00D576BC" w:rsidRPr="00322BEC">
        <w:rPr>
          <w:lang w:val="en-ZA"/>
        </w:rPr>
        <w:t>n-</w:t>
      </w:r>
      <w:proofErr w:type="gramStart"/>
      <w:r w:rsidR="00D576BC" w:rsidRPr="00322BEC">
        <w:rPr>
          <w:lang w:val="en-ZA"/>
        </w:rPr>
        <w:t>offensive</w:t>
      </w:r>
      <w:proofErr w:type="gramEnd"/>
      <w:r w:rsidR="00D576BC" w:rsidRPr="00322BEC">
        <w:rPr>
          <w:lang w:val="en-ZA"/>
        </w:rPr>
        <w:t xml:space="preserve"> it would not be related to an infection. </w:t>
      </w:r>
    </w:p>
    <w:p w14:paraId="25C6FE39" w14:textId="77777777" w:rsidR="00145F51" w:rsidRPr="00322BEC" w:rsidRDefault="00145F51" w:rsidP="009A0798">
      <w:pPr>
        <w:pStyle w:val="1"/>
        <w:numPr>
          <w:ilvl w:val="0"/>
          <w:numId w:val="0"/>
        </w:numPr>
        <w:spacing w:before="0"/>
        <w:rPr>
          <w:lang w:val="en-ZA"/>
        </w:rPr>
      </w:pPr>
    </w:p>
    <w:p w14:paraId="0296FEAC" w14:textId="507620B2" w:rsidR="00517013" w:rsidRPr="00322BEC" w:rsidRDefault="00EA4FD6" w:rsidP="00EA4FD6">
      <w:pPr>
        <w:pStyle w:val="1"/>
        <w:numPr>
          <w:ilvl w:val="0"/>
          <w:numId w:val="0"/>
        </w:numPr>
        <w:tabs>
          <w:tab w:val="left" w:pos="567"/>
        </w:tabs>
        <w:spacing w:before="0"/>
        <w:rPr>
          <w:lang w:val="en-ZA"/>
        </w:rPr>
      </w:pPr>
      <w:r w:rsidRPr="00322BEC">
        <w:rPr>
          <w:lang w:val="en-ZA"/>
        </w:rPr>
        <w:t>[17]</w:t>
      </w:r>
      <w:r w:rsidRPr="00322BEC">
        <w:rPr>
          <w:lang w:val="en-ZA"/>
        </w:rPr>
        <w:tab/>
      </w:r>
      <w:r w:rsidR="00D576BC" w:rsidRPr="00322BEC">
        <w:rPr>
          <w:lang w:val="en-ZA"/>
        </w:rPr>
        <w:t xml:space="preserve">Dr Khan </w:t>
      </w:r>
      <w:r w:rsidR="00517013" w:rsidRPr="00322BEC">
        <w:rPr>
          <w:lang w:val="en-ZA"/>
        </w:rPr>
        <w:t>testified that such</w:t>
      </w:r>
      <w:r w:rsidR="00D576BC" w:rsidRPr="00322BEC">
        <w:rPr>
          <w:lang w:val="en-ZA"/>
        </w:rPr>
        <w:t xml:space="preserve"> discharge </w:t>
      </w:r>
      <w:r w:rsidR="00517013" w:rsidRPr="00322BEC">
        <w:rPr>
          <w:lang w:val="en-ZA"/>
        </w:rPr>
        <w:t>was more commonly</w:t>
      </w:r>
      <w:r w:rsidR="00D576BC" w:rsidRPr="00322BEC">
        <w:rPr>
          <w:lang w:val="en-ZA"/>
        </w:rPr>
        <w:t xml:space="preserve"> related to a fungal infection but </w:t>
      </w:r>
      <w:r w:rsidR="00040CE5">
        <w:rPr>
          <w:lang w:val="en-ZA"/>
        </w:rPr>
        <w:t xml:space="preserve">it also </w:t>
      </w:r>
      <w:r w:rsidR="00D576BC" w:rsidRPr="00322BEC">
        <w:rPr>
          <w:lang w:val="en-ZA"/>
        </w:rPr>
        <w:t>could be bacterial</w:t>
      </w:r>
      <w:r w:rsidR="00040CE5">
        <w:rPr>
          <w:lang w:val="en-ZA"/>
        </w:rPr>
        <w:t xml:space="preserve"> infection</w:t>
      </w:r>
      <w:r w:rsidR="00D576BC" w:rsidRPr="00322BEC">
        <w:rPr>
          <w:lang w:val="en-ZA"/>
        </w:rPr>
        <w:t xml:space="preserve">. </w:t>
      </w:r>
      <w:r w:rsidR="00517013" w:rsidRPr="00322BEC">
        <w:rPr>
          <w:lang w:val="en-ZA"/>
        </w:rPr>
        <w:t>He further testified that s</w:t>
      </w:r>
      <w:r w:rsidR="00031705" w:rsidRPr="00322BEC">
        <w:rPr>
          <w:lang w:val="en-ZA"/>
        </w:rPr>
        <w:t xml:space="preserve">uch </w:t>
      </w:r>
      <w:r w:rsidR="00040CE5">
        <w:rPr>
          <w:lang w:val="en-ZA"/>
        </w:rPr>
        <w:t xml:space="preserve">a </w:t>
      </w:r>
      <w:r w:rsidR="00031705" w:rsidRPr="00322BEC">
        <w:rPr>
          <w:lang w:val="en-ZA"/>
        </w:rPr>
        <w:t xml:space="preserve">discharge was normal for children of the </w:t>
      </w:r>
      <w:r w:rsidR="00040CE5">
        <w:rPr>
          <w:lang w:val="en-ZA"/>
        </w:rPr>
        <w:t>complainant</w:t>
      </w:r>
      <w:r w:rsidR="00031705" w:rsidRPr="00322BEC">
        <w:rPr>
          <w:lang w:val="en-ZA"/>
        </w:rPr>
        <w:t xml:space="preserve">’s age in circumstances where they did not clean their genitalia properly or did not wipe properly when they used the latrine. </w:t>
      </w:r>
    </w:p>
    <w:p w14:paraId="52448DB0" w14:textId="77777777" w:rsidR="00145F51" w:rsidRPr="00322BEC" w:rsidRDefault="00145F51" w:rsidP="009A0798">
      <w:pPr>
        <w:pStyle w:val="1"/>
        <w:numPr>
          <w:ilvl w:val="0"/>
          <w:numId w:val="0"/>
        </w:numPr>
        <w:spacing w:before="0"/>
        <w:rPr>
          <w:lang w:val="en-ZA"/>
        </w:rPr>
      </w:pPr>
    </w:p>
    <w:p w14:paraId="6C80F407" w14:textId="4DFF2688" w:rsidR="00D576BC" w:rsidRPr="00322BEC" w:rsidRDefault="00EA4FD6" w:rsidP="00EA4FD6">
      <w:pPr>
        <w:pStyle w:val="1"/>
        <w:numPr>
          <w:ilvl w:val="0"/>
          <w:numId w:val="0"/>
        </w:numPr>
        <w:tabs>
          <w:tab w:val="left" w:pos="567"/>
        </w:tabs>
        <w:spacing w:before="0"/>
        <w:rPr>
          <w:lang w:val="en-ZA"/>
        </w:rPr>
      </w:pPr>
      <w:r w:rsidRPr="00322BEC">
        <w:rPr>
          <w:lang w:val="en-ZA"/>
        </w:rPr>
        <w:t>[18]</w:t>
      </w:r>
      <w:r w:rsidRPr="00322BEC">
        <w:rPr>
          <w:lang w:val="en-ZA"/>
        </w:rPr>
        <w:tab/>
      </w:r>
      <w:r w:rsidR="00517013" w:rsidRPr="00322BEC">
        <w:rPr>
          <w:lang w:val="en-ZA"/>
        </w:rPr>
        <w:t>D</w:t>
      </w:r>
      <w:r w:rsidR="00031705" w:rsidRPr="00322BEC">
        <w:rPr>
          <w:lang w:val="en-ZA"/>
        </w:rPr>
        <w:t xml:space="preserve">uring </w:t>
      </w:r>
      <w:r w:rsidR="00040CE5">
        <w:rPr>
          <w:lang w:val="en-ZA"/>
        </w:rPr>
        <w:t xml:space="preserve">his </w:t>
      </w:r>
      <w:r w:rsidR="00031705" w:rsidRPr="00322BEC">
        <w:rPr>
          <w:lang w:val="en-ZA"/>
        </w:rPr>
        <w:t xml:space="preserve">examination in chief, </w:t>
      </w:r>
      <w:r w:rsidR="00040CE5">
        <w:rPr>
          <w:lang w:val="en-ZA"/>
        </w:rPr>
        <w:t>Dr Khan’s</w:t>
      </w:r>
      <w:r w:rsidR="00040CE5" w:rsidRPr="00322BEC">
        <w:rPr>
          <w:lang w:val="en-ZA"/>
        </w:rPr>
        <w:t xml:space="preserve"> </w:t>
      </w:r>
      <w:r w:rsidR="00517013" w:rsidRPr="00322BEC">
        <w:rPr>
          <w:lang w:val="en-ZA"/>
        </w:rPr>
        <w:t xml:space="preserve">evidence was </w:t>
      </w:r>
      <w:r w:rsidR="00031705" w:rsidRPr="00322BEC">
        <w:rPr>
          <w:lang w:val="en-ZA"/>
        </w:rPr>
        <w:t xml:space="preserve">that there </w:t>
      </w:r>
      <w:r w:rsidR="00517013" w:rsidRPr="00322BEC">
        <w:rPr>
          <w:lang w:val="en-ZA"/>
        </w:rPr>
        <w:t>were</w:t>
      </w:r>
      <w:r w:rsidR="00031705" w:rsidRPr="00322BEC">
        <w:rPr>
          <w:lang w:val="en-ZA"/>
        </w:rPr>
        <w:t xml:space="preserve"> no genital injuries to the </w:t>
      </w:r>
      <w:r w:rsidR="00040CE5">
        <w:rPr>
          <w:lang w:val="en-ZA"/>
        </w:rPr>
        <w:t>complainant</w:t>
      </w:r>
      <w:r w:rsidR="00031705" w:rsidRPr="00322BEC">
        <w:rPr>
          <w:lang w:val="en-ZA"/>
        </w:rPr>
        <w:t xml:space="preserve">. He treated the </w:t>
      </w:r>
      <w:r w:rsidR="00040CE5">
        <w:rPr>
          <w:lang w:val="en-ZA"/>
        </w:rPr>
        <w:t>complainant</w:t>
      </w:r>
      <w:r w:rsidR="00031705" w:rsidRPr="00322BEC">
        <w:rPr>
          <w:lang w:val="en-ZA"/>
        </w:rPr>
        <w:t xml:space="preserve"> for the infection which she was suffering from. </w:t>
      </w:r>
    </w:p>
    <w:p w14:paraId="27977D31" w14:textId="77777777" w:rsidR="00145F51" w:rsidRPr="00322BEC" w:rsidRDefault="00145F51" w:rsidP="009A0798">
      <w:pPr>
        <w:pStyle w:val="1"/>
        <w:numPr>
          <w:ilvl w:val="0"/>
          <w:numId w:val="0"/>
        </w:numPr>
        <w:spacing w:before="0"/>
        <w:rPr>
          <w:lang w:val="en-ZA"/>
        </w:rPr>
      </w:pPr>
    </w:p>
    <w:p w14:paraId="4C556568" w14:textId="2FCC5C56" w:rsidR="00031705" w:rsidRPr="00322BEC" w:rsidRDefault="00EA4FD6" w:rsidP="00EA4FD6">
      <w:pPr>
        <w:pStyle w:val="1"/>
        <w:numPr>
          <w:ilvl w:val="0"/>
          <w:numId w:val="0"/>
        </w:numPr>
        <w:tabs>
          <w:tab w:val="left" w:pos="567"/>
        </w:tabs>
        <w:spacing w:before="0"/>
        <w:rPr>
          <w:lang w:val="en-ZA"/>
        </w:rPr>
      </w:pPr>
      <w:r w:rsidRPr="00322BEC">
        <w:rPr>
          <w:lang w:val="en-ZA"/>
        </w:rPr>
        <w:t>[19]</w:t>
      </w:r>
      <w:r w:rsidRPr="00322BEC">
        <w:rPr>
          <w:lang w:val="en-ZA"/>
        </w:rPr>
        <w:tab/>
      </w:r>
      <w:r w:rsidR="00031705" w:rsidRPr="00322BEC">
        <w:rPr>
          <w:lang w:val="en-ZA"/>
        </w:rPr>
        <w:t xml:space="preserve">Under cross-examination, Dr Khan confirmed that there was no penetration according to his examination. He </w:t>
      </w:r>
      <w:r w:rsidR="00201B7A">
        <w:rPr>
          <w:lang w:val="en-ZA"/>
        </w:rPr>
        <w:t>further confirmed</w:t>
      </w:r>
      <w:r w:rsidR="00031705" w:rsidRPr="00322BEC">
        <w:rPr>
          <w:lang w:val="en-ZA"/>
        </w:rPr>
        <w:t xml:space="preserve"> that he did not notice any worms coming out of the </w:t>
      </w:r>
      <w:r w:rsidR="00040CE5">
        <w:rPr>
          <w:lang w:val="en-ZA"/>
        </w:rPr>
        <w:t>complainant</w:t>
      </w:r>
      <w:r w:rsidR="00031705" w:rsidRPr="00322BEC">
        <w:rPr>
          <w:lang w:val="en-ZA"/>
        </w:rPr>
        <w:t xml:space="preserve">’s genitalia and if he had seen same, he would have documented </w:t>
      </w:r>
      <w:r w:rsidR="00517013" w:rsidRPr="00322BEC">
        <w:rPr>
          <w:lang w:val="en-ZA"/>
        </w:rPr>
        <w:t>same</w:t>
      </w:r>
      <w:r w:rsidR="00031705" w:rsidRPr="00322BEC">
        <w:rPr>
          <w:lang w:val="en-ZA"/>
        </w:rPr>
        <w:t xml:space="preserve">. He treated the </w:t>
      </w:r>
      <w:r w:rsidR="00040CE5">
        <w:rPr>
          <w:lang w:val="en-ZA"/>
        </w:rPr>
        <w:t>complainant</w:t>
      </w:r>
      <w:r w:rsidR="00031705" w:rsidRPr="00322BEC">
        <w:rPr>
          <w:lang w:val="en-ZA"/>
        </w:rPr>
        <w:t xml:space="preserve"> for vaginitis. </w:t>
      </w:r>
      <w:r w:rsidR="000B7973" w:rsidRPr="00322BEC">
        <w:rPr>
          <w:lang w:val="en-ZA"/>
        </w:rPr>
        <w:t xml:space="preserve">He further confirmed that </w:t>
      </w:r>
      <w:r w:rsidR="000B7973" w:rsidRPr="00322BEC">
        <w:rPr>
          <w:lang w:val="en-ZA"/>
        </w:rPr>
        <w:lastRenderedPageBreak/>
        <w:t>the discharge</w:t>
      </w:r>
      <w:r w:rsidR="00040CE5">
        <w:rPr>
          <w:lang w:val="en-ZA"/>
        </w:rPr>
        <w:t>,</w:t>
      </w:r>
      <w:r w:rsidR="000B7973" w:rsidRPr="00322BEC">
        <w:rPr>
          <w:lang w:val="en-ZA"/>
        </w:rPr>
        <w:t xml:space="preserve"> which the </w:t>
      </w:r>
      <w:r w:rsidR="00040CE5">
        <w:rPr>
          <w:lang w:val="en-ZA"/>
        </w:rPr>
        <w:t>complainant</w:t>
      </w:r>
      <w:r w:rsidR="000B7973" w:rsidRPr="00322BEC">
        <w:rPr>
          <w:lang w:val="en-ZA"/>
        </w:rPr>
        <w:t xml:space="preserve"> was experiencing</w:t>
      </w:r>
      <w:r w:rsidR="00040CE5">
        <w:rPr>
          <w:lang w:val="en-ZA"/>
        </w:rPr>
        <w:t>,</w:t>
      </w:r>
      <w:r w:rsidR="000B7973" w:rsidRPr="00322BEC">
        <w:rPr>
          <w:lang w:val="en-ZA"/>
        </w:rPr>
        <w:t xml:space="preserve"> was not related to any sexually transmitted infection. </w:t>
      </w:r>
    </w:p>
    <w:p w14:paraId="0B343F85" w14:textId="77777777" w:rsidR="00145F51" w:rsidRPr="00322BEC" w:rsidRDefault="00145F51" w:rsidP="009A0798">
      <w:pPr>
        <w:pStyle w:val="1"/>
        <w:numPr>
          <w:ilvl w:val="0"/>
          <w:numId w:val="0"/>
        </w:numPr>
        <w:spacing w:before="0"/>
        <w:rPr>
          <w:lang w:val="en-ZA"/>
        </w:rPr>
      </w:pPr>
    </w:p>
    <w:p w14:paraId="43ADB439" w14:textId="5AD81C8E" w:rsidR="000B7973" w:rsidRPr="00322BEC" w:rsidRDefault="00EA4FD6" w:rsidP="00EA4FD6">
      <w:pPr>
        <w:pStyle w:val="1"/>
        <w:numPr>
          <w:ilvl w:val="0"/>
          <w:numId w:val="0"/>
        </w:numPr>
        <w:tabs>
          <w:tab w:val="left" w:pos="567"/>
        </w:tabs>
        <w:spacing w:before="0"/>
        <w:rPr>
          <w:lang w:val="en-ZA"/>
        </w:rPr>
      </w:pPr>
      <w:r w:rsidRPr="00322BEC">
        <w:rPr>
          <w:lang w:val="en-ZA"/>
        </w:rPr>
        <w:t>[20]</w:t>
      </w:r>
      <w:r w:rsidRPr="00322BEC">
        <w:rPr>
          <w:lang w:val="en-ZA"/>
        </w:rPr>
        <w:tab/>
      </w:r>
      <w:r w:rsidR="000B7973" w:rsidRPr="00322BEC">
        <w:rPr>
          <w:lang w:val="en-ZA"/>
        </w:rPr>
        <w:t xml:space="preserve">The fourth witness to testify was the </w:t>
      </w:r>
      <w:r w:rsidR="00040CE5">
        <w:rPr>
          <w:lang w:val="en-ZA"/>
        </w:rPr>
        <w:t>complainant</w:t>
      </w:r>
      <w:r w:rsidR="000B7973" w:rsidRPr="00322BEC">
        <w:rPr>
          <w:lang w:val="en-ZA"/>
        </w:rPr>
        <w:t>’s mother. Equally</w:t>
      </w:r>
      <w:r w:rsidR="00040CE5">
        <w:rPr>
          <w:lang w:val="en-ZA"/>
        </w:rPr>
        <w:t>,</w:t>
      </w:r>
      <w:r w:rsidR="000B7973" w:rsidRPr="00322BEC">
        <w:rPr>
          <w:lang w:val="en-ZA"/>
        </w:rPr>
        <w:t xml:space="preserve"> her evidence could cast no light on the alleged incident</w:t>
      </w:r>
      <w:r w:rsidR="00040CE5">
        <w:rPr>
          <w:lang w:val="en-ZA"/>
        </w:rPr>
        <w:t>,</w:t>
      </w:r>
      <w:r w:rsidR="000B7973" w:rsidRPr="00322BEC">
        <w:rPr>
          <w:lang w:val="en-ZA"/>
        </w:rPr>
        <w:t xml:space="preserve"> as she was not present. She could merely inform the court that she had been advised that the </w:t>
      </w:r>
      <w:r w:rsidR="00040CE5">
        <w:rPr>
          <w:lang w:val="en-ZA"/>
        </w:rPr>
        <w:t>complainant</w:t>
      </w:r>
      <w:r w:rsidR="000B7973" w:rsidRPr="00322BEC">
        <w:rPr>
          <w:lang w:val="en-ZA"/>
        </w:rPr>
        <w:t xml:space="preserve"> had been raped. </w:t>
      </w:r>
    </w:p>
    <w:p w14:paraId="05BB1485" w14:textId="77777777" w:rsidR="00145F51" w:rsidRPr="00322BEC" w:rsidRDefault="00145F51" w:rsidP="009A0798">
      <w:pPr>
        <w:pStyle w:val="1"/>
        <w:numPr>
          <w:ilvl w:val="0"/>
          <w:numId w:val="0"/>
        </w:numPr>
        <w:spacing w:before="0"/>
        <w:rPr>
          <w:lang w:val="en-ZA"/>
        </w:rPr>
      </w:pPr>
    </w:p>
    <w:p w14:paraId="5F43E4C5" w14:textId="4C6BB3A8" w:rsidR="00145F51" w:rsidRPr="00322BEC" w:rsidRDefault="00EA4FD6" w:rsidP="00EA4FD6">
      <w:pPr>
        <w:pStyle w:val="1"/>
        <w:numPr>
          <w:ilvl w:val="0"/>
          <w:numId w:val="0"/>
        </w:numPr>
        <w:tabs>
          <w:tab w:val="left" w:pos="567"/>
        </w:tabs>
        <w:spacing w:before="0"/>
        <w:rPr>
          <w:lang w:val="en-ZA"/>
        </w:rPr>
      </w:pPr>
      <w:r w:rsidRPr="00322BEC">
        <w:rPr>
          <w:lang w:val="en-ZA"/>
        </w:rPr>
        <w:t>[21]</w:t>
      </w:r>
      <w:r w:rsidRPr="00322BEC">
        <w:rPr>
          <w:lang w:val="en-ZA"/>
        </w:rPr>
        <w:tab/>
      </w:r>
      <w:r w:rsidR="000B7973" w:rsidRPr="00322BEC">
        <w:rPr>
          <w:lang w:val="en-ZA"/>
        </w:rPr>
        <w:t xml:space="preserve">Upon the closing of the State’s case, the </w:t>
      </w:r>
      <w:r w:rsidR="00040CE5" w:rsidRPr="00322BEC">
        <w:rPr>
          <w:lang w:val="en-ZA"/>
        </w:rPr>
        <w:t xml:space="preserve">appellant </w:t>
      </w:r>
      <w:r w:rsidR="000B7973" w:rsidRPr="00322BEC">
        <w:rPr>
          <w:lang w:val="en-ZA"/>
        </w:rPr>
        <w:t>testified.</w:t>
      </w:r>
    </w:p>
    <w:p w14:paraId="56CDE2BD" w14:textId="6D974521" w:rsidR="000B7973" w:rsidRPr="00322BEC" w:rsidRDefault="000B7973" w:rsidP="009A0798">
      <w:pPr>
        <w:pStyle w:val="1"/>
        <w:numPr>
          <w:ilvl w:val="0"/>
          <w:numId w:val="0"/>
        </w:numPr>
        <w:spacing w:before="0"/>
        <w:rPr>
          <w:lang w:val="en-ZA"/>
        </w:rPr>
      </w:pPr>
      <w:r w:rsidRPr="00322BEC">
        <w:rPr>
          <w:lang w:val="en-ZA"/>
        </w:rPr>
        <w:t xml:space="preserve"> </w:t>
      </w:r>
    </w:p>
    <w:p w14:paraId="2DD650B4" w14:textId="7B8A1D59" w:rsidR="000B7973" w:rsidRPr="00322BEC" w:rsidRDefault="00EA4FD6" w:rsidP="00EA4FD6">
      <w:pPr>
        <w:pStyle w:val="1"/>
        <w:numPr>
          <w:ilvl w:val="0"/>
          <w:numId w:val="0"/>
        </w:numPr>
        <w:tabs>
          <w:tab w:val="left" w:pos="567"/>
        </w:tabs>
        <w:spacing w:before="0"/>
        <w:rPr>
          <w:lang w:val="en-ZA"/>
        </w:rPr>
      </w:pPr>
      <w:r w:rsidRPr="00322BEC">
        <w:rPr>
          <w:lang w:val="en-ZA"/>
        </w:rPr>
        <w:t>[22]</w:t>
      </w:r>
      <w:r w:rsidRPr="00322BEC">
        <w:rPr>
          <w:lang w:val="en-ZA"/>
        </w:rPr>
        <w:tab/>
      </w:r>
      <w:r w:rsidR="000B7973" w:rsidRPr="00322BEC">
        <w:rPr>
          <w:lang w:val="en-ZA"/>
        </w:rPr>
        <w:t xml:space="preserve">His evidence quite simply was that he had not raped the </w:t>
      </w:r>
      <w:r w:rsidR="00040CE5">
        <w:rPr>
          <w:lang w:val="en-ZA"/>
        </w:rPr>
        <w:t>complainant</w:t>
      </w:r>
      <w:r w:rsidR="000B7973" w:rsidRPr="00322BEC">
        <w:rPr>
          <w:lang w:val="en-ZA"/>
        </w:rPr>
        <w:t xml:space="preserve"> and that she had been coerced into alleging same by her aunt</w:t>
      </w:r>
      <w:r w:rsidR="00040CE5">
        <w:rPr>
          <w:lang w:val="en-ZA"/>
        </w:rPr>
        <w:t>,</w:t>
      </w:r>
      <w:r w:rsidR="000B7973" w:rsidRPr="00322BEC">
        <w:rPr>
          <w:lang w:val="en-ZA"/>
        </w:rPr>
        <w:t xml:space="preserve"> </w:t>
      </w:r>
      <w:r w:rsidR="00040CE5">
        <w:rPr>
          <w:lang w:val="en-ZA"/>
        </w:rPr>
        <w:t>Ms</w:t>
      </w:r>
      <w:r w:rsidR="00040CE5" w:rsidRPr="00322BEC">
        <w:rPr>
          <w:lang w:val="en-ZA"/>
        </w:rPr>
        <w:t xml:space="preserve"> </w:t>
      </w:r>
      <w:proofErr w:type="gramStart"/>
      <w:r w:rsidR="000B7973" w:rsidRPr="00322BEC">
        <w:rPr>
          <w:lang w:val="en-ZA"/>
        </w:rPr>
        <w:t>M</w:t>
      </w:r>
      <w:r w:rsidR="0007142B">
        <w:rPr>
          <w:lang w:val="en-ZA"/>
        </w:rPr>
        <w:t>[</w:t>
      </w:r>
      <w:proofErr w:type="gramEnd"/>
      <w:r w:rsidR="0007142B">
        <w:rPr>
          <w:lang w:val="en-ZA"/>
        </w:rPr>
        <w:t>…]</w:t>
      </w:r>
      <w:r w:rsidR="000B7973" w:rsidRPr="00322BEC">
        <w:rPr>
          <w:lang w:val="en-ZA"/>
        </w:rPr>
        <w:t xml:space="preserve">. </w:t>
      </w:r>
    </w:p>
    <w:p w14:paraId="20DEC6CE" w14:textId="77777777" w:rsidR="00145F51" w:rsidRPr="00322BEC" w:rsidRDefault="00145F51" w:rsidP="009A0798">
      <w:pPr>
        <w:pStyle w:val="1"/>
        <w:numPr>
          <w:ilvl w:val="0"/>
          <w:numId w:val="0"/>
        </w:numPr>
        <w:spacing w:before="0"/>
        <w:rPr>
          <w:lang w:val="en-ZA"/>
        </w:rPr>
      </w:pPr>
    </w:p>
    <w:p w14:paraId="622D9C5D" w14:textId="0D398EB9" w:rsidR="00057B29" w:rsidRPr="00322BEC" w:rsidRDefault="00EA4FD6" w:rsidP="00EA4FD6">
      <w:pPr>
        <w:pStyle w:val="1"/>
        <w:numPr>
          <w:ilvl w:val="0"/>
          <w:numId w:val="0"/>
        </w:numPr>
        <w:tabs>
          <w:tab w:val="left" w:pos="567"/>
        </w:tabs>
        <w:spacing w:before="0"/>
        <w:rPr>
          <w:lang w:val="en-ZA"/>
        </w:rPr>
      </w:pPr>
      <w:r w:rsidRPr="00322BEC">
        <w:rPr>
          <w:lang w:val="en-ZA"/>
        </w:rPr>
        <w:t>[23]</w:t>
      </w:r>
      <w:r w:rsidRPr="00322BEC">
        <w:rPr>
          <w:lang w:val="en-ZA"/>
        </w:rPr>
        <w:tab/>
      </w:r>
      <w:r w:rsidR="00057B29" w:rsidRPr="00322BEC">
        <w:rPr>
          <w:lang w:val="en-ZA"/>
        </w:rPr>
        <w:t xml:space="preserve">In order to succeed in an </w:t>
      </w:r>
      <w:r w:rsidR="00004236" w:rsidRPr="00322BEC">
        <w:rPr>
          <w:lang w:val="en-ZA"/>
        </w:rPr>
        <w:t>appeal,</w:t>
      </w:r>
      <w:r w:rsidR="00057B29" w:rsidRPr="00322BEC">
        <w:rPr>
          <w:lang w:val="en-ZA"/>
        </w:rPr>
        <w:t xml:space="preserve"> the </w:t>
      </w:r>
      <w:r w:rsidR="00DC05D0" w:rsidRPr="00322BEC">
        <w:rPr>
          <w:lang w:val="en-ZA"/>
        </w:rPr>
        <w:t xml:space="preserve">appellant </w:t>
      </w:r>
      <w:r w:rsidR="00057B29" w:rsidRPr="00322BEC">
        <w:rPr>
          <w:lang w:val="en-ZA"/>
        </w:rPr>
        <w:t xml:space="preserve">must convince this court, on adequate grounds, that the trial court was wrong in accepting the </w:t>
      </w:r>
      <w:r w:rsidR="00772998" w:rsidRPr="00322BEC">
        <w:rPr>
          <w:lang w:val="en-ZA"/>
        </w:rPr>
        <w:t>evidence</w:t>
      </w:r>
      <w:r w:rsidR="00057B29" w:rsidRPr="00322BEC">
        <w:rPr>
          <w:lang w:val="en-ZA"/>
        </w:rPr>
        <w:t xml:space="preserve"> of the State and rejecting his version as </w:t>
      </w:r>
      <w:r w:rsidR="00DC05D0">
        <w:rPr>
          <w:lang w:val="en-ZA"/>
        </w:rPr>
        <w:t>being reasonably possibly true.</w:t>
      </w:r>
      <w:r w:rsidR="00057B29" w:rsidRPr="00322BEC">
        <w:rPr>
          <w:lang w:val="en-ZA"/>
        </w:rPr>
        <w:t xml:space="preserve"> The court </w:t>
      </w:r>
      <w:r w:rsidR="00057B29" w:rsidRPr="00322BEC">
        <w:rPr>
          <w:i/>
          <w:iCs w:val="0"/>
          <w:lang w:val="en-ZA"/>
        </w:rPr>
        <w:t xml:space="preserve">a quo </w:t>
      </w:r>
      <w:r w:rsidR="00057B29" w:rsidRPr="00322BEC">
        <w:rPr>
          <w:lang w:val="en-ZA"/>
        </w:rPr>
        <w:t xml:space="preserve">was confronted with a single witness, being the </w:t>
      </w:r>
      <w:r w:rsidR="00DC05D0">
        <w:rPr>
          <w:lang w:val="en-ZA"/>
        </w:rPr>
        <w:t>complainant</w:t>
      </w:r>
      <w:r w:rsidR="00057B29" w:rsidRPr="00322BEC">
        <w:rPr>
          <w:lang w:val="en-ZA"/>
        </w:rPr>
        <w:t xml:space="preserve">. None of the evidence of the further witnesses could lend any value to proving the charge proffered against the </w:t>
      </w:r>
      <w:r w:rsidR="00DC05D0" w:rsidRPr="00322BEC">
        <w:rPr>
          <w:lang w:val="en-ZA"/>
        </w:rPr>
        <w:t>appellant</w:t>
      </w:r>
      <w:r w:rsidR="00057B29" w:rsidRPr="00322BEC">
        <w:rPr>
          <w:lang w:val="en-ZA"/>
        </w:rPr>
        <w:t xml:space="preserve">. </w:t>
      </w:r>
    </w:p>
    <w:p w14:paraId="74095B34" w14:textId="77777777" w:rsidR="00145F51" w:rsidRPr="00322BEC" w:rsidRDefault="00145F51" w:rsidP="009A0798">
      <w:pPr>
        <w:pStyle w:val="1"/>
        <w:numPr>
          <w:ilvl w:val="0"/>
          <w:numId w:val="0"/>
        </w:numPr>
        <w:spacing w:before="0"/>
        <w:rPr>
          <w:lang w:val="en-ZA"/>
        </w:rPr>
      </w:pPr>
    </w:p>
    <w:p w14:paraId="21F765B8" w14:textId="70D3ED0A" w:rsidR="00057B29" w:rsidRPr="00322BEC" w:rsidRDefault="00EA4FD6" w:rsidP="00EA4FD6">
      <w:pPr>
        <w:pStyle w:val="1"/>
        <w:numPr>
          <w:ilvl w:val="0"/>
          <w:numId w:val="0"/>
        </w:numPr>
        <w:tabs>
          <w:tab w:val="left" w:pos="567"/>
        </w:tabs>
        <w:spacing w:before="0"/>
        <w:rPr>
          <w:lang w:val="en-ZA"/>
        </w:rPr>
      </w:pPr>
      <w:r w:rsidRPr="00322BEC">
        <w:rPr>
          <w:lang w:val="en-ZA"/>
        </w:rPr>
        <w:t>[24]</w:t>
      </w:r>
      <w:r w:rsidRPr="00322BEC">
        <w:rPr>
          <w:lang w:val="en-ZA"/>
        </w:rPr>
        <w:tab/>
      </w:r>
      <w:r w:rsidR="00057B29" w:rsidRPr="00322BEC">
        <w:rPr>
          <w:lang w:val="en-ZA"/>
        </w:rPr>
        <w:t xml:space="preserve">A court of appeal will not interfere with a trial court’s decision regarding conviction unless it finds that the court </w:t>
      </w:r>
      <w:r w:rsidR="00772998" w:rsidRPr="00322BEC">
        <w:rPr>
          <w:lang w:val="en-ZA"/>
        </w:rPr>
        <w:t>misdirected</w:t>
      </w:r>
      <w:r w:rsidR="00057B29" w:rsidRPr="00322BEC">
        <w:rPr>
          <w:lang w:val="en-ZA"/>
        </w:rPr>
        <w:t xml:space="preserve"> itself as regards its findings or on fact or law.</w:t>
      </w:r>
      <w:r w:rsidR="00057B29" w:rsidRPr="00322BEC">
        <w:rPr>
          <w:rStyle w:val="FootnoteReference"/>
          <w:lang w:val="en-ZA"/>
        </w:rPr>
        <w:footnoteReference w:id="1"/>
      </w:r>
    </w:p>
    <w:p w14:paraId="2D10F093" w14:textId="77777777" w:rsidR="00145F51" w:rsidRPr="00322BEC" w:rsidRDefault="00145F51" w:rsidP="009A0798">
      <w:pPr>
        <w:pStyle w:val="1"/>
        <w:numPr>
          <w:ilvl w:val="0"/>
          <w:numId w:val="0"/>
        </w:numPr>
        <w:spacing w:before="0"/>
        <w:rPr>
          <w:lang w:val="en-ZA"/>
        </w:rPr>
      </w:pPr>
    </w:p>
    <w:p w14:paraId="4C161B36" w14:textId="1D8ACC7F" w:rsidR="00DD4CDA" w:rsidRDefault="00EA4FD6" w:rsidP="00EA4FD6">
      <w:pPr>
        <w:pStyle w:val="1"/>
        <w:numPr>
          <w:ilvl w:val="0"/>
          <w:numId w:val="0"/>
        </w:numPr>
        <w:tabs>
          <w:tab w:val="left" w:pos="567"/>
        </w:tabs>
        <w:spacing w:before="0"/>
        <w:rPr>
          <w:lang w:val="en-ZA"/>
        </w:rPr>
      </w:pPr>
      <w:r>
        <w:rPr>
          <w:lang w:val="en-ZA"/>
        </w:rPr>
        <w:t>[25]</w:t>
      </w:r>
      <w:r>
        <w:rPr>
          <w:lang w:val="en-ZA"/>
        </w:rPr>
        <w:tab/>
      </w:r>
      <w:r w:rsidR="00DD4CDA">
        <w:rPr>
          <w:lang w:val="en-ZA"/>
        </w:rPr>
        <w:t xml:space="preserve">The headnote in </w:t>
      </w:r>
      <w:r w:rsidR="00DD4CDA" w:rsidRPr="00DD4CDA">
        <w:rPr>
          <w:i/>
          <w:lang w:val="en-ZA"/>
        </w:rPr>
        <w:t>S v Francis</w:t>
      </w:r>
      <w:r w:rsidR="00DD4CDA">
        <w:rPr>
          <w:lang w:val="en-ZA"/>
        </w:rPr>
        <w:t xml:space="preserve"> summarises the above as follows:</w:t>
      </w:r>
    </w:p>
    <w:p w14:paraId="4D6CFD01" w14:textId="4CC58DBB" w:rsidR="00EB4B6D" w:rsidRPr="004C3756" w:rsidRDefault="00DD4CDA" w:rsidP="00DD4CDA">
      <w:pPr>
        <w:pStyle w:val="1"/>
        <w:numPr>
          <w:ilvl w:val="0"/>
          <w:numId w:val="0"/>
        </w:numPr>
        <w:spacing w:before="0"/>
        <w:rPr>
          <w:sz w:val="22"/>
          <w:lang w:val="en-ZA"/>
        </w:rPr>
      </w:pPr>
      <w:r w:rsidRPr="004C3756">
        <w:rPr>
          <w:bCs/>
          <w:sz w:val="22"/>
        </w:rPr>
        <w:t xml:space="preserve">‘In the absence of any misdirection the trial Court's conclusion, including its acceptance of a witness' evidence, is presumed to be correct. In order to succeed on appeal, the appellant must therefore convince the Court of appeal on adequate grounds that the trial Court was </w:t>
      </w:r>
      <w:r w:rsidRPr="004C3756">
        <w:rPr>
          <w:sz w:val="22"/>
        </w:rPr>
        <w:t>wrong in accepting the witness' evidence - a reasonable doubt will not suffice to justify interference with its findings. Bearing in mind the advantage which a trial Court has of seeing, hearing and appraising a witness, it is only in exceptional cases that the Court of appeal will be entitled to interfere with a trial Court's evaluation of oral testimony</w:t>
      </w:r>
      <w:r w:rsidR="00EB4B6D" w:rsidRPr="004C3756">
        <w:rPr>
          <w:sz w:val="22"/>
          <w:lang w:val="en-ZA"/>
        </w:rPr>
        <w:t>.</w:t>
      </w:r>
      <w:r w:rsidRPr="004C3756">
        <w:rPr>
          <w:sz w:val="22"/>
          <w:lang w:val="en-ZA"/>
        </w:rPr>
        <w:t>’</w:t>
      </w:r>
      <w:r w:rsidR="00EB4B6D" w:rsidRPr="004C3756">
        <w:rPr>
          <w:rStyle w:val="FootnoteReference"/>
          <w:sz w:val="22"/>
          <w:lang w:val="en-ZA"/>
        </w:rPr>
        <w:footnoteReference w:id="2"/>
      </w:r>
    </w:p>
    <w:p w14:paraId="7D57309A" w14:textId="77777777" w:rsidR="00145F51" w:rsidRPr="00322BEC" w:rsidRDefault="00145F51" w:rsidP="009A0798">
      <w:pPr>
        <w:pStyle w:val="1"/>
        <w:numPr>
          <w:ilvl w:val="0"/>
          <w:numId w:val="0"/>
        </w:numPr>
        <w:spacing w:before="0"/>
        <w:rPr>
          <w:lang w:val="en-ZA"/>
        </w:rPr>
      </w:pPr>
    </w:p>
    <w:p w14:paraId="5342C56A" w14:textId="4881258F" w:rsidR="000B7973" w:rsidRPr="00322BEC" w:rsidRDefault="00EA4FD6" w:rsidP="00EA4FD6">
      <w:pPr>
        <w:pStyle w:val="1"/>
        <w:numPr>
          <w:ilvl w:val="0"/>
          <w:numId w:val="0"/>
        </w:numPr>
        <w:tabs>
          <w:tab w:val="left" w:pos="567"/>
        </w:tabs>
        <w:spacing w:before="0"/>
        <w:rPr>
          <w:lang w:val="en-ZA"/>
        </w:rPr>
      </w:pPr>
      <w:r w:rsidRPr="00322BEC">
        <w:rPr>
          <w:lang w:val="en-ZA"/>
        </w:rPr>
        <w:lastRenderedPageBreak/>
        <w:t>[26]</w:t>
      </w:r>
      <w:proofErr w:type="gramStart"/>
      <w:r w:rsidRPr="00322BEC">
        <w:rPr>
          <w:lang w:val="en-ZA"/>
        </w:rPr>
        <w:tab/>
      </w:r>
      <w:r w:rsidR="00057B29" w:rsidRPr="00322BEC">
        <w:rPr>
          <w:i/>
          <w:iCs w:val="0"/>
          <w:lang w:val="en-ZA"/>
        </w:rPr>
        <w:t xml:space="preserve"> </w:t>
      </w:r>
      <w:r w:rsidR="00057B29" w:rsidRPr="00322BEC">
        <w:rPr>
          <w:lang w:val="en-ZA"/>
        </w:rPr>
        <w:t xml:space="preserve"> </w:t>
      </w:r>
      <w:r w:rsidR="00EB4B6D" w:rsidRPr="00322BEC">
        <w:rPr>
          <w:lang w:val="en-ZA"/>
        </w:rPr>
        <w:t>The</w:t>
      </w:r>
      <w:proofErr w:type="gramEnd"/>
      <w:r w:rsidR="00EB4B6D" w:rsidRPr="00322BEC">
        <w:rPr>
          <w:lang w:val="en-ZA"/>
        </w:rPr>
        <w:t xml:space="preserve"> court</w:t>
      </w:r>
      <w:r w:rsidR="00004236" w:rsidRPr="00322BEC">
        <w:rPr>
          <w:lang w:val="en-ZA"/>
        </w:rPr>
        <w:t xml:space="preserve"> </w:t>
      </w:r>
      <w:r w:rsidR="00004236" w:rsidRPr="00322BEC">
        <w:rPr>
          <w:i/>
          <w:iCs w:val="0"/>
          <w:lang w:val="en-ZA"/>
        </w:rPr>
        <w:t>a quo</w:t>
      </w:r>
      <w:r w:rsidR="00EB4B6D" w:rsidRPr="00322BEC">
        <w:rPr>
          <w:lang w:val="en-ZA"/>
        </w:rPr>
        <w:t xml:space="preserve"> found that </w:t>
      </w:r>
      <w:r w:rsidR="00873536" w:rsidRPr="00322BEC">
        <w:rPr>
          <w:lang w:val="en-ZA"/>
        </w:rPr>
        <w:t>the</w:t>
      </w:r>
      <w:r w:rsidR="00004236" w:rsidRPr="00322BEC">
        <w:rPr>
          <w:lang w:val="en-ZA"/>
        </w:rPr>
        <w:t xml:space="preserve"> room in which the </w:t>
      </w:r>
      <w:r w:rsidR="00DD4CDA">
        <w:rPr>
          <w:lang w:val="en-ZA"/>
        </w:rPr>
        <w:t>complainant</w:t>
      </w:r>
      <w:r w:rsidR="00004236" w:rsidRPr="00322BEC">
        <w:rPr>
          <w:lang w:val="en-ZA"/>
        </w:rPr>
        <w:t xml:space="preserve"> and the </w:t>
      </w:r>
      <w:r w:rsidR="00DD4CDA" w:rsidRPr="00322BEC">
        <w:rPr>
          <w:lang w:val="en-ZA"/>
        </w:rPr>
        <w:t xml:space="preserve">appellant </w:t>
      </w:r>
      <w:r w:rsidR="00004236" w:rsidRPr="00322BEC">
        <w:rPr>
          <w:lang w:val="en-ZA"/>
        </w:rPr>
        <w:t xml:space="preserve">were in </w:t>
      </w:r>
      <w:r w:rsidR="00873536" w:rsidRPr="00322BEC">
        <w:rPr>
          <w:lang w:val="en-ZA"/>
        </w:rPr>
        <w:t>was locked at the time of the alleged rape and that the</w:t>
      </w:r>
      <w:r w:rsidR="00004236" w:rsidRPr="00322BEC">
        <w:rPr>
          <w:lang w:val="en-ZA"/>
        </w:rPr>
        <w:t xml:space="preserve">y </w:t>
      </w:r>
      <w:r w:rsidR="00873536" w:rsidRPr="00322BEC">
        <w:rPr>
          <w:lang w:val="en-ZA"/>
        </w:rPr>
        <w:t>were</w:t>
      </w:r>
      <w:r w:rsidR="00004236" w:rsidRPr="00322BEC">
        <w:rPr>
          <w:lang w:val="en-ZA"/>
        </w:rPr>
        <w:t xml:space="preserve"> the</w:t>
      </w:r>
      <w:r w:rsidR="00873536" w:rsidRPr="00322BEC">
        <w:rPr>
          <w:lang w:val="en-ZA"/>
        </w:rPr>
        <w:t xml:space="preserve"> only two people in the room. The court accepted the evidence of the </w:t>
      </w:r>
      <w:r w:rsidR="00DD4CDA">
        <w:rPr>
          <w:lang w:val="en-ZA"/>
        </w:rPr>
        <w:t>complainant</w:t>
      </w:r>
      <w:r w:rsidR="00873536" w:rsidRPr="00322BEC">
        <w:rPr>
          <w:lang w:val="en-ZA"/>
        </w:rPr>
        <w:t xml:space="preserve"> that the</w:t>
      </w:r>
      <w:r w:rsidR="00004236" w:rsidRPr="00322BEC">
        <w:rPr>
          <w:lang w:val="en-ZA"/>
        </w:rPr>
        <w:t>re was a</w:t>
      </w:r>
      <w:r w:rsidR="00873536" w:rsidRPr="00322BEC">
        <w:rPr>
          <w:lang w:val="en-ZA"/>
        </w:rPr>
        <w:t xml:space="preserve"> man who committed the rape</w:t>
      </w:r>
      <w:r w:rsidR="00DD4CDA">
        <w:rPr>
          <w:lang w:val="en-ZA"/>
        </w:rPr>
        <w:t xml:space="preserve"> and</w:t>
      </w:r>
      <w:r w:rsidR="00873536" w:rsidRPr="00322BEC">
        <w:rPr>
          <w:lang w:val="en-ZA"/>
        </w:rPr>
        <w:t xml:space="preserve"> ran to the bed where the </w:t>
      </w:r>
      <w:r w:rsidR="00DD4CDA" w:rsidRPr="00322BEC">
        <w:rPr>
          <w:lang w:val="en-ZA"/>
        </w:rPr>
        <w:t xml:space="preserve">appellant </w:t>
      </w:r>
      <w:r w:rsidR="00873536" w:rsidRPr="00322BEC">
        <w:rPr>
          <w:lang w:val="en-ZA"/>
        </w:rPr>
        <w:t xml:space="preserve">was lying. </w:t>
      </w:r>
      <w:r w:rsidR="00004236" w:rsidRPr="00322BEC">
        <w:rPr>
          <w:lang w:val="en-ZA"/>
        </w:rPr>
        <w:t>T</w:t>
      </w:r>
      <w:r w:rsidR="00873536" w:rsidRPr="00322BEC">
        <w:rPr>
          <w:lang w:val="en-ZA"/>
        </w:rPr>
        <w:t xml:space="preserve">he court </w:t>
      </w:r>
      <w:r w:rsidR="00004236" w:rsidRPr="00322BEC">
        <w:rPr>
          <w:i/>
          <w:iCs w:val="0"/>
          <w:lang w:val="en-ZA"/>
        </w:rPr>
        <w:t>a quo</w:t>
      </w:r>
      <w:r w:rsidR="00004236" w:rsidRPr="00322BEC">
        <w:rPr>
          <w:lang w:val="en-ZA"/>
        </w:rPr>
        <w:t xml:space="preserve"> </w:t>
      </w:r>
      <w:r w:rsidR="00873536" w:rsidRPr="00322BEC">
        <w:rPr>
          <w:lang w:val="en-ZA"/>
        </w:rPr>
        <w:t xml:space="preserve">rationalised that the </w:t>
      </w:r>
      <w:r w:rsidR="00DD4CDA">
        <w:rPr>
          <w:lang w:val="en-ZA"/>
        </w:rPr>
        <w:t>complainant</w:t>
      </w:r>
      <w:r w:rsidR="00873536" w:rsidRPr="00322BEC">
        <w:rPr>
          <w:lang w:val="en-ZA"/>
        </w:rPr>
        <w:t xml:space="preserve"> had to have been raped by the </w:t>
      </w:r>
      <w:r w:rsidR="00DD4CDA" w:rsidRPr="00322BEC">
        <w:rPr>
          <w:lang w:val="en-ZA"/>
        </w:rPr>
        <w:t>appellant</w:t>
      </w:r>
      <w:r w:rsidR="00873536" w:rsidRPr="00322BEC">
        <w:rPr>
          <w:lang w:val="en-ZA"/>
        </w:rPr>
        <w:t xml:space="preserve">, being the only other person in the room. </w:t>
      </w:r>
      <w:r w:rsidR="00004236" w:rsidRPr="00322BEC">
        <w:rPr>
          <w:lang w:val="en-ZA"/>
        </w:rPr>
        <w:t>Thus,</w:t>
      </w:r>
      <w:r w:rsidR="00873536" w:rsidRPr="00322BEC">
        <w:rPr>
          <w:lang w:val="en-ZA"/>
        </w:rPr>
        <w:t xml:space="preserve"> the court </w:t>
      </w:r>
      <w:r w:rsidR="00004236" w:rsidRPr="00322BEC">
        <w:rPr>
          <w:i/>
          <w:iCs w:val="0"/>
          <w:lang w:val="en-ZA"/>
        </w:rPr>
        <w:t xml:space="preserve">a </w:t>
      </w:r>
      <w:r w:rsidR="00DD4CDA">
        <w:rPr>
          <w:i/>
          <w:iCs w:val="0"/>
          <w:lang w:val="en-ZA"/>
        </w:rPr>
        <w:t>quo</w:t>
      </w:r>
      <w:r w:rsidR="00DD4CDA" w:rsidRPr="00322BEC">
        <w:rPr>
          <w:lang w:val="en-ZA"/>
        </w:rPr>
        <w:t xml:space="preserve"> </w:t>
      </w:r>
      <w:r w:rsidR="00873536" w:rsidRPr="00322BEC">
        <w:rPr>
          <w:lang w:val="en-ZA"/>
        </w:rPr>
        <w:t xml:space="preserve">found that the State had proved its case beyond a reasonable doubt. </w:t>
      </w:r>
    </w:p>
    <w:p w14:paraId="6CD07949" w14:textId="77777777" w:rsidR="00145F51" w:rsidRPr="00322BEC" w:rsidRDefault="00145F51" w:rsidP="009A0798">
      <w:pPr>
        <w:pStyle w:val="1"/>
        <w:numPr>
          <w:ilvl w:val="0"/>
          <w:numId w:val="0"/>
        </w:numPr>
        <w:spacing w:before="0"/>
        <w:rPr>
          <w:lang w:val="en-ZA"/>
        </w:rPr>
      </w:pPr>
    </w:p>
    <w:p w14:paraId="62A853F1" w14:textId="33546A5C" w:rsidR="00004236" w:rsidRPr="00322BEC" w:rsidRDefault="00EA4FD6" w:rsidP="00EA4FD6">
      <w:pPr>
        <w:pStyle w:val="1"/>
        <w:numPr>
          <w:ilvl w:val="0"/>
          <w:numId w:val="0"/>
        </w:numPr>
        <w:tabs>
          <w:tab w:val="left" w:pos="567"/>
        </w:tabs>
        <w:spacing w:before="0"/>
        <w:rPr>
          <w:lang w:val="en-ZA"/>
        </w:rPr>
      </w:pPr>
      <w:r w:rsidRPr="00322BEC">
        <w:rPr>
          <w:lang w:val="en-ZA"/>
        </w:rPr>
        <w:t>[27]</w:t>
      </w:r>
      <w:r w:rsidRPr="00322BEC">
        <w:rPr>
          <w:lang w:val="en-ZA"/>
        </w:rPr>
        <w:tab/>
      </w:r>
      <w:r w:rsidR="00873536" w:rsidRPr="00322BEC">
        <w:rPr>
          <w:lang w:val="en-ZA"/>
        </w:rPr>
        <w:t xml:space="preserve">The </w:t>
      </w:r>
      <w:r w:rsidR="00DD4CDA">
        <w:rPr>
          <w:lang w:val="en-ZA"/>
        </w:rPr>
        <w:t>complainant</w:t>
      </w:r>
      <w:r w:rsidR="00873536" w:rsidRPr="00322BEC">
        <w:rPr>
          <w:lang w:val="en-ZA"/>
        </w:rPr>
        <w:t xml:space="preserve">’s evidence is somewhat problematic in that, despite the </w:t>
      </w:r>
      <w:r w:rsidR="00DD4CDA" w:rsidRPr="00322BEC">
        <w:rPr>
          <w:lang w:val="en-ZA"/>
        </w:rPr>
        <w:t xml:space="preserve">appellant </w:t>
      </w:r>
      <w:r w:rsidR="00873536" w:rsidRPr="00322BEC">
        <w:rPr>
          <w:lang w:val="en-ZA"/>
        </w:rPr>
        <w:t>being known to her, she could not identify him as the person who was allegedly on top of her</w:t>
      </w:r>
      <w:r w:rsidR="00004236" w:rsidRPr="00322BEC">
        <w:rPr>
          <w:lang w:val="en-ZA"/>
        </w:rPr>
        <w:t xml:space="preserve"> at the time of the rape</w:t>
      </w:r>
      <w:r w:rsidR="00873536" w:rsidRPr="00322BEC">
        <w:rPr>
          <w:lang w:val="en-ZA"/>
        </w:rPr>
        <w:t xml:space="preserve">. In </w:t>
      </w:r>
      <w:r w:rsidR="00004236" w:rsidRPr="00322BEC">
        <w:rPr>
          <w:lang w:val="en-ZA"/>
        </w:rPr>
        <w:t>fact,</w:t>
      </w:r>
      <w:r w:rsidR="00873536" w:rsidRPr="00322BEC">
        <w:rPr>
          <w:lang w:val="en-ZA"/>
        </w:rPr>
        <w:t xml:space="preserve"> the </w:t>
      </w:r>
      <w:r w:rsidR="00DD4CDA">
        <w:rPr>
          <w:lang w:val="en-ZA"/>
        </w:rPr>
        <w:t>complainant</w:t>
      </w:r>
      <w:r w:rsidR="00873536" w:rsidRPr="00322BEC">
        <w:rPr>
          <w:lang w:val="en-ZA"/>
        </w:rPr>
        <w:t xml:space="preserve"> gave no descriptive commonalities between the </w:t>
      </w:r>
      <w:r w:rsidR="00DD4CDA" w:rsidRPr="00322BEC">
        <w:rPr>
          <w:lang w:val="en-ZA"/>
        </w:rPr>
        <w:t xml:space="preserve">appellant </w:t>
      </w:r>
      <w:r w:rsidR="00873536" w:rsidRPr="00322BEC">
        <w:rPr>
          <w:lang w:val="en-ZA"/>
        </w:rPr>
        <w:t xml:space="preserve">and the person who raped her. </w:t>
      </w:r>
    </w:p>
    <w:p w14:paraId="366649F1" w14:textId="77777777" w:rsidR="00145F51" w:rsidRPr="00322BEC" w:rsidRDefault="00145F51" w:rsidP="009A0798">
      <w:pPr>
        <w:pStyle w:val="1"/>
        <w:numPr>
          <w:ilvl w:val="0"/>
          <w:numId w:val="0"/>
        </w:numPr>
        <w:spacing w:before="0"/>
        <w:rPr>
          <w:lang w:val="en-ZA"/>
        </w:rPr>
      </w:pPr>
    </w:p>
    <w:p w14:paraId="6B07FC97" w14:textId="2DA879C6" w:rsidR="00004236" w:rsidRPr="00322BEC" w:rsidRDefault="00EA4FD6" w:rsidP="00EA4FD6">
      <w:pPr>
        <w:pStyle w:val="1"/>
        <w:numPr>
          <w:ilvl w:val="0"/>
          <w:numId w:val="0"/>
        </w:numPr>
        <w:tabs>
          <w:tab w:val="left" w:pos="567"/>
        </w:tabs>
        <w:spacing w:before="0"/>
        <w:rPr>
          <w:lang w:val="en-ZA"/>
        </w:rPr>
      </w:pPr>
      <w:r w:rsidRPr="00322BEC">
        <w:rPr>
          <w:lang w:val="en-ZA"/>
        </w:rPr>
        <w:t>[28]</w:t>
      </w:r>
      <w:r w:rsidRPr="00322BEC">
        <w:rPr>
          <w:lang w:val="en-ZA"/>
        </w:rPr>
        <w:tab/>
      </w:r>
      <w:r w:rsidR="00873536" w:rsidRPr="00322BEC">
        <w:rPr>
          <w:lang w:val="en-ZA"/>
        </w:rPr>
        <w:t xml:space="preserve">At the time that the alleged rape occurred, the </w:t>
      </w:r>
      <w:r w:rsidR="00845A8F">
        <w:rPr>
          <w:lang w:val="en-ZA"/>
        </w:rPr>
        <w:t>complainant</w:t>
      </w:r>
      <w:r w:rsidR="00873536" w:rsidRPr="00322BEC">
        <w:rPr>
          <w:lang w:val="en-ZA"/>
        </w:rPr>
        <w:t xml:space="preserve"> did not harbour any </w:t>
      </w:r>
      <w:r w:rsidR="008D231A" w:rsidRPr="00322BEC">
        <w:rPr>
          <w:lang w:val="en-ZA"/>
        </w:rPr>
        <w:t xml:space="preserve">notion that she had been allegedly raped by the </w:t>
      </w:r>
      <w:r w:rsidR="00845A8F" w:rsidRPr="00322BEC">
        <w:rPr>
          <w:lang w:val="en-ZA"/>
        </w:rPr>
        <w:t>appellant</w:t>
      </w:r>
      <w:r w:rsidR="008D231A" w:rsidRPr="00322BEC">
        <w:rPr>
          <w:lang w:val="en-ZA"/>
        </w:rPr>
        <w:t xml:space="preserve">. In fact, she went to the </w:t>
      </w:r>
      <w:r w:rsidR="00845A8F" w:rsidRPr="00322BEC">
        <w:rPr>
          <w:lang w:val="en-ZA"/>
        </w:rPr>
        <w:t xml:space="preserve">appellant </w:t>
      </w:r>
      <w:r w:rsidR="008D231A" w:rsidRPr="00322BEC">
        <w:rPr>
          <w:lang w:val="en-ZA"/>
        </w:rPr>
        <w:t xml:space="preserve">who was sleeping on the bed to enquire who else was in the room. </w:t>
      </w:r>
    </w:p>
    <w:p w14:paraId="421151B7" w14:textId="77777777" w:rsidR="00145F51" w:rsidRPr="00322BEC" w:rsidRDefault="00145F51" w:rsidP="009A0798">
      <w:pPr>
        <w:pStyle w:val="1"/>
        <w:numPr>
          <w:ilvl w:val="0"/>
          <w:numId w:val="0"/>
        </w:numPr>
        <w:spacing w:before="0"/>
        <w:rPr>
          <w:lang w:val="en-ZA"/>
        </w:rPr>
      </w:pPr>
    </w:p>
    <w:p w14:paraId="5D198135" w14:textId="1A0ADC0C" w:rsidR="00873536" w:rsidRPr="00322BEC" w:rsidRDefault="00EA4FD6" w:rsidP="00EA4FD6">
      <w:pPr>
        <w:pStyle w:val="1"/>
        <w:numPr>
          <w:ilvl w:val="0"/>
          <w:numId w:val="0"/>
        </w:numPr>
        <w:tabs>
          <w:tab w:val="left" w:pos="567"/>
        </w:tabs>
        <w:spacing w:before="0"/>
        <w:rPr>
          <w:lang w:val="en-ZA"/>
        </w:rPr>
      </w:pPr>
      <w:r w:rsidRPr="00322BEC">
        <w:rPr>
          <w:lang w:val="en-ZA"/>
        </w:rPr>
        <w:t>[29]</w:t>
      </w:r>
      <w:r w:rsidRPr="00322BEC">
        <w:rPr>
          <w:lang w:val="en-ZA"/>
        </w:rPr>
        <w:tab/>
      </w:r>
      <w:r w:rsidR="008D231A" w:rsidRPr="00322BEC">
        <w:rPr>
          <w:lang w:val="en-ZA"/>
        </w:rPr>
        <w:t xml:space="preserve">No explanation </w:t>
      </w:r>
      <w:r w:rsidR="00B70F50">
        <w:rPr>
          <w:lang w:val="en-ZA"/>
        </w:rPr>
        <w:t>wa</w:t>
      </w:r>
      <w:r w:rsidR="00B70F50" w:rsidRPr="00322BEC">
        <w:rPr>
          <w:lang w:val="en-ZA"/>
        </w:rPr>
        <w:t xml:space="preserve">s </w:t>
      </w:r>
      <w:r w:rsidR="008D231A" w:rsidRPr="00322BEC">
        <w:rPr>
          <w:lang w:val="en-ZA"/>
        </w:rPr>
        <w:t xml:space="preserve">given by the </w:t>
      </w:r>
      <w:r w:rsidR="00845A8F">
        <w:rPr>
          <w:lang w:val="en-ZA"/>
        </w:rPr>
        <w:t>complainant</w:t>
      </w:r>
      <w:r w:rsidR="008D231A" w:rsidRPr="00322BEC">
        <w:rPr>
          <w:lang w:val="en-ZA"/>
        </w:rPr>
        <w:t xml:space="preserve"> as to why she did not </w:t>
      </w:r>
      <w:r w:rsidR="00004236" w:rsidRPr="00322BEC">
        <w:rPr>
          <w:lang w:val="en-ZA"/>
        </w:rPr>
        <w:t>or</w:t>
      </w:r>
      <w:r w:rsidR="008D231A" w:rsidRPr="00322BEC">
        <w:rPr>
          <w:lang w:val="en-ZA"/>
        </w:rPr>
        <w:t xml:space="preserve"> could not identify the </w:t>
      </w:r>
      <w:r w:rsidR="00845A8F" w:rsidRPr="00322BEC">
        <w:rPr>
          <w:lang w:val="en-ZA"/>
        </w:rPr>
        <w:t xml:space="preserve">appellant </w:t>
      </w:r>
      <w:r w:rsidR="008D231A" w:rsidRPr="00322BEC">
        <w:rPr>
          <w:lang w:val="en-ZA"/>
        </w:rPr>
        <w:t xml:space="preserve">as the person who was on top of her at the time of the incident. From her evidence, the </w:t>
      </w:r>
      <w:r w:rsidR="00845A8F">
        <w:rPr>
          <w:lang w:val="en-ZA"/>
        </w:rPr>
        <w:t>complainant</w:t>
      </w:r>
      <w:r w:rsidR="008D231A" w:rsidRPr="00322BEC">
        <w:rPr>
          <w:lang w:val="en-ZA"/>
        </w:rPr>
        <w:t xml:space="preserve"> saw the person standing up and saw the person who had climbed on top of her. She saw the naked person insert his penis into her vagina. </w:t>
      </w:r>
      <w:r w:rsidR="00004236" w:rsidRPr="00322BEC">
        <w:rPr>
          <w:lang w:val="en-ZA"/>
        </w:rPr>
        <w:t>However,</w:t>
      </w:r>
      <w:r w:rsidR="008D231A" w:rsidRPr="00322BEC">
        <w:rPr>
          <w:lang w:val="en-ZA"/>
        </w:rPr>
        <w:t xml:space="preserve"> there is no explanation as to why, whilst looking at this person, she did not recognise this individual as being the </w:t>
      </w:r>
      <w:r w:rsidR="00845A8F" w:rsidRPr="00322BEC">
        <w:rPr>
          <w:lang w:val="en-ZA"/>
        </w:rPr>
        <w:t>appellant</w:t>
      </w:r>
      <w:r w:rsidR="008D231A" w:rsidRPr="00322BEC">
        <w:rPr>
          <w:lang w:val="en-ZA"/>
        </w:rPr>
        <w:t>.</w:t>
      </w:r>
    </w:p>
    <w:p w14:paraId="5F420481" w14:textId="77777777" w:rsidR="00145F51" w:rsidRPr="00322BEC" w:rsidRDefault="00145F51" w:rsidP="009A0798">
      <w:pPr>
        <w:pStyle w:val="1"/>
        <w:numPr>
          <w:ilvl w:val="0"/>
          <w:numId w:val="0"/>
        </w:numPr>
        <w:spacing w:before="0"/>
        <w:rPr>
          <w:lang w:val="en-ZA"/>
        </w:rPr>
      </w:pPr>
    </w:p>
    <w:p w14:paraId="70EC1CBA" w14:textId="1FFA8022" w:rsidR="008D231A" w:rsidRPr="00322BEC" w:rsidRDefault="00EA4FD6" w:rsidP="00EA4FD6">
      <w:pPr>
        <w:pStyle w:val="1"/>
        <w:numPr>
          <w:ilvl w:val="0"/>
          <w:numId w:val="0"/>
        </w:numPr>
        <w:tabs>
          <w:tab w:val="left" w:pos="567"/>
        </w:tabs>
        <w:spacing w:before="0"/>
        <w:rPr>
          <w:lang w:val="en-ZA"/>
        </w:rPr>
      </w:pPr>
      <w:r w:rsidRPr="00322BEC">
        <w:rPr>
          <w:lang w:val="en-ZA"/>
        </w:rPr>
        <w:t>[30]</w:t>
      </w:r>
      <w:r w:rsidRPr="00322BEC">
        <w:rPr>
          <w:lang w:val="en-ZA"/>
        </w:rPr>
        <w:tab/>
      </w:r>
      <w:r w:rsidR="008D231A" w:rsidRPr="00322BEC">
        <w:rPr>
          <w:lang w:val="en-ZA"/>
        </w:rPr>
        <w:t xml:space="preserve">Further, there was no evidence of penetration. The evidence </w:t>
      </w:r>
      <w:r w:rsidR="00A36002">
        <w:rPr>
          <w:lang w:val="en-ZA"/>
        </w:rPr>
        <w:t>of</w:t>
      </w:r>
      <w:r w:rsidR="008D231A" w:rsidRPr="00322BEC">
        <w:rPr>
          <w:lang w:val="en-ZA"/>
        </w:rPr>
        <w:t xml:space="preserve"> Dr Khan was that no penetration had in fact occurred. This contradicts the </w:t>
      </w:r>
      <w:r w:rsidR="00A36002">
        <w:rPr>
          <w:lang w:val="en-ZA"/>
        </w:rPr>
        <w:t>complainant</w:t>
      </w:r>
      <w:r w:rsidR="008D231A" w:rsidRPr="00322BEC">
        <w:rPr>
          <w:lang w:val="en-ZA"/>
        </w:rPr>
        <w:t xml:space="preserve">’s version that </w:t>
      </w:r>
      <w:r w:rsidR="00A36002">
        <w:rPr>
          <w:lang w:val="en-ZA"/>
        </w:rPr>
        <w:t>a</w:t>
      </w:r>
      <w:r w:rsidR="00A36002" w:rsidRPr="00322BEC">
        <w:rPr>
          <w:lang w:val="en-ZA"/>
        </w:rPr>
        <w:t xml:space="preserve"> </w:t>
      </w:r>
      <w:r w:rsidR="008D231A" w:rsidRPr="00322BEC">
        <w:rPr>
          <w:lang w:val="en-ZA"/>
        </w:rPr>
        <w:t>penis had been inserted into her vagina</w:t>
      </w:r>
      <w:r w:rsidR="005E797D">
        <w:rPr>
          <w:lang w:val="en-ZA"/>
        </w:rPr>
        <w:t>, not only once, but on three diverse occasions according to the report she made to her aunt, Ms M</w:t>
      </w:r>
      <w:r w:rsidR="006709F5">
        <w:rPr>
          <w:lang w:val="en-ZA"/>
        </w:rPr>
        <w:t>[…]</w:t>
      </w:r>
      <w:bookmarkStart w:id="1" w:name="_GoBack"/>
      <w:bookmarkEnd w:id="1"/>
      <w:r w:rsidR="005E797D">
        <w:rPr>
          <w:lang w:val="en-ZA"/>
        </w:rPr>
        <w:t>.</w:t>
      </w:r>
    </w:p>
    <w:p w14:paraId="6CB35B9F" w14:textId="77777777" w:rsidR="00145F51" w:rsidRPr="00322BEC" w:rsidRDefault="00145F51" w:rsidP="009A0798">
      <w:pPr>
        <w:pStyle w:val="1"/>
        <w:numPr>
          <w:ilvl w:val="0"/>
          <w:numId w:val="0"/>
        </w:numPr>
        <w:spacing w:before="0"/>
        <w:rPr>
          <w:lang w:val="en-ZA"/>
        </w:rPr>
      </w:pPr>
    </w:p>
    <w:p w14:paraId="023CC3C6" w14:textId="033DD908" w:rsidR="008D231A" w:rsidRPr="00322BEC" w:rsidRDefault="00EA4FD6" w:rsidP="00EA4FD6">
      <w:pPr>
        <w:pStyle w:val="1"/>
        <w:numPr>
          <w:ilvl w:val="0"/>
          <w:numId w:val="0"/>
        </w:numPr>
        <w:tabs>
          <w:tab w:val="left" w:pos="567"/>
        </w:tabs>
        <w:spacing w:before="0"/>
        <w:rPr>
          <w:lang w:val="en-ZA"/>
        </w:rPr>
      </w:pPr>
      <w:r w:rsidRPr="00322BEC">
        <w:rPr>
          <w:lang w:val="en-ZA"/>
        </w:rPr>
        <w:t>[31]</w:t>
      </w:r>
      <w:r w:rsidRPr="00322BEC">
        <w:rPr>
          <w:lang w:val="en-ZA"/>
        </w:rPr>
        <w:tab/>
      </w:r>
      <w:r w:rsidR="008D231A" w:rsidRPr="00322BEC">
        <w:rPr>
          <w:lang w:val="en-ZA"/>
        </w:rPr>
        <w:t xml:space="preserve">When assessing the </w:t>
      </w:r>
      <w:r w:rsidR="00004236" w:rsidRPr="00322BEC">
        <w:rPr>
          <w:lang w:val="en-ZA"/>
        </w:rPr>
        <w:t>evidence,</w:t>
      </w:r>
      <w:r w:rsidR="008D231A" w:rsidRPr="00322BEC">
        <w:rPr>
          <w:lang w:val="en-ZA"/>
        </w:rPr>
        <w:t xml:space="preserve"> it is imperative to evaluate all of the evidence and not be selective in </w:t>
      </w:r>
      <w:r w:rsidR="00772998" w:rsidRPr="00322BEC">
        <w:rPr>
          <w:lang w:val="en-ZA"/>
        </w:rPr>
        <w:t>determining</w:t>
      </w:r>
      <w:r w:rsidR="008D231A" w:rsidRPr="00322BEC">
        <w:rPr>
          <w:lang w:val="en-ZA"/>
        </w:rPr>
        <w:t xml:space="preserve"> what evidence to consider. </w:t>
      </w:r>
      <w:r w:rsidR="00FC665F" w:rsidRPr="00322BEC">
        <w:rPr>
          <w:lang w:val="en-ZA"/>
        </w:rPr>
        <w:t xml:space="preserve">The State’s case was </w:t>
      </w:r>
      <w:r w:rsidR="00004236" w:rsidRPr="00322BEC">
        <w:rPr>
          <w:lang w:val="en-ZA"/>
        </w:rPr>
        <w:t>wholly</w:t>
      </w:r>
      <w:r w:rsidR="00FC665F" w:rsidRPr="00322BEC">
        <w:rPr>
          <w:lang w:val="en-ZA"/>
        </w:rPr>
        <w:t xml:space="preserve"> reliant on the evidence of the </w:t>
      </w:r>
      <w:r w:rsidR="00B240DF">
        <w:rPr>
          <w:lang w:val="en-ZA"/>
        </w:rPr>
        <w:t>complainant</w:t>
      </w:r>
      <w:r w:rsidR="00FC665F" w:rsidRPr="00322BEC">
        <w:rPr>
          <w:lang w:val="en-ZA"/>
        </w:rPr>
        <w:t xml:space="preserve">. </w:t>
      </w:r>
    </w:p>
    <w:p w14:paraId="4656F988" w14:textId="77777777" w:rsidR="00145F51" w:rsidRPr="00322BEC" w:rsidRDefault="00145F51" w:rsidP="009A0798">
      <w:pPr>
        <w:pStyle w:val="1"/>
        <w:numPr>
          <w:ilvl w:val="0"/>
          <w:numId w:val="0"/>
        </w:numPr>
        <w:spacing w:before="0"/>
        <w:rPr>
          <w:lang w:val="en-ZA"/>
        </w:rPr>
      </w:pPr>
    </w:p>
    <w:p w14:paraId="7B9C3361" w14:textId="555399BD" w:rsidR="00777C2E" w:rsidRPr="00322BEC" w:rsidRDefault="00EA4FD6" w:rsidP="00EA4FD6">
      <w:pPr>
        <w:pStyle w:val="1"/>
        <w:numPr>
          <w:ilvl w:val="0"/>
          <w:numId w:val="0"/>
        </w:numPr>
        <w:tabs>
          <w:tab w:val="left" w:pos="567"/>
        </w:tabs>
        <w:spacing w:before="0"/>
        <w:rPr>
          <w:lang w:val="en-ZA"/>
        </w:rPr>
      </w:pPr>
      <w:r w:rsidRPr="00322BEC">
        <w:rPr>
          <w:lang w:val="en-ZA"/>
        </w:rPr>
        <w:lastRenderedPageBreak/>
        <w:t>[32]</w:t>
      </w:r>
      <w:r w:rsidRPr="00322BEC">
        <w:rPr>
          <w:lang w:val="en-ZA"/>
        </w:rPr>
        <w:tab/>
      </w:r>
      <w:r w:rsidR="00FC665F" w:rsidRPr="00322BEC">
        <w:rPr>
          <w:lang w:val="en-ZA"/>
        </w:rPr>
        <w:t xml:space="preserve">In </w:t>
      </w:r>
      <w:r w:rsidR="00FC665F" w:rsidRPr="00322BEC">
        <w:rPr>
          <w:i/>
          <w:iCs w:val="0"/>
          <w:lang w:val="en-ZA"/>
        </w:rPr>
        <w:t>S v Stevens,</w:t>
      </w:r>
      <w:r w:rsidR="00777C2E" w:rsidRPr="00322BEC">
        <w:rPr>
          <w:rStyle w:val="FootnoteReference"/>
          <w:lang w:val="en-ZA"/>
        </w:rPr>
        <w:footnoteReference w:id="3"/>
      </w:r>
      <w:r w:rsidR="00FC665F" w:rsidRPr="00322BEC">
        <w:rPr>
          <w:i/>
          <w:iCs w:val="0"/>
          <w:lang w:val="en-ZA"/>
        </w:rPr>
        <w:t xml:space="preserve"> </w:t>
      </w:r>
      <w:r w:rsidR="00FC665F" w:rsidRPr="00322BEC">
        <w:rPr>
          <w:lang w:val="en-ZA"/>
        </w:rPr>
        <w:t>the Supreme Court of Appeal held:</w:t>
      </w:r>
    </w:p>
    <w:p w14:paraId="721561C4" w14:textId="68F2F605" w:rsidR="00630C63" w:rsidRPr="00630C63" w:rsidRDefault="00630C63" w:rsidP="00630C63">
      <w:pPr>
        <w:pStyle w:val="Quote"/>
        <w:spacing w:after="0"/>
        <w:rPr>
          <w:lang w:val="en-ZA"/>
        </w:rPr>
      </w:pPr>
      <w:r>
        <w:rPr>
          <w:lang w:val="en-ZA"/>
        </w:rPr>
        <w:t>‘</w:t>
      </w:r>
      <w:r w:rsidRPr="00630C63">
        <w:rPr>
          <w:lang w:val="en-ZA"/>
        </w:rPr>
        <w:t xml:space="preserve">As indicated above, each of the complainants was a single witness in respect of the alleged indecent assault upon her. In terms of s 208 of the Criminal Procedure Act, an accused can be convicted of any offence on the single evidence of any competent witness. It is, however, a well-established judicial practice that the evidence of a single witness should be approached with caution, his or her merits as a witness being weighed against factors which militate against his or her credibility (see, for example, </w:t>
      </w:r>
      <w:r w:rsidRPr="00630C63">
        <w:rPr>
          <w:i/>
          <w:lang w:val="en-ZA"/>
        </w:rPr>
        <w:t>S v Webber</w:t>
      </w:r>
      <w:r w:rsidRPr="00630C63">
        <w:rPr>
          <w:lang w:val="en-ZA"/>
        </w:rPr>
        <w:t xml:space="preserve"> 1971 (3) SA 754 (A) at 758G-H). The correct approach to the application of this so-called </w:t>
      </w:r>
      <w:r>
        <w:rPr>
          <w:lang w:val="en-ZA"/>
        </w:rPr>
        <w:t>“</w:t>
      </w:r>
      <w:r w:rsidRPr="00630C63">
        <w:rPr>
          <w:lang w:val="en-ZA"/>
        </w:rPr>
        <w:t>cautionary rule</w:t>
      </w:r>
      <w:r>
        <w:rPr>
          <w:lang w:val="en-ZA"/>
        </w:rPr>
        <w:t>”</w:t>
      </w:r>
      <w:r w:rsidRPr="00630C63">
        <w:rPr>
          <w:lang w:val="en-ZA"/>
        </w:rPr>
        <w:t xml:space="preserve"> was set out by </w:t>
      </w:r>
      <w:proofErr w:type="spellStart"/>
      <w:r w:rsidRPr="00630C63">
        <w:rPr>
          <w:lang w:val="en-ZA"/>
        </w:rPr>
        <w:t>Diemont</w:t>
      </w:r>
      <w:proofErr w:type="spellEnd"/>
      <w:r w:rsidRPr="00630C63">
        <w:rPr>
          <w:lang w:val="en-ZA"/>
        </w:rPr>
        <w:t xml:space="preserve"> JA in </w:t>
      </w:r>
      <w:r w:rsidRPr="00630C63">
        <w:rPr>
          <w:i/>
          <w:lang w:val="en-ZA"/>
        </w:rPr>
        <w:t xml:space="preserve">S v </w:t>
      </w:r>
      <w:proofErr w:type="spellStart"/>
      <w:r w:rsidRPr="00630C63">
        <w:rPr>
          <w:i/>
          <w:lang w:val="en-ZA"/>
        </w:rPr>
        <w:t>Sauls</w:t>
      </w:r>
      <w:proofErr w:type="spellEnd"/>
      <w:r w:rsidRPr="00630C63">
        <w:rPr>
          <w:i/>
          <w:lang w:val="en-ZA"/>
        </w:rPr>
        <w:t xml:space="preserve"> and Others</w:t>
      </w:r>
      <w:r w:rsidRPr="00630C63">
        <w:rPr>
          <w:lang w:val="en-ZA"/>
        </w:rPr>
        <w:t xml:space="preserve"> 1981 (3) S</w:t>
      </w:r>
      <w:r>
        <w:rPr>
          <w:lang w:val="en-ZA"/>
        </w:rPr>
        <w:t>A 172 (A) at 180E-G as follows:</w:t>
      </w:r>
    </w:p>
    <w:p w14:paraId="39549450" w14:textId="7EB0E9AF" w:rsidR="00630C63" w:rsidRPr="00630C63" w:rsidRDefault="00630C63" w:rsidP="00630C63">
      <w:pPr>
        <w:pStyle w:val="Quote"/>
        <w:spacing w:after="0"/>
        <w:ind w:left="720"/>
        <w:rPr>
          <w:lang w:val="en-ZA"/>
        </w:rPr>
      </w:pPr>
      <w:r>
        <w:rPr>
          <w:lang w:val="en-ZA"/>
        </w:rPr>
        <w:t>“</w:t>
      </w:r>
      <w:r w:rsidRPr="00630C63">
        <w:rPr>
          <w:lang w:val="en-ZA"/>
        </w:rPr>
        <w:t xml:space="preserve">There is no rule of thumb test or formula to apply when it comes to a consideration of the credibility of the single witness (see the remarks of </w:t>
      </w:r>
      <w:proofErr w:type="spellStart"/>
      <w:r w:rsidRPr="00630C63">
        <w:rPr>
          <w:lang w:val="en-ZA"/>
        </w:rPr>
        <w:t>Rumpff</w:t>
      </w:r>
      <w:proofErr w:type="spellEnd"/>
      <w:r w:rsidRPr="00630C63">
        <w:rPr>
          <w:lang w:val="en-ZA"/>
        </w:rPr>
        <w:t xml:space="preserve"> JA in </w:t>
      </w:r>
      <w:r w:rsidRPr="007066B5">
        <w:rPr>
          <w:i/>
          <w:lang w:val="en-ZA"/>
        </w:rPr>
        <w:t>S v Webber</w:t>
      </w:r>
      <w:r w:rsidRPr="00630C63">
        <w:rPr>
          <w:lang w:val="en-ZA"/>
        </w:rPr>
        <w:t xml:space="preserve">. . .).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[in </w:t>
      </w:r>
      <w:r w:rsidRPr="007066B5">
        <w:rPr>
          <w:i/>
          <w:lang w:val="en-ZA"/>
        </w:rPr>
        <w:t xml:space="preserve">R v </w:t>
      </w:r>
      <w:proofErr w:type="spellStart"/>
      <w:r w:rsidRPr="007066B5">
        <w:rPr>
          <w:i/>
          <w:lang w:val="en-ZA"/>
        </w:rPr>
        <w:t>Mokoena</w:t>
      </w:r>
      <w:proofErr w:type="spellEnd"/>
      <w:r w:rsidRPr="00630C63">
        <w:rPr>
          <w:lang w:val="en-ZA"/>
        </w:rPr>
        <w:t xml:space="preserve"> 1932 OPD 79 at 80] may be a guide to a right decision but it does not mean </w:t>
      </w:r>
      <w:r w:rsidR="007066B5">
        <w:rPr>
          <w:lang w:val="en-ZA"/>
        </w:rPr>
        <w:t>‘</w:t>
      </w:r>
      <w:r w:rsidRPr="00630C63">
        <w:rPr>
          <w:lang w:val="en-ZA"/>
        </w:rPr>
        <w:t>that the appeal must succeed if any criticism, however slender, of the witnesses’ evidence were well-founded</w:t>
      </w:r>
      <w:r w:rsidR="007066B5">
        <w:rPr>
          <w:lang w:val="en-ZA"/>
        </w:rPr>
        <w:t>’</w:t>
      </w:r>
      <w:r w:rsidRPr="00630C63">
        <w:rPr>
          <w:lang w:val="en-ZA"/>
        </w:rPr>
        <w:t xml:space="preserve"> (per Schreiner JA in </w:t>
      </w:r>
      <w:r w:rsidRPr="007066B5">
        <w:rPr>
          <w:i/>
          <w:lang w:val="en-ZA"/>
        </w:rPr>
        <w:t xml:space="preserve">R v </w:t>
      </w:r>
      <w:proofErr w:type="spellStart"/>
      <w:r w:rsidRPr="007066B5">
        <w:rPr>
          <w:i/>
          <w:lang w:val="en-ZA"/>
        </w:rPr>
        <w:t>Nhlapo</w:t>
      </w:r>
      <w:proofErr w:type="spellEnd"/>
      <w:r w:rsidRPr="00630C63">
        <w:rPr>
          <w:lang w:val="en-ZA"/>
        </w:rPr>
        <w:t xml:space="preserve"> (AD 10 November 1952) quoted in </w:t>
      </w:r>
      <w:r w:rsidRPr="007066B5">
        <w:rPr>
          <w:i/>
          <w:lang w:val="en-ZA"/>
        </w:rPr>
        <w:t>R v Bellingham</w:t>
      </w:r>
      <w:r w:rsidRPr="00630C63">
        <w:rPr>
          <w:lang w:val="en-ZA"/>
        </w:rPr>
        <w:t xml:space="preserve"> 1955 (2) SA 566 (A) at 569.) It has been said more than once that the exercise of caution must not be allowed to displace the exercise of common sense.</w:t>
      </w:r>
      <w:r>
        <w:rPr>
          <w:lang w:val="en-ZA"/>
        </w:rPr>
        <w:t>”’</w:t>
      </w:r>
    </w:p>
    <w:p w14:paraId="5B54A41A" w14:textId="144DF137" w:rsidR="00145F51" w:rsidRPr="00322BEC" w:rsidRDefault="00145F51" w:rsidP="009A0798">
      <w:pPr>
        <w:pStyle w:val="Quote"/>
        <w:spacing w:after="0"/>
        <w:rPr>
          <w:sz w:val="24"/>
          <w:lang w:val="en-ZA"/>
        </w:rPr>
      </w:pPr>
    </w:p>
    <w:p w14:paraId="293318F7" w14:textId="2ED24FFE" w:rsidR="007066B5" w:rsidRPr="007066B5" w:rsidRDefault="00EA4FD6" w:rsidP="00EA4FD6">
      <w:pPr>
        <w:pStyle w:val="1"/>
        <w:numPr>
          <w:ilvl w:val="0"/>
          <w:numId w:val="0"/>
        </w:numPr>
        <w:tabs>
          <w:tab w:val="left" w:pos="567"/>
        </w:tabs>
        <w:spacing w:before="0"/>
        <w:rPr>
          <w:rFonts w:eastAsiaTheme="minorHAnsi"/>
          <w:lang w:val="en-ZA"/>
        </w:rPr>
      </w:pPr>
      <w:r w:rsidRPr="007066B5">
        <w:rPr>
          <w:rFonts w:eastAsiaTheme="minorHAnsi"/>
          <w:lang w:val="en-ZA"/>
        </w:rPr>
        <w:t>[33]</w:t>
      </w:r>
      <w:r w:rsidRPr="007066B5">
        <w:rPr>
          <w:rFonts w:eastAsiaTheme="minorHAnsi"/>
          <w:lang w:val="en-ZA"/>
        </w:rPr>
        <w:tab/>
      </w:r>
      <w:r w:rsidR="00777C2E" w:rsidRPr="00322BEC">
        <w:rPr>
          <w:lang w:val="en-ZA"/>
        </w:rPr>
        <w:t xml:space="preserve">In order to rely on the evidence of </w:t>
      </w:r>
      <w:r w:rsidR="007066B5">
        <w:rPr>
          <w:lang w:val="en-ZA"/>
        </w:rPr>
        <w:t>the complainant</w:t>
      </w:r>
      <w:r w:rsidR="00777C2E" w:rsidRPr="00322BEC">
        <w:rPr>
          <w:lang w:val="en-ZA"/>
        </w:rPr>
        <w:t xml:space="preserve">, the </w:t>
      </w:r>
      <w:r w:rsidR="00772998" w:rsidRPr="00322BEC">
        <w:rPr>
          <w:lang w:val="en-ZA"/>
        </w:rPr>
        <w:t>court must</w:t>
      </w:r>
      <w:r w:rsidR="00777C2E" w:rsidRPr="00322BEC">
        <w:rPr>
          <w:lang w:val="en-ZA"/>
        </w:rPr>
        <w:t xml:space="preserve"> be satisfied that their evidence is trustworthy. In </w:t>
      </w:r>
      <w:proofErr w:type="spellStart"/>
      <w:r w:rsidR="00FC665F" w:rsidRPr="00322BEC">
        <w:rPr>
          <w:rFonts w:eastAsiaTheme="minorHAnsi"/>
          <w:i/>
          <w:iCs w:val="0"/>
          <w:lang w:val="en-ZA"/>
        </w:rPr>
        <w:t>Maila</w:t>
      </w:r>
      <w:proofErr w:type="spellEnd"/>
      <w:r w:rsidR="00FC665F" w:rsidRPr="00322BEC">
        <w:rPr>
          <w:rFonts w:eastAsiaTheme="minorHAnsi"/>
          <w:i/>
          <w:iCs w:val="0"/>
          <w:lang w:val="en-ZA"/>
        </w:rPr>
        <w:t xml:space="preserve"> v S</w:t>
      </w:r>
      <w:r w:rsidR="00777C2E" w:rsidRPr="00322BEC">
        <w:rPr>
          <w:rStyle w:val="FootnoteReference"/>
          <w:rFonts w:eastAsiaTheme="minorHAnsi"/>
          <w:lang w:val="en-ZA"/>
        </w:rPr>
        <w:footnoteReference w:id="4"/>
      </w:r>
      <w:r w:rsidR="00777C2E" w:rsidRPr="00322BEC">
        <w:rPr>
          <w:rFonts w:eastAsiaTheme="minorHAnsi"/>
          <w:lang w:val="en-ZA"/>
        </w:rPr>
        <w:t xml:space="preserve"> the Supreme Court of Appeal held the following:</w:t>
      </w:r>
    </w:p>
    <w:p w14:paraId="1A363BC3" w14:textId="0855ADC0" w:rsidR="007066B5" w:rsidRPr="007066B5" w:rsidRDefault="007066B5" w:rsidP="007066B5">
      <w:pPr>
        <w:pStyle w:val="Quote"/>
        <w:spacing w:after="0"/>
      </w:pPr>
      <w:r>
        <w:t>‘</w:t>
      </w:r>
      <w:r w:rsidRPr="007066B5">
        <w:t>The evidence in this case was based on the evidence of a single witness, the complainant. Apart from being a single witness to the act of rape, the complainant was a girl child, aged 9 years at the time of the incident. For many years, the evidence of a child witness, particularly as a single witness, was treated with caution. This was because cases prior to the advent of the Constitution (which provides in s 9 for equality of all before the law) stated </w:t>
      </w:r>
      <w:r w:rsidRPr="007066B5">
        <w:rPr>
          <w:i/>
          <w:iCs/>
        </w:rPr>
        <w:t>inter alia</w:t>
      </w:r>
      <w:r w:rsidRPr="007066B5">
        <w:t> that a child witness could be manipulated to falsely implicate a particular person as the perpetrator (thereby substituting the accused person for the real perpetrator). To ensure that the evidence of a child witness can be relied upon as provided in s 208 of the CPA, this Court stated in </w:t>
      </w:r>
      <w:proofErr w:type="spellStart"/>
      <w:r w:rsidRPr="007066B5">
        <w:rPr>
          <w:i/>
          <w:iCs/>
        </w:rPr>
        <w:t>Woji</w:t>
      </w:r>
      <w:proofErr w:type="spellEnd"/>
      <w:r w:rsidRPr="007066B5">
        <w:rPr>
          <w:i/>
          <w:iCs/>
        </w:rPr>
        <w:t xml:space="preserve"> v </w:t>
      </w:r>
      <w:proofErr w:type="spellStart"/>
      <w:r w:rsidRPr="007066B5">
        <w:rPr>
          <w:i/>
          <w:iCs/>
        </w:rPr>
        <w:t>Santam</w:t>
      </w:r>
      <w:proofErr w:type="spellEnd"/>
      <w:r w:rsidRPr="007066B5">
        <w:rPr>
          <w:i/>
          <w:iCs/>
        </w:rPr>
        <w:t xml:space="preserve"> Insurance Co Ltd</w:t>
      </w:r>
      <w:r w:rsidRPr="007066B5">
        <w:t xml:space="preserve">, that a court must be satisfied that their evidence is trustworthy. It </w:t>
      </w:r>
      <w:r w:rsidRPr="007066B5">
        <w:lastRenderedPageBreak/>
        <w:t>noted factors which courts must take into account to come to the conclusion that the evidence is trustworthy, without creating a closed list. In this regard, the court held:</w:t>
      </w:r>
    </w:p>
    <w:p w14:paraId="2D9F5792" w14:textId="63966F69" w:rsidR="007066B5" w:rsidRPr="007066B5" w:rsidRDefault="007066B5" w:rsidP="007066B5">
      <w:pPr>
        <w:pStyle w:val="Quote"/>
        <w:spacing w:after="0"/>
        <w:ind w:left="720"/>
      </w:pPr>
      <w:r>
        <w:t>“</w:t>
      </w:r>
      <w:r w:rsidRPr="007066B5">
        <w:rPr>
          <w:i/>
          <w:iCs/>
        </w:rPr>
        <w:t>Trustworthiness</w:t>
      </w:r>
      <w:r w:rsidRPr="007066B5">
        <w:t> . . . depends on factors such as </w:t>
      </w:r>
      <w:r w:rsidRPr="007066B5">
        <w:rPr>
          <w:i/>
          <w:iCs/>
        </w:rPr>
        <w:t>the child’s power of observation</w:t>
      </w:r>
      <w:r w:rsidRPr="007066B5">
        <w:t>, his power of recollection, and his power of narration on the specific matter to be testified</w:t>
      </w:r>
      <w:proofErr w:type="gramStart"/>
      <w:r w:rsidRPr="007066B5">
        <w:t>. . . .</w:t>
      </w:r>
      <w:proofErr w:type="gramEnd"/>
      <w:r w:rsidRPr="007066B5">
        <w:t xml:space="preserve"> His capacity of observation will depend on whether he appears </w:t>
      </w:r>
      <w:r>
        <w:t>‘</w:t>
      </w:r>
      <w:r w:rsidRPr="007066B5">
        <w:t>intelligent enough to observe</w:t>
      </w:r>
      <w:r>
        <w:t>’</w:t>
      </w:r>
      <w:r w:rsidRPr="007066B5">
        <w:t>. Whether he has the </w:t>
      </w:r>
      <w:r w:rsidRPr="007066B5">
        <w:rPr>
          <w:i/>
          <w:iCs/>
        </w:rPr>
        <w:t>capacity of recollection</w:t>
      </w:r>
      <w:r w:rsidRPr="007066B5">
        <w:t> will depend again on whether he has </w:t>
      </w:r>
      <w:r w:rsidRPr="007066B5">
        <w:rPr>
          <w:i/>
          <w:iCs/>
        </w:rPr>
        <w:t xml:space="preserve">sufficient years of discretion </w:t>
      </w:r>
      <w:r>
        <w:rPr>
          <w:i/>
          <w:iCs/>
        </w:rPr>
        <w:t>‘</w:t>
      </w:r>
      <w:r w:rsidRPr="007066B5">
        <w:rPr>
          <w:i/>
          <w:iCs/>
        </w:rPr>
        <w:t>to remember what occurs</w:t>
      </w:r>
      <w:r>
        <w:rPr>
          <w:i/>
          <w:iCs/>
        </w:rPr>
        <w:t>’</w:t>
      </w:r>
      <w:r w:rsidRPr="007066B5">
        <w:rPr>
          <w:i/>
          <w:iCs/>
        </w:rPr>
        <w:t> </w:t>
      </w:r>
      <w:r w:rsidRPr="007066B5">
        <w:t>while the </w:t>
      </w:r>
      <w:r w:rsidRPr="007066B5">
        <w:rPr>
          <w:i/>
          <w:iCs/>
        </w:rPr>
        <w:t>capacity of narration or communication</w:t>
      </w:r>
      <w:r w:rsidRPr="007066B5">
        <w:t xml:space="preserve"> raises the question whether the child has the </w:t>
      </w:r>
      <w:r>
        <w:t>‘</w:t>
      </w:r>
      <w:r w:rsidRPr="007066B5">
        <w:rPr>
          <w:i/>
          <w:iCs/>
        </w:rPr>
        <w:t>capacity to understand the questions put, and to frame and express intelligent answers</w:t>
      </w:r>
      <w:r w:rsidRPr="007066B5">
        <w:t>.</w:t>
      </w:r>
      <w:r>
        <w:t>’”’</w:t>
      </w:r>
      <w:r w:rsidRPr="007066B5">
        <w:t xml:space="preserve"> (Emphasis </w:t>
      </w:r>
      <w:r>
        <w:t>in original, footnotes omitted</w:t>
      </w:r>
      <w:r w:rsidRPr="007066B5">
        <w:t>)</w:t>
      </w:r>
    </w:p>
    <w:p w14:paraId="3E812D2E" w14:textId="7FFC1E63" w:rsidR="00145F51" w:rsidRPr="00322BEC" w:rsidRDefault="00145F51" w:rsidP="009A0798">
      <w:pPr>
        <w:pStyle w:val="Quote"/>
        <w:spacing w:after="0"/>
        <w:rPr>
          <w:sz w:val="24"/>
          <w:lang w:val="en-ZA"/>
        </w:rPr>
      </w:pPr>
    </w:p>
    <w:p w14:paraId="57009120" w14:textId="2ABCFA12" w:rsidR="00206661" w:rsidRPr="00322BEC" w:rsidRDefault="00EA4FD6" w:rsidP="00EA4FD6">
      <w:pPr>
        <w:pStyle w:val="1"/>
        <w:numPr>
          <w:ilvl w:val="0"/>
          <w:numId w:val="0"/>
        </w:numPr>
        <w:tabs>
          <w:tab w:val="left" w:pos="567"/>
        </w:tabs>
        <w:spacing w:before="0"/>
        <w:rPr>
          <w:lang w:val="en-ZA"/>
        </w:rPr>
      </w:pPr>
      <w:r w:rsidRPr="00322BEC">
        <w:rPr>
          <w:lang w:val="en-ZA"/>
        </w:rPr>
        <w:t>[34]</w:t>
      </w:r>
      <w:r w:rsidRPr="00322BEC">
        <w:rPr>
          <w:lang w:val="en-ZA"/>
        </w:rPr>
        <w:tab/>
      </w:r>
      <w:r w:rsidR="00206661" w:rsidRPr="00322BEC">
        <w:rPr>
          <w:lang w:val="en-ZA"/>
        </w:rPr>
        <w:t xml:space="preserve">The evidence of the </w:t>
      </w:r>
      <w:r w:rsidR="007066B5">
        <w:rPr>
          <w:lang w:val="en-ZA"/>
        </w:rPr>
        <w:t>complainant</w:t>
      </w:r>
      <w:r w:rsidR="00206661" w:rsidRPr="00322BEC">
        <w:rPr>
          <w:lang w:val="en-ZA"/>
        </w:rPr>
        <w:t xml:space="preserve"> </w:t>
      </w:r>
      <w:r w:rsidR="004C3756">
        <w:rPr>
          <w:lang w:val="en-ZA"/>
        </w:rPr>
        <w:t xml:space="preserve">could not be considered as </w:t>
      </w:r>
      <w:proofErr w:type="gramStart"/>
      <w:r w:rsidR="004C3756">
        <w:rPr>
          <w:lang w:val="en-ZA"/>
        </w:rPr>
        <w:t xml:space="preserve">being </w:t>
      </w:r>
      <w:r w:rsidR="00206661" w:rsidRPr="00322BEC">
        <w:rPr>
          <w:lang w:val="en-ZA"/>
        </w:rPr>
        <w:t xml:space="preserve"> trustworthy</w:t>
      </w:r>
      <w:proofErr w:type="gramEnd"/>
      <w:r w:rsidR="004C3756">
        <w:rPr>
          <w:lang w:val="en-ZA"/>
        </w:rPr>
        <w:t xml:space="preserve">, </w:t>
      </w:r>
      <w:r w:rsidR="005E797D">
        <w:rPr>
          <w:lang w:val="en-ZA"/>
        </w:rPr>
        <w:t>which was</w:t>
      </w:r>
      <w:r w:rsidR="00206661" w:rsidRPr="00322BEC">
        <w:rPr>
          <w:lang w:val="en-ZA"/>
        </w:rPr>
        <w:t xml:space="preserve"> held </w:t>
      </w:r>
      <w:r w:rsidR="005E797D">
        <w:rPr>
          <w:lang w:val="en-ZA"/>
        </w:rPr>
        <w:t>as being</w:t>
      </w:r>
      <w:r w:rsidR="00004236" w:rsidRPr="00322BEC">
        <w:rPr>
          <w:lang w:val="en-ZA"/>
        </w:rPr>
        <w:t xml:space="preserve"> </w:t>
      </w:r>
      <w:r w:rsidR="00206661" w:rsidRPr="00322BEC">
        <w:rPr>
          <w:lang w:val="en-ZA"/>
        </w:rPr>
        <w:t xml:space="preserve">necessary by the Supreme Court of Appeal in both </w:t>
      </w:r>
      <w:r w:rsidR="00206661" w:rsidRPr="00322BEC">
        <w:rPr>
          <w:i/>
          <w:iCs w:val="0"/>
          <w:lang w:val="en-ZA"/>
        </w:rPr>
        <w:t xml:space="preserve">Stevens </w:t>
      </w:r>
      <w:r w:rsidR="00206661" w:rsidRPr="00322BEC">
        <w:rPr>
          <w:lang w:val="en-ZA"/>
        </w:rPr>
        <w:t xml:space="preserve">and </w:t>
      </w:r>
      <w:proofErr w:type="spellStart"/>
      <w:r w:rsidR="00206661" w:rsidRPr="00322BEC">
        <w:rPr>
          <w:i/>
          <w:iCs w:val="0"/>
          <w:lang w:val="en-ZA"/>
        </w:rPr>
        <w:t>Maila</w:t>
      </w:r>
      <w:proofErr w:type="spellEnd"/>
      <w:r w:rsidR="00206661" w:rsidRPr="00322BEC">
        <w:rPr>
          <w:lang w:val="en-ZA"/>
        </w:rPr>
        <w:t xml:space="preserve">. She could not observe her assailant and had no manner of describing the </w:t>
      </w:r>
      <w:r w:rsidR="00B344A8" w:rsidRPr="00322BEC">
        <w:rPr>
          <w:lang w:val="en-ZA"/>
        </w:rPr>
        <w:t xml:space="preserve">appellant </w:t>
      </w:r>
      <w:r w:rsidR="00206661" w:rsidRPr="00322BEC">
        <w:rPr>
          <w:lang w:val="en-ZA"/>
        </w:rPr>
        <w:t xml:space="preserve">as being the assailant, notwithstanding looking at </w:t>
      </w:r>
      <w:r w:rsidR="00004236" w:rsidRPr="00322BEC">
        <w:rPr>
          <w:lang w:val="en-ZA"/>
        </w:rPr>
        <w:t>the person who is alleged to have committed the offence.</w:t>
      </w:r>
      <w:r w:rsidR="00206661" w:rsidRPr="00322BEC">
        <w:rPr>
          <w:lang w:val="en-ZA"/>
        </w:rPr>
        <w:t xml:space="preserve"> </w:t>
      </w:r>
    </w:p>
    <w:p w14:paraId="29C0C51B" w14:textId="77777777" w:rsidR="00145F51" w:rsidRPr="00322BEC" w:rsidRDefault="00145F51" w:rsidP="009A0798">
      <w:pPr>
        <w:pStyle w:val="1"/>
        <w:numPr>
          <w:ilvl w:val="0"/>
          <w:numId w:val="0"/>
        </w:numPr>
        <w:spacing w:before="0"/>
        <w:rPr>
          <w:lang w:val="en-ZA"/>
        </w:rPr>
      </w:pPr>
    </w:p>
    <w:p w14:paraId="40FA5C64" w14:textId="7A79B90C" w:rsidR="00B344A8" w:rsidRDefault="00EA4FD6" w:rsidP="00EA4FD6">
      <w:pPr>
        <w:pStyle w:val="1"/>
        <w:numPr>
          <w:ilvl w:val="0"/>
          <w:numId w:val="0"/>
        </w:numPr>
        <w:tabs>
          <w:tab w:val="left" w:pos="567"/>
        </w:tabs>
        <w:spacing w:before="0"/>
        <w:rPr>
          <w:lang w:val="en-ZA"/>
        </w:rPr>
      </w:pPr>
      <w:r>
        <w:rPr>
          <w:lang w:val="en-ZA"/>
        </w:rPr>
        <w:t>[35]</w:t>
      </w:r>
      <w:r>
        <w:rPr>
          <w:lang w:val="en-ZA"/>
        </w:rPr>
        <w:tab/>
      </w:r>
      <w:r w:rsidR="00B344A8">
        <w:rPr>
          <w:lang w:val="en-ZA"/>
        </w:rPr>
        <w:t xml:space="preserve">The Supreme Court of Appeal has held that </w:t>
      </w:r>
    </w:p>
    <w:p w14:paraId="0D990641" w14:textId="523EDD3E" w:rsidR="00206661" w:rsidRPr="004C3756" w:rsidRDefault="00B344A8" w:rsidP="00B344A8">
      <w:pPr>
        <w:pStyle w:val="1"/>
        <w:numPr>
          <w:ilvl w:val="0"/>
          <w:numId w:val="0"/>
        </w:numPr>
        <w:spacing w:before="0"/>
        <w:rPr>
          <w:sz w:val="22"/>
          <w:lang w:val="en-ZA"/>
        </w:rPr>
      </w:pPr>
      <w:r w:rsidRPr="004C3756">
        <w:rPr>
          <w:sz w:val="22"/>
          <w:lang w:val="en-US"/>
        </w:rPr>
        <w:t>‘A court is not entitled to convict unless it is satisfied not only that the explanation is improbable but that beyond any reasonable doubt it is false. It is permissible to look at the probabilities of the case to determine whether the accused's version is reasonably possibly true but whether one subjectively believes him is not the test.’</w:t>
      </w:r>
      <w:r w:rsidR="00F87758" w:rsidRPr="004C3756">
        <w:rPr>
          <w:rStyle w:val="FootnoteReference"/>
          <w:sz w:val="22"/>
          <w:lang w:val="en-ZA"/>
        </w:rPr>
        <w:footnoteReference w:id="5"/>
      </w:r>
    </w:p>
    <w:p w14:paraId="093A180C" w14:textId="77777777" w:rsidR="00145F51" w:rsidRPr="00322BEC" w:rsidRDefault="00145F51" w:rsidP="009A0798">
      <w:pPr>
        <w:pStyle w:val="1"/>
        <w:numPr>
          <w:ilvl w:val="0"/>
          <w:numId w:val="0"/>
        </w:numPr>
        <w:spacing w:before="0"/>
        <w:rPr>
          <w:lang w:val="en-ZA"/>
        </w:rPr>
      </w:pPr>
    </w:p>
    <w:p w14:paraId="51C06006" w14:textId="5E615EBD" w:rsidR="007324E9" w:rsidRPr="00322BEC" w:rsidRDefault="00EA4FD6" w:rsidP="00EA4FD6">
      <w:pPr>
        <w:pStyle w:val="1"/>
        <w:numPr>
          <w:ilvl w:val="0"/>
          <w:numId w:val="0"/>
        </w:numPr>
        <w:tabs>
          <w:tab w:val="left" w:pos="567"/>
        </w:tabs>
        <w:spacing w:before="0"/>
        <w:rPr>
          <w:lang w:val="en-ZA"/>
        </w:rPr>
      </w:pPr>
      <w:r w:rsidRPr="00322BEC">
        <w:rPr>
          <w:lang w:val="en-ZA"/>
        </w:rPr>
        <w:t>[36]</w:t>
      </w:r>
      <w:r w:rsidRPr="00322BEC">
        <w:rPr>
          <w:lang w:val="en-ZA"/>
        </w:rPr>
        <w:tab/>
      </w:r>
      <w:r w:rsidR="00F87758" w:rsidRPr="00322BEC">
        <w:rPr>
          <w:lang w:val="en-ZA"/>
        </w:rPr>
        <w:t xml:space="preserve">The </w:t>
      </w:r>
      <w:r w:rsidR="00B05FCD" w:rsidRPr="00322BEC">
        <w:rPr>
          <w:lang w:val="en-ZA"/>
        </w:rPr>
        <w:t xml:space="preserve">appellant’s </w:t>
      </w:r>
      <w:r w:rsidR="00F87758" w:rsidRPr="00322BEC">
        <w:rPr>
          <w:lang w:val="en-ZA"/>
        </w:rPr>
        <w:t xml:space="preserve">version in these proceedings is simple – he did not rape the </w:t>
      </w:r>
      <w:r w:rsidR="00B05FCD">
        <w:rPr>
          <w:lang w:val="en-ZA"/>
        </w:rPr>
        <w:t>complainant</w:t>
      </w:r>
      <w:r w:rsidR="00F87758" w:rsidRPr="00322BEC">
        <w:rPr>
          <w:lang w:val="en-ZA"/>
        </w:rPr>
        <w:t xml:space="preserve">. </w:t>
      </w:r>
      <w:r w:rsidR="007324E9" w:rsidRPr="00322BEC">
        <w:rPr>
          <w:lang w:val="en-ZA"/>
        </w:rPr>
        <w:t xml:space="preserve">He believes that she was coerced into laying this complaint against him. </w:t>
      </w:r>
    </w:p>
    <w:p w14:paraId="129E19E2" w14:textId="77777777" w:rsidR="00145F51" w:rsidRPr="00322BEC" w:rsidRDefault="00145F51" w:rsidP="009A0798">
      <w:pPr>
        <w:pStyle w:val="1"/>
        <w:numPr>
          <w:ilvl w:val="0"/>
          <w:numId w:val="0"/>
        </w:numPr>
        <w:spacing w:before="0"/>
        <w:rPr>
          <w:lang w:val="en-ZA"/>
        </w:rPr>
      </w:pPr>
    </w:p>
    <w:p w14:paraId="1BD8D552" w14:textId="4AEC17FF" w:rsidR="00F87758" w:rsidRPr="00322BEC" w:rsidRDefault="00EA4FD6" w:rsidP="00EA4FD6">
      <w:pPr>
        <w:pStyle w:val="1"/>
        <w:numPr>
          <w:ilvl w:val="0"/>
          <w:numId w:val="0"/>
        </w:numPr>
        <w:tabs>
          <w:tab w:val="left" w:pos="567"/>
        </w:tabs>
        <w:spacing w:before="0"/>
        <w:rPr>
          <w:lang w:val="en-ZA"/>
        </w:rPr>
      </w:pPr>
      <w:r w:rsidRPr="00322BEC">
        <w:rPr>
          <w:lang w:val="en-ZA"/>
        </w:rPr>
        <w:t>[37]</w:t>
      </w:r>
      <w:r w:rsidRPr="00322BEC">
        <w:rPr>
          <w:lang w:val="en-ZA"/>
        </w:rPr>
        <w:tab/>
      </w:r>
      <w:r w:rsidR="007324E9" w:rsidRPr="00322BEC">
        <w:rPr>
          <w:lang w:val="en-ZA"/>
        </w:rPr>
        <w:t>T</w:t>
      </w:r>
      <w:r w:rsidR="00F87758" w:rsidRPr="00322BEC">
        <w:rPr>
          <w:lang w:val="en-ZA"/>
        </w:rPr>
        <w:t xml:space="preserve">he </w:t>
      </w:r>
      <w:r w:rsidR="00B05FCD">
        <w:rPr>
          <w:lang w:val="en-ZA"/>
        </w:rPr>
        <w:t>complainant</w:t>
      </w:r>
      <w:r w:rsidR="00F87758" w:rsidRPr="00322BEC">
        <w:rPr>
          <w:lang w:val="en-ZA"/>
        </w:rPr>
        <w:t xml:space="preserve">’s evidence </w:t>
      </w:r>
      <w:r w:rsidR="007324E9" w:rsidRPr="00322BEC">
        <w:rPr>
          <w:lang w:val="en-ZA"/>
        </w:rPr>
        <w:t>is significantly undermined by the fact that</w:t>
      </w:r>
      <w:r w:rsidR="00F87758" w:rsidRPr="00322BEC">
        <w:rPr>
          <w:lang w:val="en-ZA"/>
        </w:rPr>
        <w:t xml:space="preserve"> she had looked at her assailant and </w:t>
      </w:r>
      <w:r w:rsidR="007324E9" w:rsidRPr="00322BEC">
        <w:rPr>
          <w:lang w:val="en-ZA"/>
        </w:rPr>
        <w:t>could not identify him as t</w:t>
      </w:r>
      <w:r w:rsidR="00F87758" w:rsidRPr="00322BEC">
        <w:rPr>
          <w:lang w:val="en-ZA"/>
        </w:rPr>
        <w:t xml:space="preserve">he </w:t>
      </w:r>
      <w:r w:rsidR="00B05FCD" w:rsidRPr="00322BEC">
        <w:rPr>
          <w:lang w:val="en-ZA"/>
        </w:rPr>
        <w:t>appellant</w:t>
      </w:r>
      <w:r w:rsidR="00F87758" w:rsidRPr="00322BEC">
        <w:rPr>
          <w:lang w:val="en-ZA"/>
        </w:rPr>
        <w:t xml:space="preserve">. Further to the above, there was no evidence of rape of the </w:t>
      </w:r>
      <w:r w:rsidR="00B05FCD">
        <w:rPr>
          <w:lang w:val="en-ZA"/>
        </w:rPr>
        <w:t>complainant</w:t>
      </w:r>
      <w:r w:rsidR="00F87758" w:rsidRPr="00322BEC">
        <w:rPr>
          <w:lang w:val="en-ZA"/>
        </w:rPr>
        <w:t xml:space="preserve"> during her </w:t>
      </w:r>
      <w:r w:rsidR="00772998" w:rsidRPr="00322BEC">
        <w:rPr>
          <w:lang w:val="en-ZA"/>
        </w:rPr>
        <w:t>gynaecological</w:t>
      </w:r>
      <w:r w:rsidR="00F87758" w:rsidRPr="00322BEC">
        <w:rPr>
          <w:lang w:val="en-ZA"/>
        </w:rPr>
        <w:t xml:space="preserve"> examination</w:t>
      </w:r>
      <w:r w:rsidR="007324E9" w:rsidRPr="00322BEC">
        <w:rPr>
          <w:lang w:val="en-ZA"/>
        </w:rPr>
        <w:t>.</w:t>
      </w:r>
    </w:p>
    <w:p w14:paraId="69E6F4FD" w14:textId="77777777" w:rsidR="00145F51" w:rsidRPr="00322BEC" w:rsidRDefault="00145F51" w:rsidP="009A0798">
      <w:pPr>
        <w:pStyle w:val="1"/>
        <w:numPr>
          <w:ilvl w:val="0"/>
          <w:numId w:val="0"/>
        </w:numPr>
        <w:spacing w:before="0"/>
        <w:rPr>
          <w:lang w:val="en-ZA"/>
        </w:rPr>
      </w:pPr>
    </w:p>
    <w:p w14:paraId="13DDD445" w14:textId="41789B56" w:rsidR="00F87758" w:rsidRPr="00322BEC" w:rsidRDefault="00EA4FD6" w:rsidP="00EA4FD6">
      <w:pPr>
        <w:pStyle w:val="1"/>
        <w:numPr>
          <w:ilvl w:val="0"/>
          <w:numId w:val="0"/>
        </w:numPr>
        <w:tabs>
          <w:tab w:val="left" w:pos="567"/>
        </w:tabs>
        <w:spacing w:before="0"/>
        <w:rPr>
          <w:lang w:val="en-ZA"/>
        </w:rPr>
      </w:pPr>
      <w:r w:rsidRPr="00322BEC">
        <w:rPr>
          <w:lang w:val="en-ZA"/>
        </w:rPr>
        <w:t>[38]</w:t>
      </w:r>
      <w:r w:rsidRPr="00322BEC">
        <w:rPr>
          <w:lang w:val="en-ZA"/>
        </w:rPr>
        <w:tab/>
      </w:r>
      <w:r w:rsidR="00772998" w:rsidRPr="00322BEC">
        <w:rPr>
          <w:lang w:val="en-ZA"/>
        </w:rPr>
        <w:t>Having</w:t>
      </w:r>
      <w:r w:rsidR="00F87758" w:rsidRPr="00322BEC">
        <w:rPr>
          <w:lang w:val="en-ZA"/>
        </w:rPr>
        <w:t xml:space="preserve"> given </w:t>
      </w:r>
      <w:r w:rsidR="00772998" w:rsidRPr="00322BEC">
        <w:rPr>
          <w:lang w:val="en-ZA"/>
        </w:rPr>
        <w:t>proper</w:t>
      </w:r>
      <w:r w:rsidR="00F87758" w:rsidRPr="00322BEC">
        <w:rPr>
          <w:lang w:val="en-ZA"/>
        </w:rPr>
        <w:t xml:space="preserve"> and due consideration to all circumstances, this </w:t>
      </w:r>
      <w:r w:rsidR="00B05FCD" w:rsidRPr="00322BEC">
        <w:rPr>
          <w:lang w:val="en-ZA"/>
        </w:rPr>
        <w:t xml:space="preserve">court </w:t>
      </w:r>
      <w:r w:rsidR="00F87758" w:rsidRPr="00322BEC">
        <w:rPr>
          <w:lang w:val="en-ZA"/>
        </w:rPr>
        <w:t xml:space="preserve">finds that the trial court misdirected itself in convicting the </w:t>
      </w:r>
      <w:r w:rsidR="00B05FCD" w:rsidRPr="00322BEC">
        <w:rPr>
          <w:lang w:val="en-ZA"/>
        </w:rPr>
        <w:t xml:space="preserve">appellant </w:t>
      </w:r>
      <w:r w:rsidR="00F87758" w:rsidRPr="00322BEC">
        <w:rPr>
          <w:lang w:val="en-ZA"/>
        </w:rPr>
        <w:t>for the offence of rape.</w:t>
      </w:r>
    </w:p>
    <w:p w14:paraId="34486534" w14:textId="77777777" w:rsidR="00145F51" w:rsidRPr="00322BEC" w:rsidRDefault="00145F51" w:rsidP="009A0798">
      <w:pPr>
        <w:pStyle w:val="1"/>
        <w:numPr>
          <w:ilvl w:val="0"/>
          <w:numId w:val="0"/>
        </w:numPr>
        <w:spacing w:before="0"/>
        <w:rPr>
          <w:lang w:val="en-ZA"/>
        </w:rPr>
      </w:pPr>
    </w:p>
    <w:p w14:paraId="001E5024" w14:textId="58B20BB9" w:rsidR="00FC665F" w:rsidRPr="00322BEC" w:rsidRDefault="00EA4FD6" w:rsidP="00EA4FD6">
      <w:pPr>
        <w:pStyle w:val="1"/>
        <w:numPr>
          <w:ilvl w:val="0"/>
          <w:numId w:val="0"/>
        </w:numPr>
        <w:tabs>
          <w:tab w:val="left" w:pos="567"/>
        </w:tabs>
        <w:spacing w:before="0"/>
        <w:rPr>
          <w:lang w:val="en-ZA"/>
        </w:rPr>
      </w:pPr>
      <w:r w:rsidRPr="00322BEC">
        <w:rPr>
          <w:lang w:val="en-ZA"/>
        </w:rPr>
        <w:t>[39]</w:t>
      </w:r>
      <w:r w:rsidRPr="00322BEC">
        <w:rPr>
          <w:lang w:val="en-ZA"/>
        </w:rPr>
        <w:tab/>
      </w:r>
      <w:r w:rsidR="00F87758" w:rsidRPr="00322BEC">
        <w:rPr>
          <w:lang w:val="en-ZA"/>
        </w:rPr>
        <w:t xml:space="preserve">We are of the view that the State has not succeeded in proving its case beyond a reasonable doubt, especially in light of the probabilities and inherent circumstances of this case. </w:t>
      </w:r>
    </w:p>
    <w:p w14:paraId="52C3AC3C" w14:textId="77777777" w:rsidR="00145F51" w:rsidRPr="00322BEC" w:rsidRDefault="00145F51" w:rsidP="009A0798">
      <w:pPr>
        <w:pStyle w:val="1"/>
        <w:numPr>
          <w:ilvl w:val="0"/>
          <w:numId w:val="0"/>
        </w:numPr>
        <w:spacing w:before="0"/>
        <w:rPr>
          <w:lang w:val="en-ZA"/>
        </w:rPr>
      </w:pPr>
    </w:p>
    <w:p w14:paraId="2F32168D" w14:textId="39F720CC" w:rsidR="00F87758" w:rsidRPr="00322BEC" w:rsidRDefault="00EA4FD6" w:rsidP="00EA4FD6">
      <w:pPr>
        <w:pStyle w:val="1"/>
        <w:numPr>
          <w:ilvl w:val="0"/>
          <w:numId w:val="0"/>
        </w:numPr>
        <w:tabs>
          <w:tab w:val="left" w:pos="567"/>
        </w:tabs>
        <w:spacing w:before="0"/>
        <w:rPr>
          <w:lang w:val="en-ZA"/>
        </w:rPr>
      </w:pPr>
      <w:r w:rsidRPr="00322BEC">
        <w:rPr>
          <w:lang w:val="en-ZA"/>
        </w:rPr>
        <w:t>[40]</w:t>
      </w:r>
      <w:r w:rsidRPr="00322BEC">
        <w:rPr>
          <w:lang w:val="en-ZA"/>
        </w:rPr>
        <w:tab/>
      </w:r>
      <w:r w:rsidR="00F87758" w:rsidRPr="00322BEC">
        <w:rPr>
          <w:lang w:val="en-ZA"/>
        </w:rPr>
        <w:t xml:space="preserve">Accordingly, we are of the view that the State did not discharge its onus of proving beyond a reasonable doubt that the </w:t>
      </w:r>
      <w:r w:rsidR="00B05FCD" w:rsidRPr="00322BEC">
        <w:rPr>
          <w:lang w:val="en-ZA"/>
        </w:rPr>
        <w:t xml:space="preserve">appellant </w:t>
      </w:r>
      <w:r w:rsidR="00F87758" w:rsidRPr="00322BEC">
        <w:rPr>
          <w:lang w:val="en-ZA"/>
        </w:rPr>
        <w:t xml:space="preserve">raped the complainant. </w:t>
      </w:r>
    </w:p>
    <w:p w14:paraId="451B92A4" w14:textId="77777777" w:rsidR="00145F51" w:rsidRPr="00322BEC" w:rsidRDefault="00145F51" w:rsidP="009A0798">
      <w:pPr>
        <w:pStyle w:val="1"/>
        <w:numPr>
          <w:ilvl w:val="0"/>
          <w:numId w:val="0"/>
        </w:numPr>
        <w:spacing w:before="0"/>
        <w:rPr>
          <w:lang w:val="en-ZA"/>
        </w:rPr>
      </w:pPr>
    </w:p>
    <w:p w14:paraId="2C9FD3EC" w14:textId="312A2C6D" w:rsidR="00F87758" w:rsidRPr="00322BEC" w:rsidRDefault="00EA4FD6" w:rsidP="00EA4FD6">
      <w:pPr>
        <w:pStyle w:val="1"/>
        <w:numPr>
          <w:ilvl w:val="0"/>
          <w:numId w:val="0"/>
        </w:numPr>
        <w:tabs>
          <w:tab w:val="left" w:pos="567"/>
        </w:tabs>
        <w:spacing w:before="0"/>
        <w:rPr>
          <w:lang w:val="en-ZA"/>
        </w:rPr>
      </w:pPr>
      <w:r w:rsidRPr="00322BEC">
        <w:rPr>
          <w:lang w:val="en-ZA"/>
        </w:rPr>
        <w:t>[41]</w:t>
      </w:r>
      <w:r w:rsidRPr="00322BEC">
        <w:rPr>
          <w:lang w:val="en-ZA"/>
        </w:rPr>
        <w:tab/>
      </w:r>
      <w:r w:rsidR="00F87758" w:rsidRPr="00322BEC">
        <w:rPr>
          <w:lang w:val="en-ZA"/>
        </w:rPr>
        <w:t>In the circumstances</w:t>
      </w:r>
      <w:r w:rsidR="00B05FCD">
        <w:rPr>
          <w:lang w:val="en-ZA"/>
        </w:rPr>
        <w:t>,</w:t>
      </w:r>
      <w:r w:rsidR="00F87758" w:rsidRPr="00322BEC">
        <w:rPr>
          <w:lang w:val="en-ZA"/>
        </w:rPr>
        <w:t xml:space="preserve"> the appeal should </w:t>
      </w:r>
      <w:r w:rsidR="007324E9" w:rsidRPr="00322BEC">
        <w:rPr>
          <w:lang w:val="en-ZA"/>
        </w:rPr>
        <w:t>succeed,</w:t>
      </w:r>
      <w:r w:rsidR="00F87758" w:rsidRPr="00322BEC">
        <w:rPr>
          <w:lang w:val="en-ZA"/>
        </w:rPr>
        <w:t xml:space="preserve"> and the conviction </w:t>
      </w:r>
      <w:r w:rsidR="00D848DA" w:rsidRPr="00322BEC">
        <w:rPr>
          <w:lang w:val="en-ZA"/>
        </w:rPr>
        <w:t xml:space="preserve">and sentence </w:t>
      </w:r>
      <w:r w:rsidR="00F87758" w:rsidRPr="00322BEC">
        <w:rPr>
          <w:lang w:val="en-ZA"/>
        </w:rPr>
        <w:t xml:space="preserve">accordingly set aside. </w:t>
      </w:r>
    </w:p>
    <w:p w14:paraId="43D485E1" w14:textId="77777777" w:rsidR="00145F51" w:rsidRPr="00322BEC" w:rsidRDefault="00145F51" w:rsidP="009A0798">
      <w:pPr>
        <w:pStyle w:val="1"/>
        <w:numPr>
          <w:ilvl w:val="0"/>
          <w:numId w:val="0"/>
        </w:numPr>
        <w:spacing w:before="0"/>
        <w:rPr>
          <w:lang w:val="en-ZA"/>
        </w:rPr>
      </w:pPr>
    </w:p>
    <w:p w14:paraId="45882C04" w14:textId="58963605" w:rsidR="00BE7F82" w:rsidRPr="00322BEC" w:rsidRDefault="00BE7F82" w:rsidP="009A0798">
      <w:pPr>
        <w:pStyle w:val="Heading3"/>
        <w:spacing w:before="0"/>
        <w:rPr>
          <w:b w:val="0"/>
          <w:lang w:val="en-ZA"/>
        </w:rPr>
      </w:pPr>
      <w:r w:rsidRPr="00322BEC">
        <w:rPr>
          <w:lang w:val="en-ZA"/>
        </w:rPr>
        <w:t>Order</w:t>
      </w:r>
    </w:p>
    <w:p w14:paraId="04035780" w14:textId="29C978C0" w:rsidR="00104104" w:rsidRPr="00322BEC" w:rsidRDefault="00EA4FD6" w:rsidP="00EA4FD6">
      <w:pPr>
        <w:pStyle w:val="1"/>
        <w:numPr>
          <w:ilvl w:val="0"/>
          <w:numId w:val="0"/>
        </w:numPr>
        <w:tabs>
          <w:tab w:val="left" w:pos="567"/>
        </w:tabs>
        <w:spacing w:before="0"/>
        <w:rPr>
          <w:lang w:val="en-ZA"/>
        </w:rPr>
      </w:pPr>
      <w:r w:rsidRPr="00322BEC">
        <w:rPr>
          <w:lang w:val="en-ZA"/>
        </w:rPr>
        <w:t>[42]</w:t>
      </w:r>
      <w:r w:rsidRPr="00322BEC">
        <w:rPr>
          <w:lang w:val="en-ZA"/>
        </w:rPr>
        <w:tab/>
      </w:r>
      <w:r w:rsidR="00F670CD" w:rsidRPr="00322BEC">
        <w:rPr>
          <w:lang w:val="en-ZA"/>
        </w:rPr>
        <w:t>I therefore make the following order</w:t>
      </w:r>
      <w:r w:rsidR="00BE7F82" w:rsidRPr="00322BEC">
        <w:rPr>
          <w:lang w:val="en-ZA"/>
        </w:rPr>
        <w:t>:</w:t>
      </w:r>
      <w:bookmarkStart w:id="2" w:name="_Hlk160707533"/>
    </w:p>
    <w:p w14:paraId="5D69DE11" w14:textId="58778475" w:rsidR="00BE7F82" w:rsidRPr="00322BEC" w:rsidRDefault="00EA4FD6" w:rsidP="00EA4FD6">
      <w:pPr>
        <w:pStyle w:val="2"/>
        <w:numPr>
          <w:ilvl w:val="0"/>
          <w:numId w:val="0"/>
        </w:numPr>
        <w:spacing w:before="0"/>
        <w:ind w:left="927" w:hanging="360"/>
        <w:rPr>
          <w:lang w:val="en-ZA"/>
        </w:rPr>
      </w:pPr>
      <w:r w:rsidRPr="00322BEC">
        <w:rPr>
          <w:lang w:val="en-ZA"/>
        </w:rPr>
        <w:t>1.</w:t>
      </w:r>
      <w:r w:rsidRPr="00322BEC">
        <w:rPr>
          <w:lang w:val="en-ZA"/>
        </w:rPr>
        <w:tab/>
      </w:r>
      <w:r w:rsidR="00F670CD" w:rsidRPr="00322BEC">
        <w:rPr>
          <w:lang w:val="en-ZA"/>
        </w:rPr>
        <w:t xml:space="preserve">The appeal is </w:t>
      </w:r>
      <w:r w:rsidR="00D848DA" w:rsidRPr="00322BEC">
        <w:rPr>
          <w:lang w:val="en-ZA"/>
        </w:rPr>
        <w:t>upheld.</w:t>
      </w:r>
    </w:p>
    <w:p w14:paraId="217355E4" w14:textId="429B3CC7" w:rsidR="00D848DA" w:rsidRPr="00322BEC" w:rsidRDefault="00EA4FD6" w:rsidP="00EA4FD6">
      <w:pPr>
        <w:pStyle w:val="2"/>
        <w:numPr>
          <w:ilvl w:val="0"/>
          <w:numId w:val="0"/>
        </w:numPr>
        <w:spacing w:before="0"/>
        <w:ind w:left="927" w:hanging="360"/>
        <w:rPr>
          <w:lang w:val="en-ZA"/>
        </w:rPr>
      </w:pPr>
      <w:r w:rsidRPr="00322BEC">
        <w:rPr>
          <w:lang w:val="en-ZA"/>
        </w:rPr>
        <w:t>2.</w:t>
      </w:r>
      <w:r w:rsidRPr="00322BEC">
        <w:rPr>
          <w:lang w:val="en-ZA"/>
        </w:rPr>
        <w:tab/>
      </w:r>
      <w:r w:rsidR="00D848DA" w:rsidRPr="00322BEC">
        <w:rPr>
          <w:lang w:val="en-ZA"/>
        </w:rPr>
        <w:t xml:space="preserve">The conviction and sentence </w:t>
      </w:r>
      <w:r w:rsidR="00D92BC2">
        <w:rPr>
          <w:lang w:val="en-ZA"/>
        </w:rPr>
        <w:t xml:space="preserve">are </w:t>
      </w:r>
      <w:r w:rsidR="00D848DA" w:rsidRPr="00322BEC">
        <w:rPr>
          <w:lang w:val="en-ZA"/>
        </w:rPr>
        <w:t xml:space="preserve">set aside. </w:t>
      </w:r>
    </w:p>
    <w:p w14:paraId="76260A07" w14:textId="77777777" w:rsidR="003B3011" w:rsidRPr="00322BEC" w:rsidRDefault="003B3011" w:rsidP="009A0798">
      <w:pPr>
        <w:pStyle w:val="1"/>
        <w:numPr>
          <w:ilvl w:val="0"/>
          <w:numId w:val="0"/>
        </w:numPr>
        <w:spacing w:before="0"/>
        <w:ind w:left="1134"/>
        <w:rPr>
          <w:lang w:val="en-ZA"/>
        </w:rPr>
      </w:pPr>
    </w:p>
    <w:bookmarkEnd w:id="2"/>
    <w:p w14:paraId="400BCB3D" w14:textId="0587320D" w:rsidR="00A24275" w:rsidRPr="00322BEC" w:rsidRDefault="00A24275" w:rsidP="009A0798">
      <w:pPr>
        <w:spacing w:line="360" w:lineRule="auto"/>
        <w:jc w:val="right"/>
        <w:rPr>
          <w:lang w:val="en-ZA"/>
        </w:rPr>
      </w:pPr>
      <w:r w:rsidRPr="00322BEC">
        <w:rPr>
          <w:lang w:val="en-ZA"/>
        </w:rPr>
        <w:t>______________________</w:t>
      </w:r>
    </w:p>
    <w:p w14:paraId="3EC53104" w14:textId="77777777" w:rsidR="00E141C7" w:rsidRDefault="00E141C7" w:rsidP="009A0798">
      <w:pPr>
        <w:spacing w:line="360" w:lineRule="auto"/>
        <w:jc w:val="right"/>
        <w:rPr>
          <w:b/>
          <w:lang w:val="en-ZA"/>
        </w:rPr>
      </w:pPr>
      <w:proofErr w:type="spellStart"/>
      <w:r>
        <w:rPr>
          <w:b/>
          <w:lang w:val="en-ZA"/>
        </w:rPr>
        <w:t>Veerasamy</w:t>
      </w:r>
      <w:proofErr w:type="spellEnd"/>
      <w:r>
        <w:rPr>
          <w:b/>
          <w:lang w:val="en-ZA"/>
        </w:rPr>
        <w:t xml:space="preserve"> AJ</w:t>
      </w:r>
    </w:p>
    <w:p w14:paraId="49AB4BDA" w14:textId="77777777" w:rsidR="00464FA1" w:rsidRDefault="00464FA1" w:rsidP="009A0798">
      <w:pPr>
        <w:spacing w:line="360" w:lineRule="auto"/>
        <w:jc w:val="right"/>
        <w:rPr>
          <w:b/>
          <w:lang w:val="en-ZA"/>
        </w:rPr>
      </w:pPr>
    </w:p>
    <w:p w14:paraId="0963E142" w14:textId="5DC2A10F" w:rsidR="00E141C7" w:rsidRDefault="00E141C7" w:rsidP="009A0798">
      <w:pPr>
        <w:spacing w:line="360" w:lineRule="auto"/>
        <w:jc w:val="right"/>
        <w:rPr>
          <w:b/>
          <w:lang w:val="en-ZA"/>
        </w:rPr>
      </w:pPr>
    </w:p>
    <w:p w14:paraId="0EA99A6A" w14:textId="696A8D74" w:rsidR="00E141C7" w:rsidRPr="00E141C7" w:rsidRDefault="00E141C7" w:rsidP="00464FA1">
      <w:pPr>
        <w:spacing w:line="360" w:lineRule="auto"/>
        <w:jc w:val="right"/>
        <w:rPr>
          <w:lang w:val="en-ZA"/>
        </w:rPr>
      </w:pPr>
      <w:r w:rsidRPr="00E141C7">
        <w:rPr>
          <w:lang w:val="en-ZA"/>
        </w:rPr>
        <w:t>I concur, and it is so ordered.</w:t>
      </w:r>
    </w:p>
    <w:p w14:paraId="1ECC0EE2" w14:textId="77777777" w:rsidR="00E141C7" w:rsidRDefault="00E141C7" w:rsidP="009A0798">
      <w:pPr>
        <w:spacing w:line="360" w:lineRule="auto"/>
        <w:jc w:val="right"/>
        <w:rPr>
          <w:b/>
          <w:lang w:val="en-ZA"/>
        </w:rPr>
      </w:pPr>
    </w:p>
    <w:p w14:paraId="15BF42F9" w14:textId="558E4DA9" w:rsidR="00E141C7" w:rsidRPr="00E141C7" w:rsidRDefault="00E141C7" w:rsidP="009A0798">
      <w:pPr>
        <w:spacing w:line="360" w:lineRule="auto"/>
        <w:jc w:val="right"/>
        <w:rPr>
          <w:lang w:val="en-ZA"/>
        </w:rPr>
      </w:pPr>
      <w:r w:rsidRPr="00E141C7">
        <w:rPr>
          <w:lang w:val="en-ZA"/>
        </w:rPr>
        <w:t>______________________</w:t>
      </w:r>
    </w:p>
    <w:p w14:paraId="0B4561CB" w14:textId="0923CAD2" w:rsidR="002C4777" w:rsidRPr="00322BEC" w:rsidRDefault="00E141C7" w:rsidP="009A0798">
      <w:pPr>
        <w:spacing w:line="360" w:lineRule="auto"/>
        <w:jc w:val="right"/>
        <w:rPr>
          <w:b/>
          <w:lang w:val="en-ZA"/>
        </w:rPr>
      </w:pPr>
      <w:r>
        <w:rPr>
          <w:b/>
          <w:lang w:val="en-ZA"/>
        </w:rPr>
        <w:t>Chili J</w:t>
      </w:r>
    </w:p>
    <w:p w14:paraId="4618D45C" w14:textId="3908AF94" w:rsidR="00A24275" w:rsidRPr="00322BEC" w:rsidRDefault="00A24275" w:rsidP="009A0798">
      <w:pPr>
        <w:spacing w:line="360" w:lineRule="auto"/>
        <w:jc w:val="right"/>
        <w:rPr>
          <w:lang w:val="en-ZA"/>
        </w:rPr>
      </w:pPr>
    </w:p>
    <w:tbl>
      <w:tblPr>
        <w:tblW w:w="8897" w:type="dxa"/>
        <w:tblLook w:val="04A0" w:firstRow="1" w:lastRow="0" w:firstColumn="1" w:lastColumn="0" w:noHBand="0" w:noVBand="1"/>
      </w:tblPr>
      <w:tblGrid>
        <w:gridCol w:w="4219"/>
        <w:gridCol w:w="4678"/>
      </w:tblGrid>
      <w:tr w:rsidR="00A24275" w:rsidRPr="00B05FCD" w14:paraId="1967FB88" w14:textId="77777777" w:rsidTr="00332E8A">
        <w:tc>
          <w:tcPr>
            <w:tcW w:w="4219" w:type="dxa"/>
            <w:tcMar>
              <w:top w:w="32" w:type="dxa"/>
              <w:left w:w="108" w:type="dxa"/>
              <w:bottom w:w="32" w:type="dxa"/>
              <w:right w:w="108" w:type="dxa"/>
            </w:tcMar>
            <w:vAlign w:val="center"/>
            <w:hideMark/>
          </w:tcPr>
          <w:p w14:paraId="4197AE14" w14:textId="77777777" w:rsidR="00A24275" w:rsidRPr="00B05FCD" w:rsidRDefault="00A24275" w:rsidP="009A0798">
            <w:pPr>
              <w:keepNext/>
              <w:spacing w:line="360" w:lineRule="auto"/>
              <w:rPr>
                <w:szCs w:val="22"/>
                <w:lang w:val="en-ZA"/>
              </w:rPr>
            </w:pPr>
            <w:r w:rsidRPr="00B05FCD">
              <w:rPr>
                <w:szCs w:val="22"/>
                <w:lang w:val="en-ZA"/>
              </w:rPr>
              <w:t>HEARD ON:</w:t>
            </w:r>
          </w:p>
        </w:tc>
        <w:tc>
          <w:tcPr>
            <w:tcW w:w="4678" w:type="dxa"/>
            <w:tcMar>
              <w:top w:w="32" w:type="dxa"/>
              <w:left w:w="108" w:type="dxa"/>
              <w:bottom w:w="32" w:type="dxa"/>
              <w:right w:w="108" w:type="dxa"/>
            </w:tcMar>
            <w:vAlign w:val="center"/>
            <w:hideMark/>
          </w:tcPr>
          <w:p w14:paraId="72FE1B3E" w14:textId="6510CFB7" w:rsidR="00A24275" w:rsidRPr="00B05FCD" w:rsidRDefault="0096196F" w:rsidP="009A0798">
            <w:pPr>
              <w:keepNext/>
              <w:spacing w:line="360" w:lineRule="auto"/>
              <w:rPr>
                <w:szCs w:val="22"/>
                <w:lang w:val="en-ZA"/>
              </w:rPr>
            </w:pPr>
            <w:r w:rsidRPr="00B05FCD">
              <w:rPr>
                <w:szCs w:val="22"/>
                <w:lang w:val="en-ZA"/>
              </w:rPr>
              <w:t>22 March 2024</w:t>
            </w:r>
          </w:p>
        </w:tc>
      </w:tr>
      <w:tr w:rsidR="00A24275" w:rsidRPr="00B05FCD" w14:paraId="647ACA84" w14:textId="77777777" w:rsidTr="00332E8A">
        <w:tc>
          <w:tcPr>
            <w:tcW w:w="4219" w:type="dxa"/>
            <w:tcMar>
              <w:top w:w="32" w:type="dxa"/>
              <w:left w:w="108" w:type="dxa"/>
              <w:bottom w:w="32" w:type="dxa"/>
              <w:right w:w="108" w:type="dxa"/>
            </w:tcMar>
            <w:vAlign w:val="center"/>
            <w:hideMark/>
          </w:tcPr>
          <w:p w14:paraId="45295A5C" w14:textId="77777777" w:rsidR="00A24275" w:rsidRPr="00B05FCD" w:rsidRDefault="00A24275" w:rsidP="009A0798">
            <w:pPr>
              <w:keepNext/>
              <w:spacing w:line="360" w:lineRule="auto"/>
              <w:rPr>
                <w:szCs w:val="22"/>
                <w:lang w:val="en-ZA"/>
              </w:rPr>
            </w:pPr>
            <w:r w:rsidRPr="00B05FCD">
              <w:rPr>
                <w:szCs w:val="22"/>
                <w:lang w:val="en-ZA"/>
              </w:rPr>
              <w:t>JUDGMENT DATE:</w:t>
            </w:r>
          </w:p>
        </w:tc>
        <w:tc>
          <w:tcPr>
            <w:tcW w:w="4678" w:type="dxa"/>
            <w:tcMar>
              <w:top w:w="32" w:type="dxa"/>
              <w:left w:w="108" w:type="dxa"/>
              <w:bottom w:w="32" w:type="dxa"/>
              <w:right w:w="108" w:type="dxa"/>
            </w:tcMar>
            <w:vAlign w:val="center"/>
          </w:tcPr>
          <w:p w14:paraId="5E7C5FF9" w14:textId="73B4FF44" w:rsidR="00A24275" w:rsidRPr="00B05FCD" w:rsidRDefault="00821FC4" w:rsidP="009A0798">
            <w:pPr>
              <w:keepNext/>
              <w:spacing w:line="360" w:lineRule="auto"/>
              <w:rPr>
                <w:szCs w:val="22"/>
                <w:lang w:val="en-ZA"/>
              </w:rPr>
            </w:pPr>
            <w:r>
              <w:rPr>
                <w:szCs w:val="22"/>
                <w:lang w:val="en-ZA"/>
              </w:rPr>
              <w:t>28 March 2024</w:t>
            </w:r>
          </w:p>
        </w:tc>
      </w:tr>
      <w:tr w:rsidR="00A24275" w:rsidRPr="00B05FCD" w14:paraId="0FDC2D2B" w14:textId="77777777" w:rsidTr="00332E8A">
        <w:tc>
          <w:tcPr>
            <w:tcW w:w="4219" w:type="dxa"/>
            <w:tcMar>
              <w:top w:w="32" w:type="dxa"/>
              <w:left w:w="108" w:type="dxa"/>
              <w:bottom w:w="32" w:type="dxa"/>
              <w:right w:w="108" w:type="dxa"/>
            </w:tcMar>
            <w:vAlign w:val="center"/>
            <w:hideMark/>
          </w:tcPr>
          <w:p w14:paraId="55B81BD8" w14:textId="78A72C87" w:rsidR="00A24275" w:rsidRPr="00B05FCD" w:rsidRDefault="00A24275" w:rsidP="009A0798">
            <w:pPr>
              <w:keepNext/>
              <w:spacing w:line="360" w:lineRule="auto"/>
              <w:rPr>
                <w:szCs w:val="22"/>
                <w:lang w:val="en-ZA"/>
              </w:rPr>
            </w:pPr>
            <w:r w:rsidRPr="00B05FCD">
              <w:rPr>
                <w:szCs w:val="22"/>
                <w:lang w:val="en-ZA"/>
              </w:rPr>
              <w:t xml:space="preserve">FOR THE </w:t>
            </w:r>
            <w:r w:rsidR="00F670CD" w:rsidRPr="00B05FCD">
              <w:rPr>
                <w:szCs w:val="22"/>
                <w:lang w:val="en-ZA"/>
              </w:rPr>
              <w:t>APPELLANT</w:t>
            </w:r>
          </w:p>
        </w:tc>
        <w:tc>
          <w:tcPr>
            <w:tcW w:w="4678" w:type="dxa"/>
            <w:tcMar>
              <w:top w:w="32" w:type="dxa"/>
              <w:left w:w="108" w:type="dxa"/>
              <w:bottom w:w="32" w:type="dxa"/>
              <w:right w:w="108" w:type="dxa"/>
            </w:tcMar>
            <w:vAlign w:val="center"/>
          </w:tcPr>
          <w:p w14:paraId="13110AE8" w14:textId="159615BE" w:rsidR="00D848DA" w:rsidRPr="00B05FCD" w:rsidRDefault="00D848DA" w:rsidP="009A0798">
            <w:pPr>
              <w:keepNext/>
              <w:spacing w:line="360" w:lineRule="auto"/>
              <w:rPr>
                <w:szCs w:val="22"/>
                <w:lang w:val="en-ZA"/>
              </w:rPr>
            </w:pPr>
            <w:r w:rsidRPr="00B05FCD">
              <w:rPr>
                <w:szCs w:val="22"/>
                <w:lang w:val="en-ZA"/>
              </w:rPr>
              <w:t>TP Pillay</w:t>
            </w:r>
          </w:p>
        </w:tc>
      </w:tr>
      <w:tr w:rsidR="00A24275" w:rsidRPr="00B05FCD" w14:paraId="42B470E8" w14:textId="77777777" w:rsidTr="00332E8A">
        <w:tc>
          <w:tcPr>
            <w:tcW w:w="4219" w:type="dxa"/>
            <w:tcMar>
              <w:top w:w="32" w:type="dxa"/>
              <w:left w:w="108" w:type="dxa"/>
              <w:bottom w:w="32" w:type="dxa"/>
              <w:right w:w="108" w:type="dxa"/>
            </w:tcMar>
            <w:vAlign w:val="center"/>
            <w:hideMark/>
          </w:tcPr>
          <w:p w14:paraId="0CBD77A8" w14:textId="77777777" w:rsidR="00A24275" w:rsidRPr="00B05FCD" w:rsidRDefault="00A24275" w:rsidP="009A0798">
            <w:pPr>
              <w:keepNext/>
              <w:spacing w:line="360" w:lineRule="auto"/>
              <w:rPr>
                <w:szCs w:val="22"/>
                <w:lang w:val="en-ZA"/>
              </w:rPr>
            </w:pPr>
            <w:r w:rsidRPr="00B05FCD">
              <w:rPr>
                <w:szCs w:val="22"/>
                <w:lang w:val="en-ZA"/>
              </w:rPr>
              <w:t>INSTRUCTED BY: </w:t>
            </w:r>
          </w:p>
        </w:tc>
        <w:tc>
          <w:tcPr>
            <w:tcW w:w="4678" w:type="dxa"/>
            <w:tcMar>
              <w:top w:w="32" w:type="dxa"/>
              <w:left w:w="108" w:type="dxa"/>
              <w:bottom w:w="32" w:type="dxa"/>
              <w:right w:w="108" w:type="dxa"/>
            </w:tcMar>
            <w:vAlign w:val="center"/>
          </w:tcPr>
          <w:p w14:paraId="5BA421E0" w14:textId="7B5BE065" w:rsidR="00A24275" w:rsidRPr="00B05FCD" w:rsidRDefault="00D848DA" w:rsidP="009A0798">
            <w:pPr>
              <w:keepNext/>
              <w:spacing w:line="360" w:lineRule="auto"/>
              <w:rPr>
                <w:iCs/>
                <w:szCs w:val="22"/>
                <w:lang w:val="en-ZA"/>
              </w:rPr>
            </w:pPr>
            <w:r w:rsidRPr="00B05FCD">
              <w:rPr>
                <w:szCs w:val="22"/>
                <w:lang w:val="en-ZA"/>
              </w:rPr>
              <w:t xml:space="preserve">Local Office – Legal Aid South Africa </w:t>
            </w:r>
          </w:p>
        </w:tc>
      </w:tr>
      <w:tr w:rsidR="00A24275" w:rsidRPr="00B05FCD" w14:paraId="0D079433" w14:textId="77777777" w:rsidTr="00332E8A">
        <w:tc>
          <w:tcPr>
            <w:tcW w:w="4219" w:type="dxa"/>
            <w:tcMar>
              <w:top w:w="32" w:type="dxa"/>
              <w:left w:w="108" w:type="dxa"/>
              <w:bottom w:w="32" w:type="dxa"/>
              <w:right w:w="108" w:type="dxa"/>
            </w:tcMar>
            <w:vAlign w:val="center"/>
          </w:tcPr>
          <w:p w14:paraId="1F5C48A7" w14:textId="77777777" w:rsidR="00A24275" w:rsidRPr="00B05FCD" w:rsidRDefault="00A24275" w:rsidP="009A0798">
            <w:pPr>
              <w:keepNext/>
              <w:spacing w:line="360" w:lineRule="auto"/>
              <w:rPr>
                <w:szCs w:val="22"/>
                <w:lang w:val="en-ZA"/>
              </w:rPr>
            </w:pPr>
            <w:r w:rsidRPr="00B05FCD">
              <w:rPr>
                <w:szCs w:val="22"/>
                <w:lang w:val="en-ZA"/>
              </w:rPr>
              <w:t>FOR THE RESPONDENT:</w:t>
            </w:r>
          </w:p>
        </w:tc>
        <w:tc>
          <w:tcPr>
            <w:tcW w:w="4678" w:type="dxa"/>
            <w:tcMar>
              <w:top w:w="32" w:type="dxa"/>
              <w:left w:w="108" w:type="dxa"/>
              <w:bottom w:w="32" w:type="dxa"/>
              <w:right w:w="108" w:type="dxa"/>
            </w:tcMar>
            <w:vAlign w:val="center"/>
          </w:tcPr>
          <w:p w14:paraId="325BF660" w14:textId="0A840A15" w:rsidR="001E73E8" w:rsidRPr="00B05FCD" w:rsidRDefault="00D848DA" w:rsidP="009A0798">
            <w:pPr>
              <w:keepNext/>
              <w:spacing w:line="360" w:lineRule="auto"/>
              <w:rPr>
                <w:szCs w:val="22"/>
                <w:lang w:val="en-ZA"/>
              </w:rPr>
            </w:pPr>
            <w:proofErr w:type="spellStart"/>
            <w:r w:rsidRPr="00B05FCD">
              <w:rPr>
                <w:szCs w:val="22"/>
                <w:lang w:val="en-ZA"/>
              </w:rPr>
              <w:t>Adv</w:t>
            </w:r>
            <w:proofErr w:type="spellEnd"/>
            <w:r w:rsidRPr="00B05FCD">
              <w:rPr>
                <w:szCs w:val="22"/>
                <w:lang w:val="en-ZA"/>
              </w:rPr>
              <w:t xml:space="preserve"> SM </w:t>
            </w:r>
            <w:proofErr w:type="spellStart"/>
            <w:r w:rsidRPr="00B05FCD">
              <w:rPr>
                <w:szCs w:val="22"/>
                <w:lang w:val="en-ZA"/>
              </w:rPr>
              <w:t>Miloszewski</w:t>
            </w:r>
            <w:proofErr w:type="spellEnd"/>
            <w:r w:rsidRPr="00B05FCD">
              <w:rPr>
                <w:szCs w:val="22"/>
                <w:lang w:val="en-ZA"/>
              </w:rPr>
              <w:t xml:space="preserve"> </w:t>
            </w:r>
          </w:p>
        </w:tc>
      </w:tr>
      <w:tr w:rsidR="00A24275" w:rsidRPr="00B05FCD" w14:paraId="0217F7B0" w14:textId="77777777" w:rsidTr="00332E8A">
        <w:tc>
          <w:tcPr>
            <w:tcW w:w="4219" w:type="dxa"/>
            <w:tcMar>
              <w:top w:w="32" w:type="dxa"/>
              <w:left w:w="108" w:type="dxa"/>
              <w:bottom w:w="32" w:type="dxa"/>
              <w:right w:w="108" w:type="dxa"/>
            </w:tcMar>
            <w:vAlign w:val="center"/>
          </w:tcPr>
          <w:p w14:paraId="76CD1B67" w14:textId="77777777" w:rsidR="00A24275" w:rsidRPr="00B05FCD" w:rsidRDefault="00A24275" w:rsidP="009A0798">
            <w:pPr>
              <w:keepNext/>
              <w:spacing w:line="360" w:lineRule="auto"/>
              <w:rPr>
                <w:szCs w:val="22"/>
                <w:lang w:val="en-ZA"/>
              </w:rPr>
            </w:pPr>
            <w:r w:rsidRPr="00B05FCD">
              <w:rPr>
                <w:szCs w:val="22"/>
                <w:lang w:val="en-ZA"/>
              </w:rPr>
              <w:t>INSTRUCTED BY:</w:t>
            </w:r>
          </w:p>
        </w:tc>
        <w:tc>
          <w:tcPr>
            <w:tcW w:w="4678" w:type="dxa"/>
            <w:tcMar>
              <w:top w:w="32" w:type="dxa"/>
              <w:left w:w="108" w:type="dxa"/>
              <w:bottom w:w="32" w:type="dxa"/>
              <w:right w:w="108" w:type="dxa"/>
            </w:tcMar>
            <w:vAlign w:val="center"/>
          </w:tcPr>
          <w:p w14:paraId="35A12512" w14:textId="06836F92" w:rsidR="00A24275" w:rsidRPr="00B05FCD" w:rsidRDefault="007E06C5" w:rsidP="009A0798">
            <w:pPr>
              <w:keepNext/>
              <w:spacing w:line="360" w:lineRule="auto"/>
              <w:rPr>
                <w:szCs w:val="22"/>
                <w:lang w:val="en-ZA"/>
              </w:rPr>
            </w:pPr>
            <w:r w:rsidRPr="00B05FCD">
              <w:rPr>
                <w:szCs w:val="22"/>
                <w:lang w:val="en-ZA"/>
              </w:rPr>
              <w:t>Director of Public Prosecutions</w:t>
            </w:r>
          </w:p>
        </w:tc>
      </w:tr>
      <w:bookmarkEnd w:id="0"/>
    </w:tbl>
    <w:p w14:paraId="78FF0883" w14:textId="2EDD5F06" w:rsidR="000A0D91" w:rsidRPr="00322BEC" w:rsidRDefault="000A0D91" w:rsidP="009A0798">
      <w:pPr>
        <w:pStyle w:val="1"/>
        <w:numPr>
          <w:ilvl w:val="0"/>
          <w:numId w:val="0"/>
        </w:numPr>
        <w:spacing w:before="0"/>
        <w:rPr>
          <w:lang w:val="en-ZA"/>
        </w:rPr>
      </w:pPr>
    </w:p>
    <w:sectPr w:rsidR="000A0D91" w:rsidRPr="00322BEC" w:rsidSect="00D8259A">
      <w:headerReference w:type="default" r:id="rId9"/>
      <w:footerReference w:type="default" r:id="rId10"/>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A3DA" w14:textId="77777777" w:rsidR="004146BE" w:rsidRDefault="004146BE" w:rsidP="00AA4D14">
      <w:r>
        <w:separator/>
      </w:r>
    </w:p>
  </w:endnote>
  <w:endnote w:type="continuationSeparator" w:id="0">
    <w:p w14:paraId="1C730812" w14:textId="77777777" w:rsidR="004146BE" w:rsidRDefault="004146BE" w:rsidP="00A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DA17" w14:textId="77777777" w:rsidR="00ED4300" w:rsidRDefault="00ED4300" w:rsidP="009457A2">
    <w:pPr>
      <w:pStyle w:val="Footer"/>
      <w:jc w:val="right"/>
    </w:pPr>
  </w:p>
  <w:p w14:paraId="6FE262C5" w14:textId="77777777" w:rsidR="00ED4300" w:rsidRDefault="00ED43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6950A" w14:textId="77777777" w:rsidR="004146BE" w:rsidRDefault="004146BE" w:rsidP="00AA4D14">
      <w:r>
        <w:separator/>
      </w:r>
    </w:p>
  </w:footnote>
  <w:footnote w:type="continuationSeparator" w:id="0">
    <w:p w14:paraId="2CA486DE" w14:textId="77777777" w:rsidR="004146BE" w:rsidRDefault="004146BE" w:rsidP="00AA4D14">
      <w:r>
        <w:continuationSeparator/>
      </w:r>
    </w:p>
  </w:footnote>
  <w:footnote w:id="1">
    <w:p w14:paraId="7FA3A803" w14:textId="092B104E" w:rsidR="00057B29" w:rsidRDefault="00057B29">
      <w:pPr>
        <w:pStyle w:val="FootnoteText"/>
      </w:pPr>
      <w:r>
        <w:rPr>
          <w:rStyle w:val="FootnoteReference"/>
        </w:rPr>
        <w:footnoteRef/>
      </w:r>
      <w:r w:rsidR="00145F51">
        <w:t xml:space="preserve"> </w:t>
      </w:r>
      <w:r w:rsidR="00EB4B6D" w:rsidRPr="007324E9">
        <w:rPr>
          <w:i/>
          <w:iCs/>
        </w:rPr>
        <w:t xml:space="preserve">R v </w:t>
      </w:r>
      <w:proofErr w:type="spellStart"/>
      <w:r w:rsidR="00EB4B6D" w:rsidRPr="007324E9">
        <w:rPr>
          <w:i/>
          <w:iCs/>
        </w:rPr>
        <w:t>Dhlumayo</w:t>
      </w:r>
      <w:proofErr w:type="spellEnd"/>
      <w:r w:rsidR="00EB4B6D" w:rsidRPr="007324E9">
        <w:rPr>
          <w:i/>
          <w:iCs/>
        </w:rPr>
        <w:t xml:space="preserve"> </w:t>
      </w:r>
      <w:r w:rsidR="00E97D13">
        <w:rPr>
          <w:i/>
          <w:iCs/>
        </w:rPr>
        <w:t>and a</w:t>
      </w:r>
      <w:r w:rsidR="00EB4B6D" w:rsidRPr="007324E9">
        <w:rPr>
          <w:i/>
          <w:iCs/>
        </w:rPr>
        <w:t>nother</w:t>
      </w:r>
      <w:r w:rsidR="00EB4B6D" w:rsidRPr="001811A8">
        <w:t xml:space="preserve"> 1948 (2) SA 677 (A)</w:t>
      </w:r>
      <w:r w:rsidR="002E3299">
        <w:t>.</w:t>
      </w:r>
    </w:p>
  </w:footnote>
  <w:footnote w:id="2">
    <w:p w14:paraId="340BEF10" w14:textId="14471B01" w:rsidR="00EB4B6D" w:rsidRPr="004C3756" w:rsidRDefault="00EB4B6D">
      <w:pPr>
        <w:pStyle w:val="FootnoteText"/>
        <w:rPr>
          <w:lang w:val="pt-BR"/>
        </w:rPr>
      </w:pPr>
      <w:r>
        <w:rPr>
          <w:rStyle w:val="FootnoteReference"/>
        </w:rPr>
        <w:footnoteRef/>
      </w:r>
      <w:r w:rsidR="00145F51" w:rsidRPr="004C3756">
        <w:rPr>
          <w:lang w:val="pt-BR"/>
        </w:rPr>
        <w:t xml:space="preserve"> </w:t>
      </w:r>
      <w:r w:rsidRPr="004C3756">
        <w:rPr>
          <w:i/>
          <w:iCs/>
          <w:lang w:val="pt-BR"/>
        </w:rPr>
        <w:t>S v Francis</w:t>
      </w:r>
      <w:r w:rsidRPr="004C3756">
        <w:rPr>
          <w:lang w:val="pt-BR"/>
        </w:rPr>
        <w:t xml:space="preserve"> 1991 (1) SACR 198 (A) </w:t>
      </w:r>
      <w:r w:rsidR="002E3299" w:rsidRPr="004C3756">
        <w:rPr>
          <w:lang w:val="pt-BR"/>
        </w:rPr>
        <w:t>at 198j</w:t>
      </w:r>
      <w:r w:rsidRPr="004C3756">
        <w:rPr>
          <w:lang w:val="pt-BR"/>
        </w:rPr>
        <w:t>-199a</w:t>
      </w:r>
      <w:r w:rsidR="00C804B3" w:rsidRPr="004C3756">
        <w:rPr>
          <w:lang w:val="pt-BR"/>
        </w:rPr>
        <w:t>.</w:t>
      </w:r>
    </w:p>
  </w:footnote>
  <w:footnote w:id="3">
    <w:p w14:paraId="43736E39" w14:textId="45C3E15B" w:rsidR="00777C2E" w:rsidRPr="004C3756" w:rsidRDefault="00777C2E" w:rsidP="00777C2E">
      <w:pPr>
        <w:pStyle w:val="FootnoteText"/>
        <w:rPr>
          <w:lang w:val="pt-BR"/>
        </w:rPr>
      </w:pPr>
      <w:r>
        <w:rPr>
          <w:rStyle w:val="FootnoteReference"/>
        </w:rPr>
        <w:footnoteRef/>
      </w:r>
      <w:r w:rsidR="00145F51" w:rsidRPr="004C3756">
        <w:rPr>
          <w:lang w:val="pt-BR"/>
        </w:rPr>
        <w:t xml:space="preserve"> </w:t>
      </w:r>
      <w:r w:rsidRPr="004C3756">
        <w:rPr>
          <w:lang w:val="pt-BR"/>
        </w:rPr>
        <w:t>S v Stevens  [2005] 1 All SA 1 (SCA)</w:t>
      </w:r>
      <w:r w:rsidR="00630C63" w:rsidRPr="004C3756">
        <w:rPr>
          <w:lang w:val="pt-BR"/>
        </w:rPr>
        <w:t xml:space="preserve"> para 17.</w:t>
      </w:r>
    </w:p>
  </w:footnote>
  <w:footnote w:id="4">
    <w:p w14:paraId="320CBA15" w14:textId="56C01BC2" w:rsidR="00777C2E" w:rsidRPr="00E057A3" w:rsidRDefault="00777C2E">
      <w:pPr>
        <w:pStyle w:val="FootnoteText"/>
        <w:rPr>
          <w:lang w:val="pt-BR"/>
        </w:rPr>
      </w:pPr>
      <w:r>
        <w:rPr>
          <w:rStyle w:val="FootnoteReference"/>
        </w:rPr>
        <w:footnoteRef/>
      </w:r>
      <w:r w:rsidR="00145F51">
        <w:rPr>
          <w:lang w:val="pt-BR"/>
        </w:rPr>
        <w:t xml:space="preserve"> </w:t>
      </w:r>
      <w:r w:rsidRPr="00E057A3">
        <w:rPr>
          <w:rFonts w:eastAsiaTheme="minorHAnsi"/>
          <w:i/>
          <w:iCs/>
          <w:lang w:val="pt-BR"/>
        </w:rPr>
        <w:t xml:space="preserve">Maila </w:t>
      </w:r>
      <w:r w:rsidRPr="00E057A3">
        <w:rPr>
          <w:rFonts w:eastAsiaTheme="minorHAnsi"/>
          <w:i/>
          <w:iCs/>
          <w:lang w:val="pt-BR"/>
        </w:rPr>
        <w:t>v S</w:t>
      </w:r>
      <w:r w:rsidRPr="00E057A3">
        <w:rPr>
          <w:rFonts w:eastAsiaTheme="minorHAnsi"/>
          <w:lang w:val="pt-BR"/>
        </w:rPr>
        <w:t xml:space="preserve"> [2023] ZASCA 3 </w:t>
      </w:r>
      <w:r w:rsidR="007066B5">
        <w:rPr>
          <w:rFonts w:eastAsiaTheme="minorHAnsi"/>
          <w:lang w:val="pt-BR"/>
        </w:rPr>
        <w:t xml:space="preserve">para 17. </w:t>
      </w:r>
    </w:p>
  </w:footnote>
  <w:footnote w:id="5">
    <w:p w14:paraId="1CAAC006" w14:textId="1CAE5AD9" w:rsidR="00F87758" w:rsidRPr="007324E9" w:rsidRDefault="00F87758">
      <w:pPr>
        <w:pStyle w:val="FootnoteText"/>
        <w:rPr>
          <w:lang w:val="pt-BR"/>
        </w:rPr>
      </w:pPr>
      <w:r>
        <w:rPr>
          <w:rStyle w:val="FootnoteReference"/>
        </w:rPr>
        <w:footnoteRef/>
      </w:r>
      <w:r w:rsidR="00145F51">
        <w:rPr>
          <w:lang w:val="pt-BR"/>
        </w:rPr>
        <w:t xml:space="preserve"> </w:t>
      </w:r>
      <w:r w:rsidRPr="007324E9">
        <w:rPr>
          <w:i/>
          <w:iCs/>
          <w:lang w:val="pt-BR"/>
        </w:rPr>
        <w:t>S</w:t>
      </w:r>
      <w:r w:rsidR="002C4777" w:rsidRPr="007324E9">
        <w:rPr>
          <w:i/>
          <w:iCs/>
          <w:lang w:val="pt-BR"/>
        </w:rPr>
        <w:t xml:space="preserve"> </w:t>
      </w:r>
      <w:r w:rsidRPr="007324E9">
        <w:rPr>
          <w:i/>
          <w:iCs/>
          <w:lang w:val="pt-BR"/>
        </w:rPr>
        <w:t>v V</w:t>
      </w:r>
      <w:r w:rsidR="007324E9" w:rsidRPr="007324E9">
        <w:rPr>
          <w:rFonts w:ascii="Verdana" w:hAnsi="Verdana"/>
          <w:color w:val="242121"/>
          <w:sz w:val="27"/>
          <w:szCs w:val="27"/>
          <w:lang w:val="pt-BR"/>
        </w:rPr>
        <w:t xml:space="preserve"> </w:t>
      </w:r>
      <w:r w:rsidRPr="007324E9">
        <w:rPr>
          <w:color w:val="242121"/>
          <w:lang w:val="pt-BR"/>
        </w:rPr>
        <w:t>2000 (1) SACR 453</w:t>
      </w:r>
      <w:r w:rsidRPr="007324E9">
        <w:rPr>
          <w:lang w:val="pt-BR"/>
        </w:rPr>
        <w:t xml:space="preserve"> (SCA) </w:t>
      </w:r>
      <w:r w:rsidR="00B344A8">
        <w:rPr>
          <w:lang w:val="pt-BR"/>
        </w:rPr>
        <w:t xml:space="preserve">para 3(i) at </w:t>
      </w:r>
      <w:r w:rsidR="00B344A8" w:rsidRPr="007324E9">
        <w:rPr>
          <w:lang w:val="pt-BR"/>
        </w:rPr>
        <w:t>455</w:t>
      </w:r>
      <w:r w:rsidRPr="007324E9">
        <w:rPr>
          <w:lang w:val="pt-BR"/>
        </w:rPr>
        <w:t>a-b</w:t>
      </w:r>
      <w:r w:rsidR="00B344A8">
        <w:rPr>
          <w:lang w:val="pt-B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72480"/>
      <w:docPartObj>
        <w:docPartGallery w:val="Page Numbers (Top of Page)"/>
        <w:docPartUnique/>
      </w:docPartObj>
    </w:sdtPr>
    <w:sdtEndPr>
      <w:rPr>
        <w:noProof/>
      </w:rPr>
    </w:sdtEndPr>
    <w:sdtContent>
      <w:p w14:paraId="409461A0" w14:textId="6549BE91" w:rsidR="00ED4300" w:rsidRDefault="00ED4300" w:rsidP="009457A2">
        <w:pPr>
          <w:pStyle w:val="Header"/>
          <w:jc w:val="right"/>
        </w:pPr>
        <w:r>
          <w:fldChar w:fldCharType="begin"/>
        </w:r>
        <w:r>
          <w:instrText xml:space="preserve"> PAGE   \* MERGEFORMAT </w:instrText>
        </w:r>
        <w:r>
          <w:fldChar w:fldCharType="separate"/>
        </w:r>
        <w:r w:rsidR="006709F5">
          <w:rPr>
            <w:noProof/>
          </w:rPr>
          <w:t>9</w:t>
        </w:r>
        <w:r>
          <w:rPr>
            <w:noProof/>
          </w:rPr>
          <w:fldChar w:fldCharType="end"/>
        </w:r>
      </w:p>
    </w:sdtContent>
  </w:sdt>
  <w:p w14:paraId="63E29A8A" w14:textId="77777777" w:rsidR="00ED4300" w:rsidRDefault="00ED4300" w:rsidP="009457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507D4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8883A7C"/>
    <w:lvl w:ilvl="0">
      <w:start w:val="1"/>
      <w:numFmt w:val="decimal"/>
      <w:lvlText w:val="%1."/>
      <w:lvlJc w:val="left"/>
      <w:pPr>
        <w:ind w:left="360" w:hanging="360"/>
      </w:pPr>
    </w:lvl>
  </w:abstractNum>
  <w:abstractNum w:abstractNumId="2" w15:restartNumberingAfterBreak="0">
    <w:nsid w:val="1A904A42"/>
    <w:multiLevelType w:val="hybridMultilevel"/>
    <w:tmpl w:val="59F0CBAE"/>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32EAB"/>
    <w:multiLevelType w:val="multilevel"/>
    <w:tmpl w:val="1188ECEC"/>
    <w:lvl w:ilvl="0">
      <w:start w:val="1"/>
      <w:numFmt w:val="decimal"/>
      <w:pStyle w:val="1"/>
      <w:lvlText w:val="[%1]"/>
      <w:lvlJc w:val="left"/>
      <w:pPr>
        <w:tabs>
          <w:tab w:val="num" w:pos="567"/>
        </w:tabs>
        <w:ind w:left="0" w:firstLine="0"/>
      </w:pPr>
      <w:rPr>
        <w:rFonts w:hint="default"/>
        <w:b w:val="0"/>
        <w:i w:val="0"/>
      </w:rPr>
    </w:lvl>
    <w:lvl w:ilvl="1">
      <w:start w:val="1"/>
      <w:numFmt w:val="lowerLetter"/>
      <w:pStyle w:val="2"/>
      <w:lvlText w:val="(%2)"/>
      <w:lvlJc w:val="left"/>
      <w:pPr>
        <w:tabs>
          <w:tab w:val="num" w:pos="1361"/>
        </w:tabs>
        <w:ind w:left="567" w:hanging="567"/>
      </w:pPr>
      <w:rPr>
        <w:rFonts w:ascii="Arial" w:hAnsi="Arial" w:cstheme="minorBidi" w:hint="default"/>
        <w:b w:val="0"/>
        <w:i w:val="0"/>
        <w:sz w:val="24"/>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4" w15:restartNumberingAfterBreak="0">
    <w:nsid w:val="2EF816A0"/>
    <w:multiLevelType w:val="hybridMultilevel"/>
    <w:tmpl w:val="70F4AB1A"/>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97371"/>
    <w:multiLevelType w:val="hybridMultilevel"/>
    <w:tmpl w:val="6290A15A"/>
    <w:lvl w:ilvl="0" w:tplc="8B4458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547225C"/>
    <w:multiLevelType w:val="hybridMultilevel"/>
    <w:tmpl w:val="25045C00"/>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780B03"/>
    <w:multiLevelType w:val="hybridMultilevel"/>
    <w:tmpl w:val="26D086F0"/>
    <w:lvl w:ilvl="0" w:tplc="3CDAF982">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444474B"/>
    <w:multiLevelType w:val="multilevel"/>
    <w:tmpl w:val="A84C178C"/>
    <w:lvl w:ilvl="0">
      <w:start w:val="1"/>
      <w:numFmt w:val="upperLetter"/>
      <w:pStyle w:val="Heading1"/>
      <w:lvlText w:val="[%1]"/>
      <w:lvlJc w:val="left"/>
      <w:pPr>
        <w:tabs>
          <w:tab w:val="num" w:pos="1134"/>
        </w:tabs>
        <w:ind w:left="1134" w:hanging="1134"/>
      </w:pPr>
      <w:rPr>
        <w:rFonts w:ascii="Arial" w:hAnsi="Arial" w:hint="default"/>
        <w:sz w:val="24"/>
      </w:rPr>
    </w:lvl>
    <w:lvl w:ilvl="1">
      <w:start w:val="1"/>
      <w:numFmt w:val="decimal"/>
      <w:lvlText w:val="[%1.%2]"/>
      <w:lvlJc w:val="left"/>
      <w:pPr>
        <w:tabs>
          <w:tab w:val="num" w:pos="1134"/>
        </w:tabs>
        <w:ind w:left="1134" w:hanging="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BF25ED5"/>
    <w:multiLevelType w:val="hybridMultilevel"/>
    <w:tmpl w:val="9F983CCC"/>
    <w:lvl w:ilvl="0" w:tplc="9B1C0218">
      <w:start w:val="1"/>
      <w:numFmt w:val="lowerLetter"/>
      <w:lvlText w:val="(%1)"/>
      <w:lvlJc w:val="left"/>
      <w:pPr>
        <w:ind w:left="720" w:hanging="360"/>
      </w:pPr>
      <w:rPr>
        <w:rFonts w:ascii="Arial" w:hAnsi="Arial" w:cstheme="minorBidi" w:hint="default"/>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01D17"/>
    <w:multiLevelType w:val="multilevel"/>
    <w:tmpl w:val="801AFF9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02E6B12"/>
    <w:multiLevelType w:val="hybridMultilevel"/>
    <w:tmpl w:val="069E27AC"/>
    <w:lvl w:ilvl="0" w:tplc="1C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6F6E04"/>
    <w:multiLevelType w:val="hybridMultilevel"/>
    <w:tmpl w:val="6290A15A"/>
    <w:lvl w:ilvl="0" w:tplc="8B4458C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2"/>
  </w:num>
  <w:num w:numId="17">
    <w:abstractNumId w:val="2"/>
  </w:num>
  <w:num w:numId="18">
    <w:abstractNumId w:val="8"/>
  </w:num>
  <w:num w:numId="19">
    <w:abstractNumId w:val="3"/>
  </w:num>
  <w:num w:numId="20">
    <w:abstractNumId w:val="8"/>
  </w:num>
  <w:num w:numId="21">
    <w:abstractNumId w:val="8"/>
  </w:num>
  <w:num w:numId="22">
    <w:abstractNumId w:val="8"/>
  </w:num>
  <w:num w:numId="23">
    <w:abstractNumId w:val="1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8"/>
  </w:num>
  <w:num w:numId="27">
    <w:abstractNumId w:val="8"/>
  </w:num>
  <w:num w:numId="28">
    <w:abstractNumId w:val="3"/>
  </w:num>
  <w:num w:numId="29">
    <w:abstractNumId w:val="6"/>
  </w:num>
  <w:num w:numId="30">
    <w:abstractNumId w:val="3"/>
  </w:num>
  <w:num w:numId="31">
    <w:abstractNumId w:val="7"/>
  </w:num>
  <w:num w:numId="32">
    <w:abstractNumId w:val="11"/>
  </w:num>
  <w:num w:numId="33">
    <w:abstractNumId w:val="4"/>
  </w:num>
  <w:num w:numId="34">
    <w:abstractNumId w:val="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5"/>
    <w:rsid w:val="00001AAC"/>
    <w:rsid w:val="00001D97"/>
    <w:rsid w:val="00002C4B"/>
    <w:rsid w:val="00004236"/>
    <w:rsid w:val="00012777"/>
    <w:rsid w:val="000127F3"/>
    <w:rsid w:val="000144C1"/>
    <w:rsid w:val="00016514"/>
    <w:rsid w:val="000245BC"/>
    <w:rsid w:val="00031445"/>
    <w:rsid w:val="00031705"/>
    <w:rsid w:val="00031BE3"/>
    <w:rsid w:val="00035DB7"/>
    <w:rsid w:val="000369AA"/>
    <w:rsid w:val="00036B6B"/>
    <w:rsid w:val="000378F5"/>
    <w:rsid w:val="00040CE5"/>
    <w:rsid w:val="0004111F"/>
    <w:rsid w:val="00041507"/>
    <w:rsid w:val="00041BEF"/>
    <w:rsid w:val="00045FFE"/>
    <w:rsid w:val="00046D0C"/>
    <w:rsid w:val="0005082F"/>
    <w:rsid w:val="000570B3"/>
    <w:rsid w:val="00057B29"/>
    <w:rsid w:val="00060DE8"/>
    <w:rsid w:val="00066370"/>
    <w:rsid w:val="00070DF4"/>
    <w:rsid w:val="0007142B"/>
    <w:rsid w:val="0007678E"/>
    <w:rsid w:val="0007679A"/>
    <w:rsid w:val="00083969"/>
    <w:rsid w:val="0008553D"/>
    <w:rsid w:val="000906D1"/>
    <w:rsid w:val="000916DB"/>
    <w:rsid w:val="00091D49"/>
    <w:rsid w:val="0009298D"/>
    <w:rsid w:val="0009355E"/>
    <w:rsid w:val="00096209"/>
    <w:rsid w:val="000968CD"/>
    <w:rsid w:val="00097A99"/>
    <w:rsid w:val="000A0D91"/>
    <w:rsid w:val="000A1A8C"/>
    <w:rsid w:val="000A202C"/>
    <w:rsid w:val="000A2A3E"/>
    <w:rsid w:val="000A5EEF"/>
    <w:rsid w:val="000B36DE"/>
    <w:rsid w:val="000B5A5A"/>
    <w:rsid w:val="000B5CF9"/>
    <w:rsid w:val="000B7973"/>
    <w:rsid w:val="000C4170"/>
    <w:rsid w:val="000C79B3"/>
    <w:rsid w:val="000C7E69"/>
    <w:rsid w:val="000D29A8"/>
    <w:rsid w:val="000D4916"/>
    <w:rsid w:val="000D5A3C"/>
    <w:rsid w:val="000D75BA"/>
    <w:rsid w:val="000E0A5B"/>
    <w:rsid w:val="000E2795"/>
    <w:rsid w:val="000E3CDD"/>
    <w:rsid w:val="000F03BF"/>
    <w:rsid w:val="000F27D4"/>
    <w:rsid w:val="00102E38"/>
    <w:rsid w:val="00104104"/>
    <w:rsid w:val="001049A6"/>
    <w:rsid w:val="00104CC7"/>
    <w:rsid w:val="00113232"/>
    <w:rsid w:val="0011385E"/>
    <w:rsid w:val="00113D2E"/>
    <w:rsid w:val="0011596B"/>
    <w:rsid w:val="00121469"/>
    <w:rsid w:val="00121969"/>
    <w:rsid w:val="0013149E"/>
    <w:rsid w:val="001357BC"/>
    <w:rsid w:val="00136621"/>
    <w:rsid w:val="001367BC"/>
    <w:rsid w:val="00136B11"/>
    <w:rsid w:val="001371DA"/>
    <w:rsid w:val="0014015D"/>
    <w:rsid w:val="00143E8F"/>
    <w:rsid w:val="00144923"/>
    <w:rsid w:val="00145F51"/>
    <w:rsid w:val="00151113"/>
    <w:rsid w:val="0015139C"/>
    <w:rsid w:val="00152930"/>
    <w:rsid w:val="00155581"/>
    <w:rsid w:val="00156C69"/>
    <w:rsid w:val="001632BE"/>
    <w:rsid w:val="00165EC4"/>
    <w:rsid w:val="00167980"/>
    <w:rsid w:val="00167BF2"/>
    <w:rsid w:val="00170EA9"/>
    <w:rsid w:val="00172D21"/>
    <w:rsid w:val="00184A46"/>
    <w:rsid w:val="001918F0"/>
    <w:rsid w:val="00191B90"/>
    <w:rsid w:val="00191D4D"/>
    <w:rsid w:val="00192867"/>
    <w:rsid w:val="0019409D"/>
    <w:rsid w:val="001A620A"/>
    <w:rsid w:val="001B100B"/>
    <w:rsid w:val="001B753C"/>
    <w:rsid w:val="001B7B00"/>
    <w:rsid w:val="001C1BB2"/>
    <w:rsid w:val="001C387A"/>
    <w:rsid w:val="001C3941"/>
    <w:rsid w:val="001D413A"/>
    <w:rsid w:val="001D6389"/>
    <w:rsid w:val="001E0116"/>
    <w:rsid w:val="001E0631"/>
    <w:rsid w:val="001E0687"/>
    <w:rsid w:val="001E0739"/>
    <w:rsid w:val="001E6650"/>
    <w:rsid w:val="001E73E8"/>
    <w:rsid w:val="001F017C"/>
    <w:rsid w:val="001F0887"/>
    <w:rsid w:val="001F1189"/>
    <w:rsid w:val="001F11FA"/>
    <w:rsid w:val="001F5281"/>
    <w:rsid w:val="001F6087"/>
    <w:rsid w:val="001F7963"/>
    <w:rsid w:val="00200709"/>
    <w:rsid w:val="00201B7A"/>
    <w:rsid w:val="00201C88"/>
    <w:rsid w:val="00206661"/>
    <w:rsid w:val="002102E0"/>
    <w:rsid w:val="002105E7"/>
    <w:rsid w:val="00211450"/>
    <w:rsid w:val="00217A9B"/>
    <w:rsid w:val="002232FD"/>
    <w:rsid w:val="0022445E"/>
    <w:rsid w:val="00235F44"/>
    <w:rsid w:val="002401B2"/>
    <w:rsid w:val="00240F7C"/>
    <w:rsid w:val="00241617"/>
    <w:rsid w:val="002462B4"/>
    <w:rsid w:val="00253DAE"/>
    <w:rsid w:val="00257A05"/>
    <w:rsid w:val="00257FCE"/>
    <w:rsid w:val="002614BE"/>
    <w:rsid w:val="00262D17"/>
    <w:rsid w:val="00267942"/>
    <w:rsid w:val="00275687"/>
    <w:rsid w:val="00277B8D"/>
    <w:rsid w:val="002906D2"/>
    <w:rsid w:val="00291229"/>
    <w:rsid w:val="00294B16"/>
    <w:rsid w:val="00296E76"/>
    <w:rsid w:val="002A0465"/>
    <w:rsid w:val="002A0C2F"/>
    <w:rsid w:val="002A4D2D"/>
    <w:rsid w:val="002B1F6B"/>
    <w:rsid w:val="002C0C7F"/>
    <w:rsid w:val="002C351A"/>
    <w:rsid w:val="002C4777"/>
    <w:rsid w:val="002C6AD2"/>
    <w:rsid w:val="002C6BEE"/>
    <w:rsid w:val="002D3223"/>
    <w:rsid w:val="002D536E"/>
    <w:rsid w:val="002D54F5"/>
    <w:rsid w:val="002D7F30"/>
    <w:rsid w:val="002E3299"/>
    <w:rsid w:val="002F17CD"/>
    <w:rsid w:val="002F20DA"/>
    <w:rsid w:val="002F31D4"/>
    <w:rsid w:val="002F3330"/>
    <w:rsid w:val="002F4BE4"/>
    <w:rsid w:val="002F5639"/>
    <w:rsid w:val="002F67D0"/>
    <w:rsid w:val="002F6B4B"/>
    <w:rsid w:val="002F7644"/>
    <w:rsid w:val="003039AA"/>
    <w:rsid w:val="00304BB5"/>
    <w:rsid w:val="00313C62"/>
    <w:rsid w:val="003206C2"/>
    <w:rsid w:val="0032231D"/>
    <w:rsid w:val="00322BEC"/>
    <w:rsid w:val="003248EB"/>
    <w:rsid w:val="00326192"/>
    <w:rsid w:val="0032681D"/>
    <w:rsid w:val="00332A88"/>
    <w:rsid w:val="00332E8A"/>
    <w:rsid w:val="0034027C"/>
    <w:rsid w:val="003404AA"/>
    <w:rsid w:val="00346ADA"/>
    <w:rsid w:val="00347544"/>
    <w:rsid w:val="00347DD0"/>
    <w:rsid w:val="003506BB"/>
    <w:rsid w:val="00352D21"/>
    <w:rsid w:val="00356FE6"/>
    <w:rsid w:val="003601ED"/>
    <w:rsid w:val="00365355"/>
    <w:rsid w:val="00374759"/>
    <w:rsid w:val="0037538B"/>
    <w:rsid w:val="00375DD0"/>
    <w:rsid w:val="00381DAA"/>
    <w:rsid w:val="00384A30"/>
    <w:rsid w:val="003871AE"/>
    <w:rsid w:val="003873A3"/>
    <w:rsid w:val="003A054D"/>
    <w:rsid w:val="003A0A37"/>
    <w:rsid w:val="003A588E"/>
    <w:rsid w:val="003B0096"/>
    <w:rsid w:val="003B156A"/>
    <w:rsid w:val="003B3011"/>
    <w:rsid w:val="003B7AFA"/>
    <w:rsid w:val="003C057C"/>
    <w:rsid w:val="003C316C"/>
    <w:rsid w:val="003C3EC7"/>
    <w:rsid w:val="003C721F"/>
    <w:rsid w:val="003D14B5"/>
    <w:rsid w:val="003D157E"/>
    <w:rsid w:val="003D237F"/>
    <w:rsid w:val="003D4085"/>
    <w:rsid w:val="003F414E"/>
    <w:rsid w:val="00401699"/>
    <w:rsid w:val="00404D23"/>
    <w:rsid w:val="00410581"/>
    <w:rsid w:val="00412199"/>
    <w:rsid w:val="004146BE"/>
    <w:rsid w:val="00417BDA"/>
    <w:rsid w:val="004205DA"/>
    <w:rsid w:val="004261E4"/>
    <w:rsid w:val="00430A7A"/>
    <w:rsid w:val="0043630E"/>
    <w:rsid w:val="004418AD"/>
    <w:rsid w:val="004427D2"/>
    <w:rsid w:val="00442CE6"/>
    <w:rsid w:val="004444A9"/>
    <w:rsid w:val="00447607"/>
    <w:rsid w:val="00454D24"/>
    <w:rsid w:val="00462588"/>
    <w:rsid w:val="00464FA1"/>
    <w:rsid w:val="0046610C"/>
    <w:rsid w:val="00466FAC"/>
    <w:rsid w:val="0046768B"/>
    <w:rsid w:val="00472E23"/>
    <w:rsid w:val="00473447"/>
    <w:rsid w:val="004738D4"/>
    <w:rsid w:val="00477F39"/>
    <w:rsid w:val="00480D3E"/>
    <w:rsid w:val="0048271F"/>
    <w:rsid w:val="00482F74"/>
    <w:rsid w:val="00486E0D"/>
    <w:rsid w:val="004A30AB"/>
    <w:rsid w:val="004A5129"/>
    <w:rsid w:val="004B4400"/>
    <w:rsid w:val="004B5277"/>
    <w:rsid w:val="004C0552"/>
    <w:rsid w:val="004C2FF8"/>
    <w:rsid w:val="004C3756"/>
    <w:rsid w:val="004C557D"/>
    <w:rsid w:val="004C6F46"/>
    <w:rsid w:val="004C73BB"/>
    <w:rsid w:val="004D2369"/>
    <w:rsid w:val="004D699E"/>
    <w:rsid w:val="004E3977"/>
    <w:rsid w:val="004E505D"/>
    <w:rsid w:val="004F08EB"/>
    <w:rsid w:val="004F0AEE"/>
    <w:rsid w:val="004F3994"/>
    <w:rsid w:val="004F4EA8"/>
    <w:rsid w:val="00501FD0"/>
    <w:rsid w:val="005028DF"/>
    <w:rsid w:val="00510870"/>
    <w:rsid w:val="00514A66"/>
    <w:rsid w:val="00517013"/>
    <w:rsid w:val="00524A3B"/>
    <w:rsid w:val="00524B9D"/>
    <w:rsid w:val="0052530D"/>
    <w:rsid w:val="005306CE"/>
    <w:rsid w:val="0053147E"/>
    <w:rsid w:val="00533267"/>
    <w:rsid w:val="00534F22"/>
    <w:rsid w:val="00537FB3"/>
    <w:rsid w:val="00552D9C"/>
    <w:rsid w:val="00554C28"/>
    <w:rsid w:val="005568FB"/>
    <w:rsid w:val="00564D43"/>
    <w:rsid w:val="005668CB"/>
    <w:rsid w:val="00570090"/>
    <w:rsid w:val="0057165B"/>
    <w:rsid w:val="0057377B"/>
    <w:rsid w:val="00583C7A"/>
    <w:rsid w:val="005877C8"/>
    <w:rsid w:val="005903B1"/>
    <w:rsid w:val="00590AEA"/>
    <w:rsid w:val="00590F78"/>
    <w:rsid w:val="00591821"/>
    <w:rsid w:val="00592A71"/>
    <w:rsid w:val="005930EF"/>
    <w:rsid w:val="00595080"/>
    <w:rsid w:val="00596E2D"/>
    <w:rsid w:val="005A3A59"/>
    <w:rsid w:val="005C5455"/>
    <w:rsid w:val="005D47AA"/>
    <w:rsid w:val="005D6359"/>
    <w:rsid w:val="005E0579"/>
    <w:rsid w:val="005E06D7"/>
    <w:rsid w:val="005E4F9F"/>
    <w:rsid w:val="005E618F"/>
    <w:rsid w:val="005E797D"/>
    <w:rsid w:val="005F5585"/>
    <w:rsid w:val="005F6C84"/>
    <w:rsid w:val="006003FD"/>
    <w:rsid w:val="00600FB2"/>
    <w:rsid w:val="006014C4"/>
    <w:rsid w:val="00603583"/>
    <w:rsid w:val="00603F0F"/>
    <w:rsid w:val="00606028"/>
    <w:rsid w:val="00607158"/>
    <w:rsid w:val="006112D5"/>
    <w:rsid w:val="00616F36"/>
    <w:rsid w:val="0062025B"/>
    <w:rsid w:val="006204A0"/>
    <w:rsid w:val="006233EE"/>
    <w:rsid w:val="00630C63"/>
    <w:rsid w:val="00631006"/>
    <w:rsid w:val="0064150D"/>
    <w:rsid w:val="00642D17"/>
    <w:rsid w:val="006515CC"/>
    <w:rsid w:val="006527D9"/>
    <w:rsid w:val="006709F5"/>
    <w:rsid w:val="006721E0"/>
    <w:rsid w:val="00674BA3"/>
    <w:rsid w:val="00675D65"/>
    <w:rsid w:val="00681CB8"/>
    <w:rsid w:val="006847EF"/>
    <w:rsid w:val="006863E5"/>
    <w:rsid w:val="00690F14"/>
    <w:rsid w:val="006B1211"/>
    <w:rsid w:val="006B1EC5"/>
    <w:rsid w:val="006B4BD1"/>
    <w:rsid w:val="006B5874"/>
    <w:rsid w:val="006B7993"/>
    <w:rsid w:val="006C4287"/>
    <w:rsid w:val="006C7547"/>
    <w:rsid w:val="006D3EB2"/>
    <w:rsid w:val="006D714B"/>
    <w:rsid w:val="006E344C"/>
    <w:rsid w:val="006E39B5"/>
    <w:rsid w:val="006E5AB9"/>
    <w:rsid w:val="006F1A5E"/>
    <w:rsid w:val="006F64DA"/>
    <w:rsid w:val="00704342"/>
    <w:rsid w:val="007066B5"/>
    <w:rsid w:val="00715670"/>
    <w:rsid w:val="0072610B"/>
    <w:rsid w:val="007273DE"/>
    <w:rsid w:val="00730A8F"/>
    <w:rsid w:val="007324E9"/>
    <w:rsid w:val="00736588"/>
    <w:rsid w:val="00740D63"/>
    <w:rsid w:val="0074299F"/>
    <w:rsid w:val="00744C18"/>
    <w:rsid w:val="00745A66"/>
    <w:rsid w:val="007563A9"/>
    <w:rsid w:val="00756C67"/>
    <w:rsid w:val="00761782"/>
    <w:rsid w:val="007639EA"/>
    <w:rsid w:val="00763EDB"/>
    <w:rsid w:val="007650B0"/>
    <w:rsid w:val="00765A0D"/>
    <w:rsid w:val="00772468"/>
    <w:rsid w:val="0077249B"/>
    <w:rsid w:val="00772998"/>
    <w:rsid w:val="00777C2E"/>
    <w:rsid w:val="0078225F"/>
    <w:rsid w:val="00782613"/>
    <w:rsid w:val="00782715"/>
    <w:rsid w:val="00790F68"/>
    <w:rsid w:val="00791C71"/>
    <w:rsid w:val="007957D9"/>
    <w:rsid w:val="007961EB"/>
    <w:rsid w:val="00796A27"/>
    <w:rsid w:val="00797128"/>
    <w:rsid w:val="00797568"/>
    <w:rsid w:val="007A506F"/>
    <w:rsid w:val="007A746E"/>
    <w:rsid w:val="007A793A"/>
    <w:rsid w:val="007B053A"/>
    <w:rsid w:val="007B165A"/>
    <w:rsid w:val="007B1D53"/>
    <w:rsid w:val="007B5FA0"/>
    <w:rsid w:val="007C0519"/>
    <w:rsid w:val="007C2902"/>
    <w:rsid w:val="007C61EA"/>
    <w:rsid w:val="007D1261"/>
    <w:rsid w:val="007D21C4"/>
    <w:rsid w:val="007D250B"/>
    <w:rsid w:val="007D6D3A"/>
    <w:rsid w:val="007E06C5"/>
    <w:rsid w:val="007E0934"/>
    <w:rsid w:val="007E1089"/>
    <w:rsid w:val="007E7607"/>
    <w:rsid w:val="007E77E5"/>
    <w:rsid w:val="007F47BE"/>
    <w:rsid w:val="007F6E9F"/>
    <w:rsid w:val="007F745F"/>
    <w:rsid w:val="00801C7C"/>
    <w:rsid w:val="008021D4"/>
    <w:rsid w:val="008046B3"/>
    <w:rsid w:val="00810DED"/>
    <w:rsid w:val="00815F40"/>
    <w:rsid w:val="00821FC4"/>
    <w:rsid w:val="008238CA"/>
    <w:rsid w:val="00823FCF"/>
    <w:rsid w:val="00827F94"/>
    <w:rsid w:val="00830971"/>
    <w:rsid w:val="00835219"/>
    <w:rsid w:val="0083677B"/>
    <w:rsid w:val="00840739"/>
    <w:rsid w:val="00845A8F"/>
    <w:rsid w:val="00855CDC"/>
    <w:rsid w:val="0085642C"/>
    <w:rsid w:val="00857258"/>
    <w:rsid w:val="00857A15"/>
    <w:rsid w:val="008612B3"/>
    <w:rsid w:val="0086780D"/>
    <w:rsid w:val="00873536"/>
    <w:rsid w:val="00874972"/>
    <w:rsid w:val="008841F6"/>
    <w:rsid w:val="008849A5"/>
    <w:rsid w:val="0089055A"/>
    <w:rsid w:val="008943F7"/>
    <w:rsid w:val="008A0AD3"/>
    <w:rsid w:val="008A0FA5"/>
    <w:rsid w:val="008A10EE"/>
    <w:rsid w:val="008A3191"/>
    <w:rsid w:val="008A406F"/>
    <w:rsid w:val="008A625D"/>
    <w:rsid w:val="008A6502"/>
    <w:rsid w:val="008A787F"/>
    <w:rsid w:val="008B4104"/>
    <w:rsid w:val="008C4C4C"/>
    <w:rsid w:val="008D03EB"/>
    <w:rsid w:val="008D231A"/>
    <w:rsid w:val="008D6F86"/>
    <w:rsid w:val="008E36D3"/>
    <w:rsid w:val="008E5DF1"/>
    <w:rsid w:val="008F4465"/>
    <w:rsid w:val="00902928"/>
    <w:rsid w:val="00904458"/>
    <w:rsid w:val="00906A0F"/>
    <w:rsid w:val="0091512D"/>
    <w:rsid w:val="0092553B"/>
    <w:rsid w:val="009257C5"/>
    <w:rsid w:val="00925FBB"/>
    <w:rsid w:val="009346AF"/>
    <w:rsid w:val="009379EC"/>
    <w:rsid w:val="009457A2"/>
    <w:rsid w:val="00953471"/>
    <w:rsid w:val="0096196F"/>
    <w:rsid w:val="009631E0"/>
    <w:rsid w:val="009738B8"/>
    <w:rsid w:val="00975E8D"/>
    <w:rsid w:val="009803AB"/>
    <w:rsid w:val="009819EC"/>
    <w:rsid w:val="00986755"/>
    <w:rsid w:val="00986F9F"/>
    <w:rsid w:val="00987E82"/>
    <w:rsid w:val="0099013F"/>
    <w:rsid w:val="009918C8"/>
    <w:rsid w:val="00994A03"/>
    <w:rsid w:val="00994B3E"/>
    <w:rsid w:val="00995C03"/>
    <w:rsid w:val="00997C36"/>
    <w:rsid w:val="009A0798"/>
    <w:rsid w:val="009A1731"/>
    <w:rsid w:val="009A25E5"/>
    <w:rsid w:val="009A5A69"/>
    <w:rsid w:val="009A5E6F"/>
    <w:rsid w:val="009A6D3F"/>
    <w:rsid w:val="009B0952"/>
    <w:rsid w:val="009B1705"/>
    <w:rsid w:val="009B3E6A"/>
    <w:rsid w:val="009B71D9"/>
    <w:rsid w:val="009C0913"/>
    <w:rsid w:val="009C229B"/>
    <w:rsid w:val="009C6FAA"/>
    <w:rsid w:val="009C77CC"/>
    <w:rsid w:val="009D22C0"/>
    <w:rsid w:val="009D22F0"/>
    <w:rsid w:val="009D6710"/>
    <w:rsid w:val="009D73F7"/>
    <w:rsid w:val="009D7B71"/>
    <w:rsid w:val="009E045A"/>
    <w:rsid w:val="009E1FDA"/>
    <w:rsid w:val="009E491F"/>
    <w:rsid w:val="009E773D"/>
    <w:rsid w:val="00A12E00"/>
    <w:rsid w:val="00A14257"/>
    <w:rsid w:val="00A21A74"/>
    <w:rsid w:val="00A24275"/>
    <w:rsid w:val="00A26302"/>
    <w:rsid w:val="00A304F3"/>
    <w:rsid w:val="00A346C8"/>
    <w:rsid w:val="00A35B76"/>
    <w:rsid w:val="00A36002"/>
    <w:rsid w:val="00A36A92"/>
    <w:rsid w:val="00A430EA"/>
    <w:rsid w:val="00A463F7"/>
    <w:rsid w:val="00A47CAC"/>
    <w:rsid w:val="00A50BDD"/>
    <w:rsid w:val="00A517ED"/>
    <w:rsid w:val="00A53ED4"/>
    <w:rsid w:val="00A54116"/>
    <w:rsid w:val="00A57BF6"/>
    <w:rsid w:val="00A62DC4"/>
    <w:rsid w:val="00A654A1"/>
    <w:rsid w:val="00A67846"/>
    <w:rsid w:val="00A70303"/>
    <w:rsid w:val="00A728E0"/>
    <w:rsid w:val="00A72FE9"/>
    <w:rsid w:val="00A73D3D"/>
    <w:rsid w:val="00A8569E"/>
    <w:rsid w:val="00A94158"/>
    <w:rsid w:val="00A94E83"/>
    <w:rsid w:val="00A9607C"/>
    <w:rsid w:val="00A96C21"/>
    <w:rsid w:val="00AA0F60"/>
    <w:rsid w:val="00AA47CD"/>
    <w:rsid w:val="00AA4A6F"/>
    <w:rsid w:val="00AA4D14"/>
    <w:rsid w:val="00AB2235"/>
    <w:rsid w:val="00AB3459"/>
    <w:rsid w:val="00AC1AC0"/>
    <w:rsid w:val="00AC2723"/>
    <w:rsid w:val="00AC74A8"/>
    <w:rsid w:val="00AD216A"/>
    <w:rsid w:val="00AE0D8E"/>
    <w:rsid w:val="00AF4909"/>
    <w:rsid w:val="00AF7B4F"/>
    <w:rsid w:val="00B01F4C"/>
    <w:rsid w:val="00B05FCD"/>
    <w:rsid w:val="00B065C1"/>
    <w:rsid w:val="00B065ED"/>
    <w:rsid w:val="00B10116"/>
    <w:rsid w:val="00B10E77"/>
    <w:rsid w:val="00B116E0"/>
    <w:rsid w:val="00B13485"/>
    <w:rsid w:val="00B13D01"/>
    <w:rsid w:val="00B15AF7"/>
    <w:rsid w:val="00B20CC5"/>
    <w:rsid w:val="00B23529"/>
    <w:rsid w:val="00B240DF"/>
    <w:rsid w:val="00B2566D"/>
    <w:rsid w:val="00B27AF8"/>
    <w:rsid w:val="00B30F82"/>
    <w:rsid w:val="00B344A8"/>
    <w:rsid w:val="00B40DBF"/>
    <w:rsid w:val="00B43413"/>
    <w:rsid w:val="00B54DE4"/>
    <w:rsid w:val="00B6209B"/>
    <w:rsid w:val="00B64478"/>
    <w:rsid w:val="00B645DC"/>
    <w:rsid w:val="00B70F50"/>
    <w:rsid w:val="00B762C4"/>
    <w:rsid w:val="00B813C2"/>
    <w:rsid w:val="00B82F9D"/>
    <w:rsid w:val="00B83782"/>
    <w:rsid w:val="00B83F3B"/>
    <w:rsid w:val="00B942AE"/>
    <w:rsid w:val="00B94946"/>
    <w:rsid w:val="00B94A62"/>
    <w:rsid w:val="00B96225"/>
    <w:rsid w:val="00BA0FB3"/>
    <w:rsid w:val="00BA1FCB"/>
    <w:rsid w:val="00BA2DA8"/>
    <w:rsid w:val="00BA46B2"/>
    <w:rsid w:val="00BA4E89"/>
    <w:rsid w:val="00BA737D"/>
    <w:rsid w:val="00BA7C51"/>
    <w:rsid w:val="00BB1467"/>
    <w:rsid w:val="00BB18B2"/>
    <w:rsid w:val="00BC1460"/>
    <w:rsid w:val="00BD0545"/>
    <w:rsid w:val="00BD0F69"/>
    <w:rsid w:val="00BD5D91"/>
    <w:rsid w:val="00BD6447"/>
    <w:rsid w:val="00BE286C"/>
    <w:rsid w:val="00BE40B3"/>
    <w:rsid w:val="00BE53D1"/>
    <w:rsid w:val="00BE548D"/>
    <w:rsid w:val="00BE7F82"/>
    <w:rsid w:val="00BF7F5E"/>
    <w:rsid w:val="00C05C56"/>
    <w:rsid w:val="00C10724"/>
    <w:rsid w:val="00C13487"/>
    <w:rsid w:val="00C2601B"/>
    <w:rsid w:val="00C32B22"/>
    <w:rsid w:val="00C36508"/>
    <w:rsid w:val="00C405E6"/>
    <w:rsid w:val="00C4130E"/>
    <w:rsid w:val="00C42091"/>
    <w:rsid w:val="00C42719"/>
    <w:rsid w:val="00C4771C"/>
    <w:rsid w:val="00C67439"/>
    <w:rsid w:val="00C804B3"/>
    <w:rsid w:val="00C807E0"/>
    <w:rsid w:val="00C8294E"/>
    <w:rsid w:val="00C82AD2"/>
    <w:rsid w:val="00C83980"/>
    <w:rsid w:val="00C84BE4"/>
    <w:rsid w:val="00C85ADA"/>
    <w:rsid w:val="00C86EB0"/>
    <w:rsid w:val="00C904B4"/>
    <w:rsid w:val="00C908E7"/>
    <w:rsid w:val="00C94ABF"/>
    <w:rsid w:val="00C94D0C"/>
    <w:rsid w:val="00C96B25"/>
    <w:rsid w:val="00C97AE2"/>
    <w:rsid w:val="00C97EB0"/>
    <w:rsid w:val="00CA26E7"/>
    <w:rsid w:val="00CA2A35"/>
    <w:rsid w:val="00CA57E8"/>
    <w:rsid w:val="00CB6A01"/>
    <w:rsid w:val="00CC2CAD"/>
    <w:rsid w:val="00CC77A8"/>
    <w:rsid w:val="00CD1925"/>
    <w:rsid w:val="00CD3C0D"/>
    <w:rsid w:val="00CE0BF7"/>
    <w:rsid w:val="00CE0DC6"/>
    <w:rsid w:val="00CE60BA"/>
    <w:rsid w:val="00CF3A1D"/>
    <w:rsid w:val="00CF4058"/>
    <w:rsid w:val="00CF76E9"/>
    <w:rsid w:val="00D0089C"/>
    <w:rsid w:val="00D1216A"/>
    <w:rsid w:val="00D1289A"/>
    <w:rsid w:val="00D144E4"/>
    <w:rsid w:val="00D15C40"/>
    <w:rsid w:val="00D20675"/>
    <w:rsid w:val="00D21983"/>
    <w:rsid w:val="00D22EC0"/>
    <w:rsid w:val="00D22EFF"/>
    <w:rsid w:val="00D24C76"/>
    <w:rsid w:val="00D256BC"/>
    <w:rsid w:val="00D25E35"/>
    <w:rsid w:val="00D30A06"/>
    <w:rsid w:val="00D3262D"/>
    <w:rsid w:val="00D32643"/>
    <w:rsid w:val="00D35CF0"/>
    <w:rsid w:val="00D37395"/>
    <w:rsid w:val="00D4149E"/>
    <w:rsid w:val="00D42579"/>
    <w:rsid w:val="00D5424C"/>
    <w:rsid w:val="00D55B74"/>
    <w:rsid w:val="00D576BC"/>
    <w:rsid w:val="00D579B1"/>
    <w:rsid w:val="00D6013E"/>
    <w:rsid w:val="00D6058F"/>
    <w:rsid w:val="00D62F63"/>
    <w:rsid w:val="00D631F1"/>
    <w:rsid w:val="00D63A15"/>
    <w:rsid w:val="00D6514F"/>
    <w:rsid w:val="00D6590E"/>
    <w:rsid w:val="00D66A51"/>
    <w:rsid w:val="00D72C08"/>
    <w:rsid w:val="00D73C11"/>
    <w:rsid w:val="00D81122"/>
    <w:rsid w:val="00D8259A"/>
    <w:rsid w:val="00D82ABF"/>
    <w:rsid w:val="00D83AD5"/>
    <w:rsid w:val="00D848DA"/>
    <w:rsid w:val="00D92BC2"/>
    <w:rsid w:val="00D9613C"/>
    <w:rsid w:val="00DA43F9"/>
    <w:rsid w:val="00DA5967"/>
    <w:rsid w:val="00DB2C38"/>
    <w:rsid w:val="00DB7D02"/>
    <w:rsid w:val="00DC05D0"/>
    <w:rsid w:val="00DC2BD5"/>
    <w:rsid w:val="00DC681B"/>
    <w:rsid w:val="00DD08A8"/>
    <w:rsid w:val="00DD2DA4"/>
    <w:rsid w:val="00DD4CDA"/>
    <w:rsid w:val="00DE799D"/>
    <w:rsid w:val="00DF1B93"/>
    <w:rsid w:val="00DF35E7"/>
    <w:rsid w:val="00DF61AD"/>
    <w:rsid w:val="00DF6683"/>
    <w:rsid w:val="00DF6E9F"/>
    <w:rsid w:val="00E015BC"/>
    <w:rsid w:val="00E0170F"/>
    <w:rsid w:val="00E0176E"/>
    <w:rsid w:val="00E02D8F"/>
    <w:rsid w:val="00E04A06"/>
    <w:rsid w:val="00E057A3"/>
    <w:rsid w:val="00E066D2"/>
    <w:rsid w:val="00E069E3"/>
    <w:rsid w:val="00E107D6"/>
    <w:rsid w:val="00E12BDA"/>
    <w:rsid w:val="00E12EC8"/>
    <w:rsid w:val="00E13A7C"/>
    <w:rsid w:val="00E141C7"/>
    <w:rsid w:val="00E15E2F"/>
    <w:rsid w:val="00E20485"/>
    <w:rsid w:val="00E21763"/>
    <w:rsid w:val="00E2581F"/>
    <w:rsid w:val="00E274B5"/>
    <w:rsid w:val="00E30E75"/>
    <w:rsid w:val="00E3712B"/>
    <w:rsid w:val="00E44495"/>
    <w:rsid w:val="00E45D32"/>
    <w:rsid w:val="00E45ED0"/>
    <w:rsid w:val="00E52A27"/>
    <w:rsid w:val="00E60E8A"/>
    <w:rsid w:val="00E61D1C"/>
    <w:rsid w:val="00E64F8D"/>
    <w:rsid w:val="00E66795"/>
    <w:rsid w:val="00E7094B"/>
    <w:rsid w:val="00E72C9D"/>
    <w:rsid w:val="00E72D24"/>
    <w:rsid w:val="00E76CA5"/>
    <w:rsid w:val="00E802B1"/>
    <w:rsid w:val="00E841DC"/>
    <w:rsid w:val="00E85711"/>
    <w:rsid w:val="00E90B35"/>
    <w:rsid w:val="00E9273A"/>
    <w:rsid w:val="00E97D13"/>
    <w:rsid w:val="00EA0568"/>
    <w:rsid w:val="00EA0E5B"/>
    <w:rsid w:val="00EA3E19"/>
    <w:rsid w:val="00EA4FD6"/>
    <w:rsid w:val="00EB0DE0"/>
    <w:rsid w:val="00EB456A"/>
    <w:rsid w:val="00EB4B6D"/>
    <w:rsid w:val="00EC6C74"/>
    <w:rsid w:val="00ED0899"/>
    <w:rsid w:val="00ED0A13"/>
    <w:rsid w:val="00ED0B98"/>
    <w:rsid w:val="00ED2DDD"/>
    <w:rsid w:val="00ED3209"/>
    <w:rsid w:val="00ED4300"/>
    <w:rsid w:val="00EE0626"/>
    <w:rsid w:val="00EE17CE"/>
    <w:rsid w:val="00EE2EBF"/>
    <w:rsid w:val="00EE5626"/>
    <w:rsid w:val="00EF0CF7"/>
    <w:rsid w:val="00EF2DCB"/>
    <w:rsid w:val="00EF37A7"/>
    <w:rsid w:val="00EF5D3A"/>
    <w:rsid w:val="00F01655"/>
    <w:rsid w:val="00F0385B"/>
    <w:rsid w:val="00F040B4"/>
    <w:rsid w:val="00F0422B"/>
    <w:rsid w:val="00F1281A"/>
    <w:rsid w:val="00F212C5"/>
    <w:rsid w:val="00F23726"/>
    <w:rsid w:val="00F24570"/>
    <w:rsid w:val="00F26467"/>
    <w:rsid w:val="00F269A6"/>
    <w:rsid w:val="00F26C4E"/>
    <w:rsid w:val="00F35AEC"/>
    <w:rsid w:val="00F37944"/>
    <w:rsid w:val="00F433D0"/>
    <w:rsid w:val="00F45A9C"/>
    <w:rsid w:val="00F47521"/>
    <w:rsid w:val="00F5102A"/>
    <w:rsid w:val="00F54583"/>
    <w:rsid w:val="00F56654"/>
    <w:rsid w:val="00F6018E"/>
    <w:rsid w:val="00F6019F"/>
    <w:rsid w:val="00F62B96"/>
    <w:rsid w:val="00F63FA2"/>
    <w:rsid w:val="00F670CD"/>
    <w:rsid w:val="00F71908"/>
    <w:rsid w:val="00F8586B"/>
    <w:rsid w:val="00F87758"/>
    <w:rsid w:val="00F97CA0"/>
    <w:rsid w:val="00FA3B65"/>
    <w:rsid w:val="00FA4DA0"/>
    <w:rsid w:val="00FB0EB3"/>
    <w:rsid w:val="00FB3462"/>
    <w:rsid w:val="00FB65DF"/>
    <w:rsid w:val="00FC4F37"/>
    <w:rsid w:val="00FC665F"/>
    <w:rsid w:val="00FD105E"/>
    <w:rsid w:val="00FD4AA8"/>
    <w:rsid w:val="00FD631E"/>
    <w:rsid w:val="00FD6C72"/>
    <w:rsid w:val="00FD79B0"/>
    <w:rsid w:val="00FE6257"/>
    <w:rsid w:val="00FF1377"/>
    <w:rsid w:val="00FF21C7"/>
    <w:rsid w:val="00FF2CB1"/>
    <w:rsid w:val="00FF316E"/>
    <w:rsid w:val="00FF4400"/>
    <w:rsid w:val="00FF7EE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8A78"/>
  <w15:chartTrackingRefBased/>
  <w15:docId w15:val="{8E635C1F-1827-4BE8-8705-F1653CE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old" w:eastAsia="Times New Roman" w:hAnsi="Arial Bold" w:cstheme="minorBidi"/>
        <w:b/>
        <w:bCs/>
        <w:sz w:val="24"/>
        <w:szCs w:val="28"/>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7"/>
    <w:rPr>
      <w:rFonts w:ascii="Arial" w:hAnsi="Arial"/>
      <w:b w:val="0"/>
      <w:bCs w:val="0"/>
    </w:rPr>
  </w:style>
  <w:style w:type="paragraph" w:styleId="Heading1">
    <w:name w:val="heading 1"/>
    <w:basedOn w:val="Normal"/>
    <w:next w:val="1"/>
    <w:link w:val="Heading1Char"/>
    <w:qFormat/>
    <w:rsid w:val="002C6BEE"/>
    <w:pPr>
      <w:keepNext/>
      <w:numPr>
        <w:numId w:val="22"/>
      </w:numPr>
      <w:autoSpaceDE w:val="0"/>
      <w:autoSpaceDN w:val="0"/>
      <w:adjustRightInd w:val="0"/>
      <w:spacing w:before="840" w:line="480" w:lineRule="auto"/>
      <w:outlineLvl w:val="0"/>
    </w:pPr>
    <w:rPr>
      <w:b/>
      <w:bCs/>
      <w:u w:val="single"/>
    </w:rPr>
  </w:style>
  <w:style w:type="paragraph" w:styleId="Heading2">
    <w:name w:val="heading 2"/>
    <w:basedOn w:val="Heading1"/>
    <w:next w:val="1"/>
    <w:link w:val="Heading2Char"/>
    <w:autoRedefine/>
    <w:uiPriority w:val="9"/>
    <w:qFormat/>
    <w:rsid w:val="0046768B"/>
    <w:pPr>
      <w:numPr>
        <w:ilvl w:val="1"/>
        <w:numId w:val="23"/>
      </w:numPr>
      <w:tabs>
        <w:tab w:val="num" w:pos="1134"/>
      </w:tabs>
      <w:outlineLvl w:val="1"/>
    </w:pPr>
    <w:rPr>
      <w:b w:val="0"/>
      <w:bCs w:val="0"/>
      <w:szCs w:val="26"/>
    </w:rPr>
  </w:style>
  <w:style w:type="paragraph" w:styleId="Heading3">
    <w:name w:val="heading 3"/>
    <w:basedOn w:val="Heading1"/>
    <w:next w:val="1"/>
    <w:link w:val="Heading3Char"/>
    <w:qFormat/>
    <w:rsid w:val="00797568"/>
    <w:pPr>
      <w:numPr>
        <w:numId w:val="0"/>
      </w:numPr>
      <w:spacing w:before="240" w:line="360" w:lineRule="auto"/>
      <w:outlineLvl w:val="2"/>
    </w:pPr>
    <w:rPr>
      <w:u w:val="none"/>
      <w:lang w:val="x-none" w:eastAsia="x-none"/>
    </w:rPr>
  </w:style>
  <w:style w:type="paragraph" w:styleId="Heading4">
    <w:name w:val="heading 4"/>
    <w:basedOn w:val="Normal"/>
    <w:next w:val="Normal"/>
    <w:link w:val="Heading4Char"/>
    <w:unhideWhenUsed/>
    <w:qFormat/>
    <w:rsid w:val="00FA4D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BodyText"/>
    <w:link w:val="1Char"/>
    <w:qFormat/>
    <w:rsid w:val="0007678E"/>
    <w:pPr>
      <w:numPr>
        <w:numId w:val="4"/>
      </w:numPr>
      <w:spacing w:before="240" w:after="0" w:line="360" w:lineRule="auto"/>
    </w:pPr>
    <w:rPr>
      <w:iCs/>
      <w:color w:val="000000"/>
      <w:szCs w:val="22"/>
    </w:rPr>
  </w:style>
  <w:style w:type="paragraph" w:customStyle="1" w:styleId="2">
    <w:name w:val="2"/>
    <w:basedOn w:val="1"/>
    <w:link w:val="2Char"/>
    <w:qFormat/>
    <w:rsid w:val="00DF61AD"/>
    <w:pPr>
      <w:numPr>
        <w:ilvl w:val="1"/>
      </w:numPr>
    </w:pPr>
  </w:style>
  <w:style w:type="paragraph" w:customStyle="1" w:styleId="3">
    <w:name w:val="3"/>
    <w:basedOn w:val="2"/>
    <w:qFormat/>
    <w:rsid w:val="00191D4D"/>
    <w:pPr>
      <w:numPr>
        <w:ilvl w:val="2"/>
      </w:numPr>
    </w:pPr>
  </w:style>
  <w:style w:type="paragraph" w:customStyle="1" w:styleId="4">
    <w:name w:val="4"/>
    <w:basedOn w:val="2"/>
    <w:qFormat/>
    <w:rsid w:val="00F45A9C"/>
    <w:pPr>
      <w:numPr>
        <w:ilvl w:val="3"/>
      </w:numPr>
    </w:pPr>
    <w:rPr>
      <w:iCs w:val="0"/>
    </w:rPr>
  </w:style>
  <w:style w:type="paragraph" w:customStyle="1" w:styleId="5">
    <w:name w:val="5"/>
    <w:basedOn w:val="4"/>
    <w:qFormat/>
    <w:rsid w:val="00F45A9C"/>
    <w:pPr>
      <w:numPr>
        <w:ilvl w:val="4"/>
      </w:numPr>
    </w:pPr>
    <w:rPr>
      <w:iCs/>
      <w:szCs w:val="16"/>
      <w:lang w:eastAsia="en-ZA"/>
    </w:rPr>
  </w:style>
  <w:style w:type="paragraph" w:styleId="Footer">
    <w:name w:val="footer"/>
    <w:basedOn w:val="Normal"/>
    <w:link w:val="FooterChar"/>
    <w:uiPriority w:val="99"/>
    <w:unhideWhenUsed/>
    <w:rsid w:val="008A406F"/>
    <w:pPr>
      <w:tabs>
        <w:tab w:val="center" w:pos="4513"/>
        <w:tab w:val="right" w:pos="9026"/>
      </w:tabs>
    </w:pPr>
  </w:style>
  <w:style w:type="character" w:customStyle="1" w:styleId="FooterChar">
    <w:name w:val="Footer Char"/>
    <w:basedOn w:val="DefaultParagraphFont"/>
    <w:link w:val="Footer"/>
    <w:uiPriority w:val="99"/>
    <w:rsid w:val="008A406F"/>
    <w:rPr>
      <w:rFonts w:ascii="Arial" w:hAnsi="Arial"/>
    </w:rPr>
  </w:style>
  <w:style w:type="character" w:styleId="FootnoteReference">
    <w:name w:val="footnote reference"/>
    <w:basedOn w:val="DefaultParagraphFont"/>
    <w:unhideWhenUsed/>
    <w:rsid w:val="00211450"/>
    <w:rPr>
      <w:vertAlign w:val="superscript"/>
      <w:lang w:val="en-GB"/>
    </w:rPr>
  </w:style>
  <w:style w:type="paragraph" w:styleId="FootnoteText">
    <w:name w:val="footnote text"/>
    <w:basedOn w:val="Normal"/>
    <w:link w:val="FootnoteTextChar"/>
    <w:rsid w:val="00104104"/>
    <w:pPr>
      <w:ind w:left="284" w:hanging="284"/>
    </w:pPr>
    <w:rPr>
      <w:sz w:val="20"/>
      <w:szCs w:val="22"/>
    </w:rPr>
  </w:style>
  <w:style w:type="character" w:customStyle="1" w:styleId="FootnoteTextChar">
    <w:name w:val="Footnote Text Char"/>
    <w:link w:val="FootnoteText"/>
    <w:rsid w:val="00104104"/>
    <w:rPr>
      <w:rFonts w:ascii="Arial" w:hAnsi="Arial"/>
      <w:b w:val="0"/>
      <w:bCs w:val="0"/>
      <w:sz w:val="20"/>
      <w:szCs w:val="22"/>
    </w:rPr>
  </w:style>
  <w:style w:type="paragraph" w:styleId="Header">
    <w:name w:val="header"/>
    <w:basedOn w:val="Normal"/>
    <w:link w:val="HeaderChar"/>
    <w:uiPriority w:val="99"/>
    <w:unhideWhenUsed/>
    <w:rsid w:val="00C83980"/>
    <w:pPr>
      <w:tabs>
        <w:tab w:val="center" w:pos="4513"/>
        <w:tab w:val="right" w:pos="9026"/>
      </w:tabs>
    </w:pPr>
  </w:style>
  <w:style w:type="character" w:customStyle="1" w:styleId="HeaderChar">
    <w:name w:val="Header Char"/>
    <w:basedOn w:val="DefaultParagraphFont"/>
    <w:link w:val="Header"/>
    <w:uiPriority w:val="99"/>
    <w:rsid w:val="00C83980"/>
    <w:rPr>
      <w:rFonts w:ascii="Arial" w:hAnsi="Arial"/>
    </w:rPr>
  </w:style>
  <w:style w:type="character" w:customStyle="1" w:styleId="Heading1Char">
    <w:name w:val="Heading 1 Char"/>
    <w:link w:val="Heading1"/>
    <w:rsid w:val="002C6BEE"/>
    <w:rPr>
      <w:rFonts w:ascii="Arial" w:hAnsi="Arial"/>
      <w:u w:val="single"/>
    </w:rPr>
  </w:style>
  <w:style w:type="character" w:customStyle="1" w:styleId="Heading2Char">
    <w:name w:val="Heading 2 Char"/>
    <w:link w:val="Heading2"/>
    <w:uiPriority w:val="9"/>
    <w:rsid w:val="0046768B"/>
    <w:rPr>
      <w:rFonts w:ascii="Arial" w:hAnsi="Arial"/>
      <w:b w:val="0"/>
      <w:bCs w:val="0"/>
      <w:szCs w:val="26"/>
      <w:u w:val="single"/>
    </w:rPr>
  </w:style>
  <w:style w:type="character" w:customStyle="1" w:styleId="Heading3Char">
    <w:name w:val="Heading 3 Char"/>
    <w:link w:val="Heading3"/>
    <w:rsid w:val="00797568"/>
    <w:rPr>
      <w:rFonts w:ascii="Arial" w:hAnsi="Arial"/>
      <w:lang w:val="x-none" w:eastAsia="x-none"/>
    </w:rPr>
  </w:style>
  <w:style w:type="paragraph" w:styleId="ListNumber2">
    <w:name w:val="List Number 2"/>
    <w:basedOn w:val="Normal"/>
    <w:uiPriority w:val="99"/>
    <w:semiHidden/>
    <w:unhideWhenUsed/>
    <w:rsid w:val="002A0465"/>
    <w:pPr>
      <w:numPr>
        <w:numId w:val="2"/>
      </w:numPr>
    </w:pPr>
  </w:style>
  <w:style w:type="paragraph" w:styleId="ListParagraph">
    <w:name w:val="List Paragraph"/>
    <w:basedOn w:val="Normal"/>
    <w:uiPriority w:val="34"/>
    <w:qFormat/>
    <w:rsid w:val="00855CDC"/>
    <w:pPr>
      <w:numPr>
        <w:numId w:val="17"/>
      </w:numPr>
      <w:spacing w:after="120" w:line="360" w:lineRule="auto"/>
    </w:pPr>
    <w:rPr>
      <w:szCs w:val="16"/>
      <w:lang w:eastAsia="en-ZA"/>
    </w:rPr>
  </w:style>
  <w:style w:type="paragraph" w:customStyle="1" w:styleId="Parties">
    <w:name w:val="Parties"/>
    <w:basedOn w:val="Normal"/>
    <w:rsid w:val="0078225F"/>
    <w:pPr>
      <w:tabs>
        <w:tab w:val="right" w:pos="8732"/>
      </w:tabs>
      <w:suppressAutoHyphens/>
    </w:pPr>
    <w:rPr>
      <w:b/>
      <w:szCs w:val="20"/>
    </w:rPr>
  </w:style>
  <w:style w:type="paragraph" w:styleId="Quote">
    <w:name w:val="Quote"/>
    <w:basedOn w:val="Normal"/>
    <w:link w:val="QuoteChar"/>
    <w:uiPriority w:val="29"/>
    <w:qFormat/>
    <w:rsid w:val="008E36D3"/>
    <w:pPr>
      <w:spacing w:after="120" w:line="360" w:lineRule="auto"/>
    </w:pPr>
    <w:rPr>
      <w:rFonts w:eastAsiaTheme="minorHAnsi"/>
      <w:color w:val="000000"/>
      <w:sz w:val="22"/>
      <w:szCs w:val="22"/>
    </w:rPr>
  </w:style>
  <w:style w:type="character" w:customStyle="1" w:styleId="QuoteChar">
    <w:name w:val="Quote Char"/>
    <w:link w:val="Quote"/>
    <w:uiPriority w:val="29"/>
    <w:rsid w:val="008E36D3"/>
    <w:rPr>
      <w:rFonts w:ascii="Arial" w:eastAsiaTheme="minorHAnsi" w:hAnsi="Arial"/>
      <w:b w:val="0"/>
      <w:bCs w:val="0"/>
      <w:color w:val="000000"/>
      <w:sz w:val="22"/>
      <w:szCs w:val="22"/>
    </w:rPr>
  </w:style>
  <w:style w:type="paragraph" w:styleId="TOC1">
    <w:name w:val="toc 1"/>
    <w:basedOn w:val="Normal"/>
    <w:next w:val="Normal"/>
    <w:autoRedefine/>
    <w:uiPriority w:val="39"/>
    <w:unhideWhenUsed/>
    <w:rsid w:val="00113232"/>
    <w:pPr>
      <w:spacing w:before="200" w:after="100"/>
    </w:pPr>
    <w:rPr>
      <w:b/>
      <w:sz w:val="22"/>
    </w:rPr>
  </w:style>
  <w:style w:type="paragraph" w:styleId="TOC2">
    <w:name w:val="toc 2"/>
    <w:basedOn w:val="Normal"/>
    <w:next w:val="Normal"/>
    <w:autoRedefine/>
    <w:uiPriority w:val="39"/>
    <w:unhideWhenUsed/>
    <w:rsid w:val="00CD3C0D"/>
    <w:pPr>
      <w:spacing w:after="100"/>
      <w:ind w:left="240"/>
    </w:pPr>
    <w:rPr>
      <w:i/>
      <w:sz w:val="22"/>
    </w:rPr>
  </w:style>
  <w:style w:type="paragraph" w:styleId="TOC3">
    <w:name w:val="toc 3"/>
    <w:basedOn w:val="TOC2"/>
    <w:next w:val="Normal"/>
    <w:autoRedefine/>
    <w:uiPriority w:val="39"/>
    <w:unhideWhenUsed/>
    <w:rsid w:val="00CD3C0D"/>
    <w:pPr>
      <w:tabs>
        <w:tab w:val="right" w:leader="dot" w:pos="8755"/>
      </w:tabs>
      <w:ind w:left="480"/>
    </w:pPr>
    <w:rPr>
      <w:i w:val="0"/>
      <w:noProof/>
    </w:rPr>
  </w:style>
  <w:style w:type="paragraph" w:customStyle="1" w:styleId="TramLines">
    <w:name w:val="TramLines"/>
    <w:basedOn w:val="Normal"/>
    <w:next w:val="1"/>
    <w:autoRedefine/>
    <w:qFormat/>
    <w:rsid w:val="008046B3"/>
    <w:pPr>
      <w:pBdr>
        <w:top w:val="single" w:sz="8" w:space="12" w:color="auto"/>
        <w:bottom w:val="single" w:sz="8" w:space="12" w:color="auto"/>
      </w:pBdr>
      <w:tabs>
        <w:tab w:val="left" w:pos="3780"/>
      </w:tabs>
      <w:suppressAutoHyphens/>
      <w:spacing w:after="320"/>
      <w:jc w:val="center"/>
    </w:pPr>
    <w:rPr>
      <w:b/>
      <w:szCs w:val="20"/>
    </w:rPr>
  </w:style>
  <w:style w:type="paragraph" w:styleId="TOCHeading">
    <w:name w:val="TOC Heading"/>
    <w:basedOn w:val="Normal"/>
    <w:next w:val="Normal"/>
    <w:uiPriority w:val="39"/>
    <w:unhideWhenUsed/>
    <w:qFormat/>
    <w:rsid w:val="00B30F82"/>
    <w:pPr>
      <w:keepLines/>
      <w:jc w:val="center"/>
    </w:pPr>
    <w:rPr>
      <w:rFonts w:eastAsiaTheme="majorEastAsia" w:cstheme="majorBidi"/>
      <w:b/>
      <w:bCs/>
      <w:caps/>
      <w:szCs w:val="32"/>
      <w:lang w:val="en-US"/>
    </w:rPr>
  </w:style>
  <w:style w:type="character" w:styleId="PageNumber">
    <w:name w:val="page number"/>
    <w:basedOn w:val="DefaultParagraphFont"/>
    <w:rsid w:val="00211450"/>
  </w:style>
  <w:style w:type="table" w:styleId="TableGrid">
    <w:name w:val="Table Grid"/>
    <w:basedOn w:val="TableNormal"/>
    <w:uiPriority w:val="39"/>
    <w:rsid w:val="0021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1 Char"/>
    <w:basedOn w:val="DefaultParagraphFont"/>
    <w:link w:val="1"/>
    <w:rsid w:val="0007678E"/>
    <w:rPr>
      <w:rFonts w:ascii="Arial" w:hAnsi="Arial"/>
      <w:b w:val="0"/>
      <w:bCs w:val="0"/>
      <w:iCs/>
      <w:color w:val="000000"/>
      <w:szCs w:val="22"/>
    </w:rPr>
  </w:style>
  <w:style w:type="character" w:customStyle="1" w:styleId="2Char">
    <w:name w:val="2 Char"/>
    <w:basedOn w:val="1Char"/>
    <w:link w:val="2"/>
    <w:rsid w:val="00DF61AD"/>
    <w:rPr>
      <w:rFonts w:ascii="Arial" w:hAnsi="Arial"/>
      <w:b w:val="0"/>
      <w:bCs w:val="0"/>
      <w:iCs/>
      <w:color w:val="000000"/>
      <w:szCs w:val="22"/>
    </w:rPr>
  </w:style>
  <w:style w:type="paragraph" w:styleId="NormalWeb">
    <w:name w:val="Normal (Web)"/>
    <w:basedOn w:val="Normal"/>
    <w:uiPriority w:val="99"/>
    <w:semiHidden/>
    <w:unhideWhenUsed/>
    <w:rsid w:val="00211450"/>
    <w:rPr>
      <w:rFonts w:ascii="Times New Roman" w:hAnsi="Times New Roman" w:cs="Times New Roman"/>
    </w:rPr>
  </w:style>
  <w:style w:type="paragraph" w:styleId="BodyText">
    <w:name w:val="Body Text"/>
    <w:basedOn w:val="Normal"/>
    <w:link w:val="BodyTextChar"/>
    <w:autoRedefine/>
    <w:uiPriority w:val="99"/>
    <w:semiHidden/>
    <w:unhideWhenUsed/>
    <w:rsid w:val="00211450"/>
    <w:pPr>
      <w:spacing w:after="120"/>
    </w:pPr>
  </w:style>
  <w:style w:type="character" w:customStyle="1" w:styleId="BodyTextChar">
    <w:name w:val="Body Text Char"/>
    <w:basedOn w:val="DefaultParagraphFont"/>
    <w:link w:val="BodyText"/>
    <w:uiPriority w:val="99"/>
    <w:semiHidden/>
    <w:rsid w:val="00211450"/>
    <w:rPr>
      <w:rFonts w:ascii="Arial" w:hAnsi="Arial"/>
    </w:rPr>
  </w:style>
  <w:style w:type="character" w:styleId="Hyperlink">
    <w:name w:val="Hyperlink"/>
    <w:basedOn w:val="DefaultParagraphFont"/>
    <w:uiPriority w:val="99"/>
    <w:unhideWhenUsed/>
    <w:rsid w:val="00736588"/>
    <w:rPr>
      <w:color w:val="0563C1" w:themeColor="hyperlink"/>
      <w:u w:val="single"/>
    </w:rPr>
  </w:style>
  <w:style w:type="character" w:customStyle="1" w:styleId="UnresolvedMention1">
    <w:name w:val="Unresolved Mention1"/>
    <w:basedOn w:val="DefaultParagraphFont"/>
    <w:uiPriority w:val="99"/>
    <w:semiHidden/>
    <w:unhideWhenUsed/>
    <w:rsid w:val="00736588"/>
    <w:rPr>
      <w:color w:val="605E5C"/>
      <w:shd w:val="clear" w:color="auto" w:fill="E1DFDD"/>
    </w:rPr>
  </w:style>
  <w:style w:type="character" w:styleId="Strong">
    <w:name w:val="Strong"/>
    <w:basedOn w:val="DefaultParagraphFont"/>
    <w:uiPriority w:val="22"/>
    <w:qFormat/>
    <w:rsid w:val="00FC4F37"/>
    <w:rPr>
      <w:b w:val="0"/>
      <w:bCs w:val="0"/>
    </w:rPr>
  </w:style>
  <w:style w:type="paragraph" w:styleId="EndnoteText">
    <w:name w:val="endnote text"/>
    <w:basedOn w:val="Normal"/>
    <w:link w:val="EndnoteTextChar"/>
    <w:uiPriority w:val="99"/>
    <w:semiHidden/>
    <w:unhideWhenUsed/>
    <w:rsid w:val="009C229B"/>
    <w:rPr>
      <w:sz w:val="20"/>
      <w:szCs w:val="20"/>
    </w:rPr>
  </w:style>
  <w:style w:type="character" w:customStyle="1" w:styleId="EndnoteTextChar">
    <w:name w:val="Endnote Text Char"/>
    <w:basedOn w:val="DefaultParagraphFont"/>
    <w:link w:val="EndnoteText"/>
    <w:uiPriority w:val="99"/>
    <w:semiHidden/>
    <w:rsid w:val="009C229B"/>
    <w:rPr>
      <w:rFonts w:ascii="Arial" w:hAnsi="Arial"/>
      <w:b w:val="0"/>
      <w:bCs w:val="0"/>
      <w:sz w:val="20"/>
      <w:szCs w:val="20"/>
    </w:rPr>
  </w:style>
  <w:style w:type="character" w:styleId="EndnoteReference">
    <w:name w:val="endnote reference"/>
    <w:basedOn w:val="DefaultParagraphFont"/>
    <w:uiPriority w:val="99"/>
    <w:semiHidden/>
    <w:unhideWhenUsed/>
    <w:rsid w:val="009C229B"/>
    <w:rPr>
      <w:vertAlign w:val="superscript"/>
    </w:rPr>
  </w:style>
  <w:style w:type="character" w:customStyle="1" w:styleId="Heading4Char">
    <w:name w:val="Heading 4 Char"/>
    <w:basedOn w:val="DefaultParagraphFont"/>
    <w:link w:val="Heading4"/>
    <w:rsid w:val="00FA4DA0"/>
    <w:rPr>
      <w:rFonts w:asciiTheme="majorHAnsi" w:eastAsiaTheme="majorEastAsia" w:hAnsiTheme="majorHAnsi" w:cstheme="majorBidi"/>
      <w:b w:val="0"/>
      <w:bCs w:val="0"/>
      <w:i/>
      <w:iCs/>
      <w:color w:val="2F5496" w:themeColor="accent1" w:themeShade="BF"/>
    </w:rPr>
  </w:style>
  <w:style w:type="paragraph" w:customStyle="1" w:styleId="LegalList1">
    <w:name w:val="Legal_List1"/>
    <w:basedOn w:val="Normal"/>
    <w:semiHidden/>
    <w:rsid w:val="00A24275"/>
    <w:pPr>
      <w:suppressAutoHyphens/>
      <w:spacing w:after="360" w:line="480" w:lineRule="auto"/>
      <w:outlineLvl w:val="0"/>
    </w:pPr>
    <w:rPr>
      <w:rFonts w:cs="Times New Roman"/>
      <w:szCs w:val="24"/>
      <w:lang w:eastAsia="en-GB"/>
    </w:rPr>
  </w:style>
  <w:style w:type="paragraph" w:styleId="BalloonText">
    <w:name w:val="Balloon Text"/>
    <w:basedOn w:val="Normal"/>
    <w:link w:val="BalloonTextChar"/>
    <w:uiPriority w:val="99"/>
    <w:semiHidden/>
    <w:unhideWhenUsed/>
    <w:rsid w:val="00945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A2"/>
    <w:rPr>
      <w:rFonts w:ascii="Segoe UI" w:hAnsi="Segoe UI" w:cs="Segoe UI"/>
      <w:b w:val="0"/>
      <w:bCs w:val="0"/>
      <w:sz w:val="18"/>
      <w:szCs w:val="18"/>
    </w:rPr>
  </w:style>
  <w:style w:type="character" w:styleId="CommentReference">
    <w:name w:val="annotation reference"/>
    <w:basedOn w:val="DefaultParagraphFont"/>
    <w:uiPriority w:val="99"/>
    <w:semiHidden/>
    <w:unhideWhenUsed/>
    <w:rsid w:val="009457A2"/>
    <w:rPr>
      <w:sz w:val="16"/>
      <w:szCs w:val="16"/>
    </w:rPr>
  </w:style>
  <w:style w:type="paragraph" w:styleId="CommentText">
    <w:name w:val="annotation text"/>
    <w:basedOn w:val="Normal"/>
    <w:link w:val="CommentTextChar"/>
    <w:uiPriority w:val="99"/>
    <w:semiHidden/>
    <w:unhideWhenUsed/>
    <w:rsid w:val="009457A2"/>
    <w:rPr>
      <w:sz w:val="20"/>
      <w:szCs w:val="20"/>
    </w:rPr>
  </w:style>
  <w:style w:type="character" w:customStyle="1" w:styleId="CommentTextChar">
    <w:name w:val="Comment Text Char"/>
    <w:basedOn w:val="DefaultParagraphFont"/>
    <w:link w:val="CommentText"/>
    <w:uiPriority w:val="99"/>
    <w:semiHidden/>
    <w:rsid w:val="009457A2"/>
    <w:rPr>
      <w:rFonts w:ascii="Arial" w:hAnsi="Arial"/>
      <w:b w:val="0"/>
      <w:bCs w:val="0"/>
      <w:sz w:val="20"/>
      <w:szCs w:val="20"/>
    </w:rPr>
  </w:style>
  <w:style w:type="paragraph" w:styleId="CommentSubject">
    <w:name w:val="annotation subject"/>
    <w:basedOn w:val="CommentText"/>
    <w:next w:val="CommentText"/>
    <w:link w:val="CommentSubjectChar"/>
    <w:uiPriority w:val="99"/>
    <w:semiHidden/>
    <w:unhideWhenUsed/>
    <w:rsid w:val="009457A2"/>
    <w:rPr>
      <w:b/>
      <w:bCs/>
    </w:rPr>
  </w:style>
  <w:style w:type="character" w:customStyle="1" w:styleId="CommentSubjectChar">
    <w:name w:val="Comment Subject Char"/>
    <w:basedOn w:val="CommentTextChar"/>
    <w:link w:val="CommentSubject"/>
    <w:uiPriority w:val="99"/>
    <w:semiHidden/>
    <w:rsid w:val="009457A2"/>
    <w:rPr>
      <w:rFonts w:ascii="Arial" w:hAnsi="Arial"/>
      <w:b/>
      <w:bCs/>
      <w:sz w:val="20"/>
      <w:szCs w:val="20"/>
    </w:rPr>
  </w:style>
  <w:style w:type="paragraph" w:styleId="Revision">
    <w:name w:val="Revision"/>
    <w:hidden/>
    <w:uiPriority w:val="99"/>
    <w:semiHidden/>
    <w:rsid w:val="00C10724"/>
    <w:pPr>
      <w:jc w:val="left"/>
    </w:pPr>
    <w:rPr>
      <w:rFonts w:ascii="Arial" w:hAnsi="Arial"/>
      <w:b w:val="0"/>
      <w:bCs w:val="0"/>
    </w:rPr>
  </w:style>
  <w:style w:type="character" w:customStyle="1" w:styleId="UnresolvedMention2">
    <w:name w:val="Unresolved Mention2"/>
    <w:basedOn w:val="DefaultParagraphFont"/>
    <w:uiPriority w:val="99"/>
    <w:semiHidden/>
    <w:unhideWhenUsed/>
    <w:rsid w:val="004C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22528">
      <w:bodyDiv w:val="1"/>
      <w:marLeft w:val="0"/>
      <w:marRight w:val="0"/>
      <w:marTop w:val="0"/>
      <w:marBottom w:val="0"/>
      <w:divBdr>
        <w:top w:val="none" w:sz="0" w:space="0" w:color="auto"/>
        <w:left w:val="none" w:sz="0" w:space="0" w:color="auto"/>
        <w:bottom w:val="none" w:sz="0" w:space="0" w:color="auto"/>
        <w:right w:val="none" w:sz="0" w:space="0" w:color="auto"/>
      </w:divBdr>
    </w:div>
    <w:div w:id="765343900">
      <w:bodyDiv w:val="1"/>
      <w:marLeft w:val="0"/>
      <w:marRight w:val="0"/>
      <w:marTop w:val="0"/>
      <w:marBottom w:val="0"/>
      <w:divBdr>
        <w:top w:val="none" w:sz="0" w:space="0" w:color="auto"/>
        <w:left w:val="none" w:sz="0" w:space="0" w:color="auto"/>
        <w:bottom w:val="none" w:sz="0" w:space="0" w:color="auto"/>
        <w:right w:val="none" w:sz="0" w:space="0" w:color="auto"/>
      </w:divBdr>
    </w:div>
    <w:div w:id="866020550">
      <w:bodyDiv w:val="1"/>
      <w:marLeft w:val="0"/>
      <w:marRight w:val="0"/>
      <w:marTop w:val="0"/>
      <w:marBottom w:val="0"/>
      <w:divBdr>
        <w:top w:val="none" w:sz="0" w:space="0" w:color="auto"/>
        <w:left w:val="none" w:sz="0" w:space="0" w:color="auto"/>
        <w:bottom w:val="none" w:sz="0" w:space="0" w:color="auto"/>
        <w:right w:val="none" w:sz="0" w:space="0" w:color="auto"/>
      </w:divBdr>
    </w:div>
    <w:div w:id="1373993857">
      <w:bodyDiv w:val="1"/>
      <w:marLeft w:val="0"/>
      <w:marRight w:val="0"/>
      <w:marTop w:val="0"/>
      <w:marBottom w:val="0"/>
      <w:divBdr>
        <w:top w:val="none" w:sz="0" w:space="0" w:color="auto"/>
        <w:left w:val="none" w:sz="0" w:space="0" w:color="auto"/>
        <w:bottom w:val="none" w:sz="0" w:space="0" w:color="auto"/>
        <w:right w:val="none" w:sz="0" w:space="0" w:color="auto"/>
      </w:divBdr>
    </w:div>
    <w:div w:id="1580215258">
      <w:bodyDiv w:val="1"/>
      <w:marLeft w:val="0"/>
      <w:marRight w:val="0"/>
      <w:marTop w:val="0"/>
      <w:marBottom w:val="0"/>
      <w:divBdr>
        <w:top w:val="none" w:sz="0" w:space="0" w:color="auto"/>
        <w:left w:val="none" w:sz="0" w:space="0" w:color="auto"/>
        <w:bottom w:val="none" w:sz="0" w:space="0" w:color="auto"/>
        <w:right w:val="none" w:sz="0" w:space="0" w:color="auto"/>
      </w:divBdr>
    </w:div>
    <w:div w:id="1784304394">
      <w:bodyDiv w:val="1"/>
      <w:marLeft w:val="0"/>
      <w:marRight w:val="0"/>
      <w:marTop w:val="0"/>
      <w:marBottom w:val="0"/>
      <w:divBdr>
        <w:top w:val="none" w:sz="0" w:space="0" w:color="auto"/>
        <w:left w:val="none" w:sz="0" w:space="0" w:color="auto"/>
        <w:bottom w:val="none" w:sz="0" w:space="0" w:color="auto"/>
        <w:right w:val="none" w:sz="0" w:space="0" w:color="auto"/>
      </w:divBdr>
    </w:div>
    <w:div w:id="17976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OneDrive\Documents\Custom%20Office%20Templates\IV%20F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5221-E001-43E6-A540-8296497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 FA</Template>
  <TotalTime>10</TotalTime>
  <Pages>9</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Mary Bruce</cp:lastModifiedBy>
  <cp:revision>7</cp:revision>
  <cp:lastPrinted>2024-03-26T12:48:00Z</cp:lastPrinted>
  <dcterms:created xsi:type="dcterms:W3CDTF">2024-03-26T12:49:00Z</dcterms:created>
  <dcterms:modified xsi:type="dcterms:W3CDTF">2024-03-28T15:36:00Z</dcterms:modified>
</cp:coreProperties>
</file>