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D810D" w14:textId="77777777" w:rsidR="0044558B" w:rsidRPr="0044558B" w:rsidRDefault="0044558B" w:rsidP="0044558B">
      <w:pPr>
        <w:spacing w:line="360" w:lineRule="auto"/>
        <w:contextualSpacing/>
        <w:jc w:val="center"/>
        <w:rPr>
          <w:rFonts w:ascii="Arial" w:hAnsi="Arial" w:cs="Arial"/>
          <w:b/>
        </w:rPr>
      </w:pPr>
      <w:r w:rsidRPr="0044558B">
        <w:rPr>
          <w:rFonts w:ascii="Arial" w:eastAsia="Calibri" w:hAnsi="Arial" w:cs="Arial"/>
          <w:noProof/>
          <w:lang w:val="en-GB" w:bidi="ar-SA"/>
        </w:rPr>
        <w:drawing>
          <wp:inline distT="0" distB="0" distL="0" distR="0" wp14:anchorId="05574F8A" wp14:editId="0193052D">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186C9C14" w14:textId="77777777" w:rsidR="0044558B" w:rsidRPr="0044558B" w:rsidRDefault="0044558B" w:rsidP="0044558B">
      <w:pPr>
        <w:spacing w:line="360" w:lineRule="auto"/>
        <w:contextualSpacing/>
        <w:jc w:val="both"/>
        <w:rPr>
          <w:rFonts w:ascii="Arial" w:hAnsi="Arial" w:cs="Arial"/>
          <w:b/>
        </w:rPr>
      </w:pPr>
    </w:p>
    <w:p w14:paraId="19AC6244" w14:textId="77777777" w:rsidR="0044558B" w:rsidRPr="0044558B" w:rsidRDefault="0044558B" w:rsidP="0044558B">
      <w:pPr>
        <w:spacing w:line="360" w:lineRule="auto"/>
        <w:contextualSpacing/>
        <w:jc w:val="center"/>
        <w:rPr>
          <w:rFonts w:ascii="Arial" w:hAnsi="Arial" w:cs="Arial"/>
          <w:b/>
        </w:rPr>
      </w:pPr>
      <w:r w:rsidRPr="0044558B">
        <w:rPr>
          <w:rFonts w:ascii="Arial" w:hAnsi="Arial" w:cs="Arial"/>
          <w:b/>
        </w:rPr>
        <w:t>IN THE HIGH COURT OF SOUTH AFRICA</w:t>
      </w:r>
    </w:p>
    <w:p w14:paraId="05428A9F" w14:textId="77777777" w:rsidR="0044558B" w:rsidRPr="0044558B" w:rsidRDefault="0044558B" w:rsidP="0044558B">
      <w:pPr>
        <w:spacing w:line="360" w:lineRule="auto"/>
        <w:contextualSpacing/>
        <w:jc w:val="center"/>
        <w:rPr>
          <w:rFonts w:ascii="Arial" w:hAnsi="Arial" w:cs="Arial"/>
          <w:b/>
        </w:rPr>
      </w:pPr>
      <w:r w:rsidRPr="0044558B">
        <w:rPr>
          <w:rFonts w:ascii="Arial" w:hAnsi="Arial" w:cs="Arial"/>
          <w:b/>
        </w:rPr>
        <w:t>KWAZULU-NATAL DIVISION, PIETERMARITZBURG</w:t>
      </w:r>
    </w:p>
    <w:p w14:paraId="64CCA6EA" w14:textId="77777777" w:rsidR="0044558B" w:rsidRPr="0044558B" w:rsidRDefault="0044558B" w:rsidP="0044558B">
      <w:pPr>
        <w:spacing w:line="360" w:lineRule="auto"/>
        <w:contextualSpacing/>
        <w:jc w:val="center"/>
        <w:rPr>
          <w:rFonts w:ascii="Arial" w:hAnsi="Arial" w:cs="Arial"/>
        </w:rPr>
      </w:pPr>
    </w:p>
    <w:p w14:paraId="1A2C3ED8" w14:textId="77777777" w:rsidR="0044558B" w:rsidRPr="0044558B" w:rsidRDefault="0044558B" w:rsidP="0044558B">
      <w:pPr>
        <w:spacing w:line="360" w:lineRule="auto"/>
        <w:contextualSpacing/>
        <w:jc w:val="right"/>
        <w:rPr>
          <w:rFonts w:ascii="Arial" w:hAnsi="Arial" w:cs="Arial"/>
        </w:rPr>
      </w:pPr>
      <w:r w:rsidRPr="0044558B">
        <w:rPr>
          <w:rFonts w:ascii="Arial" w:hAnsi="Arial" w:cs="Arial"/>
        </w:rPr>
        <w:t xml:space="preserve">Case no: </w:t>
      </w:r>
      <w:r w:rsidR="009227D6">
        <w:rPr>
          <w:rFonts w:ascii="Arial" w:hAnsi="Arial" w:cs="Arial"/>
          <w:b/>
        </w:rPr>
        <w:t>11338</w:t>
      </w:r>
      <w:r w:rsidR="00C80F1C">
        <w:rPr>
          <w:rFonts w:ascii="Arial" w:hAnsi="Arial" w:cs="Arial"/>
          <w:b/>
        </w:rPr>
        <w:t>/20</w:t>
      </w:r>
      <w:r w:rsidR="004453CE">
        <w:rPr>
          <w:rFonts w:ascii="Arial" w:hAnsi="Arial" w:cs="Arial"/>
          <w:b/>
        </w:rPr>
        <w:t>22</w:t>
      </w:r>
      <w:r w:rsidRPr="0044558B">
        <w:rPr>
          <w:rFonts w:ascii="Arial" w:hAnsi="Arial" w:cs="Arial"/>
          <w:b/>
        </w:rPr>
        <w:t>P</w:t>
      </w:r>
    </w:p>
    <w:p w14:paraId="2E73A429" w14:textId="77777777" w:rsidR="0044558B" w:rsidRPr="0044558B" w:rsidRDefault="0044558B" w:rsidP="0044558B">
      <w:pPr>
        <w:tabs>
          <w:tab w:val="right" w:pos="8789"/>
        </w:tabs>
        <w:spacing w:line="360" w:lineRule="auto"/>
        <w:contextualSpacing/>
        <w:jc w:val="both"/>
        <w:rPr>
          <w:rFonts w:ascii="Arial" w:hAnsi="Arial" w:cs="Arial"/>
        </w:rPr>
      </w:pPr>
      <w:r w:rsidRPr="0044558B">
        <w:rPr>
          <w:rFonts w:ascii="Arial" w:hAnsi="Arial" w:cs="Arial"/>
        </w:rPr>
        <w:t>In the matter between:</w:t>
      </w:r>
    </w:p>
    <w:p w14:paraId="256D7B82" w14:textId="77777777" w:rsidR="0044558B" w:rsidRPr="0044558B" w:rsidRDefault="0044558B" w:rsidP="0044558B">
      <w:pPr>
        <w:tabs>
          <w:tab w:val="right" w:pos="9072"/>
        </w:tabs>
        <w:spacing w:line="360" w:lineRule="auto"/>
        <w:contextualSpacing/>
        <w:jc w:val="both"/>
        <w:rPr>
          <w:rFonts w:ascii="Arial" w:hAnsi="Arial" w:cs="Arial"/>
          <w:b/>
          <w:bCs/>
        </w:rPr>
      </w:pPr>
    </w:p>
    <w:p w14:paraId="7427F00F" w14:textId="77777777" w:rsidR="0044558B" w:rsidRDefault="009227D6" w:rsidP="0044558B">
      <w:pPr>
        <w:tabs>
          <w:tab w:val="right" w:pos="9072"/>
        </w:tabs>
        <w:spacing w:line="360" w:lineRule="auto"/>
        <w:contextualSpacing/>
        <w:jc w:val="both"/>
        <w:rPr>
          <w:rFonts w:ascii="Arial" w:hAnsi="Arial" w:cs="Arial"/>
          <w:b/>
          <w:bCs/>
        </w:rPr>
      </w:pPr>
      <w:r>
        <w:rPr>
          <w:rFonts w:ascii="Arial" w:hAnsi="Arial" w:cs="Arial"/>
          <w:b/>
          <w:bCs/>
        </w:rPr>
        <w:t>YAKAZA PROPERTIES SA (PTY) LTD</w:t>
      </w:r>
      <w:r w:rsidR="0077303E">
        <w:rPr>
          <w:rFonts w:ascii="Arial" w:hAnsi="Arial" w:cs="Arial"/>
          <w:b/>
          <w:bCs/>
        </w:rPr>
        <w:tab/>
      </w:r>
      <w:r w:rsidR="004453CE">
        <w:rPr>
          <w:rFonts w:ascii="Arial" w:hAnsi="Arial" w:cs="Arial"/>
          <w:b/>
          <w:bCs/>
        </w:rPr>
        <w:t>APPLICANT</w:t>
      </w:r>
    </w:p>
    <w:p w14:paraId="3B315461" w14:textId="77777777" w:rsidR="0044558B" w:rsidRPr="0044558B" w:rsidRDefault="009227D6" w:rsidP="0044558B">
      <w:pPr>
        <w:tabs>
          <w:tab w:val="right" w:pos="9072"/>
        </w:tabs>
        <w:spacing w:line="360" w:lineRule="auto"/>
        <w:contextualSpacing/>
        <w:jc w:val="both"/>
        <w:rPr>
          <w:rFonts w:ascii="Arial" w:hAnsi="Arial" w:cs="Arial"/>
          <w:b/>
          <w:bCs/>
        </w:rPr>
      </w:pPr>
      <w:r>
        <w:rPr>
          <w:rFonts w:ascii="Arial" w:hAnsi="Arial" w:cs="Arial"/>
          <w:b/>
          <w:bCs/>
        </w:rPr>
        <w:t>(Registration Number: 2018/035635/07)</w:t>
      </w:r>
    </w:p>
    <w:p w14:paraId="6E7EDA7D" w14:textId="77777777" w:rsidR="009227D6" w:rsidRDefault="009227D6" w:rsidP="0044558B">
      <w:pPr>
        <w:tabs>
          <w:tab w:val="right" w:pos="9072"/>
        </w:tabs>
        <w:spacing w:line="360" w:lineRule="auto"/>
        <w:contextualSpacing/>
        <w:jc w:val="both"/>
        <w:rPr>
          <w:rFonts w:ascii="Arial" w:hAnsi="Arial" w:cs="Arial"/>
          <w:bCs/>
        </w:rPr>
      </w:pPr>
    </w:p>
    <w:p w14:paraId="1390D1AB" w14:textId="77777777" w:rsidR="0044558B" w:rsidRPr="0044558B" w:rsidRDefault="0044558B" w:rsidP="0044558B">
      <w:pPr>
        <w:tabs>
          <w:tab w:val="right" w:pos="9072"/>
        </w:tabs>
        <w:spacing w:line="360" w:lineRule="auto"/>
        <w:contextualSpacing/>
        <w:jc w:val="both"/>
        <w:rPr>
          <w:rFonts w:ascii="Arial" w:hAnsi="Arial" w:cs="Arial"/>
          <w:bCs/>
        </w:rPr>
      </w:pPr>
      <w:r w:rsidRPr="0044558B">
        <w:rPr>
          <w:rFonts w:ascii="Arial" w:hAnsi="Arial" w:cs="Arial"/>
          <w:bCs/>
        </w:rPr>
        <w:t>and</w:t>
      </w:r>
    </w:p>
    <w:p w14:paraId="35C84219" w14:textId="77777777" w:rsidR="0044558B" w:rsidRPr="0044558B" w:rsidRDefault="0044558B" w:rsidP="0044558B">
      <w:pPr>
        <w:tabs>
          <w:tab w:val="right" w:pos="9072"/>
        </w:tabs>
        <w:spacing w:line="360" w:lineRule="auto"/>
        <w:contextualSpacing/>
        <w:jc w:val="both"/>
        <w:rPr>
          <w:rFonts w:ascii="Arial" w:hAnsi="Arial" w:cs="Arial"/>
          <w:b/>
        </w:rPr>
      </w:pPr>
    </w:p>
    <w:p w14:paraId="5E9C7CAA" w14:textId="77777777" w:rsidR="004453CE" w:rsidRDefault="009227D6" w:rsidP="0044558B">
      <w:pPr>
        <w:tabs>
          <w:tab w:val="right" w:pos="9072"/>
        </w:tabs>
        <w:spacing w:line="360" w:lineRule="auto"/>
        <w:contextualSpacing/>
        <w:jc w:val="both"/>
        <w:rPr>
          <w:rFonts w:ascii="Arial" w:hAnsi="Arial" w:cs="Arial"/>
          <w:b/>
        </w:rPr>
      </w:pPr>
      <w:r>
        <w:rPr>
          <w:rFonts w:ascii="Arial" w:hAnsi="Arial" w:cs="Arial"/>
          <w:b/>
        </w:rPr>
        <w:t>BTT INVESTMENT (PTY) LTD</w:t>
      </w:r>
      <w:r w:rsidR="004453CE">
        <w:rPr>
          <w:rFonts w:ascii="Arial" w:hAnsi="Arial" w:cs="Arial"/>
          <w:b/>
        </w:rPr>
        <w:tab/>
        <w:t>RESPONDENT</w:t>
      </w:r>
    </w:p>
    <w:p w14:paraId="34677FD1" w14:textId="77777777" w:rsidR="0044558B" w:rsidRDefault="009227D6" w:rsidP="0044558B">
      <w:pPr>
        <w:pBdr>
          <w:bottom w:val="single" w:sz="12" w:space="0" w:color="auto"/>
        </w:pBdr>
        <w:tabs>
          <w:tab w:val="right" w:pos="9026"/>
        </w:tabs>
        <w:spacing w:line="360" w:lineRule="auto"/>
        <w:jc w:val="both"/>
        <w:rPr>
          <w:rFonts w:ascii="Arial" w:hAnsi="Arial" w:cs="Arial"/>
          <w:b/>
          <w:bCs/>
        </w:rPr>
      </w:pPr>
      <w:r>
        <w:rPr>
          <w:rFonts w:ascii="Arial" w:hAnsi="Arial" w:cs="Arial"/>
          <w:b/>
          <w:bCs/>
        </w:rPr>
        <w:t>(Registration Number: 2017/489941/07)</w:t>
      </w:r>
    </w:p>
    <w:p w14:paraId="019F4AA6" w14:textId="77777777" w:rsidR="009227D6" w:rsidRPr="0044558B" w:rsidRDefault="009227D6" w:rsidP="0044558B">
      <w:pPr>
        <w:pBdr>
          <w:bottom w:val="single" w:sz="12" w:space="0" w:color="auto"/>
        </w:pBdr>
        <w:tabs>
          <w:tab w:val="right" w:pos="9026"/>
        </w:tabs>
        <w:spacing w:line="360" w:lineRule="auto"/>
        <w:jc w:val="both"/>
        <w:rPr>
          <w:rFonts w:ascii="Arial" w:hAnsi="Arial" w:cs="Arial"/>
          <w:b/>
          <w:bCs/>
        </w:rPr>
      </w:pPr>
    </w:p>
    <w:p w14:paraId="56FF6DFD" w14:textId="77777777" w:rsidR="0044558B" w:rsidRDefault="0044558B" w:rsidP="0044558B">
      <w:pPr>
        <w:spacing w:line="360" w:lineRule="auto"/>
        <w:jc w:val="both"/>
        <w:rPr>
          <w:rFonts w:ascii="Arial" w:hAnsi="Arial" w:cs="Arial"/>
          <w:bCs/>
        </w:rPr>
      </w:pPr>
    </w:p>
    <w:p w14:paraId="202B58C8" w14:textId="77777777" w:rsidR="0044558B" w:rsidRPr="0044558B" w:rsidRDefault="0044558B" w:rsidP="0044558B">
      <w:pPr>
        <w:spacing w:line="360" w:lineRule="auto"/>
        <w:jc w:val="both"/>
        <w:rPr>
          <w:rFonts w:ascii="Arial" w:hAnsi="Arial" w:cs="Arial"/>
          <w:bCs/>
        </w:rPr>
      </w:pPr>
      <w:r w:rsidRPr="007C35F7">
        <w:rPr>
          <w:rFonts w:ascii="Arial" w:hAnsi="Arial" w:cs="Arial"/>
          <w:b/>
        </w:rPr>
        <w:t>Coram</w:t>
      </w:r>
      <w:r w:rsidRPr="0044558B">
        <w:rPr>
          <w:rFonts w:ascii="Arial" w:hAnsi="Arial" w:cs="Arial"/>
          <w:bCs/>
        </w:rPr>
        <w:t>:</w:t>
      </w:r>
      <w:r w:rsidRPr="0044558B">
        <w:rPr>
          <w:rFonts w:ascii="Arial" w:hAnsi="Arial" w:cs="Arial"/>
          <w:bCs/>
        </w:rPr>
        <w:tab/>
        <w:t xml:space="preserve">Mossop J </w:t>
      </w:r>
    </w:p>
    <w:p w14:paraId="39F9B5BE" w14:textId="77777777" w:rsidR="0044558B" w:rsidRPr="0044558B" w:rsidRDefault="0044558B" w:rsidP="0044558B">
      <w:pPr>
        <w:spacing w:line="360" w:lineRule="auto"/>
        <w:jc w:val="both"/>
        <w:rPr>
          <w:rFonts w:ascii="Arial" w:hAnsi="Arial" w:cs="Arial"/>
          <w:bCs/>
        </w:rPr>
      </w:pPr>
      <w:r w:rsidRPr="007C35F7">
        <w:rPr>
          <w:rFonts w:ascii="Arial" w:hAnsi="Arial" w:cs="Arial"/>
          <w:b/>
        </w:rPr>
        <w:t>Heard</w:t>
      </w:r>
      <w:r w:rsidRPr="0044558B">
        <w:rPr>
          <w:rFonts w:ascii="Arial" w:hAnsi="Arial" w:cs="Arial"/>
          <w:bCs/>
        </w:rPr>
        <w:t>:</w:t>
      </w:r>
      <w:r w:rsidRPr="0044558B">
        <w:rPr>
          <w:rFonts w:ascii="Arial" w:hAnsi="Arial" w:cs="Arial"/>
          <w:bCs/>
        </w:rPr>
        <w:tab/>
      </w:r>
      <w:r w:rsidR="004453CE">
        <w:rPr>
          <w:rFonts w:ascii="Arial" w:hAnsi="Arial" w:cs="Arial"/>
          <w:bCs/>
        </w:rPr>
        <w:t>2</w:t>
      </w:r>
      <w:r w:rsidR="009227D6">
        <w:rPr>
          <w:rFonts w:ascii="Arial" w:hAnsi="Arial" w:cs="Arial"/>
          <w:bCs/>
        </w:rPr>
        <w:t>5</w:t>
      </w:r>
      <w:r w:rsidR="004453CE">
        <w:rPr>
          <w:rFonts w:ascii="Arial" w:hAnsi="Arial" w:cs="Arial"/>
          <w:bCs/>
        </w:rPr>
        <w:t xml:space="preserve"> January</w:t>
      </w:r>
      <w:r w:rsidRPr="0044558B">
        <w:rPr>
          <w:rFonts w:ascii="Arial" w:hAnsi="Arial" w:cs="Arial"/>
          <w:bCs/>
        </w:rPr>
        <w:t xml:space="preserve"> 202</w:t>
      </w:r>
      <w:r w:rsidR="004453CE">
        <w:rPr>
          <w:rFonts w:ascii="Arial" w:hAnsi="Arial" w:cs="Arial"/>
          <w:bCs/>
        </w:rPr>
        <w:t>4</w:t>
      </w:r>
    </w:p>
    <w:p w14:paraId="3BBDFFA2" w14:textId="7DC1865A" w:rsidR="0044558B" w:rsidRDefault="0044558B" w:rsidP="0044558B">
      <w:pPr>
        <w:pBdr>
          <w:bottom w:val="single" w:sz="12" w:space="1" w:color="auto"/>
        </w:pBdr>
        <w:spacing w:line="360" w:lineRule="auto"/>
        <w:jc w:val="both"/>
        <w:rPr>
          <w:rFonts w:ascii="Arial" w:hAnsi="Arial" w:cs="Arial"/>
          <w:bCs/>
        </w:rPr>
      </w:pPr>
      <w:r w:rsidRPr="007C35F7">
        <w:rPr>
          <w:rFonts w:ascii="Arial" w:hAnsi="Arial" w:cs="Arial"/>
          <w:b/>
        </w:rPr>
        <w:t>Delivered</w:t>
      </w:r>
      <w:r w:rsidRPr="0044558B">
        <w:rPr>
          <w:rFonts w:ascii="Arial" w:hAnsi="Arial" w:cs="Arial"/>
          <w:bCs/>
        </w:rPr>
        <w:t>:</w:t>
      </w:r>
      <w:r w:rsidRPr="0044558B">
        <w:rPr>
          <w:rFonts w:ascii="Arial" w:hAnsi="Arial" w:cs="Arial"/>
          <w:bCs/>
        </w:rPr>
        <w:tab/>
      </w:r>
      <w:r w:rsidR="00A545B5">
        <w:rPr>
          <w:rFonts w:ascii="Arial" w:hAnsi="Arial" w:cs="Arial"/>
          <w:bCs/>
        </w:rPr>
        <w:t xml:space="preserve">30 January </w:t>
      </w:r>
      <w:r w:rsidRPr="0044558B">
        <w:rPr>
          <w:rFonts w:ascii="Arial" w:hAnsi="Arial" w:cs="Arial"/>
          <w:bCs/>
        </w:rPr>
        <w:t>202</w:t>
      </w:r>
      <w:r w:rsidR="004453CE">
        <w:rPr>
          <w:rFonts w:ascii="Arial" w:hAnsi="Arial" w:cs="Arial"/>
          <w:bCs/>
        </w:rPr>
        <w:t>4</w:t>
      </w:r>
    </w:p>
    <w:p w14:paraId="0304B9E1" w14:textId="77777777" w:rsidR="0044558B" w:rsidRPr="0044558B" w:rsidRDefault="0044558B" w:rsidP="0044558B">
      <w:pPr>
        <w:pBdr>
          <w:bottom w:val="single" w:sz="12" w:space="1" w:color="auto"/>
        </w:pBdr>
        <w:jc w:val="both"/>
        <w:rPr>
          <w:rFonts w:ascii="Arial" w:hAnsi="Arial" w:cs="Arial"/>
          <w:bCs/>
        </w:rPr>
      </w:pPr>
    </w:p>
    <w:p w14:paraId="675B9FEA" w14:textId="77777777" w:rsidR="0044558B" w:rsidRPr="0044558B" w:rsidRDefault="0044558B" w:rsidP="0044558B">
      <w:pPr>
        <w:rPr>
          <w:rFonts w:ascii="Arial" w:hAnsi="Arial" w:cs="Arial"/>
        </w:rPr>
      </w:pPr>
    </w:p>
    <w:p w14:paraId="4112B02C" w14:textId="77777777" w:rsidR="0044558B" w:rsidRPr="0044558B" w:rsidRDefault="0044558B" w:rsidP="0044558B">
      <w:pPr>
        <w:jc w:val="center"/>
        <w:rPr>
          <w:rFonts w:ascii="Arial" w:hAnsi="Arial" w:cs="Arial"/>
          <w:b/>
        </w:rPr>
      </w:pPr>
      <w:r w:rsidRPr="0044558B">
        <w:rPr>
          <w:rFonts w:ascii="Arial" w:hAnsi="Arial" w:cs="Arial"/>
          <w:b/>
        </w:rPr>
        <w:t>ORDER</w:t>
      </w:r>
    </w:p>
    <w:p w14:paraId="04FD6280" w14:textId="77777777" w:rsidR="0044558B" w:rsidRPr="0044558B" w:rsidRDefault="0044558B" w:rsidP="0044558B">
      <w:pPr>
        <w:pBdr>
          <w:bottom w:val="single" w:sz="12" w:space="1" w:color="auto"/>
        </w:pBdr>
        <w:jc w:val="both"/>
        <w:rPr>
          <w:rFonts w:ascii="Arial" w:hAnsi="Arial" w:cs="Arial"/>
          <w:bCs/>
        </w:rPr>
      </w:pPr>
    </w:p>
    <w:p w14:paraId="07B88C2A" w14:textId="77777777" w:rsidR="0044558B" w:rsidRPr="0044558B" w:rsidRDefault="0044558B" w:rsidP="0044558B">
      <w:pPr>
        <w:rPr>
          <w:rFonts w:ascii="Arial" w:hAnsi="Arial" w:cs="Arial"/>
        </w:rPr>
      </w:pPr>
    </w:p>
    <w:p w14:paraId="4DE5DB8F" w14:textId="77777777" w:rsidR="00C80F1C" w:rsidRDefault="00C80F1C" w:rsidP="00C80F1C">
      <w:pPr>
        <w:jc w:val="both"/>
        <w:rPr>
          <w:rFonts w:ascii="Arial" w:hAnsi="Arial" w:cs="Arial"/>
          <w:b/>
        </w:rPr>
      </w:pPr>
    </w:p>
    <w:p w14:paraId="0624CE8D" w14:textId="77777777" w:rsidR="0067373E" w:rsidRDefault="009E24C1" w:rsidP="00E176DC">
      <w:pPr>
        <w:spacing w:line="360" w:lineRule="auto"/>
        <w:contextualSpacing/>
        <w:jc w:val="both"/>
        <w:rPr>
          <w:rFonts w:ascii="Arial" w:hAnsi="Arial" w:cs="Arial"/>
          <w:bCs/>
        </w:rPr>
      </w:pPr>
      <w:r w:rsidRPr="009E24C1">
        <w:rPr>
          <w:rFonts w:ascii="Arial" w:hAnsi="Arial" w:cs="Arial"/>
          <w:b/>
        </w:rPr>
        <w:t>The following order is granted</w:t>
      </w:r>
      <w:r>
        <w:rPr>
          <w:rFonts w:ascii="Arial" w:hAnsi="Arial" w:cs="Arial"/>
          <w:bCs/>
        </w:rPr>
        <w:t>:</w:t>
      </w:r>
    </w:p>
    <w:p w14:paraId="4D14A348" w14:textId="77777777" w:rsidR="00E176DC" w:rsidRPr="00CE44C8" w:rsidRDefault="00E176DC" w:rsidP="00E176DC">
      <w:pPr>
        <w:pStyle w:val="ListParagraph"/>
        <w:numPr>
          <w:ilvl w:val="0"/>
          <w:numId w:val="18"/>
        </w:numPr>
        <w:tabs>
          <w:tab w:val="left" w:pos="709"/>
        </w:tabs>
        <w:spacing w:line="360" w:lineRule="auto"/>
        <w:ind w:left="0" w:firstLine="0"/>
        <w:jc w:val="both"/>
        <w:rPr>
          <w:rFonts w:ascii="Arial" w:hAnsi="Arial" w:cs="Arial"/>
        </w:rPr>
      </w:pPr>
      <w:r w:rsidRPr="00CE44C8">
        <w:rPr>
          <w:rFonts w:ascii="Arial" w:hAnsi="Arial" w:cs="Arial"/>
        </w:rPr>
        <w:t>The respondent is granted condonation for the late delivery of its condonation application.</w:t>
      </w:r>
    </w:p>
    <w:p w14:paraId="2BC8D381" w14:textId="365D9A23" w:rsidR="00E176DC" w:rsidRPr="00CE44C8" w:rsidRDefault="00E176DC" w:rsidP="00E176DC">
      <w:pPr>
        <w:pStyle w:val="ListParagraph"/>
        <w:numPr>
          <w:ilvl w:val="0"/>
          <w:numId w:val="18"/>
        </w:numPr>
        <w:tabs>
          <w:tab w:val="left" w:pos="709"/>
        </w:tabs>
        <w:spacing w:before="100" w:beforeAutospacing="1" w:after="100" w:afterAutospacing="1" w:line="360" w:lineRule="auto"/>
        <w:ind w:left="0" w:firstLine="0"/>
        <w:jc w:val="both"/>
        <w:rPr>
          <w:rFonts w:ascii="Arial" w:hAnsi="Arial" w:cs="Arial"/>
        </w:rPr>
      </w:pPr>
      <w:r w:rsidRPr="00CE44C8">
        <w:rPr>
          <w:rFonts w:ascii="Arial" w:hAnsi="Arial" w:cs="Arial"/>
        </w:rPr>
        <w:t xml:space="preserve">The respondent is granted condonation for the late delivery of the answering affidavit deposed to by </w:t>
      </w:r>
      <w:r w:rsidRPr="00CE44C8">
        <w:rPr>
          <w:rFonts w:ascii="Arial" w:hAnsi="Arial" w:cs="Arial"/>
          <w:lang w:val="en-US"/>
        </w:rPr>
        <w:t>Mr Muhammad Saleem Khan on 14 February 2023</w:t>
      </w:r>
      <w:r w:rsidRPr="00CE44C8">
        <w:rPr>
          <w:rFonts w:ascii="Arial" w:hAnsi="Arial" w:cs="Arial"/>
        </w:rPr>
        <w:t xml:space="preserve"> in the liquidation proceedings instituted by the applicant against the respondent.</w:t>
      </w:r>
    </w:p>
    <w:p w14:paraId="5266C73E" w14:textId="0202526E" w:rsidR="00E176DC" w:rsidRDefault="00E176DC" w:rsidP="00E176DC">
      <w:pPr>
        <w:pStyle w:val="ListParagraph"/>
        <w:numPr>
          <w:ilvl w:val="0"/>
          <w:numId w:val="18"/>
        </w:numPr>
        <w:tabs>
          <w:tab w:val="left" w:pos="709"/>
        </w:tabs>
        <w:spacing w:before="100" w:beforeAutospacing="1" w:after="100" w:afterAutospacing="1" w:line="360" w:lineRule="auto"/>
        <w:ind w:left="0" w:firstLine="0"/>
        <w:jc w:val="both"/>
        <w:rPr>
          <w:rFonts w:ascii="Arial" w:hAnsi="Arial" w:cs="Arial"/>
        </w:rPr>
      </w:pPr>
      <w:r>
        <w:rPr>
          <w:rFonts w:ascii="Arial" w:hAnsi="Arial" w:cs="Arial"/>
        </w:rPr>
        <w:lastRenderedPageBreak/>
        <w:t xml:space="preserve">In terms of the provisions of </w:t>
      </w:r>
      <w:r w:rsidRPr="00EB49F7">
        <w:rPr>
          <w:rFonts w:ascii="Arial" w:hAnsi="Arial" w:cs="Arial"/>
        </w:rPr>
        <w:t>Uniform rule 6(5)</w:t>
      </w:r>
      <w:r w:rsidRPr="00AB453B">
        <w:rPr>
          <w:rFonts w:ascii="Arial" w:hAnsi="Arial" w:cs="Arial"/>
          <w:i/>
        </w:rPr>
        <w:t>(e)</w:t>
      </w:r>
      <w:r>
        <w:rPr>
          <w:rFonts w:ascii="Arial" w:hAnsi="Arial" w:cs="Arial"/>
        </w:rPr>
        <w:t>, the respondent is granted leave to deliver the answering affidavit deposed to by Mr Ali Mustafa Khan on 31 March 2023</w:t>
      </w:r>
      <w:r w:rsidRPr="00527B3F">
        <w:rPr>
          <w:rFonts w:ascii="Arial" w:hAnsi="Arial" w:cs="Arial"/>
        </w:rPr>
        <w:t xml:space="preserve"> </w:t>
      </w:r>
      <w:r>
        <w:rPr>
          <w:rFonts w:ascii="Arial" w:hAnsi="Arial" w:cs="Arial"/>
        </w:rPr>
        <w:t>in the liquidation proceedings instituted by the applicant against the respondent.</w:t>
      </w:r>
    </w:p>
    <w:p w14:paraId="4BF66506" w14:textId="77777777" w:rsidR="00E176DC" w:rsidRDefault="00E176DC" w:rsidP="00E176DC">
      <w:pPr>
        <w:pStyle w:val="ListParagraph"/>
        <w:numPr>
          <w:ilvl w:val="0"/>
          <w:numId w:val="18"/>
        </w:numPr>
        <w:tabs>
          <w:tab w:val="left" w:pos="709"/>
        </w:tabs>
        <w:spacing w:before="100" w:beforeAutospacing="1" w:after="100" w:afterAutospacing="1" w:line="360" w:lineRule="auto"/>
        <w:ind w:left="0" w:firstLine="0"/>
        <w:jc w:val="both"/>
        <w:rPr>
          <w:rFonts w:ascii="Arial" w:hAnsi="Arial" w:cs="Arial"/>
        </w:rPr>
      </w:pPr>
      <w:r>
        <w:rPr>
          <w:rFonts w:ascii="Arial" w:hAnsi="Arial" w:cs="Arial"/>
        </w:rPr>
        <w:t>The respondent is granted condonation for the late delivery of the answering affidavit deposed to by Mr Ali Mustafa Khan on 31 March 2023.</w:t>
      </w:r>
    </w:p>
    <w:p w14:paraId="468E664E" w14:textId="3F7EACD9" w:rsidR="00E176DC" w:rsidRPr="00527B3F" w:rsidRDefault="00E176DC" w:rsidP="00E176DC">
      <w:pPr>
        <w:pStyle w:val="ListParagraph"/>
        <w:numPr>
          <w:ilvl w:val="0"/>
          <w:numId w:val="18"/>
        </w:numPr>
        <w:tabs>
          <w:tab w:val="left" w:pos="709"/>
        </w:tabs>
        <w:spacing w:before="100" w:beforeAutospacing="1" w:after="100" w:afterAutospacing="1" w:line="360" w:lineRule="auto"/>
        <w:ind w:left="0" w:firstLine="0"/>
        <w:jc w:val="both"/>
        <w:rPr>
          <w:rFonts w:ascii="Arial" w:hAnsi="Arial" w:cs="Arial"/>
        </w:rPr>
      </w:pPr>
      <w:r w:rsidRPr="00527B3F">
        <w:rPr>
          <w:rFonts w:ascii="Arial" w:hAnsi="Arial" w:cs="Arial"/>
        </w:rPr>
        <w:t xml:space="preserve">The applicant is granted leave to deliver a further </w:t>
      </w:r>
      <w:r>
        <w:rPr>
          <w:rFonts w:ascii="Arial" w:hAnsi="Arial" w:cs="Arial"/>
        </w:rPr>
        <w:t>affidavit,</w:t>
      </w:r>
      <w:r w:rsidRPr="00527B3F">
        <w:rPr>
          <w:rFonts w:ascii="Arial" w:hAnsi="Arial" w:cs="Arial"/>
        </w:rPr>
        <w:t xml:space="preserve"> if </w:t>
      </w:r>
      <w:r>
        <w:rPr>
          <w:rFonts w:ascii="Arial" w:hAnsi="Arial" w:cs="Arial"/>
        </w:rPr>
        <w:t xml:space="preserve">so </w:t>
      </w:r>
      <w:r w:rsidRPr="00527B3F">
        <w:rPr>
          <w:rFonts w:ascii="Arial" w:hAnsi="Arial" w:cs="Arial"/>
        </w:rPr>
        <w:t>advised</w:t>
      </w:r>
      <w:r>
        <w:rPr>
          <w:rFonts w:ascii="Arial" w:hAnsi="Arial" w:cs="Arial"/>
        </w:rPr>
        <w:t xml:space="preserve">, in order to deal only with </w:t>
      </w:r>
      <w:r w:rsidRPr="00527B3F">
        <w:rPr>
          <w:rFonts w:asciiTheme="minorBidi" w:hAnsiTheme="minorBidi" w:cstheme="minorBidi"/>
        </w:rPr>
        <w:t>any differences that may exist when the answering affidavit</w:t>
      </w:r>
      <w:r>
        <w:rPr>
          <w:rFonts w:asciiTheme="minorBidi" w:hAnsiTheme="minorBidi" w:cstheme="minorBidi"/>
        </w:rPr>
        <w:t xml:space="preserve"> deposed to by Mr </w:t>
      </w:r>
      <w:r w:rsidRPr="00DA1EB5">
        <w:rPr>
          <w:rFonts w:ascii="Arial" w:hAnsi="Arial" w:cs="Arial"/>
          <w:lang w:val="en-US"/>
        </w:rPr>
        <w:t>Muhammad Saleem Khan</w:t>
      </w:r>
      <w:r>
        <w:rPr>
          <w:rFonts w:ascii="Arial" w:hAnsi="Arial" w:cs="Arial"/>
          <w:lang w:val="en-US"/>
        </w:rPr>
        <w:t xml:space="preserve"> and the answering affidavit deposed to by </w:t>
      </w:r>
      <w:r>
        <w:rPr>
          <w:rFonts w:ascii="Arial" w:hAnsi="Arial" w:cs="Arial"/>
        </w:rPr>
        <w:t>Mr Ali Mustafa Khan</w:t>
      </w:r>
      <w:r w:rsidRPr="00527B3F">
        <w:rPr>
          <w:rFonts w:asciiTheme="minorBidi" w:hAnsiTheme="minorBidi" w:cstheme="minorBidi"/>
        </w:rPr>
        <w:t xml:space="preserve"> are compared </w:t>
      </w:r>
      <w:r>
        <w:rPr>
          <w:rFonts w:asciiTheme="minorBidi" w:hAnsiTheme="minorBidi" w:cstheme="minorBidi"/>
        </w:rPr>
        <w:t xml:space="preserve">with </w:t>
      </w:r>
      <w:r w:rsidRPr="00527B3F">
        <w:rPr>
          <w:rFonts w:asciiTheme="minorBidi" w:hAnsiTheme="minorBidi" w:cstheme="minorBidi"/>
        </w:rPr>
        <w:t>one</w:t>
      </w:r>
      <w:r>
        <w:rPr>
          <w:rFonts w:asciiTheme="minorBidi" w:hAnsiTheme="minorBidi" w:cstheme="minorBidi"/>
        </w:rPr>
        <w:t xml:space="preserve"> another</w:t>
      </w:r>
      <w:r w:rsidRPr="00527B3F">
        <w:rPr>
          <w:rFonts w:asciiTheme="minorBidi" w:hAnsiTheme="minorBidi" w:cstheme="minorBidi"/>
        </w:rPr>
        <w:t xml:space="preserve">. </w:t>
      </w:r>
    </w:p>
    <w:p w14:paraId="1C4CB6A5" w14:textId="77777777" w:rsidR="00A545B5" w:rsidRDefault="00A545B5" w:rsidP="00A545B5">
      <w:pPr>
        <w:pStyle w:val="ListParagraph"/>
        <w:numPr>
          <w:ilvl w:val="0"/>
          <w:numId w:val="18"/>
        </w:numPr>
        <w:tabs>
          <w:tab w:val="left" w:pos="426"/>
          <w:tab w:val="left" w:pos="709"/>
        </w:tabs>
        <w:spacing w:before="100" w:beforeAutospacing="1" w:after="100" w:afterAutospacing="1" w:line="360" w:lineRule="auto"/>
        <w:ind w:left="0" w:firstLine="0"/>
        <w:jc w:val="both"/>
        <w:rPr>
          <w:rFonts w:ascii="Arial" w:hAnsi="Arial" w:cs="Arial"/>
        </w:rPr>
      </w:pPr>
      <w:r>
        <w:rPr>
          <w:rFonts w:ascii="Arial" w:hAnsi="Arial" w:cs="Arial"/>
        </w:rPr>
        <w:t>The respondent shall pay the applicant’s costs of opposition.</w:t>
      </w:r>
    </w:p>
    <w:p w14:paraId="3781D470" w14:textId="77777777" w:rsidR="0044558B" w:rsidRPr="0044558B" w:rsidRDefault="0044558B" w:rsidP="0044558B">
      <w:pPr>
        <w:pBdr>
          <w:bottom w:val="single" w:sz="12" w:space="1" w:color="auto"/>
        </w:pBdr>
        <w:jc w:val="both"/>
        <w:rPr>
          <w:rFonts w:ascii="Arial" w:hAnsi="Arial" w:cs="Arial"/>
          <w:bCs/>
        </w:rPr>
      </w:pPr>
    </w:p>
    <w:p w14:paraId="0ABF8BB5" w14:textId="77777777" w:rsidR="0044558B" w:rsidRPr="0044558B" w:rsidRDefault="0044558B" w:rsidP="0044558B">
      <w:pPr>
        <w:rPr>
          <w:rFonts w:ascii="Arial" w:hAnsi="Arial" w:cs="Arial"/>
        </w:rPr>
      </w:pPr>
    </w:p>
    <w:p w14:paraId="715F4903" w14:textId="77777777" w:rsidR="0044558B" w:rsidRPr="0044558B" w:rsidRDefault="0044558B" w:rsidP="0044558B">
      <w:pPr>
        <w:jc w:val="center"/>
        <w:rPr>
          <w:rFonts w:ascii="Arial" w:hAnsi="Arial" w:cs="Arial"/>
          <w:b/>
        </w:rPr>
      </w:pPr>
      <w:r>
        <w:rPr>
          <w:rFonts w:ascii="Arial" w:hAnsi="Arial" w:cs="Arial"/>
          <w:b/>
        </w:rPr>
        <w:t>JUDGMENT</w:t>
      </w:r>
    </w:p>
    <w:p w14:paraId="6F80E303" w14:textId="77777777" w:rsidR="0044558B" w:rsidRPr="0044558B" w:rsidRDefault="0044558B" w:rsidP="0044558B">
      <w:pPr>
        <w:pBdr>
          <w:bottom w:val="single" w:sz="12" w:space="1" w:color="auto"/>
        </w:pBdr>
        <w:jc w:val="both"/>
        <w:rPr>
          <w:rFonts w:ascii="Arial" w:hAnsi="Arial" w:cs="Arial"/>
          <w:bCs/>
        </w:rPr>
      </w:pPr>
    </w:p>
    <w:p w14:paraId="3E91CBB9" w14:textId="460791DC" w:rsidR="0044558B" w:rsidRDefault="0044558B" w:rsidP="00A545B5">
      <w:pPr>
        <w:pStyle w:val="ListParagraph"/>
        <w:spacing w:line="360" w:lineRule="auto"/>
        <w:ind w:left="0"/>
        <w:jc w:val="both"/>
        <w:rPr>
          <w:rFonts w:ascii="Arial" w:hAnsi="Arial" w:cs="Arial"/>
          <w:bCs/>
        </w:rPr>
      </w:pPr>
    </w:p>
    <w:p w14:paraId="7A4145C1" w14:textId="77777777" w:rsidR="0044558B" w:rsidRDefault="0044558B" w:rsidP="00A545B5">
      <w:pPr>
        <w:pStyle w:val="ListParagraph"/>
        <w:spacing w:line="360" w:lineRule="auto"/>
        <w:ind w:left="0"/>
        <w:jc w:val="both"/>
        <w:rPr>
          <w:rFonts w:ascii="Arial" w:hAnsi="Arial" w:cs="Arial"/>
          <w:bCs/>
        </w:rPr>
      </w:pPr>
      <w:r w:rsidRPr="0044558B">
        <w:rPr>
          <w:rFonts w:ascii="Arial" w:hAnsi="Arial" w:cs="Arial"/>
          <w:b/>
          <w:bCs/>
        </w:rPr>
        <w:t>MOSSOP J</w:t>
      </w:r>
      <w:r>
        <w:rPr>
          <w:rFonts w:ascii="Arial" w:hAnsi="Arial" w:cs="Arial"/>
          <w:bCs/>
        </w:rPr>
        <w:t>:</w:t>
      </w:r>
    </w:p>
    <w:p w14:paraId="351DFD3E" w14:textId="77777777" w:rsidR="00CE44C8" w:rsidRDefault="00CE44C8" w:rsidP="0044558B">
      <w:pPr>
        <w:pStyle w:val="ListParagraph"/>
        <w:spacing w:line="360" w:lineRule="auto"/>
        <w:ind w:left="0"/>
        <w:jc w:val="both"/>
        <w:rPr>
          <w:rFonts w:ascii="Arial" w:hAnsi="Arial" w:cs="Arial"/>
          <w:bCs/>
        </w:rPr>
      </w:pPr>
    </w:p>
    <w:p w14:paraId="5A88FE60" w14:textId="77777777" w:rsidR="006C6A32" w:rsidRPr="008338BB" w:rsidRDefault="006C6A32" w:rsidP="006C6A32">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bCs/>
        </w:rPr>
        <w:t xml:space="preserve">The parties to this application have a litigious history </w:t>
      </w:r>
      <w:r w:rsidR="00702268">
        <w:rPr>
          <w:rFonts w:ascii="Arial" w:hAnsi="Arial" w:cs="Arial"/>
          <w:bCs/>
        </w:rPr>
        <w:t xml:space="preserve">with </w:t>
      </w:r>
      <w:r>
        <w:rPr>
          <w:rFonts w:ascii="Arial" w:hAnsi="Arial" w:cs="Arial"/>
          <w:bCs/>
        </w:rPr>
        <w:t xml:space="preserve">each other. Briefly </w:t>
      </w:r>
      <w:r w:rsidR="00C576C7">
        <w:rPr>
          <w:rFonts w:ascii="Arial" w:hAnsi="Arial" w:cs="Arial"/>
          <w:bCs/>
        </w:rPr>
        <w:t>stated</w:t>
      </w:r>
      <w:r>
        <w:rPr>
          <w:rFonts w:ascii="Arial" w:hAnsi="Arial" w:cs="Arial"/>
          <w:bCs/>
        </w:rPr>
        <w:t>, it comprises the following:</w:t>
      </w:r>
    </w:p>
    <w:p w14:paraId="54939452" w14:textId="77777777" w:rsidR="006C6A32" w:rsidRPr="00767470" w:rsidRDefault="006C6A32" w:rsidP="006C6A32">
      <w:pPr>
        <w:pStyle w:val="ListParagraph"/>
        <w:numPr>
          <w:ilvl w:val="0"/>
          <w:numId w:val="15"/>
        </w:numPr>
        <w:tabs>
          <w:tab w:val="left" w:pos="709"/>
        </w:tabs>
        <w:spacing w:line="360" w:lineRule="auto"/>
        <w:ind w:left="0" w:firstLine="0"/>
        <w:jc w:val="both"/>
        <w:rPr>
          <w:rFonts w:ascii="Arial" w:hAnsi="Arial" w:cs="Arial"/>
        </w:rPr>
      </w:pPr>
      <w:r>
        <w:rPr>
          <w:rFonts w:ascii="Arial" w:hAnsi="Arial" w:cs="Arial"/>
          <w:bCs/>
        </w:rPr>
        <w:t>In August 2020,</w:t>
      </w:r>
      <w:r w:rsidRPr="00767470">
        <w:rPr>
          <w:rFonts w:ascii="Arial" w:hAnsi="Arial" w:cs="Arial"/>
          <w:bCs/>
        </w:rPr>
        <w:t xml:space="preserve"> the applicant sought the eviction of the respondent from certain commercial business premises. The eviction application was opposed by the respondent, was argued on the opposed roll of this court on 20 May 2021 and judgment was granted in the applicant’s favour on 6 August 2021</w:t>
      </w:r>
      <w:r>
        <w:rPr>
          <w:rFonts w:ascii="Arial" w:hAnsi="Arial" w:cs="Arial"/>
          <w:bCs/>
        </w:rPr>
        <w:t>;</w:t>
      </w:r>
    </w:p>
    <w:p w14:paraId="3CADF9C3" w14:textId="77777777" w:rsidR="006C6A32" w:rsidRPr="00767470" w:rsidRDefault="006C6A32" w:rsidP="006C6A32">
      <w:pPr>
        <w:pStyle w:val="ListParagraph"/>
        <w:numPr>
          <w:ilvl w:val="0"/>
          <w:numId w:val="15"/>
        </w:numPr>
        <w:tabs>
          <w:tab w:val="left" w:pos="709"/>
        </w:tabs>
        <w:spacing w:line="360" w:lineRule="auto"/>
        <w:ind w:left="0" w:firstLine="0"/>
        <w:jc w:val="both"/>
        <w:rPr>
          <w:rFonts w:ascii="Arial" w:hAnsi="Arial" w:cs="Arial"/>
        </w:rPr>
      </w:pPr>
      <w:r w:rsidRPr="00767470">
        <w:rPr>
          <w:rFonts w:ascii="Arial" w:hAnsi="Arial" w:cs="Arial"/>
          <w:bCs/>
        </w:rPr>
        <w:t xml:space="preserve">An application for leave to appeal </w:t>
      </w:r>
      <w:r>
        <w:rPr>
          <w:rFonts w:ascii="Arial" w:hAnsi="Arial" w:cs="Arial"/>
          <w:bCs/>
        </w:rPr>
        <w:t>was pursued by the respondent,</w:t>
      </w:r>
      <w:r w:rsidRPr="00767470">
        <w:rPr>
          <w:rFonts w:ascii="Arial" w:hAnsi="Arial" w:cs="Arial"/>
          <w:bCs/>
        </w:rPr>
        <w:t xml:space="preserve"> was</w:t>
      </w:r>
      <w:r w:rsidR="00C170D3">
        <w:rPr>
          <w:rFonts w:ascii="Arial" w:hAnsi="Arial" w:cs="Arial"/>
          <w:bCs/>
        </w:rPr>
        <w:t xml:space="preserve"> opposed by the </w:t>
      </w:r>
      <w:r w:rsidR="00C576C7">
        <w:rPr>
          <w:rFonts w:ascii="Arial" w:hAnsi="Arial" w:cs="Arial"/>
          <w:bCs/>
        </w:rPr>
        <w:t>applicant</w:t>
      </w:r>
      <w:r w:rsidR="00C170D3">
        <w:rPr>
          <w:rFonts w:ascii="Arial" w:hAnsi="Arial" w:cs="Arial"/>
          <w:bCs/>
        </w:rPr>
        <w:t xml:space="preserve"> and was</w:t>
      </w:r>
      <w:r w:rsidRPr="00767470">
        <w:rPr>
          <w:rFonts w:ascii="Arial" w:hAnsi="Arial" w:cs="Arial"/>
          <w:bCs/>
        </w:rPr>
        <w:t xml:space="preserve"> dismissed on 22 Octobe</w:t>
      </w:r>
      <w:r>
        <w:rPr>
          <w:rFonts w:ascii="Arial" w:hAnsi="Arial" w:cs="Arial"/>
          <w:bCs/>
        </w:rPr>
        <w:t>r 2021;</w:t>
      </w:r>
    </w:p>
    <w:p w14:paraId="79537DDC" w14:textId="77777777" w:rsidR="006C6A32" w:rsidRPr="00767470" w:rsidRDefault="006C6A32" w:rsidP="006C6A32">
      <w:pPr>
        <w:pStyle w:val="ListParagraph"/>
        <w:numPr>
          <w:ilvl w:val="0"/>
          <w:numId w:val="15"/>
        </w:numPr>
        <w:tabs>
          <w:tab w:val="left" w:pos="709"/>
        </w:tabs>
        <w:spacing w:line="360" w:lineRule="auto"/>
        <w:ind w:left="0" w:firstLine="0"/>
        <w:jc w:val="both"/>
        <w:rPr>
          <w:rFonts w:ascii="Arial" w:hAnsi="Arial" w:cs="Arial"/>
        </w:rPr>
      </w:pPr>
      <w:r w:rsidRPr="00767470">
        <w:rPr>
          <w:rFonts w:ascii="Arial" w:hAnsi="Arial" w:cs="Arial"/>
          <w:bCs/>
        </w:rPr>
        <w:t>A petition to the Supreme Court</w:t>
      </w:r>
      <w:r w:rsidR="005C57DD">
        <w:rPr>
          <w:rFonts w:ascii="Arial" w:hAnsi="Arial" w:cs="Arial"/>
          <w:bCs/>
        </w:rPr>
        <w:t xml:space="preserve"> of Appeal</w:t>
      </w:r>
      <w:r w:rsidRPr="00767470">
        <w:rPr>
          <w:rFonts w:ascii="Arial" w:hAnsi="Arial" w:cs="Arial"/>
          <w:bCs/>
        </w:rPr>
        <w:t xml:space="preserve"> was also unsuccessful and was rejected </w:t>
      </w:r>
      <w:r>
        <w:rPr>
          <w:rFonts w:ascii="Arial" w:hAnsi="Arial" w:cs="Arial"/>
          <w:bCs/>
        </w:rPr>
        <w:t xml:space="preserve">by that court </w:t>
      </w:r>
      <w:r w:rsidRPr="00767470">
        <w:rPr>
          <w:rFonts w:ascii="Arial" w:hAnsi="Arial" w:cs="Arial"/>
          <w:bCs/>
        </w:rPr>
        <w:t>on 2 June 2022</w:t>
      </w:r>
      <w:r w:rsidR="00B27C1D">
        <w:rPr>
          <w:rFonts w:ascii="Arial" w:hAnsi="Arial" w:cs="Arial"/>
          <w:bCs/>
        </w:rPr>
        <w:t>;</w:t>
      </w:r>
      <w:r>
        <w:rPr>
          <w:rFonts w:ascii="Arial" w:hAnsi="Arial" w:cs="Arial"/>
          <w:bCs/>
        </w:rPr>
        <w:t xml:space="preserve"> and</w:t>
      </w:r>
    </w:p>
    <w:p w14:paraId="131060D4" w14:textId="78F4C0BE" w:rsidR="006C6A32" w:rsidRDefault="006C6A32" w:rsidP="006C6A32">
      <w:pPr>
        <w:pStyle w:val="ListParagraph"/>
        <w:numPr>
          <w:ilvl w:val="0"/>
          <w:numId w:val="15"/>
        </w:numPr>
        <w:tabs>
          <w:tab w:val="left" w:pos="709"/>
        </w:tabs>
        <w:spacing w:line="360" w:lineRule="auto"/>
        <w:ind w:left="0" w:firstLine="0"/>
        <w:jc w:val="both"/>
        <w:rPr>
          <w:rFonts w:ascii="Arial" w:hAnsi="Arial" w:cs="Arial"/>
        </w:rPr>
      </w:pPr>
      <w:r w:rsidRPr="00767470">
        <w:rPr>
          <w:rFonts w:ascii="Arial" w:hAnsi="Arial" w:cs="Arial"/>
        </w:rPr>
        <w:t>On 25 August 2022</w:t>
      </w:r>
      <w:r w:rsidR="00C576C7">
        <w:rPr>
          <w:rFonts w:ascii="Arial" w:hAnsi="Arial" w:cs="Arial"/>
        </w:rPr>
        <w:t>,</w:t>
      </w:r>
      <w:r w:rsidRPr="00767470">
        <w:rPr>
          <w:rFonts w:ascii="Arial" w:hAnsi="Arial" w:cs="Arial"/>
        </w:rPr>
        <w:t xml:space="preserve"> the applicant brought an application to liquidate the</w:t>
      </w:r>
      <w:r w:rsidR="00702268">
        <w:rPr>
          <w:rFonts w:ascii="Arial" w:hAnsi="Arial" w:cs="Arial"/>
        </w:rPr>
        <w:t xml:space="preserve"> respondent, alleging that it i</w:t>
      </w:r>
      <w:r w:rsidRPr="00767470">
        <w:rPr>
          <w:rFonts w:ascii="Arial" w:hAnsi="Arial" w:cs="Arial"/>
        </w:rPr>
        <w:t>s an unpaid creditor of the respondent</w:t>
      </w:r>
      <w:r w:rsidR="00540AE1">
        <w:rPr>
          <w:rFonts w:ascii="Arial" w:hAnsi="Arial" w:cs="Arial"/>
        </w:rPr>
        <w:t>.</w:t>
      </w:r>
      <w:r w:rsidR="00702268">
        <w:rPr>
          <w:rFonts w:ascii="Arial" w:hAnsi="Arial" w:cs="Arial"/>
        </w:rPr>
        <w:t xml:space="preserve"> </w:t>
      </w:r>
      <w:r w:rsidR="00540AE1">
        <w:rPr>
          <w:rFonts w:ascii="Arial" w:hAnsi="Arial" w:cs="Arial"/>
        </w:rPr>
        <w:t>It is alleged that the respondent</w:t>
      </w:r>
      <w:r w:rsidR="00C170D3">
        <w:rPr>
          <w:rFonts w:ascii="Arial" w:hAnsi="Arial" w:cs="Arial"/>
        </w:rPr>
        <w:t xml:space="preserve"> </w:t>
      </w:r>
      <w:r w:rsidR="00702268">
        <w:rPr>
          <w:rFonts w:ascii="Arial" w:hAnsi="Arial" w:cs="Arial"/>
        </w:rPr>
        <w:t>owes it R765</w:t>
      </w:r>
      <w:r w:rsidR="00C576C7">
        <w:rPr>
          <w:rFonts w:ascii="Arial" w:hAnsi="Arial" w:cs="Arial"/>
        </w:rPr>
        <w:t> </w:t>
      </w:r>
      <w:r w:rsidR="00702268">
        <w:rPr>
          <w:rFonts w:ascii="Arial" w:hAnsi="Arial" w:cs="Arial"/>
        </w:rPr>
        <w:t>000</w:t>
      </w:r>
      <w:r w:rsidR="00C576C7">
        <w:rPr>
          <w:rFonts w:ascii="Arial" w:hAnsi="Arial" w:cs="Arial"/>
        </w:rPr>
        <w:t>,</w:t>
      </w:r>
      <w:r w:rsidR="00C170D3">
        <w:rPr>
          <w:rFonts w:ascii="Arial" w:hAnsi="Arial" w:cs="Arial"/>
        </w:rPr>
        <w:t xml:space="preserve"> </w:t>
      </w:r>
      <w:r w:rsidR="00C576C7">
        <w:rPr>
          <w:rFonts w:ascii="Arial" w:hAnsi="Arial" w:cs="Arial"/>
        </w:rPr>
        <w:t xml:space="preserve">being unpaid rental due by the respondent </w:t>
      </w:r>
      <w:r w:rsidR="00B27C1D">
        <w:rPr>
          <w:rFonts w:ascii="Arial" w:hAnsi="Arial" w:cs="Arial"/>
        </w:rPr>
        <w:t>arising</w:t>
      </w:r>
      <w:r w:rsidR="00C170D3">
        <w:rPr>
          <w:rFonts w:ascii="Arial" w:hAnsi="Arial" w:cs="Arial"/>
        </w:rPr>
        <w:t xml:space="preserve"> out of </w:t>
      </w:r>
      <w:r w:rsidR="00C576C7">
        <w:rPr>
          <w:rFonts w:ascii="Arial" w:hAnsi="Arial" w:cs="Arial"/>
        </w:rPr>
        <w:t>the respondent’s</w:t>
      </w:r>
      <w:r w:rsidR="00C170D3">
        <w:rPr>
          <w:rFonts w:ascii="Arial" w:hAnsi="Arial" w:cs="Arial"/>
        </w:rPr>
        <w:t xml:space="preserve"> occupation of the commercial business premises mentioned above</w:t>
      </w:r>
      <w:r w:rsidR="00702268">
        <w:rPr>
          <w:rFonts w:ascii="Arial" w:hAnsi="Arial" w:cs="Arial"/>
        </w:rPr>
        <w:t xml:space="preserve">. </w:t>
      </w:r>
      <w:r w:rsidRPr="00767470">
        <w:rPr>
          <w:rFonts w:ascii="Arial" w:hAnsi="Arial" w:cs="Arial"/>
        </w:rPr>
        <w:t>I shall refer to th</w:t>
      </w:r>
      <w:r w:rsidR="00B27C1D">
        <w:rPr>
          <w:rFonts w:ascii="Arial" w:hAnsi="Arial" w:cs="Arial"/>
        </w:rPr>
        <w:t>e liquidation</w:t>
      </w:r>
      <w:r w:rsidRPr="00767470">
        <w:rPr>
          <w:rFonts w:ascii="Arial" w:hAnsi="Arial" w:cs="Arial"/>
        </w:rPr>
        <w:t xml:space="preserve"> application as ‘the main application</w:t>
      </w:r>
      <w:r w:rsidR="005C57DD">
        <w:rPr>
          <w:rFonts w:ascii="Arial" w:hAnsi="Arial" w:cs="Arial"/>
        </w:rPr>
        <w:t>’</w:t>
      </w:r>
      <w:r w:rsidRPr="00767470">
        <w:rPr>
          <w:rFonts w:ascii="Arial" w:hAnsi="Arial" w:cs="Arial"/>
        </w:rPr>
        <w:t xml:space="preserve">. </w:t>
      </w:r>
    </w:p>
    <w:p w14:paraId="765F5AE3" w14:textId="77777777" w:rsidR="006C6A32" w:rsidRDefault="006C6A32" w:rsidP="006C6A32">
      <w:pPr>
        <w:pStyle w:val="ListParagraph"/>
        <w:tabs>
          <w:tab w:val="left" w:pos="709"/>
        </w:tabs>
        <w:spacing w:line="360" w:lineRule="auto"/>
        <w:ind w:left="0"/>
        <w:jc w:val="both"/>
        <w:rPr>
          <w:rFonts w:ascii="Arial" w:hAnsi="Arial" w:cs="Arial"/>
        </w:rPr>
      </w:pPr>
    </w:p>
    <w:p w14:paraId="432EA74F" w14:textId="77777777" w:rsidR="006C6A32" w:rsidRPr="006C6A32" w:rsidRDefault="006C6A32" w:rsidP="006C6A32">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bCs/>
        </w:rPr>
        <w:lastRenderedPageBreak/>
        <w:t>What is before me is an application</w:t>
      </w:r>
      <w:r w:rsidR="00136F87">
        <w:rPr>
          <w:rFonts w:ascii="Arial" w:hAnsi="Arial" w:cs="Arial"/>
          <w:bCs/>
        </w:rPr>
        <w:t xml:space="preserve"> </w:t>
      </w:r>
      <w:r>
        <w:rPr>
          <w:rFonts w:ascii="Arial" w:hAnsi="Arial" w:cs="Arial"/>
          <w:bCs/>
        </w:rPr>
        <w:t xml:space="preserve">in which the respondent seeks the following </w:t>
      </w:r>
      <w:r w:rsidR="00C576C7">
        <w:rPr>
          <w:rFonts w:ascii="Arial" w:hAnsi="Arial" w:cs="Arial"/>
          <w:bCs/>
        </w:rPr>
        <w:t>relief</w:t>
      </w:r>
      <w:r>
        <w:rPr>
          <w:rFonts w:ascii="Arial" w:hAnsi="Arial" w:cs="Arial"/>
          <w:bCs/>
        </w:rPr>
        <w:t>:</w:t>
      </w:r>
    </w:p>
    <w:p w14:paraId="6FD54A74" w14:textId="77777777" w:rsidR="006C6A32" w:rsidRPr="006C6A32" w:rsidRDefault="006C6A32" w:rsidP="006C6A32">
      <w:pPr>
        <w:pStyle w:val="ListParagraph"/>
        <w:tabs>
          <w:tab w:val="left" w:pos="709"/>
        </w:tabs>
        <w:spacing w:line="360" w:lineRule="auto"/>
        <w:ind w:left="0"/>
        <w:jc w:val="both"/>
        <w:rPr>
          <w:rFonts w:ascii="Arial" w:hAnsi="Arial" w:cs="Arial"/>
          <w:bCs/>
          <w:sz w:val="22"/>
          <w:szCs w:val="22"/>
        </w:rPr>
      </w:pPr>
      <w:r w:rsidRPr="006C6A32">
        <w:rPr>
          <w:rFonts w:ascii="Arial" w:hAnsi="Arial" w:cs="Arial"/>
          <w:bCs/>
          <w:sz w:val="22"/>
          <w:szCs w:val="22"/>
        </w:rPr>
        <w:t>‘1.</w:t>
      </w:r>
      <w:r w:rsidRPr="006C6A32">
        <w:rPr>
          <w:rFonts w:ascii="Arial" w:hAnsi="Arial" w:cs="Arial"/>
          <w:bCs/>
          <w:sz w:val="22"/>
          <w:szCs w:val="22"/>
        </w:rPr>
        <w:tab/>
        <w:t>Respondent is granted condonation for the late delivery of its answering affidavit.</w:t>
      </w:r>
    </w:p>
    <w:p w14:paraId="64962C4A" w14:textId="77777777" w:rsidR="006C6A32" w:rsidRPr="006C6A32" w:rsidRDefault="006C6A32" w:rsidP="006C6A32">
      <w:pPr>
        <w:pStyle w:val="ListParagraph"/>
        <w:tabs>
          <w:tab w:val="left" w:pos="709"/>
        </w:tabs>
        <w:spacing w:line="360" w:lineRule="auto"/>
        <w:ind w:left="0"/>
        <w:jc w:val="both"/>
        <w:rPr>
          <w:rFonts w:ascii="Arial" w:hAnsi="Arial" w:cs="Arial"/>
          <w:bCs/>
          <w:sz w:val="22"/>
          <w:szCs w:val="22"/>
        </w:rPr>
      </w:pPr>
      <w:r w:rsidRPr="006C6A32">
        <w:rPr>
          <w:rFonts w:ascii="Arial" w:hAnsi="Arial" w:cs="Arial"/>
          <w:bCs/>
          <w:sz w:val="22"/>
          <w:szCs w:val="22"/>
        </w:rPr>
        <w:t>2.</w:t>
      </w:r>
      <w:r w:rsidRPr="006C6A32">
        <w:rPr>
          <w:rFonts w:ascii="Arial" w:hAnsi="Arial" w:cs="Arial"/>
          <w:bCs/>
          <w:sz w:val="22"/>
          <w:szCs w:val="22"/>
        </w:rPr>
        <w:tab/>
        <w:t>Respondent is granted condonation for the late delivery of this condonation application.</w:t>
      </w:r>
    </w:p>
    <w:p w14:paraId="702DFF4D" w14:textId="77777777" w:rsidR="006C6A32" w:rsidRPr="006C6A32" w:rsidRDefault="006C6A32" w:rsidP="006C6A32">
      <w:pPr>
        <w:pStyle w:val="ListParagraph"/>
        <w:tabs>
          <w:tab w:val="left" w:pos="709"/>
        </w:tabs>
        <w:spacing w:line="360" w:lineRule="auto"/>
        <w:ind w:left="709" w:hanging="709"/>
        <w:jc w:val="both"/>
        <w:rPr>
          <w:rFonts w:ascii="Arial" w:hAnsi="Arial" w:cs="Arial"/>
          <w:bCs/>
          <w:sz w:val="22"/>
          <w:szCs w:val="22"/>
        </w:rPr>
      </w:pPr>
      <w:r w:rsidRPr="006C6A32">
        <w:rPr>
          <w:rFonts w:ascii="Arial" w:hAnsi="Arial" w:cs="Arial"/>
          <w:bCs/>
          <w:sz w:val="22"/>
          <w:szCs w:val="22"/>
        </w:rPr>
        <w:t>3.</w:t>
      </w:r>
      <w:r w:rsidRPr="006C6A32">
        <w:rPr>
          <w:rFonts w:ascii="Arial" w:hAnsi="Arial" w:cs="Arial"/>
          <w:bCs/>
          <w:sz w:val="22"/>
          <w:szCs w:val="22"/>
        </w:rPr>
        <w:tab/>
        <w:t>Respondent is granted leave to substitute, for the answering affidavit that was delivered on 15 February 2023, the affidavit a copy of which is annexed hereto marked X.</w:t>
      </w:r>
    </w:p>
    <w:p w14:paraId="2FA826CF" w14:textId="77777777" w:rsidR="006C6A32" w:rsidRDefault="006C6A32" w:rsidP="006C6A32">
      <w:pPr>
        <w:pStyle w:val="ListParagraph"/>
        <w:tabs>
          <w:tab w:val="left" w:pos="709"/>
        </w:tabs>
        <w:spacing w:line="360" w:lineRule="auto"/>
        <w:ind w:left="709" w:hanging="709"/>
        <w:jc w:val="both"/>
        <w:rPr>
          <w:rFonts w:ascii="Arial" w:hAnsi="Arial" w:cs="Arial"/>
          <w:bCs/>
          <w:sz w:val="22"/>
          <w:szCs w:val="22"/>
        </w:rPr>
      </w:pPr>
      <w:r w:rsidRPr="006C6A32">
        <w:rPr>
          <w:rFonts w:ascii="Arial" w:hAnsi="Arial" w:cs="Arial"/>
          <w:bCs/>
          <w:sz w:val="22"/>
          <w:szCs w:val="22"/>
        </w:rPr>
        <w:t>4.</w:t>
      </w:r>
      <w:r w:rsidRPr="006C6A32">
        <w:rPr>
          <w:rFonts w:ascii="Arial" w:hAnsi="Arial" w:cs="Arial"/>
          <w:bCs/>
          <w:sz w:val="22"/>
          <w:szCs w:val="22"/>
        </w:rPr>
        <w:tab/>
        <w:t>There is no order as to costs, provided that if Applicant opposes this application, it will be requested that it be ordered to pay the costs of the application.’</w:t>
      </w:r>
    </w:p>
    <w:p w14:paraId="60E59429" w14:textId="77777777" w:rsidR="002F176E" w:rsidRDefault="00C170D3" w:rsidP="006C6A32">
      <w:pPr>
        <w:pStyle w:val="ListParagraph"/>
        <w:tabs>
          <w:tab w:val="left" w:pos="709"/>
        </w:tabs>
        <w:spacing w:line="360" w:lineRule="auto"/>
        <w:ind w:left="709" w:hanging="709"/>
        <w:jc w:val="both"/>
        <w:rPr>
          <w:rFonts w:ascii="Arial" w:hAnsi="Arial" w:cs="Arial"/>
          <w:bCs/>
        </w:rPr>
      </w:pPr>
      <w:r>
        <w:rPr>
          <w:rFonts w:ascii="Arial" w:hAnsi="Arial" w:cs="Arial"/>
          <w:bCs/>
        </w:rPr>
        <w:t xml:space="preserve">I shall refer to this application as </w:t>
      </w:r>
      <w:r w:rsidR="00C576C7">
        <w:rPr>
          <w:rFonts w:ascii="Arial" w:hAnsi="Arial" w:cs="Arial"/>
          <w:bCs/>
        </w:rPr>
        <w:t>‘</w:t>
      </w:r>
      <w:r>
        <w:rPr>
          <w:rFonts w:ascii="Arial" w:hAnsi="Arial" w:cs="Arial"/>
          <w:bCs/>
        </w:rPr>
        <w:t>the condonation application</w:t>
      </w:r>
      <w:r w:rsidR="00C576C7">
        <w:rPr>
          <w:rFonts w:ascii="Arial" w:hAnsi="Arial" w:cs="Arial"/>
          <w:bCs/>
        </w:rPr>
        <w:t>’</w:t>
      </w:r>
      <w:r>
        <w:rPr>
          <w:rFonts w:ascii="Arial" w:hAnsi="Arial" w:cs="Arial"/>
          <w:bCs/>
        </w:rPr>
        <w:t>.</w:t>
      </w:r>
    </w:p>
    <w:p w14:paraId="6271D53D" w14:textId="77777777" w:rsidR="00C170D3" w:rsidRPr="002F176E" w:rsidRDefault="00C170D3" w:rsidP="006C6A32">
      <w:pPr>
        <w:pStyle w:val="ListParagraph"/>
        <w:tabs>
          <w:tab w:val="left" w:pos="709"/>
        </w:tabs>
        <w:spacing w:line="360" w:lineRule="auto"/>
        <w:ind w:left="709" w:hanging="709"/>
        <w:jc w:val="both"/>
        <w:rPr>
          <w:rFonts w:ascii="Arial" w:hAnsi="Arial" w:cs="Arial"/>
        </w:rPr>
      </w:pPr>
    </w:p>
    <w:p w14:paraId="440E7806" w14:textId="0832D869" w:rsidR="006C6A32" w:rsidRPr="002F176E" w:rsidRDefault="002F176E" w:rsidP="006C6A32">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bCs/>
        </w:rPr>
        <w:t xml:space="preserve">Notwithstanding that it </w:t>
      </w:r>
      <w:r w:rsidR="006C6A32">
        <w:rPr>
          <w:rFonts w:ascii="Arial" w:hAnsi="Arial" w:cs="Arial"/>
          <w:bCs/>
        </w:rPr>
        <w:t xml:space="preserve">is the applicant in the </w:t>
      </w:r>
      <w:r w:rsidR="00136F87">
        <w:rPr>
          <w:rFonts w:ascii="Arial" w:hAnsi="Arial" w:cs="Arial"/>
          <w:bCs/>
        </w:rPr>
        <w:t xml:space="preserve">condonation </w:t>
      </w:r>
      <w:r w:rsidR="006C6A32">
        <w:rPr>
          <w:rFonts w:ascii="Arial" w:hAnsi="Arial" w:cs="Arial"/>
          <w:bCs/>
        </w:rPr>
        <w:t xml:space="preserve">application, I shall continue to refer to the respondent as ‘the respondent’ because that is how it has described itself in </w:t>
      </w:r>
      <w:r w:rsidR="00136F87">
        <w:rPr>
          <w:rFonts w:ascii="Arial" w:hAnsi="Arial" w:cs="Arial"/>
          <w:bCs/>
        </w:rPr>
        <w:t>its</w:t>
      </w:r>
      <w:r w:rsidR="006C6A32">
        <w:rPr>
          <w:rFonts w:ascii="Arial" w:hAnsi="Arial" w:cs="Arial"/>
          <w:bCs/>
        </w:rPr>
        <w:t xml:space="preserve"> </w:t>
      </w:r>
      <w:r>
        <w:rPr>
          <w:rFonts w:ascii="Arial" w:hAnsi="Arial" w:cs="Arial"/>
          <w:bCs/>
        </w:rPr>
        <w:t>notice of motion and in its founding affidavit</w:t>
      </w:r>
      <w:r w:rsidR="006C6A32">
        <w:rPr>
          <w:rFonts w:ascii="Arial" w:hAnsi="Arial" w:cs="Arial"/>
          <w:bCs/>
        </w:rPr>
        <w:t xml:space="preserve"> </w:t>
      </w:r>
      <w:r w:rsidR="00C170D3">
        <w:rPr>
          <w:rFonts w:ascii="Arial" w:hAnsi="Arial" w:cs="Arial"/>
          <w:bCs/>
        </w:rPr>
        <w:t>in th</w:t>
      </w:r>
      <w:r w:rsidR="00C576C7">
        <w:rPr>
          <w:rFonts w:ascii="Arial" w:hAnsi="Arial" w:cs="Arial"/>
          <w:bCs/>
        </w:rPr>
        <w:t>e condonation</w:t>
      </w:r>
      <w:r w:rsidR="00C170D3">
        <w:rPr>
          <w:rFonts w:ascii="Arial" w:hAnsi="Arial" w:cs="Arial"/>
          <w:bCs/>
        </w:rPr>
        <w:t xml:space="preserve"> application </w:t>
      </w:r>
      <w:r w:rsidR="006C6A32">
        <w:rPr>
          <w:rFonts w:ascii="Arial" w:hAnsi="Arial" w:cs="Arial"/>
          <w:bCs/>
        </w:rPr>
        <w:t xml:space="preserve">and it will </w:t>
      </w:r>
      <w:r w:rsidR="00C576C7">
        <w:rPr>
          <w:rFonts w:ascii="Arial" w:hAnsi="Arial" w:cs="Arial"/>
          <w:bCs/>
        </w:rPr>
        <w:t xml:space="preserve">accordingly </w:t>
      </w:r>
      <w:r w:rsidR="00F40280">
        <w:rPr>
          <w:rFonts w:ascii="Arial" w:hAnsi="Arial" w:cs="Arial"/>
          <w:bCs/>
        </w:rPr>
        <w:t>avoid confusion</w:t>
      </w:r>
      <w:r w:rsidR="006C6A32">
        <w:rPr>
          <w:rFonts w:ascii="Arial" w:hAnsi="Arial" w:cs="Arial"/>
          <w:bCs/>
        </w:rPr>
        <w:t xml:space="preserve">. </w:t>
      </w:r>
    </w:p>
    <w:p w14:paraId="7A1F6979" w14:textId="77777777" w:rsidR="002F176E" w:rsidRPr="003D4CDF" w:rsidRDefault="002F176E" w:rsidP="002F176E">
      <w:pPr>
        <w:pStyle w:val="ListParagraph"/>
        <w:tabs>
          <w:tab w:val="left" w:pos="709"/>
        </w:tabs>
        <w:spacing w:line="360" w:lineRule="auto"/>
        <w:ind w:left="0"/>
        <w:jc w:val="both"/>
        <w:rPr>
          <w:rFonts w:ascii="Arial" w:hAnsi="Arial" w:cs="Arial"/>
        </w:rPr>
      </w:pPr>
    </w:p>
    <w:p w14:paraId="221E4B5C" w14:textId="77777777" w:rsidR="002F176E" w:rsidRPr="002F176E" w:rsidRDefault="002F176E" w:rsidP="002F176E">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bCs/>
        </w:rPr>
        <w:t>From the wording of</w:t>
      </w:r>
      <w:r w:rsidR="00AA305B">
        <w:rPr>
          <w:rFonts w:ascii="Arial" w:hAnsi="Arial" w:cs="Arial"/>
          <w:bCs/>
        </w:rPr>
        <w:t xml:space="preserve"> paragraph 3 of</w:t>
      </w:r>
      <w:r>
        <w:rPr>
          <w:rFonts w:ascii="Arial" w:hAnsi="Arial" w:cs="Arial"/>
          <w:bCs/>
        </w:rPr>
        <w:t xml:space="preserve"> the notice of moti</w:t>
      </w:r>
      <w:r w:rsidR="00136F87">
        <w:rPr>
          <w:rFonts w:ascii="Arial" w:hAnsi="Arial" w:cs="Arial"/>
          <w:bCs/>
        </w:rPr>
        <w:t>on, it may be discerned that the condonation</w:t>
      </w:r>
      <w:r>
        <w:rPr>
          <w:rFonts w:ascii="Arial" w:hAnsi="Arial" w:cs="Arial"/>
          <w:bCs/>
        </w:rPr>
        <w:t xml:space="preserve"> application involves two answering affidavits. Why this is so will be considered in more detail shortly, but it may be helpful to first briefly give a thumbnail sketch of what has </w:t>
      </w:r>
      <w:r w:rsidR="00AA305B">
        <w:rPr>
          <w:rFonts w:ascii="Arial" w:hAnsi="Arial" w:cs="Arial"/>
          <w:bCs/>
        </w:rPr>
        <w:t>occurred</w:t>
      </w:r>
      <w:r>
        <w:rPr>
          <w:rFonts w:ascii="Arial" w:hAnsi="Arial" w:cs="Arial"/>
          <w:bCs/>
        </w:rPr>
        <w:t xml:space="preserve">. </w:t>
      </w:r>
      <w:r w:rsidR="00AA305B">
        <w:rPr>
          <w:rFonts w:ascii="Arial" w:hAnsi="Arial" w:cs="Arial"/>
          <w:bCs/>
        </w:rPr>
        <w:t>An</w:t>
      </w:r>
      <w:r w:rsidR="00003681">
        <w:rPr>
          <w:rFonts w:ascii="Arial" w:hAnsi="Arial" w:cs="Arial"/>
          <w:bCs/>
        </w:rPr>
        <w:t xml:space="preserve"> answering affidavit was deposed to </w:t>
      </w:r>
      <w:r w:rsidR="009F1A9F">
        <w:rPr>
          <w:rFonts w:ascii="Arial" w:hAnsi="Arial" w:cs="Arial"/>
          <w:bCs/>
        </w:rPr>
        <w:t xml:space="preserve">on behalf of the respondent </w:t>
      </w:r>
      <w:r w:rsidR="00003681">
        <w:rPr>
          <w:rFonts w:ascii="Arial" w:hAnsi="Arial" w:cs="Arial"/>
          <w:bCs/>
        </w:rPr>
        <w:t>on 14 February 2023</w:t>
      </w:r>
      <w:r w:rsidR="009F1A9F">
        <w:rPr>
          <w:rFonts w:ascii="Arial" w:hAnsi="Arial" w:cs="Arial"/>
          <w:bCs/>
        </w:rPr>
        <w:t xml:space="preserve"> </w:t>
      </w:r>
      <w:r w:rsidR="00AA305B">
        <w:rPr>
          <w:rFonts w:ascii="Arial" w:hAnsi="Arial" w:cs="Arial"/>
          <w:bCs/>
        </w:rPr>
        <w:t xml:space="preserve">(the first answering affidavit) </w:t>
      </w:r>
      <w:r w:rsidR="009F1A9F">
        <w:rPr>
          <w:rFonts w:ascii="Arial" w:hAnsi="Arial" w:cs="Arial"/>
          <w:bCs/>
        </w:rPr>
        <w:t>and was served on the applicant the next day</w:t>
      </w:r>
      <w:r w:rsidR="00003681">
        <w:rPr>
          <w:rFonts w:ascii="Arial" w:hAnsi="Arial" w:cs="Arial"/>
          <w:bCs/>
        </w:rPr>
        <w:t xml:space="preserve">. </w:t>
      </w:r>
      <w:r w:rsidR="00AA305B">
        <w:rPr>
          <w:rFonts w:ascii="Arial" w:hAnsi="Arial" w:cs="Arial"/>
          <w:bCs/>
        </w:rPr>
        <w:t>A</w:t>
      </w:r>
      <w:r w:rsidR="00003681">
        <w:rPr>
          <w:rFonts w:ascii="Arial" w:hAnsi="Arial" w:cs="Arial"/>
          <w:bCs/>
        </w:rPr>
        <w:t xml:space="preserve"> second answering affidavit was deposed to on 4 April 2023. </w:t>
      </w:r>
      <w:r w:rsidR="009F1A9F">
        <w:rPr>
          <w:rFonts w:ascii="Arial" w:hAnsi="Arial" w:cs="Arial"/>
          <w:bCs/>
        </w:rPr>
        <w:t xml:space="preserve">It is not immediately apparent </w:t>
      </w:r>
      <w:r w:rsidR="00136F87">
        <w:rPr>
          <w:rFonts w:ascii="Arial" w:hAnsi="Arial" w:cs="Arial"/>
          <w:bCs/>
        </w:rPr>
        <w:t xml:space="preserve">from the papers </w:t>
      </w:r>
      <w:r w:rsidR="009F1A9F">
        <w:rPr>
          <w:rFonts w:ascii="Arial" w:hAnsi="Arial" w:cs="Arial"/>
          <w:bCs/>
        </w:rPr>
        <w:t xml:space="preserve">whether it has been served, but a copy of the second answering affidavit is attached to the founding affidavit in the condonation application. </w:t>
      </w:r>
      <w:r w:rsidR="00003681">
        <w:rPr>
          <w:rFonts w:ascii="Arial" w:hAnsi="Arial" w:cs="Arial"/>
          <w:bCs/>
        </w:rPr>
        <w:t xml:space="preserve">Save for the names of the respective deponents to the </w:t>
      </w:r>
      <w:r w:rsidR="00AA305B">
        <w:rPr>
          <w:rFonts w:ascii="Arial" w:hAnsi="Arial" w:cs="Arial"/>
          <w:bCs/>
        </w:rPr>
        <w:t xml:space="preserve">two </w:t>
      </w:r>
      <w:r w:rsidR="00003681">
        <w:rPr>
          <w:rFonts w:ascii="Arial" w:hAnsi="Arial" w:cs="Arial"/>
          <w:bCs/>
        </w:rPr>
        <w:t xml:space="preserve">answering affidavits, </w:t>
      </w:r>
      <w:r>
        <w:rPr>
          <w:rFonts w:ascii="Arial" w:hAnsi="Arial" w:cs="Arial"/>
          <w:bCs/>
        </w:rPr>
        <w:t xml:space="preserve">for </w:t>
      </w:r>
      <w:r w:rsidR="00AA305B">
        <w:rPr>
          <w:rFonts w:ascii="Arial" w:hAnsi="Arial" w:cs="Arial"/>
          <w:bCs/>
        </w:rPr>
        <w:t>each affidavit was</w:t>
      </w:r>
      <w:r>
        <w:rPr>
          <w:rFonts w:ascii="Arial" w:hAnsi="Arial" w:cs="Arial"/>
          <w:bCs/>
        </w:rPr>
        <w:t xml:space="preserve"> deposed to by </w:t>
      </w:r>
      <w:r w:rsidR="00AA305B">
        <w:rPr>
          <w:rFonts w:ascii="Arial" w:hAnsi="Arial" w:cs="Arial"/>
          <w:bCs/>
        </w:rPr>
        <w:t xml:space="preserve">a </w:t>
      </w:r>
      <w:r>
        <w:rPr>
          <w:rFonts w:ascii="Arial" w:hAnsi="Arial" w:cs="Arial"/>
          <w:bCs/>
        </w:rPr>
        <w:t>different pe</w:t>
      </w:r>
      <w:r w:rsidR="00AA305B">
        <w:rPr>
          <w:rFonts w:ascii="Arial" w:hAnsi="Arial" w:cs="Arial"/>
          <w:bCs/>
        </w:rPr>
        <w:t>rson</w:t>
      </w:r>
      <w:r>
        <w:rPr>
          <w:rFonts w:ascii="Arial" w:hAnsi="Arial" w:cs="Arial"/>
          <w:bCs/>
        </w:rPr>
        <w:t xml:space="preserve">, </w:t>
      </w:r>
      <w:r w:rsidR="00003681">
        <w:rPr>
          <w:rFonts w:ascii="Arial" w:hAnsi="Arial" w:cs="Arial"/>
          <w:bCs/>
        </w:rPr>
        <w:t>the</w:t>
      </w:r>
      <w:r w:rsidR="00323768">
        <w:rPr>
          <w:rFonts w:ascii="Arial" w:hAnsi="Arial" w:cs="Arial"/>
          <w:bCs/>
        </w:rPr>
        <w:t xml:space="preserve"> documents </w:t>
      </w:r>
      <w:r w:rsidR="00003681">
        <w:rPr>
          <w:rFonts w:ascii="Arial" w:hAnsi="Arial" w:cs="Arial"/>
          <w:bCs/>
        </w:rPr>
        <w:t xml:space="preserve">are identical in their content. </w:t>
      </w:r>
      <w:r w:rsidR="00C170D3">
        <w:rPr>
          <w:rFonts w:ascii="Arial" w:hAnsi="Arial" w:cs="Arial"/>
          <w:bCs/>
        </w:rPr>
        <w:t>The first answering affidavit was</w:t>
      </w:r>
      <w:r w:rsidR="00003681">
        <w:rPr>
          <w:rFonts w:ascii="Arial" w:hAnsi="Arial" w:cs="Arial"/>
          <w:bCs/>
        </w:rPr>
        <w:t xml:space="preserve"> delivered out of time.</w:t>
      </w:r>
      <w:r w:rsidR="006C6A32">
        <w:rPr>
          <w:rFonts w:ascii="Arial" w:hAnsi="Arial" w:cs="Arial"/>
          <w:bCs/>
        </w:rPr>
        <w:t xml:space="preserve"> </w:t>
      </w:r>
      <w:r w:rsidR="00C170D3">
        <w:rPr>
          <w:rFonts w:ascii="Arial" w:hAnsi="Arial" w:cs="Arial"/>
          <w:bCs/>
        </w:rPr>
        <w:t xml:space="preserve">It follows that the second answering affidavit is also out of time for it was attested to after the first answering affidavit was delivered. </w:t>
      </w:r>
      <w:r w:rsidR="003D4CDF">
        <w:rPr>
          <w:rFonts w:ascii="Arial" w:hAnsi="Arial" w:cs="Arial"/>
          <w:bCs/>
        </w:rPr>
        <w:t>The respondent</w:t>
      </w:r>
      <w:r w:rsidR="007C63B9">
        <w:rPr>
          <w:rFonts w:ascii="Arial" w:hAnsi="Arial" w:cs="Arial"/>
          <w:bCs/>
        </w:rPr>
        <w:t xml:space="preserve"> now seeks condonation for the </w:t>
      </w:r>
      <w:r w:rsidR="003D4CDF">
        <w:rPr>
          <w:rFonts w:ascii="Arial" w:hAnsi="Arial" w:cs="Arial"/>
          <w:bCs/>
        </w:rPr>
        <w:t xml:space="preserve">late delivery of the </w:t>
      </w:r>
      <w:r w:rsidR="007C63B9">
        <w:rPr>
          <w:rFonts w:ascii="Arial" w:hAnsi="Arial" w:cs="Arial"/>
          <w:bCs/>
        </w:rPr>
        <w:t>second answering affidavit</w:t>
      </w:r>
      <w:r>
        <w:rPr>
          <w:rFonts w:ascii="Arial" w:hAnsi="Arial" w:cs="Arial"/>
          <w:bCs/>
        </w:rPr>
        <w:t xml:space="preserve"> and at the same time seeks to substitute the second answering affidavit for the first answering affidavit.</w:t>
      </w:r>
    </w:p>
    <w:p w14:paraId="7F3DBA65" w14:textId="77777777" w:rsidR="002F176E" w:rsidRPr="002F176E" w:rsidRDefault="002F176E" w:rsidP="002F176E">
      <w:pPr>
        <w:pStyle w:val="ListParagraph"/>
        <w:spacing w:line="360" w:lineRule="auto"/>
        <w:rPr>
          <w:rFonts w:ascii="Arial" w:hAnsi="Arial" w:cs="Arial"/>
        </w:rPr>
      </w:pPr>
    </w:p>
    <w:p w14:paraId="7E24BACF" w14:textId="77777777" w:rsidR="003D4CDF" w:rsidRPr="003D4CDF" w:rsidRDefault="002F176E" w:rsidP="002F176E">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lastRenderedPageBreak/>
        <w:t>The answering affidavits are documents that have been filed in the main application. They constitute an answer to the applicant’s attempts to liquidate the respondent.</w:t>
      </w:r>
      <w:r w:rsidRPr="003D4CDF">
        <w:rPr>
          <w:rFonts w:ascii="Arial" w:hAnsi="Arial" w:cs="Arial"/>
        </w:rPr>
        <w:t xml:space="preserve"> </w:t>
      </w:r>
      <w:r>
        <w:rPr>
          <w:rFonts w:ascii="Arial" w:hAnsi="Arial" w:cs="Arial"/>
        </w:rPr>
        <w:t xml:space="preserve">While the applicant has insisted on the respondent bringing </w:t>
      </w:r>
      <w:r w:rsidR="00136F87">
        <w:rPr>
          <w:rFonts w:ascii="Arial" w:hAnsi="Arial" w:cs="Arial"/>
        </w:rPr>
        <w:t>the</w:t>
      </w:r>
      <w:r>
        <w:rPr>
          <w:rFonts w:ascii="Arial" w:hAnsi="Arial" w:cs="Arial"/>
        </w:rPr>
        <w:t xml:space="preserve"> condonation application, significantly, it has already delivered its reply to the first answering affidavit in the main application.</w:t>
      </w:r>
    </w:p>
    <w:p w14:paraId="621F9CCB" w14:textId="77777777" w:rsidR="003D4CDF" w:rsidRPr="003D4CDF" w:rsidRDefault="003D4CDF" w:rsidP="003D4CDF">
      <w:pPr>
        <w:pStyle w:val="ListParagraph"/>
        <w:spacing w:line="360" w:lineRule="auto"/>
        <w:rPr>
          <w:rFonts w:ascii="Arial" w:hAnsi="Arial" w:cs="Arial"/>
          <w:bCs/>
        </w:rPr>
      </w:pPr>
    </w:p>
    <w:p w14:paraId="71CF12DA" w14:textId="21A4F0D7" w:rsidR="0037306D" w:rsidRPr="0037306D" w:rsidRDefault="00292BBB" w:rsidP="0037306D">
      <w:pPr>
        <w:pStyle w:val="ListParagraph"/>
        <w:numPr>
          <w:ilvl w:val="0"/>
          <w:numId w:val="8"/>
        </w:numPr>
        <w:tabs>
          <w:tab w:val="left" w:pos="709"/>
        </w:tabs>
        <w:spacing w:line="360" w:lineRule="auto"/>
        <w:ind w:left="0" w:firstLine="0"/>
        <w:jc w:val="both"/>
        <w:rPr>
          <w:rFonts w:asciiTheme="minorBidi" w:hAnsiTheme="minorBidi" w:cstheme="minorBidi"/>
        </w:rPr>
      </w:pPr>
      <w:r w:rsidRPr="00717769">
        <w:rPr>
          <w:rFonts w:ascii="Arial" w:hAnsi="Arial" w:cs="Arial"/>
        </w:rPr>
        <w:t xml:space="preserve">The </w:t>
      </w:r>
      <w:r w:rsidR="009F1A9F">
        <w:rPr>
          <w:rFonts w:ascii="Arial" w:hAnsi="Arial" w:cs="Arial"/>
        </w:rPr>
        <w:t xml:space="preserve">condonation </w:t>
      </w:r>
      <w:r w:rsidRPr="00717769">
        <w:rPr>
          <w:rFonts w:ascii="Arial" w:hAnsi="Arial" w:cs="Arial"/>
        </w:rPr>
        <w:t>application has been necessitated by what the deponent to the respondent’s founding affidavit, Mr Carlos Miranda (Mr Miranda), an attorney of this court, describes as a ‘comedy of errors</w:t>
      </w:r>
      <w:r w:rsidR="00A823D6">
        <w:rPr>
          <w:rFonts w:ascii="Arial" w:hAnsi="Arial" w:cs="Arial"/>
        </w:rPr>
        <w:t>’</w:t>
      </w:r>
      <w:r w:rsidRPr="00717769">
        <w:rPr>
          <w:rFonts w:ascii="Arial" w:hAnsi="Arial" w:cs="Arial"/>
        </w:rPr>
        <w:t xml:space="preserve">. </w:t>
      </w:r>
      <w:r w:rsidR="00717769" w:rsidRPr="00717769">
        <w:rPr>
          <w:rFonts w:ascii="Arial" w:hAnsi="Arial" w:cs="Arial"/>
        </w:rPr>
        <w:t>The ordinary meaning of that phrase is an</w:t>
      </w:r>
      <w:r w:rsidR="00717769" w:rsidRPr="00717769">
        <w:rPr>
          <w:rFonts w:asciiTheme="minorBidi" w:hAnsiTheme="minorBidi" w:cstheme="minorBidi"/>
          <w:color w:val="212529"/>
          <w:shd w:val="clear" w:color="auto" w:fill="FFFFFF"/>
        </w:rPr>
        <w:t xml:space="preserve"> event or series of events made ridiculous by the number of errors that </w:t>
      </w:r>
      <w:r w:rsidR="00392771">
        <w:rPr>
          <w:rFonts w:asciiTheme="minorBidi" w:hAnsiTheme="minorBidi" w:cstheme="minorBidi"/>
          <w:color w:val="212529"/>
          <w:shd w:val="clear" w:color="auto" w:fill="FFFFFF"/>
        </w:rPr>
        <w:t>have been</w:t>
      </w:r>
      <w:r w:rsidR="00717769" w:rsidRPr="00717769">
        <w:rPr>
          <w:rFonts w:asciiTheme="minorBidi" w:hAnsiTheme="minorBidi" w:cstheme="minorBidi"/>
          <w:color w:val="212529"/>
          <w:shd w:val="clear" w:color="auto" w:fill="FFFFFF"/>
        </w:rPr>
        <w:t xml:space="preserve"> made throughout</w:t>
      </w:r>
      <w:r w:rsidR="00717769">
        <w:rPr>
          <w:rFonts w:asciiTheme="minorBidi" w:hAnsiTheme="minorBidi" w:cstheme="minorBidi"/>
          <w:color w:val="212529"/>
          <w:shd w:val="clear" w:color="auto" w:fill="FFFFFF"/>
        </w:rPr>
        <w:t>.</w:t>
      </w:r>
      <w:r w:rsidR="00EE4FB0">
        <w:rPr>
          <w:rStyle w:val="FootnoteReference"/>
          <w:rFonts w:asciiTheme="minorBidi" w:hAnsiTheme="minorBidi" w:cstheme="minorBidi"/>
          <w:color w:val="212529"/>
          <w:shd w:val="clear" w:color="auto" w:fill="FFFFFF"/>
        </w:rPr>
        <w:footnoteReference w:id="1"/>
      </w:r>
      <w:r w:rsidR="00EE4FB0">
        <w:rPr>
          <w:rFonts w:asciiTheme="minorBidi" w:hAnsiTheme="minorBidi" w:cstheme="minorBidi"/>
          <w:color w:val="212529"/>
          <w:shd w:val="clear" w:color="auto" w:fill="FFFFFF"/>
        </w:rPr>
        <w:t xml:space="preserve"> </w:t>
      </w:r>
      <w:r w:rsidR="003A570F">
        <w:rPr>
          <w:rFonts w:asciiTheme="minorBidi" w:hAnsiTheme="minorBidi" w:cstheme="minorBidi"/>
          <w:color w:val="212529"/>
          <w:shd w:val="clear" w:color="auto" w:fill="FFFFFF"/>
        </w:rPr>
        <w:t>The applicant</w:t>
      </w:r>
      <w:r w:rsidR="003A570F">
        <w:rPr>
          <w:rFonts w:ascii="Arial" w:hAnsi="Arial" w:cs="Arial"/>
        </w:rPr>
        <w:t xml:space="preserve"> does not see </w:t>
      </w:r>
      <w:r w:rsidR="00A823D6">
        <w:rPr>
          <w:rFonts w:ascii="Arial" w:hAnsi="Arial" w:cs="Arial"/>
        </w:rPr>
        <w:t xml:space="preserve">the </w:t>
      </w:r>
      <w:r w:rsidR="003A570F">
        <w:rPr>
          <w:rFonts w:ascii="Arial" w:hAnsi="Arial" w:cs="Arial"/>
        </w:rPr>
        <w:t>events in the same light and does</w:t>
      </w:r>
      <w:r w:rsidR="00EE4FB0">
        <w:rPr>
          <w:rFonts w:asciiTheme="minorBidi" w:hAnsiTheme="minorBidi" w:cstheme="minorBidi"/>
          <w:color w:val="212529"/>
          <w:shd w:val="clear" w:color="auto" w:fill="FFFFFF"/>
        </w:rPr>
        <w:t xml:space="preserve"> not recognise that any errors have been made</w:t>
      </w:r>
      <w:r w:rsidR="003A570F">
        <w:rPr>
          <w:rFonts w:asciiTheme="minorBidi" w:hAnsiTheme="minorBidi" w:cstheme="minorBidi"/>
          <w:color w:val="212529"/>
          <w:shd w:val="clear" w:color="auto" w:fill="FFFFFF"/>
        </w:rPr>
        <w:t>. I</w:t>
      </w:r>
      <w:r w:rsidR="009A0593">
        <w:rPr>
          <w:rFonts w:asciiTheme="minorBidi" w:hAnsiTheme="minorBidi" w:cstheme="minorBidi"/>
          <w:color w:val="212529"/>
          <w:shd w:val="clear" w:color="auto" w:fill="FFFFFF"/>
        </w:rPr>
        <w:t>f I have understood its case correctly, i</w:t>
      </w:r>
      <w:r w:rsidR="003A570F">
        <w:rPr>
          <w:rFonts w:asciiTheme="minorBidi" w:hAnsiTheme="minorBidi" w:cstheme="minorBidi"/>
          <w:color w:val="212529"/>
          <w:shd w:val="clear" w:color="auto" w:fill="FFFFFF"/>
        </w:rPr>
        <w:t>t</w:t>
      </w:r>
      <w:r w:rsidR="00EE4FB0">
        <w:rPr>
          <w:rFonts w:asciiTheme="minorBidi" w:hAnsiTheme="minorBidi" w:cstheme="minorBidi"/>
          <w:color w:val="212529"/>
          <w:shd w:val="clear" w:color="auto" w:fill="FFFFFF"/>
        </w:rPr>
        <w:t xml:space="preserve"> asserts that </w:t>
      </w:r>
      <w:r w:rsidR="00632E51">
        <w:rPr>
          <w:rFonts w:asciiTheme="minorBidi" w:hAnsiTheme="minorBidi" w:cstheme="minorBidi"/>
          <w:color w:val="212529"/>
          <w:shd w:val="clear" w:color="auto" w:fill="FFFFFF"/>
        </w:rPr>
        <w:t xml:space="preserve">the respondent has acted purposefully and with design to </w:t>
      </w:r>
      <w:r w:rsidR="003A570F">
        <w:rPr>
          <w:rFonts w:asciiTheme="minorBidi" w:hAnsiTheme="minorBidi" w:cstheme="minorBidi"/>
          <w:color w:val="212529"/>
          <w:shd w:val="clear" w:color="auto" w:fill="FFFFFF"/>
        </w:rPr>
        <w:t xml:space="preserve">delay </w:t>
      </w:r>
      <w:r w:rsidR="009A0593">
        <w:rPr>
          <w:rFonts w:asciiTheme="minorBidi" w:hAnsiTheme="minorBidi" w:cstheme="minorBidi"/>
          <w:color w:val="212529"/>
          <w:shd w:val="clear" w:color="auto" w:fill="FFFFFF"/>
        </w:rPr>
        <w:t>the main application</w:t>
      </w:r>
      <w:r w:rsidR="003A570F">
        <w:rPr>
          <w:rFonts w:asciiTheme="minorBidi" w:hAnsiTheme="minorBidi" w:cstheme="minorBidi"/>
          <w:color w:val="212529"/>
          <w:shd w:val="clear" w:color="auto" w:fill="FFFFFF"/>
        </w:rPr>
        <w:t xml:space="preserve"> an</w:t>
      </w:r>
      <w:r w:rsidR="00F254B5">
        <w:rPr>
          <w:rFonts w:asciiTheme="minorBidi" w:hAnsiTheme="minorBidi" w:cstheme="minorBidi"/>
          <w:color w:val="212529"/>
          <w:shd w:val="clear" w:color="auto" w:fill="FFFFFF"/>
        </w:rPr>
        <w:t>d</w:t>
      </w:r>
      <w:r w:rsidR="003A570F">
        <w:rPr>
          <w:rFonts w:asciiTheme="minorBidi" w:hAnsiTheme="minorBidi" w:cstheme="minorBidi"/>
          <w:color w:val="212529"/>
          <w:shd w:val="clear" w:color="auto" w:fill="FFFFFF"/>
        </w:rPr>
        <w:t xml:space="preserve"> </w:t>
      </w:r>
      <w:r w:rsidR="00080260">
        <w:rPr>
          <w:rFonts w:asciiTheme="minorBidi" w:hAnsiTheme="minorBidi" w:cstheme="minorBidi"/>
          <w:color w:val="212529"/>
          <w:shd w:val="clear" w:color="auto" w:fill="FFFFFF"/>
        </w:rPr>
        <w:t xml:space="preserve">that </w:t>
      </w:r>
      <w:r w:rsidR="003A570F">
        <w:rPr>
          <w:rFonts w:asciiTheme="minorBidi" w:hAnsiTheme="minorBidi" w:cstheme="minorBidi"/>
          <w:color w:val="212529"/>
          <w:shd w:val="clear" w:color="auto" w:fill="FFFFFF"/>
        </w:rPr>
        <w:t>no errors have the</w:t>
      </w:r>
      <w:r w:rsidR="00F254B5">
        <w:rPr>
          <w:rFonts w:asciiTheme="minorBidi" w:hAnsiTheme="minorBidi" w:cstheme="minorBidi"/>
          <w:color w:val="212529"/>
          <w:shd w:val="clear" w:color="auto" w:fill="FFFFFF"/>
        </w:rPr>
        <w:t>ref</w:t>
      </w:r>
      <w:r w:rsidR="003A570F">
        <w:rPr>
          <w:rFonts w:asciiTheme="minorBidi" w:hAnsiTheme="minorBidi" w:cstheme="minorBidi"/>
          <w:color w:val="212529"/>
          <w:shd w:val="clear" w:color="auto" w:fill="FFFFFF"/>
        </w:rPr>
        <w:t>ore occurred.</w:t>
      </w:r>
    </w:p>
    <w:p w14:paraId="30131FBF" w14:textId="77777777" w:rsidR="008A39E6" w:rsidRPr="00717769" w:rsidRDefault="0037306D" w:rsidP="0037306D">
      <w:pPr>
        <w:pStyle w:val="ListParagraph"/>
        <w:tabs>
          <w:tab w:val="left" w:pos="709"/>
        </w:tabs>
        <w:spacing w:line="360" w:lineRule="auto"/>
        <w:ind w:left="0"/>
        <w:jc w:val="both"/>
        <w:rPr>
          <w:rFonts w:asciiTheme="minorBidi" w:hAnsiTheme="minorBidi" w:cstheme="minorBidi"/>
        </w:rPr>
      </w:pPr>
      <w:r w:rsidRPr="00717769">
        <w:rPr>
          <w:rFonts w:asciiTheme="minorBidi" w:hAnsiTheme="minorBidi" w:cstheme="minorBidi"/>
        </w:rPr>
        <w:t xml:space="preserve"> </w:t>
      </w:r>
    </w:p>
    <w:p w14:paraId="68B5A140" w14:textId="77777777" w:rsidR="008A39E6" w:rsidRPr="00CB7160" w:rsidRDefault="008A39E6" w:rsidP="008A39E6">
      <w:pPr>
        <w:pStyle w:val="ListParagraph"/>
        <w:numPr>
          <w:ilvl w:val="0"/>
          <w:numId w:val="8"/>
        </w:numPr>
        <w:tabs>
          <w:tab w:val="left" w:pos="709"/>
        </w:tabs>
        <w:spacing w:line="360" w:lineRule="auto"/>
        <w:ind w:left="0" w:firstLine="0"/>
        <w:jc w:val="both"/>
        <w:rPr>
          <w:rFonts w:ascii="Arial" w:hAnsi="Arial" w:cs="Arial"/>
          <w:color w:val="242121"/>
          <w:sz w:val="22"/>
          <w:szCs w:val="22"/>
        </w:rPr>
      </w:pPr>
      <w:r>
        <w:rPr>
          <w:rFonts w:ascii="Arial" w:hAnsi="Arial" w:cs="Arial"/>
        </w:rPr>
        <w:t>T</w:t>
      </w:r>
      <w:r w:rsidRPr="00CB7160">
        <w:rPr>
          <w:rFonts w:ascii="Arial" w:hAnsi="Arial" w:cs="Arial"/>
        </w:rPr>
        <w:t>he test to be applied when considering a condonation application is not a thing of mystery and is well known. The Supreme Court of Appeal has noted that:</w:t>
      </w:r>
    </w:p>
    <w:p w14:paraId="1AF7FD4D" w14:textId="77777777" w:rsidR="008A39E6" w:rsidRDefault="008A39E6" w:rsidP="008A2E71">
      <w:pPr>
        <w:pStyle w:val="ListParagraph"/>
        <w:tabs>
          <w:tab w:val="left" w:pos="709"/>
        </w:tabs>
        <w:spacing w:line="360" w:lineRule="auto"/>
        <w:ind w:left="0"/>
        <w:jc w:val="both"/>
        <w:rPr>
          <w:rFonts w:ascii="Arial" w:hAnsi="Arial" w:cs="Arial"/>
          <w:color w:val="242121"/>
          <w:sz w:val="22"/>
          <w:szCs w:val="22"/>
        </w:rPr>
      </w:pPr>
      <w:r w:rsidRPr="00DE7129">
        <w:rPr>
          <w:rFonts w:ascii="Arial" w:hAnsi="Arial" w:cs="Arial"/>
          <w:color w:val="242121"/>
          <w:sz w:val="22"/>
          <w:szCs w:val="22"/>
        </w:rPr>
        <w:t>‘</w:t>
      </w:r>
      <w:r w:rsidR="00EF0607">
        <w:rPr>
          <w:rFonts w:ascii="Arial" w:hAnsi="Arial" w:cs="Arial"/>
          <w:color w:val="242121"/>
          <w:sz w:val="22"/>
          <w:szCs w:val="22"/>
        </w:rPr>
        <w:t xml:space="preserve">. . . </w:t>
      </w:r>
      <w:r w:rsidR="00EF0607" w:rsidRPr="00EF0607">
        <w:rPr>
          <w:rFonts w:ascii="Arial" w:hAnsi="Arial" w:cs="Arial"/>
          <w:color w:val="242121"/>
          <w:sz w:val="22"/>
          <w:szCs w:val="22"/>
          <w:lang w:val="en-US"/>
        </w:rPr>
        <w:t>condonation is not to be had merely for the asking; a full, detailed and accurate account of the causes of the delay and their effects must be furnished so as to enable the court to understand clearly the reasons and to assess the responsibility</w:t>
      </w:r>
      <w:r w:rsidRPr="00DE7129">
        <w:rPr>
          <w:rFonts w:ascii="Arial" w:hAnsi="Arial" w:cs="Arial"/>
          <w:color w:val="242121"/>
          <w:sz w:val="22"/>
          <w:szCs w:val="22"/>
        </w:rPr>
        <w:t>.’</w:t>
      </w:r>
      <w:r>
        <w:rPr>
          <w:rStyle w:val="FootnoteReference"/>
          <w:rFonts w:ascii="Arial" w:hAnsi="Arial" w:cs="Arial"/>
          <w:color w:val="242121"/>
          <w:sz w:val="22"/>
          <w:szCs w:val="22"/>
        </w:rPr>
        <w:footnoteReference w:id="2"/>
      </w:r>
    </w:p>
    <w:p w14:paraId="36BD3FC6" w14:textId="77777777" w:rsidR="008A39E6" w:rsidRDefault="008A39E6" w:rsidP="008A39E6">
      <w:pPr>
        <w:pStyle w:val="ListParagraph"/>
        <w:tabs>
          <w:tab w:val="left" w:pos="709"/>
        </w:tabs>
        <w:spacing w:line="360" w:lineRule="auto"/>
        <w:ind w:left="0"/>
        <w:jc w:val="both"/>
        <w:rPr>
          <w:rFonts w:ascii="Arial" w:hAnsi="Arial" w:cs="Arial"/>
          <w:color w:val="242121"/>
        </w:rPr>
      </w:pPr>
      <w:r>
        <w:rPr>
          <w:rFonts w:ascii="Arial" w:hAnsi="Arial" w:cs="Arial"/>
          <w:color w:val="242121"/>
        </w:rPr>
        <w:t>The court went on to state that:</w:t>
      </w:r>
    </w:p>
    <w:p w14:paraId="15446FBD" w14:textId="77777777" w:rsidR="008A39E6" w:rsidRPr="00DE7129" w:rsidRDefault="008A39E6" w:rsidP="00CE44C8">
      <w:pPr>
        <w:pStyle w:val="ListParagraph"/>
        <w:tabs>
          <w:tab w:val="left" w:pos="709"/>
        </w:tabs>
        <w:spacing w:line="360" w:lineRule="auto"/>
        <w:ind w:left="0"/>
        <w:jc w:val="both"/>
        <w:rPr>
          <w:rFonts w:ascii="Verdana" w:hAnsi="Verdana"/>
          <w:color w:val="242121"/>
          <w:sz w:val="22"/>
          <w:szCs w:val="22"/>
        </w:rPr>
      </w:pPr>
      <w:r w:rsidRPr="00DE7129">
        <w:rPr>
          <w:rFonts w:ascii="Arial" w:hAnsi="Arial" w:cs="Arial"/>
          <w:color w:val="242121"/>
          <w:sz w:val="22"/>
          <w:szCs w:val="22"/>
        </w:rPr>
        <w:t>‘</w:t>
      </w:r>
      <w:r w:rsidR="00EF0607">
        <w:rPr>
          <w:rFonts w:ascii="Arial" w:hAnsi="Arial" w:cs="Arial"/>
          <w:color w:val="242121"/>
          <w:sz w:val="22"/>
          <w:szCs w:val="22"/>
        </w:rPr>
        <w:t xml:space="preserve">. . . </w:t>
      </w:r>
      <w:r w:rsidRPr="00DE7129">
        <w:rPr>
          <w:rFonts w:ascii="Arial" w:hAnsi="Arial" w:cs="Arial"/>
          <w:color w:val="242121"/>
          <w:sz w:val="22"/>
          <w:szCs w:val="22"/>
        </w:rPr>
        <w:t>if the non-compliance is time-related, then the date, duration and extent of any obstacle on which reliance is placed must be spelled out.’</w:t>
      </w:r>
      <w:r>
        <w:rPr>
          <w:rStyle w:val="FootnoteReference"/>
          <w:rFonts w:ascii="Arial" w:hAnsi="Arial" w:cs="Arial"/>
          <w:color w:val="242121"/>
          <w:sz w:val="22"/>
          <w:szCs w:val="22"/>
        </w:rPr>
        <w:footnoteReference w:id="3"/>
      </w:r>
    </w:p>
    <w:p w14:paraId="7D7F7335" w14:textId="77777777" w:rsidR="0037306D" w:rsidRPr="0037306D" w:rsidRDefault="0037306D" w:rsidP="00CE44C8">
      <w:pPr>
        <w:pStyle w:val="ListParagraph"/>
        <w:spacing w:line="360" w:lineRule="auto"/>
        <w:rPr>
          <w:rFonts w:asciiTheme="minorBidi" w:hAnsiTheme="minorBidi" w:cstheme="minorBidi"/>
        </w:rPr>
      </w:pPr>
    </w:p>
    <w:p w14:paraId="1D73B862" w14:textId="77777777" w:rsidR="0037306D" w:rsidRPr="0037306D" w:rsidRDefault="0037306D" w:rsidP="00CE44C8">
      <w:pPr>
        <w:pStyle w:val="ListParagraph"/>
        <w:numPr>
          <w:ilvl w:val="0"/>
          <w:numId w:val="8"/>
        </w:numPr>
        <w:tabs>
          <w:tab w:val="left" w:pos="709"/>
        </w:tabs>
        <w:spacing w:line="360" w:lineRule="auto"/>
        <w:ind w:left="0" w:firstLine="0"/>
        <w:jc w:val="both"/>
        <w:rPr>
          <w:rFonts w:asciiTheme="minorBidi" w:hAnsiTheme="minorBidi" w:cstheme="minorBidi"/>
        </w:rPr>
      </w:pPr>
      <w:r w:rsidRPr="0037306D">
        <w:rPr>
          <w:rFonts w:asciiTheme="minorBidi" w:hAnsiTheme="minorBidi" w:cstheme="minorBidi"/>
        </w:rPr>
        <w:t xml:space="preserve">In </w:t>
      </w:r>
      <w:r w:rsidRPr="0037306D">
        <w:rPr>
          <w:rFonts w:ascii="Arial" w:hAnsi="Arial" w:cs="Arial"/>
          <w:i/>
          <w:lang w:val="en-GB" w:bidi="ar-SA"/>
        </w:rPr>
        <w:t xml:space="preserve">Van Wyk v Unitas Hospital and </w:t>
      </w:r>
      <w:r w:rsidR="00EF0607" w:rsidRPr="0037306D">
        <w:rPr>
          <w:rFonts w:ascii="Arial" w:hAnsi="Arial" w:cs="Arial"/>
          <w:i/>
          <w:lang w:val="en-GB" w:bidi="ar-SA"/>
        </w:rPr>
        <w:t>another</w:t>
      </w:r>
      <w:r>
        <w:rPr>
          <w:rFonts w:ascii="Arial" w:hAnsi="Arial" w:cs="Arial"/>
          <w:lang w:val="en-GB" w:bidi="ar-SA"/>
        </w:rPr>
        <w:t>,</w:t>
      </w:r>
      <w:r>
        <w:rPr>
          <w:rStyle w:val="FootnoteReference"/>
          <w:rFonts w:ascii="Arial" w:hAnsi="Arial" w:cs="Arial"/>
          <w:lang w:val="en-GB" w:bidi="ar-SA"/>
        </w:rPr>
        <w:footnoteReference w:id="4"/>
      </w:r>
      <w:r>
        <w:rPr>
          <w:rFonts w:ascii="Arial" w:hAnsi="Arial" w:cs="Arial"/>
          <w:lang w:val="en-GB" w:bidi="ar-SA"/>
        </w:rPr>
        <w:t xml:space="preserve"> the Constitutional Court stated that:</w:t>
      </w:r>
    </w:p>
    <w:p w14:paraId="7B755274" w14:textId="77777777" w:rsidR="0037306D" w:rsidRDefault="0037306D" w:rsidP="00CE44C8">
      <w:pPr>
        <w:pStyle w:val="ListParagraph"/>
        <w:tabs>
          <w:tab w:val="left" w:pos="709"/>
        </w:tabs>
        <w:spacing w:line="360" w:lineRule="auto"/>
        <w:ind w:left="0"/>
        <w:jc w:val="both"/>
        <w:rPr>
          <w:rFonts w:ascii="Arial" w:hAnsi="Arial" w:cs="Arial"/>
          <w:color w:val="242121"/>
          <w:sz w:val="22"/>
          <w:szCs w:val="22"/>
        </w:rPr>
      </w:pPr>
      <w:r w:rsidRPr="0037306D">
        <w:rPr>
          <w:rFonts w:ascii="Arial" w:hAnsi="Arial" w:cs="Arial"/>
          <w:color w:val="242121"/>
          <w:sz w:val="22"/>
          <w:szCs w:val="22"/>
        </w:rPr>
        <w:t>‘</w:t>
      </w:r>
      <w:r w:rsidRPr="00D77C18">
        <w:rPr>
          <w:rFonts w:ascii="Arial" w:hAnsi="Arial" w:cs="Arial"/>
          <w:color w:val="242121"/>
          <w:sz w:val="22"/>
          <w:szCs w:val="22"/>
        </w:rPr>
        <w:t>An applicant for condonation must give a full explanation for the delay. In addition, the explanation must cover the entire period of delay. And, what is more, the explanation given must be reasonable.</w:t>
      </w:r>
      <w:r w:rsidRPr="0037306D">
        <w:rPr>
          <w:rFonts w:ascii="Arial" w:hAnsi="Arial" w:cs="Arial"/>
          <w:color w:val="242121"/>
          <w:sz w:val="22"/>
          <w:szCs w:val="22"/>
        </w:rPr>
        <w:t>’</w:t>
      </w:r>
      <w:r w:rsidRPr="00D77C18">
        <w:rPr>
          <w:rFonts w:ascii="Arial" w:hAnsi="Arial" w:cs="Arial"/>
          <w:color w:val="242121"/>
          <w:sz w:val="22"/>
          <w:szCs w:val="22"/>
        </w:rPr>
        <w:t> </w:t>
      </w:r>
    </w:p>
    <w:p w14:paraId="5EE91796" w14:textId="77777777" w:rsidR="0037306D" w:rsidRPr="0037306D" w:rsidRDefault="0037306D" w:rsidP="0037306D">
      <w:pPr>
        <w:pStyle w:val="ListParagraph"/>
        <w:tabs>
          <w:tab w:val="left" w:pos="709"/>
        </w:tabs>
        <w:spacing w:line="360" w:lineRule="auto"/>
        <w:ind w:left="0"/>
        <w:jc w:val="both"/>
        <w:rPr>
          <w:rFonts w:ascii="Arial" w:hAnsi="Arial" w:cs="Arial"/>
          <w:sz w:val="22"/>
          <w:szCs w:val="22"/>
        </w:rPr>
      </w:pPr>
    </w:p>
    <w:p w14:paraId="2F3AC19D" w14:textId="77777777" w:rsidR="008A39E6" w:rsidRPr="008C2D2A" w:rsidRDefault="008A39E6" w:rsidP="008A39E6">
      <w:pPr>
        <w:pStyle w:val="ListParagraph"/>
        <w:numPr>
          <w:ilvl w:val="0"/>
          <w:numId w:val="8"/>
        </w:numPr>
        <w:tabs>
          <w:tab w:val="left" w:pos="709"/>
        </w:tabs>
        <w:spacing w:line="360" w:lineRule="auto"/>
        <w:ind w:left="0" w:firstLine="0"/>
        <w:jc w:val="both"/>
        <w:rPr>
          <w:rFonts w:ascii="Arial" w:hAnsi="Arial" w:cs="Arial"/>
        </w:rPr>
      </w:pPr>
      <w:r w:rsidRPr="004A02FD">
        <w:rPr>
          <w:rFonts w:ascii="Arial" w:hAnsi="Arial" w:cs="Arial"/>
        </w:rPr>
        <w:lastRenderedPageBreak/>
        <w:t xml:space="preserve">A court </w:t>
      </w:r>
      <w:r>
        <w:rPr>
          <w:rFonts w:ascii="Arial" w:hAnsi="Arial" w:cs="Arial"/>
        </w:rPr>
        <w:t>considering a condonation application</w:t>
      </w:r>
      <w:r w:rsidRPr="004A02FD">
        <w:rPr>
          <w:rFonts w:ascii="Arial" w:hAnsi="Arial" w:cs="Arial"/>
        </w:rPr>
        <w:t xml:space="preserve"> has a discretion that it must exercise judicially. In assessing the merits of such an application, the court makes a value judgment largely founded on the facts of the matter.</w:t>
      </w:r>
      <w:r>
        <w:rPr>
          <w:rStyle w:val="FootnoteReference"/>
          <w:rFonts w:ascii="Arial" w:hAnsi="Arial" w:cs="Arial"/>
        </w:rPr>
        <w:footnoteReference w:id="5"/>
      </w:r>
      <w:r>
        <w:rPr>
          <w:rFonts w:ascii="Arial" w:hAnsi="Arial" w:cs="Arial"/>
        </w:rPr>
        <w:t xml:space="preserve"> </w:t>
      </w:r>
      <w:r w:rsidRPr="008C2D2A">
        <w:rPr>
          <w:rFonts w:ascii="Arial" w:hAnsi="Arial" w:cs="Arial"/>
        </w:rPr>
        <w:t>Ultimately,</w:t>
      </w:r>
      <w:r>
        <w:rPr>
          <w:rFonts w:ascii="Arial" w:hAnsi="Arial" w:cs="Arial"/>
        </w:rPr>
        <w:t xml:space="preserve"> </w:t>
      </w:r>
      <w:r w:rsidRPr="008C2D2A">
        <w:rPr>
          <w:rFonts w:ascii="Arial" w:hAnsi="Arial" w:cs="Arial"/>
        </w:rPr>
        <w:t xml:space="preserve">the </w:t>
      </w:r>
      <w:r>
        <w:rPr>
          <w:rFonts w:ascii="Arial" w:hAnsi="Arial" w:cs="Arial"/>
        </w:rPr>
        <w:t>consideration uppermost in the court’s mind will be the</w:t>
      </w:r>
      <w:r w:rsidRPr="008C2D2A">
        <w:rPr>
          <w:rFonts w:ascii="Arial" w:hAnsi="Arial" w:cs="Arial"/>
        </w:rPr>
        <w:t xml:space="preserve"> interests of justice.</w:t>
      </w:r>
      <w:r w:rsidR="00DA1EB5">
        <w:rPr>
          <w:rStyle w:val="FootnoteReference"/>
          <w:rFonts w:ascii="Arial" w:hAnsi="Arial" w:cs="Arial"/>
        </w:rPr>
        <w:footnoteReference w:id="6"/>
      </w:r>
      <w:r w:rsidRPr="008C2D2A">
        <w:rPr>
          <w:rFonts w:ascii="Arial" w:hAnsi="Arial" w:cs="Arial"/>
        </w:rPr>
        <w:t xml:space="preserve"> </w:t>
      </w:r>
      <w:r>
        <w:rPr>
          <w:rFonts w:ascii="Arial" w:hAnsi="Arial" w:cs="Arial"/>
        </w:rPr>
        <w:t>That will require a consideration,</w:t>
      </w:r>
      <w:r w:rsidRPr="008C2D2A">
        <w:rPr>
          <w:rFonts w:ascii="Arial" w:hAnsi="Arial" w:cs="Arial"/>
        </w:rPr>
        <w:t xml:space="preserve"> inter alia, </w:t>
      </w:r>
      <w:r>
        <w:rPr>
          <w:rFonts w:ascii="Arial" w:hAnsi="Arial" w:cs="Arial"/>
        </w:rPr>
        <w:t xml:space="preserve">of </w:t>
      </w:r>
      <w:r w:rsidRPr="008C2D2A">
        <w:rPr>
          <w:rFonts w:ascii="Arial" w:hAnsi="Arial" w:cs="Arial"/>
        </w:rPr>
        <w:t xml:space="preserve">the </w:t>
      </w:r>
      <w:r w:rsidRPr="008C2D2A">
        <w:rPr>
          <w:rFonts w:ascii="Arial" w:hAnsi="Arial" w:cs="Arial"/>
          <w:color w:val="000000"/>
        </w:rPr>
        <w:t>nature of the relief sought</w:t>
      </w:r>
      <w:r w:rsidRPr="008C2D2A">
        <w:rPr>
          <w:rFonts w:ascii="Arial" w:hAnsi="Arial" w:cs="Arial"/>
          <w:color w:val="242121"/>
        </w:rPr>
        <w:t xml:space="preserve">, </w:t>
      </w:r>
      <w:r w:rsidR="00E67842">
        <w:rPr>
          <w:rFonts w:ascii="Arial" w:hAnsi="Arial" w:cs="Arial"/>
          <w:color w:val="242121"/>
        </w:rPr>
        <w:t>‘</w:t>
      </w:r>
      <w:r w:rsidRPr="008C2D2A">
        <w:rPr>
          <w:rFonts w:ascii="Arial" w:hAnsi="Arial" w:cs="Arial"/>
          <w:color w:val="242121"/>
        </w:rPr>
        <w:t>the degree of non-compliance, the explanation therefor, the importance of the case</w:t>
      </w:r>
      <w:r w:rsidR="00E67842">
        <w:rPr>
          <w:rFonts w:ascii="Arial" w:hAnsi="Arial" w:cs="Arial"/>
          <w:color w:val="242121"/>
        </w:rPr>
        <w:t>’</w:t>
      </w:r>
      <w:r w:rsidRPr="008C2D2A">
        <w:rPr>
          <w:rFonts w:ascii="Arial" w:hAnsi="Arial" w:cs="Arial"/>
          <w:color w:val="242121"/>
        </w:rPr>
        <w:t xml:space="preserve">, a respondent’s interest in the finality of the </w:t>
      </w:r>
      <w:r w:rsidR="00C170D3">
        <w:rPr>
          <w:rFonts w:ascii="Arial" w:hAnsi="Arial" w:cs="Arial"/>
          <w:color w:val="242121"/>
        </w:rPr>
        <w:t>matter</w:t>
      </w:r>
      <w:r w:rsidRPr="008C2D2A">
        <w:rPr>
          <w:rFonts w:ascii="Arial" w:hAnsi="Arial" w:cs="Arial"/>
          <w:color w:val="242121"/>
        </w:rPr>
        <w:t xml:space="preserve">, </w:t>
      </w:r>
      <w:r w:rsidR="00E67842">
        <w:rPr>
          <w:rFonts w:ascii="Arial" w:hAnsi="Arial" w:cs="Arial"/>
          <w:color w:val="242121"/>
        </w:rPr>
        <w:t>‘</w:t>
      </w:r>
      <w:r w:rsidRPr="008C2D2A">
        <w:rPr>
          <w:rFonts w:ascii="Arial" w:hAnsi="Arial" w:cs="Arial"/>
          <w:color w:val="242121"/>
        </w:rPr>
        <w:t xml:space="preserve">the convenience of the </w:t>
      </w:r>
      <w:r w:rsidR="00E67842" w:rsidRPr="008C2D2A">
        <w:rPr>
          <w:rFonts w:ascii="Arial" w:hAnsi="Arial" w:cs="Arial"/>
          <w:color w:val="242121"/>
        </w:rPr>
        <w:t xml:space="preserve">Court </w:t>
      </w:r>
      <w:r w:rsidRPr="008C2D2A">
        <w:rPr>
          <w:rFonts w:ascii="Arial" w:hAnsi="Arial" w:cs="Arial"/>
          <w:color w:val="242121"/>
        </w:rPr>
        <w:t>and the avoidance of unnecessary delay in the administration of justice</w:t>
      </w:r>
      <w:r w:rsidR="00E67842">
        <w:rPr>
          <w:rFonts w:ascii="Arial" w:hAnsi="Arial" w:cs="Arial"/>
          <w:color w:val="242121"/>
        </w:rPr>
        <w:t>’</w:t>
      </w:r>
      <w:r w:rsidRPr="008C2D2A">
        <w:rPr>
          <w:rFonts w:ascii="Arial" w:hAnsi="Arial" w:cs="Arial"/>
          <w:color w:val="242121"/>
        </w:rPr>
        <w:t>.</w:t>
      </w:r>
      <w:r>
        <w:rPr>
          <w:rStyle w:val="FootnoteReference"/>
          <w:rFonts w:ascii="Arial" w:hAnsi="Arial" w:cs="Arial"/>
          <w:color w:val="242121"/>
        </w:rPr>
        <w:footnoteReference w:id="7"/>
      </w:r>
      <w:r w:rsidRPr="008C2D2A">
        <w:rPr>
          <w:rFonts w:ascii="Arial" w:hAnsi="Arial" w:cs="Arial"/>
        </w:rPr>
        <w:t xml:space="preserve"> </w:t>
      </w:r>
    </w:p>
    <w:p w14:paraId="7C2281FE" w14:textId="77777777" w:rsidR="00717769" w:rsidRPr="00717769" w:rsidRDefault="00717769" w:rsidP="00717769">
      <w:pPr>
        <w:pStyle w:val="ListParagraph"/>
        <w:tabs>
          <w:tab w:val="left" w:pos="709"/>
        </w:tabs>
        <w:spacing w:line="360" w:lineRule="auto"/>
        <w:ind w:left="0"/>
        <w:jc w:val="both"/>
        <w:rPr>
          <w:rFonts w:asciiTheme="minorBidi" w:hAnsiTheme="minorBidi" w:cstheme="minorBidi"/>
        </w:rPr>
      </w:pPr>
    </w:p>
    <w:p w14:paraId="52E1E4EF" w14:textId="77777777" w:rsidR="00314FE1" w:rsidRDefault="008A39E6" w:rsidP="00314FE1">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In support of its</w:t>
      </w:r>
      <w:r w:rsidR="00642B7E">
        <w:rPr>
          <w:rFonts w:ascii="Arial" w:hAnsi="Arial" w:cs="Arial"/>
        </w:rPr>
        <w:t xml:space="preserve"> application, </w:t>
      </w:r>
      <w:r w:rsidR="00040268">
        <w:rPr>
          <w:rFonts w:ascii="Arial" w:hAnsi="Arial" w:cs="Arial"/>
        </w:rPr>
        <w:t>Mr Miranda</w:t>
      </w:r>
      <w:r w:rsidR="00966958">
        <w:rPr>
          <w:rFonts w:ascii="Arial" w:hAnsi="Arial" w:cs="Arial"/>
        </w:rPr>
        <w:t xml:space="preserve"> states that </w:t>
      </w:r>
      <w:r w:rsidR="00314FE1">
        <w:rPr>
          <w:rFonts w:ascii="Arial" w:hAnsi="Arial" w:cs="Arial"/>
        </w:rPr>
        <w:t xml:space="preserve">by agreement with the applicant’s attorneys, </w:t>
      </w:r>
      <w:r w:rsidR="00040268">
        <w:rPr>
          <w:rFonts w:ascii="Arial" w:hAnsi="Arial" w:cs="Arial"/>
        </w:rPr>
        <w:t>the respondent</w:t>
      </w:r>
      <w:r w:rsidR="00966958">
        <w:rPr>
          <w:rFonts w:ascii="Arial" w:hAnsi="Arial" w:cs="Arial"/>
        </w:rPr>
        <w:t xml:space="preserve"> was required to deliver its answering affidavit </w:t>
      </w:r>
      <w:r w:rsidR="00136F87">
        <w:rPr>
          <w:rFonts w:ascii="Arial" w:hAnsi="Arial" w:cs="Arial"/>
        </w:rPr>
        <w:t xml:space="preserve">in </w:t>
      </w:r>
      <w:r w:rsidR="006A24F0">
        <w:rPr>
          <w:rFonts w:ascii="Arial" w:hAnsi="Arial" w:cs="Arial"/>
        </w:rPr>
        <w:t>the main application</w:t>
      </w:r>
      <w:r w:rsidR="00966958">
        <w:rPr>
          <w:rFonts w:ascii="Arial" w:hAnsi="Arial" w:cs="Arial"/>
        </w:rPr>
        <w:t xml:space="preserve"> by 22 November 2022, </w:t>
      </w:r>
      <w:r w:rsidR="009A0593">
        <w:rPr>
          <w:rFonts w:ascii="Arial" w:hAnsi="Arial" w:cs="Arial"/>
        </w:rPr>
        <w:t>its</w:t>
      </w:r>
      <w:r w:rsidR="00314FE1">
        <w:rPr>
          <w:rFonts w:ascii="Arial" w:hAnsi="Arial" w:cs="Arial"/>
        </w:rPr>
        <w:t xml:space="preserve"> notice of intention to defend the main application having been delivered</w:t>
      </w:r>
      <w:r w:rsidR="00254D9B">
        <w:rPr>
          <w:rFonts w:ascii="Arial" w:hAnsi="Arial" w:cs="Arial"/>
        </w:rPr>
        <w:t xml:space="preserve"> by it</w:t>
      </w:r>
      <w:r w:rsidR="00314FE1">
        <w:rPr>
          <w:rFonts w:ascii="Arial" w:hAnsi="Arial" w:cs="Arial"/>
        </w:rPr>
        <w:t xml:space="preserve"> on </w:t>
      </w:r>
      <w:r w:rsidR="00966958">
        <w:rPr>
          <w:rFonts w:ascii="Arial" w:hAnsi="Arial" w:cs="Arial"/>
        </w:rPr>
        <w:t>1 November 2022</w:t>
      </w:r>
      <w:r w:rsidR="00314FE1">
        <w:rPr>
          <w:rFonts w:ascii="Arial" w:hAnsi="Arial" w:cs="Arial"/>
        </w:rPr>
        <w:t xml:space="preserve"> (which </w:t>
      </w:r>
      <w:r w:rsidR="00254D9B">
        <w:rPr>
          <w:rFonts w:ascii="Arial" w:hAnsi="Arial" w:cs="Arial"/>
        </w:rPr>
        <w:t>notice also appears to have been delivered out of time</w:t>
      </w:r>
      <w:r w:rsidR="00314FE1">
        <w:rPr>
          <w:rFonts w:ascii="Arial" w:hAnsi="Arial" w:cs="Arial"/>
        </w:rPr>
        <w:t>)</w:t>
      </w:r>
      <w:r w:rsidR="00966958">
        <w:rPr>
          <w:rFonts w:ascii="Arial" w:hAnsi="Arial" w:cs="Arial"/>
        </w:rPr>
        <w:t xml:space="preserve">. The respondent had previously been represented by another firm of attorneys </w:t>
      </w:r>
      <w:r w:rsidR="00F254B5">
        <w:rPr>
          <w:rFonts w:ascii="Arial" w:hAnsi="Arial" w:cs="Arial"/>
        </w:rPr>
        <w:t>in the litigation</w:t>
      </w:r>
      <w:r w:rsidR="00642B7E">
        <w:rPr>
          <w:rFonts w:ascii="Arial" w:hAnsi="Arial" w:cs="Arial"/>
        </w:rPr>
        <w:t xml:space="preserve"> </w:t>
      </w:r>
      <w:r w:rsidR="00C170D3">
        <w:rPr>
          <w:rFonts w:ascii="Arial" w:hAnsi="Arial" w:cs="Arial"/>
        </w:rPr>
        <w:t>relating to the eviction of the respondent</w:t>
      </w:r>
      <w:r w:rsidR="006A1DEF">
        <w:rPr>
          <w:rFonts w:ascii="Arial" w:hAnsi="Arial" w:cs="Arial"/>
        </w:rPr>
        <w:t>,</w:t>
      </w:r>
      <w:r w:rsidR="00C170D3">
        <w:rPr>
          <w:rFonts w:ascii="Arial" w:hAnsi="Arial" w:cs="Arial"/>
        </w:rPr>
        <w:t xml:space="preserve"> </w:t>
      </w:r>
      <w:r w:rsidR="00642B7E">
        <w:rPr>
          <w:rFonts w:ascii="Arial" w:hAnsi="Arial" w:cs="Arial"/>
        </w:rPr>
        <w:t xml:space="preserve">mentioned </w:t>
      </w:r>
      <w:r w:rsidR="00285181">
        <w:rPr>
          <w:rFonts w:ascii="Arial" w:hAnsi="Arial" w:cs="Arial"/>
        </w:rPr>
        <w:t>at the commencement of</w:t>
      </w:r>
      <w:r w:rsidR="00642B7E">
        <w:rPr>
          <w:rFonts w:ascii="Arial" w:hAnsi="Arial" w:cs="Arial"/>
        </w:rPr>
        <w:t xml:space="preserve"> this judgment</w:t>
      </w:r>
      <w:r w:rsidR="006A1DEF">
        <w:rPr>
          <w:rFonts w:ascii="Arial" w:hAnsi="Arial" w:cs="Arial"/>
        </w:rPr>
        <w:t>,</w:t>
      </w:r>
      <w:r w:rsidR="00642B7E">
        <w:rPr>
          <w:rFonts w:ascii="Arial" w:hAnsi="Arial" w:cs="Arial"/>
        </w:rPr>
        <w:t xml:space="preserve"> </w:t>
      </w:r>
      <w:r w:rsidR="00966958">
        <w:rPr>
          <w:rFonts w:ascii="Arial" w:hAnsi="Arial" w:cs="Arial"/>
        </w:rPr>
        <w:t>and Mr Miranda’s firm took the matter over from th</w:t>
      </w:r>
      <w:r w:rsidR="00F254B5">
        <w:rPr>
          <w:rFonts w:ascii="Arial" w:hAnsi="Arial" w:cs="Arial"/>
        </w:rPr>
        <w:t>ose attorneys</w:t>
      </w:r>
      <w:r w:rsidR="00966958">
        <w:rPr>
          <w:rFonts w:ascii="Arial" w:hAnsi="Arial" w:cs="Arial"/>
        </w:rPr>
        <w:t xml:space="preserve"> in late October 2022. </w:t>
      </w:r>
    </w:p>
    <w:p w14:paraId="3F1881D0" w14:textId="77777777" w:rsidR="00CE44C8" w:rsidRDefault="00CE44C8" w:rsidP="00CE44C8">
      <w:pPr>
        <w:pStyle w:val="ListParagraph"/>
        <w:tabs>
          <w:tab w:val="left" w:pos="709"/>
        </w:tabs>
        <w:spacing w:line="360" w:lineRule="auto"/>
        <w:ind w:left="0"/>
        <w:jc w:val="both"/>
        <w:rPr>
          <w:rFonts w:ascii="Arial" w:hAnsi="Arial" w:cs="Arial"/>
        </w:rPr>
      </w:pPr>
    </w:p>
    <w:p w14:paraId="2A38CC00" w14:textId="65C4AC43" w:rsidR="00292BBB" w:rsidRDefault="000D6B00" w:rsidP="00314FE1">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 xml:space="preserve">Mr </w:t>
      </w:r>
      <w:r w:rsidR="006A24F0">
        <w:rPr>
          <w:rFonts w:ascii="Arial" w:hAnsi="Arial" w:cs="Arial"/>
        </w:rPr>
        <w:t>Miranda</w:t>
      </w:r>
      <w:r>
        <w:rPr>
          <w:rFonts w:ascii="Arial" w:hAnsi="Arial" w:cs="Arial"/>
        </w:rPr>
        <w:t xml:space="preserve"> </w:t>
      </w:r>
      <w:r w:rsidR="00F254B5">
        <w:rPr>
          <w:rFonts w:ascii="Arial" w:hAnsi="Arial" w:cs="Arial"/>
        </w:rPr>
        <w:t xml:space="preserve">states in the respondent’s founding affidavit that he </w:t>
      </w:r>
      <w:r>
        <w:rPr>
          <w:rFonts w:ascii="Arial" w:hAnsi="Arial" w:cs="Arial"/>
        </w:rPr>
        <w:t>consulted with the respondent’s director, a Mr Ali Mustafa Khan (</w:t>
      </w:r>
      <w:r w:rsidR="00392771">
        <w:rPr>
          <w:rFonts w:ascii="Arial" w:hAnsi="Arial" w:cs="Arial"/>
        </w:rPr>
        <w:t xml:space="preserve">Mr </w:t>
      </w:r>
      <w:r>
        <w:rPr>
          <w:rFonts w:ascii="Arial" w:hAnsi="Arial" w:cs="Arial"/>
        </w:rPr>
        <w:t>Ali)</w:t>
      </w:r>
      <w:r w:rsidR="006A1DEF">
        <w:rPr>
          <w:rFonts w:ascii="Arial" w:hAnsi="Arial" w:cs="Arial"/>
        </w:rPr>
        <w:t>,</w:t>
      </w:r>
      <w:r>
        <w:rPr>
          <w:rStyle w:val="FootnoteReference"/>
          <w:rFonts w:ascii="Arial" w:hAnsi="Arial" w:cs="Arial"/>
        </w:rPr>
        <w:footnoteReference w:id="8"/>
      </w:r>
      <w:r w:rsidR="00254D9B">
        <w:rPr>
          <w:rFonts w:ascii="Arial" w:hAnsi="Arial" w:cs="Arial"/>
        </w:rPr>
        <w:t xml:space="preserve"> </w:t>
      </w:r>
      <w:r w:rsidR="003100DA">
        <w:rPr>
          <w:rFonts w:ascii="Arial" w:hAnsi="Arial" w:cs="Arial"/>
        </w:rPr>
        <w:t xml:space="preserve">regarding the main application </w:t>
      </w:r>
      <w:r w:rsidR="00480F3E">
        <w:rPr>
          <w:rFonts w:ascii="Arial" w:hAnsi="Arial" w:cs="Arial"/>
        </w:rPr>
        <w:t>and</w:t>
      </w:r>
      <w:r w:rsidR="00966958">
        <w:rPr>
          <w:rFonts w:ascii="Arial" w:hAnsi="Arial" w:cs="Arial"/>
        </w:rPr>
        <w:t xml:space="preserve"> </w:t>
      </w:r>
      <w:r w:rsidR="00254D9B">
        <w:rPr>
          <w:rFonts w:ascii="Arial" w:hAnsi="Arial" w:cs="Arial"/>
        </w:rPr>
        <w:t xml:space="preserve">that </w:t>
      </w:r>
      <w:r w:rsidR="00480F3E">
        <w:rPr>
          <w:rFonts w:ascii="Arial" w:hAnsi="Arial" w:cs="Arial"/>
        </w:rPr>
        <w:t>c</w:t>
      </w:r>
      <w:r w:rsidR="006A24F0">
        <w:rPr>
          <w:rFonts w:ascii="Arial" w:hAnsi="Arial" w:cs="Arial"/>
        </w:rPr>
        <w:t xml:space="preserve">ounsel was </w:t>
      </w:r>
      <w:r w:rsidR="00314FE1">
        <w:rPr>
          <w:rFonts w:ascii="Arial" w:hAnsi="Arial" w:cs="Arial"/>
        </w:rPr>
        <w:t xml:space="preserve">then </w:t>
      </w:r>
      <w:r w:rsidR="006A24F0">
        <w:rPr>
          <w:rFonts w:ascii="Arial" w:hAnsi="Arial" w:cs="Arial"/>
        </w:rPr>
        <w:t>briefed to prepare an answering affidavit</w:t>
      </w:r>
      <w:r w:rsidR="00F254B5">
        <w:rPr>
          <w:rFonts w:ascii="Arial" w:hAnsi="Arial" w:cs="Arial"/>
        </w:rPr>
        <w:t xml:space="preserve">. Counsel was also instructed to draw particulars of claim </w:t>
      </w:r>
      <w:r w:rsidR="006A24F0">
        <w:rPr>
          <w:rFonts w:ascii="Arial" w:hAnsi="Arial" w:cs="Arial"/>
        </w:rPr>
        <w:t xml:space="preserve">in which the respondent intended to </w:t>
      </w:r>
      <w:r w:rsidR="00285181">
        <w:rPr>
          <w:rFonts w:ascii="Arial" w:hAnsi="Arial" w:cs="Arial"/>
        </w:rPr>
        <w:t xml:space="preserve">claim </w:t>
      </w:r>
      <w:r w:rsidR="006A24F0">
        <w:rPr>
          <w:rFonts w:ascii="Arial" w:hAnsi="Arial" w:cs="Arial"/>
        </w:rPr>
        <w:t xml:space="preserve">a refund of certain monies from the applicant. </w:t>
      </w:r>
      <w:r w:rsidR="00205537">
        <w:rPr>
          <w:rFonts w:ascii="Arial" w:hAnsi="Arial" w:cs="Arial"/>
        </w:rPr>
        <w:t xml:space="preserve">When counsel was briefed is never revealed by Mr Miranda. </w:t>
      </w:r>
      <w:r w:rsidR="003100DA">
        <w:rPr>
          <w:rFonts w:ascii="Arial" w:hAnsi="Arial" w:cs="Arial"/>
        </w:rPr>
        <w:t>C</w:t>
      </w:r>
      <w:r w:rsidR="006A24F0">
        <w:rPr>
          <w:rFonts w:ascii="Arial" w:hAnsi="Arial" w:cs="Arial"/>
        </w:rPr>
        <w:t xml:space="preserve">ounsel advised </w:t>
      </w:r>
      <w:r w:rsidR="00F254B5">
        <w:rPr>
          <w:rFonts w:ascii="Arial" w:hAnsi="Arial" w:cs="Arial"/>
        </w:rPr>
        <w:t xml:space="preserve">Mr Miranda </w:t>
      </w:r>
      <w:r w:rsidR="006A24F0">
        <w:rPr>
          <w:rFonts w:ascii="Arial" w:hAnsi="Arial" w:cs="Arial"/>
        </w:rPr>
        <w:t xml:space="preserve">that he needed to consult with </w:t>
      </w:r>
      <w:r w:rsidR="000B4D46">
        <w:rPr>
          <w:rFonts w:ascii="Arial" w:hAnsi="Arial" w:cs="Arial"/>
        </w:rPr>
        <w:t xml:space="preserve">Mr </w:t>
      </w:r>
      <w:r w:rsidR="006A24F0">
        <w:rPr>
          <w:rFonts w:ascii="Arial" w:hAnsi="Arial" w:cs="Arial"/>
        </w:rPr>
        <w:t>Ali</w:t>
      </w:r>
      <w:r w:rsidR="003100DA">
        <w:rPr>
          <w:rFonts w:ascii="Arial" w:hAnsi="Arial" w:cs="Arial"/>
        </w:rPr>
        <w:t xml:space="preserve"> in order to draw the answering affidavit</w:t>
      </w:r>
      <w:r w:rsidR="006A24F0">
        <w:rPr>
          <w:rFonts w:ascii="Arial" w:hAnsi="Arial" w:cs="Arial"/>
        </w:rPr>
        <w:t>. Th</w:t>
      </w:r>
      <w:r w:rsidR="00F254B5">
        <w:rPr>
          <w:rFonts w:ascii="Arial" w:hAnsi="Arial" w:cs="Arial"/>
        </w:rPr>
        <w:t xml:space="preserve">is posed a difficulty </w:t>
      </w:r>
      <w:r w:rsidR="00205537">
        <w:rPr>
          <w:rFonts w:ascii="Arial" w:hAnsi="Arial" w:cs="Arial"/>
        </w:rPr>
        <w:t xml:space="preserve">as </w:t>
      </w:r>
      <w:r w:rsidR="000B4D46">
        <w:rPr>
          <w:rFonts w:ascii="Arial" w:hAnsi="Arial" w:cs="Arial"/>
        </w:rPr>
        <w:t xml:space="preserve">Mr </w:t>
      </w:r>
      <w:r w:rsidR="006A24F0">
        <w:rPr>
          <w:rFonts w:ascii="Arial" w:hAnsi="Arial" w:cs="Arial"/>
        </w:rPr>
        <w:t>Ali had left for Pakistan, his country</w:t>
      </w:r>
      <w:r w:rsidR="00314FE1">
        <w:rPr>
          <w:rFonts w:ascii="Arial" w:hAnsi="Arial" w:cs="Arial"/>
        </w:rPr>
        <w:t xml:space="preserve"> of origin</w:t>
      </w:r>
      <w:r w:rsidR="006A24F0">
        <w:rPr>
          <w:rFonts w:ascii="Arial" w:hAnsi="Arial" w:cs="Arial"/>
        </w:rPr>
        <w:t xml:space="preserve">, on 6 November 2022 and was </w:t>
      </w:r>
      <w:r w:rsidR="000B4D46">
        <w:rPr>
          <w:rFonts w:ascii="Arial" w:hAnsi="Arial" w:cs="Arial"/>
        </w:rPr>
        <w:t xml:space="preserve">initially </w:t>
      </w:r>
      <w:r w:rsidR="006A24F0">
        <w:rPr>
          <w:rFonts w:ascii="Arial" w:hAnsi="Arial" w:cs="Arial"/>
        </w:rPr>
        <w:t xml:space="preserve">scheduled to only return </w:t>
      </w:r>
      <w:r w:rsidR="00285181">
        <w:rPr>
          <w:rFonts w:ascii="Arial" w:hAnsi="Arial" w:cs="Arial"/>
        </w:rPr>
        <w:t xml:space="preserve">to South Africa </w:t>
      </w:r>
      <w:r w:rsidR="006A24F0">
        <w:rPr>
          <w:rFonts w:ascii="Arial" w:hAnsi="Arial" w:cs="Arial"/>
        </w:rPr>
        <w:t>on 2</w:t>
      </w:r>
      <w:r w:rsidR="000B4D46">
        <w:rPr>
          <w:rFonts w:ascii="Arial" w:hAnsi="Arial" w:cs="Arial"/>
        </w:rPr>
        <w:t xml:space="preserve">2 February 2023. However, whilst </w:t>
      </w:r>
      <w:r w:rsidR="000B4D46">
        <w:rPr>
          <w:rFonts w:ascii="Arial" w:hAnsi="Arial" w:cs="Arial"/>
        </w:rPr>
        <w:lastRenderedPageBreak/>
        <w:t>in Pakistan, Mr Ali</w:t>
      </w:r>
      <w:r w:rsidR="00205537">
        <w:rPr>
          <w:rFonts w:ascii="Arial" w:hAnsi="Arial" w:cs="Arial"/>
        </w:rPr>
        <w:t xml:space="preserve"> deferred his return </w:t>
      </w:r>
      <w:r w:rsidR="000B4D46">
        <w:rPr>
          <w:rFonts w:ascii="Arial" w:hAnsi="Arial" w:cs="Arial"/>
        </w:rPr>
        <w:t xml:space="preserve">to this country </w:t>
      </w:r>
      <w:r w:rsidR="00205537">
        <w:rPr>
          <w:rFonts w:ascii="Arial" w:hAnsi="Arial" w:cs="Arial"/>
        </w:rPr>
        <w:t>until 24 March 2023.</w:t>
      </w:r>
      <w:r w:rsidR="000B4D46">
        <w:rPr>
          <w:rFonts w:ascii="Arial" w:hAnsi="Arial" w:cs="Arial"/>
        </w:rPr>
        <w:t xml:space="preserve"> Mr Miranda states that he was not </w:t>
      </w:r>
      <w:r w:rsidR="00285181">
        <w:rPr>
          <w:rFonts w:ascii="Arial" w:hAnsi="Arial" w:cs="Arial"/>
        </w:rPr>
        <w:t xml:space="preserve">initially </w:t>
      </w:r>
      <w:r w:rsidR="000B4D46">
        <w:rPr>
          <w:rFonts w:ascii="Arial" w:hAnsi="Arial" w:cs="Arial"/>
        </w:rPr>
        <w:t xml:space="preserve">aware </w:t>
      </w:r>
      <w:r w:rsidR="00C170D3">
        <w:rPr>
          <w:rFonts w:ascii="Arial" w:hAnsi="Arial" w:cs="Arial"/>
        </w:rPr>
        <w:t xml:space="preserve">that this was to occur, but later came to know </w:t>
      </w:r>
      <w:r w:rsidR="003100DA">
        <w:rPr>
          <w:rFonts w:ascii="Arial" w:hAnsi="Arial" w:cs="Arial"/>
        </w:rPr>
        <w:t xml:space="preserve">of </w:t>
      </w:r>
      <w:r w:rsidR="00C170D3">
        <w:rPr>
          <w:rFonts w:ascii="Arial" w:hAnsi="Arial" w:cs="Arial"/>
        </w:rPr>
        <w:t>this.</w:t>
      </w:r>
    </w:p>
    <w:p w14:paraId="5FF6E1C2" w14:textId="77777777" w:rsidR="00D86E95" w:rsidRDefault="00D86E95" w:rsidP="00D86E95">
      <w:pPr>
        <w:pStyle w:val="ListParagraph"/>
        <w:tabs>
          <w:tab w:val="left" w:pos="709"/>
        </w:tabs>
        <w:spacing w:line="360" w:lineRule="auto"/>
        <w:ind w:left="0"/>
        <w:jc w:val="both"/>
        <w:rPr>
          <w:rFonts w:ascii="Arial" w:hAnsi="Arial" w:cs="Arial"/>
        </w:rPr>
      </w:pPr>
    </w:p>
    <w:p w14:paraId="1D3FAD70" w14:textId="416EF1CD" w:rsidR="00205537" w:rsidRDefault="000A7C77" w:rsidP="00205537">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 xml:space="preserve">Counsel </w:t>
      </w:r>
      <w:r w:rsidR="00205537">
        <w:rPr>
          <w:rFonts w:ascii="Arial" w:hAnsi="Arial" w:cs="Arial"/>
        </w:rPr>
        <w:t xml:space="preserve">who had been briefed </w:t>
      </w:r>
      <w:r>
        <w:rPr>
          <w:rFonts w:ascii="Arial" w:hAnsi="Arial" w:cs="Arial"/>
        </w:rPr>
        <w:t xml:space="preserve">prepared the particulars of claim </w:t>
      </w:r>
      <w:r w:rsidR="00480F3E">
        <w:rPr>
          <w:rFonts w:ascii="Arial" w:hAnsi="Arial" w:cs="Arial"/>
        </w:rPr>
        <w:t>and forwarded them to Mr Miranda</w:t>
      </w:r>
      <w:r w:rsidR="00081C85">
        <w:rPr>
          <w:rFonts w:ascii="Arial" w:hAnsi="Arial" w:cs="Arial"/>
        </w:rPr>
        <w:t>.</w:t>
      </w:r>
      <w:r w:rsidR="00480F3E">
        <w:rPr>
          <w:rFonts w:ascii="Arial" w:hAnsi="Arial" w:cs="Arial"/>
        </w:rPr>
        <w:t xml:space="preserve"> </w:t>
      </w:r>
      <w:r w:rsidR="00081C85">
        <w:rPr>
          <w:rFonts w:ascii="Arial" w:hAnsi="Arial" w:cs="Arial"/>
        </w:rPr>
        <w:t>T</w:t>
      </w:r>
      <w:r>
        <w:rPr>
          <w:rFonts w:ascii="Arial" w:hAnsi="Arial" w:cs="Arial"/>
        </w:rPr>
        <w:t>he answering affidavit</w:t>
      </w:r>
      <w:r w:rsidR="00081C85">
        <w:rPr>
          <w:rFonts w:ascii="Arial" w:hAnsi="Arial" w:cs="Arial"/>
        </w:rPr>
        <w:t xml:space="preserve"> was not prepared</w:t>
      </w:r>
      <w:r w:rsidR="00136F87">
        <w:rPr>
          <w:rFonts w:ascii="Arial" w:hAnsi="Arial" w:cs="Arial"/>
        </w:rPr>
        <w:t>, presumably</w:t>
      </w:r>
      <w:r w:rsidR="00314FE1">
        <w:rPr>
          <w:rFonts w:ascii="Arial" w:hAnsi="Arial" w:cs="Arial"/>
        </w:rPr>
        <w:t xml:space="preserve"> because </w:t>
      </w:r>
      <w:r w:rsidR="005F7372">
        <w:rPr>
          <w:rFonts w:ascii="Arial" w:hAnsi="Arial" w:cs="Arial"/>
        </w:rPr>
        <w:t>counsel</w:t>
      </w:r>
      <w:r w:rsidR="00314FE1">
        <w:rPr>
          <w:rFonts w:ascii="Arial" w:hAnsi="Arial" w:cs="Arial"/>
        </w:rPr>
        <w:t xml:space="preserve"> had not had the opportunity to consult with </w:t>
      </w:r>
      <w:r w:rsidR="000B4D46">
        <w:rPr>
          <w:rFonts w:ascii="Arial" w:hAnsi="Arial" w:cs="Arial"/>
        </w:rPr>
        <w:t xml:space="preserve">Mr </w:t>
      </w:r>
      <w:r w:rsidR="00314FE1">
        <w:rPr>
          <w:rFonts w:ascii="Arial" w:hAnsi="Arial" w:cs="Arial"/>
        </w:rPr>
        <w:t>Ali</w:t>
      </w:r>
      <w:r>
        <w:rPr>
          <w:rFonts w:ascii="Arial" w:hAnsi="Arial" w:cs="Arial"/>
        </w:rPr>
        <w:t xml:space="preserve">. </w:t>
      </w:r>
      <w:r w:rsidR="002A78C0">
        <w:rPr>
          <w:rFonts w:ascii="Arial" w:hAnsi="Arial" w:cs="Arial"/>
        </w:rPr>
        <w:t>I digress</w:t>
      </w:r>
      <w:r w:rsidR="00345EF1">
        <w:rPr>
          <w:rFonts w:ascii="Arial" w:hAnsi="Arial" w:cs="Arial"/>
        </w:rPr>
        <w:t xml:space="preserve"> momentarily</w:t>
      </w:r>
      <w:r w:rsidR="002A78C0">
        <w:rPr>
          <w:rFonts w:ascii="Arial" w:hAnsi="Arial" w:cs="Arial"/>
        </w:rPr>
        <w:t xml:space="preserve"> </w:t>
      </w:r>
      <w:r w:rsidR="00040268">
        <w:rPr>
          <w:rFonts w:ascii="Arial" w:hAnsi="Arial" w:cs="Arial"/>
        </w:rPr>
        <w:t xml:space="preserve">at this point </w:t>
      </w:r>
      <w:r w:rsidR="002A78C0">
        <w:rPr>
          <w:rFonts w:ascii="Arial" w:hAnsi="Arial" w:cs="Arial"/>
        </w:rPr>
        <w:t>to mention the case made out</w:t>
      </w:r>
      <w:r w:rsidR="00040268">
        <w:rPr>
          <w:rFonts w:ascii="Arial" w:hAnsi="Arial" w:cs="Arial"/>
        </w:rPr>
        <w:t xml:space="preserve"> by the respondent</w:t>
      </w:r>
      <w:r w:rsidR="002A78C0">
        <w:rPr>
          <w:rFonts w:ascii="Arial" w:hAnsi="Arial" w:cs="Arial"/>
        </w:rPr>
        <w:t xml:space="preserve"> in the particulars of claim. </w:t>
      </w:r>
      <w:r w:rsidR="00C170D3">
        <w:rPr>
          <w:rFonts w:ascii="Arial" w:hAnsi="Arial" w:cs="Arial"/>
        </w:rPr>
        <w:t>The</w:t>
      </w:r>
      <w:r w:rsidR="002A78C0">
        <w:rPr>
          <w:rFonts w:ascii="Arial" w:hAnsi="Arial" w:cs="Arial"/>
        </w:rPr>
        <w:t xml:space="preserve">y </w:t>
      </w:r>
      <w:r w:rsidR="003100DA">
        <w:rPr>
          <w:rFonts w:ascii="Arial" w:hAnsi="Arial" w:cs="Arial"/>
        </w:rPr>
        <w:t>reveal that the</w:t>
      </w:r>
      <w:r w:rsidR="00760474">
        <w:rPr>
          <w:rFonts w:ascii="Arial" w:hAnsi="Arial" w:cs="Arial"/>
        </w:rPr>
        <w:t xml:space="preserve"> respondent is the</w:t>
      </w:r>
      <w:r w:rsidR="003100DA">
        <w:rPr>
          <w:rFonts w:ascii="Arial" w:hAnsi="Arial" w:cs="Arial"/>
        </w:rPr>
        <w:t xml:space="preserve"> </w:t>
      </w:r>
      <w:r w:rsidR="00232850">
        <w:rPr>
          <w:rFonts w:ascii="Arial" w:hAnsi="Arial" w:cs="Arial"/>
        </w:rPr>
        <w:t xml:space="preserve">first </w:t>
      </w:r>
      <w:r w:rsidR="003100DA">
        <w:rPr>
          <w:rFonts w:ascii="Arial" w:hAnsi="Arial" w:cs="Arial"/>
        </w:rPr>
        <w:t>plaintiff</w:t>
      </w:r>
      <w:r w:rsidR="002F298B">
        <w:rPr>
          <w:rFonts w:ascii="Arial" w:hAnsi="Arial" w:cs="Arial"/>
        </w:rPr>
        <w:t xml:space="preserve"> in that action</w:t>
      </w:r>
      <w:r w:rsidR="00711490">
        <w:rPr>
          <w:rFonts w:ascii="Arial" w:hAnsi="Arial" w:cs="Arial"/>
        </w:rPr>
        <w:t>,</w:t>
      </w:r>
      <w:r w:rsidR="00232850">
        <w:rPr>
          <w:rFonts w:ascii="Arial" w:hAnsi="Arial" w:cs="Arial"/>
        </w:rPr>
        <w:t xml:space="preserve"> </w:t>
      </w:r>
      <w:r w:rsidR="00711490">
        <w:rPr>
          <w:rFonts w:ascii="Arial" w:hAnsi="Arial" w:cs="Arial"/>
        </w:rPr>
        <w:t xml:space="preserve">that </w:t>
      </w:r>
      <w:r w:rsidR="00232850">
        <w:rPr>
          <w:rFonts w:ascii="Arial" w:hAnsi="Arial" w:cs="Arial"/>
        </w:rPr>
        <w:t>Mr Ali is the second plaintiff</w:t>
      </w:r>
      <w:r w:rsidR="002A78C0">
        <w:rPr>
          <w:rFonts w:ascii="Arial" w:hAnsi="Arial" w:cs="Arial"/>
        </w:rPr>
        <w:t xml:space="preserve"> </w:t>
      </w:r>
      <w:r w:rsidR="00232850">
        <w:rPr>
          <w:rFonts w:ascii="Arial" w:hAnsi="Arial" w:cs="Arial"/>
        </w:rPr>
        <w:t xml:space="preserve">and that </w:t>
      </w:r>
      <w:r w:rsidR="003100DA">
        <w:rPr>
          <w:rFonts w:ascii="Arial" w:hAnsi="Arial" w:cs="Arial"/>
        </w:rPr>
        <w:t>the applicant is the defendant. The</w:t>
      </w:r>
      <w:r w:rsidR="00232850">
        <w:rPr>
          <w:rFonts w:ascii="Arial" w:hAnsi="Arial" w:cs="Arial"/>
        </w:rPr>
        <w:t>y</w:t>
      </w:r>
      <w:r w:rsidR="003100DA">
        <w:rPr>
          <w:rFonts w:ascii="Arial" w:hAnsi="Arial" w:cs="Arial"/>
        </w:rPr>
        <w:t xml:space="preserve"> go on to state that the </w:t>
      </w:r>
      <w:r w:rsidR="00232850">
        <w:rPr>
          <w:rFonts w:ascii="Arial" w:hAnsi="Arial" w:cs="Arial"/>
        </w:rPr>
        <w:t xml:space="preserve">first plaintiff and the defendant concluded an agreement in terms of which the defendant would reserve certain business premises for a period of three days </w:t>
      </w:r>
      <w:r w:rsidR="002A78C0">
        <w:rPr>
          <w:rFonts w:ascii="Arial" w:hAnsi="Arial" w:cs="Arial"/>
        </w:rPr>
        <w:t xml:space="preserve">for the first plaintiff </w:t>
      </w:r>
      <w:r w:rsidR="00232850">
        <w:rPr>
          <w:rFonts w:ascii="Arial" w:hAnsi="Arial" w:cs="Arial"/>
        </w:rPr>
        <w:t>and that the second plaintiff would pay to the defendant a refundable reservation fee of R600</w:t>
      </w:r>
      <w:r w:rsidR="005B64F8">
        <w:rPr>
          <w:rFonts w:ascii="Arial" w:hAnsi="Arial" w:cs="Arial"/>
        </w:rPr>
        <w:t> </w:t>
      </w:r>
      <w:r w:rsidR="00232850">
        <w:rPr>
          <w:rFonts w:ascii="Arial" w:hAnsi="Arial" w:cs="Arial"/>
        </w:rPr>
        <w:t>000</w:t>
      </w:r>
      <w:r w:rsidR="005B64F8">
        <w:rPr>
          <w:rFonts w:ascii="Arial" w:hAnsi="Arial" w:cs="Arial"/>
        </w:rPr>
        <w:t xml:space="preserve"> to secure that reservation</w:t>
      </w:r>
      <w:r w:rsidR="00DF02BD">
        <w:rPr>
          <w:rFonts w:ascii="Arial" w:hAnsi="Arial" w:cs="Arial"/>
        </w:rPr>
        <w:t xml:space="preserve"> (the reservation fee)</w:t>
      </w:r>
      <w:r w:rsidR="00232850">
        <w:rPr>
          <w:rFonts w:ascii="Arial" w:hAnsi="Arial" w:cs="Arial"/>
        </w:rPr>
        <w:t>. For some reason, the second plaintiff only paid the defendant the amount of R500</w:t>
      </w:r>
      <w:r w:rsidR="002A78C0">
        <w:rPr>
          <w:rFonts w:ascii="Arial" w:hAnsi="Arial" w:cs="Arial"/>
        </w:rPr>
        <w:t> </w:t>
      </w:r>
      <w:r w:rsidR="00232850">
        <w:rPr>
          <w:rFonts w:ascii="Arial" w:hAnsi="Arial" w:cs="Arial"/>
        </w:rPr>
        <w:t>000</w:t>
      </w:r>
      <w:r w:rsidR="002A78C0">
        <w:rPr>
          <w:rFonts w:ascii="Arial" w:hAnsi="Arial" w:cs="Arial"/>
        </w:rPr>
        <w:t xml:space="preserve">, </w:t>
      </w:r>
      <w:r w:rsidR="00232850">
        <w:rPr>
          <w:rFonts w:ascii="Arial" w:hAnsi="Arial" w:cs="Arial"/>
        </w:rPr>
        <w:t>but</w:t>
      </w:r>
      <w:r w:rsidR="002A78C0">
        <w:rPr>
          <w:rFonts w:ascii="Arial" w:hAnsi="Arial" w:cs="Arial"/>
        </w:rPr>
        <w:t>,</w:t>
      </w:r>
      <w:r w:rsidR="00232850">
        <w:rPr>
          <w:rFonts w:ascii="Arial" w:hAnsi="Arial" w:cs="Arial"/>
        </w:rPr>
        <w:t xml:space="preserve"> nonetheless</w:t>
      </w:r>
      <w:r w:rsidR="002A78C0">
        <w:rPr>
          <w:rFonts w:ascii="Arial" w:hAnsi="Arial" w:cs="Arial"/>
        </w:rPr>
        <w:t>,</w:t>
      </w:r>
      <w:r w:rsidR="00232850">
        <w:rPr>
          <w:rFonts w:ascii="Arial" w:hAnsi="Arial" w:cs="Arial"/>
        </w:rPr>
        <w:t xml:space="preserve"> an agreement of lease was </w:t>
      </w:r>
      <w:r w:rsidR="002A78C0">
        <w:rPr>
          <w:rFonts w:ascii="Arial" w:hAnsi="Arial" w:cs="Arial"/>
        </w:rPr>
        <w:t>concluded</w:t>
      </w:r>
      <w:r w:rsidR="00232850">
        <w:rPr>
          <w:rFonts w:ascii="Arial" w:hAnsi="Arial" w:cs="Arial"/>
        </w:rPr>
        <w:t xml:space="preserve"> in respect of the reserved business premises.</w:t>
      </w:r>
      <w:r w:rsidR="002A78C0">
        <w:rPr>
          <w:rFonts w:ascii="Arial" w:hAnsi="Arial" w:cs="Arial"/>
        </w:rPr>
        <w:t xml:space="preserve"> The refund due arising out of that agreement would be paid either to the first plaintiff or to the second plaintiff. As that refund had not been paid, the plaintiffs demanded it from the defendant.</w:t>
      </w:r>
      <w:r w:rsidR="005B64F8">
        <w:rPr>
          <w:rFonts w:ascii="Arial" w:hAnsi="Arial" w:cs="Arial"/>
        </w:rPr>
        <w:t xml:space="preserve"> An exception was </w:t>
      </w:r>
      <w:r w:rsidR="00040268">
        <w:rPr>
          <w:rFonts w:ascii="Arial" w:hAnsi="Arial" w:cs="Arial"/>
        </w:rPr>
        <w:t xml:space="preserve">subsequently </w:t>
      </w:r>
      <w:r w:rsidR="005B64F8">
        <w:rPr>
          <w:rFonts w:ascii="Arial" w:hAnsi="Arial" w:cs="Arial"/>
        </w:rPr>
        <w:t>taken to the particulars of claim</w:t>
      </w:r>
      <w:r w:rsidR="00DF02BD">
        <w:rPr>
          <w:rFonts w:ascii="Arial" w:hAnsi="Arial" w:cs="Arial"/>
        </w:rPr>
        <w:t xml:space="preserve"> by the applicant</w:t>
      </w:r>
      <w:r w:rsidR="005B64F8">
        <w:rPr>
          <w:rFonts w:ascii="Arial" w:hAnsi="Arial" w:cs="Arial"/>
        </w:rPr>
        <w:t xml:space="preserve"> but I am informed that it was dismissed by Olsen J</w:t>
      </w:r>
      <w:r w:rsidR="00040268">
        <w:rPr>
          <w:rFonts w:ascii="Arial" w:hAnsi="Arial" w:cs="Arial"/>
        </w:rPr>
        <w:t xml:space="preserve"> after hearing argument</w:t>
      </w:r>
      <w:r w:rsidR="005B64F8">
        <w:rPr>
          <w:rFonts w:ascii="Arial" w:hAnsi="Arial" w:cs="Arial"/>
        </w:rPr>
        <w:t xml:space="preserve">. No plea has as yet been delivered </w:t>
      </w:r>
      <w:r w:rsidR="00040268">
        <w:rPr>
          <w:rFonts w:ascii="Arial" w:hAnsi="Arial" w:cs="Arial"/>
        </w:rPr>
        <w:t xml:space="preserve">by the applicant </w:t>
      </w:r>
      <w:r w:rsidR="005B64F8">
        <w:rPr>
          <w:rFonts w:ascii="Arial" w:hAnsi="Arial" w:cs="Arial"/>
        </w:rPr>
        <w:t>to the particulars of claim.</w:t>
      </w:r>
    </w:p>
    <w:p w14:paraId="2EED72FC" w14:textId="77777777" w:rsidR="00205537" w:rsidRPr="00205537" w:rsidRDefault="00205537" w:rsidP="00205537">
      <w:pPr>
        <w:pStyle w:val="ListParagraph"/>
        <w:spacing w:line="360" w:lineRule="auto"/>
        <w:rPr>
          <w:rFonts w:ascii="Arial" w:hAnsi="Arial" w:cs="Arial"/>
        </w:rPr>
      </w:pPr>
    </w:p>
    <w:p w14:paraId="66610A75" w14:textId="51DA13CA" w:rsidR="00B836D0" w:rsidRDefault="005B64F8" w:rsidP="00FB1CB1">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Reverting to Mr Miranda’s narration of the facts of the condonation application, t</w:t>
      </w:r>
      <w:r w:rsidR="000A7C77" w:rsidRPr="00B836D0">
        <w:rPr>
          <w:rFonts w:ascii="Arial" w:hAnsi="Arial" w:cs="Arial"/>
        </w:rPr>
        <w:t>he deadline for the delivery of the answering affidavit</w:t>
      </w:r>
      <w:r w:rsidR="00C170D3">
        <w:rPr>
          <w:rFonts w:ascii="Arial" w:hAnsi="Arial" w:cs="Arial"/>
        </w:rPr>
        <w:t xml:space="preserve"> in the main application</w:t>
      </w:r>
      <w:r w:rsidR="00205537" w:rsidRPr="00B836D0">
        <w:rPr>
          <w:rFonts w:ascii="Arial" w:hAnsi="Arial" w:cs="Arial"/>
        </w:rPr>
        <w:t xml:space="preserve">, </w:t>
      </w:r>
      <w:r w:rsidR="00B836D0" w:rsidRPr="00B836D0">
        <w:rPr>
          <w:rFonts w:ascii="Arial" w:hAnsi="Arial" w:cs="Arial"/>
        </w:rPr>
        <w:t>22 November 2022,</w:t>
      </w:r>
      <w:r w:rsidR="000A7C77" w:rsidRPr="00B836D0">
        <w:rPr>
          <w:rFonts w:ascii="Arial" w:hAnsi="Arial" w:cs="Arial"/>
        </w:rPr>
        <w:t xml:space="preserve"> neared, was reached</w:t>
      </w:r>
      <w:r w:rsidR="00B140B6">
        <w:rPr>
          <w:rFonts w:ascii="Arial" w:hAnsi="Arial" w:cs="Arial"/>
        </w:rPr>
        <w:t>,</w:t>
      </w:r>
      <w:r w:rsidR="000A7C77" w:rsidRPr="00B836D0">
        <w:rPr>
          <w:rFonts w:ascii="Arial" w:hAnsi="Arial" w:cs="Arial"/>
        </w:rPr>
        <w:t xml:space="preserve"> was </w:t>
      </w:r>
      <w:r w:rsidR="00B836D0" w:rsidRPr="00B836D0">
        <w:rPr>
          <w:rFonts w:ascii="Arial" w:hAnsi="Arial" w:cs="Arial"/>
        </w:rPr>
        <w:t xml:space="preserve">then </w:t>
      </w:r>
      <w:r w:rsidR="000A7C77" w:rsidRPr="00B836D0">
        <w:rPr>
          <w:rFonts w:ascii="Arial" w:hAnsi="Arial" w:cs="Arial"/>
        </w:rPr>
        <w:t>passed</w:t>
      </w:r>
      <w:r w:rsidR="00BD724B">
        <w:rPr>
          <w:rFonts w:ascii="Arial" w:hAnsi="Arial" w:cs="Arial"/>
        </w:rPr>
        <w:t xml:space="preserve"> and it was not delivered</w:t>
      </w:r>
      <w:r w:rsidR="000A7C77" w:rsidRPr="00B836D0">
        <w:rPr>
          <w:rFonts w:ascii="Arial" w:hAnsi="Arial" w:cs="Arial"/>
        </w:rPr>
        <w:t xml:space="preserve">. Mr Miranda states that he expected the draft answering affidavit </w:t>
      </w:r>
      <w:r w:rsidR="00B836D0" w:rsidRPr="00B836D0">
        <w:rPr>
          <w:rFonts w:ascii="Arial" w:hAnsi="Arial" w:cs="Arial"/>
        </w:rPr>
        <w:t xml:space="preserve">from counsel </w:t>
      </w:r>
      <w:r w:rsidR="000A7C77" w:rsidRPr="00B836D0">
        <w:rPr>
          <w:rFonts w:ascii="Arial" w:hAnsi="Arial" w:cs="Arial"/>
        </w:rPr>
        <w:t xml:space="preserve">because he had received the particulars of claim from </w:t>
      </w:r>
      <w:r w:rsidR="00B836D0" w:rsidRPr="00B836D0">
        <w:rPr>
          <w:rFonts w:ascii="Arial" w:hAnsi="Arial" w:cs="Arial"/>
        </w:rPr>
        <w:t>him</w:t>
      </w:r>
      <w:r w:rsidR="000A7C77" w:rsidRPr="00B836D0">
        <w:rPr>
          <w:rFonts w:ascii="Arial" w:hAnsi="Arial" w:cs="Arial"/>
        </w:rPr>
        <w:t xml:space="preserve">. </w:t>
      </w:r>
      <w:r w:rsidR="00B836D0" w:rsidRPr="00B836D0">
        <w:rPr>
          <w:rFonts w:ascii="Arial" w:hAnsi="Arial" w:cs="Arial"/>
        </w:rPr>
        <w:t>But the answering affidavit did</w:t>
      </w:r>
      <w:r w:rsidR="000A7C77" w:rsidRPr="00B836D0">
        <w:rPr>
          <w:rFonts w:ascii="Arial" w:hAnsi="Arial" w:cs="Arial"/>
        </w:rPr>
        <w:t xml:space="preserve"> not come.</w:t>
      </w:r>
      <w:r w:rsidR="00B836D0" w:rsidRPr="00B836D0">
        <w:rPr>
          <w:rFonts w:ascii="Arial" w:hAnsi="Arial" w:cs="Arial"/>
        </w:rPr>
        <w:t xml:space="preserve"> </w:t>
      </w:r>
    </w:p>
    <w:p w14:paraId="33DB0D56" w14:textId="77777777" w:rsidR="00FB1CB1" w:rsidRPr="00B836D0" w:rsidRDefault="00FB1CB1" w:rsidP="00FB1CB1">
      <w:pPr>
        <w:pStyle w:val="ListParagraph"/>
        <w:tabs>
          <w:tab w:val="left" w:pos="709"/>
        </w:tabs>
        <w:spacing w:line="360" w:lineRule="auto"/>
        <w:ind w:left="0"/>
        <w:jc w:val="both"/>
        <w:rPr>
          <w:rFonts w:ascii="Arial" w:hAnsi="Arial" w:cs="Arial"/>
        </w:rPr>
      </w:pPr>
    </w:p>
    <w:p w14:paraId="759B661E" w14:textId="77777777" w:rsidR="00314FE1" w:rsidRPr="000F6573" w:rsidRDefault="000A7C77" w:rsidP="00FB1CB1">
      <w:pPr>
        <w:pStyle w:val="ListParagraph"/>
        <w:numPr>
          <w:ilvl w:val="0"/>
          <w:numId w:val="8"/>
        </w:numPr>
        <w:tabs>
          <w:tab w:val="left" w:pos="709"/>
        </w:tabs>
        <w:spacing w:line="360" w:lineRule="auto"/>
        <w:ind w:left="0" w:firstLine="0"/>
        <w:jc w:val="both"/>
        <w:rPr>
          <w:rFonts w:ascii="Arial" w:hAnsi="Arial" w:cs="Arial"/>
          <w:sz w:val="22"/>
          <w:szCs w:val="22"/>
        </w:rPr>
      </w:pPr>
      <w:r>
        <w:rPr>
          <w:rFonts w:ascii="Arial" w:hAnsi="Arial" w:cs="Arial"/>
        </w:rPr>
        <w:t xml:space="preserve">What did come was a letter from the applicant’s attorneys, dated 28 November 2022, recording the non-delivery of the answering affidavit </w:t>
      </w:r>
      <w:r w:rsidR="00480F3E">
        <w:rPr>
          <w:rFonts w:ascii="Arial" w:hAnsi="Arial" w:cs="Arial"/>
        </w:rPr>
        <w:t xml:space="preserve">by the agreed date </w:t>
      </w:r>
      <w:r>
        <w:rPr>
          <w:rFonts w:ascii="Arial" w:hAnsi="Arial" w:cs="Arial"/>
        </w:rPr>
        <w:t xml:space="preserve">and putting Mr Miranda on terms to deliver it by close of business </w:t>
      </w:r>
      <w:r w:rsidR="00B836D0">
        <w:rPr>
          <w:rFonts w:ascii="Arial" w:hAnsi="Arial" w:cs="Arial"/>
        </w:rPr>
        <w:t>of the next day,</w:t>
      </w:r>
      <w:r>
        <w:rPr>
          <w:rFonts w:ascii="Arial" w:hAnsi="Arial" w:cs="Arial"/>
        </w:rPr>
        <w:t xml:space="preserve"> 29 November 2022.</w:t>
      </w:r>
      <w:r w:rsidR="00314FE1">
        <w:rPr>
          <w:rFonts w:ascii="Arial" w:hAnsi="Arial" w:cs="Arial"/>
        </w:rPr>
        <w:t xml:space="preserve"> Mr Miranda responded </w:t>
      </w:r>
      <w:r w:rsidR="000B4D46">
        <w:rPr>
          <w:rFonts w:ascii="Arial" w:hAnsi="Arial" w:cs="Arial"/>
        </w:rPr>
        <w:t>the same day by email stating</w:t>
      </w:r>
      <w:r w:rsidR="003F268D">
        <w:rPr>
          <w:rFonts w:ascii="Arial" w:hAnsi="Arial" w:cs="Arial"/>
        </w:rPr>
        <w:t xml:space="preserve"> that</w:t>
      </w:r>
      <w:r w:rsidR="000F6573">
        <w:rPr>
          <w:rFonts w:ascii="Arial" w:hAnsi="Arial" w:cs="Arial"/>
        </w:rPr>
        <w:t>:</w:t>
      </w:r>
    </w:p>
    <w:p w14:paraId="65A990D8" w14:textId="77777777" w:rsidR="000F6573" w:rsidRPr="00314FE1" w:rsidRDefault="000F6573" w:rsidP="00FB1CB1">
      <w:pPr>
        <w:pStyle w:val="ListParagraph"/>
        <w:tabs>
          <w:tab w:val="left" w:pos="709"/>
        </w:tabs>
        <w:spacing w:line="360" w:lineRule="auto"/>
        <w:ind w:left="0"/>
        <w:jc w:val="both"/>
        <w:rPr>
          <w:rFonts w:ascii="Arial" w:hAnsi="Arial" w:cs="Arial"/>
          <w:sz w:val="22"/>
          <w:szCs w:val="22"/>
        </w:rPr>
      </w:pPr>
      <w:r>
        <w:rPr>
          <w:rFonts w:ascii="Arial" w:hAnsi="Arial" w:cs="Arial"/>
          <w:sz w:val="22"/>
          <w:szCs w:val="22"/>
        </w:rPr>
        <w:lastRenderedPageBreak/>
        <w:t>‘Unfortunately there has been some logistical issues and we will try a</w:t>
      </w:r>
      <w:r w:rsidR="00480F3E">
        <w:rPr>
          <w:rFonts w:ascii="Arial" w:hAnsi="Arial" w:cs="Arial"/>
          <w:sz w:val="22"/>
          <w:szCs w:val="22"/>
        </w:rPr>
        <w:t>n</w:t>
      </w:r>
      <w:r>
        <w:rPr>
          <w:rFonts w:ascii="Arial" w:hAnsi="Arial" w:cs="Arial"/>
          <w:sz w:val="22"/>
          <w:szCs w:val="22"/>
        </w:rPr>
        <w:t>d file our client’s affidavit by tomorrow but if not by the end of the week.’</w:t>
      </w:r>
    </w:p>
    <w:p w14:paraId="3526A9BA" w14:textId="77777777" w:rsidR="000F6573" w:rsidRDefault="000F6573" w:rsidP="00FB1CB1">
      <w:pPr>
        <w:spacing w:line="360" w:lineRule="auto"/>
        <w:jc w:val="both"/>
        <w:rPr>
          <w:rFonts w:ascii="Arial" w:hAnsi="Arial" w:cs="Arial"/>
        </w:rPr>
      </w:pPr>
      <w:r>
        <w:rPr>
          <w:rFonts w:ascii="Arial" w:hAnsi="Arial" w:cs="Arial"/>
        </w:rPr>
        <w:t xml:space="preserve">The answering affidavit </w:t>
      </w:r>
      <w:r w:rsidR="00FD388C">
        <w:rPr>
          <w:rFonts w:ascii="Arial" w:hAnsi="Arial" w:cs="Arial"/>
        </w:rPr>
        <w:t xml:space="preserve">was not </w:t>
      </w:r>
      <w:r w:rsidR="00480F3E">
        <w:rPr>
          <w:rFonts w:ascii="Arial" w:hAnsi="Arial" w:cs="Arial"/>
        </w:rPr>
        <w:t xml:space="preserve">delivered the next day, </w:t>
      </w:r>
      <w:r w:rsidR="00136F87">
        <w:rPr>
          <w:rFonts w:ascii="Arial" w:hAnsi="Arial" w:cs="Arial"/>
        </w:rPr>
        <w:t xml:space="preserve">nor </w:t>
      </w:r>
      <w:r w:rsidR="00480F3E">
        <w:rPr>
          <w:rFonts w:ascii="Arial" w:hAnsi="Arial" w:cs="Arial"/>
        </w:rPr>
        <w:t>by the end of the week</w:t>
      </w:r>
      <w:r w:rsidR="00136F87">
        <w:rPr>
          <w:rFonts w:ascii="Arial" w:hAnsi="Arial" w:cs="Arial"/>
        </w:rPr>
        <w:t>.</w:t>
      </w:r>
      <w:r w:rsidR="00FD388C">
        <w:rPr>
          <w:rFonts w:ascii="Arial" w:hAnsi="Arial" w:cs="Arial"/>
        </w:rPr>
        <w:t xml:space="preserve"> </w:t>
      </w:r>
    </w:p>
    <w:p w14:paraId="274A16B2" w14:textId="77777777" w:rsidR="000F6573" w:rsidRDefault="000F6573" w:rsidP="00FB1CB1">
      <w:pPr>
        <w:spacing w:line="360" w:lineRule="auto"/>
        <w:jc w:val="both"/>
        <w:rPr>
          <w:rFonts w:ascii="Arial" w:hAnsi="Arial" w:cs="Arial"/>
        </w:rPr>
      </w:pPr>
    </w:p>
    <w:p w14:paraId="60556123" w14:textId="77777777" w:rsidR="000F6573" w:rsidRPr="00FB1CB1" w:rsidRDefault="000F6573" w:rsidP="00FB1CB1">
      <w:pPr>
        <w:pStyle w:val="ListParagraph"/>
        <w:numPr>
          <w:ilvl w:val="0"/>
          <w:numId w:val="8"/>
        </w:numPr>
        <w:tabs>
          <w:tab w:val="left" w:pos="709"/>
        </w:tabs>
        <w:spacing w:line="360" w:lineRule="auto"/>
        <w:ind w:left="0" w:firstLine="0"/>
        <w:jc w:val="both"/>
        <w:rPr>
          <w:rFonts w:ascii="Arial" w:hAnsi="Arial" w:cs="Arial"/>
        </w:rPr>
      </w:pPr>
      <w:r w:rsidRPr="00FB1CB1">
        <w:rPr>
          <w:rFonts w:ascii="Arial" w:hAnsi="Arial" w:cs="Arial"/>
        </w:rPr>
        <w:t xml:space="preserve">It is not clear to me how this assurance could have been given by Mr Miranda. He knew that counsel required to consult with </w:t>
      </w:r>
      <w:r w:rsidR="000B4D46">
        <w:rPr>
          <w:rFonts w:ascii="Arial" w:hAnsi="Arial" w:cs="Arial"/>
        </w:rPr>
        <w:t xml:space="preserve">Mr </w:t>
      </w:r>
      <w:r w:rsidRPr="00FB1CB1">
        <w:rPr>
          <w:rFonts w:ascii="Arial" w:hAnsi="Arial" w:cs="Arial"/>
        </w:rPr>
        <w:t xml:space="preserve">Ali before he drew the answering affidavit </w:t>
      </w:r>
      <w:r w:rsidR="00480F3E">
        <w:rPr>
          <w:rFonts w:ascii="Arial" w:hAnsi="Arial" w:cs="Arial"/>
        </w:rPr>
        <w:t>but</w:t>
      </w:r>
      <w:r w:rsidRPr="00FB1CB1">
        <w:rPr>
          <w:rFonts w:ascii="Arial" w:hAnsi="Arial" w:cs="Arial"/>
        </w:rPr>
        <w:t xml:space="preserve"> he </w:t>
      </w:r>
      <w:r w:rsidR="005672DA">
        <w:rPr>
          <w:rFonts w:ascii="Arial" w:hAnsi="Arial" w:cs="Arial"/>
        </w:rPr>
        <w:t xml:space="preserve">also </w:t>
      </w:r>
      <w:r w:rsidRPr="00FB1CB1">
        <w:rPr>
          <w:rFonts w:ascii="Arial" w:hAnsi="Arial" w:cs="Arial"/>
        </w:rPr>
        <w:t xml:space="preserve">knew that </w:t>
      </w:r>
      <w:r w:rsidR="000B4D46">
        <w:rPr>
          <w:rFonts w:ascii="Arial" w:hAnsi="Arial" w:cs="Arial"/>
        </w:rPr>
        <w:t xml:space="preserve">Mr </w:t>
      </w:r>
      <w:r w:rsidRPr="00FB1CB1">
        <w:rPr>
          <w:rFonts w:ascii="Arial" w:hAnsi="Arial" w:cs="Arial"/>
        </w:rPr>
        <w:t xml:space="preserve">Ali was not in the country at the time that he responded to the applicant’s attorneys. </w:t>
      </w:r>
      <w:r w:rsidR="00480F3E">
        <w:rPr>
          <w:rFonts w:ascii="Arial" w:hAnsi="Arial" w:cs="Arial"/>
        </w:rPr>
        <w:t xml:space="preserve">How this difficulty was to be overcome </w:t>
      </w:r>
      <w:r w:rsidR="000B4D46">
        <w:rPr>
          <w:rFonts w:ascii="Arial" w:hAnsi="Arial" w:cs="Arial"/>
        </w:rPr>
        <w:t xml:space="preserve">and therefore permit the delivery of the answering affidavit as promised </w:t>
      </w:r>
      <w:r w:rsidR="005672DA">
        <w:rPr>
          <w:rFonts w:ascii="Arial" w:hAnsi="Arial" w:cs="Arial"/>
        </w:rPr>
        <w:t xml:space="preserve">by </w:t>
      </w:r>
      <w:r w:rsidR="00285181">
        <w:rPr>
          <w:rFonts w:ascii="Arial" w:hAnsi="Arial" w:cs="Arial"/>
        </w:rPr>
        <w:t>Mr Miranda</w:t>
      </w:r>
      <w:r w:rsidR="005672DA">
        <w:rPr>
          <w:rFonts w:ascii="Arial" w:hAnsi="Arial" w:cs="Arial"/>
        </w:rPr>
        <w:t xml:space="preserve"> </w:t>
      </w:r>
      <w:r w:rsidR="00480F3E">
        <w:rPr>
          <w:rFonts w:ascii="Arial" w:hAnsi="Arial" w:cs="Arial"/>
        </w:rPr>
        <w:t>is not readily apparent.</w:t>
      </w:r>
    </w:p>
    <w:p w14:paraId="467C5794" w14:textId="77777777" w:rsidR="00FB1CB1" w:rsidRDefault="00FB1CB1" w:rsidP="00FB1CB1">
      <w:pPr>
        <w:spacing w:line="360" w:lineRule="auto"/>
        <w:jc w:val="both"/>
        <w:rPr>
          <w:rFonts w:ascii="Arial" w:hAnsi="Arial" w:cs="Arial"/>
        </w:rPr>
      </w:pPr>
    </w:p>
    <w:p w14:paraId="2B3896C4" w14:textId="77777777" w:rsidR="00344B54" w:rsidRDefault="00FB1CB1" w:rsidP="005672DA">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 xml:space="preserve">Mr Miranda continues and states that </w:t>
      </w:r>
      <w:r w:rsidR="00FD388C" w:rsidRPr="00FB1CB1">
        <w:rPr>
          <w:rFonts w:ascii="Arial" w:hAnsi="Arial" w:cs="Arial"/>
        </w:rPr>
        <w:t xml:space="preserve">the respondent admitted that it owed the applicant at least the amount of R265 000 and </w:t>
      </w:r>
      <w:r w:rsidR="00BA55BA">
        <w:rPr>
          <w:rFonts w:ascii="Arial" w:hAnsi="Arial" w:cs="Arial"/>
        </w:rPr>
        <w:t xml:space="preserve">that </w:t>
      </w:r>
      <w:r w:rsidR="00FD388C" w:rsidRPr="00FB1CB1">
        <w:rPr>
          <w:rFonts w:ascii="Arial" w:hAnsi="Arial" w:cs="Arial"/>
        </w:rPr>
        <w:t xml:space="preserve">this was to be tendered to the applicant in the </w:t>
      </w:r>
      <w:r w:rsidR="00136F87">
        <w:rPr>
          <w:rFonts w:ascii="Arial" w:hAnsi="Arial" w:cs="Arial"/>
        </w:rPr>
        <w:t>belief</w:t>
      </w:r>
      <w:r w:rsidR="00FD388C" w:rsidRPr="00FB1CB1">
        <w:rPr>
          <w:rFonts w:ascii="Arial" w:hAnsi="Arial" w:cs="Arial"/>
        </w:rPr>
        <w:t xml:space="preserve"> that the </w:t>
      </w:r>
      <w:r w:rsidR="00D70A08">
        <w:rPr>
          <w:rFonts w:ascii="Arial" w:hAnsi="Arial" w:cs="Arial"/>
        </w:rPr>
        <w:t xml:space="preserve">payment of that amount would bring a halt to the </w:t>
      </w:r>
      <w:r w:rsidR="00FD388C" w:rsidRPr="00FB1CB1">
        <w:rPr>
          <w:rFonts w:ascii="Arial" w:hAnsi="Arial" w:cs="Arial"/>
        </w:rPr>
        <w:t>main application</w:t>
      </w:r>
      <w:r w:rsidR="00D70A08">
        <w:rPr>
          <w:rFonts w:ascii="Arial" w:hAnsi="Arial" w:cs="Arial"/>
        </w:rPr>
        <w:t>.</w:t>
      </w:r>
      <w:r w:rsidR="00FD388C" w:rsidRPr="00FB1CB1">
        <w:rPr>
          <w:rFonts w:ascii="Arial" w:hAnsi="Arial" w:cs="Arial"/>
        </w:rPr>
        <w:t xml:space="preserve"> But </w:t>
      </w:r>
      <w:r>
        <w:rPr>
          <w:rFonts w:ascii="Arial" w:hAnsi="Arial" w:cs="Arial"/>
        </w:rPr>
        <w:t xml:space="preserve">while this </w:t>
      </w:r>
      <w:r w:rsidR="00D70A08">
        <w:rPr>
          <w:rFonts w:ascii="Arial" w:hAnsi="Arial" w:cs="Arial"/>
        </w:rPr>
        <w:t xml:space="preserve">amount </w:t>
      </w:r>
      <w:r>
        <w:rPr>
          <w:rFonts w:ascii="Arial" w:hAnsi="Arial" w:cs="Arial"/>
        </w:rPr>
        <w:t xml:space="preserve">was admitted by the respondent, </w:t>
      </w:r>
      <w:r w:rsidR="00344B54">
        <w:rPr>
          <w:rFonts w:ascii="Arial" w:hAnsi="Arial" w:cs="Arial"/>
        </w:rPr>
        <w:t xml:space="preserve">Mr </w:t>
      </w:r>
      <w:r w:rsidR="00FD388C" w:rsidRPr="00FB1CB1">
        <w:rPr>
          <w:rFonts w:ascii="Arial" w:hAnsi="Arial" w:cs="Arial"/>
        </w:rPr>
        <w:t xml:space="preserve">Ali had not placed Mr Miranda in </w:t>
      </w:r>
      <w:r w:rsidR="00344B54">
        <w:rPr>
          <w:rFonts w:ascii="Arial" w:hAnsi="Arial" w:cs="Arial"/>
        </w:rPr>
        <w:t>the financial</w:t>
      </w:r>
      <w:r w:rsidR="00FD388C" w:rsidRPr="00FB1CB1">
        <w:rPr>
          <w:rFonts w:ascii="Arial" w:hAnsi="Arial" w:cs="Arial"/>
        </w:rPr>
        <w:t xml:space="preserve"> position to make the tender</w:t>
      </w:r>
      <w:r>
        <w:rPr>
          <w:rFonts w:ascii="Arial" w:hAnsi="Arial" w:cs="Arial"/>
        </w:rPr>
        <w:t xml:space="preserve"> before he left for Pakistan</w:t>
      </w:r>
      <w:r w:rsidR="00FD388C" w:rsidRPr="00FB1CB1">
        <w:rPr>
          <w:rFonts w:ascii="Arial" w:hAnsi="Arial" w:cs="Arial"/>
        </w:rPr>
        <w:t>.</w:t>
      </w:r>
      <w:r>
        <w:rPr>
          <w:rFonts w:ascii="Arial" w:hAnsi="Arial" w:cs="Arial"/>
        </w:rPr>
        <w:t xml:space="preserve"> </w:t>
      </w:r>
    </w:p>
    <w:p w14:paraId="34FCBA6A" w14:textId="77777777" w:rsidR="00344B54" w:rsidRPr="00344B54" w:rsidRDefault="00344B54" w:rsidP="005672DA">
      <w:pPr>
        <w:pStyle w:val="ListParagraph"/>
        <w:spacing w:line="360" w:lineRule="auto"/>
        <w:rPr>
          <w:rFonts w:ascii="Arial" w:hAnsi="Arial" w:cs="Arial"/>
        </w:rPr>
      </w:pPr>
    </w:p>
    <w:p w14:paraId="5E884CD9" w14:textId="2A2305D4" w:rsidR="00314FE1" w:rsidRPr="00FB1CB1" w:rsidRDefault="00FB1CB1" w:rsidP="005672DA">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Because the respondent did not deliver its answering affidavit</w:t>
      </w:r>
      <w:r w:rsidR="00384BDB">
        <w:rPr>
          <w:rFonts w:ascii="Arial" w:hAnsi="Arial" w:cs="Arial"/>
        </w:rPr>
        <w:t xml:space="preserve"> by the agreed date and then not as promised by Mr Miranda in his email of 28 November 2022</w:t>
      </w:r>
      <w:r>
        <w:rPr>
          <w:rFonts w:ascii="Arial" w:hAnsi="Arial" w:cs="Arial"/>
        </w:rPr>
        <w:t>, o</w:t>
      </w:r>
      <w:r w:rsidR="00FD388C" w:rsidRPr="00FB1CB1">
        <w:rPr>
          <w:rFonts w:ascii="Arial" w:hAnsi="Arial" w:cs="Arial"/>
        </w:rPr>
        <w:t>n 12 December 2022, the applicant’s attorneys wrote to Mr Miranda an</w:t>
      </w:r>
      <w:r w:rsidR="00392D5E" w:rsidRPr="00FB1CB1">
        <w:rPr>
          <w:rFonts w:ascii="Arial" w:hAnsi="Arial" w:cs="Arial"/>
        </w:rPr>
        <w:t xml:space="preserve">d informed him that the matter would now be set down on the unopposed </w:t>
      </w:r>
      <w:r w:rsidR="00384BDB">
        <w:rPr>
          <w:rFonts w:ascii="Arial" w:hAnsi="Arial" w:cs="Arial"/>
        </w:rPr>
        <w:t xml:space="preserve">motion </w:t>
      </w:r>
      <w:r w:rsidR="00392D5E" w:rsidRPr="00FB1CB1">
        <w:rPr>
          <w:rFonts w:ascii="Arial" w:hAnsi="Arial" w:cs="Arial"/>
        </w:rPr>
        <w:t>roll</w:t>
      </w:r>
      <w:r w:rsidR="00384BDB">
        <w:rPr>
          <w:rFonts w:ascii="Arial" w:hAnsi="Arial" w:cs="Arial"/>
        </w:rPr>
        <w:t xml:space="preserve"> on 22 February 2023</w:t>
      </w:r>
      <w:r w:rsidR="00392D5E" w:rsidRPr="00FB1CB1">
        <w:rPr>
          <w:rFonts w:ascii="Arial" w:hAnsi="Arial" w:cs="Arial"/>
        </w:rPr>
        <w:t xml:space="preserve">. </w:t>
      </w:r>
      <w:r w:rsidR="00D70A08">
        <w:rPr>
          <w:rFonts w:ascii="Arial" w:hAnsi="Arial" w:cs="Arial"/>
        </w:rPr>
        <w:t>The December shut down was then reached</w:t>
      </w:r>
      <w:r w:rsidR="00392D5E" w:rsidRPr="00FB1CB1">
        <w:rPr>
          <w:rFonts w:ascii="Arial" w:hAnsi="Arial" w:cs="Arial"/>
        </w:rPr>
        <w:t xml:space="preserve"> and t</w:t>
      </w:r>
      <w:r w:rsidR="00FD388C" w:rsidRPr="00FB1CB1">
        <w:rPr>
          <w:rFonts w:ascii="Arial" w:hAnsi="Arial" w:cs="Arial"/>
        </w:rPr>
        <w:t xml:space="preserve">he matter was not given the attention </w:t>
      </w:r>
      <w:r w:rsidR="00285181">
        <w:rPr>
          <w:rFonts w:ascii="Arial" w:hAnsi="Arial" w:cs="Arial"/>
        </w:rPr>
        <w:t xml:space="preserve">that </w:t>
      </w:r>
      <w:r w:rsidR="00FD388C" w:rsidRPr="00FB1CB1">
        <w:rPr>
          <w:rFonts w:ascii="Arial" w:hAnsi="Arial" w:cs="Arial"/>
        </w:rPr>
        <w:t>it</w:t>
      </w:r>
      <w:r w:rsidR="00285181">
        <w:rPr>
          <w:rFonts w:ascii="Arial" w:hAnsi="Arial" w:cs="Arial"/>
        </w:rPr>
        <w:t xml:space="preserve"> undoubtedly re</w:t>
      </w:r>
      <w:r w:rsidR="00136F87">
        <w:rPr>
          <w:rFonts w:ascii="Arial" w:hAnsi="Arial" w:cs="Arial"/>
        </w:rPr>
        <w:t>quired from Mr Miranda’s office</w:t>
      </w:r>
      <w:r w:rsidR="00285181">
        <w:rPr>
          <w:rFonts w:ascii="Arial" w:hAnsi="Arial" w:cs="Arial"/>
        </w:rPr>
        <w:t>s</w:t>
      </w:r>
      <w:r w:rsidR="00392D5E" w:rsidRPr="00FB1CB1">
        <w:rPr>
          <w:rFonts w:ascii="Arial" w:hAnsi="Arial" w:cs="Arial"/>
        </w:rPr>
        <w:t>.</w:t>
      </w:r>
      <w:r w:rsidR="00FD388C" w:rsidRPr="00FB1CB1">
        <w:rPr>
          <w:rFonts w:ascii="Arial" w:hAnsi="Arial" w:cs="Arial"/>
        </w:rPr>
        <w:t xml:space="preserve"> </w:t>
      </w:r>
      <w:r>
        <w:rPr>
          <w:rFonts w:ascii="Arial" w:hAnsi="Arial" w:cs="Arial"/>
        </w:rPr>
        <w:t>It was, in fact, not given an</w:t>
      </w:r>
      <w:r w:rsidR="00384BDB">
        <w:rPr>
          <w:rFonts w:ascii="Arial" w:hAnsi="Arial" w:cs="Arial"/>
        </w:rPr>
        <w:t>y</w:t>
      </w:r>
      <w:r>
        <w:rPr>
          <w:rFonts w:ascii="Arial" w:hAnsi="Arial" w:cs="Arial"/>
        </w:rPr>
        <w:t xml:space="preserve"> attention at all for a substantial period.</w:t>
      </w:r>
    </w:p>
    <w:p w14:paraId="2DF90098" w14:textId="77777777" w:rsidR="00392D5E" w:rsidRPr="00FD388C" w:rsidRDefault="00392D5E" w:rsidP="005672DA">
      <w:pPr>
        <w:spacing w:line="360" w:lineRule="auto"/>
        <w:jc w:val="both"/>
        <w:rPr>
          <w:rFonts w:ascii="Arial" w:hAnsi="Arial" w:cs="Arial"/>
        </w:rPr>
      </w:pPr>
    </w:p>
    <w:p w14:paraId="44987FF1" w14:textId="77777777" w:rsidR="00314FE1" w:rsidRDefault="00392D5E" w:rsidP="005672DA">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On 25 January 2023</w:t>
      </w:r>
      <w:r w:rsidR="00FB1CB1">
        <w:rPr>
          <w:rFonts w:ascii="Arial" w:hAnsi="Arial" w:cs="Arial"/>
        </w:rPr>
        <w:t>,</w:t>
      </w:r>
      <w:r>
        <w:rPr>
          <w:rFonts w:ascii="Arial" w:hAnsi="Arial" w:cs="Arial"/>
        </w:rPr>
        <w:t xml:space="preserve"> counsel forwarded a draft answering affidavit </w:t>
      </w:r>
      <w:r w:rsidR="00384BDB">
        <w:rPr>
          <w:rFonts w:ascii="Arial" w:hAnsi="Arial" w:cs="Arial"/>
        </w:rPr>
        <w:t xml:space="preserve">to Mr Miranda </w:t>
      </w:r>
      <w:r w:rsidR="00285181">
        <w:rPr>
          <w:rFonts w:ascii="Arial" w:hAnsi="Arial" w:cs="Arial"/>
        </w:rPr>
        <w:t xml:space="preserve">for Mr Ali to sign </w:t>
      </w:r>
      <w:r>
        <w:rPr>
          <w:rFonts w:ascii="Arial" w:hAnsi="Arial" w:cs="Arial"/>
        </w:rPr>
        <w:t xml:space="preserve">but it could not be signed because </w:t>
      </w:r>
      <w:r w:rsidR="00344B54">
        <w:rPr>
          <w:rFonts w:ascii="Arial" w:hAnsi="Arial" w:cs="Arial"/>
        </w:rPr>
        <w:t>Mr</w:t>
      </w:r>
      <w:r w:rsidR="005672DA">
        <w:rPr>
          <w:rFonts w:ascii="Arial" w:hAnsi="Arial" w:cs="Arial"/>
        </w:rPr>
        <w:t xml:space="preserve"> Ali was still out of the country.</w:t>
      </w:r>
      <w:r w:rsidR="00344B54">
        <w:rPr>
          <w:rFonts w:ascii="Arial" w:hAnsi="Arial" w:cs="Arial"/>
        </w:rPr>
        <w:t xml:space="preserve"> It is not explained how counsel managed to produce this work given his</w:t>
      </w:r>
      <w:r w:rsidR="005672DA">
        <w:rPr>
          <w:rFonts w:ascii="Arial" w:hAnsi="Arial" w:cs="Arial"/>
        </w:rPr>
        <w:t xml:space="preserve"> previous </w:t>
      </w:r>
      <w:r w:rsidR="00344B54">
        <w:rPr>
          <w:rFonts w:ascii="Arial" w:hAnsi="Arial" w:cs="Arial"/>
        </w:rPr>
        <w:t>insistence that he needed to consult with Mr Ali</w:t>
      </w:r>
      <w:r w:rsidR="005672DA">
        <w:rPr>
          <w:rFonts w:ascii="Arial" w:hAnsi="Arial" w:cs="Arial"/>
        </w:rPr>
        <w:t xml:space="preserve"> prior to drafting that document</w:t>
      </w:r>
      <w:r w:rsidR="00344B54">
        <w:rPr>
          <w:rFonts w:ascii="Arial" w:hAnsi="Arial" w:cs="Arial"/>
        </w:rPr>
        <w:t xml:space="preserve">. Mr </w:t>
      </w:r>
      <w:r>
        <w:rPr>
          <w:rFonts w:ascii="Arial" w:hAnsi="Arial" w:cs="Arial"/>
        </w:rPr>
        <w:t>Ali was still in Pakistan and</w:t>
      </w:r>
      <w:r w:rsidR="005672DA">
        <w:rPr>
          <w:rFonts w:ascii="Arial" w:hAnsi="Arial" w:cs="Arial"/>
        </w:rPr>
        <w:t>,</w:t>
      </w:r>
      <w:r>
        <w:rPr>
          <w:rFonts w:ascii="Arial" w:hAnsi="Arial" w:cs="Arial"/>
        </w:rPr>
        <w:t xml:space="preserve"> </w:t>
      </w:r>
      <w:r w:rsidR="00344B54">
        <w:rPr>
          <w:rFonts w:ascii="Arial" w:hAnsi="Arial" w:cs="Arial"/>
        </w:rPr>
        <w:t>according to Mr Miranda</w:t>
      </w:r>
      <w:r w:rsidR="005672DA">
        <w:rPr>
          <w:rFonts w:ascii="Arial" w:hAnsi="Arial" w:cs="Arial"/>
        </w:rPr>
        <w:t>,</w:t>
      </w:r>
      <w:r w:rsidR="00344B54">
        <w:rPr>
          <w:rFonts w:ascii="Arial" w:hAnsi="Arial" w:cs="Arial"/>
        </w:rPr>
        <w:t xml:space="preserve"> </w:t>
      </w:r>
      <w:r w:rsidR="00384BDB">
        <w:rPr>
          <w:rFonts w:ascii="Arial" w:hAnsi="Arial" w:cs="Arial"/>
        </w:rPr>
        <w:t xml:space="preserve">he </w:t>
      </w:r>
      <w:r>
        <w:rPr>
          <w:rFonts w:ascii="Arial" w:hAnsi="Arial" w:cs="Arial"/>
        </w:rPr>
        <w:t xml:space="preserve">could not make arrangements to </w:t>
      </w:r>
      <w:r w:rsidR="00344B54">
        <w:rPr>
          <w:rFonts w:ascii="Arial" w:hAnsi="Arial" w:cs="Arial"/>
        </w:rPr>
        <w:t xml:space="preserve">sign and commission the answering affidavit </w:t>
      </w:r>
      <w:r>
        <w:rPr>
          <w:rFonts w:ascii="Arial" w:hAnsi="Arial" w:cs="Arial"/>
        </w:rPr>
        <w:t xml:space="preserve">at the South African High Commission in that country. </w:t>
      </w:r>
      <w:r w:rsidR="00FB1CB1">
        <w:rPr>
          <w:rFonts w:ascii="Arial" w:hAnsi="Arial" w:cs="Arial"/>
        </w:rPr>
        <w:t xml:space="preserve">Mr Miranda states that </w:t>
      </w:r>
      <w:r w:rsidR="00344B54">
        <w:rPr>
          <w:rFonts w:ascii="Arial" w:hAnsi="Arial" w:cs="Arial"/>
        </w:rPr>
        <w:t xml:space="preserve">Mr </w:t>
      </w:r>
      <w:r>
        <w:rPr>
          <w:rFonts w:ascii="Arial" w:hAnsi="Arial" w:cs="Arial"/>
        </w:rPr>
        <w:t xml:space="preserve">Ali indicated to </w:t>
      </w:r>
      <w:r w:rsidR="00CB3F61">
        <w:rPr>
          <w:rFonts w:ascii="Arial" w:hAnsi="Arial" w:cs="Arial"/>
        </w:rPr>
        <w:t>him</w:t>
      </w:r>
      <w:r>
        <w:rPr>
          <w:rFonts w:ascii="Arial" w:hAnsi="Arial" w:cs="Arial"/>
        </w:rPr>
        <w:t xml:space="preserve"> that it would be easier for </w:t>
      </w:r>
      <w:r w:rsidR="00136F87">
        <w:rPr>
          <w:rFonts w:ascii="Arial" w:hAnsi="Arial" w:cs="Arial"/>
        </w:rPr>
        <w:t>an</w:t>
      </w:r>
      <w:r w:rsidR="00685943">
        <w:rPr>
          <w:rFonts w:ascii="Arial" w:hAnsi="Arial" w:cs="Arial"/>
        </w:rPr>
        <w:t>other Mr Khan, being Mr Muhammed Saleem Khan (</w:t>
      </w:r>
      <w:r w:rsidR="00344B54">
        <w:rPr>
          <w:rFonts w:ascii="Arial" w:hAnsi="Arial" w:cs="Arial"/>
        </w:rPr>
        <w:t xml:space="preserve">Mr </w:t>
      </w:r>
      <w:r w:rsidR="00344B54">
        <w:rPr>
          <w:rFonts w:ascii="Arial" w:hAnsi="Arial" w:cs="Arial"/>
        </w:rPr>
        <w:lastRenderedPageBreak/>
        <w:t>Saleem</w:t>
      </w:r>
      <w:r w:rsidR="00685943">
        <w:rPr>
          <w:rFonts w:ascii="Arial" w:hAnsi="Arial" w:cs="Arial"/>
        </w:rPr>
        <w:t>)</w:t>
      </w:r>
      <w:r w:rsidR="00384BDB">
        <w:rPr>
          <w:rFonts w:ascii="Arial" w:hAnsi="Arial" w:cs="Arial"/>
        </w:rPr>
        <w:t>,</w:t>
      </w:r>
      <w:r w:rsidR="00685943">
        <w:rPr>
          <w:rFonts w:ascii="Arial" w:hAnsi="Arial" w:cs="Arial"/>
        </w:rPr>
        <w:t xml:space="preserve"> to </w:t>
      </w:r>
      <w:r w:rsidR="00CB3F61">
        <w:rPr>
          <w:rFonts w:ascii="Arial" w:hAnsi="Arial" w:cs="Arial"/>
        </w:rPr>
        <w:t>sign the answering affidavit</w:t>
      </w:r>
      <w:r w:rsidR="00685943">
        <w:rPr>
          <w:rFonts w:ascii="Arial" w:hAnsi="Arial" w:cs="Arial"/>
        </w:rPr>
        <w:t xml:space="preserve">. </w:t>
      </w:r>
      <w:r w:rsidR="00CB3F61">
        <w:rPr>
          <w:rFonts w:ascii="Arial" w:hAnsi="Arial" w:cs="Arial"/>
        </w:rPr>
        <w:t xml:space="preserve">This idea was scotched by Mr Miranda as </w:t>
      </w:r>
      <w:r w:rsidR="00344B54">
        <w:rPr>
          <w:rFonts w:ascii="Arial" w:hAnsi="Arial" w:cs="Arial"/>
        </w:rPr>
        <w:t xml:space="preserve">Mr </w:t>
      </w:r>
      <w:r w:rsidR="00CB3F61">
        <w:rPr>
          <w:rFonts w:ascii="Arial" w:hAnsi="Arial" w:cs="Arial"/>
        </w:rPr>
        <w:t>Saleem was at that stage not a director of the respondent</w:t>
      </w:r>
      <w:r w:rsidR="00D70A08">
        <w:rPr>
          <w:rFonts w:ascii="Arial" w:hAnsi="Arial" w:cs="Arial"/>
        </w:rPr>
        <w:t xml:space="preserve"> and could not positively depose to any of the facts in that affidavit.</w:t>
      </w:r>
    </w:p>
    <w:p w14:paraId="29710749" w14:textId="77777777" w:rsidR="00685943" w:rsidRDefault="00685943" w:rsidP="00CB3F61">
      <w:pPr>
        <w:pStyle w:val="ListParagraph"/>
        <w:tabs>
          <w:tab w:val="left" w:pos="709"/>
        </w:tabs>
        <w:spacing w:line="360" w:lineRule="auto"/>
        <w:ind w:left="0"/>
        <w:jc w:val="both"/>
        <w:rPr>
          <w:rFonts w:ascii="Arial" w:hAnsi="Arial" w:cs="Arial"/>
        </w:rPr>
      </w:pPr>
    </w:p>
    <w:p w14:paraId="703140FA" w14:textId="598D8416" w:rsidR="00CB3F61" w:rsidRDefault="00685943" w:rsidP="00CB3F61">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 xml:space="preserve">Mr Miranda then received the payment of R265 000 from the respondent and tendered it to the applicant </w:t>
      </w:r>
      <w:r w:rsidR="00CB3F61">
        <w:rPr>
          <w:rFonts w:ascii="Arial" w:hAnsi="Arial" w:cs="Arial"/>
        </w:rPr>
        <w:t xml:space="preserve">on 30 January 2023 </w:t>
      </w:r>
      <w:r>
        <w:rPr>
          <w:rFonts w:ascii="Arial" w:hAnsi="Arial" w:cs="Arial"/>
        </w:rPr>
        <w:t xml:space="preserve">in the </w:t>
      </w:r>
      <w:r w:rsidR="00384BDB">
        <w:rPr>
          <w:rFonts w:ascii="Arial" w:hAnsi="Arial" w:cs="Arial"/>
        </w:rPr>
        <w:t xml:space="preserve">certain, but </w:t>
      </w:r>
      <w:r>
        <w:rPr>
          <w:rFonts w:ascii="Arial" w:hAnsi="Arial" w:cs="Arial"/>
        </w:rPr>
        <w:t>mistaken</w:t>
      </w:r>
      <w:r w:rsidR="00384BDB">
        <w:rPr>
          <w:rFonts w:ascii="Arial" w:hAnsi="Arial" w:cs="Arial"/>
        </w:rPr>
        <w:t>,</w:t>
      </w:r>
      <w:r>
        <w:rPr>
          <w:rFonts w:ascii="Arial" w:hAnsi="Arial" w:cs="Arial"/>
        </w:rPr>
        <w:t xml:space="preserve"> belief that such a tender would be accepted </w:t>
      </w:r>
      <w:r w:rsidR="00384BDB">
        <w:rPr>
          <w:rFonts w:ascii="Arial" w:hAnsi="Arial" w:cs="Arial"/>
        </w:rPr>
        <w:t>by the applicant</w:t>
      </w:r>
      <w:r w:rsidR="00FA4B75">
        <w:rPr>
          <w:rFonts w:ascii="Arial" w:hAnsi="Arial" w:cs="Arial"/>
        </w:rPr>
        <w:t>,</w:t>
      </w:r>
      <w:r w:rsidR="00384BDB">
        <w:rPr>
          <w:rFonts w:ascii="Arial" w:hAnsi="Arial" w:cs="Arial"/>
        </w:rPr>
        <w:t xml:space="preserve"> </w:t>
      </w:r>
      <w:r w:rsidR="00CB3F61">
        <w:rPr>
          <w:rFonts w:ascii="Arial" w:hAnsi="Arial" w:cs="Arial"/>
        </w:rPr>
        <w:t xml:space="preserve">thereby putting an end to the </w:t>
      </w:r>
      <w:r>
        <w:rPr>
          <w:rFonts w:ascii="Arial" w:hAnsi="Arial" w:cs="Arial"/>
        </w:rPr>
        <w:t xml:space="preserve">main application. </w:t>
      </w:r>
      <w:r w:rsidR="00CB3F61">
        <w:rPr>
          <w:rFonts w:ascii="Arial" w:hAnsi="Arial" w:cs="Arial"/>
        </w:rPr>
        <w:t xml:space="preserve">To his </w:t>
      </w:r>
      <w:r w:rsidR="00384BDB">
        <w:rPr>
          <w:rFonts w:ascii="Arial" w:hAnsi="Arial" w:cs="Arial"/>
        </w:rPr>
        <w:t xml:space="preserve">apparent </w:t>
      </w:r>
      <w:r w:rsidR="00CB3F61">
        <w:rPr>
          <w:rFonts w:ascii="Arial" w:hAnsi="Arial" w:cs="Arial"/>
        </w:rPr>
        <w:t>surprise, the tender was not accepted</w:t>
      </w:r>
      <w:r>
        <w:rPr>
          <w:rFonts w:ascii="Arial" w:hAnsi="Arial" w:cs="Arial"/>
        </w:rPr>
        <w:t xml:space="preserve"> and</w:t>
      </w:r>
      <w:r w:rsidR="00136F87">
        <w:rPr>
          <w:rFonts w:ascii="Arial" w:hAnsi="Arial" w:cs="Arial"/>
        </w:rPr>
        <w:t xml:space="preserve"> the main application proceeded</w:t>
      </w:r>
      <w:r>
        <w:rPr>
          <w:rFonts w:ascii="Arial" w:hAnsi="Arial" w:cs="Arial"/>
        </w:rPr>
        <w:t xml:space="preserve">. </w:t>
      </w:r>
      <w:r w:rsidR="00D70A08">
        <w:rPr>
          <w:rFonts w:ascii="Arial" w:hAnsi="Arial" w:cs="Arial"/>
        </w:rPr>
        <w:t xml:space="preserve">I was advised by both counsel for the applicant, Ms van Jaarsveld, and counsel for the </w:t>
      </w:r>
      <w:r w:rsidR="00FA547E">
        <w:rPr>
          <w:rFonts w:ascii="Arial" w:hAnsi="Arial" w:cs="Arial"/>
        </w:rPr>
        <w:t>respondent, Mr Temlett, that the amount of R265 000 has now been paid to</w:t>
      </w:r>
      <w:r w:rsidR="002F298B">
        <w:rPr>
          <w:rFonts w:ascii="Arial" w:hAnsi="Arial" w:cs="Arial"/>
        </w:rPr>
        <w:t>, and accepted by,</w:t>
      </w:r>
      <w:r w:rsidR="00FA547E">
        <w:rPr>
          <w:rFonts w:ascii="Arial" w:hAnsi="Arial" w:cs="Arial"/>
        </w:rPr>
        <w:t xml:space="preserve"> the applicant</w:t>
      </w:r>
      <w:r w:rsidR="002F298B">
        <w:rPr>
          <w:rFonts w:ascii="Arial" w:hAnsi="Arial" w:cs="Arial"/>
        </w:rPr>
        <w:t>.</w:t>
      </w:r>
      <w:r w:rsidR="00FA547E">
        <w:rPr>
          <w:rFonts w:ascii="Arial" w:hAnsi="Arial" w:cs="Arial"/>
        </w:rPr>
        <w:t xml:space="preserve"> The balance of the </w:t>
      </w:r>
      <w:r w:rsidR="00040268">
        <w:rPr>
          <w:rFonts w:ascii="Arial" w:hAnsi="Arial" w:cs="Arial"/>
        </w:rPr>
        <w:t xml:space="preserve">alleged </w:t>
      </w:r>
      <w:r w:rsidR="00FA547E">
        <w:rPr>
          <w:rFonts w:ascii="Arial" w:hAnsi="Arial" w:cs="Arial"/>
        </w:rPr>
        <w:t xml:space="preserve">indebtedness of the respondent to the applicant is thus the amount of R500 000, which is the amount claimed </w:t>
      </w:r>
      <w:r w:rsidR="00040268">
        <w:rPr>
          <w:rFonts w:ascii="Arial" w:hAnsi="Arial" w:cs="Arial"/>
        </w:rPr>
        <w:t xml:space="preserve">by the respondent </w:t>
      </w:r>
      <w:r w:rsidR="00FA547E">
        <w:rPr>
          <w:rFonts w:ascii="Arial" w:hAnsi="Arial" w:cs="Arial"/>
        </w:rPr>
        <w:t>from the applicant in its particulars of claim.</w:t>
      </w:r>
    </w:p>
    <w:p w14:paraId="2C969F46" w14:textId="77777777" w:rsidR="00FA4B75" w:rsidRDefault="00FA4B75" w:rsidP="00FA4B75">
      <w:pPr>
        <w:pStyle w:val="ListParagraph"/>
        <w:tabs>
          <w:tab w:val="left" w:pos="709"/>
        </w:tabs>
        <w:spacing w:line="360" w:lineRule="auto"/>
        <w:ind w:left="0"/>
        <w:jc w:val="both"/>
        <w:rPr>
          <w:rFonts w:ascii="Arial" w:hAnsi="Arial" w:cs="Arial"/>
        </w:rPr>
      </w:pPr>
    </w:p>
    <w:p w14:paraId="2968FC00" w14:textId="413B61F1" w:rsidR="00685943" w:rsidRDefault="006318E5" w:rsidP="00CB3F61">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M</w:t>
      </w:r>
      <w:r w:rsidR="00685943">
        <w:rPr>
          <w:rFonts w:ascii="Arial" w:hAnsi="Arial" w:cs="Arial"/>
        </w:rPr>
        <w:t xml:space="preserve">eanwhile, </w:t>
      </w:r>
      <w:r w:rsidR="00136F87">
        <w:rPr>
          <w:rFonts w:ascii="Arial" w:hAnsi="Arial" w:cs="Arial"/>
        </w:rPr>
        <w:t>Mr Ali</w:t>
      </w:r>
      <w:r w:rsidR="00FA4B75">
        <w:rPr>
          <w:rFonts w:ascii="Arial" w:hAnsi="Arial" w:cs="Arial"/>
        </w:rPr>
        <w:t>, while still in Pakistan,</w:t>
      </w:r>
      <w:r w:rsidR="00136F87">
        <w:rPr>
          <w:rFonts w:ascii="Arial" w:hAnsi="Arial" w:cs="Arial"/>
        </w:rPr>
        <w:t xml:space="preserve"> resigned as a director </w:t>
      </w:r>
      <w:r w:rsidR="00FA4B75">
        <w:rPr>
          <w:rFonts w:ascii="Arial" w:hAnsi="Arial" w:cs="Arial"/>
        </w:rPr>
        <w:t xml:space="preserve">of the respondent </w:t>
      </w:r>
      <w:r w:rsidR="00136F87">
        <w:rPr>
          <w:rFonts w:ascii="Arial" w:hAnsi="Arial" w:cs="Arial"/>
        </w:rPr>
        <w:t xml:space="preserve">and </w:t>
      </w:r>
      <w:r w:rsidR="00344B54">
        <w:rPr>
          <w:rFonts w:ascii="Arial" w:hAnsi="Arial" w:cs="Arial"/>
        </w:rPr>
        <w:t xml:space="preserve">Mr </w:t>
      </w:r>
      <w:r w:rsidR="00685943">
        <w:rPr>
          <w:rFonts w:ascii="Arial" w:hAnsi="Arial" w:cs="Arial"/>
        </w:rPr>
        <w:t xml:space="preserve">Saleem </w:t>
      </w:r>
      <w:r w:rsidR="009252BE">
        <w:rPr>
          <w:rFonts w:ascii="Arial" w:hAnsi="Arial" w:cs="Arial"/>
        </w:rPr>
        <w:t xml:space="preserve">became a director on 9 February 2023. </w:t>
      </w:r>
      <w:r w:rsidR="008C1163">
        <w:rPr>
          <w:rFonts w:ascii="Arial" w:hAnsi="Arial" w:cs="Arial"/>
        </w:rPr>
        <w:t>Mr Miranda</w:t>
      </w:r>
      <w:r w:rsidR="000C1BAF">
        <w:rPr>
          <w:rFonts w:ascii="Arial" w:hAnsi="Arial" w:cs="Arial"/>
        </w:rPr>
        <w:t xml:space="preserve"> </w:t>
      </w:r>
      <w:r w:rsidR="00136F87">
        <w:rPr>
          <w:rFonts w:ascii="Arial" w:hAnsi="Arial" w:cs="Arial"/>
        </w:rPr>
        <w:t xml:space="preserve">then </w:t>
      </w:r>
      <w:r w:rsidR="000C1BAF">
        <w:rPr>
          <w:rFonts w:ascii="Arial" w:hAnsi="Arial" w:cs="Arial"/>
        </w:rPr>
        <w:t xml:space="preserve">sent the </w:t>
      </w:r>
      <w:r w:rsidR="00E3561E">
        <w:rPr>
          <w:rFonts w:ascii="Arial" w:hAnsi="Arial" w:cs="Arial"/>
        </w:rPr>
        <w:t xml:space="preserve">draft </w:t>
      </w:r>
      <w:r w:rsidR="000C1BAF">
        <w:rPr>
          <w:rFonts w:ascii="Arial" w:hAnsi="Arial" w:cs="Arial"/>
        </w:rPr>
        <w:t xml:space="preserve">answering affidavit </w:t>
      </w:r>
      <w:r w:rsidR="00136F87">
        <w:rPr>
          <w:rFonts w:ascii="Arial" w:hAnsi="Arial" w:cs="Arial"/>
        </w:rPr>
        <w:t>prepared by counsel</w:t>
      </w:r>
      <w:r w:rsidR="00FA4B75">
        <w:rPr>
          <w:rFonts w:ascii="Arial" w:hAnsi="Arial" w:cs="Arial"/>
        </w:rPr>
        <w:t>,</w:t>
      </w:r>
      <w:r w:rsidR="00136F87">
        <w:rPr>
          <w:rFonts w:ascii="Arial" w:hAnsi="Arial" w:cs="Arial"/>
        </w:rPr>
        <w:t xml:space="preserve"> and </w:t>
      </w:r>
      <w:r w:rsidR="00E3561E">
        <w:rPr>
          <w:rFonts w:ascii="Arial" w:hAnsi="Arial" w:cs="Arial"/>
        </w:rPr>
        <w:t>intended for Mr Ali’s signature</w:t>
      </w:r>
      <w:r w:rsidR="00FA4B75">
        <w:rPr>
          <w:rFonts w:ascii="Arial" w:hAnsi="Arial" w:cs="Arial"/>
        </w:rPr>
        <w:t>,</w:t>
      </w:r>
      <w:r w:rsidR="00E3561E">
        <w:rPr>
          <w:rFonts w:ascii="Arial" w:hAnsi="Arial" w:cs="Arial"/>
        </w:rPr>
        <w:t xml:space="preserve"> </w:t>
      </w:r>
      <w:r w:rsidR="000C1BAF">
        <w:rPr>
          <w:rFonts w:ascii="Arial" w:hAnsi="Arial" w:cs="Arial"/>
        </w:rPr>
        <w:t xml:space="preserve">to </w:t>
      </w:r>
      <w:r w:rsidR="008C1163">
        <w:rPr>
          <w:rFonts w:ascii="Arial" w:hAnsi="Arial" w:cs="Arial"/>
        </w:rPr>
        <w:t xml:space="preserve">Mr </w:t>
      </w:r>
      <w:r w:rsidR="000C1BAF">
        <w:rPr>
          <w:rFonts w:ascii="Arial" w:hAnsi="Arial" w:cs="Arial"/>
        </w:rPr>
        <w:t xml:space="preserve">Saleem in </w:t>
      </w:r>
      <w:r w:rsidR="00384BDB">
        <w:rPr>
          <w:rFonts w:ascii="Arial" w:hAnsi="Arial" w:cs="Arial"/>
        </w:rPr>
        <w:t xml:space="preserve">Microsoft </w:t>
      </w:r>
      <w:r w:rsidR="000C1BAF">
        <w:rPr>
          <w:rFonts w:ascii="Arial" w:hAnsi="Arial" w:cs="Arial"/>
        </w:rPr>
        <w:t xml:space="preserve">Word format. </w:t>
      </w:r>
      <w:r w:rsidR="00E3561E">
        <w:rPr>
          <w:rFonts w:ascii="Arial" w:hAnsi="Arial" w:cs="Arial"/>
        </w:rPr>
        <w:t xml:space="preserve">Why this was done is not explained </w:t>
      </w:r>
      <w:r w:rsidR="00CE58D0">
        <w:rPr>
          <w:rFonts w:ascii="Arial" w:hAnsi="Arial" w:cs="Arial"/>
        </w:rPr>
        <w:t xml:space="preserve">in </w:t>
      </w:r>
      <w:r w:rsidR="00E3561E">
        <w:rPr>
          <w:rFonts w:ascii="Arial" w:hAnsi="Arial" w:cs="Arial"/>
        </w:rPr>
        <w:t xml:space="preserve">the papers. </w:t>
      </w:r>
      <w:r w:rsidR="008C1163">
        <w:rPr>
          <w:rFonts w:ascii="Arial" w:hAnsi="Arial" w:cs="Arial"/>
        </w:rPr>
        <w:t xml:space="preserve">Mr </w:t>
      </w:r>
      <w:r w:rsidR="000C1BAF">
        <w:rPr>
          <w:rFonts w:ascii="Arial" w:hAnsi="Arial" w:cs="Arial"/>
        </w:rPr>
        <w:t>Saleem</w:t>
      </w:r>
      <w:r w:rsidR="009252BE">
        <w:rPr>
          <w:rFonts w:ascii="Arial" w:hAnsi="Arial" w:cs="Arial"/>
        </w:rPr>
        <w:t xml:space="preserve"> </w:t>
      </w:r>
      <w:r w:rsidR="00136F87">
        <w:rPr>
          <w:rFonts w:ascii="Arial" w:hAnsi="Arial" w:cs="Arial"/>
        </w:rPr>
        <w:t xml:space="preserve">unilaterally </w:t>
      </w:r>
      <w:r w:rsidR="00FA547E">
        <w:rPr>
          <w:rFonts w:ascii="Arial" w:hAnsi="Arial" w:cs="Arial"/>
        </w:rPr>
        <w:t xml:space="preserve">then </w:t>
      </w:r>
      <w:r w:rsidR="009252BE">
        <w:rPr>
          <w:rFonts w:ascii="Arial" w:hAnsi="Arial" w:cs="Arial"/>
        </w:rPr>
        <w:t>amended the draft</w:t>
      </w:r>
      <w:r w:rsidR="000C1BAF">
        <w:rPr>
          <w:rFonts w:ascii="Arial" w:hAnsi="Arial" w:cs="Arial"/>
        </w:rPr>
        <w:t xml:space="preserve"> answering affidavit</w:t>
      </w:r>
      <w:r w:rsidR="009252BE">
        <w:rPr>
          <w:rFonts w:ascii="Arial" w:hAnsi="Arial" w:cs="Arial"/>
        </w:rPr>
        <w:t xml:space="preserve"> by deleting </w:t>
      </w:r>
      <w:r w:rsidR="008C1163">
        <w:rPr>
          <w:rFonts w:ascii="Arial" w:hAnsi="Arial" w:cs="Arial"/>
        </w:rPr>
        <w:t xml:space="preserve">Mr </w:t>
      </w:r>
      <w:r w:rsidR="009252BE">
        <w:rPr>
          <w:rFonts w:ascii="Arial" w:hAnsi="Arial" w:cs="Arial"/>
        </w:rPr>
        <w:t xml:space="preserve">Ali’s name and inserting his name in the place thereof and </w:t>
      </w:r>
      <w:r w:rsidR="00492327">
        <w:rPr>
          <w:rFonts w:ascii="Arial" w:hAnsi="Arial" w:cs="Arial"/>
        </w:rPr>
        <w:t xml:space="preserve">then </w:t>
      </w:r>
      <w:r w:rsidR="009252BE">
        <w:rPr>
          <w:rFonts w:ascii="Arial" w:hAnsi="Arial" w:cs="Arial"/>
        </w:rPr>
        <w:t xml:space="preserve">signed </w:t>
      </w:r>
      <w:r w:rsidR="000C1BAF">
        <w:rPr>
          <w:rFonts w:ascii="Arial" w:hAnsi="Arial" w:cs="Arial"/>
        </w:rPr>
        <w:t xml:space="preserve">it </w:t>
      </w:r>
      <w:r w:rsidR="009252BE">
        <w:rPr>
          <w:rFonts w:ascii="Arial" w:hAnsi="Arial" w:cs="Arial"/>
        </w:rPr>
        <w:t>and had it commissioned on 14 February 2023.</w:t>
      </w:r>
      <w:r w:rsidR="008C1163">
        <w:rPr>
          <w:rFonts w:ascii="Arial" w:hAnsi="Arial" w:cs="Arial"/>
        </w:rPr>
        <w:t xml:space="preserve"> Mr Saleem made no other changes to the answering affidavit. </w:t>
      </w:r>
      <w:r w:rsidR="009252BE">
        <w:rPr>
          <w:rFonts w:ascii="Arial" w:hAnsi="Arial" w:cs="Arial"/>
        </w:rPr>
        <w:t xml:space="preserve">The answering affidavit was then </w:t>
      </w:r>
      <w:r w:rsidR="00DB756A">
        <w:rPr>
          <w:rFonts w:ascii="Arial" w:hAnsi="Arial" w:cs="Arial"/>
        </w:rPr>
        <w:t xml:space="preserve">served on the applicant’s attorneys </w:t>
      </w:r>
      <w:r w:rsidR="009252BE">
        <w:rPr>
          <w:rFonts w:ascii="Arial" w:hAnsi="Arial" w:cs="Arial"/>
        </w:rPr>
        <w:t>the next day</w:t>
      </w:r>
      <w:r w:rsidR="000C1BAF">
        <w:rPr>
          <w:rFonts w:ascii="Arial" w:hAnsi="Arial" w:cs="Arial"/>
        </w:rPr>
        <w:t xml:space="preserve"> by a member of Mr Miranda’s staff</w:t>
      </w:r>
      <w:r w:rsidR="008C1163">
        <w:rPr>
          <w:rFonts w:ascii="Arial" w:hAnsi="Arial" w:cs="Arial"/>
        </w:rPr>
        <w:t>, apparently</w:t>
      </w:r>
      <w:r w:rsidR="00384BDB">
        <w:rPr>
          <w:rFonts w:ascii="Arial" w:hAnsi="Arial" w:cs="Arial"/>
        </w:rPr>
        <w:t xml:space="preserve"> in his absence</w:t>
      </w:r>
      <w:r w:rsidR="000C1BAF">
        <w:rPr>
          <w:rFonts w:ascii="Arial" w:hAnsi="Arial" w:cs="Arial"/>
        </w:rPr>
        <w:t>.</w:t>
      </w:r>
    </w:p>
    <w:p w14:paraId="3B984EFD" w14:textId="77777777" w:rsidR="00CE44C8" w:rsidRDefault="00CE44C8" w:rsidP="00CE44C8">
      <w:pPr>
        <w:pStyle w:val="ListParagraph"/>
        <w:tabs>
          <w:tab w:val="left" w:pos="709"/>
        </w:tabs>
        <w:spacing w:line="360" w:lineRule="auto"/>
        <w:ind w:left="0"/>
        <w:jc w:val="both"/>
        <w:rPr>
          <w:rFonts w:ascii="Arial" w:hAnsi="Arial" w:cs="Arial"/>
        </w:rPr>
      </w:pPr>
    </w:p>
    <w:p w14:paraId="5D1B0238" w14:textId="1E293FC8" w:rsidR="00714AAF" w:rsidRDefault="00E3561E" w:rsidP="000C1BAF">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As the applicant had indicated</w:t>
      </w:r>
      <w:r w:rsidR="00781CDA">
        <w:rPr>
          <w:rFonts w:ascii="Arial" w:hAnsi="Arial" w:cs="Arial"/>
        </w:rPr>
        <w:t xml:space="preserve"> would occur</w:t>
      </w:r>
      <w:r>
        <w:rPr>
          <w:rFonts w:ascii="Arial" w:hAnsi="Arial" w:cs="Arial"/>
        </w:rPr>
        <w:t>, the main application was enrolled on the unopposed motion roll on 22 February 2023 when, coincidentally, it came before myself.</w:t>
      </w:r>
      <w:r w:rsidR="00A85B16">
        <w:rPr>
          <w:rFonts w:ascii="Arial" w:hAnsi="Arial" w:cs="Arial"/>
        </w:rPr>
        <w:t xml:space="preserve"> </w:t>
      </w:r>
      <w:r w:rsidR="00714AAF">
        <w:rPr>
          <w:rFonts w:ascii="Arial" w:hAnsi="Arial" w:cs="Arial"/>
        </w:rPr>
        <w:t>I granted the following order:</w:t>
      </w:r>
    </w:p>
    <w:p w14:paraId="70311507" w14:textId="77777777" w:rsidR="00714AAF" w:rsidRPr="00714AAF" w:rsidRDefault="00714AAF" w:rsidP="00714AAF">
      <w:pPr>
        <w:pStyle w:val="ListParagraph"/>
        <w:tabs>
          <w:tab w:val="left" w:pos="709"/>
        </w:tabs>
        <w:spacing w:line="360" w:lineRule="auto"/>
        <w:ind w:left="0"/>
        <w:jc w:val="both"/>
        <w:rPr>
          <w:rFonts w:ascii="Arial" w:hAnsi="Arial" w:cs="Arial"/>
          <w:sz w:val="22"/>
          <w:szCs w:val="22"/>
        </w:rPr>
      </w:pPr>
      <w:r w:rsidRPr="00714AAF">
        <w:rPr>
          <w:rFonts w:ascii="Arial" w:hAnsi="Arial" w:cs="Arial"/>
          <w:sz w:val="22"/>
          <w:szCs w:val="22"/>
        </w:rPr>
        <w:t>‘1.</w:t>
      </w:r>
      <w:r w:rsidRPr="00714AAF">
        <w:rPr>
          <w:rFonts w:ascii="Arial" w:hAnsi="Arial" w:cs="Arial"/>
          <w:sz w:val="22"/>
          <w:szCs w:val="22"/>
        </w:rPr>
        <w:tab/>
        <w:t>The matter be and is hereby adjourned to 13 April 2023.</w:t>
      </w:r>
    </w:p>
    <w:p w14:paraId="2600A2F5" w14:textId="77777777" w:rsidR="00714AAF" w:rsidRPr="00714AAF" w:rsidRDefault="00714AAF" w:rsidP="00714AAF">
      <w:pPr>
        <w:pStyle w:val="ListParagraph"/>
        <w:tabs>
          <w:tab w:val="left" w:pos="709"/>
        </w:tabs>
        <w:spacing w:line="360" w:lineRule="auto"/>
        <w:ind w:left="0"/>
        <w:jc w:val="both"/>
        <w:rPr>
          <w:rFonts w:ascii="Arial" w:hAnsi="Arial" w:cs="Arial"/>
          <w:sz w:val="22"/>
          <w:szCs w:val="22"/>
        </w:rPr>
      </w:pPr>
      <w:r w:rsidRPr="00714AAF">
        <w:rPr>
          <w:rFonts w:ascii="Arial" w:hAnsi="Arial" w:cs="Arial"/>
          <w:sz w:val="22"/>
          <w:szCs w:val="22"/>
        </w:rPr>
        <w:t>2.</w:t>
      </w:r>
      <w:r w:rsidRPr="00714AAF">
        <w:rPr>
          <w:rFonts w:ascii="Arial" w:hAnsi="Arial" w:cs="Arial"/>
          <w:sz w:val="22"/>
          <w:szCs w:val="22"/>
        </w:rPr>
        <w:tab/>
        <w:t>The Respondent is to deliver its condonation application within 10 days of this order.</w:t>
      </w:r>
    </w:p>
    <w:p w14:paraId="01785CC3" w14:textId="77777777" w:rsidR="00714AAF" w:rsidRDefault="00714AAF" w:rsidP="00714AAF">
      <w:pPr>
        <w:pStyle w:val="ListParagraph"/>
        <w:tabs>
          <w:tab w:val="left" w:pos="709"/>
        </w:tabs>
        <w:spacing w:line="360" w:lineRule="auto"/>
        <w:ind w:left="0"/>
        <w:jc w:val="both"/>
        <w:rPr>
          <w:rFonts w:ascii="Arial" w:hAnsi="Arial" w:cs="Arial"/>
          <w:sz w:val="22"/>
          <w:szCs w:val="22"/>
        </w:rPr>
      </w:pPr>
      <w:r w:rsidRPr="00714AAF">
        <w:rPr>
          <w:rFonts w:ascii="Arial" w:hAnsi="Arial" w:cs="Arial"/>
          <w:sz w:val="22"/>
          <w:szCs w:val="22"/>
        </w:rPr>
        <w:t>3.</w:t>
      </w:r>
      <w:r w:rsidRPr="00714AAF">
        <w:rPr>
          <w:rFonts w:ascii="Arial" w:hAnsi="Arial" w:cs="Arial"/>
          <w:sz w:val="22"/>
          <w:szCs w:val="22"/>
        </w:rPr>
        <w:tab/>
        <w:t>The Respondent to pay the costs of this adjourn</w:t>
      </w:r>
      <w:r>
        <w:rPr>
          <w:rFonts w:ascii="Arial" w:hAnsi="Arial" w:cs="Arial"/>
          <w:sz w:val="22"/>
          <w:szCs w:val="22"/>
        </w:rPr>
        <w:t>m</w:t>
      </w:r>
      <w:r w:rsidRPr="00714AAF">
        <w:rPr>
          <w:rFonts w:ascii="Arial" w:hAnsi="Arial" w:cs="Arial"/>
          <w:sz w:val="22"/>
          <w:szCs w:val="22"/>
        </w:rPr>
        <w:t>e</w:t>
      </w:r>
      <w:r>
        <w:rPr>
          <w:rFonts w:ascii="Arial" w:hAnsi="Arial" w:cs="Arial"/>
          <w:sz w:val="22"/>
          <w:szCs w:val="22"/>
        </w:rPr>
        <w:t>n</w:t>
      </w:r>
      <w:r w:rsidRPr="00714AAF">
        <w:rPr>
          <w:rFonts w:ascii="Arial" w:hAnsi="Arial" w:cs="Arial"/>
          <w:sz w:val="22"/>
          <w:szCs w:val="22"/>
        </w:rPr>
        <w:t>t.’</w:t>
      </w:r>
    </w:p>
    <w:p w14:paraId="018B4A75" w14:textId="77777777" w:rsidR="00492327" w:rsidRPr="00492327" w:rsidRDefault="00492327" w:rsidP="00714AAF">
      <w:pPr>
        <w:pStyle w:val="ListParagraph"/>
        <w:tabs>
          <w:tab w:val="left" w:pos="709"/>
        </w:tabs>
        <w:spacing w:line="360" w:lineRule="auto"/>
        <w:ind w:left="0"/>
        <w:jc w:val="both"/>
        <w:rPr>
          <w:rFonts w:ascii="Arial" w:hAnsi="Arial" w:cs="Arial"/>
        </w:rPr>
      </w:pPr>
    </w:p>
    <w:p w14:paraId="57B42506" w14:textId="77777777" w:rsidR="000C1BAF" w:rsidRDefault="00FA4B75" w:rsidP="000C1BAF">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Ultimately, t</w:t>
      </w:r>
      <w:r w:rsidR="00EC0F36">
        <w:rPr>
          <w:rFonts w:ascii="Arial" w:hAnsi="Arial" w:cs="Arial"/>
        </w:rPr>
        <w:t>h</w:t>
      </w:r>
      <w:r w:rsidR="004A02FD">
        <w:rPr>
          <w:rFonts w:ascii="Arial" w:hAnsi="Arial" w:cs="Arial"/>
        </w:rPr>
        <w:t>at order was not complied with and the condonation application was not delivered</w:t>
      </w:r>
      <w:r w:rsidR="00714AAF">
        <w:rPr>
          <w:rFonts w:ascii="Arial" w:hAnsi="Arial" w:cs="Arial"/>
        </w:rPr>
        <w:t xml:space="preserve"> within the time period ordered</w:t>
      </w:r>
      <w:r w:rsidR="004A02FD">
        <w:rPr>
          <w:rFonts w:ascii="Arial" w:hAnsi="Arial" w:cs="Arial"/>
        </w:rPr>
        <w:t>.</w:t>
      </w:r>
    </w:p>
    <w:p w14:paraId="713B6CDA" w14:textId="620C306D" w:rsidR="009252BE" w:rsidRDefault="009252BE" w:rsidP="00EE790B">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lastRenderedPageBreak/>
        <w:t xml:space="preserve">Mr Miranda </w:t>
      </w:r>
      <w:r w:rsidR="00EC0F36">
        <w:rPr>
          <w:rFonts w:ascii="Arial" w:hAnsi="Arial" w:cs="Arial"/>
        </w:rPr>
        <w:t xml:space="preserve">states </w:t>
      </w:r>
      <w:r w:rsidR="00714AAF">
        <w:rPr>
          <w:rFonts w:ascii="Arial" w:hAnsi="Arial" w:cs="Arial"/>
        </w:rPr>
        <w:t xml:space="preserve">that </w:t>
      </w:r>
      <w:r w:rsidR="00EC0F36">
        <w:rPr>
          <w:rFonts w:ascii="Arial" w:hAnsi="Arial" w:cs="Arial"/>
        </w:rPr>
        <w:t xml:space="preserve">he </w:t>
      </w:r>
      <w:r w:rsidR="00D52159">
        <w:rPr>
          <w:rFonts w:ascii="Arial" w:hAnsi="Arial" w:cs="Arial"/>
        </w:rPr>
        <w:t xml:space="preserve">thereafter </w:t>
      </w:r>
      <w:r>
        <w:rPr>
          <w:rFonts w:ascii="Arial" w:hAnsi="Arial" w:cs="Arial"/>
        </w:rPr>
        <w:t>met with counsel on 3 March 2023 for th</w:t>
      </w:r>
      <w:r w:rsidR="00EC0F36">
        <w:rPr>
          <w:rFonts w:ascii="Arial" w:hAnsi="Arial" w:cs="Arial"/>
        </w:rPr>
        <w:t>e purpose of preparing the</w:t>
      </w:r>
      <w:r w:rsidR="00D52159">
        <w:rPr>
          <w:rFonts w:ascii="Arial" w:hAnsi="Arial" w:cs="Arial"/>
        </w:rPr>
        <w:t xml:space="preserve"> required</w:t>
      </w:r>
      <w:r w:rsidR="00EC0F36">
        <w:rPr>
          <w:rFonts w:ascii="Arial" w:hAnsi="Arial" w:cs="Arial"/>
        </w:rPr>
        <w:t xml:space="preserve"> condonation application. At this consultation,</w:t>
      </w:r>
      <w:r>
        <w:rPr>
          <w:rFonts w:ascii="Arial" w:hAnsi="Arial" w:cs="Arial"/>
        </w:rPr>
        <w:t xml:space="preserve"> it emerged that counsel had not realised that </w:t>
      </w:r>
      <w:r w:rsidR="00714AAF">
        <w:rPr>
          <w:rFonts w:ascii="Arial" w:hAnsi="Arial" w:cs="Arial"/>
        </w:rPr>
        <w:t xml:space="preserve">Mr </w:t>
      </w:r>
      <w:r>
        <w:rPr>
          <w:rFonts w:ascii="Arial" w:hAnsi="Arial" w:cs="Arial"/>
        </w:rPr>
        <w:t>Saleem</w:t>
      </w:r>
      <w:r w:rsidR="004A02FD">
        <w:rPr>
          <w:rFonts w:ascii="Arial" w:hAnsi="Arial" w:cs="Arial"/>
        </w:rPr>
        <w:t>,</w:t>
      </w:r>
      <w:r>
        <w:rPr>
          <w:rFonts w:ascii="Arial" w:hAnsi="Arial" w:cs="Arial"/>
        </w:rPr>
        <w:t xml:space="preserve"> and not </w:t>
      </w:r>
      <w:r w:rsidR="00714AAF">
        <w:rPr>
          <w:rFonts w:ascii="Arial" w:hAnsi="Arial" w:cs="Arial"/>
        </w:rPr>
        <w:t xml:space="preserve">Mr </w:t>
      </w:r>
      <w:r>
        <w:rPr>
          <w:rFonts w:ascii="Arial" w:hAnsi="Arial" w:cs="Arial"/>
        </w:rPr>
        <w:t>Ali</w:t>
      </w:r>
      <w:r w:rsidR="004A02FD">
        <w:rPr>
          <w:rFonts w:ascii="Arial" w:hAnsi="Arial" w:cs="Arial"/>
        </w:rPr>
        <w:t>,</w:t>
      </w:r>
      <w:r>
        <w:rPr>
          <w:rFonts w:ascii="Arial" w:hAnsi="Arial" w:cs="Arial"/>
        </w:rPr>
        <w:t xml:space="preserve"> </w:t>
      </w:r>
      <w:r w:rsidR="00FA4B75">
        <w:rPr>
          <w:rFonts w:ascii="Arial" w:hAnsi="Arial" w:cs="Arial"/>
        </w:rPr>
        <w:t>had deposed to</w:t>
      </w:r>
      <w:r>
        <w:rPr>
          <w:rFonts w:ascii="Arial" w:hAnsi="Arial" w:cs="Arial"/>
        </w:rPr>
        <w:t xml:space="preserve"> the </w:t>
      </w:r>
      <w:r w:rsidR="00492327">
        <w:rPr>
          <w:rFonts w:ascii="Arial" w:hAnsi="Arial" w:cs="Arial"/>
        </w:rPr>
        <w:t xml:space="preserve">first </w:t>
      </w:r>
      <w:r>
        <w:rPr>
          <w:rFonts w:ascii="Arial" w:hAnsi="Arial" w:cs="Arial"/>
        </w:rPr>
        <w:t>answering affidavit</w:t>
      </w:r>
      <w:r w:rsidR="004A02FD">
        <w:rPr>
          <w:rFonts w:ascii="Arial" w:hAnsi="Arial" w:cs="Arial"/>
        </w:rPr>
        <w:t xml:space="preserve"> that had already been delivered</w:t>
      </w:r>
      <w:r w:rsidR="00FA547E">
        <w:rPr>
          <w:rFonts w:ascii="Arial" w:hAnsi="Arial" w:cs="Arial"/>
        </w:rPr>
        <w:t xml:space="preserve"> to the applicant</w:t>
      </w:r>
      <w:r>
        <w:rPr>
          <w:rFonts w:ascii="Arial" w:hAnsi="Arial" w:cs="Arial"/>
        </w:rPr>
        <w:t xml:space="preserve">. </w:t>
      </w:r>
      <w:r w:rsidR="00A85B16">
        <w:rPr>
          <w:rFonts w:ascii="Arial" w:hAnsi="Arial" w:cs="Arial"/>
        </w:rPr>
        <w:t>Counsel</w:t>
      </w:r>
      <w:r>
        <w:rPr>
          <w:rFonts w:ascii="Arial" w:hAnsi="Arial" w:cs="Arial"/>
        </w:rPr>
        <w:t xml:space="preserve"> was of the view that </w:t>
      </w:r>
      <w:r w:rsidR="00E8462D">
        <w:rPr>
          <w:rFonts w:ascii="Arial" w:hAnsi="Arial" w:cs="Arial"/>
        </w:rPr>
        <w:t>this occasioned a difficulty for the respondent</w:t>
      </w:r>
      <w:r w:rsidR="00A85B16">
        <w:rPr>
          <w:rFonts w:ascii="Arial" w:hAnsi="Arial" w:cs="Arial"/>
        </w:rPr>
        <w:t xml:space="preserve"> as the </w:t>
      </w:r>
      <w:r w:rsidR="00492327">
        <w:rPr>
          <w:rFonts w:ascii="Arial" w:hAnsi="Arial" w:cs="Arial"/>
        </w:rPr>
        <w:t xml:space="preserve">first answering </w:t>
      </w:r>
      <w:r w:rsidR="00E3561E">
        <w:rPr>
          <w:rFonts w:ascii="Arial" w:hAnsi="Arial" w:cs="Arial"/>
        </w:rPr>
        <w:t>affidavit had been draf</w:t>
      </w:r>
      <w:r w:rsidR="00A85B16">
        <w:rPr>
          <w:rFonts w:ascii="Arial" w:hAnsi="Arial" w:cs="Arial"/>
        </w:rPr>
        <w:t xml:space="preserve">ted with the intention that </w:t>
      </w:r>
      <w:r w:rsidR="00714AAF">
        <w:rPr>
          <w:rFonts w:ascii="Arial" w:hAnsi="Arial" w:cs="Arial"/>
        </w:rPr>
        <w:t xml:space="preserve">Mr </w:t>
      </w:r>
      <w:r w:rsidR="00A85B16">
        <w:rPr>
          <w:rFonts w:ascii="Arial" w:hAnsi="Arial" w:cs="Arial"/>
        </w:rPr>
        <w:t>Ali would sign it</w:t>
      </w:r>
      <w:r w:rsidR="00E8462D">
        <w:rPr>
          <w:rFonts w:ascii="Arial" w:hAnsi="Arial" w:cs="Arial"/>
        </w:rPr>
        <w:t>.</w:t>
      </w:r>
      <w:r w:rsidR="00A85B16">
        <w:rPr>
          <w:rFonts w:ascii="Arial" w:hAnsi="Arial" w:cs="Arial"/>
        </w:rPr>
        <w:t xml:space="preserve"> Mr Miranda </w:t>
      </w:r>
      <w:r w:rsidR="00FA547E">
        <w:rPr>
          <w:rFonts w:ascii="Arial" w:hAnsi="Arial" w:cs="Arial"/>
        </w:rPr>
        <w:t>then had an epiphany and realised</w:t>
      </w:r>
      <w:r w:rsidR="00A85B16">
        <w:rPr>
          <w:rFonts w:ascii="Arial" w:hAnsi="Arial" w:cs="Arial"/>
        </w:rPr>
        <w:t xml:space="preserve"> that c</w:t>
      </w:r>
      <w:r w:rsidR="00E8462D">
        <w:rPr>
          <w:rFonts w:ascii="Arial" w:hAnsi="Arial" w:cs="Arial"/>
        </w:rPr>
        <w:t xml:space="preserve">ondonation </w:t>
      </w:r>
      <w:r w:rsidR="00A85B16">
        <w:rPr>
          <w:rFonts w:ascii="Arial" w:hAnsi="Arial" w:cs="Arial"/>
        </w:rPr>
        <w:t xml:space="preserve">for the late filing of </w:t>
      </w:r>
      <w:r w:rsidR="00E8462D">
        <w:rPr>
          <w:rFonts w:ascii="Arial" w:hAnsi="Arial" w:cs="Arial"/>
        </w:rPr>
        <w:t xml:space="preserve">the </w:t>
      </w:r>
      <w:r w:rsidR="00492327">
        <w:rPr>
          <w:rFonts w:ascii="Arial" w:hAnsi="Arial" w:cs="Arial"/>
        </w:rPr>
        <w:t xml:space="preserve">first answering </w:t>
      </w:r>
      <w:r w:rsidR="00E8462D">
        <w:rPr>
          <w:rFonts w:ascii="Arial" w:hAnsi="Arial" w:cs="Arial"/>
        </w:rPr>
        <w:t xml:space="preserve">affidavit signed by </w:t>
      </w:r>
      <w:r w:rsidR="00714AAF">
        <w:rPr>
          <w:rFonts w:ascii="Arial" w:hAnsi="Arial" w:cs="Arial"/>
        </w:rPr>
        <w:t xml:space="preserve">Mr </w:t>
      </w:r>
      <w:r w:rsidR="00E8462D">
        <w:rPr>
          <w:rFonts w:ascii="Arial" w:hAnsi="Arial" w:cs="Arial"/>
        </w:rPr>
        <w:t xml:space="preserve">Saleem would not cut the mustard: </w:t>
      </w:r>
      <w:r w:rsidR="00E3561E">
        <w:rPr>
          <w:rFonts w:ascii="Arial" w:hAnsi="Arial" w:cs="Arial"/>
        </w:rPr>
        <w:t>a second answering affidavit</w:t>
      </w:r>
      <w:r w:rsidR="00FA4B75">
        <w:rPr>
          <w:rFonts w:ascii="Arial" w:hAnsi="Arial" w:cs="Arial"/>
        </w:rPr>
        <w:t xml:space="preserve"> deposed to by Mr Ali</w:t>
      </w:r>
      <w:r w:rsidR="00E3561E">
        <w:rPr>
          <w:rFonts w:ascii="Arial" w:hAnsi="Arial" w:cs="Arial"/>
        </w:rPr>
        <w:t xml:space="preserve"> would have to be prepared and condonation for </w:t>
      </w:r>
      <w:r w:rsidR="00FA547E">
        <w:rPr>
          <w:rFonts w:ascii="Arial" w:hAnsi="Arial" w:cs="Arial"/>
        </w:rPr>
        <w:t xml:space="preserve">its </w:t>
      </w:r>
      <w:r w:rsidR="00E3561E">
        <w:rPr>
          <w:rFonts w:ascii="Arial" w:hAnsi="Arial" w:cs="Arial"/>
        </w:rPr>
        <w:t>late filing would have to be sought.</w:t>
      </w:r>
      <w:r w:rsidR="000A2039">
        <w:rPr>
          <w:rFonts w:ascii="Arial" w:hAnsi="Arial" w:cs="Arial"/>
        </w:rPr>
        <w:t xml:space="preserve"> </w:t>
      </w:r>
      <w:r w:rsidR="00EE790B">
        <w:rPr>
          <w:rFonts w:ascii="Arial" w:hAnsi="Arial" w:cs="Arial"/>
        </w:rPr>
        <w:t>That is what this</w:t>
      </w:r>
      <w:r w:rsidR="00781CDA">
        <w:rPr>
          <w:rFonts w:ascii="Arial" w:hAnsi="Arial" w:cs="Arial"/>
        </w:rPr>
        <w:t xml:space="preserve"> condonation</w:t>
      </w:r>
      <w:r w:rsidR="00EE790B">
        <w:rPr>
          <w:rFonts w:ascii="Arial" w:hAnsi="Arial" w:cs="Arial"/>
        </w:rPr>
        <w:t xml:space="preserve"> application is designed to achieve.</w:t>
      </w:r>
    </w:p>
    <w:p w14:paraId="0FCBD26C" w14:textId="77777777" w:rsidR="00EC0F36" w:rsidRDefault="00EC0F36" w:rsidP="00EE790B">
      <w:pPr>
        <w:pStyle w:val="ListParagraph"/>
        <w:tabs>
          <w:tab w:val="left" w:pos="709"/>
        </w:tabs>
        <w:spacing w:line="360" w:lineRule="auto"/>
        <w:ind w:left="0"/>
        <w:jc w:val="both"/>
        <w:rPr>
          <w:rFonts w:ascii="Arial" w:hAnsi="Arial" w:cs="Arial"/>
        </w:rPr>
      </w:pPr>
    </w:p>
    <w:p w14:paraId="19542A04" w14:textId="77777777" w:rsidR="00EE790B" w:rsidRDefault="00A85B16" w:rsidP="00EE790B">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 xml:space="preserve">Mr Miranda states that </w:t>
      </w:r>
      <w:r w:rsidR="00714AAF">
        <w:rPr>
          <w:rFonts w:ascii="Arial" w:hAnsi="Arial" w:cs="Arial"/>
        </w:rPr>
        <w:t xml:space="preserve">Mr </w:t>
      </w:r>
      <w:r w:rsidR="00E8462D">
        <w:rPr>
          <w:rFonts w:ascii="Arial" w:hAnsi="Arial" w:cs="Arial"/>
        </w:rPr>
        <w:t xml:space="preserve">Ali returned to South Africa on 24 March 2023 and met with </w:t>
      </w:r>
      <w:r>
        <w:rPr>
          <w:rFonts w:ascii="Arial" w:hAnsi="Arial" w:cs="Arial"/>
        </w:rPr>
        <w:t>him</w:t>
      </w:r>
      <w:r w:rsidR="00E8462D">
        <w:rPr>
          <w:rFonts w:ascii="Arial" w:hAnsi="Arial" w:cs="Arial"/>
        </w:rPr>
        <w:t xml:space="preserve"> on 31 March 2023</w:t>
      </w:r>
      <w:r w:rsidR="0027190C">
        <w:rPr>
          <w:rFonts w:ascii="Arial" w:hAnsi="Arial" w:cs="Arial"/>
        </w:rPr>
        <w:t>,</w:t>
      </w:r>
      <w:r w:rsidR="00E8462D">
        <w:rPr>
          <w:rFonts w:ascii="Arial" w:hAnsi="Arial" w:cs="Arial"/>
        </w:rPr>
        <w:t xml:space="preserve"> when he signed the </w:t>
      </w:r>
      <w:r w:rsidR="00492327">
        <w:rPr>
          <w:rFonts w:ascii="Arial" w:hAnsi="Arial" w:cs="Arial"/>
        </w:rPr>
        <w:t xml:space="preserve">second </w:t>
      </w:r>
      <w:r w:rsidR="00E8462D">
        <w:rPr>
          <w:rFonts w:ascii="Arial" w:hAnsi="Arial" w:cs="Arial"/>
        </w:rPr>
        <w:t xml:space="preserve">answering affidavit. Mr Miranda then met with counsel </w:t>
      </w:r>
      <w:r w:rsidR="000A2039">
        <w:rPr>
          <w:rFonts w:ascii="Arial" w:hAnsi="Arial" w:cs="Arial"/>
        </w:rPr>
        <w:t xml:space="preserve">on 5 April 2023 </w:t>
      </w:r>
      <w:r w:rsidR="00E8462D">
        <w:rPr>
          <w:rFonts w:ascii="Arial" w:hAnsi="Arial" w:cs="Arial"/>
        </w:rPr>
        <w:t xml:space="preserve">to prepare the present condonation application. </w:t>
      </w:r>
      <w:r w:rsidR="000A2039">
        <w:rPr>
          <w:rFonts w:ascii="Arial" w:hAnsi="Arial" w:cs="Arial"/>
        </w:rPr>
        <w:t>It was subsequently</w:t>
      </w:r>
      <w:r w:rsidRPr="000A2039">
        <w:rPr>
          <w:rFonts w:ascii="Arial" w:hAnsi="Arial" w:cs="Arial"/>
        </w:rPr>
        <w:t xml:space="preserve"> launched on 11 April 2023</w:t>
      </w:r>
      <w:r w:rsidR="00EE790B">
        <w:rPr>
          <w:rFonts w:ascii="Arial" w:hAnsi="Arial" w:cs="Arial"/>
        </w:rPr>
        <w:t>.</w:t>
      </w:r>
      <w:r w:rsidR="004A02FD">
        <w:rPr>
          <w:rFonts w:ascii="Arial" w:hAnsi="Arial" w:cs="Arial"/>
        </w:rPr>
        <w:t xml:space="preserve"> </w:t>
      </w:r>
    </w:p>
    <w:p w14:paraId="4CDC9872" w14:textId="77777777" w:rsidR="00EE790B" w:rsidRPr="00EE790B" w:rsidRDefault="00EE790B" w:rsidP="00EE790B">
      <w:pPr>
        <w:pStyle w:val="ListParagraph"/>
        <w:spacing w:line="360" w:lineRule="auto"/>
        <w:rPr>
          <w:rFonts w:ascii="Arial" w:hAnsi="Arial" w:cs="Arial"/>
        </w:rPr>
      </w:pPr>
    </w:p>
    <w:p w14:paraId="45D121B5" w14:textId="14B35D5D" w:rsidR="00781CDA" w:rsidRDefault="00EE790B" w:rsidP="00781CDA">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All of this constitutes the respondent’s</w:t>
      </w:r>
      <w:r w:rsidR="004A02FD">
        <w:rPr>
          <w:rFonts w:ascii="Arial" w:hAnsi="Arial" w:cs="Arial"/>
        </w:rPr>
        <w:t xml:space="preserve"> ‘comedy of errors’.</w:t>
      </w:r>
      <w:r w:rsidR="00781CDA">
        <w:rPr>
          <w:rFonts w:ascii="Arial" w:hAnsi="Arial" w:cs="Arial"/>
        </w:rPr>
        <w:t xml:space="preserve"> </w:t>
      </w:r>
      <w:r w:rsidR="005532E4" w:rsidRPr="00781CDA">
        <w:rPr>
          <w:rFonts w:ascii="Arial" w:hAnsi="Arial" w:cs="Arial"/>
        </w:rPr>
        <w:t xml:space="preserve">The applicant opposes </w:t>
      </w:r>
      <w:r w:rsidR="004A02FD" w:rsidRPr="00781CDA">
        <w:rPr>
          <w:rFonts w:ascii="Arial" w:hAnsi="Arial" w:cs="Arial"/>
        </w:rPr>
        <w:t xml:space="preserve">condonation being granted </w:t>
      </w:r>
      <w:r w:rsidR="005532E4" w:rsidRPr="00781CDA">
        <w:rPr>
          <w:rFonts w:ascii="Arial" w:hAnsi="Arial" w:cs="Arial"/>
        </w:rPr>
        <w:t xml:space="preserve">and </w:t>
      </w:r>
      <w:r w:rsidR="00345662" w:rsidRPr="00781CDA">
        <w:rPr>
          <w:rFonts w:ascii="Arial" w:hAnsi="Arial" w:cs="Arial"/>
        </w:rPr>
        <w:t xml:space="preserve">opposes the </w:t>
      </w:r>
      <w:r w:rsidR="00492327" w:rsidRPr="00781CDA">
        <w:rPr>
          <w:rFonts w:ascii="Arial" w:hAnsi="Arial" w:cs="Arial"/>
        </w:rPr>
        <w:t xml:space="preserve">second </w:t>
      </w:r>
      <w:r w:rsidR="00345662" w:rsidRPr="00781CDA">
        <w:rPr>
          <w:rFonts w:ascii="Arial" w:hAnsi="Arial" w:cs="Arial"/>
        </w:rPr>
        <w:t>answering affidavit being substituted for th</w:t>
      </w:r>
      <w:r w:rsidR="00492327" w:rsidRPr="00781CDA">
        <w:rPr>
          <w:rFonts w:ascii="Arial" w:hAnsi="Arial" w:cs="Arial"/>
        </w:rPr>
        <w:t>e first answering affidavit</w:t>
      </w:r>
      <w:r w:rsidR="00345662" w:rsidRPr="00781CDA">
        <w:rPr>
          <w:rFonts w:ascii="Arial" w:hAnsi="Arial" w:cs="Arial"/>
        </w:rPr>
        <w:t>.</w:t>
      </w:r>
      <w:r w:rsidR="003F2D94" w:rsidRPr="00781CDA">
        <w:rPr>
          <w:rFonts w:ascii="Arial" w:hAnsi="Arial" w:cs="Arial"/>
        </w:rPr>
        <w:t xml:space="preserve"> </w:t>
      </w:r>
    </w:p>
    <w:p w14:paraId="030703DC" w14:textId="77777777" w:rsidR="00781CDA" w:rsidRPr="00781CDA" w:rsidRDefault="00781CDA" w:rsidP="00781CDA">
      <w:pPr>
        <w:pStyle w:val="ListParagraph"/>
        <w:spacing w:line="360" w:lineRule="auto"/>
        <w:rPr>
          <w:rFonts w:ascii="Arial" w:hAnsi="Arial" w:cs="Arial"/>
        </w:rPr>
      </w:pPr>
    </w:p>
    <w:p w14:paraId="3F2BC000" w14:textId="77777777" w:rsidR="00E3561E" w:rsidRPr="00781CDA" w:rsidRDefault="003F2D94" w:rsidP="00781CDA">
      <w:pPr>
        <w:pStyle w:val="ListParagraph"/>
        <w:numPr>
          <w:ilvl w:val="0"/>
          <w:numId w:val="8"/>
        </w:numPr>
        <w:tabs>
          <w:tab w:val="left" w:pos="709"/>
        </w:tabs>
        <w:spacing w:line="360" w:lineRule="auto"/>
        <w:ind w:left="0" w:firstLine="0"/>
        <w:jc w:val="both"/>
        <w:rPr>
          <w:rFonts w:ascii="Arial" w:hAnsi="Arial" w:cs="Arial"/>
        </w:rPr>
      </w:pPr>
      <w:r w:rsidRPr="00781CDA">
        <w:rPr>
          <w:rFonts w:ascii="Arial" w:hAnsi="Arial" w:cs="Arial"/>
        </w:rPr>
        <w:t xml:space="preserve">As a general proposition, it would be fair to state that the applicant holds </w:t>
      </w:r>
      <w:r w:rsidR="00FA4B75">
        <w:rPr>
          <w:rFonts w:ascii="Arial" w:hAnsi="Arial" w:cs="Arial"/>
        </w:rPr>
        <w:t xml:space="preserve">the view </w:t>
      </w:r>
      <w:r w:rsidRPr="00781CDA">
        <w:rPr>
          <w:rFonts w:ascii="Arial" w:hAnsi="Arial" w:cs="Arial"/>
        </w:rPr>
        <w:t>that the respondent has engaged in a deliberate strategy of delay and</w:t>
      </w:r>
      <w:r w:rsidR="00781CDA">
        <w:rPr>
          <w:rFonts w:ascii="Arial" w:hAnsi="Arial" w:cs="Arial"/>
        </w:rPr>
        <w:t xml:space="preserve"> that</w:t>
      </w:r>
      <w:r w:rsidRPr="00781CDA">
        <w:rPr>
          <w:rFonts w:ascii="Arial" w:hAnsi="Arial" w:cs="Arial"/>
        </w:rPr>
        <w:t xml:space="preserve"> </w:t>
      </w:r>
      <w:r w:rsidR="00412503">
        <w:rPr>
          <w:rFonts w:ascii="Arial" w:hAnsi="Arial" w:cs="Arial"/>
        </w:rPr>
        <w:t xml:space="preserve">evidence of this foot dragging </w:t>
      </w:r>
      <w:r w:rsidRPr="00781CDA">
        <w:rPr>
          <w:rFonts w:ascii="Arial" w:hAnsi="Arial" w:cs="Arial"/>
        </w:rPr>
        <w:t xml:space="preserve">is manifested by the delay in the delivery of </w:t>
      </w:r>
      <w:r w:rsidR="00633452" w:rsidRPr="00781CDA">
        <w:rPr>
          <w:rFonts w:ascii="Arial" w:hAnsi="Arial" w:cs="Arial"/>
        </w:rPr>
        <w:t xml:space="preserve">both </w:t>
      </w:r>
      <w:r w:rsidRPr="00781CDA">
        <w:rPr>
          <w:rFonts w:ascii="Arial" w:hAnsi="Arial" w:cs="Arial"/>
        </w:rPr>
        <w:t xml:space="preserve">the </w:t>
      </w:r>
      <w:r w:rsidR="00633452" w:rsidRPr="00781CDA">
        <w:rPr>
          <w:rFonts w:ascii="Arial" w:hAnsi="Arial" w:cs="Arial"/>
        </w:rPr>
        <w:t xml:space="preserve">first and second </w:t>
      </w:r>
      <w:r w:rsidRPr="00781CDA">
        <w:rPr>
          <w:rFonts w:ascii="Arial" w:hAnsi="Arial" w:cs="Arial"/>
        </w:rPr>
        <w:t>answering affidavit</w:t>
      </w:r>
      <w:r w:rsidR="00633452" w:rsidRPr="00781CDA">
        <w:rPr>
          <w:rFonts w:ascii="Arial" w:hAnsi="Arial" w:cs="Arial"/>
        </w:rPr>
        <w:t>s</w:t>
      </w:r>
      <w:r w:rsidRPr="00781CDA">
        <w:rPr>
          <w:rFonts w:ascii="Arial" w:hAnsi="Arial" w:cs="Arial"/>
        </w:rPr>
        <w:t xml:space="preserve"> in the main application. This point of view would appear to be largely coloured by the respondent’s conduct in the eviction application mentioned previously. </w:t>
      </w:r>
    </w:p>
    <w:p w14:paraId="0C7198DF" w14:textId="77777777" w:rsidR="00E3561E" w:rsidRDefault="00E3561E" w:rsidP="00E3561E">
      <w:pPr>
        <w:pStyle w:val="ListParagraph"/>
        <w:tabs>
          <w:tab w:val="left" w:pos="709"/>
        </w:tabs>
        <w:spacing w:line="360" w:lineRule="auto"/>
        <w:ind w:left="0"/>
        <w:jc w:val="both"/>
        <w:rPr>
          <w:rFonts w:ascii="Arial" w:hAnsi="Arial" w:cs="Arial"/>
        </w:rPr>
      </w:pPr>
    </w:p>
    <w:p w14:paraId="7D025775" w14:textId="7761D8C9" w:rsidR="003F2D94" w:rsidRPr="003F2D94" w:rsidRDefault="003F2D94" w:rsidP="003F2D94">
      <w:pPr>
        <w:pStyle w:val="ListParagraph"/>
        <w:numPr>
          <w:ilvl w:val="0"/>
          <w:numId w:val="8"/>
        </w:numPr>
        <w:tabs>
          <w:tab w:val="left" w:pos="709"/>
        </w:tabs>
        <w:spacing w:line="360" w:lineRule="auto"/>
        <w:ind w:left="0" w:firstLine="0"/>
        <w:jc w:val="both"/>
        <w:rPr>
          <w:rFonts w:ascii="Arial" w:hAnsi="Arial" w:cs="Arial"/>
        </w:rPr>
      </w:pPr>
      <w:r w:rsidRPr="003F2D94">
        <w:rPr>
          <w:rFonts w:ascii="Arial" w:hAnsi="Arial" w:cs="Arial"/>
        </w:rPr>
        <w:t xml:space="preserve">While the applicant may be anxious to finally resolve all </w:t>
      </w:r>
      <w:r w:rsidR="00527D87">
        <w:rPr>
          <w:rFonts w:ascii="Arial" w:hAnsi="Arial" w:cs="Arial"/>
        </w:rPr>
        <w:t xml:space="preserve">the </w:t>
      </w:r>
      <w:r w:rsidRPr="003F2D94">
        <w:rPr>
          <w:rFonts w:ascii="Arial" w:hAnsi="Arial" w:cs="Arial"/>
        </w:rPr>
        <w:t xml:space="preserve">issues between itself and the respondent, there does not appear to me to be any evidence of the strategy complained of by the applicant. The steps taken by the respondent that may have prevented a swift and final resolution of the eviction matter were all steps that the law countenances and makes available to parties aggrieved by a decision of the </w:t>
      </w:r>
      <w:r w:rsidR="006122CC">
        <w:rPr>
          <w:rFonts w:ascii="Arial" w:hAnsi="Arial" w:cs="Arial"/>
        </w:rPr>
        <w:t>h</w:t>
      </w:r>
      <w:r w:rsidRPr="003F2D94">
        <w:rPr>
          <w:rFonts w:ascii="Arial" w:hAnsi="Arial" w:cs="Arial"/>
        </w:rPr>
        <w:t xml:space="preserve">igh </w:t>
      </w:r>
      <w:r w:rsidR="006122CC">
        <w:rPr>
          <w:rFonts w:ascii="Arial" w:hAnsi="Arial" w:cs="Arial"/>
        </w:rPr>
        <w:t>c</w:t>
      </w:r>
      <w:r w:rsidRPr="003F2D94">
        <w:rPr>
          <w:rFonts w:ascii="Arial" w:hAnsi="Arial" w:cs="Arial"/>
        </w:rPr>
        <w:t xml:space="preserve">ourt. The respondent cannot be criticised for taking advantage of that which the </w:t>
      </w:r>
      <w:r w:rsidRPr="003F2D94">
        <w:rPr>
          <w:rFonts w:ascii="Arial" w:hAnsi="Arial" w:cs="Arial"/>
        </w:rPr>
        <w:lastRenderedPageBreak/>
        <w:t>law permits. The fact that the respondent did not succeed in its attempts to appeal does not mean it was not entitled to attempt such appeal.</w:t>
      </w:r>
    </w:p>
    <w:p w14:paraId="5DE22966" w14:textId="77777777" w:rsidR="003F2D94" w:rsidRPr="008E2DD7" w:rsidRDefault="003F2D94" w:rsidP="003F2D94">
      <w:pPr>
        <w:pStyle w:val="ListParagraph"/>
        <w:spacing w:line="360" w:lineRule="auto"/>
        <w:rPr>
          <w:rFonts w:ascii="Arial" w:hAnsi="Arial" w:cs="Arial"/>
        </w:rPr>
      </w:pPr>
    </w:p>
    <w:p w14:paraId="485B1EAC" w14:textId="7FC68922" w:rsidR="003F2D94" w:rsidRDefault="003F2D94" w:rsidP="00633452">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 xml:space="preserve">Indeed, it appears to me that the applicant has contributed somewhat to the delay in finalising the matter. While it is within its rights to require the respondent to formally apply for condonation, sight must not be lost of the fact that the </w:t>
      </w:r>
      <w:r w:rsidR="00633452">
        <w:rPr>
          <w:rFonts w:ascii="Arial" w:hAnsi="Arial" w:cs="Arial"/>
        </w:rPr>
        <w:t xml:space="preserve">first </w:t>
      </w:r>
      <w:r>
        <w:rPr>
          <w:rFonts w:ascii="Arial" w:hAnsi="Arial" w:cs="Arial"/>
        </w:rPr>
        <w:t xml:space="preserve">answering affidavit was delivered on 15 February 2023 and </w:t>
      </w:r>
      <w:r w:rsidR="00633452">
        <w:rPr>
          <w:rFonts w:ascii="Arial" w:hAnsi="Arial" w:cs="Arial"/>
        </w:rPr>
        <w:t xml:space="preserve">had already been replied to by </w:t>
      </w:r>
      <w:r>
        <w:rPr>
          <w:rFonts w:ascii="Arial" w:hAnsi="Arial" w:cs="Arial"/>
        </w:rPr>
        <w:t xml:space="preserve">the applicant on 1 March 2023. </w:t>
      </w:r>
      <w:r w:rsidR="00E3561E">
        <w:rPr>
          <w:rFonts w:ascii="Arial" w:hAnsi="Arial" w:cs="Arial"/>
        </w:rPr>
        <w:t xml:space="preserve">The papers were then at that stage complete. </w:t>
      </w:r>
      <w:r>
        <w:rPr>
          <w:rFonts w:ascii="Arial" w:hAnsi="Arial" w:cs="Arial"/>
        </w:rPr>
        <w:t>Rather than set the matter down for argument on the opposed roll, the applicant took the principled stand that condonation should be sought by the respondent. I</w:t>
      </w:r>
      <w:r w:rsidR="00412503">
        <w:rPr>
          <w:rFonts w:ascii="Arial" w:hAnsi="Arial" w:cs="Arial"/>
        </w:rPr>
        <w:t xml:space="preserve">t must have realised that this would delay the final adjudication of the main application. </w:t>
      </w:r>
      <w:r>
        <w:rPr>
          <w:rFonts w:ascii="Arial" w:hAnsi="Arial" w:cs="Arial"/>
        </w:rPr>
        <w:t xml:space="preserve">Moreover, the condonation application was set down separately from the consideration of the main application. Had they been set down together, they could have been determined together and some of the delay </w:t>
      </w:r>
      <w:r w:rsidR="00633452">
        <w:rPr>
          <w:rFonts w:ascii="Arial" w:hAnsi="Arial" w:cs="Arial"/>
        </w:rPr>
        <w:t xml:space="preserve">that has eventuated </w:t>
      </w:r>
      <w:r>
        <w:rPr>
          <w:rFonts w:ascii="Arial" w:hAnsi="Arial" w:cs="Arial"/>
        </w:rPr>
        <w:t>could have been averted.</w:t>
      </w:r>
      <w:r w:rsidR="00276408">
        <w:rPr>
          <w:rFonts w:ascii="Arial" w:hAnsi="Arial" w:cs="Arial"/>
        </w:rPr>
        <w:t xml:space="preserve"> The longest delay in the matter is the delay occasioned by the wait for </w:t>
      </w:r>
      <w:r w:rsidR="00D33B71">
        <w:rPr>
          <w:rFonts w:ascii="Arial" w:hAnsi="Arial" w:cs="Arial"/>
        </w:rPr>
        <w:t xml:space="preserve">a </w:t>
      </w:r>
      <w:r w:rsidR="00276408">
        <w:rPr>
          <w:rFonts w:ascii="Arial" w:hAnsi="Arial" w:cs="Arial"/>
        </w:rPr>
        <w:t>date on the opposed roll.</w:t>
      </w:r>
    </w:p>
    <w:p w14:paraId="6AB4868C" w14:textId="77777777" w:rsidR="003F2D94" w:rsidRPr="003F2D94" w:rsidRDefault="003F2D94" w:rsidP="00633452">
      <w:pPr>
        <w:pStyle w:val="ListParagraph"/>
        <w:spacing w:line="360" w:lineRule="auto"/>
        <w:rPr>
          <w:rFonts w:ascii="Arial" w:hAnsi="Arial" w:cs="Arial"/>
        </w:rPr>
      </w:pPr>
    </w:p>
    <w:p w14:paraId="2A9A8F70" w14:textId="77777777" w:rsidR="00301AA9" w:rsidRDefault="00345662" w:rsidP="00156384">
      <w:pPr>
        <w:pStyle w:val="ListParagraph"/>
        <w:numPr>
          <w:ilvl w:val="0"/>
          <w:numId w:val="8"/>
        </w:numPr>
        <w:tabs>
          <w:tab w:val="left" w:pos="709"/>
        </w:tabs>
        <w:spacing w:line="360" w:lineRule="auto"/>
        <w:ind w:left="0" w:firstLine="0"/>
        <w:jc w:val="both"/>
        <w:rPr>
          <w:rFonts w:ascii="Arial" w:hAnsi="Arial" w:cs="Arial"/>
        </w:rPr>
      </w:pPr>
      <w:r w:rsidRPr="00276408">
        <w:rPr>
          <w:rFonts w:ascii="Arial" w:hAnsi="Arial" w:cs="Arial"/>
        </w:rPr>
        <w:t xml:space="preserve"> The applicant commences its opposition </w:t>
      </w:r>
      <w:r w:rsidR="003F2D94" w:rsidRPr="00276408">
        <w:rPr>
          <w:rFonts w:ascii="Arial" w:hAnsi="Arial" w:cs="Arial"/>
        </w:rPr>
        <w:t xml:space="preserve">to the </w:t>
      </w:r>
      <w:r w:rsidR="00FA4B75" w:rsidRPr="00276408">
        <w:rPr>
          <w:rFonts w:ascii="Arial" w:hAnsi="Arial" w:cs="Arial"/>
        </w:rPr>
        <w:t xml:space="preserve">condonation </w:t>
      </w:r>
      <w:r w:rsidR="003F2D94" w:rsidRPr="00276408">
        <w:rPr>
          <w:rFonts w:ascii="Arial" w:hAnsi="Arial" w:cs="Arial"/>
        </w:rPr>
        <w:t xml:space="preserve">application </w:t>
      </w:r>
      <w:r w:rsidR="005532E4" w:rsidRPr="00276408">
        <w:rPr>
          <w:rFonts w:ascii="Arial" w:hAnsi="Arial" w:cs="Arial"/>
        </w:rPr>
        <w:t xml:space="preserve">by taking </w:t>
      </w:r>
      <w:r w:rsidR="003C3830" w:rsidRPr="00276408">
        <w:rPr>
          <w:rFonts w:ascii="Arial" w:hAnsi="Arial" w:cs="Arial"/>
        </w:rPr>
        <w:t>two</w:t>
      </w:r>
      <w:r w:rsidR="005532E4" w:rsidRPr="00276408">
        <w:rPr>
          <w:rFonts w:ascii="Arial" w:hAnsi="Arial" w:cs="Arial"/>
        </w:rPr>
        <w:t xml:space="preserve"> point</w:t>
      </w:r>
      <w:r w:rsidR="003C3830" w:rsidRPr="00276408">
        <w:rPr>
          <w:rFonts w:ascii="Arial" w:hAnsi="Arial" w:cs="Arial"/>
        </w:rPr>
        <w:t>s</w:t>
      </w:r>
      <w:r w:rsidR="005532E4" w:rsidRPr="00276408">
        <w:rPr>
          <w:rFonts w:ascii="Arial" w:hAnsi="Arial" w:cs="Arial"/>
        </w:rPr>
        <w:t xml:space="preserve"> in limine</w:t>
      </w:r>
      <w:r w:rsidR="00937279" w:rsidRPr="00276408">
        <w:rPr>
          <w:rFonts w:ascii="Arial" w:hAnsi="Arial" w:cs="Arial"/>
        </w:rPr>
        <w:t xml:space="preserve"> in its answering affidavit</w:t>
      </w:r>
      <w:r w:rsidR="005532E4" w:rsidRPr="00276408">
        <w:rPr>
          <w:rFonts w:ascii="Arial" w:hAnsi="Arial" w:cs="Arial"/>
        </w:rPr>
        <w:t>.</w:t>
      </w:r>
      <w:r w:rsidRPr="00276408">
        <w:rPr>
          <w:rFonts w:ascii="Arial" w:hAnsi="Arial" w:cs="Arial"/>
        </w:rPr>
        <w:t xml:space="preserve"> The first point taken is that</w:t>
      </w:r>
      <w:r w:rsidR="00781CDA" w:rsidRPr="00276408">
        <w:rPr>
          <w:rFonts w:ascii="Arial" w:hAnsi="Arial" w:cs="Arial"/>
        </w:rPr>
        <w:t xml:space="preserve"> while</w:t>
      </w:r>
      <w:r w:rsidRPr="00276408">
        <w:rPr>
          <w:rFonts w:ascii="Arial" w:hAnsi="Arial" w:cs="Arial"/>
        </w:rPr>
        <w:t xml:space="preserve"> the respondent may seek condonation for not delivering its </w:t>
      </w:r>
      <w:r w:rsidR="00633452" w:rsidRPr="00276408">
        <w:rPr>
          <w:rFonts w:ascii="Arial" w:hAnsi="Arial" w:cs="Arial"/>
        </w:rPr>
        <w:t xml:space="preserve">second </w:t>
      </w:r>
      <w:r w:rsidRPr="00276408">
        <w:rPr>
          <w:rFonts w:ascii="Arial" w:hAnsi="Arial" w:cs="Arial"/>
        </w:rPr>
        <w:t xml:space="preserve">answering affidavit in the main application within the time prescribed by the Uniform </w:t>
      </w:r>
      <w:r w:rsidR="00D90726" w:rsidRPr="00276408">
        <w:rPr>
          <w:rFonts w:ascii="Arial" w:hAnsi="Arial" w:cs="Arial"/>
        </w:rPr>
        <w:t xml:space="preserve">Rules </w:t>
      </w:r>
      <w:r w:rsidR="002D14CE" w:rsidRPr="00276408">
        <w:rPr>
          <w:rFonts w:ascii="Arial" w:hAnsi="Arial" w:cs="Arial"/>
        </w:rPr>
        <w:t xml:space="preserve">of </w:t>
      </w:r>
      <w:r w:rsidR="00D90726" w:rsidRPr="00276408">
        <w:rPr>
          <w:rFonts w:ascii="Arial" w:hAnsi="Arial" w:cs="Arial"/>
        </w:rPr>
        <w:t>Court</w:t>
      </w:r>
      <w:r w:rsidR="00781CDA" w:rsidRPr="00276408">
        <w:rPr>
          <w:rFonts w:ascii="Arial" w:hAnsi="Arial" w:cs="Arial"/>
        </w:rPr>
        <w:t>,</w:t>
      </w:r>
      <w:r w:rsidR="00884EC1" w:rsidRPr="00276408">
        <w:rPr>
          <w:rFonts w:ascii="Arial" w:hAnsi="Arial" w:cs="Arial"/>
        </w:rPr>
        <w:t xml:space="preserve"> condonation cannot be sought for the failure to comply with my order of 22 February 2023</w:t>
      </w:r>
      <w:r w:rsidR="00D90726">
        <w:rPr>
          <w:rFonts w:ascii="Arial" w:hAnsi="Arial" w:cs="Arial"/>
        </w:rPr>
        <w:t>,</w:t>
      </w:r>
      <w:r w:rsidR="00884EC1" w:rsidRPr="00276408">
        <w:rPr>
          <w:rFonts w:ascii="Arial" w:hAnsi="Arial" w:cs="Arial"/>
        </w:rPr>
        <w:t xml:space="preserve"> wherein I directed t</w:t>
      </w:r>
      <w:r w:rsidR="00633452" w:rsidRPr="00276408">
        <w:rPr>
          <w:rFonts w:ascii="Arial" w:hAnsi="Arial" w:cs="Arial"/>
        </w:rPr>
        <w:t>hat t</w:t>
      </w:r>
      <w:r w:rsidR="00884EC1" w:rsidRPr="00276408">
        <w:rPr>
          <w:rFonts w:ascii="Arial" w:hAnsi="Arial" w:cs="Arial"/>
        </w:rPr>
        <w:t xml:space="preserve">he condonation application </w:t>
      </w:r>
      <w:r w:rsidR="00633452" w:rsidRPr="00276408">
        <w:rPr>
          <w:rFonts w:ascii="Arial" w:hAnsi="Arial" w:cs="Arial"/>
        </w:rPr>
        <w:t xml:space="preserve">had </w:t>
      </w:r>
      <w:r w:rsidR="00884EC1" w:rsidRPr="00276408">
        <w:rPr>
          <w:rFonts w:ascii="Arial" w:hAnsi="Arial" w:cs="Arial"/>
        </w:rPr>
        <w:t xml:space="preserve">to be brought within ten days of that date. </w:t>
      </w:r>
      <w:r w:rsidR="00ED4BBB" w:rsidRPr="00276408">
        <w:rPr>
          <w:rFonts w:ascii="Arial" w:hAnsi="Arial" w:cs="Arial"/>
        </w:rPr>
        <w:t xml:space="preserve">The applicant </w:t>
      </w:r>
      <w:r w:rsidR="00884EC1" w:rsidRPr="00276408">
        <w:rPr>
          <w:rFonts w:ascii="Arial" w:hAnsi="Arial" w:cs="Arial"/>
        </w:rPr>
        <w:t>submits that the court cannot condone non-compliance with an order</w:t>
      </w:r>
      <w:r w:rsidR="002D14CE" w:rsidRPr="00276408">
        <w:rPr>
          <w:rFonts w:ascii="Arial" w:hAnsi="Arial" w:cs="Arial"/>
        </w:rPr>
        <w:t xml:space="preserve">, only </w:t>
      </w:r>
      <w:r w:rsidR="008A39E6" w:rsidRPr="00276408">
        <w:rPr>
          <w:rFonts w:ascii="Arial" w:hAnsi="Arial" w:cs="Arial"/>
        </w:rPr>
        <w:t xml:space="preserve">non-compliance with </w:t>
      </w:r>
      <w:r w:rsidR="002D14CE" w:rsidRPr="00276408">
        <w:rPr>
          <w:rFonts w:ascii="Arial" w:hAnsi="Arial" w:cs="Arial"/>
        </w:rPr>
        <w:t>a rule</w:t>
      </w:r>
      <w:r w:rsidR="00884EC1" w:rsidRPr="00276408">
        <w:rPr>
          <w:rFonts w:ascii="Arial" w:hAnsi="Arial" w:cs="Arial"/>
        </w:rPr>
        <w:t xml:space="preserve">. The second point in limine is that the respondent may seek leave to deliver a further affidavit but the Uniform </w:t>
      </w:r>
      <w:r w:rsidR="00D90726" w:rsidRPr="00276408">
        <w:rPr>
          <w:rFonts w:ascii="Arial" w:hAnsi="Arial" w:cs="Arial"/>
        </w:rPr>
        <w:t xml:space="preserve">Rules </w:t>
      </w:r>
      <w:r w:rsidR="00884EC1" w:rsidRPr="00276408">
        <w:rPr>
          <w:rFonts w:ascii="Arial" w:hAnsi="Arial" w:cs="Arial"/>
        </w:rPr>
        <w:t xml:space="preserve">make no provision for the substitution of one affidavit for another. </w:t>
      </w:r>
    </w:p>
    <w:p w14:paraId="067D88B8" w14:textId="77777777" w:rsidR="00276408" w:rsidRPr="00276408" w:rsidRDefault="00276408" w:rsidP="00276408">
      <w:pPr>
        <w:pStyle w:val="ListParagraph"/>
        <w:tabs>
          <w:tab w:val="left" w:pos="709"/>
        </w:tabs>
        <w:spacing w:line="360" w:lineRule="auto"/>
        <w:ind w:left="0"/>
        <w:jc w:val="both"/>
        <w:rPr>
          <w:rFonts w:ascii="Arial" w:hAnsi="Arial" w:cs="Arial"/>
        </w:rPr>
      </w:pPr>
    </w:p>
    <w:p w14:paraId="18F2A3D5" w14:textId="031EEEBA" w:rsidR="00301AA9" w:rsidRDefault="00301AA9" w:rsidP="00A545B5">
      <w:pPr>
        <w:pStyle w:val="ListParagraph"/>
        <w:numPr>
          <w:ilvl w:val="0"/>
          <w:numId w:val="8"/>
        </w:numPr>
        <w:tabs>
          <w:tab w:val="left" w:pos="709"/>
        </w:tabs>
        <w:spacing w:line="360" w:lineRule="auto"/>
        <w:ind w:left="0" w:firstLine="0"/>
        <w:jc w:val="both"/>
        <w:rPr>
          <w:rFonts w:ascii="Arial" w:hAnsi="Arial" w:cs="Arial"/>
        </w:rPr>
      </w:pPr>
      <w:r>
        <w:rPr>
          <w:rFonts w:ascii="Arial" w:hAnsi="Arial" w:cs="Arial"/>
        </w:rPr>
        <w:t>The first point is entirely without merit</w:t>
      </w:r>
      <w:r w:rsidR="00937279">
        <w:rPr>
          <w:rFonts w:ascii="Arial" w:hAnsi="Arial" w:cs="Arial"/>
        </w:rPr>
        <w:t xml:space="preserve"> and was correctly </w:t>
      </w:r>
      <w:r w:rsidR="00412503">
        <w:rPr>
          <w:rFonts w:ascii="Arial" w:hAnsi="Arial" w:cs="Arial"/>
        </w:rPr>
        <w:t>abandoned</w:t>
      </w:r>
      <w:r w:rsidR="00937279">
        <w:rPr>
          <w:rFonts w:ascii="Arial" w:hAnsi="Arial" w:cs="Arial"/>
        </w:rPr>
        <w:t xml:space="preserve"> by Ms van Jaarsveld</w:t>
      </w:r>
      <w:r w:rsidR="0027190C">
        <w:rPr>
          <w:rFonts w:ascii="Arial" w:hAnsi="Arial" w:cs="Arial"/>
        </w:rPr>
        <w:t>,</w:t>
      </w:r>
      <w:r w:rsidR="00937279">
        <w:rPr>
          <w:rFonts w:ascii="Arial" w:hAnsi="Arial" w:cs="Arial"/>
        </w:rPr>
        <w:t xml:space="preserve"> who appeared for the applicant</w:t>
      </w:r>
      <w:r>
        <w:rPr>
          <w:rFonts w:ascii="Arial" w:hAnsi="Arial" w:cs="Arial"/>
        </w:rPr>
        <w:t xml:space="preserve">. </w:t>
      </w:r>
      <w:r w:rsidR="00412503">
        <w:rPr>
          <w:rFonts w:ascii="Arial" w:hAnsi="Arial" w:cs="Arial"/>
        </w:rPr>
        <w:t>I need not say anything further on this issue.</w:t>
      </w:r>
    </w:p>
    <w:p w14:paraId="5B7CED6F" w14:textId="77777777" w:rsidR="005F7372" w:rsidRPr="005F7372" w:rsidRDefault="005F7372" w:rsidP="00A545B5">
      <w:pPr>
        <w:pStyle w:val="ListParagraph"/>
        <w:spacing w:line="360" w:lineRule="auto"/>
        <w:rPr>
          <w:rFonts w:ascii="Arial" w:hAnsi="Arial" w:cs="Arial"/>
        </w:rPr>
      </w:pPr>
    </w:p>
    <w:p w14:paraId="3574ED29" w14:textId="30443ABF" w:rsidR="008D493D" w:rsidRPr="008D493D" w:rsidRDefault="00301AA9" w:rsidP="008D493D">
      <w:pPr>
        <w:pStyle w:val="ListParagraph"/>
        <w:numPr>
          <w:ilvl w:val="0"/>
          <w:numId w:val="8"/>
        </w:numPr>
        <w:tabs>
          <w:tab w:val="left" w:pos="709"/>
        </w:tabs>
        <w:spacing w:line="360" w:lineRule="auto"/>
        <w:ind w:left="0" w:firstLine="0"/>
        <w:jc w:val="both"/>
        <w:rPr>
          <w:rFonts w:asciiTheme="minorBidi" w:hAnsiTheme="minorBidi" w:cstheme="minorBidi"/>
          <w:sz w:val="22"/>
          <w:szCs w:val="22"/>
          <w:lang w:val="en-US"/>
        </w:rPr>
      </w:pPr>
      <w:r w:rsidRPr="005F7372">
        <w:rPr>
          <w:rFonts w:asciiTheme="minorBidi" w:hAnsiTheme="minorBidi" w:cstheme="minorBidi"/>
        </w:rPr>
        <w:t xml:space="preserve">As regards the second point in limine, </w:t>
      </w:r>
      <w:r w:rsidR="00B16AA0" w:rsidRPr="005F7372">
        <w:rPr>
          <w:rFonts w:asciiTheme="minorBidi" w:hAnsiTheme="minorBidi" w:cstheme="minorBidi"/>
        </w:rPr>
        <w:t xml:space="preserve">it seems to me that there is some merit in it. </w:t>
      </w:r>
      <w:r w:rsidR="00412503" w:rsidRPr="005F7372">
        <w:rPr>
          <w:rFonts w:asciiTheme="minorBidi" w:hAnsiTheme="minorBidi" w:cstheme="minorBidi"/>
        </w:rPr>
        <w:t xml:space="preserve">The Uniform </w:t>
      </w:r>
      <w:r w:rsidR="00722305" w:rsidRPr="005F7372">
        <w:rPr>
          <w:rFonts w:asciiTheme="minorBidi" w:hAnsiTheme="minorBidi" w:cstheme="minorBidi"/>
        </w:rPr>
        <w:t xml:space="preserve">Rules </w:t>
      </w:r>
      <w:r w:rsidR="00412503" w:rsidRPr="005F7372">
        <w:rPr>
          <w:rFonts w:asciiTheme="minorBidi" w:hAnsiTheme="minorBidi" w:cstheme="minorBidi"/>
        </w:rPr>
        <w:t xml:space="preserve">of </w:t>
      </w:r>
      <w:r w:rsidR="00722305" w:rsidRPr="005F7372">
        <w:rPr>
          <w:rFonts w:asciiTheme="minorBidi" w:hAnsiTheme="minorBidi" w:cstheme="minorBidi"/>
        </w:rPr>
        <w:t xml:space="preserve">Court </w:t>
      </w:r>
      <w:r w:rsidR="00412503" w:rsidRPr="005F7372">
        <w:rPr>
          <w:rFonts w:asciiTheme="minorBidi" w:hAnsiTheme="minorBidi" w:cstheme="minorBidi"/>
        </w:rPr>
        <w:t xml:space="preserve">do not deal with the </w:t>
      </w:r>
      <w:r w:rsidR="002C65D5" w:rsidRPr="005F7372">
        <w:rPr>
          <w:rFonts w:asciiTheme="minorBidi" w:hAnsiTheme="minorBidi" w:cstheme="minorBidi"/>
        </w:rPr>
        <w:t xml:space="preserve">issue and </w:t>
      </w:r>
      <w:r w:rsidR="00B16AA0" w:rsidRPr="005F7372">
        <w:rPr>
          <w:rFonts w:asciiTheme="minorBidi" w:hAnsiTheme="minorBidi" w:cstheme="minorBidi"/>
        </w:rPr>
        <w:t xml:space="preserve">I have found </w:t>
      </w:r>
      <w:r w:rsidR="005F7372" w:rsidRPr="005F7372">
        <w:rPr>
          <w:rFonts w:asciiTheme="minorBidi" w:hAnsiTheme="minorBidi" w:cstheme="minorBidi"/>
        </w:rPr>
        <w:t>only two</w:t>
      </w:r>
      <w:r w:rsidR="00002CAB" w:rsidRPr="005F7372">
        <w:rPr>
          <w:rFonts w:asciiTheme="minorBidi" w:hAnsiTheme="minorBidi" w:cstheme="minorBidi"/>
        </w:rPr>
        <w:t xml:space="preserve"> </w:t>
      </w:r>
      <w:r w:rsidR="00002CAB" w:rsidRPr="005F7372">
        <w:rPr>
          <w:rFonts w:asciiTheme="minorBidi" w:hAnsiTheme="minorBidi" w:cstheme="minorBidi"/>
        </w:rPr>
        <w:lastRenderedPageBreak/>
        <w:t>matter</w:t>
      </w:r>
      <w:r w:rsidR="005F7372" w:rsidRPr="005F7372">
        <w:rPr>
          <w:rFonts w:asciiTheme="minorBidi" w:hAnsiTheme="minorBidi" w:cstheme="minorBidi"/>
        </w:rPr>
        <w:t>s</w:t>
      </w:r>
      <w:r w:rsidR="00235B6E">
        <w:rPr>
          <w:rStyle w:val="FootnoteReference"/>
          <w:rFonts w:asciiTheme="minorBidi" w:hAnsiTheme="minorBidi" w:cstheme="minorBidi"/>
        </w:rPr>
        <w:footnoteReference w:id="9"/>
      </w:r>
      <w:r w:rsidR="00002CAB" w:rsidRPr="005F7372">
        <w:rPr>
          <w:rFonts w:asciiTheme="minorBidi" w:hAnsiTheme="minorBidi" w:cstheme="minorBidi"/>
        </w:rPr>
        <w:t xml:space="preserve"> where the issue of substitution of affidavits was in issue.</w:t>
      </w:r>
      <w:r w:rsidR="00110BA8">
        <w:rPr>
          <w:rFonts w:asciiTheme="minorBidi" w:hAnsiTheme="minorBidi" w:cstheme="minorBidi"/>
        </w:rPr>
        <w:t xml:space="preserve"> In</w:t>
      </w:r>
      <w:r w:rsidR="00002CAB" w:rsidRPr="005F7372">
        <w:rPr>
          <w:rFonts w:asciiTheme="minorBidi" w:hAnsiTheme="minorBidi" w:cstheme="minorBidi"/>
        </w:rPr>
        <w:t xml:space="preserve"> </w:t>
      </w:r>
      <w:r w:rsidR="005F7372" w:rsidRPr="005F7372">
        <w:rPr>
          <w:rFonts w:asciiTheme="minorBidi" w:hAnsiTheme="minorBidi" w:cstheme="minorBidi"/>
          <w:i/>
          <w:lang w:val="en-US"/>
        </w:rPr>
        <w:t>Ndlebe v Budget Insurance Limited</w:t>
      </w:r>
      <w:r w:rsidR="007E4525" w:rsidRPr="007E4525">
        <w:rPr>
          <w:rFonts w:asciiTheme="minorBidi" w:hAnsiTheme="minorBidi" w:cstheme="minorBidi"/>
          <w:iCs/>
          <w:lang w:val="en-US"/>
        </w:rPr>
        <w:t>,</w:t>
      </w:r>
      <w:r w:rsidR="007E4525" w:rsidRPr="007E4525">
        <w:rPr>
          <w:rStyle w:val="FootnoteReference"/>
          <w:rFonts w:asciiTheme="minorBidi" w:hAnsiTheme="minorBidi" w:cstheme="minorBidi"/>
          <w:iCs/>
          <w:lang w:val="en-US"/>
        </w:rPr>
        <w:footnoteReference w:id="10"/>
      </w:r>
      <w:r w:rsidR="005F7372" w:rsidRPr="005F7372">
        <w:rPr>
          <w:rFonts w:asciiTheme="minorBidi" w:hAnsiTheme="minorBidi" w:cstheme="minorBidi"/>
          <w:i/>
          <w:lang w:val="en-US"/>
        </w:rPr>
        <w:t xml:space="preserve"> </w:t>
      </w:r>
      <w:r w:rsidR="005F7372" w:rsidRPr="005F7372">
        <w:rPr>
          <w:rFonts w:asciiTheme="minorBidi" w:hAnsiTheme="minorBidi" w:cstheme="minorBidi"/>
          <w:lang w:val="en-US"/>
        </w:rPr>
        <w:t>there was an application to file a supplementary affidavit and an application to file a substituted affidavit. The court also had to deal with two applications in terms of rule 30. The court did not rule on the substitution application as it was held that substitution was not necessary where a supplementary affidavit was filed</w:t>
      </w:r>
      <w:r w:rsidR="008D493D">
        <w:rPr>
          <w:rFonts w:asciiTheme="minorBidi" w:hAnsiTheme="minorBidi" w:cstheme="minorBidi"/>
          <w:lang w:val="en-US"/>
        </w:rPr>
        <w:t>, with the court stating that:</w:t>
      </w:r>
    </w:p>
    <w:p w14:paraId="2996252B" w14:textId="3D8BC0EC" w:rsidR="005F7372" w:rsidRDefault="005F7372" w:rsidP="008D493D">
      <w:pPr>
        <w:pStyle w:val="ListParagraph"/>
        <w:tabs>
          <w:tab w:val="left" w:pos="709"/>
        </w:tabs>
        <w:spacing w:line="360" w:lineRule="auto"/>
        <w:ind w:left="0"/>
        <w:jc w:val="both"/>
        <w:rPr>
          <w:rFonts w:asciiTheme="minorBidi" w:hAnsiTheme="minorBidi" w:cstheme="minorBidi"/>
          <w:sz w:val="22"/>
          <w:szCs w:val="22"/>
          <w:lang w:val="en-US"/>
        </w:rPr>
      </w:pPr>
      <w:r w:rsidRPr="007E4525">
        <w:rPr>
          <w:rFonts w:asciiTheme="minorBidi" w:hAnsiTheme="minorBidi" w:cstheme="minorBidi"/>
          <w:sz w:val="22"/>
          <w:szCs w:val="22"/>
          <w:lang w:val="en-US"/>
        </w:rPr>
        <w:t>‘It is my firm view that the interest of justice would not be served by discarding the supplementary affidavit and/or the substitution of the answering affidavit as sought by the applicant in both applications.’</w:t>
      </w:r>
      <w:r w:rsidR="007E4525" w:rsidRPr="007E4525">
        <w:rPr>
          <w:rStyle w:val="FootnoteReference"/>
          <w:rFonts w:asciiTheme="minorBidi" w:hAnsiTheme="minorBidi" w:cstheme="minorBidi"/>
          <w:sz w:val="22"/>
          <w:szCs w:val="22"/>
          <w:lang w:val="en-US"/>
        </w:rPr>
        <w:footnoteReference w:id="11"/>
      </w:r>
    </w:p>
    <w:p w14:paraId="2E7DCDA8" w14:textId="77777777" w:rsidR="00A545B5" w:rsidRPr="00A545B5" w:rsidRDefault="00A545B5" w:rsidP="00A545B5">
      <w:pPr>
        <w:pStyle w:val="CommentText"/>
        <w:tabs>
          <w:tab w:val="left" w:pos="709"/>
        </w:tabs>
        <w:spacing w:line="360" w:lineRule="auto"/>
        <w:jc w:val="both"/>
        <w:rPr>
          <w:rFonts w:asciiTheme="minorBidi" w:hAnsiTheme="minorBidi" w:cstheme="minorBidi"/>
          <w:sz w:val="24"/>
          <w:szCs w:val="24"/>
          <w:lang w:val="en-US"/>
        </w:rPr>
      </w:pPr>
    </w:p>
    <w:p w14:paraId="71BE0C90" w14:textId="3B3A7A21" w:rsidR="00FB563C" w:rsidRPr="00FB563C" w:rsidRDefault="00AE105F" w:rsidP="00A545B5">
      <w:pPr>
        <w:pStyle w:val="ListParagraph"/>
        <w:numPr>
          <w:ilvl w:val="0"/>
          <w:numId w:val="8"/>
        </w:numPr>
        <w:tabs>
          <w:tab w:val="left" w:pos="709"/>
        </w:tabs>
        <w:spacing w:line="360" w:lineRule="auto"/>
        <w:ind w:left="0" w:firstLine="0"/>
        <w:jc w:val="both"/>
      </w:pPr>
      <w:r>
        <w:rPr>
          <w:rFonts w:ascii="Arial" w:hAnsi="Arial" w:cs="Arial"/>
        </w:rPr>
        <w:t xml:space="preserve">In </w:t>
      </w:r>
      <w:r w:rsidRPr="00AE105F">
        <w:rPr>
          <w:rFonts w:ascii="Arial" w:hAnsi="Arial" w:cs="Arial"/>
          <w:i/>
          <w:iCs/>
          <w:color w:val="000000" w:themeColor="text1"/>
        </w:rPr>
        <w:t>Umsobomvu Coal Proprietary Limited v Transasia Mineral SA Proprietary Limited</w:t>
      </w:r>
      <w:r w:rsidR="00FB563C" w:rsidRPr="00781CDA">
        <w:rPr>
          <w:rFonts w:ascii="Arial" w:hAnsi="Arial" w:cs="Arial"/>
          <w:iCs/>
          <w:color w:val="000000" w:themeColor="text1"/>
        </w:rPr>
        <w:t>,</w:t>
      </w:r>
      <w:r w:rsidRPr="00FB563C">
        <w:rPr>
          <w:rStyle w:val="FootnoteReference"/>
          <w:rFonts w:ascii="Arial" w:hAnsi="Arial" w:cs="Arial"/>
          <w:color w:val="000000" w:themeColor="text1"/>
        </w:rPr>
        <w:footnoteReference w:id="12"/>
      </w:r>
      <w:r w:rsidRPr="00FB563C">
        <w:rPr>
          <w:rFonts w:ascii="Arial" w:hAnsi="Arial" w:cs="Arial"/>
          <w:color w:val="000000" w:themeColor="text1"/>
        </w:rPr>
        <w:t xml:space="preserve"> </w:t>
      </w:r>
      <w:r w:rsidR="00FB563C">
        <w:rPr>
          <w:rFonts w:ascii="Arial" w:hAnsi="Arial" w:cs="Arial"/>
          <w:color w:val="000000" w:themeColor="text1"/>
        </w:rPr>
        <w:t>a</w:t>
      </w:r>
      <w:r w:rsidR="00ED4BBB">
        <w:rPr>
          <w:rFonts w:ascii="Arial" w:hAnsi="Arial" w:cs="Arial"/>
          <w:color w:val="000000" w:themeColor="text1"/>
        </w:rPr>
        <w:t>n application to substitute an affidavit</w:t>
      </w:r>
      <w:r w:rsidR="00FB563C">
        <w:rPr>
          <w:rFonts w:ascii="Arial" w:hAnsi="Arial" w:cs="Arial"/>
          <w:color w:val="000000" w:themeColor="text1"/>
        </w:rPr>
        <w:t xml:space="preserve"> was brought based on an allegation that the answering affidavit was:</w:t>
      </w:r>
    </w:p>
    <w:p w14:paraId="22F4D6D1" w14:textId="77777777" w:rsidR="00FB563C" w:rsidRDefault="00FB563C" w:rsidP="00FB563C">
      <w:pPr>
        <w:pStyle w:val="ListParagraph"/>
        <w:tabs>
          <w:tab w:val="left" w:pos="709"/>
        </w:tabs>
        <w:spacing w:before="100" w:beforeAutospacing="1" w:after="100" w:afterAutospacing="1" w:line="360" w:lineRule="auto"/>
        <w:ind w:left="0"/>
        <w:jc w:val="both"/>
        <w:rPr>
          <w:rFonts w:ascii="Arial" w:hAnsi="Arial" w:cs="Arial"/>
          <w:color w:val="000000"/>
          <w:sz w:val="22"/>
          <w:szCs w:val="22"/>
          <w:shd w:val="clear" w:color="auto" w:fill="FFFFFF"/>
        </w:rPr>
      </w:pPr>
      <w:r w:rsidRPr="00FB563C">
        <w:rPr>
          <w:rFonts w:ascii="Arial" w:hAnsi="Arial" w:cs="Arial"/>
          <w:color w:val="000000"/>
          <w:sz w:val="22"/>
          <w:szCs w:val="22"/>
          <w:shd w:val="clear" w:color="auto" w:fill="FFFFFF"/>
        </w:rPr>
        <w:t>‘…</w:t>
      </w:r>
      <w:r w:rsidR="00002CAB">
        <w:rPr>
          <w:rFonts w:ascii="Arial" w:hAnsi="Arial" w:cs="Arial"/>
          <w:color w:val="000000"/>
          <w:sz w:val="22"/>
          <w:szCs w:val="22"/>
          <w:shd w:val="clear" w:color="auto" w:fill="FFFFFF"/>
        </w:rPr>
        <w:t xml:space="preserve"> </w:t>
      </w:r>
      <w:r w:rsidRPr="00FB563C">
        <w:rPr>
          <w:rFonts w:ascii="Arial" w:hAnsi="Arial" w:cs="Arial"/>
          <w:color w:val="000000"/>
          <w:sz w:val="22"/>
          <w:szCs w:val="22"/>
          <w:shd w:val="clear" w:color="auto" w:fill="FFFFFF"/>
        </w:rPr>
        <w:t>deposed to and delivered fraudulently</w:t>
      </w:r>
      <w:r>
        <w:rPr>
          <w:rFonts w:ascii="Arial" w:hAnsi="Arial" w:cs="Arial"/>
          <w:color w:val="000000"/>
          <w:sz w:val="22"/>
          <w:szCs w:val="22"/>
          <w:shd w:val="clear" w:color="auto" w:fill="FFFFFF"/>
        </w:rPr>
        <w:t xml:space="preserve"> </w:t>
      </w:r>
      <w:r w:rsidRPr="00FB563C">
        <w:rPr>
          <w:rFonts w:ascii="Arial" w:hAnsi="Arial" w:cs="Arial"/>
          <w:color w:val="000000"/>
          <w:sz w:val="22"/>
          <w:szCs w:val="22"/>
          <w:shd w:val="clear" w:color="auto" w:fill="FFFFFF"/>
        </w:rPr>
        <w:t>in this application as well as prior applications on behalf of the respondent by a Ms Roytblat.</w:t>
      </w:r>
      <w:r>
        <w:rPr>
          <w:rFonts w:ascii="Arial" w:hAnsi="Arial" w:cs="Arial"/>
          <w:color w:val="000000"/>
          <w:sz w:val="22"/>
          <w:szCs w:val="22"/>
          <w:shd w:val="clear" w:color="auto" w:fill="FFFFFF"/>
        </w:rPr>
        <w:t>’</w:t>
      </w:r>
      <w:r>
        <w:rPr>
          <w:rStyle w:val="FootnoteReference"/>
          <w:rFonts w:ascii="Arial" w:hAnsi="Arial" w:cs="Arial"/>
          <w:color w:val="000000"/>
          <w:sz w:val="22"/>
          <w:szCs w:val="22"/>
          <w:shd w:val="clear" w:color="auto" w:fill="FFFFFF"/>
        </w:rPr>
        <w:footnoteReference w:id="13"/>
      </w:r>
    </w:p>
    <w:p w14:paraId="25E1D5FC" w14:textId="77777777" w:rsidR="00FB563C" w:rsidRDefault="00ED4BBB" w:rsidP="00FB563C">
      <w:pPr>
        <w:pStyle w:val="ListParagraph"/>
        <w:tabs>
          <w:tab w:val="left" w:pos="709"/>
        </w:tabs>
        <w:spacing w:before="100" w:beforeAutospacing="1" w:after="100" w:afterAutospacing="1" w:line="360" w:lineRule="auto"/>
        <w:ind w:left="0"/>
        <w:jc w:val="both"/>
        <w:rPr>
          <w:rFonts w:ascii="Arial" w:hAnsi="Arial" w:cs="Arial"/>
          <w:color w:val="000000"/>
          <w:shd w:val="clear" w:color="auto" w:fill="FFFFFF"/>
        </w:rPr>
      </w:pPr>
      <w:r>
        <w:rPr>
          <w:rFonts w:ascii="Arial" w:hAnsi="Arial" w:cs="Arial"/>
          <w:color w:val="000000"/>
          <w:shd w:val="clear" w:color="auto" w:fill="FFFFFF"/>
        </w:rPr>
        <w:t xml:space="preserve">However, </w:t>
      </w:r>
      <w:r w:rsidR="00FB563C">
        <w:rPr>
          <w:rFonts w:ascii="Arial" w:hAnsi="Arial" w:cs="Arial"/>
          <w:color w:val="000000"/>
          <w:shd w:val="clear" w:color="auto" w:fill="FFFFFF"/>
        </w:rPr>
        <w:t xml:space="preserve">it appears that the application was not persisted in and no judgment on it was </w:t>
      </w:r>
      <w:r w:rsidR="00781CDA">
        <w:rPr>
          <w:rFonts w:ascii="Arial" w:hAnsi="Arial" w:cs="Arial"/>
          <w:color w:val="000000"/>
          <w:shd w:val="clear" w:color="auto" w:fill="FFFFFF"/>
        </w:rPr>
        <w:t xml:space="preserve">therefore </w:t>
      </w:r>
      <w:r w:rsidR="00FB563C">
        <w:rPr>
          <w:rFonts w:ascii="Arial" w:hAnsi="Arial" w:cs="Arial"/>
          <w:color w:val="000000"/>
          <w:shd w:val="clear" w:color="auto" w:fill="FFFFFF"/>
        </w:rPr>
        <w:t>delivered.</w:t>
      </w:r>
    </w:p>
    <w:p w14:paraId="63DAF804" w14:textId="77777777" w:rsidR="00937279" w:rsidRDefault="00937279" w:rsidP="00FB563C">
      <w:pPr>
        <w:pStyle w:val="ListParagraph"/>
        <w:tabs>
          <w:tab w:val="left" w:pos="709"/>
        </w:tabs>
        <w:spacing w:before="100" w:beforeAutospacing="1" w:after="100" w:afterAutospacing="1" w:line="360" w:lineRule="auto"/>
        <w:ind w:left="0"/>
        <w:jc w:val="both"/>
        <w:rPr>
          <w:rFonts w:ascii="Arial" w:hAnsi="Arial" w:cs="Arial"/>
          <w:color w:val="000000"/>
          <w:shd w:val="clear" w:color="auto" w:fill="FFFFFF"/>
        </w:rPr>
      </w:pPr>
    </w:p>
    <w:p w14:paraId="626998A1" w14:textId="4D6C1B6E" w:rsidR="00397EB9" w:rsidRPr="00397EB9" w:rsidRDefault="00ED4BBB" w:rsidP="00397EB9">
      <w:pPr>
        <w:pStyle w:val="ListParagraph"/>
        <w:numPr>
          <w:ilvl w:val="0"/>
          <w:numId w:val="8"/>
        </w:numPr>
        <w:tabs>
          <w:tab w:val="left" w:pos="709"/>
        </w:tabs>
        <w:spacing w:before="100" w:beforeAutospacing="1" w:after="100" w:afterAutospacing="1" w:line="360" w:lineRule="auto"/>
        <w:ind w:left="0" w:firstLine="0"/>
        <w:jc w:val="both"/>
      </w:pPr>
      <w:r w:rsidRPr="00397EB9">
        <w:rPr>
          <w:rFonts w:ascii="Arial" w:hAnsi="Arial" w:cs="Arial"/>
        </w:rPr>
        <w:t xml:space="preserve">There is no suggestion of a fraud </w:t>
      </w:r>
      <w:r w:rsidR="00722305">
        <w:rPr>
          <w:rFonts w:ascii="Arial" w:hAnsi="Arial" w:cs="Arial"/>
        </w:rPr>
        <w:t>having been</w:t>
      </w:r>
      <w:r w:rsidRPr="00397EB9">
        <w:rPr>
          <w:rFonts w:ascii="Arial" w:hAnsi="Arial" w:cs="Arial"/>
        </w:rPr>
        <w:t xml:space="preserve"> committed in this matter. It is simply a question of who had direct knowledge of the information contained in the answering affidavit and who was entitled to depose </w:t>
      </w:r>
      <w:r w:rsidR="00A33162" w:rsidRPr="00397EB9">
        <w:rPr>
          <w:rFonts w:ascii="Arial" w:hAnsi="Arial" w:cs="Arial"/>
        </w:rPr>
        <w:t>to</w:t>
      </w:r>
      <w:r w:rsidRPr="00397EB9">
        <w:rPr>
          <w:rFonts w:ascii="Arial" w:hAnsi="Arial" w:cs="Arial"/>
        </w:rPr>
        <w:t xml:space="preserve"> the affidavit. </w:t>
      </w:r>
      <w:r w:rsidR="002C65D5" w:rsidRPr="00397EB9">
        <w:rPr>
          <w:rFonts w:ascii="Arial" w:hAnsi="Arial" w:cs="Arial"/>
        </w:rPr>
        <w:t xml:space="preserve">The first affidavit is entirely regular in its form and </w:t>
      </w:r>
      <w:r w:rsidR="0027190C" w:rsidRPr="00397EB9">
        <w:rPr>
          <w:rFonts w:ascii="Arial" w:hAnsi="Arial" w:cs="Arial"/>
        </w:rPr>
        <w:t xml:space="preserve">in its commissioning and </w:t>
      </w:r>
      <w:r w:rsidR="002C65D5" w:rsidRPr="00397EB9">
        <w:rPr>
          <w:rFonts w:ascii="Arial" w:hAnsi="Arial" w:cs="Arial"/>
        </w:rPr>
        <w:t>has properly been delivered and received</w:t>
      </w:r>
      <w:r w:rsidR="0027190C" w:rsidRPr="00397EB9">
        <w:rPr>
          <w:rFonts w:ascii="Arial" w:hAnsi="Arial" w:cs="Arial"/>
        </w:rPr>
        <w:t xml:space="preserve"> and replied to</w:t>
      </w:r>
      <w:r w:rsidR="002C65D5" w:rsidRPr="00397EB9">
        <w:rPr>
          <w:rFonts w:ascii="Arial" w:hAnsi="Arial" w:cs="Arial"/>
        </w:rPr>
        <w:t xml:space="preserve">. It purports to record what the deponent thereto states as being the truth. I am not </w:t>
      </w:r>
      <w:r w:rsidR="00872578" w:rsidRPr="00397EB9">
        <w:rPr>
          <w:rFonts w:ascii="Arial" w:hAnsi="Arial" w:cs="Arial"/>
        </w:rPr>
        <w:t>persuaded that in th</w:t>
      </w:r>
      <w:r w:rsidR="0027190C" w:rsidRPr="00397EB9">
        <w:rPr>
          <w:rFonts w:ascii="Arial" w:hAnsi="Arial" w:cs="Arial"/>
        </w:rPr>
        <w:t>os</w:t>
      </w:r>
      <w:r w:rsidR="00872578" w:rsidRPr="00397EB9">
        <w:rPr>
          <w:rFonts w:ascii="Arial" w:hAnsi="Arial" w:cs="Arial"/>
        </w:rPr>
        <w:t>e</w:t>
      </w:r>
      <w:r w:rsidR="002C65D5" w:rsidRPr="00397EB9">
        <w:rPr>
          <w:rFonts w:ascii="Arial" w:hAnsi="Arial" w:cs="Arial"/>
        </w:rPr>
        <w:t xml:space="preserve"> circumstances I am entitled to allow its withdrawal. </w:t>
      </w:r>
      <w:r w:rsidR="00397EB9" w:rsidRPr="00397EB9">
        <w:rPr>
          <w:rFonts w:ascii="Arial" w:hAnsi="Arial" w:cs="Arial"/>
        </w:rPr>
        <w:t xml:space="preserve">On the other hand, the respondent is entitled to deliver what it regards as a properly commissioned answering affidavit deposed to by the person that it claims has true and direct knowledge of the facts. </w:t>
      </w:r>
      <w:r w:rsidR="007E4525">
        <w:rPr>
          <w:rFonts w:ascii="Arial" w:hAnsi="Arial" w:cs="Arial"/>
        </w:rPr>
        <w:t>However, b</w:t>
      </w:r>
      <w:r w:rsidR="00397EB9">
        <w:rPr>
          <w:rFonts w:ascii="Arial" w:hAnsi="Arial" w:cs="Arial"/>
        </w:rPr>
        <w:t>efore resolving what should occur, I consider whether condonation should be granted for the late delivery of the answering affidavits.</w:t>
      </w:r>
    </w:p>
    <w:p w14:paraId="1773EA4D" w14:textId="77777777" w:rsidR="00570420" w:rsidRDefault="00872578" w:rsidP="00397EB9">
      <w:pPr>
        <w:pStyle w:val="ListParagraph"/>
        <w:numPr>
          <w:ilvl w:val="0"/>
          <w:numId w:val="8"/>
        </w:numPr>
        <w:tabs>
          <w:tab w:val="left" w:pos="709"/>
        </w:tabs>
        <w:spacing w:before="100" w:beforeAutospacing="1" w:after="100" w:afterAutospacing="1" w:line="360" w:lineRule="auto"/>
        <w:ind w:left="0" w:firstLine="0"/>
        <w:jc w:val="both"/>
        <w:rPr>
          <w:rFonts w:ascii="Arial" w:hAnsi="Arial" w:cs="Arial"/>
        </w:rPr>
      </w:pPr>
      <w:r>
        <w:rPr>
          <w:rFonts w:ascii="Arial" w:hAnsi="Arial" w:cs="Arial"/>
        </w:rPr>
        <w:lastRenderedPageBreak/>
        <w:t xml:space="preserve">The explanation </w:t>
      </w:r>
      <w:r w:rsidR="00AC640A">
        <w:rPr>
          <w:rFonts w:ascii="Arial" w:hAnsi="Arial" w:cs="Arial"/>
        </w:rPr>
        <w:t>narrated</w:t>
      </w:r>
      <w:r>
        <w:rPr>
          <w:rFonts w:ascii="Arial" w:hAnsi="Arial" w:cs="Arial"/>
        </w:rPr>
        <w:t xml:space="preserve"> by Mr Miranda is reasonabl</w:t>
      </w:r>
      <w:r w:rsidR="00AC640A">
        <w:rPr>
          <w:rFonts w:ascii="Arial" w:hAnsi="Arial" w:cs="Arial"/>
        </w:rPr>
        <w:t>y</w:t>
      </w:r>
      <w:r>
        <w:rPr>
          <w:rFonts w:ascii="Arial" w:hAnsi="Arial" w:cs="Arial"/>
        </w:rPr>
        <w:t xml:space="preserve"> comprehensive and permits the court to understand, if not approve</w:t>
      </w:r>
      <w:r w:rsidR="00C404C8">
        <w:rPr>
          <w:rFonts w:ascii="Arial" w:hAnsi="Arial" w:cs="Arial"/>
        </w:rPr>
        <w:t xml:space="preserve"> of</w:t>
      </w:r>
      <w:r>
        <w:rPr>
          <w:rFonts w:ascii="Arial" w:hAnsi="Arial" w:cs="Arial"/>
        </w:rPr>
        <w:t xml:space="preserve">, what has happened in the matter. </w:t>
      </w:r>
      <w:r w:rsidR="00AC640A">
        <w:rPr>
          <w:rFonts w:ascii="Arial" w:hAnsi="Arial" w:cs="Arial"/>
        </w:rPr>
        <w:t xml:space="preserve">It covers the full period of the delay and describes the difficulties that he experienced in the absence of Mr Ali from this country. That absence was unfortunate and could not have happened at a worse time when viewed in the context of the main application.  </w:t>
      </w:r>
      <w:r w:rsidR="00276408">
        <w:rPr>
          <w:rFonts w:ascii="Arial" w:hAnsi="Arial" w:cs="Arial"/>
        </w:rPr>
        <w:t>But it happened. The applicant has not been seriously prejudiced thereby</w:t>
      </w:r>
      <w:r w:rsidR="00397EB9">
        <w:rPr>
          <w:rFonts w:ascii="Arial" w:hAnsi="Arial" w:cs="Arial"/>
        </w:rPr>
        <w:t xml:space="preserve"> and has been content to await the date on the opposed roll to argue about condonation</w:t>
      </w:r>
      <w:r w:rsidR="00276408">
        <w:rPr>
          <w:rFonts w:ascii="Arial" w:hAnsi="Arial" w:cs="Arial"/>
        </w:rPr>
        <w:t xml:space="preserve">. </w:t>
      </w:r>
    </w:p>
    <w:p w14:paraId="54F05028" w14:textId="77777777" w:rsidR="00397EB9" w:rsidRPr="00397EB9" w:rsidRDefault="00397EB9" w:rsidP="00397EB9">
      <w:pPr>
        <w:pStyle w:val="ListParagraph"/>
        <w:spacing w:line="360" w:lineRule="auto"/>
        <w:rPr>
          <w:rFonts w:ascii="Arial" w:hAnsi="Arial" w:cs="Arial"/>
        </w:rPr>
      </w:pPr>
    </w:p>
    <w:p w14:paraId="223FF39D" w14:textId="476523D3" w:rsidR="00397EB9" w:rsidRDefault="00397EB9" w:rsidP="00397EB9">
      <w:pPr>
        <w:pStyle w:val="ListParagraph"/>
        <w:numPr>
          <w:ilvl w:val="0"/>
          <w:numId w:val="8"/>
        </w:numPr>
        <w:tabs>
          <w:tab w:val="left" w:pos="709"/>
        </w:tabs>
        <w:spacing w:before="100" w:beforeAutospacing="1" w:after="100" w:afterAutospacing="1" w:line="360" w:lineRule="auto"/>
        <w:ind w:left="0" w:firstLine="0"/>
        <w:jc w:val="both"/>
        <w:rPr>
          <w:rFonts w:ascii="Arial" w:hAnsi="Arial" w:cs="Arial"/>
        </w:rPr>
      </w:pPr>
      <w:r>
        <w:rPr>
          <w:rFonts w:ascii="Arial" w:hAnsi="Arial" w:cs="Arial"/>
        </w:rPr>
        <w:t xml:space="preserve">It appears to me that the respondent has prospects of resisting the main application. It states that it is entitled to the refund of the reservation fee. Whether this is a view shared by the applicant is, unfortunately, not known at this stage as it has not pleaded to the respondent’s particulars of claim. If the reservation fee refund is due to the respondent, then the balance of the amount claimed by the applicant from it would </w:t>
      </w:r>
      <w:r w:rsidR="00045121">
        <w:rPr>
          <w:rFonts w:ascii="Arial" w:hAnsi="Arial" w:cs="Arial"/>
        </w:rPr>
        <w:t>be</w:t>
      </w:r>
      <w:r>
        <w:rPr>
          <w:rFonts w:ascii="Arial" w:hAnsi="Arial" w:cs="Arial"/>
        </w:rPr>
        <w:t xml:space="preserve"> extinguished by the operation of set-off</w:t>
      </w:r>
      <w:r w:rsidR="00345EF1">
        <w:rPr>
          <w:rStyle w:val="FootnoteReference"/>
          <w:rFonts w:ascii="Arial" w:hAnsi="Arial" w:cs="Arial"/>
        </w:rPr>
        <w:footnoteReference w:id="14"/>
      </w:r>
      <w:r>
        <w:rPr>
          <w:rFonts w:ascii="Arial" w:hAnsi="Arial" w:cs="Arial"/>
        </w:rPr>
        <w:t xml:space="preserve"> and the liquidation application would founder. If the refund is due to Mr Ali, the R500 000 is tendered by him to the applicant, again extinguishing the respondent’s debt to the applicant. It is difficult to understand why the applicant persists with the main application when payment of the indebtedness owed to it has been offered or tendered.</w:t>
      </w:r>
    </w:p>
    <w:p w14:paraId="0A7182CA" w14:textId="77777777" w:rsidR="00397EB9" w:rsidRDefault="00397EB9" w:rsidP="00397EB9">
      <w:pPr>
        <w:pStyle w:val="ListParagraph"/>
        <w:tabs>
          <w:tab w:val="left" w:pos="709"/>
        </w:tabs>
        <w:spacing w:before="100" w:beforeAutospacing="1" w:after="100" w:afterAutospacing="1" w:line="360" w:lineRule="auto"/>
        <w:ind w:left="0"/>
        <w:jc w:val="both"/>
        <w:rPr>
          <w:rFonts w:ascii="Arial" w:hAnsi="Arial" w:cs="Arial"/>
        </w:rPr>
      </w:pPr>
    </w:p>
    <w:p w14:paraId="3FB32E10" w14:textId="7DAAE556" w:rsidR="00276408" w:rsidRDefault="00AF598A" w:rsidP="00570420">
      <w:pPr>
        <w:pStyle w:val="ListParagraph"/>
        <w:numPr>
          <w:ilvl w:val="0"/>
          <w:numId w:val="8"/>
        </w:numPr>
        <w:tabs>
          <w:tab w:val="left" w:pos="709"/>
        </w:tabs>
        <w:spacing w:before="100" w:beforeAutospacing="1" w:after="100" w:afterAutospacing="1" w:line="360" w:lineRule="auto"/>
        <w:ind w:left="0" w:firstLine="0"/>
        <w:jc w:val="both"/>
        <w:rPr>
          <w:rFonts w:ascii="Arial" w:hAnsi="Arial" w:cs="Arial"/>
        </w:rPr>
      </w:pPr>
      <w:r>
        <w:rPr>
          <w:rFonts w:ascii="Arial" w:hAnsi="Arial" w:cs="Arial"/>
        </w:rPr>
        <w:t xml:space="preserve">The relief sought by the applicant in the main application is the compulsory termination of the </w:t>
      </w:r>
      <w:r w:rsidR="006C238B">
        <w:rPr>
          <w:rFonts w:ascii="Arial" w:hAnsi="Arial" w:cs="Arial"/>
        </w:rPr>
        <w:t xml:space="preserve">legal persona </w:t>
      </w:r>
      <w:r>
        <w:rPr>
          <w:rFonts w:ascii="Arial" w:hAnsi="Arial" w:cs="Arial"/>
        </w:rPr>
        <w:t xml:space="preserve">of the respondent. It is therefore a matter of some consequence to </w:t>
      </w:r>
      <w:r w:rsidR="00570420">
        <w:rPr>
          <w:rFonts w:ascii="Arial" w:hAnsi="Arial" w:cs="Arial"/>
        </w:rPr>
        <w:t>the respondent</w:t>
      </w:r>
      <w:r>
        <w:rPr>
          <w:rFonts w:ascii="Arial" w:hAnsi="Arial" w:cs="Arial"/>
        </w:rPr>
        <w:t>. The degree of non-compliance has not been slight but</w:t>
      </w:r>
      <w:r w:rsidR="00570420">
        <w:rPr>
          <w:rFonts w:ascii="Arial" w:hAnsi="Arial" w:cs="Arial"/>
        </w:rPr>
        <w:t xml:space="preserve">, as </w:t>
      </w:r>
      <w:r w:rsidR="00397EB9">
        <w:rPr>
          <w:rFonts w:ascii="Arial" w:hAnsi="Arial" w:cs="Arial"/>
        </w:rPr>
        <w:t>mentioned</w:t>
      </w:r>
      <w:r w:rsidR="00570420">
        <w:rPr>
          <w:rFonts w:ascii="Arial" w:hAnsi="Arial" w:cs="Arial"/>
        </w:rPr>
        <w:t>,</w:t>
      </w:r>
      <w:r>
        <w:rPr>
          <w:rFonts w:ascii="Arial" w:hAnsi="Arial" w:cs="Arial"/>
        </w:rPr>
        <w:t xml:space="preserve"> the respondent appears to have prospects of resisting the winding</w:t>
      </w:r>
      <w:r w:rsidR="00397751">
        <w:rPr>
          <w:rFonts w:ascii="Arial" w:hAnsi="Arial" w:cs="Arial"/>
        </w:rPr>
        <w:t>-</w:t>
      </w:r>
      <w:r>
        <w:rPr>
          <w:rFonts w:ascii="Arial" w:hAnsi="Arial" w:cs="Arial"/>
        </w:rPr>
        <w:t>up order sought by the applicant. The applicant has known since 15 February 2023 what the defence of the respondent is to the winding</w:t>
      </w:r>
      <w:r w:rsidR="00397751">
        <w:rPr>
          <w:rFonts w:ascii="Arial" w:hAnsi="Arial" w:cs="Arial"/>
        </w:rPr>
        <w:t>-</w:t>
      </w:r>
      <w:r>
        <w:rPr>
          <w:rFonts w:ascii="Arial" w:hAnsi="Arial" w:cs="Arial"/>
        </w:rPr>
        <w:t xml:space="preserve">up application. If condonation is given to permit the correct </w:t>
      </w:r>
      <w:r w:rsidR="001E0D57">
        <w:rPr>
          <w:rFonts w:ascii="Arial" w:hAnsi="Arial" w:cs="Arial"/>
        </w:rPr>
        <w:t>answering affidavit, which is identical in content to the first answering affidavit, to be delivered</w:t>
      </w:r>
      <w:r w:rsidR="00613DE4">
        <w:rPr>
          <w:rFonts w:ascii="Arial" w:hAnsi="Arial" w:cs="Arial"/>
        </w:rPr>
        <w:t>,</w:t>
      </w:r>
      <w:r w:rsidR="001E0D57">
        <w:rPr>
          <w:rFonts w:ascii="Arial" w:hAnsi="Arial" w:cs="Arial"/>
        </w:rPr>
        <w:t xml:space="preserve"> </w:t>
      </w:r>
      <w:r w:rsidR="00613DE4">
        <w:rPr>
          <w:rFonts w:ascii="Arial" w:hAnsi="Arial" w:cs="Arial"/>
        </w:rPr>
        <w:t xml:space="preserve">the applicant </w:t>
      </w:r>
      <w:r w:rsidR="001E0D57">
        <w:rPr>
          <w:rFonts w:ascii="Arial" w:hAnsi="Arial" w:cs="Arial"/>
        </w:rPr>
        <w:t>will not be taken by surprise nor will it be prejudiced</w:t>
      </w:r>
      <w:r w:rsidR="001D57F1">
        <w:rPr>
          <w:rFonts w:ascii="Arial" w:hAnsi="Arial" w:cs="Arial"/>
        </w:rPr>
        <w:t>.</w:t>
      </w:r>
    </w:p>
    <w:p w14:paraId="57FAFBDF" w14:textId="77777777" w:rsidR="001E0D57" w:rsidRPr="00276408" w:rsidRDefault="001E0D57" w:rsidP="001E0D57">
      <w:pPr>
        <w:pStyle w:val="ListParagraph"/>
        <w:tabs>
          <w:tab w:val="left" w:pos="709"/>
        </w:tabs>
        <w:spacing w:before="100" w:beforeAutospacing="1" w:after="100" w:afterAutospacing="1" w:line="360" w:lineRule="auto"/>
        <w:ind w:left="0"/>
        <w:jc w:val="both"/>
        <w:rPr>
          <w:rFonts w:ascii="Arial" w:hAnsi="Arial" w:cs="Arial"/>
        </w:rPr>
      </w:pPr>
    </w:p>
    <w:p w14:paraId="529D6E9B" w14:textId="19BCB360" w:rsidR="00002CAB" w:rsidRPr="00EB49F7" w:rsidRDefault="00872578" w:rsidP="00002CAB">
      <w:pPr>
        <w:pStyle w:val="ListParagraph"/>
        <w:numPr>
          <w:ilvl w:val="0"/>
          <w:numId w:val="8"/>
        </w:numPr>
        <w:tabs>
          <w:tab w:val="left" w:pos="709"/>
        </w:tabs>
        <w:spacing w:before="100" w:beforeAutospacing="1" w:after="100" w:afterAutospacing="1" w:line="360" w:lineRule="auto"/>
        <w:ind w:left="0" w:firstLine="0"/>
        <w:jc w:val="both"/>
      </w:pPr>
      <w:r>
        <w:rPr>
          <w:rFonts w:ascii="Arial" w:hAnsi="Arial" w:cs="Arial"/>
        </w:rPr>
        <w:t xml:space="preserve">It seems to me that </w:t>
      </w:r>
      <w:r w:rsidR="001E0D57">
        <w:rPr>
          <w:rFonts w:ascii="Arial" w:hAnsi="Arial" w:cs="Arial"/>
        </w:rPr>
        <w:t xml:space="preserve">the interests of justice require me </w:t>
      </w:r>
      <w:r w:rsidR="00570420">
        <w:rPr>
          <w:rFonts w:ascii="Arial" w:hAnsi="Arial" w:cs="Arial"/>
        </w:rPr>
        <w:t xml:space="preserve">to condone </w:t>
      </w:r>
      <w:r w:rsidR="001D57F1">
        <w:rPr>
          <w:rFonts w:ascii="Arial" w:hAnsi="Arial" w:cs="Arial"/>
        </w:rPr>
        <w:t xml:space="preserve">the late delivery of both the first and </w:t>
      </w:r>
      <w:r w:rsidR="00397EB9">
        <w:rPr>
          <w:rFonts w:ascii="Arial" w:hAnsi="Arial" w:cs="Arial"/>
        </w:rPr>
        <w:t>the second answering affidavits</w:t>
      </w:r>
      <w:r w:rsidR="001D57F1">
        <w:rPr>
          <w:rFonts w:ascii="Arial" w:hAnsi="Arial" w:cs="Arial"/>
        </w:rPr>
        <w:t xml:space="preserve">. </w:t>
      </w:r>
      <w:r w:rsidR="00C404C8">
        <w:rPr>
          <w:rFonts w:ascii="Arial" w:hAnsi="Arial" w:cs="Arial"/>
        </w:rPr>
        <w:t>I</w:t>
      </w:r>
      <w:r w:rsidR="001D57F1">
        <w:rPr>
          <w:rFonts w:ascii="Arial" w:hAnsi="Arial" w:cs="Arial"/>
        </w:rPr>
        <w:t xml:space="preserve"> am</w:t>
      </w:r>
      <w:r w:rsidR="00235B6E">
        <w:rPr>
          <w:rFonts w:ascii="Arial" w:hAnsi="Arial" w:cs="Arial"/>
        </w:rPr>
        <w:t>, however,</w:t>
      </w:r>
      <w:r w:rsidR="001D57F1">
        <w:rPr>
          <w:rFonts w:ascii="Arial" w:hAnsi="Arial" w:cs="Arial"/>
        </w:rPr>
        <w:t xml:space="preserve"> not prepared to allow the withdrawal of the first answering affidavit and to permit the </w:t>
      </w:r>
      <w:r w:rsidR="001D57F1">
        <w:rPr>
          <w:rFonts w:ascii="Arial" w:hAnsi="Arial" w:cs="Arial"/>
        </w:rPr>
        <w:lastRenderedPageBreak/>
        <w:t>second answering affidavit to be substituted for it. I am, however, prepared</w:t>
      </w:r>
      <w:r w:rsidR="00C404C8">
        <w:rPr>
          <w:rFonts w:ascii="Arial" w:hAnsi="Arial" w:cs="Arial"/>
        </w:rPr>
        <w:t xml:space="preserve"> to invoke the provisions of </w:t>
      </w:r>
      <w:r w:rsidR="00002CAB" w:rsidRPr="00EB49F7">
        <w:rPr>
          <w:rFonts w:ascii="Arial" w:hAnsi="Arial" w:cs="Arial"/>
        </w:rPr>
        <w:t>Uniform rule 6(5)</w:t>
      </w:r>
      <w:r w:rsidR="00002CAB" w:rsidRPr="00AB453B">
        <w:rPr>
          <w:rFonts w:ascii="Arial" w:hAnsi="Arial" w:cs="Arial"/>
          <w:i/>
        </w:rPr>
        <w:t>(e)</w:t>
      </w:r>
      <w:r w:rsidR="00002CAB" w:rsidRPr="00EB49F7">
        <w:rPr>
          <w:rFonts w:ascii="Arial" w:hAnsi="Arial" w:cs="Arial"/>
        </w:rPr>
        <w:t xml:space="preserve"> </w:t>
      </w:r>
      <w:r w:rsidR="00C404C8">
        <w:rPr>
          <w:rFonts w:ascii="Arial" w:hAnsi="Arial" w:cs="Arial"/>
        </w:rPr>
        <w:t xml:space="preserve">which provides that </w:t>
      </w:r>
      <w:r w:rsidR="00002CAB" w:rsidRPr="00EB49F7">
        <w:rPr>
          <w:rFonts w:ascii="Arial" w:hAnsi="Arial" w:cs="Arial"/>
        </w:rPr>
        <w:t xml:space="preserve">a further affidavit may be delivered </w:t>
      </w:r>
      <w:r w:rsidR="002C65D5">
        <w:rPr>
          <w:rFonts w:ascii="Arial" w:hAnsi="Arial" w:cs="Arial"/>
        </w:rPr>
        <w:t xml:space="preserve">by a party </w:t>
      </w:r>
      <w:r w:rsidR="00002CAB" w:rsidRPr="00EB49F7">
        <w:rPr>
          <w:rFonts w:ascii="Arial" w:hAnsi="Arial" w:cs="Arial"/>
        </w:rPr>
        <w:t>with the leave of the court</w:t>
      </w:r>
      <w:r w:rsidR="00397EB9">
        <w:rPr>
          <w:rFonts w:ascii="Arial" w:hAnsi="Arial" w:cs="Arial"/>
        </w:rPr>
        <w:t>. That rule reads as follows</w:t>
      </w:r>
      <w:r w:rsidR="00002CAB" w:rsidRPr="00EB49F7">
        <w:rPr>
          <w:rFonts w:ascii="Arial" w:hAnsi="Arial" w:cs="Arial"/>
        </w:rPr>
        <w:t>:</w:t>
      </w:r>
    </w:p>
    <w:p w14:paraId="7CA90CEB" w14:textId="77777777" w:rsidR="00002CAB" w:rsidRDefault="00002CAB" w:rsidP="00002CAB">
      <w:pPr>
        <w:pStyle w:val="ListParagraph"/>
        <w:tabs>
          <w:tab w:val="left" w:pos="709"/>
        </w:tabs>
        <w:spacing w:line="360" w:lineRule="auto"/>
        <w:ind w:left="0"/>
        <w:jc w:val="both"/>
        <w:rPr>
          <w:rFonts w:ascii="ArialMT" w:hAnsi="ArialMT"/>
          <w:sz w:val="22"/>
          <w:szCs w:val="22"/>
        </w:rPr>
      </w:pPr>
      <w:r w:rsidRPr="00EB49F7">
        <w:rPr>
          <w:rFonts w:ascii="ArialMT" w:hAnsi="ArialMT"/>
          <w:sz w:val="22"/>
          <w:szCs w:val="22"/>
        </w:rPr>
        <w:t>‘Within 10 days of the service upon the respondent of the affidavit and documents referred to in sub</w:t>
      </w:r>
      <w:r w:rsidR="007D5313">
        <w:rPr>
          <w:rFonts w:ascii="ArialMT" w:hAnsi="ArialMT"/>
          <w:sz w:val="22"/>
          <w:szCs w:val="22"/>
        </w:rPr>
        <w:t>-</w:t>
      </w:r>
      <w:r w:rsidRPr="00EB49F7">
        <w:rPr>
          <w:rFonts w:ascii="ArialMT" w:hAnsi="ArialMT"/>
          <w:sz w:val="22"/>
          <w:szCs w:val="22"/>
        </w:rPr>
        <w:t xml:space="preserve">paragraph (ii) of paragraph (d) of subrule (5) the applicant may deliver a replying affidavit. The court may in its discretion permit the filing of further affidavits.’ </w:t>
      </w:r>
    </w:p>
    <w:p w14:paraId="7C6180B0" w14:textId="202D0CE1" w:rsidR="007954BC" w:rsidRDefault="00C404C8" w:rsidP="007954BC">
      <w:pPr>
        <w:pStyle w:val="ListParagraph"/>
        <w:tabs>
          <w:tab w:val="left" w:pos="709"/>
        </w:tabs>
        <w:spacing w:before="100" w:beforeAutospacing="1" w:after="100" w:afterAutospacing="1" w:line="360" w:lineRule="auto"/>
        <w:ind w:left="0"/>
        <w:jc w:val="both"/>
        <w:rPr>
          <w:rFonts w:asciiTheme="minorBidi" w:hAnsiTheme="minorBidi" w:cstheme="minorBidi"/>
        </w:rPr>
      </w:pPr>
      <w:r w:rsidRPr="00C404C8">
        <w:rPr>
          <w:rFonts w:asciiTheme="minorBidi" w:hAnsiTheme="minorBidi" w:cstheme="minorBidi"/>
        </w:rPr>
        <w:t xml:space="preserve">When the main application is eventually argued, </w:t>
      </w:r>
      <w:r>
        <w:rPr>
          <w:rFonts w:asciiTheme="minorBidi" w:hAnsiTheme="minorBidi" w:cstheme="minorBidi"/>
        </w:rPr>
        <w:t>there will thus be two answering affidavits, identical in content but deposed to by two different persons. The parties will have to decide how they address this issue.</w:t>
      </w:r>
      <w:r w:rsidR="007954BC" w:rsidRPr="007954BC">
        <w:rPr>
          <w:rFonts w:asciiTheme="minorBidi" w:hAnsiTheme="minorBidi" w:cstheme="minorBidi"/>
        </w:rPr>
        <w:t xml:space="preserve"> </w:t>
      </w:r>
      <w:r w:rsidR="007954BC" w:rsidRPr="001D57F1">
        <w:rPr>
          <w:rFonts w:asciiTheme="minorBidi" w:hAnsiTheme="minorBidi" w:cstheme="minorBidi"/>
        </w:rPr>
        <w:t xml:space="preserve">To the extent that it is advised to do so, the applicant is given leave to deliver a further affidavit that deals only with any differences that may exist when the two answering affidavits are compared </w:t>
      </w:r>
      <w:r w:rsidR="00672E3D">
        <w:rPr>
          <w:rFonts w:asciiTheme="minorBidi" w:hAnsiTheme="minorBidi" w:cstheme="minorBidi"/>
        </w:rPr>
        <w:t>with</w:t>
      </w:r>
      <w:r w:rsidR="00AB453B">
        <w:rPr>
          <w:rFonts w:asciiTheme="minorBidi" w:hAnsiTheme="minorBidi" w:cstheme="minorBidi"/>
        </w:rPr>
        <w:t xml:space="preserve"> </w:t>
      </w:r>
      <w:r w:rsidR="007954BC" w:rsidRPr="001D57F1">
        <w:rPr>
          <w:rFonts w:asciiTheme="minorBidi" w:hAnsiTheme="minorBidi" w:cstheme="minorBidi"/>
        </w:rPr>
        <w:t xml:space="preserve">one </w:t>
      </w:r>
      <w:r w:rsidR="00AB453B">
        <w:rPr>
          <w:rFonts w:asciiTheme="minorBidi" w:hAnsiTheme="minorBidi" w:cstheme="minorBidi"/>
        </w:rPr>
        <w:t>another</w:t>
      </w:r>
      <w:r w:rsidR="007954BC" w:rsidRPr="001D57F1">
        <w:rPr>
          <w:rFonts w:asciiTheme="minorBidi" w:hAnsiTheme="minorBidi" w:cstheme="minorBidi"/>
        </w:rPr>
        <w:t xml:space="preserve">. </w:t>
      </w:r>
    </w:p>
    <w:p w14:paraId="4392E0BD" w14:textId="77777777" w:rsidR="001D57F1" w:rsidRPr="001D57F1" w:rsidRDefault="001D57F1" w:rsidP="001D57F1">
      <w:pPr>
        <w:pStyle w:val="ListParagraph"/>
        <w:spacing w:line="360" w:lineRule="auto"/>
        <w:rPr>
          <w:rFonts w:ascii="Arial" w:hAnsi="Arial" w:cs="Arial"/>
        </w:rPr>
      </w:pPr>
    </w:p>
    <w:p w14:paraId="5ABDF97A" w14:textId="6051D63A" w:rsidR="00994099" w:rsidRPr="00994099" w:rsidRDefault="00C404C8" w:rsidP="00994099">
      <w:pPr>
        <w:pStyle w:val="ListParagraph"/>
        <w:numPr>
          <w:ilvl w:val="0"/>
          <w:numId w:val="8"/>
        </w:numPr>
        <w:tabs>
          <w:tab w:val="left" w:pos="709"/>
        </w:tabs>
        <w:spacing w:before="100" w:beforeAutospacing="1" w:after="100" w:afterAutospacing="1" w:line="360" w:lineRule="auto"/>
        <w:ind w:left="0" w:firstLine="0"/>
        <w:jc w:val="both"/>
        <w:rPr>
          <w:rFonts w:asciiTheme="minorBidi" w:hAnsiTheme="minorBidi" w:cstheme="minorBidi"/>
          <w:i/>
        </w:rPr>
      </w:pPr>
      <w:r w:rsidRPr="007954BC">
        <w:rPr>
          <w:rFonts w:asciiTheme="minorBidi" w:hAnsiTheme="minorBidi" w:cstheme="minorBidi"/>
        </w:rPr>
        <w:t xml:space="preserve"> </w:t>
      </w:r>
      <w:r w:rsidR="00994099">
        <w:rPr>
          <w:rFonts w:asciiTheme="minorBidi" w:hAnsiTheme="minorBidi" w:cstheme="minorBidi"/>
        </w:rPr>
        <w:t>On the question of costs, t</w:t>
      </w:r>
      <w:r w:rsidR="004D69DD" w:rsidRPr="00994099">
        <w:rPr>
          <w:rFonts w:asciiTheme="minorBidi" w:hAnsiTheme="minorBidi" w:cstheme="minorBidi"/>
        </w:rPr>
        <w:t>he respondent in bringing this application is seeking an indulgence</w:t>
      </w:r>
      <w:r w:rsidR="00994099">
        <w:rPr>
          <w:rFonts w:asciiTheme="minorBidi" w:hAnsiTheme="minorBidi" w:cstheme="minorBidi"/>
        </w:rPr>
        <w:t xml:space="preserve"> from the court</w:t>
      </w:r>
      <w:r w:rsidR="004D69DD" w:rsidRPr="00994099">
        <w:rPr>
          <w:rFonts w:asciiTheme="minorBidi" w:hAnsiTheme="minorBidi" w:cstheme="minorBidi"/>
        </w:rPr>
        <w:t>.</w:t>
      </w:r>
      <w:r w:rsidR="00994099" w:rsidRPr="00994099">
        <w:rPr>
          <w:rFonts w:asciiTheme="minorBidi" w:hAnsiTheme="minorBidi" w:cstheme="minorBidi"/>
        </w:rPr>
        <w:t xml:space="preserve"> In </w:t>
      </w:r>
      <w:r w:rsidR="004D69DD" w:rsidRPr="00994099">
        <w:rPr>
          <w:rFonts w:asciiTheme="minorBidi" w:hAnsiTheme="minorBidi" w:cstheme="minorBidi"/>
          <w:i/>
        </w:rPr>
        <w:t>Premier, Western Cape v Lakay</w:t>
      </w:r>
      <w:r w:rsidR="00994099">
        <w:rPr>
          <w:rFonts w:asciiTheme="minorBidi" w:hAnsiTheme="minorBidi" w:cstheme="minorBidi"/>
          <w:iCs/>
        </w:rPr>
        <w:t>,</w:t>
      </w:r>
      <w:r w:rsidR="00994099" w:rsidRPr="00994099">
        <w:rPr>
          <w:rStyle w:val="FootnoteReference"/>
          <w:rFonts w:asciiTheme="minorBidi" w:hAnsiTheme="minorBidi" w:cstheme="minorBidi"/>
          <w:iCs/>
        </w:rPr>
        <w:footnoteReference w:id="15"/>
      </w:r>
      <w:r w:rsidR="00994099">
        <w:rPr>
          <w:rFonts w:asciiTheme="minorBidi" w:hAnsiTheme="minorBidi" w:cstheme="minorBidi"/>
          <w:iCs/>
        </w:rPr>
        <w:t xml:space="preserve"> the Supreme Court of Appeal observed </w:t>
      </w:r>
      <w:r w:rsidR="00A545B5">
        <w:rPr>
          <w:rFonts w:asciiTheme="minorBidi" w:hAnsiTheme="minorBidi" w:cstheme="minorBidi"/>
          <w:iCs/>
        </w:rPr>
        <w:t>that</w:t>
      </w:r>
      <w:r w:rsidR="004D69DD" w:rsidRPr="00994099">
        <w:rPr>
          <w:rFonts w:asciiTheme="minorBidi" w:hAnsiTheme="minorBidi" w:cstheme="minorBidi"/>
        </w:rPr>
        <w:t xml:space="preserve">: </w:t>
      </w:r>
    </w:p>
    <w:p w14:paraId="142F1BEA" w14:textId="4518A0C0" w:rsidR="004D69DD" w:rsidRDefault="004D69DD" w:rsidP="00994099">
      <w:pPr>
        <w:pStyle w:val="ListParagraph"/>
        <w:tabs>
          <w:tab w:val="left" w:pos="709"/>
        </w:tabs>
        <w:spacing w:before="100" w:beforeAutospacing="1" w:after="100" w:afterAutospacing="1" w:line="360" w:lineRule="auto"/>
        <w:ind w:left="0"/>
        <w:jc w:val="both"/>
        <w:rPr>
          <w:rFonts w:asciiTheme="minorBidi" w:hAnsiTheme="minorBidi" w:cstheme="minorBidi"/>
          <w:sz w:val="22"/>
          <w:szCs w:val="22"/>
          <w:lang w:val="en-US"/>
        </w:rPr>
      </w:pPr>
      <w:r w:rsidRPr="00994099">
        <w:rPr>
          <w:rFonts w:asciiTheme="minorBidi" w:hAnsiTheme="minorBidi" w:cstheme="minorBidi"/>
          <w:sz w:val="22"/>
          <w:szCs w:val="22"/>
          <w:lang w:val="en-US"/>
        </w:rPr>
        <w:t>‘Ordinarily, in applications for condonation for non-observance of court procedure, a litigant is obliged to seek the indulgence of the court whatever the attitude of the other side and for that reason will have to pay the latter's costs if it does oppose, unless the opposition was unreasonable.’</w:t>
      </w:r>
    </w:p>
    <w:p w14:paraId="5CDBC103" w14:textId="77777777" w:rsidR="00994099" w:rsidRPr="00994099" w:rsidRDefault="00994099" w:rsidP="00994099">
      <w:pPr>
        <w:pStyle w:val="ListParagraph"/>
        <w:tabs>
          <w:tab w:val="left" w:pos="709"/>
        </w:tabs>
        <w:spacing w:before="100" w:beforeAutospacing="1" w:after="100" w:afterAutospacing="1" w:line="360" w:lineRule="auto"/>
        <w:ind w:left="0"/>
        <w:jc w:val="both"/>
        <w:rPr>
          <w:rFonts w:asciiTheme="minorBidi" w:hAnsiTheme="minorBidi" w:cstheme="minorBidi"/>
          <w:i/>
          <w:sz w:val="22"/>
          <w:szCs w:val="22"/>
        </w:rPr>
      </w:pPr>
    </w:p>
    <w:p w14:paraId="74C495CA" w14:textId="635B3420" w:rsidR="007954BC" w:rsidRPr="007954BC" w:rsidRDefault="007954BC" w:rsidP="004E4D26">
      <w:pPr>
        <w:pStyle w:val="ListParagraph"/>
        <w:numPr>
          <w:ilvl w:val="0"/>
          <w:numId w:val="8"/>
        </w:numPr>
        <w:tabs>
          <w:tab w:val="left" w:pos="709"/>
        </w:tabs>
        <w:spacing w:before="100" w:beforeAutospacing="1" w:after="100" w:afterAutospacing="1" w:line="360" w:lineRule="auto"/>
        <w:ind w:left="0" w:firstLine="0"/>
        <w:jc w:val="both"/>
        <w:rPr>
          <w:rFonts w:ascii="Arial" w:hAnsi="Arial" w:cs="Arial"/>
        </w:rPr>
      </w:pPr>
      <w:r>
        <w:rPr>
          <w:rFonts w:asciiTheme="minorBidi" w:hAnsiTheme="minorBidi" w:cstheme="minorBidi"/>
        </w:rPr>
        <w:t>Given the facts of the matter and the length of the delay in the delivery of the answering affidavits, the applicant was entitled to oppose the relief claimed</w:t>
      </w:r>
      <w:r w:rsidR="008D493D">
        <w:rPr>
          <w:rFonts w:asciiTheme="minorBidi" w:hAnsiTheme="minorBidi" w:cstheme="minorBidi"/>
        </w:rPr>
        <w:t xml:space="preserve"> by the respondent</w:t>
      </w:r>
      <w:r>
        <w:rPr>
          <w:rFonts w:asciiTheme="minorBidi" w:hAnsiTheme="minorBidi" w:cstheme="minorBidi"/>
        </w:rPr>
        <w:t xml:space="preserve"> in the condonation application. It would be just in the circumstances </w:t>
      </w:r>
      <w:r w:rsidR="00A545B5">
        <w:rPr>
          <w:rFonts w:asciiTheme="minorBidi" w:hAnsiTheme="minorBidi" w:cstheme="minorBidi"/>
        </w:rPr>
        <w:t>therefore to</w:t>
      </w:r>
      <w:r>
        <w:rPr>
          <w:rFonts w:asciiTheme="minorBidi" w:hAnsiTheme="minorBidi" w:cstheme="minorBidi"/>
        </w:rPr>
        <w:t xml:space="preserve"> direct that </w:t>
      </w:r>
      <w:r w:rsidR="00A545B5">
        <w:rPr>
          <w:rFonts w:asciiTheme="minorBidi" w:hAnsiTheme="minorBidi" w:cstheme="minorBidi"/>
        </w:rPr>
        <w:t>the respondent shall pay the applicant’s costs</w:t>
      </w:r>
    </w:p>
    <w:p w14:paraId="34B34C23" w14:textId="77777777" w:rsidR="00CE44C8" w:rsidRPr="007954BC" w:rsidRDefault="00CE44C8" w:rsidP="007954BC">
      <w:pPr>
        <w:pStyle w:val="ListParagraph"/>
        <w:tabs>
          <w:tab w:val="left" w:pos="709"/>
        </w:tabs>
        <w:spacing w:before="100" w:beforeAutospacing="1" w:after="100" w:afterAutospacing="1" w:line="360" w:lineRule="auto"/>
        <w:ind w:left="0"/>
        <w:jc w:val="both"/>
        <w:rPr>
          <w:rFonts w:ascii="Arial" w:hAnsi="Arial" w:cs="Arial"/>
        </w:rPr>
      </w:pPr>
    </w:p>
    <w:p w14:paraId="5D7CA7F7" w14:textId="77777777" w:rsidR="001D68E0" w:rsidRPr="007954BC" w:rsidRDefault="001D68E0" w:rsidP="004E4D26">
      <w:pPr>
        <w:pStyle w:val="ListParagraph"/>
        <w:numPr>
          <w:ilvl w:val="0"/>
          <w:numId w:val="8"/>
        </w:numPr>
        <w:tabs>
          <w:tab w:val="left" w:pos="709"/>
        </w:tabs>
        <w:spacing w:before="100" w:beforeAutospacing="1" w:after="100" w:afterAutospacing="1" w:line="360" w:lineRule="auto"/>
        <w:ind w:left="0" w:firstLine="0"/>
        <w:jc w:val="both"/>
        <w:rPr>
          <w:rFonts w:ascii="Arial" w:hAnsi="Arial" w:cs="Arial"/>
        </w:rPr>
      </w:pPr>
      <w:r w:rsidRPr="007954BC">
        <w:rPr>
          <w:rFonts w:asciiTheme="minorBidi" w:hAnsiTheme="minorBidi" w:cstheme="minorBidi"/>
        </w:rPr>
        <w:t>I</w:t>
      </w:r>
      <w:r w:rsidR="007954BC" w:rsidRPr="007954BC">
        <w:rPr>
          <w:rFonts w:asciiTheme="minorBidi" w:hAnsiTheme="minorBidi" w:cstheme="minorBidi"/>
        </w:rPr>
        <w:t xml:space="preserve"> accordingly grant the following order:</w:t>
      </w:r>
    </w:p>
    <w:p w14:paraId="124492FD" w14:textId="77777777" w:rsidR="000855CF" w:rsidRPr="00CE44C8" w:rsidRDefault="000855CF" w:rsidP="00E176DC">
      <w:pPr>
        <w:pStyle w:val="ListParagraph"/>
        <w:numPr>
          <w:ilvl w:val="0"/>
          <w:numId w:val="19"/>
        </w:numPr>
        <w:tabs>
          <w:tab w:val="left" w:pos="709"/>
        </w:tabs>
        <w:spacing w:before="100" w:beforeAutospacing="1" w:after="100" w:afterAutospacing="1" w:line="360" w:lineRule="auto"/>
        <w:ind w:left="0" w:firstLine="0"/>
        <w:jc w:val="both"/>
        <w:rPr>
          <w:rFonts w:ascii="Arial" w:hAnsi="Arial" w:cs="Arial"/>
        </w:rPr>
      </w:pPr>
      <w:r w:rsidRPr="00CE44C8">
        <w:rPr>
          <w:rFonts w:ascii="Arial" w:hAnsi="Arial" w:cs="Arial"/>
        </w:rPr>
        <w:t>The respondent is granted condonation for the late delivery of its condonation application.</w:t>
      </w:r>
    </w:p>
    <w:p w14:paraId="6BC7A8BB" w14:textId="55594B74" w:rsidR="007954BC" w:rsidRPr="00CE44C8" w:rsidRDefault="007954BC" w:rsidP="00E176DC">
      <w:pPr>
        <w:pStyle w:val="ListParagraph"/>
        <w:numPr>
          <w:ilvl w:val="0"/>
          <w:numId w:val="19"/>
        </w:numPr>
        <w:tabs>
          <w:tab w:val="left" w:pos="709"/>
        </w:tabs>
        <w:spacing w:before="100" w:beforeAutospacing="1" w:after="100" w:afterAutospacing="1" w:line="360" w:lineRule="auto"/>
        <w:ind w:left="0" w:firstLine="0"/>
        <w:jc w:val="both"/>
        <w:rPr>
          <w:rFonts w:ascii="Arial" w:hAnsi="Arial" w:cs="Arial"/>
        </w:rPr>
      </w:pPr>
      <w:r w:rsidRPr="00CE44C8">
        <w:rPr>
          <w:rFonts w:ascii="Arial" w:hAnsi="Arial" w:cs="Arial"/>
        </w:rPr>
        <w:t xml:space="preserve">The respondent is granted condonation for the late delivery of the </w:t>
      </w:r>
      <w:bookmarkStart w:id="0" w:name="_GoBack"/>
      <w:bookmarkEnd w:id="0"/>
      <w:r w:rsidRPr="00CE44C8">
        <w:rPr>
          <w:rFonts w:ascii="Arial" w:hAnsi="Arial" w:cs="Arial"/>
        </w:rPr>
        <w:t>answering affidavit</w:t>
      </w:r>
      <w:r w:rsidR="000855CF" w:rsidRPr="00CE44C8">
        <w:rPr>
          <w:rFonts w:ascii="Arial" w:hAnsi="Arial" w:cs="Arial"/>
        </w:rPr>
        <w:t xml:space="preserve"> deposed to by </w:t>
      </w:r>
      <w:r w:rsidR="00527B3F" w:rsidRPr="00CE44C8">
        <w:rPr>
          <w:rFonts w:ascii="Arial" w:hAnsi="Arial" w:cs="Arial"/>
          <w:lang w:val="en-US"/>
        </w:rPr>
        <w:t>Mr Muhammad Saleem Khan on 14 February 2023</w:t>
      </w:r>
      <w:r w:rsidRPr="00CE44C8">
        <w:rPr>
          <w:rFonts w:ascii="Arial" w:hAnsi="Arial" w:cs="Arial"/>
        </w:rPr>
        <w:t xml:space="preserve"> in </w:t>
      </w:r>
      <w:r w:rsidR="000855CF" w:rsidRPr="00CE44C8">
        <w:rPr>
          <w:rFonts w:ascii="Arial" w:hAnsi="Arial" w:cs="Arial"/>
        </w:rPr>
        <w:t>the liquidation proceedings instituted by the applicant against the respondent.</w:t>
      </w:r>
    </w:p>
    <w:p w14:paraId="65A1104F" w14:textId="7B53D84B" w:rsidR="000855CF" w:rsidRDefault="000855CF" w:rsidP="00E176DC">
      <w:pPr>
        <w:pStyle w:val="ListParagraph"/>
        <w:numPr>
          <w:ilvl w:val="0"/>
          <w:numId w:val="19"/>
        </w:numPr>
        <w:tabs>
          <w:tab w:val="left" w:pos="709"/>
        </w:tabs>
        <w:spacing w:before="100" w:beforeAutospacing="1" w:after="100" w:afterAutospacing="1" w:line="360" w:lineRule="auto"/>
        <w:ind w:left="0" w:firstLine="0"/>
        <w:jc w:val="both"/>
        <w:rPr>
          <w:rFonts w:ascii="Arial" w:hAnsi="Arial" w:cs="Arial"/>
        </w:rPr>
      </w:pPr>
      <w:r>
        <w:rPr>
          <w:rFonts w:ascii="Arial" w:hAnsi="Arial" w:cs="Arial"/>
        </w:rPr>
        <w:lastRenderedPageBreak/>
        <w:t xml:space="preserve">In terms of the provisions of </w:t>
      </w:r>
      <w:r w:rsidRPr="00EB49F7">
        <w:rPr>
          <w:rFonts w:ascii="Arial" w:hAnsi="Arial" w:cs="Arial"/>
        </w:rPr>
        <w:t>Uniform rule 6(5)</w:t>
      </w:r>
      <w:r w:rsidRPr="00AB453B">
        <w:rPr>
          <w:rFonts w:ascii="Arial" w:hAnsi="Arial" w:cs="Arial"/>
          <w:i/>
        </w:rPr>
        <w:t>(e)</w:t>
      </w:r>
      <w:r>
        <w:rPr>
          <w:rFonts w:ascii="Arial" w:hAnsi="Arial" w:cs="Arial"/>
        </w:rPr>
        <w:t xml:space="preserve">, the respondent is </w:t>
      </w:r>
      <w:r w:rsidR="00390DDA">
        <w:rPr>
          <w:rFonts w:ascii="Arial" w:hAnsi="Arial" w:cs="Arial"/>
        </w:rPr>
        <w:t xml:space="preserve">granted </w:t>
      </w:r>
      <w:r>
        <w:rPr>
          <w:rFonts w:ascii="Arial" w:hAnsi="Arial" w:cs="Arial"/>
        </w:rPr>
        <w:t>leave to deliver the answering affidavit deposed to by Mr Ali Mustafa Khan on 31 March 2023</w:t>
      </w:r>
      <w:r w:rsidR="00527B3F" w:rsidRPr="00527B3F">
        <w:rPr>
          <w:rFonts w:ascii="Arial" w:hAnsi="Arial" w:cs="Arial"/>
        </w:rPr>
        <w:t xml:space="preserve"> </w:t>
      </w:r>
      <w:r w:rsidR="00527B3F">
        <w:rPr>
          <w:rFonts w:ascii="Arial" w:hAnsi="Arial" w:cs="Arial"/>
        </w:rPr>
        <w:t>in the liquidation proceedings instituted by the applicant against the respondent.</w:t>
      </w:r>
    </w:p>
    <w:p w14:paraId="6EFB82A2" w14:textId="77777777" w:rsidR="000855CF" w:rsidRDefault="00527B3F" w:rsidP="00E176DC">
      <w:pPr>
        <w:pStyle w:val="ListParagraph"/>
        <w:numPr>
          <w:ilvl w:val="0"/>
          <w:numId w:val="19"/>
        </w:numPr>
        <w:tabs>
          <w:tab w:val="left" w:pos="709"/>
        </w:tabs>
        <w:spacing w:before="100" w:beforeAutospacing="1" w:after="100" w:afterAutospacing="1" w:line="360" w:lineRule="auto"/>
        <w:ind w:left="0" w:firstLine="0"/>
        <w:jc w:val="both"/>
        <w:rPr>
          <w:rFonts w:ascii="Arial" w:hAnsi="Arial" w:cs="Arial"/>
        </w:rPr>
      </w:pPr>
      <w:r>
        <w:rPr>
          <w:rFonts w:ascii="Arial" w:hAnsi="Arial" w:cs="Arial"/>
        </w:rPr>
        <w:t>The respondent is granted condonation for the late delivery of the answering affidavit deposed to by Mr Ali Mustafa Khan on 31 March 2023.</w:t>
      </w:r>
    </w:p>
    <w:p w14:paraId="41CF7C2F" w14:textId="706EE147" w:rsidR="00527B3F" w:rsidRPr="00527B3F" w:rsidRDefault="00527B3F" w:rsidP="00E176DC">
      <w:pPr>
        <w:pStyle w:val="ListParagraph"/>
        <w:numPr>
          <w:ilvl w:val="0"/>
          <w:numId w:val="19"/>
        </w:numPr>
        <w:tabs>
          <w:tab w:val="left" w:pos="709"/>
        </w:tabs>
        <w:spacing w:before="100" w:beforeAutospacing="1" w:after="100" w:afterAutospacing="1" w:line="360" w:lineRule="auto"/>
        <w:ind w:left="0" w:firstLine="0"/>
        <w:jc w:val="both"/>
        <w:rPr>
          <w:rFonts w:ascii="Arial" w:hAnsi="Arial" w:cs="Arial"/>
        </w:rPr>
      </w:pPr>
      <w:r w:rsidRPr="00527B3F">
        <w:rPr>
          <w:rFonts w:ascii="Arial" w:hAnsi="Arial" w:cs="Arial"/>
        </w:rPr>
        <w:t xml:space="preserve">The applicant is granted leave to deliver a further </w:t>
      </w:r>
      <w:r w:rsidR="00397EB9">
        <w:rPr>
          <w:rFonts w:ascii="Arial" w:hAnsi="Arial" w:cs="Arial"/>
        </w:rPr>
        <w:t>affidavit</w:t>
      </w:r>
      <w:r>
        <w:rPr>
          <w:rFonts w:ascii="Arial" w:hAnsi="Arial" w:cs="Arial"/>
        </w:rPr>
        <w:t>,</w:t>
      </w:r>
      <w:r w:rsidRPr="00527B3F">
        <w:rPr>
          <w:rFonts w:ascii="Arial" w:hAnsi="Arial" w:cs="Arial"/>
        </w:rPr>
        <w:t xml:space="preserve"> if </w:t>
      </w:r>
      <w:r w:rsidR="00EF0DFE">
        <w:rPr>
          <w:rFonts w:ascii="Arial" w:hAnsi="Arial" w:cs="Arial"/>
        </w:rPr>
        <w:t xml:space="preserve">so </w:t>
      </w:r>
      <w:r w:rsidRPr="00527B3F">
        <w:rPr>
          <w:rFonts w:ascii="Arial" w:hAnsi="Arial" w:cs="Arial"/>
        </w:rPr>
        <w:t>advised</w:t>
      </w:r>
      <w:r>
        <w:rPr>
          <w:rFonts w:ascii="Arial" w:hAnsi="Arial" w:cs="Arial"/>
        </w:rPr>
        <w:t xml:space="preserve">, in order to deal only with </w:t>
      </w:r>
      <w:r w:rsidRPr="00527B3F">
        <w:rPr>
          <w:rFonts w:asciiTheme="minorBidi" w:hAnsiTheme="minorBidi" w:cstheme="minorBidi"/>
        </w:rPr>
        <w:t>any differences that may exist when the answering affidavit</w:t>
      </w:r>
      <w:r>
        <w:rPr>
          <w:rFonts w:asciiTheme="minorBidi" w:hAnsiTheme="minorBidi" w:cstheme="minorBidi"/>
        </w:rPr>
        <w:t xml:space="preserve"> deposed to by Mr </w:t>
      </w:r>
      <w:r w:rsidRPr="00DA1EB5">
        <w:rPr>
          <w:rFonts w:ascii="Arial" w:hAnsi="Arial" w:cs="Arial"/>
          <w:lang w:val="en-US"/>
        </w:rPr>
        <w:t>Muhammad Saleem Khan</w:t>
      </w:r>
      <w:r w:rsidR="00CE44C8">
        <w:rPr>
          <w:rFonts w:ascii="Arial" w:hAnsi="Arial" w:cs="Arial"/>
          <w:lang w:val="en-US"/>
        </w:rPr>
        <w:t xml:space="preserve"> and the answering affidavit deposed to by </w:t>
      </w:r>
      <w:r w:rsidR="00CE44C8">
        <w:rPr>
          <w:rFonts w:ascii="Arial" w:hAnsi="Arial" w:cs="Arial"/>
        </w:rPr>
        <w:t>Mr Ali Mustafa Khan</w:t>
      </w:r>
      <w:r w:rsidRPr="00527B3F">
        <w:rPr>
          <w:rFonts w:asciiTheme="minorBidi" w:hAnsiTheme="minorBidi" w:cstheme="minorBidi"/>
        </w:rPr>
        <w:t xml:space="preserve"> are compared </w:t>
      </w:r>
      <w:r w:rsidR="00F311A4">
        <w:rPr>
          <w:rFonts w:asciiTheme="minorBidi" w:hAnsiTheme="minorBidi" w:cstheme="minorBidi"/>
        </w:rPr>
        <w:t>with</w:t>
      </w:r>
      <w:r w:rsidR="00AB453B">
        <w:rPr>
          <w:rFonts w:asciiTheme="minorBidi" w:hAnsiTheme="minorBidi" w:cstheme="minorBidi"/>
        </w:rPr>
        <w:t xml:space="preserve"> </w:t>
      </w:r>
      <w:r w:rsidRPr="00527B3F">
        <w:rPr>
          <w:rFonts w:asciiTheme="minorBidi" w:hAnsiTheme="minorBidi" w:cstheme="minorBidi"/>
        </w:rPr>
        <w:t>one</w:t>
      </w:r>
      <w:r w:rsidR="00AB453B">
        <w:rPr>
          <w:rFonts w:asciiTheme="minorBidi" w:hAnsiTheme="minorBidi" w:cstheme="minorBidi"/>
        </w:rPr>
        <w:t xml:space="preserve"> another</w:t>
      </w:r>
      <w:r w:rsidRPr="00527B3F">
        <w:rPr>
          <w:rFonts w:asciiTheme="minorBidi" w:hAnsiTheme="minorBidi" w:cstheme="minorBidi"/>
        </w:rPr>
        <w:t xml:space="preserve">. </w:t>
      </w:r>
    </w:p>
    <w:p w14:paraId="4FDBF050" w14:textId="24EC99F3" w:rsidR="00F91D8D" w:rsidRDefault="00994099" w:rsidP="00E176DC">
      <w:pPr>
        <w:pStyle w:val="ListParagraph"/>
        <w:numPr>
          <w:ilvl w:val="0"/>
          <w:numId w:val="19"/>
        </w:numPr>
        <w:tabs>
          <w:tab w:val="left" w:pos="709"/>
        </w:tabs>
        <w:spacing w:before="100" w:beforeAutospacing="1" w:after="100" w:afterAutospacing="1" w:line="360" w:lineRule="auto"/>
        <w:ind w:left="0" w:firstLine="0"/>
        <w:jc w:val="both"/>
        <w:rPr>
          <w:rFonts w:ascii="Arial" w:hAnsi="Arial" w:cs="Arial"/>
        </w:rPr>
      </w:pPr>
      <w:r>
        <w:rPr>
          <w:rFonts w:ascii="Arial" w:hAnsi="Arial" w:cs="Arial"/>
        </w:rPr>
        <w:t xml:space="preserve">The respondent shall pay the </w:t>
      </w:r>
      <w:r w:rsidR="00A545B5">
        <w:rPr>
          <w:rFonts w:ascii="Arial" w:hAnsi="Arial" w:cs="Arial"/>
        </w:rPr>
        <w:t xml:space="preserve">applicant’s </w:t>
      </w:r>
      <w:r>
        <w:rPr>
          <w:rFonts w:ascii="Arial" w:hAnsi="Arial" w:cs="Arial"/>
        </w:rPr>
        <w:t xml:space="preserve">costs of </w:t>
      </w:r>
      <w:r w:rsidR="00A545B5">
        <w:rPr>
          <w:rFonts w:ascii="Arial" w:hAnsi="Arial" w:cs="Arial"/>
        </w:rPr>
        <w:t>opposition</w:t>
      </w:r>
      <w:r>
        <w:rPr>
          <w:rFonts w:ascii="Arial" w:hAnsi="Arial" w:cs="Arial"/>
        </w:rPr>
        <w:t>.</w:t>
      </w:r>
    </w:p>
    <w:p w14:paraId="439F13B7" w14:textId="512A6948" w:rsidR="00CE44C8" w:rsidRDefault="00F32C46" w:rsidP="00CE44C8">
      <w:pPr>
        <w:tabs>
          <w:tab w:val="left" w:pos="709"/>
        </w:tabs>
        <w:spacing w:before="100" w:beforeAutospacing="1" w:after="100" w:afterAutospacing="1" w:line="360" w:lineRule="auto"/>
        <w:jc w:val="both"/>
        <w:rPr>
          <w:rFonts w:ascii="Arial" w:hAnsi="Arial" w:cs="Arial"/>
        </w:rPr>
      </w:pPr>
      <w:r w:rsidRPr="0044558B">
        <w:rPr>
          <w:rFonts w:ascii="Arial" w:hAnsi="Arial" w:cs="Arial"/>
          <w:noProof/>
          <w:lang w:val="en-GB" w:bidi="ar-SA"/>
        </w:rPr>
        <w:drawing>
          <wp:anchor distT="0" distB="0" distL="114300" distR="114300" simplePos="0" relativeHeight="251659264" behindDoc="1" locked="0" layoutInCell="1" allowOverlap="1" wp14:anchorId="003A50FD" wp14:editId="4781017B">
            <wp:simplePos x="0" y="0"/>
            <wp:positionH relativeFrom="margin">
              <wp:posOffset>3618780</wp:posOffset>
            </wp:positionH>
            <wp:positionV relativeFrom="paragraph">
              <wp:posOffset>415266</wp:posOffset>
            </wp:positionV>
            <wp:extent cx="2329389" cy="643315"/>
            <wp:effectExtent l="0" t="0" r="0" b="4445"/>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rotWithShape="1">
                    <a:blip r:embed="rId9">
                      <a:extLst>
                        <a:ext uri="{28A0092B-C50C-407E-A947-70E740481C1C}">
                          <a14:useLocalDpi xmlns:a14="http://schemas.microsoft.com/office/drawing/2010/main" val="0"/>
                        </a:ext>
                      </a:extLst>
                    </a:blip>
                    <a:srcRect l="21160" t="71137" r="41997" b="20994"/>
                    <a:stretch/>
                  </pic:blipFill>
                  <pic:spPr bwMode="auto">
                    <a:xfrm>
                      <a:off x="0" y="0"/>
                      <a:ext cx="2348194" cy="6485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C4277A" w14:textId="51735901" w:rsidR="0044558B" w:rsidRPr="0044558B" w:rsidRDefault="0044558B" w:rsidP="0044558B">
      <w:pPr>
        <w:tabs>
          <w:tab w:val="left" w:pos="709"/>
        </w:tabs>
        <w:spacing w:line="360" w:lineRule="auto"/>
        <w:jc w:val="right"/>
        <w:rPr>
          <w:rFonts w:ascii="Arial" w:hAnsi="Arial" w:cs="Arial"/>
        </w:rPr>
      </w:pPr>
    </w:p>
    <w:p w14:paraId="282B3E8D" w14:textId="77777777" w:rsidR="0044558B" w:rsidRPr="0044558B" w:rsidRDefault="0044558B" w:rsidP="0044558B">
      <w:pPr>
        <w:tabs>
          <w:tab w:val="left" w:pos="709"/>
        </w:tabs>
        <w:spacing w:line="360" w:lineRule="auto"/>
        <w:jc w:val="right"/>
        <w:rPr>
          <w:rFonts w:ascii="Arial" w:hAnsi="Arial" w:cs="Arial"/>
        </w:rPr>
      </w:pPr>
      <w:r w:rsidRPr="0044558B">
        <w:rPr>
          <w:rFonts w:ascii="Arial" w:hAnsi="Arial" w:cs="Arial"/>
        </w:rPr>
        <w:t>___</w:t>
      </w:r>
      <w:r>
        <w:rPr>
          <w:rFonts w:ascii="Arial" w:hAnsi="Arial" w:cs="Arial"/>
        </w:rPr>
        <w:t>____</w:t>
      </w:r>
      <w:r w:rsidRPr="0044558B">
        <w:rPr>
          <w:rFonts w:ascii="Arial" w:hAnsi="Arial" w:cs="Arial"/>
        </w:rPr>
        <w:t>_________________</w:t>
      </w:r>
    </w:p>
    <w:p w14:paraId="1E0B68CA" w14:textId="77777777" w:rsidR="0044558B" w:rsidRDefault="0044558B" w:rsidP="0044558B">
      <w:pPr>
        <w:tabs>
          <w:tab w:val="left" w:pos="709"/>
        </w:tabs>
        <w:jc w:val="right"/>
        <w:rPr>
          <w:rFonts w:ascii="Arial" w:hAnsi="Arial" w:cs="Arial"/>
          <w:b/>
        </w:rPr>
      </w:pPr>
    </w:p>
    <w:p w14:paraId="36BFBE63" w14:textId="77777777" w:rsidR="0044558B" w:rsidRPr="0044558B" w:rsidRDefault="0044558B" w:rsidP="0044558B">
      <w:pPr>
        <w:tabs>
          <w:tab w:val="left" w:pos="709"/>
        </w:tabs>
        <w:spacing w:line="360" w:lineRule="auto"/>
        <w:jc w:val="right"/>
        <w:rPr>
          <w:rFonts w:ascii="Arial" w:hAnsi="Arial" w:cs="Arial"/>
          <w:b/>
        </w:rPr>
      </w:pPr>
      <w:r w:rsidRPr="0044558B">
        <w:rPr>
          <w:rFonts w:ascii="Arial" w:hAnsi="Arial" w:cs="Arial"/>
          <w:b/>
        </w:rPr>
        <w:t>MOSSOP J</w:t>
      </w:r>
    </w:p>
    <w:p w14:paraId="74F7ADDC" w14:textId="77777777" w:rsidR="0044558B" w:rsidRPr="0044558B" w:rsidRDefault="0044558B" w:rsidP="0044558B">
      <w:pPr>
        <w:spacing w:line="360" w:lineRule="auto"/>
        <w:jc w:val="center"/>
        <w:rPr>
          <w:rFonts w:ascii="Arial" w:eastAsia="Calibri" w:hAnsi="Arial" w:cs="Arial"/>
          <w:b/>
          <w:u w:val="single"/>
        </w:rPr>
      </w:pPr>
    </w:p>
    <w:p w14:paraId="5CD5BF37" w14:textId="77777777" w:rsidR="0044558B" w:rsidRDefault="0044558B" w:rsidP="0044558B">
      <w:pPr>
        <w:spacing w:line="360" w:lineRule="auto"/>
        <w:jc w:val="center"/>
        <w:rPr>
          <w:rFonts w:ascii="Arial" w:eastAsia="Calibri" w:hAnsi="Arial" w:cs="Arial"/>
          <w:b/>
          <w:u w:val="single"/>
        </w:rPr>
      </w:pPr>
    </w:p>
    <w:p w14:paraId="0F158936" w14:textId="77777777" w:rsidR="00937279" w:rsidRDefault="00937279" w:rsidP="0044558B">
      <w:pPr>
        <w:spacing w:line="360" w:lineRule="auto"/>
        <w:jc w:val="center"/>
        <w:rPr>
          <w:rFonts w:ascii="Arial" w:eastAsia="Calibri" w:hAnsi="Arial" w:cs="Arial"/>
          <w:b/>
          <w:u w:val="single"/>
        </w:rPr>
      </w:pPr>
    </w:p>
    <w:p w14:paraId="483D8321" w14:textId="77777777" w:rsidR="00937279" w:rsidRDefault="00937279" w:rsidP="0044558B">
      <w:pPr>
        <w:spacing w:line="360" w:lineRule="auto"/>
        <w:jc w:val="center"/>
        <w:rPr>
          <w:rFonts w:ascii="Arial" w:eastAsia="Calibri" w:hAnsi="Arial" w:cs="Arial"/>
          <w:b/>
          <w:u w:val="single"/>
        </w:rPr>
      </w:pPr>
    </w:p>
    <w:p w14:paraId="7ADC70C3" w14:textId="77777777" w:rsidR="00937279" w:rsidRDefault="00937279" w:rsidP="0044558B">
      <w:pPr>
        <w:spacing w:line="360" w:lineRule="auto"/>
        <w:jc w:val="center"/>
        <w:rPr>
          <w:rFonts w:ascii="Arial" w:eastAsia="Calibri" w:hAnsi="Arial" w:cs="Arial"/>
          <w:b/>
          <w:u w:val="single"/>
        </w:rPr>
      </w:pPr>
    </w:p>
    <w:p w14:paraId="75DED8A1" w14:textId="3CEBA351" w:rsidR="00937279" w:rsidRDefault="00937279" w:rsidP="0044558B">
      <w:pPr>
        <w:spacing w:line="360" w:lineRule="auto"/>
        <w:jc w:val="center"/>
        <w:rPr>
          <w:rFonts w:ascii="Arial" w:eastAsia="Calibri" w:hAnsi="Arial" w:cs="Arial"/>
          <w:b/>
          <w:u w:val="single"/>
        </w:rPr>
      </w:pPr>
    </w:p>
    <w:p w14:paraId="36E51F49" w14:textId="0EEE0A97" w:rsidR="008D493D" w:rsidRDefault="008D493D" w:rsidP="0044558B">
      <w:pPr>
        <w:spacing w:line="360" w:lineRule="auto"/>
        <w:jc w:val="center"/>
        <w:rPr>
          <w:rFonts w:ascii="Arial" w:eastAsia="Calibri" w:hAnsi="Arial" w:cs="Arial"/>
          <w:b/>
          <w:u w:val="single"/>
        </w:rPr>
      </w:pPr>
    </w:p>
    <w:p w14:paraId="5D18F8E1" w14:textId="2210A828" w:rsidR="008D493D" w:rsidRDefault="008D493D" w:rsidP="0044558B">
      <w:pPr>
        <w:spacing w:line="360" w:lineRule="auto"/>
        <w:jc w:val="center"/>
        <w:rPr>
          <w:rFonts w:ascii="Arial" w:eastAsia="Calibri" w:hAnsi="Arial" w:cs="Arial"/>
          <w:b/>
          <w:u w:val="single"/>
        </w:rPr>
      </w:pPr>
    </w:p>
    <w:p w14:paraId="740FC6E4" w14:textId="1C4E1A28" w:rsidR="008D493D" w:rsidRDefault="008D493D" w:rsidP="0044558B">
      <w:pPr>
        <w:spacing w:line="360" w:lineRule="auto"/>
        <w:jc w:val="center"/>
        <w:rPr>
          <w:rFonts w:ascii="Arial" w:eastAsia="Calibri" w:hAnsi="Arial" w:cs="Arial"/>
          <w:b/>
          <w:u w:val="single"/>
        </w:rPr>
      </w:pPr>
    </w:p>
    <w:p w14:paraId="7B4E37C9" w14:textId="02BF1043" w:rsidR="008D493D" w:rsidRDefault="008D493D" w:rsidP="0044558B">
      <w:pPr>
        <w:spacing w:line="360" w:lineRule="auto"/>
        <w:jc w:val="center"/>
        <w:rPr>
          <w:rFonts w:ascii="Arial" w:eastAsia="Calibri" w:hAnsi="Arial" w:cs="Arial"/>
          <w:b/>
          <w:u w:val="single"/>
        </w:rPr>
      </w:pPr>
    </w:p>
    <w:p w14:paraId="76DF7FBA" w14:textId="7733F4E9" w:rsidR="008D493D" w:rsidRDefault="008D493D" w:rsidP="0044558B">
      <w:pPr>
        <w:spacing w:line="360" w:lineRule="auto"/>
        <w:jc w:val="center"/>
        <w:rPr>
          <w:rFonts w:ascii="Arial" w:eastAsia="Calibri" w:hAnsi="Arial" w:cs="Arial"/>
          <w:b/>
          <w:u w:val="single"/>
        </w:rPr>
      </w:pPr>
    </w:p>
    <w:p w14:paraId="1F47869B" w14:textId="1603BACF" w:rsidR="008D493D" w:rsidRDefault="008D493D" w:rsidP="0044558B">
      <w:pPr>
        <w:spacing w:line="360" w:lineRule="auto"/>
        <w:jc w:val="center"/>
        <w:rPr>
          <w:rFonts w:ascii="Arial" w:eastAsia="Calibri" w:hAnsi="Arial" w:cs="Arial"/>
          <w:b/>
          <w:u w:val="single"/>
        </w:rPr>
      </w:pPr>
    </w:p>
    <w:p w14:paraId="28224A27" w14:textId="4683816D" w:rsidR="008D493D" w:rsidRDefault="008D493D" w:rsidP="0044558B">
      <w:pPr>
        <w:spacing w:line="360" w:lineRule="auto"/>
        <w:jc w:val="center"/>
        <w:rPr>
          <w:rFonts w:ascii="Arial" w:eastAsia="Calibri" w:hAnsi="Arial" w:cs="Arial"/>
          <w:b/>
          <w:u w:val="single"/>
        </w:rPr>
      </w:pPr>
    </w:p>
    <w:p w14:paraId="3E090279" w14:textId="7AB0A78E" w:rsidR="008D493D" w:rsidRDefault="008D493D" w:rsidP="0044558B">
      <w:pPr>
        <w:spacing w:line="360" w:lineRule="auto"/>
        <w:jc w:val="center"/>
        <w:rPr>
          <w:rFonts w:ascii="Arial" w:eastAsia="Calibri" w:hAnsi="Arial" w:cs="Arial"/>
          <w:b/>
          <w:u w:val="single"/>
        </w:rPr>
      </w:pPr>
    </w:p>
    <w:p w14:paraId="6618FD5A" w14:textId="67BC4ED1" w:rsidR="008D493D" w:rsidRDefault="008D493D" w:rsidP="0044558B">
      <w:pPr>
        <w:spacing w:line="360" w:lineRule="auto"/>
        <w:jc w:val="center"/>
        <w:rPr>
          <w:rFonts w:ascii="Arial" w:eastAsia="Calibri" w:hAnsi="Arial" w:cs="Arial"/>
          <w:b/>
          <w:u w:val="single"/>
        </w:rPr>
      </w:pPr>
    </w:p>
    <w:p w14:paraId="3E28A20F" w14:textId="37DDF623" w:rsidR="008D493D" w:rsidRDefault="008D493D" w:rsidP="0044558B">
      <w:pPr>
        <w:spacing w:line="360" w:lineRule="auto"/>
        <w:jc w:val="center"/>
        <w:rPr>
          <w:rFonts w:ascii="Arial" w:eastAsia="Calibri" w:hAnsi="Arial" w:cs="Arial"/>
          <w:b/>
          <w:u w:val="single"/>
        </w:rPr>
      </w:pPr>
    </w:p>
    <w:p w14:paraId="59386AA4" w14:textId="77777777" w:rsidR="008D493D" w:rsidRDefault="008D493D" w:rsidP="0044558B">
      <w:pPr>
        <w:spacing w:line="360" w:lineRule="auto"/>
        <w:jc w:val="center"/>
        <w:rPr>
          <w:rFonts w:ascii="Arial" w:eastAsia="Calibri" w:hAnsi="Arial" w:cs="Arial"/>
          <w:b/>
          <w:u w:val="single"/>
        </w:rPr>
      </w:pPr>
    </w:p>
    <w:p w14:paraId="012998FF" w14:textId="77777777" w:rsidR="00937279" w:rsidRDefault="00937279" w:rsidP="0044558B">
      <w:pPr>
        <w:spacing w:line="360" w:lineRule="auto"/>
        <w:jc w:val="center"/>
        <w:rPr>
          <w:rFonts w:ascii="Arial" w:eastAsia="Calibri" w:hAnsi="Arial" w:cs="Arial"/>
          <w:b/>
          <w:u w:val="single"/>
        </w:rPr>
      </w:pPr>
    </w:p>
    <w:p w14:paraId="33DF0F88" w14:textId="77777777" w:rsidR="0044558B" w:rsidRPr="0044558B" w:rsidRDefault="0044558B" w:rsidP="0044558B">
      <w:pPr>
        <w:spacing w:line="360" w:lineRule="auto"/>
        <w:jc w:val="center"/>
        <w:rPr>
          <w:rFonts w:ascii="Arial" w:eastAsia="Calibri" w:hAnsi="Arial" w:cs="Arial"/>
          <w:b/>
          <w:u w:val="single"/>
        </w:rPr>
      </w:pPr>
      <w:r w:rsidRPr="0044558B">
        <w:rPr>
          <w:rFonts w:ascii="Arial" w:eastAsia="Calibri" w:hAnsi="Arial" w:cs="Arial"/>
          <w:b/>
          <w:u w:val="single"/>
        </w:rPr>
        <w:lastRenderedPageBreak/>
        <w:t>APPEARANCES</w:t>
      </w:r>
    </w:p>
    <w:p w14:paraId="0F63A449" w14:textId="77777777" w:rsidR="0044558B" w:rsidRDefault="0044558B" w:rsidP="0044558B">
      <w:pPr>
        <w:spacing w:line="360" w:lineRule="auto"/>
        <w:jc w:val="both"/>
        <w:rPr>
          <w:rFonts w:ascii="Arial" w:eastAsia="Calibri" w:hAnsi="Arial" w:cs="Arial"/>
          <w:b/>
          <w:u w:val="single"/>
        </w:rPr>
      </w:pPr>
    </w:p>
    <w:p w14:paraId="7CA23542" w14:textId="77777777" w:rsidR="0044558B" w:rsidRPr="0044558B" w:rsidRDefault="0044558B" w:rsidP="0044558B">
      <w:pPr>
        <w:spacing w:line="360" w:lineRule="auto"/>
        <w:jc w:val="both"/>
        <w:rPr>
          <w:rFonts w:ascii="Arial" w:eastAsia="Calibri" w:hAnsi="Arial" w:cs="Arial"/>
          <w:b/>
          <w:u w:val="single"/>
        </w:rPr>
      </w:pPr>
    </w:p>
    <w:p w14:paraId="75E21807" w14:textId="77777777" w:rsidR="0044558B" w:rsidRPr="0044558B" w:rsidRDefault="0044558B" w:rsidP="0044558B">
      <w:pPr>
        <w:spacing w:line="360" w:lineRule="auto"/>
        <w:jc w:val="both"/>
        <w:rPr>
          <w:rFonts w:ascii="Arial" w:eastAsia="Calibri" w:hAnsi="Arial" w:cs="Arial"/>
          <w:b/>
          <w:u w:val="single"/>
        </w:rPr>
      </w:pPr>
    </w:p>
    <w:p w14:paraId="7DC0AE1D" w14:textId="77777777" w:rsidR="004453CE" w:rsidRDefault="0044558B" w:rsidP="0048556F">
      <w:pPr>
        <w:tabs>
          <w:tab w:val="left" w:pos="3686"/>
          <w:tab w:val="left" w:pos="4536"/>
        </w:tabs>
        <w:spacing w:line="360" w:lineRule="auto"/>
        <w:ind w:right="-82"/>
        <w:jc w:val="both"/>
        <w:rPr>
          <w:rFonts w:ascii="Arial" w:hAnsi="Arial" w:cs="Arial"/>
        </w:rPr>
      </w:pPr>
      <w:r w:rsidRPr="0044558B">
        <w:rPr>
          <w:rFonts w:ascii="Arial" w:hAnsi="Arial" w:cs="Arial"/>
        </w:rPr>
        <w:t>Counsel for the applicant</w:t>
      </w:r>
      <w:r w:rsidRPr="0044558B">
        <w:rPr>
          <w:rFonts w:ascii="Arial" w:hAnsi="Arial" w:cs="Arial"/>
        </w:rPr>
        <w:tab/>
        <w:t xml:space="preserve">:  </w:t>
      </w:r>
      <w:r w:rsidRPr="0044558B">
        <w:rPr>
          <w:rFonts w:ascii="Arial" w:hAnsi="Arial" w:cs="Arial"/>
        </w:rPr>
        <w:tab/>
      </w:r>
      <w:r w:rsidR="0048556F">
        <w:rPr>
          <w:rFonts w:ascii="Arial" w:hAnsi="Arial" w:cs="Arial"/>
        </w:rPr>
        <w:t>Ms M</w:t>
      </w:r>
      <w:r w:rsidR="00CE44C8">
        <w:rPr>
          <w:rFonts w:ascii="Arial" w:hAnsi="Arial" w:cs="Arial"/>
        </w:rPr>
        <w:t xml:space="preserve"> E</w:t>
      </w:r>
      <w:r w:rsidR="0048556F">
        <w:rPr>
          <w:rFonts w:ascii="Arial" w:hAnsi="Arial" w:cs="Arial"/>
        </w:rPr>
        <w:t xml:space="preserve"> van Jaarsveld</w:t>
      </w:r>
    </w:p>
    <w:p w14:paraId="63E48C30" w14:textId="77777777" w:rsidR="00816446" w:rsidRDefault="0044558B" w:rsidP="00F44E93">
      <w:pPr>
        <w:tabs>
          <w:tab w:val="left" w:pos="3686"/>
          <w:tab w:val="left" w:pos="4536"/>
        </w:tabs>
        <w:spacing w:line="360" w:lineRule="auto"/>
        <w:ind w:right="-82"/>
        <w:jc w:val="both"/>
        <w:rPr>
          <w:rFonts w:ascii="Arial" w:hAnsi="Arial" w:cs="Arial"/>
        </w:rPr>
      </w:pPr>
      <w:r w:rsidRPr="0044558B">
        <w:rPr>
          <w:rFonts w:ascii="Arial" w:hAnsi="Arial" w:cs="Arial"/>
        </w:rPr>
        <w:t>Instructed by:</w:t>
      </w:r>
      <w:r w:rsidR="00F44E93">
        <w:rPr>
          <w:rFonts w:ascii="Arial" w:hAnsi="Arial" w:cs="Arial"/>
        </w:rPr>
        <w:tab/>
      </w:r>
      <w:r w:rsidRPr="0044558B">
        <w:rPr>
          <w:rFonts w:ascii="Arial" w:hAnsi="Arial" w:cs="Arial"/>
        </w:rPr>
        <w:t>:</w:t>
      </w:r>
      <w:r w:rsidRPr="0044558B">
        <w:rPr>
          <w:rFonts w:ascii="Arial" w:hAnsi="Arial" w:cs="Arial"/>
        </w:rPr>
        <w:tab/>
      </w:r>
      <w:r w:rsidR="00F062D8">
        <w:rPr>
          <w:rFonts w:ascii="Arial" w:hAnsi="Arial" w:cs="Arial"/>
        </w:rPr>
        <w:t>Schabort Potgieter Attorneys Incorporated</w:t>
      </w:r>
    </w:p>
    <w:p w14:paraId="51E2FECE" w14:textId="77777777" w:rsidR="007D59E5" w:rsidRDefault="007D59E5" w:rsidP="00BE22D2">
      <w:pPr>
        <w:tabs>
          <w:tab w:val="left" w:pos="4536"/>
        </w:tabs>
        <w:spacing w:line="360" w:lineRule="auto"/>
        <w:ind w:right="-82"/>
        <w:jc w:val="both"/>
        <w:rPr>
          <w:rFonts w:ascii="Arial" w:hAnsi="Arial" w:cs="Arial"/>
        </w:rPr>
      </w:pPr>
      <w:r>
        <w:rPr>
          <w:rFonts w:ascii="Arial" w:hAnsi="Arial" w:cs="Arial"/>
        </w:rPr>
        <w:tab/>
        <w:t>189 Soutpansberg Road</w:t>
      </w:r>
    </w:p>
    <w:p w14:paraId="0C55F7DC" w14:textId="77777777" w:rsidR="007D59E5" w:rsidRDefault="007D59E5" w:rsidP="00BE22D2">
      <w:pPr>
        <w:tabs>
          <w:tab w:val="left" w:pos="4536"/>
        </w:tabs>
        <w:spacing w:line="360" w:lineRule="auto"/>
        <w:ind w:right="-82"/>
        <w:jc w:val="both"/>
        <w:rPr>
          <w:rFonts w:ascii="Arial" w:hAnsi="Arial" w:cs="Arial"/>
        </w:rPr>
      </w:pPr>
      <w:r>
        <w:rPr>
          <w:rFonts w:ascii="Arial" w:hAnsi="Arial" w:cs="Arial"/>
        </w:rPr>
        <w:tab/>
        <w:t>Riviera</w:t>
      </w:r>
    </w:p>
    <w:p w14:paraId="59127049" w14:textId="77777777" w:rsidR="007D59E5" w:rsidRDefault="007D59E5" w:rsidP="00BE22D2">
      <w:pPr>
        <w:tabs>
          <w:tab w:val="left" w:pos="4536"/>
        </w:tabs>
        <w:spacing w:line="360" w:lineRule="auto"/>
        <w:ind w:right="-82"/>
        <w:jc w:val="both"/>
        <w:rPr>
          <w:rFonts w:ascii="Arial" w:hAnsi="Arial" w:cs="Arial"/>
        </w:rPr>
      </w:pPr>
      <w:r>
        <w:rPr>
          <w:rFonts w:ascii="Arial" w:hAnsi="Arial" w:cs="Arial"/>
        </w:rPr>
        <w:tab/>
        <w:t>Pretoria</w:t>
      </w:r>
    </w:p>
    <w:p w14:paraId="336A97A8" w14:textId="77777777" w:rsidR="00F062D8" w:rsidRDefault="00F062D8" w:rsidP="00BE22D2">
      <w:pPr>
        <w:tabs>
          <w:tab w:val="left" w:pos="4536"/>
        </w:tabs>
        <w:spacing w:line="360" w:lineRule="auto"/>
        <w:ind w:right="-82"/>
        <w:jc w:val="both"/>
        <w:rPr>
          <w:rFonts w:ascii="Arial" w:hAnsi="Arial" w:cs="Arial"/>
        </w:rPr>
      </w:pPr>
      <w:r>
        <w:rPr>
          <w:rFonts w:ascii="Arial" w:hAnsi="Arial" w:cs="Arial"/>
        </w:rPr>
        <w:tab/>
        <w:t>Care of:</w:t>
      </w:r>
    </w:p>
    <w:p w14:paraId="1B48DA88" w14:textId="77777777" w:rsidR="00F062D8" w:rsidRDefault="00F062D8" w:rsidP="00BE22D2">
      <w:pPr>
        <w:tabs>
          <w:tab w:val="left" w:pos="4536"/>
        </w:tabs>
        <w:spacing w:line="360" w:lineRule="auto"/>
        <w:ind w:right="-82"/>
        <w:jc w:val="both"/>
        <w:rPr>
          <w:rFonts w:ascii="Arial" w:hAnsi="Arial" w:cs="Arial"/>
        </w:rPr>
      </w:pPr>
      <w:r>
        <w:rPr>
          <w:rFonts w:ascii="Arial" w:hAnsi="Arial" w:cs="Arial"/>
        </w:rPr>
        <w:tab/>
        <w:t>Hay and Scott Attorneys</w:t>
      </w:r>
    </w:p>
    <w:p w14:paraId="54F4465B" w14:textId="77777777" w:rsidR="00F062D8" w:rsidRDefault="00F062D8" w:rsidP="00BE22D2">
      <w:pPr>
        <w:tabs>
          <w:tab w:val="left" w:pos="4536"/>
        </w:tabs>
        <w:spacing w:line="360" w:lineRule="auto"/>
        <w:ind w:right="-82"/>
        <w:jc w:val="both"/>
        <w:rPr>
          <w:rFonts w:ascii="Arial" w:hAnsi="Arial" w:cs="Arial"/>
        </w:rPr>
      </w:pPr>
      <w:r>
        <w:rPr>
          <w:rFonts w:ascii="Arial" w:hAnsi="Arial" w:cs="Arial"/>
        </w:rPr>
        <w:tab/>
        <w:t>Top Floor, 3 Highgate Drive</w:t>
      </w:r>
    </w:p>
    <w:p w14:paraId="3A3BFEAE" w14:textId="77777777" w:rsidR="00F062D8" w:rsidRPr="00F44E93" w:rsidRDefault="00F062D8" w:rsidP="00BE22D2">
      <w:pPr>
        <w:tabs>
          <w:tab w:val="left" w:pos="4536"/>
        </w:tabs>
        <w:spacing w:line="360" w:lineRule="auto"/>
        <w:ind w:right="-82"/>
        <w:jc w:val="both"/>
        <w:rPr>
          <w:rFonts w:ascii="Arial" w:hAnsi="Arial" w:cs="Arial"/>
          <w:spacing w:val="-6"/>
        </w:rPr>
      </w:pPr>
      <w:r>
        <w:rPr>
          <w:rFonts w:ascii="Arial" w:hAnsi="Arial" w:cs="Arial"/>
        </w:rPr>
        <w:tab/>
      </w:r>
      <w:r w:rsidRPr="00F44E93">
        <w:rPr>
          <w:rFonts w:ascii="Arial" w:hAnsi="Arial" w:cs="Arial"/>
          <w:spacing w:val="-6"/>
        </w:rPr>
        <w:t>Redlands Estate, 1 George MacFarlane Lane</w:t>
      </w:r>
    </w:p>
    <w:p w14:paraId="2AA62916" w14:textId="77777777" w:rsidR="0044558B" w:rsidRPr="0044558B" w:rsidRDefault="00F062D8" w:rsidP="00BE22D2">
      <w:pPr>
        <w:tabs>
          <w:tab w:val="left" w:pos="4536"/>
        </w:tabs>
        <w:spacing w:line="360" w:lineRule="auto"/>
        <w:ind w:left="4253" w:right="-82" w:hanging="4253"/>
        <w:jc w:val="both"/>
        <w:rPr>
          <w:rFonts w:ascii="Arial" w:hAnsi="Arial" w:cs="Arial"/>
        </w:rPr>
      </w:pPr>
      <w:r>
        <w:rPr>
          <w:rFonts w:ascii="Arial" w:hAnsi="Arial" w:cs="Arial"/>
        </w:rPr>
        <w:tab/>
      </w:r>
      <w:r>
        <w:rPr>
          <w:rFonts w:ascii="Arial" w:hAnsi="Arial" w:cs="Arial"/>
        </w:rPr>
        <w:tab/>
      </w:r>
      <w:r w:rsidR="0044558B" w:rsidRPr="0044558B">
        <w:rPr>
          <w:rFonts w:ascii="Arial" w:hAnsi="Arial" w:cs="Arial"/>
        </w:rPr>
        <w:t>Pietermaritzburg</w:t>
      </w:r>
    </w:p>
    <w:p w14:paraId="4382FC98" w14:textId="77777777" w:rsidR="0044558B" w:rsidRPr="0044558B" w:rsidRDefault="0044558B" w:rsidP="0044558B">
      <w:pPr>
        <w:spacing w:line="360" w:lineRule="auto"/>
        <w:ind w:right="-82"/>
        <w:jc w:val="both"/>
        <w:rPr>
          <w:rFonts w:ascii="Arial" w:hAnsi="Arial" w:cs="Arial"/>
        </w:rPr>
      </w:pP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t xml:space="preserve"> </w:t>
      </w:r>
    </w:p>
    <w:p w14:paraId="132137A0" w14:textId="77777777" w:rsidR="0044558B" w:rsidRPr="0044558B" w:rsidRDefault="0044558B" w:rsidP="00F44E93">
      <w:pPr>
        <w:tabs>
          <w:tab w:val="left" w:pos="3686"/>
          <w:tab w:val="left" w:pos="4253"/>
          <w:tab w:val="left" w:pos="4536"/>
        </w:tabs>
        <w:spacing w:line="360" w:lineRule="auto"/>
        <w:jc w:val="both"/>
        <w:rPr>
          <w:rFonts w:ascii="Arial" w:hAnsi="Arial" w:cs="Arial"/>
        </w:rPr>
      </w:pPr>
      <w:r w:rsidRPr="0044558B">
        <w:rPr>
          <w:rFonts w:ascii="Arial" w:hAnsi="Arial" w:cs="Arial"/>
        </w:rPr>
        <w:t>Counsel for the respondent</w:t>
      </w:r>
      <w:r w:rsidR="00BE22D2">
        <w:rPr>
          <w:rFonts w:ascii="Arial" w:hAnsi="Arial" w:cs="Arial"/>
        </w:rPr>
        <w:t xml:space="preserve">         </w:t>
      </w:r>
      <w:r w:rsidR="00F44E93">
        <w:rPr>
          <w:rFonts w:ascii="Arial" w:hAnsi="Arial" w:cs="Arial"/>
        </w:rPr>
        <w:tab/>
      </w:r>
      <w:r w:rsidRPr="0044558B">
        <w:rPr>
          <w:rFonts w:ascii="Arial" w:hAnsi="Arial" w:cs="Arial"/>
        </w:rPr>
        <w:t>:</w:t>
      </w:r>
      <w:r w:rsidRPr="0044558B">
        <w:rPr>
          <w:rFonts w:ascii="Arial" w:hAnsi="Arial" w:cs="Arial"/>
        </w:rPr>
        <w:tab/>
      </w:r>
      <w:r w:rsidR="00F44E93">
        <w:rPr>
          <w:rFonts w:ascii="Arial" w:hAnsi="Arial" w:cs="Arial"/>
        </w:rPr>
        <w:tab/>
      </w:r>
      <w:r w:rsidR="00BE22D2">
        <w:rPr>
          <w:rFonts w:ascii="Arial" w:hAnsi="Arial" w:cs="Arial"/>
        </w:rPr>
        <w:t xml:space="preserve">Mr </w:t>
      </w:r>
      <w:r w:rsidR="00CE44C8">
        <w:rPr>
          <w:rFonts w:ascii="Arial" w:hAnsi="Arial" w:cs="Arial"/>
        </w:rPr>
        <w:t>J</w:t>
      </w:r>
      <w:r w:rsidR="009D3E59">
        <w:rPr>
          <w:rFonts w:ascii="Arial" w:hAnsi="Arial" w:cs="Arial"/>
        </w:rPr>
        <w:t xml:space="preserve"> W</w:t>
      </w:r>
      <w:r w:rsidR="00CE44C8">
        <w:rPr>
          <w:rFonts w:ascii="Arial" w:hAnsi="Arial" w:cs="Arial"/>
        </w:rPr>
        <w:t xml:space="preserve"> Temlett</w:t>
      </w:r>
    </w:p>
    <w:p w14:paraId="7C5FB7E2" w14:textId="77777777" w:rsidR="00F062D8" w:rsidRDefault="0044558B" w:rsidP="00F44E93">
      <w:pPr>
        <w:tabs>
          <w:tab w:val="left" w:pos="3686"/>
          <w:tab w:val="left" w:pos="4536"/>
        </w:tabs>
        <w:spacing w:line="360" w:lineRule="auto"/>
        <w:ind w:left="4253" w:right="-82" w:hanging="4253"/>
        <w:jc w:val="both"/>
        <w:rPr>
          <w:rFonts w:ascii="Arial" w:hAnsi="Arial" w:cs="Arial"/>
        </w:rPr>
      </w:pPr>
      <w:r w:rsidRPr="0044558B">
        <w:rPr>
          <w:rFonts w:ascii="Arial" w:hAnsi="Arial" w:cs="Arial"/>
        </w:rPr>
        <w:t>Instructed b</w:t>
      </w:r>
      <w:r w:rsidR="00913722">
        <w:rPr>
          <w:rFonts w:ascii="Arial" w:hAnsi="Arial" w:cs="Arial"/>
        </w:rPr>
        <w:t>y</w:t>
      </w:r>
      <w:r w:rsidR="00913722">
        <w:rPr>
          <w:rFonts w:ascii="Arial" w:hAnsi="Arial" w:cs="Arial"/>
        </w:rPr>
        <w:tab/>
      </w:r>
      <w:r w:rsidRPr="0044558B">
        <w:rPr>
          <w:rFonts w:ascii="Arial" w:hAnsi="Arial" w:cs="Arial"/>
        </w:rPr>
        <w:t>:</w:t>
      </w:r>
      <w:r w:rsidRPr="0044558B">
        <w:rPr>
          <w:rFonts w:ascii="Arial" w:hAnsi="Arial" w:cs="Arial"/>
        </w:rPr>
        <w:tab/>
      </w:r>
      <w:r w:rsidR="00F44E93">
        <w:rPr>
          <w:rFonts w:ascii="Arial" w:hAnsi="Arial" w:cs="Arial"/>
        </w:rPr>
        <w:tab/>
      </w:r>
      <w:r w:rsidR="00F062D8">
        <w:rPr>
          <w:rFonts w:ascii="Arial" w:hAnsi="Arial" w:cs="Arial"/>
        </w:rPr>
        <w:t>Carlos Miranda Attorneys</w:t>
      </w:r>
    </w:p>
    <w:p w14:paraId="7F1E533B" w14:textId="77777777" w:rsidR="00F062D8" w:rsidRDefault="00F062D8" w:rsidP="00F44E93">
      <w:pPr>
        <w:tabs>
          <w:tab w:val="left" w:pos="3544"/>
          <w:tab w:val="left" w:pos="4536"/>
        </w:tabs>
        <w:spacing w:line="360" w:lineRule="auto"/>
        <w:ind w:left="4253" w:right="-82" w:hanging="4253"/>
        <w:jc w:val="both"/>
        <w:rPr>
          <w:rFonts w:ascii="Arial" w:hAnsi="Arial" w:cs="Arial"/>
        </w:rPr>
      </w:pPr>
      <w:r>
        <w:rPr>
          <w:rFonts w:ascii="Arial" w:hAnsi="Arial" w:cs="Arial"/>
        </w:rPr>
        <w:tab/>
      </w:r>
      <w:r>
        <w:rPr>
          <w:rFonts w:ascii="Arial" w:hAnsi="Arial" w:cs="Arial"/>
        </w:rPr>
        <w:tab/>
      </w:r>
      <w:r>
        <w:rPr>
          <w:rFonts w:ascii="Arial" w:hAnsi="Arial" w:cs="Arial"/>
        </w:rPr>
        <w:tab/>
        <w:t>273 Prince Alfred Street</w:t>
      </w:r>
    </w:p>
    <w:p w14:paraId="496C01A2" w14:textId="77777777" w:rsidR="0044558B" w:rsidRPr="0044558B" w:rsidRDefault="0044558B" w:rsidP="00F44E93">
      <w:pPr>
        <w:tabs>
          <w:tab w:val="left" w:pos="4536"/>
        </w:tabs>
        <w:spacing w:line="360" w:lineRule="auto"/>
        <w:ind w:left="4253" w:right="-82" w:hanging="4253"/>
        <w:jc w:val="both"/>
        <w:rPr>
          <w:rFonts w:ascii="Arial" w:hAnsi="Arial" w:cs="Arial"/>
        </w:rPr>
      </w:pPr>
      <w:r w:rsidRPr="0044558B">
        <w:rPr>
          <w:rFonts w:ascii="Arial" w:hAnsi="Arial" w:cs="Arial"/>
        </w:rPr>
        <w:tab/>
      </w:r>
      <w:r w:rsidRPr="0044558B">
        <w:rPr>
          <w:rFonts w:ascii="Arial" w:hAnsi="Arial" w:cs="Arial"/>
        </w:rPr>
        <w:tab/>
        <w:t>Pietermaritzburg</w:t>
      </w:r>
    </w:p>
    <w:p w14:paraId="4F877FCA" w14:textId="77777777" w:rsidR="0044558B" w:rsidRPr="0044558B" w:rsidRDefault="0044558B" w:rsidP="00F44E93">
      <w:pPr>
        <w:tabs>
          <w:tab w:val="left" w:pos="4536"/>
        </w:tabs>
        <w:spacing w:line="360" w:lineRule="auto"/>
        <w:ind w:right="-82"/>
        <w:jc w:val="both"/>
        <w:rPr>
          <w:rFonts w:ascii="Arial" w:hAnsi="Arial" w:cs="Arial"/>
        </w:rPr>
      </w:pP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r w:rsidRPr="0044558B">
        <w:rPr>
          <w:rFonts w:ascii="Arial" w:hAnsi="Arial" w:cs="Arial"/>
        </w:rPr>
        <w:tab/>
      </w:r>
    </w:p>
    <w:p w14:paraId="1C3E3D5B" w14:textId="77777777" w:rsidR="0044558B" w:rsidRPr="0044558B" w:rsidRDefault="0044558B" w:rsidP="00F44E93">
      <w:pPr>
        <w:tabs>
          <w:tab w:val="left" w:pos="3686"/>
          <w:tab w:val="left" w:pos="4536"/>
        </w:tabs>
        <w:spacing w:line="360" w:lineRule="auto"/>
        <w:ind w:right="-82"/>
        <w:jc w:val="both"/>
        <w:rPr>
          <w:rFonts w:ascii="Arial" w:eastAsia="Calibri" w:hAnsi="Arial" w:cs="Arial"/>
        </w:rPr>
      </w:pPr>
      <w:r w:rsidRPr="0044558B">
        <w:rPr>
          <w:rFonts w:ascii="Arial" w:eastAsia="Calibri" w:hAnsi="Arial" w:cs="Arial"/>
        </w:rPr>
        <w:t>Date of argument</w:t>
      </w:r>
      <w:r w:rsidR="00F44E93">
        <w:rPr>
          <w:rFonts w:ascii="Arial" w:eastAsia="Calibri" w:hAnsi="Arial" w:cs="Arial"/>
        </w:rPr>
        <w:tab/>
      </w:r>
      <w:r w:rsidRPr="0044558B">
        <w:rPr>
          <w:rFonts w:ascii="Arial" w:eastAsia="Calibri" w:hAnsi="Arial" w:cs="Arial"/>
        </w:rPr>
        <w:t>:</w:t>
      </w:r>
      <w:r w:rsidR="00F44E93">
        <w:rPr>
          <w:rFonts w:ascii="Arial" w:eastAsia="Calibri" w:hAnsi="Arial" w:cs="Arial"/>
        </w:rPr>
        <w:tab/>
      </w:r>
      <w:r w:rsidR="004453CE">
        <w:rPr>
          <w:rFonts w:ascii="Arial" w:eastAsia="Calibri" w:hAnsi="Arial" w:cs="Arial"/>
        </w:rPr>
        <w:t>2</w:t>
      </w:r>
      <w:r w:rsidR="009227D6">
        <w:rPr>
          <w:rFonts w:ascii="Arial" w:eastAsia="Calibri" w:hAnsi="Arial" w:cs="Arial"/>
        </w:rPr>
        <w:t>5</w:t>
      </w:r>
      <w:r w:rsidR="004453CE">
        <w:rPr>
          <w:rFonts w:ascii="Arial" w:eastAsia="Calibri" w:hAnsi="Arial" w:cs="Arial"/>
        </w:rPr>
        <w:t xml:space="preserve"> January </w:t>
      </w:r>
      <w:r w:rsidRPr="0044558B">
        <w:rPr>
          <w:rFonts w:ascii="Arial" w:eastAsia="Calibri" w:hAnsi="Arial" w:cs="Arial"/>
        </w:rPr>
        <w:t>202</w:t>
      </w:r>
      <w:r w:rsidR="004453CE">
        <w:rPr>
          <w:rFonts w:ascii="Arial" w:eastAsia="Calibri" w:hAnsi="Arial" w:cs="Arial"/>
        </w:rPr>
        <w:t>4</w:t>
      </w:r>
    </w:p>
    <w:p w14:paraId="1AC47ECA" w14:textId="77777777" w:rsidR="0044558B" w:rsidRPr="0044558B" w:rsidRDefault="0044558B" w:rsidP="00F44E93">
      <w:pPr>
        <w:tabs>
          <w:tab w:val="left" w:pos="4536"/>
        </w:tabs>
        <w:spacing w:line="360" w:lineRule="auto"/>
        <w:ind w:right="-82"/>
        <w:jc w:val="both"/>
        <w:rPr>
          <w:rFonts w:ascii="Arial" w:eastAsia="Calibri" w:hAnsi="Arial" w:cs="Arial"/>
        </w:rPr>
      </w:pPr>
    </w:p>
    <w:p w14:paraId="7F40BDBB" w14:textId="19D30B3A" w:rsidR="0044558B" w:rsidRPr="0044558B" w:rsidRDefault="0044558B" w:rsidP="00F44E93">
      <w:pPr>
        <w:tabs>
          <w:tab w:val="left" w:pos="3686"/>
          <w:tab w:val="left" w:pos="4536"/>
        </w:tabs>
        <w:spacing w:line="360" w:lineRule="auto"/>
        <w:jc w:val="both"/>
        <w:rPr>
          <w:rFonts w:ascii="Arial" w:eastAsia="Calibri" w:hAnsi="Arial" w:cs="Arial"/>
        </w:rPr>
      </w:pPr>
      <w:r>
        <w:rPr>
          <w:rFonts w:ascii="Arial" w:eastAsia="Calibri" w:hAnsi="Arial" w:cs="Arial"/>
        </w:rPr>
        <w:t>Date of j</w:t>
      </w:r>
      <w:r w:rsidRPr="0044558B">
        <w:rPr>
          <w:rFonts w:ascii="Arial" w:eastAsia="Calibri" w:hAnsi="Arial" w:cs="Arial"/>
        </w:rPr>
        <w:t xml:space="preserve">udgment </w:t>
      </w:r>
      <w:r w:rsidRPr="0044558B">
        <w:rPr>
          <w:rFonts w:ascii="Arial" w:eastAsia="Calibri" w:hAnsi="Arial" w:cs="Arial"/>
        </w:rPr>
        <w:tab/>
        <w:t>:</w:t>
      </w:r>
      <w:r w:rsidRPr="0044558B">
        <w:rPr>
          <w:rFonts w:ascii="Arial" w:eastAsia="Calibri" w:hAnsi="Arial" w:cs="Arial"/>
        </w:rPr>
        <w:tab/>
      </w:r>
      <w:r w:rsidR="008D493D">
        <w:rPr>
          <w:rFonts w:ascii="Arial" w:eastAsia="Calibri" w:hAnsi="Arial" w:cs="Arial"/>
        </w:rPr>
        <w:t xml:space="preserve">30 January </w:t>
      </w:r>
      <w:r w:rsidRPr="0044558B">
        <w:rPr>
          <w:rFonts w:ascii="Arial" w:eastAsia="Calibri" w:hAnsi="Arial" w:cs="Arial"/>
        </w:rPr>
        <w:t>202</w:t>
      </w:r>
      <w:r w:rsidR="004453CE">
        <w:rPr>
          <w:rFonts w:ascii="Arial" w:eastAsia="Calibri" w:hAnsi="Arial" w:cs="Arial"/>
        </w:rPr>
        <w:t>4</w:t>
      </w:r>
    </w:p>
    <w:p w14:paraId="71BBB188" w14:textId="77777777" w:rsidR="0044558B" w:rsidRDefault="0044558B" w:rsidP="0044558B">
      <w:pPr>
        <w:spacing w:line="360" w:lineRule="auto"/>
        <w:jc w:val="center"/>
        <w:rPr>
          <w:rFonts w:asciiTheme="minorBidi" w:hAnsiTheme="minorBidi"/>
          <w:b/>
          <w:bCs/>
        </w:rPr>
      </w:pPr>
    </w:p>
    <w:p w14:paraId="48969F53" w14:textId="77777777" w:rsidR="0044558B" w:rsidRDefault="0044558B"/>
    <w:p w14:paraId="556B02CD" w14:textId="77777777" w:rsidR="0044558B" w:rsidRDefault="0044558B"/>
    <w:sectPr w:rsidR="0044558B" w:rsidSect="008B1A98">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B205F" w14:textId="77777777" w:rsidR="00433D99" w:rsidRDefault="00433D99" w:rsidP="0044558B">
      <w:r>
        <w:separator/>
      </w:r>
    </w:p>
  </w:endnote>
  <w:endnote w:type="continuationSeparator" w:id="0">
    <w:p w14:paraId="46D43148" w14:textId="77777777" w:rsidR="00433D99" w:rsidRDefault="00433D99" w:rsidP="0044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401BB" w14:textId="77777777" w:rsidR="00433D99" w:rsidRDefault="00433D99" w:rsidP="0044558B">
      <w:r>
        <w:separator/>
      </w:r>
    </w:p>
  </w:footnote>
  <w:footnote w:type="continuationSeparator" w:id="0">
    <w:p w14:paraId="3CDA7211" w14:textId="77777777" w:rsidR="00433D99" w:rsidRDefault="00433D99" w:rsidP="0044558B">
      <w:r>
        <w:continuationSeparator/>
      </w:r>
    </w:p>
  </w:footnote>
  <w:footnote w:id="1">
    <w:p w14:paraId="2A88C0B9" w14:textId="77777777" w:rsidR="00EE4FB0" w:rsidRPr="00995E52" w:rsidRDefault="00EE4FB0" w:rsidP="00EE4FB0">
      <w:pPr>
        <w:pStyle w:val="FootnoteText"/>
        <w:jc w:val="both"/>
        <w:rPr>
          <w:rFonts w:ascii="Arial" w:hAnsi="Arial" w:cs="Arial"/>
          <w:lang w:val="en-US"/>
        </w:rPr>
      </w:pPr>
      <w:r w:rsidRPr="00995E52">
        <w:rPr>
          <w:rStyle w:val="FootnoteReference"/>
          <w:rFonts w:ascii="Arial" w:hAnsi="Arial" w:cs="Arial"/>
        </w:rPr>
        <w:footnoteRef/>
      </w:r>
      <w:r w:rsidRPr="00995E52">
        <w:rPr>
          <w:rFonts w:ascii="Arial" w:hAnsi="Arial" w:cs="Arial"/>
        </w:rPr>
        <w:t xml:space="preserve"> </w:t>
      </w:r>
      <w:r w:rsidRPr="00995E52">
        <w:rPr>
          <w:rFonts w:ascii="Arial" w:hAnsi="Arial" w:cs="Arial"/>
          <w:lang w:val="en-US"/>
        </w:rPr>
        <w:t>Merriam-Webster Online Dictionary.</w:t>
      </w:r>
    </w:p>
  </w:footnote>
  <w:footnote w:id="2">
    <w:p w14:paraId="5B563A05" w14:textId="77777777" w:rsidR="008A39E6" w:rsidRPr="00995E52" w:rsidRDefault="008A39E6" w:rsidP="009A0593">
      <w:pPr>
        <w:jc w:val="both"/>
        <w:rPr>
          <w:rFonts w:ascii="Arial" w:hAnsi="Arial" w:cs="Arial"/>
          <w:color w:val="000000" w:themeColor="text1"/>
          <w:spacing w:val="-4"/>
          <w:sz w:val="20"/>
          <w:szCs w:val="20"/>
          <w:lang w:val="en-US"/>
        </w:rPr>
      </w:pPr>
      <w:r w:rsidRPr="00995E52">
        <w:rPr>
          <w:rStyle w:val="FootnoteReference"/>
          <w:rFonts w:ascii="Arial" w:hAnsi="Arial" w:cs="Arial"/>
          <w:color w:val="000000" w:themeColor="text1"/>
          <w:spacing w:val="-4"/>
          <w:sz w:val="20"/>
          <w:szCs w:val="20"/>
        </w:rPr>
        <w:footnoteRef/>
      </w:r>
      <w:r w:rsidRPr="00995E52">
        <w:rPr>
          <w:rFonts w:ascii="Arial" w:hAnsi="Arial" w:cs="Arial"/>
          <w:color w:val="000000" w:themeColor="text1"/>
          <w:spacing w:val="-4"/>
          <w:sz w:val="20"/>
          <w:szCs w:val="20"/>
        </w:rPr>
        <w:t xml:space="preserve"> </w:t>
      </w:r>
      <w:r w:rsidRPr="00995E52">
        <w:rPr>
          <w:rFonts w:ascii="Arial" w:hAnsi="Arial" w:cs="Arial"/>
          <w:i/>
          <w:iCs/>
          <w:color w:val="000000" w:themeColor="text1"/>
          <w:spacing w:val="-4"/>
          <w:sz w:val="20"/>
          <w:szCs w:val="20"/>
        </w:rPr>
        <w:t>Uitenhage Transitional Local Council v South African Revenue Service</w:t>
      </w:r>
      <w:r w:rsidRPr="00995E52">
        <w:rPr>
          <w:rFonts w:ascii="Arial" w:hAnsi="Arial" w:cs="Arial"/>
          <w:color w:val="000000" w:themeColor="text1"/>
          <w:spacing w:val="-4"/>
          <w:sz w:val="20"/>
          <w:szCs w:val="20"/>
          <w:shd w:val="clear" w:color="auto" w:fill="FFFFFF"/>
        </w:rPr>
        <w:t xml:space="preserve"> </w:t>
      </w:r>
      <w:r w:rsidR="008A2E71" w:rsidRPr="00995E52">
        <w:rPr>
          <w:rFonts w:ascii="Arial" w:hAnsi="Arial" w:cs="Arial"/>
          <w:color w:val="000000" w:themeColor="text1"/>
          <w:spacing w:val="-4"/>
          <w:sz w:val="20"/>
          <w:szCs w:val="20"/>
          <w:shd w:val="clear" w:color="auto" w:fill="FFFFFF"/>
        </w:rPr>
        <w:t xml:space="preserve">2004 (1) SA 292 (SCA); </w:t>
      </w:r>
      <w:r w:rsidRPr="00995E52">
        <w:rPr>
          <w:rFonts w:ascii="Arial" w:hAnsi="Arial" w:cs="Arial"/>
          <w:color w:val="000000" w:themeColor="text1"/>
          <w:spacing w:val="-4"/>
          <w:sz w:val="20"/>
          <w:szCs w:val="20"/>
          <w:shd w:val="clear" w:color="auto" w:fill="FFFFFF"/>
        </w:rPr>
        <w:t xml:space="preserve">[2003] 4 </w:t>
      </w:r>
      <w:r w:rsidR="00EF0607" w:rsidRPr="00995E52">
        <w:rPr>
          <w:rFonts w:ascii="Arial" w:hAnsi="Arial" w:cs="Arial"/>
          <w:color w:val="000000" w:themeColor="text1"/>
          <w:spacing w:val="-4"/>
          <w:sz w:val="20"/>
          <w:szCs w:val="20"/>
          <w:shd w:val="clear" w:color="auto" w:fill="FFFFFF"/>
        </w:rPr>
        <w:t xml:space="preserve">All </w:t>
      </w:r>
      <w:r w:rsidRPr="00995E52">
        <w:rPr>
          <w:rFonts w:ascii="Arial" w:hAnsi="Arial" w:cs="Arial"/>
          <w:color w:val="000000" w:themeColor="text1"/>
          <w:spacing w:val="-4"/>
          <w:sz w:val="20"/>
          <w:szCs w:val="20"/>
          <w:shd w:val="clear" w:color="auto" w:fill="FFFFFF"/>
        </w:rPr>
        <w:t>SA 37 (SCA) para 6.</w:t>
      </w:r>
    </w:p>
  </w:footnote>
  <w:footnote w:id="3">
    <w:p w14:paraId="15FCB03B" w14:textId="77777777" w:rsidR="008A39E6" w:rsidRPr="00995E52" w:rsidRDefault="008A39E6" w:rsidP="009A0593">
      <w:pPr>
        <w:pStyle w:val="FootnoteText"/>
        <w:jc w:val="both"/>
        <w:rPr>
          <w:rFonts w:ascii="Arial" w:hAnsi="Arial" w:cs="Arial"/>
          <w:lang w:val="en-US"/>
        </w:rPr>
      </w:pPr>
      <w:r w:rsidRPr="00995E52">
        <w:rPr>
          <w:rStyle w:val="FootnoteReference"/>
          <w:rFonts w:ascii="Arial" w:hAnsi="Arial" w:cs="Arial"/>
        </w:rPr>
        <w:footnoteRef/>
      </w:r>
      <w:r w:rsidRPr="00995E52">
        <w:rPr>
          <w:rFonts w:ascii="Arial" w:hAnsi="Arial" w:cs="Arial"/>
        </w:rPr>
        <w:t xml:space="preserve"> Ibid</w:t>
      </w:r>
      <w:r w:rsidRPr="00995E52">
        <w:rPr>
          <w:rFonts w:ascii="Arial" w:hAnsi="Arial" w:cs="Arial"/>
          <w:shd w:val="clear" w:color="auto" w:fill="FFFFFF"/>
        </w:rPr>
        <w:t xml:space="preserve"> para 6.</w:t>
      </w:r>
    </w:p>
  </w:footnote>
  <w:footnote w:id="4">
    <w:p w14:paraId="1A0175D1" w14:textId="730DB7A9" w:rsidR="0037306D" w:rsidRPr="00995E52" w:rsidRDefault="0037306D" w:rsidP="009A0593">
      <w:pPr>
        <w:pStyle w:val="Heading2"/>
        <w:shd w:val="clear" w:color="auto" w:fill="FFFFFF"/>
        <w:spacing w:before="0" w:beforeAutospacing="0" w:after="0" w:afterAutospacing="0"/>
        <w:jc w:val="both"/>
        <w:rPr>
          <w:rFonts w:ascii="Arial" w:hAnsi="Arial" w:cs="Arial"/>
          <w:b w:val="0"/>
          <w:sz w:val="20"/>
          <w:szCs w:val="20"/>
        </w:rPr>
      </w:pPr>
      <w:r w:rsidRPr="00995E52">
        <w:rPr>
          <w:rStyle w:val="FootnoteReference"/>
          <w:rFonts w:ascii="Arial" w:hAnsi="Arial" w:cs="Arial"/>
          <w:b w:val="0"/>
          <w:sz w:val="20"/>
          <w:szCs w:val="20"/>
        </w:rPr>
        <w:footnoteRef/>
      </w:r>
      <w:r w:rsidRPr="00995E52">
        <w:rPr>
          <w:rFonts w:ascii="Arial" w:hAnsi="Arial" w:cs="Arial"/>
          <w:b w:val="0"/>
          <w:sz w:val="20"/>
          <w:szCs w:val="20"/>
        </w:rPr>
        <w:t xml:space="preserve"> </w:t>
      </w:r>
      <w:r w:rsidRPr="00995E52">
        <w:rPr>
          <w:rFonts w:ascii="Arial" w:hAnsi="Arial" w:cs="Arial"/>
          <w:b w:val="0"/>
          <w:bCs w:val="0"/>
          <w:i/>
          <w:sz w:val="20"/>
          <w:szCs w:val="20"/>
          <w:lang w:val="en-GB" w:bidi="ar-SA"/>
        </w:rPr>
        <w:t xml:space="preserve">Van Wyk v Unitas Hospital and </w:t>
      </w:r>
      <w:r w:rsidR="008A2E71" w:rsidRPr="00995E52">
        <w:rPr>
          <w:rFonts w:ascii="Arial" w:hAnsi="Arial" w:cs="Arial"/>
          <w:b w:val="0"/>
          <w:bCs w:val="0"/>
          <w:i/>
          <w:sz w:val="20"/>
          <w:szCs w:val="20"/>
          <w:lang w:val="en-GB" w:bidi="ar-SA"/>
        </w:rPr>
        <w:t>another</w:t>
      </w:r>
      <w:r w:rsidR="008A2E71" w:rsidRPr="00995E52">
        <w:rPr>
          <w:rFonts w:ascii="Arial" w:hAnsi="Arial" w:cs="Arial"/>
          <w:sz w:val="20"/>
          <w:szCs w:val="20"/>
        </w:rPr>
        <w:t xml:space="preserve"> </w:t>
      </w:r>
      <w:r w:rsidR="008A2E71" w:rsidRPr="00995E52">
        <w:rPr>
          <w:rFonts w:ascii="Arial" w:hAnsi="Arial" w:cs="Arial"/>
          <w:b w:val="0"/>
          <w:bCs w:val="0"/>
          <w:i/>
          <w:sz w:val="20"/>
          <w:szCs w:val="20"/>
          <w:lang w:val="en-GB" w:bidi="ar-SA"/>
        </w:rPr>
        <w:t>(Open Democratic Advice Centre as amicus curiae)</w:t>
      </w:r>
      <w:r w:rsidR="008A2E71" w:rsidRPr="00995E52">
        <w:rPr>
          <w:rFonts w:ascii="Arial" w:hAnsi="Arial" w:cs="Arial"/>
          <w:b w:val="0"/>
          <w:bCs w:val="0"/>
          <w:sz w:val="20"/>
          <w:szCs w:val="20"/>
          <w:lang w:val="en-GB" w:bidi="ar-SA"/>
        </w:rPr>
        <w:t xml:space="preserve"> </w:t>
      </w:r>
      <w:r w:rsidRPr="00995E52">
        <w:rPr>
          <w:rFonts w:ascii="Arial" w:hAnsi="Arial" w:cs="Arial"/>
          <w:b w:val="0"/>
          <w:bCs w:val="0"/>
          <w:sz w:val="20"/>
          <w:szCs w:val="20"/>
          <w:lang w:val="en-GB" w:bidi="ar-SA"/>
        </w:rPr>
        <w:t>[2007] ZACC 24; 2008 (2) SA 472 (CC); 2008 (4) BCLR 442 (CC) p</w:t>
      </w:r>
      <w:r w:rsidRPr="00995E52">
        <w:rPr>
          <w:rFonts w:ascii="Arial" w:hAnsi="Arial" w:cs="Arial"/>
          <w:b w:val="0"/>
          <w:sz w:val="20"/>
          <w:szCs w:val="20"/>
        </w:rPr>
        <w:t>ara 22.</w:t>
      </w:r>
    </w:p>
  </w:footnote>
  <w:footnote w:id="5">
    <w:p w14:paraId="4511971C" w14:textId="704BBDBC" w:rsidR="008A39E6" w:rsidRPr="00995E52" w:rsidRDefault="008A39E6" w:rsidP="009A0593">
      <w:pPr>
        <w:jc w:val="both"/>
        <w:rPr>
          <w:rFonts w:ascii="Arial" w:hAnsi="Arial" w:cs="Arial"/>
          <w:sz w:val="20"/>
          <w:szCs w:val="20"/>
        </w:rPr>
      </w:pPr>
      <w:r w:rsidRPr="00995E52">
        <w:rPr>
          <w:rStyle w:val="FootnoteReference"/>
          <w:rFonts w:ascii="Arial" w:hAnsi="Arial" w:cs="Arial"/>
          <w:sz w:val="20"/>
          <w:szCs w:val="20"/>
        </w:rPr>
        <w:footnoteRef/>
      </w:r>
      <w:r w:rsidRPr="00995E52">
        <w:rPr>
          <w:rFonts w:ascii="Arial" w:hAnsi="Arial" w:cs="Arial"/>
          <w:sz w:val="20"/>
          <w:szCs w:val="20"/>
        </w:rPr>
        <w:t xml:space="preserve"> </w:t>
      </w:r>
      <w:r w:rsidRPr="00995E52">
        <w:rPr>
          <w:rFonts w:ascii="Arial" w:hAnsi="Arial" w:cs="Arial"/>
          <w:i/>
          <w:iCs/>
          <w:sz w:val="20"/>
          <w:szCs w:val="20"/>
        </w:rPr>
        <w:t xml:space="preserve">Grootboom v </w:t>
      </w:r>
      <w:r w:rsidR="00DF0D81" w:rsidRPr="00995E52">
        <w:rPr>
          <w:rFonts w:ascii="Arial" w:hAnsi="Arial" w:cs="Arial"/>
          <w:i/>
          <w:iCs/>
          <w:sz w:val="20"/>
          <w:szCs w:val="20"/>
        </w:rPr>
        <w:t xml:space="preserve">National Prosecuting Authority and another </w:t>
      </w:r>
      <w:r w:rsidR="00DF0D81" w:rsidRPr="00995E52">
        <w:rPr>
          <w:rFonts w:ascii="Arial" w:hAnsi="Arial" w:cs="Arial"/>
          <w:iCs/>
          <w:sz w:val="20"/>
          <w:szCs w:val="20"/>
        </w:rPr>
        <w:t>[2013] ZACC 37;</w:t>
      </w:r>
      <w:r w:rsidR="00DF0D81" w:rsidRPr="00995E52">
        <w:rPr>
          <w:rFonts w:ascii="Arial" w:hAnsi="Arial" w:cs="Arial"/>
          <w:i/>
          <w:iCs/>
          <w:sz w:val="20"/>
          <w:szCs w:val="20"/>
        </w:rPr>
        <w:t xml:space="preserve"> </w:t>
      </w:r>
      <w:r w:rsidRPr="00995E52">
        <w:rPr>
          <w:rFonts w:ascii="Arial" w:hAnsi="Arial" w:cs="Arial"/>
          <w:sz w:val="20"/>
          <w:szCs w:val="20"/>
        </w:rPr>
        <w:t>2014 (2) SA 68 (CC)</w:t>
      </w:r>
      <w:r w:rsidR="00DF0D81" w:rsidRPr="00995E52">
        <w:rPr>
          <w:rFonts w:ascii="Arial" w:hAnsi="Arial" w:cs="Arial"/>
          <w:sz w:val="20"/>
          <w:szCs w:val="20"/>
        </w:rPr>
        <w:t>; 2014 (1) BCLR 65 (CC)</w:t>
      </w:r>
      <w:r w:rsidRPr="00995E52">
        <w:rPr>
          <w:rFonts w:ascii="Arial" w:hAnsi="Arial" w:cs="Arial"/>
          <w:sz w:val="20"/>
          <w:szCs w:val="20"/>
        </w:rPr>
        <w:t xml:space="preserve"> para 35.</w:t>
      </w:r>
    </w:p>
  </w:footnote>
  <w:footnote w:id="6">
    <w:p w14:paraId="4EDEF240" w14:textId="77777777" w:rsidR="00DA1EB5" w:rsidRPr="00995E52" w:rsidRDefault="00DA1EB5" w:rsidP="009A0593">
      <w:pPr>
        <w:pStyle w:val="FootnoteText"/>
        <w:jc w:val="both"/>
        <w:rPr>
          <w:rFonts w:ascii="Arial" w:hAnsi="Arial" w:cs="Arial"/>
        </w:rPr>
      </w:pPr>
      <w:r w:rsidRPr="00995E52">
        <w:rPr>
          <w:rStyle w:val="FootnoteReference"/>
          <w:rFonts w:ascii="Arial" w:hAnsi="Arial" w:cs="Arial"/>
        </w:rPr>
        <w:footnoteRef/>
      </w:r>
      <w:r w:rsidRPr="00995E52">
        <w:rPr>
          <w:rFonts w:ascii="Arial" w:hAnsi="Arial" w:cs="Arial"/>
        </w:rPr>
        <w:t xml:space="preserve"> </w:t>
      </w:r>
      <w:r w:rsidRPr="00995E52">
        <w:rPr>
          <w:rFonts w:ascii="Arial" w:hAnsi="Arial" w:cs="Arial"/>
          <w:i/>
        </w:rPr>
        <w:t>Brummer v Gorfil Brothers Investments (Pty) Ltd and Others</w:t>
      </w:r>
      <w:r w:rsidRPr="00995E52">
        <w:rPr>
          <w:rFonts w:ascii="Arial" w:hAnsi="Arial" w:cs="Arial"/>
        </w:rPr>
        <w:t xml:space="preserve"> [2000] ZACC 3; 2000 (2) SA 837 (CC); 2000 (5) BCLR 465 (CC) para 3</w:t>
      </w:r>
      <w:r w:rsidR="00DF0D81" w:rsidRPr="00995E52">
        <w:rPr>
          <w:rFonts w:ascii="Arial" w:hAnsi="Arial" w:cs="Arial"/>
        </w:rPr>
        <w:t>.</w:t>
      </w:r>
    </w:p>
  </w:footnote>
  <w:footnote w:id="7">
    <w:p w14:paraId="5A005C5D" w14:textId="77777777" w:rsidR="008A39E6" w:rsidRPr="00995E52" w:rsidRDefault="008A39E6" w:rsidP="009A0593">
      <w:pPr>
        <w:jc w:val="both"/>
        <w:rPr>
          <w:rFonts w:ascii="Arial" w:hAnsi="Arial" w:cs="Arial"/>
          <w:sz w:val="20"/>
          <w:szCs w:val="20"/>
          <w:lang w:val="en-US"/>
        </w:rPr>
      </w:pPr>
      <w:r w:rsidRPr="00995E52">
        <w:rPr>
          <w:rStyle w:val="FootnoteReference"/>
          <w:rFonts w:ascii="Arial" w:hAnsi="Arial" w:cs="Arial"/>
          <w:sz w:val="20"/>
          <w:szCs w:val="20"/>
        </w:rPr>
        <w:footnoteRef/>
      </w:r>
      <w:r w:rsidRPr="00995E52">
        <w:rPr>
          <w:rFonts w:ascii="Arial" w:hAnsi="Arial" w:cs="Arial"/>
          <w:sz w:val="20"/>
          <w:szCs w:val="20"/>
        </w:rPr>
        <w:t xml:space="preserve"> </w:t>
      </w:r>
      <w:r w:rsidRPr="00995E52">
        <w:rPr>
          <w:rFonts w:ascii="Arial" w:hAnsi="Arial" w:cs="Arial"/>
          <w:i/>
          <w:iCs/>
          <w:sz w:val="20"/>
          <w:szCs w:val="20"/>
        </w:rPr>
        <w:t xml:space="preserve">Federated Employers Fire &amp; General Insurance Co Ltd and </w:t>
      </w:r>
      <w:r w:rsidR="00DF0D81" w:rsidRPr="00995E52">
        <w:rPr>
          <w:rFonts w:ascii="Arial" w:hAnsi="Arial" w:cs="Arial"/>
          <w:i/>
          <w:iCs/>
          <w:sz w:val="20"/>
          <w:szCs w:val="20"/>
        </w:rPr>
        <w:t xml:space="preserve">another </w:t>
      </w:r>
      <w:r w:rsidRPr="00995E52">
        <w:rPr>
          <w:rFonts w:ascii="Arial" w:hAnsi="Arial" w:cs="Arial"/>
          <w:i/>
          <w:iCs/>
          <w:sz w:val="20"/>
          <w:szCs w:val="20"/>
        </w:rPr>
        <w:t>v McKenzie</w:t>
      </w:r>
      <w:r w:rsidRPr="00995E52">
        <w:rPr>
          <w:rStyle w:val="apple-converted-space"/>
          <w:rFonts w:ascii="Arial" w:hAnsi="Arial" w:cs="Arial"/>
          <w:sz w:val="20"/>
          <w:szCs w:val="20"/>
        </w:rPr>
        <w:t> </w:t>
      </w:r>
      <w:hyperlink r:id="rId1" w:tooltip="View LawCiteRecord" w:history="1">
        <w:r w:rsidRPr="00995E52">
          <w:rPr>
            <w:rStyle w:val="Hyperlink"/>
            <w:rFonts w:ascii="Arial" w:hAnsi="Arial" w:cs="Arial"/>
            <w:color w:val="auto"/>
            <w:sz w:val="20"/>
            <w:szCs w:val="20"/>
            <w:u w:val="none"/>
          </w:rPr>
          <w:t>1969 (3) SA 360</w:t>
        </w:r>
      </w:hyperlink>
      <w:r w:rsidRPr="00995E52">
        <w:rPr>
          <w:rStyle w:val="apple-converted-space"/>
          <w:rFonts w:ascii="Arial" w:hAnsi="Arial" w:cs="Arial"/>
          <w:sz w:val="20"/>
          <w:szCs w:val="20"/>
        </w:rPr>
        <w:t> </w:t>
      </w:r>
      <w:r w:rsidRPr="00995E52">
        <w:rPr>
          <w:rFonts w:ascii="Arial" w:hAnsi="Arial" w:cs="Arial"/>
          <w:sz w:val="20"/>
          <w:szCs w:val="20"/>
        </w:rPr>
        <w:t>(A) at 362F-G.</w:t>
      </w:r>
    </w:p>
  </w:footnote>
  <w:footnote w:id="8">
    <w:p w14:paraId="5AE430D4" w14:textId="77777777" w:rsidR="000D6B00" w:rsidRPr="00995E52" w:rsidRDefault="000D6B00" w:rsidP="00EE4FB0">
      <w:pPr>
        <w:pStyle w:val="FootnoteText"/>
        <w:jc w:val="both"/>
        <w:rPr>
          <w:rFonts w:ascii="Arial" w:hAnsi="Arial" w:cs="Arial"/>
          <w:lang w:val="en-US"/>
        </w:rPr>
      </w:pPr>
      <w:r w:rsidRPr="00995E52">
        <w:rPr>
          <w:rStyle w:val="FootnoteReference"/>
          <w:rFonts w:ascii="Arial" w:hAnsi="Arial" w:cs="Arial"/>
        </w:rPr>
        <w:footnoteRef/>
      </w:r>
      <w:r w:rsidRPr="00995E52">
        <w:rPr>
          <w:rFonts w:ascii="Arial" w:hAnsi="Arial" w:cs="Arial"/>
        </w:rPr>
        <w:t xml:space="preserve"> </w:t>
      </w:r>
      <w:r w:rsidRPr="00995E52">
        <w:rPr>
          <w:rFonts w:ascii="Arial" w:hAnsi="Arial" w:cs="Arial"/>
          <w:lang w:val="en-US"/>
        </w:rPr>
        <w:t>Mr Khan is referred to as ‘</w:t>
      </w:r>
      <w:r w:rsidR="00392771" w:rsidRPr="00995E52">
        <w:rPr>
          <w:rFonts w:ascii="Arial" w:hAnsi="Arial" w:cs="Arial"/>
          <w:lang w:val="en-US"/>
        </w:rPr>
        <w:t xml:space="preserve">Mr </w:t>
      </w:r>
      <w:r w:rsidRPr="00995E52">
        <w:rPr>
          <w:rFonts w:ascii="Arial" w:hAnsi="Arial" w:cs="Arial"/>
          <w:lang w:val="en-US"/>
        </w:rPr>
        <w:t xml:space="preserve">Ali’ because there is another person involved in </w:t>
      </w:r>
      <w:r w:rsidR="00254D9B" w:rsidRPr="00995E52">
        <w:rPr>
          <w:rFonts w:ascii="Arial" w:hAnsi="Arial" w:cs="Arial"/>
          <w:lang w:val="en-US"/>
        </w:rPr>
        <w:t xml:space="preserve">these </w:t>
      </w:r>
      <w:r w:rsidRPr="00995E52">
        <w:rPr>
          <w:rFonts w:ascii="Arial" w:hAnsi="Arial" w:cs="Arial"/>
          <w:lang w:val="en-US"/>
        </w:rPr>
        <w:t>events by the name of Mr Muhammad Saleem Khan</w:t>
      </w:r>
      <w:r w:rsidR="006A24F0" w:rsidRPr="00995E52">
        <w:rPr>
          <w:rFonts w:ascii="Arial" w:hAnsi="Arial" w:cs="Arial"/>
          <w:lang w:val="en-US"/>
        </w:rPr>
        <w:t>,</w:t>
      </w:r>
      <w:r w:rsidRPr="00995E52">
        <w:rPr>
          <w:rFonts w:ascii="Arial" w:hAnsi="Arial" w:cs="Arial"/>
          <w:lang w:val="en-US"/>
        </w:rPr>
        <w:t xml:space="preserve"> and it would be unhelpful</w:t>
      </w:r>
      <w:r w:rsidR="005D2B61" w:rsidRPr="00995E52">
        <w:rPr>
          <w:rFonts w:ascii="Arial" w:hAnsi="Arial" w:cs="Arial"/>
          <w:lang w:val="en-US"/>
        </w:rPr>
        <w:t>,</w:t>
      </w:r>
      <w:r w:rsidRPr="00995E52">
        <w:rPr>
          <w:rFonts w:ascii="Arial" w:hAnsi="Arial" w:cs="Arial"/>
          <w:lang w:val="en-US"/>
        </w:rPr>
        <w:t xml:space="preserve"> and confusing</w:t>
      </w:r>
      <w:r w:rsidR="005D2B61" w:rsidRPr="00995E52">
        <w:rPr>
          <w:rFonts w:ascii="Arial" w:hAnsi="Arial" w:cs="Arial"/>
          <w:lang w:val="en-US"/>
        </w:rPr>
        <w:t>,</w:t>
      </w:r>
      <w:r w:rsidRPr="00995E52">
        <w:rPr>
          <w:rFonts w:ascii="Arial" w:hAnsi="Arial" w:cs="Arial"/>
          <w:lang w:val="en-US"/>
        </w:rPr>
        <w:t xml:space="preserve"> to </w:t>
      </w:r>
      <w:r w:rsidR="006A24F0" w:rsidRPr="00995E52">
        <w:rPr>
          <w:rFonts w:ascii="Arial" w:hAnsi="Arial" w:cs="Arial"/>
          <w:lang w:val="en-US"/>
        </w:rPr>
        <w:t>refer</w:t>
      </w:r>
      <w:r w:rsidRPr="00995E52">
        <w:rPr>
          <w:rFonts w:ascii="Arial" w:hAnsi="Arial" w:cs="Arial"/>
          <w:lang w:val="en-US"/>
        </w:rPr>
        <w:t xml:space="preserve"> to both </w:t>
      </w:r>
      <w:r w:rsidR="00285181" w:rsidRPr="00995E52">
        <w:rPr>
          <w:rFonts w:ascii="Arial" w:hAnsi="Arial" w:cs="Arial"/>
          <w:lang w:val="en-US"/>
        </w:rPr>
        <w:t xml:space="preserve">gentlemen </w:t>
      </w:r>
      <w:r w:rsidRPr="00995E52">
        <w:rPr>
          <w:rFonts w:ascii="Arial" w:hAnsi="Arial" w:cs="Arial"/>
          <w:lang w:val="en-US"/>
        </w:rPr>
        <w:t xml:space="preserve">as </w:t>
      </w:r>
      <w:r w:rsidR="006A24F0" w:rsidRPr="00995E52">
        <w:rPr>
          <w:rFonts w:ascii="Arial" w:hAnsi="Arial" w:cs="Arial"/>
          <w:lang w:val="en-US"/>
        </w:rPr>
        <w:t>‘</w:t>
      </w:r>
      <w:r w:rsidRPr="00995E52">
        <w:rPr>
          <w:rFonts w:ascii="Arial" w:hAnsi="Arial" w:cs="Arial"/>
          <w:lang w:val="en-US"/>
        </w:rPr>
        <w:t>Mr Khan</w:t>
      </w:r>
      <w:r w:rsidR="006A24F0" w:rsidRPr="00995E52">
        <w:rPr>
          <w:rFonts w:ascii="Arial" w:hAnsi="Arial" w:cs="Arial"/>
          <w:lang w:val="en-US"/>
        </w:rPr>
        <w:t>’</w:t>
      </w:r>
      <w:r w:rsidRPr="00995E52">
        <w:rPr>
          <w:rFonts w:ascii="Arial" w:hAnsi="Arial" w:cs="Arial"/>
          <w:lang w:val="en-US"/>
        </w:rPr>
        <w:t xml:space="preserve">. </w:t>
      </w:r>
      <w:r w:rsidR="009252BE" w:rsidRPr="00995E52">
        <w:rPr>
          <w:rFonts w:ascii="Arial" w:hAnsi="Arial" w:cs="Arial"/>
          <w:lang w:val="en-US"/>
        </w:rPr>
        <w:t>Both</w:t>
      </w:r>
      <w:r w:rsidR="00685943" w:rsidRPr="00995E52">
        <w:rPr>
          <w:rFonts w:ascii="Arial" w:hAnsi="Arial" w:cs="Arial"/>
          <w:lang w:val="en-US"/>
        </w:rPr>
        <w:t xml:space="preserve"> will therefore be referred to by their forename</w:t>
      </w:r>
      <w:r w:rsidR="005D2B61" w:rsidRPr="00995E52">
        <w:rPr>
          <w:rFonts w:ascii="Arial" w:hAnsi="Arial" w:cs="Arial"/>
          <w:lang w:val="en-US"/>
        </w:rPr>
        <w:t>. N</w:t>
      </w:r>
      <w:r w:rsidRPr="00995E52">
        <w:rPr>
          <w:rFonts w:ascii="Arial" w:hAnsi="Arial" w:cs="Arial"/>
          <w:lang w:val="en-US"/>
        </w:rPr>
        <w:t>o disrespect is intended by such reference.</w:t>
      </w:r>
    </w:p>
  </w:footnote>
  <w:footnote w:id="9">
    <w:p w14:paraId="448E8B73" w14:textId="62A58B32" w:rsidR="00235B6E" w:rsidRPr="00235B6E" w:rsidRDefault="00235B6E" w:rsidP="00235B6E">
      <w:pPr>
        <w:pStyle w:val="FootnoteText"/>
        <w:jc w:val="both"/>
        <w:rPr>
          <w:rFonts w:ascii="Arial" w:hAnsi="Arial" w:cs="Arial"/>
        </w:rPr>
      </w:pPr>
      <w:r w:rsidRPr="00235B6E">
        <w:rPr>
          <w:rStyle w:val="FootnoteReference"/>
          <w:rFonts w:ascii="Arial" w:hAnsi="Arial" w:cs="Arial"/>
        </w:rPr>
        <w:footnoteRef/>
      </w:r>
      <w:r w:rsidRPr="00235B6E">
        <w:rPr>
          <w:rFonts w:ascii="Arial" w:hAnsi="Arial" w:cs="Arial"/>
        </w:rPr>
        <w:t xml:space="preserve"> During argument, I indicated to Ms van Jaarsveld that I had found only one judgment: I have subsequently found another.</w:t>
      </w:r>
    </w:p>
  </w:footnote>
  <w:footnote w:id="10">
    <w:p w14:paraId="74B7C3FC" w14:textId="7FA682EC" w:rsidR="007E4525" w:rsidRPr="00235B6E" w:rsidRDefault="007E4525" w:rsidP="00235B6E">
      <w:pPr>
        <w:pStyle w:val="FootnoteText"/>
        <w:jc w:val="both"/>
        <w:rPr>
          <w:rFonts w:ascii="Arial" w:hAnsi="Arial" w:cs="Arial"/>
          <w:lang w:val="en-US"/>
        </w:rPr>
      </w:pPr>
      <w:r w:rsidRPr="00235B6E">
        <w:rPr>
          <w:rStyle w:val="FootnoteReference"/>
          <w:rFonts w:ascii="Arial" w:hAnsi="Arial" w:cs="Arial"/>
        </w:rPr>
        <w:footnoteRef/>
      </w:r>
      <w:r w:rsidRPr="00235B6E">
        <w:rPr>
          <w:rFonts w:ascii="Arial" w:hAnsi="Arial" w:cs="Arial"/>
        </w:rPr>
        <w:t xml:space="preserve"> </w:t>
      </w:r>
      <w:r w:rsidRPr="00235B6E">
        <w:rPr>
          <w:rFonts w:ascii="Arial" w:hAnsi="Arial" w:cs="Arial"/>
          <w:i/>
          <w:lang w:val="en-US"/>
        </w:rPr>
        <w:t>Ndlebe v Budget Insurance Limited</w:t>
      </w:r>
      <w:r w:rsidRPr="00235B6E">
        <w:rPr>
          <w:rFonts w:ascii="Arial" w:hAnsi="Arial" w:cs="Arial"/>
          <w:lang w:val="en-US"/>
        </w:rPr>
        <w:t xml:space="preserve"> [2019] ZAGPJHC 320.</w:t>
      </w:r>
    </w:p>
  </w:footnote>
  <w:footnote w:id="11">
    <w:p w14:paraId="5C647759" w14:textId="7072A0CC" w:rsidR="007E4525" w:rsidRPr="00235B6E" w:rsidRDefault="007E4525" w:rsidP="00235B6E">
      <w:pPr>
        <w:pStyle w:val="FootnoteText"/>
        <w:jc w:val="both"/>
        <w:rPr>
          <w:rFonts w:ascii="Arial" w:hAnsi="Arial" w:cs="Arial"/>
          <w:lang w:val="en-US"/>
        </w:rPr>
      </w:pPr>
      <w:r w:rsidRPr="00235B6E">
        <w:rPr>
          <w:rStyle w:val="FootnoteReference"/>
          <w:rFonts w:ascii="Arial" w:hAnsi="Arial" w:cs="Arial"/>
        </w:rPr>
        <w:footnoteRef/>
      </w:r>
      <w:r w:rsidRPr="00235B6E">
        <w:rPr>
          <w:rFonts w:ascii="Arial" w:hAnsi="Arial" w:cs="Arial"/>
        </w:rPr>
        <w:t xml:space="preserve"> </w:t>
      </w:r>
      <w:r w:rsidRPr="00235B6E">
        <w:rPr>
          <w:rFonts w:ascii="Arial" w:hAnsi="Arial" w:cs="Arial"/>
          <w:lang w:val="en-US"/>
        </w:rPr>
        <w:t>Ibid para 14.</w:t>
      </w:r>
    </w:p>
  </w:footnote>
  <w:footnote w:id="12">
    <w:p w14:paraId="7F321512" w14:textId="2BA8029F" w:rsidR="00AE105F" w:rsidRPr="00235B6E" w:rsidRDefault="00AE105F" w:rsidP="00235B6E">
      <w:pPr>
        <w:pStyle w:val="ListParagraph"/>
        <w:tabs>
          <w:tab w:val="left" w:pos="709"/>
        </w:tabs>
        <w:ind w:left="0"/>
        <w:jc w:val="both"/>
        <w:rPr>
          <w:rFonts w:ascii="Arial" w:hAnsi="Arial" w:cs="Arial"/>
          <w:sz w:val="20"/>
          <w:szCs w:val="20"/>
          <w:lang w:val="en-US"/>
        </w:rPr>
      </w:pPr>
      <w:r w:rsidRPr="00235B6E">
        <w:rPr>
          <w:rStyle w:val="FootnoteReference"/>
          <w:rFonts w:ascii="Arial" w:hAnsi="Arial" w:cs="Arial"/>
          <w:sz w:val="20"/>
          <w:szCs w:val="20"/>
        </w:rPr>
        <w:footnoteRef/>
      </w:r>
      <w:r w:rsidR="00F26F88" w:rsidRPr="00235B6E">
        <w:rPr>
          <w:rFonts w:ascii="Arial" w:hAnsi="Arial" w:cs="Arial"/>
          <w:i/>
          <w:iCs/>
          <w:color w:val="000000" w:themeColor="text1"/>
          <w:sz w:val="20"/>
          <w:szCs w:val="20"/>
        </w:rPr>
        <w:t xml:space="preserve"> </w:t>
      </w:r>
      <w:r w:rsidR="00FB563C" w:rsidRPr="00235B6E">
        <w:rPr>
          <w:rFonts w:ascii="Arial" w:hAnsi="Arial" w:cs="Arial"/>
          <w:i/>
          <w:iCs/>
          <w:color w:val="000000" w:themeColor="text1"/>
          <w:sz w:val="20"/>
          <w:szCs w:val="20"/>
        </w:rPr>
        <w:t>Umsobomvu Coal Proprietary Limited v Transasia Mineral SA Proprietary Limited</w:t>
      </w:r>
      <w:r w:rsidR="00FB563C" w:rsidRPr="00235B6E">
        <w:rPr>
          <w:rFonts w:ascii="Arial" w:hAnsi="Arial" w:cs="Arial"/>
          <w:color w:val="000000" w:themeColor="text1"/>
          <w:sz w:val="20"/>
          <w:szCs w:val="20"/>
        </w:rPr>
        <w:t xml:space="preserve"> [2022] ZAGPPHC 893.</w:t>
      </w:r>
    </w:p>
  </w:footnote>
  <w:footnote w:id="13">
    <w:p w14:paraId="3F5F4E7F" w14:textId="77777777" w:rsidR="00FB563C" w:rsidRPr="00235B6E" w:rsidRDefault="00FB563C" w:rsidP="00235B6E">
      <w:pPr>
        <w:pStyle w:val="FootnoteText"/>
        <w:jc w:val="both"/>
        <w:rPr>
          <w:rFonts w:ascii="Arial" w:hAnsi="Arial" w:cs="Arial"/>
          <w:lang w:val="en-US"/>
        </w:rPr>
      </w:pPr>
      <w:r w:rsidRPr="00235B6E">
        <w:rPr>
          <w:rStyle w:val="FootnoteReference"/>
          <w:rFonts w:ascii="Arial" w:hAnsi="Arial" w:cs="Arial"/>
        </w:rPr>
        <w:footnoteRef/>
      </w:r>
      <w:r w:rsidRPr="00235B6E">
        <w:rPr>
          <w:rFonts w:ascii="Arial" w:hAnsi="Arial" w:cs="Arial"/>
        </w:rPr>
        <w:t xml:space="preserve"> </w:t>
      </w:r>
      <w:r w:rsidRPr="00235B6E">
        <w:rPr>
          <w:rFonts w:ascii="Arial" w:hAnsi="Arial" w:cs="Arial"/>
          <w:lang w:val="en-US"/>
        </w:rPr>
        <w:t>Ibid para 6.</w:t>
      </w:r>
    </w:p>
  </w:footnote>
  <w:footnote w:id="14">
    <w:p w14:paraId="15343A7A" w14:textId="71CB85F6" w:rsidR="00345EF1" w:rsidRPr="00A545B5" w:rsidRDefault="00345EF1" w:rsidP="004D69DD">
      <w:pPr>
        <w:jc w:val="both"/>
        <w:rPr>
          <w:rFonts w:asciiTheme="minorBidi" w:hAnsiTheme="minorBidi" w:cstheme="minorBidi"/>
          <w:color w:val="000000" w:themeColor="text1"/>
          <w:sz w:val="20"/>
          <w:szCs w:val="20"/>
          <w:lang w:val="en-US"/>
        </w:rPr>
      </w:pPr>
      <w:r w:rsidRPr="00A545B5">
        <w:rPr>
          <w:rStyle w:val="FootnoteReference"/>
          <w:rFonts w:asciiTheme="minorBidi" w:hAnsiTheme="minorBidi" w:cstheme="minorBidi"/>
          <w:color w:val="000000" w:themeColor="text1"/>
          <w:sz w:val="20"/>
          <w:szCs w:val="20"/>
        </w:rPr>
        <w:footnoteRef/>
      </w:r>
      <w:r w:rsidRPr="00A545B5">
        <w:rPr>
          <w:rFonts w:asciiTheme="minorBidi" w:hAnsiTheme="minorBidi" w:cstheme="minorBidi"/>
          <w:color w:val="000000" w:themeColor="text1"/>
          <w:sz w:val="20"/>
          <w:szCs w:val="20"/>
        </w:rPr>
        <w:t xml:space="preserve"> </w:t>
      </w:r>
      <w:r w:rsidR="004D69DD" w:rsidRPr="00A545B5">
        <w:rPr>
          <w:rFonts w:asciiTheme="minorBidi" w:hAnsiTheme="minorBidi" w:cstheme="minorBidi"/>
          <w:i/>
          <w:iCs/>
          <w:color w:val="000000" w:themeColor="text1"/>
          <w:sz w:val="20"/>
          <w:szCs w:val="20"/>
          <w:lang w:val="en-GB"/>
        </w:rPr>
        <w:t>Standard Bank of South Africa Ltd v Echo Petroleum CC</w:t>
      </w:r>
      <w:r w:rsidR="004D69DD" w:rsidRPr="00A545B5">
        <w:rPr>
          <w:rStyle w:val="apple-converted-space"/>
          <w:rFonts w:asciiTheme="minorBidi" w:hAnsiTheme="minorBidi" w:cstheme="minorBidi"/>
          <w:color w:val="000000" w:themeColor="text1"/>
          <w:sz w:val="20"/>
          <w:szCs w:val="20"/>
          <w:lang w:val="en-GB"/>
        </w:rPr>
        <w:t> </w:t>
      </w:r>
      <w:hyperlink r:id="rId2" w:tooltip="View LawCiteRecord" w:history="1">
        <w:r w:rsidR="004D69DD" w:rsidRPr="00A545B5">
          <w:rPr>
            <w:rStyle w:val="Hyperlink"/>
            <w:rFonts w:asciiTheme="minorBidi" w:hAnsiTheme="minorBidi" w:cstheme="minorBidi"/>
            <w:color w:val="000000" w:themeColor="text1"/>
            <w:sz w:val="20"/>
            <w:szCs w:val="20"/>
            <w:u w:val="none"/>
            <w:lang w:val="en-GB"/>
          </w:rPr>
          <w:t>2012 (5) SA 283</w:t>
        </w:r>
      </w:hyperlink>
      <w:r w:rsidR="004D69DD" w:rsidRPr="00A545B5">
        <w:rPr>
          <w:rStyle w:val="apple-converted-space"/>
          <w:rFonts w:asciiTheme="minorBidi" w:hAnsiTheme="minorBidi" w:cstheme="minorBidi"/>
          <w:color w:val="000000" w:themeColor="text1"/>
          <w:sz w:val="20"/>
          <w:szCs w:val="20"/>
          <w:lang w:val="en-GB"/>
        </w:rPr>
        <w:t> </w:t>
      </w:r>
      <w:r w:rsidR="004D69DD" w:rsidRPr="00A545B5">
        <w:rPr>
          <w:rFonts w:asciiTheme="minorBidi" w:hAnsiTheme="minorBidi" w:cstheme="minorBidi"/>
          <w:color w:val="000000" w:themeColor="text1"/>
          <w:sz w:val="20"/>
          <w:szCs w:val="20"/>
          <w:lang w:val="en-GB"/>
        </w:rPr>
        <w:t>(SCA) para 33.</w:t>
      </w:r>
    </w:p>
  </w:footnote>
  <w:footnote w:id="15">
    <w:p w14:paraId="1530BFC7" w14:textId="753F23E3" w:rsidR="00994099" w:rsidRPr="00994099" w:rsidRDefault="00994099" w:rsidP="00994099">
      <w:pPr>
        <w:pStyle w:val="CommentText"/>
        <w:jc w:val="both"/>
        <w:rPr>
          <w:rFonts w:asciiTheme="minorBidi" w:hAnsiTheme="minorBidi" w:cstheme="minorBidi"/>
        </w:rPr>
      </w:pPr>
      <w:r w:rsidRPr="00994099">
        <w:rPr>
          <w:rStyle w:val="FootnoteReference"/>
          <w:rFonts w:asciiTheme="minorBidi" w:hAnsiTheme="minorBidi" w:cstheme="minorBidi"/>
        </w:rPr>
        <w:footnoteRef/>
      </w:r>
      <w:r w:rsidRPr="00994099">
        <w:rPr>
          <w:rFonts w:asciiTheme="minorBidi" w:hAnsiTheme="minorBidi" w:cstheme="minorBidi"/>
        </w:rPr>
        <w:t xml:space="preserve"> </w:t>
      </w:r>
      <w:r w:rsidRPr="00994099">
        <w:rPr>
          <w:rFonts w:asciiTheme="minorBidi" w:hAnsiTheme="minorBidi" w:cstheme="minorBidi"/>
          <w:i/>
        </w:rPr>
        <w:t>Premier, Western Cape v Lakay</w:t>
      </w:r>
      <w:r w:rsidRPr="00994099">
        <w:rPr>
          <w:rFonts w:asciiTheme="minorBidi" w:hAnsiTheme="minorBidi" w:cstheme="minorBidi"/>
        </w:rPr>
        <w:t xml:space="preserve"> [2011] ZASCA 224; 2012 (2) SA 1 (SCA) para 25</w:t>
      </w:r>
      <w:r>
        <w:rPr>
          <w:rFonts w:asciiTheme="minorBidi" w:hAnsiTheme="minorBidi" w:cstheme="minorBid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699257"/>
      <w:docPartObj>
        <w:docPartGallery w:val="Page Numbers (Top of Page)"/>
        <w:docPartUnique/>
      </w:docPartObj>
    </w:sdtPr>
    <w:sdtEndPr>
      <w:rPr>
        <w:noProof/>
      </w:rPr>
    </w:sdtEndPr>
    <w:sdtContent>
      <w:p w14:paraId="109D2719" w14:textId="5701E524" w:rsidR="0044558B" w:rsidRDefault="0044558B">
        <w:pPr>
          <w:pStyle w:val="Header"/>
          <w:jc w:val="right"/>
        </w:pPr>
        <w:r w:rsidRPr="0044558B">
          <w:rPr>
            <w:rFonts w:ascii="Arial" w:hAnsi="Arial" w:cs="Arial"/>
          </w:rPr>
          <w:fldChar w:fldCharType="begin"/>
        </w:r>
        <w:r w:rsidRPr="0044558B">
          <w:rPr>
            <w:rFonts w:ascii="Arial" w:hAnsi="Arial" w:cs="Arial"/>
          </w:rPr>
          <w:instrText xml:space="preserve"> PAGE   \* MERGEFORMAT </w:instrText>
        </w:r>
        <w:r w:rsidRPr="0044558B">
          <w:rPr>
            <w:rFonts w:ascii="Arial" w:hAnsi="Arial" w:cs="Arial"/>
          </w:rPr>
          <w:fldChar w:fldCharType="separate"/>
        </w:r>
        <w:r w:rsidR="00DB129D">
          <w:rPr>
            <w:rFonts w:ascii="Arial" w:hAnsi="Arial" w:cs="Arial"/>
            <w:noProof/>
          </w:rPr>
          <w:t>15</w:t>
        </w:r>
        <w:r w:rsidRPr="0044558B">
          <w:rPr>
            <w:rFonts w:ascii="Arial" w:hAnsi="Arial" w:cs="Arial"/>
            <w:noProof/>
          </w:rPr>
          <w:fldChar w:fldCharType="end"/>
        </w:r>
      </w:p>
    </w:sdtContent>
  </w:sdt>
  <w:p w14:paraId="77F1B2D6" w14:textId="77777777" w:rsidR="0044558B" w:rsidRDefault="004455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67D39"/>
    <w:multiLevelType w:val="hybridMultilevel"/>
    <w:tmpl w:val="658C2F80"/>
    <w:lvl w:ilvl="0" w:tplc="A30819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B02AB"/>
    <w:multiLevelType w:val="hybridMultilevel"/>
    <w:tmpl w:val="83E8C72A"/>
    <w:lvl w:ilvl="0" w:tplc="E1225E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81591"/>
    <w:multiLevelType w:val="hybridMultilevel"/>
    <w:tmpl w:val="2A020F2A"/>
    <w:lvl w:ilvl="0" w:tplc="EC5ACF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FA5865"/>
    <w:multiLevelType w:val="hybridMultilevel"/>
    <w:tmpl w:val="81B0B0B8"/>
    <w:lvl w:ilvl="0" w:tplc="E1A873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92E11"/>
    <w:multiLevelType w:val="hybridMultilevel"/>
    <w:tmpl w:val="B3E6EC10"/>
    <w:lvl w:ilvl="0" w:tplc="FFFFFFFF">
      <w:start w:val="1"/>
      <w:numFmt w:val="decimal"/>
      <w:lvlText w:val="[%1]"/>
      <w:lvlJc w:val="left"/>
      <w:pPr>
        <w:ind w:left="720" w:hanging="360"/>
      </w:pPr>
      <w:rPr>
        <w:rFonts w:ascii="Arial" w:hAnsi="Arial" w:cs="Arial"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7B7AE9"/>
    <w:multiLevelType w:val="hybridMultilevel"/>
    <w:tmpl w:val="BD086ED0"/>
    <w:lvl w:ilvl="0" w:tplc="975E8D62">
      <w:start w:val="1"/>
      <w:numFmt w:val="decimal"/>
      <w:lvlText w:val="[%1]"/>
      <w:lvlJc w:val="left"/>
      <w:pPr>
        <w:ind w:left="720" w:hanging="360"/>
      </w:pPr>
      <w:rPr>
        <w:rFonts w:ascii="Arial" w:hAnsi="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71FB8"/>
    <w:multiLevelType w:val="hybridMultilevel"/>
    <w:tmpl w:val="B93CAB76"/>
    <w:lvl w:ilvl="0" w:tplc="47CE02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B730F"/>
    <w:multiLevelType w:val="hybridMultilevel"/>
    <w:tmpl w:val="85CC60EE"/>
    <w:lvl w:ilvl="0" w:tplc="B5B08E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251488"/>
    <w:multiLevelType w:val="hybridMultilevel"/>
    <w:tmpl w:val="1D049204"/>
    <w:lvl w:ilvl="0" w:tplc="95C29E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B757AE"/>
    <w:multiLevelType w:val="multilevel"/>
    <w:tmpl w:val="09BA8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5747C3"/>
    <w:multiLevelType w:val="hybridMultilevel"/>
    <w:tmpl w:val="DAE4F378"/>
    <w:lvl w:ilvl="0" w:tplc="C778ED6C">
      <w:start w:val="1"/>
      <w:numFmt w:val="decimal"/>
      <w:lvlText w:val="[%1]"/>
      <w:lvlJc w:val="left"/>
      <w:pPr>
        <w:ind w:left="720" w:hanging="360"/>
      </w:pPr>
      <w:rPr>
        <w:rFonts w:ascii="Arial" w:hAnsi="Arial" w:cs="Arial"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441E28"/>
    <w:multiLevelType w:val="hybridMultilevel"/>
    <w:tmpl w:val="AFBAFA2E"/>
    <w:lvl w:ilvl="0" w:tplc="62302D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CF3C05"/>
    <w:multiLevelType w:val="hybridMultilevel"/>
    <w:tmpl w:val="6F5ED946"/>
    <w:lvl w:ilvl="0" w:tplc="39C81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9D545A"/>
    <w:multiLevelType w:val="hybridMultilevel"/>
    <w:tmpl w:val="6F5ED946"/>
    <w:lvl w:ilvl="0" w:tplc="39C81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5B6765"/>
    <w:multiLevelType w:val="hybridMultilevel"/>
    <w:tmpl w:val="2FECC9A6"/>
    <w:lvl w:ilvl="0" w:tplc="D1FAE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140EC0"/>
    <w:multiLevelType w:val="hybridMultilevel"/>
    <w:tmpl w:val="B6D23956"/>
    <w:lvl w:ilvl="0" w:tplc="AD006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BC0EC5"/>
    <w:multiLevelType w:val="multilevel"/>
    <w:tmpl w:val="C148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4B272F"/>
    <w:multiLevelType w:val="hybridMultilevel"/>
    <w:tmpl w:val="1E4CD26C"/>
    <w:lvl w:ilvl="0" w:tplc="B0842B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7"/>
  </w:num>
  <w:num w:numId="5">
    <w:abstractNumId w:val="0"/>
  </w:num>
  <w:num w:numId="6">
    <w:abstractNumId w:val="10"/>
  </w:num>
  <w:num w:numId="7">
    <w:abstractNumId w:val="16"/>
  </w:num>
  <w:num w:numId="8">
    <w:abstractNumId w:val="11"/>
  </w:num>
  <w:num w:numId="9">
    <w:abstractNumId w:val="2"/>
  </w:num>
  <w:num w:numId="10">
    <w:abstractNumId w:val="8"/>
  </w:num>
  <w:num w:numId="11">
    <w:abstractNumId w:val="5"/>
  </w:num>
  <w:num w:numId="12">
    <w:abstractNumId w:val="4"/>
  </w:num>
  <w:num w:numId="13">
    <w:abstractNumId w:val="9"/>
  </w:num>
  <w:num w:numId="14">
    <w:abstractNumId w:val="1"/>
  </w:num>
  <w:num w:numId="15">
    <w:abstractNumId w:val="18"/>
  </w:num>
  <w:num w:numId="16">
    <w:abstractNumId w:val="17"/>
  </w:num>
  <w:num w:numId="17">
    <w:abstractNumId w:val="15"/>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EAA967-DBF5-4FD2-9CEE-CEE3E6BB0849}"/>
    <w:docVar w:name="dgnword-eventsink" w:val="1909721980928"/>
  </w:docVars>
  <w:rsids>
    <w:rsidRoot w:val="0044558B"/>
    <w:rsid w:val="00000FEA"/>
    <w:rsid w:val="00002CAB"/>
    <w:rsid w:val="00002CD9"/>
    <w:rsid w:val="00003681"/>
    <w:rsid w:val="0002789B"/>
    <w:rsid w:val="00040268"/>
    <w:rsid w:val="0004167D"/>
    <w:rsid w:val="00045121"/>
    <w:rsid w:val="00045BE2"/>
    <w:rsid w:val="00053B4E"/>
    <w:rsid w:val="00070693"/>
    <w:rsid w:val="000738E4"/>
    <w:rsid w:val="00077BD6"/>
    <w:rsid w:val="00080260"/>
    <w:rsid w:val="00081C85"/>
    <w:rsid w:val="000855CF"/>
    <w:rsid w:val="000A2039"/>
    <w:rsid w:val="000A6CB5"/>
    <w:rsid w:val="000A7C77"/>
    <w:rsid w:val="000B4D46"/>
    <w:rsid w:val="000C1BAF"/>
    <w:rsid w:val="000C7E8B"/>
    <w:rsid w:val="000D0178"/>
    <w:rsid w:val="000D6B00"/>
    <w:rsid w:val="000E0A9C"/>
    <w:rsid w:val="000E565D"/>
    <w:rsid w:val="000F6573"/>
    <w:rsid w:val="00104BC4"/>
    <w:rsid w:val="001068E1"/>
    <w:rsid w:val="0010696A"/>
    <w:rsid w:val="00107A2C"/>
    <w:rsid w:val="00110BA8"/>
    <w:rsid w:val="00113E51"/>
    <w:rsid w:val="001241EE"/>
    <w:rsid w:val="00133CF4"/>
    <w:rsid w:val="00136F87"/>
    <w:rsid w:val="001446C1"/>
    <w:rsid w:val="0014699F"/>
    <w:rsid w:val="00156C0C"/>
    <w:rsid w:val="00172C98"/>
    <w:rsid w:val="0018563E"/>
    <w:rsid w:val="0019609D"/>
    <w:rsid w:val="001A2804"/>
    <w:rsid w:val="001A37E2"/>
    <w:rsid w:val="001A7E1C"/>
    <w:rsid w:val="001B0246"/>
    <w:rsid w:val="001D30D9"/>
    <w:rsid w:val="001D57F1"/>
    <w:rsid w:val="001D6635"/>
    <w:rsid w:val="001D68E0"/>
    <w:rsid w:val="001E0D57"/>
    <w:rsid w:val="001E6C1F"/>
    <w:rsid w:val="00205537"/>
    <w:rsid w:val="002133D6"/>
    <w:rsid w:val="00213A91"/>
    <w:rsid w:val="00213F21"/>
    <w:rsid w:val="00227302"/>
    <w:rsid w:val="00232850"/>
    <w:rsid w:val="00235B6E"/>
    <w:rsid w:val="00254D9B"/>
    <w:rsid w:val="00256E9D"/>
    <w:rsid w:val="0027190C"/>
    <w:rsid w:val="00274C33"/>
    <w:rsid w:val="00276408"/>
    <w:rsid w:val="00285181"/>
    <w:rsid w:val="002914EE"/>
    <w:rsid w:val="00292BBB"/>
    <w:rsid w:val="002A2BFA"/>
    <w:rsid w:val="002A78C0"/>
    <w:rsid w:val="002C65D5"/>
    <w:rsid w:val="002C7F11"/>
    <w:rsid w:val="002D14CE"/>
    <w:rsid w:val="002E2F28"/>
    <w:rsid w:val="002E4AFE"/>
    <w:rsid w:val="002F176E"/>
    <w:rsid w:val="002F298B"/>
    <w:rsid w:val="002F40AF"/>
    <w:rsid w:val="00301AA9"/>
    <w:rsid w:val="00301FC9"/>
    <w:rsid w:val="003061E8"/>
    <w:rsid w:val="00307D78"/>
    <w:rsid w:val="003100DA"/>
    <w:rsid w:val="00310D7D"/>
    <w:rsid w:val="00312E4B"/>
    <w:rsid w:val="00314FE1"/>
    <w:rsid w:val="003154E9"/>
    <w:rsid w:val="00323768"/>
    <w:rsid w:val="00332D84"/>
    <w:rsid w:val="00336D23"/>
    <w:rsid w:val="00344B54"/>
    <w:rsid w:val="00345662"/>
    <w:rsid w:val="00345EF1"/>
    <w:rsid w:val="0035681C"/>
    <w:rsid w:val="00366AC0"/>
    <w:rsid w:val="0037306D"/>
    <w:rsid w:val="003811F2"/>
    <w:rsid w:val="00382F4A"/>
    <w:rsid w:val="00384BDB"/>
    <w:rsid w:val="00387817"/>
    <w:rsid w:val="00390DDA"/>
    <w:rsid w:val="00392771"/>
    <w:rsid w:val="00392D5E"/>
    <w:rsid w:val="00397751"/>
    <w:rsid w:val="00397EB9"/>
    <w:rsid w:val="003A570F"/>
    <w:rsid w:val="003A61F7"/>
    <w:rsid w:val="003C3830"/>
    <w:rsid w:val="003D2236"/>
    <w:rsid w:val="003D3AEE"/>
    <w:rsid w:val="003D4CDF"/>
    <w:rsid w:val="003E3794"/>
    <w:rsid w:val="003E4168"/>
    <w:rsid w:val="003F268D"/>
    <w:rsid w:val="003F2D94"/>
    <w:rsid w:val="00410050"/>
    <w:rsid w:val="004104E5"/>
    <w:rsid w:val="00412503"/>
    <w:rsid w:val="00413505"/>
    <w:rsid w:val="00417126"/>
    <w:rsid w:val="004230ED"/>
    <w:rsid w:val="00431E9A"/>
    <w:rsid w:val="00431FBF"/>
    <w:rsid w:val="00432D89"/>
    <w:rsid w:val="00433D99"/>
    <w:rsid w:val="00440567"/>
    <w:rsid w:val="004424D1"/>
    <w:rsid w:val="004453CE"/>
    <w:rsid w:val="0044558B"/>
    <w:rsid w:val="00480F3E"/>
    <w:rsid w:val="0048556F"/>
    <w:rsid w:val="00492327"/>
    <w:rsid w:val="004A02FD"/>
    <w:rsid w:val="004B163C"/>
    <w:rsid w:val="004D2442"/>
    <w:rsid w:val="004D69DD"/>
    <w:rsid w:val="004E1485"/>
    <w:rsid w:val="004E3E13"/>
    <w:rsid w:val="004E78FD"/>
    <w:rsid w:val="004F54D0"/>
    <w:rsid w:val="00504E2C"/>
    <w:rsid w:val="00512DD9"/>
    <w:rsid w:val="00516BFF"/>
    <w:rsid w:val="00527B3F"/>
    <w:rsid w:val="00527D87"/>
    <w:rsid w:val="0053070F"/>
    <w:rsid w:val="00531547"/>
    <w:rsid w:val="00540AE1"/>
    <w:rsid w:val="00543CAA"/>
    <w:rsid w:val="005532E4"/>
    <w:rsid w:val="0055764D"/>
    <w:rsid w:val="005672DA"/>
    <w:rsid w:val="00567519"/>
    <w:rsid w:val="005678F5"/>
    <w:rsid w:val="0057023E"/>
    <w:rsid w:val="00570420"/>
    <w:rsid w:val="0057182E"/>
    <w:rsid w:val="005A1782"/>
    <w:rsid w:val="005A27FF"/>
    <w:rsid w:val="005A4026"/>
    <w:rsid w:val="005A50B9"/>
    <w:rsid w:val="005B3BE8"/>
    <w:rsid w:val="005B64F8"/>
    <w:rsid w:val="005C2DBD"/>
    <w:rsid w:val="005C57DD"/>
    <w:rsid w:val="005C69E4"/>
    <w:rsid w:val="005C7D0B"/>
    <w:rsid w:val="005D2B61"/>
    <w:rsid w:val="005D663E"/>
    <w:rsid w:val="005E46B7"/>
    <w:rsid w:val="005E6F8E"/>
    <w:rsid w:val="005F7372"/>
    <w:rsid w:val="0060339D"/>
    <w:rsid w:val="00603F28"/>
    <w:rsid w:val="0060690F"/>
    <w:rsid w:val="00611100"/>
    <w:rsid w:val="00611946"/>
    <w:rsid w:val="006122CC"/>
    <w:rsid w:val="00613DE4"/>
    <w:rsid w:val="0061649C"/>
    <w:rsid w:val="00616953"/>
    <w:rsid w:val="0062263F"/>
    <w:rsid w:val="006270EC"/>
    <w:rsid w:val="006318E5"/>
    <w:rsid w:val="00632E51"/>
    <w:rsid w:val="00632FA0"/>
    <w:rsid w:val="00633452"/>
    <w:rsid w:val="00634DD0"/>
    <w:rsid w:val="00640C82"/>
    <w:rsid w:val="00641C1B"/>
    <w:rsid w:val="00642168"/>
    <w:rsid w:val="00642B7E"/>
    <w:rsid w:val="0064347C"/>
    <w:rsid w:val="00660F77"/>
    <w:rsid w:val="0066591E"/>
    <w:rsid w:val="00665E3B"/>
    <w:rsid w:val="00672E3D"/>
    <w:rsid w:val="0067373E"/>
    <w:rsid w:val="00683D30"/>
    <w:rsid w:val="00685943"/>
    <w:rsid w:val="00693F83"/>
    <w:rsid w:val="006A1DEF"/>
    <w:rsid w:val="006A24F0"/>
    <w:rsid w:val="006A2AA1"/>
    <w:rsid w:val="006B03D5"/>
    <w:rsid w:val="006B0496"/>
    <w:rsid w:val="006B34CD"/>
    <w:rsid w:val="006B7A1C"/>
    <w:rsid w:val="006C1628"/>
    <w:rsid w:val="006C238B"/>
    <w:rsid w:val="006C2462"/>
    <w:rsid w:val="006C2AB8"/>
    <w:rsid w:val="006C6A32"/>
    <w:rsid w:val="006D0823"/>
    <w:rsid w:val="006D19D0"/>
    <w:rsid w:val="00702268"/>
    <w:rsid w:val="00711490"/>
    <w:rsid w:val="00714AAF"/>
    <w:rsid w:val="00717769"/>
    <w:rsid w:val="00722305"/>
    <w:rsid w:val="0072608B"/>
    <w:rsid w:val="00726264"/>
    <w:rsid w:val="007311E7"/>
    <w:rsid w:val="00732976"/>
    <w:rsid w:val="007333F0"/>
    <w:rsid w:val="007427F7"/>
    <w:rsid w:val="00753D67"/>
    <w:rsid w:val="00760474"/>
    <w:rsid w:val="007604B8"/>
    <w:rsid w:val="0076325D"/>
    <w:rsid w:val="00767470"/>
    <w:rsid w:val="0077303E"/>
    <w:rsid w:val="00781BF5"/>
    <w:rsid w:val="00781CDA"/>
    <w:rsid w:val="0078355F"/>
    <w:rsid w:val="007954BC"/>
    <w:rsid w:val="007A46E2"/>
    <w:rsid w:val="007B3DE2"/>
    <w:rsid w:val="007C35F7"/>
    <w:rsid w:val="007C63B9"/>
    <w:rsid w:val="007D332E"/>
    <w:rsid w:val="007D5313"/>
    <w:rsid w:val="007D59E5"/>
    <w:rsid w:val="007E4525"/>
    <w:rsid w:val="007E4842"/>
    <w:rsid w:val="007E7612"/>
    <w:rsid w:val="007F11FF"/>
    <w:rsid w:val="007F5404"/>
    <w:rsid w:val="007F7CD9"/>
    <w:rsid w:val="008020BC"/>
    <w:rsid w:val="008046CD"/>
    <w:rsid w:val="00816446"/>
    <w:rsid w:val="008168C8"/>
    <w:rsid w:val="0082399D"/>
    <w:rsid w:val="00827D3F"/>
    <w:rsid w:val="008338BB"/>
    <w:rsid w:val="00842F4C"/>
    <w:rsid w:val="00864D32"/>
    <w:rsid w:val="00865AEA"/>
    <w:rsid w:val="00872578"/>
    <w:rsid w:val="00875B14"/>
    <w:rsid w:val="008847A9"/>
    <w:rsid w:val="00884EC1"/>
    <w:rsid w:val="00890F6D"/>
    <w:rsid w:val="008A2E71"/>
    <w:rsid w:val="008A39E6"/>
    <w:rsid w:val="008A3CB6"/>
    <w:rsid w:val="008B1A98"/>
    <w:rsid w:val="008B6796"/>
    <w:rsid w:val="008C1163"/>
    <w:rsid w:val="008C2D2A"/>
    <w:rsid w:val="008C3A98"/>
    <w:rsid w:val="008C763F"/>
    <w:rsid w:val="008D162D"/>
    <w:rsid w:val="008D493D"/>
    <w:rsid w:val="008E0D49"/>
    <w:rsid w:val="008E160B"/>
    <w:rsid w:val="008E2DD7"/>
    <w:rsid w:val="00910073"/>
    <w:rsid w:val="00913722"/>
    <w:rsid w:val="00917AB9"/>
    <w:rsid w:val="009204D1"/>
    <w:rsid w:val="009227D6"/>
    <w:rsid w:val="009252BE"/>
    <w:rsid w:val="00930017"/>
    <w:rsid w:val="00933E97"/>
    <w:rsid w:val="00934B1A"/>
    <w:rsid w:val="00937279"/>
    <w:rsid w:val="00942FBC"/>
    <w:rsid w:val="009479B0"/>
    <w:rsid w:val="00953864"/>
    <w:rsid w:val="00955271"/>
    <w:rsid w:val="00966958"/>
    <w:rsid w:val="00967EC4"/>
    <w:rsid w:val="009706A3"/>
    <w:rsid w:val="009806AB"/>
    <w:rsid w:val="00994099"/>
    <w:rsid w:val="0099558A"/>
    <w:rsid w:val="00995ACB"/>
    <w:rsid w:val="00995E52"/>
    <w:rsid w:val="00995EC0"/>
    <w:rsid w:val="009A0593"/>
    <w:rsid w:val="009A0926"/>
    <w:rsid w:val="009D3E59"/>
    <w:rsid w:val="009E24C1"/>
    <w:rsid w:val="009E2ED1"/>
    <w:rsid w:val="009E3BDA"/>
    <w:rsid w:val="009E7C69"/>
    <w:rsid w:val="009F165C"/>
    <w:rsid w:val="009F1A9F"/>
    <w:rsid w:val="009F1B84"/>
    <w:rsid w:val="009F4F03"/>
    <w:rsid w:val="00A0092D"/>
    <w:rsid w:val="00A012EA"/>
    <w:rsid w:val="00A06A11"/>
    <w:rsid w:val="00A06C97"/>
    <w:rsid w:val="00A12E2D"/>
    <w:rsid w:val="00A1682A"/>
    <w:rsid w:val="00A209B0"/>
    <w:rsid w:val="00A31640"/>
    <w:rsid w:val="00A33162"/>
    <w:rsid w:val="00A468F6"/>
    <w:rsid w:val="00A545B5"/>
    <w:rsid w:val="00A56B61"/>
    <w:rsid w:val="00A670CB"/>
    <w:rsid w:val="00A823D6"/>
    <w:rsid w:val="00A85B16"/>
    <w:rsid w:val="00A8686E"/>
    <w:rsid w:val="00A9013E"/>
    <w:rsid w:val="00A92590"/>
    <w:rsid w:val="00A95855"/>
    <w:rsid w:val="00AA305B"/>
    <w:rsid w:val="00AB2F36"/>
    <w:rsid w:val="00AB453B"/>
    <w:rsid w:val="00AB51FA"/>
    <w:rsid w:val="00AC3FC1"/>
    <w:rsid w:val="00AC640A"/>
    <w:rsid w:val="00AD2065"/>
    <w:rsid w:val="00AE105F"/>
    <w:rsid w:val="00AE7764"/>
    <w:rsid w:val="00AF598A"/>
    <w:rsid w:val="00B0214F"/>
    <w:rsid w:val="00B13A11"/>
    <w:rsid w:val="00B140B6"/>
    <w:rsid w:val="00B164EF"/>
    <w:rsid w:val="00B16AA0"/>
    <w:rsid w:val="00B27C1D"/>
    <w:rsid w:val="00B324EA"/>
    <w:rsid w:val="00B35788"/>
    <w:rsid w:val="00B4170D"/>
    <w:rsid w:val="00B548FE"/>
    <w:rsid w:val="00B54C18"/>
    <w:rsid w:val="00B7673B"/>
    <w:rsid w:val="00B836D0"/>
    <w:rsid w:val="00B843E9"/>
    <w:rsid w:val="00B97CC2"/>
    <w:rsid w:val="00BA55BA"/>
    <w:rsid w:val="00BA74DD"/>
    <w:rsid w:val="00BB0919"/>
    <w:rsid w:val="00BB5618"/>
    <w:rsid w:val="00BC3FB5"/>
    <w:rsid w:val="00BD724B"/>
    <w:rsid w:val="00BE141A"/>
    <w:rsid w:val="00BE22D2"/>
    <w:rsid w:val="00BE2B49"/>
    <w:rsid w:val="00BF3864"/>
    <w:rsid w:val="00C04DB1"/>
    <w:rsid w:val="00C108D6"/>
    <w:rsid w:val="00C170D3"/>
    <w:rsid w:val="00C177D5"/>
    <w:rsid w:val="00C3290D"/>
    <w:rsid w:val="00C33588"/>
    <w:rsid w:val="00C404C8"/>
    <w:rsid w:val="00C40BB6"/>
    <w:rsid w:val="00C576C7"/>
    <w:rsid w:val="00C6086B"/>
    <w:rsid w:val="00C70669"/>
    <w:rsid w:val="00C75102"/>
    <w:rsid w:val="00C77F61"/>
    <w:rsid w:val="00C80F1C"/>
    <w:rsid w:val="00C81CFB"/>
    <w:rsid w:val="00C83755"/>
    <w:rsid w:val="00C92E0D"/>
    <w:rsid w:val="00CA0681"/>
    <w:rsid w:val="00CB29F4"/>
    <w:rsid w:val="00CB3F61"/>
    <w:rsid w:val="00CB7160"/>
    <w:rsid w:val="00CC1057"/>
    <w:rsid w:val="00CC7F28"/>
    <w:rsid w:val="00CD09C8"/>
    <w:rsid w:val="00CD14CF"/>
    <w:rsid w:val="00CE0AC2"/>
    <w:rsid w:val="00CE44C8"/>
    <w:rsid w:val="00CE58D0"/>
    <w:rsid w:val="00CE67C4"/>
    <w:rsid w:val="00CE68FA"/>
    <w:rsid w:val="00D06180"/>
    <w:rsid w:val="00D104E4"/>
    <w:rsid w:val="00D15416"/>
    <w:rsid w:val="00D31737"/>
    <w:rsid w:val="00D33B71"/>
    <w:rsid w:val="00D40D24"/>
    <w:rsid w:val="00D52159"/>
    <w:rsid w:val="00D620C1"/>
    <w:rsid w:val="00D6536D"/>
    <w:rsid w:val="00D70A08"/>
    <w:rsid w:val="00D735DE"/>
    <w:rsid w:val="00D81D32"/>
    <w:rsid w:val="00D86E95"/>
    <w:rsid w:val="00D90726"/>
    <w:rsid w:val="00D97F13"/>
    <w:rsid w:val="00D97FB0"/>
    <w:rsid w:val="00DA1EB5"/>
    <w:rsid w:val="00DB129D"/>
    <w:rsid w:val="00DB1BA4"/>
    <w:rsid w:val="00DB756A"/>
    <w:rsid w:val="00DC0448"/>
    <w:rsid w:val="00DD1FAB"/>
    <w:rsid w:val="00DD3226"/>
    <w:rsid w:val="00DD58BE"/>
    <w:rsid w:val="00DE1D10"/>
    <w:rsid w:val="00DE29AD"/>
    <w:rsid w:val="00DE3473"/>
    <w:rsid w:val="00DE7129"/>
    <w:rsid w:val="00DF0094"/>
    <w:rsid w:val="00DF02BD"/>
    <w:rsid w:val="00DF0D81"/>
    <w:rsid w:val="00DF3BDC"/>
    <w:rsid w:val="00E0377C"/>
    <w:rsid w:val="00E14C5A"/>
    <w:rsid w:val="00E15AC9"/>
    <w:rsid w:val="00E16B3D"/>
    <w:rsid w:val="00E176DC"/>
    <w:rsid w:val="00E24440"/>
    <w:rsid w:val="00E30C38"/>
    <w:rsid w:val="00E32107"/>
    <w:rsid w:val="00E3561E"/>
    <w:rsid w:val="00E41CAF"/>
    <w:rsid w:val="00E43DF4"/>
    <w:rsid w:val="00E44C52"/>
    <w:rsid w:val="00E61C1C"/>
    <w:rsid w:val="00E659E3"/>
    <w:rsid w:val="00E65A11"/>
    <w:rsid w:val="00E67842"/>
    <w:rsid w:val="00E81B6D"/>
    <w:rsid w:val="00E8462D"/>
    <w:rsid w:val="00E869A3"/>
    <w:rsid w:val="00E97ADC"/>
    <w:rsid w:val="00EA74D8"/>
    <w:rsid w:val="00EB4496"/>
    <w:rsid w:val="00EB49F7"/>
    <w:rsid w:val="00EC0F36"/>
    <w:rsid w:val="00EC15F4"/>
    <w:rsid w:val="00ED472F"/>
    <w:rsid w:val="00ED4BBB"/>
    <w:rsid w:val="00EE0665"/>
    <w:rsid w:val="00EE4FB0"/>
    <w:rsid w:val="00EE7216"/>
    <w:rsid w:val="00EE790B"/>
    <w:rsid w:val="00EF0607"/>
    <w:rsid w:val="00EF0DFE"/>
    <w:rsid w:val="00EF4CAB"/>
    <w:rsid w:val="00F039D7"/>
    <w:rsid w:val="00F062D8"/>
    <w:rsid w:val="00F1037B"/>
    <w:rsid w:val="00F23A7A"/>
    <w:rsid w:val="00F254B5"/>
    <w:rsid w:val="00F25B7D"/>
    <w:rsid w:val="00F26F88"/>
    <w:rsid w:val="00F27BC8"/>
    <w:rsid w:val="00F311A4"/>
    <w:rsid w:val="00F32C46"/>
    <w:rsid w:val="00F3586F"/>
    <w:rsid w:val="00F40280"/>
    <w:rsid w:val="00F40329"/>
    <w:rsid w:val="00F44C16"/>
    <w:rsid w:val="00F44E93"/>
    <w:rsid w:val="00F474A7"/>
    <w:rsid w:val="00F57A76"/>
    <w:rsid w:val="00F70039"/>
    <w:rsid w:val="00F7209B"/>
    <w:rsid w:val="00F75219"/>
    <w:rsid w:val="00F80501"/>
    <w:rsid w:val="00F825BD"/>
    <w:rsid w:val="00F91D48"/>
    <w:rsid w:val="00F91D8D"/>
    <w:rsid w:val="00FA4B75"/>
    <w:rsid w:val="00FA547E"/>
    <w:rsid w:val="00FB1CB1"/>
    <w:rsid w:val="00FB563C"/>
    <w:rsid w:val="00FB79B7"/>
    <w:rsid w:val="00FC3E3D"/>
    <w:rsid w:val="00FC7E4B"/>
    <w:rsid w:val="00FD388C"/>
    <w:rsid w:val="00FD475D"/>
    <w:rsid w:val="00FE5035"/>
    <w:rsid w:val="00FE66C9"/>
    <w:rsid w:val="00FE7C60"/>
    <w:rsid w:val="00FF05EF"/>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CA03"/>
  <w15:chartTrackingRefBased/>
  <w15:docId w15:val="{4651F813-6A13-47B9-AEAA-680EF0AB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C0C"/>
    <w:pPr>
      <w:spacing w:after="0" w:line="240" w:lineRule="auto"/>
    </w:pPr>
    <w:rPr>
      <w:rFonts w:ascii="Times New Roman" w:eastAsia="Times New Roman" w:hAnsi="Times New Roman" w:cs="Times New Roman"/>
      <w:sz w:val="24"/>
      <w:szCs w:val="24"/>
      <w:lang w:val="en-ZA" w:eastAsia="en-GB" w:bidi="yi-Hebr"/>
    </w:rPr>
  </w:style>
  <w:style w:type="paragraph" w:styleId="Heading2">
    <w:name w:val="heading 2"/>
    <w:basedOn w:val="Normal"/>
    <w:link w:val="Heading2Char"/>
    <w:uiPriority w:val="9"/>
    <w:qFormat/>
    <w:rsid w:val="00C3290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D59E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8B"/>
    <w:pPr>
      <w:ind w:left="720"/>
      <w:contextualSpacing/>
    </w:pPr>
  </w:style>
  <w:style w:type="paragraph" w:styleId="FootnoteText">
    <w:name w:val="footnote text"/>
    <w:basedOn w:val="Normal"/>
    <w:link w:val="FootnoteTextChar"/>
    <w:uiPriority w:val="99"/>
    <w:semiHidden/>
    <w:unhideWhenUsed/>
    <w:qFormat/>
    <w:rsid w:val="0044558B"/>
    <w:rPr>
      <w:sz w:val="20"/>
      <w:szCs w:val="20"/>
    </w:rPr>
  </w:style>
  <w:style w:type="character" w:customStyle="1" w:styleId="FootnoteTextChar">
    <w:name w:val="Footnote Text Char"/>
    <w:basedOn w:val="DefaultParagraphFont"/>
    <w:link w:val="FootnoteText"/>
    <w:uiPriority w:val="99"/>
    <w:semiHidden/>
    <w:rsid w:val="0044558B"/>
    <w:rPr>
      <w:rFonts w:ascii="Times New Roman" w:eastAsia="Times New Roman" w:hAnsi="Times New Roman" w:cs="Times New Roman"/>
      <w:sz w:val="20"/>
      <w:szCs w:val="20"/>
      <w:lang w:val="en-ZA" w:eastAsia="en-GB" w:bidi="yi-Hebr"/>
    </w:rPr>
  </w:style>
  <w:style w:type="character" w:styleId="FootnoteReference">
    <w:name w:val="footnote reference"/>
    <w:basedOn w:val="DefaultParagraphFont"/>
    <w:uiPriority w:val="99"/>
    <w:semiHidden/>
    <w:unhideWhenUsed/>
    <w:rsid w:val="0044558B"/>
    <w:rPr>
      <w:vertAlign w:val="superscript"/>
    </w:rPr>
  </w:style>
  <w:style w:type="paragraph" w:styleId="Header">
    <w:name w:val="header"/>
    <w:basedOn w:val="Normal"/>
    <w:link w:val="HeaderChar"/>
    <w:uiPriority w:val="99"/>
    <w:unhideWhenUsed/>
    <w:rsid w:val="0044558B"/>
    <w:pPr>
      <w:tabs>
        <w:tab w:val="center" w:pos="4513"/>
        <w:tab w:val="right" w:pos="9026"/>
      </w:tabs>
    </w:pPr>
  </w:style>
  <w:style w:type="character" w:customStyle="1" w:styleId="HeaderChar">
    <w:name w:val="Header Char"/>
    <w:basedOn w:val="DefaultParagraphFont"/>
    <w:link w:val="Header"/>
    <w:uiPriority w:val="99"/>
    <w:rsid w:val="0044558B"/>
  </w:style>
  <w:style w:type="paragraph" w:styleId="Footer">
    <w:name w:val="footer"/>
    <w:basedOn w:val="Normal"/>
    <w:link w:val="FooterChar"/>
    <w:uiPriority w:val="99"/>
    <w:unhideWhenUsed/>
    <w:rsid w:val="0044558B"/>
    <w:pPr>
      <w:tabs>
        <w:tab w:val="center" w:pos="4513"/>
        <w:tab w:val="right" w:pos="9026"/>
      </w:tabs>
    </w:pPr>
  </w:style>
  <w:style w:type="character" w:customStyle="1" w:styleId="FooterChar">
    <w:name w:val="Footer Char"/>
    <w:basedOn w:val="DefaultParagraphFont"/>
    <w:link w:val="Footer"/>
    <w:uiPriority w:val="99"/>
    <w:rsid w:val="0044558B"/>
  </w:style>
  <w:style w:type="character" w:styleId="Hyperlink">
    <w:name w:val="Hyperlink"/>
    <w:basedOn w:val="DefaultParagraphFont"/>
    <w:uiPriority w:val="99"/>
    <w:unhideWhenUsed/>
    <w:rsid w:val="00227302"/>
    <w:rPr>
      <w:color w:val="0000FF"/>
      <w:u w:val="single"/>
    </w:rPr>
  </w:style>
  <w:style w:type="paragraph" w:styleId="NormalWeb">
    <w:name w:val="Normal (Web)"/>
    <w:basedOn w:val="Normal"/>
    <w:uiPriority w:val="99"/>
    <w:unhideWhenUsed/>
    <w:rsid w:val="00E41CAF"/>
    <w:pPr>
      <w:spacing w:before="100" w:beforeAutospacing="1" w:after="100" w:afterAutospacing="1"/>
    </w:pPr>
  </w:style>
  <w:style w:type="character" w:customStyle="1" w:styleId="Heading2Char">
    <w:name w:val="Heading 2 Char"/>
    <w:basedOn w:val="DefaultParagraphFont"/>
    <w:link w:val="Heading2"/>
    <w:uiPriority w:val="9"/>
    <w:rsid w:val="00C3290D"/>
    <w:rPr>
      <w:rFonts w:ascii="Times New Roman" w:eastAsia="Times New Roman" w:hAnsi="Times New Roman" w:cs="Times New Roman"/>
      <w:b/>
      <w:bCs/>
      <w:sz w:val="36"/>
      <w:szCs w:val="36"/>
      <w:lang w:val="en-ZA" w:eastAsia="en-GB" w:bidi="yi-Hebr"/>
    </w:rPr>
  </w:style>
  <w:style w:type="character" w:customStyle="1" w:styleId="apple-converted-space">
    <w:name w:val="apple-converted-space"/>
    <w:basedOn w:val="DefaultParagraphFont"/>
    <w:rsid w:val="00CE68FA"/>
  </w:style>
  <w:style w:type="character" w:customStyle="1" w:styleId="UnresolvedMention1">
    <w:name w:val="Unresolved Mention1"/>
    <w:basedOn w:val="DefaultParagraphFont"/>
    <w:uiPriority w:val="99"/>
    <w:semiHidden/>
    <w:unhideWhenUsed/>
    <w:rsid w:val="00EE4FB0"/>
    <w:rPr>
      <w:color w:val="605E5C"/>
      <w:shd w:val="clear" w:color="auto" w:fill="E1DFDD"/>
    </w:rPr>
  </w:style>
  <w:style w:type="character" w:styleId="FollowedHyperlink">
    <w:name w:val="FollowedHyperlink"/>
    <w:basedOn w:val="DefaultParagraphFont"/>
    <w:uiPriority w:val="99"/>
    <w:semiHidden/>
    <w:unhideWhenUsed/>
    <w:rsid w:val="00942FBC"/>
    <w:rPr>
      <w:color w:val="954F72" w:themeColor="followedHyperlink"/>
      <w:u w:val="single"/>
    </w:rPr>
  </w:style>
  <w:style w:type="character" w:customStyle="1" w:styleId="Heading3Char">
    <w:name w:val="Heading 3 Char"/>
    <w:basedOn w:val="DefaultParagraphFont"/>
    <w:link w:val="Heading3"/>
    <w:uiPriority w:val="9"/>
    <w:rsid w:val="007D59E5"/>
    <w:rPr>
      <w:rFonts w:asciiTheme="majorHAnsi" w:eastAsiaTheme="majorEastAsia" w:hAnsiTheme="majorHAnsi" w:cstheme="majorBidi"/>
      <w:color w:val="1F4D78" w:themeColor="accent1" w:themeShade="7F"/>
      <w:sz w:val="24"/>
      <w:szCs w:val="24"/>
      <w:lang w:val="en-ZA" w:eastAsia="en-GB" w:bidi="yi-Hebr"/>
    </w:rPr>
  </w:style>
  <w:style w:type="character" w:styleId="CommentReference">
    <w:name w:val="annotation reference"/>
    <w:basedOn w:val="DefaultParagraphFont"/>
    <w:uiPriority w:val="99"/>
    <w:semiHidden/>
    <w:unhideWhenUsed/>
    <w:rsid w:val="002C7F11"/>
    <w:rPr>
      <w:sz w:val="16"/>
      <w:szCs w:val="16"/>
    </w:rPr>
  </w:style>
  <w:style w:type="paragraph" w:styleId="CommentText">
    <w:name w:val="annotation text"/>
    <w:basedOn w:val="Normal"/>
    <w:link w:val="CommentTextChar"/>
    <w:uiPriority w:val="99"/>
    <w:unhideWhenUsed/>
    <w:rsid w:val="002C7F11"/>
    <w:rPr>
      <w:sz w:val="20"/>
      <w:szCs w:val="20"/>
    </w:rPr>
  </w:style>
  <w:style w:type="character" w:customStyle="1" w:styleId="CommentTextChar">
    <w:name w:val="Comment Text Char"/>
    <w:basedOn w:val="DefaultParagraphFont"/>
    <w:link w:val="CommentText"/>
    <w:uiPriority w:val="99"/>
    <w:rsid w:val="002C7F11"/>
    <w:rPr>
      <w:rFonts w:ascii="Times New Roman" w:eastAsia="Times New Roman" w:hAnsi="Times New Roman" w:cs="Times New Roman"/>
      <w:sz w:val="20"/>
      <w:szCs w:val="20"/>
      <w:lang w:val="en-ZA" w:eastAsia="en-GB" w:bidi="yi-Hebr"/>
    </w:rPr>
  </w:style>
  <w:style w:type="paragraph" w:styleId="CommentSubject">
    <w:name w:val="annotation subject"/>
    <w:basedOn w:val="CommentText"/>
    <w:next w:val="CommentText"/>
    <w:link w:val="CommentSubjectChar"/>
    <w:uiPriority w:val="99"/>
    <w:semiHidden/>
    <w:unhideWhenUsed/>
    <w:rsid w:val="002C7F11"/>
    <w:rPr>
      <w:b/>
      <w:bCs/>
    </w:rPr>
  </w:style>
  <w:style w:type="character" w:customStyle="1" w:styleId="CommentSubjectChar">
    <w:name w:val="Comment Subject Char"/>
    <w:basedOn w:val="CommentTextChar"/>
    <w:link w:val="CommentSubject"/>
    <w:uiPriority w:val="99"/>
    <w:semiHidden/>
    <w:rsid w:val="002C7F11"/>
    <w:rPr>
      <w:rFonts w:ascii="Times New Roman" w:eastAsia="Times New Roman" w:hAnsi="Times New Roman" w:cs="Times New Roman"/>
      <w:b/>
      <w:bCs/>
      <w:sz w:val="20"/>
      <w:szCs w:val="20"/>
      <w:lang w:val="en-ZA" w:eastAsia="en-GB" w:bidi="yi-Hebr"/>
    </w:rPr>
  </w:style>
  <w:style w:type="paragraph" w:styleId="BalloonText">
    <w:name w:val="Balloon Text"/>
    <w:basedOn w:val="Normal"/>
    <w:link w:val="BalloonTextChar"/>
    <w:uiPriority w:val="99"/>
    <w:semiHidden/>
    <w:unhideWhenUsed/>
    <w:rsid w:val="002C7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11"/>
    <w:rPr>
      <w:rFonts w:ascii="Segoe UI" w:eastAsia="Times New Roman" w:hAnsi="Segoe UI" w:cs="Segoe UI"/>
      <w:sz w:val="18"/>
      <w:szCs w:val="18"/>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9251">
      <w:bodyDiv w:val="1"/>
      <w:marLeft w:val="0"/>
      <w:marRight w:val="0"/>
      <w:marTop w:val="0"/>
      <w:marBottom w:val="0"/>
      <w:divBdr>
        <w:top w:val="none" w:sz="0" w:space="0" w:color="auto"/>
        <w:left w:val="none" w:sz="0" w:space="0" w:color="auto"/>
        <w:bottom w:val="none" w:sz="0" w:space="0" w:color="auto"/>
        <w:right w:val="none" w:sz="0" w:space="0" w:color="auto"/>
      </w:divBdr>
    </w:div>
    <w:div w:id="196476960">
      <w:bodyDiv w:val="1"/>
      <w:marLeft w:val="0"/>
      <w:marRight w:val="0"/>
      <w:marTop w:val="0"/>
      <w:marBottom w:val="0"/>
      <w:divBdr>
        <w:top w:val="none" w:sz="0" w:space="0" w:color="auto"/>
        <w:left w:val="none" w:sz="0" w:space="0" w:color="auto"/>
        <w:bottom w:val="none" w:sz="0" w:space="0" w:color="auto"/>
        <w:right w:val="none" w:sz="0" w:space="0" w:color="auto"/>
      </w:divBdr>
    </w:div>
    <w:div w:id="259292551">
      <w:bodyDiv w:val="1"/>
      <w:marLeft w:val="0"/>
      <w:marRight w:val="0"/>
      <w:marTop w:val="0"/>
      <w:marBottom w:val="0"/>
      <w:divBdr>
        <w:top w:val="none" w:sz="0" w:space="0" w:color="auto"/>
        <w:left w:val="none" w:sz="0" w:space="0" w:color="auto"/>
        <w:bottom w:val="none" w:sz="0" w:space="0" w:color="auto"/>
        <w:right w:val="none" w:sz="0" w:space="0" w:color="auto"/>
      </w:divBdr>
    </w:div>
    <w:div w:id="268782669">
      <w:bodyDiv w:val="1"/>
      <w:marLeft w:val="0"/>
      <w:marRight w:val="0"/>
      <w:marTop w:val="0"/>
      <w:marBottom w:val="0"/>
      <w:divBdr>
        <w:top w:val="none" w:sz="0" w:space="0" w:color="auto"/>
        <w:left w:val="none" w:sz="0" w:space="0" w:color="auto"/>
        <w:bottom w:val="none" w:sz="0" w:space="0" w:color="auto"/>
        <w:right w:val="none" w:sz="0" w:space="0" w:color="auto"/>
      </w:divBdr>
    </w:div>
    <w:div w:id="369304777">
      <w:bodyDiv w:val="1"/>
      <w:marLeft w:val="0"/>
      <w:marRight w:val="0"/>
      <w:marTop w:val="0"/>
      <w:marBottom w:val="0"/>
      <w:divBdr>
        <w:top w:val="none" w:sz="0" w:space="0" w:color="auto"/>
        <w:left w:val="none" w:sz="0" w:space="0" w:color="auto"/>
        <w:bottom w:val="none" w:sz="0" w:space="0" w:color="auto"/>
        <w:right w:val="none" w:sz="0" w:space="0" w:color="auto"/>
      </w:divBdr>
    </w:div>
    <w:div w:id="557012333">
      <w:bodyDiv w:val="1"/>
      <w:marLeft w:val="0"/>
      <w:marRight w:val="0"/>
      <w:marTop w:val="0"/>
      <w:marBottom w:val="0"/>
      <w:divBdr>
        <w:top w:val="none" w:sz="0" w:space="0" w:color="auto"/>
        <w:left w:val="none" w:sz="0" w:space="0" w:color="auto"/>
        <w:bottom w:val="none" w:sz="0" w:space="0" w:color="auto"/>
        <w:right w:val="none" w:sz="0" w:space="0" w:color="auto"/>
      </w:divBdr>
    </w:div>
    <w:div w:id="559482878">
      <w:bodyDiv w:val="1"/>
      <w:marLeft w:val="0"/>
      <w:marRight w:val="0"/>
      <w:marTop w:val="0"/>
      <w:marBottom w:val="0"/>
      <w:divBdr>
        <w:top w:val="none" w:sz="0" w:space="0" w:color="auto"/>
        <w:left w:val="none" w:sz="0" w:space="0" w:color="auto"/>
        <w:bottom w:val="none" w:sz="0" w:space="0" w:color="auto"/>
        <w:right w:val="none" w:sz="0" w:space="0" w:color="auto"/>
      </w:divBdr>
      <w:divsChild>
        <w:div w:id="732313661">
          <w:marLeft w:val="0"/>
          <w:marRight w:val="0"/>
          <w:marTop w:val="0"/>
          <w:marBottom w:val="0"/>
          <w:divBdr>
            <w:top w:val="none" w:sz="0" w:space="0" w:color="auto"/>
            <w:left w:val="none" w:sz="0" w:space="0" w:color="auto"/>
            <w:bottom w:val="none" w:sz="0" w:space="0" w:color="auto"/>
            <w:right w:val="none" w:sz="0" w:space="0" w:color="auto"/>
          </w:divBdr>
          <w:divsChild>
            <w:div w:id="1122304549">
              <w:marLeft w:val="0"/>
              <w:marRight w:val="0"/>
              <w:marTop w:val="0"/>
              <w:marBottom w:val="0"/>
              <w:divBdr>
                <w:top w:val="none" w:sz="0" w:space="0" w:color="auto"/>
                <w:left w:val="none" w:sz="0" w:space="0" w:color="auto"/>
                <w:bottom w:val="none" w:sz="0" w:space="0" w:color="auto"/>
                <w:right w:val="none" w:sz="0" w:space="0" w:color="auto"/>
              </w:divBdr>
              <w:divsChild>
                <w:div w:id="879130527">
                  <w:marLeft w:val="0"/>
                  <w:marRight w:val="0"/>
                  <w:marTop w:val="0"/>
                  <w:marBottom w:val="0"/>
                  <w:divBdr>
                    <w:top w:val="none" w:sz="0" w:space="0" w:color="auto"/>
                    <w:left w:val="none" w:sz="0" w:space="0" w:color="auto"/>
                    <w:bottom w:val="none" w:sz="0" w:space="0" w:color="auto"/>
                    <w:right w:val="none" w:sz="0" w:space="0" w:color="auto"/>
                  </w:divBdr>
                </w:div>
              </w:divsChild>
            </w:div>
            <w:div w:id="195774553">
              <w:marLeft w:val="0"/>
              <w:marRight w:val="0"/>
              <w:marTop w:val="0"/>
              <w:marBottom w:val="0"/>
              <w:divBdr>
                <w:top w:val="none" w:sz="0" w:space="0" w:color="auto"/>
                <w:left w:val="none" w:sz="0" w:space="0" w:color="auto"/>
                <w:bottom w:val="none" w:sz="0" w:space="0" w:color="auto"/>
                <w:right w:val="none" w:sz="0" w:space="0" w:color="auto"/>
              </w:divBdr>
              <w:divsChild>
                <w:div w:id="13720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516388">
      <w:bodyDiv w:val="1"/>
      <w:marLeft w:val="0"/>
      <w:marRight w:val="0"/>
      <w:marTop w:val="0"/>
      <w:marBottom w:val="0"/>
      <w:divBdr>
        <w:top w:val="none" w:sz="0" w:space="0" w:color="auto"/>
        <w:left w:val="none" w:sz="0" w:space="0" w:color="auto"/>
        <w:bottom w:val="none" w:sz="0" w:space="0" w:color="auto"/>
        <w:right w:val="none" w:sz="0" w:space="0" w:color="auto"/>
      </w:divBdr>
    </w:div>
    <w:div w:id="707411647">
      <w:bodyDiv w:val="1"/>
      <w:marLeft w:val="0"/>
      <w:marRight w:val="0"/>
      <w:marTop w:val="0"/>
      <w:marBottom w:val="0"/>
      <w:divBdr>
        <w:top w:val="none" w:sz="0" w:space="0" w:color="auto"/>
        <w:left w:val="none" w:sz="0" w:space="0" w:color="auto"/>
        <w:bottom w:val="none" w:sz="0" w:space="0" w:color="auto"/>
        <w:right w:val="none" w:sz="0" w:space="0" w:color="auto"/>
      </w:divBdr>
    </w:div>
    <w:div w:id="815296623">
      <w:bodyDiv w:val="1"/>
      <w:marLeft w:val="0"/>
      <w:marRight w:val="0"/>
      <w:marTop w:val="0"/>
      <w:marBottom w:val="0"/>
      <w:divBdr>
        <w:top w:val="none" w:sz="0" w:space="0" w:color="auto"/>
        <w:left w:val="none" w:sz="0" w:space="0" w:color="auto"/>
        <w:bottom w:val="none" w:sz="0" w:space="0" w:color="auto"/>
        <w:right w:val="none" w:sz="0" w:space="0" w:color="auto"/>
      </w:divBdr>
      <w:divsChild>
        <w:div w:id="1474909114">
          <w:marLeft w:val="0"/>
          <w:marRight w:val="0"/>
          <w:marTop w:val="0"/>
          <w:marBottom w:val="0"/>
          <w:divBdr>
            <w:top w:val="none" w:sz="0" w:space="0" w:color="auto"/>
            <w:left w:val="none" w:sz="0" w:space="0" w:color="auto"/>
            <w:bottom w:val="none" w:sz="0" w:space="0" w:color="auto"/>
            <w:right w:val="none" w:sz="0" w:space="0" w:color="auto"/>
          </w:divBdr>
          <w:divsChild>
            <w:div w:id="443616873">
              <w:marLeft w:val="0"/>
              <w:marRight w:val="0"/>
              <w:marTop w:val="0"/>
              <w:marBottom w:val="0"/>
              <w:divBdr>
                <w:top w:val="none" w:sz="0" w:space="0" w:color="auto"/>
                <w:left w:val="none" w:sz="0" w:space="0" w:color="auto"/>
                <w:bottom w:val="none" w:sz="0" w:space="0" w:color="auto"/>
                <w:right w:val="none" w:sz="0" w:space="0" w:color="auto"/>
              </w:divBdr>
              <w:divsChild>
                <w:div w:id="13671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5463">
      <w:bodyDiv w:val="1"/>
      <w:marLeft w:val="0"/>
      <w:marRight w:val="0"/>
      <w:marTop w:val="0"/>
      <w:marBottom w:val="0"/>
      <w:divBdr>
        <w:top w:val="none" w:sz="0" w:space="0" w:color="auto"/>
        <w:left w:val="none" w:sz="0" w:space="0" w:color="auto"/>
        <w:bottom w:val="none" w:sz="0" w:space="0" w:color="auto"/>
        <w:right w:val="none" w:sz="0" w:space="0" w:color="auto"/>
      </w:divBdr>
    </w:div>
    <w:div w:id="883954975">
      <w:bodyDiv w:val="1"/>
      <w:marLeft w:val="0"/>
      <w:marRight w:val="0"/>
      <w:marTop w:val="0"/>
      <w:marBottom w:val="0"/>
      <w:divBdr>
        <w:top w:val="none" w:sz="0" w:space="0" w:color="auto"/>
        <w:left w:val="none" w:sz="0" w:space="0" w:color="auto"/>
        <w:bottom w:val="none" w:sz="0" w:space="0" w:color="auto"/>
        <w:right w:val="none" w:sz="0" w:space="0" w:color="auto"/>
      </w:divBdr>
    </w:div>
    <w:div w:id="886644258">
      <w:bodyDiv w:val="1"/>
      <w:marLeft w:val="0"/>
      <w:marRight w:val="0"/>
      <w:marTop w:val="0"/>
      <w:marBottom w:val="0"/>
      <w:divBdr>
        <w:top w:val="none" w:sz="0" w:space="0" w:color="auto"/>
        <w:left w:val="none" w:sz="0" w:space="0" w:color="auto"/>
        <w:bottom w:val="none" w:sz="0" w:space="0" w:color="auto"/>
        <w:right w:val="none" w:sz="0" w:space="0" w:color="auto"/>
      </w:divBdr>
      <w:divsChild>
        <w:div w:id="741682581">
          <w:marLeft w:val="0"/>
          <w:marRight w:val="0"/>
          <w:marTop w:val="0"/>
          <w:marBottom w:val="0"/>
          <w:divBdr>
            <w:top w:val="none" w:sz="0" w:space="0" w:color="auto"/>
            <w:left w:val="none" w:sz="0" w:space="0" w:color="auto"/>
            <w:bottom w:val="none" w:sz="0" w:space="0" w:color="auto"/>
            <w:right w:val="none" w:sz="0" w:space="0" w:color="auto"/>
          </w:divBdr>
          <w:divsChild>
            <w:div w:id="250242556">
              <w:marLeft w:val="0"/>
              <w:marRight w:val="0"/>
              <w:marTop w:val="0"/>
              <w:marBottom w:val="0"/>
              <w:divBdr>
                <w:top w:val="none" w:sz="0" w:space="0" w:color="auto"/>
                <w:left w:val="none" w:sz="0" w:space="0" w:color="auto"/>
                <w:bottom w:val="none" w:sz="0" w:space="0" w:color="auto"/>
                <w:right w:val="none" w:sz="0" w:space="0" w:color="auto"/>
              </w:divBdr>
              <w:divsChild>
                <w:div w:id="21283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7016">
      <w:bodyDiv w:val="1"/>
      <w:marLeft w:val="0"/>
      <w:marRight w:val="0"/>
      <w:marTop w:val="0"/>
      <w:marBottom w:val="0"/>
      <w:divBdr>
        <w:top w:val="none" w:sz="0" w:space="0" w:color="auto"/>
        <w:left w:val="none" w:sz="0" w:space="0" w:color="auto"/>
        <w:bottom w:val="none" w:sz="0" w:space="0" w:color="auto"/>
        <w:right w:val="none" w:sz="0" w:space="0" w:color="auto"/>
      </w:divBdr>
    </w:div>
    <w:div w:id="1090783341">
      <w:bodyDiv w:val="1"/>
      <w:marLeft w:val="0"/>
      <w:marRight w:val="0"/>
      <w:marTop w:val="0"/>
      <w:marBottom w:val="0"/>
      <w:divBdr>
        <w:top w:val="none" w:sz="0" w:space="0" w:color="auto"/>
        <w:left w:val="none" w:sz="0" w:space="0" w:color="auto"/>
        <w:bottom w:val="none" w:sz="0" w:space="0" w:color="auto"/>
        <w:right w:val="none" w:sz="0" w:space="0" w:color="auto"/>
      </w:divBdr>
    </w:div>
    <w:div w:id="1149593444">
      <w:bodyDiv w:val="1"/>
      <w:marLeft w:val="0"/>
      <w:marRight w:val="0"/>
      <w:marTop w:val="0"/>
      <w:marBottom w:val="0"/>
      <w:divBdr>
        <w:top w:val="none" w:sz="0" w:space="0" w:color="auto"/>
        <w:left w:val="none" w:sz="0" w:space="0" w:color="auto"/>
        <w:bottom w:val="none" w:sz="0" w:space="0" w:color="auto"/>
        <w:right w:val="none" w:sz="0" w:space="0" w:color="auto"/>
      </w:divBdr>
    </w:div>
    <w:div w:id="1171869317">
      <w:bodyDiv w:val="1"/>
      <w:marLeft w:val="0"/>
      <w:marRight w:val="0"/>
      <w:marTop w:val="0"/>
      <w:marBottom w:val="0"/>
      <w:divBdr>
        <w:top w:val="none" w:sz="0" w:space="0" w:color="auto"/>
        <w:left w:val="none" w:sz="0" w:space="0" w:color="auto"/>
        <w:bottom w:val="none" w:sz="0" w:space="0" w:color="auto"/>
        <w:right w:val="none" w:sz="0" w:space="0" w:color="auto"/>
      </w:divBdr>
    </w:div>
    <w:div w:id="1198658662">
      <w:bodyDiv w:val="1"/>
      <w:marLeft w:val="0"/>
      <w:marRight w:val="0"/>
      <w:marTop w:val="0"/>
      <w:marBottom w:val="0"/>
      <w:divBdr>
        <w:top w:val="none" w:sz="0" w:space="0" w:color="auto"/>
        <w:left w:val="none" w:sz="0" w:space="0" w:color="auto"/>
        <w:bottom w:val="none" w:sz="0" w:space="0" w:color="auto"/>
        <w:right w:val="none" w:sz="0" w:space="0" w:color="auto"/>
      </w:divBdr>
    </w:div>
    <w:div w:id="1248034247">
      <w:bodyDiv w:val="1"/>
      <w:marLeft w:val="0"/>
      <w:marRight w:val="0"/>
      <w:marTop w:val="0"/>
      <w:marBottom w:val="0"/>
      <w:divBdr>
        <w:top w:val="none" w:sz="0" w:space="0" w:color="auto"/>
        <w:left w:val="none" w:sz="0" w:space="0" w:color="auto"/>
        <w:bottom w:val="none" w:sz="0" w:space="0" w:color="auto"/>
        <w:right w:val="none" w:sz="0" w:space="0" w:color="auto"/>
      </w:divBdr>
    </w:div>
    <w:div w:id="1550067400">
      <w:bodyDiv w:val="1"/>
      <w:marLeft w:val="0"/>
      <w:marRight w:val="0"/>
      <w:marTop w:val="0"/>
      <w:marBottom w:val="0"/>
      <w:divBdr>
        <w:top w:val="none" w:sz="0" w:space="0" w:color="auto"/>
        <w:left w:val="none" w:sz="0" w:space="0" w:color="auto"/>
        <w:bottom w:val="none" w:sz="0" w:space="0" w:color="auto"/>
        <w:right w:val="none" w:sz="0" w:space="0" w:color="auto"/>
      </w:divBdr>
      <w:divsChild>
        <w:div w:id="1881548184">
          <w:marLeft w:val="0"/>
          <w:marRight w:val="0"/>
          <w:marTop w:val="0"/>
          <w:marBottom w:val="0"/>
          <w:divBdr>
            <w:top w:val="none" w:sz="0" w:space="0" w:color="auto"/>
            <w:left w:val="none" w:sz="0" w:space="0" w:color="auto"/>
            <w:bottom w:val="none" w:sz="0" w:space="0" w:color="auto"/>
            <w:right w:val="none" w:sz="0" w:space="0" w:color="auto"/>
          </w:divBdr>
          <w:divsChild>
            <w:div w:id="1992833221">
              <w:marLeft w:val="0"/>
              <w:marRight w:val="0"/>
              <w:marTop w:val="0"/>
              <w:marBottom w:val="0"/>
              <w:divBdr>
                <w:top w:val="none" w:sz="0" w:space="0" w:color="auto"/>
                <w:left w:val="none" w:sz="0" w:space="0" w:color="auto"/>
                <w:bottom w:val="none" w:sz="0" w:space="0" w:color="auto"/>
                <w:right w:val="none" w:sz="0" w:space="0" w:color="auto"/>
              </w:divBdr>
              <w:divsChild>
                <w:div w:id="12597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89647">
      <w:bodyDiv w:val="1"/>
      <w:marLeft w:val="0"/>
      <w:marRight w:val="0"/>
      <w:marTop w:val="0"/>
      <w:marBottom w:val="0"/>
      <w:divBdr>
        <w:top w:val="none" w:sz="0" w:space="0" w:color="auto"/>
        <w:left w:val="none" w:sz="0" w:space="0" w:color="auto"/>
        <w:bottom w:val="none" w:sz="0" w:space="0" w:color="auto"/>
        <w:right w:val="none" w:sz="0" w:space="0" w:color="auto"/>
      </w:divBdr>
    </w:div>
    <w:div w:id="1606113730">
      <w:bodyDiv w:val="1"/>
      <w:marLeft w:val="0"/>
      <w:marRight w:val="0"/>
      <w:marTop w:val="0"/>
      <w:marBottom w:val="0"/>
      <w:divBdr>
        <w:top w:val="none" w:sz="0" w:space="0" w:color="auto"/>
        <w:left w:val="none" w:sz="0" w:space="0" w:color="auto"/>
        <w:bottom w:val="none" w:sz="0" w:space="0" w:color="auto"/>
        <w:right w:val="none" w:sz="0" w:space="0" w:color="auto"/>
      </w:divBdr>
      <w:divsChild>
        <w:div w:id="1828355407">
          <w:marLeft w:val="0"/>
          <w:marRight w:val="0"/>
          <w:marTop w:val="0"/>
          <w:marBottom w:val="0"/>
          <w:divBdr>
            <w:top w:val="none" w:sz="0" w:space="0" w:color="auto"/>
            <w:left w:val="none" w:sz="0" w:space="0" w:color="auto"/>
            <w:bottom w:val="none" w:sz="0" w:space="0" w:color="auto"/>
            <w:right w:val="none" w:sz="0" w:space="0" w:color="auto"/>
          </w:divBdr>
          <w:divsChild>
            <w:div w:id="1716081262">
              <w:marLeft w:val="0"/>
              <w:marRight w:val="0"/>
              <w:marTop w:val="0"/>
              <w:marBottom w:val="0"/>
              <w:divBdr>
                <w:top w:val="none" w:sz="0" w:space="0" w:color="auto"/>
                <w:left w:val="none" w:sz="0" w:space="0" w:color="auto"/>
                <w:bottom w:val="none" w:sz="0" w:space="0" w:color="auto"/>
                <w:right w:val="none" w:sz="0" w:space="0" w:color="auto"/>
              </w:divBdr>
              <w:divsChild>
                <w:div w:id="14429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654938">
      <w:bodyDiv w:val="1"/>
      <w:marLeft w:val="0"/>
      <w:marRight w:val="0"/>
      <w:marTop w:val="0"/>
      <w:marBottom w:val="0"/>
      <w:divBdr>
        <w:top w:val="none" w:sz="0" w:space="0" w:color="auto"/>
        <w:left w:val="none" w:sz="0" w:space="0" w:color="auto"/>
        <w:bottom w:val="none" w:sz="0" w:space="0" w:color="auto"/>
        <w:right w:val="none" w:sz="0" w:space="0" w:color="auto"/>
      </w:divBdr>
    </w:div>
    <w:div w:id="1958292861">
      <w:bodyDiv w:val="1"/>
      <w:marLeft w:val="0"/>
      <w:marRight w:val="0"/>
      <w:marTop w:val="0"/>
      <w:marBottom w:val="0"/>
      <w:divBdr>
        <w:top w:val="none" w:sz="0" w:space="0" w:color="auto"/>
        <w:left w:val="none" w:sz="0" w:space="0" w:color="auto"/>
        <w:bottom w:val="none" w:sz="0" w:space="0" w:color="auto"/>
        <w:right w:val="none" w:sz="0" w:space="0" w:color="auto"/>
      </w:divBdr>
    </w:div>
    <w:div w:id="2019767666">
      <w:bodyDiv w:val="1"/>
      <w:marLeft w:val="0"/>
      <w:marRight w:val="0"/>
      <w:marTop w:val="0"/>
      <w:marBottom w:val="0"/>
      <w:divBdr>
        <w:top w:val="none" w:sz="0" w:space="0" w:color="auto"/>
        <w:left w:val="none" w:sz="0" w:space="0" w:color="auto"/>
        <w:bottom w:val="none" w:sz="0" w:space="0" w:color="auto"/>
        <w:right w:val="none" w:sz="0" w:space="0" w:color="auto"/>
      </w:divBdr>
    </w:div>
    <w:div w:id="21206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2012%20%285%29%20SA%20283" TargetMode="External"/><Relationship Id="rId1" Type="http://schemas.openxmlformats.org/officeDocument/2006/relationships/hyperlink" Target="https://www.saflii.org/cgi-bin/LawCite?cit=1969%20%283%29%20SA%20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8A7F-6755-42BA-ABE8-958200B8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4195</Words>
  <Characters>23917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Judge Robin R. Mossop</cp:lastModifiedBy>
  <cp:revision>2</cp:revision>
  <dcterms:created xsi:type="dcterms:W3CDTF">2024-01-30T05:50:00Z</dcterms:created>
  <dcterms:modified xsi:type="dcterms:W3CDTF">2024-01-30T05:50:00Z</dcterms:modified>
</cp:coreProperties>
</file>