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CF759" w14:textId="77777777" w:rsidR="0044558B" w:rsidRPr="0044558B" w:rsidRDefault="0044558B" w:rsidP="0044558B">
      <w:pPr>
        <w:spacing w:line="360" w:lineRule="auto"/>
        <w:contextualSpacing/>
        <w:jc w:val="center"/>
        <w:rPr>
          <w:rFonts w:ascii="Arial" w:hAnsi="Arial" w:cs="Arial"/>
          <w:b/>
        </w:rPr>
      </w:pPr>
      <w:r w:rsidRPr="0044558B">
        <w:rPr>
          <w:rFonts w:ascii="Arial" w:eastAsia="Calibri" w:hAnsi="Arial" w:cs="Arial"/>
          <w:noProof/>
          <w:lang w:val="en-GB" w:bidi="ar-SA"/>
        </w:rPr>
        <w:drawing>
          <wp:inline distT="0" distB="0" distL="0" distR="0" wp14:anchorId="42915FDF" wp14:editId="5E17BBA3">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02E9B4A1" w14:textId="77777777" w:rsidR="0044558B" w:rsidRPr="0044558B" w:rsidRDefault="0044558B" w:rsidP="0044558B">
      <w:pPr>
        <w:spacing w:line="360" w:lineRule="auto"/>
        <w:contextualSpacing/>
        <w:jc w:val="both"/>
        <w:rPr>
          <w:rFonts w:ascii="Arial" w:hAnsi="Arial" w:cs="Arial"/>
          <w:b/>
        </w:rPr>
      </w:pPr>
    </w:p>
    <w:p w14:paraId="5AC326CE" w14:textId="77777777" w:rsidR="0044558B" w:rsidRPr="0044558B" w:rsidRDefault="0044558B" w:rsidP="0044558B">
      <w:pPr>
        <w:spacing w:line="360" w:lineRule="auto"/>
        <w:contextualSpacing/>
        <w:jc w:val="center"/>
        <w:rPr>
          <w:rFonts w:ascii="Arial" w:hAnsi="Arial" w:cs="Arial"/>
          <w:b/>
        </w:rPr>
      </w:pPr>
      <w:r w:rsidRPr="0044558B">
        <w:rPr>
          <w:rFonts w:ascii="Arial" w:hAnsi="Arial" w:cs="Arial"/>
          <w:b/>
        </w:rPr>
        <w:t>IN THE HIGH COURT OF SOUTH AFRICA</w:t>
      </w:r>
    </w:p>
    <w:p w14:paraId="0BB48E06" w14:textId="77777777" w:rsidR="0044558B" w:rsidRPr="0044558B" w:rsidRDefault="0044558B" w:rsidP="0044558B">
      <w:pPr>
        <w:spacing w:line="360" w:lineRule="auto"/>
        <w:contextualSpacing/>
        <w:jc w:val="center"/>
        <w:rPr>
          <w:rFonts w:ascii="Arial" w:hAnsi="Arial" w:cs="Arial"/>
          <w:b/>
        </w:rPr>
      </w:pPr>
      <w:r w:rsidRPr="0044558B">
        <w:rPr>
          <w:rFonts w:ascii="Arial" w:hAnsi="Arial" w:cs="Arial"/>
          <w:b/>
        </w:rPr>
        <w:t>KWAZULU-NATAL DIVISION, PIETERMARITZBURG</w:t>
      </w:r>
    </w:p>
    <w:p w14:paraId="28B936DA" w14:textId="77777777" w:rsidR="0044558B" w:rsidRPr="0044558B" w:rsidRDefault="0044558B" w:rsidP="0044558B">
      <w:pPr>
        <w:spacing w:line="360" w:lineRule="auto"/>
        <w:contextualSpacing/>
        <w:jc w:val="center"/>
        <w:rPr>
          <w:rFonts w:ascii="Arial" w:hAnsi="Arial" w:cs="Arial"/>
        </w:rPr>
      </w:pPr>
    </w:p>
    <w:p w14:paraId="647A0549" w14:textId="77777777" w:rsidR="0044558B" w:rsidRPr="0044558B" w:rsidRDefault="0044558B" w:rsidP="0044558B">
      <w:pPr>
        <w:spacing w:line="360" w:lineRule="auto"/>
        <w:contextualSpacing/>
        <w:jc w:val="right"/>
        <w:rPr>
          <w:rFonts w:ascii="Arial" w:hAnsi="Arial" w:cs="Arial"/>
        </w:rPr>
      </w:pPr>
      <w:r w:rsidRPr="0044558B">
        <w:rPr>
          <w:rFonts w:ascii="Arial" w:hAnsi="Arial" w:cs="Arial"/>
        </w:rPr>
        <w:t xml:space="preserve">Case no: </w:t>
      </w:r>
      <w:r w:rsidR="008C5A02">
        <w:rPr>
          <w:rFonts w:ascii="Arial" w:hAnsi="Arial" w:cs="Arial"/>
          <w:b/>
        </w:rPr>
        <w:t>16706</w:t>
      </w:r>
      <w:r w:rsidR="00C80F1C">
        <w:rPr>
          <w:rFonts w:ascii="Arial" w:hAnsi="Arial" w:cs="Arial"/>
          <w:b/>
        </w:rPr>
        <w:t>/20</w:t>
      </w:r>
      <w:r w:rsidR="004453CE">
        <w:rPr>
          <w:rFonts w:ascii="Arial" w:hAnsi="Arial" w:cs="Arial"/>
          <w:b/>
        </w:rPr>
        <w:t>22</w:t>
      </w:r>
      <w:r w:rsidRPr="0044558B">
        <w:rPr>
          <w:rFonts w:ascii="Arial" w:hAnsi="Arial" w:cs="Arial"/>
          <w:b/>
        </w:rPr>
        <w:t>P</w:t>
      </w:r>
    </w:p>
    <w:p w14:paraId="3829B549" w14:textId="77777777" w:rsidR="0044558B" w:rsidRPr="0044558B" w:rsidRDefault="0044558B" w:rsidP="0044558B">
      <w:pPr>
        <w:tabs>
          <w:tab w:val="right" w:pos="8789"/>
        </w:tabs>
        <w:spacing w:line="360" w:lineRule="auto"/>
        <w:contextualSpacing/>
        <w:jc w:val="both"/>
        <w:rPr>
          <w:rFonts w:ascii="Arial" w:hAnsi="Arial" w:cs="Arial"/>
        </w:rPr>
      </w:pPr>
      <w:r w:rsidRPr="0044558B">
        <w:rPr>
          <w:rFonts w:ascii="Arial" w:hAnsi="Arial" w:cs="Arial"/>
        </w:rPr>
        <w:t>In the matter between:</w:t>
      </w:r>
    </w:p>
    <w:p w14:paraId="331C7D59" w14:textId="77777777" w:rsidR="0044558B" w:rsidRPr="0044558B" w:rsidRDefault="0044558B" w:rsidP="0044558B">
      <w:pPr>
        <w:tabs>
          <w:tab w:val="right" w:pos="9072"/>
        </w:tabs>
        <w:spacing w:line="360" w:lineRule="auto"/>
        <w:contextualSpacing/>
        <w:jc w:val="both"/>
        <w:rPr>
          <w:rFonts w:ascii="Arial" w:hAnsi="Arial" w:cs="Arial"/>
          <w:b/>
          <w:bCs/>
        </w:rPr>
      </w:pPr>
    </w:p>
    <w:p w14:paraId="67019247" w14:textId="77777777" w:rsidR="0044558B" w:rsidRDefault="008C5A02" w:rsidP="0044558B">
      <w:pPr>
        <w:tabs>
          <w:tab w:val="right" w:pos="9072"/>
        </w:tabs>
        <w:spacing w:line="360" w:lineRule="auto"/>
        <w:contextualSpacing/>
        <w:jc w:val="both"/>
        <w:rPr>
          <w:rFonts w:ascii="Arial" w:hAnsi="Arial" w:cs="Arial"/>
          <w:b/>
          <w:bCs/>
        </w:rPr>
      </w:pPr>
      <w:r>
        <w:rPr>
          <w:rFonts w:ascii="Arial" w:hAnsi="Arial" w:cs="Arial"/>
          <w:b/>
          <w:bCs/>
        </w:rPr>
        <w:t>ISIMANGALISO WETLAND PARK AUTHORITY</w:t>
      </w:r>
      <w:r w:rsidR="0077303E">
        <w:rPr>
          <w:rFonts w:ascii="Arial" w:hAnsi="Arial" w:cs="Arial"/>
          <w:b/>
          <w:bCs/>
        </w:rPr>
        <w:tab/>
      </w:r>
      <w:r w:rsidR="004453CE">
        <w:rPr>
          <w:rFonts w:ascii="Arial" w:hAnsi="Arial" w:cs="Arial"/>
          <w:b/>
          <w:bCs/>
        </w:rPr>
        <w:t>APPLICANT</w:t>
      </w:r>
    </w:p>
    <w:p w14:paraId="42558A8E" w14:textId="77777777" w:rsidR="00746807" w:rsidRDefault="00746807" w:rsidP="0044558B">
      <w:pPr>
        <w:tabs>
          <w:tab w:val="right" w:pos="9072"/>
        </w:tabs>
        <w:spacing w:line="360" w:lineRule="auto"/>
        <w:contextualSpacing/>
        <w:jc w:val="both"/>
        <w:rPr>
          <w:rFonts w:ascii="Arial" w:hAnsi="Arial" w:cs="Arial"/>
          <w:bCs/>
        </w:rPr>
      </w:pPr>
    </w:p>
    <w:p w14:paraId="66B13E7A" w14:textId="77777777" w:rsidR="0044558B" w:rsidRPr="0044558B" w:rsidRDefault="0044558B" w:rsidP="0044558B">
      <w:pPr>
        <w:tabs>
          <w:tab w:val="right" w:pos="9072"/>
        </w:tabs>
        <w:spacing w:line="360" w:lineRule="auto"/>
        <w:contextualSpacing/>
        <w:jc w:val="both"/>
        <w:rPr>
          <w:rFonts w:ascii="Arial" w:hAnsi="Arial" w:cs="Arial"/>
          <w:bCs/>
        </w:rPr>
      </w:pPr>
      <w:r w:rsidRPr="0044558B">
        <w:rPr>
          <w:rFonts w:ascii="Arial" w:hAnsi="Arial" w:cs="Arial"/>
          <w:bCs/>
        </w:rPr>
        <w:t>and</w:t>
      </w:r>
    </w:p>
    <w:p w14:paraId="38B6C6CE" w14:textId="77777777" w:rsidR="0044558B" w:rsidRPr="0044558B" w:rsidRDefault="0044558B" w:rsidP="0044558B">
      <w:pPr>
        <w:tabs>
          <w:tab w:val="right" w:pos="9072"/>
        </w:tabs>
        <w:spacing w:line="360" w:lineRule="auto"/>
        <w:contextualSpacing/>
        <w:jc w:val="both"/>
        <w:rPr>
          <w:rFonts w:ascii="Arial" w:hAnsi="Arial" w:cs="Arial"/>
          <w:b/>
        </w:rPr>
      </w:pPr>
    </w:p>
    <w:p w14:paraId="56F5A9AC" w14:textId="77777777" w:rsidR="004453CE" w:rsidRDefault="008C5A02" w:rsidP="0044558B">
      <w:pPr>
        <w:tabs>
          <w:tab w:val="right" w:pos="9072"/>
        </w:tabs>
        <w:spacing w:line="360" w:lineRule="auto"/>
        <w:contextualSpacing/>
        <w:jc w:val="both"/>
        <w:rPr>
          <w:rFonts w:ascii="Arial" w:hAnsi="Arial" w:cs="Arial"/>
          <w:b/>
        </w:rPr>
      </w:pPr>
      <w:r>
        <w:rPr>
          <w:rFonts w:ascii="Arial" w:hAnsi="Arial" w:cs="Arial"/>
          <w:b/>
        </w:rPr>
        <w:t>SIZO SIBIYA</w:t>
      </w:r>
      <w:r w:rsidR="004453CE">
        <w:rPr>
          <w:rFonts w:ascii="Arial" w:hAnsi="Arial" w:cs="Arial"/>
          <w:b/>
        </w:rPr>
        <w:tab/>
      </w:r>
      <w:r>
        <w:rPr>
          <w:rFonts w:ascii="Arial" w:hAnsi="Arial" w:cs="Arial"/>
          <w:b/>
        </w:rPr>
        <w:t xml:space="preserve">FIRST </w:t>
      </w:r>
      <w:r w:rsidR="004453CE">
        <w:rPr>
          <w:rFonts w:ascii="Arial" w:hAnsi="Arial" w:cs="Arial"/>
          <w:b/>
        </w:rPr>
        <w:t>RESPONDENT</w:t>
      </w:r>
    </w:p>
    <w:p w14:paraId="297B0759" w14:textId="77777777" w:rsidR="009227D6" w:rsidRDefault="008C5A02" w:rsidP="0044558B">
      <w:pPr>
        <w:pBdr>
          <w:bottom w:val="single" w:sz="12" w:space="0" w:color="auto"/>
        </w:pBdr>
        <w:tabs>
          <w:tab w:val="right" w:pos="9026"/>
        </w:tabs>
        <w:spacing w:line="360" w:lineRule="auto"/>
        <w:jc w:val="both"/>
        <w:rPr>
          <w:rFonts w:ascii="Arial" w:hAnsi="Arial" w:cs="Arial"/>
          <w:b/>
          <w:bCs/>
        </w:rPr>
      </w:pPr>
      <w:r>
        <w:rPr>
          <w:rFonts w:ascii="Arial" w:hAnsi="Arial" w:cs="Arial"/>
          <w:b/>
          <w:bCs/>
        </w:rPr>
        <w:t>JABULANI PHUMASILWE NGUBANE</w:t>
      </w:r>
      <w:r>
        <w:rPr>
          <w:rFonts w:ascii="Arial" w:hAnsi="Arial" w:cs="Arial"/>
          <w:b/>
          <w:bCs/>
        </w:rPr>
        <w:tab/>
        <w:t>SECOND RESPONDENT</w:t>
      </w:r>
    </w:p>
    <w:p w14:paraId="6FD5AF54" w14:textId="77777777" w:rsidR="008C5A02" w:rsidRDefault="008C5A02" w:rsidP="0044558B">
      <w:pPr>
        <w:pBdr>
          <w:bottom w:val="single" w:sz="12" w:space="0" w:color="auto"/>
        </w:pBdr>
        <w:tabs>
          <w:tab w:val="right" w:pos="9026"/>
        </w:tabs>
        <w:spacing w:line="360" w:lineRule="auto"/>
        <w:jc w:val="both"/>
        <w:rPr>
          <w:rFonts w:ascii="Arial" w:hAnsi="Arial" w:cs="Arial"/>
          <w:b/>
          <w:bCs/>
        </w:rPr>
      </w:pPr>
      <w:r>
        <w:rPr>
          <w:rFonts w:ascii="Arial" w:hAnsi="Arial" w:cs="Arial"/>
          <w:b/>
          <w:bCs/>
        </w:rPr>
        <w:t>CAIPHUS ERNEST KHUMALO</w:t>
      </w:r>
      <w:r>
        <w:rPr>
          <w:rFonts w:ascii="Arial" w:hAnsi="Arial" w:cs="Arial"/>
          <w:b/>
          <w:bCs/>
        </w:rPr>
        <w:tab/>
        <w:t>THIRD RESPONDENT</w:t>
      </w:r>
    </w:p>
    <w:p w14:paraId="73B42D16" w14:textId="77777777" w:rsidR="008C5A02" w:rsidRDefault="008C5A02" w:rsidP="0044558B">
      <w:pPr>
        <w:pBdr>
          <w:bottom w:val="single" w:sz="12" w:space="0" w:color="auto"/>
        </w:pBdr>
        <w:tabs>
          <w:tab w:val="right" w:pos="9026"/>
        </w:tabs>
        <w:spacing w:line="360" w:lineRule="auto"/>
        <w:jc w:val="both"/>
        <w:rPr>
          <w:rFonts w:ascii="Arial" w:hAnsi="Arial" w:cs="Arial"/>
          <w:b/>
          <w:bCs/>
        </w:rPr>
      </w:pPr>
      <w:r>
        <w:rPr>
          <w:rFonts w:ascii="Arial" w:hAnsi="Arial" w:cs="Arial"/>
          <w:b/>
          <w:bCs/>
        </w:rPr>
        <w:t>SIMANGALISO QHAMUKILE MNTAMBO</w:t>
      </w:r>
      <w:r>
        <w:rPr>
          <w:rFonts w:ascii="Arial" w:hAnsi="Arial" w:cs="Arial"/>
          <w:b/>
          <w:bCs/>
        </w:rPr>
        <w:tab/>
        <w:t>FOURTH RESPONDENT</w:t>
      </w:r>
    </w:p>
    <w:p w14:paraId="6232A3B2" w14:textId="77777777" w:rsidR="008C5A02" w:rsidRPr="0044558B" w:rsidRDefault="008C5A02" w:rsidP="0044558B">
      <w:pPr>
        <w:pBdr>
          <w:bottom w:val="single" w:sz="12" w:space="0" w:color="auto"/>
        </w:pBdr>
        <w:tabs>
          <w:tab w:val="right" w:pos="9026"/>
        </w:tabs>
        <w:spacing w:line="360" w:lineRule="auto"/>
        <w:jc w:val="both"/>
        <w:rPr>
          <w:rFonts w:ascii="Arial" w:hAnsi="Arial" w:cs="Arial"/>
          <w:b/>
          <w:bCs/>
        </w:rPr>
      </w:pPr>
    </w:p>
    <w:p w14:paraId="4BBEC37F" w14:textId="77777777" w:rsidR="0044558B" w:rsidRDefault="0044558B" w:rsidP="0044558B">
      <w:pPr>
        <w:spacing w:line="360" w:lineRule="auto"/>
        <w:jc w:val="both"/>
        <w:rPr>
          <w:rFonts w:ascii="Arial" w:hAnsi="Arial" w:cs="Arial"/>
          <w:bCs/>
        </w:rPr>
      </w:pPr>
    </w:p>
    <w:p w14:paraId="705EC530" w14:textId="77777777" w:rsidR="0044558B" w:rsidRPr="0044558B" w:rsidRDefault="0044558B" w:rsidP="0044558B">
      <w:pPr>
        <w:spacing w:line="360" w:lineRule="auto"/>
        <w:jc w:val="both"/>
        <w:rPr>
          <w:rFonts w:ascii="Arial" w:hAnsi="Arial" w:cs="Arial"/>
          <w:bCs/>
        </w:rPr>
      </w:pPr>
      <w:r w:rsidRPr="007C35F7">
        <w:rPr>
          <w:rFonts w:ascii="Arial" w:hAnsi="Arial" w:cs="Arial"/>
          <w:b/>
        </w:rPr>
        <w:t>Coram</w:t>
      </w:r>
      <w:r w:rsidRPr="0044558B">
        <w:rPr>
          <w:rFonts w:ascii="Arial" w:hAnsi="Arial" w:cs="Arial"/>
          <w:bCs/>
        </w:rPr>
        <w:t>:</w:t>
      </w:r>
      <w:r w:rsidRPr="0044558B">
        <w:rPr>
          <w:rFonts w:ascii="Arial" w:hAnsi="Arial" w:cs="Arial"/>
          <w:bCs/>
        </w:rPr>
        <w:tab/>
        <w:t xml:space="preserve">Mossop J </w:t>
      </w:r>
    </w:p>
    <w:p w14:paraId="7EBFAB69" w14:textId="77777777" w:rsidR="0044558B" w:rsidRPr="0044558B" w:rsidRDefault="0044558B" w:rsidP="0044558B">
      <w:pPr>
        <w:spacing w:line="360" w:lineRule="auto"/>
        <w:jc w:val="both"/>
        <w:rPr>
          <w:rFonts w:ascii="Arial" w:hAnsi="Arial" w:cs="Arial"/>
          <w:bCs/>
        </w:rPr>
      </w:pPr>
      <w:r w:rsidRPr="007C35F7">
        <w:rPr>
          <w:rFonts w:ascii="Arial" w:hAnsi="Arial" w:cs="Arial"/>
          <w:b/>
        </w:rPr>
        <w:t>Heard</w:t>
      </w:r>
      <w:r w:rsidRPr="0044558B">
        <w:rPr>
          <w:rFonts w:ascii="Arial" w:hAnsi="Arial" w:cs="Arial"/>
          <w:bCs/>
        </w:rPr>
        <w:t>:</w:t>
      </w:r>
      <w:r w:rsidRPr="0044558B">
        <w:rPr>
          <w:rFonts w:ascii="Arial" w:hAnsi="Arial" w:cs="Arial"/>
          <w:bCs/>
        </w:rPr>
        <w:tab/>
      </w:r>
      <w:r w:rsidR="004453CE">
        <w:rPr>
          <w:rFonts w:ascii="Arial" w:hAnsi="Arial" w:cs="Arial"/>
          <w:bCs/>
        </w:rPr>
        <w:t>2</w:t>
      </w:r>
      <w:r w:rsidR="0099233C">
        <w:rPr>
          <w:rFonts w:ascii="Arial" w:hAnsi="Arial" w:cs="Arial"/>
          <w:bCs/>
        </w:rPr>
        <w:t>2</w:t>
      </w:r>
      <w:r w:rsidR="004453CE">
        <w:rPr>
          <w:rFonts w:ascii="Arial" w:hAnsi="Arial" w:cs="Arial"/>
          <w:bCs/>
        </w:rPr>
        <w:t xml:space="preserve"> January</w:t>
      </w:r>
      <w:r w:rsidRPr="0044558B">
        <w:rPr>
          <w:rFonts w:ascii="Arial" w:hAnsi="Arial" w:cs="Arial"/>
          <w:bCs/>
        </w:rPr>
        <w:t xml:space="preserve"> 202</w:t>
      </w:r>
      <w:r w:rsidR="004453CE">
        <w:rPr>
          <w:rFonts w:ascii="Arial" w:hAnsi="Arial" w:cs="Arial"/>
          <w:bCs/>
        </w:rPr>
        <w:t>4</w:t>
      </w:r>
    </w:p>
    <w:p w14:paraId="1A1FC76B" w14:textId="77777777" w:rsidR="0044558B" w:rsidRDefault="0044558B" w:rsidP="0044558B">
      <w:pPr>
        <w:pBdr>
          <w:bottom w:val="single" w:sz="12" w:space="1" w:color="auto"/>
        </w:pBdr>
        <w:spacing w:line="360" w:lineRule="auto"/>
        <w:jc w:val="both"/>
        <w:rPr>
          <w:rFonts w:ascii="Arial" w:hAnsi="Arial" w:cs="Arial"/>
          <w:bCs/>
        </w:rPr>
      </w:pPr>
      <w:r w:rsidRPr="007C35F7">
        <w:rPr>
          <w:rFonts w:ascii="Arial" w:hAnsi="Arial" w:cs="Arial"/>
          <w:b/>
        </w:rPr>
        <w:t>Delivered</w:t>
      </w:r>
      <w:r w:rsidRPr="0044558B">
        <w:rPr>
          <w:rFonts w:ascii="Arial" w:hAnsi="Arial" w:cs="Arial"/>
          <w:bCs/>
        </w:rPr>
        <w:t>:</w:t>
      </w:r>
      <w:r w:rsidRPr="0044558B">
        <w:rPr>
          <w:rFonts w:ascii="Arial" w:hAnsi="Arial" w:cs="Arial"/>
          <w:bCs/>
        </w:rPr>
        <w:tab/>
      </w:r>
      <w:r w:rsidR="00E32DDE">
        <w:rPr>
          <w:rFonts w:ascii="Arial" w:hAnsi="Arial" w:cs="Arial"/>
          <w:bCs/>
        </w:rPr>
        <w:t xml:space="preserve">30 </w:t>
      </w:r>
      <w:r w:rsidR="004453CE">
        <w:rPr>
          <w:rFonts w:ascii="Arial" w:hAnsi="Arial" w:cs="Arial"/>
          <w:bCs/>
        </w:rPr>
        <w:t>January</w:t>
      </w:r>
      <w:r w:rsidRPr="0044558B">
        <w:rPr>
          <w:rFonts w:ascii="Arial" w:hAnsi="Arial" w:cs="Arial"/>
          <w:bCs/>
        </w:rPr>
        <w:t xml:space="preserve"> 202</w:t>
      </w:r>
      <w:r w:rsidR="004453CE">
        <w:rPr>
          <w:rFonts w:ascii="Arial" w:hAnsi="Arial" w:cs="Arial"/>
          <w:bCs/>
        </w:rPr>
        <w:t>4</w:t>
      </w:r>
    </w:p>
    <w:p w14:paraId="5032197B" w14:textId="77777777" w:rsidR="0044558B" w:rsidRPr="0044558B" w:rsidRDefault="0044558B" w:rsidP="0044558B">
      <w:pPr>
        <w:pBdr>
          <w:bottom w:val="single" w:sz="12" w:space="1" w:color="auto"/>
        </w:pBdr>
        <w:jc w:val="both"/>
        <w:rPr>
          <w:rFonts w:ascii="Arial" w:hAnsi="Arial" w:cs="Arial"/>
          <w:bCs/>
        </w:rPr>
      </w:pPr>
    </w:p>
    <w:p w14:paraId="2D0853B5" w14:textId="77777777" w:rsidR="0044558B" w:rsidRPr="0044558B" w:rsidRDefault="0044558B" w:rsidP="0044558B">
      <w:pPr>
        <w:rPr>
          <w:rFonts w:ascii="Arial" w:hAnsi="Arial" w:cs="Arial"/>
        </w:rPr>
      </w:pPr>
    </w:p>
    <w:p w14:paraId="3380204B" w14:textId="77777777" w:rsidR="0044558B" w:rsidRPr="0044558B" w:rsidRDefault="0044558B" w:rsidP="0044558B">
      <w:pPr>
        <w:jc w:val="center"/>
        <w:rPr>
          <w:rFonts w:ascii="Arial" w:hAnsi="Arial" w:cs="Arial"/>
          <w:b/>
        </w:rPr>
      </w:pPr>
      <w:r w:rsidRPr="0044558B">
        <w:rPr>
          <w:rFonts w:ascii="Arial" w:hAnsi="Arial" w:cs="Arial"/>
          <w:b/>
        </w:rPr>
        <w:t>ORDER</w:t>
      </w:r>
    </w:p>
    <w:p w14:paraId="5563B968" w14:textId="77777777" w:rsidR="0044558B" w:rsidRPr="0044558B" w:rsidRDefault="0044558B" w:rsidP="0044558B">
      <w:pPr>
        <w:pBdr>
          <w:bottom w:val="single" w:sz="12" w:space="1" w:color="auto"/>
        </w:pBdr>
        <w:jc w:val="both"/>
        <w:rPr>
          <w:rFonts w:ascii="Arial" w:hAnsi="Arial" w:cs="Arial"/>
          <w:bCs/>
        </w:rPr>
      </w:pPr>
    </w:p>
    <w:p w14:paraId="6DCCB4A7" w14:textId="77777777" w:rsidR="0099233C" w:rsidRDefault="0099233C" w:rsidP="0067373E">
      <w:pPr>
        <w:spacing w:line="360" w:lineRule="auto"/>
        <w:jc w:val="both"/>
        <w:rPr>
          <w:rFonts w:ascii="Arial" w:hAnsi="Arial" w:cs="Arial"/>
          <w:b/>
        </w:rPr>
      </w:pPr>
    </w:p>
    <w:p w14:paraId="613B5DC2" w14:textId="77777777" w:rsidR="0067373E" w:rsidRDefault="009E24C1" w:rsidP="0067373E">
      <w:pPr>
        <w:spacing w:line="360" w:lineRule="auto"/>
        <w:jc w:val="both"/>
        <w:rPr>
          <w:rFonts w:ascii="Arial" w:hAnsi="Arial" w:cs="Arial"/>
          <w:bCs/>
        </w:rPr>
      </w:pPr>
      <w:r w:rsidRPr="009E24C1">
        <w:rPr>
          <w:rFonts w:ascii="Arial" w:hAnsi="Arial" w:cs="Arial"/>
          <w:b/>
        </w:rPr>
        <w:t>The following order is granted</w:t>
      </w:r>
      <w:r>
        <w:rPr>
          <w:rFonts w:ascii="Arial" w:hAnsi="Arial" w:cs="Arial"/>
          <w:bCs/>
        </w:rPr>
        <w:t>:</w:t>
      </w:r>
    </w:p>
    <w:p w14:paraId="3D88B551" w14:textId="77777777" w:rsidR="001A237F" w:rsidRDefault="001A237F" w:rsidP="001A237F">
      <w:pPr>
        <w:pStyle w:val="ListParagraph"/>
        <w:tabs>
          <w:tab w:val="left" w:pos="709"/>
        </w:tabs>
        <w:spacing w:line="360" w:lineRule="auto"/>
        <w:ind w:left="0"/>
        <w:jc w:val="both"/>
        <w:rPr>
          <w:rFonts w:asciiTheme="minorBidi" w:hAnsiTheme="minorBidi" w:cstheme="minorBidi"/>
          <w:color w:val="242121"/>
          <w:lang w:val="en-GB"/>
        </w:rPr>
      </w:pPr>
      <w:r>
        <w:rPr>
          <w:rFonts w:asciiTheme="minorBidi" w:hAnsiTheme="minorBidi" w:cstheme="minorBidi"/>
          <w:color w:val="242121"/>
          <w:lang w:val="en-GB"/>
        </w:rPr>
        <w:t>The application is dismissed with costs.</w:t>
      </w:r>
    </w:p>
    <w:p w14:paraId="40A0B619" w14:textId="77777777" w:rsidR="001A237F" w:rsidRDefault="001A237F" w:rsidP="001A237F">
      <w:pPr>
        <w:pStyle w:val="ListParagraph"/>
        <w:tabs>
          <w:tab w:val="left" w:pos="709"/>
        </w:tabs>
        <w:spacing w:line="360" w:lineRule="auto"/>
        <w:ind w:left="0"/>
        <w:jc w:val="both"/>
        <w:rPr>
          <w:rFonts w:asciiTheme="minorBidi" w:hAnsiTheme="minorBidi" w:cstheme="minorBidi"/>
          <w:color w:val="242121"/>
          <w:lang w:val="en-GB"/>
        </w:rPr>
      </w:pPr>
    </w:p>
    <w:p w14:paraId="7076B678" w14:textId="77777777" w:rsidR="001A237F" w:rsidRDefault="001A237F" w:rsidP="001A237F">
      <w:pPr>
        <w:pStyle w:val="ListParagraph"/>
        <w:tabs>
          <w:tab w:val="left" w:pos="709"/>
        </w:tabs>
        <w:spacing w:line="360" w:lineRule="auto"/>
        <w:ind w:left="0"/>
        <w:jc w:val="both"/>
        <w:rPr>
          <w:rFonts w:asciiTheme="minorBidi" w:hAnsiTheme="minorBidi" w:cstheme="minorBidi"/>
          <w:color w:val="242121"/>
          <w:lang w:val="en-GB"/>
        </w:rPr>
      </w:pPr>
    </w:p>
    <w:p w14:paraId="15430E2F" w14:textId="77777777" w:rsidR="001A237F" w:rsidRPr="001A237F" w:rsidRDefault="001A237F" w:rsidP="001A237F">
      <w:pPr>
        <w:pStyle w:val="ListParagraph"/>
        <w:tabs>
          <w:tab w:val="left" w:pos="709"/>
        </w:tabs>
        <w:spacing w:line="360" w:lineRule="auto"/>
        <w:ind w:left="0"/>
        <w:jc w:val="both"/>
      </w:pPr>
    </w:p>
    <w:p w14:paraId="4883ECD4" w14:textId="77777777" w:rsidR="0044558B" w:rsidRPr="0044558B" w:rsidRDefault="0044558B" w:rsidP="0044558B">
      <w:pPr>
        <w:pBdr>
          <w:bottom w:val="single" w:sz="12" w:space="1" w:color="auto"/>
        </w:pBdr>
        <w:jc w:val="both"/>
        <w:rPr>
          <w:rFonts w:ascii="Arial" w:hAnsi="Arial" w:cs="Arial"/>
          <w:bCs/>
        </w:rPr>
      </w:pPr>
    </w:p>
    <w:p w14:paraId="08214CFF" w14:textId="77777777" w:rsidR="0044558B" w:rsidRPr="0044558B" w:rsidRDefault="0044558B" w:rsidP="0044558B">
      <w:pPr>
        <w:rPr>
          <w:rFonts w:ascii="Arial" w:hAnsi="Arial" w:cs="Arial"/>
        </w:rPr>
      </w:pPr>
    </w:p>
    <w:p w14:paraId="00938D29" w14:textId="77777777" w:rsidR="0044558B" w:rsidRPr="0044558B" w:rsidRDefault="0044558B" w:rsidP="0044558B">
      <w:pPr>
        <w:jc w:val="center"/>
        <w:rPr>
          <w:rFonts w:ascii="Arial" w:hAnsi="Arial" w:cs="Arial"/>
          <w:b/>
        </w:rPr>
      </w:pPr>
      <w:r>
        <w:rPr>
          <w:rFonts w:ascii="Arial" w:hAnsi="Arial" w:cs="Arial"/>
          <w:b/>
        </w:rPr>
        <w:t>JUDGMENT</w:t>
      </w:r>
    </w:p>
    <w:p w14:paraId="379B0C0D" w14:textId="77777777" w:rsidR="0044558B" w:rsidRPr="0044558B" w:rsidRDefault="0044558B" w:rsidP="0044558B">
      <w:pPr>
        <w:pBdr>
          <w:bottom w:val="single" w:sz="12" w:space="1" w:color="auto"/>
        </w:pBdr>
        <w:jc w:val="both"/>
        <w:rPr>
          <w:rFonts w:ascii="Arial" w:hAnsi="Arial" w:cs="Arial"/>
          <w:bCs/>
        </w:rPr>
      </w:pPr>
    </w:p>
    <w:p w14:paraId="522A245E" w14:textId="77777777" w:rsidR="0044558B" w:rsidRDefault="0044558B" w:rsidP="0044558B">
      <w:pPr>
        <w:pStyle w:val="ListParagraph"/>
        <w:spacing w:line="360" w:lineRule="auto"/>
        <w:ind w:left="0"/>
        <w:jc w:val="both"/>
        <w:rPr>
          <w:rFonts w:ascii="Arial" w:hAnsi="Arial" w:cs="Arial"/>
          <w:bCs/>
        </w:rPr>
      </w:pPr>
    </w:p>
    <w:p w14:paraId="35C200B1" w14:textId="77777777" w:rsidR="0044558B" w:rsidRDefault="0044558B" w:rsidP="004D4472">
      <w:pPr>
        <w:pStyle w:val="ListParagraph"/>
        <w:spacing w:line="360" w:lineRule="auto"/>
        <w:ind w:left="0"/>
        <w:jc w:val="both"/>
        <w:rPr>
          <w:rFonts w:ascii="Arial" w:hAnsi="Arial" w:cs="Arial"/>
          <w:bCs/>
        </w:rPr>
      </w:pPr>
      <w:r w:rsidRPr="0044558B">
        <w:rPr>
          <w:rFonts w:ascii="Arial" w:hAnsi="Arial" w:cs="Arial"/>
          <w:b/>
          <w:bCs/>
        </w:rPr>
        <w:t>MOSSOP J</w:t>
      </w:r>
      <w:r>
        <w:rPr>
          <w:rFonts w:ascii="Arial" w:hAnsi="Arial" w:cs="Arial"/>
          <w:bCs/>
        </w:rPr>
        <w:t>:</w:t>
      </w:r>
    </w:p>
    <w:p w14:paraId="6EA15845" w14:textId="77777777" w:rsidR="00E24440" w:rsidRDefault="00E24440" w:rsidP="004D4472">
      <w:pPr>
        <w:pStyle w:val="ListParagraph"/>
        <w:spacing w:line="360" w:lineRule="auto"/>
        <w:ind w:left="0"/>
        <w:jc w:val="both"/>
        <w:rPr>
          <w:rFonts w:ascii="Arial" w:hAnsi="Arial" w:cs="Arial"/>
          <w:bCs/>
        </w:rPr>
      </w:pPr>
    </w:p>
    <w:p w14:paraId="3EC44454" w14:textId="77777777" w:rsidR="00A077B5" w:rsidRPr="00A077B5" w:rsidRDefault="0074208F" w:rsidP="001B73F1">
      <w:pPr>
        <w:pStyle w:val="ListParagraph"/>
        <w:numPr>
          <w:ilvl w:val="0"/>
          <w:numId w:val="8"/>
        </w:numPr>
        <w:tabs>
          <w:tab w:val="left" w:pos="709"/>
        </w:tabs>
        <w:spacing w:line="360" w:lineRule="auto"/>
        <w:ind w:left="0" w:firstLine="0"/>
        <w:jc w:val="both"/>
      </w:pPr>
      <w:r w:rsidRPr="008D2359">
        <w:rPr>
          <w:rFonts w:ascii="Arial" w:hAnsi="Arial" w:cs="Arial"/>
          <w:bCs/>
        </w:rPr>
        <w:t xml:space="preserve">The Isimangaliso Wetland Park </w:t>
      </w:r>
      <w:r w:rsidR="00BB30F0" w:rsidRPr="008D2359">
        <w:rPr>
          <w:rFonts w:ascii="Arial" w:hAnsi="Arial" w:cs="Arial"/>
          <w:bCs/>
        </w:rPr>
        <w:t xml:space="preserve">in Zululand </w:t>
      </w:r>
      <w:r w:rsidRPr="008D2359">
        <w:rPr>
          <w:rFonts w:ascii="Arial" w:hAnsi="Arial" w:cs="Arial"/>
          <w:bCs/>
        </w:rPr>
        <w:t>is one of this country’s most beautiful natural parks, rich in its biodiversity and unique in the ecosystems that it supports.</w:t>
      </w:r>
      <w:r w:rsidRPr="008D2359">
        <w:rPr>
          <w:rFonts w:ascii="Arial" w:hAnsi="Arial" w:cs="Arial"/>
          <w:color w:val="202122"/>
          <w:shd w:val="clear" w:color="auto" w:fill="FFFFFF"/>
        </w:rPr>
        <w:t xml:space="preserve"> It is, indeed, deserving of its name</w:t>
      </w:r>
      <w:r w:rsidR="00BB30F0" w:rsidRPr="008D2359">
        <w:rPr>
          <w:rFonts w:ascii="Arial" w:hAnsi="Arial" w:cs="Arial"/>
          <w:color w:val="202122"/>
          <w:shd w:val="clear" w:color="auto" w:fill="FFFFFF"/>
        </w:rPr>
        <w:t>,</w:t>
      </w:r>
      <w:r w:rsidRPr="008D2359">
        <w:rPr>
          <w:rFonts w:ascii="Arial" w:hAnsi="Arial" w:cs="Arial"/>
          <w:color w:val="202122"/>
          <w:shd w:val="clear" w:color="auto" w:fill="FFFFFF"/>
        </w:rPr>
        <w:t xml:space="preserve"> for</w:t>
      </w:r>
      <w:r w:rsidRPr="008D2359">
        <w:rPr>
          <w:rStyle w:val="apple-converted-space"/>
          <w:rFonts w:ascii="Arial" w:hAnsi="Arial" w:cs="Arial"/>
          <w:color w:val="202122"/>
          <w:shd w:val="clear" w:color="auto" w:fill="FFFFFF"/>
        </w:rPr>
        <w:t> </w:t>
      </w:r>
      <w:r w:rsidRPr="008D2359">
        <w:rPr>
          <w:rFonts w:ascii="Arial" w:hAnsi="Arial" w:cs="Arial"/>
          <w:i/>
          <w:iCs/>
          <w:color w:val="202122"/>
        </w:rPr>
        <w:t>isimangaliso</w:t>
      </w:r>
      <w:r w:rsidRPr="008D2359">
        <w:rPr>
          <w:rStyle w:val="apple-converted-space"/>
          <w:rFonts w:ascii="Arial" w:hAnsi="Arial" w:cs="Arial"/>
          <w:color w:val="202122"/>
          <w:shd w:val="clear" w:color="auto" w:fill="FFFFFF"/>
        </w:rPr>
        <w:t> </w:t>
      </w:r>
      <w:r w:rsidRPr="008D2359">
        <w:rPr>
          <w:rFonts w:ascii="Arial" w:hAnsi="Arial" w:cs="Arial"/>
          <w:color w:val="202122"/>
          <w:shd w:val="clear" w:color="auto" w:fill="FFFFFF"/>
        </w:rPr>
        <w:t>means ‘a miracle’ in</w:t>
      </w:r>
      <w:r w:rsidR="00BB30F0" w:rsidRPr="008D2359">
        <w:rPr>
          <w:rFonts w:ascii="Arial" w:hAnsi="Arial" w:cs="Arial"/>
          <w:color w:val="202122"/>
          <w:shd w:val="clear" w:color="auto" w:fill="FFFFFF"/>
        </w:rPr>
        <w:t xml:space="preserve"> </w:t>
      </w:r>
      <w:r w:rsidRPr="008D2359">
        <w:rPr>
          <w:rFonts w:ascii="Arial" w:hAnsi="Arial" w:cs="Arial"/>
          <w:color w:val="202122"/>
          <w:shd w:val="clear" w:color="auto" w:fill="FFFFFF"/>
        </w:rPr>
        <w:t>isiZulu</w:t>
      </w:r>
      <w:r w:rsidR="00BB30F0" w:rsidRPr="008D2359">
        <w:rPr>
          <w:rFonts w:ascii="Arial" w:hAnsi="Arial" w:cs="Arial"/>
          <w:color w:val="202122"/>
          <w:shd w:val="clear" w:color="auto" w:fill="FFFFFF"/>
        </w:rPr>
        <w:t>.</w:t>
      </w:r>
      <w:r w:rsidR="00A077B5">
        <w:rPr>
          <w:rStyle w:val="FootnoteReference"/>
          <w:rFonts w:ascii="Arial" w:hAnsi="Arial" w:cs="Arial"/>
          <w:color w:val="202122"/>
          <w:shd w:val="clear" w:color="auto" w:fill="FFFFFF"/>
        </w:rPr>
        <w:footnoteReference w:id="1"/>
      </w:r>
      <w:r w:rsidR="00BB30F0" w:rsidRPr="008D2359">
        <w:rPr>
          <w:rFonts w:ascii="Arial" w:hAnsi="Arial" w:cs="Arial"/>
          <w:color w:val="202122"/>
          <w:shd w:val="clear" w:color="auto" w:fill="FFFFFF"/>
        </w:rPr>
        <w:t xml:space="preserve"> </w:t>
      </w:r>
    </w:p>
    <w:p w14:paraId="0A7E2EB3" w14:textId="77777777" w:rsidR="00A077B5" w:rsidRPr="00A077B5" w:rsidRDefault="00A077B5" w:rsidP="00A077B5">
      <w:pPr>
        <w:pStyle w:val="ListParagraph"/>
        <w:tabs>
          <w:tab w:val="left" w:pos="709"/>
        </w:tabs>
        <w:spacing w:line="360" w:lineRule="auto"/>
        <w:ind w:left="0"/>
        <w:jc w:val="both"/>
      </w:pPr>
    </w:p>
    <w:p w14:paraId="25D236E3" w14:textId="77777777" w:rsidR="00BB30F0" w:rsidRPr="008D2359" w:rsidRDefault="003D3DC3" w:rsidP="001B73F1">
      <w:pPr>
        <w:pStyle w:val="ListParagraph"/>
        <w:numPr>
          <w:ilvl w:val="0"/>
          <w:numId w:val="8"/>
        </w:numPr>
        <w:tabs>
          <w:tab w:val="left" w:pos="709"/>
        </w:tabs>
        <w:spacing w:line="360" w:lineRule="auto"/>
        <w:ind w:left="0" w:firstLine="0"/>
        <w:jc w:val="both"/>
      </w:pPr>
      <w:r w:rsidRPr="008D2359">
        <w:rPr>
          <w:rFonts w:ascii="Arial" w:hAnsi="Arial" w:cs="Arial"/>
          <w:bCs/>
        </w:rPr>
        <w:t xml:space="preserve">The </w:t>
      </w:r>
      <w:r w:rsidR="00E42906" w:rsidRPr="008D2359">
        <w:rPr>
          <w:rFonts w:ascii="Arial" w:hAnsi="Arial" w:cs="Arial"/>
          <w:bCs/>
        </w:rPr>
        <w:t>applicant</w:t>
      </w:r>
      <w:r w:rsidR="00A077B5">
        <w:rPr>
          <w:rFonts w:ascii="Arial" w:hAnsi="Arial" w:cs="Arial"/>
          <w:bCs/>
        </w:rPr>
        <w:t xml:space="preserve"> </w:t>
      </w:r>
      <w:r w:rsidR="00E42906" w:rsidRPr="008D2359">
        <w:rPr>
          <w:rFonts w:ascii="Arial" w:hAnsi="Arial" w:cs="Arial"/>
          <w:bCs/>
        </w:rPr>
        <w:t xml:space="preserve">is an organ of </w:t>
      </w:r>
      <w:r w:rsidR="00A077B5">
        <w:rPr>
          <w:rFonts w:ascii="Arial" w:hAnsi="Arial" w:cs="Arial"/>
          <w:bCs/>
        </w:rPr>
        <w:t>S</w:t>
      </w:r>
      <w:r w:rsidR="00E42906" w:rsidRPr="008D2359">
        <w:rPr>
          <w:rFonts w:ascii="Arial" w:hAnsi="Arial" w:cs="Arial"/>
          <w:bCs/>
        </w:rPr>
        <w:t>tate established to manage and control th</w:t>
      </w:r>
      <w:r w:rsidR="00BB30F0" w:rsidRPr="008D2359">
        <w:rPr>
          <w:rFonts w:ascii="Arial" w:hAnsi="Arial" w:cs="Arial"/>
          <w:bCs/>
        </w:rPr>
        <w:t>is natural jewel, which is</w:t>
      </w:r>
      <w:r w:rsidR="00E42906" w:rsidRPr="008D2359">
        <w:rPr>
          <w:rFonts w:ascii="Arial" w:hAnsi="Arial" w:cs="Arial"/>
          <w:bCs/>
        </w:rPr>
        <w:t xml:space="preserve"> a </w:t>
      </w:r>
      <w:r w:rsidR="00BB30F0" w:rsidRPr="008D2359">
        <w:rPr>
          <w:rFonts w:ascii="Arial" w:hAnsi="Arial" w:cs="Arial"/>
          <w:bCs/>
        </w:rPr>
        <w:t>W</w:t>
      </w:r>
      <w:r w:rsidR="00E42906" w:rsidRPr="008D2359">
        <w:rPr>
          <w:rFonts w:ascii="Arial" w:hAnsi="Arial" w:cs="Arial"/>
          <w:bCs/>
        </w:rPr>
        <w:t xml:space="preserve">orld </w:t>
      </w:r>
      <w:r w:rsidR="00BB30F0" w:rsidRPr="008D2359">
        <w:rPr>
          <w:rFonts w:ascii="Arial" w:hAnsi="Arial" w:cs="Arial"/>
          <w:bCs/>
        </w:rPr>
        <w:t>H</w:t>
      </w:r>
      <w:r w:rsidR="00E42906" w:rsidRPr="008D2359">
        <w:rPr>
          <w:rFonts w:ascii="Arial" w:hAnsi="Arial" w:cs="Arial"/>
          <w:bCs/>
        </w:rPr>
        <w:t xml:space="preserve">eritage site. The four respondents are employees of the </w:t>
      </w:r>
      <w:r w:rsidR="00BB30F0" w:rsidRPr="008D2359">
        <w:rPr>
          <w:rFonts w:ascii="Arial" w:hAnsi="Arial" w:cs="Arial"/>
          <w:bCs/>
        </w:rPr>
        <w:t xml:space="preserve">applicant. </w:t>
      </w:r>
      <w:r w:rsidR="00681310" w:rsidRPr="008D2359">
        <w:rPr>
          <w:rFonts w:ascii="Arial" w:hAnsi="Arial" w:cs="Arial"/>
          <w:bCs/>
        </w:rPr>
        <w:t>Each of the respondents</w:t>
      </w:r>
      <w:r w:rsidR="00E42906" w:rsidRPr="008D2359">
        <w:rPr>
          <w:rFonts w:ascii="Arial" w:hAnsi="Arial" w:cs="Arial"/>
          <w:bCs/>
        </w:rPr>
        <w:t xml:space="preserve"> were </w:t>
      </w:r>
      <w:r w:rsidR="00681310" w:rsidRPr="008D2359">
        <w:rPr>
          <w:rFonts w:ascii="Arial" w:hAnsi="Arial" w:cs="Arial"/>
          <w:bCs/>
        </w:rPr>
        <w:t>initially</w:t>
      </w:r>
      <w:r w:rsidR="00E42906" w:rsidRPr="008D2359">
        <w:rPr>
          <w:rFonts w:ascii="Arial" w:hAnsi="Arial" w:cs="Arial"/>
          <w:bCs/>
        </w:rPr>
        <w:t xml:space="preserve"> employed by the applicant </w:t>
      </w:r>
      <w:r w:rsidR="006E2F11" w:rsidRPr="008D2359">
        <w:rPr>
          <w:rFonts w:ascii="Arial" w:hAnsi="Arial" w:cs="Arial"/>
          <w:bCs/>
        </w:rPr>
        <w:t xml:space="preserve">on </w:t>
      </w:r>
      <w:r w:rsidR="00681310" w:rsidRPr="008D2359">
        <w:rPr>
          <w:rFonts w:ascii="Arial" w:hAnsi="Arial" w:cs="Arial"/>
          <w:bCs/>
        </w:rPr>
        <w:t xml:space="preserve">a </w:t>
      </w:r>
      <w:r w:rsidR="006E2F11" w:rsidRPr="008D2359">
        <w:rPr>
          <w:rFonts w:ascii="Arial" w:hAnsi="Arial" w:cs="Arial"/>
          <w:bCs/>
        </w:rPr>
        <w:t>fixed term contract</w:t>
      </w:r>
      <w:r w:rsidR="00681310" w:rsidRPr="008D2359">
        <w:rPr>
          <w:rFonts w:ascii="Arial" w:hAnsi="Arial" w:cs="Arial"/>
          <w:bCs/>
        </w:rPr>
        <w:t>.</w:t>
      </w:r>
      <w:r w:rsidR="000233C9">
        <w:rPr>
          <w:rStyle w:val="FootnoteReference"/>
          <w:rFonts w:ascii="Arial" w:hAnsi="Arial" w:cs="Arial"/>
          <w:bCs/>
        </w:rPr>
        <w:footnoteReference w:id="2"/>
      </w:r>
      <w:r w:rsidR="00681310" w:rsidRPr="008D2359">
        <w:rPr>
          <w:rFonts w:ascii="Arial" w:hAnsi="Arial" w:cs="Arial"/>
          <w:bCs/>
        </w:rPr>
        <w:t xml:space="preserve"> A</w:t>
      </w:r>
      <w:r w:rsidR="00BB30F0" w:rsidRPr="008D2359">
        <w:rPr>
          <w:rFonts w:ascii="Arial" w:hAnsi="Arial" w:cs="Arial"/>
          <w:bCs/>
        </w:rPr>
        <w:t xml:space="preserve">t some stage </w:t>
      </w:r>
      <w:r w:rsidR="006E2F11" w:rsidRPr="008D2359">
        <w:rPr>
          <w:rFonts w:ascii="Arial" w:hAnsi="Arial" w:cs="Arial"/>
          <w:bCs/>
        </w:rPr>
        <w:t>during 2018</w:t>
      </w:r>
      <w:r w:rsidR="00681310" w:rsidRPr="008D2359">
        <w:rPr>
          <w:rFonts w:ascii="Arial" w:hAnsi="Arial" w:cs="Arial"/>
          <w:bCs/>
        </w:rPr>
        <w:t xml:space="preserve">, and the applicant cannot be more specific </w:t>
      </w:r>
      <w:r w:rsidR="00646E48">
        <w:rPr>
          <w:rFonts w:ascii="Arial" w:hAnsi="Arial" w:cs="Arial"/>
          <w:bCs/>
        </w:rPr>
        <w:t>than to state the year</w:t>
      </w:r>
      <w:r w:rsidR="00104035">
        <w:rPr>
          <w:rFonts w:ascii="Arial" w:hAnsi="Arial" w:cs="Arial"/>
          <w:bCs/>
        </w:rPr>
        <w:t>,</w:t>
      </w:r>
      <w:r w:rsidR="00681310" w:rsidRPr="008D2359">
        <w:rPr>
          <w:rFonts w:ascii="Arial" w:hAnsi="Arial" w:cs="Arial"/>
          <w:bCs/>
        </w:rPr>
        <w:t xml:space="preserve"> </w:t>
      </w:r>
      <w:r w:rsidR="00F24604" w:rsidRPr="008D2359">
        <w:rPr>
          <w:rFonts w:ascii="Arial" w:hAnsi="Arial" w:cs="Arial"/>
          <w:bCs/>
        </w:rPr>
        <w:t xml:space="preserve">a decision was </w:t>
      </w:r>
      <w:r w:rsidR="00B2773E">
        <w:rPr>
          <w:rFonts w:ascii="Arial" w:hAnsi="Arial" w:cs="Arial"/>
          <w:bCs/>
        </w:rPr>
        <w:t xml:space="preserve">apparently </w:t>
      </w:r>
      <w:r w:rsidR="00F24604" w:rsidRPr="008D2359">
        <w:rPr>
          <w:rFonts w:ascii="Arial" w:hAnsi="Arial" w:cs="Arial"/>
          <w:bCs/>
        </w:rPr>
        <w:t xml:space="preserve">taken by the </w:t>
      </w:r>
      <w:r w:rsidR="00104035">
        <w:rPr>
          <w:rFonts w:ascii="Arial" w:hAnsi="Arial" w:cs="Arial"/>
          <w:bCs/>
        </w:rPr>
        <w:t xml:space="preserve">applicant’s </w:t>
      </w:r>
      <w:r w:rsidR="00F24604" w:rsidRPr="008D2359">
        <w:rPr>
          <w:rFonts w:ascii="Arial" w:hAnsi="Arial" w:cs="Arial"/>
          <w:bCs/>
        </w:rPr>
        <w:t xml:space="preserve">Board of </w:t>
      </w:r>
      <w:r w:rsidR="00174C9A">
        <w:rPr>
          <w:rFonts w:ascii="Arial" w:hAnsi="Arial" w:cs="Arial"/>
          <w:bCs/>
        </w:rPr>
        <w:t xml:space="preserve">Directors </w:t>
      </w:r>
      <w:r w:rsidR="00F24604" w:rsidRPr="008D2359">
        <w:rPr>
          <w:rFonts w:ascii="Arial" w:hAnsi="Arial" w:cs="Arial"/>
          <w:bCs/>
        </w:rPr>
        <w:t>(the Board) that the fixed term contracts of members of the applicant’s Executive Staff Component (ESC)</w:t>
      </w:r>
      <w:r w:rsidR="000233C9">
        <w:rPr>
          <w:rStyle w:val="FootnoteReference"/>
          <w:rFonts w:ascii="Arial" w:hAnsi="Arial" w:cs="Arial"/>
          <w:bCs/>
        </w:rPr>
        <w:footnoteReference w:id="3"/>
      </w:r>
      <w:r w:rsidR="00F24604" w:rsidRPr="008D2359">
        <w:rPr>
          <w:rFonts w:ascii="Arial" w:hAnsi="Arial" w:cs="Arial"/>
          <w:bCs/>
        </w:rPr>
        <w:t xml:space="preserve"> should be converted to contracts of permanent employment</w:t>
      </w:r>
      <w:r w:rsidR="00B2773E">
        <w:rPr>
          <w:rFonts w:ascii="Arial" w:hAnsi="Arial" w:cs="Arial"/>
          <w:bCs/>
        </w:rPr>
        <w:t xml:space="preserve">. </w:t>
      </w:r>
      <w:r w:rsidR="00163A54">
        <w:rPr>
          <w:rFonts w:ascii="Arial" w:hAnsi="Arial" w:cs="Arial"/>
          <w:bCs/>
        </w:rPr>
        <w:t>The applicant has described this decision as ‘the impugned decision’ in its founding affidavit and I shall do likewise.</w:t>
      </w:r>
      <w:r w:rsidR="00F24604" w:rsidRPr="008D2359">
        <w:rPr>
          <w:rFonts w:ascii="Arial" w:hAnsi="Arial" w:cs="Arial"/>
          <w:bCs/>
        </w:rPr>
        <w:t xml:space="preserve"> As a consequence, the first respondent’s fixed term contract</w:t>
      </w:r>
      <w:r w:rsidR="008D2359" w:rsidRPr="008D2359">
        <w:rPr>
          <w:rFonts w:ascii="Arial" w:hAnsi="Arial" w:cs="Arial"/>
          <w:bCs/>
        </w:rPr>
        <w:t xml:space="preserve"> </w:t>
      </w:r>
      <w:r w:rsidR="00B2773E">
        <w:rPr>
          <w:rFonts w:ascii="Arial" w:hAnsi="Arial" w:cs="Arial"/>
          <w:bCs/>
        </w:rPr>
        <w:t xml:space="preserve">of employment </w:t>
      </w:r>
      <w:r w:rsidR="008D2359" w:rsidRPr="008D2359">
        <w:rPr>
          <w:rFonts w:ascii="Arial" w:hAnsi="Arial" w:cs="Arial"/>
          <w:bCs/>
        </w:rPr>
        <w:t xml:space="preserve">was converted to </w:t>
      </w:r>
      <w:r w:rsidR="008D2359">
        <w:rPr>
          <w:rFonts w:ascii="Arial" w:hAnsi="Arial" w:cs="Arial"/>
          <w:bCs/>
        </w:rPr>
        <w:t xml:space="preserve">a contract of </w:t>
      </w:r>
      <w:r w:rsidR="008D2359" w:rsidRPr="008D2359">
        <w:rPr>
          <w:rFonts w:ascii="Arial" w:hAnsi="Arial" w:cs="Arial"/>
          <w:bCs/>
        </w:rPr>
        <w:t>permanent employment on 20 March 2018.</w:t>
      </w:r>
      <w:r w:rsidR="006E2F11" w:rsidRPr="008D2359">
        <w:rPr>
          <w:rFonts w:ascii="Arial" w:hAnsi="Arial" w:cs="Arial"/>
          <w:bCs/>
        </w:rPr>
        <w:t xml:space="preserve"> </w:t>
      </w:r>
      <w:r w:rsidR="008D2359" w:rsidRPr="008D2359">
        <w:rPr>
          <w:rFonts w:ascii="Arial" w:hAnsi="Arial" w:cs="Arial"/>
          <w:bCs/>
        </w:rPr>
        <w:t>Thereafter</w:t>
      </w:r>
      <w:r w:rsidR="0082688C" w:rsidRPr="008D2359">
        <w:rPr>
          <w:rFonts w:ascii="Arial" w:hAnsi="Arial" w:cs="Arial"/>
          <w:bCs/>
        </w:rPr>
        <w:t>, the fixed term contract</w:t>
      </w:r>
      <w:r w:rsidR="008D2359" w:rsidRPr="008D2359">
        <w:rPr>
          <w:rFonts w:ascii="Arial" w:hAnsi="Arial" w:cs="Arial"/>
          <w:bCs/>
        </w:rPr>
        <w:t>s</w:t>
      </w:r>
      <w:r w:rsidR="0082688C" w:rsidRPr="008D2359">
        <w:rPr>
          <w:rFonts w:ascii="Arial" w:hAnsi="Arial" w:cs="Arial"/>
          <w:bCs/>
        </w:rPr>
        <w:t xml:space="preserve"> of</w:t>
      </w:r>
      <w:r w:rsidR="00B2773E">
        <w:rPr>
          <w:rFonts w:ascii="Arial" w:hAnsi="Arial" w:cs="Arial"/>
          <w:bCs/>
        </w:rPr>
        <w:t xml:space="preserve"> employment of </w:t>
      </w:r>
      <w:r w:rsidR="0082688C" w:rsidRPr="008D2359">
        <w:rPr>
          <w:rFonts w:ascii="Arial" w:hAnsi="Arial" w:cs="Arial"/>
          <w:bCs/>
        </w:rPr>
        <w:t>the second</w:t>
      </w:r>
      <w:r w:rsidR="008D2359" w:rsidRPr="008D2359">
        <w:rPr>
          <w:rFonts w:ascii="Arial" w:hAnsi="Arial" w:cs="Arial"/>
          <w:bCs/>
        </w:rPr>
        <w:t>, third and fourth</w:t>
      </w:r>
      <w:r w:rsidR="006F6AF3" w:rsidRPr="008D2359">
        <w:rPr>
          <w:rFonts w:ascii="Arial" w:hAnsi="Arial" w:cs="Arial"/>
          <w:bCs/>
        </w:rPr>
        <w:t xml:space="preserve"> respondent</w:t>
      </w:r>
      <w:r w:rsidR="008D2359" w:rsidRPr="008D2359">
        <w:rPr>
          <w:rFonts w:ascii="Arial" w:hAnsi="Arial" w:cs="Arial"/>
          <w:bCs/>
        </w:rPr>
        <w:t>s were</w:t>
      </w:r>
      <w:r w:rsidR="006F6AF3" w:rsidRPr="008D2359">
        <w:rPr>
          <w:rFonts w:ascii="Arial" w:hAnsi="Arial" w:cs="Arial"/>
          <w:bCs/>
        </w:rPr>
        <w:t xml:space="preserve"> converted to </w:t>
      </w:r>
      <w:r w:rsidR="008D2359">
        <w:rPr>
          <w:rFonts w:ascii="Arial" w:hAnsi="Arial" w:cs="Arial"/>
          <w:bCs/>
        </w:rPr>
        <w:t xml:space="preserve">contracts of </w:t>
      </w:r>
      <w:r w:rsidR="00681310" w:rsidRPr="008D2359">
        <w:rPr>
          <w:rFonts w:ascii="Arial" w:hAnsi="Arial" w:cs="Arial"/>
          <w:bCs/>
        </w:rPr>
        <w:t>permanent</w:t>
      </w:r>
      <w:r w:rsidR="006F6AF3" w:rsidRPr="008D2359">
        <w:rPr>
          <w:rFonts w:ascii="Arial" w:hAnsi="Arial" w:cs="Arial"/>
          <w:bCs/>
        </w:rPr>
        <w:t xml:space="preserve"> employment </w:t>
      </w:r>
      <w:r w:rsidR="005A3D49" w:rsidRPr="008D2359">
        <w:rPr>
          <w:rFonts w:ascii="Arial" w:hAnsi="Arial" w:cs="Arial"/>
          <w:bCs/>
        </w:rPr>
        <w:t>on 1 August 2019</w:t>
      </w:r>
      <w:r w:rsidR="008D2359" w:rsidRPr="008D2359">
        <w:rPr>
          <w:rFonts w:ascii="Arial" w:hAnsi="Arial" w:cs="Arial"/>
          <w:bCs/>
        </w:rPr>
        <w:t>, 1 July 2019 and 15 February 2021</w:t>
      </w:r>
      <w:r w:rsidR="008D2359">
        <w:rPr>
          <w:rFonts w:ascii="Arial" w:hAnsi="Arial" w:cs="Arial"/>
          <w:bCs/>
        </w:rPr>
        <w:t xml:space="preserve"> respectively</w:t>
      </w:r>
      <w:r w:rsidR="008D2359" w:rsidRPr="008D2359">
        <w:rPr>
          <w:rFonts w:ascii="Arial" w:hAnsi="Arial" w:cs="Arial"/>
          <w:bCs/>
        </w:rPr>
        <w:t>.</w:t>
      </w:r>
    </w:p>
    <w:p w14:paraId="0C905C3D" w14:textId="77777777" w:rsidR="008D2359" w:rsidRPr="00BB30F0" w:rsidRDefault="008D2359" w:rsidP="008D2359">
      <w:pPr>
        <w:pStyle w:val="ListParagraph"/>
        <w:tabs>
          <w:tab w:val="left" w:pos="709"/>
        </w:tabs>
        <w:spacing w:line="360" w:lineRule="auto"/>
        <w:ind w:left="0"/>
        <w:jc w:val="both"/>
      </w:pPr>
    </w:p>
    <w:p w14:paraId="192F455D" w14:textId="77777777" w:rsidR="009806AB" w:rsidRDefault="00104035" w:rsidP="00AB2FE2">
      <w:pPr>
        <w:pStyle w:val="ListParagraph"/>
        <w:numPr>
          <w:ilvl w:val="0"/>
          <w:numId w:val="8"/>
        </w:numPr>
        <w:tabs>
          <w:tab w:val="left" w:pos="709"/>
        </w:tabs>
        <w:spacing w:line="360" w:lineRule="auto"/>
        <w:ind w:left="0" w:firstLine="0"/>
        <w:jc w:val="both"/>
        <w:rPr>
          <w:rFonts w:ascii="Arial" w:hAnsi="Arial" w:cs="Arial"/>
          <w:bCs/>
        </w:rPr>
      </w:pPr>
      <w:r w:rsidRPr="00BB30F0">
        <w:rPr>
          <w:rFonts w:ascii="Arial" w:hAnsi="Arial" w:cs="Arial"/>
          <w:bCs/>
        </w:rPr>
        <w:t>The applicant</w:t>
      </w:r>
      <w:r>
        <w:rPr>
          <w:rFonts w:ascii="Arial" w:hAnsi="Arial" w:cs="Arial"/>
          <w:bCs/>
        </w:rPr>
        <w:t xml:space="preserve"> </w:t>
      </w:r>
      <w:r w:rsidRPr="00BB30F0">
        <w:rPr>
          <w:rFonts w:ascii="Arial" w:hAnsi="Arial" w:cs="Arial"/>
          <w:bCs/>
        </w:rPr>
        <w:t>now believes th</w:t>
      </w:r>
      <w:r>
        <w:rPr>
          <w:rFonts w:ascii="Arial" w:hAnsi="Arial" w:cs="Arial"/>
          <w:bCs/>
        </w:rPr>
        <w:t>at the impugned decision was</w:t>
      </w:r>
      <w:r w:rsidRPr="00BB30F0">
        <w:rPr>
          <w:rFonts w:ascii="Arial" w:hAnsi="Arial" w:cs="Arial"/>
          <w:bCs/>
        </w:rPr>
        <w:t xml:space="preserve"> </w:t>
      </w:r>
      <w:r w:rsidR="00923E51">
        <w:rPr>
          <w:rFonts w:ascii="Arial" w:hAnsi="Arial" w:cs="Arial"/>
          <w:bCs/>
        </w:rPr>
        <w:t>invalid</w:t>
      </w:r>
      <w:r>
        <w:rPr>
          <w:rFonts w:ascii="Arial" w:hAnsi="Arial" w:cs="Arial"/>
          <w:bCs/>
        </w:rPr>
        <w:t xml:space="preserve">. In its notice of </w:t>
      </w:r>
      <w:r w:rsidR="00E32DDE">
        <w:rPr>
          <w:rFonts w:ascii="Arial" w:hAnsi="Arial" w:cs="Arial"/>
          <w:bCs/>
        </w:rPr>
        <w:t>motion,</w:t>
      </w:r>
      <w:r>
        <w:rPr>
          <w:rFonts w:ascii="Arial" w:hAnsi="Arial" w:cs="Arial"/>
          <w:bCs/>
        </w:rPr>
        <w:t xml:space="preserve"> it </w:t>
      </w:r>
      <w:r w:rsidR="00B2773E">
        <w:rPr>
          <w:rFonts w:ascii="Arial" w:hAnsi="Arial" w:cs="Arial"/>
          <w:bCs/>
        </w:rPr>
        <w:t xml:space="preserve">consequently </w:t>
      </w:r>
      <w:r>
        <w:rPr>
          <w:rFonts w:ascii="Arial" w:hAnsi="Arial" w:cs="Arial"/>
          <w:bCs/>
        </w:rPr>
        <w:t xml:space="preserve">seeks a declaratory order to this effect. It also </w:t>
      </w:r>
      <w:r w:rsidRPr="00BB30F0">
        <w:rPr>
          <w:rFonts w:ascii="Arial" w:hAnsi="Arial" w:cs="Arial"/>
          <w:bCs/>
        </w:rPr>
        <w:t xml:space="preserve">seeks </w:t>
      </w:r>
      <w:r w:rsidR="00215744" w:rsidRPr="00104035">
        <w:rPr>
          <w:rFonts w:ascii="Arial" w:hAnsi="Arial" w:cs="Arial"/>
          <w:bCs/>
        </w:rPr>
        <w:t>an order that the permanent appointments of the four respondents be reviewed and set aside</w:t>
      </w:r>
      <w:r w:rsidR="00B2773E">
        <w:rPr>
          <w:rFonts w:ascii="Arial" w:hAnsi="Arial" w:cs="Arial"/>
          <w:bCs/>
        </w:rPr>
        <w:t>. It finally seeks</w:t>
      </w:r>
      <w:r w:rsidR="00215744" w:rsidRPr="00104035">
        <w:rPr>
          <w:rFonts w:ascii="Arial" w:hAnsi="Arial" w:cs="Arial"/>
          <w:bCs/>
        </w:rPr>
        <w:t xml:space="preserve"> </w:t>
      </w:r>
      <w:r w:rsidR="00B2773E">
        <w:rPr>
          <w:rFonts w:ascii="Arial" w:hAnsi="Arial" w:cs="Arial"/>
          <w:bCs/>
        </w:rPr>
        <w:t>the suspension of the</w:t>
      </w:r>
      <w:r w:rsidR="00215744" w:rsidRPr="00104035">
        <w:rPr>
          <w:rFonts w:ascii="Arial" w:hAnsi="Arial" w:cs="Arial"/>
          <w:bCs/>
        </w:rPr>
        <w:t xml:space="preserve"> declaration of invalidity of the </w:t>
      </w:r>
      <w:r w:rsidR="005A19B0">
        <w:rPr>
          <w:rFonts w:ascii="Arial" w:hAnsi="Arial" w:cs="Arial"/>
          <w:bCs/>
        </w:rPr>
        <w:t>impugned</w:t>
      </w:r>
      <w:r w:rsidR="00215744" w:rsidRPr="00104035">
        <w:rPr>
          <w:rFonts w:ascii="Arial" w:hAnsi="Arial" w:cs="Arial"/>
          <w:bCs/>
        </w:rPr>
        <w:t xml:space="preserve"> </w:t>
      </w:r>
      <w:r w:rsidR="00215744" w:rsidRPr="00104035">
        <w:rPr>
          <w:rFonts w:ascii="Arial" w:hAnsi="Arial" w:cs="Arial"/>
          <w:bCs/>
        </w:rPr>
        <w:lastRenderedPageBreak/>
        <w:t>decision for a period of six months from the date of any order granted</w:t>
      </w:r>
      <w:r w:rsidR="00923E51">
        <w:rPr>
          <w:rFonts w:ascii="Arial" w:hAnsi="Arial" w:cs="Arial"/>
          <w:bCs/>
        </w:rPr>
        <w:t xml:space="preserve"> by this court</w:t>
      </w:r>
      <w:r w:rsidR="00717499">
        <w:rPr>
          <w:rFonts w:ascii="Arial" w:hAnsi="Arial" w:cs="Arial"/>
          <w:bCs/>
        </w:rPr>
        <w:t xml:space="preserve">. The </w:t>
      </w:r>
      <w:r w:rsidR="00357AE6">
        <w:rPr>
          <w:rFonts w:ascii="Arial" w:hAnsi="Arial" w:cs="Arial"/>
          <w:bCs/>
        </w:rPr>
        <w:t xml:space="preserve">notice of motion states that the </w:t>
      </w:r>
      <w:r w:rsidR="00717499">
        <w:rPr>
          <w:rFonts w:ascii="Arial" w:hAnsi="Arial" w:cs="Arial"/>
          <w:bCs/>
        </w:rPr>
        <w:t>purpose of this suspension is to enable the applicant to take</w:t>
      </w:r>
      <w:r w:rsidR="00215744" w:rsidRPr="00104035">
        <w:rPr>
          <w:rFonts w:ascii="Arial" w:hAnsi="Arial" w:cs="Arial"/>
          <w:bCs/>
        </w:rPr>
        <w:t xml:space="preserve"> ‘corrective action’.</w:t>
      </w:r>
      <w:r w:rsidR="009F696F" w:rsidRPr="00104035">
        <w:rPr>
          <w:rFonts w:ascii="Arial" w:hAnsi="Arial" w:cs="Arial"/>
          <w:bCs/>
        </w:rPr>
        <w:t xml:space="preserve"> It </w:t>
      </w:r>
      <w:r w:rsidR="000233C9">
        <w:rPr>
          <w:rFonts w:ascii="Arial" w:hAnsi="Arial" w:cs="Arial"/>
          <w:bCs/>
        </w:rPr>
        <w:t>wa</w:t>
      </w:r>
      <w:r w:rsidR="009F696F" w:rsidRPr="00104035">
        <w:rPr>
          <w:rFonts w:ascii="Arial" w:hAnsi="Arial" w:cs="Arial"/>
          <w:bCs/>
        </w:rPr>
        <w:t>s not entirely clear what this is intended to mean</w:t>
      </w:r>
      <w:r w:rsidR="000233C9">
        <w:rPr>
          <w:rFonts w:ascii="Arial" w:hAnsi="Arial" w:cs="Arial"/>
          <w:bCs/>
        </w:rPr>
        <w:t xml:space="preserve"> and it is not explained in the founding affidavit</w:t>
      </w:r>
      <w:r w:rsidR="009F696F" w:rsidRPr="00104035">
        <w:rPr>
          <w:rFonts w:ascii="Arial" w:hAnsi="Arial" w:cs="Arial"/>
          <w:bCs/>
        </w:rPr>
        <w:t>.</w:t>
      </w:r>
      <w:r w:rsidR="00730958">
        <w:rPr>
          <w:rFonts w:ascii="Arial" w:hAnsi="Arial" w:cs="Arial"/>
          <w:bCs/>
        </w:rPr>
        <w:t xml:space="preserve"> I asked Mr Cele, who appears for the applicant</w:t>
      </w:r>
      <w:r w:rsidR="000233C9">
        <w:rPr>
          <w:rFonts w:ascii="Arial" w:hAnsi="Arial" w:cs="Arial"/>
          <w:bCs/>
        </w:rPr>
        <w:t>,</w:t>
      </w:r>
      <w:r w:rsidR="00730958">
        <w:rPr>
          <w:rFonts w:ascii="Arial" w:hAnsi="Arial" w:cs="Arial"/>
          <w:bCs/>
        </w:rPr>
        <w:t xml:space="preserve"> what was intended by this. </w:t>
      </w:r>
      <w:r w:rsidR="000233C9">
        <w:rPr>
          <w:rFonts w:ascii="Arial" w:hAnsi="Arial" w:cs="Arial"/>
          <w:bCs/>
        </w:rPr>
        <w:t xml:space="preserve">From the </w:t>
      </w:r>
      <w:r w:rsidR="00A20903">
        <w:rPr>
          <w:rFonts w:ascii="Arial" w:hAnsi="Arial" w:cs="Arial"/>
          <w:bCs/>
        </w:rPr>
        <w:t>b</w:t>
      </w:r>
      <w:r w:rsidR="000233C9">
        <w:rPr>
          <w:rFonts w:ascii="Arial" w:hAnsi="Arial" w:cs="Arial"/>
          <w:bCs/>
        </w:rPr>
        <w:t>ar, he</w:t>
      </w:r>
      <w:r w:rsidR="00730958">
        <w:rPr>
          <w:rFonts w:ascii="Arial" w:hAnsi="Arial" w:cs="Arial"/>
          <w:bCs/>
        </w:rPr>
        <w:t xml:space="preserve"> indicated that </w:t>
      </w:r>
      <w:r w:rsidR="000233C9">
        <w:rPr>
          <w:rFonts w:ascii="Arial" w:hAnsi="Arial" w:cs="Arial"/>
          <w:bCs/>
        </w:rPr>
        <w:t>the applicant intended to conduct performance reviews of the four respondents to decide whether or not th</w:t>
      </w:r>
      <w:r w:rsidR="00163A54">
        <w:rPr>
          <w:rFonts w:ascii="Arial" w:hAnsi="Arial" w:cs="Arial"/>
          <w:bCs/>
        </w:rPr>
        <w:t>ey</w:t>
      </w:r>
      <w:r w:rsidR="000233C9">
        <w:rPr>
          <w:rFonts w:ascii="Arial" w:hAnsi="Arial" w:cs="Arial"/>
          <w:bCs/>
        </w:rPr>
        <w:t xml:space="preserve"> should be awarded fixed term contracts of employment</w:t>
      </w:r>
      <w:r w:rsidR="00163A54">
        <w:rPr>
          <w:rFonts w:ascii="Arial" w:hAnsi="Arial" w:cs="Arial"/>
          <w:bCs/>
        </w:rPr>
        <w:t xml:space="preserve"> after their permanent employment is set aside by the court</w:t>
      </w:r>
      <w:r w:rsidR="000233C9">
        <w:rPr>
          <w:rFonts w:ascii="Arial" w:hAnsi="Arial" w:cs="Arial"/>
          <w:bCs/>
        </w:rPr>
        <w:t>.</w:t>
      </w:r>
      <w:r w:rsidR="004F1402">
        <w:rPr>
          <w:rStyle w:val="FootnoteReference"/>
          <w:rFonts w:ascii="Arial" w:hAnsi="Arial" w:cs="Arial"/>
          <w:bCs/>
        </w:rPr>
        <w:footnoteReference w:id="4"/>
      </w:r>
      <w:r w:rsidR="000233C9">
        <w:rPr>
          <w:rFonts w:ascii="Arial" w:hAnsi="Arial" w:cs="Arial"/>
          <w:bCs/>
        </w:rPr>
        <w:t xml:space="preserve"> Mr Cele confirmed that the four respondents would remain employed by the </w:t>
      </w:r>
      <w:r w:rsidR="00134C2A">
        <w:rPr>
          <w:rFonts w:ascii="Arial" w:hAnsi="Arial" w:cs="Arial"/>
          <w:bCs/>
        </w:rPr>
        <w:t>applicant throughout the six-</w:t>
      </w:r>
      <w:r w:rsidR="000233C9">
        <w:rPr>
          <w:rFonts w:ascii="Arial" w:hAnsi="Arial" w:cs="Arial"/>
          <w:bCs/>
        </w:rPr>
        <w:t>month period</w:t>
      </w:r>
      <w:r w:rsidR="00134C2A">
        <w:rPr>
          <w:rFonts w:ascii="Arial" w:hAnsi="Arial" w:cs="Arial"/>
          <w:bCs/>
        </w:rPr>
        <w:t xml:space="preserve"> of suspension</w:t>
      </w:r>
      <w:r w:rsidR="000233C9">
        <w:rPr>
          <w:rFonts w:ascii="Arial" w:hAnsi="Arial" w:cs="Arial"/>
          <w:bCs/>
        </w:rPr>
        <w:t>.</w:t>
      </w:r>
      <w:r w:rsidR="00163A54">
        <w:rPr>
          <w:rFonts w:ascii="Arial" w:hAnsi="Arial" w:cs="Arial"/>
          <w:bCs/>
        </w:rPr>
        <w:t xml:space="preserve"> I am not confident that this will be case, as I shall explain later in this judgment.</w:t>
      </w:r>
    </w:p>
    <w:p w14:paraId="4584B2EA" w14:textId="77777777" w:rsidR="00AB2FE2" w:rsidRPr="00AB2FE2" w:rsidRDefault="00AB2FE2" w:rsidP="00AB2FE2">
      <w:pPr>
        <w:pStyle w:val="ListParagraph"/>
        <w:spacing w:line="360" w:lineRule="auto"/>
        <w:rPr>
          <w:rFonts w:ascii="Arial" w:hAnsi="Arial" w:cs="Arial"/>
          <w:bCs/>
        </w:rPr>
      </w:pPr>
    </w:p>
    <w:p w14:paraId="0ED08258" w14:textId="77777777" w:rsidR="00AB2FE2" w:rsidRPr="001A237F" w:rsidRDefault="00AB2FE2" w:rsidP="001A237F">
      <w:pPr>
        <w:pStyle w:val="ListParagraph"/>
        <w:numPr>
          <w:ilvl w:val="0"/>
          <w:numId w:val="8"/>
        </w:numPr>
        <w:tabs>
          <w:tab w:val="left" w:pos="709"/>
        </w:tabs>
        <w:spacing w:line="360" w:lineRule="auto"/>
        <w:ind w:left="0" w:firstLine="0"/>
        <w:jc w:val="both"/>
        <w:rPr>
          <w:rFonts w:ascii="Arial" w:hAnsi="Arial" w:cs="Arial"/>
          <w:bCs/>
        </w:rPr>
      </w:pPr>
      <w:r>
        <w:rPr>
          <w:rFonts w:ascii="Arial" w:hAnsi="Arial" w:cs="Arial"/>
          <w:bCs/>
        </w:rPr>
        <w:t xml:space="preserve">It should be mentioned at this juncture that only the first respondent has </w:t>
      </w:r>
      <w:r w:rsidRPr="001A237F">
        <w:rPr>
          <w:rFonts w:ascii="Arial" w:hAnsi="Arial" w:cs="Arial"/>
          <w:bCs/>
        </w:rPr>
        <w:t>delivered a notice of intention to oppose and only he has delivered an answering affidavit.</w:t>
      </w:r>
      <w:r w:rsidR="0089744C">
        <w:rPr>
          <w:rFonts w:ascii="Arial" w:hAnsi="Arial" w:cs="Arial"/>
          <w:bCs/>
        </w:rPr>
        <w:t xml:space="preserve"> </w:t>
      </w:r>
    </w:p>
    <w:p w14:paraId="70251A72" w14:textId="77777777" w:rsidR="00730958" w:rsidRDefault="00730958" w:rsidP="00730958">
      <w:pPr>
        <w:pStyle w:val="ListParagraph"/>
        <w:tabs>
          <w:tab w:val="left" w:pos="709"/>
        </w:tabs>
        <w:spacing w:line="360" w:lineRule="auto"/>
        <w:ind w:left="0"/>
        <w:jc w:val="both"/>
        <w:rPr>
          <w:rFonts w:ascii="Arial" w:hAnsi="Arial" w:cs="Arial"/>
          <w:bCs/>
        </w:rPr>
      </w:pPr>
    </w:p>
    <w:p w14:paraId="5A747542" w14:textId="77777777" w:rsidR="00215744" w:rsidRDefault="005A19B0" w:rsidP="005A19B0">
      <w:pPr>
        <w:pStyle w:val="ListParagraph"/>
        <w:numPr>
          <w:ilvl w:val="0"/>
          <w:numId w:val="8"/>
        </w:numPr>
        <w:tabs>
          <w:tab w:val="left" w:pos="709"/>
        </w:tabs>
        <w:spacing w:line="360" w:lineRule="auto"/>
        <w:ind w:left="0" w:firstLine="0"/>
        <w:jc w:val="both"/>
        <w:rPr>
          <w:rFonts w:ascii="Arial" w:hAnsi="Arial" w:cs="Arial"/>
        </w:rPr>
      </w:pPr>
      <w:r>
        <w:rPr>
          <w:rFonts w:ascii="Arial" w:hAnsi="Arial" w:cs="Arial"/>
          <w:bCs/>
        </w:rPr>
        <w:t>Because it is an organ of State, the applicant may not rely on the provisions of the</w:t>
      </w:r>
      <w:r w:rsidR="00A077B5">
        <w:rPr>
          <w:rFonts w:ascii="Arial" w:hAnsi="Arial" w:cs="Arial"/>
          <w:bCs/>
        </w:rPr>
        <w:t xml:space="preserve"> </w:t>
      </w:r>
      <w:r w:rsidR="00A077B5" w:rsidRPr="005A19B0">
        <w:rPr>
          <w:rFonts w:ascii="Arial" w:hAnsi="Arial" w:cs="Arial"/>
        </w:rPr>
        <w:t>Promotion of Administrative Justice Act 3 of 2000 (PAJA)</w:t>
      </w:r>
      <w:r>
        <w:rPr>
          <w:rFonts w:ascii="Arial" w:hAnsi="Arial" w:cs="Arial"/>
        </w:rPr>
        <w:t xml:space="preserve"> in seeking to review </w:t>
      </w:r>
      <w:r w:rsidR="00D73B1D">
        <w:rPr>
          <w:rFonts w:ascii="Arial" w:hAnsi="Arial" w:cs="Arial"/>
        </w:rPr>
        <w:t xml:space="preserve">the impugned </w:t>
      </w:r>
      <w:r>
        <w:rPr>
          <w:rFonts w:ascii="Arial" w:hAnsi="Arial" w:cs="Arial"/>
        </w:rPr>
        <w:t>decision.</w:t>
      </w:r>
      <w:r>
        <w:rPr>
          <w:rStyle w:val="FootnoteReference"/>
          <w:rFonts w:ascii="Arial" w:hAnsi="Arial" w:cs="Arial"/>
          <w:bCs/>
        </w:rPr>
        <w:footnoteReference w:id="5"/>
      </w:r>
      <w:r>
        <w:rPr>
          <w:rFonts w:ascii="Arial" w:hAnsi="Arial" w:cs="Arial"/>
        </w:rPr>
        <w:t xml:space="preserve"> I</w:t>
      </w:r>
      <w:r w:rsidR="00AB2FE2">
        <w:rPr>
          <w:rFonts w:ascii="Arial" w:hAnsi="Arial" w:cs="Arial"/>
        </w:rPr>
        <w:t xml:space="preserve">t has recognised this and </w:t>
      </w:r>
      <w:r>
        <w:rPr>
          <w:rFonts w:ascii="Arial" w:hAnsi="Arial" w:cs="Arial"/>
        </w:rPr>
        <w:t xml:space="preserve">has brought its </w:t>
      </w:r>
      <w:r w:rsidR="00730958">
        <w:rPr>
          <w:rFonts w:ascii="Arial" w:hAnsi="Arial" w:cs="Arial"/>
        </w:rPr>
        <w:t xml:space="preserve">review </w:t>
      </w:r>
      <w:r>
        <w:rPr>
          <w:rFonts w:ascii="Arial" w:hAnsi="Arial" w:cs="Arial"/>
        </w:rPr>
        <w:t>application premised upon the principle of legality.</w:t>
      </w:r>
    </w:p>
    <w:p w14:paraId="40C349E8" w14:textId="77777777" w:rsidR="005A19B0" w:rsidRPr="00215744" w:rsidRDefault="005A19B0" w:rsidP="005A19B0">
      <w:pPr>
        <w:pStyle w:val="ListParagraph"/>
        <w:tabs>
          <w:tab w:val="left" w:pos="709"/>
        </w:tabs>
        <w:spacing w:line="360" w:lineRule="auto"/>
        <w:ind w:left="0"/>
        <w:jc w:val="both"/>
        <w:rPr>
          <w:rFonts w:ascii="Arial" w:hAnsi="Arial" w:cs="Arial"/>
        </w:rPr>
      </w:pPr>
    </w:p>
    <w:p w14:paraId="1EF71676" w14:textId="77777777" w:rsidR="00215744" w:rsidRPr="000A4BD3" w:rsidRDefault="00215744" w:rsidP="003C67A4">
      <w:pPr>
        <w:pStyle w:val="ListParagraph"/>
        <w:numPr>
          <w:ilvl w:val="0"/>
          <w:numId w:val="8"/>
        </w:numPr>
        <w:tabs>
          <w:tab w:val="left" w:pos="709"/>
        </w:tabs>
        <w:spacing w:line="360" w:lineRule="auto"/>
        <w:ind w:left="0" w:firstLine="0"/>
        <w:jc w:val="both"/>
        <w:rPr>
          <w:rFonts w:ascii="Arial" w:hAnsi="Arial" w:cs="Arial"/>
        </w:rPr>
      </w:pPr>
      <w:r w:rsidRPr="000A4BD3">
        <w:rPr>
          <w:rFonts w:ascii="Arial" w:hAnsi="Arial" w:cs="Arial"/>
          <w:bCs/>
        </w:rPr>
        <w:t xml:space="preserve">In seeking the relief that it claims, the applicant </w:t>
      </w:r>
      <w:r w:rsidR="00652FC7" w:rsidRPr="000A4BD3">
        <w:rPr>
          <w:rFonts w:ascii="Arial" w:hAnsi="Arial" w:cs="Arial"/>
          <w:bCs/>
        </w:rPr>
        <w:t>submits</w:t>
      </w:r>
      <w:r w:rsidRPr="000A4BD3">
        <w:rPr>
          <w:rFonts w:ascii="Arial" w:hAnsi="Arial" w:cs="Arial"/>
          <w:bCs/>
        </w:rPr>
        <w:t xml:space="preserve"> that the </w:t>
      </w:r>
      <w:r w:rsidR="000A4BD3" w:rsidRPr="000A4BD3">
        <w:rPr>
          <w:rFonts w:ascii="Arial" w:hAnsi="Arial" w:cs="Arial"/>
          <w:bCs/>
        </w:rPr>
        <w:t>impugned decision and the subsequent conversion</w:t>
      </w:r>
      <w:r w:rsidR="008F4901">
        <w:rPr>
          <w:rFonts w:ascii="Arial" w:hAnsi="Arial" w:cs="Arial"/>
          <w:bCs/>
        </w:rPr>
        <w:t xml:space="preserve"> of the various employment contracts </w:t>
      </w:r>
      <w:r w:rsidR="00730958">
        <w:rPr>
          <w:rFonts w:ascii="Arial" w:hAnsi="Arial" w:cs="Arial"/>
          <w:bCs/>
        </w:rPr>
        <w:t xml:space="preserve">of the respondents </w:t>
      </w:r>
      <w:r w:rsidRPr="000A4BD3">
        <w:rPr>
          <w:rFonts w:ascii="Arial" w:hAnsi="Arial" w:cs="Arial"/>
          <w:bCs/>
        </w:rPr>
        <w:t xml:space="preserve">contravenes the </w:t>
      </w:r>
      <w:r w:rsidR="004D4472" w:rsidRPr="000A4BD3">
        <w:rPr>
          <w:rFonts w:ascii="Arial" w:hAnsi="Arial" w:cs="Arial"/>
          <w:bCs/>
        </w:rPr>
        <w:t xml:space="preserve">provisions of the </w:t>
      </w:r>
      <w:r w:rsidRPr="000A4BD3">
        <w:rPr>
          <w:rFonts w:ascii="Arial" w:hAnsi="Arial" w:cs="Arial"/>
          <w:bCs/>
        </w:rPr>
        <w:t xml:space="preserve">World </w:t>
      </w:r>
      <w:r w:rsidR="004D4472" w:rsidRPr="000A4BD3">
        <w:rPr>
          <w:rFonts w:ascii="Arial" w:hAnsi="Arial" w:cs="Arial"/>
          <w:bCs/>
        </w:rPr>
        <w:t>Heritage</w:t>
      </w:r>
      <w:r w:rsidRPr="000A4BD3">
        <w:rPr>
          <w:rFonts w:ascii="Arial" w:hAnsi="Arial" w:cs="Arial"/>
          <w:bCs/>
        </w:rPr>
        <w:t xml:space="preserve"> Convention Act</w:t>
      </w:r>
      <w:r w:rsidR="004D4472" w:rsidRPr="000A4BD3">
        <w:rPr>
          <w:rFonts w:ascii="Arial" w:hAnsi="Arial" w:cs="Arial"/>
          <w:bCs/>
        </w:rPr>
        <w:t xml:space="preserve"> 49 of </w:t>
      </w:r>
      <w:r w:rsidR="004D4472" w:rsidRPr="000A4BD3">
        <w:rPr>
          <w:rFonts w:ascii="Arial" w:hAnsi="Arial" w:cs="Arial"/>
          <w:bCs/>
        </w:rPr>
        <w:lastRenderedPageBreak/>
        <w:t xml:space="preserve">1999 (the Act) and </w:t>
      </w:r>
      <w:r w:rsidR="0082688C" w:rsidRPr="000A4BD3">
        <w:rPr>
          <w:rFonts w:ascii="Arial" w:hAnsi="Arial" w:cs="Arial"/>
          <w:bCs/>
        </w:rPr>
        <w:t xml:space="preserve">the </w:t>
      </w:r>
      <w:r w:rsidR="004D4472" w:rsidRPr="000A4BD3">
        <w:rPr>
          <w:rFonts w:ascii="Arial" w:hAnsi="Arial" w:cs="Arial"/>
          <w:bCs/>
        </w:rPr>
        <w:t>Regulations</w:t>
      </w:r>
      <w:r w:rsidR="00D73B1D">
        <w:rPr>
          <w:rFonts w:ascii="Arial" w:hAnsi="Arial" w:cs="Arial"/>
          <w:bCs/>
        </w:rPr>
        <w:t>.</w:t>
      </w:r>
      <w:r w:rsidR="00D73B1D">
        <w:rPr>
          <w:rStyle w:val="FootnoteReference"/>
          <w:rFonts w:ascii="Arial" w:hAnsi="Arial" w:cs="Arial"/>
          <w:bCs/>
        </w:rPr>
        <w:footnoteReference w:id="6"/>
      </w:r>
      <w:r w:rsidR="004D4472" w:rsidRPr="000A4BD3">
        <w:rPr>
          <w:rFonts w:ascii="Arial" w:hAnsi="Arial" w:cs="Arial"/>
          <w:bCs/>
        </w:rPr>
        <w:t xml:space="preserve"> </w:t>
      </w:r>
      <w:r w:rsidR="00D00E39" w:rsidRPr="000A4BD3">
        <w:rPr>
          <w:rFonts w:ascii="Arial" w:hAnsi="Arial" w:cs="Arial"/>
          <w:bCs/>
        </w:rPr>
        <w:t>The applicant</w:t>
      </w:r>
      <w:r w:rsidR="004D4472" w:rsidRPr="000A4BD3">
        <w:rPr>
          <w:rFonts w:ascii="Arial" w:hAnsi="Arial" w:cs="Arial"/>
          <w:bCs/>
        </w:rPr>
        <w:t xml:space="preserve"> contends</w:t>
      </w:r>
      <w:r w:rsidR="00D00E39" w:rsidRPr="000A4BD3">
        <w:rPr>
          <w:rFonts w:ascii="Arial" w:hAnsi="Arial" w:cs="Arial"/>
          <w:bCs/>
        </w:rPr>
        <w:t>,</w:t>
      </w:r>
      <w:r w:rsidR="004D4472" w:rsidRPr="000A4BD3">
        <w:rPr>
          <w:rFonts w:ascii="Arial" w:hAnsi="Arial" w:cs="Arial"/>
          <w:bCs/>
        </w:rPr>
        <w:t xml:space="preserve"> </w:t>
      </w:r>
      <w:r w:rsidR="009F2B3A" w:rsidRPr="000A4BD3">
        <w:rPr>
          <w:rFonts w:ascii="Arial" w:hAnsi="Arial" w:cs="Arial"/>
          <w:bCs/>
        </w:rPr>
        <w:t>further</w:t>
      </w:r>
      <w:r w:rsidR="00D00E39" w:rsidRPr="000A4BD3">
        <w:rPr>
          <w:rFonts w:ascii="Arial" w:hAnsi="Arial" w:cs="Arial"/>
          <w:bCs/>
        </w:rPr>
        <w:t>,</w:t>
      </w:r>
      <w:r w:rsidR="009F2B3A" w:rsidRPr="000A4BD3">
        <w:rPr>
          <w:rFonts w:ascii="Arial" w:hAnsi="Arial" w:cs="Arial"/>
          <w:bCs/>
        </w:rPr>
        <w:t xml:space="preserve"> </w:t>
      </w:r>
      <w:r w:rsidR="004D4472" w:rsidRPr="000A4BD3">
        <w:rPr>
          <w:rFonts w:ascii="Arial" w:hAnsi="Arial" w:cs="Arial"/>
          <w:bCs/>
        </w:rPr>
        <w:t xml:space="preserve">that </w:t>
      </w:r>
      <w:r w:rsidR="0057589A" w:rsidRPr="000A4BD3">
        <w:rPr>
          <w:rFonts w:ascii="Arial" w:hAnsi="Arial" w:cs="Arial"/>
          <w:bCs/>
        </w:rPr>
        <w:t>the Regulations, when read with the Act</w:t>
      </w:r>
      <w:r w:rsidR="009F2B3A" w:rsidRPr="000A4BD3">
        <w:rPr>
          <w:rFonts w:ascii="Arial" w:hAnsi="Arial" w:cs="Arial"/>
          <w:bCs/>
        </w:rPr>
        <w:t>,</w:t>
      </w:r>
      <w:r w:rsidR="0057589A" w:rsidRPr="000A4BD3">
        <w:rPr>
          <w:rFonts w:ascii="Arial" w:hAnsi="Arial" w:cs="Arial"/>
          <w:bCs/>
        </w:rPr>
        <w:t xml:space="preserve"> clearly specif</w:t>
      </w:r>
      <w:r w:rsidR="00D00E39" w:rsidRPr="000A4BD3">
        <w:rPr>
          <w:rFonts w:ascii="Arial" w:hAnsi="Arial" w:cs="Arial"/>
          <w:bCs/>
        </w:rPr>
        <w:t>y</w:t>
      </w:r>
      <w:r w:rsidR="0057589A" w:rsidRPr="000A4BD3">
        <w:rPr>
          <w:rFonts w:ascii="Arial" w:hAnsi="Arial" w:cs="Arial"/>
          <w:bCs/>
        </w:rPr>
        <w:t xml:space="preserve"> that appointments to the E</w:t>
      </w:r>
      <w:r w:rsidR="00D00E39" w:rsidRPr="000A4BD3">
        <w:rPr>
          <w:rFonts w:ascii="Arial" w:hAnsi="Arial" w:cs="Arial"/>
          <w:bCs/>
        </w:rPr>
        <w:t xml:space="preserve">SC </w:t>
      </w:r>
      <w:r w:rsidR="0082688C" w:rsidRPr="000A4BD3">
        <w:rPr>
          <w:rFonts w:ascii="Arial" w:hAnsi="Arial" w:cs="Arial"/>
          <w:bCs/>
        </w:rPr>
        <w:t>of the applicant</w:t>
      </w:r>
      <w:r w:rsidR="0057589A" w:rsidRPr="000A4BD3">
        <w:rPr>
          <w:rFonts w:ascii="Arial" w:hAnsi="Arial" w:cs="Arial"/>
          <w:bCs/>
        </w:rPr>
        <w:t xml:space="preserve"> are to be made on a contract basis or for a period to be determined by the Chief Executive Officer (CEO) of the applicant and that any appointment contrary to these prescripts is invalid. It is </w:t>
      </w:r>
      <w:r w:rsidR="009F2B3A" w:rsidRPr="000A4BD3">
        <w:rPr>
          <w:rFonts w:ascii="Arial" w:hAnsi="Arial" w:cs="Arial"/>
          <w:bCs/>
        </w:rPr>
        <w:t xml:space="preserve">also </w:t>
      </w:r>
      <w:r w:rsidR="0057589A" w:rsidRPr="000A4BD3">
        <w:rPr>
          <w:rFonts w:ascii="Arial" w:hAnsi="Arial" w:cs="Arial"/>
          <w:bCs/>
        </w:rPr>
        <w:t xml:space="preserve">contended that </w:t>
      </w:r>
      <w:r w:rsidR="00D73B1D">
        <w:rPr>
          <w:rFonts w:ascii="Arial" w:hAnsi="Arial" w:cs="Arial"/>
          <w:bCs/>
        </w:rPr>
        <w:t xml:space="preserve">both </w:t>
      </w:r>
      <w:r w:rsidR="0057589A" w:rsidRPr="000A4BD3">
        <w:rPr>
          <w:rFonts w:ascii="Arial" w:hAnsi="Arial" w:cs="Arial"/>
          <w:bCs/>
        </w:rPr>
        <w:t xml:space="preserve">the </w:t>
      </w:r>
      <w:r w:rsidR="0082688C" w:rsidRPr="000A4BD3">
        <w:rPr>
          <w:rFonts w:ascii="Arial" w:hAnsi="Arial" w:cs="Arial"/>
          <w:bCs/>
        </w:rPr>
        <w:t>B</w:t>
      </w:r>
      <w:r w:rsidR="0057589A" w:rsidRPr="000A4BD3">
        <w:rPr>
          <w:rFonts w:ascii="Arial" w:hAnsi="Arial" w:cs="Arial"/>
          <w:bCs/>
        </w:rPr>
        <w:t xml:space="preserve">oard of the applicant </w:t>
      </w:r>
      <w:r w:rsidR="00D73B1D">
        <w:rPr>
          <w:rFonts w:ascii="Arial" w:hAnsi="Arial" w:cs="Arial"/>
          <w:bCs/>
        </w:rPr>
        <w:t>and</w:t>
      </w:r>
      <w:r w:rsidR="00D73B1D" w:rsidRPr="000A4BD3">
        <w:rPr>
          <w:rFonts w:ascii="Arial" w:hAnsi="Arial" w:cs="Arial"/>
          <w:bCs/>
        </w:rPr>
        <w:t xml:space="preserve"> </w:t>
      </w:r>
      <w:r w:rsidR="0057589A" w:rsidRPr="000A4BD3">
        <w:rPr>
          <w:rFonts w:ascii="Arial" w:hAnsi="Arial" w:cs="Arial"/>
          <w:bCs/>
        </w:rPr>
        <w:t>the CEO lack the power to convert fixed term contract</w:t>
      </w:r>
      <w:r w:rsidR="009165EC">
        <w:rPr>
          <w:rFonts w:ascii="Arial" w:hAnsi="Arial" w:cs="Arial"/>
          <w:bCs/>
        </w:rPr>
        <w:t>s</w:t>
      </w:r>
      <w:r w:rsidR="0057589A" w:rsidRPr="000A4BD3">
        <w:rPr>
          <w:rFonts w:ascii="Arial" w:hAnsi="Arial" w:cs="Arial"/>
          <w:bCs/>
        </w:rPr>
        <w:t xml:space="preserve"> of members of the ESC to permanent or indefinite </w:t>
      </w:r>
      <w:r w:rsidR="0082688C" w:rsidRPr="000A4BD3">
        <w:rPr>
          <w:rFonts w:ascii="Arial" w:hAnsi="Arial" w:cs="Arial"/>
          <w:bCs/>
        </w:rPr>
        <w:t xml:space="preserve">employment </w:t>
      </w:r>
      <w:r w:rsidR="0057589A" w:rsidRPr="000A4BD3">
        <w:rPr>
          <w:rFonts w:ascii="Arial" w:hAnsi="Arial" w:cs="Arial"/>
          <w:bCs/>
        </w:rPr>
        <w:t>appointments.</w:t>
      </w:r>
    </w:p>
    <w:p w14:paraId="082563CB" w14:textId="77777777" w:rsidR="005B77AD" w:rsidRPr="005B77AD" w:rsidRDefault="005B77AD" w:rsidP="00D00E39">
      <w:pPr>
        <w:pStyle w:val="ListParagraph"/>
        <w:spacing w:line="360" w:lineRule="auto"/>
        <w:rPr>
          <w:rFonts w:ascii="Arial" w:hAnsi="Arial" w:cs="Arial"/>
        </w:rPr>
      </w:pPr>
    </w:p>
    <w:p w14:paraId="1D721BB2" w14:textId="77777777" w:rsidR="00400EB5" w:rsidRPr="00EA6F22" w:rsidRDefault="00D00E39" w:rsidP="006574E1">
      <w:pPr>
        <w:pStyle w:val="ListParagraph"/>
        <w:numPr>
          <w:ilvl w:val="0"/>
          <w:numId w:val="8"/>
        </w:numPr>
        <w:tabs>
          <w:tab w:val="left" w:pos="709"/>
        </w:tabs>
        <w:spacing w:line="360" w:lineRule="auto"/>
        <w:ind w:left="0" w:firstLine="0"/>
        <w:jc w:val="both"/>
        <w:rPr>
          <w:rFonts w:asciiTheme="minorBidi" w:hAnsiTheme="minorBidi" w:cstheme="minorBidi"/>
        </w:rPr>
      </w:pPr>
      <w:r w:rsidRPr="00A71340">
        <w:rPr>
          <w:rFonts w:ascii="Arial" w:hAnsi="Arial" w:cs="Arial"/>
        </w:rPr>
        <w:t>As with most things in life, l</w:t>
      </w:r>
      <w:r w:rsidR="00BD1AB9" w:rsidRPr="00A71340">
        <w:rPr>
          <w:rFonts w:ascii="Arial" w:hAnsi="Arial" w:cs="Arial"/>
        </w:rPr>
        <w:t>itigation such as the present must have a beginning and an end. There are</w:t>
      </w:r>
      <w:r w:rsidRPr="00A71340">
        <w:rPr>
          <w:rFonts w:ascii="Arial" w:hAnsi="Arial" w:cs="Arial"/>
        </w:rPr>
        <w:t>, however,</w:t>
      </w:r>
      <w:r w:rsidR="00BD1AB9" w:rsidRPr="00A71340">
        <w:rPr>
          <w:rFonts w:ascii="Arial" w:hAnsi="Arial" w:cs="Arial"/>
        </w:rPr>
        <w:t xml:space="preserve"> no prescribed time periods within which a legality </w:t>
      </w:r>
      <w:r w:rsidR="005B77AD" w:rsidRPr="00A71340">
        <w:rPr>
          <w:rFonts w:ascii="Arial" w:hAnsi="Arial" w:cs="Arial"/>
        </w:rPr>
        <w:t xml:space="preserve">review must be commenced, unlike a review brought in terms of </w:t>
      </w:r>
      <w:r w:rsidR="007C7E1B" w:rsidRPr="00A71340">
        <w:rPr>
          <w:rFonts w:ascii="Arial" w:hAnsi="Arial" w:cs="Arial"/>
        </w:rPr>
        <w:t>PAJA</w:t>
      </w:r>
      <w:r w:rsidR="005B77AD" w:rsidRPr="00A71340">
        <w:rPr>
          <w:rFonts w:ascii="Arial" w:hAnsi="Arial" w:cs="Arial"/>
        </w:rPr>
        <w:t>.</w:t>
      </w:r>
      <w:r w:rsidR="005B77AD">
        <w:rPr>
          <w:rStyle w:val="FootnoteReference"/>
          <w:rFonts w:ascii="Arial" w:hAnsi="Arial" w:cs="Arial"/>
        </w:rPr>
        <w:footnoteReference w:id="7"/>
      </w:r>
      <w:r w:rsidR="005B77AD" w:rsidRPr="00A71340">
        <w:rPr>
          <w:rFonts w:ascii="Arial" w:hAnsi="Arial" w:cs="Arial"/>
        </w:rPr>
        <w:t xml:space="preserve"> </w:t>
      </w:r>
      <w:r w:rsidR="005B77AD" w:rsidRPr="00A71340">
        <w:rPr>
          <w:rFonts w:asciiTheme="minorBidi" w:hAnsiTheme="minorBidi" w:cstheme="minorBidi"/>
        </w:rPr>
        <w:t xml:space="preserve">All that is required in a legality review is that </w:t>
      </w:r>
      <w:r w:rsidR="007C7E1B" w:rsidRPr="00A71340">
        <w:rPr>
          <w:rFonts w:asciiTheme="minorBidi" w:hAnsiTheme="minorBidi" w:cstheme="minorBidi"/>
        </w:rPr>
        <w:t xml:space="preserve">it </w:t>
      </w:r>
      <w:r w:rsidR="007C7E1B" w:rsidRPr="00A71340">
        <w:rPr>
          <w:rFonts w:asciiTheme="minorBidi" w:hAnsiTheme="minorBidi" w:cstheme="minorBidi"/>
          <w:color w:val="242121"/>
          <w:shd w:val="clear" w:color="auto" w:fill="FFFFFF"/>
        </w:rPr>
        <w:t>must be initiated without undue delay. The touchstone remains reasonableness</w:t>
      </w:r>
      <w:r w:rsidR="00D9124F" w:rsidRPr="00A71340">
        <w:rPr>
          <w:rFonts w:asciiTheme="minorBidi" w:hAnsiTheme="minorBidi" w:cstheme="minorBidi"/>
          <w:color w:val="242121"/>
          <w:shd w:val="clear" w:color="auto" w:fill="FFFFFF"/>
        </w:rPr>
        <w:t xml:space="preserve"> when considering whether there has been an </w:t>
      </w:r>
      <w:r w:rsidR="00A6532E">
        <w:rPr>
          <w:rFonts w:asciiTheme="minorBidi" w:hAnsiTheme="minorBidi" w:cstheme="minorBidi"/>
          <w:color w:val="242121"/>
          <w:shd w:val="clear" w:color="auto" w:fill="FFFFFF"/>
        </w:rPr>
        <w:t>unacceptable</w:t>
      </w:r>
      <w:r w:rsidR="00D9124F" w:rsidRPr="00A71340">
        <w:rPr>
          <w:rFonts w:asciiTheme="minorBidi" w:hAnsiTheme="minorBidi" w:cstheme="minorBidi"/>
          <w:color w:val="242121"/>
          <w:shd w:val="clear" w:color="auto" w:fill="FFFFFF"/>
        </w:rPr>
        <w:t xml:space="preserve"> delay</w:t>
      </w:r>
      <w:r w:rsidR="008F4901">
        <w:rPr>
          <w:rFonts w:asciiTheme="minorBidi" w:hAnsiTheme="minorBidi" w:cstheme="minorBidi"/>
          <w:color w:val="242121"/>
          <w:shd w:val="clear" w:color="auto" w:fill="FFFFFF"/>
        </w:rPr>
        <w:t xml:space="preserve"> in </w:t>
      </w:r>
      <w:r w:rsidR="00275107">
        <w:rPr>
          <w:rFonts w:asciiTheme="minorBidi" w:hAnsiTheme="minorBidi" w:cstheme="minorBidi"/>
          <w:color w:val="242121"/>
          <w:shd w:val="clear" w:color="auto" w:fill="FFFFFF"/>
        </w:rPr>
        <w:t>commencing such</w:t>
      </w:r>
      <w:r w:rsidR="008F4901">
        <w:rPr>
          <w:rFonts w:asciiTheme="minorBidi" w:hAnsiTheme="minorBidi" w:cstheme="minorBidi"/>
          <w:color w:val="242121"/>
          <w:shd w:val="clear" w:color="auto" w:fill="FFFFFF"/>
        </w:rPr>
        <w:t xml:space="preserve"> proceedings</w:t>
      </w:r>
      <w:r w:rsidR="007C7E1B" w:rsidRPr="00A71340">
        <w:rPr>
          <w:rFonts w:asciiTheme="minorBidi" w:hAnsiTheme="minorBidi" w:cstheme="minorBidi"/>
          <w:color w:val="242121"/>
          <w:shd w:val="clear" w:color="auto" w:fill="FFFFFF"/>
        </w:rPr>
        <w:t>.</w:t>
      </w:r>
      <w:r w:rsidR="007C7E1B">
        <w:rPr>
          <w:rStyle w:val="FootnoteReference"/>
          <w:rFonts w:asciiTheme="minorBidi" w:hAnsiTheme="minorBidi" w:cstheme="minorBidi"/>
          <w:color w:val="242121"/>
          <w:shd w:val="clear" w:color="auto" w:fill="FFFFFF"/>
        </w:rPr>
        <w:footnoteReference w:id="8"/>
      </w:r>
      <w:r w:rsidR="007C7E1B" w:rsidRPr="00A71340">
        <w:rPr>
          <w:rFonts w:asciiTheme="minorBidi" w:hAnsiTheme="minorBidi" w:cstheme="minorBidi"/>
          <w:color w:val="242121"/>
          <w:shd w:val="clear" w:color="auto" w:fill="FFFFFF"/>
        </w:rPr>
        <w:t xml:space="preserve"> This is a point </w:t>
      </w:r>
      <w:r w:rsidR="00AB2FE2" w:rsidRPr="00A71340">
        <w:rPr>
          <w:rFonts w:asciiTheme="minorBidi" w:hAnsiTheme="minorBidi" w:cstheme="minorBidi"/>
          <w:color w:val="242121"/>
          <w:shd w:val="clear" w:color="auto" w:fill="FFFFFF"/>
        </w:rPr>
        <w:t xml:space="preserve">that has been taken by the </w:t>
      </w:r>
      <w:r w:rsidR="007C7E1B" w:rsidRPr="00A71340">
        <w:rPr>
          <w:rFonts w:asciiTheme="minorBidi" w:hAnsiTheme="minorBidi" w:cstheme="minorBidi"/>
          <w:color w:val="242121"/>
          <w:shd w:val="clear" w:color="auto" w:fill="FFFFFF"/>
        </w:rPr>
        <w:t>first respondent in his answering affidavit</w:t>
      </w:r>
      <w:r w:rsidR="00D50F20" w:rsidRPr="00A71340">
        <w:rPr>
          <w:rFonts w:asciiTheme="minorBidi" w:hAnsiTheme="minorBidi" w:cstheme="minorBidi"/>
          <w:color w:val="242121"/>
          <w:shd w:val="clear" w:color="auto" w:fill="FFFFFF"/>
        </w:rPr>
        <w:t xml:space="preserve">: he contends that the applicant has delayed for four years and has then brought its </w:t>
      </w:r>
      <w:r w:rsidR="008F4901">
        <w:rPr>
          <w:rFonts w:asciiTheme="minorBidi" w:hAnsiTheme="minorBidi" w:cstheme="minorBidi"/>
          <w:color w:val="242121"/>
          <w:shd w:val="clear" w:color="auto" w:fill="FFFFFF"/>
        </w:rPr>
        <w:t xml:space="preserve">review </w:t>
      </w:r>
      <w:r w:rsidR="00D50F20" w:rsidRPr="00A71340">
        <w:rPr>
          <w:rFonts w:asciiTheme="minorBidi" w:hAnsiTheme="minorBidi" w:cstheme="minorBidi"/>
          <w:color w:val="242121"/>
          <w:shd w:val="clear" w:color="auto" w:fill="FFFFFF"/>
        </w:rPr>
        <w:t>application without any explanation for that delay.</w:t>
      </w:r>
      <w:r w:rsidR="00562290" w:rsidRPr="00A71340">
        <w:rPr>
          <w:rFonts w:asciiTheme="minorBidi" w:hAnsiTheme="minorBidi" w:cstheme="minorBidi"/>
          <w:color w:val="242121"/>
          <w:shd w:val="clear" w:color="auto" w:fill="FFFFFF"/>
        </w:rPr>
        <w:t xml:space="preserve"> </w:t>
      </w:r>
      <w:r w:rsidR="00D50F20" w:rsidRPr="00A71340">
        <w:rPr>
          <w:rFonts w:asciiTheme="minorBidi" w:hAnsiTheme="minorBidi" w:cstheme="minorBidi"/>
          <w:color w:val="242121"/>
          <w:shd w:val="clear" w:color="auto" w:fill="FFFFFF"/>
        </w:rPr>
        <w:t xml:space="preserve">This point is not taken as </w:t>
      </w:r>
      <w:r w:rsidR="00985716" w:rsidRPr="00A71340">
        <w:rPr>
          <w:rFonts w:asciiTheme="minorBidi" w:hAnsiTheme="minorBidi" w:cstheme="minorBidi"/>
          <w:color w:val="242121"/>
          <w:shd w:val="clear" w:color="auto" w:fill="FFFFFF"/>
        </w:rPr>
        <w:t xml:space="preserve">a point in limine but it would perhaps be prudent to consider it first. </w:t>
      </w:r>
    </w:p>
    <w:p w14:paraId="3D9D30F0" w14:textId="77777777" w:rsidR="006574E1" w:rsidRPr="006574E1" w:rsidRDefault="006574E1" w:rsidP="006574E1">
      <w:pPr>
        <w:pStyle w:val="ListParagraph"/>
        <w:spacing w:line="360" w:lineRule="auto"/>
        <w:rPr>
          <w:rFonts w:asciiTheme="minorBidi" w:hAnsiTheme="minorBidi" w:cstheme="minorBidi"/>
        </w:rPr>
      </w:pPr>
    </w:p>
    <w:p w14:paraId="526B46A5" w14:textId="77777777" w:rsidR="00285F7A" w:rsidRPr="00730958" w:rsidRDefault="00357AE6" w:rsidP="00730958">
      <w:pPr>
        <w:pStyle w:val="ListParagraph"/>
        <w:numPr>
          <w:ilvl w:val="0"/>
          <w:numId w:val="8"/>
        </w:numPr>
        <w:tabs>
          <w:tab w:val="left" w:pos="709"/>
        </w:tabs>
        <w:spacing w:line="360" w:lineRule="auto"/>
        <w:ind w:left="0" w:firstLine="0"/>
        <w:jc w:val="both"/>
        <w:rPr>
          <w:rFonts w:asciiTheme="minorBidi" w:hAnsiTheme="minorBidi" w:cstheme="minorBidi"/>
          <w:color w:val="000000" w:themeColor="text1"/>
        </w:rPr>
      </w:pPr>
      <w:r>
        <w:rPr>
          <w:rFonts w:asciiTheme="minorBidi" w:hAnsiTheme="minorBidi" w:cstheme="minorBidi"/>
          <w:color w:val="000000" w:themeColor="text1"/>
        </w:rPr>
        <w:t>I commence</w:t>
      </w:r>
      <w:r w:rsidR="00285F7A" w:rsidRPr="006574E1">
        <w:rPr>
          <w:rFonts w:asciiTheme="minorBidi" w:hAnsiTheme="minorBidi" w:cstheme="minorBidi"/>
          <w:color w:val="000000" w:themeColor="text1"/>
        </w:rPr>
        <w:t xml:space="preserve"> </w:t>
      </w:r>
      <w:r>
        <w:rPr>
          <w:rFonts w:asciiTheme="minorBidi" w:hAnsiTheme="minorBidi" w:cstheme="minorBidi"/>
          <w:color w:val="000000" w:themeColor="text1"/>
        </w:rPr>
        <w:t xml:space="preserve">by </w:t>
      </w:r>
      <w:r w:rsidR="00285F7A" w:rsidRPr="006574E1">
        <w:rPr>
          <w:rFonts w:asciiTheme="minorBidi" w:hAnsiTheme="minorBidi" w:cstheme="minorBidi"/>
          <w:color w:val="000000" w:themeColor="text1"/>
        </w:rPr>
        <w:t>consider</w:t>
      </w:r>
      <w:r>
        <w:rPr>
          <w:rFonts w:asciiTheme="minorBidi" w:hAnsiTheme="minorBidi" w:cstheme="minorBidi"/>
          <w:color w:val="000000" w:themeColor="text1"/>
        </w:rPr>
        <w:t>ing</w:t>
      </w:r>
      <w:r w:rsidR="00285F7A" w:rsidRPr="006574E1">
        <w:rPr>
          <w:rFonts w:asciiTheme="minorBidi" w:hAnsiTheme="minorBidi" w:cstheme="minorBidi"/>
          <w:color w:val="000000" w:themeColor="text1"/>
        </w:rPr>
        <w:t xml:space="preserve"> the test</w:t>
      </w:r>
      <w:r w:rsidR="002741F2">
        <w:rPr>
          <w:rFonts w:asciiTheme="minorBidi" w:hAnsiTheme="minorBidi" w:cstheme="minorBidi"/>
          <w:color w:val="000000" w:themeColor="text1"/>
        </w:rPr>
        <w:t xml:space="preserve"> to be applied</w:t>
      </w:r>
      <w:r w:rsidR="00730958">
        <w:rPr>
          <w:rFonts w:asciiTheme="minorBidi" w:hAnsiTheme="minorBidi" w:cstheme="minorBidi"/>
          <w:color w:val="000000" w:themeColor="text1"/>
        </w:rPr>
        <w:t xml:space="preserve"> when </w:t>
      </w:r>
      <w:r>
        <w:rPr>
          <w:rFonts w:asciiTheme="minorBidi" w:hAnsiTheme="minorBidi" w:cstheme="minorBidi"/>
          <w:color w:val="000000" w:themeColor="text1"/>
        </w:rPr>
        <w:t>assessing</w:t>
      </w:r>
      <w:r w:rsidR="00730958">
        <w:rPr>
          <w:rFonts w:asciiTheme="minorBidi" w:hAnsiTheme="minorBidi" w:cstheme="minorBidi"/>
          <w:color w:val="000000" w:themeColor="text1"/>
        </w:rPr>
        <w:t xml:space="preserve"> whether there has been an undue delay</w:t>
      </w:r>
      <w:r w:rsidR="00285F7A" w:rsidRPr="006574E1">
        <w:rPr>
          <w:rFonts w:asciiTheme="minorBidi" w:hAnsiTheme="minorBidi" w:cstheme="minorBidi"/>
          <w:color w:val="000000" w:themeColor="text1"/>
        </w:rPr>
        <w:t xml:space="preserve">. </w:t>
      </w:r>
      <w:r w:rsidR="007B2E40" w:rsidRPr="006574E1">
        <w:rPr>
          <w:rFonts w:asciiTheme="minorBidi" w:hAnsiTheme="minorBidi" w:cstheme="minorBidi"/>
          <w:color w:val="000000" w:themeColor="text1"/>
        </w:rPr>
        <w:t xml:space="preserve">In </w:t>
      </w:r>
      <w:r w:rsidR="00285F7A" w:rsidRPr="006574E1">
        <w:rPr>
          <w:rFonts w:asciiTheme="minorBidi" w:hAnsiTheme="minorBidi" w:cstheme="minorBidi"/>
          <w:i/>
          <w:iCs/>
          <w:color w:val="000000" w:themeColor="text1"/>
        </w:rPr>
        <w:t xml:space="preserve">Buffalo City Metropolitan Municipality v </w:t>
      </w:r>
      <w:r w:rsidR="00870C2E" w:rsidRPr="006574E1">
        <w:rPr>
          <w:rFonts w:asciiTheme="minorBidi" w:hAnsiTheme="minorBidi" w:cstheme="minorBidi"/>
          <w:i/>
          <w:iCs/>
          <w:color w:val="000000" w:themeColor="text1"/>
        </w:rPr>
        <w:t xml:space="preserve">Asla </w:t>
      </w:r>
      <w:r w:rsidR="00285F7A" w:rsidRPr="006574E1">
        <w:rPr>
          <w:rFonts w:asciiTheme="minorBidi" w:hAnsiTheme="minorBidi" w:cstheme="minorBidi"/>
          <w:i/>
          <w:iCs/>
          <w:color w:val="000000" w:themeColor="text1"/>
        </w:rPr>
        <w:t>Construction (Pty) Limited</w:t>
      </w:r>
      <w:r w:rsidR="00285F7A" w:rsidRPr="006574E1">
        <w:rPr>
          <w:rFonts w:asciiTheme="minorBidi" w:hAnsiTheme="minorBidi" w:cstheme="minorBidi"/>
          <w:color w:val="000000" w:themeColor="text1"/>
        </w:rPr>
        <w:t>,</w:t>
      </w:r>
      <w:r w:rsidR="00285F7A" w:rsidRPr="006574E1">
        <w:rPr>
          <w:rStyle w:val="FootnoteReference"/>
          <w:rFonts w:asciiTheme="minorBidi" w:hAnsiTheme="minorBidi" w:cstheme="minorBidi"/>
          <w:color w:val="000000" w:themeColor="text1"/>
        </w:rPr>
        <w:footnoteReference w:id="9"/>
      </w:r>
      <w:r w:rsidR="00285F7A" w:rsidRPr="006574E1">
        <w:rPr>
          <w:rFonts w:asciiTheme="minorBidi" w:hAnsiTheme="minorBidi" w:cstheme="minorBidi"/>
          <w:color w:val="000000" w:themeColor="text1"/>
        </w:rPr>
        <w:t xml:space="preserve"> </w:t>
      </w:r>
      <w:r w:rsidR="007B2E40" w:rsidRPr="006574E1">
        <w:rPr>
          <w:rFonts w:asciiTheme="minorBidi" w:hAnsiTheme="minorBidi" w:cstheme="minorBidi"/>
          <w:color w:val="000000" w:themeColor="text1"/>
        </w:rPr>
        <w:t xml:space="preserve">Theron J affirmed that </w:t>
      </w:r>
      <w:r w:rsidR="00285F7A" w:rsidRPr="006574E1">
        <w:rPr>
          <w:rFonts w:asciiTheme="minorBidi" w:hAnsiTheme="minorBidi" w:cstheme="minorBidi"/>
          <w:color w:val="000000" w:themeColor="text1"/>
        </w:rPr>
        <w:t xml:space="preserve">the test to be </w:t>
      </w:r>
      <w:r w:rsidR="00285F7A" w:rsidRPr="00730958">
        <w:rPr>
          <w:rFonts w:asciiTheme="minorBidi" w:hAnsiTheme="minorBidi" w:cstheme="minorBidi"/>
          <w:color w:val="000000" w:themeColor="text1"/>
        </w:rPr>
        <w:t xml:space="preserve">applied </w:t>
      </w:r>
      <w:r w:rsidR="007B2E40" w:rsidRPr="00730958">
        <w:rPr>
          <w:rFonts w:asciiTheme="minorBidi" w:hAnsiTheme="minorBidi" w:cstheme="minorBidi"/>
          <w:color w:val="000000" w:themeColor="text1"/>
        </w:rPr>
        <w:t>is th</w:t>
      </w:r>
      <w:r w:rsidR="002741F2" w:rsidRPr="00730958">
        <w:rPr>
          <w:rFonts w:asciiTheme="minorBidi" w:hAnsiTheme="minorBidi" w:cstheme="minorBidi"/>
          <w:color w:val="000000" w:themeColor="text1"/>
        </w:rPr>
        <w:t xml:space="preserve">e </w:t>
      </w:r>
      <w:r>
        <w:rPr>
          <w:rFonts w:asciiTheme="minorBidi" w:hAnsiTheme="minorBidi" w:cstheme="minorBidi"/>
          <w:color w:val="000000" w:themeColor="text1"/>
        </w:rPr>
        <w:t xml:space="preserve">two step </w:t>
      </w:r>
      <w:r w:rsidR="002741F2" w:rsidRPr="00730958">
        <w:rPr>
          <w:rFonts w:asciiTheme="minorBidi" w:hAnsiTheme="minorBidi" w:cstheme="minorBidi"/>
          <w:color w:val="000000" w:themeColor="text1"/>
        </w:rPr>
        <w:t>test</w:t>
      </w:r>
      <w:r w:rsidR="007B2E40" w:rsidRPr="00730958">
        <w:rPr>
          <w:rFonts w:asciiTheme="minorBidi" w:hAnsiTheme="minorBidi" w:cstheme="minorBidi"/>
          <w:color w:val="000000" w:themeColor="text1"/>
        </w:rPr>
        <w:t xml:space="preserve"> initially postulated in</w:t>
      </w:r>
      <w:r w:rsidR="007B2E40" w:rsidRPr="00730958">
        <w:rPr>
          <w:rFonts w:asciiTheme="minorBidi" w:hAnsiTheme="minorBidi" w:cstheme="minorBidi"/>
          <w:i/>
          <w:iCs/>
          <w:color w:val="000000" w:themeColor="text1"/>
        </w:rPr>
        <w:t xml:space="preserve"> </w:t>
      </w:r>
      <w:r w:rsidR="006574E1" w:rsidRPr="00730958">
        <w:rPr>
          <w:rFonts w:asciiTheme="minorBidi" w:hAnsiTheme="minorBidi" w:cstheme="minorBidi"/>
          <w:i/>
          <w:iCs/>
          <w:color w:val="000000" w:themeColor="text1"/>
        </w:rPr>
        <w:t xml:space="preserve">Gqwetha v Transkei Development Corporation Ltd and </w:t>
      </w:r>
      <w:r w:rsidR="00766ABE" w:rsidRPr="00730958">
        <w:rPr>
          <w:rFonts w:asciiTheme="minorBidi" w:hAnsiTheme="minorBidi" w:cstheme="minorBidi"/>
          <w:i/>
          <w:iCs/>
          <w:color w:val="000000" w:themeColor="text1"/>
        </w:rPr>
        <w:t>others</w:t>
      </w:r>
      <w:r w:rsidR="006574E1" w:rsidRPr="00730958">
        <w:rPr>
          <w:rFonts w:asciiTheme="minorBidi" w:hAnsiTheme="minorBidi" w:cstheme="minorBidi"/>
          <w:color w:val="000000" w:themeColor="text1"/>
        </w:rPr>
        <w:t>,</w:t>
      </w:r>
      <w:r w:rsidR="006574E1" w:rsidRPr="00334A02">
        <w:rPr>
          <w:rStyle w:val="FootnoteReference"/>
          <w:rFonts w:asciiTheme="minorBidi" w:hAnsiTheme="minorBidi" w:cstheme="minorBidi"/>
          <w:color w:val="000000" w:themeColor="text1"/>
        </w:rPr>
        <w:footnoteReference w:id="10"/>
      </w:r>
      <w:r w:rsidR="006574E1" w:rsidRPr="00730958">
        <w:rPr>
          <w:rFonts w:asciiTheme="minorBidi" w:hAnsiTheme="minorBidi" w:cstheme="minorBidi"/>
          <w:color w:val="000000" w:themeColor="text1"/>
        </w:rPr>
        <w:t xml:space="preserve"> and reaffirmed in </w:t>
      </w:r>
      <w:r w:rsidR="007B2E40" w:rsidRPr="00730958">
        <w:rPr>
          <w:rFonts w:asciiTheme="minorBidi" w:hAnsiTheme="minorBidi" w:cstheme="minorBidi"/>
          <w:i/>
          <w:iCs/>
          <w:color w:val="000000" w:themeColor="text1"/>
        </w:rPr>
        <w:t>Khumalo</w:t>
      </w:r>
      <w:r w:rsidR="00870C2E">
        <w:rPr>
          <w:rFonts w:asciiTheme="minorBidi" w:hAnsiTheme="minorBidi" w:cstheme="minorBidi"/>
          <w:i/>
          <w:iCs/>
          <w:color w:val="000000" w:themeColor="text1"/>
        </w:rPr>
        <w:t xml:space="preserve"> and another</w:t>
      </w:r>
      <w:r w:rsidR="007B2E40" w:rsidRPr="00730958">
        <w:rPr>
          <w:rFonts w:asciiTheme="minorBidi" w:hAnsiTheme="minorBidi" w:cstheme="minorBidi"/>
          <w:i/>
          <w:iCs/>
          <w:color w:val="000000" w:themeColor="text1"/>
        </w:rPr>
        <w:t xml:space="preserve"> v </w:t>
      </w:r>
      <w:r w:rsidR="007D5463">
        <w:rPr>
          <w:rFonts w:asciiTheme="minorBidi" w:hAnsiTheme="minorBidi" w:cstheme="minorBidi"/>
          <w:i/>
          <w:iCs/>
          <w:color w:val="000000" w:themeColor="text1"/>
        </w:rPr>
        <w:t>MEC</w:t>
      </w:r>
      <w:r w:rsidR="007B2E40" w:rsidRPr="00730958">
        <w:rPr>
          <w:rFonts w:asciiTheme="minorBidi" w:hAnsiTheme="minorBidi" w:cstheme="minorBidi"/>
          <w:i/>
          <w:iCs/>
          <w:color w:val="000000" w:themeColor="text1"/>
        </w:rPr>
        <w:t xml:space="preserve"> for Education, KwaZulu</w:t>
      </w:r>
      <w:r w:rsidR="007D5463">
        <w:rPr>
          <w:rFonts w:asciiTheme="minorBidi" w:hAnsiTheme="minorBidi" w:cstheme="minorBidi"/>
          <w:i/>
          <w:iCs/>
          <w:color w:val="000000" w:themeColor="text1"/>
        </w:rPr>
        <w:t>-</w:t>
      </w:r>
      <w:r w:rsidR="007B2E40" w:rsidRPr="00730958">
        <w:rPr>
          <w:rFonts w:asciiTheme="minorBidi" w:hAnsiTheme="minorBidi" w:cstheme="minorBidi"/>
          <w:i/>
          <w:iCs/>
          <w:color w:val="000000" w:themeColor="text1"/>
        </w:rPr>
        <w:t>Natal</w:t>
      </w:r>
      <w:r w:rsidR="004A159F" w:rsidRPr="00730958">
        <w:rPr>
          <w:rFonts w:asciiTheme="minorBidi" w:hAnsiTheme="minorBidi" w:cstheme="minorBidi"/>
          <w:i/>
          <w:iCs/>
          <w:color w:val="000000" w:themeColor="text1"/>
        </w:rPr>
        <w:t>,</w:t>
      </w:r>
      <w:r w:rsidR="006574E1" w:rsidRPr="004A159F">
        <w:rPr>
          <w:rStyle w:val="FootnoteReference"/>
          <w:rFonts w:asciiTheme="minorBidi" w:hAnsiTheme="minorBidi" w:cstheme="minorBidi"/>
          <w:color w:val="000000" w:themeColor="text1"/>
        </w:rPr>
        <w:footnoteReference w:id="11"/>
      </w:r>
      <w:r w:rsidR="007B2E40" w:rsidRPr="00730958">
        <w:rPr>
          <w:rFonts w:asciiTheme="minorBidi" w:hAnsiTheme="minorBidi" w:cstheme="minorBidi"/>
          <w:color w:val="000000" w:themeColor="text1"/>
        </w:rPr>
        <w:t> </w:t>
      </w:r>
      <w:r w:rsidR="004A159F" w:rsidRPr="00730958">
        <w:rPr>
          <w:rFonts w:asciiTheme="minorBidi" w:hAnsiTheme="minorBidi" w:cstheme="minorBidi"/>
          <w:color w:val="000000" w:themeColor="text1"/>
          <w:shd w:val="clear" w:color="auto" w:fill="FFFFFF"/>
        </w:rPr>
        <w:t>namely that:</w:t>
      </w:r>
    </w:p>
    <w:p w14:paraId="78821183" w14:textId="77777777" w:rsidR="00285F7A" w:rsidRDefault="00285F7A" w:rsidP="00EA6F22">
      <w:pPr>
        <w:spacing w:line="360" w:lineRule="auto"/>
        <w:jc w:val="both"/>
        <w:rPr>
          <w:rFonts w:asciiTheme="minorBidi" w:hAnsiTheme="minorBidi" w:cstheme="minorBidi"/>
          <w:color w:val="242121"/>
          <w:sz w:val="22"/>
          <w:szCs w:val="22"/>
        </w:rPr>
      </w:pPr>
      <w:r w:rsidRPr="006574E1">
        <w:rPr>
          <w:rFonts w:asciiTheme="minorBidi" w:hAnsiTheme="minorBidi" w:cstheme="minorBidi"/>
          <w:color w:val="242121"/>
          <w:sz w:val="22"/>
          <w:szCs w:val="22"/>
        </w:rPr>
        <w:t>‘</w:t>
      </w:r>
      <w:r w:rsidR="00EC5DFF" w:rsidRPr="00EC5DFF">
        <w:rPr>
          <w:rFonts w:asciiTheme="minorBidi" w:hAnsiTheme="minorBidi" w:cstheme="minorBidi"/>
          <w:color w:val="242121"/>
          <w:sz w:val="22"/>
          <w:szCs w:val="22"/>
          <w:lang w:val="en-US"/>
        </w:rPr>
        <w:t xml:space="preserve">Firstly, it must be determined whether the delay is unreasonable or undue. This is a factual enquiry upon which a value judgment is made, having regard to the circumstances of the </w:t>
      </w:r>
      <w:r w:rsidR="00EC5DFF" w:rsidRPr="00EC5DFF">
        <w:rPr>
          <w:rFonts w:asciiTheme="minorBidi" w:hAnsiTheme="minorBidi" w:cstheme="minorBidi"/>
          <w:color w:val="242121"/>
          <w:sz w:val="22"/>
          <w:szCs w:val="22"/>
          <w:lang w:val="en-US"/>
        </w:rPr>
        <w:lastRenderedPageBreak/>
        <w:t>matter. Secondly, if the delay is unreasonable, the question becomes whether the court's discretion should nevertheless be exercised to overlook the delay to entertain the application</w:t>
      </w:r>
      <w:r w:rsidRPr="00A67424">
        <w:rPr>
          <w:rFonts w:asciiTheme="minorBidi" w:hAnsiTheme="minorBidi" w:cstheme="minorBidi"/>
          <w:color w:val="242121"/>
          <w:sz w:val="22"/>
          <w:szCs w:val="22"/>
        </w:rPr>
        <w:t>.’</w:t>
      </w:r>
      <w:r w:rsidR="009D0E87">
        <w:rPr>
          <w:rStyle w:val="FootnoteReference"/>
          <w:rFonts w:asciiTheme="minorBidi" w:hAnsiTheme="minorBidi" w:cstheme="minorBidi"/>
          <w:color w:val="242121"/>
          <w:sz w:val="22"/>
          <w:szCs w:val="22"/>
        </w:rPr>
        <w:footnoteReference w:id="12"/>
      </w:r>
    </w:p>
    <w:p w14:paraId="30E6CC2C" w14:textId="77777777" w:rsidR="00285F7A" w:rsidRPr="00525324" w:rsidRDefault="00285F7A" w:rsidP="00EA6F22">
      <w:pPr>
        <w:pStyle w:val="ListParagraph"/>
        <w:tabs>
          <w:tab w:val="left" w:pos="709"/>
        </w:tabs>
        <w:spacing w:line="360" w:lineRule="auto"/>
        <w:ind w:left="0"/>
        <w:jc w:val="both"/>
        <w:rPr>
          <w:rFonts w:asciiTheme="minorBidi" w:hAnsiTheme="minorBidi" w:cstheme="minorBidi"/>
          <w:color w:val="242121"/>
          <w:lang w:val="en-GB"/>
        </w:rPr>
      </w:pPr>
      <w:r>
        <w:rPr>
          <w:rFonts w:asciiTheme="minorBidi" w:hAnsiTheme="minorBidi" w:cstheme="minorBidi"/>
          <w:color w:val="242121"/>
          <w:lang w:val="en-GB"/>
        </w:rPr>
        <w:t>Any explanation offered for a delay must cover the whole period of the delay.</w:t>
      </w:r>
      <w:r>
        <w:rPr>
          <w:rStyle w:val="FootnoteReference"/>
          <w:rFonts w:asciiTheme="minorBidi" w:hAnsiTheme="minorBidi" w:cstheme="minorBidi"/>
          <w:color w:val="242121"/>
          <w:lang w:val="en-GB"/>
        </w:rPr>
        <w:footnoteReference w:id="13"/>
      </w:r>
    </w:p>
    <w:p w14:paraId="213377F2" w14:textId="77777777" w:rsidR="0091132E" w:rsidRPr="00285F7A" w:rsidRDefault="0091132E" w:rsidP="00EA6F22">
      <w:pPr>
        <w:pStyle w:val="ListParagraph"/>
        <w:spacing w:line="360" w:lineRule="auto"/>
        <w:rPr>
          <w:rFonts w:asciiTheme="minorBidi" w:hAnsiTheme="minorBidi" w:cstheme="minorBidi"/>
        </w:rPr>
      </w:pPr>
    </w:p>
    <w:p w14:paraId="4E8D4F16" w14:textId="77777777" w:rsidR="00134C2A" w:rsidRPr="002B3235" w:rsidRDefault="00134C2A" w:rsidP="00134C2A">
      <w:pPr>
        <w:pStyle w:val="ListParagraph"/>
        <w:numPr>
          <w:ilvl w:val="0"/>
          <w:numId w:val="8"/>
        </w:numPr>
        <w:tabs>
          <w:tab w:val="left" w:pos="709"/>
        </w:tabs>
        <w:spacing w:before="144" w:line="360" w:lineRule="auto"/>
        <w:ind w:left="0" w:firstLine="0"/>
        <w:jc w:val="both"/>
        <w:rPr>
          <w:rFonts w:asciiTheme="minorBidi" w:hAnsiTheme="minorBidi" w:cstheme="minorBidi"/>
          <w:color w:val="242121"/>
        </w:rPr>
      </w:pPr>
      <w:r>
        <w:rPr>
          <w:rFonts w:asciiTheme="minorBidi" w:hAnsiTheme="minorBidi" w:cstheme="minorBidi"/>
        </w:rPr>
        <w:t>I</w:t>
      </w:r>
      <w:r w:rsidRPr="002B3235">
        <w:rPr>
          <w:rFonts w:asciiTheme="minorBidi" w:hAnsiTheme="minorBidi" w:cstheme="minorBidi"/>
        </w:rPr>
        <w:t xml:space="preserve">n </w:t>
      </w:r>
      <w:r w:rsidRPr="002B3235">
        <w:rPr>
          <w:rFonts w:asciiTheme="minorBidi" w:hAnsiTheme="minorBidi" w:cstheme="minorBidi"/>
          <w:i/>
          <w:iCs/>
          <w:color w:val="000000" w:themeColor="text1"/>
        </w:rPr>
        <w:t>Altech</w:t>
      </w:r>
      <w:r>
        <w:rPr>
          <w:rFonts w:asciiTheme="minorBidi" w:hAnsiTheme="minorBidi" w:cstheme="minorBidi"/>
          <w:color w:val="000000" w:themeColor="text1"/>
        </w:rPr>
        <w:t>,</w:t>
      </w:r>
      <w:r w:rsidRPr="002B3235">
        <w:rPr>
          <w:rStyle w:val="FootnoteReference"/>
          <w:rFonts w:asciiTheme="minorBidi" w:hAnsiTheme="minorBidi" w:cstheme="minorBidi"/>
          <w:color w:val="000000" w:themeColor="text1"/>
        </w:rPr>
        <w:footnoteReference w:id="14"/>
      </w:r>
      <w:r w:rsidRPr="002B3235">
        <w:rPr>
          <w:rFonts w:asciiTheme="minorBidi" w:hAnsiTheme="minorBidi" w:cstheme="minorBidi"/>
          <w:color w:val="000000" w:themeColor="text1"/>
        </w:rPr>
        <w:t xml:space="preserve"> </w:t>
      </w:r>
      <w:r>
        <w:rPr>
          <w:rFonts w:asciiTheme="minorBidi" w:hAnsiTheme="minorBidi" w:cstheme="minorBidi"/>
          <w:color w:val="000000" w:themeColor="text1"/>
        </w:rPr>
        <w:t>Ponnan JA reaffirmed that:</w:t>
      </w:r>
    </w:p>
    <w:p w14:paraId="1E1FE678" w14:textId="77777777" w:rsidR="00134C2A" w:rsidRDefault="00134C2A" w:rsidP="00134C2A">
      <w:pPr>
        <w:pStyle w:val="ListParagraph"/>
        <w:tabs>
          <w:tab w:val="left" w:pos="709"/>
        </w:tabs>
        <w:spacing w:before="144" w:line="360" w:lineRule="auto"/>
        <w:ind w:left="0"/>
        <w:jc w:val="both"/>
        <w:rPr>
          <w:rFonts w:asciiTheme="minorBidi" w:hAnsiTheme="minorBidi" w:cstheme="minorBidi"/>
          <w:sz w:val="22"/>
          <w:szCs w:val="22"/>
        </w:rPr>
      </w:pPr>
      <w:r w:rsidRPr="002B3235">
        <w:rPr>
          <w:rFonts w:asciiTheme="minorBidi" w:hAnsiTheme="minorBidi" w:cstheme="minorBidi"/>
          <w:sz w:val="22"/>
          <w:szCs w:val="22"/>
        </w:rPr>
        <w:t>‘It is a long-standing rule that a legality review must be initiated without undue delay and that courts have the power (as part of their inherent jurisdiction to regulate their own proceedings) to either overlook the delay or refuse a review application in the face of an undue delay.’</w:t>
      </w:r>
    </w:p>
    <w:p w14:paraId="48D95D83" w14:textId="77777777" w:rsidR="0089744C" w:rsidRPr="002B3235" w:rsidRDefault="0089744C" w:rsidP="00134C2A">
      <w:pPr>
        <w:pStyle w:val="ListParagraph"/>
        <w:tabs>
          <w:tab w:val="left" w:pos="709"/>
        </w:tabs>
        <w:spacing w:before="144" w:line="360" w:lineRule="auto"/>
        <w:ind w:left="0"/>
        <w:jc w:val="both"/>
        <w:rPr>
          <w:rFonts w:asciiTheme="minorBidi" w:hAnsiTheme="minorBidi" w:cstheme="minorBidi"/>
          <w:color w:val="242121"/>
          <w:sz w:val="22"/>
          <w:szCs w:val="22"/>
        </w:rPr>
      </w:pPr>
    </w:p>
    <w:p w14:paraId="55E55536" w14:textId="77777777" w:rsidR="00E6043F" w:rsidRPr="00E6043F" w:rsidRDefault="00186038" w:rsidP="000635C5">
      <w:pPr>
        <w:pStyle w:val="ListParagraph"/>
        <w:numPr>
          <w:ilvl w:val="0"/>
          <w:numId w:val="8"/>
        </w:numPr>
        <w:tabs>
          <w:tab w:val="left" w:pos="709"/>
        </w:tabs>
        <w:spacing w:before="144" w:line="360" w:lineRule="auto"/>
        <w:ind w:left="0" w:firstLine="0"/>
        <w:jc w:val="both"/>
        <w:rPr>
          <w:rFonts w:ascii="Verdana" w:hAnsi="Verdana"/>
          <w:color w:val="242121"/>
          <w:sz w:val="22"/>
          <w:szCs w:val="22"/>
        </w:rPr>
      </w:pPr>
      <w:r w:rsidRPr="00E6043F">
        <w:rPr>
          <w:rFonts w:ascii="Arial" w:hAnsi="Arial" w:cs="Arial"/>
          <w:color w:val="242121"/>
          <w:lang w:val="en-GB"/>
        </w:rPr>
        <w:t>The requirement that legality reviews be brought without delay was further explained in</w:t>
      </w:r>
      <w:r w:rsidRPr="00E6043F">
        <w:rPr>
          <w:rStyle w:val="apple-converted-space"/>
          <w:rFonts w:ascii="Arial" w:hAnsi="Arial" w:cs="Arial"/>
          <w:color w:val="242121"/>
          <w:lang w:val="en-GB"/>
        </w:rPr>
        <w:t> </w:t>
      </w:r>
      <w:r w:rsidRPr="00E6043F">
        <w:rPr>
          <w:rFonts w:ascii="Arial" w:hAnsi="Arial" w:cs="Arial"/>
          <w:i/>
          <w:iCs/>
          <w:color w:val="242121"/>
          <w:lang w:val="en-GB"/>
        </w:rPr>
        <w:t>Merafong City v AngloGold Ashanti Limited</w:t>
      </w:r>
      <w:r w:rsidR="00357AE6" w:rsidRPr="00357AE6">
        <w:rPr>
          <w:rFonts w:ascii="Arial" w:hAnsi="Arial" w:cs="Arial"/>
          <w:iCs/>
          <w:color w:val="242121"/>
          <w:lang w:val="en-GB"/>
        </w:rPr>
        <w:t>,</w:t>
      </w:r>
      <w:r w:rsidR="00E6043F">
        <w:rPr>
          <w:rStyle w:val="FootnoteReference"/>
          <w:rFonts w:ascii="Arial" w:hAnsi="Arial" w:cs="Arial"/>
          <w:color w:val="242121"/>
          <w:lang w:val="en-GB"/>
        </w:rPr>
        <w:footnoteReference w:id="15"/>
      </w:r>
      <w:r w:rsidR="00E6043F" w:rsidRPr="00E6043F">
        <w:rPr>
          <w:rFonts w:ascii="Arial" w:hAnsi="Arial" w:cs="Arial"/>
          <w:i/>
          <w:iCs/>
          <w:color w:val="242121"/>
          <w:lang w:val="en-GB"/>
        </w:rPr>
        <w:t xml:space="preserve"> </w:t>
      </w:r>
      <w:r w:rsidR="00E6043F" w:rsidRPr="00E6043F">
        <w:rPr>
          <w:rFonts w:ascii="Arial" w:hAnsi="Arial" w:cs="Arial"/>
          <w:color w:val="242121"/>
          <w:lang w:val="en-GB"/>
        </w:rPr>
        <w:t xml:space="preserve">where </w:t>
      </w:r>
      <w:r w:rsidR="00357AE6">
        <w:rPr>
          <w:rFonts w:ascii="Arial" w:hAnsi="Arial" w:cs="Arial"/>
          <w:color w:val="242121"/>
          <w:lang w:val="en-GB"/>
        </w:rPr>
        <w:t>Cameron J</w:t>
      </w:r>
      <w:r w:rsidR="00E6043F" w:rsidRPr="00E6043F">
        <w:rPr>
          <w:rFonts w:ascii="Arial" w:hAnsi="Arial" w:cs="Arial"/>
          <w:i/>
          <w:iCs/>
          <w:color w:val="242121"/>
          <w:lang w:val="en-GB"/>
        </w:rPr>
        <w:t xml:space="preserve"> </w:t>
      </w:r>
      <w:r w:rsidR="00357AE6">
        <w:rPr>
          <w:rFonts w:ascii="Arial" w:hAnsi="Arial" w:cs="Arial"/>
          <w:color w:val="242121"/>
          <w:lang w:val="en-GB"/>
        </w:rPr>
        <w:t>stated</w:t>
      </w:r>
      <w:r w:rsidRPr="00E6043F">
        <w:rPr>
          <w:rFonts w:ascii="Arial" w:hAnsi="Arial" w:cs="Arial"/>
          <w:color w:val="242121"/>
          <w:lang w:val="en-GB"/>
        </w:rPr>
        <w:t xml:space="preserve"> that:</w:t>
      </w:r>
    </w:p>
    <w:p w14:paraId="5A02E4AA" w14:textId="77777777" w:rsidR="00186038" w:rsidRPr="00E6043F" w:rsidRDefault="00357AE6" w:rsidP="00E6043F">
      <w:pPr>
        <w:pStyle w:val="ListParagraph"/>
        <w:tabs>
          <w:tab w:val="left" w:pos="709"/>
        </w:tabs>
        <w:spacing w:before="144" w:line="360" w:lineRule="auto"/>
        <w:ind w:left="0"/>
        <w:jc w:val="both"/>
        <w:rPr>
          <w:rFonts w:ascii="Verdana" w:hAnsi="Verdana"/>
          <w:color w:val="242121"/>
          <w:sz w:val="22"/>
          <w:szCs w:val="22"/>
        </w:rPr>
      </w:pPr>
      <w:r w:rsidRPr="00357AE6">
        <w:rPr>
          <w:rFonts w:ascii="Arial" w:hAnsi="Arial" w:cs="Arial"/>
          <w:color w:val="242121"/>
          <w:sz w:val="22"/>
          <w:szCs w:val="22"/>
          <w:lang w:val="en-GB"/>
        </w:rPr>
        <w:t>‘</w:t>
      </w:r>
      <w:r w:rsidR="00186038" w:rsidRPr="00E6043F">
        <w:rPr>
          <w:rFonts w:ascii="Arial" w:hAnsi="Arial" w:cs="Arial"/>
          <w:color w:val="242121"/>
          <w:sz w:val="22"/>
          <w:szCs w:val="22"/>
          <w:lang w:val="en-GB"/>
        </w:rPr>
        <w:t>The rule against delay in instituting review exists for good reason: to curb the potential prejudice that would ensue if the lawfulness of the decision remains uncertain. Protracted delays could give rise to calamitous effects. Not just for those who rely upon the decision but also for the efficient functioning of the decision-making body itself.</w:t>
      </w:r>
      <w:r w:rsidRPr="00357AE6">
        <w:rPr>
          <w:rFonts w:ascii="Arial" w:hAnsi="Arial" w:cs="Arial"/>
          <w:color w:val="242121"/>
          <w:sz w:val="22"/>
          <w:szCs w:val="22"/>
          <w:lang w:val="en-GB"/>
        </w:rPr>
        <w:t>’</w:t>
      </w:r>
    </w:p>
    <w:p w14:paraId="3C0B24C0" w14:textId="77777777" w:rsidR="00186038" w:rsidRDefault="00186038" w:rsidP="00186038"/>
    <w:p w14:paraId="128DAF2C" w14:textId="77777777" w:rsidR="00E6043F" w:rsidRPr="00186038" w:rsidRDefault="00E6043F" w:rsidP="00E6043F">
      <w:pPr>
        <w:pStyle w:val="ListParagraph"/>
        <w:numPr>
          <w:ilvl w:val="0"/>
          <w:numId w:val="8"/>
        </w:numPr>
        <w:tabs>
          <w:tab w:val="left" w:pos="709"/>
        </w:tabs>
        <w:spacing w:before="144" w:line="360" w:lineRule="auto"/>
        <w:ind w:left="0" w:firstLine="0"/>
        <w:jc w:val="both"/>
        <w:rPr>
          <w:rFonts w:asciiTheme="minorBidi" w:hAnsiTheme="minorBidi" w:cstheme="minorBidi"/>
          <w:color w:val="242121"/>
          <w:sz w:val="22"/>
          <w:szCs w:val="22"/>
        </w:rPr>
      </w:pPr>
      <w:r>
        <w:rPr>
          <w:rFonts w:asciiTheme="minorBidi" w:hAnsiTheme="minorBidi" w:cstheme="minorBidi"/>
        </w:rPr>
        <w:t xml:space="preserve">On how the reasonableness of a delay is to be assessed, Plasket JA in </w:t>
      </w:r>
      <w:r w:rsidRPr="0091132E">
        <w:rPr>
          <w:rFonts w:asciiTheme="minorBidi" w:hAnsiTheme="minorBidi" w:cstheme="minorBidi"/>
          <w:i/>
          <w:iCs/>
          <w:color w:val="242121"/>
          <w:lang w:val="en-GB"/>
        </w:rPr>
        <w:t xml:space="preserve">Valor IT v Premier, North West Province and </w:t>
      </w:r>
      <w:r w:rsidR="00870C2E" w:rsidRPr="0091132E">
        <w:rPr>
          <w:rFonts w:asciiTheme="minorBidi" w:hAnsiTheme="minorBidi" w:cstheme="minorBidi"/>
          <w:i/>
          <w:iCs/>
          <w:color w:val="242121"/>
          <w:lang w:val="en-GB"/>
        </w:rPr>
        <w:t>others</w:t>
      </w:r>
      <w:r w:rsidRPr="0091132E">
        <w:rPr>
          <w:rStyle w:val="FootnoteReference"/>
          <w:rFonts w:asciiTheme="minorBidi" w:hAnsiTheme="minorBidi" w:cstheme="minorBidi"/>
          <w:color w:val="242121"/>
          <w:lang w:val="en-GB"/>
        </w:rPr>
        <w:footnoteReference w:id="16"/>
      </w:r>
      <w:r w:rsidRPr="0091132E">
        <w:rPr>
          <w:rFonts w:asciiTheme="minorBidi" w:hAnsiTheme="minorBidi" w:cstheme="minorBidi"/>
        </w:rPr>
        <w:t xml:space="preserve"> </w:t>
      </w:r>
      <w:r>
        <w:rPr>
          <w:rFonts w:asciiTheme="minorBidi" w:hAnsiTheme="minorBidi" w:cstheme="minorBidi"/>
        </w:rPr>
        <w:t>indicated</w:t>
      </w:r>
      <w:r w:rsidRPr="0091132E">
        <w:rPr>
          <w:rFonts w:asciiTheme="minorBidi" w:hAnsiTheme="minorBidi" w:cstheme="minorBidi"/>
        </w:rPr>
        <w:t xml:space="preserve"> that:</w:t>
      </w:r>
    </w:p>
    <w:p w14:paraId="6085E128" w14:textId="77777777" w:rsidR="00E6043F" w:rsidRPr="0091132E" w:rsidRDefault="00E6043F" w:rsidP="00B2678E">
      <w:pPr>
        <w:pStyle w:val="ListParagraph"/>
        <w:spacing w:before="144" w:line="360" w:lineRule="auto"/>
        <w:ind w:left="0"/>
        <w:jc w:val="both"/>
        <w:rPr>
          <w:rFonts w:asciiTheme="minorBidi" w:hAnsiTheme="minorBidi" w:cstheme="minorBidi"/>
          <w:color w:val="242121"/>
          <w:sz w:val="22"/>
          <w:szCs w:val="22"/>
        </w:rPr>
      </w:pPr>
      <w:r w:rsidRPr="0091132E">
        <w:rPr>
          <w:rFonts w:asciiTheme="minorBidi" w:hAnsiTheme="minorBidi" w:cstheme="minorBidi"/>
          <w:color w:val="242121"/>
          <w:sz w:val="22"/>
          <w:szCs w:val="22"/>
        </w:rPr>
        <w:t>‘</w:t>
      </w:r>
      <w:r w:rsidR="00B2678E" w:rsidRPr="00B2678E">
        <w:rPr>
          <w:rFonts w:asciiTheme="minorBidi" w:hAnsiTheme="minorBidi" w:cstheme="minorBidi"/>
          <w:color w:val="242121"/>
          <w:sz w:val="22"/>
          <w:szCs w:val="22"/>
          <w:lang w:val="en-US"/>
        </w:rPr>
        <w:t>Whether a delay is unreasonable is a factual issue that involves the making of a value judgment. </w:t>
      </w:r>
      <w:bookmarkStart w:id="0" w:name="0-0-0-61601"/>
      <w:bookmarkEnd w:id="0"/>
      <w:r w:rsidR="00B2678E" w:rsidRPr="00B2678E">
        <w:rPr>
          <w:rFonts w:asciiTheme="minorBidi" w:hAnsiTheme="minorBidi" w:cstheme="minorBidi"/>
          <w:color w:val="242121"/>
          <w:sz w:val="22"/>
          <w:szCs w:val="22"/>
          <w:lang w:val="en-US"/>
        </w:rPr>
        <w:t>Whether, in the event of the delay being found to be unreasonable, condonation should be granted</w:t>
      </w:r>
      <w:r w:rsidR="00ED7A79">
        <w:rPr>
          <w:rFonts w:asciiTheme="minorBidi" w:hAnsiTheme="minorBidi" w:cstheme="minorBidi"/>
          <w:color w:val="242121"/>
          <w:sz w:val="22"/>
          <w:szCs w:val="22"/>
          <w:lang w:val="en-US"/>
        </w:rPr>
        <w:t xml:space="preserve"> involves a “</w:t>
      </w:r>
      <w:r w:rsidR="00B2678E" w:rsidRPr="00B2678E">
        <w:rPr>
          <w:rFonts w:asciiTheme="minorBidi" w:hAnsiTheme="minorBidi" w:cstheme="minorBidi"/>
          <w:color w:val="242121"/>
          <w:sz w:val="22"/>
          <w:szCs w:val="22"/>
          <w:lang w:val="en-US"/>
        </w:rPr>
        <w:t>factual, multi-factor and context-sensitive</w:t>
      </w:r>
      <w:r w:rsidR="00ED7A79">
        <w:rPr>
          <w:rFonts w:asciiTheme="minorBidi" w:hAnsiTheme="minorBidi" w:cstheme="minorBidi"/>
          <w:color w:val="242121"/>
          <w:sz w:val="22"/>
          <w:szCs w:val="22"/>
          <w:lang w:val="en-US"/>
        </w:rPr>
        <w:t>”</w:t>
      </w:r>
      <w:r w:rsidR="00B2678E" w:rsidRPr="00B2678E">
        <w:rPr>
          <w:rFonts w:asciiTheme="minorBidi" w:hAnsiTheme="minorBidi" w:cstheme="minorBidi"/>
          <w:color w:val="242121"/>
          <w:sz w:val="22"/>
          <w:szCs w:val="22"/>
          <w:lang w:val="en-US"/>
        </w:rPr>
        <w:t xml:space="preserve"> enquiry </w:t>
      </w:r>
      <w:bookmarkStart w:id="1" w:name="0-0-0-61605"/>
      <w:bookmarkEnd w:id="1"/>
      <w:r w:rsidR="00B2678E" w:rsidRPr="00B2678E">
        <w:rPr>
          <w:rFonts w:asciiTheme="minorBidi" w:hAnsiTheme="minorBidi" w:cstheme="minorBidi"/>
          <w:color w:val="242121"/>
          <w:sz w:val="22"/>
          <w:szCs w:val="22"/>
          <w:lang w:val="en-US"/>
        </w:rPr>
        <w:t>in which a range of factors — the length of the delay, the reasons for it, the prejudice to the parties that it may cause, the fullness of the explanation, the prospects of success on the merits — are all considered and weighed before a discretion is exercised one way or the other</w:t>
      </w:r>
      <w:r w:rsidRPr="0091132E">
        <w:rPr>
          <w:rFonts w:asciiTheme="minorBidi" w:hAnsiTheme="minorBidi" w:cstheme="minorBidi"/>
          <w:color w:val="242121"/>
          <w:sz w:val="22"/>
          <w:szCs w:val="22"/>
          <w:lang w:val="en-GB"/>
        </w:rPr>
        <w:t>.</w:t>
      </w:r>
      <w:r w:rsidRPr="0091132E">
        <w:rPr>
          <w:rFonts w:asciiTheme="minorBidi" w:hAnsiTheme="minorBidi" w:cstheme="minorBidi"/>
          <w:color w:val="242121"/>
          <w:sz w:val="22"/>
          <w:szCs w:val="22"/>
        </w:rPr>
        <w:t>’</w:t>
      </w:r>
      <w:r w:rsidR="00624BD1">
        <w:rPr>
          <w:rFonts w:asciiTheme="minorBidi" w:hAnsiTheme="minorBidi" w:cstheme="minorBidi"/>
          <w:color w:val="242121"/>
          <w:sz w:val="22"/>
          <w:szCs w:val="22"/>
        </w:rPr>
        <w:t xml:space="preserve"> (Footnotes omitted.)</w:t>
      </w:r>
    </w:p>
    <w:p w14:paraId="0B1BA1E3" w14:textId="77777777" w:rsidR="00134C2A" w:rsidRPr="002B3235" w:rsidRDefault="00134C2A" w:rsidP="00134C2A">
      <w:pPr>
        <w:spacing w:line="360" w:lineRule="auto"/>
        <w:jc w:val="both"/>
        <w:rPr>
          <w:rFonts w:asciiTheme="minorBidi" w:hAnsiTheme="minorBidi" w:cstheme="minorBidi"/>
        </w:rPr>
      </w:pPr>
    </w:p>
    <w:p w14:paraId="3E1E3996" w14:textId="77777777" w:rsidR="00EA6F22" w:rsidRPr="00ED2B0D" w:rsidRDefault="00D90AAE" w:rsidP="00134C2A">
      <w:pPr>
        <w:pStyle w:val="ListParagraph"/>
        <w:numPr>
          <w:ilvl w:val="0"/>
          <w:numId w:val="8"/>
        </w:numPr>
        <w:tabs>
          <w:tab w:val="left" w:pos="709"/>
        </w:tabs>
        <w:spacing w:line="360" w:lineRule="auto"/>
        <w:ind w:left="0" w:firstLine="0"/>
        <w:jc w:val="both"/>
        <w:rPr>
          <w:rFonts w:asciiTheme="minorBidi" w:hAnsiTheme="minorBidi" w:cstheme="minorBidi"/>
        </w:rPr>
      </w:pPr>
      <w:r w:rsidRPr="00134C2A">
        <w:rPr>
          <w:rFonts w:ascii="Arial" w:hAnsi="Arial" w:cs="Arial"/>
          <w:color w:val="242121"/>
          <w:lang w:val="en-US"/>
        </w:rPr>
        <w:t xml:space="preserve">While the court has </w:t>
      </w:r>
      <w:r w:rsidR="004B7373">
        <w:rPr>
          <w:rFonts w:ascii="Arial" w:hAnsi="Arial" w:cs="Arial"/>
          <w:color w:val="242121"/>
          <w:lang w:val="en-US"/>
        </w:rPr>
        <w:t>a</w:t>
      </w:r>
      <w:r w:rsidR="004B7373" w:rsidRPr="00134C2A">
        <w:rPr>
          <w:rFonts w:ascii="Arial" w:hAnsi="Arial" w:cs="Arial"/>
          <w:color w:val="242121"/>
          <w:lang w:val="en-US"/>
        </w:rPr>
        <w:t xml:space="preserve"> </w:t>
      </w:r>
      <w:r w:rsidRPr="00134C2A">
        <w:rPr>
          <w:rFonts w:ascii="Arial" w:hAnsi="Arial" w:cs="Arial"/>
          <w:color w:val="242121"/>
          <w:lang w:val="en-US"/>
        </w:rPr>
        <w:t xml:space="preserve">discretion to refuse a review because of an unacceptable delay, if the decision about which complaint is made is patently unlawful, this may in </w:t>
      </w:r>
      <w:r w:rsidRPr="00134C2A">
        <w:rPr>
          <w:rFonts w:ascii="Arial" w:hAnsi="Arial" w:cs="Arial"/>
          <w:color w:val="242121"/>
          <w:lang w:val="en-US"/>
        </w:rPr>
        <w:lastRenderedPageBreak/>
        <w:t xml:space="preserve">turn dictate that the </w:t>
      </w:r>
      <w:r w:rsidR="00134C2A">
        <w:rPr>
          <w:rFonts w:ascii="Arial" w:hAnsi="Arial" w:cs="Arial"/>
          <w:color w:val="242121"/>
          <w:lang w:val="en-US"/>
        </w:rPr>
        <w:t xml:space="preserve">delay be overlooked and that the </w:t>
      </w:r>
      <w:r w:rsidRPr="00134C2A">
        <w:rPr>
          <w:rFonts w:ascii="Arial" w:hAnsi="Arial" w:cs="Arial"/>
          <w:color w:val="242121"/>
          <w:lang w:val="en-US"/>
        </w:rPr>
        <w:t>review be granted.</w:t>
      </w:r>
      <w:r w:rsidR="002B3235" w:rsidRPr="00134C2A">
        <w:rPr>
          <w:rFonts w:ascii="Arial" w:hAnsi="Arial" w:cs="Arial"/>
          <w:color w:val="242121"/>
          <w:lang w:val="en-US"/>
        </w:rPr>
        <w:t xml:space="preserve"> </w:t>
      </w:r>
      <w:r w:rsidR="008B0B3B" w:rsidRPr="00134C2A">
        <w:rPr>
          <w:rFonts w:asciiTheme="minorBidi" w:hAnsiTheme="minorBidi" w:cstheme="minorBidi"/>
        </w:rPr>
        <w:t xml:space="preserve">The requirement to bring review proceedings without undue delay is to ensure that there is finality in those proceedings.  </w:t>
      </w:r>
      <w:r w:rsidR="00EA6F22" w:rsidRPr="00134C2A">
        <w:rPr>
          <w:rFonts w:asciiTheme="minorBidi" w:hAnsiTheme="minorBidi" w:cstheme="minorBidi"/>
          <w:color w:val="242121"/>
          <w:shd w:val="clear" w:color="auto" w:fill="FFFFFF"/>
        </w:rPr>
        <w:t xml:space="preserve">The Constitutional Court has held that there is a </w:t>
      </w:r>
      <w:r w:rsidR="009F0F28">
        <w:rPr>
          <w:rFonts w:asciiTheme="minorBidi" w:hAnsiTheme="minorBidi" w:cstheme="minorBidi"/>
          <w:color w:val="242121"/>
          <w:shd w:val="clear" w:color="auto" w:fill="FFFFFF"/>
        </w:rPr>
        <w:t>‘</w:t>
      </w:r>
      <w:r w:rsidR="00EA6F22" w:rsidRPr="00134C2A">
        <w:rPr>
          <w:rFonts w:asciiTheme="minorBidi" w:hAnsiTheme="minorBidi" w:cstheme="minorBidi"/>
          <w:color w:val="242121"/>
          <w:shd w:val="clear" w:color="auto" w:fill="FFFFFF"/>
        </w:rPr>
        <w:t>strong public interest in both certainty and finality</w:t>
      </w:r>
      <w:r w:rsidR="009F0F28">
        <w:rPr>
          <w:rFonts w:asciiTheme="minorBidi" w:hAnsiTheme="minorBidi" w:cstheme="minorBidi"/>
          <w:color w:val="242121"/>
          <w:shd w:val="clear" w:color="auto" w:fill="FFFFFF"/>
        </w:rPr>
        <w:t>’</w:t>
      </w:r>
      <w:r w:rsidR="00EA6F22" w:rsidRPr="00134C2A">
        <w:rPr>
          <w:rFonts w:asciiTheme="minorBidi" w:hAnsiTheme="minorBidi" w:cstheme="minorBidi"/>
          <w:color w:val="242121"/>
          <w:shd w:val="clear" w:color="auto" w:fill="FFFFFF"/>
        </w:rPr>
        <w:t>.</w:t>
      </w:r>
      <w:r w:rsidR="00EA6F22">
        <w:rPr>
          <w:rStyle w:val="FootnoteReference"/>
          <w:rFonts w:asciiTheme="minorBidi" w:hAnsiTheme="minorBidi" w:cstheme="minorBidi"/>
          <w:color w:val="242121"/>
          <w:shd w:val="clear" w:color="auto" w:fill="FFFFFF"/>
        </w:rPr>
        <w:footnoteReference w:id="17"/>
      </w:r>
    </w:p>
    <w:p w14:paraId="28940B35" w14:textId="77777777" w:rsidR="00ED2B0D" w:rsidRPr="00E6043F" w:rsidRDefault="00ED2B0D" w:rsidP="00ED2B0D">
      <w:pPr>
        <w:pStyle w:val="ListParagraph"/>
        <w:tabs>
          <w:tab w:val="left" w:pos="709"/>
        </w:tabs>
        <w:spacing w:line="360" w:lineRule="auto"/>
        <w:ind w:left="0"/>
        <w:jc w:val="both"/>
        <w:rPr>
          <w:rFonts w:asciiTheme="minorBidi" w:hAnsiTheme="minorBidi" w:cstheme="minorBidi"/>
        </w:rPr>
      </w:pPr>
    </w:p>
    <w:p w14:paraId="527EB051" w14:textId="77777777" w:rsidR="00E6043F" w:rsidRPr="00134C2A" w:rsidRDefault="00E6043F" w:rsidP="00134C2A">
      <w:pPr>
        <w:pStyle w:val="ListParagraph"/>
        <w:numPr>
          <w:ilvl w:val="0"/>
          <w:numId w:val="8"/>
        </w:numPr>
        <w:tabs>
          <w:tab w:val="left" w:pos="709"/>
        </w:tabs>
        <w:spacing w:line="360" w:lineRule="auto"/>
        <w:ind w:left="0" w:firstLine="0"/>
        <w:jc w:val="both"/>
        <w:rPr>
          <w:rFonts w:asciiTheme="minorBidi" w:hAnsiTheme="minorBidi" w:cstheme="minorBidi"/>
        </w:rPr>
      </w:pPr>
      <w:r>
        <w:rPr>
          <w:rFonts w:ascii="Arial" w:hAnsi="Arial" w:cs="Arial"/>
          <w:color w:val="242121"/>
          <w:lang w:val="en-US"/>
        </w:rPr>
        <w:t xml:space="preserve">Significantly, in </w:t>
      </w:r>
      <w:r w:rsidRPr="00DB7BDE">
        <w:rPr>
          <w:rFonts w:ascii="Arial" w:hAnsi="Arial" w:cs="Arial"/>
          <w:i/>
          <w:iCs/>
          <w:color w:val="242121"/>
          <w:lang w:val="en-US"/>
        </w:rPr>
        <w:t>Khumalo</w:t>
      </w:r>
      <w:r>
        <w:rPr>
          <w:rFonts w:ascii="Arial" w:hAnsi="Arial" w:cs="Arial"/>
          <w:color w:val="242121"/>
          <w:lang w:val="en-US"/>
        </w:rPr>
        <w:t xml:space="preserve">, Skweyiya J acknowledged that </w:t>
      </w:r>
      <w:r w:rsidR="003B5AB0">
        <w:rPr>
          <w:rFonts w:ascii="Arial" w:hAnsi="Arial" w:cs="Arial"/>
          <w:color w:val="242121"/>
          <w:lang w:val="en-US"/>
        </w:rPr>
        <w:t xml:space="preserve">excessive </w:t>
      </w:r>
      <w:r>
        <w:rPr>
          <w:rFonts w:ascii="Arial" w:hAnsi="Arial" w:cs="Arial"/>
          <w:color w:val="242121"/>
          <w:lang w:val="en-US"/>
        </w:rPr>
        <w:t xml:space="preserve">delays may cause prejudice to the court that is tasked with </w:t>
      </w:r>
      <w:r w:rsidR="003B5AB0">
        <w:rPr>
          <w:rFonts w:ascii="Arial" w:hAnsi="Arial" w:cs="Arial"/>
          <w:color w:val="242121"/>
          <w:lang w:val="en-US"/>
        </w:rPr>
        <w:t xml:space="preserve">hearing such review application </w:t>
      </w:r>
      <w:r>
        <w:rPr>
          <w:rFonts w:ascii="Arial" w:hAnsi="Arial" w:cs="Arial"/>
          <w:color w:val="242121"/>
          <w:lang w:val="en-US"/>
        </w:rPr>
        <w:t xml:space="preserve">when he </w:t>
      </w:r>
      <w:r w:rsidR="00ED2B0D">
        <w:rPr>
          <w:rFonts w:ascii="Arial" w:hAnsi="Arial" w:cs="Arial"/>
          <w:color w:val="242121"/>
          <w:lang w:val="en-US"/>
        </w:rPr>
        <w:t>observed</w:t>
      </w:r>
      <w:r>
        <w:rPr>
          <w:rFonts w:ascii="Arial" w:hAnsi="Arial" w:cs="Arial"/>
          <w:color w:val="242121"/>
          <w:lang w:val="en-US"/>
        </w:rPr>
        <w:t xml:space="preserve"> that:</w:t>
      </w:r>
    </w:p>
    <w:p w14:paraId="613EF8E1" w14:textId="77777777" w:rsidR="00186038" w:rsidRPr="003B5AB0" w:rsidRDefault="00E32DDE" w:rsidP="003B5AB0">
      <w:pPr>
        <w:spacing w:line="360" w:lineRule="auto"/>
        <w:jc w:val="both"/>
        <w:rPr>
          <w:rFonts w:asciiTheme="minorBidi" w:hAnsiTheme="minorBidi" w:cstheme="minorBidi"/>
          <w:sz w:val="22"/>
          <w:szCs w:val="22"/>
        </w:rPr>
      </w:pPr>
      <w:r w:rsidRPr="003B5AB0">
        <w:rPr>
          <w:rFonts w:asciiTheme="minorBidi" w:hAnsiTheme="minorBidi" w:cstheme="minorBidi"/>
          <w:color w:val="242121"/>
          <w:sz w:val="22"/>
          <w:szCs w:val="22"/>
          <w:shd w:val="clear" w:color="auto" w:fill="FFFFFF"/>
        </w:rPr>
        <w:t>‘…</w:t>
      </w:r>
      <w:r w:rsidR="003B5AB0" w:rsidRPr="003B5AB0">
        <w:rPr>
          <w:rFonts w:asciiTheme="minorBidi" w:hAnsiTheme="minorBidi" w:cstheme="minorBidi"/>
          <w:color w:val="242121"/>
          <w:sz w:val="22"/>
          <w:szCs w:val="22"/>
          <w:shd w:val="clear" w:color="auto" w:fill="FFFFFF"/>
        </w:rPr>
        <w:t xml:space="preserve"> </w:t>
      </w:r>
      <w:r w:rsidR="00AA73C9" w:rsidRPr="00AA73C9">
        <w:rPr>
          <w:rFonts w:asciiTheme="minorBidi" w:hAnsiTheme="minorBidi" w:cstheme="minorBidi"/>
          <w:color w:val="242121"/>
          <w:sz w:val="22"/>
          <w:szCs w:val="22"/>
          <w:shd w:val="clear" w:color="auto" w:fill="FFFFFF"/>
          <w:lang w:val="en-US"/>
        </w:rPr>
        <w:t>it is important to understand that the passage of a considerable length of time may weaken the ability of a court to assess an instance of unlawfulness on the facts. The clarity and accuracy of decision-makers' memories are bound to decline with time. Documents and evidence may be lost, or destroyed when no longer required to be kept in archives. Thus the very purpose of a court undertaking the review is potentially undermined where, at the cause of a lengthy delay, its ability to evaluate fully an allegation of illegality is impaired</w:t>
      </w:r>
      <w:r w:rsidR="00186038" w:rsidRPr="003B5AB0">
        <w:rPr>
          <w:rFonts w:asciiTheme="minorBidi" w:hAnsiTheme="minorBidi" w:cstheme="minorBidi"/>
          <w:color w:val="242121"/>
          <w:sz w:val="22"/>
          <w:szCs w:val="22"/>
          <w:shd w:val="clear" w:color="auto" w:fill="FFFFFF"/>
        </w:rPr>
        <w:t>.</w:t>
      </w:r>
      <w:bookmarkStart w:id="2" w:name="_ftnref55"/>
      <w:r w:rsidR="003B5AB0">
        <w:rPr>
          <w:rFonts w:asciiTheme="minorBidi" w:hAnsiTheme="minorBidi" w:cstheme="minorBidi"/>
          <w:color w:val="242121"/>
          <w:sz w:val="22"/>
          <w:szCs w:val="22"/>
          <w:shd w:val="clear" w:color="auto" w:fill="FFFFFF"/>
        </w:rPr>
        <w:t>’</w:t>
      </w:r>
      <w:bookmarkEnd w:id="2"/>
      <w:r w:rsidR="00DB7BDE">
        <w:rPr>
          <w:rStyle w:val="FootnoteReference"/>
          <w:rFonts w:asciiTheme="minorBidi" w:hAnsiTheme="minorBidi" w:cstheme="minorBidi"/>
          <w:color w:val="242121"/>
          <w:sz w:val="22"/>
          <w:szCs w:val="22"/>
          <w:shd w:val="clear" w:color="auto" w:fill="FFFFFF"/>
        </w:rPr>
        <w:footnoteReference w:id="18"/>
      </w:r>
    </w:p>
    <w:p w14:paraId="47DEA754" w14:textId="77777777" w:rsidR="00EA6F22" w:rsidRPr="00EA6F22" w:rsidRDefault="00EA6F22" w:rsidP="00F740DB">
      <w:pPr>
        <w:pStyle w:val="ListParagraph"/>
        <w:tabs>
          <w:tab w:val="left" w:pos="709"/>
        </w:tabs>
        <w:spacing w:line="360" w:lineRule="auto"/>
        <w:ind w:left="0"/>
        <w:jc w:val="both"/>
        <w:rPr>
          <w:rFonts w:asciiTheme="minorBidi" w:hAnsiTheme="minorBidi" w:cstheme="minorBidi"/>
        </w:rPr>
      </w:pPr>
    </w:p>
    <w:p w14:paraId="43C62851" w14:textId="77777777" w:rsidR="00134C2A" w:rsidRDefault="0091132E" w:rsidP="00963499">
      <w:pPr>
        <w:pStyle w:val="ListParagraph"/>
        <w:numPr>
          <w:ilvl w:val="0"/>
          <w:numId w:val="8"/>
        </w:numPr>
        <w:tabs>
          <w:tab w:val="left" w:pos="709"/>
        </w:tabs>
        <w:spacing w:line="360" w:lineRule="auto"/>
        <w:ind w:left="0" w:firstLine="0"/>
        <w:jc w:val="both"/>
        <w:rPr>
          <w:rFonts w:asciiTheme="minorBidi" w:hAnsiTheme="minorBidi" w:cstheme="minorBidi"/>
        </w:rPr>
      </w:pPr>
      <w:r>
        <w:rPr>
          <w:rFonts w:asciiTheme="minorBidi" w:hAnsiTheme="minorBidi" w:cstheme="minorBidi"/>
        </w:rPr>
        <w:t xml:space="preserve">The </w:t>
      </w:r>
      <w:r w:rsidR="00DB7BDE">
        <w:rPr>
          <w:rFonts w:asciiTheme="minorBidi" w:hAnsiTheme="minorBidi" w:cstheme="minorBidi"/>
        </w:rPr>
        <w:t xml:space="preserve">very difficulty anticipated by Skweyiya J manifests itself in this matter. The </w:t>
      </w:r>
      <w:r w:rsidR="00A71340">
        <w:rPr>
          <w:rFonts w:asciiTheme="minorBidi" w:hAnsiTheme="minorBidi" w:cstheme="minorBidi"/>
        </w:rPr>
        <w:t xml:space="preserve">decision that permitted the conversion of the fixed term contracts of </w:t>
      </w:r>
      <w:r w:rsidR="00E852F3">
        <w:rPr>
          <w:rFonts w:asciiTheme="minorBidi" w:hAnsiTheme="minorBidi" w:cstheme="minorBidi"/>
        </w:rPr>
        <w:t xml:space="preserve">employment of </w:t>
      </w:r>
      <w:r w:rsidR="00A71340">
        <w:rPr>
          <w:rFonts w:asciiTheme="minorBidi" w:hAnsiTheme="minorBidi" w:cstheme="minorBidi"/>
        </w:rPr>
        <w:t xml:space="preserve">the </w:t>
      </w:r>
      <w:r w:rsidR="00A71340" w:rsidRPr="00F740DB">
        <w:rPr>
          <w:rFonts w:asciiTheme="minorBidi" w:hAnsiTheme="minorBidi" w:cstheme="minorBidi"/>
        </w:rPr>
        <w:t xml:space="preserve">respondents was </w:t>
      </w:r>
      <w:r w:rsidR="00EC7A2F">
        <w:rPr>
          <w:rFonts w:asciiTheme="minorBidi" w:hAnsiTheme="minorBidi" w:cstheme="minorBidi"/>
        </w:rPr>
        <w:t xml:space="preserve">allegedly </w:t>
      </w:r>
      <w:r w:rsidR="00A71340" w:rsidRPr="00F740DB">
        <w:rPr>
          <w:rFonts w:asciiTheme="minorBidi" w:hAnsiTheme="minorBidi" w:cstheme="minorBidi"/>
        </w:rPr>
        <w:t xml:space="preserve">taken </w:t>
      </w:r>
      <w:r w:rsidR="00D90AAE">
        <w:rPr>
          <w:rFonts w:asciiTheme="minorBidi" w:hAnsiTheme="minorBidi" w:cstheme="minorBidi"/>
        </w:rPr>
        <w:t xml:space="preserve">by the Board </w:t>
      </w:r>
      <w:r w:rsidR="00A71340" w:rsidRPr="00F740DB">
        <w:rPr>
          <w:rFonts w:asciiTheme="minorBidi" w:hAnsiTheme="minorBidi" w:cstheme="minorBidi"/>
        </w:rPr>
        <w:t xml:space="preserve">in 2018. The applicant </w:t>
      </w:r>
      <w:r w:rsidR="00134C2A">
        <w:rPr>
          <w:rFonts w:asciiTheme="minorBidi" w:hAnsiTheme="minorBidi" w:cstheme="minorBidi"/>
        </w:rPr>
        <w:t xml:space="preserve">is unable to state the date of the Board meeting </w:t>
      </w:r>
      <w:r w:rsidR="00EC7A2F">
        <w:rPr>
          <w:rFonts w:asciiTheme="minorBidi" w:hAnsiTheme="minorBidi" w:cstheme="minorBidi"/>
        </w:rPr>
        <w:t>at which the decision was taken.</w:t>
      </w:r>
      <w:r w:rsidR="00A71340" w:rsidRPr="00F740DB">
        <w:rPr>
          <w:rFonts w:asciiTheme="minorBidi" w:hAnsiTheme="minorBidi" w:cstheme="minorBidi"/>
        </w:rPr>
        <w:t xml:space="preserve"> If minutes were kept of such a meeting, they have been lost. </w:t>
      </w:r>
      <w:r w:rsidR="00134C2A">
        <w:rPr>
          <w:rFonts w:asciiTheme="minorBidi" w:hAnsiTheme="minorBidi" w:cstheme="minorBidi"/>
        </w:rPr>
        <w:t xml:space="preserve">It is, however, remarkable </w:t>
      </w:r>
      <w:r w:rsidR="007437AD">
        <w:rPr>
          <w:rFonts w:asciiTheme="minorBidi" w:hAnsiTheme="minorBidi" w:cstheme="minorBidi"/>
        </w:rPr>
        <w:t xml:space="preserve">in this age of digital documentation </w:t>
      </w:r>
      <w:r w:rsidR="00134C2A">
        <w:rPr>
          <w:rFonts w:asciiTheme="minorBidi" w:hAnsiTheme="minorBidi" w:cstheme="minorBidi"/>
        </w:rPr>
        <w:t xml:space="preserve">that there </w:t>
      </w:r>
      <w:r w:rsidR="00963499">
        <w:rPr>
          <w:rFonts w:asciiTheme="minorBidi" w:hAnsiTheme="minorBidi" w:cstheme="minorBidi"/>
        </w:rPr>
        <w:t>is</w:t>
      </w:r>
      <w:r w:rsidR="00134C2A">
        <w:rPr>
          <w:rFonts w:asciiTheme="minorBidi" w:hAnsiTheme="minorBidi" w:cstheme="minorBidi"/>
        </w:rPr>
        <w:t xml:space="preserve"> no other recordal of when the meeting was held</w:t>
      </w:r>
      <w:r w:rsidR="00963499">
        <w:rPr>
          <w:rFonts w:asciiTheme="minorBidi" w:hAnsiTheme="minorBidi" w:cstheme="minorBidi"/>
        </w:rPr>
        <w:t>,</w:t>
      </w:r>
      <w:r w:rsidR="00134C2A">
        <w:rPr>
          <w:rFonts w:asciiTheme="minorBidi" w:hAnsiTheme="minorBidi" w:cstheme="minorBidi"/>
        </w:rPr>
        <w:t xml:space="preserve"> such as copies of emails </w:t>
      </w:r>
      <w:r w:rsidR="00ED2B0D">
        <w:rPr>
          <w:rFonts w:asciiTheme="minorBidi" w:hAnsiTheme="minorBidi" w:cstheme="minorBidi"/>
        </w:rPr>
        <w:t>advising Board members of</w:t>
      </w:r>
      <w:r w:rsidR="00134C2A">
        <w:rPr>
          <w:rFonts w:asciiTheme="minorBidi" w:hAnsiTheme="minorBidi" w:cstheme="minorBidi"/>
        </w:rPr>
        <w:t xml:space="preserve"> the date of the meeting or copies of the agenda for the meeting</w:t>
      </w:r>
      <w:r w:rsidR="00963499">
        <w:rPr>
          <w:rFonts w:asciiTheme="minorBidi" w:hAnsiTheme="minorBidi" w:cstheme="minorBidi"/>
        </w:rPr>
        <w:t xml:space="preserve"> circulated to Board members</w:t>
      </w:r>
      <w:r w:rsidR="00134C2A">
        <w:rPr>
          <w:rFonts w:asciiTheme="minorBidi" w:hAnsiTheme="minorBidi" w:cstheme="minorBidi"/>
        </w:rPr>
        <w:t xml:space="preserve">. </w:t>
      </w:r>
    </w:p>
    <w:p w14:paraId="24058D5C" w14:textId="77777777" w:rsidR="00134C2A" w:rsidRPr="00134C2A" w:rsidRDefault="00134C2A" w:rsidP="00963499">
      <w:pPr>
        <w:pStyle w:val="ListParagraph"/>
        <w:spacing w:line="360" w:lineRule="auto"/>
        <w:rPr>
          <w:rFonts w:asciiTheme="minorBidi" w:hAnsiTheme="minorBidi" w:cstheme="minorBidi"/>
        </w:rPr>
      </w:pPr>
    </w:p>
    <w:p w14:paraId="040CC569" w14:textId="62131C77" w:rsidR="00A71340" w:rsidRPr="00F740DB" w:rsidRDefault="00134C2A" w:rsidP="00963499">
      <w:pPr>
        <w:pStyle w:val="ListParagraph"/>
        <w:numPr>
          <w:ilvl w:val="0"/>
          <w:numId w:val="8"/>
        </w:numPr>
        <w:tabs>
          <w:tab w:val="left" w:pos="709"/>
        </w:tabs>
        <w:spacing w:line="360" w:lineRule="auto"/>
        <w:ind w:left="0" w:firstLine="0"/>
        <w:jc w:val="both"/>
        <w:rPr>
          <w:rFonts w:asciiTheme="minorBidi" w:hAnsiTheme="minorBidi" w:cstheme="minorBidi"/>
        </w:rPr>
      </w:pPr>
      <w:r>
        <w:rPr>
          <w:rFonts w:asciiTheme="minorBidi" w:hAnsiTheme="minorBidi" w:cstheme="minorBidi"/>
        </w:rPr>
        <w:t>If the Board meeting was, indeed, held in 2018</w:t>
      </w:r>
      <w:r w:rsidR="004B7373">
        <w:rPr>
          <w:rFonts w:asciiTheme="minorBidi" w:hAnsiTheme="minorBidi" w:cstheme="minorBidi"/>
        </w:rPr>
        <w:t>,</w:t>
      </w:r>
      <w:r w:rsidR="00B86CD9" w:rsidRPr="00F740DB">
        <w:rPr>
          <w:rFonts w:asciiTheme="minorBidi" w:hAnsiTheme="minorBidi" w:cstheme="minorBidi"/>
        </w:rPr>
        <w:t xml:space="preserve"> it is likely that the </w:t>
      </w:r>
      <w:r w:rsidR="007954A3">
        <w:rPr>
          <w:rFonts w:asciiTheme="minorBidi" w:hAnsiTheme="minorBidi" w:cstheme="minorBidi"/>
        </w:rPr>
        <w:t xml:space="preserve">impugned </w:t>
      </w:r>
      <w:r w:rsidR="00B86CD9" w:rsidRPr="00F740DB">
        <w:rPr>
          <w:rFonts w:asciiTheme="minorBidi" w:hAnsiTheme="minorBidi" w:cstheme="minorBidi"/>
        </w:rPr>
        <w:t xml:space="preserve">decision must have </w:t>
      </w:r>
      <w:r w:rsidR="00D90AAE">
        <w:rPr>
          <w:rFonts w:asciiTheme="minorBidi" w:hAnsiTheme="minorBidi" w:cstheme="minorBidi"/>
        </w:rPr>
        <w:t>been taken</w:t>
      </w:r>
      <w:r w:rsidR="00B86CD9" w:rsidRPr="00F740DB">
        <w:rPr>
          <w:rFonts w:asciiTheme="minorBidi" w:hAnsiTheme="minorBidi" w:cstheme="minorBidi"/>
        </w:rPr>
        <w:t xml:space="preserve"> in the first three months of that year as the </w:t>
      </w:r>
      <w:r w:rsidR="007954A3">
        <w:rPr>
          <w:rFonts w:asciiTheme="minorBidi" w:hAnsiTheme="minorBidi" w:cstheme="minorBidi"/>
        </w:rPr>
        <w:t xml:space="preserve">fixed term </w:t>
      </w:r>
      <w:r w:rsidR="00B86CD9" w:rsidRPr="00F740DB">
        <w:rPr>
          <w:rFonts w:asciiTheme="minorBidi" w:hAnsiTheme="minorBidi" w:cstheme="minorBidi"/>
        </w:rPr>
        <w:t xml:space="preserve">employment contract of the first respondent was converted </w:t>
      </w:r>
      <w:r w:rsidR="007954A3">
        <w:rPr>
          <w:rFonts w:asciiTheme="minorBidi" w:hAnsiTheme="minorBidi" w:cstheme="minorBidi"/>
        </w:rPr>
        <w:t xml:space="preserve">to </w:t>
      </w:r>
      <w:r w:rsidR="00E852F3">
        <w:rPr>
          <w:rFonts w:asciiTheme="minorBidi" w:hAnsiTheme="minorBidi" w:cstheme="minorBidi"/>
        </w:rPr>
        <w:t xml:space="preserve">a </w:t>
      </w:r>
      <w:r w:rsidR="007954A3">
        <w:rPr>
          <w:rFonts w:asciiTheme="minorBidi" w:hAnsiTheme="minorBidi" w:cstheme="minorBidi"/>
        </w:rPr>
        <w:t xml:space="preserve">permanent employment contract </w:t>
      </w:r>
      <w:r w:rsidR="00B86CD9" w:rsidRPr="00F740DB">
        <w:rPr>
          <w:rFonts w:asciiTheme="minorBidi" w:hAnsiTheme="minorBidi" w:cstheme="minorBidi"/>
        </w:rPr>
        <w:t xml:space="preserve">on 20 March 2018. </w:t>
      </w:r>
      <w:r w:rsidR="00D90AAE">
        <w:rPr>
          <w:rFonts w:asciiTheme="minorBidi" w:hAnsiTheme="minorBidi" w:cstheme="minorBidi"/>
        </w:rPr>
        <w:t xml:space="preserve">That conversion could only have occurred if the impugned decision had already been taken. </w:t>
      </w:r>
      <w:r w:rsidR="00A71340" w:rsidRPr="00F740DB">
        <w:rPr>
          <w:rFonts w:asciiTheme="minorBidi" w:hAnsiTheme="minorBidi" w:cstheme="minorBidi"/>
        </w:rPr>
        <w:t xml:space="preserve">This application was issued on </w:t>
      </w:r>
      <w:r w:rsidR="00B86CD9" w:rsidRPr="00F740DB">
        <w:rPr>
          <w:rFonts w:asciiTheme="minorBidi" w:hAnsiTheme="minorBidi" w:cstheme="minorBidi"/>
        </w:rPr>
        <w:t>30 November 2022</w:t>
      </w:r>
      <w:r w:rsidR="0033294E">
        <w:rPr>
          <w:rFonts w:asciiTheme="minorBidi" w:hAnsiTheme="minorBidi" w:cstheme="minorBidi"/>
        </w:rPr>
        <w:t xml:space="preserve"> and was served on the first respondent a week later</w:t>
      </w:r>
      <w:r w:rsidR="00B86CD9" w:rsidRPr="00F740DB">
        <w:rPr>
          <w:rFonts w:asciiTheme="minorBidi" w:hAnsiTheme="minorBidi" w:cstheme="minorBidi"/>
        </w:rPr>
        <w:t>. Th</w:t>
      </w:r>
      <w:r w:rsidR="00ED2B0D">
        <w:rPr>
          <w:rFonts w:asciiTheme="minorBidi" w:hAnsiTheme="minorBidi" w:cstheme="minorBidi"/>
        </w:rPr>
        <w:t>e delay</w:t>
      </w:r>
      <w:r w:rsidR="00B86CD9" w:rsidRPr="00F740DB">
        <w:rPr>
          <w:rFonts w:asciiTheme="minorBidi" w:hAnsiTheme="minorBidi" w:cstheme="minorBidi"/>
        </w:rPr>
        <w:t xml:space="preserve"> is </w:t>
      </w:r>
      <w:r w:rsidR="00EA6F22" w:rsidRPr="00F740DB">
        <w:rPr>
          <w:rFonts w:asciiTheme="minorBidi" w:hAnsiTheme="minorBidi" w:cstheme="minorBidi"/>
        </w:rPr>
        <w:t xml:space="preserve">therefore </w:t>
      </w:r>
      <w:r w:rsidR="00B86CD9" w:rsidRPr="00F740DB">
        <w:rPr>
          <w:rFonts w:asciiTheme="minorBidi" w:hAnsiTheme="minorBidi" w:cstheme="minorBidi"/>
        </w:rPr>
        <w:t>a period in excess of the four years</w:t>
      </w:r>
      <w:r w:rsidR="004B7373">
        <w:rPr>
          <w:rFonts w:asciiTheme="minorBidi" w:hAnsiTheme="minorBidi" w:cstheme="minorBidi"/>
        </w:rPr>
        <w:t>, as</w:t>
      </w:r>
      <w:r w:rsidR="00B86CD9" w:rsidRPr="00F740DB">
        <w:rPr>
          <w:rFonts w:asciiTheme="minorBidi" w:hAnsiTheme="minorBidi" w:cstheme="minorBidi"/>
        </w:rPr>
        <w:t xml:space="preserve"> mentioned by the first respondent in his answering affidavit</w:t>
      </w:r>
      <w:r w:rsidR="00EA6F22" w:rsidRPr="00F740DB">
        <w:rPr>
          <w:rFonts w:asciiTheme="minorBidi" w:hAnsiTheme="minorBidi" w:cstheme="minorBidi"/>
        </w:rPr>
        <w:t>: it is</w:t>
      </w:r>
      <w:r w:rsidR="00275107">
        <w:rPr>
          <w:rFonts w:asciiTheme="minorBidi" w:hAnsiTheme="minorBidi" w:cstheme="minorBidi"/>
        </w:rPr>
        <w:t>, in fact,</w:t>
      </w:r>
      <w:r w:rsidR="004B7373">
        <w:rPr>
          <w:rFonts w:asciiTheme="minorBidi" w:hAnsiTheme="minorBidi" w:cstheme="minorBidi"/>
        </w:rPr>
        <w:t xml:space="preserve"> </w:t>
      </w:r>
      <w:r w:rsidR="007954A3">
        <w:rPr>
          <w:rFonts w:asciiTheme="minorBidi" w:hAnsiTheme="minorBidi" w:cstheme="minorBidi"/>
        </w:rPr>
        <w:t>in excess of</w:t>
      </w:r>
      <w:r w:rsidR="00EA6F22" w:rsidRPr="00F740DB">
        <w:rPr>
          <w:rFonts w:asciiTheme="minorBidi" w:hAnsiTheme="minorBidi" w:cstheme="minorBidi"/>
        </w:rPr>
        <w:t xml:space="preserve"> </w:t>
      </w:r>
      <w:r w:rsidR="000B2815" w:rsidRPr="00F740DB">
        <w:rPr>
          <w:rFonts w:asciiTheme="minorBidi" w:hAnsiTheme="minorBidi" w:cstheme="minorBidi"/>
        </w:rPr>
        <w:t>4 years and eight months.</w:t>
      </w:r>
    </w:p>
    <w:p w14:paraId="78FE0F74" w14:textId="0700BFB1" w:rsidR="005D16A0" w:rsidRDefault="00C34EE0" w:rsidP="00167B38">
      <w:pPr>
        <w:pStyle w:val="ListParagraph"/>
        <w:numPr>
          <w:ilvl w:val="0"/>
          <w:numId w:val="8"/>
        </w:numPr>
        <w:tabs>
          <w:tab w:val="left" w:pos="709"/>
        </w:tabs>
        <w:spacing w:line="360" w:lineRule="auto"/>
        <w:ind w:left="0" w:firstLine="0"/>
        <w:jc w:val="both"/>
        <w:rPr>
          <w:rFonts w:asciiTheme="minorBidi" w:hAnsiTheme="minorBidi" w:cstheme="minorBidi"/>
        </w:rPr>
      </w:pPr>
      <w:r>
        <w:rPr>
          <w:rFonts w:asciiTheme="minorBidi" w:hAnsiTheme="minorBidi" w:cstheme="minorBidi"/>
        </w:rPr>
        <w:lastRenderedPageBreak/>
        <w:t>The deponent to th</w:t>
      </w:r>
      <w:r w:rsidR="000B2815">
        <w:rPr>
          <w:rFonts w:asciiTheme="minorBidi" w:hAnsiTheme="minorBidi" w:cstheme="minorBidi"/>
        </w:rPr>
        <w:t xml:space="preserve">e </w:t>
      </w:r>
      <w:r w:rsidR="0033294E">
        <w:rPr>
          <w:rFonts w:asciiTheme="minorBidi" w:hAnsiTheme="minorBidi" w:cstheme="minorBidi"/>
        </w:rPr>
        <w:t xml:space="preserve">applicant’s </w:t>
      </w:r>
      <w:r w:rsidR="000B2815">
        <w:rPr>
          <w:rFonts w:asciiTheme="minorBidi" w:hAnsiTheme="minorBidi" w:cstheme="minorBidi"/>
        </w:rPr>
        <w:t>founding affidavit</w:t>
      </w:r>
      <w:r>
        <w:rPr>
          <w:rFonts w:asciiTheme="minorBidi" w:hAnsiTheme="minorBidi" w:cstheme="minorBidi"/>
        </w:rPr>
        <w:t xml:space="preserve"> is the applicant’s present C</w:t>
      </w:r>
      <w:r w:rsidR="00991253">
        <w:rPr>
          <w:rFonts w:asciiTheme="minorBidi" w:hAnsiTheme="minorBidi" w:cstheme="minorBidi"/>
        </w:rPr>
        <w:t xml:space="preserve">hief </w:t>
      </w:r>
      <w:r>
        <w:rPr>
          <w:rFonts w:asciiTheme="minorBidi" w:hAnsiTheme="minorBidi" w:cstheme="minorBidi"/>
        </w:rPr>
        <w:t>E</w:t>
      </w:r>
      <w:r w:rsidR="00991253">
        <w:rPr>
          <w:rFonts w:asciiTheme="minorBidi" w:hAnsiTheme="minorBidi" w:cstheme="minorBidi"/>
        </w:rPr>
        <w:t xml:space="preserve">xecutive </w:t>
      </w:r>
      <w:r>
        <w:rPr>
          <w:rFonts w:asciiTheme="minorBidi" w:hAnsiTheme="minorBidi" w:cstheme="minorBidi"/>
        </w:rPr>
        <w:t>O</w:t>
      </w:r>
      <w:r w:rsidR="00991253">
        <w:rPr>
          <w:rFonts w:asciiTheme="minorBidi" w:hAnsiTheme="minorBidi" w:cstheme="minorBidi"/>
        </w:rPr>
        <w:t>fficer</w:t>
      </w:r>
      <w:r w:rsidR="00197BF5">
        <w:rPr>
          <w:rFonts w:asciiTheme="minorBidi" w:hAnsiTheme="minorBidi" w:cstheme="minorBidi"/>
        </w:rPr>
        <w:t>, Mr Sibusiso Bukhosini (Mr Bukhosini)</w:t>
      </w:r>
      <w:r w:rsidR="000E3137">
        <w:rPr>
          <w:rFonts w:asciiTheme="minorBidi" w:hAnsiTheme="minorBidi" w:cstheme="minorBidi"/>
        </w:rPr>
        <w:t xml:space="preserve">. </w:t>
      </w:r>
      <w:r w:rsidR="00197BF5">
        <w:rPr>
          <w:rFonts w:asciiTheme="minorBidi" w:hAnsiTheme="minorBidi" w:cstheme="minorBidi"/>
        </w:rPr>
        <w:t>Mr Bukhosini</w:t>
      </w:r>
      <w:r w:rsidR="000E3137">
        <w:rPr>
          <w:rFonts w:asciiTheme="minorBidi" w:hAnsiTheme="minorBidi" w:cstheme="minorBidi"/>
        </w:rPr>
        <w:t xml:space="preserve"> does not disclose</w:t>
      </w:r>
      <w:r w:rsidR="00FC2DE8">
        <w:rPr>
          <w:rFonts w:asciiTheme="minorBidi" w:hAnsiTheme="minorBidi" w:cstheme="minorBidi"/>
        </w:rPr>
        <w:t xml:space="preserve"> in the founding affidavit</w:t>
      </w:r>
      <w:r w:rsidR="000E3137">
        <w:rPr>
          <w:rFonts w:asciiTheme="minorBidi" w:hAnsiTheme="minorBidi" w:cstheme="minorBidi"/>
        </w:rPr>
        <w:t xml:space="preserve"> when he assumed that position, but it is apparent </w:t>
      </w:r>
      <w:r w:rsidR="00F67543">
        <w:rPr>
          <w:rFonts w:asciiTheme="minorBidi" w:hAnsiTheme="minorBidi" w:cstheme="minorBidi"/>
        </w:rPr>
        <w:t>from allegations contained in the answering affidavit</w:t>
      </w:r>
      <w:r w:rsidR="003F340B">
        <w:rPr>
          <w:rFonts w:asciiTheme="minorBidi" w:hAnsiTheme="minorBidi" w:cstheme="minorBidi"/>
        </w:rPr>
        <w:t>,</w:t>
      </w:r>
      <w:r w:rsidR="00F67543">
        <w:rPr>
          <w:rFonts w:asciiTheme="minorBidi" w:hAnsiTheme="minorBidi" w:cstheme="minorBidi"/>
        </w:rPr>
        <w:t xml:space="preserve"> </w:t>
      </w:r>
      <w:r w:rsidR="00ED2B0D">
        <w:rPr>
          <w:rFonts w:asciiTheme="minorBidi" w:hAnsiTheme="minorBidi" w:cstheme="minorBidi"/>
        </w:rPr>
        <w:t>which have not been spec</w:t>
      </w:r>
      <w:r w:rsidR="005F2D06">
        <w:rPr>
          <w:rFonts w:asciiTheme="minorBidi" w:hAnsiTheme="minorBidi" w:cstheme="minorBidi"/>
        </w:rPr>
        <w:t xml:space="preserve">ifically denied by Mr Bukhosini, </w:t>
      </w:r>
      <w:r w:rsidR="000E3137">
        <w:rPr>
          <w:rFonts w:asciiTheme="minorBidi" w:hAnsiTheme="minorBidi" w:cstheme="minorBidi"/>
        </w:rPr>
        <w:t xml:space="preserve">that </w:t>
      </w:r>
      <w:r w:rsidR="00197BF5">
        <w:rPr>
          <w:rFonts w:asciiTheme="minorBidi" w:hAnsiTheme="minorBidi" w:cstheme="minorBidi"/>
        </w:rPr>
        <w:t xml:space="preserve">he was not so employed in 2018. </w:t>
      </w:r>
      <w:r w:rsidR="00620775">
        <w:rPr>
          <w:rFonts w:asciiTheme="minorBidi" w:hAnsiTheme="minorBidi" w:cstheme="minorBidi"/>
        </w:rPr>
        <w:t>N</w:t>
      </w:r>
      <w:r w:rsidR="00197BF5">
        <w:rPr>
          <w:rFonts w:asciiTheme="minorBidi" w:hAnsiTheme="minorBidi" w:cstheme="minorBidi"/>
        </w:rPr>
        <w:t>one of the</w:t>
      </w:r>
      <w:r w:rsidR="00C13B96">
        <w:rPr>
          <w:rFonts w:asciiTheme="minorBidi" w:hAnsiTheme="minorBidi" w:cstheme="minorBidi"/>
        </w:rPr>
        <w:t xml:space="preserve"> Board members</w:t>
      </w:r>
      <w:r w:rsidR="00197BF5">
        <w:rPr>
          <w:rFonts w:asciiTheme="minorBidi" w:hAnsiTheme="minorBidi" w:cstheme="minorBidi"/>
        </w:rPr>
        <w:t xml:space="preserve"> have deposed to affidavits, other than Professor Antonia Nzama (Professor Nzama), who was a Board member </w:t>
      </w:r>
      <w:r w:rsidR="00F67543">
        <w:rPr>
          <w:rFonts w:asciiTheme="minorBidi" w:hAnsiTheme="minorBidi" w:cstheme="minorBidi"/>
        </w:rPr>
        <w:t xml:space="preserve">at the time of the impugned decision </w:t>
      </w:r>
      <w:r w:rsidR="00620775">
        <w:rPr>
          <w:rFonts w:asciiTheme="minorBidi" w:hAnsiTheme="minorBidi" w:cstheme="minorBidi"/>
        </w:rPr>
        <w:t xml:space="preserve">having been taken </w:t>
      </w:r>
      <w:r w:rsidR="00197BF5">
        <w:rPr>
          <w:rFonts w:asciiTheme="minorBidi" w:hAnsiTheme="minorBidi" w:cstheme="minorBidi"/>
        </w:rPr>
        <w:t>and</w:t>
      </w:r>
      <w:r w:rsidR="00F67543">
        <w:rPr>
          <w:rFonts w:asciiTheme="minorBidi" w:hAnsiTheme="minorBidi" w:cstheme="minorBidi"/>
        </w:rPr>
        <w:t xml:space="preserve"> who</w:t>
      </w:r>
      <w:r w:rsidR="00197BF5">
        <w:rPr>
          <w:rFonts w:asciiTheme="minorBidi" w:hAnsiTheme="minorBidi" w:cstheme="minorBidi"/>
        </w:rPr>
        <w:t xml:space="preserve"> is </w:t>
      </w:r>
      <w:r w:rsidR="00FC2DE8">
        <w:rPr>
          <w:rFonts w:asciiTheme="minorBidi" w:hAnsiTheme="minorBidi" w:cstheme="minorBidi"/>
        </w:rPr>
        <w:t>presently</w:t>
      </w:r>
      <w:r w:rsidR="00197BF5">
        <w:rPr>
          <w:rFonts w:asciiTheme="minorBidi" w:hAnsiTheme="minorBidi" w:cstheme="minorBidi"/>
        </w:rPr>
        <w:t xml:space="preserve"> the chairperson of the Board. </w:t>
      </w:r>
      <w:r w:rsidR="00963499">
        <w:rPr>
          <w:rFonts w:asciiTheme="minorBidi" w:hAnsiTheme="minorBidi" w:cstheme="minorBidi"/>
        </w:rPr>
        <w:t>However, when the application papers were issued and served,</w:t>
      </w:r>
      <w:r w:rsidR="00197BF5">
        <w:rPr>
          <w:rFonts w:asciiTheme="minorBidi" w:hAnsiTheme="minorBidi" w:cstheme="minorBidi"/>
        </w:rPr>
        <w:t xml:space="preserve"> </w:t>
      </w:r>
      <w:r w:rsidR="005D16A0">
        <w:rPr>
          <w:rFonts w:asciiTheme="minorBidi" w:hAnsiTheme="minorBidi" w:cstheme="minorBidi"/>
        </w:rPr>
        <w:t>Professor Nzama’s</w:t>
      </w:r>
      <w:r w:rsidR="00197BF5">
        <w:rPr>
          <w:rFonts w:asciiTheme="minorBidi" w:hAnsiTheme="minorBidi" w:cstheme="minorBidi"/>
        </w:rPr>
        <w:t xml:space="preserve"> affidavit </w:t>
      </w:r>
      <w:r w:rsidR="005D16A0">
        <w:rPr>
          <w:rFonts w:asciiTheme="minorBidi" w:hAnsiTheme="minorBidi" w:cstheme="minorBidi"/>
        </w:rPr>
        <w:t>was</w:t>
      </w:r>
      <w:r w:rsidR="00541590">
        <w:rPr>
          <w:rFonts w:asciiTheme="minorBidi" w:hAnsiTheme="minorBidi" w:cstheme="minorBidi"/>
        </w:rPr>
        <w:t xml:space="preserve"> referred to but was</w:t>
      </w:r>
      <w:r w:rsidR="005D16A0">
        <w:rPr>
          <w:rFonts w:asciiTheme="minorBidi" w:hAnsiTheme="minorBidi" w:cstheme="minorBidi"/>
        </w:rPr>
        <w:t xml:space="preserve"> not </w:t>
      </w:r>
      <w:r w:rsidR="00197BF5">
        <w:rPr>
          <w:rFonts w:asciiTheme="minorBidi" w:hAnsiTheme="minorBidi" w:cstheme="minorBidi"/>
        </w:rPr>
        <w:t xml:space="preserve">attached. It has subsequently been delivered </w:t>
      </w:r>
      <w:r w:rsidR="00DC7384">
        <w:rPr>
          <w:rFonts w:asciiTheme="minorBidi" w:hAnsiTheme="minorBidi" w:cstheme="minorBidi"/>
        </w:rPr>
        <w:t xml:space="preserve">together </w:t>
      </w:r>
      <w:r w:rsidR="00197BF5">
        <w:rPr>
          <w:rFonts w:asciiTheme="minorBidi" w:hAnsiTheme="minorBidi" w:cstheme="minorBidi"/>
        </w:rPr>
        <w:t xml:space="preserve">with the </w:t>
      </w:r>
      <w:r w:rsidR="005D16A0">
        <w:rPr>
          <w:rFonts w:asciiTheme="minorBidi" w:hAnsiTheme="minorBidi" w:cstheme="minorBidi"/>
        </w:rPr>
        <w:t xml:space="preserve">applicant’s </w:t>
      </w:r>
      <w:r w:rsidR="00197BF5">
        <w:rPr>
          <w:rFonts w:asciiTheme="minorBidi" w:hAnsiTheme="minorBidi" w:cstheme="minorBidi"/>
        </w:rPr>
        <w:t>replying affidavit but at the time that the first respondent was required to produce his answering affidavit</w:t>
      </w:r>
      <w:r w:rsidR="003F340B">
        <w:rPr>
          <w:rFonts w:asciiTheme="minorBidi" w:hAnsiTheme="minorBidi" w:cstheme="minorBidi"/>
        </w:rPr>
        <w:t>,</w:t>
      </w:r>
      <w:r w:rsidR="00197BF5">
        <w:rPr>
          <w:rFonts w:asciiTheme="minorBidi" w:hAnsiTheme="minorBidi" w:cstheme="minorBidi"/>
        </w:rPr>
        <w:t xml:space="preserve"> he did not have it and he rightly took the point that virtually everything deposed to by </w:t>
      </w:r>
      <w:r w:rsidR="005D16A0">
        <w:rPr>
          <w:rFonts w:asciiTheme="minorBidi" w:hAnsiTheme="minorBidi" w:cstheme="minorBidi"/>
        </w:rPr>
        <w:t>Mr Bukhosini was</w:t>
      </w:r>
      <w:r w:rsidR="00DC7384">
        <w:rPr>
          <w:rFonts w:asciiTheme="minorBidi" w:hAnsiTheme="minorBidi" w:cstheme="minorBidi"/>
        </w:rPr>
        <w:t>, as a consequence,</w:t>
      </w:r>
      <w:r w:rsidR="005D16A0">
        <w:rPr>
          <w:rFonts w:asciiTheme="minorBidi" w:hAnsiTheme="minorBidi" w:cstheme="minorBidi"/>
        </w:rPr>
        <w:t xml:space="preserve"> hearsay.</w:t>
      </w:r>
      <w:r w:rsidR="00FC2DE8">
        <w:rPr>
          <w:rFonts w:asciiTheme="minorBidi" w:hAnsiTheme="minorBidi" w:cstheme="minorBidi"/>
        </w:rPr>
        <w:t xml:space="preserve"> </w:t>
      </w:r>
      <w:r w:rsidR="007437AD">
        <w:rPr>
          <w:rFonts w:asciiTheme="minorBidi" w:hAnsiTheme="minorBidi" w:cstheme="minorBidi"/>
        </w:rPr>
        <w:t xml:space="preserve">It is difficult to disagree with that. </w:t>
      </w:r>
      <w:r w:rsidR="00C13B96">
        <w:rPr>
          <w:rFonts w:asciiTheme="minorBidi" w:hAnsiTheme="minorBidi" w:cstheme="minorBidi"/>
        </w:rPr>
        <w:t xml:space="preserve">I note </w:t>
      </w:r>
      <w:r w:rsidR="00DC7384">
        <w:rPr>
          <w:rFonts w:asciiTheme="minorBidi" w:hAnsiTheme="minorBidi" w:cstheme="minorBidi"/>
        </w:rPr>
        <w:t xml:space="preserve">in passing </w:t>
      </w:r>
      <w:r w:rsidR="00C13B96">
        <w:rPr>
          <w:rFonts w:asciiTheme="minorBidi" w:hAnsiTheme="minorBidi" w:cstheme="minorBidi"/>
        </w:rPr>
        <w:t xml:space="preserve">that </w:t>
      </w:r>
      <w:r w:rsidR="00FC2DE8">
        <w:rPr>
          <w:rFonts w:asciiTheme="minorBidi" w:hAnsiTheme="minorBidi" w:cstheme="minorBidi"/>
        </w:rPr>
        <w:t xml:space="preserve">Professor Nzama’s affidavit only makes mention of her having read the founding affidavit </w:t>
      </w:r>
      <w:r w:rsidR="00EC7A2F">
        <w:rPr>
          <w:rFonts w:asciiTheme="minorBidi" w:hAnsiTheme="minorBidi" w:cstheme="minorBidi"/>
        </w:rPr>
        <w:t xml:space="preserve">of </w:t>
      </w:r>
      <w:r w:rsidR="00DC7384">
        <w:rPr>
          <w:rFonts w:asciiTheme="minorBidi" w:hAnsiTheme="minorBidi" w:cstheme="minorBidi"/>
        </w:rPr>
        <w:t xml:space="preserve">Mr Bukhosini </w:t>
      </w:r>
      <w:r w:rsidR="00FC2DE8">
        <w:rPr>
          <w:rFonts w:asciiTheme="minorBidi" w:hAnsiTheme="minorBidi" w:cstheme="minorBidi"/>
        </w:rPr>
        <w:t xml:space="preserve">and </w:t>
      </w:r>
      <w:r w:rsidR="00C13B96">
        <w:rPr>
          <w:rFonts w:asciiTheme="minorBidi" w:hAnsiTheme="minorBidi" w:cstheme="minorBidi"/>
        </w:rPr>
        <w:t xml:space="preserve">does </w:t>
      </w:r>
      <w:r w:rsidR="00FC2DE8">
        <w:rPr>
          <w:rFonts w:asciiTheme="minorBidi" w:hAnsiTheme="minorBidi" w:cstheme="minorBidi"/>
        </w:rPr>
        <w:t xml:space="preserve">not </w:t>
      </w:r>
      <w:r w:rsidR="00C13B96">
        <w:rPr>
          <w:rFonts w:asciiTheme="minorBidi" w:hAnsiTheme="minorBidi" w:cstheme="minorBidi"/>
        </w:rPr>
        <w:t xml:space="preserve">mention her having read </w:t>
      </w:r>
      <w:r w:rsidR="00DC7384">
        <w:rPr>
          <w:rFonts w:asciiTheme="minorBidi" w:hAnsiTheme="minorBidi" w:cstheme="minorBidi"/>
        </w:rPr>
        <w:t>his</w:t>
      </w:r>
      <w:r w:rsidR="00C13B96">
        <w:rPr>
          <w:rFonts w:asciiTheme="minorBidi" w:hAnsiTheme="minorBidi" w:cstheme="minorBidi"/>
        </w:rPr>
        <w:t xml:space="preserve"> </w:t>
      </w:r>
      <w:r w:rsidR="00FC2DE8">
        <w:rPr>
          <w:rFonts w:asciiTheme="minorBidi" w:hAnsiTheme="minorBidi" w:cstheme="minorBidi"/>
        </w:rPr>
        <w:t xml:space="preserve">replying affidavit, </w:t>
      </w:r>
      <w:r w:rsidR="00434C1F">
        <w:rPr>
          <w:rFonts w:asciiTheme="minorBidi" w:hAnsiTheme="minorBidi" w:cstheme="minorBidi"/>
        </w:rPr>
        <w:t xml:space="preserve">with </w:t>
      </w:r>
      <w:r w:rsidR="00DC7384">
        <w:rPr>
          <w:rFonts w:asciiTheme="minorBidi" w:hAnsiTheme="minorBidi" w:cstheme="minorBidi"/>
        </w:rPr>
        <w:t xml:space="preserve">both </w:t>
      </w:r>
      <w:r w:rsidR="00434C1F">
        <w:rPr>
          <w:rFonts w:asciiTheme="minorBidi" w:hAnsiTheme="minorBidi" w:cstheme="minorBidi"/>
        </w:rPr>
        <w:t>her affidavit and the replying affidavit being commissioned on the same day, 19 July 2023.</w:t>
      </w:r>
    </w:p>
    <w:p w14:paraId="45A3CBD4" w14:textId="77777777" w:rsidR="005D16A0" w:rsidRDefault="005D16A0" w:rsidP="005D16A0">
      <w:pPr>
        <w:pStyle w:val="ListParagraph"/>
        <w:tabs>
          <w:tab w:val="left" w:pos="709"/>
        </w:tabs>
        <w:spacing w:line="360" w:lineRule="auto"/>
        <w:ind w:left="0"/>
        <w:jc w:val="both"/>
        <w:rPr>
          <w:rFonts w:asciiTheme="minorBidi" w:hAnsiTheme="minorBidi" w:cstheme="minorBidi"/>
        </w:rPr>
      </w:pPr>
    </w:p>
    <w:p w14:paraId="37CF5311" w14:textId="77777777" w:rsidR="0033294E" w:rsidRPr="00714ED4" w:rsidRDefault="00541590" w:rsidP="00714ED4">
      <w:pPr>
        <w:pStyle w:val="ListParagraph"/>
        <w:numPr>
          <w:ilvl w:val="0"/>
          <w:numId w:val="8"/>
        </w:numPr>
        <w:tabs>
          <w:tab w:val="left" w:pos="709"/>
        </w:tabs>
        <w:spacing w:line="360" w:lineRule="auto"/>
        <w:ind w:left="0" w:firstLine="0"/>
        <w:jc w:val="both"/>
        <w:rPr>
          <w:rFonts w:asciiTheme="minorBidi" w:hAnsiTheme="minorBidi" w:cstheme="minorBidi"/>
        </w:rPr>
      </w:pPr>
      <w:r>
        <w:rPr>
          <w:rFonts w:asciiTheme="minorBidi" w:hAnsiTheme="minorBidi" w:cstheme="minorBidi"/>
        </w:rPr>
        <w:t>Is there any explanation for the delay to be found in the</w:t>
      </w:r>
      <w:r w:rsidR="00CE4F2A">
        <w:rPr>
          <w:rFonts w:asciiTheme="minorBidi" w:hAnsiTheme="minorBidi" w:cstheme="minorBidi"/>
        </w:rPr>
        <w:t xml:space="preserve"> founding affidavit</w:t>
      </w:r>
      <w:r w:rsidR="00714ED4">
        <w:rPr>
          <w:rFonts w:asciiTheme="minorBidi" w:hAnsiTheme="minorBidi" w:cstheme="minorBidi"/>
        </w:rPr>
        <w:t xml:space="preserve"> or is the first respondent correct in his assertion that no explanation has been provided</w:t>
      </w:r>
      <w:r w:rsidR="00CE4F2A">
        <w:rPr>
          <w:rFonts w:asciiTheme="minorBidi" w:hAnsiTheme="minorBidi" w:cstheme="minorBidi"/>
        </w:rPr>
        <w:t>?</w:t>
      </w:r>
      <w:r w:rsidR="00FC2DE8">
        <w:rPr>
          <w:rFonts w:asciiTheme="minorBidi" w:hAnsiTheme="minorBidi" w:cstheme="minorBidi"/>
        </w:rPr>
        <w:t xml:space="preserve"> </w:t>
      </w:r>
      <w:r w:rsidR="00DC7384">
        <w:rPr>
          <w:rFonts w:asciiTheme="minorBidi" w:hAnsiTheme="minorBidi" w:cstheme="minorBidi"/>
        </w:rPr>
        <w:t xml:space="preserve">The founding affidavit, in which an explanation for the apparent delay should be found, is a lengthy document comprising some 32 pages. It is replete with lengthy extracts from legislation said to be applicable to the issues in dispute (which legislation is also attached as an annexure to the founding affidavit) but it </w:t>
      </w:r>
      <w:r w:rsidR="007437AD">
        <w:rPr>
          <w:rFonts w:asciiTheme="minorBidi" w:hAnsiTheme="minorBidi" w:cstheme="minorBidi"/>
        </w:rPr>
        <w:t xml:space="preserve">blithely </w:t>
      </w:r>
      <w:r w:rsidR="00714ED4">
        <w:rPr>
          <w:rFonts w:asciiTheme="minorBidi" w:hAnsiTheme="minorBidi" w:cstheme="minorBidi"/>
        </w:rPr>
        <w:t>skips over the delay in bringing the review</w:t>
      </w:r>
      <w:r w:rsidR="003F340B">
        <w:rPr>
          <w:rFonts w:asciiTheme="minorBidi" w:hAnsiTheme="minorBidi" w:cstheme="minorBidi"/>
        </w:rPr>
        <w:t>,</w:t>
      </w:r>
      <w:r w:rsidR="00714ED4">
        <w:rPr>
          <w:rFonts w:asciiTheme="minorBidi" w:hAnsiTheme="minorBidi" w:cstheme="minorBidi"/>
        </w:rPr>
        <w:t xml:space="preserve"> as if the author of the founding affidavit did not appreciate that the issue needed to be </w:t>
      </w:r>
      <w:r w:rsidR="007D1419">
        <w:rPr>
          <w:rFonts w:asciiTheme="minorBidi" w:hAnsiTheme="minorBidi" w:cstheme="minorBidi"/>
        </w:rPr>
        <w:t xml:space="preserve">comprehensively </w:t>
      </w:r>
      <w:r w:rsidR="00714ED4">
        <w:rPr>
          <w:rFonts w:asciiTheme="minorBidi" w:hAnsiTheme="minorBidi" w:cstheme="minorBidi"/>
        </w:rPr>
        <w:t>addressed</w:t>
      </w:r>
      <w:r w:rsidR="00EC7A2F">
        <w:rPr>
          <w:rFonts w:asciiTheme="minorBidi" w:hAnsiTheme="minorBidi" w:cstheme="minorBidi"/>
        </w:rPr>
        <w:t xml:space="preserve"> in that document</w:t>
      </w:r>
      <w:r w:rsidR="00714ED4">
        <w:rPr>
          <w:rFonts w:asciiTheme="minorBidi" w:hAnsiTheme="minorBidi" w:cstheme="minorBidi"/>
        </w:rPr>
        <w:t xml:space="preserve">. </w:t>
      </w:r>
      <w:r w:rsidR="0033294E" w:rsidRPr="00714ED4">
        <w:rPr>
          <w:rFonts w:asciiTheme="minorBidi" w:hAnsiTheme="minorBidi" w:cstheme="minorBidi"/>
        </w:rPr>
        <w:t>So</w:t>
      </w:r>
      <w:r w:rsidR="00714ED4">
        <w:rPr>
          <w:rFonts w:asciiTheme="minorBidi" w:hAnsiTheme="minorBidi" w:cstheme="minorBidi"/>
        </w:rPr>
        <w:t xml:space="preserve"> brief, and so </w:t>
      </w:r>
      <w:r w:rsidR="0033294E" w:rsidRPr="00714ED4">
        <w:rPr>
          <w:rFonts w:asciiTheme="minorBidi" w:hAnsiTheme="minorBidi" w:cstheme="minorBidi"/>
        </w:rPr>
        <w:t>terse</w:t>
      </w:r>
      <w:r w:rsidR="00714ED4">
        <w:rPr>
          <w:rFonts w:asciiTheme="minorBidi" w:hAnsiTheme="minorBidi" w:cstheme="minorBidi"/>
        </w:rPr>
        <w:t>,</w:t>
      </w:r>
      <w:r w:rsidR="0033294E" w:rsidRPr="00714ED4">
        <w:rPr>
          <w:rFonts w:asciiTheme="minorBidi" w:hAnsiTheme="minorBidi" w:cstheme="minorBidi"/>
        </w:rPr>
        <w:t xml:space="preserve"> is the applicant’s explanation for the delay that it can </w:t>
      </w:r>
      <w:r w:rsidR="005F2D06">
        <w:rPr>
          <w:rFonts w:asciiTheme="minorBidi" w:hAnsiTheme="minorBidi" w:cstheme="minorBidi"/>
        </w:rPr>
        <w:t>profitably</w:t>
      </w:r>
      <w:r w:rsidR="0033294E" w:rsidRPr="00714ED4">
        <w:rPr>
          <w:rFonts w:asciiTheme="minorBidi" w:hAnsiTheme="minorBidi" w:cstheme="minorBidi"/>
        </w:rPr>
        <w:t xml:space="preserve"> be quoted in full:</w:t>
      </w:r>
    </w:p>
    <w:p w14:paraId="27B27EDB" w14:textId="77777777" w:rsidR="0033294E" w:rsidRPr="000B29D5" w:rsidRDefault="0033294E" w:rsidP="000B29D5">
      <w:pPr>
        <w:spacing w:line="360" w:lineRule="auto"/>
        <w:jc w:val="both"/>
        <w:rPr>
          <w:rFonts w:asciiTheme="minorBidi" w:hAnsiTheme="minorBidi" w:cstheme="minorBidi"/>
          <w:sz w:val="22"/>
          <w:szCs w:val="22"/>
        </w:rPr>
      </w:pPr>
      <w:r w:rsidRPr="000B29D5">
        <w:rPr>
          <w:rFonts w:asciiTheme="minorBidi" w:hAnsiTheme="minorBidi" w:cstheme="minorBidi"/>
          <w:sz w:val="22"/>
          <w:szCs w:val="22"/>
        </w:rPr>
        <w:t>‘7.19</w:t>
      </w:r>
      <w:r w:rsidRPr="000B29D5">
        <w:rPr>
          <w:rFonts w:asciiTheme="minorBidi" w:hAnsiTheme="minorBidi" w:cstheme="minorBidi"/>
          <w:sz w:val="22"/>
          <w:szCs w:val="22"/>
        </w:rPr>
        <w:tab/>
        <w:t xml:space="preserve">Subsequently </w:t>
      </w:r>
      <w:r w:rsidR="000B29D5">
        <w:rPr>
          <w:rFonts w:asciiTheme="minorBidi" w:hAnsiTheme="minorBidi" w:cstheme="minorBidi"/>
          <w:sz w:val="22"/>
          <w:szCs w:val="22"/>
        </w:rPr>
        <w:t xml:space="preserve">(sic) </w:t>
      </w:r>
      <w:r w:rsidRPr="000B29D5">
        <w:rPr>
          <w:rFonts w:asciiTheme="minorBidi" w:hAnsiTheme="minorBidi" w:cstheme="minorBidi"/>
          <w:sz w:val="22"/>
          <w:szCs w:val="22"/>
        </w:rPr>
        <w:t>to the current Board term commencing in March 2020, it was suggest</w:t>
      </w:r>
      <w:r w:rsidR="000B29D5">
        <w:rPr>
          <w:rFonts w:asciiTheme="minorBidi" w:hAnsiTheme="minorBidi" w:cstheme="minorBidi"/>
          <w:sz w:val="22"/>
          <w:szCs w:val="22"/>
        </w:rPr>
        <w:t>ed to the Board that the 2018 Bo</w:t>
      </w:r>
      <w:r w:rsidRPr="000B29D5">
        <w:rPr>
          <w:rFonts w:asciiTheme="minorBidi" w:hAnsiTheme="minorBidi" w:cstheme="minorBidi"/>
          <w:sz w:val="22"/>
          <w:szCs w:val="22"/>
        </w:rPr>
        <w:t>a</w:t>
      </w:r>
      <w:r w:rsidR="000B29D5">
        <w:rPr>
          <w:rFonts w:asciiTheme="minorBidi" w:hAnsiTheme="minorBidi" w:cstheme="minorBidi"/>
          <w:sz w:val="22"/>
          <w:szCs w:val="22"/>
        </w:rPr>
        <w:t>r</w:t>
      </w:r>
      <w:r w:rsidRPr="000B29D5">
        <w:rPr>
          <w:rFonts w:asciiTheme="minorBidi" w:hAnsiTheme="minorBidi" w:cstheme="minorBidi"/>
          <w:sz w:val="22"/>
          <w:szCs w:val="22"/>
        </w:rPr>
        <w:t>d decision</w:t>
      </w:r>
      <w:r w:rsidR="000B29D5">
        <w:rPr>
          <w:rFonts w:asciiTheme="minorBidi" w:hAnsiTheme="minorBidi" w:cstheme="minorBidi"/>
          <w:sz w:val="22"/>
          <w:szCs w:val="22"/>
        </w:rPr>
        <w:t xml:space="preserve"> may not </w:t>
      </w:r>
      <w:r w:rsidRPr="000B29D5">
        <w:rPr>
          <w:rFonts w:asciiTheme="minorBidi" w:hAnsiTheme="minorBidi" w:cstheme="minorBidi"/>
          <w:sz w:val="22"/>
          <w:szCs w:val="22"/>
        </w:rPr>
        <w:t>be enforceable due to the failure to</w:t>
      </w:r>
      <w:r w:rsidR="000B29D5">
        <w:rPr>
          <w:rFonts w:asciiTheme="minorBidi" w:hAnsiTheme="minorBidi" w:cstheme="minorBidi"/>
          <w:sz w:val="22"/>
          <w:szCs w:val="22"/>
        </w:rPr>
        <w:t xml:space="preserve"> </w:t>
      </w:r>
      <w:r w:rsidRPr="000B29D5">
        <w:rPr>
          <w:rFonts w:asciiTheme="minorBidi" w:hAnsiTheme="minorBidi" w:cstheme="minorBidi"/>
          <w:sz w:val="22"/>
          <w:szCs w:val="22"/>
        </w:rPr>
        <w:t>comply with the WHCA and the Regulations in converting contract appointments to permanent appointments as well as making new appointments on a permanent basis.</w:t>
      </w:r>
    </w:p>
    <w:p w14:paraId="05B95C92" w14:textId="77777777" w:rsidR="0033294E" w:rsidRPr="000B29D5" w:rsidRDefault="0033294E" w:rsidP="000B29D5">
      <w:pPr>
        <w:spacing w:line="360" w:lineRule="auto"/>
        <w:jc w:val="both"/>
        <w:rPr>
          <w:rFonts w:asciiTheme="minorBidi" w:hAnsiTheme="minorBidi" w:cstheme="minorBidi"/>
          <w:sz w:val="22"/>
          <w:szCs w:val="22"/>
        </w:rPr>
      </w:pPr>
      <w:r w:rsidRPr="000B29D5">
        <w:rPr>
          <w:rFonts w:asciiTheme="minorBidi" w:hAnsiTheme="minorBidi" w:cstheme="minorBidi"/>
          <w:sz w:val="22"/>
          <w:szCs w:val="22"/>
        </w:rPr>
        <w:t>7.20</w:t>
      </w:r>
      <w:r w:rsidRPr="000B29D5">
        <w:rPr>
          <w:rFonts w:asciiTheme="minorBidi" w:hAnsiTheme="minorBidi" w:cstheme="minorBidi"/>
          <w:sz w:val="22"/>
          <w:szCs w:val="22"/>
        </w:rPr>
        <w:tab/>
        <w:t xml:space="preserve">As a result thereof, on or about the year 2021, I approached and requested the Board committee on HR, Social and Ethics to seek legal advice on how the applicant can rescind the </w:t>
      </w:r>
      <w:r w:rsidRPr="000B29D5">
        <w:rPr>
          <w:rFonts w:asciiTheme="minorBidi" w:hAnsiTheme="minorBidi" w:cstheme="minorBidi"/>
          <w:sz w:val="22"/>
          <w:szCs w:val="22"/>
        </w:rPr>
        <w:lastRenderedPageBreak/>
        <w:t xml:space="preserve">2018 Board decision in order to have the Executives </w:t>
      </w:r>
      <w:r w:rsidR="00EC7A2F">
        <w:rPr>
          <w:rFonts w:asciiTheme="minorBidi" w:hAnsiTheme="minorBidi" w:cstheme="minorBidi"/>
          <w:sz w:val="22"/>
          <w:szCs w:val="22"/>
        </w:rPr>
        <w:t xml:space="preserve">(sic) </w:t>
      </w:r>
      <w:r w:rsidRPr="000B29D5">
        <w:rPr>
          <w:rFonts w:asciiTheme="minorBidi" w:hAnsiTheme="minorBidi" w:cstheme="minorBidi"/>
          <w:sz w:val="22"/>
          <w:szCs w:val="22"/>
        </w:rPr>
        <w:t>Manager appointments to be in accordance with the Regulations.</w:t>
      </w:r>
    </w:p>
    <w:p w14:paraId="33210BAE" w14:textId="77777777" w:rsidR="0033294E" w:rsidRDefault="0033294E" w:rsidP="000B29D5">
      <w:pPr>
        <w:spacing w:line="360" w:lineRule="auto"/>
        <w:jc w:val="both"/>
        <w:rPr>
          <w:rFonts w:asciiTheme="minorBidi" w:hAnsiTheme="minorBidi" w:cstheme="minorBidi"/>
          <w:sz w:val="22"/>
          <w:szCs w:val="22"/>
        </w:rPr>
      </w:pPr>
      <w:r w:rsidRPr="000B29D5">
        <w:rPr>
          <w:rFonts w:asciiTheme="minorBidi" w:hAnsiTheme="minorBidi" w:cstheme="minorBidi"/>
          <w:sz w:val="22"/>
          <w:szCs w:val="22"/>
        </w:rPr>
        <w:t>7.21</w:t>
      </w:r>
      <w:r w:rsidR="000B29D5" w:rsidRPr="000B29D5">
        <w:rPr>
          <w:rFonts w:asciiTheme="minorBidi" w:hAnsiTheme="minorBidi" w:cstheme="minorBidi"/>
          <w:sz w:val="22"/>
          <w:szCs w:val="22"/>
        </w:rPr>
        <w:tab/>
      </w:r>
      <w:r w:rsidRPr="000B29D5">
        <w:rPr>
          <w:rFonts w:asciiTheme="minorBidi" w:hAnsiTheme="minorBidi" w:cstheme="minorBidi"/>
          <w:sz w:val="22"/>
          <w:szCs w:val="22"/>
        </w:rPr>
        <w:t>Soon thereafter, a legal opinion was sought from o</w:t>
      </w:r>
      <w:r w:rsidR="000B29D5">
        <w:rPr>
          <w:rFonts w:asciiTheme="minorBidi" w:hAnsiTheme="minorBidi" w:cstheme="minorBidi"/>
          <w:sz w:val="22"/>
          <w:szCs w:val="22"/>
        </w:rPr>
        <w:t>u</w:t>
      </w:r>
      <w:r w:rsidRPr="000B29D5">
        <w:rPr>
          <w:rFonts w:asciiTheme="minorBidi" w:hAnsiTheme="minorBidi" w:cstheme="minorBidi"/>
          <w:sz w:val="22"/>
          <w:szCs w:val="22"/>
        </w:rPr>
        <w:t xml:space="preserve">r attorneys of record and the services of counsel were enlisted to provide </w:t>
      </w:r>
      <w:r w:rsidR="000B29D5" w:rsidRPr="000B29D5">
        <w:rPr>
          <w:rFonts w:asciiTheme="minorBidi" w:hAnsiTheme="minorBidi" w:cstheme="minorBidi"/>
          <w:sz w:val="22"/>
          <w:szCs w:val="22"/>
        </w:rPr>
        <w:t>legal opinion on possible ways to rescind the impugned board decision. The opinion was only received in March 2022 which recommended that the applicant should approach the above Honourable court to review the impugned decision and to set it aside, hence the matter is before this Honourable Court.’</w:t>
      </w:r>
    </w:p>
    <w:p w14:paraId="15C9E65C" w14:textId="77777777" w:rsidR="000B29D5" w:rsidRPr="000B29D5" w:rsidRDefault="000B29D5" w:rsidP="000B29D5">
      <w:pPr>
        <w:tabs>
          <w:tab w:val="left" w:pos="709"/>
        </w:tabs>
        <w:spacing w:line="360" w:lineRule="auto"/>
        <w:jc w:val="both"/>
        <w:rPr>
          <w:rFonts w:asciiTheme="minorBidi" w:hAnsiTheme="minorBidi" w:cstheme="minorBidi"/>
        </w:rPr>
      </w:pPr>
    </w:p>
    <w:p w14:paraId="7D970A38" w14:textId="77777777" w:rsidR="007D1419" w:rsidRDefault="0028670D" w:rsidP="00335B6F">
      <w:pPr>
        <w:pStyle w:val="ListParagraph"/>
        <w:numPr>
          <w:ilvl w:val="0"/>
          <w:numId w:val="8"/>
        </w:numPr>
        <w:tabs>
          <w:tab w:val="left" w:pos="709"/>
        </w:tabs>
        <w:spacing w:line="360" w:lineRule="auto"/>
        <w:ind w:left="0" w:firstLine="0"/>
        <w:jc w:val="both"/>
        <w:rPr>
          <w:rFonts w:asciiTheme="minorBidi" w:hAnsiTheme="minorBidi" w:cstheme="minorBidi"/>
        </w:rPr>
      </w:pPr>
      <w:r w:rsidRPr="00EC7A2F">
        <w:rPr>
          <w:rFonts w:asciiTheme="minorBidi" w:hAnsiTheme="minorBidi" w:cstheme="minorBidi"/>
          <w:color w:val="242121"/>
          <w:lang w:val="en-GB"/>
        </w:rPr>
        <w:t xml:space="preserve">These are the only </w:t>
      </w:r>
      <w:r w:rsidR="00771E1B" w:rsidRPr="00EC7A2F">
        <w:rPr>
          <w:rFonts w:asciiTheme="minorBidi" w:hAnsiTheme="minorBidi" w:cstheme="minorBidi"/>
          <w:color w:val="242121"/>
          <w:lang w:val="en-GB"/>
        </w:rPr>
        <w:t>allegations</w:t>
      </w:r>
      <w:r w:rsidR="00285F7A" w:rsidRPr="00EC7A2F">
        <w:rPr>
          <w:rFonts w:asciiTheme="minorBidi" w:hAnsiTheme="minorBidi" w:cstheme="minorBidi"/>
          <w:color w:val="242121"/>
          <w:lang w:val="en-GB"/>
        </w:rPr>
        <w:t xml:space="preserve"> in the founding affidavit that could be interpreted as </w:t>
      </w:r>
      <w:r w:rsidR="000B29D5" w:rsidRPr="00EC7A2F">
        <w:rPr>
          <w:rFonts w:asciiTheme="minorBidi" w:hAnsiTheme="minorBidi" w:cstheme="minorBidi"/>
          <w:color w:val="242121"/>
          <w:lang w:val="en-GB"/>
        </w:rPr>
        <w:t>constituting</w:t>
      </w:r>
      <w:r w:rsidR="00285F7A" w:rsidRPr="00EC7A2F">
        <w:rPr>
          <w:rFonts w:asciiTheme="minorBidi" w:hAnsiTheme="minorBidi" w:cstheme="minorBidi"/>
          <w:color w:val="242121"/>
          <w:lang w:val="en-GB"/>
        </w:rPr>
        <w:t xml:space="preserve"> an </w:t>
      </w:r>
      <w:r w:rsidRPr="00EC7A2F">
        <w:rPr>
          <w:rFonts w:asciiTheme="minorBidi" w:hAnsiTheme="minorBidi" w:cstheme="minorBidi"/>
          <w:color w:val="242121"/>
          <w:lang w:val="en-GB"/>
        </w:rPr>
        <w:t>explanation</w:t>
      </w:r>
      <w:r w:rsidR="00285F7A" w:rsidRPr="00EC7A2F">
        <w:rPr>
          <w:rFonts w:asciiTheme="minorBidi" w:hAnsiTheme="minorBidi" w:cstheme="minorBidi"/>
          <w:color w:val="242121"/>
          <w:lang w:val="en-GB"/>
        </w:rPr>
        <w:t xml:space="preserve"> for what appears</w:t>
      </w:r>
      <w:r w:rsidR="00EC7A2F" w:rsidRPr="00EC7A2F">
        <w:rPr>
          <w:rFonts w:asciiTheme="minorBidi" w:hAnsiTheme="minorBidi" w:cstheme="minorBidi"/>
          <w:color w:val="242121"/>
          <w:lang w:val="en-GB"/>
        </w:rPr>
        <w:t>,</w:t>
      </w:r>
      <w:r w:rsidR="007D1419" w:rsidRPr="00EC7A2F">
        <w:rPr>
          <w:rFonts w:asciiTheme="minorBidi" w:hAnsiTheme="minorBidi" w:cstheme="minorBidi"/>
          <w:color w:val="242121"/>
          <w:lang w:val="en-GB"/>
        </w:rPr>
        <w:t xml:space="preserve"> on the face of it</w:t>
      </w:r>
      <w:r w:rsidR="00EC7A2F" w:rsidRPr="00EC7A2F">
        <w:rPr>
          <w:rFonts w:asciiTheme="minorBidi" w:hAnsiTheme="minorBidi" w:cstheme="minorBidi"/>
          <w:color w:val="242121"/>
          <w:lang w:val="en-GB"/>
        </w:rPr>
        <w:t>,</w:t>
      </w:r>
      <w:r w:rsidR="00285F7A" w:rsidRPr="00EC7A2F">
        <w:rPr>
          <w:rFonts w:asciiTheme="minorBidi" w:hAnsiTheme="minorBidi" w:cstheme="minorBidi"/>
          <w:color w:val="242121"/>
          <w:lang w:val="en-GB"/>
        </w:rPr>
        <w:t xml:space="preserve"> to be </w:t>
      </w:r>
      <w:r w:rsidR="00F67543" w:rsidRPr="00EC7A2F">
        <w:rPr>
          <w:rFonts w:asciiTheme="minorBidi" w:hAnsiTheme="minorBidi" w:cstheme="minorBidi"/>
          <w:color w:val="242121"/>
          <w:lang w:val="en-GB"/>
        </w:rPr>
        <w:t>an</w:t>
      </w:r>
      <w:r w:rsidR="00285F7A" w:rsidRPr="00EC7A2F">
        <w:rPr>
          <w:rFonts w:asciiTheme="minorBidi" w:hAnsiTheme="minorBidi" w:cstheme="minorBidi"/>
          <w:color w:val="242121"/>
          <w:lang w:val="en-GB"/>
        </w:rPr>
        <w:t xml:space="preserve"> inordinate delay in seeking the review of the impugned decision. </w:t>
      </w:r>
      <w:r w:rsidR="007D1419" w:rsidRPr="00EC7A2F">
        <w:rPr>
          <w:rFonts w:asciiTheme="minorBidi" w:hAnsiTheme="minorBidi" w:cstheme="minorBidi"/>
          <w:color w:val="242121"/>
          <w:lang w:val="en-GB"/>
        </w:rPr>
        <w:t>The vagueness of the explanation is troubling: w</w:t>
      </w:r>
      <w:r w:rsidR="000B29D5" w:rsidRPr="00EC7A2F">
        <w:rPr>
          <w:rFonts w:asciiTheme="minorBidi" w:hAnsiTheme="minorBidi" w:cstheme="minorBidi"/>
        </w:rPr>
        <w:t>ho held the view on the impugned decision, when that view was formed and when precisely it was conveyed to the Board is not explicitly stated by the applicant</w:t>
      </w:r>
      <w:r w:rsidR="007D1419" w:rsidRPr="00EC7A2F">
        <w:rPr>
          <w:rFonts w:asciiTheme="minorBidi" w:hAnsiTheme="minorBidi" w:cstheme="minorBidi"/>
        </w:rPr>
        <w:t xml:space="preserve">. </w:t>
      </w:r>
    </w:p>
    <w:p w14:paraId="26700C64" w14:textId="77777777" w:rsidR="00EC7A2F" w:rsidRPr="00EC7A2F" w:rsidRDefault="00EC7A2F" w:rsidP="00EC7A2F">
      <w:pPr>
        <w:pStyle w:val="ListParagraph"/>
        <w:tabs>
          <w:tab w:val="left" w:pos="709"/>
        </w:tabs>
        <w:spacing w:line="360" w:lineRule="auto"/>
        <w:ind w:left="0"/>
        <w:jc w:val="both"/>
        <w:rPr>
          <w:rFonts w:asciiTheme="minorBidi" w:hAnsiTheme="minorBidi" w:cstheme="minorBidi"/>
        </w:rPr>
      </w:pPr>
    </w:p>
    <w:p w14:paraId="33983085" w14:textId="32F17E0F" w:rsidR="00260ED8" w:rsidRPr="002F5BC7" w:rsidRDefault="00260ED8" w:rsidP="002F5BC7">
      <w:pPr>
        <w:pStyle w:val="ListParagraph"/>
        <w:numPr>
          <w:ilvl w:val="0"/>
          <w:numId w:val="8"/>
        </w:numPr>
        <w:tabs>
          <w:tab w:val="left" w:pos="709"/>
        </w:tabs>
        <w:spacing w:line="360" w:lineRule="auto"/>
        <w:ind w:left="0" w:firstLine="0"/>
        <w:jc w:val="both"/>
        <w:rPr>
          <w:rFonts w:asciiTheme="minorBidi" w:hAnsiTheme="minorBidi" w:cstheme="minorBidi"/>
          <w:color w:val="242121"/>
          <w:lang w:val="en-GB"/>
        </w:rPr>
      </w:pPr>
      <w:r>
        <w:rPr>
          <w:rFonts w:asciiTheme="minorBidi" w:hAnsiTheme="minorBidi" w:cstheme="minorBidi"/>
          <w:color w:val="242121"/>
          <w:lang w:val="en-GB"/>
        </w:rPr>
        <w:t xml:space="preserve">It is trite that an applicant must make out its case in its founding affidavit and may not do so in its replying affidavit, but this is </w:t>
      </w:r>
      <w:r w:rsidR="00DD39C5">
        <w:rPr>
          <w:rFonts w:asciiTheme="minorBidi" w:hAnsiTheme="minorBidi" w:cstheme="minorBidi"/>
          <w:color w:val="242121"/>
          <w:lang w:val="en-GB"/>
        </w:rPr>
        <w:t xml:space="preserve">precisely </w:t>
      </w:r>
      <w:r w:rsidR="000B29D5">
        <w:rPr>
          <w:rFonts w:asciiTheme="minorBidi" w:hAnsiTheme="minorBidi" w:cstheme="minorBidi"/>
          <w:color w:val="242121"/>
          <w:lang w:val="en-GB"/>
        </w:rPr>
        <w:t>what the applicant has done,</w:t>
      </w:r>
      <w:r>
        <w:rPr>
          <w:rStyle w:val="FootnoteReference"/>
          <w:rFonts w:asciiTheme="minorBidi" w:hAnsiTheme="minorBidi" w:cstheme="minorBidi"/>
        </w:rPr>
        <w:footnoteReference w:id="19"/>
      </w:r>
      <w:r w:rsidR="000B29D5">
        <w:rPr>
          <w:rFonts w:asciiTheme="minorBidi" w:hAnsiTheme="minorBidi" w:cstheme="minorBidi"/>
          <w:color w:val="242121"/>
          <w:lang w:val="en-GB"/>
        </w:rPr>
        <w:t xml:space="preserve"> for g</w:t>
      </w:r>
      <w:r w:rsidR="00285F7A" w:rsidRPr="000B29D5">
        <w:rPr>
          <w:rFonts w:asciiTheme="minorBidi" w:hAnsiTheme="minorBidi" w:cstheme="minorBidi"/>
          <w:color w:val="242121"/>
          <w:lang w:val="en-GB"/>
        </w:rPr>
        <w:t xml:space="preserve">reater detail </w:t>
      </w:r>
      <w:r w:rsidR="00771E1B" w:rsidRPr="000B29D5">
        <w:rPr>
          <w:rFonts w:asciiTheme="minorBidi" w:hAnsiTheme="minorBidi" w:cstheme="minorBidi"/>
          <w:color w:val="242121"/>
          <w:lang w:val="en-GB"/>
        </w:rPr>
        <w:t xml:space="preserve">of the delay </w:t>
      </w:r>
      <w:r w:rsidR="00285F7A" w:rsidRPr="000B29D5">
        <w:rPr>
          <w:rFonts w:asciiTheme="minorBidi" w:hAnsiTheme="minorBidi" w:cstheme="minorBidi"/>
          <w:color w:val="242121"/>
          <w:lang w:val="en-GB"/>
        </w:rPr>
        <w:t>is</w:t>
      </w:r>
      <w:r w:rsidR="00AA34D1" w:rsidRPr="000B29D5">
        <w:rPr>
          <w:rFonts w:asciiTheme="minorBidi" w:hAnsiTheme="minorBidi" w:cstheme="minorBidi"/>
          <w:color w:val="242121"/>
          <w:lang w:val="en-GB"/>
        </w:rPr>
        <w:t>, to an extent,</w:t>
      </w:r>
      <w:r w:rsidR="00285F7A" w:rsidRPr="000B29D5">
        <w:rPr>
          <w:rFonts w:asciiTheme="minorBidi" w:hAnsiTheme="minorBidi" w:cstheme="minorBidi"/>
          <w:color w:val="242121"/>
          <w:lang w:val="en-GB"/>
        </w:rPr>
        <w:t xml:space="preserve"> provided in the replying affidavit</w:t>
      </w:r>
      <w:r w:rsidR="004127B9" w:rsidRPr="000B29D5">
        <w:rPr>
          <w:rFonts w:asciiTheme="minorBidi" w:hAnsiTheme="minorBidi" w:cstheme="minorBidi"/>
          <w:color w:val="242121"/>
          <w:lang w:val="en-GB"/>
        </w:rPr>
        <w:t xml:space="preserve">. I mention these </w:t>
      </w:r>
      <w:r w:rsidR="00DD39C5" w:rsidRPr="000B29D5">
        <w:rPr>
          <w:rFonts w:asciiTheme="minorBidi" w:hAnsiTheme="minorBidi" w:cstheme="minorBidi"/>
          <w:color w:val="242121"/>
          <w:lang w:val="en-GB"/>
        </w:rPr>
        <w:t xml:space="preserve">additional </w:t>
      </w:r>
      <w:r w:rsidR="004127B9" w:rsidRPr="000B29D5">
        <w:rPr>
          <w:rFonts w:asciiTheme="minorBidi" w:hAnsiTheme="minorBidi" w:cstheme="minorBidi"/>
          <w:color w:val="242121"/>
          <w:lang w:val="en-GB"/>
        </w:rPr>
        <w:t xml:space="preserve">facts </w:t>
      </w:r>
      <w:r w:rsidR="00A32DF9">
        <w:rPr>
          <w:rFonts w:asciiTheme="minorBidi" w:hAnsiTheme="minorBidi" w:cstheme="minorBidi"/>
          <w:color w:val="242121"/>
          <w:lang w:val="en-GB"/>
        </w:rPr>
        <w:t xml:space="preserve">while </w:t>
      </w:r>
      <w:r w:rsidR="00771E1B" w:rsidRPr="000B29D5">
        <w:rPr>
          <w:rFonts w:asciiTheme="minorBidi" w:hAnsiTheme="minorBidi" w:cstheme="minorBidi"/>
          <w:color w:val="242121"/>
          <w:lang w:val="en-GB"/>
        </w:rPr>
        <w:t xml:space="preserve">being </w:t>
      </w:r>
      <w:r w:rsidR="004127B9" w:rsidRPr="000B29D5">
        <w:rPr>
          <w:rFonts w:asciiTheme="minorBidi" w:hAnsiTheme="minorBidi" w:cstheme="minorBidi"/>
          <w:color w:val="242121"/>
          <w:lang w:val="en-GB"/>
        </w:rPr>
        <w:t xml:space="preserve">acutely aware of the </w:t>
      </w:r>
      <w:r w:rsidR="000B29D5">
        <w:rPr>
          <w:rFonts w:asciiTheme="minorBidi" w:hAnsiTheme="minorBidi" w:cstheme="minorBidi"/>
          <w:color w:val="242121"/>
          <w:lang w:val="en-GB"/>
        </w:rPr>
        <w:t xml:space="preserve">principle stated in the preceding sentence and being further mindful of </w:t>
      </w:r>
      <w:r w:rsidR="004127B9" w:rsidRPr="000B29D5">
        <w:rPr>
          <w:rFonts w:asciiTheme="minorBidi" w:hAnsiTheme="minorBidi" w:cstheme="minorBidi"/>
          <w:color w:val="242121"/>
          <w:lang w:val="en-GB"/>
        </w:rPr>
        <w:t>fact that</w:t>
      </w:r>
      <w:r w:rsidR="00C13B96" w:rsidRPr="000B29D5">
        <w:rPr>
          <w:rFonts w:asciiTheme="minorBidi" w:hAnsiTheme="minorBidi" w:cstheme="minorBidi"/>
          <w:color w:val="242121"/>
          <w:lang w:val="en-GB"/>
        </w:rPr>
        <w:t xml:space="preserve"> because</w:t>
      </w:r>
      <w:r w:rsidR="000B29D5">
        <w:rPr>
          <w:rFonts w:asciiTheme="minorBidi" w:hAnsiTheme="minorBidi" w:cstheme="minorBidi"/>
          <w:color w:val="242121"/>
          <w:lang w:val="en-GB"/>
        </w:rPr>
        <w:t xml:space="preserve"> the new information</w:t>
      </w:r>
      <w:r w:rsidR="004127B9" w:rsidRPr="000B29D5">
        <w:rPr>
          <w:rFonts w:asciiTheme="minorBidi" w:hAnsiTheme="minorBidi" w:cstheme="minorBidi"/>
          <w:color w:val="242121"/>
          <w:lang w:val="en-GB"/>
        </w:rPr>
        <w:t xml:space="preserve"> </w:t>
      </w:r>
      <w:r w:rsidR="000B29D5">
        <w:rPr>
          <w:rFonts w:asciiTheme="minorBidi" w:hAnsiTheme="minorBidi" w:cstheme="minorBidi"/>
          <w:color w:val="242121"/>
          <w:lang w:val="en-GB"/>
        </w:rPr>
        <w:t>is</w:t>
      </w:r>
      <w:r w:rsidR="004127B9" w:rsidRPr="000B29D5">
        <w:rPr>
          <w:rFonts w:asciiTheme="minorBidi" w:hAnsiTheme="minorBidi" w:cstheme="minorBidi"/>
          <w:color w:val="242121"/>
          <w:lang w:val="en-GB"/>
        </w:rPr>
        <w:t xml:space="preserve"> contained in the replying affidavit</w:t>
      </w:r>
      <w:r w:rsidR="000B6600">
        <w:rPr>
          <w:rFonts w:asciiTheme="minorBidi" w:hAnsiTheme="minorBidi" w:cstheme="minorBidi"/>
          <w:color w:val="242121"/>
          <w:lang w:val="en-GB"/>
        </w:rPr>
        <w:t>,</w:t>
      </w:r>
      <w:r w:rsidR="004127B9" w:rsidRPr="000B29D5">
        <w:rPr>
          <w:rFonts w:asciiTheme="minorBidi" w:hAnsiTheme="minorBidi" w:cstheme="minorBidi"/>
          <w:color w:val="242121"/>
          <w:lang w:val="en-GB"/>
        </w:rPr>
        <w:t xml:space="preserve"> </w:t>
      </w:r>
      <w:r w:rsidR="00285F7A" w:rsidRPr="000B29D5">
        <w:rPr>
          <w:rFonts w:asciiTheme="minorBidi" w:hAnsiTheme="minorBidi" w:cstheme="minorBidi"/>
          <w:color w:val="242121"/>
          <w:lang w:val="en-GB"/>
        </w:rPr>
        <w:t xml:space="preserve">the first respondent has not had the opportunity of commenting </w:t>
      </w:r>
      <w:r w:rsidR="00EC7A2F">
        <w:rPr>
          <w:rFonts w:asciiTheme="minorBidi" w:hAnsiTheme="minorBidi" w:cstheme="minorBidi"/>
          <w:color w:val="242121"/>
          <w:lang w:val="en-GB"/>
        </w:rPr>
        <w:t>up</w:t>
      </w:r>
      <w:r w:rsidR="00285F7A" w:rsidRPr="000B29D5">
        <w:rPr>
          <w:rFonts w:asciiTheme="minorBidi" w:hAnsiTheme="minorBidi" w:cstheme="minorBidi"/>
          <w:color w:val="242121"/>
          <w:lang w:val="en-GB"/>
        </w:rPr>
        <w:t xml:space="preserve">on </w:t>
      </w:r>
      <w:r w:rsidR="000B29D5">
        <w:rPr>
          <w:rFonts w:asciiTheme="minorBidi" w:hAnsiTheme="minorBidi" w:cstheme="minorBidi"/>
          <w:color w:val="242121"/>
          <w:lang w:val="en-GB"/>
        </w:rPr>
        <w:t>it</w:t>
      </w:r>
      <w:r w:rsidR="00285F7A" w:rsidRPr="000B29D5">
        <w:rPr>
          <w:rFonts w:asciiTheme="minorBidi" w:hAnsiTheme="minorBidi" w:cstheme="minorBidi"/>
          <w:color w:val="242121"/>
          <w:lang w:val="en-GB"/>
        </w:rPr>
        <w:t xml:space="preserve">. </w:t>
      </w:r>
      <w:r w:rsidR="0028670D" w:rsidRPr="000B29D5">
        <w:rPr>
          <w:rFonts w:asciiTheme="minorBidi" w:hAnsiTheme="minorBidi" w:cstheme="minorBidi"/>
          <w:color w:val="242121"/>
          <w:lang w:val="en-GB"/>
        </w:rPr>
        <w:t xml:space="preserve"> </w:t>
      </w:r>
      <w:r w:rsidR="001419F2">
        <w:rPr>
          <w:rFonts w:asciiTheme="minorBidi" w:hAnsiTheme="minorBidi" w:cstheme="minorBidi"/>
          <w:color w:val="242121"/>
          <w:lang w:val="en-GB"/>
        </w:rPr>
        <w:t>In the replying affidavit, Mr Bhukosini</w:t>
      </w:r>
      <w:r w:rsidR="002F5BC7">
        <w:rPr>
          <w:rFonts w:asciiTheme="minorBidi" w:hAnsiTheme="minorBidi" w:cstheme="minorBidi"/>
          <w:color w:val="242121"/>
          <w:lang w:val="en-GB"/>
        </w:rPr>
        <w:t xml:space="preserve"> </w:t>
      </w:r>
      <w:r w:rsidR="005F2D06">
        <w:rPr>
          <w:rFonts w:asciiTheme="minorBidi" w:hAnsiTheme="minorBidi" w:cstheme="minorBidi"/>
          <w:color w:val="242121"/>
          <w:lang w:val="en-GB"/>
        </w:rPr>
        <w:t xml:space="preserve">now </w:t>
      </w:r>
      <w:r w:rsidR="004127B9" w:rsidRPr="002F5BC7">
        <w:rPr>
          <w:rFonts w:asciiTheme="minorBidi" w:hAnsiTheme="minorBidi" w:cstheme="minorBidi"/>
          <w:color w:val="242121"/>
          <w:lang w:val="en-GB"/>
        </w:rPr>
        <w:t xml:space="preserve">states that </w:t>
      </w:r>
      <w:r w:rsidR="00632A14" w:rsidRPr="002F5BC7">
        <w:rPr>
          <w:rFonts w:asciiTheme="minorBidi" w:hAnsiTheme="minorBidi" w:cstheme="minorBidi"/>
          <w:color w:val="242121"/>
          <w:lang w:val="en-GB"/>
        </w:rPr>
        <w:t>he first became aware ‘sometime during the year 2021</w:t>
      </w:r>
      <w:r w:rsidR="002B70F1" w:rsidRPr="002F5BC7">
        <w:rPr>
          <w:rFonts w:asciiTheme="minorBidi" w:hAnsiTheme="minorBidi" w:cstheme="minorBidi"/>
          <w:color w:val="242121"/>
          <w:lang w:val="en-GB"/>
        </w:rPr>
        <w:t xml:space="preserve">’ that there may be a difficulty with the impugned decision. He </w:t>
      </w:r>
      <w:r w:rsidR="007450CC">
        <w:rPr>
          <w:rFonts w:asciiTheme="minorBidi" w:hAnsiTheme="minorBidi" w:cstheme="minorBidi"/>
          <w:color w:val="242121"/>
          <w:lang w:val="en-GB"/>
        </w:rPr>
        <w:t xml:space="preserve">also </w:t>
      </w:r>
      <w:r w:rsidR="002F5BC7">
        <w:rPr>
          <w:rFonts w:asciiTheme="minorBidi" w:hAnsiTheme="minorBidi" w:cstheme="minorBidi"/>
          <w:color w:val="242121"/>
          <w:lang w:val="en-GB"/>
        </w:rPr>
        <w:t>repeats</w:t>
      </w:r>
      <w:r w:rsidR="00C620E4" w:rsidRPr="002F5BC7">
        <w:rPr>
          <w:rFonts w:asciiTheme="minorBidi" w:hAnsiTheme="minorBidi" w:cstheme="minorBidi"/>
          <w:color w:val="242121"/>
          <w:lang w:val="en-GB"/>
        </w:rPr>
        <w:t xml:space="preserve"> that he </w:t>
      </w:r>
      <w:r w:rsidR="002B70F1" w:rsidRPr="002F5BC7">
        <w:rPr>
          <w:rFonts w:asciiTheme="minorBidi" w:hAnsiTheme="minorBidi" w:cstheme="minorBidi"/>
          <w:color w:val="242121"/>
          <w:lang w:val="en-GB"/>
        </w:rPr>
        <w:t xml:space="preserve">consequently asked </w:t>
      </w:r>
      <w:r w:rsidR="00991253">
        <w:rPr>
          <w:rFonts w:asciiTheme="minorBidi" w:hAnsiTheme="minorBidi" w:cstheme="minorBidi"/>
          <w:color w:val="242121"/>
          <w:lang w:val="en-GB"/>
        </w:rPr>
        <w:t>‘</w:t>
      </w:r>
      <w:r w:rsidR="002B70F1" w:rsidRPr="002F5BC7">
        <w:rPr>
          <w:rFonts w:asciiTheme="minorBidi" w:hAnsiTheme="minorBidi" w:cstheme="minorBidi"/>
          <w:color w:val="242121"/>
          <w:lang w:val="en-GB"/>
        </w:rPr>
        <w:t xml:space="preserve">the Board </w:t>
      </w:r>
      <w:r w:rsidR="00C620E4" w:rsidRPr="002F5BC7">
        <w:rPr>
          <w:rFonts w:asciiTheme="minorBidi" w:hAnsiTheme="minorBidi" w:cstheme="minorBidi"/>
          <w:color w:val="242121"/>
          <w:lang w:val="en-GB"/>
        </w:rPr>
        <w:t>C</w:t>
      </w:r>
      <w:r w:rsidR="002B70F1" w:rsidRPr="002F5BC7">
        <w:rPr>
          <w:rFonts w:asciiTheme="minorBidi" w:hAnsiTheme="minorBidi" w:cstheme="minorBidi"/>
          <w:color w:val="242121"/>
          <w:lang w:val="en-GB"/>
        </w:rPr>
        <w:t>ommittee on HR, Social and Ethics</w:t>
      </w:r>
      <w:r w:rsidR="00991253">
        <w:rPr>
          <w:rFonts w:asciiTheme="minorBidi" w:hAnsiTheme="minorBidi" w:cstheme="minorBidi"/>
          <w:color w:val="242121"/>
          <w:lang w:val="en-GB"/>
        </w:rPr>
        <w:t>’</w:t>
      </w:r>
      <w:r w:rsidR="002B70F1" w:rsidRPr="002F5BC7">
        <w:rPr>
          <w:rFonts w:asciiTheme="minorBidi" w:hAnsiTheme="minorBidi" w:cstheme="minorBidi"/>
          <w:color w:val="242121"/>
          <w:lang w:val="en-GB"/>
        </w:rPr>
        <w:t xml:space="preserve"> to obtain legal advice</w:t>
      </w:r>
      <w:r w:rsidR="002F5BC7">
        <w:rPr>
          <w:rFonts w:asciiTheme="minorBidi" w:hAnsiTheme="minorBidi" w:cstheme="minorBidi"/>
          <w:color w:val="242121"/>
          <w:lang w:val="en-GB"/>
        </w:rPr>
        <w:t xml:space="preserve"> and </w:t>
      </w:r>
      <w:r w:rsidR="007D1419">
        <w:rPr>
          <w:rFonts w:asciiTheme="minorBidi" w:hAnsiTheme="minorBidi" w:cstheme="minorBidi"/>
          <w:color w:val="242121"/>
          <w:lang w:val="en-GB"/>
        </w:rPr>
        <w:t xml:space="preserve">further </w:t>
      </w:r>
      <w:r w:rsidR="002F5BC7">
        <w:rPr>
          <w:rFonts w:asciiTheme="minorBidi" w:hAnsiTheme="minorBidi" w:cstheme="minorBidi"/>
          <w:color w:val="242121"/>
          <w:lang w:val="en-GB"/>
        </w:rPr>
        <w:t>repeats that</w:t>
      </w:r>
      <w:r w:rsidR="002B70F1" w:rsidRPr="002F5BC7">
        <w:rPr>
          <w:rFonts w:asciiTheme="minorBidi" w:hAnsiTheme="minorBidi" w:cstheme="minorBidi"/>
          <w:color w:val="242121"/>
          <w:lang w:val="en-GB"/>
        </w:rPr>
        <w:t xml:space="preserve"> </w:t>
      </w:r>
      <w:r w:rsidR="002F5BC7">
        <w:rPr>
          <w:rFonts w:asciiTheme="minorBidi" w:hAnsiTheme="minorBidi" w:cstheme="minorBidi"/>
          <w:color w:val="242121"/>
          <w:lang w:val="en-GB"/>
        </w:rPr>
        <w:t xml:space="preserve">the </w:t>
      </w:r>
      <w:r w:rsidR="002B70F1" w:rsidRPr="002F5BC7">
        <w:rPr>
          <w:rFonts w:asciiTheme="minorBidi" w:hAnsiTheme="minorBidi" w:cstheme="minorBidi"/>
          <w:color w:val="242121"/>
          <w:lang w:val="en-GB"/>
        </w:rPr>
        <w:t>legal advice was only received during March 2022. The Board then took a decision on 28 April 2022 to review the impugned decision</w:t>
      </w:r>
      <w:r w:rsidR="00522D9A" w:rsidRPr="002F5BC7">
        <w:rPr>
          <w:rFonts w:asciiTheme="minorBidi" w:hAnsiTheme="minorBidi" w:cstheme="minorBidi"/>
          <w:color w:val="242121"/>
          <w:lang w:val="en-GB"/>
        </w:rPr>
        <w:t>. In early May 2022</w:t>
      </w:r>
      <w:r w:rsidR="000B6600">
        <w:rPr>
          <w:rFonts w:asciiTheme="minorBidi" w:hAnsiTheme="minorBidi" w:cstheme="minorBidi"/>
          <w:color w:val="242121"/>
          <w:lang w:val="en-GB"/>
        </w:rPr>
        <w:t>,</w:t>
      </w:r>
      <w:r w:rsidR="00522D9A" w:rsidRPr="002F5BC7">
        <w:rPr>
          <w:rFonts w:asciiTheme="minorBidi" w:hAnsiTheme="minorBidi" w:cstheme="minorBidi"/>
          <w:color w:val="242121"/>
          <w:lang w:val="en-GB"/>
        </w:rPr>
        <w:t xml:space="preserve"> attorneys were instructed</w:t>
      </w:r>
      <w:r w:rsidR="002F5BC7">
        <w:rPr>
          <w:rFonts w:asciiTheme="minorBidi" w:hAnsiTheme="minorBidi" w:cstheme="minorBidi"/>
          <w:color w:val="242121"/>
          <w:lang w:val="en-GB"/>
        </w:rPr>
        <w:t>. On</w:t>
      </w:r>
      <w:r w:rsidR="00522D9A" w:rsidRPr="002F5BC7">
        <w:rPr>
          <w:rFonts w:asciiTheme="minorBidi" w:hAnsiTheme="minorBidi" w:cstheme="minorBidi"/>
          <w:color w:val="242121"/>
          <w:lang w:val="en-GB"/>
        </w:rPr>
        <w:t xml:space="preserve"> 24 June 2022 the counsel instructed by the attorneys called for further information, which was sent to him on 27 June 2022.</w:t>
      </w:r>
      <w:r w:rsidR="006F5658" w:rsidRPr="002F5BC7">
        <w:rPr>
          <w:rFonts w:asciiTheme="minorBidi" w:hAnsiTheme="minorBidi" w:cstheme="minorBidi"/>
          <w:color w:val="242121"/>
          <w:lang w:val="en-GB"/>
        </w:rPr>
        <w:t xml:space="preserve"> </w:t>
      </w:r>
      <w:r w:rsidR="00522D9A" w:rsidRPr="002F5BC7">
        <w:rPr>
          <w:rFonts w:asciiTheme="minorBidi" w:hAnsiTheme="minorBidi" w:cstheme="minorBidi"/>
          <w:color w:val="242121"/>
          <w:lang w:val="en-GB"/>
        </w:rPr>
        <w:t>Counsel then took an acting appointment at the Durban Magistrate</w:t>
      </w:r>
      <w:r w:rsidR="000B6600">
        <w:rPr>
          <w:rFonts w:asciiTheme="minorBidi" w:hAnsiTheme="minorBidi" w:cstheme="minorBidi"/>
          <w:color w:val="242121"/>
          <w:lang w:val="en-GB"/>
        </w:rPr>
        <w:t>s</w:t>
      </w:r>
      <w:r w:rsidR="00522D9A" w:rsidRPr="002F5BC7">
        <w:rPr>
          <w:rFonts w:asciiTheme="minorBidi" w:hAnsiTheme="minorBidi" w:cstheme="minorBidi"/>
          <w:color w:val="242121"/>
          <w:lang w:val="en-GB"/>
        </w:rPr>
        <w:t>’ Court and was so engaged until August 2022. On 23 September 2022</w:t>
      </w:r>
      <w:r w:rsidR="000B6600">
        <w:rPr>
          <w:rFonts w:asciiTheme="minorBidi" w:hAnsiTheme="minorBidi" w:cstheme="minorBidi"/>
          <w:color w:val="242121"/>
          <w:lang w:val="en-GB"/>
        </w:rPr>
        <w:t>,</w:t>
      </w:r>
      <w:r w:rsidR="00522D9A" w:rsidRPr="002F5BC7">
        <w:rPr>
          <w:rFonts w:asciiTheme="minorBidi" w:hAnsiTheme="minorBidi" w:cstheme="minorBidi"/>
          <w:color w:val="242121"/>
          <w:lang w:val="en-GB"/>
        </w:rPr>
        <w:t xml:space="preserve"> </w:t>
      </w:r>
      <w:r w:rsidR="00C84FEB" w:rsidRPr="002F5BC7">
        <w:rPr>
          <w:rFonts w:asciiTheme="minorBidi" w:hAnsiTheme="minorBidi" w:cstheme="minorBidi"/>
          <w:color w:val="242121"/>
          <w:lang w:val="en-GB"/>
        </w:rPr>
        <w:t>a query was sent to counsel inquiring how the preparation of the application papers was progressing. A</w:t>
      </w:r>
      <w:r w:rsidR="00DD39C5" w:rsidRPr="002F5BC7">
        <w:rPr>
          <w:rFonts w:asciiTheme="minorBidi" w:hAnsiTheme="minorBidi" w:cstheme="minorBidi"/>
          <w:color w:val="242121"/>
          <w:lang w:val="en-GB"/>
        </w:rPr>
        <w:t>s a consequence, a</w:t>
      </w:r>
      <w:r w:rsidR="00C84FEB" w:rsidRPr="002F5BC7">
        <w:rPr>
          <w:rFonts w:asciiTheme="minorBidi" w:hAnsiTheme="minorBidi" w:cstheme="minorBidi"/>
          <w:color w:val="242121"/>
          <w:lang w:val="en-GB"/>
        </w:rPr>
        <w:t xml:space="preserve"> draft founding affidavit </w:t>
      </w:r>
      <w:r w:rsidR="00C84FEB" w:rsidRPr="002F5BC7">
        <w:rPr>
          <w:rFonts w:asciiTheme="minorBidi" w:hAnsiTheme="minorBidi" w:cstheme="minorBidi"/>
          <w:color w:val="242121"/>
          <w:lang w:val="en-GB"/>
        </w:rPr>
        <w:lastRenderedPageBreak/>
        <w:t xml:space="preserve">was forwarded by counsel to the applicant’s attorneys on 27 September 2022. Mr Bhukosini </w:t>
      </w:r>
      <w:r w:rsidR="00EE16FD" w:rsidRPr="002F5BC7">
        <w:rPr>
          <w:rFonts w:asciiTheme="minorBidi" w:hAnsiTheme="minorBidi" w:cstheme="minorBidi"/>
          <w:color w:val="242121"/>
          <w:lang w:val="en-GB"/>
        </w:rPr>
        <w:t xml:space="preserve">explains that he </w:t>
      </w:r>
      <w:r w:rsidR="00C84FEB" w:rsidRPr="002F5BC7">
        <w:rPr>
          <w:rFonts w:asciiTheme="minorBidi" w:hAnsiTheme="minorBidi" w:cstheme="minorBidi"/>
          <w:color w:val="242121"/>
          <w:lang w:val="en-GB"/>
        </w:rPr>
        <w:t xml:space="preserve">was then ‘engaged in other matters’ and could not review the founding affidavit. He eventually did so, made some amendments </w:t>
      </w:r>
      <w:r w:rsidR="007D1419">
        <w:rPr>
          <w:rFonts w:asciiTheme="minorBidi" w:hAnsiTheme="minorBidi" w:cstheme="minorBidi"/>
          <w:color w:val="242121"/>
          <w:lang w:val="en-GB"/>
        </w:rPr>
        <w:t>to it</w:t>
      </w:r>
      <w:r w:rsidR="00C84FEB" w:rsidRPr="002F5BC7">
        <w:rPr>
          <w:rFonts w:asciiTheme="minorBidi" w:hAnsiTheme="minorBidi" w:cstheme="minorBidi"/>
          <w:color w:val="242121"/>
          <w:lang w:val="en-GB"/>
        </w:rPr>
        <w:t xml:space="preserve"> and forwarded it to the applicant’s attorneys on or about 6 November 2022. The application was then launched on 30 November 2022. </w:t>
      </w:r>
      <w:r w:rsidR="00EC7A2F">
        <w:rPr>
          <w:rFonts w:asciiTheme="minorBidi" w:hAnsiTheme="minorBidi" w:cstheme="minorBidi"/>
          <w:color w:val="242121"/>
          <w:lang w:val="en-GB"/>
        </w:rPr>
        <w:t xml:space="preserve">All of this should have appeared in the founding affidavit, but did not. </w:t>
      </w:r>
      <w:r w:rsidR="00C84FEB" w:rsidRPr="002F5BC7">
        <w:rPr>
          <w:rFonts w:asciiTheme="minorBidi" w:hAnsiTheme="minorBidi" w:cstheme="minorBidi"/>
          <w:color w:val="242121"/>
          <w:lang w:val="en-GB"/>
        </w:rPr>
        <w:t xml:space="preserve">Mr Bukhosini </w:t>
      </w:r>
      <w:r w:rsidR="002F5BC7">
        <w:rPr>
          <w:rFonts w:asciiTheme="minorBidi" w:hAnsiTheme="minorBidi" w:cstheme="minorBidi"/>
          <w:color w:val="242121"/>
          <w:lang w:val="en-GB"/>
        </w:rPr>
        <w:t xml:space="preserve">concludes </w:t>
      </w:r>
      <w:r w:rsidRPr="002F5BC7">
        <w:rPr>
          <w:rFonts w:asciiTheme="minorBidi" w:hAnsiTheme="minorBidi" w:cstheme="minorBidi"/>
          <w:color w:val="242121"/>
          <w:lang w:val="en-GB"/>
        </w:rPr>
        <w:t>thus:</w:t>
      </w:r>
    </w:p>
    <w:p w14:paraId="708A3023" w14:textId="77777777" w:rsidR="004127B9" w:rsidRPr="00260ED8" w:rsidRDefault="00260ED8" w:rsidP="00260ED8">
      <w:pPr>
        <w:pStyle w:val="ListParagraph"/>
        <w:tabs>
          <w:tab w:val="left" w:pos="709"/>
        </w:tabs>
        <w:spacing w:line="360" w:lineRule="auto"/>
        <w:ind w:left="0"/>
        <w:jc w:val="both"/>
        <w:rPr>
          <w:rFonts w:asciiTheme="minorBidi" w:hAnsiTheme="minorBidi" w:cstheme="minorBidi"/>
          <w:color w:val="242121"/>
          <w:sz w:val="22"/>
          <w:szCs w:val="22"/>
          <w:lang w:val="en-GB"/>
        </w:rPr>
      </w:pPr>
      <w:r w:rsidRPr="00260ED8">
        <w:rPr>
          <w:rFonts w:asciiTheme="minorBidi" w:hAnsiTheme="minorBidi" w:cstheme="minorBidi"/>
          <w:color w:val="242121"/>
          <w:sz w:val="22"/>
          <w:szCs w:val="22"/>
          <w:lang w:val="en-GB"/>
        </w:rPr>
        <w:t>‘I contend that a reasonable explanation has been provided and that it was not an undue delay as the Applicant had acted expeditiously once it became aware of the unlawfulness and invalidity of the impugned 2018 Board decision. I hereby request that under the principal of legality, the delay be overlooked.’</w:t>
      </w:r>
      <w:r w:rsidR="00C84FEB" w:rsidRPr="00260ED8">
        <w:rPr>
          <w:rFonts w:asciiTheme="minorBidi" w:hAnsiTheme="minorBidi" w:cstheme="minorBidi"/>
          <w:color w:val="242121"/>
          <w:sz w:val="22"/>
          <w:szCs w:val="22"/>
          <w:lang w:val="en-GB"/>
        </w:rPr>
        <w:t xml:space="preserve"> </w:t>
      </w:r>
    </w:p>
    <w:p w14:paraId="0065960C" w14:textId="77777777" w:rsidR="004127B9" w:rsidRPr="004127B9" w:rsidRDefault="004127B9" w:rsidP="00260ED8">
      <w:pPr>
        <w:pStyle w:val="ListParagraph"/>
        <w:spacing w:line="360" w:lineRule="auto"/>
        <w:rPr>
          <w:rFonts w:asciiTheme="minorBidi" w:hAnsiTheme="minorBidi" w:cstheme="minorBidi"/>
          <w:color w:val="242121"/>
          <w:lang w:val="en-GB"/>
        </w:rPr>
      </w:pPr>
    </w:p>
    <w:p w14:paraId="5439EA0E" w14:textId="77777777" w:rsidR="002F5BC7" w:rsidRDefault="007D1419" w:rsidP="002F5BC7">
      <w:pPr>
        <w:pStyle w:val="ListParagraph"/>
        <w:numPr>
          <w:ilvl w:val="0"/>
          <w:numId w:val="8"/>
        </w:numPr>
        <w:tabs>
          <w:tab w:val="left" w:pos="709"/>
        </w:tabs>
        <w:spacing w:line="360" w:lineRule="auto"/>
        <w:ind w:left="0" w:firstLine="0"/>
        <w:jc w:val="both"/>
        <w:rPr>
          <w:rFonts w:asciiTheme="minorBidi" w:hAnsiTheme="minorBidi" w:cstheme="minorBidi"/>
          <w:color w:val="242121"/>
          <w:lang w:val="en-GB"/>
        </w:rPr>
      </w:pPr>
      <w:r>
        <w:rPr>
          <w:rFonts w:asciiTheme="minorBidi" w:hAnsiTheme="minorBidi" w:cstheme="minorBidi"/>
          <w:color w:val="242121"/>
          <w:lang w:val="en-GB"/>
        </w:rPr>
        <w:t>I regret that I cannot agree with this</w:t>
      </w:r>
      <w:r w:rsidR="002B3387">
        <w:rPr>
          <w:rFonts w:asciiTheme="minorBidi" w:hAnsiTheme="minorBidi" w:cstheme="minorBidi"/>
          <w:color w:val="242121"/>
          <w:lang w:val="en-GB"/>
        </w:rPr>
        <w:t xml:space="preserve"> conclusion. What has been provided is not</w:t>
      </w:r>
      <w:r w:rsidR="00347188" w:rsidRPr="00AA4510">
        <w:rPr>
          <w:rFonts w:asciiTheme="minorBidi" w:hAnsiTheme="minorBidi" w:cstheme="minorBidi"/>
          <w:color w:val="242121"/>
          <w:lang w:val="en-GB"/>
        </w:rPr>
        <w:t xml:space="preserve"> a full explanation for the entire period</w:t>
      </w:r>
      <w:r w:rsidR="002B3387">
        <w:rPr>
          <w:rFonts w:asciiTheme="minorBidi" w:hAnsiTheme="minorBidi" w:cstheme="minorBidi"/>
          <w:color w:val="242121"/>
          <w:lang w:val="en-GB"/>
        </w:rPr>
        <w:t xml:space="preserve"> of the delay nor </w:t>
      </w:r>
      <w:r w:rsidR="00DD39C5">
        <w:rPr>
          <w:rFonts w:asciiTheme="minorBidi" w:hAnsiTheme="minorBidi" w:cstheme="minorBidi"/>
          <w:color w:val="242121"/>
          <w:lang w:val="en-GB"/>
        </w:rPr>
        <w:t xml:space="preserve">is it a reasonable </w:t>
      </w:r>
      <w:r w:rsidR="002B3387">
        <w:rPr>
          <w:rFonts w:asciiTheme="minorBidi" w:hAnsiTheme="minorBidi" w:cstheme="minorBidi"/>
          <w:color w:val="242121"/>
          <w:lang w:val="en-GB"/>
        </w:rPr>
        <w:t xml:space="preserve">and satisfactory </w:t>
      </w:r>
      <w:r w:rsidR="00DD39C5">
        <w:rPr>
          <w:rFonts w:asciiTheme="minorBidi" w:hAnsiTheme="minorBidi" w:cstheme="minorBidi"/>
          <w:color w:val="242121"/>
          <w:lang w:val="en-GB"/>
        </w:rPr>
        <w:t>explanation</w:t>
      </w:r>
      <w:r w:rsidR="00347188" w:rsidRPr="00AA4510">
        <w:rPr>
          <w:rFonts w:asciiTheme="minorBidi" w:hAnsiTheme="minorBidi" w:cstheme="minorBidi"/>
          <w:color w:val="242121"/>
          <w:lang w:val="en-GB"/>
        </w:rPr>
        <w:t xml:space="preserve">. </w:t>
      </w:r>
      <w:r w:rsidR="00DD39C5">
        <w:rPr>
          <w:rFonts w:asciiTheme="minorBidi" w:hAnsiTheme="minorBidi" w:cstheme="minorBidi"/>
          <w:color w:val="242121"/>
          <w:lang w:val="en-GB"/>
        </w:rPr>
        <w:t>In both the founding and the replying affidavit</w:t>
      </w:r>
      <w:r w:rsidR="000B6600">
        <w:rPr>
          <w:rFonts w:asciiTheme="minorBidi" w:hAnsiTheme="minorBidi" w:cstheme="minorBidi"/>
          <w:color w:val="242121"/>
          <w:lang w:val="en-GB"/>
        </w:rPr>
        <w:t>s</w:t>
      </w:r>
      <w:r w:rsidR="00DD39C5">
        <w:rPr>
          <w:rFonts w:asciiTheme="minorBidi" w:hAnsiTheme="minorBidi" w:cstheme="minorBidi"/>
          <w:color w:val="242121"/>
          <w:lang w:val="en-GB"/>
        </w:rPr>
        <w:t>, t</w:t>
      </w:r>
      <w:r w:rsidR="006F5658" w:rsidRPr="00AA4510">
        <w:rPr>
          <w:rFonts w:asciiTheme="minorBidi" w:hAnsiTheme="minorBidi" w:cstheme="minorBidi"/>
          <w:color w:val="242121"/>
          <w:lang w:val="en-GB"/>
        </w:rPr>
        <w:t>he explanation ignores the first three years of th</w:t>
      </w:r>
      <w:r w:rsidR="00DD39C5">
        <w:rPr>
          <w:rFonts w:asciiTheme="minorBidi" w:hAnsiTheme="minorBidi" w:cstheme="minorBidi"/>
          <w:color w:val="242121"/>
          <w:lang w:val="en-GB"/>
        </w:rPr>
        <w:t>e period after the taking of the impugned decision</w:t>
      </w:r>
      <w:r w:rsidR="006F5658" w:rsidRPr="00AA4510">
        <w:rPr>
          <w:rFonts w:asciiTheme="minorBidi" w:hAnsiTheme="minorBidi" w:cstheme="minorBidi"/>
          <w:color w:val="242121"/>
          <w:lang w:val="en-GB"/>
        </w:rPr>
        <w:t>.</w:t>
      </w:r>
      <w:r w:rsidR="00DD39C5">
        <w:rPr>
          <w:rFonts w:asciiTheme="minorBidi" w:hAnsiTheme="minorBidi" w:cstheme="minorBidi"/>
          <w:color w:val="242121"/>
          <w:lang w:val="en-GB"/>
        </w:rPr>
        <w:t xml:space="preserve"> The initial </w:t>
      </w:r>
      <w:r w:rsidR="002B3387">
        <w:rPr>
          <w:rFonts w:asciiTheme="minorBidi" w:hAnsiTheme="minorBidi" w:cstheme="minorBidi"/>
          <w:color w:val="242121"/>
          <w:lang w:val="en-GB"/>
        </w:rPr>
        <w:t>explanation</w:t>
      </w:r>
      <w:r w:rsidR="005F2D06">
        <w:rPr>
          <w:rFonts w:asciiTheme="minorBidi" w:hAnsiTheme="minorBidi" w:cstheme="minorBidi"/>
          <w:color w:val="242121"/>
          <w:lang w:val="en-GB"/>
        </w:rPr>
        <w:t xml:space="preserve"> in the founding affidavit</w:t>
      </w:r>
      <w:r w:rsidR="002B3387">
        <w:rPr>
          <w:rFonts w:asciiTheme="minorBidi" w:hAnsiTheme="minorBidi" w:cstheme="minorBidi"/>
          <w:color w:val="242121"/>
          <w:lang w:val="en-GB"/>
        </w:rPr>
        <w:t>, such as it is,</w:t>
      </w:r>
      <w:r w:rsidR="00DD39C5">
        <w:rPr>
          <w:rFonts w:asciiTheme="minorBidi" w:hAnsiTheme="minorBidi" w:cstheme="minorBidi"/>
          <w:color w:val="242121"/>
          <w:lang w:val="en-GB"/>
        </w:rPr>
        <w:t xml:space="preserve"> </w:t>
      </w:r>
      <w:r w:rsidR="002F5BC7">
        <w:rPr>
          <w:rFonts w:asciiTheme="minorBidi" w:hAnsiTheme="minorBidi" w:cstheme="minorBidi"/>
          <w:color w:val="242121"/>
          <w:lang w:val="en-GB"/>
        </w:rPr>
        <w:t>is</w:t>
      </w:r>
      <w:r w:rsidR="00C620E4" w:rsidRPr="00AA4510">
        <w:rPr>
          <w:rFonts w:asciiTheme="minorBidi" w:hAnsiTheme="minorBidi" w:cstheme="minorBidi"/>
          <w:color w:val="242121"/>
          <w:lang w:val="en-GB"/>
        </w:rPr>
        <w:t xml:space="preserve"> </w:t>
      </w:r>
      <w:r w:rsidR="006F5658" w:rsidRPr="00AA4510">
        <w:rPr>
          <w:rFonts w:asciiTheme="minorBidi" w:hAnsiTheme="minorBidi" w:cstheme="minorBidi"/>
          <w:color w:val="242121"/>
          <w:lang w:val="en-GB"/>
        </w:rPr>
        <w:t xml:space="preserve">characterised by </w:t>
      </w:r>
      <w:r w:rsidR="005F2D06">
        <w:rPr>
          <w:rFonts w:asciiTheme="minorBidi" w:hAnsiTheme="minorBidi" w:cstheme="minorBidi"/>
          <w:color w:val="242121"/>
          <w:lang w:val="en-GB"/>
        </w:rPr>
        <w:t>unacceptable</w:t>
      </w:r>
      <w:r w:rsidR="006F5658" w:rsidRPr="00AA4510">
        <w:rPr>
          <w:rFonts w:asciiTheme="minorBidi" w:hAnsiTheme="minorBidi" w:cstheme="minorBidi"/>
          <w:color w:val="242121"/>
          <w:lang w:val="en-GB"/>
        </w:rPr>
        <w:t xml:space="preserve"> vagueness. </w:t>
      </w:r>
      <w:r w:rsidR="006F56AE">
        <w:rPr>
          <w:rFonts w:asciiTheme="minorBidi" w:hAnsiTheme="minorBidi" w:cstheme="minorBidi"/>
          <w:color w:val="242121"/>
          <w:lang w:val="en-GB"/>
        </w:rPr>
        <w:t>Mr Cele submitted in argument that more information</w:t>
      </w:r>
      <w:r w:rsidR="007450CC">
        <w:rPr>
          <w:rFonts w:asciiTheme="minorBidi" w:hAnsiTheme="minorBidi" w:cstheme="minorBidi"/>
          <w:color w:val="242121"/>
          <w:lang w:val="en-GB"/>
        </w:rPr>
        <w:t xml:space="preserve"> was acquired by the applicant </w:t>
      </w:r>
      <w:r w:rsidR="006F56AE">
        <w:rPr>
          <w:rFonts w:asciiTheme="minorBidi" w:hAnsiTheme="minorBidi" w:cstheme="minorBidi"/>
          <w:color w:val="242121"/>
          <w:lang w:val="en-GB"/>
        </w:rPr>
        <w:t xml:space="preserve">after the answering affidavit had been received and that information was accordingly placed in the replying affidavit. It is difficult to </w:t>
      </w:r>
      <w:r w:rsidR="005F2D06">
        <w:rPr>
          <w:rFonts w:asciiTheme="minorBidi" w:hAnsiTheme="minorBidi" w:cstheme="minorBidi"/>
          <w:color w:val="242121"/>
          <w:lang w:val="en-GB"/>
        </w:rPr>
        <w:t>understand how that could be so.</w:t>
      </w:r>
      <w:r w:rsidR="006F56AE">
        <w:rPr>
          <w:rFonts w:asciiTheme="minorBidi" w:hAnsiTheme="minorBidi" w:cstheme="minorBidi"/>
          <w:color w:val="242121"/>
          <w:lang w:val="en-GB"/>
        </w:rPr>
        <w:t xml:space="preserve"> By the time the application was launched</w:t>
      </w:r>
      <w:r w:rsidR="000B6600">
        <w:rPr>
          <w:rFonts w:asciiTheme="minorBidi" w:hAnsiTheme="minorBidi" w:cstheme="minorBidi"/>
          <w:color w:val="242121"/>
          <w:lang w:val="en-GB"/>
        </w:rPr>
        <w:t>,</w:t>
      </w:r>
      <w:r w:rsidR="006F56AE">
        <w:rPr>
          <w:rFonts w:asciiTheme="minorBidi" w:hAnsiTheme="minorBidi" w:cstheme="minorBidi"/>
          <w:color w:val="242121"/>
          <w:lang w:val="en-GB"/>
        </w:rPr>
        <w:t xml:space="preserve"> all the events later reported </w:t>
      </w:r>
      <w:r w:rsidR="002B3387">
        <w:rPr>
          <w:rFonts w:asciiTheme="minorBidi" w:hAnsiTheme="minorBidi" w:cstheme="minorBidi"/>
          <w:color w:val="242121"/>
          <w:lang w:val="en-GB"/>
        </w:rPr>
        <w:t xml:space="preserve">on </w:t>
      </w:r>
      <w:r w:rsidR="006F56AE">
        <w:rPr>
          <w:rFonts w:asciiTheme="minorBidi" w:hAnsiTheme="minorBidi" w:cstheme="minorBidi"/>
          <w:color w:val="242121"/>
          <w:lang w:val="en-GB"/>
        </w:rPr>
        <w:t>in the replying affidavit had already occurred and must have been known to the applicant</w:t>
      </w:r>
      <w:r w:rsidR="002B3387">
        <w:rPr>
          <w:rFonts w:asciiTheme="minorBidi" w:hAnsiTheme="minorBidi" w:cstheme="minorBidi"/>
          <w:color w:val="242121"/>
          <w:lang w:val="en-GB"/>
        </w:rPr>
        <w:t xml:space="preserve"> </w:t>
      </w:r>
      <w:r w:rsidR="00D842E2">
        <w:rPr>
          <w:rFonts w:asciiTheme="minorBidi" w:hAnsiTheme="minorBidi" w:cstheme="minorBidi"/>
          <w:color w:val="242121"/>
          <w:lang w:val="en-GB"/>
        </w:rPr>
        <w:t>when</w:t>
      </w:r>
      <w:r w:rsidR="002B3387">
        <w:rPr>
          <w:rFonts w:asciiTheme="minorBidi" w:hAnsiTheme="minorBidi" w:cstheme="minorBidi"/>
          <w:color w:val="242121"/>
          <w:lang w:val="en-GB"/>
        </w:rPr>
        <w:t xml:space="preserve"> that the founding affidavit was </w:t>
      </w:r>
      <w:r w:rsidR="005F2D06">
        <w:rPr>
          <w:rFonts w:asciiTheme="minorBidi" w:hAnsiTheme="minorBidi" w:cstheme="minorBidi"/>
          <w:color w:val="242121"/>
          <w:lang w:val="en-GB"/>
        </w:rPr>
        <w:t>brought into existence</w:t>
      </w:r>
      <w:r w:rsidR="006F56AE">
        <w:rPr>
          <w:rFonts w:asciiTheme="minorBidi" w:hAnsiTheme="minorBidi" w:cstheme="minorBidi"/>
          <w:color w:val="242121"/>
          <w:lang w:val="en-GB"/>
        </w:rPr>
        <w:t xml:space="preserve">. </w:t>
      </w:r>
    </w:p>
    <w:p w14:paraId="4CD4EE8F" w14:textId="77777777" w:rsidR="006F56AE" w:rsidRDefault="006F56AE" w:rsidP="006F56AE">
      <w:pPr>
        <w:pStyle w:val="ListParagraph"/>
        <w:tabs>
          <w:tab w:val="left" w:pos="709"/>
        </w:tabs>
        <w:spacing w:line="360" w:lineRule="auto"/>
        <w:ind w:left="0"/>
        <w:jc w:val="both"/>
        <w:rPr>
          <w:rFonts w:asciiTheme="minorBidi" w:hAnsiTheme="minorBidi" w:cstheme="minorBidi"/>
          <w:color w:val="242121"/>
          <w:lang w:val="en-GB"/>
        </w:rPr>
      </w:pPr>
    </w:p>
    <w:p w14:paraId="1FD0B327" w14:textId="77777777" w:rsidR="00AA4510" w:rsidRDefault="008E40CA" w:rsidP="00632019">
      <w:pPr>
        <w:pStyle w:val="ListParagraph"/>
        <w:numPr>
          <w:ilvl w:val="0"/>
          <w:numId w:val="8"/>
        </w:numPr>
        <w:tabs>
          <w:tab w:val="left" w:pos="709"/>
        </w:tabs>
        <w:spacing w:line="360" w:lineRule="auto"/>
        <w:ind w:left="0" w:firstLine="0"/>
        <w:jc w:val="both"/>
        <w:rPr>
          <w:rFonts w:asciiTheme="minorBidi" w:hAnsiTheme="minorBidi" w:cstheme="minorBidi"/>
          <w:color w:val="242121"/>
          <w:lang w:val="en-GB"/>
        </w:rPr>
      </w:pPr>
      <w:r>
        <w:rPr>
          <w:rFonts w:asciiTheme="minorBidi" w:hAnsiTheme="minorBidi" w:cstheme="minorBidi"/>
          <w:color w:val="242121"/>
          <w:lang w:val="en-GB"/>
        </w:rPr>
        <w:t xml:space="preserve">The expanded version of the explanation </w:t>
      </w:r>
      <w:r w:rsidR="006F56AE">
        <w:rPr>
          <w:rFonts w:asciiTheme="minorBidi" w:hAnsiTheme="minorBidi" w:cstheme="minorBidi"/>
          <w:color w:val="242121"/>
          <w:lang w:val="en-GB"/>
        </w:rPr>
        <w:t xml:space="preserve">for the delay </w:t>
      </w:r>
      <w:r>
        <w:rPr>
          <w:rFonts w:asciiTheme="minorBidi" w:hAnsiTheme="minorBidi" w:cstheme="minorBidi"/>
          <w:color w:val="242121"/>
          <w:lang w:val="en-GB"/>
        </w:rPr>
        <w:t>contained in the replying affidavit also contradicts th</w:t>
      </w:r>
      <w:r w:rsidR="006F56AE">
        <w:rPr>
          <w:rFonts w:asciiTheme="minorBidi" w:hAnsiTheme="minorBidi" w:cstheme="minorBidi"/>
          <w:color w:val="242121"/>
          <w:lang w:val="en-GB"/>
        </w:rPr>
        <w:t xml:space="preserve">e initial version contained in the founding affidavit. </w:t>
      </w:r>
      <w:r w:rsidR="00AA4510">
        <w:rPr>
          <w:rFonts w:asciiTheme="minorBidi" w:hAnsiTheme="minorBidi" w:cstheme="minorBidi"/>
          <w:color w:val="242121"/>
          <w:lang w:val="en-GB"/>
        </w:rPr>
        <w:t xml:space="preserve">Mr </w:t>
      </w:r>
      <w:r w:rsidR="005E414E">
        <w:rPr>
          <w:rFonts w:asciiTheme="minorBidi" w:hAnsiTheme="minorBidi" w:cstheme="minorBidi"/>
          <w:color w:val="242121"/>
          <w:lang w:val="en-GB"/>
        </w:rPr>
        <w:t>Bukhosini</w:t>
      </w:r>
      <w:r w:rsidR="00AA4510" w:rsidRPr="00AA4510">
        <w:rPr>
          <w:rFonts w:asciiTheme="minorBidi" w:hAnsiTheme="minorBidi" w:cstheme="minorBidi"/>
          <w:color w:val="242121"/>
          <w:lang w:val="en-GB"/>
        </w:rPr>
        <w:t xml:space="preserve"> does not </w:t>
      </w:r>
      <w:r w:rsidR="000D72A6">
        <w:rPr>
          <w:rFonts w:asciiTheme="minorBidi" w:hAnsiTheme="minorBidi" w:cstheme="minorBidi"/>
          <w:color w:val="242121"/>
          <w:lang w:val="en-GB"/>
        </w:rPr>
        <w:t xml:space="preserve">explicitly </w:t>
      </w:r>
      <w:r w:rsidR="00AA4510" w:rsidRPr="00AA4510">
        <w:rPr>
          <w:rFonts w:asciiTheme="minorBidi" w:hAnsiTheme="minorBidi" w:cstheme="minorBidi"/>
          <w:color w:val="242121"/>
          <w:lang w:val="en-GB"/>
        </w:rPr>
        <w:t>state in the founding affidavit that he is the person who came to the conclusion on the unlawfulness of the impugned decision</w:t>
      </w:r>
      <w:r w:rsidR="000D72A6">
        <w:rPr>
          <w:rFonts w:asciiTheme="minorBidi" w:hAnsiTheme="minorBidi" w:cstheme="minorBidi"/>
          <w:color w:val="242121"/>
          <w:lang w:val="en-GB"/>
        </w:rPr>
        <w:t xml:space="preserve"> and then advised the Board</w:t>
      </w:r>
      <w:r w:rsidR="00D842E2">
        <w:rPr>
          <w:rFonts w:asciiTheme="minorBidi" w:hAnsiTheme="minorBidi" w:cstheme="minorBidi"/>
          <w:color w:val="242121"/>
          <w:lang w:val="en-GB"/>
        </w:rPr>
        <w:t xml:space="preserve"> accordingly</w:t>
      </w:r>
      <w:r w:rsidR="00AA4510" w:rsidRPr="00AA4510">
        <w:rPr>
          <w:rFonts w:asciiTheme="minorBidi" w:hAnsiTheme="minorBidi" w:cstheme="minorBidi"/>
          <w:color w:val="242121"/>
          <w:lang w:val="en-GB"/>
        </w:rPr>
        <w:t xml:space="preserve">, but the impression is that it was he who </w:t>
      </w:r>
      <w:r w:rsidR="002B3387">
        <w:rPr>
          <w:rFonts w:asciiTheme="minorBidi" w:hAnsiTheme="minorBidi" w:cstheme="minorBidi"/>
          <w:color w:val="242121"/>
          <w:lang w:val="en-GB"/>
        </w:rPr>
        <w:t>did so</w:t>
      </w:r>
      <w:r w:rsidR="00AA4510" w:rsidRPr="00AA4510">
        <w:rPr>
          <w:rFonts w:asciiTheme="minorBidi" w:hAnsiTheme="minorBidi" w:cstheme="minorBidi"/>
          <w:color w:val="242121"/>
          <w:lang w:val="en-GB"/>
        </w:rPr>
        <w:t>. I</w:t>
      </w:r>
      <w:r w:rsidR="000D72A6">
        <w:rPr>
          <w:rFonts w:asciiTheme="minorBidi" w:hAnsiTheme="minorBidi" w:cstheme="minorBidi"/>
          <w:color w:val="242121"/>
          <w:lang w:val="en-GB"/>
        </w:rPr>
        <w:t xml:space="preserve"> sought clarity from Mr Cele on this point and he confirmed that it was </w:t>
      </w:r>
      <w:r w:rsidR="00632019">
        <w:rPr>
          <w:rFonts w:asciiTheme="minorBidi" w:hAnsiTheme="minorBidi" w:cstheme="minorBidi"/>
          <w:color w:val="242121"/>
          <w:lang w:val="en-GB"/>
        </w:rPr>
        <w:t xml:space="preserve">indeed </w:t>
      </w:r>
      <w:r w:rsidR="000D72A6">
        <w:rPr>
          <w:rFonts w:asciiTheme="minorBidi" w:hAnsiTheme="minorBidi" w:cstheme="minorBidi"/>
          <w:color w:val="242121"/>
          <w:lang w:val="en-GB"/>
        </w:rPr>
        <w:t xml:space="preserve">Mr Bukhosini who had advised the Board. That being the case, </w:t>
      </w:r>
      <w:r>
        <w:rPr>
          <w:rFonts w:asciiTheme="minorBidi" w:hAnsiTheme="minorBidi" w:cstheme="minorBidi"/>
          <w:color w:val="242121"/>
          <w:lang w:val="en-GB"/>
        </w:rPr>
        <w:t>Mr Bukhosini</w:t>
      </w:r>
      <w:r w:rsidR="00632019">
        <w:rPr>
          <w:rFonts w:asciiTheme="minorBidi" w:hAnsiTheme="minorBidi" w:cstheme="minorBidi"/>
          <w:color w:val="242121"/>
          <w:lang w:val="en-GB"/>
        </w:rPr>
        <w:t xml:space="preserve"> has offered two different explanations for when he came to that view: in the founding</w:t>
      </w:r>
      <w:r>
        <w:rPr>
          <w:rFonts w:asciiTheme="minorBidi" w:hAnsiTheme="minorBidi" w:cstheme="minorBidi"/>
          <w:color w:val="242121"/>
          <w:lang w:val="en-GB"/>
        </w:rPr>
        <w:t xml:space="preserve"> </w:t>
      </w:r>
      <w:r w:rsidR="00632019">
        <w:rPr>
          <w:rFonts w:asciiTheme="minorBidi" w:hAnsiTheme="minorBidi" w:cstheme="minorBidi"/>
          <w:color w:val="242121"/>
          <w:lang w:val="en-GB"/>
        </w:rPr>
        <w:t xml:space="preserve">affidavit he stated that he </w:t>
      </w:r>
      <w:r>
        <w:rPr>
          <w:rFonts w:asciiTheme="minorBidi" w:hAnsiTheme="minorBidi" w:cstheme="minorBidi"/>
          <w:color w:val="242121"/>
          <w:lang w:val="en-GB"/>
        </w:rPr>
        <w:t xml:space="preserve">became aware of the alleged unlawfulness of the impugned decision </w:t>
      </w:r>
      <w:r w:rsidR="007E1BF6">
        <w:rPr>
          <w:rFonts w:asciiTheme="minorBidi" w:hAnsiTheme="minorBidi" w:cstheme="minorBidi"/>
          <w:color w:val="242121"/>
          <w:lang w:val="en-GB"/>
        </w:rPr>
        <w:t xml:space="preserve">subsequent to </w:t>
      </w:r>
      <w:r w:rsidR="00C51861">
        <w:rPr>
          <w:rFonts w:asciiTheme="minorBidi" w:hAnsiTheme="minorBidi" w:cstheme="minorBidi"/>
          <w:color w:val="242121"/>
          <w:lang w:val="en-GB"/>
        </w:rPr>
        <w:t xml:space="preserve">the </w:t>
      </w:r>
      <w:r w:rsidR="007E1BF6">
        <w:rPr>
          <w:rFonts w:asciiTheme="minorBidi" w:hAnsiTheme="minorBidi" w:cstheme="minorBidi"/>
          <w:color w:val="242121"/>
          <w:lang w:val="en-GB"/>
        </w:rPr>
        <w:t>current Board’s term of office commencing in March 2020</w:t>
      </w:r>
      <w:r w:rsidR="00D842E2">
        <w:rPr>
          <w:rFonts w:asciiTheme="minorBidi" w:hAnsiTheme="minorBidi" w:cstheme="minorBidi"/>
          <w:color w:val="242121"/>
          <w:lang w:val="en-GB"/>
        </w:rPr>
        <w:t>,</w:t>
      </w:r>
      <w:r w:rsidR="007E1BF6">
        <w:rPr>
          <w:rFonts w:asciiTheme="minorBidi" w:hAnsiTheme="minorBidi" w:cstheme="minorBidi"/>
          <w:color w:val="242121"/>
          <w:lang w:val="en-GB"/>
        </w:rPr>
        <w:t xml:space="preserve"> </w:t>
      </w:r>
      <w:r w:rsidR="00632019">
        <w:rPr>
          <w:rFonts w:asciiTheme="minorBidi" w:hAnsiTheme="minorBidi" w:cstheme="minorBidi"/>
          <w:color w:val="242121"/>
          <w:lang w:val="en-GB"/>
        </w:rPr>
        <w:t xml:space="preserve">whilst in the replying affidavit he states that he came to this conclusion in </w:t>
      </w:r>
      <w:r w:rsidR="007E1BF6">
        <w:rPr>
          <w:rFonts w:asciiTheme="minorBidi" w:hAnsiTheme="minorBidi" w:cstheme="minorBidi"/>
          <w:color w:val="242121"/>
          <w:lang w:val="en-GB"/>
        </w:rPr>
        <w:t>2021</w:t>
      </w:r>
      <w:r w:rsidR="00632019">
        <w:rPr>
          <w:rFonts w:asciiTheme="minorBidi" w:hAnsiTheme="minorBidi" w:cstheme="minorBidi"/>
          <w:color w:val="242121"/>
          <w:lang w:val="en-GB"/>
        </w:rPr>
        <w:t>.</w:t>
      </w:r>
    </w:p>
    <w:p w14:paraId="4D7EF600" w14:textId="77777777" w:rsidR="00E663E6" w:rsidRDefault="000D72A6" w:rsidP="00E663E6">
      <w:pPr>
        <w:pStyle w:val="ListParagraph"/>
        <w:numPr>
          <w:ilvl w:val="0"/>
          <w:numId w:val="8"/>
        </w:numPr>
        <w:tabs>
          <w:tab w:val="left" w:pos="709"/>
        </w:tabs>
        <w:spacing w:line="360" w:lineRule="auto"/>
        <w:ind w:left="0" w:firstLine="0"/>
        <w:jc w:val="both"/>
        <w:rPr>
          <w:rFonts w:asciiTheme="minorBidi" w:hAnsiTheme="minorBidi" w:cstheme="minorBidi"/>
        </w:rPr>
      </w:pPr>
      <w:r w:rsidRPr="00B235B3">
        <w:rPr>
          <w:rFonts w:asciiTheme="minorBidi" w:hAnsiTheme="minorBidi" w:cstheme="minorBidi"/>
          <w:color w:val="242121"/>
          <w:lang w:val="en-GB"/>
        </w:rPr>
        <w:lastRenderedPageBreak/>
        <w:t>Applying the te</w:t>
      </w:r>
      <w:r w:rsidR="00632019">
        <w:rPr>
          <w:rFonts w:asciiTheme="minorBidi" w:hAnsiTheme="minorBidi" w:cstheme="minorBidi"/>
          <w:color w:val="242121"/>
          <w:lang w:val="en-GB"/>
        </w:rPr>
        <w:t>st</w:t>
      </w:r>
      <w:r w:rsidRPr="00B235B3">
        <w:rPr>
          <w:rFonts w:asciiTheme="minorBidi" w:hAnsiTheme="minorBidi" w:cstheme="minorBidi"/>
          <w:color w:val="242121"/>
          <w:lang w:val="en-GB"/>
        </w:rPr>
        <w:t xml:space="preserve"> in </w:t>
      </w:r>
      <w:r w:rsidRPr="00B235B3">
        <w:rPr>
          <w:rFonts w:asciiTheme="minorBidi" w:hAnsiTheme="minorBidi" w:cstheme="minorBidi"/>
          <w:i/>
          <w:iCs/>
          <w:color w:val="242121"/>
          <w:lang w:val="en-GB"/>
        </w:rPr>
        <w:t>Khumalo</w:t>
      </w:r>
      <w:r w:rsidRPr="00B235B3">
        <w:rPr>
          <w:rFonts w:asciiTheme="minorBidi" w:hAnsiTheme="minorBidi" w:cstheme="minorBidi"/>
          <w:color w:val="242121"/>
          <w:lang w:val="en-GB"/>
        </w:rPr>
        <w:t xml:space="preserve">, </w:t>
      </w:r>
      <w:r w:rsidR="00F0273E" w:rsidRPr="00B235B3">
        <w:rPr>
          <w:rFonts w:asciiTheme="minorBidi" w:hAnsiTheme="minorBidi" w:cstheme="minorBidi"/>
          <w:color w:val="242121"/>
          <w:lang w:val="en-GB"/>
        </w:rPr>
        <w:t xml:space="preserve">the first step must be answered in the affirmative, namely that there has been an </w:t>
      </w:r>
      <w:r w:rsidR="005F2D06">
        <w:rPr>
          <w:rFonts w:asciiTheme="minorBidi" w:hAnsiTheme="minorBidi" w:cstheme="minorBidi"/>
          <w:color w:val="242121"/>
          <w:lang w:val="en-GB"/>
        </w:rPr>
        <w:t xml:space="preserve">excessive and </w:t>
      </w:r>
      <w:r w:rsidR="00F0273E" w:rsidRPr="00B235B3">
        <w:rPr>
          <w:rFonts w:asciiTheme="minorBidi" w:hAnsiTheme="minorBidi" w:cstheme="minorBidi"/>
          <w:color w:val="242121"/>
          <w:lang w:val="en-GB"/>
        </w:rPr>
        <w:t>unreasonable delay in the bringing of this review</w:t>
      </w:r>
      <w:r w:rsidR="00632019">
        <w:rPr>
          <w:rFonts w:asciiTheme="minorBidi" w:hAnsiTheme="minorBidi" w:cstheme="minorBidi"/>
          <w:color w:val="242121"/>
          <w:lang w:val="en-GB"/>
        </w:rPr>
        <w:t xml:space="preserve"> and i</w:t>
      </w:r>
      <w:r w:rsidR="00632019">
        <w:rPr>
          <w:rFonts w:asciiTheme="minorBidi" w:hAnsiTheme="minorBidi" w:cstheme="minorBidi"/>
        </w:rPr>
        <w:t>n my view, t</w:t>
      </w:r>
      <w:r w:rsidR="00632019" w:rsidRPr="007D1419">
        <w:rPr>
          <w:rFonts w:asciiTheme="minorBidi" w:hAnsiTheme="minorBidi" w:cstheme="minorBidi"/>
        </w:rPr>
        <w:t xml:space="preserve">he first respondent is correct in his assertion that the applicant has advanced no reasons </w:t>
      </w:r>
      <w:r w:rsidR="00632019">
        <w:rPr>
          <w:rFonts w:asciiTheme="minorBidi" w:hAnsiTheme="minorBidi" w:cstheme="minorBidi"/>
        </w:rPr>
        <w:t xml:space="preserve">in its founding affidavit </w:t>
      </w:r>
      <w:r w:rsidR="005F2D06">
        <w:rPr>
          <w:rFonts w:asciiTheme="minorBidi" w:hAnsiTheme="minorBidi" w:cstheme="minorBidi"/>
        </w:rPr>
        <w:t>for the delay.</w:t>
      </w:r>
    </w:p>
    <w:p w14:paraId="1AB043C1" w14:textId="77777777" w:rsidR="00632019" w:rsidRPr="00632019" w:rsidRDefault="00E663E6" w:rsidP="00E663E6">
      <w:pPr>
        <w:pStyle w:val="ListParagraph"/>
        <w:tabs>
          <w:tab w:val="left" w:pos="709"/>
        </w:tabs>
        <w:spacing w:line="360" w:lineRule="auto"/>
        <w:ind w:left="0"/>
        <w:jc w:val="both"/>
        <w:rPr>
          <w:rFonts w:asciiTheme="minorBidi" w:hAnsiTheme="minorBidi" w:cstheme="minorBidi"/>
        </w:rPr>
      </w:pPr>
      <w:r w:rsidRPr="00632019">
        <w:rPr>
          <w:rFonts w:asciiTheme="minorBidi" w:hAnsiTheme="minorBidi" w:cstheme="minorBidi"/>
        </w:rPr>
        <w:t xml:space="preserve"> </w:t>
      </w:r>
    </w:p>
    <w:p w14:paraId="77241036" w14:textId="77777777" w:rsidR="00B235B3" w:rsidRPr="00632019" w:rsidRDefault="00B235B3" w:rsidP="00632019">
      <w:pPr>
        <w:pStyle w:val="ListParagraph"/>
        <w:numPr>
          <w:ilvl w:val="0"/>
          <w:numId w:val="8"/>
        </w:numPr>
        <w:tabs>
          <w:tab w:val="left" w:pos="709"/>
        </w:tabs>
        <w:spacing w:line="360" w:lineRule="auto"/>
        <w:ind w:left="0" w:firstLine="0"/>
        <w:jc w:val="both"/>
        <w:rPr>
          <w:rFonts w:asciiTheme="minorBidi" w:hAnsiTheme="minorBidi" w:cstheme="minorBidi"/>
        </w:rPr>
      </w:pPr>
      <w:r w:rsidRPr="00632019">
        <w:rPr>
          <w:rFonts w:asciiTheme="minorBidi" w:hAnsiTheme="minorBidi" w:cstheme="minorBidi"/>
          <w:lang w:val="en-GB"/>
        </w:rPr>
        <w:t>I turn now to consider whether the delay should be overlooked, being the second step in th</w:t>
      </w:r>
      <w:r w:rsidR="00632019" w:rsidRPr="00632019">
        <w:rPr>
          <w:rFonts w:asciiTheme="minorBidi" w:hAnsiTheme="minorBidi" w:cstheme="minorBidi"/>
          <w:lang w:val="en-GB"/>
        </w:rPr>
        <w:t xml:space="preserve">e </w:t>
      </w:r>
      <w:r w:rsidR="00632019" w:rsidRPr="00632019">
        <w:rPr>
          <w:rFonts w:asciiTheme="minorBidi" w:hAnsiTheme="minorBidi" w:cstheme="minorBidi"/>
          <w:i/>
          <w:lang w:val="en-GB"/>
        </w:rPr>
        <w:t>Khumalo</w:t>
      </w:r>
      <w:r w:rsidRPr="00632019">
        <w:rPr>
          <w:rFonts w:asciiTheme="minorBidi" w:hAnsiTheme="minorBidi" w:cstheme="minorBidi"/>
          <w:lang w:val="en-GB"/>
        </w:rPr>
        <w:t xml:space="preserve"> test. In doing so, I bear in mind the dicta of Meyer JA in </w:t>
      </w:r>
      <w:r w:rsidR="00632019" w:rsidRPr="00632019">
        <w:rPr>
          <w:rFonts w:ascii="Arial" w:hAnsi="Arial" w:cs="Arial"/>
          <w:i/>
          <w:lang w:val="en-GB" w:bidi="ar-SA"/>
        </w:rPr>
        <w:t xml:space="preserve">Golden Core Trade and Invest (Pty) Ltd v Merafong City Local Municipality and </w:t>
      </w:r>
      <w:r w:rsidR="00C63229" w:rsidRPr="00632019">
        <w:rPr>
          <w:rFonts w:ascii="Arial" w:hAnsi="Arial" w:cs="Arial"/>
          <w:i/>
          <w:lang w:val="en-GB" w:bidi="ar-SA"/>
        </w:rPr>
        <w:t>another</w:t>
      </w:r>
      <w:r w:rsidR="00632019">
        <w:rPr>
          <w:rFonts w:asciiTheme="minorBidi" w:hAnsiTheme="minorBidi" w:cstheme="minorBidi"/>
        </w:rPr>
        <w:t>,</w:t>
      </w:r>
      <w:r>
        <w:rPr>
          <w:rStyle w:val="FootnoteReference"/>
          <w:rFonts w:asciiTheme="minorBidi" w:hAnsiTheme="minorBidi" w:cstheme="minorBidi"/>
          <w:color w:val="242121"/>
          <w:lang w:val="en-GB"/>
        </w:rPr>
        <w:footnoteReference w:id="20"/>
      </w:r>
      <w:r w:rsidRPr="00632019">
        <w:rPr>
          <w:rFonts w:asciiTheme="minorBidi" w:hAnsiTheme="minorBidi" w:cstheme="minorBidi"/>
          <w:color w:val="242121"/>
          <w:lang w:val="en-GB"/>
        </w:rPr>
        <w:t xml:space="preserve"> where he stated the following:</w:t>
      </w:r>
    </w:p>
    <w:p w14:paraId="3D8EE44C" w14:textId="77777777" w:rsidR="00B235B3" w:rsidRPr="00B235B3" w:rsidRDefault="00B235B3" w:rsidP="00404BF2">
      <w:pPr>
        <w:pStyle w:val="ListParagraph"/>
        <w:tabs>
          <w:tab w:val="left" w:pos="709"/>
        </w:tabs>
        <w:spacing w:before="100" w:beforeAutospacing="1" w:after="100" w:afterAutospacing="1" w:line="360" w:lineRule="auto"/>
        <w:ind w:left="0"/>
        <w:jc w:val="both"/>
        <w:rPr>
          <w:rFonts w:asciiTheme="minorBidi" w:hAnsiTheme="minorBidi" w:cstheme="minorBidi"/>
          <w:sz w:val="22"/>
          <w:szCs w:val="22"/>
        </w:rPr>
      </w:pPr>
      <w:r w:rsidRPr="00B235B3">
        <w:rPr>
          <w:rFonts w:asciiTheme="minorBidi" w:hAnsiTheme="minorBidi" w:cstheme="minorBidi"/>
          <w:sz w:val="22"/>
          <w:szCs w:val="22"/>
        </w:rPr>
        <w:t>‘</w:t>
      </w:r>
      <w:r w:rsidR="00764468" w:rsidRPr="00764468">
        <w:rPr>
          <w:rFonts w:asciiTheme="minorBidi" w:hAnsiTheme="minorBidi" w:cstheme="minorBidi"/>
          <w:sz w:val="22"/>
          <w:szCs w:val="22"/>
        </w:rPr>
        <w:t>Whether a delay should be overlooked does not and should not entail a determination of the merits of the review or collateral challenge. The merits of the challenge are to be weighed on the following basis: If the delay is to be overlooked, is there a challenge that warrants the attention of the court? In other words, whether there is a serious question to be decided. To decide the merits assumes the very jurisdiction that is yet to be determined. And more, it inevitably skews the weighing of factors that </w:t>
      </w:r>
      <w:r w:rsidR="00764468" w:rsidRPr="00764468">
        <w:rPr>
          <w:rFonts w:asciiTheme="minorBidi" w:hAnsiTheme="minorBidi" w:cstheme="minorBidi"/>
          <w:i/>
          <w:iCs/>
          <w:sz w:val="22"/>
          <w:szCs w:val="22"/>
        </w:rPr>
        <w:t>Khumalo </w:t>
      </w:r>
      <w:r w:rsidR="00764468">
        <w:rPr>
          <w:rFonts w:asciiTheme="minorBidi" w:hAnsiTheme="minorBidi" w:cstheme="minorBidi"/>
          <w:sz w:val="22"/>
          <w:szCs w:val="22"/>
        </w:rPr>
        <w:t>requires</w:t>
      </w:r>
      <w:r w:rsidRPr="00B235B3">
        <w:rPr>
          <w:rFonts w:asciiTheme="minorBidi" w:hAnsiTheme="minorBidi" w:cstheme="minorBidi"/>
          <w:sz w:val="22"/>
          <w:szCs w:val="22"/>
        </w:rPr>
        <w:t>.’</w:t>
      </w:r>
    </w:p>
    <w:p w14:paraId="2DD91B0A" w14:textId="77777777" w:rsidR="00B235B3" w:rsidRPr="00B235B3" w:rsidRDefault="00B235B3" w:rsidP="00404BF2">
      <w:pPr>
        <w:pStyle w:val="ListParagraph"/>
        <w:spacing w:line="360" w:lineRule="auto"/>
        <w:rPr>
          <w:rFonts w:asciiTheme="minorBidi" w:hAnsiTheme="minorBidi" w:cstheme="minorBidi"/>
          <w:color w:val="242121"/>
          <w:lang w:val="en-GB"/>
        </w:rPr>
      </w:pPr>
    </w:p>
    <w:p w14:paraId="7CEF29E4" w14:textId="77777777" w:rsidR="0043706A" w:rsidRPr="0043706A" w:rsidRDefault="00B235B3" w:rsidP="0043706A">
      <w:pPr>
        <w:pStyle w:val="ListParagraph"/>
        <w:numPr>
          <w:ilvl w:val="0"/>
          <w:numId w:val="8"/>
        </w:numPr>
        <w:tabs>
          <w:tab w:val="left" w:pos="709"/>
        </w:tabs>
        <w:spacing w:line="360" w:lineRule="auto"/>
        <w:ind w:left="0" w:firstLine="0"/>
        <w:jc w:val="both"/>
        <w:rPr>
          <w:rFonts w:asciiTheme="minorBidi" w:hAnsiTheme="minorBidi" w:cstheme="minorBidi"/>
          <w:sz w:val="22"/>
          <w:szCs w:val="22"/>
        </w:rPr>
      </w:pPr>
      <w:r w:rsidRPr="0043706A">
        <w:rPr>
          <w:rFonts w:asciiTheme="minorBidi" w:hAnsiTheme="minorBidi" w:cstheme="minorBidi"/>
        </w:rPr>
        <w:t xml:space="preserve">The proper starting point is to consider the nature of the impugned decision. </w:t>
      </w:r>
      <w:r w:rsidR="0043706A">
        <w:rPr>
          <w:rFonts w:asciiTheme="minorBidi" w:hAnsiTheme="minorBidi" w:cstheme="minorBidi"/>
        </w:rPr>
        <w:t xml:space="preserve">It is essentially a decision </w:t>
      </w:r>
      <w:r w:rsidR="005F2D06">
        <w:rPr>
          <w:rFonts w:asciiTheme="minorBidi" w:hAnsiTheme="minorBidi" w:cstheme="minorBidi"/>
        </w:rPr>
        <w:t xml:space="preserve">by the Board </w:t>
      </w:r>
      <w:r w:rsidR="0043706A">
        <w:rPr>
          <w:rFonts w:asciiTheme="minorBidi" w:hAnsiTheme="minorBidi" w:cstheme="minorBidi"/>
        </w:rPr>
        <w:t xml:space="preserve">about the form that the respondents’ employment with it should take. The applicant submits that permanent employment is not possible by virtue of the wording of the Act and the </w:t>
      </w:r>
      <w:r w:rsidR="00EF0DE7">
        <w:rPr>
          <w:rFonts w:asciiTheme="minorBidi" w:hAnsiTheme="minorBidi" w:cstheme="minorBidi"/>
        </w:rPr>
        <w:t>Regulations</w:t>
      </w:r>
      <w:r w:rsidR="0043706A">
        <w:rPr>
          <w:rFonts w:asciiTheme="minorBidi" w:hAnsiTheme="minorBidi" w:cstheme="minorBidi"/>
        </w:rPr>
        <w:t xml:space="preserve">. </w:t>
      </w:r>
      <w:r w:rsidR="00292D0D">
        <w:rPr>
          <w:rFonts w:asciiTheme="minorBidi" w:hAnsiTheme="minorBidi" w:cstheme="minorBidi"/>
        </w:rPr>
        <w:t>In rebuffing this, t</w:t>
      </w:r>
      <w:r w:rsidR="0043706A">
        <w:rPr>
          <w:rFonts w:asciiTheme="minorBidi" w:hAnsiTheme="minorBidi" w:cstheme="minorBidi"/>
        </w:rPr>
        <w:t>he first respondent has relied heavily on the provisions of s 13(1)</w:t>
      </w:r>
      <w:r w:rsidR="0043706A" w:rsidRPr="00DE704B">
        <w:rPr>
          <w:rFonts w:asciiTheme="minorBidi" w:hAnsiTheme="minorBidi" w:cstheme="minorBidi"/>
          <w:i/>
        </w:rPr>
        <w:t>(o)</w:t>
      </w:r>
      <w:r w:rsidR="0043706A">
        <w:rPr>
          <w:rFonts w:asciiTheme="minorBidi" w:hAnsiTheme="minorBidi" w:cstheme="minorBidi"/>
        </w:rPr>
        <w:t xml:space="preserve"> of the Act which reads as follows:</w:t>
      </w:r>
    </w:p>
    <w:p w14:paraId="7E27192B" w14:textId="77777777" w:rsidR="0043706A" w:rsidRPr="00765CC1" w:rsidRDefault="0043706A" w:rsidP="0043706A">
      <w:pPr>
        <w:pStyle w:val="ListParagraph"/>
        <w:tabs>
          <w:tab w:val="left" w:pos="709"/>
        </w:tabs>
        <w:spacing w:line="360" w:lineRule="auto"/>
        <w:ind w:left="0"/>
        <w:jc w:val="both"/>
        <w:rPr>
          <w:rFonts w:asciiTheme="minorBidi" w:hAnsiTheme="minorBidi" w:cstheme="minorBidi"/>
          <w:sz w:val="22"/>
          <w:szCs w:val="22"/>
        </w:rPr>
      </w:pPr>
      <w:r w:rsidRPr="00765CC1">
        <w:rPr>
          <w:rFonts w:asciiTheme="minorBidi" w:hAnsiTheme="minorBidi" w:cstheme="minorBidi"/>
          <w:sz w:val="22"/>
          <w:szCs w:val="22"/>
        </w:rPr>
        <w:t>‘13.</w:t>
      </w:r>
      <w:r w:rsidRPr="00765CC1">
        <w:rPr>
          <w:rFonts w:asciiTheme="minorBidi" w:hAnsiTheme="minorBidi" w:cstheme="minorBidi"/>
          <w:b/>
          <w:bCs/>
          <w:sz w:val="22"/>
          <w:szCs w:val="22"/>
        </w:rPr>
        <w:t xml:space="preserve"> </w:t>
      </w:r>
      <w:r w:rsidRPr="00765CC1">
        <w:rPr>
          <w:rFonts w:asciiTheme="minorBidi" w:hAnsiTheme="minorBidi" w:cstheme="minorBidi"/>
          <w:sz w:val="22"/>
          <w:szCs w:val="22"/>
        </w:rPr>
        <w:t xml:space="preserve">(1) In the case where an Authority controls one or more World Heritage Sites, the Minister may, by notice in the </w:t>
      </w:r>
      <w:r w:rsidRPr="00765CC1">
        <w:rPr>
          <w:rFonts w:asciiTheme="minorBidi" w:hAnsiTheme="minorBidi" w:cstheme="minorBidi"/>
          <w:i/>
          <w:iCs/>
          <w:sz w:val="22"/>
          <w:szCs w:val="22"/>
        </w:rPr>
        <w:t>Gazette</w:t>
      </w:r>
      <w:r w:rsidRPr="00765CC1">
        <w:rPr>
          <w:rFonts w:asciiTheme="minorBidi" w:hAnsiTheme="minorBidi" w:cstheme="minorBidi"/>
          <w:sz w:val="22"/>
          <w:szCs w:val="22"/>
        </w:rPr>
        <w:t xml:space="preserve">, give some or all of the following powers to an Authority over one or more specified World Heritage Sites, namely to </w:t>
      </w:r>
      <w:r>
        <w:rPr>
          <w:rFonts w:asciiTheme="minorBidi" w:hAnsiTheme="minorBidi" w:cstheme="minorBidi"/>
          <w:sz w:val="22"/>
          <w:szCs w:val="22"/>
        </w:rPr>
        <w:t>-</w:t>
      </w:r>
    </w:p>
    <w:p w14:paraId="3CFD84E0" w14:textId="77777777" w:rsidR="0043706A" w:rsidRPr="00765CC1" w:rsidRDefault="0043706A" w:rsidP="0043706A">
      <w:pPr>
        <w:spacing w:line="360" w:lineRule="auto"/>
        <w:jc w:val="both"/>
        <w:rPr>
          <w:rFonts w:asciiTheme="minorBidi" w:hAnsiTheme="minorBidi" w:cstheme="minorBidi"/>
          <w:sz w:val="22"/>
          <w:szCs w:val="22"/>
        </w:rPr>
      </w:pPr>
      <w:r w:rsidRPr="00765CC1">
        <w:rPr>
          <w:rFonts w:asciiTheme="minorBidi" w:hAnsiTheme="minorBidi" w:cstheme="minorBidi"/>
          <w:sz w:val="22"/>
          <w:szCs w:val="22"/>
        </w:rPr>
        <w:t>…</w:t>
      </w:r>
    </w:p>
    <w:p w14:paraId="64DF61C2" w14:textId="77777777" w:rsidR="0043706A" w:rsidRDefault="0043706A" w:rsidP="0043706A">
      <w:pPr>
        <w:pStyle w:val="NormalWeb"/>
        <w:tabs>
          <w:tab w:val="left" w:pos="709"/>
        </w:tabs>
        <w:spacing w:before="0" w:beforeAutospacing="0" w:after="0" w:afterAutospacing="0" w:line="360" w:lineRule="auto"/>
        <w:jc w:val="both"/>
        <w:rPr>
          <w:rFonts w:asciiTheme="minorBidi" w:hAnsiTheme="minorBidi" w:cstheme="minorBidi"/>
          <w:sz w:val="22"/>
          <w:szCs w:val="22"/>
        </w:rPr>
      </w:pPr>
      <w:r w:rsidRPr="00765CC1">
        <w:rPr>
          <w:rFonts w:asciiTheme="minorBidi" w:hAnsiTheme="minorBidi" w:cstheme="minorBidi"/>
          <w:sz w:val="22"/>
          <w:szCs w:val="22"/>
        </w:rPr>
        <w:t>(o)</w:t>
      </w:r>
      <w:r w:rsidRPr="00765CC1">
        <w:rPr>
          <w:rFonts w:asciiTheme="minorBidi" w:hAnsiTheme="minorBidi" w:cstheme="minorBidi"/>
          <w:i/>
          <w:iCs/>
          <w:sz w:val="22"/>
          <w:szCs w:val="22"/>
        </w:rPr>
        <w:t xml:space="preserve">  </w:t>
      </w:r>
      <w:r>
        <w:rPr>
          <w:rFonts w:asciiTheme="minorBidi" w:hAnsiTheme="minorBidi" w:cstheme="minorBidi"/>
          <w:i/>
          <w:iCs/>
          <w:sz w:val="22"/>
          <w:szCs w:val="22"/>
        </w:rPr>
        <w:tab/>
      </w:r>
      <w:r w:rsidRPr="00765CC1">
        <w:rPr>
          <w:rFonts w:asciiTheme="minorBidi" w:hAnsiTheme="minorBidi" w:cstheme="minorBidi"/>
          <w:sz w:val="22"/>
          <w:szCs w:val="22"/>
        </w:rPr>
        <w:t>employ persons or entities on a permanent or temporary basis</w:t>
      </w:r>
      <w:r w:rsidR="00EF0DE7">
        <w:rPr>
          <w:rFonts w:asciiTheme="minorBidi" w:hAnsiTheme="minorBidi" w:cstheme="minorBidi"/>
          <w:sz w:val="22"/>
          <w:szCs w:val="22"/>
        </w:rPr>
        <w:t>…</w:t>
      </w:r>
      <w:r>
        <w:rPr>
          <w:rFonts w:asciiTheme="minorBidi" w:hAnsiTheme="minorBidi" w:cstheme="minorBidi"/>
          <w:sz w:val="22"/>
          <w:szCs w:val="22"/>
        </w:rPr>
        <w:t>’</w:t>
      </w:r>
    </w:p>
    <w:p w14:paraId="68B64E41" w14:textId="77777777" w:rsidR="00E663E6" w:rsidRPr="00E663E6" w:rsidRDefault="00E663E6" w:rsidP="0043706A">
      <w:pPr>
        <w:pStyle w:val="NormalWeb"/>
        <w:tabs>
          <w:tab w:val="left" w:pos="709"/>
        </w:tabs>
        <w:spacing w:before="0" w:beforeAutospacing="0" w:after="0" w:afterAutospacing="0" w:line="360" w:lineRule="auto"/>
        <w:jc w:val="both"/>
        <w:rPr>
          <w:rFonts w:asciiTheme="minorBidi" w:hAnsiTheme="minorBidi" w:cstheme="minorBidi"/>
        </w:rPr>
      </w:pPr>
    </w:p>
    <w:p w14:paraId="34E4FA57" w14:textId="77777777" w:rsidR="0043706A" w:rsidRPr="006D5F36" w:rsidRDefault="0043706A" w:rsidP="0043706A">
      <w:pPr>
        <w:pStyle w:val="ListParagraph"/>
        <w:numPr>
          <w:ilvl w:val="0"/>
          <w:numId w:val="8"/>
        </w:numPr>
        <w:tabs>
          <w:tab w:val="left" w:pos="709"/>
        </w:tabs>
        <w:spacing w:line="360" w:lineRule="auto"/>
        <w:ind w:left="0" w:firstLine="0"/>
        <w:jc w:val="both"/>
        <w:rPr>
          <w:rFonts w:asciiTheme="minorBidi" w:hAnsiTheme="minorBidi" w:cstheme="minorBidi"/>
          <w:color w:val="242121"/>
          <w:lang w:val="en-GB"/>
        </w:rPr>
      </w:pPr>
      <w:r w:rsidRPr="006D5F36">
        <w:rPr>
          <w:rFonts w:asciiTheme="minorBidi" w:hAnsiTheme="minorBidi" w:cstheme="minorBidi"/>
        </w:rPr>
        <w:t xml:space="preserve">This, so the first respondent contends, is the end of the matter as it is therefore within the remit of the applicant to make permanent </w:t>
      </w:r>
      <w:r w:rsidR="00E663E6">
        <w:rPr>
          <w:rFonts w:asciiTheme="minorBidi" w:hAnsiTheme="minorBidi" w:cstheme="minorBidi"/>
        </w:rPr>
        <w:t>appointment</w:t>
      </w:r>
      <w:r w:rsidRPr="006D5F36">
        <w:rPr>
          <w:rFonts w:asciiTheme="minorBidi" w:hAnsiTheme="minorBidi" w:cstheme="minorBidi"/>
        </w:rPr>
        <w:t>s</w:t>
      </w:r>
      <w:r>
        <w:rPr>
          <w:rFonts w:asciiTheme="minorBidi" w:hAnsiTheme="minorBidi" w:cstheme="minorBidi"/>
        </w:rPr>
        <w:t>, as it has done in respect of the respondents</w:t>
      </w:r>
      <w:r w:rsidRPr="006D5F36">
        <w:rPr>
          <w:rFonts w:asciiTheme="minorBidi" w:hAnsiTheme="minorBidi" w:cstheme="minorBidi"/>
        </w:rPr>
        <w:t xml:space="preserve">. The applicant, however, argues that no evidence has been put up that demonstrates that the Minister has granted the applicant that power. The </w:t>
      </w:r>
      <w:r w:rsidRPr="006D5F36">
        <w:rPr>
          <w:rFonts w:asciiTheme="minorBidi" w:hAnsiTheme="minorBidi" w:cstheme="minorBidi"/>
        </w:rPr>
        <w:lastRenderedPageBreak/>
        <w:t>power is, according to the wording of s</w:t>
      </w:r>
      <w:r w:rsidR="005F2D06">
        <w:rPr>
          <w:rFonts w:asciiTheme="minorBidi" w:hAnsiTheme="minorBidi" w:cstheme="minorBidi"/>
        </w:rPr>
        <w:t xml:space="preserve"> </w:t>
      </w:r>
      <w:r w:rsidRPr="006D5F36">
        <w:rPr>
          <w:rFonts w:asciiTheme="minorBidi" w:hAnsiTheme="minorBidi" w:cstheme="minorBidi"/>
        </w:rPr>
        <w:t>13(1)</w:t>
      </w:r>
      <w:r w:rsidRPr="00DE704B">
        <w:rPr>
          <w:rFonts w:asciiTheme="minorBidi" w:hAnsiTheme="minorBidi" w:cstheme="minorBidi"/>
          <w:i/>
        </w:rPr>
        <w:t>(o)</w:t>
      </w:r>
      <w:r w:rsidRPr="006D5F36">
        <w:rPr>
          <w:rFonts w:asciiTheme="minorBidi" w:hAnsiTheme="minorBidi" w:cstheme="minorBidi"/>
        </w:rPr>
        <w:t xml:space="preserve">, to be conferred by notice in the </w:t>
      </w:r>
      <w:r w:rsidRPr="00DE704B">
        <w:rPr>
          <w:rFonts w:asciiTheme="minorBidi" w:hAnsiTheme="minorBidi" w:cstheme="minorBidi"/>
          <w:i/>
        </w:rPr>
        <w:t>Government Gazette</w:t>
      </w:r>
      <w:r w:rsidRPr="006D5F36">
        <w:rPr>
          <w:rFonts w:asciiTheme="minorBidi" w:hAnsiTheme="minorBidi" w:cstheme="minorBidi"/>
        </w:rPr>
        <w:t xml:space="preserve"> and no such </w:t>
      </w:r>
      <w:r w:rsidRPr="00DE704B">
        <w:rPr>
          <w:rFonts w:asciiTheme="minorBidi" w:hAnsiTheme="minorBidi" w:cstheme="minorBidi"/>
          <w:i/>
        </w:rPr>
        <w:t>Government Gazette</w:t>
      </w:r>
      <w:r w:rsidRPr="006D5F36">
        <w:rPr>
          <w:rFonts w:asciiTheme="minorBidi" w:hAnsiTheme="minorBidi" w:cstheme="minorBidi"/>
        </w:rPr>
        <w:t xml:space="preserve"> has been placed before the court, so the applicant argues. That argument is, however, </w:t>
      </w:r>
      <w:r w:rsidR="005F2D06">
        <w:rPr>
          <w:rFonts w:asciiTheme="minorBidi" w:hAnsiTheme="minorBidi" w:cstheme="minorBidi"/>
        </w:rPr>
        <w:t>open to doubt</w:t>
      </w:r>
      <w:r w:rsidRPr="006D5F36">
        <w:rPr>
          <w:rFonts w:asciiTheme="minorBidi" w:hAnsiTheme="minorBidi" w:cstheme="minorBidi"/>
        </w:rPr>
        <w:t>. Before the court are the Regulations</w:t>
      </w:r>
      <w:r w:rsidR="00EF0DE7">
        <w:rPr>
          <w:rFonts w:asciiTheme="minorBidi" w:hAnsiTheme="minorBidi" w:cstheme="minorBidi"/>
        </w:rPr>
        <w:t>, which have been</w:t>
      </w:r>
      <w:r w:rsidRPr="006D5F36">
        <w:rPr>
          <w:rFonts w:asciiTheme="minorBidi" w:hAnsiTheme="minorBidi" w:cstheme="minorBidi"/>
        </w:rPr>
        <w:t xml:space="preserve"> published in the </w:t>
      </w:r>
      <w:r w:rsidRPr="00DE704B">
        <w:rPr>
          <w:rFonts w:asciiTheme="minorBidi" w:hAnsiTheme="minorBidi" w:cstheme="minorBidi"/>
          <w:i/>
        </w:rPr>
        <w:t>Government Gazette</w:t>
      </w:r>
      <w:r w:rsidRPr="006D5F36">
        <w:rPr>
          <w:rFonts w:asciiTheme="minorBidi" w:hAnsiTheme="minorBidi" w:cstheme="minorBidi"/>
        </w:rPr>
        <w:t>.</w:t>
      </w:r>
      <w:r w:rsidR="005F2D06">
        <w:rPr>
          <w:rStyle w:val="FootnoteReference"/>
          <w:rFonts w:asciiTheme="minorBidi" w:hAnsiTheme="minorBidi" w:cstheme="minorBidi"/>
        </w:rPr>
        <w:footnoteReference w:id="21"/>
      </w:r>
      <w:r w:rsidRPr="006D5F36">
        <w:rPr>
          <w:rFonts w:asciiTheme="minorBidi" w:hAnsiTheme="minorBidi" w:cstheme="minorBidi"/>
        </w:rPr>
        <w:t xml:space="preserve"> </w:t>
      </w:r>
      <w:r w:rsidR="00EF0DE7">
        <w:rPr>
          <w:rFonts w:asciiTheme="minorBidi" w:hAnsiTheme="minorBidi" w:cstheme="minorBidi"/>
        </w:rPr>
        <w:t>Regulation</w:t>
      </w:r>
      <w:r w:rsidR="00EF0DE7" w:rsidRPr="006D5F36">
        <w:rPr>
          <w:rFonts w:asciiTheme="minorBidi" w:hAnsiTheme="minorBidi" w:cstheme="minorBidi"/>
        </w:rPr>
        <w:t xml:space="preserve"> </w:t>
      </w:r>
      <w:r w:rsidRPr="006D5F36">
        <w:rPr>
          <w:rFonts w:asciiTheme="minorBidi" w:hAnsiTheme="minorBidi" w:cstheme="minorBidi"/>
        </w:rPr>
        <w:t>11 is of direct relevance. Regulation 11(</w:t>
      </w:r>
      <w:r w:rsidR="005F2D06">
        <w:rPr>
          <w:rFonts w:asciiTheme="minorBidi" w:hAnsiTheme="minorBidi" w:cstheme="minorBidi"/>
        </w:rPr>
        <w:t>2</w:t>
      </w:r>
      <w:r w:rsidRPr="006D5F36">
        <w:rPr>
          <w:rFonts w:asciiTheme="minorBidi" w:hAnsiTheme="minorBidi" w:cstheme="minorBidi"/>
        </w:rPr>
        <w:t>) read</w:t>
      </w:r>
      <w:r w:rsidR="005F2D06">
        <w:rPr>
          <w:rFonts w:asciiTheme="minorBidi" w:hAnsiTheme="minorBidi" w:cstheme="minorBidi"/>
        </w:rPr>
        <w:t>s</w:t>
      </w:r>
      <w:r w:rsidRPr="006D5F36">
        <w:rPr>
          <w:rFonts w:asciiTheme="minorBidi" w:hAnsiTheme="minorBidi" w:cstheme="minorBidi"/>
        </w:rPr>
        <w:t xml:space="preserve"> as follows:   </w:t>
      </w:r>
    </w:p>
    <w:p w14:paraId="4F64B691" w14:textId="77777777" w:rsidR="0043706A" w:rsidRPr="00D2295C" w:rsidRDefault="0043706A" w:rsidP="005F2D06">
      <w:pPr>
        <w:pStyle w:val="NormalWeb"/>
        <w:tabs>
          <w:tab w:val="left" w:pos="709"/>
          <w:tab w:val="left" w:pos="1134"/>
        </w:tabs>
        <w:spacing w:before="0" w:beforeAutospacing="0" w:after="0" w:afterAutospacing="0" w:line="360" w:lineRule="auto"/>
        <w:jc w:val="both"/>
        <w:rPr>
          <w:rFonts w:asciiTheme="minorBidi" w:hAnsiTheme="minorBidi" w:cstheme="minorBidi"/>
          <w:sz w:val="22"/>
          <w:szCs w:val="22"/>
        </w:rPr>
      </w:pPr>
      <w:r w:rsidRPr="00D2295C">
        <w:rPr>
          <w:rFonts w:asciiTheme="minorBidi" w:hAnsiTheme="minorBidi" w:cstheme="minorBidi"/>
          <w:sz w:val="22"/>
          <w:szCs w:val="22"/>
        </w:rPr>
        <w:t xml:space="preserve">‘(2) </w:t>
      </w:r>
      <w:r w:rsidRPr="00D2295C">
        <w:rPr>
          <w:rFonts w:asciiTheme="minorBidi" w:hAnsiTheme="minorBidi" w:cstheme="minorBidi"/>
          <w:sz w:val="22"/>
          <w:szCs w:val="22"/>
        </w:rPr>
        <w:tab/>
      </w:r>
      <w:r w:rsidR="00875EF3">
        <w:rPr>
          <w:rFonts w:asciiTheme="minorBidi" w:hAnsiTheme="minorBidi" w:cstheme="minorBidi"/>
          <w:sz w:val="22"/>
          <w:szCs w:val="22"/>
        </w:rPr>
        <w:t>P</w:t>
      </w:r>
      <w:r w:rsidR="00875EF3" w:rsidRPr="00875EF3">
        <w:rPr>
          <w:rFonts w:asciiTheme="minorBidi" w:hAnsiTheme="minorBidi" w:cstheme="minorBidi"/>
          <w:sz w:val="22"/>
          <w:szCs w:val="22"/>
        </w:rPr>
        <w:t xml:space="preserve">ersons shall be appointed to the Executive Staff Component by the Board upon the recommendation of the Chief Executive Officer in accordance with the Act on a contract basis </w:t>
      </w:r>
      <w:r w:rsidR="00875EF3" w:rsidRPr="00875EF3">
        <w:rPr>
          <w:rFonts w:asciiTheme="minorBidi" w:hAnsiTheme="minorBidi" w:cstheme="minorBidi"/>
          <w:sz w:val="22"/>
          <w:szCs w:val="22"/>
          <w:u w:val="single"/>
        </w:rPr>
        <w:t>or otherwise</w:t>
      </w:r>
      <w:r w:rsidR="00875EF3" w:rsidRPr="00875EF3">
        <w:rPr>
          <w:rFonts w:asciiTheme="minorBidi" w:hAnsiTheme="minorBidi" w:cstheme="minorBidi"/>
          <w:sz w:val="22"/>
          <w:szCs w:val="22"/>
        </w:rPr>
        <w:t xml:space="preserve"> for such period as the Chief Executive Officer may determine, including, without limitation, on a temporary basis or pursuant to an agency or secondment arrangement</w:t>
      </w:r>
      <w:r w:rsidRPr="00D2295C">
        <w:rPr>
          <w:rFonts w:asciiTheme="minorBidi" w:hAnsiTheme="minorBidi" w:cstheme="minorBidi"/>
          <w:sz w:val="22"/>
          <w:szCs w:val="22"/>
        </w:rPr>
        <w:t>.</w:t>
      </w:r>
      <w:r w:rsidR="00875EF3">
        <w:rPr>
          <w:rFonts w:asciiTheme="minorBidi" w:hAnsiTheme="minorBidi" w:cstheme="minorBidi"/>
          <w:sz w:val="22"/>
          <w:szCs w:val="22"/>
        </w:rPr>
        <w:t>’</w:t>
      </w:r>
      <w:r w:rsidRPr="00D2295C">
        <w:rPr>
          <w:rFonts w:asciiTheme="minorBidi" w:hAnsiTheme="minorBidi" w:cstheme="minorBidi"/>
          <w:sz w:val="22"/>
          <w:szCs w:val="22"/>
        </w:rPr>
        <w:t xml:space="preserve"> </w:t>
      </w:r>
      <w:r w:rsidR="00875EF3">
        <w:rPr>
          <w:rFonts w:asciiTheme="minorBidi" w:hAnsiTheme="minorBidi" w:cstheme="minorBidi"/>
          <w:sz w:val="22"/>
          <w:szCs w:val="22"/>
        </w:rPr>
        <w:t>(Emphasis</w:t>
      </w:r>
      <w:r w:rsidR="00292D0D">
        <w:rPr>
          <w:rFonts w:asciiTheme="minorBidi" w:hAnsiTheme="minorBidi" w:cstheme="minorBidi"/>
          <w:sz w:val="22"/>
          <w:szCs w:val="22"/>
        </w:rPr>
        <w:t xml:space="preserve"> added</w:t>
      </w:r>
      <w:r w:rsidR="00875EF3">
        <w:rPr>
          <w:rFonts w:asciiTheme="minorBidi" w:hAnsiTheme="minorBidi" w:cstheme="minorBidi"/>
          <w:sz w:val="22"/>
          <w:szCs w:val="22"/>
        </w:rPr>
        <w:t>.)</w:t>
      </w:r>
    </w:p>
    <w:p w14:paraId="65BCC625" w14:textId="77777777" w:rsidR="0043706A" w:rsidRDefault="0043706A" w:rsidP="0043706A">
      <w:pPr>
        <w:pStyle w:val="ListParagraph"/>
        <w:tabs>
          <w:tab w:val="left" w:pos="709"/>
        </w:tabs>
        <w:spacing w:line="360" w:lineRule="auto"/>
        <w:ind w:left="0"/>
        <w:jc w:val="both"/>
        <w:rPr>
          <w:rFonts w:asciiTheme="minorBidi" w:hAnsiTheme="minorBidi" w:cstheme="minorBidi"/>
          <w:color w:val="242121"/>
          <w:lang w:val="en-GB"/>
        </w:rPr>
      </w:pPr>
    </w:p>
    <w:p w14:paraId="160A61BF" w14:textId="77777777" w:rsidR="0043706A" w:rsidRDefault="00E663E6" w:rsidP="00292D0D">
      <w:pPr>
        <w:pStyle w:val="ListParagraph"/>
        <w:numPr>
          <w:ilvl w:val="0"/>
          <w:numId w:val="8"/>
        </w:numPr>
        <w:tabs>
          <w:tab w:val="left" w:pos="709"/>
        </w:tabs>
        <w:spacing w:line="360" w:lineRule="auto"/>
        <w:ind w:left="0" w:firstLine="0"/>
        <w:jc w:val="both"/>
        <w:rPr>
          <w:rFonts w:asciiTheme="minorBidi" w:hAnsiTheme="minorBidi" w:cstheme="minorBidi"/>
          <w:color w:val="242121"/>
          <w:lang w:val="en-GB"/>
        </w:rPr>
      </w:pPr>
      <w:r>
        <w:rPr>
          <w:rFonts w:asciiTheme="minorBidi" w:hAnsiTheme="minorBidi" w:cstheme="minorBidi"/>
          <w:color w:val="242121"/>
          <w:lang w:val="en-GB"/>
        </w:rPr>
        <w:t xml:space="preserve">The meaning of the phrase ‘on a contract basis’ must mean a fixed term </w:t>
      </w:r>
      <w:r w:rsidR="00570877">
        <w:rPr>
          <w:rFonts w:asciiTheme="minorBidi" w:hAnsiTheme="minorBidi" w:cstheme="minorBidi"/>
          <w:color w:val="242121"/>
          <w:lang w:val="en-GB"/>
        </w:rPr>
        <w:t>contract</w:t>
      </w:r>
      <w:r>
        <w:rPr>
          <w:rFonts w:asciiTheme="minorBidi" w:hAnsiTheme="minorBidi" w:cstheme="minorBidi"/>
          <w:color w:val="242121"/>
          <w:lang w:val="en-GB"/>
        </w:rPr>
        <w:t xml:space="preserve"> as for it to simply mean that everyone must be appointed on the strength of a contract is to </w:t>
      </w:r>
      <w:r w:rsidR="00570877">
        <w:rPr>
          <w:rFonts w:asciiTheme="minorBidi" w:hAnsiTheme="minorBidi" w:cstheme="minorBidi"/>
          <w:color w:val="242121"/>
          <w:lang w:val="en-GB"/>
        </w:rPr>
        <w:t>state</w:t>
      </w:r>
      <w:r>
        <w:rPr>
          <w:rFonts w:asciiTheme="minorBidi" w:hAnsiTheme="minorBidi" w:cstheme="minorBidi"/>
          <w:color w:val="242121"/>
          <w:lang w:val="en-GB"/>
        </w:rPr>
        <w:t xml:space="preserve"> the obvious.  </w:t>
      </w:r>
      <w:r w:rsidR="00292D0D">
        <w:rPr>
          <w:rFonts w:asciiTheme="minorBidi" w:hAnsiTheme="minorBidi" w:cstheme="minorBidi"/>
          <w:color w:val="242121"/>
          <w:lang w:val="en-GB"/>
        </w:rPr>
        <w:t xml:space="preserve">The phrase </w:t>
      </w:r>
      <w:r w:rsidR="0043706A">
        <w:rPr>
          <w:rFonts w:asciiTheme="minorBidi" w:hAnsiTheme="minorBidi" w:cstheme="minorBidi"/>
          <w:color w:val="242121"/>
          <w:lang w:val="en-GB"/>
        </w:rPr>
        <w:t>‘or otherwise’</w:t>
      </w:r>
      <w:r w:rsidR="00292D0D">
        <w:rPr>
          <w:rFonts w:asciiTheme="minorBidi" w:hAnsiTheme="minorBidi" w:cstheme="minorBidi"/>
          <w:color w:val="242121"/>
          <w:lang w:val="en-GB"/>
        </w:rPr>
        <w:t xml:space="preserve"> means</w:t>
      </w:r>
      <w:r w:rsidR="0043706A">
        <w:rPr>
          <w:rFonts w:asciiTheme="minorBidi" w:hAnsiTheme="minorBidi" w:cstheme="minorBidi"/>
          <w:color w:val="242121"/>
          <w:lang w:val="en-GB"/>
        </w:rPr>
        <w:t>:</w:t>
      </w:r>
    </w:p>
    <w:p w14:paraId="275489DF" w14:textId="77777777" w:rsidR="0043706A" w:rsidRPr="00E95C84" w:rsidRDefault="0043706A" w:rsidP="0043706A">
      <w:pPr>
        <w:pStyle w:val="ListParagraph"/>
        <w:tabs>
          <w:tab w:val="left" w:pos="709"/>
        </w:tabs>
        <w:spacing w:line="360" w:lineRule="auto"/>
        <w:ind w:left="0"/>
        <w:jc w:val="both"/>
        <w:rPr>
          <w:rFonts w:asciiTheme="minorBidi" w:hAnsiTheme="minorBidi" w:cstheme="minorBidi"/>
          <w:color w:val="242121"/>
          <w:sz w:val="22"/>
          <w:szCs w:val="22"/>
          <w:lang w:val="en-GB"/>
        </w:rPr>
      </w:pPr>
      <w:r w:rsidRPr="00E95C84">
        <w:rPr>
          <w:rFonts w:asciiTheme="minorBidi" w:hAnsiTheme="minorBidi" w:cstheme="minorBidi"/>
          <w:color w:val="242121"/>
          <w:sz w:val="22"/>
          <w:szCs w:val="22"/>
          <w:lang w:val="en-GB"/>
        </w:rPr>
        <w:t>‘… not the thing just referred to or is the opposite of that thing referred to.’</w:t>
      </w:r>
      <w:r w:rsidRPr="00E95C84">
        <w:rPr>
          <w:rStyle w:val="FootnoteReference"/>
          <w:rFonts w:asciiTheme="minorBidi" w:hAnsiTheme="minorBidi" w:cstheme="minorBidi"/>
          <w:color w:val="000000" w:themeColor="text1"/>
          <w:sz w:val="22"/>
          <w:szCs w:val="22"/>
          <w:shd w:val="clear" w:color="auto" w:fill="FFFFFF"/>
        </w:rPr>
        <w:footnoteReference w:id="22"/>
      </w:r>
    </w:p>
    <w:p w14:paraId="7139ED4D" w14:textId="4E4A5FE5" w:rsidR="005F2D06" w:rsidRDefault="0043706A" w:rsidP="0043706A">
      <w:pPr>
        <w:pStyle w:val="ListParagraph"/>
        <w:tabs>
          <w:tab w:val="left" w:pos="709"/>
        </w:tabs>
        <w:spacing w:line="360" w:lineRule="auto"/>
        <w:ind w:left="0"/>
        <w:jc w:val="both"/>
        <w:rPr>
          <w:rFonts w:asciiTheme="minorBidi" w:hAnsiTheme="minorBidi" w:cstheme="minorBidi"/>
          <w:color w:val="000000" w:themeColor="text1"/>
          <w:shd w:val="clear" w:color="auto" w:fill="FFFFFF"/>
        </w:rPr>
      </w:pPr>
      <w:r>
        <w:rPr>
          <w:rFonts w:asciiTheme="minorBidi" w:hAnsiTheme="minorBidi" w:cstheme="minorBidi"/>
          <w:color w:val="000000" w:themeColor="text1"/>
          <w:shd w:val="clear" w:color="auto" w:fill="FFFFFF"/>
        </w:rPr>
        <w:t xml:space="preserve">The opposite </w:t>
      </w:r>
      <w:r w:rsidR="00570877">
        <w:rPr>
          <w:rFonts w:asciiTheme="minorBidi" w:hAnsiTheme="minorBidi" w:cstheme="minorBidi"/>
          <w:color w:val="000000" w:themeColor="text1"/>
          <w:shd w:val="clear" w:color="auto" w:fill="FFFFFF"/>
        </w:rPr>
        <w:t>of a fixed term contract can only be</w:t>
      </w:r>
      <w:r>
        <w:rPr>
          <w:rFonts w:asciiTheme="minorBidi" w:hAnsiTheme="minorBidi" w:cstheme="minorBidi"/>
          <w:color w:val="000000" w:themeColor="text1"/>
          <w:shd w:val="clear" w:color="auto" w:fill="FFFFFF"/>
        </w:rPr>
        <w:t xml:space="preserve"> </w:t>
      </w:r>
      <w:r w:rsidR="005F2D06">
        <w:rPr>
          <w:rFonts w:asciiTheme="minorBidi" w:hAnsiTheme="minorBidi" w:cstheme="minorBidi"/>
          <w:color w:val="000000" w:themeColor="text1"/>
          <w:shd w:val="clear" w:color="auto" w:fill="FFFFFF"/>
        </w:rPr>
        <w:t>a contract with no fixed term, in other words, a permanent contract of employment</w:t>
      </w:r>
      <w:r>
        <w:rPr>
          <w:rFonts w:asciiTheme="minorBidi" w:hAnsiTheme="minorBidi" w:cstheme="minorBidi"/>
          <w:color w:val="000000" w:themeColor="text1"/>
          <w:shd w:val="clear" w:color="auto" w:fill="FFFFFF"/>
        </w:rPr>
        <w:t>.</w:t>
      </w:r>
      <w:r w:rsidR="005F2D06">
        <w:rPr>
          <w:rFonts w:asciiTheme="minorBidi" w:hAnsiTheme="minorBidi" w:cstheme="minorBidi"/>
          <w:color w:val="000000" w:themeColor="text1"/>
          <w:shd w:val="clear" w:color="auto" w:fill="FFFFFF"/>
        </w:rPr>
        <w:t xml:space="preserve"> That this must be so may be </w:t>
      </w:r>
      <w:r w:rsidR="00EB5600">
        <w:rPr>
          <w:rFonts w:asciiTheme="minorBidi" w:hAnsiTheme="minorBidi" w:cstheme="minorBidi"/>
          <w:color w:val="000000" w:themeColor="text1"/>
          <w:shd w:val="clear" w:color="auto" w:fill="FFFFFF"/>
        </w:rPr>
        <w:t xml:space="preserve">gleaned from the provisions of </w:t>
      </w:r>
      <w:r w:rsidR="002220B9">
        <w:rPr>
          <w:rFonts w:asciiTheme="minorBidi" w:hAnsiTheme="minorBidi" w:cstheme="minorBidi"/>
          <w:color w:val="000000" w:themeColor="text1"/>
          <w:shd w:val="clear" w:color="auto" w:fill="FFFFFF"/>
        </w:rPr>
        <w:t xml:space="preserve">regulation </w:t>
      </w:r>
      <w:r w:rsidR="00EB5600">
        <w:rPr>
          <w:rFonts w:asciiTheme="minorBidi" w:hAnsiTheme="minorBidi" w:cstheme="minorBidi"/>
          <w:color w:val="000000" w:themeColor="text1"/>
          <w:shd w:val="clear" w:color="auto" w:fill="FFFFFF"/>
        </w:rPr>
        <w:t xml:space="preserve">11(6) and the </w:t>
      </w:r>
      <w:r w:rsidR="005F2D06">
        <w:rPr>
          <w:rFonts w:asciiTheme="minorBidi" w:hAnsiTheme="minorBidi" w:cstheme="minorBidi"/>
          <w:color w:val="000000" w:themeColor="text1"/>
          <w:shd w:val="clear" w:color="auto" w:fill="FFFFFF"/>
        </w:rPr>
        <w:t xml:space="preserve">annexure referred to </w:t>
      </w:r>
      <w:r w:rsidR="002220B9">
        <w:rPr>
          <w:rFonts w:asciiTheme="minorBidi" w:hAnsiTheme="minorBidi" w:cstheme="minorBidi"/>
          <w:color w:val="000000" w:themeColor="text1"/>
          <w:shd w:val="clear" w:color="auto" w:fill="FFFFFF"/>
        </w:rPr>
        <w:t>therein</w:t>
      </w:r>
      <w:r w:rsidR="000971A3">
        <w:rPr>
          <w:rFonts w:asciiTheme="minorBidi" w:hAnsiTheme="minorBidi" w:cstheme="minorBidi"/>
          <w:color w:val="000000" w:themeColor="text1"/>
          <w:shd w:val="clear" w:color="auto" w:fill="FFFFFF"/>
        </w:rPr>
        <w:t>, which states</w:t>
      </w:r>
      <w:r w:rsidR="005F2D06">
        <w:rPr>
          <w:rFonts w:asciiTheme="minorBidi" w:hAnsiTheme="minorBidi" w:cstheme="minorBidi"/>
          <w:color w:val="000000" w:themeColor="text1"/>
          <w:shd w:val="clear" w:color="auto" w:fill="FFFFFF"/>
        </w:rPr>
        <w:t>:</w:t>
      </w:r>
    </w:p>
    <w:p w14:paraId="56519324" w14:textId="77777777" w:rsidR="00EB5600" w:rsidRPr="00EB5600" w:rsidRDefault="00EB5600" w:rsidP="00EB5600">
      <w:pPr>
        <w:pStyle w:val="ListParagraph"/>
        <w:tabs>
          <w:tab w:val="left" w:pos="709"/>
        </w:tabs>
        <w:spacing w:line="360" w:lineRule="auto"/>
        <w:ind w:left="0"/>
        <w:jc w:val="both"/>
        <w:rPr>
          <w:rFonts w:ascii="Arial" w:hAnsi="Arial" w:cs="Arial"/>
          <w:color w:val="000000" w:themeColor="text1"/>
          <w:sz w:val="22"/>
          <w:szCs w:val="22"/>
          <w:shd w:val="clear" w:color="auto" w:fill="FFFFFF"/>
        </w:rPr>
      </w:pPr>
      <w:r w:rsidRPr="00EB5600">
        <w:rPr>
          <w:rFonts w:ascii="Arial" w:hAnsi="Arial" w:cs="Arial"/>
          <w:color w:val="000000" w:themeColor="text1"/>
          <w:sz w:val="22"/>
          <w:szCs w:val="22"/>
          <w:shd w:val="clear" w:color="auto" w:fill="FFFFFF"/>
        </w:rPr>
        <w:t>‘</w:t>
      </w:r>
      <w:r w:rsidRPr="00EB5600">
        <w:rPr>
          <w:rFonts w:ascii="Arial" w:hAnsi="Arial" w:cs="Arial"/>
          <w:sz w:val="22"/>
          <w:szCs w:val="22"/>
        </w:rPr>
        <w:t>The provisions of and the directives, rules and policies made under the Public Service Act, 1994 (Proclamation 103 of 1994) shall not apply to the Executive Staff Component, but the conditions of employment and remuneration of the members shall be as set out in Annexure 2 as amended by regulation from time to time by the Minister with the concurrence of the Minister of Finance.’</w:t>
      </w:r>
    </w:p>
    <w:p w14:paraId="1286A2C6" w14:textId="77777777" w:rsidR="00EB5600" w:rsidRDefault="00EB5600" w:rsidP="0043706A">
      <w:pPr>
        <w:pStyle w:val="ListParagraph"/>
        <w:tabs>
          <w:tab w:val="left" w:pos="709"/>
        </w:tabs>
        <w:spacing w:line="360" w:lineRule="auto"/>
        <w:ind w:left="0"/>
        <w:jc w:val="both"/>
        <w:rPr>
          <w:rFonts w:asciiTheme="minorBidi" w:hAnsiTheme="minorBidi" w:cstheme="minorBidi"/>
          <w:color w:val="000000" w:themeColor="text1"/>
          <w:shd w:val="clear" w:color="auto" w:fill="FFFFFF"/>
        </w:rPr>
      </w:pPr>
      <w:r>
        <w:rPr>
          <w:rFonts w:asciiTheme="minorBidi" w:hAnsiTheme="minorBidi" w:cstheme="minorBidi"/>
          <w:color w:val="000000" w:themeColor="text1"/>
          <w:shd w:val="clear" w:color="auto" w:fill="FFFFFF"/>
        </w:rPr>
        <w:t>Annexure 2 states, in part, as follows:</w:t>
      </w:r>
    </w:p>
    <w:p w14:paraId="521F3F79" w14:textId="77777777" w:rsidR="00EB5600" w:rsidRDefault="00EB5600" w:rsidP="0043706A">
      <w:pPr>
        <w:pStyle w:val="ListParagraph"/>
        <w:tabs>
          <w:tab w:val="left" w:pos="709"/>
        </w:tabs>
        <w:spacing w:line="360" w:lineRule="auto"/>
        <w:ind w:left="0"/>
        <w:jc w:val="both"/>
        <w:rPr>
          <w:rFonts w:ascii="Arial" w:hAnsi="Arial" w:cs="Arial"/>
          <w:sz w:val="22"/>
          <w:szCs w:val="22"/>
        </w:rPr>
      </w:pPr>
      <w:r w:rsidRPr="00EB5600">
        <w:rPr>
          <w:rFonts w:ascii="Arial" w:hAnsi="Arial" w:cs="Arial"/>
          <w:color w:val="000000" w:themeColor="text1"/>
          <w:sz w:val="22"/>
          <w:szCs w:val="22"/>
          <w:shd w:val="clear" w:color="auto" w:fill="FFFFFF"/>
        </w:rPr>
        <w:t>‘</w:t>
      </w:r>
      <w:r w:rsidRPr="00EB5600">
        <w:rPr>
          <w:rFonts w:ascii="Arial" w:hAnsi="Arial" w:cs="Arial"/>
          <w:sz w:val="22"/>
          <w:szCs w:val="22"/>
        </w:rPr>
        <w:t>Subject to Section 27 of the Constitution and other applicable law, the service conditions of employees of the Authority shall be regulated by written contract and such contractual measures may deal, without limitati</w:t>
      </w:r>
      <w:r>
        <w:rPr>
          <w:rFonts w:ascii="Arial" w:hAnsi="Arial" w:cs="Arial"/>
          <w:sz w:val="22"/>
          <w:szCs w:val="22"/>
        </w:rPr>
        <w:t xml:space="preserve">on, with the following: </w:t>
      </w:r>
    </w:p>
    <w:p w14:paraId="13D2F1FB" w14:textId="77777777" w:rsidR="00EB5600" w:rsidRDefault="00EB5600" w:rsidP="0043706A">
      <w:pPr>
        <w:pStyle w:val="ListParagraph"/>
        <w:tabs>
          <w:tab w:val="left" w:pos="709"/>
        </w:tabs>
        <w:spacing w:line="360" w:lineRule="auto"/>
        <w:ind w:left="0"/>
        <w:jc w:val="both"/>
        <w:rPr>
          <w:rFonts w:ascii="Arial" w:hAnsi="Arial" w:cs="Arial"/>
          <w:sz w:val="22"/>
          <w:szCs w:val="22"/>
        </w:rPr>
      </w:pPr>
      <w:r w:rsidRPr="00EB5600">
        <w:rPr>
          <w:rFonts w:ascii="Arial" w:hAnsi="Arial" w:cs="Arial"/>
          <w:sz w:val="22"/>
          <w:szCs w:val="22"/>
        </w:rPr>
        <w:t xml:space="preserve">1.1. Probation periods not exceeding 6 months. </w:t>
      </w:r>
    </w:p>
    <w:p w14:paraId="1E99E8AD" w14:textId="77777777" w:rsidR="00EB5600" w:rsidRDefault="00EB5600" w:rsidP="0043706A">
      <w:pPr>
        <w:pStyle w:val="ListParagraph"/>
        <w:tabs>
          <w:tab w:val="left" w:pos="709"/>
        </w:tabs>
        <w:spacing w:line="360" w:lineRule="auto"/>
        <w:ind w:left="0"/>
        <w:jc w:val="both"/>
        <w:rPr>
          <w:rFonts w:ascii="Arial" w:hAnsi="Arial" w:cs="Arial"/>
          <w:sz w:val="22"/>
          <w:szCs w:val="22"/>
        </w:rPr>
      </w:pPr>
      <w:r w:rsidRPr="00EB5600">
        <w:rPr>
          <w:rFonts w:ascii="Arial" w:hAnsi="Arial" w:cs="Arial"/>
          <w:sz w:val="22"/>
          <w:szCs w:val="22"/>
        </w:rPr>
        <w:t>1.2. Medical examinations, reference checks and other applicable background information. 1.3. Whether the appointment is permanent or temporary</w:t>
      </w:r>
      <w:r w:rsidR="007A3E95">
        <w:rPr>
          <w:rFonts w:ascii="Arial" w:hAnsi="Arial" w:cs="Arial"/>
          <w:sz w:val="22"/>
          <w:szCs w:val="22"/>
        </w:rPr>
        <w:t>…</w:t>
      </w:r>
      <w:r>
        <w:rPr>
          <w:rFonts w:ascii="Arial" w:hAnsi="Arial" w:cs="Arial"/>
          <w:sz w:val="22"/>
          <w:szCs w:val="22"/>
        </w:rPr>
        <w:t>’</w:t>
      </w:r>
    </w:p>
    <w:p w14:paraId="117FFB0F" w14:textId="77777777" w:rsidR="00EB5600" w:rsidRPr="00EB5600" w:rsidRDefault="00EB5600" w:rsidP="0043706A">
      <w:pPr>
        <w:pStyle w:val="ListParagraph"/>
        <w:tabs>
          <w:tab w:val="left" w:pos="709"/>
        </w:tabs>
        <w:spacing w:line="360" w:lineRule="auto"/>
        <w:ind w:left="0"/>
        <w:jc w:val="both"/>
        <w:rPr>
          <w:rFonts w:ascii="Arial" w:hAnsi="Arial" w:cs="Arial"/>
          <w:color w:val="000000" w:themeColor="text1"/>
          <w:sz w:val="22"/>
          <w:szCs w:val="22"/>
          <w:shd w:val="clear" w:color="auto" w:fill="FFFFFF"/>
        </w:rPr>
      </w:pPr>
    </w:p>
    <w:p w14:paraId="75CF297D" w14:textId="77777777" w:rsidR="00570877" w:rsidRPr="00EB5600" w:rsidRDefault="0043706A" w:rsidP="0043706A">
      <w:pPr>
        <w:pStyle w:val="ListParagraph"/>
        <w:numPr>
          <w:ilvl w:val="0"/>
          <w:numId w:val="8"/>
        </w:numPr>
        <w:tabs>
          <w:tab w:val="left" w:pos="709"/>
        </w:tabs>
        <w:spacing w:line="360" w:lineRule="auto"/>
        <w:ind w:left="0" w:firstLine="0"/>
        <w:jc w:val="both"/>
        <w:rPr>
          <w:rFonts w:asciiTheme="minorBidi" w:hAnsiTheme="minorBidi" w:cstheme="minorBidi"/>
          <w:color w:val="242121"/>
          <w:lang w:val="en-GB"/>
        </w:rPr>
      </w:pPr>
      <w:r w:rsidRPr="00EB5600">
        <w:rPr>
          <w:rFonts w:asciiTheme="minorBidi" w:hAnsiTheme="minorBidi" w:cstheme="minorBidi"/>
          <w:color w:val="000000" w:themeColor="text1"/>
          <w:shd w:val="clear" w:color="auto" w:fill="FFFFFF"/>
        </w:rPr>
        <w:lastRenderedPageBreak/>
        <w:t xml:space="preserve">The power to permanently employ has thus been granted by the Minister and has been published in the </w:t>
      </w:r>
      <w:r w:rsidRPr="00DE704B">
        <w:rPr>
          <w:rFonts w:asciiTheme="minorBidi" w:hAnsiTheme="minorBidi" w:cstheme="minorBidi"/>
          <w:i/>
          <w:color w:val="000000" w:themeColor="text1"/>
          <w:shd w:val="clear" w:color="auto" w:fill="FFFFFF"/>
        </w:rPr>
        <w:t>Government Gazette</w:t>
      </w:r>
      <w:r w:rsidRPr="00EB5600">
        <w:rPr>
          <w:rFonts w:asciiTheme="minorBidi" w:hAnsiTheme="minorBidi" w:cstheme="minorBidi"/>
          <w:color w:val="000000" w:themeColor="text1"/>
          <w:shd w:val="clear" w:color="auto" w:fill="FFFFFF"/>
        </w:rPr>
        <w:t xml:space="preserve">. It matters not that a specific notice that only deals with this aspect has not been issued and that the permission is granted in the Regulations. </w:t>
      </w:r>
      <w:r w:rsidR="00EB5600">
        <w:rPr>
          <w:rFonts w:asciiTheme="minorBidi" w:hAnsiTheme="minorBidi" w:cstheme="minorBidi"/>
          <w:color w:val="000000" w:themeColor="text1"/>
          <w:shd w:val="clear" w:color="auto" w:fill="FFFFFF"/>
        </w:rPr>
        <w:t>On the merits of the application</w:t>
      </w:r>
      <w:r w:rsidR="00DA67DD">
        <w:rPr>
          <w:rFonts w:asciiTheme="minorBidi" w:hAnsiTheme="minorBidi" w:cstheme="minorBidi"/>
          <w:color w:val="000000" w:themeColor="text1"/>
          <w:shd w:val="clear" w:color="auto" w:fill="FFFFFF"/>
        </w:rPr>
        <w:t>,</w:t>
      </w:r>
      <w:r w:rsidR="00EB5600">
        <w:rPr>
          <w:rFonts w:asciiTheme="minorBidi" w:hAnsiTheme="minorBidi" w:cstheme="minorBidi"/>
          <w:color w:val="000000" w:themeColor="text1"/>
          <w:shd w:val="clear" w:color="auto" w:fill="FFFFFF"/>
        </w:rPr>
        <w:t xml:space="preserve"> i</w:t>
      </w:r>
      <w:r w:rsidR="00570877" w:rsidRPr="00EB5600">
        <w:rPr>
          <w:rFonts w:asciiTheme="minorBidi" w:hAnsiTheme="minorBidi" w:cstheme="minorBidi"/>
          <w:color w:val="000000" w:themeColor="text1"/>
          <w:shd w:val="clear" w:color="auto" w:fill="FFFFFF"/>
        </w:rPr>
        <w:t>t appears to me that this is not a matter where</w:t>
      </w:r>
      <w:r w:rsidR="00DA67DD">
        <w:rPr>
          <w:rFonts w:asciiTheme="minorBidi" w:hAnsiTheme="minorBidi" w:cstheme="minorBidi"/>
          <w:color w:val="000000" w:themeColor="text1"/>
          <w:shd w:val="clear" w:color="auto" w:fill="FFFFFF"/>
        </w:rPr>
        <w:t>,</w:t>
      </w:r>
      <w:r w:rsidR="00570877" w:rsidRPr="00EB5600">
        <w:rPr>
          <w:rFonts w:asciiTheme="minorBidi" w:hAnsiTheme="minorBidi" w:cstheme="minorBidi"/>
          <w:color w:val="000000" w:themeColor="text1"/>
          <w:shd w:val="clear" w:color="auto" w:fill="FFFFFF"/>
        </w:rPr>
        <w:t xml:space="preserve"> if the delay in bringing the review is overlooked, a serious challenge that warrants the attention of the court is thereby raised.</w:t>
      </w:r>
    </w:p>
    <w:p w14:paraId="2777A5B6" w14:textId="77777777" w:rsidR="00404BF2" w:rsidRPr="0043706A" w:rsidRDefault="00404BF2" w:rsidP="0043706A">
      <w:pPr>
        <w:pStyle w:val="ListParagraph"/>
        <w:tabs>
          <w:tab w:val="left" w:pos="709"/>
        </w:tabs>
        <w:spacing w:line="360" w:lineRule="auto"/>
        <w:ind w:left="0"/>
        <w:jc w:val="both"/>
        <w:rPr>
          <w:rFonts w:asciiTheme="minorBidi" w:hAnsiTheme="minorBidi" w:cstheme="minorBidi"/>
          <w:color w:val="242121"/>
          <w:lang w:val="en-GB"/>
        </w:rPr>
      </w:pPr>
    </w:p>
    <w:p w14:paraId="341CEFFD" w14:textId="77777777" w:rsidR="005E414E" w:rsidRDefault="00BD17E4" w:rsidP="00EB5600">
      <w:pPr>
        <w:pStyle w:val="ListParagraph"/>
        <w:numPr>
          <w:ilvl w:val="0"/>
          <w:numId w:val="8"/>
        </w:numPr>
        <w:tabs>
          <w:tab w:val="left" w:pos="709"/>
        </w:tabs>
        <w:spacing w:line="360" w:lineRule="auto"/>
        <w:ind w:left="0" w:firstLine="0"/>
        <w:jc w:val="both"/>
        <w:rPr>
          <w:rFonts w:asciiTheme="minorBidi" w:hAnsiTheme="minorBidi" w:cstheme="minorBidi"/>
          <w:color w:val="242121"/>
          <w:lang w:val="en-GB"/>
        </w:rPr>
      </w:pPr>
      <w:r w:rsidRPr="00404BF2">
        <w:rPr>
          <w:rFonts w:asciiTheme="minorBidi" w:hAnsiTheme="minorBidi" w:cstheme="minorBidi"/>
          <w:color w:val="242121"/>
          <w:lang w:val="en-GB"/>
        </w:rPr>
        <w:t xml:space="preserve">There </w:t>
      </w:r>
      <w:r w:rsidR="00EB5600">
        <w:rPr>
          <w:rFonts w:asciiTheme="minorBidi" w:hAnsiTheme="minorBidi" w:cstheme="minorBidi"/>
          <w:color w:val="242121"/>
          <w:lang w:val="en-GB"/>
        </w:rPr>
        <w:t>are other disquieting aspects about the applicant’s case.</w:t>
      </w:r>
      <w:r w:rsidRPr="00404BF2">
        <w:rPr>
          <w:rFonts w:asciiTheme="minorBidi" w:hAnsiTheme="minorBidi" w:cstheme="minorBidi"/>
          <w:color w:val="242121"/>
          <w:lang w:val="en-GB"/>
        </w:rPr>
        <w:t xml:space="preserve"> The realisation was reached</w:t>
      </w:r>
      <w:r w:rsidR="006F56AE" w:rsidRPr="00404BF2">
        <w:rPr>
          <w:rFonts w:asciiTheme="minorBidi" w:hAnsiTheme="minorBidi" w:cstheme="minorBidi"/>
          <w:color w:val="242121"/>
          <w:lang w:val="en-GB"/>
        </w:rPr>
        <w:t xml:space="preserve"> by the Board</w:t>
      </w:r>
      <w:r w:rsidRPr="00404BF2">
        <w:rPr>
          <w:rFonts w:asciiTheme="minorBidi" w:hAnsiTheme="minorBidi" w:cstheme="minorBidi"/>
          <w:color w:val="242121"/>
          <w:lang w:val="en-GB"/>
        </w:rPr>
        <w:t xml:space="preserve"> that the conversion </w:t>
      </w:r>
      <w:r w:rsidR="006F56AE" w:rsidRPr="00404BF2">
        <w:rPr>
          <w:rFonts w:asciiTheme="minorBidi" w:hAnsiTheme="minorBidi" w:cstheme="minorBidi"/>
          <w:color w:val="242121"/>
          <w:lang w:val="en-GB"/>
        </w:rPr>
        <w:t>of the fixed term contracts</w:t>
      </w:r>
      <w:r w:rsidRPr="00404BF2">
        <w:rPr>
          <w:rFonts w:asciiTheme="minorBidi" w:hAnsiTheme="minorBidi" w:cstheme="minorBidi"/>
          <w:color w:val="242121"/>
          <w:lang w:val="en-GB"/>
        </w:rPr>
        <w:t xml:space="preserve"> </w:t>
      </w:r>
      <w:r w:rsidR="000D72A6" w:rsidRPr="00404BF2">
        <w:rPr>
          <w:rFonts w:asciiTheme="minorBidi" w:hAnsiTheme="minorBidi" w:cstheme="minorBidi"/>
          <w:color w:val="242121"/>
          <w:lang w:val="en-GB"/>
        </w:rPr>
        <w:t>may be</w:t>
      </w:r>
      <w:r w:rsidRPr="00404BF2">
        <w:rPr>
          <w:rFonts w:asciiTheme="minorBidi" w:hAnsiTheme="minorBidi" w:cstheme="minorBidi"/>
          <w:color w:val="242121"/>
          <w:lang w:val="en-GB"/>
        </w:rPr>
        <w:t xml:space="preserve"> </w:t>
      </w:r>
      <w:r w:rsidR="00EB5600">
        <w:rPr>
          <w:rFonts w:asciiTheme="minorBidi" w:hAnsiTheme="minorBidi" w:cstheme="minorBidi"/>
          <w:color w:val="242121"/>
          <w:lang w:val="en-GB"/>
        </w:rPr>
        <w:t xml:space="preserve">invalid </w:t>
      </w:r>
      <w:r w:rsidRPr="00404BF2">
        <w:rPr>
          <w:rFonts w:asciiTheme="minorBidi" w:hAnsiTheme="minorBidi" w:cstheme="minorBidi"/>
          <w:color w:val="242121"/>
          <w:lang w:val="en-GB"/>
        </w:rPr>
        <w:t xml:space="preserve">sometime after March 2020. </w:t>
      </w:r>
      <w:r w:rsidR="005E414E" w:rsidRPr="00404BF2">
        <w:rPr>
          <w:rFonts w:asciiTheme="minorBidi" w:hAnsiTheme="minorBidi" w:cstheme="minorBidi"/>
          <w:color w:val="242121"/>
          <w:lang w:val="en-GB"/>
        </w:rPr>
        <w:t>Notwithstanding this apparent realisation, the fourth respondent’s fixed term contract was converted to full time employment on 15 February 2021</w:t>
      </w:r>
      <w:r w:rsidR="007E1BF6" w:rsidRPr="00404BF2">
        <w:rPr>
          <w:rFonts w:asciiTheme="minorBidi" w:hAnsiTheme="minorBidi" w:cstheme="minorBidi"/>
          <w:color w:val="242121"/>
          <w:lang w:val="en-GB"/>
        </w:rPr>
        <w:t xml:space="preserve">. It appears that the applicant blew hot and cold: it believed that the impugned decision would not pass legal </w:t>
      </w:r>
      <w:r w:rsidR="00C51861" w:rsidRPr="00404BF2">
        <w:rPr>
          <w:rFonts w:asciiTheme="minorBidi" w:hAnsiTheme="minorBidi" w:cstheme="minorBidi"/>
          <w:color w:val="242121"/>
          <w:lang w:val="en-GB"/>
        </w:rPr>
        <w:t>muster,</w:t>
      </w:r>
      <w:r w:rsidR="007E1BF6" w:rsidRPr="00404BF2">
        <w:rPr>
          <w:rFonts w:asciiTheme="minorBidi" w:hAnsiTheme="minorBidi" w:cstheme="minorBidi"/>
          <w:color w:val="242121"/>
          <w:lang w:val="en-GB"/>
        </w:rPr>
        <w:t xml:space="preserve"> yet it continued to act in accordance with it. </w:t>
      </w:r>
      <w:r w:rsidR="00EB5600">
        <w:rPr>
          <w:rFonts w:asciiTheme="minorBidi" w:hAnsiTheme="minorBidi" w:cstheme="minorBidi"/>
          <w:color w:val="242121"/>
          <w:lang w:val="en-GB"/>
        </w:rPr>
        <w:t xml:space="preserve">This is gravely prejudicial conduct towards the fourth respondent. </w:t>
      </w:r>
      <w:r w:rsidR="005E414E" w:rsidRPr="00404BF2">
        <w:rPr>
          <w:rFonts w:asciiTheme="minorBidi" w:hAnsiTheme="minorBidi" w:cstheme="minorBidi"/>
          <w:color w:val="242121"/>
          <w:lang w:val="en-GB"/>
        </w:rPr>
        <w:t xml:space="preserve">Why was this done in the light of that </w:t>
      </w:r>
      <w:r w:rsidR="00582153">
        <w:rPr>
          <w:rFonts w:asciiTheme="minorBidi" w:hAnsiTheme="minorBidi" w:cstheme="minorBidi"/>
          <w:color w:val="242121"/>
          <w:lang w:val="en-GB"/>
        </w:rPr>
        <w:t xml:space="preserve">apparent </w:t>
      </w:r>
      <w:r w:rsidR="005E414E" w:rsidRPr="00404BF2">
        <w:rPr>
          <w:rFonts w:asciiTheme="minorBidi" w:hAnsiTheme="minorBidi" w:cstheme="minorBidi"/>
          <w:color w:val="242121"/>
          <w:lang w:val="en-GB"/>
        </w:rPr>
        <w:t xml:space="preserve">realisation? There is no explanation tendered by the applicant </w:t>
      </w:r>
      <w:r w:rsidR="000D72A6" w:rsidRPr="00404BF2">
        <w:rPr>
          <w:rFonts w:asciiTheme="minorBidi" w:hAnsiTheme="minorBidi" w:cstheme="minorBidi"/>
          <w:color w:val="242121"/>
          <w:lang w:val="en-GB"/>
        </w:rPr>
        <w:t>for this in any of its affidavits.</w:t>
      </w:r>
    </w:p>
    <w:p w14:paraId="552F9194" w14:textId="77777777" w:rsidR="00EB5600" w:rsidRPr="00EB5600" w:rsidRDefault="00EB5600" w:rsidP="00EB5600">
      <w:pPr>
        <w:pStyle w:val="ListParagraph"/>
        <w:spacing w:line="360" w:lineRule="auto"/>
        <w:rPr>
          <w:rFonts w:asciiTheme="minorBidi" w:hAnsiTheme="minorBidi" w:cstheme="minorBidi"/>
          <w:color w:val="242121"/>
          <w:lang w:val="en-GB"/>
        </w:rPr>
      </w:pPr>
    </w:p>
    <w:p w14:paraId="1CF0BE59" w14:textId="77777777" w:rsidR="00EB5600" w:rsidRDefault="00EB5600" w:rsidP="00C42C02">
      <w:pPr>
        <w:pStyle w:val="ListParagraph"/>
        <w:numPr>
          <w:ilvl w:val="0"/>
          <w:numId w:val="8"/>
        </w:numPr>
        <w:tabs>
          <w:tab w:val="left" w:pos="709"/>
        </w:tabs>
        <w:spacing w:line="360" w:lineRule="auto"/>
        <w:ind w:left="0" w:firstLine="0"/>
        <w:jc w:val="both"/>
        <w:rPr>
          <w:rFonts w:asciiTheme="minorBidi" w:hAnsiTheme="minorBidi" w:cstheme="minorBidi"/>
          <w:color w:val="242121"/>
          <w:lang w:val="en-GB"/>
        </w:rPr>
      </w:pPr>
      <w:r>
        <w:rPr>
          <w:rFonts w:asciiTheme="minorBidi" w:hAnsiTheme="minorBidi" w:cstheme="minorBidi"/>
          <w:color w:val="242121"/>
          <w:lang w:val="en-GB"/>
        </w:rPr>
        <w:t>Mr Saks, who appears for the first respondent, drew attention to the provisions of section 15(3) of the Act, which provides as follows:</w:t>
      </w:r>
    </w:p>
    <w:p w14:paraId="5AC31F2B" w14:textId="77777777" w:rsidR="00EB5600" w:rsidRDefault="00EB5600" w:rsidP="00C42C02">
      <w:pPr>
        <w:spacing w:line="360" w:lineRule="auto"/>
        <w:jc w:val="both"/>
        <w:rPr>
          <w:rFonts w:ascii="Arial" w:hAnsi="Arial" w:cs="Arial"/>
          <w:sz w:val="22"/>
          <w:szCs w:val="22"/>
        </w:rPr>
      </w:pPr>
      <w:r w:rsidRPr="00C42C02">
        <w:rPr>
          <w:rFonts w:ascii="Arial" w:hAnsi="Arial" w:cs="Arial"/>
          <w:color w:val="242121"/>
          <w:sz w:val="22"/>
          <w:szCs w:val="22"/>
          <w:lang w:val="en-GB"/>
        </w:rPr>
        <w:t>‘</w:t>
      </w:r>
      <w:r w:rsidRPr="00C42C02">
        <w:rPr>
          <w:rFonts w:ascii="Arial" w:hAnsi="Arial" w:cs="Arial"/>
          <w:sz w:val="22"/>
          <w:szCs w:val="22"/>
        </w:rPr>
        <w:t>The Minister may review decisions, actions and policies of the Board.</w:t>
      </w:r>
      <w:r w:rsidR="00C42C02" w:rsidRPr="00C42C02">
        <w:rPr>
          <w:rFonts w:ascii="Arial" w:hAnsi="Arial" w:cs="Arial"/>
          <w:sz w:val="22"/>
          <w:szCs w:val="22"/>
        </w:rPr>
        <w:t>’</w:t>
      </w:r>
    </w:p>
    <w:p w14:paraId="0A8F8F5D" w14:textId="77777777" w:rsidR="00C42C02" w:rsidRDefault="00C42C02" w:rsidP="00C42C02">
      <w:pPr>
        <w:spacing w:line="360" w:lineRule="auto"/>
        <w:jc w:val="both"/>
        <w:rPr>
          <w:rFonts w:ascii="Arial" w:hAnsi="Arial" w:cs="Arial"/>
        </w:rPr>
      </w:pPr>
      <w:r>
        <w:rPr>
          <w:rFonts w:ascii="Arial" w:hAnsi="Arial" w:cs="Arial"/>
        </w:rPr>
        <w:t>There was, thus, a mechanism that the applicant could have invoked to have its decision critically evaluated by the Minister. It made no attempt to do so.</w:t>
      </w:r>
    </w:p>
    <w:p w14:paraId="407B94FD" w14:textId="77777777" w:rsidR="005E414E" w:rsidRPr="005E414E" w:rsidRDefault="005E414E" w:rsidP="00EB5600">
      <w:pPr>
        <w:pStyle w:val="ListParagraph"/>
        <w:spacing w:line="360" w:lineRule="auto"/>
        <w:rPr>
          <w:rFonts w:asciiTheme="minorBidi" w:hAnsiTheme="minorBidi" w:cstheme="minorBidi"/>
          <w:color w:val="242121"/>
          <w:lang w:val="en-GB"/>
        </w:rPr>
      </w:pPr>
    </w:p>
    <w:p w14:paraId="600F7C35" w14:textId="77777777" w:rsidR="005472C3" w:rsidRPr="00294C40" w:rsidRDefault="00EE16FD" w:rsidP="00EB5600">
      <w:pPr>
        <w:pStyle w:val="ListParagraph"/>
        <w:numPr>
          <w:ilvl w:val="0"/>
          <w:numId w:val="8"/>
        </w:numPr>
        <w:tabs>
          <w:tab w:val="left" w:pos="709"/>
        </w:tabs>
        <w:spacing w:line="360" w:lineRule="auto"/>
        <w:ind w:left="0" w:firstLine="0"/>
        <w:jc w:val="both"/>
        <w:rPr>
          <w:rFonts w:asciiTheme="minorBidi" w:hAnsiTheme="minorBidi" w:cstheme="minorBidi"/>
          <w:color w:val="242121"/>
          <w:lang w:val="en-GB"/>
        </w:rPr>
      </w:pPr>
      <w:r w:rsidRPr="00BD17E4">
        <w:rPr>
          <w:rFonts w:asciiTheme="minorBidi" w:hAnsiTheme="minorBidi" w:cstheme="minorBidi"/>
          <w:color w:val="242121"/>
          <w:lang w:val="en-GB"/>
        </w:rPr>
        <w:t xml:space="preserve"> </w:t>
      </w:r>
      <w:r w:rsidR="006F5658" w:rsidRPr="00BD17E4">
        <w:rPr>
          <w:rFonts w:asciiTheme="minorBidi" w:hAnsiTheme="minorBidi" w:cstheme="minorBidi"/>
          <w:color w:val="242121"/>
          <w:lang w:val="en-GB"/>
        </w:rPr>
        <w:t>Moreover, i</w:t>
      </w:r>
      <w:r w:rsidR="00260ED8" w:rsidRPr="00BD17E4">
        <w:rPr>
          <w:rFonts w:asciiTheme="minorBidi" w:hAnsiTheme="minorBidi" w:cstheme="minorBidi"/>
          <w:color w:val="242121"/>
          <w:lang w:val="en-GB"/>
        </w:rPr>
        <w:t xml:space="preserve">t appears to me that </w:t>
      </w:r>
      <w:r w:rsidR="00D44CC8" w:rsidRPr="00BD17E4">
        <w:rPr>
          <w:rFonts w:asciiTheme="minorBidi" w:hAnsiTheme="minorBidi" w:cstheme="minorBidi"/>
          <w:color w:val="242121"/>
          <w:lang w:val="en-GB"/>
        </w:rPr>
        <w:t xml:space="preserve">Mr Bhukosini </w:t>
      </w:r>
      <w:r w:rsidR="00C37B81" w:rsidRPr="00BD17E4">
        <w:rPr>
          <w:rFonts w:asciiTheme="minorBidi" w:hAnsiTheme="minorBidi" w:cstheme="minorBidi"/>
          <w:color w:val="242121"/>
          <w:lang w:val="en-GB"/>
        </w:rPr>
        <w:t>overlooks something significant</w:t>
      </w:r>
      <w:r w:rsidR="00584A52" w:rsidRPr="00BD17E4">
        <w:rPr>
          <w:rFonts w:asciiTheme="minorBidi" w:hAnsiTheme="minorBidi" w:cstheme="minorBidi"/>
          <w:color w:val="242121"/>
          <w:lang w:val="en-GB"/>
        </w:rPr>
        <w:t xml:space="preserve"> </w:t>
      </w:r>
      <w:r w:rsidR="005E414E">
        <w:rPr>
          <w:rFonts w:asciiTheme="minorBidi" w:hAnsiTheme="minorBidi" w:cstheme="minorBidi"/>
          <w:color w:val="242121"/>
          <w:lang w:val="en-GB"/>
        </w:rPr>
        <w:t>in his submissions</w:t>
      </w:r>
      <w:r w:rsidR="00CF0066" w:rsidRPr="00BD17E4">
        <w:rPr>
          <w:rFonts w:asciiTheme="minorBidi" w:hAnsiTheme="minorBidi" w:cstheme="minorBidi"/>
          <w:color w:val="242121"/>
          <w:lang w:val="en-GB"/>
        </w:rPr>
        <w:t xml:space="preserve">: the </w:t>
      </w:r>
      <w:r w:rsidR="007E1BF6">
        <w:rPr>
          <w:rFonts w:asciiTheme="minorBidi" w:hAnsiTheme="minorBidi" w:cstheme="minorBidi"/>
          <w:color w:val="242121"/>
          <w:lang w:val="en-GB"/>
        </w:rPr>
        <w:t xml:space="preserve">impugned </w:t>
      </w:r>
      <w:r w:rsidR="00CF0066" w:rsidRPr="00BD17E4">
        <w:rPr>
          <w:rFonts w:asciiTheme="minorBidi" w:hAnsiTheme="minorBidi" w:cstheme="minorBidi"/>
          <w:color w:val="242121"/>
          <w:lang w:val="en-GB"/>
        </w:rPr>
        <w:t xml:space="preserve">decision was the applicant’s own decision and </w:t>
      </w:r>
      <w:r w:rsidR="00F942BA" w:rsidRPr="00BD17E4">
        <w:rPr>
          <w:rFonts w:asciiTheme="minorBidi" w:hAnsiTheme="minorBidi" w:cstheme="minorBidi"/>
          <w:color w:val="242121"/>
          <w:lang w:val="en-GB"/>
        </w:rPr>
        <w:t xml:space="preserve">was taken for reasons of which </w:t>
      </w:r>
      <w:r w:rsidR="005E414E">
        <w:rPr>
          <w:rFonts w:asciiTheme="minorBidi" w:hAnsiTheme="minorBidi" w:cstheme="minorBidi"/>
          <w:color w:val="242121"/>
          <w:lang w:val="en-GB"/>
        </w:rPr>
        <w:t>it</w:t>
      </w:r>
      <w:r w:rsidR="00F942BA" w:rsidRPr="00BD17E4">
        <w:rPr>
          <w:rFonts w:asciiTheme="minorBidi" w:hAnsiTheme="minorBidi" w:cstheme="minorBidi"/>
          <w:color w:val="242121"/>
          <w:lang w:val="en-GB"/>
        </w:rPr>
        <w:t xml:space="preserve"> must have been aware. The reason why the </w:t>
      </w:r>
      <w:r w:rsidR="007E1BF6">
        <w:rPr>
          <w:rFonts w:asciiTheme="minorBidi" w:hAnsiTheme="minorBidi" w:cstheme="minorBidi"/>
          <w:color w:val="242121"/>
          <w:lang w:val="en-GB"/>
        </w:rPr>
        <w:t xml:space="preserve">impugned </w:t>
      </w:r>
      <w:r w:rsidR="00F942BA" w:rsidRPr="00BD17E4">
        <w:rPr>
          <w:rFonts w:asciiTheme="minorBidi" w:hAnsiTheme="minorBidi" w:cstheme="minorBidi"/>
          <w:color w:val="242121"/>
          <w:lang w:val="en-GB"/>
        </w:rPr>
        <w:t xml:space="preserve">decision was taken </w:t>
      </w:r>
      <w:r w:rsidR="00CF0066" w:rsidRPr="00BD17E4">
        <w:rPr>
          <w:rFonts w:asciiTheme="minorBidi" w:hAnsiTheme="minorBidi" w:cstheme="minorBidi"/>
          <w:color w:val="242121"/>
          <w:lang w:val="en-GB"/>
        </w:rPr>
        <w:t xml:space="preserve">was </w:t>
      </w:r>
      <w:r w:rsidR="00F942BA" w:rsidRPr="00BD17E4">
        <w:rPr>
          <w:rFonts w:asciiTheme="minorBidi" w:hAnsiTheme="minorBidi" w:cstheme="minorBidi"/>
          <w:color w:val="242121"/>
          <w:lang w:val="en-GB"/>
        </w:rPr>
        <w:t xml:space="preserve">thus </w:t>
      </w:r>
      <w:r w:rsidR="00CF0066" w:rsidRPr="00BD17E4">
        <w:rPr>
          <w:rFonts w:asciiTheme="minorBidi" w:hAnsiTheme="minorBidi" w:cstheme="minorBidi"/>
          <w:color w:val="242121"/>
          <w:lang w:val="en-GB"/>
        </w:rPr>
        <w:t>always within its own knowledge.</w:t>
      </w:r>
      <w:r w:rsidR="00294C40">
        <w:rPr>
          <w:rFonts w:asciiTheme="minorBidi" w:hAnsiTheme="minorBidi" w:cstheme="minorBidi"/>
          <w:color w:val="242121"/>
          <w:lang w:val="en-GB"/>
        </w:rPr>
        <w:t xml:space="preserve"> It did not require the legal opinion </w:t>
      </w:r>
      <w:r w:rsidR="007E1BF6">
        <w:rPr>
          <w:rFonts w:asciiTheme="minorBidi" w:hAnsiTheme="minorBidi" w:cstheme="minorBidi"/>
          <w:color w:val="242121"/>
          <w:lang w:val="en-GB"/>
        </w:rPr>
        <w:t xml:space="preserve">of another </w:t>
      </w:r>
      <w:r w:rsidR="00294C40">
        <w:rPr>
          <w:rFonts w:asciiTheme="minorBidi" w:hAnsiTheme="minorBidi" w:cstheme="minorBidi"/>
          <w:color w:val="242121"/>
          <w:lang w:val="en-GB"/>
        </w:rPr>
        <w:t xml:space="preserve">to galvanize itself into </w:t>
      </w:r>
      <w:r w:rsidR="00C96E55">
        <w:rPr>
          <w:rFonts w:asciiTheme="minorBidi" w:hAnsiTheme="minorBidi" w:cstheme="minorBidi"/>
          <w:color w:val="242121"/>
          <w:lang w:val="en-GB"/>
        </w:rPr>
        <w:t>acting</w:t>
      </w:r>
      <w:r w:rsidR="00294C40">
        <w:rPr>
          <w:rFonts w:asciiTheme="minorBidi" w:hAnsiTheme="minorBidi" w:cstheme="minorBidi"/>
          <w:color w:val="242121"/>
          <w:lang w:val="en-GB"/>
        </w:rPr>
        <w:t>.</w:t>
      </w:r>
      <w:r w:rsidR="00CF0066" w:rsidRPr="00BD17E4">
        <w:rPr>
          <w:rFonts w:asciiTheme="minorBidi" w:hAnsiTheme="minorBidi" w:cstheme="minorBidi"/>
          <w:color w:val="242121"/>
          <w:lang w:val="en-GB"/>
        </w:rPr>
        <w:t xml:space="preserve"> A similar argument was advanced in </w:t>
      </w:r>
      <w:r w:rsidR="00CF0066" w:rsidRPr="00BD17E4">
        <w:rPr>
          <w:rFonts w:ascii="Arial" w:hAnsi="Arial" w:cs="Arial"/>
          <w:i/>
          <w:iCs/>
          <w:color w:val="000000" w:themeColor="text1"/>
        </w:rPr>
        <w:t xml:space="preserve">Asla Construction (Pty) Limited v Buffalo City Metropolitan Municipality and </w:t>
      </w:r>
      <w:r w:rsidR="00BF2989" w:rsidRPr="00BD17E4">
        <w:rPr>
          <w:rFonts w:ascii="Arial" w:hAnsi="Arial" w:cs="Arial"/>
          <w:i/>
          <w:iCs/>
          <w:color w:val="000000" w:themeColor="text1"/>
        </w:rPr>
        <w:t>another</w:t>
      </w:r>
      <w:r w:rsidR="005472C3" w:rsidRPr="00BD17E4">
        <w:rPr>
          <w:rFonts w:ascii="Arial" w:hAnsi="Arial" w:cs="Arial"/>
          <w:i/>
          <w:iCs/>
          <w:color w:val="000000" w:themeColor="text1"/>
        </w:rPr>
        <w:t>.</w:t>
      </w:r>
      <w:r w:rsidR="00CF0066" w:rsidRPr="005472C3">
        <w:rPr>
          <w:rStyle w:val="FootnoteReference"/>
          <w:rFonts w:ascii="Arial" w:hAnsi="Arial" w:cs="Arial"/>
          <w:color w:val="000000" w:themeColor="text1"/>
        </w:rPr>
        <w:footnoteReference w:id="23"/>
      </w:r>
      <w:r w:rsidR="00CF0066" w:rsidRPr="00BD17E4">
        <w:rPr>
          <w:rFonts w:ascii="Arial" w:hAnsi="Arial" w:cs="Arial"/>
          <w:color w:val="000000" w:themeColor="text1"/>
        </w:rPr>
        <w:t xml:space="preserve"> </w:t>
      </w:r>
      <w:r w:rsidR="005472C3" w:rsidRPr="00BD17E4">
        <w:rPr>
          <w:rFonts w:ascii="Arial" w:hAnsi="Arial" w:cs="Arial"/>
          <w:color w:val="000000" w:themeColor="text1"/>
        </w:rPr>
        <w:t>I</w:t>
      </w:r>
      <w:r w:rsidR="00584A52" w:rsidRPr="00BD17E4">
        <w:rPr>
          <w:rFonts w:ascii="Arial" w:hAnsi="Arial" w:cs="Arial"/>
          <w:color w:val="000000" w:themeColor="text1"/>
        </w:rPr>
        <w:t>n referring to this matter</w:t>
      </w:r>
      <w:r w:rsidR="00DA67DD">
        <w:rPr>
          <w:rFonts w:ascii="Arial" w:hAnsi="Arial" w:cs="Arial"/>
          <w:color w:val="000000" w:themeColor="text1"/>
        </w:rPr>
        <w:t>,</w:t>
      </w:r>
      <w:r w:rsidR="00584A52" w:rsidRPr="00BD17E4">
        <w:rPr>
          <w:rFonts w:ascii="Arial" w:hAnsi="Arial" w:cs="Arial"/>
          <w:color w:val="000000" w:themeColor="text1"/>
        </w:rPr>
        <w:t xml:space="preserve"> I</w:t>
      </w:r>
      <w:r w:rsidR="005472C3" w:rsidRPr="00BD17E4">
        <w:rPr>
          <w:rFonts w:ascii="Arial" w:hAnsi="Arial" w:cs="Arial"/>
          <w:color w:val="000000" w:themeColor="text1"/>
        </w:rPr>
        <w:t xml:space="preserve"> am mindful of the fact that </w:t>
      </w:r>
      <w:r w:rsidR="00584A52" w:rsidRPr="00BD17E4">
        <w:rPr>
          <w:rFonts w:ascii="Arial" w:hAnsi="Arial" w:cs="Arial"/>
          <w:color w:val="000000" w:themeColor="text1"/>
        </w:rPr>
        <w:t>it dealt with</w:t>
      </w:r>
      <w:r w:rsidR="005472C3" w:rsidRPr="00BD17E4">
        <w:rPr>
          <w:rFonts w:ascii="Arial" w:hAnsi="Arial" w:cs="Arial"/>
          <w:color w:val="000000" w:themeColor="text1"/>
        </w:rPr>
        <w:t xml:space="preserve"> a </w:t>
      </w:r>
      <w:r w:rsidR="005472C3" w:rsidRPr="00BD17E4">
        <w:rPr>
          <w:rFonts w:ascii="Arial" w:hAnsi="Arial" w:cs="Arial"/>
          <w:color w:val="000000" w:themeColor="text1"/>
        </w:rPr>
        <w:lastRenderedPageBreak/>
        <w:t xml:space="preserve">review brought in terms of </w:t>
      </w:r>
      <w:r w:rsidR="00971665" w:rsidRPr="00BD17E4">
        <w:rPr>
          <w:rFonts w:ascii="Arial" w:hAnsi="Arial" w:cs="Arial"/>
          <w:color w:val="000000" w:themeColor="text1"/>
        </w:rPr>
        <w:t>PAJA,</w:t>
      </w:r>
      <w:r w:rsidR="005472C3" w:rsidRPr="00BD17E4">
        <w:rPr>
          <w:rFonts w:ascii="Arial" w:hAnsi="Arial" w:cs="Arial"/>
          <w:color w:val="000000" w:themeColor="text1"/>
        </w:rPr>
        <w:t xml:space="preserve"> but </w:t>
      </w:r>
      <w:r w:rsidR="00971665" w:rsidRPr="00BD17E4">
        <w:rPr>
          <w:rFonts w:ascii="Arial" w:hAnsi="Arial" w:cs="Arial"/>
          <w:color w:val="000000" w:themeColor="text1"/>
        </w:rPr>
        <w:t xml:space="preserve">I </w:t>
      </w:r>
      <w:r w:rsidR="005472C3" w:rsidRPr="00BD17E4">
        <w:rPr>
          <w:rFonts w:ascii="Arial" w:hAnsi="Arial" w:cs="Arial"/>
          <w:color w:val="000000" w:themeColor="text1"/>
        </w:rPr>
        <w:t>can see no reason why the logic of the judgment should not also apply to legality reviews.</w:t>
      </w:r>
      <w:r w:rsidR="006F27ED">
        <w:rPr>
          <w:rStyle w:val="FootnoteReference"/>
          <w:rFonts w:ascii="Arial" w:hAnsi="Arial" w:cs="Arial"/>
          <w:color w:val="000000" w:themeColor="text1"/>
        </w:rPr>
        <w:footnoteReference w:id="24"/>
      </w:r>
      <w:r w:rsidR="005472C3" w:rsidRPr="00BD17E4">
        <w:rPr>
          <w:rFonts w:ascii="Arial" w:hAnsi="Arial" w:cs="Arial"/>
          <w:color w:val="000000" w:themeColor="text1"/>
        </w:rPr>
        <w:t xml:space="preserve"> In that matter, Swain JA stated as follows:</w:t>
      </w:r>
    </w:p>
    <w:p w14:paraId="4D1CF656" w14:textId="77777777" w:rsidR="00186555" w:rsidRPr="00186555" w:rsidRDefault="005472C3" w:rsidP="00186555">
      <w:pPr>
        <w:pStyle w:val="ListParagraph"/>
        <w:spacing w:line="360" w:lineRule="auto"/>
        <w:ind w:left="0"/>
        <w:jc w:val="both"/>
        <w:rPr>
          <w:rFonts w:asciiTheme="minorBidi" w:hAnsiTheme="minorBidi" w:cstheme="minorBidi"/>
          <w:color w:val="242121"/>
          <w:sz w:val="22"/>
          <w:szCs w:val="22"/>
          <w:lang w:val="en-US"/>
        </w:rPr>
      </w:pPr>
      <w:r w:rsidRPr="005472C3">
        <w:rPr>
          <w:rFonts w:asciiTheme="minorBidi" w:hAnsiTheme="minorBidi" w:cstheme="minorBidi"/>
          <w:color w:val="242121"/>
          <w:sz w:val="22"/>
          <w:szCs w:val="22"/>
        </w:rPr>
        <w:t>‘</w:t>
      </w:r>
      <w:r w:rsidR="00186555" w:rsidRPr="00186555">
        <w:rPr>
          <w:rFonts w:asciiTheme="minorBidi" w:hAnsiTheme="minorBidi" w:cstheme="minorBidi"/>
          <w:color w:val="242121"/>
          <w:sz w:val="22"/>
          <w:szCs w:val="22"/>
          <w:lang w:val="en-US"/>
        </w:rPr>
        <w:t>The contention of the respondent that the time period only commenced running once it became aware of the unlawful administrative action is untenable. The issue of whether knowledge of the reviewable irregularities in the decision sought to be reviewed was required before this period commenced running, was decided by this court in </w:t>
      </w:r>
      <w:r w:rsidR="00186555" w:rsidRPr="00186555">
        <w:rPr>
          <w:rFonts w:asciiTheme="minorBidi" w:hAnsiTheme="minorBidi" w:cstheme="minorBidi"/>
          <w:i/>
          <w:iCs/>
          <w:color w:val="242121"/>
          <w:sz w:val="22"/>
          <w:szCs w:val="22"/>
          <w:lang w:val="en-US"/>
        </w:rPr>
        <w:t>Aurecon South Africa (Pty) Ltd v Cape Town City</w:t>
      </w:r>
      <w:r w:rsidR="00186555" w:rsidRPr="00186555">
        <w:rPr>
          <w:rFonts w:asciiTheme="minorBidi" w:hAnsiTheme="minorBidi" w:cstheme="minorBidi"/>
          <w:color w:val="242121"/>
          <w:sz w:val="22"/>
          <w:szCs w:val="22"/>
          <w:lang w:val="en-US"/>
        </w:rPr>
        <w:t> 2016 (2) SA 199 (SCA) ([2015] ZASCA 209) para 16, in the following terms:</w:t>
      </w:r>
    </w:p>
    <w:p w14:paraId="6B232F76" w14:textId="77777777" w:rsidR="00CF0066" w:rsidRDefault="00186555" w:rsidP="00186555">
      <w:pPr>
        <w:pStyle w:val="ListParagraph"/>
        <w:spacing w:line="360" w:lineRule="auto"/>
        <w:jc w:val="both"/>
        <w:rPr>
          <w:rFonts w:asciiTheme="minorBidi" w:hAnsiTheme="minorBidi" w:cstheme="minorBidi"/>
          <w:sz w:val="22"/>
          <w:szCs w:val="22"/>
        </w:rPr>
      </w:pPr>
      <w:r w:rsidRPr="00186555">
        <w:rPr>
          <w:rFonts w:asciiTheme="minorBidi" w:hAnsiTheme="minorBidi" w:cstheme="minorBidi"/>
          <w:color w:val="242121"/>
          <w:sz w:val="22"/>
          <w:szCs w:val="22"/>
          <w:lang w:val="en-US"/>
        </w:rPr>
        <w:t>“The decision challenged by the City and the reasons therefor were its own and were always within its knowledge. Section 7(1) unambiguously refers to the date on which the reasons for administrative action became known or ought reasonably to have become known to the party seeking its judicial review. The plain wording of these provisions simply does not support the meaning ascribed to them by the court a quo, ie that the application must be launched within 180 days after the party seeking review became aware that the administrative action in issue was tainted by irregularity. That interpretation would automatically entitle every aggrieved applicant to an unqualified right to institute judicial review only upon gaining knowledge that a decision (and its underlying reasons), of which he or she had been aware all along, was tainted by irregularity, whenever that might be. This result is untenable as it disregards the potential prejudice to the respondent (the appellant here) and the public interest in the finality of administrative decisions and the exercise of administrative functions.”</w:t>
      </w:r>
      <w:bookmarkStart w:id="3" w:name="0-0-0-186629"/>
      <w:bookmarkEnd w:id="3"/>
      <w:r w:rsidR="00CF0066" w:rsidRPr="00C67A23">
        <w:rPr>
          <w:rFonts w:asciiTheme="minorBidi" w:hAnsiTheme="minorBidi" w:cstheme="minorBidi"/>
          <w:color w:val="242121"/>
          <w:sz w:val="22"/>
          <w:szCs w:val="22"/>
        </w:rPr>
        <w:t>’</w:t>
      </w:r>
      <w:r w:rsidR="00C67A23">
        <w:rPr>
          <w:rStyle w:val="FootnoteReference"/>
          <w:rFonts w:asciiTheme="minorBidi" w:hAnsiTheme="minorBidi" w:cstheme="minorBidi"/>
          <w:color w:val="242121"/>
          <w:sz w:val="22"/>
          <w:szCs w:val="22"/>
        </w:rPr>
        <w:footnoteReference w:id="25"/>
      </w:r>
      <w:r w:rsidR="00C67A23" w:rsidRPr="00C67A23">
        <w:rPr>
          <w:rFonts w:asciiTheme="minorBidi" w:hAnsiTheme="minorBidi" w:cstheme="minorBidi"/>
          <w:sz w:val="22"/>
          <w:szCs w:val="22"/>
        </w:rPr>
        <w:t xml:space="preserve"> </w:t>
      </w:r>
    </w:p>
    <w:p w14:paraId="3FE0A320" w14:textId="77777777" w:rsidR="004F1402" w:rsidRPr="004F1402" w:rsidRDefault="004F1402" w:rsidP="00F91FE2">
      <w:pPr>
        <w:tabs>
          <w:tab w:val="left" w:pos="709"/>
        </w:tabs>
        <w:spacing w:line="360" w:lineRule="auto"/>
        <w:jc w:val="both"/>
        <w:rPr>
          <w:rFonts w:asciiTheme="minorBidi" w:hAnsiTheme="minorBidi" w:cstheme="minorBidi"/>
        </w:rPr>
      </w:pPr>
    </w:p>
    <w:p w14:paraId="27DED3C6" w14:textId="6BACACC2" w:rsidR="00D15870" w:rsidRDefault="00294C40" w:rsidP="00D15870">
      <w:pPr>
        <w:pStyle w:val="ListParagraph"/>
        <w:numPr>
          <w:ilvl w:val="0"/>
          <w:numId w:val="8"/>
        </w:numPr>
        <w:tabs>
          <w:tab w:val="left" w:pos="709"/>
        </w:tabs>
        <w:spacing w:line="360" w:lineRule="auto"/>
        <w:ind w:left="0" w:firstLine="0"/>
        <w:jc w:val="both"/>
        <w:rPr>
          <w:rFonts w:asciiTheme="minorBidi" w:hAnsiTheme="minorBidi" w:cstheme="minorBidi"/>
          <w:color w:val="242121"/>
          <w:lang w:val="en-GB"/>
        </w:rPr>
      </w:pPr>
      <w:r>
        <w:rPr>
          <w:rFonts w:asciiTheme="minorBidi" w:hAnsiTheme="minorBidi" w:cstheme="minorBidi"/>
          <w:color w:val="242121"/>
          <w:lang w:val="en-GB"/>
        </w:rPr>
        <w:t>The delay has</w:t>
      </w:r>
      <w:r w:rsidR="00F91FE2">
        <w:rPr>
          <w:rFonts w:asciiTheme="minorBidi" w:hAnsiTheme="minorBidi" w:cstheme="minorBidi"/>
          <w:color w:val="242121"/>
          <w:lang w:val="en-GB"/>
        </w:rPr>
        <w:t>,</w:t>
      </w:r>
      <w:r>
        <w:rPr>
          <w:rFonts w:asciiTheme="minorBidi" w:hAnsiTheme="minorBidi" w:cstheme="minorBidi"/>
          <w:color w:val="242121"/>
          <w:lang w:val="en-GB"/>
        </w:rPr>
        <w:t xml:space="preserve"> without question</w:t>
      </w:r>
      <w:r w:rsidR="00F91FE2">
        <w:rPr>
          <w:rFonts w:asciiTheme="minorBidi" w:hAnsiTheme="minorBidi" w:cstheme="minorBidi"/>
          <w:color w:val="242121"/>
          <w:lang w:val="en-GB"/>
        </w:rPr>
        <w:t>,</w:t>
      </w:r>
      <w:r>
        <w:rPr>
          <w:rFonts w:asciiTheme="minorBidi" w:hAnsiTheme="minorBidi" w:cstheme="minorBidi"/>
          <w:color w:val="242121"/>
          <w:lang w:val="en-GB"/>
        </w:rPr>
        <w:t xml:space="preserve"> occasioned prejudice to the respondents</w:t>
      </w:r>
      <w:r w:rsidR="00F91FE2">
        <w:rPr>
          <w:rFonts w:asciiTheme="minorBidi" w:hAnsiTheme="minorBidi" w:cstheme="minorBidi"/>
          <w:color w:val="242121"/>
          <w:lang w:val="en-GB"/>
        </w:rPr>
        <w:t xml:space="preserve"> and it offends the principle of finality</w:t>
      </w:r>
      <w:r>
        <w:rPr>
          <w:rFonts w:asciiTheme="minorBidi" w:hAnsiTheme="minorBidi" w:cstheme="minorBidi"/>
          <w:color w:val="242121"/>
          <w:lang w:val="en-GB"/>
        </w:rPr>
        <w:t>. The first respondent, being the first of the respondents to have his employment terms altered</w:t>
      </w:r>
      <w:r w:rsidR="00F91FE2">
        <w:rPr>
          <w:rFonts w:asciiTheme="minorBidi" w:hAnsiTheme="minorBidi" w:cstheme="minorBidi"/>
          <w:color w:val="242121"/>
          <w:lang w:val="en-GB"/>
        </w:rPr>
        <w:t>,</w:t>
      </w:r>
      <w:r>
        <w:rPr>
          <w:rFonts w:asciiTheme="minorBidi" w:hAnsiTheme="minorBidi" w:cstheme="minorBidi"/>
          <w:color w:val="242121"/>
          <w:lang w:val="en-GB"/>
        </w:rPr>
        <w:t xml:space="preserve"> can only have believed </w:t>
      </w:r>
      <w:r w:rsidR="006F56AE">
        <w:rPr>
          <w:rFonts w:asciiTheme="minorBidi" w:hAnsiTheme="minorBidi" w:cstheme="minorBidi"/>
          <w:color w:val="242121"/>
          <w:lang w:val="en-GB"/>
        </w:rPr>
        <w:t>the issue of his employment</w:t>
      </w:r>
      <w:r>
        <w:rPr>
          <w:rFonts w:asciiTheme="minorBidi" w:hAnsiTheme="minorBidi" w:cstheme="minorBidi"/>
          <w:color w:val="242121"/>
          <w:lang w:val="en-GB"/>
        </w:rPr>
        <w:t xml:space="preserve"> was finalised given the length of time before these proceedings were brought. </w:t>
      </w:r>
      <w:r w:rsidR="00A54A38">
        <w:rPr>
          <w:rFonts w:asciiTheme="minorBidi" w:hAnsiTheme="minorBidi" w:cstheme="minorBidi"/>
          <w:color w:val="242121"/>
          <w:lang w:val="en-GB"/>
        </w:rPr>
        <w:t>If the application is to be granted, his employment</w:t>
      </w:r>
      <w:r w:rsidR="00F91FE2">
        <w:rPr>
          <w:rFonts w:asciiTheme="minorBidi" w:hAnsiTheme="minorBidi" w:cstheme="minorBidi"/>
          <w:color w:val="242121"/>
          <w:lang w:val="en-GB"/>
        </w:rPr>
        <w:t>, which must be regarded by him as being entirely secure,</w:t>
      </w:r>
      <w:r w:rsidR="00A54A38">
        <w:rPr>
          <w:rFonts w:asciiTheme="minorBidi" w:hAnsiTheme="minorBidi" w:cstheme="minorBidi"/>
          <w:color w:val="242121"/>
          <w:lang w:val="en-GB"/>
        </w:rPr>
        <w:t xml:space="preserve"> is placed at serious risk. </w:t>
      </w:r>
      <w:r w:rsidR="00570877">
        <w:rPr>
          <w:rFonts w:asciiTheme="minorBidi" w:hAnsiTheme="minorBidi" w:cstheme="minorBidi"/>
          <w:color w:val="242121"/>
          <w:lang w:val="en-GB"/>
        </w:rPr>
        <w:t xml:space="preserve">I mentioned </w:t>
      </w:r>
      <w:r w:rsidR="004F1402">
        <w:rPr>
          <w:rFonts w:asciiTheme="minorBidi" w:hAnsiTheme="minorBidi" w:cstheme="minorBidi"/>
          <w:color w:val="242121"/>
          <w:lang w:val="en-GB"/>
        </w:rPr>
        <w:t xml:space="preserve">earlier </w:t>
      </w:r>
      <w:r w:rsidR="00570877">
        <w:rPr>
          <w:rFonts w:asciiTheme="minorBidi" w:hAnsiTheme="minorBidi" w:cstheme="minorBidi"/>
          <w:color w:val="242121"/>
          <w:lang w:val="en-GB"/>
        </w:rPr>
        <w:t xml:space="preserve">that I had reservations about whether the respondents would remain in the employ of the applicant if the relief claimed in the notice of motion is granted. The notice of motion </w:t>
      </w:r>
      <w:r w:rsidR="004F1402">
        <w:rPr>
          <w:rFonts w:asciiTheme="minorBidi" w:hAnsiTheme="minorBidi" w:cstheme="minorBidi"/>
          <w:color w:val="242121"/>
          <w:lang w:val="en-GB"/>
        </w:rPr>
        <w:t>seeks a declaration that the impugned decision taken by the Board was invalid and is to be set aside</w:t>
      </w:r>
      <w:r w:rsidR="00C42C02">
        <w:rPr>
          <w:rFonts w:asciiTheme="minorBidi" w:hAnsiTheme="minorBidi" w:cstheme="minorBidi"/>
          <w:color w:val="242121"/>
          <w:lang w:val="en-GB"/>
        </w:rPr>
        <w:t xml:space="preserve"> but that the declaration</w:t>
      </w:r>
      <w:r w:rsidR="00D15870">
        <w:rPr>
          <w:rFonts w:asciiTheme="minorBidi" w:hAnsiTheme="minorBidi" w:cstheme="minorBidi"/>
          <w:color w:val="242121"/>
          <w:lang w:val="en-GB"/>
        </w:rPr>
        <w:t xml:space="preserve"> is, however, to be suspended for six months. </w:t>
      </w:r>
      <w:r w:rsidR="000971A3">
        <w:rPr>
          <w:rFonts w:asciiTheme="minorBidi" w:hAnsiTheme="minorBidi" w:cstheme="minorBidi"/>
          <w:color w:val="242121"/>
          <w:lang w:val="en-GB"/>
        </w:rPr>
        <w:lastRenderedPageBreak/>
        <w:t>However, i</w:t>
      </w:r>
      <w:r w:rsidR="00D15870">
        <w:rPr>
          <w:rFonts w:asciiTheme="minorBidi" w:hAnsiTheme="minorBidi" w:cstheme="minorBidi"/>
          <w:color w:val="242121"/>
          <w:lang w:val="en-GB"/>
        </w:rPr>
        <w:t>n sub-paragraphs 1.2 to 1.5 of the notice of motion</w:t>
      </w:r>
      <w:r w:rsidR="00AE0210">
        <w:rPr>
          <w:rFonts w:asciiTheme="minorBidi" w:hAnsiTheme="minorBidi" w:cstheme="minorBidi"/>
          <w:color w:val="242121"/>
          <w:lang w:val="en-GB"/>
        </w:rPr>
        <w:t>,</w:t>
      </w:r>
      <w:r w:rsidR="00D15870">
        <w:rPr>
          <w:rFonts w:asciiTheme="minorBidi" w:hAnsiTheme="minorBidi" w:cstheme="minorBidi"/>
          <w:color w:val="242121"/>
          <w:lang w:val="en-GB"/>
        </w:rPr>
        <w:t xml:space="preserve"> the applicant seeks </w:t>
      </w:r>
      <w:r w:rsidR="00313CBE">
        <w:rPr>
          <w:rFonts w:asciiTheme="minorBidi" w:hAnsiTheme="minorBidi" w:cstheme="minorBidi"/>
          <w:color w:val="242121"/>
          <w:lang w:val="en-GB"/>
        </w:rPr>
        <w:t xml:space="preserve">to </w:t>
      </w:r>
      <w:r w:rsidR="00D15870">
        <w:rPr>
          <w:rFonts w:asciiTheme="minorBidi" w:hAnsiTheme="minorBidi" w:cstheme="minorBidi"/>
          <w:color w:val="242121"/>
          <w:lang w:val="en-GB"/>
        </w:rPr>
        <w:t xml:space="preserve">review and set aside </w:t>
      </w:r>
      <w:r w:rsidR="00C42C02">
        <w:rPr>
          <w:rFonts w:asciiTheme="minorBidi" w:hAnsiTheme="minorBidi" w:cstheme="minorBidi"/>
          <w:color w:val="242121"/>
          <w:lang w:val="en-GB"/>
        </w:rPr>
        <w:t xml:space="preserve">each </w:t>
      </w:r>
      <w:r w:rsidR="00D15870">
        <w:rPr>
          <w:rFonts w:asciiTheme="minorBidi" w:hAnsiTheme="minorBidi" w:cstheme="minorBidi"/>
          <w:color w:val="242121"/>
          <w:lang w:val="en-GB"/>
        </w:rPr>
        <w:t xml:space="preserve">of the </w:t>
      </w:r>
      <w:r w:rsidR="00C42C02">
        <w:rPr>
          <w:rFonts w:asciiTheme="minorBidi" w:hAnsiTheme="minorBidi" w:cstheme="minorBidi"/>
          <w:color w:val="242121"/>
          <w:lang w:val="en-GB"/>
        </w:rPr>
        <w:t xml:space="preserve">contracts of </w:t>
      </w:r>
      <w:r w:rsidR="00D15870">
        <w:rPr>
          <w:rFonts w:asciiTheme="minorBidi" w:hAnsiTheme="minorBidi" w:cstheme="minorBidi"/>
          <w:color w:val="242121"/>
          <w:lang w:val="en-GB"/>
        </w:rPr>
        <w:t xml:space="preserve">permanent employment of the four respondents. Those orders are not to be suspended: it is only the declaration of invalidity of the impugned decision that is to be suspended. </w:t>
      </w:r>
      <w:r w:rsidR="00D15B5E">
        <w:rPr>
          <w:rFonts w:asciiTheme="minorBidi" w:hAnsiTheme="minorBidi" w:cstheme="minorBidi"/>
          <w:color w:val="242121"/>
          <w:lang w:val="en-GB"/>
        </w:rPr>
        <w:t>T</w:t>
      </w:r>
      <w:r w:rsidR="00570877">
        <w:rPr>
          <w:rFonts w:asciiTheme="minorBidi" w:hAnsiTheme="minorBidi" w:cstheme="minorBidi"/>
          <w:color w:val="242121"/>
          <w:lang w:val="en-GB"/>
        </w:rPr>
        <w:t xml:space="preserve">he </w:t>
      </w:r>
      <w:r w:rsidR="00D15870">
        <w:rPr>
          <w:rFonts w:asciiTheme="minorBidi" w:hAnsiTheme="minorBidi" w:cstheme="minorBidi"/>
          <w:color w:val="242121"/>
          <w:lang w:val="en-GB"/>
        </w:rPr>
        <w:t>first respondent will</w:t>
      </w:r>
      <w:r w:rsidR="00D15B5E">
        <w:rPr>
          <w:rFonts w:asciiTheme="minorBidi" w:hAnsiTheme="minorBidi" w:cstheme="minorBidi"/>
          <w:color w:val="242121"/>
          <w:lang w:val="en-GB"/>
        </w:rPr>
        <w:t xml:space="preserve"> thus</w:t>
      </w:r>
      <w:r w:rsidR="00D15870">
        <w:rPr>
          <w:rFonts w:asciiTheme="minorBidi" w:hAnsiTheme="minorBidi" w:cstheme="minorBidi"/>
          <w:color w:val="242121"/>
          <w:lang w:val="en-GB"/>
        </w:rPr>
        <w:t xml:space="preserve"> be rendered unemployed </w:t>
      </w:r>
      <w:r w:rsidR="00CB4142">
        <w:rPr>
          <w:rFonts w:asciiTheme="minorBidi" w:hAnsiTheme="minorBidi" w:cstheme="minorBidi"/>
          <w:color w:val="242121"/>
          <w:lang w:val="en-GB"/>
        </w:rPr>
        <w:t xml:space="preserve">as </w:t>
      </w:r>
      <w:r w:rsidR="00D15870">
        <w:rPr>
          <w:rFonts w:asciiTheme="minorBidi" w:hAnsiTheme="minorBidi" w:cstheme="minorBidi"/>
          <w:color w:val="242121"/>
          <w:lang w:val="en-GB"/>
        </w:rPr>
        <w:t>his fixed term contract has long since ended through the effluxion of time. The potential prejudice is therefore tangible.</w:t>
      </w:r>
    </w:p>
    <w:p w14:paraId="2A6F21E8" w14:textId="77777777" w:rsidR="00D15870" w:rsidRDefault="00D15870" w:rsidP="00D15870">
      <w:pPr>
        <w:pStyle w:val="ListParagraph"/>
        <w:tabs>
          <w:tab w:val="left" w:pos="709"/>
        </w:tabs>
        <w:spacing w:line="360" w:lineRule="auto"/>
        <w:ind w:left="0"/>
        <w:jc w:val="both"/>
        <w:rPr>
          <w:rFonts w:asciiTheme="minorBidi" w:hAnsiTheme="minorBidi" w:cstheme="minorBidi"/>
          <w:color w:val="242121"/>
          <w:lang w:val="en-GB"/>
        </w:rPr>
      </w:pPr>
    </w:p>
    <w:p w14:paraId="047485FF" w14:textId="63E50A25" w:rsidR="005C78FC" w:rsidRPr="005C78FC" w:rsidRDefault="00D15870" w:rsidP="005C78FC">
      <w:pPr>
        <w:pStyle w:val="ListParagraph"/>
        <w:numPr>
          <w:ilvl w:val="0"/>
          <w:numId w:val="8"/>
        </w:numPr>
        <w:tabs>
          <w:tab w:val="left" w:pos="709"/>
        </w:tabs>
        <w:spacing w:line="360" w:lineRule="auto"/>
        <w:ind w:left="0" w:firstLine="0"/>
        <w:jc w:val="both"/>
        <w:rPr>
          <w:rFonts w:asciiTheme="minorBidi" w:hAnsiTheme="minorBidi" w:cstheme="minorBidi"/>
          <w:color w:val="242121"/>
          <w:lang w:val="en-GB"/>
        </w:rPr>
      </w:pPr>
      <w:r>
        <w:rPr>
          <w:rFonts w:asciiTheme="minorBidi" w:hAnsiTheme="minorBidi" w:cstheme="minorBidi"/>
          <w:color w:val="242121"/>
          <w:lang w:val="en-GB"/>
        </w:rPr>
        <w:t xml:space="preserve"> </w:t>
      </w:r>
      <w:r w:rsidR="00A54A38" w:rsidRPr="00D15870">
        <w:rPr>
          <w:rFonts w:asciiTheme="minorBidi" w:hAnsiTheme="minorBidi" w:cstheme="minorBidi"/>
          <w:color w:val="242121"/>
          <w:lang w:val="en-GB"/>
        </w:rPr>
        <w:t xml:space="preserve">The applicant conceived of the plan to convert the employment contracts of the respondents and carried that plan out. It knew why that plan was implemented but has </w:t>
      </w:r>
      <w:r w:rsidR="005C78FC">
        <w:rPr>
          <w:rFonts w:asciiTheme="minorBidi" w:hAnsiTheme="minorBidi" w:cstheme="minorBidi"/>
          <w:color w:val="242121"/>
          <w:lang w:val="en-GB"/>
        </w:rPr>
        <w:t>the</w:t>
      </w:r>
      <w:r w:rsidR="000971A3">
        <w:rPr>
          <w:rFonts w:asciiTheme="minorBidi" w:hAnsiTheme="minorBidi" w:cstheme="minorBidi"/>
          <w:color w:val="242121"/>
          <w:lang w:val="en-GB"/>
        </w:rPr>
        <w:t>reafter</w:t>
      </w:r>
      <w:bookmarkStart w:id="4" w:name="_GoBack"/>
      <w:bookmarkEnd w:id="4"/>
      <w:r w:rsidR="005C78FC">
        <w:rPr>
          <w:rFonts w:asciiTheme="minorBidi" w:hAnsiTheme="minorBidi" w:cstheme="minorBidi"/>
          <w:color w:val="242121"/>
          <w:lang w:val="en-GB"/>
        </w:rPr>
        <w:t xml:space="preserve"> reposed in a catatonic like state.</w:t>
      </w:r>
      <w:r w:rsidR="00A54A38" w:rsidRPr="00D15870">
        <w:rPr>
          <w:rFonts w:asciiTheme="minorBidi" w:hAnsiTheme="minorBidi" w:cstheme="minorBidi"/>
          <w:color w:val="242121"/>
          <w:lang w:val="en-GB"/>
        </w:rPr>
        <w:t xml:space="preserve"> It now suggests that </w:t>
      </w:r>
      <w:r w:rsidR="005C78FC">
        <w:rPr>
          <w:rFonts w:asciiTheme="minorBidi" w:hAnsiTheme="minorBidi" w:cstheme="minorBidi"/>
          <w:color w:val="242121"/>
          <w:lang w:val="en-GB"/>
        </w:rPr>
        <w:t>its</w:t>
      </w:r>
      <w:r w:rsidR="00A54A38" w:rsidRPr="00D15870">
        <w:rPr>
          <w:rFonts w:asciiTheme="minorBidi" w:hAnsiTheme="minorBidi" w:cstheme="minorBidi"/>
          <w:color w:val="242121"/>
          <w:lang w:val="en-GB"/>
        </w:rPr>
        <w:t xml:space="preserve"> lengthy period of inactivity should be disregarded </w:t>
      </w:r>
      <w:r w:rsidR="005C78FC">
        <w:rPr>
          <w:rFonts w:asciiTheme="minorBidi" w:hAnsiTheme="minorBidi" w:cstheme="minorBidi"/>
          <w:color w:val="242121"/>
          <w:lang w:val="en-GB"/>
        </w:rPr>
        <w:t xml:space="preserve">on the flimsiest of explanations </w:t>
      </w:r>
      <w:r w:rsidR="00A54A38" w:rsidRPr="00D15870">
        <w:rPr>
          <w:rFonts w:asciiTheme="minorBidi" w:hAnsiTheme="minorBidi" w:cstheme="minorBidi"/>
          <w:color w:val="242121"/>
          <w:lang w:val="en-GB"/>
        </w:rPr>
        <w:t xml:space="preserve">and that it </w:t>
      </w:r>
      <w:r w:rsidR="00A65F79">
        <w:rPr>
          <w:rFonts w:asciiTheme="minorBidi" w:hAnsiTheme="minorBidi" w:cstheme="minorBidi"/>
          <w:color w:val="242121"/>
          <w:lang w:val="en-GB"/>
        </w:rPr>
        <w:t xml:space="preserve">should </w:t>
      </w:r>
      <w:r w:rsidR="00A54A38" w:rsidRPr="00D15870">
        <w:rPr>
          <w:rFonts w:asciiTheme="minorBidi" w:hAnsiTheme="minorBidi" w:cstheme="minorBidi"/>
          <w:color w:val="242121"/>
          <w:lang w:val="en-GB"/>
        </w:rPr>
        <w:t xml:space="preserve">be allowed to act in a fashion that could cause substantial prejudice to the respondents. </w:t>
      </w:r>
      <w:r w:rsidR="005C78FC">
        <w:rPr>
          <w:rFonts w:asciiTheme="minorBidi" w:hAnsiTheme="minorBidi" w:cstheme="minorBidi"/>
          <w:color w:val="242121"/>
          <w:lang w:val="en-GB"/>
        </w:rPr>
        <w:t>Notwithstanding that t</w:t>
      </w:r>
      <w:r w:rsidR="00A54A38" w:rsidRPr="00D15870">
        <w:rPr>
          <w:rFonts w:asciiTheme="minorBidi" w:hAnsiTheme="minorBidi" w:cstheme="minorBidi"/>
          <w:color w:val="242121"/>
          <w:lang w:val="en-GB"/>
        </w:rPr>
        <w:t xml:space="preserve">he applicant </w:t>
      </w:r>
      <w:r w:rsidR="00971862" w:rsidRPr="00D15870">
        <w:rPr>
          <w:rFonts w:asciiTheme="minorBidi" w:hAnsiTheme="minorBidi" w:cstheme="minorBidi"/>
          <w:color w:val="242121"/>
          <w:lang w:val="en-GB"/>
        </w:rPr>
        <w:t>has dwelt on the matter for several years</w:t>
      </w:r>
      <w:r w:rsidR="00271CA3">
        <w:rPr>
          <w:rFonts w:asciiTheme="minorBidi" w:hAnsiTheme="minorBidi" w:cstheme="minorBidi"/>
          <w:color w:val="242121"/>
          <w:lang w:val="en-GB"/>
        </w:rPr>
        <w:t>,</w:t>
      </w:r>
      <w:r w:rsidR="00971862" w:rsidRPr="00D15870">
        <w:rPr>
          <w:rFonts w:asciiTheme="minorBidi" w:hAnsiTheme="minorBidi" w:cstheme="minorBidi"/>
          <w:color w:val="242121"/>
          <w:lang w:val="en-GB"/>
        </w:rPr>
        <w:t xml:space="preserve"> </w:t>
      </w:r>
      <w:r w:rsidR="005C78FC">
        <w:rPr>
          <w:rFonts w:asciiTheme="minorBidi" w:hAnsiTheme="minorBidi" w:cstheme="minorBidi"/>
          <w:color w:val="242121"/>
          <w:lang w:val="en-GB"/>
        </w:rPr>
        <w:t>it</w:t>
      </w:r>
      <w:r w:rsidR="00971862" w:rsidRPr="00D15870">
        <w:rPr>
          <w:rFonts w:asciiTheme="minorBidi" w:hAnsiTheme="minorBidi" w:cstheme="minorBidi"/>
          <w:color w:val="242121"/>
          <w:lang w:val="en-GB"/>
        </w:rPr>
        <w:t xml:space="preserve"> has never once discussed its misgivings about the </w:t>
      </w:r>
      <w:r w:rsidR="005C78FC">
        <w:rPr>
          <w:rFonts w:asciiTheme="minorBidi" w:hAnsiTheme="minorBidi" w:cstheme="minorBidi"/>
          <w:color w:val="242121"/>
          <w:lang w:val="en-GB"/>
        </w:rPr>
        <w:t>valid</w:t>
      </w:r>
      <w:r w:rsidR="00971862" w:rsidRPr="00D15870">
        <w:rPr>
          <w:rFonts w:asciiTheme="minorBidi" w:hAnsiTheme="minorBidi" w:cstheme="minorBidi"/>
          <w:color w:val="242121"/>
          <w:lang w:val="en-GB"/>
        </w:rPr>
        <w:t xml:space="preserve">ity of what occurred with the first respondent. He makes that point repeatedly in his answering affidavit. As his employer, the first respondent was entitled to believe that </w:t>
      </w:r>
      <w:r w:rsidR="00D10A78" w:rsidRPr="00D15870">
        <w:rPr>
          <w:rFonts w:asciiTheme="minorBidi" w:hAnsiTheme="minorBidi" w:cstheme="minorBidi"/>
          <w:color w:val="242121"/>
          <w:lang w:val="en-GB"/>
        </w:rPr>
        <w:t>the applicant would behave in a fair manner towards him</w:t>
      </w:r>
      <w:r w:rsidR="004F7570">
        <w:rPr>
          <w:rStyle w:val="FootnoteReference"/>
          <w:rFonts w:asciiTheme="minorBidi" w:hAnsiTheme="minorBidi" w:cstheme="minorBidi"/>
          <w:color w:val="242121"/>
          <w:lang w:val="en-GB"/>
        </w:rPr>
        <w:footnoteReference w:id="26"/>
      </w:r>
      <w:r w:rsidR="0060402C" w:rsidRPr="00D15870">
        <w:rPr>
          <w:rFonts w:asciiTheme="minorBidi" w:hAnsiTheme="minorBidi" w:cstheme="minorBidi"/>
          <w:color w:val="242121"/>
          <w:lang w:val="en-GB"/>
        </w:rPr>
        <w:t xml:space="preserve"> and after satisfying itself that it had complied with its own internal prescripts</w:t>
      </w:r>
      <w:r w:rsidR="00D10A78" w:rsidRPr="00D15870">
        <w:rPr>
          <w:rFonts w:asciiTheme="minorBidi" w:hAnsiTheme="minorBidi" w:cstheme="minorBidi"/>
          <w:color w:val="242121"/>
          <w:lang w:val="en-GB"/>
        </w:rPr>
        <w:t>.</w:t>
      </w:r>
      <w:r w:rsidR="00D10A78">
        <w:rPr>
          <w:rStyle w:val="FootnoteReference"/>
          <w:rFonts w:asciiTheme="minorBidi" w:hAnsiTheme="minorBidi" w:cstheme="minorBidi"/>
          <w:color w:val="242121"/>
          <w:lang w:val="en-GB"/>
        </w:rPr>
        <w:footnoteReference w:id="27"/>
      </w:r>
      <w:r w:rsidR="00D10A78" w:rsidRPr="00D15870">
        <w:rPr>
          <w:rFonts w:asciiTheme="minorBidi" w:hAnsiTheme="minorBidi" w:cstheme="minorBidi"/>
          <w:color w:val="242121"/>
          <w:lang w:val="en-GB"/>
        </w:rPr>
        <w:t xml:space="preserve"> The same applies to the other respondents. It seems to me that the applicant has </w:t>
      </w:r>
      <w:r w:rsidR="00F91FE2" w:rsidRPr="00D15870">
        <w:rPr>
          <w:rFonts w:asciiTheme="minorBidi" w:hAnsiTheme="minorBidi" w:cstheme="minorBidi"/>
          <w:color w:val="242121"/>
          <w:lang w:val="en-GB"/>
        </w:rPr>
        <w:t>not done so</w:t>
      </w:r>
      <w:r w:rsidR="00D10A78" w:rsidRPr="00D15870">
        <w:rPr>
          <w:rFonts w:asciiTheme="minorBidi" w:hAnsiTheme="minorBidi" w:cstheme="minorBidi"/>
          <w:color w:val="242121"/>
          <w:lang w:val="en-GB"/>
        </w:rPr>
        <w:t>.</w:t>
      </w:r>
      <w:r w:rsidR="005C78FC">
        <w:rPr>
          <w:rFonts w:asciiTheme="minorBidi" w:hAnsiTheme="minorBidi" w:cstheme="minorBidi"/>
          <w:color w:val="242121"/>
          <w:lang w:val="en-GB"/>
        </w:rPr>
        <w:t xml:space="preserve"> </w:t>
      </w:r>
      <w:r w:rsidR="005C78FC" w:rsidRPr="005C78FC">
        <w:rPr>
          <w:rFonts w:asciiTheme="minorBidi" w:hAnsiTheme="minorBidi" w:cstheme="minorBidi"/>
          <w:color w:val="242121"/>
          <w:lang w:val="en-GB"/>
        </w:rPr>
        <w:t xml:space="preserve">In my view, the matter does not appear to involve a serious breach of any </w:t>
      </w:r>
      <w:r w:rsidR="00356F18" w:rsidRPr="005C78FC">
        <w:rPr>
          <w:rFonts w:asciiTheme="minorBidi" w:hAnsiTheme="minorBidi" w:cstheme="minorBidi"/>
          <w:color w:val="242121"/>
          <w:lang w:val="en-GB"/>
        </w:rPr>
        <w:t xml:space="preserve">constitutional </w:t>
      </w:r>
      <w:r w:rsidR="005C78FC" w:rsidRPr="005C78FC">
        <w:rPr>
          <w:rFonts w:asciiTheme="minorBidi" w:hAnsiTheme="minorBidi" w:cstheme="minorBidi"/>
          <w:color w:val="242121"/>
          <w:lang w:val="en-GB"/>
        </w:rPr>
        <w:t>duty. I am fortified in this view by the fact that the applicant has not been able to clearly establish the illegality of the impugned decision and does not have reasonable prospects of success on the merits of the review.</w:t>
      </w:r>
    </w:p>
    <w:p w14:paraId="05452A68" w14:textId="77777777" w:rsidR="005C78FC" w:rsidRPr="005C78FC" w:rsidRDefault="005C78FC" w:rsidP="005C78FC">
      <w:pPr>
        <w:pStyle w:val="ListParagraph"/>
        <w:spacing w:line="360" w:lineRule="auto"/>
        <w:rPr>
          <w:rFonts w:asciiTheme="minorBidi" w:hAnsiTheme="minorBidi" w:cstheme="minorBidi"/>
          <w:color w:val="242121"/>
          <w:lang w:val="en-GB"/>
        </w:rPr>
      </w:pPr>
    </w:p>
    <w:p w14:paraId="4978960C" w14:textId="77777777" w:rsidR="005F2B00" w:rsidRPr="005C78FC" w:rsidRDefault="00413C81" w:rsidP="005C78FC">
      <w:pPr>
        <w:pStyle w:val="ListParagraph"/>
        <w:numPr>
          <w:ilvl w:val="0"/>
          <w:numId w:val="8"/>
        </w:numPr>
        <w:tabs>
          <w:tab w:val="left" w:pos="709"/>
        </w:tabs>
        <w:spacing w:line="360" w:lineRule="auto"/>
        <w:ind w:left="0" w:firstLine="0"/>
        <w:jc w:val="both"/>
        <w:rPr>
          <w:rFonts w:asciiTheme="minorBidi" w:hAnsiTheme="minorBidi" w:cstheme="minorBidi"/>
          <w:color w:val="242121"/>
          <w:lang w:val="en-GB"/>
        </w:rPr>
      </w:pPr>
      <w:r w:rsidRPr="005C78FC">
        <w:rPr>
          <w:rFonts w:asciiTheme="minorBidi" w:hAnsiTheme="minorBidi" w:cstheme="minorBidi"/>
          <w:color w:val="242121"/>
          <w:lang w:val="en-GB"/>
        </w:rPr>
        <w:t xml:space="preserve">Ponnan JA stated in </w:t>
      </w:r>
      <w:r w:rsidRPr="005C78FC">
        <w:rPr>
          <w:rFonts w:asciiTheme="minorBidi" w:hAnsiTheme="minorBidi" w:cstheme="minorBidi"/>
          <w:i/>
          <w:iCs/>
          <w:color w:val="242121"/>
          <w:lang w:val="en-GB"/>
        </w:rPr>
        <w:t>Altech</w:t>
      </w:r>
      <w:r w:rsidRPr="00C6355A">
        <w:rPr>
          <w:rStyle w:val="FootnoteReference"/>
          <w:rFonts w:asciiTheme="minorBidi" w:hAnsiTheme="minorBidi" w:cstheme="minorBidi"/>
          <w:color w:val="242121"/>
          <w:lang w:val="en-GB"/>
        </w:rPr>
        <w:footnoteReference w:id="28"/>
      </w:r>
      <w:r w:rsidRPr="005C78FC">
        <w:rPr>
          <w:rFonts w:asciiTheme="minorBidi" w:hAnsiTheme="minorBidi" w:cstheme="minorBidi"/>
          <w:color w:val="242121"/>
          <w:lang w:val="en-GB"/>
        </w:rPr>
        <w:t xml:space="preserve"> that:</w:t>
      </w:r>
    </w:p>
    <w:p w14:paraId="32212207" w14:textId="77777777" w:rsidR="00413C81" w:rsidRPr="00413C81" w:rsidRDefault="00413C81" w:rsidP="00413C81">
      <w:pPr>
        <w:spacing w:line="360" w:lineRule="auto"/>
        <w:jc w:val="both"/>
        <w:rPr>
          <w:rFonts w:asciiTheme="minorBidi" w:hAnsiTheme="minorBidi" w:cstheme="minorBidi"/>
          <w:sz w:val="22"/>
          <w:szCs w:val="22"/>
        </w:rPr>
      </w:pPr>
      <w:r w:rsidRPr="00413C81">
        <w:rPr>
          <w:rFonts w:asciiTheme="minorBidi" w:hAnsiTheme="minorBidi" w:cstheme="minorBidi"/>
          <w:color w:val="242121"/>
          <w:sz w:val="22"/>
          <w:szCs w:val="22"/>
          <w:lang w:val="en-GB"/>
        </w:rPr>
        <w:t>‘</w:t>
      </w:r>
      <w:r w:rsidR="003A25B3" w:rsidRPr="003A25B3">
        <w:rPr>
          <w:rFonts w:asciiTheme="minorBidi" w:hAnsiTheme="minorBidi" w:cstheme="minorBidi"/>
          <w:color w:val="242121"/>
          <w:sz w:val="22"/>
          <w:szCs w:val="22"/>
          <w:lang w:val="en-US"/>
        </w:rPr>
        <w:t>The objective of state self-review should be to promote open, responsive and accountable government. The conduct of the City renders the delay so unreasonable that it cannot be condoned without turning a blind eye to its duty to act in a manner that promotes reliance, accountability and rationality, and that is not legally and constitutionally unconscionable. </w:t>
      </w:r>
      <w:bookmarkStart w:id="5" w:name="0-0-0-69963"/>
      <w:bookmarkEnd w:id="5"/>
      <w:r w:rsidR="003A25B3" w:rsidRPr="003A25B3">
        <w:rPr>
          <w:rFonts w:asciiTheme="minorBidi" w:hAnsiTheme="minorBidi" w:cstheme="minorBidi"/>
          <w:color w:val="242121"/>
          <w:sz w:val="22"/>
          <w:szCs w:val="22"/>
          <w:lang w:val="en-US"/>
        </w:rPr>
        <w:t xml:space="preserve">Here the delay is stark and the egregious conduct on the part of the City even starker. The City has </w:t>
      </w:r>
      <w:r w:rsidR="003A25B3" w:rsidRPr="003A25B3">
        <w:rPr>
          <w:rFonts w:asciiTheme="minorBidi" w:hAnsiTheme="minorBidi" w:cstheme="minorBidi"/>
          <w:color w:val="242121"/>
          <w:sz w:val="22"/>
          <w:szCs w:val="22"/>
          <w:lang w:val="en-US"/>
        </w:rPr>
        <w:lastRenderedPageBreak/>
        <w:t>a “higher duty to respect the law”. It is not “an indigent and bewildered litigant, adrift in a sea of litigious uncertainty, to whom the courts must extend a procedure-circumventing lifeline”.</w:t>
      </w:r>
      <w:r w:rsidRPr="00413C81">
        <w:rPr>
          <w:rFonts w:asciiTheme="minorBidi" w:hAnsiTheme="minorBidi" w:cstheme="minorBidi"/>
          <w:color w:val="242121"/>
          <w:sz w:val="22"/>
          <w:szCs w:val="22"/>
          <w:lang w:val="en-GB"/>
        </w:rPr>
        <w:t>’</w:t>
      </w:r>
      <w:r>
        <w:rPr>
          <w:rFonts w:asciiTheme="minorBidi" w:hAnsiTheme="minorBidi" w:cstheme="minorBidi"/>
          <w:color w:val="242121"/>
          <w:sz w:val="22"/>
          <w:szCs w:val="22"/>
          <w:lang w:val="en-GB"/>
        </w:rPr>
        <w:t xml:space="preserve"> </w:t>
      </w:r>
      <w:r w:rsidR="003A25B3">
        <w:rPr>
          <w:rFonts w:asciiTheme="minorBidi" w:hAnsiTheme="minorBidi" w:cstheme="minorBidi"/>
          <w:color w:val="242121"/>
          <w:sz w:val="22"/>
          <w:szCs w:val="22"/>
          <w:lang w:val="en-GB"/>
        </w:rPr>
        <w:t>(F</w:t>
      </w:r>
      <w:r>
        <w:rPr>
          <w:rFonts w:asciiTheme="minorBidi" w:hAnsiTheme="minorBidi" w:cstheme="minorBidi"/>
          <w:color w:val="242121"/>
          <w:sz w:val="22"/>
          <w:szCs w:val="22"/>
          <w:lang w:val="en-GB"/>
        </w:rPr>
        <w:t>ootnotes omitted</w:t>
      </w:r>
      <w:r w:rsidR="003A25B3">
        <w:rPr>
          <w:rFonts w:asciiTheme="minorBidi" w:hAnsiTheme="minorBidi" w:cstheme="minorBidi"/>
          <w:color w:val="242121"/>
          <w:sz w:val="22"/>
          <w:szCs w:val="22"/>
          <w:lang w:val="en-GB"/>
        </w:rPr>
        <w:t>.)</w:t>
      </w:r>
    </w:p>
    <w:p w14:paraId="3C232DF3" w14:textId="77777777" w:rsidR="006D5F36" w:rsidRDefault="006D5F36" w:rsidP="006D5F36">
      <w:pPr>
        <w:pStyle w:val="ListParagraph"/>
        <w:tabs>
          <w:tab w:val="left" w:pos="709"/>
        </w:tabs>
        <w:spacing w:line="360" w:lineRule="auto"/>
        <w:ind w:left="0"/>
        <w:jc w:val="both"/>
        <w:rPr>
          <w:rFonts w:asciiTheme="minorBidi" w:hAnsiTheme="minorBidi" w:cstheme="minorBidi"/>
          <w:color w:val="242121"/>
          <w:lang w:val="en-GB"/>
        </w:rPr>
      </w:pPr>
    </w:p>
    <w:p w14:paraId="2CA6A117" w14:textId="77777777" w:rsidR="001A237F" w:rsidRPr="005C78FC" w:rsidRDefault="00413C81" w:rsidP="005C78FC">
      <w:pPr>
        <w:pStyle w:val="ListParagraph"/>
        <w:numPr>
          <w:ilvl w:val="0"/>
          <w:numId w:val="8"/>
        </w:numPr>
        <w:tabs>
          <w:tab w:val="left" w:pos="709"/>
        </w:tabs>
        <w:spacing w:line="360" w:lineRule="auto"/>
        <w:ind w:left="0" w:firstLine="0"/>
        <w:jc w:val="both"/>
        <w:rPr>
          <w:rFonts w:asciiTheme="minorBidi" w:hAnsiTheme="minorBidi" w:cstheme="minorBidi"/>
          <w:color w:val="242121"/>
          <w:lang w:val="en-GB"/>
        </w:rPr>
      </w:pPr>
      <w:r w:rsidRPr="00915896">
        <w:rPr>
          <w:rFonts w:asciiTheme="minorBidi" w:hAnsiTheme="minorBidi" w:cstheme="minorBidi"/>
          <w:color w:val="242121"/>
          <w:lang w:val="en-GB"/>
        </w:rPr>
        <w:t xml:space="preserve">These words apply with equal measure to the applicant. </w:t>
      </w:r>
      <w:r w:rsidR="00D15870" w:rsidRPr="005C78FC">
        <w:rPr>
          <w:rFonts w:asciiTheme="minorBidi" w:hAnsiTheme="minorBidi" w:cstheme="minorBidi"/>
          <w:color w:val="242121"/>
          <w:lang w:val="en-GB"/>
        </w:rPr>
        <w:t>I</w:t>
      </w:r>
      <w:r w:rsidR="00915896" w:rsidRPr="005C78FC">
        <w:rPr>
          <w:rFonts w:asciiTheme="minorBidi" w:hAnsiTheme="minorBidi" w:cstheme="minorBidi"/>
          <w:color w:val="242121"/>
          <w:lang w:val="en-GB"/>
        </w:rPr>
        <w:t>n the circumstances, I</w:t>
      </w:r>
      <w:r w:rsidR="00D15870" w:rsidRPr="005C78FC">
        <w:rPr>
          <w:rFonts w:asciiTheme="minorBidi" w:hAnsiTheme="minorBidi" w:cstheme="minorBidi"/>
          <w:color w:val="242121"/>
          <w:lang w:val="en-GB"/>
        </w:rPr>
        <w:t xml:space="preserve"> accordingly </w:t>
      </w:r>
      <w:r w:rsidR="001A237F" w:rsidRPr="005C78FC">
        <w:rPr>
          <w:rFonts w:asciiTheme="minorBidi" w:hAnsiTheme="minorBidi" w:cstheme="minorBidi"/>
          <w:color w:val="242121"/>
          <w:lang w:val="en-GB"/>
        </w:rPr>
        <w:t>grant the following order:</w:t>
      </w:r>
    </w:p>
    <w:p w14:paraId="0F7EB2B8" w14:textId="77777777" w:rsidR="001A237F" w:rsidRPr="001A237F" w:rsidRDefault="001A237F" w:rsidP="001A237F">
      <w:pPr>
        <w:pStyle w:val="ListParagraph"/>
        <w:tabs>
          <w:tab w:val="left" w:pos="709"/>
        </w:tabs>
        <w:spacing w:line="360" w:lineRule="auto"/>
        <w:ind w:left="0"/>
        <w:jc w:val="both"/>
      </w:pPr>
      <w:r>
        <w:rPr>
          <w:rFonts w:asciiTheme="minorBidi" w:hAnsiTheme="minorBidi" w:cstheme="minorBidi"/>
          <w:color w:val="242121"/>
          <w:lang w:val="en-GB"/>
        </w:rPr>
        <w:t>The application is dismissed with costs.</w:t>
      </w:r>
    </w:p>
    <w:p w14:paraId="0A9AFBA3" w14:textId="77777777" w:rsidR="001A237F" w:rsidRPr="001A237F" w:rsidRDefault="001A237F" w:rsidP="001A237F"/>
    <w:p w14:paraId="76B457EE" w14:textId="77777777" w:rsidR="00215744" w:rsidRDefault="00215744" w:rsidP="0044558B">
      <w:pPr>
        <w:pStyle w:val="ListParagraph"/>
        <w:tabs>
          <w:tab w:val="left" w:pos="709"/>
        </w:tabs>
        <w:spacing w:line="360" w:lineRule="auto"/>
        <w:ind w:left="0"/>
        <w:jc w:val="both"/>
        <w:rPr>
          <w:rFonts w:ascii="Arial" w:hAnsi="Arial" w:cs="Arial"/>
        </w:rPr>
      </w:pPr>
    </w:p>
    <w:p w14:paraId="7F9E3CBE" w14:textId="77777777" w:rsidR="00215744" w:rsidRDefault="00215744" w:rsidP="0044558B">
      <w:pPr>
        <w:pStyle w:val="ListParagraph"/>
        <w:tabs>
          <w:tab w:val="left" w:pos="709"/>
        </w:tabs>
        <w:spacing w:line="360" w:lineRule="auto"/>
        <w:ind w:left="0"/>
        <w:jc w:val="both"/>
        <w:rPr>
          <w:rFonts w:ascii="Arial" w:hAnsi="Arial" w:cs="Arial"/>
        </w:rPr>
      </w:pPr>
    </w:p>
    <w:p w14:paraId="748D4BD1" w14:textId="77777777" w:rsidR="0044558B" w:rsidRPr="0044558B" w:rsidRDefault="00C80F1C" w:rsidP="0044558B">
      <w:pPr>
        <w:tabs>
          <w:tab w:val="left" w:pos="709"/>
        </w:tabs>
        <w:spacing w:line="360" w:lineRule="auto"/>
        <w:jc w:val="right"/>
        <w:rPr>
          <w:rFonts w:ascii="Arial" w:hAnsi="Arial" w:cs="Arial"/>
        </w:rPr>
      </w:pPr>
      <w:r w:rsidRPr="0044558B">
        <w:rPr>
          <w:rFonts w:ascii="Arial" w:hAnsi="Arial" w:cs="Arial"/>
          <w:noProof/>
          <w:lang w:val="en-GB" w:bidi="ar-SA"/>
        </w:rPr>
        <w:drawing>
          <wp:anchor distT="0" distB="0" distL="114300" distR="114300" simplePos="0" relativeHeight="251659264" behindDoc="1" locked="0" layoutInCell="1" allowOverlap="1" wp14:anchorId="4F863CF2" wp14:editId="6BDCFCDC">
            <wp:simplePos x="0" y="0"/>
            <wp:positionH relativeFrom="margin">
              <wp:align>right</wp:align>
            </wp:positionH>
            <wp:positionV relativeFrom="paragraph">
              <wp:posOffset>35048</wp:posOffset>
            </wp:positionV>
            <wp:extent cx="2110740" cy="582930"/>
            <wp:effectExtent l="0" t="0" r="3810" b="762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pic:nvPicPr>
                  <pic:blipFill rotWithShape="1">
                    <a:blip r:embed="rId9">
                      <a:extLst>
                        <a:ext uri="{28A0092B-C50C-407E-A947-70E740481C1C}">
                          <a14:useLocalDpi xmlns:a14="http://schemas.microsoft.com/office/drawing/2010/main" val="0"/>
                        </a:ext>
                      </a:extLst>
                    </a:blip>
                    <a:srcRect l="21160" t="71137" r="41997" b="20994"/>
                    <a:stretch/>
                  </pic:blipFill>
                  <pic:spPr bwMode="auto">
                    <a:xfrm>
                      <a:off x="0" y="0"/>
                      <a:ext cx="2110740" cy="582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A2886F" w14:textId="77777777" w:rsidR="0044558B" w:rsidRPr="0044558B" w:rsidRDefault="0044558B" w:rsidP="0044558B">
      <w:pPr>
        <w:tabs>
          <w:tab w:val="left" w:pos="709"/>
        </w:tabs>
        <w:spacing w:line="360" w:lineRule="auto"/>
        <w:jc w:val="right"/>
        <w:rPr>
          <w:rFonts w:ascii="Arial" w:hAnsi="Arial" w:cs="Arial"/>
        </w:rPr>
      </w:pPr>
      <w:r w:rsidRPr="0044558B">
        <w:rPr>
          <w:rFonts w:ascii="Arial" w:hAnsi="Arial" w:cs="Arial"/>
        </w:rPr>
        <w:t>___</w:t>
      </w:r>
      <w:r>
        <w:rPr>
          <w:rFonts w:ascii="Arial" w:hAnsi="Arial" w:cs="Arial"/>
        </w:rPr>
        <w:t>____</w:t>
      </w:r>
      <w:r w:rsidRPr="0044558B">
        <w:rPr>
          <w:rFonts w:ascii="Arial" w:hAnsi="Arial" w:cs="Arial"/>
        </w:rPr>
        <w:t>_________________</w:t>
      </w:r>
    </w:p>
    <w:p w14:paraId="5558FFBC" w14:textId="77777777" w:rsidR="0044558B" w:rsidRDefault="0044558B" w:rsidP="0044558B">
      <w:pPr>
        <w:tabs>
          <w:tab w:val="left" w:pos="709"/>
        </w:tabs>
        <w:jc w:val="right"/>
        <w:rPr>
          <w:rFonts w:ascii="Arial" w:hAnsi="Arial" w:cs="Arial"/>
          <w:b/>
        </w:rPr>
      </w:pPr>
    </w:p>
    <w:p w14:paraId="5257C169" w14:textId="77777777" w:rsidR="0044558B" w:rsidRPr="0044558B" w:rsidRDefault="0044558B" w:rsidP="0044558B">
      <w:pPr>
        <w:tabs>
          <w:tab w:val="left" w:pos="709"/>
        </w:tabs>
        <w:spacing w:line="360" w:lineRule="auto"/>
        <w:jc w:val="right"/>
        <w:rPr>
          <w:rFonts w:ascii="Arial" w:hAnsi="Arial" w:cs="Arial"/>
          <w:b/>
        </w:rPr>
      </w:pPr>
      <w:r w:rsidRPr="0044558B">
        <w:rPr>
          <w:rFonts w:ascii="Arial" w:hAnsi="Arial" w:cs="Arial"/>
          <w:b/>
        </w:rPr>
        <w:t>MOSSOP J</w:t>
      </w:r>
    </w:p>
    <w:p w14:paraId="0BA3CB7D" w14:textId="77777777" w:rsidR="0044558B" w:rsidRDefault="0044558B" w:rsidP="0044558B">
      <w:pPr>
        <w:spacing w:line="360" w:lineRule="auto"/>
        <w:jc w:val="center"/>
        <w:rPr>
          <w:rFonts w:ascii="Arial" w:eastAsia="Calibri" w:hAnsi="Arial" w:cs="Arial"/>
          <w:b/>
          <w:u w:val="single"/>
        </w:rPr>
      </w:pPr>
    </w:p>
    <w:p w14:paraId="25C234EE" w14:textId="77777777" w:rsidR="005C78FC" w:rsidRDefault="005C78FC" w:rsidP="0044558B">
      <w:pPr>
        <w:spacing w:line="360" w:lineRule="auto"/>
        <w:jc w:val="center"/>
        <w:rPr>
          <w:rFonts w:ascii="Arial" w:eastAsia="Calibri" w:hAnsi="Arial" w:cs="Arial"/>
          <w:b/>
          <w:u w:val="single"/>
        </w:rPr>
      </w:pPr>
    </w:p>
    <w:p w14:paraId="267562FB" w14:textId="77777777" w:rsidR="005C78FC" w:rsidRDefault="005C78FC" w:rsidP="0044558B">
      <w:pPr>
        <w:spacing w:line="360" w:lineRule="auto"/>
        <w:jc w:val="center"/>
        <w:rPr>
          <w:rFonts w:ascii="Arial" w:eastAsia="Calibri" w:hAnsi="Arial" w:cs="Arial"/>
          <w:b/>
          <w:u w:val="single"/>
        </w:rPr>
      </w:pPr>
    </w:p>
    <w:p w14:paraId="00630CD5" w14:textId="77777777" w:rsidR="005C78FC" w:rsidRDefault="005C78FC" w:rsidP="0044558B">
      <w:pPr>
        <w:spacing w:line="360" w:lineRule="auto"/>
        <w:jc w:val="center"/>
        <w:rPr>
          <w:rFonts w:ascii="Arial" w:eastAsia="Calibri" w:hAnsi="Arial" w:cs="Arial"/>
          <w:b/>
          <w:u w:val="single"/>
        </w:rPr>
      </w:pPr>
    </w:p>
    <w:p w14:paraId="72EFEC17" w14:textId="77777777" w:rsidR="005C78FC" w:rsidRDefault="005C78FC" w:rsidP="0044558B">
      <w:pPr>
        <w:spacing w:line="360" w:lineRule="auto"/>
        <w:jc w:val="center"/>
        <w:rPr>
          <w:rFonts w:ascii="Arial" w:eastAsia="Calibri" w:hAnsi="Arial" w:cs="Arial"/>
          <w:b/>
          <w:u w:val="single"/>
        </w:rPr>
      </w:pPr>
    </w:p>
    <w:p w14:paraId="79412EB5" w14:textId="77777777" w:rsidR="005C78FC" w:rsidRDefault="005C78FC" w:rsidP="0044558B">
      <w:pPr>
        <w:spacing w:line="360" w:lineRule="auto"/>
        <w:jc w:val="center"/>
        <w:rPr>
          <w:rFonts w:ascii="Arial" w:eastAsia="Calibri" w:hAnsi="Arial" w:cs="Arial"/>
          <w:b/>
          <w:u w:val="single"/>
        </w:rPr>
      </w:pPr>
    </w:p>
    <w:p w14:paraId="54A9C3D3" w14:textId="77777777" w:rsidR="005C78FC" w:rsidRDefault="005C78FC" w:rsidP="0044558B">
      <w:pPr>
        <w:spacing w:line="360" w:lineRule="auto"/>
        <w:jc w:val="center"/>
        <w:rPr>
          <w:rFonts w:ascii="Arial" w:eastAsia="Calibri" w:hAnsi="Arial" w:cs="Arial"/>
          <w:b/>
          <w:u w:val="single"/>
        </w:rPr>
      </w:pPr>
    </w:p>
    <w:p w14:paraId="0FCA490D" w14:textId="77777777" w:rsidR="005C78FC" w:rsidRDefault="005C78FC" w:rsidP="0044558B">
      <w:pPr>
        <w:spacing w:line="360" w:lineRule="auto"/>
        <w:jc w:val="center"/>
        <w:rPr>
          <w:rFonts w:ascii="Arial" w:eastAsia="Calibri" w:hAnsi="Arial" w:cs="Arial"/>
          <w:b/>
          <w:u w:val="single"/>
        </w:rPr>
      </w:pPr>
    </w:p>
    <w:p w14:paraId="5E613191" w14:textId="77777777" w:rsidR="005C78FC" w:rsidRDefault="005C78FC" w:rsidP="0044558B">
      <w:pPr>
        <w:spacing w:line="360" w:lineRule="auto"/>
        <w:jc w:val="center"/>
        <w:rPr>
          <w:rFonts w:ascii="Arial" w:eastAsia="Calibri" w:hAnsi="Arial" w:cs="Arial"/>
          <w:b/>
          <w:u w:val="single"/>
        </w:rPr>
      </w:pPr>
    </w:p>
    <w:p w14:paraId="51B76A35" w14:textId="77777777" w:rsidR="005C78FC" w:rsidRDefault="005C78FC" w:rsidP="00177B5F">
      <w:pPr>
        <w:spacing w:line="360" w:lineRule="auto"/>
        <w:rPr>
          <w:rFonts w:ascii="Arial" w:eastAsia="Calibri" w:hAnsi="Arial" w:cs="Arial"/>
          <w:b/>
          <w:u w:val="single"/>
        </w:rPr>
      </w:pPr>
    </w:p>
    <w:p w14:paraId="047247A1" w14:textId="77777777" w:rsidR="00177B5F" w:rsidRDefault="00177B5F" w:rsidP="00177B5F">
      <w:pPr>
        <w:spacing w:line="360" w:lineRule="auto"/>
        <w:rPr>
          <w:rFonts w:ascii="Arial" w:eastAsia="Calibri" w:hAnsi="Arial" w:cs="Arial"/>
          <w:b/>
          <w:u w:val="single"/>
        </w:rPr>
      </w:pPr>
    </w:p>
    <w:p w14:paraId="2F328CD5" w14:textId="77777777" w:rsidR="00177B5F" w:rsidRDefault="00177B5F" w:rsidP="00177B5F">
      <w:pPr>
        <w:spacing w:line="360" w:lineRule="auto"/>
        <w:rPr>
          <w:rFonts w:ascii="Arial" w:eastAsia="Calibri" w:hAnsi="Arial" w:cs="Arial"/>
          <w:b/>
          <w:u w:val="single"/>
        </w:rPr>
      </w:pPr>
    </w:p>
    <w:p w14:paraId="41519AB3" w14:textId="77777777" w:rsidR="00177B5F" w:rsidRDefault="00177B5F" w:rsidP="00177B5F">
      <w:pPr>
        <w:spacing w:line="360" w:lineRule="auto"/>
        <w:rPr>
          <w:rFonts w:ascii="Arial" w:eastAsia="Calibri" w:hAnsi="Arial" w:cs="Arial"/>
          <w:b/>
          <w:u w:val="single"/>
        </w:rPr>
      </w:pPr>
    </w:p>
    <w:p w14:paraId="72A89E44" w14:textId="77777777" w:rsidR="00177B5F" w:rsidRDefault="00177B5F" w:rsidP="00177B5F">
      <w:pPr>
        <w:spacing w:line="360" w:lineRule="auto"/>
        <w:rPr>
          <w:rFonts w:ascii="Arial" w:eastAsia="Calibri" w:hAnsi="Arial" w:cs="Arial"/>
          <w:b/>
          <w:u w:val="single"/>
        </w:rPr>
      </w:pPr>
    </w:p>
    <w:p w14:paraId="49CC7D5B" w14:textId="77777777" w:rsidR="00177B5F" w:rsidRDefault="00177B5F" w:rsidP="00177B5F">
      <w:pPr>
        <w:spacing w:line="360" w:lineRule="auto"/>
        <w:rPr>
          <w:rFonts w:ascii="Arial" w:eastAsia="Calibri" w:hAnsi="Arial" w:cs="Arial"/>
          <w:b/>
          <w:u w:val="single"/>
        </w:rPr>
      </w:pPr>
    </w:p>
    <w:p w14:paraId="44F1E034" w14:textId="77777777" w:rsidR="00177B5F" w:rsidRDefault="00177B5F" w:rsidP="00177B5F">
      <w:pPr>
        <w:spacing w:line="360" w:lineRule="auto"/>
        <w:rPr>
          <w:rFonts w:ascii="Arial" w:eastAsia="Calibri" w:hAnsi="Arial" w:cs="Arial"/>
          <w:b/>
          <w:u w:val="single"/>
        </w:rPr>
      </w:pPr>
    </w:p>
    <w:p w14:paraId="0E33040F" w14:textId="77777777" w:rsidR="00177B5F" w:rsidRDefault="00177B5F" w:rsidP="00177B5F">
      <w:pPr>
        <w:spacing w:line="360" w:lineRule="auto"/>
        <w:rPr>
          <w:rFonts w:ascii="Arial" w:eastAsia="Calibri" w:hAnsi="Arial" w:cs="Arial"/>
          <w:b/>
          <w:u w:val="single"/>
        </w:rPr>
      </w:pPr>
    </w:p>
    <w:p w14:paraId="562F6CC5" w14:textId="77777777" w:rsidR="00177B5F" w:rsidRDefault="00177B5F" w:rsidP="00177B5F">
      <w:pPr>
        <w:spacing w:line="360" w:lineRule="auto"/>
        <w:rPr>
          <w:rFonts w:ascii="Arial" w:eastAsia="Calibri" w:hAnsi="Arial" w:cs="Arial"/>
          <w:b/>
          <w:u w:val="single"/>
        </w:rPr>
      </w:pPr>
    </w:p>
    <w:p w14:paraId="746C99AE" w14:textId="77777777" w:rsidR="005C78FC" w:rsidRDefault="005C78FC" w:rsidP="0044558B">
      <w:pPr>
        <w:spacing w:line="360" w:lineRule="auto"/>
        <w:jc w:val="center"/>
        <w:rPr>
          <w:rFonts w:ascii="Arial" w:eastAsia="Calibri" w:hAnsi="Arial" w:cs="Arial"/>
          <w:b/>
          <w:u w:val="single"/>
        </w:rPr>
      </w:pPr>
    </w:p>
    <w:p w14:paraId="0550996E" w14:textId="77777777" w:rsidR="005C78FC" w:rsidRPr="0044558B" w:rsidRDefault="005C78FC" w:rsidP="0044558B">
      <w:pPr>
        <w:spacing w:line="360" w:lineRule="auto"/>
        <w:jc w:val="center"/>
        <w:rPr>
          <w:rFonts w:ascii="Arial" w:eastAsia="Calibri" w:hAnsi="Arial" w:cs="Arial"/>
          <w:b/>
          <w:u w:val="single"/>
        </w:rPr>
      </w:pPr>
    </w:p>
    <w:p w14:paraId="001AD620" w14:textId="77777777" w:rsidR="0044558B" w:rsidRPr="0044558B" w:rsidRDefault="0044558B" w:rsidP="0044558B">
      <w:pPr>
        <w:spacing w:line="360" w:lineRule="auto"/>
        <w:jc w:val="center"/>
        <w:rPr>
          <w:rFonts w:ascii="Arial" w:eastAsia="Calibri" w:hAnsi="Arial" w:cs="Arial"/>
          <w:b/>
          <w:u w:val="single"/>
        </w:rPr>
      </w:pPr>
      <w:r w:rsidRPr="0044558B">
        <w:rPr>
          <w:rFonts w:ascii="Arial" w:eastAsia="Calibri" w:hAnsi="Arial" w:cs="Arial"/>
          <w:b/>
          <w:u w:val="single"/>
        </w:rPr>
        <w:lastRenderedPageBreak/>
        <w:t>APPEARANCES</w:t>
      </w:r>
    </w:p>
    <w:p w14:paraId="20952FD7" w14:textId="77777777" w:rsidR="0044558B" w:rsidRDefault="0044558B" w:rsidP="0044558B">
      <w:pPr>
        <w:spacing w:line="360" w:lineRule="auto"/>
        <w:jc w:val="both"/>
        <w:rPr>
          <w:rFonts w:ascii="Arial" w:eastAsia="Calibri" w:hAnsi="Arial" w:cs="Arial"/>
          <w:b/>
          <w:u w:val="single"/>
        </w:rPr>
      </w:pPr>
    </w:p>
    <w:p w14:paraId="16591703" w14:textId="77777777" w:rsidR="0044558B" w:rsidRPr="0044558B" w:rsidRDefault="0044558B" w:rsidP="0044558B">
      <w:pPr>
        <w:spacing w:line="360" w:lineRule="auto"/>
        <w:jc w:val="both"/>
        <w:rPr>
          <w:rFonts w:ascii="Arial" w:eastAsia="Calibri" w:hAnsi="Arial" w:cs="Arial"/>
          <w:b/>
          <w:u w:val="single"/>
        </w:rPr>
      </w:pPr>
    </w:p>
    <w:p w14:paraId="72D49006" w14:textId="77777777" w:rsidR="0044558B" w:rsidRPr="0044558B" w:rsidRDefault="0044558B" w:rsidP="0044558B">
      <w:pPr>
        <w:spacing w:line="360" w:lineRule="auto"/>
        <w:jc w:val="both"/>
        <w:rPr>
          <w:rFonts w:ascii="Arial" w:eastAsia="Calibri" w:hAnsi="Arial" w:cs="Arial"/>
          <w:b/>
          <w:u w:val="single"/>
        </w:rPr>
      </w:pPr>
    </w:p>
    <w:p w14:paraId="5FA63063" w14:textId="77777777" w:rsidR="004453CE" w:rsidRDefault="0044558B" w:rsidP="00A9013E">
      <w:pPr>
        <w:spacing w:line="360" w:lineRule="auto"/>
        <w:ind w:right="-82"/>
        <w:jc w:val="both"/>
        <w:rPr>
          <w:rFonts w:ascii="Arial" w:hAnsi="Arial" w:cs="Arial"/>
        </w:rPr>
      </w:pPr>
      <w:r w:rsidRPr="0044558B">
        <w:rPr>
          <w:rFonts w:ascii="Arial" w:hAnsi="Arial" w:cs="Arial"/>
        </w:rPr>
        <w:t>Counsel for the applicant</w:t>
      </w:r>
      <w:r w:rsidR="004453CE">
        <w:rPr>
          <w:rFonts w:ascii="Arial" w:hAnsi="Arial" w:cs="Arial"/>
        </w:rPr>
        <w:t>s</w:t>
      </w:r>
      <w:r w:rsidRPr="0044558B">
        <w:rPr>
          <w:rFonts w:ascii="Arial" w:hAnsi="Arial" w:cs="Arial"/>
        </w:rPr>
        <w:tab/>
      </w:r>
      <w:r w:rsidRPr="0044558B">
        <w:rPr>
          <w:rFonts w:ascii="Arial" w:hAnsi="Arial" w:cs="Arial"/>
        </w:rPr>
        <w:tab/>
        <w:t xml:space="preserve">:  </w:t>
      </w:r>
      <w:r w:rsidRPr="0044558B">
        <w:rPr>
          <w:rFonts w:ascii="Arial" w:hAnsi="Arial" w:cs="Arial"/>
        </w:rPr>
        <w:tab/>
      </w:r>
      <w:r w:rsidR="007D1B62">
        <w:rPr>
          <w:rFonts w:ascii="Arial" w:hAnsi="Arial" w:cs="Arial"/>
        </w:rPr>
        <w:t>Mr E S Cele</w:t>
      </w:r>
    </w:p>
    <w:p w14:paraId="059B29B3" w14:textId="77777777" w:rsidR="00816446" w:rsidRDefault="0044558B" w:rsidP="004453CE">
      <w:pPr>
        <w:spacing w:line="360" w:lineRule="auto"/>
        <w:ind w:right="-82"/>
        <w:jc w:val="both"/>
        <w:rPr>
          <w:rFonts w:ascii="Arial" w:hAnsi="Arial" w:cs="Arial"/>
        </w:rPr>
      </w:pPr>
      <w:r w:rsidRPr="0044558B">
        <w:rPr>
          <w:rFonts w:ascii="Arial" w:hAnsi="Arial" w:cs="Arial"/>
        </w:rPr>
        <w:t>Instructed by:</w:t>
      </w:r>
      <w:r w:rsidRPr="0044558B">
        <w:rPr>
          <w:rFonts w:ascii="Arial" w:hAnsi="Arial" w:cs="Arial"/>
        </w:rPr>
        <w:tab/>
      </w:r>
      <w:r w:rsidRPr="0044558B">
        <w:rPr>
          <w:rFonts w:ascii="Arial" w:hAnsi="Arial" w:cs="Arial"/>
        </w:rPr>
        <w:tab/>
      </w:r>
      <w:r w:rsidRPr="0044558B">
        <w:rPr>
          <w:rFonts w:ascii="Arial" w:hAnsi="Arial" w:cs="Arial"/>
        </w:rPr>
        <w:tab/>
        <w:t>:</w:t>
      </w:r>
      <w:r w:rsidRPr="0044558B">
        <w:rPr>
          <w:rFonts w:ascii="Arial" w:hAnsi="Arial" w:cs="Arial"/>
        </w:rPr>
        <w:tab/>
      </w:r>
      <w:r w:rsidR="007D1B62">
        <w:rPr>
          <w:rFonts w:ascii="Arial" w:hAnsi="Arial" w:cs="Arial"/>
        </w:rPr>
        <w:t>Mandla Ntuli Incorporated</w:t>
      </w:r>
    </w:p>
    <w:p w14:paraId="2C9B6270" w14:textId="77777777" w:rsidR="007D1B62" w:rsidRDefault="007D1B62" w:rsidP="004453CE">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Unit 05</w:t>
      </w:r>
    </w:p>
    <w:p w14:paraId="601C352F" w14:textId="77777777" w:rsidR="007D1B62" w:rsidRDefault="007D1B62" w:rsidP="004453CE">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70 Dollar Drive</w:t>
      </w:r>
    </w:p>
    <w:p w14:paraId="35312564" w14:textId="77777777" w:rsidR="007D1B62" w:rsidRDefault="007D1B62" w:rsidP="004453CE">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Richards Bay</w:t>
      </w:r>
    </w:p>
    <w:p w14:paraId="39743496" w14:textId="77777777" w:rsidR="007D1B62" w:rsidRDefault="007D1B62" w:rsidP="004453CE">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Care of:</w:t>
      </w:r>
    </w:p>
    <w:p w14:paraId="3A122E5E" w14:textId="77777777" w:rsidR="007D1B62" w:rsidRDefault="007D1B62" w:rsidP="004453CE">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Yashica Chetty and Associates</w:t>
      </w:r>
    </w:p>
    <w:p w14:paraId="668997C0" w14:textId="77777777" w:rsidR="007D1B62" w:rsidRDefault="007D1B62" w:rsidP="004453CE">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Suite 365</w:t>
      </w:r>
    </w:p>
    <w:p w14:paraId="478F8527" w14:textId="77777777" w:rsidR="007D1B62" w:rsidRDefault="007D1B62" w:rsidP="004453CE">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Langalibalele Street</w:t>
      </w:r>
    </w:p>
    <w:p w14:paraId="67F4124A" w14:textId="77777777" w:rsidR="0044558B" w:rsidRPr="0044558B" w:rsidRDefault="00816446" w:rsidP="00816446">
      <w:pPr>
        <w:spacing w:line="360" w:lineRule="auto"/>
        <w:ind w:right="-8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4558B" w:rsidRPr="0044558B">
        <w:rPr>
          <w:rFonts w:ascii="Arial" w:hAnsi="Arial" w:cs="Arial"/>
        </w:rPr>
        <w:t>Pietermaritzburg</w:t>
      </w:r>
    </w:p>
    <w:p w14:paraId="196E9B05" w14:textId="77777777" w:rsidR="0044558B" w:rsidRPr="0044558B" w:rsidRDefault="0044558B" w:rsidP="0044558B">
      <w:pPr>
        <w:spacing w:line="360" w:lineRule="auto"/>
        <w:ind w:right="-82"/>
        <w:jc w:val="both"/>
        <w:rPr>
          <w:rFonts w:ascii="Arial" w:hAnsi="Arial" w:cs="Arial"/>
        </w:rPr>
      </w:pPr>
      <w:r w:rsidRPr="0044558B">
        <w:rPr>
          <w:rFonts w:ascii="Arial" w:hAnsi="Arial" w:cs="Arial"/>
        </w:rPr>
        <w:tab/>
      </w:r>
      <w:r w:rsidRPr="0044558B">
        <w:rPr>
          <w:rFonts w:ascii="Arial" w:hAnsi="Arial" w:cs="Arial"/>
        </w:rPr>
        <w:tab/>
      </w:r>
      <w:r w:rsidRPr="0044558B">
        <w:rPr>
          <w:rFonts w:ascii="Arial" w:hAnsi="Arial" w:cs="Arial"/>
        </w:rPr>
        <w:tab/>
      </w:r>
      <w:r w:rsidRPr="0044558B">
        <w:rPr>
          <w:rFonts w:ascii="Arial" w:hAnsi="Arial" w:cs="Arial"/>
        </w:rPr>
        <w:tab/>
      </w:r>
      <w:r w:rsidRPr="0044558B">
        <w:rPr>
          <w:rFonts w:ascii="Arial" w:hAnsi="Arial" w:cs="Arial"/>
        </w:rPr>
        <w:tab/>
      </w:r>
      <w:r w:rsidRPr="0044558B">
        <w:rPr>
          <w:rFonts w:ascii="Arial" w:hAnsi="Arial" w:cs="Arial"/>
        </w:rPr>
        <w:tab/>
        <w:t xml:space="preserve"> </w:t>
      </w:r>
    </w:p>
    <w:p w14:paraId="433DC524" w14:textId="77777777" w:rsidR="0044558B" w:rsidRPr="0044558B" w:rsidRDefault="0044558B" w:rsidP="0044558B">
      <w:pPr>
        <w:spacing w:line="360" w:lineRule="auto"/>
        <w:jc w:val="both"/>
        <w:rPr>
          <w:rFonts w:ascii="Arial" w:hAnsi="Arial" w:cs="Arial"/>
        </w:rPr>
      </w:pPr>
      <w:r w:rsidRPr="0044558B">
        <w:rPr>
          <w:rFonts w:ascii="Arial" w:hAnsi="Arial" w:cs="Arial"/>
        </w:rPr>
        <w:t>Counsel for the respondent</w:t>
      </w:r>
      <w:r w:rsidR="004453CE">
        <w:rPr>
          <w:rFonts w:ascii="Arial" w:hAnsi="Arial" w:cs="Arial"/>
        </w:rPr>
        <w:t>s</w:t>
      </w:r>
      <w:r w:rsidRPr="0044558B">
        <w:rPr>
          <w:rFonts w:ascii="Arial" w:hAnsi="Arial" w:cs="Arial"/>
        </w:rPr>
        <w:tab/>
        <w:t>:</w:t>
      </w:r>
      <w:r w:rsidRPr="0044558B">
        <w:rPr>
          <w:rFonts w:ascii="Arial" w:hAnsi="Arial" w:cs="Arial"/>
        </w:rPr>
        <w:tab/>
      </w:r>
      <w:r w:rsidR="00303FD5">
        <w:rPr>
          <w:rFonts w:ascii="Arial" w:hAnsi="Arial" w:cs="Arial"/>
        </w:rPr>
        <w:t>Mr D J Saks</w:t>
      </w:r>
    </w:p>
    <w:p w14:paraId="33C0C401" w14:textId="77777777" w:rsidR="00816446" w:rsidRDefault="0044558B" w:rsidP="004453CE">
      <w:pPr>
        <w:tabs>
          <w:tab w:val="left" w:pos="3544"/>
          <w:tab w:val="left" w:pos="4253"/>
        </w:tabs>
        <w:spacing w:line="360" w:lineRule="auto"/>
        <w:ind w:left="4320" w:right="-82" w:hanging="4320"/>
        <w:jc w:val="both"/>
        <w:rPr>
          <w:rFonts w:ascii="Arial" w:hAnsi="Arial" w:cs="Arial"/>
        </w:rPr>
      </w:pPr>
      <w:r w:rsidRPr="0044558B">
        <w:rPr>
          <w:rFonts w:ascii="Arial" w:hAnsi="Arial" w:cs="Arial"/>
        </w:rPr>
        <w:t>Instructed b</w:t>
      </w:r>
      <w:r w:rsidR="00913722">
        <w:rPr>
          <w:rFonts w:ascii="Arial" w:hAnsi="Arial" w:cs="Arial"/>
        </w:rPr>
        <w:t>y</w:t>
      </w:r>
      <w:r w:rsidR="00E32DDE">
        <w:rPr>
          <w:rFonts w:ascii="Arial" w:hAnsi="Arial" w:cs="Arial"/>
        </w:rPr>
        <w:tab/>
        <w:t>:</w:t>
      </w:r>
      <w:r w:rsidRPr="0044558B">
        <w:rPr>
          <w:rFonts w:ascii="Arial" w:hAnsi="Arial" w:cs="Arial"/>
        </w:rPr>
        <w:tab/>
      </w:r>
      <w:r w:rsidR="00913722">
        <w:rPr>
          <w:rFonts w:ascii="Arial" w:hAnsi="Arial" w:cs="Arial"/>
        </w:rPr>
        <w:t xml:space="preserve"> </w:t>
      </w:r>
      <w:r w:rsidR="007D1B62">
        <w:rPr>
          <w:rFonts w:ascii="Arial" w:hAnsi="Arial" w:cs="Arial"/>
        </w:rPr>
        <w:t>Redfern and Findlay Attorneys</w:t>
      </w:r>
    </w:p>
    <w:p w14:paraId="052C309C" w14:textId="77777777" w:rsidR="007D1B62" w:rsidRDefault="007D1B62" w:rsidP="004453CE">
      <w:pPr>
        <w:tabs>
          <w:tab w:val="left" w:pos="3544"/>
          <w:tab w:val="left" w:pos="4253"/>
        </w:tabs>
        <w:spacing w:line="360" w:lineRule="auto"/>
        <w:ind w:left="4320" w:right="-82" w:hanging="4320"/>
        <w:jc w:val="both"/>
        <w:rPr>
          <w:rFonts w:ascii="Arial" w:hAnsi="Arial" w:cs="Arial"/>
        </w:rPr>
      </w:pPr>
      <w:r>
        <w:rPr>
          <w:rFonts w:ascii="Arial" w:hAnsi="Arial" w:cs="Arial"/>
        </w:rPr>
        <w:tab/>
      </w:r>
      <w:r>
        <w:rPr>
          <w:rFonts w:ascii="Arial" w:hAnsi="Arial" w:cs="Arial"/>
        </w:rPr>
        <w:tab/>
      </w:r>
      <w:r>
        <w:rPr>
          <w:rFonts w:ascii="Arial" w:hAnsi="Arial" w:cs="Arial"/>
        </w:rPr>
        <w:tab/>
        <w:t>24 Montrose Park Boulevard</w:t>
      </w:r>
    </w:p>
    <w:p w14:paraId="0B5186C6" w14:textId="77777777" w:rsidR="007D1B62" w:rsidRDefault="007D1B62" w:rsidP="004453CE">
      <w:pPr>
        <w:tabs>
          <w:tab w:val="left" w:pos="3544"/>
          <w:tab w:val="left" w:pos="4253"/>
        </w:tabs>
        <w:spacing w:line="360" w:lineRule="auto"/>
        <w:ind w:left="4320" w:right="-82" w:hanging="4320"/>
        <w:jc w:val="both"/>
        <w:rPr>
          <w:rFonts w:ascii="Arial" w:hAnsi="Arial" w:cs="Arial"/>
        </w:rPr>
      </w:pPr>
      <w:r>
        <w:rPr>
          <w:rFonts w:ascii="Arial" w:hAnsi="Arial" w:cs="Arial"/>
        </w:rPr>
        <w:tab/>
      </w:r>
      <w:r>
        <w:rPr>
          <w:rFonts w:ascii="Arial" w:hAnsi="Arial" w:cs="Arial"/>
        </w:rPr>
        <w:tab/>
      </w:r>
      <w:r>
        <w:rPr>
          <w:rFonts w:ascii="Arial" w:hAnsi="Arial" w:cs="Arial"/>
        </w:rPr>
        <w:tab/>
        <w:t>Victoria Country Club Estate</w:t>
      </w:r>
    </w:p>
    <w:p w14:paraId="51AC12F3" w14:textId="77777777" w:rsidR="007D1B62" w:rsidRPr="0044558B" w:rsidRDefault="007D1B62" w:rsidP="004453CE">
      <w:pPr>
        <w:tabs>
          <w:tab w:val="left" w:pos="3544"/>
          <w:tab w:val="left" w:pos="4253"/>
        </w:tabs>
        <w:spacing w:line="360" w:lineRule="auto"/>
        <w:ind w:left="4320" w:right="-82" w:hanging="4320"/>
        <w:jc w:val="both"/>
        <w:rPr>
          <w:rFonts w:ascii="Arial" w:hAnsi="Arial" w:cs="Arial"/>
        </w:rPr>
      </w:pPr>
      <w:r>
        <w:rPr>
          <w:rFonts w:ascii="Arial" w:hAnsi="Arial" w:cs="Arial"/>
        </w:rPr>
        <w:tab/>
      </w:r>
      <w:r>
        <w:rPr>
          <w:rFonts w:ascii="Arial" w:hAnsi="Arial" w:cs="Arial"/>
        </w:rPr>
        <w:tab/>
      </w:r>
      <w:r>
        <w:rPr>
          <w:rFonts w:ascii="Arial" w:hAnsi="Arial" w:cs="Arial"/>
        </w:rPr>
        <w:tab/>
        <w:t>Montrose</w:t>
      </w:r>
    </w:p>
    <w:p w14:paraId="515FD6E2" w14:textId="77777777" w:rsidR="0044558B" w:rsidRPr="0044558B" w:rsidRDefault="0044558B" w:rsidP="00816446">
      <w:pPr>
        <w:spacing w:line="360" w:lineRule="auto"/>
        <w:ind w:right="-82"/>
        <w:jc w:val="both"/>
        <w:rPr>
          <w:rFonts w:ascii="Arial" w:hAnsi="Arial" w:cs="Arial"/>
        </w:rPr>
      </w:pPr>
      <w:r w:rsidRPr="0044558B">
        <w:rPr>
          <w:rFonts w:ascii="Arial" w:hAnsi="Arial" w:cs="Arial"/>
        </w:rPr>
        <w:tab/>
      </w:r>
      <w:r w:rsidRPr="0044558B">
        <w:rPr>
          <w:rFonts w:ascii="Arial" w:hAnsi="Arial" w:cs="Arial"/>
        </w:rPr>
        <w:tab/>
      </w:r>
      <w:r w:rsidRPr="0044558B">
        <w:rPr>
          <w:rFonts w:ascii="Arial" w:hAnsi="Arial" w:cs="Arial"/>
        </w:rPr>
        <w:tab/>
      </w:r>
      <w:r w:rsidRPr="0044558B">
        <w:rPr>
          <w:rFonts w:ascii="Arial" w:hAnsi="Arial" w:cs="Arial"/>
        </w:rPr>
        <w:tab/>
      </w:r>
      <w:r w:rsidRPr="0044558B">
        <w:rPr>
          <w:rFonts w:ascii="Arial" w:hAnsi="Arial" w:cs="Arial"/>
        </w:rPr>
        <w:tab/>
      </w:r>
      <w:r w:rsidRPr="0044558B">
        <w:rPr>
          <w:rFonts w:ascii="Arial" w:hAnsi="Arial" w:cs="Arial"/>
        </w:rPr>
        <w:tab/>
        <w:t>Pietermaritzburg</w:t>
      </w:r>
    </w:p>
    <w:p w14:paraId="64C37770" w14:textId="77777777" w:rsidR="0044558B" w:rsidRPr="0044558B" w:rsidRDefault="0044558B" w:rsidP="0044558B">
      <w:pPr>
        <w:spacing w:line="360" w:lineRule="auto"/>
        <w:ind w:right="-82"/>
        <w:jc w:val="both"/>
        <w:rPr>
          <w:rFonts w:ascii="Arial" w:hAnsi="Arial" w:cs="Arial"/>
        </w:rPr>
      </w:pPr>
      <w:r w:rsidRPr="0044558B">
        <w:rPr>
          <w:rFonts w:ascii="Arial" w:hAnsi="Arial" w:cs="Arial"/>
        </w:rPr>
        <w:tab/>
      </w:r>
      <w:r w:rsidRPr="0044558B">
        <w:rPr>
          <w:rFonts w:ascii="Arial" w:hAnsi="Arial" w:cs="Arial"/>
        </w:rPr>
        <w:tab/>
      </w:r>
      <w:r w:rsidRPr="0044558B">
        <w:rPr>
          <w:rFonts w:ascii="Arial" w:hAnsi="Arial" w:cs="Arial"/>
        </w:rPr>
        <w:tab/>
      </w:r>
      <w:r w:rsidRPr="0044558B">
        <w:rPr>
          <w:rFonts w:ascii="Arial" w:hAnsi="Arial" w:cs="Arial"/>
        </w:rPr>
        <w:tab/>
      </w:r>
      <w:r w:rsidRPr="0044558B">
        <w:rPr>
          <w:rFonts w:ascii="Arial" w:hAnsi="Arial" w:cs="Arial"/>
        </w:rPr>
        <w:tab/>
      </w:r>
      <w:r w:rsidRPr="0044558B">
        <w:rPr>
          <w:rFonts w:ascii="Arial" w:hAnsi="Arial" w:cs="Arial"/>
        </w:rPr>
        <w:tab/>
      </w:r>
    </w:p>
    <w:p w14:paraId="39C9EDA3" w14:textId="77777777" w:rsidR="0044558B" w:rsidRPr="0044558B" w:rsidRDefault="0044558B" w:rsidP="0044558B">
      <w:pPr>
        <w:spacing w:line="360" w:lineRule="auto"/>
        <w:ind w:right="-82"/>
        <w:jc w:val="both"/>
        <w:rPr>
          <w:rFonts w:ascii="Arial" w:eastAsia="Calibri" w:hAnsi="Arial" w:cs="Arial"/>
        </w:rPr>
      </w:pPr>
      <w:r w:rsidRPr="0044558B">
        <w:rPr>
          <w:rFonts w:ascii="Arial" w:eastAsia="Calibri" w:hAnsi="Arial" w:cs="Arial"/>
        </w:rPr>
        <w:t>Date of argument:</w:t>
      </w:r>
      <w:r w:rsidRPr="0044558B">
        <w:rPr>
          <w:rFonts w:ascii="Arial" w:eastAsia="Calibri" w:hAnsi="Arial" w:cs="Arial"/>
        </w:rPr>
        <w:tab/>
      </w:r>
      <w:r w:rsidRPr="0044558B">
        <w:rPr>
          <w:rFonts w:ascii="Arial" w:eastAsia="Calibri" w:hAnsi="Arial" w:cs="Arial"/>
        </w:rPr>
        <w:tab/>
      </w:r>
      <w:r w:rsidRPr="0044558B">
        <w:rPr>
          <w:rFonts w:ascii="Arial" w:eastAsia="Calibri" w:hAnsi="Arial" w:cs="Arial"/>
        </w:rPr>
        <w:tab/>
        <w:t>:</w:t>
      </w:r>
      <w:r w:rsidRPr="0044558B">
        <w:rPr>
          <w:rFonts w:ascii="Arial" w:eastAsia="Calibri" w:hAnsi="Arial" w:cs="Arial"/>
        </w:rPr>
        <w:tab/>
      </w:r>
      <w:r w:rsidR="004453CE">
        <w:rPr>
          <w:rFonts w:ascii="Arial" w:eastAsia="Calibri" w:hAnsi="Arial" w:cs="Arial"/>
        </w:rPr>
        <w:t>2</w:t>
      </w:r>
      <w:r w:rsidR="0099233C">
        <w:rPr>
          <w:rFonts w:ascii="Arial" w:eastAsia="Calibri" w:hAnsi="Arial" w:cs="Arial"/>
        </w:rPr>
        <w:t>2</w:t>
      </w:r>
      <w:r w:rsidR="00E42906">
        <w:rPr>
          <w:rFonts w:ascii="Arial" w:eastAsia="Calibri" w:hAnsi="Arial" w:cs="Arial"/>
        </w:rPr>
        <w:t xml:space="preserve"> </w:t>
      </w:r>
      <w:r w:rsidR="004453CE">
        <w:rPr>
          <w:rFonts w:ascii="Arial" w:eastAsia="Calibri" w:hAnsi="Arial" w:cs="Arial"/>
        </w:rPr>
        <w:t xml:space="preserve">January </w:t>
      </w:r>
      <w:r w:rsidRPr="0044558B">
        <w:rPr>
          <w:rFonts w:ascii="Arial" w:eastAsia="Calibri" w:hAnsi="Arial" w:cs="Arial"/>
        </w:rPr>
        <w:t>202</w:t>
      </w:r>
      <w:r w:rsidR="004453CE">
        <w:rPr>
          <w:rFonts w:ascii="Arial" w:eastAsia="Calibri" w:hAnsi="Arial" w:cs="Arial"/>
        </w:rPr>
        <w:t>4</w:t>
      </w:r>
    </w:p>
    <w:p w14:paraId="12AE59EA" w14:textId="77777777" w:rsidR="0044558B" w:rsidRPr="0044558B" w:rsidRDefault="0044558B" w:rsidP="0044558B">
      <w:pPr>
        <w:spacing w:line="360" w:lineRule="auto"/>
        <w:ind w:right="-82"/>
        <w:jc w:val="both"/>
        <w:rPr>
          <w:rFonts w:ascii="Arial" w:eastAsia="Calibri" w:hAnsi="Arial" w:cs="Arial"/>
        </w:rPr>
      </w:pPr>
    </w:p>
    <w:p w14:paraId="45BC155D" w14:textId="77777777" w:rsidR="0044558B" w:rsidRPr="0044558B" w:rsidRDefault="0044558B" w:rsidP="0044558B">
      <w:pPr>
        <w:spacing w:line="360" w:lineRule="auto"/>
        <w:jc w:val="both"/>
        <w:rPr>
          <w:rFonts w:ascii="Arial" w:eastAsia="Calibri" w:hAnsi="Arial" w:cs="Arial"/>
        </w:rPr>
      </w:pPr>
      <w:r>
        <w:rPr>
          <w:rFonts w:ascii="Arial" w:eastAsia="Calibri" w:hAnsi="Arial" w:cs="Arial"/>
        </w:rPr>
        <w:t>Date of j</w:t>
      </w:r>
      <w:r w:rsidRPr="0044558B">
        <w:rPr>
          <w:rFonts w:ascii="Arial" w:eastAsia="Calibri" w:hAnsi="Arial" w:cs="Arial"/>
        </w:rPr>
        <w:t xml:space="preserve">udgment </w:t>
      </w:r>
      <w:r w:rsidRPr="0044558B">
        <w:rPr>
          <w:rFonts w:ascii="Arial" w:eastAsia="Calibri" w:hAnsi="Arial" w:cs="Arial"/>
        </w:rPr>
        <w:tab/>
      </w:r>
      <w:r w:rsidRPr="0044558B">
        <w:rPr>
          <w:rFonts w:ascii="Arial" w:eastAsia="Calibri" w:hAnsi="Arial" w:cs="Arial"/>
        </w:rPr>
        <w:tab/>
      </w:r>
      <w:r w:rsidRPr="0044558B">
        <w:rPr>
          <w:rFonts w:ascii="Arial" w:eastAsia="Calibri" w:hAnsi="Arial" w:cs="Arial"/>
        </w:rPr>
        <w:tab/>
        <w:t>:</w:t>
      </w:r>
      <w:r w:rsidRPr="0044558B">
        <w:rPr>
          <w:rFonts w:ascii="Arial" w:eastAsia="Calibri" w:hAnsi="Arial" w:cs="Arial"/>
        </w:rPr>
        <w:tab/>
      </w:r>
      <w:r w:rsidR="00E32DDE">
        <w:rPr>
          <w:rFonts w:ascii="Arial" w:eastAsia="Calibri" w:hAnsi="Arial" w:cs="Arial"/>
        </w:rPr>
        <w:t xml:space="preserve">30 </w:t>
      </w:r>
      <w:r w:rsidR="004453CE">
        <w:rPr>
          <w:rFonts w:ascii="Arial" w:eastAsia="Calibri" w:hAnsi="Arial" w:cs="Arial"/>
        </w:rPr>
        <w:t>January</w:t>
      </w:r>
      <w:r w:rsidRPr="0044558B">
        <w:rPr>
          <w:rFonts w:ascii="Arial" w:eastAsia="Calibri" w:hAnsi="Arial" w:cs="Arial"/>
        </w:rPr>
        <w:t xml:space="preserve"> 202</w:t>
      </w:r>
      <w:r w:rsidR="004453CE">
        <w:rPr>
          <w:rFonts w:ascii="Arial" w:eastAsia="Calibri" w:hAnsi="Arial" w:cs="Arial"/>
        </w:rPr>
        <w:t>4</w:t>
      </w:r>
    </w:p>
    <w:p w14:paraId="5B8C62D5" w14:textId="77777777" w:rsidR="0044558B" w:rsidRDefault="0044558B" w:rsidP="0044558B">
      <w:pPr>
        <w:spacing w:line="360" w:lineRule="auto"/>
        <w:jc w:val="center"/>
        <w:rPr>
          <w:rFonts w:asciiTheme="minorBidi" w:hAnsiTheme="minorBidi"/>
          <w:b/>
          <w:bCs/>
        </w:rPr>
      </w:pPr>
    </w:p>
    <w:p w14:paraId="33B85B3F" w14:textId="77777777" w:rsidR="0044558B" w:rsidRDefault="0044558B"/>
    <w:sectPr w:rsidR="0044558B" w:rsidSect="008B1A98">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F8E62" w14:textId="77777777" w:rsidR="00E85052" w:rsidRDefault="00E85052" w:rsidP="0044558B">
      <w:r>
        <w:separator/>
      </w:r>
    </w:p>
  </w:endnote>
  <w:endnote w:type="continuationSeparator" w:id="0">
    <w:p w14:paraId="354ED80B" w14:textId="77777777" w:rsidR="00E85052" w:rsidRDefault="00E85052" w:rsidP="0044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D8749" w14:textId="77777777" w:rsidR="00E85052" w:rsidRDefault="00E85052" w:rsidP="0044558B">
      <w:r>
        <w:separator/>
      </w:r>
    </w:p>
  </w:footnote>
  <w:footnote w:type="continuationSeparator" w:id="0">
    <w:p w14:paraId="7CF25E6F" w14:textId="77777777" w:rsidR="00E85052" w:rsidRDefault="00E85052" w:rsidP="0044558B">
      <w:r>
        <w:continuationSeparator/>
      </w:r>
    </w:p>
  </w:footnote>
  <w:footnote w:id="1">
    <w:p w14:paraId="4446CF98" w14:textId="77777777" w:rsidR="00A077B5" w:rsidRPr="00E32DDE" w:rsidRDefault="00A077B5" w:rsidP="00FB45A3">
      <w:pPr>
        <w:pStyle w:val="FootnoteText"/>
        <w:jc w:val="both"/>
        <w:rPr>
          <w:rFonts w:ascii="Arial" w:hAnsi="Arial" w:cs="Arial"/>
          <w:lang w:val="en-US"/>
        </w:rPr>
      </w:pPr>
      <w:r w:rsidRPr="00E32DDE">
        <w:rPr>
          <w:rStyle w:val="FootnoteReference"/>
          <w:rFonts w:ascii="Arial" w:hAnsi="Arial" w:cs="Arial"/>
        </w:rPr>
        <w:footnoteRef/>
      </w:r>
      <w:r w:rsidRPr="00E32DDE">
        <w:rPr>
          <w:rFonts w:ascii="Arial" w:hAnsi="Arial" w:cs="Arial"/>
        </w:rPr>
        <w:t xml:space="preserve"> </w:t>
      </w:r>
      <w:r w:rsidRPr="00E32DDE">
        <w:rPr>
          <w:rFonts w:ascii="Arial" w:hAnsi="Arial" w:cs="Arial"/>
          <w:lang w:val="en-US"/>
        </w:rPr>
        <w:t xml:space="preserve">Google Translate: </w:t>
      </w:r>
      <w:hyperlink r:id="rId1" w:history="1">
        <w:r w:rsidR="00DE4141" w:rsidRPr="00E32DDE">
          <w:rPr>
            <w:rStyle w:val="Hyperlink"/>
            <w:rFonts w:ascii="Arial" w:hAnsi="Arial" w:cs="Arial"/>
            <w:color w:val="auto"/>
            <w:lang w:val="en-US"/>
          </w:rPr>
          <w:t>https://translate.google.com/?sl=auto&amp;tl=en&amp;text=isimangaliso&amp;op=translate</w:t>
        </w:r>
      </w:hyperlink>
      <w:r w:rsidRPr="00E32DDE">
        <w:rPr>
          <w:rFonts w:ascii="Arial" w:hAnsi="Arial" w:cs="Arial"/>
          <w:lang w:val="en-US"/>
        </w:rPr>
        <w:t>.</w:t>
      </w:r>
    </w:p>
  </w:footnote>
  <w:footnote w:id="2">
    <w:p w14:paraId="6B96CE5C" w14:textId="77777777" w:rsidR="000233C9" w:rsidRPr="00E32DDE" w:rsidRDefault="000233C9" w:rsidP="00FB45A3">
      <w:pPr>
        <w:pStyle w:val="FootnoteText"/>
        <w:jc w:val="both"/>
        <w:rPr>
          <w:rFonts w:ascii="Arial" w:hAnsi="Arial" w:cs="Arial"/>
        </w:rPr>
      </w:pPr>
      <w:r w:rsidRPr="00E32DDE">
        <w:rPr>
          <w:rStyle w:val="FootnoteReference"/>
          <w:rFonts w:ascii="Arial" w:hAnsi="Arial" w:cs="Arial"/>
        </w:rPr>
        <w:footnoteRef/>
      </w:r>
      <w:r w:rsidRPr="00E32DDE">
        <w:rPr>
          <w:rFonts w:ascii="Arial" w:hAnsi="Arial" w:cs="Arial"/>
        </w:rPr>
        <w:t xml:space="preserve"> The first respondent’s contract was for a period of five years.</w:t>
      </w:r>
    </w:p>
  </w:footnote>
  <w:footnote w:id="3">
    <w:p w14:paraId="13779EF4" w14:textId="77777777" w:rsidR="000233C9" w:rsidRPr="00E32DDE" w:rsidRDefault="000233C9" w:rsidP="00FB45A3">
      <w:pPr>
        <w:pStyle w:val="FootnoteText"/>
        <w:jc w:val="both"/>
        <w:rPr>
          <w:rFonts w:ascii="Arial" w:hAnsi="Arial" w:cs="Arial"/>
        </w:rPr>
      </w:pPr>
      <w:r w:rsidRPr="00E32DDE">
        <w:rPr>
          <w:rStyle w:val="FootnoteReference"/>
          <w:rFonts w:ascii="Arial" w:hAnsi="Arial" w:cs="Arial"/>
        </w:rPr>
        <w:footnoteRef/>
      </w:r>
      <w:r w:rsidRPr="00E32DDE">
        <w:rPr>
          <w:rFonts w:ascii="Arial" w:hAnsi="Arial" w:cs="Arial"/>
        </w:rPr>
        <w:t xml:space="preserve"> </w:t>
      </w:r>
      <w:r w:rsidR="00292D0D" w:rsidRPr="00E32DDE">
        <w:rPr>
          <w:rFonts w:ascii="Arial" w:hAnsi="Arial" w:cs="Arial"/>
        </w:rPr>
        <w:t xml:space="preserve">In the definitions section of the </w:t>
      </w:r>
      <w:r w:rsidR="00174C9A" w:rsidRPr="00E32DDE">
        <w:rPr>
          <w:rFonts w:ascii="Arial" w:hAnsi="Arial" w:cs="Arial"/>
        </w:rPr>
        <w:t xml:space="preserve">World Heritage Convention </w:t>
      </w:r>
      <w:r w:rsidR="00292D0D" w:rsidRPr="00E32DDE">
        <w:rPr>
          <w:rFonts w:ascii="Arial" w:hAnsi="Arial" w:cs="Arial"/>
        </w:rPr>
        <w:t>Act</w:t>
      </w:r>
      <w:r w:rsidR="00174C9A" w:rsidRPr="00E32DDE">
        <w:rPr>
          <w:rFonts w:ascii="Arial" w:hAnsi="Arial" w:cs="Arial"/>
        </w:rPr>
        <w:t xml:space="preserve"> 49 of 1999</w:t>
      </w:r>
      <w:r w:rsidR="00D73B1D" w:rsidRPr="00E32DDE">
        <w:rPr>
          <w:rFonts w:ascii="Arial" w:hAnsi="Arial" w:cs="Arial"/>
        </w:rPr>
        <w:t>,</w:t>
      </w:r>
      <w:r w:rsidR="00292D0D" w:rsidRPr="00E32DDE">
        <w:rPr>
          <w:rFonts w:ascii="Arial" w:hAnsi="Arial" w:cs="Arial"/>
        </w:rPr>
        <w:t xml:space="preserve"> the term ‘</w:t>
      </w:r>
      <w:r w:rsidRPr="00E32DDE">
        <w:rPr>
          <w:rFonts w:ascii="Arial" w:hAnsi="Arial" w:cs="Arial"/>
        </w:rPr>
        <w:t>Executive Staff Component</w:t>
      </w:r>
      <w:r w:rsidR="00292D0D" w:rsidRPr="00E32DDE">
        <w:rPr>
          <w:rFonts w:ascii="Arial" w:hAnsi="Arial" w:cs="Arial"/>
        </w:rPr>
        <w:t>’</w:t>
      </w:r>
      <w:r w:rsidRPr="00E32DDE">
        <w:rPr>
          <w:rFonts w:ascii="Arial" w:hAnsi="Arial" w:cs="Arial"/>
        </w:rPr>
        <w:t xml:space="preserve"> is</w:t>
      </w:r>
      <w:r w:rsidR="00292D0D" w:rsidRPr="00E32DDE">
        <w:rPr>
          <w:rFonts w:ascii="Arial" w:hAnsi="Arial" w:cs="Arial"/>
        </w:rPr>
        <w:t xml:space="preserve"> </w:t>
      </w:r>
      <w:r w:rsidR="00923E51" w:rsidRPr="00E32DDE">
        <w:rPr>
          <w:rFonts w:ascii="Arial" w:hAnsi="Arial" w:cs="Arial"/>
        </w:rPr>
        <w:t>defined by giving it</w:t>
      </w:r>
      <w:r w:rsidR="00292D0D" w:rsidRPr="00E32DDE">
        <w:rPr>
          <w:rFonts w:ascii="Arial" w:hAnsi="Arial" w:cs="Arial"/>
        </w:rPr>
        <w:t xml:space="preserve"> </w:t>
      </w:r>
      <w:r w:rsidR="00174C9A" w:rsidRPr="00E32DDE">
        <w:rPr>
          <w:rFonts w:ascii="Arial" w:hAnsi="Arial" w:cs="Arial"/>
        </w:rPr>
        <w:t>‘</w:t>
      </w:r>
      <w:r w:rsidR="00292D0D" w:rsidRPr="00E32DDE">
        <w:rPr>
          <w:rFonts w:ascii="Arial" w:hAnsi="Arial" w:cs="Arial"/>
        </w:rPr>
        <w:t>the meaning given to it in Chapter III</w:t>
      </w:r>
      <w:r w:rsidR="00174C9A" w:rsidRPr="00E32DDE">
        <w:rPr>
          <w:rFonts w:ascii="Arial" w:hAnsi="Arial" w:cs="Arial"/>
        </w:rPr>
        <w:t>’</w:t>
      </w:r>
      <w:r w:rsidR="00292D0D" w:rsidRPr="00E32DDE">
        <w:rPr>
          <w:rFonts w:ascii="Arial" w:hAnsi="Arial" w:cs="Arial"/>
        </w:rPr>
        <w:t xml:space="preserve"> of the Act.</w:t>
      </w:r>
      <w:r w:rsidR="00923E51" w:rsidRPr="00E32DDE">
        <w:rPr>
          <w:rFonts w:ascii="Arial" w:hAnsi="Arial" w:cs="Arial"/>
        </w:rPr>
        <w:t xml:space="preserve"> It appears, in essence, that it is a reference to the management cohort of the applicant.</w:t>
      </w:r>
    </w:p>
  </w:footnote>
  <w:footnote w:id="4">
    <w:p w14:paraId="6F19B01C" w14:textId="77777777" w:rsidR="00923E51" w:rsidRPr="00FB45A3" w:rsidRDefault="004F1402" w:rsidP="00FB45A3">
      <w:pPr>
        <w:pStyle w:val="FootnoteText"/>
        <w:jc w:val="both"/>
        <w:rPr>
          <w:rFonts w:ascii="Arial" w:hAnsi="Arial" w:cs="Arial"/>
        </w:rPr>
      </w:pPr>
      <w:r w:rsidRPr="00FB45A3">
        <w:rPr>
          <w:rStyle w:val="FootnoteReference"/>
          <w:rFonts w:ascii="Arial" w:hAnsi="Arial" w:cs="Arial"/>
        </w:rPr>
        <w:footnoteRef/>
      </w:r>
      <w:r w:rsidRPr="00FB45A3">
        <w:rPr>
          <w:rFonts w:ascii="Arial" w:hAnsi="Arial" w:cs="Arial"/>
        </w:rPr>
        <w:t xml:space="preserve"> </w:t>
      </w:r>
      <w:r w:rsidR="00923E51" w:rsidRPr="00FB45A3">
        <w:rPr>
          <w:rFonts w:ascii="Arial" w:hAnsi="Arial" w:cs="Arial"/>
        </w:rPr>
        <w:t xml:space="preserve">The permanent employment contract relating to the first respondent appears to be </w:t>
      </w:r>
      <w:r w:rsidR="00ED2B0D" w:rsidRPr="00FB45A3">
        <w:rPr>
          <w:rFonts w:ascii="Arial" w:hAnsi="Arial" w:cs="Arial"/>
        </w:rPr>
        <w:t xml:space="preserve">comprised of his fixed term contract of employment to which is attached </w:t>
      </w:r>
      <w:r w:rsidR="00923E51" w:rsidRPr="00FB45A3">
        <w:rPr>
          <w:rFonts w:ascii="Arial" w:hAnsi="Arial" w:cs="Arial"/>
        </w:rPr>
        <w:t>a</w:t>
      </w:r>
      <w:r w:rsidR="00ED2B0D" w:rsidRPr="00FB45A3">
        <w:rPr>
          <w:rFonts w:ascii="Arial" w:hAnsi="Arial" w:cs="Arial"/>
        </w:rPr>
        <w:t xml:space="preserve"> letter containing further terms. That letter</w:t>
      </w:r>
      <w:r w:rsidR="00923E51" w:rsidRPr="00FB45A3">
        <w:rPr>
          <w:rFonts w:ascii="Arial" w:hAnsi="Arial" w:cs="Arial"/>
        </w:rPr>
        <w:t xml:space="preserve"> contains the following clause:</w:t>
      </w:r>
    </w:p>
    <w:p w14:paraId="47860839" w14:textId="77777777" w:rsidR="00923E51" w:rsidRPr="00FB45A3" w:rsidRDefault="00923E51" w:rsidP="00FB45A3">
      <w:pPr>
        <w:pStyle w:val="FootnoteText"/>
        <w:jc w:val="both"/>
        <w:rPr>
          <w:rFonts w:ascii="Arial" w:hAnsi="Arial" w:cs="Arial"/>
        </w:rPr>
      </w:pPr>
      <w:r w:rsidRPr="00FB45A3">
        <w:rPr>
          <w:rFonts w:ascii="Arial" w:hAnsi="Arial" w:cs="Arial"/>
        </w:rPr>
        <w:t xml:space="preserve">‘Your employment will be performance based. The Authority will set the performance targets in line with your key performance indicators and set the basis of measurement and evaluation. Performance appraisals will be conducted and any non-performance in the agreed key performance indicator targets, </w:t>
      </w:r>
      <w:r w:rsidR="00ED2B0D" w:rsidRPr="00FB45A3">
        <w:rPr>
          <w:rFonts w:ascii="Arial" w:hAnsi="Arial" w:cs="Arial"/>
        </w:rPr>
        <w:t xml:space="preserve">(sic) </w:t>
      </w:r>
      <w:r w:rsidRPr="00FB45A3">
        <w:rPr>
          <w:rFonts w:ascii="Arial" w:hAnsi="Arial" w:cs="Arial"/>
        </w:rPr>
        <w:t xml:space="preserve">will result in disciplinary measures being taken </w:t>
      </w:r>
      <w:r w:rsidR="00ED2B0D" w:rsidRPr="00FB45A3">
        <w:rPr>
          <w:rFonts w:ascii="Arial" w:hAnsi="Arial" w:cs="Arial"/>
        </w:rPr>
        <w:t>against you which may result in termination of your employment.’</w:t>
      </w:r>
    </w:p>
    <w:p w14:paraId="7BF65BD4" w14:textId="3470907F" w:rsidR="004F1402" w:rsidRPr="00FB45A3" w:rsidRDefault="00ED2B0D" w:rsidP="00FB45A3">
      <w:pPr>
        <w:pStyle w:val="FootnoteText"/>
        <w:jc w:val="both"/>
        <w:rPr>
          <w:rFonts w:ascii="Arial" w:hAnsi="Arial" w:cs="Arial"/>
        </w:rPr>
      </w:pPr>
      <w:r w:rsidRPr="00FB45A3">
        <w:rPr>
          <w:rFonts w:ascii="Arial" w:hAnsi="Arial" w:cs="Arial"/>
        </w:rPr>
        <w:t xml:space="preserve">The permanent contracts of employment for the other respondents contain similar clauses. </w:t>
      </w:r>
      <w:r w:rsidR="004F1402" w:rsidRPr="00FB45A3">
        <w:rPr>
          <w:rFonts w:ascii="Arial" w:hAnsi="Arial" w:cs="Arial"/>
        </w:rPr>
        <w:t>Why six months should now be required for th</w:t>
      </w:r>
      <w:r w:rsidRPr="00FB45A3">
        <w:rPr>
          <w:rFonts w:ascii="Arial" w:hAnsi="Arial" w:cs="Arial"/>
        </w:rPr>
        <w:t>e</w:t>
      </w:r>
      <w:r w:rsidR="004F1402" w:rsidRPr="00FB45A3">
        <w:rPr>
          <w:rFonts w:ascii="Arial" w:hAnsi="Arial" w:cs="Arial"/>
        </w:rPr>
        <w:t xml:space="preserve"> purpose </w:t>
      </w:r>
      <w:r w:rsidRPr="00FB45A3">
        <w:rPr>
          <w:rFonts w:ascii="Arial" w:hAnsi="Arial" w:cs="Arial"/>
        </w:rPr>
        <w:t>indicated by Mr Cele</w:t>
      </w:r>
      <w:r w:rsidR="00D73B1D" w:rsidRPr="00FB45A3">
        <w:rPr>
          <w:rFonts w:ascii="Arial" w:hAnsi="Arial" w:cs="Arial"/>
        </w:rPr>
        <w:t>,</w:t>
      </w:r>
      <w:r w:rsidRPr="00FB45A3">
        <w:rPr>
          <w:rFonts w:ascii="Arial" w:hAnsi="Arial" w:cs="Arial"/>
        </w:rPr>
        <w:t xml:space="preserve"> wh</w:t>
      </w:r>
      <w:r w:rsidR="004F1402" w:rsidRPr="00FB45A3">
        <w:rPr>
          <w:rFonts w:ascii="Arial" w:hAnsi="Arial" w:cs="Arial"/>
        </w:rPr>
        <w:t>en the first respondent has been employed permanently for nearly six years</w:t>
      </w:r>
      <w:r w:rsidR="00991253">
        <w:rPr>
          <w:rFonts w:ascii="Arial" w:hAnsi="Arial" w:cs="Arial"/>
        </w:rPr>
        <w:t>,</w:t>
      </w:r>
      <w:r w:rsidR="004F1402" w:rsidRPr="00FB45A3">
        <w:rPr>
          <w:rFonts w:ascii="Arial" w:hAnsi="Arial" w:cs="Arial"/>
        </w:rPr>
        <w:t xml:space="preserve"> is not apparent</w:t>
      </w:r>
      <w:r w:rsidRPr="00FB45A3">
        <w:rPr>
          <w:rFonts w:ascii="Arial" w:hAnsi="Arial" w:cs="Arial"/>
        </w:rPr>
        <w:t>,</w:t>
      </w:r>
      <w:r w:rsidR="004F1402" w:rsidRPr="00FB45A3">
        <w:rPr>
          <w:rFonts w:ascii="Arial" w:hAnsi="Arial" w:cs="Arial"/>
        </w:rPr>
        <w:t xml:space="preserve"> nor </w:t>
      </w:r>
      <w:r w:rsidRPr="00FB45A3">
        <w:rPr>
          <w:rFonts w:ascii="Arial" w:hAnsi="Arial" w:cs="Arial"/>
        </w:rPr>
        <w:t xml:space="preserve">is it </w:t>
      </w:r>
      <w:r w:rsidR="004F1402" w:rsidRPr="00FB45A3">
        <w:rPr>
          <w:rFonts w:ascii="Arial" w:hAnsi="Arial" w:cs="Arial"/>
        </w:rPr>
        <w:t>attractive.</w:t>
      </w:r>
    </w:p>
  </w:footnote>
  <w:footnote w:id="5">
    <w:p w14:paraId="352DCE26" w14:textId="77777777" w:rsidR="005A19B0" w:rsidRPr="00FB45A3" w:rsidRDefault="005A19B0" w:rsidP="00FB45A3">
      <w:pPr>
        <w:jc w:val="both"/>
        <w:rPr>
          <w:rFonts w:ascii="Arial" w:hAnsi="Arial" w:cs="Arial"/>
          <w:color w:val="000000" w:themeColor="text1"/>
          <w:sz w:val="20"/>
          <w:szCs w:val="20"/>
          <w:lang w:val="en-US"/>
        </w:rPr>
      </w:pPr>
      <w:r w:rsidRPr="00FB45A3">
        <w:rPr>
          <w:rStyle w:val="FootnoteReference"/>
          <w:rFonts w:ascii="Arial" w:hAnsi="Arial" w:cs="Arial"/>
          <w:color w:val="000000" w:themeColor="text1"/>
          <w:sz w:val="20"/>
          <w:szCs w:val="20"/>
        </w:rPr>
        <w:footnoteRef/>
      </w:r>
      <w:r w:rsidRPr="00FB45A3">
        <w:rPr>
          <w:rFonts w:ascii="Arial" w:hAnsi="Arial" w:cs="Arial"/>
          <w:color w:val="000000" w:themeColor="text1"/>
          <w:sz w:val="20"/>
          <w:szCs w:val="20"/>
        </w:rPr>
        <w:t xml:space="preserve"> </w:t>
      </w:r>
      <w:r w:rsidRPr="00FB45A3">
        <w:rPr>
          <w:rFonts w:ascii="Arial" w:hAnsi="Arial" w:cs="Arial"/>
          <w:i/>
          <w:iCs/>
          <w:color w:val="000000" w:themeColor="text1"/>
          <w:sz w:val="20"/>
          <w:szCs w:val="20"/>
          <w:lang w:val="en-US"/>
        </w:rPr>
        <w:t xml:space="preserve">State Information Technology Agency </w:t>
      </w:r>
      <w:r w:rsidR="0063269B" w:rsidRPr="00FB45A3">
        <w:rPr>
          <w:rFonts w:ascii="Arial" w:hAnsi="Arial" w:cs="Arial"/>
          <w:i/>
          <w:iCs/>
          <w:color w:val="000000" w:themeColor="text1"/>
          <w:sz w:val="20"/>
          <w:szCs w:val="20"/>
          <w:lang w:val="en-US"/>
        </w:rPr>
        <w:t xml:space="preserve">SOC </w:t>
      </w:r>
      <w:r w:rsidRPr="00FB45A3">
        <w:rPr>
          <w:rFonts w:ascii="Arial" w:hAnsi="Arial" w:cs="Arial"/>
          <w:i/>
          <w:iCs/>
          <w:color w:val="000000" w:themeColor="text1"/>
          <w:sz w:val="20"/>
          <w:szCs w:val="20"/>
          <w:lang w:val="en-US"/>
        </w:rPr>
        <w:t>Ltd v Gijima Holdings (Pty) Ltd</w:t>
      </w:r>
      <w:r w:rsidRPr="00FB45A3">
        <w:rPr>
          <w:rStyle w:val="apple-converted-space"/>
          <w:rFonts w:ascii="Arial" w:hAnsi="Arial" w:cs="Arial"/>
          <w:color w:val="000000" w:themeColor="text1"/>
          <w:sz w:val="20"/>
          <w:szCs w:val="20"/>
          <w:lang w:val="en-US"/>
        </w:rPr>
        <w:t> </w:t>
      </w:r>
      <w:r w:rsidRPr="00FB45A3">
        <w:rPr>
          <w:rFonts w:ascii="Arial" w:hAnsi="Arial" w:cs="Arial"/>
          <w:sz w:val="20"/>
          <w:szCs w:val="20"/>
          <w:lang w:val="en-US"/>
        </w:rPr>
        <w:t>[2017] ZACC 40</w:t>
      </w:r>
      <w:r w:rsidRPr="00FB45A3">
        <w:rPr>
          <w:rFonts w:ascii="Arial" w:hAnsi="Arial" w:cs="Arial"/>
          <w:color w:val="000000" w:themeColor="text1"/>
          <w:sz w:val="20"/>
          <w:szCs w:val="20"/>
          <w:lang w:val="en-US"/>
        </w:rPr>
        <w:t>;</w:t>
      </w:r>
      <w:r w:rsidRPr="00FB45A3">
        <w:rPr>
          <w:rStyle w:val="apple-converted-space"/>
          <w:rFonts w:ascii="Arial" w:hAnsi="Arial" w:cs="Arial"/>
          <w:color w:val="000000" w:themeColor="text1"/>
          <w:sz w:val="20"/>
          <w:szCs w:val="20"/>
          <w:lang w:val="en-US"/>
        </w:rPr>
        <w:t> </w:t>
      </w:r>
      <w:r w:rsidRPr="00FB45A3">
        <w:rPr>
          <w:rFonts w:ascii="Arial" w:hAnsi="Arial" w:cs="Arial"/>
          <w:sz w:val="20"/>
          <w:szCs w:val="20"/>
          <w:lang w:val="en-US"/>
        </w:rPr>
        <w:t>2018 (2) SA 23</w:t>
      </w:r>
      <w:r w:rsidRPr="00FB45A3">
        <w:rPr>
          <w:rStyle w:val="apple-converted-space"/>
          <w:rFonts w:ascii="Arial" w:hAnsi="Arial" w:cs="Arial"/>
          <w:color w:val="000000" w:themeColor="text1"/>
          <w:sz w:val="20"/>
          <w:szCs w:val="20"/>
          <w:lang w:val="en-US"/>
        </w:rPr>
        <w:t> </w:t>
      </w:r>
      <w:r w:rsidRPr="00FB45A3">
        <w:rPr>
          <w:rFonts w:ascii="Arial" w:hAnsi="Arial" w:cs="Arial"/>
          <w:color w:val="000000" w:themeColor="text1"/>
          <w:sz w:val="20"/>
          <w:szCs w:val="20"/>
          <w:lang w:val="en-US"/>
        </w:rPr>
        <w:t>(CC)</w:t>
      </w:r>
      <w:r w:rsidR="002F37B9" w:rsidRPr="00FB45A3">
        <w:rPr>
          <w:rFonts w:ascii="Arial" w:hAnsi="Arial" w:cs="Arial"/>
          <w:color w:val="000000" w:themeColor="text1"/>
          <w:sz w:val="20"/>
          <w:szCs w:val="20"/>
          <w:lang w:val="en-US"/>
        </w:rPr>
        <w:t>.</w:t>
      </w:r>
    </w:p>
  </w:footnote>
  <w:footnote w:id="6">
    <w:p w14:paraId="394A64A4" w14:textId="77777777" w:rsidR="00D73B1D" w:rsidRPr="00A20903" w:rsidRDefault="00D73B1D" w:rsidP="00FB45A3">
      <w:pPr>
        <w:pStyle w:val="FootnoteText"/>
        <w:jc w:val="both"/>
        <w:rPr>
          <w:rFonts w:ascii="Arial" w:hAnsi="Arial" w:cs="Arial"/>
          <w:i/>
          <w:lang w:val="en-GB"/>
        </w:rPr>
      </w:pPr>
      <w:r w:rsidRPr="00FB45A3">
        <w:rPr>
          <w:rStyle w:val="FootnoteReference"/>
          <w:rFonts w:ascii="Arial" w:hAnsi="Arial" w:cs="Arial"/>
        </w:rPr>
        <w:footnoteRef/>
      </w:r>
      <w:r w:rsidRPr="00FB45A3">
        <w:rPr>
          <w:rFonts w:ascii="Arial" w:hAnsi="Arial" w:cs="Arial"/>
        </w:rPr>
        <w:t xml:space="preserve"> Regulations in connection with the Greater St Lucia Wetland Park</w:t>
      </w:r>
      <w:r w:rsidR="00AD5604" w:rsidRPr="00FB45A3">
        <w:rPr>
          <w:rFonts w:ascii="Arial" w:hAnsi="Arial" w:cs="Arial"/>
        </w:rPr>
        <w:t>,</w:t>
      </w:r>
      <w:r w:rsidRPr="00FB45A3">
        <w:rPr>
          <w:rFonts w:ascii="Arial" w:hAnsi="Arial" w:cs="Arial"/>
        </w:rPr>
        <w:t xml:space="preserve"> GN R1193, </w:t>
      </w:r>
      <w:r w:rsidRPr="00FB45A3">
        <w:rPr>
          <w:rFonts w:ascii="Arial" w:hAnsi="Arial" w:cs="Arial"/>
          <w:i/>
        </w:rPr>
        <w:t xml:space="preserve">GG </w:t>
      </w:r>
      <w:r w:rsidRPr="00A20903">
        <w:rPr>
          <w:rFonts w:ascii="Arial" w:hAnsi="Arial" w:cs="Arial"/>
          <w:bCs/>
        </w:rPr>
        <w:t>21779</w:t>
      </w:r>
      <w:r w:rsidRPr="00FB45A3">
        <w:rPr>
          <w:rFonts w:ascii="Arial" w:hAnsi="Arial" w:cs="Arial"/>
          <w:bCs/>
          <w:i/>
        </w:rPr>
        <w:t xml:space="preserve">, </w:t>
      </w:r>
      <w:r w:rsidRPr="00FB45A3">
        <w:rPr>
          <w:rFonts w:ascii="Arial" w:hAnsi="Arial" w:cs="Arial"/>
          <w:bCs/>
        </w:rPr>
        <w:t>24 November 2000 (‘the Regulations’).</w:t>
      </w:r>
      <w:r w:rsidRPr="00FB45A3">
        <w:rPr>
          <w:rFonts w:ascii="Arial" w:hAnsi="Arial" w:cs="Arial"/>
          <w:bCs/>
          <w:i/>
        </w:rPr>
        <w:t xml:space="preserve"> </w:t>
      </w:r>
      <w:r w:rsidRPr="00FB45A3">
        <w:rPr>
          <w:rFonts w:ascii="Arial" w:hAnsi="Arial" w:cs="Arial"/>
          <w:i/>
        </w:rPr>
        <w:t xml:space="preserve"> </w:t>
      </w:r>
    </w:p>
  </w:footnote>
  <w:footnote w:id="7">
    <w:p w14:paraId="7603C370" w14:textId="77777777" w:rsidR="005B77AD" w:rsidRPr="00FB45A3" w:rsidRDefault="005B77AD" w:rsidP="00FB45A3">
      <w:pPr>
        <w:jc w:val="both"/>
        <w:rPr>
          <w:rFonts w:ascii="Arial" w:hAnsi="Arial" w:cs="Arial"/>
          <w:color w:val="000000" w:themeColor="text1"/>
          <w:sz w:val="20"/>
          <w:szCs w:val="20"/>
        </w:rPr>
      </w:pPr>
      <w:r w:rsidRPr="00FB45A3">
        <w:rPr>
          <w:rStyle w:val="FootnoteReference"/>
          <w:rFonts w:ascii="Arial" w:hAnsi="Arial" w:cs="Arial"/>
          <w:color w:val="000000" w:themeColor="text1"/>
          <w:sz w:val="20"/>
          <w:szCs w:val="20"/>
        </w:rPr>
        <w:footnoteRef/>
      </w:r>
      <w:r w:rsidRPr="00FB45A3">
        <w:rPr>
          <w:rFonts w:ascii="Arial" w:hAnsi="Arial" w:cs="Arial"/>
          <w:color w:val="000000" w:themeColor="text1"/>
          <w:sz w:val="20"/>
          <w:szCs w:val="20"/>
        </w:rPr>
        <w:t xml:space="preserve"> </w:t>
      </w:r>
      <w:r w:rsidR="007C7E1B" w:rsidRPr="00FB45A3">
        <w:rPr>
          <w:rFonts w:ascii="Arial" w:hAnsi="Arial" w:cs="Arial"/>
          <w:color w:val="000000" w:themeColor="text1"/>
          <w:sz w:val="20"/>
          <w:szCs w:val="20"/>
          <w:shd w:val="clear" w:color="auto" w:fill="FFFFFF"/>
        </w:rPr>
        <w:t>A period of 180-days is set by s 7(1) of PAJA, which may be extended under s 9 of that Act.</w:t>
      </w:r>
    </w:p>
  </w:footnote>
  <w:footnote w:id="8">
    <w:p w14:paraId="096D940E" w14:textId="77777777" w:rsidR="007C7E1B" w:rsidRPr="00FB45A3" w:rsidRDefault="007C7E1B" w:rsidP="00FB45A3">
      <w:pPr>
        <w:pStyle w:val="Heading2"/>
        <w:spacing w:before="0" w:beforeAutospacing="0" w:after="0" w:afterAutospacing="0"/>
        <w:jc w:val="both"/>
        <w:rPr>
          <w:rFonts w:ascii="Arial" w:hAnsi="Arial" w:cs="Arial"/>
          <w:color w:val="000000" w:themeColor="text1"/>
          <w:sz w:val="20"/>
          <w:szCs w:val="20"/>
          <w:lang w:val="en-US"/>
        </w:rPr>
      </w:pPr>
      <w:r w:rsidRPr="00FB45A3">
        <w:rPr>
          <w:rStyle w:val="FootnoteReference"/>
          <w:rFonts w:ascii="Arial" w:hAnsi="Arial" w:cs="Arial"/>
          <w:b w:val="0"/>
          <w:bCs w:val="0"/>
          <w:color w:val="000000" w:themeColor="text1"/>
          <w:sz w:val="20"/>
          <w:szCs w:val="20"/>
        </w:rPr>
        <w:footnoteRef/>
      </w:r>
      <w:r w:rsidR="00AB2FE2" w:rsidRPr="00FB45A3">
        <w:rPr>
          <w:rFonts w:ascii="Arial" w:hAnsi="Arial" w:cs="Arial"/>
          <w:b w:val="0"/>
          <w:bCs w:val="0"/>
          <w:i/>
          <w:iCs/>
          <w:color w:val="000000" w:themeColor="text1"/>
          <w:sz w:val="20"/>
          <w:szCs w:val="20"/>
        </w:rPr>
        <w:t xml:space="preserve">Altech Radio Holdings (Pty) Limited and </w:t>
      </w:r>
      <w:r w:rsidR="003E058A" w:rsidRPr="00FB45A3">
        <w:rPr>
          <w:rFonts w:ascii="Arial" w:hAnsi="Arial" w:cs="Arial"/>
          <w:b w:val="0"/>
          <w:bCs w:val="0"/>
          <w:i/>
          <w:iCs/>
          <w:color w:val="000000" w:themeColor="text1"/>
          <w:sz w:val="20"/>
          <w:szCs w:val="20"/>
        </w:rPr>
        <w:t xml:space="preserve">others </w:t>
      </w:r>
      <w:r w:rsidR="00AB2FE2" w:rsidRPr="00FB45A3">
        <w:rPr>
          <w:rFonts w:ascii="Arial" w:hAnsi="Arial" w:cs="Arial"/>
          <w:b w:val="0"/>
          <w:bCs w:val="0"/>
          <w:i/>
          <w:iCs/>
          <w:color w:val="000000" w:themeColor="text1"/>
          <w:sz w:val="20"/>
          <w:szCs w:val="20"/>
        </w:rPr>
        <w:t>v Tshwane</w:t>
      </w:r>
      <w:r w:rsidR="003E058A" w:rsidRPr="00FB45A3">
        <w:rPr>
          <w:rFonts w:ascii="Arial" w:hAnsi="Arial" w:cs="Arial"/>
          <w:b w:val="0"/>
          <w:bCs w:val="0"/>
          <w:i/>
          <w:iCs/>
          <w:color w:val="000000" w:themeColor="text1"/>
          <w:sz w:val="20"/>
          <w:szCs w:val="20"/>
        </w:rPr>
        <w:t xml:space="preserve"> City</w:t>
      </w:r>
      <w:r w:rsidR="00AB2FE2" w:rsidRPr="00FB45A3">
        <w:rPr>
          <w:rFonts w:ascii="Arial" w:hAnsi="Arial" w:cs="Arial"/>
          <w:b w:val="0"/>
          <w:bCs w:val="0"/>
          <w:color w:val="000000" w:themeColor="text1"/>
          <w:sz w:val="20"/>
          <w:szCs w:val="20"/>
        </w:rPr>
        <w:t xml:space="preserve"> [2020] ZASCA 122; 2021 (3) SA 25 (SCA)</w:t>
      </w:r>
      <w:r w:rsidR="009165EC" w:rsidRPr="00FB45A3">
        <w:rPr>
          <w:rFonts w:ascii="Arial" w:hAnsi="Arial" w:cs="Arial"/>
          <w:b w:val="0"/>
          <w:bCs w:val="0"/>
          <w:color w:val="000000" w:themeColor="text1"/>
          <w:sz w:val="20"/>
          <w:szCs w:val="20"/>
        </w:rPr>
        <w:t xml:space="preserve"> (‘</w:t>
      </w:r>
      <w:r w:rsidR="009165EC" w:rsidRPr="00FB45A3">
        <w:rPr>
          <w:rFonts w:ascii="Arial" w:hAnsi="Arial" w:cs="Arial"/>
          <w:b w:val="0"/>
          <w:bCs w:val="0"/>
          <w:i/>
          <w:color w:val="000000" w:themeColor="text1"/>
          <w:sz w:val="20"/>
          <w:szCs w:val="20"/>
        </w:rPr>
        <w:t>Altech’)</w:t>
      </w:r>
      <w:r w:rsidR="00AB2FE2" w:rsidRPr="00FB45A3">
        <w:rPr>
          <w:rFonts w:ascii="Arial" w:hAnsi="Arial" w:cs="Arial"/>
          <w:b w:val="0"/>
          <w:bCs w:val="0"/>
          <w:color w:val="000000" w:themeColor="text1"/>
          <w:sz w:val="20"/>
          <w:szCs w:val="20"/>
        </w:rPr>
        <w:t xml:space="preserve"> para 18.</w:t>
      </w:r>
    </w:p>
  </w:footnote>
  <w:footnote w:id="9">
    <w:p w14:paraId="4BD59402" w14:textId="77777777" w:rsidR="00285F7A" w:rsidRPr="00FB45A3" w:rsidRDefault="00285F7A" w:rsidP="00FB45A3">
      <w:pPr>
        <w:jc w:val="both"/>
        <w:rPr>
          <w:rFonts w:ascii="Arial" w:hAnsi="Arial" w:cs="Arial"/>
          <w:color w:val="000000" w:themeColor="text1"/>
          <w:sz w:val="20"/>
          <w:szCs w:val="20"/>
        </w:rPr>
      </w:pPr>
      <w:r w:rsidRPr="00FB45A3">
        <w:rPr>
          <w:rStyle w:val="FootnoteReference"/>
          <w:rFonts w:ascii="Arial" w:hAnsi="Arial" w:cs="Arial"/>
          <w:color w:val="000000" w:themeColor="text1"/>
          <w:sz w:val="20"/>
          <w:szCs w:val="20"/>
        </w:rPr>
        <w:footnoteRef/>
      </w:r>
      <w:r w:rsidRPr="00FB45A3">
        <w:rPr>
          <w:rFonts w:ascii="Arial" w:hAnsi="Arial" w:cs="Arial"/>
          <w:color w:val="000000" w:themeColor="text1"/>
          <w:sz w:val="20"/>
          <w:szCs w:val="20"/>
        </w:rPr>
        <w:t xml:space="preserve"> </w:t>
      </w:r>
      <w:r w:rsidRPr="00FB45A3">
        <w:rPr>
          <w:rFonts w:ascii="Arial" w:hAnsi="Arial" w:cs="Arial"/>
          <w:i/>
          <w:iCs/>
          <w:color w:val="000000" w:themeColor="text1"/>
          <w:sz w:val="20"/>
          <w:szCs w:val="20"/>
        </w:rPr>
        <w:t xml:space="preserve">Buffalo City Metropolitan Municipality v </w:t>
      </w:r>
      <w:r w:rsidR="00766ABE" w:rsidRPr="00FB45A3">
        <w:rPr>
          <w:rFonts w:ascii="Arial" w:hAnsi="Arial" w:cs="Arial"/>
          <w:i/>
          <w:iCs/>
          <w:color w:val="000000" w:themeColor="text1"/>
          <w:sz w:val="20"/>
          <w:szCs w:val="20"/>
        </w:rPr>
        <w:t xml:space="preserve">Asla </w:t>
      </w:r>
      <w:r w:rsidRPr="00FB45A3">
        <w:rPr>
          <w:rFonts w:ascii="Arial" w:hAnsi="Arial" w:cs="Arial"/>
          <w:i/>
          <w:iCs/>
          <w:color w:val="000000" w:themeColor="text1"/>
          <w:sz w:val="20"/>
          <w:szCs w:val="20"/>
        </w:rPr>
        <w:t>Construction (Pty) Limited</w:t>
      </w:r>
      <w:r w:rsidRPr="00FB45A3">
        <w:rPr>
          <w:rFonts w:ascii="Arial" w:hAnsi="Arial" w:cs="Arial"/>
          <w:color w:val="000000" w:themeColor="text1"/>
          <w:sz w:val="20"/>
          <w:szCs w:val="20"/>
          <w:shd w:val="clear" w:color="auto" w:fill="FFFFFF"/>
        </w:rPr>
        <w:t xml:space="preserve"> </w:t>
      </w:r>
      <w:r w:rsidR="00766ABE" w:rsidRPr="00FB45A3">
        <w:rPr>
          <w:rFonts w:ascii="Arial" w:hAnsi="Arial" w:cs="Arial"/>
          <w:color w:val="000000" w:themeColor="text1"/>
          <w:sz w:val="20"/>
          <w:szCs w:val="20"/>
          <w:shd w:val="clear" w:color="auto" w:fill="FFFFFF"/>
        </w:rPr>
        <w:t xml:space="preserve">[2019] ZACC 15; </w:t>
      </w:r>
      <w:r w:rsidRPr="00FB45A3">
        <w:rPr>
          <w:rFonts w:ascii="Arial" w:hAnsi="Arial" w:cs="Arial"/>
          <w:color w:val="000000" w:themeColor="text1"/>
          <w:sz w:val="20"/>
          <w:szCs w:val="20"/>
          <w:shd w:val="clear" w:color="auto" w:fill="FFFFFF"/>
        </w:rPr>
        <w:t xml:space="preserve">2019 (4) SA 331 (CC) </w:t>
      </w:r>
      <w:r w:rsidR="009165EC" w:rsidRPr="00FB45A3">
        <w:rPr>
          <w:rFonts w:ascii="Arial" w:hAnsi="Arial" w:cs="Arial"/>
          <w:color w:val="000000" w:themeColor="text1"/>
          <w:sz w:val="20"/>
          <w:szCs w:val="20"/>
          <w:shd w:val="clear" w:color="auto" w:fill="FFFFFF"/>
        </w:rPr>
        <w:t>(‘</w:t>
      </w:r>
      <w:r w:rsidR="009165EC" w:rsidRPr="00FB45A3">
        <w:rPr>
          <w:rFonts w:ascii="Arial" w:hAnsi="Arial" w:cs="Arial"/>
          <w:i/>
          <w:color w:val="000000" w:themeColor="text1"/>
          <w:sz w:val="20"/>
          <w:szCs w:val="20"/>
          <w:shd w:val="clear" w:color="auto" w:fill="FFFFFF"/>
        </w:rPr>
        <w:t>Asla (CC)</w:t>
      </w:r>
      <w:r w:rsidR="009165EC" w:rsidRPr="00FB45A3">
        <w:rPr>
          <w:rFonts w:ascii="Arial" w:hAnsi="Arial" w:cs="Arial"/>
          <w:color w:val="000000" w:themeColor="text1"/>
          <w:sz w:val="20"/>
          <w:szCs w:val="20"/>
          <w:shd w:val="clear" w:color="auto" w:fill="FFFFFF"/>
        </w:rPr>
        <w:t>’)</w:t>
      </w:r>
      <w:r w:rsidRPr="00FB45A3">
        <w:rPr>
          <w:rFonts w:ascii="Arial" w:hAnsi="Arial" w:cs="Arial"/>
          <w:color w:val="000000" w:themeColor="text1"/>
          <w:sz w:val="20"/>
          <w:szCs w:val="20"/>
          <w:shd w:val="clear" w:color="auto" w:fill="FFFFFF"/>
        </w:rPr>
        <w:t>.</w:t>
      </w:r>
    </w:p>
  </w:footnote>
  <w:footnote w:id="10">
    <w:p w14:paraId="5B9BF009" w14:textId="77777777" w:rsidR="006574E1" w:rsidRPr="00FB45A3" w:rsidRDefault="006574E1" w:rsidP="00FB45A3">
      <w:pPr>
        <w:pStyle w:val="ListParagraph"/>
        <w:tabs>
          <w:tab w:val="left" w:pos="709"/>
        </w:tabs>
        <w:ind w:left="0"/>
        <w:jc w:val="both"/>
        <w:rPr>
          <w:rFonts w:ascii="Arial" w:hAnsi="Arial" w:cs="Arial"/>
          <w:color w:val="000000" w:themeColor="text1"/>
          <w:sz w:val="20"/>
          <w:szCs w:val="20"/>
          <w:lang w:val="en-US"/>
        </w:rPr>
      </w:pPr>
      <w:r w:rsidRPr="00FB45A3">
        <w:rPr>
          <w:rStyle w:val="FootnoteReference"/>
          <w:rFonts w:ascii="Arial" w:hAnsi="Arial" w:cs="Arial"/>
          <w:color w:val="000000" w:themeColor="text1"/>
          <w:sz w:val="20"/>
          <w:szCs w:val="20"/>
        </w:rPr>
        <w:footnoteRef/>
      </w:r>
      <w:r w:rsidRPr="00FB45A3">
        <w:rPr>
          <w:rFonts w:ascii="Arial" w:hAnsi="Arial" w:cs="Arial"/>
          <w:color w:val="000000" w:themeColor="text1"/>
          <w:sz w:val="20"/>
          <w:szCs w:val="20"/>
        </w:rPr>
        <w:t xml:space="preserve"> </w:t>
      </w:r>
      <w:r w:rsidRPr="00FB45A3">
        <w:rPr>
          <w:rFonts w:ascii="Arial" w:hAnsi="Arial" w:cs="Arial"/>
          <w:i/>
          <w:iCs/>
          <w:color w:val="000000" w:themeColor="text1"/>
          <w:sz w:val="20"/>
          <w:szCs w:val="20"/>
        </w:rPr>
        <w:t xml:space="preserve">Gqwetha v Transkei Development Corporation Ltd and </w:t>
      </w:r>
      <w:r w:rsidR="00766ABE" w:rsidRPr="00FB45A3">
        <w:rPr>
          <w:rFonts w:ascii="Arial" w:hAnsi="Arial" w:cs="Arial"/>
          <w:i/>
          <w:iCs/>
          <w:color w:val="000000" w:themeColor="text1"/>
          <w:sz w:val="20"/>
          <w:szCs w:val="20"/>
        </w:rPr>
        <w:t xml:space="preserve">others </w:t>
      </w:r>
      <w:r w:rsidR="007D5463" w:rsidRPr="00FB45A3">
        <w:rPr>
          <w:rFonts w:ascii="Arial" w:hAnsi="Arial" w:cs="Arial"/>
          <w:color w:val="000000" w:themeColor="text1"/>
          <w:sz w:val="20"/>
          <w:szCs w:val="20"/>
        </w:rPr>
        <w:t>2006 (2) SA 603 (SCA);</w:t>
      </w:r>
      <w:r w:rsidR="007D5463" w:rsidRPr="00FB45A3" w:rsidDel="00766ABE">
        <w:rPr>
          <w:rFonts w:ascii="Arial" w:hAnsi="Arial" w:cs="Arial"/>
          <w:color w:val="000000" w:themeColor="text1"/>
          <w:sz w:val="20"/>
          <w:szCs w:val="20"/>
        </w:rPr>
        <w:t xml:space="preserve"> </w:t>
      </w:r>
      <w:r w:rsidRPr="00FB45A3">
        <w:rPr>
          <w:rFonts w:ascii="Arial" w:hAnsi="Arial" w:cs="Arial"/>
          <w:color w:val="000000" w:themeColor="text1"/>
          <w:sz w:val="20"/>
          <w:szCs w:val="20"/>
        </w:rPr>
        <w:t>[2006] 3 All SA 245 (SCA).</w:t>
      </w:r>
    </w:p>
  </w:footnote>
  <w:footnote w:id="11">
    <w:p w14:paraId="085464E9" w14:textId="77777777" w:rsidR="006574E1" w:rsidRPr="00FB45A3" w:rsidRDefault="006574E1" w:rsidP="00FB45A3">
      <w:pPr>
        <w:pStyle w:val="ListParagraph"/>
        <w:tabs>
          <w:tab w:val="left" w:pos="709"/>
        </w:tabs>
        <w:ind w:left="0"/>
        <w:jc w:val="both"/>
        <w:rPr>
          <w:rFonts w:ascii="Arial" w:hAnsi="Arial" w:cs="Arial"/>
          <w:color w:val="000000" w:themeColor="text1"/>
          <w:sz w:val="20"/>
          <w:szCs w:val="20"/>
          <w:lang w:val="en-US"/>
        </w:rPr>
      </w:pPr>
      <w:r w:rsidRPr="00FB45A3">
        <w:rPr>
          <w:rStyle w:val="FootnoteReference"/>
          <w:rFonts w:ascii="Arial" w:hAnsi="Arial" w:cs="Arial"/>
          <w:color w:val="000000" w:themeColor="text1"/>
          <w:sz w:val="20"/>
          <w:szCs w:val="20"/>
        </w:rPr>
        <w:footnoteRef/>
      </w:r>
      <w:r w:rsidRPr="00FB45A3">
        <w:rPr>
          <w:rFonts w:ascii="Arial" w:hAnsi="Arial" w:cs="Arial"/>
          <w:color w:val="000000" w:themeColor="text1"/>
          <w:sz w:val="20"/>
          <w:szCs w:val="20"/>
        </w:rPr>
        <w:t xml:space="preserve"> </w:t>
      </w:r>
      <w:r w:rsidRPr="00FB45A3">
        <w:rPr>
          <w:rFonts w:ascii="Arial" w:hAnsi="Arial" w:cs="Arial"/>
          <w:i/>
          <w:iCs/>
          <w:color w:val="000000" w:themeColor="text1"/>
          <w:sz w:val="20"/>
          <w:szCs w:val="20"/>
        </w:rPr>
        <w:t>Khumalo</w:t>
      </w:r>
      <w:r w:rsidR="00870C2E" w:rsidRPr="00FB45A3">
        <w:rPr>
          <w:rFonts w:ascii="Arial" w:hAnsi="Arial" w:cs="Arial"/>
          <w:i/>
          <w:iCs/>
          <w:color w:val="000000" w:themeColor="text1"/>
          <w:sz w:val="20"/>
          <w:szCs w:val="20"/>
        </w:rPr>
        <w:t xml:space="preserve"> and another</w:t>
      </w:r>
      <w:r w:rsidRPr="00FB45A3">
        <w:rPr>
          <w:rFonts w:ascii="Arial" w:hAnsi="Arial" w:cs="Arial"/>
          <w:i/>
          <w:iCs/>
          <w:color w:val="000000" w:themeColor="text1"/>
          <w:sz w:val="20"/>
          <w:szCs w:val="20"/>
        </w:rPr>
        <w:t xml:space="preserve"> v </w:t>
      </w:r>
      <w:r w:rsidR="007D5463" w:rsidRPr="00FB45A3">
        <w:rPr>
          <w:rFonts w:ascii="Arial" w:hAnsi="Arial" w:cs="Arial"/>
          <w:i/>
          <w:iCs/>
          <w:color w:val="000000" w:themeColor="text1"/>
          <w:sz w:val="20"/>
          <w:szCs w:val="20"/>
        </w:rPr>
        <w:t>MEC</w:t>
      </w:r>
      <w:r w:rsidRPr="00FB45A3">
        <w:rPr>
          <w:rFonts w:ascii="Arial" w:hAnsi="Arial" w:cs="Arial"/>
          <w:i/>
          <w:iCs/>
          <w:color w:val="000000" w:themeColor="text1"/>
          <w:sz w:val="20"/>
          <w:szCs w:val="20"/>
        </w:rPr>
        <w:t xml:space="preserve"> for Education, KwaZulu</w:t>
      </w:r>
      <w:r w:rsidR="007D5463" w:rsidRPr="00FB45A3">
        <w:rPr>
          <w:rFonts w:ascii="Arial" w:hAnsi="Arial" w:cs="Arial"/>
          <w:i/>
          <w:iCs/>
          <w:color w:val="000000" w:themeColor="text1"/>
          <w:sz w:val="20"/>
          <w:szCs w:val="20"/>
        </w:rPr>
        <w:t>-</w:t>
      </w:r>
      <w:r w:rsidRPr="00FB45A3">
        <w:rPr>
          <w:rFonts w:ascii="Arial" w:hAnsi="Arial" w:cs="Arial"/>
          <w:i/>
          <w:iCs/>
          <w:color w:val="000000" w:themeColor="text1"/>
          <w:sz w:val="20"/>
          <w:szCs w:val="20"/>
        </w:rPr>
        <w:t>Nata</w:t>
      </w:r>
      <w:r w:rsidR="004A159F" w:rsidRPr="00FB45A3">
        <w:rPr>
          <w:rFonts w:ascii="Arial" w:hAnsi="Arial" w:cs="Arial"/>
          <w:i/>
          <w:iCs/>
          <w:color w:val="000000" w:themeColor="text1"/>
          <w:sz w:val="20"/>
          <w:szCs w:val="20"/>
        </w:rPr>
        <w:t>l</w:t>
      </w:r>
      <w:r w:rsidRPr="00FB45A3">
        <w:rPr>
          <w:rFonts w:ascii="Arial" w:hAnsi="Arial" w:cs="Arial"/>
          <w:i/>
          <w:iCs/>
          <w:color w:val="000000" w:themeColor="text1"/>
          <w:sz w:val="20"/>
          <w:szCs w:val="20"/>
        </w:rPr>
        <w:t> </w:t>
      </w:r>
      <w:r w:rsidRPr="00FB45A3">
        <w:rPr>
          <w:rFonts w:ascii="Arial" w:hAnsi="Arial" w:cs="Arial"/>
          <w:color w:val="000000" w:themeColor="text1"/>
          <w:sz w:val="20"/>
          <w:szCs w:val="20"/>
          <w:shd w:val="clear" w:color="auto" w:fill="FFFFFF"/>
        </w:rPr>
        <w:t>[2013] ZACC 49; 2014 (5) SA 579 (CC); 2014 (3) BCLR 333 (CC)</w:t>
      </w:r>
      <w:r w:rsidR="00593410" w:rsidRPr="00FB45A3">
        <w:rPr>
          <w:rFonts w:ascii="Arial" w:hAnsi="Arial" w:cs="Arial"/>
          <w:color w:val="000000" w:themeColor="text1"/>
          <w:sz w:val="20"/>
          <w:szCs w:val="20"/>
          <w:shd w:val="clear" w:color="auto" w:fill="FFFFFF"/>
        </w:rPr>
        <w:t xml:space="preserve"> (‘</w:t>
      </w:r>
      <w:r w:rsidR="00593410" w:rsidRPr="00FB45A3">
        <w:rPr>
          <w:rFonts w:ascii="Arial" w:hAnsi="Arial" w:cs="Arial"/>
          <w:i/>
          <w:color w:val="000000" w:themeColor="text1"/>
          <w:sz w:val="20"/>
          <w:szCs w:val="20"/>
          <w:shd w:val="clear" w:color="auto" w:fill="FFFFFF"/>
        </w:rPr>
        <w:t>Khumalo</w:t>
      </w:r>
      <w:r w:rsidR="00593410" w:rsidRPr="00A20903">
        <w:rPr>
          <w:rFonts w:ascii="Arial" w:hAnsi="Arial" w:cs="Arial"/>
          <w:color w:val="000000" w:themeColor="text1"/>
          <w:sz w:val="20"/>
          <w:szCs w:val="20"/>
          <w:shd w:val="clear" w:color="auto" w:fill="FFFFFF"/>
        </w:rPr>
        <w:t>’)</w:t>
      </w:r>
      <w:r w:rsidRPr="00FB45A3">
        <w:rPr>
          <w:rFonts w:ascii="Arial" w:hAnsi="Arial" w:cs="Arial"/>
          <w:color w:val="000000" w:themeColor="text1"/>
          <w:sz w:val="20"/>
          <w:szCs w:val="20"/>
          <w:shd w:val="clear" w:color="auto" w:fill="FFFFFF"/>
        </w:rPr>
        <w:t>.</w:t>
      </w:r>
    </w:p>
  </w:footnote>
  <w:footnote w:id="12">
    <w:p w14:paraId="28AFF7BE" w14:textId="77777777" w:rsidR="009D0E87" w:rsidRPr="00A20903" w:rsidRDefault="009D0E87" w:rsidP="00FB45A3">
      <w:pPr>
        <w:pStyle w:val="FootnoteText"/>
        <w:jc w:val="both"/>
        <w:rPr>
          <w:rFonts w:ascii="Arial" w:hAnsi="Arial" w:cs="Arial"/>
          <w:lang w:val="en-GB"/>
        </w:rPr>
      </w:pPr>
      <w:r w:rsidRPr="00FB45A3">
        <w:rPr>
          <w:rStyle w:val="FootnoteReference"/>
          <w:rFonts w:ascii="Arial" w:hAnsi="Arial" w:cs="Arial"/>
        </w:rPr>
        <w:footnoteRef/>
      </w:r>
      <w:r w:rsidRPr="00FB45A3">
        <w:rPr>
          <w:rFonts w:ascii="Arial" w:hAnsi="Arial" w:cs="Arial"/>
        </w:rPr>
        <w:t xml:space="preserve"> </w:t>
      </w:r>
      <w:r w:rsidRPr="00FB45A3">
        <w:rPr>
          <w:rFonts w:ascii="Arial" w:hAnsi="Arial" w:cs="Arial"/>
          <w:i/>
          <w:color w:val="000000" w:themeColor="text1"/>
          <w:shd w:val="clear" w:color="auto" w:fill="FFFFFF"/>
        </w:rPr>
        <w:t>Asla (CC)</w:t>
      </w:r>
      <w:r w:rsidRPr="00FB45A3">
        <w:rPr>
          <w:rFonts w:ascii="Arial" w:hAnsi="Arial" w:cs="Arial"/>
          <w:color w:val="000000" w:themeColor="text1"/>
          <w:shd w:val="clear" w:color="auto" w:fill="FFFFFF"/>
        </w:rPr>
        <w:t xml:space="preserve"> para 48</w:t>
      </w:r>
    </w:p>
  </w:footnote>
  <w:footnote w:id="13">
    <w:p w14:paraId="01BFF73D" w14:textId="77777777" w:rsidR="00285F7A" w:rsidRPr="00FB45A3" w:rsidRDefault="00285F7A" w:rsidP="00FB45A3">
      <w:pPr>
        <w:pStyle w:val="FootnoteText"/>
        <w:jc w:val="both"/>
        <w:rPr>
          <w:rFonts w:ascii="Arial" w:hAnsi="Arial" w:cs="Arial"/>
          <w:color w:val="000000" w:themeColor="text1"/>
          <w:lang w:val="en-US"/>
        </w:rPr>
      </w:pPr>
      <w:r w:rsidRPr="00FB45A3">
        <w:rPr>
          <w:rStyle w:val="FootnoteReference"/>
          <w:rFonts w:ascii="Arial" w:hAnsi="Arial" w:cs="Arial"/>
          <w:color w:val="000000" w:themeColor="text1"/>
        </w:rPr>
        <w:footnoteRef/>
      </w:r>
      <w:r w:rsidRPr="00FB45A3">
        <w:rPr>
          <w:rFonts w:ascii="Arial" w:hAnsi="Arial" w:cs="Arial"/>
          <w:color w:val="000000" w:themeColor="text1"/>
        </w:rPr>
        <w:t xml:space="preserve"> </w:t>
      </w:r>
      <w:r w:rsidR="00295303" w:rsidRPr="00A20903">
        <w:rPr>
          <w:rFonts w:ascii="Arial" w:hAnsi="Arial" w:cs="Arial"/>
          <w:iCs/>
          <w:color w:val="000000" w:themeColor="text1"/>
        </w:rPr>
        <w:t>Ibid</w:t>
      </w:r>
      <w:r w:rsidRPr="00FB45A3">
        <w:rPr>
          <w:rFonts w:ascii="Arial" w:hAnsi="Arial" w:cs="Arial"/>
          <w:color w:val="000000" w:themeColor="text1"/>
          <w:lang w:val="en-US"/>
        </w:rPr>
        <w:t xml:space="preserve"> para </w:t>
      </w:r>
      <w:r w:rsidR="00334A02" w:rsidRPr="00FB45A3">
        <w:rPr>
          <w:rFonts w:ascii="Arial" w:hAnsi="Arial" w:cs="Arial"/>
          <w:color w:val="000000" w:themeColor="text1"/>
          <w:lang w:val="en-US"/>
        </w:rPr>
        <w:t>52.</w:t>
      </w:r>
    </w:p>
  </w:footnote>
  <w:footnote w:id="14">
    <w:p w14:paraId="3C7C9004" w14:textId="77777777" w:rsidR="00134C2A" w:rsidRPr="00FB45A3" w:rsidRDefault="00134C2A" w:rsidP="00FB45A3">
      <w:pPr>
        <w:pStyle w:val="FootnoteText"/>
        <w:jc w:val="both"/>
        <w:rPr>
          <w:rFonts w:ascii="Arial" w:hAnsi="Arial" w:cs="Arial"/>
          <w:lang w:val="en-US"/>
        </w:rPr>
      </w:pPr>
      <w:r w:rsidRPr="00FB45A3">
        <w:rPr>
          <w:rStyle w:val="FootnoteReference"/>
          <w:rFonts w:ascii="Arial" w:hAnsi="Arial" w:cs="Arial"/>
        </w:rPr>
        <w:footnoteRef/>
      </w:r>
      <w:r w:rsidRPr="00FB45A3">
        <w:rPr>
          <w:rFonts w:ascii="Arial" w:hAnsi="Arial" w:cs="Arial"/>
        </w:rPr>
        <w:t xml:space="preserve"> </w:t>
      </w:r>
      <w:r w:rsidRPr="00FB45A3">
        <w:rPr>
          <w:rFonts w:ascii="Arial" w:hAnsi="Arial" w:cs="Arial"/>
          <w:i/>
          <w:iCs/>
          <w:color w:val="000000" w:themeColor="text1"/>
        </w:rPr>
        <w:t xml:space="preserve">Altech </w:t>
      </w:r>
      <w:r w:rsidRPr="00FB45A3">
        <w:rPr>
          <w:rFonts w:ascii="Arial" w:hAnsi="Arial" w:cs="Arial"/>
          <w:color w:val="000000" w:themeColor="text1"/>
        </w:rPr>
        <w:t>para 18.</w:t>
      </w:r>
    </w:p>
  </w:footnote>
  <w:footnote w:id="15">
    <w:p w14:paraId="11ADAD6B" w14:textId="77777777" w:rsidR="00E6043F" w:rsidRPr="00FB45A3" w:rsidRDefault="00E6043F" w:rsidP="00FB45A3">
      <w:pPr>
        <w:jc w:val="both"/>
        <w:rPr>
          <w:rFonts w:ascii="Arial" w:hAnsi="Arial" w:cs="Arial"/>
          <w:sz w:val="20"/>
          <w:szCs w:val="20"/>
          <w:lang w:val="en-US"/>
        </w:rPr>
      </w:pPr>
      <w:r w:rsidRPr="00FB45A3">
        <w:rPr>
          <w:rStyle w:val="FootnoteReference"/>
          <w:rFonts w:ascii="Arial" w:hAnsi="Arial" w:cs="Arial"/>
          <w:sz w:val="20"/>
          <w:szCs w:val="20"/>
        </w:rPr>
        <w:footnoteRef/>
      </w:r>
      <w:r w:rsidRPr="00FB45A3">
        <w:rPr>
          <w:rFonts w:ascii="Arial" w:hAnsi="Arial" w:cs="Arial"/>
          <w:sz w:val="20"/>
          <w:szCs w:val="20"/>
        </w:rPr>
        <w:t xml:space="preserve"> </w:t>
      </w:r>
      <w:r w:rsidRPr="00FB45A3">
        <w:rPr>
          <w:rFonts w:ascii="Arial" w:hAnsi="Arial" w:cs="Arial"/>
          <w:i/>
          <w:iCs/>
          <w:color w:val="242121"/>
          <w:sz w:val="20"/>
          <w:szCs w:val="20"/>
          <w:lang w:val="en-GB"/>
        </w:rPr>
        <w:t>Merafong City v AngloGold Ashanti Limited</w:t>
      </w:r>
      <w:r w:rsidRPr="00FB45A3">
        <w:rPr>
          <w:rFonts w:ascii="Arial" w:hAnsi="Arial" w:cs="Arial"/>
          <w:color w:val="242121"/>
          <w:sz w:val="20"/>
          <w:szCs w:val="20"/>
          <w:lang w:val="en-GB"/>
        </w:rPr>
        <w:t xml:space="preserve"> [2016] ZACC 35; </w:t>
      </w:r>
      <w:r w:rsidR="00870C2E" w:rsidRPr="00FB45A3">
        <w:rPr>
          <w:rFonts w:ascii="Arial" w:hAnsi="Arial" w:cs="Arial"/>
          <w:color w:val="242121"/>
          <w:sz w:val="20"/>
          <w:szCs w:val="20"/>
          <w:lang w:val="en-GB"/>
        </w:rPr>
        <w:t xml:space="preserve">2017 (2) SA 211 (CC); </w:t>
      </w:r>
      <w:r w:rsidRPr="00FB45A3">
        <w:rPr>
          <w:rFonts w:ascii="Arial" w:hAnsi="Arial" w:cs="Arial"/>
          <w:color w:val="242121"/>
          <w:sz w:val="20"/>
          <w:szCs w:val="20"/>
          <w:lang w:val="en-GB"/>
        </w:rPr>
        <w:t>2017 (2) BCLR 182 (CC) para 73.</w:t>
      </w:r>
    </w:p>
  </w:footnote>
  <w:footnote w:id="16">
    <w:p w14:paraId="4EE2A2AF" w14:textId="77777777" w:rsidR="00E6043F" w:rsidRPr="00FB45A3" w:rsidRDefault="00E6043F" w:rsidP="00FB45A3">
      <w:pPr>
        <w:jc w:val="both"/>
        <w:rPr>
          <w:rFonts w:ascii="Arial" w:hAnsi="Arial" w:cs="Arial"/>
          <w:color w:val="000000" w:themeColor="text1"/>
          <w:sz w:val="20"/>
          <w:szCs w:val="20"/>
          <w:lang w:val="en-US"/>
        </w:rPr>
      </w:pPr>
      <w:r w:rsidRPr="00FB45A3">
        <w:rPr>
          <w:rStyle w:val="FootnoteReference"/>
          <w:rFonts w:ascii="Arial" w:hAnsi="Arial" w:cs="Arial"/>
          <w:color w:val="000000" w:themeColor="text1"/>
          <w:sz w:val="20"/>
          <w:szCs w:val="20"/>
        </w:rPr>
        <w:footnoteRef/>
      </w:r>
      <w:r w:rsidRPr="00FB45A3">
        <w:rPr>
          <w:rFonts w:ascii="Arial" w:hAnsi="Arial" w:cs="Arial"/>
          <w:color w:val="000000" w:themeColor="text1"/>
          <w:sz w:val="20"/>
          <w:szCs w:val="20"/>
        </w:rPr>
        <w:t xml:space="preserve"> </w:t>
      </w:r>
      <w:r w:rsidRPr="00FB45A3">
        <w:rPr>
          <w:rFonts w:ascii="Arial" w:hAnsi="Arial" w:cs="Arial"/>
          <w:i/>
          <w:iCs/>
          <w:color w:val="000000" w:themeColor="text1"/>
          <w:sz w:val="20"/>
          <w:szCs w:val="20"/>
          <w:lang w:val="en-GB"/>
        </w:rPr>
        <w:t xml:space="preserve">Valor IT v Premier, North West Province and </w:t>
      </w:r>
      <w:r w:rsidR="00870C2E" w:rsidRPr="00FB45A3">
        <w:rPr>
          <w:rFonts w:ascii="Arial" w:hAnsi="Arial" w:cs="Arial"/>
          <w:i/>
          <w:iCs/>
          <w:color w:val="000000" w:themeColor="text1"/>
          <w:sz w:val="20"/>
          <w:szCs w:val="20"/>
          <w:lang w:val="en-GB"/>
        </w:rPr>
        <w:t>others</w:t>
      </w:r>
      <w:r w:rsidR="00870C2E" w:rsidRPr="00FB45A3">
        <w:rPr>
          <w:rFonts w:ascii="Arial" w:hAnsi="Arial" w:cs="Arial"/>
          <w:color w:val="000000" w:themeColor="text1"/>
          <w:sz w:val="20"/>
          <w:szCs w:val="20"/>
        </w:rPr>
        <w:t xml:space="preserve"> </w:t>
      </w:r>
      <w:r w:rsidRPr="00FB45A3">
        <w:rPr>
          <w:rFonts w:ascii="Arial" w:hAnsi="Arial" w:cs="Arial"/>
          <w:sz w:val="20"/>
          <w:szCs w:val="20"/>
        </w:rPr>
        <w:t>[2020] ZASCA 62</w:t>
      </w:r>
      <w:r w:rsidRPr="00FB45A3">
        <w:rPr>
          <w:rFonts w:ascii="Arial" w:hAnsi="Arial" w:cs="Arial"/>
          <w:color w:val="000000" w:themeColor="text1"/>
          <w:sz w:val="20"/>
          <w:szCs w:val="20"/>
          <w:shd w:val="clear" w:color="auto" w:fill="FFFFFF"/>
        </w:rPr>
        <w:t>;</w:t>
      </w:r>
      <w:r w:rsidRPr="00FB45A3">
        <w:rPr>
          <w:rStyle w:val="apple-converted-space"/>
          <w:rFonts w:ascii="Arial" w:hAnsi="Arial" w:cs="Arial"/>
          <w:color w:val="000000" w:themeColor="text1"/>
          <w:sz w:val="20"/>
          <w:szCs w:val="20"/>
          <w:shd w:val="clear" w:color="auto" w:fill="FFFFFF"/>
        </w:rPr>
        <w:t> </w:t>
      </w:r>
      <w:r w:rsidR="00870C2E" w:rsidRPr="00FB45A3">
        <w:rPr>
          <w:rStyle w:val="apple-converted-space"/>
          <w:rFonts w:ascii="Arial" w:hAnsi="Arial" w:cs="Arial"/>
          <w:color w:val="000000" w:themeColor="text1"/>
          <w:sz w:val="20"/>
          <w:szCs w:val="20"/>
          <w:shd w:val="clear" w:color="auto" w:fill="FFFFFF"/>
        </w:rPr>
        <w:t>2021 (1) SA 42 (SCA);</w:t>
      </w:r>
      <w:r w:rsidRPr="00FB45A3">
        <w:rPr>
          <w:rStyle w:val="apple-converted-space"/>
          <w:rFonts w:ascii="Arial" w:hAnsi="Arial" w:cs="Arial"/>
          <w:color w:val="000000" w:themeColor="text1"/>
          <w:sz w:val="20"/>
          <w:szCs w:val="20"/>
          <w:shd w:val="clear" w:color="auto" w:fill="FFFFFF"/>
        </w:rPr>
        <w:t> </w:t>
      </w:r>
      <w:r w:rsidRPr="00FB45A3">
        <w:rPr>
          <w:rFonts w:ascii="Arial" w:hAnsi="Arial" w:cs="Arial"/>
          <w:sz w:val="20"/>
          <w:szCs w:val="20"/>
        </w:rPr>
        <w:t>[2020] 3 All SA 397</w:t>
      </w:r>
      <w:r w:rsidRPr="00FB45A3">
        <w:rPr>
          <w:rStyle w:val="apple-converted-space"/>
          <w:rFonts w:ascii="Arial" w:hAnsi="Arial" w:cs="Arial"/>
          <w:color w:val="000000" w:themeColor="text1"/>
          <w:sz w:val="20"/>
          <w:szCs w:val="20"/>
          <w:shd w:val="clear" w:color="auto" w:fill="FFFFFF"/>
        </w:rPr>
        <w:t> </w:t>
      </w:r>
      <w:r w:rsidRPr="00FB45A3">
        <w:rPr>
          <w:rFonts w:ascii="Arial" w:hAnsi="Arial" w:cs="Arial"/>
          <w:color w:val="000000" w:themeColor="text1"/>
          <w:sz w:val="20"/>
          <w:szCs w:val="20"/>
          <w:shd w:val="clear" w:color="auto" w:fill="FFFFFF"/>
        </w:rPr>
        <w:t>(SCA) para 30.</w:t>
      </w:r>
    </w:p>
  </w:footnote>
  <w:footnote w:id="17">
    <w:p w14:paraId="6787F1FB" w14:textId="77777777" w:rsidR="00EA6F22" w:rsidRPr="00FB45A3" w:rsidRDefault="00EA6F22" w:rsidP="00FB45A3">
      <w:pPr>
        <w:jc w:val="both"/>
        <w:rPr>
          <w:rFonts w:ascii="Arial" w:hAnsi="Arial" w:cs="Arial"/>
          <w:color w:val="000000" w:themeColor="text1"/>
          <w:sz w:val="20"/>
          <w:szCs w:val="20"/>
        </w:rPr>
      </w:pPr>
      <w:r w:rsidRPr="00FB45A3">
        <w:rPr>
          <w:rStyle w:val="FootnoteReference"/>
          <w:rFonts w:ascii="Arial" w:hAnsi="Arial" w:cs="Arial"/>
          <w:color w:val="000000" w:themeColor="text1"/>
          <w:sz w:val="20"/>
          <w:szCs w:val="20"/>
        </w:rPr>
        <w:footnoteRef/>
      </w:r>
      <w:r w:rsidRPr="00FB45A3">
        <w:rPr>
          <w:rFonts w:ascii="Arial" w:hAnsi="Arial" w:cs="Arial"/>
          <w:color w:val="000000" w:themeColor="text1"/>
          <w:sz w:val="20"/>
          <w:szCs w:val="20"/>
        </w:rPr>
        <w:t xml:space="preserve"> </w:t>
      </w:r>
      <w:r w:rsidRPr="00FB45A3">
        <w:rPr>
          <w:rFonts w:ascii="Arial" w:hAnsi="Arial" w:cs="Arial"/>
          <w:i/>
          <w:iCs/>
          <w:color w:val="000000" w:themeColor="text1"/>
          <w:sz w:val="20"/>
          <w:szCs w:val="20"/>
          <w:lang w:val="en-US"/>
        </w:rPr>
        <w:t>Khumalo</w:t>
      </w:r>
      <w:r w:rsidRPr="00FB45A3">
        <w:rPr>
          <w:rFonts w:ascii="Arial" w:hAnsi="Arial" w:cs="Arial"/>
          <w:color w:val="000000" w:themeColor="text1"/>
          <w:sz w:val="20"/>
          <w:szCs w:val="20"/>
          <w:lang w:val="en-US"/>
        </w:rPr>
        <w:t xml:space="preserve"> para 47.</w:t>
      </w:r>
    </w:p>
  </w:footnote>
  <w:footnote w:id="18">
    <w:p w14:paraId="655B254A" w14:textId="77777777" w:rsidR="00DB7BDE" w:rsidRPr="00FB45A3" w:rsidRDefault="00DB7BDE" w:rsidP="00FB45A3">
      <w:pPr>
        <w:pStyle w:val="FootnoteText"/>
        <w:jc w:val="both"/>
        <w:rPr>
          <w:rFonts w:ascii="Arial" w:hAnsi="Arial" w:cs="Arial"/>
          <w:lang w:val="en-US"/>
        </w:rPr>
      </w:pPr>
      <w:r w:rsidRPr="00FB45A3">
        <w:rPr>
          <w:rStyle w:val="FootnoteReference"/>
          <w:rFonts w:ascii="Arial" w:hAnsi="Arial" w:cs="Arial"/>
        </w:rPr>
        <w:footnoteRef/>
      </w:r>
      <w:r w:rsidRPr="00FB45A3">
        <w:rPr>
          <w:rFonts w:ascii="Arial" w:hAnsi="Arial" w:cs="Arial"/>
        </w:rPr>
        <w:t xml:space="preserve"> </w:t>
      </w:r>
      <w:r w:rsidR="00ED2B0D" w:rsidRPr="00FB45A3">
        <w:rPr>
          <w:rFonts w:ascii="Arial" w:hAnsi="Arial" w:cs="Arial"/>
          <w:iCs/>
          <w:color w:val="000000" w:themeColor="text1"/>
          <w:lang w:val="en-GB"/>
        </w:rPr>
        <w:t>Ibid</w:t>
      </w:r>
      <w:r w:rsidRPr="00FB45A3">
        <w:rPr>
          <w:rFonts w:ascii="Arial" w:hAnsi="Arial" w:cs="Arial"/>
          <w:color w:val="000000" w:themeColor="text1"/>
          <w:lang w:val="en-GB"/>
        </w:rPr>
        <w:t xml:space="preserve"> para 48.</w:t>
      </w:r>
    </w:p>
  </w:footnote>
  <w:footnote w:id="19">
    <w:p w14:paraId="74B2726E" w14:textId="77777777" w:rsidR="00260ED8" w:rsidRPr="00FB45A3" w:rsidRDefault="00260ED8" w:rsidP="00FB45A3">
      <w:pPr>
        <w:pStyle w:val="Heading2"/>
        <w:spacing w:before="0" w:beforeAutospacing="0" w:after="0" w:afterAutospacing="0"/>
        <w:jc w:val="both"/>
        <w:rPr>
          <w:rFonts w:ascii="Arial" w:hAnsi="Arial" w:cs="Arial"/>
          <w:b w:val="0"/>
          <w:bCs w:val="0"/>
          <w:color w:val="000000" w:themeColor="text1"/>
          <w:sz w:val="20"/>
          <w:szCs w:val="20"/>
        </w:rPr>
      </w:pPr>
      <w:r w:rsidRPr="00FB45A3">
        <w:rPr>
          <w:rStyle w:val="FootnoteReference"/>
          <w:rFonts w:ascii="Arial" w:hAnsi="Arial" w:cs="Arial"/>
          <w:b w:val="0"/>
          <w:bCs w:val="0"/>
          <w:color w:val="000000" w:themeColor="text1"/>
          <w:sz w:val="20"/>
          <w:szCs w:val="20"/>
        </w:rPr>
        <w:footnoteRef/>
      </w:r>
      <w:r w:rsidRPr="00FB45A3">
        <w:rPr>
          <w:rFonts w:ascii="Arial" w:hAnsi="Arial" w:cs="Arial"/>
          <w:b w:val="0"/>
          <w:bCs w:val="0"/>
          <w:color w:val="000000" w:themeColor="text1"/>
          <w:sz w:val="20"/>
          <w:szCs w:val="20"/>
        </w:rPr>
        <w:t xml:space="preserve"> </w:t>
      </w:r>
      <w:r w:rsidRPr="00FB45A3">
        <w:rPr>
          <w:rFonts w:ascii="Arial" w:hAnsi="Arial" w:cs="Arial"/>
          <w:b w:val="0"/>
          <w:bCs w:val="0"/>
          <w:i/>
          <w:iCs/>
          <w:color w:val="000000" w:themeColor="text1"/>
          <w:sz w:val="20"/>
          <w:szCs w:val="20"/>
        </w:rPr>
        <w:t xml:space="preserve">Commissioner for </w:t>
      </w:r>
      <w:r w:rsidR="00620775" w:rsidRPr="00FB45A3">
        <w:rPr>
          <w:rFonts w:ascii="Arial" w:hAnsi="Arial" w:cs="Arial"/>
          <w:b w:val="0"/>
          <w:bCs w:val="0"/>
          <w:i/>
          <w:iCs/>
          <w:color w:val="000000" w:themeColor="text1"/>
          <w:sz w:val="20"/>
          <w:szCs w:val="20"/>
        </w:rPr>
        <w:t xml:space="preserve">the </w:t>
      </w:r>
      <w:r w:rsidRPr="00FB45A3">
        <w:rPr>
          <w:rFonts w:ascii="Arial" w:hAnsi="Arial" w:cs="Arial"/>
          <w:b w:val="0"/>
          <w:bCs w:val="0"/>
          <w:i/>
          <w:iCs/>
          <w:color w:val="000000" w:themeColor="text1"/>
          <w:sz w:val="20"/>
          <w:szCs w:val="20"/>
        </w:rPr>
        <w:t xml:space="preserve">South African Revenue Services v Moloto and </w:t>
      </w:r>
      <w:r w:rsidR="003F340B" w:rsidRPr="00FB45A3">
        <w:rPr>
          <w:rFonts w:ascii="Arial" w:hAnsi="Arial" w:cs="Arial"/>
          <w:b w:val="0"/>
          <w:bCs w:val="0"/>
          <w:i/>
          <w:iCs/>
          <w:color w:val="000000" w:themeColor="text1"/>
          <w:sz w:val="20"/>
          <w:szCs w:val="20"/>
        </w:rPr>
        <w:t>others</w:t>
      </w:r>
      <w:r w:rsidR="003F340B" w:rsidRPr="00FB45A3">
        <w:rPr>
          <w:rFonts w:ascii="Arial" w:hAnsi="Arial" w:cs="Arial"/>
          <w:b w:val="0"/>
          <w:bCs w:val="0"/>
          <w:color w:val="000000" w:themeColor="text1"/>
          <w:sz w:val="20"/>
          <w:szCs w:val="20"/>
        </w:rPr>
        <w:t xml:space="preserve"> </w:t>
      </w:r>
      <w:r w:rsidRPr="00FB45A3">
        <w:rPr>
          <w:rFonts w:ascii="Arial" w:hAnsi="Arial" w:cs="Arial"/>
          <w:b w:val="0"/>
          <w:bCs w:val="0"/>
          <w:color w:val="000000" w:themeColor="text1"/>
          <w:sz w:val="20"/>
          <w:szCs w:val="20"/>
        </w:rPr>
        <w:t>[2022] ZAGPPHC 832; [2023] 1 All SA 607 (GP) para 51.</w:t>
      </w:r>
    </w:p>
  </w:footnote>
  <w:footnote w:id="20">
    <w:p w14:paraId="7CDCCB09" w14:textId="77777777" w:rsidR="00B235B3" w:rsidRPr="00FB45A3" w:rsidRDefault="00B235B3" w:rsidP="00FB45A3">
      <w:pPr>
        <w:pStyle w:val="NormalWeb"/>
        <w:spacing w:before="0" w:beforeAutospacing="0" w:after="0" w:afterAutospacing="0"/>
        <w:jc w:val="both"/>
        <w:rPr>
          <w:rFonts w:ascii="Arial" w:hAnsi="Arial" w:cs="Arial"/>
          <w:sz w:val="20"/>
          <w:szCs w:val="20"/>
        </w:rPr>
      </w:pPr>
      <w:r w:rsidRPr="00FB45A3">
        <w:rPr>
          <w:rStyle w:val="FootnoteReference"/>
          <w:rFonts w:ascii="Arial" w:hAnsi="Arial" w:cs="Arial"/>
          <w:sz w:val="20"/>
          <w:szCs w:val="20"/>
        </w:rPr>
        <w:footnoteRef/>
      </w:r>
      <w:r w:rsidRPr="00FB45A3">
        <w:rPr>
          <w:rFonts w:ascii="Arial" w:hAnsi="Arial" w:cs="Arial"/>
          <w:sz w:val="20"/>
          <w:szCs w:val="20"/>
        </w:rPr>
        <w:t xml:space="preserve"> </w:t>
      </w:r>
      <w:r w:rsidR="00404BF2" w:rsidRPr="00FB45A3">
        <w:rPr>
          <w:rFonts w:ascii="Arial" w:hAnsi="Arial" w:cs="Arial"/>
          <w:i/>
          <w:iCs/>
          <w:sz w:val="20"/>
          <w:szCs w:val="20"/>
        </w:rPr>
        <w:t xml:space="preserve">Golden Core Trade and Invest (Pty) Ltd v Merafong City Local Municipality and </w:t>
      </w:r>
      <w:r w:rsidR="00C63229" w:rsidRPr="00FB45A3">
        <w:rPr>
          <w:rFonts w:ascii="Arial" w:hAnsi="Arial" w:cs="Arial"/>
          <w:i/>
          <w:iCs/>
          <w:sz w:val="20"/>
          <w:szCs w:val="20"/>
        </w:rPr>
        <w:t>another</w:t>
      </w:r>
      <w:r w:rsidR="00C63229" w:rsidRPr="00FB45A3">
        <w:rPr>
          <w:rFonts w:ascii="Arial" w:hAnsi="Arial" w:cs="Arial"/>
          <w:sz w:val="20"/>
          <w:szCs w:val="20"/>
        </w:rPr>
        <w:t xml:space="preserve"> </w:t>
      </w:r>
      <w:r w:rsidR="00404BF2" w:rsidRPr="00FB45A3">
        <w:rPr>
          <w:rFonts w:ascii="Arial" w:hAnsi="Arial" w:cs="Arial"/>
          <w:sz w:val="20"/>
          <w:szCs w:val="20"/>
        </w:rPr>
        <w:t>[2023] ZASCA 126</w:t>
      </w:r>
      <w:r w:rsidR="00C63229" w:rsidRPr="00FB45A3">
        <w:rPr>
          <w:rFonts w:ascii="Arial" w:hAnsi="Arial" w:cs="Arial"/>
          <w:sz w:val="20"/>
          <w:szCs w:val="20"/>
        </w:rPr>
        <w:t>; [2023] 4 All SA 589 (SCA)</w:t>
      </w:r>
      <w:r w:rsidR="00404BF2" w:rsidRPr="00FB45A3">
        <w:rPr>
          <w:rFonts w:ascii="Arial" w:hAnsi="Arial" w:cs="Arial"/>
          <w:sz w:val="20"/>
          <w:szCs w:val="20"/>
        </w:rPr>
        <w:t xml:space="preserve"> p</w:t>
      </w:r>
      <w:r w:rsidRPr="00FB45A3">
        <w:rPr>
          <w:rFonts w:ascii="Arial" w:hAnsi="Arial" w:cs="Arial"/>
          <w:sz w:val="20"/>
          <w:szCs w:val="20"/>
          <w:lang w:val="en-US"/>
        </w:rPr>
        <w:t>ara 51</w:t>
      </w:r>
      <w:r w:rsidR="00404BF2" w:rsidRPr="00FB45A3">
        <w:rPr>
          <w:rFonts w:ascii="Arial" w:hAnsi="Arial" w:cs="Arial"/>
          <w:sz w:val="20"/>
          <w:szCs w:val="20"/>
          <w:lang w:val="en-US"/>
        </w:rPr>
        <w:t>.</w:t>
      </w:r>
    </w:p>
  </w:footnote>
  <w:footnote w:id="21">
    <w:p w14:paraId="3D6619D2" w14:textId="77777777" w:rsidR="005F2D06" w:rsidRPr="000971A3" w:rsidRDefault="005F2D06" w:rsidP="00FB45A3">
      <w:pPr>
        <w:pStyle w:val="FootnoteText"/>
        <w:jc w:val="both"/>
        <w:rPr>
          <w:rFonts w:ascii="Arial" w:hAnsi="Arial" w:cs="Arial"/>
        </w:rPr>
      </w:pPr>
      <w:r w:rsidRPr="000971A3">
        <w:rPr>
          <w:rStyle w:val="FootnoteReference"/>
          <w:rFonts w:ascii="Arial" w:hAnsi="Arial" w:cs="Arial"/>
        </w:rPr>
        <w:footnoteRef/>
      </w:r>
      <w:r w:rsidRPr="000971A3">
        <w:rPr>
          <w:rFonts w:ascii="Arial" w:hAnsi="Arial" w:cs="Arial"/>
        </w:rPr>
        <w:t xml:space="preserve"> </w:t>
      </w:r>
      <w:r w:rsidR="004C2A44" w:rsidRPr="000971A3">
        <w:rPr>
          <w:rFonts w:ascii="Arial" w:hAnsi="Arial" w:cs="Arial"/>
        </w:rPr>
        <w:t xml:space="preserve">GN R1193, </w:t>
      </w:r>
      <w:r w:rsidR="004C2A44" w:rsidRPr="000971A3">
        <w:rPr>
          <w:rFonts w:ascii="Arial" w:hAnsi="Arial" w:cs="Arial"/>
          <w:i/>
        </w:rPr>
        <w:t>GG</w:t>
      </w:r>
      <w:r w:rsidR="004C2A44" w:rsidRPr="000971A3">
        <w:rPr>
          <w:rFonts w:ascii="Arial" w:hAnsi="Arial" w:cs="Arial"/>
        </w:rPr>
        <w:t xml:space="preserve"> 21779,</w:t>
      </w:r>
      <w:r w:rsidRPr="000971A3">
        <w:rPr>
          <w:rFonts w:ascii="Arial" w:hAnsi="Arial" w:cs="Arial"/>
        </w:rPr>
        <w:t xml:space="preserve"> 24 November 2000.</w:t>
      </w:r>
    </w:p>
  </w:footnote>
  <w:footnote w:id="22">
    <w:p w14:paraId="10F96961" w14:textId="77777777" w:rsidR="0043706A" w:rsidRPr="000971A3" w:rsidRDefault="0043706A" w:rsidP="00FB45A3">
      <w:pPr>
        <w:pStyle w:val="FootnoteText"/>
        <w:jc w:val="both"/>
        <w:rPr>
          <w:rFonts w:ascii="Arial" w:hAnsi="Arial" w:cs="Arial"/>
          <w:lang w:val="en-US"/>
        </w:rPr>
      </w:pPr>
      <w:r w:rsidRPr="000971A3">
        <w:rPr>
          <w:rStyle w:val="FootnoteReference"/>
          <w:rFonts w:ascii="Arial" w:hAnsi="Arial" w:cs="Arial"/>
        </w:rPr>
        <w:footnoteRef/>
      </w:r>
      <w:r w:rsidRPr="000971A3">
        <w:rPr>
          <w:rFonts w:ascii="Arial" w:hAnsi="Arial" w:cs="Arial"/>
        </w:rPr>
        <w:t xml:space="preserve"> </w:t>
      </w:r>
      <w:r w:rsidRPr="000971A3">
        <w:rPr>
          <w:rFonts w:ascii="Arial" w:hAnsi="Arial" w:cs="Arial"/>
          <w:lang w:val="en-US"/>
        </w:rPr>
        <w:t>Collins On-line Dictionary:</w:t>
      </w:r>
      <w:r w:rsidRPr="000971A3">
        <w:rPr>
          <w:rFonts w:ascii="Arial" w:hAnsi="Arial" w:cs="Arial"/>
        </w:rPr>
        <w:t xml:space="preserve"> </w:t>
      </w:r>
      <w:hyperlink r:id="rId2" w:history="1">
        <w:r w:rsidR="00DE4141" w:rsidRPr="000971A3">
          <w:rPr>
            <w:rStyle w:val="Hyperlink"/>
            <w:rFonts w:ascii="Arial" w:hAnsi="Arial" w:cs="Arial"/>
            <w:color w:val="auto"/>
            <w:lang w:val="en-US"/>
          </w:rPr>
          <w:t>https://www.collinsdictionary.com/dictionary/english/or-otherwise-and-otherwise</w:t>
        </w:r>
      </w:hyperlink>
      <w:r w:rsidR="00DE4141" w:rsidRPr="000971A3">
        <w:rPr>
          <w:rFonts w:ascii="Arial" w:hAnsi="Arial" w:cs="Arial"/>
          <w:lang w:val="en-US"/>
        </w:rPr>
        <w:t>.</w:t>
      </w:r>
    </w:p>
  </w:footnote>
  <w:footnote w:id="23">
    <w:p w14:paraId="4B4C6AC8" w14:textId="77777777" w:rsidR="00CF0066" w:rsidRPr="00FB45A3" w:rsidRDefault="00CF0066" w:rsidP="00FB45A3">
      <w:pPr>
        <w:pStyle w:val="ListParagraph"/>
        <w:tabs>
          <w:tab w:val="left" w:pos="709"/>
        </w:tabs>
        <w:ind w:left="0"/>
        <w:jc w:val="both"/>
        <w:rPr>
          <w:rFonts w:ascii="Arial" w:hAnsi="Arial" w:cs="Arial"/>
          <w:color w:val="000000" w:themeColor="text1"/>
          <w:sz w:val="20"/>
          <w:szCs w:val="20"/>
          <w:lang w:val="en-US"/>
        </w:rPr>
      </w:pPr>
      <w:r w:rsidRPr="00FB45A3">
        <w:rPr>
          <w:rStyle w:val="FootnoteReference"/>
          <w:rFonts w:ascii="Arial" w:hAnsi="Arial" w:cs="Arial"/>
          <w:color w:val="000000" w:themeColor="text1"/>
          <w:sz w:val="20"/>
          <w:szCs w:val="20"/>
        </w:rPr>
        <w:footnoteRef/>
      </w:r>
      <w:r w:rsidRPr="00FB45A3">
        <w:rPr>
          <w:rFonts w:ascii="Arial" w:hAnsi="Arial" w:cs="Arial"/>
          <w:color w:val="000000" w:themeColor="text1"/>
          <w:sz w:val="20"/>
          <w:szCs w:val="20"/>
        </w:rPr>
        <w:t xml:space="preserve"> </w:t>
      </w:r>
      <w:r w:rsidRPr="00FB45A3">
        <w:rPr>
          <w:rFonts w:ascii="Arial" w:hAnsi="Arial" w:cs="Arial"/>
          <w:i/>
          <w:iCs/>
          <w:color w:val="000000" w:themeColor="text1"/>
          <w:sz w:val="20"/>
          <w:szCs w:val="20"/>
        </w:rPr>
        <w:t xml:space="preserve">Asla Construction (Pty) Limited v Buffalo City Metropolitan Municipality </w:t>
      </w:r>
      <w:r w:rsidRPr="00FB45A3">
        <w:rPr>
          <w:rFonts w:ascii="Arial" w:hAnsi="Arial" w:cs="Arial"/>
          <w:color w:val="000000" w:themeColor="text1"/>
          <w:sz w:val="20"/>
          <w:szCs w:val="20"/>
        </w:rPr>
        <w:t xml:space="preserve">[2017] ZASCA 23; [2017] 2 All SA 677 (SCA); 2017 (6) SA 360 (SCA) para </w:t>
      </w:r>
      <w:r w:rsidR="005472C3" w:rsidRPr="00FB45A3">
        <w:rPr>
          <w:rFonts w:ascii="Arial" w:hAnsi="Arial" w:cs="Arial"/>
          <w:color w:val="000000" w:themeColor="text1"/>
          <w:sz w:val="20"/>
          <w:szCs w:val="20"/>
        </w:rPr>
        <w:t>7</w:t>
      </w:r>
      <w:r w:rsidR="00D422FD" w:rsidRPr="00FB45A3">
        <w:rPr>
          <w:rFonts w:ascii="Arial" w:hAnsi="Arial" w:cs="Arial"/>
          <w:color w:val="000000" w:themeColor="text1"/>
          <w:sz w:val="20"/>
          <w:szCs w:val="20"/>
        </w:rPr>
        <w:t xml:space="preserve"> (‘</w:t>
      </w:r>
      <w:r w:rsidR="00D422FD" w:rsidRPr="00DE704B">
        <w:rPr>
          <w:rFonts w:ascii="Arial" w:hAnsi="Arial" w:cs="Arial"/>
          <w:i/>
          <w:color w:val="000000" w:themeColor="text1"/>
          <w:sz w:val="20"/>
          <w:szCs w:val="20"/>
        </w:rPr>
        <w:t>Asla (SCA)</w:t>
      </w:r>
      <w:r w:rsidR="00D422FD" w:rsidRPr="00FB45A3">
        <w:rPr>
          <w:rFonts w:ascii="Arial" w:hAnsi="Arial" w:cs="Arial"/>
          <w:color w:val="000000" w:themeColor="text1"/>
          <w:sz w:val="20"/>
          <w:szCs w:val="20"/>
        </w:rPr>
        <w:t>’)</w:t>
      </w:r>
      <w:r w:rsidRPr="00FB45A3">
        <w:rPr>
          <w:rFonts w:ascii="Arial" w:hAnsi="Arial" w:cs="Arial"/>
          <w:color w:val="000000" w:themeColor="text1"/>
          <w:sz w:val="20"/>
          <w:szCs w:val="20"/>
        </w:rPr>
        <w:t>.</w:t>
      </w:r>
    </w:p>
  </w:footnote>
  <w:footnote w:id="24">
    <w:p w14:paraId="4DA94B81" w14:textId="77777777" w:rsidR="006F27ED" w:rsidRPr="00DE704B" w:rsidRDefault="006F27ED" w:rsidP="00FB45A3">
      <w:pPr>
        <w:pStyle w:val="FootnoteText"/>
        <w:jc w:val="both"/>
        <w:rPr>
          <w:rFonts w:ascii="Arial" w:hAnsi="Arial" w:cs="Arial"/>
          <w:lang w:val="en-GB"/>
        </w:rPr>
      </w:pPr>
      <w:r w:rsidRPr="00FB45A3">
        <w:rPr>
          <w:rStyle w:val="FootnoteReference"/>
          <w:rFonts w:ascii="Arial" w:hAnsi="Arial" w:cs="Arial"/>
        </w:rPr>
        <w:footnoteRef/>
      </w:r>
      <w:r w:rsidRPr="00FB45A3">
        <w:rPr>
          <w:rFonts w:ascii="Arial" w:hAnsi="Arial" w:cs="Arial"/>
        </w:rPr>
        <w:t xml:space="preserve"> </w:t>
      </w:r>
      <w:r w:rsidR="00D4097E" w:rsidRPr="00FB45A3">
        <w:rPr>
          <w:rFonts w:ascii="Arial" w:hAnsi="Arial" w:cs="Arial"/>
        </w:rPr>
        <w:t xml:space="preserve">See the obiter dictum by Theron J in </w:t>
      </w:r>
      <w:r w:rsidRPr="00DE704B">
        <w:rPr>
          <w:rFonts w:ascii="Arial" w:hAnsi="Arial" w:cs="Arial"/>
          <w:i/>
        </w:rPr>
        <w:t>Asla</w:t>
      </w:r>
      <w:r w:rsidR="00593410" w:rsidRPr="00FB45A3">
        <w:rPr>
          <w:rFonts w:ascii="Arial" w:hAnsi="Arial" w:cs="Arial"/>
          <w:i/>
        </w:rPr>
        <w:t xml:space="preserve"> (CC)</w:t>
      </w:r>
      <w:r w:rsidRPr="00FB45A3">
        <w:rPr>
          <w:rFonts w:ascii="Arial" w:hAnsi="Arial" w:cs="Arial"/>
        </w:rPr>
        <w:t xml:space="preserve"> fn 39.</w:t>
      </w:r>
    </w:p>
  </w:footnote>
  <w:footnote w:id="25">
    <w:p w14:paraId="72C26D53" w14:textId="77777777" w:rsidR="00C67A23" w:rsidRPr="00FB45A3" w:rsidRDefault="00C67A23" w:rsidP="00FB45A3">
      <w:pPr>
        <w:jc w:val="both"/>
        <w:rPr>
          <w:rFonts w:ascii="Arial" w:hAnsi="Arial" w:cs="Arial"/>
          <w:color w:val="000000" w:themeColor="text1"/>
          <w:sz w:val="20"/>
          <w:szCs w:val="20"/>
          <w:lang w:val="en-US"/>
        </w:rPr>
      </w:pPr>
      <w:r w:rsidRPr="00FB45A3">
        <w:rPr>
          <w:rStyle w:val="FootnoteReference"/>
          <w:rFonts w:ascii="Arial" w:hAnsi="Arial" w:cs="Arial"/>
          <w:color w:val="000000" w:themeColor="text1"/>
          <w:sz w:val="20"/>
          <w:szCs w:val="20"/>
        </w:rPr>
        <w:footnoteRef/>
      </w:r>
      <w:r w:rsidRPr="00FB45A3">
        <w:rPr>
          <w:rFonts w:ascii="Arial" w:hAnsi="Arial" w:cs="Arial"/>
          <w:color w:val="000000" w:themeColor="text1"/>
          <w:sz w:val="20"/>
          <w:szCs w:val="20"/>
        </w:rPr>
        <w:t xml:space="preserve"> </w:t>
      </w:r>
      <w:r w:rsidR="00AE0210" w:rsidRPr="00FB45A3">
        <w:rPr>
          <w:rFonts w:ascii="Arial" w:hAnsi="Arial" w:cs="Arial"/>
          <w:i/>
          <w:iCs/>
          <w:color w:val="000000" w:themeColor="text1"/>
          <w:sz w:val="20"/>
          <w:szCs w:val="20"/>
        </w:rPr>
        <w:t>Asla</w:t>
      </w:r>
      <w:r w:rsidR="00593410" w:rsidRPr="00FB45A3">
        <w:rPr>
          <w:rFonts w:ascii="Arial" w:hAnsi="Arial" w:cs="Arial"/>
          <w:i/>
          <w:iCs/>
          <w:color w:val="000000" w:themeColor="text1"/>
          <w:sz w:val="20"/>
          <w:szCs w:val="20"/>
        </w:rPr>
        <w:t xml:space="preserve"> (SCA)</w:t>
      </w:r>
      <w:r w:rsidRPr="00FB45A3">
        <w:rPr>
          <w:rFonts w:ascii="Arial" w:hAnsi="Arial" w:cs="Arial"/>
          <w:color w:val="000000" w:themeColor="text1"/>
          <w:sz w:val="20"/>
          <w:szCs w:val="20"/>
        </w:rPr>
        <w:t xml:space="preserve"> </w:t>
      </w:r>
      <w:r w:rsidRPr="00FB45A3">
        <w:rPr>
          <w:rFonts w:ascii="Arial" w:hAnsi="Arial" w:cs="Arial"/>
          <w:color w:val="000000" w:themeColor="text1"/>
          <w:sz w:val="20"/>
          <w:szCs w:val="20"/>
          <w:lang w:val="en-US"/>
        </w:rPr>
        <w:t xml:space="preserve">para 7. The decision in </w:t>
      </w:r>
      <w:r w:rsidRPr="00FB45A3">
        <w:rPr>
          <w:rFonts w:ascii="Arial" w:hAnsi="Arial" w:cs="Arial"/>
          <w:i/>
          <w:iCs/>
          <w:color w:val="000000" w:themeColor="text1"/>
          <w:sz w:val="20"/>
          <w:szCs w:val="20"/>
          <w:lang w:val="en-US"/>
        </w:rPr>
        <w:t>Asla</w:t>
      </w:r>
      <w:r w:rsidR="00593410" w:rsidRPr="00FB45A3">
        <w:rPr>
          <w:rFonts w:ascii="Arial" w:hAnsi="Arial" w:cs="Arial"/>
          <w:i/>
          <w:iCs/>
          <w:color w:val="000000" w:themeColor="text1"/>
          <w:sz w:val="20"/>
          <w:szCs w:val="20"/>
          <w:lang w:val="en-US"/>
        </w:rPr>
        <w:t xml:space="preserve"> (SCA)</w:t>
      </w:r>
      <w:r w:rsidRPr="00FB45A3">
        <w:rPr>
          <w:rFonts w:ascii="Arial" w:hAnsi="Arial" w:cs="Arial"/>
          <w:color w:val="000000" w:themeColor="text1"/>
          <w:sz w:val="20"/>
          <w:szCs w:val="20"/>
          <w:lang w:val="en-US"/>
        </w:rPr>
        <w:t xml:space="preserve"> was approved by the Constitutional Court in </w:t>
      </w:r>
      <w:r w:rsidRPr="00FB45A3">
        <w:rPr>
          <w:rFonts w:ascii="Arial" w:hAnsi="Arial" w:cs="Arial"/>
          <w:i/>
          <w:iCs/>
          <w:color w:val="000000" w:themeColor="text1"/>
          <w:sz w:val="20"/>
          <w:szCs w:val="20"/>
        </w:rPr>
        <w:t>Cape Town</w:t>
      </w:r>
      <w:r w:rsidR="00AD007D" w:rsidRPr="00FB45A3">
        <w:rPr>
          <w:rFonts w:ascii="Arial" w:hAnsi="Arial" w:cs="Arial"/>
          <w:i/>
          <w:iCs/>
          <w:color w:val="000000" w:themeColor="text1"/>
          <w:sz w:val="20"/>
          <w:szCs w:val="20"/>
        </w:rPr>
        <w:t xml:space="preserve"> City</w:t>
      </w:r>
      <w:r w:rsidRPr="00FB45A3">
        <w:rPr>
          <w:rFonts w:ascii="Arial" w:hAnsi="Arial" w:cs="Arial"/>
          <w:i/>
          <w:iCs/>
          <w:color w:val="000000" w:themeColor="text1"/>
          <w:sz w:val="20"/>
          <w:szCs w:val="20"/>
        </w:rPr>
        <w:t xml:space="preserve"> v Aurecon </w:t>
      </w:r>
      <w:r w:rsidR="00AD007D" w:rsidRPr="00FB45A3">
        <w:rPr>
          <w:rFonts w:ascii="Arial" w:hAnsi="Arial" w:cs="Arial"/>
          <w:i/>
          <w:iCs/>
          <w:color w:val="000000" w:themeColor="text1"/>
          <w:sz w:val="20"/>
          <w:szCs w:val="20"/>
        </w:rPr>
        <w:t>SA</w:t>
      </w:r>
      <w:r w:rsidRPr="00FB45A3">
        <w:rPr>
          <w:rFonts w:ascii="Arial" w:hAnsi="Arial" w:cs="Arial"/>
          <w:i/>
          <w:iCs/>
          <w:color w:val="000000" w:themeColor="text1"/>
          <w:sz w:val="20"/>
          <w:szCs w:val="20"/>
        </w:rPr>
        <w:t xml:space="preserve"> (Pty) Ltd</w:t>
      </w:r>
      <w:r w:rsidRPr="00FB45A3">
        <w:rPr>
          <w:rStyle w:val="apple-converted-space"/>
          <w:rFonts w:ascii="Arial" w:hAnsi="Arial" w:cs="Arial"/>
          <w:color w:val="000000" w:themeColor="text1"/>
          <w:sz w:val="20"/>
          <w:szCs w:val="20"/>
        </w:rPr>
        <w:t> </w:t>
      </w:r>
      <w:r w:rsidRPr="00FB45A3">
        <w:rPr>
          <w:rFonts w:ascii="Arial" w:hAnsi="Arial" w:cs="Arial"/>
          <w:sz w:val="20"/>
          <w:szCs w:val="20"/>
        </w:rPr>
        <w:t>[2017] ZACC 5</w:t>
      </w:r>
      <w:r w:rsidR="00AD007D" w:rsidRPr="00FB45A3">
        <w:rPr>
          <w:rStyle w:val="Hyperlink"/>
          <w:rFonts w:ascii="Arial" w:hAnsi="Arial" w:cs="Arial"/>
          <w:color w:val="000000" w:themeColor="text1"/>
          <w:sz w:val="20"/>
          <w:szCs w:val="20"/>
          <w:u w:val="none"/>
        </w:rPr>
        <w:t>; 2017 (4) SA 223 (CC)</w:t>
      </w:r>
      <w:r w:rsidRPr="00FB45A3">
        <w:rPr>
          <w:rFonts w:ascii="Arial" w:hAnsi="Arial" w:cs="Arial"/>
          <w:color w:val="000000" w:themeColor="text1"/>
          <w:sz w:val="20"/>
          <w:szCs w:val="20"/>
        </w:rPr>
        <w:t xml:space="preserve"> paras 40-44.</w:t>
      </w:r>
    </w:p>
  </w:footnote>
  <w:footnote w:id="26">
    <w:p w14:paraId="27E904B6" w14:textId="77777777" w:rsidR="004F7570" w:rsidRPr="00FB45A3" w:rsidRDefault="004F7570" w:rsidP="00FB45A3">
      <w:pPr>
        <w:pStyle w:val="FootnoteText"/>
        <w:jc w:val="both"/>
        <w:rPr>
          <w:rFonts w:ascii="Arial" w:hAnsi="Arial" w:cs="Arial"/>
          <w:lang w:val="en-GB"/>
        </w:rPr>
      </w:pPr>
      <w:r w:rsidRPr="00FB45A3">
        <w:rPr>
          <w:rStyle w:val="FootnoteReference"/>
          <w:rFonts w:ascii="Arial" w:hAnsi="Arial" w:cs="Arial"/>
        </w:rPr>
        <w:footnoteRef/>
      </w:r>
      <w:r w:rsidRPr="00FB45A3">
        <w:rPr>
          <w:rFonts w:ascii="Arial" w:hAnsi="Arial" w:cs="Arial"/>
        </w:rPr>
        <w:t xml:space="preserve"> </w:t>
      </w:r>
      <w:r w:rsidR="00E32DDE" w:rsidRPr="00FB45A3">
        <w:rPr>
          <w:rFonts w:ascii="Arial" w:hAnsi="Arial" w:cs="Arial"/>
          <w:i/>
          <w:lang w:val="en-GB"/>
        </w:rPr>
        <w:t>Khumalo</w:t>
      </w:r>
      <w:r w:rsidRPr="00FB45A3">
        <w:rPr>
          <w:rFonts w:ascii="Arial" w:hAnsi="Arial" w:cs="Arial"/>
          <w:i/>
          <w:lang w:val="en-GB"/>
        </w:rPr>
        <w:t xml:space="preserve"> </w:t>
      </w:r>
      <w:r w:rsidRPr="00FB45A3">
        <w:rPr>
          <w:rFonts w:ascii="Arial" w:hAnsi="Arial" w:cs="Arial"/>
          <w:lang w:val="en-GB"/>
        </w:rPr>
        <w:t>para 62.</w:t>
      </w:r>
    </w:p>
  </w:footnote>
  <w:footnote w:id="27">
    <w:p w14:paraId="316681D3" w14:textId="77777777" w:rsidR="00D10A78" w:rsidRPr="00FB45A3" w:rsidRDefault="00D10A78" w:rsidP="00FB45A3">
      <w:pPr>
        <w:jc w:val="both"/>
        <w:rPr>
          <w:rFonts w:ascii="Arial" w:hAnsi="Arial" w:cs="Arial"/>
          <w:color w:val="000000" w:themeColor="text1"/>
          <w:sz w:val="20"/>
          <w:szCs w:val="20"/>
          <w:lang w:val="en-US"/>
        </w:rPr>
      </w:pPr>
      <w:r w:rsidRPr="00FB45A3">
        <w:rPr>
          <w:rStyle w:val="FootnoteReference"/>
          <w:rFonts w:ascii="Arial" w:hAnsi="Arial" w:cs="Arial"/>
          <w:color w:val="000000" w:themeColor="text1"/>
          <w:sz w:val="20"/>
          <w:szCs w:val="20"/>
        </w:rPr>
        <w:footnoteRef/>
      </w:r>
      <w:r w:rsidRPr="00FB45A3">
        <w:rPr>
          <w:rFonts w:ascii="Arial" w:hAnsi="Arial" w:cs="Arial"/>
          <w:color w:val="000000" w:themeColor="text1"/>
          <w:sz w:val="20"/>
          <w:szCs w:val="20"/>
        </w:rPr>
        <w:t xml:space="preserve"> </w:t>
      </w:r>
      <w:r w:rsidRPr="00FB45A3">
        <w:rPr>
          <w:rFonts w:ascii="Arial" w:hAnsi="Arial" w:cs="Arial"/>
          <w:i/>
          <w:iCs/>
          <w:color w:val="000000" w:themeColor="text1"/>
          <w:sz w:val="20"/>
          <w:szCs w:val="20"/>
          <w:lang w:val="en-US"/>
        </w:rPr>
        <w:t xml:space="preserve">Minister of Health and </w:t>
      </w:r>
      <w:r w:rsidR="00FD5519" w:rsidRPr="00FB45A3">
        <w:rPr>
          <w:rFonts w:ascii="Arial" w:hAnsi="Arial" w:cs="Arial"/>
          <w:i/>
          <w:iCs/>
          <w:color w:val="000000" w:themeColor="text1"/>
          <w:sz w:val="20"/>
          <w:szCs w:val="20"/>
          <w:lang w:val="en-US"/>
        </w:rPr>
        <w:t xml:space="preserve">another NO </w:t>
      </w:r>
      <w:r w:rsidRPr="00FB45A3">
        <w:rPr>
          <w:rFonts w:ascii="Arial" w:hAnsi="Arial" w:cs="Arial"/>
          <w:i/>
          <w:iCs/>
          <w:color w:val="000000" w:themeColor="text1"/>
          <w:sz w:val="20"/>
          <w:szCs w:val="20"/>
          <w:lang w:val="en-US"/>
        </w:rPr>
        <w:t xml:space="preserve">v New Clicks South Africa (Pty) Ltd and </w:t>
      </w:r>
      <w:r w:rsidR="00FD5519" w:rsidRPr="00FB45A3">
        <w:rPr>
          <w:rFonts w:ascii="Arial" w:hAnsi="Arial" w:cs="Arial"/>
          <w:i/>
          <w:iCs/>
          <w:color w:val="000000" w:themeColor="text1"/>
          <w:sz w:val="20"/>
          <w:szCs w:val="20"/>
          <w:lang w:val="en-US"/>
        </w:rPr>
        <w:t>others (Treatment Action Campaign and another as amici curiae)</w:t>
      </w:r>
      <w:r w:rsidR="00FD5519" w:rsidRPr="00FB45A3">
        <w:rPr>
          <w:rStyle w:val="apple-converted-space"/>
          <w:rFonts w:ascii="Arial" w:hAnsi="Arial" w:cs="Arial"/>
          <w:color w:val="000000" w:themeColor="text1"/>
          <w:sz w:val="20"/>
          <w:szCs w:val="20"/>
          <w:lang w:val="en-US"/>
        </w:rPr>
        <w:t> </w:t>
      </w:r>
      <w:r w:rsidRPr="00FB45A3">
        <w:rPr>
          <w:rFonts w:ascii="Arial" w:hAnsi="Arial" w:cs="Arial"/>
          <w:sz w:val="20"/>
          <w:szCs w:val="20"/>
          <w:lang w:val="en-US"/>
        </w:rPr>
        <w:t>[2005] ZACC 14</w:t>
      </w:r>
      <w:r w:rsidRPr="00FB45A3">
        <w:rPr>
          <w:rFonts w:ascii="Arial" w:hAnsi="Arial" w:cs="Arial"/>
          <w:color w:val="000000" w:themeColor="text1"/>
          <w:sz w:val="20"/>
          <w:szCs w:val="20"/>
          <w:lang w:val="en-US"/>
        </w:rPr>
        <w:t>;</w:t>
      </w:r>
      <w:r w:rsidRPr="00FB45A3">
        <w:rPr>
          <w:rStyle w:val="apple-converted-space"/>
          <w:rFonts w:ascii="Arial" w:hAnsi="Arial" w:cs="Arial"/>
          <w:color w:val="000000" w:themeColor="text1"/>
          <w:sz w:val="20"/>
          <w:szCs w:val="20"/>
          <w:lang w:val="en-US"/>
        </w:rPr>
        <w:t> </w:t>
      </w:r>
      <w:r w:rsidRPr="00FB45A3">
        <w:rPr>
          <w:rFonts w:ascii="Arial" w:hAnsi="Arial" w:cs="Arial"/>
          <w:sz w:val="20"/>
          <w:szCs w:val="20"/>
          <w:lang w:val="en-US"/>
        </w:rPr>
        <w:t>2006 (2) SA 311</w:t>
      </w:r>
      <w:r w:rsidRPr="00FB45A3">
        <w:rPr>
          <w:rStyle w:val="apple-converted-space"/>
          <w:rFonts w:ascii="Arial" w:hAnsi="Arial" w:cs="Arial"/>
          <w:color w:val="000000" w:themeColor="text1"/>
          <w:sz w:val="20"/>
          <w:szCs w:val="20"/>
          <w:lang w:val="en-US"/>
        </w:rPr>
        <w:t> </w:t>
      </w:r>
      <w:r w:rsidRPr="00FB45A3">
        <w:rPr>
          <w:rFonts w:ascii="Arial" w:hAnsi="Arial" w:cs="Arial"/>
          <w:color w:val="000000" w:themeColor="text1"/>
          <w:sz w:val="20"/>
          <w:szCs w:val="20"/>
          <w:lang w:val="en-US"/>
        </w:rPr>
        <w:t>(CC) paras 152-155</w:t>
      </w:r>
      <w:r w:rsidR="0060402C" w:rsidRPr="00FB45A3">
        <w:rPr>
          <w:rFonts w:ascii="Arial" w:hAnsi="Arial" w:cs="Arial"/>
          <w:color w:val="000000" w:themeColor="text1"/>
          <w:sz w:val="20"/>
          <w:szCs w:val="20"/>
          <w:lang w:val="en-US"/>
        </w:rPr>
        <w:t xml:space="preserve">; </w:t>
      </w:r>
      <w:r w:rsidR="0060402C" w:rsidRPr="00FB45A3">
        <w:rPr>
          <w:rFonts w:ascii="Arial" w:hAnsi="Arial" w:cs="Arial"/>
          <w:i/>
          <w:iCs/>
          <w:color w:val="000000" w:themeColor="text1"/>
          <w:sz w:val="20"/>
          <w:szCs w:val="20"/>
          <w:lang w:val="en-US"/>
        </w:rPr>
        <w:t xml:space="preserve">City of Tshwane Metropolitan Municipality v RPM Bricks </w:t>
      </w:r>
      <w:r w:rsidR="00FD5519" w:rsidRPr="00FB45A3">
        <w:rPr>
          <w:rFonts w:ascii="Arial" w:hAnsi="Arial" w:cs="Arial"/>
          <w:i/>
          <w:iCs/>
          <w:color w:val="000000" w:themeColor="text1"/>
          <w:sz w:val="20"/>
          <w:szCs w:val="20"/>
          <w:lang w:val="en-US"/>
        </w:rPr>
        <w:t>(Pty)</w:t>
      </w:r>
      <w:r w:rsidR="0060402C" w:rsidRPr="00FB45A3">
        <w:rPr>
          <w:rFonts w:ascii="Arial" w:hAnsi="Arial" w:cs="Arial"/>
          <w:i/>
          <w:iCs/>
          <w:color w:val="000000" w:themeColor="text1"/>
          <w:sz w:val="20"/>
          <w:szCs w:val="20"/>
          <w:lang w:val="en-US"/>
        </w:rPr>
        <w:t xml:space="preserve"> Ltd</w:t>
      </w:r>
      <w:r w:rsidR="0060402C" w:rsidRPr="00FB45A3">
        <w:rPr>
          <w:rStyle w:val="apple-converted-space"/>
          <w:rFonts w:ascii="Arial" w:hAnsi="Arial" w:cs="Arial"/>
          <w:color w:val="000000" w:themeColor="text1"/>
          <w:sz w:val="20"/>
          <w:szCs w:val="20"/>
          <w:lang w:val="en-US"/>
        </w:rPr>
        <w:t> </w:t>
      </w:r>
      <w:r w:rsidR="0060402C" w:rsidRPr="00FB45A3">
        <w:rPr>
          <w:rFonts w:ascii="Arial" w:hAnsi="Arial" w:cs="Arial"/>
          <w:sz w:val="20"/>
          <w:szCs w:val="20"/>
          <w:lang w:val="en-US"/>
        </w:rPr>
        <w:t>[2007] ZASCA 28</w:t>
      </w:r>
      <w:r w:rsidR="0060402C" w:rsidRPr="00FB45A3">
        <w:rPr>
          <w:rFonts w:ascii="Arial" w:hAnsi="Arial" w:cs="Arial"/>
          <w:color w:val="000000" w:themeColor="text1"/>
          <w:sz w:val="20"/>
          <w:szCs w:val="20"/>
          <w:lang w:val="en-US"/>
        </w:rPr>
        <w:t>;</w:t>
      </w:r>
      <w:r w:rsidR="0060402C" w:rsidRPr="00FB45A3">
        <w:rPr>
          <w:rStyle w:val="apple-converted-space"/>
          <w:rFonts w:ascii="Arial" w:hAnsi="Arial" w:cs="Arial"/>
          <w:color w:val="000000" w:themeColor="text1"/>
          <w:sz w:val="20"/>
          <w:szCs w:val="20"/>
          <w:lang w:val="en-US"/>
        </w:rPr>
        <w:t> </w:t>
      </w:r>
      <w:r w:rsidR="0060402C" w:rsidRPr="00FB45A3">
        <w:rPr>
          <w:rFonts w:ascii="Arial" w:hAnsi="Arial" w:cs="Arial"/>
          <w:sz w:val="20"/>
          <w:szCs w:val="20"/>
          <w:lang w:val="en-US"/>
        </w:rPr>
        <w:t>2008 (3) SA 1</w:t>
      </w:r>
      <w:r w:rsidR="0060402C" w:rsidRPr="00FB45A3">
        <w:rPr>
          <w:rStyle w:val="apple-converted-space"/>
          <w:rFonts w:ascii="Arial" w:hAnsi="Arial" w:cs="Arial"/>
          <w:color w:val="000000" w:themeColor="text1"/>
          <w:sz w:val="20"/>
          <w:szCs w:val="20"/>
          <w:lang w:val="en-US"/>
        </w:rPr>
        <w:t> </w:t>
      </w:r>
      <w:r w:rsidR="0060402C" w:rsidRPr="00FB45A3">
        <w:rPr>
          <w:rFonts w:ascii="Arial" w:hAnsi="Arial" w:cs="Arial"/>
          <w:color w:val="000000" w:themeColor="text1"/>
          <w:sz w:val="20"/>
          <w:szCs w:val="20"/>
          <w:lang w:val="en-US"/>
        </w:rPr>
        <w:t>(SCA) para 12.</w:t>
      </w:r>
    </w:p>
  </w:footnote>
  <w:footnote w:id="28">
    <w:p w14:paraId="448F4EF9" w14:textId="77777777" w:rsidR="00413C81" w:rsidRPr="00FB45A3" w:rsidRDefault="00413C81" w:rsidP="00FB45A3">
      <w:pPr>
        <w:pStyle w:val="FootnoteText"/>
        <w:jc w:val="both"/>
        <w:rPr>
          <w:rFonts w:ascii="Arial" w:hAnsi="Arial" w:cs="Arial"/>
          <w:lang w:val="en-US"/>
        </w:rPr>
      </w:pPr>
      <w:r w:rsidRPr="00FB45A3">
        <w:rPr>
          <w:rStyle w:val="FootnoteReference"/>
          <w:rFonts w:ascii="Arial" w:hAnsi="Arial" w:cs="Arial"/>
        </w:rPr>
        <w:footnoteRef/>
      </w:r>
      <w:r w:rsidRPr="00FB45A3">
        <w:rPr>
          <w:rFonts w:ascii="Arial" w:hAnsi="Arial" w:cs="Arial"/>
        </w:rPr>
        <w:t xml:space="preserve"> </w:t>
      </w:r>
      <w:r w:rsidR="00C6355A" w:rsidRPr="00FB45A3">
        <w:rPr>
          <w:rFonts w:ascii="Arial" w:hAnsi="Arial" w:cs="Arial"/>
          <w:i/>
          <w:iCs/>
          <w:color w:val="000000" w:themeColor="text1"/>
        </w:rPr>
        <w:t xml:space="preserve">Altech </w:t>
      </w:r>
      <w:r w:rsidR="00C6355A" w:rsidRPr="00FB45A3">
        <w:rPr>
          <w:rFonts w:ascii="Arial" w:hAnsi="Arial" w:cs="Arial"/>
          <w:color w:val="000000" w:themeColor="text1"/>
        </w:rPr>
        <w:t>para 71.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699257"/>
      <w:docPartObj>
        <w:docPartGallery w:val="Page Numbers (Top of Page)"/>
        <w:docPartUnique/>
      </w:docPartObj>
    </w:sdtPr>
    <w:sdtEndPr>
      <w:rPr>
        <w:noProof/>
      </w:rPr>
    </w:sdtEndPr>
    <w:sdtContent>
      <w:p w14:paraId="4A18D3F5" w14:textId="517F1002" w:rsidR="0044558B" w:rsidRDefault="0044558B">
        <w:pPr>
          <w:pStyle w:val="Header"/>
          <w:jc w:val="right"/>
        </w:pPr>
        <w:r w:rsidRPr="0044558B">
          <w:rPr>
            <w:rFonts w:ascii="Arial" w:hAnsi="Arial" w:cs="Arial"/>
          </w:rPr>
          <w:fldChar w:fldCharType="begin"/>
        </w:r>
        <w:r w:rsidRPr="0044558B">
          <w:rPr>
            <w:rFonts w:ascii="Arial" w:hAnsi="Arial" w:cs="Arial"/>
          </w:rPr>
          <w:instrText xml:space="preserve"> PAGE   \* MERGEFORMAT </w:instrText>
        </w:r>
        <w:r w:rsidRPr="0044558B">
          <w:rPr>
            <w:rFonts w:ascii="Arial" w:hAnsi="Arial" w:cs="Arial"/>
          </w:rPr>
          <w:fldChar w:fldCharType="separate"/>
        </w:r>
        <w:r w:rsidR="000971A3">
          <w:rPr>
            <w:rFonts w:ascii="Arial" w:hAnsi="Arial" w:cs="Arial"/>
            <w:noProof/>
          </w:rPr>
          <w:t>16</w:t>
        </w:r>
        <w:r w:rsidRPr="0044558B">
          <w:rPr>
            <w:rFonts w:ascii="Arial" w:hAnsi="Arial" w:cs="Arial"/>
            <w:noProof/>
          </w:rPr>
          <w:fldChar w:fldCharType="end"/>
        </w:r>
      </w:p>
    </w:sdtContent>
  </w:sdt>
  <w:p w14:paraId="35883C90" w14:textId="77777777" w:rsidR="0044558B" w:rsidRDefault="004455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67D39"/>
    <w:multiLevelType w:val="hybridMultilevel"/>
    <w:tmpl w:val="658C2F80"/>
    <w:lvl w:ilvl="0" w:tplc="A30819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B02AB"/>
    <w:multiLevelType w:val="hybridMultilevel"/>
    <w:tmpl w:val="83E8C72A"/>
    <w:lvl w:ilvl="0" w:tplc="E1225E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D4E3B"/>
    <w:multiLevelType w:val="hybridMultilevel"/>
    <w:tmpl w:val="FE4C3B3A"/>
    <w:lvl w:ilvl="0" w:tplc="90046972">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793024"/>
    <w:multiLevelType w:val="hybridMultilevel"/>
    <w:tmpl w:val="AE02089C"/>
    <w:lvl w:ilvl="0" w:tplc="C778ED6C">
      <w:start w:val="1"/>
      <w:numFmt w:val="decimal"/>
      <w:lvlText w:val="[%1]"/>
      <w:lvlJc w:val="left"/>
      <w:pPr>
        <w:ind w:left="720" w:hanging="360"/>
      </w:pPr>
      <w:rPr>
        <w:rFonts w:ascii="Arial" w:hAnsi="Arial" w:cs="Arial" w:hint="default"/>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A81591"/>
    <w:multiLevelType w:val="hybridMultilevel"/>
    <w:tmpl w:val="2A020F2A"/>
    <w:lvl w:ilvl="0" w:tplc="EC5ACF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90867"/>
    <w:multiLevelType w:val="hybridMultilevel"/>
    <w:tmpl w:val="C76ADB1A"/>
    <w:lvl w:ilvl="0" w:tplc="C778ED6C">
      <w:start w:val="1"/>
      <w:numFmt w:val="decimal"/>
      <w:lvlText w:val="[%1]"/>
      <w:lvlJc w:val="left"/>
      <w:pPr>
        <w:ind w:left="720" w:hanging="360"/>
      </w:pPr>
      <w:rPr>
        <w:rFonts w:ascii="Arial" w:hAnsi="Arial" w:cs="Arial" w:hint="default"/>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FA5865"/>
    <w:multiLevelType w:val="hybridMultilevel"/>
    <w:tmpl w:val="81B0B0B8"/>
    <w:lvl w:ilvl="0" w:tplc="E1A873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492E11"/>
    <w:multiLevelType w:val="hybridMultilevel"/>
    <w:tmpl w:val="B3E6EC10"/>
    <w:lvl w:ilvl="0" w:tplc="FFFFFFFF">
      <w:start w:val="1"/>
      <w:numFmt w:val="decimal"/>
      <w:lvlText w:val="[%1]"/>
      <w:lvlJc w:val="left"/>
      <w:pPr>
        <w:ind w:left="720" w:hanging="360"/>
      </w:pPr>
      <w:rPr>
        <w:rFonts w:ascii="Arial" w:hAnsi="Arial" w:cs="Arial" w:hint="default"/>
        <w:i w:val="0"/>
        <w:i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7B7AE9"/>
    <w:multiLevelType w:val="hybridMultilevel"/>
    <w:tmpl w:val="BD086ED0"/>
    <w:lvl w:ilvl="0" w:tplc="975E8D62">
      <w:start w:val="1"/>
      <w:numFmt w:val="decimal"/>
      <w:lvlText w:val="[%1]"/>
      <w:lvlJc w:val="left"/>
      <w:pPr>
        <w:ind w:left="720" w:hanging="360"/>
      </w:pPr>
      <w:rPr>
        <w:rFonts w:ascii="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271FB8"/>
    <w:multiLevelType w:val="hybridMultilevel"/>
    <w:tmpl w:val="B93CAB76"/>
    <w:lvl w:ilvl="0" w:tplc="47CE02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FB730F"/>
    <w:multiLevelType w:val="hybridMultilevel"/>
    <w:tmpl w:val="85CC60EE"/>
    <w:lvl w:ilvl="0" w:tplc="B5B08E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251488"/>
    <w:multiLevelType w:val="hybridMultilevel"/>
    <w:tmpl w:val="1D049204"/>
    <w:lvl w:ilvl="0" w:tplc="95C29E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492865"/>
    <w:multiLevelType w:val="hybridMultilevel"/>
    <w:tmpl w:val="778A757A"/>
    <w:lvl w:ilvl="0" w:tplc="C778ED6C">
      <w:start w:val="1"/>
      <w:numFmt w:val="decimal"/>
      <w:lvlText w:val="[%1]"/>
      <w:lvlJc w:val="left"/>
      <w:pPr>
        <w:ind w:left="720" w:hanging="360"/>
      </w:pPr>
      <w:rPr>
        <w:rFonts w:ascii="Arial" w:hAnsi="Arial" w:cs="Arial" w:hint="default"/>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B757AE"/>
    <w:multiLevelType w:val="multilevel"/>
    <w:tmpl w:val="09BA8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5747C3"/>
    <w:multiLevelType w:val="hybridMultilevel"/>
    <w:tmpl w:val="D8FCD74C"/>
    <w:lvl w:ilvl="0" w:tplc="C778ED6C">
      <w:start w:val="1"/>
      <w:numFmt w:val="decimal"/>
      <w:lvlText w:val="[%1]"/>
      <w:lvlJc w:val="left"/>
      <w:pPr>
        <w:ind w:left="720" w:hanging="360"/>
      </w:pPr>
      <w:rPr>
        <w:rFonts w:ascii="Arial" w:hAnsi="Arial" w:cs="Arial" w:hint="default"/>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441E28"/>
    <w:multiLevelType w:val="hybridMultilevel"/>
    <w:tmpl w:val="AFBAFA2E"/>
    <w:lvl w:ilvl="0" w:tplc="62302D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140EC0"/>
    <w:multiLevelType w:val="hybridMultilevel"/>
    <w:tmpl w:val="B6D23956"/>
    <w:lvl w:ilvl="0" w:tplc="AD0063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37647F"/>
    <w:multiLevelType w:val="multilevel"/>
    <w:tmpl w:val="45543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16"/>
  </w:num>
  <w:num w:numId="4">
    <w:abstractNumId w:val="10"/>
  </w:num>
  <w:num w:numId="5">
    <w:abstractNumId w:val="0"/>
  </w:num>
  <w:num w:numId="6">
    <w:abstractNumId w:val="14"/>
  </w:num>
  <w:num w:numId="7">
    <w:abstractNumId w:val="17"/>
  </w:num>
  <w:num w:numId="8">
    <w:abstractNumId w:val="15"/>
  </w:num>
  <w:num w:numId="9">
    <w:abstractNumId w:val="2"/>
  </w:num>
  <w:num w:numId="10">
    <w:abstractNumId w:val="11"/>
  </w:num>
  <w:num w:numId="11">
    <w:abstractNumId w:val="8"/>
  </w:num>
  <w:num w:numId="12">
    <w:abstractNumId w:val="7"/>
  </w:num>
  <w:num w:numId="13">
    <w:abstractNumId w:val="12"/>
  </w:num>
  <w:num w:numId="14">
    <w:abstractNumId w:val="1"/>
  </w:num>
  <w:num w:numId="15">
    <w:abstractNumId w:val="3"/>
  </w:num>
  <w:num w:numId="16">
    <w:abstractNumId w:val="18"/>
  </w:num>
  <w:num w:numId="17">
    <w:abstractNumId w:val="6"/>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59AEB80-CA40-453C-AE1A-AECE831EB09F}"/>
    <w:docVar w:name="dgnword-eventsink" w:val="1283283170528"/>
  </w:docVars>
  <w:rsids>
    <w:rsidRoot w:val="0044558B"/>
    <w:rsid w:val="00000FEA"/>
    <w:rsid w:val="00002CD9"/>
    <w:rsid w:val="000233C9"/>
    <w:rsid w:val="0002789B"/>
    <w:rsid w:val="000343E4"/>
    <w:rsid w:val="00040937"/>
    <w:rsid w:val="00070CEB"/>
    <w:rsid w:val="000738E4"/>
    <w:rsid w:val="00077BD6"/>
    <w:rsid w:val="00087105"/>
    <w:rsid w:val="000971A3"/>
    <w:rsid w:val="000A4BD3"/>
    <w:rsid w:val="000A6CB5"/>
    <w:rsid w:val="000B2815"/>
    <w:rsid w:val="000B29D5"/>
    <w:rsid w:val="000B6600"/>
    <w:rsid w:val="000D72A6"/>
    <w:rsid w:val="000D752E"/>
    <w:rsid w:val="000E2DE6"/>
    <w:rsid w:val="000E3137"/>
    <w:rsid w:val="000F3DB8"/>
    <w:rsid w:val="00100BDD"/>
    <w:rsid w:val="00104035"/>
    <w:rsid w:val="00104BC4"/>
    <w:rsid w:val="001068E1"/>
    <w:rsid w:val="00107A2C"/>
    <w:rsid w:val="00113E51"/>
    <w:rsid w:val="001241EE"/>
    <w:rsid w:val="00133CF4"/>
    <w:rsid w:val="00134C2A"/>
    <w:rsid w:val="001366E6"/>
    <w:rsid w:val="001419F2"/>
    <w:rsid w:val="001446C1"/>
    <w:rsid w:val="00156C0C"/>
    <w:rsid w:val="00162BF3"/>
    <w:rsid w:val="00163A54"/>
    <w:rsid w:val="00167B38"/>
    <w:rsid w:val="00172C98"/>
    <w:rsid w:val="00174C9A"/>
    <w:rsid w:val="00177B5F"/>
    <w:rsid w:val="00182883"/>
    <w:rsid w:val="0018563E"/>
    <w:rsid w:val="00186038"/>
    <w:rsid w:val="00186555"/>
    <w:rsid w:val="00194676"/>
    <w:rsid w:val="00195D29"/>
    <w:rsid w:val="0019609D"/>
    <w:rsid w:val="00197BF5"/>
    <w:rsid w:val="001A237F"/>
    <w:rsid w:val="001A2804"/>
    <w:rsid w:val="001A37E2"/>
    <w:rsid w:val="001A7E1C"/>
    <w:rsid w:val="001B0246"/>
    <w:rsid w:val="001B502D"/>
    <w:rsid w:val="001D30D9"/>
    <w:rsid w:val="001E6C1F"/>
    <w:rsid w:val="002067F4"/>
    <w:rsid w:val="002133D6"/>
    <w:rsid w:val="00213A91"/>
    <w:rsid w:val="00213F21"/>
    <w:rsid w:val="00215744"/>
    <w:rsid w:val="00216355"/>
    <w:rsid w:val="002220B9"/>
    <w:rsid w:val="00227302"/>
    <w:rsid w:val="00256E9D"/>
    <w:rsid w:val="00260ED8"/>
    <w:rsid w:val="00270FD6"/>
    <w:rsid w:val="00271CA3"/>
    <w:rsid w:val="00271EF6"/>
    <w:rsid w:val="002741F2"/>
    <w:rsid w:val="00275107"/>
    <w:rsid w:val="00281075"/>
    <w:rsid w:val="00285F7A"/>
    <w:rsid w:val="0028670D"/>
    <w:rsid w:val="00287A99"/>
    <w:rsid w:val="002914EE"/>
    <w:rsid w:val="00292D0D"/>
    <w:rsid w:val="00294C40"/>
    <w:rsid w:val="00295303"/>
    <w:rsid w:val="002B3235"/>
    <w:rsid w:val="002B3387"/>
    <w:rsid w:val="002B70F1"/>
    <w:rsid w:val="002E2F28"/>
    <w:rsid w:val="002E4AFE"/>
    <w:rsid w:val="002F37B9"/>
    <w:rsid w:val="002F5BC7"/>
    <w:rsid w:val="00303FD5"/>
    <w:rsid w:val="003061E8"/>
    <w:rsid w:val="00310D7D"/>
    <w:rsid w:val="00313CBE"/>
    <w:rsid w:val="0031431F"/>
    <w:rsid w:val="003154E9"/>
    <w:rsid w:val="003309B6"/>
    <w:rsid w:val="0033294E"/>
    <w:rsid w:val="00334A02"/>
    <w:rsid w:val="00337EAD"/>
    <w:rsid w:val="00347188"/>
    <w:rsid w:val="0035681C"/>
    <w:rsid w:val="00356F18"/>
    <w:rsid w:val="00357AE6"/>
    <w:rsid w:val="0036183A"/>
    <w:rsid w:val="00366AC0"/>
    <w:rsid w:val="003738F5"/>
    <w:rsid w:val="003811F2"/>
    <w:rsid w:val="00382F4A"/>
    <w:rsid w:val="00387817"/>
    <w:rsid w:val="003A09F5"/>
    <w:rsid w:val="003A25B3"/>
    <w:rsid w:val="003A61F7"/>
    <w:rsid w:val="003B5AB0"/>
    <w:rsid w:val="003D3AEE"/>
    <w:rsid w:val="003D3DC3"/>
    <w:rsid w:val="003D4318"/>
    <w:rsid w:val="003E058A"/>
    <w:rsid w:val="003E3794"/>
    <w:rsid w:val="003E3B5F"/>
    <w:rsid w:val="003E4168"/>
    <w:rsid w:val="003F340B"/>
    <w:rsid w:val="003F4352"/>
    <w:rsid w:val="00400EB5"/>
    <w:rsid w:val="00404BF2"/>
    <w:rsid w:val="00410050"/>
    <w:rsid w:val="004104E5"/>
    <w:rsid w:val="004127B9"/>
    <w:rsid w:val="00413C81"/>
    <w:rsid w:val="00417126"/>
    <w:rsid w:val="00420616"/>
    <w:rsid w:val="004230ED"/>
    <w:rsid w:val="00431E9A"/>
    <w:rsid w:val="00432D89"/>
    <w:rsid w:val="00434C1F"/>
    <w:rsid w:val="0043706A"/>
    <w:rsid w:val="00440567"/>
    <w:rsid w:val="004424D1"/>
    <w:rsid w:val="004453CE"/>
    <w:rsid w:val="0044558B"/>
    <w:rsid w:val="00452C1F"/>
    <w:rsid w:val="004906F9"/>
    <w:rsid w:val="004A159F"/>
    <w:rsid w:val="004B163C"/>
    <w:rsid w:val="004B7373"/>
    <w:rsid w:val="004C2A44"/>
    <w:rsid w:val="004D4472"/>
    <w:rsid w:val="004E1485"/>
    <w:rsid w:val="004E2BC8"/>
    <w:rsid w:val="004E78FD"/>
    <w:rsid w:val="004F1402"/>
    <w:rsid w:val="004F289B"/>
    <w:rsid w:val="004F54D0"/>
    <w:rsid w:val="004F7570"/>
    <w:rsid w:val="00504E28"/>
    <w:rsid w:val="00512DD9"/>
    <w:rsid w:val="00522D9A"/>
    <w:rsid w:val="00525324"/>
    <w:rsid w:val="0053070F"/>
    <w:rsid w:val="00531547"/>
    <w:rsid w:val="00532FEC"/>
    <w:rsid w:val="00537EBA"/>
    <w:rsid w:val="00541590"/>
    <w:rsid w:val="005472C3"/>
    <w:rsid w:val="00555C11"/>
    <w:rsid w:val="0055764D"/>
    <w:rsid w:val="00557B15"/>
    <w:rsid w:val="00562290"/>
    <w:rsid w:val="00567519"/>
    <w:rsid w:val="00570877"/>
    <w:rsid w:val="0057589A"/>
    <w:rsid w:val="00582153"/>
    <w:rsid w:val="00584A52"/>
    <w:rsid w:val="00593410"/>
    <w:rsid w:val="00594BED"/>
    <w:rsid w:val="005A1782"/>
    <w:rsid w:val="005A19B0"/>
    <w:rsid w:val="005A27FF"/>
    <w:rsid w:val="005A3D49"/>
    <w:rsid w:val="005A4026"/>
    <w:rsid w:val="005A50B9"/>
    <w:rsid w:val="005B77AD"/>
    <w:rsid w:val="005C0CAA"/>
    <w:rsid w:val="005C69E4"/>
    <w:rsid w:val="005C78FC"/>
    <w:rsid w:val="005D16A0"/>
    <w:rsid w:val="005D663E"/>
    <w:rsid w:val="005D7FFE"/>
    <w:rsid w:val="005E414E"/>
    <w:rsid w:val="005E46B7"/>
    <w:rsid w:val="005E6F8E"/>
    <w:rsid w:val="005F2B00"/>
    <w:rsid w:val="005F2D06"/>
    <w:rsid w:val="00603F28"/>
    <w:rsid w:val="0060402C"/>
    <w:rsid w:val="0060754D"/>
    <w:rsid w:val="0061649C"/>
    <w:rsid w:val="00620775"/>
    <w:rsid w:val="00624BD1"/>
    <w:rsid w:val="006270EC"/>
    <w:rsid w:val="00632019"/>
    <w:rsid w:val="0063269B"/>
    <w:rsid w:val="00632A14"/>
    <w:rsid w:val="00632FA0"/>
    <w:rsid w:val="00640C82"/>
    <w:rsid w:val="00641C1B"/>
    <w:rsid w:val="00642168"/>
    <w:rsid w:val="0064347C"/>
    <w:rsid w:val="00646BB7"/>
    <w:rsid w:val="00646E48"/>
    <w:rsid w:val="00652FC7"/>
    <w:rsid w:val="006574E1"/>
    <w:rsid w:val="0066591E"/>
    <w:rsid w:val="00665E3B"/>
    <w:rsid w:val="0067373E"/>
    <w:rsid w:val="00681310"/>
    <w:rsid w:val="00693F83"/>
    <w:rsid w:val="006A2303"/>
    <w:rsid w:val="006B03D5"/>
    <w:rsid w:val="006B0496"/>
    <w:rsid w:val="006B34CD"/>
    <w:rsid w:val="006B7A1C"/>
    <w:rsid w:val="006C1628"/>
    <w:rsid w:val="006C23F3"/>
    <w:rsid w:val="006C2462"/>
    <w:rsid w:val="006C2AB8"/>
    <w:rsid w:val="006D0823"/>
    <w:rsid w:val="006D5F36"/>
    <w:rsid w:val="006E2F11"/>
    <w:rsid w:val="006F27ED"/>
    <w:rsid w:val="006F5658"/>
    <w:rsid w:val="006F56AE"/>
    <w:rsid w:val="006F6AF3"/>
    <w:rsid w:val="00714ED4"/>
    <w:rsid w:val="00717221"/>
    <w:rsid w:val="00717499"/>
    <w:rsid w:val="00726264"/>
    <w:rsid w:val="00730958"/>
    <w:rsid w:val="007311E7"/>
    <w:rsid w:val="00732976"/>
    <w:rsid w:val="007333F0"/>
    <w:rsid w:val="0074208F"/>
    <w:rsid w:val="007427F7"/>
    <w:rsid w:val="007436A3"/>
    <w:rsid w:val="007437AD"/>
    <w:rsid w:val="007450CC"/>
    <w:rsid w:val="00746807"/>
    <w:rsid w:val="00753D67"/>
    <w:rsid w:val="007604B8"/>
    <w:rsid w:val="0076325D"/>
    <w:rsid w:val="00764468"/>
    <w:rsid w:val="00765CC1"/>
    <w:rsid w:val="00766ABE"/>
    <w:rsid w:val="00771E1B"/>
    <w:rsid w:val="0077303E"/>
    <w:rsid w:val="00773F5B"/>
    <w:rsid w:val="007954A3"/>
    <w:rsid w:val="007A3E95"/>
    <w:rsid w:val="007A3F1E"/>
    <w:rsid w:val="007B2E40"/>
    <w:rsid w:val="007B3DE2"/>
    <w:rsid w:val="007C35F7"/>
    <w:rsid w:val="007C7E1B"/>
    <w:rsid w:val="007D1419"/>
    <w:rsid w:val="007D1B62"/>
    <w:rsid w:val="007D332E"/>
    <w:rsid w:val="007D5463"/>
    <w:rsid w:val="007E1BF6"/>
    <w:rsid w:val="007E4842"/>
    <w:rsid w:val="007E7612"/>
    <w:rsid w:val="007F11FF"/>
    <w:rsid w:val="007F5404"/>
    <w:rsid w:val="007F7CD9"/>
    <w:rsid w:val="008020BC"/>
    <w:rsid w:val="008046CD"/>
    <w:rsid w:val="00816446"/>
    <w:rsid w:val="0082399D"/>
    <w:rsid w:val="0082688C"/>
    <w:rsid w:val="00827D3F"/>
    <w:rsid w:val="00842F4C"/>
    <w:rsid w:val="00843331"/>
    <w:rsid w:val="00863279"/>
    <w:rsid w:val="00864D32"/>
    <w:rsid w:val="00865AEA"/>
    <w:rsid w:val="00870C2E"/>
    <w:rsid w:val="008735C1"/>
    <w:rsid w:val="00875B14"/>
    <w:rsid w:val="00875EF3"/>
    <w:rsid w:val="008847A9"/>
    <w:rsid w:val="00890F6D"/>
    <w:rsid w:val="0089744C"/>
    <w:rsid w:val="008A3CB6"/>
    <w:rsid w:val="008B0B3B"/>
    <w:rsid w:val="008B1A98"/>
    <w:rsid w:val="008B5A5C"/>
    <w:rsid w:val="008B6796"/>
    <w:rsid w:val="008C145E"/>
    <w:rsid w:val="008C5A02"/>
    <w:rsid w:val="008C763F"/>
    <w:rsid w:val="008D2359"/>
    <w:rsid w:val="008E160B"/>
    <w:rsid w:val="008E40CA"/>
    <w:rsid w:val="008F4901"/>
    <w:rsid w:val="008F7A2D"/>
    <w:rsid w:val="00910073"/>
    <w:rsid w:val="0091132E"/>
    <w:rsid w:val="00913722"/>
    <w:rsid w:val="00915896"/>
    <w:rsid w:val="009165EC"/>
    <w:rsid w:val="00917AB9"/>
    <w:rsid w:val="009227D6"/>
    <w:rsid w:val="00923E51"/>
    <w:rsid w:val="00930017"/>
    <w:rsid w:val="00934B1A"/>
    <w:rsid w:val="00953864"/>
    <w:rsid w:val="00955271"/>
    <w:rsid w:val="00963499"/>
    <w:rsid w:val="00964FA0"/>
    <w:rsid w:val="00967EC4"/>
    <w:rsid w:val="009706A3"/>
    <w:rsid w:val="00971665"/>
    <w:rsid w:val="00971862"/>
    <w:rsid w:val="009806AB"/>
    <w:rsid w:val="009848CF"/>
    <w:rsid w:val="00985716"/>
    <w:rsid w:val="00991253"/>
    <w:rsid w:val="0099233C"/>
    <w:rsid w:val="0099558A"/>
    <w:rsid w:val="009D0E87"/>
    <w:rsid w:val="009E24C1"/>
    <w:rsid w:val="009E3BDA"/>
    <w:rsid w:val="009F0F28"/>
    <w:rsid w:val="009F2B3A"/>
    <w:rsid w:val="009F696F"/>
    <w:rsid w:val="00A0092D"/>
    <w:rsid w:val="00A06A11"/>
    <w:rsid w:val="00A06C97"/>
    <w:rsid w:val="00A077B5"/>
    <w:rsid w:val="00A12E2D"/>
    <w:rsid w:val="00A1682A"/>
    <w:rsid w:val="00A20903"/>
    <w:rsid w:val="00A209B0"/>
    <w:rsid w:val="00A31640"/>
    <w:rsid w:val="00A32DF9"/>
    <w:rsid w:val="00A468F6"/>
    <w:rsid w:val="00A54A38"/>
    <w:rsid w:val="00A56B61"/>
    <w:rsid w:val="00A6532E"/>
    <w:rsid w:val="00A65F79"/>
    <w:rsid w:val="00A67424"/>
    <w:rsid w:val="00A71340"/>
    <w:rsid w:val="00A71F2D"/>
    <w:rsid w:val="00A9013E"/>
    <w:rsid w:val="00A92590"/>
    <w:rsid w:val="00A95855"/>
    <w:rsid w:val="00AA34D1"/>
    <w:rsid w:val="00AA4510"/>
    <w:rsid w:val="00AA73C9"/>
    <w:rsid w:val="00AB2F36"/>
    <w:rsid w:val="00AB2FE2"/>
    <w:rsid w:val="00AB381B"/>
    <w:rsid w:val="00AB51FA"/>
    <w:rsid w:val="00AC3FC1"/>
    <w:rsid w:val="00AD007D"/>
    <w:rsid w:val="00AD5604"/>
    <w:rsid w:val="00AE0210"/>
    <w:rsid w:val="00AE255A"/>
    <w:rsid w:val="00AE7764"/>
    <w:rsid w:val="00AF2BD4"/>
    <w:rsid w:val="00B00676"/>
    <w:rsid w:val="00B0214F"/>
    <w:rsid w:val="00B13A11"/>
    <w:rsid w:val="00B164EF"/>
    <w:rsid w:val="00B235B3"/>
    <w:rsid w:val="00B2678E"/>
    <w:rsid w:val="00B2773E"/>
    <w:rsid w:val="00B324EA"/>
    <w:rsid w:val="00B35788"/>
    <w:rsid w:val="00B548FE"/>
    <w:rsid w:val="00B54C18"/>
    <w:rsid w:val="00B551A0"/>
    <w:rsid w:val="00B74BF3"/>
    <w:rsid w:val="00B7673B"/>
    <w:rsid w:val="00B83D3B"/>
    <w:rsid w:val="00B86CD9"/>
    <w:rsid w:val="00B97CC2"/>
    <w:rsid w:val="00BA732B"/>
    <w:rsid w:val="00BB0919"/>
    <w:rsid w:val="00BB30F0"/>
    <w:rsid w:val="00BB5618"/>
    <w:rsid w:val="00BC3FB5"/>
    <w:rsid w:val="00BD17E4"/>
    <w:rsid w:val="00BD1AB9"/>
    <w:rsid w:val="00BE141A"/>
    <w:rsid w:val="00BF2989"/>
    <w:rsid w:val="00BF3864"/>
    <w:rsid w:val="00C04DB1"/>
    <w:rsid w:val="00C13B96"/>
    <w:rsid w:val="00C14A72"/>
    <w:rsid w:val="00C177D5"/>
    <w:rsid w:val="00C26367"/>
    <w:rsid w:val="00C3290D"/>
    <w:rsid w:val="00C33588"/>
    <w:rsid w:val="00C34EE0"/>
    <w:rsid w:val="00C37B81"/>
    <w:rsid w:val="00C37D5C"/>
    <w:rsid w:val="00C42C02"/>
    <w:rsid w:val="00C51861"/>
    <w:rsid w:val="00C52560"/>
    <w:rsid w:val="00C575B2"/>
    <w:rsid w:val="00C6086B"/>
    <w:rsid w:val="00C620E4"/>
    <w:rsid w:val="00C625BB"/>
    <w:rsid w:val="00C63229"/>
    <w:rsid w:val="00C6355A"/>
    <w:rsid w:val="00C67A23"/>
    <w:rsid w:val="00C75102"/>
    <w:rsid w:val="00C80F1C"/>
    <w:rsid w:val="00C81CFB"/>
    <w:rsid w:val="00C83755"/>
    <w:rsid w:val="00C84FEB"/>
    <w:rsid w:val="00C96E55"/>
    <w:rsid w:val="00CB4142"/>
    <w:rsid w:val="00CC1057"/>
    <w:rsid w:val="00CC7F28"/>
    <w:rsid w:val="00CD14CF"/>
    <w:rsid w:val="00CE0AC2"/>
    <w:rsid w:val="00CE4F2A"/>
    <w:rsid w:val="00CE67C4"/>
    <w:rsid w:val="00CE68FA"/>
    <w:rsid w:val="00CF0066"/>
    <w:rsid w:val="00D00E39"/>
    <w:rsid w:val="00D06180"/>
    <w:rsid w:val="00D10A78"/>
    <w:rsid w:val="00D15416"/>
    <w:rsid w:val="00D15870"/>
    <w:rsid w:val="00D15B5E"/>
    <w:rsid w:val="00D2295C"/>
    <w:rsid w:val="00D4097E"/>
    <w:rsid w:val="00D40D24"/>
    <w:rsid w:val="00D422FD"/>
    <w:rsid w:val="00D44CC8"/>
    <w:rsid w:val="00D50F20"/>
    <w:rsid w:val="00D620C1"/>
    <w:rsid w:val="00D64976"/>
    <w:rsid w:val="00D735DE"/>
    <w:rsid w:val="00D73B1D"/>
    <w:rsid w:val="00D81D32"/>
    <w:rsid w:val="00D842E2"/>
    <w:rsid w:val="00D90AAE"/>
    <w:rsid w:val="00D9124F"/>
    <w:rsid w:val="00D97F13"/>
    <w:rsid w:val="00D97FB0"/>
    <w:rsid w:val="00DA67DD"/>
    <w:rsid w:val="00DB7BDE"/>
    <w:rsid w:val="00DC0448"/>
    <w:rsid w:val="00DC7384"/>
    <w:rsid w:val="00DD0CB2"/>
    <w:rsid w:val="00DD1FAB"/>
    <w:rsid w:val="00DD39C5"/>
    <w:rsid w:val="00DE29AD"/>
    <w:rsid w:val="00DE3473"/>
    <w:rsid w:val="00DE4141"/>
    <w:rsid w:val="00DE704B"/>
    <w:rsid w:val="00E0377C"/>
    <w:rsid w:val="00E14C5A"/>
    <w:rsid w:val="00E16B3D"/>
    <w:rsid w:val="00E214EC"/>
    <w:rsid w:val="00E24440"/>
    <w:rsid w:val="00E30C38"/>
    <w:rsid w:val="00E32DDE"/>
    <w:rsid w:val="00E41CAF"/>
    <w:rsid w:val="00E42316"/>
    <w:rsid w:val="00E42906"/>
    <w:rsid w:val="00E43DF4"/>
    <w:rsid w:val="00E6043F"/>
    <w:rsid w:val="00E61C1C"/>
    <w:rsid w:val="00E65A11"/>
    <w:rsid w:val="00E663E6"/>
    <w:rsid w:val="00E714CA"/>
    <w:rsid w:val="00E85052"/>
    <w:rsid w:val="00E852F3"/>
    <w:rsid w:val="00E869A3"/>
    <w:rsid w:val="00E95C84"/>
    <w:rsid w:val="00EA6F22"/>
    <w:rsid w:val="00EB4496"/>
    <w:rsid w:val="00EB5600"/>
    <w:rsid w:val="00EB5E94"/>
    <w:rsid w:val="00EC15F4"/>
    <w:rsid w:val="00EC5DFF"/>
    <w:rsid w:val="00EC7A2F"/>
    <w:rsid w:val="00ED2B0D"/>
    <w:rsid w:val="00ED472F"/>
    <w:rsid w:val="00ED655D"/>
    <w:rsid w:val="00ED7A79"/>
    <w:rsid w:val="00EE16FD"/>
    <w:rsid w:val="00EE2A8F"/>
    <w:rsid w:val="00EF0DE7"/>
    <w:rsid w:val="00F0273E"/>
    <w:rsid w:val="00F039D7"/>
    <w:rsid w:val="00F24604"/>
    <w:rsid w:val="00F3586F"/>
    <w:rsid w:val="00F40329"/>
    <w:rsid w:val="00F44C16"/>
    <w:rsid w:val="00F67543"/>
    <w:rsid w:val="00F7209B"/>
    <w:rsid w:val="00F740DB"/>
    <w:rsid w:val="00F825BD"/>
    <w:rsid w:val="00F91FE2"/>
    <w:rsid w:val="00F942BA"/>
    <w:rsid w:val="00FB45A3"/>
    <w:rsid w:val="00FB4F17"/>
    <w:rsid w:val="00FB79B7"/>
    <w:rsid w:val="00FC2DE8"/>
    <w:rsid w:val="00FC4937"/>
    <w:rsid w:val="00FC7E4B"/>
    <w:rsid w:val="00FD5519"/>
    <w:rsid w:val="00FE5035"/>
    <w:rsid w:val="00FE66C9"/>
    <w:rsid w:val="00FE7C60"/>
    <w:rsid w:val="00FF6F59"/>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156B"/>
  <w15:chartTrackingRefBased/>
  <w15:docId w15:val="{4651F813-6A13-47B9-AEAA-680EF0AB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F22"/>
    <w:pPr>
      <w:spacing w:after="0" w:line="240" w:lineRule="auto"/>
    </w:pPr>
    <w:rPr>
      <w:rFonts w:ascii="Times New Roman" w:eastAsia="Times New Roman" w:hAnsi="Times New Roman" w:cs="Times New Roman"/>
      <w:sz w:val="24"/>
      <w:szCs w:val="24"/>
      <w:lang w:val="en-ZA" w:eastAsia="en-GB" w:bidi="yi-Hebr"/>
    </w:rPr>
  </w:style>
  <w:style w:type="paragraph" w:styleId="Heading2">
    <w:name w:val="heading 2"/>
    <w:basedOn w:val="Normal"/>
    <w:link w:val="Heading2Char"/>
    <w:uiPriority w:val="9"/>
    <w:qFormat/>
    <w:rsid w:val="00C3290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B77A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58B"/>
    <w:pPr>
      <w:ind w:left="720"/>
      <w:contextualSpacing/>
    </w:pPr>
  </w:style>
  <w:style w:type="paragraph" w:styleId="FootnoteText">
    <w:name w:val="footnote text"/>
    <w:basedOn w:val="Normal"/>
    <w:link w:val="FootnoteTextChar"/>
    <w:uiPriority w:val="99"/>
    <w:semiHidden/>
    <w:unhideWhenUsed/>
    <w:qFormat/>
    <w:rsid w:val="0044558B"/>
    <w:rPr>
      <w:sz w:val="20"/>
      <w:szCs w:val="20"/>
    </w:rPr>
  </w:style>
  <w:style w:type="character" w:customStyle="1" w:styleId="FootnoteTextChar">
    <w:name w:val="Footnote Text Char"/>
    <w:basedOn w:val="DefaultParagraphFont"/>
    <w:link w:val="FootnoteText"/>
    <w:uiPriority w:val="99"/>
    <w:semiHidden/>
    <w:rsid w:val="0044558B"/>
    <w:rPr>
      <w:rFonts w:ascii="Times New Roman" w:eastAsia="Times New Roman" w:hAnsi="Times New Roman" w:cs="Times New Roman"/>
      <w:sz w:val="20"/>
      <w:szCs w:val="20"/>
      <w:lang w:val="en-ZA" w:eastAsia="en-GB" w:bidi="yi-Hebr"/>
    </w:rPr>
  </w:style>
  <w:style w:type="character" w:styleId="FootnoteReference">
    <w:name w:val="footnote reference"/>
    <w:basedOn w:val="DefaultParagraphFont"/>
    <w:uiPriority w:val="99"/>
    <w:semiHidden/>
    <w:unhideWhenUsed/>
    <w:rsid w:val="0044558B"/>
    <w:rPr>
      <w:vertAlign w:val="superscript"/>
    </w:rPr>
  </w:style>
  <w:style w:type="paragraph" w:styleId="Header">
    <w:name w:val="header"/>
    <w:basedOn w:val="Normal"/>
    <w:link w:val="HeaderChar"/>
    <w:uiPriority w:val="99"/>
    <w:unhideWhenUsed/>
    <w:rsid w:val="0044558B"/>
    <w:pPr>
      <w:tabs>
        <w:tab w:val="center" w:pos="4513"/>
        <w:tab w:val="right" w:pos="9026"/>
      </w:tabs>
    </w:pPr>
  </w:style>
  <w:style w:type="character" w:customStyle="1" w:styleId="HeaderChar">
    <w:name w:val="Header Char"/>
    <w:basedOn w:val="DefaultParagraphFont"/>
    <w:link w:val="Header"/>
    <w:uiPriority w:val="99"/>
    <w:rsid w:val="0044558B"/>
  </w:style>
  <w:style w:type="paragraph" w:styleId="Footer">
    <w:name w:val="footer"/>
    <w:basedOn w:val="Normal"/>
    <w:link w:val="FooterChar"/>
    <w:uiPriority w:val="99"/>
    <w:unhideWhenUsed/>
    <w:rsid w:val="0044558B"/>
    <w:pPr>
      <w:tabs>
        <w:tab w:val="center" w:pos="4513"/>
        <w:tab w:val="right" w:pos="9026"/>
      </w:tabs>
    </w:pPr>
  </w:style>
  <w:style w:type="character" w:customStyle="1" w:styleId="FooterChar">
    <w:name w:val="Footer Char"/>
    <w:basedOn w:val="DefaultParagraphFont"/>
    <w:link w:val="Footer"/>
    <w:uiPriority w:val="99"/>
    <w:rsid w:val="0044558B"/>
  </w:style>
  <w:style w:type="character" w:styleId="Hyperlink">
    <w:name w:val="Hyperlink"/>
    <w:basedOn w:val="DefaultParagraphFont"/>
    <w:uiPriority w:val="99"/>
    <w:unhideWhenUsed/>
    <w:rsid w:val="00227302"/>
    <w:rPr>
      <w:color w:val="0000FF"/>
      <w:u w:val="single"/>
    </w:rPr>
  </w:style>
  <w:style w:type="paragraph" w:styleId="NormalWeb">
    <w:name w:val="Normal (Web)"/>
    <w:basedOn w:val="Normal"/>
    <w:uiPriority w:val="99"/>
    <w:unhideWhenUsed/>
    <w:rsid w:val="00E41CAF"/>
    <w:pPr>
      <w:spacing w:before="100" w:beforeAutospacing="1" w:after="100" w:afterAutospacing="1"/>
    </w:pPr>
  </w:style>
  <w:style w:type="character" w:customStyle="1" w:styleId="Heading2Char">
    <w:name w:val="Heading 2 Char"/>
    <w:basedOn w:val="DefaultParagraphFont"/>
    <w:link w:val="Heading2"/>
    <w:uiPriority w:val="9"/>
    <w:rsid w:val="00C3290D"/>
    <w:rPr>
      <w:rFonts w:ascii="Times New Roman" w:eastAsia="Times New Roman" w:hAnsi="Times New Roman" w:cs="Times New Roman"/>
      <w:b/>
      <w:bCs/>
      <w:sz w:val="36"/>
      <w:szCs w:val="36"/>
      <w:lang w:val="en-ZA" w:eastAsia="en-GB" w:bidi="yi-Hebr"/>
    </w:rPr>
  </w:style>
  <w:style w:type="character" w:customStyle="1" w:styleId="apple-converted-space">
    <w:name w:val="apple-converted-space"/>
    <w:basedOn w:val="DefaultParagraphFont"/>
    <w:rsid w:val="00CE68FA"/>
  </w:style>
  <w:style w:type="character" w:styleId="FollowedHyperlink">
    <w:name w:val="FollowedHyperlink"/>
    <w:basedOn w:val="DefaultParagraphFont"/>
    <w:uiPriority w:val="99"/>
    <w:semiHidden/>
    <w:unhideWhenUsed/>
    <w:rsid w:val="0074208F"/>
    <w:rPr>
      <w:color w:val="954F72" w:themeColor="followedHyperlink"/>
      <w:u w:val="single"/>
    </w:rPr>
  </w:style>
  <w:style w:type="character" w:customStyle="1" w:styleId="Heading3Char">
    <w:name w:val="Heading 3 Char"/>
    <w:basedOn w:val="DefaultParagraphFont"/>
    <w:link w:val="Heading3"/>
    <w:uiPriority w:val="9"/>
    <w:semiHidden/>
    <w:rsid w:val="005B77AD"/>
    <w:rPr>
      <w:rFonts w:asciiTheme="majorHAnsi" w:eastAsiaTheme="majorEastAsia" w:hAnsiTheme="majorHAnsi" w:cstheme="majorBidi"/>
      <w:color w:val="1F4D78" w:themeColor="accent1" w:themeShade="7F"/>
      <w:sz w:val="24"/>
      <w:szCs w:val="24"/>
      <w:lang w:val="en-ZA" w:eastAsia="en-GB" w:bidi="yi-Hebr"/>
    </w:rPr>
  </w:style>
  <w:style w:type="paragraph" w:styleId="BalloonText">
    <w:name w:val="Balloon Text"/>
    <w:basedOn w:val="Normal"/>
    <w:link w:val="BalloonTextChar"/>
    <w:uiPriority w:val="99"/>
    <w:semiHidden/>
    <w:unhideWhenUsed/>
    <w:rsid w:val="002F37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7B9"/>
    <w:rPr>
      <w:rFonts w:ascii="Segoe UI" w:eastAsia="Times New Roman" w:hAnsi="Segoe UI" w:cs="Segoe UI"/>
      <w:sz w:val="18"/>
      <w:szCs w:val="18"/>
      <w:lang w:val="en-ZA" w:eastAsia="en-GB" w:bidi="yi-Hebr"/>
    </w:rPr>
  </w:style>
  <w:style w:type="character" w:styleId="CommentReference">
    <w:name w:val="annotation reference"/>
    <w:basedOn w:val="DefaultParagraphFont"/>
    <w:uiPriority w:val="99"/>
    <w:semiHidden/>
    <w:unhideWhenUsed/>
    <w:rsid w:val="00AD007D"/>
    <w:rPr>
      <w:sz w:val="16"/>
      <w:szCs w:val="16"/>
    </w:rPr>
  </w:style>
  <w:style w:type="paragraph" w:styleId="CommentText">
    <w:name w:val="annotation text"/>
    <w:basedOn w:val="Normal"/>
    <w:link w:val="CommentTextChar"/>
    <w:uiPriority w:val="99"/>
    <w:unhideWhenUsed/>
    <w:rsid w:val="00AD007D"/>
    <w:rPr>
      <w:sz w:val="20"/>
      <w:szCs w:val="20"/>
    </w:rPr>
  </w:style>
  <w:style w:type="character" w:customStyle="1" w:styleId="CommentTextChar">
    <w:name w:val="Comment Text Char"/>
    <w:basedOn w:val="DefaultParagraphFont"/>
    <w:link w:val="CommentText"/>
    <w:uiPriority w:val="99"/>
    <w:rsid w:val="00AD007D"/>
    <w:rPr>
      <w:rFonts w:ascii="Times New Roman" w:eastAsia="Times New Roman" w:hAnsi="Times New Roman" w:cs="Times New Roman"/>
      <w:sz w:val="20"/>
      <w:szCs w:val="20"/>
      <w:lang w:val="en-ZA" w:eastAsia="en-GB" w:bidi="yi-Hebr"/>
    </w:rPr>
  </w:style>
  <w:style w:type="paragraph" w:styleId="CommentSubject">
    <w:name w:val="annotation subject"/>
    <w:basedOn w:val="CommentText"/>
    <w:next w:val="CommentText"/>
    <w:link w:val="CommentSubjectChar"/>
    <w:uiPriority w:val="99"/>
    <w:semiHidden/>
    <w:unhideWhenUsed/>
    <w:rsid w:val="00AD007D"/>
    <w:rPr>
      <w:b/>
      <w:bCs/>
    </w:rPr>
  </w:style>
  <w:style w:type="character" w:customStyle="1" w:styleId="CommentSubjectChar">
    <w:name w:val="Comment Subject Char"/>
    <w:basedOn w:val="CommentTextChar"/>
    <w:link w:val="CommentSubject"/>
    <w:uiPriority w:val="99"/>
    <w:semiHidden/>
    <w:rsid w:val="00AD007D"/>
    <w:rPr>
      <w:rFonts w:ascii="Times New Roman" w:eastAsia="Times New Roman" w:hAnsi="Times New Roman" w:cs="Times New Roman"/>
      <w:b/>
      <w:bCs/>
      <w:sz w:val="20"/>
      <w:szCs w:val="20"/>
      <w:lang w:val="en-ZA" w:eastAsia="en-GB"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2808">
      <w:bodyDiv w:val="1"/>
      <w:marLeft w:val="0"/>
      <w:marRight w:val="0"/>
      <w:marTop w:val="0"/>
      <w:marBottom w:val="0"/>
      <w:divBdr>
        <w:top w:val="none" w:sz="0" w:space="0" w:color="auto"/>
        <w:left w:val="none" w:sz="0" w:space="0" w:color="auto"/>
        <w:bottom w:val="none" w:sz="0" w:space="0" w:color="auto"/>
        <w:right w:val="none" w:sz="0" w:space="0" w:color="auto"/>
      </w:divBdr>
    </w:div>
    <w:div w:id="61493119">
      <w:bodyDiv w:val="1"/>
      <w:marLeft w:val="0"/>
      <w:marRight w:val="0"/>
      <w:marTop w:val="0"/>
      <w:marBottom w:val="0"/>
      <w:divBdr>
        <w:top w:val="none" w:sz="0" w:space="0" w:color="auto"/>
        <w:left w:val="none" w:sz="0" w:space="0" w:color="auto"/>
        <w:bottom w:val="none" w:sz="0" w:space="0" w:color="auto"/>
        <w:right w:val="none" w:sz="0" w:space="0" w:color="auto"/>
      </w:divBdr>
    </w:div>
    <w:div w:id="66659251">
      <w:bodyDiv w:val="1"/>
      <w:marLeft w:val="0"/>
      <w:marRight w:val="0"/>
      <w:marTop w:val="0"/>
      <w:marBottom w:val="0"/>
      <w:divBdr>
        <w:top w:val="none" w:sz="0" w:space="0" w:color="auto"/>
        <w:left w:val="none" w:sz="0" w:space="0" w:color="auto"/>
        <w:bottom w:val="none" w:sz="0" w:space="0" w:color="auto"/>
        <w:right w:val="none" w:sz="0" w:space="0" w:color="auto"/>
      </w:divBdr>
    </w:div>
    <w:div w:id="93208405">
      <w:bodyDiv w:val="1"/>
      <w:marLeft w:val="0"/>
      <w:marRight w:val="0"/>
      <w:marTop w:val="0"/>
      <w:marBottom w:val="0"/>
      <w:divBdr>
        <w:top w:val="none" w:sz="0" w:space="0" w:color="auto"/>
        <w:left w:val="none" w:sz="0" w:space="0" w:color="auto"/>
        <w:bottom w:val="none" w:sz="0" w:space="0" w:color="auto"/>
        <w:right w:val="none" w:sz="0" w:space="0" w:color="auto"/>
      </w:divBdr>
    </w:div>
    <w:div w:id="101071994">
      <w:bodyDiv w:val="1"/>
      <w:marLeft w:val="0"/>
      <w:marRight w:val="0"/>
      <w:marTop w:val="0"/>
      <w:marBottom w:val="0"/>
      <w:divBdr>
        <w:top w:val="none" w:sz="0" w:space="0" w:color="auto"/>
        <w:left w:val="none" w:sz="0" w:space="0" w:color="auto"/>
        <w:bottom w:val="none" w:sz="0" w:space="0" w:color="auto"/>
        <w:right w:val="none" w:sz="0" w:space="0" w:color="auto"/>
      </w:divBdr>
    </w:div>
    <w:div w:id="117381416">
      <w:bodyDiv w:val="1"/>
      <w:marLeft w:val="0"/>
      <w:marRight w:val="0"/>
      <w:marTop w:val="0"/>
      <w:marBottom w:val="0"/>
      <w:divBdr>
        <w:top w:val="none" w:sz="0" w:space="0" w:color="auto"/>
        <w:left w:val="none" w:sz="0" w:space="0" w:color="auto"/>
        <w:bottom w:val="none" w:sz="0" w:space="0" w:color="auto"/>
        <w:right w:val="none" w:sz="0" w:space="0" w:color="auto"/>
      </w:divBdr>
    </w:div>
    <w:div w:id="124323117">
      <w:bodyDiv w:val="1"/>
      <w:marLeft w:val="0"/>
      <w:marRight w:val="0"/>
      <w:marTop w:val="0"/>
      <w:marBottom w:val="0"/>
      <w:divBdr>
        <w:top w:val="none" w:sz="0" w:space="0" w:color="auto"/>
        <w:left w:val="none" w:sz="0" w:space="0" w:color="auto"/>
        <w:bottom w:val="none" w:sz="0" w:space="0" w:color="auto"/>
        <w:right w:val="none" w:sz="0" w:space="0" w:color="auto"/>
      </w:divBdr>
      <w:divsChild>
        <w:div w:id="554851772">
          <w:marLeft w:val="0"/>
          <w:marRight w:val="0"/>
          <w:marTop w:val="0"/>
          <w:marBottom w:val="0"/>
          <w:divBdr>
            <w:top w:val="none" w:sz="0" w:space="0" w:color="auto"/>
            <w:left w:val="none" w:sz="0" w:space="0" w:color="auto"/>
            <w:bottom w:val="none" w:sz="0" w:space="0" w:color="auto"/>
            <w:right w:val="none" w:sz="0" w:space="0" w:color="auto"/>
          </w:divBdr>
          <w:divsChild>
            <w:div w:id="76170549">
              <w:marLeft w:val="0"/>
              <w:marRight w:val="0"/>
              <w:marTop w:val="0"/>
              <w:marBottom w:val="0"/>
              <w:divBdr>
                <w:top w:val="none" w:sz="0" w:space="0" w:color="auto"/>
                <w:left w:val="none" w:sz="0" w:space="0" w:color="auto"/>
                <w:bottom w:val="none" w:sz="0" w:space="0" w:color="auto"/>
                <w:right w:val="none" w:sz="0" w:space="0" w:color="auto"/>
              </w:divBdr>
              <w:divsChild>
                <w:div w:id="1172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82669">
      <w:bodyDiv w:val="1"/>
      <w:marLeft w:val="0"/>
      <w:marRight w:val="0"/>
      <w:marTop w:val="0"/>
      <w:marBottom w:val="0"/>
      <w:divBdr>
        <w:top w:val="none" w:sz="0" w:space="0" w:color="auto"/>
        <w:left w:val="none" w:sz="0" w:space="0" w:color="auto"/>
        <w:bottom w:val="none" w:sz="0" w:space="0" w:color="auto"/>
        <w:right w:val="none" w:sz="0" w:space="0" w:color="auto"/>
      </w:divBdr>
    </w:div>
    <w:div w:id="269356727">
      <w:bodyDiv w:val="1"/>
      <w:marLeft w:val="0"/>
      <w:marRight w:val="0"/>
      <w:marTop w:val="0"/>
      <w:marBottom w:val="0"/>
      <w:divBdr>
        <w:top w:val="none" w:sz="0" w:space="0" w:color="auto"/>
        <w:left w:val="none" w:sz="0" w:space="0" w:color="auto"/>
        <w:bottom w:val="none" w:sz="0" w:space="0" w:color="auto"/>
        <w:right w:val="none" w:sz="0" w:space="0" w:color="auto"/>
      </w:divBdr>
    </w:div>
    <w:div w:id="271211567">
      <w:bodyDiv w:val="1"/>
      <w:marLeft w:val="0"/>
      <w:marRight w:val="0"/>
      <w:marTop w:val="0"/>
      <w:marBottom w:val="0"/>
      <w:divBdr>
        <w:top w:val="none" w:sz="0" w:space="0" w:color="auto"/>
        <w:left w:val="none" w:sz="0" w:space="0" w:color="auto"/>
        <w:bottom w:val="none" w:sz="0" w:space="0" w:color="auto"/>
        <w:right w:val="none" w:sz="0" w:space="0" w:color="auto"/>
      </w:divBdr>
    </w:div>
    <w:div w:id="313989521">
      <w:bodyDiv w:val="1"/>
      <w:marLeft w:val="0"/>
      <w:marRight w:val="0"/>
      <w:marTop w:val="0"/>
      <w:marBottom w:val="0"/>
      <w:divBdr>
        <w:top w:val="none" w:sz="0" w:space="0" w:color="auto"/>
        <w:left w:val="none" w:sz="0" w:space="0" w:color="auto"/>
        <w:bottom w:val="none" w:sz="0" w:space="0" w:color="auto"/>
        <w:right w:val="none" w:sz="0" w:space="0" w:color="auto"/>
      </w:divBdr>
    </w:div>
    <w:div w:id="369304777">
      <w:bodyDiv w:val="1"/>
      <w:marLeft w:val="0"/>
      <w:marRight w:val="0"/>
      <w:marTop w:val="0"/>
      <w:marBottom w:val="0"/>
      <w:divBdr>
        <w:top w:val="none" w:sz="0" w:space="0" w:color="auto"/>
        <w:left w:val="none" w:sz="0" w:space="0" w:color="auto"/>
        <w:bottom w:val="none" w:sz="0" w:space="0" w:color="auto"/>
        <w:right w:val="none" w:sz="0" w:space="0" w:color="auto"/>
      </w:divBdr>
    </w:div>
    <w:div w:id="413891782">
      <w:bodyDiv w:val="1"/>
      <w:marLeft w:val="0"/>
      <w:marRight w:val="0"/>
      <w:marTop w:val="0"/>
      <w:marBottom w:val="0"/>
      <w:divBdr>
        <w:top w:val="none" w:sz="0" w:space="0" w:color="auto"/>
        <w:left w:val="none" w:sz="0" w:space="0" w:color="auto"/>
        <w:bottom w:val="none" w:sz="0" w:space="0" w:color="auto"/>
        <w:right w:val="none" w:sz="0" w:space="0" w:color="auto"/>
      </w:divBdr>
    </w:div>
    <w:div w:id="488987228">
      <w:bodyDiv w:val="1"/>
      <w:marLeft w:val="0"/>
      <w:marRight w:val="0"/>
      <w:marTop w:val="0"/>
      <w:marBottom w:val="0"/>
      <w:divBdr>
        <w:top w:val="none" w:sz="0" w:space="0" w:color="auto"/>
        <w:left w:val="none" w:sz="0" w:space="0" w:color="auto"/>
        <w:bottom w:val="none" w:sz="0" w:space="0" w:color="auto"/>
        <w:right w:val="none" w:sz="0" w:space="0" w:color="auto"/>
      </w:divBdr>
    </w:div>
    <w:div w:id="494536295">
      <w:bodyDiv w:val="1"/>
      <w:marLeft w:val="0"/>
      <w:marRight w:val="0"/>
      <w:marTop w:val="0"/>
      <w:marBottom w:val="0"/>
      <w:divBdr>
        <w:top w:val="none" w:sz="0" w:space="0" w:color="auto"/>
        <w:left w:val="none" w:sz="0" w:space="0" w:color="auto"/>
        <w:bottom w:val="none" w:sz="0" w:space="0" w:color="auto"/>
        <w:right w:val="none" w:sz="0" w:space="0" w:color="auto"/>
      </w:divBdr>
    </w:div>
    <w:div w:id="543635406">
      <w:bodyDiv w:val="1"/>
      <w:marLeft w:val="0"/>
      <w:marRight w:val="0"/>
      <w:marTop w:val="0"/>
      <w:marBottom w:val="0"/>
      <w:divBdr>
        <w:top w:val="none" w:sz="0" w:space="0" w:color="auto"/>
        <w:left w:val="none" w:sz="0" w:space="0" w:color="auto"/>
        <w:bottom w:val="none" w:sz="0" w:space="0" w:color="auto"/>
        <w:right w:val="none" w:sz="0" w:space="0" w:color="auto"/>
      </w:divBdr>
    </w:div>
    <w:div w:id="559482878">
      <w:bodyDiv w:val="1"/>
      <w:marLeft w:val="0"/>
      <w:marRight w:val="0"/>
      <w:marTop w:val="0"/>
      <w:marBottom w:val="0"/>
      <w:divBdr>
        <w:top w:val="none" w:sz="0" w:space="0" w:color="auto"/>
        <w:left w:val="none" w:sz="0" w:space="0" w:color="auto"/>
        <w:bottom w:val="none" w:sz="0" w:space="0" w:color="auto"/>
        <w:right w:val="none" w:sz="0" w:space="0" w:color="auto"/>
      </w:divBdr>
      <w:divsChild>
        <w:div w:id="732313661">
          <w:marLeft w:val="0"/>
          <w:marRight w:val="0"/>
          <w:marTop w:val="0"/>
          <w:marBottom w:val="0"/>
          <w:divBdr>
            <w:top w:val="none" w:sz="0" w:space="0" w:color="auto"/>
            <w:left w:val="none" w:sz="0" w:space="0" w:color="auto"/>
            <w:bottom w:val="none" w:sz="0" w:space="0" w:color="auto"/>
            <w:right w:val="none" w:sz="0" w:space="0" w:color="auto"/>
          </w:divBdr>
          <w:divsChild>
            <w:div w:id="1122304549">
              <w:marLeft w:val="0"/>
              <w:marRight w:val="0"/>
              <w:marTop w:val="0"/>
              <w:marBottom w:val="0"/>
              <w:divBdr>
                <w:top w:val="none" w:sz="0" w:space="0" w:color="auto"/>
                <w:left w:val="none" w:sz="0" w:space="0" w:color="auto"/>
                <w:bottom w:val="none" w:sz="0" w:space="0" w:color="auto"/>
                <w:right w:val="none" w:sz="0" w:space="0" w:color="auto"/>
              </w:divBdr>
              <w:divsChild>
                <w:div w:id="879130527">
                  <w:marLeft w:val="0"/>
                  <w:marRight w:val="0"/>
                  <w:marTop w:val="0"/>
                  <w:marBottom w:val="0"/>
                  <w:divBdr>
                    <w:top w:val="none" w:sz="0" w:space="0" w:color="auto"/>
                    <w:left w:val="none" w:sz="0" w:space="0" w:color="auto"/>
                    <w:bottom w:val="none" w:sz="0" w:space="0" w:color="auto"/>
                    <w:right w:val="none" w:sz="0" w:space="0" w:color="auto"/>
                  </w:divBdr>
                </w:div>
              </w:divsChild>
            </w:div>
            <w:div w:id="195774553">
              <w:marLeft w:val="0"/>
              <w:marRight w:val="0"/>
              <w:marTop w:val="0"/>
              <w:marBottom w:val="0"/>
              <w:divBdr>
                <w:top w:val="none" w:sz="0" w:space="0" w:color="auto"/>
                <w:left w:val="none" w:sz="0" w:space="0" w:color="auto"/>
                <w:bottom w:val="none" w:sz="0" w:space="0" w:color="auto"/>
                <w:right w:val="none" w:sz="0" w:space="0" w:color="auto"/>
              </w:divBdr>
              <w:divsChild>
                <w:div w:id="13720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358071">
      <w:bodyDiv w:val="1"/>
      <w:marLeft w:val="0"/>
      <w:marRight w:val="0"/>
      <w:marTop w:val="0"/>
      <w:marBottom w:val="0"/>
      <w:divBdr>
        <w:top w:val="none" w:sz="0" w:space="0" w:color="auto"/>
        <w:left w:val="none" w:sz="0" w:space="0" w:color="auto"/>
        <w:bottom w:val="none" w:sz="0" w:space="0" w:color="auto"/>
        <w:right w:val="none" w:sz="0" w:space="0" w:color="auto"/>
      </w:divBdr>
    </w:div>
    <w:div w:id="647638508">
      <w:bodyDiv w:val="1"/>
      <w:marLeft w:val="0"/>
      <w:marRight w:val="0"/>
      <w:marTop w:val="0"/>
      <w:marBottom w:val="0"/>
      <w:divBdr>
        <w:top w:val="none" w:sz="0" w:space="0" w:color="auto"/>
        <w:left w:val="none" w:sz="0" w:space="0" w:color="auto"/>
        <w:bottom w:val="none" w:sz="0" w:space="0" w:color="auto"/>
        <w:right w:val="none" w:sz="0" w:space="0" w:color="auto"/>
      </w:divBdr>
    </w:div>
    <w:div w:id="700516388">
      <w:bodyDiv w:val="1"/>
      <w:marLeft w:val="0"/>
      <w:marRight w:val="0"/>
      <w:marTop w:val="0"/>
      <w:marBottom w:val="0"/>
      <w:divBdr>
        <w:top w:val="none" w:sz="0" w:space="0" w:color="auto"/>
        <w:left w:val="none" w:sz="0" w:space="0" w:color="auto"/>
        <w:bottom w:val="none" w:sz="0" w:space="0" w:color="auto"/>
        <w:right w:val="none" w:sz="0" w:space="0" w:color="auto"/>
      </w:divBdr>
    </w:div>
    <w:div w:id="702440247">
      <w:bodyDiv w:val="1"/>
      <w:marLeft w:val="0"/>
      <w:marRight w:val="0"/>
      <w:marTop w:val="0"/>
      <w:marBottom w:val="0"/>
      <w:divBdr>
        <w:top w:val="none" w:sz="0" w:space="0" w:color="auto"/>
        <w:left w:val="none" w:sz="0" w:space="0" w:color="auto"/>
        <w:bottom w:val="none" w:sz="0" w:space="0" w:color="auto"/>
        <w:right w:val="none" w:sz="0" w:space="0" w:color="auto"/>
      </w:divBdr>
      <w:divsChild>
        <w:div w:id="222714510">
          <w:marLeft w:val="0"/>
          <w:marRight w:val="0"/>
          <w:marTop w:val="0"/>
          <w:marBottom w:val="0"/>
          <w:divBdr>
            <w:top w:val="none" w:sz="0" w:space="0" w:color="auto"/>
            <w:left w:val="none" w:sz="0" w:space="0" w:color="auto"/>
            <w:bottom w:val="none" w:sz="0" w:space="0" w:color="auto"/>
            <w:right w:val="none" w:sz="0" w:space="0" w:color="auto"/>
          </w:divBdr>
          <w:divsChild>
            <w:div w:id="678509382">
              <w:marLeft w:val="0"/>
              <w:marRight w:val="0"/>
              <w:marTop w:val="0"/>
              <w:marBottom w:val="0"/>
              <w:divBdr>
                <w:top w:val="none" w:sz="0" w:space="0" w:color="auto"/>
                <w:left w:val="none" w:sz="0" w:space="0" w:color="auto"/>
                <w:bottom w:val="none" w:sz="0" w:space="0" w:color="auto"/>
                <w:right w:val="none" w:sz="0" w:space="0" w:color="auto"/>
              </w:divBdr>
              <w:divsChild>
                <w:div w:id="1632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06431">
      <w:bodyDiv w:val="1"/>
      <w:marLeft w:val="0"/>
      <w:marRight w:val="0"/>
      <w:marTop w:val="0"/>
      <w:marBottom w:val="0"/>
      <w:divBdr>
        <w:top w:val="none" w:sz="0" w:space="0" w:color="auto"/>
        <w:left w:val="none" w:sz="0" w:space="0" w:color="auto"/>
        <w:bottom w:val="none" w:sz="0" w:space="0" w:color="auto"/>
        <w:right w:val="none" w:sz="0" w:space="0" w:color="auto"/>
      </w:divBdr>
    </w:div>
    <w:div w:id="777987920">
      <w:bodyDiv w:val="1"/>
      <w:marLeft w:val="0"/>
      <w:marRight w:val="0"/>
      <w:marTop w:val="0"/>
      <w:marBottom w:val="0"/>
      <w:divBdr>
        <w:top w:val="none" w:sz="0" w:space="0" w:color="auto"/>
        <w:left w:val="none" w:sz="0" w:space="0" w:color="auto"/>
        <w:bottom w:val="none" w:sz="0" w:space="0" w:color="auto"/>
        <w:right w:val="none" w:sz="0" w:space="0" w:color="auto"/>
      </w:divBdr>
    </w:div>
    <w:div w:id="779032402">
      <w:bodyDiv w:val="1"/>
      <w:marLeft w:val="0"/>
      <w:marRight w:val="0"/>
      <w:marTop w:val="0"/>
      <w:marBottom w:val="0"/>
      <w:divBdr>
        <w:top w:val="none" w:sz="0" w:space="0" w:color="auto"/>
        <w:left w:val="none" w:sz="0" w:space="0" w:color="auto"/>
        <w:bottom w:val="none" w:sz="0" w:space="0" w:color="auto"/>
        <w:right w:val="none" w:sz="0" w:space="0" w:color="auto"/>
      </w:divBdr>
    </w:div>
    <w:div w:id="804543137">
      <w:bodyDiv w:val="1"/>
      <w:marLeft w:val="0"/>
      <w:marRight w:val="0"/>
      <w:marTop w:val="0"/>
      <w:marBottom w:val="0"/>
      <w:divBdr>
        <w:top w:val="none" w:sz="0" w:space="0" w:color="auto"/>
        <w:left w:val="none" w:sz="0" w:space="0" w:color="auto"/>
        <w:bottom w:val="none" w:sz="0" w:space="0" w:color="auto"/>
        <w:right w:val="none" w:sz="0" w:space="0" w:color="auto"/>
      </w:divBdr>
    </w:div>
    <w:div w:id="815296623">
      <w:bodyDiv w:val="1"/>
      <w:marLeft w:val="0"/>
      <w:marRight w:val="0"/>
      <w:marTop w:val="0"/>
      <w:marBottom w:val="0"/>
      <w:divBdr>
        <w:top w:val="none" w:sz="0" w:space="0" w:color="auto"/>
        <w:left w:val="none" w:sz="0" w:space="0" w:color="auto"/>
        <w:bottom w:val="none" w:sz="0" w:space="0" w:color="auto"/>
        <w:right w:val="none" w:sz="0" w:space="0" w:color="auto"/>
      </w:divBdr>
      <w:divsChild>
        <w:div w:id="1474909114">
          <w:marLeft w:val="0"/>
          <w:marRight w:val="0"/>
          <w:marTop w:val="0"/>
          <w:marBottom w:val="0"/>
          <w:divBdr>
            <w:top w:val="none" w:sz="0" w:space="0" w:color="auto"/>
            <w:left w:val="none" w:sz="0" w:space="0" w:color="auto"/>
            <w:bottom w:val="none" w:sz="0" w:space="0" w:color="auto"/>
            <w:right w:val="none" w:sz="0" w:space="0" w:color="auto"/>
          </w:divBdr>
          <w:divsChild>
            <w:div w:id="443616873">
              <w:marLeft w:val="0"/>
              <w:marRight w:val="0"/>
              <w:marTop w:val="0"/>
              <w:marBottom w:val="0"/>
              <w:divBdr>
                <w:top w:val="none" w:sz="0" w:space="0" w:color="auto"/>
                <w:left w:val="none" w:sz="0" w:space="0" w:color="auto"/>
                <w:bottom w:val="none" w:sz="0" w:space="0" w:color="auto"/>
                <w:right w:val="none" w:sz="0" w:space="0" w:color="auto"/>
              </w:divBdr>
              <w:divsChild>
                <w:div w:id="13671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5463">
      <w:bodyDiv w:val="1"/>
      <w:marLeft w:val="0"/>
      <w:marRight w:val="0"/>
      <w:marTop w:val="0"/>
      <w:marBottom w:val="0"/>
      <w:divBdr>
        <w:top w:val="none" w:sz="0" w:space="0" w:color="auto"/>
        <w:left w:val="none" w:sz="0" w:space="0" w:color="auto"/>
        <w:bottom w:val="none" w:sz="0" w:space="0" w:color="auto"/>
        <w:right w:val="none" w:sz="0" w:space="0" w:color="auto"/>
      </w:divBdr>
    </w:div>
    <w:div w:id="841816431">
      <w:bodyDiv w:val="1"/>
      <w:marLeft w:val="0"/>
      <w:marRight w:val="0"/>
      <w:marTop w:val="0"/>
      <w:marBottom w:val="0"/>
      <w:divBdr>
        <w:top w:val="none" w:sz="0" w:space="0" w:color="auto"/>
        <w:left w:val="none" w:sz="0" w:space="0" w:color="auto"/>
        <w:bottom w:val="none" w:sz="0" w:space="0" w:color="auto"/>
        <w:right w:val="none" w:sz="0" w:space="0" w:color="auto"/>
      </w:divBdr>
    </w:div>
    <w:div w:id="863592247">
      <w:bodyDiv w:val="1"/>
      <w:marLeft w:val="0"/>
      <w:marRight w:val="0"/>
      <w:marTop w:val="0"/>
      <w:marBottom w:val="0"/>
      <w:divBdr>
        <w:top w:val="none" w:sz="0" w:space="0" w:color="auto"/>
        <w:left w:val="none" w:sz="0" w:space="0" w:color="auto"/>
        <w:bottom w:val="none" w:sz="0" w:space="0" w:color="auto"/>
        <w:right w:val="none" w:sz="0" w:space="0" w:color="auto"/>
      </w:divBdr>
    </w:div>
    <w:div w:id="873427762">
      <w:bodyDiv w:val="1"/>
      <w:marLeft w:val="0"/>
      <w:marRight w:val="0"/>
      <w:marTop w:val="0"/>
      <w:marBottom w:val="0"/>
      <w:divBdr>
        <w:top w:val="none" w:sz="0" w:space="0" w:color="auto"/>
        <w:left w:val="none" w:sz="0" w:space="0" w:color="auto"/>
        <w:bottom w:val="none" w:sz="0" w:space="0" w:color="auto"/>
        <w:right w:val="none" w:sz="0" w:space="0" w:color="auto"/>
      </w:divBdr>
    </w:div>
    <w:div w:id="886644258">
      <w:bodyDiv w:val="1"/>
      <w:marLeft w:val="0"/>
      <w:marRight w:val="0"/>
      <w:marTop w:val="0"/>
      <w:marBottom w:val="0"/>
      <w:divBdr>
        <w:top w:val="none" w:sz="0" w:space="0" w:color="auto"/>
        <w:left w:val="none" w:sz="0" w:space="0" w:color="auto"/>
        <w:bottom w:val="none" w:sz="0" w:space="0" w:color="auto"/>
        <w:right w:val="none" w:sz="0" w:space="0" w:color="auto"/>
      </w:divBdr>
      <w:divsChild>
        <w:div w:id="741682581">
          <w:marLeft w:val="0"/>
          <w:marRight w:val="0"/>
          <w:marTop w:val="0"/>
          <w:marBottom w:val="0"/>
          <w:divBdr>
            <w:top w:val="none" w:sz="0" w:space="0" w:color="auto"/>
            <w:left w:val="none" w:sz="0" w:space="0" w:color="auto"/>
            <w:bottom w:val="none" w:sz="0" w:space="0" w:color="auto"/>
            <w:right w:val="none" w:sz="0" w:space="0" w:color="auto"/>
          </w:divBdr>
          <w:divsChild>
            <w:div w:id="250242556">
              <w:marLeft w:val="0"/>
              <w:marRight w:val="0"/>
              <w:marTop w:val="0"/>
              <w:marBottom w:val="0"/>
              <w:divBdr>
                <w:top w:val="none" w:sz="0" w:space="0" w:color="auto"/>
                <w:left w:val="none" w:sz="0" w:space="0" w:color="auto"/>
                <w:bottom w:val="none" w:sz="0" w:space="0" w:color="auto"/>
                <w:right w:val="none" w:sz="0" w:space="0" w:color="auto"/>
              </w:divBdr>
              <w:divsChild>
                <w:div w:id="21283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7588">
      <w:bodyDiv w:val="1"/>
      <w:marLeft w:val="0"/>
      <w:marRight w:val="0"/>
      <w:marTop w:val="0"/>
      <w:marBottom w:val="0"/>
      <w:divBdr>
        <w:top w:val="none" w:sz="0" w:space="0" w:color="auto"/>
        <w:left w:val="none" w:sz="0" w:space="0" w:color="auto"/>
        <w:bottom w:val="none" w:sz="0" w:space="0" w:color="auto"/>
        <w:right w:val="none" w:sz="0" w:space="0" w:color="auto"/>
      </w:divBdr>
    </w:div>
    <w:div w:id="1016150148">
      <w:bodyDiv w:val="1"/>
      <w:marLeft w:val="0"/>
      <w:marRight w:val="0"/>
      <w:marTop w:val="0"/>
      <w:marBottom w:val="0"/>
      <w:divBdr>
        <w:top w:val="none" w:sz="0" w:space="0" w:color="auto"/>
        <w:left w:val="none" w:sz="0" w:space="0" w:color="auto"/>
        <w:bottom w:val="none" w:sz="0" w:space="0" w:color="auto"/>
        <w:right w:val="none" w:sz="0" w:space="0" w:color="auto"/>
      </w:divBdr>
    </w:div>
    <w:div w:id="1059398114">
      <w:bodyDiv w:val="1"/>
      <w:marLeft w:val="0"/>
      <w:marRight w:val="0"/>
      <w:marTop w:val="0"/>
      <w:marBottom w:val="0"/>
      <w:divBdr>
        <w:top w:val="none" w:sz="0" w:space="0" w:color="auto"/>
        <w:left w:val="none" w:sz="0" w:space="0" w:color="auto"/>
        <w:bottom w:val="none" w:sz="0" w:space="0" w:color="auto"/>
        <w:right w:val="none" w:sz="0" w:space="0" w:color="auto"/>
      </w:divBdr>
    </w:div>
    <w:div w:id="1090783341">
      <w:bodyDiv w:val="1"/>
      <w:marLeft w:val="0"/>
      <w:marRight w:val="0"/>
      <w:marTop w:val="0"/>
      <w:marBottom w:val="0"/>
      <w:divBdr>
        <w:top w:val="none" w:sz="0" w:space="0" w:color="auto"/>
        <w:left w:val="none" w:sz="0" w:space="0" w:color="auto"/>
        <w:bottom w:val="none" w:sz="0" w:space="0" w:color="auto"/>
        <w:right w:val="none" w:sz="0" w:space="0" w:color="auto"/>
      </w:divBdr>
    </w:div>
    <w:div w:id="1096173203">
      <w:bodyDiv w:val="1"/>
      <w:marLeft w:val="0"/>
      <w:marRight w:val="0"/>
      <w:marTop w:val="0"/>
      <w:marBottom w:val="0"/>
      <w:divBdr>
        <w:top w:val="none" w:sz="0" w:space="0" w:color="auto"/>
        <w:left w:val="none" w:sz="0" w:space="0" w:color="auto"/>
        <w:bottom w:val="none" w:sz="0" w:space="0" w:color="auto"/>
        <w:right w:val="none" w:sz="0" w:space="0" w:color="auto"/>
      </w:divBdr>
      <w:divsChild>
        <w:div w:id="2003046980">
          <w:marLeft w:val="0"/>
          <w:marRight w:val="0"/>
          <w:marTop w:val="0"/>
          <w:marBottom w:val="0"/>
          <w:divBdr>
            <w:top w:val="none" w:sz="0" w:space="0" w:color="auto"/>
            <w:left w:val="none" w:sz="0" w:space="0" w:color="auto"/>
            <w:bottom w:val="none" w:sz="0" w:space="0" w:color="auto"/>
            <w:right w:val="none" w:sz="0" w:space="0" w:color="auto"/>
          </w:divBdr>
          <w:divsChild>
            <w:div w:id="45643340">
              <w:marLeft w:val="0"/>
              <w:marRight w:val="0"/>
              <w:marTop w:val="0"/>
              <w:marBottom w:val="0"/>
              <w:divBdr>
                <w:top w:val="none" w:sz="0" w:space="0" w:color="auto"/>
                <w:left w:val="none" w:sz="0" w:space="0" w:color="auto"/>
                <w:bottom w:val="none" w:sz="0" w:space="0" w:color="auto"/>
                <w:right w:val="none" w:sz="0" w:space="0" w:color="auto"/>
              </w:divBdr>
              <w:divsChild>
                <w:div w:id="8930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8376">
      <w:bodyDiv w:val="1"/>
      <w:marLeft w:val="0"/>
      <w:marRight w:val="0"/>
      <w:marTop w:val="0"/>
      <w:marBottom w:val="0"/>
      <w:divBdr>
        <w:top w:val="none" w:sz="0" w:space="0" w:color="auto"/>
        <w:left w:val="none" w:sz="0" w:space="0" w:color="auto"/>
        <w:bottom w:val="none" w:sz="0" w:space="0" w:color="auto"/>
        <w:right w:val="none" w:sz="0" w:space="0" w:color="auto"/>
      </w:divBdr>
    </w:div>
    <w:div w:id="1198348715">
      <w:bodyDiv w:val="1"/>
      <w:marLeft w:val="0"/>
      <w:marRight w:val="0"/>
      <w:marTop w:val="0"/>
      <w:marBottom w:val="0"/>
      <w:divBdr>
        <w:top w:val="none" w:sz="0" w:space="0" w:color="auto"/>
        <w:left w:val="none" w:sz="0" w:space="0" w:color="auto"/>
        <w:bottom w:val="none" w:sz="0" w:space="0" w:color="auto"/>
        <w:right w:val="none" w:sz="0" w:space="0" w:color="auto"/>
      </w:divBdr>
    </w:div>
    <w:div w:id="1202017126">
      <w:bodyDiv w:val="1"/>
      <w:marLeft w:val="0"/>
      <w:marRight w:val="0"/>
      <w:marTop w:val="0"/>
      <w:marBottom w:val="0"/>
      <w:divBdr>
        <w:top w:val="none" w:sz="0" w:space="0" w:color="auto"/>
        <w:left w:val="none" w:sz="0" w:space="0" w:color="auto"/>
        <w:bottom w:val="none" w:sz="0" w:space="0" w:color="auto"/>
        <w:right w:val="none" w:sz="0" w:space="0" w:color="auto"/>
      </w:divBdr>
    </w:div>
    <w:div w:id="1285959332">
      <w:bodyDiv w:val="1"/>
      <w:marLeft w:val="0"/>
      <w:marRight w:val="0"/>
      <w:marTop w:val="0"/>
      <w:marBottom w:val="0"/>
      <w:divBdr>
        <w:top w:val="none" w:sz="0" w:space="0" w:color="auto"/>
        <w:left w:val="none" w:sz="0" w:space="0" w:color="auto"/>
        <w:bottom w:val="none" w:sz="0" w:space="0" w:color="auto"/>
        <w:right w:val="none" w:sz="0" w:space="0" w:color="auto"/>
      </w:divBdr>
    </w:div>
    <w:div w:id="1288777358">
      <w:bodyDiv w:val="1"/>
      <w:marLeft w:val="0"/>
      <w:marRight w:val="0"/>
      <w:marTop w:val="0"/>
      <w:marBottom w:val="0"/>
      <w:divBdr>
        <w:top w:val="none" w:sz="0" w:space="0" w:color="auto"/>
        <w:left w:val="none" w:sz="0" w:space="0" w:color="auto"/>
        <w:bottom w:val="none" w:sz="0" w:space="0" w:color="auto"/>
        <w:right w:val="none" w:sz="0" w:space="0" w:color="auto"/>
      </w:divBdr>
    </w:div>
    <w:div w:id="1315336546">
      <w:bodyDiv w:val="1"/>
      <w:marLeft w:val="0"/>
      <w:marRight w:val="0"/>
      <w:marTop w:val="0"/>
      <w:marBottom w:val="0"/>
      <w:divBdr>
        <w:top w:val="none" w:sz="0" w:space="0" w:color="auto"/>
        <w:left w:val="none" w:sz="0" w:space="0" w:color="auto"/>
        <w:bottom w:val="none" w:sz="0" w:space="0" w:color="auto"/>
        <w:right w:val="none" w:sz="0" w:space="0" w:color="auto"/>
      </w:divBdr>
    </w:div>
    <w:div w:id="1333601690">
      <w:bodyDiv w:val="1"/>
      <w:marLeft w:val="0"/>
      <w:marRight w:val="0"/>
      <w:marTop w:val="0"/>
      <w:marBottom w:val="0"/>
      <w:divBdr>
        <w:top w:val="none" w:sz="0" w:space="0" w:color="auto"/>
        <w:left w:val="none" w:sz="0" w:space="0" w:color="auto"/>
        <w:bottom w:val="none" w:sz="0" w:space="0" w:color="auto"/>
        <w:right w:val="none" w:sz="0" w:space="0" w:color="auto"/>
      </w:divBdr>
    </w:div>
    <w:div w:id="1428580792">
      <w:bodyDiv w:val="1"/>
      <w:marLeft w:val="0"/>
      <w:marRight w:val="0"/>
      <w:marTop w:val="0"/>
      <w:marBottom w:val="0"/>
      <w:divBdr>
        <w:top w:val="none" w:sz="0" w:space="0" w:color="auto"/>
        <w:left w:val="none" w:sz="0" w:space="0" w:color="auto"/>
        <w:bottom w:val="none" w:sz="0" w:space="0" w:color="auto"/>
        <w:right w:val="none" w:sz="0" w:space="0" w:color="auto"/>
      </w:divBdr>
      <w:divsChild>
        <w:div w:id="901915626">
          <w:marLeft w:val="0"/>
          <w:marRight w:val="0"/>
          <w:marTop w:val="0"/>
          <w:marBottom w:val="0"/>
          <w:divBdr>
            <w:top w:val="none" w:sz="0" w:space="0" w:color="auto"/>
            <w:left w:val="none" w:sz="0" w:space="0" w:color="auto"/>
            <w:bottom w:val="none" w:sz="0" w:space="0" w:color="auto"/>
            <w:right w:val="none" w:sz="0" w:space="0" w:color="auto"/>
          </w:divBdr>
          <w:divsChild>
            <w:div w:id="1026760432">
              <w:marLeft w:val="0"/>
              <w:marRight w:val="0"/>
              <w:marTop w:val="0"/>
              <w:marBottom w:val="0"/>
              <w:divBdr>
                <w:top w:val="none" w:sz="0" w:space="0" w:color="auto"/>
                <w:left w:val="none" w:sz="0" w:space="0" w:color="auto"/>
                <w:bottom w:val="none" w:sz="0" w:space="0" w:color="auto"/>
                <w:right w:val="none" w:sz="0" w:space="0" w:color="auto"/>
              </w:divBdr>
              <w:divsChild>
                <w:div w:id="1751996850">
                  <w:marLeft w:val="0"/>
                  <w:marRight w:val="0"/>
                  <w:marTop w:val="0"/>
                  <w:marBottom w:val="0"/>
                  <w:divBdr>
                    <w:top w:val="none" w:sz="0" w:space="0" w:color="auto"/>
                    <w:left w:val="none" w:sz="0" w:space="0" w:color="auto"/>
                    <w:bottom w:val="none" w:sz="0" w:space="0" w:color="auto"/>
                    <w:right w:val="none" w:sz="0" w:space="0" w:color="auto"/>
                  </w:divBdr>
                  <w:divsChild>
                    <w:div w:id="2137134878">
                      <w:marLeft w:val="0"/>
                      <w:marRight w:val="0"/>
                      <w:marTop w:val="0"/>
                      <w:marBottom w:val="0"/>
                      <w:divBdr>
                        <w:top w:val="none" w:sz="0" w:space="0" w:color="auto"/>
                        <w:left w:val="none" w:sz="0" w:space="0" w:color="auto"/>
                        <w:bottom w:val="none" w:sz="0" w:space="0" w:color="auto"/>
                        <w:right w:val="none" w:sz="0" w:space="0" w:color="auto"/>
                      </w:divBdr>
                    </w:div>
                  </w:divsChild>
                </w:div>
                <w:div w:id="778528917">
                  <w:marLeft w:val="0"/>
                  <w:marRight w:val="0"/>
                  <w:marTop w:val="0"/>
                  <w:marBottom w:val="0"/>
                  <w:divBdr>
                    <w:top w:val="none" w:sz="0" w:space="0" w:color="auto"/>
                    <w:left w:val="none" w:sz="0" w:space="0" w:color="auto"/>
                    <w:bottom w:val="none" w:sz="0" w:space="0" w:color="auto"/>
                    <w:right w:val="none" w:sz="0" w:space="0" w:color="auto"/>
                  </w:divBdr>
                  <w:divsChild>
                    <w:div w:id="910969192">
                      <w:marLeft w:val="0"/>
                      <w:marRight w:val="0"/>
                      <w:marTop w:val="0"/>
                      <w:marBottom w:val="0"/>
                      <w:divBdr>
                        <w:top w:val="none" w:sz="0" w:space="0" w:color="auto"/>
                        <w:left w:val="none" w:sz="0" w:space="0" w:color="auto"/>
                        <w:bottom w:val="none" w:sz="0" w:space="0" w:color="auto"/>
                        <w:right w:val="none" w:sz="0" w:space="0" w:color="auto"/>
                      </w:divBdr>
                    </w:div>
                  </w:divsChild>
                </w:div>
                <w:div w:id="2057270005">
                  <w:marLeft w:val="0"/>
                  <w:marRight w:val="0"/>
                  <w:marTop w:val="0"/>
                  <w:marBottom w:val="0"/>
                  <w:divBdr>
                    <w:top w:val="none" w:sz="0" w:space="0" w:color="auto"/>
                    <w:left w:val="none" w:sz="0" w:space="0" w:color="auto"/>
                    <w:bottom w:val="none" w:sz="0" w:space="0" w:color="auto"/>
                    <w:right w:val="none" w:sz="0" w:space="0" w:color="auto"/>
                  </w:divBdr>
                  <w:divsChild>
                    <w:div w:id="1023020313">
                      <w:marLeft w:val="0"/>
                      <w:marRight w:val="0"/>
                      <w:marTop w:val="0"/>
                      <w:marBottom w:val="0"/>
                      <w:divBdr>
                        <w:top w:val="none" w:sz="0" w:space="0" w:color="auto"/>
                        <w:left w:val="none" w:sz="0" w:space="0" w:color="auto"/>
                        <w:bottom w:val="none" w:sz="0" w:space="0" w:color="auto"/>
                        <w:right w:val="none" w:sz="0" w:space="0" w:color="auto"/>
                      </w:divBdr>
                    </w:div>
                  </w:divsChild>
                </w:div>
                <w:div w:id="2082409982">
                  <w:marLeft w:val="0"/>
                  <w:marRight w:val="0"/>
                  <w:marTop w:val="0"/>
                  <w:marBottom w:val="0"/>
                  <w:divBdr>
                    <w:top w:val="none" w:sz="0" w:space="0" w:color="auto"/>
                    <w:left w:val="none" w:sz="0" w:space="0" w:color="auto"/>
                    <w:bottom w:val="none" w:sz="0" w:space="0" w:color="auto"/>
                    <w:right w:val="none" w:sz="0" w:space="0" w:color="auto"/>
                  </w:divBdr>
                  <w:divsChild>
                    <w:div w:id="993023335">
                      <w:marLeft w:val="0"/>
                      <w:marRight w:val="0"/>
                      <w:marTop w:val="0"/>
                      <w:marBottom w:val="0"/>
                      <w:divBdr>
                        <w:top w:val="none" w:sz="0" w:space="0" w:color="auto"/>
                        <w:left w:val="none" w:sz="0" w:space="0" w:color="auto"/>
                        <w:bottom w:val="none" w:sz="0" w:space="0" w:color="auto"/>
                        <w:right w:val="none" w:sz="0" w:space="0" w:color="auto"/>
                      </w:divBdr>
                    </w:div>
                    <w:div w:id="1879078757">
                      <w:marLeft w:val="0"/>
                      <w:marRight w:val="0"/>
                      <w:marTop w:val="0"/>
                      <w:marBottom w:val="0"/>
                      <w:divBdr>
                        <w:top w:val="none" w:sz="0" w:space="0" w:color="auto"/>
                        <w:left w:val="none" w:sz="0" w:space="0" w:color="auto"/>
                        <w:bottom w:val="none" w:sz="0" w:space="0" w:color="auto"/>
                        <w:right w:val="none" w:sz="0" w:space="0" w:color="auto"/>
                      </w:divBdr>
                    </w:div>
                  </w:divsChild>
                </w:div>
                <w:div w:id="1621843282">
                  <w:marLeft w:val="0"/>
                  <w:marRight w:val="0"/>
                  <w:marTop w:val="0"/>
                  <w:marBottom w:val="0"/>
                  <w:divBdr>
                    <w:top w:val="none" w:sz="0" w:space="0" w:color="auto"/>
                    <w:left w:val="none" w:sz="0" w:space="0" w:color="auto"/>
                    <w:bottom w:val="none" w:sz="0" w:space="0" w:color="auto"/>
                    <w:right w:val="none" w:sz="0" w:space="0" w:color="auto"/>
                  </w:divBdr>
                  <w:divsChild>
                    <w:div w:id="16330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7782">
              <w:marLeft w:val="0"/>
              <w:marRight w:val="0"/>
              <w:marTop w:val="0"/>
              <w:marBottom w:val="0"/>
              <w:divBdr>
                <w:top w:val="none" w:sz="0" w:space="0" w:color="auto"/>
                <w:left w:val="none" w:sz="0" w:space="0" w:color="auto"/>
                <w:bottom w:val="none" w:sz="0" w:space="0" w:color="auto"/>
                <w:right w:val="none" w:sz="0" w:space="0" w:color="auto"/>
              </w:divBdr>
              <w:divsChild>
                <w:div w:id="1672683250">
                  <w:marLeft w:val="0"/>
                  <w:marRight w:val="0"/>
                  <w:marTop w:val="0"/>
                  <w:marBottom w:val="0"/>
                  <w:divBdr>
                    <w:top w:val="none" w:sz="0" w:space="0" w:color="auto"/>
                    <w:left w:val="none" w:sz="0" w:space="0" w:color="auto"/>
                    <w:bottom w:val="none" w:sz="0" w:space="0" w:color="auto"/>
                    <w:right w:val="none" w:sz="0" w:space="0" w:color="auto"/>
                  </w:divBdr>
                  <w:divsChild>
                    <w:div w:id="18103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158120">
      <w:bodyDiv w:val="1"/>
      <w:marLeft w:val="0"/>
      <w:marRight w:val="0"/>
      <w:marTop w:val="0"/>
      <w:marBottom w:val="0"/>
      <w:divBdr>
        <w:top w:val="none" w:sz="0" w:space="0" w:color="auto"/>
        <w:left w:val="none" w:sz="0" w:space="0" w:color="auto"/>
        <w:bottom w:val="none" w:sz="0" w:space="0" w:color="auto"/>
        <w:right w:val="none" w:sz="0" w:space="0" w:color="auto"/>
      </w:divBdr>
    </w:div>
    <w:div w:id="1600061701">
      <w:bodyDiv w:val="1"/>
      <w:marLeft w:val="0"/>
      <w:marRight w:val="0"/>
      <w:marTop w:val="0"/>
      <w:marBottom w:val="0"/>
      <w:divBdr>
        <w:top w:val="none" w:sz="0" w:space="0" w:color="auto"/>
        <w:left w:val="none" w:sz="0" w:space="0" w:color="auto"/>
        <w:bottom w:val="none" w:sz="0" w:space="0" w:color="auto"/>
        <w:right w:val="none" w:sz="0" w:space="0" w:color="auto"/>
      </w:divBdr>
      <w:divsChild>
        <w:div w:id="1269043617">
          <w:marLeft w:val="0"/>
          <w:marRight w:val="0"/>
          <w:marTop w:val="0"/>
          <w:marBottom w:val="0"/>
          <w:divBdr>
            <w:top w:val="none" w:sz="0" w:space="0" w:color="auto"/>
            <w:left w:val="none" w:sz="0" w:space="0" w:color="auto"/>
            <w:bottom w:val="none" w:sz="0" w:space="0" w:color="auto"/>
            <w:right w:val="none" w:sz="0" w:space="0" w:color="auto"/>
          </w:divBdr>
          <w:divsChild>
            <w:div w:id="2049603571">
              <w:marLeft w:val="0"/>
              <w:marRight w:val="0"/>
              <w:marTop w:val="0"/>
              <w:marBottom w:val="0"/>
              <w:divBdr>
                <w:top w:val="none" w:sz="0" w:space="0" w:color="auto"/>
                <w:left w:val="none" w:sz="0" w:space="0" w:color="auto"/>
                <w:bottom w:val="none" w:sz="0" w:space="0" w:color="auto"/>
                <w:right w:val="none" w:sz="0" w:space="0" w:color="auto"/>
              </w:divBdr>
              <w:divsChild>
                <w:div w:id="6168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9593">
      <w:bodyDiv w:val="1"/>
      <w:marLeft w:val="0"/>
      <w:marRight w:val="0"/>
      <w:marTop w:val="0"/>
      <w:marBottom w:val="0"/>
      <w:divBdr>
        <w:top w:val="none" w:sz="0" w:space="0" w:color="auto"/>
        <w:left w:val="none" w:sz="0" w:space="0" w:color="auto"/>
        <w:bottom w:val="none" w:sz="0" w:space="0" w:color="auto"/>
        <w:right w:val="none" w:sz="0" w:space="0" w:color="auto"/>
      </w:divBdr>
    </w:div>
    <w:div w:id="1666787978">
      <w:bodyDiv w:val="1"/>
      <w:marLeft w:val="0"/>
      <w:marRight w:val="0"/>
      <w:marTop w:val="0"/>
      <w:marBottom w:val="0"/>
      <w:divBdr>
        <w:top w:val="none" w:sz="0" w:space="0" w:color="auto"/>
        <w:left w:val="none" w:sz="0" w:space="0" w:color="auto"/>
        <w:bottom w:val="none" w:sz="0" w:space="0" w:color="auto"/>
        <w:right w:val="none" w:sz="0" w:space="0" w:color="auto"/>
      </w:divBdr>
      <w:divsChild>
        <w:div w:id="992291472">
          <w:marLeft w:val="0"/>
          <w:marRight w:val="0"/>
          <w:marTop w:val="0"/>
          <w:marBottom w:val="0"/>
          <w:divBdr>
            <w:top w:val="none" w:sz="0" w:space="0" w:color="auto"/>
            <w:left w:val="none" w:sz="0" w:space="0" w:color="auto"/>
            <w:bottom w:val="none" w:sz="0" w:space="0" w:color="auto"/>
            <w:right w:val="none" w:sz="0" w:space="0" w:color="auto"/>
          </w:divBdr>
          <w:divsChild>
            <w:div w:id="1260412763">
              <w:marLeft w:val="0"/>
              <w:marRight w:val="0"/>
              <w:marTop w:val="0"/>
              <w:marBottom w:val="0"/>
              <w:divBdr>
                <w:top w:val="none" w:sz="0" w:space="0" w:color="auto"/>
                <w:left w:val="none" w:sz="0" w:space="0" w:color="auto"/>
                <w:bottom w:val="none" w:sz="0" w:space="0" w:color="auto"/>
                <w:right w:val="none" w:sz="0" w:space="0" w:color="auto"/>
              </w:divBdr>
              <w:divsChild>
                <w:div w:id="11509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42137">
      <w:bodyDiv w:val="1"/>
      <w:marLeft w:val="0"/>
      <w:marRight w:val="0"/>
      <w:marTop w:val="0"/>
      <w:marBottom w:val="0"/>
      <w:divBdr>
        <w:top w:val="none" w:sz="0" w:space="0" w:color="auto"/>
        <w:left w:val="none" w:sz="0" w:space="0" w:color="auto"/>
        <w:bottom w:val="none" w:sz="0" w:space="0" w:color="auto"/>
        <w:right w:val="none" w:sz="0" w:space="0" w:color="auto"/>
      </w:divBdr>
    </w:div>
    <w:div w:id="1775053211">
      <w:bodyDiv w:val="1"/>
      <w:marLeft w:val="0"/>
      <w:marRight w:val="0"/>
      <w:marTop w:val="0"/>
      <w:marBottom w:val="0"/>
      <w:divBdr>
        <w:top w:val="none" w:sz="0" w:space="0" w:color="auto"/>
        <w:left w:val="none" w:sz="0" w:space="0" w:color="auto"/>
        <w:bottom w:val="none" w:sz="0" w:space="0" w:color="auto"/>
        <w:right w:val="none" w:sz="0" w:space="0" w:color="auto"/>
      </w:divBdr>
    </w:div>
    <w:div w:id="1796210814">
      <w:bodyDiv w:val="1"/>
      <w:marLeft w:val="0"/>
      <w:marRight w:val="0"/>
      <w:marTop w:val="0"/>
      <w:marBottom w:val="0"/>
      <w:divBdr>
        <w:top w:val="none" w:sz="0" w:space="0" w:color="auto"/>
        <w:left w:val="none" w:sz="0" w:space="0" w:color="auto"/>
        <w:bottom w:val="none" w:sz="0" w:space="0" w:color="auto"/>
        <w:right w:val="none" w:sz="0" w:space="0" w:color="auto"/>
      </w:divBdr>
      <w:divsChild>
        <w:div w:id="1018771890">
          <w:marLeft w:val="0"/>
          <w:marRight w:val="0"/>
          <w:marTop w:val="0"/>
          <w:marBottom w:val="0"/>
          <w:divBdr>
            <w:top w:val="none" w:sz="0" w:space="0" w:color="auto"/>
            <w:left w:val="none" w:sz="0" w:space="0" w:color="auto"/>
            <w:bottom w:val="none" w:sz="0" w:space="0" w:color="auto"/>
            <w:right w:val="none" w:sz="0" w:space="0" w:color="auto"/>
          </w:divBdr>
          <w:divsChild>
            <w:div w:id="1975212794">
              <w:marLeft w:val="0"/>
              <w:marRight w:val="0"/>
              <w:marTop w:val="0"/>
              <w:marBottom w:val="0"/>
              <w:divBdr>
                <w:top w:val="none" w:sz="0" w:space="0" w:color="auto"/>
                <w:left w:val="none" w:sz="0" w:space="0" w:color="auto"/>
                <w:bottom w:val="none" w:sz="0" w:space="0" w:color="auto"/>
                <w:right w:val="none" w:sz="0" w:space="0" w:color="auto"/>
              </w:divBdr>
              <w:divsChild>
                <w:div w:id="17878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7053">
      <w:bodyDiv w:val="1"/>
      <w:marLeft w:val="0"/>
      <w:marRight w:val="0"/>
      <w:marTop w:val="0"/>
      <w:marBottom w:val="0"/>
      <w:divBdr>
        <w:top w:val="none" w:sz="0" w:space="0" w:color="auto"/>
        <w:left w:val="none" w:sz="0" w:space="0" w:color="auto"/>
        <w:bottom w:val="none" w:sz="0" w:space="0" w:color="auto"/>
        <w:right w:val="none" w:sz="0" w:space="0" w:color="auto"/>
      </w:divBdr>
    </w:div>
    <w:div w:id="1958292861">
      <w:bodyDiv w:val="1"/>
      <w:marLeft w:val="0"/>
      <w:marRight w:val="0"/>
      <w:marTop w:val="0"/>
      <w:marBottom w:val="0"/>
      <w:divBdr>
        <w:top w:val="none" w:sz="0" w:space="0" w:color="auto"/>
        <w:left w:val="none" w:sz="0" w:space="0" w:color="auto"/>
        <w:bottom w:val="none" w:sz="0" w:space="0" w:color="auto"/>
        <w:right w:val="none" w:sz="0" w:space="0" w:color="auto"/>
      </w:divBdr>
    </w:div>
    <w:div w:id="2021542000">
      <w:bodyDiv w:val="1"/>
      <w:marLeft w:val="0"/>
      <w:marRight w:val="0"/>
      <w:marTop w:val="0"/>
      <w:marBottom w:val="0"/>
      <w:divBdr>
        <w:top w:val="none" w:sz="0" w:space="0" w:color="auto"/>
        <w:left w:val="none" w:sz="0" w:space="0" w:color="auto"/>
        <w:bottom w:val="none" w:sz="0" w:space="0" w:color="auto"/>
        <w:right w:val="none" w:sz="0" w:space="0" w:color="auto"/>
      </w:divBdr>
    </w:div>
    <w:div w:id="2098401540">
      <w:bodyDiv w:val="1"/>
      <w:marLeft w:val="0"/>
      <w:marRight w:val="0"/>
      <w:marTop w:val="0"/>
      <w:marBottom w:val="0"/>
      <w:divBdr>
        <w:top w:val="none" w:sz="0" w:space="0" w:color="auto"/>
        <w:left w:val="none" w:sz="0" w:space="0" w:color="auto"/>
        <w:bottom w:val="none" w:sz="0" w:space="0" w:color="auto"/>
        <w:right w:val="none" w:sz="0" w:space="0" w:color="auto"/>
      </w:divBdr>
      <w:divsChild>
        <w:div w:id="1913661406">
          <w:marLeft w:val="0"/>
          <w:marRight w:val="0"/>
          <w:marTop w:val="0"/>
          <w:marBottom w:val="0"/>
          <w:divBdr>
            <w:top w:val="none" w:sz="0" w:space="0" w:color="auto"/>
            <w:left w:val="none" w:sz="0" w:space="0" w:color="auto"/>
            <w:bottom w:val="none" w:sz="0" w:space="0" w:color="auto"/>
            <w:right w:val="none" w:sz="0" w:space="0" w:color="auto"/>
          </w:divBdr>
          <w:divsChild>
            <w:div w:id="1242134683">
              <w:marLeft w:val="0"/>
              <w:marRight w:val="0"/>
              <w:marTop w:val="0"/>
              <w:marBottom w:val="0"/>
              <w:divBdr>
                <w:top w:val="none" w:sz="0" w:space="0" w:color="auto"/>
                <w:left w:val="none" w:sz="0" w:space="0" w:color="auto"/>
                <w:bottom w:val="none" w:sz="0" w:space="0" w:color="auto"/>
                <w:right w:val="none" w:sz="0" w:space="0" w:color="auto"/>
              </w:divBdr>
              <w:divsChild>
                <w:div w:id="17403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09436">
      <w:bodyDiv w:val="1"/>
      <w:marLeft w:val="0"/>
      <w:marRight w:val="0"/>
      <w:marTop w:val="0"/>
      <w:marBottom w:val="0"/>
      <w:divBdr>
        <w:top w:val="none" w:sz="0" w:space="0" w:color="auto"/>
        <w:left w:val="none" w:sz="0" w:space="0" w:color="auto"/>
        <w:bottom w:val="none" w:sz="0" w:space="0" w:color="auto"/>
        <w:right w:val="none" w:sz="0" w:space="0" w:color="auto"/>
      </w:divBdr>
      <w:divsChild>
        <w:div w:id="862792240">
          <w:marLeft w:val="0"/>
          <w:marRight w:val="0"/>
          <w:marTop w:val="0"/>
          <w:marBottom w:val="0"/>
          <w:divBdr>
            <w:top w:val="none" w:sz="0" w:space="0" w:color="auto"/>
            <w:left w:val="none" w:sz="0" w:space="0" w:color="auto"/>
            <w:bottom w:val="none" w:sz="0" w:space="0" w:color="auto"/>
            <w:right w:val="none" w:sz="0" w:space="0" w:color="auto"/>
          </w:divBdr>
          <w:divsChild>
            <w:div w:id="570819896">
              <w:marLeft w:val="0"/>
              <w:marRight w:val="0"/>
              <w:marTop w:val="0"/>
              <w:marBottom w:val="0"/>
              <w:divBdr>
                <w:top w:val="none" w:sz="0" w:space="0" w:color="auto"/>
                <w:left w:val="none" w:sz="0" w:space="0" w:color="auto"/>
                <w:bottom w:val="none" w:sz="0" w:space="0" w:color="auto"/>
                <w:right w:val="none" w:sz="0" w:space="0" w:color="auto"/>
              </w:divBdr>
              <w:divsChild>
                <w:div w:id="785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43104">
      <w:bodyDiv w:val="1"/>
      <w:marLeft w:val="0"/>
      <w:marRight w:val="0"/>
      <w:marTop w:val="0"/>
      <w:marBottom w:val="0"/>
      <w:divBdr>
        <w:top w:val="none" w:sz="0" w:space="0" w:color="auto"/>
        <w:left w:val="none" w:sz="0" w:space="0" w:color="auto"/>
        <w:bottom w:val="none" w:sz="0" w:space="0" w:color="auto"/>
        <w:right w:val="none" w:sz="0" w:space="0" w:color="auto"/>
      </w:divBdr>
    </w:div>
    <w:div w:id="213813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collinsdictionary.com/dictionary/english/or-otherwise-and-otherwise" TargetMode="External"/><Relationship Id="rId1" Type="http://schemas.openxmlformats.org/officeDocument/2006/relationships/hyperlink" Target="https://translate.google.com/?sl=auto&amp;tl=en&amp;text=isimangaliso&amp;op=trans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247D0-1990-4486-B1FD-B7EB521D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4506</Words>
  <Characters>25688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Judge Robin R. Mossop</cp:lastModifiedBy>
  <cp:revision>2</cp:revision>
  <dcterms:created xsi:type="dcterms:W3CDTF">2024-01-30T05:26:00Z</dcterms:created>
  <dcterms:modified xsi:type="dcterms:W3CDTF">2024-01-30T05:26:00Z</dcterms:modified>
</cp:coreProperties>
</file>