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EA927" w14:textId="77777777" w:rsidR="00C97D4B" w:rsidRPr="00551F07" w:rsidRDefault="00C97D4B" w:rsidP="00C97D4B">
      <w:pPr>
        <w:spacing w:line="256" w:lineRule="auto"/>
        <w:jc w:val="center"/>
        <w:rPr>
          <w:rFonts w:ascii="Arial" w:eastAsia="Calibri" w:hAnsi="Arial" w:cs="Arial"/>
          <w:b/>
          <w:sz w:val="24"/>
          <w:szCs w:val="24"/>
          <w:lang w:val="en-GB"/>
        </w:rPr>
      </w:pPr>
      <w:r w:rsidRPr="00551F07">
        <w:rPr>
          <w:rFonts w:ascii="Arial" w:eastAsia="Calibri" w:hAnsi="Arial" w:cs="Arial"/>
          <w:noProof/>
          <w:lang w:eastAsia="en-ZA"/>
        </w:rPr>
        <w:drawing>
          <wp:inline distT="0" distB="0" distL="0" distR="0" wp14:anchorId="2DA38F31" wp14:editId="76B91F2B">
            <wp:extent cx="895350" cy="919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682" cy="925025"/>
                    </a:xfrm>
                    <a:prstGeom prst="rect">
                      <a:avLst/>
                    </a:prstGeom>
                    <a:noFill/>
                    <a:ln>
                      <a:noFill/>
                    </a:ln>
                  </pic:spPr>
                </pic:pic>
              </a:graphicData>
            </a:graphic>
          </wp:inline>
        </w:drawing>
      </w:r>
    </w:p>
    <w:p w14:paraId="67AC49CE" w14:textId="77777777" w:rsidR="00C97D4B" w:rsidRPr="00F45341" w:rsidRDefault="00C97D4B" w:rsidP="00F45341">
      <w:pPr>
        <w:spacing w:after="0" w:line="240" w:lineRule="auto"/>
        <w:jc w:val="center"/>
        <w:rPr>
          <w:rFonts w:ascii="Arial" w:eastAsia="Times New Roman" w:hAnsi="Arial" w:cs="Arial"/>
          <w:b/>
          <w:sz w:val="24"/>
          <w:szCs w:val="24"/>
          <w:lang w:val="en-GB" w:eastAsia="en-GB"/>
        </w:rPr>
      </w:pPr>
      <w:r w:rsidRPr="00F45341">
        <w:rPr>
          <w:rFonts w:ascii="Arial" w:eastAsia="Times New Roman" w:hAnsi="Arial" w:cs="Arial"/>
          <w:b/>
          <w:sz w:val="24"/>
          <w:szCs w:val="24"/>
          <w:lang w:val="en-GB" w:eastAsia="en-GB"/>
        </w:rPr>
        <w:t>IN THE HIGH COURT OF SOUTH AFRICA</w:t>
      </w:r>
    </w:p>
    <w:p w14:paraId="579861CA" w14:textId="77777777" w:rsidR="00C97D4B" w:rsidRPr="00F45341" w:rsidRDefault="00C97D4B" w:rsidP="00F45341">
      <w:pPr>
        <w:spacing w:after="0" w:line="240" w:lineRule="auto"/>
        <w:jc w:val="center"/>
        <w:rPr>
          <w:rFonts w:ascii="Arial" w:eastAsia="Times New Roman" w:hAnsi="Arial" w:cs="Arial"/>
          <w:b/>
          <w:sz w:val="24"/>
          <w:szCs w:val="24"/>
          <w:lang w:val="en-GB" w:eastAsia="en-GB"/>
        </w:rPr>
      </w:pPr>
      <w:r w:rsidRPr="00F45341">
        <w:rPr>
          <w:rFonts w:ascii="Arial" w:eastAsia="Times New Roman" w:hAnsi="Arial" w:cs="Arial"/>
          <w:b/>
          <w:sz w:val="24"/>
          <w:szCs w:val="24"/>
          <w:lang w:val="en-GB" w:eastAsia="en-GB"/>
        </w:rPr>
        <w:t xml:space="preserve">KWAZULU-NATAL DIVISION, </w:t>
      </w:r>
      <w:r w:rsidR="00981AB6" w:rsidRPr="00F45341">
        <w:rPr>
          <w:rFonts w:ascii="Arial" w:eastAsia="Times New Roman" w:hAnsi="Arial" w:cs="Arial"/>
          <w:b/>
          <w:sz w:val="24"/>
          <w:szCs w:val="24"/>
          <w:lang w:val="en-GB" w:eastAsia="en-GB"/>
        </w:rPr>
        <w:t>PIETERMARITZBURG</w:t>
      </w:r>
    </w:p>
    <w:p w14:paraId="0BEC6930" w14:textId="77777777" w:rsidR="00981AB6" w:rsidRPr="00F45341" w:rsidRDefault="00981AB6" w:rsidP="00F45341">
      <w:pPr>
        <w:spacing w:after="0" w:line="240" w:lineRule="auto"/>
        <w:jc w:val="center"/>
        <w:rPr>
          <w:rFonts w:ascii="Arial" w:eastAsia="Times New Roman" w:hAnsi="Arial" w:cs="Arial"/>
          <w:b/>
          <w:sz w:val="24"/>
          <w:szCs w:val="24"/>
          <w:lang w:eastAsia="en-GB"/>
        </w:rPr>
      </w:pPr>
    </w:p>
    <w:p w14:paraId="078C1202" w14:textId="77777777" w:rsidR="00C97D4B" w:rsidRPr="00F45341" w:rsidRDefault="00C97D4B" w:rsidP="00F45341">
      <w:pPr>
        <w:spacing w:after="0" w:line="240" w:lineRule="auto"/>
        <w:jc w:val="both"/>
        <w:rPr>
          <w:rFonts w:ascii="Arial" w:eastAsia="Times New Roman" w:hAnsi="Arial" w:cs="Arial"/>
          <w:sz w:val="24"/>
          <w:szCs w:val="24"/>
          <w:lang w:eastAsia="en-GB"/>
        </w:rPr>
      </w:pPr>
      <w:r w:rsidRPr="00F45341">
        <w:rPr>
          <w:rFonts w:ascii="Arial" w:eastAsia="Times New Roman" w:hAnsi="Arial" w:cs="Arial"/>
          <w:b/>
          <w:sz w:val="24"/>
          <w:szCs w:val="24"/>
          <w:lang w:eastAsia="en-GB"/>
        </w:rPr>
        <w:t xml:space="preserve">                                                                                                 </w:t>
      </w:r>
      <w:r w:rsidR="00AC6123" w:rsidRPr="00F45341">
        <w:rPr>
          <w:rFonts w:ascii="Arial" w:eastAsia="Times New Roman" w:hAnsi="Arial" w:cs="Arial"/>
          <w:b/>
          <w:sz w:val="24"/>
          <w:szCs w:val="24"/>
          <w:lang w:eastAsia="en-GB"/>
        </w:rPr>
        <w:t xml:space="preserve">   </w:t>
      </w:r>
      <w:r w:rsidRPr="00F45341">
        <w:rPr>
          <w:rFonts w:ascii="Arial" w:eastAsia="Times New Roman" w:hAnsi="Arial" w:cs="Arial"/>
          <w:sz w:val="24"/>
          <w:szCs w:val="24"/>
          <w:lang w:eastAsia="en-GB"/>
        </w:rPr>
        <w:t xml:space="preserve">CASE NO: </w:t>
      </w:r>
      <w:r w:rsidR="00981AB6" w:rsidRPr="00F45341">
        <w:rPr>
          <w:rFonts w:ascii="Arial" w:eastAsia="Times New Roman" w:hAnsi="Arial" w:cs="Arial"/>
          <w:sz w:val="24"/>
          <w:szCs w:val="24"/>
          <w:lang w:eastAsia="en-GB"/>
        </w:rPr>
        <w:t>3128</w:t>
      </w:r>
      <w:r w:rsidR="00D85F5C" w:rsidRPr="00F45341">
        <w:rPr>
          <w:rFonts w:ascii="Arial" w:eastAsia="Times New Roman" w:hAnsi="Arial" w:cs="Arial"/>
          <w:sz w:val="24"/>
          <w:szCs w:val="24"/>
          <w:lang w:eastAsia="en-GB"/>
        </w:rPr>
        <w:t>/</w:t>
      </w:r>
      <w:r w:rsidR="00981AB6" w:rsidRPr="00F45341">
        <w:rPr>
          <w:rFonts w:ascii="Arial" w:eastAsia="Times New Roman" w:hAnsi="Arial" w:cs="Arial"/>
          <w:sz w:val="24"/>
          <w:szCs w:val="24"/>
          <w:lang w:eastAsia="en-GB"/>
        </w:rPr>
        <w:t>2021</w:t>
      </w:r>
    </w:p>
    <w:p w14:paraId="239B99B7" w14:textId="77777777" w:rsidR="00C97D4B" w:rsidRPr="00F45341" w:rsidRDefault="00C97D4B" w:rsidP="00F45341">
      <w:pPr>
        <w:spacing w:after="0" w:line="240" w:lineRule="auto"/>
        <w:jc w:val="both"/>
        <w:rPr>
          <w:rFonts w:ascii="Arial" w:eastAsia="Times New Roman" w:hAnsi="Arial" w:cs="Arial"/>
          <w:sz w:val="24"/>
          <w:szCs w:val="24"/>
          <w:lang w:eastAsia="en-GB"/>
        </w:rPr>
      </w:pPr>
    </w:p>
    <w:p w14:paraId="2364C3CB" w14:textId="77777777" w:rsidR="00C97D4B" w:rsidRPr="00F45341" w:rsidRDefault="00C97D4B" w:rsidP="00F45341">
      <w:pPr>
        <w:spacing w:after="0" w:line="240" w:lineRule="auto"/>
        <w:jc w:val="both"/>
        <w:rPr>
          <w:rFonts w:ascii="Arial" w:eastAsia="Times New Roman" w:hAnsi="Arial" w:cs="Arial"/>
          <w:sz w:val="24"/>
          <w:szCs w:val="24"/>
          <w:lang w:eastAsia="en-GB"/>
        </w:rPr>
      </w:pPr>
      <w:r w:rsidRPr="00F45341">
        <w:rPr>
          <w:rFonts w:ascii="Arial" w:eastAsia="Times New Roman" w:hAnsi="Arial" w:cs="Arial"/>
          <w:sz w:val="24"/>
          <w:szCs w:val="24"/>
          <w:lang w:eastAsia="en-GB"/>
        </w:rPr>
        <w:t>In the matter between:</w:t>
      </w:r>
      <w:r w:rsidRPr="00F45341">
        <w:rPr>
          <w:rFonts w:ascii="Arial" w:eastAsia="Times New Roman" w:hAnsi="Arial" w:cs="Arial"/>
          <w:sz w:val="24"/>
          <w:szCs w:val="24"/>
          <w:lang w:eastAsia="en-GB"/>
        </w:rPr>
        <w:tab/>
      </w:r>
    </w:p>
    <w:p w14:paraId="6BB81311" w14:textId="77777777" w:rsidR="00C97D4B" w:rsidRPr="00F45341" w:rsidRDefault="00981AB6" w:rsidP="00F45341">
      <w:pPr>
        <w:spacing w:after="0" w:line="240" w:lineRule="auto"/>
        <w:jc w:val="both"/>
        <w:rPr>
          <w:rFonts w:ascii="Arial" w:eastAsia="Times New Roman" w:hAnsi="Arial" w:cs="Arial"/>
          <w:b/>
          <w:sz w:val="24"/>
          <w:szCs w:val="24"/>
          <w:lang w:eastAsia="en-GB"/>
        </w:rPr>
      </w:pPr>
      <w:r w:rsidRPr="00F45341">
        <w:rPr>
          <w:rFonts w:ascii="Arial" w:eastAsia="Times New Roman" w:hAnsi="Arial" w:cs="Arial"/>
          <w:b/>
          <w:sz w:val="24"/>
          <w:szCs w:val="24"/>
          <w:lang w:eastAsia="en-GB"/>
        </w:rPr>
        <w:t>AFRIFORUM NPC</w:t>
      </w:r>
      <w:r w:rsidRPr="00F45341">
        <w:rPr>
          <w:rFonts w:ascii="Arial" w:eastAsia="Times New Roman" w:hAnsi="Arial" w:cs="Arial"/>
          <w:b/>
          <w:sz w:val="24"/>
          <w:szCs w:val="24"/>
          <w:lang w:eastAsia="en-GB"/>
        </w:rPr>
        <w:tab/>
      </w:r>
      <w:r w:rsidRPr="00F45341">
        <w:rPr>
          <w:rFonts w:ascii="Arial" w:eastAsia="Times New Roman" w:hAnsi="Arial" w:cs="Arial"/>
          <w:b/>
          <w:sz w:val="24"/>
          <w:szCs w:val="24"/>
          <w:lang w:eastAsia="en-GB"/>
        </w:rPr>
        <w:tab/>
      </w:r>
      <w:r w:rsidR="00C97D4B" w:rsidRPr="00F45341">
        <w:rPr>
          <w:rFonts w:ascii="Arial" w:eastAsia="Times New Roman" w:hAnsi="Arial" w:cs="Arial"/>
          <w:b/>
          <w:sz w:val="24"/>
          <w:szCs w:val="24"/>
          <w:lang w:eastAsia="en-GB"/>
        </w:rPr>
        <w:tab/>
      </w:r>
      <w:r w:rsidR="00C97D4B" w:rsidRPr="00F45341">
        <w:rPr>
          <w:rFonts w:ascii="Arial" w:eastAsia="Times New Roman" w:hAnsi="Arial" w:cs="Arial"/>
          <w:b/>
          <w:sz w:val="24"/>
          <w:szCs w:val="24"/>
          <w:lang w:eastAsia="en-GB"/>
        </w:rPr>
        <w:tab/>
      </w:r>
      <w:r w:rsidR="00C97D4B" w:rsidRPr="00F45341">
        <w:rPr>
          <w:rFonts w:ascii="Arial" w:eastAsia="Times New Roman" w:hAnsi="Arial" w:cs="Arial"/>
          <w:b/>
          <w:sz w:val="24"/>
          <w:szCs w:val="24"/>
          <w:lang w:eastAsia="en-GB"/>
        </w:rPr>
        <w:tab/>
        <w:t xml:space="preserve">                </w:t>
      </w:r>
      <w:r w:rsidR="00AC6123" w:rsidRPr="00F45341">
        <w:rPr>
          <w:rFonts w:ascii="Arial" w:eastAsia="Times New Roman" w:hAnsi="Arial" w:cs="Arial"/>
          <w:b/>
          <w:sz w:val="24"/>
          <w:szCs w:val="24"/>
          <w:lang w:eastAsia="en-GB"/>
        </w:rPr>
        <w:t xml:space="preserve">                     </w:t>
      </w:r>
      <w:r w:rsidR="00C97D4B" w:rsidRPr="00F45341">
        <w:rPr>
          <w:rFonts w:ascii="Arial" w:eastAsia="Times New Roman" w:hAnsi="Arial" w:cs="Arial"/>
          <w:b/>
          <w:sz w:val="24"/>
          <w:szCs w:val="24"/>
          <w:lang w:eastAsia="en-GB"/>
        </w:rPr>
        <w:t xml:space="preserve">  </w:t>
      </w:r>
      <w:r w:rsidR="00D85F5C" w:rsidRPr="00F45341">
        <w:rPr>
          <w:rFonts w:ascii="Arial" w:eastAsia="Times New Roman" w:hAnsi="Arial" w:cs="Arial"/>
          <w:b/>
          <w:sz w:val="24"/>
          <w:szCs w:val="24"/>
          <w:lang w:eastAsia="en-GB"/>
        </w:rPr>
        <w:t>APPLICANT</w:t>
      </w:r>
    </w:p>
    <w:p w14:paraId="0FC06897" w14:textId="77777777" w:rsidR="00C97D4B" w:rsidRPr="00F45341" w:rsidRDefault="00C97D4B" w:rsidP="00F45341">
      <w:pPr>
        <w:spacing w:after="0" w:line="240" w:lineRule="auto"/>
        <w:jc w:val="both"/>
        <w:rPr>
          <w:rFonts w:ascii="Arial" w:eastAsia="Times New Roman" w:hAnsi="Arial" w:cs="Arial"/>
          <w:sz w:val="24"/>
          <w:szCs w:val="24"/>
          <w:lang w:eastAsia="en-GB"/>
        </w:rPr>
      </w:pPr>
    </w:p>
    <w:p w14:paraId="6379349B" w14:textId="77777777" w:rsidR="00C97D4B" w:rsidRPr="00F45341" w:rsidRDefault="00C97D4B" w:rsidP="00F45341">
      <w:pPr>
        <w:spacing w:after="0" w:line="240" w:lineRule="auto"/>
        <w:jc w:val="both"/>
        <w:rPr>
          <w:rFonts w:ascii="Arial" w:eastAsia="Times New Roman" w:hAnsi="Arial" w:cs="Arial"/>
          <w:b/>
          <w:sz w:val="24"/>
          <w:szCs w:val="24"/>
          <w:lang w:eastAsia="en-GB"/>
        </w:rPr>
      </w:pPr>
      <w:r w:rsidRPr="00F45341">
        <w:rPr>
          <w:rFonts w:ascii="Arial" w:eastAsia="Times New Roman" w:hAnsi="Arial" w:cs="Arial"/>
          <w:sz w:val="24"/>
          <w:szCs w:val="24"/>
          <w:lang w:eastAsia="en-GB"/>
        </w:rPr>
        <w:t xml:space="preserve">and </w:t>
      </w:r>
    </w:p>
    <w:p w14:paraId="3BE410A6" w14:textId="77777777" w:rsidR="00C97D4B" w:rsidRPr="00F45341" w:rsidRDefault="00C97D4B" w:rsidP="00F45341">
      <w:pPr>
        <w:spacing w:after="0" w:line="240" w:lineRule="auto"/>
        <w:jc w:val="both"/>
        <w:rPr>
          <w:rFonts w:ascii="Arial" w:eastAsia="Times New Roman" w:hAnsi="Arial" w:cs="Arial"/>
          <w:sz w:val="24"/>
          <w:szCs w:val="24"/>
          <w:lang w:eastAsia="en-GB"/>
        </w:rPr>
      </w:pPr>
    </w:p>
    <w:p w14:paraId="375F9130" w14:textId="77777777" w:rsidR="00D85F5C" w:rsidRPr="00F45341" w:rsidRDefault="00981AB6"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ABAQULUSI LOCAL MUNICIPALITY</w:t>
      </w:r>
      <w:r w:rsidR="00D85F5C" w:rsidRPr="00F45341">
        <w:rPr>
          <w:rFonts w:ascii="Arial" w:eastAsia="Times New Roman" w:hAnsi="Arial" w:cs="Arial"/>
          <w:b/>
          <w:sz w:val="24"/>
          <w:szCs w:val="24"/>
          <w:lang w:eastAsia="en-GB"/>
        </w:rPr>
        <w:t xml:space="preserve">                                 </w:t>
      </w:r>
      <w:r w:rsidR="00AC6123" w:rsidRPr="00F45341">
        <w:rPr>
          <w:rFonts w:ascii="Arial" w:eastAsia="Times New Roman" w:hAnsi="Arial" w:cs="Arial"/>
          <w:b/>
          <w:sz w:val="24"/>
          <w:szCs w:val="24"/>
          <w:lang w:eastAsia="en-GB"/>
        </w:rPr>
        <w:t xml:space="preserve">    </w:t>
      </w:r>
      <w:r w:rsidR="00D85F5C" w:rsidRPr="00F45341">
        <w:rPr>
          <w:rFonts w:ascii="Arial" w:eastAsia="Times New Roman" w:hAnsi="Arial" w:cs="Arial"/>
          <w:b/>
          <w:sz w:val="24"/>
          <w:szCs w:val="24"/>
          <w:lang w:eastAsia="en-GB"/>
        </w:rPr>
        <w:t>FIRST RESPONDENT</w:t>
      </w:r>
      <w:r w:rsidR="00C97D4B" w:rsidRPr="00F45341">
        <w:rPr>
          <w:rFonts w:ascii="Arial" w:eastAsia="Times New Roman" w:hAnsi="Arial" w:cs="Arial"/>
          <w:b/>
          <w:sz w:val="24"/>
          <w:szCs w:val="24"/>
          <w:lang w:eastAsia="en-GB"/>
        </w:rPr>
        <w:t xml:space="preserve"> </w:t>
      </w:r>
    </w:p>
    <w:p w14:paraId="6851B2F4"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p>
    <w:p w14:paraId="214B36A6" w14:textId="77777777" w:rsidR="00E512B3" w:rsidRPr="00F45341" w:rsidRDefault="00E512B3"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MUNICIPAL MANAGER OF THE ABAQULUSI LOCAL    SECOND RESPONDENT MUNICIPALITY</w:t>
      </w:r>
    </w:p>
    <w:p w14:paraId="5D7C4962"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p>
    <w:p w14:paraId="04180E98" w14:textId="77777777" w:rsidR="00E512B3" w:rsidRPr="00F45341" w:rsidRDefault="00E512B3"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 xml:space="preserve">ADMINISTRATOR OF THE ABAQULUSI LOCAL            </w:t>
      </w:r>
      <w:r w:rsidR="00AC6123" w:rsidRPr="00F45341">
        <w:rPr>
          <w:rFonts w:ascii="Arial" w:eastAsia="Times New Roman" w:hAnsi="Arial" w:cs="Arial"/>
          <w:b/>
          <w:sz w:val="24"/>
          <w:szCs w:val="24"/>
          <w:lang w:eastAsia="en-GB"/>
        </w:rPr>
        <w:t xml:space="preserve">      </w:t>
      </w:r>
      <w:r w:rsidRPr="00F45341">
        <w:rPr>
          <w:rFonts w:ascii="Arial" w:eastAsia="Times New Roman" w:hAnsi="Arial" w:cs="Arial"/>
          <w:b/>
          <w:sz w:val="24"/>
          <w:szCs w:val="24"/>
          <w:lang w:eastAsia="en-GB"/>
        </w:rPr>
        <w:t>THIRD RESPONDENT</w:t>
      </w:r>
    </w:p>
    <w:p w14:paraId="29F49677" w14:textId="77777777" w:rsidR="00E512B3" w:rsidRPr="00F45341" w:rsidRDefault="00E512B3"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MUNICIPALITY</w:t>
      </w:r>
    </w:p>
    <w:p w14:paraId="273D2461"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p>
    <w:p w14:paraId="6FA96C36" w14:textId="77777777" w:rsidR="00E512B3" w:rsidRPr="00F45341" w:rsidRDefault="00E512B3"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MUNICIPAL COUNCIL OF THE ABAQULUSI LOCAL      FOURTH RESPONDENT</w:t>
      </w:r>
    </w:p>
    <w:p w14:paraId="51A93EB0" w14:textId="77777777" w:rsidR="00E512B3" w:rsidRPr="00F45341" w:rsidRDefault="00E512B3"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MUNICIPALITY</w:t>
      </w:r>
    </w:p>
    <w:p w14:paraId="64D6D581"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p>
    <w:p w14:paraId="20C9A176" w14:textId="77777777" w:rsidR="00B735C5" w:rsidRPr="00F45341" w:rsidRDefault="00E512B3"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HENDRICK VUSUMUZI MBATHA</w:t>
      </w:r>
      <w:r w:rsidRPr="00F45341">
        <w:rPr>
          <w:rFonts w:ascii="Arial" w:eastAsia="Times New Roman" w:hAnsi="Arial" w:cs="Arial"/>
          <w:b/>
          <w:sz w:val="24"/>
          <w:szCs w:val="24"/>
          <w:lang w:eastAsia="en-GB"/>
        </w:rPr>
        <w:tab/>
      </w:r>
      <w:r w:rsidR="00B735C5" w:rsidRPr="00F45341">
        <w:rPr>
          <w:rFonts w:ascii="Arial" w:eastAsia="Times New Roman" w:hAnsi="Arial" w:cs="Arial"/>
          <w:b/>
          <w:sz w:val="24"/>
          <w:szCs w:val="24"/>
          <w:lang w:eastAsia="en-GB"/>
        </w:rPr>
        <w:t xml:space="preserve">                             </w:t>
      </w:r>
      <w:r w:rsidR="00AC6123" w:rsidRPr="00F45341">
        <w:rPr>
          <w:rFonts w:ascii="Arial" w:eastAsia="Times New Roman" w:hAnsi="Arial" w:cs="Arial"/>
          <w:b/>
          <w:sz w:val="24"/>
          <w:szCs w:val="24"/>
          <w:lang w:eastAsia="en-GB"/>
        </w:rPr>
        <w:t xml:space="preserve">     </w:t>
      </w:r>
      <w:r w:rsidRPr="00F45341">
        <w:rPr>
          <w:rFonts w:ascii="Arial" w:eastAsia="Times New Roman" w:hAnsi="Arial" w:cs="Arial"/>
          <w:b/>
          <w:sz w:val="24"/>
          <w:szCs w:val="24"/>
          <w:lang w:eastAsia="en-GB"/>
        </w:rPr>
        <w:t xml:space="preserve">FIFTH </w:t>
      </w:r>
      <w:r w:rsidR="00D85F5C" w:rsidRPr="00F45341">
        <w:rPr>
          <w:rFonts w:ascii="Arial" w:eastAsia="Times New Roman" w:hAnsi="Arial" w:cs="Arial"/>
          <w:b/>
          <w:sz w:val="24"/>
          <w:szCs w:val="24"/>
          <w:lang w:eastAsia="en-GB"/>
        </w:rPr>
        <w:t>RESPONDENT</w:t>
      </w:r>
    </w:p>
    <w:p w14:paraId="7243FF69"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p>
    <w:p w14:paraId="35AA4D4A"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 xml:space="preserve">MEC FOR THE DEPARTMENT OF COOPERATIVE          </w:t>
      </w:r>
      <w:r w:rsidR="00AC6123" w:rsidRPr="00F45341">
        <w:rPr>
          <w:rFonts w:ascii="Arial" w:eastAsia="Times New Roman" w:hAnsi="Arial" w:cs="Arial"/>
          <w:b/>
          <w:sz w:val="24"/>
          <w:szCs w:val="24"/>
          <w:lang w:eastAsia="en-GB"/>
        </w:rPr>
        <w:t xml:space="preserve">    </w:t>
      </w:r>
      <w:r w:rsidRPr="00F45341">
        <w:rPr>
          <w:rFonts w:ascii="Arial" w:eastAsia="Times New Roman" w:hAnsi="Arial" w:cs="Arial"/>
          <w:b/>
          <w:sz w:val="24"/>
          <w:szCs w:val="24"/>
          <w:lang w:eastAsia="en-GB"/>
        </w:rPr>
        <w:t>SIXTH RESPONDENT</w:t>
      </w:r>
    </w:p>
    <w:p w14:paraId="6163EA52"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GOVERNANCE AND TRADITIONAL AFFAIRS,</w:t>
      </w:r>
    </w:p>
    <w:p w14:paraId="51212ED8"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KWAZULU-NATAL</w:t>
      </w:r>
    </w:p>
    <w:p w14:paraId="010EF342" w14:textId="77777777" w:rsidR="00B735C5"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MINISTER OF COOPERATIVE GOVERNANCE               SEVENTH RESPONDENT</w:t>
      </w:r>
    </w:p>
    <w:p w14:paraId="3596D5D6" w14:textId="77777777" w:rsidR="00AC6123" w:rsidRPr="00F45341" w:rsidRDefault="00B735C5"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AND TRADITIONAL AFFAIRS, KWAZULU-NATAL</w:t>
      </w:r>
      <w:r w:rsidR="0090427C" w:rsidRPr="00F45341">
        <w:rPr>
          <w:rFonts w:ascii="Arial" w:eastAsia="Times New Roman" w:hAnsi="Arial" w:cs="Arial"/>
          <w:b/>
          <w:sz w:val="24"/>
          <w:szCs w:val="24"/>
          <w:lang w:eastAsia="en-GB"/>
        </w:rPr>
        <w:t xml:space="preserve">         </w:t>
      </w:r>
    </w:p>
    <w:p w14:paraId="769648AF" w14:textId="77777777" w:rsidR="00AC6123" w:rsidRPr="00F45341" w:rsidRDefault="00AC6123" w:rsidP="00F45341">
      <w:pP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r w:rsidRPr="00F45341">
        <w:rPr>
          <w:rFonts w:ascii="Arial" w:eastAsia="Times New Roman" w:hAnsi="Arial" w:cs="Arial"/>
          <w:b/>
          <w:sz w:val="24"/>
          <w:szCs w:val="24"/>
          <w:lang w:eastAsia="en-GB"/>
        </w:rPr>
        <w:t>___________________________________________________________________</w:t>
      </w:r>
    </w:p>
    <w:p w14:paraId="7E6F53FC" w14:textId="77777777" w:rsidR="00AC6123" w:rsidRPr="00F45341" w:rsidRDefault="00AC6123" w:rsidP="00F45341">
      <w:pPr>
        <w:tabs>
          <w:tab w:val="left" w:pos="720"/>
          <w:tab w:val="left" w:pos="1440"/>
          <w:tab w:val="left" w:pos="2160"/>
          <w:tab w:val="left" w:pos="2880"/>
          <w:tab w:val="left" w:pos="3600"/>
          <w:tab w:val="left" w:pos="4320"/>
          <w:tab w:val="right" w:pos="9026"/>
        </w:tabs>
        <w:spacing w:after="0" w:line="240" w:lineRule="auto"/>
        <w:rPr>
          <w:rFonts w:ascii="Arial" w:eastAsia="Times New Roman" w:hAnsi="Arial" w:cs="Arial"/>
          <w:b/>
          <w:sz w:val="24"/>
          <w:szCs w:val="24"/>
          <w:lang w:eastAsia="en-GB"/>
        </w:rPr>
      </w:pPr>
    </w:p>
    <w:p w14:paraId="0FF5F8D7" w14:textId="77777777" w:rsidR="00AC6123" w:rsidRPr="00F45341" w:rsidRDefault="00AC6123" w:rsidP="00F45341">
      <w:pPr>
        <w:pBdr>
          <w:bottom w:val="single" w:sz="12" w:space="1" w:color="auto"/>
        </w:pBdr>
        <w:tabs>
          <w:tab w:val="left" w:pos="720"/>
          <w:tab w:val="left" w:pos="1440"/>
          <w:tab w:val="left" w:pos="2160"/>
          <w:tab w:val="left" w:pos="2880"/>
          <w:tab w:val="left" w:pos="3600"/>
          <w:tab w:val="left" w:pos="4320"/>
          <w:tab w:val="right" w:pos="9026"/>
        </w:tabs>
        <w:spacing w:line="240" w:lineRule="auto"/>
        <w:jc w:val="center"/>
        <w:rPr>
          <w:rFonts w:ascii="Arial" w:eastAsia="Times New Roman" w:hAnsi="Arial" w:cs="Arial"/>
          <w:b/>
          <w:sz w:val="24"/>
          <w:szCs w:val="24"/>
          <w:lang w:eastAsia="en-GB"/>
        </w:rPr>
      </w:pPr>
      <w:r w:rsidRPr="00F45341">
        <w:rPr>
          <w:rFonts w:ascii="Arial" w:eastAsia="Times New Roman" w:hAnsi="Arial" w:cs="Arial"/>
          <w:b/>
          <w:sz w:val="24"/>
          <w:szCs w:val="24"/>
          <w:lang w:eastAsia="en-GB"/>
        </w:rPr>
        <w:t>ORDER</w:t>
      </w:r>
    </w:p>
    <w:p w14:paraId="6A58012E" w14:textId="77777777" w:rsidR="00AC6123" w:rsidRPr="00F45341" w:rsidRDefault="00AC6123" w:rsidP="00F45341">
      <w:pPr>
        <w:pBdr>
          <w:bottom w:val="single" w:sz="12" w:space="1" w:color="auto"/>
        </w:pBdr>
        <w:tabs>
          <w:tab w:val="left" w:pos="720"/>
          <w:tab w:val="left" w:pos="1440"/>
          <w:tab w:val="left" w:pos="2160"/>
          <w:tab w:val="left" w:pos="2880"/>
          <w:tab w:val="left" w:pos="3600"/>
          <w:tab w:val="left" w:pos="4320"/>
          <w:tab w:val="right" w:pos="9026"/>
        </w:tabs>
        <w:spacing w:line="240" w:lineRule="auto"/>
        <w:rPr>
          <w:rFonts w:ascii="Arial" w:eastAsia="Times New Roman" w:hAnsi="Arial" w:cs="Arial"/>
          <w:b/>
          <w:sz w:val="24"/>
          <w:szCs w:val="24"/>
          <w:lang w:eastAsia="en-GB"/>
        </w:rPr>
      </w:pPr>
    </w:p>
    <w:p w14:paraId="4D3240F0" w14:textId="77777777" w:rsidR="00AC6123" w:rsidRPr="00F45341" w:rsidRDefault="00AC6123" w:rsidP="00F45341">
      <w:pPr>
        <w:tabs>
          <w:tab w:val="left" w:pos="720"/>
          <w:tab w:val="left" w:pos="1440"/>
          <w:tab w:val="left" w:pos="2160"/>
          <w:tab w:val="left" w:pos="2880"/>
          <w:tab w:val="left" w:pos="3600"/>
          <w:tab w:val="left" w:pos="4320"/>
          <w:tab w:val="right" w:pos="9026"/>
        </w:tabs>
        <w:spacing w:line="240" w:lineRule="auto"/>
        <w:jc w:val="both"/>
        <w:rPr>
          <w:rFonts w:ascii="Arial" w:eastAsia="Times New Roman" w:hAnsi="Arial" w:cs="Arial"/>
          <w:b/>
          <w:sz w:val="24"/>
          <w:szCs w:val="24"/>
          <w:lang w:eastAsia="en-GB"/>
        </w:rPr>
      </w:pPr>
      <w:r w:rsidRPr="00F45341">
        <w:rPr>
          <w:rFonts w:ascii="Arial" w:eastAsia="Times New Roman" w:hAnsi="Arial" w:cs="Arial"/>
          <w:b/>
          <w:sz w:val="24"/>
          <w:szCs w:val="24"/>
          <w:lang w:eastAsia="en-GB"/>
        </w:rPr>
        <w:lastRenderedPageBreak/>
        <w:t>The following order is issued:</w:t>
      </w:r>
    </w:p>
    <w:p w14:paraId="1BF2215D" w14:textId="77777777" w:rsidR="00E46174" w:rsidRPr="00F45341" w:rsidRDefault="00E46174" w:rsidP="00F45341">
      <w:pPr>
        <w:tabs>
          <w:tab w:val="left" w:pos="720"/>
          <w:tab w:val="left" w:pos="1440"/>
          <w:tab w:val="left" w:pos="2160"/>
          <w:tab w:val="left" w:pos="2880"/>
          <w:tab w:val="left" w:pos="3600"/>
          <w:tab w:val="left" w:pos="4320"/>
          <w:tab w:val="right" w:pos="9026"/>
        </w:tabs>
        <w:spacing w:line="240" w:lineRule="auto"/>
        <w:jc w:val="both"/>
        <w:rPr>
          <w:rFonts w:ascii="Arial" w:eastAsia="Times New Roman" w:hAnsi="Arial" w:cs="Arial"/>
          <w:b/>
          <w:sz w:val="24"/>
          <w:szCs w:val="24"/>
          <w:lang w:eastAsia="en-GB"/>
        </w:rPr>
      </w:pPr>
    </w:p>
    <w:p w14:paraId="32F6AF06" w14:textId="4A8443E1" w:rsidR="00AC6123" w:rsidRPr="00F45341" w:rsidRDefault="00D342BA" w:rsidP="00F45341">
      <w:pPr>
        <w:spacing w:line="240" w:lineRule="auto"/>
        <w:ind w:left="720" w:hanging="360"/>
        <w:jc w:val="both"/>
        <w:rPr>
          <w:rFonts w:ascii="Arial" w:eastAsia="Calibri" w:hAnsi="Arial" w:cs="Arial"/>
          <w:sz w:val="24"/>
          <w:szCs w:val="24"/>
        </w:rPr>
      </w:pPr>
      <w:bookmarkStart w:id="0" w:name="_Hlk166505539"/>
      <w:r w:rsidRPr="00F45341">
        <w:rPr>
          <w:rFonts w:ascii="Arial" w:eastAsia="Calibri" w:hAnsi="Arial" w:cs="Arial"/>
          <w:sz w:val="24"/>
          <w:szCs w:val="24"/>
        </w:rPr>
        <w:t>1.</w:t>
      </w:r>
      <w:r w:rsidRPr="00F45341">
        <w:rPr>
          <w:rFonts w:ascii="Arial" w:eastAsia="Calibri" w:hAnsi="Arial" w:cs="Arial"/>
          <w:sz w:val="24"/>
          <w:szCs w:val="24"/>
        </w:rPr>
        <w:tab/>
      </w:r>
      <w:r w:rsidR="00AC6123" w:rsidRPr="00F45341">
        <w:rPr>
          <w:rFonts w:ascii="Arial" w:eastAsia="Calibri" w:hAnsi="Arial" w:cs="Arial"/>
          <w:sz w:val="24"/>
          <w:szCs w:val="24"/>
        </w:rPr>
        <w:t xml:space="preserve">The decision of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and/or </w:t>
      </w:r>
      <w:r w:rsidR="00EC68CA" w:rsidRPr="00F45341">
        <w:rPr>
          <w:rFonts w:ascii="Arial" w:eastAsia="Calibri" w:hAnsi="Arial" w:cs="Arial"/>
          <w:sz w:val="24"/>
          <w:szCs w:val="24"/>
        </w:rPr>
        <w:t>s</w:t>
      </w:r>
      <w:r w:rsidR="00AC6123" w:rsidRPr="00F45341">
        <w:rPr>
          <w:rFonts w:ascii="Arial" w:eastAsia="Calibri" w:hAnsi="Arial" w:cs="Arial"/>
          <w:sz w:val="24"/>
          <w:szCs w:val="24"/>
        </w:rPr>
        <w:t xml:space="preserve">econd and/or </w:t>
      </w:r>
      <w:r w:rsidR="00EC68CA" w:rsidRPr="00F45341">
        <w:rPr>
          <w:rFonts w:ascii="Arial" w:eastAsia="Calibri" w:hAnsi="Arial" w:cs="Arial"/>
          <w:sz w:val="24"/>
          <w:szCs w:val="24"/>
        </w:rPr>
        <w:t>t</w:t>
      </w:r>
      <w:r w:rsidR="00AC6123" w:rsidRPr="00F45341">
        <w:rPr>
          <w:rFonts w:ascii="Arial" w:eastAsia="Calibri" w:hAnsi="Arial" w:cs="Arial"/>
          <w:sz w:val="24"/>
          <w:szCs w:val="24"/>
        </w:rPr>
        <w:t>hird and/or</w:t>
      </w:r>
      <w:r w:rsidR="00EC68CA" w:rsidRPr="00F45341">
        <w:rPr>
          <w:rFonts w:ascii="Arial" w:eastAsia="Calibri" w:hAnsi="Arial" w:cs="Arial"/>
          <w:sz w:val="24"/>
          <w:szCs w:val="24"/>
        </w:rPr>
        <w:t xml:space="preserve"> f</w:t>
      </w:r>
      <w:r w:rsidR="00AC6123" w:rsidRPr="00F45341">
        <w:rPr>
          <w:rFonts w:ascii="Arial" w:eastAsia="Calibri" w:hAnsi="Arial" w:cs="Arial"/>
          <w:sz w:val="24"/>
          <w:szCs w:val="24"/>
        </w:rPr>
        <w:t xml:space="preserve">ourth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espondents to appoint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 as caretaker of forestry operations on the land known as</w:t>
      </w:r>
      <w:r w:rsidR="00EC68CA" w:rsidRPr="00F45341">
        <w:rPr>
          <w:rFonts w:ascii="Arial" w:eastAsia="Calibri" w:hAnsi="Arial" w:cs="Arial"/>
          <w:sz w:val="24"/>
          <w:szCs w:val="24"/>
        </w:rPr>
        <w:t>:</w:t>
      </w:r>
      <w:r w:rsidR="00AC6123" w:rsidRPr="00F45341">
        <w:rPr>
          <w:rFonts w:ascii="Arial" w:eastAsia="Calibri" w:hAnsi="Arial" w:cs="Arial"/>
          <w:sz w:val="24"/>
          <w:szCs w:val="24"/>
        </w:rPr>
        <w:t xml:space="preserve"> Remainder of </w:t>
      </w:r>
      <w:r w:rsidR="00EE1625" w:rsidRPr="00F45341">
        <w:rPr>
          <w:rFonts w:ascii="Arial" w:eastAsia="Calibri" w:hAnsi="Arial" w:cs="Arial"/>
          <w:sz w:val="24"/>
          <w:szCs w:val="24"/>
        </w:rPr>
        <w:t>Subdivision</w:t>
      </w:r>
      <w:r w:rsidR="00AC6123" w:rsidRPr="00F45341">
        <w:rPr>
          <w:rFonts w:ascii="Arial" w:eastAsia="Calibri" w:hAnsi="Arial" w:cs="Arial"/>
          <w:sz w:val="24"/>
          <w:szCs w:val="24"/>
        </w:rPr>
        <w:t xml:space="preserve"> 13 of the Farm </w:t>
      </w:r>
      <w:proofErr w:type="spellStart"/>
      <w:r w:rsidR="00AC6123" w:rsidRPr="00F45341">
        <w:rPr>
          <w:rFonts w:ascii="Arial" w:eastAsia="Calibri" w:hAnsi="Arial" w:cs="Arial"/>
          <w:sz w:val="24"/>
          <w:szCs w:val="24"/>
        </w:rPr>
        <w:t>Grootgewacht</w:t>
      </w:r>
      <w:proofErr w:type="spellEnd"/>
      <w:r w:rsidR="00AC6123" w:rsidRPr="00F45341">
        <w:rPr>
          <w:rFonts w:ascii="Arial" w:eastAsia="Calibri" w:hAnsi="Arial" w:cs="Arial"/>
          <w:sz w:val="24"/>
          <w:szCs w:val="24"/>
        </w:rPr>
        <w:t xml:space="preserve"> No.76 and Leasehold No.7 over the Remainder of Vryheid Townlands No.6711 at a Council meeting on 20 November 2020 and any possible agreement/s concluded in this regard are reviewed and set aside</w:t>
      </w:r>
      <w:r w:rsidR="00EC68CA" w:rsidRPr="00F45341">
        <w:rPr>
          <w:rFonts w:ascii="Arial" w:eastAsia="Calibri" w:hAnsi="Arial" w:cs="Arial"/>
          <w:sz w:val="24"/>
          <w:szCs w:val="24"/>
        </w:rPr>
        <w:t>.</w:t>
      </w:r>
    </w:p>
    <w:p w14:paraId="3CA54289" w14:textId="77777777" w:rsidR="00AC6123" w:rsidRPr="00F45341" w:rsidRDefault="00AC6123" w:rsidP="00F45341">
      <w:pPr>
        <w:pStyle w:val="ListParagraph"/>
        <w:spacing w:line="240" w:lineRule="auto"/>
        <w:ind w:left="1080"/>
        <w:jc w:val="both"/>
        <w:rPr>
          <w:rFonts w:ascii="Arial" w:eastAsia="Calibri" w:hAnsi="Arial" w:cs="Arial"/>
          <w:sz w:val="24"/>
          <w:szCs w:val="24"/>
        </w:rPr>
      </w:pPr>
    </w:p>
    <w:p w14:paraId="2AF654F1" w14:textId="2DE53B5C" w:rsidR="00BA679D"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2.</w:t>
      </w:r>
      <w:r w:rsidRPr="00F45341">
        <w:rPr>
          <w:rFonts w:ascii="Arial" w:eastAsia="Calibri" w:hAnsi="Arial" w:cs="Arial"/>
          <w:sz w:val="24"/>
          <w:szCs w:val="24"/>
        </w:rPr>
        <w:tab/>
      </w:r>
      <w:r w:rsidR="00AC6123" w:rsidRPr="00F45341">
        <w:rPr>
          <w:rFonts w:ascii="Arial" w:eastAsia="Calibri" w:hAnsi="Arial" w:cs="Arial"/>
          <w:sz w:val="24"/>
          <w:szCs w:val="24"/>
        </w:rPr>
        <w:t xml:space="preserve">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 is divested of all profits derived from the decision and possible agreement/s mentioned in the prayer 1</w:t>
      </w:r>
      <w:r w:rsidR="00694147" w:rsidRPr="00F45341">
        <w:rPr>
          <w:rFonts w:ascii="Arial" w:eastAsia="Calibri" w:hAnsi="Arial" w:cs="Arial"/>
          <w:sz w:val="24"/>
          <w:szCs w:val="24"/>
        </w:rPr>
        <w:t xml:space="preserve"> </w:t>
      </w:r>
      <w:proofErr w:type="gramStart"/>
      <w:r w:rsidR="00694147" w:rsidRPr="00F45341">
        <w:rPr>
          <w:rFonts w:ascii="Arial" w:eastAsia="Calibri" w:hAnsi="Arial" w:cs="Arial"/>
          <w:sz w:val="24"/>
          <w:szCs w:val="24"/>
        </w:rPr>
        <w:t>above</w:t>
      </w:r>
      <w:r w:rsidR="00EC68CA" w:rsidRPr="00F45341">
        <w:rPr>
          <w:rFonts w:ascii="Arial" w:eastAsia="Calibri" w:hAnsi="Arial" w:cs="Arial"/>
          <w:sz w:val="24"/>
          <w:szCs w:val="24"/>
        </w:rPr>
        <w:t>.</w:t>
      </w:r>
      <w:r w:rsidR="00EE1625" w:rsidRPr="00F45341">
        <w:rPr>
          <w:rFonts w:ascii="Arial" w:eastAsia="Calibri" w:hAnsi="Arial" w:cs="Arial"/>
          <w:sz w:val="24"/>
          <w:szCs w:val="24"/>
        </w:rPr>
        <w:t>.</w:t>
      </w:r>
      <w:proofErr w:type="gramEnd"/>
    </w:p>
    <w:p w14:paraId="47256CDB" w14:textId="77777777" w:rsidR="00BA679D" w:rsidRPr="00F45341" w:rsidRDefault="00BA679D" w:rsidP="00F45341">
      <w:pPr>
        <w:pStyle w:val="ListParagraph"/>
        <w:spacing w:line="240" w:lineRule="auto"/>
        <w:rPr>
          <w:rFonts w:ascii="Arial" w:eastAsia="Calibri" w:hAnsi="Arial" w:cs="Arial"/>
          <w:sz w:val="24"/>
          <w:szCs w:val="24"/>
        </w:rPr>
      </w:pPr>
    </w:p>
    <w:p w14:paraId="01CDD618" w14:textId="4691D35D" w:rsidR="00AC6123"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3.</w:t>
      </w:r>
      <w:r w:rsidRPr="00F45341">
        <w:rPr>
          <w:rFonts w:ascii="Arial" w:eastAsia="Calibri" w:hAnsi="Arial" w:cs="Arial"/>
          <w:sz w:val="24"/>
          <w:szCs w:val="24"/>
        </w:rPr>
        <w:tab/>
      </w:r>
      <w:r w:rsidR="00AC6123" w:rsidRPr="00F45341">
        <w:rPr>
          <w:rFonts w:ascii="Arial" w:eastAsia="Calibri" w:hAnsi="Arial" w:cs="Arial"/>
          <w:sz w:val="24"/>
          <w:szCs w:val="24"/>
        </w:rPr>
        <w:t xml:space="preserve">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s</w:t>
      </w:r>
      <w:r w:rsidR="00AC6123" w:rsidRPr="00F45341">
        <w:rPr>
          <w:rFonts w:ascii="Arial" w:eastAsia="Calibri" w:hAnsi="Arial" w:cs="Arial"/>
          <w:sz w:val="24"/>
          <w:szCs w:val="24"/>
        </w:rPr>
        <w:t xml:space="preserve">econd, </w:t>
      </w:r>
      <w:r w:rsidR="00EC68CA" w:rsidRPr="00F45341">
        <w:rPr>
          <w:rFonts w:ascii="Arial" w:eastAsia="Calibri" w:hAnsi="Arial" w:cs="Arial"/>
          <w:sz w:val="24"/>
          <w:szCs w:val="24"/>
        </w:rPr>
        <w:t>t</w:t>
      </w:r>
      <w:r w:rsidR="00AC6123" w:rsidRPr="00F45341">
        <w:rPr>
          <w:rFonts w:ascii="Arial" w:eastAsia="Calibri" w:hAnsi="Arial" w:cs="Arial"/>
          <w:sz w:val="24"/>
          <w:szCs w:val="24"/>
        </w:rPr>
        <w:t xml:space="preserve">hird and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ourth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espondents are ordered to conduct a survey on the affected land and to file a report and </w:t>
      </w:r>
      <w:r w:rsidR="00EE1625" w:rsidRPr="00F45341">
        <w:rPr>
          <w:rFonts w:ascii="Arial" w:eastAsia="Calibri" w:hAnsi="Arial" w:cs="Arial"/>
          <w:sz w:val="24"/>
          <w:szCs w:val="24"/>
        </w:rPr>
        <w:t xml:space="preserve">a </w:t>
      </w:r>
      <w:r w:rsidR="00AC6123" w:rsidRPr="00F45341">
        <w:rPr>
          <w:rFonts w:ascii="Arial" w:eastAsia="Calibri" w:hAnsi="Arial" w:cs="Arial"/>
          <w:sz w:val="24"/>
          <w:szCs w:val="24"/>
        </w:rPr>
        <w:t xml:space="preserve">comprehensive statement indicating the value of all wood harvested by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 (supported by expert report/s, if required) within 30 calendar days from the date of this order. The said report/s and statement/s shall indicate at least the size of each areas/blocks harvested, the types/species of tree concerned, approximate age of the trees, estimated or actual weight harvested and commercial value per ton. The said report</w:t>
      </w:r>
      <w:r w:rsidR="00EE1625" w:rsidRPr="00F45341">
        <w:rPr>
          <w:rFonts w:ascii="Arial" w:eastAsia="Calibri" w:hAnsi="Arial" w:cs="Arial"/>
          <w:sz w:val="24"/>
          <w:szCs w:val="24"/>
        </w:rPr>
        <w:t>/s</w:t>
      </w:r>
      <w:r w:rsidR="00AC6123" w:rsidRPr="00F45341">
        <w:rPr>
          <w:rFonts w:ascii="Arial" w:eastAsia="Calibri" w:hAnsi="Arial" w:cs="Arial"/>
          <w:sz w:val="24"/>
          <w:szCs w:val="24"/>
        </w:rPr>
        <w:t xml:space="preserve"> and statement</w:t>
      </w:r>
      <w:r w:rsidR="00EE1625" w:rsidRPr="00F45341">
        <w:rPr>
          <w:rFonts w:ascii="Arial" w:eastAsia="Calibri" w:hAnsi="Arial" w:cs="Arial"/>
          <w:sz w:val="24"/>
          <w:szCs w:val="24"/>
        </w:rPr>
        <w:t>/s</w:t>
      </w:r>
      <w:r w:rsidR="00AC6123" w:rsidRPr="00F45341">
        <w:rPr>
          <w:rFonts w:ascii="Arial" w:eastAsia="Calibri" w:hAnsi="Arial" w:cs="Arial"/>
          <w:sz w:val="24"/>
          <w:szCs w:val="24"/>
        </w:rPr>
        <w:t xml:space="preserve"> shall be filed with the </w:t>
      </w:r>
      <w:r w:rsidR="00EC68CA" w:rsidRPr="00F45341">
        <w:rPr>
          <w:rFonts w:ascii="Arial" w:eastAsia="Calibri" w:hAnsi="Arial" w:cs="Arial"/>
          <w:sz w:val="24"/>
          <w:szCs w:val="24"/>
        </w:rPr>
        <w:t>h</w:t>
      </w:r>
      <w:r w:rsidR="00AC6123" w:rsidRPr="00F45341">
        <w:rPr>
          <w:rFonts w:ascii="Arial" w:eastAsia="Calibri" w:hAnsi="Arial" w:cs="Arial"/>
          <w:sz w:val="24"/>
          <w:szCs w:val="24"/>
        </w:rPr>
        <w:t xml:space="preserve">onourable </w:t>
      </w:r>
      <w:r w:rsidR="00EC68CA" w:rsidRPr="00F45341">
        <w:rPr>
          <w:rFonts w:ascii="Arial" w:eastAsia="Calibri" w:hAnsi="Arial" w:cs="Arial"/>
          <w:sz w:val="24"/>
          <w:szCs w:val="24"/>
        </w:rPr>
        <w:t>c</w:t>
      </w:r>
      <w:r w:rsidR="00AC6123" w:rsidRPr="00F45341">
        <w:rPr>
          <w:rFonts w:ascii="Arial" w:eastAsia="Calibri" w:hAnsi="Arial" w:cs="Arial"/>
          <w:sz w:val="24"/>
          <w:szCs w:val="24"/>
        </w:rPr>
        <w:t xml:space="preserve">ourt and served on the </w:t>
      </w:r>
      <w:r w:rsidR="00EC68CA" w:rsidRPr="00F45341">
        <w:rPr>
          <w:rFonts w:ascii="Arial" w:eastAsia="Calibri" w:hAnsi="Arial" w:cs="Arial"/>
          <w:sz w:val="24"/>
          <w:szCs w:val="24"/>
        </w:rPr>
        <w:t>a</w:t>
      </w:r>
      <w:r w:rsidR="00AC6123" w:rsidRPr="00F45341">
        <w:rPr>
          <w:rFonts w:ascii="Arial" w:eastAsia="Calibri" w:hAnsi="Arial" w:cs="Arial"/>
          <w:sz w:val="24"/>
          <w:szCs w:val="24"/>
        </w:rPr>
        <w:t xml:space="preserve">pplicant through its attorneys and on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 at his address, </w:t>
      </w:r>
      <w:r w:rsidR="00EE1625" w:rsidRPr="00F45341">
        <w:rPr>
          <w:rFonts w:ascii="Arial" w:eastAsia="Calibri" w:hAnsi="Arial" w:cs="Arial"/>
          <w:sz w:val="24"/>
          <w:szCs w:val="24"/>
        </w:rPr>
        <w:t xml:space="preserve">which </w:t>
      </w:r>
      <w:proofErr w:type="gramStart"/>
      <w:r w:rsidR="00EE1625" w:rsidRPr="00F45341">
        <w:rPr>
          <w:rFonts w:ascii="Arial" w:eastAsia="Calibri" w:hAnsi="Arial" w:cs="Arial"/>
          <w:sz w:val="24"/>
          <w:szCs w:val="24"/>
        </w:rPr>
        <w:t xml:space="preserve">is </w:t>
      </w:r>
      <w:r w:rsidR="00AC6123" w:rsidRPr="00F45341">
        <w:rPr>
          <w:rFonts w:ascii="Arial" w:eastAsia="Calibri" w:hAnsi="Arial" w:cs="Arial"/>
          <w:sz w:val="24"/>
          <w:szCs w:val="24"/>
        </w:rPr>
        <w:t xml:space="preserve"> 3</w:t>
      </w:r>
      <w:proofErr w:type="gramEnd"/>
      <w:r w:rsidR="00AC6123" w:rsidRPr="00F45341">
        <w:rPr>
          <w:rFonts w:ascii="Arial" w:eastAsia="Calibri" w:hAnsi="Arial" w:cs="Arial"/>
          <w:sz w:val="24"/>
          <w:szCs w:val="24"/>
        </w:rPr>
        <w:t xml:space="preserve"> Steenbok Street, Vryheid</w:t>
      </w:r>
      <w:r w:rsidR="00EC68CA" w:rsidRPr="00F45341">
        <w:rPr>
          <w:rFonts w:ascii="Arial" w:eastAsia="Calibri" w:hAnsi="Arial" w:cs="Arial"/>
          <w:sz w:val="24"/>
          <w:szCs w:val="24"/>
        </w:rPr>
        <w:t>.</w:t>
      </w:r>
    </w:p>
    <w:p w14:paraId="509B039A" w14:textId="77777777" w:rsidR="00AC6123" w:rsidRPr="00F45341" w:rsidRDefault="00AC6123" w:rsidP="00F45341">
      <w:pPr>
        <w:pStyle w:val="ListParagraph"/>
        <w:spacing w:line="240" w:lineRule="auto"/>
        <w:ind w:left="1080"/>
        <w:jc w:val="both"/>
        <w:rPr>
          <w:rFonts w:ascii="Arial" w:eastAsia="Calibri" w:hAnsi="Arial" w:cs="Arial"/>
          <w:sz w:val="24"/>
          <w:szCs w:val="24"/>
        </w:rPr>
      </w:pPr>
    </w:p>
    <w:p w14:paraId="65E5FD38" w14:textId="78D48CF5" w:rsidR="00BA679D"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4.</w:t>
      </w:r>
      <w:r w:rsidRPr="00F45341">
        <w:rPr>
          <w:rFonts w:ascii="Arial" w:eastAsia="Calibri" w:hAnsi="Arial" w:cs="Arial"/>
          <w:sz w:val="24"/>
          <w:szCs w:val="24"/>
        </w:rPr>
        <w:tab/>
      </w:r>
      <w:r w:rsidR="00AC6123" w:rsidRPr="00F45341">
        <w:rPr>
          <w:rFonts w:ascii="Arial" w:eastAsia="Calibri" w:hAnsi="Arial" w:cs="Arial"/>
          <w:sz w:val="24"/>
          <w:szCs w:val="24"/>
        </w:rPr>
        <w:t xml:space="preserve">The </w:t>
      </w:r>
      <w:r w:rsidR="00EC68CA" w:rsidRPr="00F45341">
        <w:rPr>
          <w:rFonts w:ascii="Arial" w:eastAsia="Calibri" w:hAnsi="Arial" w:cs="Arial"/>
          <w:sz w:val="24"/>
          <w:szCs w:val="24"/>
        </w:rPr>
        <w:t>a</w:t>
      </w:r>
      <w:r w:rsidR="00AC6123" w:rsidRPr="00F45341">
        <w:rPr>
          <w:rFonts w:ascii="Arial" w:eastAsia="Calibri" w:hAnsi="Arial" w:cs="Arial"/>
          <w:sz w:val="24"/>
          <w:szCs w:val="24"/>
        </w:rPr>
        <w:t>pplicant may enter the relevant land and may conduct a survey of its own and compile a report/s and/or statement/s of its own within 30 calendar days of receipt of the report/s and statement/s referenced in prayer 3</w:t>
      </w:r>
      <w:r w:rsidR="00694147" w:rsidRPr="00F45341">
        <w:rPr>
          <w:rFonts w:ascii="Arial" w:eastAsia="Calibri" w:hAnsi="Arial" w:cs="Arial"/>
          <w:sz w:val="24"/>
          <w:szCs w:val="24"/>
        </w:rPr>
        <w:t xml:space="preserve"> above</w:t>
      </w:r>
      <w:r w:rsidR="00AC6123" w:rsidRPr="00F45341">
        <w:rPr>
          <w:rFonts w:ascii="Arial" w:eastAsia="Calibri" w:hAnsi="Arial" w:cs="Arial"/>
          <w:sz w:val="24"/>
          <w:szCs w:val="24"/>
        </w:rPr>
        <w:t xml:space="preserve">, in the event that the accuracy of the reports </w:t>
      </w:r>
      <w:proofErr w:type="gramStart"/>
      <w:r w:rsidR="00AC6123" w:rsidRPr="00F45341">
        <w:rPr>
          <w:rFonts w:ascii="Arial" w:eastAsia="Calibri" w:hAnsi="Arial" w:cs="Arial"/>
          <w:sz w:val="24"/>
          <w:szCs w:val="24"/>
        </w:rPr>
        <w:t>is  disputed</w:t>
      </w:r>
      <w:proofErr w:type="gramEnd"/>
      <w:r w:rsidR="00AC6123" w:rsidRPr="00F45341">
        <w:rPr>
          <w:rFonts w:ascii="Arial" w:eastAsia="Calibri" w:hAnsi="Arial" w:cs="Arial"/>
          <w:sz w:val="24"/>
          <w:szCs w:val="24"/>
        </w:rPr>
        <w:t xml:space="preserve">. Should such documents be compiled by the </w:t>
      </w:r>
      <w:r w:rsidR="00EE1625" w:rsidRPr="00F45341">
        <w:rPr>
          <w:rFonts w:ascii="Arial" w:eastAsia="Calibri" w:hAnsi="Arial" w:cs="Arial"/>
          <w:sz w:val="24"/>
          <w:szCs w:val="24"/>
        </w:rPr>
        <w:t>a</w:t>
      </w:r>
      <w:r w:rsidR="00AC6123" w:rsidRPr="00F45341">
        <w:rPr>
          <w:rFonts w:ascii="Arial" w:eastAsia="Calibri" w:hAnsi="Arial" w:cs="Arial"/>
          <w:sz w:val="24"/>
          <w:szCs w:val="24"/>
        </w:rPr>
        <w:t xml:space="preserve">pplicant, they shall </w:t>
      </w:r>
      <w:r w:rsidR="00EE1625" w:rsidRPr="00F45341">
        <w:rPr>
          <w:rFonts w:ascii="Arial" w:eastAsia="Calibri" w:hAnsi="Arial" w:cs="Arial"/>
          <w:sz w:val="24"/>
          <w:szCs w:val="24"/>
        </w:rPr>
        <w:t xml:space="preserve">also </w:t>
      </w:r>
      <w:r w:rsidR="00AC6123" w:rsidRPr="00F45341">
        <w:rPr>
          <w:rFonts w:ascii="Arial" w:eastAsia="Calibri" w:hAnsi="Arial" w:cs="Arial"/>
          <w:sz w:val="24"/>
          <w:szCs w:val="24"/>
        </w:rPr>
        <w:t xml:space="preserve">be filed with the </w:t>
      </w:r>
      <w:r w:rsidR="00EE1625" w:rsidRPr="00F45341">
        <w:rPr>
          <w:rFonts w:ascii="Arial" w:eastAsia="Calibri" w:hAnsi="Arial" w:cs="Arial"/>
          <w:sz w:val="24"/>
          <w:szCs w:val="24"/>
        </w:rPr>
        <w:t>c</w:t>
      </w:r>
      <w:r w:rsidR="00AC6123" w:rsidRPr="00F45341">
        <w:rPr>
          <w:rFonts w:ascii="Arial" w:eastAsia="Calibri" w:hAnsi="Arial" w:cs="Arial"/>
          <w:sz w:val="24"/>
          <w:szCs w:val="24"/>
        </w:rPr>
        <w:t xml:space="preserve">ourt and served on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s</w:t>
      </w:r>
      <w:r w:rsidR="00AC6123" w:rsidRPr="00F45341">
        <w:rPr>
          <w:rFonts w:ascii="Arial" w:eastAsia="Calibri" w:hAnsi="Arial" w:cs="Arial"/>
          <w:sz w:val="24"/>
          <w:szCs w:val="24"/>
        </w:rPr>
        <w:t xml:space="preserve">econd, </w:t>
      </w:r>
      <w:r w:rsidR="00EC68CA" w:rsidRPr="00F45341">
        <w:rPr>
          <w:rFonts w:ascii="Arial" w:eastAsia="Calibri" w:hAnsi="Arial" w:cs="Arial"/>
          <w:sz w:val="24"/>
          <w:szCs w:val="24"/>
        </w:rPr>
        <w:t>t</w:t>
      </w:r>
      <w:r w:rsidR="00AC6123" w:rsidRPr="00F45341">
        <w:rPr>
          <w:rFonts w:ascii="Arial" w:eastAsia="Calibri" w:hAnsi="Arial" w:cs="Arial"/>
          <w:sz w:val="24"/>
          <w:szCs w:val="24"/>
        </w:rPr>
        <w:t xml:space="preserve">hird and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ourth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espondents through their attorneys and on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 at his address</w:t>
      </w:r>
      <w:r w:rsidR="00EE1625" w:rsidRPr="00F45341">
        <w:rPr>
          <w:rFonts w:ascii="Arial" w:eastAsia="Calibri" w:hAnsi="Arial" w:cs="Arial"/>
          <w:sz w:val="24"/>
          <w:szCs w:val="24"/>
        </w:rPr>
        <w:t>,</w:t>
      </w:r>
      <w:r w:rsidR="00AC6123" w:rsidRPr="00F45341">
        <w:rPr>
          <w:rFonts w:ascii="Arial" w:eastAsia="Calibri" w:hAnsi="Arial" w:cs="Arial"/>
          <w:sz w:val="24"/>
          <w:szCs w:val="24"/>
        </w:rPr>
        <w:t xml:space="preserve"> </w:t>
      </w:r>
      <w:r w:rsidR="00EE1625" w:rsidRPr="00F45341">
        <w:rPr>
          <w:rFonts w:ascii="Arial" w:eastAsia="Calibri" w:hAnsi="Arial" w:cs="Arial"/>
          <w:sz w:val="24"/>
          <w:szCs w:val="24"/>
        </w:rPr>
        <w:t xml:space="preserve">which </w:t>
      </w:r>
      <w:proofErr w:type="gramStart"/>
      <w:r w:rsidR="00EE1625" w:rsidRPr="00F45341">
        <w:rPr>
          <w:rFonts w:ascii="Arial" w:eastAsia="Calibri" w:hAnsi="Arial" w:cs="Arial"/>
          <w:sz w:val="24"/>
          <w:szCs w:val="24"/>
        </w:rPr>
        <w:t xml:space="preserve">is </w:t>
      </w:r>
      <w:r w:rsidR="00AC6123" w:rsidRPr="00F45341">
        <w:rPr>
          <w:rFonts w:ascii="Arial" w:eastAsia="Calibri" w:hAnsi="Arial" w:cs="Arial"/>
          <w:sz w:val="24"/>
          <w:szCs w:val="24"/>
        </w:rPr>
        <w:t xml:space="preserve"> 3</w:t>
      </w:r>
      <w:proofErr w:type="gramEnd"/>
      <w:r w:rsidR="00AC6123" w:rsidRPr="00F45341">
        <w:rPr>
          <w:rFonts w:ascii="Arial" w:eastAsia="Calibri" w:hAnsi="Arial" w:cs="Arial"/>
          <w:sz w:val="24"/>
          <w:szCs w:val="24"/>
        </w:rPr>
        <w:t xml:space="preserve"> Steenbok Street, Vryheid</w:t>
      </w:r>
      <w:r w:rsidR="00BA679D" w:rsidRPr="00F45341">
        <w:rPr>
          <w:rFonts w:ascii="Arial" w:eastAsia="Calibri" w:hAnsi="Arial" w:cs="Arial"/>
          <w:sz w:val="24"/>
          <w:szCs w:val="24"/>
        </w:rPr>
        <w:t>.</w:t>
      </w:r>
    </w:p>
    <w:p w14:paraId="433028C2" w14:textId="77777777" w:rsidR="00BA679D" w:rsidRPr="00F45341" w:rsidRDefault="00BA679D" w:rsidP="00F45341">
      <w:pPr>
        <w:pStyle w:val="ListParagraph"/>
        <w:spacing w:line="240" w:lineRule="auto"/>
        <w:rPr>
          <w:rFonts w:ascii="Arial" w:eastAsia="Calibri" w:hAnsi="Arial" w:cs="Arial"/>
          <w:sz w:val="24"/>
          <w:szCs w:val="24"/>
        </w:rPr>
      </w:pPr>
    </w:p>
    <w:p w14:paraId="29986508" w14:textId="2700F714" w:rsidR="00AC6123"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5.</w:t>
      </w:r>
      <w:r w:rsidRPr="00F45341">
        <w:rPr>
          <w:rFonts w:ascii="Arial" w:eastAsia="Calibri" w:hAnsi="Arial" w:cs="Arial"/>
          <w:sz w:val="24"/>
          <w:szCs w:val="24"/>
        </w:rPr>
        <w:tab/>
      </w:r>
      <w:r w:rsidR="00AC6123" w:rsidRPr="00F45341">
        <w:rPr>
          <w:rFonts w:ascii="Arial" w:eastAsia="Calibri" w:hAnsi="Arial" w:cs="Arial"/>
          <w:sz w:val="24"/>
          <w:szCs w:val="24"/>
        </w:rPr>
        <w:t xml:space="preserve">If the </w:t>
      </w:r>
      <w:r w:rsidR="00E46174"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46174" w:rsidRPr="00F45341">
        <w:rPr>
          <w:rFonts w:ascii="Arial" w:eastAsia="Calibri" w:hAnsi="Arial" w:cs="Arial"/>
          <w:sz w:val="24"/>
          <w:szCs w:val="24"/>
        </w:rPr>
        <w:t>r</w:t>
      </w:r>
      <w:r w:rsidR="00AC6123" w:rsidRPr="00F45341">
        <w:rPr>
          <w:rFonts w:ascii="Arial" w:eastAsia="Calibri" w:hAnsi="Arial" w:cs="Arial"/>
          <w:sz w:val="24"/>
          <w:szCs w:val="24"/>
        </w:rPr>
        <w:t>espondent wishes to deduct any actual expen</w:t>
      </w:r>
      <w:r w:rsidR="007015C3" w:rsidRPr="00F45341">
        <w:rPr>
          <w:rFonts w:ascii="Arial" w:eastAsia="Calibri" w:hAnsi="Arial" w:cs="Arial"/>
          <w:sz w:val="24"/>
          <w:szCs w:val="24"/>
        </w:rPr>
        <w:t>s</w:t>
      </w:r>
      <w:r w:rsidR="00AC6123" w:rsidRPr="00F45341">
        <w:rPr>
          <w:rFonts w:ascii="Arial" w:eastAsia="Calibri" w:hAnsi="Arial" w:cs="Arial"/>
          <w:sz w:val="24"/>
          <w:szCs w:val="24"/>
        </w:rPr>
        <w:t>es/loss incurred during the harvesting or handling of the wood concerned, he shall file a statement/s detailing all such expen</w:t>
      </w:r>
      <w:r w:rsidR="007015C3" w:rsidRPr="00F45341">
        <w:rPr>
          <w:rFonts w:ascii="Arial" w:eastAsia="Calibri" w:hAnsi="Arial" w:cs="Arial"/>
          <w:sz w:val="24"/>
          <w:szCs w:val="24"/>
        </w:rPr>
        <w:t>s</w:t>
      </w:r>
      <w:r w:rsidR="00AC6123" w:rsidRPr="00F45341">
        <w:rPr>
          <w:rFonts w:ascii="Arial" w:eastAsia="Calibri" w:hAnsi="Arial" w:cs="Arial"/>
          <w:sz w:val="24"/>
          <w:szCs w:val="24"/>
        </w:rPr>
        <w:t xml:space="preserve">es/losses, with supporting vouchers and documents (and possible expert evidence) indicating all alleged expenditure/losses within 30 </w:t>
      </w:r>
      <w:r w:rsidR="00EC68CA" w:rsidRPr="00F45341">
        <w:rPr>
          <w:rFonts w:ascii="Arial" w:eastAsia="Calibri" w:hAnsi="Arial" w:cs="Arial"/>
          <w:sz w:val="24"/>
          <w:szCs w:val="24"/>
        </w:rPr>
        <w:t>calendar</w:t>
      </w:r>
      <w:r w:rsidR="00AC6123" w:rsidRPr="00F45341">
        <w:rPr>
          <w:rFonts w:ascii="Arial" w:eastAsia="Calibri" w:hAnsi="Arial" w:cs="Arial"/>
          <w:sz w:val="24"/>
          <w:szCs w:val="24"/>
        </w:rPr>
        <w:t xml:space="preserve"> days of service of this order on him at his address being 3 Steenbok Street, Vryheid. Such documents shall be filed with the </w:t>
      </w:r>
      <w:r w:rsidR="00EC68CA" w:rsidRPr="00F45341">
        <w:rPr>
          <w:rFonts w:ascii="Arial" w:eastAsia="Calibri" w:hAnsi="Arial" w:cs="Arial"/>
          <w:sz w:val="24"/>
          <w:szCs w:val="24"/>
        </w:rPr>
        <w:t>c</w:t>
      </w:r>
      <w:r w:rsidR="00AC6123" w:rsidRPr="00F45341">
        <w:rPr>
          <w:rFonts w:ascii="Arial" w:eastAsia="Calibri" w:hAnsi="Arial" w:cs="Arial"/>
          <w:sz w:val="24"/>
          <w:szCs w:val="24"/>
        </w:rPr>
        <w:t xml:space="preserve">ourt and </w:t>
      </w:r>
      <w:r w:rsidR="00EC68CA" w:rsidRPr="00F45341">
        <w:rPr>
          <w:rFonts w:ascii="Arial" w:eastAsia="Calibri" w:hAnsi="Arial" w:cs="Arial"/>
          <w:sz w:val="24"/>
          <w:szCs w:val="24"/>
        </w:rPr>
        <w:t>a</w:t>
      </w:r>
      <w:r w:rsidR="00AC6123" w:rsidRPr="00F45341">
        <w:rPr>
          <w:rFonts w:ascii="Arial" w:eastAsia="Calibri" w:hAnsi="Arial" w:cs="Arial"/>
          <w:sz w:val="24"/>
          <w:szCs w:val="24"/>
        </w:rPr>
        <w:t xml:space="preserve">pplicant, and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to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ourth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espondents through their respective attorneys</w:t>
      </w:r>
      <w:r w:rsidR="00BA679D" w:rsidRPr="00F45341">
        <w:rPr>
          <w:rFonts w:ascii="Arial" w:eastAsia="Calibri" w:hAnsi="Arial" w:cs="Arial"/>
          <w:sz w:val="24"/>
          <w:szCs w:val="24"/>
        </w:rPr>
        <w:t>.</w:t>
      </w:r>
    </w:p>
    <w:p w14:paraId="5668B37B" w14:textId="77777777" w:rsidR="00AC6123" w:rsidRPr="00F45341" w:rsidRDefault="00AC6123" w:rsidP="00F45341">
      <w:pPr>
        <w:pStyle w:val="ListParagraph"/>
        <w:spacing w:line="240" w:lineRule="auto"/>
        <w:ind w:left="1080"/>
        <w:jc w:val="both"/>
        <w:rPr>
          <w:rFonts w:ascii="Arial" w:eastAsia="Calibri" w:hAnsi="Arial" w:cs="Arial"/>
          <w:sz w:val="24"/>
          <w:szCs w:val="24"/>
        </w:rPr>
      </w:pPr>
    </w:p>
    <w:p w14:paraId="09BA4BC8" w14:textId="518AA53A" w:rsidR="00AC6123"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6.</w:t>
      </w:r>
      <w:r w:rsidRPr="00F45341">
        <w:rPr>
          <w:rFonts w:ascii="Arial" w:eastAsia="Calibri" w:hAnsi="Arial" w:cs="Arial"/>
          <w:sz w:val="24"/>
          <w:szCs w:val="24"/>
        </w:rPr>
        <w:tab/>
      </w:r>
      <w:r w:rsidR="00AC6123" w:rsidRPr="00F45341">
        <w:rPr>
          <w:rFonts w:ascii="Arial" w:eastAsia="Calibri" w:hAnsi="Arial" w:cs="Arial"/>
          <w:sz w:val="24"/>
          <w:szCs w:val="24"/>
        </w:rPr>
        <w:t>All possible expert witnesses engaged shall file joint minutes within 15 calendar days from the date of filing of the last report in terms of this order, or the date on which such report would be due</w:t>
      </w:r>
      <w:r w:rsidR="00BA679D" w:rsidRPr="00F45341">
        <w:rPr>
          <w:rFonts w:ascii="Arial" w:eastAsia="Calibri" w:hAnsi="Arial" w:cs="Arial"/>
          <w:sz w:val="24"/>
          <w:szCs w:val="24"/>
        </w:rPr>
        <w:t>.</w:t>
      </w:r>
    </w:p>
    <w:p w14:paraId="4AF9DFD1" w14:textId="77777777" w:rsidR="00AC6123" w:rsidRPr="00F45341" w:rsidRDefault="00AC6123" w:rsidP="00F45341">
      <w:pPr>
        <w:pStyle w:val="ListParagraph"/>
        <w:spacing w:line="240" w:lineRule="auto"/>
        <w:jc w:val="both"/>
        <w:rPr>
          <w:rFonts w:ascii="Arial" w:eastAsia="Calibri" w:hAnsi="Arial" w:cs="Arial"/>
          <w:sz w:val="24"/>
          <w:szCs w:val="24"/>
        </w:rPr>
      </w:pPr>
    </w:p>
    <w:p w14:paraId="6F0C3C8D" w14:textId="7EE1E035" w:rsidR="00AC6123"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7.</w:t>
      </w:r>
      <w:r w:rsidRPr="00F45341">
        <w:rPr>
          <w:rFonts w:ascii="Arial" w:eastAsia="Calibri" w:hAnsi="Arial" w:cs="Arial"/>
          <w:sz w:val="24"/>
          <w:szCs w:val="24"/>
        </w:rPr>
        <w:tab/>
      </w:r>
      <w:r w:rsidR="00AC6123" w:rsidRPr="00F45341">
        <w:rPr>
          <w:rFonts w:ascii="Arial" w:eastAsia="Calibri" w:hAnsi="Arial" w:cs="Arial"/>
          <w:sz w:val="24"/>
          <w:szCs w:val="24"/>
        </w:rPr>
        <w:t>On the day for filing of joint minutes all parties will indicate in writing if they dispute the expen</w:t>
      </w:r>
      <w:r w:rsidR="007015C3" w:rsidRPr="00F45341">
        <w:rPr>
          <w:rFonts w:ascii="Arial" w:eastAsia="Calibri" w:hAnsi="Arial" w:cs="Arial"/>
          <w:sz w:val="24"/>
          <w:szCs w:val="24"/>
        </w:rPr>
        <w:t>s</w:t>
      </w:r>
      <w:r w:rsidR="00AC6123" w:rsidRPr="00F45341">
        <w:rPr>
          <w:rFonts w:ascii="Arial" w:eastAsia="Calibri" w:hAnsi="Arial" w:cs="Arial"/>
          <w:sz w:val="24"/>
          <w:szCs w:val="24"/>
        </w:rPr>
        <w:t xml:space="preserve">es/losses that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 might claim to have incurred/suffered and indicate which amount/s or items are disputed.</w:t>
      </w:r>
    </w:p>
    <w:p w14:paraId="437BCF14" w14:textId="77777777" w:rsidR="00AC6123" w:rsidRPr="00F45341" w:rsidRDefault="00AC6123" w:rsidP="00F45341">
      <w:pPr>
        <w:pStyle w:val="ListParagraph"/>
        <w:spacing w:line="240" w:lineRule="auto"/>
        <w:jc w:val="both"/>
        <w:rPr>
          <w:rFonts w:ascii="Arial" w:eastAsia="Calibri" w:hAnsi="Arial" w:cs="Arial"/>
          <w:sz w:val="24"/>
          <w:szCs w:val="24"/>
        </w:rPr>
      </w:pPr>
    </w:p>
    <w:p w14:paraId="7FC414CB" w14:textId="0646BF07" w:rsidR="00AC6123"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8.</w:t>
      </w:r>
      <w:r w:rsidRPr="00F45341">
        <w:rPr>
          <w:rFonts w:ascii="Arial" w:eastAsia="Calibri" w:hAnsi="Arial" w:cs="Arial"/>
          <w:sz w:val="24"/>
          <w:szCs w:val="24"/>
        </w:rPr>
        <w:tab/>
      </w:r>
      <w:proofErr w:type="gramStart"/>
      <w:r w:rsidR="00AC6123" w:rsidRPr="00F45341">
        <w:rPr>
          <w:rFonts w:ascii="Arial" w:eastAsia="Calibri" w:hAnsi="Arial" w:cs="Arial"/>
          <w:sz w:val="24"/>
          <w:szCs w:val="24"/>
        </w:rPr>
        <w:t>In the event that</w:t>
      </w:r>
      <w:proofErr w:type="gramEnd"/>
      <w:r w:rsidR="00AC6123" w:rsidRPr="00F45341">
        <w:rPr>
          <w:rFonts w:ascii="Arial" w:eastAsia="Calibri" w:hAnsi="Arial" w:cs="Arial"/>
          <w:sz w:val="24"/>
          <w:szCs w:val="24"/>
        </w:rPr>
        <w:t xml:space="preserve"> the amount which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 is liable to pay to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 is agreed on between the </w:t>
      </w:r>
      <w:r w:rsidR="00EC68CA" w:rsidRPr="00F45341">
        <w:rPr>
          <w:rFonts w:ascii="Arial" w:eastAsia="Calibri" w:hAnsi="Arial" w:cs="Arial"/>
          <w:sz w:val="24"/>
          <w:szCs w:val="24"/>
        </w:rPr>
        <w:t>a</w:t>
      </w:r>
      <w:r w:rsidR="00AC6123" w:rsidRPr="00F45341">
        <w:rPr>
          <w:rFonts w:ascii="Arial" w:eastAsia="Calibri" w:hAnsi="Arial" w:cs="Arial"/>
          <w:sz w:val="24"/>
          <w:szCs w:val="24"/>
        </w:rPr>
        <w:t xml:space="preserve">pplicant and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to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espondents, such agreed amount may be made an order of court for repayment. Should such amount remain disputed, any party may set the matter down for evidence for determination of the amount due. The office of the Judge President may be approached for a preferential date in this regard.</w:t>
      </w:r>
    </w:p>
    <w:p w14:paraId="205EAA7B" w14:textId="77777777" w:rsidR="00AC6123" w:rsidRPr="00F45341" w:rsidRDefault="00AC6123" w:rsidP="00F45341">
      <w:pPr>
        <w:pStyle w:val="ListParagraph"/>
        <w:spacing w:line="240" w:lineRule="auto"/>
        <w:jc w:val="both"/>
        <w:rPr>
          <w:rFonts w:ascii="Arial" w:eastAsia="Calibri" w:hAnsi="Arial" w:cs="Arial"/>
          <w:sz w:val="24"/>
          <w:szCs w:val="24"/>
        </w:rPr>
      </w:pPr>
    </w:p>
    <w:p w14:paraId="6ABEF88A" w14:textId="10A40DC5" w:rsidR="00BA679D" w:rsidRPr="00F45341" w:rsidRDefault="00D342BA" w:rsidP="00F45341">
      <w:pPr>
        <w:spacing w:before="240" w:line="240" w:lineRule="auto"/>
        <w:ind w:left="720" w:hanging="360"/>
        <w:jc w:val="both"/>
        <w:rPr>
          <w:rFonts w:ascii="Arial" w:eastAsia="Calibri" w:hAnsi="Arial" w:cs="Arial"/>
          <w:sz w:val="24"/>
          <w:szCs w:val="24"/>
        </w:rPr>
      </w:pPr>
      <w:r w:rsidRPr="00F45341">
        <w:rPr>
          <w:rFonts w:ascii="Arial" w:eastAsia="Calibri" w:hAnsi="Arial" w:cs="Arial"/>
          <w:sz w:val="24"/>
          <w:szCs w:val="24"/>
        </w:rPr>
        <w:t>9.</w:t>
      </w:r>
      <w:r w:rsidRPr="00F45341">
        <w:rPr>
          <w:rFonts w:ascii="Arial" w:eastAsia="Calibri" w:hAnsi="Arial" w:cs="Arial"/>
          <w:sz w:val="24"/>
          <w:szCs w:val="24"/>
        </w:rPr>
        <w:tab/>
      </w:r>
      <w:r w:rsidR="00AC6123" w:rsidRPr="00F45341">
        <w:rPr>
          <w:rFonts w:ascii="Arial" w:eastAsia="Calibri" w:hAnsi="Arial" w:cs="Arial"/>
          <w:sz w:val="24"/>
          <w:szCs w:val="24"/>
        </w:rPr>
        <w:t xml:space="preserve">After the amount payable by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 to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 is determined,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s</w:t>
      </w:r>
      <w:r w:rsidR="00AC6123" w:rsidRPr="00F45341">
        <w:rPr>
          <w:rFonts w:ascii="Arial" w:eastAsia="Calibri" w:hAnsi="Arial" w:cs="Arial"/>
          <w:sz w:val="24"/>
          <w:szCs w:val="24"/>
        </w:rPr>
        <w:t xml:space="preserve">econd, </w:t>
      </w:r>
      <w:r w:rsidR="00EC68CA" w:rsidRPr="00F45341">
        <w:rPr>
          <w:rFonts w:ascii="Arial" w:eastAsia="Calibri" w:hAnsi="Arial" w:cs="Arial"/>
          <w:sz w:val="24"/>
          <w:szCs w:val="24"/>
        </w:rPr>
        <w:t>t</w:t>
      </w:r>
      <w:r w:rsidR="00AC6123" w:rsidRPr="00F45341">
        <w:rPr>
          <w:rFonts w:ascii="Arial" w:eastAsia="Calibri" w:hAnsi="Arial" w:cs="Arial"/>
          <w:sz w:val="24"/>
          <w:szCs w:val="24"/>
        </w:rPr>
        <w:t xml:space="preserve">hird and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ourth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espondents are ordered to pursue all valid forms of taxation, including possible sequestration, to obtain payment of any amount due without delay. In this regard 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s</w:t>
      </w:r>
      <w:r w:rsidR="00AC6123" w:rsidRPr="00F45341">
        <w:rPr>
          <w:rFonts w:ascii="Arial" w:eastAsia="Calibri" w:hAnsi="Arial" w:cs="Arial"/>
          <w:sz w:val="24"/>
          <w:szCs w:val="24"/>
        </w:rPr>
        <w:t xml:space="preserve">econd, </w:t>
      </w:r>
      <w:r w:rsidR="00EC68CA" w:rsidRPr="00F45341">
        <w:rPr>
          <w:rFonts w:ascii="Arial" w:eastAsia="Calibri" w:hAnsi="Arial" w:cs="Arial"/>
          <w:sz w:val="24"/>
          <w:szCs w:val="24"/>
        </w:rPr>
        <w:t>t</w:t>
      </w:r>
      <w:r w:rsidR="00AC6123" w:rsidRPr="00F45341">
        <w:rPr>
          <w:rFonts w:ascii="Arial" w:eastAsia="Calibri" w:hAnsi="Arial" w:cs="Arial"/>
          <w:sz w:val="24"/>
          <w:szCs w:val="24"/>
        </w:rPr>
        <w:t xml:space="preserve">hird and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ourth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espondents shall report to the </w:t>
      </w:r>
      <w:r w:rsidR="00EC68CA" w:rsidRPr="00F45341">
        <w:rPr>
          <w:rFonts w:ascii="Arial" w:eastAsia="Calibri" w:hAnsi="Arial" w:cs="Arial"/>
          <w:sz w:val="24"/>
          <w:szCs w:val="24"/>
        </w:rPr>
        <w:t>c</w:t>
      </w:r>
      <w:r w:rsidR="00AC6123" w:rsidRPr="00F45341">
        <w:rPr>
          <w:rFonts w:ascii="Arial" w:eastAsia="Calibri" w:hAnsi="Arial" w:cs="Arial"/>
          <w:sz w:val="24"/>
          <w:szCs w:val="24"/>
        </w:rPr>
        <w:t xml:space="preserve">ourt and the </w:t>
      </w:r>
      <w:r w:rsidR="00EC68CA" w:rsidRPr="00F45341">
        <w:rPr>
          <w:rFonts w:ascii="Arial" w:eastAsia="Calibri" w:hAnsi="Arial" w:cs="Arial"/>
          <w:sz w:val="24"/>
          <w:szCs w:val="24"/>
        </w:rPr>
        <w:t>a</w:t>
      </w:r>
      <w:r w:rsidR="00AC6123" w:rsidRPr="00F45341">
        <w:rPr>
          <w:rFonts w:ascii="Arial" w:eastAsia="Calibri" w:hAnsi="Arial" w:cs="Arial"/>
          <w:sz w:val="24"/>
          <w:szCs w:val="24"/>
        </w:rPr>
        <w:t>pplicant in writing every 60 calendar days from date of determination of the final amount on progress in retrieving payment.</w:t>
      </w:r>
    </w:p>
    <w:p w14:paraId="3B51A764" w14:textId="77777777" w:rsidR="00BA679D" w:rsidRPr="00F45341" w:rsidRDefault="00BA679D" w:rsidP="00F45341">
      <w:pPr>
        <w:pStyle w:val="ListParagraph"/>
        <w:spacing w:line="240" w:lineRule="auto"/>
        <w:rPr>
          <w:rFonts w:ascii="Arial" w:eastAsia="Calibri" w:hAnsi="Arial" w:cs="Arial"/>
          <w:sz w:val="24"/>
          <w:szCs w:val="24"/>
        </w:rPr>
      </w:pPr>
    </w:p>
    <w:p w14:paraId="468F7853" w14:textId="1D2778F6" w:rsidR="00AC6123" w:rsidRPr="00F45341" w:rsidRDefault="00D342BA" w:rsidP="00F45341">
      <w:pPr>
        <w:spacing w:before="240" w:line="240" w:lineRule="auto"/>
        <w:ind w:left="720" w:hanging="360"/>
        <w:jc w:val="both"/>
        <w:rPr>
          <w:rFonts w:ascii="Arial" w:eastAsia="Calibri" w:hAnsi="Arial" w:cs="Arial"/>
          <w:sz w:val="24"/>
          <w:szCs w:val="24"/>
        </w:rPr>
      </w:pPr>
      <w:r w:rsidRPr="00F45341">
        <w:rPr>
          <w:rFonts w:ascii="Arial" w:eastAsia="Calibri" w:hAnsi="Arial" w:cs="Arial"/>
          <w:sz w:val="24"/>
          <w:szCs w:val="24"/>
        </w:rPr>
        <w:t>10.</w:t>
      </w:r>
      <w:r w:rsidRPr="00F45341">
        <w:rPr>
          <w:rFonts w:ascii="Arial" w:eastAsia="Calibri" w:hAnsi="Arial" w:cs="Arial"/>
          <w:sz w:val="24"/>
          <w:szCs w:val="24"/>
        </w:rPr>
        <w:tab/>
      </w:r>
      <w:r w:rsidR="00AC6123" w:rsidRPr="00F45341">
        <w:rPr>
          <w:rFonts w:ascii="Arial" w:eastAsia="Calibri" w:hAnsi="Arial" w:cs="Arial"/>
          <w:sz w:val="24"/>
          <w:szCs w:val="24"/>
        </w:rPr>
        <w:t xml:space="preserve">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s</w:t>
      </w:r>
      <w:r w:rsidR="00AC6123" w:rsidRPr="00F45341">
        <w:rPr>
          <w:rFonts w:ascii="Arial" w:eastAsia="Calibri" w:hAnsi="Arial" w:cs="Arial"/>
          <w:sz w:val="24"/>
          <w:szCs w:val="24"/>
        </w:rPr>
        <w:t xml:space="preserve">econd, </w:t>
      </w:r>
      <w:r w:rsidR="00EC68CA" w:rsidRPr="00F45341">
        <w:rPr>
          <w:rFonts w:ascii="Arial" w:eastAsia="Calibri" w:hAnsi="Arial" w:cs="Arial"/>
          <w:sz w:val="24"/>
          <w:szCs w:val="24"/>
        </w:rPr>
        <w:t>t</w:t>
      </w:r>
      <w:r w:rsidR="00AC6123" w:rsidRPr="00F45341">
        <w:rPr>
          <w:rFonts w:ascii="Arial" w:eastAsia="Calibri" w:hAnsi="Arial" w:cs="Arial"/>
          <w:sz w:val="24"/>
          <w:szCs w:val="24"/>
        </w:rPr>
        <w:t xml:space="preserve">hird and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ourth </w:t>
      </w:r>
      <w:r w:rsidR="00EC68CA" w:rsidRPr="00F45341">
        <w:rPr>
          <w:rFonts w:ascii="Arial" w:eastAsia="Calibri" w:hAnsi="Arial" w:cs="Arial"/>
          <w:sz w:val="24"/>
          <w:szCs w:val="24"/>
        </w:rPr>
        <w:t>r</w:t>
      </w:r>
      <w:r w:rsidR="00AC6123" w:rsidRPr="00F45341">
        <w:rPr>
          <w:rFonts w:ascii="Arial" w:eastAsia="Calibri" w:hAnsi="Arial" w:cs="Arial"/>
          <w:sz w:val="24"/>
          <w:szCs w:val="24"/>
        </w:rPr>
        <w:t xml:space="preserve">espondents shall report to the court and the </w:t>
      </w:r>
      <w:r w:rsidR="00EC68CA" w:rsidRPr="00F45341">
        <w:rPr>
          <w:rFonts w:ascii="Arial" w:eastAsia="Calibri" w:hAnsi="Arial" w:cs="Arial"/>
          <w:sz w:val="24"/>
          <w:szCs w:val="24"/>
        </w:rPr>
        <w:t>a</w:t>
      </w:r>
      <w:r w:rsidR="00AC6123" w:rsidRPr="00F45341">
        <w:rPr>
          <w:rFonts w:ascii="Arial" w:eastAsia="Calibri" w:hAnsi="Arial" w:cs="Arial"/>
          <w:sz w:val="24"/>
          <w:szCs w:val="24"/>
        </w:rPr>
        <w:t xml:space="preserve">pplicant every 30 calendar days on the status of the final award of the right to harvest the relevant plantation land concerned, until it is reported that a final appointment has been </w:t>
      </w:r>
      <w:proofErr w:type="gramStart"/>
      <w:r w:rsidR="00AC6123" w:rsidRPr="00F45341">
        <w:rPr>
          <w:rFonts w:ascii="Arial" w:eastAsia="Calibri" w:hAnsi="Arial" w:cs="Arial"/>
          <w:sz w:val="24"/>
          <w:szCs w:val="24"/>
        </w:rPr>
        <w:t>made;</w:t>
      </w:r>
      <w:proofErr w:type="gramEnd"/>
    </w:p>
    <w:p w14:paraId="0907EF8F" w14:textId="77777777" w:rsidR="00BA679D" w:rsidRPr="00F45341" w:rsidRDefault="00BA679D" w:rsidP="00F45341">
      <w:pPr>
        <w:pStyle w:val="ListParagraph"/>
        <w:spacing w:before="240" w:line="240" w:lineRule="auto"/>
        <w:jc w:val="both"/>
        <w:rPr>
          <w:rFonts w:ascii="Arial" w:eastAsia="Calibri" w:hAnsi="Arial" w:cs="Arial"/>
          <w:sz w:val="24"/>
          <w:szCs w:val="24"/>
        </w:rPr>
      </w:pPr>
    </w:p>
    <w:p w14:paraId="107DE78A" w14:textId="5F767C5A" w:rsidR="00AC6123" w:rsidRPr="00F45341" w:rsidRDefault="00D342BA" w:rsidP="00F45341">
      <w:pPr>
        <w:spacing w:line="240" w:lineRule="auto"/>
        <w:ind w:left="720" w:hanging="360"/>
        <w:jc w:val="both"/>
        <w:rPr>
          <w:rFonts w:ascii="Arial" w:eastAsia="Calibri" w:hAnsi="Arial" w:cs="Arial"/>
          <w:sz w:val="24"/>
          <w:szCs w:val="24"/>
        </w:rPr>
      </w:pPr>
      <w:r w:rsidRPr="00F45341">
        <w:rPr>
          <w:rFonts w:ascii="Arial" w:eastAsia="Calibri" w:hAnsi="Arial" w:cs="Arial"/>
          <w:sz w:val="24"/>
          <w:szCs w:val="24"/>
        </w:rPr>
        <w:t>11.</w:t>
      </w:r>
      <w:r w:rsidRPr="00F45341">
        <w:rPr>
          <w:rFonts w:ascii="Arial" w:eastAsia="Calibri" w:hAnsi="Arial" w:cs="Arial"/>
          <w:sz w:val="24"/>
          <w:szCs w:val="24"/>
        </w:rPr>
        <w:tab/>
      </w:r>
      <w:r w:rsidR="00AC6123" w:rsidRPr="00F45341">
        <w:rPr>
          <w:rFonts w:ascii="Arial" w:eastAsia="Calibri" w:hAnsi="Arial" w:cs="Arial"/>
          <w:sz w:val="24"/>
          <w:szCs w:val="24"/>
        </w:rPr>
        <w:t xml:space="preserve">The </w:t>
      </w:r>
      <w:r w:rsidR="00EC68CA" w:rsidRPr="00F45341">
        <w:rPr>
          <w:rFonts w:ascii="Arial" w:eastAsia="Calibri" w:hAnsi="Arial" w:cs="Arial"/>
          <w:sz w:val="24"/>
          <w:szCs w:val="24"/>
        </w:rPr>
        <w:t>f</w:t>
      </w:r>
      <w:r w:rsidR="00AC6123" w:rsidRPr="00F45341">
        <w:rPr>
          <w:rFonts w:ascii="Arial" w:eastAsia="Calibri" w:hAnsi="Arial" w:cs="Arial"/>
          <w:sz w:val="24"/>
          <w:szCs w:val="24"/>
        </w:rPr>
        <w:t xml:space="preserve">irst </w:t>
      </w:r>
      <w:r w:rsidR="00EC68CA" w:rsidRPr="00F45341">
        <w:rPr>
          <w:rFonts w:ascii="Arial" w:eastAsia="Calibri" w:hAnsi="Arial" w:cs="Arial"/>
          <w:sz w:val="24"/>
          <w:szCs w:val="24"/>
        </w:rPr>
        <w:t>r</w:t>
      </w:r>
      <w:r w:rsidR="00AC6123" w:rsidRPr="00F45341">
        <w:rPr>
          <w:rFonts w:ascii="Arial" w:eastAsia="Calibri" w:hAnsi="Arial" w:cs="Arial"/>
          <w:sz w:val="24"/>
          <w:szCs w:val="24"/>
        </w:rPr>
        <w:t>espondent is ordered to pay the costs of the application</w:t>
      </w:r>
      <w:r w:rsidR="00EC68CA" w:rsidRPr="00F45341">
        <w:rPr>
          <w:rFonts w:ascii="Arial" w:eastAsia="Calibri" w:hAnsi="Arial" w:cs="Arial"/>
          <w:sz w:val="24"/>
          <w:szCs w:val="24"/>
        </w:rPr>
        <w:t>.</w:t>
      </w:r>
    </w:p>
    <w:bookmarkEnd w:id="0"/>
    <w:p w14:paraId="49286183" w14:textId="77777777" w:rsidR="00C97D4B" w:rsidRPr="00F45341" w:rsidRDefault="00AC6123" w:rsidP="00F45341">
      <w:pPr>
        <w:spacing w:line="240" w:lineRule="auto"/>
        <w:contextualSpacing/>
        <w:rPr>
          <w:rFonts w:ascii="Arial" w:eastAsia="Calibri" w:hAnsi="Arial" w:cs="Arial"/>
          <w:sz w:val="24"/>
          <w:szCs w:val="24"/>
        </w:rPr>
      </w:pPr>
      <w:r w:rsidRPr="00F45341">
        <w:rPr>
          <w:rFonts w:ascii="Arial" w:eastAsia="Calibri" w:hAnsi="Arial" w:cs="Arial"/>
          <w:sz w:val="24"/>
          <w:szCs w:val="24"/>
        </w:rPr>
        <w:t xml:space="preserve"> </w:t>
      </w:r>
      <w:r w:rsidR="00C97D4B" w:rsidRPr="00F45341">
        <w:rPr>
          <w:rFonts w:ascii="Arial" w:eastAsia="Times New Roman" w:hAnsi="Arial" w:cs="Arial"/>
          <w:b/>
          <w:sz w:val="24"/>
          <w:szCs w:val="24"/>
          <w:lang w:eastAsia="en-GB"/>
        </w:rPr>
        <w:t xml:space="preserve">                         </w:t>
      </w:r>
    </w:p>
    <w:p w14:paraId="2D31CA43" w14:textId="77777777" w:rsidR="00C97D4B" w:rsidRPr="00F45341" w:rsidRDefault="00C97D4B" w:rsidP="00F45341">
      <w:pPr>
        <w:spacing w:line="240" w:lineRule="auto"/>
        <w:contextualSpacing/>
        <w:jc w:val="both"/>
        <w:rPr>
          <w:rFonts w:ascii="Arial" w:eastAsia="Calibri" w:hAnsi="Arial" w:cs="Arial"/>
          <w:sz w:val="24"/>
          <w:szCs w:val="24"/>
        </w:rPr>
      </w:pPr>
      <w:r w:rsidRPr="00F45341">
        <w:rPr>
          <w:rFonts w:ascii="Arial" w:eastAsia="Calibri" w:hAnsi="Arial" w:cs="Arial"/>
          <w:b/>
          <w:sz w:val="24"/>
          <w:szCs w:val="24"/>
        </w:rPr>
        <w:t>___________________________________________________________________</w:t>
      </w:r>
    </w:p>
    <w:p w14:paraId="6A2946DA" w14:textId="77777777" w:rsidR="00C97D4B" w:rsidRPr="00F45341" w:rsidRDefault="00C97D4B" w:rsidP="00F45341">
      <w:pPr>
        <w:spacing w:after="0" w:line="240" w:lineRule="auto"/>
        <w:rPr>
          <w:rFonts w:ascii="Arial" w:eastAsia="Calibri" w:hAnsi="Arial" w:cs="Arial"/>
          <w:b/>
          <w:sz w:val="24"/>
          <w:szCs w:val="24"/>
        </w:rPr>
      </w:pPr>
    </w:p>
    <w:p w14:paraId="4C900338" w14:textId="77777777" w:rsidR="00C97D4B" w:rsidRPr="00F45341" w:rsidRDefault="00C97D4B" w:rsidP="00F45341">
      <w:pPr>
        <w:pBdr>
          <w:bottom w:val="single" w:sz="12" w:space="1" w:color="auto"/>
        </w:pBdr>
        <w:spacing w:after="0" w:line="240" w:lineRule="auto"/>
        <w:jc w:val="center"/>
        <w:rPr>
          <w:rFonts w:ascii="Arial" w:eastAsia="Calibri" w:hAnsi="Arial" w:cs="Arial"/>
          <w:b/>
          <w:sz w:val="24"/>
          <w:szCs w:val="24"/>
        </w:rPr>
      </w:pPr>
      <w:r w:rsidRPr="00F45341">
        <w:rPr>
          <w:rFonts w:ascii="Arial" w:eastAsia="Calibri" w:hAnsi="Arial" w:cs="Arial"/>
          <w:b/>
          <w:sz w:val="24"/>
          <w:szCs w:val="24"/>
        </w:rPr>
        <w:t xml:space="preserve">JUDGMENT </w:t>
      </w:r>
    </w:p>
    <w:p w14:paraId="4BD85602" w14:textId="77777777" w:rsidR="00AC6123" w:rsidRPr="00F45341" w:rsidRDefault="004F2AB0" w:rsidP="00F45341">
      <w:pPr>
        <w:pBdr>
          <w:bottom w:val="single" w:sz="12" w:space="1" w:color="auto"/>
        </w:pBdr>
        <w:spacing w:after="0" w:line="240" w:lineRule="auto"/>
        <w:jc w:val="center"/>
        <w:rPr>
          <w:rFonts w:ascii="Arial" w:eastAsia="Calibri" w:hAnsi="Arial" w:cs="Arial"/>
          <w:b/>
          <w:sz w:val="24"/>
          <w:szCs w:val="24"/>
        </w:rPr>
      </w:pPr>
      <w:r w:rsidRPr="00F45341">
        <w:rPr>
          <w:rFonts w:ascii="Arial" w:eastAsia="Calibri" w:hAnsi="Arial" w:cs="Arial"/>
          <w:b/>
          <w:sz w:val="24"/>
          <w:szCs w:val="24"/>
        </w:rPr>
        <w:tab/>
      </w:r>
      <w:r w:rsidRPr="00F45341">
        <w:rPr>
          <w:rFonts w:ascii="Arial" w:eastAsia="Calibri" w:hAnsi="Arial" w:cs="Arial"/>
          <w:b/>
          <w:sz w:val="24"/>
          <w:szCs w:val="24"/>
        </w:rPr>
        <w:tab/>
      </w:r>
      <w:r w:rsidRPr="00F45341">
        <w:rPr>
          <w:rFonts w:ascii="Arial" w:eastAsia="Calibri" w:hAnsi="Arial" w:cs="Arial"/>
          <w:b/>
          <w:sz w:val="24"/>
          <w:szCs w:val="24"/>
        </w:rPr>
        <w:tab/>
      </w:r>
      <w:r w:rsidRPr="00F45341">
        <w:rPr>
          <w:rFonts w:ascii="Arial" w:eastAsia="Calibri" w:hAnsi="Arial" w:cs="Arial"/>
          <w:b/>
          <w:sz w:val="24"/>
          <w:szCs w:val="24"/>
        </w:rPr>
        <w:tab/>
      </w:r>
      <w:r w:rsidRPr="00F45341">
        <w:rPr>
          <w:rFonts w:ascii="Arial" w:eastAsia="Calibri" w:hAnsi="Arial" w:cs="Arial"/>
          <w:b/>
          <w:sz w:val="24"/>
          <w:szCs w:val="24"/>
        </w:rPr>
        <w:tab/>
      </w:r>
      <w:r w:rsidRPr="00F45341">
        <w:rPr>
          <w:rFonts w:ascii="Arial" w:eastAsia="Calibri" w:hAnsi="Arial" w:cs="Arial"/>
          <w:b/>
          <w:sz w:val="24"/>
          <w:szCs w:val="24"/>
        </w:rPr>
        <w:tab/>
      </w:r>
      <w:r w:rsidRPr="00F45341">
        <w:rPr>
          <w:rFonts w:ascii="Arial" w:eastAsia="Calibri" w:hAnsi="Arial" w:cs="Arial"/>
          <w:b/>
          <w:sz w:val="24"/>
          <w:szCs w:val="24"/>
        </w:rPr>
        <w:tab/>
        <w:t>Delivered: 16 May 2024</w:t>
      </w:r>
    </w:p>
    <w:p w14:paraId="45685C53" w14:textId="77777777" w:rsidR="004F2AB0" w:rsidRPr="00F45341" w:rsidRDefault="004F2AB0" w:rsidP="00F45341">
      <w:pPr>
        <w:pBdr>
          <w:bottom w:val="single" w:sz="12" w:space="1" w:color="auto"/>
        </w:pBdr>
        <w:spacing w:after="0" w:line="240" w:lineRule="auto"/>
        <w:jc w:val="center"/>
        <w:rPr>
          <w:rFonts w:ascii="Arial" w:eastAsia="Calibri" w:hAnsi="Arial" w:cs="Arial"/>
          <w:b/>
          <w:sz w:val="24"/>
          <w:szCs w:val="24"/>
        </w:rPr>
      </w:pPr>
    </w:p>
    <w:p w14:paraId="4FAAAE93" w14:textId="77777777" w:rsidR="00AC6123" w:rsidRPr="00F45341" w:rsidRDefault="00AC6123" w:rsidP="00F45341">
      <w:pPr>
        <w:spacing w:line="240" w:lineRule="auto"/>
        <w:contextualSpacing/>
        <w:jc w:val="both"/>
        <w:rPr>
          <w:rFonts w:ascii="Arial" w:eastAsia="Calibri" w:hAnsi="Arial" w:cs="Arial"/>
          <w:b/>
          <w:sz w:val="24"/>
          <w:szCs w:val="24"/>
        </w:rPr>
      </w:pPr>
    </w:p>
    <w:p w14:paraId="61F80FBF" w14:textId="77777777" w:rsidR="00AC6123" w:rsidRPr="00F45341" w:rsidRDefault="00AC6123" w:rsidP="00F45341">
      <w:pPr>
        <w:spacing w:line="240" w:lineRule="auto"/>
        <w:contextualSpacing/>
        <w:jc w:val="both"/>
        <w:rPr>
          <w:rFonts w:ascii="Arial" w:eastAsia="Calibri" w:hAnsi="Arial" w:cs="Arial"/>
          <w:b/>
          <w:sz w:val="24"/>
          <w:szCs w:val="24"/>
        </w:rPr>
      </w:pPr>
      <w:r w:rsidRPr="00F45341">
        <w:rPr>
          <w:rFonts w:ascii="Arial" w:eastAsia="Calibri" w:hAnsi="Arial" w:cs="Arial"/>
          <w:b/>
          <w:sz w:val="24"/>
          <w:szCs w:val="24"/>
        </w:rPr>
        <w:t xml:space="preserve">SABELA AJ </w:t>
      </w:r>
    </w:p>
    <w:p w14:paraId="04810422" w14:textId="77777777" w:rsidR="00AC6123" w:rsidRPr="00F45341" w:rsidRDefault="00AC6123" w:rsidP="00F45341">
      <w:pPr>
        <w:spacing w:line="240" w:lineRule="auto"/>
        <w:contextualSpacing/>
        <w:jc w:val="both"/>
        <w:rPr>
          <w:rFonts w:ascii="Arial" w:eastAsia="Calibri" w:hAnsi="Arial" w:cs="Arial"/>
          <w:b/>
          <w:sz w:val="24"/>
          <w:szCs w:val="24"/>
        </w:rPr>
      </w:pPr>
    </w:p>
    <w:p w14:paraId="6488357C" w14:textId="77777777" w:rsidR="00AC6123" w:rsidRPr="00F45341" w:rsidRDefault="00AC6123" w:rsidP="00F45341">
      <w:pPr>
        <w:spacing w:line="240" w:lineRule="auto"/>
        <w:contextualSpacing/>
        <w:jc w:val="both"/>
        <w:rPr>
          <w:rFonts w:ascii="Arial" w:eastAsia="Calibri" w:hAnsi="Arial" w:cs="Arial"/>
          <w:b/>
          <w:sz w:val="24"/>
          <w:szCs w:val="24"/>
        </w:rPr>
      </w:pPr>
      <w:r w:rsidRPr="00F45341">
        <w:rPr>
          <w:rFonts w:ascii="Arial" w:eastAsia="Calibri" w:hAnsi="Arial" w:cs="Arial"/>
          <w:b/>
          <w:sz w:val="24"/>
          <w:szCs w:val="24"/>
        </w:rPr>
        <w:t>Introduction</w:t>
      </w:r>
    </w:p>
    <w:p w14:paraId="5878CB89" w14:textId="77777777" w:rsidR="00AC6123" w:rsidRPr="00F45341" w:rsidRDefault="00AC6123" w:rsidP="00F45341">
      <w:pPr>
        <w:spacing w:line="240" w:lineRule="auto"/>
        <w:contextualSpacing/>
        <w:jc w:val="both"/>
        <w:rPr>
          <w:rFonts w:ascii="Arial" w:eastAsia="Calibri" w:hAnsi="Arial" w:cs="Arial"/>
          <w:b/>
          <w:sz w:val="24"/>
          <w:szCs w:val="24"/>
        </w:rPr>
      </w:pPr>
    </w:p>
    <w:p w14:paraId="2D25196B" w14:textId="77777777" w:rsidR="00AC6123"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[1]</w:t>
      </w:r>
      <w:r w:rsidRPr="00F45341">
        <w:rPr>
          <w:rFonts w:ascii="Arial" w:eastAsia="Calibri" w:hAnsi="Arial" w:cs="Arial"/>
          <w:sz w:val="24"/>
          <w:szCs w:val="24"/>
        </w:rPr>
        <w:tab/>
        <w:t>This is a review application where in the applicant seeks the following relief:</w:t>
      </w:r>
    </w:p>
    <w:p w14:paraId="034CDEC3" w14:textId="6DC07AE9"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a.</w:t>
      </w:r>
      <w:r w:rsidRPr="00F45341">
        <w:rPr>
          <w:rFonts w:ascii="Arial" w:eastAsia="Calibri" w:hAnsi="Arial" w:cs="Arial"/>
          <w:sz w:val="24"/>
          <w:szCs w:val="24"/>
        </w:rPr>
        <w:tab/>
      </w:r>
      <w:r w:rsidR="00AC6123" w:rsidRPr="00F45341">
        <w:rPr>
          <w:rFonts w:ascii="Arial" w:eastAsia="Calibri" w:hAnsi="Arial" w:cs="Arial"/>
          <w:sz w:val="24"/>
          <w:szCs w:val="24"/>
        </w:rPr>
        <w:t xml:space="preserve">That the decision of the </w:t>
      </w:r>
      <w:r w:rsidR="00E46174" w:rsidRPr="00F45341">
        <w:rPr>
          <w:rFonts w:ascii="Arial" w:eastAsia="Calibri" w:hAnsi="Arial" w:cs="Arial"/>
          <w:sz w:val="24"/>
          <w:szCs w:val="24"/>
        </w:rPr>
        <w:t>f</w:t>
      </w:r>
      <w:r w:rsidR="00AC6123" w:rsidRPr="00F45341">
        <w:rPr>
          <w:rFonts w:ascii="Arial" w:eastAsia="Calibri" w:hAnsi="Arial" w:cs="Arial"/>
          <w:sz w:val="24"/>
          <w:szCs w:val="24"/>
        </w:rPr>
        <w:t xml:space="preserve">irst and/or </w:t>
      </w:r>
      <w:r w:rsidR="00E46174" w:rsidRPr="00F45341">
        <w:rPr>
          <w:rFonts w:ascii="Arial" w:eastAsia="Calibri" w:hAnsi="Arial" w:cs="Arial"/>
          <w:sz w:val="24"/>
          <w:szCs w:val="24"/>
        </w:rPr>
        <w:t>s</w:t>
      </w:r>
      <w:r w:rsidR="00AC6123" w:rsidRPr="00F45341">
        <w:rPr>
          <w:rFonts w:ascii="Arial" w:eastAsia="Calibri" w:hAnsi="Arial" w:cs="Arial"/>
          <w:sz w:val="24"/>
          <w:szCs w:val="24"/>
        </w:rPr>
        <w:t xml:space="preserve">econd and/or </w:t>
      </w:r>
      <w:r w:rsidR="00E46174" w:rsidRPr="00F45341">
        <w:rPr>
          <w:rFonts w:ascii="Arial" w:eastAsia="Calibri" w:hAnsi="Arial" w:cs="Arial"/>
          <w:sz w:val="24"/>
          <w:szCs w:val="24"/>
        </w:rPr>
        <w:t>t</w:t>
      </w:r>
      <w:r w:rsidR="00AC6123" w:rsidRPr="00F45341">
        <w:rPr>
          <w:rFonts w:ascii="Arial" w:eastAsia="Calibri" w:hAnsi="Arial" w:cs="Arial"/>
          <w:sz w:val="24"/>
          <w:szCs w:val="24"/>
        </w:rPr>
        <w:t>hird and/or</w:t>
      </w:r>
      <w:r w:rsidR="0010389A" w:rsidRPr="00F45341">
        <w:rPr>
          <w:rFonts w:ascii="Arial" w:eastAsia="Calibri" w:hAnsi="Arial" w:cs="Arial"/>
          <w:sz w:val="24"/>
          <w:szCs w:val="24"/>
        </w:rPr>
        <w:t xml:space="preserve"> </w:t>
      </w:r>
      <w:r w:rsidR="00E46174" w:rsidRPr="00F45341">
        <w:rPr>
          <w:rFonts w:ascii="Arial" w:eastAsia="Calibri" w:hAnsi="Arial" w:cs="Arial"/>
          <w:sz w:val="24"/>
          <w:szCs w:val="24"/>
        </w:rPr>
        <w:t>f</w:t>
      </w:r>
      <w:r w:rsidR="00AC6123" w:rsidRPr="00F45341">
        <w:rPr>
          <w:rFonts w:ascii="Arial" w:eastAsia="Calibri" w:hAnsi="Arial" w:cs="Arial"/>
          <w:sz w:val="24"/>
          <w:szCs w:val="24"/>
        </w:rPr>
        <w:t xml:space="preserve">ourth </w:t>
      </w:r>
      <w:r w:rsidR="00E46174" w:rsidRPr="00F45341">
        <w:rPr>
          <w:rFonts w:ascii="Arial" w:eastAsia="Calibri" w:hAnsi="Arial" w:cs="Arial"/>
          <w:sz w:val="24"/>
          <w:szCs w:val="24"/>
        </w:rPr>
        <w:t>r</w:t>
      </w:r>
      <w:r w:rsidR="00AC6123" w:rsidRPr="00F45341">
        <w:rPr>
          <w:rFonts w:ascii="Arial" w:eastAsia="Calibri" w:hAnsi="Arial" w:cs="Arial"/>
          <w:sz w:val="24"/>
          <w:szCs w:val="24"/>
        </w:rPr>
        <w:t xml:space="preserve">espondents to appoint the </w:t>
      </w:r>
      <w:r w:rsidR="00E46174" w:rsidRPr="00F45341">
        <w:rPr>
          <w:rFonts w:ascii="Arial" w:eastAsia="Calibri" w:hAnsi="Arial" w:cs="Arial"/>
          <w:sz w:val="24"/>
          <w:szCs w:val="24"/>
        </w:rPr>
        <w:t>f</w:t>
      </w:r>
      <w:r w:rsidR="00AC6123" w:rsidRPr="00F45341">
        <w:rPr>
          <w:rFonts w:ascii="Arial" w:eastAsia="Calibri" w:hAnsi="Arial" w:cs="Arial"/>
          <w:sz w:val="24"/>
          <w:szCs w:val="24"/>
        </w:rPr>
        <w:t xml:space="preserve">ifth </w:t>
      </w:r>
      <w:r w:rsidR="00E46174" w:rsidRPr="00F45341">
        <w:rPr>
          <w:rFonts w:ascii="Arial" w:eastAsia="Calibri" w:hAnsi="Arial" w:cs="Arial"/>
          <w:sz w:val="24"/>
          <w:szCs w:val="24"/>
        </w:rPr>
        <w:t>r</w:t>
      </w:r>
      <w:r w:rsidR="00AC6123" w:rsidRPr="00F45341">
        <w:rPr>
          <w:rFonts w:ascii="Arial" w:eastAsia="Calibri" w:hAnsi="Arial" w:cs="Arial"/>
          <w:sz w:val="24"/>
          <w:szCs w:val="24"/>
        </w:rPr>
        <w:t>espondent as caretaker of forestry operations on the land known as</w:t>
      </w:r>
      <w:r w:rsidR="00E46174" w:rsidRPr="00F45341">
        <w:rPr>
          <w:rFonts w:ascii="Arial" w:eastAsia="Calibri" w:hAnsi="Arial" w:cs="Arial"/>
          <w:sz w:val="24"/>
          <w:szCs w:val="24"/>
        </w:rPr>
        <w:t>:</w:t>
      </w:r>
      <w:r w:rsidR="00AC6123" w:rsidRPr="00F45341">
        <w:rPr>
          <w:rFonts w:ascii="Arial" w:eastAsia="Calibri" w:hAnsi="Arial" w:cs="Arial"/>
          <w:sz w:val="24"/>
          <w:szCs w:val="24"/>
        </w:rPr>
        <w:t xml:space="preserve"> Remainder of Sub-div</w:t>
      </w:r>
      <w:r w:rsidR="0010389A" w:rsidRPr="00F45341">
        <w:rPr>
          <w:rFonts w:ascii="Arial" w:eastAsia="Calibri" w:hAnsi="Arial" w:cs="Arial"/>
          <w:sz w:val="24"/>
          <w:szCs w:val="24"/>
        </w:rPr>
        <w:t>i</w:t>
      </w:r>
      <w:r w:rsidR="00AC6123" w:rsidRPr="00F45341">
        <w:rPr>
          <w:rFonts w:ascii="Arial" w:eastAsia="Calibri" w:hAnsi="Arial" w:cs="Arial"/>
          <w:sz w:val="24"/>
          <w:szCs w:val="24"/>
        </w:rPr>
        <w:t xml:space="preserve">sion 13 of the Farm </w:t>
      </w:r>
      <w:proofErr w:type="spellStart"/>
      <w:r w:rsidR="00AC6123" w:rsidRPr="00F45341">
        <w:rPr>
          <w:rFonts w:ascii="Arial" w:eastAsia="Calibri" w:hAnsi="Arial" w:cs="Arial"/>
          <w:sz w:val="24"/>
          <w:szCs w:val="24"/>
        </w:rPr>
        <w:t>Grootgewacht</w:t>
      </w:r>
      <w:proofErr w:type="spellEnd"/>
      <w:r w:rsidR="00AC6123" w:rsidRPr="00F45341">
        <w:rPr>
          <w:rFonts w:ascii="Arial" w:eastAsia="Calibri" w:hAnsi="Arial" w:cs="Arial"/>
          <w:sz w:val="24"/>
          <w:szCs w:val="24"/>
        </w:rPr>
        <w:t xml:space="preserve"> No.76 and Leasehold No.7 over the Remainder of Vryheid Townlands No.6711 </w:t>
      </w:r>
      <w:r w:rsidR="00AC6123" w:rsidRPr="00F45341">
        <w:rPr>
          <w:rFonts w:ascii="Arial" w:eastAsia="Calibri" w:hAnsi="Arial" w:cs="Arial"/>
          <w:sz w:val="24"/>
          <w:szCs w:val="24"/>
        </w:rPr>
        <w:lastRenderedPageBreak/>
        <w:t>at a Council meeting on 20 November 2020 and any possible agreement/s concluded in this regard be reviewed and set aside</w:t>
      </w:r>
      <w:r w:rsidR="0010389A" w:rsidRPr="00F45341">
        <w:rPr>
          <w:rFonts w:ascii="Arial" w:eastAsia="Calibri" w:hAnsi="Arial" w:cs="Arial"/>
          <w:sz w:val="24"/>
          <w:szCs w:val="24"/>
        </w:rPr>
        <w:t>.</w:t>
      </w:r>
    </w:p>
    <w:p w14:paraId="370A9DDB" w14:textId="09854B35" w:rsidR="00AC612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b.</w:t>
      </w:r>
      <w:r w:rsidRPr="00F45341">
        <w:rPr>
          <w:rFonts w:ascii="Arial" w:eastAsia="Calibri" w:hAnsi="Arial" w:cs="Arial"/>
          <w:sz w:val="24"/>
          <w:szCs w:val="24"/>
        </w:rPr>
        <w:tab/>
      </w:r>
      <w:r w:rsidR="00AC6123" w:rsidRPr="00F45341">
        <w:rPr>
          <w:rFonts w:ascii="Arial" w:eastAsia="Calibri" w:hAnsi="Arial" w:cs="Arial"/>
          <w:sz w:val="24"/>
          <w:szCs w:val="24"/>
        </w:rPr>
        <w:t xml:space="preserve">The first second and third and fourth respondents are ordered to institute action in a competent court against the fifth respondent for the recovery of all loses and or damages resulting </w:t>
      </w:r>
      <w:r w:rsidR="0010389A" w:rsidRPr="00F45341">
        <w:rPr>
          <w:rFonts w:ascii="Arial" w:eastAsia="Calibri" w:hAnsi="Arial" w:cs="Arial"/>
          <w:sz w:val="24"/>
          <w:szCs w:val="24"/>
        </w:rPr>
        <w:t>from</w:t>
      </w:r>
      <w:r w:rsidR="00AC6123" w:rsidRPr="00F45341">
        <w:rPr>
          <w:rFonts w:ascii="Arial" w:eastAsia="Calibri" w:hAnsi="Arial" w:cs="Arial"/>
          <w:sz w:val="24"/>
          <w:szCs w:val="24"/>
        </w:rPr>
        <w:t xml:space="preserve"> the impugned resolution within </w:t>
      </w:r>
      <w:proofErr w:type="gramStart"/>
      <w:r w:rsidR="0010389A" w:rsidRPr="00F45341">
        <w:rPr>
          <w:rFonts w:ascii="Arial" w:eastAsia="Calibri" w:hAnsi="Arial" w:cs="Arial"/>
          <w:sz w:val="24"/>
          <w:szCs w:val="24"/>
        </w:rPr>
        <w:t xml:space="preserve">ten </w:t>
      </w:r>
      <w:r w:rsidR="00AC6123" w:rsidRPr="00F45341">
        <w:rPr>
          <w:rFonts w:ascii="Arial" w:eastAsia="Calibri" w:hAnsi="Arial" w:cs="Arial"/>
          <w:sz w:val="24"/>
          <w:szCs w:val="24"/>
        </w:rPr>
        <w:t xml:space="preserve"> calendar</w:t>
      </w:r>
      <w:proofErr w:type="gramEnd"/>
      <w:r w:rsidR="00AC6123" w:rsidRPr="00F45341">
        <w:rPr>
          <w:rFonts w:ascii="Arial" w:eastAsia="Calibri" w:hAnsi="Arial" w:cs="Arial"/>
          <w:sz w:val="24"/>
          <w:szCs w:val="24"/>
        </w:rPr>
        <w:t xml:space="preserve"> days from the date of this order and pursue such proceedings to finality without delay;</w:t>
      </w:r>
    </w:p>
    <w:p w14:paraId="2D56AB2F" w14:textId="3DF11A8D" w:rsidR="0010389A" w:rsidRPr="00F45341" w:rsidRDefault="00D342BA" w:rsidP="00F45341">
      <w:pPr>
        <w:spacing w:line="240" w:lineRule="auto"/>
        <w:ind w:left="1570" w:hanging="720"/>
        <w:jc w:val="both"/>
        <w:rPr>
          <w:rFonts w:ascii="Arial" w:eastAsia="Calibri" w:hAnsi="Arial" w:cs="Arial"/>
          <w:sz w:val="24"/>
          <w:szCs w:val="24"/>
        </w:rPr>
      </w:pPr>
      <w:proofErr w:type="spellStart"/>
      <w:r w:rsidRPr="00F45341">
        <w:rPr>
          <w:rFonts w:ascii="Arial" w:eastAsia="Calibri" w:hAnsi="Arial" w:cs="Arial"/>
          <w:sz w:val="24"/>
          <w:szCs w:val="24"/>
        </w:rPr>
        <w:t>i</w:t>
      </w:r>
      <w:proofErr w:type="spellEnd"/>
      <w:r w:rsidRPr="00F45341">
        <w:rPr>
          <w:rFonts w:ascii="Arial" w:eastAsia="Calibri" w:hAnsi="Arial" w:cs="Arial"/>
          <w:sz w:val="24"/>
          <w:szCs w:val="24"/>
        </w:rPr>
        <w:t>.</w:t>
      </w:r>
      <w:r w:rsidRPr="00F45341">
        <w:rPr>
          <w:rFonts w:ascii="Arial" w:eastAsia="Calibri" w:hAnsi="Arial" w:cs="Arial"/>
          <w:sz w:val="24"/>
          <w:szCs w:val="24"/>
        </w:rPr>
        <w:tab/>
      </w:r>
      <w:r w:rsidR="00AC6123" w:rsidRPr="00F45341">
        <w:rPr>
          <w:rFonts w:ascii="Arial" w:eastAsia="Calibri" w:hAnsi="Arial" w:cs="Arial"/>
          <w:sz w:val="24"/>
          <w:szCs w:val="24"/>
        </w:rPr>
        <w:t xml:space="preserve">The first, second, third and fourth respondents are ordered to report to this honourable court and the applicant monthly on or before the last day of each consecutive month on the status of the litigation in this regard and the process therein. </w:t>
      </w:r>
    </w:p>
    <w:p w14:paraId="70F205A2" w14:textId="10A8EC41" w:rsidR="00AC6123" w:rsidRPr="00F45341" w:rsidRDefault="00D342BA" w:rsidP="00F45341">
      <w:pPr>
        <w:spacing w:line="240" w:lineRule="auto"/>
        <w:ind w:left="785" w:hanging="360"/>
        <w:contextualSpacing/>
        <w:jc w:val="both"/>
        <w:rPr>
          <w:rFonts w:ascii="Arial" w:eastAsia="Calibri" w:hAnsi="Arial" w:cs="Arial"/>
          <w:sz w:val="24"/>
          <w:szCs w:val="24"/>
        </w:rPr>
      </w:pPr>
      <w:r w:rsidRPr="00F45341">
        <w:rPr>
          <w:rFonts w:ascii="Arial" w:eastAsia="Calibri" w:hAnsi="Arial" w:cs="Arial"/>
          <w:sz w:val="24"/>
          <w:szCs w:val="24"/>
        </w:rPr>
        <w:t>c.</w:t>
      </w:r>
      <w:r w:rsidRPr="00F45341">
        <w:rPr>
          <w:rFonts w:ascii="Arial" w:eastAsia="Calibri" w:hAnsi="Arial" w:cs="Arial"/>
          <w:sz w:val="24"/>
          <w:szCs w:val="24"/>
        </w:rPr>
        <w:tab/>
      </w:r>
      <w:r w:rsidR="00AC6123" w:rsidRPr="00F45341">
        <w:rPr>
          <w:rFonts w:ascii="Arial" w:eastAsia="Calibri" w:hAnsi="Arial" w:cs="Arial"/>
          <w:sz w:val="24"/>
          <w:szCs w:val="24"/>
        </w:rPr>
        <w:t>The first, second, third and fourth respondents are ordered to advertise the relevant tender for a long</w:t>
      </w:r>
      <w:r w:rsidR="0010389A" w:rsidRPr="00F45341">
        <w:rPr>
          <w:rFonts w:ascii="Arial" w:eastAsia="Calibri" w:hAnsi="Arial" w:cs="Arial"/>
          <w:sz w:val="24"/>
          <w:szCs w:val="24"/>
        </w:rPr>
        <w:t>-</w:t>
      </w:r>
      <w:r w:rsidR="00AC6123" w:rsidRPr="00F45341">
        <w:rPr>
          <w:rFonts w:ascii="Arial" w:eastAsia="Calibri" w:hAnsi="Arial" w:cs="Arial"/>
          <w:sz w:val="24"/>
          <w:szCs w:val="24"/>
        </w:rPr>
        <w:t xml:space="preserve">term caretaker/lessee in respect of the plantation within </w:t>
      </w:r>
      <w:proofErr w:type="gramStart"/>
      <w:r w:rsidR="00F3387E" w:rsidRPr="00F45341">
        <w:rPr>
          <w:rFonts w:ascii="Arial" w:eastAsia="Calibri" w:hAnsi="Arial" w:cs="Arial"/>
          <w:sz w:val="24"/>
          <w:szCs w:val="24"/>
        </w:rPr>
        <w:t xml:space="preserve">ten </w:t>
      </w:r>
      <w:r w:rsidR="00AC6123" w:rsidRPr="00F45341">
        <w:rPr>
          <w:rFonts w:ascii="Arial" w:eastAsia="Calibri" w:hAnsi="Arial" w:cs="Arial"/>
          <w:sz w:val="24"/>
          <w:szCs w:val="24"/>
        </w:rPr>
        <w:t xml:space="preserve"> calendar</w:t>
      </w:r>
      <w:proofErr w:type="gramEnd"/>
      <w:r w:rsidR="00AC6123" w:rsidRPr="00F45341">
        <w:rPr>
          <w:rFonts w:ascii="Arial" w:eastAsia="Calibri" w:hAnsi="Arial" w:cs="Arial"/>
          <w:sz w:val="24"/>
          <w:szCs w:val="24"/>
        </w:rPr>
        <w:t xml:space="preserve"> days from date of this order and pursue the procurement process in this regard without delay</w:t>
      </w:r>
      <w:r w:rsidR="00D70751" w:rsidRPr="00F45341">
        <w:rPr>
          <w:rFonts w:ascii="Arial" w:eastAsia="Calibri" w:hAnsi="Arial" w:cs="Arial"/>
          <w:sz w:val="24"/>
          <w:szCs w:val="24"/>
        </w:rPr>
        <w:t>;</w:t>
      </w:r>
    </w:p>
    <w:p w14:paraId="0FCF16B5" w14:textId="73FECA6F" w:rsidR="0010389A" w:rsidRPr="00F45341" w:rsidRDefault="00D342BA" w:rsidP="00F45341">
      <w:pPr>
        <w:spacing w:line="240" w:lineRule="auto"/>
        <w:ind w:left="1570" w:hanging="720"/>
        <w:jc w:val="both"/>
        <w:rPr>
          <w:rFonts w:ascii="Arial" w:eastAsia="Calibri" w:hAnsi="Arial" w:cs="Arial"/>
          <w:sz w:val="24"/>
          <w:szCs w:val="24"/>
        </w:rPr>
      </w:pPr>
      <w:proofErr w:type="spellStart"/>
      <w:r w:rsidRPr="00F45341">
        <w:rPr>
          <w:rFonts w:ascii="Arial" w:eastAsia="Calibri" w:hAnsi="Arial" w:cs="Arial"/>
          <w:sz w:val="24"/>
          <w:szCs w:val="24"/>
        </w:rPr>
        <w:t>i</w:t>
      </w:r>
      <w:proofErr w:type="spellEnd"/>
      <w:r w:rsidRPr="00F45341">
        <w:rPr>
          <w:rFonts w:ascii="Arial" w:eastAsia="Calibri" w:hAnsi="Arial" w:cs="Arial"/>
          <w:sz w:val="24"/>
          <w:szCs w:val="24"/>
        </w:rPr>
        <w:t>.</w:t>
      </w:r>
      <w:r w:rsidRPr="00F45341">
        <w:rPr>
          <w:rFonts w:ascii="Arial" w:eastAsia="Calibri" w:hAnsi="Arial" w:cs="Arial"/>
          <w:sz w:val="24"/>
          <w:szCs w:val="24"/>
        </w:rPr>
        <w:tab/>
      </w:r>
      <w:r w:rsidR="00AC6123" w:rsidRPr="00F45341">
        <w:rPr>
          <w:rFonts w:ascii="Arial" w:eastAsia="Calibri" w:hAnsi="Arial" w:cs="Arial"/>
          <w:sz w:val="24"/>
          <w:szCs w:val="24"/>
        </w:rPr>
        <w:t>The first, second, third and fourth respondents are ordered to report to this honourable court and the applicant monthly on or before the last day of each consecutive month on the status of the tender process in this regard and progress therein.</w:t>
      </w:r>
    </w:p>
    <w:p w14:paraId="16A6E52A" w14:textId="41EA0A8C" w:rsidR="0010389A" w:rsidRPr="00F45341" w:rsidRDefault="00D342BA" w:rsidP="00F45341">
      <w:pPr>
        <w:spacing w:line="240" w:lineRule="auto"/>
        <w:ind w:left="785" w:hanging="360"/>
        <w:contextualSpacing/>
        <w:jc w:val="both"/>
        <w:rPr>
          <w:rFonts w:ascii="Arial" w:eastAsia="Calibri" w:hAnsi="Arial" w:cs="Arial"/>
          <w:sz w:val="24"/>
          <w:szCs w:val="24"/>
        </w:rPr>
      </w:pPr>
      <w:r w:rsidRPr="00F45341">
        <w:rPr>
          <w:rFonts w:ascii="Arial" w:eastAsia="Calibri" w:hAnsi="Arial" w:cs="Arial"/>
          <w:sz w:val="24"/>
          <w:szCs w:val="24"/>
        </w:rPr>
        <w:t>d.</w:t>
      </w:r>
      <w:r w:rsidRPr="00F45341">
        <w:rPr>
          <w:rFonts w:ascii="Arial" w:eastAsia="Calibri" w:hAnsi="Arial" w:cs="Arial"/>
          <w:sz w:val="24"/>
          <w:szCs w:val="24"/>
        </w:rPr>
        <w:tab/>
      </w:r>
      <w:r w:rsidR="00AC6123" w:rsidRPr="00F45341">
        <w:rPr>
          <w:rFonts w:ascii="Arial" w:eastAsia="Calibri" w:hAnsi="Arial" w:cs="Arial"/>
          <w:sz w:val="24"/>
          <w:szCs w:val="24"/>
        </w:rPr>
        <w:t>The first, second, third fourth and fifth respondents are ordered to pay the costs of this application on an attorney and client scale, jointly and severally the one paying the other to be absolved. Costs is only sought against the other respondents in the event of opposition</w:t>
      </w:r>
      <w:r w:rsidR="0010389A" w:rsidRPr="00F45341">
        <w:rPr>
          <w:rFonts w:ascii="Arial" w:eastAsia="Calibri" w:hAnsi="Arial" w:cs="Arial"/>
          <w:sz w:val="24"/>
          <w:szCs w:val="24"/>
        </w:rPr>
        <w:t>.</w:t>
      </w:r>
    </w:p>
    <w:p w14:paraId="1BB233B5" w14:textId="3A67F9E1" w:rsidR="00AC6123" w:rsidRPr="00F45341" w:rsidRDefault="00D342BA" w:rsidP="00F45341">
      <w:pPr>
        <w:spacing w:line="240" w:lineRule="auto"/>
        <w:ind w:left="785" w:hanging="360"/>
        <w:contextualSpacing/>
        <w:jc w:val="both"/>
        <w:rPr>
          <w:rFonts w:ascii="Arial" w:eastAsia="Calibri" w:hAnsi="Arial" w:cs="Arial"/>
          <w:sz w:val="24"/>
          <w:szCs w:val="24"/>
        </w:rPr>
      </w:pPr>
      <w:r w:rsidRPr="00F45341">
        <w:rPr>
          <w:rFonts w:ascii="Arial" w:eastAsia="Calibri" w:hAnsi="Arial" w:cs="Arial"/>
          <w:sz w:val="24"/>
          <w:szCs w:val="24"/>
        </w:rPr>
        <w:t>e.</w:t>
      </w:r>
      <w:r w:rsidRPr="00F45341">
        <w:rPr>
          <w:rFonts w:ascii="Arial" w:eastAsia="Calibri" w:hAnsi="Arial" w:cs="Arial"/>
          <w:sz w:val="24"/>
          <w:szCs w:val="24"/>
        </w:rPr>
        <w:tab/>
      </w:r>
      <w:r w:rsidR="00AC6123" w:rsidRPr="00F45341">
        <w:rPr>
          <w:rFonts w:ascii="Arial" w:eastAsia="Calibri" w:hAnsi="Arial" w:cs="Arial"/>
          <w:sz w:val="24"/>
          <w:szCs w:val="24"/>
        </w:rPr>
        <w:t xml:space="preserve">Further and/or alternative relief. </w:t>
      </w:r>
    </w:p>
    <w:p w14:paraId="1E766A1E" w14:textId="77777777" w:rsidR="00AC6123" w:rsidRPr="00F45341" w:rsidRDefault="00AC6123" w:rsidP="00F45341">
      <w:pPr>
        <w:spacing w:line="240" w:lineRule="auto"/>
        <w:ind w:left="425"/>
        <w:contextualSpacing/>
        <w:jc w:val="both"/>
        <w:rPr>
          <w:rFonts w:ascii="Arial" w:eastAsia="Calibri" w:hAnsi="Arial" w:cs="Arial"/>
          <w:sz w:val="24"/>
          <w:szCs w:val="24"/>
        </w:rPr>
      </w:pPr>
      <w:r w:rsidRPr="00F45341">
        <w:rPr>
          <w:rFonts w:ascii="Arial" w:eastAsia="Calibri" w:hAnsi="Arial" w:cs="Arial"/>
          <w:sz w:val="24"/>
          <w:szCs w:val="24"/>
        </w:rPr>
        <w:t xml:space="preserve">The application is opposed by the first to the fourth respondents. The review is in terms principles of legality despite the applicant contending that it is also in terms of Promotion of Access to Justice Act 3 of 2000 </w:t>
      </w:r>
      <w:r w:rsidR="00992C3F" w:rsidRPr="00F45341">
        <w:rPr>
          <w:rFonts w:ascii="Arial" w:eastAsia="Calibri" w:hAnsi="Arial" w:cs="Arial"/>
          <w:sz w:val="24"/>
          <w:szCs w:val="24"/>
        </w:rPr>
        <w:t>(</w:t>
      </w:r>
      <w:r w:rsidRPr="00F45341">
        <w:rPr>
          <w:rFonts w:ascii="Arial" w:eastAsia="Calibri" w:hAnsi="Arial" w:cs="Arial"/>
          <w:sz w:val="24"/>
          <w:szCs w:val="24"/>
        </w:rPr>
        <w:t>PAJA</w:t>
      </w:r>
      <w:r w:rsidR="00992C3F" w:rsidRPr="00F45341">
        <w:rPr>
          <w:rFonts w:ascii="Arial" w:eastAsia="Calibri" w:hAnsi="Arial" w:cs="Arial"/>
          <w:sz w:val="24"/>
          <w:szCs w:val="24"/>
        </w:rPr>
        <w:t>)</w:t>
      </w:r>
      <w:r w:rsidRPr="00F45341">
        <w:rPr>
          <w:rFonts w:ascii="Arial" w:eastAsia="Calibri" w:hAnsi="Arial" w:cs="Arial"/>
          <w:sz w:val="24"/>
          <w:szCs w:val="24"/>
        </w:rPr>
        <w:t>. S 1 of PAJA specifically excludes decisions of Municipalities from the application of PAJA.</w:t>
      </w:r>
    </w:p>
    <w:p w14:paraId="3FD1BFB0" w14:textId="77777777" w:rsidR="00AC6123" w:rsidRPr="00F45341" w:rsidRDefault="00AC6123" w:rsidP="00F45341">
      <w:pPr>
        <w:spacing w:line="240" w:lineRule="auto"/>
        <w:contextualSpacing/>
        <w:jc w:val="both"/>
        <w:rPr>
          <w:rFonts w:ascii="Arial" w:eastAsia="Calibri" w:hAnsi="Arial" w:cs="Arial"/>
          <w:sz w:val="24"/>
          <w:szCs w:val="24"/>
        </w:rPr>
      </w:pPr>
    </w:p>
    <w:p w14:paraId="6CB3A504" w14:textId="77777777" w:rsidR="00F3566A" w:rsidRPr="00F45341" w:rsidRDefault="00F3566A" w:rsidP="00F45341">
      <w:pPr>
        <w:spacing w:line="240" w:lineRule="auto"/>
        <w:contextualSpacing/>
        <w:jc w:val="both"/>
        <w:rPr>
          <w:rFonts w:ascii="Arial" w:eastAsia="Calibri" w:hAnsi="Arial" w:cs="Arial"/>
          <w:sz w:val="24"/>
          <w:szCs w:val="24"/>
        </w:rPr>
      </w:pPr>
    </w:p>
    <w:p w14:paraId="42CE81BD" w14:textId="77777777" w:rsidR="00AC6123" w:rsidRPr="00F45341" w:rsidRDefault="00AC6123" w:rsidP="00F45341">
      <w:pPr>
        <w:spacing w:line="240" w:lineRule="auto"/>
        <w:contextualSpacing/>
        <w:jc w:val="both"/>
        <w:rPr>
          <w:rFonts w:ascii="Arial" w:eastAsia="Calibri" w:hAnsi="Arial" w:cs="Arial"/>
          <w:b/>
          <w:sz w:val="24"/>
          <w:szCs w:val="24"/>
        </w:rPr>
      </w:pPr>
      <w:r w:rsidRPr="00F45341">
        <w:rPr>
          <w:rFonts w:ascii="Arial" w:eastAsia="Calibri" w:hAnsi="Arial" w:cs="Arial"/>
          <w:b/>
          <w:sz w:val="24"/>
          <w:szCs w:val="24"/>
        </w:rPr>
        <w:t>The Parties</w:t>
      </w:r>
    </w:p>
    <w:p w14:paraId="07541019" w14:textId="77777777" w:rsidR="001724D7" w:rsidRPr="00F45341" w:rsidRDefault="001724D7" w:rsidP="00F45341">
      <w:pPr>
        <w:spacing w:line="240" w:lineRule="auto"/>
        <w:contextualSpacing/>
        <w:jc w:val="both"/>
        <w:rPr>
          <w:rFonts w:ascii="Arial" w:eastAsia="Calibri" w:hAnsi="Arial" w:cs="Arial"/>
          <w:b/>
          <w:sz w:val="24"/>
          <w:szCs w:val="24"/>
        </w:rPr>
      </w:pPr>
    </w:p>
    <w:p w14:paraId="3EFA39CB" w14:textId="77777777" w:rsidR="00AC6123"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[2]</w:t>
      </w:r>
      <w:r w:rsidRPr="00F45341">
        <w:rPr>
          <w:rFonts w:ascii="Arial" w:eastAsia="Calibri" w:hAnsi="Arial" w:cs="Arial"/>
          <w:sz w:val="24"/>
          <w:szCs w:val="24"/>
        </w:rPr>
        <w:tab/>
        <w:t xml:space="preserve">The applicant </w:t>
      </w:r>
      <w:proofErr w:type="spellStart"/>
      <w:r w:rsidRPr="00F45341">
        <w:rPr>
          <w:rFonts w:ascii="Arial" w:eastAsia="Calibri" w:hAnsi="Arial" w:cs="Arial"/>
          <w:sz w:val="24"/>
          <w:szCs w:val="24"/>
        </w:rPr>
        <w:t>Afriforum</w:t>
      </w:r>
      <w:proofErr w:type="spellEnd"/>
      <w:r w:rsidRPr="00F45341">
        <w:rPr>
          <w:rFonts w:ascii="Arial" w:eastAsia="Calibri" w:hAnsi="Arial" w:cs="Arial"/>
          <w:sz w:val="24"/>
          <w:szCs w:val="24"/>
        </w:rPr>
        <w:t xml:space="preserve"> NPC, a is a non-profit organisation registered in accordance with the relevant laws of this country and brings this application in terms of s 38(d) of the Constitution</w:t>
      </w:r>
      <w:r w:rsidR="007B49B1" w:rsidRPr="00F45341">
        <w:rPr>
          <w:rFonts w:ascii="Arial" w:eastAsia="Calibri" w:hAnsi="Arial" w:cs="Arial"/>
          <w:sz w:val="24"/>
          <w:szCs w:val="24"/>
        </w:rPr>
        <w:t>, 1996 (the Constitution)</w:t>
      </w:r>
      <w:r w:rsidRPr="00F45341">
        <w:rPr>
          <w:rFonts w:ascii="Arial" w:eastAsia="Calibri" w:hAnsi="Arial" w:cs="Arial"/>
          <w:sz w:val="24"/>
          <w:szCs w:val="24"/>
        </w:rPr>
        <w:t xml:space="preserve"> which allows for a party to launch an application acting in the public. The </w:t>
      </w:r>
      <w:r w:rsidR="0010389A" w:rsidRPr="00F45341">
        <w:rPr>
          <w:rFonts w:ascii="Arial" w:eastAsia="Calibri" w:hAnsi="Arial" w:cs="Arial"/>
          <w:sz w:val="24"/>
          <w:szCs w:val="24"/>
        </w:rPr>
        <w:t>f</w:t>
      </w:r>
      <w:r w:rsidRPr="00F45341">
        <w:rPr>
          <w:rFonts w:ascii="Arial" w:eastAsia="Calibri" w:hAnsi="Arial" w:cs="Arial"/>
          <w:sz w:val="24"/>
          <w:szCs w:val="24"/>
        </w:rPr>
        <w:t>irst respondent is a local municipality as contemplated in s</w:t>
      </w:r>
      <w:r w:rsidR="0010389A" w:rsidRPr="00F45341">
        <w:rPr>
          <w:rFonts w:ascii="Arial" w:eastAsia="Calibri" w:hAnsi="Arial" w:cs="Arial"/>
          <w:sz w:val="24"/>
          <w:szCs w:val="24"/>
        </w:rPr>
        <w:t xml:space="preserve"> </w:t>
      </w:r>
      <w:r w:rsidRPr="00F45341">
        <w:rPr>
          <w:rFonts w:ascii="Arial" w:eastAsia="Calibri" w:hAnsi="Arial" w:cs="Arial"/>
          <w:sz w:val="24"/>
          <w:szCs w:val="24"/>
        </w:rPr>
        <w:t xml:space="preserve">2 of the Local Government: Municipal Systems Act 32 of 2000 (the </w:t>
      </w:r>
      <w:r w:rsidR="00CA58F3" w:rsidRPr="00F45341">
        <w:rPr>
          <w:rFonts w:ascii="Arial" w:eastAsia="Calibri" w:hAnsi="Arial" w:cs="Arial"/>
          <w:sz w:val="24"/>
          <w:szCs w:val="24"/>
        </w:rPr>
        <w:t>Systems Act)</w:t>
      </w:r>
      <w:r w:rsidRPr="00F45341">
        <w:rPr>
          <w:rFonts w:ascii="Arial" w:eastAsia="Calibri" w:hAnsi="Arial" w:cs="Arial"/>
          <w:sz w:val="24"/>
          <w:szCs w:val="24"/>
        </w:rPr>
        <w:t>, the second respondent is a municipal manager of the first respondent, the third respondent is the administrator of the first respondent, the fourth respondent is the municipal council of the first respondent appointed in terms of the</w:t>
      </w:r>
      <w:r w:rsidR="00CA58F3" w:rsidRPr="00F45341">
        <w:rPr>
          <w:rFonts w:ascii="Arial" w:eastAsia="Calibri" w:hAnsi="Arial" w:cs="Arial"/>
          <w:sz w:val="24"/>
          <w:szCs w:val="24"/>
        </w:rPr>
        <w:t xml:space="preserve"> Systems Act</w:t>
      </w:r>
      <w:r w:rsidRPr="00F45341">
        <w:rPr>
          <w:rFonts w:ascii="Arial" w:eastAsia="Calibri" w:hAnsi="Arial" w:cs="Arial"/>
          <w:sz w:val="24"/>
          <w:szCs w:val="24"/>
        </w:rPr>
        <w:t xml:space="preserve">, the fifth respondent is an adult male who was appointed by the second respondent , the sixth respondent is the </w:t>
      </w:r>
      <w:r w:rsidR="00F3387E" w:rsidRPr="00F45341">
        <w:rPr>
          <w:rFonts w:ascii="Arial" w:eastAsia="Calibri" w:hAnsi="Arial" w:cs="Arial"/>
          <w:sz w:val="24"/>
          <w:szCs w:val="24"/>
        </w:rPr>
        <w:t>m</w:t>
      </w:r>
      <w:r w:rsidRPr="00F45341">
        <w:rPr>
          <w:rFonts w:ascii="Arial" w:eastAsia="Calibri" w:hAnsi="Arial" w:cs="Arial"/>
          <w:sz w:val="24"/>
          <w:szCs w:val="24"/>
        </w:rPr>
        <w:t xml:space="preserve">ember of </w:t>
      </w:r>
      <w:r w:rsidR="00F3387E" w:rsidRPr="00F45341">
        <w:rPr>
          <w:rFonts w:ascii="Arial" w:eastAsia="Calibri" w:hAnsi="Arial" w:cs="Arial"/>
          <w:sz w:val="24"/>
          <w:szCs w:val="24"/>
        </w:rPr>
        <w:t>e</w:t>
      </w:r>
      <w:r w:rsidRPr="00F45341">
        <w:rPr>
          <w:rFonts w:ascii="Arial" w:eastAsia="Calibri" w:hAnsi="Arial" w:cs="Arial"/>
          <w:sz w:val="24"/>
          <w:szCs w:val="24"/>
        </w:rPr>
        <w:t xml:space="preserve">xecutive </w:t>
      </w:r>
      <w:r w:rsidR="00F3387E" w:rsidRPr="00F45341">
        <w:rPr>
          <w:rFonts w:ascii="Arial" w:eastAsia="Calibri" w:hAnsi="Arial" w:cs="Arial"/>
          <w:sz w:val="24"/>
          <w:szCs w:val="24"/>
        </w:rPr>
        <w:t>c</w:t>
      </w:r>
      <w:r w:rsidRPr="00F45341">
        <w:rPr>
          <w:rFonts w:ascii="Arial" w:eastAsia="Calibri" w:hAnsi="Arial" w:cs="Arial"/>
          <w:sz w:val="24"/>
          <w:szCs w:val="24"/>
        </w:rPr>
        <w:t xml:space="preserve">ouncil responsible for Co-operative Government and Traditional Affairs in the </w:t>
      </w:r>
      <w:r w:rsidR="00F3387E" w:rsidRPr="00F45341">
        <w:rPr>
          <w:rFonts w:ascii="Arial" w:eastAsia="Calibri" w:hAnsi="Arial" w:cs="Arial"/>
          <w:sz w:val="24"/>
          <w:szCs w:val="24"/>
        </w:rPr>
        <w:t>p</w:t>
      </w:r>
      <w:r w:rsidRPr="00F45341">
        <w:rPr>
          <w:rFonts w:ascii="Arial" w:eastAsia="Calibri" w:hAnsi="Arial" w:cs="Arial"/>
          <w:sz w:val="24"/>
          <w:szCs w:val="24"/>
        </w:rPr>
        <w:t xml:space="preserve">rovince of KwaZulu-Natal and the seventh respondent is a cabinet minister responsible </w:t>
      </w:r>
      <w:r w:rsidR="00F3387E" w:rsidRPr="00F45341">
        <w:rPr>
          <w:rFonts w:ascii="Arial" w:eastAsia="Calibri" w:hAnsi="Arial" w:cs="Arial"/>
          <w:sz w:val="24"/>
          <w:szCs w:val="24"/>
        </w:rPr>
        <w:t xml:space="preserve">for </w:t>
      </w:r>
      <w:r w:rsidRPr="00F45341">
        <w:rPr>
          <w:rFonts w:ascii="Arial" w:eastAsia="Calibri" w:hAnsi="Arial" w:cs="Arial"/>
          <w:sz w:val="24"/>
          <w:szCs w:val="24"/>
        </w:rPr>
        <w:t xml:space="preserve">Co-operative Government and Traditional Affairs. For purposes of this judgment the first to fourth respondents will jointly be referred to as ‘the </w:t>
      </w:r>
      <w:proofErr w:type="gramStart"/>
      <w:r w:rsidRPr="00F45341">
        <w:rPr>
          <w:rFonts w:ascii="Arial" w:eastAsia="Calibri" w:hAnsi="Arial" w:cs="Arial"/>
          <w:sz w:val="24"/>
          <w:szCs w:val="24"/>
        </w:rPr>
        <w:t>respondents’</w:t>
      </w:r>
      <w:proofErr w:type="gramEnd"/>
      <w:r w:rsidRPr="00F45341">
        <w:rPr>
          <w:rFonts w:ascii="Arial" w:eastAsia="Calibri" w:hAnsi="Arial" w:cs="Arial"/>
          <w:sz w:val="24"/>
          <w:szCs w:val="24"/>
        </w:rPr>
        <w:t xml:space="preserve">. </w:t>
      </w:r>
    </w:p>
    <w:p w14:paraId="2087E8C1" w14:textId="77777777" w:rsidR="00AC6123" w:rsidRPr="00F45341" w:rsidRDefault="00AC6123" w:rsidP="00F45341">
      <w:pPr>
        <w:spacing w:line="240" w:lineRule="auto"/>
        <w:contextualSpacing/>
        <w:jc w:val="both"/>
        <w:rPr>
          <w:rFonts w:ascii="Arial" w:eastAsia="Calibri" w:hAnsi="Arial" w:cs="Arial"/>
          <w:b/>
          <w:sz w:val="24"/>
          <w:szCs w:val="24"/>
        </w:rPr>
      </w:pPr>
    </w:p>
    <w:p w14:paraId="18F8FCF2" w14:textId="77777777" w:rsidR="0090427C" w:rsidRPr="00F45341" w:rsidRDefault="0090427C" w:rsidP="00F45341">
      <w:pPr>
        <w:spacing w:line="240" w:lineRule="auto"/>
        <w:contextualSpacing/>
        <w:jc w:val="both"/>
        <w:rPr>
          <w:rFonts w:ascii="Arial" w:eastAsia="Calibri" w:hAnsi="Arial" w:cs="Arial"/>
          <w:b/>
          <w:sz w:val="24"/>
          <w:szCs w:val="24"/>
        </w:rPr>
      </w:pPr>
    </w:p>
    <w:p w14:paraId="230C98AC" w14:textId="77777777" w:rsidR="00AC6123" w:rsidRPr="00F45341" w:rsidRDefault="00AC6123" w:rsidP="00F45341">
      <w:pPr>
        <w:spacing w:line="240" w:lineRule="auto"/>
        <w:contextualSpacing/>
        <w:jc w:val="both"/>
        <w:rPr>
          <w:rFonts w:ascii="Arial" w:eastAsia="Calibri" w:hAnsi="Arial" w:cs="Arial"/>
          <w:b/>
          <w:sz w:val="24"/>
          <w:szCs w:val="24"/>
        </w:rPr>
      </w:pPr>
      <w:r w:rsidRPr="00F45341">
        <w:rPr>
          <w:rFonts w:ascii="Arial" w:eastAsia="Calibri" w:hAnsi="Arial" w:cs="Arial"/>
          <w:b/>
          <w:sz w:val="24"/>
          <w:szCs w:val="24"/>
        </w:rPr>
        <w:lastRenderedPageBreak/>
        <w:t xml:space="preserve">The facts  </w:t>
      </w:r>
    </w:p>
    <w:p w14:paraId="3549C046" w14:textId="77777777" w:rsidR="00AC6123" w:rsidRPr="00F45341" w:rsidRDefault="00AC6123" w:rsidP="00F45341">
      <w:pPr>
        <w:spacing w:line="240" w:lineRule="auto"/>
        <w:contextualSpacing/>
        <w:jc w:val="both"/>
        <w:rPr>
          <w:rFonts w:ascii="Arial" w:eastAsia="Calibri" w:hAnsi="Arial" w:cs="Arial"/>
          <w:sz w:val="24"/>
          <w:szCs w:val="24"/>
        </w:rPr>
      </w:pPr>
    </w:p>
    <w:p w14:paraId="69620356" w14:textId="77777777" w:rsidR="0057481D" w:rsidRPr="00F45341" w:rsidRDefault="00EB1EAA" w:rsidP="00F45341">
      <w:pPr>
        <w:spacing w:line="240" w:lineRule="auto"/>
        <w:contextualSpacing/>
        <w:jc w:val="both"/>
        <w:rPr>
          <w:rFonts w:ascii="Arial" w:eastAsia="Calibri" w:hAnsi="Arial" w:cs="Arial"/>
          <w:sz w:val="24"/>
          <w:szCs w:val="24"/>
        </w:rPr>
      </w:pPr>
      <w:r w:rsidRPr="00F45341" w:rsidDel="00EB1EAA">
        <w:rPr>
          <w:rFonts w:ascii="Arial" w:eastAsia="Calibri" w:hAnsi="Arial" w:cs="Arial"/>
          <w:sz w:val="24"/>
          <w:szCs w:val="24"/>
        </w:rPr>
        <w:t xml:space="preserve"> </w:t>
      </w:r>
      <w:r w:rsidR="00553D2E" w:rsidRPr="00F45341">
        <w:rPr>
          <w:rFonts w:ascii="Arial" w:eastAsia="Calibri" w:hAnsi="Arial" w:cs="Arial"/>
          <w:sz w:val="24"/>
          <w:szCs w:val="24"/>
        </w:rPr>
        <w:t>[</w:t>
      </w:r>
      <w:r w:rsidR="00697345" w:rsidRPr="00F45341">
        <w:rPr>
          <w:rFonts w:ascii="Arial" w:eastAsia="Calibri" w:hAnsi="Arial" w:cs="Arial"/>
          <w:sz w:val="24"/>
          <w:szCs w:val="24"/>
        </w:rPr>
        <w:t>3</w:t>
      </w:r>
      <w:r w:rsidR="00F52C71" w:rsidRPr="00F45341">
        <w:rPr>
          <w:rFonts w:ascii="Arial" w:eastAsia="Calibri" w:hAnsi="Arial" w:cs="Arial"/>
          <w:sz w:val="24"/>
          <w:szCs w:val="24"/>
        </w:rPr>
        <w:t>]</w:t>
      </w:r>
      <w:r w:rsidR="00C97D4B" w:rsidRPr="00F45341">
        <w:rPr>
          <w:rFonts w:ascii="Arial" w:eastAsia="Calibri" w:hAnsi="Arial" w:cs="Arial"/>
          <w:sz w:val="24"/>
          <w:szCs w:val="24"/>
        </w:rPr>
        <w:t xml:space="preserve"> </w:t>
      </w:r>
      <w:r w:rsidR="00F52C71" w:rsidRPr="00F45341">
        <w:rPr>
          <w:rFonts w:ascii="Arial" w:eastAsia="Calibri" w:hAnsi="Arial" w:cs="Arial"/>
          <w:sz w:val="24"/>
          <w:szCs w:val="24"/>
        </w:rPr>
        <w:t xml:space="preserve">   </w:t>
      </w:r>
      <w:r w:rsidR="00EB21B7" w:rsidRPr="00F45341">
        <w:rPr>
          <w:rFonts w:ascii="Arial" w:eastAsia="Calibri" w:hAnsi="Arial" w:cs="Arial"/>
          <w:sz w:val="24"/>
          <w:szCs w:val="24"/>
        </w:rPr>
        <w:t xml:space="preserve"> </w:t>
      </w:r>
      <w:r w:rsidR="0057481D" w:rsidRPr="00F45341">
        <w:rPr>
          <w:rFonts w:ascii="Arial" w:eastAsia="Calibri" w:hAnsi="Arial" w:cs="Arial"/>
          <w:sz w:val="24"/>
          <w:szCs w:val="24"/>
        </w:rPr>
        <w:t xml:space="preserve">As part of its activities and functions, the first respondent operates plantation land of over five hundred </w:t>
      </w:r>
      <w:r w:rsidR="00750678" w:rsidRPr="00F45341">
        <w:rPr>
          <w:rFonts w:ascii="Arial" w:eastAsia="Calibri" w:hAnsi="Arial" w:cs="Arial"/>
          <w:sz w:val="24"/>
          <w:szCs w:val="24"/>
        </w:rPr>
        <w:t>hectares</w:t>
      </w:r>
      <w:r w:rsidR="0057481D" w:rsidRPr="00F45341">
        <w:rPr>
          <w:rFonts w:ascii="Arial" w:eastAsia="Calibri" w:hAnsi="Arial" w:cs="Arial"/>
          <w:sz w:val="24"/>
          <w:szCs w:val="24"/>
        </w:rPr>
        <w:t xml:space="preserve">. Planted in the plantation </w:t>
      </w:r>
      <w:proofErr w:type="gramStart"/>
      <w:r w:rsidR="004E2DFC" w:rsidRPr="00F45341">
        <w:rPr>
          <w:rFonts w:ascii="Arial" w:eastAsia="Calibri" w:hAnsi="Arial" w:cs="Arial"/>
          <w:sz w:val="24"/>
          <w:szCs w:val="24"/>
        </w:rPr>
        <w:t xml:space="preserve">are </w:t>
      </w:r>
      <w:r w:rsidR="0057481D" w:rsidRPr="00F45341">
        <w:rPr>
          <w:rFonts w:ascii="Arial" w:eastAsia="Calibri" w:hAnsi="Arial" w:cs="Arial"/>
          <w:sz w:val="24"/>
          <w:szCs w:val="24"/>
        </w:rPr>
        <w:t xml:space="preserve"> pine</w:t>
      </w:r>
      <w:proofErr w:type="gramEnd"/>
      <w:r w:rsidR="0057481D" w:rsidRPr="00F45341">
        <w:rPr>
          <w:rFonts w:ascii="Arial" w:eastAsia="Calibri" w:hAnsi="Arial" w:cs="Arial"/>
          <w:sz w:val="24"/>
          <w:szCs w:val="24"/>
        </w:rPr>
        <w:t>, eucalyptus and black wattle trees. A 30</w:t>
      </w:r>
      <w:r w:rsidR="0010389A" w:rsidRPr="00F45341">
        <w:rPr>
          <w:rFonts w:ascii="Arial" w:eastAsia="Calibri" w:hAnsi="Arial" w:cs="Arial"/>
          <w:sz w:val="24"/>
          <w:szCs w:val="24"/>
        </w:rPr>
        <w:t>-</w:t>
      </w:r>
      <w:r w:rsidR="0057481D" w:rsidRPr="00F45341">
        <w:rPr>
          <w:rFonts w:ascii="Arial" w:eastAsia="Calibri" w:hAnsi="Arial" w:cs="Arial"/>
          <w:sz w:val="24"/>
          <w:szCs w:val="24"/>
        </w:rPr>
        <w:t xml:space="preserve">year lease agreement was concluded with </w:t>
      </w:r>
      <w:proofErr w:type="spellStart"/>
      <w:r w:rsidR="0057481D" w:rsidRPr="00F45341">
        <w:rPr>
          <w:rFonts w:ascii="Arial" w:eastAsia="Calibri" w:hAnsi="Arial" w:cs="Arial"/>
          <w:sz w:val="24"/>
          <w:szCs w:val="24"/>
        </w:rPr>
        <w:t>Woodbasket</w:t>
      </w:r>
      <w:proofErr w:type="spellEnd"/>
      <w:r w:rsidR="0057481D" w:rsidRPr="00F45341">
        <w:rPr>
          <w:rFonts w:ascii="Arial" w:eastAsia="Calibri" w:hAnsi="Arial" w:cs="Arial"/>
          <w:sz w:val="24"/>
          <w:szCs w:val="24"/>
        </w:rPr>
        <w:t xml:space="preserve"> (Pty) Ltd which ended on 30 October 2021.</w:t>
      </w:r>
      <w:r w:rsidR="00373289" w:rsidRPr="00F45341">
        <w:rPr>
          <w:rFonts w:ascii="Arial" w:eastAsia="Calibri" w:hAnsi="Arial" w:cs="Arial"/>
          <w:sz w:val="24"/>
          <w:szCs w:val="24"/>
        </w:rPr>
        <w:t xml:space="preserve"> </w:t>
      </w:r>
      <w:r w:rsidR="00905067" w:rsidRPr="00F45341">
        <w:rPr>
          <w:rFonts w:ascii="Arial" w:eastAsia="Calibri" w:hAnsi="Arial" w:cs="Arial"/>
          <w:sz w:val="24"/>
          <w:szCs w:val="24"/>
        </w:rPr>
        <w:t xml:space="preserve">The expiry of the lease agreement could not have invoked an emergency since it was always known that it would expire after </w:t>
      </w:r>
      <w:proofErr w:type="gramStart"/>
      <w:r w:rsidR="004E2DFC" w:rsidRPr="00F45341">
        <w:rPr>
          <w:rFonts w:ascii="Arial" w:eastAsia="Calibri" w:hAnsi="Arial" w:cs="Arial"/>
          <w:sz w:val="24"/>
          <w:szCs w:val="24"/>
        </w:rPr>
        <w:t xml:space="preserve">30 </w:t>
      </w:r>
      <w:r w:rsidR="00905067" w:rsidRPr="00F45341">
        <w:rPr>
          <w:rFonts w:ascii="Arial" w:eastAsia="Calibri" w:hAnsi="Arial" w:cs="Arial"/>
          <w:sz w:val="24"/>
          <w:szCs w:val="24"/>
        </w:rPr>
        <w:t xml:space="preserve"> years</w:t>
      </w:r>
      <w:proofErr w:type="gramEnd"/>
      <w:r w:rsidR="00905067" w:rsidRPr="00F45341">
        <w:rPr>
          <w:rFonts w:ascii="Arial" w:eastAsia="Calibri" w:hAnsi="Arial" w:cs="Arial"/>
          <w:sz w:val="24"/>
          <w:szCs w:val="24"/>
        </w:rPr>
        <w:t xml:space="preserve">. </w:t>
      </w:r>
      <w:r w:rsidR="00373289" w:rsidRPr="00F45341">
        <w:rPr>
          <w:rFonts w:ascii="Arial" w:eastAsia="Calibri" w:hAnsi="Arial" w:cs="Arial"/>
          <w:sz w:val="24"/>
          <w:szCs w:val="24"/>
        </w:rPr>
        <w:t xml:space="preserve">A technical report was received by the first respondent </w:t>
      </w:r>
      <w:r w:rsidR="00CA58F3" w:rsidRPr="00F45341">
        <w:rPr>
          <w:rFonts w:ascii="Arial" w:eastAsia="Calibri" w:hAnsi="Arial" w:cs="Arial"/>
          <w:sz w:val="24"/>
          <w:szCs w:val="24"/>
        </w:rPr>
        <w:t>listing</w:t>
      </w:r>
      <w:r w:rsidR="00373289" w:rsidRPr="00F45341">
        <w:rPr>
          <w:rFonts w:ascii="Arial" w:eastAsia="Calibri" w:hAnsi="Arial" w:cs="Arial"/>
          <w:sz w:val="24"/>
          <w:szCs w:val="24"/>
        </w:rPr>
        <w:t xml:space="preserve"> deficiencies on the leased premises. There was also a need to address the lack of maintenance and overgrown nature of the </w:t>
      </w:r>
      <w:proofErr w:type="spellStart"/>
      <w:r w:rsidR="00373289" w:rsidRPr="00F45341">
        <w:rPr>
          <w:rFonts w:ascii="Arial" w:eastAsia="Calibri" w:hAnsi="Arial" w:cs="Arial"/>
          <w:sz w:val="24"/>
          <w:szCs w:val="24"/>
        </w:rPr>
        <w:t>Groot</w:t>
      </w:r>
      <w:r w:rsidR="00697345" w:rsidRPr="00F45341">
        <w:rPr>
          <w:rFonts w:ascii="Arial" w:eastAsia="Calibri" w:hAnsi="Arial" w:cs="Arial"/>
          <w:sz w:val="24"/>
          <w:szCs w:val="24"/>
        </w:rPr>
        <w:t>g</w:t>
      </w:r>
      <w:r w:rsidR="00373289" w:rsidRPr="00F45341">
        <w:rPr>
          <w:rFonts w:ascii="Arial" w:eastAsia="Calibri" w:hAnsi="Arial" w:cs="Arial"/>
          <w:sz w:val="24"/>
          <w:szCs w:val="24"/>
        </w:rPr>
        <w:t>ewacht</w:t>
      </w:r>
      <w:proofErr w:type="spellEnd"/>
      <w:r w:rsidR="00373289" w:rsidRPr="00F45341">
        <w:rPr>
          <w:rFonts w:ascii="Arial" w:eastAsia="Calibri" w:hAnsi="Arial" w:cs="Arial"/>
          <w:sz w:val="24"/>
          <w:szCs w:val="24"/>
        </w:rPr>
        <w:t xml:space="preserve"> dam. </w:t>
      </w:r>
    </w:p>
    <w:p w14:paraId="7026E623" w14:textId="77777777" w:rsidR="00373289" w:rsidRPr="00F45341" w:rsidRDefault="00373289" w:rsidP="00F45341">
      <w:pPr>
        <w:spacing w:line="240" w:lineRule="auto"/>
        <w:contextualSpacing/>
        <w:jc w:val="both"/>
        <w:rPr>
          <w:rFonts w:ascii="Arial" w:eastAsia="Calibri" w:hAnsi="Arial" w:cs="Arial"/>
          <w:sz w:val="24"/>
          <w:szCs w:val="24"/>
        </w:rPr>
      </w:pPr>
    </w:p>
    <w:p w14:paraId="1F57BC23" w14:textId="77777777" w:rsidR="00332CB9" w:rsidRPr="00F45341" w:rsidRDefault="00373289"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4</w:t>
      </w:r>
      <w:r w:rsidRPr="00F45341">
        <w:rPr>
          <w:rFonts w:ascii="Arial" w:eastAsia="Calibri" w:hAnsi="Arial" w:cs="Arial"/>
          <w:sz w:val="24"/>
          <w:szCs w:val="24"/>
        </w:rPr>
        <w:t>]</w:t>
      </w:r>
      <w:r w:rsidRPr="00F45341">
        <w:rPr>
          <w:rFonts w:ascii="Arial" w:eastAsia="Calibri" w:hAnsi="Arial" w:cs="Arial"/>
          <w:sz w:val="24"/>
          <w:szCs w:val="24"/>
        </w:rPr>
        <w:tab/>
      </w:r>
      <w:r w:rsidR="00332CB9" w:rsidRPr="00F45341">
        <w:rPr>
          <w:rFonts w:ascii="Arial" w:eastAsia="Calibri" w:hAnsi="Arial" w:cs="Arial"/>
          <w:sz w:val="24"/>
          <w:szCs w:val="24"/>
        </w:rPr>
        <w:t>On 20 November 2020</w:t>
      </w:r>
      <w:r w:rsidR="004E2DFC" w:rsidRPr="00F45341">
        <w:rPr>
          <w:rFonts w:ascii="Arial" w:eastAsia="Calibri" w:hAnsi="Arial" w:cs="Arial"/>
          <w:sz w:val="24"/>
          <w:szCs w:val="24"/>
        </w:rPr>
        <w:t>,</w:t>
      </w:r>
      <w:r w:rsidR="00332CB9" w:rsidRPr="00F45341">
        <w:rPr>
          <w:rFonts w:ascii="Arial" w:eastAsia="Calibri" w:hAnsi="Arial" w:cs="Arial"/>
          <w:sz w:val="24"/>
          <w:szCs w:val="24"/>
        </w:rPr>
        <w:t xml:space="preserve"> the </w:t>
      </w:r>
      <w:r w:rsidR="004E2DFC" w:rsidRPr="00F45341">
        <w:rPr>
          <w:rFonts w:ascii="Arial" w:eastAsia="Calibri" w:hAnsi="Arial" w:cs="Arial"/>
          <w:sz w:val="24"/>
          <w:szCs w:val="24"/>
        </w:rPr>
        <w:t>f</w:t>
      </w:r>
      <w:r w:rsidR="00332CB9" w:rsidRPr="00F45341">
        <w:rPr>
          <w:rFonts w:ascii="Arial" w:eastAsia="Calibri" w:hAnsi="Arial" w:cs="Arial"/>
          <w:sz w:val="24"/>
          <w:szCs w:val="24"/>
        </w:rPr>
        <w:t xml:space="preserve">ourth </w:t>
      </w:r>
      <w:r w:rsidR="00CA58F3" w:rsidRPr="00F45341">
        <w:rPr>
          <w:rFonts w:ascii="Arial" w:eastAsia="Calibri" w:hAnsi="Arial" w:cs="Arial"/>
          <w:sz w:val="24"/>
          <w:szCs w:val="24"/>
        </w:rPr>
        <w:t>r</w:t>
      </w:r>
      <w:r w:rsidR="00332CB9" w:rsidRPr="00F45341">
        <w:rPr>
          <w:rFonts w:ascii="Arial" w:eastAsia="Calibri" w:hAnsi="Arial" w:cs="Arial"/>
          <w:sz w:val="24"/>
          <w:szCs w:val="24"/>
        </w:rPr>
        <w:t xml:space="preserve">espondent took a </w:t>
      </w:r>
      <w:r w:rsidR="004E2DFC" w:rsidRPr="00F45341">
        <w:rPr>
          <w:rFonts w:ascii="Arial" w:eastAsia="Calibri" w:hAnsi="Arial" w:cs="Arial"/>
          <w:sz w:val="24"/>
          <w:szCs w:val="24"/>
        </w:rPr>
        <w:t>r</w:t>
      </w:r>
      <w:r w:rsidR="00332CB9" w:rsidRPr="00F45341">
        <w:rPr>
          <w:rFonts w:ascii="Arial" w:eastAsia="Calibri" w:hAnsi="Arial" w:cs="Arial"/>
          <w:sz w:val="24"/>
          <w:szCs w:val="24"/>
        </w:rPr>
        <w:t>esolution that:</w:t>
      </w:r>
    </w:p>
    <w:p w14:paraId="03D94217" w14:textId="77777777" w:rsidR="00332CB9" w:rsidRPr="00F45341" w:rsidRDefault="00332CB9"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C97D4B" w:rsidRPr="00F45341">
        <w:rPr>
          <w:rFonts w:ascii="Arial" w:eastAsia="Calibri" w:hAnsi="Arial" w:cs="Arial"/>
          <w:sz w:val="24"/>
          <w:szCs w:val="24"/>
        </w:rPr>
        <w:t>Th</w:t>
      </w:r>
      <w:r w:rsidRPr="00F45341">
        <w:rPr>
          <w:rFonts w:ascii="Arial" w:eastAsia="Calibri" w:hAnsi="Arial" w:cs="Arial"/>
          <w:sz w:val="24"/>
          <w:szCs w:val="24"/>
        </w:rPr>
        <w:t xml:space="preserve">at the lease Contract of Wood Basket be terminated by the end of November 2020, as per the signed </w:t>
      </w:r>
      <w:r w:rsidR="003D7FD9" w:rsidRPr="00F45341">
        <w:rPr>
          <w:rFonts w:ascii="Arial" w:eastAsia="Calibri" w:hAnsi="Arial" w:cs="Arial"/>
          <w:sz w:val="24"/>
          <w:szCs w:val="24"/>
        </w:rPr>
        <w:t>contract”</w:t>
      </w:r>
      <w:r w:rsidR="00CD62FB" w:rsidRPr="00F45341">
        <w:rPr>
          <w:rFonts w:ascii="Arial" w:eastAsia="Calibri" w:hAnsi="Arial" w:cs="Arial"/>
          <w:sz w:val="24"/>
          <w:szCs w:val="24"/>
        </w:rPr>
        <w:t xml:space="preserve">; and </w:t>
      </w:r>
    </w:p>
    <w:p w14:paraId="40C928BF" w14:textId="77777777" w:rsidR="00332CB9" w:rsidRPr="00F45341" w:rsidRDefault="00332CB9"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“That Council authori</w:t>
      </w:r>
      <w:r w:rsidR="00697345" w:rsidRPr="00F45341">
        <w:rPr>
          <w:rFonts w:ascii="Arial" w:eastAsia="Calibri" w:hAnsi="Arial" w:cs="Arial"/>
          <w:sz w:val="24"/>
          <w:szCs w:val="24"/>
        </w:rPr>
        <w:t>s</w:t>
      </w:r>
      <w:r w:rsidRPr="00F45341">
        <w:rPr>
          <w:rFonts w:ascii="Arial" w:eastAsia="Calibri" w:hAnsi="Arial" w:cs="Arial"/>
          <w:sz w:val="24"/>
          <w:szCs w:val="24"/>
        </w:rPr>
        <w:t xml:space="preserve">e or mandates the Municipal Manager with powers vested to him to appoint a caretaker or manager to look after all the management of the farm which includes plantation, harvesting, etc in the farm, for a period of </w:t>
      </w:r>
      <w:r w:rsidR="00416CB9" w:rsidRPr="00F45341">
        <w:rPr>
          <w:rFonts w:ascii="Arial" w:eastAsia="Calibri" w:hAnsi="Arial" w:cs="Arial"/>
          <w:sz w:val="24"/>
          <w:szCs w:val="24"/>
        </w:rPr>
        <w:t>24</w:t>
      </w:r>
      <w:r w:rsidRPr="00F45341">
        <w:rPr>
          <w:rFonts w:ascii="Arial" w:eastAsia="Calibri" w:hAnsi="Arial" w:cs="Arial"/>
          <w:sz w:val="24"/>
          <w:szCs w:val="24"/>
        </w:rPr>
        <w:t xml:space="preserve"> months, while waiting for Supply Chain Management processes to unfold and </w:t>
      </w:r>
      <w:r w:rsidR="0005714F" w:rsidRPr="00F45341">
        <w:rPr>
          <w:rFonts w:ascii="Arial" w:eastAsia="Calibri" w:hAnsi="Arial" w:cs="Arial"/>
          <w:sz w:val="24"/>
          <w:szCs w:val="24"/>
        </w:rPr>
        <w:t>commence</w:t>
      </w:r>
      <w:r w:rsidR="00CD62FB" w:rsidRPr="00F45341">
        <w:rPr>
          <w:rFonts w:ascii="Arial" w:eastAsia="Calibri" w:hAnsi="Arial" w:cs="Arial"/>
          <w:sz w:val="24"/>
          <w:szCs w:val="24"/>
        </w:rPr>
        <w:t>.</w:t>
      </w:r>
      <w:r w:rsidR="0005714F" w:rsidRPr="00F45341">
        <w:rPr>
          <w:rFonts w:ascii="Arial" w:eastAsia="Calibri" w:hAnsi="Arial" w:cs="Arial"/>
          <w:sz w:val="24"/>
          <w:szCs w:val="24"/>
        </w:rPr>
        <w:t>”</w:t>
      </w:r>
    </w:p>
    <w:p w14:paraId="002D10AA" w14:textId="77777777" w:rsidR="00EB21B7" w:rsidRPr="00F45341" w:rsidRDefault="00373289"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The resolution was aimed as an interim measure</w:t>
      </w:r>
      <w:r w:rsidR="004E2DFC" w:rsidRPr="00F45341">
        <w:rPr>
          <w:rFonts w:ascii="Arial" w:eastAsia="Calibri" w:hAnsi="Arial" w:cs="Arial"/>
          <w:sz w:val="24"/>
          <w:szCs w:val="24"/>
        </w:rPr>
        <w:t>,</w:t>
      </w:r>
      <w:r w:rsidRPr="00F45341">
        <w:rPr>
          <w:rFonts w:ascii="Arial" w:eastAsia="Calibri" w:hAnsi="Arial" w:cs="Arial"/>
          <w:sz w:val="24"/>
          <w:szCs w:val="24"/>
        </w:rPr>
        <w:t xml:space="preserve"> pending the tender awarding process.</w:t>
      </w:r>
    </w:p>
    <w:p w14:paraId="5BE5051A" w14:textId="77777777" w:rsidR="00373289" w:rsidRPr="00F45341" w:rsidRDefault="00373289" w:rsidP="00F45341">
      <w:pPr>
        <w:spacing w:line="240" w:lineRule="auto"/>
        <w:contextualSpacing/>
        <w:jc w:val="both"/>
        <w:rPr>
          <w:rFonts w:ascii="Arial" w:eastAsia="Calibri" w:hAnsi="Arial" w:cs="Arial"/>
          <w:sz w:val="24"/>
          <w:szCs w:val="24"/>
        </w:rPr>
      </w:pPr>
    </w:p>
    <w:p w14:paraId="7C018AE3" w14:textId="77777777" w:rsidR="0005714F" w:rsidRPr="00F45341" w:rsidRDefault="00655218"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5</w:t>
      </w:r>
      <w:r w:rsidR="00EB21B7" w:rsidRPr="00F45341">
        <w:rPr>
          <w:rFonts w:ascii="Arial" w:eastAsia="Calibri" w:hAnsi="Arial" w:cs="Arial"/>
          <w:sz w:val="24"/>
          <w:szCs w:val="24"/>
        </w:rPr>
        <w:t>]</w:t>
      </w:r>
      <w:r w:rsidR="00EB21B7" w:rsidRPr="00F45341">
        <w:rPr>
          <w:rFonts w:ascii="Arial" w:eastAsia="Calibri" w:hAnsi="Arial" w:cs="Arial"/>
          <w:sz w:val="24"/>
          <w:szCs w:val="24"/>
        </w:rPr>
        <w:tab/>
      </w:r>
      <w:r w:rsidR="00CA58F3" w:rsidRPr="00F45341">
        <w:rPr>
          <w:rFonts w:ascii="Arial" w:eastAsia="Calibri" w:hAnsi="Arial" w:cs="Arial"/>
          <w:sz w:val="24"/>
          <w:szCs w:val="24"/>
        </w:rPr>
        <w:t>On 4 December 2020, a</w:t>
      </w:r>
      <w:r w:rsidR="006430A9" w:rsidRPr="00F45341">
        <w:rPr>
          <w:rFonts w:ascii="Arial" w:eastAsia="Calibri" w:hAnsi="Arial" w:cs="Arial"/>
          <w:sz w:val="24"/>
          <w:szCs w:val="24"/>
        </w:rPr>
        <w:t xml:space="preserve">rising from the authority conferred on the </w:t>
      </w:r>
      <w:r w:rsidR="00556AD3" w:rsidRPr="00F45341">
        <w:rPr>
          <w:rFonts w:ascii="Arial" w:eastAsia="Calibri" w:hAnsi="Arial" w:cs="Arial"/>
          <w:sz w:val="24"/>
          <w:szCs w:val="24"/>
        </w:rPr>
        <w:t>s</w:t>
      </w:r>
      <w:r w:rsidR="0005714F" w:rsidRPr="00F45341">
        <w:rPr>
          <w:rFonts w:ascii="Arial" w:eastAsia="Calibri" w:hAnsi="Arial" w:cs="Arial"/>
          <w:sz w:val="24"/>
          <w:szCs w:val="24"/>
        </w:rPr>
        <w:t xml:space="preserve">econd </w:t>
      </w:r>
      <w:r w:rsidR="00556AD3" w:rsidRPr="00F45341">
        <w:rPr>
          <w:rFonts w:ascii="Arial" w:eastAsia="Calibri" w:hAnsi="Arial" w:cs="Arial"/>
          <w:sz w:val="24"/>
          <w:szCs w:val="24"/>
        </w:rPr>
        <w:t>r</w:t>
      </w:r>
      <w:r w:rsidR="0005714F" w:rsidRPr="00F45341">
        <w:rPr>
          <w:rFonts w:ascii="Arial" w:eastAsia="Calibri" w:hAnsi="Arial" w:cs="Arial"/>
          <w:sz w:val="24"/>
          <w:szCs w:val="24"/>
        </w:rPr>
        <w:t>espondent</w:t>
      </w:r>
      <w:r w:rsidR="006430A9" w:rsidRPr="00F45341">
        <w:rPr>
          <w:rFonts w:ascii="Arial" w:eastAsia="Calibri" w:hAnsi="Arial" w:cs="Arial"/>
          <w:sz w:val="24"/>
          <w:szCs w:val="24"/>
        </w:rPr>
        <w:t>, he resolved to appoint the fifth responden</w:t>
      </w:r>
      <w:r w:rsidR="006233FA" w:rsidRPr="00F45341">
        <w:rPr>
          <w:rFonts w:ascii="Arial" w:eastAsia="Calibri" w:hAnsi="Arial" w:cs="Arial"/>
          <w:sz w:val="24"/>
          <w:szCs w:val="24"/>
        </w:rPr>
        <w:t>t</w:t>
      </w:r>
      <w:r w:rsidR="0005714F" w:rsidRPr="00F45341">
        <w:rPr>
          <w:rFonts w:ascii="Arial" w:eastAsia="Calibri" w:hAnsi="Arial" w:cs="Arial"/>
          <w:sz w:val="24"/>
          <w:szCs w:val="24"/>
        </w:rPr>
        <w:t xml:space="preserve"> </w:t>
      </w:r>
      <w:r w:rsidR="006233FA" w:rsidRPr="00F45341">
        <w:rPr>
          <w:rFonts w:ascii="Arial" w:eastAsia="Calibri" w:hAnsi="Arial" w:cs="Arial"/>
          <w:sz w:val="24"/>
          <w:szCs w:val="24"/>
        </w:rPr>
        <w:t xml:space="preserve">as the </w:t>
      </w:r>
      <w:r w:rsidR="00CA58F3" w:rsidRPr="00F45341">
        <w:rPr>
          <w:rFonts w:ascii="Arial" w:eastAsia="Calibri" w:hAnsi="Arial" w:cs="Arial"/>
          <w:sz w:val="24"/>
          <w:szCs w:val="24"/>
        </w:rPr>
        <w:t>caretaker</w:t>
      </w:r>
      <w:r w:rsidR="006233FA" w:rsidRPr="00F45341">
        <w:rPr>
          <w:rFonts w:ascii="Arial" w:eastAsia="Calibri" w:hAnsi="Arial" w:cs="Arial"/>
          <w:sz w:val="24"/>
          <w:szCs w:val="24"/>
        </w:rPr>
        <w:t xml:space="preserve"> and issued him with an appointment letter. </w:t>
      </w:r>
      <w:r w:rsidR="00373289" w:rsidRPr="00F45341">
        <w:rPr>
          <w:rFonts w:ascii="Arial" w:eastAsia="Calibri" w:hAnsi="Arial" w:cs="Arial"/>
          <w:sz w:val="24"/>
          <w:szCs w:val="24"/>
        </w:rPr>
        <w:t xml:space="preserve">The letter </w:t>
      </w:r>
      <w:r w:rsidR="00CA58F3" w:rsidRPr="00F45341">
        <w:rPr>
          <w:rFonts w:ascii="Arial" w:eastAsia="Calibri" w:hAnsi="Arial" w:cs="Arial"/>
          <w:sz w:val="24"/>
          <w:szCs w:val="24"/>
        </w:rPr>
        <w:t xml:space="preserve">specified </w:t>
      </w:r>
      <w:r w:rsidR="00373289" w:rsidRPr="00F45341">
        <w:rPr>
          <w:rFonts w:ascii="Arial" w:eastAsia="Calibri" w:hAnsi="Arial" w:cs="Arial"/>
          <w:sz w:val="24"/>
          <w:szCs w:val="24"/>
        </w:rPr>
        <w:t>that a meeting was to be held with the fifth respondent within 14 days to conclude the terms and conditions of his appointment</w:t>
      </w:r>
      <w:r w:rsidR="00556AD3" w:rsidRPr="00F45341">
        <w:rPr>
          <w:rFonts w:ascii="Arial" w:eastAsia="Calibri" w:hAnsi="Arial" w:cs="Arial"/>
          <w:sz w:val="24"/>
          <w:szCs w:val="24"/>
        </w:rPr>
        <w:t>,</w:t>
      </w:r>
      <w:r w:rsidR="00373289" w:rsidRPr="00F45341">
        <w:rPr>
          <w:rFonts w:ascii="Arial" w:eastAsia="Calibri" w:hAnsi="Arial" w:cs="Arial"/>
          <w:sz w:val="24"/>
          <w:szCs w:val="24"/>
        </w:rPr>
        <w:t xml:space="preserve"> following which a caretaker agreement would be concluded between him and the first respondent.</w:t>
      </w:r>
    </w:p>
    <w:p w14:paraId="623A29E3" w14:textId="77777777" w:rsidR="00EB21B7" w:rsidRPr="00F45341" w:rsidRDefault="0005714F" w:rsidP="00F45341">
      <w:pPr>
        <w:spacing w:line="240" w:lineRule="auto"/>
        <w:ind w:left="720"/>
        <w:contextualSpacing/>
        <w:jc w:val="both"/>
        <w:rPr>
          <w:rFonts w:ascii="Arial" w:eastAsia="Calibri" w:hAnsi="Arial" w:cs="Arial"/>
          <w:sz w:val="24"/>
          <w:szCs w:val="24"/>
        </w:rPr>
      </w:pPr>
      <w:r w:rsidRPr="00F45341">
        <w:rPr>
          <w:rFonts w:ascii="Arial" w:eastAsia="Calibri" w:hAnsi="Arial" w:cs="Arial"/>
          <w:sz w:val="24"/>
          <w:szCs w:val="24"/>
        </w:rPr>
        <w:t xml:space="preserve"> </w:t>
      </w:r>
    </w:p>
    <w:p w14:paraId="6C65DA61" w14:textId="77777777" w:rsidR="00905067" w:rsidRPr="00F45341" w:rsidRDefault="006B0721"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6</w:t>
      </w:r>
      <w:r w:rsidRPr="00F45341">
        <w:rPr>
          <w:rFonts w:ascii="Arial" w:eastAsia="Calibri" w:hAnsi="Arial" w:cs="Arial"/>
          <w:sz w:val="24"/>
          <w:szCs w:val="24"/>
        </w:rPr>
        <w:t>]</w:t>
      </w:r>
      <w:r w:rsidR="00EB21B7" w:rsidRPr="00F45341">
        <w:rPr>
          <w:rFonts w:ascii="Arial" w:eastAsia="Calibri" w:hAnsi="Arial" w:cs="Arial"/>
          <w:sz w:val="24"/>
          <w:szCs w:val="24"/>
        </w:rPr>
        <w:t xml:space="preserve"> </w:t>
      </w:r>
      <w:r w:rsidRPr="00F45341">
        <w:rPr>
          <w:rFonts w:ascii="Arial" w:eastAsia="Calibri" w:hAnsi="Arial" w:cs="Arial"/>
          <w:sz w:val="24"/>
          <w:szCs w:val="24"/>
        </w:rPr>
        <w:tab/>
      </w:r>
      <w:r w:rsidR="00A205B3" w:rsidRPr="00F45341">
        <w:rPr>
          <w:rFonts w:ascii="Arial" w:eastAsia="Calibri" w:hAnsi="Arial" w:cs="Arial"/>
          <w:sz w:val="24"/>
          <w:szCs w:val="24"/>
        </w:rPr>
        <w:t xml:space="preserve">the fifth respondent was appointed from 1 December 2020 to 30 November 2022 which appointment was made subsequently </w:t>
      </w:r>
      <w:r w:rsidR="005867AC" w:rsidRPr="00F45341">
        <w:rPr>
          <w:rFonts w:ascii="Arial" w:eastAsia="Calibri" w:hAnsi="Arial" w:cs="Arial"/>
          <w:sz w:val="24"/>
          <w:szCs w:val="24"/>
        </w:rPr>
        <w:t>the meeting</w:t>
      </w:r>
      <w:r w:rsidR="00A205B3" w:rsidRPr="00F45341">
        <w:rPr>
          <w:rFonts w:ascii="Arial" w:eastAsia="Calibri" w:hAnsi="Arial" w:cs="Arial"/>
          <w:sz w:val="24"/>
          <w:szCs w:val="24"/>
        </w:rPr>
        <w:t>.</w:t>
      </w:r>
      <w:r w:rsidR="005867AC" w:rsidRPr="00F45341">
        <w:rPr>
          <w:rFonts w:ascii="Arial" w:eastAsia="Calibri" w:hAnsi="Arial" w:cs="Arial"/>
          <w:sz w:val="24"/>
          <w:szCs w:val="24"/>
        </w:rPr>
        <w:t xml:space="preserve"> </w:t>
      </w:r>
      <w:r w:rsidR="009E125C" w:rsidRPr="00F45341">
        <w:rPr>
          <w:rFonts w:ascii="Arial" w:eastAsia="Calibri" w:hAnsi="Arial" w:cs="Arial"/>
          <w:sz w:val="24"/>
          <w:szCs w:val="24"/>
        </w:rPr>
        <w:t xml:space="preserve">A recommendation was made for an agreement of between eight to </w:t>
      </w:r>
      <w:proofErr w:type="gramStart"/>
      <w:r w:rsidR="00983273" w:rsidRPr="00F45341">
        <w:rPr>
          <w:rFonts w:ascii="Arial" w:eastAsia="Calibri" w:hAnsi="Arial" w:cs="Arial"/>
          <w:sz w:val="24"/>
          <w:szCs w:val="24"/>
        </w:rPr>
        <w:t xml:space="preserve">15 </w:t>
      </w:r>
      <w:r w:rsidR="009E125C" w:rsidRPr="00F45341">
        <w:rPr>
          <w:rFonts w:ascii="Arial" w:eastAsia="Calibri" w:hAnsi="Arial" w:cs="Arial"/>
          <w:sz w:val="24"/>
          <w:szCs w:val="24"/>
        </w:rPr>
        <w:t xml:space="preserve"> years</w:t>
      </w:r>
      <w:proofErr w:type="gramEnd"/>
      <w:r w:rsidR="009E125C" w:rsidRPr="00F45341">
        <w:rPr>
          <w:rFonts w:ascii="Arial" w:eastAsia="Calibri" w:hAnsi="Arial" w:cs="Arial"/>
          <w:sz w:val="24"/>
          <w:szCs w:val="24"/>
        </w:rPr>
        <w:t xml:space="preserve"> because of the forestry cycle. </w:t>
      </w:r>
      <w:r w:rsidR="005867AC" w:rsidRPr="00F45341">
        <w:rPr>
          <w:rFonts w:ascii="Arial" w:eastAsia="Calibri" w:hAnsi="Arial" w:cs="Arial"/>
          <w:sz w:val="24"/>
          <w:szCs w:val="24"/>
        </w:rPr>
        <w:t xml:space="preserve">Upon enquiry, the applicant was informed that the appointment corresponded with the first respondent’s transformation objectives. However, the applicant held a view that the appointment </w:t>
      </w:r>
      <w:r w:rsidR="00A205B3" w:rsidRPr="00F45341">
        <w:rPr>
          <w:rFonts w:ascii="Arial" w:eastAsia="Calibri" w:hAnsi="Arial" w:cs="Arial"/>
          <w:sz w:val="24"/>
          <w:szCs w:val="24"/>
        </w:rPr>
        <w:t xml:space="preserve">was illogical </w:t>
      </w:r>
      <w:r w:rsidR="005867AC" w:rsidRPr="00F45341">
        <w:rPr>
          <w:rFonts w:ascii="Arial" w:eastAsia="Calibri" w:hAnsi="Arial" w:cs="Arial"/>
          <w:sz w:val="24"/>
          <w:szCs w:val="24"/>
        </w:rPr>
        <w:t xml:space="preserve">in a forestry setting because of the much longer production cycle of trees. </w:t>
      </w:r>
      <w:r w:rsidR="00973024" w:rsidRPr="00F45341">
        <w:rPr>
          <w:rFonts w:ascii="Arial" w:eastAsia="Calibri" w:hAnsi="Arial" w:cs="Arial"/>
          <w:sz w:val="24"/>
          <w:szCs w:val="24"/>
        </w:rPr>
        <w:t xml:space="preserve">Additionally, the </w:t>
      </w:r>
      <w:proofErr w:type="gramStart"/>
      <w:r w:rsidR="00973024" w:rsidRPr="00F45341">
        <w:rPr>
          <w:rFonts w:ascii="Arial" w:eastAsia="Calibri" w:hAnsi="Arial" w:cs="Arial"/>
          <w:sz w:val="24"/>
          <w:szCs w:val="24"/>
        </w:rPr>
        <w:t xml:space="preserve">applicant </w:t>
      </w:r>
      <w:r w:rsidR="00D90B97" w:rsidRPr="00F45341">
        <w:rPr>
          <w:rFonts w:ascii="Arial" w:eastAsia="Calibri" w:hAnsi="Arial" w:cs="Arial"/>
          <w:sz w:val="24"/>
          <w:szCs w:val="24"/>
        </w:rPr>
        <w:t xml:space="preserve"> contends</w:t>
      </w:r>
      <w:proofErr w:type="gramEnd"/>
      <w:r w:rsidR="00D90B97" w:rsidRPr="00F45341">
        <w:rPr>
          <w:rFonts w:ascii="Arial" w:eastAsia="Calibri" w:hAnsi="Arial" w:cs="Arial"/>
          <w:sz w:val="24"/>
          <w:szCs w:val="24"/>
        </w:rPr>
        <w:t xml:space="preserve"> that there was no caretaker agreement in existence since none was ever produced. It avers that the fifth respondent is not the caretaker since he is also allowed to harvest</w:t>
      </w:r>
      <w:r w:rsidR="00973024" w:rsidRPr="00F45341">
        <w:rPr>
          <w:rFonts w:ascii="Arial" w:eastAsia="Calibri" w:hAnsi="Arial" w:cs="Arial"/>
          <w:sz w:val="24"/>
          <w:szCs w:val="24"/>
        </w:rPr>
        <w:t xml:space="preserve"> from the plantation land</w:t>
      </w:r>
      <w:r w:rsidR="00D90B97" w:rsidRPr="00F45341">
        <w:rPr>
          <w:rFonts w:ascii="Arial" w:eastAsia="Calibri" w:hAnsi="Arial" w:cs="Arial"/>
          <w:sz w:val="24"/>
          <w:szCs w:val="24"/>
        </w:rPr>
        <w:t>.</w:t>
      </w:r>
      <w:r w:rsidR="00905067" w:rsidRPr="00F45341">
        <w:rPr>
          <w:rFonts w:ascii="Arial" w:eastAsia="Calibri" w:hAnsi="Arial" w:cs="Arial"/>
          <w:sz w:val="24"/>
          <w:szCs w:val="24"/>
        </w:rPr>
        <w:t xml:space="preserve"> According to the applicant, the first and second respondents actively participated in seeking to benefit </w:t>
      </w:r>
      <w:r w:rsidR="00D16D52" w:rsidRPr="00F45341">
        <w:rPr>
          <w:rFonts w:ascii="Arial" w:eastAsia="Calibri" w:hAnsi="Arial" w:cs="Arial"/>
          <w:sz w:val="24"/>
          <w:szCs w:val="24"/>
        </w:rPr>
        <w:t xml:space="preserve">of </w:t>
      </w:r>
      <w:r w:rsidR="00905067" w:rsidRPr="00F45341">
        <w:rPr>
          <w:rFonts w:ascii="Arial" w:eastAsia="Calibri" w:hAnsi="Arial" w:cs="Arial"/>
          <w:sz w:val="24"/>
          <w:szCs w:val="24"/>
        </w:rPr>
        <w:t>the fifth respondent and/or his grouping.</w:t>
      </w:r>
    </w:p>
    <w:p w14:paraId="1A77B12E" w14:textId="77777777" w:rsidR="005867AC" w:rsidRPr="00F45341" w:rsidRDefault="005867AC" w:rsidP="00F45341">
      <w:pPr>
        <w:spacing w:line="240" w:lineRule="auto"/>
        <w:ind w:left="720" w:hanging="720"/>
        <w:contextualSpacing/>
        <w:jc w:val="both"/>
        <w:rPr>
          <w:rFonts w:ascii="Arial" w:eastAsia="Calibri" w:hAnsi="Arial" w:cs="Arial"/>
          <w:sz w:val="24"/>
          <w:szCs w:val="24"/>
        </w:rPr>
      </w:pPr>
    </w:p>
    <w:p w14:paraId="7CD4E196" w14:textId="77777777" w:rsidR="004D7589" w:rsidRPr="00F45341" w:rsidRDefault="004D7589"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7</w:t>
      </w:r>
      <w:r w:rsidRPr="00F45341">
        <w:rPr>
          <w:rFonts w:ascii="Arial" w:eastAsia="Calibri" w:hAnsi="Arial" w:cs="Arial"/>
          <w:sz w:val="24"/>
          <w:szCs w:val="24"/>
        </w:rPr>
        <w:t xml:space="preserve">] </w:t>
      </w:r>
      <w:r w:rsidRPr="00F45341">
        <w:rPr>
          <w:rFonts w:ascii="Arial" w:eastAsia="Calibri" w:hAnsi="Arial" w:cs="Arial"/>
          <w:sz w:val="24"/>
          <w:szCs w:val="24"/>
        </w:rPr>
        <w:tab/>
      </w:r>
      <w:r w:rsidR="00D90B97" w:rsidRPr="00F45341">
        <w:rPr>
          <w:rFonts w:ascii="Arial" w:eastAsia="Calibri" w:hAnsi="Arial" w:cs="Arial"/>
          <w:sz w:val="24"/>
          <w:szCs w:val="24"/>
        </w:rPr>
        <w:t>While t</w:t>
      </w:r>
      <w:r w:rsidRPr="00F45341">
        <w:rPr>
          <w:rFonts w:ascii="Arial" w:eastAsia="Calibri" w:hAnsi="Arial" w:cs="Arial"/>
          <w:sz w:val="24"/>
          <w:szCs w:val="24"/>
        </w:rPr>
        <w:t xml:space="preserve">he property is owned by the </w:t>
      </w:r>
      <w:r w:rsidR="00CD62FB" w:rsidRPr="00F45341">
        <w:rPr>
          <w:rFonts w:ascii="Arial" w:eastAsia="Calibri" w:hAnsi="Arial" w:cs="Arial"/>
          <w:sz w:val="24"/>
          <w:szCs w:val="24"/>
        </w:rPr>
        <w:t>f</w:t>
      </w:r>
      <w:r w:rsidRPr="00F45341">
        <w:rPr>
          <w:rFonts w:ascii="Arial" w:eastAsia="Calibri" w:hAnsi="Arial" w:cs="Arial"/>
          <w:sz w:val="24"/>
          <w:szCs w:val="24"/>
        </w:rPr>
        <w:t xml:space="preserve">irst </w:t>
      </w:r>
      <w:r w:rsidR="00CD62FB" w:rsidRPr="00F45341">
        <w:rPr>
          <w:rFonts w:ascii="Arial" w:eastAsia="Calibri" w:hAnsi="Arial" w:cs="Arial"/>
          <w:sz w:val="24"/>
          <w:szCs w:val="24"/>
        </w:rPr>
        <w:t>r</w:t>
      </w:r>
      <w:r w:rsidRPr="00F45341">
        <w:rPr>
          <w:rFonts w:ascii="Arial" w:eastAsia="Calibri" w:hAnsi="Arial" w:cs="Arial"/>
          <w:sz w:val="24"/>
          <w:szCs w:val="24"/>
        </w:rPr>
        <w:t>espondent</w:t>
      </w:r>
      <w:r w:rsidR="00905067" w:rsidRPr="00F45341">
        <w:rPr>
          <w:rFonts w:ascii="Arial" w:eastAsia="Calibri" w:hAnsi="Arial" w:cs="Arial"/>
          <w:sz w:val="24"/>
          <w:szCs w:val="24"/>
        </w:rPr>
        <w:t>,</w:t>
      </w:r>
      <w:r w:rsidRPr="00F45341">
        <w:rPr>
          <w:rFonts w:ascii="Arial" w:eastAsia="Calibri" w:hAnsi="Arial" w:cs="Arial"/>
          <w:sz w:val="24"/>
          <w:szCs w:val="24"/>
        </w:rPr>
        <w:t xml:space="preserve"> on 8 July 202</w:t>
      </w:r>
      <w:r w:rsidR="00416CB9" w:rsidRPr="00F45341">
        <w:rPr>
          <w:rFonts w:ascii="Arial" w:eastAsia="Calibri" w:hAnsi="Arial" w:cs="Arial"/>
          <w:sz w:val="24"/>
          <w:szCs w:val="24"/>
        </w:rPr>
        <w:t>1</w:t>
      </w:r>
      <w:r w:rsidR="003B127C" w:rsidRPr="00F45341">
        <w:rPr>
          <w:rFonts w:ascii="Arial" w:eastAsia="Calibri" w:hAnsi="Arial" w:cs="Arial"/>
          <w:sz w:val="24"/>
          <w:szCs w:val="24"/>
        </w:rPr>
        <w:t>,</w:t>
      </w:r>
      <w:r w:rsidRPr="00F45341">
        <w:rPr>
          <w:rFonts w:ascii="Arial" w:eastAsia="Calibri" w:hAnsi="Arial" w:cs="Arial"/>
          <w:sz w:val="24"/>
          <w:szCs w:val="24"/>
        </w:rPr>
        <w:t xml:space="preserve"> a letter was forwarded to the </w:t>
      </w:r>
      <w:r w:rsidR="00CD62FB" w:rsidRPr="00F45341">
        <w:rPr>
          <w:rFonts w:ascii="Arial" w:eastAsia="Calibri" w:hAnsi="Arial" w:cs="Arial"/>
          <w:sz w:val="24"/>
          <w:szCs w:val="24"/>
        </w:rPr>
        <w:t>f</w:t>
      </w:r>
      <w:r w:rsidRPr="00F45341">
        <w:rPr>
          <w:rFonts w:ascii="Arial" w:eastAsia="Calibri" w:hAnsi="Arial" w:cs="Arial"/>
          <w:sz w:val="24"/>
          <w:szCs w:val="24"/>
        </w:rPr>
        <w:t xml:space="preserve">irst </w:t>
      </w:r>
      <w:r w:rsidR="00CD62FB" w:rsidRPr="00F45341">
        <w:rPr>
          <w:rFonts w:ascii="Arial" w:eastAsia="Calibri" w:hAnsi="Arial" w:cs="Arial"/>
          <w:sz w:val="24"/>
          <w:szCs w:val="24"/>
        </w:rPr>
        <w:t>r</w:t>
      </w:r>
      <w:r w:rsidRPr="00F45341">
        <w:rPr>
          <w:rFonts w:ascii="Arial" w:eastAsia="Calibri" w:hAnsi="Arial" w:cs="Arial"/>
          <w:sz w:val="24"/>
          <w:szCs w:val="24"/>
        </w:rPr>
        <w:t>espondent confirming that a lands claim was s</w:t>
      </w:r>
      <w:r w:rsidR="00DB14AB" w:rsidRPr="00F45341">
        <w:rPr>
          <w:rFonts w:ascii="Arial" w:eastAsia="Calibri" w:hAnsi="Arial" w:cs="Arial"/>
          <w:sz w:val="24"/>
          <w:szCs w:val="24"/>
        </w:rPr>
        <w:t>ubmitted on behalf of</w:t>
      </w:r>
      <w:r w:rsidR="00A205B3" w:rsidRPr="00F45341">
        <w:rPr>
          <w:rFonts w:ascii="Arial" w:eastAsia="Calibri" w:hAnsi="Arial" w:cs="Arial"/>
          <w:sz w:val="24"/>
          <w:szCs w:val="24"/>
        </w:rPr>
        <w:t xml:space="preserve"> the</w:t>
      </w:r>
      <w:r w:rsidR="00DB14AB" w:rsidRPr="00F45341">
        <w:rPr>
          <w:rFonts w:ascii="Arial" w:eastAsia="Calibri" w:hAnsi="Arial" w:cs="Arial"/>
          <w:sz w:val="24"/>
          <w:szCs w:val="24"/>
        </w:rPr>
        <w:t xml:space="preserve"> </w:t>
      </w:r>
      <w:r w:rsidR="00A205B3" w:rsidRPr="00F45341">
        <w:rPr>
          <w:rFonts w:ascii="Arial" w:eastAsia="Calibri" w:hAnsi="Arial" w:cs="Arial"/>
          <w:sz w:val="24"/>
          <w:szCs w:val="24"/>
        </w:rPr>
        <w:t xml:space="preserve">fifth respondent’s group being the </w:t>
      </w:r>
      <w:proofErr w:type="spellStart"/>
      <w:r w:rsidR="00DB14AB" w:rsidRPr="00F45341">
        <w:rPr>
          <w:rFonts w:ascii="Arial" w:eastAsia="Calibri" w:hAnsi="Arial" w:cs="Arial"/>
          <w:sz w:val="24"/>
          <w:szCs w:val="24"/>
        </w:rPr>
        <w:t>Grootgewacht</w:t>
      </w:r>
      <w:proofErr w:type="spellEnd"/>
      <w:r w:rsidR="00DB14AB" w:rsidRPr="00F45341">
        <w:rPr>
          <w:rFonts w:ascii="Arial" w:eastAsia="Calibri" w:hAnsi="Arial" w:cs="Arial"/>
          <w:sz w:val="24"/>
          <w:szCs w:val="24"/>
        </w:rPr>
        <w:t xml:space="preserve"> Group</w:t>
      </w:r>
      <w:r w:rsidRPr="00F45341">
        <w:rPr>
          <w:rFonts w:ascii="Arial" w:eastAsia="Calibri" w:hAnsi="Arial" w:cs="Arial"/>
          <w:sz w:val="24"/>
          <w:szCs w:val="24"/>
        </w:rPr>
        <w:t>.</w:t>
      </w:r>
      <w:r w:rsidR="00225EEB" w:rsidRPr="00F45341">
        <w:rPr>
          <w:rFonts w:ascii="Arial" w:eastAsia="Calibri" w:hAnsi="Arial" w:cs="Arial"/>
          <w:sz w:val="24"/>
          <w:szCs w:val="24"/>
        </w:rPr>
        <w:t xml:space="preserve">  According to the applicant, the land claim was suspicious as it was submitted after the claims were re-opened </w:t>
      </w:r>
      <w:r w:rsidR="003B127C" w:rsidRPr="00F45341">
        <w:rPr>
          <w:rFonts w:ascii="Arial" w:eastAsia="Calibri" w:hAnsi="Arial" w:cs="Arial"/>
          <w:sz w:val="24"/>
          <w:szCs w:val="24"/>
        </w:rPr>
        <w:t xml:space="preserve">and only </w:t>
      </w:r>
      <w:r w:rsidR="00225EEB" w:rsidRPr="00F45341">
        <w:rPr>
          <w:rFonts w:ascii="Arial" w:eastAsia="Calibri" w:hAnsi="Arial" w:cs="Arial"/>
          <w:sz w:val="24"/>
          <w:szCs w:val="24"/>
        </w:rPr>
        <w:t xml:space="preserve">for a short period. </w:t>
      </w:r>
      <w:r w:rsidR="009E125C" w:rsidRPr="00F45341">
        <w:rPr>
          <w:rFonts w:ascii="Arial" w:eastAsia="Calibri" w:hAnsi="Arial" w:cs="Arial"/>
          <w:sz w:val="24"/>
          <w:szCs w:val="24"/>
        </w:rPr>
        <w:t xml:space="preserve">The re-opening was subsequently declared inconsistent with the </w:t>
      </w:r>
      <w:r w:rsidR="00D16D52" w:rsidRPr="00F45341">
        <w:rPr>
          <w:rFonts w:ascii="Arial" w:eastAsia="Calibri" w:hAnsi="Arial" w:cs="Arial"/>
          <w:sz w:val="24"/>
          <w:szCs w:val="24"/>
        </w:rPr>
        <w:t>C</w:t>
      </w:r>
      <w:r w:rsidR="009E125C" w:rsidRPr="00F45341">
        <w:rPr>
          <w:rFonts w:ascii="Arial" w:eastAsia="Calibri" w:hAnsi="Arial" w:cs="Arial"/>
          <w:sz w:val="24"/>
          <w:szCs w:val="24"/>
        </w:rPr>
        <w:t xml:space="preserve">onstitution and the new land claims </w:t>
      </w:r>
      <w:r w:rsidR="003B127C" w:rsidRPr="00F45341">
        <w:rPr>
          <w:rFonts w:ascii="Arial" w:eastAsia="Calibri" w:hAnsi="Arial" w:cs="Arial"/>
          <w:sz w:val="24"/>
          <w:szCs w:val="24"/>
        </w:rPr>
        <w:t xml:space="preserve">was </w:t>
      </w:r>
      <w:r w:rsidR="009E125C" w:rsidRPr="00F45341">
        <w:rPr>
          <w:rFonts w:ascii="Arial" w:eastAsia="Calibri" w:hAnsi="Arial" w:cs="Arial"/>
          <w:sz w:val="24"/>
          <w:szCs w:val="24"/>
        </w:rPr>
        <w:t>interdicted from being processed</w:t>
      </w:r>
      <w:r w:rsidR="007A4980" w:rsidRPr="00F45341">
        <w:rPr>
          <w:rFonts w:ascii="Arial" w:eastAsia="Calibri" w:hAnsi="Arial" w:cs="Arial"/>
          <w:sz w:val="24"/>
          <w:szCs w:val="24"/>
        </w:rPr>
        <w:t>.</w:t>
      </w:r>
      <w:r w:rsidR="0090427C" w:rsidRPr="00F45341">
        <w:rPr>
          <w:rStyle w:val="FootnoteReference"/>
          <w:rFonts w:ascii="Arial" w:eastAsia="Calibri" w:hAnsi="Arial" w:cs="Arial"/>
          <w:sz w:val="24"/>
          <w:szCs w:val="24"/>
        </w:rPr>
        <w:footnoteReference w:id="1"/>
      </w:r>
    </w:p>
    <w:p w14:paraId="0DDF3A52" w14:textId="77777777" w:rsidR="00A531A0" w:rsidRPr="00F45341" w:rsidRDefault="00A531A0" w:rsidP="00F45341">
      <w:pPr>
        <w:spacing w:line="240" w:lineRule="auto"/>
        <w:ind w:left="720" w:hanging="720"/>
        <w:contextualSpacing/>
        <w:jc w:val="both"/>
        <w:rPr>
          <w:rFonts w:ascii="Arial" w:eastAsia="Calibri" w:hAnsi="Arial" w:cs="Arial"/>
          <w:sz w:val="24"/>
          <w:szCs w:val="24"/>
        </w:rPr>
      </w:pPr>
      <w:r w:rsidRPr="00F45341">
        <w:rPr>
          <w:rFonts w:ascii="Arial" w:eastAsia="Calibri" w:hAnsi="Arial" w:cs="Arial"/>
          <w:sz w:val="24"/>
          <w:szCs w:val="24"/>
        </w:rPr>
        <w:lastRenderedPageBreak/>
        <w:tab/>
      </w:r>
    </w:p>
    <w:p w14:paraId="47CD14F6" w14:textId="77777777" w:rsidR="00E6681A" w:rsidRPr="00F45341" w:rsidRDefault="00905067"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8</w:t>
      </w:r>
      <w:r w:rsidRPr="00F45341">
        <w:rPr>
          <w:rFonts w:ascii="Arial" w:eastAsia="Calibri" w:hAnsi="Arial" w:cs="Arial"/>
          <w:sz w:val="24"/>
          <w:szCs w:val="24"/>
        </w:rPr>
        <w:t>]</w:t>
      </w:r>
      <w:r w:rsidRPr="00F45341">
        <w:rPr>
          <w:rFonts w:ascii="Arial" w:eastAsia="Calibri" w:hAnsi="Arial" w:cs="Arial"/>
          <w:sz w:val="24"/>
          <w:szCs w:val="24"/>
        </w:rPr>
        <w:tab/>
        <w:t xml:space="preserve">A meeting was held between </w:t>
      </w:r>
      <w:r w:rsidR="00D16D52" w:rsidRPr="00F45341">
        <w:rPr>
          <w:rFonts w:ascii="Arial" w:eastAsia="Calibri" w:hAnsi="Arial" w:cs="Arial"/>
          <w:sz w:val="24"/>
          <w:szCs w:val="24"/>
        </w:rPr>
        <w:t>t</w:t>
      </w:r>
      <w:r w:rsidRPr="00F45341">
        <w:rPr>
          <w:rFonts w:ascii="Arial" w:eastAsia="Calibri" w:hAnsi="Arial" w:cs="Arial"/>
          <w:sz w:val="24"/>
          <w:szCs w:val="24"/>
        </w:rPr>
        <w:t>he applicant and the first and second respondent</w:t>
      </w:r>
      <w:r w:rsidR="00D16D52" w:rsidRPr="00F45341">
        <w:rPr>
          <w:rFonts w:ascii="Arial" w:eastAsia="Calibri" w:hAnsi="Arial" w:cs="Arial"/>
          <w:sz w:val="24"/>
          <w:szCs w:val="24"/>
        </w:rPr>
        <w:t>s</w:t>
      </w:r>
      <w:r w:rsidRPr="00F45341">
        <w:rPr>
          <w:rFonts w:ascii="Arial" w:eastAsia="Calibri" w:hAnsi="Arial" w:cs="Arial"/>
          <w:sz w:val="24"/>
          <w:szCs w:val="24"/>
        </w:rPr>
        <w:t>. The applicant was advised that the estimated value of the wood from the plantation of R2 million was already harvested by the fifth respondent and that he could potentially harvest wood value</w:t>
      </w:r>
      <w:r w:rsidR="00A205B3" w:rsidRPr="00F45341">
        <w:rPr>
          <w:rFonts w:ascii="Arial" w:eastAsia="Calibri" w:hAnsi="Arial" w:cs="Arial"/>
          <w:sz w:val="24"/>
          <w:szCs w:val="24"/>
        </w:rPr>
        <w:t>d</w:t>
      </w:r>
      <w:r w:rsidRPr="00F45341">
        <w:rPr>
          <w:rFonts w:ascii="Arial" w:eastAsia="Calibri" w:hAnsi="Arial" w:cs="Arial"/>
          <w:sz w:val="24"/>
          <w:szCs w:val="24"/>
        </w:rPr>
        <w:t xml:space="preserve"> </w:t>
      </w:r>
      <w:r w:rsidR="00A205B3" w:rsidRPr="00F45341">
        <w:rPr>
          <w:rFonts w:ascii="Arial" w:eastAsia="Calibri" w:hAnsi="Arial" w:cs="Arial"/>
          <w:sz w:val="24"/>
          <w:szCs w:val="24"/>
        </w:rPr>
        <w:t>at</w:t>
      </w:r>
      <w:r w:rsidRPr="00F45341">
        <w:rPr>
          <w:rFonts w:ascii="Arial" w:eastAsia="Calibri" w:hAnsi="Arial" w:cs="Arial"/>
          <w:sz w:val="24"/>
          <w:szCs w:val="24"/>
        </w:rPr>
        <w:t xml:space="preserve"> R25 million. </w:t>
      </w:r>
      <w:r w:rsidR="00E6681A" w:rsidRPr="00F45341">
        <w:rPr>
          <w:rFonts w:ascii="Arial" w:eastAsia="Calibri" w:hAnsi="Arial" w:cs="Arial"/>
          <w:sz w:val="24"/>
          <w:szCs w:val="24"/>
        </w:rPr>
        <w:t>A</w:t>
      </w:r>
      <w:r w:rsidR="00A205B3" w:rsidRPr="00F45341">
        <w:rPr>
          <w:rFonts w:ascii="Arial" w:eastAsia="Calibri" w:hAnsi="Arial" w:cs="Arial"/>
          <w:sz w:val="24"/>
          <w:szCs w:val="24"/>
        </w:rPr>
        <w:t>dditionally,</w:t>
      </w:r>
      <w:r w:rsidR="00E6681A" w:rsidRPr="00F45341">
        <w:rPr>
          <w:rFonts w:ascii="Arial" w:eastAsia="Calibri" w:hAnsi="Arial" w:cs="Arial"/>
          <w:sz w:val="24"/>
          <w:szCs w:val="24"/>
        </w:rPr>
        <w:t xml:space="preserve"> that an agreement could be finalised within two to thre</w:t>
      </w:r>
      <w:r w:rsidR="009E125C" w:rsidRPr="00F45341">
        <w:rPr>
          <w:rFonts w:ascii="Arial" w:eastAsia="Calibri" w:hAnsi="Arial" w:cs="Arial"/>
          <w:sz w:val="24"/>
          <w:szCs w:val="24"/>
        </w:rPr>
        <w:t>e</w:t>
      </w:r>
      <w:r w:rsidR="00E6681A" w:rsidRPr="00F45341">
        <w:rPr>
          <w:rFonts w:ascii="Arial" w:eastAsia="Calibri" w:hAnsi="Arial" w:cs="Arial"/>
          <w:sz w:val="24"/>
          <w:szCs w:val="24"/>
        </w:rPr>
        <w:t xml:space="preserve"> days with the delay being due to compliance with </w:t>
      </w:r>
      <w:r w:rsidR="001724D7" w:rsidRPr="00F45341">
        <w:rPr>
          <w:rFonts w:ascii="Arial" w:eastAsia="Calibri" w:hAnsi="Arial" w:cs="Arial"/>
          <w:sz w:val="24"/>
          <w:szCs w:val="24"/>
        </w:rPr>
        <w:t>r</w:t>
      </w:r>
      <w:r w:rsidR="00E6681A" w:rsidRPr="00F45341">
        <w:rPr>
          <w:rFonts w:ascii="Arial" w:eastAsia="Calibri" w:hAnsi="Arial" w:cs="Arial"/>
          <w:sz w:val="24"/>
          <w:szCs w:val="24"/>
        </w:rPr>
        <w:t xml:space="preserve">egulation 36 of the Municipal Supply Chain Regulations of 30 May 2005, ‘the </w:t>
      </w:r>
      <w:proofErr w:type="gramStart"/>
      <w:r w:rsidR="001724D7" w:rsidRPr="00F45341">
        <w:rPr>
          <w:rFonts w:ascii="Arial" w:eastAsia="Calibri" w:hAnsi="Arial" w:cs="Arial"/>
          <w:sz w:val="24"/>
          <w:szCs w:val="24"/>
        </w:rPr>
        <w:t>r</w:t>
      </w:r>
      <w:r w:rsidR="00E6681A" w:rsidRPr="00F45341">
        <w:rPr>
          <w:rFonts w:ascii="Arial" w:eastAsia="Calibri" w:hAnsi="Arial" w:cs="Arial"/>
          <w:sz w:val="24"/>
          <w:szCs w:val="24"/>
        </w:rPr>
        <w:t>egulations’</w:t>
      </w:r>
      <w:proofErr w:type="gramEnd"/>
      <w:r w:rsidR="00E6681A" w:rsidRPr="00F45341">
        <w:rPr>
          <w:rFonts w:ascii="Arial" w:eastAsia="Calibri" w:hAnsi="Arial" w:cs="Arial"/>
          <w:sz w:val="24"/>
          <w:szCs w:val="24"/>
        </w:rPr>
        <w:t>.</w:t>
      </w:r>
    </w:p>
    <w:p w14:paraId="21A9EB8C" w14:textId="77777777" w:rsidR="00A205B3" w:rsidRPr="00F45341" w:rsidRDefault="00A205B3" w:rsidP="00F45341">
      <w:pPr>
        <w:spacing w:line="240" w:lineRule="auto"/>
        <w:contextualSpacing/>
        <w:jc w:val="both"/>
        <w:rPr>
          <w:rFonts w:ascii="Arial" w:eastAsia="Calibri" w:hAnsi="Arial" w:cs="Arial"/>
          <w:sz w:val="24"/>
          <w:szCs w:val="24"/>
        </w:rPr>
      </w:pPr>
    </w:p>
    <w:p w14:paraId="0EBE2CF5" w14:textId="77777777" w:rsidR="00E6681A" w:rsidRPr="00F45341" w:rsidRDefault="00E6681A"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9</w:t>
      </w:r>
      <w:r w:rsidRPr="00F45341">
        <w:rPr>
          <w:rFonts w:ascii="Arial" w:eastAsia="Calibri" w:hAnsi="Arial" w:cs="Arial"/>
          <w:sz w:val="24"/>
          <w:szCs w:val="24"/>
        </w:rPr>
        <w:t>]</w:t>
      </w:r>
      <w:r w:rsidRPr="00F45341">
        <w:rPr>
          <w:rFonts w:ascii="Arial" w:eastAsia="Calibri" w:hAnsi="Arial" w:cs="Arial"/>
          <w:sz w:val="24"/>
          <w:szCs w:val="24"/>
        </w:rPr>
        <w:tab/>
        <w:t xml:space="preserve">The applicant suggested that harvesting stop pending the conclusion of a contract and </w:t>
      </w:r>
      <w:r w:rsidR="00A205B3" w:rsidRPr="00F45341">
        <w:rPr>
          <w:rFonts w:ascii="Arial" w:eastAsia="Calibri" w:hAnsi="Arial" w:cs="Arial"/>
          <w:sz w:val="24"/>
          <w:szCs w:val="24"/>
        </w:rPr>
        <w:t xml:space="preserve">that </w:t>
      </w:r>
      <w:r w:rsidRPr="00F45341">
        <w:rPr>
          <w:rFonts w:ascii="Arial" w:eastAsia="Calibri" w:hAnsi="Arial" w:cs="Arial"/>
          <w:sz w:val="24"/>
          <w:szCs w:val="24"/>
        </w:rPr>
        <w:t xml:space="preserve">the harvesting </w:t>
      </w:r>
      <w:r w:rsidR="00A205B3" w:rsidRPr="00F45341">
        <w:rPr>
          <w:rFonts w:ascii="Arial" w:eastAsia="Calibri" w:hAnsi="Arial" w:cs="Arial"/>
          <w:sz w:val="24"/>
          <w:szCs w:val="24"/>
        </w:rPr>
        <w:t xml:space="preserve">which was </w:t>
      </w:r>
      <w:r w:rsidRPr="00F45341">
        <w:rPr>
          <w:rFonts w:ascii="Arial" w:eastAsia="Calibri" w:hAnsi="Arial" w:cs="Arial"/>
          <w:sz w:val="24"/>
          <w:szCs w:val="24"/>
        </w:rPr>
        <w:t>already carried out be measured</w:t>
      </w:r>
      <w:r w:rsidR="00A205B3" w:rsidRPr="00F45341">
        <w:rPr>
          <w:rFonts w:ascii="Arial" w:eastAsia="Calibri" w:hAnsi="Arial" w:cs="Arial"/>
          <w:sz w:val="24"/>
          <w:szCs w:val="24"/>
        </w:rPr>
        <w:t xml:space="preserve"> and that such </w:t>
      </w:r>
      <w:r w:rsidRPr="00F45341">
        <w:rPr>
          <w:rFonts w:ascii="Arial" w:eastAsia="Calibri" w:hAnsi="Arial" w:cs="Arial"/>
          <w:sz w:val="24"/>
          <w:szCs w:val="24"/>
        </w:rPr>
        <w:t xml:space="preserve">contract be concluded within three weeks. At a subsequent meeting, the applicant was advised that the fifth respondent </w:t>
      </w:r>
      <w:r w:rsidR="00A205B3" w:rsidRPr="00F45341">
        <w:rPr>
          <w:rFonts w:ascii="Arial" w:eastAsia="Calibri" w:hAnsi="Arial" w:cs="Arial"/>
          <w:sz w:val="24"/>
          <w:szCs w:val="24"/>
        </w:rPr>
        <w:t>continued</w:t>
      </w:r>
      <w:r w:rsidRPr="00F45341">
        <w:rPr>
          <w:rFonts w:ascii="Arial" w:eastAsia="Calibri" w:hAnsi="Arial" w:cs="Arial"/>
          <w:sz w:val="24"/>
          <w:szCs w:val="24"/>
        </w:rPr>
        <w:t xml:space="preserve"> harvesting.</w:t>
      </w:r>
      <w:r w:rsidR="00927007" w:rsidRPr="00F45341">
        <w:rPr>
          <w:rFonts w:ascii="Arial" w:eastAsia="Calibri" w:hAnsi="Arial" w:cs="Arial"/>
          <w:sz w:val="24"/>
          <w:szCs w:val="24"/>
        </w:rPr>
        <w:t xml:space="preserve"> It was indicated that the tender process would be finalised by October 2021. Further, that the fifth respondent harvesting </w:t>
      </w:r>
      <w:r w:rsidR="00341F1B" w:rsidRPr="00F45341">
        <w:rPr>
          <w:rFonts w:ascii="Arial" w:eastAsia="Calibri" w:hAnsi="Arial" w:cs="Arial"/>
          <w:sz w:val="24"/>
          <w:szCs w:val="24"/>
        </w:rPr>
        <w:t xml:space="preserve">of </w:t>
      </w:r>
      <w:r w:rsidR="00927007" w:rsidRPr="00F45341">
        <w:rPr>
          <w:rFonts w:ascii="Arial" w:eastAsia="Calibri" w:hAnsi="Arial" w:cs="Arial"/>
          <w:sz w:val="24"/>
          <w:szCs w:val="24"/>
        </w:rPr>
        <w:t xml:space="preserve">the trees was </w:t>
      </w:r>
      <w:r w:rsidR="00341F1B" w:rsidRPr="00F45341">
        <w:rPr>
          <w:rFonts w:ascii="Arial" w:eastAsia="Calibri" w:hAnsi="Arial" w:cs="Arial"/>
          <w:sz w:val="24"/>
          <w:szCs w:val="24"/>
        </w:rPr>
        <w:t xml:space="preserve">necessary </w:t>
      </w:r>
      <w:r w:rsidR="00927007" w:rsidRPr="00F45341">
        <w:rPr>
          <w:rFonts w:ascii="Arial" w:eastAsia="Calibri" w:hAnsi="Arial" w:cs="Arial"/>
          <w:sz w:val="24"/>
          <w:szCs w:val="24"/>
        </w:rPr>
        <w:t xml:space="preserve">to preserve the nature resource. </w:t>
      </w:r>
    </w:p>
    <w:p w14:paraId="30CF7757" w14:textId="77777777" w:rsidR="00E6681A" w:rsidRPr="00F45341" w:rsidRDefault="00E6681A" w:rsidP="00F45341">
      <w:pPr>
        <w:spacing w:line="240" w:lineRule="auto"/>
        <w:ind w:left="720" w:hanging="720"/>
        <w:contextualSpacing/>
        <w:jc w:val="both"/>
        <w:rPr>
          <w:rFonts w:ascii="Arial" w:eastAsia="Calibri" w:hAnsi="Arial" w:cs="Arial"/>
          <w:sz w:val="24"/>
          <w:szCs w:val="24"/>
        </w:rPr>
      </w:pPr>
    </w:p>
    <w:p w14:paraId="22221142" w14:textId="77777777" w:rsidR="006948AF" w:rsidRPr="00F45341" w:rsidRDefault="00E6681A"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10</w:t>
      </w:r>
      <w:r w:rsidRPr="00F45341">
        <w:rPr>
          <w:rFonts w:ascii="Arial" w:eastAsia="Calibri" w:hAnsi="Arial" w:cs="Arial"/>
          <w:sz w:val="24"/>
          <w:szCs w:val="24"/>
        </w:rPr>
        <w:t>]</w:t>
      </w:r>
      <w:r w:rsidRPr="00F45341">
        <w:rPr>
          <w:rFonts w:ascii="Arial" w:eastAsia="Calibri" w:hAnsi="Arial" w:cs="Arial"/>
          <w:sz w:val="24"/>
          <w:szCs w:val="24"/>
        </w:rPr>
        <w:tab/>
        <w:t>The applicant contends that a decision of this magnitude could only be taken in accordance with s</w:t>
      </w:r>
      <w:r w:rsidR="00CD62FB" w:rsidRPr="00F45341">
        <w:rPr>
          <w:rFonts w:ascii="Arial" w:eastAsia="Calibri" w:hAnsi="Arial" w:cs="Arial"/>
          <w:sz w:val="24"/>
          <w:szCs w:val="24"/>
        </w:rPr>
        <w:t xml:space="preserve"> </w:t>
      </w:r>
      <w:r w:rsidRPr="00F45341">
        <w:rPr>
          <w:rFonts w:ascii="Arial" w:eastAsia="Calibri" w:hAnsi="Arial" w:cs="Arial"/>
          <w:sz w:val="24"/>
          <w:szCs w:val="24"/>
        </w:rPr>
        <w:t xml:space="preserve">14(2) of the </w:t>
      </w:r>
      <w:r w:rsidR="002170A3" w:rsidRPr="00F45341">
        <w:rPr>
          <w:rFonts w:ascii="Arial" w:eastAsia="Calibri" w:hAnsi="Arial" w:cs="Arial"/>
          <w:sz w:val="24"/>
          <w:szCs w:val="24"/>
        </w:rPr>
        <w:t xml:space="preserve">Local Government: </w:t>
      </w:r>
      <w:r w:rsidRPr="00F45341">
        <w:rPr>
          <w:rFonts w:ascii="Arial" w:eastAsia="Calibri" w:hAnsi="Arial" w:cs="Arial"/>
          <w:sz w:val="24"/>
          <w:szCs w:val="24"/>
        </w:rPr>
        <w:t xml:space="preserve">Municipal Finance Management Act ‘the MFMA’ which requires such decisions to be taken in a meeting open to the public </w:t>
      </w:r>
      <w:r w:rsidR="006948AF" w:rsidRPr="00F45341">
        <w:rPr>
          <w:rFonts w:ascii="Arial" w:eastAsia="Calibri" w:hAnsi="Arial" w:cs="Arial"/>
          <w:sz w:val="24"/>
          <w:szCs w:val="24"/>
        </w:rPr>
        <w:t xml:space="preserve">after it </w:t>
      </w:r>
      <w:r w:rsidR="002170A3" w:rsidRPr="00F45341">
        <w:rPr>
          <w:rFonts w:ascii="Arial" w:eastAsia="Calibri" w:hAnsi="Arial" w:cs="Arial"/>
          <w:sz w:val="24"/>
          <w:szCs w:val="24"/>
        </w:rPr>
        <w:t>has</w:t>
      </w:r>
      <w:r w:rsidR="006948AF" w:rsidRPr="00F45341">
        <w:rPr>
          <w:rFonts w:ascii="Arial" w:eastAsia="Calibri" w:hAnsi="Arial" w:cs="Arial"/>
          <w:sz w:val="24"/>
          <w:szCs w:val="24"/>
        </w:rPr>
        <w:t xml:space="preserve"> resolved that the asset is not required to provide minimum service and consideration of a fair market value is given. </w:t>
      </w:r>
      <w:r w:rsidR="002170A3" w:rsidRPr="00F45341">
        <w:rPr>
          <w:rFonts w:ascii="Arial" w:eastAsia="Calibri" w:hAnsi="Arial" w:cs="Arial"/>
          <w:sz w:val="24"/>
          <w:szCs w:val="24"/>
        </w:rPr>
        <w:t xml:space="preserve">The applicant </w:t>
      </w:r>
      <w:r w:rsidR="006948AF" w:rsidRPr="00F45341">
        <w:rPr>
          <w:rFonts w:ascii="Arial" w:eastAsia="Calibri" w:hAnsi="Arial" w:cs="Arial"/>
          <w:sz w:val="24"/>
          <w:szCs w:val="24"/>
        </w:rPr>
        <w:t>contends further that there was no compliance with this provision since the impugned r</w:t>
      </w:r>
      <w:r w:rsidR="00225EEB" w:rsidRPr="00F45341">
        <w:rPr>
          <w:rFonts w:ascii="Arial" w:eastAsia="Calibri" w:hAnsi="Arial" w:cs="Arial"/>
          <w:sz w:val="24"/>
          <w:szCs w:val="24"/>
        </w:rPr>
        <w:t>e</w:t>
      </w:r>
      <w:r w:rsidR="006948AF" w:rsidRPr="00F45341">
        <w:rPr>
          <w:rFonts w:ascii="Arial" w:eastAsia="Calibri" w:hAnsi="Arial" w:cs="Arial"/>
          <w:sz w:val="24"/>
          <w:szCs w:val="24"/>
        </w:rPr>
        <w:t>solution was taken in a closed council meeting and it was not decided whether the asset implicated was necessary for basic service delivery and the asset value was not indicated.</w:t>
      </w:r>
      <w:r w:rsidR="00927007" w:rsidRPr="00F45341">
        <w:rPr>
          <w:rFonts w:ascii="Arial" w:eastAsia="Calibri" w:hAnsi="Arial" w:cs="Arial"/>
          <w:sz w:val="24"/>
          <w:szCs w:val="24"/>
        </w:rPr>
        <w:t xml:space="preserve"> The first respondent’s new </w:t>
      </w:r>
      <w:r w:rsidR="001724D7" w:rsidRPr="00F45341">
        <w:rPr>
          <w:rFonts w:ascii="Arial" w:eastAsia="Calibri" w:hAnsi="Arial" w:cs="Arial"/>
          <w:sz w:val="24"/>
          <w:szCs w:val="24"/>
        </w:rPr>
        <w:t>m</w:t>
      </w:r>
      <w:r w:rsidR="00927007" w:rsidRPr="00F45341">
        <w:rPr>
          <w:rFonts w:ascii="Arial" w:eastAsia="Calibri" w:hAnsi="Arial" w:cs="Arial"/>
          <w:sz w:val="24"/>
          <w:szCs w:val="24"/>
        </w:rPr>
        <w:t xml:space="preserve">anager confirmed in his answering affidavit that the new lease could only occur in terms of the necessary supply chain management policies and not by </w:t>
      </w:r>
      <w:r w:rsidR="001724D7" w:rsidRPr="00F45341">
        <w:rPr>
          <w:rFonts w:ascii="Arial" w:eastAsia="Calibri" w:hAnsi="Arial" w:cs="Arial"/>
          <w:sz w:val="24"/>
          <w:szCs w:val="24"/>
        </w:rPr>
        <w:t>c</w:t>
      </w:r>
      <w:r w:rsidR="00927007" w:rsidRPr="00F45341">
        <w:rPr>
          <w:rFonts w:ascii="Arial" w:eastAsia="Calibri" w:hAnsi="Arial" w:cs="Arial"/>
          <w:sz w:val="24"/>
          <w:szCs w:val="24"/>
        </w:rPr>
        <w:t>ouncil resolution.</w:t>
      </w:r>
    </w:p>
    <w:p w14:paraId="0FFCE3DA" w14:textId="77777777" w:rsidR="006948AF" w:rsidRPr="00F45341" w:rsidRDefault="006948AF" w:rsidP="00F45341">
      <w:pPr>
        <w:spacing w:line="240" w:lineRule="auto"/>
        <w:ind w:left="720" w:hanging="720"/>
        <w:contextualSpacing/>
        <w:jc w:val="both"/>
        <w:rPr>
          <w:rFonts w:ascii="Arial" w:eastAsia="Calibri" w:hAnsi="Arial" w:cs="Arial"/>
          <w:sz w:val="24"/>
          <w:szCs w:val="24"/>
        </w:rPr>
      </w:pPr>
    </w:p>
    <w:p w14:paraId="73BDD19F" w14:textId="77777777" w:rsidR="00E6681A" w:rsidRPr="00F45341" w:rsidRDefault="006948AF"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w:t>
      </w:r>
      <w:r w:rsidR="00416CB9" w:rsidRPr="00F45341">
        <w:rPr>
          <w:rFonts w:ascii="Arial" w:eastAsia="Calibri" w:hAnsi="Arial" w:cs="Arial"/>
          <w:sz w:val="24"/>
          <w:szCs w:val="24"/>
        </w:rPr>
        <w:t>11</w:t>
      </w:r>
      <w:r w:rsidRPr="00F45341">
        <w:rPr>
          <w:rFonts w:ascii="Arial" w:eastAsia="Calibri" w:hAnsi="Arial" w:cs="Arial"/>
          <w:sz w:val="24"/>
          <w:szCs w:val="24"/>
        </w:rPr>
        <w:t>]</w:t>
      </w:r>
      <w:r w:rsidRPr="00F45341">
        <w:rPr>
          <w:rFonts w:ascii="Arial" w:eastAsia="Calibri" w:hAnsi="Arial" w:cs="Arial"/>
          <w:sz w:val="24"/>
          <w:szCs w:val="24"/>
        </w:rPr>
        <w:tab/>
      </w:r>
      <w:r w:rsidR="009E125C" w:rsidRPr="00F45341">
        <w:rPr>
          <w:rFonts w:ascii="Arial" w:eastAsia="Calibri" w:hAnsi="Arial" w:cs="Arial"/>
          <w:sz w:val="24"/>
          <w:szCs w:val="24"/>
        </w:rPr>
        <w:t>According to the applicant, the two</w:t>
      </w:r>
      <w:r w:rsidR="00CD62FB" w:rsidRPr="00F45341">
        <w:rPr>
          <w:rFonts w:ascii="Arial" w:eastAsia="Calibri" w:hAnsi="Arial" w:cs="Arial"/>
          <w:sz w:val="24"/>
          <w:szCs w:val="24"/>
        </w:rPr>
        <w:t>-</w:t>
      </w:r>
      <w:r w:rsidR="009E125C" w:rsidRPr="00F45341">
        <w:rPr>
          <w:rFonts w:ascii="Arial" w:eastAsia="Calibri" w:hAnsi="Arial" w:cs="Arial"/>
          <w:sz w:val="24"/>
          <w:szCs w:val="24"/>
        </w:rPr>
        <w:t xml:space="preserve">year appointment of the fifth respondent </w:t>
      </w:r>
      <w:r w:rsidR="002170A3" w:rsidRPr="00F45341">
        <w:rPr>
          <w:rFonts w:ascii="Arial" w:eastAsia="Calibri" w:hAnsi="Arial" w:cs="Arial"/>
          <w:sz w:val="24"/>
          <w:szCs w:val="24"/>
        </w:rPr>
        <w:t xml:space="preserve">was illogical </w:t>
      </w:r>
      <w:r w:rsidR="009E125C" w:rsidRPr="00F45341">
        <w:rPr>
          <w:rFonts w:ascii="Arial" w:eastAsia="Calibri" w:hAnsi="Arial" w:cs="Arial"/>
          <w:sz w:val="24"/>
          <w:szCs w:val="24"/>
        </w:rPr>
        <w:t xml:space="preserve">and was irrational due to the forestry cycle. </w:t>
      </w:r>
      <w:r w:rsidR="00EE549F" w:rsidRPr="00F45341">
        <w:rPr>
          <w:rFonts w:ascii="Arial" w:eastAsia="Calibri" w:hAnsi="Arial" w:cs="Arial"/>
          <w:sz w:val="24"/>
          <w:szCs w:val="24"/>
        </w:rPr>
        <w:t xml:space="preserve">In addition to this, it contends that the land should have been leased to meet the financial needs of the community but was ‘given’ to an individual which was a further act of irrationality. </w:t>
      </w:r>
      <w:r w:rsidR="002170A3" w:rsidRPr="00F45341">
        <w:rPr>
          <w:rFonts w:ascii="Arial" w:eastAsia="Calibri" w:hAnsi="Arial" w:cs="Arial"/>
          <w:sz w:val="24"/>
          <w:szCs w:val="24"/>
        </w:rPr>
        <w:t>On 25 June 2020, t</w:t>
      </w:r>
      <w:r w:rsidR="00EE549F" w:rsidRPr="00F45341">
        <w:rPr>
          <w:rFonts w:ascii="Arial" w:eastAsia="Calibri" w:hAnsi="Arial" w:cs="Arial"/>
          <w:sz w:val="24"/>
          <w:szCs w:val="24"/>
        </w:rPr>
        <w:t xml:space="preserve">he first respondent resolved to terminate the lease of the </w:t>
      </w:r>
      <w:r w:rsidR="002170A3" w:rsidRPr="00F45341">
        <w:rPr>
          <w:rFonts w:ascii="Arial" w:eastAsia="Calibri" w:hAnsi="Arial" w:cs="Arial"/>
          <w:sz w:val="24"/>
          <w:szCs w:val="24"/>
        </w:rPr>
        <w:t>former</w:t>
      </w:r>
      <w:r w:rsidR="00EE549F" w:rsidRPr="00F45341">
        <w:rPr>
          <w:rFonts w:ascii="Arial" w:eastAsia="Calibri" w:hAnsi="Arial" w:cs="Arial"/>
          <w:sz w:val="24"/>
          <w:szCs w:val="24"/>
        </w:rPr>
        <w:t xml:space="preserve"> le</w:t>
      </w:r>
      <w:r w:rsidR="00966699" w:rsidRPr="00F45341">
        <w:rPr>
          <w:rFonts w:ascii="Arial" w:eastAsia="Calibri" w:hAnsi="Arial" w:cs="Arial"/>
          <w:sz w:val="24"/>
          <w:szCs w:val="24"/>
        </w:rPr>
        <w:t>s</w:t>
      </w:r>
      <w:r w:rsidR="00EE549F" w:rsidRPr="00F45341">
        <w:rPr>
          <w:rFonts w:ascii="Arial" w:eastAsia="Calibri" w:hAnsi="Arial" w:cs="Arial"/>
          <w:sz w:val="24"/>
          <w:szCs w:val="24"/>
        </w:rPr>
        <w:t>see in favour of the community with a land claim. A</w:t>
      </w:r>
      <w:r w:rsidR="001C3973" w:rsidRPr="00F45341">
        <w:rPr>
          <w:rFonts w:ascii="Arial" w:eastAsia="Calibri" w:hAnsi="Arial" w:cs="Arial"/>
          <w:sz w:val="24"/>
          <w:szCs w:val="24"/>
        </w:rPr>
        <w:t>s</w:t>
      </w:r>
      <w:r w:rsidR="00EE549F" w:rsidRPr="00F45341">
        <w:rPr>
          <w:rFonts w:ascii="Arial" w:eastAsia="Calibri" w:hAnsi="Arial" w:cs="Arial"/>
          <w:sz w:val="24"/>
          <w:szCs w:val="24"/>
        </w:rPr>
        <w:t xml:space="preserve"> </w:t>
      </w:r>
      <w:proofErr w:type="gramStart"/>
      <w:r w:rsidR="00EE549F" w:rsidRPr="00F45341">
        <w:rPr>
          <w:rFonts w:ascii="Arial" w:eastAsia="Calibri" w:hAnsi="Arial" w:cs="Arial"/>
          <w:sz w:val="24"/>
          <w:szCs w:val="24"/>
        </w:rPr>
        <w:t>at</w:t>
      </w:r>
      <w:proofErr w:type="gramEnd"/>
      <w:r w:rsidR="00EE549F" w:rsidRPr="00F45341">
        <w:rPr>
          <w:rFonts w:ascii="Arial" w:eastAsia="Calibri" w:hAnsi="Arial" w:cs="Arial"/>
          <w:sz w:val="24"/>
          <w:szCs w:val="24"/>
        </w:rPr>
        <w:t xml:space="preserve"> 17 November 2020, there </w:t>
      </w:r>
      <w:r w:rsidR="00966699" w:rsidRPr="00F45341">
        <w:rPr>
          <w:rFonts w:ascii="Arial" w:eastAsia="Calibri" w:hAnsi="Arial" w:cs="Arial"/>
          <w:sz w:val="24"/>
          <w:szCs w:val="24"/>
        </w:rPr>
        <w:t>had been an internal memorandum with three options regarding the land which were to</w:t>
      </w:r>
      <w:r w:rsidR="00F24271" w:rsidRPr="00F45341">
        <w:rPr>
          <w:rFonts w:ascii="Arial" w:eastAsia="Calibri" w:hAnsi="Arial" w:cs="Arial"/>
          <w:sz w:val="24"/>
          <w:szCs w:val="24"/>
        </w:rPr>
        <w:t>:</w:t>
      </w:r>
      <w:r w:rsidR="00966699" w:rsidRPr="00F45341">
        <w:rPr>
          <w:rFonts w:ascii="Arial" w:eastAsia="Calibri" w:hAnsi="Arial" w:cs="Arial"/>
          <w:sz w:val="24"/>
          <w:szCs w:val="24"/>
        </w:rPr>
        <w:t xml:space="preserve"> renew the old lease, sell the property or to conclude a new lease. The memorandum also provided for public participation in the process and a need to ensure compliance with supply chain policies including the valuation o</w:t>
      </w:r>
      <w:r w:rsidR="001C3973" w:rsidRPr="00F45341">
        <w:rPr>
          <w:rFonts w:ascii="Arial" w:eastAsia="Calibri" w:hAnsi="Arial" w:cs="Arial"/>
          <w:sz w:val="24"/>
          <w:szCs w:val="24"/>
        </w:rPr>
        <w:t>f</w:t>
      </w:r>
      <w:r w:rsidR="00966699" w:rsidRPr="00F45341">
        <w:rPr>
          <w:rFonts w:ascii="Arial" w:eastAsia="Calibri" w:hAnsi="Arial" w:cs="Arial"/>
          <w:sz w:val="24"/>
          <w:szCs w:val="24"/>
        </w:rPr>
        <w:t xml:space="preserve"> the property. The applicant contends that there was no compliance</w:t>
      </w:r>
      <w:r w:rsidR="001C3973" w:rsidRPr="00F45341">
        <w:rPr>
          <w:rFonts w:ascii="Arial" w:eastAsia="Calibri" w:hAnsi="Arial" w:cs="Arial"/>
          <w:sz w:val="24"/>
          <w:szCs w:val="24"/>
        </w:rPr>
        <w:t xml:space="preserve"> with the memorandum. </w:t>
      </w:r>
      <w:r w:rsidR="00966699" w:rsidRPr="00F45341">
        <w:rPr>
          <w:rFonts w:ascii="Arial" w:eastAsia="Calibri" w:hAnsi="Arial" w:cs="Arial"/>
          <w:sz w:val="24"/>
          <w:szCs w:val="24"/>
        </w:rPr>
        <w:t xml:space="preserve">  </w:t>
      </w:r>
    </w:p>
    <w:p w14:paraId="541FC024" w14:textId="77777777" w:rsidR="001C3973" w:rsidRPr="00F45341" w:rsidRDefault="001C3973" w:rsidP="00F45341">
      <w:pPr>
        <w:spacing w:line="240" w:lineRule="auto"/>
        <w:ind w:left="720" w:hanging="720"/>
        <w:contextualSpacing/>
        <w:jc w:val="both"/>
        <w:rPr>
          <w:rFonts w:ascii="Arial" w:eastAsia="Calibri" w:hAnsi="Arial" w:cs="Arial"/>
          <w:sz w:val="24"/>
          <w:szCs w:val="24"/>
        </w:rPr>
      </w:pPr>
    </w:p>
    <w:p w14:paraId="611AF6D3" w14:textId="77777777" w:rsidR="001C3973" w:rsidRPr="00F45341" w:rsidRDefault="001C397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[1</w:t>
      </w:r>
      <w:r w:rsidR="003A7C2F" w:rsidRPr="00F45341">
        <w:rPr>
          <w:rFonts w:ascii="Arial" w:eastAsia="Calibri" w:hAnsi="Arial" w:cs="Arial"/>
          <w:sz w:val="24"/>
          <w:szCs w:val="24"/>
        </w:rPr>
        <w:t>2</w:t>
      </w:r>
      <w:r w:rsidRPr="00F45341">
        <w:rPr>
          <w:rFonts w:ascii="Arial" w:eastAsia="Calibri" w:hAnsi="Arial" w:cs="Arial"/>
          <w:sz w:val="24"/>
          <w:szCs w:val="24"/>
        </w:rPr>
        <w:t>]</w:t>
      </w:r>
      <w:r w:rsidRPr="00F45341">
        <w:rPr>
          <w:rFonts w:ascii="Arial" w:eastAsia="Calibri" w:hAnsi="Arial" w:cs="Arial"/>
          <w:sz w:val="24"/>
          <w:szCs w:val="24"/>
        </w:rPr>
        <w:tab/>
        <w:t xml:space="preserve">The applicant contends that the first and second respondents evidenced bias in favour of the fifth respondent and a consideration of irrelevant considerations as they went as far as seeking the land claim information and confirmation on behalf of the fifth respondent. There was no basis to deviate from the provisions of the supply chain management regulations. </w:t>
      </w:r>
    </w:p>
    <w:p w14:paraId="627BDD02" w14:textId="77777777" w:rsidR="0045188E" w:rsidRPr="00F45341" w:rsidRDefault="0045188E" w:rsidP="00F45341">
      <w:pPr>
        <w:spacing w:line="240" w:lineRule="auto"/>
        <w:contextualSpacing/>
        <w:jc w:val="both"/>
        <w:rPr>
          <w:rFonts w:ascii="Arial" w:eastAsia="Calibri" w:hAnsi="Arial" w:cs="Arial"/>
          <w:sz w:val="24"/>
          <w:szCs w:val="24"/>
        </w:rPr>
      </w:pPr>
    </w:p>
    <w:p w14:paraId="44DA8632" w14:textId="77777777" w:rsidR="0045188E" w:rsidRPr="00F45341" w:rsidRDefault="0045188E"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[1</w:t>
      </w:r>
      <w:r w:rsidR="003A7C2F" w:rsidRPr="00F45341">
        <w:rPr>
          <w:rFonts w:ascii="Arial" w:eastAsia="Calibri" w:hAnsi="Arial" w:cs="Arial"/>
          <w:sz w:val="24"/>
          <w:szCs w:val="24"/>
        </w:rPr>
        <w:t>3</w:t>
      </w:r>
      <w:r w:rsidRPr="00F45341">
        <w:rPr>
          <w:rFonts w:ascii="Arial" w:eastAsia="Calibri" w:hAnsi="Arial" w:cs="Arial"/>
          <w:sz w:val="24"/>
          <w:szCs w:val="24"/>
        </w:rPr>
        <w:t>]</w:t>
      </w:r>
      <w:r w:rsidRPr="00F45341">
        <w:rPr>
          <w:rFonts w:ascii="Arial" w:eastAsia="Calibri" w:hAnsi="Arial" w:cs="Arial"/>
          <w:sz w:val="24"/>
          <w:szCs w:val="24"/>
        </w:rPr>
        <w:tab/>
        <w:t xml:space="preserve">A written agreement was annexed to the answering affidavit which </w:t>
      </w:r>
      <w:r w:rsidR="00F24271" w:rsidRPr="00F45341">
        <w:rPr>
          <w:rFonts w:ascii="Arial" w:eastAsia="Calibri" w:hAnsi="Arial" w:cs="Arial"/>
          <w:sz w:val="24"/>
          <w:szCs w:val="24"/>
        </w:rPr>
        <w:t xml:space="preserve">only </w:t>
      </w:r>
      <w:r w:rsidRPr="00F45341">
        <w:rPr>
          <w:rFonts w:ascii="Arial" w:eastAsia="Calibri" w:hAnsi="Arial" w:cs="Arial"/>
          <w:sz w:val="24"/>
          <w:szCs w:val="24"/>
        </w:rPr>
        <w:t>mentions the two</w:t>
      </w:r>
      <w:r w:rsidR="00CD62FB" w:rsidRPr="00F45341">
        <w:rPr>
          <w:rFonts w:ascii="Arial" w:eastAsia="Calibri" w:hAnsi="Arial" w:cs="Arial"/>
          <w:sz w:val="24"/>
          <w:szCs w:val="24"/>
        </w:rPr>
        <w:t>-</w:t>
      </w:r>
      <w:r w:rsidRPr="00F45341">
        <w:rPr>
          <w:rFonts w:ascii="Arial" w:eastAsia="Calibri" w:hAnsi="Arial" w:cs="Arial"/>
          <w:sz w:val="24"/>
          <w:szCs w:val="24"/>
        </w:rPr>
        <w:t xml:space="preserve">year period </w:t>
      </w:r>
      <w:r w:rsidR="00F24271" w:rsidRPr="00F45341">
        <w:rPr>
          <w:rFonts w:ascii="Arial" w:eastAsia="Calibri" w:hAnsi="Arial" w:cs="Arial"/>
          <w:sz w:val="24"/>
          <w:szCs w:val="24"/>
        </w:rPr>
        <w:t xml:space="preserve">of the </w:t>
      </w:r>
      <w:proofErr w:type="gramStart"/>
      <w:r w:rsidR="00F24271" w:rsidRPr="00F45341">
        <w:rPr>
          <w:rFonts w:ascii="Arial" w:eastAsia="Calibri" w:hAnsi="Arial" w:cs="Arial"/>
          <w:sz w:val="24"/>
          <w:szCs w:val="24"/>
        </w:rPr>
        <w:t>appointment</w:t>
      </w:r>
      <w:r w:rsidR="007421A2" w:rsidRPr="00F45341">
        <w:rPr>
          <w:rFonts w:ascii="Arial" w:eastAsia="Calibri" w:hAnsi="Arial" w:cs="Arial"/>
          <w:sz w:val="24"/>
          <w:szCs w:val="24"/>
        </w:rPr>
        <w:t xml:space="preserve"> </w:t>
      </w:r>
      <w:r w:rsidRPr="00F45341">
        <w:rPr>
          <w:rFonts w:ascii="Arial" w:eastAsia="Calibri" w:hAnsi="Arial" w:cs="Arial"/>
          <w:sz w:val="24"/>
          <w:szCs w:val="24"/>
        </w:rPr>
        <w:t>.</w:t>
      </w:r>
      <w:proofErr w:type="gramEnd"/>
      <w:r w:rsidRPr="00F45341">
        <w:rPr>
          <w:rFonts w:ascii="Arial" w:eastAsia="Calibri" w:hAnsi="Arial" w:cs="Arial"/>
          <w:sz w:val="24"/>
          <w:szCs w:val="24"/>
        </w:rPr>
        <w:t xml:space="preserve"> It sets out </w:t>
      </w:r>
      <w:r w:rsidR="00F24271" w:rsidRPr="00F45341">
        <w:rPr>
          <w:rFonts w:ascii="Arial" w:eastAsia="Calibri" w:hAnsi="Arial" w:cs="Arial"/>
          <w:sz w:val="24"/>
          <w:szCs w:val="24"/>
        </w:rPr>
        <w:t xml:space="preserve">the </w:t>
      </w:r>
      <w:r w:rsidRPr="00F45341">
        <w:rPr>
          <w:rFonts w:ascii="Arial" w:eastAsia="Calibri" w:hAnsi="Arial" w:cs="Arial"/>
          <w:sz w:val="24"/>
          <w:szCs w:val="24"/>
        </w:rPr>
        <w:t xml:space="preserve">rental of R183 per hectare on 625.7 hectares totalling </w:t>
      </w:r>
      <w:r w:rsidR="00F24271" w:rsidRPr="00F45341">
        <w:rPr>
          <w:rFonts w:ascii="Arial" w:eastAsia="Calibri" w:hAnsi="Arial" w:cs="Arial"/>
          <w:sz w:val="24"/>
          <w:szCs w:val="24"/>
        </w:rPr>
        <w:t xml:space="preserve">to </w:t>
      </w:r>
      <w:r w:rsidRPr="00F45341">
        <w:rPr>
          <w:rFonts w:ascii="Arial" w:eastAsia="Calibri" w:hAnsi="Arial" w:cs="Arial"/>
          <w:sz w:val="24"/>
          <w:szCs w:val="24"/>
        </w:rPr>
        <w:t>R114 503.10 and records that rental should be paid monthly, in advance</w:t>
      </w:r>
      <w:r w:rsidR="00F24271" w:rsidRPr="00F45341">
        <w:rPr>
          <w:rFonts w:ascii="Arial" w:eastAsia="Calibri" w:hAnsi="Arial" w:cs="Arial"/>
          <w:sz w:val="24"/>
          <w:szCs w:val="24"/>
        </w:rPr>
        <w:t>,</w:t>
      </w:r>
      <w:r w:rsidRPr="00F45341">
        <w:rPr>
          <w:rFonts w:ascii="Arial" w:eastAsia="Calibri" w:hAnsi="Arial" w:cs="Arial"/>
          <w:sz w:val="24"/>
          <w:szCs w:val="24"/>
        </w:rPr>
        <w:t xml:space="preserve"> in the amount of R5000. The yearly rental would equal </w:t>
      </w:r>
      <w:r w:rsidRPr="00F45341">
        <w:rPr>
          <w:rFonts w:ascii="Arial" w:eastAsia="Calibri" w:hAnsi="Arial" w:cs="Arial"/>
          <w:sz w:val="24"/>
          <w:szCs w:val="24"/>
        </w:rPr>
        <w:lastRenderedPageBreak/>
        <w:t xml:space="preserve">R60 000. The applicant estimates wood to the value of R9 million having been harvested as at the signing of its replying affidavit. It </w:t>
      </w:r>
      <w:proofErr w:type="gramStart"/>
      <w:r w:rsidR="00F24271" w:rsidRPr="00F45341">
        <w:rPr>
          <w:rFonts w:ascii="Arial" w:eastAsia="Calibri" w:hAnsi="Arial" w:cs="Arial"/>
          <w:sz w:val="24"/>
          <w:szCs w:val="24"/>
        </w:rPr>
        <w:t xml:space="preserve">further </w:t>
      </w:r>
      <w:r w:rsidRPr="00F45341">
        <w:rPr>
          <w:rFonts w:ascii="Arial" w:eastAsia="Calibri" w:hAnsi="Arial" w:cs="Arial"/>
          <w:sz w:val="24"/>
          <w:szCs w:val="24"/>
        </w:rPr>
        <w:t xml:space="preserve"> records</w:t>
      </w:r>
      <w:proofErr w:type="gramEnd"/>
      <w:r w:rsidRPr="00F45341">
        <w:rPr>
          <w:rFonts w:ascii="Arial" w:eastAsia="Calibri" w:hAnsi="Arial" w:cs="Arial"/>
          <w:sz w:val="24"/>
          <w:szCs w:val="24"/>
        </w:rPr>
        <w:t xml:space="preserve"> that the plantation is insured for R18 million which is an under value.</w:t>
      </w:r>
      <w:r w:rsidR="004717AA" w:rsidRPr="00F45341">
        <w:rPr>
          <w:rFonts w:ascii="Arial" w:eastAsia="Calibri" w:hAnsi="Arial" w:cs="Arial"/>
          <w:sz w:val="24"/>
          <w:szCs w:val="24"/>
        </w:rPr>
        <w:t xml:space="preserve"> </w:t>
      </w:r>
      <w:r w:rsidR="00EE0ECC" w:rsidRPr="00F45341">
        <w:rPr>
          <w:rFonts w:ascii="Arial" w:eastAsia="Calibri" w:hAnsi="Arial" w:cs="Arial"/>
          <w:sz w:val="24"/>
          <w:szCs w:val="24"/>
        </w:rPr>
        <w:t>It was also alluded that the written document recorded that</w:t>
      </w:r>
      <w:r w:rsidR="00CD62FB" w:rsidRPr="00F45341">
        <w:rPr>
          <w:rFonts w:ascii="Arial" w:eastAsia="Calibri" w:hAnsi="Arial" w:cs="Arial"/>
          <w:sz w:val="24"/>
          <w:szCs w:val="24"/>
        </w:rPr>
        <w:t xml:space="preserve"> </w:t>
      </w:r>
      <w:r w:rsidR="00EE0ECC" w:rsidRPr="00F45341">
        <w:rPr>
          <w:rFonts w:ascii="Arial" w:eastAsia="Calibri" w:hAnsi="Arial" w:cs="Arial"/>
          <w:sz w:val="24"/>
          <w:szCs w:val="24"/>
        </w:rPr>
        <w:t>20</w:t>
      </w:r>
      <w:r w:rsidR="00CD62FB" w:rsidRPr="00F45341">
        <w:rPr>
          <w:rFonts w:ascii="Arial" w:eastAsia="Calibri" w:hAnsi="Arial" w:cs="Arial"/>
          <w:sz w:val="24"/>
          <w:szCs w:val="24"/>
        </w:rPr>
        <w:t xml:space="preserve"> per </w:t>
      </w:r>
      <w:proofErr w:type="gramStart"/>
      <w:r w:rsidR="00CD62FB" w:rsidRPr="00F45341">
        <w:rPr>
          <w:rFonts w:ascii="Arial" w:eastAsia="Calibri" w:hAnsi="Arial" w:cs="Arial"/>
          <w:sz w:val="24"/>
          <w:szCs w:val="24"/>
        </w:rPr>
        <w:t xml:space="preserve">cent </w:t>
      </w:r>
      <w:r w:rsidR="00EE0ECC" w:rsidRPr="00F45341">
        <w:rPr>
          <w:rFonts w:ascii="Arial" w:eastAsia="Calibri" w:hAnsi="Arial" w:cs="Arial"/>
          <w:sz w:val="24"/>
          <w:szCs w:val="24"/>
        </w:rPr>
        <w:t xml:space="preserve"> of</w:t>
      </w:r>
      <w:proofErr w:type="gramEnd"/>
      <w:r w:rsidR="00EE0ECC" w:rsidRPr="00F45341">
        <w:rPr>
          <w:rFonts w:ascii="Arial" w:eastAsia="Calibri" w:hAnsi="Arial" w:cs="Arial"/>
          <w:sz w:val="24"/>
          <w:szCs w:val="24"/>
        </w:rPr>
        <w:t xml:space="preserve"> the profits less operating expen</w:t>
      </w:r>
      <w:r w:rsidR="007015C3" w:rsidRPr="00F45341">
        <w:rPr>
          <w:rFonts w:ascii="Arial" w:eastAsia="Calibri" w:hAnsi="Arial" w:cs="Arial"/>
          <w:sz w:val="24"/>
          <w:szCs w:val="24"/>
        </w:rPr>
        <w:t>s</w:t>
      </w:r>
      <w:r w:rsidR="00EE0ECC" w:rsidRPr="00F45341">
        <w:rPr>
          <w:rFonts w:ascii="Arial" w:eastAsia="Calibri" w:hAnsi="Arial" w:cs="Arial"/>
          <w:sz w:val="24"/>
          <w:szCs w:val="24"/>
        </w:rPr>
        <w:t>es should be paid to the municipality. The result was that the fifth respondent could calculate profit and then deduct his expen</w:t>
      </w:r>
      <w:r w:rsidR="007015C3" w:rsidRPr="00F45341">
        <w:rPr>
          <w:rFonts w:ascii="Arial" w:eastAsia="Calibri" w:hAnsi="Arial" w:cs="Arial"/>
          <w:sz w:val="24"/>
          <w:szCs w:val="24"/>
        </w:rPr>
        <w:t>s</w:t>
      </w:r>
      <w:r w:rsidR="00EE0ECC" w:rsidRPr="00F45341">
        <w:rPr>
          <w:rFonts w:ascii="Arial" w:eastAsia="Calibri" w:hAnsi="Arial" w:cs="Arial"/>
          <w:sz w:val="24"/>
          <w:szCs w:val="24"/>
        </w:rPr>
        <w:t>es from the said calculation.</w:t>
      </w:r>
    </w:p>
    <w:p w14:paraId="0E5AF84B" w14:textId="77777777" w:rsidR="00EE0ECC" w:rsidRPr="00F45341" w:rsidRDefault="00EE0ECC" w:rsidP="00F45341">
      <w:pPr>
        <w:spacing w:line="240" w:lineRule="auto"/>
        <w:contextualSpacing/>
        <w:jc w:val="both"/>
        <w:rPr>
          <w:rFonts w:ascii="Arial" w:eastAsia="Calibri" w:hAnsi="Arial" w:cs="Arial"/>
          <w:sz w:val="24"/>
          <w:szCs w:val="24"/>
        </w:rPr>
      </w:pPr>
    </w:p>
    <w:p w14:paraId="52F41DB3" w14:textId="77777777" w:rsidR="00EE0ECC" w:rsidRPr="00F45341" w:rsidRDefault="0000494B"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[1</w:t>
      </w:r>
      <w:r w:rsidR="003A7C2F" w:rsidRPr="00F45341">
        <w:rPr>
          <w:rFonts w:ascii="Arial" w:eastAsia="Calibri" w:hAnsi="Arial" w:cs="Arial"/>
          <w:sz w:val="24"/>
          <w:szCs w:val="24"/>
        </w:rPr>
        <w:t>4</w:t>
      </w:r>
      <w:r w:rsidRPr="00F45341">
        <w:rPr>
          <w:rFonts w:ascii="Arial" w:eastAsia="Calibri" w:hAnsi="Arial" w:cs="Arial"/>
          <w:sz w:val="24"/>
          <w:szCs w:val="24"/>
        </w:rPr>
        <w:t>]</w:t>
      </w:r>
      <w:r w:rsidRPr="00F45341">
        <w:rPr>
          <w:rFonts w:ascii="Arial" w:eastAsia="Calibri" w:hAnsi="Arial" w:cs="Arial"/>
          <w:sz w:val="24"/>
          <w:szCs w:val="24"/>
        </w:rPr>
        <w:tab/>
      </w:r>
      <w:r w:rsidR="00EE0ECC" w:rsidRPr="00F45341">
        <w:rPr>
          <w:rFonts w:ascii="Arial" w:eastAsia="Calibri" w:hAnsi="Arial" w:cs="Arial"/>
          <w:sz w:val="24"/>
          <w:szCs w:val="24"/>
        </w:rPr>
        <w:t>After setting out the importance of the record in</w:t>
      </w:r>
      <w:r w:rsidR="007421A2" w:rsidRPr="00F45341">
        <w:rPr>
          <w:rFonts w:ascii="Arial" w:eastAsia="Calibri" w:hAnsi="Arial" w:cs="Arial"/>
          <w:sz w:val="24"/>
          <w:szCs w:val="24"/>
        </w:rPr>
        <w:t xml:space="preserve"> the</w:t>
      </w:r>
      <w:r w:rsidR="00EE0ECC" w:rsidRPr="00F45341">
        <w:rPr>
          <w:rFonts w:ascii="Arial" w:eastAsia="Calibri" w:hAnsi="Arial" w:cs="Arial"/>
          <w:sz w:val="24"/>
          <w:szCs w:val="24"/>
        </w:rPr>
        <w:t xml:space="preserve"> review proceedings as alluded in</w:t>
      </w:r>
      <w:r w:rsidR="007A4980" w:rsidRPr="00F45341">
        <w:rPr>
          <w:rFonts w:ascii="Arial" w:eastAsia="Calibri" w:hAnsi="Arial" w:cs="Arial"/>
          <w:i/>
          <w:sz w:val="24"/>
          <w:szCs w:val="24"/>
        </w:rPr>
        <w:t xml:space="preserve"> </w:t>
      </w:r>
      <w:bookmarkStart w:id="1" w:name="_Hlk166564595"/>
      <w:r w:rsidR="007A4980" w:rsidRPr="00F45341">
        <w:rPr>
          <w:rFonts w:ascii="Arial" w:eastAsia="Calibri" w:hAnsi="Arial" w:cs="Arial"/>
          <w:i/>
          <w:sz w:val="24"/>
          <w:szCs w:val="24"/>
        </w:rPr>
        <w:t>Helen Suzman Foundation v Judicial Service Commission</w:t>
      </w:r>
      <w:bookmarkEnd w:id="1"/>
      <w:r w:rsidR="00EE0ECC" w:rsidRPr="00F45341">
        <w:rPr>
          <w:rFonts w:ascii="Arial" w:eastAsia="Calibri" w:hAnsi="Arial" w:cs="Arial"/>
          <w:sz w:val="24"/>
          <w:szCs w:val="24"/>
        </w:rPr>
        <w:t>,</w:t>
      </w:r>
      <w:r w:rsidR="007A4980" w:rsidRPr="00F45341">
        <w:rPr>
          <w:rStyle w:val="FootnoteReference"/>
          <w:rFonts w:ascii="Arial" w:eastAsia="Calibri" w:hAnsi="Arial" w:cs="Arial"/>
          <w:sz w:val="24"/>
          <w:szCs w:val="24"/>
        </w:rPr>
        <w:footnoteReference w:id="2"/>
      </w:r>
      <w:r w:rsidR="00EE0ECC" w:rsidRPr="00F45341">
        <w:rPr>
          <w:rFonts w:ascii="Arial" w:eastAsia="Calibri" w:hAnsi="Arial" w:cs="Arial"/>
          <w:sz w:val="24"/>
          <w:szCs w:val="24"/>
        </w:rPr>
        <w:t xml:space="preserve"> the applicant st</w:t>
      </w:r>
      <w:r w:rsidR="002170A3" w:rsidRPr="00F45341">
        <w:rPr>
          <w:rFonts w:ascii="Arial" w:eastAsia="Calibri" w:hAnsi="Arial" w:cs="Arial"/>
          <w:sz w:val="24"/>
          <w:szCs w:val="24"/>
        </w:rPr>
        <w:t>ipulated</w:t>
      </w:r>
      <w:r w:rsidR="00EE0ECC" w:rsidRPr="00F45341">
        <w:rPr>
          <w:rFonts w:ascii="Arial" w:eastAsia="Calibri" w:hAnsi="Arial" w:cs="Arial"/>
          <w:sz w:val="24"/>
          <w:szCs w:val="24"/>
        </w:rPr>
        <w:t xml:space="preserve"> what was missing from the record. This included the agreement between the first and fifth respondents which was only produced as an annexure to the answering affidavit; the first respondent’s supply chain documents and </w:t>
      </w:r>
      <w:r w:rsidR="002170A3" w:rsidRPr="00F45341">
        <w:rPr>
          <w:rFonts w:ascii="Arial" w:eastAsia="Calibri" w:hAnsi="Arial" w:cs="Arial"/>
          <w:sz w:val="24"/>
          <w:szCs w:val="24"/>
        </w:rPr>
        <w:t xml:space="preserve">there was </w:t>
      </w:r>
      <w:r w:rsidR="00EE0ECC" w:rsidRPr="00F45341">
        <w:rPr>
          <w:rFonts w:ascii="Arial" w:eastAsia="Calibri" w:hAnsi="Arial" w:cs="Arial"/>
          <w:sz w:val="24"/>
          <w:szCs w:val="24"/>
        </w:rPr>
        <w:t>nothing was provided to justify why emergency measures had to be taken.</w:t>
      </w:r>
    </w:p>
    <w:p w14:paraId="7A244EAA" w14:textId="77777777" w:rsidR="003E7360" w:rsidRPr="00F45341" w:rsidRDefault="003E7360" w:rsidP="00F45341">
      <w:pPr>
        <w:spacing w:line="240" w:lineRule="auto"/>
        <w:contextualSpacing/>
        <w:jc w:val="both"/>
        <w:rPr>
          <w:rFonts w:ascii="Arial" w:eastAsia="Calibri" w:hAnsi="Arial" w:cs="Arial"/>
          <w:i/>
          <w:sz w:val="24"/>
          <w:szCs w:val="24"/>
        </w:rPr>
      </w:pPr>
    </w:p>
    <w:p w14:paraId="5DEACC83" w14:textId="77777777" w:rsidR="003E7360" w:rsidRPr="00F45341" w:rsidRDefault="0000494B" w:rsidP="00F45341">
      <w:pPr>
        <w:spacing w:line="240" w:lineRule="auto"/>
        <w:contextualSpacing/>
        <w:jc w:val="both"/>
        <w:rPr>
          <w:rFonts w:ascii="Arial" w:eastAsia="Calibri" w:hAnsi="Arial" w:cs="Arial"/>
          <w:i/>
          <w:sz w:val="24"/>
          <w:szCs w:val="24"/>
        </w:rPr>
      </w:pPr>
      <w:r w:rsidRPr="00F45341">
        <w:rPr>
          <w:rFonts w:ascii="Arial" w:eastAsia="Calibri" w:hAnsi="Arial" w:cs="Arial"/>
          <w:sz w:val="24"/>
          <w:szCs w:val="24"/>
        </w:rPr>
        <w:t>[1</w:t>
      </w:r>
      <w:r w:rsidR="003A7C2F" w:rsidRPr="00F45341">
        <w:rPr>
          <w:rFonts w:ascii="Arial" w:eastAsia="Calibri" w:hAnsi="Arial" w:cs="Arial"/>
          <w:sz w:val="24"/>
          <w:szCs w:val="24"/>
        </w:rPr>
        <w:t>5</w:t>
      </w:r>
      <w:r w:rsidRPr="00F45341">
        <w:rPr>
          <w:rFonts w:ascii="Arial" w:eastAsia="Calibri" w:hAnsi="Arial" w:cs="Arial"/>
          <w:sz w:val="24"/>
          <w:szCs w:val="24"/>
        </w:rPr>
        <w:t>]</w:t>
      </w:r>
      <w:r w:rsidRPr="00F45341">
        <w:rPr>
          <w:rFonts w:ascii="Arial" w:eastAsia="Calibri" w:hAnsi="Arial" w:cs="Arial"/>
          <w:sz w:val="24"/>
          <w:szCs w:val="24"/>
        </w:rPr>
        <w:tab/>
      </w:r>
      <w:proofErr w:type="gramStart"/>
      <w:r w:rsidR="00F24271" w:rsidRPr="00F45341">
        <w:rPr>
          <w:rFonts w:ascii="Arial" w:eastAsia="Calibri" w:hAnsi="Arial" w:cs="Arial"/>
          <w:sz w:val="24"/>
          <w:szCs w:val="24"/>
        </w:rPr>
        <w:t xml:space="preserve">Regarding </w:t>
      </w:r>
      <w:r w:rsidR="003E7360" w:rsidRPr="00F45341">
        <w:rPr>
          <w:rFonts w:ascii="Arial" w:eastAsia="Calibri" w:hAnsi="Arial" w:cs="Arial"/>
          <w:sz w:val="24"/>
          <w:szCs w:val="24"/>
        </w:rPr>
        <w:t xml:space="preserve"> the</w:t>
      </w:r>
      <w:proofErr w:type="gramEnd"/>
      <w:r w:rsidR="003E7360" w:rsidRPr="00F45341">
        <w:rPr>
          <w:rFonts w:ascii="Arial" w:eastAsia="Calibri" w:hAnsi="Arial" w:cs="Arial"/>
          <w:sz w:val="24"/>
          <w:szCs w:val="24"/>
        </w:rPr>
        <w:t xml:space="preserve"> production of the agreement regulating the relationship between the first and fifth respondent</w:t>
      </w:r>
      <w:r w:rsidR="00121261" w:rsidRPr="00F45341">
        <w:rPr>
          <w:rFonts w:ascii="Arial" w:eastAsia="Calibri" w:hAnsi="Arial" w:cs="Arial"/>
          <w:sz w:val="24"/>
          <w:szCs w:val="24"/>
        </w:rPr>
        <w:t>s, the applicant avers that it raises possible disputes of fact. It however</w:t>
      </w:r>
      <w:r w:rsidR="00F24271" w:rsidRPr="00F45341">
        <w:rPr>
          <w:rFonts w:ascii="Arial" w:eastAsia="Calibri" w:hAnsi="Arial" w:cs="Arial"/>
          <w:sz w:val="24"/>
          <w:szCs w:val="24"/>
        </w:rPr>
        <w:t>,</w:t>
      </w:r>
      <w:r w:rsidR="00121261" w:rsidRPr="00F45341">
        <w:rPr>
          <w:rFonts w:ascii="Arial" w:eastAsia="Calibri" w:hAnsi="Arial" w:cs="Arial"/>
          <w:sz w:val="24"/>
          <w:szCs w:val="24"/>
        </w:rPr>
        <w:t xml:space="preserve"> contended that this </w:t>
      </w:r>
      <w:proofErr w:type="gramStart"/>
      <w:r w:rsidR="00121261" w:rsidRPr="00F45341">
        <w:rPr>
          <w:rFonts w:ascii="Arial" w:eastAsia="Calibri" w:hAnsi="Arial" w:cs="Arial"/>
          <w:sz w:val="24"/>
          <w:szCs w:val="24"/>
        </w:rPr>
        <w:t xml:space="preserve">is </w:t>
      </w:r>
      <w:r w:rsidR="00F24271" w:rsidRPr="00F45341">
        <w:rPr>
          <w:rFonts w:ascii="Arial" w:eastAsia="Calibri" w:hAnsi="Arial" w:cs="Arial"/>
          <w:sz w:val="24"/>
          <w:szCs w:val="24"/>
        </w:rPr>
        <w:t xml:space="preserve"> related</w:t>
      </w:r>
      <w:proofErr w:type="gramEnd"/>
      <w:r w:rsidR="00121261" w:rsidRPr="00F45341">
        <w:rPr>
          <w:rFonts w:ascii="Arial" w:eastAsia="Calibri" w:hAnsi="Arial" w:cs="Arial"/>
          <w:sz w:val="24"/>
          <w:szCs w:val="24"/>
        </w:rPr>
        <w:t xml:space="preserve"> to the fact that a justification cannot be raised outside the record. The applicant relied on</w:t>
      </w:r>
      <w:r w:rsidR="00121261" w:rsidRPr="00F45341">
        <w:rPr>
          <w:rFonts w:ascii="Arial" w:eastAsia="Calibri" w:hAnsi="Arial" w:cs="Arial"/>
          <w:i/>
          <w:sz w:val="24"/>
          <w:szCs w:val="24"/>
        </w:rPr>
        <w:t xml:space="preserve"> </w:t>
      </w:r>
      <w:proofErr w:type="spellStart"/>
      <w:r w:rsidR="007A4980" w:rsidRPr="00F45341">
        <w:rPr>
          <w:rFonts w:ascii="Arial" w:eastAsia="Calibri" w:hAnsi="Arial" w:cs="Arial"/>
          <w:i/>
          <w:sz w:val="24"/>
          <w:szCs w:val="24"/>
        </w:rPr>
        <w:t>Plascon</w:t>
      </w:r>
      <w:proofErr w:type="spellEnd"/>
      <w:r w:rsidR="007A4980" w:rsidRPr="00F45341">
        <w:rPr>
          <w:rFonts w:ascii="Arial" w:eastAsia="Calibri" w:hAnsi="Arial" w:cs="Arial"/>
          <w:i/>
          <w:sz w:val="24"/>
          <w:szCs w:val="24"/>
        </w:rPr>
        <w:t xml:space="preserve">-Evans Paints (TVL) Ltd. v Van </w:t>
      </w:r>
      <w:proofErr w:type="spellStart"/>
      <w:r w:rsidR="007A4980" w:rsidRPr="00F45341">
        <w:rPr>
          <w:rFonts w:ascii="Arial" w:eastAsia="Calibri" w:hAnsi="Arial" w:cs="Arial"/>
          <w:i/>
          <w:sz w:val="24"/>
          <w:szCs w:val="24"/>
        </w:rPr>
        <w:t>Riebeck</w:t>
      </w:r>
      <w:proofErr w:type="spellEnd"/>
      <w:r w:rsidR="007A4980" w:rsidRPr="00F45341">
        <w:rPr>
          <w:rFonts w:ascii="Arial" w:eastAsia="Calibri" w:hAnsi="Arial" w:cs="Arial"/>
          <w:i/>
          <w:sz w:val="24"/>
          <w:szCs w:val="24"/>
        </w:rPr>
        <w:t xml:space="preserve"> Paints (Pty) Ltd</w:t>
      </w:r>
      <w:r w:rsidR="007A4980" w:rsidRPr="00F45341">
        <w:rPr>
          <w:rStyle w:val="FootnoteReference"/>
          <w:rFonts w:ascii="Arial" w:eastAsia="Calibri" w:hAnsi="Arial" w:cs="Arial"/>
          <w:i/>
          <w:sz w:val="24"/>
          <w:szCs w:val="24"/>
        </w:rPr>
        <w:footnoteReference w:id="3"/>
      </w:r>
      <w:r w:rsidR="007A4980" w:rsidRPr="00F45341">
        <w:rPr>
          <w:rFonts w:ascii="Arial" w:eastAsia="Calibri" w:hAnsi="Arial" w:cs="Arial"/>
          <w:i/>
          <w:sz w:val="24"/>
          <w:szCs w:val="24"/>
        </w:rPr>
        <w:t xml:space="preserve"> </w:t>
      </w:r>
      <w:r w:rsidR="00574A15" w:rsidRPr="00F45341">
        <w:rPr>
          <w:rFonts w:ascii="Arial" w:eastAsia="Calibri" w:hAnsi="Arial" w:cs="Arial"/>
          <w:sz w:val="24"/>
          <w:szCs w:val="24"/>
        </w:rPr>
        <w:t xml:space="preserve">to support the submission that there are exceptions to the </w:t>
      </w:r>
      <w:proofErr w:type="spellStart"/>
      <w:r w:rsidR="00574A15" w:rsidRPr="00F45341">
        <w:rPr>
          <w:rFonts w:ascii="Arial" w:eastAsia="Calibri" w:hAnsi="Arial" w:cs="Arial"/>
          <w:i/>
          <w:sz w:val="24"/>
          <w:szCs w:val="24"/>
        </w:rPr>
        <w:t>Plascon</w:t>
      </w:r>
      <w:proofErr w:type="spellEnd"/>
      <w:r w:rsidR="00574A15" w:rsidRPr="00F45341">
        <w:rPr>
          <w:rFonts w:ascii="Arial" w:eastAsia="Calibri" w:hAnsi="Arial" w:cs="Arial"/>
          <w:i/>
          <w:sz w:val="24"/>
          <w:szCs w:val="24"/>
        </w:rPr>
        <w:t>-Evans rule</w:t>
      </w:r>
      <w:r w:rsidR="00F24271" w:rsidRPr="00F45341">
        <w:rPr>
          <w:rStyle w:val="FootnoteReference"/>
          <w:rFonts w:ascii="Arial" w:eastAsia="Calibri" w:hAnsi="Arial" w:cs="Arial"/>
          <w:sz w:val="24"/>
          <w:szCs w:val="24"/>
        </w:rPr>
        <w:footnoteReference w:id="4"/>
      </w:r>
      <w:r w:rsidR="00574A15" w:rsidRPr="00F45341">
        <w:rPr>
          <w:rFonts w:ascii="Arial" w:eastAsia="Calibri" w:hAnsi="Arial" w:cs="Arial"/>
          <w:sz w:val="24"/>
          <w:szCs w:val="24"/>
        </w:rPr>
        <w:t xml:space="preserve"> and argued that in some instances, the court can reject the respondent’s version. It was submitted that in this case, the court should adopt the approach set out in </w:t>
      </w:r>
      <w:proofErr w:type="spellStart"/>
      <w:r w:rsidR="00574A15" w:rsidRPr="00F45341">
        <w:rPr>
          <w:rFonts w:ascii="Arial" w:eastAsia="Calibri" w:hAnsi="Arial" w:cs="Arial"/>
          <w:i/>
          <w:sz w:val="24"/>
          <w:szCs w:val="24"/>
        </w:rPr>
        <w:t>Soffia</w:t>
      </w:r>
      <w:r w:rsidR="00F12D53" w:rsidRPr="00F45341">
        <w:rPr>
          <w:rFonts w:ascii="Arial" w:eastAsia="Calibri" w:hAnsi="Arial" w:cs="Arial"/>
          <w:i/>
          <w:sz w:val="24"/>
          <w:szCs w:val="24"/>
        </w:rPr>
        <w:t>n</w:t>
      </w:r>
      <w:r w:rsidR="00574A15" w:rsidRPr="00F45341">
        <w:rPr>
          <w:rFonts w:ascii="Arial" w:eastAsia="Calibri" w:hAnsi="Arial" w:cs="Arial"/>
          <w:i/>
          <w:sz w:val="24"/>
          <w:szCs w:val="24"/>
        </w:rPr>
        <w:t>tini</w:t>
      </w:r>
      <w:proofErr w:type="spellEnd"/>
      <w:r w:rsidR="00574A15" w:rsidRPr="00F45341">
        <w:rPr>
          <w:rFonts w:ascii="Arial" w:eastAsia="Calibri" w:hAnsi="Arial" w:cs="Arial"/>
          <w:i/>
          <w:sz w:val="24"/>
          <w:szCs w:val="24"/>
        </w:rPr>
        <w:t xml:space="preserve"> v Mould</w:t>
      </w:r>
      <w:r w:rsidR="00097733" w:rsidRPr="00F45341">
        <w:rPr>
          <w:rFonts w:ascii="Arial" w:eastAsia="Calibri" w:hAnsi="Arial" w:cs="Arial"/>
          <w:sz w:val="24"/>
          <w:szCs w:val="24"/>
        </w:rPr>
        <w:t>.</w:t>
      </w:r>
      <w:r w:rsidR="00097733" w:rsidRPr="00F45341">
        <w:rPr>
          <w:rStyle w:val="FootnoteReference"/>
          <w:rFonts w:ascii="Arial" w:eastAsia="Calibri" w:hAnsi="Arial" w:cs="Arial"/>
          <w:sz w:val="24"/>
          <w:szCs w:val="24"/>
        </w:rPr>
        <w:footnoteReference w:id="5"/>
      </w:r>
      <w:r w:rsidR="00574A15" w:rsidRPr="00F45341">
        <w:rPr>
          <w:rFonts w:ascii="Arial" w:eastAsia="Calibri" w:hAnsi="Arial" w:cs="Arial"/>
          <w:sz w:val="24"/>
          <w:szCs w:val="24"/>
        </w:rPr>
        <w:t xml:space="preserve"> </w:t>
      </w:r>
    </w:p>
    <w:p w14:paraId="13B4A811" w14:textId="77777777" w:rsidR="00574A15" w:rsidRPr="00F45341" w:rsidRDefault="00574A15" w:rsidP="00F45341">
      <w:pPr>
        <w:spacing w:line="240" w:lineRule="auto"/>
        <w:contextualSpacing/>
        <w:jc w:val="both"/>
        <w:rPr>
          <w:rFonts w:ascii="Arial" w:eastAsia="Calibri" w:hAnsi="Arial" w:cs="Arial"/>
          <w:sz w:val="24"/>
          <w:szCs w:val="24"/>
        </w:rPr>
      </w:pPr>
    </w:p>
    <w:p w14:paraId="14A04BED" w14:textId="77777777" w:rsidR="00574A15" w:rsidRPr="00F45341" w:rsidRDefault="0000494B"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[1</w:t>
      </w:r>
      <w:r w:rsidR="003A7C2F" w:rsidRPr="00F45341">
        <w:rPr>
          <w:rFonts w:ascii="Arial" w:eastAsia="Calibri" w:hAnsi="Arial" w:cs="Arial"/>
          <w:sz w:val="24"/>
          <w:szCs w:val="24"/>
        </w:rPr>
        <w:t>6</w:t>
      </w:r>
      <w:r w:rsidRPr="00F45341">
        <w:rPr>
          <w:rFonts w:ascii="Arial" w:eastAsia="Calibri" w:hAnsi="Arial" w:cs="Arial"/>
          <w:sz w:val="24"/>
          <w:szCs w:val="24"/>
        </w:rPr>
        <w:t>]</w:t>
      </w:r>
      <w:r w:rsidRPr="00F45341">
        <w:rPr>
          <w:rFonts w:ascii="Arial" w:eastAsia="Calibri" w:hAnsi="Arial" w:cs="Arial"/>
          <w:sz w:val="24"/>
          <w:szCs w:val="24"/>
        </w:rPr>
        <w:tab/>
      </w:r>
      <w:r w:rsidR="00574A15" w:rsidRPr="00F45341">
        <w:rPr>
          <w:rFonts w:ascii="Arial" w:eastAsia="Calibri" w:hAnsi="Arial" w:cs="Arial"/>
          <w:sz w:val="24"/>
          <w:szCs w:val="24"/>
        </w:rPr>
        <w:t xml:space="preserve">The applicant contended that the only finding which the court could arrive at was that the agreement was a fabrication after the fact in an attempt to justify the impugned award or to </w:t>
      </w:r>
      <w:r w:rsidR="00DF1245" w:rsidRPr="00F45341">
        <w:rPr>
          <w:rFonts w:ascii="Arial" w:eastAsia="Calibri" w:hAnsi="Arial" w:cs="Arial"/>
          <w:sz w:val="24"/>
          <w:szCs w:val="24"/>
        </w:rPr>
        <w:t xml:space="preserve">reconstruct </w:t>
      </w:r>
      <w:r w:rsidR="00574A15" w:rsidRPr="00F45341">
        <w:rPr>
          <w:rFonts w:ascii="Arial" w:eastAsia="Calibri" w:hAnsi="Arial" w:cs="Arial"/>
          <w:sz w:val="24"/>
          <w:szCs w:val="24"/>
        </w:rPr>
        <w:t xml:space="preserve">the reason which was denounced in </w:t>
      </w:r>
      <w:r w:rsidR="00671089" w:rsidRPr="00F45341">
        <w:rPr>
          <w:rFonts w:ascii="Arial" w:eastAsia="Calibri" w:hAnsi="Arial" w:cs="Arial"/>
          <w:i/>
          <w:sz w:val="24"/>
          <w:szCs w:val="24"/>
        </w:rPr>
        <w:t>National Energy Regulator of South Africa and Another v PG Group (Pty) Limited and Others</w:t>
      </w:r>
      <w:r w:rsidR="00097733" w:rsidRPr="00F45341">
        <w:rPr>
          <w:rFonts w:ascii="Arial" w:eastAsia="Calibri" w:hAnsi="Arial" w:cs="Arial"/>
          <w:sz w:val="24"/>
          <w:szCs w:val="24"/>
        </w:rPr>
        <w:t>.</w:t>
      </w:r>
      <w:r w:rsidR="00671089" w:rsidRPr="00F45341">
        <w:rPr>
          <w:rStyle w:val="FootnoteReference"/>
          <w:rFonts w:ascii="Arial" w:eastAsia="Calibri" w:hAnsi="Arial" w:cs="Arial"/>
          <w:i/>
          <w:sz w:val="24"/>
          <w:szCs w:val="24"/>
        </w:rPr>
        <w:footnoteReference w:id="6"/>
      </w:r>
      <w:r w:rsidR="00097733" w:rsidRPr="00F45341">
        <w:rPr>
          <w:rFonts w:ascii="Arial" w:eastAsia="Calibri" w:hAnsi="Arial" w:cs="Arial"/>
          <w:sz w:val="24"/>
          <w:szCs w:val="24"/>
        </w:rPr>
        <w:t xml:space="preserve"> </w:t>
      </w:r>
      <w:r w:rsidR="00E70B5D" w:rsidRPr="00F45341">
        <w:rPr>
          <w:rFonts w:ascii="Arial" w:eastAsia="Calibri" w:hAnsi="Arial" w:cs="Arial"/>
          <w:sz w:val="24"/>
          <w:szCs w:val="24"/>
        </w:rPr>
        <w:t>It was submitted that</w:t>
      </w:r>
      <w:r w:rsidR="00A11A8B" w:rsidRPr="00F45341">
        <w:rPr>
          <w:rFonts w:ascii="Arial" w:eastAsia="Calibri" w:hAnsi="Arial" w:cs="Arial"/>
          <w:sz w:val="24"/>
          <w:szCs w:val="24"/>
        </w:rPr>
        <w:t>,</w:t>
      </w:r>
      <w:r w:rsidR="00E70B5D" w:rsidRPr="00F45341">
        <w:rPr>
          <w:rFonts w:ascii="Arial" w:eastAsia="Calibri" w:hAnsi="Arial" w:cs="Arial"/>
          <w:sz w:val="24"/>
          <w:szCs w:val="24"/>
        </w:rPr>
        <w:t xml:space="preserve"> </w:t>
      </w:r>
      <w:r w:rsidR="00DF1245" w:rsidRPr="00F45341">
        <w:rPr>
          <w:rFonts w:ascii="Arial" w:eastAsia="Calibri" w:hAnsi="Arial" w:cs="Arial"/>
          <w:sz w:val="24"/>
          <w:szCs w:val="24"/>
        </w:rPr>
        <w:t xml:space="preserve">even if </w:t>
      </w:r>
      <w:r w:rsidR="00E70B5D" w:rsidRPr="00F45341">
        <w:rPr>
          <w:rFonts w:ascii="Arial" w:eastAsia="Calibri" w:hAnsi="Arial" w:cs="Arial"/>
          <w:sz w:val="24"/>
          <w:szCs w:val="24"/>
        </w:rPr>
        <w:t xml:space="preserve">the court </w:t>
      </w:r>
      <w:r w:rsidR="00DF1245" w:rsidRPr="00F45341">
        <w:rPr>
          <w:rFonts w:ascii="Arial" w:eastAsia="Calibri" w:hAnsi="Arial" w:cs="Arial"/>
          <w:sz w:val="24"/>
          <w:szCs w:val="24"/>
        </w:rPr>
        <w:t xml:space="preserve">did </w:t>
      </w:r>
      <w:r w:rsidR="00E70B5D" w:rsidRPr="00F45341">
        <w:rPr>
          <w:rFonts w:ascii="Arial" w:eastAsia="Calibri" w:hAnsi="Arial" w:cs="Arial"/>
          <w:sz w:val="24"/>
          <w:szCs w:val="24"/>
        </w:rPr>
        <w:t xml:space="preserve">not find that the agreement was a fabrication, it in any event fell to be set aside on other grounds which included the unlawfulness of the </w:t>
      </w:r>
      <w:r w:rsidR="00DF1245" w:rsidRPr="00F45341">
        <w:rPr>
          <w:rFonts w:ascii="Arial" w:eastAsia="Calibri" w:hAnsi="Arial" w:cs="Arial"/>
          <w:sz w:val="24"/>
          <w:szCs w:val="24"/>
        </w:rPr>
        <w:t>resolution</w:t>
      </w:r>
      <w:r w:rsidR="00E70B5D" w:rsidRPr="00F45341">
        <w:rPr>
          <w:rFonts w:ascii="Arial" w:eastAsia="Calibri" w:hAnsi="Arial" w:cs="Arial"/>
          <w:sz w:val="24"/>
          <w:szCs w:val="24"/>
        </w:rPr>
        <w:t xml:space="preserve"> and the </w:t>
      </w:r>
      <w:r w:rsidR="00DF1245" w:rsidRPr="00F45341">
        <w:rPr>
          <w:rFonts w:ascii="Arial" w:eastAsia="Calibri" w:hAnsi="Arial" w:cs="Arial"/>
          <w:sz w:val="24"/>
          <w:szCs w:val="24"/>
        </w:rPr>
        <w:t xml:space="preserve">subsequent agreement with the fifth </w:t>
      </w:r>
    </w:p>
    <w:p w14:paraId="648D7BF7" w14:textId="77777777" w:rsidR="00E70B5D" w:rsidRPr="00F45341" w:rsidRDefault="00E70B5D" w:rsidP="00F45341">
      <w:pPr>
        <w:spacing w:line="240" w:lineRule="auto"/>
        <w:contextualSpacing/>
        <w:jc w:val="both"/>
        <w:rPr>
          <w:rFonts w:ascii="Arial" w:eastAsia="Calibri" w:hAnsi="Arial" w:cs="Arial"/>
          <w:sz w:val="24"/>
          <w:szCs w:val="24"/>
        </w:rPr>
      </w:pPr>
    </w:p>
    <w:p w14:paraId="22D9ADC4" w14:textId="77777777" w:rsidR="00E70B5D" w:rsidRPr="00F45341" w:rsidRDefault="0000494B"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[1</w:t>
      </w:r>
      <w:r w:rsidR="003A7C2F" w:rsidRPr="00F45341">
        <w:rPr>
          <w:rFonts w:ascii="Arial" w:eastAsia="Calibri" w:hAnsi="Arial" w:cs="Arial"/>
          <w:sz w:val="24"/>
          <w:szCs w:val="24"/>
        </w:rPr>
        <w:t>7</w:t>
      </w:r>
      <w:r w:rsidRPr="00F45341">
        <w:rPr>
          <w:rFonts w:ascii="Arial" w:eastAsia="Calibri" w:hAnsi="Arial" w:cs="Arial"/>
          <w:sz w:val="24"/>
          <w:szCs w:val="24"/>
        </w:rPr>
        <w:t>]</w:t>
      </w:r>
      <w:r w:rsidRPr="00F45341">
        <w:rPr>
          <w:rFonts w:ascii="Arial" w:eastAsia="Calibri" w:hAnsi="Arial" w:cs="Arial"/>
          <w:sz w:val="24"/>
          <w:szCs w:val="24"/>
        </w:rPr>
        <w:tab/>
      </w:r>
      <w:r w:rsidR="00E70B5D" w:rsidRPr="00F45341">
        <w:rPr>
          <w:rFonts w:ascii="Arial" w:eastAsia="Calibri" w:hAnsi="Arial" w:cs="Arial"/>
          <w:sz w:val="24"/>
          <w:szCs w:val="24"/>
        </w:rPr>
        <w:t xml:space="preserve">As </w:t>
      </w:r>
      <w:proofErr w:type="gramStart"/>
      <w:r w:rsidR="004160EA" w:rsidRPr="00F45341">
        <w:rPr>
          <w:rFonts w:ascii="Arial" w:eastAsia="Calibri" w:hAnsi="Arial" w:cs="Arial"/>
          <w:sz w:val="24"/>
          <w:szCs w:val="24"/>
        </w:rPr>
        <w:t xml:space="preserve">mentioned </w:t>
      </w:r>
      <w:r w:rsidR="00E70B5D" w:rsidRPr="00F45341">
        <w:rPr>
          <w:rFonts w:ascii="Arial" w:eastAsia="Calibri" w:hAnsi="Arial" w:cs="Arial"/>
          <w:sz w:val="24"/>
          <w:szCs w:val="24"/>
        </w:rPr>
        <w:t xml:space="preserve"> earlier</w:t>
      </w:r>
      <w:proofErr w:type="gramEnd"/>
      <w:r w:rsidR="00E70B5D" w:rsidRPr="00F45341">
        <w:rPr>
          <w:rFonts w:ascii="Arial" w:eastAsia="Calibri" w:hAnsi="Arial" w:cs="Arial"/>
          <w:sz w:val="24"/>
          <w:szCs w:val="24"/>
        </w:rPr>
        <w:t>, the applicant relied on PAJA as the basis of review. It set out its grounds of review relying on the provisions of s 6(2) as being</w:t>
      </w:r>
      <w:r w:rsidR="00657F2A" w:rsidRPr="00F45341">
        <w:rPr>
          <w:rFonts w:ascii="Arial" w:eastAsia="Calibri" w:hAnsi="Arial" w:cs="Arial"/>
          <w:sz w:val="24"/>
          <w:szCs w:val="24"/>
        </w:rPr>
        <w:t>:</w:t>
      </w:r>
    </w:p>
    <w:p w14:paraId="13EBF56C" w14:textId="5432C2CC" w:rsidR="00657F2A"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1.</w:t>
      </w:r>
      <w:r w:rsidRPr="00F45341">
        <w:rPr>
          <w:rFonts w:ascii="Arial" w:eastAsia="Calibri" w:hAnsi="Arial" w:cs="Arial"/>
          <w:sz w:val="24"/>
          <w:szCs w:val="24"/>
        </w:rPr>
        <w:tab/>
      </w:r>
      <w:r w:rsidR="00657F2A" w:rsidRPr="00F45341">
        <w:rPr>
          <w:rFonts w:ascii="Arial" w:eastAsia="Calibri" w:hAnsi="Arial" w:cs="Arial"/>
          <w:sz w:val="24"/>
          <w:szCs w:val="24"/>
        </w:rPr>
        <w:t xml:space="preserve">That the decision was not authorised by the empowering </w:t>
      </w:r>
      <w:proofErr w:type="gramStart"/>
      <w:r w:rsidR="00657F2A" w:rsidRPr="00F45341">
        <w:rPr>
          <w:rFonts w:ascii="Arial" w:eastAsia="Calibri" w:hAnsi="Arial" w:cs="Arial"/>
          <w:sz w:val="24"/>
          <w:szCs w:val="24"/>
        </w:rPr>
        <w:t>provisions;</w:t>
      </w:r>
      <w:proofErr w:type="gramEnd"/>
    </w:p>
    <w:p w14:paraId="5E32F312" w14:textId="210B3B82" w:rsidR="00657F2A"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2.</w:t>
      </w:r>
      <w:r w:rsidRPr="00F45341">
        <w:rPr>
          <w:rFonts w:ascii="Arial" w:eastAsia="Calibri" w:hAnsi="Arial" w:cs="Arial"/>
          <w:sz w:val="24"/>
          <w:szCs w:val="24"/>
        </w:rPr>
        <w:tab/>
      </w:r>
      <w:r w:rsidR="00EE27B1" w:rsidRPr="00F45341">
        <w:rPr>
          <w:rFonts w:ascii="Arial" w:eastAsia="Calibri" w:hAnsi="Arial" w:cs="Arial"/>
          <w:sz w:val="24"/>
          <w:szCs w:val="24"/>
        </w:rPr>
        <w:t>The decision maker was biased</w:t>
      </w:r>
      <w:r w:rsidR="0000494B" w:rsidRPr="00F45341">
        <w:rPr>
          <w:rFonts w:ascii="Arial" w:eastAsia="Calibri" w:hAnsi="Arial" w:cs="Arial"/>
          <w:sz w:val="24"/>
          <w:szCs w:val="24"/>
        </w:rPr>
        <w:t xml:space="preserve"> </w:t>
      </w:r>
      <w:r w:rsidR="00EE27B1" w:rsidRPr="00F45341">
        <w:rPr>
          <w:rFonts w:ascii="Arial" w:eastAsia="Calibri" w:hAnsi="Arial" w:cs="Arial"/>
          <w:sz w:val="24"/>
          <w:szCs w:val="24"/>
        </w:rPr>
        <w:t xml:space="preserve">or could reasonably be suspected to </w:t>
      </w:r>
      <w:proofErr w:type="gramStart"/>
      <w:r w:rsidR="00EE27B1" w:rsidRPr="00F45341">
        <w:rPr>
          <w:rFonts w:ascii="Arial" w:eastAsia="Calibri" w:hAnsi="Arial" w:cs="Arial"/>
          <w:sz w:val="24"/>
          <w:szCs w:val="24"/>
        </w:rPr>
        <w:t>be;</w:t>
      </w:r>
      <w:proofErr w:type="gramEnd"/>
    </w:p>
    <w:p w14:paraId="63A3D446" w14:textId="7BD0CD81" w:rsidR="00EE27B1"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3.</w:t>
      </w:r>
      <w:r w:rsidRPr="00F45341">
        <w:rPr>
          <w:rFonts w:ascii="Arial" w:eastAsia="Calibri" w:hAnsi="Arial" w:cs="Arial"/>
          <w:sz w:val="24"/>
          <w:szCs w:val="24"/>
        </w:rPr>
        <w:tab/>
      </w:r>
      <w:r w:rsidR="00EE27B1" w:rsidRPr="00F45341">
        <w:rPr>
          <w:rFonts w:ascii="Arial" w:eastAsia="Calibri" w:hAnsi="Arial" w:cs="Arial"/>
          <w:sz w:val="24"/>
          <w:szCs w:val="24"/>
        </w:rPr>
        <w:t xml:space="preserve">The action was procedurally unfair. Other possible caretakers were not </w:t>
      </w:r>
      <w:proofErr w:type="gramStart"/>
      <w:r w:rsidR="00EE27B1" w:rsidRPr="00F45341">
        <w:rPr>
          <w:rFonts w:ascii="Arial" w:eastAsia="Calibri" w:hAnsi="Arial" w:cs="Arial"/>
          <w:sz w:val="24"/>
          <w:szCs w:val="24"/>
        </w:rPr>
        <w:t>considered;</w:t>
      </w:r>
      <w:proofErr w:type="gramEnd"/>
    </w:p>
    <w:p w14:paraId="1F13805C" w14:textId="569BA146" w:rsidR="00EE27B1"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4.</w:t>
      </w:r>
      <w:r w:rsidRPr="00F45341">
        <w:rPr>
          <w:rFonts w:ascii="Arial" w:eastAsia="Calibri" w:hAnsi="Arial" w:cs="Arial"/>
          <w:sz w:val="24"/>
          <w:szCs w:val="24"/>
        </w:rPr>
        <w:tab/>
      </w:r>
      <w:r w:rsidR="00EE27B1" w:rsidRPr="00F45341">
        <w:rPr>
          <w:rFonts w:ascii="Arial" w:eastAsia="Calibri" w:hAnsi="Arial" w:cs="Arial"/>
          <w:sz w:val="24"/>
          <w:szCs w:val="24"/>
        </w:rPr>
        <w:t xml:space="preserve">The action was taken for reasons not authorised by the empowering provision whilst taking into account irrelevant considerations (possible land claims) and </w:t>
      </w:r>
      <w:r w:rsidR="00EE27B1" w:rsidRPr="00F45341">
        <w:rPr>
          <w:rFonts w:ascii="Arial" w:eastAsia="Calibri" w:hAnsi="Arial" w:cs="Arial"/>
          <w:sz w:val="24"/>
          <w:szCs w:val="24"/>
        </w:rPr>
        <w:lastRenderedPageBreak/>
        <w:t xml:space="preserve">the decision was taken for an </w:t>
      </w:r>
      <w:r w:rsidR="0000494B" w:rsidRPr="00F45341">
        <w:rPr>
          <w:rFonts w:ascii="Arial" w:eastAsia="Calibri" w:hAnsi="Arial" w:cs="Arial"/>
          <w:sz w:val="24"/>
          <w:szCs w:val="24"/>
        </w:rPr>
        <w:t>ulterior</w:t>
      </w:r>
      <w:r w:rsidR="00EE27B1" w:rsidRPr="00F45341">
        <w:rPr>
          <w:rFonts w:ascii="Arial" w:eastAsia="Calibri" w:hAnsi="Arial" w:cs="Arial"/>
          <w:sz w:val="24"/>
          <w:szCs w:val="24"/>
        </w:rPr>
        <w:t xml:space="preserve"> purpose or motive and in bad faith and was arbitrary or </w:t>
      </w:r>
      <w:proofErr w:type="gramStart"/>
      <w:r w:rsidR="00EE27B1" w:rsidRPr="00F45341">
        <w:rPr>
          <w:rFonts w:ascii="Arial" w:eastAsia="Calibri" w:hAnsi="Arial" w:cs="Arial"/>
          <w:sz w:val="24"/>
          <w:szCs w:val="24"/>
        </w:rPr>
        <w:t>capricious;</w:t>
      </w:r>
      <w:proofErr w:type="gramEnd"/>
    </w:p>
    <w:p w14:paraId="4A3017B9" w14:textId="3E84CC71" w:rsidR="00EE27B1"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5.</w:t>
      </w:r>
      <w:r w:rsidRPr="00F45341">
        <w:rPr>
          <w:rFonts w:ascii="Arial" w:eastAsia="Calibri" w:hAnsi="Arial" w:cs="Arial"/>
          <w:sz w:val="24"/>
          <w:szCs w:val="24"/>
        </w:rPr>
        <w:tab/>
      </w:r>
      <w:r w:rsidR="00EE27B1" w:rsidRPr="00F45341">
        <w:rPr>
          <w:rFonts w:ascii="Arial" w:eastAsia="Calibri" w:hAnsi="Arial" w:cs="Arial"/>
          <w:sz w:val="24"/>
          <w:szCs w:val="24"/>
        </w:rPr>
        <w:t xml:space="preserve">The action contravenes the </w:t>
      </w:r>
      <w:proofErr w:type="gramStart"/>
      <w:r w:rsidR="00EE27B1" w:rsidRPr="00F45341">
        <w:rPr>
          <w:rFonts w:ascii="Arial" w:eastAsia="Calibri" w:hAnsi="Arial" w:cs="Arial"/>
          <w:sz w:val="24"/>
          <w:szCs w:val="24"/>
        </w:rPr>
        <w:t>law</w:t>
      </w:r>
      <w:proofErr w:type="gramEnd"/>
      <w:r w:rsidR="00EE27B1" w:rsidRPr="00F45341">
        <w:rPr>
          <w:rFonts w:ascii="Arial" w:eastAsia="Calibri" w:hAnsi="Arial" w:cs="Arial"/>
          <w:sz w:val="24"/>
          <w:szCs w:val="24"/>
        </w:rPr>
        <w:t xml:space="preserve"> and the decision was irrational in terms of s</w:t>
      </w:r>
      <w:r w:rsidR="00CD62FB" w:rsidRPr="00F45341">
        <w:rPr>
          <w:rFonts w:ascii="Arial" w:eastAsia="Calibri" w:hAnsi="Arial" w:cs="Arial"/>
          <w:sz w:val="24"/>
          <w:szCs w:val="24"/>
        </w:rPr>
        <w:t xml:space="preserve"> </w:t>
      </w:r>
      <w:r w:rsidR="00EE27B1" w:rsidRPr="00F45341">
        <w:rPr>
          <w:rFonts w:ascii="Arial" w:eastAsia="Calibri" w:hAnsi="Arial" w:cs="Arial"/>
          <w:sz w:val="24"/>
          <w:szCs w:val="24"/>
        </w:rPr>
        <w:t>6 (2)</w:t>
      </w:r>
      <w:r w:rsidR="00EE27B1" w:rsidRPr="00F45341">
        <w:rPr>
          <w:rFonts w:ascii="Arial" w:eastAsia="Calibri" w:hAnsi="Arial" w:cs="Arial"/>
          <w:i/>
          <w:sz w:val="24"/>
          <w:szCs w:val="24"/>
        </w:rPr>
        <w:t xml:space="preserve">(f) </w:t>
      </w:r>
      <w:r w:rsidR="00EE27B1" w:rsidRPr="00F45341">
        <w:rPr>
          <w:rFonts w:ascii="Arial" w:eastAsia="Calibri" w:hAnsi="Arial" w:cs="Arial"/>
          <w:sz w:val="24"/>
          <w:szCs w:val="24"/>
        </w:rPr>
        <w:t>of PAJA;</w:t>
      </w:r>
    </w:p>
    <w:p w14:paraId="320AE6EE" w14:textId="1106E9EB" w:rsidR="00EE27B1"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6.</w:t>
      </w:r>
      <w:r w:rsidRPr="00F45341">
        <w:rPr>
          <w:rFonts w:ascii="Arial" w:eastAsia="Calibri" w:hAnsi="Arial" w:cs="Arial"/>
          <w:sz w:val="24"/>
          <w:szCs w:val="24"/>
        </w:rPr>
        <w:tab/>
      </w:r>
      <w:r w:rsidR="00EE27B1" w:rsidRPr="00F45341">
        <w:rPr>
          <w:rFonts w:ascii="Arial" w:eastAsia="Calibri" w:hAnsi="Arial" w:cs="Arial"/>
          <w:sz w:val="24"/>
          <w:szCs w:val="24"/>
        </w:rPr>
        <w:t xml:space="preserve">The decision is unreasonable that no reasonable person could have exercised power in the manner it was </w:t>
      </w:r>
      <w:proofErr w:type="gramStart"/>
      <w:r w:rsidR="00EE27B1" w:rsidRPr="00F45341">
        <w:rPr>
          <w:rFonts w:ascii="Arial" w:eastAsia="Calibri" w:hAnsi="Arial" w:cs="Arial"/>
          <w:sz w:val="24"/>
          <w:szCs w:val="24"/>
        </w:rPr>
        <w:t>exercised;</w:t>
      </w:r>
      <w:proofErr w:type="gramEnd"/>
    </w:p>
    <w:p w14:paraId="674A0051" w14:textId="0B8F96A4" w:rsidR="00EE27B1" w:rsidRPr="00F45341" w:rsidRDefault="00D342BA" w:rsidP="00F45341">
      <w:pPr>
        <w:spacing w:after="0" w:line="240" w:lineRule="auto"/>
        <w:ind w:left="785" w:hanging="360"/>
        <w:jc w:val="both"/>
        <w:rPr>
          <w:rFonts w:ascii="Arial" w:eastAsia="Calibri" w:hAnsi="Arial" w:cs="Arial"/>
          <w:sz w:val="24"/>
          <w:szCs w:val="24"/>
        </w:rPr>
      </w:pPr>
      <w:r w:rsidRPr="00F45341">
        <w:rPr>
          <w:rFonts w:ascii="Arial" w:eastAsia="Calibri" w:hAnsi="Arial" w:cs="Arial"/>
          <w:sz w:val="24"/>
          <w:szCs w:val="24"/>
        </w:rPr>
        <w:t>7.</w:t>
      </w:r>
      <w:r w:rsidRPr="00F45341">
        <w:rPr>
          <w:rFonts w:ascii="Arial" w:eastAsia="Calibri" w:hAnsi="Arial" w:cs="Arial"/>
          <w:sz w:val="24"/>
          <w:szCs w:val="24"/>
        </w:rPr>
        <w:tab/>
      </w:r>
      <w:r w:rsidR="00EE27B1" w:rsidRPr="00F45341">
        <w:rPr>
          <w:rFonts w:ascii="Arial" w:eastAsia="Calibri" w:hAnsi="Arial" w:cs="Arial"/>
          <w:sz w:val="24"/>
          <w:szCs w:val="24"/>
        </w:rPr>
        <w:t>The action is unconstitutional and unlawful in terms of s</w:t>
      </w:r>
      <w:r w:rsidR="00CD62FB" w:rsidRPr="00F45341">
        <w:rPr>
          <w:rFonts w:ascii="Arial" w:eastAsia="Calibri" w:hAnsi="Arial" w:cs="Arial"/>
          <w:sz w:val="24"/>
          <w:szCs w:val="24"/>
        </w:rPr>
        <w:t xml:space="preserve"> </w:t>
      </w:r>
      <w:r w:rsidR="00EE27B1" w:rsidRPr="00F45341">
        <w:rPr>
          <w:rFonts w:ascii="Arial" w:eastAsia="Calibri" w:hAnsi="Arial" w:cs="Arial"/>
          <w:sz w:val="24"/>
          <w:szCs w:val="24"/>
        </w:rPr>
        <w:t>6 (2)</w:t>
      </w:r>
      <w:r w:rsidR="00EE27B1" w:rsidRPr="00F45341">
        <w:rPr>
          <w:rFonts w:ascii="Arial" w:eastAsia="Calibri" w:hAnsi="Arial" w:cs="Arial"/>
          <w:i/>
          <w:sz w:val="24"/>
          <w:szCs w:val="24"/>
        </w:rPr>
        <w:t>(</w:t>
      </w:r>
      <w:proofErr w:type="spellStart"/>
      <w:r w:rsidR="00EE27B1" w:rsidRPr="00F45341">
        <w:rPr>
          <w:rFonts w:ascii="Arial" w:eastAsia="Calibri" w:hAnsi="Arial" w:cs="Arial"/>
          <w:i/>
          <w:sz w:val="24"/>
          <w:szCs w:val="24"/>
        </w:rPr>
        <w:t>i</w:t>
      </w:r>
      <w:proofErr w:type="spellEnd"/>
      <w:r w:rsidR="00EE27B1" w:rsidRPr="00F45341">
        <w:rPr>
          <w:rFonts w:ascii="Arial" w:eastAsia="Calibri" w:hAnsi="Arial" w:cs="Arial"/>
          <w:i/>
          <w:sz w:val="24"/>
          <w:szCs w:val="24"/>
        </w:rPr>
        <w:t xml:space="preserve">) </w:t>
      </w:r>
      <w:r w:rsidR="00EE27B1" w:rsidRPr="00F45341">
        <w:rPr>
          <w:rFonts w:ascii="Arial" w:eastAsia="Calibri" w:hAnsi="Arial" w:cs="Arial"/>
          <w:sz w:val="24"/>
          <w:szCs w:val="24"/>
        </w:rPr>
        <w:t>of PAJA</w:t>
      </w:r>
      <w:r w:rsidR="0000494B" w:rsidRPr="00F45341">
        <w:rPr>
          <w:rFonts w:ascii="Arial" w:eastAsia="Calibri" w:hAnsi="Arial" w:cs="Arial"/>
          <w:sz w:val="24"/>
          <w:szCs w:val="24"/>
        </w:rPr>
        <w:t>.</w:t>
      </w:r>
    </w:p>
    <w:p w14:paraId="1CFB04AF" w14:textId="77777777" w:rsidR="00AC6123" w:rsidRPr="00F45341" w:rsidRDefault="00AC6123" w:rsidP="00F45341">
      <w:pPr>
        <w:spacing w:line="240" w:lineRule="auto"/>
        <w:jc w:val="both"/>
        <w:rPr>
          <w:rFonts w:ascii="Arial" w:eastAsia="Calibri" w:hAnsi="Arial" w:cs="Arial"/>
          <w:sz w:val="24"/>
          <w:szCs w:val="24"/>
        </w:rPr>
      </w:pPr>
    </w:p>
    <w:p w14:paraId="64EF7E92" w14:textId="77777777" w:rsidR="00EE27B1" w:rsidRPr="00F45341" w:rsidRDefault="00AC6123" w:rsidP="00F45341">
      <w:pPr>
        <w:spacing w:line="240" w:lineRule="auto"/>
        <w:jc w:val="both"/>
        <w:rPr>
          <w:rFonts w:ascii="Arial" w:eastAsia="Calibri" w:hAnsi="Arial" w:cs="Arial"/>
          <w:sz w:val="24"/>
          <w:szCs w:val="24"/>
        </w:rPr>
      </w:pPr>
      <w:r w:rsidRPr="00F45341">
        <w:rPr>
          <w:rFonts w:ascii="Arial" w:eastAsia="Calibri" w:hAnsi="Arial" w:cs="Arial"/>
          <w:sz w:val="24"/>
          <w:szCs w:val="24"/>
        </w:rPr>
        <w:t>[18]</w:t>
      </w:r>
      <w:r w:rsidRPr="00F45341">
        <w:rPr>
          <w:rFonts w:ascii="Arial" w:eastAsia="Calibri" w:hAnsi="Arial" w:cs="Arial"/>
          <w:sz w:val="24"/>
          <w:szCs w:val="24"/>
        </w:rPr>
        <w:tab/>
      </w:r>
      <w:r w:rsidR="00991CAC" w:rsidRPr="00F45341">
        <w:rPr>
          <w:rFonts w:ascii="Arial" w:eastAsia="Calibri" w:hAnsi="Arial" w:cs="Arial"/>
          <w:sz w:val="24"/>
          <w:szCs w:val="24"/>
        </w:rPr>
        <w:t xml:space="preserve">Pertaining to </w:t>
      </w:r>
      <w:proofErr w:type="gramStart"/>
      <w:r w:rsidR="00991CAC" w:rsidRPr="00F45341">
        <w:rPr>
          <w:rFonts w:ascii="Arial" w:eastAsia="Calibri" w:hAnsi="Arial" w:cs="Arial"/>
          <w:sz w:val="24"/>
          <w:szCs w:val="24"/>
        </w:rPr>
        <w:t xml:space="preserve">bias </w:t>
      </w:r>
      <w:r w:rsidR="00EE27B1" w:rsidRPr="00F45341">
        <w:rPr>
          <w:rFonts w:ascii="Arial" w:eastAsia="Calibri" w:hAnsi="Arial" w:cs="Arial"/>
          <w:sz w:val="24"/>
          <w:szCs w:val="24"/>
        </w:rPr>
        <w:t>,</w:t>
      </w:r>
      <w:proofErr w:type="gramEnd"/>
      <w:r w:rsidR="00EE27B1" w:rsidRPr="00F45341">
        <w:rPr>
          <w:rFonts w:ascii="Arial" w:eastAsia="Calibri" w:hAnsi="Arial" w:cs="Arial"/>
          <w:sz w:val="24"/>
          <w:szCs w:val="24"/>
        </w:rPr>
        <w:t xml:space="preserve"> the applicant relied on</w:t>
      </w:r>
      <w:r w:rsidR="00F23FAF" w:rsidRPr="00F45341">
        <w:rPr>
          <w:rFonts w:ascii="Arial" w:eastAsia="Calibri" w:hAnsi="Arial" w:cs="Arial"/>
          <w:sz w:val="24"/>
          <w:szCs w:val="24"/>
        </w:rPr>
        <w:t xml:space="preserve"> </w:t>
      </w:r>
      <w:r w:rsidR="00F23FAF" w:rsidRPr="00F45341">
        <w:rPr>
          <w:rFonts w:ascii="Arial" w:eastAsia="Calibri" w:hAnsi="Arial" w:cs="Arial"/>
          <w:i/>
          <w:sz w:val="24"/>
          <w:szCs w:val="24"/>
        </w:rPr>
        <w:t>Turnbull-Jackson v Hibiscus Court Municipality and Others</w:t>
      </w:r>
      <w:r w:rsidR="00F23FAF" w:rsidRPr="00F45341">
        <w:rPr>
          <w:rStyle w:val="FootnoteReference"/>
          <w:rFonts w:ascii="Arial" w:eastAsia="Calibri" w:hAnsi="Arial" w:cs="Arial"/>
          <w:i/>
          <w:sz w:val="24"/>
          <w:szCs w:val="24"/>
        </w:rPr>
        <w:footnoteReference w:id="7"/>
      </w:r>
      <w:r w:rsidR="00F23FAF" w:rsidRPr="00F45341">
        <w:rPr>
          <w:rFonts w:ascii="Arial" w:eastAsia="Calibri" w:hAnsi="Arial" w:cs="Arial"/>
          <w:sz w:val="24"/>
          <w:szCs w:val="24"/>
        </w:rPr>
        <w:t xml:space="preserve"> </w:t>
      </w:r>
      <w:r w:rsidR="00EE27B1" w:rsidRPr="00F45341">
        <w:rPr>
          <w:rFonts w:ascii="Arial" w:eastAsia="Calibri" w:hAnsi="Arial" w:cs="Arial"/>
          <w:sz w:val="24"/>
          <w:szCs w:val="24"/>
        </w:rPr>
        <w:t>where the following wa</w:t>
      </w:r>
      <w:r w:rsidR="007C7E75" w:rsidRPr="00F45341">
        <w:rPr>
          <w:rFonts w:ascii="Arial" w:eastAsia="Calibri" w:hAnsi="Arial" w:cs="Arial"/>
          <w:sz w:val="24"/>
          <w:szCs w:val="24"/>
        </w:rPr>
        <w:t>s</w:t>
      </w:r>
      <w:r w:rsidR="00EE27B1" w:rsidRPr="00F45341">
        <w:rPr>
          <w:rFonts w:ascii="Arial" w:eastAsia="Calibri" w:hAnsi="Arial" w:cs="Arial"/>
          <w:sz w:val="24"/>
          <w:szCs w:val="24"/>
        </w:rPr>
        <w:t xml:space="preserve"> stated:</w:t>
      </w:r>
    </w:p>
    <w:p w14:paraId="52D78E70" w14:textId="77777777" w:rsidR="00546639" w:rsidRPr="00F45341" w:rsidRDefault="00546639" w:rsidP="00F45341">
      <w:pPr>
        <w:spacing w:line="240" w:lineRule="auto"/>
        <w:jc w:val="both"/>
        <w:rPr>
          <w:rFonts w:ascii="Arial" w:eastAsia="Times New Roman" w:hAnsi="Arial" w:cs="Arial"/>
          <w:color w:val="000000"/>
          <w:sz w:val="24"/>
          <w:szCs w:val="24"/>
          <w:lang w:eastAsia="en-ZA"/>
        </w:rPr>
      </w:pPr>
      <w:r w:rsidRPr="00F45341">
        <w:rPr>
          <w:rFonts w:ascii="Arial" w:eastAsia="Calibri" w:hAnsi="Arial" w:cs="Arial"/>
          <w:sz w:val="24"/>
          <w:szCs w:val="24"/>
        </w:rPr>
        <w:t>‘</w:t>
      </w:r>
      <w:r w:rsidRPr="00F45341">
        <w:rPr>
          <w:rFonts w:ascii="Arial" w:eastAsia="Times New Roman" w:hAnsi="Arial" w:cs="Arial"/>
          <w:color w:val="000000"/>
          <w:sz w:val="24"/>
          <w:szCs w:val="24"/>
          <w:lang w:eastAsia="en-ZA"/>
        </w:rPr>
        <w:t>[30] The Constitution guarantees everyone the right to administrative action that is procedurally fair.</w:t>
      </w:r>
      <w:bookmarkStart w:id="2" w:name="0-0-0-263849"/>
      <w:bookmarkEnd w:id="2"/>
      <w:r w:rsidRPr="00F45341">
        <w:rPr>
          <w:rFonts w:ascii="Arial" w:eastAsia="Times New Roman" w:hAnsi="Arial" w:cs="Arial"/>
          <w:color w:val="000000"/>
          <w:sz w:val="24"/>
          <w:szCs w:val="24"/>
          <w:lang w:eastAsia="en-ZA"/>
        </w:rPr>
        <w:t xml:space="preserve"> Section 6(2)</w:t>
      </w:r>
      <w:r w:rsidRPr="00F45341">
        <w:rPr>
          <w:rFonts w:ascii="Arial" w:eastAsia="Times New Roman" w:hAnsi="Arial" w:cs="Arial"/>
          <w:i/>
          <w:iCs/>
          <w:color w:val="000000"/>
          <w:sz w:val="24"/>
          <w:szCs w:val="24"/>
          <w:lang w:eastAsia="en-ZA"/>
        </w:rPr>
        <w:t>(a)</w:t>
      </w:r>
      <w:r w:rsidRPr="00F45341">
        <w:rPr>
          <w:rFonts w:ascii="Arial" w:eastAsia="Times New Roman" w:hAnsi="Arial" w:cs="Arial"/>
          <w:color w:val="000000"/>
          <w:sz w:val="24"/>
          <w:szCs w:val="24"/>
          <w:lang w:eastAsia="en-ZA"/>
        </w:rPr>
        <w:t>(iii) of PAJA, which is legislation enacted in terms of s</w:t>
      </w:r>
      <w:r w:rsidR="00991CAC" w:rsidRPr="00F45341">
        <w:rPr>
          <w:rFonts w:ascii="Arial" w:eastAsia="Times New Roman" w:hAnsi="Arial" w:cs="Arial"/>
          <w:color w:val="000000"/>
          <w:sz w:val="24"/>
          <w:szCs w:val="24"/>
          <w:lang w:eastAsia="en-ZA"/>
        </w:rPr>
        <w:t>ection</w:t>
      </w:r>
      <w:r w:rsidRPr="00F45341">
        <w:rPr>
          <w:rFonts w:ascii="Arial" w:eastAsia="Times New Roman" w:hAnsi="Arial" w:cs="Arial"/>
          <w:color w:val="000000"/>
          <w:sz w:val="24"/>
          <w:szCs w:val="24"/>
          <w:lang w:eastAsia="en-ZA"/>
        </w:rPr>
        <w:t xml:space="preserve"> 33(3) of the Constitution to give effect to, </w:t>
      </w:r>
      <w:r w:rsidRPr="00F45341">
        <w:rPr>
          <w:rFonts w:ascii="Arial" w:eastAsia="Times New Roman" w:hAnsi="Arial" w:cs="Arial"/>
          <w:i/>
          <w:color w:val="000000"/>
          <w:sz w:val="24"/>
          <w:szCs w:val="24"/>
          <w:lang w:eastAsia="en-ZA"/>
        </w:rPr>
        <w:t>inter alia</w:t>
      </w:r>
      <w:r w:rsidRPr="00F45341">
        <w:rPr>
          <w:rFonts w:ascii="Arial" w:eastAsia="Times New Roman" w:hAnsi="Arial" w:cs="Arial"/>
          <w:color w:val="000000"/>
          <w:sz w:val="24"/>
          <w:szCs w:val="24"/>
          <w:lang w:eastAsia="en-ZA"/>
        </w:rPr>
        <w:t>, the right contained in s</w:t>
      </w:r>
      <w:r w:rsidR="00991CAC" w:rsidRPr="00F45341">
        <w:rPr>
          <w:rFonts w:ascii="Arial" w:eastAsia="Times New Roman" w:hAnsi="Arial" w:cs="Arial"/>
          <w:color w:val="000000"/>
          <w:sz w:val="24"/>
          <w:szCs w:val="24"/>
          <w:lang w:eastAsia="en-ZA"/>
        </w:rPr>
        <w:t>ection</w:t>
      </w:r>
      <w:r w:rsidRPr="00F45341">
        <w:rPr>
          <w:rFonts w:ascii="Arial" w:eastAsia="Times New Roman" w:hAnsi="Arial" w:cs="Arial"/>
          <w:color w:val="000000"/>
          <w:sz w:val="24"/>
          <w:szCs w:val="24"/>
          <w:lang w:eastAsia="en-ZA"/>
        </w:rPr>
        <w:t xml:space="preserve"> 33(1) of the Constitution, makes administrative action taken by an administrator who was 'biased or reasonably suspected of </w:t>
      </w:r>
      <w:proofErr w:type="spellStart"/>
      <w:r w:rsidRPr="00F45341">
        <w:rPr>
          <w:rFonts w:ascii="Arial" w:eastAsia="Times New Roman" w:hAnsi="Arial" w:cs="Arial"/>
          <w:color w:val="000000"/>
          <w:sz w:val="24"/>
          <w:szCs w:val="24"/>
          <w:lang w:eastAsia="en-ZA"/>
        </w:rPr>
        <w:t>bias'</w:t>
      </w:r>
      <w:proofErr w:type="spellEnd"/>
      <w:r w:rsidRPr="00F45341">
        <w:rPr>
          <w:rFonts w:ascii="Arial" w:eastAsia="Times New Roman" w:hAnsi="Arial" w:cs="Arial"/>
          <w:color w:val="000000"/>
          <w:sz w:val="24"/>
          <w:szCs w:val="24"/>
          <w:lang w:eastAsia="en-ZA"/>
        </w:rPr>
        <w:t xml:space="preserve"> susceptible to review. Whether an administrator was biased is a question of fact. On the other hand, a reasonable suspicion of bias is tested against the perception of a reasonable, </w:t>
      </w:r>
      <w:proofErr w:type="gramStart"/>
      <w:r w:rsidRPr="00F45341">
        <w:rPr>
          <w:rFonts w:ascii="Arial" w:eastAsia="Times New Roman" w:hAnsi="Arial" w:cs="Arial"/>
          <w:color w:val="000000"/>
          <w:sz w:val="24"/>
          <w:szCs w:val="24"/>
          <w:lang w:eastAsia="en-ZA"/>
        </w:rPr>
        <w:t>objective</w:t>
      </w:r>
      <w:proofErr w:type="gramEnd"/>
      <w:r w:rsidRPr="00F45341">
        <w:rPr>
          <w:rFonts w:ascii="Arial" w:eastAsia="Times New Roman" w:hAnsi="Arial" w:cs="Arial"/>
          <w:color w:val="000000"/>
          <w:sz w:val="24"/>
          <w:szCs w:val="24"/>
          <w:lang w:eastAsia="en-ZA"/>
        </w:rPr>
        <w:t xml:space="preserve"> and informed person. </w:t>
      </w:r>
      <w:bookmarkStart w:id="3" w:name="0-0-0-263853"/>
      <w:bookmarkEnd w:id="3"/>
      <w:r w:rsidRPr="00F45341">
        <w:rPr>
          <w:rFonts w:ascii="Arial" w:eastAsia="Times New Roman" w:hAnsi="Arial" w:cs="Arial"/>
          <w:color w:val="000000"/>
          <w:sz w:val="24"/>
          <w:szCs w:val="24"/>
          <w:lang w:eastAsia="en-ZA"/>
        </w:rPr>
        <w:t xml:space="preserve"> To substantiate, borrowing from </w:t>
      </w:r>
      <w:r w:rsidRPr="00F45341">
        <w:rPr>
          <w:rFonts w:ascii="Arial" w:eastAsia="Times New Roman" w:hAnsi="Arial" w:cs="Arial"/>
          <w:i/>
          <w:iCs/>
          <w:color w:val="000000"/>
          <w:sz w:val="24"/>
          <w:szCs w:val="24"/>
          <w:lang w:eastAsia="en-ZA"/>
        </w:rPr>
        <w:t>S v Roberts</w:t>
      </w:r>
      <w:r w:rsidRPr="00F45341">
        <w:rPr>
          <w:rFonts w:ascii="Arial" w:eastAsia="Times New Roman" w:hAnsi="Arial" w:cs="Arial"/>
          <w:color w:val="000000"/>
          <w:sz w:val="24"/>
          <w:szCs w:val="24"/>
          <w:lang w:eastAsia="en-ZA"/>
        </w:rPr>
        <w:t>:</w:t>
      </w:r>
      <w:bookmarkStart w:id="4" w:name="0-0-0-263857"/>
      <w:bookmarkEnd w:id="4"/>
    </w:p>
    <w:p w14:paraId="32805201" w14:textId="77777777" w:rsidR="00546639" w:rsidRPr="00F45341" w:rsidRDefault="00546639" w:rsidP="00F45341">
      <w:pPr>
        <w:spacing w:after="0" w:line="240" w:lineRule="auto"/>
        <w:jc w:val="both"/>
        <w:rPr>
          <w:rFonts w:ascii="Arial" w:eastAsia="Times New Roman" w:hAnsi="Arial" w:cs="Arial"/>
          <w:color w:val="000000"/>
          <w:sz w:val="24"/>
          <w:szCs w:val="24"/>
          <w:lang w:eastAsia="en-ZA"/>
        </w:rPr>
      </w:pPr>
      <w:r w:rsidRPr="00F45341">
        <w:rPr>
          <w:rFonts w:ascii="Arial" w:eastAsia="Times New Roman" w:hAnsi="Arial" w:cs="Arial"/>
          <w:iCs/>
          <w:color w:val="000000"/>
          <w:sz w:val="24"/>
          <w:szCs w:val="24"/>
          <w:lang w:eastAsia="en-ZA"/>
        </w:rPr>
        <w:t>(a)</w:t>
      </w:r>
      <w:r w:rsidRPr="00F45341">
        <w:rPr>
          <w:rFonts w:ascii="Arial" w:eastAsia="Times New Roman" w:hAnsi="Arial" w:cs="Arial"/>
          <w:color w:val="000000"/>
          <w:sz w:val="24"/>
          <w:szCs w:val="24"/>
          <w:lang w:eastAsia="en-ZA"/>
        </w:rPr>
        <w:t>   There must be a suspicion that the administrator might — not would — be biased.</w:t>
      </w:r>
    </w:p>
    <w:p w14:paraId="7FD6B8BE" w14:textId="77777777" w:rsidR="00546639" w:rsidRPr="00F45341" w:rsidRDefault="00546639" w:rsidP="00F45341">
      <w:pPr>
        <w:spacing w:after="0" w:line="240" w:lineRule="auto"/>
        <w:jc w:val="both"/>
        <w:rPr>
          <w:rFonts w:ascii="Arial" w:eastAsia="Times New Roman" w:hAnsi="Arial" w:cs="Arial"/>
          <w:color w:val="000000"/>
          <w:sz w:val="24"/>
          <w:szCs w:val="24"/>
          <w:lang w:eastAsia="en-ZA"/>
        </w:rPr>
      </w:pPr>
      <w:r w:rsidRPr="00F45341">
        <w:rPr>
          <w:rFonts w:ascii="Arial" w:eastAsia="Times New Roman" w:hAnsi="Arial" w:cs="Arial"/>
          <w:iCs/>
          <w:color w:val="000000"/>
          <w:sz w:val="24"/>
          <w:szCs w:val="24"/>
          <w:lang w:eastAsia="en-ZA"/>
        </w:rPr>
        <w:t>(b)</w:t>
      </w:r>
      <w:r w:rsidRPr="00F45341">
        <w:rPr>
          <w:rFonts w:ascii="Arial" w:eastAsia="Times New Roman" w:hAnsi="Arial" w:cs="Arial"/>
          <w:color w:val="000000"/>
          <w:sz w:val="24"/>
          <w:szCs w:val="24"/>
          <w:lang w:eastAsia="en-ZA"/>
        </w:rPr>
        <w:t>   The suspicion must be that of a reasonable person in the position of the person affected.</w:t>
      </w:r>
    </w:p>
    <w:p w14:paraId="6B7A3CB1" w14:textId="77777777" w:rsidR="00546639" w:rsidRPr="00F45341" w:rsidRDefault="00546639" w:rsidP="00F45341">
      <w:pPr>
        <w:spacing w:after="0" w:line="240" w:lineRule="auto"/>
        <w:jc w:val="both"/>
        <w:rPr>
          <w:rFonts w:ascii="Arial" w:eastAsia="Times New Roman" w:hAnsi="Arial" w:cs="Arial"/>
          <w:color w:val="000000"/>
          <w:sz w:val="24"/>
          <w:szCs w:val="24"/>
          <w:lang w:eastAsia="en-ZA"/>
        </w:rPr>
      </w:pPr>
      <w:r w:rsidRPr="00F45341">
        <w:rPr>
          <w:rFonts w:ascii="Arial" w:eastAsia="Times New Roman" w:hAnsi="Arial" w:cs="Arial"/>
          <w:iCs/>
          <w:color w:val="000000"/>
          <w:sz w:val="24"/>
          <w:szCs w:val="24"/>
          <w:lang w:eastAsia="en-ZA"/>
        </w:rPr>
        <w:t>(c)</w:t>
      </w:r>
      <w:r w:rsidRPr="00F45341">
        <w:rPr>
          <w:rFonts w:ascii="Arial" w:eastAsia="Times New Roman" w:hAnsi="Arial" w:cs="Arial"/>
          <w:color w:val="000000"/>
          <w:sz w:val="24"/>
          <w:szCs w:val="24"/>
          <w:lang w:eastAsia="en-ZA"/>
        </w:rPr>
        <w:t>   The suspicion must be based on reasonable grounds.</w:t>
      </w:r>
    </w:p>
    <w:p w14:paraId="4B775341" w14:textId="77777777" w:rsidR="00546639" w:rsidRPr="00F45341" w:rsidRDefault="00546639" w:rsidP="00F45341">
      <w:pPr>
        <w:spacing w:after="0" w:line="240" w:lineRule="auto"/>
        <w:jc w:val="both"/>
        <w:rPr>
          <w:rFonts w:ascii="Arial" w:eastAsia="Times New Roman" w:hAnsi="Arial" w:cs="Arial"/>
          <w:color w:val="000000"/>
          <w:sz w:val="24"/>
          <w:szCs w:val="24"/>
          <w:lang w:eastAsia="en-ZA"/>
        </w:rPr>
      </w:pPr>
      <w:r w:rsidRPr="00F45341">
        <w:rPr>
          <w:rFonts w:ascii="Arial" w:eastAsia="Times New Roman" w:hAnsi="Arial" w:cs="Arial"/>
          <w:iCs/>
          <w:color w:val="000000"/>
          <w:sz w:val="24"/>
          <w:szCs w:val="24"/>
          <w:lang w:eastAsia="en-ZA"/>
        </w:rPr>
        <w:t>(d)</w:t>
      </w:r>
      <w:r w:rsidRPr="00F45341">
        <w:rPr>
          <w:rFonts w:ascii="Arial" w:eastAsia="Times New Roman" w:hAnsi="Arial" w:cs="Arial"/>
          <w:color w:val="000000"/>
          <w:sz w:val="24"/>
          <w:szCs w:val="24"/>
          <w:lang w:eastAsia="en-ZA"/>
        </w:rPr>
        <w:t>   The suspicion must be one which the reasonable person would — not might — have.’ (Footnotes omitted)</w:t>
      </w:r>
    </w:p>
    <w:p w14:paraId="3BC1AF51" w14:textId="77777777" w:rsidR="00AC6123" w:rsidRPr="00F45341" w:rsidRDefault="00AC6123" w:rsidP="00F45341">
      <w:pPr>
        <w:spacing w:after="0" w:line="240" w:lineRule="auto"/>
        <w:jc w:val="both"/>
        <w:rPr>
          <w:rFonts w:ascii="Arial" w:eastAsia="Calibri" w:hAnsi="Arial" w:cs="Arial"/>
          <w:sz w:val="24"/>
          <w:szCs w:val="24"/>
        </w:rPr>
      </w:pPr>
    </w:p>
    <w:p w14:paraId="106F93F1" w14:textId="77777777" w:rsidR="00140719" w:rsidRPr="00F45341" w:rsidRDefault="00AC6123" w:rsidP="00F45341">
      <w:pPr>
        <w:spacing w:after="0" w:line="240" w:lineRule="auto"/>
        <w:jc w:val="both"/>
        <w:rPr>
          <w:rFonts w:ascii="Arial" w:eastAsia="Calibri" w:hAnsi="Arial" w:cs="Arial"/>
          <w:sz w:val="24"/>
          <w:szCs w:val="24"/>
        </w:rPr>
      </w:pPr>
      <w:r w:rsidRPr="00F45341">
        <w:rPr>
          <w:rFonts w:ascii="Arial" w:eastAsia="Calibri" w:hAnsi="Arial" w:cs="Arial"/>
          <w:sz w:val="24"/>
          <w:szCs w:val="24"/>
        </w:rPr>
        <w:t>[19]</w:t>
      </w:r>
      <w:r w:rsidRPr="00F45341">
        <w:rPr>
          <w:rFonts w:ascii="Arial" w:eastAsia="Calibri" w:hAnsi="Arial" w:cs="Arial"/>
          <w:sz w:val="24"/>
          <w:szCs w:val="24"/>
        </w:rPr>
        <w:tab/>
      </w:r>
      <w:r w:rsidR="00D103E4" w:rsidRPr="00F45341">
        <w:rPr>
          <w:rFonts w:ascii="Arial" w:eastAsia="Calibri" w:hAnsi="Arial" w:cs="Arial"/>
          <w:sz w:val="24"/>
          <w:szCs w:val="24"/>
        </w:rPr>
        <w:t xml:space="preserve">Regarding </w:t>
      </w:r>
      <w:r w:rsidR="00140719" w:rsidRPr="00F45341">
        <w:rPr>
          <w:rFonts w:ascii="Arial" w:eastAsia="Calibri" w:hAnsi="Arial" w:cs="Arial"/>
          <w:sz w:val="24"/>
          <w:szCs w:val="24"/>
        </w:rPr>
        <w:t>unlawfulness, the applicant relies on s</w:t>
      </w:r>
      <w:r w:rsidR="00CD62FB" w:rsidRPr="00F45341">
        <w:rPr>
          <w:rFonts w:ascii="Arial" w:eastAsia="Calibri" w:hAnsi="Arial" w:cs="Arial"/>
          <w:sz w:val="24"/>
          <w:szCs w:val="24"/>
        </w:rPr>
        <w:t xml:space="preserve"> </w:t>
      </w:r>
      <w:r w:rsidR="00140719" w:rsidRPr="00F45341">
        <w:rPr>
          <w:rFonts w:ascii="Arial" w:eastAsia="Calibri" w:hAnsi="Arial" w:cs="Arial"/>
          <w:sz w:val="24"/>
          <w:szCs w:val="24"/>
        </w:rPr>
        <w:t xml:space="preserve">14 of the MFMA and submits </w:t>
      </w:r>
      <w:proofErr w:type="gramStart"/>
      <w:r w:rsidR="00140719" w:rsidRPr="00F45341">
        <w:rPr>
          <w:rFonts w:ascii="Arial" w:eastAsia="Calibri" w:hAnsi="Arial" w:cs="Arial"/>
          <w:sz w:val="24"/>
          <w:szCs w:val="24"/>
        </w:rPr>
        <w:t>that  the</w:t>
      </w:r>
      <w:proofErr w:type="gramEnd"/>
      <w:r w:rsidR="00140719" w:rsidRPr="00F45341">
        <w:rPr>
          <w:rFonts w:ascii="Arial" w:eastAsia="Calibri" w:hAnsi="Arial" w:cs="Arial"/>
          <w:sz w:val="24"/>
          <w:szCs w:val="24"/>
        </w:rPr>
        <w:t xml:space="preserve"> first respondent contravened its own supply chain policy. In addition to this, that the relevant respondents were not able to justify invoking the provisions of </w:t>
      </w:r>
      <w:r w:rsidR="00CD62FB" w:rsidRPr="00F45341">
        <w:rPr>
          <w:rFonts w:ascii="Arial" w:eastAsia="Calibri" w:hAnsi="Arial" w:cs="Arial"/>
          <w:sz w:val="24"/>
          <w:szCs w:val="24"/>
        </w:rPr>
        <w:t>r</w:t>
      </w:r>
      <w:r w:rsidR="00140719" w:rsidRPr="00F45341">
        <w:rPr>
          <w:rFonts w:ascii="Arial" w:eastAsia="Calibri" w:hAnsi="Arial" w:cs="Arial"/>
          <w:sz w:val="24"/>
          <w:szCs w:val="24"/>
        </w:rPr>
        <w:t xml:space="preserve">egulation 36 allowing for the accounting officer to </w:t>
      </w:r>
      <w:r w:rsidR="002D2CC1" w:rsidRPr="00F45341">
        <w:rPr>
          <w:rFonts w:ascii="Arial" w:eastAsia="Calibri" w:hAnsi="Arial" w:cs="Arial"/>
          <w:sz w:val="24"/>
          <w:szCs w:val="24"/>
        </w:rPr>
        <w:t>dispose</w:t>
      </w:r>
      <w:r w:rsidR="00140719" w:rsidRPr="00F45341">
        <w:rPr>
          <w:rFonts w:ascii="Arial" w:eastAsia="Calibri" w:hAnsi="Arial" w:cs="Arial"/>
          <w:sz w:val="24"/>
          <w:szCs w:val="24"/>
        </w:rPr>
        <w:t xml:space="preserve"> of official procurement processes only in case of emergency. </w:t>
      </w:r>
      <w:r w:rsidR="00CE5E8E" w:rsidRPr="00F45341">
        <w:rPr>
          <w:rFonts w:ascii="Arial" w:eastAsia="Calibri" w:hAnsi="Arial" w:cs="Arial"/>
          <w:sz w:val="24"/>
          <w:szCs w:val="24"/>
        </w:rPr>
        <w:t>The applicant submitted that there was no emergency</w:t>
      </w:r>
      <w:r w:rsidR="002D2CC1" w:rsidRPr="00F45341">
        <w:rPr>
          <w:rFonts w:ascii="Arial" w:eastAsia="Calibri" w:hAnsi="Arial" w:cs="Arial"/>
          <w:sz w:val="24"/>
          <w:szCs w:val="24"/>
        </w:rPr>
        <w:t xml:space="preserve"> and </w:t>
      </w:r>
      <w:r w:rsidR="00CE5E8E" w:rsidRPr="00F45341">
        <w:rPr>
          <w:rFonts w:ascii="Arial" w:eastAsia="Calibri" w:hAnsi="Arial" w:cs="Arial"/>
          <w:sz w:val="24"/>
          <w:szCs w:val="24"/>
        </w:rPr>
        <w:t xml:space="preserve">that in any event, it was not the accounting officer that took the impugned decision but the municipal council. </w:t>
      </w:r>
    </w:p>
    <w:p w14:paraId="238B2C0A" w14:textId="77777777" w:rsidR="001724D7" w:rsidRPr="00F45341" w:rsidRDefault="001724D7" w:rsidP="00F45341">
      <w:pPr>
        <w:spacing w:after="0" w:line="240" w:lineRule="auto"/>
        <w:jc w:val="both"/>
        <w:rPr>
          <w:rFonts w:ascii="Arial" w:eastAsia="Calibri" w:hAnsi="Arial" w:cs="Arial"/>
          <w:sz w:val="24"/>
          <w:szCs w:val="24"/>
        </w:rPr>
      </w:pPr>
    </w:p>
    <w:p w14:paraId="2D254AE9" w14:textId="77777777" w:rsidR="002503B4" w:rsidRPr="00F45341" w:rsidRDefault="00AC6123" w:rsidP="00F45341">
      <w:pPr>
        <w:spacing w:line="240" w:lineRule="auto"/>
        <w:jc w:val="both"/>
        <w:rPr>
          <w:rFonts w:ascii="Arial" w:eastAsia="Calibri" w:hAnsi="Arial" w:cs="Arial"/>
          <w:sz w:val="24"/>
          <w:szCs w:val="24"/>
        </w:rPr>
      </w:pPr>
      <w:r w:rsidRPr="00F45341">
        <w:rPr>
          <w:rFonts w:ascii="Arial" w:eastAsia="Calibri" w:hAnsi="Arial" w:cs="Arial"/>
          <w:sz w:val="24"/>
          <w:szCs w:val="24"/>
        </w:rPr>
        <w:t>[20]</w:t>
      </w:r>
      <w:r w:rsidRPr="00F45341">
        <w:rPr>
          <w:rFonts w:ascii="Arial" w:eastAsia="Calibri" w:hAnsi="Arial" w:cs="Arial"/>
          <w:sz w:val="24"/>
          <w:szCs w:val="24"/>
        </w:rPr>
        <w:tab/>
      </w:r>
      <w:r w:rsidR="00CE5E8E" w:rsidRPr="00F45341">
        <w:rPr>
          <w:rFonts w:ascii="Arial" w:eastAsia="Calibri" w:hAnsi="Arial" w:cs="Arial"/>
          <w:sz w:val="24"/>
          <w:szCs w:val="24"/>
        </w:rPr>
        <w:t xml:space="preserve">The applicant submitted that in terms of relief, the court has a wide discretion </w:t>
      </w:r>
      <w:r w:rsidR="00777EAF" w:rsidRPr="00F45341">
        <w:rPr>
          <w:rFonts w:ascii="Arial" w:eastAsia="Calibri" w:hAnsi="Arial" w:cs="Arial"/>
          <w:sz w:val="24"/>
          <w:szCs w:val="24"/>
        </w:rPr>
        <w:t xml:space="preserve">in terms </w:t>
      </w:r>
      <w:proofErr w:type="gramStart"/>
      <w:r w:rsidR="00777EAF" w:rsidRPr="00F45341">
        <w:rPr>
          <w:rFonts w:ascii="Arial" w:eastAsia="Calibri" w:hAnsi="Arial" w:cs="Arial"/>
          <w:sz w:val="24"/>
          <w:szCs w:val="24"/>
        </w:rPr>
        <w:t xml:space="preserve">of </w:t>
      </w:r>
      <w:r w:rsidR="00ED503F" w:rsidRPr="00F45341">
        <w:rPr>
          <w:rFonts w:ascii="Arial" w:eastAsia="Calibri" w:hAnsi="Arial" w:cs="Arial"/>
          <w:sz w:val="24"/>
          <w:szCs w:val="24"/>
        </w:rPr>
        <w:t xml:space="preserve"> s</w:t>
      </w:r>
      <w:proofErr w:type="gramEnd"/>
      <w:r w:rsidR="00CD62FB" w:rsidRPr="00F45341">
        <w:rPr>
          <w:rFonts w:ascii="Arial" w:eastAsia="Calibri" w:hAnsi="Arial" w:cs="Arial"/>
          <w:sz w:val="24"/>
          <w:szCs w:val="24"/>
        </w:rPr>
        <w:t xml:space="preserve"> </w:t>
      </w:r>
      <w:r w:rsidR="00ED503F" w:rsidRPr="00F45341">
        <w:rPr>
          <w:rFonts w:ascii="Arial" w:eastAsia="Calibri" w:hAnsi="Arial" w:cs="Arial"/>
          <w:sz w:val="24"/>
          <w:szCs w:val="24"/>
        </w:rPr>
        <w:t>172 of the Constitution and s</w:t>
      </w:r>
      <w:r w:rsidR="00CD62FB" w:rsidRPr="00F45341">
        <w:rPr>
          <w:rFonts w:ascii="Arial" w:eastAsia="Calibri" w:hAnsi="Arial" w:cs="Arial"/>
          <w:sz w:val="24"/>
          <w:szCs w:val="24"/>
        </w:rPr>
        <w:t xml:space="preserve"> </w:t>
      </w:r>
      <w:r w:rsidR="00ED503F" w:rsidRPr="00F45341">
        <w:rPr>
          <w:rFonts w:ascii="Arial" w:eastAsia="Calibri" w:hAnsi="Arial" w:cs="Arial"/>
          <w:sz w:val="24"/>
          <w:szCs w:val="24"/>
        </w:rPr>
        <w:t xml:space="preserve">8(2) of PAJA </w:t>
      </w:r>
      <w:r w:rsidR="00777EAF" w:rsidRPr="00F45341">
        <w:rPr>
          <w:rFonts w:ascii="Arial" w:eastAsia="Calibri" w:hAnsi="Arial" w:cs="Arial"/>
          <w:sz w:val="24"/>
          <w:szCs w:val="24"/>
        </w:rPr>
        <w:t xml:space="preserve">which </w:t>
      </w:r>
      <w:r w:rsidR="00ED503F" w:rsidRPr="00F45341">
        <w:rPr>
          <w:rFonts w:ascii="Arial" w:eastAsia="Calibri" w:hAnsi="Arial" w:cs="Arial"/>
          <w:sz w:val="24"/>
          <w:szCs w:val="24"/>
        </w:rPr>
        <w:t>provide</w:t>
      </w:r>
      <w:r w:rsidR="00777EAF" w:rsidRPr="00F45341">
        <w:rPr>
          <w:rFonts w:ascii="Arial" w:eastAsia="Calibri" w:hAnsi="Arial" w:cs="Arial"/>
          <w:sz w:val="24"/>
          <w:szCs w:val="24"/>
        </w:rPr>
        <w:t>s</w:t>
      </w:r>
      <w:r w:rsidR="00ED503F" w:rsidRPr="00F45341">
        <w:rPr>
          <w:rFonts w:ascii="Arial" w:eastAsia="Calibri" w:hAnsi="Arial" w:cs="Arial"/>
          <w:sz w:val="24"/>
          <w:szCs w:val="24"/>
        </w:rPr>
        <w:t xml:space="preserve"> for an order that is just and equitable</w:t>
      </w:r>
      <w:r w:rsidR="00777EAF" w:rsidRPr="00F45341">
        <w:rPr>
          <w:rFonts w:ascii="Arial" w:eastAsia="Calibri" w:hAnsi="Arial" w:cs="Arial"/>
          <w:sz w:val="24"/>
          <w:szCs w:val="24"/>
        </w:rPr>
        <w:t>,</w:t>
      </w:r>
      <w:r w:rsidR="00ED503F" w:rsidRPr="00F45341">
        <w:rPr>
          <w:rFonts w:ascii="Arial" w:eastAsia="Calibri" w:hAnsi="Arial" w:cs="Arial"/>
          <w:sz w:val="24"/>
          <w:szCs w:val="24"/>
        </w:rPr>
        <w:t xml:space="preserve"> including orders directing the parties to refrain from doing any act which the </w:t>
      </w:r>
      <w:r w:rsidR="00CD62FB" w:rsidRPr="00F45341">
        <w:rPr>
          <w:rFonts w:ascii="Arial" w:eastAsia="Calibri" w:hAnsi="Arial" w:cs="Arial"/>
          <w:sz w:val="24"/>
          <w:szCs w:val="24"/>
        </w:rPr>
        <w:t>c</w:t>
      </w:r>
      <w:r w:rsidR="00ED503F" w:rsidRPr="00F45341">
        <w:rPr>
          <w:rFonts w:ascii="Arial" w:eastAsia="Calibri" w:hAnsi="Arial" w:cs="Arial"/>
          <w:sz w:val="24"/>
          <w:szCs w:val="24"/>
        </w:rPr>
        <w:t xml:space="preserve">ourt considers necessary to do justice between the parties. </w:t>
      </w:r>
      <w:r w:rsidR="00777EAF" w:rsidRPr="00F45341">
        <w:rPr>
          <w:rFonts w:ascii="Arial" w:eastAsia="Calibri" w:hAnsi="Arial" w:cs="Arial"/>
          <w:sz w:val="24"/>
          <w:szCs w:val="24"/>
        </w:rPr>
        <w:t xml:space="preserve">A further submission </w:t>
      </w:r>
      <w:proofErr w:type="gramStart"/>
      <w:r w:rsidR="00777EAF" w:rsidRPr="00F45341">
        <w:rPr>
          <w:rFonts w:ascii="Arial" w:eastAsia="Calibri" w:hAnsi="Arial" w:cs="Arial"/>
          <w:sz w:val="24"/>
          <w:szCs w:val="24"/>
        </w:rPr>
        <w:t xml:space="preserve">was </w:t>
      </w:r>
      <w:r w:rsidR="0000494B" w:rsidRPr="00F45341">
        <w:rPr>
          <w:rFonts w:ascii="Arial" w:eastAsia="Calibri" w:hAnsi="Arial" w:cs="Arial"/>
          <w:sz w:val="24"/>
          <w:szCs w:val="24"/>
        </w:rPr>
        <w:t xml:space="preserve"> that</w:t>
      </w:r>
      <w:proofErr w:type="gramEnd"/>
      <w:r w:rsidR="0000494B" w:rsidRPr="00F45341">
        <w:rPr>
          <w:rFonts w:ascii="Arial" w:eastAsia="Calibri" w:hAnsi="Arial" w:cs="Arial"/>
          <w:sz w:val="24"/>
          <w:szCs w:val="24"/>
        </w:rPr>
        <w:t xml:space="preserve"> the fifth respondent should not be allowed to benefit from this patently unlawful and invalid decision to the detriment of the first respondent and its residents. They argued that this was effectively giving away municipal council and that the first respondent should be compelled to institute legal action to recover the value which would be in the interest of the public. </w:t>
      </w:r>
      <w:r w:rsidR="00777EAF" w:rsidRPr="00F45341">
        <w:rPr>
          <w:rFonts w:ascii="Arial" w:eastAsia="Calibri" w:hAnsi="Arial" w:cs="Arial"/>
          <w:sz w:val="24"/>
          <w:szCs w:val="24"/>
        </w:rPr>
        <w:t>To this regard, t</w:t>
      </w:r>
      <w:r w:rsidR="0000494B" w:rsidRPr="00F45341">
        <w:rPr>
          <w:rFonts w:ascii="Arial" w:eastAsia="Calibri" w:hAnsi="Arial" w:cs="Arial"/>
          <w:sz w:val="24"/>
          <w:szCs w:val="24"/>
        </w:rPr>
        <w:t xml:space="preserve">he applicant relied </w:t>
      </w:r>
      <w:r w:rsidR="0000494B" w:rsidRPr="00F45341">
        <w:rPr>
          <w:rFonts w:ascii="Arial" w:eastAsia="Calibri" w:hAnsi="Arial" w:cs="Arial"/>
          <w:sz w:val="24"/>
          <w:szCs w:val="24"/>
        </w:rPr>
        <w:lastRenderedPageBreak/>
        <w:t xml:space="preserve">on </w:t>
      </w:r>
      <w:proofErr w:type="spellStart"/>
      <w:r w:rsidR="00F23FAF" w:rsidRPr="00F45341">
        <w:rPr>
          <w:rFonts w:ascii="Arial" w:eastAsia="Calibri" w:hAnsi="Arial" w:cs="Arial"/>
          <w:i/>
          <w:sz w:val="24"/>
          <w:szCs w:val="24"/>
        </w:rPr>
        <w:t>Allpay</w:t>
      </w:r>
      <w:proofErr w:type="spellEnd"/>
      <w:r w:rsidR="00F23FAF" w:rsidRPr="00F45341">
        <w:rPr>
          <w:rFonts w:ascii="Arial" w:eastAsia="Calibri" w:hAnsi="Arial" w:cs="Arial"/>
          <w:i/>
          <w:sz w:val="24"/>
          <w:szCs w:val="24"/>
        </w:rPr>
        <w:t xml:space="preserve"> Consolidated Investment Holdings (Pty) Ltd and Others v Chief Executive Officer of the South African Social Security Agency and Others</w:t>
      </w:r>
      <w:r w:rsidR="00F23FAF" w:rsidRPr="00F45341">
        <w:rPr>
          <w:rFonts w:ascii="Arial" w:eastAsia="Calibri" w:hAnsi="Arial" w:cs="Arial"/>
          <w:sz w:val="24"/>
          <w:szCs w:val="24"/>
        </w:rPr>
        <w:t>.</w:t>
      </w:r>
      <w:r w:rsidR="00F23FAF" w:rsidRPr="00F45341">
        <w:rPr>
          <w:rStyle w:val="FootnoteReference"/>
          <w:rFonts w:ascii="Arial" w:eastAsia="Calibri" w:hAnsi="Arial" w:cs="Arial"/>
          <w:sz w:val="24"/>
          <w:szCs w:val="24"/>
        </w:rPr>
        <w:footnoteReference w:id="8"/>
      </w:r>
    </w:p>
    <w:p w14:paraId="0AB786DE" w14:textId="77777777" w:rsidR="002D2CC1" w:rsidRPr="00F45341" w:rsidRDefault="002D2CC1" w:rsidP="00F45341">
      <w:pPr>
        <w:spacing w:line="240" w:lineRule="auto"/>
        <w:jc w:val="both"/>
        <w:rPr>
          <w:rFonts w:ascii="Arial" w:eastAsia="Calibri" w:hAnsi="Arial" w:cs="Arial"/>
          <w:sz w:val="24"/>
          <w:szCs w:val="24"/>
        </w:rPr>
      </w:pPr>
    </w:p>
    <w:p w14:paraId="3DBDAB4B" w14:textId="77777777" w:rsidR="002503B4" w:rsidRPr="00F45341" w:rsidRDefault="00AC6123" w:rsidP="00F45341">
      <w:pPr>
        <w:spacing w:after="0" w:line="240" w:lineRule="auto"/>
        <w:jc w:val="both"/>
        <w:rPr>
          <w:rFonts w:ascii="Arial" w:eastAsia="Calibri" w:hAnsi="Arial" w:cs="Arial"/>
          <w:sz w:val="24"/>
          <w:szCs w:val="24"/>
        </w:rPr>
      </w:pPr>
      <w:r w:rsidRPr="00F45341">
        <w:rPr>
          <w:rFonts w:ascii="Arial" w:eastAsia="Calibri" w:hAnsi="Arial" w:cs="Arial"/>
          <w:sz w:val="24"/>
          <w:szCs w:val="24"/>
        </w:rPr>
        <w:t>[21]</w:t>
      </w:r>
      <w:r w:rsidRPr="00F45341">
        <w:rPr>
          <w:rFonts w:ascii="Arial" w:eastAsia="Calibri" w:hAnsi="Arial" w:cs="Arial"/>
          <w:sz w:val="24"/>
          <w:szCs w:val="24"/>
        </w:rPr>
        <w:tab/>
      </w:r>
      <w:r w:rsidR="00777EAF" w:rsidRPr="00F45341">
        <w:rPr>
          <w:rFonts w:ascii="Arial" w:eastAsia="Calibri" w:hAnsi="Arial" w:cs="Arial"/>
          <w:sz w:val="24"/>
          <w:szCs w:val="24"/>
        </w:rPr>
        <w:t xml:space="preserve">In terms </w:t>
      </w:r>
      <w:proofErr w:type="gramStart"/>
      <w:r w:rsidR="00777EAF" w:rsidRPr="00F45341">
        <w:rPr>
          <w:rFonts w:ascii="Arial" w:eastAsia="Calibri" w:hAnsi="Arial" w:cs="Arial"/>
          <w:sz w:val="24"/>
          <w:szCs w:val="24"/>
        </w:rPr>
        <w:t xml:space="preserve">of </w:t>
      </w:r>
      <w:r w:rsidR="002503B4" w:rsidRPr="00F45341">
        <w:rPr>
          <w:rFonts w:ascii="Arial" w:eastAsia="Calibri" w:hAnsi="Arial" w:cs="Arial"/>
          <w:sz w:val="24"/>
          <w:szCs w:val="24"/>
        </w:rPr>
        <w:t xml:space="preserve"> costs</w:t>
      </w:r>
      <w:proofErr w:type="gramEnd"/>
      <w:r w:rsidR="002503B4" w:rsidRPr="00F45341">
        <w:rPr>
          <w:rFonts w:ascii="Arial" w:eastAsia="Calibri" w:hAnsi="Arial" w:cs="Arial"/>
          <w:sz w:val="24"/>
          <w:szCs w:val="24"/>
        </w:rPr>
        <w:t xml:space="preserve">, it was submitted that </w:t>
      </w:r>
      <w:r w:rsidR="00ED5763" w:rsidRPr="00F45341">
        <w:rPr>
          <w:rFonts w:ascii="Arial" w:eastAsia="Calibri" w:hAnsi="Arial" w:cs="Arial"/>
          <w:sz w:val="24"/>
          <w:szCs w:val="24"/>
        </w:rPr>
        <w:t xml:space="preserve">the </w:t>
      </w:r>
      <w:r w:rsidR="002503B4" w:rsidRPr="00F45341">
        <w:rPr>
          <w:rFonts w:ascii="Arial" w:eastAsia="Calibri" w:hAnsi="Arial" w:cs="Arial"/>
          <w:i/>
          <w:sz w:val="24"/>
          <w:szCs w:val="24"/>
        </w:rPr>
        <w:t>Bio-watch principle</w:t>
      </w:r>
      <w:r w:rsidR="00777EAF" w:rsidRPr="00F45341">
        <w:rPr>
          <w:rStyle w:val="FootnoteReference"/>
          <w:rFonts w:ascii="Arial" w:eastAsia="Calibri" w:hAnsi="Arial" w:cs="Arial"/>
          <w:i/>
          <w:sz w:val="24"/>
          <w:szCs w:val="24"/>
        </w:rPr>
        <w:footnoteReference w:id="9"/>
      </w:r>
      <w:r w:rsidR="002D2CC1" w:rsidRPr="00F45341">
        <w:rPr>
          <w:rFonts w:ascii="Arial" w:eastAsia="Calibri" w:hAnsi="Arial" w:cs="Arial"/>
          <w:i/>
          <w:sz w:val="24"/>
          <w:szCs w:val="24"/>
        </w:rPr>
        <w:t xml:space="preserve"> </w:t>
      </w:r>
      <w:r w:rsidR="002D2CC1" w:rsidRPr="00F45341">
        <w:rPr>
          <w:rFonts w:ascii="Arial" w:hAnsi="Arial" w:cs="Arial"/>
          <w:sz w:val="24"/>
          <w:szCs w:val="24"/>
        </w:rPr>
        <w:t>should be applicable in that the applicant should not be discouraged from enforcing its right should it be unsuccessful</w:t>
      </w:r>
      <w:r w:rsidR="002503B4" w:rsidRPr="00F45341">
        <w:rPr>
          <w:rFonts w:ascii="Arial" w:eastAsia="Calibri" w:hAnsi="Arial" w:cs="Arial"/>
          <w:sz w:val="24"/>
          <w:szCs w:val="24"/>
        </w:rPr>
        <w:t>.</w:t>
      </w:r>
    </w:p>
    <w:p w14:paraId="30614260" w14:textId="77777777" w:rsidR="00CD62FB" w:rsidRPr="00F45341" w:rsidRDefault="00CD62FB" w:rsidP="00F45341">
      <w:pPr>
        <w:spacing w:after="0" w:line="240" w:lineRule="auto"/>
        <w:jc w:val="both"/>
        <w:rPr>
          <w:rFonts w:ascii="Arial" w:eastAsia="Calibri" w:hAnsi="Arial" w:cs="Arial"/>
          <w:sz w:val="24"/>
          <w:szCs w:val="24"/>
        </w:rPr>
      </w:pPr>
    </w:p>
    <w:p w14:paraId="1E3C2675" w14:textId="77777777" w:rsidR="002D2CC1" w:rsidRPr="00F45341" w:rsidRDefault="00AC6123" w:rsidP="00F45341">
      <w:pPr>
        <w:pStyle w:val="CommentText"/>
        <w:spacing w:after="0"/>
        <w:jc w:val="both"/>
        <w:rPr>
          <w:rFonts w:ascii="Arial" w:eastAsia="Times New Roman" w:hAnsi="Arial" w:cs="Arial"/>
          <w:color w:val="000000"/>
          <w:sz w:val="24"/>
          <w:szCs w:val="24"/>
          <w:lang w:eastAsia="en-ZA"/>
        </w:rPr>
      </w:pPr>
      <w:r w:rsidRPr="00F45341">
        <w:rPr>
          <w:rFonts w:ascii="Arial" w:eastAsia="Calibri" w:hAnsi="Arial" w:cs="Arial"/>
          <w:sz w:val="24"/>
          <w:szCs w:val="24"/>
        </w:rPr>
        <w:t>[22]</w:t>
      </w:r>
      <w:r w:rsidRPr="00F45341">
        <w:rPr>
          <w:rFonts w:ascii="Arial" w:eastAsia="Calibri" w:hAnsi="Arial" w:cs="Arial"/>
          <w:sz w:val="24"/>
          <w:szCs w:val="24"/>
        </w:rPr>
        <w:tab/>
      </w:r>
      <w:r w:rsidR="00650611" w:rsidRPr="00F45341">
        <w:rPr>
          <w:rFonts w:ascii="Arial" w:eastAsia="Calibri" w:hAnsi="Arial" w:cs="Arial"/>
          <w:i/>
          <w:sz w:val="24"/>
          <w:szCs w:val="24"/>
        </w:rPr>
        <w:t xml:space="preserve">Mr </w:t>
      </w:r>
      <w:proofErr w:type="spellStart"/>
      <w:r w:rsidR="00650611" w:rsidRPr="00F45341">
        <w:rPr>
          <w:rFonts w:ascii="Arial" w:eastAsia="Calibri" w:hAnsi="Arial" w:cs="Arial"/>
          <w:i/>
          <w:sz w:val="24"/>
          <w:szCs w:val="24"/>
        </w:rPr>
        <w:t>Broster</w:t>
      </w:r>
      <w:proofErr w:type="spellEnd"/>
      <w:r w:rsidR="00650611" w:rsidRPr="00F45341">
        <w:rPr>
          <w:rFonts w:ascii="Arial" w:eastAsia="Calibri" w:hAnsi="Arial" w:cs="Arial"/>
          <w:sz w:val="24"/>
          <w:szCs w:val="24"/>
        </w:rPr>
        <w:t xml:space="preserve"> </w:t>
      </w:r>
      <w:r w:rsidR="002503B4" w:rsidRPr="00F45341">
        <w:rPr>
          <w:rFonts w:ascii="Arial" w:eastAsia="Calibri" w:hAnsi="Arial" w:cs="Arial"/>
          <w:sz w:val="24"/>
          <w:szCs w:val="24"/>
        </w:rPr>
        <w:t xml:space="preserve">for </w:t>
      </w:r>
      <w:r w:rsidR="00650611" w:rsidRPr="00F45341">
        <w:rPr>
          <w:rFonts w:ascii="Arial" w:eastAsia="Calibri" w:hAnsi="Arial" w:cs="Arial"/>
          <w:sz w:val="24"/>
          <w:szCs w:val="24"/>
        </w:rPr>
        <w:t xml:space="preserve">the </w:t>
      </w:r>
      <w:r w:rsidR="00ED5763" w:rsidRPr="00F45341">
        <w:rPr>
          <w:rFonts w:ascii="Arial" w:eastAsia="Calibri" w:hAnsi="Arial" w:cs="Arial"/>
          <w:sz w:val="24"/>
          <w:szCs w:val="24"/>
        </w:rPr>
        <w:t>r</w:t>
      </w:r>
      <w:r w:rsidR="00650611" w:rsidRPr="00F45341">
        <w:rPr>
          <w:rFonts w:ascii="Arial" w:eastAsia="Calibri" w:hAnsi="Arial" w:cs="Arial"/>
          <w:sz w:val="24"/>
          <w:szCs w:val="24"/>
        </w:rPr>
        <w:t>espondents submitted that there was nothing offensive by the resolution of November 2020. Th</w:t>
      </w:r>
      <w:r w:rsidR="00BD2EC2" w:rsidRPr="00F45341">
        <w:rPr>
          <w:rFonts w:ascii="Arial" w:eastAsia="Calibri" w:hAnsi="Arial" w:cs="Arial"/>
          <w:sz w:val="24"/>
          <w:szCs w:val="24"/>
        </w:rPr>
        <w:t xml:space="preserve">is was because </w:t>
      </w:r>
      <w:proofErr w:type="gramStart"/>
      <w:r w:rsidR="00BD2EC2" w:rsidRPr="00F45341">
        <w:rPr>
          <w:rFonts w:ascii="Arial" w:eastAsia="Calibri" w:hAnsi="Arial" w:cs="Arial"/>
          <w:sz w:val="24"/>
          <w:szCs w:val="24"/>
        </w:rPr>
        <w:t xml:space="preserve">the </w:t>
      </w:r>
      <w:r w:rsidR="00650611" w:rsidRPr="00F45341">
        <w:rPr>
          <w:rFonts w:ascii="Arial" w:eastAsia="Calibri" w:hAnsi="Arial" w:cs="Arial"/>
          <w:sz w:val="24"/>
          <w:szCs w:val="24"/>
        </w:rPr>
        <w:t xml:space="preserve"> </w:t>
      </w:r>
      <w:r w:rsidR="001724D7" w:rsidRPr="00F45341">
        <w:rPr>
          <w:rFonts w:ascii="Arial" w:eastAsia="Calibri" w:hAnsi="Arial" w:cs="Arial"/>
          <w:sz w:val="24"/>
          <w:szCs w:val="24"/>
        </w:rPr>
        <w:t>f</w:t>
      </w:r>
      <w:r w:rsidR="00650611" w:rsidRPr="00F45341">
        <w:rPr>
          <w:rFonts w:ascii="Arial" w:eastAsia="Calibri" w:hAnsi="Arial" w:cs="Arial"/>
          <w:sz w:val="24"/>
          <w:szCs w:val="24"/>
        </w:rPr>
        <w:t>irst</w:t>
      </w:r>
      <w:proofErr w:type="gramEnd"/>
      <w:r w:rsidR="00650611" w:rsidRPr="00F45341">
        <w:rPr>
          <w:rFonts w:ascii="Arial" w:eastAsia="Calibri" w:hAnsi="Arial" w:cs="Arial"/>
          <w:sz w:val="24"/>
          <w:szCs w:val="24"/>
        </w:rPr>
        <w:t xml:space="preserve"> </w:t>
      </w:r>
      <w:r w:rsidR="001724D7" w:rsidRPr="00F45341">
        <w:rPr>
          <w:rFonts w:ascii="Arial" w:eastAsia="Calibri" w:hAnsi="Arial" w:cs="Arial"/>
          <w:sz w:val="24"/>
          <w:szCs w:val="24"/>
        </w:rPr>
        <w:t>r</w:t>
      </w:r>
      <w:r w:rsidR="00650611" w:rsidRPr="00F45341">
        <w:rPr>
          <w:rFonts w:ascii="Arial" w:eastAsia="Calibri" w:hAnsi="Arial" w:cs="Arial"/>
          <w:sz w:val="24"/>
          <w:szCs w:val="24"/>
        </w:rPr>
        <w:t>espondent is authori</w:t>
      </w:r>
      <w:r w:rsidR="001724D7" w:rsidRPr="00F45341">
        <w:rPr>
          <w:rFonts w:ascii="Arial" w:eastAsia="Calibri" w:hAnsi="Arial" w:cs="Arial"/>
          <w:sz w:val="24"/>
          <w:szCs w:val="24"/>
        </w:rPr>
        <w:t>s</w:t>
      </w:r>
      <w:r w:rsidR="00650611" w:rsidRPr="00F45341">
        <w:rPr>
          <w:rFonts w:ascii="Arial" w:eastAsia="Calibri" w:hAnsi="Arial" w:cs="Arial"/>
          <w:sz w:val="24"/>
          <w:szCs w:val="24"/>
        </w:rPr>
        <w:t>ed to appoint a caretaker whilst the tender is underway.</w:t>
      </w:r>
      <w:r w:rsidR="00750678" w:rsidRPr="00F45341">
        <w:rPr>
          <w:rFonts w:ascii="Arial" w:eastAsia="Calibri" w:hAnsi="Arial" w:cs="Arial"/>
          <w:sz w:val="24"/>
          <w:szCs w:val="24"/>
        </w:rPr>
        <w:t xml:space="preserve"> This is i</w:t>
      </w:r>
      <w:r w:rsidR="00650611" w:rsidRPr="00F45341">
        <w:rPr>
          <w:rFonts w:ascii="Arial" w:eastAsia="Calibri" w:hAnsi="Arial" w:cs="Arial"/>
          <w:sz w:val="24"/>
          <w:szCs w:val="24"/>
        </w:rPr>
        <w:t xml:space="preserve">n terms of s 60 of the Local Government Municipal Finance Act </w:t>
      </w:r>
      <w:r w:rsidR="00750678" w:rsidRPr="00F45341">
        <w:rPr>
          <w:rFonts w:ascii="Arial" w:eastAsia="Calibri" w:hAnsi="Arial" w:cs="Arial"/>
          <w:sz w:val="24"/>
          <w:szCs w:val="24"/>
        </w:rPr>
        <w:t xml:space="preserve">which identifies </w:t>
      </w:r>
      <w:r w:rsidR="00650611" w:rsidRPr="00F45341">
        <w:rPr>
          <w:rFonts w:ascii="Arial" w:eastAsia="Calibri" w:hAnsi="Arial" w:cs="Arial"/>
          <w:sz w:val="24"/>
          <w:szCs w:val="24"/>
        </w:rPr>
        <w:t xml:space="preserve">the municipal manager </w:t>
      </w:r>
      <w:r w:rsidR="00750678" w:rsidRPr="00F45341">
        <w:rPr>
          <w:rFonts w:ascii="Arial" w:eastAsia="Calibri" w:hAnsi="Arial" w:cs="Arial"/>
          <w:sz w:val="24"/>
          <w:szCs w:val="24"/>
        </w:rPr>
        <w:t>a</w:t>
      </w:r>
      <w:r w:rsidR="00650611" w:rsidRPr="00F45341">
        <w:rPr>
          <w:rFonts w:ascii="Arial" w:eastAsia="Calibri" w:hAnsi="Arial" w:cs="Arial"/>
          <w:sz w:val="24"/>
          <w:szCs w:val="24"/>
        </w:rPr>
        <w:t xml:space="preserve">s the </w:t>
      </w:r>
      <w:r w:rsidR="002D2CC1" w:rsidRPr="00F45341">
        <w:rPr>
          <w:rFonts w:ascii="Arial" w:eastAsia="Calibri" w:hAnsi="Arial" w:cs="Arial"/>
          <w:sz w:val="24"/>
          <w:szCs w:val="24"/>
        </w:rPr>
        <w:t xml:space="preserve">accounting </w:t>
      </w:r>
      <w:r w:rsidR="00650611" w:rsidRPr="00F45341">
        <w:rPr>
          <w:rFonts w:ascii="Arial" w:eastAsia="Calibri" w:hAnsi="Arial" w:cs="Arial"/>
          <w:sz w:val="24"/>
          <w:szCs w:val="24"/>
        </w:rPr>
        <w:t>officer.</w:t>
      </w:r>
      <w:r w:rsidR="002D2CC1" w:rsidRPr="00F45341">
        <w:rPr>
          <w:rFonts w:ascii="Arial" w:eastAsia="Calibri" w:hAnsi="Arial" w:cs="Arial"/>
          <w:sz w:val="24"/>
          <w:szCs w:val="24"/>
        </w:rPr>
        <w:t xml:space="preserve"> </w:t>
      </w:r>
      <w:proofErr w:type="gramStart"/>
      <w:r w:rsidR="002D2CC1" w:rsidRPr="00F45341">
        <w:rPr>
          <w:rFonts w:ascii="Arial" w:eastAsia="Calibri" w:hAnsi="Arial" w:cs="Arial"/>
          <w:sz w:val="24"/>
          <w:szCs w:val="24"/>
        </w:rPr>
        <w:t>This  section</w:t>
      </w:r>
      <w:proofErr w:type="gramEnd"/>
      <w:r w:rsidR="002D2CC1" w:rsidRPr="00F45341">
        <w:rPr>
          <w:rFonts w:ascii="Arial" w:eastAsia="Calibri" w:hAnsi="Arial" w:cs="Arial"/>
          <w:sz w:val="24"/>
          <w:szCs w:val="24"/>
        </w:rPr>
        <w:t xml:space="preserve"> deals with the powers and functions of the municipal manager which record him as the </w:t>
      </w:r>
      <w:r w:rsidR="002D2CC1" w:rsidRPr="00F45341">
        <w:rPr>
          <w:rFonts w:ascii="Arial" w:eastAsia="Times New Roman" w:hAnsi="Arial" w:cs="Arial"/>
          <w:color w:val="000000"/>
          <w:sz w:val="24"/>
          <w:szCs w:val="24"/>
          <w:lang w:eastAsia="en-ZA"/>
        </w:rPr>
        <w:t xml:space="preserve">accounting officer who must </w:t>
      </w:r>
      <w:bookmarkStart w:id="5" w:name="0-0-0-169193"/>
      <w:bookmarkEnd w:id="5"/>
      <w:r w:rsidR="002D2CC1" w:rsidRPr="00F45341">
        <w:rPr>
          <w:rFonts w:ascii="Arial" w:eastAsia="Times New Roman" w:hAnsi="Arial" w:cs="Arial"/>
          <w:color w:val="000000"/>
          <w:sz w:val="24"/>
          <w:szCs w:val="24"/>
          <w:lang w:eastAsia="en-ZA"/>
        </w:rPr>
        <w:t>exercise the functions and powers assigned to an accounting officer in terms of this Act; and provide guidance and advice on compliance with this Act to political structures, office bearers and the municipality as a whole.</w:t>
      </w:r>
    </w:p>
    <w:p w14:paraId="049C1838" w14:textId="77777777" w:rsidR="00650611" w:rsidRPr="00F45341" w:rsidRDefault="00650611" w:rsidP="00F45341">
      <w:pPr>
        <w:spacing w:line="240" w:lineRule="auto"/>
        <w:contextualSpacing/>
        <w:jc w:val="both"/>
        <w:rPr>
          <w:rFonts w:ascii="Arial" w:eastAsia="Calibri" w:hAnsi="Arial" w:cs="Arial"/>
          <w:sz w:val="24"/>
          <w:szCs w:val="24"/>
        </w:rPr>
      </w:pPr>
    </w:p>
    <w:p w14:paraId="7359DB48" w14:textId="77777777" w:rsidR="00D624BB"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[23]</w:t>
      </w:r>
      <w:r w:rsidRPr="00F45341">
        <w:rPr>
          <w:rFonts w:ascii="Arial" w:eastAsia="Calibri" w:hAnsi="Arial" w:cs="Arial"/>
          <w:sz w:val="24"/>
          <w:szCs w:val="24"/>
        </w:rPr>
        <w:tab/>
      </w:r>
      <w:r w:rsidR="00841AD9" w:rsidRPr="00F45341">
        <w:rPr>
          <w:rFonts w:ascii="Arial" w:eastAsia="Calibri" w:hAnsi="Arial" w:cs="Arial"/>
          <w:sz w:val="24"/>
          <w:szCs w:val="24"/>
        </w:rPr>
        <w:t xml:space="preserve">The court is </w:t>
      </w:r>
      <w:r w:rsidR="00BD2EC2" w:rsidRPr="00F45341">
        <w:rPr>
          <w:rFonts w:ascii="Arial" w:eastAsia="Calibri" w:hAnsi="Arial" w:cs="Arial"/>
          <w:sz w:val="24"/>
          <w:szCs w:val="24"/>
        </w:rPr>
        <w:t>called upon</w:t>
      </w:r>
      <w:r w:rsidR="00841AD9" w:rsidRPr="00F45341">
        <w:rPr>
          <w:rFonts w:ascii="Arial" w:eastAsia="Calibri" w:hAnsi="Arial" w:cs="Arial"/>
          <w:sz w:val="24"/>
          <w:szCs w:val="24"/>
        </w:rPr>
        <w:t xml:space="preserve"> to </w:t>
      </w:r>
      <w:r w:rsidR="00BF1D31" w:rsidRPr="00F45341">
        <w:rPr>
          <w:rFonts w:ascii="Arial" w:eastAsia="Calibri" w:hAnsi="Arial" w:cs="Arial"/>
          <w:sz w:val="24"/>
          <w:szCs w:val="24"/>
        </w:rPr>
        <w:t>determine</w:t>
      </w:r>
      <w:r w:rsidR="00ED5763" w:rsidRPr="00F45341">
        <w:rPr>
          <w:rFonts w:ascii="Arial" w:eastAsia="Calibri" w:hAnsi="Arial" w:cs="Arial"/>
          <w:sz w:val="24"/>
          <w:szCs w:val="24"/>
        </w:rPr>
        <w:t xml:space="preserve"> w</w:t>
      </w:r>
      <w:r w:rsidR="00BF1D31" w:rsidRPr="00F45341">
        <w:rPr>
          <w:rFonts w:ascii="Arial" w:eastAsia="Calibri" w:hAnsi="Arial" w:cs="Arial"/>
          <w:sz w:val="24"/>
          <w:szCs w:val="24"/>
        </w:rPr>
        <w:t>hether</w:t>
      </w:r>
      <w:r w:rsidR="005113EE" w:rsidRPr="00F45341">
        <w:rPr>
          <w:rFonts w:ascii="Arial" w:eastAsia="Calibri" w:hAnsi="Arial" w:cs="Arial"/>
          <w:sz w:val="24"/>
          <w:szCs w:val="24"/>
        </w:rPr>
        <w:t xml:space="preserve"> the </w:t>
      </w:r>
      <w:r w:rsidR="00ED5763" w:rsidRPr="00F45341">
        <w:rPr>
          <w:rFonts w:ascii="Arial" w:eastAsia="Calibri" w:hAnsi="Arial" w:cs="Arial"/>
          <w:sz w:val="24"/>
          <w:szCs w:val="24"/>
        </w:rPr>
        <w:t>f</w:t>
      </w:r>
      <w:r w:rsidR="006E179E" w:rsidRPr="00F45341">
        <w:rPr>
          <w:rFonts w:ascii="Arial" w:eastAsia="Calibri" w:hAnsi="Arial" w:cs="Arial"/>
          <w:sz w:val="24"/>
          <w:szCs w:val="24"/>
        </w:rPr>
        <w:t xml:space="preserve">irst to the </w:t>
      </w:r>
      <w:r w:rsidR="00ED5763" w:rsidRPr="00F45341">
        <w:rPr>
          <w:rFonts w:ascii="Arial" w:eastAsia="Calibri" w:hAnsi="Arial" w:cs="Arial"/>
          <w:sz w:val="24"/>
          <w:szCs w:val="24"/>
        </w:rPr>
        <w:t>f</w:t>
      </w:r>
      <w:r w:rsidR="006E179E" w:rsidRPr="00F45341">
        <w:rPr>
          <w:rFonts w:ascii="Arial" w:eastAsia="Calibri" w:hAnsi="Arial" w:cs="Arial"/>
          <w:sz w:val="24"/>
          <w:szCs w:val="24"/>
        </w:rPr>
        <w:t xml:space="preserve">ourth </w:t>
      </w:r>
      <w:r w:rsidR="00ED5763" w:rsidRPr="00F45341">
        <w:rPr>
          <w:rFonts w:ascii="Arial" w:eastAsia="Calibri" w:hAnsi="Arial" w:cs="Arial"/>
          <w:sz w:val="24"/>
          <w:szCs w:val="24"/>
        </w:rPr>
        <w:t>r</w:t>
      </w:r>
      <w:r w:rsidR="006E179E" w:rsidRPr="00F45341">
        <w:rPr>
          <w:rFonts w:ascii="Arial" w:eastAsia="Calibri" w:hAnsi="Arial" w:cs="Arial"/>
          <w:sz w:val="24"/>
          <w:szCs w:val="24"/>
        </w:rPr>
        <w:t>espondents acted outside s 14 of the M</w:t>
      </w:r>
      <w:r w:rsidR="00750678" w:rsidRPr="00F45341">
        <w:rPr>
          <w:rFonts w:ascii="Arial" w:eastAsia="Calibri" w:hAnsi="Arial" w:cs="Arial"/>
          <w:sz w:val="24"/>
          <w:szCs w:val="24"/>
        </w:rPr>
        <w:t>FMA</w:t>
      </w:r>
      <w:r w:rsidR="006E179E" w:rsidRPr="00F45341">
        <w:rPr>
          <w:rFonts w:ascii="Arial" w:eastAsia="Calibri" w:hAnsi="Arial" w:cs="Arial"/>
          <w:sz w:val="24"/>
          <w:szCs w:val="24"/>
        </w:rPr>
        <w:t xml:space="preserve"> </w:t>
      </w:r>
      <w:r w:rsidR="00750678" w:rsidRPr="00F45341">
        <w:rPr>
          <w:rFonts w:ascii="Arial" w:eastAsia="Calibri" w:hAnsi="Arial" w:cs="Arial"/>
          <w:sz w:val="24"/>
          <w:szCs w:val="24"/>
        </w:rPr>
        <w:t>in</w:t>
      </w:r>
      <w:r w:rsidR="006E179E" w:rsidRPr="00F45341">
        <w:rPr>
          <w:rFonts w:ascii="Arial" w:eastAsia="Calibri" w:hAnsi="Arial" w:cs="Arial"/>
          <w:sz w:val="24"/>
          <w:szCs w:val="24"/>
        </w:rPr>
        <w:t xml:space="preserve"> a</w:t>
      </w:r>
      <w:r w:rsidR="00D624BB" w:rsidRPr="00F45341">
        <w:rPr>
          <w:rFonts w:ascii="Arial" w:eastAsia="Calibri" w:hAnsi="Arial" w:cs="Arial"/>
          <w:sz w:val="24"/>
          <w:szCs w:val="24"/>
        </w:rPr>
        <w:t xml:space="preserve">ppointing the </w:t>
      </w:r>
      <w:r w:rsidR="00ED5763" w:rsidRPr="00F45341">
        <w:rPr>
          <w:rFonts w:ascii="Arial" w:eastAsia="Calibri" w:hAnsi="Arial" w:cs="Arial"/>
          <w:sz w:val="24"/>
          <w:szCs w:val="24"/>
        </w:rPr>
        <w:t>f</w:t>
      </w:r>
      <w:r w:rsidR="00D624BB" w:rsidRPr="00F45341">
        <w:rPr>
          <w:rFonts w:ascii="Arial" w:eastAsia="Calibri" w:hAnsi="Arial" w:cs="Arial"/>
          <w:sz w:val="24"/>
          <w:szCs w:val="24"/>
        </w:rPr>
        <w:t xml:space="preserve">ifth </w:t>
      </w:r>
      <w:r w:rsidR="00ED5763" w:rsidRPr="00F45341">
        <w:rPr>
          <w:rFonts w:ascii="Arial" w:eastAsia="Calibri" w:hAnsi="Arial" w:cs="Arial"/>
          <w:sz w:val="24"/>
          <w:szCs w:val="24"/>
        </w:rPr>
        <w:t>r</w:t>
      </w:r>
      <w:r w:rsidR="00D624BB" w:rsidRPr="00F45341">
        <w:rPr>
          <w:rFonts w:ascii="Arial" w:eastAsia="Calibri" w:hAnsi="Arial" w:cs="Arial"/>
          <w:sz w:val="24"/>
          <w:szCs w:val="24"/>
        </w:rPr>
        <w:t xml:space="preserve">espondent as caretaker of forestry operations at a </w:t>
      </w:r>
      <w:r w:rsidR="00ED5763" w:rsidRPr="00F45341">
        <w:rPr>
          <w:rFonts w:ascii="Arial" w:eastAsia="Calibri" w:hAnsi="Arial" w:cs="Arial"/>
          <w:sz w:val="24"/>
          <w:szCs w:val="24"/>
        </w:rPr>
        <w:t>c</w:t>
      </w:r>
      <w:r w:rsidR="00D624BB" w:rsidRPr="00F45341">
        <w:rPr>
          <w:rFonts w:ascii="Arial" w:eastAsia="Calibri" w:hAnsi="Arial" w:cs="Arial"/>
          <w:sz w:val="24"/>
          <w:szCs w:val="24"/>
        </w:rPr>
        <w:t>ouncil meeting on 20 November 2020.</w:t>
      </w:r>
    </w:p>
    <w:p w14:paraId="593E492C" w14:textId="77777777" w:rsidR="00CD62FB" w:rsidRPr="00F45341" w:rsidRDefault="00CD62FB" w:rsidP="00F45341">
      <w:pPr>
        <w:spacing w:line="240" w:lineRule="auto"/>
        <w:ind w:left="360"/>
        <w:contextualSpacing/>
        <w:jc w:val="both"/>
        <w:rPr>
          <w:rFonts w:ascii="Arial" w:eastAsia="Calibri" w:hAnsi="Arial" w:cs="Arial"/>
          <w:sz w:val="24"/>
          <w:szCs w:val="24"/>
        </w:rPr>
      </w:pPr>
    </w:p>
    <w:p w14:paraId="458A0C1A" w14:textId="77777777" w:rsidR="00EC66AC"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[24]</w:t>
      </w:r>
      <w:r w:rsidRPr="00F45341">
        <w:rPr>
          <w:rFonts w:ascii="Arial" w:eastAsia="Calibri" w:hAnsi="Arial" w:cs="Arial"/>
          <w:sz w:val="24"/>
          <w:szCs w:val="24"/>
        </w:rPr>
        <w:tab/>
      </w:r>
      <w:r w:rsidR="00EC66AC" w:rsidRPr="00F45341">
        <w:rPr>
          <w:rFonts w:ascii="Arial" w:eastAsia="Calibri" w:hAnsi="Arial" w:cs="Arial"/>
          <w:sz w:val="24"/>
          <w:szCs w:val="24"/>
        </w:rPr>
        <w:t>In terms of s 14 (2) of the MF</w:t>
      </w:r>
      <w:r w:rsidR="00DF1245" w:rsidRPr="00F45341">
        <w:rPr>
          <w:rFonts w:ascii="Arial" w:eastAsia="Calibri" w:hAnsi="Arial" w:cs="Arial"/>
          <w:sz w:val="24"/>
          <w:szCs w:val="24"/>
        </w:rPr>
        <w:t>M</w:t>
      </w:r>
      <w:r w:rsidR="00EC66AC" w:rsidRPr="00F45341">
        <w:rPr>
          <w:rFonts w:ascii="Arial" w:eastAsia="Calibri" w:hAnsi="Arial" w:cs="Arial"/>
          <w:sz w:val="24"/>
          <w:szCs w:val="24"/>
        </w:rPr>
        <w:t>A</w:t>
      </w:r>
      <w:r w:rsidR="007B49B1" w:rsidRPr="00F45341">
        <w:rPr>
          <w:rFonts w:ascii="Arial" w:eastAsia="Calibri" w:hAnsi="Arial" w:cs="Arial"/>
          <w:sz w:val="24"/>
          <w:szCs w:val="24"/>
        </w:rPr>
        <w:t>,</w:t>
      </w:r>
      <w:r w:rsidR="00EC66AC" w:rsidRPr="00F45341">
        <w:rPr>
          <w:rFonts w:ascii="Arial" w:eastAsia="Calibri" w:hAnsi="Arial" w:cs="Arial"/>
          <w:sz w:val="24"/>
          <w:szCs w:val="24"/>
        </w:rPr>
        <w:t xml:space="preserve"> </w:t>
      </w:r>
      <w:proofErr w:type="gramStart"/>
      <w:r w:rsidR="00ED5763" w:rsidRPr="00F45341">
        <w:rPr>
          <w:rFonts w:ascii="Arial" w:eastAsia="Calibri" w:hAnsi="Arial" w:cs="Arial"/>
          <w:sz w:val="24"/>
          <w:szCs w:val="24"/>
        </w:rPr>
        <w:t xml:space="preserve">a </w:t>
      </w:r>
      <w:r w:rsidR="00EC66AC" w:rsidRPr="00F45341">
        <w:rPr>
          <w:rFonts w:ascii="Arial" w:eastAsia="Calibri" w:hAnsi="Arial" w:cs="Arial"/>
          <w:sz w:val="24"/>
          <w:szCs w:val="24"/>
        </w:rPr>
        <w:t xml:space="preserve"> municipality</w:t>
      </w:r>
      <w:proofErr w:type="gramEnd"/>
      <w:r w:rsidR="00EC66AC" w:rsidRPr="00F45341">
        <w:rPr>
          <w:rFonts w:ascii="Arial" w:eastAsia="Calibri" w:hAnsi="Arial" w:cs="Arial"/>
          <w:sz w:val="24"/>
          <w:szCs w:val="24"/>
        </w:rPr>
        <w:t xml:space="preserve"> may transfer ownership or other dispose of a capital asset other than one contemplated in </w:t>
      </w:r>
      <w:r w:rsidR="00CD62FB" w:rsidRPr="00F45341">
        <w:rPr>
          <w:rFonts w:ascii="Arial" w:eastAsia="Calibri" w:hAnsi="Arial" w:cs="Arial"/>
          <w:sz w:val="24"/>
          <w:szCs w:val="24"/>
        </w:rPr>
        <w:t>ss</w:t>
      </w:r>
      <w:r w:rsidR="00E46174" w:rsidRPr="00F45341">
        <w:rPr>
          <w:rFonts w:ascii="Arial" w:eastAsia="Calibri" w:hAnsi="Arial" w:cs="Arial"/>
          <w:sz w:val="24"/>
          <w:szCs w:val="24"/>
        </w:rPr>
        <w:t xml:space="preserve"> 1</w:t>
      </w:r>
      <w:r w:rsidR="00CD62FB" w:rsidRPr="00F45341">
        <w:rPr>
          <w:rFonts w:ascii="Arial" w:eastAsia="Calibri" w:hAnsi="Arial" w:cs="Arial"/>
          <w:sz w:val="24"/>
          <w:szCs w:val="24"/>
        </w:rPr>
        <w:t xml:space="preserve"> </w:t>
      </w:r>
      <w:r w:rsidR="00EC66AC" w:rsidRPr="00F45341">
        <w:rPr>
          <w:rFonts w:ascii="Arial" w:eastAsia="Calibri" w:hAnsi="Arial" w:cs="Arial"/>
          <w:sz w:val="24"/>
          <w:szCs w:val="24"/>
        </w:rPr>
        <w:t>, but only after the municipal council, in a meeting open to the public</w:t>
      </w:r>
      <w:r w:rsidR="007B49B1" w:rsidRPr="00F45341">
        <w:rPr>
          <w:rFonts w:ascii="Arial" w:eastAsia="Calibri" w:hAnsi="Arial" w:cs="Arial"/>
          <w:sz w:val="24"/>
          <w:szCs w:val="24"/>
        </w:rPr>
        <w:t>:</w:t>
      </w:r>
    </w:p>
    <w:p w14:paraId="5BFF2998" w14:textId="7AE1D6AC" w:rsidR="00CD62FB" w:rsidRPr="00F45341" w:rsidRDefault="00D342BA" w:rsidP="00F45341">
      <w:pPr>
        <w:spacing w:line="240" w:lineRule="auto"/>
        <w:ind w:left="76" w:hanging="360"/>
        <w:jc w:val="both"/>
        <w:rPr>
          <w:rFonts w:ascii="Arial" w:eastAsia="Calibri" w:hAnsi="Arial" w:cs="Arial"/>
          <w:sz w:val="24"/>
          <w:szCs w:val="24"/>
        </w:rPr>
      </w:pPr>
      <w:r w:rsidRPr="00F45341">
        <w:rPr>
          <w:rFonts w:ascii="Arial" w:eastAsia="Calibri" w:hAnsi="Arial" w:cs="Arial"/>
          <w:sz w:val="24"/>
          <w:szCs w:val="24"/>
        </w:rPr>
        <w:t>1.</w:t>
      </w:r>
      <w:r w:rsidRPr="00F45341">
        <w:rPr>
          <w:rFonts w:ascii="Arial" w:eastAsia="Calibri" w:hAnsi="Arial" w:cs="Arial"/>
          <w:sz w:val="24"/>
          <w:szCs w:val="24"/>
        </w:rPr>
        <w:tab/>
      </w:r>
      <w:r w:rsidR="00BC4C08" w:rsidRPr="00F45341">
        <w:rPr>
          <w:rFonts w:ascii="Arial" w:eastAsia="Calibri" w:hAnsi="Arial" w:cs="Arial"/>
          <w:sz w:val="24"/>
          <w:szCs w:val="24"/>
        </w:rPr>
        <w:t>has decided on reasonable grounds that the asset is not needed to provide the minimum level of basic municipal services; and</w:t>
      </w:r>
    </w:p>
    <w:p w14:paraId="66EB987D" w14:textId="2AED6EFE" w:rsidR="00BC4C08" w:rsidRPr="00F45341" w:rsidRDefault="00D342BA" w:rsidP="00F45341">
      <w:pPr>
        <w:spacing w:line="240" w:lineRule="auto"/>
        <w:ind w:left="76" w:hanging="360"/>
        <w:jc w:val="both"/>
        <w:rPr>
          <w:rFonts w:ascii="Arial" w:eastAsia="Calibri" w:hAnsi="Arial" w:cs="Arial"/>
          <w:sz w:val="24"/>
          <w:szCs w:val="24"/>
        </w:rPr>
      </w:pPr>
      <w:r w:rsidRPr="00F45341">
        <w:rPr>
          <w:rFonts w:ascii="Arial" w:eastAsia="Calibri" w:hAnsi="Arial" w:cs="Arial"/>
          <w:sz w:val="24"/>
          <w:szCs w:val="24"/>
        </w:rPr>
        <w:t>2.</w:t>
      </w:r>
      <w:r w:rsidRPr="00F45341">
        <w:rPr>
          <w:rFonts w:ascii="Arial" w:eastAsia="Calibri" w:hAnsi="Arial" w:cs="Arial"/>
          <w:sz w:val="24"/>
          <w:szCs w:val="24"/>
        </w:rPr>
        <w:tab/>
      </w:r>
      <w:r w:rsidR="00BC4C08" w:rsidRPr="00F45341">
        <w:rPr>
          <w:rFonts w:ascii="Arial" w:eastAsia="Calibri" w:hAnsi="Arial" w:cs="Arial"/>
          <w:sz w:val="24"/>
          <w:szCs w:val="24"/>
        </w:rPr>
        <w:t>has considered the fair market value of the asset and the economic and community value to be received in exchange for the asset.</w:t>
      </w:r>
    </w:p>
    <w:p w14:paraId="7745DF4E" w14:textId="77777777" w:rsidR="00BC4C08" w:rsidRPr="00F45341" w:rsidRDefault="00BC4C08" w:rsidP="00F45341">
      <w:pPr>
        <w:spacing w:line="240" w:lineRule="auto"/>
        <w:ind w:left="720" w:hanging="720"/>
        <w:contextualSpacing/>
        <w:jc w:val="both"/>
        <w:rPr>
          <w:rFonts w:ascii="Arial" w:eastAsia="Calibri" w:hAnsi="Arial" w:cs="Arial"/>
          <w:sz w:val="24"/>
          <w:szCs w:val="24"/>
        </w:rPr>
      </w:pPr>
    </w:p>
    <w:p w14:paraId="4E94A2C1" w14:textId="77777777" w:rsidR="00B970C6" w:rsidRPr="00F45341" w:rsidRDefault="00AC6123" w:rsidP="00F45341">
      <w:pPr>
        <w:spacing w:line="240" w:lineRule="auto"/>
        <w:contextualSpacing/>
        <w:jc w:val="both"/>
        <w:rPr>
          <w:rFonts w:ascii="Arial" w:eastAsia="Calibri" w:hAnsi="Arial" w:cs="Arial"/>
          <w:sz w:val="24"/>
          <w:szCs w:val="24"/>
          <w:highlight w:val="yellow"/>
        </w:rPr>
      </w:pPr>
      <w:r w:rsidRPr="00F45341">
        <w:rPr>
          <w:rFonts w:ascii="Arial" w:eastAsia="Calibri" w:hAnsi="Arial" w:cs="Arial"/>
          <w:sz w:val="24"/>
          <w:szCs w:val="24"/>
        </w:rPr>
        <w:t>[25]</w:t>
      </w:r>
      <w:r w:rsidRPr="00F45341">
        <w:rPr>
          <w:rFonts w:ascii="Arial" w:eastAsia="Calibri" w:hAnsi="Arial" w:cs="Arial"/>
          <w:sz w:val="24"/>
          <w:szCs w:val="24"/>
        </w:rPr>
        <w:tab/>
      </w:r>
      <w:r w:rsidR="00B7075A" w:rsidRPr="00F45341">
        <w:rPr>
          <w:rFonts w:ascii="Arial" w:eastAsia="Calibri" w:hAnsi="Arial" w:cs="Arial"/>
          <w:sz w:val="24"/>
          <w:szCs w:val="24"/>
        </w:rPr>
        <w:t>In dealing with reviews based on the principles of legality, the court in</w:t>
      </w:r>
      <w:r w:rsidR="00F23FAF" w:rsidRPr="00F45341">
        <w:rPr>
          <w:rFonts w:ascii="Arial" w:eastAsia="Calibri" w:hAnsi="Arial" w:cs="Arial"/>
          <w:sz w:val="24"/>
          <w:szCs w:val="24"/>
        </w:rPr>
        <w:t xml:space="preserve"> </w:t>
      </w:r>
      <w:bookmarkStart w:id="6" w:name="_Hlk166565561"/>
      <w:proofErr w:type="spellStart"/>
      <w:r w:rsidR="00F23FAF" w:rsidRPr="00F45341">
        <w:rPr>
          <w:rFonts w:ascii="Arial" w:eastAsia="Calibri" w:hAnsi="Arial" w:cs="Arial"/>
          <w:i/>
          <w:sz w:val="24"/>
          <w:szCs w:val="24"/>
        </w:rPr>
        <w:t>Fedsure</w:t>
      </w:r>
      <w:proofErr w:type="spellEnd"/>
      <w:r w:rsidR="00F23FAF" w:rsidRPr="00F45341">
        <w:rPr>
          <w:rFonts w:ascii="Arial" w:eastAsia="Calibri" w:hAnsi="Arial" w:cs="Arial"/>
          <w:i/>
          <w:sz w:val="24"/>
          <w:szCs w:val="24"/>
        </w:rPr>
        <w:t xml:space="preserve"> Life Assurance Ltd and Others v Greater Johannesburg Transitional Metropolitan Council and Others</w:t>
      </w:r>
      <w:bookmarkEnd w:id="6"/>
      <w:r w:rsidR="00F23FAF" w:rsidRPr="00F45341">
        <w:rPr>
          <w:rStyle w:val="FootnoteReference"/>
          <w:rFonts w:ascii="Arial" w:eastAsia="Calibri" w:hAnsi="Arial" w:cs="Arial"/>
          <w:sz w:val="24"/>
          <w:szCs w:val="24"/>
        </w:rPr>
        <w:footnoteReference w:id="10"/>
      </w:r>
      <w:r w:rsidR="00707856" w:rsidRPr="00F45341">
        <w:rPr>
          <w:rFonts w:ascii="Arial" w:eastAsia="Calibri" w:hAnsi="Arial" w:cs="Arial"/>
          <w:sz w:val="24"/>
          <w:szCs w:val="24"/>
        </w:rPr>
        <w:t xml:space="preserve"> </w:t>
      </w:r>
      <w:r w:rsidR="00B7075A" w:rsidRPr="00F45341">
        <w:rPr>
          <w:rFonts w:ascii="Arial" w:eastAsia="Calibri" w:hAnsi="Arial" w:cs="Arial"/>
          <w:sz w:val="24"/>
          <w:szCs w:val="24"/>
        </w:rPr>
        <w:t>held that this was a rule of law</w:t>
      </w:r>
      <w:r w:rsidR="00B522ED" w:rsidRPr="00F45341">
        <w:rPr>
          <w:rFonts w:ascii="Arial" w:eastAsia="Calibri" w:hAnsi="Arial" w:cs="Arial"/>
          <w:sz w:val="24"/>
          <w:szCs w:val="24"/>
        </w:rPr>
        <w:t xml:space="preserve"> and</w:t>
      </w:r>
      <w:r w:rsidR="00B7075A" w:rsidRPr="00F45341">
        <w:rPr>
          <w:rFonts w:ascii="Arial" w:eastAsia="Calibri" w:hAnsi="Arial" w:cs="Arial"/>
          <w:sz w:val="24"/>
          <w:szCs w:val="24"/>
        </w:rPr>
        <w:t xml:space="preserve"> that the principle implied that a body exercising public power</w:t>
      </w:r>
      <w:r w:rsidR="00B522ED" w:rsidRPr="00F45341">
        <w:rPr>
          <w:rFonts w:ascii="Arial" w:eastAsia="Calibri" w:hAnsi="Arial" w:cs="Arial"/>
          <w:sz w:val="24"/>
          <w:szCs w:val="24"/>
        </w:rPr>
        <w:t xml:space="preserve">, </w:t>
      </w:r>
      <w:r w:rsidR="00B7075A" w:rsidRPr="00F45341">
        <w:rPr>
          <w:rFonts w:ascii="Arial" w:eastAsia="Calibri" w:hAnsi="Arial" w:cs="Arial"/>
          <w:sz w:val="24"/>
          <w:szCs w:val="24"/>
        </w:rPr>
        <w:t>which was the municipality</w:t>
      </w:r>
      <w:r w:rsidR="00B522ED" w:rsidRPr="00F45341">
        <w:rPr>
          <w:rFonts w:ascii="Arial" w:eastAsia="Calibri" w:hAnsi="Arial" w:cs="Arial"/>
          <w:sz w:val="24"/>
          <w:szCs w:val="24"/>
        </w:rPr>
        <w:t>,</w:t>
      </w:r>
      <w:r w:rsidR="00B7075A" w:rsidRPr="00F45341">
        <w:rPr>
          <w:rFonts w:ascii="Arial" w:eastAsia="Calibri" w:hAnsi="Arial" w:cs="Arial"/>
          <w:sz w:val="24"/>
          <w:szCs w:val="24"/>
        </w:rPr>
        <w:t xml:space="preserve"> had to act within powers lawfully conferred </w:t>
      </w:r>
      <w:r w:rsidR="00B522ED" w:rsidRPr="00F45341">
        <w:rPr>
          <w:rFonts w:ascii="Arial" w:eastAsia="Calibri" w:hAnsi="Arial" w:cs="Arial"/>
          <w:sz w:val="24"/>
          <w:szCs w:val="24"/>
        </w:rPr>
        <w:t xml:space="preserve">onto </w:t>
      </w:r>
      <w:proofErr w:type="gramStart"/>
      <w:r w:rsidR="00B522ED" w:rsidRPr="00F45341">
        <w:rPr>
          <w:rFonts w:ascii="Arial" w:eastAsia="Calibri" w:hAnsi="Arial" w:cs="Arial"/>
          <w:sz w:val="24"/>
          <w:szCs w:val="24"/>
        </w:rPr>
        <w:t xml:space="preserve">it </w:t>
      </w:r>
      <w:r w:rsidR="00B7075A" w:rsidRPr="00F45341">
        <w:rPr>
          <w:rFonts w:ascii="Arial" w:eastAsia="Calibri" w:hAnsi="Arial" w:cs="Arial"/>
          <w:sz w:val="24"/>
          <w:szCs w:val="24"/>
        </w:rPr>
        <w:t>.</w:t>
      </w:r>
      <w:proofErr w:type="gramEnd"/>
      <w:r w:rsidR="00B7075A" w:rsidRPr="00F45341">
        <w:rPr>
          <w:rFonts w:ascii="Arial" w:eastAsia="Calibri" w:hAnsi="Arial" w:cs="Arial"/>
          <w:sz w:val="24"/>
          <w:szCs w:val="24"/>
        </w:rPr>
        <w:t xml:space="preserve"> </w:t>
      </w:r>
      <w:r w:rsidR="00FC6D47" w:rsidRPr="00F45341">
        <w:rPr>
          <w:rFonts w:ascii="Arial" w:eastAsia="Calibri" w:hAnsi="Arial" w:cs="Arial"/>
          <w:sz w:val="24"/>
          <w:szCs w:val="24"/>
        </w:rPr>
        <w:t>Further, the principle</w:t>
      </w:r>
      <w:r w:rsidR="00B7075A" w:rsidRPr="00F45341">
        <w:rPr>
          <w:rFonts w:ascii="Arial" w:eastAsia="Calibri" w:hAnsi="Arial" w:cs="Arial"/>
          <w:sz w:val="24"/>
          <w:szCs w:val="24"/>
        </w:rPr>
        <w:t xml:space="preserve"> required the holder of public power to act in good faith and not misconstrue his powers.</w:t>
      </w:r>
      <w:r w:rsidR="00707856" w:rsidRPr="00F45341">
        <w:rPr>
          <w:rStyle w:val="FootnoteReference"/>
          <w:rFonts w:ascii="Arial" w:eastAsia="Calibri" w:hAnsi="Arial" w:cs="Arial"/>
          <w:sz w:val="24"/>
          <w:szCs w:val="24"/>
        </w:rPr>
        <w:footnoteReference w:id="11"/>
      </w:r>
      <w:r w:rsidR="003308C8" w:rsidRPr="00F45341">
        <w:rPr>
          <w:rFonts w:ascii="Arial" w:eastAsia="Calibri" w:hAnsi="Arial" w:cs="Arial"/>
          <w:sz w:val="24"/>
          <w:szCs w:val="24"/>
        </w:rPr>
        <w:t xml:space="preserve"> </w:t>
      </w:r>
      <w:r w:rsidR="00707856" w:rsidRPr="00F45341">
        <w:rPr>
          <w:rFonts w:ascii="Arial" w:eastAsia="Calibri" w:hAnsi="Arial" w:cs="Arial"/>
          <w:sz w:val="24"/>
          <w:szCs w:val="24"/>
        </w:rPr>
        <w:t xml:space="preserve">In </w:t>
      </w:r>
      <w:r w:rsidR="00707856" w:rsidRPr="00F45341">
        <w:rPr>
          <w:rFonts w:ascii="Arial" w:eastAsia="Calibri" w:hAnsi="Arial" w:cs="Arial"/>
          <w:i/>
          <w:sz w:val="24"/>
          <w:szCs w:val="24"/>
        </w:rPr>
        <w:t xml:space="preserve">Pharmaceutical Manufacturers Association of South Africa and Another: In re Ex </w:t>
      </w:r>
      <w:proofErr w:type="spellStart"/>
      <w:r w:rsidR="00707856" w:rsidRPr="00F45341">
        <w:rPr>
          <w:rFonts w:ascii="Arial" w:eastAsia="Calibri" w:hAnsi="Arial" w:cs="Arial"/>
          <w:i/>
          <w:sz w:val="24"/>
          <w:szCs w:val="24"/>
        </w:rPr>
        <w:t>Parte</w:t>
      </w:r>
      <w:proofErr w:type="spellEnd"/>
      <w:r w:rsidR="00707856" w:rsidRPr="00F45341">
        <w:rPr>
          <w:rFonts w:ascii="Arial" w:eastAsia="Calibri" w:hAnsi="Arial" w:cs="Arial"/>
          <w:i/>
          <w:sz w:val="24"/>
          <w:szCs w:val="24"/>
        </w:rPr>
        <w:t xml:space="preserve"> President of the Republic of South Africa and Others</w:t>
      </w:r>
      <w:r w:rsidR="00FC6D47" w:rsidRPr="00F45341">
        <w:rPr>
          <w:rFonts w:ascii="Arial" w:eastAsia="Calibri" w:hAnsi="Arial" w:cs="Arial"/>
          <w:sz w:val="24"/>
          <w:szCs w:val="24"/>
        </w:rPr>
        <w:t>,</w:t>
      </w:r>
      <w:r w:rsidR="00707856" w:rsidRPr="00F45341">
        <w:rPr>
          <w:rStyle w:val="FootnoteReference"/>
          <w:rFonts w:ascii="Arial" w:eastAsia="Calibri" w:hAnsi="Arial" w:cs="Arial"/>
          <w:sz w:val="24"/>
          <w:szCs w:val="24"/>
        </w:rPr>
        <w:footnoteReference w:id="12"/>
      </w:r>
      <w:r w:rsidR="00707856" w:rsidRPr="00F45341">
        <w:rPr>
          <w:rFonts w:ascii="Arial" w:eastAsia="Calibri" w:hAnsi="Arial" w:cs="Arial"/>
          <w:sz w:val="24"/>
          <w:szCs w:val="24"/>
        </w:rPr>
        <w:t xml:space="preserve"> </w:t>
      </w:r>
      <w:r w:rsidR="00B7075A" w:rsidRPr="00F45341">
        <w:rPr>
          <w:rFonts w:ascii="Arial" w:eastAsia="Calibri" w:hAnsi="Arial" w:cs="Arial"/>
          <w:sz w:val="24"/>
          <w:szCs w:val="24"/>
        </w:rPr>
        <w:t xml:space="preserve">it was held that the exercise of public power </w:t>
      </w:r>
      <w:r w:rsidR="00B970C6" w:rsidRPr="00F45341">
        <w:rPr>
          <w:rFonts w:ascii="Arial" w:eastAsia="Calibri" w:hAnsi="Arial" w:cs="Arial"/>
          <w:sz w:val="24"/>
          <w:szCs w:val="24"/>
        </w:rPr>
        <w:t xml:space="preserve">should not be arbitrary or irrational. Decisions must be rationally related </w:t>
      </w:r>
      <w:proofErr w:type="gramStart"/>
      <w:r w:rsidR="00B970C6" w:rsidRPr="00F45341">
        <w:rPr>
          <w:rFonts w:ascii="Arial" w:eastAsia="Calibri" w:hAnsi="Arial" w:cs="Arial"/>
          <w:sz w:val="24"/>
          <w:szCs w:val="24"/>
        </w:rPr>
        <w:t>to  the</w:t>
      </w:r>
      <w:proofErr w:type="gramEnd"/>
      <w:r w:rsidR="00B970C6" w:rsidRPr="00F45341">
        <w:rPr>
          <w:rFonts w:ascii="Arial" w:eastAsia="Calibri" w:hAnsi="Arial" w:cs="Arial"/>
          <w:sz w:val="24"/>
          <w:szCs w:val="24"/>
        </w:rPr>
        <w:t xml:space="preserve"> purpose for which the </w:t>
      </w:r>
      <w:r w:rsidR="00B970C6" w:rsidRPr="00F45341">
        <w:rPr>
          <w:rFonts w:ascii="Arial" w:eastAsia="Calibri" w:hAnsi="Arial" w:cs="Arial"/>
          <w:sz w:val="24"/>
          <w:szCs w:val="24"/>
        </w:rPr>
        <w:lastRenderedPageBreak/>
        <w:t xml:space="preserve">power is given otherwise they are arbitrary and inconsistent with the principle of legality. To pass constitutional scrutiny, the exercise of public power by the executives and other functionaries must comply with this requirement. </w:t>
      </w:r>
    </w:p>
    <w:p w14:paraId="3734A3D9" w14:textId="77777777" w:rsidR="00CD62FB" w:rsidRPr="00F45341" w:rsidRDefault="00CD62FB" w:rsidP="00F45341">
      <w:pPr>
        <w:spacing w:line="240" w:lineRule="auto"/>
        <w:contextualSpacing/>
        <w:jc w:val="both"/>
        <w:rPr>
          <w:rFonts w:ascii="Arial" w:eastAsia="Calibri" w:hAnsi="Arial" w:cs="Arial"/>
          <w:sz w:val="24"/>
          <w:szCs w:val="24"/>
        </w:rPr>
      </w:pPr>
    </w:p>
    <w:p w14:paraId="797E9E96" w14:textId="77777777" w:rsidR="00B26EFC" w:rsidRPr="00F45341" w:rsidRDefault="00AC6123" w:rsidP="00F45341">
      <w:pPr>
        <w:pStyle w:val="CommentText"/>
        <w:jc w:val="both"/>
        <w:rPr>
          <w:rFonts w:ascii="Arial" w:eastAsia="Times New Roman" w:hAnsi="Arial" w:cs="Arial"/>
          <w:color w:val="000000"/>
          <w:sz w:val="24"/>
          <w:szCs w:val="24"/>
          <w:lang w:eastAsia="en-ZA"/>
        </w:rPr>
      </w:pPr>
      <w:r w:rsidRPr="00F45341">
        <w:rPr>
          <w:rFonts w:ascii="Arial" w:eastAsia="Calibri" w:hAnsi="Arial" w:cs="Arial"/>
          <w:sz w:val="24"/>
          <w:szCs w:val="24"/>
        </w:rPr>
        <w:t>[26]</w:t>
      </w:r>
      <w:r w:rsidRPr="00F45341">
        <w:rPr>
          <w:rFonts w:ascii="Arial" w:eastAsia="Calibri" w:hAnsi="Arial" w:cs="Arial"/>
          <w:sz w:val="24"/>
          <w:szCs w:val="24"/>
        </w:rPr>
        <w:tab/>
      </w:r>
      <w:r w:rsidR="00097733" w:rsidRPr="00F45341">
        <w:rPr>
          <w:rFonts w:ascii="Arial" w:eastAsia="Calibri" w:hAnsi="Arial" w:cs="Arial"/>
          <w:sz w:val="24"/>
          <w:szCs w:val="24"/>
        </w:rPr>
        <w:t>T</w:t>
      </w:r>
      <w:r w:rsidR="00B970C6" w:rsidRPr="00F45341">
        <w:rPr>
          <w:rFonts w:ascii="Arial" w:eastAsia="Calibri" w:hAnsi="Arial" w:cs="Arial"/>
          <w:sz w:val="24"/>
          <w:szCs w:val="24"/>
        </w:rPr>
        <w:t xml:space="preserve">he principle of legality gives </w:t>
      </w:r>
      <w:proofErr w:type="gramStart"/>
      <w:r w:rsidR="00B970C6" w:rsidRPr="00F45341">
        <w:rPr>
          <w:rFonts w:ascii="Arial" w:eastAsia="Calibri" w:hAnsi="Arial" w:cs="Arial"/>
          <w:sz w:val="24"/>
          <w:szCs w:val="24"/>
        </w:rPr>
        <w:t>courts  control</w:t>
      </w:r>
      <w:proofErr w:type="gramEnd"/>
      <w:r w:rsidR="00B970C6" w:rsidRPr="00F45341">
        <w:rPr>
          <w:rFonts w:ascii="Arial" w:eastAsia="Calibri" w:hAnsi="Arial" w:cs="Arial"/>
          <w:sz w:val="24"/>
          <w:szCs w:val="24"/>
        </w:rPr>
        <w:t xml:space="preserve"> over action which is not administrative as defined in PAJA</w:t>
      </w:r>
      <w:r w:rsidR="00FC6D47" w:rsidRPr="00F45341">
        <w:rPr>
          <w:rFonts w:ascii="Arial" w:eastAsia="Calibri" w:hAnsi="Arial" w:cs="Arial"/>
          <w:sz w:val="24"/>
          <w:szCs w:val="24"/>
        </w:rPr>
        <w:t>,</w:t>
      </w:r>
      <w:r w:rsidR="00B970C6" w:rsidRPr="00F45341">
        <w:rPr>
          <w:rFonts w:ascii="Arial" w:eastAsia="Calibri" w:hAnsi="Arial" w:cs="Arial"/>
          <w:sz w:val="24"/>
          <w:szCs w:val="24"/>
        </w:rPr>
        <w:t xml:space="preserve"> as in this case</w:t>
      </w:r>
      <w:r w:rsidR="00FC6D47" w:rsidRPr="00F45341">
        <w:rPr>
          <w:rFonts w:ascii="Arial" w:eastAsia="Calibri" w:hAnsi="Arial" w:cs="Arial"/>
          <w:sz w:val="24"/>
          <w:szCs w:val="24"/>
        </w:rPr>
        <w:t>,</w:t>
      </w:r>
      <w:r w:rsidR="00B970C6" w:rsidRPr="00F45341">
        <w:rPr>
          <w:rFonts w:ascii="Arial" w:eastAsia="Calibri" w:hAnsi="Arial" w:cs="Arial"/>
          <w:sz w:val="24"/>
          <w:szCs w:val="24"/>
        </w:rPr>
        <w:t xml:space="preserve"> but involves the exercise of public power. </w:t>
      </w:r>
      <w:r w:rsidR="002D2CC1" w:rsidRPr="00F45341">
        <w:rPr>
          <w:rFonts w:ascii="Arial" w:hAnsi="Arial" w:cs="Arial"/>
          <w:sz w:val="24"/>
          <w:szCs w:val="24"/>
        </w:rPr>
        <w:t>The court then must consider the lawfulness of the exercise of public power</w:t>
      </w:r>
      <w:r w:rsidR="002D2CC1" w:rsidRPr="00F45341">
        <w:rPr>
          <w:rStyle w:val="CommentReference"/>
          <w:rFonts w:ascii="Arial" w:hAnsi="Arial" w:cs="Arial"/>
          <w:sz w:val="24"/>
          <w:szCs w:val="24"/>
        </w:rPr>
        <w:t>.</w:t>
      </w:r>
      <w:r w:rsidR="00097733" w:rsidRPr="00F45341">
        <w:rPr>
          <w:rStyle w:val="FootnoteReference"/>
          <w:rFonts w:ascii="Arial" w:eastAsia="Calibri" w:hAnsi="Arial" w:cs="Arial"/>
          <w:sz w:val="24"/>
          <w:szCs w:val="24"/>
        </w:rPr>
        <w:footnoteReference w:id="13"/>
      </w:r>
      <w:r w:rsidR="00857D68" w:rsidRPr="00F45341">
        <w:rPr>
          <w:rFonts w:ascii="Arial" w:eastAsia="Calibri" w:hAnsi="Arial" w:cs="Arial"/>
          <w:sz w:val="24"/>
          <w:szCs w:val="24"/>
        </w:rPr>
        <w:t xml:space="preserve"> As </w:t>
      </w:r>
      <w:r w:rsidR="003308C8" w:rsidRPr="00F45341">
        <w:rPr>
          <w:rFonts w:ascii="Arial" w:eastAsia="Calibri" w:hAnsi="Arial" w:cs="Arial"/>
          <w:sz w:val="24"/>
          <w:szCs w:val="24"/>
        </w:rPr>
        <w:t xml:space="preserve">mentioned </w:t>
      </w:r>
      <w:proofErr w:type="gramStart"/>
      <w:r w:rsidR="003308C8" w:rsidRPr="00F45341">
        <w:rPr>
          <w:rFonts w:ascii="Arial" w:eastAsia="Calibri" w:hAnsi="Arial" w:cs="Arial"/>
          <w:sz w:val="24"/>
          <w:szCs w:val="24"/>
        </w:rPr>
        <w:t xml:space="preserve">above </w:t>
      </w:r>
      <w:r w:rsidR="00857D68" w:rsidRPr="00F45341">
        <w:rPr>
          <w:rFonts w:ascii="Arial" w:eastAsia="Calibri" w:hAnsi="Arial" w:cs="Arial"/>
          <w:sz w:val="24"/>
          <w:szCs w:val="24"/>
        </w:rPr>
        <w:t>,</w:t>
      </w:r>
      <w:proofErr w:type="gramEnd"/>
      <w:r w:rsidR="00857D68" w:rsidRPr="00F45341">
        <w:rPr>
          <w:rFonts w:ascii="Arial" w:eastAsia="Calibri" w:hAnsi="Arial" w:cs="Arial"/>
          <w:sz w:val="24"/>
          <w:szCs w:val="24"/>
        </w:rPr>
        <w:t xml:space="preserve"> </w:t>
      </w:r>
      <w:r w:rsidR="00857D68" w:rsidRPr="00F45341">
        <w:rPr>
          <w:rFonts w:ascii="Arial" w:eastAsia="Calibri" w:hAnsi="Arial" w:cs="Arial"/>
          <w:i/>
          <w:sz w:val="24"/>
          <w:szCs w:val="24"/>
        </w:rPr>
        <w:t xml:space="preserve">Mr </w:t>
      </w:r>
      <w:proofErr w:type="spellStart"/>
      <w:r w:rsidR="00857D68" w:rsidRPr="00F45341">
        <w:rPr>
          <w:rFonts w:ascii="Arial" w:eastAsia="Calibri" w:hAnsi="Arial" w:cs="Arial"/>
          <w:i/>
          <w:sz w:val="24"/>
          <w:szCs w:val="24"/>
        </w:rPr>
        <w:t>Broster</w:t>
      </w:r>
      <w:proofErr w:type="spellEnd"/>
      <w:r w:rsidR="00857D68" w:rsidRPr="00F45341">
        <w:rPr>
          <w:rFonts w:ascii="Arial" w:eastAsia="Calibri" w:hAnsi="Arial" w:cs="Arial"/>
          <w:i/>
          <w:sz w:val="24"/>
          <w:szCs w:val="24"/>
        </w:rPr>
        <w:t xml:space="preserve"> </w:t>
      </w:r>
      <w:r w:rsidR="00857D68" w:rsidRPr="00F45341">
        <w:rPr>
          <w:rFonts w:ascii="Arial" w:eastAsia="Calibri" w:hAnsi="Arial" w:cs="Arial"/>
          <w:sz w:val="24"/>
          <w:szCs w:val="24"/>
        </w:rPr>
        <w:t>submitted that the impugned resolution was lawful as it was taken in accordance with s</w:t>
      </w:r>
      <w:r w:rsidR="00CD62FB" w:rsidRPr="00F45341">
        <w:rPr>
          <w:rFonts w:ascii="Arial" w:eastAsia="Calibri" w:hAnsi="Arial" w:cs="Arial"/>
          <w:sz w:val="24"/>
          <w:szCs w:val="24"/>
        </w:rPr>
        <w:t xml:space="preserve"> </w:t>
      </w:r>
      <w:r w:rsidR="00857D68" w:rsidRPr="00F45341">
        <w:rPr>
          <w:rFonts w:ascii="Arial" w:eastAsia="Calibri" w:hAnsi="Arial" w:cs="Arial"/>
          <w:sz w:val="24"/>
          <w:szCs w:val="24"/>
        </w:rPr>
        <w:t>60 of the MFMA</w:t>
      </w:r>
      <w:r w:rsidR="002D2CC1" w:rsidRPr="00F45341">
        <w:rPr>
          <w:rFonts w:ascii="Arial" w:eastAsia="Calibri" w:hAnsi="Arial" w:cs="Arial"/>
          <w:sz w:val="24"/>
          <w:szCs w:val="24"/>
        </w:rPr>
        <w:t>.</w:t>
      </w:r>
    </w:p>
    <w:p w14:paraId="0996C9C5" w14:textId="77777777" w:rsidR="00CD62FB" w:rsidRPr="00F45341" w:rsidRDefault="00CD62FB" w:rsidP="00F45341">
      <w:pPr>
        <w:spacing w:line="240" w:lineRule="auto"/>
        <w:contextualSpacing/>
        <w:jc w:val="both"/>
        <w:rPr>
          <w:rFonts w:ascii="Arial" w:eastAsia="Calibri" w:hAnsi="Arial" w:cs="Arial"/>
          <w:sz w:val="24"/>
          <w:szCs w:val="24"/>
        </w:rPr>
      </w:pPr>
    </w:p>
    <w:p w14:paraId="78C745FB" w14:textId="77777777" w:rsidR="00F12CFC" w:rsidRPr="00F45341" w:rsidRDefault="00AC6123" w:rsidP="00F45341">
      <w:pPr>
        <w:spacing w:after="0" w:line="240" w:lineRule="auto"/>
        <w:jc w:val="both"/>
        <w:rPr>
          <w:rFonts w:ascii="Arial" w:eastAsia="Times New Roman" w:hAnsi="Arial" w:cs="Arial"/>
          <w:color w:val="000000"/>
          <w:sz w:val="24"/>
          <w:szCs w:val="24"/>
          <w:lang w:eastAsia="en-ZA"/>
        </w:rPr>
      </w:pPr>
      <w:r w:rsidRPr="00F45341">
        <w:rPr>
          <w:rFonts w:ascii="Arial" w:eastAsia="Times New Roman" w:hAnsi="Arial" w:cs="Arial"/>
          <w:color w:val="000000"/>
          <w:sz w:val="24"/>
          <w:szCs w:val="24"/>
          <w:lang w:eastAsia="en-ZA"/>
        </w:rPr>
        <w:t>[27]</w:t>
      </w:r>
      <w:r w:rsidRPr="00F45341">
        <w:rPr>
          <w:rFonts w:ascii="Arial" w:eastAsia="Times New Roman" w:hAnsi="Arial" w:cs="Arial"/>
          <w:color w:val="000000"/>
          <w:sz w:val="24"/>
          <w:szCs w:val="24"/>
          <w:lang w:eastAsia="en-ZA"/>
        </w:rPr>
        <w:tab/>
      </w:r>
      <w:r w:rsidR="00B26EFC" w:rsidRPr="00F45341">
        <w:rPr>
          <w:rFonts w:ascii="Arial" w:eastAsia="Times New Roman" w:hAnsi="Arial" w:cs="Arial"/>
          <w:color w:val="000000"/>
          <w:sz w:val="24"/>
          <w:szCs w:val="24"/>
          <w:lang w:eastAsia="en-ZA"/>
        </w:rPr>
        <w:t>While it is not in dispute that the second respondent</w:t>
      </w:r>
      <w:r w:rsidR="005C20DE" w:rsidRPr="00F45341">
        <w:rPr>
          <w:rFonts w:ascii="Arial" w:eastAsia="Times New Roman" w:hAnsi="Arial" w:cs="Arial"/>
          <w:color w:val="000000"/>
          <w:sz w:val="24"/>
          <w:szCs w:val="24"/>
          <w:lang w:eastAsia="en-ZA"/>
        </w:rPr>
        <w:t>,</w:t>
      </w:r>
      <w:r w:rsidR="00B26EFC" w:rsidRPr="00F45341">
        <w:rPr>
          <w:rFonts w:ascii="Arial" w:eastAsia="Times New Roman" w:hAnsi="Arial" w:cs="Arial"/>
          <w:color w:val="000000"/>
          <w:sz w:val="24"/>
          <w:szCs w:val="24"/>
          <w:lang w:eastAsia="en-ZA"/>
        </w:rPr>
        <w:t xml:space="preserve"> as the municipal manager</w:t>
      </w:r>
      <w:r w:rsidR="005C20DE" w:rsidRPr="00F45341">
        <w:rPr>
          <w:rFonts w:ascii="Arial" w:eastAsia="Times New Roman" w:hAnsi="Arial" w:cs="Arial"/>
          <w:color w:val="000000"/>
          <w:sz w:val="24"/>
          <w:szCs w:val="24"/>
          <w:lang w:eastAsia="en-ZA"/>
        </w:rPr>
        <w:t>,</w:t>
      </w:r>
      <w:r w:rsidR="00B26EFC" w:rsidRPr="00F45341">
        <w:rPr>
          <w:rFonts w:ascii="Arial" w:eastAsia="Times New Roman" w:hAnsi="Arial" w:cs="Arial"/>
          <w:color w:val="000000"/>
          <w:sz w:val="24"/>
          <w:szCs w:val="24"/>
          <w:lang w:eastAsia="en-ZA"/>
        </w:rPr>
        <w:t xml:space="preserve"> is the accounting officer of the first respondent and has certain responsibilities, the issue in this matter related specifically to the </w:t>
      </w:r>
      <w:r w:rsidR="002D2CC1" w:rsidRPr="00F45341">
        <w:rPr>
          <w:rFonts w:ascii="Arial" w:eastAsia="Times New Roman" w:hAnsi="Arial" w:cs="Arial"/>
          <w:color w:val="000000"/>
          <w:sz w:val="24"/>
          <w:szCs w:val="24"/>
          <w:lang w:eastAsia="en-ZA"/>
        </w:rPr>
        <w:t>management</w:t>
      </w:r>
      <w:r w:rsidR="00B26EFC" w:rsidRPr="00F45341">
        <w:rPr>
          <w:rFonts w:ascii="Arial" w:eastAsia="Times New Roman" w:hAnsi="Arial" w:cs="Arial"/>
          <w:color w:val="000000"/>
          <w:sz w:val="24"/>
          <w:szCs w:val="24"/>
          <w:lang w:eastAsia="en-ZA"/>
        </w:rPr>
        <w:t xml:space="preserve"> of transfer of or disposal of an assert belonging to the first respondent. As </w:t>
      </w:r>
      <w:proofErr w:type="gramStart"/>
      <w:r w:rsidR="005C20DE" w:rsidRPr="00F45341">
        <w:rPr>
          <w:rFonts w:ascii="Arial" w:eastAsia="Times New Roman" w:hAnsi="Arial" w:cs="Arial"/>
          <w:color w:val="000000"/>
          <w:sz w:val="24"/>
          <w:szCs w:val="24"/>
          <w:lang w:eastAsia="en-ZA"/>
        </w:rPr>
        <w:t xml:space="preserve">stated </w:t>
      </w:r>
      <w:r w:rsidR="00B26EFC" w:rsidRPr="00F45341">
        <w:rPr>
          <w:rFonts w:ascii="Arial" w:eastAsia="Times New Roman" w:hAnsi="Arial" w:cs="Arial"/>
          <w:color w:val="000000"/>
          <w:sz w:val="24"/>
          <w:szCs w:val="24"/>
          <w:lang w:eastAsia="en-ZA"/>
        </w:rPr>
        <w:t xml:space="preserve"> above</w:t>
      </w:r>
      <w:proofErr w:type="gramEnd"/>
      <w:r w:rsidR="00B26EFC" w:rsidRPr="00F45341">
        <w:rPr>
          <w:rFonts w:ascii="Arial" w:eastAsia="Times New Roman" w:hAnsi="Arial" w:cs="Arial"/>
          <w:color w:val="000000"/>
          <w:sz w:val="24"/>
          <w:szCs w:val="24"/>
          <w:lang w:eastAsia="en-ZA"/>
        </w:rPr>
        <w:t>, the relevant section governing such an issue is s</w:t>
      </w:r>
      <w:r w:rsidR="00CD62FB" w:rsidRPr="00F45341">
        <w:rPr>
          <w:rFonts w:ascii="Arial" w:eastAsia="Times New Roman" w:hAnsi="Arial" w:cs="Arial"/>
          <w:color w:val="000000"/>
          <w:sz w:val="24"/>
          <w:szCs w:val="24"/>
          <w:lang w:eastAsia="en-ZA"/>
        </w:rPr>
        <w:t xml:space="preserve"> </w:t>
      </w:r>
      <w:r w:rsidR="00B26EFC" w:rsidRPr="00F45341">
        <w:rPr>
          <w:rFonts w:ascii="Arial" w:eastAsia="Times New Roman" w:hAnsi="Arial" w:cs="Arial"/>
          <w:color w:val="000000"/>
          <w:sz w:val="24"/>
          <w:szCs w:val="24"/>
          <w:lang w:eastAsia="en-ZA"/>
        </w:rPr>
        <w:t xml:space="preserve">14 of the MFMA. As was submitted by the applicant, the decision of this nature and magnitude may only be taken in a meeting open to the public. There is no evidence that such a meeting </w:t>
      </w:r>
      <w:proofErr w:type="gramStart"/>
      <w:r w:rsidR="00B26EFC" w:rsidRPr="00F45341">
        <w:rPr>
          <w:rFonts w:ascii="Arial" w:eastAsia="Times New Roman" w:hAnsi="Arial" w:cs="Arial"/>
          <w:color w:val="000000"/>
          <w:sz w:val="24"/>
          <w:szCs w:val="24"/>
          <w:lang w:eastAsia="en-ZA"/>
        </w:rPr>
        <w:t>was  convened</w:t>
      </w:r>
      <w:proofErr w:type="gramEnd"/>
      <w:r w:rsidR="00F12CFC" w:rsidRPr="00F45341">
        <w:rPr>
          <w:rFonts w:ascii="Arial" w:eastAsia="Times New Roman" w:hAnsi="Arial" w:cs="Arial"/>
          <w:color w:val="000000"/>
          <w:sz w:val="24"/>
          <w:szCs w:val="24"/>
          <w:lang w:eastAsia="en-ZA"/>
        </w:rPr>
        <w:t xml:space="preserve"> , this appears to be common cause</w:t>
      </w:r>
      <w:r w:rsidR="00B26EFC" w:rsidRPr="00F45341">
        <w:rPr>
          <w:rFonts w:ascii="Arial" w:eastAsia="Times New Roman" w:hAnsi="Arial" w:cs="Arial"/>
          <w:color w:val="000000"/>
          <w:sz w:val="24"/>
          <w:szCs w:val="24"/>
          <w:lang w:eastAsia="en-ZA"/>
        </w:rPr>
        <w:t xml:space="preserve">. From the facts, it is patent that the decision was taken at a meeting of the </w:t>
      </w:r>
      <w:r w:rsidR="00F12CFC" w:rsidRPr="00F45341">
        <w:rPr>
          <w:rFonts w:ascii="Arial" w:eastAsia="Times New Roman" w:hAnsi="Arial" w:cs="Arial"/>
          <w:color w:val="000000"/>
          <w:sz w:val="24"/>
          <w:szCs w:val="24"/>
          <w:lang w:eastAsia="en-ZA"/>
        </w:rPr>
        <w:t>fourth</w:t>
      </w:r>
      <w:r w:rsidR="00B26EFC" w:rsidRPr="00F45341">
        <w:rPr>
          <w:rFonts w:ascii="Arial" w:eastAsia="Times New Roman" w:hAnsi="Arial" w:cs="Arial"/>
          <w:color w:val="000000"/>
          <w:sz w:val="24"/>
          <w:szCs w:val="24"/>
          <w:lang w:eastAsia="en-ZA"/>
        </w:rPr>
        <w:t xml:space="preserve"> respondent</w:t>
      </w:r>
      <w:r w:rsidR="00F12CFC" w:rsidRPr="00F45341">
        <w:rPr>
          <w:rFonts w:ascii="Arial" w:eastAsia="Times New Roman" w:hAnsi="Arial" w:cs="Arial"/>
          <w:color w:val="000000"/>
          <w:sz w:val="24"/>
          <w:szCs w:val="24"/>
          <w:lang w:eastAsia="en-ZA"/>
        </w:rPr>
        <w:t xml:space="preserve">. </w:t>
      </w:r>
      <w:r w:rsidR="005C20DE" w:rsidRPr="00F45341">
        <w:rPr>
          <w:rFonts w:ascii="Arial" w:eastAsia="Times New Roman" w:hAnsi="Arial" w:cs="Arial"/>
          <w:color w:val="000000"/>
          <w:sz w:val="24"/>
          <w:szCs w:val="24"/>
          <w:lang w:eastAsia="en-ZA"/>
        </w:rPr>
        <w:t xml:space="preserve">Therefore, there </w:t>
      </w:r>
      <w:proofErr w:type="gramStart"/>
      <w:r w:rsidR="005C20DE" w:rsidRPr="00F45341">
        <w:rPr>
          <w:rFonts w:ascii="Arial" w:eastAsia="Times New Roman" w:hAnsi="Arial" w:cs="Arial"/>
          <w:color w:val="000000"/>
          <w:sz w:val="24"/>
          <w:szCs w:val="24"/>
          <w:lang w:eastAsia="en-ZA"/>
        </w:rPr>
        <w:t xml:space="preserve">was </w:t>
      </w:r>
      <w:r w:rsidR="00F12CFC" w:rsidRPr="00F45341">
        <w:rPr>
          <w:rFonts w:ascii="Arial" w:eastAsia="Times New Roman" w:hAnsi="Arial" w:cs="Arial"/>
          <w:color w:val="000000"/>
          <w:sz w:val="24"/>
          <w:szCs w:val="24"/>
          <w:lang w:eastAsia="en-ZA"/>
        </w:rPr>
        <w:t xml:space="preserve"> a</w:t>
      </w:r>
      <w:proofErr w:type="gramEnd"/>
      <w:r w:rsidR="00F12CFC" w:rsidRPr="00F45341">
        <w:rPr>
          <w:rFonts w:ascii="Arial" w:eastAsia="Times New Roman" w:hAnsi="Arial" w:cs="Arial"/>
          <w:color w:val="000000"/>
          <w:sz w:val="24"/>
          <w:szCs w:val="24"/>
          <w:lang w:eastAsia="en-ZA"/>
        </w:rPr>
        <w:t xml:space="preserve"> procedural irregularity in the passing of the resolution. </w:t>
      </w:r>
    </w:p>
    <w:p w14:paraId="0FD4AFF6" w14:textId="77777777" w:rsidR="00CD62FB" w:rsidRPr="00F45341" w:rsidRDefault="00CD62FB" w:rsidP="00F45341">
      <w:pPr>
        <w:spacing w:after="0" w:line="240" w:lineRule="auto"/>
        <w:jc w:val="both"/>
        <w:rPr>
          <w:rFonts w:ascii="Arial" w:eastAsia="Times New Roman" w:hAnsi="Arial" w:cs="Arial"/>
          <w:color w:val="000000"/>
          <w:sz w:val="24"/>
          <w:szCs w:val="24"/>
          <w:lang w:eastAsia="en-ZA"/>
        </w:rPr>
      </w:pPr>
    </w:p>
    <w:p w14:paraId="6D6F3AEB" w14:textId="77777777" w:rsidR="00CD62FB" w:rsidRPr="00F45341" w:rsidRDefault="00AC6123" w:rsidP="00F45341">
      <w:pPr>
        <w:spacing w:after="0" w:line="240" w:lineRule="auto"/>
        <w:jc w:val="both"/>
        <w:rPr>
          <w:rFonts w:ascii="Arial" w:eastAsia="Times New Roman" w:hAnsi="Arial" w:cs="Arial"/>
          <w:color w:val="000000"/>
          <w:sz w:val="24"/>
          <w:szCs w:val="24"/>
          <w:lang w:eastAsia="en-ZA"/>
        </w:rPr>
      </w:pPr>
      <w:r w:rsidRPr="00F45341">
        <w:rPr>
          <w:rFonts w:ascii="Arial" w:eastAsia="Times New Roman" w:hAnsi="Arial" w:cs="Arial"/>
          <w:color w:val="000000"/>
          <w:sz w:val="24"/>
          <w:szCs w:val="24"/>
          <w:lang w:eastAsia="en-ZA"/>
        </w:rPr>
        <w:t>[28]</w:t>
      </w:r>
      <w:r w:rsidRPr="00F45341">
        <w:rPr>
          <w:rFonts w:ascii="Arial" w:eastAsia="Times New Roman" w:hAnsi="Arial" w:cs="Arial"/>
          <w:color w:val="000000"/>
          <w:sz w:val="24"/>
          <w:szCs w:val="24"/>
          <w:lang w:eastAsia="en-ZA"/>
        </w:rPr>
        <w:tab/>
      </w:r>
      <w:proofErr w:type="gramStart"/>
      <w:r w:rsidR="00F12CFC" w:rsidRPr="00F45341">
        <w:rPr>
          <w:rFonts w:ascii="Arial" w:eastAsia="Times New Roman" w:hAnsi="Arial" w:cs="Arial"/>
          <w:color w:val="000000"/>
          <w:sz w:val="24"/>
          <w:szCs w:val="24"/>
          <w:lang w:eastAsia="en-ZA"/>
        </w:rPr>
        <w:t>As  stated</w:t>
      </w:r>
      <w:proofErr w:type="gramEnd"/>
      <w:r w:rsidR="00F12CFC" w:rsidRPr="00F45341">
        <w:rPr>
          <w:rFonts w:ascii="Arial" w:eastAsia="Times New Roman" w:hAnsi="Arial" w:cs="Arial"/>
          <w:color w:val="000000"/>
          <w:sz w:val="24"/>
          <w:szCs w:val="24"/>
          <w:lang w:eastAsia="en-ZA"/>
        </w:rPr>
        <w:t xml:space="preserve"> in </w:t>
      </w:r>
      <w:r w:rsidR="00707856" w:rsidRPr="00F45341">
        <w:rPr>
          <w:rFonts w:ascii="Arial" w:eastAsia="Times New Roman" w:hAnsi="Arial" w:cs="Arial"/>
          <w:i/>
          <w:color w:val="000000"/>
          <w:sz w:val="24"/>
          <w:szCs w:val="24"/>
          <w:lang w:eastAsia="en-ZA"/>
        </w:rPr>
        <w:t>Albutt v Centre for the Study of Violence and Reconciliation and Others</w:t>
      </w:r>
      <w:r w:rsidR="00707856" w:rsidRPr="00F45341">
        <w:rPr>
          <w:rFonts w:ascii="Arial" w:eastAsia="Times New Roman" w:hAnsi="Arial" w:cs="Arial"/>
          <w:color w:val="000000"/>
          <w:sz w:val="24"/>
          <w:szCs w:val="24"/>
          <w:lang w:eastAsia="en-ZA"/>
        </w:rPr>
        <w:t>,</w:t>
      </w:r>
      <w:r w:rsidR="00707856" w:rsidRPr="00F45341">
        <w:rPr>
          <w:rStyle w:val="FootnoteReference"/>
          <w:rFonts w:ascii="Arial" w:eastAsia="Times New Roman" w:hAnsi="Arial" w:cs="Arial"/>
          <w:color w:val="000000"/>
          <w:sz w:val="24"/>
          <w:szCs w:val="24"/>
          <w:lang w:eastAsia="en-ZA"/>
        </w:rPr>
        <w:footnoteReference w:id="14"/>
      </w:r>
      <w:r w:rsidR="00707856" w:rsidRPr="00F45341">
        <w:rPr>
          <w:rFonts w:ascii="Arial" w:eastAsia="Times New Roman" w:hAnsi="Arial" w:cs="Arial"/>
          <w:color w:val="000000"/>
          <w:sz w:val="24"/>
          <w:szCs w:val="24"/>
          <w:lang w:eastAsia="en-ZA"/>
        </w:rPr>
        <w:t xml:space="preserve"> </w:t>
      </w:r>
      <w:r w:rsidR="00F12CFC" w:rsidRPr="00F45341">
        <w:rPr>
          <w:rFonts w:ascii="Arial" w:eastAsia="Times New Roman" w:hAnsi="Arial" w:cs="Arial"/>
          <w:color w:val="000000"/>
          <w:sz w:val="24"/>
          <w:szCs w:val="24"/>
          <w:lang w:eastAsia="en-ZA"/>
        </w:rPr>
        <w:t>it is irrational for public power to be exercised without hearing the affected people.</w:t>
      </w:r>
      <w:r w:rsidR="00B26EFC" w:rsidRPr="00F45341">
        <w:rPr>
          <w:rFonts w:ascii="Arial" w:eastAsia="Times New Roman" w:hAnsi="Arial" w:cs="Arial"/>
          <w:color w:val="000000"/>
          <w:sz w:val="24"/>
          <w:szCs w:val="24"/>
          <w:lang w:eastAsia="en-ZA"/>
        </w:rPr>
        <w:t xml:space="preserve"> </w:t>
      </w:r>
      <w:r w:rsidR="00F12CFC" w:rsidRPr="00F45341">
        <w:rPr>
          <w:rFonts w:ascii="Arial" w:eastAsia="Times New Roman" w:hAnsi="Arial" w:cs="Arial"/>
          <w:color w:val="000000"/>
          <w:sz w:val="24"/>
          <w:szCs w:val="24"/>
          <w:lang w:eastAsia="en-ZA"/>
        </w:rPr>
        <w:t>The fact that the impugned resolution was taken without ensuring compliance with the requirements of consultation with members of the public resulted in the exercise of the public power to be procedurally unfair.</w:t>
      </w:r>
    </w:p>
    <w:p w14:paraId="5F343F4F" w14:textId="77777777" w:rsidR="001724D7" w:rsidRPr="00F45341" w:rsidRDefault="001724D7" w:rsidP="00F45341">
      <w:pPr>
        <w:spacing w:after="0" w:line="240" w:lineRule="auto"/>
        <w:jc w:val="both"/>
        <w:rPr>
          <w:rFonts w:ascii="Arial" w:eastAsia="Times New Roman" w:hAnsi="Arial" w:cs="Arial"/>
          <w:color w:val="000000"/>
          <w:sz w:val="24"/>
          <w:szCs w:val="24"/>
          <w:lang w:eastAsia="en-ZA"/>
        </w:rPr>
      </w:pPr>
    </w:p>
    <w:p w14:paraId="726D8FF0" w14:textId="77777777" w:rsidR="001724D7" w:rsidRPr="00F45341" w:rsidRDefault="00AC6123" w:rsidP="00F45341">
      <w:pPr>
        <w:spacing w:after="0" w:line="240" w:lineRule="auto"/>
        <w:jc w:val="both"/>
        <w:rPr>
          <w:rFonts w:ascii="Arial" w:eastAsia="Calibri" w:hAnsi="Arial" w:cs="Arial"/>
          <w:sz w:val="24"/>
          <w:szCs w:val="24"/>
        </w:rPr>
      </w:pPr>
      <w:r w:rsidRPr="00F45341">
        <w:rPr>
          <w:rFonts w:ascii="Arial" w:eastAsia="Calibri" w:hAnsi="Arial" w:cs="Arial"/>
          <w:sz w:val="24"/>
          <w:szCs w:val="24"/>
        </w:rPr>
        <w:t>[29]</w:t>
      </w:r>
      <w:r w:rsidRPr="00F45341">
        <w:rPr>
          <w:rFonts w:ascii="Arial" w:eastAsia="Calibri" w:hAnsi="Arial" w:cs="Arial"/>
          <w:sz w:val="24"/>
          <w:szCs w:val="24"/>
        </w:rPr>
        <w:tab/>
      </w:r>
      <w:r w:rsidR="001724D7" w:rsidRPr="00F45341">
        <w:rPr>
          <w:rFonts w:ascii="Arial" w:eastAsia="Calibri" w:hAnsi="Arial" w:cs="Arial"/>
          <w:sz w:val="24"/>
          <w:szCs w:val="24"/>
        </w:rPr>
        <w:t>F</w:t>
      </w:r>
      <w:r w:rsidR="00F12CFC" w:rsidRPr="00F45341">
        <w:rPr>
          <w:rFonts w:ascii="Arial" w:eastAsia="Calibri" w:hAnsi="Arial" w:cs="Arial"/>
          <w:sz w:val="24"/>
          <w:szCs w:val="24"/>
        </w:rPr>
        <w:t xml:space="preserve">or similar reasons, the impugned decision was unlawful </w:t>
      </w:r>
      <w:r w:rsidR="005B32C4" w:rsidRPr="00F45341">
        <w:rPr>
          <w:rFonts w:ascii="Arial" w:eastAsia="Calibri" w:hAnsi="Arial" w:cs="Arial"/>
          <w:sz w:val="24"/>
          <w:szCs w:val="24"/>
        </w:rPr>
        <w:t xml:space="preserve">since </w:t>
      </w:r>
      <w:proofErr w:type="gramStart"/>
      <w:r w:rsidR="005B32C4" w:rsidRPr="00F45341">
        <w:rPr>
          <w:rFonts w:ascii="Arial" w:eastAsia="Calibri" w:hAnsi="Arial" w:cs="Arial"/>
          <w:sz w:val="24"/>
          <w:szCs w:val="24"/>
        </w:rPr>
        <w:t>is</w:t>
      </w:r>
      <w:proofErr w:type="gramEnd"/>
      <w:r w:rsidR="005B32C4" w:rsidRPr="00F45341">
        <w:rPr>
          <w:rFonts w:ascii="Arial" w:eastAsia="Calibri" w:hAnsi="Arial" w:cs="Arial"/>
          <w:sz w:val="24"/>
          <w:szCs w:val="24"/>
        </w:rPr>
        <w:t xml:space="preserve"> was taken in contravention of the provisions of s 14(2) of the MFMA. The argument advanced by </w:t>
      </w:r>
      <w:r w:rsidR="005B32C4" w:rsidRPr="00F45341">
        <w:rPr>
          <w:rFonts w:ascii="Arial" w:eastAsia="Calibri" w:hAnsi="Arial" w:cs="Arial"/>
          <w:i/>
          <w:sz w:val="24"/>
          <w:szCs w:val="24"/>
        </w:rPr>
        <w:t xml:space="preserve">Mr </w:t>
      </w:r>
      <w:proofErr w:type="spellStart"/>
      <w:r w:rsidR="005B32C4" w:rsidRPr="00F45341">
        <w:rPr>
          <w:rFonts w:ascii="Arial" w:eastAsia="Calibri" w:hAnsi="Arial" w:cs="Arial"/>
          <w:i/>
          <w:sz w:val="24"/>
          <w:szCs w:val="24"/>
        </w:rPr>
        <w:t>Broster</w:t>
      </w:r>
      <w:proofErr w:type="spellEnd"/>
      <w:r w:rsidR="005B32C4" w:rsidRPr="00F45341">
        <w:rPr>
          <w:rFonts w:ascii="Arial" w:eastAsia="Calibri" w:hAnsi="Arial" w:cs="Arial"/>
          <w:sz w:val="24"/>
          <w:szCs w:val="24"/>
        </w:rPr>
        <w:t xml:space="preserve"> to suggest the lawfulness of the decision is misguided. While the second respondent is the accounting officer, his exercise of public power is still subject to and regulated by the MFMA and other legislative prescript. </w:t>
      </w:r>
      <w:r w:rsidR="00D103E4" w:rsidRPr="00F45341">
        <w:rPr>
          <w:rFonts w:ascii="Arial" w:eastAsia="Calibri" w:hAnsi="Arial" w:cs="Arial"/>
          <w:sz w:val="24"/>
          <w:szCs w:val="24"/>
        </w:rPr>
        <w:t>L</w:t>
      </w:r>
      <w:r w:rsidR="005B32C4" w:rsidRPr="00F45341">
        <w:rPr>
          <w:rFonts w:ascii="Arial" w:eastAsia="Calibri" w:hAnsi="Arial" w:cs="Arial"/>
          <w:sz w:val="24"/>
          <w:szCs w:val="24"/>
        </w:rPr>
        <w:t>awfulness requires that the impugned decision must be duly authorised by law and that any statutory requirements attached to the exercise of such power must be complied with.</w:t>
      </w:r>
      <w:r w:rsidR="00D103E4" w:rsidRPr="00F45341">
        <w:rPr>
          <w:rStyle w:val="FootnoteReference"/>
          <w:rFonts w:ascii="Arial" w:eastAsia="Calibri" w:hAnsi="Arial" w:cs="Arial"/>
          <w:sz w:val="24"/>
          <w:szCs w:val="24"/>
        </w:rPr>
        <w:footnoteReference w:id="15"/>
      </w:r>
      <w:r w:rsidR="005B32C4" w:rsidRPr="00F45341">
        <w:rPr>
          <w:rFonts w:ascii="Arial" w:eastAsia="Calibri" w:hAnsi="Arial" w:cs="Arial"/>
          <w:sz w:val="24"/>
          <w:szCs w:val="24"/>
        </w:rPr>
        <w:t xml:space="preserve"> </w:t>
      </w:r>
    </w:p>
    <w:p w14:paraId="7037ED02" w14:textId="77777777" w:rsidR="00F3566A" w:rsidRPr="00F45341" w:rsidRDefault="00F3566A" w:rsidP="00F45341">
      <w:pPr>
        <w:spacing w:after="0" w:line="240" w:lineRule="auto"/>
        <w:jc w:val="both"/>
        <w:rPr>
          <w:rFonts w:ascii="Arial" w:eastAsia="Calibri" w:hAnsi="Arial" w:cs="Arial"/>
          <w:sz w:val="24"/>
          <w:szCs w:val="24"/>
        </w:rPr>
      </w:pPr>
    </w:p>
    <w:p w14:paraId="2C8C6BA0" w14:textId="77777777" w:rsidR="005B32C4" w:rsidRPr="00F45341" w:rsidRDefault="00AC6123" w:rsidP="00F45341">
      <w:pPr>
        <w:spacing w:after="0" w:line="240" w:lineRule="auto"/>
        <w:contextualSpacing/>
        <w:jc w:val="both"/>
        <w:rPr>
          <w:rFonts w:ascii="Arial" w:eastAsia="Calibri" w:hAnsi="Arial" w:cs="Arial"/>
          <w:sz w:val="24"/>
          <w:szCs w:val="24"/>
        </w:rPr>
      </w:pPr>
      <w:r w:rsidRPr="00F45341">
        <w:rPr>
          <w:rFonts w:ascii="Arial" w:eastAsia="Calibri" w:hAnsi="Arial" w:cs="Arial"/>
          <w:sz w:val="24"/>
          <w:szCs w:val="24"/>
        </w:rPr>
        <w:t>[30]</w:t>
      </w:r>
      <w:r w:rsidRPr="00F45341">
        <w:rPr>
          <w:rFonts w:ascii="Arial" w:eastAsia="Calibri" w:hAnsi="Arial" w:cs="Arial"/>
          <w:sz w:val="24"/>
          <w:szCs w:val="24"/>
        </w:rPr>
        <w:tab/>
      </w:r>
      <w:r w:rsidR="005B32C4" w:rsidRPr="00F45341">
        <w:rPr>
          <w:rFonts w:ascii="Arial" w:eastAsia="Calibri" w:hAnsi="Arial" w:cs="Arial"/>
          <w:sz w:val="24"/>
          <w:szCs w:val="24"/>
        </w:rPr>
        <w:t xml:space="preserve">In </w:t>
      </w:r>
      <w:proofErr w:type="spellStart"/>
      <w:r w:rsidR="00671089" w:rsidRPr="00F45341">
        <w:rPr>
          <w:rFonts w:ascii="Arial" w:eastAsia="Calibri" w:hAnsi="Arial" w:cs="Arial"/>
          <w:i/>
          <w:sz w:val="24"/>
          <w:szCs w:val="24"/>
        </w:rPr>
        <w:t>Fedsure</w:t>
      </w:r>
      <w:proofErr w:type="spellEnd"/>
      <w:r w:rsidR="00671089" w:rsidRPr="00F45341">
        <w:rPr>
          <w:rFonts w:ascii="Arial" w:eastAsia="Calibri" w:hAnsi="Arial" w:cs="Arial"/>
          <w:i/>
          <w:sz w:val="24"/>
          <w:szCs w:val="24"/>
        </w:rPr>
        <w:t xml:space="preserve"> Life Assurance Ltd and Others v Greater Johannesburg Transitional Metropolitan Council and Others</w:t>
      </w:r>
      <w:r w:rsidR="00671089" w:rsidRPr="00F45341">
        <w:rPr>
          <w:rFonts w:ascii="Arial" w:eastAsia="Calibri" w:hAnsi="Arial" w:cs="Arial"/>
          <w:sz w:val="24"/>
          <w:szCs w:val="24"/>
        </w:rPr>
        <w:t>,</w:t>
      </w:r>
      <w:r w:rsidR="00671089" w:rsidRPr="00F45341">
        <w:rPr>
          <w:rStyle w:val="FootnoteReference"/>
          <w:rFonts w:ascii="Arial" w:eastAsia="Calibri" w:hAnsi="Arial" w:cs="Arial"/>
          <w:sz w:val="24"/>
          <w:szCs w:val="24"/>
        </w:rPr>
        <w:footnoteReference w:id="16"/>
      </w:r>
      <w:r w:rsidR="00671089" w:rsidRPr="00F45341">
        <w:rPr>
          <w:rFonts w:ascii="Arial" w:eastAsia="Calibri" w:hAnsi="Arial" w:cs="Arial"/>
          <w:sz w:val="24"/>
          <w:szCs w:val="24"/>
        </w:rPr>
        <w:t xml:space="preserve"> </w:t>
      </w:r>
      <w:r w:rsidR="005B32C4" w:rsidRPr="00F45341">
        <w:rPr>
          <w:rFonts w:ascii="Arial" w:eastAsia="Calibri" w:hAnsi="Arial" w:cs="Arial"/>
          <w:sz w:val="24"/>
          <w:szCs w:val="24"/>
        </w:rPr>
        <w:t>the court hel</w:t>
      </w:r>
      <w:r w:rsidR="00EE1D04" w:rsidRPr="00F45341">
        <w:rPr>
          <w:rFonts w:ascii="Arial" w:eastAsia="Calibri" w:hAnsi="Arial" w:cs="Arial"/>
          <w:sz w:val="24"/>
          <w:szCs w:val="24"/>
        </w:rPr>
        <w:t>d</w:t>
      </w:r>
      <w:r w:rsidR="005B32C4" w:rsidRPr="00F45341">
        <w:rPr>
          <w:rFonts w:ascii="Arial" w:eastAsia="Calibri" w:hAnsi="Arial" w:cs="Arial"/>
          <w:sz w:val="24"/>
          <w:szCs w:val="24"/>
        </w:rPr>
        <w:t xml:space="preserve"> that </w:t>
      </w:r>
      <w:r w:rsidR="00671089" w:rsidRPr="00F45341">
        <w:rPr>
          <w:rFonts w:ascii="Arial" w:eastAsia="Calibri" w:hAnsi="Arial" w:cs="Arial"/>
          <w:sz w:val="24"/>
          <w:szCs w:val="24"/>
        </w:rPr>
        <w:t>l</w:t>
      </w:r>
      <w:r w:rsidR="005B32C4" w:rsidRPr="00F45341">
        <w:rPr>
          <w:rFonts w:ascii="Arial" w:eastAsia="Calibri" w:hAnsi="Arial" w:cs="Arial"/>
          <w:sz w:val="24"/>
          <w:szCs w:val="24"/>
        </w:rPr>
        <w:t xml:space="preserve">egislature and </w:t>
      </w:r>
      <w:r w:rsidR="00671089" w:rsidRPr="00F45341">
        <w:rPr>
          <w:rFonts w:ascii="Arial" w:eastAsia="Calibri" w:hAnsi="Arial" w:cs="Arial"/>
          <w:sz w:val="24"/>
          <w:szCs w:val="24"/>
        </w:rPr>
        <w:t>e</w:t>
      </w:r>
      <w:r w:rsidR="005B32C4" w:rsidRPr="00F45341">
        <w:rPr>
          <w:rFonts w:ascii="Arial" w:eastAsia="Calibri" w:hAnsi="Arial" w:cs="Arial"/>
          <w:sz w:val="24"/>
          <w:szCs w:val="24"/>
        </w:rPr>
        <w:t xml:space="preserve">xecutive are constrained by the principle that they may exercise no power and perform no function beyond that conferred to them by law. </w:t>
      </w:r>
      <w:r w:rsidR="00EE1D04" w:rsidRPr="00F45341">
        <w:rPr>
          <w:rFonts w:ascii="Arial" w:eastAsia="Calibri" w:hAnsi="Arial" w:cs="Arial"/>
          <w:sz w:val="24"/>
          <w:szCs w:val="24"/>
        </w:rPr>
        <w:t>Therefore,</w:t>
      </w:r>
      <w:r w:rsidR="005B32C4" w:rsidRPr="00F45341">
        <w:rPr>
          <w:rFonts w:ascii="Arial" w:eastAsia="Calibri" w:hAnsi="Arial" w:cs="Arial"/>
          <w:sz w:val="24"/>
          <w:szCs w:val="24"/>
        </w:rPr>
        <w:t xml:space="preserve"> any action performed without necessary authority is ultra vires </w:t>
      </w:r>
      <w:r w:rsidR="00EE1D04" w:rsidRPr="00F45341">
        <w:rPr>
          <w:rFonts w:ascii="Arial" w:eastAsia="Calibri" w:hAnsi="Arial" w:cs="Arial"/>
          <w:sz w:val="24"/>
          <w:szCs w:val="24"/>
        </w:rPr>
        <w:t xml:space="preserve">or illegal. The action by the fourth respondent in passing the resolution was without necessary authority and therefore ultra vires. It </w:t>
      </w:r>
      <w:r w:rsidR="000A5263" w:rsidRPr="00F45341">
        <w:rPr>
          <w:rFonts w:ascii="Arial" w:eastAsia="Calibri" w:hAnsi="Arial" w:cs="Arial"/>
          <w:sz w:val="24"/>
          <w:szCs w:val="24"/>
        </w:rPr>
        <w:t xml:space="preserve">should be </w:t>
      </w:r>
      <w:r w:rsidR="00EE1D04" w:rsidRPr="00F45341">
        <w:rPr>
          <w:rFonts w:ascii="Arial" w:eastAsia="Calibri" w:hAnsi="Arial" w:cs="Arial"/>
          <w:sz w:val="24"/>
          <w:szCs w:val="24"/>
        </w:rPr>
        <w:t>se</w:t>
      </w:r>
      <w:r w:rsidR="000A5263" w:rsidRPr="00F45341">
        <w:rPr>
          <w:rFonts w:ascii="Arial" w:eastAsia="Calibri" w:hAnsi="Arial" w:cs="Arial"/>
          <w:sz w:val="24"/>
          <w:szCs w:val="24"/>
        </w:rPr>
        <w:t>t</w:t>
      </w:r>
      <w:r w:rsidR="00EE1D04" w:rsidRPr="00F45341">
        <w:rPr>
          <w:rFonts w:ascii="Arial" w:eastAsia="Calibri" w:hAnsi="Arial" w:cs="Arial"/>
          <w:sz w:val="24"/>
          <w:szCs w:val="24"/>
        </w:rPr>
        <w:t xml:space="preserve"> aside.</w:t>
      </w:r>
    </w:p>
    <w:p w14:paraId="2209A362" w14:textId="77777777" w:rsidR="001724D7" w:rsidRPr="00F45341" w:rsidRDefault="001724D7" w:rsidP="00F45341">
      <w:pPr>
        <w:spacing w:line="240" w:lineRule="auto"/>
        <w:contextualSpacing/>
        <w:jc w:val="both"/>
        <w:rPr>
          <w:rFonts w:ascii="Arial" w:eastAsia="Calibri" w:hAnsi="Arial" w:cs="Arial"/>
          <w:sz w:val="24"/>
          <w:szCs w:val="24"/>
        </w:rPr>
      </w:pPr>
    </w:p>
    <w:p w14:paraId="66CD9A4D" w14:textId="77777777" w:rsidR="00EE1D04"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lastRenderedPageBreak/>
        <w:t>[31]</w:t>
      </w:r>
      <w:r w:rsidRPr="00F45341">
        <w:rPr>
          <w:rFonts w:ascii="Arial" w:eastAsia="Calibri" w:hAnsi="Arial" w:cs="Arial"/>
          <w:sz w:val="24"/>
          <w:szCs w:val="24"/>
        </w:rPr>
        <w:tab/>
      </w:r>
      <w:r w:rsidR="00EE1D04" w:rsidRPr="00F45341">
        <w:rPr>
          <w:rFonts w:ascii="Arial" w:eastAsia="Calibri" w:hAnsi="Arial" w:cs="Arial"/>
          <w:sz w:val="24"/>
          <w:szCs w:val="24"/>
        </w:rPr>
        <w:t>A further requirement is that of the rationality of the impugned decision. This requires that there must be a rational connection between the exercise of public power and the purpose for which the power was given.</w:t>
      </w:r>
      <w:r w:rsidR="00671089" w:rsidRPr="00F45341">
        <w:rPr>
          <w:rStyle w:val="FootnoteReference"/>
          <w:rFonts w:ascii="Arial" w:eastAsia="Calibri" w:hAnsi="Arial" w:cs="Arial"/>
          <w:sz w:val="24"/>
          <w:szCs w:val="24"/>
        </w:rPr>
        <w:footnoteReference w:id="17"/>
      </w:r>
      <w:r w:rsidR="00EE1D04" w:rsidRPr="00F45341">
        <w:rPr>
          <w:rFonts w:ascii="Arial" w:eastAsia="Calibri" w:hAnsi="Arial" w:cs="Arial"/>
          <w:sz w:val="24"/>
          <w:szCs w:val="24"/>
        </w:rPr>
        <w:t xml:space="preserve"> </w:t>
      </w:r>
      <w:r w:rsidR="00D32E37" w:rsidRPr="00F45341">
        <w:rPr>
          <w:rFonts w:ascii="Arial" w:eastAsia="Calibri" w:hAnsi="Arial" w:cs="Arial"/>
          <w:sz w:val="24"/>
          <w:szCs w:val="24"/>
        </w:rPr>
        <w:t xml:space="preserve">It is irrational for the respondents to appoint a caretaker to oversee the forestry for a period of 24 months when </w:t>
      </w:r>
      <w:proofErr w:type="gramStart"/>
      <w:r w:rsidR="00D32E37" w:rsidRPr="00F45341">
        <w:rPr>
          <w:rFonts w:ascii="Arial" w:eastAsia="Calibri" w:hAnsi="Arial" w:cs="Arial"/>
          <w:sz w:val="24"/>
          <w:szCs w:val="24"/>
        </w:rPr>
        <w:t>it is clear that this</w:t>
      </w:r>
      <w:proofErr w:type="gramEnd"/>
      <w:r w:rsidR="00D32E37" w:rsidRPr="00F45341">
        <w:rPr>
          <w:rFonts w:ascii="Arial" w:eastAsia="Calibri" w:hAnsi="Arial" w:cs="Arial"/>
          <w:sz w:val="24"/>
          <w:szCs w:val="24"/>
        </w:rPr>
        <w:t xml:space="preserve"> would affect the harvesting. There was also no indication as to the basis upon which the fifth respondent was selected as the appropriate person to occupy the position of a caretaker. </w:t>
      </w:r>
      <w:r w:rsidR="00C80C72" w:rsidRPr="00F45341">
        <w:rPr>
          <w:rFonts w:ascii="Arial" w:eastAsia="Calibri" w:hAnsi="Arial" w:cs="Arial"/>
          <w:sz w:val="24"/>
          <w:szCs w:val="24"/>
        </w:rPr>
        <w:t xml:space="preserve">There was also no </w:t>
      </w:r>
      <w:proofErr w:type="gramStart"/>
      <w:r w:rsidR="00C80C72" w:rsidRPr="00F45341">
        <w:rPr>
          <w:rFonts w:ascii="Arial" w:eastAsia="Calibri" w:hAnsi="Arial" w:cs="Arial"/>
          <w:sz w:val="24"/>
          <w:szCs w:val="24"/>
        </w:rPr>
        <w:t xml:space="preserve">advancement </w:t>
      </w:r>
      <w:r w:rsidR="00D32E37" w:rsidRPr="00F45341">
        <w:rPr>
          <w:rFonts w:ascii="Arial" w:eastAsia="Calibri" w:hAnsi="Arial" w:cs="Arial"/>
          <w:sz w:val="24"/>
          <w:szCs w:val="24"/>
        </w:rPr>
        <w:t xml:space="preserve"> as</w:t>
      </w:r>
      <w:proofErr w:type="gramEnd"/>
      <w:r w:rsidR="00D32E37" w:rsidRPr="00F45341">
        <w:rPr>
          <w:rFonts w:ascii="Arial" w:eastAsia="Calibri" w:hAnsi="Arial" w:cs="Arial"/>
          <w:sz w:val="24"/>
          <w:szCs w:val="24"/>
        </w:rPr>
        <w:t xml:space="preserve"> to his suitability to the position and how his appointment would be in the interest of the public</w:t>
      </w:r>
      <w:r w:rsidR="00C80C72" w:rsidRPr="00F45341">
        <w:rPr>
          <w:rFonts w:ascii="Arial" w:eastAsia="Calibri" w:hAnsi="Arial" w:cs="Arial"/>
          <w:sz w:val="24"/>
          <w:szCs w:val="24"/>
        </w:rPr>
        <w:t xml:space="preserve"> and the mere fact</w:t>
      </w:r>
      <w:r w:rsidR="00D32E37" w:rsidRPr="00F45341">
        <w:rPr>
          <w:rFonts w:ascii="Arial" w:eastAsia="Calibri" w:hAnsi="Arial" w:cs="Arial"/>
          <w:sz w:val="24"/>
          <w:szCs w:val="24"/>
        </w:rPr>
        <w:t xml:space="preserve"> that he belonged to a group which had launched a land claim</w:t>
      </w:r>
      <w:r w:rsidR="00C80C72" w:rsidRPr="00F45341">
        <w:rPr>
          <w:rFonts w:ascii="Arial" w:eastAsia="Calibri" w:hAnsi="Arial" w:cs="Arial"/>
          <w:sz w:val="24"/>
          <w:szCs w:val="24"/>
        </w:rPr>
        <w:t>,</w:t>
      </w:r>
      <w:r w:rsidR="00D32E37" w:rsidRPr="00F45341">
        <w:rPr>
          <w:rFonts w:ascii="Arial" w:eastAsia="Calibri" w:hAnsi="Arial" w:cs="Arial"/>
          <w:sz w:val="24"/>
          <w:szCs w:val="24"/>
        </w:rPr>
        <w:t xml:space="preserve"> was insufficient to justify his appointment.</w:t>
      </w:r>
    </w:p>
    <w:p w14:paraId="78A5628C" w14:textId="77777777" w:rsidR="00E46174" w:rsidRPr="00F45341" w:rsidRDefault="00E46174" w:rsidP="00F45341">
      <w:pPr>
        <w:spacing w:line="240" w:lineRule="auto"/>
        <w:contextualSpacing/>
        <w:jc w:val="both"/>
        <w:rPr>
          <w:rFonts w:ascii="Arial" w:eastAsia="Calibri" w:hAnsi="Arial" w:cs="Arial"/>
          <w:sz w:val="24"/>
          <w:szCs w:val="24"/>
        </w:rPr>
      </w:pPr>
    </w:p>
    <w:p w14:paraId="7BC2883F" w14:textId="77777777" w:rsidR="00D32E37"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[32]</w:t>
      </w:r>
      <w:r w:rsidRPr="00F45341">
        <w:rPr>
          <w:rFonts w:ascii="Arial" w:eastAsia="Calibri" w:hAnsi="Arial" w:cs="Arial"/>
          <w:sz w:val="24"/>
          <w:szCs w:val="24"/>
        </w:rPr>
        <w:tab/>
      </w:r>
      <w:r w:rsidR="00D32E37" w:rsidRPr="00F45341">
        <w:rPr>
          <w:rFonts w:ascii="Arial" w:eastAsia="Calibri" w:hAnsi="Arial" w:cs="Arial"/>
          <w:sz w:val="24"/>
          <w:szCs w:val="24"/>
        </w:rPr>
        <w:t xml:space="preserve">On the issue of dispute of fact raised by the respondents, while I note the application of the </w:t>
      </w:r>
      <w:proofErr w:type="spellStart"/>
      <w:r w:rsidR="00D32E37" w:rsidRPr="00F45341">
        <w:rPr>
          <w:rFonts w:ascii="Arial" w:eastAsia="Calibri" w:hAnsi="Arial" w:cs="Arial"/>
          <w:i/>
          <w:sz w:val="24"/>
          <w:szCs w:val="24"/>
        </w:rPr>
        <w:t>Plascon</w:t>
      </w:r>
      <w:proofErr w:type="spellEnd"/>
      <w:r w:rsidR="00D32E37" w:rsidRPr="00F45341">
        <w:rPr>
          <w:rFonts w:ascii="Arial" w:eastAsia="Calibri" w:hAnsi="Arial" w:cs="Arial"/>
          <w:i/>
          <w:sz w:val="24"/>
          <w:szCs w:val="24"/>
        </w:rPr>
        <w:t>-Evans rule</w:t>
      </w:r>
      <w:r w:rsidR="00671089" w:rsidRPr="00F45341">
        <w:rPr>
          <w:rStyle w:val="FootnoteReference"/>
          <w:rFonts w:ascii="Arial" w:eastAsia="Calibri" w:hAnsi="Arial" w:cs="Arial"/>
          <w:sz w:val="24"/>
          <w:szCs w:val="24"/>
        </w:rPr>
        <w:footnoteReference w:id="18"/>
      </w:r>
      <w:r w:rsidR="00D32E37" w:rsidRPr="00F45341">
        <w:rPr>
          <w:rFonts w:ascii="Arial" w:eastAsia="Calibri" w:hAnsi="Arial" w:cs="Arial"/>
          <w:sz w:val="24"/>
          <w:szCs w:val="24"/>
        </w:rPr>
        <w:t xml:space="preserve"> in such instances, I agree with the applicant that the conduct of the respondents is questionable. As was stated in </w:t>
      </w:r>
      <w:r w:rsidR="00671089" w:rsidRPr="00F45341">
        <w:rPr>
          <w:rFonts w:ascii="Arial" w:eastAsia="Calibri" w:hAnsi="Arial" w:cs="Arial"/>
          <w:i/>
          <w:sz w:val="24"/>
          <w:szCs w:val="24"/>
        </w:rPr>
        <w:t>Helen Suzman Foundation v Judicial Service Commission</w:t>
      </w:r>
      <w:r w:rsidR="00671089" w:rsidRPr="00F45341">
        <w:rPr>
          <w:rFonts w:ascii="Arial" w:eastAsia="Calibri" w:hAnsi="Arial" w:cs="Arial"/>
          <w:sz w:val="24"/>
          <w:szCs w:val="24"/>
        </w:rPr>
        <w:t>,</w:t>
      </w:r>
      <w:r w:rsidR="00671089" w:rsidRPr="00F45341">
        <w:rPr>
          <w:rStyle w:val="FootnoteReference"/>
          <w:rFonts w:ascii="Arial" w:eastAsia="Calibri" w:hAnsi="Arial" w:cs="Arial"/>
          <w:sz w:val="24"/>
          <w:szCs w:val="24"/>
        </w:rPr>
        <w:footnoteReference w:id="19"/>
      </w:r>
      <w:r w:rsidR="00671089" w:rsidRPr="00F45341">
        <w:rPr>
          <w:rFonts w:ascii="Arial" w:eastAsia="Calibri" w:hAnsi="Arial" w:cs="Arial"/>
          <w:sz w:val="24"/>
          <w:szCs w:val="24"/>
        </w:rPr>
        <w:t xml:space="preserve"> </w:t>
      </w:r>
      <w:r w:rsidR="00D32E37" w:rsidRPr="00F45341">
        <w:rPr>
          <w:rFonts w:ascii="Arial" w:eastAsia="Calibri" w:hAnsi="Arial" w:cs="Arial"/>
          <w:sz w:val="24"/>
          <w:szCs w:val="24"/>
        </w:rPr>
        <w:t xml:space="preserve">it is imperative that documents relied upon to prove the reasonableness of a decision in review proceedings forms part of the record provided to afford the applicant opportunity to adequately address the issues in a supplementary affidavit. It is questionable when such documents are produced later without any explanation </w:t>
      </w:r>
      <w:r w:rsidR="00C80C72" w:rsidRPr="00F45341">
        <w:rPr>
          <w:rFonts w:ascii="Arial" w:eastAsia="Calibri" w:hAnsi="Arial" w:cs="Arial"/>
          <w:sz w:val="24"/>
          <w:szCs w:val="24"/>
        </w:rPr>
        <w:t xml:space="preserve">to the </w:t>
      </w:r>
      <w:proofErr w:type="gramStart"/>
      <w:r w:rsidR="00C80C72" w:rsidRPr="00F45341">
        <w:rPr>
          <w:rFonts w:ascii="Arial" w:eastAsia="Calibri" w:hAnsi="Arial" w:cs="Arial"/>
          <w:sz w:val="24"/>
          <w:szCs w:val="24"/>
        </w:rPr>
        <w:t xml:space="preserve">reason </w:t>
      </w:r>
      <w:r w:rsidR="00D32E37" w:rsidRPr="00F45341">
        <w:rPr>
          <w:rFonts w:ascii="Arial" w:eastAsia="Calibri" w:hAnsi="Arial" w:cs="Arial"/>
          <w:sz w:val="24"/>
          <w:szCs w:val="24"/>
        </w:rPr>
        <w:t xml:space="preserve"> they</w:t>
      </w:r>
      <w:proofErr w:type="gramEnd"/>
      <w:r w:rsidR="00D32E37" w:rsidRPr="00F45341">
        <w:rPr>
          <w:rFonts w:ascii="Arial" w:eastAsia="Calibri" w:hAnsi="Arial" w:cs="Arial"/>
          <w:sz w:val="24"/>
          <w:szCs w:val="24"/>
        </w:rPr>
        <w:t xml:space="preserve"> were not furnished earlier. </w:t>
      </w:r>
    </w:p>
    <w:p w14:paraId="70F1CE99" w14:textId="77777777" w:rsidR="000B3722" w:rsidRPr="00F45341" w:rsidRDefault="000B3722" w:rsidP="00F45341">
      <w:pPr>
        <w:spacing w:line="240" w:lineRule="auto"/>
        <w:ind w:left="360"/>
        <w:contextualSpacing/>
        <w:jc w:val="both"/>
        <w:rPr>
          <w:rFonts w:ascii="Arial" w:eastAsia="Calibri" w:hAnsi="Arial" w:cs="Arial"/>
          <w:sz w:val="24"/>
          <w:szCs w:val="24"/>
        </w:rPr>
      </w:pPr>
    </w:p>
    <w:p w14:paraId="078FAB36" w14:textId="77777777" w:rsidR="000B3722"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[33]</w:t>
      </w:r>
      <w:r w:rsidRPr="00F45341">
        <w:rPr>
          <w:rFonts w:ascii="Arial" w:eastAsia="Calibri" w:hAnsi="Arial" w:cs="Arial"/>
          <w:sz w:val="24"/>
          <w:szCs w:val="24"/>
        </w:rPr>
        <w:tab/>
      </w:r>
      <w:r w:rsidR="000B3722" w:rsidRPr="00F45341">
        <w:rPr>
          <w:rFonts w:ascii="Arial" w:eastAsia="Calibri" w:hAnsi="Arial" w:cs="Arial"/>
          <w:sz w:val="24"/>
          <w:szCs w:val="24"/>
        </w:rPr>
        <w:t>In my view, whether a</w:t>
      </w:r>
      <w:r w:rsidR="000A5263" w:rsidRPr="00F45341">
        <w:rPr>
          <w:rFonts w:ascii="Arial" w:eastAsia="Calibri" w:hAnsi="Arial" w:cs="Arial"/>
          <w:sz w:val="24"/>
          <w:szCs w:val="24"/>
        </w:rPr>
        <w:t xml:space="preserve">n </w:t>
      </w:r>
      <w:r w:rsidR="000B3722" w:rsidRPr="00F45341">
        <w:rPr>
          <w:rFonts w:ascii="Arial" w:eastAsia="Calibri" w:hAnsi="Arial" w:cs="Arial"/>
          <w:sz w:val="24"/>
          <w:szCs w:val="24"/>
        </w:rPr>
        <w:t>agreement exists regulating the relationship between the first and the fifth respondent is produced, having found that the decision to pass the impugned resolution was unlawful and irrational has the effect of nullifying any action subsequently taken and arising from it. Accordingly, once the resolution falls away, so does the agreement between the first and fifth respondents.</w:t>
      </w:r>
    </w:p>
    <w:p w14:paraId="2DA7F230" w14:textId="77777777" w:rsidR="00BC4C08" w:rsidRPr="00F45341" w:rsidRDefault="00BC4C08" w:rsidP="00F45341">
      <w:pPr>
        <w:spacing w:line="240" w:lineRule="auto"/>
        <w:ind w:left="720" w:hanging="720"/>
        <w:contextualSpacing/>
        <w:jc w:val="both"/>
        <w:rPr>
          <w:rFonts w:ascii="Arial" w:eastAsia="Calibri" w:hAnsi="Arial" w:cs="Arial"/>
          <w:sz w:val="24"/>
          <w:szCs w:val="24"/>
        </w:rPr>
      </w:pPr>
    </w:p>
    <w:p w14:paraId="1F02DE6D" w14:textId="77777777" w:rsidR="00640CB1"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[34]</w:t>
      </w:r>
      <w:r w:rsidRPr="00F45341">
        <w:rPr>
          <w:rFonts w:ascii="Arial" w:eastAsia="Calibri" w:hAnsi="Arial" w:cs="Arial"/>
          <w:sz w:val="24"/>
          <w:szCs w:val="24"/>
        </w:rPr>
        <w:tab/>
      </w:r>
      <w:r w:rsidR="00640CB1" w:rsidRPr="00F45341">
        <w:rPr>
          <w:rFonts w:ascii="Arial" w:eastAsia="Calibri" w:hAnsi="Arial" w:cs="Arial"/>
          <w:sz w:val="24"/>
          <w:szCs w:val="24"/>
        </w:rPr>
        <w:t xml:space="preserve">The </w:t>
      </w:r>
      <w:r w:rsidR="000B3722" w:rsidRPr="00F45341">
        <w:rPr>
          <w:rFonts w:ascii="Arial" w:eastAsia="Calibri" w:hAnsi="Arial" w:cs="Arial"/>
          <w:sz w:val="24"/>
          <w:szCs w:val="24"/>
        </w:rPr>
        <w:t>a</w:t>
      </w:r>
      <w:r w:rsidR="00640CB1" w:rsidRPr="00F45341">
        <w:rPr>
          <w:rFonts w:ascii="Arial" w:eastAsia="Calibri" w:hAnsi="Arial" w:cs="Arial"/>
          <w:sz w:val="24"/>
          <w:szCs w:val="24"/>
        </w:rPr>
        <w:t xml:space="preserve">pplicant has satisfied the court that the </w:t>
      </w:r>
      <w:r w:rsidR="00C80C72" w:rsidRPr="00F45341">
        <w:rPr>
          <w:rFonts w:ascii="Arial" w:eastAsia="Calibri" w:hAnsi="Arial" w:cs="Arial"/>
          <w:sz w:val="24"/>
          <w:szCs w:val="24"/>
        </w:rPr>
        <w:t>r</w:t>
      </w:r>
      <w:r w:rsidR="00640CB1" w:rsidRPr="00F45341">
        <w:rPr>
          <w:rFonts w:ascii="Arial" w:eastAsia="Calibri" w:hAnsi="Arial" w:cs="Arial"/>
          <w:sz w:val="24"/>
          <w:szCs w:val="24"/>
        </w:rPr>
        <w:t xml:space="preserve">esolution taken was not lawful, </w:t>
      </w:r>
      <w:proofErr w:type="gramStart"/>
      <w:r w:rsidR="00640CB1" w:rsidRPr="00F45341">
        <w:rPr>
          <w:rFonts w:ascii="Arial" w:eastAsia="Calibri" w:hAnsi="Arial" w:cs="Arial"/>
          <w:sz w:val="24"/>
          <w:szCs w:val="24"/>
        </w:rPr>
        <w:t>reasonable</w:t>
      </w:r>
      <w:proofErr w:type="gramEnd"/>
      <w:r w:rsidR="00640CB1" w:rsidRPr="00F45341">
        <w:rPr>
          <w:rFonts w:ascii="Arial" w:eastAsia="Calibri" w:hAnsi="Arial" w:cs="Arial"/>
          <w:sz w:val="24"/>
          <w:szCs w:val="24"/>
        </w:rPr>
        <w:t xml:space="preserve"> and procedurally fair. </w:t>
      </w:r>
      <w:r w:rsidR="00C80C72" w:rsidRPr="00F45341">
        <w:rPr>
          <w:rFonts w:ascii="Arial" w:eastAsia="Calibri" w:hAnsi="Arial" w:cs="Arial"/>
          <w:sz w:val="24"/>
          <w:szCs w:val="24"/>
        </w:rPr>
        <w:t xml:space="preserve">Therefore, </w:t>
      </w:r>
      <w:proofErr w:type="gramStart"/>
      <w:r w:rsidR="00C80C72" w:rsidRPr="00F45341">
        <w:rPr>
          <w:rFonts w:ascii="Arial" w:eastAsia="Calibri" w:hAnsi="Arial" w:cs="Arial"/>
          <w:sz w:val="24"/>
          <w:szCs w:val="24"/>
        </w:rPr>
        <w:t xml:space="preserve">it </w:t>
      </w:r>
      <w:r w:rsidR="00640CB1" w:rsidRPr="00F45341">
        <w:rPr>
          <w:rFonts w:ascii="Arial" w:eastAsia="Calibri" w:hAnsi="Arial" w:cs="Arial"/>
          <w:sz w:val="24"/>
          <w:szCs w:val="24"/>
        </w:rPr>
        <w:t xml:space="preserve"> follows</w:t>
      </w:r>
      <w:proofErr w:type="gramEnd"/>
      <w:r w:rsidR="00640CB1" w:rsidRPr="00F45341">
        <w:rPr>
          <w:rFonts w:ascii="Arial" w:eastAsia="Calibri" w:hAnsi="Arial" w:cs="Arial"/>
          <w:sz w:val="24"/>
          <w:szCs w:val="24"/>
        </w:rPr>
        <w:t xml:space="preserve"> that such decision is subject to be reviewed in terms of s 6 (2) and (3) of the</w:t>
      </w:r>
      <w:r w:rsidR="001724D7" w:rsidRPr="00F45341">
        <w:rPr>
          <w:rFonts w:ascii="Arial" w:eastAsia="Calibri" w:hAnsi="Arial" w:cs="Arial"/>
          <w:sz w:val="24"/>
          <w:szCs w:val="24"/>
        </w:rPr>
        <w:t xml:space="preserve"> PAJA.</w:t>
      </w:r>
      <w:r w:rsidR="00640CB1" w:rsidRPr="00F45341">
        <w:rPr>
          <w:rFonts w:ascii="Arial" w:eastAsia="Calibri" w:hAnsi="Arial" w:cs="Arial"/>
          <w:sz w:val="24"/>
          <w:szCs w:val="24"/>
        </w:rPr>
        <w:t>.</w:t>
      </w:r>
    </w:p>
    <w:p w14:paraId="4C1BBDE9" w14:textId="77777777" w:rsidR="001724D7" w:rsidRPr="00F45341" w:rsidRDefault="001724D7" w:rsidP="00F45341">
      <w:pPr>
        <w:spacing w:line="240" w:lineRule="auto"/>
        <w:contextualSpacing/>
        <w:jc w:val="both"/>
        <w:rPr>
          <w:rFonts w:ascii="Arial" w:eastAsia="Calibri" w:hAnsi="Arial" w:cs="Arial"/>
          <w:sz w:val="24"/>
          <w:szCs w:val="24"/>
        </w:rPr>
      </w:pPr>
    </w:p>
    <w:p w14:paraId="5F5163F7" w14:textId="77777777" w:rsidR="001724D7" w:rsidRPr="00F45341" w:rsidRDefault="001724D7" w:rsidP="00F45341">
      <w:pPr>
        <w:spacing w:line="240" w:lineRule="auto"/>
        <w:contextualSpacing/>
        <w:jc w:val="both"/>
        <w:rPr>
          <w:rFonts w:ascii="Arial" w:eastAsia="Calibri" w:hAnsi="Arial" w:cs="Arial"/>
          <w:b/>
          <w:sz w:val="24"/>
          <w:szCs w:val="24"/>
        </w:rPr>
      </w:pPr>
      <w:r w:rsidRPr="00F45341">
        <w:rPr>
          <w:rFonts w:ascii="Arial" w:eastAsia="Calibri" w:hAnsi="Arial" w:cs="Arial"/>
          <w:b/>
          <w:sz w:val="24"/>
          <w:szCs w:val="24"/>
        </w:rPr>
        <w:t>Order</w:t>
      </w:r>
    </w:p>
    <w:p w14:paraId="5074F024" w14:textId="77777777" w:rsidR="000F36AE" w:rsidRPr="00F45341" w:rsidRDefault="000F36AE" w:rsidP="00F45341">
      <w:pPr>
        <w:spacing w:line="240" w:lineRule="auto"/>
        <w:contextualSpacing/>
        <w:jc w:val="both"/>
        <w:rPr>
          <w:rFonts w:ascii="Arial" w:eastAsia="Calibri" w:hAnsi="Arial" w:cs="Arial"/>
          <w:sz w:val="24"/>
          <w:szCs w:val="24"/>
        </w:rPr>
      </w:pPr>
    </w:p>
    <w:p w14:paraId="312D871F" w14:textId="77777777" w:rsidR="00060923" w:rsidRPr="00F45341" w:rsidRDefault="00AC6123" w:rsidP="00F45341">
      <w:pPr>
        <w:spacing w:line="240" w:lineRule="auto"/>
        <w:contextualSpacing/>
        <w:jc w:val="both"/>
        <w:rPr>
          <w:rFonts w:ascii="Arial" w:eastAsia="Calibri" w:hAnsi="Arial" w:cs="Arial"/>
          <w:sz w:val="24"/>
          <w:szCs w:val="24"/>
        </w:rPr>
      </w:pPr>
      <w:r w:rsidRPr="00F45341">
        <w:rPr>
          <w:rFonts w:ascii="Arial" w:eastAsia="Calibri" w:hAnsi="Arial" w:cs="Arial"/>
          <w:sz w:val="24"/>
          <w:szCs w:val="24"/>
        </w:rPr>
        <w:t>[35]</w:t>
      </w:r>
      <w:r w:rsidRPr="00F45341">
        <w:rPr>
          <w:rFonts w:ascii="Arial" w:eastAsia="Calibri" w:hAnsi="Arial" w:cs="Arial"/>
          <w:sz w:val="24"/>
          <w:szCs w:val="24"/>
        </w:rPr>
        <w:tab/>
      </w:r>
      <w:r w:rsidR="001724D7" w:rsidRPr="00F45341">
        <w:rPr>
          <w:rFonts w:ascii="Arial" w:eastAsia="Calibri" w:hAnsi="Arial" w:cs="Arial"/>
          <w:sz w:val="24"/>
          <w:szCs w:val="24"/>
        </w:rPr>
        <w:t xml:space="preserve"> In the circumstances, I make the following order:</w:t>
      </w:r>
    </w:p>
    <w:p w14:paraId="3AA57545" w14:textId="77777777" w:rsidR="000D752B" w:rsidRPr="00F45341" w:rsidRDefault="000D752B" w:rsidP="00F45341">
      <w:pPr>
        <w:spacing w:line="240" w:lineRule="auto"/>
        <w:contextualSpacing/>
        <w:jc w:val="both"/>
        <w:rPr>
          <w:rFonts w:ascii="Arial" w:eastAsia="Calibri" w:hAnsi="Arial" w:cs="Arial"/>
          <w:sz w:val="24"/>
          <w:szCs w:val="24"/>
        </w:rPr>
      </w:pPr>
    </w:p>
    <w:p w14:paraId="7890BD11" w14:textId="7540C8CD"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1.</w:t>
      </w:r>
      <w:r w:rsidRPr="00F45341">
        <w:rPr>
          <w:rFonts w:ascii="Arial" w:eastAsia="Calibri" w:hAnsi="Arial" w:cs="Arial"/>
          <w:sz w:val="24"/>
          <w:szCs w:val="24"/>
        </w:rPr>
        <w:tab/>
      </w:r>
      <w:r w:rsidR="00556AD3" w:rsidRPr="00F45341">
        <w:rPr>
          <w:rFonts w:ascii="Arial" w:eastAsia="Calibri" w:hAnsi="Arial" w:cs="Arial"/>
          <w:sz w:val="24"/>
          <w:szCs w:val="24"/>
        </w:rPr>
        <w:t xml:space="preserve">The decision of the first and/or second and/or third and/or fourth respondents to appoint the fifth respondent as caretaker of forestry operations on the land known as: Remainder of Subdivision 13 of the Farm </w:t>
      </w:r>
      <w:proofErr w:type="spellStart"/>
      <w:r w:rsidR="00556AD3" w:rsidRPr="00F45341">
        <w:rPr>
          <w:rFonts w:ascii="Arial" w:eastAsia="Calibri" w:hAnsi="Arial" w:cs="Arial"/>
          <w:sz w:val="24"/>
          <w:szCs w:val="24"/>
        </w:rPr>
        <w:t>Grootgewacht</w:t>
      </w:r>
      <w:proofErr w:type="spellEnd"/>
      <w:r w:rsidR="00556AD3" w:rsidRPr="00F45341">
        <w:rPr>
          <w:rFonts w:ascii="Arial" w:eastAsia="Calibri" w:hAnsi="Arial" w:cs="Arial"/>
          <w:sz w:val="24"/>
          <w:szCs w:val="24"/>
        </w:rPr>
        <w:t xml:space="preserve"> No.76 and Leasehold No.7 over the Remainder of Vryheid Townlands No.6711 at a Council meeting on 20 November 2020 and any possible agreement/s concluded in this regard are reviewed and set aside.</w:t>
      </w:r>
    </w:p>
    <w:p w14:paraId="63B22FAF" w14:textId="77777777" w:rsidR="00556AD3" w:rsidRPr="00F45341" w:rsidRDefault="00556AD3" w:rsidP="00F45341">
      <w:pPr>
        <w:pStyle w:val="ListParagraph"/>
        <w:spacing w:line="240" w:lineRule="auto"/>
        <w:ind w:left="1080"/>
        <w:jc w:val="both"/>
        <w:rPr>
          <w:rFonts w:ascii="Arial" w:eastAsia="Calibri" w:hAnsi="Arial" w:cs="Arial"/>
          <w:sz w:val="24"/>
          <w:szCs w:val="24"/>
        </w:rPr>
      </w:pPr>
    </w:p>
    <w:p w14:paraId="45DC25D0" w14:textId="4FB5C87C"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2.</w:t>
      </w:r>
      <w:r w:rsidRPr="00F45341">
        <w:rPr>
          <w:rFonts w:ascii="Arial" w:eastAsia="Calibri" w:hAnsi="Arial" w:cs="Arial"/>
          <w:sz w:val="24"/>
          <w:szCs w:val="24"/>
        </w:rPr>
        <w:tab/>
      </w:r>
      <w:r w:rsidR="00556AD3" w:rsidRPr="00F45341">
        <w:rPr>
          <w:rFonts w:ascii="Arial" w:eastAsia="Calibri" w:hAnsi="Arial" w:cs="Arial"/>
          <w:sz w:val="24"/>
          <w:szCs w:val="24"/>
        </w:rPr>
        <w:t>The fifth respondent is divested of all profits derived from the decision and possible agreement/s mentioned in the prayer 1</w:t>
      </w:r>
      <w:r w:rsidR="000A5263" w:rsidRPr="00F45341">
        <w:rPr>
          <w:rFonts w:ascii="Arial" w:eastAsia="Calibri" w:hAnsi="Arial" w:cs="Arial"/>
          <w:sz w:val="24"/>
          <w:szCs w:val="24"/>
        </w:rPr>
        <w:t xml:space="preserve"> </w:t>
      </w:r>
      <w:proofErr w:type="gramStart"/>
      <w:r w:rsidR="000A5263" w:rsidRPr="00F45341">
        <w:rPr>
          <w:rFonts w:ascii="Arial" w:eastAsia="Calibri" w:hAnsi="Arial" w:cs="Arial"/>
          <w:sz w:val="24"/>
          <w:szCs w:val="24"/>
        </w:rPr>
        <w:t>above</w:t>
      </w:r>
      <w:r w:rsidR="00556AD3" w:rsidRPr="00F45341">
        <w:rPr>
          <w:rFonts w:ascii="Arial" w:eastAsia="Calibri" w:hAnsi="Arial" w:cs="Arial"/>
          <w:sz w:val="24"/>
          <w:szCs w:val="24"/>
        </w:rPr>
        <w:t>..</w:t>
      </w:r>
      <w:proofErr w:type="gramEnd"/>
    </w:p>
    <w:p w14:paraId="29A38337" w14:textId="77777777" w:rsidR="00556AD3" w:rsidRPr="00F45341" w:rsidRDefault="00556AD3" w:rsidP="00F45341">
      <w:pPr>
        <w:pStyle w:val="ListParagraph"/>
        <w:spacing w:line="240" w:lineRule="auto"/>
        <w:rPr>
          <w:rFonts w:ascii="Arial" w:eastAsia="Calibri" w:hAnsi="Arial" w:cs="Arial"/>
          <w:sz w:val="24"/>
          <w:szCs w:val="24"/>
        </w:rPr>
      </w:pPr>
    </w:p>
    <w:p w14:paraId="00EDA8FB" w14:textId="4BC5D310"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3.</w:t>
      </w:r>
      <w:r w:rsidRPr="00F45341">
        <w:rPr>
          <w:rFonts w:ascii="Arial" w:eastAsia="Calibri" w:hAnsi="Arial" w:cs="Arial"/>
          <w:sz w:val="24"/>
          <w:szCs w:val="24"/>
        </w:rPr>
        <w:tab/>
      </w:r>
      <w:r w:rsidR="00556AD3" w:rsidRPr="00F45341">
        <w:rPr>
          <w:rFonts w:ascii="Arial" w:eastAsia="Calibri" w:hAnsi="Arial" w:cs="Arial"/>
          <w:sz w:val="24"/>
          <w:szCs w:val="24"/>
        </w:rPr>
        <w:t xml:space="preserve">The first, second, third and fourth respondents are ordered to conduct a survey on the affected land and to file a report and a comprehensive statement indicating the value of all wood harvested by the fifth respondent (supported by expert report/s, if required) within 30 calendar days from the date of this order. The said report/s and statement/s shall indicate at least the size of each areas/blocks harvested, the types/species of tree concerned, approximate age of the trees, estimated or actual weight harvested and commercial value per ton. The said report/s and statement/s shall be filed with the honourable court and served on the applicant through its attorneys and on the fifth respondent at his address, which </w:t>
      </w:r>
      <w:proofErr w:type="gramStart"/>
      <w:r w:rsidR="00556AD3" w:rsidRPr="00F45341">
        <w:rPr>
          <w:rFonts w:ascii="Arial" w:eastAsia="Calibri" w:hAnsi="Arial" w:cs="Arial"/>
          <w:sz w:val="24"/>
          <w:szCs w:val="24"/>
        </w:rPr>
        <w:t>is  3</w:t>
      </w:r>
      <w:proofErr w:type="gramEnd"/>
      <w:r w:rsidR="00556AD3" w:rsidRPr="00F45341">
        <w:rPr>
          <w:rFonts w:ascii="Arial" w:eastAsia="Calibri" w:hAnsi="Arial" w:cs="Arial"/>
          <w:sz w:val="24"/>
          <w:szCs w:val="24"/>
        </w:rPr>
        <w:t xml:space="preserve"> Steenbok Street, Vryheid.</w:t>
      </w:r>
    </w:p>
    <w:p w14:paraId="38784A0D" w14:textId="77777777" w:rsidR="00556AD3" w:rsidRPr="00F45341" w:rsidRDefault="00556AD3" w:rsidP="00F45341">
      <w:pPr>
        <w:pStyle w:val="ListParagraph"/>
        <w:spacing w:line="240" w:lineRule="auto"/>
        <w:ind w:left="1080"/>
        <w:jc w:val="both"/>
        <w:rPr>
          <w:rFonts w:ascii="Arial" w:eastAsia="Calibri" w:hAnsi="Arial" w:cs="Arial"/>
          <w:sz w:val="24"/>
          <w:szCs w:val="24"/>
        </w:rPr>
      </w:pPr>
    </w:p>
    <w:p w14:paraId="79BD9648" w14:textId="168F31C9"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4.</w:t>
      </w:r>
      <w:r w:rsidRPr="00F45341">
        <w:rPr>
          <w:rFonts w:ascii="Arial" w:eastAsia="Calibri" w:hAnsi="Arial" w:cs="Arial"/>
          <w:sz w:val="24"/>
          <w:szCs w:val="24"/>
        </w:rPr>
        <w:tab/>
      </w:r>
      <w:r w:rsidR="00556AD3" w:rsidRPr="00F45341">
        <w:rPr>
          <w:rFonts w:ascii="Arial" w:eastAsia="Calibri" w:hAnsi="Arial" w:cs="Arial"/>
          <w:sz w:val="24"/>
          <w:szCs w:val="24"/>
        </w:rPr>
        <w:t>The applicant may enter the relevant land and may conduct a survey of its own and compile a report/s and/or statement/s of its own within 30 calendar days of receipt of the report/s and statement/s referenced in prayer 3</w:t>
      </w:r>
      <w:r w:rsidR="000A5263" w:rsidRPr="00F45341">
        <w:rPr>
          <w:rFonts w:ascii="Arial" w:eastAsia="Calibri" w:hAnsi="Arial" w:cs="Arial"/>
          <w:sz w:val="24"/>
          <w:szCs w:val="24"/>
        </w:rPr>
        <w:t xml:space="preserve"> above</w:t>
      </w:r>
      <w:r w:rsidR="00556AD3" w:rsidRPr="00F45341">
        <w:rPr>
          <w:rFonts w:ascii="Arial" w:eastAsia="Calibri" w:hAnsi="Arial" w:cs="Arial"/>
          <w:sz w:val="24"/>
          <w:szCs w:val="24"/>
        </w:rPr>
        <w:t xml:space="preserve">, in the event that the accuracy of the reports </w:t>
      </w:r>
      <w:proofErr w:type="gramStart"/>
      <w:r w:rsidR="00556AD3" w:rsidRPr="00F45341">
        <w:rPr>
          <w:rFonts w:ascii="Arial" w:eastAsia="Calibri" w:hAnsi="Arial" w:cs="Arial"/>
          <w:sz w:val="24"/>
          <w:szCs w:val="24"/>
        </w:rPr>
        <w:t>is  disputed</w:t>
      </w:r>
      <w:proofErr w:type="gramEnd"/>
      <w:r w:rsidR="00556AD3" w:rsidRPr="00F45341">
        <w:rPr>
          <w:rFonts w:ascii="Arial" w:eastAsia="Calibri" w:hAnsi="Arial" w:cs="Arial"/>
          <w:sz w:val="24"/>
          <w:szCs w:val="24"/>
        </w:rPr>
        <w:t xml:space="preserve">. Should such documents be compiled by the applicant, they shall also be filed with the court and served on the first, second, third and fourth respondents through their attorneys and on the fifth respondent at his address, which </w:t>
      </w:r>
      <w:proofErr w:type="gramStart"/>
      <w:r w:rsidR="00556AD3" w:rsidRPr="00F45341">
        <w:rPr>
          <w:rFonts w:ascii="Arial" w:eastAsia="Calibri" w:hAnsi="Arial" w:cs="Arial"/>
          <w:sz w:val="24"/>
          <w:szCs w:val="24"/>
        </w:rPr>
        <w:t>is  3</w:t>
      </w:r>
      <w:proofErr w:type="gramEnd"/>
      <w:r w:rsidR="00556AD3" w:rsidRPr="00F45341">
        <w:rPr>
          <w:rFonts w:ascii="Arial" w:eastAsia="Calibri" w:hAnsi="Arial" w:cs="Arial"/>
          <w:sz w:val="24"/>
          <w:szCs w:val="24"/>
        </w:rPr>
        <w:t xml:space="preserve"> Steenbok Street, Vryheid.</w:t>
      </w:r>
    </w:p>
    <w:p w14:paraId="793B5159" w14:textId="77777777" w:rsidR="00556AD3" w:rsidRPr="00F45341" w:rsidRDefault="00556AD3" w:rsidP="00F45341">
      <w:pPr>
        <w:pStyle w:val="ListParagraph"/>
        <w:spacing w:line="240" w:lineRule="auto"/>
        <w:rPr>
          <w:rFonts w:ascii="Arial" w:eastAsia="Calibri" w:hAnsi="Arial" w:cs="Arial"/>
          <w:sz w:val="24"/>
          <w:szCs w:val="24"/>
        </w:rPr>
      </w:pPr>
    </w:p>
    <w:p w14:paraId="73ACB3A6" w14:textId="79796A25"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5.</w:t>
      </w:r>
      <w:r w:rsidRPr="00F45341">
        <w:rPr>
          <w:rFonts w:ascii="Arial" w:eastAsia="Calibri" w:hAnsi="Arial" w:cs="Arial"/>
          <w:sz w:val="24"/>
          <w:szCs w:val="24"/>
        </w:rPr>
        <w:tab/>
      </w:r>
      <w:r w:rsidR="00556AD3" w:rsidRPr="00F45341">
        <w:rPr>
          <w:rFonts w:ascii="Arial" w:eastAsia="Calibri" w:hAnsi="Arial" w:cs="Arial"/>
          <w:sz w:val="24"/>
          <w:szCs w:val="24"/>
        </w:rPr>
        <w:t>If the fifth respondent wishes to deduct any actual expen</w:t>
      </w:r>
      <w:r w:rsidR="007015C3" w:rsidRPr="00F45341">
        <w:rPr>
          <w:rFonts w:ascii="Arial" w:eastAsia="Calibri" w:hAnsi="Arial" w:cs="Arial"/>
          <w:sz w:val="24"/>
          <w:szCs w:val="24"/>
        </w:rPr>
        <w:t>s</w:t>
      </w:r>
      <w:r w:rsidR="00556AD3" w:rsidRPr="00F45341">
        <w:rPr>
          <w:rFonts w:ascii="Arial" w:eastAsia="Calibri" w:hAnsi="Arial" w:cs="Arial"/>
          <w:sz w:val="24"/>
          <w:szCs w:val="24"/>
        </w:rPr>
        <w:t>es/loss incurred during the harvesting or handling of the wood concerned, he shall file a statement/s detailing all such expen</w:t>
      </w:r>
      <w:r w:rsidR="007015C3" w:rsidRPr="00F45341">
        <w:rPr>
          <w:rFonts w:ascii="Arial" w:eastAsia="Calibri" w:hAnsi="Arial" w:cs="Arial"/>
          <w:sz w:val="24"/>
          <w:szCs w:val="24"/>
        </w:rPr>
        <w:t>s</w:t>
      </w:r>
      <w:r w:rsidR="00556AD3" w:rsidRPr="00F45341">
        <w:rPr>
          <w:rFonts w:ascii="Arial" w:eastAsia="Calibri" w:hAnsi="Arial" w:cs="Arial"/>
          <w:sz w:val="24"/>
          <w:szCs w:val="24"/>
        </w:rPr>
        <w:t>es/losses, with supporting vouchers and documents (and possible expert evidence) indicating all alleged expenditure/losses within 30 calendar days of service of this order on him at his address being 3 Steenbok Street, Vryheid. Such documents shall be filed with the court and applicant, and first to fourth respondents through their respective attorneys.</w:t>
      </w:r>
    </w:p>
    <w:p w14:paraId="4374CBEF" w14:textId="77777777" w:rsidR="00556AD3" w:rsidRPr="00F45341" w:rsidRDefault="00556AD3" w:rsidP="00F45341">
      <w:pPr>
        <w:pStyle w:val="ListParagraph"/>
        <w:spacing w:line="240" w:lineRule="auto"/>
        <w:ind w:left="1080"/>
        <w:jc w:val="both"/>
        <w:rPr>
          <w:rFonts w:ascii="Arial" w:eastAsia="Calibri" w:hAnsi="Arial" w:cs="Arial"/>
          <w:sz w:val="24"/>
          <w:szCs w:val="24"/>
        </w:rPr>
      </w:pPr>
    </w:p>
    <w:p w14:paraId="72C06790" w14:textId="5D71E9DB"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6.</w:t>
      </w:r>
      <w:r w:rsidRPr="00F45341">
        <w:rPr>
          <w:rFonts w:ascii="Arial" w:eastAsia="Calibri" w:hAnsi="Arial" w:cs="Arial"/>
          <w:sz w:val="24"/>
          <w:szCs w:val="24"/>
        </w:rPr>
        <w:tab/>
      </w:r>
      <w:r w:rsidR="00556AD3" w:rsidRPr="00F45341">
        <w:rPr>
          <w:rFonts w:ascii="Arial" w:eastAsia="Calibri" w:hAnsi="Arial" w:cs="Arial"/>
          <w:sz w:val="24"/>
          <w:szCs w:val="24"/>
        </w:rPr>
        <w:t>All possible expert witnesses engaged shall file joint minutes within 15 calendar days from the date of filing of the last report in terms of this order, or the date on which such report would be due.</w:t>
      </w:r>
    </w:p>
    <w:p w14:paraId="5A51F40D" w14:textId="77777777" w:rsidR="00556AD3" w:rsidRPr="00F45341" w:rsidRDefault="00556AD3" w:rsidP="00F45341">
      <w:pPr>
        <w:pStyle w:val="ListParagraph"/>
        <w:spacing w:line="240" w:lineRule="auto"/>
        <w:jc w:val="both"/>
        <w:rPr>
          <w:rFonts w:ascii="Arial" w:eastAsia="Calibri" w:hAnsi="Arial" w:cs="Arial"/>
          <w:sz w:val="24"/>
          <w:szCs w:val="24"/>
        </w:rPr>
      </w:pPr>
    </w:p>
    <w:p w14:paraId="150C7091" w14:textId="2BC96F91"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7.</w:t>
      </w:r>
      <w:r w:rsidRPr="00F45341">
        <w:rPr>
          <w:rFonts w:ascii="Arial" w:eastAsia="Calibri" w:hAnsi="Arial" w:cs="Arial"/>
          <w:sz w:val="24"/>
          <w:szCs w:val="24"/>
        </w:rPr>
        <w:tab/>
      </w:r>
      <w:r w:rsidR="00556AD3" w:rsidRPr="00F45341">
        <w:rPr>
          <w:rFonts w:ascii="Arial" w:eastAsia="Calibri" w:hAnsi="Arial" w:cs="Arial"/>
          <w:sz w:val="24"/>
          <w:szCs w:val="24"/>
        </w:rPr>
        <w:t>On the day for filing of joint minutes all parties will indicate in writing if they dispute the expen</w:t>
      </w:r>
      <w:r w:rsidR="007015C3" w:rsidRPr="00F45341">
        <w:rPr>
          <w:rFonts w:ascii="Arial" w:eastAsia="Calibri" w:hAnsi="Arial" w:cs="Arial"/>
          <w:sz w:val="24"/>
          <w:szCs w:val="24"/>
        </w:rPr>
        <w:t>s</w:t>
      </w:r>
      <w:r w:rsidR="00556AD3" w:rsidRPr="00F45341">
        <w:rPr>
          <w:rFonts w:ascii="Arial" w:eastAsia="Calibri" w:hAnsi="Arial" w:cs="Arial"/>
          <w:sz w:val="24"/>
          <w:szCs w:val="24"/>
        </w:rPr>
        <w:t>es/losses that the fifth respondent might claim to have incurred/suffered and indicate which amount/s or items are disputed.</w:t>
      </w:r>
    </w:p>
    <w:p w14:paraId="194715FD" w14:textId="77777777" w:rsidR="00556AD3" w:rsidRPr="00F45341" w:rsidRDefault="00556AD3" w:rsidP="00F45341">
      <w:pPr>
        <w:pStyle w:val="ListParagraph"/>
        <w:spacing w:line="240" w:lineRule="auto"/>
        <w:jc w:val="both"/>
        <w:rPr>
          <w:rFonts w:ascii="Arial" w:eastAsia="Calibri" w:hAnsi="Arial" w:cs="Arial"/>
          <w:sz w:val="24"/>
          <w:szCs w:val="24"/>
        </w:rPr>
      </w:pPr>
    </w:p>
    <w:p w14:paraId="57233DEF" w14:textId="5F4AA346"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8.</w:t>
      </w:r>
      <w:r w:rsidRPr="00F45341">
        <w:rPr>
          <w:rFonts w:ascii="Arial" w:eastAsia="Calibri" w:hAnsi="Arial" w:cs="Arial"/>
          <w:sz w:val="24"/>
          <w:szCs w:val="24"/>
        </w:rPr>
        <w:tab/>
      </w:r>
      <w:proofErr w:type="gramStart"/>
      <w:r w:rsidR="00556AD3" w:rsidRPr="00F45341">
        <w:rPr>
          <w:rFonts w:ascii="Arial" w:eastAsia="Calibri" w:hAnsi="Arial" w:cs="Arial"/>
          <w:sz w:val="24"/>
          <w:szCs w:val="24"/>
        </w:rPr>
        <w:t>In the event that</w:t>
      </w:r>
      <w:proofErr w:type="gramEnd"/>
      <w:r w:rsidR="00556AD3" w:rsidRPr="00F45341">
        <w:rPr>
          <w:rFonts w:ascii="Arial" w:eastAsia="Calibri" w:hAnsi="Arial" w:cs="Arial"/>
          <w:sz w:val="24"/>
          <w:szCs w:val="24"/>
        </w:rPr>
        <w:t xml:space="preserve"> the amount which the fifth respondent is liable to pay to the first respondent is agreed on between the applicant and the first to fifth respondents, such agreed amount may be made an order of court for repayment. Should such amount remain disputed, any party may set the matter down for evidence for determination of the amount due. The office of the Judge President may be approached for a preferential date in this regard.</w:t>
      </w:r>
    </w:p>
    <w:p w14:paraId="7E0BEE69" w14:textId="77777777" w:rsidR="00556AD3" w:rsidRPr="00F45341" w:rsidRDefault="00556AD3" w:rsidP="00F45341">
      <w:pPr>
        <w:pStyle w:val="ListParagraph"/>
        <w:spacing w:line="240" w:lineRule="auto"/>
        <w:jc w:val="both"/>
        <w:rPr>
          <w:rFonts w:ascii="Arial" w:eastAsia="Calibri" w:hAnsi="Arial" w:cs="Arial"/>
          <w:sz w:val="24"/>
          <w:szCs w:val="24"/>
        </w:rPr>
      </w:pPr>
    </w:p>
    <w:p w14:paraId="2AC62443" w14:textId="79CFC926" w:rsidR="00556AD3" w:rsidRPr="00F45341" w:rsidRDefault="00D342BA" w:rsidP="00F45341">
      <w:pPr>
        <w:spacing w:before="240" w:line="240" w:lineRule="auto"/>
        <w:ind w:left="785" w:hanging="360"/>
        <w:jc w:val="both"/>
        <w:rPr>
          <w:rFonts w:ascii="Arial" w:eastAsia="Calibri" w:hAnsi="Arial" w:cs="Arial"/>
          <w:sz w:val="24"/>
          <w:szCs w:val="24"/>
        </w:rPr>
      </w:pPr>
      <w:r w:rsidRPr="00F45341">
        <w:rPr>
          <w:rFonts w:ascii="Arial" w:eastAsia="Calibri" w:hAnsi="Arial" w:cs="Arial"/>
          <w:sz w:val="24"/>
          <w:szCs w:val="24"/>
        </w:rPr>
        <w:t>9.</w:t>
      </w:r>
      <w:r w:rsidRPr="00F45341">
        <w:rPr>
          <w:rFonts w:ascii="Arial" w:eastAsia="Calibri" w:hAnsi="Arial" w:cs="Arial"/>
          <w:sz w:val="24"/>
          <w:szCs w:val="24"/>
        </w:rPr>
        <w:tab/>
      </w:r>
      <w:r w:rsidR="00556AD3" w:rsidRPr="00F45341">
        <w:rPr>
          <w:rFonts w:ascii="Arial" w:eastAsia="Calibri" w:hAnsi="Arial" w:cs="Arial"/>
          <w:sz w:val="24"/>
          <w:szCs w:val="24"/>
        </w:rPr>
        <w:t>After the amount payable by the fifth respondent to the first respondent is determined, the first, second, third and fourth respondents are ordered to pursue all valid forms of taxation, including possible sequestration, to obtain payment of any amount due without delay. In this regard the first, second, third and fourth respondents shall report to the court and the applicant in writing every 60 calendar days from date of determination of the final amount on progress in retrieving payment.</w:t>
      </w:r>
    </w:p>
    <w:p w14:paraId="0E69EA65" w14:textId="77777777" w:rsidR="00556AD3" w:rsidRPr="00F45341" w:rsidRDefault="00556AD3" w:rsidP="00F45341">
      <w:pPr>
        <w:pStyle w:val="ListParagraph"/>
        <w:spacing w:line="240" w:lineRule="auto"/>
        <w:rPr>
          <w:rFonts w:ascii="Arial" w:eastAsia="Calibri" w:hAnsi="Arial" w:cs="Arial"/>
          <w:sz w:val="24"/>
          <w:szCs w:val="24"/>
        </w:rPr>
      </w:pPr>
    </w:p>
    <w:p w14:paraId="1051E62F" w14:textId="16728833" w:rsidR="00556AD3" w:rsidRPr="00F45341" w:rsidRDefault="00D342BA" w:rsidP="00F45341">
      <w:pPr>
        <w:spacing w:before="240" w:line="240" w:lineRule="auto"/>
        <w:ind w:left="785" w:hanging="360"/>
        <w:jc w:val="both"/>
        <w:rPr>
          <w:rFonts w:ascii="Arial" w:eastAsia="Calibri" w:hAnsi="Arial" w:cs="Arial"/>
          <w:sz w:val="24"/>
          <w:szCs w:val="24"/>
        </w:rPr>
      </w:pPr>
      <w:r w:rsidRPr="00F45341">
        <w:rPr>
          <w:rFonts w:ascii="Arial" w:eastAsia="Calibri" w:hAnsi="Arial" w:cs="Arial"/>
          <w:sz w:val="24"/>
          <w:szCs w:val="24"/>
        </w:rPr>
        <w:t>10.</w:t>
      </w:r>
      <w:r w:rsidRPr="00F45341">
        <w:rPr>
          <w:rFonts w:ascii="Arial" w:eastAsia="Calibri" w:hAnsi="Arial" w:cs="Arial"/>
          <w:sz w:val="24"/>
          <w:szCs w:val="24"/>
        </w:rPr>
        <w:tab/>
      </w:r>
      <w:r w:rsidR="00556AD3" w:rsidRPr="00F45341">
        <w:rPr>
          <w:rFonts w:ascii="Arial" w:eastAsia="Calibri" w:hAnsi="Arial" w:cs="Arial"/>
          <w:sz w:val="24"/>
          <w:szCs w:val="24"/>
        </w:rPr>
        <w:t xml:space="preserve">The first, second, third and fourth respondents shall report to the court and the applicant every 30 calendar days on the status of the final award of the right to harvest the relevant plantation land concerned, until it is reported that a final appointment has been </w:t>
      </w:r>
      <w:proofErr w:type="gramStart"/>
      <w:r w:rsidR="00556AD3" w:rsidRPr="00F45341">
        <w:rPr>
          <w:rFonts w:ascii="Arial" w:eastAsia="Calibri" w:hAnsi="Arial" w:cs="Arial"/>
          <w:sz w:val="24"/>
          <w:szCs w:val="24"/>
        </w:rPr>
        <w:t>made;</w:t>
      </w:r>
      <w:proofErr w:type="gramEnd"/>
    </w:p>
    <w:p w14:paraId="30F8431C" w14:textId="77777777" w:rsidR="00556AD3" w:rsidRPr="00F45341" w:rsidRDefault="00556AD3" w:rsidP="00F45341">
      <w:pPr>
        <w:pStyle w:val="ListParagraph"/>
        <w:spacing w:before="240" w:line="240" w:lineRule="auto"/>
        <w:jc w:val="both"/>
        <w:rPr>
          <w:rFonts w:ascii="Arial" w:eastAsia="Calibri" w:hAnsi="Arial" w:cs="Arial"/>
          <w:sz w:val="24"/>
          <w:szCs w:val="24"/>
        </w:rPr>
      </w:pPr>
    </w:p>
    <w:p w14:paraId="3F335F31" w14:textId="215D491F" w:rsidR="00556AD3" w:rsidRPr="00F45341" w:rsidRDefault="00D342BA" w:rsidP="00F45341">
      <w:pPr>
        <w:spacing w:line="240" w:lineRule="auto"/>
        <w:ind w:left="785" w:hanging="360"/>
        <w:jc w:val="both"/>
        <w:rPr>
          <w:rFonts w:ascii="Arial" w:eastAsia="Calibri" w:hAnsi="Arial" w:cs="Arial"/>
          <w:sz w:val="24"/>
          <w:szCs w:val="24"/>
        </w:rPr>
      </w:pPr>
      <w:r w:rsidRPr="00F45341">
        <w:rPr>
          <w:rFonts w:ascii="Arial" w:eastAsia="Calibri" w:hAnsi="Arial" w:cs="Arial"/>
          <w:sz w:val="24"/>
          <w:szCs w:val="24"/>
        </w:rPr>
        <w:t>11.</w:t>
      </w:r>
      <w:r w:rsidRPr="00F45341">
        <w:rPr>
          <w:rFonts w:ascii="Arial" w:eastAsia="Calibri" w:hAnsi="Arial" w:cs="Arial"/>
          <w:sz w:val="24"/>
          <w:szCs w:val="24"/>
        </w:rPr>
        <w:tab/>
      </w:r>
      <w:r w:rsidR="00556AD3" w:rsidRPr="00F45341">
        <w:rPr>
          <w:rFonts w:ascii="Arial" w:eastAsia="Calibri" w:hAnsi="Arial" w:cs="Arial"/>
          <w:sz w:val="24"/>
          <w:szCs w:val="24"/>
        </w:rPr>
        <w:t>The first respondent is ordered to pay the costs of the application.</w:t>
      </w:r>
    </w:p>
    <w:p w14:paraId="30D7A25C" w14:textId="77777777" w:rsidR="00556AD3" w:rsidRPr="00F45341" w:rsidRDefault="00556AD3" w:rsidP="00F45341">
      <w:pPr>
        <w:spacing w:line="240" w:lineRule="auto"/>
        <w:contextualSpacing/>
        <w:jc w:val="both"/>
        <w:rPr>
          <w:rFonts w:ascii="Arial" w:eastAsia="Calibri" w:hAnsi="Arial" w:cs="Arial"/>
          <w:sz w:val="24"/>
          <w:szCs w:val="24"/>
        </w:rPr>
      </w:pPr>
    </w:p>
    <w:p w14:paraId="5B7C68CE" w14:textId="77777777" w:rsidR="000A5263" w:rsidRPr="00F45341" w:rsidRDefault="000A5263" w:rsidP="00F45341">
      <w:pPr>
        <w:spacing w:line="240" w:lineRule="auto"/>
        <w:contextualSpacing/>
        <w:jc w:val="both"/>
        <w:rPr>
          <w:rFonts w:ascii="Arial" w:eastAsia="Calibri" w:hAnsi="Arial" w:cs="Arial"/>
          <w:sz w:val="24"/>
          <w:szCs w:val="24"/>
        </w:rPr>
      </w:pPr>
    </w:p>
    <w:p w14:paraId="4ECD8851" w14:textId="77777777" w:rsidR="00556AD3" w:rsidRPr="00F45341" w:rsidRDefault="00556AD3" w:rsidP="00F45341">
      <w:pPr>
        <w:spacing w:line="240" w:lineRule="auto"/>
        <w:contextualSpacing/>
        <w:jc w:val="both"/>
        <w:rPr>
          <w:rFonts w:ascii="Arial" w:eastAsia="Calibri" w:hAnsi="Arial" w:cs="Arial"/>
          <w:sz w:val="24"/>
          <w:szCs w:val="24"/>
        </w:rPr>
      </w:pPr>
    </w:p>
    <w:p w14:paraId="3DF37154" w14:textId="77777777" w:rsidR="00655218" w:rsidRPr="00F45341" w:rsidRDefault="00655218" w:rsidP="00F45341">
      <w:pPr>
        <w:spacing w:line="240" w:lineRule="auto"/>
        <w:rPr>
          <w:rFonts w:ascii="Arial" w:hAnsi="Arial" w:cs="Arial"/>
          <w:sz w:val="24"/>
          <w:szCs w:val="24"/>
        </w:rPr>
      </w:pPr>
    </w:p>
    <w:p w14:paraId="3F4F7E8E" w14:textId="77777777" w:rsidR="00655218" w:rsidRPr="00F45341" w:rsidRDefault="000B3722" w:rsidP="00F45341">
      <w:pPr>
        <w:spacing w:line="240" w:lineRule="auto"/>
        <w:jc w:val="right"/>
        <w:rPr>
          <w:rFonts w:ascii="Arial" w:hAnsi="Arial" w:cs="Arial"/>
          <w:sz w:val="24"/>
          <w:szCs w:val="24"/>
        </w:rPr>
      </w:pPr>
      <w:r w:rsidRPr="00F45341">
        <w:rPr>
          <w:rFonts w:ascii="Arial" w:hAnsi="Arial" w:cs="Arial"/>
          <w:sz w:val="24"/>
          <w:szCs w:val="24"/>
        </w:rPr>
        <w:t>___________________________</w:t>
      </w:r>
    </w:p>
    <w:p w14:paraId="67B6DBA9" w14:textId="77777777" w:rsidR="00655218" w:rsidRPr="00F45341" w:rsidRDefault="00655218" w:rsidP="00F45341">
      <w:pPr>
        <w:spacing w:line="240" w:lineRule="auto"/>
        <w:jc w:val="right"/>
        <w:rPr>
          <w:rFonts w:ascii="Arial" w:hAnsi="Arial" w:cs="Arial"/>
          <w:b/>
          <w:sz w:val="24"/>
          <w:szCs w:val="24"/>
        </w:rPr>
      </w:pPr>
      <w:r w:rsidRPr="00F45341">
        <w:rPr>
          <w:rFonts w:ascii="Arial" w:hAnsi="Arial" w:cs="Arial"/>
          <w:b/>
          <w:sz w:val="24"/>
          <w:szCs w:val="24"/>
        </w:rPr>
        <w:t>SABELA AJ</w:t>
      </w:r>
    </w:p>
    <w:p w14:paraId="6D15C692" w14:textId="77777777" w:rsidR="00560994" w:rsidRPr="00F45341" w:rsidRDefault="00560994" w:rsidP="00F45341">
      <w:pPr>
        <w:spacing w:line="240" w:lineRule="auto"/>
        <w:jc w:val="right"/>
        <w:rPr>
          <w:rFonts w:ascii="Arial" w:hAnsi="Arial" w:cs="Arial"/>
          <w:b/>
          <w:sz w:val="24"/>
          <w:szCs w:val="24"/>
        </w:rPr>
      </w:pPr>
    </w:p>
    <w:p w14:paraId="776FC99E" w14:textId="77777777" w:rsidR="00D7456E" w:rsidRPr="00F45341" w:rsidRDefault="00D7456E" w:rsidP="00F45341">
      <w:pPr>
        <w:spacing w:line="240" w:lineRule="auto"/>
        <w:rPr>
          <w:rFonts w:ascii="Arial" w:hAnsi="Arial" w:cs="Arial"/>
          <w:sz w:val="24"/>
          <w:szCs w:val="24"/>
        </w:rPr>
      </w:pPr>
    </w:p>
    <w:p w14:paraId="1696B8E6" w14:textId="77777777" w:rsidR="00D7456E" w:rsidRPr="00F45341" w:rsidRDefault="00D7456E" w:rsidP="00F45341">
      <w:pPr>
        <w:spacing w:line="240" w:lineRule="auto"/>
        <w:rPr>
          <w:rFonts w:ascii="Arial" w:hAnsi="Arial" w:cs="Arial"/>
          <w:sz w:val="24"/>
          <w:szCs w:val="24"/>
        </w:rPr>
      </w:pPr>
      <w:r w:rsidRPr="00F45341">
        <w:rPr>
          <w:rFonts w:ascii="Arial" w:hAnsi="Arial" w:cs="Arial"/>
          <w:b/>
          <w:sz w:val="24"/>
          <w:szCs w:val="24"/>
          <w:u w:val="single"/>
        </w:rPr>
        <w:t xml:space="preserve">CASE INFORMATION </w:t>
      </w:r>
    </w:p>
    <w:p w14:paraId="2F4004D4" w14:textId="77777777" w:rsidR="00D7456E" w:rsidRPr="00F45341" w:rsidRDefault="00D7456E" w:rsidP="00F45341">
      <w:pPr>
        <w:spacing w:line="240" w:lineRule="auto"/>
        <w:ind w:left="1440" w:hanging="720"/>
        <w:rPr>
          <w:rFonts w:ascii="Arial" w:hAnsi="Arial" w:cs="Arial"/>
          <w:sz w:val="24"/>
          <w:szCs w:val="24"/>
        </w:rPr>
      </w:pPr>
      <w:r w:rsidRPr="00F45341">
        <w:rPr>
          <w:rFonts w:ascii="Arial" w:hAnsi="Arial" w:cs="Arial"/>
          <w:sz w:val="24"/>
          <w:szCs w:val="24"/>
        </w:rPr>
        <w:t xml:space="preserve">   </w:t>
      </w:r>
    </w:p>
    <w:p w14:paraId="46061879" w14:textId="77777777" w:rsidR="00D7456E" w:rsidRPr="00F45341" w:rsidRDefault="00D7456E" w:rsidP="00F45341">
      <w:pPr>
        <w:spacing w:line="240" w:lineRule="auto"/>
        <w:rPr>
          <w:rFonts w:ascii="Arial" w:hAnsi="Arial" w:cs="Arial"/>
          <w:sz w:val="24"/>
          <w:szCs w:val="24"/>
        </w:rPr>
      </w:pPr>
      <w:r w:rsidRPr="00F45341">
        <w:rPr>
          <w:rFonts w:ascii="Arial" w:hAnsi="Arial" w:cs="Arial"/>
          <w:sz w:val="24"/>
          <w:szCs w:val="24"/>
        </w:rPr>
        <w:t>DATE OF HEARING</w:t>
      </w:r>
      <w:r w:rsidRPr="00F45341">
        <w:rPr>
          <w:rFonts w:ascii="Arial" w:hAnsi="Arial" w:cs="Arial"/>
          <w:sz w:val="24"/>
          <w:szCs w:val="24"/>
        </w:rPr>
        <w:tab/>
      </w:r>
      <w:r w:rsidRPr="00F45341">
        <w:rPr>
          <w:rFonts w:ascii="Arial" w:hAnsi="Arial" w:cs="Arial"/>
          <w:sz w:val="24"/>
          <w:szCs w:val="24"/>
        </w:rPr>
        <w:tab/>
      </w:r>
      <w:r w:rsidRPr="00F45341">
        <w:rPr>
          <w:rFonts w:ascii="Arial" w:hAnsi="Arial" w:cs="Arial"/>
          <w:sz w:val="24"/>
          <w:szCs w:val="24"/>
        </w:rPr>
        <w:tab/>
        <w:t>:</w:t>
      </w:r>
      <w:r w:rsidRPr="00F45341">
        <w:rPr>
          <w:rFonts w:ascii="Arial" w:hAnsi="Arial" w:cs="Arial"/>
          <w:sz w:val="24"/>
          <w:szCs w:val="24"/>
        </w:rPr>
        <w:tab/>
        <w:t>07</w:t>
      </w:r>
      <w:r w:rsidR="00865AC5" w:rsidRPr="00F45341">
        <w:rPr>
          <w:rFonts w:ascii="Arial" w:hAnsi="Arial" w:cs="Arial"/>
          <w:sz w:val="24"/>
          <w:szCs w:val="24"/>
        </w:rPr>
        <w:t xml:space="preserve"> </w:t>
      </w:r>
      <w:r w:rsidRPr="00F45341">
        <w:rPr>
          <w:rFonts w:ascii="Arial" w:hAnsi="Arial" w:cs="Arial"/>
          <w:sz w:val="24"/>
          <w:szCs w:val="24"/>
        </w:rPr>
        <w:t>November 2022</w:t>
      </w:r>
    </w:p>
    <w:p w14:paraId="72E5C387" w14:textId="77777777" w:rsidR="00D7456E" w:rsidRPr="00F45341" w:rsidRDefault="00D7456E" w:rsidP="00F45341">
      <w:pPr>
        <w:spacing w:line="240" w:lineRule="auto"/>
        <w:rPr>
          <w:rFonts w:ascii="Arial" w:hAnsi="Arial" w:cs="Arial"/>
          <w:sz w:val="24"/>
          <w:szCs w:val="24"/>
        </w:rPr>
      </w:pPr>
    </w:p>
    <w:p w14:paraId="738B0F9F" w14:textId="77777777" w:rsidR="00D7456E" w:rsidRPr="00F45341" w:rsidRDefault="00D7456E" w:rsidP="00F45341">
      <w:pPr>
        <w:spacing w:line="240" w:lineRule="auto"/>
        <w:rPr>
          <w:rFonts w:ascii="Arial" w:hAnsi="Arial" w:cs="Arial"/>
          <w:sz w:val="24"/>
          <w:szCs w:val="24"/>
        </w:rPr>
      </w:pPr>
      <w:r w:rsidRPr="00F45341">
        <w:rPr>
          <w:rFonts w:ascii="Arial" w:hAnsi="Arial" w:cs="Arial"/>
          <w:sz w:val="24"/>
          <w:szCs w:val="24"/>
        </w:rPr>
        <w:t>DATE DELIVERED</w:t>
      </w:r>
      <w:r w:rsidRPr="00F45341">
        <w:rPr>
          <w:rFonts w:ascii="Arial" w:hAnsi="Arial" w:cs="Arial"/>
          <w:sz w:val="24"/>
          <w:szCs w:val="24"/>
        </w:rPr>
        <w:tab/>
      </w:r>
      <w:r w:rsidRPr="00F45341">
        <w:rPr>
          <w:rFonts w:ascii="Arial" w:hAnsi="Arial" w:cs="Arial"/>
          <w:sz w:val="24"/>
          <w:szCs w:val="24"/>
        </w:rPr>
        <w:tab/>
      </w:r>
      <w:r w:rsidRPr="00F45341">
        <w:rPr>
          <w:rFonts w:ascii="Arial" w:hAnsi="Arial" w:cs="Arial"/>
          <w:sz w:val="24"/>
          <w:szCs w:val="24"/>
        </w:rPr>
        <w:tab/>
      </w:r>
      <w:r w:rsidRPr="00F45341">
        <w:rPr>
          <w:rFonts w:ascii="Arial" w:hAnsi="Arial" w:cs="Arial"/>
          <w:sz w:val="24"/>
          <w:szCs w:val="24"/>
        </w:rPr>
        <w:tab/>
        <w:t>:</w:t>
      </w:r>
      <w:r w:rsidRPr="00F45341">
        <w:rPr>
          <w:rFonts w:ascii="Arial" w:hAnsi="Arial" w:cs="Arial"/>
          <w:sz w:val="24"/>
          <w:szCs w:val="24"/>
        </w:rPr>
        <w:tab/>
      </w:r>
      <w:r w:rsidR="000A5263" w:rsidRPr="00F45341">
        <w:rPr>
          <w:rFonts w:ascii="Arial" w:hAnsi="Arial" w:cs="Arial"/>
          <w:sz w:val="24"/>
          <w:szCs w:val="24"/>
        </w:rPr>
        <w:t>16</w:t>
      </w:r>
      <w:r w:rsidR="000B3722" w:rsidRPr="00F45341">
        <w:rPr>
          <w:rFonts w:ascii="Arial" w:hAnsi="Arial" w:cs="Arial"/>
          <w:sz w:val="24"/>
          <w:szCs w:val="24"/>
        </w:rPr>
        <w:t xml:space="preserve"> May 2024</w:t>
      </w:r>
    </w:p>
    <w:p w14:paraId="38E33116" w14:textId="77777777" w:rsidR="00D7456E" w:rsidRPr="00F45341" w:rsidRDefault="00D7456E" w:rsidP="00F45341">
      <w:pPr>
        <w:spacing w:line="240" w:lineRule="auto"/>
        <w:rPr>
          <w:rFonts w:ascii="Arial" w:hAnsi="Arial" w:cs="Arial"/>
          <w:sz w:val="24"/>
          <w:szCs w:val="24"/>
        </w:rPr>
      </w:pPr>
    </w:p>
    <w:p w14:paraId="7EDEE93D" w14:textId="77777777" w:rsidR="00D7456E" w:rsidRPr="00F45341" w:rsidRDefault="00D7456E" w:rsidP="00F45341">
      <w:pPr>
        <w:spacing w:line="240" w:lineRule="auto"/>
        <w:rPr>
          <w:rFonts w:ascii="Arial" w:hAnsi="Arial" w:cs="Arial"/>
          <w:b/>
          <w:sz w:val="24"/>
          <w:szCs w:val="24"/>
        </w:rPr>
      </w:pPr>
      <w:r w:rsidRPr="00F45341">
        <w:rPr>
          <w:rFonts w:ascii="Arial" w:hAnsi="Arial" w:cs="Arial"/>
          <w:b/>
          <w:sz w:val="24"/>
          <w:szCs w:val="24"/>
        </w:rPr>
        <w:t xml:space="preserve">APPEARANCES </w:t>
      </w:r>
    </w:p>
    <w:p w14:paraId="48A6B79B" w14:textId="77777777" w:rsidR="00D7456E" w:rsidRPr="00F45341" w:rsidRDefault="00D7456E" w:rsidP="00F45341">
      <w:pPr>
        <w:spacing w:line="240" w:lineRule="auto"/>
        <w:rPr>
          <w:rFonts w:ascii="Arial" w:hAnsi="Arial" w:cs="Arial"/>
          <w:sz w:val="24"/>
          <w:szCs w:val="24"/>
        </w:rPr>
      </w:pPr>
      <w:r w:rsidRPr="00F45341">
        <w:rPr>
          <w:rFonts w:ascii="Arial" w:hAnsi="Arial" w:cs="Arial"/>
          <w:sz w:val="24"/>
          <w:szCs w:val="24"/>
        </w:rPr>
        <w:t>COUNSEL FOR APLICANT</w:t>
      </w:r>
      <w:r w:rsidRPr="00F45341">
        <w:rPr>
          <w:rFonts w:ascii="Arial" w:hAnsi="Arial" w:cs="Arial"/>
          <w:sz w:val="24"/>
          <w:szCs w:val="24"/>
        </w:rPr>
        <w:tab/>
      </w:r>
      <w:r w:rsidRPr="00F45341">
        <w:rPr>
          <w:rFonts w:ascii="Arial" w:hAnsi="Arial" w:cs="Arial"/>
          <w:sz w:val="24"/>
          <w:szCs w:val="24"/>
        </w:rPr>
        <w:tab/>
        <w:t>:</w:t>
      </w:r>
      <w:r w:rsidRPr="00F45341">
        <w:rPr>
          <w:rFonts w:ascii="Arial" w:hAnsi="Arial" w:cs="Arial"/>
          <w:sz w:val="24"/>
          <w:szCs w:val="24"/>
        </w:rPr>
        <w:tab/>
      </w:r>
      <w:r w:rsidR="000B3722" w:rsidRPr="00F45341">
        <w:rPr>
          <w:rFonts w:ascii="Arial" w:hAnsi="Arial" w:cs="Arial"/>
          <w:sz w:val="24"/>
          <w:szCs w:val="24"/>
        </w:rPr>
        <w:t>JGC HAMMAN</w:t>
      </w:r>
    </w:p>
    <w:p w14:paraId="3EDE8542" w14:textId="77777777" w:rsidR="000A5263" w:rsidRPr="00F45341" w:rsidRDefault="00D7456E" w:rsidP="00F45341">
      <w:pPr>
        <w:spacing w:line="240" w:lineRule="auto"/>
        <w:ind w:left="2160" w:hanging="2160"/>
        <w:rPr>
          <w:rFonts w:ascii="Arial" w:hAnsi="Arial" w:cs="Arial"/>
          <w:b/>
          <w:sz w:val="24"/>
          <w:szCs w:val="24"/>
        </w:rPr>
      </w:pPr>
      <w:r w:rsidRPr="00F45341">
        <w:rPr>
          <w:rFonts w:ascii="Arial" w:hAnsi="Arial" w:cs="Arial"/>
          <w:sz w:val="24"/>
          <w:szCs w:val="24"/>
        </w:rPr>
        <w:t>INSTRUCTED BY</w:t>
      </w:r>
      <w:r w:rsidRPr="00F45341">
        <w:rPr>
          <w:rFonts w:ascii="Arial" w:hAnsi="Arial" w:cs="Arial"/>
          <w:sz w:val="24"/>
          <w:szCs w:val="24"/>
        </w:rPr>
        <w:tab/>
      </w:r>
      <w:r w:rsidRPr="00F45341">
        <w:rPr>
          <w:rFonts w:ascii="Arial" w:hAnsi="Arial" w:cs="Arial"/>
          <w:sz w:val="24"/>
          <w:szCs w:val="24"/>
        </w:rPr>
        <w:tab/>
      </w:r>
      <w:r w:rsidRPr="00F45341">
        <w:rPr>
          <w:rFonts w:ascii="Arial" w:hAnsi="Arial" w:cs="Arial"/>
          <w:sz w:val="24"/>
          <w:szCs w:val="24"/>
        </w:rPr>
        <w:tab/>
      </w:r>
      <w:r w:rsidRPr="00F45341">
        <w:rPr>
          <w:rFonts w:ascii="Arial" w:hAnsi="Arial" w:cs="Arial"/>
          <w:sz w:val="24"/>
          <w:szCs w:val="24"/>
        </w:rPr>
        <w:tab/>
        <w:t xml:space="preserve">:    </w:t>
      </w:r>
      <w:r w:rsidR="00655218" w:rsidRPr="00F45341">
        <w:rPr>
          <w:rFonts w:ascii="Arial" w:hAnsi="Arial" w:cs="Arial"/>
          <w:sz w:val="24"/>
          <w:szCs w:val="24"/>
        </w:rPr>
        <w:tab/>
      </w:r>
      <w:r w:rsidRPr="00F45341">
        <w:rPr>
          <w:rFonts w:ascii="Arial" w:hAnsi="Arial" w:cs="Arial"/>
          <w:sz w:val="24"/>
          <w:szCs w:val="24"/>
        </w:rPr>
        <w:t xml:space="preserve"> </w:t>
      </w:r>
      <w:r w:rsidR="000B3722" w:rsidRPr="00F45341">
        <w:rPr>
          <w:rFonts w:ascii="Arial" w:hAnsi="Arial" w:cs="Arial"/>
          <w:b/>
          <w:sz w:val="24"/>
          <w:szCs w:val="24"/>
        </w:rPr>
        <w:t xml:space="preserve">HUNTER SPIES INCORPORATED, </w:t>
      </w:r>
    </w:p>
    <w:p w14:paraId="79AB078B" w14:textId="77777777" w:rsidR="00D7456E" w:rsidRPr="00F45341" w:rsidRDefault="000B3722" w:rsidP="00F45341">
      <w:pPr>
        <w:spacing w:line="240" w:lineRule="auto"/>
        <w:ind w:left="4320" w:firstLine="720"/>
        <w:rPr>
          <w:rFonts w:ascii="Arial" w:hAnsi="Arial" w:cs="Arial"/>
          <w:b/>
          <w:sz w:val="24"/>
          <w:szCs w:val="24"/>
        </w:rPr>
      </w:pPr>
      <w:r w:rsidRPr="00F45341">
        <w:rPr>
          <w:rFonts w:ascii="Arial" w:hAnsi="Arial" w:cs="Arial"/>
          <w:b/>
          <w:sz w:val="24"/>
          <w:szCs w:val="24"/>
        </w:rPr>
        <w:t>PRETORIA</w:t>
      </w:r>
    </w:p>
    <w:p w14:paraId="314D6625" w14:textId="77777777" w:rsidR="00D7456E" w:rsidRPr="00F45341" w:rsidRDefault="00D7456E" w:rsidP="00F45341">
      <w:pPr>
        <w:spacing w:line="240" w:lineRule="auto"/>
        <w:rPr>
          <w:rFonts w:ascii="Arial" w:hAnsi="Arial" w:cs="Arial"/>
          <w:sz w:val="24"/>
          <w:szCs w:val="24"/>
        </w:rPr>
      </w:pPr>
      <w:r w:rsidRPr="00F45341">
        <w:rPr>
          <w:rFonts w:ascii="Arial" w:hAnsi="Arial" w:cs="Arial"/>
          <w:sz w:val="24"/>
          <w:szCs w:val="24"/>
        </w:rPr>
        <w:t>COUNSEL FOR FIRST RESPONDENT</w:t>
      </w:r>
      <w:r w:rsidRPr="00F45341">
        <w:rPr>
          <w:rFonts w:ascii="Arial" w:hAnsi="Arial" w:cs="Arial"/>
          <w:sz w:val="24"/>
          <w:szCs w:val="24"/>
        </w:rPr>
        <w:tab/>
        <w:t>:</w:t>
      </w:r>
      <w:r w:rsidRPr="00F45341">
        <w:rPr>
          <w:rFonts w:ascii="Arial" w:hAnsi="Arial" w:cs="Arial"/>
          <w:sz w:val="24"/>
          <w:szCs w:val="24"/>
        </w:rPr>
        <w:tab/>
      </w:r>
      <w:r w:rsidR="000B3722" w:rsidRPr="00F45341">
        <w:rPr>
          <w:rFonts w:ascii="Arial" w:hAnsi="Arial" w:cs="Arial"/>
          <w:sz w:val="24"/>
          <w:szCs w:val="24"/>
        </w:rPr>
        <w:t>JP BROSTER</w:t>
      </w:r>
      <w:r w:rsidRPr="00F45341">
        <w:rPr>
          <w:rFonts w:ascii="Arial" w:hAnsi="Arial" w:cs="Arial"/>
          <w:sz w:val="24"/>
          <w:szCs w:val="24"/>
        </w:rPr>
        <w:t xml:space="preserve"> </w:t>
      </w:r>
    </w:p>
    <w:p w14:paraId="01545CA8" w14:textId="77777777" w:rsidR="000A5263" w:rsidRPr="00F45341" w:rsidRDefault="00D7456E" w:rsidP="00F45341">
      <w:pPr>
        <w:spacing w:line="240" w:lineRule="auto"/>
        <w:ind w:left="3600" w:hanging="3600"/>
        <w:rPr>
          <w:rFonts w:ascii="Arial" w:hAnsi="Arial" w:cs="Arial"/>
          <w:b/>
          <w:sz w:val="24"/>
          <w:szCs w:val="24"/>
        </w:rPr>
      </w:pPr>
      <w:r w:rsidRPr="00F45341">
        <w:rPr>
          <w:rFonts w:ascii="Arial" w:hAnsi="Arial" w:cs="Arial"/>
          <w:sz w:val="24"/>
          <w:szCs w:val="24"/>
        </w:rPr>
        <w:t>INSTRUCTED BY</w:t>
      </w:r>
      <w:r w:rsidRPr="00F45341">
        <w:rPr>
          <w:rFonts w:ascii="Arial" w:hAnsi="Arial" w:cs="Arial"/>
          <w:sz w:val="24"/>
          <w:szCs w:val="24"/>
        </w:rPr>
        <w:tab/>
      </w:r>
      <w:r w:rsidRPr="00F45341">
        <w:rPr>
          <w:rFonts w:ascii="Arial" w:hAnsi="Arial" w:cs="Arial"/>
          <w:sz w:val="24"/>
          <w:szCs w:val="24"/>
        </w:rPr>
        <w:tab/>
        <w:t>:</w:t>
      </w:r>
      <w:r w:rsidRPr="00F45341">
        <w:rPr>
          <w:rFonts w:ascii="Arial" w:hAnsi="Arial" w:cs="Arial"/>
          <w:sz w:val="24"/>
          <w:szCs w:val="24"/>
        </w:rPr>
        <w:tab/>
      </w:r>
      <w:r w:rsidR="000B3722" w:rsidRPr="00F45341">
        <w:rPr>
          <w:rFonts w:ascii="Arial" w:hAnsi="Arial" w:cs="Arial"/>
          <w:b/>
          <w:sz w:val="24"/>
          <w:szCs w:val="24"/>
        </w:rPr>
        <w:t>GARLICKE &amp; BOUSFIELD,</w:t>
      </w:r>
      <w:r w:rsidR="000A5263" w:rsidRPr="00F45341">
        <w:rPr>
          <w:rFonts w:ascii="Arial" w:hAnsi="Arial" w:cs="Arial"/>
          <w:b/>
          <w:sz w:val="24"/>
          <w:szCs w:val="24"/>
        </w:rPr>
        <w:t xml:space="preserve"> </w:t>
      </w:r>
    </w:p>
    <w:p w14:paraId="57352A45" w14:textId="3D743044" w:rsidR="00D7456E" w:rsidRPr="00F45341" w:rsidRDefault="000B3722" w:rsidP="00F45341">
      <w:pPr>
        <w:spacing w:line="240" w:lineRule="auto"/>
        <w:ind w:left="4320" w:firstLine="720"/>
        <w:rPr>
          <w:rFonts w:ascii="Arial" w:hAnsi="Arial" w:cs="Arial"/>
          <w:b/>
          <w:sz w:val="24"/>
          <w:szCs w:val="24"/>
        </w:rPr>
      </w:pPr>
      <w:r w:rsidRPr="00F45341">
        <w:rPr>
          <w:rFonts w:ascii="Arial" w:hAnsi="Arial" w:cs="Arial"/>
          <w:b/>
          <w:sz w:val="24"/>
          <w:szCs w:val="24"/>
        </w:rPr>
        <w:t>UMHLANG</w:t>
      </w:r>
      <w:r w:rsidR="00F45341">
        <w:rPr>
          <w:rFonts w:ascii="Arial" w:hAnsi="Arial" w:cs="Arial"/>
          <w:b/>
          <w:sz w:val="24"/>
          <w:szCs w:val="24"/>
        </w:rPr>
        <w:t>A</w:t>
      </w:r>
    </w:p>
    <w:sectPr w:rsidR="00D7456E" w:rsidRPr="00F45341" w:rsidSect="00AC6123">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FA2EC" w14:textId="77777777" w:rsidR="007F69BA" w:rsidRDefault="007F69BA" w:rsidP="00D72CAC">
      <w:pPr>
        <w:spacing w:after="0" w:line="240" w:lineRule="auto"/>
      </w:pPr>
      <w:r>
        <w:separator/>
      </w:r>
    </w:p>
  </w:endnote>
  <w:endnote w:type="continuationSeparator" w:id="0">
    <w:p w14:paraId="28F10613" w14:textId="77777777" w:rsidR="007F69BA" w:rsidRDefault="007F69BA" w:rsidP="00D7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95916" w14:textId="77777777" w:rsidR="007F69BA" w:rsidRDefault="007F69BA" w:rsidP="00D72CAC">
      <w:pPr>
        <w:spacing w:after="0" w:line="240" w:lineRule="auto"/>
      </w:pPr>
      <w:r>
        <w:separator/>
      </w:r>
    </w:p>
  </w:footnote>
  <w:footnote w:type="continuationSeparator" w:id="0">
    <w:p w14:paraId="079B94CD" w14:textId="77777777" w:rsidR="007F69BA" w:rsidRDefault="007F69BA" w:rsidP="00D72CAC">
      <w:pPr>
        <w:spacing w:after="0" w:line="240" w:lineRule="auto"/>
      </w:pPr>
      <w:r>
        <w:continuationSeparator/>
      </w:r>
    </w:p>
  </w:footnote>
  <w:footnote w:id="1">
    <w:p w14:paraId="463D38B3" w14:textId="77777777" w:rsidR="00CA58F3" w:rsidRPr="0090427C" w:rsidRDefault="00CA58F3" w:rsidP="0090427C">
      <w:pPr>
        <w:pStyle w:val="FootnoteText"/>
        <w:jc w:val="both"/>
        <w:rPr>
          <w:rFonts w:ascii="Arial" w:hAnsi="Arial" w:cs="Arial"/>
        </w:rPr>
      </w:pPr>
      <w:r w:rsidRPr="0090427C">
        <w:rPr>
          <w:rStyle w:val="FootnoteReference"/>
          <w:rFonts w:ascii="Arial" w:hAnsi="Arial" w:cs="Arial"/>
        </w:rPr>
        <w:footnoteRef/>
      </w:r>
      <w:r w:rsidRPr="0090427C">
        <w:rPr>
          <w:rFonts w:ascii="Arial" w:hAnsi="Arial" w:cs="Arial"/>
        </w:rPr>
        <w:t xml:space="preserve"> </w:t>
      </w:r>
      <w:r w:rsidRPr="0090427C">
        <w:rPr>
          <w:rFonts w:ascii="Arial" w:hAnsi="Arial" w:cs="Arial"/>
          <w:i/>
        </w:rPr>
        <w:t>Speaker of the National Assembly and Another v Land Access Movement of South Africa and Others</w:t>
      </w:r>
      <w:r w:rsidRPr="0090427C">
        <w:rPr>
          <w:rFonts w:ascii="Arial" w:hAnsi="Arial" w:cs="Arial"/>
        </w:rPr>
        <w:t xml:space="preserve"> [2019] ZACC 10; 2019 (5) BCLR 619 (CC); 2019 (6) SA 568 (CC).</w:t>
      </w:r>
    </w:p>
  </w:footnote>
  <w:footnote w:id="2">
    <w:p w14:paraId="35B5167A" w14:textId="77777777" w:rsidR="00CA58F3" w:rsidRPr="007A4980" w:rsidRDefault="00CA58F3" w:rsidP="007A4980">
      <w:pPr>
        <w:pStyle w:val="FootnoteText"/>
        <w:jc w:val="both"/>
        <w:rPr>
          <w:rFonts w:ascii="Arial" w:hAnsi="Arial" w:cs="Arial"/>
          <w:lang w:val="en-GB"/>
        </w:rPr>
      </w:pPr>
      <w:r w:rsidRPr="007A4980">
        <w:rPr>
          <w:rStyle w:val="FootnoteReference"/>
          <w:rFonts w:ascii="Arial" w:hAnsi="Arial" w:cs="Arial"/>
        </w:rPr>
        <w:footnoteRef/>
      </w:r>
      <w:r w:rsidRPr="007A4980">
        <w:rPr>
          <w:rFonts w:ascii="Arial" w:hAnsi="Arial" w:cs="Arial"/>
        </w:rPr>
        <w:t xml:space="preserve"> </w:t>
      </w:r>
      <w:r w:rsidRPr="007A4980">
        <w:rPr>
          <w:rFonts w:ascii="Arial" w:hAnsi="Arial" w:cs="Arial"/>
          <w:i/>
        </w:rPr>
        <w:t xml:space="preserve">Helen </w:t>
      </w:r>
      <w:r w:rsidRPr="007A4980">
        <w:rPr>
          <w:rFonts w:ascii="Arial" w:hAnsi="Arial" w:cs="Arial"/>
          <w:i/>
        </w:rPr>
        <w:t>Suzman Foundation v Judicial Service Commission</w:t>
      </w:r>
      <w:r w:rsidRPr="007A4980">
        <w:rPr>
          <w:rFonts w:ascii="Arial" w:hAnsi="Arial" w:cs="Arial"/>
        </w:rPr>
        <w:t xml:space="preserve"> [2018] ZACC 8; 2018 (4) SA 1 (CC); 2018 (7) BCLR 763 (CC).</w:t>
      </w:r>
    </w:p>
  </w:footnote>
  <w:footnote w:id="3">
    <w:p w14:paraId="7F2C0BED" w14:textId="77777777" w:rsidR="00CA58F3" w:rsidRPr="007A4980" w:rsidRDefault="00CA58F3" w:rsidP="007A4980">
      <w:pPr>
        <w:pStyle w:val="FootnoteText"/>
        <w:jc w:val="both"/>
        <w:rPr>
          <w:rFonts w:ascii="Arial" w:hAnsi="Arial" w:cs="Arial"/>
          <w:lang w:val="en-GB"/>
        </w:rPr>
      </w:pPr>
      <w:r w:rsidRPr="007A4980">
        <w:rPr>
          <w:rStyle w:val="FootnoteReference"/>
          <w:rFonts w:ascii="Arial" w:hAnsi="Arial" w:cs="Arial"/>
        </w:rPr>
        <w:footnoteRef/>
      </w:r>
      <w:r w:rsidRPr="007A4980">
        <w:rPr>
          <w:rFonts w:ascii="Arial" w:hAnsi="Arial" w:cs="Arial"/>
        </w:rPr>
        <w:t xml:space="preserve"> </w:t>
      </w:r>
      <w:r w:rsidRPr="007A4980">
        <w:rPr>
          <w:rFonts w:ascii="Arial" w:hAnsi="Arial" w:cs="Arial"/>
          <w:i/>
        </w:rPr>
        <w:t>Plascon-Evans Paints (TVL) Ltd. v Van Riebeck Paints (Pty) Ltd</w:t>
      </w:r>
      <w:r w:rsidRPr="007A4980">
        <w:rPr>
          <w:rFonts w:ascii="Arial" w:hAnsi="Arial" w:cs="Arial"/>
        </w:rPr>
        <w:t xml:space="preserve"> [1984] ZASCA 51; [1984] 2 All SA 366 (A); 1984 (3) SA 623; 1984 (3) SA 620 at 635.</w:t>
      </w:r>
    </w:p>
  </w:footnote>
  <w:footnote w:id="4">
    <w:p w14:paraId="57D2797C" w14:textId="77777777" w:rsidR="00CA58F3" w:rsidRDefault="00CA58F3" w:rsidP="007A4980">
      <w:pPr>
        <w:pStyle w:val="FootnoteText"/>
        <w:jc w:val="both"/>
      </w:pPr>
      <w:r w:rsidRPr="007A4980">
        <w:rPr>
          <w:rStyle w:val="FootnoteReference"/>
          <w:rFonts w:ascii="Arial" w:hAnsi="Arial" w:cs="Arial"/>
        </w:rPr>
        <w:footnoteRef/>
      </w:r>
      <w:r w:rsidRPr="007A4980">
        <w:rPr>
          <w:rFonts w:ascii="Arial" w:hAnsi="Arial" w:cs="Arial"/>
        </w:rPr>
        <w:t xml:space="preserve"> Ibid.</w:t>
      </w:r>
    </w:p>
  </w:footnote>
  <w:footnote w:id="5">
    <w:p w14:paraId="408B6396" w14:textId="77777777" w:rsidR="00CA58F3" w:rsidRPr="00097733" w:rsidRDefault="00CA58F3" w:rsidP="00097733">
      <w:pPr>
        <w:pStyle w:val="FootnoteText"/>
        <w:jc w:val="both"/>
        <w:rPr>
          <w:rFonts w:ascii="Arial" w:hAnsi="Arial" w:cs="Arial"/>
          <w:lang w:val="en-GB"/>
        </w:rPr>
      </w:pPr>
      <w:r w:rsidRPr="00D70751">
        <w:rPr>
          <w:rStyle w:val="FootnoteReference"/>
          <w:rFonts w:ascii="Arial" w:hAnsi="Arial" w:cs="Arial"/>
        </w:rPr>
        <w:footnoteRef/>
      </w:r>
      <w:r w:rsidRPr="00D70751">
        <w:rPr>
          <w:rFonts w:ascii="Arial" w:hAnsi="Arial" w:cs="Arial"/>
        </w:rPr>
        <w:t xml:space="preserve"> </w:t>
      </w:r>
      <w:r w:rsidRPr="00D70751">
        <w:rPr>
          <w:rFonts w:ascii="Arial" w:eastAsia="Calibri" w:hAnsi="Arial" w:cs="Arial"/>
          <w:i/>
        </w:rPr>
        <w:t xml:space="preserve">Soffiantini v Mould </w:t>
      </w:r>
      <w:r w:rsidRPr="00D70751">
        <w:rPr>
          <w:rFonts w:ascii="Arial" w:eastAsia="Calibri" w:hAnsi="Arial" w:cs="Arial"/>
        </w:rPr>
        <w:t>1956 (4) SA 150 (C) at 154.</w:t>
      </w:r>
    </w:p>
  </w:footnote>
  <w:footnote w:id="6">
    <w:p w14:paraId="3E784DA8" w14:textId="77777777" w:rsidR="00CA58F3" w:rsidRPr="00097733" w:rsidRDefault="00CA58F3" w:rsidP="00097733">
      <w:pPr>
        <w:pStyle w:val="FootnoteText"/>
        <w:jc w:val="both"/>
        <w:rPr>
          <w:rFonts w:ascii="Arial" w:hAnsi="Arial" w:cs="Arial"/>
          <w:lang w:val="en-GB"/>
        </w:rPr>
      </w:pPr>
      <w:r w:rsidRPr="00097733">
        <w:rPr>
          <w:rStyle w:val="FootnoteReference"/>
          <w:rFonts w:ascii="Arial" w:hAnsi="Arial" w:cs="Arial"/>
        </w:rPr>
        <w:footnoteRef/>
      </w:r>
      <w:r w:rsidRPr="00097733">
        <w:rPr>
          <w:rFonts w:ascii="Arial" w:hAnsi="Arial" w:cs="Arial"/>
        </w:rPr>
        <w:t xml:space="preserve"> </w:t>
      </w:r>
      <w:r w:rsidRPr="00097733">
        <w:rPr>
          <w:rFonts w:ascii="Arial" w:hAnsi="Arial" w:cs="Arial"/>
          <w:i/>
        </w:rPr>
        <w:t>National Energy Regulator of South Africa and Another v PG Group (Pty) Limited and Others</w:t>
      </w:r>
      <w:r w:rsidRPr="00097733">
        <w:rPr>
          <w:rFonts w:ascii="Arial" w:hAnsi="Arial" w:cs="Arial"/>
        </w:rPr>
        <w:t xml:space="preserve"> [2019] ZACC 28; 2019 (10) BCLR 1185 (CC); 2020 (1) SA 450 (CC) para 39.</w:t>
      </w:r>
    </w:p>
  </w:footnote>
  <w:footnote w:id="7">
    <w:p w14:paraId="2847E98B" w14:textId="77777777" w:rsidR="00CA58F3" w:rsidRPr="00F23FAF" w:rsidRDefault="00CA58F3" w:rsidP="00F23FAF">
      <w:pPr>
        <w:pStyle w:val="FootnoteText"/>
        <w:jc w:val="both"/>
        <w:rPr>
          <w:rFonts w:ascii="Arial" w:hAnsi="Arial" w:cs="Arial"/>
          <w:lang w:val="en-GB"/>
        </w:rPr>
      </w:pPr>
      <w:r w:rsidRPr="00F23FAF">
        <w:rPr>
          <w:rStyle w:val="FootnoteReference"/>
          <w:rFonts w:ascii="Arial" w:hAnsi="Arial" w:cs="Arial"/>
        </w:rPr>
        <w:footnoteRef/>
      </w:r>
      <w:r w:rsidRPr="00F23FAF">
        <w:rPr>
          <w:rFonts w:ascii="Arial" w:hAnsi="Arial" w:cs="Arial"/>
        </w:rPr>
        <w:t xml:space="preserve"> </w:t>
      </w:r>
      <w:r w:rsidRPr="00F23FAF">
        <w:rPr>
          <w:rFonts w:ascii="Arial" w:hAnsi="Arial" w:cs="Arial"/>
          <w:i/>
        </w:rPr>
        <w:t>Turnbull-Jackson v Hibiscus Court Municipality and Others</w:t>
      </w:r>
      <w:r w:rsidRPr="00F23FAF">
        <w:rPr>
          <w:rFonts w:ascii="Arial" w:hAnsi="Arial" w:cs="Arial"/>
        </w:rPr>
        <w:t xml:space="preserve"> [2014] ZACC 24; 2014 (6) SA 592 (CC); 2014 (11) BCLR 1310 (CC)</w:t>
      </w:r>
      <w:r>
        <w:rPr>
          <w:rFonts w:ascii="Arial" w:hAnsi="Arial" w:cs="Arial"/>
        </w:rPr>
        <w:t xml:space="preserve"> para 30.</w:t>
      </w:r>
    </w:p>
  </w:footnote>
  <w:footnote w:id="8">
    <w:p w14:paraId="69D74638" w14:textId="77777777" w:rsidR="00CA58F3" w:rsidRPr="00777EAF" w:rsidRDefault="00CA58F3" w:rsidP="00777EAF">
      <w:pPr>
        <w:pStyle w:val="FootnoteText"/>
        <w:jc w:val="both"/>
        <w:rPr>
          <w:rFonts w:ascii="Arial" w:hAnsi="Arial" w:cs="Arial"/>
          <w:lang w:val="en-GB"/>
        </w:rPr>
      </w:pPr>
      <w:r w:rsidRPr="00777EAF">
        <w:rPr>
          <w:rStyle w:val="FootnoteReference"/>
          <w:rFonts w:ascii="Arial" w:hAnsi="Arial" w:cs="Arial"/>
        </w:rPr>
        <w:footnoteRef/>
      </w:r>
      <w:r w:rsidRPr="00777EAF">
        <w:rPr>
          <w:rFonts w:ascii="Arial" w:hAnsi="Arial" w:cs="Arial"/>
        </w:rPr>
        <w:t xml:space="preserve"> </w:t>
      </w:r>
      <w:r w:rsidRPr="00777EAF">
        <w:rPr>
          <w:rFonts w:ascii="Arial" w:hAnsi="Arial" w:cs="Arial"/>
          <w:i/>
        </w:rPr>
        <w:t>Allpay Consolidated Investment Holdings (Pty) Ltd and Others v Chief Executive Officer of the South African Social Security Agency and Others</w:t>
      </w:r>
      <w:r w:rsidRPr="00777EAF">
        <w:rPr>
          <w:rFonts w:ascii="Arial" w:hAnsi="Arial" w:cs="Arial"/>
        </w:rPr>
        <w:t xml:space="preserve"> [2014] ZACC 12; 2014 (6) BCLR 641 (CC); 2014 (4) SA 179 (CC) paras 24-28.</w:t>
      </w:r>
    </w:p>
  </w:footnote>
  <w:footnote w:id="9">
    <w:p w14:paraId="02ADD28D" w14:textId="77777777" w:rsidR="00CA58F3" w:rsidRPr="00777EAF" w:rsidRDefault="00CA58F3" w:rsidP="00777EAF">
      <w:pPr>
        <w:pStyle w:val="FootnoteText"/>
        <w:jc w:val="both"/>
      </w:pPr>
      <w:r w:rsidRPr="00777EAF">
        <w:rPr>
          <w:rStyle w:val="FootnoteReference"/>
          <w:rFonts w:ascii="Arial" w:hAnsi="Arial" w:cs="Arial"/>
        </w:rPr>
        <w:footnoteRef/>
      </w:r>
      <w:r w:rsidRPr="00777EAF">
        <w:rPr>
          <w:rFonts w:ascii="Arial" w:hAnsi="Arial" w:cs="Arial"/>
        </w:rPr>
        <w:t xml:space="preserve"> </w:t>
      </w:r>
      <w:r w:rsidRPr="00777EAF">
        <w:rPr>
          <w:rFonts w:ascii="Arial" w:hAnsi="Arial" w:cs="Arial"/>
          <w:i/>
        </w:rPr>
        <w:t xml:space="preserve">Biowatch Trust v Registrar Genetic Resources and Others </w:t>
      </w:r>
      <w:r w:rsidRPr="00777EAF">
        <w:rPr>
          <w:rFonts w:ascii="Arial" w:hAnsi="Arial" w:cs="Arial"/>
        </w:rPr>
        <w:t>[2009] ZACC 14; 2009 (6) SA 232 (CC); 2009 (10) BCLR 1014 (CC).</w:t>
      </w:r>
    </w:p>
  </w:footnote>
  <w:footnote w:id="10">
    <w:p w14:paraId="61731688" w14:textId="77777777" w:rsidR="00CA58F3" w:rsidRPr="00707856" w:rsidRDefault="00CA58F3">
      <w:pPr>
        <w:pStyle w:val="FootnoteText"/>
        <w:rPr>
          <w:rFonts w:ascii="Arial" w:hAnsi="Arial" w:cs="Arial"/>
          <w:lang w:val="en-GB"/>
        </w:rPr>
      </w:pPr>
      <w:r w:rsidRPr="00707856">
        <w:rPr>
          <w:rStyle w:val="FootnoteReference"/>
          <w:rFonts w:ascii="Arial" w:hAnsi="Arial" w:cs="Arial"/>
        </w:rPr>
        <w:footnoteRef/>
      </w:r>
      <w:r>
        <w:rPr>
          <w:rFonts w:ascii="Arial" w:hAnsi="Arial" w:cs="Arial"/>
        </w:rPr>
        <w:t xml:space="preserve"> </w:t>
      </w:r>
      <w:r w:rsidRPr="00707856">
        <w:rPr>
          <w:rFonts w:ascii="Arial" w:hAnsi="Arial" w:cs="Arial"/>
          <w:i/>
        </w:rPr>
        <w:t>Fedsure Life Assurance Ltd and Others v Greater Johannesburg Transitional Metropolitan Council and Others</w:t>
      </w:r>
      <w:r w:rsidRPr="00707856">
        <w:rPr>
          <w:rFonts w:ascii="Arial" w:hAnsi="Arial" w:cs="Arial"/>
        </w:rPr>
        <w:t xml:space="preserve"> [1998] ZACC 17; 1999 (1) SA 374; 1998 (12) BCLR 1458</w:t>
      </w:r>
      <w:r>
        <w:rPr>
          <w:rFonts w:ascii="Arial" w:hAnsi="Arial" w:cs="Arial"/>
        </w:rPr>
        <w:t xml:space="preserve"> at 56-58.</w:t>
      </w:r>
    </w:p>
  </w:footnote>
  <w:footnote w:id="11">
    <w:p w14:paraId="173438CD" w14:textId="77777777" w:rsidR="00CA58F3" w:rsidRPr="00D103E4" w:rsidRDefault="00CA58F3" w:rsidP="00D103E4">
      <w:pPr>
        <w:pStyle w:val="FootnoteText"/>
        <w:jc w:val="both"/>
        <w:rPr>
          <w:rFonts w:ascii="Arial" w:hAnsi="Arial" w:cs="Arial"/>
          <w:lang w:val="en-GB"/>
        </w:rPr>
      </w:pPr>
      <w:r w:rsidRPr="00D103E4">
        <w:rPr>
          <w:rStyle w:val="FootnoteReference"/>
          <w:rFonts w:ascii="Arial" w:hAnsi="Arial" w:cs="Arial"/>
        </w:rPr>
        <w:footnoteRef/>
      </w:r>
      <w:r w:rsidRPr="00D103E4">
        <w:rPr>
          <w:rFonts w:ascii="Arial" w:hAnsi="Arial" w:cs="Arial"/>
        </w:rPr>
        <w:t xml:space="preserve"> </w:t>
      </w:r>
      <w:r w:rsidRPr="00D103E4">
        <w:rPr>
          <w:rFonts w:ascii="Arial" w:hAnsi="Arial" w:cs="Arial"/>
          <w:i/>
        </w:rPr>
        <w:t xml:space="preserve">President of the Republic of South Africa and Others v South African Rugby Football Union and Others </w:t>
      </w:r>
      <w:r w:rsidRPr="00D103E4">
        <w:rPr>
          <w:rFonts w:ascii="Arial" w:hAnsi="Arial" w:cs="Arial"/>
        </w:rPr>
        <w:t>1999] ZACC 11; 2000 (1) SA 1; 1999 (10) BCLR 1059 para 148.</w:t>
      </w:r>
    </w:p>
  </w:footnote>
  <w:footnote w:id="12">
    <w:p w14:paraId="4973CF56" w14:textId="77777777" w:rsidR="00CA58F3" w:rsidRPr="00D103E4" w:rsidRDefault="00CA58F3" w:rsidP="00D103E4">
      <w:pPr>
        <w:pStyle w:val="FootnoteText"/>
        <w:jc w:val="both"/>
        <w:rPr>
          <w:rFonts w:ascii="Arial" w:hAnsi="Arial" w:cs="Arial"/>
          <w:lang w:val="en-GB"/>
        </w:rPr>
      </w:pPr>
      <w:r w:rsidRPr="00D103E4">
        <w:rPr>
          <w:rStyle w:val="FootnoteReference"/>
          <w:rFonts w:ascii="Arial" w:hAnsi="Arial" w:cs="Arial"/>
        </w:rPr>
        <w:footnoteRef/>
      </w:r>
      <w:r w:rsidRPr="00D103E4">
        <w:rPr>
          <w:rFonts w:ascii="Arial" w:hAnsi="Arial" w:cs="Arial"/>
        </w:rPr>
        <w:t xml:space="preserve"> </w:t>
      </w:r>
      <w:r w:rsidRPr="00D103E4">
        <w:rPr>
          <w:rFonts w:ascii="Arial" w:hAnsi="Arial" w:cs="Arial"/>
          <w:i/>
        </w:rPr>
        <w:t xml:space="preserve">Pharmaceutical Manufacturers Association of South Africa and Another: In re Ex </w:t>
      </w:r>
      <w:r w:rsidRPr="00D103E4">
        <w:rPr>
          <w:rFonts w:ascii="Arial" w:hAnsi="Arial" w:cs="Arial"/>
          <w:i/>
        </w:rPr>
        <w:t>Parte President of the Republic of South Africa and Others</w:t>
      </w:r>
      <w:r w:rsidRPr="00D103E4">
        <w:rPr>
          <w:rFonts w:ascii="Arial" w:hAnsi="Arial" w:cs="Arial"/>
        </w:rPr>
        <w:t xml:space="preserve"> [2000] ZACC 1; 2000 (2) SA 674; 2000 (3) BCLR 241.</w:t>
      </w:r>
    </w:p>
  </w:footnote>
  <w:footnote w:id="13">
    <w:p w14:paraId="7AE5FF4A" w14:textId="77777777" w:rsidR="00CA58F3" w:rsidRPr="00D103E4" w:rsidRDefault="00CA58F3" w:rsidP="000A5263">
      <w:pPr>
        <w:pStyle w:val="FootnoteText"/>
        <w:jc w:val="both"/>
      </w:pPr>
      <w:r w:rsidRPr="000A5263">
        <w:rPr>
          <w:rStyle w:val="FootnoteReference"/>
          <w:rFonts w:ascii="Arial" w:hAnsi="Arial" w:cs="Arial"/>
        </w:rPr>
        <w:footnoteRef/>
      </w:r>
      <w:r w:rsidRPr="000A5263">
        <w:rPr>
          <w:rFonts w:ascii="Arial" w:hAnsi="Arial" w:cs="Arial"/>
        </w:rPr>
        <w:t xml:space="preserve"> C Hoexter and G Penfold </w:t>
      </w:r>
      <w:r w:rsidRPr="000A5263">
        <w:rPr>
          <w:rFonts w:ascii="Arial" w:hAnsi="Arial" w:cs="Arial"/>
          <w:i/>
        </w:rPr>
        <w:t>Administrative Law in South Africa</w:t>
      </w:r>
      <w:r w:rsidRPr="000A5263">
        <w:rPr>
          <w:rFonts w:ascii="Arial" w:hAnsi="Arial" w:cs="Arial"/>
        </w:rPr>
        <w:t xml:space="preserve"> 3 ed (2021) at </w:t>
      </w:r>
      <w:r>
        <w:rPr>
          <w:rFonts w:ascii="Arial" w:hAnsi="Arial" w:cs="Arial"/>
        </w:rPr>
        <w:t>157</w:t>
      </w:r>
      <w:r w:rsidRPr="000A5263">
        <w:rPr>
          <w:rFonts w:ascii="Arial" w:hAnsi="Arial" w:cs="Arial"/>
        </w:rPr>
        <w:t>.</w:t>
      </w:r>
    </w:p>
  </w:footnote>
  <w:footnote w:id="14">
    <w:p w14:paraId="647FAD0C" w14:textId="77777777" w:rsidR="00CA58F3" w:rsidRPr="00D70751" w:rsidRDefault="00CA58F3" w:rsidP="00D103E4">
      <w:pPr>
        <w:pStyle w:val="FootnoteText"/>
        <w:jc w:val="both"/>
        <w:rPr>
          <w:rFonts w:ascii="Arial" w:hAnsi="Arial" w:cs="Arial"/>
          <w:lang w:val="en-GB"/>
        </w:rPr>
      </w:pPr>
      <w:r w:rsidRPr="00D103E4">
        <w:rPr>
          <w:rStyle w:val="FootnoteReference"/>
          <w:rFonts w:ascii="Arial" w:hAnsi="Arial" w:cs="Arial"/>
        </w:rPr>
        <w:footnoteRef/>
      </w:r>
      <w:r w:rsidRPr="00D103E4">
        <w:rPr>
          <w:rFonts w:ascii="Arial" w:hAnsi="Arial" w:cs="Arial"/>
        </w:rPr>
        <w:t xml:space="preserve"> </w:t>
      </w:r>
      <w:r w:rsidRPr="00D103E4">
        <w:rPr>
          <w:rFonts w:ascii="Arial" w:hAnsi="Arial" w:cs="Arial"/>
          <w:i/>
        </w:rPr>
        <w:t xml:space="preserve">Albutt v Centre for the Study of Violence and Reconciliation and Others </w:t>
      </w:r>
      <w:r w:rsidRPr="00D70751">
        <w:rPr>
          <w:rFonts w:ascii="Arial" w:hAnsi="Arial" w:cs="Arial"/>
        </w:rPr>
        <w:t>[2010] ZACC 4; 2010 (3) SA 293 (CC); 2010 (2) SACR 101 (CC); 2010 (5) BCLR 391 (CC).</w:t>
      </w:r>
    </w:p>
  </w:footnote>
  <w:footnote w:id="15">
    <w:p w14:paraId="111E863F" w14:textId="77777777" w:rsidR="00CA58F3" w:rsidRPr="00D103E4" w:rsidRDefault="00CA58F3" w:rsidP="00D103E4">
      <w:pPr>
        <w:pStyle w:val="FootnoteText"/>
        <w:jc w:val="both"/>
        <w:rPr>
          <w:rFonts w:ascii="Arial" w:hAnsi="Arial" w:cs="Arial"/>
        </w:rPr>
      </w:pPr>
      <w:r w:rsidRPr="00224717">
        <w:rPr>
          <w:rStyle w:val="FootnoteReference"/>
          <w:rFonts w:ascii="Arial" w:hAnsi="Arial" w:cs="Arial"/>
        </w:rPr>
        <w:footnoteRef/>
      </w:r>
      <w:r w:rsidRPr="00224717">
        <w:rPr>
          <w:rFonts w:ascii="Arial" w:hAnsi="Arial" w:cs="Arial"/>
        </w:rPr>
        <w:t xml:space="preserve"> Hoexter above fn 13 at 355.</w:t>
      </w:r>
    </w:p>
  </w:footnote>
  <w:footnote w:id="16">
    <w:p w14:paraId="5B10CD0B" w14:textId="77777777" w:rsidR="00CA58F3" w:rsidRPr="00671089" w:rsidRDefault="00CA58F3" w:rsidP="00D103E4">
      <w:pPr>
        <w:pStyle w:val="FootnoteText"/>
        <w:jc w:val="both"/>
        <w:rPr>
          <w:rFonts w:ascii="Arial" w:hAnsi="Arial" w:cs="Arial"/>
          <w:lang w:val="en-GB"/>
        </w:rPr>
      </w:pPr>
      <w:r w:rsidRPr="00D103E4">
        <w:rPr>
          <w:rStyle w:val="FootnoteReference"/>
          <w:rFonts w:ascii="Arial" w:hAnsi="Arial" w:cs="Arial"/>
        </w:rPr>
        <w:footnoteRef/>
      </w:r>
      <w:r w:rsidRPr="00D103E4">
        <w:rPr>
          <w:rFonts w:ascii="Arial" w:hAnsi="Arial" w:cs="Arial"/>
        </w:rPr>
        <w:t xml:space="preserve"> </w:t>
      </w:r>
      <w:r w:rsidRPr="00224717">
        <w:rPr>
          <w:rFonts w:ascii="Arial" w:eastAsia="Calibri" w:hAnsi="Arial" w:cs="Arial"/>
          <w:i/>
        </w:rPr>
        <w:t xml:space="preserve">Fedsure Life Assurance Ltd and Others </w:t>
      </w:r>
      <w:r w:rsidRPr="00224717">
        <w:rPr>
          <w:rFonts w:ascii="Arial" w:eastAsia="Calibri" w:hAnsi="Arial" w:cs="Arial"/>
        </w:rPr>
        <w:t>above fn 10 para 58.</w:t>
      </w:r>
    </w:p>
  </w:footnote>
  <w:footnote w:id="17">
    <w:p w14:paraId="2E96F4A4" w14:textId="77777777" w:rsidR="00CA58F3" w:rsidRPr="00671089" w:rsidRDefault="00CA58F3" w:rsidP="00671089">
      <w:pPr>
        <w:pStyle w:val="FootnoteText"/>
        <w:jc w:val="both"/>
        <w:rPr>
          <w:lang w:val="en-GB"/>
        </w:rPr>
      </w:pPr>
      <w:r w:rsidRPr="00671089">
        <w:rPr>
          <w:rStyle w:val="FootnoteReference"/>
          <w:rFonts w:ascii="Arial" w:hAnsi="Arial" w:cs="Arial"/>
        </w:rPr>
        <w:footnoteRef/>
      </w:r>
      <w:r w:rsidRPr="00671089">
        <w:rPr>
          <w:rFonts w:ascii="Arial" w:hAnsi="Arial" w:cs="Arial"/>
        </w:rPr>
        <w:t xml:space="preserve"> </w:t>
      </w:r>
      <w:r w:rsidRPr="00671089">
        <w:rPr>
          <w:rFonts w:ascii="Arial" w:eastAsia="Calibri" w:hAnsi="Arial" w:cs="Arial"/>
          <w:i/>
        </w:rPr>
        <w:t xml:space="preserve">Pharmaceutical Manufacturers Association of South Africa and Another: In re Ex </w:t>
      </w:r>
      <w:r w:rsidRPr="00671089">
        <w:rPr>
          <w:rFonts w:ascii="Arial" w:eastAsia="Calibri" w:hAnsi="Arial" w:cs="Arial"/>
          <w:i/>
        </w:rPr>
        <w:t>Parte President of the Republic of South Africa and Others</w:t>
      </w:r>
      <w:r>
        <w:rPr>
          <w:rFonts w:ascii="Arial" w:eastAsia="Calibri" w:hAnsi="Arial" w:cs="Arial"/>
        </w:rPr>
        <w:t xml:space="preserve"> above fn 12 paras 85 and 90.</w:t>
      </w:r>
    </w:p>
  </w:footnote>
  <w:footnote w:id="18">
    <w:p w14:paraId="703402A7" w14:textId="77777777" w:rsidR="00CA58F3" w:rsidRPr="00671089" w:rsidRDefault="00CA58F3" w:rsidP="00671089">
      <w:pPr>
        <w:pStyle w:val="FootnoteText"/>
        <w:jc w:val="both"/>
        <w:rPr>
          <w:rFonts w:ascii="Arial" w:hAnsi="Arial" w:cs="Arial"/>
          <w:highlight w:val="yellow"/>
          <w:lang w:val="en-GB"/>
        </w:rPr>
      </w:pPr>
      <w:r w:rsidRPr="00224717">
        <w:rPr>
          <w:rStyle w:val="FootnoteReference"/>
          <w:rFonts w:ascii="Arial" w:hAnsi="Arial" w:cs="Arial"/>
        </w:rPr>
        <w:footnoteRef/>
      </w:r>
      <w:r w:rsidRPr="00224717">
        <w:rPr>
          <w:rFonts w:ascii="Arial" w:hAnsi="Arial" w:cs="Arial"/>
        </w:rPr>
        <w:t xml:space="preserve"> </w:t>
      </w:r>
      <w:r w:rsidRPr="00224717">
        <w:rPr>
          <w:rFonts w:ascii="Arial" w:hAnsi="Arial" w:cs="Arial"/>
          <w:i/>
        </w:rPr>
        <w:t xml:space="preserve">Plascon-Evans Paints (TVL) Ltd </w:t>
      </w:r>
      <w:r w:rsidRPr="00224717">
        <w:rPr>
          <w:rFonts w:ascii="Arial" w:hAnsi="Arial" w:cs="Arial"/>
        </w:rPr>
        <w:t>above fn 3.</w:t>
      </w:r>
    </w:p>
  </w:footnote>
  <w:footnote w:id="19">
    <w:p w14:paraId="1656C106" w14:textId="77777777" w:rsidR="00CA58F3" w:rsidRPr="00671089" w:rsidRDefault="00CA58F3" w:rsidP="00671089">
      <w:pPr>
        <w:pStyle w:val="FootnoteText"/>
        <w:jc w:val="both"/>
        <w:rPr>
          <w:lang w:val="en-GB"/>
        </w:rPr>
      </w:pPr>
      <w:r w:rsidRPr="00224717">
        <w:rPr>
          <w:rStyle w:val="FootnoteReference"/>
          <w:rFonts w:ascii="Arial" w:hAnsi="Arial" w:cs="Arial"/>
        </w:rPr>
        <w:footnoteRef/>
      </w:r>
      <w:r w:rsidRPr="00224717">
        <w:rPr>
          <w:rFonts w:ascii="Arial" w:hAnsi="Arial" w:cs="Arial"/>
        </w:rPr>
        <w:t xml:space="preserve"> </w:t>
      </w:r>
      <w:r w:rsidRPr="00224717">
        <w:rPr>
          <w:rFonts w:ascii="Arial" w:eastAsia="Calibri" w:hAnsi="Arial" w:cs="Arial"/>
          <w:i/>
        </w:rPr>
        <w:t xml:space="preserve">Helen </w:t>
      </w:r>
      <w:r w:rsidRPr="00224717">
        <w:rPr>
          <w:rFonts w:ascii="Arial" w:eastAsia="Calibri" w:hAnsi="Arial" w:cs="Arial"/>
          <w:i/>
        </w:rPr>
        <w:t>Suzman Foundation</w:t>
      </w:r>
      <w:r w:rsidRPr="00224717">
        <w:rPr>
          <w:rFonts w:ascii="Arial" w:eastAsia="Calibri" w:hAnsi="Arial" w:cs="Arial"/>
        </w:rPr>
        <w:t xml:space="preserve"> above fn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1138029"/>
      <w:docPartObj>
        <w:docPartGallery w:val="Page Numbers (Top of Page)"/>
        <w:docPartUnique/>
      </w:docPartObj>
    </w:sdtPr>
    <w:sdtEndPr>
      <w:rPr>
        <w:noProof/>
      </w:rPr>
    </w:sdtEndPr>
    <w:sdtContent>
      <w:p w14:paraId="3473829A" w14:textId="77777777" w:rsidR="00CA58F3" w:rsidRDefault="00CA58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66271C" w14:textId="77777777" w:rsidR="00CA58F3" w:rsidRDefault="00CA5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2A25"/>
    <w:multiLevelType w:val="hybridMultilevel"/>
    <w:tmpl w:val="08309AAE"/>
    <w:lvl w:ilvl="0" w:tplc="1C09000F">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 w15:restartNumberingAfterBreak="0">
    <w:nsid w:val="04850B2D"/>
    <w:multiLevelType w:val="hybridMultilevel"/>
    <w:tmpl w:val="9EC8C7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B66567"/>
    <w:multiLevelType w:val="hybridMultilevel"/>
    <w:tmpl w:val="B95A6180"/>
    <w:lvl w:ilvl="0" w:tplc="0344AC26">
      <w:start w:val="1"/>
      <w:numFmt w:val="decimal"/>
      <w:lvlText w:val="%1."/>
      <w:lvlJc w:val="left"/>
      <w:pPr>
        <w:ind w:left="785"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3" w15:restartNumberingAfterBreak="0">
    <w:nsid w:val="4D5F6AA0"/>
    <w:multiLevelType w:val="hybridMultilevel"/>
    <w:tmpl w:val="5BB2598A"/>
    <w:lvl w:ilvl="0" w:tplc="301C3226">
      <w:start w:val="1"/>
      <w:numFmt w:val="lowerRoman"/>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 w15:restartNumberingAfterBreak="0">
    <w:nsid w:val="547A0723"/>
    <w:multiLevelType w:val="hybridMultilevel"/>
    <w:tmpl w:val="212C1188"/>
    <w:lvl w:ilvl="0" w:tplc="64021AB6">
      <w:start w:val="1"/>
      <w:numFmt w:val="lowerRoman"/>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5" w15:restartNumberingAfterBreak="0">
    <w:nsid w:val="55706CF7"/>
    <w:multiLevelType w:val="hybridMultilevel"/>
    <w:tmpl w:val="2B98F5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751520"/>
    <w:multiLevelType w:val="hybridMultilevel"/>
    <w:tmpl w:val="91AAA51A"/>
    <w:lvl w:ilvl="0" w:tplc="94F867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C2111B"/>
    <w:multiLevelType w:val="hybridMultilevel"/>
    <w:tmpl w:val="8A5A317A"/>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8" w15:restartNumberingAfterBreak="0">
    <w:nsid w:val="5F690A4B"/>
    <w:multiLevelType w:val="hybridMultilevel"/>
    <w:tmpl w:val="5A40BEDE"/>
    <w:lvl w:ilvl="0" w:tplc="8F6A3F4A">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9" w15:restartNumberingAfterBreak="0">
    <w:nsid w:val="6A6C0910"/>
    <w:multiLevelType w:val="hybridMultilevel"/>
    <w:tmpl w:val="F556AF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AE06382"/>
    <w:multiLevelType w:val="hybridMultilevel"/>
    <w:tmpl w:val="0ECAA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69344A8"/>
    <w:multiLevelType w:val="hybridMultilevel"/>
    <w:tmpl w:val="7F38F6C8"/>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2" w15:restartNumberingAfterBreak="0">
    <w:nsid w:val="79E755EC"/>
    <w:multiLevelType w:val="hybridMultilevel"/>
    <w:tmpl w:val="0ECAA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EA6C07"/>
    <w:multiLevelType w:val="hybridMultilevel"/>
    <w:tmpl w:val="7EE6D1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8772155">
    <w:abstractNumId w:val="6"/>
  </w:num>
  <w:num w:numId="2" w16cid:durableId="1776168626">
    <w:abstractNumId w:val="1"/>
  </w:num>
  <w:num w:numId="3" w16cid:durableId="1029838292">
    <w:abstractNumId w:val="11"/>
  </w:num>
  <w:num w:numId="4" w16cid:durableId="553006210">
    <w:abstractNumId w:val="13"/>
  </w:num>
  <w:num w:numId="5" w16cid:durableId="965702785">
    <w:abstractNumId w:val="2"/>
  </w:num>
  <w:num w:numId="6" w16cid:durableId="482233460">
    <w:abstractNumId w:val="10"/>
  </w:num>
  <w:num w:numId="7" w16cid:durableId="1318071503">
    <w:abstractNumId w:val="9"/>
  </w:num>
  <w:num w:numId="8" w16cid:durableId="1807505798">
    <w:abstractNumId w:val="5"/>
  </w:num>
  <w:num w:numId="9" w16cid:durableId="1930305613">
    <w:abstractNumId w:val="0"/>
  </w:num>
  <w:num w:numId="10" w16cid:durableId="651914154">
    <w:abstractNumId w:val="12"/>
  </w:num>
  <w:num w:numId="11" w16cid:durableId="2078703096">
    <w:abstractNumId w:val="7"/>
  </w:num>
  <w:num w:numId="12" w16cid:durableId="483399583">
    <w:abstractNumId w:val="8"/>
  </w:num>
  <w:num w:numId="13" w16cid:durableId="940992962">
    <w:abstractNumId w:val="4"/>
  </w:num>
  <w:num w:numId="14" w16cid:durableId="2089302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5A4EF8-4CE2-4275-B358-76C8DD60277C}"/>
    <w:docVar w:name="dgnword-eventsink" w:val="1451822917984"/>
  </w:docVars>
  <w:rsids>
    <w:rsidRoot w:val="00C97D4B"/>
    <w:rsid w:val="0000494B"/>
    <w:rsid w:val="00016842"/>
    <w:rsid w:val="0005714F"/>
    <w:rsid w:val="00060923"/>
    <w:rsid w:val="00097733"/>
    <w:rsid w:val="000A5263"/>
    <w:rsid w:val="000A5556"/>
    <w:rsid w:val="000B3722"/>
    <w:rsid w:val="000D3E46"/>
    <w:rsid w:val="000D752B"/>
    <w:rsid w:val="000F36AE"/>
    <w:rsid w:val="0010389A"/>
    <w:rsid w:val="00103C7D"/>
    <w:rsid w:val="00121261"/>
    <w:rsid w:val="00140719"/>
    <w:rsid w:val="0015614E"/>
    <w:rsid w:val="00161EA0"/>
    <w:rsid w:val="0016544B"/>
    <w:rsid w:val="001724D7"/>
    <w:rsid w:val="00175683"/>
    <w:rsid w:val="00183441"/>
    <w:rsid w:val="001C2C7B"/>
    <w:rsid w:val="001C3973"/>
    <w:rsid w:val="001F4098"/>
    <w:rsid w:val="002131AF"/>
    <w:rsid w:val="002170A3"/>
    <w:rsid w:val="00224717"/>
    <w:rsid w:val="00225EEB"/>
    <w:rsid w:val="002503B4"/>
    <w:rsid w:val="002C67DA"/>
    <w:rsid w:val="002D2CC1"/>
    <w:rsid w:val="002E1627"/>
    <w:rsid w:val="0030430D"/>
    <w:rsid w:val="00315458"/>
    <w:rsid w:val="00317B68"/>
    <w:rsid w:val="00327D09"/>
    <w:rsid w:val="003308C8"/>
    <w:rsid w:val="00332CB9"/>
    <w:rsid w:val="00341F1B"/>
    <w:rsid w:val="00373289"/>
    <w:rsid w:val="003A7C2F"/>
    <w:rsid w:val="003B127C"/>
    <w:rsid w:val="003D7FD9"/>
    <w:rsid w:val="003E7360"/>
    <w:rsid w:val="00404E3B"/>
    <w:rsid w:val="00405AEF"/>
    <w:rsid w:val="00406A68"/>
    <w:rsid w:val="004160EA"/>
    <w:rsid w:val="00416CB9"/>
    <w:rsid w:val="0045188E"/>
    <w:rsid w:val="004717AA"/>
    <w:rsid w:val="004D7589"/>
    <w:rsid w:val="004E2DFC"/>
    <w:rsid w:val="004F2AB0"/>
    <w:rsid w:val="005113EE"/>
    <w:rsid w:val="00546639"/>
    <w:rsid w:val="00553D2E"/>
    <w:rsid w:val="00556AD3"/>
    <w:rsid w:val="00560994"/>
    <w:rsid w:val="0057481D"/>
    <w:rsid w:val="00574A15"/>
    <w:rsid w:val="005838E7"/>
    <w:rsid w:val="005867AC"/>
    <w:rsid w:val="005A5C8E"/>
    <w:rsid w:val="005A6407"/>
    <w:rsid w:val="005A6E03"/>
    <w:rsid w:val="005B32C4"/>
    <w:rsid w:val="005C20DE"/>
    <w:rsid w:val="006233FA"/>
    <w:rsid w:val="00640CB1"/>
    <w:rsid w:val="006430A9"/>
    <w:rsid w:val="00650611"/>
    <w:rsid w:val="00655218"/>
    <w:rsid w:val="00657F2A"/>
    <w:rsid w:val="006664D6"/>
    <w:rsid w:val="00671089"/>
    <w:rsid w:val="00694147"/>
    <w:rsid w:val="006948AF"/>
    <w:rsid w:val="00697345"/>
    <w:rsid w:val="006B0721"/>
    <w:rsid w:val="006B2612"/>
    <w:rsid w:val="006D69B8"/>
    <w:rsid w:val="006E1010"/>
    <w:rsid w:val="006E179E"/>
    <w:rsid w:val="006E35B5"/>
    <w:rsid w:val="006F1EF4"/>
    <w:rsid w:val="006F4400"/>
    <w:rsid w:val="007015C3"/>
    <w:rsid w:val="00707856"/>
    <w:rsid w:val="007421A2"/>
    <w:rsid w:val="00750678"/>
    <w:rsid w:val="00773A13"/>
    <w:rsid w:val="00777309"/>
    <w:rsid w:val="00777EAF"/>
    <w:rsid w:val="007A2F5E"/>
    <w:rsid w:val="007A4980"/>
    <w:rsid w:val="007B49B1"/>
    <w:rsid w:val="007C7E75"/>
    <w:rsid w:val="007D0ECB"/>
    <w:rsid w:val="007F69BA"/>
    <w:rsid w:val="00835306"/>
    <w:rsid w:val="0083589A"/>
    <w:rsid w:val="00836283"/>
    <w:rsid w:val="00841AD9"/>
    <w:rsid w:val="00857D68"/>
    <w:rsid w:val="00865AC5"/>
    <w:rsid w:val="00875AEE"/>
    <w:rsid w:val="00881155"/>
    <w:rsid w:val="008D332B"/>
    <w:rsid w:val="00904134"/>
    <w:rsid w:val="0090427C"/>
    <w:rsid w:val="00905067"/>
    <w:rsid w:val="00915A47"/>
    <w:rsid w:val="00924FC9"/>
    <w:rsid w:val="00927007"/>
    <w:rsid w:val="00940CB7"/>
    <w:rsid w:val="00966699"/>
    <w:rsid w:val="00973024"/>
    <w:rsid w:val="00981AB6"/>
    <w:rsid w:val="00983273"/>
    <w:rsid w:val="00991CAC"/>
    <w:rsid w:val="00992C3F"/>
    <w:rsid w:val="009B50A4"/>
    <w:rsid w:val="009C3876"/>
    <w:rsid w:val="009E125C"/>
    <w:rsid w:val="00A11A8B"/>
    <w:rsid w:val="00A205B3"/>
    <w:rsid w:val="00A446E1"/>
    <w:rsid w:val="00A531A0"/>
    <w:rsid w:val="00AC6123"/>
    <w:rsid w:val="00AE1A33"/>
    <w:rsid w:val="00B253C2"/>
    <w:rsid w:val="00B26EFC"/>
    <w:rsid w:val="00B3197C"/>
    <w:rsid w:val="00B378C3"/>
    <w:rsid w:val="00B522ED"/>
    <w:rsid w:val="00B53AA5"/>
    <w:rsid w:val="00B67239"/>
    <w:rsid w:val="00B7075A"/>
    <w:rsid w:val="00B735C5"/>
    <w:rsid w:val="00B970C6"/>
    <w:rsid w:val="00BA679D"/>
    <w:rsid w:val="00BC4C08"/>
    <w:rsid w:val="00BD2EC2"/>
    <w:rsid w:val="00BF1D31"/>
    <w:rsid w:val="00C579E9"/>
    <w:rsid w:val="00C7794A"/>
    <w:rsid w:val="00C80C72"/>
    <w:rsid w:val="00C96E18"/>
    <w:rsid w:val="00C97D4B"/>
    <w:rsid w:val="00CA13BD"/>
    <w:rsid w:val="00CA58F3"/>
    <w:rsid w:val="00CA7CD9"/>
    <w:rsid w:val="00CD62FB"/>
    <w:rsid w:val="00CE25AE"/>
    <w:rsid w:val="00CE5E8E"/>
    <w:rsid w:val="00D103E4"/>
    <w:rsid w:val="00D16D52"/>
    <w:rsid w:val="00D252E1"/>
    <w:rsid w:val="00D32E37"/>
    <w:rsid w:val="00D342BA"/>
    <w:rsid w:val="00D624BB"/>
    <w:rsid w:val="00D70751"/>
    <w:rsid w:val="00D72CAC"/>
    <w:rsid w:val="00D7456E"/>
    <w:rsid w:val="00D83242"/>
    <w:rsid w:val="00D85F5C"/>
    <w:rsid w:val="00D90B97"/>
    <w:rsid w:val="00D9796C"/>
    <w:rsid w:val="00DB14AB"/>
    <w:rsid w:val="00DB236F"/>
    <w:rsid w:val="00DB61AE"/>
    <w:rsid w:val="00DC15BB"/>
    <w:rsid w:val="00DC18A7"/>
    <w:rsid w:val="00DC5A2E"/>
    <w:rsid w:val="00DF1245"/>
    <w:rsid w:val="00DF3F5E"/>
    <w:rsid w:val="00E45F22"/>
    <w:rsid w:val="00E46174"/>
    <w:rsid w:val="00E512B3"/>
    <w:rsid w:val="00E6681A"/>
    <w:rsid w:val="00E70B5D"/>
    <w:rsid w:val="00E73CB2"/>
    <w:rsid w:val="00E806FF"/>
    <w:rsid w:val="00EA4922"/>
    <w:rsid w:val="00EB1EAA"/>
    <w:rsid w:val="00EB21B7"/>
    <w:rsid w:val="00EB2D57"/>
    <w:rsid w:val="00EC66AC"/>
    <w:rsid w:val="00EC68CA"/>
    <w:rsid w:val="00ED503F"/>
    <w:rsid w:val="00ED5763"/>
    <w:rsid w:val="00EE0ECC"/>
    <w:rsid w:val="00EE1625"/>
    <w:rsid w:val="00EE1D04"/>
    <w:rsid w:val="00EE27B1"/>
    <w:rsid w:val="00EE4F4A"/>
    <w:rsid w:val="00EE549F"/>
    <w:rsid w:val="00F12CFC"/>
    <w:rsid w:val="00F12D53"/>
    <w:rsid w:val="00F23FAF"/>
    <w:rsid w:val="00F24271"/>
    <w:rsid w:val="00F244FD"/>
    <w:rsid w:val="00F3387E"/>
    <w:rsid w:val="00F3566A"/>
    <w:rsid w:val="00F40B6B"/>
    <w:rsid w:val="00F45341"/>
    <w:rsid w:val="00F46575"/>
    <w:rsid w:val="00F52C71"/>
    <w:rsid w:val="00FB5317"/>
    <w:rsid w:val="00FC6D47"/>
    <w:rsid w:val="00FD73E3"/>
    <w:rsid w:val="00FF35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94240"/>
  <w15:docId w15:val="{99F4EA11-D562-4603-B668-1B68C960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4B"/>
  </w:style>
  <w:style w:type="paragraph" w:styleId="Heading2">
    <w:name w:val="heading 2"/>
    <w:basedOn w:val="Normal"/>
    <w:next w:val="Normal"/>
    <w:link w:val="Heading2Char"/>
    <w:uiPriority w:val="9"/>
    <w:semiHidden/>
    <w:unhideWhenUsed/>
    <w:qFormat/>
    <w:rsid w:val="00F23F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AE"/>
    <w:pPr>
      <w:ind w:left="720"/>
      <w:contextualSpacing/>
    </w:pPr>
  </w:style>
  <w:style w:type="paragraph" w:styleId="BalloonText">
    <w:name w:val="Balloon Text"/>
    <w:basedOn w:val="Normal"/>
    <w:link w:val="BalloonTextChar"/>
    <w:uiPriority w:val="99"/>
    <w:semiHidden/>
    <w:unhideWhenUsed/>
    <w:rsid w:val="00DB6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AE"/>
    <w:rPr>
      <w:rFonts w:ascii="Segoe UI" w:hAnsi="Segoe UI" w:cs="Segoe UI"/>
      <w:sz w:val="18"/>
      <w:szCs w:val="18"/>
    </w:rPr>
  </w:style>
  <w:style w:type="paragraph" w:styleId="Header">
    <w:name w:val="header"/>
    <w:basedOn w:val="Normal"/>
    <w:link w:val="HeaderChar"/>
    <w:uiPriority w:val="99"/>
    <w:unhideWhenUsed/>
    <w:rsid w:val="00D7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AC"/>
  </w:style>
  <w:style w:type="paragraph" w:styleId="Footer">
    <w:name w:val="footer"/>
    <w:basedOn w:val="Normal"/>
    <w:link w:val="FooterChar"/>
    <w:uiPriority w:val="99"/>
    <w:unhideWhenUsed/>
    <w:rsid w:val="00D7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CAC"/>
  </w:style>
  <w:style w:type="character" w:styleId="CommentReference">
    <w:name w:val="annotation reference"/>
    <w:basedOn w:val="DefaultParagraphFont"/>
    <w:uiPriority w:val="99"/>
    <w:semiHidden/>
    <w:unhideWhenUsed/>
    <w:rsid w:val="00D252E1"/>
    <w:rPr>
      <w:sz w:val="16"/>
      <w:szCs w:val="16"/>
    </w:rPr>
  </w:style>
  <w:style w:type="paragraph" w:styleId="CommentText">
    <w:name w:val="annotation text"/>
    <w:basedOn w:val="Normal"/>
    <w:link w:val="CommentTextChar"/>
    <w:uiPriority w:val="99"/>
    <w:unhideWhenUsed/>
    <w:rsid w:val="00D252E1"/>
    <w:pPr>
      <w:spacing w:line="240" w:lineRule="auto"/>
    </w:pPr>
    <w:rPr>
      <w:sz w:val="20"/>
      <w:szCs w:val="20"/>
    </w:rPr>
  </w:style>
  <w:style w:type="character" w:customStyle="1" w:styleId="CommentTextChar">
    <w:name w:val="Comment Text Char"/>
    <w:basedOn w:val="DefaultParagraphFont"/>
    <w:link w:val="CommentText"/>
    <w:uiPriority w:val="99"/>
    <w:rsid w:val="00D252E1"/>
    <w:rPr>
      <w:sz w:val="20"/>
      <w:szCs w:val="20"/>
    </w:rPr>
  </w:style>
  <w:style w:type="paragraph" w:styleId="CommentSubject">
    <w:name w:val="annotation subject"/>
    <w:basedOn w:val="CommentText"/>
    <w:next w:val="CommentText"/>
    <w:link w:val="CommentSubjectChar"/>
    <w:uiPriority w:val="99"/>
    <w:semiHidden/>
    <w:unhideWhenUsed/>
    <w:rsid w:val="00D252E1"/>
    <w:rPr>
      <w:b/>
      <w:bCs/>
    </w:rPr>
  </w:style>
  <w:style w:type="character" w:customStyle="1" w:styleId="CommentSubjectChar">
    <w:name w:val="Comment Subject Char"/>
    <w:basedOn w:val="CommentTextChar"/>
    <w:link w:val="CommentSubject"/>
    <w:uiPriority w:val="99"/>
    <w:semiHidden/>
    <w:rsid w:val="00D252E1"/>
    <w:rPr>
      <w:b/>
      <w:bCs/>
      <w:sz w:val="20"/>
      <w:szCs w:val="20"/>
    </w:rPr>
  </w:style>
  <w:style w:type="character" w:customStyle="1" w:styleId="g1">
    <w:name w:val="g1"/>
    <w:basedOn w:val="DefaultParagraphFont"/>
    <w:rsid w:val="00546639"/>
  </w:style>
  <w:style w:type="character" w:styleId="Hyperlink">
    <w:name w:val="Hyperlink"/>
    <w:basedOn w:val="DefaultParagraphFont"/>
    <w:uiPriority w:val="99"/>
    <w:semiHidden/>
    <w:unhideWhenUsed/>
    <w:rsid w:val="00546639"/>
    <w:rPr>
      <w:color w:val="0000FF"/>
      <w:u w:val="single"/>
    </w:rPr>
  </w:style>
  <w:style w:type="character" w:customStyle="1" w:styleId="mc">
    <w:name w:val="mc"/>
    <w:basedOn w:val="DefaultParagraphFont"/>
    <w:rsid w:val="00546639"/>
  </w:style>
  <w:style w:type="paragraph" w:styleId="FootnoteText">
    <w:name w:val="footnote text"/>
    <w:basedOn w:val="Normal"/>
    <w:link w:val="FootnoteTextChar"/>
    <w:uiPriority w:val="99"/>
    <w:semiHidden/>
    <w:unhideWhenUsed/>
    <w:rsid w:val="00172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4D7"/>
    <w:rPr>
      <w:sz w:val="20"/>
      <w:szCs w:val="20"/>
    </w:rPr>
  </w:style>
  <w:style w:type="character" w:styleId="FootnoteReference">
    <w:name w:val="footnote reference"/>
    <w:basedOn w:val="DefaultParagraphFont"/>
    <w:uiPriority w:val="99"/>
    <w:semiHidden/>
    <w:unhideWhenUsed/>
    <w:rsid w:val="001724D7"/>
    <w:rPr>
      <w:vertAlign w:val="superscript"/>
    </w:rPr>
  </w:style>
  <w:style w:type="character" w:customStyle="1" w:styleId="Heading2Char">
    <w:name w:val="Heading 2 Char"/>
    <w:basedOn w:val="DefaultParagraphFont"/>
    <w:link w:val="Heading2"/>
    <w:uiPriority w:val="9"/>
    <w:semiHidden/>
    <w:rsid w:val="00F23FA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915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810298">
      <w:bodyDiv w:val="1"/>
      <w:marLeft w:val="0"/>
      <w:marRight w:val="0"/>
      <w:marTop w:val="0"/>
      <w:marBottom w:val="0"/>
      <w:divBdr>
        <w:top w:val="none" w:sz="0" w:space="0" w:color="auto"/>
        <w:left w:val="none" w:sz="0" w:space="0" w:color="auto"/>
        <w:bottom w:val="none" w:sz="0" w:space="0" w:color="auto"/>
        <w:right w:val="none" w:sz="0" w:space="0" w:color="auto"/>
      </w:divBdr>
      <w:divsChild>
        <w:div w:id="250087040">
          <w:marLeft w:val="0"/>
          <w:marRight w:val="0"/>
          <w:marTop w:val="120"/>
          <w:marBottom w:val="0"/>
          <w:divBdr>
            <w:top w:val="none" w:sz="0" w:space="0" w:color="auto"/>
            <w:left w:val="none" w:sz="0" w:space="0" w:color="auto"/>
            <w:bottom w:val="none" w:sz="0" w:space="0" w:color="auto"/>
            <w:right w:val="none" w:sz="0" w:space="0" w:color="auto"/>
          </w:divBdr>
        </w:div>
        <w:div w:id="1871724455">
          <w:marLeft w:val="0"/>
          <w:marRight w:val="0"/>
          <w:marTop w:val="240"/>
          <w:marBottom w:val="24"/>
          <w:divBdr>
            <w:top w:val="single" w:sz="8" w:space="2" w:color="808080"/>
            <w:left w:val="none" w:sz="0" w:space="0" w:color="auto"/>
            <w:bottom w:val="none" w:sz="0" w:space="0" w:color="auto"/>
            <w:right w:val="none" w:sz="0" w:space="0" w:color="auto"/>
          </w:divBdr>
        </w:div>
        <w:div w:id="89357466">
          <w:marLeft w:val="0"/>
          <w:marRight w:val="0"/>
          <w:marTop w:val="120"/>
          <w:marBottom w:val="0"/>
          <w:divBdr>
            <w:top w:val="none" w:sz="0" w:space="0" w:color="auto"/>
            <w:left w:val="none" w:sz="0" w:space="0" w:color="auto"/>
            <w:bottom w:val="none" w:sz="0" w:space="0" w:color="auto"/>
            <w:right w:val="none" w:sz="0" w:space="0" w:color="auto"/>
          </w:divBdr>
        </w:div>
        <w:div w:id="1392575817">
          <w:marLeft w:val="0"/>
          <w:marRight w:val="0"/>
          <w:marTop w:val="120"/>
          <w:marBottom w:val="0"/>
          <w:divBdr>
            <w:top w:val="none" w:sz="0" w:space="0" w:color="auto"/>
            <w:left w:val="none" w:sz="0" w:space="0" w:color="auto"/>
            <w:bottom w:val="none" w:sz="0" w:space="0" w:color="auto"/>
            <w:right w:val="none" w:sz="0" w:space="0" w:color="auto"/>
          </w:divBdr>
        </w:div>
        <w:div w:id="971978624">
          <w:marLeft w:val="567"/>
          <w:marRight w:val="0"/>
          <w:marTop w:val="60"/>
          <w:marBottom w:val="0"/>
          <w:divBdr>
            <w:top w:val="none" w:sz="0" w:space="0" w:color="auto"/>
            <w:left w:val="none" w:sz="0" w:space="0" w:color="auto"/>
            <w:bottom w:val="none" w:sz="0" w:space="0" w:color="auto"/>
            <w:right w:val="none" w:sz="0" w:space="0" w:color="auto"/>
          </w:divBdr>
        </w:div>
        <w:div w:id="1066683713">
          <w:marLeft w:val="567"/>
          <w:marRight w:val="0"/>
          <w:marTop w:val="60"/>
          <w:marBottom w:val="0"/>
          <w:divBdr>
            <w:top w:val="none" w:sz="0" w:space="0" w:color="auto"/>
            <w:left w:val="none" w:sz="0" w:space="0" w:color="auto"/>
            <w:bottom w:val="none" w:sz="0" w:space="0" w:color="auto"/>
            <w:right w:val="none" w:sz="0" w:space="0" w:color="auto"/>
          </w:divBdr>
        </w:div>
        <w:div w:id="1322153255">
          <w:marLeft w:val="567"/>
          <w:marRight w:val="0"/>
          <w:marTop w:val="60"/>
          <w:marBottom w:val="0"/>
          <w:divBdr>
            <w:top w:val="none" w:sz="0" w:space="0" w:color="auto"/>
            <w:left w:val="none" w:sz="0" w:space="0" w:color="auto"/>
            <w:bottom w:val="none" w:sz="0" w:space="0" w:color="auto"/>
            <w:right w:val="none" w:sz="0" w:space="0" w:color="auto"/>
          </w:divBdr>
        </w:div>
        <w:div w:id="278418055">
          <w:marLeft w:val="567"/>
          <w:marRight w:val="0"/>
          <w:marTop w:val="60"/>
          <w:marBottom w:val="0"/>
          <w:divBdr>
            <w:top w:val="none" w:sz="0" w:space="0" w:color="auto"/>
            <w:left w:val="none" w:sz="0" w:space="0" w:color="auto"/>
            <w:bottom w:val="none" w:sz="0" w:space="0" w:color="auto"/>
            <w:right w:val="none" w:sz="0" w:space="0" w:color="auto"/>
          </w:divBdr>
        </w:div>
      </w:divsChild>
    </w:div>
    <w:div w:id="1436901274">
      <w:bodyDiv w:val="1"/>
      <w:marLeft w:val="0"/>
      <w:marRight w:val="0"/>
      <w:marTop w:val="0"/>
      <w:marBottom w:val="0"/>
      <w:divBdr>
        <w:top w:val="none" w:sz="0" w:space="0" w:color="auto"/>
        <w:left w:val="none" w:sz="0" w:space="0" w:color="auto"/>
        <w:bottom w:val="none" w:sz="0" w:space="0" w:color="auto"/>
        <w:right w:val="none" w:sz="0" w:space="0" w:color="auto"/>
      </w:divBdr>
    </w:div>
    <w:div w:id="1603101168">
      <w:bodyDiv w:val="1"/>
      <w:marLeft w:val="0"/>
      <w:marRight w:val="0"/>
      <w:marTop w:val="0"/>
      <w:marBottom w:val="0"/>
      <w:divBdr>
        <w:top w:val="none" w:sz="0" w:space="0" w:color="auto"/>
        <w:left w:val="none" w:sz="0" w:space="0" w:color="auto"/>
        <w:bottom w:val="none" w:sz="0" w:space="0" w:color="auto"/>
        <w:right w:val="none" w:sz="0" w:space="0" w:color="auto"/>
      </w:divBdr>
      <w:divsChild>
        <w:div w:id="137723805">
          <w:marLeft w:val="0"/>
          <w:marRight w:val="0"/>
          <w:marTop w:val="120"/>
          <w:marBottom w:val="0"/>
          <w:divBdr>
            <w:top w:val="none" w:sz="0" w:space="0" w:color="auto"/>
            <w:left w:val="none" w:sz="0" w:space="0" w:color="auto"/>
            <w:bottom w:val="none" w:sz="0" w:space="0" w:color="auto"/>
            <w:right w:val="none" w:sz="0" w:space="0" w:color="auto"/>
          </w:divBdr>
        </w:div>
        <w:div w:id="1376540841">
          <w:marLeft w:val="1134"/>
          <w:marRight w:val="0"/>
          <w:marTop w:val="60"/>
          <w:marBottom w:val="0"/>
          <w:divBdr>
            <w:top w:val="none" w:sz="0" w:space="0" w:color="auto"/>
            <w:left w:val="none" w:sz="0" w:space="0" w:color="auto"/>
            <w:bottom w:val="none" w:sz="0" w:space="0" w:color="auto"/>
            <w:right w:val="none" w:sz="0" w:space="0" w:color="auto"/>
          </w:divBdr>
        </w:div>
        <w:div w:id="1956447825">
          <w:marLeft w:val="1134"/>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16" ma:contentTypeDescription="Create a new document." ma:contentTypeScope="" ma:versionID="e7e39b82c63d7106ad20c88ab384251e">
  <xsd:schema xmlns:xsd="http://www.w3.org/2001/XMLSchema" xmlns:xs="http://www.w3.org/2001/XMLSchema" xmlns:p="http://schemas.microsoft.com/office/2006/metadata/properties" xmlns:ns3="068c6b3d-be1e-4467-bdef-3b2882ff4aae" xmlns:ns4="8f498a54-cb43-480a-bb2b-a29d9485cd83" targetNamespace="http://schemas.microsoft.com/office/2006/metadata/properties" ma:root="true" ma:fieldsID="c0f0f5d8eafa719ebd70000bb07f997b" ns3:_="" ns4:_="">
    <xsd:import namespace="068c6b3d-be1e-4467-bdef-3b2882ff4aae"/>
    <xsd:import namespace="8f498a54-cb43-480a-bb2b-a29d9485cd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98a54-cb43-480a-bb2b-a29d9485cd8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Props1.xml><?xml version="1.0" encoding="utf-8"?>
<ds:datastoreItem xmlns:ds="http://schemas.openxmlformats.org/officeDocument/2006/customXml" ds:itemID="{485AA63A-5A4D-4D81-B6E7-A50025DCC87B}">
  <ds:schemaRefs>
    <ds:schemaRef ds:uri="http://schemas.microsoft.com/sharepoint/v3/contenttype/forms"/>
  </ds:schemaRefs>
</ds:datastoreItem>
</file>

<file path=customXml/itemProps2.xml><?xml version="1.0" encoding="utf-8"?>
<ds:datastoreItem xmlns:ds="http://schemas.openxmlformats.org/officeDocument/2006/customXml" ds:itemID="{2DF9892F-1FBC-43F5-A91A-0E090B0E4A29}">
  <ds:schemaRefs>
    <ds:schemaRef ds:uri="http://schemas.openxmlformats.org/officeDocument/2006/bibliography"/>
  </ds:schemaRefs>
</ds:datastoreItem>
</file>

<file path=customXml/itemProps3.xml><?xml version="1.0" encoding="utf-8"?>
<ds:datastoreItem xmlns:ds="http://schemas.openxmlformats.org/officeDocument/2006/customXml" ds:itemID="{D1562598-5C60-4E8F-A5F6-5CCE49D1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8f498a54-cb43-480a-bb2b-a29d9485c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B0733-5A6D-4847-925D-579F581B70F1}">
  <ds:schemaRefs>
    <ds:schemaRef ds:uri="http://schemas.microsoft.com/office/2006/metadata/properties"/>
    <ds:schemaRef ds:uri="http://schemas.microsoft.com/office/infopath/2007/PartnerControls"/>
    <ds:schemaRef ds:uri="068c6b3d-be1e-4467-bdef-3b2882ff4aa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Maphumulo</dc:creator>
  <cp:keywords/>
  <dc:description/>
  <cp:lastModifiedBy>SANDILE DLOMO INCORPORATED</cp:lastModifiedBy>
  <cp:revision>4</cp:revision>
  <cp:lastPrinted>2024-05-12T12:27:00Z</cp:lastPrinted>
  <dcterms:created xsi:type="dcterms:W3CDTF">2024-05-14T17:16:00Z</dcterms:created>
  <dcterms:modified xsi:type="dcterms:W3CDTF">2024-06-10T04:13:00Z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