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77" w:rsidRPr="00363877" w:rsidRDefault="00363877" w:rsidP="00363877">
      <w:pPr>
        <w:rPr>
          <w:rFonts w:ascii="Arial" w:eastAsia="Calibri" w:hAnsi="Arial" w:cs="Arial"/>
          <w:b/>
          <w:lang w:val="en-GB"/>
        </w:rPr>
      </w:pPr>
      <w:bookmarkStart w:id="0" w:name="_GoBack"/>
      <w:bookmarkEnd w:id="0"/>
    </w:p>
    <w:p w:rsidR="00363877" w:rsidRPr="00363877" w:rsidRDefault="00363877" w:rsidP="00363877">
      <w:pPr>
        <w:rPr>
          <w:rFonts w:ascii="Arial" w:eastAsia="Calibri" w:hAnsi="Arial" w:cs="Arial"/>
          <w:b/>
          <w:lang w:val="en-GB"/>
        </w:rPr>
      </w:pPr>
    </w:p>
    <w:p w:rsidR="00363877" w:rsidRPr="00363877" w:rsidRDefault="00363877" w:rsidP="00363877">
      <w:pPr>
        <w:rPr>
          <w:rFonts w:ascii="Arial" w:eastAsia="Calibri" w:hAnsi="Arial" w:cs="Arial"/>
          <w:lang w:val="en-GB"/>
        </w:rPr>
      </w:pPr>
    </w:p>
    <w:p w:rsidR="00363877" w:rsidRPr="00363877" w:rsidRDefault="00363877" w:rsidP="00363877">
      <w:pPr>
        <w:spacing w:after="0" w:line="240" w:lineRule="auto"/>
        <w:jc w:val="center"/>
        <w:rPr>
          <w:rFonts w:ascii="Times New Roman" w:eastAsia="Times New Roman" w:hAnsi="Times New Roman" w:cs="Times New Roman"/>
          <w:sz w:val="32"/>
          <w:szCs w:val="32"/>
          <w:lang w:val="en-US"/>
        </w:rPr>
      </w:pPr>
      <w:r w:rsidRPr="00363877">
        <w:rPr>
          <w:rFonts w:ascii="Times New Roman" w:eastAsia="Times New Roman" w:hAnsi="Times New Roman" w:cs="Times New Roman"/>
          <w:sz w:val="32"/>
          <w:szCs w:val="32"/>
          <w:lang w:val="en-US"/>
        </w:rPr>
        <w:t>REPUBLIC OF SOUTH AFRICA</w:t>
      </w:r>
    </w:p>
    <w:p w:rsidR="00363877" w:rsidRPr="00363877" w:rsidRDefault="00363877" w:rsidP="00363877">
      <w:pPr>
        <w:spacing w:after="0" w:line="240" w:lineRule="auto"/>
        <w:jc w:val="center"/>
        <w:rPr>
          <w:rFonts w:ascii="Times New Roman" w:eastAsia="Times New Roman" w:hAnsi="Times New Roman" w:cs="Times New Roman"/>
          <w:sz w:val="32"/>
          <w:szCs w:val="32"/>
          <w:lang w:val="en-US"/>
        </w:rPr>
      </w:pPr>
    </w:p>
    <w:p w:rsidR="00363877" w:rsidRPr="00363877" w:rsidRDefault="00363877" w:rsidP="00363877">
      <w:pPr>
        <w:spacing w:after="0" w:line="240" w:lineRule="auto"/>
        <w:jc w:val="center"/>
        <w:rPr>
          <w:rFonts w:ascii="Times New Roman" w:eastAsia="Times New Roman" w:hAnsi="Times New Roman" w:cs="Times New Roman"/>
          <w:sz w:val="32"/>
          <w:szCs w:val="32"/>
          <w:lang w:val="en-US"/>
        </w:rPr>
      </w:pP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Pr="00363877">
        <w:rPr>
          <w:rFonts w:ascii="Times New Roman" w:eastAsia="Times New Roman" w:hAnsi="Times New Roman" w:cs="Times New Roman"/>
          <w:noProof/>
          <w:sz w:val="24"/>
          <w:szCs w:val="24"/>
          <w:lang w:eastAsia="en-ZA"/>
        </w:rPr>
        <w:fldChar w:fldCharType="begin"/>
      </w:r>
      <w:r w:rsidRPr="00363877">
        <w:rPr>
          <w:rFonts w:ascii="Times New Roman" w:eastAsia="Times New Roman" w:hAnsi="Times New Roman" w:cs="Times New Roman"/>
          <w:noProof/>
          <w:sz w:val="24"/>
          <w:szCs w:val="24"/>
          <w:lang w:eastAsia="en-ZA"/>
        </w:rPr>
        <w:instrText xml:space="preserve"> INCLUDEPICTURE  "cid:image002.png@01D19C78.FF7A9FD0" \* MERGEFORMATINET </w:instrText>
      </w:r>
      <w:r w:rsidRPr="00363877">
        <w:rPr>
          <w:rFonts w:ascii="Times New Roman" w:eastAsia="Times New Roman" w:hAnsi="Times New Roman" w:cs="Times New Roman"/>
          <w:noProof/>
          <w:sz w:val="24"/>
          <w:szCs w:val="24"/>
          <w:lang w:eastAsia="en-ZA"/>
        </w:rPr>
        <w:fldChar w:fldCharType="separate"/>
      </w:r>
      <w:r w:rsidR="00EF39FE">
        <w:rPr>
          <w:rFonts w:ascii="Times New Roman" w:eastAsia="Times New Roman" w:hAnsi="Times New Roman" w:cs="Times New Roman"/>
          <w:noProof/>
          <w:sz w:val="24"/>
          <w:szCs w:val="24"/>
          <w:lang w:eastAsia="en-ZA"/>
        </w:rPr>
        <w:fldChar w:fldCharType="begin"/>
      </w:r>
      <w:r w:rsidR="00EF39FE">
        <w:rPr>
          <w:rFonts w:ascii="Times New Roman" w:eastAsia="Times New Roman" w:hAnsi="Times New Roman" w:cs="Times New Roman"/>
          <w:noProof/>
          <w:sz w:val="24"/>
          <w:szCs w:val="24"/>
          <w:lang w:eastAsia="en-ZA"/>
        </w:rPr>
        <w:instrText xml:space="preserve"> INCLUDEPICTURE  "cid:image002.png@01D19C78.FF7A9FD0" \* MERGEFORMATINET </w:instrText>
      </w:r>
      <w:r w:rsidR="00EF39FE">
        <w:rPr>
          <w:rFonts w:ascii="Times New Roman" w:eastAsia="Times New Roman" w:hAnsi="Times New Roman" w:cs="Times New Roman"/>
          <w:noProof/>
          <w:sz w:val="24"/>
          <w:szCs w:val="24"/>
          <w:lang w:eastAsia="en-ZA"/>
        </w:rPr>
        <w:fldChar w:fldCharType="separate"/>
      </w:r>
      <w:r w:rsidR="00794FFD">
        <w:rPr>
          <w:rFonts w:ascii="Times New Roman" w:eastAsia="Times New Roman" w:hAnsi="Times New Roman" w:cs="Times New Roman"/>
          <w:noProof/>
          <w:sz w:val="24"/>
          <w:szCs w:val="24"/>
          <w:lang w:eastAsia="en-ZA"/>
        </w:rPr>
        <w:fldChar w:fldCharType="begin"/>
      </w:r>
      <w:r w:rsidR="00794FFD">
        <w:rPr>
          <w:rFonts w:ascii="Times New Roman" w:eastAsia="Times New Roman" w:hAnsi="Times New Roman" w:cs="Times New Roman"/>
          <w:noProof/>
          <w:sz w:val="24"/>
          <w:szCs w:val="24"/>
          <w:lang w:eastAsia="en-ZA"/>
        </w:rPr>
        <w:instrText xml:space="preserve"> INCLUDEPICTURE  "cid:image002.png@01D19C78.FF7A9FD0" \* MERGEFORMATINET </w:instrText>
      </w:r>
      <w:r w:rsidR="00794FFD">
        <w:rPr>
          <w:rFonts w:ascii="Times New Roman" w:eastAsia="Times New Roman" w:hAnsi="Times New Roman" w:cs="Times New Roman"/>
          <w:noProof/>
          <w:sz w:val="24"/>
          <w:szCs w:val="24"/>
          <w:lang w:eastAsia="en-ZA"/>
        </w:rPr>
        <w:fldChar w:fldCharType="separate"/>
      </w:r>
      <w:r w:rsidR="00451808">
        <w:rPr>
          <w:rFonts w:ascii="Times New Roman" w:eastAsia="Times New Roman" w:hAnsi="Times New Roman" w:cs="Times New Roman"/>
          <w:noProof/>
          <w:sz w:val="24"/>
          <w:szCs w:val="24"/>
          <w:lang w:eastAsia="en-ZA"/>
        </w:rPr>
        <w:fldChar w:fldCharType="begin"/>
      </w:r>
      <w:r w:rsidR="00451808">
        <w:rPr>
          <w:rFonts w:ascii="Times New Roman" w:eastAsia="Times New Roman" w:hAnsi="Times New Roman" w:cs="Times New Roman"/>
          <w:noProof/>
          <w:sz w:val="24"/>
          <w:szCs w:val="24"/>
          <w:lang w:eastAsia="en-ZA"/>
        </w:rPr>
        <w:instrText xml:space="preserve"> INCLUDEPICTURE  "cid:image002.png@01D19C78.FF7A9FD0" \* MERGEFORMATINET </w:instrText>
      </w:r>
      <w:r w:rsidR="00451808">
        <w:rPr>
          <w:rFonts w:ascii="Times New Roman" w:eastAsia="Times New Roman" w:hAnsi="Times New Roman" w:cs="Times New Roman"/>
          <w:noProof/>
          <w:sz w:val="24"/>
          <w:szCs w:val="24"/>
          <w:lang w:eastAsia="en-ZA"/>
        </w:rPr>
        <w:fldChar w:fldCharType="separate"/>
      </w:r>
      <w:r w:rsidR="008F6D63">
        <w:rPr>
          <w:rFonts w:ascii="Times New Roman" w:eastAsia="Times New Roman" w:hAnsi="Times New Roman" w:cs="Times New Roman"/>
          <w:noProof/>
          <w:sz w:val="24"/>
          <w:szCs w:val="24"/>
          <w:lang w:eastAsia="en-ZA"/>
        </w:rPr>
        <w:fldChar w:fldCharType="begin"/>
      </w:r>
      <w:r w:rsidR="008F6D63">
        <w:rPr>
          <w:rFonts w:ascii="Times New Roman" w:eastAsia="Times New Roman" w:hAnsi="Times New Roman" w:cs="Times New Roman"/>
          <w:noProof/>
          <w:sz w:val="24"/>
          <w:szCs w:val="24"/>
          <w:lang w:eastAsia="en-ZA"/>
        </w:rPr>
        <w:instrText xml:space="preserve"> INCLUDEPICTURE  "cid:image002.png@01D19C78.FF7A9FD0" \* MERGEFORMATINET </w:instrText>
      </w:r>
      <w:r w:rsidR="008F6D63">
        <w:rPr>
          <w:rFonts w:ascii="Times New Roman" w:eastAsia="Times New Roman" w:hAnsi="Times New Roman" w:cs="Times New Roman"/>
          <w:noProof/>
          <w:sz w:val="24"/>
          <w:szCs w:val="24"/>
          <w:lang w:eastAsia="en-ZA"/>
        </w:rPr>
        <w:fldChar w:fldCharType="separate"/>
      </w:r>
      <w:r w:rsidR="00DC3F61">
        <w:rPr>
          <w:rFonts w:ascii="Times New Roman" w:eastAsia="Times New Roman" w:hAnsi="Times New Roman" w:cs="Times New Roman"/>
          <w:noProof/>
          <w:sz w:val="24"/>
          <w:szCs w:val="24"/>
          <w:lang w:eastAsia="en-ZA"/>
        </w:rPr>
        <w:fldChar w:fldCharType="begin"/>
      </w:r>
      <w:r w:rsidR="00DC3F61">
        <w:rPr>
          <w:rFonts w:ascii="Times New Roman" w:eastAsia="Times New Roman" w:hAnsi="Times New Roman" w:cs="Times New Roman"/>
          <w:noProof/>
          <w:sz w:val="24"/>
          <w:szCs w:val="24"/>
          <w:lang w:eastAsia="en-ZA"/>
        </w:rPr>
        <w:instrText xml:space="preserve"> INCLUDEPICTURE  "cid:image002.png@01D19C78.FF7A9FD0" \* MERGEFORMATINET </w:instrText>
      </w:r>
      <w:r w:rsidR="00DC3F61">
        <w:rPr>
          <w:rFonts w:ascii="Times New Roman" w:eastAsia="Times New Roman" w:hAnsi="Times New Roman" w:cs="Times New Roman"/>
          <w:noProof/>
          <w:sz w:val="24"/>
          <w:szCs w:val="24"/>
          <w:lang w:eastAsia="en-ZA"/>
        </w:rPr>
        <w:fldChar w:fldCharType="separate"/>
      </w:r>
      <w:r w:rsidR="00A46EE4">
        <w:rPr>
          <w:rFonts w:ascii="Times New Roman" w:eastAsia="Times New Roman" w:hAnsi="Times New Roman" w:cs="Times New Roman"/>
          <w:noProof/>
          <w:sz w:val="24"/>
          <w:szCs w:val="24"/>
          <w:lang w:eastAsia="en-ZA"/>
        </w:rPr>
        <w:fldChar w:fldCharType="begin"/>
      </w:r>
      <w:r w:rsidR="00A46EE4">
        <w:rPr>
          <w:rFonts w:ascii="Times New Roman" w:eastAsia="Times New Roman" w:hAnsi="Times New Roman" w:cs="Times New Roman"/>
          <w:noProof/>
          <w:sz w:val="24"/>
          <w:szCs w:val="24"/>
          <w:lang w:eastAsia="en-ZA"/>
        </w:rPr>
        <w:instrText xml:space="preserve"> </w:instrText>
      </w:r>
      <w:r w:rsidR="00A46EE4">
        <w:rPr>
          <w:rFonts w:ascii="Times New Roman" w:eastAsia="Times New Roman" w:hAnsi="Times New Roman" w:cs="Times New Roman"/>
          <w:noProof/>
          <w:sz w:val="24"/>
          <w:szCs w:val="24"/>
          <w:lang w:eastAsia="en-ZA"/>
        </w:rPr>
        <w:instrText>INCLUDEPICTURE  "cid:image002.png@01D19C78.FF7A9FD0" \* MERGEFORMATINET</w:instrText>
      </w:r>
      <w:r w:rsidR="00A46EE4">
        <w:rPr>
          <w:rFonts w:ascii="Times New Roman" w:eastAsia="Times New Roman" w:hAnsi="Times New Roman" w:cs="Times New Roman"/>
          <w:noProof/>
          <w:sz w:val="24"/>
          <w:szCs w:val="24"/>
          <w:lang w:eastAsia="en-ZA"/>
        </w:rPr>
        <w:instrText xml:space="preserve"> </w:instrText>
      </w:r>
      <w:r w:rsidR="00A46EE4">
        <w:rPr>
          <w:rFonts w:ascii="Times New Roman" w:eastAsia="Times New Roman" w:hAnsi="Times New Roman" w:cs="Times New Roman"/>
          <w:noProof/>
          <w:sz w:val="24"/>
          <w:szCs w:val="24"/>
          <w:lang w:eastAsia="en-ZA"/>
        </w:rPr>
        <w:fldChar w:fldCharType="separate"/>
      </w:r>
      <w:r w:rsidR="00A47D47">
        <w:rPr>
          <w:rFonts w:ascii="Times New Roman" w:eastAsia="Times New Roman" w:hAnsi="Times New Roman" w:cs="Times New Roman"/>
          <w:noProof/>
          <w:sz w:val="24"/>
          <w:szCs w:val="24"/>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visibility:visible">
            <v:imagedata r:id="rId8" r:href="rId9"/>
          </v:shape>
        </w:pict>
      </w:r>
      <w:r w:rsidR="00A46EE4">
        <w:rPr>
          <w:rFonts w:ascii="Times New Roman" w:eastAsia="Times New Roman" w:hAnsi="Times New Roman" w:cs="Times New Roman"/>
          <w:noProof/>
          <w:sz w:val="24"/>
          <w:szCs w:val="24"/>
          <w:lang w:eastAsia="en-ZA"/>
        </w:rPr>
        <w:fldChar w:fldCharType="end"/>
      </w:r>
      <w:r w:rsidR="00DC3F61">
        <w:rPr>
          <w:rFonts w:ascii="Times New Roman" w:eastAsia="Times New Roman" w:hAnsi="Times New Roman" w:cs="Times New Roman"/>
          <w:noProof/>
          <w:sz w:val="24"/>
          <w:szCs w:val="24"/>
          <w:lang w:eastAsia="en-ZA"/>
        </w:rPr>
        <w:fldChar w:fldCharType="end"/>
      </w:r>
      <w:r w:rsidR="008F6D63">
        <w:rPr>
          <w:rFonts w:ascii="Times New Roman" w:eastAsia="Times New Roman" w:hAnsi="Times New Roman" w:cs="Times New Roman"/>
          <w:noProof/>
          <w:sz w:val="24"/>
          <w:szCs w:val="24"/>
          <w:lang w:eastAsia="en-ZA"/>
        </w:rPr>
        <w:fldChar w:fldCharType="end"/>
      </w:r>
      <w:r w:rsidR="00451808">
        <w:rPr>
          <w:rFonts w:ascii="Times New Roman" w:eastAsia="Times New Roman" w:hAnsi="Times New Roman" w:cs="Times New Roman"/>
          <w:noProof/>
          <w:sz w:val="24"/>
          <w:szCs w:val="24"/>
          <w:lang w:eastAsia="en-ZA"/>
        </w:rPr>
        <w:fldChar w:fldCharType="end"/>
      </w:r>
      <w:r w:rsidR="00794FFD">
        <w:rPr>
          <w:rFonts w:ascii="Times New Roman" w:eastAsia="Times New Roman" w:hAnsi="Times New Roman" w:cs="Times New Roman"/>
          <w:noProof/>
          <w:sz w:val="24"/>
          <w:szCs w:val="24"/>
          <w:lang w:eastAsia="en-ZA"/>
        </w:rPr>
        <w:fldChar w:fldCharType="end"/>
      </w:r>
      <w:r w:rsidR="00EF39FE">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r w:rsidRPr="00363877">
        <w:rPr>
          <w:rFonts w:ascii="Times New Roman" w:eastAsia="Times New Roman" w:hAnsi="Times New Roman" w:cs="Times New Roman"/>
          <w:noProof/>
          <w:sz w:val="24"/>
          <w:szCs w:val="24"/>
          <w:lang w:eastAsia="en-ZA"/>
        </w:rPr>
        <w:fldChar w:fldCharType="end"/>
      </w:r>
    </w:p>
    <w:p w:rsidR="00363877" w:rsidRPr="00363877" w:rsidRDefault="00363877" w:rsidP="00363877">
      <w:pPr>
        <w:spacing w:after="0" w:line="240" w:lineRule="auto"/>
        <w:jc w:val="center"/>
        <w:rPr>
          <w:rFonts w:ascii="Times New Roman" w:eastAsia="Times New Roman" w:hAnsi="Times New Roman" w:cs="Times New Roman"/>
          <w:sz w:val="28"/>
          <w:szCs w:val="28"/>
          <w:lang w:val="en-US"/>
        </w:rPr>
      </w:pPr>
      <w:r w:rsidRPr="00363877">
        <w:rPr>
          <w:rFonts w:ascii="Times New Roman" w:eastAsia="Times New Roman" w:hAnsi="Times New Roman" w:cs="Times New Roman"/>
          <w:sz w:val="28"/>
          <w:szCs w:val="28"/>
          <w:lang w:val="en-US"/>
        </w:rPr>
        <w:t>IN THE HIGH COURT OF SOUTH AFRICA</w:t>
      </w:r>
    </w:p>
    <w:p w:rsidR="00363877" w:rsidRPr="00363877" w:rsidRDefault="00363877" w:rsidP="00363877">
      <w:pPr>
        <w:spacing w:after="0" w:line="240" w:lineRule="auto"/>
        <w:jc w:val="center"/>
        <w:rPr>
          <w:rFonts w:ascii="Times New Roman" w:eastAsia="Times New Roman" w:hAnsi="Times New Roman" w:cs="Times New Roman"/>
          <w:sz w:val="32"/>
          <w:szCs w:val="32"/>
          <w:lang w:val="en-US"/>
        </w:rPr>
      </w:pPr>
      <w:r w:rsidRPr="00363877">
        <w:rPr>
          <w:rFonts w:ascii="Times New Roman" w:eastAsia="Times New Roman" w:hAnsi="Times New Roman" w:cs="Times New Roman"/>
          <w:sz w:val="28"/>
          <w:szCs w:val="28"/>
          <w:lang w:val="en-US"/>
        </w:rPr>
        <w:t xml:space="preserve"> LIMPOPO DIVISION, POLOKWANE</w:t>
      </w:r>
    </w:p>
    <w:p w:rsidR="00363877" w:rsidRPr="00363877" w:rsidRDefault="00363877" w:rsidP="00363877">
      <w:pPr>
        <w:spacing w:after="0" w:line="240" w:lineRule="auto"/>
        <w:jc w:val="center"/>
        <w:rPr>
          <w:rFonts w:ascii="Times New Roman" w:eastAsia="Times New Roman" w:hAnsi="Times New Roman" w:cs="Times New Roman"/>
          <w:sz w:val="32"/>
          <w:szCs w:val="32"/>
          <w:lang w:val="en-US"/>
        </w:rPr>
      </w:pPr>
      <w:r w:rsidRPr="00363877">
        <w:rPr>
          <w:rFonts w:ascii="Times New Roman" w:eastAsia="Times New Roman" w:hAnsi="Times New Roman" w:cs="Times New Roman"/>
          <w:sz w:val="32"/>
          <w:szCs w:val="32"/>
          <w:lang w:val="en-US"/>
        </w:rPr>
        <w:tab/>
      </w:r>
      <w:r w:rsidRPr="00363877">
        <w:rPr>
          <w:rFonts w:ascii="Times New Roman" w:eastAsia="Times New Roman" w:hAnsi="Times New Roman" w:cs="Times New Roman"/>
          <w:sz w:val="32"/>
          <w:szCs w:val="32"/>
          <w:lang w:val="en-US"/>
        </w:rPr>
        <w:tab/>
      </w:r>
    </w:p>
    <w:p w:rsidR="00363877" w:rsidRPr="00363877" w:rsidRDefault="00363877" w:rsidP="00363877">
      <w:pPr>
        <w:spacing w:after="0" w:line="240" w:lineRule="auto"/>
        <w:rPr>
          <w:rFonts w:ascii="Times New Roman" w:eastAsia="Times New Roman" w:hAnsi="Times New Roman" w:cs="Times New Roman"/>
          <w:sz w:val="32"/>
          <w:szCs w:val="32"/>
          <w:lang w:val="en-US"/>
        </w:rPr>
      </w:pPr>
      <w:r w:rsidRPr="00363877">
        <w:rPr>
          <w:rFonts w:ascii="Times New Roman" w:eastAsia="Times New Roman" w:hAnsi="Times New Roman" w:cs="Times New Roman"/>
          <w:b/>
          <w:noProof/>
          <w:sz w:val="28"/>
          <w:szCs w:val="28"/>
          <w:lang w:eastAsia="en-ZA"/>
        </w:rPr>
        <mc:AlternateContent>
          <mc:Choice Requires="wps">
            <w:drawing>
              <wp:anchor distT="0" distB="0" distL="114300" distR="114300" simplePos="0" relativeHeight="251659264" behindDoc="0" locked="0" layoutInCell="1" allowOverlap="1" wp14:anchorId="33FA8F14" wp14:editId="2E4FCD01">
                <wp:simplePos x="0" y="0"/>
                <wp:positionH relativeFrom="column">
                  <wp:posOffset>-83820</wp:posOffset>
                </wp:positionH>
                <wp:positionV relativeFrom="paragraph">
                  <wp:posOffset>109220</wp:posOffset>
                </wp:positionV>
                <wp:extent cx="2682240" cy="1318260"/>
                <wp:effectExtent l="11430" t="508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318260"/>
                        </a:xfrm>
                        <a:prstGeom prst="rect">
                          <a:avLst/>
                        </a:prstGeom>
                        <a:solidFill>
                          <a:srgbClr val="FFFFFF"/>
                        </a:solidFill>
                        <a:ln w="9525">
                          <a:solidFill>
                            <a:srgbClr val="000000"/>
                          </a:solidFill>
                          <a:miter lim="800000"/>
                          <a:headEnd/>
                          <a:tailEnd/>
                        </a:ln>
                      </wps:spPr>
                      <wps:txbx>
                        <w:txbxContent>
                          <w:p w:rsidR="00363877" w:rsidRPr="00B102D4" w:rsidRDefault="00363877" w:rsidP="00363877">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REPORTABLE: YES/NO</w:t>
                            </w:r>
                          </w:p>
                          <w:p w:rsidR="00363877" w:rsidRPr="00B102D4" w:rsidRDefault="00363877" w:rsidP="00363877">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OF INTEREST TO THE JUDGES: YES/NO</w:t>
                            </w:r>
                          </w:p>
                          <w:p w:rsidR="00363877" w:rsidRPr="00B102D4" w:rsidRDefault="00363877" w:rsidP="00363877">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REVISED.</w:t>
                            </w:r>
                          </w:p>
                          <w:p w:rsidR="00363877" w:rsidRPr="00B102D4" w:rsidRDefault="00363877" w:rsidP="00363877">
                            <w:pPr>
                              <w:ind w:left="360"/>
                              <w:rPr>
                                <w:rFonts w:ascii="Arial" w:hAnsi="Arial" w:cs="Arial"/>
                                <w:sz w:val="18"/>
                                <w:szCs w:val="18"/>
                              </w:rPr>
                            </w:pPr>
                          </w:p>
                          <w:p w:rsidR="00363877" w:rsidRDefault="00363877" w:rsidP="00363877">
                            <w:pPr>
                              <w:ind w:left="360"/>
                              <w:rPr>
                                <w:rFonts w:ascii="Arial" w:hAnsi="Arial" w:cs="Arial"/>
                                <w:sz w:val="18"/>
                                <w:szCs w:val="18"/>
                              </w:rPr>
                            </w:pPr>
                            <w:r>
                              <w:rPr>
                                <w:rFonts w:ascii="Arial" w:hAnsi="Arial" w:cs="Arial"/>
                                <w:sz w:val="18"/>
                                <w:szCs w:val="18"/>
                              </w:rPr>
                              <w:t xml:space="preserve">       </w:t>
                            </w:r>
                            <w:r w:rsidRPr="00B102D4">
                              <w:rPr>
                                <w:rFonts w:ascii="Arial" w:hAnsi="Arial" w:cs="Arial"/>
                                <w:sz w:val="18"/>
                                <w:szCs w:val="18"/>
                              </w:rPr>
                              <w:t>…………………</w:t>
                            </w:r>
                            <w:r>
                              <w:rPr>
                                <w:rFonts w:ascii="Arial" w:hAnsi="Arial" w:cs="Arial"/>
                                <w:sz w:val="18"/>
                                <w:szCs w:val="18"/>
                              </w:rPr>
                              <w:t>….</w:t>
                            </w:r>
                            <w:r w:rsidRPr="00B102D4">
                              <w:rPr>
                                <w:rFonts w:ascii="Arial" w:hAnsi="Arial" w:cs="Arial"/>
                                <w:sz w:val="18"/>
                                <w:szCs w:val="18"/>
                              </w:rPr>
                              <w:tab/>
                            </w:r>
                            <w:r w:rsidRPr="00B102D4">
                              <w:rPr>
                                <w:rFonts w:ascii="Arial" w:hAnsi="Arial" w:cs="Arial"/>
                                <w:sz w:val="18"/>
                                <w:szCs w:val="18"/>
                              </w:rPr>
                              <w:tab/>
                              <w:t>…………………….</w:t>
                            </w:r>
                          </w:p>
                          <w:p w:rsidR="00363877" w:rsidRPr="00B102D4" w:rsidRDefault="00363877" w:rsidP="00363877">
                            <w:pPr>
                              <w:ind w:left="360"/>
                              <w:rPr>
                                <w:rFonts w:ascii="Arial" w:hAnsi="Arial" w:cs="Arial"/>
                                <w:sz w:val="18"/>
                                <w:szCs w:val="18"/>
                              </w:rPr>
                            </w:pPr>
                          </w:p>
                          <w:p w:rsidR="00363877" w:rsidRPr="00B102D4" w:rsidRDefault="00363877" w:rsidP="00363877">
                            <w:pPr>
                              <w:ind w:left="360"/>
                              <w:rPr>
                                <w:rFonts w:ascii="Arial" w:hAnsi="Arial" w:cs="Arial"/>
                                <w:sz w:val="18"/>
                                <w:szCs w:val="18"/>
                              </w:rPr>
                            </w:pPr>
                            <w:r>
                              <w:rPr>
                                <w:rFonts w:ascii="Arial" w:hAnsi="Arial" w:cs="Arial"/>
                                <w:sz w:val="18"/>
                                <w:szCs w:val="18"/>
                              </w:rPr>
                              <w:t>DATE</w:t>
                            </w:r>
                            <w:r>
                              <w:rPr>
                                <w:rFonts w:ascii="Arial" w:hAnsi="Arial" w:cs="Arial"/>
                                <w:sz w:val="18"/>
                                <w:szCs w:val="18"/>
                              </w:rPr>
                              <w:tab/>
                              <w:t xml:space="preserve">       S</w:t>
                            </w:r>
                            <w:r w:rsidRPr="00B102D4">
                              <w:rPr>
                                <w:rFonts w:ascii="Arial" w:hAnsi="Arial" w:cs="Arial"/>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3FA8F14" id="_x0000_t202" coordsize="21600,21600" o:spt="202" path="m,l,21600r21600,l21600,xe">
                <v:stroke joinstyle="miter"/>
                <v:path gradientshapeok="t" o:connecttype="rect"/>
              </v:shapetype>
              <v:shape id="Text Box 1" o:spid="_x0000_s1026" type="#_x0000_t202" style="position:absolute;margin-left:-6.6pt;margin-top:8.6pt;width:211.2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">
                <v:textbox>
                  <w:txbxContent>
                    <w:p w:rsidR="00363877" w:rsidRPr="00B102D4" w:rsidRDefault="00363877" w:rsidP="00363877">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REPORTABLE: YES/NO</w:t>
                      </w:r>
                    </w:p>
                    <w:p w:rsidR="00363877" w:rsidRPr="00B102D4" w:rsidRDefault="00363877" w:rsidP="00363877">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OF INTEREST TO THE JUDGES: YES/NO</w:t>
                      </w:r>
                    </w:p>
                    <w:p w:rsidR="00363877" w:rsidRPr="00B102D4" w:rsidRDefault="00363877" w:rsidP="00363877">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REVISED.</w:t>
                      </w:r>
                    </w:p>
                    <w:p w:rsidR="00363877" w:rsidRPr="00B102D4" w:rsidRDefault="00363877" w:rsidP="00363877">
                      <w:pPr>
                        <w:ind w:left="360"/>
                        <w:rPr>
                          <w:rFonts w:ascii="Arial" w:hAnsi="Arial" w:cs="Arial"/>
                          <w:sz w:val="18"/>
                          <w:szCs w:val="18"/>
                        </w:rPr>
                      </w:pPr>
                    </w:p>
                    <w:p w:rsidR="00363877" w:rsidRDefault="00363877" w:rsidP="00363877">
                      <w:pPr>
                        <w:ind w:left="360"/>
                        <w:rPr>
                          <w:rFonts w:ascii="Arial" w:hAnsi="Arial" w:cs="Arial"/>
                          <w:sz w:val="18"/>
                          <w:szCs w:val="18"/>
                        </w:rPr>
                      </w:pPr>
                      <w:r>
                        <w:rPr>
                          <w:rFonts w:ascii="Arial" w:hAnsi="Arial" w:cs="Arial"/>
                          <w:sz w:val="18"/>
                          <w:szCs w:val="18"/>
                        </w:rPr>
                        <w:t xml:space="preserve">       </w:t>
                      </w:r>
                      <w:r w:rsidRPr="00B102D4">
                        <w:rPr>
                          <w:rFonts w:ascii="Arial" w:hAnsi="Arial" w:cs="Arial"/>
                          <w:sz w:val="18"/>
                          <w:szCs w:val="18"/>
                        </w:rPr>
                        <w:t>…………………</w:t>
                      </w:r>
                      <w:r>
                        <w:rPr>
                          <w:rFonts w:ascii="Arial" w:hAnsi="Arial" w:cs="Arial"/>
                          <w:sz w:val="18"/>
                          <w:szCs w:val="18"/>
                        </w:rPr>
                        <w:t>….</w:t>
                      </w:r>
                      <w:r w:rsidRPr="00B102D4">
                        <w:rPr>
                          <w:rFonts w:ascii="Arial" w:hAnsi="Arial" w:cs="Arial"/>
                          <w:sz w:val="18"/>
                          <w:szCs w:val="18"/>
                        </w:rPr>
                        <w:tab/>
                      </w:r>
                      <w:r w:rsidRPr="00B102D4">
                        <w:rPr>
                          <w:rFonts w:ascii="Arial" w:hAnsi="Arial" w:cs="Arial"/>
                          <w:sz w:val="18"/>
                          <w:szCs w:val="18"/>
                        </w:rPr>
                        <w:tab/>
                        <w:t>…………………….</w:t>
                      </w:r>
                    </w:p>
                    <w:p w:rsidR="00363877" w:rsidRPr="00B102D4" w:rsidRDefault="00363877" w:rsidP="00363877">
                      <w:pPr>
                        <w:ind w:left="360"/>
                        <w:rPr>
                          <w:rFonts w:ascii="Arial" w:hAnsi="Arial" w:cs="Arial"/>
                          <w:sz w:val="18"/>
                          <w:szCs w:val="18"/>
                        </w:rPr>
                      </w:pPr>
                    </w:p>
                    <w:p w:rsidR="00363877" w:rsidRPr="00B102D4" w:rsidRDefault="00363877" w:rsidP="00363877">
                      <w:pPr>
                        <w:ind w:left="360"/>
                        <w:rPr>
                          <w:rFonts w:ascii="Arial" w:hAnsi="Arial" w:cs="Arial"/>
                          <w:sz w:val="18"/>
                          <w:szCs w:val="18"/>
                        </w:rPr>
                      </w:pPr>
                      <w:r>
                        <w:rPr>
                          <w:rFonts w:ascii="Arial" w:hAnsi="Arial" w:cs="Arial"/>
                          <w:sz w:val="18"/>
                          <w:szCs w:val="18"/>
                        </w:rPr>
                        <w:t>DATE</w:t>
                      </w:r>
                      <w:r>
                        <w:rPr>
                          <w:rFonts w:ascii="Arial" w:hAnsi="Arial" w:cs="Arial"/>
                          <w:sz w:val="18"/>
                          <w:szCs w:val="18"/>
                        </w:rPr>
                        <w:tab/>
                        <w:t xml:space="preserve">       S</w:t>
                      </w:r>
                      <w:r w:rsidRPr="00B102D4">
                        <w:rPr>
                          <w:rFonts w:ascii="Arial" w:hAnsi="Arial" w:cs="Arial"/>
                          <w:sz w:val="18"/>
                          <w:szCs w:val="18"/>
                        </w:rPr>
                        <w:t>IGNATURE</w:t>
                      </w:r>
                    </w:p>
                  </w:txbxContent>
                </v:textbox>
              </v:shape>
            </w:pict>
          </mc:Fallback>
        </mc:AlternateContent>
      </w:r>
      <w:r w:rsidRPr="00363877">
        <w:rPr>
          <w:rFonts w:ascii="Times New Roman" w:eastAsia="Times New Roman" w:hAnsi="Times New Roman" w:cs="Times New Roman"/>
          <w:b/>
          <w:sz w:val="28"/>
          <w:szCs w:val="28"/>
          <w:lang w:val="en-US"/>
        </w:rPr>
        <w:tab/>
      </w:r>
      <w:r w:rsidRPr="00363877">
        <w:rPr>
          <w:rFonts w:ascii="Times New Roman" w:eastAsia="Times New Roman" w:hAnsi="Times New Roman" w:cs="Times New Roman"/>
          <w:b/>
          <w:sz w:val="28"/>
          <w:szCs w:val="28"/>
          <w:lang w:val="en-US"/>
        </w:rPr>
        <w:tab/>
      </w:r>
      <w:r w:rsidRPr="00363877">
        <w:rPr>
          <w:rFonts w:ascii="Times New Roman" w:eastAsia="Times New Roman" w:hAnsi="Times New Roman" w:cs="Times New Roman"/>
          <w:b/>
          <w:sz w:val="28"/>
          <w:szCs w:val="28"/>
          <w:lang w:val="en-US"/>
        </w:rPr>
        <w:tab/>
      </w:r>
      <w:r w:rsidRPr="00363877">
        <w:rPr>
          <w:rFonts w:ascii="Times New Roman" w:eastAsia="Times New Roman" w:hAnsi="Times New Roman" w:cs="Times New Roman"/>
          <w:b/>
          <w:sz w:val="28"/>
          <w:szCs w:val="28"/>
          <w:lang w:val="en-US"/>
        </w:rPr>
        <w:tab/>
      </w:r>
      <w:r w:rsidRPr="00363877">
        <w:rPr>
          <w:rFonts w:ascii="Times New Roman" w:eastAsia="Times New Roman" w:hAnsi="Times New Roman" w:cs="Times New Roman"/>
          <w:b/>
          <w:sz w:val="28"/>
          <w:szCs w:val="28"/>
          <w:lang w:val="en-US"/>
        </w:rPr>
        <w:tab/>
      </w:r>
      <w:r w:rsidRPr="00363877">
        <w:rPr>
          <w:rFonts w:ascii="Times New Roman" w:eastAsia="Times New Roman" w:hAnsi="Times New Roman" w:cs="Times New Roman"/>
          <w:b/>
          <w:sz w:val="28"/>
          <w:szCs w:val="28"/>
          <w:lang w:val="en-US"/>
        </w:rPr>
        <w:tab/>
      </w:r>
      <w:r w:rsidRPr="00363877">
        <w:rPr>
          <w:rFonts w:ascii="Times New Roman" w:eastAsia="Times New Roman" w:hAnsi="Times New Roman" w:cs="Times New Roman"/>
          <w:b/>
          <w:sz w:val="28"/>
          <w:szCs w:val="28"/>
          <w:lang w:val="en-US"/>
        </w:rPr>
        <w:tab/>
      </w:r>
      <w:r w:rsidRPr="00363877">
        <w:rPr>
          <w:rFonts w:ascii="Times New Roman" w:eastAsia="Times New Roman" w:hAnsi="Times New Roman" w:cs="Times New Roman"/>
          <w:b/>
          <w:sz w:val="28"/>
          <w:szCs w:val="28"/>
          <w:lang w:val="en-US"/>
        </w:rPr>
        <w:tab/>
      </w:r>
    </w:p>
    <w:p w:rsidR="00363877" w:rsidRPr="00363877" w:rsidRDefault="00363877" w:rsidP="00363877">
      <w:pPr>
        <w:spacing w:after="0" w:line="240" w:lineRule="auto"/>
        <w:rPr>
          <w:rFonts w:ascii="Times New Roman" w:eastAsia="Times New Roman" w:hAnsi="Times New Roman" w:cs="Times New Roman"/>
          <w:sz w:val="28"/>
          <w:szCs w:val="28"/>
          <w:lang w:val="en-US"/>
        </w:rPr>
      </w:pP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p>
    <w:p w:rsidR="00363877" w:rsidRPr="00363877" w:rsidRDefault="00363877" w:rsidP="00363877">
      <w:pPr>
        <w:spacing w:after="0" w:line="240" w:lineRule="auto"/>
        <w:rPr>
          <w:rFonts w:ascii="Times New Roman" w:eastAsia="Times New Roman" w:hAnsi="Times New Roman" w:cs="Times New Roman"/>
          <w:sz w:val="28"/>
          <w:szCs w:val="28"/>
          <w:lang w:val="en-US"/>
        </w:rPr>
      </w:pP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r w:rsidRPr="00363877">
        <w:rPr>
          <w:rFonts w:ascii="Times New Roman" w:eastAsia="Times New Roman" w:hAnsi="Times New Roman" w:cs="Times New Roman"/>
          <w:sz w:val="28"/>
          <w:szCs w:val="28"/>
          <w:lang w:val="en-US"/>
        </w:rPr>
        <w:tab/>
      </w:r>
    </w:p>
    <w:p w:rsidR="00363877" w:rsidRPr="00363877" w:rsidRDefault="00363877" w:rsidP="00363877">
      <w:pPr>
        <w:rPr>
          <w:rFonts w:ascii="Arial" w:eastAsia="Calibri" w:hAnsi="Arial" w:cs="Arial"/>
          <w:b/>
          <w:lang w:val="en-GB"/>
        </w:rPr>
      </w:pPr>
    </w:p>
    <w:p w:rsidR="00363877" w:rsidRPr="00363877" w:rsidRDefault="00363877" w:rsidP="00363877">
      <w:pPr>
        <w:rPr>
          <w:rFonts w:ascii="Arial" w:eastAsia="Calibri" w:hAnsi="Arial" w:cs="Arial"/>
          <w:b/>
          <w:lang w:val="en-GB"/>
        </w:rPr>
      </w:pPr>
    </w:p>
    <w:p w:rsidR="00363877" w:rsidRPr="00363877" w:rsidRDefault="00363877" w:rsidP="00363877">
      <w:pPr>
        <w:rPr>
          <w:rFonts w:ascii="Arial" w:eastAsia="Calibri" w:hAnsi="Arial" w:cs="Arial"/>
          <w:b/>
          <w:lang w:val="en-GB"/>
        </w:rPr>
      </w:pPr>
    </w:p>
    <w:p w:rsidR="00363877" w:rsidRPr="00363877" w:rsidRDefault="00363877" w:rsidP="00363877">
      <w:pPr>
        <w:rPr>
          <w:rFonts w:ascii="Arial" w:eastAsia="Calibri" w:hAnsi="Arial" w:cs="Arial"/>
          <w:sz w:val="28"/>
          <w:szCs w:val="28"/>
          <w:lang w:val="en-GB"/>
        </w:rPr>
      </w:pPr>
      <w:r w:rsidRPr="00363877">
        <w:rPr>
          <w:rFonts w:ascii="Arial" w:eastAsia="Calibri" w:hAnsi="Arial" w:cs="Arial"/>
          <w:b/>
          <w:lang w:val="en-GB"/>
        </w:rPr>
        <w:tab/>
      </w:r>
      <w:r w:rsidRPr="00363877">
        <w:rPr>
          <w:rFonts w:ascii="Arial" w:eastAsia="Calibri" w:hAnsi="Arial" w:cs="Arial"/>
          <w:b/>
          <w:lang w:val="en-GB"/>
        </w:rPr>
        <w:tab/>
      </w:r>
      <w:r w:rsidRPr="00363877">
        <w:rPr>
          <w:rFonts w:ascii="Arial" w:eastAsia="Calibri" w:hAnsi="Arial" w:cs="Arial"/>
          <w:b/>
          <w:lang w:val="en-GB"/>
        </w:rPr>
        <w:tab/>
      </w:r>
      <w:r w:rsidRPr="00363877">
        <w:rPr>
          <w:rFonts w:ascii="Arial" w:eastAsia="Calibri" w:hAnsi="Arial" w:cs="Arial"/>
          <w:b/>
          <w:lang w:val="en-GB"/>
        </w:rPr>
        <w:tab/>
      </w:r>
      <w:r w:rsidRPr="00363877">
        <w:rPr>
          <w:rFonts w:ascii="Arial" w:eastAsia="Calibri" w:hAnsi="Arial" w:cs="Arial"/>
          <w:b/>
          <w:lang w:val="en-GB"/>
        </w:rPr>
        <w:tab/>
      </w:r>
      <w:r w:rsidRPr="00363877">
        <w:rPr>
          <w:rFonts w:ascii="Arial" w:eastAsia="Calibri" w:hAnsi="Arial" w:cs="Arial"/>
          <w:b/>
          <w:lang w:val="en-GB"/>
        </w:rPr>
        <w:tab/>
      </w:r>
      <w:r w:rsidRPr="00363877">
        <w:rPr>
          <w:rFonts w:ascii="Arial" w:eastAsia="Calibri" w:hAnsi="Arial" w:cs="Arial"/>
          <w:b/>
          <w:lang w:val="en-GB"/>
        </w:rPr>
        <w:tab/>
      </w:r>
      <w:r w:rsidRPr="00363877">
        <w:rPr>
          <w:rFonts w:ascii="Arial" w:eastAsia="Calibri" w:hAnsi="Arial" w:cs="Arial"/>
          <w:sz w:val="28"/>
          <w:szCs w:val="28"/>
          <w:lang w:val="en-GB"/>
        </w:rPr>
        <w:t>Case no: 4619/2022</w:t>
      </w:r>
    </w:p>
    <w:p w:rsidR="00363877" w:rsidRDefault="00363877" w:rsidP="00363877">
      <w:pPr>
        <w:rPr>
          <w:rFonts w:ascii="Arial" w:eastAsia="Calibri" w:hAnsi="Arial" w:cs="Arial"/>
          <w:sz w:val="28"/>
          <w:szCs w:val="28"/>
          <w:lang w:val="en-GB"/>
        </w:rPr>
      </w:pPr>
      <w:r w:rsidRPr="00363877">
        <w:rPr>
          <w:rFonts w:ascii="Arial" w:eastAsia="Calibri" w:hAnsi="Arial" w:cs="Arial"/>
          <w:sz w:val="28"/>
          <w:szCs w:val="28"/>
          <w:lang w:val="en-GB"/>
        </w:rPr>
        <w:t>In the matter between:</w:t>
      </w:r>
    </w:p>
    <w:p w:rsidR="00363877" w:rsidRDefault="00363877" w:rsidP="00363877">
      <w:pPr>
        <w:rPr>
          <w:rFonts w:ascii="Arial" w:eastAsia="Calibri" w:hAnsi="Arial" w:cs="Arial"/>
          <w:sz w:val="20"/>
          <w:szCs w:val="20"/>
          <w:lang w:val="en-GB"/>
        </w:rPr>
      </w:pPr>
      <w:r w:rsidRPr="00363877">
        <w:rPr>
          <w:rFonts w:ascii="Arial" w:eastAsia="Calibri" w:hAnsi="Arial" w:cs="Arial"/>
          <w:sz w:val="20"/>
          <w:szCs w:val="20"/>
          <w:lang w:val="en-GB"/>
        </w:rPr>
        <w:t>HANS</w:t>
      </w:r>
      <w:r>
        <w:rPr>
          <w:rFonts w:ascii="Arial" w:eastAsia="Calibri" w:hAnsi="Arial" w:cs="Arial"/>
          <w:sz w:val="20"/>
          <w:szCs w:val="20"/>
          <w:lang w:val="en-GB"/>
        </w:rPr>
        <w:t xml:space="preserve"> MERENSKY LAND OWNERS’ ASSOCIATION</w:t>
      </w:r>
      <w:r>
        <w:rPr>
          <w:rFonts w:ascii="Arial" w:eastAsia="Calibri" w:hAnsi="Arial" w:cs="Arial"/>
          <w:sz w:val="20"/>
          <w:szCs w:val="20"/>
          <w:lang w:val="en-GB"/>
        </w:rPr>
        <w:tab/>
      </w:r>
      <w:r>
        <w:rPr>
          <w:rFonts w:ascii="Arial" w:eastAsia="Calibri" w:hAnsi="Arial" w:cs="Arial"/>
          <w:sz w:val="20"/>
          <w:szCs w:val="20"/>
          <w:lang w:val="en-GB"/>
        </w:rPr>
        <w:tab/>
        <w:t>APPLICANT</w:t>
      </w:r>
    </w:p>
    <w:p w:rsidR="00363877" w:rsidRDefault="00363877" w:rsidP="00363877">
      <w:pPr>
        <w:rPr>
          <w:rFonts w:ascii="Arial" w:eastAsia="Calibri" w:hAnsi="Arial" w:cs="Arial"/>
          <w:sz w:val="20"/>
          <w:szCs w:val="20"/>
          <w:lang w:val="en-GB"/>
        </w:rPr>
      </w:pPr>
      <w:r>
        <w:rPr>
          <w:rFonts w:ascii="Arial" w:eastAsia="Calibri" w:hAnsi="Arial" w:cs="Arial"/>
          <w:sz w:val="20"/>
          <w:szCs w:val="20"/>
          <w:lang w:val="en-GB"/>
        </w:rPr>
        <w:t>And</w:t>
      </w:r>
    </w:p>
    <w:p w:rsidR="00363877" w:rsidRDefault="00363877" w:rsidP="00363877">
      <w:pPr>
        <w:rPr>
          <w:rFonts w:ascii="Arial" w:eastAsia="Calibri" w:hAnsi="Arial" w:cs="Arial"/>
          <w:sz w:val="20"/>
          <w:szCs w:val="20"/>
          <w:lang w:val="en-GB"/>
        </w:rPr>
      </w:pPr>
    </w:p>
    <w:p w:rsidR="00363877" w:rsidRDefault="00363877" w:rsidP="00363877">
      <w:pPr>
        <w:rPr>
          <w:rFonts w:ascii="Arial" w:eastAsia="Calibri" w:hAnsi="Arial" w:cs="Arial"/>
          <w:sz w:val="20"/>
          <w:szCs w:val="20"/>
          <w:lang w:val="en-GB"/>
        </w:rPr>
      </w:pPr>
      <w:r>
        <w:rPr>
          <w:rFonts w:ascii="Arial" w:eastAsia="Calibri" w:hAnsi="Arial" w:cs="Arial"/>
          <w:sz w:val="20"/>
          <w:szCs w:val="20"/>
          <w:lang w:val="en-GB"/>
        </w:rPr>
        <w:t>REGISTRAR OF DEEDS, POLOKWANE</w:t>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t>FIRST RESPONDNENT</w:t>
      </w:r>
    </w:p>
    <w:p w:rsidR="00363877" w:rsidRDefault="00363877" w:rsidP="00363877">
      <w:pPr>
        <w:rPr>
          <w:rFonts w:ascii="Arial" w:eastAsia="Calibri" w:hAnsi="Arial" w:cs="Arial"/>
          <w:sz w:val="20"/>
          <w:szCs w:val="20"/>
          <w:lang w:val="en-GB"/>
        </w:rPr>
      </w:pPr>
      <w:r>
        <w:rPr>
          <w:rFonts w:ascii="Arial" w:eastAsia="Calibri" w:hAnsi="Arial" w:cs="Arial"/>
          <w:sz w:val="20"/>
          <w:szCs w:val="20"/>
          <w:lang w:val="en-GB"/>
        </w:rPr>
        <w:t>SOUTHERN SKY HOTEL AND LEISURE (PTY) LTD</w:t>
      </w:r>
    </w:p>
    <w:p w:rsidR="00363877" w:rsidRDefault="00363877" w:rsidP="00363877">
      <w:pPr>
        <w:rPr>
          <w:rFonts w:ascii="Arial" w:eastAsia="Calibri" w:hAnsi="Arial" w:cs="Arial"/>
          <w:sz w:val="20"/>
          <w:szCs w:val="20"/>
          <w:lang w:val="en-GB"/>
        </w:rPr>
      </w:pPr>
      <w:r>
        <w:rPr>
          <w:rFonts w:ascii="Arial" w:eastAsia="Calibri" w:hAnsi="Arial" w:cs="Arial"/>
          <w:sz w:val="20"/>
          <w:szCs w:val="20"/>
          <w:lang w:val="en-GB"/>
        </w:rPr>
        <w:t>(IN LIQUIDATION)t/a HANS MARENSKY HOTEL SPA</w:t>
      </w:r>
      <w:r>
        <w:rPr>
          <w:rFonts w:ascii="Arial" w:eastAsia="Calibri" w:hAnsi="Arial" w:cs="Arial"/>
          <w:sz w:val="20"/>
          <w:szCs w:val="20"/>
          <w:lang w:val="en-GB"/>
        </w:rPr>
        <w:tab/>
      </w:r>
      <w:r>
        <w:rPr>
          <w:rFonts w:ascii="Arial" w:eastAsia="Calibri" w:hAnsi="Arial" w:cs="Arial"/>
          <w:sz w:val="20"/>
          <w:szCs w:val="20"/>
          <w:lang w:val="en-GB"/>
        </w:rPr>
        <w:tab/>
        <w:t>SECOND RESPONDENT</w:t>
      </w:r>
    </w:p>
    <w:p w:rsidR="00363877" w:rsidRDefault="00363877" w:rsidP="00363877">
      <w:pPr>
        <w:rPr>
          <w:rFonts w:ascii="Arial" w:eastAsia="Calibri" w:hAnsi="Arial" w:cs="Arial"/>
          <w:sz w:val="20"/>
          <w:szCs w:val="20"/>
          <w:lang w:val="en-GB"/>
        </w:rPr>
      </w:pPr>
      <w:r>
        <w:rPr>
          <w:rFonts w:ascii="Arial" w:eastAsia="Calibri" w:hAnsi="Arial" w:cs="Arial"/>
          <w:sz w:val="20"/>
          <w:szCs w:val="20"/>
          <w:lang w:val="en-GB"/>
        </w:rPr>
        <w:t>MUSTUFA MOHAMED N.O</w:t>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t>THIRD RESPONDENT</w:t>
      </w:r>
    </w:p>
    <w:p w:rsidR="00363877" w:rsidRDefault="00363877" w:rsidP="00363877">
      <w:pPr>
        <w:rPr>
          <w:rFonts w:ascii="Arial" w:eastAsia="Calibri" w:hAnsi="Arial" w:cs="Arial"/>
          <w:sz w:val="20"/>
          <w:szCs w:val="20"/>
          <w:lang w:val="en-GB"/>
        </w:rPr>
      </w:pPr>
      <w:r>
        <w:rPr>
          <w:rFonts w:ascii="Arial" w:eastAsia="Calibri" w:hAnsi="Arial" w:cs="Arial"/>
          <w:sz w:val="20"/>
          <w:szCs w:val="20"/>
          <w:lang w:val="en-GB"/>
        </w:rPr>
        <w:t>PULENG FELICITY BODIBE N.O</w:t>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t>FOURTH RESPONDENT</w:t>
      </w:r>
    </w:p>
    <w:p w:rsidR="00363877" w:rsidRDefault="00363877" w:rsidP="00363877">
      <w:pPr>
        <w:rPr>
          <w:rFonts w:ascii="Arial" w:eastAsia="Calibri" w:hAnsi="Arial" w:cs="Arial"/>
          <w:sz w:val="20"/>
          <w:szCs w:val="20"/>
          <w:lang w:val="en-GB"/>
        </w:rPr>
      </w:pPr>
      <w:r>
        <w:rPr>
          <w:rFonts w:ascii="Arial" w:eastAsia="Calibri" w:hAnsi="Arial" w:cs="Arial"/>
          <w:sz w:val="20"/>
          <w:szCs w:val="20"/>
          <w:lang w:val="en-GB"/>
        </w:rPr>
        <w:t>MARYNA ESTELLE SYMES N.O</w:t>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t>FIFTH RESPONDENT</w:t>
      </w:r>
    </w:p>
    <w:p w:rsidR="00363877" w:rsidRDefault="00363877" w:rsidP="00363877">
      <w:pPr>
        <w:rPr>
          <w:rFonts w:ascii="Arial" w:eastAsia="Calibri" w:hAnsi="Arial" w:cs="Arial"/>
          <w:sz w:val="20"/>
          <w:szCs w:val="20"/>
          <w:lang w:val="en-GB"/>
        </w:rPr>
      </w:pPr>
      <w:r>
        <w:rPr>
          <w:rFonts w:ascii="Arial" w:eastAsia="Calibri" w:hAnsi="Arial" w:cs="Arial"/>
          <w:sz w:val="20"/>
          <w:szCs w:val="20"/>
          <w:lang w:val="en-GB"/>
        </w:rPr>
        <w:t>JOHANNES ZACHARIAS HUMAN MULLER N.O</w:t>
      </w:r>
      <w:r>
        <w:rPr>
          <w:rFonts w:ascii="Arial" w:eastAsia="Calibri" w:hAnsi="Arial" w:cs="Arial"/>
          <w:sz w:val="20"/>
          <w:szCs w:val="20"/>
          <w:lang w:val="en-GB"/>
        </w:rPr>
        <w:tab/>
      </w:r>
      <w:r>
        <w:rPr>
          <w:rFonts w:ascii="Arial" w:eastAsia="Calibri" w:hAnsi="Arial" w:cs="Arial"/>
          <w:sz w:val="20"/>
          <w:szCs w:val="20"/>
          <w:lang w:val="en-GB"/>
        </w:rPr>
        <w:tab/>
        <w:t>SIXTH RESPONDENT</w:t>
      </w:r>
    </w:p>
    <w:p w:rsidR="00363877" w:rsidRDefault="00363877" w:rsidP="00363877">
      <w:pPr>
        <w:rPr>
          <w:rFonts w:ascii="Arial" w:eastAsia="Calibri" w:hAnsi="Arial" w:cs="Arial"/>
          <w:sz w:val="20"/>
          <w:szCs w:val="20"/>
          <w:lang w:val="en-GB"/>
        </w:rPr>
      </w:pPr>
      <w:r>
        <w:rPr>
          <w:rFonts w:ascii="Arial" w:eastAsia="Calibri" w:hAnsi="Arial" w:cs="Arial"/>
          <w:sz w:val="20"/>
          <w:szCs w:val="20"/>
          <w:lang w:val="en-GB"/>
        </w:rPr>
        <w:t>INDALO INVESTMENT HOLDINGS (PTY) LTD</w:t>
      </w:r>
      <w:r>
        <w:rPr>
          <w:rFonts w:ascii="Arial" w:eastAsia="Calibri" w:hAnsi="Arial" w:cs="Arial"/>
          <w:sz w:val="20"/>
          <w:szCs w:val="20"/>
          <w:lang w:val="en-GB"/>
        </w:rPr>
        <w:tab/>
      </w:r>
      <w:r>
        <w:rPr>
          <w:rFonts w:ascii="Arial" w:eastAsia="Calibri" w:hAnsi="Arial" w:cs="Arial"/>
          <w:sz w:val="20"/>
          <w:szCs w:val="20"/>
          <w:lang w:val="en-GB"/>
        </w:rPr>
        <w:tab/>
      </w:r>
      <w:r>
        <w:rPr>
          <w:rFonts w:ascii="Arial" w:eastAsia="Calibri" w:hAnsi="Arial" w:cs="Arial"/>
          <w:sz w:val="20"/>
          <w:szCs w:val="20"/>
          <w:lang w:val="en-GB"/>
        </w:rPr>
        <w:tab/>
        <w:t>SEVENTH RESPONDENT</w:t>
      </w:r>
    </w:p>
    <w:p w:rsidR="00363877" w:rsidRPr="00363877" w:rsidRDefault="00363877" w:rsidP="00363877">
      <w:pPr>
        <w:rPr>
          <w:rFonts w:ascii="Arial" w:eastAsia="Calibri" w:hAnsi="Arial" w:cs="Arial"/>
          <w:sz w:val="20"/>
          <w:szCs w:val="20"/>
          <w:lang w:val="en-GB"/>
        </w:rPr>
      </w:pPr>
    </w:p>
    <w:p w:rsidR="00363877" w:rsidRPr="00363877" w:rsidRDefault="00363877" w:rsidP="00363877">
      <w:pPr>
        <w:pBdr>
          <w:top w:val="single" w:sz="12" w:space="1" w:color="auto"/>
          <w:bottom w:val="single" w:sz="12" w:space="1" w:color="auto"/>
        </w:pBdr>
        <w:rPr>
          <w:rFonts w:ascii="Arial" w:eastAsia="Calibri" w:hAnsi="Arial" w:cs="Arial"/>
          <w:sz w:val="24"/>
          <w:szCs w:val="24"/>
          <w:lang w:val="en-GB"/>
        </w:rPr>
      </w:pPr>
    </w:p>
    <w:p w:rsidR="00363877" w:rsidRPr="00363877" w:rsidRDefault="00363877" w:rsidP="00363877">
      <w:pPr>
        <w:pBdr>
          <w:top w:val="single" w:sz="12" w:space="1" w:color="auto"/>
          <w:bottom w:val="single" w:sz="12" w:space="1" w:color="auto"/>
        </w:pBdr>
        <w:rPr>
          <w:rFonts w:ascii="Arial" w:eastAsia="Calibri" w:hAnsi="Arial" w:cs="Arial"/>
          <w:sz w:val="24"/>
          <w:szCs w:val="24"/>
          <w:lang w:val="en-GB"/>
        </w:rPr>
      </w:pPr>
      <w:r w:rsidRPr="00363877">
        <w:rPr>
          <w:rFonts w:ascii="Arial" w:eastAsia="Calibri" w:hAnsi="Arial" w:cs="Arial"/>
          <w:sz w:val="24"/>
          <w:szCs w:val="24"/>
          <w:lang w:val="en-GB"/>
        </w:rPr>
        <w:tab/>
      </w:r>
      <w:r w:rsidRPr="00363877">
        <w:rPr>
          <w:rFonts w:ascii="Arial" w:eastAsia="Calibri" w:hAnsi="Arial" w:cs="Arial"/>
          <w:sz w:val="24"/>
          <w:szCs w:val="24"/>
          <w:lang w:val="en-GB"/>
        </w:rPr>
        <w:tab/>
      </w:r>
      <w:r w:rsidRPr="00363877">
        <w:rPr>
          <w:rFonts w:ascii="Arial" w:eastAsia="Calibri" w:hAnsi="Arial" w:cs="Arial"/>
          <w:sz w:val="24"/>
          <w:szCs w:val="24"/>
          <w:lang w:val="en-GB"/>
        </w:rPr>
        <w:tab/>
      </w:r>
      <w:r w:rsidRPr="00363877">
        <w:rPr>
          <w:rFonts w:ascii="Arial" w:eastAsia="Calibri" w:hAnsi="Arial" w:cs="Arial"/>
          <w:sz w:val="24"/>
          <w:szCs w:val="24"/>
          <w:lang w:val="en-GB"/>
        </w:rPr>
        <w:tab/>
      </w:r>
      <w:r w:rsidRPr="00363877">
        <w:rPr>
          <w:rFonts w:ascii="Arial" w:eastAsia="Calibri" w:hAnsi="Arial" w:cs="Arial"/>
          <w:sz w:val="24"/>
          <w:szCs w:val="24"/>
          <w:lang w:val="en-GB"/>
        </w:rPr>
        <w:tab/>
        <w:t>JUDGMENT</w:t>
      </w:r>
    </w:p>
    <w:p w:rsidR="00363877" w:rsidRDefault="00363877" w:rsidP="000A1B71">
      <w:pPr>
        <w:tabs>
          <w:tab w:val="left" w:pos="142"/>
          <w:tab w:val="left" w:pos="709"/>
        </w:tabs>
      </w:pPr>
    </w:p>
    <w:p w:rsidR="00363877" w:rsidRPr="00CB1F6E" w:rsidRDefault="005058D0" w:rsidP="00363877">
      <w:pPr>
        <w:spacing w:line="480" w:lineRule="auto"/>
        <w:rPr>
          <w:rFonts w:ascii="Arial" w:hAnsi="Arial" w:cs="Arial"/>
          <w:b/>
          <w:sz w:val="24"/>
          <w:szCs w:val="24"/>
          <w:u w:val="single"/>
        </w:rPr>
      </w:pPr>
      <w:r w:rsidRPr="00CB1F6E">
        <w:rPr>
          <w:rFonts w:ascii="Arial" w:hAnsi="Arial" w:cs="Arial"/>
          <w:b/>
          <w:sz w:val="24"/>
          <w:szCs w:val="24"/>
          <w:u w:val="single"/>
        </w:rPr>
        <w:t>MULLER J:</w:t>
      </w:r>
    </w:p>
    <w:p w:rsidR="00681CDC" w:rsidRPr="00363877" w:rsidRDefault="00363877" w:rsidP="00363877">
      <w:pPr>
        <w:spacing w:line="480" w:lineRule="auto"/>
        <w:ind w:left="720" w:hanging="720"/>
        <w:rPr>
          <w:rFonts w:ascii="Arial" w:hAnsi="Arial" w:cs="Arial"/>
          <w:b/>
          <w:sz w:val="24"/>
          <w:szCs w:val="24"/>
        </w:rPr>
      </w:pPr>
      <w:r>
        <w:rPr>
          <w:rFonts w:ascii="Arial" w:hAnsi="Arial" w:cs="Arial"/>
          <w:sz w:val="24"/>
          <w:szCs w:val="24"/>
        </w:rPr>
        <w:t>[1]</w:t>
      </w:r>
      <w:r>
        <w:rPr>
          <w:rFonts w:ascii="Arial" w:hAnsi="Arial" w:cs="Arial"/>
          <w:sz w:val="24"/>
          <w:szCs w:val="24"/>
        </w:rPr>
        <w:tab/>
      </w:r>
      <w:r w:rsidR="00681CDC">
        <w:rPr>
          <w:rFonts w:ascii="Arial" w:hAnsi="Arial" w:cs="Arial"/>
          <w:sz w:val="24"/>
          <w:szCs w:val="24"/>
        </w:rPr>
        <w:t>Thi</w:t>
      </w:r>
      <w:r w:rsidR="00722F37">
        <w:rPr>
          <w:rFonts w:ascii="Arial" w:hAnsi="Arial" w:cs="Arial"/>
          <w:sz w:val="24"/>
          <w:szCs w:val="24"/>
        </w:rPr>
        <w:t>s application was launched as</w:t>
      </w:r>
      <w:r w:rsidR="00681CDC">
        <w:rPr>
          <w:rFonts w:ascii="Arial" w:hAnsi="Arial" w:cs="Arial"/>
          <w:sz w:val="24"/>
          <w:szCs w:val="24"/>
        </w:rPr>
        <w:t xml:space="preserve"> e</w:t>
      </w:r>
      <w:r w:rsidR="00722F37">
        <w:rPr>
          <w:rFonts w:ascii="Arial" w:hAnsi="Arial" w:cs="Arial"/>
          <w:sz w:val="24"/>
          <w:szCs w:val="24"/>
        </w:rPr>
        <w:t>xtremely urgent</w:t>
      </w:r>
      <w:r w:rsidR="005E3CFA">
        <w:rPr>
          <w:rFonts w:ascii="Arial" w:hAnsi="Arial" w:cs="Arial"/>
          <w:sz w:val="24"/>
          <w:szCs w:val="24"/>
        </w:rPr>
        <w:t xml:space="preserve"> a day</w:t>
      </w:r>
      <w:r w:rsidR="00681CDC">
        <w:rPr>
          <w:rFonts w:ascii="Arial" w:hAnsi="Arial" w:cs="Arial"/>
          <w:sz w:val="24"/>
          <w:szCs w:val="24"/>
        </w:rPr>
        <w:t xml:space="preserve"> after another urgent application in respect of the same property was struck from the roll with costs</w:t>
      </w:r>
      <w:r w:rsidR="005E3CFA" w:rsidRPr="005E3CFA">
        <w:rPr>
          <w:rFonts w:ascii="Arial" w:hAnsi="Arial" w:cs="Arial"/>
          <w:sz w:val="24"/>
          <w:szCs w:val="24"/>
        </w:rPr>
        <w:t xml:space="preserve"> </w:t>
      </w:r>
      <w:r w:rsidR="005E3CFA">
        <w:rPr>
          <w:rFonts w:ascii="Arial" w:hAnsi="Arial" w:cs="Arial"/>
          <w:sz w:val="24"/>
          <w:szCs w:val="24"/>
        </w:rPr>
        <w:t>on 17 May 2022.</w:t>
      </w:r>
      <w:r w:rsidR="00681CDC">
        <w:rPr>
          <w:rFonts w:ascii="Arial" w:hAnsi="Arial" w:cs="Arial"/>
          <w:sz w:val="24"/>
          <w:szCs w:val="24"/>
        </w:rPr>
        <w:t xml:space="preserve"> The a</w:t>
      </w:r>
      <w:r w:rsidR="005E3CFA">
        <w:rPr>
          <w:rFonts w:ascii="Arial" w:hAnsi="Arial" w:cs="Arial"/>
          <w:sz w:val="24"/>
          <w:szCs w:val="24"/>
        </w:rPr>
        <w:t>pplication stood down to</w:t>
      </w:r>
      <w:r w:rsidR="00681CDC">
        <w:rPr>
          <w:rFonts w:ascii="Arial" w:hAnsi="Arial" w:cs="Arial"/>
          <w:sz w:val="24"/>
          <w:szCs w:val="24"/>
        </w:rPr>
        <w:t xml:space="preserve"> yesterday</w:t>
      </w:r>
      <w:r w:rsidR="005E3CFA">
        <w:rPr>
          <w:rFonts w:ascii="Arial" w:hAnsi="Arial" w:cs="Arial"/>
          <w:sz w:val="24"/>
          <w:szCs w:val="24"/>
        </w:rPr>
        <w:t xml:space="preserve"> 19 May 2022</w:t>
      </w:r>
      <w:r w:rsidR="00681CDC">
        <w:rPr>
          <w:rFonts w:ascii="Arial" w:hAnsi="Arial" w:cs="Arial"/>
          <w:sz w:val="24"/>
          <w:szCs w:val="24"/>
        </w:rPr>
        <w:t xml:space="preserve"> at 14hoo to allow the respondents the opportunity to file opposing affidavits. The applicant filed two separate replying affidavits late yesterday afternoon</w:t>
      </w:r>
      <w:r w:rsidR="005E3CFA">
        <w:rPr>
          <w:rFonts w:ascii="Arial" w:hAnsi="Arial" w:cs="Arial"/>
          <w:sz w:val="24"/>
          <w:szCs w:val="24"/>
        </w:rPr>
        <w:t>. T</w:t>
      </w:r>
      <w:r w:rsidR="00681CDC">
        <w:rPr>
          <w:rFonts w:ascii="Arial" w:hAnsi="Arial" w:cs="Arial"/>
          <w:sz w:val="24"/>
          <w:szCs w:val="24"/>
        </w:rPr>
        <w:t>he application was argued last night.</w:t>
      </w:r>
    </w:p>
    <w:p w:rsidR="00591BFF" w:rsidRDefault="00363877" w:rsidP="00363877">
      <w:pPr>
        <w:spacing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5E3CFA">
        <w:rPr>
          <w:rFonts w:ascii="Arial" w:hAnsi="Arial" w:cs="Arial"/>
          <w:sz w:val="24"/>
          <w:szCs w:val="24"/>
        </w:rPr>
        <w:t>T</w:t>
      </w:r>
      <w:r w:rsidR="00681CDC">
        <w:rPr>
          <w:rFonts w:ascii="Arial" w:hAnsi="Arial" w:cs="Arial"/>
          <w:sz w:val="24"/>
          <w:szCs w:val="24"/>
        </w:rPr>
        <w:t>he parties</w:t>
      </w:r>
      <w:r w:rsidR="00591BFF">
        <w:rPr>
          <w:rFonts w:ascii="Arial" w:hAnsi="Arial" w:cs="Arial"/>
          <w:sz w:val="24"/>
          <w:szCs w:val="24"/>
        </w:rPr>
        <w:t xml:space="preserve"> </w:t>
      </w:r>
      <w:r w:rsidR="005E3CFA">
        <w:rPr>
          <w:rFonts w:ascii="Arial" w:hAnsi="Arial" w:cs="Arial"/>
          <w:sz w:val="24"/>
          <w:szCs w:val="24"/>
        </w:rPr>
        <w:t>were informed</w:t>
      </w:r>
      <w:r w:rsidR="00722F37">
        <w:rPr>
          <w:rFonts w:ascii="Arial" w:hAnsi="Arial" w:cs="Arial"/>
          <w:sz w:val="24"/>
          <w:szCs w:val="24"/>
        </w:rPr>
        <w:t xml:space="preserve"> at conclusion of the arguments that</w:t>
      </w:r>
      <w:r w:rsidR="00681CDC">
        <w:rPr>
          <w:rFonts w:ascii="Arial" w:hAnsi="Arial" w:cs="Arial"/>
          <w:sz w:val="24"/>
          <w:szCs w:val="24"/>
        </w:rPr>
        <w:t xml:space="preserve"> judgment </w:t>
      </w:r>
      <w:r w:rsidR="005E3CFA">
        <w:rPr>
          <w:rFonts w:ascii="Arial" w:hAnsi="Arial" w:cs="Arial"/>
          <w:sz w:val="24"/>
          <w:szCs w:val="24"/>
        </w:rPr>
        <w:t xml:space="preserve">will be delivered </w:t>
      </w:r>
      <w:r w:rsidR="00681CDC">
        <w:rPr>
          <w:rFonts w:ascii="Arial" w:hAnsi="Arial" w:cs="Arial"/>
          <w:sz w:val="24"/>
          <w:szCs w:val="24"/>
        </w:rPr>
        <w:t>on Monday</w:t>
      </w:r>
      <w:r w:rsidR="005E3CFA">
        <w:rPr>
          <w:rFonts w:ascii="Arial" w:hAnsi="Arial" w:cs="Arial"/>
          <w:sz w:val="24"/>
          <w:szCs w:val="24"/>
        </w:rPr>
        <w:t>. However</w:t>
      </w:r>
      <w:r w:rsidR="00722F37">
        <w:rPr>
          <w:rFonts w:ascii="Arial" w:hAnsi="Arial" w:cs="Arial"/>
          <w:sz w:val="24"/>
          <w:szCs w:val="24"/>
        </w:rPr>
        <w:t>,</w:t>
      </w:r>
      <w:r w:rsidR="005E3CFA">
        <w:rPr>
          <w:rFonts w:ascii="Arial" w:hAnsi="Arial" w:cs="Arial"/>
          <w:sz w:val="24"/>
          <w:szCs w:val="24"/>
        </w:rPr>
        <w:t xml:space="preserve"> I</w:t>
      </w:r>
      <w:r w:rsidR="00681CDC">
        <w:rPr>
          <w:rFonts w:ascii="Arial" w:hAnsi="Arial" w:cs="Arial"/>
          <w:sz w:val="24"/>
          <w:szCs w:val="24"/>
        </w:rPr>
        <w:t xml:space="preserve"> decided during </w:t>
      </w:r>
      <w:r w:rsidR="00591BFF">
        <w:rPr>
          <w:rFonts w:ascii="Arial" w:hAnsi="Arial" w:cs="Arial"/>
          <w:sz w:val="24"/>
          <w:szCs w:val="24"/>
        </w:rPr>
        <w:t>t</w:t>
      </w:r>
      <w:r w:rsidR="00722F37">
        <w:rPr>
          <w:rFonts w:ascii="Arial" w:hAnsi="Arial" w:cs="Arial"/>
          <w:sz w:val="24"/>
          <w:szCs w:val="24"/>
        </w:rPr>
        <w:t>he course of the</w:t>
      </w:r>
      <w:r w:rsidR="00681CDC">
        <w:rPr>
          <w:rFonts w:ascii="Arial" w:hAnsi="Arial" w:cs="Arial"/>
          <w:sz w:val="24"/>
          <w:szCs w:val="24"/>
        </w:rPr>
        <w:t xml:space="preserve"> night</w:t>
      </w:r>
      <w:r w:rsidR="00591BFF">
        <w:rPr>
          <w:rFonts w:ascii="Arial" w:hAnsi="Arial" w:cs="Arial"/>
          <w:sz w:val="24"/>
          <w:szCs w:val="24"/>
        </w:rPr>
        <w:t xml:space="preserve"> to issue the order today</w:t>
      </w:r>
      <w:r w:rsidR="00722F37">
        <w:rPr>
          <w:rFonts w:ascii="Arial" w:hAnsi="Arial" w:cs="Arial"/>
          <w:sz w:val="24"/>
          <w:szCs w:val="24"/>
        </w:rPr>
        <w:t xml:space="preserve"> so as</w:t>
      </w:r>
      <w:r w:rsidR="00591BFF">
        <w:rPr>
          <w:rFonts w:ascii="Arial" w:hAnsi="Arial" w:cs="Arial"/>
          <w:sz w:val="24"/>
          <w:szCs w:val="24"/>
        </w:rPr>
        <w:t xml:space="preserve"> </w:t>
      </w:r>
      <w:r w:rsidR="005E3CFA">
        <w:rPr>
          <w:rFonts w:ascii="Arial" w:hAnsi="Arial" w:cs="Arial"/>
          <w:sz w:val="24"/>
          <w:szCs w:val="24"/>
        </w:rPr>
        <w:t>to inform</w:t>
      </w:r>
      <w:r w:rsidR="00722F37">
        <w:rPr>
          <w:rFonts w:ascii="Arial" w:hAnsi="Arial" w:cs="Arial"/>
          <w:sz w:val="24"/>
          <w:szCs w:val="24"/>
        </w:rPr>
        <w:t xml:space="preserve"> the parties with equal urgency of the outcome</w:t>
      </w:r>
      <w:r w:rsidR="005E3CFA">
        <w:rPr>
          <w:rFonts w:ascii="Arial" w:hAnsi="Arial" w:cs="Arial"/>
          <w:sz w:val="24"/>
          <w:szCs w:val="24"/>
        </w:rPr>
        <w:t xml:space="preserve"> </w:t>
      </w:r>
      <w:r w:rsidR="00722F37">
        <w:rPr>
          <w:rFonts w:ascii="Arial" w:hAnsi="Arial" w:cs="Arial"/>
          <w:sz w:val="24"/>
          <w:szCs w:val="24"/>
        </w:rPr>
        <w:t>and to give</w:t>
      </w:r>
      <w:r w:rsidR="00591BFF">
        <w:rPr>
          <w:rFonts w:ascii="Arial" w:hAnsi="Arial" w:cs="Arial"/>
          <w:sz w:val="24"/>
          <w:szCs w:val="24"/>
        </w:rPr>
        <w:t xml:space="preserve"> the reasons for the order as soon as possible. </w:t>
      </w:r>
    </w:p>
    <w:p w:rsidR="00591BFF" w:rsidRDefault="00363877" w:rsidP="00363877">
      <w:pPr>
        <w:spacing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722F37">
        <w:rPr>
          <w:rFonts w:ascii="Arial" w:hAnsi="Arial" w:cs="Arial"/>
          <w:sz w:val="24"/>
          <w:szCs w:val="24"/>
        </w:rPr>
        <w:t>T</w:t>
      </w:r>
      <w:r w:rsidR="005E3CFA">
        <w:rPr>
          <w:rFonts w:ascii="Arial" w:hAnsi="Arial" w:cs="Arial"/>
          <w:sz w:val="24"/>
          <w:szCs w:val="24"/>
        </w:rPr>
        <w:t>he</w:t>
      </w:r>
      <w:r w:rsidR="00722F37">
        <w:rPr>
          <w:rFonts w:ascii="Arial" w:hAnsi="Arial" w:cs="Arial"/>
          <w:sz w:val="24"/>
          <w:szCs w:val="24"/>
        </w:rPr>
        <w:t xml:space="preserve"> application was dismissed with the question of costs</w:t>
      </w:r>
      <w:r w:rsidR="00591BFF">
        <w:rPr>
          <w:rFonts w:ascii="Arial" w:hAnsi="Arial" w:cs="Arial"/>
          <w:sz w:val="24"/>
          <w:szCs w:val="24"/>
        </w:rPr>
        <w:t xml:space="preserve"> postponed until 10 June 2022, </w:t>
      </w:r>
      <w:r w:rsidR="00F43271">
        <w:rPr>
          <w:rFonts w:ascii="Arial" w:hAnsi="Arial" w:cs="Arial"/>
          <w:sz w:val="24"/>
          <w:szCs w:val="24"/>
        </w:rPr>
        <w:t xml:space="preserve">when </w:t>
      </w:r>
      <w:r w:rsidR="000A1B71">
        <w:rPr>
          <w:rFonts w:ascii="Arial" w:hAnsi="Arial" w:cs="Arial"/>
          <w:sz w:val="24"/>
          <w:szCs w:val="24"/>
        </w:rPr>
        <w:t>CJ L</w:t>
      </w:r>
      <w:r w:rsidR="00591BFF">
        <w:rPr>
          <w:rFonts w:ascii="Arial" w:hAnsi="Arial" w:cs="Arial"/>
          <w:sz w:val="24"/>
          <w:szCs w:val="24"/>
        </w:rPr>
        <w:t>angenhoven, S Matlala</w:t>
      </w:r>
      <w:r w:rsidR="00F43271">
        <w:rPr>
          <w:rFonts w:ascii="Arial" w:hAnsi="Arial" w:cs="Arial"/>
          <w:sz w:val="24"/>
          <w:szCs w:val="24"/>
        </w:rPr>
        <w:t xml:space="preserve"> and Me Rinderknecht were</w:t>
      </w:r>
      <w:r w:rsidR="00591BFF">
        <w:rPr>
          <w:rFonts w:ascii="Arial" w:hAnsi="Arial" w:cs="Arial"/>
          <w:sz w:val="24"/>
          <w:szCs w:val="24"/>
        </w:rPr>
        <w:t xml:space="preserve"> to advance reasons</w:t>
      </w:r>
      <w:r w:rsidR="00796837">
        <w:rPr>
          <w:rFonts w:ascii="Arial" w:hAnsi="Arial" w:cs="Arial"/>
          <w:sz w:val="24"/>
          <w:szCs w:val="24"/>
        </w:rPr>
        <w:t>, on affidavit,</w:t>
      </w:r>
      <w:r w:rsidR="00591BFF">
        <w:rPr>
          <w:rFonts w:ascii="Arial" w:hAnsi="Arial" w:cs="Arial"/>
          <w:sz w:val="24"/>
          <w:szCs w:val="24"/>
        </w:rPr>
        <w:t xml:space="preserve"> at 9hoo why they should not be ordered to pay the costs of the application on the scale as between attorney and client</w:t>
      </w:r>
      <w:r w:rsidR="00796837">
        <w:rPr>
          <w:rFonts w:ascii="Arial" w:hAnsi="Arial" w:cs="Arial"/>
          <w:sz w:val="24"/>
          <w:szCs w:val="24"/>
        </w:rPr>
        <w:t>,</w:t>
      </w:r>
      <w:r w:rsidR="00591BFF">
        <w:rPr>
          <w:rFonts w:ascii="Arial" w:hAnsi="Arial" w:cs="Arial"/>
          <w:sz w:val="24"/>
          <w:szCs w:val="24"/>
        </w:rPr>
        <w:t xml:space="preserve"> including the costs consequent upon the employment of two counsel.</w:t>
      </w:r>
    </w:p>
    <w:p w:rsidR="00F43271" w:rsidRDefault="00363877" w:rsidP="00363877">
      <w:pPr>
        <w:spacing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722F37">
        <w:rPr>
          <w:rFonts w:ascii="Arial" w:hAnsi="Arial" w:cs="Arial"/>
          <w:sz w:val="24"/>
          <w:szCs w:val="24"/>
        </w:rPr>
        <w:t>I</w:t>
      </w:r>
      <w:r w:rsidR="00591BFF">
        <w:rPr>
          <w:rFonts w:ascii="Arial" w:hAnsi="Arial" w:cs="Arial"/>
          <w:sz w:val="24"/>
          <w:szCs w:val="24"/>
        </w:rPr>
        <w:t xml:space="preserve"> informed the parties</w:t>
      </w:r>
      <w:r w:rsidR="00722F37">
        <w:rPr>
          <w:rFonts w:ascii="Arial" w:hAnsi="Arial" w:cs="Arial"/>
          <w:sz w:val="24"/>
          <w:szCs w:val="24"/>
        </w:rPr>
        <w:t xml:space="preserve"> when the order was pronounced in open court</w:t>
      </w:r>
      <w:r w:rsidR="00C21123">
        <w:rPr>
          <w:rFonts w:ascii="Arial" w:hAnsi="Arial" w:cs="Arial"/>
          <w:sz w:val="24"/>
          <w:szCs w:val="24"/>
        </w:rPr>
        <w:t xml:space="preserve"> that the reasons will</w:t>
      </w:r>
      <w:r w:rsidR="00591BFF">
        <w:rPr>
          <w:rFonts w:ascii="Arial" w:hAnsi="Arial" w:cs="Arial"/>
          <w:sz w:val="24"/>
          <w:szCs w:val="24"/>
        </w:rPr>
        <w:t xml:space="preserve"> follow promptly. These are my reasons.</w:t>
      </w:r>
    </w:p>
    <w:p w:rsidR="00765887" w:rsidRDefault="00363877" w:rsidP="00363877">
      <w:pPr>
        <w:spacing w:line="480" w:lineRule="auto"/>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591BFF">
        <w:rPr>
          <w:rFonts w:ascii="Arial" w:hAnsi="Arial" w:cs="Arial"/>
          <w:sz w:val="24"/>
          <w:szCs w:val="24"/>
        </w:rPr>
        <w:t>The applicant is</w:t>
      </w:r>
      <w:r w:rsidR="00F43271">
        <w:rPr>
          <w:rFonts w:ascii="Arial" w:hAnsi="Arial" w:cs="Arial"/>
          <w:sz w:val="24"/>
          <w:szCs w:val="24"/>
        </w:rPr>
        <w:t xml:space="preserve"> a non-</w:t>
      </w:r>
      <w:r w:rsidR="00591BFF">
        <w:rPr>
          <w:rFonts w:ascii="Arial" w:hAnsi="Arial" w:cs="Arial"/>
          <w:sz w:val="24"/>
          <w:szCs w:val="24"/>
        </w:rPr>
        <w:t>profit company and</w:t>
      </w:r>
      <w:r w:rsidR="00F43271">
        <w:rPr>
          <w:rFonts w:ascii="Arial" w:hAnsi="Arial" w:cs="Arial"/>
          <w:sz w:val="24"/>
          <w:szCs w:val="24"/>
        </w:rPr>
        <w:t xml:space="preserve"> H</w:t>
      </w:r>
      <w:r w:rsidR="00591BFF">
        <w:rPr>
          <w:rFonts w:ascii="Arial" w:hAnsi="Arial" w:cs="Arial"/>
          <w:sz w:val="24"/>
          <w:szCs w:val="24"/>
        </w:rPr>
        <w:t xml:space="preserve">ome </w:t>
      </w:r>
      <w:r w:rsidR="00F43271">
        <w:rPr>
          <w:rFonts w:ascii="Arial" w:hAnsi="Arial" w:cs="Arial"/>
          <w:sz w:val="24"/>
          <w:szCs w:val="24"/>
        </w:rPr>
        <w:t>O</w:t>
      </w:r>
      <w:r w:rsidR="00591BFF">
        <w:rPr>
          <w:rFonts w:ascii="Arial" w:hAnsi="Arial" w:cs="Arial"/>
          <w:sz w:val="24"/>
          <w:szCs w:val="24"/>
        </w:rPr>
        <w:t>wners</w:t>
      </w:r>
      <w:r w:rsidR="00F43271">
        <w:rPr>
          <w:rFonts w:ascii="Arial" w:hAnsi="Arial" w:cs="Arial"/>
          <w:sz w:val="24"/>
          <w:szCs w:val="24"/>
        </w:rPr>
        <w:t xml:space="preserve"> A</w:t>
      </w:r>
      <w:r w:rsidR="00591BFF">
        <w:rPr>
          <w:rFonts w:ascii="Arial" w:hAnsi="Arial" w:cs="Arial"/>
          <w:sz w:val="24"/>
          <w:szCs w:val="24"/>
        </w:rPr>
        <w:t>ssociation in respect of a development in Phalaborwa</w:t>
      </w:r>
      <w:r w:rsidR="00611F19">
        <w:rPr>
          <w:rFonts w:ascii="Arial" w:hAnsi="Arial" w:cs="Arial"/>
          <w:sz w:val="24"/>
          <w:szCs w:val="24"/>
        </w:rPr>
        <w:t xml:space="preserve"> better known as the Hans</w:t>
      </w:r>
      <w:r w:rsidR="00765887">
        <w:rPr>
          <w:rFonts w:ascii="Arial" w:hAnsi="Arial" w:cs="Arial"/>
          <w:sz w:val="24"/>
          <w:szCs w:val="24"/>
        </w:rPr>
        <w:t xml:space="preserve"> Merensk</w:t>
      </w:r>
      <w:r w:rsidR="00611F19">
        <w:rPr>
          <w:rFonts w:ascii="Arial" w:hAnsi="Arial" w:cs="Arial"/>
          <w:sz w:val="24"/>
          <w:szCs w:val="24"/>
        </w:rPr>
        <w:t xml:space="preserve">y </w:t>
      </w:r>
      <w:r w:rsidR="00722F37">
        <w:rPr>
          <w:rFonts w:ascii="Arial" w:hAnsi="Arial" w:cs="Arial"/>
          <w:sz w:val="24"/>
          <w:szCs w:val="24"/>
        </w:rPr>
        <w:t>Estate. The</w:t>
      </w:r>
      <w:r w:rsidR="00765887">
        <w:rPr>
          <w:rFonts w:ascii="Arial" w:hAnsi="Arial" w:cs="Arial"/>
          <w:sz w:val="24"/>
          <w:szCs w:val="24"/>
        </w:rPr>
        <w:t xml:space="preserve"> estate borders the Kruger National Park. The golf course was once (and it might still be) a championship golf course with </w:t>
      </w:r>
      <w:r w:rsidR="00722F37">
        <w:rPr>
          <w:rFonts w:ascii="Arial" w:hAnsi="Arial" w:cs="Arial"/>
          <w:sz w:val="24"/>
          <w:szCs w:val="24"/>
        </w:rPr>
        <w:t xml:space="preserve">the relevant </w:t>
      </w:r>
      <w:r w:rsidR="00765887">
        <w:rPr>
          <w:rFonts w:ascii="Arial" w:hAnsi="Arial" w:cs="Arial"/>
          <w:sz w:val="24"/>
          <w:szCs w:val="24"/>
        </w:rPr>
        <w:t>amenities</w:t>
      </w:r>
      <w:r w:rsidR="00722F37">
        <w:rPr>
          <w:rFonts w:ascii="Arial" w:hAnsi="Arial" w:cs="Arial"/>
          <w:sz w:val="24"/>
          <w:szCs w:val="24"/>
        </w:rPr>
        <w:t xml:space="preserve"> and a h</w:t>
      </w:r>
      <w:r w:rsidR="001855B2">
        <w:rPr>
          <w:rFonts w:ascii="Arial" w:hAnsi="Arial" w:cs="Arial"/>
          <w:sz w:val="24"/>
          <w:szCs w:val="24"/>
        </w:rPr>
        <w:t>otel</w:t>
      </w:r>
      <w:r w:rsidR="00765887">
        <w:rPr>
          <w:rFonts w:ascii="Arial" w:hAnsi="Arial" w:cs="Arial"/>
          <w:sz w:val="24"/>
          <w:szCs w:val="24"/>
        </w:rPr>
        <w:t>. The development</w:t>
      </w:r>
      <w:r w:rsidR="001855B2">
        <w:rPr>
          <w:rFonts w:ascii="Arial" w:hAnsi="Arial" w:cs="Arial"/>
          <w:sz w:val="24"/>
          <w:szCs w:val="24"/>
        </w:rPr>
        <w:t xml:space="preserve"> w</w:t>
      </w:r>
      <w:r w:rsidR="00722F37">
        <w:rPr>
          <w:rFonts w:ascii="Arial" w:hAnsi="Arial" w:cs="Arial"/>
          <w:sz w:val="24"/>
          <w:szCs w:val="24"/>
        </w:rPr>
        <w:t>hich also includes about</w:t>
      </w:r>
      <w:r w:rsidR="001855B2">
        <w:rPr>
          <w:rFonts w:ascii="Arial" w:hAnsi="Arial" w:cs="Arial"/>
          <w:sz w:val="24"/>
          <w:szCs w:val="24"/>
        </w:rPr>
        <w:t xml:space="preserve"> fifty home owners</w:t>
      </w:r>
      <w:r w:rsidR="00765887">
        <w:rPr>
          <w:rFonts w:ascii="Arial" w:hAnsi="Arial" w:cs="Arial"/>
          <w:sz w:val="24"/>
          <w:szCs w:val="24"/>
        </w:rPr>
        <w:t xml:space="preserve"> is</w:t>
      </w:r>
      <w:r w:rsidR="009B0D4F">
        <w:rPr>
          <w:rFonts w:ascii="Arial" w:hAnsi="Arial" w:cs="Arial"/>
          <w:sz w:val="24"/>
          <w:szCs w:val="24"/>
        </w:rPr>
        <w:t xml:space="preserve"> </w:t>
      </w:r>
      <w:r w:rsidR="00722F37">
        <w:rPr>
          <w:rFonts w:ascii="Arial" w:hAnsi="Arial" w:cs="Arial"/>
          <w:sz w:val="24"/>
          <w:szCs w:val="24"/>
        </w:rPr>
        <w:t xml:space="preserve">situated on the </w:t>
      </w:r>
      <w:r w:rsidR="00765887">
        <w:rPr>
          <w:rFonts w:ascii="Arial" w:hAnsi="Arial" w:cs="Arial"/>
          <w:sz w:val="24"/>
          <w:szCs w:val="24"/>
        </w:rPr>
        <w:t>property</w:t>
      </w:r>
      <w:r w:rsidR="00722F37">
        <w:rPr>
          <w:rFonts w:ascii="Arial" w:hAnsi="Arial" w:cs="Arial"/>
          <w:sz w:val="24"/>
          <w:szCs w:val="24"/>
        </w:rPr>
        <w:t xml:space="preserve">, the subject </w:t>
      </w:r>
      <w:r w:rsidR="00C21123">
        <w:rPr>
          <w:rFonts w:ascii="Arial" w:hAnsi="Arial" w:cs="Arial"/>
          <w:sz w:val="24"/>
          <w:szCs w:val="24"/>
        </w:rPr>
        <w:t>matter in both the applications. It</w:t>
      </w:r>
      <w:r w:rsidR="00722F37">
        <w:rPr>
          <w:rFonts w:ascii="Arial" w:hAnsi="Arial" w:cs="Arial"/>
          <w:sz w:val="24"/>
          <w:szCs w:val="24"/>
        </w:rPr>
        <w:t xml:space="preserve"> is</w:t>
      </w:r>
      <w:r w:rsidR="00765887">
        <w:rPr>
          <w:rFonts w:ascii="Arial" w:hAnsi="Arial" w:cs="Arial"/>
          <w:sz w:val="24"/>
          <w:szCs w:val="24"/>
        </w:rPr>
        <w:t xml:space="preserve"> described as:</w:t>
      </w:r>
    </w:p>
    <w:p w:rsidR="00765887" w:rsidRPr="00D644D0" w:rsidRDefault="00765887" w:rsidP="000A1B71">
      <w:pPr>
        <w:spacing w:line="480" w:lineRule="auto"/>
        <w:ind w:left="567" w:hanging="567"/>
        <w:jc w:val="both"/>
        <w:rPr>
          <w:rFonts w:ascii="Arial" w:hAnsi="Arial" w:cs="Arial"/>
          <w:sz w:val="20"/>
          <w:szCs w:val="20"/>
        </w:rPr>
      </w:pPr>
      <w:r>
        <w:rPr>
          <w:rFonts w:ascii="Arial" w:hAnsi="Arial" w:cs="Arial"/>
          <w:sz w:val="24"/>
          <w:szCs w:val="24"/>
        </w:rPr>
        <w:t xml:space="preserve">       </w:t>
      </w:r>
      <w:r w:rsidRPr="00D644D0">
        <w:rPr>
          <w:rFonts w:ascii="Arial" w:hAnsi="Arial" w:cs="Arial"/>
          <w:sz w:val="20"/>
          <w:szCs w:val="20"/>
        </w:rPr>
        <w:t>“Remaining extent of Portion 1 of the Farm Merensky 32 registration Division L.U. Limpopo Province</w:t>
      </w:r>
      <w:r w:rsidR="00722F37">
        <w:rPr>
          <w:rFonts w:ascii="Arial" w:hAnsi="Arial" w:cs="Arial"/>
          <w:sz w:val="20"/>
          <w:szCs w:val="20"/>
        </w:rPr>
        <w:t>.</w:t>
      </w:r>
    </w:p>
    <w:p w:rsidR="00765887" w:rsidRPr="00D644D0" w:rsidRDefault="00765887" w:rsidP="000A1B71">
      <w:pPr>
        <w:spacing w:line="480" w:lineRule="auto"/>
        <w:ind w:left="567"/>
        <w:jc w:val="both"/>
        <w:rPr>
          <w:rFonts w:ascii="Arial" w:hAnsi="Arial" w:cs="Arial"/>
          <w:sz w:val="20"/>
          <w:szCs w:val="20"/>
        </w:rPr>
      </w:pPr>
      <w:r w:rsidRPr="00D644D0">
        <w:rPr>
          <w:rFonts w:ascii="Arial" w:hAnsi="Arial" w:cs="Arial"/>
          <w:sz w:val="20"/>
          <w:szCs w:val="20"/>
        </w:rPr>
        <w:t>Measuring 112, 7071 (One Hundred and Twelve Comma Seven Zero Seven One) Hectares.”</w:t>
      </w:r>
      <w:r w:rsidR="00E86554">
        <w:rPr>
          <w:rStyle w:val="FootnoteReference"/>
          <w:rFonts w:ascii="Arial" w:hAnsi="Arial" w:cs="Arial"/>
          <w:sz w:val="20"/>
          <w:szCs w:val="20"/>
        </w:rPr>
        <w:footnoteReference w:id="1"/>
      </w:r>
    </w:p>
    <w:p w:rsidR="00765887" w:rsidRDefault="00363877" w:rsidP="00363877">
      <w:pPr>
        <w:spacing w:line="480" w:lineRule="auto"/>
        <w:ind w:left="567" w:hanging="567"/>
        <w:jc w:val="both"/>
        <w:rPr>
          <w:rFonts w:ascii="Arial" w:hAnsi="Arial" w:cs="Arial"/>
          <w:sz w:val="24"/>
          <w:szCs w:val="24"/>
        </w:rPr>
      </w:pPr>
      <w:r>
        <w:rPr>
          <w:rFonts w:ascii="Arial" w:hAnsi="Arial" w:cs="Arial"/>
          <w:sz w:val="24"/>
          <w:szCs w:val="24"/>
        </w:rPr>
        <w:t>[6]</w:t>
      </w:r>
      <w:r>
        <w:rPr>
          <w:rFonts w:ascii="Arial" w:hAnsi="Arial" w:cs="Arial"/>
          <w:sz w:val="24"/>
          <w:szCs w:val="24"/>
        </w:rPr>
        <w:tab/>
      </w:r>
      <w:r w:rsidR="00765887">
        <w:rPr>
          <w:rFonts w:ascii="Arial" w:hAnsi="Arial" w:cs="Arial"/>
          <w:sz w:val="24"/>
          <w:szCs w:val="24"/>
        </w:rPr>
        <w:t>The following</w:t>
      </w:r>
      <w:r w:rsidR="009B0D4F">
        <w:rPr>
          <w:rFonts w:ascii="Arial" w:hAnsi="Arial" w:cs="Arial"/>
          <w:sz w:val="24"/>
          <w:szCs w:val="24"/>
        </w:rPr>
        <w:t xml:space="preserve"> restrictive</w:t>
      </w:r>
      <w:r w:rsidR="00765887">
        <w:rPr>
          <w:rFonts w:ascii="Arial" w:hAnsi="Arial" w:cs="Arial"/>
          <w:sz w:val="24"/>
          <w:szCs w:val="24"/>
        </w:rPr>
        <w:t xml:space="preserve"> conditions</w:t>
      </w:r>
      <w:r w:rsidR="00D644D0">
        <w:rPr>
          <w:rFonts w:ascii="Arial" w:hAnsi="Arial" w:cs="Arial"/>
          <w:sz w:val="24"/>
          <w:szCs w:val="24"/>
        </w:rPr>
        <w:t>, which are relevant for present purposes,</w:t>
      </w:r>
      <w:r w:rsidR="00765887">
        <w:rPr>
          <w:rFonts w:ascii="Arial" w:hAnsi="Arial" w:cs="Arial"/>
          <w:sz w:val="24"/>
          <w:szCs w:val="24"/>
        </w:rPr>
        <w:t xml:space="preserve"> are registered</w:t>
      </w:r>
      <w:r w:rsidR="00722F37">
        <w:rPr>
          <w:rFonts w:ascii="Arial" w:hAnsi="Arial" w:cs="Arial"/>
          <w:sz w:val="24"/>
          <w:szCs w:val="24"/>
        </w:rPr>
        <w:t xml:space="preserve"> in the title deed</w:t>
      </w:r>
      <w:r w:rsidR="00765887">
        <w:rPr>
          <w:rFonts w:ascii="Arial" w:hAnsi="Arial" w:cs="Arial"/>
          <w:sz w:val="24"/>
          <w:szCs w:val="24"/>
        </w:rPr>
        <w:t xml:space="preserve"> in favour of </w:t>
      </w:r>
      <w:r w:rsidR="009B0D4F">
        <w:rPr>
          <w:rFonts w:ascii="Arial" w:hAnsi="Arial" w:cs="Arial"/>
          <w:sz w:val="24"/>
          <w:szCs w:val="24"/>
        </w:rPr>
        <w:t>the</w:t>
      </w:r>
      <w:r w:rsidR="00765887">
        <w:rPr>
          <w:rFonts w:ascii="Arial" w:hAnsi="Arial" w:cs="Arial"/>
          <w:sz w:val="24"/>
          <w:szCs w:val="24"/>
        </w:rPr>
        <w:t xml:space="preserve"> Hans</w:t>
      </w:r>
      <w:r w:rsidR="00D644D0">
        <w:rPr>
          <w:rFonts w:ascii="Arial" w:hAnsi="Arial" w:cs="Arial"/>
          <w:sz w:val="24"/>
          <w:szCs w:val="24"/>
        </w:rPr>
        <w:t xml:space="preserve"> Merensky Land Owners Association</w:t>
      </w:r>
      <w:r w:rsidR="00722F37">
        <w:rPr>
          <w:rFonts w:ascii="Arial" w:hAnsi="Arial" w:cs="Arial"/>
          <w:sz w:val="24"/>
          <w:szCs w:val="24"/>
        </w:rPr>
        <w:t>,</w:t>
      </w:r>
      <w:r w:rsidR="009B0D4F">
        <w:rPr>
          <w:rStyle w:val="FootnoteReference"/>
          <w:rFonts w:ascii="Arial" w:hAnsi="Arial" w:cs="Arial"/>
          <w:sz w:val="24"/>
          <w:szCs w:val="24"/>
        </w:rPr>
        <w:footnoteReference w:id="2"/>
      </w:r>
      <w:r w:rsidR="00D644D0">
        <w:rPr>
          <w:rFonts w:ascii="Arial" w:hAnsi="Arial" w:cs="Arial"/>
          <w:sz w:val="24"/>
          <w:szCs w:val="24"/>
        </w:rPr>
        <w:t xml:space="preserve"> its successors in title or assigns. </w:t>
      </w:r>
      <w:r w:rsidR="00722F37">
        <w:rPr>
          <w:rFonts w:ascii="Arial" w:hAnsi="Arial" w:cs="Arial"/>
          <w:sz w:val="24"/>
          <w:szCs w:val="24"/>
        </w:rPr>
        <w:t>They read:</w:t>
      </w:r>
    </w:p>
    <w:p w:rsidR="00D644D0" w:rsidRPr="00F43271" w:rsidRDefault="00D644D0" w:rsidP="00363877">
      <w:pPr>
        <w:spacing w:line="480" w:lineRule="auto"/>
        <w:ind w:left="2160" w:hanging="720"/>
        <w:jc w:val="both"/>
        <w:rPr>
          <w:rFonts w:ascii="Arial" w:hAnsi="Arial" w:cs="Arial"/>
          <w:sz w:val="20"/>
          <w:szCs w:val="20"/>
        </w:rPr>
      </w:pPr>
      <w:r w:rsidRPr="00F43271">
        <w:rPr>
          <w:rFonts w:ascii="Arial" w:hAnsi="Arial" w:cs="Arial"/>
          <w:sz w:val="20"/>
          <w:szCs w:val="20"/>
        </w:rPr>
        <w:t>“1</w:t>
      </w:r>
      <w:r w:rsidR="00363877">
        <w:rPr>
          <w:rFonts w:ascii="Arial" w:hAnsi="Arial" w:cs="Arial"/>
          <w:sz w:val="20"/>
          <w:szCs w:val="20"/>
        </w:rPr>
        <w:tab/>
      </w:r>
      <w:r w:rsidRPr="00F43271">
        <w:rPr>
          <w:rFonts w:ascii="Arial" w:hAnsi="Arial" w:cs="Arial"/>
          <w:sz w:val="20"/>
          <w:szCs w:val="20"/>
        </w:rPr>
        <w:t>.Neither the land nor any undivided share therein shall be transferred to any person without the prior written consent of the Land Owners Association. Every owner of the property, or any interest therein, shall automatically become and remain a member of the Landowners Association and the conditions pertaining to the resort permit applicable to each portion and the Remaining Extent of Portion 1 until he/she ceases to be the owner as aforesaid.</w:t>
      </w:r>
    </w:p>
    <w:p w:rsidR="00F43271" w:rsidRDefault="00D644D0" w:rsidP="00363877">
      <w:pPr>
        <w:spacing w:line="480" w:lineRule="auto"/>
        <w:ind w:left="2160" w:hanging="720"/>
        <w:jc w:val="both"/>
        <w:rPr>
          <w:rFonts w:ascii="Arial" w:hAnsi="Arial" w:cs="Arial"/>
          <w:sz w:val="20"/>
          <w:szCs w:val="20"/>
        </w:rPr>
      </w:pPr>
      <w:r w:rsidRPr="00F43271">
        <w:rPr>
          <w:rFonts w:ascii="Arial" w:hAnsi="Arial" w:cs="Arial"/>
          <w:sz w:val="20"/>
          <w:szCs w:val="20"/>
        </w:rPr>
        <w:t xml:space="preserve">2. </w:t>
      </w:r>
      <w:r w:rsidR="00363877">
        <w:rPr>
          <w:rFonts w:ascii="Arial" w:hAnsi="Arial" w:cs="Arial"/>
          <w:sz w:val="20"/>
          <w:szCs w:val="20"/>
        </w:rPr>
        <w:tab/>
      </w:r>
      <w:r w:rsidRPr="00F43271">
        <w:rPr>
          <w:rFonts w:ascii="Arial" w:hAnsi="Arial" w:cs="Arial"/>
          <w:sz w:val="20"/>
          <w:szCs w:val="20"/>
        </w:rPr>
        <w:t>the owner of the property shall not be entitled to transfer the property or any share interest or members interest therein without a clearance certificate of the Land Owners Association to the effect that he provisions of the articles of Association have been complied with.</w:t>
      </w:r>
      <w:r w:rsidR="00F43271" w:rsidRPr="00F43271">
        <w:rPr>
          <w:rFonts w:ascii="Arial" w:hAnsi="Arial" w:cs="Arial"/>
          <w:sz w:val="20"/>
          <w:szCs w:val="20"/>
        </w:rPr>
        <w:t>”</w:t>
      </w:r>
    </w:p>
    <w:p w:rsidR="00F43271" w:rsidRDefault="00363877" w:rsidP="00363877">
      <w:pPr>
        <w:spacing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F43271">
        <w:rPr>
          <w:rFonts w:ascii="Arial" w:hAnsi="Arial" w:cs="Arial"/>
          <w:sz w:val="24"/>
          <w:szCs w:val="24"/>
        </w:rPr>
        <w:t>The deponent to the founding affidavit is</w:t>
      </w:r>
      <w:r w:rsidR="009B0D4F">
        <w:rPr>
          <w:rFonts w:ascii="Arial" w:hAnsi="Arial" w:cs="Arial"/>
          <w:sz w:val="24"/>
          <w:szCs w:val="24"/>
        </w:rPr>
        <w:t xml:space="preserve"> the chairman of the</w:t>
      </w:r>
      <w:r w:rsidR="00F43271">
        <w:rPr>
          <w:rFonts w:ascii="Arial" w:hAnsi="Arial" w:cs="Arial"/>
          <w:sz w:val="24"/>
          <w:szCs w:val="24"/>
        </w:rPr>
        <w:t xml:space="preserve"> Association</w:t>
      </w:r>
      <w:r w:rsidR="009B0D4F">
        <w:rPr>
          <w:rFonts w:ascii="Arial" w:hAnsi="Arial" w:cs="Arial"/>
          <w:sz w:val="24"/>
          <w:szCs w:val="24"/>
        </w:rPr>
        <w:t>. The A</w:t>
      </w:r>
      <w:r w:rsidR="00777F5F">
        <w:rPr>
          <w:rFonts w:ascii="Arial" w:hAnsi="Arial" w:cs="Arial"/>
          <w:sz w:val="24"/>
          <w:szCs w:val="24"/>
        </w:rPr>
        <w:t>rticles of Association which are</w:t>
      </w:r>
      <w:r w:rsidR="009B0D4F">
        <w:rPr>
          <w:rFonts w:ascii="Arial" w:hAnsi="Arial" w:cs="Arial"/>
          <w:sz w:val="24"/>
          <w:szCs w:val="24"/>
        </w:rPr>
        <w:t xml:space="preserve"> not attached to the founding papers</w:t>
      </w:r>
      <w:r w:rsidR="00777F5F">
        <w:rPr>
          <w:rFonts w:ascii="Arial" w:hAnsi="Arial" w:cs="Arial"/>
          <w:sz w:val="24"/>
          <w:szCs w:val="24"/>
        </w:rPr>
        <w:t>,</w:t>
      </w:r>
      <w:r w:rsidR="00C21123">
        <w:rPr>
          <w:rFonts w:ascii="Arial" w:hAnsi="Arial" w:cs="Arial"/>
          <w:sz w:val="24"/>
          <w:szCs w:val="24"/>
        </w:rPr>
        <w:t xml:space="preserve"> but which the third</w:t>
      </w:r>
      <w:r w:rsidR="009B0D4F">
        <w:rPr>
          <w:rFonts w:ascii="Arial" w:hAnsi="Arial" w:cs="Arial"/>
          <w:sz w:val="24"/>
          <w:szCs w:val="24"/>
        </w:rPr>
        <w:t xml:space="preserve"> to sixth r</w:t>
      </w:r>
      <w:r w:rsidR="00777F5F">
        <w:rPr>
          <w:rFonts w:ascii="Arial" w:hAnsi="Arial" w:cs="Arial"/>
          <w:sz w:val="24"/>
          <w:szCs w:val="24"/>
        </w:rPr>
        <w:t>espondent</w:t>
      </w:r>
      <w:r w:rsidR="00C21123">
        <w:rPr>
          <w:rStyle w:val="FootnoteReference"/>
          <w:rFonts w:ascii="Arial" w:hAnsi="Arial" w:cs="Arial"/>
          <w:sz w:val="24"/>
          <w:szCs w:val="24"/>
        </w:rPr>
        <w:footnoteReference w:id="3"/>
      </w:r>
      <w:r w:rsidR="00777F5F">
        <w:rPr>
          <w:rFonts w:ascii="Arial" w:hAnsi="Arial" w:cs="Arial"/>
          <w:sz w:val="24"/>
          <w:szCs w:val="24"/>
        </w:rPr>
        <w:t xml:space="preserve"> attached</w:t>
      </w:r>
      <w:r w:rsidR="009B0D4F">
        <w:rPr>
          <w:rFonts w:ascii="Arial" w:hAnsi="Arial" w:cs="Arial"/>
          <w:sz w:val="24"/>
          <w:szCs w:val="24"/>
        </w:rPr>
        <w:t xml:space="preserve"> revealed that a board of trustees</w:t>
      </w:r>
      <w:r w:rsidR="00777F5F">
        <w:rPr>
          <w:rFonts w:ascii="Arial" w:hAnsi="Arial" w:cs="Arial"/>
          <w:sz w:val="24"/>
          <w:szCs w:val="24"/>
        </w:rPr>
        <w:t xml:space="preserve"> is established </w:t>
      </w:r>
      <w:r w:rsidR="009B0D4F">
        <w:rPr>
          <w:rFonts w:ascii="Arial" w:hAnsi="Arial" w:cs="Arial"/>
          <w:sz w:val="24"/>
          <w:szCs w:val="24"/>
        </w:rPr>
        <w:t xml:space="preserve">for the association </w:t>
      </w:r>
      <w:r w:rsidR="00C21123">
        <w:rPr>
          <w:rFonts w:ascii="Arial" w:hAnsi="Arial" w:cs="Arial"/>
          <w:sz w:val="24"/>
          <w:szCs w:val="24"/>
        </w:rPr>
        <w:t>and</w:t>
      </w:r>
      <w:r w:rsidR="00777F5F">
        <w:rPr>
          <w:rFonts w:ascii="Arial" w:hAnsi="Arial" w:cs="Arial"/>
          <w:sz w:val="24"/>
          <w:szCs w:val="24"/>
        </w:rPr>
        <w:t xml:space="preserve"> consist of</w:t>
      </w:r>
      <w:r w:rsidR="00C21123">
        <w:rPr>
          <w:rFonts w:ascii="Arial" w:hAnsi="Arial" w:cs="Arial"/>
          <w:sz w:val="24"/>
          <w:szCs w:val="24"/>
        </w:rPr>
        <w:t xml:space="preserve"> no</w:t>
      </w:r>
      <w:r w:rsidR="009B0D4F">
        <w:rPr>
          <w:rFonts w:ascii="Arial" w:hAnsi="Arial" w:cs="Arial"/>
          <w:sz w:val="24"/>
          <w:szCs w:val="24"/>
        </w:rPr>
        <w:t xml:space="preserve"> less</w:t>
      </w:r>
      <w:r w:rsidR="00C77D76">
        <w:rPr>
          <w:rFonts w:ascii="Arial" w:hAnsi="Arial" w:cs="Arial"/>
          <w:sz w:val="24"/>
          <w:szCs w:val="24"/>
        </w:rPr>
        <w:t xml:space="preserve"> tha</w:t>
      </w:r>
      <w:r w:rsidR="00777F5F">
        <w:rPr>
          <w:rFonts w:ascii="Arial" w:hAnsi="Arial" w:cs="Arial"/>
          <w:sz w:val="24"/>
          <w:szCs w:val="24"/>
        </w:rPr>
        <w:t>n three</w:t>
      </w:r>
      <w:r w:rsidR="00C77D76">
        <w:rPr>
          <w:rFonts w:ascii="Arial" w:hAnsi="Arial" w:cs="Arial"/>
          <w:sz w:val="24"/>
          <w:szCs w:val="24"/>
        </w:rPr>
        <w:t xml:space="preserve"> and not more than 10 members.</w:t>
      </w:r>
    </w:p>
    <w:p w:rsidR="00C21123" w:rsidRDefault="00363877" w:rsidP="00363877">
      <w:pPr>
        <w:spacing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777F5F">
        <w:rPr>
          <w:rFonts w:ascii="Arial" w:hAnsi="Arial" w:cs="Arial"/>
          <w:sz w:val="24"/>
          <w:szCs w:val="24"/>
        </w:rPr>
        <w:t>There are presently</w:t>
      </w:r>
      <w:r w:rsidR="000A1B71">
        <w:rPr>
          <w:rFonts w:ascii="Arial" w:hAnsi="Arial" w:cs="Arial"/>
          <w:sz w:val="24"/>
          <w:szCs w:val="24"/>
        </w:rPr>
        <w:t xml:space="preserve"> five</w:t>
      </w:r>
      <w:r w:rsidR="00C77D76">
        <w:rPr>
          <w:rFonts w:ascii="Arial" w:hAnsi="Arial" w:cs="Arial"/>
          <w:sz w:val="24"/>
          <w:szCs w:val="24"/>
        </w:rPr>
        <w:t xml:space="preserve"> trustees.  The Articles provide in clause 9.3.3</w:t>
      </w:r>
      <w:r w:rsidR="000A1B71">
        <w:rPr>
          <w:rFonts w:ascii="Arial" w:hAnsi="Arial" w:cs="Arial"/>
          <w:sz w:val="24"/>
          <w:szCs w:val="24"/>
        </w:rPr>
        <w:t xml:space="preserve"> that when there are five</w:t>
      </w:r>
      <w:r w:rsidR="00C77D76">
        <w:rPr>
          <w:rFonts w:ascii="Arial" w:hAnsi="Arial" w:cs="Arial"/>
          <w:sz w:val="24"/>
          <w:szCs w:val="24"/>
        </w:rPr>
        <w:t xml:space="preserve"> trustees</w:t>
      </w:r>
      <w:r w:rsidR="000A1B71">
        <w:rPr>
          <w:rFonts w:ascii="Arial" w:hAnsi="Arial" w:cs="Arial"/>
          <w:sz w:val="24"/>
          <w:szCs w:val="24"/>
        </w:rPr>
        <w:t>, three trustees</w:t>
      </w:r>
      <w:r w:rsidR="00C21123">
        <w:rPr>
          <w:rFonts w:ascii="Arial" w:hAnsi="Arial" w:cs="Arial"/>
          <w:sz w:val="24"/>
          <w:szCs w:val="24"/>
        </w:rPr>
        <w:t xml:space="preserve"> are nominees by</w:t>
      </w:r>
      <w:r w:rsidR="00777F5F">
        <w:rPr>
          <w:rFonts w:ascii="Arial" w:hAnsi="Arial" w:cs="Arial"/>
          <w:sz w:val="24"/>
          <w:szCs w:val="24"/>
        </w:rPr>
        <w:t xml:space="preserve"> the d</w:t>
      </w:r>
      <w:r w:rsidR="00C77D76">
        <w:rPr>
          <w:rFonts w:ascii="Arial" w:hAnsi="Arial" w:cs="Arial"/>
          <w:sz w:val="24"/>
          <w:szCs w:val="24"/>
        </w:rPr>
        <w:t>evelop</w:t>
      </w:r>
      <w:r w:rsidR="000A1B71">
        <w:rPr>
          <w:rFonts w:ascii="Arial" w:hAnsi="Arial" w:cs="Arial"/>
          <w:sz w:val="24"/>
          <w:szCs w:val="24"/>
        </w:rPr>
        <w:t>er,</w:t>
      </w:r>
      <w:r w:rsidR="00C77D76">
        <w:rPr>
          <w:rFonts w:ascii="Arial" w:hAnsi="Arial" w:cs="Arial"/>
          <w:sz w:val="24"/>
          <w:szCs w:val="24"/>
        </w:rPr>
        <w:t xml:space="preserve"> which is Hans Merensky Country Club (Pty) Ltd. The deponent, </w:t>
      </w:r>
      <w:r w:rsidR="00777F5F">
        <w:rPr>
          <w:rFonts w:ascii="Arial" w:hAnsi="Arial" w:cs="Arial"/>
          <w:sz w:val="24"/>
          <w:szCs w:val="24"/>
        </w:rPr>
        <w:t xml:space="preserve">as well as </w:t>
      </w:r>
      <w:r w:rsidR="00C21123">
        <w:rPr>
          <w:rFonts w:ascii="Arial" w:hAnsi="Arial" w:cs="Arial"/>
          <w:sz w:val="24"/>
          <w:szCs w:val="24"/>
        </w:rPr>
        <w:t xml:space="preserve">Mr </w:t>
      </w:r>
      <w:r w:rsidR="00C77D76">
        <w:rPr>
          <w:rFonts w:ascii="Arial" w:hAnsi="Arial" w:cs="Arial"/>
          <w:sz w:val="24"/>
          <w:szCs w:val="24"/>
        </w:rPr>
        <w:t>S Matlala</w:t>
      </w:r>
      <w:r w:rsidR="000A1B71">
        <w:rPr>
          <w:rFonts w:ascii="Arial" w:hAnsi="Arial" w:cs="Arial"/>
          <w:sz w:val="24"/>
          <w:szCs w:val="24"/>
        </w:rPr>
        <w:t xml:space="preserve"> and Me Rinderknecht are</w:t>
      </w:r>
      <w:r w:rsidR="00777F5F">
        <w:rPr>
          <w:rFonts w:ascii="Arial" w:hAnsi="Arial" w:cs="Arial"/>
          <w:sz w:val="24"/>
          <w:szCs w:val="24"/>
        </w:rPr>
        <w:t xml:space="preserve"> </w:t>
      </w:r>
      <w:r w:rsidR="00C21123">
        <w:rPr>
          <w:rFonts w:ascii="Arial" w:hAnsi="Arial" w:cs="Arial"/>
          <w:sz w:val="24"/>
          <w:szCs w:val="24"/>
        </w:rPr>
        <w:t xml:space="preserve">the </w:t>
      </w:r>
      <w:r w:rsidR="00777F5F">
        <w:rPr>
          <w:rFonts w:ascii="Arial" w:hAnsi="Arial" w:cs="Arial"/>
          <w:sz w:val="24"/>
          <w:szCs w:val="24"/>
        </w:rPr>
        <w:t xml:space="preserve">three trustees nominated by the developer. The remaining </w:t>
      </w:r>
      <w:r w:rsidR="000A1B71">
        <w:rPr>
          <w:rFonts w:ascii="Arial" w:hAnsi="Arial" w:cs="Arial"/>
          <w:sz w:val="24"/>
          <w:szCs w:val="24"/>
        </w:rPr>
        <w:t>two trustees</w:t>
      </w:r>
      <w:r w:rsidR="00777F5F">
        <w:rPr>
          <w:rFonts w:ascii="Arial" w:hAnsi="Arial" w:cs="Arial"/>
          <w:sz w:val="24"/>
          <w:szCs w:val="24"/>
        </w:rPr>
        <w:t xml:space="preserve"> are Messrs</w:t>
      </w:r>
      <w:r w:rsidR="000A1B71">
        <w:rPr>
          <w:rFonts w:ascii="Arial" w:hAnsi="Arial" w:cs="Arial"/>
          <w:sz w:val="24"/>
          <w:szCs w:val="24"/>
        </w:rPr>
        <w:t xml:space="preserve"> Coppin and </w:t>
      </w:r>
      <w:r w:rsidR="00777F5F">
        <w:rPr>
          <w:rFonts w:ascii="Arial" w:hAnsi="Arial" w:cs="Arial"/>
          <w:sz w:val="24"/>
          <w:szCs w:val="24"/>
        </w:rPr>
        <w:t>Bronèe,</w:t>
      </w:r>
      <w:r w:rsidR="00E136EC">
        <w:rPr>
          <w:rFonts w:ascii="Arial" w:hAnsi="Arial" w:cs="Arial"/>
          <w:sz w:val="24"/>
          <w:szCs w:val="24"/>
        </w:rPr>
        <w:t xml:space="preserve"> </w:t>
      </w:r>
      <w:r w:rsidR="00777F5F">
        <w:rPr>
          <w:rFonts w:ascii="Arial" w:hAnsi="Arial" w:cs="Arial"/>
          <w:sz w:val="24"/>
          <w:szCs w:val="24"/>
        </w:rPr>
        <w:t>who were nominated as</w:t>
      </w:r>
      <w:r w:rsidR="00C21123">
        <w:rPr>
          <w:rFonts w:ascii="Arial" w:hAnsi="Arial" w:cs="Arial"/>
          <w:sz w:val="24"/>
          <w:szCs w:val="24"/>
        </w:rPr>
        <w:t xml:space="preserve"> representatives by</w:t>
      </w:r>
      <w:r w:rsidR="00EA56AE">
        <w:rPr>
          <w:rFonts w:ascii="Arial" w:hAnsi="Arial" w:cs="Arial"/>
          <w:sz w:val="24"/>
          <w:szCs w:val="24"/>
        </w:rPr>
        <w:t xml:space="preserve"> the home owners</w:t>
      </w:r>
      <w:r w:rsidR="00C21123">
        <w:rPr>
          <w:rFonts w:ascii="Arial" w:hAnsi="Arial" w:cs="Arial"/>
          <w:sz w:val="24"/>
          <w:szCs w:val="24"/>
        </w:rPr>
        <w:t>,</w:t>
      </w:r>
      <w:r w:rsidR="00EA56AE">
        <w:rPr>
          <w:rFonts w:ascii="Arial" w:hAnsi="Arial" w:cs="Arial"/>
          <w:sz w:val="24"/>
          <w:szCs w:val="24"/>
        </w:rPr>
        <w:t xml:space="preserve"> on the board.  </w:t>
      </w:r>
    </w:p>
    <w:p w:rsidR="00C21123" w:rsidRDefault="00C21123" w:rsidP="00363877">
      <w:pPr>
        <w:spacing w:line="480" w:lineRule="auto"/>
        <w:ind w:left="720" w:hanging="720"/>
        <w:jc w:val="both"/>
        <w:rPr>
          <w:rFonts w:ascii="Arial" w:hAnsi="Arial" w:cs="Arial"/>
          <w:sz w:val="24"/>
          <w:szCs w:val="24"/>
        </w:rPr>
      </w:pPr>
      <w:r>
        <w:rPr>
          <w:rFonts w:ascii="Arial" w:hAnsi="Arial" w:cs="Arial"/>
          <w:sz w:val="24"/>
          <w:szCs w:val="24"/>
        </w:rPr>
        <w:t xml:space="preserve"> [9]     </w:t>
      </w:r>
      <w:r w:rsidR="00EA56AE">
        <w:rPr>
          <w:rFonts w:ascii="Arial" w:hAnsi="Arial" w:cs="Arial"/>
          <w:sz w:val="24"/>
          <w:szCs w:val="24"/>
        </w:rPr>
        <w:t>Clause 14.2</w:t>
      </w:r>
      <w:r w:rsidR="000A1B71">
        <w:rPr>
          <w:rFonts w:ascii="Arial" w:hAnsi="Arial" w:cs="Arial"/>
          <w:sz w:val="24"/>
          <w:szCs w:val="24"/>
        </w:rPr>
        <w:t xml:space="preserve"> </w:t>
      </w:r>
      <w:r w:rsidR="00EA56AE">
        <w:rPr>
          <w:rFonts w:ascii="Arial" w:hAnsi="Arial" w:cs="Arial"/>
          <w:sz w:val="24"/>
          <w:szCs w:val="24"/>
        </w:rPr>
        <w:t>provides that a quorum for the holding of any meeting of the trustees are two</w:t>
      </w:r>
      <w:r w:rsidR="00777F5F">
        <w:rPr>
          <w:rFonts w:ascii="Arial" w:hAnsi="Arial" w:cs="Arial"/>
          <w:sz w:val="24"/>
          <w:szCs w:val="24"/>
        </w:rPr>
        <w:t xml:space="preserve"> trustees who must be</w:t>
      </w:r>
      <w:r w:rsidR="00EA56AE">
        <w:rPr>
          <w:rFonts w:ascii="Arial" w:hAnsi="Arial" w:cs="Arial"/>
          <w:sz w:val="24"/>
          <w:szCs w:val="24"/>
        </w:rPr>
        <w:t xml:space="preserve"> personally present and during the development stage the presence of a majority of t</w:t>
      </w:r>
      <w:r w:rsidR="00777F5F">
        <w:rPr>
          <w:rFonts w:ascii="Arial" w:hAnsi="Arial" w:cs="Arial"/>
          <w:sz w:val="24"/>
          <w:szCs w:val="24"/>
        </w:rPr>
        <w:t>rustee who are nominees of the d</w:t>
      </w:r>
      <w:r w:rsidR="00EA56AE">
        <w:rPr>
          <w:rFonts w:ascii="Arial" w:hAnsi="Arial" w:cs="Arial"/>
          <w:sz w:val="24"/>
          <w:szCs w:val="24"/>
        </w:rPr>
        <w:t>eveloper shall be necessary at all meetings to constitute a quorum</w:t>
      </w:r>
      <w:r w:rsidR="00777F5F">
        <w:rPr>
          <w:rFonts w:ascii="Arial" w:hAnsi="Arial" w:cs="Arial"/>
          <w:sz w:val="24"/>
          <w:szCs w:val="24"/>
        </w:rPr>
        <w:t>. A</w:t>
      </w:r>
      <w:r w:rsidR="00EA56AE">
        <w:rPr>
          <w:rFonts w:ascii="Arial" w:hAnsi="Arial" w:cs="Arial"/>
          <w:sz w:val="24"/>
          <w:szCs w:val="24"/>
        </w:rPr>
        <w:t xml:space="preserve"> simple majority of votes is required for a resolution. </w:t>
      </w:r>
    </w:p>
    <w:p w:rsidR="00E86554" w:rsidRDefault="00C21123" w:rsidP="00363877">
      <w:pPr>
        <w:spacing w:line="480" w:lineRule="auto"/>
        <w:ind w:left="720" w:hanging="720"/>
        <w:jc w:val="both"/>
        <w:rPr>
          <w:rFonts w:ascii="Arial" w:hAnsi="Arial" w:cs="Arial"/>
          <w:sz w:val="24"/>
          <w:szCs w:val="24"/>
        </w:rPr>
      </w:pPr>
      <w:r>
        <w:rPr>
          <w:rFonts w:ascii="Arial" w:hAnsi="Arial" w:cs="Arial"/>
          <w:sz w:val="24"/>
          <w:szCs w:val="24"/>
        </w:rPr>
        <w:t xml:space="preserve"> [10]  </w:t>
      </w:r>
      <w:r w:rsidR="00EA56AE">
        <w:rPr>
          <w:rFonts w:ascii="Arial" w:hAnsi="Arial" w:cs="Arial"/>
          <w:sz w:val="24"/>
          <w:szCs w:val="24"/>
        </w:rPr>
        <w:t>The resolution to institute the proceedings which bind the home owners was obtained without the nominees of the home owners being present or invited to the meeting of the trustees</w:t>
      </w:r>
      <w:r w:rsidR="00E86554">
        <w:rPr>
          <w:rFonts w:ascii="Arial" w:hAnsi="Arial" w:cs="Arial"/>
          <w:sz w:val="24"/>
          <w:szCs w:val="24"/>
        </w:rPr>
        <w:t xml:space="preserve"> where the resolution was taken</w:t>
      </w:r>
      <w:r w:rsidR="00EA56AE">
        <w:rPr>
          <w:rFonts w:ascii="Arial" w:hAnsi="Arial" w:cs="Arial"/>
          <w:sz w:val="24"/>
          <w:szCs w:val="24"/>
        </w:rPr>
        <w:t>.</w:t>
      </w:r>
      <w:r w:rsidR="00777F5F">
        <w:rPr>
          <w:rFonts w:ascii="Arial" w:hAnsi="Arial" w:cs="Arial"/>
          <w:sz w:val="24"/>
          <w:szCs w:val="24"/>
        </w:rPr>
        <w:t xml:space="preserve"> It is therefore, not surprising that the three trustees nominated by the developer met and took the resolution to institute the present application.</w:t>
      </w:r>
    </w:p>
    <w:p w:rsidR="00BD47AF" w:rsidRDefault="00C21123" w:rsidP="00363877">
      <w:pPr>
        <w:spacing w:line="480" w:lineRule="auto"/>
        <w:ind w:left="720" w:hanging="720"/>
        <w:jc w:val="both"/>
        <w:rPr>
          <w:rFonts w:ascii="Arial" w:hAnsi="Arial" w:cs="Arial"/>
          <w:sz w:val="24"/>
          <w:szCs w:val="24"/>
        </w:rPr>
      </w:pPr>
      <w:r>
        <w:rPr>
          <w:rFonts w:ascii="Arial" w:hAnsi="Arial" w:cs="Arial"/>
          <w:sz w:val="24"/>
          <w:szCs w:val="24"/>
        </w:rPr>
        <w:t>[11</w:t>
      </w:r>
      <w:r w:rsidR="00363877">
        <w:rPr>
          <w:rFonts w:ascii="Arial" w:hAnsi="Arial" w:cs="Arial"/>
          <w:sz w:val="24"/>
          <w:szCs w:val="24"/>
        </w:rPr>
        <w:t>]</w:t>
      </w:r>
      <w:r w:rsidR="00363877">
        <w:rPr>
          <w:rFonts w:ascii="Arial" w:hAnsi="Arial" w:cs="Arial"/>
          <w:sz w:val="24"/>
          <w:szCs w:val="24"/>
        </w:rPr>
        <w:tab/>
      </w:r>
      <w:r w:rsidR="00E86554">
        <w:rPr>
          <w:rFonts w:ascii="Arial" w:hAnsi="Arial" w:cs="Arial"/>
          <w:sz w:val="24"/>
          <w:szCs w:val="24"/>
        </w:rPr>
        <w:t>The</w:t>
      </w:r>
      <w:r w:rsidR="00BD47AF">
        <w:rPr>
          <w:rFonts w:ascii="Arial" w:hAnsi="Arial" w:cs="Arial"/>
          <w:sz w:val="24"/>
          <w:szCs w:val="24"/>
        </w:rPr>
        <w:t xml:space="preserve"> facts set out by the deponent in the founding affidavit reveal that </w:t>
      </w:r>
      <w:r>
        <w:rPr>
          <w:rFonts w:ascii="Arial" w:hAnsi="Arial" w:cs="Arial"/>
          <w:sz w:val="24"/>
          <w:szCs w:val="24"/>
        </w:rPr>
        <w:t xml:space="preserve">the </w:t>
      </w:r>
      <w:r w:rsidR="00BD47AF">
        <w:rPr>
          <w:rFonts w:ascii="Arial" w:hAnsi="Arial" w:cs="Arial"/>
          <w:sz w:val="24"/>
          <w:szCs w:val="24"/>
        </w:rPr>
        <w:t>second respondent is a company in liquidation which is the owner of the property.</w:t>
      </w:r>
      <w:r w:rsidR="00E86554">
        <w:rPr>
          <w:rFonts w:ascii="Arial" w:hAnsi="Arial" w:cs="Arial"/>
          <w:sz w:val="24"/>
          <w:szCs w:val="24"/>
        </w:rPr>
        <w:t xml:space="preserve"> </w:t>
      </w:r>
      <w:r w:rsidR="00BD47AF">
        <w:rPr>
          <w:rFonts w:ascii="Arial" w:hAnsi="Arial" w:cs="Arial"/>
          <w:sz w:val="24"/>
          <w:szCs w:val="24"/>
        </w:rPr>
        <w:t xml:space="preserve">The </w:t>
      </w:r>
      <w:r w:rsidR="00E86554">
        <w:rPr>
          <w:rFonts w:ascii="Arial" w:hAnsi="Arial" w:cs="Arial"/>
          <w:sz w:val="24"/>
          <w:szCs w:val="24"/>
        </w:rPr>
        <w:t xml:space="preserve">liquidators </w:t>
      </w:r>
      <w:r>
        <w:rPr>
          <w:rFonts w:ascii="Arial" w:hAnsi="Arial" w:cs="Arial"/>
          <w:sz w:val="24"/>
          <w:szCs w:val="24"/>
        </w:rPr>
        <w:t>in the exercise of their duties</w:t>
      </w:r>
      <w:r w:rsidR="00BD47AF">
        <w:rPr>
          <w:rFonts w:ascii="Arial" w:hAnsi="Arial" w:cs="Arial"/>
          <w:sz w:val="24"/>
          <w:szCs w:val="24"/>
        </w:rPr>
        <w:t xml:space="preserve"> </w:t>
      </w:r>
      <w:r w:rsidR="00E86554">
        <w:rPr>
          <w:rFonts w:ascii="Arial" w:hAnsi="Arial" w:cs="Arial"/>
          <w:sz w:val="24"/>
          <w:szCs w:val="24"/>
        </w:rPr>
        <w:t>concluded a sale agreement with the seventh respondent in terms whereof the property</w:t>
      </w:r>
      <w:r>
        <w:rPr>
          <w:rFonts w:ascii="Arial" w:hAnsi="Arial" w:cs="Arial"/>
          <w:sz w:val="24"/>
          <w:szCs w:val="24"/>
        </w:rPr>
        <w:t xml:space="preserve"> of the second</w:t>
      </w:r>
      <w:r w:rsidR="00555171">
        <w:rPr>
          <w:rFonts w:ascii="Arial" w:hAnsi="Arial" w:cs="Arial"/>
          <w:sz w:val="24"/>
          <w:szCs w:val="24"/>
        </w:rPr>
        <w:t xml:space="preserve"> respondent</w:t>
      </w:r>
      <w:r w:rsidR="00E86554">
        <w:rPr>
          <w:rFonts w:ascii="Arial" w:hAnsi="Arial" w:cs="Arial"/>
          <w:sz w:val="24"/>
          <w:szCs w:val="24"/>
        </w:rPr>
        <w:t xml:space="preserve"> was sold</w:t>
      </w:r>
      <w:r w:rsidR="00BD47AF">
        <w:rPr>
          <w:rFonts w:ascii="Arial" w:hAnsi="Arial" w:cs="Arial"/>
          <w:sz w:val="24"/>
          <w:szCs w:val="24"/>
        </w:rPr>
        <w:t xml:space="preserve"> to it</w:t>
      </w:r>
      <w:r w:rsidR="00E86554">
        <w:rPr>
          <w:rFonts w:ascii="Arial" w:hAnsi="Arial" w:cs="Arial"/>
          <w:sz w:val="24"/>
          <w:szCs w:val="24"/>
        </w:rPr>
        <w:t xml:space="preserve">. </w:t>
      </w:r>
    </w:p>
    <w:p w:rsidR="00555171" w:rsidRDefault="00C21123" w:rsidP="00363877">
      <w:pPr>
        <w:spacing w:line="480" w:lineRule="auto"/>
        <w:ind w:left="720" w:hanging="720"/>
        <w:jc w:val="both"/>
        <w:rPr>
          <w:rFonts w:ascii="Arial" w:hAnsi="Arial" w:cs="Arial"/>
          <w:sz w:val="24"/>
          <w:szCs w:val="24"/>
        </w:rPr>
      </w:pPr>
      <w:r>
        <w:rPr>
          <w:rFonts w:ascii="Arial" w:hAnsi="Arial" w:cs="Arial"/>
          <w:sz w:val="24"/>
          <w:szCs w:val="24"/>
        </w:rPr>
        <w:t>[12</w:t>
      </w:r>
      <w:r w:rsidR="00363877">
        <w:rPr>
          <w:rFonts w:ascii="Arial" w:hAnsi="Arial" w:cs="Arial"/>
          <w:sz w:val="24"/>
          <w:szCs w:val="24"/>
        </w:rPr>
        <w:t>]</w:t>
      </w:r>
      <w:r w:rsidR="00363877">
        <w:rPr>
          <w:rFonts w:ascii="Arial" w:hAnsi="Arial" w:cs="Arial"/>
          <w:sz w:val="24"/>
          <w:szCs w:val="24"/>
        </w:rPr>
        <w:tab/>
      </w:r>
      <w:r w:rsidR="00555171">
        <w:rPr>
          <w:rFonts w:ascii="Arial" w:hAnsi="Arial" w:cs="Arial"/>
          <w:sz w:val="24"/>
          <w:szCs w:val="24"/>
        </w:rPr>
        <w:t>On Tuesday 10 May 2022, subsequen</w:t>
      </w:r>
      <w:r w:rsidR="00BD47AF">
        <w:rPr>
          <w:rFonts w:ascii="Arial" w:hAnsi="Arial" w:cs="Arial"/>
          <w:sz w:val="24"/>
          <w:szCs w:val="24"/>
        </w:rPr>
        <w:t>t to a Deeds Office Title Deed S</w:t>
      </w:r>
      <w:r w:rsidR="00555171">
        <w:rPr>
          <w:rFonts w:ascii="Arial" w:hAnsi="Arial" w:cs="Arial"/>
          <w:sz w:val="24"/>
          <w:szCs w:val="24"/>
        </w:rPr>
        <w:t xml:space="preserve">earch </w:t>
      </w:r>
      <w:r w:rsidR="00BD47AF">
        <w:rPr>
          <w:rFonts w:ascii="Arial" w:hAnsi="Arial" w:cs="Arial"/>
          <w:sz w:val="24"/>
          <w:szCs w:val="24"/>
        </w:rPr>
        <w:t xml:space="preserve">document, which </w:t>
      </w:r>
      <w:r w:rsidR="00555171">
        <w:rPr>
          <w:rFonts w:ascii="Arial" w:hAnsi="Arial" w:cs="Arial"/>
          <w:sz w:val="24"/>
          <w:szCs w:val="24"/>
        </w:rPr>
        <w:t>was furnished to the deponent it came to the attention of the Association that the seventh respondent was seeking registration of the property in its name on 11 May</w:t>
      </w:r>
      <w:r w:rsidR="00BD47AF">
        <w:rPr>
          <w:rFonts w:ascii="Arial" w:hAnsi="Arial" w:cs="Arial"/>
          <w:sz w:val="24"/>
          <w:szCs w:val="24"/>
        </w:rPr>
        <w:t xml:space="preserve"> 2022</w:t>
      </w:r>
      <w:r w:rsidR="00555171">
        <w:rPr>
          <w:rFonts w:ascii="Arial" w:hAnsi="Arial" w:cs="Arial"/>
          <w:sz w:val="24"/>
          <w:szCs w:val="24"/>
        </w:rPr>
        <w:t xml:space="preserve">. </w:t>
      </w:r>
    </w:p>
    <w:p w:rsidR="00BD47AF" w:rsidRDefault="00C21123" w:rsidP="00363877">
      <w:pPr>
        <w:spacing w:line="480" w:lineRule="auto"/>
        <w:ind w:left="720" w:hanging="720"/>
        <w:jc w:val="both"/>
        <w:rPr>
          <w:rFonts w:ascii="Arial" w:hAnsi="Arial" w:cs="Arial"/>
          <w:sz w:val="24"/>
          <w:szCs w:val="24"/>
        </w:rPr>
      </w:pPr>
      <w:r>
        <w:rPr>
          <w:rFonts w:ascii="Arial" w:hAnsi="Arial" w:cs="Arial"/>
          <w:sz w:val="24"/>
          <w:szCs w:val="24"/>
        </w:rPr>
        <w:t>[13]</w:t>
      </w:r>
      <w:r w:rsidR="00363877">
        <w:rPr>
          <w:rFonts w:ascii="Arial" w:hAnsi="Arial" w:cs="Arial"/>
          <w:sz w:val="24"/>
          <w:szCs w:val="24"/>
        </w:rPr>
        <w:tab/>
      </w:r>
      <w:r w:rsidR="00555171">
        <w:rPr>
          <w:rFonts w:ascii="Arial" w:hAnsi="Arial" w:cs="Arial"/>
          <w:sz w:val="24"/>
          <w:szCs w:val="24"/>
        </w:rPr>
        <w:t>The deponent was absolutely shocked by the discovery since he was unaware that consent</w:t>
      </w:r>
      <w:r w:rsidR="00BD47AF">
        <w:rPr>
          <w:rFonts w:ascii="Arial" w:hAnsi="Arial" w:cs="Arial"/>
          <w:sz w:val="24"/>
          <w:szCs w:val="24"/>
        </w:rPr>
        <w:t>,</w:t>
      </w:r>
      <w:r w:rsidR="00555171">
        <w:rPr>
          <w:rFonts w:ascii="Arial" w:hAnsi="Arial" w:cs="Arial"/>
          <w:sz w:val="24"/>
          <w:szCs w:val="24"/>
        </w:rPr>
        <w:t xml:space="preserve"> as required by the restrictive conditions</w:t>
      </w:r>
      <w:r w:rsidR="00BD47AF">
        <w:rPr>
          <w:rFonts w:ascii="Arial" w:hAnsi="Arial" w:cs="Arial"/>
          <w:sz w:val="24"/>
          <w:szCs w:val="24"/>
        </w:rPr>
        <w:t xml:space="preserve"> in the title deed</w:t>
      </w:r>
      <w:r w:rsidR="00611F19">
        <w:rPr>
          <w:rFonts w:ascii="Arial" w:hAnsi="Arial" w:cs="Arial"/>
          <w:sz w:val="24"/>
          <w:szCs w:val="24"/>
        </w:rPr>
        <w:t xml:space="preserve"> has </w:t>
      </w:r>
      <w:r w:rsidR="00BD47AF">
        <w:rPr>
          <w:rFonts w:ascii="Arial" w:hAnsi="Arial" w:cs="Arial"/>
          <w:sz w:val="24"/>
          <w:szCs w:val="24"/>
        </w:rPr>
        <w:t>n</w:t>
      </w:r>
      <w:r w:rsidR="00555171">
        <w:rPr>
          <w:rFonts w:ascii="Arial" w:hAnsi="Arial" w:cs="Arial"/>
          <w:sz w:val="24"/>
          <w:szCs w:val="24"/>
        </w:rPr>
        <w:t xml:space="preserve">ever been sought </w:t>
      </w:r>
      <w:r w:rsidR="00BD47AF">
        <w:rPr>
          <w:rFonts w:ascii="Arial" w:hAnsi="Arial" w:cs="Arial"/>
          <w:sz w:val="24"/>
          <w:szCs w:val="24"/>
        </w:rPr>
        <w:t xml:space="preserve">by </w:t>
      </w:r>
      <w:r w:rsidR="00555171">
        <w:rPr>
          <w:rFonts w:ascii="Arial" w:hAnsi="Arial" w:cs="Arial"/>
          <w:sz w:val="24"/>
          <w:szCs w:val="24"/>
        </w:rPr>
        <w:t xml:space="preserve">or granted to the seventh respondent. </w:t>
      </w:r>
    </w:p>
    <w:p w:rsidR="003F692B" w:rsidRDefault="00363877" w:rsidP="00363877">
      <w:pPr>
        <w:spacing w:line="480" w:lineRule="auto"/>
        <w:ind w:left="720" w:hanging="720"/>
        <w:jc w:val="both"/>
        <w:rPr>
          <w:rFonts w:ascii="Arial" w:hAnsi="Arial" w:cs="Arial"/>
          <w:sz w:val="24"/>
          <w:szCs w:val="24"/>
        </w:rPr>
      </w:pPr>
      <w:r>
        <w:rPr>
          <w:rFonts w:ascii="Arial" w:hAnsi="Arial" w:cs="Arial"/>
          <w:sz w:val="24"/>
          <w:szCs w:val="24"/>
        </w:rPr>
        <w:t>[</w:t>
      </w:r>
      <w:r w:rsidR="00C21123">
        <w:rPr>
          <w:rFonts w:ascii="Arial" w:hAnsi="Arial" w:cs="Arial"/>
          <w:sz w:val="24"/>
          <w:szCs w:val="24"/>
        </w:rPr>
        <w:t xml:space="preserve">14]  </w:t>
      </w:r>
      <w:r w:rsidR="00611F19">
        <w:rPr>
          <w:rFonts w:ascii="Arial" w:hAnsi="Arial" w:cs="Arial"/>
          <w:sz w:val="24"/>
          <w:szCs w:val="24"/>
        </w:rPr>
        <w:t>The deponent</w:t>
      </w:r>
      <w:r w:rsidR="00BD47AF">
        <w:rPr>
          <w:rFonts w:ascii="Arial" w:hAnsi="Arial" w:cs="Arial"/>
          <w:sz w:val="24"/>
          <w:szCs w:val="24"/>
        </w:rPr>
        <w:t xml:space="preserve"> continued to aver that he</w:t>
      </w:r>
      <w:r w:rsidR="00611F19">
        <w:rPr>
          <w:rFonts w:ascii="Arial" w:hAnsi="Arial" w:cs="Arial"/>
          <w:sz w:val="24"/>
          <w:szCs w:val="24"/>
        </w:rPr>
        <w:t xml:space="preserve"> sought urgent advise from the Association’s attorneys</w:t>
      </w:r>
      <w:r w:rsidR="00BD47AF">
        <w:rPr>
          <w:rFonts w:ascii="Arial" w:hAnsi="Arial" w:cs="Arial"/>
          <w:sz w:val="24"/>
          <w:szCs w:val="24"/>
        </w:rPr>
        <w:t>,</w:t>
      </w:r>
      <w:r w:rsidR="00611F19">
        <w:rPr>
          <w:rFonts w:ascii="Arial" w:hAnsi="Arial" w:cs="Arial"/>
          <w:sz w:val="24"/>
          <w:szCs w:val="24"/>
        </w:rPr>
        <w:t xml:space="preserve"> Knowles Husain </w:t>
      </w:r>
      <w:r w:rsidR="00BD47AF">
        <w:rPr>
          <w:rFonts w:ascii="Arial" w:hAnsi="Arial" w:cs="Arial"/>
          <w:sz w:val="24"/>
          <w:szCs w:val="24"/>
        </w:rPr>
        <w:t>Lindsay Inc. The attorneys</w:t>
      </w:r>
      <w:r w:rsidR="00611F19">
        <w:rPr>
          <w:rFonts w:ascii="Arial" w:hAnsi="Arial" w:cs="Arial"/>
          <w:sz w:val="24"/>
          <w:szCs w:val="24"/>
        </w:rPr>
        <w:t xml:space="preserve"> addressed a letter to the first respondent (the Registrar of Deeds) and to the </w:t>
      </w:r>
      <w:r w:rsidR="00BD47AF">
        <w:rPr>
          <w:rFonts w:ascii="Arial" w:hAnsi="Arial" w:cs="Arial"/>
          <w:sz w:val="24"/>
          <w:szCs w:val="24"/>
        </w:rPr>
        <w:t>liquidators in which it was pointed</w:t>
      </w:r>
      <w:r w:rsidR="00611F19">
        <w:rPr>
          <w:rFonts w:ascii="Arial" w:hAnsi="Arial" w:cs="Arial"/>
          <w:sz w:val="24"/>
          <w:szCs w:val="24"/>
        </w:rPr>
        <w:t xml:space="preserve"> out that consent from the Association is required prior to transfer of the property to the seventh respondent. </w:t>
      </w:r>
      <w:r w:rsidR="005E3CFA">
        <w:rPr>
          <w:rFonts w:ascii="Arial" w:hAnsi="Arial" w:cs="Arial"/>
          <w:sz w:val="24"/>
          <w:szCs w:val="24"/>
        </w:rPr>
        <w:t>An attorney</w:t>
      </w:r>
      <w:r w:rsidR="00BD47AF">
        <w:rPr>
          <w:rFonts w:ascii="Arial" w:hAnsi="Arial" w:cs="Arial"/>
          <w:sz w:val="24"/>
          <w:szCs w:val="24"/>
        </w:rPr>
        <w:t>,</w:t>
      </w:r>
      <w:r w:rsidR="005E3CFA">
        <w:rPr>
          <w:rFonts w:ascii="Arial" w:hAnsi="Arial" w:cs="Arial"/>
          <w:sz w:val="24"/>
          <w:szCs w:val="24"/>
        </w:rPr>
        <w:t xml:space="preserve"> </w:t>
      </w:r>
      <w:r w:rsidR="00796837">
        <w:rPr>
          <w:rFonts w:ascii="Arial" w:hAnsi="Arial" w:cs="Arial"/>
          <w:sz w:val="24"/>
          <w:szCs w:val="24"/>
        </w:rPr>
        <w:t>one Cameron</w:t>
      </w:r>
      <w:r w:rsidR="00BD47AF">
        <w:rPr>
          <w:rFonts w:ascii="Arial" w:hAnsi="Arial" w:cs="Arial"/>
          <w:sz w:val="24"/>
          <w:szCs w:val="24"/>
        </w:rPr>
        <w:t>,</w:t>
      </w:r>
      <w:r w:rsidR="00796837">
        <w:rPr>
          <w:rFonts w:ascii="Arial" w:hAnsi="Arial" w:cs="Arial"/>
          <w:sz w:val="24"/>
          <w:szCs w:val="24"/>
        </w:rPr>
        <w:t xml:space="preserve"> </w:t>
      </w:r>
      <w:r w:rsidR="005E3CFA">
        <w:rPr>
          <w:rFonts w:ascii="Arial" w:hAnsi="Arial" w:cs="Arial"/>
          <w:sz w:val="24"/>
          <w:szCs w:val="24"/>
        </w:rPr>
        <w:t>who represented M</w:t>
      </w:r>
      <w:r w:rsidR="00796837">
        <w:rPr>
          <w:rFonts w:ascii="Arial" w:hAnsi="Arial" w:cs="Arial"/>
          <w:sz w:val="24"/>
          <w:szCs w:val="24"/>
        </w:rPr>
        <w:t>e</w:t>
      </w:r>
      <w:r w:rsidR="005E3CFA">
        <w:rPr>
          <w:rFonts w:ascii="Arial" w:hAnsi="Arial" w:cs="Arial"/>
          <w:sz w:val="24"/>
          <w:szCs w:val="24"/>
        </w:rPr>
        <w:t xml:space="preserve"> Rinderkneckt and other applicants in the application that was struck from the roll on 17 May 2022 happened to be present </w:t>
      </w:r>
      <w:r w:rsidR="00BD47AF">
        <w:rPr>
          <w:rFonts w:ascii="Arial" w:hAnsi="Arial" w:cs="Arial"/>
          <w:sz w:val="24"/>
          <w:szCs w:val="24"/>
        </w:rPr>
        <w:t>and</w:t>
      </w:r>
      <w:r w:rsidR="00796837">
        <w:rPr>
          <w:rFonts w:ascii="Arial" w:hAnsi="Arial" w:cs="Arial"/>
          <w:sz w:val="24"/>
          <w:szCs w:val="24"/>
        </w:rPr>
        <w:t xml:space="preserve"> hand delivered the letter on </w:t>
      </w:r>
      <w:r w:rsidR="00BD47AF">
        <w:rPr>
          <w:rFonts w:ascii="Arial" w:hAnsi="Arial" w:cs="Arial"/>
          <w:sz w:val="24"/>
          <w:szCs w:val="24"/>
        </w:rPr>
        <w:t>behalf of attorneys</w:t>
      </w:r>
      <w:r w:rsidR="00796837">
        <w:rPr>
          <w:rFonts w:ascii="Arial" w:hAnsi="Arial" w:cs="Arial"/>
          <w:sz w:val="24"/>
          <w:szCs w:val="24"/>
        </w:rPr>
        <w:t xml:space="preserve"> </w:t>
      </w:r>
      <w:r w:rsidR="00BD47AF">
        <w:rPr>
          <w:rFonts w:ascii="Arial" w:hAnsi="Arial" w:cs="Arial"/>
          <w:sz w:val="24"/>
          <w:szCs w:val="24"/>
        </w:rPr>
        <w:t>to Mr Phali an employee at the deed o</w:t>
      </w:r>
      <w:r w:rsidR="00796837">
        <w:rPr>
          <w:rFonts w:ascii="Arial" w:hAnsi="Arial" w:cs="Arial"/>
          <w:sz w:val="24"/>
          <w:szCs w:val="24"/>
        </w:rPr>
        <w:t>ffice. During their discussion</w:t>
      </w:r>
      <w:r w:rsidR="00F74EBD">
        <w:rPr>
          <w:rFonts w:ascii="Arial" w:hAnsi="Arial" w:cs="Arial"/>
          <w:sz w:val="24"/>
          <w:szCs w:val="24"/>
        </w:rPr>
        <w:t>s</w:t>
      </w:r>
      <w:r w:rsidR="00796837">
        <w:rPr>
          <w:rFonts w:ascii="Arial" w:hAnsi="Arial" w:cs="Arial"/>
          <w:sz w:val="24"/>
          <w:szCs w:val="24"/>
        </w:rPr>
        <w:t xml:space="preserve"> Phali informed C</w:t>
      </w:r>
      <w:r w:rsidR="00F74EBD">
        <w:rPr>
          <w:rFonts w:ascii="Arial" w:hAnsi="Arial" w:cs="Arial"/>
          <w:sz w:val="24"/>
          <w:szCs w:val="24"/>
        </w:rPr>
        <w:t>a</w:t>
      </w:r>
      <w:r w:rsidR="00796837">
        <w:rPr>
          <w:rFonts w:ascii="Arial" w:hAnsi="Arial" w:cs="Arial"/>
          <w:sz w:val="24"/>
          <w:szCs w:val="24"/>
        </w:rPr>
        <w:t xml:space="preserve">meron that </w:t>
      </w:r>
      <w:r w:rsidR="003F692B">
        <w:rPr>
          <w:rFonts w:ascii="Arial" w:hAnsi="Arial" w:cs="Arial"/>
          <w:sz w:val="24"/>
          <w:szCs w:val="24"/>
        </w:rPr>
        <w:t>the sale is treated as a sale by auction by the li</w:t>
      </w:r>
      <w:r w:rsidR="004E5DDA">
        <w:rPr>
          <w:rFonts w:ascii="Arial" w:hAnsi="Arial" w:cs="Arial"/>
          <w:sz w:val="24"/>
          <w:szCs w:val="24"/>
        </w:rPr>
        <w:t xml:space="preserve">quidators as </w:t>
      </w:r>
      <w:r w:rsidR="003F692B">
        <w:rPr>
          <w:rFonts w:ascii="Arial" w:hAnsi="Arial" w:cs="Arial"/>
          <w:sz w:val="24"/>
          <w:szCs w:val="24"/>
        </w:rPr>
        <w:t>a “forced sale” and as such all restrictive conditions are ignored by the deeds office. Cameron was surprised</w:t>
      </w:r>
      <w:r w:rsidR="004E5DDA">
        <w:rPr>
          <w:rFonts w:ascii="Arial" w:hAnsi="Arial" w:cs="Arial"/>
          <w:sz w:val="24"/>
          <w:szCs w:val="24"/>
        </w:rPr>
        <w:t xml:space="preserve"> and enquired from Phali what is</w:t>
      </w:r>
      <w:r w:rsidR="003F692B">
        <w:rPr>
          <w:rFonts w:ascii="Arial" w:hAnsi="Arial" w:cs="Arial"/>
          <w:sz w:val="24"/>
          <w:szCs w:val="24"/>
        </w:rPr>
        <w:t xml:space="preserve"> c</w:t>
      </w:r>
      <w:r w:rsidR="004E5DDA">
        <w:rPr>
          <w:rFonts w:ascii="Arial" w:hAnsi="Arial" w:cs="Arial"/>
          <w:sz w:val="24"/>
          <w:szCs w:val="24"/>
        </w:rPr>
        <w:t>onsidered as a “forced sale.”  Phali informed him</w:t>
      </w:r>
      <w:r w:rsidR="003F692B">
        <w:rPr>
          <w:rFonts w:ascii="Arial" w:hAnsi="Arial" w:cs="Arial"/>
          <w:sz w:val="24"/>
          <w:szCs w:val="24"/>
        </w:rPr>
        <w:t xml:space="preserve"> that he believed it to be a forced sale because the seller</w:t>
      </w:r>
      <w:r w:rsidR="00C21123">
        <w:rPr>
          <w:rFonts w:ascii="Arial" w:hAnsi="Arial" w:cs="Arial"/>
          <w:sz w:val="24"/>
          <w:szCs w:val="24"/>
        </w:rPr>
        <w:t>s are</w:t>
      </w:r>
      <w:r w:rsidR="003F692B">
        <w:rPr>
          <w:rFonts w:ascii="Arial" w:hAnsi="Arial" w:cs="Arial"/>
          <w:sz w:val="24"/>
          <w:szCs w:val="24"/>
        </w:rPr>
        <w:t xml:space="preserve"> the liquidators. </w:t>
      </w:r>
      <w:r w:rsidR="007E4C7D">
        <w:rPr>
          <w:rFonts w:ascii="Arial" w:hAnsi="Arial" w:cs="Arial"/>
          <w:sz w:val="24"/>
          <w:szCs w:val="24"/>
        </w:rPr>
        <w:t>The deponent believes differently</w:t>
      </w:r>
      <w:r w:rsidR="004E5DDA">
        <w:rPr>
          <w:rFonts w:ascii="Arial" w:hAnsi="Arial" w:cs="Arial"/>
          <w:sz w:val="24"/>
          <w:szCs w:val="24"/>
        </w:rPr>
        <w:t>. The deponent knows that</w:t>
      </w:r>
      <w:r w:rsidR="003F692B">
        <w:rPr>
          <w:rFonts w:ascii="Arial" w:hAnsi="Arial" w:cs="Arial"/>
          <w:sz w:val="24"/>
          <w:szCs w:val="24"/>
        </w:rPr>
        <w:t xml:space="preserve"> no c</w:t>
      </w:r>
      <w:r w:rsidR="007E4C7D">
        <w:rPr>
          <w:rFonts w:ascii="Arial" w:hAnsi="Arial" w:cs="Arial"/>
          <w:sz w:val="24"/>
          <w:szCs w:val="24"/>
        </w:rPr>
        <w:t>onsent was granted</w:t>
      </w:r>
      <w:r w:rsidR="001855B2">
        <w:rPr>
          <w:rFonts w:ascii="Arial" w:hAnsi="Arial" w:cs="Arial"/>
          <w:sz w:val="24"/>
          <w:szCs w:val="24"/>
        </w:rPr>
        <w:t>,</w:t>
      </w:r>
      <w:r w:rsidR="003F692B">
        <w:rPr>
          <w:rFonts w:ascii="Arial" w:hAnsi="Arial" w:cs="Arial"/>
          <w:sz w:val="24"/>
          <w:szCs w:val="24"/>
        </w:rPr>
        <w:t xml:space="preserve"> and</w:t>
      </w:r>
      <w:r w:rsidR="001855B2">
        <w:rPr>
          <w:rFonts w:ascii="Arial" w:hAnsi="Arial" w:cs="Arial"/>
          <w:sz w:val="24"/>
          <w:szCs w:val="24"/>
        </w:rPr>
        <w:t>,</w:t>
      </w:r>
      <w:r w:rsidR="003F692B">
        <w:rPr>
          <w:rFonts w:ascii="Arial" w:hAnsi="Arial" w:cs="Arial"/>
          <w:sz w:val="24"/>
          <w:szCs w:val="24"/>
        </w:rPr>
        <w:t xml:space="preserve"> if consent was granted</w:t>
      </w:r>
      <w:r w:rsidR="001855B2">
        <w:rPr>
          <w:rFonts w:ascii="Arial" w:hAnsi="Arial" w:cs="Arial"/>
          <w:sz w:val="24"/>
          <w:szCs w:val="24"/>
        </w:rPr>
        <w:t>,</w:t>
      </w:r>
      <w:r w:rsidR="003F692B">
        <w:rPr>
          <w:rFonts w:ascii="Arial" w:hAnsi="Arial" w:cs="Arial"/>
          <w:sz w:val="24"/>
          <w:szCs w:val="24"/>
        </w:rPr>
        <w:t xml:space="preserve"> </w:t>
      </w:r>
      <w:r w:rsidR="001855B2">
        <w:rPr>
          <w:rFonts w:ascii="Arial" w:hAnsi="Arial" w:cs="Arial"/>
          <w:sz w:val="24"/>
          <w:szCs w:val="24"/>
        </w:rPr>
        <w:t xml:space="preserve">that </w:t>
      </w:r>
      <w:r w:rsidR="003F692B">
        <w:rPr>
          <w:rFonts w:ascii="Arial" w:hAnsi="Arial" w:cs="Arial"/>
          <w:sz w:val="24"/>
          <w:szCs w:val="24"/>
        </w:rPr>
        <w:t xml:space="preserve">it constitutes a fraud on the deeds office, the Association and, of course, its members. </w:t>
      </w:r>
    </w:p>
    <w:p w:rsidR="001855B2" w:rsidRDefault="00C21123" w:rsidP="00363877">
      <w:pPr>
        <w:spacing w:line="480" w:lineRule="auto"/>
        <w:ind w:left="720" w:hanging="720"/>
        <w:jc w:val="both"/>
        <w:rPr>
          <w:rFonts w:ascii="Arial" w:hAnsi="Arial" w:cs="Arial"/>
          <w:sz w:val="24"/>
          <w:szCs w:val="24"/>
        </w:rPr>
      </w:pPr>
      <w:r>
        <w:rPr>
          <w:rFonts w:ascii="Arial" w:hAnsi="Arial" w:cs="Arial"/>
          <w:sz w:val="24"/>
          <w:szCs w:val="24"/>
        </w:rPr>
        <w:t>[15</w:t>
      </w:r>
      <w:r w:rsidR="00363877">
        <w:rPr>
          <w:rFonts w:ascii="Arial" w:hAnsi="Arial" w:cs="Arial"/>
          <w:sz w:val="24"/>
          <w:szCs w:val="24"/>
        </w:rPr>
        <w:t>]</w:t>
      </w:r>
      <w:r w:rsidR="00363877">
        <w:rPr>
          <w:rFonts w:ascii="Arial" w:hAnsi="Arial" w:cs="Arial"/>
          <w:sz w:val="24"/>
          <w:szCs w:val="24"/>
        </w:rPr>
        <w:tab/>
      </w:r>
      <w:r w:rsidR="007E4C7D">
        <w:rPr>
          <w:rFonts w:ascii="Arial" w:hAnsi="Arial" w:cs="Arial"/>
          <w:sz w:val="24"/>
          <w:szCs w:val="24"/>
        </w:rPr>
        <w:t xml:space="preserve">The clear right the Association relies on is the restrictive condition </w:t>
      </w:r>
      <w:r w:rsidR="004E5DDA">
        <w:rPr>
          <w:rFonts w:ascii="Arial" w:hAnsi="Arial" w:cs="Arial"/>
          <w:sz w:val="24"/>
          <w:szCs w:val="24"/>
        </w:rPr>
        <w:t>registered against the title deed</w:t>
      </w:r>
      <w:r w:rsidR="001855B2">
        <w:rPr>
          <w:rFonts w:ascii="Arial" w:hAnsi="Arial" w:cs="Arial"/>
          <w:sz w:val="24"/>
          <w:szCs w:val="24"/>
        </w:rPr>
        <w:t xml:space="preserve"> </w:t>
      </w:r>
      <w:r w:rsidR="007E4C7D">
        <w:rPr>
          <w:rFonts w:ascii="Arial" w:hAnsi="Arial" w:cs="Arial"/>
          <w:sz w:val="24"/>
          <w:szCs w:val="24"/>
        </w:rPr>
        <w:t>in favour of the Association</w:t>
      </w:r>
      <w:r w:rsidR="001855B2">
        <w:rPr>
          <w:rFonts w:ascii="Arial" w:hAnsi="Arial" w:cs="Arial"/>
          <w:sz w:val="24"/>
          <w:szCs w:val="24"/>
        </w:rPr>
        <w:t xml:space="preserve">. </w:t>
      </w:r>
    </w:p>
    <w:p w:rsidR="007E4C7D" w:rsidRDefault="00C21123" w:rsidP="00363877">
      <w:pPr>
        <w:spacing w:line="480" w:lineRule="auto"/>
        <w:ind w:left="720" w:hanging="720"/>
        <w:jc w:val="both"/>
        <w:rPr>
          <w:rFonts w:ascii="Arial" w:hAnsi="Arial" w:cs="Arial"/>
          <w:sz w:val="24"/>
          <w:szCs w:val="24"/>
        </w:rPr>
      </w:pPr>
      <w:r>
        <w:rPr>
          <w:rFonts w:ascii="Arial" w:hAnsi="Arial" w:cs="Arial"/>
          <w:sz w:val="24"/>
          <w:szCs w:val="24"/>
        </w:rPr>
        <w:t>[16</w:t>
      </w:r>
      <w:r w:rsidR="00363877">
        <w:rPr>
          <w:rFonts w:ascii="Arial" w:hAnsi="Arial" w:cs="Arial"/>
          <w:sz w:val="24"/>
          <w:szCs w:val="24"/>
        </w:rPr>
        <w:t>]</w:t>
      </w:r>
      <w:r w:rsidR="00363877">
        <w:rPr>
          <w:rFonts w:ascii="Arial" w:hAnsi="Arial" w:cs="Arial"/>
          <w:sz w:val="24"/>
          <w:szCs w:val="24"/>
        </w:rPr>
        <w:tab/>
      </w:r>
      <w:r w:rsidR="001855B2">
        <w:rPr>
          <w:rFonts w:ascii="Arial" w:hAnsi="Arial" w:cs="Arial"/>
          <w:sz w:val="24"/>
          <w:szCs w:val="24"/>
        </w:rPr>
        <w:t>The first responden</w:t>
      </w:r>
      <w:r w:rsidR="004E5DDA">
        <w:rPr>
          <w:rFonts w:ascii="Arial" w:hAnsi="Arial" w:cs="Arial"/>
          <w:sz w:val="24"/>
          <w:szCs w:val="24"/>
        </w:rPr>
        <w:t>t opposed the application mainly</w:t>
      </w:r>
      <w:r w:rsidR="001855B2">
        <w:rPr>
          <w:rFonts w:ascii="Arial" w:hAnsi="Arial" w:cs="Arial"/>
          <w:sz w:val="24"/>
          <w:szCs w:val="24"/>
        </w:rPr>
        <w:t xml:space="preserve"> because</w:t>
      </w:r>
      <w:r w:rsidR="009C15EE">
        <w:rPr>
          <w:rFonts w:ascii="Arial" w:hAnsi="Arial" w:cs="Arial"/>
          <w:sz w:val="24"/>
          <w:szCs w:val="24"/>
        </w:rPr>
        <w:t xml:space="preserve"> the Association seeks a cost</w:t>
      </w:r>
      <w:r w:rsidR="004E5DDA">
        <w:rPr>
          <w:rFonts w:ascii="Arial" w:hAnsi="Arial" w:cs="Arial"/>
          <w:sz w:val="24"/>
          <w:szCs w:val="24"/>
        </w:rPr>
        <w:t>s order against it</w:t>
      </w:r>
      <w:r w:rsidR="001855B2">
        <w:rPr>
          <w:rFonts w:ascii="Arial" w:hAnsi="Arial" w:cs="Arial"/>
          <w:sz w:val="24"/>
          <w:szCs w:val="24"/>
        </w:rPr>
        <w:t xml:space="preserve"> in</w:t>
      </w:r>
      <w:r w:rsidR="009C15EE">
        <w:rPr>
          <w:rFonts w:ascii="Arial" w:hAnsi="Arial" w:cs="Arial"/>
          <w:sz w:val="24"/>
          <w:szCs w:val="24"/>
        </w:rPr>
        <w:t xml:space="preserve"> the notice of motion</w:t>
      </w:r>
      <w:r w:rsidR="001855B2">
        <w:rPr>
          <w:rFonts w:ascii="Arial" w:hAnsi="Arial" w:cs="Arial"/>
          <w:sz w:val="24"/>
          <w:szCs w:val="24"/>
        </w:rPr>
        <w:t xml:space="preserve">. </w:t>
      </w:r>
      <w:r w:rsidR="009C15EE">
        <w:rPr>
          <w:rFonts w:ascii="Arial" w:hAnsi="Arial" w:cs="Arial"/>
          <w:sz w:val="24"/>
          <w:szCs w:val="24"/>
        </w:rPr>
        <w:t>Counsel</w:t>
      </w:r>
      <w:r w:rsidR="004E5DDA">
        <w:rPr>
          <w:rFonts w:ascii="Arial" w:hAnsi="Arial" w:cs="Arial"/>
          <w:sz w:val="24"/>
          <w:szCs w:val="24"/>
        </w:rPr>
        <w:t xml:space="preserve"> on behalf of the first respondent</w:t>
      </w:r>
      <w:r w:rsidR="009C15EE">
        <w:rPr>
          <w:rFonts w:ascii="Arial" w:hAnsi="Arial" w:cs="Arial"/>
          <w:sz w:val="24"/>
          <w:szCs w:val="24"/>
        </w:rPr>
        <w:t xml:space="preserve"> said that the first respondent does not wish to take sides</w:t>
      </w:r>
      <w:r w:rsidR="004E5DDA">
        <w:rPr>
          <w:rFonts w:ascii="Arial" w:hAnsi="Arial" w:cs="Arial"/>
          <w:sz w:val="24"/>
          <w:szCs w:val="24"/>
        </w:rPr>
        <w:t xml:space="preserve"> or wish to become embroiled in the disputes</w:t>
      </w:r>
      <w:r w:rsidR="009C15EE">
        <w:rPr>
          <w:rFonts w:ascii="Arial" w:hAnsi="Arial" w:cs="Arial"/>
          <w:sz w:val="24"/>
          <w:szCs w:val="24"/>
        </w:rPr>
        <w:t xml:space="preserve"> and will abide the decision of the court.</w:t>
      </w:r>
      <w:r w:rsidR="004E5DDA">
        <w:rPr>
          <w:rFonts w:ascii="Arial" w:hAnsi="Arial" w:cs="Arial"/>
          <w:sz w:val="24"/>
          <w:szCs w:val="24"/>
        </w:rPr>
        <w:t xml:space="preserve"> I consider the stance of the first respondent as prudent and what is to be expected from the first respondent.</w:t>
      </w:r>
    </w:p>
    <w:p w:rsidR="009C15EE" w:rsidRDefault="00C21123" w:rsidP="00363877">
      <w:pPr>
        <w:spacing w:line="480" w:lineRule="auto"/>
        <w:ind w:left="720" w:hanging="720"/>
        <w:jc w:val="both"/>
        <w:rPr>
          <w:rFonts w:ascii="Arial" w:hAnsi="Arial" w:cs="Arial"/>
          <w:sz w:val="24"/>
          <w:szCs w:val="24"/>
        </w:rPr>
      </w:pPr>
      <w:r>
        <w:rPr>
          <w:rFonts w:ascii="Arial" w:hAnsi="Arial" w:cs="Arial"/>
          <w:sz w:val="24"/>
          <w:szCs w:val="24"/>
        </w:rPr>
        <w:t>[17</w:t>
      </w:r>
      <w:r w:rsidR="00363877">
        <w:rPr>
          <w:rFonts w:ascii="Arial" w:hAnsi="Arial" w:cs="Arial"/>
          <w:sz w:val="24"/>
          <w:szCs w:val="24"/>
        </w:rPr>
        <w:t>]</w:t>
      </w:r>
      <w:r w:rsidR="00363877">
        <w:rPr>
          <w:rFonts w:ascii="Arial" w:hAnsi="Arial" w:cs="Arial"/>
          <w:sz w:val="24"/>
          <w:szCs w:val="24"/>
        </w:rPr>
        <w:tab/>
      </w:r>
      <w:r w:rsidR="009C15EE">
        <w:rPr>
          <w:rFonts w:ascii="Arial" w:hAnsi="Arial" w:cs="Arial"/>
          <w:sz w:val="24"/>
          <w:szCs w:val="24"/>
        </w:rPr>
        <w:t>T</w:t>
      </w:r>
      <w:r w:rsidR="004E5DDA">
        <w:rPr>
          <w:rFonts w:ascii="Arial" w:hAnsi="Arial" w:cs="Arial"/>
          <w:sz w:val="24"/>
          <w:szCs w:val="24"/>
        </w:rPr>
        <w:t>he liquidators filed an</w:t>
      </w:r>
      <w:r w:rsidR="009C15EE">
        <w:rPr>
          <w:rFonts w:ascii="Arial" w:hAnsi="Arial" w:cs="Arial"/>
          <w:sz w:val="24"/>
          <w:szCs w:val="24"/>
        </w:rPr>
        <w:t xml:space="preserve"> unsigned affidavit </w:t>
      </w:r>
      <w:r w:rsidR="004E5DDA">
        <w:rPr>
          <w:rFonts w:ascii="Arial" w:hAnsi="Arial" w:cs="Arial"/>
          <w:sz w:val="24"/>
          <w:szCs w:val="24"/>
        </w:rPr>
        <w:t>of the trustee</w:t>
      </w:r>
      <w:r w:rsidR="009C15EE">
        <w:rPr>
          <w:rFonts w:ascii="Arial" w:hAnsi="Arial" w:cs="Arial"/>
          <w:sz w:val="24"/>
          <w:szCs w:val="24"/>
        </w:rPr>
        <w:t xml:space="preserve"> Coppin</w:t>
      </w:r>
      <w:r w:rsidR="00E41EF0">
        <w:rPr>
          <w:rFonts w:ascii="Arial" w:hAnsi="Arial" w:cs="Arial"/>
          <w:sz w:val="24"/>
          <w:szCs w:val="24"/>
        </w:rPr>
        <w:t xml:space="preserve"> together with the opposing affidavit and requested that his evidence albeit it hearsay be</w:t>
      </w:r>
      <w:r w:rsidR="009C15EE">
        <w:rPr>
          <w:rFonts w:ascii="Arial" w:hAnsi="Arial" w:cs="Arial"/>
          <w:sz w:val="24"/>
          <w:szCs w:val="24"/>
        </w:rPr>
        <w:t xml:space="preserve"> accept</w:t>
      </w:r>
      <w:r w:rsidR="00E41EF0">
        <w:rPr>
          <w:rFonts w:ascii="Arial" w:hAnsi="Arial" w:cs="Arial"/>
          <w:sz w:val="24"/>
          <w:szCs w:val="24"/>
        </w:rPr>
        <w:t>ed</w:t>
      </w:r>
      <w:r w:rsidR="005B41AC">
        <w:rPr>
          <w:rFonts w:ascii="Arial" w:hAnsi="Arial" w:cs="Arial"/>
          <w:sz w:val="24"/>
          <w:szCs w:val="24"/>
        </w:rPr>
        <w:t xml:space="preserve"> as evidence</w:t>
      </w:r>
      <w:r w:rsidR="004E5DDA">
        <w:rPr>
          <w:rFonts w:ascii="Arial" w:hAnsi="Arial" w:cs="Arial"/>
          <w:sz w:val="24"/>
          <w:szCs w:val="24"/>
        </w:rPr>
        <w:t xml:space="preserve"> in the light of the urgency</w:t>
      </w:r>
      <w:r w:rsidR="009C15EE">
        <w:rPr>
          <w:rFonts w:ascii="Arial" w:hAnsi="Arial" w:cs="Arial"/>
          <w:sz w:val="24"/>
          <w:szCs w:val="24"/>
        </w:rPr>
        <w:t>. I will take cognisance of the contents in view of the extreme urgency with which the</w:t>
      </w:r>
      <w:r w:rsidR="0086126A">
        <w:rPr>
          <w:rFonts w:ascii="Arial" w:hAnsi="Arial" w:cs="Arial"/>
          <w:sz w:val="24"/>
          <w:szCs w:val="24"/>
        </w:rPr>
        <w:t xml:space="preserve"> respondents were required to file opposing papers.</w:t>
      </w:r>
      <w:r w:rsidR="009C15EE">
        <w:rPr>
          <w:rFonts w:ascii="Arial" w:hAnsi="Arial" w:cs="Arial"/>
          <w:sz w:val="24"/>
          <w:szCs w:val="24"/>
        </w:rPr>
        <w:t xml:space="preserve"> </w:t>
      </w:r>
      <w:r w:rsidR="004E5DDA">
        <w:rPr>
          <w:rFonts w:ascii="Arial" w:hAnsi="Arial" w:cs="Arial"/>
          <w:sz w:val="24"/>
          <w:szCs w:val="24"/>
        </w:rPr>
        <w:t>Coppin says</w:t>
      </w:r>
      <w:r w:rsidR="0086126A">
        <w:rPr>
          <w:rFonts w:ascii="Arial" w:hAnsi="Arial" w:cs="Arial"/>
          <w:sz w:val="24"/>
          <w:szCs w:val="24"/>
        </w:rPr>
        <w:t xml:space="preserve"> that the he is one of the truste</w:t>
      </w:r>
      <w:r w:rsidR="00E41EF0">
        <w:rPr>
          <w:rFonts w:ascii="Arial" w:hAnsi="Arial" w:cs="Arial"/>
          <w:sz w:val="24"/>
          <w:szCs w:val="24"/>
        </w:rPr>
        <w:t>es nominated by the home owners and</w:t>
      </w:r>
      <w:r w:rsidR="005B41AC">
        <w:rPr>
          <w:rFonts w:ascii="Arial" w:hAnsi="Arial" w:cs="Arial"/>
          <w:sz w:val="24"/>
          <w:szCs w:val="24"/>
        </w:rPr>
        <w:t xml:space="preserve"> a board meeting was held two weeks ago where the deponent Langenhoven was present. Transfer of the property was discussed and in particular whether consent from the Association is required for the transfer.  Langenhoven pointed out that the sale is a “forced sale” and that consent is not a requirement for the transfer to the new owner. All the levies are paid in respect of the property and</w:t>
      </w:r>
      <w:r w:rsidR="00E136EC">
        <w:rPr>
          <w:rFonts w:ascii="Arial" w:hAnsi="Arial" w:cs="Arial"/>
          <w:sz w:val="24"/>
          <w:szCs w:val="24"/>
        </w:rPr>
        <w:t xml:space="preserve"> consent may be given,</w:t>
      </w:r>
      <w:r w:rsidR="005B41AC">
        <w:rPr>
          <w:rFonts w:ascii="Arial" w:hAnsi="Arial" w:cs="Arial"/>
          <w:sz w:val="24"/>
          <w:szCs w:val="24"/>
        </w:rPr>
        <w:t xml:space="preserve"> if the consent is required. The liquidator attached the written consent </w:t>
      </w:r>
      <w:r w:rsidR="00E136EC">
        <w:rPr>
          <w:rFonts w:ascii="Arial" w:hAnsi="Arial" w:cs="Arial"/>
          <w:sz w:val="24"/>
          <w:szCs w:val="24"/>
        </w:rPr>
        <w:t xml:space="preserve">dated 21 April 2022 and </w:t>
      </w:r>
      <w:r w:rsidR="005B41AC">
        <w:rPr>
          <w:rFonts w:ascii="Arial" w:hAnsi="Arial" w:cs="Arial"/>
          <w:sz w:val="24"/>
          <w:szCs w:val="24"/>
        </w:rPr>
        <w:t>signed</w:t>
      </w:r>
      <w:r w:rsidR="00E136EC">
        <w:rPr>
          <w:rFonts w:ascii="Arial" w:hAnsi="Arial" w:cs="Arial"/>
          <w:sz w:val="24"/>
          <w:szCs w:val="24"/>
        </w:rPr>
        <w:t xml:space="preserve"> by ST Bronèe.</w:t>
      </w:r>
    </w:p>
    <w:p w:rsidR="00E136EC" w:rsidRDefault="00363877" w:rsidP="00363877">
      <w:pPr>
        <w:spacing w:line="48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E136EC">
        <w:rPr>
          <w:rFonts w:ascii="Arial" w:hAnsi="Arial" w:cs="Arial"/>
          <w:sz w:val="24"/>
          <w:szCs w:val="24"/>
        </w:rPr>
        <w:t xml:space="preserve">In the replying affidavit Langenhoven states that he first had sight of the letter of consent when he considered the affidavit of the seventh respondent. He reiterated that it is fraudulent for the following reasons. </w:t>
      </w:r>
      <w:r w:rsidR="00FE468F">
        <w:rPr>
          <w:rFonts w:ascii="Arial" w:hAnsi="Arial" w:cs="Arial"/>
          <w:sz w:val="24"/>
          <w:szCs w:val="24"/>
        </w:rPr>
        <w:t>Firstly, because t</w:t>
      </w:r>
      <w:r w:rsidR="00E136EC">
        <w:rPr>
          <w:rFonts w:ascii="Arial" w:hAnsi="Arial" w:cs="Arial"/>
          <w:sz w:val="24"/>
          <w:szCs w:val="24"/>
        </w:rPr>
        <w:t>he board of trustees never granted consent for the transfer and because the letter makes no reference to the restrictive conditions</w:t>
      </w:r>
      <w:r w:rsidR="00FE468F">
        <w:rPr>
          <w:rFonts w:ascii="Arial" w:hAnsi="Arial" w:cs="Arial"/>
          <w:sz w:val="24"/>
          <w:szCs w:val="24"/>
        </w:rPr>
        <w:t>. Secondly, because</w:t>
      </w:r>
      <w:r w:rsidR="001F5C49">
        <w:rPr>
          <w:rFonts w:ascii="Arial" w:hAnsi="Arial" w:cs="Arial"/>
          <w:sz w:val="24"/>
          <w:szCs w:val="24"/>
        </w:rPr>
        <w:t xml:space="preserve"> the board has </w:t>
      </w:r>
      <w:r w:rsidR="00FE468F">
        <w:rPr>
          <w:rFonts w:ascii="Arial" w:hAnsi="Arial" w:cs="Arial"/>
          <w:sz w:val="24"/>
          <w:szCs w:val="24"/>
        </w:rPr>
        <w:t xml:space="preserve">not </w:t>
      </w:r>
      <w:r w:rsidR="001F5C49">
        <w:rPr>
          <w:rFonts w:ascii="Arial" w:hAnsi="Arial" w:cs="Arial"/>
          <w:sz w:val="24"/>
          <w:szCs w:val="24"/>
        </w:rPr>
        <w:t>authorised the signatory t</w:t>
      </w:r>
      <w:r w:rsidR="00FE468F">
        <w:rPr>
          <w:rFonts w:ascii="Arial" w:hAnsi="Arial" w:cs="Arial"/>
          <w:sz w:val="24"/>
          <w:szCs w:val="24"/>
        </w:rPr>
        <w:t>o sign the document. And thirdly, because</w:t>
      </w:r>
      <w:r w:rsidR="001F5C49">
        <w:rPr>
          <w:rFonts w:ascii="Arial" w:hAnsi="Arial" w:cs="Arial"/>
          <w:sz w:val="24"/>
          <w:szCs w:val="24"/>
        </w:rPr>
        <w:t xml:space="preserve"> the document is dated 21 April 2022. A board meeting was held on 22 April 2022 where Bronèe was present and has failed to disclose that the consent was signed</w:t>
      </w:r>
      <w:r w:rsidR="00FE468F">
        <w:rPr>
          <w:rFonts w:ascii="Arial" w:hAnsi="Arial" w:cs="Arial"/>
          <w:sz w:val="24"/>
          <w:szCs w:val="24"/>
        </w:rPr>
        <w:t xml:space="preserve"> by him</w:t>
      </w:r>
      <w:r w:rsidR="001F5C49">
        <w:rPr>
          <w:rFonts w:ascii="Arial" w:hAnsi="Arial" w:cs="Arial"/>
          <w:sz w:val="24"/>
          <w:szCs w:val="24"/>
        </w:rPr>
        <w:t>. He maintains that the consent of the Association is a necessary prerequisite for the transfer of the property</w:t>
      </w:r>
      <w:r w:rsidR="00FE468F">
        <w:rPr>
          <w:rFonts w:ascii="Arial" w:hAnsi="Arial" w:cs="Arial"/>
          <w:sz w:val="24"/>
          <w:szCs w:val="24"/>
        </w:rPr>
        <w:t>. Nor can the sale by the liquidators be regarded as a “forced sale” for purposes of transfer of the property.</w:t>
      </w:r>
    </w:p>
    <w:p w:rsidR="001F5C49" w:rsidRDefault="00363877" w:rsidP="00363877">
      <w:pPr>
        <w:spacing w:line="48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1F5C49">
        <w:rPr>
          <w:rFonts w:ascii="Arial" w:hAnsi="Arial" w:cs="Arial"/>
          <w:sz w:val="24"/>
          <w:szCs w:val="24"/>
        </w:rPr>
        <w:t>The seventh respondent</w:t>
      </w:r>
      <w:r w:rsidR="001F5C49">
        <w:rPr>
          <w:rStyle w:val="FootnoteReference"/>
          <w:rFonts w:ascii="Arial" w:hAnsi="Arial" w:cs="Arial"/>
          <w:sz w:val="24"/>
          <w:szCs w:val="24"/>
        </w:rPr>
        <w:footnoteReference w:id="4"/>
      </w:r>
      <w:r w:rsidR="001F5C49">
        <w:rPr>
          <w:rFonts w:ascii="Arial" w:hAnsi="Arial" w:cs="Arial"/>
          <w:sz w:val="24"/>
          <w:szCs w:val="24"/>
        </w:rPr>
        <w:t xml:space="preserve"> pointed out in the answering affidavit that the present application is yet another chapter in the long line of applications which in</w:t>
      </w:r>
      <w:r w:rsidR="00073F23">
        <w:rPr>
          <w:rFonts w:ascii="Arial" w:hAnsi="Arial" w:cs="Arial"/>
          <w:sz w:val="24"/>
          <w:szCs w:val="24"/>
        </w:rPr>
        <w:t>volved the Hans Merensky estate the nature of which it has little knowledge. Indalo operates in the hospitality industry. As a result of the liquidation of the second respondent Indalo purchased the property on 11 March 2022 from the liquidators. The purchase price was paid on 10 May 2022 after Indalo</w:t>
      </w:r>
      <w:r w:rsidR="00FE468F">
        <w:rPr>
          <w:rFonts w:ascii="Arial" w:hAnsi="Arial" w:cs="Arial"/>
          <w:sz w:val="24"/>
          <w:szCs w:val="24"/>
        </w:rPr>
        <w:t xml:space="preserve"> first</w:t>
      </w:r>
      <w:r w:rsidR="00073F23">
        <w:rPr>
          <w:rFonts w:ascii="Arial" w:hAnsi="Arial" w:cs="Arial"/>
          <w:sz w:val="24"/>
          <w:szCs w:val="24"/>
        </w:rPr>
        <w:t xml:space="preserve"> hesitated to pay as a result of the first urgent application which was designed to stop transfer of the property.</w:t>
      </w:r>
    </w:p>
    <w:p w:rsidR="00073F23" w:rsidRDefault="00363877" w:rsidP="00363877">
      <w:pPr>
        <w:spacing w:line="48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73F23">
        <w:rPr>
          <w:rFonts w:ascii="Arial" w:hAnsi="Arial" w:cs="Arial"/>
          <w:sz w:val="24"/>
          <w:szCs w:val="24"/>
        </w:rPr>
        <w:t xml:space="preserve">Counsel for Indalo maintained in argument that the sale by the liquidators constitutes a </w:t>
      </w:r>
      <w:r w:rsidR="00FE468F">
        <w:rPr>
          <w:rFonts w:ascii="Arial" w:hAnsi="Arial" w:cs="Arial"/>
          <w:sz w:val="24"/>
          <w:szCs w:val="24"/>
        </w:rPr>
        <w:t>“</w:t>
      </w:r>
      <w:r w:rsidR="00073F23">
        <w:rPr>
          <w:rFonts w:ascii="Arial" w:hAnsi="Arial" w:cs="Arial"/>
          <w:sz w:val="24"/>
          <w:szCs w:val="24"/>
        </w:rPr>
        <w:t>forced sale</w:t>
      </w:r>
      <w:r w:rsidR="00FE468F">
        <w:rPr>
          <w:rFonts w:ascii="Arial" w:hAnsi="Arial" w:cs="Arial"/>
          <w:sz w:val="24"/>
          <w:szCs w:val="24"/>
        </w:rPr>
        <w:t>”</w:t>
      </w:r>
      <w:r w:rsidR="007C47EB">
        <w:rPr>
          <w:rFonts w:ascii="Arial" w:hAnsi="Arial" w:cs="Arial"/>
          <w:sz w:val="24"/>
          <w:szCs w:val="24"/>
        </w:rPr>
        <w:t xml:space="preserve"> similar to a sale in execution of a judgment</w:t>
      </w:r>
      <w:r w:rsidR="00FE468F">
        <w:rPr>
          <w:rFonts w:ascii="Arial" w:hAnsi="Arial" w:cs="Arial"/>
          <w:sz w:val="24"/>
          <w:szCs w:val="24"/>
        </w:rPr>
        <w:t>. Counsel relied on</w:t>
      </w:r>
      <w:r w:rsidR="00073F23">
        <w:rPr>
          <w:rFonts w:ascii="Arial" w:hAnsi="Arial" w:cs="Arial"/>
          <w:sz w:val="24"/>
          <w:szCs w:val="24"/>
        </w:rPr>
        <w:t xml:space="preserve"> </w:t>
      </w:r>
      <w:r w:rsidR="00073F23" w:rsidRPr="00073F23">
        <w:rPr>
          <w:rFonts w:ascii="Arial" w:hAnsi="Arial" w:cs="Arial"/>
          <w:i/>
          <w:sz w:val="24"/>
          <w:szCs w:val="24"/>
        </w:rPr>
        <w:t>Nel v Lubbe</w:t>
      </w:r>
      <w:r w:rsidR="00073F23">
        <w:rPr>
          <w:rStyle w:val="FootnoteReference"/>
          <w:rFonts w:ascii="Arial" w:hAnsi="Arial" w:cs="Arial"/>
          <w:i/>
          <w:sz w:val="24"/>
          <w:szCs w:val="24"/>
        </w:rPr>
        <w:footnoteReference w:id="5"/>
      </w:r>
      <w:r w:rsidR="00503FAF">
        <w:rPr>
          <w:rFonts w:ascii="Arial" w:hAnsi="Arial" w:cs="Arial"/>
          <w:i/>
          <w:sz w:val="24"/>
          <w:szCs w:val="24"/>
        </w:rPr>
        <w:t xml:space="preserve"> </w:t>
      </w:r>
      <w:r w:rsidR="007C47EB">
        <w:rPr>
          <w:rFonts w:ascii="Arial" w:hAnsi="Arial" w:cs="Arial"/>
          <w:sz w:val="24"/>
          <w:szCs w:val="24"/>
        </w:rPr>
        <w:t>as authority for that proposition.</w:t>
      </w:r>
      <w:r w:rsidR="00C30B33">
        <w:rPr>
          <w:rFonts w:ascii="Arial" w:hAnsi="Arial" w:cs="Arial"/>
          <w:sz w:val="24"/>
          <w:szCs w:val="24"/>
        </w:rPr>
        <w:t xml:space="preserve"> I will return to this issue.</w:t>
      </w:r>
    </w:p>
    <w:p w:rsidR="007C47EB" w:rsidRDefault="00363877" w:rsidP="00363877">
      <w:pPr>
        <w:spacing w:line="48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C47EB">
        <w:rPr>
          <w:rFonts w:ascii="Arial" w:hAnsi="Arial" w:cs="Arial"/>
          <w:sz w:val="24"/>
          <w:szCs w:val="24"/>
        </w:rPr>
        <w:t>The relief claimed against the first respondent is firstly an interdict to restrain the transfer of the property. Secondly</w:t>
      </w:r>
      <w:r w:rsidR="00FE468F">
        <w:rPr>
          <w:rFonts w:ascii="Arial" w:hAnsi="Arial" w:cs="Arial"/>
          <w:sz w:val="24"/>
          <w:szCs w:val="24"/>
        </w:rPr>
        <w:t xml:space="preserve">, the </w:t>
      </w:r>
      <w:r w:rsidR="002C1F26">
        <w:rPr>
          <w:rFonts w:ascii="Arial" w:hAnsi="Arial" w:cs="Arial"/>
          <w:sz w:val="24"/>
          <w:szCs w:val="24"/>
        </w:rPr>
        <w:t>Association</w:t>
      </w:r>
      <w:r w:rsidR="007C47EB">
        <w:rPr>
          <w:rFonts w:ascii="Arial" w:hAnsi="Arial" w:cs="Arial"/>
          <w:sz w:val="24"/>
          <w:szCs w:val="24"/>
        </w:rPr>
        <w:t xml:space="preserve"> claims for a declaratory order that the restrictive conditions contained in the title deed are binding on all the respondents and a declaration that the sale is not a “forced sale” </w:t>
      </w:r>
      <w:r w:rsidR="00FE468F">
        <w:rPr>
          <w:rFonts w:ascii="Arial" w:hAnsi="Arial" w:cs="Arial"/>
          <w:sz w:val="24"/>
          <w:szCs w:val="24"/>
        </w:rPr>
        <w:t>as envisaged by the Deeds Act nor</w:t>
      </w:r>
      <w:r w:rsidR="007C47EB">
        <w:rPr>
          <w:rFonts w:ascii="Arial" w:hAnsi="Arial" w:cs="Arial"/>
          <w:sz w:val="24"/>
          <w:szCs w:val="24"/>
        </w:rPr>
        <w:t xml:space="preserve"> </w:t>
      </w:r>
      <w:r w:rsidR="00FE468F">
        <w:rPr>
          <w:rFonts w:ascii="Arial" w:hAnsi="Arial" w:cs="Arial"/>
          <w:sz w:val="24"/>
          <w:szCs w:val="24"/>
        </w:rPr>
        <w:t xml:space="preserve">that the </w:t>
      </w:r>
      <w:r w:rsidR="007C47EB">
        <w:rPr>
          <w:rFonts w:ascii="Arial" w:hAnsi="Arial" w:cs="Arial"/>
          <w:sz w:val="24"/>
          <w:szCs w:val="24"/>
        </w:rPr>
        <w:t xml:space="preserve">deeds office practice manuals and accordingly applies to the transaction. It also seeks an order to declare the consent letter as </w:t>
      </w:r>
      <w:r w:rsidR="007C47EB" w:rsidRPr="007C47EB">
        <w:rPr>
          <w:rFonts w:ascii="Arial" w:hAnsi="Arial" w:cs="Arial"/>
          <w:i/>
          <w:sz w:val="24"/>
          <w:szCs w:val="24"/>
        </w:rPr>
        <w:t>pro non scripto</w:t>
      </w:r>
      <w:r w:rsidR="007C47EB">
        <w:rPr>
          <w:rFonts w:ascii="Arial" w:hAnsi="Arial" w:cs="Arial"/>
          <w:i/>
          <w:sz w:val="24"/>
          <w:szCs w:val="24"/>
        </w:rPr>
        <w:t xml:space="preserve"> </w:t>
      </w:r>
      <w:r w:rsidR="007C47EB">
        <w:rPr>
          <w:rFonts w:ascii="Arial" w:hAnsi="Arial" w:cs="Arial"/>
          <w:sz w:val="24"/>
          <w:szCs w:val="24"/>
        </w:rPr>
        <w:t>and of no force or effect.</w:t>
      </w:r>
    </w:p>
    <w:p w:rsidR="007C47EB" w:rsidRDefault="00363877" w:rsidP="00363877">
      <w:pPr>
        <w:spacing w:line="48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2B7139">
        <w:rPr>
          <w:rFonts w:ascii="Arial" w:hAnsi="Arial" w:cs="Arial"/>
          <w:sz w:val="24"/>
          <w:szCs w:val="24"/>
        </w:rPr>
        <w:t>When a company is liquidated ownership of the assets of the company remain vested in the company.</w:t>
      </w:r>
      <w:r w:rsidR="00302517" w:rsidRPr="00302517">
        <w:rPr>
          <w:rFonts w:ascii="Arial" w:hAnsi="Arial" w:cs="Arial"/>
          <w:sz w:val="24"/>
          <w:szCs w:val="24"/>
        </w:rPr>
        <w:t xml:space="preserve"> </w:t>
      </w:r>
      <w:r w:rsidR="00302517">
        <w:rPr>
          <w:rFonts w:ascii="Arial" w:hAnsi="Arial" w:cs="Arial"/>
          <w:sz w:val="24"/>
          <w:szCs w:val="24"/>
        </w:rPr>
        <w:t>The liquidator, although not vested with ownership of the company’s property, exercises all rights of ownership.</w:t>
      </w:r>
      <w:r w:rsidR="00302517" w:rsidRPr="00302517">
        <w:rPr>
          <w:rFonts w:ascii="Arial" w:hAnsi="Arial" w:cs="Arial"/>
          <w:sz w:val="24"/>
          <w:szCs w:val="24"/>
        </w:rPr>
        <w:t xml:space="preserve"> </w:t>
      </w:r>
      <w:r w:rsidR="00302517">
        <w:rPr>
          <w:rFonts w:ascii="Arial" w:hAnsi="Arial" w:cs="Arial"/>
          <w:sz w:val="24"/>
          <w:szCs w:val="24"/>
        </w:rPr>
        <w:t>The duty of a liquidator in realising an asset is a statutory duty cast upon the liquidator to realise the assets for the benefit of all the cred</w:t>
      </w:r>
      <w:r w:rsidR="00FE468F">
        <w:rPr>
          <w:rFonts w:ascii="Arial" w:hAnsi="Arial" w:cs="Arial"/>
          <w:sz w:val="24"/>
          <w:szCs w:val="24"/>
        </w:rPr>
        <w:t>itors and to distribute them. Liquidators perform their</w:t>
      </w:r>
      <w:r w:rsidR="00302517">
        <w:rPr>
          <w:rFonts w:ascii="Arial" w:hAnsi="Arial" w:cs="Arial"/>
          <w:sz w:val="24"/>
          <w:szCs w:val="24"/>
        </w:rPr>
        <w:t xml:space="preserve"> duties </w:t>
      </w:r>
      <w:r w:rsidR="00302517" w:rsidRPr="00867B6C">
        <w:rPr>
          <w:rFonts w:ascii="Arial" w:hAnsi="Arial" w:cs="Arial"/>
          <w:i/>
          <w:sz w:val="24"/>
          <w:szCs w:val="24"/>
        </w:rPr>
        <w:t xml:space="preserve">in invitum </w:t>
      </w:r>
      <w:r w:rsidR="00302517">
        <w:rPr>
          <w:rFonts w:ascii="Arial" w:hAnsi="Arial" w:cs="Arial"/>
          <w:sz w:val="24"/>
          <w:szCs w:val="24"/>
        </w:rPr>
        <w:t xml:space="preserve">(against the will) of the company and its directors. </w:t>
      </w:r>
      <w:r w:rsidR="00947AEF">
        <w:rPr>
          <w:rFonts w:ascii="Arial" w:hAnsi="Arial" w:cs="Arial"/>
          <w:sz w:val="24"/>
          <w:szCs w:val="24"/>
        </w:rPr>
        <w:t>T</w:t>
      </w:r>
      <w:r w:rsidR="00F65787">
        <w:rPr>
          <w:rFonts w:ascii="Arial" w:hAnsi="Arial" w:cs="Arial"/>
          <w:sz w:val="24"/>
          <w:szCs w:val="24"/>
        </w:rPr>
        <w:t>he common cause facts are</w:t>
      </w:r>
      <w:r w:rsidR="002B7139">
        <w:rPr>
          <w:rFonts w:ascii="Arial" w:hAnsi="Arial" w:cs="Arial"/>
          <w:sz w:val="24"/>
          <w:szCs w:val="24"/>
        </w:rPr>
        <w:t xml:space="preserve"> clear that the liquidators sold the property</w:t>
      </w:r>
      <w:r w:rsidR="00FE468F">
        <w:rPr>
          <w:rFonts w:ascii="Arial" w:hAnsi="Arial" w:cs="Arial"/>
          <w:sz w:val="24"/>
          <w:szCs w:val="24"/>
        </w:rPr>
        <w:t xml:space="preserve"> to the seventh respondent</w:t>
      </w:r>
      <w:r w:rsidR="002B7139">
        <w:rPr>
          <w:rFonts w:ascii="Arial" w:hAnsi="Arial" w:cs="Arial"/>
          <w:sz w:val="24"/>
          <w:szCs w:val="24"/>
        </w:rPr>
        <w:t xml:space="preserve"> </w:t>
      </w:r>
      <w:r w:rsidR="00FE468F">
        <w:rPr>
          <w:rFonts w:ascii="Arial" w:hAnsi="Arial" w:cs="Arial"/>
          <w:sz w:val="24"/>
          <w:szCs w:val="24"/>
        </w:rPr>
        <w:t>in the performance of their duties</w:t>
      </w:r>
      <w:r w:rsidR="002B7139">
        <w:rPr>
          <w:rFonts w:ascii="Arial" w:hAnsi="Arial" w:cs="Arial"/>
          <w:sz w:val="24"/>
          <w:szCs w:val="24"/>
        </w:rPr>
        <w:t xml:space="preserve"> to liquidate the second respondent.</w:t>
      </w:r>
    </w:p>
    <w:p w:rsidR="007F44D2" w:rsidRDefault="00363877" w:rsidP="00363877">
      <w:pPr>
        <w:spacing w:line="480" w:lineRule="auto"/>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47AEF">
        <w:rPr>
          <w:rFonts w:ascii="Arial" w:hAnsi="Arial" w:cs="Arial"/>
          <w:sz w:val="24"/>
          <w:szCs w:val="24"/>
        </w:rPr>
        <w:t>The question to be answered, in my view, is not if the sale is a “forced sale”</w:t>
      </w:r>
      <w:r w:rsidR="00C30B33">
        <w:rPr>
          <w:rFonts w:ascii="Arial" w:hAnsi="Arial" w:cs="Arial"/>
          <w:sz w:val="24"/>
          <w:szCs w:val="24"/>
        </w:rPr>
        <w:t xml:space="preserve"> but rather if restrictive conditions embodied in a title deed prohibit transfer of the property in instances where such a property is sold at the direction of the liquidators. </w:t>
      </w:r>
      <w:r w:rsidR="00947AEF">
        <w:rPr>
          <w:rFonts w:ascii="Arial" w:hAnsi="Arial" w:cs="Arial"/>
          <w:sz w:val="24"/>
          <w:szCs w:val="24"/>
        </w:rPr>
        <w:t xml:space="preserve"> The expression “forced sale”</w:t>
      </w:r>
      <w:r w:rsidR="00C30B33">
        <w:rPr>
          <w:rFonts w:ascii="Arial" w:hAnsi="Arial" w:cs="Arial"/>
          <w:sz w:val="24"/>
          <w:szCs w:val="24"/>
        </w:rPr>
        <w:t xml:space="preserve"> in this sense</w:t>
      </w:r>
      <w:r w:rsidR="00947AEF">
        <w:rPr>
          <w:rFonts w:ascii="Arial" w:hAnsi="Arial" w:cs="Arial"/>
          <w:sz w:val="24"/>
          <w:szCs w:val="24"/>
        </w:rPr>
        <w:t xml:space="preserve"> </w:t>
      </w:r>
      <w:r w:rsidR="00C30B33">
        <w:rPr>
          <w:rFonts w:ascii="Arial" w:hAnsi="Arial" w:cs="Arial"/>
          <w:sz w:val="24"/>
          <w:szCs w:val="24"/>
        </w:rPr>
        <w:t>is misleading</w:t>
      </w:r>
      <w:r w:rsidR="00FE468F">
        <w:rPr>
          <w:rFonts w:ascii="Arial" w:hAnsi="Arial" w:cs="Arial"/>
          <w:sz w:val="24"/>
          <w:szCs w:val="24"/>
        </w:rPr>
        <w:t xml:space="preserve"> and does not describe the duties of the liquidators</w:t>
      </w:r>
      <w:r w:rsidR="00C30B33">
        <w:rPr>
          <w:rFonts w:ascii="Arial" w:hAnsi="Arial" w:cs="Arial"/>
          <w:sz w:val="24"/>
          <w:szCs w:val="24"/>
        </w:rPr>
        <w:t>.</w:t>
      </w:r>
      <w:r w:rsidR="00FE468F">
        <w:rPr>
          <w:rFonts w:ascii="Arial" w:hAnsi="Arial" w:cs="Arial"/>
          <w:sz w:val="24"/>
          <w:szCs w:val="24"/>
        </w:rPr>
        <w:t xml:space="preserve"> It is not the</w:t>
      </w:r>
      <w:r w:rsidR="009731AC">
        <w:rPr>
          <w:rFonts w:ascii="Arial" w:hAnsi="Arial" w:cs="Arial"/>
          <w:sz w:val="24"/>
          <w:szCs w:val="24"/>
        </w:rPr>
        <w:t xml:space="preserve"> validity of</w:t>
      </w:r>
      <w:r w:rsidR="00FE468F">
        <w:rPr>
          <w:rFonts w:ascii="Arial" w:hAnsi="Arial" w:cs="Arial"/>
          <w:sz w:val="24"/>
          <w:szCs w:val="24"/>
        </w:rPr>
        <w:t xml:space="preserve"> sale as such</w:t>
      </w:r>
      <w:r w:rsidR="009731AC">
        <w:rPr>
          <w:rFonts w:ascii="Arial" w:hAnsi="Arial" w:cs="Arial"/>
          <w:sz w:val="24"/>
          <w:szCs w:val="24"/>
        </w:rPr>
        <w:t>,</w:t>
      </w:r>
      <w:r w:rsidR="00FE468F">
        <w:rPr>
          <w:rFonts w:ascii="Arial" w:hAnsi="Arial" w:cs="Arial"/>
          <w:sz w:val="24"/>
          <w:szCs w:val="24"/>
        </w:rPr>
        <w:t xml:space="preserve"> that is di</w:t>
      </w:r>
      <w:r w:rsidR="009731AC">
        <w:rPr>
          <w:rFonts w:ascii="Arial" w:hAnsi="Arial" w:cs="Arial"/>
          <w:sz w:val="24"/>
          <w:szCs w:val="24"/>
        </w:rPr>
        <w:t>sputed but the obligation of the first respondent to transfer the property to the seventh respondent without the written consent of the Association.</w:t>
      </w:r>
      <w:r w:rsidR="00C30B33">
        <w:rPr>
          <w:rFonts w:ascii="Arial" w:hAnsi="Arial" w:cs="Arial"/>
          <w:sz w:val="24"/>
          <w:szCs w:val="24"/>
        </w:rPr>
        <w:t xml:space="preserve"> In </w:t>
      </w:r>
      <w:r w:rsidR="00FE468F">
        <w:rPr>
          <w:rFonts w:ascii="Arial" w:hAnsi="Arial" w:cs="Arial"/>
          <w:i/>
          <w:sz w:val="24"/>
          <w:szCs w:val="24"/>
        </w:rPr>
        <w:t>Ne</w:t>
      </w:r>
      <w:r w:rsidR="00C30B33" w:rsidRPr="00C30B33">
        <w:rPr>
          <w:rFonts w:ascii="Arial" w:hAnsi="Arial" w:cs="Arial"/>
          <w:i/>
          <w:sz w:val="24"/>
          <w:szCs w:val="24"/>
        </w:rPr>
        <w:t>l v Lubbe supra</w:t>
      </w:r>
      <w:r w:rsidR="00C30B33">
        <w:rPr>
          <w:rFonts w:ascii="Arial" w:hAnsi="Arial" w:cs="Arial"/>
          <w:sz w:val="24"/>
          <w:szCs w:val="24"/>
        </w:rPr>
        <w:t xml:space="preserve"> the court held that</w:t>
      </w:r>
      <w:r w:rsidR="00EC15D1">
        <w:rPr>
          <w:rFonts w:ascii="Arial" w:hAnsi="Arial" w:cs="Arial"/>
          <w:sz w:val="24"/>
          <w:szCs w:val="24"/>
        </w:rPr>
        <w:t xml:space="preserve"> a forced sale</w:t>
      </w:r>
      <w:r w:rsidR="007F44D2">
        <w:rPr>
          <w:rFonts w:ascii="Arial" w:hAnsi="Arial" w:cs="Arial"/>
          <w:sz w:val="24"/>
          <w:szCs w:val="24"/>
        </w:rPr>
        <w:t>:</w:t>
      </w:r>
    </w:p>
    <w:p w:rsidR="00947AEF" w:rsidRDefault="007F44D2" w:rsidP="00363877">
      <w:pPr>
        <w:spacing w:line="480" w:lineRule="auto"/>
        <w:ind w:left="1440"/>
        <w:jc w:val="both"/>
        <w:rPr>
          <w:rFonts w:ascii="Arial" w:hAnsi="Arial" w:cs="Arial"/>
          <w:sz w:val="20"/>
          <w:szCs w:val="20"/>
        </w:rPr>
      </w:pPr>
      <w:r w:rsidRPr="00EC15D1">
        <w:rPr>
          <w:rFonts w:ascii="Arial" w:hAnsi="Arial" w:cs="Arial"/>
          <w:sz w:val="20"/>
          <w:szCs w:val="20"/>
        </w:rPr>
        <w:t>“</w:t>
      </w:r>
      <w:r w:rsidR="00EC15D1" w:rsidRPr="00EC15D1">
        <w:rPr>
          <w:rFonts w:ascii="Arial" w:hAnsi="Arial" w:cs="Arial"/>
          <w:sz w:val="20"/>
          <w:szCs w:val="20"/>
        </w:rPr>
        <w:t>[</w:t>
      </w:r>
      <w:r w:rsidRPr="00EC15D1">
        <w:rPr>
          <w:rFonts w:ascii="Arial" w:hAnsi="Arial" w:cs="Arial"/>
          <w:sz w:val="20"/>
          <w:szCs w:val="20"/>
        </w:rPr>
        <w:t>It</w:t>
      </w:r>
      <w:r w:rsidR="00EC15D1" w:rsidRPr="00EC15D1">
        <w:rPr>
          <w:rFonts w:ascii="Arial" w:hAnsi="Arial" w:cs="Arial"/>
          <w:sz w:val="20"/>
          <w:szCs w:val="20"/>
        </w:rPr>
        <w:t>]</w:t>
      </w:r>
      <w:r w:rsidRPr="00EC15D1">
        <w:rPr>
          <w:rFonts w:ascii="Arial" w:hAnsi="Arial" w:cs="Arial"/>
          <w:sz w:val="20"/>
          <w:szCs w:val="20"/>
        </w:rPr>
        <w:t xml:space="preserve"> is a sale where the owner of the property sold is in distress, usually having no funds to pay his debts. The sale is conducted by the Sheriff. There is no reserve price. Advertisement of the sale is invariably inadequate and often the mortgagee, who attends the sale to protect his interest, succeeds with a bid which in money terms is derisive. In the case of a sale not in execution but by public auction on the direction of the trustees of an insolvent estate, I consider is no less than a forced one. While the advertisement of the sale is more extensive, there are many factors which do not attach a large number of bidders.”</w:t>
      </w:r>
      <w:r w:rsidR="00C30B33" w:rsidRPr="00EC15D1">
        <w:rPr>
          <w:rFonts w:ascii="Arial" w:hAnsi="Arial" w:cs="Arial"/>
          <w:sz w:val="20"/>
          <w:szCs w:val="20"/>
        </w:rPr>
        <w:t xml:space="preserve"> </w:t>
      </w:r>
    </w:p>
    <w:p w:rsidR="00937A82" w:rsidRDefault="00363877" w:rsidP="00363877">
      <w:pPr>
        <w:spacing w:line="48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C15D1">
        <w:rPr>
          <w:rFonts w:ascii="Arial" w:hAnsi="Arial" w:cs="Arial"/>
          <w:sz w:val="24"/>
          <w:szCs w:val="24"/>
        </w:rPr>
        <w:t xml:space="preserve">The passage is not helpful. The </w:t>
      </w:r>
      <w:r w:rsidR="000F508F">
        <w:rPr>
          <w:rFonts w:ascii="Arial" w:hAnsi="Arial" w:cs="Arial"/>
          <w:sz w:val="24"/>
          <w:szCs w:val="24"/>
        </w:rPr>
        <w:t xml:space="preserve">present </w:t>
      </w:r>
      <w:r w:rsidR="00EC15D1">
        <w:rPr>
          <w:rFonts w:ascii="Arial" w:hAnsi="Arial" w:cs="Arial"/>
          <w:sz w:val="24"/>
          <w:szCs w:val="24"/>
        </w:rPr>
        <w:t>issue does not relate to the price</w:t>
      </w:r>
      <w:r w:rsidR="000F508F">
        <w:rPr>
          <w:rFonts w:ascii="Arial" w:hAnsi="Arial" w:cs="Arial"/>
          <w:sz w:val="24"/>
          <w:szCs w:val="24"/>
        </w:rPr>
        <w:t xml:space="preserve"> at which the property was sold,</w:t>
      </w:r>
      <w:r w:rsidR="00EC15D1">
        <w:rPr>
          <w:rFonts w:ascii="Arial" w:hAnsi="Arial" w:cs="Arial"/>
          <w:sz w:val="24"/>
          <w:szCs w:val="24"/>
        </w:rPr>
        <w:t xml:space="preserve"> but whether the restrictive conditions prohibits</w:t>
      </w:r>
      <w:r w:rsidR="009731AC">
        <w:rPr>
          <w:rFonts w:ascii="Arial" w:hAnsi="Arial" w:cs="Arial"/>
          <w:sz w:val="24"/>
          <w:szCs w:val="24"/>
        </w:rPr>
        <w:t xml:space="preserve"> the first respondent to</w:t>
      </w:r>
      <w:r w:rsidR="00EC15D1">
        <w:rPr>
          <w:rFonts w:ascii="Arial" w:hAnsi="Arial" w:cs="Arial"/>
          <w:sz w:val="24"/>
          <w:szCs w:val="24"/>
        </w:rPr>
        <w:t xml:space="preserve"> transfer </w:t>
      </w:r>
      <w:r w:rsidR="009731AC">
        <w:rPr>
          <w:rFonts w:ascii="Arial" w:hAnsi="Arial" w:cs="Arial"/>
          <w:sz w:val="24"/>
          <w:szCs w:val="24"/>
        </w:rPr>
        <w:t>of a property to the seventh respondent.</w:t>
      </w:r>
      <w:r w:rsidR="000F508F">
        <w:rPr>
          <w:rFonts w:ascii="Arial" w:hAnsi="Arial" w:cs="Arial"/>
          <w:sz w:val="24"/>
          <w:szCs w:val="24"/>
        </w:rPr>
        <w:t xml:space="preserve"> If the answer is that written consent of the Association is </w:t>
      </w:r>
      <w:r w:rsidR="009731AC">
        <w:rPr>
          <w:rFonts w:ascii="Arial" w:hAnsi="Arial" w:cs="Arial"/>
          <w:sz w:val="24"/>
          <w:szCs w:val="24"/>
        </w:rPr>
        <w:t xml:space="preserve">a </w:t>
      </w:r>
      <w:r w:rsidR="000F508F">
        <w:rPr>
          <w:rFonts w:ascii="Arial" w:hAnsi="Arial" w:cs="Arial"/>
          <w:sz w:val="24"/>
          <w:szCs w:val="24"/>
        </w:rPr>
        <w:t xml:space="preserve">necessary prerequisite, it is the end of the enquiry. </w:t>
      </w:r>
      <w:r w:rsidR="009731AC">
        <w:rPr>
          <w:rFonts w:ascii="Arial" w:hAnsi="Arial" w:cs="Arial"/>
          <w:sz w:val="24"/>
          <w:szCs w:val="24"/>
        </w:rPr>
        <w:t xml:space="preserve">The term “forced sale” is not an appropriate one. It is clear that the purpose of the restrictions in the title deed is to </w:t>
      </w:r>
      <w:r w:rsidR="00313331">
        <w:rPr>
          <w:rFonts w:ascii="Arial" w:hAnsi="Arial" w:cs="Arial"/>
          <w:sz w:val="24"/>
          <w:szCs w:val="24"/>
        </w:rPr>
        <w:t>grant the Association the right to decide for reasons of their own who to allow to become members of the Association. A purchaser becomes a member once a property is transferred in to the name of such a member. A sale is normally subject to the restriction. There is no evidence that the property was sold subject to the condition that the Association must first consent to the transfer before the property may be transferred. I accept therefore that no such condition is contained in the deed of sale.</w:t>
      </w:r>
      <w:r w:rsidR="00503FAF">
        <w:rPr>
          <w:rFonts w:ascii="Arial" w:hAnsi="Arial" w:cs="Arial"/>
          <w:sz w:val="24"/>
          <w:szCs w:val="24"/>
        </w:rPr>
        <w:t xml:space="preserve"> It seems to me that the restriction was considered to be applicable only to voluntary alienations.</w:t>
      </w:r>
    </w:p>
    <w:p w:rsidR="00E018A8" w:rsidRDefault="00363877" w:rsidP="00363877">
      <w:pPr>
        <w:spacing w:line="480" w:lineRule="auto"/>
        <w:ind w:left="567" w:hanging="567"/>
        <w:jc w:val="both"/>
        <w:rPr>
          <w:rFonts w:ascii="Arial" w:hAnsi="Arial" w:cs="Arial"/>
          <w:sz w:val="24"/>
          <w:szCs w:val="24"/>
        </w:rPr>
      </w:pPr>
      <w:r>
        <w:rPr>
          <w:rFonts w:ascii="Arial" w:hAnsi="Arial" w:cs="Arial"/>
          <w:sz w:val="24"/>
          <w:szCs w:val="24"/>
        </w:rPr>
        <w:t>[24]</w:t>
      </w:r>
      <w:r>
        <w:rPr>
          <w:rFonts w:ascii="Arial" w:hAnsi="Arial" w:cs="Arial"/>
          <w:sz w:val="24"/>
          <w:szCs w:val="24"/>
        </w:rPr>
        <w:tab/>
      </w:r>
      <w:r w:rsidR="00880454">
        <w:rPr>
          <w:rFonts w:ascii="Arial" w:hAnsi="Arial" w:cs="Arial"/>
          <w:sz w:val="24"/>
          <w:szCs w:val="24"/>
        </w:rPr>
        <w:t>In</w:t>
      </w:r>
      <w:r w:rsidR="004F0D9E">
        <w:rPr>
          <w:rFonts w:ascii="Arial" w:hAnsi="Arial" w:cs="Arial"/>
          <w:sz w:val="24"/>
          <w:szCs w:val="24"/>
        </w:rPr>
        <w:t xml:space="preserve"> </w:t>
      </w:r>
      <w:r w:rsidR="00880454" w:rsidRPr="00880454">
        <w:rPr>
          <w:rFonts w:ascii="Arial" w:hAnsi="Arial" w:cs="Arial"/>
          <w:i/>
          <w:sz w:val="24"/>
          <w:szCs w:val="24"/>
        </w:rPr>
        <w:t>Heimann v Klempman &amp; Jaspan</w:t>
      </w:r>
      <w:r w:rsidR="00880454">
        <w:rPr>
          <w:rStyle w:val="FootnoteReference"/>
          <w:rFonts w:ascii="Arial" w:hAnsi="Arial" w:cs="Arial"/>
          <w:sz w:val="24"/>
          <w:szCs w:val="24"/>
        </w:rPr>
        <w:footnoteReference w:id="6"/>
      </w:r>
      <w:r w:rsidR="00880454">
        <w:rPr>
          <w:rFonts w:ascii="Arial" w:hAnsi="Arial" w:cs="Arial"/>
          <w:i/>
          <w:sz w:val="24"/>
          <w:szCs w:val="24"/>
        </w:rPr>
        <w:t xml:space="preserve"> </w:t>
      </w:r>
      <w:r w:rsidR="00880454">
        <w:rPr>
          <w:rFonts w:ascii="Arial" w:hAnsi="Arial" w:cs="Arial"/>
          <w:sz w:val="24"/>
          <w:szCs w:val="24"/>
        </w:rPr>
        <w:t xml:space="preserve">it was held that a trustee in an insolvent estate is not bound by a provision in a lease prohibiting assignment without a landlord’s consent. The learned Judge referred to </w:t>
      </w:r>
      <w:r w:rsidR="00503FAF">
        <w:rPr>
          <w:rFonts w:ascii="Arial" w:hAnsi="Arial" w:cs="Arial"/>
          <w:sz w:val="24"/>
          <w:szCs w:val="24"/>
        </w:rPr>
        <w:t>a judgment of the Chief Justice</w:t>
      </w:r>
      <w:r w:rsidR="00880454">
        <w:rPr>
          <w:rFonts w:ascii="Arial" w:hAnsi="Arial" w:cs="Arial"/>
          <w:sz w:val="24"/>
          <w:szCs w:val="24"/>
        </w:rPr>
        <w:t xml:space="preserve"> in</w:t>
      </w:r>
      <w:r w:rsidR="00880454" w:rsidRPr="004F0D9E">
        <w:rPr>
          <w:rFonts w:ascii="Arial" w:hAnsi="Arial" w:cs="Arial"/>
          <w:i/>
          <w:sz w:val="24"/>
          <w:szCs w:val="24"/>
        </w:rPr>
        <w:t xml:space="preserve"> </w:t>
      </w:r>
      <w:r w:rsidR="004F0D9E" w:rsidRPr="004F0D9E">
        <w:rPr>
          <w:rFonts w:ascii="Arial" w:hAnsi="Arial" w:cs="Arial"/>
          <w:i/>
          <w:sz w:val="24"/>
          <w:szCs w:val="24"/>
        </w:rPr>
        <w:t>London and South African Exploration Co v Official Liquidator of North-Eastern Bultfontein and the Registrar of Deeds</w:t>
      </w:r>
      <w:r w:rsidR="004F0D9E">
        <w:rPr>
          <w:rStyle w:val="FootnoteReference"/>
          <w:rFonts w:ascii="Arial" w:hAnsi="Arial" w:cs="Arial"/>
          <w:i/>
          <w:sz w:val="24"/>
          <w:szCs w:val="24"/>
        </w:rPr>
        <w:footnoteReference w:id="7"/>
      </w:r>
      <w:r w:rsidR="004F0D9E" w:rsidRPr="004F0D9E">
        <w:rPr>
          <w:rFonts w:ascii="Arial" w:hAnsi="Arial" w:cs="Arial"/>
          <w:i/>
          <w:sz w:val="24"/>
          <w:szCs w:val="24"/>
        </w:rPr>
        <w:t xml:space="preserve"> </w:t>
      </w:r>
      <w:r w:rsidR="00503FAF">
        <w:rPr>
          <w:rFonts w:ascii="Arial" w:hAnsi="Arial" w:cs="Arial"/>
          <w:sz w:val="24"/>
          <w:szCs w:val="24"/>
        </w:rPr>
        <w:t xml:space="preserve">which </w:t>
      </w:r>
      <w:r w:rsidR="00E018A8">
        <w:rPr>
          <w:rFonts w:ascii="Arial" w:hAnsi="Arial" w:cs="Arial"/>
          <w:sz w:val="24"/>
          <w:szCs w:val="24"/>
        </w:rPr>
        <w:t>said:</w:t>
      </w:r>
    </w:p>
    <w:p w:rsidR="00880454" w:rsidRDefault="00E018A8" w:rsidP="00363877">
      <w:pPr>
        <w:spacing w:line="480" w:lineRule="auto"/>
        <w:ind w:left="1440"/>
        <w:jc w:val="both"/>
        <w:rPr>
          <w:rFonts w:ascii="Arial" w:hAnsi="Arial" w:cs="Arial"/>
          <w:sz w:val="24"/>
          <w:szCs w:val="24"/>
        </w:rPr>
      </w:pPr>
      <w:r w:rsidRPr="00E018A8">
        <w:rPr>
          <w:rFonts w:ascii="Arial" w:hAnsi="Arial" w:cs="Arial"/>
          <w:sz w:val="20"/>
          <w:szCs w:val="20"/>
        </w:rPr>
        <w:t>“The deed authorises the lessees to transfer the claims during the term on condition that no such transfer shall be made unless all rent or licence moneys owing to the lessors on the claims shall have been duly paid. This condition is clearly applicable only to voluntary transfers, and not to transfers which are necessitated by the insolvency of the lessee for the purpose of distributing the proceeds among their creditors in</w:t>
      </w:r>
      <w:r w:rsidR="004F0D9E">
        <w:rPr>
          <w:rFonts w:ascii="Arial" w:hAnsi="Arial" w:cs="Arial"/>
          <w:sz w:val="20"/>
          <w:szCs w:val="20"/>
        </w:rPr>
        <w:t xml:space="preserve"> </w:t>
      </w:r>
      <w:r w:rsidRPr="00E018A8">
        <w:rPr>
          <w:rFonts w:ascii="Arial" w:hAnsi="Arial" w:cs="Arial"/>
          <w:sz w:val="20"/>
          <w:szCs w:val="20"/>
        </w:rPr>
        <w:t>due order of</w:t>
      </w:r>
      <w:r>
        <w:rPr>
          <w:rFonts w:ascii="Arial" w:hAnsi="Arial" w:cs="Arial"/>
          <w:sz w:val="24"/>
          <w:szCs w:val="24"/>
        </w:rPr>
        <w:t xml:space="preserve"> </w:t>
      </w:r>
      <w:r w:rsidRPr="004F0D9E">
        <w:rPr>
          <w:rFonts w:ascii="Arial" w:hAnsi="Arial" w:cs="Arial"/>
          <w:sz w:val="20"/>
          <w:szCs w:val="20"/>
        </w:rPr>
        <w:t>preference.</w:t>
      </w:r>
      <w:r w:rsidR="004F0D9E">
        <w:rPr>
          <w:rFonts w:ascii="Arial" w:hAnsi="Arial" w:cs="Arial"/>
          <w:sz w:val="20"/>
          <w:szCs w:val="20"/>
        </w:rPr>
        <w:t>”</w:t>
      </w:r>
      <w:r w:rsidR="004F0D9E">
        <w:rPr>
          <w:rStyle w:val="FootnoteReference"/>
          <w:rFonts w:ascii="Arial" w:hAnsi="Arial" w:cs="Arial"/>
          <w:sz w:val="20"/>
          <w:szCs w:val="20"/>
        </w:rPr>
        <w:footnoteReference w:id="8"/>
      </w:r>
      <w:r w:rsidR="00880454">
        <w:rPr>
          <w:rFonts w:ascii="Arial" w:hAnsi="Arial" w:cs="Arial"/>
          <w:sz w:val="24"/>
          <w:szCs w:val="24"/>
        </w:rPr>
        <w:t xml:space="preserve">  </w:t>
      </w:r>
    </w:p>
    <w:p w:rsidR="000F508F" w:rsidRDefault="00363877" w:rsidP="00363877">
      <w:pPr>
        <w:spacing w:line="48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F508F">
        <w:rPr>
          <w:rFonts w:ascii="Arial" w:hAnsi="Arial" w:cs="Arial"/>
          <w:sz w:val="24"/>
          <w:szCs w:val="24"/>
        </w:rPr>
        <w:t>The question was extensively discussed</w:t>
      </w:r>
      <w:r w:rsidR="00867B6C">
        <w:rPr>
          <w:rFonts w:ascii="Arial" w:hAnsi="Arial" w:cs="Arial"/>
          <w:sz w:val="24"/>
          <w:szCs w:val="24"/>
        </w:rPr>
        <w:t xml:space="preserve"> after a review of the authorities</w:t>
      </w:r>
      <w:r w:rsidR="000F508F">
        <w:rPr>
          <w:rFonts w:ascii="Arial" w:hAnsi="Arial" w:cs="Arial"/>
          <w:sz w:val="24"/>
          <w:szCs w:val="24"/>
        </w:rPr>
        <w:t xml:space="preserve"> in </w:t>
      </w:r>
      <w:r w:rsidR="000F508F" w:rsidRPr="000F508F">
        <w:rPr>
          <w:rFonts w:ascii="Arial" w:hAnsi="Arial" w:cs="Arial"/>
          <w:i/>
          <w:sz w:val="24"/>
          <w:szCs w:val="24"/>
        </w:rPr>
        <w:t>Moseley Buildings Ltd v Bioscope Cafes Ltd</w:t>
      </w:r>
      <w:r w:rsidR="00B05966">
        <w:rPr>
          <w:rFonts w:ascii="Arial" w:hAnsi="Arial" w:cs="Arial"/>
          <w:i/>
          <w:sz w:val="24"/>
          <w:szCs w:val="24"/>
        </w:rPr>
        <w:t>,</w:t>
      </w:r>
      <w:r w:rsidR="000F508F" w:rsidRPr="000F508F">
        <w:rPr>
          <w:rStyle w:val="FootnoteReference"/>
          <w:rFonts w:ascii="Arial" w:hAnsi="Arial" w:cs="Arial"/>
          <w:i/>
          <w:sz w:val="24"/>
          <w:szCs w:val="24"/>
        </w:rPr>
        <w:footnoteReference w:id="9"/>
      </w:r>
      <w:r w:rsidR="000F508F">
        <w:rPr>
          <w:rFonts w:ascii="Arial" w:hAnsi="Arial" w:cs="Arial"/>
          <w:sz w:val="24"/>
          <w:szCs w:val="24"/>
        </w:rPr>
        <w:t xml:space="preserve"> almost a hundred years ago</w:t>
      </w:r>
      <w:r w:rsidR="00B05966">
        <w:rPr>
          <w:rFonts w:ascii="Arial" w:hAnsi="Arial" w:cs="Arial"/>
          <w:sz w:val="24"/>
          <w:szCs w:val="24"/>
        </w:rPr>
        <w:t>,</w:t>
      </w:r>
      <w:r w:rsidR="000F508F">
        <w:rPr>
          <w:rFonts w:ascii="Arial" w:hAnsi="Arial" w:cs="Arial"/>
          <w:sz w:val="24"/>
          <w:szCs w:val="24"/>
        </w:rPr>
        <w:t xml:space="preserve"> in the contexts of whether a liquidator of an insolvent company is bound to a restrictive covenant in a lease agreement.</w:t>
      </w:r>
    </w:p>
    <w:p w:rsidR="00B05966" w:rsidRDefault="00363877" w:rsidP="00EC15D1">
      <w:pPr>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B05966">
        <w:rPr>
          <w:rFonts w:ascii="Arial" w:hAnsi="Arial" w:cs="Arial"/>
          <w:sz w:val="24"/>
          <w:szCs w:val="24"/>
        </w:rPr>
        <w:t>The court stated the general principle to be:</w:t>
      </w:r>
    </w:p>
    <w:p w:rsidR="00B05966" w:rsidRDefault="00B05966" w:rsidP="00363877">
      <w:pPr>
        <w:spacing w:line="480" w:lineRule="auto"/>
        <w:ind w:left="1440"/>
        <w:jc w:val="both"/>
        <w:rPr>
          <w:rFonts w:ascii="Arial" w:hAnsi="Arial" w:cs="Arial"/>
          <w:sz w:val="20"/>
          <w:szCs w:val="20"/>
        </w:rPr>
      </w:pPr>
      <w:r w:rsidRPr="0075709A">
        <w:rPr>
          <w:rFonts w:ascii="Arial" w:hAnsi="Arial" w:cs="Arial"/>
          <w:sz w:val="20"/>
          <w:szCs w:val="20"/>
        </w:rPr>
        <w:t>“In my opinion, the guiding principle accepted by the court is that, both a trustee and a liquidator, notwithstanding the legal difference of their title to the control of the assets, have a statutory duty to perform, namely: to realise the assets for the benefit of the creditors as a whole… not so much for the benefit of the insolvent or the company</w:t>
      </w:r>
      <w:r w:rsidR="009D0AA1" w:rsidRPr="0075709A">
        <w:rPr>
          <w:rFonts w:ascii="Arial" w:hAnsi="Arial" w:cs="Arial"/>
          <w:sz w:val="20"/>
          <w:szCs w:val="20"/>
        </w:rPr>
        <w:t>…in other words, as stated by LE BLANC J, in Doe v Bevan</w:t>
      </w:r>
      <w:r w:rsidR="0075709A" w:rsidRPr="0075709A">
        <w:rPr>
          <w:rFonts w:ascii="Arial" w:hAnsi="Arial" w:cs="Arial"/>
          <w:sz w:val="20"/>
          <w:szCs w:val="20"/>
        </w:rPr>
        <w:t>, their disposal of the assets is in the nature of a “statutable execution”</w:t>
      </w:r>
      <w:r w:rsidR="00867B6C">
        <w:rPr>
          <w:rStyle w:val="FootnoteReference"/>
          <w:rFonts w:ascii="Arial" w:hAnsi="Arial" w:cs="Arial"/>
          <w:sz w:val="20"/>
          <w:szCs w:val="20"/>
        </w:rPr>
        <w:footnoteReference w:id="10"/>
      </w:r>
    </w:p>
    <w:p w:rsidR="005435DE" w:rsidRPr="005435DE" w:rsidRDefault="00953E6B" w:rsidP="00953E6B">
      <w:pPr>
        <w:spacing w:line="48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5435DE">
        <w:rPr>
          <w:rFonts w:ascii="Arial" w:hAnsi="Arial" w:cs="Arial"/>
          <w:sz w:val="24"/>
          <w:szCs w:val="24"/>
        </w:rPr>
        <w:t>It seems clear from these decisions that the court accepted that a liquidator</w:t>
      </w:r>
      <w:r w:rsidR="00313331">
        <w:rPr>
          <w:rFonts w:ascii="Arial" w:hAnsi="Arial" w:cs="Arial"/>
          <w:sz w:val="24"/>
          <w:szCs w:val="24"/>
        </w:rPr>
        <w:t xml:space="preserve"> in the exercise of its duties is</w:t>
      </w:r>
      <w:r w:rsidR="00503FAF">
        <w:rPr>
          <w:rFonts w:ascii="Arial" w:hAnsi="Arial" w:cs="Arial"/>
          <w:sz w:val="24"/>
          <w:szCs w:val="24"/>
        </w:rPr>
        <w:t xml:space="preserve"> generally</w:t>
      </w:r>
      <w:r w:rsidR="00313331">
        <w:rPr>
          <w:rFonts w:ascii="Arial" w:hAnsi="Arial" w:cs="Arial"/>
          <w:sz w:val="24"/>
          <w:szCs w:val="24"/>
        </w:rPr>
        <w:t xml:space="preserve"> not bound by</w:t>
      </w:r>
      <w:r w:rsidR="005435DE">
        <w:rPr>
          <w:rFonts w:ascii="Arial" w:hAnsi="Arial" w:cs="Arial"/>
          <w:sz w:val="24"/>
          <w:szCs w:val="24"/>
        </w:rPr>
        <w:t xml:space="preserve"> restriction in a contract that bind the parties. </w:t>
      </w:r>
    </w:p>
    <w:p w:rsidR="007C7A16" w:rsidRDefault="00953E6B" w:rsidP="00953E6B">
      <w:pPr>
        <w:spacing w:line="480" w:lineRule="auto"/>
        <w:ind w:left="567" w:hanging="567"/>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C7A16">
        <w:rPr>
          <w:rFonts w:ascii="Arial" w:hAnsi="Arial" w:cs="Arial"/>
          <w:sz w:val="24"/>
          <w:szCs w:val="24"/>
        </w:rPr>
        <w:t xml:space="preserve">The Appellate in </w:t>
      </w:r>
      <w:r w:rsidR="007C7A16" w:rsidRPr="00E018A8">
        <w:rPr>
          <w:rFonts w:ascii="Arial" w:hAnsi="Arial" w:cs="Arial"/>
          <w:i/>
          <w:sz w:val="24"/>
          <w:szCs w:val="24"/>
        </w:rPr>
        <w:t>Division in Durban City Council v Liquidators Durban Icedromes Ltd and Another</w:t>
      </w:r>
      <w:r w:rsidR="007C7A16">
        <w:rPr>
          <w:rStyle w:val="FootnoteReference"/>
          <w:rFonts w:ascii="Arial" w:hAnsi="Arial" w:cs="Arial"/>
          <w:i/>
          <w:sz w:val="24"/>
          <w:szCs w:val="24"/>
        </w:rPr>
        <w:footnoteReference w:id="11"/>
      </w:r>
      <w:r w:rsidR="007C7A16" w:rsidRPr="00E018A8">
        <w:rPr>
          <w:rFonts w:ascii="Arial" w:hAnsi="Arial" w:cs="Arial"/>
          <w:i/>
          <w:sz w:val="24"/>
          <w:szCs w:val="24"/>
        </w:rPr>
        <w:t xml:space="preserve"> </w:t>
      </w:r>
      <w:r w:rsidR="005435DE">
        <w:rPr>
          <w:rFonts w:ascii="Arial" w:hAnsi="Arial" w:cs="Arial"/>
          <w:sz w:val="24"/>
          <w:szCs w:val="24"/>
        </w:rPr>
        <w:t xml:space="preserve">pointed out that </w:t>
      </w:r>
      <w:r w:rsidR="00503FAF">
        <w:rPr>
          <w:rFonts w:ascii="Arial" w:hAnsi="Arial" w:cs="Arial"/>
          <w:sz w:val="24"/>
          <w:szCs w:val="24"/>
        </w:rPr>
        <w:t xml:space="preserve">since </w:t>
      </w:r>
      <w:r w:rsidR="005435DE">
        <w:rPr>
          <w:rFonts w:ascii="Arial" w:hAnsi="Arial" w:cs="Arial"/>
          <w:sz w:val="24"/>
          <w:szCs w:val="24"/>
        </w:rPr>
        <w:t>the</w:t>
      </w:r>
      <w:r w:rsidR="008D4086">
        <w:rPr>
          <w:rFonts w:ascii="Arial" w:hAnsi="Arial" w:cs="Arial"/>
          <w:sz w:val="24"/>
          <w:szCs w:val="24"/>
        </w:rPr>
        <w:t xml:space="preserve"> amendment of</w:t>
      </w:r>
      <w:r w:rsidR="005435DE">
        <w:rPr>
          <w:rFonts w:ascii="Arial" w:hAnsi="Arial" w:cs="Arial"/>
          <w:sz w:val="24"/>
          <w:szCs w:val="24"/>
        </w:rPr>
        <w:t xml:space="preserve"> s</w:t>
      </w:r>
      <w:r w:rsidR="00503FAF">
        <w:rPr>
          <w:rFonts w:ascii="Arial" w:hAnsi="Arial" w:cs="Arial"/>
          <w:sz w:val="24"/>
          <w:szCs w:val="24"/>
        </w:rPr>
        <w:t>ection 37 of the Insolvency Act</w:t>
      </w:r>
      <w:r w:rsidR="00F65787">
        <w:rPr>
          <w:rFonts w:ascii="Arial" w:hAnsi="Arial" w:cs="Arial"/>
          <w:sz w:val="24"/>
          <w:szCs w:val="24"/>
        </w:rPr>
        <w:t>, that</w:t>
      </w:r>
      <w:r w:rsidR="008D4086">
        <w:rPr>
          <w:rFonts w:ascii="Arial" w:hAnsi="Arial" w:cs="Arial"/>
          <w:sz w:val="24"/>
          <w:szCs w:val="24"/>
        </w:rPr>
        <w:t xml:space="preserve"> a trustee</w:t>
      </w:r>
      <w:r w:rsidR="00503FAF">
        <w:rPr>
          <w:rFonts w:ascii="Arial" w:hAnsi="Arial" w:cs="Arial"/>
          <w:sz w:val="24"/>
          <w:szCs w:val="24"/>
        </w:rPr>
        <w:t xml:space="preserve"> is bound</w:t>
      </w:r>
      <w:r w:rsidR="008D4086">
        <w:rPr>
          <w:rFonts w:ascii="Arial" w:hAnsi="Arial" w:cs="Arial"/>
          <w:sz w:val="24"/>
          <w:szCs w:val="24"/>
        </w:rPr>
        <w:t xml:space="preserve"> to</w:t>
      </w:r>
      <w:r w:rsidR="005435DE">
        <w:rPr>
          <w:rFonts w:ascii="Arial" w:hAnsi="Arial" w:cs="Arial"/>
          <w:sz w:val="24"/>
          <w:szCs w:val="24"/>
        </w:rPr>
        <w:t xml:space="preserve"> a stipulation in a lease which restricts</w:t>
      </w:r>
      <w:r w:rsidR="004A32EC">
        <w:rPr>
          <w:rFonts w:ascii="Arial" w:hAnsi="Arial" w:cs="Arial"/>
          <w:sz w:val="24"/>
          <w:szCs w:val="24"/>
        </w:rPr>
        <w:t xml:space="preserve"> or prohibits the transfer of any right under a lease</w:t>
      </w:r>
      <w:r w:rsidR="008D4086">
        <w:rPr>
          <w:rFonts w:ascii="Arial" w:hAnsi="Arial" w:cs="Arial"/>
          <w:sz w:val="24"/>
          <w:szCs w:val="24"/>
        </w:rPr>
        <w:t>.</w:t>
      </w:r>
      <w:r w:rsidR="004A32EC">
        <w:rPr>
          <w:rFonts w:ascii="Arial" w:hAnsi="Arial" w:cs="Arial"/>
          <w:sz w:val="24"/>
          <w:szCs w:val="24"/>
        </w:rPr>
        <w:t xml:space="preserve"> </w:t>
      </w:r>
      <w:r w:rsidR="008D4086">
        <w:rPr>
          <w:rFonts w:ascii="Arial" w:hAnsi="Arial" w:cs="Arial"/>
          <w:sz w:val="24"/>
          <w:szCs w:val="24"/>
        </w:rPr>
        <w:t>The court commented</w:t>
      </w:r>
      <w:r w:rsidR="004A32EC">
        <w:rPr>
          <w:rFonts w:ascii="Arial" w:hAnsi="Arial" w:cs="Arial"/>
          <w:sz w:val="24"/>
          <w:szCs w:val="24"/>
        </w:rPr>
        <w:t>:</w:t>
      </w:r>
    </w:p>
    <w:p w:rsidR="004A32EC" w:rsidRDefault="004A32EC" w:rsidP="00953E6B">
      <w:pPr>
        <w:spacing w:line="480" w:lineRule="auto"/>
        <w:ind w:left="1440"/>
        <w:jc w:val="both"/>
        <w:rPr>
          <w:rFonts w:ascii="Arial" w:hAnsi="Arial" w:cs="Arial"/>
          <w:sz w:val="20"/>
          <w:szCs w:val="20"/>
        </w:rPr>
      </w:pPr>
      <w:r>
        <w:rPr>
          <w:rFonts w:ascii="Arial" w:hAnsi="Arial" w:cs="Arial"/>
          <w:sz w:val="24"/>
          <w:szCs w:val="24"/>
        </w:rPr>
        <w:t>“</w:t>
      </w:r>
      <w:r w:rsidRPr="004A32EC">
        <w:rPr>
          <w:rFonts w:ascii="Arial" w:hAnsi="Arial" w:cs="Arial"/>
          <w:sz w:val="20"/>
          <w:szCs w:val="20"/>
        </w:rPr>
        <w:t xml:space="preserve">There remains the question whether the liquidators are bound by the provision in the lease that the lessee shall not assign it without the consent in writing by the council. Before the amendment of sec 37 of the Insolvency Act, 1936, by sec 14 of the Insolvency Law Amendment Act 1943, neither a trustee nor a liquidator was, according to a number of decisions in our Courts, bound by a clause of that nature in a lease. (Cf </w:t>
      </w:r>
      <w:r w:rsidRPr="004A32EC">
        <w:rPr>
          <w:rFonts w:ascii="Arial" w:hAnsi="Arial" w:cs="Arial"/>
          <w:i/>
          <w:sz w:val="20"/>
          <w:szCs w:val="20"/>
        </w:rPr>
        <w:t>inter alia</w:t>
      </w:r>
      <w:r w:rsidRPr="004A32EC">
        <w:rPr>
          <w:rFonts w:ascii="Arial" w:hAnsi="Arial" w:cs="Arial"/>
          <w:sz w:val="20"/>
          <w:szCs w:val="20"/>
        </w:rPr>
        <w:t xml:space="preserve"> </w:t>
      </w:r>
      <w:r w:rsidRPr="004A32EC">
        <w:rPr>
          <w:rFonts w:ascii="Arial" w:hAnsi="Arial" w:cs="Arial"/>
          <w:i/>
          <w:sz w:val="20"/>
          <w:szCs w:val="20"/>
        </w:rPr>
        <w:t xml:space="preserve">Heimann v Klepman and Jaspan </w:t>
      </w:r>
      <w:r w:rsidRPr="004A32EC">
        <w:rPr>
          <w:rFonts w:ascii="Arial" w:hAnsi="Arial" w:cs="Arial"/>
          <w:sz w:val="20"/>
          <w:szCs w:val="20"/>
        </w:rPr>
        <w:t xml:space="preserve">1922 WLD 115. </w:t>
      </w:r>
      <w:r w:rsidRPr="004A32EC">
        <w:rPr>
          <w:rFonts w:ascii="Arial" w:hAnsi="Arial" w:cs="Arial"/>
          <w:i/>
          <w:sz w:val="20"/>
          <w:szCs w:val="20"/>
        </w:rPr>
        <w:t xml:space="preserve">Himmelhoch v Liquidators fresh Milk and Butter Supply Co Ltd and Others </w:t>
      </w:r>
      <w:r w:rsidRPr="004A32EC">
        <w:rPr>
          <w:rFonts w:ascii="Arial" w:hAnsi="Arial" w:cs="Arial"/>
          <w:sz w:val="20"/>
          <w:szCs w:val="20"/>
        </w:rPr>
        <w:t>1925 TPD 958)</w:t>
      </w:r>
      <w:r>
        <w:rPr>
          <w:rFonts w:ascii="Arial" w:hAnsi="Arial" w:cs="Arial"/>
          <w:sz w:val="20"/>
          <w:szCs w:val="20"/>
        </w:rPr>
        <w:t>.</w:t>
      </w:r>
      <w:r w:rsidRPr="004A32EC">
        <w:rPr>
          <w:rFonts w:ascii="Arial" w:hAnsi="Arial" w:cs="Arial"/>
          <w:sz w:val="20"/>
          <w:szCs w:val="20"/>
        </w:rPr>
        <w:t>”</w:t>
      </w:r>
      <w:r w:rsidR="005D06A4">
        <w:rPr>
          <w:rStyle w:val="FootnoteReference"/>
          <w:rFonts w:ascii="Arial" w:hAnsi="Arial" w:cs="Arial"/>
          <w:sz w:val="20"/>
          <w:szCs w:val="20"/>
        </w:rPr>
        <w:footnoteReference w:id="12"/>
      </w:r>
    </w:p>
    <w:p w:rsidR="006A7680" w:rsidRDefault="00953E6B" w:rsidP="00953E6B">
      <w:pPr>
        <w:spacing w:line="480" w:lineRule="auto"/>
        <w:ind w:left="567" w:hanging="567"/>
        <w:jc w:val="both"/>
        <w:rPr>
          <w:rFonts w:ascii="Arial" w:hAnsi="Arial" w:cs="Arial"/>
          <w:sz w:val="24"/>
          <w:szCs w:val="24"/>
        </w:rPr>
      </w:pPr>
      <w:r>
        <w:rPr>
          <w:rFonts w:ascii="Arial" w:hAnsi="Arial" w:cs="Arial"/>
          <w:sz w:val="24"/>
          <w:szCs w:val="24"/>
        </w:rPr>
        <w:t>[29]</w:t>
      </w:r>
      <w:r>
        <w:rPr>
          <w:rFonts w:ascii="Arial" w:hAnsi="Arial" w:cs="Arial"/>
          <w:sz w:val="24"/>
          <w:szCs w:val="24"/>
        </w:rPr>
        <w:tab/>
      </w:r>
      <w:r w:rsidR="006A7680">
        <w:rPr>
          <w:rFonts w:ascii="Arial" w:hAnsi="Arial" w:cs="Arial"/>
          <w:sz w:val="24"/>
          <w:szCs w:val="24"/>
        </w:rPr>
        <w:t>The correctness of those decisions were not questioned</w:t>
      </w:r>
      <w:r w:rsidR="00503FAF">
        <w:rPr>
          <w:rFonts w:ascii="Arial" w:hAnsi="Arial" w:cs="Arial"/>
          <w:sz w:val="24"/>
          <w:szCs w:val="24"/>
        </w:rPr>
        <w:t xml:space="preserve"> by the court</w:t>
      </w:r>
      <w:r w:rsidR="006A7680">
        <w:rPr>
          <w:rFonts w:ascii="Arial" w:hAnsi="Arial" w:cs="Arial"/>
          <w:sz w:val="24"/>
          <w:szCs w:val="24"/>
        </w:rPr>
        <w:t xml:space="preserve">. </w:t>
      </w:r>
      <w:r w:rsidR="00503FAF">
        <w:rPr>
          <w:rFonts w:ascii="Arial" w:hAnsi="Arial" w:cs="Arial"/>
          <w:sz w:val="24"/>
          <w:szCs w:val="24"/>
        </w:rPr>
        <w:t xml:space="preserve">The writers of </w:t>
      </w:r>
      <w:r w:rsidR="005D06A4" w:rsidRPr="005D06A4">
        <w:rPr>
          <w:rFonts w:ascii="Arial" w:hAnsi="Arial" w:cs="Arial"/>
          <w:i/>
          <w:sz w:val="24"/>
          <w:szCs w:val="24"/>
        </w:rPr>
        <w:t>Meskin</w:t>
      </w:r>
      <w:r w:rsidR="005D06A4">
        <w:rPr>
          <w:rFonts w:ascii="Arial" w:hAnsi="Arial" w:cs="Arial"/>
          <w:i/>
          <w:sz w:val="24"/>
          <w:szCs w:val="24"/>
        </w:rPr>
        <w:t xml:space="preserve"> </w:t>
      </w:r>
      <w:r w:rsidR="006A7680" w:rsidRPr="006A7680">
        <w:rPr>
          <w:rFonts w:ascii="Arial" w:hAnsi="Arial" w:cs="Arial"/>
          <w:i/>
          <w:sz w:val="24"/>
          <w:szCs w:val="24"/>
        </w:rPr>
        <w:t>Insolvency Law and its Operation in Winding-Up</w:t>
      </w:r>
      <w:r w:rsidR="005D06A4">
        <w:rPr>
          <w:rStyle w:val="FootnoteReference"/>
          <w:rFonts w:ascii="Arial" w:hAnsi="Arial" w:cs="Arial"/>
          <w:i/>
          <w:sz w:val="24"/>
          <w:szCs w:val="24"/>
        </w:rPr>
        <w:footnoteReference w:id="13"/>
      </w:r>
      <w:r w:rsidR="006A7680">
        <w:rPr>
          <w:rFonts w:ascii="Arial" w:hAnsi="Arial" w:cs="Arial"/>
          <w:i/>
          <w:sz w:val="24"/>
          <w:szCs w:val="24"/>
        </w:rPr>
        <w:t xml:space="preserve"> </w:t>
      </w:r>
      <w:r w:rsidR="006A7680">
        <w:rPr>
          <w:rFonts w:ascii="Arial" w:hAnsi="Arial" w:cs="Arial"/>
          <w:sz w:val="24"/>
          <w:szCs w:val="24"/>
        </w:rPr>
        <w:t>states:</w:t>
      </w:r>
    </w:p>
    <w:p w:rsidR="006A7680" w:rsidRDefault="006A7680" w:rsidP="00953E6B">
      <w:pPr>
        <w:spacing w:line="480" w:lineRule="auto"/>
        <w:ind w:left="1440"/>
        <w:jc w:val="both"/>
        <w:rPr>
          <w:rFonts w:ascii="Arial" w:hAnsi="Arial" w:cs="Arial"/>
          <w:sz w:val="20"/>
          <w:szCs w:val="20"/>
        </w:rPr>
      </w:pPr>
      <w:r w:rsidRPr="002F7821">
        <w:rPr>
          <w:rFonts w:ascii="Arial" w:hAnsi="Arial" w:cs="Arial"/>
          <w:sz w:val="20"/>
          <w:szCs w:val="20"/>
        </w:rPr>
        <w:t xml:space="preserve">“Since the sale is a compulsory one dictated by the provisions of the Insolvency Act, contractual or other non-statutory stipulations precluding or restricting the insolvent from selling or delivering the property concerned are not operative against the trustee (although in relation to a lease, this situation is modified by the provisions of section 37(5) of the Insolvency Act.) It is submitted that as a result of the </w:t>
      </w:r>
      <w:r w:rsidRPr="002F7821">
        <w:rPr>
          <w:rFonts w:ascii="Arial" w:hAnsi="Arial" w:cs="Arial"/>
          <w:i/>
          <w:sz w:val="20"/>
          <w:szCs w:val="20"/>
        </w:rPr>
        <w:t xml:space="preserve">concursus creditorum </w:t>
      </w:r>
      <w:r w:rsidR="002F7821" w:rsidRPr="002F7821">
        <w:rPr>
          <w:rFonts w:ascii="Arial" w:hAnsi="Arial" w:cs="Arial"/>
          <w:sz w:val="20"/>
          <w:szCs w:val="20"/>
        </w:rPr>
        <w:t>a stipulation which is intended also to bind the trustee and to prevent him from selling the property in accordance with the provisions of the Insolvency Act is as a general rule without force and effect.”</w:t>
      </w:r>
      <w:r w:rsidR="005D06A4">
        <w:rPr>
          <w:rStyle w:val="FootnoteReference"/>
          <w:rFonts w:ascii="Arial" w:hAnsi="Arial" w:cs="Arial"/>
          <w:sz w:val="20"/>
          <w:szCs w:val="20"/>
        </w:rPr>
        <w:footnoteReference w:id="14"/>
      </w:r>
      <w:r w:rsidR="002F7821" w:rsidRPr="002F7821">
        <w:rPr>
          <w:rFonts w:ascii="Arial" w:hAnsi="Arial" w:cs="Arial"/>
          <w:sz w:val="20"/>
          <w:szCs w:val="20"/>
        </w:rPr>
        <w:t xml:space="preserve"> </w:t>
      </w:r>
    </w:p>
    <w:p w:rsidR="00503FAF" w:rsidRDefault="00953E6B" w:rsidP="00953E6B">
      <w:pPr>
        <w:spacing w:line="48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37A82">
        <w:rPr>
          <w:rFonts w:ascii="Arial" w:hAnsi="Arial" w:cs="Arial"/>
          <w:sz w:val="24"/>
          <w:szCs w:val="24"/>
        </w:rPr>
        <w:t xml:space="preserve">The restriction contained in the title deed cannot properly be allowed an impediment to the transfer of the property when </w:t>
      </w:r>
      <w:r w:rsidR="005D06A4">
        <w:rPr>
          <w:rFonts w:ascii="Arial" w:hAnsi="Arial" w:cs="Arial"/>
          <w:sz w:val="24"/>
          <w:szCs w:val="24"/>
        </w:rPr>
        <w:t>it is sold by</w:t>
      </w:r>
      <w:r w:rsidR="00937A82">
        <w:rPr>
          <w:rFonts w:ascii="Arial" w:hAnsi="Arial" w:cs="Arial"/>
          <w:sz w:val="24"/>
          <w:szCs w:val="24"/>
        </w:rPr>
        <w:t xml:space="preserve"> public auction by the liquidators</w:t>
      </w:r>
      <w:r w:rsidR="00503FAF">
        <w:rPr>
          <w:rFonts w:ascii="Arial" w:hAnsi="Arial" w:cs="Arial"/>
          <w:sz w:val="24"/>
          <w:szCs w:val="24"/>
        </w:rPr>
        <w:t xml:space="preserve"> in terms of their duties as liquidators</w:t>
      </w:r>
      <w:r w:rsidR="00937A82">
        <w:rPr>
          <w:rFonts w:ascii="Arial" w:hAnsi="Arial" w:cs="Arial"/>
          <w:sz w:val="24"/>
          <w:szCs w:val="24"/>
        </w:rPr>
        <w:t>.</w:t>
      </w:r>
      <w:r w:rsidR="002713C5">
        <w:rPr>
          <w:rFonts w:ascii="Arial" w:hAnsi="Arial" w:cs="Arial"/>
          <w:sz w:val="24"/>
          <w:szCs w:val="24"/>
        </w:rPr>
        <w:t xml:space="preserve"> In </w:t>
      </w:r>
      <w:r w:rsidR="002713C5" w:rsidRPr="004913CC">
        <w:rPr>
          <w:rFonts w:ascii="Arial" w:hAnsi="Arial" w:cs="Arial"/>
          <w:i/>
          <w:sz w:val="24"/>
          <w:szCs w:val="24"/>
        </w:rPr>
        <w:t>Heenop v Magaliesbergse Koringkooperasie Bpk</w:t>
      </w:r>
      <w:r w:rsidR="002713C5">
        <w:rPr>
          <w:rStyle w:val="FootnoteReference"/>
          <w:rFonts w:ascii="Arial" w:hAnsi="Arial" w:cs="Arial"/>
          <w:sz w:val="24"/>
          <w:szCs w:val="24"/>
        </w:rPr>
        <w:footnoteReference w:id="15"/>
      </w:r>
      <w:r w:rsidR="002713C5">
        <w:rPr>
          <w:rFonts w:ascii="Arial" w:hAnsi="Arial" w:cs="Arial"/>
          <w:sz w:val="24"/>
          <w:szCs w:val="24"/>
        </w:rPr>
        <w:t xml:space="preserve"> the question was whether the provisions of a statute prohibited a liquidator from se</w:t>
      </w:r>
      <w:r w:rsidR="00631391">
        <w:rPr>
          <w:rFonts w:ascii="Arial" w:hAnsi="Arial" w:cs="Arial"/>
          <w:sz w:val="24"/>
          <w:szCs w:val="24"/>
        </w:rPr>
        <w:t xml:space="preserve">lling crops by public auction. </w:t>
      </w:r>
      <w:r w:rsidR="002713C5">
        <w:rPr>
          <w:rFonts w:ascii="Arial" w:hAnsi="Arial" w:cs="Arial"/>
          <w:sz w:val="24"/>
          <w:szCs w:val="24"/>
        </w:rPr>
        <w:t xml:space="preserve">The court approved of the passage in </w:t>
      </w:r>
      <w:r w:rsidR="002713C5" w:rsidRPr="00860276">
        <w:rPr>
          <w:rFonts w:ascii="Arial" w:hAnsi="Arial" w:cs="Arial"/>
          <w:i/>
          <w:sz w:val="24"/>
          <w:szCs w:val="24"/>
        </w:rPr>
        <w:t>Moseley Buildings Ltd supra</w:t>
      </w:r>
      <w:r w:rsidR="002713C5">
        <w:rPr>
          <w:rFonts w:ascii="Arial" w:hAnsi="Arial" w:cs="Arial"/>
          <w:i/>
          <w:sz w:val="24"/>
          <w:szCs w:val="24"/>
        </w:rPr>
        <w:t xml:space="preserve"> </w:t>
      </w:r>
      <w:r w:rsidR="00F65787" w:rsidRPr="00F65787">
        <w:rPr>
          <w:rFonts w:ascii="Arial" w:hAnsi="Arial" w:cs="Arial"/>
          <w:sz w:val="24"/>
          <w:szCs w:val="24"/>
        </w:rPr>
        <w:t>and</w:t>
      </w:r>
      <w:r w:rsidR="00F65787">
        <w:rPr>
          <w:rFonts w:ascii="Arial" w:hAnsi="Arial" w:cs="Arial"/>
          <w:i/>
          <w:sz w:val="24"/>
          <w:szCs w:val="24"/>
        </w:rPr>
        <w:t xml:space="preserve"> </w:t>
      </w:r>
      <w:r w:rsidR="002713C5">
        <w:rPr>
          <w:rFonts w:ascii="Arial" w:hAnsi="Arial" w:cs="Arial"/>
          <w:sz w:val="24"/>
          <w:szCs w:val="24"/>
        </w:rPr>
        <w:t>reiterated that</w:t>
      </w:r>
      <w:r w:rsidR="002713C5" w:rsidRPr="00860276">
        <w:rPr>
          <w:rFonts w:ascii="Arial" w:hAnsi="Arial" w:cs="Arial"/>
          <w:sz w:val="24"/>
          <w:szCs w:val="24"/>
        </w:rPr>
        <w:t xml:space="preserve"> </w:t>
      </w:r>
      <w:r w:rsidR="002713C5">
        <w:rPr>
          <w:rFonts w:ascii="Arial" w:hAnsi="Arial" w:cs="Arial"/>
          <w:sz w:val="24"/>
          <w:szCs w:val="24"/>
        </w:rPr>
        <w:t xml:space="preserve">it is the duty of a liquidator do all things as may be necessary for the winding-up the affairs of the company and distributing its assets under supervision and sanction by the court. </w:t>
      </w:r>
    </w:p>
    <w:p w:rsidR="002713C5" w:rsidRPr="002713C5" w:rsidRDefault="00503FAF" w:rsidP="00953E6B">
      <w:pPr>
        <w:spacing w:line="480" w:lineRule="auto"/>
        <w:ind w:left="720" w:hanging="720"/>
        <w:jc w:val="both"/>
        <w:rPr>
          <w:rFonts w:ascii="Arial" w:hAnsi="Arial" w:cs="Arial"/>
          <w:sz w:val="20"/>
          <w:szCs w:val="20"/>
        </w:rPr>
      </w:pPr>
      <w:r>
        <w:rPr>
          <w:rFonts w:ascii="Arial" w:hAnsi="Arial" w:cs="Arial"/>
          <w:sz w:val="24"/>
          <w:szCs w:val="24"/>
        </w:rPr>
        <w:t xml:space="preserve">[31]    </w:t>
      </w:r>
      <w:r w:rsidR="002713C5">
        <w:rPr>
          <w:rFonts w:ascii="Arial" w:hAnsi="Arial" w:cs="Arial"/>
          <w:sz w:val="24"/>
          <w:szCs w:val="24"/>
        </w:rPr>
        <w:t>The liquidators</w:t>
      </w:r>
      <w:r w:rsidR="00F65787">
        <w:rPr>
          <w:rFonts w:ascii="Arial" w:hAnsi="Arial" w:cs="Arial"/>
          <w:sz w:val="24"/>
          <w:szCs w:val="24"/>
        </w:rPr>
        <w:t>, in my judgment, were</w:t>
      </w:r>
      <w:r w:rsidR="002713C5">
        <w:rPr>
          <w:rFonts w:ascii="Arial" w:hAnsi="Arial" w:cs="Arial"/>
          <w:sz w:val="24"/>
          <w:szCs w:val="24"/>
        </w:rPr>
        <w:t xml:space="preserve"> obliged in terms of section 82 of the Insolvency Act to sell all the property in the estate in such manner and upon such conditions as the creditors may direct as long as the sale </w:t>
      </w:r>
      <w:r w:rsidR="00F65787">
        <w:rPr>
          <w:rFonts w:ascii="Arial" w:hAnsi="Arial" w:cs="Arial"/>
          <w:sz w:val="24"/>
          <w:szCs w:val="24"/>
        </w:rPr>
        <w:t>of the property of the estate was not prohibited by statute or was</w:t>
      </w:r>
      <w:r w:rsidR="002713C5">
        <w:rPr>
          <w:rFonts w:ascii="Arial" w:hAnsi="Arial" w:cs="Arial"/>
          <w:sz w:val="24"/>
          <w:szCs w:val="24"/>
        </w:rPr>
        <w:t xml:space="preserve"> unlawful.</w:t>
      </w:r>
      <w:r w:rsidR="002713C5">
        <w:rPr>
          <w:rStyle w:val="FootnoteReference"/>
          <w:rFonts w:ascii="Arial" w:hAnsi="Arial" w:cs="Arial"/>
          <w:sz w:val="24"/>
          <w:szCs w:val="24"/>
        </w:rPr>
        <w:footnoteReference w:id="16"/>
      </w:r>
      <w:r w:rsidR="002713C5">
        <w:rPr>
          <w:rFonts w:ascii="Arial" w:hAnsi="Arial" w:cs="Arial"/>
          <w:sz w:val="24"/>
          <w:szCs w:val="24"/>
        </w:rPr>
        <w:t xml:space="preserve"> There is no suggestion in the papers that the sale of the property to Indalo is prohibited by statute nor that the sale was unlawful. </w:t>
      </w:r>
    </w:p>
    <w:p w:rsidR="00937A82" w:rsidRDefault="00503FAF" w:rsidP="00953E6B">
      <w:pPr>
        <w:spacing w:line="480" w:lineRule="auto"/>
        <w:ind w:left="720" w:hanging="660"/>
        <w:jc w:val="both"/>
        <w:rPr>
          <w:rFonts w:ascii="Arial" w:hAnsi="Arial" w:cs="Arial"/>
          <w:sz w:val="24"/>
          <w:szCs w:val="24"/>
        </w:rPr>
      </w:pPr>
      <w:r>
        <w:rPr>
          <w:rFonts w:ascii="Arial" w:hAnsi="Arial" w:cs="Arial"/>
          <w:sz w:val="24"/>
          <w:szCs w:val="24"/>
        </w:rPr>
        <w:t>[32</w:t>
      </w:r>
      <w:r w:rsidR="00953E6B">
        <w:rPr>
          <w:rFonts w:ascii="Arial" w:hAnsi="Arial" w:cs="Arial"/>
          <w:sz w:val="24"/>
          <w:szCs w:val="24"/>
        </w:rPr>
        <w:t>]</w:t>
      </w:r>
      <w:r w:rsidR="00953E6B">
        <w:rPr>
          <w:rFonts w:ascii="Arial" w:hAnsi="Arial" w:cs="Arial"/>
          <w:sz w:val="24"/>
          <w:szCs w:val="24"/>
        </w:rPr>
        <w:tab/>
      </w:r>
      <w:r w:rsidR="00937A82">
        <w:rPr>
          <w:rFonts w:ascii="Arial" w:hAnsi="Arial" w:cs="Arial"/>
          <w:sz w:val="24"/>
          <w:szCs w:val="24"/>
        </w:rPr>
        <w:t>I cannot imagine that the</w:t>
      </w:r>
      <w:r w:rsidR="002713C5">
        <w:rPr>
          <w:rFonts w:ascii="Arial" w:hAnsi="Arial" w:cs="Arial"/>
          <w:sz w:val="24"/>
          <w:szCs w:val="24"/>
        </w:rPr>
        <w:t xml:space="preserve"> restrictive</w:t>
      </w:r>
      <w:r w:rsidR="00937A82">
        <w:rPr>
          <w:rFonts w:ascii="Arial" w:hAnsi="Arial" w:cs="Arial"/>
          <w:sz w:val="24"/>
          <w:szCs w:val="24"/>
        </w:rPr>
        <w:t xml:space="preserve"> condition</w:t>
      </w:r>
      <w:r w:rsidR="002713C5">
        <w:rPr>
          <w:rFonts w:ascii="Arial" w:hAnsi="Arial" w:cs="Arial"/>
          <w:sz w:val="24"/>
          <w:szCs w:val="24"/>
        </w:rPr>
        <w:t xml:space="preserve"> </w:t>
      </w:r>
      <w:r w:rsidR="00B248DF">
        <w:rPr>
          <w:rFonts w:ascii="Arial" w:hAnsi="Arial" w:cs="Arial"/>
          <w:sz w:val="24"/>
          <w:szCs w:val="24"/>
        </w:rPr>
        <w:t xml:space="preserve">can </w:t>
      </w:r>
      <w:r w:rsidR="002713C5">
        <w:rPr>
          <w:rFonts w:ascii="Arial" w:hAnsi="Arial" w:cs="Arial"/>
          <w:sz w:val="24"/>
          <w:szCs w:val="24"/>
        </w:rPr>
        <w:t>have the</w:t>
      </w:r>
      <w:r w:rsidR="00B248DF">
        <w:rPr>
          <w:rFonts w:ascii="Arial" w:hAnsi="Arial" w:cs="Arial"/>
          <w:sz w:val="24"/>
          <w:szCs w:val="24"/>
        </w:rPr>
        <w:t xml:space="preserve"> same</w:t>
      </w:r>
      <w:r w:rsidR="002713C5">
        <w:rPr>
          <w:rFonts w:ascii="Arial" w:hAnsi="Arial" w:cs="Arial"/>
          <w:sz w:val="24"/>
          <w:szCs w:val="24"/>
        </w:rPr>
        <w:t xml:space="preserve"> force of a statute</w:t>
      </w:r>
      <w:r w:rsidR="00631391">
        <w:rPr>
          <w:rFonts w:ascii="Arial" w:hAnsi="Arial" w:cs="Arial"/>
          <w:sz w:val="24"/>
          <w:szCs w:val="24"/>
        </w:rPr>
        <w:t xml:space="preserve"> to prohibit</w:t>
      </w:r>
      <w:r w:rsidR="00937A82">
        <w:rPr>
          <w:rFonts w:ascii="Arial" w:hAnsi="Arial" w:cs="Arial"/>
          <w:sz w:val="24"/>
          <w:szCs w:val="24"/>
        </w:rPr>
        <w:t xml:space="preserve"> transfer of a property</w:t>
      </w:r>
      <w:r w:rsidR="00B248DF">
        <w:rPr>
          <w:rFonts w:ascii="Arial" w:hAnsi="Arial" w:cs="Arial"/>
          <w:sz w:val="24"/>
          <w:szCs w:val="24"/>
        </w:rPr>
        <w:t xml:space="preserve"> lawfully </w:t>
      </w:r>
      <w:r w:rsidR="00937A82">
        <w:rPr>
          <w:rFonts w:ascii="Arial" w:hAnsi="Arial" w:cs="Arial"/>
          <w:sz w:val="24"/>
          <w:szCs w:val="24"/>
        </w:rPr>
        <w:t>sold in the liquidatio</w:t>
      </w:r>
      <w:r w:rsidR="00631391">
        <w:rPr>
          <w:rFonts w:ascii="Arial" w:hAnsi="Arial" w:cs="Arial"/>
          <w:sz w:val="24"/>
          <w:szCs w:val="24"/>
        </w:rPr>
        <w:t>n process by the liquidators, thereby nullifing</w:t>
      </w:r>
      <w:r w:rsidR="00937A82">
        <w:rPr>
          <w:rFonts w:ascii="Arial" w:hAnsi="Arial" w:cs="Arial"/>
          <w:sz w:val="24"/>
          <w:szCs w:val="24"/>
        </w:rPr>
        <w:t xml:space="preserve"> the wishes of </w:t>
      </w:r>
      <w:r w:rsidR="00631391">
        <w:rPr>
          <w:rFonts w:ascii="Arial" w:hAnsi="Arial" w:cs="Arial"/>
          <w:sz w:val="24"/>
          <w:szCs w:val="24"/>
        </w:rPr>
        <w:t>the body of creditors and</w:t>
      </w:r>
      <w:r w:rsidR="00937A82">
        <w:rPr>
          <w:rFonts w:ascii="Arial" w:hAnsi="Arial" w:cs="Arial"/>
          <w:sz w:val="24"/>
          <w:szCs w:val="24"/>
        </w:rPr>
        <w:t xml:space="preserve"> render the </w:t>
      </w:r>
      <w:r w:rsidR="00937A82" w:rsidRPr="00937A82">
        <w:rPr>
          <w:rFonts w:ascii="Arial" w:hAnsi="Arial" w:cs="Arial"/>
          <w:i/>
          <w:sz w:val="24"/>
          <w:szCs w:val="24"/>
        </w:rPr>
        <w:t xml:space="preserve">consursus creditorum </w:t>
      </w:r>
      <w:r w:rsidR="00B248DF">
        <w:rPr>
          <w:rFonts w:ascii="Arial" w:hAnsi="Arial" w:cs="Arial"/>
          <w:sz w:val="24"/>
          <w:szCs w:val="24"/>
        </w:rPr>
        <w:t>illusory,</w:t>
      </w:r>
      <w:r w:rsidR="00D65793">
        <w:rPr>
          <w:rFonts w:ascii="Arial" w:hAnsi="Arial" w:cs="Arial"/>
          <w:sz w:val="24"/>
          <w:szCs w:val="24"/>
        </w:rPr>
        <w:t xml:space="preserve"> </w:t>
      </w:r>
      <w:r w:rsidR="00B248DF">
        <w:rPr>
          <w:rFonts w:ascii="Arial" w:hAnsi="Arial" w:cs="Arial"/>
          <w:sz w:val="24"/>
          <w:szCs w:val="24"/>
        </w:rPr>
        <w:t>and</w:t>
      </w:r>
      <w:r w:rsidR="00937A82">
        <w:rPr>
          <w:rFonts w:ascii="Arial" w:hAnsi="Arial" w:cs="Arial"/>
          <w:sz w:val="24"/>
          <w:szCs w:val="24"/>
        </w:rPr>
        <w:t xml:space="preserve"> the provisions of the Insolvency Act</w:t>
      </w:r>
      <w:r w:rsidR="00B248DF">
        <w:rPr>
          <w:rFonts w:ascii="Arial" w:hAnsi="Arial" w:cs="Arial"/>
          <w:sz w:val="24"/>
          <w:szCs w:val="24"/>
        </w:rPr>
        <w:t>,</w:t>
      </w:r>
      <w:r w:rsidR="00937A82">
        <w:rPr>
          <w:rFonts w:ascii="Arial" w:hAnsi="Arial" w:cs="Arial"/>
          <w:sz w:val="24"/>
          <w:szCs w:val="24"/>
        </w:rPr>
        <w:t xml:space="preserve"> </w:t>
      </w:r>
      <w:r w:rsidR="00D65793">
        <w:rPr>
          <w:rFonts w:ascii="Arial" w:hAnsi="Arial" w:cs="Arial"/>
          <w:sz w:val="24"/>
          <w:szCs w:val="24"/>
        </w:rPr>
        <w:t>sterile and ineffective.</w:t>
      </w:r>
    </w:p>
    <w:p w:rsidR="002F7821" w:rsidRDefault="00631391" w:rsidP="00953E6B">
      <w:pPr>
        <w:spacing w:line="480" w:lineRule="auto"/>
        <w:ind w:left="720" w:hanging="720"/>
        <w:jc w:val="both"/>
        <w:rPr>
          <w:rFonts w:ascii="Arial" w:hAnsi="Arial" w:cs="Arial"/>
          <w:sz w:val="24"/>
          <w:szCs w:val="24"/>
        </w:rPr>
      </w:pPr>
      <w:r>
        <w:rPr>
          <w:rFonts w:ascii="Arial" w:hAnsi="Arial" w:cs="Arial"/>
          <w:sz w:val="24"/>
          <w:szCs w:val="24"/>
        </w:rPr>
        <w:t>[33</w:t>
      </w:r>
      <w:r w:rsidR="00953E6B">
        <w:rPr>
          <w:rFonts w:ascii="Arial" w:hAnsi="Arial" w:cs="Arial"/>
          <w:sz w:val="24"/>
          <w:szCs w:val="24"/>
        </w:rPr>
        <w:t>]</w:t>
      </w:r>
      <w:r w:rsidR="00953E6B">
        <w:rPr>
          <w:rFonts w:ascii="Arial" w:hAnsi="Arial" w:cs="Arial"/>
          <w:sz w:val="24"/>
          <w:szCs w:val="24"/>
        </w:rPr>
        <w:tab/>
      </w:r>
      <w:r w:rsidR="002F7821" w:rsidRPr="002F7821">
        <w:rPr>
          <w:rFonts w:ascii="Arial" w:hAnsi="Arial" w:cs="Arial"/>
          <w:sz w:val="24"/>
          <w:szCs w:val="24"/>
        </w:rPr>
        <w:t>I have come to the conc</w:t>
      </w:r>
      <w:r w:rsidR="002F7821">
        <w:rPr>
          <w:rFonts w:ascii="Arial" w:hAnsi="Arial" w:cs="Arial"/>
          <w:sz w:val="24"/>
          <w:szCs w:val="24"/>
        </w:rPr>
        <w:t>l</w:t>
      </w:r>
      <w:r w:rsidR="002F7821" w:rsidRPr="002F7821">
        <w:rPr>
          <w:rFonts w:ascii="Arial" w:hAnsi="Arial" w:cs="Arial"/>
          <w:sz w:val="24"/>
          <w:szCs w:val="24"/>
        </w:rPr>
        <w:t>usion</w:t>
      </w:r>
      <w:r w:rsidR="002F7821">
        <w:rPr>
          <w:rFonts w:ascii="Arial" w:hAnsi="Arial" w:cs="Arial"/>
          <w:sz w:val="24"/>
          <w:szCs w:val="24"/>
        </w:rPr>
        <w:t xml:space="preserve"> that the liquidators are not bound by the restrictive conditions in the title deed</w:t>
      </w:r>
      <w:r w:rsidR="008D4086">
        <w:rPr>
          <w:rFonts w:ascii="Arial" w:hAnsi="Arial" w:cs="Arial"/>
          <w:sz w:val="24"/>
          <w:szCs w:val="24"/>
        </w:rPr>
        <w:t xml:space="preserve">. As a result the Association has not </w:t>
      </w:r>
      <w:r>
        <w:rPr>
          <w:rFonts w:ascii="Arial" w:hAnsi="Arial" w:cs="Arial"/>
          <w:sz w:val="24"/>
          <w:szCs w:val="24"/>
        </w:rPr>
        <w:t>made out a case for an interdict</w:t>
      </w:r>
      <w:r w:rsidR="008D4086">
        <w:rPr>
          <w:rFonts w:ascii="Arial" w:hAnsi="Arial" w:cs="Arial"/>
          <w:sz w:val="24"/>
          <w:szCs w:val="24"/>
        </w:rPr>
        <w:t>. The court has a discretion to grant a decla</w:t>
      </w:r>
      <w:r w:rsidR="003318AB">
        <w:rPr>
          <w:rFonts w:ascii="Arial" w:hAnsi="Arial" w:cs="Arial"/>
          <w:sz w:val="24"/>
          <w:szCs w:val="24"/>
        </w:rPr>
        <w:t>ration of rights. I am of the view</w:t>
      </w:r>
      <w:r w:rsidR="008D4086">
        <w:rPr>
          <w:rFonts w:ascii="Arial" w:hAnsi="Arial" w:cs="Arial"/>
          <w:sz w:val="24"/>
          <w:szCs w:val="24"/>
        </w:rPr>
        <w:t xml:space="preserve"> that the Association has</w:t>
      </w:r>
      <w:r w:rsidR="003318AB">
        <w:rPr>
          <w:rFonts w:ascii="Arial" w:hAnsi="Arial" w:cs="Arial"/>
          <w:sz w:val="24"/>
          <w:szCs w:val="24"/>
        </w:rPr>
        <w:t xml:space="preserve"> not</w:t>
      </w:r>
      <w:r w:rsidR="008D4086">
        <w:rPr>
          <w:rFonts w:ascii="Arial" w:hAnsi="Arial" w:cs="Arial"/>
          <w:sz w:val="24"/>
          <w:szCs w:val="24"/>
        </w:rPr>
        <w:t xml:space="preserve"> succeeded to prove the right claimed.</w:t>
      </w:r>
    </w:p>
    <w:p w:rsidR="00D65793" w:rsidRDefault="00631391" w:rsidP="00953E6B">
      <w:pPr>
        <w:spacing w:line="480" w:lineRule="auto"/>
        <w:ind w:left="720" w:hanging="720"/>
        <w:jc w:val="both"/>
        <w:rPr>
          <w:rFonts w:ascii="Arial" w:hAnsi="Arial" w:cs="Arial"/>
          <w:sz w:val="24"/>
          <w:szCs w:val="24"/>
        </w:rPr>
      </w:pPr>
      <w:r>
        <w:rPr>
          <w:rFonts w:ascii="Arial" w:hAnsi="Arial" w:cs="Arial"/>
          <w:sz w:val="24"/>
          <w:szCs w:val="24"/>
        </w:rPr>
        <w:t>[34</w:t>
      </w:r>
      <w:r w:rsidR="00953E6B">
        <w:rPr>
          <w:rFonts w:ascii="Arial" w:hAnsi="Arial" w:cs="Arial"/>
          <w:sz w:val="24"/>
          <w:szCs w:val="24"/>
        </w:rPr>
        <w:t>]</w:t>
      </w:r>
      <w:r w:rsidR="00953E6B">
        <w:rPr>
          <w:rFonts w:ascii="Arial" w:hAnsi="Arial" w:cs="Arial"/>
          <w:sz w:val="24"/>
          <w:szCs w:val="24"/>
        </w:rPr>
        <w:tab/>
      </w:r>
      <w:r w:rsidR="00D65793">
        <w:rPr>
          <w:rFonts w:ascii="Arial" w:hAnsi="Arial" w:cs="Arial"/>
          <w:sz w:val="24"/>
          <w:szCs w:val="24"/>
        </w:rPr>
        <w:t xml:space="preserve">I accept that the question of consent was discussed at the meeting of 22 April 2022 over which Langenhoven presided. </w:t>
      </w:r>
      <w:r w:rsidR="008D0949">
        <w:rPr>
          <w:rFonts w:ascii="Arial" w:hAnsi="Arial" w:cs="Arial"/>
          <w:sz w:val="24"/>
          <w:szCs w:val="24"/>
        </w:rPr>
        <w:t xml:space="preserve">His failure to attach the </w:t>
      </w:r>
      <w:r w:rsidR="00D65793">
        <w:rPr>
          <w:rFonts w:ascii="Arial" w:hAnsi="Arial" w:cs="Arial"/>
          <w:sz w:val="24"/>
          <w:szCs w:val="24"/>
        </w:rPr>
        <w:t>minutes of that meeting</w:t>
      </w:r>
      <w:r w:rsidR="008D0949">
        <w:rPr>
          <w:rFonts w:ascii="Arial" w:hAnsi="Arial" w:cs="Arial"/>
          <w:sz w:val="24"/>
          <w:szCs w:val="24"/>
        </w:rPr>
        <w:t xml:space="preserve"> to the replying affidavit</w:t>
      </w:r>
      <w:r w:rsidR="00D65793">
        <w:rPr>
          <w:rFonts w:ascii="Arial" w:hAnsi="Arial" w:cs="Arial"/>
          <w:sz w:val="24"/>
          <w:szCs w:val="24"/>
        </w:rPr>
        <w:t xml:space="preserve"> is conspicuous</w:t>
      </w:r>
      <w:r w:rsidR="008D0949">
        <w:rPr>
          <w:rFonts w:ascii="Arial" w:hAnsi="Arial" w:cs="Arial"/>
          <w:sz w:val="24"/>
          <w:szCs w:val="24"/>
        </w:rPr>
        <w:t>.</w:t>
      </w:r>
      <w:r w:rsidR="00D65793">
        <w:rPr>
          <w:rFonts w:ascii="Arial" w:hAnsi="Arial" w:cs="Arial"/>
          <w:sz w:val="24"/>
          <w:szCs w:val="24"/>
        </w:rPr>
        <w:t xml:space="preserve">  The probabilities point to him as the person who provided Cameron with that information. </w:t>
      </w:r>
      <w:r w:rsidR="003318AB">
        <w:rPr>
          <w:rFonts w:ascii="Arial" w:hAnsi="Arial" w:cs="Arial"/>
          <w:sz w:val="24"/>
          <w:szCs w:val="24"/>
        </w:rPr>
        <w:t>The whole issue of consent and the forced sale was discussed at this meeting where he himself pointed out that consent is not needed. This aspect was not denied in the replying affidavit.</w:t>
      </w:r>
      <w:r w:rsidR="001D2A44">
        <w:rPr>
          <w:rFonts w:ascii="Arial" w:hAnsi="Arial" w:cs="Arial"/>
          <w:sz w:val="24"/>
          <w:szCs w:val="24"/>
        </w:rPr>
        <w:t xml:space="preserve"> The application appears to be opportunistic and yet another attempt to prevent at all costs the transfer of the property.</w:t>
      </w:r>
      <w:r>
        <w:rPr>
          <w:rFonts w:ascii="Arial" w:hAnsi="Arial" w:cs="Arial"/>
          <w:sz w:val="24"/>
          <w:szCs w:val="24"/>
        </w:rPr>
        <w:t xml:space="preserve"> </w:t>
      </w:r>
    </w:p>
    <w:p w:rsidR="008D0949" w:rsidRDefault="00631391" w:rsidP="00953E6B">
      <w:pPr>
        <w:spacing w:line="480" w:lineRule="auto"/>
        <w:ind w:left="720" w:hanging="720"/>
        <w:jc w:val="both"/>
        <w:rPr>
          <w:rFonts w:ascii="Arial" w:hAnsi="Arial" w:cs="Arial"/>
          <w:sz w:val="24"/>
          <w:szCs w:val="24"/>
        </w:rPr>
      </w:pPr>
      <w:r>
        <w:rPr>
          <w:rFonts w:ascii="Arial" w:hAnsi="Arial" w:cs="Arial"/>
          <w:sz w:val="24"/>
          <w:szCs w:val="24"/>
        </w:rPr>
        <w:t>[35</w:t>
      </w:r>
      <w:r w:rsidR="00953E6B">
        <w:rPr>
          <w:rFonts w:ascii="Arial" w:hAnsi="Arial" w:cs="Arial"/>
          <w:sz w:val="24"/>
          <w:szCs w:val="24"/>
        </w:rPr>
        <w:t>]</w:t>
      </w:r>
      <w:r w:rsidR="00953E6B">
        <w:rPr>
          <w:rFonts w:ascii="Arial" w:hAnsi="Arial" w:cs="Arial"/>
          <w:sz w:val="24"/>
          <w:szCs w:val="24"/>
        </w:rPr>
        <w:tab/>
      </w:r>
      <w:r w:rsidR="008D0949">
        <w:rPr>
          <w:rFonts w:ascii="Arial" w:hAnsi="Arial" w:cs="Arial"/>
          <w:sz w:val="24"/>
          <w:szCs w:val="24"/>
        </w:rPr>
        <w:t>The resolution to institute the application was taken without the nominees from the home owners</w:t>
      </w:r>
      <w:r w:rsidR="00CE44E1">
        <w:rPr>
          <w:rFonts w:ascii="Arial" w:hAnsi="Arial" w:cs="Arial"/>
          <w:sz w:val="24"/>
          <w:szCs w:val="24"/>
        </w:rPr>
        <w:t xml:space="preserve"> being present</w:t>
      </w:r>
      <w:r w:rsidR="008D0949">
        <w:rPr>
          <w:rFonts w:ascii="Arial" w:hAnsi="Arial" w:cs="Arial"/>
          <w:sz w:val="24"/>
          <w:szCs w:val="24"/>
        </w:rPr>
        <w:t>. There are in the r</w:t>
      </w:r>
      <w:r w:rsidR="003318AB">
        <w:rPr>
          <w:rFonts w:ascii="Arial" w:hAnsi="Arial" w:cs="Arial"/>
          <w:sz w:val="24"/>
          <w:szCs w:val="24"/>
        </w:rPr>
        <w:t>egion of 50 home owners who</w:t>
      </w:r>
      <w:r w:rsidR="00CE44E1">
        <w:rPr>
          <w:rFonts w:ascii="Arial" w:hAnsi="Arial" w:cs="Arial"/>
          <w:sz w:val="24"/>
          <w:szCs w:val="24"/>
        </w:rPr>
        <w:t xml:space="preserve"> will</w:t>
      </w:r>
      <w:r w:rsidR="003318AB">
        <w:rPr>
          <w:rFonts w:ascii="Arial" w:hAnsi="Arial" w:cs="Arial"/>
          <w:sz w:val="24"/>
          <w:szCs w:val="24"/>
        </w:rPr>
        <w:t xml:space="preserve"> have to</w:t>
      </w:r>
      <w:r w:rsidR="008D0949">
        <w:rPr>
          <w:rFonts w:ascii="Arial" w:hAnsi="Arial" w:cs="Arial"/>
          <w:sz w:val="24"/>
          <w:szCs w:val="24"/>
        </w:rPr>
        <w:t xml:space="preserve"> make a contribution to the costs of this application without having being heard as a result. I do not consider it fair or in the interest of justice that they should subsidise the costs of the application. It is my </w:t>
      </w:r>
      <w:r w:rsidR="008D0949" w:rsidRPr="00CE44E1">
        <w:rPr>
          <w:rFonts w:ascii="Arial" w:hAnsi="Arial" w:cs="Arial"/>
          <w:i/>
          <w:sz w:val="24"/>
          <w:szCs w:val="24"/>
        </w:rPr>
        <w:t>prima facie</w:t>
      </w:r>
      <w:r w:rsidR="008D0949">
        <w:rPr>
          <w:rFonts w:ascii="Arial" w:hAnsi="Arial" w:cs="Arial"/>
          <w:sz w:val="24"/>
          <w:szCs w:val="24"/>
        </w:rPr>
        <w:t xml:space="preserve"> view that the three trustees who made the decision </w:t>
      </w:r>
      <w:r w:rsidR="00CE44E1">
        <w:rPr>
          <w:rFonts w:ascii="Arial" w:hAnsi="Arial" w:cs="Arial"/>
          <w:sz w:val="24"/>
          <w:szCs w:val="24"/>
        </w:rPr>
        <w:t xml:space="preserve">should </w:t>
      </w:r>
      <w:r w:rsidR="008D0949">
        <w:rPr>
          <w:rFonts w:ascii="Arial" w:hAnsi="Arial" w:cs="Arial"/>
          <w:sz w:val="24"/>
          <w:szCs w:val="24"/>
        </w:rPr>
        <w:t>be given the opportunity to advance reasons why they should not pay the costs of the application</w:t>
      </w:r>
      <w:r w:rsidR="003318AB">
        <w:rPr>
          <w:rFonts w:ascii="Arial" w:hAnsi="Arial" w:cs="Arial"/>
          <w:sz w:val="24"/>
          <w:szCs w:val="24"/>
        </w:rPr>
        <w:t>.</w:t>
      </w:r>
      <w:r w:rsidR="008D0949">
        <w:rPr>
          <w:rFonts w:ascii="Arial" w:hAnsi="Arial" w:cs="Arial"/>
          <w:sz w:val="24"/>
          <w:szCs w:val="24"/>
        </w:rPr>
        <w:t xml:space="preserve"> </w:t>
      </w:r>
      <w:r w:rsidR="003318AB">
        <w:rPr>
          <w:rFonts w:ascii="Arial" w:hAnsi="Arial" w:cs="Arial"/>
          <w:sz w:val="24"/>
          <w:szCs w:val="24"/>
        </w:rPr>
        <w:t xml:space="preserve">The </w:t>
      </w:r>
      <w:r w:rsidR="008D0949">
        <w:rPr>
          <w:rFonts w:ascii="Arial" w:hAnsi="Arial" w:cs="Arial"/>
          <w:sz w:val="24"/>
          <w:szCs w:val="24"/>
        </w:rPr>
        <w:t>question of costs</w:t>
      </w:r>
      <w:r w:rsidR="003318AB">
        <w:rPr>
          <w:rFonts w:ascii="Arial" w:hAnsi="Arial" w:cs="Arial"/>
          <w:sz w:val="24"/>
          <w:szCs w:val="24"/>
        </w:rPr>
        <w:t>, therefore,</w:t>
      </w:r>
      <w:r w:rsidR="00CE44E1">
        <w:rPr>
          <w:rFonts w:ascii="Arial" w:hAnsi="Arial" w:cs="Arial"/>
          <w:sz w:val="24"/>
          <w:szCs w:val="24"/>
        </w:rPr>
        <w:t xml:space="preserve"> must stand over</w:t>
      </w:r>
      <w:r w:rsidR="008D0949">
        <w:rPr>
          <w:rFonts w:ascii="Arial" w:hAnsi="Arial" w:cs="Arial"/>
          <w:sz w:val="24"/>
          <w:szCs w:val="24"/>
        </w:rPr>
        <w:t xml:space="preserve"> for argument</w:t>
      </w:r>
      <w:r w:rsidR="003318AB">
        <w:rPr>
          <w:rFonts w:ascii="Arial" w:hAnsi="Arial" w:cs="Arial"/>
          <w:sz w:val="24"/>
          <w:szCs w:val="24"/>
        </w:rPr>
        <w:t>.</w:t>
      </w:r>
      <w:r w:rsidR="008D0949">
        <w:rPr>
          <w:rFonts w:ascii="Arial" w:hAnsi="Arial" w:cs="Arial"/>
          <w:sz w:val="24"/>
          <w:szCs w:val="24"/>
        </w:rPr>
        <w:t xml:space="preserve"> </w:t>
      </w:r>
    </w:p>
    <w:p w:rsidR="003318AB" w:rsidRPr="003318AB" w:rsidRDefault="003318AB" w:rsidP="00953E6B">
      <w:pPr>
        <w:spacing w:line="480" w:lineRule="auto"/>
        <w:ind w:firstLine="720"/>
        <w:jc w:val="both"/>
        <w:rPr>
          <w:rFonts w:ascii="Arial" w:hAnsi="Arial" w:cs="Arial"/>
          <w:b/>
          <w:sz w:val="24"/>
          <w:szCs w:val="24"/>
        </w:rPr>
      </w:pPr>
      <w:r w:rsidRPr="003318AB">
        <w:rPr>
          <w:rFonts w:ascii="Arial" w:hAnsi="Arial" w:cs="Arial"/>
          <w:b/>
          <w:sz w:val="24"/>
          <w:szCs w:val="24"/>
        </w:rPr>
        <w:t>ORDER.</w:t>
      </w:r>
    </w:p>
    <w:p w:rsidR="003318AB" w:rsidRDefault="00795F16" w:rsidP="00953E6B">
      <w:pPr>
        <w:spacing w:line="480" w:lineRule="auto"/>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FB1C60">
        <w:rPr>
          <w:rFonts w:ascii="Arial" w:hAnsi="Arial" w:cs="Arial"/>
          <w:sz w:val="24"/>
          <w:szCs w:val="24"/>
        </w:rPr>
        <w:t xml:space="preserve"> </w:t>
      </w:r>
      <w:r w:rsidR="003318AB">
        <w:rPr>
          <w:rFonts w:ascii="Arial" w:hAnsi="Arial" w:cs="Arial"/>
          <w:sz w:val="24"/>
          <w:szCs w:val="24"/>
        </w:rPr>
        <w:t>The application is dismissed.</w:t>
      </w:r>
    </w:p>
    <w:p w:rsidR="003318AB" w:rsidRDefault="00FB1C60" w:rsidP="00631391">
      <w:pPr>
        <w:spacing w:line="480" w:lineRule="auto"/>
        <w:ind w:left="1418" w:hanging="709"/>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sidR="003318AB">
        <w:rPr>
          <w:rFonts w:ascii="Arial" w:hAnsi="Arial" w:cs="Arial"/>
          <w:sz w:val="24"/>
          <w:szCs w:val="24"/>
        </w:rPr>
        <w:t xml:space="preserve">The question of costs is postponed to 10 June 2022 at 9h00 when CJ </w:t>
      </w:r>
      <w:r w:rsidR="00631391">
        <w:rPr>
          <w:rFonts w:ascii="Arial" w:hAnsi="Arial" w:cs="Arial"/>
          <w:sz w:val="24"/>
          <w:szCs w:val="24"/>
        </w:rPr>
        <w:t>Langenhoven</w:t>
      </w:r>
      <w:r>
        <w:rPr>
          <w:rFonts w:ascii="Arial" w:hAnsi="Arial" w:cs="Arial"/>
          <w:sz w:val="24"/>
          <w:szCs w:val="24"/>
        </w:rPr>
        <w:t xml:space="preserve"> </w:t>
      </w:r>
    </w:p>
    <w:p w:rsidR="003318AB" w:rsidRDefault="00FB1C60" w:rsidP="002F7821">
      <w:pPr>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631391">
        <w:rPr>
          <w:rFonts w:ascii="Arial" w:hAnsi="Arial" w:cs="Arial"/>
          <w:sz w:val="24"/>
          <w:szCs w:val="24"/>
        </w:rPr>
        <w:t xml:space="preserve">            </w:t>
      </w:r>
      <w:r w:rsidR="003318AB">
        <w:rPr>
          <w:rFonts w:ascii="Arial" w:hAnsi="Arial" w:cs="Arial"/>
          <w:sz w:val="24"/>
          <w:szCs w:val="24"/>
        </w:rPr>
        <w:t>S Matlala; and</w:t>
      </w:r>
    </w:p>
    <w:p w:rsidR="003318AB" w:rsidRDefault="00FB1C60" w:rsidP="00631391">
      <w:pPr>
        <w:spacing w:line="480" w:lineRule="auto"/>
        <w:ind w:left="1418"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3318AB">
        <w:rPr>
          <w:rFonts w:ascii="Arial" w:hAnsi="Arial" w:cs="Arial"/>
          <w:sz w:val="24"/>
          <w:szCs w:val="24"/>
        </w:rPr>
        <w:t xml:space="preserve">Mrs Rinderknecht must advance reasons </w:t>
      </w:r>
      <w:r w:rsidR="00631391">
        <w:rPr>
          <w:rFonts w:ascii="Arial" w:hAnsi="Arial" w:cs="Arial"/>
          <w:sz w:val="24"/>
          <w:szCs w:val="24"/>
        </w:rPr>
        <w:t>by means of affidavits why they</w:t>
      </w:r>
      <w:r>
        <w:rPr>
          <w:rFonts w:ascii="Arial" w:hAnsi="Arial" w:cs="Arial"/>
          <w:sz w:val="24"/>
          <w:szCs w:val="24"/>
        </w:rPr>
        <w:t xml:space="preserve"> </w:t>
      </w:r>
      <w:r w:rsidR="003318AB">
        <w:rPr>
          <w:rFonts w:ascii="Arial" w:hAnsi="Arial" w:cs="Arial"/>
          <w:sz w:val="24"/>
          <w:szCs w:val="24"/>
        </w:rPr>
        <w:t>should not be ordered to pay the costs of the application on the scale as between attorney and client</w:t>
      </w:r>
      <w:r w:rsidR="00631391">
        <w:rPr>
          <w:rFonts w:ascii="Arial" w:hAnsi="Arial" w:cs="Arial"/>
          <w:sz w:val="24"/>
          <w:szCs w:val="24"/>
        </w:rPr>
        <w:t>,</w:t>
      </w:r>
      <w:r w:rsidR="003318AB">
        <w:rPr>
          <w:rFonts w:ascii="Arial" w:hAnsi="Arial" w:cs="Arial"/>
          <w:sz w:val="24"/>
          <w:szCs w:val="24"/>
        </w:rPr>
        <w:t xml:space="preserve"> inclusive of the costs consequent upon the employment of two counsel. </w:t>
      </w:r>
    </w:p>
    <w:p w:rsidR="008D4086" w:rsidRPr="002F7821" w:rsidRDefault="008D4086" w:rsidP="002F7821">
      <w:pPr>
        <w:spacing w:line="480" w:lineRule="auto"/>
        <w:jc w:val="both"/>
        <w:rPr>
          <w:rFonts w:ascii="Arial" w:hAnsi="Arial" w:cs="Arial"/>
          <w:sz w:val="24"/>
          <w:szCs w:val="24"/>
        </w:rPr>
      </w:pPr>
    </w:p>
    <w:p w:rsidR="006A7680" w:rsidRPr="006A7680" w:rsidRDefault="006A7680" w:rsidP="006A7680">
      <w:pPr>
        <w:spacing w:line="480" w:lineRule="auto"/>
        <w:jc w:val="both"/>
        <w:rPr>
          <w:rFonts w:ascii="Arial" w:hAnsi="Arial" w:cs="Arial"/>
          <w:sz w:val="24"/>
          <w:szCs w:val="24"/>
        </w:rPr>
      </w:pPr>
    </w:p>
    <w:p w:rsidR="007C7A16" w:rsidRPr="00C95712" w:rsidRDefault="007C7A16" w:rsidP="00860276">
      <w:pPr>
        <w:spacing w:line="480" w:lineRule="auto"/>
        <w:jc w:val="both"/>
        <w:rPr>
          <w:rFonts w:ascii="Arial" w:hAnsi="Arial" w:cs="Arial"/>
          <w:sz w:val="24"/>
          <w:szCs w:val="24"/>
        </w:rPr>
      </w:pPr>
    </w:p>
    <w:p w:rsidR="00302517" w:rsidRDefault="00302517" w:rsidP="00860276">
      <w:pPr>
        <w:spacing w:line="480" w:lineRule="auto"/>
        <w:jc w:val="both"/>
        <w:rPr>
          <w:rFonts w:ascii="Arial" w:hAnsi="Arial" w:cs="Arial"/>
          <w:sz w:val="24"/>
          <w:szCs w:val="24"/>
        </w:rPr>
      </w:pPr>
    </w:p>
    <w:p w:rsidR="004913CC" w:rsidRDefault="004913CC" w:rsidP="0075709A">
      <w:pPr>
        <w:spacing w:line="480" w:lineRule="auto"/>
        <w:jc w:val="both"/>
        <w:rPr>
          <w:rFonts w:ascii="Arial" w:hAnsi="Arial" w:cs="Arial"/>
          <w:sz w:val="24"/>
          <w:szCs w:val="24"/>
        </w:rPr>
      </w:pPr>
    </w:p>
    <w:p w:rsidR="00C058D8" w:rsidRDefault="00C058D8" w:rsidP="0075709A">
      <w:pPr>
        <w:spacing w:line="480" w:lineRule="auto"/>
        <w:jc w:val="both"/>
        <w:rPr>
          <w:rFonts w:ascii="Arial" w:hAnsi="Arial" w:cs="Arial"/>
          <w:sz w:val="24"/>
          <w:szCs w:val="24"/>
        </w:rPr>
      </w:pPr>
    </w:p>
    <w:p w:rsidR="00C058D8" w:rsidRDefault="00C058D8" w:rsidP="0075709A">
      <w:pPr>
        <w:spacing w:line="480" w:lineRule="auto"/>
        <w:jc w:val="both"/>
        <w:rPr>
          <w:rFonts w:ascii="Arial" w:hAnsi="Arial" w:cs="Arial"/>
          <w:sz w:val="24"/>
          <w:szCs w:val="24"/>
        </w:rPr>
      </w:pPr>
    </w:p>
    <w:p w:rsidR="00C058D8" w:rsidRPr="00C058D8" w:rsidRDefault="00C058D8" w:rsidP="0075709A">
      <w:pPr>
        <w:spacing w:line="48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058D8">
        <w:rPr>
          <w:rFonts w:ascii="Arial" w:hAnsi="Arial" w:cs="Arial"/>
          <w:b/>
          <w:sz w:val="24"/>
          <w:szCs w:val="24"/>
        </w:rPr>
        <w:t>_____________________</w:t>
      </w:r>
    </w:p>
    <w:p w:rsidR="00C058D8" w:rsidRPr="00C058D8" w:rsidRDefault="00C058D8" w:rsidP="0075709A">
      <w:pPr>
        <w:spacing w:line="480" w:lineRule="auto"/>
        <w:jc w:val="both"/>
        <w:rPr>
          <w:rFonts w:ascii="Arial" w:hAnsi="Arial" w:cs="Arial"/>
          <w:b/>
          <w:sz w:val="24"/>
          <w:szCs w:val="24"/>
        </w:rPr>
      </w:pPr>
      <w:r w:rsidRPr="00C058D8">
        <w:rPr>
          <w:rFonts w:ascii="Arial" w:hAnsi="Arial" w:cs="Arial"/>
          <w:b/>
          <w:sz w:val="24"/>
          <w:szCs w:val="24"/>
        </w:rPr>
        <w:tab/>
      </w:r>
      <w:r w:rsidRPr="00C058D8">
        <w:rPr>
          <w:rFonts w:ascii="Arial" w:hAnsi="Arial" w:cs="Arial"/>
          <w:b/>
          <w:sz w:val="24"/>
          <w:szCs w:val="24"/>
        </w:rPr>
        <w:tab/>
      </w:r>
      <w:r w:rsidRPr="00C058D8">
        <w:rPr>
          <w:rFonts w:ascii="Arial" w:hAnsi="Arial" w:cs="Arial"/>
          <w:b/>
          <w:sz w:val="24"/>
          <w:szCs w:val="24"/>
        </w:rPr>
        <w:tab/>
      </w:r>
      <w:r w:rsidRPr="00C058D8">
        <w:rPr>
          <w:rFonts w:ascii="Arial" w:hAnsi="Arial" w:cs="Arial"/>
          <w:b/>
          <w:sz w:val="24"/>
          <w:szCs w:val="24"/>
        </w:rPr>
        <w:tab/>
      </w:r>
      <w:r w:rsidRPr="00C058D8">
        <w:rPr>
          <w:rFonts w:ascii="Arial" w:hAnsi="Arial" w:cs="Arial"/>
          <w:b/>
          <w:sz w:val="24"/>
          <w:szCs w:val="24"/>
        </w:rPr>
        <w:tab/>
      </w:r>
      <w:r w:rsidRPr="00C058D8">
        <w:rPr>
          <w:rFonts w:ascii="Arial" w:hAnsi="Arial" w:cs="Arial"/>
          <w:b/>
          <w:sz w:val="24"/>
          <w:szCs w:val="24"/>
        </w:rPr>
        <w:tab/>
      </w:r>
      <w:r w:rsidRPr="00C058D8">
        <w:rPr>
          <w:rFonts w:ascii="Arial" w:hAnsi="Arial" w:cs="Arial"/>
          <w:b/>
          <w:sz w:val="24"/>
          <w:szCs w:val="24"/>
        </w:rPr>
        <w:tab/>
      </w:r>
      <w:r w:rsidRPr="00C058D8">
        <w:rPr>
          <w:rFonts w:ascii="Arial" w:hAnsi="Arial" w:cs="Arial"/>
          <w:b/>
          <w:sz w:val="24"/>
          <w:szCs w:val="24"/>
        </w:rPr>
        <w:tab/>
        <w:t>GC MULLER</w:t>
      </w:r>
    </w:p>
    <w:p w:rsidR="00C058D8" w:rsidRPr="00C058D8" w:rsidRDefault="00C058D8" w:rsidP="00C058D8">
      <w:pPr>
        <w:spacing w:line="480" w:lineRule="auto"/>
        <w:ind w:left="4320"/>
        <w:jc w:val="both"/>
        <w:rPr>
          <w:rFonts w:ascii="Arial" w:hAnsi="Arial" w:cs="Arial"/>
          <w:b/>
          <w:sz w:val="24"/>
          <w:szCs w:val="24"/>
        </w:rPr>
      </w:pPr>
      <w:r w:rsidRPr="00C058D8">
        <w:rPr>
          <w:rFonts w:ascii="Arial" w:hAnsi="Arial" w:cs="Arial"/>
          <w:b/>
          <w:sz w:val="24"/>
          <w:szCs w:val="24"/>
        </w:rPr>
        <w:t>JUDGE OF THE HIGH COURT LIMPOPO DIVISION: POLOKWANE</w:t>
      </w:r>
    </w:p>
    <w:p w:rsidR="0075709A" w:rsidRPr="0075709A" w:rsidRDefault="00867B6C" w:rsidP="0075709A">
      <w:pPr>
        <w:spacing w:line="480" w:lineRule="auto"/>
        <w:jc w:val="both"/>
        <w:rPr>
          <w:rFonts w:ascii="Arial" w:hAnsi="Arial" w:cs="Arial"/>
          <w:sz w:val="24"/>
          <w:szCs w:val="24"/>
        </w:rPr>
      </w:pPr>
      <w:r>
        <w:rPr>
          <w:rFonts w:ascii="Arial" w:hAnsi="Arial" w:cs="Arial"/>
          <w:sz w:val="24"/>
          <w:szCs w:val="24"/>
        </w:rPr>
        <w:t xml:space="preserve"> </w:t>
      </w:r>
    </w:p>
    <w:p w:rsidR="00B05966" w:rsidRPr="000F508F" w:rsidRDefault="00B05966" w:rsidP="00EC15D1">
      <w:pPr>
        <w:spacing w:line="480" w:lineRule="auto"/>
        <w:jc w:val="both"/>
        <w:rPr>
          <w:rFonts w:ascii="Arial" w:hAnsi="Arial" w:cs="Arial"/>
          <w:sz w:val="24"/>
          <w:szCs w:val="24"/>
        </w:rPr>
      </w:pPr>
    </w:p>
    <w:p w:rsidR="00CB1F6E" w:rsidRDefault="00CB1F6E" w:rsidP="00EC15D1">
      <w:pPr>
        <w:spacing w:line="480" w:lineRule="auto"/>
        <w:jc w:val="both"/>
        <w:rPr>
          <w:rFonts w:ascii="Arial" w:hAnsi="Arial" w:cs="Arial"/>
          <w:sz w:val="24"/>
          <w:szCs w:val="24"/>
        </w:rPr>
      </w:pPr>
    </w:p>
    <w:p w:rsidR="00CB1F6E" w:rsidRDefault="00CB1F6E" w:rsidP="00EC15D1">
      <w:pPr>
        <w:spacing w:line="480" w:lineRule="auto"/>
        <w:jc w:val="both"/>
        <w:rPr>
          <w:rFonts w:ascii="Arial" w:hAnsi="Arial" w:cs="Arial"/>
          <w:sz w:val="24"/>
          <w:szCs w:val="24"/>
        </w:rPr>
      </w:pPr>
    </w:p>
    <w:p w:rsidR="00CB1F6E" w:rsidRPr="00AD77A0" w:rsidRDefault="00AD77A0" w:rsidP="00EC15D1">
      <w:pPr>
        <w:spacing w:line="480" w:lineRule="auto"/>
        <w:jc w:val="both"/>
        <w:rPr>
          <w:rFonts w:ascii="Arial" w:hAnsi="Arial" w:cs="Arial"/>
          <w:b/>
          <w:sz w:val="24"/>
          <w:szCs w:val="24"/>
          <w:u w:val="single"/>
        </w:rPr>
      </w:pPr>
      <w:r w:rsidRPr="00AD77A0">
        <w:rPr>
          <w:rFonts w:ascii="Arial" w:hAnsi="Arial" w:cs="Arial"/>
          <w:b/>
          <w:sz w:val="24"/>
          <w:szCs w:val="24"/>
          <w:u w:val="single"/>
        </w:rPr>
        <w:t>APPEARNCES</w:t>
      </w:r>
    </w:p>
    <w:p w:rsidR="00AD77A0" w:rsidRDefault="00AD77A0" w:rsidP="00EC15D1">
      <w:pPr>
        <w:spacing w:line="480" w:lineRule="auto"/>
        <w:jc w:val="both"/>
        <w:rPr>
          <w:rFonts w:ascii="Arial" w:hAnsi="Arial" w:cs="Arial"/>
          <w:sz w:val="24"/>
          <w:szCs w:val="24"/>
        </w:rPr>
      </w:pPr>
      <w:r>
        <w:rPr>
          <w:rFonts w:ascii="Arial" w:hAnsi="Arial" w:cs="Arial"/>
          <w:sz w:val="24"/>
          <w:szCs w:val="24"/>
        </w:rPr>
        <w:t>1. For the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Adv Morton</w:t>
      </w:r>
    </w:p>
    <w:p w:rsidR="00AD77A0" w:rsidRDefault="00AD77A0" w:rsidP="00EC15D1">
      <w:pPr>
        <w:spacing w:line="480" w:lineRule="auto"/>
        <w:jc w:val="both"/>
        <w:rPr>
          <w:rFonts w:ascii="Arial" w:hAnsi="Arial" w:cs="Arial"/>
          <w:sz w:val="24"/>
          <w:szCs w:val="24"/>
        </w:rPr>
      </w:pPr>
      <w:r>
        <w:rPr>
          <w:rFonts w:ascii="Arial" w:hAnsi="Arial" w:cs="Arial"/>
          <w:sz w:val="24"/>
          <w:szCs w:val="24"/>
        </w:rPr>
        <w:t>2. For the first Respondent</w:t>
      </w:r>
      <w:r>
        <w:rPr>
          <w:rFonts w:ascii="Arial" w:hAnsi="Arial" w:cs="Arial"/>
          <w:sz w:val="24"/>
          <w:szCs w:val="24"/>
        </w:rPr>
        <w:tab/>
      </w:r>
      <w:r>
        <w:rPr>
          <w:rFonts w:ascii="Arial" w:hAnsi="Arial" w:cs="Arial"/>
          <w:sz w:val="24"/>
          <w:szCs w:val="24"/>
        </w:rPr>
        <w:tab/>
      </w:r>
      <w:r>
        <w:rPr>
          <w:rFonts w:ascii="Arial" w:hAnsi="Arial" w:cs="Arial"/>
          <w:sz w:val="24"/>
          <w:szCs w:val="24"/>
        </w:rPr>
        <w:tab/>
        <w:t>: Adv Mohlabi</w:t>
      </w:r>
    </w:p>
    <w:p w:rsidR="00AD77A0" w:rsidRDefault="00AD77A0" w:rsidP="00EC15D1">
      <w:pPr>
        <w:spacing w:line="480" w:lineRule="auto"/>
        <w:jc w:val="both"/>
        <w:rPr>
          <w:rFonts w:ascii="Arial" w:hAnsi="Arial" w:cs="Arial"/>
          <w:sz w:val="24"/>
          <w:szCs w:val="24"/>
        </w:rPr>
      </w:pPr>
      <w:r>
        <w:rPr>
          <w:rFonts w:ascii="Arial" w:hAnsi="Arial" w:cs="Arial"/>
          <w:sz w:val="24"/>
          <w:szCs w:val="24"/>
        </w:rPr>
        <w:t xml:space="preserve">3. For the second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no appearance</w:t>
      </w:r>
    </w:p>
    <w:p w:rsidR="00AD77A0" w:rsidRDefault="00AD77A0" w:rsidP="00EC15D1">
      <w:pPr>
        <w:spacing w:line="480" w:lineRule="auto"/>
        <w:jc w:val="both"/>
        <w:rPr>
          <w:rFonts w:ascii="Arial" w:hAnsi="Arial" w:cs="Arial"/>
          <w:sz w:val="24"/>
          <w:szCs w:val="24"/>
        </w:rPr>
      </w:pPr>
      <w:r>
        <w:rPr>
          <w:rFonts w:ascii="Arial" w:hAnsi="Arial" w:cs="Arial"/>
          <w:sz w:val="24"/>
          <w:szCs w:val="24"/>
        </w:rPr>
        <w:t xml:space="preserve">4. For the third to </w:t>
      </w:r>
      <w:r w:rsidR="0030567F">
        <w:rPr>
          <w:rFonts w:ascii="Arial" w:hAnsi="Arial" w:cs="Arial"/>
          <w:sz w:val="24"/>
          <w:szCs w:val="24"/>
        </w:rPr>
        <w:t>sixth</w:t>
      </w:r>
      <w:r>
        <w:rPr>
          <w:rFonts w:ascii="Arial" w:hAnsi="Arial" w:cs="Arial"/>
          <w:sz w:val="24"/>
          <w:szCs w:val="24"/>
        </w:rPr>
        <w:t xml:space="preserve"> Respondent</w:t>
      </w:r>
      <w:r>
        <w:rPr>
          <w:rFonts w:ascii="Arial" w:hAnsi="Arial" w:cs="Arial"/>
          <w:sz w:val="24"/>
          <w:szCs w:val="24"/>
        </w:rPr>
        <w:tab/>
        <w:t>: Adv Scheepers SC</w:t>
      </w:r>
    </w:p>
    <w:p w:rsidR="00AD77A0" w:rsidRDefault="00AD77A0" w:rsidP="00EC15D1">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Adv De Beer</w:t>
      </w:r>
    </w:p>
    <w:p w:rsidR="00AD77A0" w:rsidRDefault="00AD77A0" w:rsidP="00EC15D1">
      <w:pPr>
        <w:spacing w:line="480" w:lineRule="auto"/>
        <w:jc w:val="both"/>
        <w:rPr>
          <w:rFonts w:ascii="Arial" w:hAnsi="Arial" w:cs="Arial"/>
          <w:sz w:val="24"/>
          <w:szCs w:val="24"/>
        </w:rPr>
      </w:pPr>
      <w:r>
        <w:rPr>
          <w:rFonts w:ascii="Arial" w:hAnsi="Arial" w:cs="Arial"/>
          <w:sz w:val="24"/>
          <w:szCs w:val="24"/>
        </w:rPr>
        <w:t>5. For the seventh Respondent</w:t>
      </w:r>
      <w:r>
        <w:rPr>
          <w:rFonts w:ascii="Arial" w:hAnsi="Arial" w:cs="Arial"/>
          <w:sz w:val="24"/>
          <w:szCs w:val="24"/>
        </w:rPr>
        <w:tab/>
      </w:r>
      <w:r>
        <w:rPr>
          <w:rFonts w:ascii="Arial" w:hAnsi="Arial" w:cs="Arial"/>
          <w:sz w:val="24"/>
          <w:szCs w:val="24"/>
        </w:rPr>
        <w:tab/>
        <w:t>: Adv Pretorius</w:t>
      </w:r>
    </w:p>
    <w:p w:rsidR="00CB1F6E" w:rsidRDefault="00CB1F6E" w:rsidP="00EC15D1">
      <w:pPr>
        <w:spacing w:line="480" w:lineRule="auto"/>
        <w:jc w:val="both"/>
        <w:rPr>
          <w:rFonts w:ascii="Arial" w:hAnsi="Arial" w:cs="Arial"/>
          <w:sz w:val="24"/>
          <w:szCs w:val="24"/>
        </w:rPr>
      </w:pPr>
    </w:p>
    <w:p w:rsidR="00CB1F6E" w:rsidRDefault="00CB1F6E" w:rsidP="00EC15D1">
      <w:pPr>
        <w:spacing w:line="480" w:lineRule="auto"/>
        <w:jc w:val="both"/>
        <w:rPr>
          <w:rFonts w:ascii="Arial" w:hAnsi="Arial" w:cs="Arial"/>
          <w:sz w:val="24"/>
          <w:szCs w:val="24"/>
        </w:rPr>
      </w:pPr>
    </w:p>
    <w:p w:rsidR="00CB1F6E" w:rsidRDefault="00CB1F6E" w:rsidP="00EC15D1">
      <w:pPr>
        <w:spacing w:line="480" w:lineRule="auto"/>
        <w:jc w:val="both"/>
        <w:rPr>
          <w:rFonts w:ascii="Arial" w:hAnsi="Arial" w:cs="Arial"/>
          <w:sz w:val="24"/>
          <w:szCs w:val="24"/>
        </w:rPr>
      </w:pPr>
    </w:p>
    <w:p w:rsidR="00CB1F6E" w:rsidRDefault="00CB1F6E" w:rsidP="00EC15D1">
      <w:pPr>
        <w:spacing w:line="480" w:lineRule="auto"/>
        <w:jc w:val="both"/>
        <w:rPr>
          <w:rFonts w:ascii="Arial" w:hAnsi="Arial" w:cs="Arial"/>
          <w:sz w:val="24"/>
          <w:szCs w:val="24"/>
        </w:rPr>
      </w:pPr>
    </w:p>
    <w:p w:rsidR="00CB1F6E" w:rsidRDefault="00CB1F6E" w:rsidP="00EC15D1">
      <w:pPr>
        <w:spacing w:line="480" w:lineRule="auto"/>
        <w:jc w:val="both"/>
        <w:rPr>
          <w:rFonts w:ascii="Arial" w:hAnsi="Arial" w:cs="Arial"/>
          <w:sz w:val="24"/>
          <w:szCs w:val="24"/>
        </w:rPr>
      </w:pPr>
    </w:p>
    <w:p w:rsidR="00CB1F6E" w:rsidRDefault="00CB1F6E" w:rsidP="00EC15D1">
      <w:pPr>
        <w:spacing w:line="480" w:lineRule="auto"/>
        <w:jc w:val="both"/>
        <w:rPr>
          <w:rFonts w:ascii="Arial" w:hAnsi="Arial" w:cs="Arial"/>
          <w:sz w:val="24"/>
          <w:szCs w:val="24"/>
        </w:rPr>
      </w:pPr>
    </w:p>
    <w:p w:rsidR="00CB1F6E" w:rsidRDefault="00CB1F6E" w:rsidP="00EC15D1">
      <w:pPr>
        <w:spacing w:line="480" w:lineRule="auto"/>
        <w:jc w:val="both"/>
        <w:rPr>
          <w:rFonts w:ascii="Arial" w:hAnsi="Arial" w:cs="Arial"/>
          <w:sz w:val="24"/>
          <w:szCs w:val="24"/>
        </w:rPr>
      </w:pPr>
    </w:p>
    <w:p w:rsidR="00CB1F6E" w:rsidRDefault="00CB1F6E" w:rsidP="00EC15D1">
      <w:pPr>
        <w:spacing w:line="480" w:lineRule="auto"/>
        <w:jc w:val="both"/>
        <w:rPr>
          <w:rFonts w:ascii="Arial" w:hAnsi="Arial" w:cs="Arial"/>
          <w:sz w:val="24"/>
          <w:szCs w:val="24"/>
        </w:rPr>
      </w:pPr>
    </w:p>
    <w:p w:rsidR="00CB1F6E" w:rsidRDefault="00CB1F6E" w:rsidP="00EC15D1">
      <w:pPr>
        <w:spacing w:line="480" w:lineRule="auto"/>
        <w:jc w:val="both"/>
        <w:rPr>
          <w:rFonts w:ascii="Arial" w:hAnsi="Arial" w:cs="Arial"/>
          <w:sz w:val="24"/>
          <w:szCs w:val="24"/>
        </w:rPr>
      </w:pPr>
    </w:p>
    <w:sectPr w:rsidR="00CB1F6E" w:rsidSect="000A1B71">
      <w:headerReference w:type="default" r:id="rId10"/>
      <w:pgSz w:w="11906" w:h="16838" w:code="9"/>
      <w:pgMar w:top="851" w:right="1440"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E4" w:rsidRDefault="00A46EE4" w:rsidP="00F43271">
      <w:pPr>
        <w:spacing w:after="0" w:line="240" w:lineRule="auto"/>
      </w:pPr>
      <w:r>
        <w:separator/>
      </w:r>
    </w:p>
  </w:endnote>
  <w:endnote w:type="continuationSeparator" w:id="0">
    <w:p w:rsidR="00A46EE4" w:rsidRDefault="00A46EE4" w:rsidP="00F4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E4" w:rsidRDefault="00A46EE4" w:rsidP="00F43271">
      <w:pPr>
        <w:spacing w:after="0" w:line="240" w:lineRule="auto"/>
      </w:pPr>
      <w:r>
        <w:separator/>
      </w:r>
    </w:p>
  </w:footnote>
  <w:footnote w:type="continuationSeparator" w:id="0">
    <w:p w:rsidR="00A46EE4" w:rsidRDefault="00A46EE4" w:rsidP="00F43271">
      <w:pPr>
        <w:spacing w:after="0" w:line="240" w:lineRule="auto"/>
      </w:pPr>
      <w:r>
        <w:continuationSeparator/>
      </w:r>
    </w:p>
  </w:footnote>
  <w:footnote w:id="1">
    <w:p w:rsidR="00E86554" w:rsidRDefault="00E86554">
      <w:pPr>
        <w:pStyle w:val="FootnoteText"/>
      </w:pPr>
      <w:r>
        <w:rPr>
          <w:rStyle w:val="FootnoteReference"/>
        </w:rPr>
        <w:footnoteRef/>
      </w:r>
      <w:r>
        <w:t xml:space="preserve"> </w:t>
      </w:r>
      <w:r w:rsidRPr="00E86554">
        <w:rPr>
          <w:rFonts w:ascii="Arial" w:hAnsi="Arial" w:cs="Arial"/>
        </w:rPr>
        <w:t>Hereinafter called “the property”.</w:t>
      </w:r>
    </w:p>
  </w:footnote>
  <w:footnote w:id="2">
    <w:p w:rsidR="009B0D4F" w:rsidRDefault="009B0D4F" w:rsidP="009B0D4F">
      <w:pPr>
        <w:pStyle w:val="FootnoteText"/>
      </w:pPr>
      <w:r>
        <w:rPr>
          <w:rStyle w:val="FootnoteReference"/>
        </w:rPr>
        <w:footnoteRef/>
      </w:r>
      <w:r>
        <w:t xml:space="preserve"> </w:t>
      </w:r>
      <w:r w:rsidRPr="00F43271">
        <w:rPr>
          <w:rFonts w:ascii="Arial" w:hAnsi="Arial" w:cs="Arial"/>
        </w:rPr>
        <w:t>Hereinafter called “the Association”.</w:t>
      </w:r>
    </w:p>
  </w:footnote>
  <w:footnote w:id="3">
    <w:p w:rsidR="00C21123" w:rsidRPr="00BD47AF" w:rsidRDefault="00C21123" w:rsidP="00C21123">
      <w:pPr>
        <w:pStyle w:val="FootnoteText"/>
        <w:rPr>
          <w:lang w:val="en-GB"/>
        </w:rPr>
      </w:pPr>
      <w:r>
        <w:rPr>
          <w:rStyle w:val="FootnoteReference"/>
        </w:rPr>
        <w:footnoteRef/>
      </w:r>
      <w:r>
        <w:t xml:space="preserve"> </w:t>
      </w:r>
      <w:r w:rsidRPr="00BD47AF">
        <w:rPr>
          <w:rFonts w:ascii="Arial" w:hAnsi="Arial" w:cs="Arial"/>
          <w:lang w:val="en-GB"/>
        </w:rPr>
        <w:t>Hereinafter called “the liquidators”.</w:t>
      </w:r>
    </w:p>
  </w:footnote>
  <w:footnote w:id="4">
    <w:p w:rsidR="001F5C49" w:rsidRPr="001F5C49" w:rsidRDefault="001F5C49">
      <w:pPr>
        <w:pStyle w:val="FootnoteText"/>
        <w:rPr>
          <w:lang w:val="en-GB"/>
        </w:rPr>
      </w:pPr>
      <w:r>
        <w:rPr>
          <w:rStyle w:val="FootnoteReference"/>
        </w:rPr>
        <w:footnoteRef/>
      </w:r>
      <w:r>
        <w:t xml:space="preserve"> </w:t>
      </w:r>
      <w:r w:rsidRPr="001F5C49">
        <w:rPr>
          <w:rFonts w:ascii="Arial" w:hAnsi="Arial" w:cs="Arial"/>
          <w:lang w:val="en-GB"/>
        </w:rPr>
        <w:t>Hereinafter called “Indalo”.</w:t>
      </w:r>
    </w:p>
  </w:footnote>
  <w:footnote w:id="5">
    <w:p w:rsidR="00073F23" w:rsidRPr="00947AEF" w:rsidRDefault="00073F23">
      <w:pPr>
        <w:pStyle w:val="FootnoteText"/>
        <w:rPr>
          <w:rFonts w:ascii="Arial" w:hAnsi="Arial" w:cs="Arial"/>
          <w:lang w:val="en-GB"/>
        </w:rPr>
      </w:pPr>
      <w:r w:rsidRPr="00947AEF">
        <w:rPr>
          <w:rStyle w:val="FootnoteReference"/>
          <w:rFonts w:ascii="Arial" w:hAnsi="Arial" w:cs="Arial"/>
        </w:rPr>
        <w:footnoteRef/>
      </w:r>
      <w:r w:rsidRPr="00947AEF">
        <w:rPr>
          <w:rFonts w:ascii="Arial" w:hAnsi="Arial" w:cs="Arial"/>
        </w:rPr>
        <w:t xml:space="preserve"> </w:t>
      </w:r>
      <w:r w:rsidRPr="00947AEF">
        <w:rPr>
          <w:rFonts w:ascii="Arial" w:hAnsi="Arial" w:cs="Arial"/>
          <w:lang w:val="en-GB"/>
        </w:rPr>
        <w:t>1999 (3) SA 109 (W)</w:t>
      </w:r>
      <w:r w:rsidR="007C47EB" w:rsidRPr="00947AEF">
        <w:rPr>
          <w:rFonts w:ascii="Arial" w:hAnsi="Arial" w:cs="Arial"/>
          <w:lang w:val="en-GB"/>
        </w:rPr>
        <w:t>.</w:t>
      </w:r>
    </w:p>
  </w:footnote>
  <w:footnote w:id="6">
    <w:p w:rsidR="00880454" w:rsidRPr="00880454" w:rsidRDefault="00880454">
      <w:pPr>
        <w:pStyle w:val="FootnoteText"/>
        <w:rPr>
          <w:lang w:val="en-GB"/>
        </w:rPr>
      </w:pPr>
      <w:r>
        <w:rPr>
          <w:rStyle w:val="FootnoteReference"/>
        </w:rPr>
        <w:footnoteRef/>
      </w:r>
      <w:r>
        <w:t xml:space="preserve"> </w:t>
      </w:r>
      <w:r w:rsidRPr="00E018A8">
        <w:rPr>
          <w:rFonts w:ascii="Arial" w:hAnsi="Arial" w:cs="Arial"/>
          <w:lang w:val="en-GB"/>
        </w:rPr>
        <w:t>1922 WLD 115.</w:t>
      </w:r>
    </w:p>
  </w:footnote>
  <w:footnote w:id="7">
    <w:p w:rsidR="004F0D9E" w:rsidRPr="004F0D9E" w:rsidRDefault="004F0D9E">
      <w:pPr>
        <w:pStyle w:val="FootnoteText"/>
        <w:rPr>
          <w:lang w:val="en-GB"/>
        </w:rPr>
      </w:pPr>
      <w:r>
        <w:rPr>
          <w:rStyle w:val="FootnoteReference"/>
        </w:rPr>
        <w:footnoteRef/>
      </w:r>
      <w:r>
        <w:t xml:space="preserve"> </w:t>
      </w:r>
      <w:r>
        <w:rPr>
          <w:rFonts w:ascii="Arial" w:hAnsi="Arial" w:cs="Arial"/>
          <w:lang w:val="en-GB"/>
        </w:rPr>
        <w:t xml:space="preserve">1895 SC 12 225; Also </w:t>
      </w:r>
      <w:r w:rsidRPr="005435DE">
        <w:rPr>
          <w:rFonts w:ascii="Arial" w:hAnsi="Arial" w:cs="Arial"/>
          <w:i/>
          <w:lang w:val="en-GB"/>
        </w:rPr>
        <w:t xml:space="preserve">Himmelhoch v Liquidators Fresh Milk and Butter Supply Co Ltd and Others </w:t>
      </w:r>
      <w:r>
        <w:rPr>
          <w:rFonts w:ascii="Arial" w:hAnsi="Arial" w:cs="Arial"/>
          <w:lang w:val="en-GB"/>
        </w:rPr>
        <w:t xml:space="preserve">1925 TPD 958, </w:t>
      </w:r>
    </w:p>
  </w:footnote>
  <w:footnote w:id="8">
    <w:p w:rsidR="004F0D9E" w:rsidRPr="004F0D9E" w:rsidRDefault="004F0D9E">
      <w:pPr>
        <w:pStyle w:val="FootnoteText"/>
        <w:rPr>
          <w:lang w:val="en-GB"/>
        </w:rPr>
      </w:pPr>
      <w:r>
        <w:rPr>
          <w:rStyle w:val="FootnoteReference"/>
        </w:rPr>
        <w:footnoteRef/>
      </w:r>
      <w:r>
        <w:t xml:space="preserve"> </w:t>
      </w:r>
      <w:r w:rsidRPr="004F0D9E">
        <w:rPr>
          <w:rFonts w:ascii="Arial" w:hAnsi="Arial" w:cs="Arial"/>
          <w:lang w:val="en-GB"/>
        </w:rPr>
        <w:t>At 238.</w:t>
      </w:r>
    </w:p>
  </w:footnote>
  <w:footnote w:id="9">
    <w:p w:rsidR="000F508F" w:rsidRPr="000F508F" w:rsidRDefault="000F508F">
      <w:pPr>
        <w:pStyle w:val="FootnoteText"/>
        <w:rPr>
          <w:lang w:val="en-GB"/>
        </w:rPr>
      </w:pPr>
      <w:r>
        <w:rPr>
          <w:rStyle w:val="FootnoteReference"/>
        </w:rPr>
        <w:footnoteRef/>
      </w:r>
      <w:r>
        <w:t xml:space="preserve"> </w:t>
      </w:r>
      <w:r w:rsidRPr="000F508F">
        <w:rPr>
          <w:rFonts w:ascii="Arial" w:hAnsi="Arial" w:cs="Arial"/>
          <w:lang w:val="en-GB"/>
        </w:rPr>
        <w:t>1923 WLD 189.</w:t>
      </w:r>
      <w:r w:rsidR="004913CC">
        <w:rPr>
          <w:rFonts w:ascii="Arial" w:hAnsi="Arial" w:cs="Arial"/>
          <w:lang w:val="en-GB"/>
        </w:rPr>
        <w:t xml:space="preserve"> The judgment was confirmed on appeal in </w:t>
      </w:r>
      <w:r w:rsidR="004913CC" w:rsidRPr="00860276">
        <w:rPr>
          <w:rFonts w:ascii="Arial" w:hAnsi="Arial" w:cs="Arial"/>
          <w:i/>
          <w:lang w:val="en-GB"/>
        </w:rPr>
        <w:t xml:space="preserve">United Bioscope Cafes Ltd v Moseley Buildings Ltd </w:t>
      </w:r>
      <w:r w:rsidR="004913CC">
        <w:rPr>
          <w:rFonts w:ascii="Arial" w:hAnsi="Arial" w:cs="Arial"/>
          <w:lang w:val="en-GB"/>
        </w:rPr>
        <w:t>1924 AD 60.</w:t>
      </w:r>
    </w:p>
  </w:footnote>
  <w:footnote w:id="10">
    <w:p w:rsidR="00867B6C" w:rsidRPr="00867B6C" w:rsidRDefault="00867B6C">
      <w:pPr>
        <w:pStyle w:val="FootnoteText"/>
        <w:rPr>
          <w:lang w:val="en-GB"/>
        </w:rPr>
      </w:pPr>
      <w:r>
        <w:rPr>
          <w:rStyle w:val="FootnoteReference"/>
        </w:rPr>
        <w:footnoteRef/>
      </w:r>
      <w:r>
        <w:t xml:space="preserve"> </w:t>
      </w:r>
      <w:r w:rsidRPr="00867B6C">
        <w:rPr>
          <w:rFonts w:ascii="Arial" w:hAnsi="Arial" w:cs="Arial"/>
          <w:lang w:val="en-GB"/>
        </w:rPr>
        <w:t>At 199.</w:t>
      </w:r>
    </w:p>
  </w:footnote>
  <w:footnote w:id="11">
    <w:p w:rsidR="007C7A16" w:rsidRPr="00E018A8" w:rsidRDefault="007C7A16" w:rsidP="007C7A16">
      <w:pPr>
        <w:pStyle w:val="FootnoteText"/>
        <w:rPr>
          <w:lang w:val="en-GB"/>
        </w:rPr>
      </w:pPr>
      <w:r>
        <w:rPr>
          <w:rStyle w:val="FootnoteReference"/>
        </w:rPr>
        <w:footnoteRef/>
      </w:r>
      <w:r>
        <w:t xml:space="preserve"> </w:t>
      </w:r>
      <w:r w:rsidRPr="00E018A8">
        <w:rPr>
          <w:rFonts w:ascii="Arial" w:hAnsi="Arial" w:cs="Arial"/>
        </w:rPr>
        <w:t>1965 (1) SA 600 (A).</w:t>
      </w:r>
    </w:p>
  </w:footnote>
  <w:footnote w:id="12">
    <w:p w:rsidR="005D06A4" w:rsidRPr="005D06A4" w:rsidRDefault="005D06A4">
      <w:pPr>
        <w:pStyle w:val="FootnoteText"/>
        <w:rPr>
          <w:lang w:val="en-GB"/>
        </w:rPr>
      </w:pPr>
      <w:r>
        <w:rPr>
          <w:rStyle w:val="FootnoteReference"/>
        </w:rPr>
        <w:footnoteRef/>
      </w:r>
      <w:r>
        <w:t xml:space="preserve"> </w:t>
      </w:r>
      <w:r w:rsidRPr="005D06A4">
        <w:rPr>
          <w:rFonts w:ascii="Arial" w:hAnsi="Arial" w:cs="Arial"/>
          <w:lang w:val="en-GB"/>
        </w:rPr>
        <w:t>612B-C.</w:t>
      </w:r>
    </w:p>
  </w:footnote>
  <w:footnote w:id="13">
    <w:p w:rsidR="005D06A4" w:rsidRPr="005D06A4" w:rsidRDefault="005D06A4">
      <w:pPr>
        <w:pStyle w:val="FootnoteText"/>
        <w:rPr>
          <w:rFonts w:ascii="Arial" w:hAnsi="Arial" w:cs="Arial"/>
          <w:lang w:val="en-GB"/>
        </w:rPr>
      </w:pPr>
      <w:r>
        <w:rPr>
          <w:rStyle w:val="FootnoteReference"/>
        </w:rPr>
        <w:footnoteRef/>
      </w:r>
      <w:r>
        <w:t xml:space="preserve"> </w:t>
      </w:r>
      <w:r w:rsidRPr="005D06A4">
        <w:rPr>
          <w:rFonts w:ascii="Arial" w:hAnsi="Arial" w:cs="Arial"/>
        </w:rPr>
        <w:t xml:space="preserve">Magid PAM </w:t>
      </w:r>
      <w:r w:rsidRPr="005D06A4">
        <w:rPr>
          <w:rFonts w:ascii="Arial" w:hAnsi="Arial" w:cs="Arial"/>
          <w:i/>
        </w:rPr>
        <w:t>et al</w:t>
      </w:r>
      <w:r w:rsidRPr="005D06A4">
        <w:rPr>
          <w:rFonts w:ascii="Arial" w:hAnsi="Arial" w:cs="Arial"/>
        </w:rPr>
        <w:t xml:space="preserve"> Ed</w:t>
      </w:r>
      <w:r>
        <w:rPr>
          <w:rFonts w:ascii="Arial" w:hAnsi="Arial" w:cs="Arial"/>
        </w:rPr>
        <w:t>.</w:t>
      </w:r>
    </w:p>
  </w:footnote>
  <w:footnote w:id="14">
    <w:p w:rsidR="005D06A4" w:rsidRPr="005D06A4" w:rsidRDefault="005D06A4">
      <w:pPr>
        <w:pStyle w:val="FootnoteText"/>
        <w:rPr>
          <w:lang w:val="en-GB"/>
        </w:rPr>
      </w:pPr>
      <w:r>
        <w:rPr>
          <w:rStyle w:val="FootnoteReference"/>
        </w:rPr>
        <w:footnoteRef/>
      </w:r>
      <w:r>
        <w:t xml:space="preserve"> </w:t>
      </w:r>
      <w:r w:rsidRPr="00631391">
        <w:rPr>
          <w:rFonts w:ascii="Arial" w:hAnsi="Arial" w:cs="Arial"/>
          <w:lang w:val="en-GB"/>
        </w:rPr>
        <w:t>P10-3.</w:t>
      </w:r>
    </w:p>
  </w:footnote>
  <w:footnote w:id="15">
    <w:p w:rsidR="002713C5" w:rsidRPr="004913CC" w:rsidRDefault="002713C5" w:rsidP="002713C5">
      <w:pPr>
        <w:pStyle w:val="FootnoteText"/>
        <w:rPr>
          <w:lang w:val="en-GB"/>
        </w:rPr>
      </w:pPr>
      <w:r>
        <w:rPr>
          <w:rStyle w:val="FootnoteReference"/>
        </w:rPr>
        <w:footnoteRef/>
      </w:r>
      <w:r>
        <w:t xml:space="preserve"> </w:t>
      </w:r>
      <w:r w:rsidRPr="004A32EC">
        <w:rPr>
          <w:rFonts w:ascii="Arial" w:hAnsi="Arial" w:cs="Arial"/>
          <w:lang w:val="en-GB"/>
        </w:rPr>
        <w:t>1962 (4) SA 97 (T)</w:t>
      </w:r>
      <w:r>
        <w:rPr>
          <w:rFonts w:ascii="Arial" w:hAnsi="Arial" w:cs="Arial"/>
          <w:lang w:val="en-GB"/>
        </w:rPr>
        <w:t xml:space="preserve"> 102D</w:t>
      </w:r>
      <w:r w:rsidRPr="004A32EC">
        <w:rPr>
          <w:rFonts w:ascii="Arial" w:hAnsi="Arial" w:cs="Arial"/>
          <w:lang w:val="en-GB"/>
        </w:rPr>
        <w:t>.</w:t>
      </w:r>
    </w:p>
  </w:footnote>
  <w:footnote w:id="16">
    <w:p w:rsidR="002713C5" w:rsidRPr="009A61EB" w:rsidRDefault="002713C5" w:rsidP="002713C5">
      <w:pPr>
        <w:pStyle w:val="FootnoteText"/>
        <w:rPr>
          <w:lang w:val="en-GB"/>
        </w:rPr>
      </w:pPr>
      <w:r>
        <w:rPr>
          <w:rStyle w:val="FootnoteReference"/>
        </w:rPr>
        <w:footnoteRef/>
      </w:r>
      <w:r>
        <w:t xml:space="preserve"> </w:t>
      </w:r>
      <w:r w:rsidRPr="009A61EB">
        <w:rPr>
          <w:rFonts w:ascii="Arial" w:hAnsi="Arial" w:cs="Arial"/>
          <w:i/>
          <w:lang w:val="en-GB"/>
        </w:rPr>
        <w:t>Oertel and Others NNO v Director of Local Government and Others</w:t>
      </w:r>
      <w:r w:rsidRPr="009A61EB">
        <w:rPr>
          <w:rFonts w:ascii="Arial" w:hAnsi="Arial" w:cs="Arial"/>
          <w:lang w:val="en-GB"/>
        </w:rPr>
        <w:t xml:space="preserve"> 1981 (4) SA 491 (T)</w:t>
      </w:r>
      <w:r>
        <w:rPr>
          <w:rFonts w:ascii="Arial" w:hAnsi="Arial" w:cs="Arial"/>
          <w:lang w:val="en-GB"/>
        </w:rPr>
        <w:t>.</w:t>
      </w:r>
      <w:r w:rsidRPr="009A61EB">
        <w:rPr>
          <w:rFonts w:ascii="Arial" w:hAnsi="Arial" w:cs="Arial"/>
          <w:lang w:val="en-GB"/>
        </w:rPr>
        <w:t xml:space="preserve"> 508H.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148600"/>
      <w:docPartObj>
        <w:docPartGallery w:val="Page Numbers (Top of Page)"/>
        <w:docPartUnique/>
      </w:docPartObj>
    </w:sdtPr>
    <w:sdtEndPr>
      <w:rPr>
        <w:noProof/>
      </w:rPr>
    </w:sdtEndPr>
    <w:sdtContent>
      <w:p w:rsidR="00CB1F6E" w:rsidRDefault="00CB1F6E">
        <w:pPr>
          <w:pStyle w:val="Header"/>
          <w:jc w:val="center"/>
        </w:pPr>
        <w:r>
          <w:fldChar w:fldCharType="begin"/>
        </w:r>
        <w:r>
          <w:instrText xml:space="preserve"> PAGE   \* MERGEFORMAT </w:instrText>
        </w:r>
        <w:r>
          <w:fldChar w:fldCharType="separate"/>
        </w:r>
        <w:r w:rsidR="00A46EE4">
          <w:rPr>
            <w:noProof/>
          </w:rPr>
          <w:t>1</w:t>
        </w:r>
        <w:r>
          <w:rPr>
            <w:noProof/>
          </w:rPr>
          <w:fldChar w:fldCharType="end"/>
        </w:r>
      </w:p>
    </w:sdtContent>
  </w:sdt>
  <w:p w:rsidR="00CB1F6E" w:rsidRDefault="00CB1F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FC5"/>
    <w:multiLevelType w:val="hybridMultilevel"/>
    <w:tmpl w:val="77FA1452"/>
    <w:lvl w:ilvl="0" w:tplc="5CE65C3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81"/>
  <w:drawingGridVerticalSpacing w:val="18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D0"/>
    <w:rsid w:val="00025984"/>
    <w:rsid w:val="00073F23"/>
    <w:rsid w:val="000A1B71"/>
    <w:rsid w:val="000F508F"/>
    <w:rsid w:val="00131259"/>
    <w:rsid w:val="001855B2"/>
    <w:rsid w:val="001D2A44"/>
    <w:rsid w:val="001F5C49"/>
    <w:rsid w:val="00232916"/>
    <w:rsid w:val="002540B9"/>
    <w:rsid w:val="002713C5"/>
    <w:rsid w:val="002B7139"/>
    <w:rsid w:val="002C1F26"/>
    <w:rsid w:val="002F7821"/>
    <w:rsid w:val="00302517"/>
    <w:rsid w:val="0030567F"/>
    <w:rsid w:val="00313331"/>
    <w:rsid w:val="003318AB"/>
    <w:rsid w:val="00363877"/>
    <w:rsid w:val="00373172"/>
    <w:rsid w:val="003F692B"/>
    <w:rsid w:val="00451808"/>
    <w:rsid w:val="004913CC"/>
    <w:rsid w:val="004A32EC"/>
    <w:rsid w:val="004E5DDA"/>
    <w:rsid w:val="004F0D9E"/>
    <w:rsid w:val="00503FAF"/>
    <w:rsid w:val="005058D0"/>
    <w:rsid w:val="005435DE"/>
    <w:rsid w:val="00555171"/>
    <w:rsid w:val="00591BFF"/>
    <w:rsid w:val="005B41AC"/>
    <w:rsid w:val="005D06A4"/>
    <w:rsid w:val="005E3CFA"/>
    <w:rsid w:val="00611F19"/>
    <w:rsid w:val="00624708"/>
    <w:rsid w:val="00631391"/>
    <w:rsid w:val="00681CDC"/>
    <w:rsid w:val="006A7680"/>
    <w:rsid w:val="00722F37"/>
    <w:rsid w:val="00753198"/>
    <w:rsid w:val="0075709A"/>
    <w:rsid w:val="00765887"/>
    <w:rsid w:val="00777F5F"/>
    <w:rsid w:val="00794FFD"/>
    <w:rsid w:val="00795F16"/>
    <w:rsid w:val="00796837"/>
    <w:rsid w:val="007A0F98"/>
    <w:rsid w:val="007C47EB"/>
    <w:rsid w:val="007C7A16"/>
    <w:rsid w:val="007E4C7D"/>
    <w:rsid w:val="007F44D2"/>
    <w:rsid w:val="00860276"/>
    <w:rsid w:val="0086126A"/>
    <w:rsid w:val="00867B6C"/>
    <w:rsid w:val="00880454"/>
    <w:rsid w:val="008A5FC7"/>
    <w:rsid w:val="008D0949"/>
    <w:rsid w:val="008D4086"/>
    <w:rsid w:val="008F6D63"/>
    <w:rsid w:val="00937A82"/>
    <w:rsid w:val="009463E1"/>
    <w:rsid w:val="00947AEF"/>
    <w:rsid w:val="00953E6B"/>
    <w:rsid w:val="009731AC"/>
    <w:rsid w:val="009940E2"/>
    <w:rsid w:val="009A61EB"/>
    <w:rsid w:val="009B0D4F"/>
    <w:rsid w:val="009C15EE"/>
    <w:rsid w:val="009D0AA1"/>
    <w:rsid w:val="00A46EE4"/>
    <w:rsid w:val="00A47D47"/>
    <w:rsid w:val="00AD77A0"/>
    <w:rsid w:val="00B05966"/>
    <w:rsid w:val="00B248DF"/>
    <w:rsid w:val="00BD47AF"/>
    <w:rsid w:val="00C058D8"/>
    <w:rsid w:val="00C21123"/>
    <w:rsid w:val="00C30B33"/>
    <w:rsid w:val="00C77D76"/>
    <w:rsid w:val="00C95712"/>
    <w:rsid w:val="00CB1F6E"/>
    <w:rsid w:val="00CC014C"/>
    <w:rsid w:val="00CE44E1"/>
    <w:rsid w:val="00D644D0"/>
    <w:rsid w:val="00D65793"/>
    <w:rsid w:val="00D70FEA"/>
    <w:rsid w:val="00DC3F61"/>
    <w:rsid w:val="00E018A8"/>
    <w:rsid w:val="00E136EC"/>
    <w:rsid w:val="00E41EF0"/>
    <w:rsid w:val="00E86554"/>
    <w:rsid w:val="00EA56AE"/>
    <w:rsid w:val="00EB609D"/>
    <w:rsid w:val="00EC15D1"/>
    <w:rsid w:val="00EF39FE"/>
    <w:rsid w:val="00F24B3A"/>
    <w:rsid w:val="00F43271"/>
    <w:rsid w:val="00F65787"/>
    <w:rsid w:val="00F74EBD"/>
    <w:rsid w:val="00FB1C60"/>
    <w:rsid w:val="00FE46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0E272-C53A-4764-9D3F-1B518EE8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3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271"/>
    <w:rPr>
      <w:sz w:val="20"/>
      <w:szCs w:val="20"/>
    </w:rPr>
  </w:style>
  <w:style w:type="character" w:styleId="FootnoteReference">
    <w:name w:val="footnote reference"/>
    <w:basedOn w:val="DefaultParagraphFont"/>
    <w:uiPriority w:val="99"/>
    <w:semiHidden/>
    <w:unhideWhenUsed/>
    <w:rsid w:val="00F43271"/>
    <w:rPr>
      <w:vertAlign w:val="superscript"/>
    </w:rPr>
  </w:style>
  <w:style w:type="character" w:styleId="LineNumber">
    <w:name w:val="line number"/>
    <w:basedOn w:val="DefaultParagraphFont"/>
    <w:uiPriority w:val="99"/>
    <w:semiHidden/>
    <w:unhideWhenUsed/>
    <w:rsid w:val="00C77D76"/>
  </w:style>
  <w:style w:type="paragraph" w:styleId="Header">
    <w:name w:val="header"/>
    <w:basedOn w:val="Normal"/>
    <w:link w:val="HeaderChar"/>
    <w:uiPriority w:val="99"/>
    <w:unhideWhenUsed/>
    <w:rsid w:val="00CB1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F6E"/>
  </w:style>
  <w:style w:type="paragraph" w:styleId="Footer">
    <w:name w:val="footer"/>
    <w:basedOn w:val="Normal"/>
    <w:link w:val="FooterChar"/>
    <w:uiPriority w:val="99"/>
    <w:unhideWhenUsed/>
    <w:rsid w:val="00CB1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F6E"/>
  </w:style>
  <w:style w:type="paragraph" w:styleId="BalloonText">
    <w:name w:val="Balloon Text"/>
    <w:basedOn w:val="Normal"/>
    <w:link w:val="BalloonTextChar"/>
    <w:uiPriority w:val="99"/>
    <w:semiHidden/>
    <w:unhideWhenUsed/>
    <w:rsid w:val="00AD7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19C78.FF7A9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2989-8BE3-43B9-8474-7C5CF77C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Judge-G Muller</dc:creator>
  <cp:keywords/>
  <dc:description/>
  <cp:lastModifiedBy>Kgothatso Moabelo</cp:lastModifiedBy>
  <cp:revision>2</cp:revision>
  <cp:lastPrinted>2022-05-24T06:43:00Z</cp:lastPrinted>
  <dcterms:created xsi:type="dcterms:W3CDTF">2022-05-25T12:18:00Z</dcterms:created>
  <dcterms:modified xsi:type="dcterms:W3CDTF">2022-05-25T12:18:00Z</dcterms:modified>
</cp:coreProperties>
</file>