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46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7C52ED" w:rsidRPr="00616BDE" w14:paraId="49D779D8" w14:textId="77777777" w:rsidTr="0042055E">
        <w:tc>
          <w:tcPr>
            <w:tcW w:w="4394" w:type="dxa"/>
          </w:tcPr>
          <w:p w14:paraId="096EE50D" w14:textId="77777777" w:rsidR="007C52ED" w:rsidRPr="00A13574" w:rsidRDefault="007C52ED" w:rsidP="0042055E">
            <w:pPr>
              <w:tabs>
                <w:tab w:val="right" w:pos="4144"/>
              </w:tabs>
              <w:spacing w:line="360" w:lineRule="auto"/>
              <w:contextualSpacing/>
              <w:jc w:val="both"/>
              <w:rPr>
                <w:rFonts w:ascii="Century Gothic" w:hAnsi="Century Gothic" w:cs="Calibri"/>
                <w:sz w:val="20"/>
                <w:szCs w:val="20"/>
              </w:rPr>
            </w:pPr>
            <w:bookmarkStart w:id="0" w:name="_GoBack"/>
            <w:bookmarkEnd w:id="0"/>
            <w:r w:rsidRPr="00A13574">
              <w:rPr>
                <w:rFonts w:ascii="Century Gothic" w:hAnsi="Century Gothic" w:cs="Calibri"/>
                <w:sz w:val="20"/>
                <w:szCs w:val="20"/>
              </w:rPr>
              <w:t xml:space="preserve">Reportable:  </w:t>
            </w:r>
            <w:r w:rsidRPr="00A13574">
              <w:rPr>
                <w:rFonts w:ascii="Century Gothic" w:hAnsi="Century Gothic" w:cs="Calibri"/>
                <w:sz w:val="20"/>
                <w:szCs w:val="20"/>
              </w:rPr>
              <w:tab/>
              <w:t xml:space="preserve">                              YES / </w:t>
            </w:r>
            <w:r w:rsidRPr="00A13574">
              <w:rPr>
                <w:rFonts w:ascii="Century Gothic" w:hAnsi="Century Gothic" w:cs="Calibri"/>
                <w:b/>
                <w:bCs/>
                <w:sz w:val="20"/>
                <w:szCs w:val="20"/>
              </w:rPr>
              <w:t>NO</w:t>
            </w:r>
          </w:p>
          <w:p w14:paraId="7E55DDF0" w14:textId="77777777" w:rsidR="007C52ED" w:rsidRPr="00A13574" w:rsidRDefault="007C52ED" w:rsidP="0042055E">
            <w:pPr>
              <w:tabs>
                <w:tab w:val="right" w:pos="4144"/>
              </w:tabs>
              <w:contextualSpacing/>
              <w:jc w:val="both"/>
              <w:rPr>
                <w:rFonts w:ascii="Century Gothic" w:hAnsi="Century Gothic" w:cs="Calibri"/>
                <w:sz w:val="20"/>
                <w:szCs w:val="20"/>
              </w:rPr>
            </w:pPr>
            <w:r w:rsidRPr="00A13574">
              <w:rPr>
                <w:rFonts w:ascii="Century Gothic" w:hAnsi="Century Gothic" w:cs="Calibri"/>
                <w:sz w:val="20"/>
                <w:szCs w:val="20"/>
              </w:rPr>
              <w:t xml:space="preserve">Circulate to Judges: </w:t>
            </w:r>
            <w:r w:rsidRPr="00A13574">
              <w:rPr>
                <w:rFonts w:ascii="Century Gothic" w:hAnsi="Century Gothic" w:cs="Calibri"/>
                <w:sz w:val="20"/>
                <w:szCs w:val="20"/>
              </w:rPr>
              <w:tab/>
              <w:t xml:space="preserve">                     YES / </w:t>
            </w:r>
            <w:r w:rsidRPr="00A13574">
              <w:rPr>
                <w:rFonts w:ascii="Century Gothic" w:hAnsi="Century Gothic" w:cs="Calibri"/>
                <w:b/>
                <w:bCs/>
                <w:sz w:val="20"/>
                <w:szCs w:val="20"/>
              </w:rPr>
              <w:t>NO</w:t>
            </w:r>
          </w:p>
          <w:p w14:paraId="3F30458F" w14:textId="77777777" w:rsidR="007C52ED" w:rsidRPr="00A13574" w:rsidRDefault="007C52ED" w:rsidP="0042055E">
            <w:pPr>
              <w:tabs>
                <w:tab w:val="right" w:pos="4144"/>
              </w:tabs>
              <w:contextualSpacing/>
              <w:jc w:val="both"/>
              <w:rPr>
                <w:rFonts w:ascii="Century Gothic" w:hAnsi="Century Gothic" w:cs="Calibri"/>
                <w:sz w:val="20"/>
                <w:szCs w:val="20"/>
              </w:rPr>
            </w:pPr>
            <w:r w:rsidRPr="00A13574">
              <w:rPr>
                <w:rFonts w:ascii="Century Gothic" w:hAnsi="Century Gothic" w:cs="Calibri"/>
                <w:sz w:val="20"/>
                <w:szCs w:val="20"/>
              </w:rPr>
              <w:t>Circulate to Magistrates:</w:t>
            </w:r>
            <w:r w:rsidRPr="00A13574">
              <w:rPr>
                <w:rFonts w:ascii="Century Gothic" w:hAnsi="Century Gothic" w:cs="Calibri"/>
                <w:sz w:val="20"/>
                <w:szCs w:val="20"/>
              </w:rPr>
              <w:tab/>
              <w:t xml:space="preserve">               YES </w:t>
            </w:r>
            <w:r w:rsidRPr="00A13574">
              <w:rPr>
                <w:rFonts w:ascii="Century Gothic" w:hAnsi="Century Gothic" w:cs="Calibri"/>
                <w:b/>
                <w:bCs/>
                <w:sz w:val="20"/>
                <w:szCs w:val="20"/>
              </w:rPr>
              <w:t>/ NO</w:t>
            </w:r>
          </w:p>
          <w:p w14:paraId="39E96514" w14:textId="6245B23F" w:rsidR="007C52ED" w:rsidRPr="00616BDE" w:rsidRDefault="007C52ED" w:rsidP="0042055E">
            <w:pPr>
              <w:tabs>
                <w:tab w:val="right" w:pos="4144"/>
              </w:tabs>
              <w:contextualSpacing/>
              <w:jc w:val="both"/>
              <w:rPr>
                <w:rFonts w:ascii="Calibri" w:hAnsi="Calibri" w:cs="Calibri"/>
              </w:rPr>
            </w:pPr>
            <w:r w:rsidRPr="00A13574">
              <w:rPr>
                <w:rFonts w:ascii="Century Gothic" w:hAnsi="Century Gothic" w:cs="Calibri"/>
                <w:sz w:val="20"/>
                <w:szCs w:val="20"/>
              </w:rPr>
              <w:t>Circulate to Regional Magistrates:</w:t>
            </w:r>
            <w:r w:rsidRPr="00A13574">
              <w:rPr>
                <w:rFonts w:ascii="Century Gothic" w:hAnsi="Century Gothic" w:cs="Calibri"/>
                <w:sz w:val="20"/>
                <w:szCs w:val="20"/>
              </w:rPr>
              <w:tab/>
              <w:t xml:space="preserve"> YES / </w:t>
            </w:r>
            <w:r w:rsidRPr="00A13574">
              <w:rPr>
                <w:rFonts w:ascii="Century Gothic" w:hAnsi="Century Gothic" w:cs="Calibri"/>
                <w:b/>
                <w:bCs/>
                <w:sz w:val="20"/>
                <w:szCs w:val="20"/>
              </w:rPr>
              <w:t>NO</w:t>
            </w:r>
          </w:p>
        </w:tc>
      </w:tr>
    </w:tbl>
    <w:p w14:paraId="6A6A3B8B" w14:textId="77777777" w:rsidR="007C52ED" w:rsidRDefault="007C52ED" w:rsidP="007C52ED">
      <w:pPr>
        <w:jc w:val="right"/>
      </w:pPr>
    </w:p>
    <w:p w14:paraId="087B28CE" w14:textId="77777777" w:rsidR="007C52ED" w:rsidRDefault="007C52ED" w:rsidP="007C52ED">
      <w:pPr>
        <w:jc w:val="center"/>
      </w:pPr>
      <w:r>
        <w:rPr>
          <w:rFonts w:ascii="Arial Narrow" w:hAnsi="Arial Narrow"/>
          <w:noProof/>
          <w:sz w:val="24"/>
          <w:szCs w:val="24"/>
          <w:lang w:val="en-ZA" w:eastAsia="en-ZA"/>
        </w:rPr>
        <w:drawing>
          <wp:inline distT="0" distB="0" distL="0" distR="0" wp14:anchorId="635C2B79" wp14:editId="61FC9EB1">
            <wp:extent cx="1657350" cy="1590675"/>
            <wp:effectExtent l="0" t="0" r="0" b="9525"/>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inline>
        </w:drawing>
      </w:r>
    </w:p>
    <w:p w14:paraId="77D90A20" w14:textId="77777777" w:rsidR="007C52ED" w:rsidRPr="004F1AA4" w:rsidRDefault="007C52ED" w:rsidP="007C52ED">
      <w:pPr>
        <w:jc w:val="center"/>
        <w:rPr>
          <w:rFonts w:ascii="Century Gothic" w:hAnsi="Century Gothic" w:cs="Tahoma"/>
          <w:b/>
          <w:sz w:val="24"/>
          <w:szCs w:val="24"/>
        </w:rPr>
      </w:pPr>
      <w:r w:rsidRPr="004F1AA4">
        <w:rPr>
          <w:rFonts w:ascii="Century Gothic" w:hAnsi="Century Gothic" w:cs="Tahoma"/>
          <w:b/>
          <w:sz w:val="24"/>
          <w:szCs w:val="24"/>
        </w:rPr>
        <w:t>IN THE HIGH COURT OF SOUTH AFRICA</w:t>
      </w:r>
    </w:p>
    <w:p w14:paraId="5C665CAB" w14:textId="77777777" w:rsidR="007C52ED" w:rsidRPr="004F1AA4" w:rsidRDefault="007C52ED" w:rsidP="007C52ED">
      <w:pPr>
        <w:jc w:val="center"/>
        <w:rPr>
          <w:rFonts w:ascii="Century Gothic" w:hAnsi="Century Gothic" w:cs="Tahoma"/>
          <w:b/>
          <w:sz w:val="24"/>
          <w:szCs w:val="24"/>
        </w:rPr>
      </w:pPr>
      <w:r w:rsidRPr="004F1AA4">
        <w:rPr>
          <w:rFonts w:ascii="Century Gothic" w:hAnsi="Century Gothic" w:cs="Tahoma"/>
          <w:b/>
          <w:sz w:val="24"/>
          <w:szCs w:val="24"/>
        </w:rPr>
        <w:t>NORTHERN CAPE DIVISION, KIMBERLEY</w:t>
      </w:r>
    </w:p>
    <w:p w14:paraId="5DFDED74" w14:textId="77777777" w:rsidR="007C52ED" w:rsidRPr="004F1AA4" w:rsidRDefault="007C52ED" w:rsidP="007C52ED">
      <w:pPr>
        <w:jc w:val="center"/>
        <w:rPr>
          <w:rFonts w:ascii="Century Gothic" w:hAnsi="Century Gothic" w:cs="Tahoma"/>
          <w:b/>
          <w:sz w:val="24"/>
          <w:szCs w:val="24"/>
        </w:rPr>
      </w:pPr>
    </w:p>
    <w:p w14:paraId="718B531B" w14:textId="07FCFA5B" w:rsidR="007C52ED" w:rsidRPr="004F1AA4" w:rsidRDefault="00932526" w:rsidP="007C52ED">
      <w:pPr>
        <w:jc w:val="right"/>
        <w:rPr>
          <w:rFonts w:ascii="Century Gothic" w:hAnsi="Century Gothic" w:cs="Tahoma"/>
          <w:b/>
          <w:sz w:val="24"/>
          <w:szCs w:val="24"/>
        </w:rPr>
      </w:pPr>
      <w:r>
        <w:rPr>
          <w:rFonts w:ascii="Century Gothic" w:hAnsi="Century Gothic" w:cs="Tahoma"/>
          <w:b/>
          <w:sz w:val="24"/>
          <w:szCs w:val="24"/>
        </w:rPr>
        <w:t>CASE NO: 1173</w:t>
      </w:r>
      <w:r w:rsidR="007C52ED" w:rsidRPr="004F1AA4">
        <w:rPr>
          <w:rFonts w:ascii="Century Gothic" w:hAnsi="Century Gothic" w:cs="Tahoma"/>
          <w:b/>
          <w:sz w:val="24"/>
          <w:szCs w:val="24"/>
        </w:rPr>
        <w:t>/2020</w:t>
      </w:r>
    </w:p>
    <w:p w14:paraId="09001618" w14:textId="77777777" w:rsidR="007C52ED" w:rsidRPr="004F1AA4" w:rsidRDefault="007C52ED" w:rsidP="007C52ED">
      <w:pPr>
        <w:rPr>
          <w:rFonts w:ascii="Century Gothic" w:hAnsi="Century Gothic" w:cs="Tahoma"/>
          <w:b/>
          <w:sz w:val="24"/>
          <w:szCs w:val="24"/>
        </w:rPr>
      </w:pPr>
    </w:p>
    <w:p w14:paraId="635C3DC1" w14:textId="77777777" w:rsidR="007C52ED" w:rsidRPr="004F1AA4" w:rsidRDefault="007C52ED" w:rsidP="007C52ED">
      <w:pPr>
        <w:rPr>
          <w:rFonts w:ascii="Century Gothic" w:hAnsi="Century Gothic" w:cs="Tahoma"/>
          <w:sz w:val="24"/>
          <w:szCs w:val="24"/>
        </w:rPr>
      </w:pPr>
      <w:r w:rsidRPr="004F1AA4">
        <w:rPr>
          <w:rFonts w:ascii="Century Gothic" w:hAnsi="Century Gothic" w:cs="Tahoma"/>
          <w:sz w:val="24"/>
          <w:szCs w:val="24"/>
        </w:rPr>
        <w:t>In the matter between:</w:t>
      </w:r>
    </w:p>
    <w:p w14:paraId="47404475" w14:textId="77777777" w:rsidR="00CD72B5" w:rsidRDefault="00CD72B5" w:rsidP="007C52ED">
      <w:pPr>
        <w:rPr>
          <w:rFonts w:ascii="Century Gothic" w:hAnsi="Century Gothic" w:cs="Tahoma"/>
          <w:sz w:val="24"/>
          <w:szCs w:val="24"/>
        </w:rPr>
      </w:pPr>
    </w:p>
    <w:p w14:paraId="4FB70E48" w14:textId="0EB4C264" w:rsidR="007C52ED" w:rsidRPr="004F1AA4" w:rsidRDefault="00BB10FC" w:rsidP="007C52ED">
      <w:pPr>
        <w:rPr>
          <w:rFonts w:ascii="Century Gothic" w:hAnsi="Century Gothic" w:cs="Tahoma"/>
          <w:b/>
          <w:sz w:val="24"/>
          <w:szCs w:val="24"/>
        </w:rPr>
      </w:pPr>
      <w:r>
        <w:rPr>
          <w:rFonts w:ascii="Century Gothic" w:hAnsi="Century Gothic" w:cs="Tahoma"/>
          <w:b/>
          <w:sz w:val="24"/>
          <w:szCs w:val="24"/>
        </w:rPr>
        <w:t xml:space="preserve">MOLEFE P </w:t>
      </w:r>
      <w:r w:rsidR="00CD72B5" w:rsidRPr="00CD72B5">
        <w:rPr>
          <w:rFonts w:ascii="Century Gothic" w:hAnsi="Century Gothic" w:cs="Tahoma"/>
          <w:b/>
          <w:sz w:val="24"/>
          <w:szCs w:val="24"/>
        </w:rPr>
        <w:t>MORAKE</w:t>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CD72B5">
        <w:rPr>
          <w:rFonts w:ascii="Century Gothic" w:hAnsi="Century Gothic" w:cs="Tahoma"/>
          <w:b/>
          <w:sz w:val="24"/>
          <w:szCs w:val="24"/>
        </w:rPr>
        <w:tab/>
      </w:r>
      <w:r w:rsidR="00CD72B5">
        <w:rPr>
          <w:rFonts w:ascii="Century Gothic" w:hAnsi="Century Gothic" w:cs="Tahoma"/>
          <w:b/>
          <w:sz w:val="24"/>
          <w:szCs w:val="24"/>
        </w:rPr>
        <w:tab/>
      </w:r>
      <w:r w:rsidR="00CD72B5">
        <w:rPr>
          <w:rFonts w:ascii="Century Gothic" w:hAnsi="Century Gothic" w:cs="Tahoma"/>
          <w:b/>
          <w:sz w:val="24"/>
          <w:szCs w:val="24"/>
        </w:rPr>
        <w:tab/>
      </w:r>
      <w:r w:rsidR="007C52ED" w:rsidRPr="004F1AA4">
        <w:rPr>
          <w:rFonts w:ascii="Century Gothic" w:hAnsi="Century Gothic" w:cs="Tahoma"/>
          <w:b/>
          <w:sz w:val="24"/>
          <w:szCs w:val="24"/>
        </w:rPr>
        <w:t xml:space="preserve"> </w:t>
      </w:r>
      <w:r>
        <w:rPr>
          <w:rFonts w:ascii="Century Gothic" w:hAnsi="Century Gothic" w:cs="Tahoma"/>
          <w:b/>
          <w:sz w:val="24"/>
          <w:szCs w:val="24"/>
        </w:rPr>
        <w:t xml:space="preserve">         </w:t>
      </w:r>
      <w:r w:rsidR="007C52ED" w:rsidRPr="004F1AA4">
        <w:rPr>
          <w:rFonts w:ascii="Century Gothic" w:hAnsi="Century Gothic" w:cs="Tahoma"/>
          <w:b/>
          <w:sz w:val="24"/>
          <w:szCs w:val="24"/>
        </w:rPr>
        <w:t>Applicant</w:t>
      </w:r>
    </w:p>
    <w:p w14:paraId="3CABBCEB" w14:textId="77777777" w:rsidR="007C52ED" w:rsidRPr="004F1AA4" w:rsidRDefault="007C52ED" w:rsidP="007C52ED">
      <w:pPr>
        <w:rPr>
          <w:rFonts w:ascii="Century Gothic" w:hAnsi="Century Gothic" w:cs="Tahoma"/>
          <w:b/>
          <w:sz w:val="24"/>
          <w:szCs w:val="24"/>
        </w:rPr>
      </w:pPr>
    </w:p>
    <w:p w14:paraId="70A44D7C" w14:textId="77777777" w:rsidR="007C52ED" w:rsidRPr="004F1AA4" w:rsidRDefault="007C52ED" w:rsidP="007C52ED">
      <w:pPr>
        <w:rPr>
          <w:rFonts w:ascii="Century Gothic" w:hAnsi="Century Gothic" w:cs="Tahoma"/>
          <w:b/>
          <w:sz w:val="24"/>
          <w:szCs w:val="24"/>
        </w:rPr>
      </w:pPr>
      <w:r w:rsidRPr="004F1AA4">
        <w:rPr>
          <w:rFonts w:ascii="Century Gothic" w:hAnsi="Century Gothic" w:cs="Tahoma"/>
          <w:b/>
          <w:sz w:val="24"/>
          <w:szCs w:val="24"/>
        </w:rPr>
        <w:t>and</w:t>
      </w:r>
    </w:p>
    <w:p w14:paraId="6A3D9045" w14:textId="77777777" w:rsidR="007C52ED" w:rsidRPr="004F1AA4" w:rsidRDefault="007C52ED" w:rsidP="007C52ED">
      <w:pPr>
        <w:rPr>
          <w:rFonts w:ascii="Century Gothic" w:hAnsi="Century Gothic" w:cs="Tahoma"/>
          <w:b/>
          <w:sz w:val="24"/>
          <w:szCs w:val="24"/>
        </w:rPr>
      </w:pPr>
    </w:p>
    <w:p w14:paraId="56D49B94" w14:textId="322F03B8" w:rsidR="007C52ED" w:rsidRDefault="00BB10FC" w:rsidP="007C52ED">
      <w:pPr>
        <w:rPr>
          <w:rFonts w:ascii="Century Gothic" w:hAnsi="Century Gothic" w:cs="Tahoma"/>
          <w:b/>
          <w:sz w:val="24"/>
          <w:szCs w:val="24"/>
        </w:rPr>
      </w:pPr>
      <w:r>
        <w:rPr>
          <w:rFonts w:ascii="Century Gothic" w:hAnsi="Century Gothic" w:cs="Tahoma"/>
          <w:b/>
          <w:sz w:val="24"/>
          <w:szCs w:val="24"/>
        </w:rPr>
        <w:t xml:space="preserve">MARCEL </w:t>
      </w:r>
      <w:r w:rsidR="00CD72B5">
        <w:rPr>
          <w:rFonts w:ascii="Century Gothic" w:hAnsi="Century Gothic" w:cs="Tahoma"/>
          <w:b/>
          <w:sz w:val="24"/>
          <w:szCs w:val="24"/>
        </w:rPr>
        <w:t>KARSTENS</w:t>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sidR="007C52ED" w:rsidRPr="004F1AA4">
        <w:rPr>
          <w:rFonts w:ascii="Century Gothic" w:hAnsi="Century Gothic" w:cs="Tahoma"/>
          <w:b/>
          <w:sz w:val="24"/>
          <w:szCs w:val="24"/>
        </w:rPr>
        <w:tab/>
      </w:r>
      <w:r>
        <w:rPr>
          <w:rFonts w:ascii="Century Gothic" w:hAnsi="Century Gothic" w:cs="Tahoma"/>
          <w:b/>
          <w:sz w:val="24"/>
          <w:szCs w:val="24"/>
        </w:rPr>
        <w:tab/>
      </w:r>
      <w:r>
        <w:rPr>
          <w:rFonts w:ascii="Century Gothic" w:hAnsi="Century Gothic" w:cs="Tahoma"/>
          <w:b/>
          <w:sz w:val="24"/>
          <w:szCs w:val="24"/>
        </w:rPr>
        <w:tab/>
        <w:t xml:space="preserve">         First </w:t>
      </w:r>
      <w:r w:rsidR="007C52ED" w:rsidRPr="004F1AA4">
        <w:rPr>
          <w:rFonts w:ascii="Century Gothic" w:hAnsi="Century Gothic" w:cs="Tahoma"/>
          <w:b/>
          <w:sz w:val="24"/>
          <w:szCs w:val="24"/>
        </w:rPr>
        <w:t>Respondent</w:t>
      </w:r>
    </w:p>
    <w:p w14:paraId="50AE6663" w14:textId="4D9AB4D0" w:rsidR="00BB10FC" w:rsidRDefault="00BB10FC" w:rsidP="007C52ED">
      <w:pPr>
        <w:rPr>
          <w:rFonts w:ascii="Century Gothic" w:hAnsi="Century Gothic" w:cs="Tahoma"/>
          <w:b/>
          <w:sz w:val="24"/>
          <w:szCs w:val="24"/>
        </w:rPr>
      </w:pPr>
    </w:p>
    <w:p w14:paraId="43176907" w14:textId="5C1227B7" w:rsidR="00BB10FC" w:rsidRDefault="00BB10FC" w:rsidP="007C52ED">
      <w:pPr>
        <w:rPr>
          <w:rFonts w:ascii="Century Gothic" w:hAnsi="Century Gothic" w:cs="Tahoma"/>
          <w:b/>
          <w:sz w:val="24"/>
          <w:szCs w:val="24"/>
        </w:rPr>
      </w:pPr>
      <w:r>
        <w:rPr>
          <w:rFonts w:ascii="Century Gothic" w:hAnsi="Century Gothic" w:cs="Tahoma"/>
          <w:b/>
          <w:sz w:val="24"/>
          <w:szCs w:val="24"/>
        </w:rPr>
        <w:t xml:space="preserve">MULTITECH AFRICA (PTY) LTD  </w:t>
      </w:r>
      <w:r>
        <w:rPr>
          <w:rFonts w:ascii="Century Gothic" w:hAnsi="Century Gothic" w:cs="Tahoma"/>
          <w:b/>
          <w:sz w:val="24"/>
          <w:szCs w:val="24"/>
        </w:rPr>
        <w:tab/>
      </w:r>
      <w:r>
        <w:rPr>
          <w:rFonts w:ascii="Century Gothic" w:hAnsi="Century Gothic" w:cs="Tahoma"/>
          <w:b/>
          <w:sz w:val="24"/>
          <w:szCs w:val="24"/>
        </w:rPr>
        <w:tab/>
      </w:r>
      <w:r>
        <w:rPr>
          <w:rFonts w:ascii="Century Gothic" w:hAnsi="Century Gothic" w:cs="Tahoma"/>
          <w:b/>
          <w:sz w:val="24"/>
          <w:szCs w:val="24"/>
        </w:rPr>
        <w:tab/>
      </w:r>
      <w:r>
        <w:rPr>
          <w:rFonts w:ascii="Century Gothic" w:hAnsi="Century Gothic" w:cs="Tahoma"/>
          <w:b/>
          <w:sz w:val="24"/>
          <w:szCs w:val="24"/>
        </w:rPr>
        <w:tab/>
      </w:r>
      <w:r>
        <w:rPr>
          <w:rFonts w:ascii="Century Gothic" w:hAnsi="Century Gothic" w:cs="Tahoma"/>
          <w:b/>
          <w:sz w:val="24"/>
          <w:szCs w:val="24"/>
        </w:rPr>
        <w:tab/>
        <w:t xml:space="preserve">  Second Respondent</w:t>
      </w:r>
    </w:p>
    <w:p w14:paraId="3F8A815B" w14:textId="77777777" w:rsidR="00BB10FC" w:rsidRPr="004F1AA4" w:rsidRDefault="00BB10FC" w:rsidP="007C52ED">
      <w:pPr>
        <w:rPr>
          <w:rFonts w:ascii="Century Gothic" w:hAnsi="Century Gothic" w:cs="Tahoma"/>
          <w:b/>
          <w:sz w:val="24"/>
          <w:szCs w:val="24"/>
        </w:rPr>
      </w:pPr>
    </w:p>
    <w:p w14:paraId="53C1249D" w14:textId="77777777" w:rsidR="007C52ED" w:rsidRPr="004F1AA4" w:rsidRDefault="007C52ED" w:rsidP="007C52ED">
      <w:pPr>
        <w:rPr>
          <w:rFonts w:ascii="Century Gothic" w:hAnsi="Century Gothic" w:cs="Tahoma"/>
          <w:b/>
          <w:sz w:val="24"/>
          <w:szCs w:val="24"/>
        </w:rPr>
      </w:pPr>
      <w:r w:rsidRPr="004F1AA4">
        <w:rPr>
          <w:rFonts w:ascii="Century Gothic" w:hAnsi="Century Gothic" w:cs="Tahoma"/>
          <w:b/>
          <w:sz w:val="24"/>
          <w:szCs w:val="24"/>
        </w:rPr>
        <w:t>___________________________________________________________</w:t>
      </w:r>
      <w:r>
        <w:rPr>
          <w:rFonts w:ascii="Century Gothic" w:hAnsi="Century Gothic" w:cs="Tahoma"/>
          <w:b/>
          <w:sz w:val="24"/>
          <w:szCs w:val="24"/>
        </w:rPr>
        <w:t>________________</w:t>
      </w:r>
    </w:p>
    <w:p w14:paraId="33A67015" w14:textId="77777777" w:rsidR="007C52ED" w:rsidRPr="004F1AA4" w:rsidRDefault="007C52ED" w:rsidP="007C52ED">
      <w:pPr>
        <w:rPr>
          <w:rFonts w:ascii="Century Gothic" w:hAnsi="Century Gothic" w:cs="Tahoma"/>
          <w:b/>
          <w:sz w:val="24"/>
          <w:szCs w:val="24"/>
        </w:rPr>
      </w:pPr>
    </w:p>
    <w:p w14:paraId="13269ACA" w14:textId="0AEDD46C" w:rsidR="007C52ED" w:rsidRPr="004F1AA4" w:rsidRDefault="007C52ED" w:rsidP="007C52ED">
      <w:pPr>
        <w:jc w:val="center"/>
        <w:rPr>
          <w:rFonts w:ascii="Century Gothic" w:hAnsi="Century Gothic" w:cs="Tahoma"/>
          <w:b/>
          <w:sz w:val="24"/>
          <w:szCs w:val="24"/>
        </w:rPr>
      </w:pPr>
      <w:r w:rsidRPr="004F1AA4">
        <w:rPr>
          <w:rFonts w:ascii="Century Gothic" w:hAnsi="Century Gothic" w:cs="Tahoma"/>
          <w:b/>
          <w:sz w:val="24"/>
          <w:szCs w:val="24"/>
        </w:rPr>
        <w:t>JUDGMENT</w:t>
      </w:r>
    </w:p>
    <w:p w14:paraId="4B0D03F6" w14:textId="77777777" w:rsidR="007C52ED" w:rsidRPr="004F1AA4" w:rsidRDefault="007C52ED" w:rsidP="007C52ED">
      <w:pPr>
        <w:rPr>
          <w:rFonts w:ascii="Century Gothic" w:hAnsi="Century Gothic" w:cs="Tahoma"/>
          <w:b/>
          <w:sz w:val="24"/>
          <w:szCs w:val="24"/>
        </w:rPr>
      </w:pPr>
    </w:p>
    <w:p w14:paraId="4D5DC045" w14:textId="77777777" w:rsidR="007C52ED" w:rsidRPr="004F1AA4" w:rsidRDefault="007C52ED" w:rsidP="007C52ED">
      <w:pPr>
        <w:rPr>
          <w:rFonts w:ascii="Century Gothic" w:hAnsi="Century Gothic" w:cs="Tahoma"/>
          <w:sz w:val="24"/>
          <w:szCs w:val="24"/>
        </w:rPr>
      </w:pPr>
      <w:r w:rsidRPr="004F1AA4">
        <w:rPr>
          <w:rFonts w:ascii="Century Gothic" w:hAnsi="Century Gothic" w:cs="Tahoma"/>
          <w:sz w:val="24"/>
          <w:szCs w:val="24"/>
        </w:rPr>
        <w:t>____________________________________________________________________</w:t>
      </w:r>
      <w:r>
        <w:rPr>
          <w:rFonts w:ascii="Century Gothic" w:hAnsi="Century Gothic" w:cs="Tahoma"/>
          <w:sz w:val="24"/>
          <w:szCs w:val="24"/>
        </w:rPr>
        <w:t>_______</w:t>
      </w:r>
    </w:p>
    <w:p w14:paraId="20A5F0FC" w14:textId="77777777" w:rsidR="007C52ED" w:rsidRPr="004F1AA4" w:rsidRDefault="007C52ED" w:rsidP="007C52ED">
      <w:pPr>
        <w:rPr>
          <w:rFonts w:ascii="Century Gothic" w:hAnsi="Century Gothic" w:cs="Tahoma"/>
          <w:sz w:val="24"/>
          <w:szCs w:val="24"/>
        </w:rPr>
      </w:pPr>
    </w:p>
    <w:p w14:paraId="191AA5D4" w14:textId="66AFCEF8" w:rsidR="007C52ED" w:rsidRPr="004F1AA4" w:rsidRDefault="00CD72B5" w:rsidP="007C52ED">
      <w:pPr>
        <w:rPr>
          <w:rFonts w:ascii="Century Gothic" w:hAnsi="Century Gothic" w:cs="Tahoma"/>
          <w:b/>
          <w:sz w:val="24"/>
          <w:szCs w:val="24"/>
        </w:rPr>
      </w:pPr>
      <w:r>
        <w:rPr>
          <w:rFonts w:ascii="Century Gothic" w:hAnsi="Century Gothic" w:cs="Tahoma"/>
          <w:b/>
          <w:sz w:val="24"/>
          <w:szCs w:val="24"/>
          <w:u w:val="single"/>
        </w:rPr>
        <w:t xml:space="preserve">EILLERT </w:t>
      </w:r>
      <w:r w:rsidR="007C52ED" w:rsidRPr="004F1AA4">
        <w:rPr>
          <w:rFonts w:ascii="Century Gothic" w:hAnsi="Century Gothic" w:cs="Tahoma"/>
          <w:b/>
          <w:sz w:val="24"/>
          <w:szCs w:val="24"/>
          <w:u w:val="single"/>
        </w:rPr>
        <w:t>AJ</w:t>
      </w:r>
      <w:r w:rsidR="007C52ED" w:rsidRPr="004F1AA4">
        <w:rPr>
          <w:rFonts w:ascii="Century Gothic" w:hAnsi="Century Gothic" w:cs="Tahoma"/>
          <w:b/>
          <w:sz w:val="24"/>
          <w:szCs w:val="24"/>
        </w:rPr>
        <w:t>:</w:t>
      </w:r>
    </w:p>
    <w:p w14:paraId="2E5864EC" w14:textId="77777777" w:rsidR="007C52ED" w:rsidRPr="004F1AA4" w:rsidRDefault="007C52ED" w:rsidP="007C52ED">
      <w:pPr>
        <w:rPr>
          <w:rFonts w:ascii="Century Gothic" w:hAnsi="Century Gothic" w:cs="Tahoma"/>
          <w:sz w:val="24"/>
          <w:szCs w:val="24"/>
        </w:rPr>
      </w:pPr>
    </w:p>
    <w:p w14:paraId="10248056" w14:textId="474F08F6" w:rsidR="007C52ED" w:rsidRDefault="0076534C" w:rsidP="007C52ED">
      <w:pPr>
        <w:rPr>
          <w:rFonts w:ascii="Century Gothic" w:hAnsi="Century Gothic" w:cs="Tahoma"/>
          <w:b/>
          <w:sz w:val="24"/>
          <w:szCs w:val="24"/>
          <w:u w:val="single"/>
        </w:rPr>
      </w:pPr>
      <w:r w:rsidRPr="002E3CAC">
        <w:rPr>
          <w:rFonts w:ascii="Century Gothic" w:hAnsi="Century Gothic" w:cs="Tahoma"/>
          <w:b/>
          <w:sz w:val="24"/>
          <w:szCs w:val="24"/>
          <w:u w:val="single"/>
        </w:rPr>
        <w:t>Introduction</w:t>
      </w:r>
    </w:p>
    <w:p w14:paraId="3E17AF77" w14:textId="77777777" w:rsidR="002E3CAC" w:rsidRPr="002E3CAC" w:rsidRDefault="002E3CAC" w:rsidP="007C52ED">
      <w:pPr>
        <w:rPr>
          <w:rFonts w:ascii="Century Gothic" w:hAnsi="Century Gothic" w:cs="Tahoma"/>
          <w:b/>
          <w:sz w:val="24"/>
          <w:szCs w:val="24"/>
          <w:u w:val="single"/>
        </w:rPr>
      </w:pPr>
    </w:p>
    <w:p w14:paraId="4456D84A" w14:textId="52B468DF" w:rsidR="007C52ED" w:rsidRDefault="007C52ED" w:rsidP="007C52ED">
      <w:pPr>
        <w:rPr>
          <w:rFonts w:ascii="Century Gothic" w:hAnsi="Century Gothic" w:cs="Tahoma"/>
          <w:b/>
          <w:sz w:val="24"/>
          <w:szCs w:val="24"/>
        </w:rPr>
      </w:pPr>
    </w:p>
    <w:p w14:paraId="0208D74B" w14:textId="298895F8" w:rsidR="00A2593E" w:rsidRDefault="00CD72B5" w:rsidP="007100E4">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 xml:space="preserve">The </w:t>
      </w:r>
      <w:r w:rsidR="002E3CAC">
        <w:rPr>
          <w:rFonts w:ascii="Century Gothic" w:hAnsi="Century Gothic" w:cs="Tahoma"/>
          <w:bCs/>
          <w:sz w:val="24"/>
          <w:szCs w:val="24"/>
        </w:rPr>
        <w:t>A</w:t>
      </w:r>
      <w:r w:rsidRPr="0048513A">
        <w:rPr>
          <w:rFonts w:ascii="Century Gothic" w:hAnsi="Century Gothic" w:cs="Tahoma"/>
          <w:bCs/>
          <w:sz w:val="24"/>
          <w:szCs w:val="24"/>
        </w:rPr>
        <w:t>pplicant, Molefi P Morake (“</w:t>
      </w:r>
      <w:r w:rsidRPr="002E3CAC">
        <w:rPr>
          <w:rFonts w:ascii="Century Gothic" w:hAnsi="Century Gothic" w:cs="Tahoma"/>
          <w:bCs/>
          <w:i/>
          <w:iCs/>
          <w:sz w:val="24"/>
          <w:szCs w:val="24"/>
        </w:rPr>
        <w:t>Morake</w:t>
      </w:r>
      <w:r w:rsidRPr="0048513A">
        <w:rPr>
          <w:rFonts w:ascii="Century Gothic" w:hAnsi="Century Gothic" w:cs="Tahoma"/>
          <w:bCs/>
          <w:sz w:val="24"/>
          <w:szCs w:val="24"/>
        </w:rPr>
        <w:t xml:space="preserve">”) and the </w:t>
      </w:r>
      <w:r w:rsidR="002E3CAC">
        <w:rPr>
          <w:rFonts w:ascii="Century Gothic" w:hAnsi="Century Gothic" w:cs="Tahoma"/>
          <w:bCs/>
          <w:sz w:val="24"/>
          <w:szCs w:val="24"/>
        </w:rPr>
        <w:t xml:space="preserve">First </w:t>
      </w:r>
      <w:r w:rsidRPr="0048513A">
        <w:rPr>
          <w:rFonts w:ascii="Century Gothic" w:hAnsi="Century Gothic" w:cs="Tahoma"/>
          <w:bCs/>
          <w:sz w:val="24"/>
          <w:szCs w:val="24"/>
        </w:rPr>
        <w:t>Respond</w:t>
      </w:r>
      <w:r w:rsidR="002E3CAC">
        <w:rPr>
          <w:rFonts w:ascii="Century Gothic" w:hAnsi="Century Gothic" w:cs="Tahoma"/>
          <w:bCs/>
          <w:sz w:val="24"/>
          <w:szCs w:val="24"/>
        </w:rPr>
        <w:t>en</w:t>
      </w:r>
      <w:r w:rsidRPr="0048513A">
        <w:rPr>
          <w:rFonts w:ascii="Century Gothic" w:hAnsi="Century Gothic" w:cs="Tahoma"/>
          <w:bCs/>
          <w:sz w:val="24"/>
          <w:szCs w:val="24"/>
        </w:rPr>
        <w:t>t, Mar</w:t>
      </w:r>
      <w:r w:rsidR="002E3CAC">
        <w:rPr>
          <w:rFonts w:ascii="Century Gothic" w:hAnsi="Century Gothic" w:cs="Tahoma"/>
          <w:bCs/>
          <w:sz w:val="24"/>
          <w:szCs w:val="24"/>
        </w:rPr>
        <w:t>c</w:t>
      </w:r>
      <w:r w:rsidRPr="0048513A">
        <w:rPr>
          <w:rFonts w:ascii="Century Gothic" w:hAnsi="Century Gothic" w:cs="Tahoma"/>
          <w:bCs/>
          <w:sz w:val="24"/>
          <w:szCs w:val="24"/>
        </w:rPr>
        <w:t>ell Karstens (“</w:t>
      </w:r>
      <w:r w:rsidRPr="002E3CAC">
        <w:rPr>
          <w:rFonts w:ascii="Century Gothic" w:hAnsi="Century Gothic" w:cs="Tahoma"/>
          <w:bCs/>
          <w:i/>
          <w:iCs/>
          <w:sz w:val="24"/>
          <w:szCs w:val="24"/>
        </w:rPr>
        <w:t>Karstens</w:t>
      </w:r>
      <w:r w:rsidRPr="0048513A">
        <w:rPr>
          <w:rFonts w:ascii="Century Gothic" w:hAnsi="Century Gothic" w:cs="Tahoma"/>
          <w:bCs/>
          <w:sz w:val="24"/>
          <w:szCs w:val="24"/>
        </w:rPr>
        <w:t xml:space="preserve">”) are the directors of the </w:t>
      </w:r>
      <w:r w:rsidR="002E3CAC">
        <w:rPr>
          <w:rFonts w:ascii="Century Gothic" w:hAnsi="Century Gothic" w:cs="Tahoma"/>
          <w:bCs/>
          <w:sz w:val="24"/>
          <w:szCs w:val="24"/>
        </w:rPr>
        <w:t>S</w:t>
      </w:r>
      <w:r w:rsidRPr="0048513A">
        <w:rPr>
          <w:rFonts w:ascii="Century Gothic" w:hAnsi="Century Gothic" w:cs="Tahoma"/>
          <w:bCs/>
          <w:sz w:val="24"/>
          <w:szCs w:val="24"/>
        </w:rPr>
        <w:t xml:space="preserve">econd </w:t>
      </w:r>
      <w:r w:rsidR="002E3CAC">
        <w:rPr>
          <w:rFonts w:ascii="Century Gothic" w:hAnsi="Century Gothic" w:cs="Tahoma"/>
          <w:bCs/>
          <w:sz w:val="24"/>
          <w:szCs w:val="24"/>
        </w:rPr>
        <w:t>R</w:t>
      </w:r>
      <w:r w:rsidRPr="0048513A">
        <w:rPr>
          <w:rFonts w:ascii="Century Gothic" w:hAnsi="Century Gothic" w:cs="Tahoma"/>
          <w:bCs/>
          <w:sz w:val="24"/>
          <w:szCs w:val="24"/>
        </w:rPr>
        <w:t>espondent, Multitech Africa (Pty) Ltd (“</w:t>
      </w:r>
      <w:r w:rsidRPr="002E3CAC">
        <w:rPr>
          <w:rFonts w:ascii="Century Gothic" w:hAnsi="Century Gothic" w:cs="Tahoma"/>
          <w:bCs/>
          <w:i/>
          <w:iCs/>
          <w:sz w:val="24"/>
          <w:szCs w:val="24"/>
        </w:rPr>
        <w:t>Multitech</w:t>
      </w:r>
      <w:r w:rsidRPr="0048513A">
        <w:rPr>
          <w:rFonts w:ascii="Century Gothic" w:hAnsi="Century Gothic" w:cs="Tahoma"/>
          <w:bCs/>
          <w:sz w:val="24"/>
          <w:szCs w:val="24"/>
        </w:rPr>
        <w:t>”). On 19 June 2020 Olivier J made an order under case number 208/2020 of this court directing and ordering Karstens to provide Morake with information and/or documentation relating to the affairs of Multitech</w:t>
      </w:r>
      <w:r w:rsidR="002E3CAC">
        <w:rPr>
          <w:rFonts w:ascii="Century Gothic" w:hAnsi="Century Gothic" w:cs="Tahoma"/>
          <w:bCs/>
          <w:sz w:val="24"/>
          <w:szCs w:val="24"/>
        </w:rPr>
        <w:t>,</w:t>
      </w:r>
      <w:r w:rsidRPr="0048513A">
        <w:rPr>
          <w:rFonts w:ascii="Century Gothic" w:hAnsi="Century Gothic" w:cs="Tahoma"/>
          <w:bCs/>
          <w:sz w:val="24"/>
          <w:szCs w:val="24"/>
        </w:rPr>
        <w:t xml:space="preserve"> specified as: contracts f</w:t>
      </w:r>
      <w:r w:rsidR="002E3CAC">
        <w:rPr>
          <w:rFonts w:ascii="Century Gothic" w:hAnsi="Century Gothic" w:cs="Tahoma"/>
          <w:bCs/>
          <w:sz w:val="24"/>
          <w:szCs w:val="24"/>
        </w:rPr>
        <w:t>r</w:t>
      </w:r>
      <w:r w:rsidRPr="0048513A">
        <w:rPr>
          <w:rFonts w:ascii="Century Gothic" w:hAnsi="Century Gothic" w:cs="Tahoma"/>
          <w:bCs/>
          <w:sz w:val="24"/>
          <w:szCs w:val="24"/>
        </w:rPr>
        <w:t xml:space="preserve">om 1 February 2016 to 31 December 2019 entered into between Multitech and third parties, the financial statements of Multitech for the same period, an </w:t>
      </w:r>
      <w:r w:rsidRPr="0048513A">
        <w:rPr>
          <w:rFonts w:ascii="Century Gothic" w:hAnsi="Century Gothic" w:cs="Tahoma"/>
          <w:bCs/>
          <w:sz w:val="24"/>
          <w:szCs w:val="24"/>
        </w:rPr>
        <w:lastRenderedPageBreak/>
        <w:t xml:space="preserve">inventory of all the movable and immovable assets registered in the name of Multitech, names of financial institutions holding accounts opened in the name of Multitech, bank statements including account numbers, current balances and transactions </w:t>
      </w:r>
      <w:r w:rsidR="003D59CC" w:rsidRPr="0048513A">
        <w:rPr>
          <w:rFonts w:ascii="Century Gothic" w:hAnsi="Century Gothic" w:cs="Tahoma"/>
          <w:bCs/>
          <w:sz w:val="24"/>
          <w:szCs w:val="24"/>
        </w:rPr>
        <w:t>of the accounts opened in the name of Multitech f</w:t>
      </w:r>
      <w:r w:rsidR="002E3CAC">
        <w:rPr>
          <w:rFonts w:ascii="Century Gothic" w:hAnsi="Century Gothic" w:cs="Tahoma"/>
          <w:bCs/>
          <w:sz w:val="24"/>
          <w:szCs w:val="24"/>
        </w:rPr>
        <w:t>r</w:t>
      </w:r>
      <w:r w:rsidR="003D59CC" w:rsidRPr="0048513A">
        <w:rPr>
          <w:rFonts w:ascii="Century Gothic" w:hAnsi="Century Gothic" w:cs="Tahoma"/>
          <w:bCs/>
          <w:sz w:val="24"/>
          <w:szCs w:val="24"/>
        </w:rPr>
        <w:t>om the 1</w:t>
      </w:r>
      <w:r w:rsidR="003D59CC" w:rsidRPr="0048513A">
        <w:rPr>
          <w:rFonts w:ascii="Century Gothic" w:hAnsi="Century Gothic" w:cs="Tahoma"/>
          <w:bCs/>
          <w:sz w:val="24"/>
          <w:szCs w:val="24"/>
          <w:vertAlign w:val="superscript"/>
        </w:rPr>
        <w:t>st</w:t>
      </w:r>
      <w:r w:rsidR="003D59CC" w:rsidRPr="0048513A">
        <w:rPr>
          <w:rFonts w:ascii="Century Gothic" w:hAnsi="Century Gothic" w:cs="Tahoma"/>
          <w:bCs/>
          <w:sz w:val="24"/>
          <w:szCs w:val="24"/>
        </w:rPr>
        <w:t xml:space="preserve"> of February 2016 until the 31</w:t>
      </w:r>
      <w:r w:rsidR="003D59CC" w:rsidRPr="0048513A">
        <w:rPr>
          <w:rFonts w:ascii="Century Gothic" w:hAnsi="Century Gothic" w:cs="Tahoma"/>
          <w:bCs/>
          <w:sz w:val="24"/>
          <w:szCs w:val="24"/>
          <w:vertAlign w:val="superscript"/>
        </w:rPr>
        <w:t>st</w:t>
      </w:r>
      <w:r w:rsidR="003D59CC" w:rsidRPr="0048513A">
        <w:rPr>
          <w:rFonts w:ascii="Century Gothic" w:hAnsi="Century Gothic" w:cs="Tahoma"/>
          <w:bCs/>
          <w:sz w:val="24"/>
          <w:szCs w:val="24"/>
        </w:rPr>
        <w:t xml:space="preserve"> of December 2019 and the current liabilities of Multitech. Karstens was ordered to provide </w:t>
      </w:r>
      <w:r w:rsidR="007100E4">
        <w:rPr>
          <w:rFonts w:ascii="Century Gothic" w:hAnsi="Century Gothic" w:cs="Tahoma"/>
          <w:bCs/>
          <w:sz w:val="24"/>
          <w:szCs w:val="24"/>
        </w:rPr>
        <w:t xml:space="preserve">this information and/or </w:t>
      </w:r>
      <w:r w:rsidR="003D59CC" w:rsidRPr="0048513A">
        <w:rPr>
          <w:rFonts w:ascii="Century Gothic" w:hAnsi="Century Gothic" w:cs="Tahoma"/>
          <w:bCs/>
          <w:sz w:val="24"/>
          <w:szCs w:val="24"/>
        </w:rPr>
        <w:t xml:space="preserve">documentation within ten days of the date of the order. </w:t>
      </w:r>
    </w:p>
    <w:p w14:paraId="670B11E6" w14:textId="77777777" w:rsidR="0048513A" w:rsidRDefault="0048513A" w:rsidP="0048513A">
      <w:pPr>
        <w:pStyle w:val="ListParagraph"/>
        <w:spacing w:line="360" w:lineRule="auto"/>
        <w:ind w:left="284"/>
        <w:jc w:val="both"/>
        <w:rPr>
          <w:rFonts w:ascii="Century Gothic" w:hAnsi="Century Gothic" w:cs="Tahoma"/>
          <w:bCs/>
          <w:sz w:val="24"/>
          <w:szCs w:val="24"/>
        </w:rPr>
      </w:pPr>
    </w:p>
    <w:p w14:paraId="251F0A73" w14:textId="56A2BE74" w:rsidR="005154FE" w:rsidRDefault="00EB5FD7" w:rsidP="007100E4">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K</w:t>
      </w:r>
      <w:r w:rsidR="003D59CC" w:rsidRPr="0048513A">
        <w:rPr>
          <w:rFonts w:ascii="Century Gothic" w:hAnsi="Century Gothic" w:cs="Tahoma"/>
          <w:bCs/>
          <w:sz w:val="24"/>
          <w:szCs w:val="24"/>
        </w:rPr>
        <w:t xml:space="preserve">arstens did not provide the information and/or documentation to Morake within the </w:t>
      </w:r>
      <w:r w:rsidR="009765E1" w:rsidRPr="0048513A">
        <w:rPr>
          <w:rFonts w:ascii="Century Gothic" w:hAnsi="Century Gothic" w:cs="Tahoma"/>
          <w:bCs/>
          <w:sz w:val="24"/>
          <w:szCs w:val="24"/>
        </w:rPr>
        <w:t xml:space="preserve">prescribed </w:t>
      </w:r>
      <w:r w:rsidR="009765E1">
        <w:rPr>
          <w:rFonts w:ascii="Century Gothic" w:hAnsi="Century Gothic" w:cs="Tahoma"/>
          <w:bCs/>
          <w:sz w:val="24"/>
          <w:szCs w:val="24"/>
        </w:rPr>
        <w:t xml:space="preserve">time. </w:t>
      </w:r>
      <w:r w:rsidR="003D59CC" w:rsidRPr="0048513A">
        <w:rPr>
          <w:rFonts w:ascii="Century Gothic" w:hAnsi="Century Gothic" w:cs="Tahoma"/>
          <w:bCs/>
          <w:sz w:val="24"/>
          <w:szCs w:val="24"/>
        </w:rPr>
        <w:t>Morake</w:t>
      </w:r>
      <w:r w:rsidR="009765E1">
        <w:rPr>
          <w:rFonts w:ascii="Century Gothic" w:hAnsi="Century Gothic" w:cs="Tahoma"/>
          <w:bCs/>
          <w:sz w:val="24"/>
          <w:szCs w:val="24"/>
        </w:rPr>
        <w:t xml:space="preserve"> </w:t>
      </w:r>
      <w:r w:rsidR="003D59CC" w:rsidRPr="0048513A">
        <w:rPr>
          <w:rFonts w:ascii="Century Gothic" w:hAnsi="Century Gothic" w:cs="Tahoma"/>
          <w:bCs/>
          <w:sz w:val="24"/>
          <w:szCs w:val="24"/>
        </w:rPr>
        <w:t>therefore l</w:t>
      </w:r>
      <w:r w:rsidRPr="0048513A">
        <w:rPr>
          <w:rFonts w:ascii="Century Gothic" w:hAnsi="Century Gothic" w:cs="Tahoma"/>
          <w:bCs/>
          <w:sz w:val="24"/>
          <w:szCs w:val="24"/>
        </w:rPr>
        <w:t>aunched the current application</w:t>
      </w:r>
      <w:r w:rsidR="003D59CC" w:rsidRPr="0048513A">
        <w:rPr>
          <w:rFonts w:ascii="Century Gothic" w:hAnsi="Century Gothic" w:cs="Tahoma"/>
          <w:bCs/>
          <w:sz w:val="24"/>
          <w:szCs w:val="24"/>
        </w:rPr>
        <w:t>, requesting that Ka</w:t>
      </w:r>
      <w:r w:rsidRPr="0048513A">
        <w:rPr>
          <w:rFonts w:ascii="Century Gothic" w:hAnsi="Century Gothic" w:cs="Tahoma"/>
          <w:bCs/>
          <w:sz w:val="24"/>
          <w:szCs w:val="24"/>
        </w:rPr>
        <w:t>rstens be held in contempt of the court order 19 June 2020 and for appropriate sanctions to be imposed against him.</w:t>
      </w:r>
    </w:p>
    <w:p w14:paraId="1BB070B7" w14:textId="77777777" w:rsidR="0048513A" w:rsidRPr="0048513A" w:rsidRDefault="0048513A" w:rsidP="0048513A">
      <w:pPr>
        <w:pStyle w:val="ListParagraph"/>
        <w:rPr>
          <w:rFonts w:ascii="Century Gothic" w:hAnsi="Century Gothic" w:cs="Tahoma"/>
          <w:bCs/>
          <w:sz w:val="24"/>
          <w:szCs w:val="24"/>
        </w:rPr>
      </w:pPr>
    </w:p>
    <w:p w14:paraId="019863A9" w14:textId="4B2382F6" w:rsidR="001E36C2" w:rsidRDefault="00EB5FD7" w:rsidP="009765E1">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 xml:space="preserve">The approach to be followed in contempt of </w:t>
      </w:r>
      <w:r w:rsidR="009765E1">
        <w:rPr>
          <w:rFonts w:ascii="Century Gothic" w:hAnsi="Century Gothic" w:cs="Tahoma"/>
          <w:bCs/>
          <w:sz w:val="24"/>
          <w:szCs w:val="24"/>
        </w:rPr>
        <w:t xml:space="preserve">court </w:t>
      </w:r>
      <w:r w:rsidRPr="0048513A">
        <w:rPr>
          <w:rFonts w:ascii="Century Gothic" w:hAnsi="Century Gothic" w:cs="Tahoma"/>
          <w:bCs/>
          <w:sz w:val="24"/>
          <w:szCs w:val="24"/>
        </w:rPr>
        <w:t>proceedings within the new constitutional context was definit</w:t>
      </w:r>
      <w:r w:rsidR="009765E1">
        <w:rPr>
          <w:rFonts w:ascii="Century Gothic" w:hAnsi="Century Gothic" w:cs="Tahoma"/>
          <w:bCs/>
          <w:sz w:val="24"/>
          <w:szCs w:val="24"/>
        </w:rPr>
        <w:t>ively</w:t>
      </w:r>
      <w:r w:rsidRPr="0048513A">
        <w:rPr>
          <w:rFonts w:ascii="Century Gothic" w:hAnsi="Century Gothic" w:cs="Tahoma"/>
          <w:bCs/>
          <w:sz w:val="24"/>
          <w:szCs w:val="24"/>
        </w:rPr>
        <w:t xml:space="preserve"> set out by Cameron JA (as he then was</w:t>
      </w:r>
      <w:r w:rsidR="009765E1">
        <w:rPr>
          <w:rFonts w:ascii="Century Gothic" w:hAnsi="Century Gothic" w:cs="Tahoma"/>
          <w:bCs/>
          <w:sz w:val="24"/>
          <w:szCs w:val="24"/>
        </w:rPr>
        <w:t>)</w:t>
      </w:r>
      <w:r w:rsidRPr="0048513A">
        <w:rPr>
          <w:rFonts w:ascii="Century Gothic" w:hAnsi="Century Gothic" w:cs="Tahoma"/>
          <w:bCs/>
          <w:sz w:val="24"/>
          <w:szCs w:val="24"/>
        </w:rPr>
        <w:t xml:space="preserve"> </w:t>
      </w:r>
      <w:r w:rsidR="00473A60" w:rsidRPr="0048513A">
        <w:rPr>
          <w:rFonts w:ascii="Century Gothic" w:hAnsi="Century Gothic" w:cs="Tahoma"/>
          <w:bCs/>
          <w:sz w:val="24"/>
          <w:szCs w:val="24"/>
        </w:rPr>
        <w:t xml:space="preserve">in </w:t>
      </w:r>
      <w:r w:rsidR="00473A60" w:rsidRPr="009765E1">
        <w:rPr>
          <w:rFonts w:ascii="Century Gothic" w:hAnsi="Century Gothic" w:cs="Tahoma"/>
          <w:b/>
          <w:sz w:val="24"/>
          <w:szCs w:val="24"/>
        </w:rPr>
        <w:t>Fakie NO v CC</w:t>
      </w:r>
      <w:r w:rsidR="009765E1">
        <w:rPr>
          <w:rFonts w:ascii="Century Gothic" w:hAnsi="Century Gothic" w:cs="Tahoma"/>
          <w:b/>
          <w:sz w:val="24"/>
          <w:szCs w:val="24"/>
        </w:rPr>
        <w:t>II</w:t>
      </w:r>
      <w:r w:rsidR="00473A60" w:rsidRPr="009765E1">
        <w:rPr>
          <w:rFonts w:ascii="Century Gothic" w:hAnsi="Century Gothic" w:cs="Tahoma"/>
          <w:b/>
          <w:sz w:val="24"/>
          <w:szCs w:val="24"/>
        </w:rPr>
        <w:t xml:space="preserve"> Systems (Pty) Ltd 2006 (4) SA 326 (SCA)</w:t>
      </w:r>
      <w:r w:rsidR="00473A60" w:rsidRPr="0048513A">
        <w:rPr>
          <w:rFonts w:ascii="Century Gothic" w:hAnsi="Century Gothic" w:cs="Tahoma"/>
          <w:bCs/>
          <w:sz w:val="24"/>
          <w:szCs w:val="24"/>
        </w:rPr>
        <w:t xml:space="preserve">. It bears repeating for purposes of this judgment. The applicant is required to prove the requisites of contempt of court, being the existence of the order, service thereof on, or notice thereof to, the respondent, non-compliance with the order, and wilfulness and </w:t>
      </w:r>
      <w:r w:rsidR="00473A60" w:rsidRPr="0048513A">
        <w:rPr>
          <w:rFonts w:ascii="Century Gothic" w:hAnsi="Century Gothic" w:cs="Tahoma"/>
          <w:bCs/>
          <w:i/>
          <w:sz w:val="24"/>
          <w:szCs w:val="24"/>
        </w:rPr>
        <w:t>mala fides</w:t>
      </w:r>
      <w:r w:rsidR="00473A60" w:rsidRPr="0048513A">
        <w:rPr>
          <w:rFonts w:ascii="Century Gothic" w:hAnsi="Century Gothic" w:cs="Tahoma"/>
          <w:bCs/>
          <w:sz w:val="24"/>
          <w:szCs w:val="24"/>
        </w:rPr>
        <w:t xml:space="preserve"> (bad faith) on the part of the respondent. The standard of proof is beyond a reasonable doubt. But, once the applicant has proved the order</w:t>
      </w:r>
      <w:r w:rsidR="009765E1">
        <w:rPr>
          <w:rFonts w:ascii="Century Gothic" w:hAnsi="Century Gothic" w:cs="Tahoma"/>
          <w:bCs/>
          <w:sz w:val="24"/>
          <w:szCs w:val="24"/>
        </w:rPr>
        <w:t>,</w:t>
      </w:r>
      <w:r w:rsidR="00473A60" w:rsidRPr="0048513A">
        <w:rPr>
          <w:rFonts w:ascii="Century Gothic" w:hAnsi="Century Gothic" w:cs="Tahoma"/>
          <w:bCs/>
          <w:sz w:val="24"/>
          <w:szCs w:val="24"/>
        </w:rPr>
        <w:t xml:space="preserve"> service or notice there</w:t>
      </w:r>
      <w:r w:rsidR="009765E1">
        <w:rPr>
          <w:rFonts w:ascii="Century Gothic" w:hAnsi="Century Gothic" w:cs="Tahoma"/>
          <w:bCs/>
          <w:sz w:val="24"/>
          <w:szCs w:val="24"/>
        </w:rPr>
        <w:t>of</w:t>
      </w:r>
      <w:r w:rsidR="00473A60" w:rsidRPr="0048513A">
        <w:rPr>
          <w:rFonts w:ascii="Century Gothic" w:hAnsi="Century Gothic" w:cs="Tahoma"/>
          <w:bCs/>
          <w:sz w:val="24"/>
          <w:szCs w:val="24"/>
        </w:rPr>
        <w:t xml:space="preserve"> and non-compliance, the respondent bears an evidential burden in relation to wilfulness and </w:t>
      </w:r>
      <w:r w:rsidR="00473A60" w:rsidRPr="0048513A">
        <w:rPr>
          <w:rFonts w:ascii="Century Gothic" w:hAnsi="Century Gothic" w:cs="Tahoma"/>
          <w:bCs/>
          <w:i/>
          <w:sz w:val="24"/>
          <w:szCs w:val="24"/>
        </w:rPr>
        <w:t>mala fides</w:t>
      </w:r>
      <w:r w:rsidR="009765E1" w:rsidRPr="009765E1">
        <w:rPr>
          <w:rFonts w:ascii="Century Gothic" w:hAnsi="Century Gothic" w:cs="Tahoma"/>
          <w:bCs/>
          <w:iCs/>
          <w:sz w:val="24"/>
          <w:szCs w:val="24"/>
        </w:rPr>
        <w:t>:</w:t>
      </w:r>
      <w:r w:rsidR="00473A60" w:rsidRPr="009765E1">
        <w:rPr>
          <w:rFonts w:ascii="Century Gothic" w:hAnsi="Century Gothic" w:cs="Tahoma"/>
          <w:bCs/>
          <w:iCs/>
          <w:sz w:val="24"/>
          <w:szCs w:val="24"/>
        </w:rPr>
        <w:t xml:space="preserve"> </w:t>
      </w:r>
      <w:r w:rsidR="009765E1" w:rsidRPr="009765E1">
        <w:rPr>
          <w:rFonts w:ascii="Century Gothic" w:hAnsi="Century Gothic" w:cs="Tahoma"/>
          <w:bCs/>
          <w:iCs/>
          <w:sz w:val="24"/>
          <w:szCs w:val="24"/>
        </w:rPr>
        <w:t>S</w:t>
      </w:r>
      <w:r w:rsidR="00473A60" w:rsidRPr="0048513A">
        <w:rPr>
          <w:rFonts w:ascii="Century Gothic" w:hAnsi="Century Gothic" w:cs="Tahoma"/>
          <w:bCs/>
          <w:sz w:val="24"/>
          <w:szCs w:val="24"/>
        </w:rPr>
        <w:t>hould the respondent fail to advance evidence that establishes a reasonable doubt as to whether non-compliance was wilful and mala fid</w:t>
      </w:r>
      <w:r w:rsidR="00127F7D" w:rsidRPr="0048513A">
        <w:rPr>
          <w:rFonts w:ascii="Century Gothic" w:hAnsi="Century Gothic" w:cs="Tahoma"/>
          <w:bCs/>
          <w:sz w:val="24"/>
          <w:szCs w:val="24"/>
        </w:rPr>
        <w:t>e</w:t>
      </w:r>
      <w:r w:rsidR="00473A60" w:rsidRPr="0048513A">
        <w:rPr>
          <w:rFonts w:ascii="Century Gothic" w:hAnsi="Century Gothic" w:cs="Tahoma"/>
          <w:bCs/>
          <w:sz w:val="24"/>
          <w:szCs w:val="24"/>
        </w:rPr>
        <w:t>, contempt will have been established beyond reasonable doubt</w:t>
      </w:r>
      <w:r w:rsidR="00127F7D" w:rsidRPr="0048513A">
        <w:rPr>
          <w:rFonts w:ascii="Century Gothic" w:hAnsi="Century Gothic" w:cs="Tahoma"/>
          <w:bCs/>
          <w:sz w:val="24"/>
          <w:szCs w:val="24"/>
        </w:rPr>
        <w:t>.</w:t>
      </w:r>
      <w:r w:rsidR="00127F7D">
        <w:rPr>
          <w:rStyle w:val="FootnoteReference"/>
          <w:rFonts w:ascii="Century Gothic" w:hAnsi="Century Gothic" w:cs="Tahoma"/>
          <w:bCs/>
          <w:sz w:val="24"/>
          <w:szCs w:val="24"/>
        </w:rPr>
        <w:footnoteReference w:id="1"/>
      </w:r>
    </w:p>
    <w:p w14:paraId="277BD602" w14:textId="77777777" w:rsidR="0048513A" w:rsidRPr="0048513A" w:rsidRDefault="0048513A" w:rsidP="0048513A">
      <w:pPr>
        <w:pStyle w:val="ListParagraph"/>
        <w:rPr>
          <w:rFonts w:ascii="Century Gothic" w:hAnsi="Century Gothic" w:cs="Tahoma"/>
          <w:bCs/>
          <w:sz w:val="24"/>
          <w:szCs w:val="24"/>
        </w:rPr>
      </w:pPr>
    </w:p>
    <w:p w14:paraId="1621E944" w14:textId="1BC988D6" w:rsidR="002D5E25" w:rsidRDefault="00127F7D" w:rsidP="007C0F4C">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lastRenderedPageBreak/>
        <w:t xml:space="preserve">In this matter the existence of the order, notice thereof to Karstens and non-compliance therewith within the prescribed ten days, are not in dispute. What must be decided is whether it has been established that Karstens acted wilfully and </w:t>
      </w:r>
      <w:r w:rsidRPr="0048513A">
        <w:rPr>
          <w:rFonts w:ascii="Century Gothic" w:hAnsi="Century Gothic" w:cs="Tahoma"/>
          <w:bCs/>
          <w:i/>
          <w:sz w:val="24"/>
          <w:szCs w:val="24"/>
        </w:rPr>
        <w:t>mala fide</w:t>
      </w:r>
      <w:r w:rsidRPr="0048513A">
        <w:rPr>
          <w:rFonts w:ascii="Century Gothic" w:hAnsi="Century Gothic" w:cs="Tahoma"/>
          <w:bCs/>
          <w:sz w:val="24"/>
          <w:szCs w:val="24"/>
        </w:rPr>
        <w:t>.</w:t>
      </w:r>
    </w:p>
    <w:p w14:paraId="1D933B62" w14:textId="77777777" w:rsidR="002924EF" w:rsidRDefault="002924EF" w:rsidP="002924EF">
      <w:pPr>
        <w:pStyle w:val="ListParagraph"/>
        <w:spacing w:line="360" w:lineRule="auto"/>
        <w:ind w:left="567"/>
        <w:jc w:val="both"/>
        <w:rPr>
          <w:rFonts w:ascii="Century Gothic" w:hAnsi="Century Gothic" w:cs="Tahoma"/>
          <w:bCs/>
          <w:sz w:val="24"/>
          <w:szCs w:val="24"/>
        </w:rPr>
      </w:pPr>
    </w:p>
    <w:p w14:paraId="6F2D33EC" w14:textId="77777777" w:rsidR="0048513A" w:rsidRPr="0048513A" w:rsidRDefault="0048513A" w:rsidP="0048513A">
      <w:pPr>
        <w:pStyle w:val="ListParagraph"/>
        <w:rPr>
          <w:rFonts w:ascii="Century Gothic" w:hAnsi="Century Gothic" w:cs="Tahoma"/>
          <w:bCs/>
          <w:sz w:val="24"/>
          <w:szCs w:val="24"/>
        </w:rPr>
      </w:pPr>
    </w:p>
    <w:p w14:paraId="6AC72BAC" w14:textId="77777777" w:rsidR="0048513A" w:rsidRPr="007C0F4C" w:rsidRDefault="0048513A" w:rsidP="0048513A">
      <w:pPr>
        <w:spacing w:line="360" w:lineRule="auto"/>
        <w:jc w:val="both"/>
        <w:rPr>
          <w:rFonts w:ascii="Century Gothic" w:hAnsi="Century Gothic" w:cs="Tahoma"/>
          <w:b/>
          <w:bCs/>
          <w:sz w:val="24"/>
          <w:szCs w:val="24"/>
          <w:u w:val="single"/>
        </w:rPr>
      </w:pPr>
      <w:r w:rsidRPr="007C0F4C">
        <w:rPr>
          <w:rFonts w:ascii="Century Gothic" w:hAnsi="Century Gothic" w:cs="Tahoma"/>
          <w:b/>
          <w:bCs/>
          <w:sz w:val="24"/>
          <w:szCs w:val="24"/>
          <w:u w:val="single"/>
        </w:rPr>
        <w:t>The affidavits of the parties</w:t>
      </w:r>
    </w:p>
    <w:p w14:paraId="6D71BA1D" w14:textId="7F03E468" w:rsidR="0048513A" w:rsidRPr="0048513A" w:rsidRDefault="0048513A" w:rsidP="0048513A">
      <w:pPr>
        <w:rPr>
          <w:rFonts w:ascii="Century Gothic" w:hAnsi="Century Gothic" w:cs="Tahoma"/>
          <w:bCs/>
          <w:sz w:val="24"/>
          <w:szCs w:val="24"/>
        </w:rPr>
      </w:pPr>
    </w:p>
    <w:p w14:paraId="7D09B3AF" w14:textId="4D3EC9A0" w:rsidR="006E6539" w:rsidRDefault="001A5FB0" w:rsidP="007C0F4C">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Morake has not sought any relief against Multitech and Multitech did not take part in these proceedings. An answering affidavit was delivered on behalf of Karstens.</w:t>
      </w:r>
    </w:p>
    <w:p w14:paraId="7CC9D524" w14:textId="77777777" w:rsidR="0048513A" w:rsidRDefault="0048513A" w:rsidP="0048513A">
      <w:pPr>
        <w:pStyle w:val="ListParagraph"/>
        <w:spacing w:line="360" w:lineRule="auto"/>
        <w:ind w:left="284"/>
        <w:jc w:val="both"/>
        <w:rPr>
          <w:rFonts w:ascii="Century Gothic" w:hAnsi="Century Gothic" w:cs="Tahoma"/>
          <w:bCs/>
          <w:sz w:val="24"/>
          <w:szCs w:val="24"/>
        </w:rPr>
      </w:pPr>
    </w:p>
    <w:p w14:paraId="37ED3FF9" w14:textId="4ACCFAD0" w:rsidR="00C438D4" w:rsidRDefault="001A5FB0" w:rsidP="00B24A8A">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 xml:space="preserve">Multitech and </w:t>
      </w:r>
      <w:r w:rsidR="00B24A8A">
        <w:rPr>
          <w:rFonts w:ascii="Century Gothic" w:hAnsi="Century Gothic" w:cs="Tahoma"/>
          <w:bCs/>
          <w:sz w:val="24"/>
          <w:szCs w:val="24"/>
        </w:rPr>
        <w:t>K</w:t>
      </w:r>
      <w:r w:rsidRPr="0048513A">
        <w:rPr>
          <w:rFonts w:ascii="Century Gothic" w:hAnsi="Century Gothic" w:cs="Tahoma"/>
          <w:bCs/>
          <w:sz w:val="24"/>
          <w:szCs w:val="24"/>
        </w:rPr>
        <w:t>arstens</w:t>
      </w:r>
      <w:r w:rsidR="00985579" w:rsidRPr="0048513A">
        <w:rPr>
          <w:rFonts w:ascii="Century Gothic" w:hAnsi="Century Gothic" w:cs="Tahoma"/>
          <w:bCs/>
          <w:sz w:val="24"/>
          <w:szCs w:val="24"/>
        </w:rPr>
        <w:t xml:space="preserve"> initially delivered a notice of intention to oppose the proceedings under case number 208/2020. Their opposition was however withdrawn by way of a notice of withdrawal of opposition that was delivered one or two days before the order of 19 June 2020 was granted. On or about 23 June 2020 Magoma Attorneys (“</w:t>
      </w:r>
      <w:r w:rsidR="00985579" w:rsidRPr="00B24A8A">
        <w:rPr>
          <w:rFonts w:ascii="Century Gothic" w:hAnsi="Century Gothic" w:cs="Tahoma"/>
          <w:bCs/>
          <w:i/>
          <w:iCs/>
          <w:sz w:val="24"/>
          <w:szCs w:val="24"/>
        </w:rPr>
        <w:t>Magoma</w:t>
      </w:r>
      <w:r w:rsidR="00985579" w:rsidRPr="0048513A">
        <w:rPr>
          <w:rFonts w:ascii="Century Gothic" w:hAnsi="Century Gothic" w:cs="Tahoma"/>
          <w:bCs/>
          <w:sz w:val="24"/>
          <w:szCs w:val="24"/>
        </w:rPr>
        <w:t xml:space="preserve">”) on behalf of Morake, wrote a letter to </w:t>
      </w:r>
      <w:r w:rsidR="00B24A8A" w:rsidRPr="0048513A">
        <w:rPr>
          <w:rFonts w:ascii="Century Gothic" w:hAnsi="Century Gothic" w:cs="Tahoma"/>
          <w:bCs/>
          <w:sz w:val="24"/>
          <w:szCs w:val="24"/>
        </w:rPr>
        <w:t>Karstens</w:t>
      </w:r>
      <w:r w:rsidR="00B24A8A">
        <w:rPr>
          <w:rFonts w:ascii="Century Gothic" w:hAnsi="Century Gothic" w:cs="Tahoma"/>
          <w:bCs/>
          <w:sz w:val="24"/>
          <w:szCs w:val="24"/>
        </w:rPr>
        <w:t>’</w:t>
      </w:r>
      <w:r w:rsidR="00B24A8A" w:rsidRPr="0048513A">
        <w:rPr>
          <w:rFonts w:ascii="Century Gothic" w:hAnsi="Century Gothic" w:cs="Tahoma"/>
          <w:bCs/>
          <w:sz w:val="24"/>
          <w:szCs w:val="24"/>
        </w:rPr>
        <w:t xml:space="preserve"> attorneys</w:t>
      </w:r>
      <w:r w:rsidR="00B24A8A">
        <w:rPr>
          <w:rFonts w:ascii="Century Gothic" w:hAnsi="Century Gothic" w:cs="Tahoma"/>
          <w:bCs/>
          <w:sz w:val="24"/>
          <w:szCs w:val="24"/>
        </w:rPr>
        <w:t>,</w:t>
      </w:r>
      <w:r w:rsidR="00B24A8A" w:rsidRPr="0048513A">
        <w:rPr>
          <w:rFonts w:ascii="Century Gothic" w:hAnsi="Century Gothic" w:cs="Tahoma"/>
          <w:bCs/>
          <w:sz w:val="24"/>
          <w:szCs w:val="24"/>
        </w:rPr>
        <w:t xml:space="preserve"> </w:t>
      </w:r>
      <w:r w:rsidR="00985579" w:rsidRPr="0048513A">
        <w:rPr>
          <w:rFonts w:ascii="Century Gothic" w:hAnsi="Century Gothic" w:cs="Tahoma"/>
          <w:bCs/>
          <w:sz w:val="24"/>
          <w:szCs w:val="24"/>
        </w:rPr>
        <w:t>Van de wall Incorporated (“</w:t>
      </w:r>
      <w:r w:rsidR="00985579" w:rsidRPr="00B24A8A">
        <w:rPr>
          <w:rFonts w:ascii="Century Gothic" w:hAnsi="Century Gothic" w:cs="Tahoma"/>
          <w:bCs/>
          <w:i/>
          <w:iCs/>
          <w:sz w:val="24"/>
          <w:szCs w:val="24"/>
        </w:rPr>
        <w:t xml:space="preserve">Van de </w:t>
      </w:r>
      <w:r w:rsidR="00B24A8A">
        <w:rPr>
          <w:rFonts w:ascii="Century Gothic" w:hAnsi="Century Gothic" w:cs="Tahoma"/>
          <w:bCs/>
          <w:i/>
          <w:iCs/>
          <w:sz w:val="24"/>
          <w:szCs w:val="24"/>
        </w:rPr>
        <w:t>W</w:t>
      </w:r>
      <w:r w:rsidR="00985579" w:rsidRPr="00B24A8A">
        <w:rPr>
          <w:rFonts w:ascii="Century Gothic" w:hAnsi="Century Gothic" w:cs="Tahoma"/>
          <w:bCs/>
          <w:i/>
          <w:iCs/>
          <w:sz w:val="24"/>
          <w:szCs w:val="24"/>
        </w:rPr>
        <w:t>all</w:t>
      </w:r>
      <w:r w:rsidR="00985579" w:rsidRPr="0048513A">
        <w:rPr>
          <w:rFonts w:ascii="Century Gothic" w:hAnsi="Century Gothic" w:cs="Tahoma"/>
          <w:bCs/>
          <w:sz w:val="24"/>
          <w:szCs w:val="24"/>
        </w:rPr>
        <w:t xml:space="preserve">”), informing them of the order granted on 19 June 2020 and attaching a copy thereof to the letter. Van de </w:t>
      </w:r>
      <w:r w:rsidR="00B24A8A">
        <w:rPr>
          <w:rFonts w:ascii="Century Gothic" w:hAnsi="Century Gothic" w:cs="Tahoma"/>
          <w:bCs/>
          <w:sz w:val="24"/>
          <w:szCs w:val="24"/>
        </w:rPr>
        <w:t>W</w:t>
      </w:r>
      <w:r w:rsidR="00985579" w:rsidRPr="0048513A">
        <w:rPr>
          <w:rFonts w:ascii="Century Gothic" w:hAnsi="Century Gothic" w:cs="Tahoma"/>
          <w:bCs/>
          <w:sz w:val="24"/>
          <w:szCs w:val="24"/>
        </w:rPr>
        <w:t xml:space="preserve">all was requested to provide Magoma with </w:t>
      </w:r>
      <w:r w:rsidR="00B24A8A">
        <w:rPr>
          <w:rFonts w:ascii="Century Gothic" w:hAnsi="Century Gothic" w:cs="Tahoma"/>
          <w:bCs/>
          <w:sz w:val="24"/>
          <w:szCs w:val="24"/>
        </w:rPr>
        <w:t xml:space="preserve">the </w:t>
      </w:r>
      <w:r w:rsidR="00985579" w:rsidRPr="0048513A">
        <w:rPr>
          <w:rFonts w:ascii="Century Gothic" w:hAnsi="Century Gothic" w:cs="Tahoma"/>
          <w:bCs/>
          <w:sz w:val="24"/>
          <w:szCs w:val="24"/>
        </w:rPr>
        <w:t>necessary information on or before the 3</w:t>
      </w:r>
      <w:r w:rsidR="00985579" w:rsidRPr="0048513A">
        <w:rPr>
          <w:rFonts w:ascii="Century Gothic" w:hAnsi="Century Gothic" w:cs="Tahoma"/>
          <w:bCs/>
          <w:sz w:val="24"/>
          <w:szCs w:val="24"/>
          <w:vertAlign w:val="superscript"/>
        </w:rPr>
        <w:t>rd</w:t>
      </w:r>
      <w:r w:rsidR="00985579" w:rsidRPr="0048513A">
        <w:rPr>
          <w:rFonts w:ascii="Century Gothic" w:hAnsi="Century Gothic" w:cs="Tahoma"/>
          <w:bCs/>
          <w:sz w:val="24"/>
          <w:szCs w:val="24"/>
        </w:rPr>
        <w:t xml:space="preserve"> of July 2020. Van de </w:t>
      </w:r>
      <w:r w:rsidR="00B24A8A">
        <w:rPr>
          <w:rFonts w:ascii="Century Gothic" w:hAnsi="Century Gothic" w:cs="Tahoma"/>
          <w:bCs/>
          <w:sz w:val="24"/>
          <w:szCs w:val="24"/>
        </w:rPr>
        <w:t>W</w:t>
      </w:r>
      <w:r w:rsidR="00985579" w:rsidRPr="0048513A">
        <w:rPr>
          <w:rFonts w:ascii="Century Gothic" w:hAnsi="Century Gothic" w:cs="Tahoma"/>
          <w:bCs/>
          <w:sz w:val="24"/>
          <w:szCs w:val="24"/>
        </w:rPr>
        <w:t xml:space="preserve">all </w:t>
      </w:r>
      <w:r w:rsidR="00B24A8A">
        <w:rPr>
          <w:rFonts w:ascii="Century Gothic" w:hAnsi="Century Gothic" w:cs="Tahoma"/>
          <w:bCs/>
          <w:sz w:val="24"/>
          <w:szCs w:val="24"/>
        </w:rPr>
        <w:t>was already informed in this letter that should they fail to provide</w:t>
      </w:r>
      <w:r w:rsidR="00985579" w:rsidRPr="0048513A">
        <w:rPr>
          <w:rFonts w:ascii="Century Gothic" w:hAnsi="Century Gothic" w:cs="Tahoma"/>
          <w:bCs/>
          <w:sz w:val="24"/>
          <w:szCs w:val="24"/>
        </w:rPr>
        <w:t xml:space="preserve"> the necessary information, Magoma was instructed to apply to court for an</w:t>
      </w:r>
      <w:r w:rsidR="00B24A8A">
        <w:rPr>
          <w:rFonts w:ascii="Century Gothic" w:hAnsi="Century Gothic" w:cs="Tahoma"/>
          <w:bCs/>
          <w:sz w:val="24"/>
          <w:szCs w:val="24"/>
        </w:rPr>
        <w:t xml:space="preserve"> order</w:t>
      </w:r>
      <w:r w:rsidR="00985579" w:rsidRPr="0048513A">
        <w:rPr>
          <w:rFonts w:ascii="Century Gothic" w:hAnsi="Century Gothic" w:cs="Tahoma"/>
          <w:bCs/>
          <w:sz w:val="24"/>
          <w:szCs w:val="24"/>
        </w:rPr>
        <w:t xml:space="preserve"> holding </w:t>
      </w:r>
      <w:r w:rsidR="00B24A8A">
        <w:rPr>
          <w:rFonts w:ascii="Century Gothic" w:hAnsi="Century Gothic" w:cs="Tahoma"/>
          <w:bCs/>
          <w:sz w:val="24"/>
          <w:szCs w:val="24"/>
        </w:rPr>
        <w:t xml:space="preserve">Karstens </w:t>
      </w:r>
      <w:r w:rsidR="00985579" w:rsidRPr="0048513A">
        <w:rPr>
          <w:rFonts w:ascii="Century Gothic" w:hAnsi="Century Gothic" w:cs="Tahoma"/>
          <w:bCs/>
          <w:sz w:val="24"/>
          <w:szCs w:val="24"/>
        </w:rPr>
        <w:t>in contempt of court.</w:t>
      </w:r>
    </w:p>
    <w:p w14:paraId="4CE72F3A" w14:textId="77777777" w:rsidR="0048513A" w:rsidRPr="0048513A" w:rsidRDefault="0048513A" w:rsidP="0048513A">
      <w:pPr>
        <w:pStyle w:val="ListParagraph"/>
        <w:rPr>
          <w:rFonts w:ascii="Century Gothic" w:hAnsi="Century Gothic" w:cs="Tahoma"/>
          <w:bCs/>
          <w:sz w:val="24"/>
          <w:szCs w:val="24"/>
        </w:rPr>
      </w:pPr>
    </w:p>
    <w:p w14:paraId="22101180" w14:textId="24649476" w:rsidR="003E4CF9" w:rsidRDefault="00985579" w:rsidP="00B24A8A">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 xml:space="preserve">At a stage Van de </w:t>
      </w:r>
      <w:r w:rsidR="00B24A8A">
        <w:rPr>
          <w:rFonts w:ascii="Century Gothic" w:hAnsi="Century Gothic" w:cs="Tahoma"/>
          <w:bCs/>
          <w:sz w:val="24"/>
          <w:szCs w:val="24"/>
        </w:rPr>
        <w:t>W</w:t>
      </w:r>
      <w:r w:rsidRPr="0048513A">
        <w:rPr>
          <w:rFonts w:ascii="Century Gothic" w:hAnsi="Century Gothic" w:cs="Tahoma"/>
          <w:bCs/>
          <w:sz w:val="24"/>
          <w:szCs w:val="24"/>
        </w:rPr>
        <w:t>all asked an indulgence form Magoma to deliver the information and/or documents by the 15</w:t>
      </w:r>
      <w:r w:rsidRPr="0048513A">
        <w:rPr>
          <w:rFonts w:ascii="Century Gothic" w:hAnsi="Century Gothic" w:cs="Tahoma"/>
          <w:bCs/>
          <w:sz w:val="24"/>
          <w:szCs w:val="24"/>
          <w:vertAlign w:val="superscript"/>
        </w:rPr>
        <w:t>th</w:t>
      </w:r>
      <w:r w:rsidRPr="0048513A">
        <w:rPr>
          <w:rFonts w:ascii="Century Gothic" w:hAnsi="Century Gothic" w:cs="Tahoma"/>
          <w:bCs/>
          <w:sz w:val="24"/>
          <w:szCs w:val="24"/>
        </w:rPr>
        <w:t xml:space="preserve"> of July 2020. </w:t>
      </w:r>
    </w:p>
    <w:p w14:paraId="5CD8863F" w14:textId="77777777" w:rsidR="0048513A" w:rsidRPr="0048513A" w:rsidRDefault="0048513A" w:rsidP="0048513A">
      <w:pPr>
        <w:pStyle w:val="ListParagraph"/>
        <w:rPr>
          <w:rFonts w:ascii="Century Gothic" w:hAnsi="Century Gothic" w:cs="Tahoma"/>
          <w:bCs/>
          <w:sz w:val="24"/>
          <w:szCs w:val="24"/>
        </w:rPr>
      </w:pPr>
    </w:p>
    <w:p w14:paraId="182372FE" w14:textId="5CC7BFB6" w:rsidR="00B70AF9" w:rsidRDefault="006B3284" w:rsidP="00B24A8A">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The current application was launched by Magoma on 17 July 2020.</w:t>
      </w:r>
    </w:p>
    <w:p w14:paraId="43978FC5" w14:textId="77777777" w:rsidR="0048513A" w:rsidRPr="0048513A" w:rsidRDefault="0048513A" w:rsidP="0048513A">
      <w:pPr>
        <w:pStyle w:val="ListParagraph"/>
        <w:rPr>
          <w:rFonts w:ascii="Century Gothic" w:hAnsi="Century Gothic" w:cs="Tahoma"/>
          <w:bCs/>
          <w:sz w:val="24"/>
          <w:szCs w:val="24"/>
        </w:rPr>
      </w:pPr>
    </w:p>
    <w:p w14:paraId="7606BF01" w14:textId="5A38288F" w:rsidR="00171D1D" w:rsidRDefault="006B3284" w:rsidP="00B24A8A">
      <w:pPr>
        <w:pStyle w:val="ListParagraph"/>
        <w:numPr>
          <w:ilvl w:val="0"/>
          <w:numId w:val="2"/>
        </w:numPr>
        <w:spacing w:line="360" w:lineRule="auto"/>
        <w:ind w:left="567" w:hanging="643"/>
        <w:jc w:val="both"/>
        <w:rPr>
          <w:rFonts w:ascii="Century Gothic" w:hAnsi="Century Gothic" w:cs="Tahoma"/>
          <w:bCs/>
          <w:sz w:val="24"/>
          <w:szCs w:val="24"/>
        </w:rPr>
      </w:pPr>
      <w:r w:rsidRPr="0048513A">
        <w:rPr>
          <w:rFonts w:ascii="Century Gothic" w:hAnsi="Century Gothic" w:cs="Tahoma"/>
          <w:bCs/>
          <w:sz w:val="24"/>
          <w:szCs w:val="24"/>
        </w:rPr>
        <w:t>The facts recounted above are the facts set out by Morake in his founding affidavit that were not disputed by Karstens.</w:t>
      </w:r>
    </w:p>
    <w:p w14:paraId="0F456BF8" w14:textId="673943D1" w:rsidR="00D9503E" w:rsidRDefault="006B3284" w:rsidP="00B24A8A">
      <w:pPr>
        <w:pStyle w:val="ListParagraph"/>
        <w:numPr>
          <w:ilvl w:val="0"/>
          <w:numId w:val="2"/>
        </w:numPr>
        <w:spacing w:line="360" w:lineRule="auto"/>
        <w:ind w:left="567" w:hanging="993"/>
        <w:jc w:val="both"/>
        <w:rPr>
          <w:rFonts w:ascii="Century Gothic" w:hAnsi="Century Gothic" w:cs="Tahoma"/>
          <w:bCs/>
          <w:sz w:val="24"/>
          <w:szCs w:val="24"/>
        </w:rPr>
      </w:pPr>
      <w:r w:rsidRPr="0048513A">
        <w:rPr>
          <w:rFonts w:ascii="Century Gothic" w:hAnsi="Century Gothic" w:cs="Tahoma"/>
          <w:bCs/>
          <w:sz w:val="24"/>
          <w:szCs w:val="24"/>
        </w:rPr>
        <w:lastRenderedPageBreak/>
        <w:t xml:space="preserve">The facts </w:t>
      </w:r>
      <w:r w:rsidR="00632B9D" w:rsidRPr="0048513A">
        <w:rPr>
          <w:rFonts w:ascii="Century Gothic" w:hAnsi="Century Gothic" w:cs="Tahoma"/>
          <w:bCs/>
          <w:sz w:val="24"/>
          <w:szCs w:val="24"/>
        </w:rPr>
        <w:t>alleged</w:t>
      </w:r>
      <w:r w:rsidRPr="0048513A">
        <w:rPr>
          <w:rFonts w:ascii="Century Gothic" w:hAnsi="Century Gothic" w:cs="Tahoma"/>
          <w:bCs/>
          <w:sz w:val="24"/>
          <w:szCs w:val="24"/>
        </w:rPr>
        <w:t xml:space="preserve"> by Karstens in his answering affidavit were the following.</w:t>
      </w:r>
    </w:p>
    <w:p w14:paraId="7E77B151" w14:textId="77777777" w:rsidR="0048513A" w:rsidRPr="0048513A" w:rsidRDefault="0048513A" w:rsidP="0048513A">
      <w:pPr>
        <w:pStyle w:val="ListParagraph"/>
        <w:rPr>
          <w:rFonts w:ascii="Century Gothic" w:hAnsi="Century Gothic" w:cs="Tahoma"/>
          <w:bCs/>
          <w:sz w:val="24"/>
          <w:szCs w:val="24"/>
        </w:rPr>
      </w:pPr>
    </w:p>
    <w:p w14:paraId="54AF937F" w14:textId="2534E8F6" w:rsidR="00E61A9E" w:rsidRDefault="006B3284" w:rsidP="00B24A8A">
      <w:pPr>
        <w:pStyle w:val="ListParagraph"/>
        <w:numPr>
          <w:ilvl w:val="0"/>
          <w:numId w:val="2"/>
        </w:numPr>
        <w:spacing w:line="360" w:lineRule="auto"/>
        <w:ind w:left="567" w:hanging="993"/>
        <w:jc w:val="both"/>
        <w:rPr>
          <w:rFonts w:ascii="Century Gothic" w:hAnsi="Century Gothic" w:cs="Tahoma"/>
          <w:bCs/>
          <w:sz w:val="24"/>
          <w:szCs w:val="24"/>
        </w:rPr>
      </w:pPr>
      <w:r w:rsidRPr="0048513A">
        <w:rPr>
          <w:rFonts w:ascii="Century Gothic" w:hAnsi="Century Gothic" w:cs="Tahoma"/>
          <w:bCs/>
          <w:sz w:val="24"/>
          <w:szCs w:val="24"/>
        </w:rPr>
        <w:t>According to Karstens he agreed to provide the information whi</w:t>
      </w:r>
      <w:r w:rsidR="006F4338">
        <w:rPr>
          <w:rFonts w:ascii="Century Gothic" w:hAnsi="Century Gothic" w:cs="Tahoma"/>
          <w:bCs/>
          <w:sz w:val="24"/>
          <w:szCs w:val="24"/>
        </w:rPr>
        <w:t>l</w:t>
      </w:r>
      <w:r w:rsidRPr="0048513A">
        <w:rPr>
          <w:rFonts w:ascii="Century Gothic" w:hAnsi="Century Gothic" w:cs="Tahoma"/>
          <w:bCs/>
          <w:sz w:val="24"/>
          <w:szCs w:val="24"/>
        </w:rPr>
        <w:t>st having the assurances from his accountant that all the information would be available by the 15</w:t>
      </w:r>
      <w:r w:rsidRPr="0048513A">
        <w:rPr>
          <w:rFonts w:ascii="Century Gothic" w:hAnsi="Century Gothic" w:cs="Tahoma"/>
          <w:bCs/>
          <w:sz w:val="24"/>
          <w:szCs w:val="24"/>
          <w:vertAlign w:val="superscript"/>
        </w:rPr>
        <w:t>th</w:t>
      </w:r>
      <w:r w:rsidRPr="0048513A">
        <w:rPr>
          <w:rFonts w:ascii="Century Gothic" w:hAnsi="Century Gothic" w:cs="Tahoma"/>
          <w:bCs/>
          <w:sz w:val="24"/>
          <w:szCs w:val="24"/>
        </w:rPr>
        <w:t xml:space="preserve"> of June </w:t>
      </w:r>
      <w:r w:rsidR="006F4338">
        <w:rPr>
          <w:rFonts w:ascii="Century Gothic" w:hAnsi="Century Gothic" w:cs="Tahoma"/>
          <w:bCs/>
          <w:sz w:val="24"/>
          <w:szCs w:val="24"/>
        </w:rPr>
        <w:t>2020. The information was however not available on the 15</w:t>
      </w:r>
      <w:r w:rsidR="006F4338" w:rsidRPr="006F4338">
        <w:rPr>
          <w:rFonts w:ascii="Century Gothic" w:hAnsi="Century Gothic" w:cs="Tahoma"/>
          <w:bCs/>
          <w:sz w:val="24"/>
          <w:szCs w:val="24"/>
          <w:vertAlign w:val="superscript"/>
        </w:rPr>
        <w:t>th</w:t>
      </w:r>
      <w:r w:rsidR="006F4338">
        <w:rPr>
          <w:rFonts w:ascii="Century Gothic" w:hAnsi="Century Gothic" w:cs="Tahoma"/>
          <w:bCs/>
          <w:sz w:val="24"/>
          <w:szCs w:val="24"/>
        </w:rPr>
        <w:t xml:space="preserve"> of June </w:t>
      </w:r>
      <w:r w:rsidRPr="0048513A">
        <w:rPr>
          <w:rFonts w:ascii="Century Gothic" w:hAnsi="Century Gothic" w:cs="Tahoma"/>
          <w:bCs/>
          <w:sz w:val="24"/>
          <w:szCs w:val="24"/>
        </w:rPr>
        <w:t>and K</w:t>
      </w:r>
      <w:r w:rsidR="00683330">
        <w:rPr>
          <w:rFonts w:ascii="Century Gothic" w:hAnsi="Century Gothic" w:cs="Tahoma"/>
          <w:bCs/>
          <w:sz w:val="24"/>
          <w:szCs w:val="24"/>
        </w:rPr>
        <w:t>ar</w:t>
      </w:r>
      <w:r w:rsidRPr="0048513A">
        <w:rPr>
          <w:rFonts w:ascii="Century Gothic" w:hAnsi="Century Gothic" w:cs="Tahoma"/>
          <w:bCs/>
          <w:sz w:val="24"/>
          <w:szCs w:val="24"/>
        </w:rPr>
        <w:t>stens made a request f</w:t>
      </w:r>
      <w:r w:rsidR="006F4338">
        <w:rPr>
          <w:rFonts w:ascii="Century Gothic" w:hAnsi="Century Gothic" w:cs="Tahoma"/>
          <w:bCs/>
          <w:sz w:val="24"/>
          <w:szCs w:val="24"/>
        </w:rPr>
        <w:t>r</w:t>
      </w:r>
      <w:r w:rsidRPr="0048513A">
        <w:rPr>
          <w:rFonts w:ascii="Century Gothic" w:hAnsi="Century Gothic" w:cs="Tahoma"/>
          <w:bCs/>
          <w:sz w:val="24"/>
          <w:szCs w:val="24"/>
        </w:rPr>
        <w:t>om Morake on the 9</w:t>
      </w:r>
      <w:r w:rsidRPr="0048513A">
        <w:rPr>
          <w:rFonts w:ascii="Century Gothic" w:hAnsi="Century Gothic" w:cs="Tahoma"/>
          <w:bCs/>
          <w:sz w:val="24"/>
          <w:szCs w:val="24"/>
          <w:vertAlign w:val="superscript"/>
        </w:rPr>
        <w:t>th</w:t>
      </w:r>
      <w:r w:rsidRPr="0048513A">
        <w:rPr>
          <w:rFonts w:ascii="Century Gothic" w:hAnsi="Century Gothic" w:cs="Tahoma"/>
          <w:bCs/>
          <w:sz w:val="24"/>
          <w:szCs w:val="24"/>
        </w:rPr>
        <w:t xml:space="preserve"> of July 2020</w:t>
      </w:r>
      <w:r w:rsidR="006F4338">
        <w:rPr>
          <w:rFonts w:ascii="Century Gothic" w:hAnsi="Century Gothic" w:cs="Tahoma"/>
          <w:bCs/>
          <w:sz w:val="24"/>
          <w:szCs w:val="24"/>
        </w:rPr>
        <w:t xml:space="preserve"> to provide the information no later than the 15</w:t>
      </w:r>
      <w:r w:rsidR="006F4338" w:rsidRPr="006F4338">
        <w:rPr>
          <w:rFonts w:ascii="Century Gothic" w:hAnsi="Century Gothic" w:cs="Tahoma"/>
          <w:bCs/>
          <w:sz w:val="24"/>
          <w:szCs w:val="24"/>
          <w:vertAlign w:val="superscript"/>
        </w:rPr>
        <w:t>th</w:t>
      </w:r>
      <w:r w:rsidR="006F4338">
        <w:rPr>
          <w:rFonts w:ascii="Century Gothic" w:hAnsi="Century Gothic" w:cs="Tahoma"/>
          <w:bCs/>
          <w:sz w:val="24"/>
          <w:szCs w:val="24"/>
        </w:rPr>
        <w:t xml:space="preserve"> of July 2020</w:t>
      </w:r>
      <w:r w:rsidRPr="0048513A">
        <w:rPr>
          <w:rFonts w:ascii="Century Gothic" w:hAnsi="Century Gothic" w:cs="Tahoma"/>
          <w:bCs/>
          <w:sz w:val="24"/>
          <w:szCs w:val="24"/>
        </w:rPr>
        <w:t xml:space="preserve">. In support hereof, Karstens attached a letter </w:t>
      </w:r>
      <w:r w:rsidR="006F4338" w:rsidRPr="0048513A">
        <w:rPr>
          <w:rFonts w:ascii="Century Gothic" w:hAnsi="Century Gothic" w:cs="Tahoma"/>
          <w:bCs/>
          <w:sz w:val="24"/>
          <w:szCs w:val="24"/>
        </w:rPr>
        <w:t>dated the 9</w:t>
      </w:r>
      <w:r w:rsidR="006F4338" w:rsidRPr="0048513A">
        <w:rPr>
          <w:rFonts w:ascii="Century Gothic" w:hAnsi="Century Gothic" w:cs="Tahoma"/>
          <w:bCs/>
          <w:sz w:val="24"/>
          <w:szCs w:val="24"/>
          <w:vertAlign w:val="superscript"/>
        </w:rPr>
        <w:t>th</w:t>
      </w:r>
      <w:r w:rsidR="006F4338" w:rsidRPr="0048513A">
        <w:rPr>
          <w:rFonts w:ascii="Century Gothic" w:hAnsi="Century Gothic" w:cs="Tahoma"/>
          <w:bCs/>
          <w:sz w:val="24"/>
          <w:szCs w:val="24"/>
        </w:rPr>
        <w:t xml:space="preserve"> of July 2020</w:t>
      </w:r>
      <w:r w:rsidR="008237A2">
        <w:rPr>
          <w:rFonts w:ascii="Century Gothic" w:hAnsi="Century Gothic" w:cs="Tahoma"/>
          <w:bCs/>
          <w:sz w:val="24"/>
          <w:szCs w:val="24"/>
        </w:rPr>
        <w:t xml:space="preserve">, </w:t>
      </w:r>
      <w:r w:rsidRPr="0048513A">
        <w:rPr>
          <w:rFonts w:ascii="Century Gothic" w:hAnsi="Century Gothic" w:cs="Tahoma"/>
          <w:bCs/>
          <w:sz w:val="24"/>
          <w:szCs w:val="24"/>
        </w:rPr>
        <w:t xml:space="preserve">addressed by Van de </w:t>
      </w:r>
      <w:r w:rsidR="006F4338">
        <w:rPr>
          <w:rFonts w:ascii="Century Gothic" w:hAnsi="Century Gothic" w:cs="Tahoma"/>
          <w:bCs/>
          <w:sz w:val="24"/>
          <w:szCs w:val="24"/>
        </w:rPr>
        <w:t>W</w:t>
      </w:r>
      <w:r w:rsidRPr="0048513A">
        <w:rPr>
          <w:rFonts w:ascii="Century Gothic" w:hAnsi="Century Gothic" w:cs="Tahoma"/>
          <w:bCs/>
          <w:sz w:val="24"/>
          <w:szCs w:val="24"/>
        </w:rPr>
        <w:t>all to Magoma</w:t>
      </w:r>
      <w:r w:rsidR="008237A2">
        <w:rPr>
          <w:rFonts w:ascii="Century Gothic" w:hAnsi="Century Gothic" w:cs="Tahoma"/>
          <w:bCs/>
          <w:sz w:val="24"/>
          <w:szCs w:val="24"/>
        </w:rPr>
        <w:t>,</w:t>
      </w:r>
      <w:r w:rsidRPr="0048513A">
        <w:rPr>
          <w:rFonts w:ascii="Century Gothic" w:hAnsi="Century Gothic" w:cs="Tahoma"/>
          <w:bCs/>
          <w:sz w:val="24"/>
          <w:szCs w:val="24"/>
        </w:rPr>
        <w:t xml:space="preserve"> to his a</w:t>
      </w:r>
      <w:r w:rsidR="0048513A" w:rsidRPr="0048513A">
        <w:rPr>
          <w:rFonts w:ascii="Century Gothic" w:hAnsi="Century Gothic" w:cs="Tahoma"/>
          <w:bCs/>
          <w:sz w:val="24"/>
          <w:szCs w:val="24"/>
        </w:rPr>
        <w:t>nswering affidavit,</w:t>
      </w:r>
      <w:r w:rsidRPr="0048513A">
        <w:rPr>
          <w:rFonts w:ascii="Century Gothic" w:hAnsi="Century Gothic" w:cs="Tahoma"/>
          <w:bCs/>
          <w:sz w:val="24"/>
          <w:szCs w:val="24"/>
        </w:rPr>
        <w:t xml:space="preserve"> </w:t>
      </w:r>
      <w:r w:rsidR="006F4338">
        <w:rPr>
          <w:rFonts w:ascii="Century Gothic" w:hAnsi="Century Gothic" w:cs="Tahoma"/>
          <w:bCs/>
          <w:sz w:val="24"/>
          <w:szCs w:val="24"/>
        </w:rPr>
        <w:t xml:space="preserve">that </w:t>
      </w:r>
      <w:r w:rsidRPr="0048513A">
        <w:rPr>
          <w:rFonts w:ascii="Century Gothic" w:hAnsi="Century Gothic" w:cs="Tahoma"/>
          <w:bCs/>
          <w:sz w:val="24"/>
          <w:szCs w:val="24"/>
        </w:rPr>
        <w:t xml:space="preserve">stated that due to an oversight </w:t>
      </w:r>
      <w:r w:rsidR="006F4338">
        <w:rPr>
          <w:rFonts w:ascii="Century Gothic" w:hAnsi="Century Gothic" w:cs="Tahoma"/>
          <w:bCs/>
          <w:sz w:val="24"/>
          <w:szCs w:val="24"/>
        </w:rPr>
        <w:t>in</w:t>
      </w:r>
      <w:r w:rsidRPr="0048513A">
        <w:rPr>
          <w:rFonts w:ascii="Century Gothic" w:hAnsi="Century Gothic" w:cs="Tahoma"/>
          <w:bCs/>
          <w:sz w:val="24"/>
          <w:szCs w:val="24"/>
        </w:rPr>
        <w:t xml:space="preserve"> Mr Addinall’s</w:t>
      </w:r>
      <w:r w:rsidR="0048513A">
        <w:rPr>
          <w:rStyle w:val="FootnoteReference"/>
          <w:rFonts w:ascii="Century Gothic" w:hAnsi="Century Gothic" w:cs="Tahoma"/>
          <w:bCs/>
          <w:sz w:val="24"/>
          <w:szCs w:val="24"/>
        </w:rPr>
        <w:footnoteReference w:id="2"/>
      </w:r>
      <w:r w:rsidR="0048513A" w:rsidRPr="0048513A">
        <w:rPr>
          <w:rFonts w:ascii="Century Gothic" w:hAnsi="Century Gothic" w:cs="Tahoma"/>
          <w:bCs/>
          <w:sz w:val="24"/>
          <w:szCs w:val="24"/>
        </w:rPr>
        <w:t xml:space="preserve"> department the court order of 19 June 2020 was only sent to their client on the 8</w:t>
      </w:r>
      <w:r w:rsidR="0048513A" w:rsidRPr="0048513A">
        <w:rPr>
          <w:rFonts w:ascii="Century Gothic" w:hAnsi="Century Gothic" w:cs="Tahoma"/>
          <w:bCs/>
          <w:sz w:val="24"/>
          <w:szCs w:val="24"/>
          <w:vertAlign w:val="superscript"/>
        </w:rPr>
        <w:t>th</w:t>
      </w:r>
      <w:r w:rsidR="0048513A" w:rsidRPr="0048513A">
        <w:rPr>
          <w:rFonts w:ascii="Century Gothic" w:hAnsi="Century Gothic" w:cs="Tahoma"/>
          <w:bCs/>
          <w:sz w:val="24"/>
          <w:szCs w:val="24"/>
        </w:rPr>
        <w:t xml:space="preserve"> of June 2020</w:t>
      </w:r>
      <w:r w:rsidR="0048513A">
        <w:rPr>
          <w:rStyle w:val="FootnoteReference"/>
          <w:rFonts w:ascii="Century Gothic" w:hAnsi="Century Gothic" w:cs="Tahoma"/>
          <w:bCs/>
          <w:sz w:val="24"/>
          <w:szCs w:val="24"/>
        </w:rPr>
        <w:footnoteReference w:id="3"/>
      </w:r>
      <w:r w:rsidR="0048513A" w:rsidRPr="0048513A">
        <w:rPr>
          <w:rFonts w:ascii="Century Gothic" w:hAnsi="Century Gothic" w:cs="Tahoma"/>
          <w:bCs/>
          <w:sz w:val="24"/>
          <w:szCs w:val="24"/>
        </w:rPr>
        <w:t xml:space="preserve"> and that apologised for </w:t>
      </w:r>
      <w:r w:rsidR="008237A2">
        <w:rPr>
          <w:rFonts w:ascii="Century Gothic" w:hAnsi="Century Gothic" w:cs="Tahoma"/>
          <w:bCs/>
          <w:sz w:val="24"/>
          <w:szCs w:val="24"/>
        </w:rPr>
        <w:t>such</w:t>
      </w:r>
      <w:r w:rsidR="0048513A" w:rsidRPr="0048513A">
        <w:rPr>
          <w:rFonts w:ascii="Century Gothic" w:hAnsi="Century Gothic" w:cs="Tahoma"/>
          <w:bCs/>
          <w:sz w:val="24"/>
          <w:szCs w:val="24"/>
        </w:rPr>
        <w:t xml:space="preserve"> oversight. The letter went on to state that Karstens did request the documentation </w:t>
      </w:r>
      <w:r w:rsidR="006F4338">
        <w:rPr>
          <w:rFonts w:ascii="Century Gothic" w:hAnsi="Century Gothic" w:cs="Tahoma"/>
          <w:bCs/>
          <w:sz w:val="24"/>
          <w:szCs w:val="24"/>
        </w:rPr>
        <w:t xml:space="preserve">from his bookkeeper and that the documentation </w:t>
      </w:r>
      <w:r w:rsidR="0048513A" w:rsidRPr="0048513A">
        <w:rPr>
          <w:rFonts w:ascii="Century Gothic" w:hAnsi="Century Gothic" w:cs="Tahoma"/>
          <w:bCs/>
          <w:sz w:val="24"/>
          <w:szCs w:val="24"/>
        </w:rPr>
        <w:t>would be available on Wednesday the 15</w:t>
      </w:r>
      <w:r w:rsidR="0048513A" w:rsidRPr="0048513A">
        <w:rPr>
          <w:rFonts w:ascii="Century Gothic" w:hAnsi="Century Gothic" w:cs="Tahoma"/>
          <w:bCs/>
          <w:sz w:val="24"/>
          <w:szCs w:val="24"/>
          <w:vertAlign w:val="superscript"/>
        </w:rPr>
        <w:t>th</w:t>
      </w:r>
      <w:r w:rsidR="0048513A" w:rsidRPr="0048513A">
        <w:rPr>
          <w:rFonts w:ascii="Century Gothic" w:hAnsi="Century Gothic" w:cs="Tahoma"/>
          <w:bCs/>
          <w:sz w:val="24"/>
          <w:szCs w:val="24"/>
        </w:rPr>
        <w:t xml:space="preserve"> of July 2020</w:t>
      </w:r>
      <w:r w:rsidR="006F4338">
        <w:rPr>
          <w:rFonts w:ascii="Century Gothic" w:hAnsi="Century Gothic" w:cs="Tahoma"/>
          <w:bCs/>
          <w:sz w:val="24"/>
          <w:szCs w:val="24"/>
        </w:rPr>
        <w:t>.</w:t>
      </w:r>
      <w:r w:rsidR="0048513A" w:rsidRPr="0048513A">
        <w:rPr>
          <w:rFonts w:ascii="Century Gothic" w:hAnsi="Century Gothic" w:cs="Tahoma"/>
          <w:bCs/>
          <w:sz w:val="24"/>
          <w:szCs w:val="24"/>
        </w:rPr>
        <w:t xml:space="preserve"> Morake granted Karstens’ request for the indulgence. </w:t>
      </w:r>
    </w:p>
    <w:p w14:paraId="3AFD51B7" w14:textId="77777777" w:rsidR="0048513A" w:rsidRPr="0048513A" w:rsidRDefault="0048513A" w:rsidP="0048513A">
      <w:pPr>
        <w:pStyle w:val="ListParagraph"/>
        <w:rPr>
          <w:rFonts w:ascii="Century Gothic" w:hAnsi="Century Gothic" w:cs="Tahoma"/>
          <w:bCs/>
          <w:sz w:val="24"/>
          <w:szCs w:val="24"/>
        </w:rPr>
      </w:pPr>
    </w:p>
    <w:p w14:paraId="56CBA5AD" w14:textId="4F1D5D33" w:rsidR="0048513A" w:rsidRDefault="0048513A" w:rsidP="00B24A8A">
      <w:pPr>
        <w:pStyle w:val="ListParagraph"/>
        <w:numPr>
          <w:ilvl w:val="0"/>
          <w:numId w:val="2"/>
        </w:numPr>
        <w:spacing w:line="360" w:lineRule="auto"/>
        <w:ind w:left="567" w:hanging="993"/>
        <w:jc w:val="both"/>
        <w:rPr>
          <w:rFonts w:ascii="Century Gothic" w:hAnsi="Century Gothic" w:cs="Tahoma"/>
          <w:bCs/>
          <w:sz w:val="24"/>
          <w:szCs w:val="24"/>
        </w:rPr>
      </w:pPr>
      <w:r>
        <w:rPr>
          <w:rFonts w:ascii="Century Gothic" w:hAnsi="Century Gothic" w:cs="Tahoma"/>
          <w:bCs/>
          <w:sz w:val="24"/>
          <w:szCs w:val="24"/>
        </w:rPr>
        <w:t>On the 16</w:t>
      </w:r>
      <w:r w:rsidRPr="0048513A">
        <w:rPr>
          <w:rFonts w:ascii="Century Gothic" w:hAnsi="Century Gothic" w:cs="Tahoma"/>
          <w:bCs/>
          <w:sz w:val="24"/>
          <w:szCs w:val="24"/>
          <w:vertAlign w:val="superscript"/>
        </w:rPr>
        <w:t>th</w:t>
      </w:r>
      <w:r>
        <w:rPr>
          <w:rFonts w:ascii="Century Gothic" w:hAnsi="Century Gothic" w:cs="Tahoma"/>
          <w:bCs/>
          <w:sz w:val="24"/>
          <w:szCs w:val="24"/>
        </w:rPr>
        <w:t xml:space="preserve"> of July </w:t>
      </w:r>
      <w:r w:rsidR="00683330">
        <w:rPr>
          <w:rFonts w:ascii="Century Gothic" w:hAnsi="Century Gothic" w:cs="Tahoma"/>
          <w:bCs/>
          <w:sz w:val="24"/>
          <w:szCs w:val="24"/>
        </w:rPr>
        <w:t>Karstens was notified by his accountant that the outstanding financial statement had not been completed because of the relocation of the accountant</w:t>
      </w:r>
      <w:r w:rsidR="00B165A8">
        <w:rPr>
          <w:rFonts w:ascii="Century Gothic" w:hAnsi="Century Gothic" w:cs="Tahoma"/>
          <w:bCs/>
          <w:sz w:val="24"/>
          <w:szCs w:val="24"/>
        </w:rPr>
        <w:t>’s offices in Kimberley, the accountant</w:t>
      </w:r>
      <w:r w:rsidR="00683330">
        <w:rPr>
          <w:rFonts w:ascii="Century Gothic" w:hAnsi="Century Gothic" w:cs="Tahoma"/>
          <w:bCs/>
          <w:sz w:val="24"/>
          <w:szCs w:val="24"/>
        </w:rPr>
        <w:t xml:space="preserve"> then relocating from Kimberley to Upington and delays related to the Covid pandemic. Kar</w:t>
      </w:r>
      <w:r w:rsidR="00B165A8">
        <w:rPr>
          <w:rFonts w:ascii="Century Gothic" w:hAnsi="Century Gothic" w:cs="Tahoma"/>
          <w:bCs/>
          <w:sz w:val="24"/>
          <w:szCs w:val="24"/>
        </w:rPr>
        <w:t>s</w:t>
      </w:r>
      <w:r w:rsidR="00683330">
        <w:rPr>
          <w:rFonts w:ascii="Century Gothic" w:hAnsi="Century Gothic" w:cs="Tahoma"/>
          <w:bCs/>
          <w:sz w:val="24"/>
          <w:szCs w:val="24"/>
        </w:rPr>
        <w:t xml:space="preserve">tens stated that a confirmatory affidavit </w:t>
      </w:r>
      <w:r w:rsidR="00B165A8">
        <w:rPr>
          <w:rFonts w:ascii="Century Gothic" w:hAnsi="Century Gothic" w:cs="Tahoma"/>
          <w:bCs/>
          <w:sz w:val="24"/>
          <w:szCs w:val="24"/>
        </w:rPr>
        <w:t xml:space="preserve">by the accountant was attached to his answering affidavit </w:t>
      </w:r>
      <w:r w:rsidR="00683330">
        <w:rPr>
          <w:rFonts w:ascii="Century Gothic" w:hAnsi="Century Gothic" w:cs="Tahoma"/>
          <w:bCs/>
          <w:sz w:val="24"/>
          <w:szCs w:val="24"/>
        </w:rPr>
        <w:t>as annexure “C”. I</w:t>
      </w:r>
      <w:r w:rsidR="00B165A8">
        <w:rPr>
          <w:rFonts w:ascii="Century Gothic" w:hAnsi="Century Gothic" w:cs="Tahoma"/>
          <w:bCs/>
          <w:sz w:val="24"/>
          <w:szCs w:val="24"/>
        </w:rPr>
        <w:t xml:space="preserve"> interpose to</w:t>
      </w:r>
      <w:r w:rsidR="00683330">
        <w:rPr>
          <w:rFonts w:ascii="Century Gothic" w:hAnsi="Century Gothic" w:cs="Tahoma"/>
          <w:bCs/>
          <w:sz w:val="24"/>
          <w:szCs w:val="24"/>
        </w:rPr>
        <w:t xml:space="preserve"> state that annexure “</w:t>
      </w:r>
      <w:r w:rsidR="00B165A8">
        <w:rPr>
          <w:rFonts w:ascii="Century Gothic" w:hAnsi="Century Gothic" w:cs="Tahoma"/>
          <w:bCs/>
          <w:sz w:val="24"/>
          <w:szCs w:val="24"/>
        </w:rPr>
        <w:t>C</w:t>
      </w:r>
      <w:r w:rsidR="00683330">
        <w:rPr>
          <w:rFonts w:ascii="Century Gothic" w:hAnsi="Century Gothic" w:cs="Tahoma"/>
          <w:bCs/>
          <w:sz w:val="24"/>
          <w:szCs w:val="24"/>
        </w:rPr>
        <w:t>” however can only be construed as a statement, as the document does not comply with the regulations governing the administering of an oath or affirmation.</w:t>
      </w:r>
      <w:r w:rsidR="00683330">
        <w:rPr>
          <w:rStyle w:val="FootnoteReference"/>
          <w:rFonts w:ascii="Century Gothic" w:hAnsi="Century Gothic" w:cs="Tahoma"/>
          <w:bCs/>
          <w:sz w:val="24"/>
          <w:szCs w:val="24"/>
        </w:rPr>
        <w:footnoteReference w:id="4"/>
      </w:r>
    </w:p>
    <w:p w14:paraId="56306E39" w14:textId="77777777" w:rsidR="00683330" w:rsidRPr="00683330" w:rsidRDefault="00683330" w:rsidP="00683330">
      <w:pPr>
        <w:pStyle w:val="ListParagraph"/>
        <w:rPr>
          <w:rFonts w:ascii="Century Gothic" w:hAnsi="Century Gothic" w:cs="Tahoma"/>
          <w:bCs/>
          <w:sz w:val="24"/>
          <w:szCs w:val="24"/>
        </w:rPr>
      </w:pPr>
    </w:p>
    <w:p w14:paraId="6EF21D79" w14:textId="29BB810C" w:rsidR="00683330" w:rsidRDefault="00683330" w:rsidP="00B24A8A">
      <w:pPr>
        <w:pStyle w:val="ListParagraph"/>
        <w:numPr>
          <w:ilvl w:val="0"/>
          <w:numId w:val="2"/>
        </w:numPr>
        <w:spacing w:line="360" w:lineRule="auto"/>
        <w:ind w:left="567" w:hanging="993"/>
        <w:jc w:val="both"/>
        <w:rPr>
          <w:rFonts w:ascii="Century Gothic" w:hAnsi="Century Gothic" w:cs="Tahoma"/>
          <w:bCs/>
          <w:sz w:val="24"/>
          <w:szCs w:val="24"/>
        </w:rPr>
      </w:pPr>
      <w:r>
        <w:rPr>
          <w:rFonts w:ascii="Century Gothic" w:hAnsi="Century Gothic" w:cs="Tahoma"/>
          <w:bCs/>
          <w:sz w:val="24"/>
          <w:szCs w:val="24"/>
        </w:rPr>
        <w:t>Kar</w:t>
      </w:r>
      <w:r w:rsidR="00B165A8">
        <w:rPr>
          <w:rFonts w:ascii="Century Gothic" w:hAnsi="Century Gothic" w:cs="Tahoma"/>
          <w:bCs/>
          <w:sz w:val="24"/>
          <w:szCs w:val="24"/>
        </w:rPr>
        <w:t>s</w:t>
      </w:r>
      <w:r>
        <w:rPr>
          <w:rFonts w:ascii="Century Gothic" w:hAnsi="Century Gothic" w:cs="Tahoma"/>
          <w:bCs/>
          <w:sz w:val="24"/>
          <w:szCs w:val="24"/>
        </w:rPr>
        <w:t>tens further stated that he agreed to provide the information</w:t>
      </w:r>
      <w:r w:rsidR="00D42209">
        <w:rPr>
          <w:rFonts w:ascii="Century Gothic" w:hAnsi="Century Gothic" w:cs="Tahoma"/>
          <w:bCs/>
          <w:sz w:val="24"/>
          <w:szCs w:val="24"/>
        </w:rPr>
        <w:t xml:space="preserve"> knowing that:</w:t>
      </w:r>
    </w:p>
    <w:p w14:paraId="364A02DE" w14:textId="77777777" w:rsidR="00D42209" w:rsidRPr="00D42209" w:rsidRDefault="00D42209" w:rsidP="00D42209">
      <w:pPr>
        <w:pStyle w:val="ListParagraph"/>
        <w:rPr>
          <w:rFonts w:ascii="Century Gothic" w:hAnsi="Century Gothic" w:cs="Tahoma"/>
          <w:bCs/>
          <w:sz w:val="24"/>
          <w:szCs w:val="24"/>
        </w:rPr>
      </w:pPr>
    </w:p>
    <w:p w14:paraId="7CCE263F" w14:textId="26FA73D6" w:rsidR="00D42209" w:rsidRDefault="00D42209" w:rsidP="0076474F">
      <w:pPr>
        <w:pStyle w:val="ListParagraph"/>
        <w:numPr>
          <w:ilvl w:val="1"/>
          <w:numId w:val="6"/>
        </w:numPr>
        <w:spacing w:line="360" w:lineRule="auto"/>
        <w:jc w:val="both"/>
        <w:rPr>
          <w:rFonts w:ascii="Century Gothic" w:hAnsi="Century Gothic" w:cs="Tahoma"/>
          <w:bCs/>
          <w:sz w:val="24"/>
          <w:szCs w:val="24"/>
        </w:rPr>
      </w:pPr>
      <w:r w:rsidRPr="0076474F">
        <w:rPr>
          <w:rFonts w:ascii="Century Gothic" w:hAnsi="Century Gothic" w:cs="Tahoma"/>
          <w:bCs/>
          <w:sz w:val="24"/>
          <w:szCs w:val="24"/>
        </w:rPr>
        <w:lastRenderedPageBreak/>
        <w:t>No contracts or service level agreements were concluded between Multitech and any other entity. All quotations and invoices were captured on an accounting system and freely available to Morake;</w:t>
      </w:r>
    </w:p>
    <w:p w14:paraId="713A9C06" w14:textId="77777777" w:rsidR="0076474F" w:rsidRPr="0076474F" w:rsidRDefault="0076474F" w:rsidP="0076474F">
      <w:pPr>
        <w:pStyle w:val="ListParagraph"/>
        <w:spacing w:line="360" w:lineRule="auto"/>
        <w:jc w:val="both"/>
        <w:rPr>
          <w:rFonts w:ascii="Century Gothic" w:hAnsi="Century Gothic" w:cs="Tahoma"/>
          <w:bCs/>
          <w:sz w:val="24"/>
          <w:szCs w:val="24"/>
        </w:rPr>
      </w:pPr>
    </w:p>
    <w:p w14:paraId="47B97624" w14:textId="5D78DD28" w:rsidR="00D42209" w:rsidRDefault="00D42209" w:rsidP="0076474F">
      <w:pPr>
        <w:pStyle w:val="ListParagraph"/>
        <w:numPr>
          <w:ilvl w:val="1"/>
          <w:numId w:val="6"/>
        </w:numPr>
        <w:spacing w:line="360" w:lineRule="auto"/>
        <w:jc w:val="both"/>
        <w:rPr>
          <w:rFonts w:ascii="Century Gothic" w:hAnsi="Century Gothic" w:cs="Tahoma"/>
          <w:bCs/>
          <w:sz w:val="24"/>
          <w:szCs w:val="24"/>
        </w:rPr>
      </w:pPr>
      <w:r w:rsidRPr="0076474F">
        <w:rPr>
          <w:rFonts w:ascii="Century Gothic" w:hAnsi="Century Gothic" w:cs="Tahoma"/>
          <w:bCs/>
          <w:sz w:val="24"/>
          <w:szCs w:val="24"/>
        </w:rPr>
        <w:t xml:space="preserve">Morake went with </w:t>
      </w:r>
      <w:r w:rsidR="00B165A8">
        <w:rPr>
          <w:rFonts w:ascii="Century Gothic" w:hAnsi="Century Gothic" w:cs="Tahoma"/>
          <w:bCs/>
          <w:sz w:val="24"/>
          <w:szCs w:val="24"/>
        </w:rPr>
        <w:t>K</w:t>
      </w:r>
      <w:r w:rsidRPr="0076474F">
        <w:rPr>
          <w:rFonts w:ascii="Century Gothic" w:hAnsi="Century Gothic" w:cs="Tahoma"/>
          <w:bCs/>
          <w:sz w:val="24"/>
          <w:szCs w:val="24"/>
        </w:rPr>
        <w:t>arstens to Multitech’s accountants during November 2018 and was introduced to Multitech’s specific accountant at the firm. As majority shareholder, Morake was entitled and able to request and obtain the financial statements of Multitech;</w:t>
      </w:r>
    </w:p>
    <w:p w14:paraId="27C08165" w14:textId="77777777" w:rsidR="0076474F" w:rsidRPr="0076474F" w:rsidRDefault="0076474F" w:rsidP="0076474F">
      <w:pPr>
        <w:pStyle w:val="ListParagraph"/>
        <w:rPr>
          <w:rFonts w:ascii="Century Gothic" w:hAnsi="Century Gothic" w:cs="Tahoma"/>
          <w:bCs/>
          <w:sz w:val="24"/>
          <w:szCs w:val="24"/>
        </w:rPr>
      </w:pPr>
    </w:p>
    <w:p w14:paraId="73EF2DF9" w14:textId="15F9777D" w:rsidR="00D42209" w:rsidRDefault="00D42209" w:rsidP="0076474F">
      <w:pPr>
        <w:pStyle w:val="ListParagraph"/>
        <w:numPr>
          <w:ilvl w:val="1"/>
          <w:numId w:val="6"/>
        </w:numPr>
        <w:spacing w:line="360" w:lineRule="auto"/>
        <w:jc w:val="both"/>
        <w:rPr>
          <w:rFonts w:ascii="Century Gothic" w:hAnsi="Century Gothic" w:cs="Tahoma"/>
          <w:bCs/>
          <w:sz w:val="24"/>
          <w:szCs w:val="24"/>
        </w:rPr>
      </w:pPr>
      <w:r>
        <w:rPr>
          <w:rFonts w:ascii="Century Gothic" w:hAnsi="Century Gothic" w:cs="Tahoma"/>
          <w:bCs/>
          <w:sz w:val="24"/>
          <w:szCs w:val="24"/>
        </w:rPr>
        <w:t>The inventory of moveable and immovable assets is dealt with in the financial statem</w:t>
      </w:r>
      <w:r w:rsidR="0076474F">
        <w:rPr>
          <w:rFonts w:ascii="Century Gothic" w:hAnsi="Century Gothic" w:cs="Tahoma"/>
          <w:bCs/>
          <w:sz w:val="24"/>
          <w:szCs w:val="24"/>
        </w:rPr>
        <w:t>e</w:t>
      </w:r>
      <w:r>
        <w:rPr>
          <w:rFonts w:ascii="Century Gothic" w:hAnsi="Century Gothic" w:cs="Tahoma"/>
          <w:bCs/>
          <w:sz w:val="24"/>
          <w:szCs w:val="24"/>
        </w:rPr>
        <w:t>nts;</w:t>
      </w:r>
    </w:p>
    <w:p w14:paraId="063EE333" w14:textId="77777777" w:rsidR="0076474F" w:rsidRDefault="0076474F" w:rsidP="0076474F">
      <w:pPr>
        <w:pStyle w:val="ListParagraph"/>
        <w:spacing w:line="360" w:lineRule="auto"/>
        <w:jc w:val="both"/>
        <w:rPr>
          <w:rFonts w:ascii="Century Gothic" w:hAnsi="Century Gothic" w:cs="Tahoma"/>
          <w:bCs/>
          <w:sz w:val="24"/>
          <w:szCs w:val="24"/>
        </w:rPr>
      </w:pPr>
    </w:p>
    <w:p w14:paraId="162B69EE" w14:textId="5B7F4079" w:rsidR="0076474F" w:rsidRPr="0076474F" w:rsidRDefault="00D42209" w:rsidP="0076474F">
      <w:pPr>
        <w:pStyle w:val="ListParagraph"/>
        <w:numPr>
          <w:ilvl w:val="1"/>
          <w:numId w:val="6"/>
        </w:numPr>
        <w:spacing w:line="360" w:lineRule="auto"/>
        <w:jc w:val="both"/>
        <w:rPr>
          <w:rFonts w:ascii="Century Gothic" w:hAnsi="Century Gothic" w:cs="Tahoma"/>
          <w:bCs/>
          <w:sz w:val="24"/>
          <w:szCs w:val="24"/>
        </w:rPr>
      </w:pPr>
      <w:r>
        <w:rPr>
          <w:rFonts w:ascii="Century Gothic" w:hAnsi="Century Gothic" w:cs="Tahoma"/>
          <w:bCs/>
          <w:sz w:val="24"/>
          <w:szCs w:val="24"/>
        </w:rPr>
        <w:t>Multitech only holds banking accounts with First National Bank</w:t>
      </w:r>
      <w:r w:rsidR="0076474F">
        <w:rPr>
          <w:rFonts w:ascii="Century Gothic" w:hAnsi="Century Gothic" w:cs="Tahoma"/>
          <w:bCs/>
          <w:sz w:val="24"/>
          <w:szCs w:val="24"/>
        </w:rPr>
        <w:t>;</w:t>
      </w:r>
    </w:p>
    <w:p w14:paraId="42E5E24A" w14:textId="77777777" w:rsidR="0076474F" w:rsidRDefault="0076474F" w:rsidP="0076474F">
      <w:pPr>
        <w:pStyle w:val="ListParagraph"/>
        <w:spacing w:line="360" w:lineRule="auto"/>
        <w:jc w:val="both"/>
        <w:rPr>
          <w:rFonts w:ascii="Century Gothic" w:hAnsi="Century Gothic" w:cs="Tahoma"/>
          <w:bCs/>
          <w:sz w:val="24"/>
          <w:szCs w:val="24"/>
        </w:rPr>
      </w:pPr>
    </w:p>
    <w:p w14:paraId="13797F30" w14:textId="6464F59A" w:rsidR="0076474F" w:rsidRPr="0076474F" w:rsidRDefault="0076474F" w:rsidP="0076474F">
      <w:pPr>
        <w:pStyle w:val="ListParagraph"/>
        <w:numPr>
          <w:ilvl w:val="1"/>
          <w:numId w:val="6"/>
        </w:numPr>
        <w:spacing w:line="360" w:lineRule="auto"/>
        <w:jc w:val="both"/>
        <w:rPr>
          <w:rFonts w:ascii="Century Gothic" w:hAnsi="Century Gothic" w:cs="Tahoma"/>
          <w:bCs/>
          <w:sz w:val="24"/>
          <w:szCs w:val="24"/>
        </w:rPr>
      </w:pPr>
      <w:r>
        <w:rPr>
          <w:rFonts w:ascii="Century Gothic" w:hAnsi="Century Gothic" w:cs="Tahoma"/>
          <w:bCs/>
          <w:sz w:val="24"/>
          <w:szCs w:val="24"/>
        </w:rPr>
        <w:t xml:space="preserve">Multitech holds an account with First National Bank in Kimberley. The bank statements for this account up to December 2019 is in possession of the bookkeeper </w:t>
      </w:r>
      <w:r w:rsidR="00C7758C">
        <w:rPr>
          <w:rFonts w:ascii="Century Gothic" w:hAnsi="Century Gothic" w:cs="Tahoma"/>
          <w:bCs/>
          <w:sz w:val="24"/>
          <w:szCs w:val="24"/>
        </w:rPr>
        <w:t xml:space="preserve">(accountant, </w:t>
      </w:r>
      <w:r>
        <w:rPr>
          <w:rFonts w:ascii="Century Gothic" w:hAnsi="Century Gothic" w:cs="Tahoma"/>
          <w:bCs/>
          <w:sz w:val="24"/>
          <w:szCs w:val="24"/>
        </w:rPr>
        <w:t>I suppose</w:t>
      </w:r>
      <w:r w:rsidR="00C7758C">
        <w:rPr>
          <w:rFonts w:ascii="Century Gothic" w:hAnsi="Century Gothic" w:cs="Tahoma"/>
          <w:bCs/>
          <w:sz w:val="24"/>
          <w:szCs w:val="24"/>
        </w:rPr>
        <w:t xml:space="preserve">) </w:t>
      </w:r>
      <w:r>
        <w:rPr>
          <w:rFonts w:ascii="Century Gothic" w:hAnsi="Century Gothic" w:cs="Tahoma"/>
          <w:bCs/>
          <w:sz w:val="24"/>
          <w:szCs w:val="24"/>
        </w:rPr>
        <w:t>and would be available when the financial statements</w:t>
      </w:r>
      <w:r w:rsidR="00C7758C">
        <w:rPr>
          <w:rFonts w:ascii="Century Gothic" w:hAnsi="Century Gothic" w:cs="Tahoma"/>
          <w:bCs/>
          <w:sz w:val="24"/>
          <w:szCs w:val="24"/>
        </w:rPr>
        <w:t xml:space="preserve"> </w:t>
      </w:r>
      <w:r>
        <w:rPr>
          <w:rFonts w:ascii="Century Gothic" w:hAnsi="Century Gothic" w:cs="Tahoma"/>
          <w:bCs/>
          <w:sz w:val="24"/>
          <w:szCs w:val="24"/>
        </w:rPr>
        <w:t>up to December 2019, forming part of the 2020 financial statements</w:t>
      </w:r>
      <w:r w:rsidR="00C7758C">
        <w:rPr>
          <w:rFonts w:ascii="Century Gothic" w:hAnsi="Century Gothic" w:cs="Tahoma"/>
          <w:bCs/>
          <w:sz w:val="24"/>
          <w:szCs w:val="24"/>
        </w:rPr>
        <w:t>,</w:t>
      </w:r>
      <w:r>
        <w:rPr>
          <w:rFonts w:ascii="Century Gothic" w:hAnsi="Century Gothic" w:cs="Tahoma"/>
          <w:bCs/>
          <w:sz w:val="24"/>
          <w:szCs w:val="24"/>
        </w:rPr>
        <w:t xml:space="preserve"> were completed. The delay in completion of the 2020 financial statements was caused by the circumstances set out in paragraph 1</w:t>
      </w:r>
      <w:r w:rsidR="00C7758C">
        <w:rPr>
          <w:rFonts w:ascii="Century Gothic" w:hAnsi="Century Gothic" w:cs="Tahoma"/>
          <w:bCs/>
          <w:sz w:val="24"/>
          <w:szCs w:val="24"/>
        </w:rPr>
        <w:t>2</w:t>
      </w:r>
      <w:r>
        <w:rPr>
          <w:rFonts w:ascii="Century Gothic" w:hAnsi="Century Gothic" w:cs="Tahoma"/>
          <w:bCs/>
          <w:sz w:val="24"/>
          <w:szCs w:val="24"/>
        </w:rPr>
        <w:t xml:space="preserve"> above. There is </w:t>
      </w:r>
      <w:r w:rsidR="00C7758C">
        <w:rPr>
          <w:rFonts w:ascii="Century Gothic" w:hAnsi="Century Gothic" w:cs="Tahoma"/>
          <w:bCs/>
          <w:sz w:val="24"/>
          <w:szCs w:val="24"/>
        </w:rPr>
        <w:t xml:space="preserve">a </w:t>
      </w:r>
      <w:r>
        <w:rPr>
          <w:rFonts w:ascii="Century Gothic" w:hAnsi="Century Gothic" w:cs="Tahoma"/>
          <w:bCs/>
          <w:sz w:val="24"/>
          <w:szCs w:val="24"/>
        </w:rPr>
        <w:t>second account held by Multitech in Lime Acres, but which is virtually dormant, and was only opened to tender for contracts in the area, but which did not materialise. Karstens requested stateme</w:t>
      </w:r>
      <w:r w:rsidR="00C7758C">
        <w:rPr>
          <w:rFonts w:ascii="Century Gothic" w:hAnsi="Century Gothic" w:cs="Tahoma"/>
          <w:bCs/>
          <w:sz w:val="24"/>
          <w:szCs w:val="24"/>
        </w:rPr>
        <w:t>n</w:t>
      </w:r>
      <w:r>
        <w:rPr>
          <w:rFonts w:ascii="Century Gothic" w:hAnsi="Century Gothic" w:cs="Tahoma"/>
          <w:bCs/>
          <w:sz w:val="24"/>
          <w:szCs w:val="24"/>
        </w:rPr>
        <w:t>ts from the bank on the 4</w:t>
      </w:r>
      <w:r w:rsidRPr="0076474F">
        <w:rPr>
          <w:rFonts w:ascii="Century Gothic" w:hAnsi="Century Gothic" w:cs="Tahoma"/>
          <w:bCs/>
          <w:sz w:val="24"/>
          <w:szCs w:val="24"/>
          <w:vertAlign w:val="superscript"/>
        </w:rPr>
        <w:t>th</w:t>
      </w:r>
      <w:r>
        <w:rPr>
          <w:rFonts w:ascii="Century Gothic" w:hAnsi="Century Gothic" w:cs="Tahoma"/>
          <w:bCs/>
          <w:sz w:val="24"/>
          <w:szCs w:val="24"/>
        </w:rPr>
        <w:t xml:space="preserve"> of August 2020. An- email request was attached to his answering affidavit as annexure “D”;</w:t>
      </w:r>
    </w:p>
    <w:p w14:paraId="77920076" w14:textId="77777777" w:rsidR="0076474F" w:rsidRDefault="0076474F" w:rsidP="0076474F">
      <w:pPr>
        <w:pStyle w:val="ListParagraph"/>
        <w:spacing w:line="360" w:lineRule="auto"/>
        <w:jc w:val="both"/>
        <w:rPr>
          <w:rFonts w:ascii="Century Gothic" w:hAnsi="Century Gothic" w:cs="Tahoma"/>
          <w:bCs/>
          <w:sz w:val="24"/>
          <w:szCs w:val="24"/>
        </w:rPr>
      </w:pPr>
    </w:p>
    <w:p w14:paraId="0383C80C" w14:textId="687CFA50" w:rsidR="0076474F" w:rsidRDefault="0076474F" w:rsidP="0076474F">
      <w:pPr>
        <w:pStyle w:val="ListParagraph"/>
        <w:numPr>
          <w:ilvl w:val="1"/>
          <w:numId w:val="6"/>
        </w:numPr>
        <w:spacing w:line="360" w:lineRule="auto"/>
        <w:jc w:val="both"/>
        <w:rPr>
          <w:rFonts w:ascii="Century Gothic" w:hAnsi="Century Gothic" w:cs="Tahoma"/>
          <w:bCs/>
          <w:sz w:val="24"/>
          <w:szCs w:val="24"/>
        </w:rPr>
      </w:pPr>
      <w:r>
        <w:rPr>
          <w:rFonts w:ascii="Century Gothic" w:hAnsi="Century Gothic" w:cs="Tahoma"/>
          <w:bCs/>
          <w:sz w:val="24"/>
          <w:szCs w:val="24"/>
        </w:rPr>
        <w:t>The current liabilities are dealt with in the financial statements.</w:t>
      </w:r>
    </w:p>
    <w:p w14:paraId="1D9BB651" w14:textId="2D7C93AC" w:rsidR="0076474F" w:rsidRPr="0076474F" w:rsidRDefault="0076474F" w:rsidP="0076474F">
      <w:pPr>
        <w:spacing w:line="360" w:lineRule="auto"/>
        <w:jc w:val="both"/>
        <w:rPr>
          <w:rFonts w:ascii="Century Gothic" w:hAnsi="Century Gothic" w:cs="Tahoma"/>
          <w:bCs/>
          <w:sz w:val="24"/>
          <w:szCs w:val="24"/>
        </w:rPr>
      </w:pPr>
    </w:p>
    <w:p w14:paraId="46456C7C" w14:textId="77777777" w:rsidR="00A7407E" w:rsidRPr="00A7407E" w:rsidRDefault="00A7407E" w:rsidP="00A7407E">
      <w:pPr>
        <w:pStyle w:val="ListParagraph"/>
        <w:rPr>
          <w:rFonts w:ascii="Century Gothic" w:hAnsi="Century Gothic" w:cs="Tahoma"/>
          <w:bCs/>
          <w:sz w:val="24"/>
          <w:szCs w:val="24"/>
        </w:rPr>
      </w:pPr>
    </w:p>
    <w:p w14:paraId="0E8ED1A9" w14:textId="6953E174" w:rsidR="00A7407E" w:rsidRDefault="00A7407E" w:rsidP="00C7758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Karstens received the management accounts up to December 2019 and would be able to provide, and tendered, all information requested, except for the bank statements of the FNB account in Lime Acres, which </w:t>
      </w:r>
      <w:r>
        <w:rPr>
          <w:rFonts w:ascii="Century Gothic" w:hAnsi="Century Gothic" w:cs="Tahoma"/>
          <w:bCs/>
          <w:sz w:val="24"/>
          <w:szCs w:val="24"/>
        </w:rPr>
        <w:lastRenderedPageBreak/>
        <w:t>was requested on the 4</w:t>
      </w:r>
      <w:r w:rsidRPr="00A7407E">
        <w:rPr>
          <w:rFonts w:ascii="Century Gothic" w:hAnsi="Century Gothic" w:cs="Tahoma"/>
          <w:bCs/>
          <w:sz w:val="24"/>
          <w:szCs w:val="24"/>
          <w:vertAlign w:val="superscript"/>
        </w:rPr>
        <w:t>th</w:t>
      </w:r>
      <w:r>
        <w:rPr>
          <w:rFonts w:ascii="Century Gothic" w:hAnsi="Century Gothic" w:cs="Tahoma"/>
          <w:bCs/>
          <w:sz w:val="24"/>
          <w:szCs w:val="24"/>
        </w:rPr>
        <w:t xml:space="preserve"> of August 2020. Karstens undertook to provide the bank statements as</w:t>
      </w:r>
      <w:r w:rsidR="00D42209">
        <w:rPr>
          <w:rFonts w:ascii="Century Gothic" w:hAnsi="Century Gothic" w:cs="Tahoma"/>
          <w:bCs/>
          <w:sz w:val="24"/>
          <w:szCs w:val="24"/>
        </w:rPr>
        <w:t xml:space="preserve"> soon as he had received it from</w:t>
      </w:r>
      <w:r>
        <w:rPr>
          <w:rFonts w:ascii="Century Gothic" w:hAnsi="Century Gothic" w:cs="Tahoma"/>
          <w:bCs/>
          <w:sz w:val="24"/>
          <w:szCs w:val="24"/>
        </w:rPr>
        <w:t xml:space="preserve"> the bank.</w:t>
      </w:r>
    </w:p>
    <w:p w14:paraId="0237866E" w14:textId="77777777" w:rsidR="00A7407E" w:rsidRPr="00A7407E" w:rsidRDefault="00A7407E" w:rsidP="00A7407E">
      <w:pPr>
        <w:pStyle w:val="ListParagraph"/>
        <w:rPr>
          <w:rFonts w:ascii="Century Gothic" w:hAnsi="Century Gothic" w:cs="Tahoma"/>
          <w:bCs/>
          <w:sz w:val="24"/>
          <w:szCs w:val="24"/>
        </w:rPr>
      </w:pPr>
    </w:p>
    <w:p w14:paraId="542EC746" w14:textId="74CB96CC" w:rsidR="00A7407E" w:rsidRDefault="00A7407E" w:rsidP="00C7758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In light of </w:t>
      </w:r>
      <w:r w:rsidR="00C7758C">
        <w:rPr>
          <w:rFonts w:ascii="Century Gothic" w:hAnsi="Century Gothic" w:cs="Tahoma"/>
          <w:bCs/>
          <w:sz w:val="24"/>
          <w:szCs w:val="24"/>
        </w:rPr>
        <w:t>K</w:t>
      </w:r>
      <w:r>
        <w:rPr>
          <w:rFonts w:ascii="Century Gothic" w:hAnsi="Century Gothic" w:cs="Tahoma"/>
          <w:bCs/>
          <w:sz w:val="24"/>
          <w:szCs w:val="24"/>
        </w:rPr>
        <w:t>arstens’ averments set out above, he denies that he refused and/or neglected to provide the information to Morake.</w:t>
      </w:r>
    </w:p>
    <w:p w14:paraId="6CC2712E" w14:textId="77777777" w:rsidR="00A7407E" w:rsidRPr="00A7407E" w:rsidRDefault="00A7407E" w:rsidP="00A7407E">
      <w:pPr>
        <w:pStyle w:val="ListParagraph"/>
        <w:rPr>
          <w:rFonts w:ascii="Century Gothic" w:hAnsi="Century Gothic" w:cs="Tahoma"/>
          <w:bCs/>
          <w:sz w:val="24"/>
          <w:szCs w:val="24"/>
        </w:rPr>
      </w:pPr>
    </w:p>
    <w:p w14:paraId="5B2A3616" w14:textId="77777777" w:rsidR="00C7758C" w:rsidRDefault="00C7758C" w:rsidP="00A7407E">
      <w:pPr>
        <w:pStyle w:val="ListParagraph"/>
        <w:spacing w:line="360" w:lineRule="auto"/>
        <w:ind w:left="142"/>
        <w:jc w:val="both"/>
        <w:rPr>
          <w:rFonts w:ascii="Century Gothic" w:hAnsi="Century Gothic" w:cs="Tahoma"/>
          <w:b/>
          <w:bCs/>
          <w:sz w:val="24"/>
          <w:szCs w:val="24"/>
        </w:rPr>
      </w:pPr>
    </w:p>
    <w:p w14:paraId="7FD6943F" w14:textId="608C776B" w:rsidR="00A7407E" w:rsidRDefault="00A7407E" w:rsidP="00C7758C">
      <w:pPr>
        <w:pStyle w:val="ListParagraph"/>
        <w:spacing w:line="360" w:lineRule="auto"/>
        <w:ind w:left="-142"/>
        <w:jc w:val="both"/>
        <w:rPr>
          <w:rFonts w:ascii="Century Gothic" w:hAnsi="Century Gothic" w:cs="Tahoma"/>
          <w:b/>
          <w:bCs/>
          <w:sz w:val="24"/>
          <w:szCs w:val="24"/>
          <w:u w:val="single"/>
        </w:rPr>
      </w:pPr>
      <w:r w:rsidRPr="00C7758C">
        <w:rPr>
          <w:rFonts w:ascii="Century Gothic" w:hAnsi="Century Gothic" w:cs="Tahoma"/>
          <w:b/>
          <w:bCs/>
          <w:sz w:val="24"/>
          <w:szCs w:val="24"/>
          <w:u w:val="single"/>
        </w:rPr>
        <w:t xml:space="preserve">Wilfulness and mala fides </w:t>
      </w:r>
    </w:p>
    <w:p w14:paraId="07CE2EDF" w14:textId="77777777" w:rsidR="00C7758C" w:rsidRPr="00C7758C" w:rsidRDefault="00C7758C" w:rsidP="00C7758C">
      <w:pPr>
        <w:pStyle w:val="ListParagraph"/>
        <w:spacing w:line="360" w:lineRule="auto"/>
        <w:ind w:left="-142"/>
        <w:jc w:val="both"/>
        <w:rPr>
          <w:rFonts w:ascii="Century Gothic" w:hAnsi="Century Gothic" w:cs="Tahoma"/>
          <w:b/>
          <w:bCs/>
          <w:sz w:val="24"/>
          <w:szCs w:val="24"/>
          <w:u w:val="single"/>
        </w:rPr>
      </w:pPr>
    </w:p>
    <w:p w14:paraId="6B5F5B79" w14:textId="77777777" w:rsidR="00A7407E" w:rsidRPr="00A7407E" w:rsidRDefault="00A7407E" w:rsidP="00A7407E">
      <w:pPr>
        <w:pStyle w:val="ListParagraph"/>
        <w:rPr>
          <w:rFonts w:ascii="Century Gothic" w:hAnsi="Century Gothic" w:cs="Tahoma"/>
          <w:bCs/>
          <w:sz w:val="24"/>
          <w:szCs w:val="24"/>
        </w:rPr>
      </w:pPr>
    </w:p>
    <w:p w14:paraId="06CCC114" w14:textId="69765CA7" w:rsidR="00A7407E" w:rsidRDefault="00A7407E" w:rsidP="00C7758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The requirements of wilfulness and </w:t>
      </w:r>
      <w:r w:rsidRPr="00A7407E">
        <w:rPr>
          <w:rFonts w:ascii="Century Gothic" w:hAnsi="Century Gothic" w:cs="Tahoma"/>
          <w:bCs/>
          <w:i/>
          <w:sz w:val="24"/>
          <w:szCs w:val="24"/>
        </w:rPr>
        <w:t>mala fides</w:t>
      </w:r>
      <w:r>
        <w:rPr>
          <w:rFonts w:ascii="Century Gothic" w:hAnsi="Century Gothic" w:cs="Tahoma"/>
          <w:bCs/>
          <w:sz w:val="24"/>
          <w:szCs w:val="24"/>
        </w:rPr>
        <w:t xml:space="preserve"> were dealt with in Fakie supra </w:t>
      </w:r>
      <w:r w:rsidRPr="00A7407E">
        <w:rPr>
          <w:rFonts w:ascii="Century Gothic" w:hAnsi="Century Gothic" w:cs="Tahoma"/>
          <w:bCs/>
          <w:i/>
          <w:sz w:val="24"/>
          <w:szCs w:val="24"/>
        </w:rPr>
        <w:t>inter alia</w:t>
      </w:r>
      <w:r>
        <w:rPr>
          <w:rFonts w:ascii="Century Gothic" w:hAnsi="Century Gothic" w:cs="Tahoma"/>
          <w:bCs/>
          <w:sz w:val="24"/>
          <w:szCs w:val="24"/>
        </w:rPr>
        <w:t xml:space="preserve"> as follows:</w:t>
      </w:r>
    </w:p>
    <w:p w14:paraId="6F70F001" w14:textId="77777777" w:rsidR="00B446D8" w:rsidRDefault="00B446D8" w:rsidP="00A7407E">
      <w:pPr>
        <w:pStyle w:val="ListParagraph"/>
        <w:spacing w:line="360" w:lineRule="auto"/>
        <w:ind w:left="142"/>
        <w:jc w:val="both"/>
        <w:rPr>
          <w:rFonts w:ascii="Century Gothic" w:hAnsi="Century Gothic" w:cs="Tahoma"/>
          <w:bCs/>
          <w:i/>
          <w:sz w:val="22"/>
          <w:szCs w:val="22"/>
        </w:rPr>
      </w:pPr>
    </w:p>
    <w:p w14:paraId="7CCD5F9C" w14:textId="4E106251" w:rsidR="00A7407E" w:rsidRDefault="00A7407E" w:rsidP="00C7758C">
      <w:pPr>
        <w:pStyle w:val="ListParagraph"/>
        <w:spacing w:line="360" w:lineRule="auto"/>
        <w:ind w:left="567"/>
        <w:jc w:val="both"/>
        <w:rPr>
          <w:rFonts w:ascii="Century Gothic" w:hAnsi="Century Gothic" w:cs="Tahoma"/>
          <w:bCs/>
          <w:i/>
          <w:sz w:val="22"/>
          <w:szCs w:val="22"/>
        </w:rPr>
      </w:pPr>
      <w:r w:rsidRPr="00B446D8">
        <w:rPr>
          <w:rFonts w:ascii="Century Gothic" w:hAnsi="Century Gothic" w:cs="Tahoma"/>
          <w:bCs/>
          <w:i/>
          <w:sz w:val="22"/>
          <w:szCs w:val="22"/>
        </w:rPr>
        <w:t>“[9] The test for when disobedience of a civil order constitutes contempt has come to be stated as whether the breach was commit</w:t>
      </w:r>
      <w:r w:rsidR="009C73E9" w:rsidRPr="00B446D8">
        <w:rPr>
          <w:rFonts w:ascii="Century Gothic" w:hAnsi="Century Gothic" w:cs="Tahoma"/>
          <w:bCs/>
          <w:i/>
          <w:sz w:val="22"/>
          <w:szCs w:val="22"/>
        </w:rPr>
        <w:t>t</w:t>
      </w:r>
      <w:r w:rsidRPr="00B446D8">
        <w:rPr>
          <w:rFonts w:ascii="Century Gothic" w:hAnsi="Century Gothic" w:cs="Tahoma"/>
          <w:bCs/>
          <w:i/>
          <w:sz w:val="22"/>
          <w:szCs w:val="22"/>
        </w:rPr>
        <w:t xml:space="preserve">ed ‘deliberately </w:t>
      </w:r>
      <w:r w:rsidR="009C73E9" w:rsidRPr="00B446D8">
        <w:rPr>
          <w:rFonts w:ascii="Century Gothic" w:hAnsi="Century Gothic" w:cs="Tahoma"/>
          <w:bCs/>
          <w:i/>
          <w:sz w:val="22"/>
          <w:szCs w:val="22"/>
        </w:rPr>
        <w:t>and mala fide</w:t>
      </w:r>
      <w:r w:rsidR="00C7758C">
        <w:rPr>
          <w:rFonts w:ascii="Century Gothic" w:hAnsi="Century Gothic" w:cs="Tahoma"/>
          <w:bCs/>
          <w:i/>
          <w:sz w:val="22"/>
          <w:szCs w:val="22"/>
        </w:rPr>
        <w:t>’</w:t>
      </w:r>
      <w:r w:rsidR="009C73E9" w:rsidRPr="00B446D8">
        <w:rPr>
          <w:rFonts w:ascii="Century Gothic" w:hAnsi="Century Gothic" w:cs="Tahoma"/>
          <w:bCs/>
          <w:i/>
          <w:sz w:val="22"/>
          <w:szCs w:val="22"/>
        </w:rPr>
        <w:t>. A deliberate disregard is not enough, since the non-complier may genuinely, albeit mistakenly, believe him or herself entitled to act in the way claimed to constitute the contempt. In such a case, good faith avoids the infraction. Even a refusal to comply that is objectively unreasonable may be bona fide</w:t>
      </w:r>
      <w:r w:rsidR="000F2353" w:rsidRPr="00B446D8">
        <w:rPr>
          <w:rFonts w:ascii="Century Gothic" w:hAnsi="Century Gothic" w:cs="Tahoma"/>
          <w:bCs/>
          <w:i/>
          <w:sz w:val="22"/>
          <w:szCs w:val="22"/>
        </w:rPr>
        <w:t xml:space="preserve"> </w:t>
      </w:r>
      <w:r w:rsidR="009C73E9" w:rsidRPr="00B446D8">
        <w:rPr>
          <w:rFonts w:ascii="Century Gothic" w:hAnsi="Century Gothic" w:cs="Tahoma"/>
          <w:bCs/>
          <w:i/>
          <w:sz w:val="22"/>
          <w:szCs w:val="22"/>
        </w:rPr>
        <w:t>(though unreasonableness could evidence lack of good faith).</w:t>
      </w:r>
    </w:p>
    <w:p w14:paraId="25F36E02" w14:textId="77777777" w:rsidR="00C7758C" w:rsidRPr="00B446D8" w:rsidRDefault="00C7758C" w:rsidP="00C7758C">
      <w:pPr>
        <w:pStyle w:val="ListParagraph"/>
        <w:spacing w:line="360" w:lineRule="auto"/>
        <w:ind w:left="567"/>
        <w:jc w:val="both"/>
        <w:rPr>
          <w:rFonts w:ascii="Century Gothic" w:hAnsi="Century Gothic" w:cs="Tahoma"/>
          <w:bCs/>
          <w:i/>
          <w:sz w:val="22"/>
          <w:szCs w:val="22"/>
        </w:rPr>
      </w:pPr>
    </w:p>
    <w:p w14:paraId="2D634EE1" w14:textId="5F476762" w:rsidR="009C73E9" w:rsidRPr="00B446D8" w:rsidRDefault="009C73E9" w:rsidP="00C7758C">
      <w:pPr>
        <w:pStyle w:val="ListParagraph"/>
        <w:spacing w:line="360" w:lineRule="auto"/>
        <w:ind w:left="567"/>
        <w:jc w:val="both"/>
        <w:rPr>
          <w:rFonts w:ascii="Century Gothic" w:hAnsi="Century Gothic" w:cs="Tahoma"/>
          <w:bCs/>
          <w:i/>
          <w:sz w:val="22"/>
          <w:szCs w:val="22"/>
        </w:rPr>
      </w:pPr>
      <w:r w:rsidRPr="00B446D8">
        <w:rPr>
          <w:rFonts w:ascii="Century Gothic" w:hAnsi="Century Gothic" w:cs="Tahoma"/>
          <w:bCs/>
          <w:i/>
          <w:sz w:val="22"/>
          <w:szCs w:val="22"/>
        </w:rPr>
        <w:t>[10] These requirements – that the refusal to obey should be both wilful and mala fide, and that unreasonable non-compliance, provided it is bona fide, does not constitute contempt- accord with the broader definition of the crime, of which non-compliance with civil orders is a manifestation</w:t>
      </w:r>
      <w:r w:rsidR="000F2353" w:rsidRPr="00B446D8">
        <w:rPr>
          <w:rFonts w:ascii="Century Gothic" w:hAnsi="Century Gothic" w:cs="Tahoma"/>
          <w:bCs/>
          <w:i/>
          <w:sz w:val="22"/>
          <w:szCs w:val="22"/>
        </w:rPr>
        <w:t>. They show that the offence is committed not by mere disregard of a court order, but by the deliberate and intentional violation of the court’s dignity, repute or authority that this evinces. Honest belief that non-compliance is justified or proper is incompatible with that intent.</w:t>
      </w:r>
      <w:r w:rsidR="00B446D8" w:rsidRPr="00B446D8">
        <w:rPr>
          <w:rFonts w:ascii="Century Gothic" w:hAnsi="Century Gothic" w:cs="Tahoma"/>
          <w:bCs/>
          <w:i/>
          <w:sz w:val="22"/>
          <w:szCs w:val="22"/>
        </w:rPr>
        <w:t>”</w:t>
      </w:r>
    </w:p>
    <w:p w14:paraId="3D21811F" w14:textId="77777777" w:rsidR="000F2353" w:rsidRDefault="000F2353" w:rsidP="00A7407E">
      <w:pPr>
        <w:pStyle w:val="ListParagraph"/>
        <w:spacing w:line="360" w:lineRule="auto"/>
        <w:ind w:left="142"/>
        <w:jc w:val="both"/>
        <w:rPr>
          <w:rFonts w:ascii="Century Gothic" w:hAnsi="Century Gothic" w:cs="Tahoma"/>
          <w:bCs/>
          <w:sz w:val="24"/>
          <w:szCs w:val="24"/>
        </w:rPr>
      </w:pPr>
    </w:p>
    <w:p w14:paraId="71968FD3" w14:textId="226C242C" w:rsidR="00A7407E" w:rsidRDefault="000F2353" w:rsidP="00C7758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Morake’s legal representatives did not request this matter to be referred for oral evidence, or for Karstens to be cross-examined. When I enquired from Mr Hefer at the </w:t>
      </w:r>
      <w:r w:rsidR="00B446D8">
        <w:rPr>
          <w:rFonts w:ascii="Century Gothic" w:hAnsi="Century Gothic" w:cs="Tahoma"/>
          <w:bCs/>
          <w:sz w:val="24"/>
          <w:szCs w:val="24"/>
        </w:rPr>
        <w:t xml:space="preserve">hearing why this had </w:t>
      </w:r>
      <w:r w:rsidR="00890E61">
        <w:rPr>
          <w:rFonts w:ascii="Century Gothic" w:hAnsi="Century Gothic" w:cs="Tahoma"/>
          <w:bCs/>
          <w:sz w:val="24"/>
          <w:szCs w:val="24"/>
        </w:rPr>
        <w:t xml:space="preserve">not been considered, he responded that the Applicant’s legal representatives would not mind if </w:t>
      </w:r>
      <w:r w:rsidR="00890E61">
        <w:rPr>
          <w:rFonts w:ascii="Century Gothic" w:hAnsi="Century Gothic" w:cs="Tahoma"/>
          <w:bCs/>
          <w:sz w:val="24"/>
          <w:szCs w:val="24"/>
        </w:rPr>
        <w:lastRenderedPageBreak/>
        <w:t>this were to happen. However, there being no request or application on behalf of Morake to this effect</w:t>
      </w:r>
      <w:r w:rsidR="009013EB">
        <w:rPr>
          <w:rFonts w:ascii="Century Gothic" w:hAnsi="Century Gothic" w:cs="Tahoma"/>
          <w:bCs/>
          <w:sz w:val="24"/>
          <w:szCs w:val="24"/>
        </w:rPr>
        <w:t>,</w:t>
      </w:r>
      <w:r w:rsidR="00890E61">
        <w:rPr>
          <w:rFonts w:ascii="Century Gothic" w:hAnsi="Century Gothic" w:cs="Tahoma"/>
          <w:bCs/>
          <w:sz w:val="24"/>
          <w:szCs w:val="24"/>
        </w:rPr>
        <w:t xml:space="preserve"> a court </w:t>
      </w:r>
      <w:r w:rsidR="009013EB">
        <w:rPr>
          <w:rFonts w:ascii="Century Gothic" w:hAnsi="Century Gothic" w:cs="Tahoma"/>
          <w:bCs/>
          <w:sz w:val="24"/>
          <w:szCs w:val="24"/>
        </w:rPr>
        <w:t xml:space="preserve">will usually not do so </w:t>
      </w:r>
      <w:r w:rsidR="009013EB">
        <w:rPr>
          <w:rFonts w:ascii="Century Gothic" w:hAnsi="Century Gothic" w:cs="Tahoma"/>
          <w:bCs/>
          <w:i/>
          <w:iCs/>
          <w:sz w:val="24"/>
          <w:szCs w:val="24"/>
        </w:rPr>
        <w:t xml:space="preserve">mero </w:t>
      </w:r>
      <w:r w:rsidR="009013EB" w:rsidRPr="009013EB">
        <w:rPr>
          <w:rFonts w:ascii="Century Gothic" w:hAnsi="Century Gothic" w:cs="Tahoma"/>
          <w:bCs/>
          <w:i/>
          <w:iCs/>
          <w:sz w:val="24"/>
          <w:szCs w:val="24"/>
        </w:rPr>
        <w:t>moto</w:t>
      </w:r>
      <w:r w:rsidR="009013EB">
        <w:rPr>
          <w:rFonts w:ascii="Century Gothic" w:hAnsi="Century Gothic" w:cs="Tahoma"/>
          <w:bCs/>
          <w:sz w:val="24"/>
          <w:szCs w:val="24"/>
        </w:rPr>
        <w:t xml:space="preserve">. The result is that this court </w:t>
      </w:r>
      <w:r w:rsidR="00890E61" w:rsidRPr="009013EB">
        <w:rPr>
          <w:rFonts w:ascii="Century Gothic" w:hAnsi="Century Gothic" w:cs="Tahoma"/>
          <w:bCs/>
          <w:sz w:val="24"/>
          <w:szCs w:val="24"/>
        </w:rPr>
        <w:t>must</w:t>
      </w:r>
      <w:r w:rsidR="00890E61">
        <w:rPr>
          <w:rFonts w:ascii="Century Gothic" w:hAnsi="Century Gothic" w:cs="Tahoma"/>
          <w:bCs/>
          <w:sz w:val="24"/>
          <w:szCs w:val="24"/>
        </w:rPr>
        <w:t xml:space="preserve"> adjudicate the question of wilfulness and mala fide by application of the test laid down in </w:t>
      </w:r>
      <w:r w:rsidR="00890E61" w:rsidRPr="009013EB">
        <w:rPr>
          <w:rFonts w:ascii="Century Gothic" w:hAnsi="Century Gothic" w:cs="Tahoma"/>
          <w:b/>
          <w:sz w:val="24"/>
          <w:szCs w:val="24"/>
        </w:rPr>
        <w:t>Plascon - Evans Paints Ltd v Van Riebeck Paints (Pty) Ltd 1984 (3) SA 623 (A)</w:t>
      </w:r>
      <w:r w:rsidR="00890E61">
        <w:rPr>
          <w:rFonts w:ascii="Century Gothic" w:hAnsi="Century Gothic" w:cs="Tahoma"/>
          <w:bCs/>
          <w:sz w:val="24"/>
          <w:szCs w:val="24"/>
        </w:rPr>
        <w:t xml:space="preserve"> in order to decide the factual dispute between the parties.</w:t>
      </w:r>
    </w:p>
    <w:p w14:paraId="4F9F2D0F" w14:textId="77777777" w:rsidR="00890E61" w:rsidRDefault="00890E61" w:rsidP="00890E61">
      <w:pPr>
        <w:pStyle w:val="ListParagraph"/>
        <w:spacing w:line="360" w:lineRule="auto"/>
        <w:ind w:left="142"/>
        <w:jc w:val="both"/>
        <w:rPr>
          <w:rFonts w:ascii="Century Gothic" w:hAnsi="Century Gothic" w:cs="Tahoma"/>
          <w:b/>
          <w:bCs/>
          <w:sz w:val="24"/>
          <w:szCs w:val="24"/>
        </w:rPr>
      </w:pPr>
    </w:p>
    <w:p w14:paraId="5FF4C0C5" w14:textId="1D28B234" w:rsidR="00890E61" w:rsidRPr="009013EB" w:rsidRDefault="00890E61" w:rsidP="009013EB">
      <w:pPr>
        <w:pStyle w:val="ListParagraph"/>
        <w:spacing w:line="360" w:lineRule="auto"/>
        <w:ind w:left="-142"/>
        <w:jc w:val="both"/>
        <w:rPr>
          <w:rFonts w:ascii="Century Gothic" w:hAnsi="Century Gothic" w:cs="Tahoma"/>
          <w:b/>
          <w:bCs/>
          <w:sz w:val="24"/>
          <w:szCs w:val="24"/>
          <w:u w:val="single"/>
        </w:rPr>
      </w:pPr>
      <w:r w:rsidRPr="009013EB">
        <w:rPr>
          <w:rFonts w:ascii="Century Gothic" w:hAnsi="Century Gothic" w:cs="Tahoma"/>
          <w:b/>
          <w:bCs/>
          <w:sz w:val="24"/>
          <w:szCs w:val="24"/>
          <w:u w:val="single"/>
        </w:rPr>
        <w:t xml:space="preserve">Analysis </w:t>
      </w:r>
    </w:p>
    <w:p w14:paraId="0CCB0A26" w14:textId="77777777" w:rsidR="009013EB" w:rsidRPr="00890E61" w:rsidRDefault="009013EB" w:rsidP="00890E61">
      <w:pPr>
        <w:pStyle w:val="ListParagraph"/>
        <w:spacing w:line="360" w:lineRule="auto"/>
        <w:ind w:left="142"/>
        <w:jc w:val="both"/>
        <w:rPr>
          <w:rFonts w:ascii="Century Gothic" w:hAnsi="Century Gothic" w:cs="Tahoma"/>
          <w:b/>
          <w:bCs/>
          <w:sz w:val="24"/>
          <w:szCs w:val="24"/>
        </w:rPr>
      </w:pPr>
    </w:p>
    <w:p w14:paraId="746CD7F8" w14:textId="3267F17A" w:rsidR="00890E61" w:rsidRDefault="00890E61" w:rsidP="009013EB">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Karstens’ explanation of his conduct in the face of the court order of 19 June 2020 unfortunately leaves much to be desired. It is common cause that whilst he initially opposed the proceedings under case num</w:t>
      </w:r>
      <w:r w:rsidR="00E70519">
        <w:rPr>
          <w:rFonts w:ascii="Century Gothic" w:hAnsi="Century Gothic" w:cs="Tahoma"/>
          <w:bCs/>
          <w:sz w:val="24"/>
          <w:szCs w:val="24"/>
        </w:rPr>
        <w:t xml:space="preserve">ber 208/2020, he withdrew </w:t>
      </w:r>
      <w:r>
        <w:rPr>
          <w:rFonts w:ascii="Century Gothic" w:hAnsi="Century Gothic" w:cs="Tahoma"/>
          <w:bCs/>
          <w:sz w:val="24"/>
          <w:szCs w:val="24"/>
        </w:rPr>
        <w:t>this opposition shortly before 19 June 2020. It is unl</w:t>
      </w:r>
      <w:r w:rsidR="00E70519">
        <w:rPr>
          <w:rFonts w:ascii="Century Gothic" w:hAnsi="Century Gothic" w:cs="Tahoma"/>
          <w:bCs/>
          <w:sz w:val="24"/>
          <w:szCs w:val="24"/>
        </w:rPr>
        <w:t xml:space="preserve">ikely that he </w:t>
      </w:r>
      <w:r>
        <w:rPr>
          <w:rFonts w:ascii="Century Gothic" w:hAnsi="Century Gothic" w:cs="Tahoma"/>
          <w:bCs/>
          <w:sz w:val="24"/>
          <w:szCs w:val="24"/>
        </w:rPr>
        <w:t xml:space="preserve">would </w:t>
      </w:r>
      <w:r w:rsidR="009013EB">
        <w:rPr>
          <w:rFonts w:ascii="Century Gothic" w:hAnsi="Century Gothic" w:cs="Tahoma"/>
          <w:bCs/>
          <w:sz w:val="24"/>
          <w:szCs w:val="24"/>
        </w:rPr>
        <w:t xml:space="preserve">not </w:t>
      </w:r>
      <w:r w:rsidR="00E70519">
        <w:rPr>
          <w:rFonts w:ascii="Century Gothic" w:hAnsi="Century Gothic" w:cs="Tahoma"/>
          <w:bCs/>
          <w:sz w:val="24"/>
          <w:szCs w:val="24"/>
        </w:rPr>
        <w:t>have been aware that Morake would be moving for the order on 19 June 2020, but the court was not afforded with any explanation in this regard, or told whether Karstens himself made any enquiries to ascertain whether the court order was indeed granted against him on 19 June 2020. It would have been important for Karstens to do so, as he had to have been aware that Multitech’s accountant had not made good on her assurance that the information would already have been produced by the 15</w:t>
      </w:r>
      <w:r w:rsidR="00E70519" w:rsidRPr="00E70519">
        <w:rPr>
          <w:rFonts w:ascii="Century Gothic" w:hAnsi="Century Gothic" w:cs="Tahoma"/>
          <w:bCs/>
          <w:sz w:val="24"/>
          <w:szCs w:val="24"/>
          <w:vertAlign w:val="superscript"/>
        </w:rPr>
        <w:t>th</w:t>
      </w:r>
      <w:r w:rsidR="00E70519">
        <w:rPr>
          <w:rFonts w:ascii="Century Gothic" w:hAnsi="Century Gothic" w:cs="Tahoma"/>
          <w:bCs/>
          <w:sz w:val="24"/>
          <w:szCs w:val="24"/>
        </w:rPr>
        <w:t xml:space="preserve"> of June 2020.</w:t>
      </w:r>
    </w:p>
    <w:p w14:paraId="194165E4" w14:textId="77777777" w:rsidR="00E70519" w:rsidRDefault="00E70519" w:rsidP="00E70519">
      <w:pPr>
        <w:pStyle w:val="ListParagraph"/>
        <w:spacing w:line="360" w:lineRule="auto"/>
        <w:ind w:left="142"/>
        <w:jc w:val="both"/>
        <w:rPr>
          <w:rFonts w:ascii="Century Gothic" w:hAnsi="Century Gothic" w:cs="Tahoma"/>
          <w:bCs/>
          <w:sz w:val="24"/>
          <w:szCs w:val="24"/>
        </w:rPr>
      </w:pPr>
    </w:p>
    <w:p w14:paraId="4A209F77" w14:textId="2F6E3DD1" w:rsidR="00E70519" w:rsidRDefault="00E70519" w:rsidP="009013EB">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When Karstens was informed of the court order by Van de </w:t>
      </w:r>
      <w:r w:rsidR="009013EB">
        <w:rPr>
          <w:rFonts w:ascii="Century Gothic" w:hAnsi="Century Gothic" w:cs="Tahoma"/>
          <w:bCs/>
          <w:sz w:val="24"/>
          <w:szCs w:val="24"/>
        </w:rPr>
        <w:t>W</w:t>
      </w:r>
      <w:r>
        <w:rPr>
          <w:rFonts w:ascii="Century Gothic" w:hAnsi="Century Gothic" w:cs="Tahoma"/>
          <w:bCs/>
          <w:sz w:val="24"/>
          <w:szCs w:val="24"/>
        </w:rPr>
        <w:t xml:space="preserve">all on 8 July 2020, the prescribed ten days for provision of the information and /or documentation had already </w:t>
      </w:r>
      <w:r w:rsidR="0042055E">
        <w:rPr>
          <w:rFonts w:ascii="Century Gothic" w:hAnsi="Century Gothic" w:cs="Tahoma"/>
          <w:bCs/>
          <w:sz w:val="24"/>
          <w:szCs w:val="24"/>
        </w:rPr>
        <w:t>expired on 3 July 2020. This ought to have created a sense of urgency in Karstens to ensure that what was necessary is done as soon as possible.</w:t>
      </w:r>
    </w:p>
    <w:p w14:paraId="189FE755" w14:textId="77777777" w:rsidR="0042055E" w:rsidRPr="0042055E" w:rsidRDefault="0042055E" w:rsidP="0042055E">
      <w:pPr>
        <w:pStyle w:val="ListParagraph"/>
        <w:rPr>
          <w:rFonts w:ascii="Century Gothic" w:hAnsi="Century Gothic" w:cs="Tahoma"/>
          <w:bCs/>
          <w:sz w:val="24"/>
          <w:szCs w:val="24"/>
        </w:rPr>
      </w:pPr>
    </w:p>
    <w:p w14:paraId="1E203FA5" w14:textId="4F73D59D" w:rsidR="00934AB9" w:rsidRDefault="0042055E" w:rsidP="009013EB">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In accordance with the indulgence granted by Magoma, the information and/or documentation had to be provided by the extended deadline of 15 July 2020. Karstens avers that he was only notified on 16 July 2020 that the financial statements had not been completed. Once again Karstens </w:t>
      </w:r>
      <w:r>
        <w:rPr>
          <w:rFonts w:ascii="Century Gothic" w:hAnsi="Century Gothic" w:cs="Tahoma"/>
          <w:bCs/>
          <w:sz w:val="24"/>
          <w:szCs w:val="24"/>
        </w:rPr>
        <w:lastRenderedPageBreak/>
        <w:t>is silent on whether he made any enqu</w:t>
      </w:r>
      <w:r w:rsidR="00934AB9">
        <w:rPr>
          <w:rFonts w:ascii="Century Gothic" w:hAnsi="Century Gothic" w:cs="Tahoma"/>
          <w:bCs/>
          <w:sz w:val="24"/>
          <w:szCs w:val="24"/>
        </w:rPr>
        <w:t xml:space="preserve">iries from his accountant </w:t>
      </w:r>
      <w:r w:rsidR="009013EB">
        <w:rPr>
          <w:rFonts w:ascii="Century Gothic" w:hAnsi="Century Gothic" w:cs="Tahoma"/>
          <w:bCs/>
          <w:sz w:val="24"/>
          <w:szCs w:val="24"/>
        </w:rPr>
        <w:t xml:space="preserve">on </w:t>
      </w:r>
      <w:r w:rsidR="00934AB9">
        <w:rPr>
          <w:rFonts w:ascii="Century Gothic" w:hAnsi="Century Gothic" w:cs="Tahoma"/>
          <w:bCs/>
          <w:sz w:val="24"/>
          <w:szCs w:val="24"/>
        </w:rPr>
        <w:t xml:space="preserve">or </w:t>
      </w:r>
      <w:r>
        <w:rPr>
          <w:rFonts w:ascii="Century Gothic" w:hAnsi="Century Gothic" w:cs="Tahoma"/>
          <w:bCs/>
          <w:sz w:val="24"/>
          <w:szCs w:val="24"/>
        </w:rPr>
        <w:t xml:space="preserve">before 15 July 2020 </w:t>
      </w:r>
      <w:r w:rsidR="009013EB">
        <w:rPr>
          <w:rFonts w:ascii="Century Gothic" w:hAnsi="Century Gothic" w:cs="Tahoma"/>
          <w:bCs/>
          <w:sz w:val="24"/>
          <w:szCs w:val="24"/>
        </w:rPr>
        <w:t>regarding</w:t>
      </w:r>
      <w:r>
        <w:rPr>
          <w:rFonts w:ascii="Century Gothic" w:hAnsi="Century Gothic" w:cs="Tahoma"/>
          <w:bCs/>
          <w:sz w:val="24"/>
          <w:szCs w:val="24"/>
        </w:rPr>
        <w:t xml:space="preserve"> the collation of the information and/or documents and the completion at the financial statements, </w:t>
      </w:r>
      <w:r w:rsidR="00AD2696">
        <w:rPr>
          <w:rFonts w:ascii="Century Gothic" w:hAnsi="Century Gothic" w:cs="Tahoma"/>
          <w:bCs/>
          <w:sz w:val="24"/>
          <w:szCs w:val="24"/>
        </w:rPr>
        <w:t xml:space="preserve">or </w:t>
      </w:r>
      <w:r>
        <w:rPr>
          <w:rFonts w:ascii="Century Gothic" w:hAnsi="Century Gothic" w:cs="Tahoma"/>
          <w:bCs/>
          <w:sz w:val="24"/>
          <w:szCs w:val="24"/>
        </w:rPr>
        <w:t>whether he took any</w:t>
      </w:r>
      <w:r w:rsidR="00934AB9">
        <w:rPr>
          <w:rFonts w:ascii="Century Gothic" w:hAnsi="Century Gothic" w:cs="Tahoma"/>
          <w:bCs/>
          <w:sz w:val="24"/>
          <w:szCs w:val="24"/>
        </w:rPr>
        <w:t xml:space="preserve"> steps from his side to side to ensure that the extended deadline is met.</w:t>
      </w:r>
    </w:p>
    <w:p w14:paraId="6D64006B" w14:textId="77777777" w:rsidR="00934AB9" w:rsidRPr="00934AB9" w:rsidRDefault="00934AB9" w:rsidP="00934AB9">
      <w:pPr>
        <w:pStyle w:val="ListParagraph"/>
        <w:rPr>
          <w:rFonts w:ascii="Century Gothic" w:hAnsi="Century Gothic" w:cs="Tahoma"/>
          <w:bCs/>
          <w:sz w:val="24"/>
          <w:szCs w:val="24"/>
        </w:rPr>
      </w:pPr>
    </w:p>
    <w:p w14:paraId="55FA282D" w14:textId="5569B5DC" w:rsidR="00061D56" w:rsidRDefault="00934AB9" w:rsidP="000F7AD4">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Annexure “D” to Karstens’ answering affidavit, which he tender</w:t>
      </w:r>
      <w:r w:rsidR="000F7AD4">
        <w:rPr>
          <w:rFonts w:ascii="Century Gothic" w:hAnsi="Century Gothic" w:cs="Tahoma"/>
          <w:bCs/>
          <w:sz w:val="24"/>
          <w:szCs w:val="24"/>
        </w:rPr>
        <w:t>ed</w:t>
      </w:r>
      <w:r>
        <w:rPr>
          <w:rFonts w:ascii="Century Gothic" w:hAnsi="Century Gothic" w:cs="Tahoma"/>
          <w:bCs/>
          <w:sz w:val="24"/>
          <w:szCs w:val="24"/>
        </w:rPr>
        <w:t xml:space="preserve"> in support</w:t>
      </w:r>
      <w:r w:rsidR="000F7AD4">
        <w:rPr>
          <w:rFonts w:ascii="Century Gothic" w:hAnsi="Century Gothic" w:cs="Tahoma"/>
          <w:bCs/>
          <w:sz w:val="24"/>
          <w:szCs w:val="24"/>
        </w:rPr>
        <w:t xml:space="preserve"> </w:t>
      </w:r>
      <w:r>
        <w:rPr>
          <w:rFonts w:ascii="Century Gothic" w:hAnsi="Century Gothic" w:cs="Tahoma"/>
          <w:bCs/>
          <w:sz w:val="24"/>
          <w:szCs w:val="24"/>
        </w:rPr>
        <w:t xml:space="preserve">of his request on 4 August 2020 to First National Bank for provision of the bank statements of the Lime Acres </w:t>
      </w:r>
      <w:r w:rsidR="000F7AD4">
        <w:rPr>
          <w:rFonts w:ascii="Century Gothic" w:hAnsi="Century Gothic" w:cs="Tahoma"/>
          <w:bCs/>
          <w:sz w:val="24"/>
          <w:szCs w:val="24"/>
        </w:rPr>
        <w:t>account</w:t>
      </w:r>
      <w:r w:rsidR="00394551">
        <w:rPr>
          <w:rFonts w:ascii="Century Gothic" w:hAnsi="Century Gothic" w:cs="Tahoma"/>
          <w:bCs/>
          <w:sz w:val="24"/>
          <w:szCs w:val="24"/>
        </w:rPr>
        <w:t>,</w:t>
      </w:r>
      <w:r>
        <w:rPr>
          <w:rFonts w:ascii="Century Gothic" w:hAnsi="Century Gothic" w:cs="Tahoma"/>
          <w:bCs/>
          <w:sz w:val="24"/>
          <w:szCs w:val="24"/>
        </w:rPr>
        <w:t xml:space="preserve"> tends to show that an earlier request in this regard had been made on 20 July 2020. However, Karstens would have been aware of the existence of the Lime Acres account right from the start, and annexure “D” </w:t>
      </w:r>
      <w:r w:rsidR="00061D56">
        <w:rPr>
          <w:rFonts w:ascii="Century Gothic" w:hAnsi="Century Gothic" w:cs="Tahoma"/>
          <w:bCs/>
          <w:sz w:val="24"/>
          <w:szCs w:val="24"/>
        </w:rPr>
        <w:t>then shows that he only requested the bank statements well after 19 June 2020, or even well after 15 July 2020</w:t>
      </w:r>
      <w:r w:rsidR="00394551">
        <w:rPr>
          <w:rFonts w:ascii="Century Gothic" w:hAnsi="Century Gothic" w:cs="Tahoma"/>
          <w:bCs/>
          <w:sz w:val="24"/>
          <w:szCs w:val="24"/>
        </w:rPr>
        <w:t>,</w:t>
      </w:r>
      <w:r w:rsidR="00061D56">
        <w:rPr>
          <w:rFonts w:ascii="Century Gothic" w:hAnsi="Century Gothic" w:cs="Tahoma"/>
          <w:bCs/>
          <w:sz w:val="24"/>
          <w:szCs w:val="24"/>
        </w:rPr>
        <w:t xml:space="preserve"> being the date of the extended deadline.</w:t>
      </w:r>
    </w:p>
    <w:p w14:paraId="72EA3A5B" w14:textId="77777777" w:rsidR="00061D56" w:rsidRPr="00061D56" w:rsidRDefault="00061D56" w:rsidP="00061D56">
      <w:pPr>
        <w:pStyle w:val="ListParagraph"/>
        <w:rPr>
          <w:rFonts w:ascii="Century Gothic" w:hAnsi="Century Gothic" w:cs="Tahoma"/>
          <w:bCs/>
          <w:sz w:val="24"/>
          <w:szCs w:val="24"/>
        </w:rPr>
      </w:pPr>
    </w:p>
    <w:p w14:paraId="556FDCFC" w14:textId="6CE55AFA" w:rsidR="0042055E" w:rsidRDefault="00061D56" w:rsidP="000F7AD4">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Karstens’ explanation about the non-existence of contracts or service level agreements between Multitech and any other entity ought not to absolve him from responsibility. If the non-existence thereof was indeed the case, Karstens could have disputed this in the proceedings under case number 208/2020, which appears he did not do in any way.</w:t>
      </w:r>
    </w:p>
    <w:p w14:paraId="05DEB734" w14:textId="77777777" w:rsidR="00061D56" w:rsidRPr="00061D56" w:rsidRDefault="00061D56" w:rsidP="00061D56">
      <w:pPr>
        <w:pStyle w:val="ListParagraph"/>
        <w:rPr>
          <w:rFonts w:ascii="Century Gothic" w:hAnsi="Century Gothic" w:cs="Tahoma"/>
          <w:bCs/>
          <w:sz w:val="24"/>
          <w:szCs w:val="24"/>
        </w:rPr>
      </w:pPr>
    </w:p>
    <w:p w14:paraId="6D3726EC" w14:textId="20934629" w:rsidR="00061D56" w:rsidRDefault="00521AC4" w:rsidP="000F7AD4">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Neither does it avail Karstens to allege that the accounting systems of Multitech is freely available to Morake and that Morake is entitled and able to request and obtain the financial statements of Multitech as majority shareholder. Karstens </w:t>
      </w:r>
      <w:r w:rsidR="00E45E7C">
        <w:rPr>
          <w:rFonts w:ascii="Century Gothic" w:hAnsi="Century Gothic" w:cs="Tahoma"/>
          <w:bCs/>
          <w:sz w:val="24"/>
          <w:szCs w:val="24"/>
        </w:rPr>
        <w:t xml:space="preserve">acquiesced in the granting of the court order </w:t>
      </w:r>
      <w:r w:rsidR="00394551">
        <w:rPr>
          <w:rFonts w:ascii="Century Gothic" w:hAnsi="Century Gothic" w:cs="Tahoma"/>
          <w:bCs/>
          <w:sz w:val="24"/>
          <w:szCs w:val="24"/>
        </w:rPr>
        <w:t xml:space="preserve">under case number 208/2020, and the court </w:t>
      </w:r>
      <w:r w:rsidR="00E45E7C">
        <w:rPr>
          <w:rFonts w:ascii="Century Gothic" w:hAnsi="Century Gothic" w:cs="Tahoma"/>
          <w:bCs/>
          <w:sz w:val="24"/>
          <w:szCs w:val="24"/>
        </w:rPr>
        <w:t>imposed an obligation on him to take positive steps to ensure that the required information and/or documentation be provided to Morake.</w:t>
      </w:r>
    </w:p>
    <w:p w14:paraId="439E0B9B" w14:textId="77777777" w:rsidR="00E45E7C" w:rsidRPr="00E45E7C" w:rsidRDefault="00E45E7C" w:rsidP="00E45E7C">
      <w:pPr>
        <w:pStyle w:val="ListParagraph"/>
        <w:rPr>
          <w:rFonts w:ascii="Century Gothic" w:hAnsi="Century Gothic" w:cs="Tahoma"/>
          <w:bCs/>
          <w:sz w:val="24"/>
          <w:szCs w:val="24"/>
        </w:rPr>
      </w:pPr>
    </w:p>
    <w:p w14:paraId="47C2FD4E" w14:textId="694AAF03" w:rsidR="00E45E7C" w:rsidRDefault="00E45E7C" w:rsidP="000F7AD4">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A number of the items of information and/or documentation that Karstens was obliged to provide to Morake ought to have been easy to compile with relatively limited assistance by the accountant. A separate inventory of all the movable and immovable assets of Multitech as well as a list of </w:t>
      </w:r>
      <w:r>
        <w:rPr>
          <w:rFonts w:ascii="Century Gothic" w:hAnsi="Century Gothic" w:cs="Tahoma"/>
          <w:bCs/>
          <w:sz w:val="24"/>
          <w:szCs w:val="24"/>
        </w:rPr>
        <w:lastRenderedPageBreak/>
        <w:t xml:space="preserve">current liabilities, could have been prepared. The name of First </w:t>
      </w:r>
      <w:r w:rsidR="00FD518E">
        <w:rPr>
          <w:rFonts w:ascii="Century Gothic" w:hAnsi="Century Gothic" w:cs="Tahoma"/>
          <w:bCs/>
          <w:sz w:val="24"/>
          <w:szCs w:val="24"/>
        </w:rPr>
        <w:t>N</w:t>
      </w:r>
      <w:r>
        <w:rPr>
          <w:rFonts w:ascii="Century Gothic" w:hAnsi="Century Gothic" w:cs="Tahoma"/>
          <w:bCs/>
          <w:sz w:val="24"/>
          <w:szCs w:val="24"/>
        </w:rPr>
        <w:t>ational Bank as the banker of Multitech could easily have been provided</w:t>
      </w:r>
      <w:r w:rsidR="00FD518E">
        <w:rPr>
          <w:rFonts w:ascii="Century Gothic" w:hAnsi="Century Gothic" w:cs="Tahoma"/>
          <w:bCs/>
          <w:sz w:val="24"/>
          <w:szCs w:val="24"/>
        </w:rPr>
        <w:t>.</w:t>
      </w:r>
      <w:r>
        <w:rPr>
          <w:rFonts w:ascii="Century Gothic" w:hAnsi="Century Gothic" w:cs="Tahoma"/>
          <w:bCs/>
          <w:sz w:val="24"/>
          <w:szCs w:val="24"/>
        </w:rPr>
        <w:t xml:space="preserve"> </w:t>
      </w:r>
      <w:r w:rsidR="00FD518E">
        <w:rPr>
          <w:rFonts w:ascii="Century Gothic" w:hAnsi="Century Gothic" w:cs="Tahoma"/>
          <w:bCs/>
          <w:sz w:val="24"/>
          <w:szCs w:val="24"/>
        </w:rPr>
        <w:t>C</w:t>
      </w:r>
      <w:r>
        <w:rPr>
          <w:rFonts w:ascii="Century Gothic" w:hAnsi="Century Gothic" w:cs="Tahoma"/>
          <w:bCs/>
          <w:sz w:val="24"/>
          <w:szCs w:val="24"/>
        </w:rPr>
        <w:t>opies of the bank statements in possession of the accountant could easily have been made and provided to Morake. Had this been done, it would have gone a long way to show Karstens’ willingness to comply with the court order. Instead, the court is le</w:t>
      </w:r>
      <w:r w:rsidR="00FD518E">
        <w:rPr>
          <w:rFonts w:ascii="Century Gothic" w:hAnsi="Century Gothic" w:cs="Tahoma"/>
          <w:bCs/>
          <w:sz w:val="24"/>
          <w:szCs w:val="24"/>
        </w:rPr>
        <w:t>f</w:t>
      </w:r>
      <w:r>
        <w:rPr>
          <w:rFonts w:ascii="Century Gothic" w:hAnsi="Century Gothic" w:cs="Tahoma"/>
          <w:bCs/>
          <w:sz w:val="24"/>
          <w:szCs w:val="24"/>
        </w:rPr>
        <w:t>t to wonder why these steps were not simply taken.</w:t>
      </w:r>
    </w:p>
    <w:p w14:paraId="2592870C" w14:textId="77777777" w:rsidR="00E45E7C" w:rsidRPr="00E45E7C" w:rsidRDefault="00E45E7C" w:rsidP="00E45E7C">
      <w:pPr>
        <w:pStyle w:val="ListParagraph"/>
        <w:rPr>
          <w:rFonts w:ascii="Century Gothic" w:hAnsi="Century Gothic" w:cs="Tahoma"/>
          <w:bCs/>
          <w:sz w:val="24"/>
          <w:szCs w:val="24"/>
        </w:rPr>
      </w:pPr>
    </w:p>
    <w:p w14:paraId="349CC969" w14:textId="6E6BE92A" w:rsidR="00E45E7C" w:rsidRDefault="00E45E7C" w:rsidP="00FD518E">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Mr Harmse, on behalf of Karstens, informed the court from the bar that a file with the required information and/or documentation was delivered to </w:t>
      </w:r>
      <w:r w:rsidR="00FD518E">
        <w:rPr>
          <w:rFonts w:ascii="Century Gothic" w:hAnsi="Century Gothic" w:cs="Tahoma"/>
          <w:bCs/>
          <w:sz w:val="24"/>
          <w:szCs w:val="24"/>
        </w:rPr>
        <w:t>M</w:t>
      </w:r>
      <w:r>
        <w:rPr>
          <w:rFonts w:ascii="Century Gothic" w:hAnsi="Century Gothic" w:cs="Tahoma"/>
          <w:bCs/>
          <w:sz w:val="24"/>
          <w:szCs w:val="24"/>
        </w:rPr>
        <w:t xml:space="preserve">agoma on 28 August 2020. A copy of this file was in Mr Harmse’s possession at the hearing. This caused some debate whether the file related to case number 208/2020, or another matter in which the parties are involved. In light </w:t>
      </w:r>
      <w:r w:rsidR="001F78CD">
        <w:rPr>
          <w:rFonts w:ascii="Century Gothic" w:hAnsi="Century Gothic" w:cs="Tahoma"/>
          <w:bCs/>
          <w:sz w:val="24"/>
          <w:szCs w:val="24"/>
        </w:rPr>
        <w:t xml:space="preserve">thereof that </w:t>
      </w:r>
      <w:r w:rsidR="00FD518E">
        <w:rPr>
          <w:rFonts w:ascii="Century Gothic" w:hAnsi="Century Gothic" w:cs="Tahoma"/>
          <w:bCs/>
          <w:sz w:val="24"/>
          <w:szCs w:val="24"/>
        </w:rPr>
        <w:t>K</w:t>
      </w:r>
      <w:r w:rsidR="001F78CD">
        <w:rPr>
          <w:rFonts w:ascii="Century Gothic" w:hAnsi="Century Gothic" w:cs="Tahoma"/>
          <w:bCs/>
          <w:sz w:val="24"/>
          <w:szCs w:val="24"/>
        </w:rPr>
        <w:t xml:space="preserve">arstens deposed to his answering affidavit </w:t>
      </w:r>
      <w:r w:rsidR="00FD518E">
        <w:rPr>
          <w:rFonts w:ascii="Century Gothic" w:hAnsi="Century Gothic" w:cs="Tahoma"/>
          <w:bCs/>
          <w:sz w:val="24"/>
          <w:szCs w:val="24"/>
        </w:rPr>
        <w:t xml:space="preserve">on 26 August 2020 and that the affidavit </w:t>
      </w:r>
      <w:r w:rsidR="001F78CD">
        <w:rPr>
          <w:rFonts w:ascii="Century Gothic" w:hAnsi="Century Gothic" w:cs="Tahoma"/>
          <w:bCs/>
          <w:sz w:val="24"/>
          <w:szCs w:val="24"/>
        </w:rPr>
        <w:t xml:space="preserve">was delivered on 27 August 2020, no cogent explanation was forthcoming on behalf of Karstens as to why Karstens did not seek to file a further affidavit to establish that compliance with the court order had taken place on 28 August 2020, if this was indeed the case. </w:t>
      </w:r>
      <w:r w:rsidR="00E1079C">
        <w:rPr>
          <w:rFonts w:ascii="Century Gothic" w:hAnsi="Century Gothic" w:cs="Tahoma"/>
          <w:bCs/>
          <w:sz w:val="24"/>
          <w:szCs w:val="24"/>
        </w:rPr>
        <w:t xml:space="preserve">Karstens had </w:t>
      </w:r>
      <w:r w:rsidR="001F78CD">
        <w:rPr>
          <w:rFonts w:ascii="Century Gothic" w:hAnsi="Century Gothic" w:cs="Tahoma"/>
          <w:bCs/>
          <w:sz w:val="24"/>
          <w:szCs w:val="24"/>
        </w:rPr>
        <w:t xml:space="preserve">ample </w:t>
      </w:r>
      <w:r w:rsidR="00E1079C">
        <w:rPr>
          <w:rFonts w:ascii="Century Gothic" w:hAnsi="Century Gothic" w:cs="Tahoma"/>
          <w:bCs/>
          <w:sz w:val="24"/>
          <w:szCs w:val="24"/>
        </w:rPr>
        <w:t>opportunity</w:t>
      </w:r>
      <w:r w:rsidR="001F78CD">
        <w:rPr>
          <w:rFonts w:ascii="Century Gothic" w:hAnsi="Century Gothic" w:cs="Tahoma"/>
          <w:bCs/>
          <w:sz w:val="24"/>
          <w:szCs w:val="24"/>
        </w:rPr>
        <w:t xml:space="preserve"> to do so until the hearing of this matter.</w:t>
      </w:r>
    </w:p>
    <w:p w14:paraId="6B1660EB" w14:textId="77777777" w:rsidR="001F78CD" w:rsidRPr="001F78CD" w:rsidRDefault="001F78CD" w:rsidP="001F78CD">
      <w:pPr>
        <w:pStyle w:val="ListParagraph"/>
        <w:rPr>
          <w:rFonts w:ascii="Century Gothic" w:hAnsi="Century Gothic" w:cs="Tahoma"/>
          <w:bCs/>
          <w:sz w:val="24"/>
          <w:szCs w:val="24"/>
        </w:rPr>
      </w:pPr>
    </w:p>
    <w:p w14:paraId="5F5FF5CA" w14:textId="63E421B9" w:rsidR="001F78CD" w:rsidRDefault="001F78CD" w:rsidP="00E1079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The findings set out above necessarily leads me to the conclusion that Karstens’ assertion that he did not act wilfully or in bad faith is untenable and must be rejected on the papers. Karstens has therefore not advanced sufficient evidence to establish a reasonable doubt that his non-compliance was not wilful and mala fide, and Morake has succeeded in proving contempt of court beyond reasonable doubt.</w:t>
      </w:r>
    </w:p>
    <w:p w14:paraId="41EEAEB1" w14:textId="77777777" w:rsidR="00E1079C" w:rsidRDefault="00E1079C" w:rsidP="00E1079C">
      <w:pPr>
        <w:pStyle w:val="ListParagraph"/>
        <w:spacing w:line="360" w:lineRule="auto"/>
        <w:ind w:left="567"/>
        <w:jc w:val="both"/>
        <w:rPr>
          <w:rFonts w:ascii="Century Gothic" w:hAnsi="Century Gothic" w:cs="Tahoma"/>
          <w:bCs/>
          <w:sz w:val="24"/>
          <w:szCs w:val="24"/>
        </w:rPr>
      </w:pPr>
    </w:p>
    <w:p w14:paraId="4E4D267B" w14:textId="77777777" w:rsidR="001F78CD" w:rsidRPr="001F78CD" w:rsidRDefault="001F78CD" w:rsidP="001F78CD">
      <w:pPr>
        <w:pStyle w:val="ListParagraph"/>
        <w:rPr>
          <w:rFonts w:ascii="Century Gothic" w:hAnsi="Century Gothic" w:cs="Tahoma"/>
          <w:b/>
          <w:bCs/>
          <w:sz w:val="24"/>
          <w:szCs w:val="24"/>
        </w:rPr>
      </w:pPr>
    </w:p>
    <w:p w14:paraId="15C3240B" w14:textId="45B39ED4" w:rsidR="001F78CD" w:rsidRPr="00E1079C" w:rsidRDefault="001F78CD" w:rsidP="00E1079C">
      <w:pPr>
        <w:pStyle w:val="ListParagraph"/>
        <w:spacing w:line="360" w:lineRule="auto"/>
        <w:ind w:left="-142"/>
        <w:jc w:val="both"/>
        <w:rPr>
          <w:rFonts w:ascii="Century Gothic" w:hAnsi="Century Gothic" w:cs="Tahoma"/>
          <w:b/>
          <w:bCs/>
          <w:sz w:val="24"/>
          <w:szCs w:val="24"/>
          <w:u w:val="single"/>
        </w:rPr>
      </w:pPr>
      <w:r w:rsidRPr="00E1079C">
        <w:rPr>
          <w:rFonts w:ascii="Century Gothic" w:hAnsi="Century Gothic" w:cs="Tahoma"/>
          <w:b/>
          <w:bCs/>
          <w:sz w:val="24"/>
          <w:szCs w:val="24"/>
          <w:u w:val="single"/>
        </w:rPr>
        <w:t xml:space="preserve">The appropriate sanction  </w:t>
      </w:r>
    </w:p>
    <w:p w14:paraId="21F073A8" w14:textId="77777777" w:rsidR="001F78CD" w:rsidRPr="001F78CD" w:rsidRDefault="001F78CD" w:rsidP="001F78CD">
      <w:pPr>
        <w:pStyle w:val="ListParagraph"/>
        <w:rPr>
          <w:rFonts w:ascii="Century Gothic" w:hAnsi="Century Gothic" w:cs="Tahoma"/>
          <w:bCs/>
          <w:sz w:val="24"/>
          <w:szCs w:val="24"/>
        </w:rPr>
      </w:pPr>
    </w:p>
    <w:p w14:paraId="181028F4" w14:textId="42143EB5" w:rsidR="001F78CD" w:rsidRDefault="001F78CD" w:rsidP="00E1079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What is </w:t>
      </w:r>
      <w:r w:rsidR="00E1079C">
        <w:rPr>
          <w:rFonts w:ascii="Century Gothic" w:hAnsi="Century Gothic" w:cs="Tahoma"/>
          <w:bCs/>
          <w:sz w:val="24"/>
          <w:szCs w:val="24"/>
        </w:rPr>
        <w:t xml:space="preserve">then </w:t>
      </w:r>
      <w:r>
        <w:rPr>
          <w:rFonts w:ascii="Century Gothic" w:hAnsi="Century Gothic" w:cs="Tahoma"/>
          <w:bCs/>
          <w:sz w:val="24"/>
          <w:szCs w:val="24"/>
        </w:rPr>
        <w:t>left to decide is the appropriate sanction to be imposed</w:t>
      </w:r>
      <w:r w:rsidR="002924EF">
        <w:rPr>
          <w:rFonts w:ascii="Century Gothic" w:hAnsi="Century Gothic" w:cs="Tahoma"/>
          <w:bCs/>
          <w:sz w:val="24"/>
          <w:szCs w:val="24"/>
        </w:rPr>
        <w:t>,</w:t>
      </w:r>
      <w:r>
        <w:rPr>
          <w:rFonts w:ascii="Century Gothic" w:hAnsi="Century Gothic" w:cs="Tahoma"/>
          <w:bCs/>
          <w:sz w:val="24"/>
          <w:szCs w:val="24"/>
        </w:rPr>
        <w:t xml:space="preserve"> and the issue of costs. Morake from the outset requested that Karstens be </w:t>
      </w:r>
      <w:r>
        <w:rPr>
          <w:rFonts w:ascii="Century Gothic" w:hAnsi="Century Gothic" w:cs="Tahoma"/>
          <w:bCs/>
          <w:sz w:val="24"/>
          <w:szCs w:val="24"/>
        </w:rPr>
        <w:lastRenderedPageBreak/>
        <w:t xml:space="preserve">committed to imprisonment, but that the sentence be suspended on condition that </w:t>
      </w:r>
      <w:r w:rsidR="00E1079C">
        <w:rPr>
          <w:rFonts w:ascii="Century Gothic" w:hAnsi="Century Gothic" w:cs="Tahoma"/>
          <w:bCs/>
          <w:sz w:val="24"/>
          <w:szCs w:val="24"/>
        </w:rPr>
        <w:t>K</w:t>
      </w:r>
      <w:r>
        <w:rPr>
          <w:rFonts w:ascii="Century Gothic" w:hAnsi="Century Gothic" w:cs="Tahoma"/>
          <w:bCs/>
          <w:sz w:val="24"/>
          <w:szCs w:val="24"/>
        </w:rPr>
        <w:t xml:space="preserve">arstens complies with the order under case number 208/2020. </w:t>
      </w:r>
      <w:r w:rsidR="002924EF">
        <w:rPr>
          <w:rFonts w:ascii="Century Gothic" w:hAnsi="Century Gothic" w:cs="Tahoma"/>
          <w:bCs/>
          <w:sz w:val="24"/>
          <w:szCs w:val="24"/>
        </w:rPr>
        <w:t xml:space="preserve">The period of suspension of the sentence was requested to be a year. </w:t>
      </w:r>
      <w:r>
        <w:rPr>
          <w:rFonts w:ascii="Century Gothic" w:hAnsi="Century Gothic" w:cs="Tahoma"/>
          <w:bCs/>
          <w:sz w:val="24"/>
          <w:szCs w:val="24"/>
        </w:rPr>
        <w:t xml:space="preserve">Mr Hefer indicated that Morake would not object if the time period allowed for compliance </w:t>
      </w:r>
      <w:r w:rsidR="002924EF">
        <w:rPr>
          <w:rFonts w:ascii="Century Gothic" w:hAnsi="Century Gothic" w:cs="Tahoma"/>
          <w:bCs/>
          <w:sz w:val="24"/>
          <w:szCs w:val="24"/>
        </w:rPr>
        <w:t xml:space="preserve">with the order under case number 208/2020 </w:t>
      </w:r>
      <w:r>
        <w:rPr>
          <w:rFonts w:ascii="Century Gothic" w:hAnsi="Century Gothic" w:cs="Tahoma"/>
          <w:bCs/>
          <w:sz w:val="24"/>
          <w:szCs w:val="24"/>
        </w:rPr>
        <w:t>be extended f</w:t>
      </w:r>
      <w:r w:rsidR="00E1079C">
        <w:rPr>
          <w:rFonts w:ascii="Century Gothic" w:hAnsi="Century Gothic" w:cs="Tahoma"/>
          <w:bCs/>
          <w:sz w:val="24"/>
          <w:szCs w:val="24"/>
        </w:rPr>
        <w:t>r</w:t>
      </w:r>
      <w:r>
        <w:rPr>
          <w:rFonts w:ascii="Century Gothic" w:hAnsi="Century Gothic" w:cs="Tahoma"/>
          <w:bCs/>
          <w:sz w:val="24"/>
          <w:szCs w:val="24"/>
        </w:rPr>
        <w:t>om the 30 days requested by Morake to a period of 45 days.</w:t>
      </w:r>
      <w:r w:rsidR="002924EF">
        <w:rPr>
          <w:rFonts w:ascii="Century Gothic" w:hAnsi="Century Gothic" w:cs="Tahoma"/>
          <w:bCs/>
          <w:sz w:val="24"/>
          <w:szCs w:val="24"/>
        </w:rPr>
        <w:t xml:space="preserve"> </w:t>
      </w:r>
      <w:r w:rsidR="00FC41A7">
        <w:rPr>
          <w:rFonts w:ascii="Century Gothic" w:hAnsi="Century Gothic" w:cs="Tahoma"/>
          <w:bCs/>
          <w:sz w:val="24"/>
          <w:szCs w:val="24"/>
        </w:rPr>
        <w:t xml:space="preserve">Should I order Karstens to comply with the court order under case number 208/2020 within 45 days, there would be no purpose </w:t>
      </w:r>
      <w:r w:rsidR="00B04643">
        <w:rPr>
          <w:rFonts w:ascii="Century Gothic" w:hAnsi="Century Gothic" w:cs="Tahoma"/>
          <w:bCs/>
          <w:i/>
          <w:iCs/>
          <w:sz w:val="24"/>
          <w:szCs w:val="24"/>
        </w:rPr>
        <w:t xml:space="preserve">in casu </w:t>
      </w:r>
      <w:r w:rsidR="00B04643">
        <w:rPr>
          <w:rFonts w:ascii="Century Gothic" w:hAnsi="Century Gothic" w:cs="Tahoma"/>
          <w:bCs/>
          <w:sz w:val="24"/>
          <w:szCs w:val="24"/>
        </w:rPr>
        <w:t>to suspend the sentence for a year.</w:t>
      </w:r>
    </w:p>
    <w:p w14:paraId="7AC38812" w14:textId="77777777" w:rsidR="00084E4E" w:rsidRDefault="00084E4E" w:rsidP="00084E4E">
      <w:pPr>
        <w:pStyle w:val="ListParagraph"/>
        <w:spacing w:line="360" w:lineRule="auto"/>
        <w:ind w:left="142"/>
        <w:jc w:val="both"/>
        <w:rPr>
          <w:rFonts w:ascii="Century Gothic" w:hAnsi="Century Gothic" w:cs="Tahoma"/>
          <w:bCs/>
          <w:sz w:val="24"/>
          <w:szCs w:val="24"/>
        </w:rPr>
      </w:pPr>
    </w:p>
    <w:p w14:paraId="45B4892B" w14:textId="77777777" w:rsidR="00E1079C" w:rsidRDefault="001F78CD" w:rsidP="00E1079C">
      <w:pPr>
        <w:pStyle w:val="ListParagraph"/>
        <w:numPr>
          <w:ilvl w:val="0"/>
          <w:numId w:val="2"/>
        </w:numPr>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 xml:space="preserve">In </w:t>
      </w:r>
      <w:r w:rsidRPr="00E1079C">
        <w:rPr>
          <w:rFonts w:ascii="Century Gothic" w:hAnsi="Century Gothic" w:cs="Tahoma"/>
          <w:b/>
          <w:sz w:val="24"/>
          <w:szCs w:val="24"/>
        </w:rPr>
        <w:t xml:space="preserve">Protea Holdings Ltd v Wriwt and Another 1978(3) SA 385 </w:t>
      </w:r>
      <w:r w:rsidR="00E1079C">
        <w:rPr>
          <w:rFonts w:ascii="Century Gothic" w:hAnsi="Century Gothic" w:cs="Tahoma"/>
          <w:b/>
          <w:sz w:val="24"/>
          <w:szCs w:val="24"/>
        </w:rPr>
        <w:t xml:space="preserve">(W) </w:t>
      </w:r>
      <w:r w:rsidR="00685021">
        <w:rPr>
          <w:rFonts w:ascii="Century Gothic" w:hAnsi="Century Gothic" w:cs="Tahoma"/>
          <w:bCs/>
          <w:sz w:val="24"/>
          <w:szCs w:val="24"/>
        </w:rPr>
        <w:t>Nestadt J remarked that</w:t>
      </w:r>
      <w:r w:rsidR="00E1079C">
        <w:rPr>
          <w:rFonts w:ascii="Century Gothic" w:hAnsi="Century Gothic" w:cs="Tahoma"/>
          <w:bCs/>
          <w:sz w:val="24"/>
          <w:szCs w:val="24"/>
        </w:rPr>
        <w:t>:</w:t>
      </w:r>
    </w:p>
    <w:p w14:paraId="0A1E856C" w14:textId="77777777" w:rsidR="00E1079C" w:rsidRDefault="00E1079C" w:rsidP="00E1079C">
      <w:pPr>
        <w:pStyle w:val="ListParagraph"/>
        <w:spacing w:line="360" w:lineRule="auto"/>
        <w:ind w:left="567"/>
        <w:jc w:val="both"/>
        <w:rPr>
          <w:rFonts w:ascii="Century Gothic" w:hAnsi="Century Gothic" w:cs="Tahoma"/>
          <w:bCs/>
          <w:sz w:val="24"/>
          <w:szCs w:val="24"/>
        </w:rPr>
      </w:pPr>
    </w:p>
    <w:p w14:paraId="13D55FD1" w14:textId="1CD905CA" w:rsidR="00685021" w:rsidRDefault="00685021" w:rsidP="00E1079C">
      <w:pPr>
        <w:pStyle w:val="ListParagraph"/>
        <w:spacing w:line="360" w:lineRule="auto"/>
        <w:ind w:left="567"/>
        <w:jc w:val="both"/>
        <w:rPr>
          <w:rFonts w:ascii="Century Gothic" w:hAnsi="Century Gothic" w:cs="Tahoma"/>
          <w:bCs/>
          <w:i/>
          <w:iCs/>
          <w:sz w:val="22"/>
          <w:szCs w:val="22"/>
        </w:rPr>
      </w:pPr>
      <w:r w:rsidRPr="00E1079C">
        <w:rPr>
          <w:rFonts w:ascii="Century Gothic" w:hAnsi="Century Gothic" w:cs="Tahoma"/>
          <w:bCs/>
          <w:i/>
          <w:iCs/>
          <w:sz w:val="22"/>
          <w:szCs w:val="22"/>
        </w:rPr>
        <w:t>“</w:t>
      </w:r>
      <w:r w:rsidR="00E1079C" w:rsidRPr="00E1079C">
        <w:rPr>
          <w:rFonts w:ascii="Century Gothic" w:hAnsi="Century Gothic" w:cs="Tahoma"/>
          <w:bCs/>
          <w:i/>
          <w:iCs/>
          <w:sz w:val="22"/>
          <w:szCs w:val="22"/>
        </w:rPr>
        <w:t>(</w:t>
      </w:r>
      <w:r w:rsidRPr="00E1079C">
        <w:rPr>
          <w:rFonts w:ascii="Century Gothic" w:hAnsi="Century Gothic" w:cs="Tahoma"/>
          <w:bCs/>
          <w:i/>
          <w:iCs/>
          <w:sz w:val="22"/>
          <w:szCs w:val="22"/>
        </w:rPr>
        <w:t>I</w:t>
      </w:r>
      <w:r w:rsidR="00E1079C" w:rsidRPr="00E1079C">
        <w:rPr>
          <w:rFonts w:ascii="Century Gothic" w:hAnsi="Century Gothic" w:cs="Tahoma"/>
          <w:bCs/>
          <w:i/>
          <w:iCs/>
          <w:sz w:val="22"/>
          <w:szCs w:val="22"/>
        </w:rPr>
        <w:t>)</w:t>
      </w:r>
      <w:r w:rsidRPr="00E1079C">
        <w:rPr>
          <w:rFonts w:ascii="Century Gothic" w:hAnsi="Century Gothic" w:cs="Tahoma"/>
          <w:bCs/>
          <w:i/>
          <w:iCs/>
          <w:sz w:val="22"/>
          <w:szCs w:val="22"/>
        </w:rPr>
        <w:t>t is vital to the administration of justice that those affected by court orders obey them. Our courts cannot tolerate the disregard of its orders. Accordingly, it seems to me that I would be failing in my duty if I did not impose a punishment which takes into account the serious nature of this type of offence”.</w:t>
      </w:r>
    </w:p>
    <w:p w14:paraId="4CBFC4C3" w14:textId="73EC5763" w:rsidR="001140C8" w:rsidRDefault="001140C8" w:rsidP="00E1079C">
      <w:pPr>
        <w:pStyle w:val="ListParagraph"/>
        <w:spacing w:line="360" w:lineRule="auto"/>
        <w:ind w:left="567"/>
        <w:jc w:val="both"/>
        <w:rPr>
          <w:rFonts w:ascii="Century Gothic" w:hAnsi="Century Gothic" w:cs="Tahoma"/>
          <w:bCs/>
          <w:i/>
          <w:iCs/>
          <w:sz w:val="22"/>
          <w:szCs w:val="22"/>
        </w:rPr>
      </w:pPr>
    </w:p>
    <w:p w14:paraId="4CE1560B" w14:textId="7F711F7C" w:rsidR="001140C8" w:rsidRDefault="001140C8" w:rsidP="001140C8">
      <w:pPr>
        <w:pStyle w:val="ListParagraph"/>
        <w:spacing w:line="360" w:lineRule="auto"/>
        <w:ind w:left="567" w:hanging="709"/>
        <w:jc w:val="both"/>
        <w:rPr>
          <w:rFonts w:ascii="Century Gothic" w:hAnsi="Century Gothic" w:cs="Tahoma"/>
          <w:bCs/>
          <w:sz w:val="24"/>
          <w:szCs w:val="24"/>
        </w:rPr>
      </w:pPr>
      <w:r w:rsidRPr="001140C8">
        <w:rPr>
          <w:rFonts w:ascii="Century Gothic" w:hAnsi="Century Gothic" w:cs="Tahoma"/>
          <w:bCs/>
          <w:sz w:val="24"/>
          <w:szCs w:val="24"/>
        </w:rPr>
        <w:t>[29]</w:t>
      </w:r>
      <w:r>
        <w:rPr>
          <w:rFonts w:ascii="Century Gothic" w:hAnsi="Century Gothic" w:cs="Tahoma"/>
          <w:bCs/>
          <w:sz w:val="24"/>
          <w:szCs w:val="24"/>
        </w:rPr>
        <w:tab/>
      </w:r>
      <w:r w:rsidRPr="001140C8">
        <w:rPr>
          <w:rFonts w:ascii="Century Gothic" w:hAnsi="Century Gothic" w:cs="Tahoma"/>
          <w:bCs/>
          <w:sz w:val="24"/>
          <w:szCs w:val="24"/>
        </w:rPr>
        <w:t xml:space="preserve">The </w:t>
      </w:r>
      <w:r>
        <w:rPr>
          <w:rFonts w:ascii="Century Gothic" w:hAnsi="Century Gothic" w:cs="Tahoma"/>
          <w:bCs/>
          <w:sz w:val="24"/>
          <w:szCs w:val="24"/>
        </w:rPr>
        <w:t xml:space="preserve">fundamental </w:t>
      </w:r>
      <w:r w:rsidRPr="001140C8">
        <w:rPr>
          <w:rFonts w:ascii="Century Gothic" w:hAnsi="Century Gothic" w:cs="Tahoma"/>
          <w:bCs/>
          <w:sz w:val="24"/>
          <w:szCs w:val="24"/>
        </w:rPr>
        <w:t>importance of ensuring that court orders are obeyed</w:t>
      </w:r>
      <w:r>
        <w:rPr>
          <w:rFonts w:ascii="Century Gothic" w:hAnsi="Century Gothic" w:cs="Tahoma"/>
          <w:bCs/>
          <w:sz w:val="24"/>
          <w:szCs w:val="24"/>
        </w:rPr>
        <w:t xml:space="preserve"> was more recently stressed by the Constitutional Court in </w:t>
      </w:r>
      <w:r w:rsidRPr="001140C8">
        <w:rPr>
          <w:rFonts w:ascii="Century Gothic" w:hAnsi="Century Gothic" w:cs="Tahoma"/>
          <w:b/>
          <w:sz w:val="24"/>
          <w:szCs w:val="24"/>
        </w:rPr>
        <w:t>Secretary of the Judicial Commission of Inquiry into Allegations of State Capture, Corruption and Fraud in the Public Sector Including Organs of State v Zuma and others (Helen Suzman Foundation as amicus curiae)</w:t>
      </w:r>
      <w:r>
        <w:rPr>
          <w:rFonts w:ascii="Century Gothic" w:hAnsi="Century Gothic" w:cs="Tahoma"/>
          <w:b/>
          <w:sz w:val="24"/>
          <w:szCs w:val="24"/>
        </w:rPr>
        <w:t xml:space="preserve"> </w:t>
      </w:r>
      <w:r w:rsidRPr="001140C8">
        <w:rPr>
          <w:rFonts w:ascii="Century Gothic" w:hAnsi="Century Gothic" w:cs="Tahoma"/>
          <w:b/>
          <w:sz w:val="24"/>
          <w:szCs w:val="24"/>
        </w:rPr>
        <w:t>2021 (9) BCLR 992 (CC)</w:t>
      </w:r>
      <w:r>
        <w:rPr>
          <w:rFonts w:ascii="Century Gothic" w:hAnsi="Century Gothic" w:cs="Tahoma"/>
          <w:bCs/>
          <w:sz w:val="24"/>
          <w:szCs w:val="24"/>
        </w:rPr>
        <w:t>.</w:t>
      </w:r>
    </w:p>
    <w:p w14:paraId="31D1CC1D" w14:textId="589035F2" w:rsidR="0062654D" w:rsidRDefault="0062654D" w:rsidP="001140C8">
      <w:pPr>
        <w:pStyle w:val="ListParagraph"/>
        <w:spacing w:line="360" w:lineRule="auto"/>
        <w:ind w:left="567" w:hanging="709"/>
        <w:jc w:val="both"/>
        <w:rPr>
          <w:rFonts w:ascii="Century Gothic" w:hAnsi="Century Gothic" w:cs="Tahoma"/>
          <w:bCs/>
          <w:sz w:val="24"/>
          <w:szCs w:val="24"/>
        </w:rPr>
      </w:pPr>
    </w:p>
    <w:p w14:paraId="2F7274B5" w14:textId="0AF6322F" w:rsidR="0062654D" w:rsidRPr="001140C8" w:rsidRDefault="0062654D" w:rsidP="001140C8">
      <w:pPr>
        <w:pStyle w:val="ListParagraph"/>
        <w:spacing w:line="360" w:lineRule="auto"/>
        <w:ind w:left="567" w:hanging="709"/>
        <w:jc w:val="both"/>
        <w:rPr>
          <w:rFonts w:ascii="Century Gothic" w:hAnsi="Century Gothic" w:cs="Tahoma"/>
          <w:bCs/>
          <w:sz w:val="24"/>
          <w:szCs w:val="24"/>
        </w:rPr>
      </w:pPr>
      <w:r>
        <w:rPr>
          <w:rFonts w:ascii="Century Gothic" w:hAnsi="Century Gothic" w:cs="Tahoma"/>
          <w:bCs/>
          <w:sz w:val="24"/>
          <w:szCs w:val="24"/>
        </w:rPr>
        <w:t>[30]</w:t>
      </w:r>
      <w:r>
        <w:rPr>
          <w:rFonts w:ascii="Century Gothic" w:hAnsi="Century Gothic" w:cs="Tahoma"/>
          <w:bCs/>
          <w:sz w:val="24"/>
          <w:szCs w:val="24"/>
        </w:rPr>
        <w:tab/>
        <w:t>Given the sentiments set out above, I find that it would be appropriate in the circumstances of this matter to order the First Respondent to pay the Applicant’s costs on the attorney and client scale.</w:t>
      </w:r>
    </w:p>
    <w:p w14:paraId="11327295" w14:textId="77777777" w:rsidR="006B3284" w:rsidRDefault="006B3284" w:rsidP="001C690D">
      <w:pPr>
        <w:spacing w:line="360" w:lineRule="auto"/>
        <w:jc w:val="both"/>
        <w:rPr>
          <w:rFonts w:ascii="Century Gothic" w:hAnsi="Century Gothic" w:cs="Tahoma"/>
          <w:bCs/>
          <w:sz w:val="24"/>
          <w:szCs w:val="24"/>
        </w:rPr>
      </w:pPr>
    </w:p>
    <w:p w14:paraId="72FE16B0" w14:textId="462698EA" w:rsidR="00F52FE7" w:rsidRPr="00F52FE7" w:rsidRDefault="00F52FE7" w:rsidP="001C690D">
      <w:pPr>
        <w:spacing w:line="360" w:lineRule="auto"/>
        <w:jc w:val="both"/>
        <w:rPr>
          <w:rFonts w:ascii="Century Gothic" w:hAnsi="Century Gothic" w:cs="Tahoma"/>
          <w:b/>
          <w:sz w:val="24"/>
          <w:szCs w:val="24"/>
        </w:rPr>
      </w:pPr>
      <w:r w:rsidRPr="00F52FE7">
        <w:rPr>
          <w:rFonts w:ascii="Century Gothic" w:hAnsi="Century Gothic" w:cs="Tahoma"/>
          <w:b/>
          <w:sz w:val="24"/>
          <w:szCs w:val="24"/>
        </w:rPr>
        <w:t>ORDER</w:t>
      </w:r>
    </w:p>
    <w:p w14:paraId="13A040B0" w14:textId="77777777" w:rsidR="00F52FE7" w:rsidRDefault="00F52FE7" w:rsidP="001C690D">
      <w:pPr>
        <w:spacing w:line="360" w:lineRule="auto"/>
        <w:jc w:val="both"/>
        <w:rPr>
          <w:rFonts w:ascii="Century Gothic" w:hAnsi="Century Gothic" w:cs="Tahoma"/>
          <w:bCs/>
          <w:sz w:val="24"/>
          <w:szCs w:val="24"/>
        </w:rPr>
      </w:pPr>
    </w:p>
    <w:p w14:paraId="4BE69AF7" w14:textId="2A715545" w:rsidR="00E61A9E" w:rsidRDefault="00E61A9E" w:rsidP="001C690D">
      <w:pPr>
        <w:spacing w:line="360" w:lineRule="auto"/>
        <w:jc w:val="both"/>
        <w:rPr>
          <w:rFonts w:ascii="Century Gothic" w:hAnsi="Century Gothic" w:cs="Tahoma"/>
          <w:bCs/>
          <w:sz w:val="24"/>
          <w:szCs w:val="24"/>
        </w:rPr>
      </w:pPr>
      <w:r>
        <w:rPr>
          <w:rFonts w:ascii="Century Gothic" w:hAnsi="Century Gothic" w:cs="Tahoma"/>
          <w:bCs/>
          <w:sz w:val="24"/>
          <w:szCs w:val="24"/>
        </w:rPr>
        <w:t>[</w:t>
      </w:r>
      <w:r w:rsidR="001140C8">
        <w:rPr>
          <w:rFonts w:ascii="Century Gothic" w:hAnsi="Century Gothic" w:cs="Tahoma"/>
          <w:bCs/>
          <w:sz w:val="24"/>
          <w:szCs w:val="24"/>
        </w:rPr>
        <w:t>3</w:t>
      </w:r>
      <w:r w:rsidR="0062654D">
        <w:rPr>
          <w:rFonts w:ascii="Century Gothic" w:hAnsi="Century Gothic" w:cs="Tahoma"/>
          <w:bCs/>
          <w:sz w:val="24"/>
          <w:szCs w:val="24"/>
        </w:rPr>
        <w:t>1</w:t>
      </w:r>
      <w:r>
        <w:rPr>
          <w:rFonts w:ascii="Century Gothic" w:hAnsi="Century Gothic" w:cs="Tahoma"/>
          <w:bCs/>
          <w:sz w:val="24"/>
          <w:szCs w:val="24"/>
        </w:rPr>
        <w:t>]</w:t>
      </w:r>
      <w:r>
        <w:rPr>
          <w:rFonts w:ascii="Century Gothic" w:hAnsi="Century Gothic" w:cs="Tahoma"/>
          <w:bCs/>
          <w:sz w:val="24"/>
          <w:szCs w:val="24"/>
        </w:rPr>
        <w:tab/>
        <w:t>In the premises, the following order is made:</w:t>
      </w:r>
    </w:p>
    <w:p w14:paraId="398C31C4" w14:textId="672BDB3E" w:rsidR="003F4F9D" w:rsidRDefault="00E61A9E" w:rsidP="00E61A9E">
      <w:pPr>
        <w:pStyle w:val="ListParagraph"/>
        <w:numPr>
          <w:ilvl w:val="0"/>
          <w:numId w:val="1"/>
        </w:numPr>
        <w:spacing w:line="360" w:lineRule="auto"/>
        <w:jc w:val="both"/>
        <w:rPr>
          <w:rFonts w:ascii="Century Gothic" w:hAnsi="Century Gothic" w:cs="Tahoma"/>
          <w:bCs/>
          <w:sz w:val="24"/>
          <w:szCs w:val="24"/>
        </w:rPr>
      </w:pPr>
      <w:r>
        <w:rPr>
          <w:rFonts w:ascii="Century Gothic" w:hAnsi="Century Gothic" w:cs="Tahoma"/>
          <w:bCs/>
          <w:sz w:val="24"/>
          <w:szCs w:val="24"/>
        </w:rPr>
        <w:lastRenderedPageBreak/>
        <w:t xml:space="preserve">The </w:t>
      </w:r>
      <w:r w:rsidR="001140C8">
        <w:rPr>
          <w:rFonts w:ascii="Century Gothic" w:hAnsi="Century Gothic" w:cs="Tahoma"/>
          <w:bCs/>
          <w:sz w:val="24"/>
          <w:szCs w:val="24"/>
        </w:rPr>
        <w:t>F</w:t>
      </w:r>
      <w:r>
        <w:rPr>
          <w:rFonts w:ascii="Century Gothic" w:hAnsi="Century Gothic" w:cs="Tahoma"/>
          <w:bCs/>
          <w:sz w:val="24"/>
          <w:szCs w:val="24"/>
        </w:rPr>
        <w:t>i</w:t>
      </w:r>
      <w:r w:rsidR="00685021">
        <w:rPr>
          <w:rFonts w:ascii="Century Gothic" w:hAnsi="Century Gothic" w:cs="Tahoma"/>
          <w:bCs/>
          <w:sz w:val="24"/>
          <w:szCs w:val="24"/>
        </w:rPr>
        <w:t xml:space="preserve">rst </w:t>
      </w:r>
      <w:r w:rsidR="001140C8">
        <w:rPr>
          <w:rFonts w:ascii="Century Gothic" w:hAnsi="Century Gothic" w:cs="Tahoma"/>
          <w:bCs/>
          <w:sz w:val="24"/>
          <w:szCs w:val="24"/>
        </w:rPr>
        <w:t>R</w:t>
      </w:r>
      <w:r w:rsidR="00685021">
        <w:rPr>
          <w:rFonts w:ascii="Century Gothic" w:hAnsi="Century Gothic" w:cs="Tahoma"/>
          <w:bCs/>
          <w:sz w:val="24"/>
          <w:szCs w:val="24"/>
        </w:rPr>
        <w:t xml:space="preserve">espondent is held in contempt of the court order granted </w:t>
      </w:r>
      <w:r w:rsidR="008D2EC5">
        <w:rPr>
          <w:rFonts w:ascii="Century Gothic" w:hAnsi="Century Gothic" w:cs="Tahoma"/>
          <w:bCs/>
          <w:sz w:val="24"/>
          <w:szCs w:val="24"/>
        </w:rPr>
        <w:t xml:space="preserve">by this Court </w:t>
      </w:r>
      <w:r w:rsidR="00685021">
        <w:rPr>
          <w:rFonts w:ascii="Century Gothic" w:hAnsi="Century Gothic" w:cs="Tahoma"/>
          <w:bCs/>
          <w:sz w:val="24"/>
          <w:szCs w:val="24"/>
        </w:rPr>
        <w:t>under case number 208/2020 on 19 June 2020</w:t>
      </w:r>
      <w:r w:rsidR="008D2EC5">
        <w:rPr>
          <w:rFonts w:ascii="Century Gothic" w:hAnsi="Century Gothic" w:cs="Tahoma"/>
          <w:bCs/>
          <w:sz w:val="24"/>
          <w:szCs w:val="24"/>
        </w:rPr>
        <w:t>;</w:t>
      </w:r>
    </w:p>
    <w:p w14:paraId="0F6B06EE" w14:textId="77777777" w:rsidR="00685021" w:rsidRDefault="00685021" w:rsidP="00685021">
      <w:pPr>
        <w:pStyle w:val="ListParagraph"/>
        <w:spacing w:line="360" w:lineRule="auto"/>
        <w:ind w:left="1080"/>
        <w:jc w:val="both"/>
        <w:rPr>
          <w:rFonts w:ascii="Century Gothic" w:hAnsi="Century Gothic" w:cs="Tahoma"/>
          <w:bCs/>
          <w:sz w:val="24"/>
          <w:szCs w:val="24"/>
        </w:rPr>
      </w:pPr>
    </w:p>
    <w:p w14:paraId="5C0D87FF" w14:textId="5BD4B608" w:rsidR="00685021" w:rsidRPr="00685021" w:rsidRDefault="00685021" w:rsidP="00685021">
      <w:pPr>
        <w:pStyle w:val="ListParagraph"/>
        <w:numPr>
          <w:ilvl w:val="0"/>
          <w:numId w:val="1"/>
        </w:numPr>
        <w:spacing w:line="360" w:lineRule="auto"/>
        <w:jc w:val="both"/>
        <w:rPr>
          <w:rFonts w:ascii="Century Gothic" w:hAnsi="Century Gothic" w:cs="Tahoma"/>
          <w:bCs/>
          <w:sz w:val="24"/>
          <w:szCs w:val="24"/>
        </w:rPr>
      </w:pPr>
      <w:r>
        <w:rPr>
          <w:rFonts w:ascii="Century Gothic" w:hAnsi="Century Gothic" w:cs="Tahoma"/>
          <w:bCs/>
          <w:sz w:val="24"/>
          <w:szCs w:val="24"/>
        </w:rPr>
        <w:t xml:space="preserve">The </w:t>
      </w:r>
      <w:r w:rsidR="008D2EC5">
        <w:rPr>
          <w:rFonts w:ascii="Century Gothic" w:hAnsi="Century Gothic" w:cs="Tahoma"/>
          <w:bCs/>
          <w:sz w:val="24"/>
          <w:szCs w:val="24"/>
        </w:rPr>
        <w:t>F</w:t>
      </w:r>
      <w:r>
        <w:rPr>
          <w:rFonts w:ascii="Century Gothic" w:hAnsi="Century Gothic" w:cs="Tahoma"/>
          <w:bCs/>
          <w:sz w:val="24"/>
          <w:szCs w:val="24"/>
        </w:rPr>
        <w:t xml:space="preserve">irst </w:t>
      </w:r>
      <w:r w:rsidR="008D2EC5">
        <w:rPr>
          <w:rFonts w:ascii="Century Gothic" w:hAnsi="Century Gothic" w:cs="Tahoma"/>
          <w:bCs/>
          <w:sz w:val="24"/>
          <w:szCs w:val="24"/>
        </w:rPr>
        <w:t>R</w:t>
      </w:r>
      <w:r>
        <w:rPr>
          <w:rFonts w:ascii="Century Gothic" w:hAnsi="Century Gothic" w:cs="Tahoma"/>
          <w:bCs/>
          <w:sz w:val="24"/>
          <w:szCs w:val="24"/>
        </w:rPr>
        <w:t>espondent is committed to imprisonment of 30(</w:t>
      </w:r>
      <w:r w:rsidR="008D2EC5">
        <w:rPr>
          <w:rFonts w:ascii="Century Gothic" w:hAnsi="Century Gothic" w:cs="Tahoma"/>
          <w:bCs/>
          <w:sz w:val="24"/>
          <w:szCs w:val="24"/>
        </w:rPr>
        <w:t>t</w:t>
      </w:r>
      <w:r>
        <w:rPr>
          <w:rFonts w:ascii="Century Gothic" w:hAnsi="Century Gothic" w:cs="Tahoma"/>
          <w:bCs/>
          <w:sz w:val="24"/>
          <w:szCs w:val="24"/>
        </w:rPr>
        <w:t>hirty) days;</w:t>
      </w:r>
    </w:p>
    <w:p w14:paraId="69E7684F" w14:textId="77777777" w:rsidR="00685021" w:rsidRDefault="00685021" w:rsidP="00685021">
      <w:pPr>
        <w:pStyle w:val="ListParagraph"/>
        <w:spacing w:line="360" w:lineRule="auto"/>
        <w:ind w:left="1080"/>
        <w:jc w:val="both"/>
        <w:rPr>
          <w:rFonts w:ascii="Century Gothic" w:hAnsi="Century Gothic" w:cs="Tahoma"/>
          <w:bCs/>
          <w:sz w:val="24"/>
          <w:szCs w:val="24"/>
        </w:rPr>
      </w:pPr>
    </w:p>
    <w:p w14:paraId="66CE89AE" w14:textId="3FCCFF6F" w:rsidR="00685021" w:rsidRDefault="00685021" w:rsidP="00E61A9E">
      <w:pPr>
        <w:pStyle w:val="ListParagraph"/>
        <w:numPr>
          <w:ilvl w:val="0"/>
          <w:numId w:val="1"/>
        </w:numPr>
        <w:spacing w:line="360" w:lineRule="auto"/>
        <w:jc w:val="both"/>
        <w:rPr>
          <w:rFonts w:ascii="Century Gothic" w:hAnsi="Century Gothic" w:cs="Tahoma"/>
          <w:bCs/>
          <w:sz w:val="24"/>
          <w:szCs w:val="24"/>
        </w:rPr>
      </w:pPr>
      <w:r>
        <w:rPr>
          <w:rFonts w:ascii="Century Gothic" w:hAnsi="Century Gothic" w:cs="Tahoma"/>
          <w:bCs/>
          <w:sz w:val="24"/>
          <w:szCs w:val="24"/>
        </w:rPr>
        <w:t xml:space="preserve">The order set out in paragraph 2 above is suspended for a period of 45 days from date of this judgment on condition that the </w:t>
      </w:r>
      <w:r w:rsidR="008D2EC5">
        <w:rPr>
          <w:rFonts w:ascii="Century Gothic" w:hAnsi="Century Gothic" w:cs="Tahoma"/>
          <w:bCs/>
          <w:sz w:val="24"/>
          <w:szCs w:val="24"/>
        </w:rPr>
        <w:t>F</w:t>
      </w:r>
      <w:r>
        <w:rPr>
          <w:rFonts w:ascii="Century Gothic" w:hAnsi="Century Gothic" w:cs="Tahoma"/>
          <w:bCs/>
          <w:sz w:val="24"/>
          <w:szCs w:val="24"/>
        </w:rPr>
        <w:t xml:space="preserve">irst </w:t>
      </w:r>
      <w:r w:rsidR="008D2EC5">
        <w:rPr>
          <w:rFonts w:ascii="Century Gothic" w:hAnsi="Century Gothic" w:cs="Tahoma"/>
          <w:bCs/>
          <w:sz w:val="24"/>
          <w:szCs w:val="24"/>
        </w:rPr>
        <w:t>R</w:t>
      </w:r>
      <w:r>
        <w:rPr>
          <w:rFonts w:ascii="Century Gothic" w:hAnsi="Century Gothic" w:cs="Tahoma"/>
          <w:bCs/>
          <w:sz w:val="24"/>
          <w:szCs w:val="24"/>
        </w:rPr>
        <w:t>espondent complies with the terms of the order made under case number 208/2020 within this period of suspension.</w:t>
      </w:r>
    </w:p>
    <w:p w14:paraId="5D45C7B5" w14:textId="77777777" w:rsidR="00685021" w:rsidRDefault="00685021" w:rsidP="00685021">
      <w:pPr>
        <w:pStyle w:val="ListParagraph"/>
        <w:spacing w:line="360" w:lineRule="auto"/>
        <w:ind w:left="1080"/>
        <w:jc w:val="both"/>
        <w:rPr>
          <w:rFonts w:ascii="Century Gothic" w:hAnsi="Century Gothic" w:cs="Tahoma"/>
          <w:bCs/>
          <w:sz w:val="24"/>
          <w:szCs w:val="24"/>
        </w:rPr>
      </w:pPr>
    </w:p>
    <w:p w14:paraId="4F8178C0" w14:textId="0AB09BBB" w:rsidR="00685021" w:rsidRDefault="00685021" w:rsidP="00E61A9E">
      <w:pPr>
        <w:pStyle w:val="ListParagraph"/>
        <w:numPr>
          <w:ilvl w:val="0"/>
          <w:numId w:val="1"/>
        </w:numPr>
        <w:spacing w:line="360" w:lineRule="auto"/>
        <w:jc w:val="both"/>
        <w:rPr>
          <w:rFonts w:ascii="Century Gothic" w:hAnsi="Century Gothic" w:cs="Tahoma"/>
          <w:bCs/>
          <w:sz w:val="24"/>
          <w:szCs w:val="24"/>
        </w:rPr>
      </w:pPr>
      <w:r>
        <w:rPr>
          <w:rFonts w:ascii="Century Gothic" w:hAnsi="Century Gothic" w:cs="Tahoma"/>
          <w:bCs/>
          <w:sz w:val="24"/>
          <w:szCs w:val="24"/>
        </w:rPr>
        <w:t xml:space="preserve">The </w:t>
      </w:r>
      <w:r w:rsidR="008D2EC5">
        <w:rPr>
          <w:rFonts w:ascii="Century Gothic" w:hAnsi="Century Gothic" w:cs="Tahoma"/>
          <w:bCs/>
          <w:sz w:val="24"/>
          <w:szCs w:val="24"/>
        </w:rPr>
        <w:t>F</w:t>
      </w:r>
      <w:r>
        <w:rPr>
          <w:rFonts w:ascii="Century Gothic" w:hAnsi="Century Gothic" w:cs="Tahoma"/>
          <w:bCs/>
          <w:sz w:val="24"/>
          <w:szCs w:val="24"/>
        </w:rPr>
        <w:t xml:space="preserve">irst </w:t>
      </w:r>
      <w:r w:rsidR="008D2EC5">
        <w:rPr>
          <w:rFonts w:ascii="Century Gothic" w:hAnsi="Century Gothic" w:cs="Tahoma"/>
          <w:bCs/>
          <w:sz w:val="24"/>
          <w:szCs w:val="24"/>
        </w:rPr>
        <w:t>R</w:t>
      </w:r>
      <w:r>
        <w:rPr>
          <w:rFonts w:ascii="Century Gothic" w:hAnsi="Century Gothic" w:cs="Tahoma"/>
          <w:bCs/>
          <w:sz w:val="24"/>
          <w:szCs w:val="24"/>
        </w:rPr>
        <w:t xml:space="preserve">espondent is ordered to pay the costs of the </w:t>
      </w:r>
      <w:r w:rsidR="008D2EC5">
        <w:rPr>
          <w:rFonts w:ascii="Century Gothic" w:hAnsi="Century Gothic" w:cs="Tahoma"/>
          <w:bCs/>
          <w:sz w:val="24"/>
          <w:szCs w:val="24"/>
        </w:rPr>
        <w:t>A</w:t>
      </w:r>
      <w:r>
        <w:rPr>
          <w:rFonts w:ascii="Century Gothic" w:hAnsi="Century Gothic" w:cs="Tahoma"/>
          <w:bCs/>
          <w:sz w:val="24"/>
          <w:szCs w:val="24"/>
        </w:rPr>
        <w:t>pplicant on the attorney and client scale.</w:t>
      </w:r>
    </w:p>
    <w:p w14:paraId="79E5EDB7" w14:textId="19F13591" w:rsidR="00BA3CE4" w:rsidRDefault="00BA3CE4" w:rsidP="003F4F9D">
      <w:pPr>
        <w:pStyle w:val="ListParagraph"/>
        <w:spacing w:line="360" w:lineRule="auto"/>
        <w:ind w:left="1080"/>
        <w:jc w:val="both"/>
        <w:rPr>
          <w:rFonts w:ascii="Century Gothic" w:hAnsi="Century Gothic" w:cs="Tahoma"/>
          <w:bCs/>
          <w:sz w:val="24"/>
          <w:szCs w:val="24"/>
        </w:rPr>
      </w:pPr>
    </w:p>
    <w:p w14:paraId="55A0B1EC" w14:textId="77777777" w:rsidR="00685021" w:rsidRDefault="00685021" w:rsidP="003F4F9D">
      <w:pPr>
        <w:pStyle w:val="ListParagraph"/>
        <w:spacing w:line="360" w:lineRule="auto"/>
        <w:ind w:left="1080"/>
        <w:jc w:val="both"/>
        <w:rPr>
          <w:rFonts w:ascii="Century Gothic" w:hAnsi="Century Gothic" w:cs="Tahoma"/>
          <w:bCs/>
          <w:sz w:val="24"/>
          <w:szCs w:val="24"/>
        </w:rPr>
      </w:pPr>
    </w:p>
    <w:p w14:paraId="174271EA" w14:textId="77777777" w:rsidR="0048439E" w:rsidRPr="004F1AA4" w:rsidRDefault="0048439E" w:rsidP="0048439E">
      <w:pPr>
        <w:spacing w:line="360" w:lineRule="auto"/>
        <w:rPr>
          <w:rFonts w:ascii="Century Gothic" w:hAnsi="Century Gothic" w:cs="Tahoma"/>
          <w:b/>
          <w:sz w:val="24"/>
          <w:szCs w:val="24"/>
        </w:rPr>
      </w:pPr>
      <w:r w:rsidRPr="004F1AA4">
        <w:rPr>
          <w:rFonts w:ascii="Century Gothic" w:hAnsi="Century Gothic" w:cs="Tahoma"/>
          <w:b/>
          <w:sz w:val="24"/>
          <w:szCs w:val="24"/>
        </w:rPr>
        <w:t>_____________</w:t>
      </w:r>
    </w:p>
    <w:p w14:paraId="6B18D561" w14:textId="7CA4521F" w:rsidR="0048439E" w:rsidRPr="004F1AA4" w:rsidRDefault="00683330" w:rsidP="0048439E">
      <w:pPr>
        <w:spacing w:line="360" w:lineRule="auto"/>
        <w:jc w:val="both"/>
        <w:rPr>
          <w:rFonts w:ascii="Century Gothic" w:hAnsi="Century Gothic" w:cs="Tahoma"/>
          <w:b/>
          <w:sz w:val="24"/>
          <w:szCs w:val="24"/>
        </w:rPr>
      </w:pPr>
      <w:r>
        <w:rPr>
          <w:rFonts w:ascii="Century Gothic" w:hAnsi="Century Gothic" w:cs="Tahoma"/>
          <w:b/>
          <w:sz w:val="24"/>
          <w:szCs w:val="24"/>
        </w:rPr>
        <w:t>A EILLERT</w:t>
      </w:r>
    </w:p>
    <w:p w14:paraId="32BECCFF" w14:textId="69F9F62E" w:rsidR="0048439E" w:rsidRDefault="0048439E" w:rsidP="00D746D6">
      <w:pPr>
        <w:spacing w:line="276" w:lineRule="auto"/>
        <w:jc w:val="both"/>
        <w:rPr>
          <w:rFonts w:ascii="Century Gothic" w:hAnsi="Century Gothic" w:cs="Tahoma"/>
          <w:b/>
          <w:sz w:val="24"/>
          <w:szCs w:val="24"/>
        </w:rPr>
      </w:pPr>
      <w:r w:rsidRPr="004F1AA4">
        <w:rPr>
          <w:rFonts w:ascii="Century Gothic" w:hAnsi="Century Gothic" w:cs="Tahoma"/>
          <w:b/>
          <w:sz w:val="24"/>
          <w:szCs w:val="24"/>
        </w:rPr>
        <w:t>ACTING JUDGE OF THE HIGH COURT</w:t>
      </w:r>
    </w:p>
    <w:p w14:paraId="35663F3E" w14:textId="3ED10596" w:rsidR="009E00FD" w:rsidRPr="004F1AA4" w:rsidRDefault="009E00FD" w:rsidP="00D746D6">
      <w:pPr>
        <w:spacing w:line="276" w:lineRule="auto"/>
        <w:jc w:val="both"/>
        <w:rPr>
          <w:rFonts w:ascii="Century Gothic" w:hAnsi="Century Gothic" w:cs="Tahoma"/>
          <w:b/>
          <w:sz w:val="24"/>
          <w:szCs w:val="24"/>
        </w:rPr>
      </w:pPr>
      <w:r>
        <w:rPr>
          <w:rFonts w:ascii="Century Gothic" w:hAnsi="Century Gothic" w:cs="Tahoma"/>
          <w:b/>
          <w:sz w:val="24"/>
          <w:szCs w:val="24"/>
        </w:rPr>
        <w:t>NORTHERN CAPE DIVISION, KIMBERLEY</w:t>
      </w:r>
    </w:p>
    <w:p w14:paraId="5CCB15B2" w14:textId="4F8B6F17" w:rsidR="0048439E" w:rsidRDefault="0048439E" w:rsidP="0048439E">
      <w:pPr>
        <w:spacing w:line="360" w:lineRule="auto"/>
        <w:jc w:val="both"/>
        <w:rPr>
          <w:rFonts w:ascii="Century Gothic" w:hAnsi="Century Gothic" w:cs="Tahoma"/>
          <w:b/>
          <w:sz w:val="24"/>
          <w:szCs w:val="24"/>
        </w:rPr>
      </w:pPr>
    </w:p>
    <w:p w14:paraId="0F311290" w14:textId="5EE3032F" w:rsidR="00D746D6" w:rsidRPr="004F1AA4" w:rsidRDefault="00685021" w:rsidP="00D746D6">
      <w:pPr>
        <w:jc w:val="both"/>
        <w:rPr>
          <w:rFonts w:ascii="Century Gothic" w:hAnsi="Century Gothic" w:cs="Tahoma"/>
          <w:b/>
          <w:sz w:val="24"/>
          <w:szCs w:val="24"/>
        </w:rPr>
      </w:pPr>
      <w:r>
        <w:rPr>
          <w:rFonts w:ascii="Century Gothic" w:hAnsi="Century Gothic" w:cs="Tahoma"/>
          <w:b/>
          <w:sz w:val="24"/>
          <w:szCs w:val="24"/>
        </w:rPr>
        <w:t>DATE HEARD</w:t>
      </w:r>
      <w:r w:rsidR="00D746D6">
        <w:rPr>
          <w:rFonts w:ascii="Century Gothic" w:hAnsi="Century Gothic" w:cs="Tahoma"/>
          <w:b/>
          <w:sz w:val="24"/>
          <w:szCs w:val="24"/>
        </w:rPr>
        <w:t>:</w:t>
      </w:r>
      <w:r w:rsidR="00925AB0">
        <w:rPr>
          <w:rFonts w:ascii="Century Gothic" w:hAnsi="Century Gothic" w:cs="Tahoma"/>
          <w:b/>
          <w:sz w:val="24"/>
          <w:szCs w:val="24"/>
        </w:rPr>
        <w:t xml:space="preserve"> 29 January 2021</w:t>
      </w:r>
      <w:r w:rsidR="00D746D6">
        <w:rPr>
          <w:rFonts w:ascii="Century Gothic" w:hAnsi="Century Gothic" w:cs="Tahoma"/>
          <w:b/>
          <w:sz w:val="24"/>
          <w:szCs w:val="24"/>
        </w:rPr>
        <w:tab/>
      </w:r>
      <w:r>
        <w:rPr>
          <w:rFonts w:ascii="Century Gothic" w:hAnsi="Century Gothic" w:cs="Tahoma"/>
          <w:b/>
          <w:sz w:val="24"/>
          <w:szCs w:val="24"/>
        </w:rPr>
        <w:tab/>
      </w:r>
      <w:r>
        <w:rPr>
          <w:rFonts w:ascii="Century Gothic" w:hAnsi="Century Gothic" w:cs="Tahoma"/>
          <w:b/>
          <w:sz w:val="24"/>
          <w:szCs w:val="24"/>
        </w:rPr>
        <w:tab/>
      </w:r>
    </w:p>
    <w:p w14:paraId="3518F765" w14:textId="22A7DBAB" w:rsidR="00685021" w:rsidRDefault="0048439E" w:rsidP="0048439E">
      <w:pPr>
        <w:spacing w:line="360" w:lineRule="auto"/>
        <w:jc w:val="both"/>
        <w:rPr>
          <w:rFonts w:ascii="Century Gothic" w:hAnsi="Century Gothic" w:cs="Tahoma"/>
          <w:b/>
          <w:sz w:val="24"/>
          <w:szCs w:val="24"/>
        </w:rPr>
      </w:pPr>
      <w:r w:rsidRPr="004F1AA4">
        <w:rPr>
          <w:rFonts w:ascii="Century Gothic" w:hAnsi="Century Gothic" w:cs="Tahoma"/>
          <w:b/>
          <w:sz w:val="24"/>
          <w:szCs w:val="24"/>
        </w:rPr>
        <w:t>DATE OF JUDGMENT:</w:t>
      </w:r>
      <w:r w:rsidR="00925AB0">
        <w:rPr>
          <w:rFonts w:ascii="Century Gothic" w:hAnsi="Century Gothic" w:cs="Tahoma"/>
          <w:b/>
          <w:sz w:val="24"/>
          <w:szCs w:val="24"/>
        </w:rPr>
        <w:t xml:space="preserve"> 5 May 2022</w:t>
      </w:r>
    </w:p>
    <w:p w14:paraId="7A3ECC31" w14:textId="54A766A0" w:rsidR="00046C57" w:rsidRDefault="0048439E" w:rsidP="0048439E">
      <w:pPr>
        <w:spacing w:line="360" w:lineRule="auto"/>
        <w:jc w:val="both"/>
        <w:rPr>
          <w:rFonts w:ascii="Century Gothic" w:hAnsi="Century Gothic" w:cs="Tahoma"/>
          <w:b/>
          <w:sz w:val="24"/>
          <w:szCs w:val="24"/>
        </w:rPr>
      </w:pPr>
      <w:r w:rsidRPr="004F1AA4">
        <w:rPr>
          <w:rFonts w:ascii="Century Gothic" w:hAnsi="Century Gothic" w:cs="Tahoma"/>
          <w:b/>
          <w:sz w:val="24"/>
          <w:szCs w:val="24"/>
        </w:rPr>
        <w:tab/>
      </w:r>
      <w:r w:rsidRPr="004F1AA4">
        <w:rPr>
          <w:rFonts w:ascii="Century Gothic" w:hAnsi="Century Gothic" w:cs="Tahoma"/>
          <w:b/>
          <w:sz w:val="24"/>
          <w:szCs w:val="24"/>
        </w:rPr>
        <w:tab/>
      </w:r>
    </w:p>
    <w:p w14:paraId="06E3FD16" w14:textId="2E32B847" w:rsidR="0048439E" w:rsidRPr="004F1AA4" w:rsidRDefault="00685021" w:rsidP="00685021">
      <w:pPr>
        <w:jc w:val="both"/>
        <w:rPr>
          <w:rFonts w:ascii="Century Gothic" w:hAnsi="Century Gothic" w:cs="Tahoma"/>
          <w:b/>
          <w:sz w:val="24"/>
          <w:szCs w:val="24"/>
        </w:rPr>
      </w:pPr>
      <w:r>
        <w:rPr>
          <w:rFonts w:ascii="Century Gothic" w:hAnsi="Century Gothic" w:cs="Tahoma"/>
          <w:b/>
          <w:sz w:val="24"/>
          <w:szCs w:val="24"/>
        </w:rPr>
        <w:t>For the Applicant</w:t>
      </w:r>
      <w:r w:rsidR="0048439E" w:rsidRPr="004F1AA4">
        <w:rPr>
          <w:rFonts w:ascii="Century Gothic" w:hAnsi="Century Gothic" w:cs="Tahoma"/>
          <w:b/>
          <w:sz w:val="24"/>
          <w:szCs w:val="24"/>
        </w:rPr>
        <w:t>:</w:t>
      </w:r>
      <w:r w:rsidR="008D2EC5">
        <w:rPr>
          <w:rFonts w:ascii="Century Gothic" w:hAnsi="Century Gothic" w:cs="Tahoma"/>
          <w:b/>
          <w:sz w:val="24"/>
          <w:szCs w:val="24"/>
        </w:rPr>
        <w:t xml:space="preserve"> JJF Hefer SC, instructed by Magoma Attorneys</w:t>
      </w:r>
      <w:r w:rsidR="0048439E" w:rsidRPr="004F1AA4">
        <w:rPr>
          <w:rFonts w:ascii="Century Gothic" w:hAnsi="Century Gothic" w:cs="Tahoma"/>
          <w:b/>
          <w:sz w:val="24"/>
          <w:szCs w:val="24"/>
        </w:rPr>
        <w:tab/>
      </w:r>
      <w:r w:rsidR="0048439E" w:rsidRPr="004F1AA4">
        <w:rPr>
          <w:rFonts w:ascii="Century Gothic" w:hAnsi="Century Gothic" w:cs="Tahoma"/>
          <w:b/>
          <w:sz w:val="24"/>
          <w:szCs w:val="24"/>
        </w:rPr>
        <w:tab/>
      </w:r>
      <w:r w:rsidR="0048439E" w:rsidRPr="004F1AA4">
        <w:rPr>
          <w:rFonts w:ascii="Century Gothic" w:hAnsi="Century Gothic" w:cs="Tahoma"/>
          <w:b/>
          <w:sz w:val="24"/>
          <w:szCs w:val="24"/>
        </w:rPr>
        <w:tab/>
      </w:r>
    </w:p>
    <w:p w14:paraId="66B90121" w14:textId="77777777" w:rsidR="00685021" w:rsidRDefault="00685021" w:rsidP="00046C57">
      <w:pPr>
        <w:ind w:left="720" w:hanging="720"/>
        <w:jc w:val="both"/>
        <w:rPr>
          <w:rFonts w:ascii="Century Gothic" w:hAnsi="Century Gothic" w:cs="Tahoma"/>
          <w:b/>
          <w:sz w:val="24"/>
          <w:szCs w:val="24"/>
        </w:rPr>
      </w:pPr>
    </w:p>
    <w:p w14:paraId="4D76568F" w14:textId="2628A429" w:rsidR="0048439E" w:rsidRPr="004F1AA4" w:rsidRDefault="00685021" w:rsidP="00046C57">
      <w:pPr>
        <w:ind w:left="720" w:hanging="720"/>
        <w:jc w:val="both"/>
        <w:rPr>
          <w:rFonts w:ascii="Century Gothic" w:hAnsi="Century Gothic" w:cs="Tahoma"/>
          <w:b/>
          <w:sz w:val="24"/>
          <w:szCs w:val="24"/>
        </w:rPr>
      </w:pPr>
      <w:r>
        <w:rPr>
          <w:rFonts w:ascii="Century Gothic" w:hAnsi="Century Gothic" w:cs="Tahoma"/>
          <w:b/>
          <w:sz w:val="24"/>
          <w:szCs w:val="24"/>
        </w:rPr>
        <w:t>F</w:t>
      </w:r>
      <w:r w:rsidR="0048439E" w:rsidRPr="004F1AA4">
        <w:rPr>
          <w:rFonts w:ascii="Century Gothic" w:hAnsi="Century Gothic" w:cs="Tahoma"/>
          <w:b/>
          <w:sz w:val="24"/>
          <w:szCs w:val="24"/>
        </w:rPr>
        <w:t xml:space="preserve">or the First Respondent: </w:t>
      </w:r>
      <w:r w:rsidR="0048439E" w:rsidRPr="004F1AA4">
        <w:rPr>
          <w:rFonts w:ascii="Century Gothic" w:hAnsi="Century Gothic" w:cs="Tahoma"/>
          <w:b/>
          <w:sz w:val="24"/>
          <w:szCs w:val="24"/>
        </w:rPr>
        <w:tab/>
      </w:r>
      <w:r w:rsidR="008D2EC5">
        <w:rPr>
          <w:rFonts w:ascii="Century Gothic" w:hAnsi="Century Gothic" w:cs="Tahoma"/>
          <w:b/>
          <w:sz w:val="24"/>
          <w:szCs w:val="24"/>
        </w:rPr>
        <w:t>J Harmse, instructed by Van de Wall Incorporated</w:t>
      </w:r>
      <w:r w:rsidR="0048439E" w:rsidRPr="004F1AA4">
        <w:rPr>
          <w:rFonts w:ascii="Century Gothic" w:hAnsi="Century Gothic" w:cs="Tahoma"/>
          <w:b/>
          <w:sz w:val="24"/>
          <w:szCs w:val="24"/>
        </w:rPr>
        <w:tab/>
      </w:r>
    </w:p>
    <w:p w14:paraId="4FE3882F" w14:textId="516CD93C" w:rsidR="00685021" w:rsidRDefault="0048439E" w:rsidP="00685021">
      <w:pPr>
        <w:spacing w:line="276" w:lineRule="auto"/>
        <w:ind w:left="720" w:hanging="720"/>
        <w:jc w:val="both"/>
      </w:pPr>
      <w:r w:rsidRPr="004F1AA4">
        <w:rPr>
          <w:rFonts w:ascii="Century Gothic" w:hAnsi="Century Gothic" w:cs="Tahoma"/>
          <w:b/>
          <w:sz w:val="24"/>
          <w:szCs w:val="24"/>
        </w:rPr>
        <w:tab/>
      </w:r>
      <w:r w:rsidRPr="004F1AA4">
        <w:rPr>
          <w:rFonts w:ascii="Century Gothic" w:hAnsi="Century Gothic" w:cs="Tahoma"/>
          <w:b/>
          <w:sz w:val="24"/>
          <w:szCs w:val="24"/>
        </w:rPr>
        <w:tab/>
      </w:r>
      <w:r w:rsidRPr="004F1AA4">
        <w:rPr>
          <w:rFonts w:ascii="Century Gothic" w:hAnsi="Century Gothic" w:cs="Tahoma"/>
          <w:b/>
          <w:sz w:val="24"/>
          <w:szCs w:val="24"/>
        </w:rPr>
        <w:tab/>
      </w:r>
      <w:r w:rsidRPr="004F1AA4">
        <w:rPr>
          <w:rFonts w:ascii="Century Gothic" w:hAnsi="Century Gothic" w:cs="Tahoma"/>
          <w:b/>
          <w:sz w:val="24"/>
          <w:szCs w:val="24"/>
        </w:rPr>
        <w:tab/>
      </w:r>
      <w:r w:rsidRPr="004F1AA4">
        <w:rPr>
          <w:rFonts w:ascii="Century Gothic" w:hAnsi="Century Gothic" w:cs="Tahoma"/>
          <w:b/>
          <w:sz w:val="24"/>
          <w:szCs w:val="24"/>
        </w:rPr>
        <w:tab/>
      </w:r>
    </w:p>
    <w:p w14:paraId="44899127" w14:textId="47FFD281" w:rsidR="007C52ED" w:rsidRDefault="007C52ED" w:rsidP="009E00FD">
      <w:pPr>
        <w:spacing w:line="276" w:lineRule="auto"/>
        <w:ind w:left="2880" w:firstLine="720"/>
        <w:jc w:val="both"/>
      </w:pPr>
    </w:p>
    <w:sectPr w:rsidR="007C52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5BC1" w14:textId="77777777" w:rsidR="00F26A29" w:rsidRDefault="00F26A29" w:rsidP="00B70AF9">
      <w:r>
        <w:separator/>
      </w:r>
    </w:p>
  </w:endnote>
  <w:endnote w:type="continuationSeparator" w:id="0">
    <w:p w14:paraId="466A8357" w14:textId="77777777" w:rsidR="00F26A29" w:rsidRDefault="00F26A29" w:rsidP="00B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1933"/>
      <w:docPartObj>
        <w:docPartGallery w:val="Page Numbers (Bottom of Page)"/>
        <w:docPartUnique/>
      </w:docPartObj>
    </w:sdtPr>
    <w:sdtEndPr>
      <w:rPr>
        <w:noProof/>
        <w:sz w:val="22"/>
        <w:szCs w:val="22"/>
      </w:rPr>
    </w:sdtEndPr>
    <w:sdtContent>
      <w:p w14:paraId="5570DCE5" w14:textId="6BE6E2B8" w:rsidR="0042055E" w:rsidRPr="009E00FD" w:rsidRDefault="0042055E">
        <w:pPr>
          <w:pStyle w:val="Footer"/>
          <w:jc w:val="right"/>
          <w:rPr>
            <w:sz w:val="22"/>
            <w:szCs w:val="22"/>
          </w:rPr>
        </w:pPr>
        <w:r w:rsidRPr="009E00FD">
          <w:rPr>
            <w:sz w:val="22"/>
            <w:szCs w:val="22"/>
          </w:rPr>
          <w:fldChar w:fldCharType="begin"/>
        </w:r>
        <w:r w:rsidRPr="009E00FD">
          <w:rPr>
            <w:sz w:val="22"/>
            <w:szCs w:val="22"/>
          </w:rPr>
          <w:instrText xml:space="preserve"> PAGE   \* MERGEFORMAT </w:instrText>
        </w:r>
        <w:r w:rsidRPr="009E00FD">
          <w:rPr>
            <w:sz w:val="22"/>
            <w:szCs w:val="22"/>
          </w:rPr>
          <w:fldChar w:fldCharType="separate"/>
        </w:r>
        <w:r w:rsidR="002E6957">
          <w:rPr>
            <w:noProof/>
            <w:sz w:val="22"/>
            <w:szCs w:val="22"/>
          </w:rPr>
          <w:t>2</w:t>
        </w:r>
        <w:r w:rsidRPr="009E00FD">
          <w:rPr>
            <w:noProof/>
            <w:sz w:val="22"/>
            <w:szCs w:val="22"/>
          </w:rPr>
          <w:fldChar w:fldCharType="end"/>
        </w:r>
      </w:p>
    </w:sdtContent>
  </w:sdt>
  <w:p w14:paraId="40AC4966" w14:textId="77777777" w:rsidR="0042055E" w:rsidRDefault="004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A1E0" w14:textId="77777777" w:rsidR="00F26A29" w:rsidRDefault="00F26A29" w:rsidP="00B70AF9">
      <w:r>
        <w:separator/>
      </w:r>
    </w:p>
  </w:footnote>
  <w:footnote w:type="continuationSeparator" w:id="0">
    <w:p w14:paraId="4BB4908F" w14:textId="77777777" w:rsidR="00F26A29" w:rsidRDefault="00F26A29" w:rsidP="00B70AF9">
      <w:r>
        <w:continuationSeparator/>
      </w:r>
    </w:p>
  </w:footnote>
  <w:footnote w:id="1">
    <w:p w14:paraId="52B1A4FC" w14:textId="375D9334" w:rsidR="0042055E" w:rsidRPr="00127F7D" w:rsidRDefault="0042055E">
      <w:pPr>
        <w:pStyle w:val="FootnoteText"/>
        <w:rPr>
          <w:lang w:val="en-ZA"/>
        </w:rPr>
      </w:pPr>
      <w:r>
        <w:rPr>
          <w:rStyle w:val="FootnoteReference"/>
        </w:rPr>
        <w:footnoteRef/>
      </w:r>
      <w:r>
        <w:t xml:space="preserve"> </w:t>
      </w:r>
      <w:r>
        <w:rPr>
          <w:lang w:val="en-ZA"/>
        </w:rPr>
        <w:t>At 344</w:t>
      </w:r>
      <w:r w:rsidR="009765E1">
        <w:rPr>
          <w:lang w:val="en-ZA"/>
        </w:rPr>
        <w:t xml:space="preserve"> </w:t>
      </w:r>
      <w:r>
        <w:rPr>
          <w:lang w:val="en-ZA"/>
        </w:rPr>
        <w:t>I – 345</w:t>
      </w:r>
      <w:r w:rsidR="009765E1">
        <w:rPr>
          <w:lang w:val="en-ZA"/>
        </w:rPr>
        <w:t xml:space="preserve"> </w:t>
      </w:r>
      <w:r>
        <w:rPr>
          <w:lang w:val="en-ZA"/>
        </w:rPr>
        <w:t>A</w:t>
      </w:r>
    </w:p>
  </w:footnote>
  <w:footnote w:id="2">
    <w:p w14:paraId="1F2FDC00" w14:textId="3913D9A2" w:rsidR="0042055E" w:rsidRPr="0048513A" w:rsidRDefault="0042055E">
      <w:pPr>
        <w:pStyle w:val="FootnoteText"/>
        <w:rPr>
          <w:lang w:val="en-ZA"/>
        </w:rPr>
      </w:pPr>
      <w:r>
        <w:rPr>
          <w:rStyle w:val="FootnoteReference"/>
        </w:rPr>
        <w:footnoteRef/>
      </w:r>
      <w:r>
        <w:t xml:space="preserve"> </w:t>
      </w:r>
      <w:r>
        <w:rPr>
          <w:lang w:val="en-ZA"/>
        </w:rPr>
        <w:t xml:space="preserve">Mr Addinall is the attorney and director at Van de </w:t>
      </w:r>
      <w:r w:rsidR="006F4338">
        <w:rPr>
          <w:lang w:val="en-ZA"/>
        </w:rPr>
        <w:t>W</w:t>
      </w:r>
      <w:r>
        <w:rPr>
          <w:lang w:val="en-ZA"/>
        </w:rPr>
        <w:t xml:space="preserve">all who was acting for </w:t>
      </w:r>
      <w:r w:rsidR="006F4338">
        <w:rPr>
          <w:lang w:val="en-ZA"/>
        </w:rPr>
        <w:t>K</w:t>
      </w:r>
      <w:r>
        <w:rPr>
          <w:lang w:val="en-ZA"/>
        </w:rPr>
        <w:t>arstens at the time.</w:t>
      </w:r>
    </w:p>
  </w:footnote>
  <w:footnote w:id="3">
    <w:p w14:paraId="76E89418" w14:textId="061FA105" w:rsidR="0042055E" w:rsidRPr="0048513A" w:rsidRDefault="0042055E">
      <w:pPr>
        <w:pStyle w:val="FootnoteText"/>
        <w:rPr>
          <w:lang w:val="en-ZA"/>
        </w:rPr>
      </w:pPr>
      <w:r>
        <w:rPr>
          <w:rStyle w:val="FootnoteReference"/>
        </w:rPr>
        <w:footnoteRef/>
      </w:r>
      <w:r>
        <w:t xml:space="preserve"> </w:t>
      </w:r>
      <w:r>
        <w:rPr>
          <w:lang w:val="en-ZA"/>
        </w:rPr>
        <w:t>The Applicant accepted that this date should have been the 8</w:t>
      </w:r>
      <w:r w:rsidRPr="0048513A">
        <w:rPr>
          <w:vertAlign w:val="superscript"/>
          <w:lang w:val="en-ZA"/>
        </w:rPr>
        <w:t>th</w:t>
      </w:r>
      <w:r>
        <w:rPr>
          <w:lang w:val="en-ZA"/>
        </w:rPr>
        <w:t xml:space="preserve"> of July 2020.</w:t>
      </w:r>
    </w:p>
  </w:footnote>
  <w:footnote w:id="4">
    <w:p w14:paraId="0D9FD642" w14:textId="4ACE87DA" w:rsidR="0042055E" w:rsidRPr="00683330" w:rsidRDefault="0042055E" w:rsidP="00084E4E">
      <w:pPr>
        <w:pStyle w:val="FootnoteText"/>
        <w:rPr>
          <w:lang w:val="en-ZA"/>
        </w:rPr>
      </w:pPr>
      <w:r>
        <w:rPr>
          <w:rStyle w:val="FootnoteReference"/>
        </w:rPr>
        <w:footnoteRef/>
      </w:r>
      <w:r>
        <w:t xml:space="preserve"> </w:t>
      </w:r>
      <w:r>
        <w:rPr>
          <w:lang w:val="en-ZA"/>
        </w:rPr>
        <w:t>GNR. 1258 of 21 July 1972, Promulgated in terms of section 10 of the Justice of the Peace and Commissioners of Oaths Act 16 of 1963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9BC"/>
    <w:multiLevelType w:val="multilevel"/>
    <w:tmpl w:val="D8F6D786"/>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8E0A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F4905"/>
    <w:multiLevelType w:val="hybridMultilevel"/>
    <w:tmpl w:val="078CFD04"/>
    <w:lvl w:ilvl="0" w:tplc="526C483A">
      <w:start w:val="1"/>
      <w:numFmt w:val="decimal"/>
      <w:lvlText w:val="[%1]"/>
      <w:lvlJc w:val="left"/>
      <w:pPr>
        <w:ind w:left="1440" w:hanging="360"/>
      </w:pPr>
      <w:rPr>
        <w:rFonts w:hint="default"/>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6470221"/>
    <w:multiLevelType w:val="hybridMultilevel"/>
    <w:tmpl w:val="B4B4E94E"/>
    <w:lvl w:ilvl="0" w:tplc="526C483A">
      <w:start w:val="1"/>
      <w:numFmt w:val="decimal"/>
      <w:lvlText w:val="[%1]"/>
      <w:lvlJc w:val="left"/>
      <w:pPr>
        <w:ind w:left="1440" w:hanging="360"/>
      </w:pPr>
      <w:rPr>
        <w:rFonts w:hint="default"/>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126104E"/>
    <w:multiLevelType w:val="multilevel"/>
    <w:tmpl w:val="48DA6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B010CE"/>
    <w:multiLevelType w:val="hybridMultilevel"/>
    <w:tmpl w:val="F750685C"/>
    <w:lvl w:ilvl="0" w:tplc="37E4B3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40"/>
    <w:rsid w:val="00046C57"/>
    <w:rsid w:val="00061D56"/>
    <w:rsid w:val="00084E4E"/>
    <w:rsid w:val="00087D62"/>
    <w:rsid w:val="000F2353"/>
    <w:rsid w:val="000F674E"/>
    <w:rsid w:val="000F7AD4"/>
    <w:rsid w:val="001140C8"/>
    <w:rsid w:val="00120ABE"/>
    <w:rsid w:val="00127F7D"/>
    <w:rsid w:val="00163491"/>
    <w:rsid w:val="00171D1D"/>
    <w:rsid w:val="001A5FB0"/>
    <w:rsid w:val="001C690D"/>
    <w:rsid w:val="001D4536"/>
    <w:rsid w:val="001E36C2"/>
    <w:rsid w:val="001F4149"/>
    <w:rsid w:val="001F78CD"/>
    <w:rsid w:val="00204E7B"/>
    <w:rsid w:val="0023082F"/>
    <w:rsid w:val="00230B85"/>
    <w:rsid w:val="002332DB"/>
    <w:rsid w:val="002924EF"/>
    <w:rsid w:val="002D1675"/>
    <w:rsid w:val="002D4FFD"/>
    <w:rsid w:val="002D5E25"/>
    <w:rsid w:val="002E3CAC"/>
    <w:rsid w:val="002E6957"/>
    <w:rsid w:val="00343CA9"/>
    <w:rsid w:val="00345E85"/>
    <w:rsid w:val="00361004"/>
    <w:rsid w:val="00382932"/>
    <w:rsid w:val="00394551"/>
    <w:rsid w:val="003A18CC"/>
    <w:rsid w:val="003B068C"/>
    <w:rsid w:val="003C2B12"/>
    <w:rsid w:val="003D5238"/>
    <w:rsid w:val="003D59CC"/>
    <w:rsid w:val="003D6768"/>
    <w:rsid w:val="003D7C3B"/>
    <w:rsid w:val="003E4CF9"/>
    <w:rsid w:val="003F4F9D"/>
    <w:rsid w:val="0042055E"/>
    <w:rsid w:val="004545FA"/>
    <w:rsid w:val="00465999"/>
    <w:rsid w:val="00467519"/>
    <w:rsid w:val="00471FBD"/>
    <w:rsid w:val="00473A60"/>
    <w:rsid w:val="00474C6A"/>
    <w:rsid w:val="0048439E"/>
    <w:rsid w:val="0048513A"/>
    <w:rsid w:val="004B41C6"/>
    <w:rsid w:val="004E2E86"/>
    <w:rsid w:val="005154FE"/>
    <w:rsid w:val="00521AC4"/>
    <w:rsid w:val="005B5EA7"/>
    <w:rsid w:val="005C14A7"/>
    <w:rsid w:val="005C432E"/>
    <w:rsid w:val="00610FF2"/>
    <w:rsid w:val="00617C30"/>
    <w:rsid w:val="0062654D"/>
    <w:rsid w:val="00632B9D"/>
    <w:rsid w:val="00683330"/>
    <w:rsid w:val="00685021"/>
    <w:rsid w:val="006B3284"/>
    <w:rsid w:val="006C4D40"/>
    <w:rsid w:val="006D61B2"/>
    <w:rsid w:val="006E6539"/>
    <w:rsid w:val="006F1962"/>
    <w:rsid w:val="006F4338"/>
    <w:rsid w:val="007100E4"/>
    <w:rsid w:val="0073598D"/>
    <w:rsid w:val="00740E46"/>
    <w:rsid w:val="0075222D"/>
    <w:rsid w:val="00757562"/>
    <w:rsid w:val="0076474F"/>
    <w:rsid w:val="0076534C"/>
    <w:rsid w:val="00781686"/>
    <w:rsid w:val="007868AC"/>
    <w:rsid w:val="007A09AB"/>
    <w:rsid w:val="007B764E"/>
    <w:rsid w:val="007C0F4C"/>
    <w:rsid w:val="007C266D"/>
    <w:rsid w:val="007C52ED"/>
    <w:rsid w:val="00816B67"/>
    <w:rsid w:val="008237A2"/>
    <w:rsid w:val="00826745"/>
    <w:rsid w:val="00873EC1"/>
    <w:rsid w:val="00890E61"/>
    <w:rsid w:val="008D2EC5"/>
    <w:rsid w:val="009013EB"/>
    <w:rsid w:val="00925AB0"/>
    <w:rsid w:val="00932526"/>
    <w:rsid w:val="00934AB9"/>
    <w:rsid w:val="00942C7D"/>
    <w:rsid w:val="009443EB"/>
    <w:rsid w:val="009765E1"/>
    <w:rsid w:val="00985579"/>
    <w:rsid w:val="009A5D62"/>
    <w:rsid w:val="009B0235"/>
    <w:rsid w:val="009C73E9"/>
    <w:rsid w:val="009E00FD"/>
    <w:rsid w:val="00A13574"/>
    <w:rsid w:val="00A2593E"/>
    <w:rsid w:val="00A41119"/>
    <w:rsid w:val="00A543EE"/>
    <w:rsid w:val="00A7407E"/>
    <w:rsid w:val="00A860A4"/>
    <w:rsid w:val="00AD1303"/>
    <w:rsid w:val="00AD2696"/>
    <w:rsid w:val="00B04643"/>
    <w:rsid w:val="00B165A8"/>
    <w:rsid w:val="00B24083"/>
    <w:rsid w:val="00B2440F"/>
    <w:rsid w:val="00B24A8A"/>
    <w:rsid w:val="00B40D34"/>
    <w:rsid w:val="00B446D8"/>
    <w:rsid w:val="00B617A5"/>
    <w:rsid w:val="00B70AF9"/>
    <w:rsid w:val="00BA3CE4"/>
    <w:rsid w:val="00BB10FC"/>
    <w:rsid w:val="00BB1C13"/>
    <w:rsid w:val="00BE17E7"/>
    <w:rsid w:val="00C438D4"/>
    <w:rsid w:val="00C7758C"/>
    <w:rsid w:val="00CC229D"/>
    <w:rsid w:val="00CC4B0E"/>
    <w:rsid w:val="00CD23AB"/>
    <w:rsid w:val="00CD5628"/>
    <w:rsid w:val="00CD72B5"/>
    <w:rsid w:val="00D11F06"/>
    <w:rsid w:val="00D12A3C"/>
    <w:rsid w:val="00D134F3"/>
    <w:rsid w:val="00D33D80"/>
    <w:rsid w:val="00D42209"/>
    <w:rsid w:val="00D746D6"/>
    <w:rsid w:val="00D92635"/>
    <w:rsid w:val="00D9503E"/>
    <w:rsid w:val="00DB0621"/>
    <w:rsid w:val="00DB380E"/>
    <w:rsid w:val="00DE22DB"/>
    <w:rsid w:val="00DE2A51"/>
    <w:rsid w:val="00DF6302"/>
    <w:rsid w:val="00DF7697"/>
    <w:rsid w:val="00E0014F"/>
    <w:rsid w:val="00E1079C"/>
    <w:rsid w:val="00E20D79"/>
    <w:rsid w:val="00E427BD"/>
    <w:rsid w:val="00E45E7C"/>
    <w:rsid w:val="00E466ED"/>
    <w:rsid w:val="00E61A9E"/>
    <w:rsid w:val="00E70519"/>
    <w:rsid w:val="00EA1B44"/>
    <w:rsid w:val="00EB2648"/>
    <w:rsid w:val="00EB5FD7"/>
    <w:rsid w:val="00F26A29"/>
    <w:rsid w:val="00F52FE7"/>
    <w:rsid w:val="00F73033"/>
    <w:rsid w:val="00F93033"/>
    <w:rsid w:val="00F973A1"/>
    <w:rsid w:val="00FA462A"/>
    <w:rsid w:val="00FB4AD4"/>
    <w:rsid w:val="00FC06A1"/>
    <w:rsid w:val="00FC41A7"/>
    <w:rsid w:val="00FD51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A5D2"/>
  <w15:chartTrackingRefBased/>
  <w15:docId w15:val="{9983FB75-30D8-4E0E-B9B1-A453EA0F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D"/>
    <w:pPr>
      <w:spacing w:after="0" w:line="240" w:lineRule="auto"/>
    </w:pPr>
    <w:rPr>
      <w:rFonts w:ascii="Arial" w:eastAsia="Times New Roman" w:hAnsi="Arial" w:cs="Arial"/>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AF9"/>
    <w:rPr>
      <w:sz w:val="20"/>
      <w:szCs w:val="20"/>
    </w:rPr>
  </w:style>
  <w:style w:type="character" w:customStyle="1" w:styleId="FootnoteTextChar">
    <w:name w:val="Footnote Text Char"/>
    <w:basedOn w:val="DefaultParagraphFont"/>
    <w:link w:val="FootnoteText"/>
    <w:uiPriority w:val="99"/>
    <w:semiHidden/>
    <w:rsid w:val="00B70AF9"/>
    <w:rPr>
      <w:rFonts w:ascii="Arial" w:eastAsia="Times New Roman" w:hAnsi="Arial" w:cs="Arial"/>
      <w:sz w:val="20"/>
      <w:szCs w:val="20"/>
      <w:lang w:val="en-GB" w:eastAsia="en-GB"/>
    </w:rPr>
  </w:style>
  <w:style w:type="character" w:styleId="FootnoteReference">
    <w:name w:val="footnote reference"/>
    <w:basedOn w:val="DefaultParagraphFont"/>
    <w:uiPriority w:val="99"/>
    <w:semiHidden/>
    <w:unhideWhenUsed/>
    <w:rsid w:val="00B70AF9"/>
    <w:rPr>
      <w:vertAlign w:val="superscript"/>
    </w:rPr>
  </w:style>
  <w:style w:type="paragraph" w:styleId="ListParagraph">
    <w:name w:val="List Paragraph"/>
    <w:basedOn w:val="Normal"/>
    <w:uiPriority w:val="34"/>
    <w:qFormat/>
    <w:rsid w:val="00E61A9E"/>
    <w:pPr>
      <w:ind w:left="720"/>
      <w:contextualSpacing/>
    </w:pPr>
  </w:style>
  <w:style w:type="paragraph" w:styleId="Header">
    <w:name w:val="header"/>
    <w:basedOn w:val="Normal"/>
    <w:link w:val="HeaderChar"/>
    <w:uiPriority w:val="99"/>
    <w:unhideWhenUsed/>
    <w:rsid w:val="009E00FD"/>
    <w:pPr>
      <w:tabs>
        <w:tab w:val="center" w:pos="4513"/>
        <w:tab w:val="right" w:pos="9026"/>
      </w:tabs>
    </w:pPr>
  </w:style>
  <w:style w:type="character" w:customStyle="1" w:styleId="HeaderChar">
    <w:name w:val="Header Char"/>
    <w:basedOn w:val="DefaultParagraphFont"/>
    <w:link w:val="Header"/>
    <w:uiPriority w:val="99"/>
    <w:rsid w:val="009E00FD"/>
    <w:rPr>
      <w:rFonts w:ascii="Arial" w:eastAsia="Times New Roman" w:hAnsi="Arial" w:cs="Arial"/>
      <w:sz w:val="28"/>
      <w:szCs w:val="28"/>
      <w:lang w:val="en-GB" w:eastAsia="en-GB"/>
    </w:rPr>
  </w:style>
  <w:style w:type="paragraph" w:styleId="Footer">
    <w:name w:val="footer"/>
    <w:basedOn w:val="Normal"/>
    <w:link w:val="FooterChar"/>
    <w:uiPriority w:val="99"/>
    <w:unhideWhenUsed/>
    <w:rsid w:val="009E00FD"/>
    <w:pPr>
      <w:tabs>
        <w:tab w:val="center" w:pos="4513"/>
        <w:tab w:val="right" w:pos="9026"/>
      </w:tabs>
    </w:pPr>
  </w:style>
  <w:style w:type="character" w:customStyle="1" w:styleId="FooterChar">
    <w:name w:val="Footer Char"/>
    <w:basedOn w:val="DefaultParagraphFont"/>
    <w:link w:val="Footer"/>
    <w:uiPriority w:val="99"/>
    <w:rsid w:val="009E00FD"/>
    <w:rPr>
      <w:rFonts w:ascii="Arial" w:eastAsia="Times New Roman" w:hAnsi="Arial" w:cs="Arial"/>
      <w:sz w:val="28"/>
      <w:szCs w:val="28"/>
      <w:lang w:val="en-GB" w:eastAsia="en-GB"/>
    </w:rPr>
  </w:style>
  <w:style w:type="paragraph" w:styleId="BalloonText">
    <w:name w:val="Balloon Text"/>
    <w:basedOn w:val="Normal"/>
    <w:link w:val="BalloonTextChar"/>
    <w:uiPriority w:val="99"/>
    <w:semiHidden/>
    <w:unhideWhenUsed/>
    <w:rsid w:val="00DE2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5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54AE-607C-4CB4-ABD2-0B32A97E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Omphemetse Kenneth Chwaro</dc:creator>
  <cp:keywords/>
  <dc:description/>
  <cp:lastModifiedBy>Masego Dirapedi</cp:lastModifiedBy>
  <cp:revision>2</cp:revision>
  <cp:lastPrinted>2021-08-26T07:22:00Z</cp:lastPrinted>
  <dcterms:created xsi:type="dcterms:W3CDTF">2022-05-09T08:46:00Z</dcterms:created>
  <dcterms:modified xsi:type="dcterms:W3CDTF">2022-05-09T08:46:00Z</dcterms:modified>
</cp:coreProperties>
</file>